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4.xml" ContentType="application/vnd.openxmlformats-officedocument.wordprocessingml.header+xml"/>
  <Override PartName="/word/footer26.xml" ContentType="application/vnd.openxmlformats-officedocument.wordprocessingml.footer+xml"/>
  <Override PartName="/word/header1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6.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A34F10" w14:paraId="7F471D46" w14:textId="77777777" w:rsidTr="008D2FEC">
        <w:trPr>
          <w:trHeight w:hRule="exact" w:val="3598"/>
        </w:trPr>
        <w:tc>
          <w:tcPr>
            <w:tcW w:w="9513" w:type="dxa"/>
            <w:shd w:val="clear" w:color="auto" w:fill="auto"/>
            <w:vAlign w:val="center"/>
          </w:tcPr>
          <w:p w14:paraId="77DE00FF" w14:textId="1A8DF83A" w:rsidR="008D2FEC" w:rsidRPr="00A34F10" w:rsidRDefault="008D2FEC" w:rsidP="00A872BB">
            <w:pPr>
              <w:pStyle w:val="RepTitle"/>
            </w:pPr>
            <w:r w:rsidRPr="00A34F10">
              <w:t>REGISTRATION REPORT</w:t>
            </w:r>
          </w:p>
          <w:p w14:paraId="1AD922E9" w14:textId="77777777" w:rsidR="00F52E35" w:rsidRPr="00A34F10" w:rsidRDefault="00D756A1" w:rsidP="00AA32CE">
            <w:pPr>
              <w:pStyle w:val="RepTitleBold"/>
            </w:pPr>
            <w:r w:rsidRPr="00A34F10">
              <w:t>Part</w:t>
            </w:r>
            <w:r w:rsidR="0079112D" w:rsidRPr="00A34F10">
              <w:t xml:space="preserve"> </w:t>
            </w:r>
            <w:r w:rsidR="0085611A" w:rsidRPr="00A34F10">
              <w:t>B</w:t>
            </w:r>
          </w:p>
          <w:p w14:paraId="171D0A41" w14:textId="77777777" w:rsidR="0085611A" w:rsidRPr="00A34F10" w:rsidRDefault="0085611A" w:rsidP="00AA32CE">
            <w:pPr>
              <w:pStyle w:val="RepTitleBold"/>
            </w:pPr>
            <w:r w:rsidRPr="00A34F10">
              <w:t>Section 9</w:t>
            </w:r>
          </w:p>
          <w:p w14:paraId="501F2FA3" w14:textId="77777777" w:rsidR="0079112D" w:rsidRPr="00A34F10" w:rsidRDefault="0085611A" w:rsidP="00AA32CE">
            <w:pPr>
              <w:pStyle w:val="RepTitleBold"/>
            </w:pPr>
            <w:r w:rsidRPr="00A34F10">
              <w:t>Ecotoxicology</w:t>
            </w:r>
          </w:p>
          <w:p w14:paraId="577359C1" w14:textId="77777777" w:rsidR="008D2FEC" w:rsidRPr="00A34F10" w:rsidRDefault="0085611A" w:rsidP="00AA32CE">
            <w:pPr>
              <w:pStyle w:val="RepSubtitle"/>
            </w:pPr>
            <w:r w:rsidRPr="00A34F10">
              <w:t>Detailed summary of the risk assessment</w:t>
            </w:r>
          </w:p>
        </w:tc>
      </w:tr>
      <w:tr w:rsidR="008D2FEC" w:rsidRPr="00A34F10" w14:paraId="77818345" w14:textId="77777777" w:rsidTr="008D2FEC">
        <w:trPr>
          <w:trHeight w:hRule="exact" w:val="3765"/>
        </w:trPr>
        <w:tc>
          <w:tcPr>
            <w:tcW w:w="9513" w:type="dxa"/>
            <w:shd w:val="clear" w:color="auto" w:fill="auto"/>
            <w:vAlign w:val="center"/>
          </w:tcPr>
          <w:p w14:paraId="1E1A7E40" w14:textId="77777777" w:rsidR="00433FD5" w:rsidRPr="00A34F10" w:rsidRDefault="00433FD5" w:rsidP="00433FD5">
            <w:pPr>
              <w:widowControl w:val="0"/>
              <w:spacing w:before="120" w:after="120"/>
              <w:jc w:val="center"/>
              <w:rPr>
                <w:sz w:val="36"/>
              </w:rPr>
            </w:pPr>
            <w:r w:rsidRPr="00A34F10">
              <w:rPr>
                <w:sz w:val="36"/>
              </w:rPr>
              <w:t>Product code: BAS 743 03 F</w:t>
            </w:r>
          </w:p>
          <w:p w14:paraId="796A0E2D" w14:textId="77777777" w:rsidR="00433FD5" w:rsidRPr="00A34F10" w:rsidRDefault="00433FD5" w:rsidP="00433FD5">
            <w:pPr>
              <w:widowControl w:val="0"/>
              <w:spacing w:before="120" w:after="120"/>
              <w:jc w:val="center"/>
              <w:rPr>
                <w:sz w:val="36"/>
              </w:rPr>
            </w:pPr>
            <w:r w:rsidRPr="00A34F10">
              <w:rPr>
                <w:sz w:val="36"/>
              </w:rPr>
              <w:t xml:space="preserve">Product name(s): </w:t>
            </w:r>
            <w:r w:rsidRPr="004B4D5B">
              <w:rPr>
                <w:b/>
                <w:bCs/>
                <w:sz w:val="36"/>
              </w:rPr>
              <w:t>DIVEXO</w:t>
            </w:r>
          </w:p>
          <w:p w14:paraId="74AEC5A3" w14:textId="77777777" w:rsidR="00433FD5" w:rsidRPr="00A34F10" w:rsidRDefault="00433FD5" w:rsidP="00433FD5">
            <w:pPr>
              <w:widowControl w:val="0"/>
              <w:spacing w:before="120" w:after="120"/>
              <w:jc w:val="center"/>
              <w:rPr>
                <w:bCs/>
                <w:sz w:val="32"/>
              </w:rPr>
            </w:pPr>
            <w:r w:rsidRPr="00A34F10">
              <w:rPr>
                <w:bCs/>
                <w:sz w:val="32"/>
              </w:rPr>
              <w:t xml:space="preserve">Chemical active substance(s): </w:t>
            </w:r>
          </w:p>
          <w:p w14:paraId="6FE0F0A1" w14:textId="77777777" w:rsidR="00433FD5" w:rsidRPr="00A34F10" w:rsidRDefault="00433FD5" w:rsidP="00433FD5">
            <w:pPr>
              <w:widowControl w:val="0"/>
              <w:spacing w:before="120" w:after="120"/>
              <w:jc w:val="center"/>
              <w:rPr>
                <w:bCs/>
                <w:sz w:val="32"/>
                <w:szCs w:val="32"/>
              </w:rPr>
            </w:pPr>
            <w:r w:rsidRPr="00A34F10">
              <w:rPr>
                <w:bCs/>
                <w:sz w:val="32"/>
                <w:szCs w:val="32"/>
              </w:rPr>
              <w:t xml:space="preserve">Ametoctradin 120 g/L </w:t>
            </w:r>
          </w:p>
          <w:p w14:paraId="1979FA3C" w14:textId="237C386A" w:rsidR="008D2FEC" w:rsidRPr="00A34F10" w:rsidRDefault="00433FD5" w:rsidP="00433FD5">
            <w:pPr>
              <w:pStyle w:val="RepSubtitle"/>
            </w:pPr>
            <w:r w:rsidRPr="00A34F10">
              <w:rPr>
                <w:szCs w:val="32"/>
              </w:rPr>
              <w:t>Propamocarb hydrochloride 451 g/L</w:t>
            </w:r>
          </w:p>
        </w:tc>
      </w:tr>
      <w:tr w:rsidR="008D2FEC" w:rsidRPr="0004560C" w14:paraId="54FB3BB5" w14:textId="77777777" w:rsidTr="004B4D5B">
        <w:trPr>
          <w:trHeight w:hRule="exact" w:val="1856"/>
        </w:trPr>
        <w:tc>
          <w:tcPr>
            <w:tcW w:w="9513" w:type="dxa"/>
            <w:shd w:val="clear" w:color="auto" w:fill="auto"/>
            <w:vAlign w:val="center"/>
          </w:tcPr>
          <w:p w14:paraId="7EC337FC" w14:textId="77777777" w:rsidR="00433FD5" w:rsidRPr="005A0B61" w:rsidRDefault="00433FD5" w:rsidP="00433FD5">
            <w:pPr>
              <w:pStyle w:val="RepTitle"/>
              <w:rPr>
                <w:lang w:val="fr-FR"/>
              </w:rPr>
            </w:pPr>
            <w:r w:rsidRPr="005A0B61">
              <w:rPr>
                <w:lang w:val="fr-FR"/>
              </w:rPr>
              <w:t>Central Zone</w:t>
            </w:r>
          </w:p>
          <w:p w14:paraId="17A94CFD" w14:textId="2247B3F6" w:rsidR="008D2FEC" w:rsidRPr="005A0B61" w:rsidRDefault="00433FD5" w:rsidP="00433FD5">
            <w:pPr>
              <w:pStyle w:val="RepTitle"/>
              <w:rPr>
                <w:lang w:val="fr-FR"/>
              </w:rPr>
            </w:pPr>
            <w:r w:rsidRPr="005A0B61">
              <w:rPr>
                <w:lang w:val="fr-FR"/>
              </w:rPr>
              <w:t>Zonal Rapporteur Member State: Poland</w:t>
            </w:r>
          </w:p>
        </w:tc>
      </w:tr>
      <w:tr w:rsidR="008D2FEC" w:rsidRPr="00A34F10" w14:paraId="08DF11F7" w14:textId="77777777" w:rsidTr="008D2FEC">
        <w:trPr>
          <w:trHeight w:hRule="exact" w:val="2268"/>
        </w:trPr>
        <w:tc>
          <w:tcPr>
            <w:tcW w:w="9513" w:type="dxa"/>
            <w:shd w:val="clear" w:color="auto" w:fill="auto"/>
            <w:vAlign w:val="center"/>
          </w:tcPr>
          <w:p w14:paraId="2FF66E55" w14:textId="77777777" w:rsidR="00433FD5" w:rsidRPr="004B4D5B" w:rsidRDefault="00433FD5" w:rsidP="00433FD5">
            <w:pPr>
              <w:pStyle w:val="RepTitle"/>
            </w:pPr>
            <w:r w:rsidRPr="004B4D5B">
              <w:t>CORE ASSESSMENT</w:t>
            </w:r>
          </w:p>
          <w:p w14:paraId="1AC168D2" w14:textId="1BF36F0D" w:rsidR="008D2FEC" w:rsidRPr="004B4D5B" w:rsidRDefault="00433FD5" w:rsidP="00433FD5">
            <w:pPr>
              <w:pStyle w:val="RepTitle"/>
            </w:pPr>
            <w:r w:rsidRPr="004B4D5B">
              <w:t>(authorization of product)</w:t>
            </w:r>
          </w:p>
        </w:tc>
      </w:tr>
      <w:tr w:rsidR="008D2FEC" w:rsidRPr="005A0B61" w14:paraId="3C20376B" w14:textId="77777777" w:rsidTr="004B4D5B">
        <w:trPr>
          <w:trHeight w:hRule="exact" w:val="2411"/>
        </w:trPr>
        <w:tc>
          <w:tcPr>
            <w:tcW w:w="9513" w:type="dxa"/>
            <w:shd w:val="clear" w:color="auto" w:fill="auto"/>
            <w:vAlign w:val="center"/>
          </w:tcPr>
          <w:p w14:paraId="70C0E3C1" w14:textId="4AF17BB3" w:rsidR="008D2FEC" w:rsidRPr="004B4D5B" w:rsidRDefault="008D2FEC" w:rsidP="00AA32CE">
            <w:pPr>
              <w:pStyle w:val="RepTitle"/>
            </w:pPr>
            <w:r w:rsidRPr="004B4D5B">
              <w:t xml:space="preserve">Applicant: </w:t>
            </w:r>
            <w:r w:rsidR="00611BDA">
              <w:t>XXXX</w:t>
            </w:r>
          </w:p>
          <w:p w14:paraId="32EE57B4" w14:textId="7C1DC9BA" w:rsidR="008D2FEC" w:rsidRPr="004B4D5B" w:rsidRDefault="008D2FEC" w:rsidP="00AA32CE">
            <w:pPr>
              <w:pStyle w:val="RepTitle"/>
            </w:pPr>
            <w:r w:rsidRPr="004B4D5B">
              <w:t>Submission date:</w:t>
            </w:r>
            <w:r w:rsidR="002F68EF" w:rsidRPr="004B4D5B">
              <w:t xml:space="preserve"> </w:t>
            </w:r>
            <w:r w:rsidR="00A872BB" w:rsidRPr="004B4D5B">
              <w:t>Octo</w:t>
            </w:r>
            <w:r w:rsidR="002F68EF" w:rsidRPr="004B4D5B">
              <w:t xml:space="preserve">ber </w:t>
            </w:r>
            <w:r w:rsidR="00433FD5" w:rsidRPr="004B4D5B">
              <w:t>2023</w:t>
            </w:r>
            <w:r w:rsidR="007D2F30" w:rsidRPr="004B4D5B">
              <w:t xml:space="preserve"> (update April 2024)</w:t>
            </w:r>
          </w:p>
          <w:p w14:paraId="5960BBD0" w14:textId="77777777" w:rsidR="004B4D5B" w:rsidRPr="004B4D5B" w:rsidRDefault="004B4D5B" w:rsidP="004B4D5B">
            <w:pPr>
              <w:pStyle w:val="RepTitle"/>
              <w:rPr>
                <w:b/>
                <w:lang w:val="en-GB"/>
              </w:rPr>
            </w:pPr>
            <w:r w:rsidRPr="004B4D5B">
              <w:rPr>
                <w:lang w:val="en-GB"/>
              </w:rPr>
              <w:t>Evaluation date: May 2024</w:t>
            </w:r>
          </w:p>
          <w:p w14:paraId="74666D0D" w14:textId="41DC36D7" w:rsidR="008D2FEC" w:rsidRPr="004B4D5B" w:rsidRDefault="004B4D5B" w:rsidP="004B4D5B">
            <w:pPr>
              <w:pStyle w:val="RepTitle"/>
              <w:rPr>
                <w:lang w:val="fr-FR"/>
              </w:rPr>
            </w:pPr>
            <w:r w:rsidRPr="004B4D5B">
              <w:rPr>
                <w:lang w:val="en-GB"/>
              </w:rPr>
              <w:t>MS Finalisation date:</w:t>
            </w:r>
            <w:r w:rsidR="00DF4C23">
              <w:rPr>
                <w:lang w:val="en-GB"/>
              </w:rPr>
              <w:t xml:space="preserve"> November 2024</w:t>
            </w:r>
          </w:p>
          <w:p w14:paraId="7CA76024" w14:textId="4D5D9A99" w:rsidR="008A2A3F" w:rsidRPr="004B4D5B" w:rsidRDefault="008A2A3F" w:rsidP="008A2A3F">
            <w:pPr>
              <w:rPr>
                <w:lang w:val="fr-FR"/>
              </w:rPr>
            </w:pPr>
          </w:p>
        </w:tc>
      </w:tr>
    </w:tbl>
    <w:p w14:paraId="3AFAE4E7" w14:textId="77777777" w:rsidR="007D2F30" w:rsidRPr="005A0B61" w:rsidRDefault="007D2F30" w:rsidP="007D2F30">
      <w:pPr>
        <w:rPr>
          <w:lang w:val="fr-FR"/>
        </w:rPr>
        <w:sectPr w:rsidR="007D2F30" w:rsidRPr="005A0B61" w:rsidSect="00D20BDB">
          <w:headerReference w:type="default" r:id="rId11"/>
          <w:footerReference w:type="even" r:id="rId12"/>
          <w:footerReference w:type="first" r:id="rId13"/>
          <w:pgSz w:w="11906" w:h="16838" w:code="9"/>
          <w:pgMar w:top="1418" w:right="1134" w:bottom="1134" w:left="1418" w:header="709" w:footer="709" w:gutter="0"/>
          <w:pgNumType w:chapSep="period"/>
          <w:cols w:space="708"/>
          <w:titlePg/>
          <w:docGrid w:linePitch="360"/>
        </w:sectPr>
      </w:pPr>
    </w:p>
    <w:p w14:paraId="1C0B974D" w14:textId="77777777" w:rsidR="004B4D5B" w:rsidRDefault="004B4D5B" w:rsidP="00AA32CE">
      <w:pPr>
        <w:pStyle w:val="RepTitle"/>
      </w:pPr>
    </w:p>
    <w:p w14:paraId="462C5460" w14:textId="1A7BD79E" w:rsidR="00E83884" w:rsidRPr="00A34F10" w:rsidRDefault="008D2FEC" w:rsidP="00AA32CE">
      <w:pPr>
        <w:pStyle w:val="RepTitle"/>
      </w:pPr>
      <w:r w:rsidRPr="00A34F10">
        <w:t>V</w:t>
      </w:r>
      <w:r w:rsidR="00E83884" w:rsidRPr="00A34F10">
        <w:t xml:space="preserve">ersion </w:t>
      </w:r>
      <w:r w:rsidR="006701D3" w:rsidRPr="00A34F10">
        <w:t>h</w:t>
      </w:r>
      <w:r w:rsidR="00E83884" w:rsidRPr="00A34F10">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A34F10" w14:paraId="54684DB5" w14:textId="77777777" w:rsidTr="00127BD4">
        <w:tc>
          <w:tcPr>
            <w:tcW w:w="796" w:type="pct"/>
            <w:shd w:val="clear" w:color="auto" w:fill="auto"/>
          </w:tcPr>
          <w:p w14:paraId="2DADB447" w14:textId="77777777" w:rsidR="00E83884" w:rsidRPr="00A34F10" w:rsidRDefault="00E83884" w:rsidP="006C550F">
            <w:pPr>
              <w:pStyle w:val="RepTableHeader"/>
              <w:jc w:val="center"/>
              <w:rPr>
                <w:lang w:val="en-GB"/>
              </w:rPr>
            </w:pPr>
            <w:r w:rsidRPr="00A34F10">
              <w:rPr>
                <w:lang w:val="en-GB"/>
              </w:rPr>
              <w:t>When</w:t>
            </w:r>
          </w:p>
        </w:tc>
        <w:tc>
          <w:tcPr>
            <w:tcW w:w="4204" w:type="pct"/>
            <w:shd w:val="clear" w:color="auto" w:fill="auto"/>
          </w:tcPr>
          <w:p w14:paraId="7BE9D39E" w14:textId="77777777" w:rsidR="00E83884" w:rsidRPr="00A34F10" w:rsidRDefault="00E83884" w:rsidP="006C550F">
            <w:pPr>
              <w:pStyle w:val="RepTableHeader"/>
              <w:jc w:val="center"/>
              <w:rPr>
                <w:lang w:val="en-GB"/>
              </w:rPr>
            </w:pPr>
            <w:r w:rsidRPr="00A34F10">
              <w:rPr>
                <w:lang w:val="en-GB"/>
              </w:rPr>
              <w:t>What</w:t>
            </w:r>
          </w:p>
        </w:tc>
      </w:tr>
      <w:tr w:rsidR="00E83884" w:rsidRPr="00A34F10" w14:paraId="3016C9D8" w14:textId="77777777" w:rsidTr="00127BD4">
        <w:tc>
          <w:tcPr>
            <w:tcW w:w="796" w:type="pct"/>
            <w:shd w:val="clear" w:color="auto" w:fill="auto"/>
          </w:tcPr>
          <w:p w14:paraId="4079F597" w14:textId="7D6C6217" w:rsidR="00E83884" w:rsidRPr="00A34F10" w:rsidRDefault="00A872BB" w:rsidP="002442E5">
            <w:pPr>
              <w:pStyle w:val="RepTable"/>
              <w:rPr>
                <w:noProof w:val="0"/>
              </w:rPr>
            </w:pPr>
            <w:r>
              <w:rPr>
                <w:noProof w:val="0"/>
              </w:rPr>
              <w:t>Octo</w:t>
            </w:r>
            <w:r w:rsidR="002F68EF">
              <w:rPr>
                <w:noProof w:val="0"/>
              </w:rPr>
              <w:t xml:space="preserve">ber </w:t>
            </w:r>
            <w:r w:rsidR="002D1096">
              <w:rPr>
                <w:noProof w:val="0"/>
              </w:rPr>
              <w:t>2023</w:t>
            </w:r>
          </w:p>
        </w:tc>
        <w:tc>
          <w:tcPr>
            <w:tcW w:w="4204" w:type="pct"/>
            <w:shd w:val="clear" w:color="auto" w:fill="auto"/>
          </w:tcPr>
          <w:p w14:paraId="21CF7DB8" w14:textId="2AB486F3" w:rsidR="00E83884" w:rsidRPr="00A34F10" w:rsidRDefault="008A2A3F" w:rsidP="008A2A3F">
            <w:pPr>
              <w:pStyle w:val="RepTable"/>
            </w:pPr>
            <w:r w:rsidRPr="00A34F10">
              <w:t xml:space="preserve">Initial dRR – </w:t>
            </w:r>
            <w:r w:rsidR="00482794">
              <w:t>XXXX</w:t>
            </w:r>
            <w:r w:rsidRPr="00A34F10">
              <w:t xml:space="preserve"> DocID 2023/2035810</w:t>
            </w:r>
          </w:p>
        </w:tc>
      </w:tr>
      <w:tr w:rsidR="00E83884" w:rsidRPr="00A34F10" w14:paraId="67B3A00E" w14:textId="77777777" w:rsidTr="00127BD4">
        <w:tc>
          <w:tcPr>
            <w:tcW w:w="796" w:type="pct"/>
            <w:shd w:val="clear" w:color="auto" w:fill="auto"/>
          </w:tcPr>
          <w:p w14:paraId="754A40AD" w14:textId="0D44BBE5" w:rsidR="00E83884" w:rsidRPr="0098238A" w:rsidRDefault="0098238A" w:rsidP="002442E5">
            <w:pPr>
              <w:pStyle w:val="RepTable"/>
              <w:rPr>
                <w:noProof w:val="0"/>
                <w:highlight w:val="green"/>
              </w:rPr>
            </w:pPr>
            <w:r w:rsidRPr="0098238A">
              <w:rPr>
                <w:noProof w:val="0"/>
                <w:highlight w:val="green"/>
              </w:rPr>
              <w:t>April 2024</w:t>
            </w:r>
          </w:p>
        </w:tc>
        <w:tc>
          <w:tcPr>
            <w:tcW w:w="4204" w:type="pct"/>
            <w:shd w:val="clear" w:color="auto" w:fill="auto"/>
          </w:tcPr>
          <w:p w14:paraId="3673C448" w14:textId="3E6D1728" w:rsidR="007D2F30" w:rsidRDefault="007D2F30" w:rsidP="00AA32CE">
            <w:pPr>
              <w:pStyle w:val="RepTable"/>
              <w:rPr>
                <w:highlight w:val="green"/>
              </w:rPr>
            </w:pPr>
            <w:r>
              <w:rPr>
                <w:highlight w:val="green"/>
              </w:rPr>
              <w:t xml:space="preserve">dRR update – </w:t>
            </w:r>
            <w:r w:rsidR="00482794">
              <w:rPr>
                <w:highlight w:val="green"/>
              </w:rPr>
              <w:t>XXXX</w:t>
            </w:r>
            <w:r>
              <w:rPr>
                <w:highlight w:val="green"/>
              </w:rPr>
              <w:t xml:space="preserve"> Doc </w:t>
            </w:r>
            <w:r w:rsidR="00902592">
              <w:rPr>
                <w:highlight w:val="green"/>
              </w:rPr>
              <w:t>ID 2024/2010830</w:t>
            </w:r>
          </w:p>
          <w:p w14:paraId="1B7F981E" w14:textId="77777777" w:rsidR="007D2F30" w:rsidRDefault="007D2F30" w:rsidP="007D2F30">
            <w:pPr>
              <w:pStyle w:val="RepTable"/>
              <w:numPr>
                <w:ilvl w:val="0"/>
                <w:numId w:val="127"/>
              </w:numPr>
              <w:rPr>
                <w:highlight w:val="green"/>
              </w:rPr>
            </w:pPr>
            <w:r>
              <w:rPr>
                <w:highlight w:val="green"/>
              </w:rPr>
              <w:t xml:space="preserve">9.1 Critical GAP and overall conclusions update </w:t>
            </w:r>
          </w:p>
          <w:p w14:paraId="0644A416" w14:textId="77777777" w:rsidR="007D2F30" w:rsidRPr="007D2F30" w:rsidRDefault="007D2F30" w:rsidP="007D2F30">
            <w:pPr>
              <w:pStyle w:val="RepTable"/>
              <w:numPr>
                <w:ilvl w:val="0"/>
                <w:numId w:val="127"/>
              </w:numPr>
              <w:rPr>
                <w:highlight w:val="green"/>
              </w:rPr>
            </w:pPr>
            <w:r>
              <w:rPr>
                <w:highlight w:val="green"/>
              </w:rPr>
              <w:t>9.</w:t>
            </w:r>
            <w:r w:rsidRPr="007D2F30">
              <w:rPr>
                <w:highlight w:val="green"/>
              </w:rPr>
              <w:t>2 Effects on birds update</w:t>
            </w:r>
          </w:p>
          <w:p w14:paraId="1F84E4B1" w14:textId="77777777" w:rsidR="007D2F30" w:rsidRPr="007D2F30" w:rsidRDefault="007D2F30" w:rsidP="007D2F30">
            <w:pPr>
              <w:pStyle w:val="RepTable"/>
              <w:numPr>
                <w:ilvl w:val="0"/>
                <w:numId w:val="127"/>
              </w:numPr>
              <w:rPr>
                <w:highlight w:val="green"/>
              </w:rPr>
            </w:pPr>
            <w:r w:rsidRPr="007D2F30">
              <w:rPr>
                <w:highlight w:val="green"/>
              </w:rPr>
              <w:t>9.3 Effects on terrestrial vertebrates other than birds update</w:t>
            </w:r>
          </w:p>
          <w:p w14:paraId="3CA02B8D" w14:textId="4B1C077F" w:rsidR="00E83884" w:rsidRPr="0098238A" w:rsidRDefault="007D2F30" w:rsidP="007D2F30">
            <w:pPr>
              <w:pStyle w:val="RepTable"/>
              <w:numPr>
                <w:ilvl w:val="0"/>
                <w:numId w:val="127"/>
              </w:numPr>
              <w:rPr>
                <w:highlight w:val="green"/>
              </w:rPr>
            </w:pPr>
            <w:r w:rsidRPr="007D2F30">
              <w:rPr>
                <w:highlight w:val="green"/>
              </w:rPr>
              <w:t>9.6 Effects on bees update</w:t>
            </w:r>
          </w:p>
        </w:tc>
      </w:tr>
      <w:tr w:rsidR="003B4276" w:rsidRPr="00A34F10" w14:paraId="7014CE35" w14:textId="77777777" w:rsidTr="003B4276">
        <w:tc>
          <w:tcPr>
            <w:tcW w:w="796" w:type="pct"/>
            <w:shd w:val="clear" w:color="auto" w:fill="D9D9D9" w:themeFill="background1" w:themeFillShade="D9"/>
            <w:vAlign w:val="center"/>
          </w:tcPr>
          <w:p w14:paraId="71101F23" w14:textId="3F290265" w:rsidR="003B4276" w:rsidRPr="00A34F10" w:rsidRDefault="003B4276" w:rsidP="003B4276">
            <w:pPr>
              <w:pStyle w:val="RepTable"/>
              <w:rPr>
                <w:noProof w:val="0"/>
              </w:rPr>
            </w:pPr>
            <w:r w:rsidRPr="00A46906">
              <w:rPr>
                <w:szCs w:val="20"/>
                <w:lang w:val="en-GB"/>
              </w:rPr>
              <w:t xml:space="preserve"> </w:t>
            </w:r>
            <w:r>
              <w:rPr>
                <w:szCs w:val="20"/>
                <w:lang w:val="en-GB"/>
              </w:rPr>
              <w:t>May 2024</w:t>
            </w:r>
          </w:p>
        </w:tc>
        <w:tc>
          <w:tcPr>
            <w:tcW w:w="4204" w:type="pct"/>
            <w:shd w:val="clear" w:color="auto" w:fill="D9D9D9" w:themeFill="background1" w:themeFillShade="D9"/>
            <w:vAlign w:val="center"/>
          </w:tcPr>
          <w:p w14:paraId="12876AB1" w14:textId="234DA081" w:rsidR="003B4276" w:rsidRPr="00A34F10" w:rsidRDefault="003B4276" w:rsidP="003B4276">
            <w:pPr>
              <w:pStyle w:val="RepTable"/>
            </w:pPr>
            <w:r w:rsidRPr="00A46906">
              <w:rPr>
                <w:szCs w:val="20"/>
                <w:lang w:val="en-GB"/>
              </w:rPr>
              <w:t xml:space="preserve"> zRMS finalised dRR evaluation</w:t>
            </w:r>
          </w:p>
        </w:tc>
      </w:tr>
      <w:tr w:rsidR="003B4276" w:rsidRPr="00A34F10" w14:paraId="7DA2705D" w14:textId="77777777" w:rsidTr="006C550F">
        <w:tc>
          <w:tcPr>
            <w:tcW w:w="796" w:type="pct"/>
            <w:shd w:val="clear" w:color="auto" w:fill="BDD6EE" w:themeFill="accent5" w:themeFillTint="66"/>
          </w:tcPr>
          <w:p w14:paraId="6937B326" w14:textId="0B3BFED9" w:rsidR="003B4276" w:rsidRPr="006C550F" w:rsidRDefault="0004560C" w:rsidP="003B4276">
            <w:pPr>
              <w:pStyle w:val="RepTable"/>
              <w:rPr>
                <w:noProof w:val="0"/>
              </w:rPr>
            </w:pPr>
            <w:r w:rsidRPr="006C550F">
              <w:rPr>
                <w:noProof w:val="0"/>
              </w:rPr>
              <w:t>November 2024</w:t>
            </w:r>
          </w:p>
        </w:tc>
        <w:tc>
          <w:tcPr>
            <w:tcW w:w="4204" w:type="pct"/>
            <w:shd w:val="clear" w:color="auto" w:fill="BDD6EE" w:themeFill="accent5" w:themeFillTint="66"/>
          </w:tcPr>
          <w:p w14:paraId="18E0A83A" w14:textId="11A3C520" w:rsidR="003B4276" w:rsidRPr="006C550F" w:rsidRDefault="00774D88" w:rsidP="003B4276">
            <w:pPr>
              <w:pStyle w:val="RepTable"/>
            </w:pPr>
            <w:r w:rsidRPr="006C550F">
              <w:t>Revised version addressing the comments resived</w:t>
            </w:r>
          </w:p>
        </w:tc>
      </w:tr>
    </w:tbl>
    <w:p w14:paraId="5BBDA1EF" w14:textId="77777777" w:rsidR="00E83884" w:rsidRPr="00A34F10" w:rsidRDefault="00E83884" w:rsidP="00AA32CE">
      <w:pPr>
        <w:pStyle w:val="RepStandard"/>
      </w:pPr>
    </w:p>
    <w:p w14:paraId="14FA3B4C" w14:textId="77777777" w:rsidR="00EB06A7" w:rsidRPr="00A34F10" w:rsidRDefault="00EB06A7" w:rsidP="00EB06A7">
      <w:pPr>
        <w:pStyle w:val="RepSubtitle"/>
        <w:jc w:val="left"/>
      </w:pPr>
    </w:p>
    <w:p w14:paraId="5EC1948B" w14:textId="77777777" w:rsidR="00EB06A7" w:rsidRPr="00A34F10" w:rsidRDefault="00EB06A7" w:rsidP="00EB06A7">
      <w:pPr>
        <w:pStyle w:val="RepSubtitle"/>
        <w:jc w:val="left"/>
      </w:pPr>
    </w:p>
    <w:p w14:paraId="436C92B4" w14:textId="77777777" w:rsidR="00EB06A7" w:rsidRPr="00A34F10" w:rsidRDefault="00EB06A7" w:rsidP="00EB06A7">
      <w:pPr>
        <w:pStyle w:val="RepSubtitle"/>
        <w:jc w:val="left"/>
        <w:sectPr w:rsidR="00EB06A7" w:rsidRPr="00A34F10" w:rsidSect="00D20BDB">
          <w:pgSz w:w="11906" w:h="16838" w:code="9"/>
          <w:pgMar w:top="1418" w:right="1134" w:bottom="1134" w:left="1418" w:header="709" w:footer="709" w:gutter="0"/>
          <w:pgNumType w:chapSep="period"/>
          <w:cols w:space="708"/>
          <w:docGrid w:linePitch="360"/>
        </w:sectPr>
      </w:pPr>
    </w:p>
    <w:p w14:paraId="3744E70C" w14:textId="77777777" w:rsidR="0075737D" w:rsidRPr="00A34F10" w:rsidRDefault="00631197" w:rsidP="00AA32CE">
      <w:pPr>
        <w:pStyle w:val="RepSubtitle"/>
      </w:pPr>
      <w:r w:rsidRPr="00A34F10">
        <w:lastRenderedPageBreak/>
        <w:t>Table</w:t>
      </w:r>
      <w:r w:rsidR="0075737D" w:rsidRPr="00A34F10">
        <w:t xml:space="preserve"> of </w:t>
      </w:r>
      <w:r w:rsidR="002442E5" w:rsidRPr="00A34F10">
        <w:t>C</w:t>
      </w:r>
      <w:r w:rsidR="0075737D" w:rsidRPr="00A34F10">
        <w:t>ontents</w:t>
      </w:r>
    </w:p>
    <w:p w14:paraId="33DB22EB" w14:textId="3BC4ADF9" w:rsidR="00A76A96" w:rsidRDefault="00004682">
      <w:pPr>
        <w:pStyle w:val="Spistreci1"/>
        <w:rPr>
          <w:rFonts w:asciiTheme="minorHAnsi" w:eastAsiaTheme="minorEastAsia" w:hAnsiTheme="minorHAnsi" w:cstheme="minorBidi"/>
          <w:b w:val="0"/>
          <w:kern w:val="2"/>
          <w:sz w:val="22"/>
          <w:szCs w:val="22"/>
          <w:lang w:val="pl-PL" w:eastAsia="pl-PL"/>
          <w14:ligatures w14:val="standardContextual"/>
        </w:rPr>
      </w:pPr>
      <w:r w:rsidRPr="00A34F10">
        <w:rPr>
          <w:lang w:eastAsia="de-DE"/>
        </w:rPr>
        <w:fldChar w:fldCharType="begin"/>
      </w:r>
      <w:r w:rsidR="002B1114" w:rsidRPr="00A34F10">
        <w:instrText xml:space="preserve"> TOC \o "1-4" \h \z \t "Rep Appendix 3;3" </w:instrText>
      </w:r>
      <w:r w:rsidRPr="00A34F10">
        <w:rPr>
          <w:lang w:eastAsia="de-DE"/>
        </w:rPr>
        <w:fldChar w:fldCharType="separate"/>
      </w:r>
      <w:hyperlink w:anchor="_Toc181624933" w:history="1">
        <w:r w:rsidR="00A76A96" w:rsidRPr="00F96670">
          <w:rPr>
            <w:rStyle w:val="Hipercze"/>
          </w:rPr>
          <w:t>9</w:t>
        </w:r>
        <w:r w:rsidR="00A76A96">
          <w:rPr>
            <w:rFonts w:asciiTheme="minorHAnsi" w:eastAsiaTheme="minorEastAsia" w:hAnsiTheme="minorHAnsi" w:cstheme="minorBidi"/>
            <w:b w:val="0"/>
            <w:kern w:val="2"/>
            <w:sz w:val="22"/>
            <w:szCs w:val="22"/>
            <w:lang w:val="pl-PL" w:eastAsia="pl-PL"/>
            <w14:ligatures w14:val="standardContextual"/>
          </w:rPr>
          <w:tab/>
        </w:r>
        <w:r w:rsidR="00A76A96" w:rsidRPr="00F96670">
          <w:rPr>
            <w:rStyle w:val="Hipercze"/>
          </w:rPr>
          <w:t>Ecotoxicology (KCP 10)</w:t>
        </w:r>
        <w:r w:rsidR="00A76A96">
          <w:rPr>
            <w:webHidden/>
          </w:rPr>
          <w:tab/>
        </w:r>
        <w:r w:rsidR="00A76A96">
          <w:rPr>
            <w:webHidden/>
          </w:rPr>
          <w:fldChar w:fldCharType="begin"/>
        </w:r>
        <w:r w:rsidR="00A76A96">
          <w:rPr>
            <w:webHidden/>
          </w:rPr>
          <w:instrText xml:space="preserve"> PAGEREF _Toc181624933 \h </w:instrText>
        </w:r>
        <w:r w:rsidR="00A76A96">
          <w:rPr>
            <w:webHidden/>
          </w:rPr>
        </w:r>
        <w:r w:rsidR="00A76A96">
          <w:rPr>
            <w:webHidden/>
          </w:rPr>
          <w:fldChar w:fldCharType="separate"/>
        </w:r>
        <w:r w:rsidR="00A76A96">
          <w:rPr>
            <w:webHidden/>
          </w:rPr>
          <w:t>6</w:t>
        </w:r>
        <w:r w:rsidR="00A76A96">
          <w:rPr>
            <w:webHidden/>
          </w:rPr>
          <w:fldChar w:fldCharType="end"/>
        </w:r>
      </w:hyperlink>
    </w:p>
    <w:p w14:paraId="78D75314" w14:textId="41422E26"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34" w:history="1">
        <w:r w:rsidRPr="00F96670">
          <w:rPr>
            <w:rStyle w:val="Hipercze"/>
          </w:rPr>
          <w:t>9.1</w:t>
        </w:r>
        <w:r>
          <w:rPr>
            <w:rFonts w:asciiTheme="minorHAnsi" w:eastAsiaTheme="minorEastAsia" w:hAnsiTheme="minorHAnsi" w:cstheme="minorBidi"/>
            <w:kern w:val="2"/>
            <w:sz w:val="22"/>
            <w:lang w:val="pl-PL" w:eastAsia="pl-PL"/>
            <w14:ligatures w14:val="standardContextual"/>
          </w:rPr>
          <w:tab/>
        </w:r>
        <w:r w:rsidRPr="00F96670">
          <w:rPr>
            <w:rStyle w:val="Hipercze"/>
          </w:rPr>
          <w:t>Critical GAP and overall conclusions</w:t>
        </w:r>
        <w:r>
          <w:rPr>
            <w:webHidden/>
          </w:rPr>
          <w:tab/>
        </w:r>
        <w:r>
          <w:rPr>
            <w:webHidden/>
          </w:rPr>
          <w:fldChar w:fldCharType="begin"/>
        </w:r>
        <w:r>
          <w:rPr>
            <w:webHidden/>
          </w:rPr>
          <w:instrText xml:space="preserve"> PAGEREF _Toc181624934 \h </w:instrText>
        </w:r>
        <w:r>
          <w:rPr>
            <w:webHidden/>
          </w:rPr>
        </w:r>
        <w:r>
          <w:rPr>
            <w:webHidden/>
          </w:rPr>
          <w:fldChar w:fldCharType="separate"/>
        </w:r>
        <w:r>
          <w:rPr>
            <w:webHidden/>
          </w:rPr>
          <w:t>7</w:t>
        </w:r>
        <w:r>
          <w:rPr>
            <w:webHidden/>
          </w:rPr>
          <w:fldChar w:fldCharType="end"/>
        </w:r>
      </w:hyperlink>
    </w:p>
    <w:p w14:paraId="779B31EE" w14:textId="0DDA00DA"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35" w:history="1">
        <w:r w:rsidRPr="00F96670">
          <w:rPr>
            <w:rStyle w:val="Hipercze"/>
          </w:rPr>
          <w:t>9.1.1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_Toc181624935 \h </w:instrText>
        </w:r>
        <w:r>
          <w:rPr>
            <w:webHidden/>
          </w:rPr>
        </w:r>
        <w:r>
          <w:rPr>
            <w:webHidden/>
          </w:rPr>
          <w:fldChar w:fldCharType="separate"/>
        </w:r>
        <w:r>
          <w:rPr>
            <w:webHidden/>
          </w:rPr>
          <w:t>11</w:t>
        </w:r>
        <w:r>
          <w:rPr>
            <w:webHidden/>
          </w:rPr>
          <w:fldChar w:fldCharType="end"/>
        </w:r>
      </w:hyperlink>
    </w:p>
    <w:p w14:paraId="17D7677B" w14:textId="52703B23"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36" w:history="1">
        <w:r w:rsidRPr="00F96670">
          <w:rPr>
            <w:rStyle w:val="Hipercze"/>
            <w:lang w:val="en-GB"/>
          </w:rPr>
          <w:t>9.1.1.1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birds (KCP 10.1.1), Effects on terrestrial vertebrates other than birds (KCP 10.1.2), Effects on other terrestrial vertebrate wildlife (reptiles and amphibians) (KCP 10.1.3)</w:t>
        </w:r>
        <w:r>
          <w:rPr>
            <w:webHidden/>
          </w:rPr>
          <w:tab/>
        </w:r>
        <w:r>
          <w:rPr>
            <w:webHidden/>
          </w:rPr>
          <w:fldChar w:fldCharType="begin"/>
        </w:r>
        <w:r>
          <w:rPr>
            <w:webHidden/>
          </w:rPr>
          <w:instrText xml:space="preserve"> PAGEREF _Toc181624936 \h </w:instrText>
        </w:r>
        <w:r>
          <w:rPr>
            <w:webHidden/>
          </w:rPr>
        </w:r>
        <w:r>
          <w:rPr>
            <w:webHidden/>
          </w:rPr>
          <w:fldChar w:fldCharType="separate"/>
        </w:r>
        <w:r>
          <w:rPr>
            <w:webHidden/>
          </w:rPr>
          <w:t>11</w:t>
        </w:r>
        <w:r>
          <w:rPr>
            <w:webHidden/>
          </w:rPr>
          <w:fldChar w:fldCharType="end"/>
        </w:r>
      </w:hyperlink>
    </w:p>
    <w:p w14:paraId="3DA9A270" w14:textId="259FAD4A"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37" w:history="1">
        <w:r w:rsidRPr="00F96670">
          <w:rPr>
            <w:rStyle w:val="Hipercze"/>
            <w:lang w:val="en-GB"/>
          </w:rPr>
          <w:t>9.1.1.2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aquatic organisms (KCP 10.2)</w:t>
        </w:r>
        <w:r>
          <w:rPr>
            <w:webHidden/>
          </w:rPr>
          <w:tab/>
        </w:r>
        <w:r>
          <w:rPr>
            <w:webHidden/>
          </w:rPr>
          <w:fldChar w:fldCharType="begin"/>
        </w:r>
        <w:r>
          <w:rPr>
            <w:webHidden/>
          </w:rPr>
          <w:instrText xml:space="preserve"> PAGEREF _Toc181624937 \h </w:instrText>
        </w:r>
        <w:r>
          <w:rPr>
            <w:webHidden/>
          </w:rPr>
        </w:r>
        <w:r>
          <w:rPr>
            <w:webHidden/>
          </w:rPr>
          <w:fldChar w:fldCharType="separate"/>
        </w:r>
        <w:r>
          <w:rPr>
            <w:webHidden/>
          </w:rPr>
          <w:t>12</w:t>
        </w:r>
        <w:r>
          <w:rPr>
            <w:webHidden/>
          </w:rPr>
          <w:fldChar w:fldCharType="end"/>
        </w:r>
      </w:hyperlink>
    </w:p>
    <w:p w14:paraId="2FC98AD7" w14:textId="3925B2D7"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38" w:history="1">
        <w:r w:rsidRPr="00F96670">
          <w:rPr>
            <w:rStyle w:val="Hipercze"/>
          </w:rPr>
          <w:t>9.1.1.3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Effects on bees (KCP 10.3.1)</w:t>
        </w:r>
        <w:r>
          <w:rPr>
            <w:webHidden/>
          </w:rPr>
          <w:tab/>
        </w:r>
        <w:r>
          <w:rPr>
            <w:webHidden/>
          </w:rPr>
          <w:fldChar w:fldCharType="begin"/>
        </w:r>
        <w:r>
          <w:rPr>
            <w:webHidden/>
          </w:rPr>
          <w:instrText xml:space="preserve"> PAGEREF _Toc181624938 \h </w:instrText>
        </w:r>
        <w:r>
          <w:rPr>
            <w:webHidden/>
          </w:rPr>
        </w:r>
        <w:r>
          <w:rPr>
            <w:webHidden/>
          </w:rPr>
          <w:fldChar w:fldCharType="separate"/>
        </w:r>
        <w:r>
          <w:rPr>
            <w:webHidden/>
          </w:rPr>
          <w:t>13</w:t>
        </w:r>
        <w:r>
          <w:rPr>
            <w:webHidden/>
          </w:rPr>
          <w:fldChar w:fldCharType="end"/>
        </w:r>
      </w:hyperlink>
    </w:p>
    <w:p w14:paraId="61E02003" w14:textId="651AED55"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39" w:history="1">
        <w:r w:rsidRPr="00F96670">
          <w:rPr>
            <w:rStyle w:val="Hipercze"/>
            <w:lang w:val="en-GB"/>
          </w:rPr>
          <w:t>9.1.1.4</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arthropods other than bees (KCP 10.3.2)</w:t>
        </w:r>
        <w:r>
          <w:rPr>
            <w:webHidden/>
          </w:rPr>
          <w:tab/>
        </w:r>
        <w:r>
          <w:rPr>
            <w:webHidden/>
          </w:rPr>
          <w:fldChar w:fldCharType="begin"/>
        </w:r>
        <w:r>
          <w:rPr>
            <w:webHidden/>
          </w:rPr>
          <w:instrText xml:space="preserve"> PAGEREF _Toc181624939 \h </w:instrText>
        </w:r>
        <w:r>
          <w:rPr>
            <w:webHidden/>
          </w:rPr>
        </w:r>
        <w:r>
          <w:rPr>
            <w:webHidden/>
          </w:rPr>
          <w:fldChar w:fldCharType="separate"/>
        </w:r>
        <w:r>
          <w:rPr>
            <w:webHidden/>
          </w:rPr>
          <w:t>13</w:t>
        </w:r>
        <w:r>
          <w:rPr>
            <w:webHidden/>
          </w:rPr>
          <w:fldChar w:fldCharType="end"/>
        </w:r>
      </w:hyperlink>
    </w:p>
    <w:p w14:paraId="6E38FEFC" w14:textId="2E984186"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40" w:history="1">
        <w:r w:rsidRPr="00F96670">
          <w:rPr>
            <w:rStyle w:val="Hipercze"/>
            <w:lang w:val="en-GB"/>
          </w:rPr>
          <w:t>9.1.1.5</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non-target soil meso- and macrofauna (KCP 10.4), Effects on soil microbial activity (KCP 10.5)</w:t>
        </w:r>
        <w:r>
          <w:rPr>
            <w:webHidden/>
          </w:rPr>
          <w:tab/>
        </w:r>
        <w:r>
          <w:rPr>
            <w:webHidden/>
          </w:rPr>
          <w:fldChar w:fldCharType="begin"/>
        </w:r>
        <w:r>
          <w:rPr>
            <w:webHidden/>
          </w:rPr>
          <w:instrText xml:space="preserve"> PAGEREF _Toc181624940 \h </w:instrText>
        </w:r>
        <w:r>
          <w:rPr>
            <w:webHidden/>
          </w:rPr>
        </w:r>
        <w:r>
          <w:rPr>
            <w:webHidden/>
          </w:rPr>
          <w:fldChar w:fldCharType="separate"/>
        </w:r>
        <w:r>
          <w:rPr>
            <w:webHidden/>
          </w:rPr>
          <w:t>14</w:t>
        </w:r>
        <w:r>
          <w:rPr>
            <w:webHidden/>
          </w:rPr>
          <w:fldChar w:fldCharType="end"/>
        </w:r>
      </w:hyperlink>
    </w:p>
    <w:p w14:paraId="1B9AF8F8" w14:textId="7BAA161B"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41" w:history="1">
        <w:r w:rsidRPr="00F96670">
          <w:rPr>
            <w:rStyle w:val="Hipercze"/>
            <w:lang w:val="en-GB"/>
          </w:rPr>
          <w:t>9.1.1.6</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non-target terrestrial plants (KCP 10.6)</w:t>
        </w:r>
        <w:r>
          <w:rPr>
            <w:webHidden/>
          </w:rPr>
          <w:tab/>
        </w:r>
        <w:r>
          <w:rPr>
            <w:webHidden/>
          </w:rPr>
          <w:fldChar w:fldCharType="begin"/>
        </w:r>
        <w:r>
          <w:rPr>
            <w:webHidden/>
          </w:rPr>
          <w:instrText xml:space="preserve"> PAGEREF _Toc181624941 \h </w:instrText>
        </w:r>
        <w:r>
          <w:rPr>
            <w:webHidden/>
          </w:rPr>
        </w:r>
        <w:r>
          <w:rPr>
            <w:webHidden/>
          </w:rPr>
          <w:fldChar w:fldCharType="separate"/>
        </w:r>
        <w:r>
          <w:rPr>
            <w:webHidden/>
          </w:rPr>
          <w:t>14</w:t>
        </w:r>
        <w:r>
          <w:rPr>
            <w:webHidden/>
          </w:rPr>
          <w:fldChar w:fldCharType="end"/>
        </w:r>
      </w:hyperlink>
    </w:p>
    <w:p w14:paraId="234DF978" w14:textId="22834B41"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42" w:history="1">
        <w:r w:rsidRPr="00F96670">
          <w:rPr>
            <w:rStyle w:val="Hipercze"/>
            <w:lang w:val="en-GB"/>
          </w:rPr>
          <w:t>9.1.1.7</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on other terrestrial organisms (flora and fauna) (KCP 10.7)</w:t>
        </w:r>
        <w:r>
          <w:rPr>
            <w:webHidden/>
          </w:rPr>
          <w:tab/>
        </w:r>
        <w:r>
          <w:rPr>
            <w:webHidden/>
          </w:rPr>
          <w:fldChar w:fldCharType="begin"/>
        </w:r>
        <w:r>
          <w:rPr>
            <w:webHidden/>
          </w:rPr>
          <w:instrText xml:space="preserve"> PAGEREF _Toc181624942 \h </w:instrText>
        </w:r>
        <w:r>
          <w:rPr>
            <w:webHidden/>
          </w:rPr>
        </w:r>
        <w:r>
          <w:rPr>
            <w:webHidden/>
          </w:rPr>
          <w:fldChar w:fldCharType="separate"/>
        </w:r>
        <w:r>
          <w:rPr>
            <w:webHidden/>
          </w:rPr>
          <w:t>15</w:t>
        </w:r>
        <w:r>
          <w:rPr>
            <w:webHidden/>
          </w:rPr>
          <w:fldChar w:fldCharType="end"/>
        </w:r>
      </w:hyperlink>
    </w:p>
    <w:p w14:paraId="01682CFD" w14:textId="50363BF7"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43" w:history="1">
        <w:r w:rsidRPr="00F96670">
          <w:rPr>
            <w:rStyle w:val="Hipercze"/>
          </w:rPr>
          <w:t>9.1.2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Grouping of intended uses for risk assessment</w:t>
        </w:r>
        <w:r>
          <w:rPr>
            <w:webHidden/>
          </w:rPr>
          <w:tab/>
        </w:r>
        <w:r>
          <w:rPr>
            <w:webHidden/>
          </w:rPr>
          <w:fldChar w:fldCharType="begin"/>
        </w:r>
        <w:r>
          <w:rPr>
            <w:webHidden/>
          </w:rPr>
          <w:instrText xml:space="preserve"> PAGEREF _Toc181624943 \h </w:instrText>
        </w:r>
        <w:r>
          <w:rPr>
            <w:webHidden/>
          </w:rPr>
        </w:r>
        <w:r>
          <w:rPr>
            <w:webHidden/>
          </w:rPr>
          <w:fldChar w:fldCharType="separate"/>
        </w:r>
        <w:r>
          <w:rPr>
            <w:webHidden/>
          </w:rPr>
          <w:t>15</w:t>
        </w:r>
        <w:r>
          <w:rPr>
            <w:webHidden/>
          </w:rPr>
          <w:fldChar w:fldCharType="end"/>
        </w:r>
      </w:hyperlink>
    </w:p>
    <w:p w14:paraId="1492A8D3" w14:textId="3AC4929D"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44" w:history="1">
        <w:r w:rsidRPr="00F96670">
          <w:rPr>
            <w:rStyle w:val="Hipercze"/>
          </w:rPr>
          <w:t>9.1.3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Consideration of metabolites</w:t>
        </w:r>
        <w:r>
          <w:rPr>
            <w:webHidden/>
          </w:rPr>
          <w:tab/>
        </w:r>
        <w:r>
          <w:rPr>
            <w:webHidden/>
          </w:rPr>
          <w:fldChar w:fldCharType="begin"/>
        </w:r>
        <w:r>
          <w:rPr>
            <w:webHidden/>
          </w:rPr>
          <w:instrText xml:space="preserve"> PAGEREF _Toc181624944 \h </w:instrText>
        </w:r>
        <w:r>
          <w:rPr>
            <w:webHidden/>
          </w:rPr>
        </w:r>
        <w:r>
          <w:rPr>
            <w:webHidden/>
          </w:rPr>
          <w:fldChar w:fldCharType="separate"/>
        </w:r>
        <w:r>
          <w:rPr>
            <w:webHidden/>
          </w:rPr>
          <w:t>16</w:t>
        </w:r>
        <w:r>
          <w:rPr>
            <w:webHidden/>
          </w:rPr>
          <w:fldChar w:fldCharType="end"/>
        </w:r>
      </w:hyperlink>
    </w:p>
    <w:p w14:paraId="596361FF" w14:textId="7EBE133F"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45" w:history="1">
        <w:r w:rsidRPr="00F96670">
          <w:rPr>
            <w:rStyle w:val="Hipercze"/>
          </w:rPr>
          <w:t>9.2</w:t>
        </w:r>
        <w:r>
          <w:rPr>
            <w:rFonts w:asciiTheme="minorHAnsi" w:eastAsiaTheme="minorEastAsia" w:hAnsiTheme="minorHAnsi" w:cstheme="minorBidi"/>
            <w:kern w:val="2"/>
            <w:sz w:val="22"/>
            <w:lang w:val="pl-PL" w:eastAsia="pl-PL"/>
            <w14:ligatures w14:val="standardContextual"/>
          </w:rPr>
          <w:tab/>
        </w:r>
        <w:r w:rsidRPr="00F96670">
          <w:rPr>
            <w:rStyle w:val="Hipercze"/>
          </w:rPr>
          <w:t>Effects on birds (KCP 10.1.1)</w:t>
        </w:r>
        <w:r>
          <w:rPr>
            <w:webHidden/>
          </w:rPr>
          <w:tab/>
        </w:r>
        <w:r>
          <w:rPr>
            <w:webHidden/>
          </w:rPr>
          <w:fldChar w:fldCharType="begin"/>
        </w:r>
        <w:r>
          <w:rPr>
            <w:webHidden/>
          </w:rPr>
          <w:instrText xml:space="preserve"> PAGEREF _Toc181624945 \h </w:instrText>
        </w:r>
        <w:r>
          <w:rPr>
            <w:webHidden/>
          </w:rPr>
        </w:r>
        <w:r>
          <w:rPr>
            <w:webHidden/>
          </w:rPr>
          <w:fldChar w:fldCharType="separate"/>
        </w:r>
        <w:r>
          <w:rPr>
            <w:webHidden/>
          </w:rPr>
          <w:t>18</w:t>
        </w:r>
        <w:r>
          <w:rPr>
            <w:webHidden/>
          </w:rPr>
          <w:fldChar w:fldCharType="end"/>
        </w:r>
      </w:hyperlink>
    </w:p>
    <w:p w14:paraId="54B35395" w14:textId="4808C363"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46" w:history="1">
        <w:r w:rsidRPr="00F96670">
          <w:rPr>
            <w:rStyle w:val="Hipercze"/>
          </w:rPr>
          <w:t>9.2.1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_Toc181624946 \h </w:instrText>
        </w:r>
        <w:r>
          <w:rPr>
            <w:webHidden/>
          </w:rPr>
        </w:r>
        <w:r>
          <w:rPr>
            <w:webHidden/>
          </w:rPr>
          <w:fldChar w:fldCharType="separate"/>
        </w:r>
        <w:r>
          <w:rPr>
            <w:webHidden/>
          </w:rPr>
          <w:t>18</w:t>
        </w:r>
        <w:r>
          <w:rPr>
            <w:webHidden/>
          </w:rPr>
          <w:fldChar w:fldCharType="end"/>
        </w:r>
      </w:hyperlink>
    </w:p>
    <w:p w14:paraId="7E9A587C" w14:textId="39D0B4D5"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47" w:history="1">
        <w:r w:rsidRPr="00F96670">
          <w:rPr>
            <w:rStyle w:val="Hipercze"/>
            <w:lang w:val="en-GB"/>
          </w:rPr>
          <w:t>9.2.1.1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Justification for new endpoints</w:t>
        </w:r>
        <w:r>
          <w:rPr>
            <w:webHidden/>
          </w:rPr>
          <w:tab/>
        </w:r>
        <w:r>
          <w:rPr>
            <w:webHidden/>
          </w:rPr>
          <w:fldChar w:fldCharType="begin"/>
        </w:r>
        <w:r>
          <w:rPr>
            <w:webHidden/>
          </w:rPr>
          <w:instrText xml:space="preserve"> PAGEREF _Toc181624947 \h </w:instrText>
        </w:r>
        <w:r>
          <w:rPr>
            <w:webHidden/>
          </w:rPr>
        </w:r>
        <w:r>
          <w:rPr>
            <w:webHidden/>
          </w:rPr>
          <w:fldChar w:fldCharType="separate"/>
        </w:r>
        <w:r>
          <w:rPr>
            <w:webHidden/>
          </w:rPr>
          <w:t>23</w:t>
        </w:r>
        <w:r>
          <w:rPr>
            <w:webHidden/>
          </w:rPr>
          <w:fldChar w:fldCharType="end"/>
        </w:r>
      </w:hyperlink>
    </w:p>
    <w:p w14:paraId="024199B1" w14:textId="497A0FE1"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48" w:history="1">
        <w:r w:rsidRPr="00F96670">
          <w:rPr>
            <w:rStyle w:val="Hipercze"/>
          </w:rPr>
          <w:t>9.2.2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 for spray applications</w:t>
        </w:r>
        <w:r>
          <w:rPr>
            <w:webHidden/>
          </w:rPr>
          <w:tab/>
        </w:r>
        <w:r>
          <w:rPr>
            <w:webHidden/>
          </w:rPr>
          <w:fldChar w:fldCharType="begin"/>
        </w:r>
        <w:r>
          <w:rPr>
            <w:webHidden/>
          </w:rPr>
          <w:instrText xml:space="preserve"> PAGEREF _Toc181624948 \h </w:instrText>
        </w:r>
        <w:r>
          <w:rPr>
            <w:webHidden/>
          </w:rPr>
        </w:r>
        <w:r>
          <w:rPr>
            <w:webHidden/>
          </w:rPr>
          <w:fldChar w:fldCharType="separate"/>
        </w:r>
        <w:r>
          <w:rPr>
            <w:webHidden/>
          </w:rPr>
          <w:t>23</w:t>
        </w:r>
        <w:r>
          <w:rPr>
            <w:webHidden/>
          </w:rPr>
          <w:fldChar w:fldCharType="end"/>
        </w:r>
      </w:hyperlink>
    </w:p>
    <w:p w14:paraId="29B1CC88" w14:textId="094AAA44"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49" w:history="1">
        <w:r w:rsidRPr="00F96670">
          <w:rPr>
            <w:rStyle w:val="Hipercze"/>
            <w:lang w:val="en-GB"/>
          </w:rPr>
          <w:t>9.2.2.1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First-tier assessment (screening/generic focal species)</w:t>
        </w:r>
        <w:r>
          <w:rPr>
            <w:webHidden/>
          </w:rPr>
          <w:tab/>
        </w:r>
        <w:r>
          <w:rPr>
            <w:webHidden/>
          </w:rPr>
          <w:fldChar w:fldCharType="begin"/>
        </w:r>
        <w:r>
          <w:rPr>
            <w:webHidden/>
          </w:rPr>
          <w:instrText xml:space="preserve"> PAGEREF _Toc181624949 \h </w:instrText>
        </w:r>
        <w:r>
          <w:rPr>
            <w:webHidden/>
          </w:rPr>
        </w:r>
        <w:r>
          <w:rPr>
            <w:webHidden/>
          </w:rPr>
          <w:fldChar w:fldCharType="separate"/>
        </w:r>
        <w:r>
          <w:rPr>
            <w:webHidden/>
          </w:rPr>
          <w:t>23</w:t>
        </w:r>
        <w:r>
          <w:rPr>
            <w:webHidden/>
          </w:rPr>
          <w:fldChar w:fldCharType="end"/>
        </w:r>
      </w:hyperlink>
    </w:p>
    <w:p w14:paraId="25003DD9" w14:textId="2386EDE2"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50" w:history="1">
        <w:r w:rsidRPr="00F96670">
          <w:rPr>
            <w:rStyle w:val="Hipercze"/>
            <w:lang w:val="en-GB"/>
          </w:rPr>
          <w:t>9.2.2.2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Higher-tier risk assessment</w:t>
        </w:r>
        <w:r>
          <w:rPr>
            <w:webHidden/>
          </w:rPr>
          <w:tab/>
        </w:r>
        <w:r>
          <w:rPr>
            <w:webHidden/>
          </w:rPr>
          <w:fldChar w:fldCharType="begin"/>
        </w:r>
        <w:r>
          <w:rPr>
            <w:webHidden/>
          </w:rPr>
          <w:instrText xml:space="preserve"> PAGEREF _Toc181624950 \h </w:instrText>
        </w:r>
        <w:r>
          <w:rPr>
            <w:webHidden/>
          </w:rPr>
        </w:r>
        <w:r>
          <w:rPr>
            <w:webHidden/>
          </w:rPr>
          <w:fldChar w:fldCharType="separate"/>
        </w:r>
        <w:r>
          <w:rPr>
            <w:webHidden/>
          </w:rPr>
          <w:t>31</w:t>
        </w:r>
        <w:r>
          <w:rPr>
            <w:webHidden/>
          </w:rPr>
          <w:fldChar w:fldCharType="end"/>
        </w:r>
      </w:hyperlink>
    </w:p>
    <w:p w14:paraId="15518068" w14:textId="19A31E7D"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51" w:history="1">
        <w:r w:rsidRPr="00F96670">
          <w:rPr>
            <w:rStyle w:val="Hipercze"/>
            <w:lang w:val="en-GB"/>
          </w:rPr>
          <w:t>9.2.2.3</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Drinking water exposure</w:t>
        </w:r>
        <w:r>
          <w:rPr>
            <w:webHidden/>
          </w:rPr>
          <w:tab/>
        </w:r>
        <w:r>
          <w:rPr>
            <w:webHidden/>
          </w:rPr>
          <w:fldChar w:fldCharType="begin"/>
        </w:r>
        <w:r>
          <w:rPr>
            <w:webHidden/>
          </w:rPr>
          <w:instrText xml:space="preserve"> PAGEREF _Toc181624951 \h </w:instrText>
        </w:r>
        <w:r>
          <w:rPr>
            <w:webHidden/>
          </w:rPr>
        </w:r>
        <w:r>
          <w:rPr>
            <w:webHidden/>
          </w:rPr>
          <w:fldChar w:fldCharType="separate"/>
        </w:r>
        <w:r>
          <w:rPr>
            <w:webHidden/>
          </w:rPr>
          <w:t>35</w:t>
        </w:r>
        <w:r>
          <w:rPr>
            <w:webHidden/>
          </w:rPr>
          <w:fldChar w:fldCharType="end"/>
        </w:r>
      </w:hyperlink>
    </w:p>
    <w:p w14:paraId="72B7CFB3" w14:textId="5B7D8A17"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52" w:history="1">
        <w:r w:rsidRPr="00F96670">
          <w:rPr>
            <w:rStyle w:val="Hipercze"/>
            <w:lang w:val="en-GB"/>
          </w:rPr>
          <w:t>9.2.2.4</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of secondary poisoning</w:t>
        </w:r>
        <w:r>
          <w:rPr>
            <w:webHidden/>
          </w:rPr>
          <w:tab/>
        </w:r>
        <w:r>
          <w:rPr>
            <w:webHidden/>
          </w:rPr>
          <w:fldChar w:fldCharType="begin"/>
        </w:r>
        <w:r>
          <w:rPr>
            <w:webHidden/>
          </w:rPr>
          <w:instrText xml:space="preserve"> PAGEREF _Toc181624952 \h </w:instrText>
        </w:r>
        <w:r>
          <w:rPr>
            <w:webHidden/>
          </w:rPr>
        </w:r>
        <w:r>
          <w:rPr>
            <w:webHidden/>
          </w:rPr>
          <w:fldChar w:fldCharType="separate"/>
        </w:r>
        <w:r>
          <w:rPr>
            <w:webHidden/>
          </w:rPr>
          <w:t>37</w:t>
        </w:r>
        <w:r>
          <w:rPr>
            <w:webHidden/>
          </w:rPr>
          <w:fldChar w:fldCharType="end"/>
        </w:r>
      </w:hyperlink>
    </w:p>
    <w:p w14:paraId="10A7EF88" w14:textId="3D749F29"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53" w:history="1">
        <w:r w:rsidRPr="00F96670">
          <w:rPr>
            <w:rStyle w:val="Hipercze"/>
            <w:lang w:val="en-GB"/>
          </w:rPr>
          <w:t>9.2.2.5</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Biomagnification in terrestrial food chains</w:t>
        </w:r>
        <w:r>
          <w:rPr>
            <w:webHidden/>
          </w:rPr>
          <w:tab/>
        </w:r>
        <w:r>
          <w:rPr>
            <w:webHidden/>
          </w:rPr>
          <w:fldChar w:fldCharType="begin"/>
        </w:r>
        <w:r>
          <w:rPr>
            <w:webHidden/>
          </w:rPr>
          <w:instrText xml:space="preserve"> PAGEREF _Toc181624953 \h </w:instrText>
        </w:r>
        <w:r>
          <w:rPr>
            <w:webHidden/>
          </w:rPr>
        </w:r>
        <w:r>
          <w:rPr>
            <w:webHidden/>
          </w:rPr>
          <w:fldChar w:fldCharType="separate"/>
        </w:r>
        <w:r>
          <w:rPr>
            <w:webHidden/>
          </w:rPr>
          <w:t>38</w:t>
        </w:r>
        <w:r>
          <w:rPr>
            <w:webHidden/>
          </w:rPr>
          <w:fldChar w:fldCharType="end"/>
        </w:r>
      </w:hyperlink>
    </w:p>
    <w:p w14:paraId="159CDE4B" w14:textId="774DAE78"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54" w:history="1">
        <w:r w:rsidRPr="00F96670">
          <w:rPr>
            <w:rStyle w:val="Hipercze"/>
          </w:rPr>
          <w:t>9.2.3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 for baits, pellets, granules, prills or treated seed</w:t>
        </w:r>
        <w:r>
          <w:rPr>
            <w:webHidden/>
          </w:rPr>
          <w:tab/>
        </w:r>
        <w:r>
          <w:rPr>
            <w:webHidden/>
          </w:rPr>
          <w:fldChar w:fldCharType="begin"/>
        </w:r>
        <w:r>
          <w:rPr>
            <w:webHidden/>
          </w:rPr>
          <w:instrText xml:space="preserve"> PAGEREF _Toc181624954 \h </w:instrText>
        </w:r>
        <w:r>
          <w:rPr>
            <w:webHidden/>
          </w:rPr>
        </w:r>
        <w:r>
          <w:rPr>
            <w:webHidden/>
          </w:rPr>
          <w:fldChar w:fldCharType="separate"/>
        </w:r>
        <w:r>
          <w:rPr>
            <w:webHidden/>
          </w:rPr>
          <w:t>39</w:t>
        </w:r>
        <w:r>
          <w:rPr>
            <w:webHidden/>
          </w:rPr>
          <w:fldChar w:fldCharType="end"/>
        </w:r>
      </w:hyperlink>
    </w:p>
    <w:p w14:paraId="3E08AB54" w14:textId="44EB59DD"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55" w:history="1">
        <w:r w:rsidRPr="00F96670">
          <w:rPr>
            <w:rStyle w:val="Hipercze"/>
          </w:rPr>
          <w:t>9.2.4</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_Toc181624955 \h </w:instrText>
        </w:r>
        <w:r>
          <w:rPr>
            <w:webHidden/>
          </w:rPr>
        </w:r>
        <w:r>
          <w:rPr>
            <w:webHidden/>
          </w:rPr>
          <w:fldChar w:fldCharType="separate"/>
        </w:r>
        <w:r>
          <w:rPr>
            <w:webHidden/>
          </w:rPr>
          <w:t>39</w:t>
        </w:r>
        <w:r>
          <w:rPr>
            <w:webHidden/>
          </w:rPr>
          <w:fldChar w:fldCharType="end"/>
        </w:r>
      </w:hyperlink>
    </w:p>
    <w:p w14:paraId="6DA18550" w14:textId="01BD352D"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56" w:history="1">
        <w:r w:rsidRPr="00F96670">
          <w:rPr>
            <w:rStyle w:val="Hipercze"/>
          </w:rPr>
          <w:t>9.3</w:t>
        </w:r>
        <w:r>
          <w:rPr>
            <w:rFonts w:asciiTheme="minorHAnsi" w:eastAsiaTheme="minorEastAsia" w:hAnsiTheme="minorHAnsi" w:cstheme="minorBidi"/>
            <w:kern w:val="2"/>
            <w:sz w:val="22"/>
            <w:lang w:val="pl-PL" w:eastAsia="pl-PL"/>
            <w14:ligatures w14:val="standardContextual"/>
          </w:rPr>
          <w:tab/>
        </w:r>
        <w:r w:rsidRPr="00F96670">
          <w:rPr>
            <w:rStyle w:val="Hipercze"/>
          </w:rPr>
          <w:t>Effects on terrestrial vertebrates other than birds (KCP 10.1.2)</w:t>
        </w:r>
        <w:r>
          <w:rPr>
            <w:webHidden/>
          </w:rPr>
          <w:tab/>
        </w:r>
        <w:r>
          <w:rPr>
            <w:webHidden/>
          </w:rPr>
          <w:fldChar w:fldCharType="begin"/>
        </w:r>
        <w:r>
          <w:rPr>
            <w:webHidden/>
          </w:rPr>
          <w:instrText xml:space="preserve"> PAGEREF _Toc181624956 \h </w:instrText>
        </w:r>
        <w:r>
          <w:rPr>
            <w:webHidden/>
          </w:rPr>
        </w:r>
        <w:r>
          <w:rPr>
            <w:webHidden/>
          </w:rPr>
          <w:fldChar w:fldCharType="separate"/>
        </w:r>
        <w:r>
          <w:rPr>
            <w:webHidden/>
          </w:rPr>
          <w:t>40</w:t>
        </w:r>
        <w:r>
          <w:rPr>
            <w:webHidden/>
          </w:rPr>
          <w:fldChar w:fldCharType="end"/>
        </w:r>
      </w:hyperlink>
    </w:p>
    <w:p w14:paraId="6884390F" w14:textId="2529185C"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57" w:history="1">
        <w:r w:rsidRPr="00F96670">
          <w:rPr>
            <w:rStyle w:val="Hipercze"/>
          </w:rPr>
          <w:t>9.3.1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_Toc181624957 \h </w:instrText>
        </w:r>
        <w:r>
          <w:rPr>
            <w:webHidden/>
          </w:rPr>
        </w:r>
        <w:r>
          <w:rPr>
            <w:webHidden/>
          </w:rPr>
          <w:fldChar w:fldCharType="separate"/>
        </w:r>
        <w:r>
          <w:rPr>
            <w:webHidden/>
          </w:rPr>
          <w:t>40</w:t>
        </w:r>
        <w:r>
          <w:rPr>
            <w:webHidden/>
          </w:rPr>
          <w:fldChar w:fldCharType="end"/>
        </w:r>
      </w:hyperlink>
    </w:p>
    <w:p w14:paraId="338DDCFA" w14:textId="3268DEB9"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58" w:history="1">
        <w:r w:rsidRPr="00F96670">
          <w:rPr>
            <w:rStyle w:val="Hipercze"/>
            <w:lang w:val="en-GB"/>
          </w:rPr>
          <w:t>9.3.1.1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Justification for new endpoints</w:t>
        </w:r>
        <w:r>
          <w:rPr>
            <w:webHidden/>
          </w:rPr>
          <w:tab/>
        </w:r>
        <w:r>
          <w:rPr>
            <w:webHidden/>
          </w:rPr>
          <w:fldChar w:fldCharType="begin"/>
        </w:r>
        <w:r>
          <w:rPr>
            <w:webHidden/>
          </w:rPr>
          <w:instrText xml:space="preserve"> PAGEREF _Toc181624958 \h </w:instrText>
        </w:r>
        <w:r>
          <w:rPr>
            <w:webHidden/>
          </w:rPr>
        </w:r>
        <w:r>
          <w:rPr>
            <w:webHidden/>
          </w:rPr>
          <w:fldChar w:fldCharType="separate"/>
        </w:r>
        <w:r>
          <w:rPr>
            <w:webHidden/>
          </w:rPr>
          <w:t>44</w:t>
        </w:r>
        <w:r>
          <w:rPr>
            <w:webHidden/>
          </w:rPr>
          <w:fldChar w:fldCharType="end"/>
        </w:r>
      </w:hyperlink>
    </w:p>
    <w:p w14:paraId="64632534" w14:textId="35A9A693"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59" w:history="1">
        <w:r w:rsidRPr="00F96670">
          <w:rPr>
            <w:rStyle w:val="Hipercze"/>
          </w:rPr>
          <w:t>9.3.2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 for spray applications</w:t>
        </w:r>
        <w:r>
          <w:rPr>
            <w:webHidden/>
          </w:rPr>
          <w:tab/>
        </w:r>
        <w:r>
          <w:rPr>
            <w:webHidden/>
          </w:rPr>
          <w:fldChar w:fldCharType="begin"/>
        </w:r>
        <w:r>
          <w:rPr>
            <w:webHidden/>
          </w:rPr>
          <w:instrText xml:space="preserve"> PAGEREF _Toc181624959 \h </w:instrText>
        </w:r>
        <w:r>
          <w:rPr>
            <w:webHidden/>
          </w:rPr>
        </w:r>
        <w:r>
          <w:rPr>
            <w:webHidden/>
          </w:rPr>
          <w:fldChar w:fldCharType="separate"/>
        </w:r>
        <w:r>
          <w:rPr>
            <w:webHidden/>
          </w:rPr>
          <w:t>44</w:t>
        </w:r>
        <w:r>
          <w:rPr>
            <w:webHidden/>
          </w:rPr>
          <w:fldChar w:fldCharType="end"/>
        </w:r>
      </w:hyperlink>
    </w:p>
    <w:p w14:paraId="4A97398C" w14:textId="29960559"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60" w:history="1">
        <w:r w:rsidRPr="00F96670">
          <w:rPr>
            <w:rStyle w:val="Hipercze"/>
            <w:lang w:val="en-GB"/>
          </w:rPr>
          <w:t>9.3.2.1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First-tier assessment (screening/generic focal species)</w:t>
        </w:r>
        <w:r>
          <w:rPr>
            <w:webHidden/>
          </w:rPr>
          <w:tab/>
        </w:r>
        <w:r>
          <w:rPr>
            <w:webHidden/>
          </w:rPr>
          <w:fldChar w:fldCharType="begin"/>
        </w:r>
        <w:r>
          <w:rPr>
            <w:webHidden/>
          </w:rPr>
          <w:instrText xml:space="preserve"> PAGEREF _Toc181624960 \h </w:instrText>
        </w:r>
        <w:r>
          <w:rPr>
            <w:webHidden/>
          </w:rPr>
        </w:r>
        <w:r>
          <w:rPr>
            <w:webHidden/>
          </w:rPr>
          <w:fldChar w:fldCharType="separate"/>
        </w:r>
        <w:r>
          <w:rPr>
            <w:webHidden/>
          </w:rPr>
          <w:t>44</w:t>
        </w:r>
        <w:r>
          <w:rPr>
            <w:webHidden/>
          </w:rPr>
          <w:fldChar w:fldCharType="end"/>
        </w:r>
      </w:hyperlink>
    </w:p>
    <w:p w14:paraId="26877ACA" w14:textId="2BE8A580"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61" w:history="1">
        <w:r w:rsidRPr="00F96670">
          <w:rPr>
            <w:rStyle w:val="Hipercze"/>
            <w:lang w:val="en-GB"/>
          </w:rPr>
          <w:t>9.3.2.2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Higher-tier risk assessment</w:t>
        </w:r>
        <w:r>
          <w:rPr>
            <w:webHidden/>
          </w:rPr>
          <w:tab/>
        </w:r>
        <w:r>
          <w:rPr>
            <w:webHidden/>
          </w:rPr>
          <w:fldChar w:fldCharType="begin"/>
        </w:r>
        <w:r>
          <w:rPr>
            <w:webHidden/>
          </w:rPr>
          <w:instrText xml:space="preserve"> PAGEREF _Toc181624961 \h </w:instrText>
        </w:r>
        <w:r>
          <w:rPr>
            <w:webHidden/>
          </w:rPr>
        </w:r>
        <w:r>
          <w:rPr>
            <w:webHidden/>
          </w:rPr>
          <w:fldChar w:fldCharType="separate"/>
        </w:r>
        <w:r>
          <w:rPr>
            <w:webHidden/>
          </w:rPr>
          <w:t>55</w:t>
        </w:r>
        <w:r>
          <w:rPr>
            <w:webHidden/>
          </w:rPr>
          <w:fldChar w:fldCharType="end"/>
        </w:r>
      </w:hyperlink>
    </w:p>
    <w:p w14:paraId="367E6370" w14:textId="2064CE5E"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62" w:history="1">
        <w:r w:rsidRPr="00F96670">
          <w:rPr>
            <w:rStyle w:val="Hipercze"/>
            <w:lang w:val="en-GB"/>
          </w:rPr>
          <w:t>9.3.2.3</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Drinking water exposure</w:t>
        </w:r>
        <w:r>
          <w:rPr>
            <w:webHidden/>
          </w:rPr>
          <w:tab/>
        </w:r>
        <w:r>
          <w:rPr>
            <w:webHidden/>
          </w:rPr>
          <w:fldChar w:fldCharType="begin"/>
        </w:r>
        <w:r>
          <w:rPr>
            <w:webHidden/>
          </w:rPr>
          <w:instrText xml:space="preserve"> PAGEREF _Toc181624962 \h </w:instrText>
        </w:r>
        <w:r>
          <w:rPr>
            <w:webHidden/>
          </w:rPr>
        </w:r>
        <w:r>
          <w:rPr>
            <w:webHidden/>
          </w:rPr>
          <w:fldChar w:fldCharType="separate"/>
        </w:r>
        <w:r>
          <w:rPr>
            <w:webHidden/>
          </w:rPr>
          <w:t>66</w:t>
        </w:r>
        <w:r>
          <w:rPr>
            <w:webHidden/>
          </w:rPr>
          <w:fldChar w:fldCharType="end"/>
        </w:r>
      </w:hyperlink>
    </w:p>
    <w:p w14:paraId="29B9812D" w14:textId="097FBA69"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63" w:history="1">
        <w:r w:rsidRPr="00F96670">
          <w:rPr>
            <w:rStyle w:val="Hipercze"/>
            <w:lang w:val="en-GB"/>
          </w:rPr>
          <w:t>9.3.2.4</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Effects of secondary poisoning</w:t>
        </w:r>
        <w:r>
          <w:rPr>
            <w:webHidden/>
          </w:rPr>
          <w:tab/>
        </w:r>
        <w:r>
          <w:rPr>
            <w:webHidden/>
          </w:rPr>
          <w:fldChar w:fldCharType="begin"/>
        </w:r>
        <w:r>
          <w:rPr>
            <w:webHidden/>
          </w:rPr>
          <w:instrText xml:space="preserve"> PAGEREF _Toc181624963 \h </w:instrText>
        </w:r>
        <w:r>
          <w:rPr>
            <w:webHidden/>
          </w:rPr>
        </w:r>
        <w:r>
          <w:rPr>
            <w:webHidden/>
          </w:rPr>
          <w:fldChar w:fldCharType="separate"/>
        </w:r>
        <w:r>
          <w:rPr>
            <w:webHidden/>
          </w:rPr>
          <w:t>67</w:t>
        </w:r>
        <w:r>
          <w:rPr>
            <w:webHidden/>
          </w:rPr>
          <w:fldChar w:fldCharType="end"/>
        </w:r>
      </w:hyperlink>
    </w:p>
    <w:p w14:paraId="4C9D6BBF" w14:textId="3B1A68E7"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64" w:history="1">
        <w:r w:rsidRPr="00F96670">
          <w:rPr>
            <w:rStyle w:val="Hipercze"/>
            <w:lang w:val="en-GB"/>
          </w:rPr>
          <w:t>9.3.2.5</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Biomagnification in terrestrial food chains</w:t>
        </w:r>
        <w:r>
          <w:rPr>
            <w:webHidden/>
          </w:rPr>
          <w:tab/>
        </w:r>
        <w:r>
          <w:rPr>
            <w:webHidden/>
          </w:rPr>
          <w:fldChar w:fldCharType="begin"/>
        </w:r>
        <w:r>
          <w:rPr>
            <w:webHidden/>
          </w:rPr>
          <w:instrText xml:space="preserve"> PAGEREF _Toc181624964 \h </w:instrText>
        </w:r>
        <w:r>
          <w:rPr>
            <w:webHidden/>
          </w:rPr>
        </w:r>
        <w:r>
          <w:rPr>
            <w:webHidden/>
          </w:rPr>
          <w:fldChar w:fldCharType="separate"/>
        </w:r>
        <w:r>
          <w:rPr>
            <w:webHidden/>
          </w:rPr>
          <w:t>69</w:t>
        </w:r>
        <w:r>
          <w:rPr>
            <w:webHidden/>
          </w:rPr>
          <w:fldChar w:fldCharType="end"/>
        </w:r>
      </w:hyperlink>
    </w:p>
    <w:p w14:paraId="4E3B5467" w14:textId="5DE6B929"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65" w:history="1">
        <w:r w:rsidRPr="00F96670">
          <w:rPr>
            <w:rStyle w:val="Hipercze"/>
          </w:rPr>
          <w:t>9.3.3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 for baits, pellets, granules, prills or treated seed</w:t>
        </w:r>
        <w:r>
          <w:rPr>
            <w:webHidden/>
          </w:rPr>
          <w:tab/>
        </w:r>
        <w:r>
          <w:rPr>
            <w:webHidden/>
          </w:rPr>
          <w:fldChar w:fldCharType="begin"/>
        </w:r>
        <w:r>
          <w:rPr>
            <w:webHidden/>
          </w:rPr>
          <w:instrText xml:space="preserve"> PAGEREF _Toc181624965 \h </w:instrText>
        </w:r>
        <w:r>
          <w:rPr>
            <w:webHidden/>
          </w:rPr>
        </w:r>
        <w:r>
          <w:rPr>
            <w:webHidden/>
          </w:rPr>
          <w:fldChar w:fldCharType="separate"/>
        </w:r>
        <w:r>
          <w:rPr>
            <w:webHidden/>
          </w:rPr>
          <w:t>69</w:t>
        </w:r>
        <w:r>
          <w:rPr>
            <w:webHidden/>
          </w:rPr>
          <w:fldChar w:fldCharType="end"/>
        </w:r>
      </w:hyperlink>
    </w:p>
    <w:p w14:paraId="5521E156" w14:textId="3373C0CE"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66" w:history="1">
        <w:r w:rsidRPr="00F96670">
          <w:rPr>
            <w:rStyle w:val="Hipercze"/>
          </w:rPr>
          <w:t>9.3.4</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_Toc181624966 \h </w:instrText>
        </w:r>
        <w:r>
          <w:rPr>
            <w:webHidden/>
          </w:rPr>
        </w:r>
        <w:r>
          <w:rPr>
            <w:webHidden/>
          </w:rPr>
          <w:fldChar w:fldCharType="separate"/>
        </w:r>
        <w:r>
          <w:rPr>
            <w:webHidden/>
          </w:rPr>
          <w:t>69</w:t>
        </w:r>
        <w:r>
          <w:rPr>
            <w:webHidden/>
          </w:rPr>
          <w:fldChar w:fldCharType="end"/>
        </w:r>
      </w:hyperlink>
    </w:p>
    <w:p w14:paraId="0FCE8BFE" w14:textId="63FEF6B9"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67" w:history="1">
        <w:r w:rsidRPr="00F96670">
          <w:rPr>
            <w:rStyle w:val="Hipercze"/>
          </w:rPr>
          <w:t>9.4</w:t>
        </w:r>
        <w:r>
          <w:rPr>
            <w:rFonts w:asciiTheme="minorHAnsi" w:eastAsiaTheme="minorEastAsia" w:hAnsiTheme="minorHAnsi" w:cstheme="minorBidi"/>
            <w:kern w:val="2"/>
            <w:sz w:val="22"/>
            <w:lang w:val="pl-PL" w:eastAsia="pl-PL"/>
            <w14:ligatures w14:val="standardContextual"/>
          </w:rPr>
          <w:tab/>
        </w:r>
        <w:r w:rsidRPr="00F96670">
          <w:rPr>
            <w:rStyle w:val="Hipercze"/>
          </w:rPr>
          <w:t>Effects on other terrestrial vertebrate wildlife (reptiles and amphibians) (KCP 10.1.3)</w:t>
        </w:r>
        <w:r>
          <w:rPr>
            <w:webHidden/>
          </w:rPr>
          <w:tab/>
        </w:r>
        <w:r>
          <w:rPr>
            <w:webHidden/>
          </w:rPr>
          <w:fldChar w:fldCharType="begin"/>
        </w:r>
        <w:r>
          <w:rPr>
            <w:webHidden/>
          </w:rPr>
          <w:instrText xml:space="preserve"> PAGEREF _Toc181624967 \h </w:instrText>
        </w:r>
        <w:r>
          <w:rPr>
            <w:webHidden/>
          </w:rPr>
        </w:r>
        <w:r>
          <w:rPr>
            <w:webHidden/>
          </w:rPr>
          <w:fldChar w:fldCharType="separate"/>
        </w:r>
        <w:r>
          <w:rPr>
            <w:webHidden/>
          </w:rPr>
          <w:t>70</w:t>
        </w:r>
        <w:r>
          <w:rPr>
            <w:webHidden/>
          </w:rPr>
          <w:fldChar w:fldCharType="end"/>
        </w:r>
      </w:hyperlink>
    </w:p>
    <w:p w14:paraId="01DD4A65" w14:textId="5F9912D8"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68" w:history="1">
        <w:r w:rsidRPr="00F96670">
          <w:rPr>
            <w:rStyle w:val="Hipercze"/>
          </w:rPr>
          <w:t>9.5</w:t>
        </w:r>
        <w:r>
          <w:rPr>
            <w:rFonts w:asciiTheme="minorHAnsi" w:eastAsiaTheme="minorEastAsia" w:hAnsiTheme="minorHAnsi" w:cstheme="minorBidi"/>
            <w:kern w:val="2"/>
            <w:sz w:val="22"/>
            <w:lang w:val="pl-PL" w:eastAsia="pl-PL"/>
            <w14:ligatures w14:val="standardContextual"/>
          </w:rPr>
          <w:tab/>
        </w:r>
        <w:r w:rsidRPr="00F96670">
          <w:rPr>
            <w:rStyle w:val="Hipercze"/>
          </w:rPr>
          <w:t>Effects on aquatic organisms (KCP 10.2)</w:t>
        </w:r>
        <w:r>
          <w:rPr>
            <w:webHidden/>
          </w:rPr>
          <w:tab/>
        </w:r>
        <w:r>
          <w:rPr>
            <w:webHidden/>
          </w:rPr>
          <w:fldChar w:fldCharType="begin"/>
        </w:r>
        <w:r>
          <w:rPr>
            <w:webHidden/>
          </w:rPr>
          <w:instrText xml:space="preserve"> PAGEREF _Toc181624968 \h </w:instrText>
        </w:r>
        <w:r>
          <w:rPr>
            <w:webHidden/>
          </w:rPr>
        </w:r>
        <w:r>
          <w:rPr>
            <w:webHidden/>
          </w:rPr>
          <w:fldChar w:fldCharType="separate"/>
        </w:r>
        <w:r>
          <w:rPr>
            <w:webHidden/>
          </w:rPr>
          <w:t>71</w:t>
        </w:r>
        <w:r>
          <w:rPr>
            <w:webHidden/>
          </w:rPr>
          <w:fldChar w:fldCharType="end"/>
        </w:r>
      </w:hyperlink>
    </w:p>
    <w:p w14:paraId="217BC43C" w14:textId="35685898"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69" w:history="1">
        <w:r w:rsidRPr="00F96670">
          <w:rPr>
            <w:rStyle w:val="Hipercze"/>
          </w:rPr>
          <w:t>9.5.1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_Toc181624969 \h </w:instrText>
        </w:r>
        <w:r>
          <w:rPr>
            <w:webHidden/>
          </w:rPr>
        </w:r>
        <w:r>
          <w:rPr>
            <w:webHidden/>
          </w:rPr>
          <w:fldChar w:fldCharType="separate"/>
        </w:r>
        <w:r>
          <w:rPr>
            <w:webHidden/>
          </w:rPr>
          <w:t>71</w:t>
        </w:r>
        <w:r>
          <w:rPr>
            <w:webHidden/>
          </w:rPr>
          <w:fldChar w:fldCharType="end"/>
        </w:r>
      </w:hyperlink>
    </w:p>
    <w:p w14:paraId="2423E67A" w14:textId="36C4731E"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70" w:history="1">
        <w:r w:rsidRPr="00F96670">
          <w:rPr>
            <w:rStyle w:val="Hipercze"/>
          </w:rPr>
          <w:t>9.5.1.1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Justification for new endpoints</w:t>
        </w:r>
        <w:r>
          <w:rPr>
            <w:webHidden/>
          </w:rPr>
          <w:tab/>
        </w:r>
        <w:r>
          <w:rPr>
            <w:webHidden/>
          </w:rPr>
          <w:fldChar w:fldCharType="begin"/>
        </w:r>
        <w:r>
          <w:rPr>
            <w:webHidden/>
          </w:rPr>
          <w:instrText xml:space="preserve"> PAGEREF _Toc181624970 \h </w:instrText>
        </w:r>
        <w:r>
          <w:rPr>
            <w:webHidden/>
          </w:rPr>
        </w:r>
        <w:r>
          <w:rPr>
            <w:webHidden/>
          </w:rPr>
          <w:fldChar w:fldCharType="separate"/>
        </w:r>
        <w:r>
          <w:rPr>
            <w:webHidden/>
          </w:rPr>
          <w:t>76</w:t>
        </w:r>
        <w:r>
          <w:rPr>
            <w:webHidden/>
          </w:rPr>
          <w:fldChar w:fldCharType="end"/>
        </w:r>
      </w:hyperlink>
    </w:p>
    <w:p w14:paraId="104D950A" w14:textId="7DFC9C01"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1" w:history="1">
        <w:r w:rsidRPr="00F96670">
          <w:rPr>
            <w:rStyle w:val="Hipercze"/>
          </w:rPr>
          <w:t>9.5.2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_Toc181624971 \h </w:instrText>
        </w:r>
        <w:r>
          <w:rPr>
            <w:webHidden/>
          </w:rPr>
        </w:r>
        <w:r>
          <w:rPr>
            <w:webHidden/>
          </w:rPr>
          <w:fldChar w:fldCharType="separate"/>
        </w:r>
        <w:r>
          <w:rPr>
            <w:webHidden/>
          </w:rPr>
          <w:t>76</w:t>
        </w:r>
        <w:r>
          <w:rPr>
            <w:webHidden/>
          </w:rPr>
          <w:fldChar w:fldCharType="end"/>
        </w:r>
      </w:hyperlink>
    </w:p>
    <w:p w14:paraId="0B5B5563" w14:textId="4DD2EE36"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2" w:history="1">
        <w:r w:rsidRPr="00F96670">
          <w:rPr>
            <w:rStyle w:val="Hipercze"/>
          </w:rPr>
          <w:t>9.5.3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_Toc181624972 \h </w:instrText>
        </w:r>
        <w:r>
          <w:rPr>
            <w:webHidden/>
          </w:rPr>
        </w:r>
        <w:r>
          <w:rPr>
            <w:webHidden/>
          </w:rPr>
          <w:fldChar w:fldCharType="separate"/>
        </w:r>
        <w:r>
          <w:rPr>
            <w:webHidden/>
          </w:rPr>
          <w:t>84</w:t>
        </w:r>
        <w:r>
          <w:rPr>
            <w:webHidden/>
          </w:rPr>
          <w:fldChar w:fldCharType="end"/>
        </w:r>
      </w:hyperlink>
    </w:p>
    <w:p w14:paraId="49E765A5" w14:textId="3ABD7ED5"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73" w:history="1">
        <w:r w:rsidRPr="00F96670">
          <w:rPr>
            <w:rStyle w:val="Hipercze"/>
          </w:rPr>
          <w:t>9.6</w:t>
        </w:r>
        <w:r>
          <w:rPr>
            <w:rFonts w:asciiTheme="minorHAnsi" w:eastAsiaTheme="minorEastAsia" w:hAnsiTheme="minorHAnsi" w:cstheme="minorBidi"/>
            <w:kern w:val="2"/>
            <w:sz w:val="22"/>
            <w:lang w:val="pl-PL" w:eastAsia="pl-PL"/>
            <w14:ligatures w14:val="standardContextual"/>
          </w:rPr>
          <w:tab/>
        </w:r>
        <w:r w:rsidRPr="00F96670">
          <w:rPr>
            <w:rStyle w:val="Hipercze"/>
          </w:rPr>
          <w:t>Effects on bees (KCP 10.3.1)</w:t>
        </w:r>
        <w:r>
          <w:rPr>
            <w:webHidden/>
          </w:rPr>
          <w:tab/>
        </w:r>
        <w:r>
          <w:rPr>
            <w:webHidden/>
          </w:rPr>
          <w:fldChar w:fldCharType="begin"/>
        </w:r>
        <w:r>
          <w:rPr>
            <w:webHidden/>
          </w:rPr>
          <w:instrText xml:space="preserve"> PAGEREF _Toc181624973 \h </w:instrText>
        </w:r>
        <w:r>
          <w:rPr>
            <w:webHidden/>
          </w:rPr>
        </w:r>
        <w:r>
          <w:rPr>
            <w:webHidden/>
          </w:rPr>
          <w:fldChar w:fldCharType="separate"/>
        </w:r>
        <w:r>
          <w:rPr>
            <w:webHidden/>
          </w:rPr>
          <w:t>85</w:t>
        </w:r>
        <w:r>
          <w:rPr>
            <w:webHidden/>
          </w:rPr>
          <w:fldChar w:fldCharType="end"/>
        </w:r>
      </w:hyperlink>
    </w:p>
    <w:p w14:paraId="4D334B00" w14:textId="78692F28"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4" w:history="1">
        <w:r w:rsidRPr="00F96670">
          <w:rPr>
            <w:rStyle w:val="Hipercze"/>
          </w:rPr>
          <w:t>9.6.1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Justification for new endpoints</w:t>
        </w:r>
        <w:r>
          <w:rPr>
            <w:webHidden/>
          </w:rPr>
          <w:tab/>
        </w:r>
        <w:r>
          <w:rPr>
            <w:webHidden/>
          </w:rPr>
          <w:fldChar w:fldCharType="begin"/>
        </w:r>
        <w:r>
          <w:rPr>
            <w:webHidden/>
          </w:rPr>
          <w:instrText xml:space="preserve"> PAGEREF _Toc181624974 \h </w:instrText>
        </w:r>
        <w:r>
          <w:rPr>
            <w:webHidden/>
          </w:rPr>
        </w:r>
        <w:r>
          <w:rPr>
            <w:webHidden/>
          </w:rPr>
          <w:fldChar w:fldCharType="separate"/>
        </w:r>
        <w:r>
          <w:rPr>
            <w:webHidden/>
          </w:rPr>
          <w:t>87</w:t>
        </w:r>
        <w:r>
          <w:rPr>
            <w:webHidden/>
          </w:rPr>
          <w:fldChar w:fldCharType="end"/>
        </w:r>
      </w:hyperlink>
    </w:p>
    <w:p w14:paraId="43D11398" w14:textId="21EB4913"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5" w:history="1">
        <w:r w:rsidRPr="00F96670">
          <w:rPr>
            <w:rStyle w:val="Hipercze"/>
          </w:rPr>
          <w:t>9.6.2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_Toc181624975 \h </w:instrText>
        </w:r>
        <w:r>
          <w:rPr>
            <w:webHidden/>
          </w:rPr>
        </w:r>
        <w:r>
          <w:rPr>
            <w:webHidden/>
          </w:rPr>
          <w:fldChar w:fldCharType="separate"/>
        </w:r>
        <w:r>
          <w:rPr>
            <w:webHidden/>
          </w:rPr>
          <w:t>87</w:t>
        </w:r>
        <w:r>
          <w:rPr>
            <w:webHidden/>
          </w:rPr>
          <w:fldChar w:fldCharType="end"/>
        </w:r>
      </w:hyperlink>
    </w:p>
    <w:p w14:paraId="46E98AD4" w14:textId="4CCD0365"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76" w:history="1">
        <w:r w:rsidRPr="00F96670">
          <w:rPr>
            <w:rStyle w:val="Hipercze"/>
            <w:lang w:val="en-US"/>
          </w:rPr>
          <w:t>9.6.2.1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Hazard quotients for bees</w:t>
        </w:r>
        <w:r>
          <w:rPr>
            <w:webHidden/>
          </w:rPr>
          <w:tab/>
        </w:r>
        <w:r>
          <w:rPr>
            <w:webHidden/>
          </w:rPr>
          <w:fldChar w:fldCharType="begin"/>
        </w:r>
        <w:r>
          <w:rPr>
            <w:webHidden/>
          </w:rPr>
          <w:instrText xml:space="preserve"> PAGEREF _Toc181624976 \h </w:instrText>
        </w:r>
        <w:r>
          <w:rPr>
            <w:webHidden/>
          </w:rPr>
        </w:r>
        <w:r>
          <w:rPr>
            <w:webHidden/>
          </w:rPr>
          <w:fldChar w:fldCharType="separate"/>
        </w:r>
        <w:r>
          <w:rPr>
            <w:webHidden/>
          </w:rPr>
          <w:t>87</w:t>
        </w:r>
        <w:r>
          <w:rPr>
            <w:webHidden/>
          </w:rPr>
          <w:fldChar w:fldCharType="end"/>
        </w:r>
      </w:hyperlink>
    </w:p>
    <w:p w14:paraId="087FD457" w14:textId="070E338E"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77" w:history="1">
        <w:r w:rsidRPr="00F96670">
          <w:rPr>
            <w:rStyle w:val="Hipercze"/>
            <w:lang w:val="en-US"/>
          </w:rPr>
          <w:t>9.6.2.2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Higher-tier risk assessment fr bees (tunnel test, field studies)</w:t>
        </w:r>
        <w:r>
          <w:rPr>
            <w:webHidden/>
          </w:rPr>
          <w:tab/>
        </w:r>
        <w:r>
          <w:rPr>
            <w:webHidden/>
          </w:rPr>
          <w:fldChar w:fldCharType="begin"/>
        </w:r>
        <w:r>
          <w:rPr>
            <w:webHidden/>
          </w:rPr>
          <w:instrText xml:space="preserve"> PAGEREF _Toc181624977 \h </w:instrText>
        </w:r>
        <w:r>
          <w:rPr>
            <w:webHidden/>
          </w:rPr>
        </w:r>
        <w:r>
          <w:rPr>
            <w:webHidden/>
          </w:rPr>
          <w:fldChar w:fldCharType="separate"/>
        </w:r>
        <w:r>
          <w:rPr>
            <w:webHidden/>
          </w:rPr>
          <w:t>93</w:t>
        </w:r>
        <w:r>
          <w:rPr>
            <w:webHidden/>
          </w:rPr>
          <w:fldChar w:fldCharType="end"/>
        </w:r>
      </w:hyperlink>
    </w:p>
    <w:p w14:paraId="2B01C19B" w14:textId="26880BB2"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8" w:history="1">
        <w:r w:rsidRPr="00F96670">
          <w:rPr>
            <w:rStyle w:val="Hipercze"/>
          </w:rPr>
          <w:t>9.6.3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Effects on bumble bees</w:t>
        </w:r>
        <w:r>
          <w:rPr>
            <w:webHidden/>
          </w:rPr>
          <w:tab/>
        </w:r>
        <w:r>
          <w:rPr>
            <w:webHidden/>
          </w:rPr>
          <w:fldChar w:fldCharType="begin"/>
        </w:r>
        <w:r>
          <w:rPr>
            <w:webHidden/>
          </w:rPr>
          <w:instrText xml:space="preserve"> PAGEREF _Toc181624978 \h </w:instrText>
        </w:r>
        <w:r>
          <w:rPr>
            <w:webHidden/>
          </w:rPr>
        </w:r>
        <w:r>
          <w:rPr>
            <w:webHidden/>
          </w:rPr>
          <w:fldChar w:fldCharType="separate"/>
        </w:r>
        <w:r>
          <w:rPr>
            <w:webHidden/>
          </w:rPr>
          <w:t>93</w:t>
        </w:r>
        <w:r>
          <w:rPr>
            <w:webHidden/>
          </w:rPr>
          <w:fldChar w:fldCharType="end"/>
        </w:r>
      </w:hyperlink>
    </w:p>
    <w:p w14:paraId="7D6D3364" w14:textId="1769C059"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79" w:history="1">
        <w:r w:rsidRPr="00F96670">
          <w:rPr>
            <w:rStyle w:val="Hipercze"/>
          </w:rPr>
          <w:t>9.6.4</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Effects on solitary bees</w:t>
        </w:r>
        <w:r>
          <w:rPr>
            <w:webHidden/>
          </w:rPr>
          <w:tab/>
        </w:r>
        <w:r>
          <w:rPr>
            <w:webHidden/>
          </w:rPr>
          <w:fldChar w:fldCharType="begin"/>
        </w:r>
        <w:r>
          <w:rPr>
            <w:webHidden/>
          </w:rPr>
          <w:instrText xml:space="preserve"> PAGEREF _Toc181624979 \h </w:instrText>
        </w:r>
        <w:r>
          <w:rPr>
            <w:webHidden/>
          </w:rPr>
        </w:r>
        <w:r>
          <w:rPr>
            <w:webHidden/>
          </w:rPr>
          <w:fldChar w:fldCharType="separate"/>
        </w:r>
        <w:r>
          <w:rPr>
            <w:webHidden/>
          </w:rPr>
          <w:t>93</w:t>
        </w:r>
        <w:r>
          <w:rPr>
            <w:webHidden/>
          </w:rPr>
          <w:fldChar w:fldCharType="end"/>
        </w:r>
      </w:hyperlink>
    </w:p>
    <w:p w14:paraId="61598C98" w14:textId="6847535F"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80" w:history="1">
        <w:r w:rsidRPr="00F96670">
          <w:rPr>
            <w:rStyle w:val="Hipercze"/>
          </w:rPr>
          <w:t>9.6.5</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_Toc181624980 \h </w:instrText>
        </w:r>
        <w:r>
          <w:rPr>
            <w:webHidden/>
          </w:rPr>
        </w:r>
        <w:r>
          <w:rPr>
            <w:webHidden/>
          </w:rPr>
          <w:fldChar w:fldCharType="separate"/>
        </w:r>
        <w:r>
          <w:rPr>
            <w:webHidden/>
          </w:rPr>
          <w:t>94</w:t>
        </w:r>
        <w:r>
          <w:rPr>
            <w:webHidden/>
          </w:rPr>
          <w:fldChar w:fldCharType="end"/>
        </w:r>
      </w:hyperlink>
    </w:p>
    <w:p w14:paraId="43739A6E" w14:textId="5EA18D59"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81" w:history="1">
        <w:r w:rsidRPr="00F96670">
          <w:rPr>
            <w:rStyle w:val="Hipercze"/>
          </w:rPr>
          <w:t>9.7</w:t>
        </w:r>
        <w:r>
          <w:rPr>
            <w:rFonts w:asciiTheme="minorHAnsi" w:eastAsiaTheme="minorEastAsia" w:hAnsiTheme="minorHAnsi" w:cstheme="minorBidi"/>
            <w:kern w:val="2"/>
            <w:sz w:val="22"/>
            <w:lang w:val="pl-PL" w:eastAsia="pl-PL"/>
            <w14:ligatures w14:val="standardContextual"/>
          </w:rPr>
          <w:tab/>
        </w:r>
        <w:r w:rsidRPr="00F96670">
          <w:rPr>
            <w:rStyle w:val="Hipercze"/>
          </w:rPr>
          <w:t>Effects on arthropods other than bees (KCP 10.3.2)</w:t>
        </w:r>
        <w:r>
          <w:rPr>
            <w:webHidden/>
          </w:rPr>
          <w:tab/>
        </w:r>
        <w:r>
          <w:rPr>
            <w:webHidden/>
          </w:rPr>
          <w:fldChar w:fldCharType="begin"/>
        </w:r>
        <w:r>
          <w:rPr>
            <w:webHidden/>
          </w:rPr>
          <w:instrText xml:space="preserve"> PAGEREF _Toc181624981 \h </w:instrText>
        </w:r>
        <w:r>
          <w:rPr>
            <w:webHidden/>
          </w:rPr>
        </w:r>
        <w:r>
          <w:rPr>
            <w:webHidden/>
          </w:rPr>
          <w:fldChar w:fldCharType="separate"/>
        </w:r>
        <w:r>
          <w:rPr>
            <w:webHidden/>
          </w:rPr>
          <w:t>95</w:t>
        </w:r>
        <w:r>
          <w:rPr>
            <w:webHidden/>
          </w:rPr>
          <w:fldChar w:fldCharType="end"/>
        </w:r>
      </w:hyperlink>
    </w:p>
    <w:p w14:paraId="44F8476D" w14:textId="5C361584"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82" w:history="1">
        <w:r w:rsidRPr="00F96670">
          <w:rPr>
            <w:rStyle w:val="Hipercze"/>
          </w:rPr>
          <w:t>9.7.1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_Toc181624982 \h </w:instrText>
        </w:r>
        <w:r>
          <w:rPr>
            <w:webHidden/>
          </w:rPr>
        </w:r>
        <w:r>
          <w:rPr>
            <w:webHidden/>
          </w:rPr>
          <w:fldChar w:fldCharType="separate"/>
        </w:r>
        <w:r>
          <w:rPr>
            <w:webHidden/>
          </w:rPr>
          <w:t>95</w:t>
        </w:r>
        <w:r>
          <w:rPr>
            <w:webHidden/>
          </w:rPr>
          <w:fldChar w:fldCharType="end"/>
        </w:r>
      </w:hyperlink>
    </w:p>
    <w:p w14:paraId="03D8F5CC" w14:textId="33447C93"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83" w:history="1">
        <w:r w:rsidRPr="00F96670">
          <w:rPr>
            <w:rStyle w:val="Hipercze"/>
            <w:lang w:val="en-US"/>
          </w:rPr>
          <w:t>9.7.1.1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Justification for new endpoints</w:t>
        </w:r>
        <w:r>
          <w:rPr>
            <w:webHidden/>
          </w:rPr>
          <w:tab/>
        </w:r>
        <w:r>
          <w:rPr>
            <w:webHidden/>
          </w:rPr>
          <w:fldChar w:fldCharType="begin"/>
        </w:r>
        <w:r>
          <w:rPr>
            <w:webHidden/>
          </w:rPr>
          <w:instrText xml:space="preserve"> PAGEREF _Toc181624983 \h </w:instrText>
        </w:r>
        <w:r>
          <w:rPr>
            <w:webHidden/>
          </w:rPr>
        </w:r>
        <w:r>
          <w:rPr>
            <w:webHidden/>
          </w:rPr>
          <w:fldChar w:fldCharType="separate"/>
        </w:r>
        <w:r>
          <w:rPr>
            <w:webHidden/>
          </w:rPr>
          <w:t>95</w:t>
        </w:r>
        <w:r>
          <w:rPr>
            <w:webHidden/>
          </w:rPr>
          <w:fldChar w:fldCharType="end"/>
        </w:r>
      </w:hyperlink>
    </w:p>
    <w:p w14:paraId="355A3461" w14:textId="124677FE"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84" w:history="1">
        <w:r w:rsidRPr="00F96670">
          <w:rPr>
            <w:rStyle w:val="Hipercze"/>
          </w:rPr>
          <w:t>9.7.2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_Toc181624984 \h </w:instrText>
        </w:r>
        <w:r>
          <w:rPr>
            <w:webHidden/>
          </w:rPr>
        </w:r>
        <w:r>
          <w:rPr>
            <w:webHidden/>
          </w:rPr>
          <w:fldChar w:fldCharType="separate"/>
        </w:r>
        <w:r>
          <w:rPr>
            <w:webHidden/>
          </w:rPr>
          <w:t>95</w:t>
        </w:r>
        <w:r>
          <w:rPr>
            <w:webHidden/>
          </w:rPr>
          <w:fldChar w:fldCharType="end"/>
        </w:r>
      </w:hyperlink>
    </w:p>
    <w:p w14:paraId="60983997" w14:textId="35C0C3A8"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85" w:history="1">
        <w:r w:rsidRPr="00F96670">
          <w:rPr>
            <w:rStyle w:val="Hipercze"/>
            <w:lang w:val="en-US"/>
          </w:rPr>
          <w:t>9.7.2.1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Risk assessment for in-field exposure</w:t>
        </w:r>
        <w:r>
          <w:rPr>
            <w:webHidden/>
          </w:rPr>
          <w:tab/>
        </w:r>
        <w:r>
          <w:rPr>
            <w:webHidden/>
          </w:rPr>
          <w:fldChar w:fldCharType="begin"/>
        </w:r>
        <w:r>
          <w:rPr>
            <w:webHidden/>
          </w:rPr>
          <w:instrText xml:space="preserve"> PAGEREF _Toc181624985 \h </w:instrText>
        </w:r>
        <w:r>
          <w:rPr>
            <w:webHidden/>
          </w:rPr>
        </w:r>
        <w:r>
          <w:rPr>
            <w:webHidden/>
          </w:rPr>
          <w:fldChar w:fldCharType="separate"/>
        </w:r>
        <w:r>
          <w:rPr>
            <w:webHidden/>
          </w:rPr>
          <w:t>96</w:t>
        </w:r>
        <w:r>
          <w:rPr>
            <w:webHidden/>
          </w:rPr>
          <w:fldChar w:fldCharType="end"/>
        </w:r>
      </w:hyperlink>
    </w:p>
    <w:p w14:paraId="4AE63337" w14:textId="135E8113"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86" w:history="1">
        <w:r w:rsidRPr="00F96670">
          <w:rPr>
            <w:rStyle w:val="Hipercze"/>
            <w:lang w:val="en-US"/>
          </w:rPr>
          <w:t>9.7.2.2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Risk assessment for off-field exposure</w:t>
        </w:r>
        <w:r>
          <w:rPr>
            <w:webHidden/>
          </w:rPr>
          <w:tab/>
        </w:r>
        <w:r>
          <w:rPr>
            <w:webHidden/>
          </w:rPr>
          <w:fldChar w:fldCharType="begin"/>
        </w:r>
        <w:r>
          <w:rPr>
            <w:webHidden/>
          </w:rPr>
          <w:instrText xml:space="preserve"> PAGEREF _Toc181624986 \h </w:instrText>
        </w:r>
        <w:r>
          <w:rPr>
            <w:webHidden/>
          </w:rPr>
        </w:r>
        <w:r>
          <w:rPr>
            <w:webHidden/>
          </w:rPr>
          <w:fldChar w:fldCharType="separate"/>
        </w:r>
        <w:r>
          <w:rPr>
            <w:webHidden/>
          </w:rPr>
          <w:t>97</w:t>
        </w:r>
        <w:r>
          <w:rPr>
            <w:webHidden/>
          </w:rPr>
          <w:fldChar w:fldCharType="end"/>
        </w:r>
      </w:hyperlink>
    </w:p>
    <w:p w14:paraId="7C47AB41" w14:textId="027A238A"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87" w:history="1">
        <w:r w:rsidRPr="00F96670">
          <w:rPr>
            <w:rStyle w:val="Hipercze"/>
            <w:lang w:val="en-US"/>
          </w:rPr>
          <w:t>9.7.2.3</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Additional higher-tier risk assessment</w:t>
        </w:r>
        <w:r>
          <w:rPr>
            <w:webHidden/>
          </w:rPr>
          <w:tab/>
        </w:r>
        <w:r>
          <w:rPr>
            <w:webHidden/>
          </w:rPr>
          <w:fldChar w:fldCharType="begin"/>
        </w:r>
        <w:r>
          <w:rPr>
            <w:webHidden/>
          </w:rPr>
          <w:instrText xml:space="preserve"> PAGEREF _Toc181624987 \h </w:instrText>
        </w:r>
        <w:r>
          <w:rPr>
            <w:webHidden/>
          </w:rPr>
        </w:r>
        <w:r>
          <w:rPr>
            <w:webHidden/>
          </w:rPr>
          <w:fldChar w:fldCharType="separate"/>
        </w:r>
        <w:r>
          <w:rPr>
            <w:webHidden/>
          </w:rPr>
          <w:t>98</w:t>
        </w:r>
        <w:r>
          <w:rPr>
            <w:webHidden/>
          </w:rPr>
          <w:fldChar w:fldCharType="end"/>
        </w:r>
      </w:hyperlink>
    </w:p>
    <w:p w14:paraId="6481DA7E" w14:textId="0DDF9DB5"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88" w:history="1">
        <w:r w:rsidRPr="00F96670">
          <w:rPr>
            <w:rStyle w:val="Hipercze"/>
            <w:lang w:val="en-US"/>
          </w:rPr>
          <w:t>9.7.2.4</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US"/>
          </w:rPr>
          <w:t>Risk mitigation measures</w:t>
        </w:r>
        <w:r>
          <w:rPr>
            <w:webHidden/>
          </w:rPr>
          <w:tab/>
        </w:r>
        <w:r>
          <w:rPr>
            <w:webHidden/>
          </w:rPr>
          <w:fldChar w:fldCharType="begin"/>
        </w:r>
        <w:r>
          <w:rPr>
            <w:webHidden/>
          </w:rPr>
          <w:instrText xml:space="preserve"> PAGEREF _Toc181624988 \h </w:instrText>
        </w:r>
        <w:r>
          <w:rPr>
            <w:webHidden/>
          </w:rPr>
        </w:r>
        <w:r>
          <w:rPr>
            <w:webHidden/>
          </w:rPr>
          <w:fldChar w:fldCharType="separate"/>
        </w:r>
        <w:r>
          <w:rPr>
            <w:webHidden/>
          </w:rPr>
          <w:t>98</w:t>
        </w:r>
        <w:r>
          <w:rPr>
            <w:webHidden/>
          </w:rPr>
          <w:fldChar w:fldCharType="end"/>
        </w:r>
      </w:hyperlink>
    </w:p>
    <w:p w14:paraId="64A7F39B" w14:textId="43410D1D"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89" w:history="1">
        <w:r w:rsidRPr="00F96670">
          <w:rPr>
            <w:rStyle w:val="Hipercze"/>
          </w:rPr>
          <w:t>9.7.3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_Toc181624989 \h </w:instrText>
        </w:r>
        <w:r>
          <w:rPr>
            <w:webHidden/>
          </w:rPr>
        </w:r>
        <w:r>
          <w:rPr>
            <w:webHidden/>
          </w:rPr>
          <w:fldChar w:fldCharType="separate"/>
        </w:r>
        <w:r>
          <w:rPr>
            <w:webHidden/>
          </w:rPr>
          <w:t>98</w:t>
        </w:r>
        <w:r>
          <w:rPr>
            <w:webHidden/>
          </w:rPr>
          <w:fldChar w:fldCharType="end"/>
        </w:r>
      </w:hyperlink>
    </w:p>
    <w:p w14:paraId="1A39675D" w14:textId="231BB0BE"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90" w:history="1">
        <w:r w:rsidRPr="00F96670">
          <w:rPr>
            <w:rStyle w:val="Hipercze"/>
          </w:rPr>
          <w:t>9.8</w:t>
        </w:r>
        <w:r>
          <w:rPr>
            <w:rFonts w:asciiTheme="minorHAnsi" w:eastAsiaTheme="minorEastAsia" w:hAnsiTheme="minorHAnsi" w:cstheme="minorBidi"/>
            <w:kern w:val="2"/>
            <w:sz w:val="22"/>
            <w:lang w:val="pl-PL" w:eastAsia="pl-PL"/>
            <w14:ligatures w14:val="standardContextual"/>
          </w:rPr>
          <w:tab/>
        </w:r>
        <w:r w:rsidRPr="00F96670">
          <w:rPr>
            <w:rStyle w:val="Hipercze"/>
          </w:rPr>
          <w:t>Effects on non-target soil meso- and macrofauna (KCP 10.4)</w:t>
        </w:r>
        <w:r>
          <w:rPr>
            <w:webHidden/>
          </w:rPr>
          <w:tab/>
        </w:r>
        <w:r>
          <w:rPr>
            <w:webHidden/>
          </w:rPr>
          <w:fldChar w:fldCharType="begin"/>
        </w:r>
        <w:r>
          <w:rPr>
            <w:webHidden/>
          </w:rPr>
          <w:instrText xml:space="preserve"> PAGEREF _Toc181624990 \h </w:instrText>
        </w:r>
        <w:r>
          <w:rPr>
            <w:webHidden/>
          </w:rPr>
        </w:r>
        <w:r>
          <w:rPr>
            <w:webHidden/>
          </w:rPr>
          <w:fldChar w:fldCharType="separate"/>
        </w:r>
        <w:r>
          <w:rPr>
            <w:webHidden/>
          </w:rPr>
          <w:t>99</w:t>
        </w:r>
        <w:r>
          <w:rPr>
            <w:webHidden/>
          </w:rPr>
          <w:fldChar w:fldCharType="end"/>
        </w:r>
      </w:hyperlink>
    </w:p>
    <w:p w14:paraId="273F1D66" w14:textId="0BC1D3E8"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91" w:history="1">
        <w:r w:rsidRPr="00F96670">
          <w:rPr>
            <w:rStyle w:val="Hipercze"/>
          </w:rPr>
          <w:t>9.8.1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_Toc181624991 \h </w:instrText>
        </w:r>
        <w:r>
          <w:rPr>
            <w:webHidden/>
          </w:rPr>
        </w:r>
        <w:r>
          <w:rPr>
            <w:webHidden/>
          </w:rPr>
          <w:fldChar w:fldCharType="separate"/>
        </w:r>
        <w:r>
          <w:rPr>
            <w:webHidden/>
          </w:rPr>
          <w:t>99</w:t>
        </w:r>
        <w:r>
          <w:rPr>
            <w:webHidden/>
          </w:rPr>
          <w:fldChar w:fldCharType="end"/>
        </w:r>
      </w:hyperlink>
    </w:p>
    <w:p w14:paraId="3B5797E3" w14:textId="449BF7AD"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92" w:history="1">
        <w:r w:rsidRPr="00F96670">
          <w:rPr>
            <w:rStyle w:val="Hipercze"/>
          </w:rPr>
          <w:t>9.8.1.1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Justification for new endpoints</w:t>
        </w:r>
        <w:r>
          <w:rPr>
            <w:webHidden/>
          </w:rPr>
          <w:tab/>
        </w:r>
        <w:r>
          <w:rPr>
            <w:webHidden/>
          </w:rPr>
          <w:fldChar w:fldCharType="begin"/>
        </w:r>
        <w:r>
          <w:rPr>
            <w:webHidden/>
          </w:rPr>
          <w:instrText xml:space="preserve"> PAGEREF _Toc181624992 \h </w:instrText>
        </w:r>
        <w:r>
          <w:rPr>
            <w:webHidden/>
          </w:rPr>
        </w:r>
        <w:r>
          <w:rPr>
            <w:webHidden/>
          </w:rPr>
          <w:fldChar w:fldCharType="separate"/>
        </w:r>
        <w:r>
          <w:rPr>
            <w:webHidden/>
          </w:rPr>
          <w:t>102</w:t>
        </w:r>
        <w:r>
          <w:rPr>
            <w:webHidden/>
          </w:rPr>
          <w:fldChar w:fldCharType="end"/>
        </w:r>
      </w:hyperlink>
    </w:p>
    <w:p w14:paraId="2A6AC465" w14:textId="34192F71"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93" w:history="1">
        <w:r w:rsidRPr="00F96670">
          <w:rPr>
            <w:rStyle w:val="Hipercze"/>
          </w:rPr>
          <w:t>9.8.2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_Toc181624993 \h </w:instrText>
        </w:r>
        <w:r>
          <w:rPr>
            <w:webHidden/>
          </w:rPr>
        </w:r>
        <w:r>
          <w:rPr>
            <w:webHidden/>
          </w:rPr>
          <w:fldChar w:fldCharType="separate"/>
        </w:r>
        <w:r>
          <w:rPr>
            <w:webHidden/>
          </w:rPr>
          <w:t>102</w:t>
        </w:r>
        <w:r>
          <w:rPr>
            <w:webHidden/>
          </w:rPr>
          <w:fldChar w:fldCharType="end"/>
        </w:r>
      </w:hyperlink>
    </w:p>
    <w:p w14:paraId="5CFD23DE" w14:textId="716DFEB8"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94" w:history="1">
        <w:r w:rsidRPr="00F96670">
          <w:rPr>
            <w:rStyle w:val="Hipercze"/>
          </w:rPr>
          <w:t>9.8.2.1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First-tier risk assessment</w:t>
        </w:r>
        <w:r>
          <w:rPr>
            <w:webHidden/>
          </w:rPr>
          <w:tab/>
        </w:r>
        <w:r>
          <w:rPr>
            <w:webHidden/>
          </w:rPr>
          <w:fldChar w:fldCharType="begin"/>
        </w:r>
        <w:r>
          <w:rPr>
            <w:webHidden/>
          </w:rPr>
          <w:instrText xml:space="preserve"> PAGEREF _Toc181624994 \h </w:instrText>
        </w:r>
        <w:r>
          <w:rPr>
            <w:webHidden/>
          </w:rPr>
        </w:r>
        <w:r>
          <w:rPr>
            <w:webHidden/>
          </w:rPr>
          <w:fldChar w:fldCharType="separate"/>
        </w:r>
        <w:r>
          <w:rPr>
            <w:webHidden/>
          </w:rPr>
          <w:t>102</w:t>
        </w:r>
        <w:r>
          <w:rPr>
            <w:webHidden/>
          </w:rPr>
          <w:fldChar w:fldCharType="end"/>
        </w:r>
      </w:hyperlink>
    </w:p>
    <w:p w14:paraId="7655D8EE" w14:textId="67C9F908"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95" w:history="1">
        <w:r w:rsidRPr="00F96670">
          <w:rPr>
            <w:rStyle w:val="Hipercze"/>
          </w:rPr>
          <w:t>9.8.2.2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Higher-tier risk assessment</w:t>
        </w:r>
        <w:r>
          <w:rPr>
            <w:webHidden/>
          </w:rPr>
          <w:tab/>
        </w:r>
        <w:r>
          <w:rPr>
            <w:webHidden/>
          </w:rPr>
          <w:fldChar w:fldCharType="begin"/>
        </w:r>
        <w:r>
          <w:rPr>
            <w:webHidden/>
          </w:rPr>
          <w:instrText xml:space="preserve"> PAGEREF _Toc181624995 \h </w:instrText>
        </w:r>
        <w:r>
          <w:rPr>
            <w:webHidden/>
          </w:rPr>
        </w:r>
        <w:r>
          <w:rPr>
            <w:webHidden/>
          </w:rPr>
          <w:fldChar w:fldCharType="separate"/>
        </w:r>
        <w:r>
          <w:rPr>
            <w:webHidden/>
          </w:rPr>
          <w:t>105</w:t>
        </w:r>
        <w:r>
          <w:rPr>
            <w:webHidden/>
          </w:rPr>
          <w:fldChar w:fldCharType="end"/>
        </w:r>
      </w:hyperlink>
    </w:p>
    <w:p w14:paraId="56702822" w14:textId="2AEB4732"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96" w:history="1">
        <w:r w:rsidRPr="00F96670">
          <w:rPr>
            <w:rStyle w:val="Hipercze"/>
          </w:rPr>
          <w:t>9.8.3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_Toc181624996 \h </w:instrText>
        </w:r>
        <w:r>
          <w:rPr>
            <w:webHidden/>
          </w:rPr>
        </w:r>
        <w:r>
          <w:rPr>
            <w:webHidden/>
          </w:rPr>
          <w:fldChar w:fldCharType="separate"/>
        </w:r>
        <w:r>
          <w:rPr>
            <w:webHidden/>
          </w:rPr>
          <w:t>105</w:t>
        </w:r>
        <w:r>
          <w:rPr>
            <w:webHidden/>
          </w:rPr>
          <w:fldChar w:fldCharType="end"/>
        </w:r>
      </w:hyperlink>
    </w:p>
    <w:p w14:paraId="27C07BFE" w14:textId="2FCE8A54"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4997" w:history="1">
        <w:r w:rsidRPr="00F96670">
          <w:rPr>
            <w:rStyle w:val="Hipercze"/>
          </w:rPr>
          <w:t>9.9</w:t>
        </w:r>
        <w:r>
          <w:rPr>
            <w:rFonts w:asciiTheme="minorHAnsi" w:eastAsiaTheme="minorEastAsia" w:hAnsiTheme="minorHAnsi" w:cstheme="minorBidi"/>
            <w:kern w:val="2"/>
            <w:sz w:val="22"/>
            <w:lang w:val="pl-PL" w:eastAsia="pl-PL"/>
            <w14:ligatures w14:val="standardContextual"/>
          </w:rPr>
          <w:tab/>
        </w:r>
        <w:r w:rsidRPr="00F96670">
          <w:rPr>
            <w:rStyle w:val="Hipercze"/>
          </w:rPr>
          <w:t>Effects on soil microbial activity (KCP 10.5)</w:t>
        </w:r>
        <w:r>
          <w:rPr>
            <w:webHidden/>
          </w:rPr>
          <w:tab/>
        </w:r>
        <w:r>
          <w:rPr>
            <w:webHidden/>
          </w:rPr>
          <w:fldChar w:fldCharType="begin"/>
        </w:r>
        <w:r>
          <w:rPr>
            <w:webHidden/>
          </w:rPr>
          <w:instrText xml:space="preserve"> PAGEREF _Toc181624997 \h </w:instrText>
        </w:r>
        <w:r>
          <w:rPr>
            <w:webHidden/>
          </w:rPr>
        </w:r>
        <w:r>
          <w:rPr>
            <w:webHidden/>
          </w:rPr>
          <w:fldChar w:fldCharType="separate"/>
        </w:r>
        <w:r>
          <w:rPr>
            <w:webHidden/>
          </w:rPr>
          <w:t>106</w:t>
        </w:r>
        <w:r>
          <w:rPr>
            <w:webHidden/>
          </w:rPr>
          <w:fldChar w:fldCharType="end"/>
        </w:r>
      </w:hyperlink>
    </w:p>
    <w:p w14:paraId="1E61785F" w14:textId="6ECC27A3"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4998" w:history="1">
        <w:r w:rsidRPr="00F96670">
          <w:rPr>
            <w:rStyle w:val="Hipercze"/>
          </w:rPr>
          <w:t>9.9.1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_Toc181624998 \h </w:instrText>
        </w:r>
        <w:r>
          <w:rPr>
            <w:webHidden/>
          </w:rPr>
        </w:r>
        <w:r>
          <w:rPr>
            <w:webHidden/>
          </w:rPr>
          <w:fldChar w:fldCharType="separate"/>
        </w:r>
        <w:r>
          <w:rPr>
            <w:webHidden/>
          </w:rPr>
          <w:t>106</w:t>
        </w:r>
        <w:r>
          <w:rPr>
            <w:webHidden/>
          </w:rPr>
          <w:fldChar w:fldCharType="end"/>
        </w:r>
      </w:hyperlink>
    </w:p>
    <w:p w14:paraId="1C5397BA" w14:textId="7D56DE62"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4999" w:history="1">
        <w:r w:rsidRPr="00F96670">
          <w:rPr>
            <w:rStyle w:val="Hipercze"/>
            <w:lang w:val="en-US"/>
          </w:rPr>
          <w:t>*</w:t>
        </w:r>
        <w:r>
          <w:rPr>
            <w:rFonts w:asciiTheme="minorHAnsi" w:eastAsiaTheme="minorEastAsia" w:hAnsiTheme="minorHAnsi" w:cstheme="minorBidi"/>
            <w:kern w:val="2"/>
            <w:sz w:val="22"/>
            <w:szCs w:val="22"/>
            <w:lang w:val="pl-PL" w:eastAsia="pl-PL"/>
            <w14:ligatures w14:val="standardContextual"/>
          </w:rPr>
          <w:tab/>
        </w:r>
        <w:r w:rsidRPr="00F96670">
          <w:rPr>
            <w:rStyle w:val="Hipercze"/>
            <w:bCs/>
            <w:lang w:val="en-US"/>
          </w:rPr>
          <w:t>Study was conducted with the similar formulation BAS 743 02 F containing 137.1 g/L Ametoctradin and 515.4 g/L Propamocarb-HCl</w:t>
        </w:r>
        <w:r>
          <w:rPr>
            <w:webHidden/>
          </w:rPr>
          <w:tab/>
        </w:r>
        <w:r>
          <w:rPr>
            <w:webHidden/>
          </w:rPr>
          <w:fldChar w:fldCharType="begin"/>
        </w:r>
        <w:r>
          <w:rPr>
            <w:webHidden/>
          </w:rPr>
          <w:instrText xml:space="preserve"> PAGEREF _Toc181624999 \h </w:instrText>
        </w:r>
        <w:r>
          <w:rPr>
            <w:webHidden/>
          </w:rPr>
        </w:r>
        <w:r>
          <w:rPr>
            <w:webHidden/>
          </w:rPr>
          <w:fldChar w:fldCharType="separate"/>
        </w:r>
        <w:r>
          <w:rPr>
            <w:webHidden/>
          </w:rPr>
          <w:t>107</w:t>
        </w:r>
        <w:r>
          <w:rPr>
            <w:webHidden/>
          </w:rPr>
          <w:fldChar w:fldCharType="end"/>
        </w:r>
      </w:hyperlink>
    </w:p>
    <w:p w14:paraId="4DF06B6C" w14:textId="5F252503"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00" w:history="1">
        <w:r w:rsidRPr="00F96670">
          <w:rPr>
            <w:rStyle w:val="Hipercze"/>
          </w:rPr>
          <w:t>9.9.1.1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Justification for new endpoints</w:t>
        </w:r>
        <w:r>
          <w:rPr>
            <w:webHidden/>
          </w:rPr>
          <w:tab/>
        </w:r>
        <w:r>
          <w:rPr>
            <w:webHidden/>
          </w:rPr>
          <w:fldChar w:fldCharType="begin"/>
        </w:r>
        <w:r>
          <w:rPr>
            <w:webHidden/>
          </w:rPr>
          <w:instrText xml:space="preserve"> PAGEREF _Toc181625000 \h </w:instrText>
        </w:r>
        <w:r>
          <w:rPr>
            <w:webHidden/>
          </w:rPr>
        </w:r>
        <w:r>
          <w:rPr>
            <w:webHidden/>
          </w:rPr>
          <w:fldChar w:fldCharType="separate"/>
        </w:r>
        <w:r>
          <w:rPr>
            <w:webHidden/>
          </w:rPr>
          <w:t>107</w:t>
        </w:r>
        <w:r>
          <w:rPr>
            <w:webHidden/>
          </w:rPr>
          <w:fldChar w:fldCharType="end"/>
        </w:r>
      </w:hyperlink>
    </w:p>
    <w:p w14:paraId="1B55F88F" w14:textId="1CE0675F"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01" w:history="1">
        <w:r w:rsidRPr="00F96670">
          <w:rPr>
            <w:rStyle w:val="Hipercze"/>
          </w:rPr>
          <w:t>9.9.2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_Toc181625001 \h </w:instrText>
        </w:r>
        <w:r>
          <w:rPr>
            <w:webHidden/>
          </w:rPr>
        </w:r>
        <w:r>
          <w:rPr>
            <w:webHidden/>
          </w:rPr>
          <w:fldChar w:fldCharType="separate"/>
        </w:r>
        <w:r>
          <w:rPr>
            <w:webHidden/>
          </w:rPr>
          <w:t>107</w:t>
        </w:r>
        <w:r>
          <w:rPr>
            <w:webHidden/>
          </w:rPr>
          <w:fldChar w:fldCharType="end"/>
        </w:r>
      </w:hyperlink>
    </w:p>
    <w:p w14:paraId="4C2D561F" w14:textId="002AC09D"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02" w:history="1">
        <w:r w:rsidRPr="00F96670">
          <w:rPr>
            <w:rStyle w:val="Hipercze"/>
          </w:rPr>
          <w:t>9.9.3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_Toc181625002 \h </w:instrText>
        </w:r>
        <w:r>
          <w:rPr>
            <w:webHidden/>
          </w:rPr>
        </w:r>
        <w:r>
          <w:rPr>
            <w:webHidden/>
          </w:rPr>
          <w:fldChar w:fldCharType="separate"/>
        </w:r>
        <w:r>
          <w:rPr>
            <w:webHidden/>
          </w:rPr>
          <w:t>108</w:t>
        </w:r>
        <w:r>
          <w:rPr>
            <w:webHidden/>
          </w:rPr>
          <w:fldChar w:fldCharType="end"/>
        </w:r>
      </w:hyperlink>
    </w:p>
    <w:p w14:paraId="024DCABE" w14:textId="7AE77073"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03" w:history="1">
        <w:r w:rsidRPr="00F96670">
          <w:rPr>
            <w:rStyle w:val="Hipercze"/>
          </w:rPr>
          <w:t>9.10</w:t>
        </w:r>
        <w:r>
          <w:rPr>
            <w:rFonts w:asciiTheme="minorHAnsi" w:eastAsiaTheme="minorEastAsia" w:hAnsiTheme="minorHAnsi" w:cstheme="minorBidi"/>
            <w:kern w:val="2"/>
            <w:sz w:val="22"/>
            <w:lang w:val="pl-PL" w:eastAsia="pl-PL"/>
            <w14:ligatures w14:val="standardContextual"/>
          </w:rPr>
          <w:tab/>
        </w:r>
        <w:r w:rsidRPr="00F96670">
          <w:rPr>
            <w:rStyle w:val="Hipercze"/>
          </w:rPr>
          <w:t>Effects on non-target terrestrial plants (KCP 10.6)</w:t>
        </w:r>
        <w:r>
          <w:rPr>
            <w:webHidden/>
          </w:rPr>
          <w:tab/>
        </w:r>
        <w:r>
          <w:rPr>
            <w:webHidden/>
          </w:rPr>
          <w:fldChar w:fldCharType="begin"/>
        </w:r>
        <w:r>
          <w:rPr>
            <w:webHidden/>
          </w:rPr>
          <w:instrText xml:space="preserve"> PAGEREF _Toc181625003 \h </w:instrText>
        </w:r>
        <w:r>
          <w:rPr>
            <w:webHidden/>
          </w:rPr>
        </w:r>
        <w:r>
          <w:rPr>
            <w:webHidden/>
          </w:rPr>
          <w:fldChar w:fldCharType="separate"/>
        </w:r>
        <w:r>
          <w:rPr>
            <w:webHidden/>
          </w:rPr>
          <w:t>109</w:t>
        </w:r>
        <w:r>
          <w:rPr>
            <w:webHidden/>
          </w:rPr>
          <w:fldChar w:fldCharType="end"/>
        </w:r>
      </w:hyperlink>
    </w:p>
    <w:p w14:paraId="7D678894" w14:textId="47A63261"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04" w:history="1">
        <w:r w:rsidRPr="00F96670">
          <w:rPr>
            <w:rStyle w:val="Hipercze"/>
          </w:rPr>
          <w:t>9.10.1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Toxicity data</w:t>
        </w:r>
        <w:r>
          <w:rPr>
            <w:webHidden/>
          </w:rPr>
          <w:tab/>
        </w:r>
        <w:r>
          <w:rPr>
            <w:webHidden/>
          </w:rPr>
          <w:fldChar w:fldCharType="begin"/>
        </w:r>
        <w:r>
          <w:rPr>
            <w:webHidden/>
          </w:rPr>
          <w:instrText xml:space="preserve"> PAGEREF _Toc181625004 \h </w:instrText>
        </w:r>
        <w:r>
          <w:rPr>
            <w:webHidden/>
          </w:rPr>
        </w:r>
        <w:r>
          <w:rPr>
            <w:webHidden/>
          </w:rPr>
          <w:fldChar w:fldCharType="separate"/>
        </w:r>
        <w:r>
          <w:rPr>
            <w:webHidden/>
          </w:rPr>
          <w:t>109</w:t>
        </w:r>
        <w:r>
          <w:rPr>
            <w:webHidden/>
          </w:rPr>
          <w:fldChar w:fldCharType="end"/>
        </w:r>
      </w:hyperlink>
    </w:p>
    <w:p w14:paraId="07EF8065" w14:textId="7642E95B"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05" w:history="1">
        <w:r w:rsidRPr="00F96670">
          <w:rPr>
            <w:rStyle w:val="Hipercze"/>
            <w:lang w:val="en-GB"/>
          </w:rPr>
          <w:t>9.10.1.1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Justification for new endpoints</w:t>
        </w:r>
        <w:r>
          <w:rPr>
            <w:webHidden/>
          </w:rPr>
          <w:tab/>
        </w:r>
        <w:r>
          <w:rPr>
            <w:webHidden/>
          </w:rPr>
          <w:fldChar w:fldCharType="begin"/>
        </w:r>
        <w:r>
          <w:rPr>
            <w:webHidden/>
          </w:rPr>
          <w:instrText xml:space="preserve"> PAGEREF _Toc181625005 \h </w:instrText>
        </w:r>
        <w:r>
          <w:rPr>
            <w:webHidden/>
          </w:rPr>
        </w:r>
        <w:r>
          <w:rPr>
            <w:webHidden/>
          </w:rPr>
          <w:fldChar w:fldCharType="separate"/>
        </w:r>
        <w:r>
          <w:rPr>
            <w:webHidden/>
          </w:rPr>
          <w:t>110</w:t>
        </w:r>
        <w:r>
          <w:rPr>
            <w:webHidden/>
          </w:rPr>
          <w:fldChar w:fldCharType="end"/>
        </w:r>
      </w:hyperlink>
    </w:p>
    <w:p w14:paraId="0A1D5905" w14:textId="10BE8627"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06" w:history="1">
        <w:r w:rsidRPr="00F96670">
          <w:rPr>
            <w:rStyle w:val="Hipercze"/>
          </w:rPr>
          <w:t>9.10.2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Risk assessment</w:t>
        </w:r>
        <w:r>
          <w:rPr>
            <w:webHidden/>
          </w:rPr>
          <w:tab/>
        </w:r>
        <w:r>
          <w:rPr>
            <w:webHidden/>
          </w:rPr>
          <w:fldChar w:fldCharType="begin"/>
        </w:r>
        <w:r>
          <w:rPr>
            <w:webHidden/>
          </w:rPr>
          <w:instrText xml:space="preserve"> PAGEREF _Toc181625006 \h </w:instrText>
        </w:r>
        <w:r>
          <w:rPr>
            <w:webHidden/>
          </w:rPr>
        </w:r>
        <w:r>
          <w:rPr>
            <w:webHidden/>
          </w:rPr>
          <w:fldChar w:fldCharType="separate"/>
        </w:r>
        <w:r>
          <w:rPr>
            <w:webHidden/>
          </w:rPr>
          <w:t>110</w:t>
        </w:r>
        <w:r>
          <w:rPr>
            <w:webHidden/>
          </w:rPr>
          <w:fldChar w:fldCharType="end"/>
        </w:r>
      </w:hyperlink>
    </w:p>
    <w:p w14:paraId="22ECBC61" w14:textId="73359294"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07" w:history="1">
        <w:r w:rsidRPr="00F96670">
          <w:rPr>
            <w:rStyle w:val="Hipercze"/>
            <w:lang w:val="en-GB"/>
          </w:rPr>
          <w:t>9.10.2.1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Tier-1 risk assessment (based screening data)</w:t>
        </w:r>
        <w:r>
          <w:rPr>
            <w:webHidden/>
          </w:rPr>
          <w:tab/>
        </w:r>
        <w:r>
          <w:rPr>
            <w:webHidden/>
          </w:rPr>
          <w:fldChar w:fldCharType="begin"/>
        </w:r>
        <w:r>
          <w:rPr>
            <w:webHidden/>
          </w:rPr>
          <w:instrText xml:space="preserve"> PAGEREF _Toc181625007 \h </w:instrText>
        </w:r>
        <w:r>
          <w:rPr>
            <w:webHidden/>
          </w:rPr>
        </w:r>
        <w:r>
          <w:rPr>
            <w:webHidden/>
          </w:rPr>
          <w:fldChar w:fldCharType="separate"/>
        </w:r>
        <w:r>
          <w:rPr>
            <w:webHidden/>
          </w:rPr>
          <w:t>110</w:t>
        </w:r>
        <w:r>
          <w:rPr>
            <w:webHidden/>
          </w:rPr>
          <w:fldChar w:fldCharType="end"/>
        </w:r>
      </w:hyperlink>
    </w:p>
    <w:p w14:paraId="6F03AB7A" w14:textId="10B8DCF4"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08" w:history="1">
        <w:r w:rsidRPr="00F96670">
          <w:rPr>
            <w:rStyle w:val="Hipercze"/>
            <w:lang w:val="en-GB"/>
          </w:rPr>
          <w:t>9.10.2.2</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Tier-2 risk assessment (based on dose-response data)</w:t>
        </w:r>
        <w:r>
          <w:rPr>
            <w:webHidden/>
          </w:rPr>
          <w:tab/>
        </w:r>
        <w:r>
          <w:rPr>
            <w:webHidden/>
          </w:rPr>
          <w:fldChar w:fldCharType="begin"/>
        </w:r>
        <w:r>
          <w:rPr>
            <w:webHidden/>
          </w:rPr>
          <w:instrText xml:space="preserve"> PAGEREF _Toc181625008 \h </w:instrText>
        </w:r>
        <w:r>
          <w:rPr>
            <w:webHidden/>
          </w:rPr>
        </w:r>
        <w:r>
          <w:rPr>
            <w:webHidden/>
          </w:rPr>
          <w:fldChar w:fldCharType="separate"/>
        </w:r>
        <w:r>
          <w:rPr>
            <w:webHidden/>
          </w:rPr>
          <w:t>110</w:t>
        </w:r>
        <w:r>
          <w:rPr>
            <w:webHidden/>
          </w:rPr>
          <w:fldChar w:fldCharType="end"/>
        </w:r>
      </w:hyperlink>
    </w:p>
    <w:p w14:paraId="7AD66A24" w14:textId="241FBDE7"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09" w:history="1">
        <w:r w:rsidRPr="00F96670">
          <w:rPr>
            <w:rStyle w:val="Hipercze"/>
            <w:lang w:val="en-GB"/>
          </w:rPr>
          <w:t>9.10.2.3</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Higher-tier risk assessment</w:t>
        </w:r>
        <w:r>
          <w:rPr>
            <w:webHidden/>
          </w:rPr>
          <w:tab/>
        </w:r>
        <w:r>
          <w:rPr>
            <w:webHidden/>
          </w:rPr>
          <w:fldChar w:fldCharType="begin"/>
        </w:r>
        <w:r>
          <w:rPr>
            <w:webHidden/>
          </w:rPr>
          <w:instrText xml:space="preserve"> PAGEREF _Toc181625009 \h </w:instrText>
        </w:r>
        <w:r>
          <w:rPr>
            <w:webHidden/>
          </w:rPr>
        </w:r>
        <w:r>
          <w:rPr>
            <w:webHidden/>
          </w:rPr>
          <w:fldChar w:fldCharType="separate"/>
        </w:r>
        <w:r>
          <w:rPr>
            <w:webHidden/>
          </w:rPr>
          <w:t>110</w:t>
        </w:r>
        <w:r>
          <w:rPr>
            <w:webHidden/>
          </w:rPr>
          <w:fldChar w:fldCharType="end"/>
        </w:r>
      </w:hyperlink>
    </w:p>
    <w:p w14:paraId="0EB2ECFA" w14:textId="5257EB8E" w:rsidR="00A76A96" w:rsidRDefault="00A76A96">
      <w:pPr>
        <w:pStyle w:val="Spistreci4"/>
        <w:rPr>
          <w:rFonts w:asciiTheme="minorHAnsi" w:eastAsiaTheme="minorEastAsia" w:hAnsiTheme="minorHAnsi" w:cstheme="minorBidi"/>
          <w:kern w:val="2"/>
          <w:sz w:val="22"/>
          <w:szCs w:val="22"/>
          <w:lang w:val="pl-PL" w:eastAsia="pl-PL"/>
          <w14:ligatures w14:val="standardContextual"/>
        </w:rPr>
      </w:pPr>
      <w:hyperlink w:anchor="_Toc181625010" w:history="1">
        <w:r w:rsidRPr="00F96670">
          <w:rPr>
            <w:rStyle w:val="Hipercze"/>
            <w:lang w:val="en-GB"/>
          </w:rPr>
          <w:t>9.10.2.4</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Risk mitigation measures</w:t>
        </w:r>
        <w:r>
          <w:rPr>
            <w:webHidden/>
          </w:rPr>
          <w:tab/>
        </w:r>
        <w:r>
          <w:rPr>
            <w:webHidden/>
          </w:rPr>
          <w:fldChar w:fldCharType="begin"/>
        </w:r>
        <w:r>
          <w:rPr>
            <w:webHidden/>
          </w:rPr>
          <w:instrText xml:space="preserve"> PAGEREF _Toc181625010 \h </w:instrText>
        </w:r>
        <w:r>
          <w:rPr>
            <w:webHidden/>
          </w:rPr>
        </w:r>
        <w:r>
          <w:rPr>
            <w:webHidden/>
          </w:rPr>
          <w:fldChar w:fldCharType="separate"/>
        </w:r>
        <w:r>
          <w:rPr>
            <w:webHidden/>
          </w:rPr>
          <w:t>110</w:t>
        </w:r>
        <w:r>
          <w:rPr>
            <w:webHidden/>
          </w:rPr>
          <w:fldChar w:fldCharType="end"/>
        </w:r>
      </w:hyperlink>
    </w:p>
    <w:p w14:paraId="0139FD14" w14:textId="3A6BABBA"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11" w:history="1">
        <w:r w:rsidRPr="00F96670">
          <w:rPr>
            <w:rStyle w:val="Hipercze"/>
          </w:rPr>
          <w:t>9.10.3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Overall conclusions</w:t>
        </w:r>
        <w:r>
          <w:rPr>
            <w:webHidden/>
          </w:rPr>
          <w:tab/>
        </w:r>
        <w:r>
          <w:rPr>
            <w:webHidden/>
          </w:rPr>
          <w:fldChar w:fldCharType="begin"/>
        </w:r>
        <w:r>
          <w:rPr>
            <w:webHidden/>
          </w:rPr>
          <w:instrText xml:space="preserve"> PAGEREF _Toc181625011 \h </w:instrText>
        </w:r>
        <w:r>
          <w:rPr>
            <w:webHidden/>
          </w:rPr>
        </w:r>
        <w:r>
          <w:rPr>
            <w:webHidden/>
          </w:rPr>
          <w:fldChar w:fldCharType="separate"/>
        </w:r>
        <w:r>
          <w:rPr>
            <w:webHidden/>
          </w:rPr>
          <w:t>111</w:t>
        </w:r>
        <w:r>
          <w:rPr>
            <w:webHidden/>
          </w:rPr>
          <w:fldChar w:fldCharType="end"/>
        </w:r>
      </w:hyperlink>
    </w:p>
    <w:p w14:paraId="28AE9BF8" w14:textId="0A36FC5F"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12" w:history="1">
        <w:r w:rsidRPr="00F96670">
          <w:rPr>
            <w:rStyle w:val="Hipercze"/>
          </w:rPr>
          <w:t>9.11</w:t>
        </w:r>
        <w:r>
          <w:rPr>
            <w:rFonts w:asciiTheme="minorHAnsi" w:eastAsiaTheme="minorEastAsia" w:hAnsiTheme="minorHAnsi" w:cstheme="minorBidi"/>
            <w:kern w:val="2"/>
            <w:sz w:val="22"/>
            <w:lang w:val="pl-PL" w:eastAsia="pl-PL"/>
            <w14:ligatures w14:val="standardContextual"/>
          </w:rPr>
          <w:tab/>
        </w:r>
        <w:r w:rsidRPr="00F96670">
          <w:rPr>
            <w:rStyle w:val="Hipercze"/>
          </w:rPr>
          <w:t>Effects on other terrestrial organisms (flora and fauna) (KCP 10.7)</w:t>
        </w:r>
        <w:r>
          <w:rPr>
            <w:webHidden/>
          </w:rPr>
          <w:tab/>
        </w:r>
        <w:r>
          <w:rPr>
            <w:webHidden/>
          </w:rPr>
          <w:fldChar w:fldCharType="begin"/>
        </w:r>
        <w:r>
          <w:rPr>
            <w:webHidden/>
          </w:rPr>
          <w:instrText xml:space="preserve"> PAGEREF _Toc181625012 \h </w:instrText>
        </w:r>
        <w:r>
          <w:rPr>
            <w:webHidden/>
          </w:rPr>
        </w:r>
        <w:r>
          <w:rPr>
            <w:webHidden/>
          </w:rPr>
          <w:fldChar w:fldCharType="separate"/>
        </w:r>
        <w:r>
          <w:rPr>
            <w:webHidden/>
          </w:rPr>
          <w:t>111</w:t>
        </w:r>
        <w:r>
          <w:rPr>
            <w:webHidden/>
          </w:rPr>
          <w:fldChar w:fldCharType="end"/>
        </w:r>
      </w:hyperlink>
    </w:p>
    <w:p w14:paraId="4DA2394F" w14:textId="556F54AF"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13" w:history="1">
        <w:r w:rsidRPr="00F96670">
          <w:rPr>
            <w:rStyle w:val="Hipercze"/>
          </w:rPr>
          <w:t>9.12</w:t>
        </w:r>
        <w:r>
          <w:rPr>
            <w:rFonts w:asciiTheme="minorHAnsi" w:eastAsiaTheme="minorEastAsia" w:hAnsiTheme="minorHAnsi" w:cstheme="minorBidi"/>
            <w:kern w:val="2"/>
            <w:sz w:val="22"/>
            <w:lang w:val="pl-PL" w:eastAsia="pl-PL"/>
            <w14:ligatures w14:val="standardContextual"/>
          </w:rPr>
          <w:tab/>
        </w:r>
        <w:r w:rsidRPr="00F96670">
          <w:rPr>
            <w:rStyle w:val="Hipercze"/>
          </w:rPr>
          <w:t>Monitoring data (KCP 10.8)</w:t>
        </w:r>
        <w:r>
          <w:rPr>
            <w:webHidden/>
          </w:rPr>
          <w:tab/>
        </w:r>
        <w:r>
          <w:rPr>
            <w:webHidden/>
          </w:rPr>
          <w:fldChar w:fldCharType="begin"/>
        </w:r>
        <w:r>
          <w:rPr>
            <w:webHidden/>
          </w:rPr>
          <w:instrText xml:space="preserve"> PAGEREF _Toc181625013 \h </w:instrText>
        </w:r>
        <w:r>
          <w:rPr>
            <w:webHidden/>
          </w:rPr>
        </w:r>
        <w:r>
          <w:rPr>
            <w:webHidden/>
          </w:rPr>
          <w:fldChar w:fldCharType="separate"/>
        </w:r>
        <w:r>
          <w:rPr>
            <w:webHidden/>
          </w:rPr>
          <w:t>111</w:t>
        </w:r>
        <w:r>
          <w:rPr>
            <w:webHidden/>
          </w:rPr>
          <w:fldChar w:fldCharType="end"/>
        </w:r>
      </w:hyperlink>
    </w:p>
    <w:p w14:paraId="637D643A" w14:textId="71443DD7"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14" w:history="1">
        <w:r w:rsidRPr="00F96670">
          <w:rPr>
            <w:rStyle w:val="Hipercze"/>
          </w:rPr>
          <w:t>9.13</w:t>
        </w:r>
        <w:r>
          <w:rPr>
            <w:rFonts w:asciiTheme="minorHAnsi" w:eastAsiaTheme="minorEastAsia" w:hAnsiTheme="minorHAnsi" w:cstheme="minorBidi"/>
            <w:kern w:val="2"/>
            <w:sz w:val="22"/>
            <w:lang w:val="pl-PL" w:eastAsia="pl-PL"/>
            <w14:ligatures w14:val="standardContextual"/>
          </w:rPr>
          <w:tab/>
        </w:r>
        <w:r w:rsidRPr="00F96670">
          <w:rPr>
            <w:rStyle w:val="Hipercze"/>
          </w:rPr>
          <w:t>Classification and Labelling</w:t>
        </w:r>
        <w:r>
          <w:rPr>
            <w:webHidden/>
          </w:rPr>
          <w:tab/>
        </w:r>
        <w:r>
          <w:rPr>
            <w:webHidden/>
          </w:rPr>
          <w:fldChar w:fldCharType="begin"/>
        </w:r>
        <w:r>
          <w:rPr>
            <w:webHidden/>
          </w:rPr>
          <w:instrText xml:space="preserve"> PAGEREF _Toc181625014 \h </w:instrText>
        </w:r>
        <w:r>
          <w:rPr>
            <w:webHidden/>
          </w:rPr>
        </w:r>
        <w:r>
          <w:rPr>
            <w:webHidden/>
          </w:rPr>
          <w:fldChar w:fldCharType="separate"/>
        </w:r>
        <w:r>
          <w:rPr>
            <w:webHidden/>
          </w:rPr>
          <w:t>112</w:t>
        </w:r>
        <w:r>
          <w:rPr>
            <w:webHidden/>
          </w:rPr>
          <w:fldChar w:fldCharType="end"/>
        </w:r>
      </w:hyperlink>
    </w:p>
    <w:p w14:paraId="5C7AE307" w14:textId="133F3966" w:rsidR="00A76A96" w:rsidRDefault="00A76A96">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5015" w:history="1">
        <w:r w:rsidRPr="00F96670">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F96670">
          <w:rPr>
            <w:rStyle w:val="Hipercze"/>
          </w:rPr>
          <w:t>Lists of data considered in support of the evaluation</w:t>
        </w:r>
        <w:r>
          <w:rPr>
            <w:webHidden/>
          </w:rPr>
          <w:tab/>
        </w:r>
        <w:r>
          <w:rPr>
            <w:webHidden/>
          </w:rPr>
          <w:fldChar w:fldCharType="begin"/>
        </w:r>
        <w:r>
          <w:rPr>
            <w:webHidden/>
          </w:rPr>
          <w:instrText xml:space="preserve"> PAGEREF _Toc181625015 \h </w:instrText>
        </w:r>
        <w:r>
          <w:rPr>
            <w:webHidden/>
          </w:rPr>
        </w:r>
        <w:r>
          <w:rPr>
            <w:webHidden/>
          </w:rPr>
          <w:fldChar w:fldCharType="separate"/>
        </w:r>
        <w:r>
          <w:rPr>
            <w:webHidden/>
          </w:rPr>
          <w:t>114</w:t>
        </w:r>
        <w:r>
          <w:rPr>
            <w:webHidden/>
          </w:rPr>
          <w:fldChar w:fldCharType="end"/>
        </w:r>
      </w:hyperlink>
    </w:p>
    <w:p w14:paraId="71647B33" w14:textId="02FC1922" w:rsidR="00A76A96" w:rsidRDefault="00A76A96">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5016" w:history="1">
        <w:r w:rsidRPr="00F96670">
          <w:rPr>
            <w:rStyle w:val="Hipercze"/>
          </w:rPr>
          <w:t>Appendix 2</w:t>
        </w:r>
        <w:r>
          <w:rPr>
            <w:rFonts w:asciiTheme="minorHAnsi" w:eastAsiaTheme="minorEastAsia" w:hAnsiTheme="minorHAnsi" w:cstheme="minorBidi"/>
            <w:b w:val="0"/>
            <w:kern w:val="2"/>
            <w:sz w:val="22"/>
            <w:szCs w:val="22"/>
            <w:lang w:val="pl-PL" w:eastAsia="pl-PL"/>
            <w14:ligatures w14:val="standardContextual"/>
          </w:rPr>
          <w:tab/>
        </w:r>
        <w:r w:rsidRPr="00F96670">
          <w:rPr>
            <w:rStyle w:val="Hipercze"/>
          </w:rPr>
          <w:t>Detailed evaluation of the new studies</w:t>
        </w:r>
        <w:r>
          <w:rPr>
            <w:webHidden/>
          </w:rPr>
          <w:tab/>
        </w:r>
        <w:r>
          <w:rPr>
            <w:webHidden/>
          </w:rPr>
          <w:fldChar w:fldCharType="begin"/>
        </w:r>
        <w:r>
          <w:rPr>
            <w:webHidden/>
          </w:rPr>
          <w:instrText xml:space="preserve"> PAGEREF _Toc181625016 \h </w:instrText>
        </w:r>
        <w:r>
          <w:rPr>
            <w:webHidden/>
          </w:rPr>
        </w:r>
        <w:r>
          <w:rPr>
            <w:webHidden/>
          </w:rPr>
          <w:fldChar w:fldCharType="separate"/>
        </w:r>
        <w:r>
          <w:rPr>
            <w:webHidden/>
          </w:rPr>
          <w:t>129</w:t>
        </w:r>
        <w:r>
          <w:rPr>
            <w:webHidden/>
          </w:rPr>
          <w:fldChar w:fldCharType="end"/>
        </w:r>
      </w:hyperlink>
    </w:p>
    <w:p w14:paraId="36D756CD" w14:textId="69CDD842"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17" w:history="1">
        <w:r w:rsidRPr="00F96670">
          <w:rPr>
            <w:rStyle w:val="Hipercze"/>
          </w:rPr>
          <w:t>A 2.1</w:t>
        </w:r>
        <w:r>
          <w:rPr>
            <w:rFonts w:asciiTheme="minorHAnsi" w:eastAsiaTheme="minorEastAsia" w:hAnsiTheme="minorHAnsi" w:cstheme="minorBidi"/>
            <w:kern w:val="2"/>
            <w:sz w:val="22"/>
            <w:lang w:val="pl-PL" w:eastAsia="pl-PL"/>
            <w14:ligatures w14:val="standardContextual"/>
          </w:rPr>
          <w:tab/>
        </w:r>
        <w:r w:rsidRPr="00F96670">
          <w:rPr>
            <w:rStyle w:val="Hipercze"/>
          </w:rPr>
          <w:t>KCP 10.1 Effects on birds and other terrestrial vertebrates</w:t>
        </w:r>
        <w:r>
          <w:rPr>
            <w:webHidden/>
          </w:rPr>
          <w:tab/>
        </w:r>
        <w:r>
          <w:rPr>
            <w:webHidden/>
          </w:rPr>
          <w:fldChar w:fldCharType="begin"/>
        </w:r>
        <w:r>
          <w:rPr>
            <w:webHidden/>
          </w:rPr>
          <w:instrText xml:space="preserve"> PAGEREF _Toc181625017 \h </w:instrText>
        </w:r>
        <w:r>
          <w:rPr>
            <w:webHidden/>
          </w:rPr>
        </w:r>
        <w:r>
          <w:rPr>
            <w:webHidden/>
          </w:rPr>
          <w:fldChar w:fldCharType="separate"/>
        </w:r>
        <w:r>
          <w:rPr>
            <w:webHidden/>
          </w:rPr>
          <w:t>129</w:t>
        </w:r>
        <w:r>
          <w:rPr>
            <w:webHidden/>
          </w:rPr>
          <w:fldChar w:fldCharType="end"/>
        </w:r>
      </w:hyperlink>
    </w:p>
    <w:p w14:paraId="7E29D94D" w14:textId="0B8D1ADE"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18" w:history="1">
        <w:r w:rsidRPr="00F96670">
          <w:rPr>
            <w:rStyle w:val="Hipercze"/>
          </w:rPr>
          <w:t>A 2.1.1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10.1.1 Effects on birds</w:t>
        </w:r>
        <w:r>
          <w:rPr>
            <w:webHidden/>
          </w:rPr>
          <w:tab/>
        </w:r>
        <w:r>
          <w:rPr>
            <w:webHidden/>
          </w:rPr>
          <w:fldChar w:fldCharType="begin"/>
        </w:r>
        <w:r>
          <w:rPr>
            <w:webHidden/>
          </w:rPr>
          <w:instrText xml:space="preserve"> PAGEREF _Toc181625018 \h </w:instrText>
        </w:r>
        <w:r>
          <w:rPr>
            <w:webHidden/>
          </w:rPr>
        </w:r>
        <w:r>
          <w:rPr>
            <w:webHidden/>
          </w:rPr>
          <w:fldChar w:fldCharType="separate"/>
        </w:r>
        <w:r>
          <w:rPr>
            <w:webHidden/>
          </w:rPr>
          <w:t>129</w:t>
        </w:r>
        <w:r>
          <w:rPr>
            <w:webHidden/>
          </w:rPr>
          <w:fldChar w:fldCharType="end"/>
        </w:r>
      </w:hyperlink>
    </w:p>
    <w:p w14:paraId="26824F38" w14:textId="763A4253"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19" w:history="1">
        <w:r w:rsidRPr="00F96670">
          <w:rPr>
            <w:rStyle w:val="Hipercze"/>
          </w:rPr>
          <w:t>A 2.1.2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10.1.2  Effects on terrestrial vertebrates other than birds</w:t>
        </w:r>
        <w:r>
          <w:rPr>
            <w:webHidden/>
          </w:rPr>
          <w:tab/>
        </w:r>
        <w:r>
          <w:rPr>
            <w:webHidden/>
          </w:rPr>
          <w:fldChar w:fldCharType="begin"/>
        </w:r>
        <w:r>
          <w:rPr>
            <w:webHidden/>
          </w:rPr>
          <w:instrText xml:space="preserve"> PAGEREF _Toc181625019 \h </w:instrText>
        </w:r>
        <w:r>
          <w:rPr>
            <w:webHidden/>
          </w:rPr>
        </w:r>
        <w:r>
          <w:rPr>
            <w:webHidden/>
          </w:rPr>
          <w:fldChar w:fldCharType="separate"/>
        </w:r>
        <w:r>
          <w:rPr>
            <w:webHidden/>
          </w:rPr>
          <w:t>132</w:t>
        </w:r>
        <w:r>
          <w:rPr>
            <w:webHidden/>
          </w:rPr>
          <w:fldChar w:fldCharType="end"/>
        </w:r>
      </w:hyperlink>
    </w:p>
    <w:p w14:paraId="7025CEB7" w14:textId="5A269F90"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0" w:history="1">
        <w:r w:rsidRPr="00F96670">
          <w:rPr>
            <w:rStyle w:val="Hipercze"/>
          </w:rPr>
          <w:t>A 2.1.3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10.1.3 Effects on other terrestrial vertebrate wildlife (reptiles and amphibians)</w:t>
        </w:r>
        <w:r>
          <w:rPr>
            <w:webHidden/>
          </w:rPr>
          <w:tab/>
        </w:r>
        <w:r>
          <w:rPr>
            <w:webHidden/>
          </w:rPr>
          <w:fldChar w:fldCharType="begin"/>
        </w:r>
        <w:r>
          <w:rPr>
            <w:webHidden/>
          </w:rPr>
          <w:instrText xml:space="preserve"> PAGEREF _Toc181625020 \h </w:instrText>
        </w:r>
        <w:r>
          <w:rPr>
            <w:webHidden/>
          </w:rPr>
        </w:r>
        <w:r>
          <w:rPr>
            <w:webHidden/>
          </w:rPr>
          <w:fldChar w:fldCharType="separate"/>
        </w:r>
        <w:r>
          <w:rPr>
            <w:webHidden/>
          </w:rPr>
          <w:t>132</w:t>
        </w:r>
        <w:r>
          <w:rPr>
            <w:webHidden/>
          </w:rPr>
          <w:fldChar w:fldCharType="end"/>
        </w:r>
      </w:hyperlink>
    </w:p>
    <w:p w14:paraId="7578253C" w14:textId="4A1B2E56"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21" w:history="1">
        <w:r w:rsidRPr="00F96670">
          <w:rPr>
            <w:rStyle w:val="Hipercze"/>
          </w:rPr>
          <w:t>A 2.2</w:t>
        </w:r>
        <w:r>
          <w:rPr>
            <w:rFonts w:asciiTheme="minorHAnsi" w:eastAsiaTheme="minorEastAsia" w:hAnsiTheme="minorHAnsi" w:cstheme="minorBidi"/>
            <w:kern w:val="2"/>
            <w:sz w:val="22"/>
            <w:lang w:val="pl-PL" w:eastAsia="pl-PL"/>
            <w14:ligatures w14:val="standardContextual"/>
          </w:rPr>
          <w:tab/>
        </w:r>
        <w:r w:rsidRPr="00F96670">
          <w:rPr>
            <w:rStyle w:val="Hipercze"/>
          </w:rPr>
          <w:t>KCP 10.2 Effects on aquatic organisms</w:t>
        </w:r>
        <w:r>
          <w:rPr>
            <w:webHidden/>
          </w:rPr>
          <w:tab/>
        </w:r>
        <w:r>
          <w:rPr>
            <w:webHidden/>
          </w:rPr>
          <w:fldChar w:fldCharType="begin"/>
        </w:r>
        <w:r>
          <w:rPr>
            <w:webHidden/>
          </w:rPr>
          <w:instrText xml:space="preserve"> PAGEREF _Toc181625021 \h </w:instrText>
        </w:r>
        <w:r>
          <w:rPr>
            <w:webHidden/>
          </w:rPr>
        </w:r>
        <w:r>
          <w:rPr>
            <w:webHidden/>
          </w:rPr>
          <w:fldChar w:fldCharType="separate"/>
        </w:r>
        <w:r>
          <w:rPr>
            <w:webHidden/>
          </w:rPr>
          <w:t>133</w:t>
        </w:r>
        <w:r>
          <w:rPr>
            <w:webHidden/>
          </w:rPr>
          <w:fldChar w:fldCharType="end"/>
        </w:r>
      </w:hyperlink>
    </w:p>
    <w:p w14:paraId="1D395839" w14:textId="687BB86E"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2" w:history="1">
        <w:r w:rsidRPr="00F96670">
          <w:rPr>
            <w:rStyle w:val="Hipercze"/>
          </w:rPr>
          <w:t>A 2.2.1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10.2.1 Acute toxicity to fish, aquatic invertebrates, or effects on aquatic algae and macrophytes</w:t>
        </w:r>
        <w:r>
          <w:rPr>
            <w:webHidden/>
          </w:rPr>
          <w:tab/>
        </w:r>
        <w:r>
          <w:rPr>
            <w:webHidden/>
          </w:rPr>
          <w:fldChar w:fldCharType="begin"/>
        </w:r>
        <w:r>
          <w:rPr>
            <w:webHidden/>
          </w:rPr>
          <w:instrText xml:space="preserve"> PAGEREF _Toc181625022 \h </w:instrText>
        </w:r>
        <w:r>
          <w:rPr>
            <w:webHidden/>
          </w:rPr>
        </w:r>
        <w:r>
          <w:rPr>
            <w:webHidden/>
          </w:rPr>
          <w:fldChar w:fldCharType="separate"/>
        </w:r>
        <w:r>
          <w:rPr>
            <w:webHidden/>
          </w:rPr>
          <w:t>133</w:t>
        </w:r>
        <w:r>
          <w:rPr>
            <w:webHidden/>
          </w:rPr>
          <w:fldChar w:fldCharType="end"/>
        </w:r>
      </w:hyperlink>
    </w:p>
    <w:p w14:paraId="3BFA4C10" w14:textId="676C8230"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3" w:history="1">
        <w:r w:rsidRPr="00F96670">
          <w:rPr>
            <w:rStyle w:val="Hipercze"/>
          </w:rPr>
          <w:t>A 2.2.2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10.2.2 Additional long-term and chronic toxicity studies on fish, aquatic invertebrates and sediment dwelling organisms</w:t>
        </w:r>
        <w:r>
          <w:rPr>
            <w:webHidden/>
          </w:rPr>
          <w:tab/>
        </w:r>
        <w:r>
          <w:rPr>
            <w:webHidden/>
          </w:rPr>
          <w:fldChar w:fldCharType="begin"/>
        </w:r>
        <w:r>
          <w:rPr>
            <w:webHidden/>
          </w:rPr>
          <w:instrText xml:space="preserve"> PAGEREF _Toc181625023 \h </w:instrText>
        </w:r>
        <w:r>
          <w:rPr>
            <w:webHidden/>
          </w:rPr>
        </w:r>
        <w:r>
          <w:rPr>
            <w:webHidden/>
          </w:rPr>
          <w:fldChar w:fldCharType="separate"/>
        </w:r>
        <w:r>
          <w:rPr>
            <w:webHidden/>
          </w:rPr>
          <w:t>162</w:t>
        </w:r>
        <w:r>
          <w:rPr>
            <w:webHidden/>
          </w:rPr>
          <w:fldChar w:fldCharType="end"/>
        </w:r>
      </w:hyperlink>
    </w:p>
    <w:p w14:paraId="0C44D4FD" w14:textId="68F640A1"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4" w:history="1">
        <w:r w:rsidRPr="00F96670">
          <w:rPr>
            <w:rStyle w:val="Hipercze"/>
          </w:rPr>
          <w:t>A 2.2.3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10.2.3 Further testing on aquatic organisms</w:t>
        </w:r>
        <w:r>
          <w:rPr>
            <w:webHidden/>
          </w:rPr>
          <w:tab/>
        </w:r>
        <w:r>
          <w:rPr>
            <w:webHidden/>
          </w:rPr>
          <w:fldChar w:fldCharType="begin"/>
        </w:r>
        <w:r>
          <w:rPr>
            <w:webHidden/>
          </w:rPr>
          <w:instrText xml:space="preserve"> PAGEREF _Toc181625024 \h </w:instrText>
        </w:r>
        <w:r>
          <w:rPr>
            <w:webHidden/>
          </w:rPr>
        </w:r>
        <w:r>
          <w:rPr>
            <w:webHidden/>
          </w:rPr>
          <w:fldChar w:fldCharType="separate"/>
        </w:r>
        <w:r>
          <w:rPr>
            <w:webHidden/>
          </w:rPr>
          <w:t>167</w:t>
        </w:r>
        <w:r>
          <w:rPr>
            <w:webHidden/>
          </w:rPr>
          <w:fldChar w:fldCharType="end"/>
        </w:r>
      </w:hyperlink>
    </w:p>
    <w:p w14:paraId="47AB92DA" w14:textId="0BF023CA"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25" w:history="1">
        <w:r w:rsidRPr="00F96670">
          <w:rPr>
            <w:rStyle w:val="Hipercze"/>
          </w:rPr>
          <w:t>A 2.3</w:t>
        </w:r>
        <w:r>
          <w:rPr>
            <w:rFonts w:asciiTheme="minorHAnsi" w:eastAsiaTheme="minorEastAsia" w:hAnsiTheme="minorHAnsi" w:cstheme="minorBidi"/>
            <w:kern w:val="2"/>
            <w:sz w:val="22"/>
            <w:lang w:val="pl-PL" w:eastAsia="pl-PL"/>
            <w14:ligatures w14:val="standardContextual"/>
          </w:rPr>
          <w:tab/>
        </w:r>
        <w:r w:rsidRPr="00F96670">
          <w:rPr>
            <w:rStyle w:val="Hipercze"/>
          </w:rPr>
          <w:t>KCP 10.3  Effects on arthropods</w:t>
        </w:r>
        <w:r>
          <w:rPr>
            <w:webHidden/>
          </w:rPr>
          <w:tab/>
        </w:r>
        <w:r>
          <w:rPr>
            <w:webHidden/>
          </w:rPr>
          <w:fldChar w:fldCharType="begin"/>
        </w:r>
        <w:r>
          <w:rPr>
            <w:webHidden/>
          </w:rPr>
          <w:instrText xml:space="preserve"> PAGEREF _Toc181625025 \h </w:instrText>
        </w:r>
        <w:r>
          <w:rPr>
            <w:webHidden/>
          </w:rPr>
        </w:r>
        <w:r>
          <w:rPr>
            <w:webHidden/>
          </w:rPr>
          <w:fldChar w:fldCharType="separate"/>
        </w:r>
        <w:r>
          <w:rPr>
            <w:webHidden/>
          </w:rPr>
          <w:t>168</w:t>
        </w:r>
        <w:r>
          <w:rPr>
            <w:webHidden/>
          </w:rPr>
          <w:fldChar w:fldCharType="end"/>
        </w:r>
      </w:hyperlink>
    </w:p>
    <w:p w14:paraId="1C2D7DBA" w14:textId="2076DE1B"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6" w:history="1">
        <w:r w:rsidRPr="00F96670">
          <w:rPr>
            <w:rStyle w:val="Hipercze"/>
          </w:rPr>
          <w:t>A 2.3.1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10.3.1  Effects on bees</w:t>
        </w:r>
        <w:r>
          <w:rPr>
            <w:webHidden/>
          </w:rPr>
          <w:tab/>
        </w:r>
        <w:r>
          <w:rPr>
            <w:webHidden/>
          </w:rPr>
          <w:fldChar w:fldCharType="begin"/>
        </w:r>
        <w:r>
          <w:rPr>
            <w:webHidden/>
          </w:rPr>
          <w:instrText xml:space="preserve"> PAGEREF _Toc181625026 \h </w:instrText>
        </w:r>
        <w:r>
          <w:rPr>
            <w:webHidden/>
          </w:rPr>
        </w:r>
        <w:r>
          <w:rPr>
            <w:webHidden/>
          </w:rPr>
          <w:fldChar w:fldCharType="separate"/>
        </w:r>
        <w:r>
          <w:rPr>
            <w:webHidden/>
          </w:rPr>
          <w:t>168</w:t>
        </w:r>
        <w:r>
          <w:rPr>
            <w:webHidden/>
          </w:rPr>
          <w:fldChar w:fldCharType="end"/>
        </w:r>
      </w:hyperlink>
    </w:p>
    <w:p w14:paraId="183D1BD2" w14:textId="4A6782A5"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7" w:history="1">
        <w:r w:rsidRPr="00F96670">
          <w:rPr>
            <w:rStyle w:val="Hipercze"/>
          </w:rPr>
          <w:t>A 2.3.2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10.3.2 Effects on non-target arthropods other than bees</w:t>
        </w:r>
        <w:r>
          <w:rPr>
            <w:webHidden/>
          </w:rPr>
          <w:tab/>
        </w:r>
        <w:r>
          <w:rPr>
            <w:webHidden/>
          </w:rPr>
          <w:fldChar w:fldCharType="begin"/>
        </w:r>
        <w:r>
          <w:rPr>
            <w:webHidden/>
          </w:rPr>
          <w:instrText xml:space="preserve"> PAGEREF _Toc181625027 \h </w:instrText>
        </w:r>
        <w:r>
          <w:rPr>
            <w:webHidden/>
          </w:rPr>
        </w:r>
        <w:r>
          <w:rPr>
            <w:webHidden/>
          </w:rPr>
          <w:fldChar w:fldCharType="separate"/>
        </w:r>
        <w:r>
          <w:rPr>
            <w:webHidden/>
          </w:rPr>
          <w:t>216</w:t>
        </w:r>
        <w:r>
          <w:rPr>
            <w:webHidden/>
          </w:rPr>
          <w:fldChar w:fldCharType="end"/>
        </w:r>
      </w:hyperlink>
    </w:p>
    <w:p w14:paraId="7B60F332" w14:textId="5E805E22"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28" w:history="1">
        <w:r w:rsidRPr="00F96670">
          <w:rPr>
            <w:rStyle w:val="Hipercze"/>
          </w:rPr>
          <w:t>A 2.4</w:t>
        </w:r>
        <w:r>
          <w:rPr>
            <w:rFonts w:asciiTheme="minorHAnsi" w:eastAsiaTheme="minorEastAsia" w:hAnsiTheme="minorHAnsi" w:cstheme="minorBidi"/>
            <w:kern w:val="2"/>
            <w:sz w:val="22"/>
            <w:lang w:val="pl-PL" w:eastAsia="pl-PL"/>
            <w14:ligatures w14:val="standardContextual"/>
          </w:rPr>
          <w:tab/>
        </w:r>
        <w:r w:rsidRPr="00F96670">
          <w:rPr>
            <w:rStyle w:val="Hipercze"/>
          </w:rPr>
          <w:t>KCP 10.4  Effects on non-target soil meso- and macrofauna</w:t>
        </w:r>
        <w:r>
          <w:rPr>
            <w:webHidden/>
          </w:rPr>
          <w:tab/>
        </w:r>
        <w:r>
          <w:rPr>
            <w:webHidden/>
          </w:rPr>
          <w:fldChar w:fldCharType="begin"/>
        </w:r>
        <w:r>
          <w:rPr>
            <w:webHidden/>
          </w:rPr>
          <w:instrText xml:space="preserve"> PAGEREF _Toc181625028 \h </w:instrText>
        </w:r>
        <w:r>
          <w:rPr>
            <w:webHidden/>
          </w:rPr>
        </w:r>
        <w:r>
          <w:rPr>
            <w:webHidden/>
          </w:rPr>
          <w:fldChar w:fldCharType="separate"/>
        </w:r>
        <w:r>
          <w:rPr>
            <w:webHidden/>
          </w:rPr>
          <w:t>231</w:t>
        </w:r>
        <w:r>
          <w:rPr>
            <w:webHidden/>
          </w:rPr>
          <w:fldChar w:fldCharType="end"/>
        </w:r>
      </w:hyperlink>
    </w:p>
    <w:p w14:paraId="515EAFF0" w14:textId="5B4D478F"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29" w:history="1">
        <w:r w:rsidRPr="00F96670">
          <w:rPr>
            <w:rStyle w:val="Hipercze"/>
          </w:rPr>
          <w:t>A 2.4.1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10.4.1  Earthworms</w:t>
        </w:r>
        <w:r>
          <w:rPr>
            <w:webHidden/>
          </w:rPr>
          <w:tab/>
        </w:r>
        <w:r>
          <w:rPr>
            <w:webHidden/>
          </w:rPr>
          <w:fldChar w:fldCharType="begin"/>
        </w:r>
        <w:r>
          <w:rPr>
            <w:webHidden/>
          </w:rPr>
          <w:instrText xml:space="preserve"> PAGEREF _Toc181625029 \h </w:instrText>
        </w:r>
        <w:r>
          <w:rPr>
            <w:webHidden/>
          </w:rPr>
        </w:r>
        <w:r>
          <w:rPr>
            <w:webHidden/>
          </w:rPr>
          <w:fldChar w:fldCharType="separate"/>
        </w:r>
        <w:r>
          <w:rPr>
            <w:webHidden/>
          </w:rPr>
          <w:t>231</w:t>
        </w:r>
        <w:r>
          <w:rPr>
            <w:webHidden/>
          </w:rPr>
          <w:fldChar w:fldCharType="end"/>
        </w:r>
      </w:hyperlink>
    </w:p>
    <w:p w14:paraId="38905DE2" w14:textId="3E925DF8"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0" w:history="1">
        <w:r w:rsidRPr="00F96670">
          <w:rPr>
            <w:rStyle w:val="Hipercze"/>
          </w:rPr>
          <w:t>A 2.4.2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10.4.2  Effects on non-target soil meso- and macrofauna (other than earthworms)</w:t>
        </w:r>
        <w:r>
          <w:rPr>
            <w:webHidden/>
          </w:rPr>
          <w:tab/>
        </w:r>
        <w:r>
          <w:rPr>
            <w:webHidden/>
          </w:rPr>
          <w:fldChar w:fldCharType="begin"/>
        </w:r>
        <w:r>
          <w:rPr>
            <w:webHidden/>
          </w:rPr>
          <w:instrText xml:space="preserve"> PAGEREF _Toc181625030 \h </w:instrText>
        </w:r>
        <w:r>
          <w:rPr>
            <w:webHidden/>
          </w:rPr>
        </w:r>
        <w:r>
          <w:rPr>
            <w:webHidden/>
          </w:rPr>
          <w:fldChar w:fldCharType="separate"/>
        </w:r>
        <w:r>
          <w:rPr>
            <w:webHidden/>
          </w:rPr>
          <w:t>244</w:t>
        </w:r>
        <w:r>
          <w:rPr>
            <w:webHidden/>
          </w:rPr>
          <w:fldChar w:fldCharType="end"/>
        </w:r>
      </w:hyperlink>
    </w:p>
    <w:p w14:paraId="156E7CD3" w14:textId="233AE2E6"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31" w:history="1">
        <w:r w:rsidRPr="00F96670">
          <w:rPr>
            <w:rStyle w:val="Hipercze"/>
          </w:rPr>
          <w:t>A 2.5</w:t>
        </w:r>
        <w:r>
          <w:rPr>
            <w:rFonts w:asciiTheme="minorHAnsi" w:eastAsiaTheme="minorEastAsia" w:hAnsiTheme="minorHAnsi" w:cstheme="minorBidi"/>
            <w:kern w:val="2"/>
            <w:sz w:val="22"/>
            <w:lang w:val="pl-PL" w:eastAsia="pl-PL"/>
            <w14:ligatures w14:val="standardContextual"/>
          </w:rPr>
          <w:tab/>
        </w:r>
        <w:r w:rsidRPr="00F96670">
          <w:rPr>
            <w:rStyle w:val="Hipercze"/>
          </w:rPr>
          <w:t>KCP 10.5  Effects on soil nitrogen transformation</w:t>
        </w:r>
        <w:r>
          <w:rPr>
            <w:webHidden/>
          </w:rPr>
          <w:tab/>
        </w:r>
        <w:r>
          <w:rPr>
            <w:webHidden/>
          </w:rPr>
          <w:fldChar w:fldCharType="begin"/>
        </w:r>
        <w:r>
          <w:rPr>
            <w:webHidden/>
          </w:rPr>
          <w:instrText xml:space="preserve"> PAGEREF _Toc181625031 \h </w:instrText>
        </w:r>
        <w:r>
          <w:rPr>
            <w:webHidden/>
          </w:rPr>
        </w:r>
        <w:r>
          <w:rPr>
            <w:webHidden/>
          </w:rPr>
          <w:fldChar w:fldCharType="separate"/>
        </w:r>
        <w:r>
          <w:rPr>
            <w:webHidden/>
          </w:rPr>
          <w:t>267</w:t>
        </w:r>
        <w:r>
          <w:rPr>
            <w:webHidden/>
          </w:rPr>
          <w:fldChar w:fldCharType="end"/>
        </w:r>
      </w:hyperlink>
    </w:p>
    <w:p w14:paraId="4AB75656" w14:textId="7E956DE2"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2" w:history="1">
        <w:r w:rsidRPr="00F96670">
          <w:rPr>
            <w:rStyle w:val="Hipercze"/>
            <w:lang w:val="en-GB"/>
          </w:rPr>
          <w:t>A 2.5.1</w:t>
        </w:r>
        <w:r>
          <w:rPr>
            <w:rFonts w:asciiTheme="minorHAnsi" w:eastAsiaTheme="minorEastAsia" w:hAnsiTheme="minorHAnsi" w:cstheme="minorBidi"/>
            <w:kern w:val="2"/>
            <w:sz w:val="22"/>
            <w:szCs w:val="22"/>
            <w:lang w:val="pl-PL" w:eastAsia="pl-PL"/>
            <w14:ligatures w14:val="standardContextual"/>
          </w:rPr>
          <w:tab/>
        </w:r>
        <w:r w:rsidRPr="00F96670">
          <w:rPr>
            <w:rStyle w:val="Hipercze"/>
            <w:lang w:val="en-GB"/>
          </w:rPr>
          <w:t>Study 1</w:t>
        </w:r>
        <w:r>
          <w:rPr>
            <w:webHidden/>
          </w:rPr>
          <w:tab/>
        </w:r>
        <w:r>
          <w:rPr>
            <w:webHidden/>
          </w:rPr>
          <w:fldChar w:fldCharType="begin"/>
        </w:r>
        <w:r>
          <w:rPr>
            <w:webHidden/>
          </w:rPr>
          <w:instrText xml:space="preserve"> PAGEREF _Toc181625032 \h </w:instrText>
        </w:r>
        <w:r>
          <w:rPr>
            <w:webHidden/>
          </w:rPr>
        </w:r>
        <w:r>
          <w:rPr>
            <w:webHidden/>
          </w:rPr>
          <w:fldChar w:fldCharType="separate"/>
        </w:r>
        <w:r>
          <w:rPr>
            <w:webHidden/>
          </w:rPr>
          <w:t>267</w:t>
        </w:r>
        <w:r>
          <w:rPr>
            <w:webHidden/>
          </w:rPr>
          <w:fldChar w:fldCharType="end"/>
        </w:r>
      </w:hyperlink>
    </w:p>
    <w:p w14:paraId="7677F71B" w14:textId="2145F669"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33" w:history="1">
        <w:r w:rsidRPr="00F96670">
          <w:rPr>
            <w:rStyle w:val="Hipercze"/>
          </w:rPr>
          <w:t>A 2.6</w:t>
        </w:r>
        <w:r>
          <w:rPr>
            <w:rFonts w:asciiTheme="minorHAnsi" w:eastAsiaTheme="minorEastAsia" w:hAnsiTheme="minorHAnsi" w:cstheme="minorBidi"/>
            <w:kern w:val="2"/>
            <w:sz w:val="22"/>
            <w:lang w:val="pl-PL" w:eastAsia="pl-PL"/>
            <w14:ligatures w14:val="standardContextual"/>
          </w:rPr>
          <w:tab/>
        </w:r>
        <w:r w:rsidRPr="00F96670">
          <w:rPr>
            <w:rStyle w:val="Hipercze"/>
          </w:rPr>
          <w:t>KCP 10.6  Effects on terrestrial non-target higher plants</w:t>
        </w:r>
        <w:r>
          <w:rPr>
            <w:webHidden/>
          </w:rPr>
          <w:tab/>
        </w:r>
        <w:r>
          <w:rPr>
            <w:webHidden/>
          </w:rPr>
          <w:fldChar w:fldCharType="begin"/>
        </w:r>
        <w:r>
          <w:rPr>
            <w:webHidden/>
          </w:rPr>
          <w:instrText xml:space="preserve"> PAGEREF _Toc181625033 \h </w:instrText>
        </w:r>
        <w:r>
          <w:rPr>
            <w:webHidden/>
          </w:rPr>
        </w:r>
        <w:r>
          <w:rPr>
            <w:webHidden/>
          </w:rPr>
          <w:fldChar w:fldCharType="separate"/>
        </w:r>
        <w:r>
          <w:rPr>
            <w:webHidden/>
          </w:rPr>
          <w:t>271</w:t>
        </w:r>
        <w:r>
          <w:rPr>
            <w:webHidden/>
          </w:rPr>
          <w:fldChar w:fldCharType="end"/>
        </w:r>
      </w:hyperlink>
    </w:p>
    <w:p w14:paraId="734FCD27" w14:textId="598C9E37"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4" w:history="1">
        <w:r w:rsidRPr="00F96670">
          <w:rPr>
            <w:rStyle w:val="Hipercze"/>
          </w:rPr>
          <w:t>A 2.6.1</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10.6.1  Summary of screening data</w:t>
        </w:r>
        <w:r>
          <w:rPr>
            <w:webHidden/>
          </w:rPr>
          <w:tab/>
        </w:r>
        <w:r>
          <w:rPr>
            <w:webHidden/>
          </w:rPr>
          <w:fldChar w:fldCharType="begin"/>
        </w:r>
        <w:r>
          <w:rPr>
            <w:webHidden/>
          </w:rPr>
          <w:instrText xml:space="preserve"> PAGEREF _Toc181625034 \h </w:instrText>
        </w:r>
        <w:r>
          <w:rPr>
            <w:webHidden/>
          </w:rPr>
        </w:r>
        <w:r>
          <w:rPr>
            <w:webHidden/>
          </w:rPr>
          <w:fldChar w:fldCharType="separate"/>
        </w:r>
        <w:r>
          <w:rPr>
            <w:webHidden/>
          </w:rPr>
          <w:t>271</w:t>
        </w:r>
        <w:r>
          <w:rPr>
            <w:webHidden/>
          </w:rPr>
          <w:fldChar w:fldCharType="end"/>
        </w:r>
      </w:hyperlink>
    </w:p>
    <w:p w14:paraId="577E453B" w14:textId="767DDC1A"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5" w:history="1">
        <w:r w:rsidRPr="00F96670">
          <w:rPr>
            <w:rStyle w:val="Hipercze"/>
          </w:rPr>
          <w:t>A 2.6.2</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10.6.2  Testing on non-target plants</w:t>
        </w:r>
        <w:r>
          <w:rPr>
            <w:webHidden/>
          </w:rPr>
          <w:tab/>
        </w:r>
        <w:r>
          <w:rPr>
            <w:webHidden/>
          </w:rPr>
          <w:fldChar w:fldCharType="begin"/>
        </w:r>
        <w:r>
          <w:rPr>
            <w:webHidden/>
          </w:rPr>
          <w:instrText xml:space="preserve"> PAGEREF _Toc181625035 \h </w:instrText>
        </w:r>
        <w:r>
          <w:rPr>
            <w:webHidden/>
          </w:rPr>
        </w:r>
        <w:r>
          <w:rPr>
            <w:webHidden/>
          </w:rPr>
          <w:fldChar w:fldCharType="separate"/>
        </w:r>
        <w:r>
          <w:rPr>
            <w:webHidden/>
          </w:rPr>
          <w:t>280</w:t>
        </w:r>
        <w:r>
          <w:rPr>
            <w:webHidden/>
          </w:rPr>
          <w:fldChar w:fldCharType="end"/>
        </w:r>
      </w:hyperlink>
    </w:p>
    <w:p w14:paraId="2232D036" w14:textId="76121629"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6" w:history="1">
        <w:r w:rsidRPr="00F96670">
          <w:rPr>
            <w:rStyle w:val="Hipercze"/>
          </w:rPr>
          <w:t>A 2.6.3</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10.6.3  Extended laboratory studies on non-target plants</w:t>
        </w:r>
        <w:r>
          <w:rPr>
            <w:webHidden/>
          </w:rPr>
          <w:tab/>
        </w:r>
        <w:r>
          <w:rPr>
            <w:webHidden/>
          </w:rPr>
          <w:fldChar w:fldCharType="begin"/>
        </w:r>
        <w:r>
          <w:rPr>
            <w:webHidden/>
          </w:rPr>
          <w:instrText xml:space="preserve"> PAGEREF _Toc181625036 \h </w:instrText>
        </w:r>
        <w:r>
          <w:rPr>
            <w:webHidden/>
          </w:rPr>
        </w:r>
        <w:r>
          <w:rPr>
            <w:webHidden/>
          </w:rPr>
          <w:fldChar w:fldCharType="separate"/>
        </w:r>
        <w:r>
          <w:rPr>
            <w:webHidden/>
          </w:rPr>
          <w:t>280</w:t>
        </w:r>
        <w:r>
          <w:rPr>
            <w:webHidden/>
          </w:rPr>
          <w:fldChar w:fldCharType="end"/>
        </w:r>
      </w:hyperlink>
    </w:p>
    <w:p w14:paraId="126A710D" w14:textId="65566BCC" w:rsidR="00A76A96" w:rsidRDefault="00A76A96">
      <w:pPr>
        <w:pStyle w:val="Spistreci3"/>
        <w:rPr>
          <w:rFonts w:asciiTheme="minorHAnsi" w:eastAsiaTheme="minorEastAsia" w:hAnsiTheme="minorHAnsi" w:cstheme="minorBidi"/>
          <w:kern w:val="2"/>
          <w:sz w:val="22"/>
          <w:szCs w:val="22"/>
          <w:lang w:val="pl-PL" w:eastAsia="pl-PL"/>
          <w14:ligatures w14:val="standardContextual"/>
        </w:rPr>
      </w:pPr>
      <w:hyperlink w:anchor="_Toc181625037" w:history="1">
        <w:r w:rsidRPr="00F96670">
          <w:rPr>
            <w:rStyle w:val="Hipercze"/>
          </w:rPr>
          <w:t>A 2.6.4</w:t>
        </w:r>
        <w:r>
          <w:rPr>
            <w:rFonts w:asciiTheme="minorHAnsi" w:eastAsiaTheme="minorEastAsia" w:hAnsiTheme="minorHAnsi" w:cstheme="minorBidi"/>
            <w:kern w:val="2"/>
            <w:sz w:val="22"/>
            <w:szCs w:val="22"/>
            <w:lang w:val="pl-PL" w:eastAsia="pl-PL"/>
            <w14:ligatures w14:val="standardContextual"/>
          </w:rPr>
          <w:tab/>
        </w:r>
        <w:r w:rsidRPr="00F96670">
          <w:rPr>
            <w:rStyle w:val="Hipercze"/>
          </w:rPr>
          <w:t>KCP 10.6.4  Semi-field and field tests on non-target plants</w:t>
        </w:r>
        <w:r>
          <w:rPr>
            <w:webHidden/>
          </w:rPr>
          <w:tab/>
        </w:r>
        <w:r>
          <w:rPr>
            <w:webHidden/>
          </w:rPr>
          <w:fldChar w:fldCharType="begin"/>
        </w:r>
        <w:r>
          <w:rPr>
            <w:webHidden/>
          </w:rPr>
          <w:instrText xml:space="preserve"> PAGEREF _Toc181625037 \h </w:instrText>
        </w:r>
        <w:r>
          <w:rPr>
            <w:webHidden/>
          </w:rPr>
        </w:r>
        <w:r>
          <w:rPr>
            <w:webHidden/>
          </w:rPr>
          <w:fldChar w:fldCharType="separate"/>
        </w:r>
        <w:r>
          <w:rPr>
            <w:webHidden/>
          </w:rPr>
          <w:t>280</w:t>
        </w:r>
        <w:r>
          <w:rPr>
            <w:webHidden/>
          </w:rPr>
          <w:fldChar w:fldCharType="end"/>
        </w:r>
      </w:hyperlink>
    </w:p>
    <w:p w14:paraId="187FB380" w14:textId="1A29F8D6"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38" w:history="1">
        <w:r w:rsidRPr="00F96670">
          <w:rPr>
            <w:rStyle w:val="Hipercze"/>
          </w:rPr>
          <w:t>A 2.7</w:t>
        </w:r>
        <w:r>
          <w:rPr>
            <w:rFonts w:asciiTheme="minorHAnsi" w:eastAsiaTheme="minorEastAsia" w:hAnsiTheme="minorHAnsi" w:cstheme="minorBidi"/>
            <w:kern w:val="2"/>
            <w:sz w:val="22"/>
            <w:lang w:val="pl-PL" w:eastAsia="pl-PL"/>
            <w14:ligatures w14:val="standardContextual"/>
          </w:rPr>
          <w:tab/>
        </w:r>
        <w:r w:rsidRPr="00F96670">
          <w:rPr>
            <w:rStyle w:val="Hipercze"/>
          </w:rPr>
          <w:t>KCP 10.7  Effects on other terrestrial organisms (flora and fauna)</w:t>
        </w:r>
        <w:r>
          <w:rPr>
            <w:webHidden/>
          </w:rPr>
          <w:tab/>
        </w:r>
        <w:r>
          <w:rPr>
            <w:webHidden/>
          </w:rPr>
          <w:fldChar w:fldCharType="begin"/>
        </w:r>
        <w:r>
          <w:rPr>
            <w:webHidden/>
          </w:rPr>
          <w:instrText xml:space="preserve"> PAGEREF _Toc181625038 \h </w:instrText>
        </w:r>
        <w:r>
          <w:rPr>
            <w:webHidden/>
          </w:rPr>
        </w:r>
        <w:r>
          <w:rPr>
            <w:webHidden/>
          </w:rPr>
          <w:fldChar w:fldCharType="separate"/>
        </w:r>
        <w:r>
          <w:rPr>
            <w:webHidden/>
          </w:rPr>
          <w:t>280</w:t>
        </w:r>
        <w:r>
          <w:rPr>
            <w:webHidden/>
          </w:rPr>
          <w:fldChar w:fldCharType="end"/>
        </w:r>
      </w:hyperlink>
    </w:p>
    <w:p w14:paraId="7615FCAE" w14:textId="5474C593" w:rsidR="00A76A96" w:rsidRDefault="00A76A96">
      <w:pPr>
        <w:pStyle w:val="Spistreci2"/>
        <w:rPr>
          <w:rFonts w:asciiTheme="minorHAnsi" w:eastAsiaTheme="minorEastAsia" w:hAnsiTheme="minorHAnsi" w:cstheme="minorBidi"/>
          <w:kern w:val="2"/>
          <w:sz w:val="22"/>
          <w:lang w:val="pl-PL" w:eastAsia="pl-PL"/>
          <w14:ligatures w14:val="standardContextual"/>
        </w:rPr>
      </w:pPr>
      <w:hyperlink w:anchor="_Toc181625039" w:history="1">
        <w:r w:rsidRPr="00F96670">
          <w:rPr>
            <w:rStyle w:val="Hipercze"/>
          </w:rPr>
          <w:t>A 2.8</w:t>
        </w:r>
        <w:r>
          <w:rPr>
            <w:rFonts w:asciiTheme="minorHAnsi" w:eastAsiaTheme="minorEastAsia" w:hAnsiTheme="minorHAnsi" w:cstheme="minorBidi"/>
            <w:kern w:val="2"/>
            <w:sz w:val="22"/>
            <w:lang w:val="pl-PL" w:eastAsia="pl-PL"/>
            <w14:ligatures w14:val="standardContextual"/>
          </w:rPr>
          <w:tab/>
        </w:r>
        <w:r w:rsidRPr="00F96670">
          <w:rPr>
            <w:rStyle w:val="Hipercze"/>
          </w:rPr>
          <w:t>KCP 10.8  Monitoring data</w:t>
        </w:r>
        <w:r>
          <w:rPr>
            <w:webHidden/>
          </w:rPr>
          <w:tab/>
        </w:r>
        <w:r>
          <w:rPr>
            <w:webHidden/>
          </w:rPr>
          <w:fldChar w:fldCharType="begin"/>
        </w:r>
        <w:r>
          <w:rPr>
            <w:webHidden/>
          </w:rPr>
          <w:instrText xml:space="preserve"> PAGEREF _Toc181625039 \h </w:instrText>
        </w:r>
        <w:r>
          <w:rPr>
            <w:webHidden/>
          </w:rPr>
        </w:r>
        <w:r>
          <w:rPr>
            <w:webHidden/>
          </w:rPr>
          <w:fldChar w:fldCharType="separate"/>
        </w:r>
        <w:r>
          <w:rPr>
            <w:webHidden/>
          </w:rPr>
          <w:t>280</w:t>
        </w:r>
        <w:r>
          <w:rPr>
            <w:webHidden/>
          </w:rPr>
          <w:fldChar w:fldCharType="end"/>
        </w:r>
      </w:hyperlink>
    </w:p>
    <w:p w14:paraId="3ED9135F" w14:textId="448B8E7B" w:rsidR="00C87689" w:rsidRPr="00A34F10" w:rsidRDefault="00004682" w:rsidP="00AA32CE">
      <w:pPr>
        <w:pStyle w:val="RepStandard"/>
      </w:pPr>
      <w:r w:rsidRPr="00A34F10">
        <w:fldChar w:fldCharType="end"/>
      </w:r>
    </w:p>
    <w:p w14:paraId="28C8EA2C" w14:textId="77777777" w:rsidR="003C5413" w:rsidRPr="00A34F10" w:rsidRDefault="003C5413" w:rsidP="00AA32CE">
      <w:pPr>
        <w:pStyle w:val="RepStandard"/>
      </w:pPr>
    </w:p>
    <w:p w14:paraId="3ECC587A" w14:textId="77777777" w:rsidR="007000DA" w:rsidRPr="00A34F10" w:rsidRDefault="007000DA" w:rsidP="00AA32CE">
      <w:pPr>
        <w:pStyle w:val="RepStandard"/>
        <w:sectPr w:rsidR="007000DA" w:rsidRPr="00A34F10" w:rsidSect="00D20BDB">
          <w:pgSz w:w="11906" w:h="16838" w:code="9"/>
          <w:pgMar w:top="1418" w:right="1134" w:bottom="1134" w:left="1418" w:header="709" w:footer="709" w:gutter="0"/>
          <w:pgNumType w:chapSep="period"/>
          <w:cols w:space="708"/>
          <w:docGrid w:linePitch="360"/>
        </w:sectPr>
      </w:pPr>
    </w:p>
    <w:p w14:paraId="406B0687" w14:textId="77777777" w:rsidR="00D526BE" w:rsidRPr="00A34F10" w:rsidRDefault="00D526BE" w:rsidP="00AA32CE">
      <w:pPr>
        <w:pStyle w:val="Nagwek1"/>
      </w:pPr>
      <w:bookmarkStart w:id="0" w:name="_Toc413922496"/>
      <w:bookmarkStart w:id="1" w:name="_Toc412643958"/>
      <w:bookmarkStart w:id="2" w:name="_Toc413916805"/>
      <w:bookmarkStart w:id="3" w:name="_Toc413916947"/>
      <w:bookmarkStart w:id="4" w:name="_Toc413922008"/>
      <w:bookmarkStart w:id="5" w:name="_Toc413922497"/>
      <w:bookmarkStart w:id="6" w:name="_Toc413922601"/>
      <w:bookmarkStart w:id="7" w:name="_Toc414955238"/>
      <w:bookmarkStart w:id="8" w:name="_Toc415214545"/>
      <w:bookmarkStart w:id="9" w:name="_Toc181624933"/>
      <w:bookmarkEnd w:id="0"/>
      <w:r w:rsidRPr="00A34F10">
        <w:lastRenderedPageBreak/>
        <w:t>E</w:t>
      </w:r>
      <w:r w:rsidR="00B75D71" w:rsidRPr="00A34F10">
        <w:t>cotoxicology</w:t>
      </w:r>
      <w:r w:rsidRPr="00A34F10">
        <w:t xml:space="preserve"> (KCP 10)</w:t>
      </w:r>
      <w:bookmarkEnd w:id="1"/>
      <w:bookmarkEnd w:id="2"/>
      <w:bookmarkEnd w:id="3"/>
      <w:bookmarkEnd w:id="4"/>
      <w:bookmarkEnd w:id="5"/>
      <w:bookmarkEnd w:id="6"/>
      <w:bookmarkEnd w:id="7"/>
      <w:bookmarkEnd w:id="8"/>
      <w:bookmarkEnd w:id="9"/>
    </w:p>
    <w:p w14:paraId="25E13A19" w14:textId="77777777" w:rsidR="00783061" w:rsidRDefault="00783061" w:rsidP="00783061">
      <w:pPr>
        <w:jc w:val="both"/>
      </w:pPr>
      <w:bookmarkStart w:id="10" w:name="_Toc399487254"/>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4"/>
      </w:tblGrid>
      <w:tr w:rsidR="00783061" w:rsidRPr="00DF7192" w14:paraId="5A39D430" w14:textId="77777777" w:rsidTr="00B85AE5">
        <w:trPr>
          <w:cantSplit/>
          <w:trHeight w:val="2655"/>
        </w:trPr>
        <w:tc>
          <w:tcPr>
            <w:tcW w:w="5000" w:type="pct"/>
            <w:shd w:val="clear" w:color="auto" w:fill="D9D9D9"/>
            <w:vAlign w:val="center"/>
          </w:tcPr>
          <w:p w14:paraId="4C7E9079" w14:textId="77777777" w:rsidR="00783061" w:rsidRPr="00D11A0E" w:rsidRDefault="00783061" w:rsidP="00B85AE5">
            <w:pPr>
              <w:spacing w:before="120" w:after="120"/>
              <w:rPr>
                <w:b/>
                <w:noProof/>
              </w:rPr>
            </w:pPr>
            <w:r w:rsidRPr="00DF4551">
              <w:rPr>
                <w:b/>
                <w:noProof/>
              </w:rPr>
              <w:t xml:space="preserve">Review </w:t>
            </w:r>
            <w:r w:rsidRPr="00D11A0E">
              <w:rPr>
                <w:b/>
                <w:noProof/>
              </w:rPr>
              <w:t>Comments:</w:t>
            </w:r>
          </w:p>
          <w:p w14:paraId="71593AB4" w14:textId="2EB796F9" w:rsidR="00326E21" w:rsidRPr="00326E21" w:rsidRDefault="00783061" w:rsidP="00B85AE5">
            <w:pPr>
              <w:keepNext/>
              <w:keepLines/>
              <w:widowControl w:val="0"/>
              <w:jc w:val="both"/>
            </w:pPr>
            <w:r w:rsidRPr="00D11A0E">
              <w:t xml:space="preserve">This document describes the acceptable use conditions required for registration of </w:t>
            </w:r>
            <w:r w:rsidRPr="00A717A0">
              <w:t xml:space="preserve">DIVEXO (BAS 743 03 F), a SC formulation containing 120 g/L </w:t>
            </w:r>
            <w:r>
              <w:t xml:space="preserve">Ametoctradin </w:t>
            </w:r>
            <w:r w:rsidRPr="00A717A0">
              <w:t xml:space="preserve">and 451 g/L </w:t>
            </w:r>
            <w:r>
              <w:t>Propamocarb</w:t>
            </w:r>
            <w:r w:rsidRPr="00A717A0">
              <w:t xml:space="preserve"> hydrochloride (=378 g/L </w:t>
            </w:r>
            <w:r>
              <w:t>Propamocarb</w:t>
            </w:r>
            <w:r w:rsidRPr="00A717A0">
              <w:t>) for the use as fungicide in</w:t>
            </w:r>
            <w:r>
              <w:t xml:space="preserve"> potato, onion, tomato and aubergine. </w:t>
            </w:r>
          </w:p>
          <w:p w14:paraId="0874C687" w14:textId="6E63802E" w:rsidR="00326E21" w:rsidRPr="00326E21" w:rsidRDefault="00326E21" w:rsidP="00326E21">
            <w:pPr>
              <w:suppressAutoHyphens/>
              <w:spacing w:before="120" w:after="120"/>
              <w:jc w:val="both"/>
              <w:rPr>
                <w:noProof/>
              </w:rPr>
            </w:pPr>
            <w:r>
              <w:rPr>
                <w:noProof/>
              </w:rPr>
              <w:t>It should be noted that</w:t>
            </w:r>
            <w:r w:rsidR="00E12C30">
              <w:rPr>
                <w:noProof/>
              </w:rPr>
              <w:t xml:space="preserve"> </w:t>
            </w:r>
            <w:r w:rsidR="00E12C30" w:rsidRPr="009F2B5C">
              <w:t xml:space="preserve">for </w:t>
            </w:r>
            <w:r w:rsidR="00E12C30">
              <w:t>t</w:t>
            </w:r>
            <w:r w:rsidR="00E12C30" w:rsidRPr="009F2B5C">
              <w:t xml:space="preserve">he </w:t>
            </w:r>
            <w:r w:rsidR="000A30FE" w:rsidRPr="009F2B5C">
              <w:t>GAPs</w:t>
            </w:r>
            <w:r w:rsidR="000A30FE">
              <w:t xml:space="preserve"> </w:t>
            </w:r>
            <w:r w:rsidR="00E12C30">
              <w:t>m</w:t>
            </w:r>
            <w:r w:rsidR="00E12C30" w:rsidRPr="009F2B5C">
              <w:t>inor use</w:t>
            </w:r>
            <w:r w:rsidR="00D51400">
              <w:t>s</w:t>
            </w:r>
            <w:r w:rsidR="00E12C30" w:rsidRPr="009F2B5C">
              <w:t xml:space="preserve"> according to Article 51</w:t>
            </w:r>
            <w:r>
              <w:rPr>
                <w:noProof/>
              </w:rPr>
              <w:t xml:space="preserve"> </w:t>
            </w:r>
            <w:r w:rsidRPr="009F2B5C">
              <w:rPr>
                <w:noProof/>
              </w:rPr>
              <w:t>n</w:t>
            </w:r>
            <w:r w:rsidRPr="009F2B5C">
              <w:t>o PEC calculations following zonal requirements are provided in this dossier B8.</w:t>
            </w:r>
            <w:r>
              <w:t xml:space="preserve"> Thus,</w:t>
            </w:r>
            <w:r w:rsidR="00E12C30">
              <w:t xml:space="preserve"> for those uses,</w:t>
            </w:r>
            <w:r>
              <w:t xml:space="preserve"> the risk to aquatic and soil organisms is not covered in this report. </w:t>
            </w:r>
          </w:p>
          <w:p w14:paraId="7C74F8C3" w14:textId="77777777" w:rsidR="00783061" w:rsidRDefault="00783061" w:rsidP="00B85AE5">
            <w:pPr>
              <w:suppressAutoHyphens/>
              <w:spacing w:before="120" w:after="120"/>
              <w:jc w:val="both"/>
              <w:rPr>
                <w:noProof/>
              </w:rPr>
            </w:pPr>
            <w:r w:rsidRPr="00D11A0E">
              <w:rPr>
                <w:noProof/>
              </w:rPr>
              <w:t>This Part B document only reviews data and additional information that has not previously been considered within the EU review process.</w:t>
            </w:r>
          </w:p>
          <w:p w14:paraId="2E785AA2" w14:textId="77777777" w:rsidR="00783061" w:rsidRPr="00DF7192" w:rsidRDefault="00783061" w:rsidP="00B85AE5">
            <w:pPr>
              <w:suppressAutoHyphens/>
              <w:spacing w:before="120" w:after="120"/>
              <w:jc w:val="both"/>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p>
        </w:tc>
      </w:tr>
    </w:tbl>
    <w:p w14:paraId="0B7561C3" w14:textId="77777777" w:rsidR="008F490C" w:rsidRDefault="008F490C" w:rsidP="00AA32CE">
      <w:pPr>
        <w:pStyle w:val="RepStandard"/>
        <w:sectPr w:rsidR="008F490C" w:rsidSect="008F490C">
          <w:headerReference w:type="default" r:id="rId14"/>
          <w:footerReference w:type="even" r:id="rId15"/>
          <w:footerReference w:type="default" r:id="rId16"/>
          <w:footerReference w:type="first" r:id="rId17"/>
          <w:pgSz w:w="11906" w:h="16838"/>
          <w:pgMar w:top="1134" w:right="1418" w:bottom="1134" w:left="1134" w:header="709" w:footer="709" w:gutter="0"/>
          <w:pgNumType w:chapSep="period"/>
          <w:cols w:space="708"/>
          <w:docGrid w:linePitch="360"/>
        </w:sectPr>
      </w:pPr>
    </w:p>
    <w:p w14:paraId="0562F84F" w14:textId="77777777" w:rsidR="00F25F77" w:rsidRPr="00A34F10" w:rsidRDefault="00F25F77" w:rsidP="00AA32CE">
      <w:pPr>
        <w:pStyle w:val="RepStandard"/>
      </w:pPr>
    </w:p>
    <w:p w14:paraId="6DF28B3D" w14:textId="77777777" w:rsidR="00D526BE" w:rsidRPr="00A34F10" w:rsidRDefault="00D526BE" w:rsidP="00AA32CE">
      <w:pPr>
        <w:pStyle w:val="Nagwek2"/>
      </w:pPr>
      <w:bookmarkStart w:id="11" w:name="_Toc412643959"/>
      <w:bookmarkStart w:id="12" w:name="_Toc413916806"/>
      <w:bookmarkStart w:id="13" w:name="_Toc413916948"/>
      <w:bookmarkStart w:id="14" w:name="_Toc413922009"/>
      <w:bookmarkStart w:id="15" w:name="_Toc413922498"/>
      <w:bookmarkStart w:id="16" w:name="_Toc413922602"/>
      <w:bookmarkStart w:id="17" w:name="_Toc414955239"/>
      <w:bookmarkStart w:id="18" w:name="_Toc415214546"/>
      <w:bookmarkStart w:id="19" w:name="_Toc181624934"/>
      <w:r w:rsidRPr="00A34F10">
        <w:t>Critical GAP and overall conclusions</w:t>
      </w:r>
      <w:bookmarkEnd w:id="10"/>
      <w:bookmarkEnd w:id="11"/>
      <w:bookmarkEnd w:id="12"/>
      <w:bookmarkEnd w:id="13"/>
      <w:bookmarkEnd w:id="14"/>
      <w:bookmarkEnd w:id="15"/>
      <w:bookmarkEnd w:id="16"/>
      <w:bookmarkEnd w:id="17"/>
      <w:bookmarkEnd w:id="18"/>
      <w:bookmarkEnd w:id="19"/>
    </w:p>
    <w:p w14:paraId="175FEA21" w14:textId="5449D644" w:rsidR="00D526BE" w:rsidRPr="00A34F10" w:rsidRDefault="00C06DED" w:rsidP="00AA32CE">
      <w:pPr>
        <w:pStyle w:val="RepLabel"/>
      </w:pPr>
      <w:r w:rsidRPr="00A34F10">
        <w:t>Table </w:t>
      </w:r>
      <w:fldSimple w:instr=" STYLEREF 2 \s ">
        <w:r w:rsidR="006F0F3B">
          <w:rPr>
            <w:noProof/>
          </w:rPr>
          <w:t>9.1</w:t>
        </w:r>
      </w:fldSimple>
      <w:r w:rsidR="007E7467">
        <w:noBreakHyphen/>
      </w:r>
      <w:fldSimple w:instr=" SEQ Table \* ARABIC \s 2 ">
        <w:r w:rsidR="006F0F3B">
          <w:rPr>
            <w:noProof/>
          </w:rPr>
          <w:t>1</w:t>
        </w:r>
      </w:fldSimple>
      <w:r w:rsidRPr="00A34F10">
        <w:t>:</w:t>
      </w:r>
      <w:r w:rsidRPr="00A34F10">
        <w:tab/>
      </w:r>
      <w:bookmarkStart w:id="20" w:name="_Toc399487255"/>
      <w:bookmarkStart w:id="21" w:name="_Toc412643960"/>
      <w:r w:rsidRPr="00A34F10">
        <w:t>Table of critical GAPs</w:t>
      </w:r>
      <w:bookmarkEnd w:id="20"/>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18"/>
        <w:gridCol w:w="763"/>
        <w:gridCol w:w="1214"/>
        <w:gridCol w:w="384"/>
        <w:gridCol w:w="1599"/>
        <w:gridCol w:w="943"/>
        <w:gridCol w:w="943"/>
        <w:gridCol w:w="943"/>
        <w:gridCol w:w="949"/>
        <w:gridCol w:w="946"/>
        <w:gridCol w:w="946"/>
        <w:gridCol w:w="719"/>
        <w:gridCol w:w="568"/>
        <w:gridCol w:w="996"/>
        <w:gridCol w:w="320"/>
        <w:gridCol w:w="320"/>
        <w:gridCol w:w="320"/>
        <w:gridCol w:w="320"/>
        <w:gridCol w:w="320"/>
        <w:gridCol w:w="320"/>
        <w:gridCol w:w="309"/>
      </w:tblGrid>
      <w:tr w:rsidR="00C06DED" w:rsidRPr="00A34F10" w14:paraId="7C0A5C96" w14:textId="77777777" w:rsidTr="00D802F0">
        <w:trPr>
          <w:tblHeader/>
        </w:trPr>
        <w:tc>
          <w:tcPr>
            <w:tcW w:w="144" w:type="pct"/>
            <w:shd w:val="clear" w:color="auto" w:fill="auto"/>
            <w:vAlign w:val="center"/>
          </w:tcPr>
          <w:p w14:paraId="55A5C24A" w14:textId="77777777" w:rsidR="00C06DED" w:rsidRPr="00A34F10" w:rsidRDefault="00C06DED" w:rsidP="00A911C9">
            <w:pPr>
              <w:pStyle w:val="RepTableSmall"/>
              <w:jc w:val="center"/>
              <w:rPr>
                <w:lang w:val="en-GB"/>
              </w:rPr>
            </w:pPr>
            <w:r w:rsidRPr="00A34F10">
              <w:rPr>
                <w:lang w:val="en-GB"/>
              </w:rPr>
              <w:t>1</w:t>
            </w:r>
          </w:p>
        </w:tc>
        <w:tc>
          <w:tcPr>
            <w:tcW w:w="262" w:type="pct"/>
            <w:shd w:val="clear" w:color="auto" w:fill="auto"/>
            <w:vAlign w:val="center"/>
          </w:tcPr>
          <w:p w14:paraId="531B639A" w14:textId="77777777" w:rsidR="00C06DED" w:rsidRPr="00A34F10" w:rsidRDefault="00C06DED" w:rsidP="00A911C9">
            <w:pPr>
              <w:pStyle w:val="RepTableSmall"/>
              <w:jc w:val="center"/>
              <w:rPr>
                <w:lang w:val="en-GB"/>
              </w:rPr>
            </w:pPr>
            <w:r w:rsidRPr="00A34F10">
              <w:rPr>
                <w:lang w:val="en-GB"/>
              </w:rPr>
              <w:t>2</w:t>
            </w:r>
          </w:p>
        </w:tc>
        <w:tc>
          <w:tcPr>
            <w:tcW w:w="417" w:type="pct"/>
            <w:shd w:val="clear" w:color="auto" w:fill="auto"/>
            <w:vAlign w:val="center"/>
          </w:tcPr>
          <w:p w14:paraId="5CC8F92A" w14:textId="77777777" w:rsidR="00C06DED" w:rsidRPr="00A34F10" w:rsidRDefault="00C06DED" w:rsidP="00A911C9">
            <w:pPr>
              <w:pStyle w:val="RepTableSmall"/>
              <w:jc w:val="center"/>
              <w:rPr>
                <w:lang w:val="en-GB"/>
              </w:rPr>
            </w:pPr>
            <w:r w:rsidRPr="00A34F10">
              <w:rPr>
                <w:lang w:val="en-GB"/>
              </w:rPr>
              <w:t>3</w:t>
            </w:r>
          </w:p>
        </w:tc>
        <w:tc>
          <w:tcPr>
            <w:tcW w:w="132" w:type="pct"/>
            <w:shd w:val="clear" w:color="auto" w:fill="auto"/>
            <w:vAlign w:val="center"/>
          </w:tcPr>
          <w:p w14:paraId="250BA184" w14:textId="77777777" w:rsidR="00C06DED" w:rsidRPr="00A34F10" w:rsidRDefault="00C06DED" w:rsidP="00A911C9">
            <w:pPr>
              <w:pStyle w:val="RepTableSmall"/>
              <w:jc w:val="center"/>
              <w:rPr>
                <w:lang w:val="en-GB"/>
              </w:rPr>
            </w:pPr>
            <w:r w:rsidRPr="00A34F10">
              <w:rPr>
                <w:lang w:val="en-GB"/>
              </w:rPr>
              <w:t>4</w:t>
            </w:r>
          </w:p>
        </w:tc>
        <w:tc>
          <w:tcPr>
            <w:tcW w:w="549" w:type="pct"/>
            <w:shd w:val="clear" w:color="auto" w:fill="auto"/>
            <w:vAlign w:val="center"/>
          </w:tcPr>
          <w:p w14:paraId="4A4015F3" w14:textId="77777777" w:rsidR="00C06DED" w:rsidRPr="00A34F10" w:rsidRDefault="00C06DED" w:rsidP="00A911C9">
            <w:pPr>
              <w:pStyle w:val="RepTableSmall"/>
              <w:jc w:val="center"/>
              <w:rPr>
                <w:lang w:val="en-GB"/>
              </w:rPr>
            </w:pPr>
            <w:r w:rsidRPr="00A34F10">
              <w:rPr>
                <w:lang w:val="en-GB"/>
              </w:rPr>
              <w:t>5</w:t>
            </w:r>
          </w:p>
        </w:tc>
        <w:tc>
          <w:tcPr>
            <w:tcW w:w="324" w:type="pct"/>
            <w:shd w:val="clear" w:color="auto" w:fill="auto"/>
            <w:vAlign w:val="center"/>
          </w:tcPr>
          <w:p w14:paraId="1796F2AE" w14:textId="77777777" w:rsidR="00C06DED" w:rsidRPr="00A34F10" w:rsidRDefault="00C06DED" w:rsidP="00A911C9">
            <w:pPr>
              <w:pStyle w:val="RepTableSmall"/>
              <w:jc w:val="center"/>
              <w:rPr>
                <w:lang w:val="en-GB"/>
              </w:rPr>
            </w:pPr>
            <w:r w:rsidRPr="00A34F10">
              <w:rPr>
                <w:lang w:val="en-GB"/>
              </w:rPr>
              <w:t>6</w:t>
            </w:r>
          </w:p>
        </w:tc>
        <w:tc>
          <w:tcPr>
            <w:tcW w:w="324" w:type="pct"/>
            <w:shd w:val="clear" w:color="auto" w:fill="auto"/>
            <w:vAlign w:val="center"/>
          </w:tcPr>
          <w:p w14:paraId="14E8CA2A" w14:textId="77777777" w:rsidR="00C06DED" w:rsidRPr="00A34F10" w:rsidRDefault="00C06DED" w:rsidP="00A911C9">
            <w:pPr>
              <w:pStyle w:val="RepTableSmall"/>
              <w:jc w:val="center"/>
              <w:rPr>
                <w:lang w:val="en-GB"/>
              </w:rPr>
            </w:pPr>
            <w:r w:rsidRPr="00A34F10">
              <w:rPr>
                <w:lang w:val="en-GB"/>
              </w:rPr>
              <w:t>7</w:t>
            </w:r>
          </w:p>
        </w:tc>
        <w:tc>
          <w:tcPr>
            <w:tcW w:w="324" w:type="pct"/>
            <w:shd w:val="clear" w:color="auto" w:fill="auto"/>
            <w:vAlign w:val="center"/>
          </w:tcPr>
          <w:p w14:paraId="41A075A4" w14:textId="77777777" w:rsidR="00C06DED" w:rsidRPr="00A34F10" w:rsidRDefault="00C06DED" w:rsidP="00A911C9">
            <w:pPr>
              <w:pStyle w:val="RepTableSmall"/>
              <w:jc w:val="center"/>
              <w:rPr>
                <w:lang w:val="en-GB"/>
              </w:rPr>
            </w:pPr>
            <w:r w:rsidRPr="00A34F10">
              <w:rPr>
                <w:lang w:val="en-GB"/>
              </w:rPr>
              <w:t>8</w:t>
            </w:r>
          </w:p>
        </w:tc>
        <w:tc>
          <w:tcPr>
            <w:tcW w:w="326" w:type="pct"/>
            <w:shd w:val="clear" w:color="auto" w:fill="auto"/>
            <w:vAlign w:val="center"/>
          </w:tcPr>
          <w:p w14:paraId="43CDD9E3" w14:textId="77777777" w:rsidR="00C06DED" w:rsidRPr="00A34F10" w:rsidRDefault="00C06DED" w:rsidP="00A911C9">
            <w:pPr>
              <w:pStyle w:val="RepTableSmall"/>
              <w:jc w:val="center"/>
              <w:rPr>
                <w:lang w:val="en-GB"/>
              </w:rPr>
            </w:pPr>
            <w:r w:rsidRPr="00A34F10">
              <w:rPr>
                <w:lang w:val="en-GB"/>
              </w:rPr>
              <w:t>9</w:t>
            </w:r>
          </w:p>
        </w:tc>
        <w:tc>
          <w:tcPr>
            <w:tcW w:w="325" w:type="pct"/>
            <w:shd w:val="clear" w:color="auto" w:fill="auto"/>
            <w:vAlign w:val="center"/>
          </w:tcPr>
          <w:p w14:paraId="4B2CB3FA" w14:textId="77777777" w:rsidR="00C06DED" w:rsidRPr="00A34F10" w:rsidRDefault="00C06DED" w:rsidP="00A911C9">
            <w:pPr>
              <w:pStyle w:val="RepTableSmall"/>
              <w:jc w:val="center"/>
              <w:rPr>
                <w:lang w:val="en-GB"/>
              </w:rPr>
            </w:pPr>
            <w:r w:rsidRPr="00A34F10">
              <w:rPr>
                <w:lang w:val="en-GB"/>
              </w:rPr>
              <w:t>10</w:t>
            </w:r>
          </w:p>
        </w:tc>
        <w:tc>
          <w:tcPr>
            <w:tcW w:w="325" w:type="pct"/>
            <w:shd w:val="clear" w:color="auto" w:fill="auto"/>
            <w:vAlign w:val="center"/>
          </w:tcPr>
          <w:p w14:paraId="0D0167D9" w14:textId="77777777" w:rsidR="00C06DED" w:rsidRPr="00A34F10" w:rsidRDefault="00C06DED" w:rsidP="00A911C9">
            <w:pPr>
              <w:pStyle w:val="RepTableSmall"/>
              <w:jc w:val="center"/>
              <w:rPr>
                <w:lang w:val="en-GB"/>
              </w:rPr>
            </w:pPr>
            <w:r w:rsidRPr="00A34F10">
              <w:rPr>
                <w:lang w:val="en-GB"/>
              </w:rPr>
              <w:t>11</w:t>
            </w:r>
          </w:p>
        </w:tc>
        <w:tc>
          <w:tcPr>
            <w:tcW w:w="247" w:type="pct"/>
            <w:shd w:val="clear" w:color="auto" w:fill="auto"/>
            <w:vAlign w:val="center"/>
          </w:tcPr>
          <w:p w14:paraId="09F9A423" w14:textId="77777777" w:rsidR="00C06DED" w:rsidRPr="00A34F10" w:rsidRDefault="00C06DED" w:rsidP="00A911C9">
            <w:pPr>
              <w:pStyle w:val="RepTableSmall"/>
              <w:jc w:val="center"/>
              <w:rPr>
                <w:lang w:val="en-GB"/>
              </w:rPr>
            </w:pPr>
            <w:r w:rsidRPr="00A34F10">
              <w:rPr>
                <w:lang w:val="en-GB"/>
              </w:rPr>
              <w:t>12</w:t>
            </w:r>
          </w:p>
        </w:tc>
        <w:tc>
          <w:tcPr>
            <w:tcW w:w="195" w:type="pct"/>
            <w:shd w:val="clear" w:color="auto" w:fill="auto"/>
            <w:vAlign w:val="center"/>
          </w:tcPr>
          <w:p w14:paraId="491A7DF3" w14:textId="77777777" w:rsidR="00C06DED" w:rsidRPr="00A34F10" w:rsidRDefault="00C06DED" w:rsidP="00A911C9">
            <w:pPr>
              <w:pStyle w:val="RepTableSmall"/>
              <w:jc w:val="center"/>
              <w:rPr>
                <w:lang w:val="en-GB"/>
              </w:rPr>
            </w:pPr>
            <w:r w:rsidRPr="00A34F10">
              <w:rPr>
                <w:lang w:val="en-GB"/>
              </w:rPr>
              <w:t>13</w:t>
            </w:r>
          </w:p>
        </w:tc>
        <w:tc>
          <w:tcPr>
            <w:tcW w:w="342" w:type="pct"/>
            <w:shd w:val="clear" w:color="auto" w:fill="auto"/>
            <w:vAlign w:val="center"/>
          </w:tcPr>
          <w:p w14:paraId="185EA5B4" w14:textId="77777777" w:rsidR="00C06DED" w:rsidRPr="00A34F10" w:rsidRDefault="00C06DED" w:rsidP="00A911C9">
            <w:pPr>
              <w:pStyle w:val="RepTableSmall"/>
              <w:jc w:val="center"/>
              <w:rPr>
                <w:lang w:val="en-GB"/>
              </w:rPr>
            </w:pPr>
            <w:r w:rsidRPr="00A34F10">
              <w:rPr>
                <w:lang w:val="en-GB"/>
              </w:rPr>
              <w:t>14</w:t>
            </w:r>
          </w:p>
        </w:tc>
        <w:tc>
          <w:tcPr>
            <w:tcW w:w="110" w:type="pct"/>
            <w:shd w:val="clear" w:color="auto" w:fill="D9D9D9"/>
            <w:vAlign w:val="center"/>
          </w:tcPr>
          <w:p w14:paraId="02079661" w14:textId="77777777" w:rsidR="00C06DED" w:rsidRPr="00A34F10" w:rsidRDefault="00C06DED" w:rsidP="00A911C9">
            <w:pPr>
              <w:pStyle w:val="RepTableSmall"/>
              <w:jc w:val="center"/>
              <w:rPr>
                <w:lang w:val="en-GB"/>
              </w:rPr>
            </w:pPr>
            <w:r w:rsidRPr="00A34F10">
              <w:rPr>
                <w:lang w:val="en-GB"/>
              </w:rPr>
              <w:t>15</w:t>
            </w:r>
          </w:p>
        </w:tc>
        <w:tc>
          <w:tcPr>
            <w:tcW w:w="110" w:type="pct"/>
            <w:shd w:val="clear" w:color="auto" w:fill="D9D9D9"/>
            <w:vAlign w:val="center"/>
          </w:tcPr>
          <w:p w14:paraId="7820AC40" w14:textId="77777777" w:rsidR="00C06DED" w:rsidRPr="00A34F10" w:rsidRDefault="00C06DED" w:rsidP="00A911C9">
            <w:pPr>
              <w:pStyle w:val="RepTableSmall"/>
              <w:jc w:val="center"/>
              <w:rPr>
                <w:lang w:val="en-GB"/>
              </w:rPr>
            </w:pPr>
            <w:r w:rsidRPr="00A34F10">
              <w:rPr>
                <w:lang w:val="en-GB"/>
              </w:rPr>
              <w:t>16</w:t>
            </w:r>
          </w:p>
        </w:tc>
        <w:tc>
          <w:tcPr>
            <w:tcW w:w="110" w:type="pct"/>
            <w:shd w:val="clear" w:color="auto" w:fill="D9D9D9"/>
            <w:vAlign w:val="center"/>
          </w:tcPr>
          <w:p w14:paraId="187D091E" w14:textId="77777777" w:rsidR="00C06DED" w:rsidRPr="00A34F10" w:rsidRDefault="00C06DED" w:rsidP="00A911C9">
            <w:pPr>
              <w:pStyle w:val="RepTableSmall"/>
              <w:jc w:val="center"/>
              <w:rPr>
                <w:lang w:val="en-GB"/>
              </w:rPr>
            </w:pPr>
            <w:r w:rsidRPr="00A34F10">
              <w:rPr>
                <w:lang w:val="en-GB"/>
              </w:rPr>
              <w:t>17</w:t>
            </w:r>
          </w:p>
        </w:tc>
        <w:tc>
          <w:tcPr>
            <w:tcW w:w="110" w:type="pct"/>
            <w:shd w:val="clear" w:color="auto" w:fill="D9D9D9"/>
            <w:vAlign w:val="center"/>
          </w:tcPr>
          <w:p w14:paraId="0FD383AA" w14:textId="77777777" w:rsidR="00C06DED" w:rsidRPr="00A34F10" w:rsidRDefault="00C06DED" w:rsidP="00A911C9">
            <w:pPr>
              <w:pStyle w:val="RepTableSmall"/>
              <w:jc w:val="center"/>
              <w:rPr>
                <w:lang w:val="en-GB"/>
              </w:rPr>
            </w:pPr>
            <w:r w:rsidRPr="00A34F10">
              <w:rPr>
                <w:lang w:val="en-GB"/>
              </w:rPr>
              <w:t>18</w:t>
            </w:r>
          </w:p>
        </w:tc>
        <w:tc>
          <w:tcPr>
            <w:tcW w:w="110" w:type="pct"/>
            <w:shd w:val="clear" w:color="auto" w:fill="D9D9D9"/>
            <w:vAlign w:val="center"/>
          </w:tcPr>
          <w:p w14:paraId="406EDA56" w14:textId="77777777" w:rsidR="00C06DED" w:rsidRPr="00A34F10" w:rsidRDefault="00C06DED" w:rsidP="00A911C9">
            <w:pPr>
              <w:pStyle w:val="RepTableSmall"/>
              <w:jc w:val="center"/>
              <w:rPr>
                <w:lang w:val="en-GB"/>
              </w:rPr>
            </w:pPr>
            <w:r w:rsidRPr="00A34F10">
              <w:rPr>
                <w:lang w:val="en-GB"/>
              </w:rPr>
              <w:t>19</w:t>
            </w:r>
          </w:p>
        </w:tc>
        <w:tc>
          <w:tcPr>
            <w:tcW w:w="110" w:type="pct"/>
            <w:shd w:val="clear" w:color="auto" w:fill="D9D9D9"/>
            <w:vAlign w:val="center"/>
          </w:tcPr>
          <w:p w14:paraId="77BAFD51" w14:textId="77777777" w:rsidR="00C06DED" w:rsidRPr="00A34F10" w:rsidRDefault="00C06DED" w:rsidP="00A911C9">
            <w:pPr>
              <w:pStyle w:val="RepTableSmall"/>
              <w:jc w:val="center"/>
              <w:rPr>
                <w:lang w:val="en-GB"/>
              </w:rPr>
            </w:pPr>
            <w:r w:rsidRPr="00A34F10">
              <w:rPr>
                <w:lang w:val="en-GB"/>
              </w:rPr>
              <w:t>20</w:t>
            </w:r>
          </w:p>
        </w:tc>
        <w:tc>
          <w:tcPr>
            <w:tcW w:w="106" w:type="pct"/>
            <w:shd w:val="clear" w:color="auto" w:fill="D9D9D9"/>
            <w:vAlign w:val="center"/>
          </w:tcPr>
          <w:p w14:paraId="5B94F1BA" w14:textId="77777777" w:rsidR="00C06DED" w:rsidRPr="00A34F10" w:rsidRDefault="00C06DED" w:rsidP="00A911C9">
            <w:pPr>
              <w:pStyle w:val="RepTableSmall"/>
              <w:jc w:val="center"/>
              <w:rPr>
                <w:lang w:val="en-GB"/>
              </w:rPr>
            </w:pPr>
            <w:r w:rsidRPr="00A34F10">
              <w:rPr>
                <w:lang w:val="en-GB"/>
              </w:rPr>
              <w:t>21</w:t>
            </w:r>
          </w:p>
        </w:tc>
      </w:tr>
      <w:tr w:rsidR="00C06DED" w:rsidRPr="00A34F10" w14:paraId="5C42D287" w14:textId="77777777" w:rsidTr="00D802F0">
        <w:tc>
          <w:tcPr>
            <w:tcW w:w="144" w:type="pct"/>
            <w:vMerge w:val="restart"/>
            <w:shd w:val="clear" w:color="auto" w:fill="auto"/>
          </w:tcPr>
          <w:p w14:paraId="348ED589" w14:textId="77777777" w:rsidR="00C06DED" w:rsidRPr="00A34F10" w:rsidRDefault="00C06DED" w:rsidP="00AA32CE">
            <w:pPr>
              <w:pStyle w:val="RepTableSmall"/>
              <w:rPr>
                <w:lang w:val="en-GB"/>
              </w:rPr>
            </w:pPr>
            <w:r w:rsidRPr="00A34F10">
              <w:rPr>
                <w:lang w:val="en-GB"/>
              </w:rPr>
              <w:t>Use-No. *</w:t>
            </w:r>
          </w:p>
        </w:tc>
        <w:tc>
          <w:tcPr>
            <w:tcW w:w="262" w:type="pct"/>
            <w:vMerge w:val="restart"/>
            <w:shd w:val="clear" w:color="auto" w:fill="auto"/>
          </w:tcPr>
          <w:p w14:paraId="66A2CA19" w14:textId="77777777" w:rsidR="00C06DED" w:rsidRPr="00A34F10" w:rsidRDefault="00C06DED" w:rsidP="00AA32CE">
            <w:pPr>
              <w:pStyle w:val="RepTableSmall"/>
              <w:rPr>
                <w:lang w:val="en-GB"/>
              </w:rPr>
            </w:pPr>
            <w:r w:rsidRPr="00A34F10">
              <w:rPr>
                <w:lang w:val="en-GB"/>
              </w:rPr>
              <w:t>Member state(s)</w:t>
            </w:r>
          </w:p>
        </w:tc>
        <w:tc>
          <w:tcPr>
            <w:tcW w:w="417" w:type="pct"/>
            <w:vMerge w:val="restart"/>
            <w:shd w:val="clear" w:color="auto" w:fill="auto"/>
          </w:tcPr>
          <w:p w14:paraId="0E301F6A" w14:textId="77777777" w:rsidR="00C06DED" w:rsidRPr="00A34F10" w:rsidRDefault="00C06DED" w:rsidP="00AA32CE">
            <w:pPr>
              <w:pStyle w:val="RepTableSmall"/>
              <w:rPr>
                <w:lang w:val="en-GB"/>
              </w:rPr>
            </w:pPr>
            <w:r w:rsidRPr="00A34F10">
              <w:rPr>
                <w:lang w:val="en-GB"/>
              </w:rPr>
              <w:t>Crop and/or situation</w:t>
            </w:r>
          </w:p>
          <w:p w14:paraId="6731E26C" w14:textId="77777777" w:rsidR="00C06DED" w:rsidRPr="00A34F10" w:rsidRDefault="00C06DED" w:rsidP="00AA32CE">
            <w:pPr>
              <w:pStyle w:val="RepTableSmall"/>
              <w:rPr>
                <w:lang w:val="en-GB"/>
              </w:rPr>
            </w:pPr>
            <w:r w:rsidRPr="00A34F10">
              <w:rPr>
                <w:lang w:val="en-GB"/>
              </w:rPr>
              <w:t>(crop destination / purpose of crop)</w:t>
            </w:r>
          </w:p>
        </w:tc>
        <w:tc>
          <w:tcPr>
            <w:tcW w:w="132" w:type="pct"/>
            <w:vMerge w:val="restart"/>
            <w:shd w:val="clear" w:color="auto" w:fill="auto"/>
          </w:tcPr>
          <w:p w14:paraId="7FC83CEC" w14:textId="77777777" w:rsidR="00C06DED" w:rsidRPr="00A34F10" w:rsidRDefault="00C06DED" w:rsidP="00AA32CE">
            <w:pPr>
              <w:pStyle w:val="RepTableSmall"/>
              <w:rPr>
                <w:lang w:val="en-GB"/>
              </w:rPr>
            </w:pPr>
            <w:r w:rsidRPr="00A34F10">
              <w:rPr>
                <w:spacing w:val="-2"/>
                <w:szCs w:val="16"/>
                <w:lang w:val="en-GB"/>
              </w:rPr>
              <w:t>F,</w:t>
            </w:r>
            <w:r w:rsidRPr="00A34F10" w:rsidDel="008876B1">
              <w:rPr>
                <w:spacing w:val="-2"/>
                <w:szCs w:val="16"/>
                <w:lang w:val="en-GB"/>
              </w:rPr>
              <w:br/>
            </w:r>
            <w:r w:rsidRPr="00A34F10">
              <w:rPr>
                <w:spacing w:val="-2"/>
                <w:szCs w:val="16"/>
                <w:lang w:val="en-GB"/>
              </w:rPr>
              <w:t>Fn, Fpn</w:t>
            </w:r>
            <w:r w:rsidRPr="00A34F10">
              <w:rPr>
                <w:spacing w:val="-2"/>
                <w:szCs w:val="16"/>
                <w:lang w:val="en-GB"/>
              </w:rPr>
              <w:br/>
              <w:t>G,</w:t>
            </w:r>
            <w:r w:rsidRPr="00A34F10">
              <w:rPr>
                <w:spacing w:val="-2"/>
                <w:szCs w:val="16"/>
                <w:lang w:val="en-GB"/>
              </w:rPr>
              <w:br/>
              <w:t>Gn, Gpn</w:t>
            </w:r>
            <w:r w:rsidRPr="00A34F10">
              <w:rPr>
                <w:spacing w:val="-2"/>
                <w:szCs w:val="16"/>
                <w:lang w:val="en-GB"/>
              </w:rPr>
              <w:br/>
              <w:t xml:space="preserve">or </w:t>
            </w:r>
            <w:r w:rsidRPr="00A34F10">
              <w:rPr>
                <w:spacing w:val="-2"/>
                <w:szCs w:val="16"/>
                <w:lang w:val="en-GB"/>
              </w:rPr>
              <w:br/>
              <w:t>I **</w:t>
            </w:r>
          </w:p>
        </w:tc>
        <w:tc>
          <w:tcPr>
            <w:tcW w:w="549" w:type="pct"/>
            <w:vMerge w:val="restart"/>
            <w:shd w:val="clear" w:color="auto" w:fill="auto"/>
          </w:tcPr>
          <w:p w14:paraId="3FD614F5" w14:textId="77777777" w:rsidR="00C06DED" w:rsidRPr="00A34F10" w:rsidRDefault="00C06DED" w:rsidP="00AA32CE">
            <w:pPr>
              <w:pStyle w:val="RepTableSmall"/>
              <w:rPr>
                <w:lang w:val="en-GB"/>
              </w:rPr>
            </w:pPr>
            <w:r w:rsidRPr="00A34F10">
              <w:rPr>
                <w:lang w:val="en-GB"/>
              </w:rPr>
              <w:t>Pests or Group of pests controlled</w:t>
            </w:r>
          </w:p>
          <w:p w14:paraId="12EED226" w14:textId="77777777" w:rsidR="00C06DED" w:rsidRPr="00A34F10" w:rsidRDefault="00C06DED" w:rsidP="00AA32CE">
            <w:pPr>
              <w:pStyle w:val="RepTableSmall"/>
              <w:rPr>
                <w:lang w:val="en-GB"/>
              </w:rPr>
            </w:pPr>
            <w:r w:rsidRPr="00A34F10">
              <w:rPr>
                <w:lang w:val="en-GB"/>
              </w:rPr>
              <w:t>(additionally: developmental stages of the pest or pest group)</w:t>
            </w:r>
          </w:p>
        </w:tc>
        <w:tc>
          <w:tcPr>
            <w:tcW w:w="1297" w:type="pct"/>
            <w:gridSpan w:val="4"/>
            <w:shd w:val="clear" w:color="auto" w:fill="auto"/>
          </w:tcPr>
          <w:p w14:paraId="6F00B8CB" w14:textId="77777777" w:rsidR="00C06DED" w:rsidRPr="00A34F10" w:rsidRDefault="00C06DED" w:rsidP="00B75D71">
            <w:pPr>
              <w:pStyle w:val="RepTableSmallBold"/>
              <w:jc w:val="center"/>
              <w:rPr>
                <w:lang w:val="en-GB"/>
              </w:rPr>
            </w:pPr>
            <w:r w:rsidRPr="00A34F10">
              <w:rPr>
                <w:lang w:val="en-GB"/>
              </w:rPr>
              <w:t>Application</w:t>
            </w:r>
          </w:p>
        </w:tc>
        <w:tc>
          <w:tcPr>
            <w:tcW w:w="897" w:type="pct"/>
            <w:gridSpan w:val="3"/>
            <w:shd w:val="clear" w:color="auto" w:fill="auto"/>
          </w:tcPr>
          <w:p w14:paraId="09BE3E68" w14:textId="77777777" w:rsidR="00C06DED" w:rsidRPr="00A34F10" w:rsidRDefault="00C06DED" w:rsidP="00B75D71">
            <w:pPr>
              <w:pStyle w:val="RepTableSmallBold"/>
              <w:jc w:val="center"/>
              <w:rPr>
                <w:lang w:val="en-GB"/>
              </w:rPr>
            </w:pPr>
            <w:r w:rsidRPr="00A34F10">
              <w:rPr>
                <w:lang w:val="en-GB"/>
              </w:rPr>
              <w:t>Application rate</w:t>
            </w:r>
          </w:p>
        </w:tc>
        <w:tc>
          <w:tcPr>
            <w:tcW w:w="195" w:type="pct"/>
            <w:vMerge w:val="restart"/>
            <w:shd w:val="clear" w:color="auto" w:fill="auto"/>
          </w:tcPr>
          <w:p w14:paraId="626CDC98" w14:textId="77777777" w:rsidR="00C06DED" w:rsidRPr="00A34F10" w:rsidRDefault="00C06DED" w:rsidP="00AA32CE">
            <w:pPr>
              <w:pStyle w:val="RepTableSmall"/>
              <w:rPr>
                <w:lang w:val="en-GB"/>
              </w:rPr>
            </w:pPr>
            <w:r w:rsidRPr="00A34F10">
              <w:rPr>
                <w:lang w:val="en-GB"/>
              </w:rPr>
              <w:t>PHI</w:t>
            </w:r>
          </w:p>
          <w:p w14:paraId="055791A2" w14:textId="77777777" w:rsidR="00C06DED" w:rsidRPr="00A34F10" w:rsidRDefault="00C06DED" w:rsidP="00AA32CE">
            <w:pPr>
              <w:pStyle w:val="RepTableSmall"/>
              <w:rPr>
                <w:lang w:val="en-GB"/>
              </w:rPr>
            </w:pPr>
            <w:r w:rsidRPr="00A34F10">
              <w:rPr>
                <w:lang w:val="en-GB"/>
              </w:rPr>
              <w:t>(days)</w:t>
            </w:r>
          </w:p>
        </w:tc>
        <w:tc>
          <w:tcPr>
            <w:tcW w:w="342" w:type="pct"/>
            <w:vMerge w:val="restart"/>
            <w:shd w:val="clear" w:color="auto" w:fill="auto"/>
          </w:tcPr>
          <w:p w14:paraId="0B7AA23C" w14:textId="77777777" w:rsidR="00C06DED" w:rsidRPr="00A34F10" w:rsidRDefault="00C06DED" w:rsidP="00AA32CE">
            <w:pPr>
              <w:pStyle w:val="RepTableSmall"/>
              <w:rPr>
                <w:lang w:val="en-GB"/>
              </w:rPr>
            </w:pPr>
            <w:r w:rsidRPr="00A34F10">
              <w:rPr>
                <w:lang w:val="en-GB"/>
              </w:rPr>
              <w:t>Remarks:</w:t>
            </w:r>
          </w:p>
          <w:p w14:paraId="7AAE9BFA" w14:textId="77777777" w:rsidR="00C06DED" w:rsidRPr="00A34F10" w:rsidRDefault="00C06DED" w:rsidP="00AA32CE">
            <w:pPr>
              <w:pStyle w:val="RepTableSmall"/>
              <w:rPr>
                <w:lang w:val="en-GB"/>
              </w:rPr>
            </w:pPr>
            <w:r w:rsidRPr="00A34F10">
              <w:rPr>
                <w:lang w:val="en-GB"/>
              </w:rPr>
              <w:t>e.g. g saf</w:t>
            </w:r>
            <w:r w:rsidRPr="00A34F10">
              <w:rPr>
                <w:lang w:val="en-GB"/>
              </w:rPr>
              <w:softHyphen/>
              <w:t>ener/ syner</w:t>
            </w:r>
            <w:r w:rsidRPr="00A34F10">
              <w:rPr>
                <w:lang w:val="en-GB"/>
              </w:rPr>
              <w:softHyphen/>
              <w:t>gist per ha</w:t>
            </w:r>
          </w:p>
        </w:tc>
        <w:tc>
          <w:tcPr>
            <w:tcW w:w="765" w:type="pct"/>
            <w:gridSpan w:val="7"/>
            <w:shd w:val="clear" w:color="auto" w:fill="D9D9D9"/>
          </w:tcPr>
          <w:p w14:paraId="17A2D144" w14:textId="77777777" w:rsidR="00C06DED" w:rsidRPr="00A34F10" w:rsidRDefault="00C06DED" w:rsidP="00B75D71">
            <w:pPr>
              <w:pStyle w:val="RepTableSmallBold"/>
              <w:jc w:val="center"/>
              <w:rPr>
                <w:lang w:val="en-GB"/>
              </w:rPr>
            </w:pPr>
            <w:r w:rsidRPr="00A34F10">
              <w:rPr>
                <w:lang w:val="en-GB"/>
              </w:rPr>
              <w:t>Conclusion</w:t>
            </w:r>
          </w:p>
        </w:tc>
      </w:tr>
      <w:tr w:rsidR="00C06DED" w:rsidRPr="00A34F10" w14:paraId="6854C29E" w14:textId="77777777" w:rsidTr="00D802F0">
        <w:trPr>
          <w:trHeight w:val="1134"/>
        </w:trPr>
        <w:tc>
          <w:tcPr>
            <w:tcW w:w="144" w:type="pct"/>
            <w:vMerge/>
            <w:shd w:val="clear" w:color="auto" w:fill="auto"/>
          </w:tcPr>
          <w:p w14:paraId="0A93610F" w14:textId="77777777" w:rsidR="00C06DED" w:rsidRPr="00A34F10" w:rsidRDefault="00C06DED" w:rsidP="00A911C9">
            <w:pPr>
              <w:pStyle w:val="RepTableSmall"/>
              <w:keepNext/>
              <w:keepLines/>
              <w:rPr>
                <w:lang w:val="en-GB"/>
              </w:rPr>
            </w:pPr>
          </w:p>
        </w:tc>
        <w:tc>
          <w:tcPr>
            <w:tcW w:w="262" w:type="pct"/>
            <w:vMerge/>
            <w:shd w:val="clear" w:color="auto" w:fill="auto"/>
          </w:tcPr>
          <w:p w14:paraId="52FF3206" w14:textId="77777777" w:rsidR="00C06DED" w:rsidRPr="00A34F10" w:rsidRDefault="00C06DED" w:rsidP="00A911C9">
            <w:pPr>
              <w:pStyle w:val="RepTableSmall"/>
              <w:keepNext/>
              <w:keepLines/>
              <w:rPr>
                <w:lang w:val="en-GB"/>
              </w:rPr>
            </w:pPr>
          </w:p>
        </w:tc>
        <w:tc>
          <w:tcPr>
            <w:tcW w:w="417" w:type="pct"/>
            <w:vMerge/>
            <w:shd w:val="clear" w:color="auto" w:fill="auto"/>
          </w:tcPr>
          <w:p w14:paraId="232EE527" w14:textId="77777777" w:rsidR="00C06DED" w:rsidRPr="00A34F10" w:rsidRDefault="00C06DED" w:rsidP="00A911C9">
            <w:pPr>
              <w:pStyle w:val="RepTableSmall"/>
              <w:keepNext/>
              <w:keepLines/>
              <w:rPr>
                <w:lang w:val="en-GB"/>
              </w:rPr>
            </w:pPr>
          </w:p>
        </w:tc>
        <w:tc>
          <w:tcPr>
            <w:tcW w:w="132" w:type="pct"/>
            <w:vMerge/>
            <w:shd w:val="clear" w:color="auto" w:fill="auto"/>
          </w:tcPr>
          <w:p w14:paraId="5919BBE5" w14:textId="77777777" w:rsidR="00C06DED" w:rsidRPr="00A34F10" w:rsidRDefault="00C06DED" w:rsidP="00A911C9">
            <w:pPr>
              <w:pStyle w:val="RepTableSmall"/>
              <w:keepNext/>
              <w:keepLines/>
              <w:ind w:left="-57" w:right="-57"/>
              <w:rPr>
                <w:lang w:val="en-GB"/>
              </w:rPr>
            </w:pPr>
          </w:p>
        </w:tc>
        <w:tc>
          <w:tcPr>
            <w:tcW w:w="549" w:type="pct"/>
            <w:vMerge/>
            <w:shd w:val="clear" w:color="auto" w:fill="auto"/>
          </w:tcPr>
          <w:p w14:paraId="4B4A18E8" w14:textId="77777777" w:rsidR="00C06DED" w:rsidRPr="00A34F10" w:rsidRDefault="00C06DED" w:rsidP="00A911C9">
            <w:pPr>
              <w:pStyle w:val="RepTableSmall"/>
              <w:keepNext/>
              <w:keepLines/>
              <w:rPr>
                <w:lang w:val="en-GB"/>
              </w:rPr>
            </w:pPr>
          </w:p>
        </w:tc>
        <w:tc>
          <w:tcPr>
            <w:tcW w:w="324" w:type="pct"/>
            <w:shd w:val="clear" w:color="auto" w:fill="auto"/>
          </w:tcPr>
          <w:p w14:paraId="74AA5884" w14:textId="77777777" w:rsidR="00C06DED" w:rsidRPr="00A34F10" w:rsidRDefault="00C06DED" w:rsidP="00AA32CE">
            <w:pPr>
              <w:pStyle w:val="RepTableSmall"/>
              <w:rPr>
                <w:lang w:val="en-GB"/>
              </w:rPr>
            </w:pPr>
            <w:r w:rsidRPr="00A34F10">
              <w:rPr>
                <w:lang w:val="en-GB"/>
              </w:rPr>
              <w:t>Method / Kind</w:t>
            </w:r>
          </w:p>
        </w:tc>
        <w:tc>
          <w:tcPr>
            <w:tcW w:w="324" w:type="pct"/>
            <w:shd w:val="clear" w:color="auto" w:fill="auto"/>
          </w:tcPr>
          <w:p w14:paraId="4612B0CC" w14:textId="77777777" w:rsidR="00C06DED" w:rsidRPr="00A34F10" w:rsidRDefault="00C06DED" w:rsidP="00AA32CE">
            <w:pPr>
              <w:pStyle w:val="RepTableSmall"/>
              <w:rPr>
                <w:lang w:val="en-GB"/>
              </w:rPr>
            </w:pPr>
            <w:r w:rsidRPr="00A34F10">
              <w:rPr>
                <w:lang w:val="en-GB"/>
              </w:rPr>
              <w:t>Timing / Growth stage of crop &amp; season</w:t>
            </w:r>
          </w:p>
        </w:tc>
        <w:tc>
          <w:tcPr>
            <w:tcW w:w="324" w:type="pct"/>
            <w:shd w:val="clear" w:color="auto" w:fill="auto"/>
          </w:tcPr>
          <w:p w14:paraId="56154ADD" w14:textId="77777777" w:rsidR="00C06DED" w:rsidRPr="00A34F10" w:rsidRDefault="00C06DED" w:rsidP="00AA32CE">
            <w:pPr>
              <w:pStyle w:val="RepTableSmall"/>
              <w:rPr>
                <w:lang w:val="en-GB"/>
              </w:rPr>
            </w:pPr>
            <w:r w:rsidRPr="00A34F10">
              <w:rPr>
                <w:lang w:val="en-GB"/>
              </w:rPr>
              <w:t xml:space="preserve">Max. number </w:t>
            </w:r>
          </w:p>
          <w:p w14:paraId="09E5E870" w14:textId="77777777" w:rsidR="00C06DED" w:rsidRPr="00A34F10" w:rsidRDefault="00C06DED" w:rsidP="00AA32CE">
            <w:pPr>
              <w:pStyle w:val="RepTableSmall"/>
              <w:rPr>
                <w:lang w:val="en-GB"/>
              </w:rPr>
            </w:pPr>
            <w:r w:rsidRPr="00A34F10">
              <w:rPr>
                <w:lang w:val="en-GB"/>
              </w:rPr>
              <w:t>a) per use</w:t>
            </w:r>
          </w:p>
          <w:p w14:paraId="5412D698" w14:textId="77777777" w:rsidR="00C06DED" w:rsidRPr="00A34F10" w:rsidRDefault="00C06DED" w:rsidP="00AA32CE">
            <w:pPr>
              <w:pStyle w:val="RepTableSmall"/>
              <w:rPr>
                <w:lang w:val="en-GB"/>
              </w:rPr>
            </w:pPr>
            <w:r w:rsidRPr="00A34F10">
              <w:rPr>
                <w:lang w:val="en-GB"/>
              </w:rPr>
              <w:t>b) per crop/ season</w:t>
            </w:r>
          </w:p>
        </w:tc>
        <w:tc>
          <w:tcPr>
            <w:tcW w:w="326" w:type="pct"/>
            <w:shd w:val="clear" w:color="auto" w:fill="auto"/>
          </w:tcPr>
          <w:p w14:paraId="71BF711D" w14:textId="77777777" w:rsidR="00C06DED" w:rsidRPr="00A34F10" w:rsidRDefault="00C06DED" w:rsidP="00AA32CE">
            <w:pPr>
              <w:pStyle w:val="RepTableSmall"/>
              <w:rPr>
                <w:lang w:val="en-GB"/>
              </w:rPr>
            </w:pPr>
            <w:r w:rsidRPr="00A34F10">
              <w:rPr>
                <w:lang w:val="en-GB"/>
              </w:rPr>
              <w:t>Min. interval between applications (days)</w:t>
            </w:r>
          </w:p>
        </w:tc>
        <w:tc>
          <w:tcPr>
            <w:tcW w:w="325" w:type="pct"/>
            <w:shd w:val="clear" w:color="auto" w:fill="auto"/>
          </w:tcPr>
          <w:p w14:paraId="586354F4" w14:textId="77777777" w:rsidR="00C06DED" w:rsidRPr="00A34F10" w:rsidRDefault="00C06DED" w:rsidP="00AA32CE">
            <w:pPr>
              <w:pStyle w:val="RepTableSmall"/>
              <w:rPr>
                <w:lang w:val="en-GB"/>
              </w:rPr>
            </w:pPr>
            <w:r w:rsidRPr="00A34F10">
              <w:rPr>
                <w:lang w:val="en-GB"/>
              </w:rPr>
              <w:t>kg or L</w:t>
            </w:r>
            <w:r w:rsidRPr="00A34F10">
              <w:rPr>
                <w:lang w:val="en-GB"/>
              </w:rPr>
              <w:br/>
              <w:t>product/ha</w:t>
            </w:r>
          </w:p>
          <w:p w14:paraId="75BEF25F" w14:textId="77777777" w:rsidR="00C06DED" w:rsidRPr="00A34F10" w:rsidRDefault="00C06DED" w:rsidP="00AA32CE">
            <w:pPr>
              <w:pStyle w:val="RepTableSmall"/>
              <w:rPr>
                <w:lang w:val="en-GB"/>
              </w:rPr>
            </w:pPr>
            <w:r w:rsidRPr="00A34F10">
              <w:rPr>
                <w:lang w:val="en-GB"/>
              </w:rPr>
              <w:t>a) max. rate per appl.</w:t>
            </w:r>
          </w:p>
          <w:p w14:paraId="39652FA2" w14:textId="77777777" w:rsidR="00C06DED" w:rsidRPr="00A34F10" w:rsidRDefault="00C06DED" w:rsidP="00AA32CE">
            <w:pPr>
              <w:pStyle w:val="RepTableSmall"/>
              <w:rPr>
                <w:lang w:val="en-GB"/>
              </w:rPr>
            </w:pPr>
            <w:r w:rsidRPr="00A34F10">
              <w:rPr>
                <w:lang w:val="en-GB"/>
              </w:rPr>
              <w:t>b) max. total rate per crop/season</w:t>
            </w:r>
          </w:p>
        </w:tc>
        <w:tc>
          <w:tcPr>
            <w:tcW w:w="325" w:type="pct"/>
            <w:shd w:val="clear" w:color="auto" w:fill="auto"/>
          </w:tcPr>
          <w:p w14:paraId="79E11CE9" w14:textId="77777777" w:rsidR="00C06DED" w:rsidRPr="00A34F10" w:rsidRDefault="00C06DED" w:rsidP="00AA32CE">
            <w:pPr>
              <w:pStyle w:val="RepTableSmall"/>
              <w:rPr>
                <w:lang w:val="en-GB"/>
              </w:rPr>
            </w:pPr>
            <w:r w:rsidRPr="00A34F10">
              <w:rPr>
                <w:lang w:val="en-GB"/>
              </w:rPr>
              <w:t>g or kg as/ha</w:t>
            </w:r>
            <w:r w:rsidRPr="00A34F10">
              <w:rPr>
                <w:lang w:val="en-GB"/>
              </w:rPr>
              <w:br/>
            </w:r>
          </w:p>
          <w:p w14:paraId="4C1F064A" w14:textId="77777777" w:rsidR="00C06DED" w:rsidRPr="00A34F10" w:rsidRDefault="00C06DED" w:rsidP="00AA32CE">
            <w:pPr>
              <w:pStyle w:val="RepTableSmall"/>
              <w:rPr>
                <w:lang w:val="en-GB"/>
              </w:rPr>
            </w:pPr>
            <w:r w:rsidRPr="00A34F10">
              <w:rPr>
                <w:lang w:val="en-GB"/>
              </w:rPr>
              <w:t>a) max. rate per appl.</w:t>
            </w:r>
          </w:p>
          <w:p w14:paraId="5D41113C" w14:textId="77777777" w:rsidR="00C06DED" w:rsidRPr="00A34F10" w:rsidRDefault="00C06DED" w:rsidP="00AA32CE">
            <w:pPr>
              <w:pStyle w:val="RepTableSmall"/>
              <w:rPr>
                <w:lang w:val="en-GB"/>
              </w:rPr>
            </w:pPr>
            <w:r w:rsidRPr="00A34F10">
              <w:rPr>
                <w:lang w:val="en-GB"/>
              </w:rPr>
              <w:t>b) max. total rate per crop/season</w:t>
            </w:r>
          </w:p>
        </w:tc>
        <w:tc>
          <w:tcPr>
            <w:tcW w:w="247" w:type="pct"/>
            <w:shd w:val="clear" w:color="auto" w:fill="auto"/>
          </w:tcPr>
          <w:p w14:paraId="243F0829" w14:textId="77777777" w:rsidR="00C06DED" w:rsidRPr="00A34F10" w:rsidRDefault="00C06DED" w:rsidP="00AA32CE">
            <w:pPr>
              <w:pStyle w:val="RepTableSmall"/>
              <w:rPr>
                <w:lang w:val="en-GB"/>
              </w:rPr>
            </w:pPr>
            <w:r w:rsidRPr="00A34F10">
              <w:rPr>
                <w:lang w:val="en-GB"/>
              </w:rPr>
              <w:t>Water L/ha</w:t>
            </w:r>
          </w:p>
          <w:p w14:paraId="2128CCD0" w14:textId="77777777" w:rsidR="00C06DED" w:rsidRPr="00A34F10" w:rsidRDefault="00C06DED" w:rsidP="00AA32CE">
            <w:pPr>
              <w:pStyle w:val="RepTableSmall"/>
              <w:rPr>
                <w:lang w:val="en-GB"/>
              </w:rPr>
            </w:pPr>
            <w:r w:rsidRPr="00A34F10">
              <w:rPr>
                <w:lang w:val="en-GB"/>
              </w:rPr>
              <w:t>min/max</w:t>
            </w:r>
          </w:p>
        </w:tc>
        <w:tc>
          <w:tcPr>
            <w:tcW w:w="195" w:type="pct"/>
            <w:vMerge/>
            <w:shd w:val="clear" w:color="auto" w:fill="auto"/>
          </w:tcPr>
          <w:p w14:paraId="3545F8B7" w14:textId="77777777" w:rsidR="00C06DED" w:rsidRPr="00A34F10" w:rsidRDefault="00C06DED" w:rsidP="00A911C9">
            <w:pPr>
              <w:pStyle w:val="RepTableSmall"/>
              <w:keepNext/>
              <w:keepLines/>
              <w:rPr>
                <w:lang w:val="en-GB"/>
              </w:rPr>
            </w:pPr>
          </w:p>
        </w:tc>
        <w:tc>
          <w:tcPr>
            <w:tcW w:w="342" w:type="pct"/>
            <w:vMerge/>
            <w:shd w:val="clear" w:color="auto" w:fill="auto"/>
          </w:tcPr>
          <w:p w14:paraId="58636450" w14:textId="77777777" w:rsidR="00C06DED" w:rsidRPr="00A34F10" w:rsidRDefault="00C06DED" w:rsidP="00A911C9">
            <w:pPr>
              <w:pStyle w:val="RepTableSmall"/>
              <w:keepNext/>
              <w:keepLines/>
              <w:rPr>
                <w:lang w:val="en-GB"/>
              </w:rPr>
            </w:pPr>
          </w:p>
        </w:tc>
        <w:tc>
          <w:tcPr>
            <w:tcW w:w="110" w:type="pct"/>
            <w:shd w:val="clear" w:color="auto" w:fill="D9D9D9"/>
            <w:textDirection w:val="btLr"/>
          </w:tcPr>
          <w:p w14:paraId="780C371D" w14:textId="77777777" w:rsidR="00C06DED" w:rsidRPr="00A34F10" w:rsidRDefault="00C06DED" w:rsidP="00AA32CE">
            <w:pPr>
              <w:pStyle w:val="RepTableSmall"/>
              <w:rPr>
                <w:lang w:val="en-GB"/>
              </w:rPr>
            </w:pPr>
            <w:r w:rsidRPr="00A34F10">
              <w:rPr>
                <w:lang w:val="en-GB"/>
              </w:rPr>
              <w:t>Birds</w:t>
            </w:r>
          </w:p>
        </w:tc>
        <w:tc>
          <w:tcPr>
            <w:tcW w:w="110" w:type="pct"/>
            <w:shd w:val="clear" w:color="auto" w:fill="D9D9D9"/>
            <w:textDirection w:val="btLr"/>
          </w:tcPr>
          <w:p w14:paraId="07AB3C83" w14:textId="77777777" w:rsidR="00C06DED" w:rsidRPr="00A34F10" w:rsidRDefault="00C06DED" w:rsidP="00AA32CE">
            <w:pPr>
              <w:pStyle w:val="RepTableSmall"/>
              <w:rPr>
                <w:lang w:val="en-GB"/>
              </w:rPr>
            </w:pPr>
            <w:r w:rsidRPr="00A34F10">
              <w:rPr>
                <w:lang w:val="en-GB"/>
              </w:rPr>
              <w:t xml:space="preserve"> Mammals</w:t>
            </w:r>
          </w:p>
        </w:tc>
        <w:tc>
          <w:tcPr>
            <w:tcW w:w="110" w:type="pct"/>
            <w:shd w:val="clear" w:color="auto" w:fill="D9D9D9"/>
            <w:textDirection w:val="btLr"/>
          </w:tcPr>
          <w:p w14:paraId="4F3D337F" w14:textId="77777777" w:rsidR="00C06DED" w:rsidRPr="00A34F10" w:rsidRDefault="00C06DED" w:rsidP="00AA32CE">
            <w:pPr>
              <w:pStyle w:val="RepTableSmall"/>
              <w:rPr>
                <w:lang w:val="en-GB"/>
              </w:rPr>
            </w:pPr>
            <w:r w:rsidRPr="00A34F10">
              <w:rPr>
                <w:lang w:val="en-GB"/>
              </w:rPr>
              <w:t>Aquatic organisms</w:t>
            </w:r>
          </w:p>
        </w:tc>
        <w:tc>
          <w:tcPr>
            <w:tcW w:w="110" w:type="pct"/>
            <w:shd w:val="clear" w:color="auto" w:fill="D9D9D9"/>
            <w:textDirection w:val="btLr"/>
          </w:tcPr>
          <w:p w14:paraId="79ED7B08" w14:textId="77777777" w:rsidR="00C06DED" w:rsidRPr="00A34F10" w:rsidRDefault="00C06DED" w:rsidP="00AA32CE">
            <w:pPr>
              <w:pStyle w:val="RepTableSmall"/>
              <w:rPr>
                <w:lang w:val="en-GB"/>
              </w:rPr>
            </w:pPr>
            <w:r w:rsidRPr="00A34F10">
              <w:rPr>
                <w:lang w:val="en-GB"/>
              </w:rPr>
              <w:t>Bees</w:t>
            </w:r>
          </w:p>
        </w:tc>
        <w:tc>
          <w:tcPr>
            <w:tcW w:w="110" w:type="pct"/>
            <w:shd w:val="clear" w:color="auto" w:fill="D9D9D9"/>
            <w:textDirection w:val="btLr"/>
          </w:tcPr>
          <w:p w14:paraId="2695D154" w14:textId="77777777" w:rsidR="00C06DED" w:rsidRPr="00A34F10" w:rsidRDefault="00C06DED" w:rsidP="00AA32CE">
            <w:pPr>
              <w:pStyle w:val="RepTableSmall"/>
              <w:rPr>
                <w:lang w:val="en-GB"/>
              </w:rPr>
            </w:pPr>
            <w:r w:rsidRPr="00A34F10">
              <w:rPr>
                <w:lang w:val="en-GB"/>
              </w:rPr>
              <w:t>Non-target arthropods</w:t>
            </w:r>
          </w:p>
        </w:tc>
        <w:tc>
          <w:tcPr>
            <w:tcW w:w="110" w:type="pct"/>
            <w:shd w:val="clear" w:color="auto" w:fill="D9D9D9"/>
            <w:textDirection w:val="btLr"/>
          </w:tcPr>
          <w:p w14:paraId="5C8C3AE3" w14:textId="77777777" w:rsidR="00C06DED" w:rsidRPr="00A34F10" w:rsidRDefault="00C06DED" w:rsidP="00AA32CE">
            <w:pPr>
              <w:pStyle w:val="RepTableSmall"/>
              <w:rPr>
                <w:lang w:val="en-GB"/>
              </w:rPr>
            </w:pPr>
            <w:r w:rsidRPr="00A34F10">
              <w:rPr>
                <w:lang w:val="en-GB"/>
              </w:rPr>
              <w:t>Soil organisms</w:t>
            </w:r>
          </w:p>
        </w:tc>
        <w:tc>
          <w:tcPr>
            <w:tcW w:w="106" w:type="pct"/>
            <w:shd w:val="clear" w:color="auto" w:fill="D9D9D9"/>
            <w:textDirection w:val="btLr"/>
          </w:tcPr>
          <w:p w14:paraId="0ABBF939" w14:textId="77777777" w:rsidR="00C06DED" w:rsidRPr="00A34F10" w:rsidRDefault="00C06DED" w:rsidP="00AA32CE">
            <w:pPr>
              <w:pStyle w:val="RepTableSmall"/>
              <w:rPr>
                <w:lang w:val="en-GB"/>
              </w:rPr>
            </w:pPr>
            <w:r w:rsidRPr="00A34F10">
              <w:rPr>
                <w:lang w:val="en-GB"/>
              </w:rPr>
              <w:t>Non-target plants</w:t>
            </w:r>
          </w:p>
        </w:tc>
      </w:tr>
      <w:tr w:rsidR="00D526BE" w:rsidRPr="00A34F10" w14:paraId="20592541" w14:textId="77777777" w:rsidTr="00A911C9">
        <w:tc>
          <w:tcPr>
            <w:tcW w:w="5000" w:type="pct"/>
            <w:gridSpan w:val="21"/>
            <w:shd w:val="clear" w:color="auto" w:fill="auto"/>
          </w:tcPr>
          <w:p w14:paraId="16BB091C" w14:textId="77777777" w:rsidR="00D526BE" w:rsidRPr="00A34F10" w:rsidRDefault="00D526BE" w:rsidP="00AA32CE">
            <w:pPr>
              <w:pStyle w:val="RepTableSmallBold"/>
              <w:rPr>
                <w:lang w:val="en-GB"/>
              </w:rPr>
            </w:pPr>
            <w:r w:rsidRPr="00A34F10">
              <w:rPr>
                <w:lang w:val="en-GB"/>
              </w:rPr>
              <w:t>Zonal uses (field or outdoor uses, certain types of protected crops)</w:t>
            </w:r>
          </w:p>
        </w:tc>
      </w:tr>
      <w:tr w:rsidR="004F0196" w:rsidRPr="00A34F10" w14:paraId="7C7FBF26" w14:textId="77777777" w:rsidTr="00595E62">
        <w:tc>
          <w:tcPr>
            <w:tcW w:w="144" w:type="pct"/>
            <w:shd w:val="clear" w:color="auto" w:fill="auto"/>
          </w:tcPr>
          <w:p w14:paraId="16F6FD4A" w14:textId="2900E8D8" w:rsidR="004F0196" w:rsidRPr="00A34F10" w:rsidRDefault="004F0196" w:rsidP="004F0196">
            <w:pPr>
              <w:pStyle w:val="RepTableSmall"/>
              <w:rPr>
                <w:lang w:val="en-GB"/>
              </w:rPr>
            </w:pPr>
            <w:r w:rsidRPr="00A34F10">
              <w:rPr>
                <w:spacing w:val="-1"/>
                <w:szCs w:val="16"/>
                <w:lang w:val="en-GB"/>
              </w:rPr>
              <w:t>1</w:t>
            </w:r>
          </w:p>
        </w:tc>
        <w:tc>
          <w:tcPr>
            <w:tcW w:w="262" w:type="pct"/>
            <w:shd w:val="clear" w:color="auto" w:fill="auto"/>
          </w:tcPr>
          <w:p w14:paraId="22F16EDA" w14:textId="77777777" w:rsidR="004F0196" w:rsidRPr="00A34F10" w:rsidRDefault="004F0196" w:rsidP="004F0196">
            <w:pPr>
              <w:keepNext/>
              <w:keepLines/>
              <w:widowControl w:val="0"/>
              <w:rPr>
                <w:spacing w:val="-1"/>
                <w:sz w:val="16"/>
                <w:szCs w:val="16"/>
                <w:lang w:eastAsia="de-DE"/>
              </w:rPr>
            </w:pPr>
            <w:r w:rsidRPr="00A34F10">
              <w:rPr>
                <w:spacing w:val="-1"/>
                <w:sz w:val="16"/>
                <w:szCs w:val="16"/>
                <w:lang w:eastAsia="de-DE"/>
              </w:rPr>
              <w:t>BE, IE, NL</w:t>
            </w:r>
          </w:p>
          <w:p w14:paraId="23366682" w14:textId="77777777" w:rsidR="004F0196" w:rsidRPr="00A34F10" w:rsidRDefault="004F0196" w:rsidP="004F0196">
            <w:pPr>
              <w:keepNext/>
              <w:keepLines/>
              <w:widowControl w:val="0"/>
              <w:rPr>
                <w:spacing w:val="-1"/>
                <w:sz w:val="16"/>
                <w:szCs w:val="16"/>
                <w:lang w:eastAsia="de-DE"/>
              </w:rPr>
            </w:pPr>
          </w:p>
          <w:p w14:paraId="79073D60" w14:textId="77777777" w:rsidR="004F0196" w:rsidRPr="00A34F10" w:rsidRDefault="004F0196" w:rsidP="004F0196">
            <w:pPr>
              <w:keepNext/>
              <w:keepLines/>
              <w:widowControl w:val="0"/>
              <w:rPr>
                <w:spacing w:val="-1"/>
                <w:sz w:val="16"/>
                <w:szCs w:val="16"/>
                <w:lang w:eastAsia="de-DE"/>
              </w:rPr>
            </w:pPr>
          </w:p>
          <w:p w14:paraId="25CA75E7" w14:textId="77777777" w:rsidR="004F0196" w:rsidRPr="00A34F10" w:rsidRDefault="004F0196" w:rsidP="004F0196">
            <w:pPr>
              <w:keepNext/>
              <w:keepLines/>
              <w:widowControl w:val="0"/>
              <w:rPr>
                <w:spacing w:val="-1"/>
                <w:sz w:val="16"/>
                <w:szCs w:val="16"/>
                <w:lang w:eastAsia="de-DE"/>
              </w:rPr>
            </w:pPr>
          </w:p>
          <w:p w14:paraId="6319D34B" w14:textId="77777777" w:rsidR="004F0196" w:rsidRPr="00A34F10" w:rsidRDefault="004F0196" w:rsidP="004F0196">
            <w:pPr>
              <w:keepNext/>
              <w:keepLines/>
              <w:widowControl w:val="0"/>
              <w:rPr>
                <w:spacing w:val="-1"/>
                <w:sz w:val="16"/>
                <w:szCs w:val="16"/>
                <w:lang w:eastAsia="de-DE"/>
              </w:rPr>
            </w:pPr>
          </w:p>
          <w:p w14:paraId="1C5FCF16" w14:textId="77777777" w:rsidR="004F0196" w:rsidRPr="00A34F10" w:rsidRDefault="004F0196" w:rsidP="004F0196">
            <w:pPr>
              <w:pStyle w:val="RepTableSmall"/>
              <w:rPr>
                <w:lang w:val="en-GB"/>
              </w:rPr>
            </w:pPr>
          </w:p>
        </w:tc>
        <w:tc>
          <w:tcPr>
            <w:tcW w:w="417" w:type="pct"/>
            <w:shd w:val="clear" w:color="auto" w:fill="auto"/>
          </w:tcPr>
          <w:p w14:paraId="2298323F" w14:textId="38DB12EA" w:rsidR="004F0196" w:rsidRPr="00A34F10" w:rsidRDefault="004F0196" w:rsidP="004F0196">
            <w:pPr>
              <w:pStyle w:val="RepTableSmall"/>
              <w:rPr>
                <w:lang w:val="en-GB"/>
              </w:rPr>
            </w:pPr>
            <w:r w:rsidRPr="00A34F10">
              <w:rPr>
                <w:szCs w:val="16"/>
                <w:lang w:val="en-GB" w:eastAsia="de-DE"/>
              </w:rPr>
              <w:t xml:space="preserve">Potato </w:t>
            </w:r>
            <w:r w:rsidR="00611241">
              <w:rPr>
                <w:szCs w:val="16"/>
                <w:lang w:val="en-GB" w:eastAsia="de-DE"/>
              </w:rPr>
              <w:t>(including seed potatoes)</w:t>
            </w:r>
            <w:r w:rsidRPr="00A34F10">
              <w:rPr>
                <w:szCs w:val="16"/>
                <w:lang w:val="en-GB" w:eastAsia="de-DE"/>
              </w:rPr>
              <w:br/>
              <w:t>(SOLTU)</w:t>
            </w:r>
          </w:p>
        </w:tc>
        <w:tc>
          <w:tcPr>
            <w:tcW w:w="132" w:type="pct"/>
            <w:shd w:val="clear" w:color="auto" w:fill="auto"/>
          </w:tcPr>
          <w:p w14:paraId="43CC57A7" w14:textId="531745DD" w:rsidR="004F0196" w:rsidRPr="00A34F10" w:rsidRDefault="004F0196" w:rsidP="004F0196">
            <w:pPr>
              <w:pStyle w:val="RepTableSmall"/>
              <w:rPr>
                <w:lang w:val="en-GB"/>
              </w:rPr>
            </w:pPr>
            <w:r w:rsidRPr="00A34F10">
              <w:rPr>
                <w:szCs w:val="16"/>
                <w:lang w:val="en-GB" w:eastAsia="de-DE"/>
              </w:rPr>
              <w:t>F</w:t>
            </w:r>
          </w:p>
        </w:tc>
        <w:tc>
          <w:tcPr>
            <w:tcW w:w="549" w:type="pct"/>
            <w:shd w:val="clear" w:color="auto" w:fill="auto"/>
          </w:tcPr>
          <w:p w14:paraId="114B876C" w14:textId="3EE00215" w:rsidR="004F0196" w:rsidRPr="00A34F10" w:rsidRDefault="004F0196" w:rsidP="004F0196">
            <w:pPr>
              <w:pStyle w:val="RepTableSmall"/>
              <w:rPr>
                <w:lang w:val="en-GB"/>
              </w:rPr>
            </w:pPr>
            <w:r w:rsidRPr="00A34F10">
              <w:rPr>
                <w:i/>
                <w:szCs w:val="16"/>
                <w:lang w:val="en-GB" w:eastAsia="de-DE"/>
              </w:rPr>
              <w:t>Phytophthora infestans</w:t>
            </w:r>
            <w:r w:rsidRPr="00A34F10">
              <w:rPr>
                <w:i/>
                <w:szCs w:val="16"/>
                <w:lang w:val="en-GB" w:eastAsia="de-DE"/>
              </w:rPr>
              <w:br/>
            </w:r>
            <w:r w:rsidRPr="00A34F10">
              <w:rPr>
                <w:szCs w:val="16"/>
                <w:lang w:val="en-GB" w:eastAsia="de-DE"/>
              </w:rPr>
              <w:t>(PHYTIN)</w:t>
            </w:r>
          </w:p>
        </w:tc>
        <w:tc>
          <w:tcPr>
            <w:tcW w:w="324" w:type="pct"/>
            <w:shd w:val="clear" w:color="auto" w:fill="auto"/>
          </w:tcPr>
          <w:p w14:paraId="19970757" w14:textId="32BCAE74" w:rsidR="004F0196" w:rsidRPr="00A34F10" w:rsidRDefault="004F0196" w:rsidP="004F0196">
            <w:pPr>
              <w:pStyle w:val="RepTableSmall"/>
              <w:rPr>
                <w:lang w:val="en-GB"/>
              </w:rPr>
            </w:pPr>
            <w:r w:rsidRPr="00A34F10">
              <w:rPr>
                <w:szCs w:val="16"/>
                <w:lang w:val="en-GB" w:eastAsia="de-DE"/>
              </w:rPr>
              <w:t>SP</w:t>
            </w:r>
          </w:p>
        </w:tc>
        <w:tc>
          <w:tcPr>
            <w:tcW w:w="324" w:type="pct"/>
            <w:shd w:val="clear" w:color="auto" w:fill="auto"/>
          </w:tcPr>
          <w:p w14:paraId="5201448F" w14:textId="0B7D7548" w:rsidR="004F0196" w:rsidRPr="00A34F10" w:rsidRDefault="004F0196" w:rsidP="004F0196">
            <w:pPr>
              <w:pStyle w:val="RepTableSmall"/>
              <w:rPr>
                <w:lang w:val="en-GB"/>
              </w:rPr>
            </w:pPr>
            <w:r w:rsidRPr="00A34F10">
              <w:rPr>
                <w:szCs w:val="16"/>
                <w:lang w:val="en-GB" w:eastAsia="de-DE"/>
              </w:rPr>
              <w:t>BBCH 21-89</w:t>
            </w:r>
          </w:p>
        </w:tc>
        <w:tc>
          <w:tcPr>
            <w:tcW w:w="324" w:type="pct"/>
            <w:shd w:val="clear" w:color="auto" w:fill="auto"/>
          </w:tcPr>
          <w:p w14:paraId="6708F62A" w14:textId="77777777" w:rsidR="004F0196" w:rsidRPr="00A34F10" w:rsidRDefault="004F0196" w:rsidP="004F0196">
            <w:pPr>
              <w:keepNext/>
              <w:keepLines/>
              <w:widowControl w:val="0"/>
              <w:rPr>
                <w:sz w:val="16"/>
                <w:szCs w:val="16"/>
                <w:lang w:val="en-GB" w:eastAsia="de-DE"/>
              </w:rPr>
            </w:pPr>
            <w:r w:rsidRPr="00A34F10">
              <w:rPr>
                <w:sz w:val="16"/>
                <w:szCs w:val="16"/>
                <w:lang w:val="en-GB" w:eastAsia="de-DE"/>
              </w:rPr>
              <w:t>a) 3</w:t>
            </w:r>
          </w:p>
          <w:p w14:paraId="15B00562" w14:textId="5DD88D23" w:rsidR="004F0196" w:rsidRPr="00A34F10" w:rsidRDefault="004F0196" w:rsidP="004F0196">
            <w:pPr>
              <w:pStyle w:val="RepTableSmall"/>
              <w:rPr>
                <w:lang w:val="en-GB"/>
              </w:rPr>
            </w:pPr>
            <w:r w:rsidRPr="00A34F10">
              <w:rPr>
                <w:szCs w:val="16"/>
                <w:lang w:val="en-GB" w:eastAsia="de-DE"/>
              </w:rPr>
              <w:t>b) 3</w:t>
            </w:r>
          </w:p>
        </w:tc>
        <w:tc>
          <w:tcPr>
            <w:tcW w:w="326" w:type="pct"/>
            <w:shd w:val="clear" w:color="auto" w:fill="auto"/>
          </w:tcPr>
          <w:p w14:paraId="1CCB3581" w14:textId="57AB566C" w:rsidR="004F0196" w:rsidRPr="00A34F10" w:rsidRDefault="004F0196" w:rsidP="004F0196">
            <w:pPr>
              <w:pStyle w:val="RepTableSmall"/>
              <w:rPr>
                <w:lang w:val="en-GB"/>
              </w:rPr>
            </w:pPr>
            <w:r w:rsidRPr="00A34F10">
              <w:rPr>
                <w:szCs w:val="16"/>
                <w:lang w:val="en-GB" w:eastAsia="de-DE"/>
              </w:rPr>
              <w:t>5</w:t>
            </w:r>
          </w:p>
        </w:tc>
        <w:tc>
          <w:tcPr>
            <w:tcW w:w="325" w:type="pct"/>
            <w:shd w:val="clear" w:color="auto" w:fill="auto"/>
          </w:tcPr>
          <w:p w14:paraId="631F5DDA" w14:textId="77777777" w:rsidR="004F0196" w:rsidRPr="00A34F10" w:rsidRDefault="004F0196" w:rsidP="004F0196">
            <w:pPr>
              <w:keepNext/>
              <w:keepLines/>
              <w:widowControl w:val="0"/>
              <w:rPr>
                <w:sz w:val="16"/>
                <w:szCs w:val="16"/>
                <w:lang w:val="en-GB" w:eastAsia="de-DE"/>
              </w:rPr>
            </w:pPr>
            <w:r w:rsidRPr="00A34F10">
              <w:rPr>
                <w:sz w:val="16"/>
                <w:szCs w:val="16"/>
                <w:lang w:val="en-GB" w:eastAsia="de-DE"/>
              </w:rPr>
              <w:t>a) 2</w:t>
            </w:r>
          </w:p>
          <w:p w14:paraId="45604E42" w14:textId="77777777" w:rsidR="004F0196" w:rsidRPr="00A34F10" w:rsidRDefault="004F0196" w:rsidP="004F0196">
            <w:pPr>
              <w:keepNext/>
              <w:keepLines/>
              <w:widowControl w:val="0"/>
              <w:rPr>
                <w:sz w:val="16"/>
                <w:szCs w:val="16"/>
                <w:lang w:val="en-GB" w:eastAsia="de-DE"/>
              </w:rPr>
            </w:pPr>
            <w:r w:rsidRPr="00A34F10">
              <w:rPr>
                <w:sz w:val="16"/>
                <w:szCs w:val="16"/>
                <w:lang w:val="en-GB" w:eastAsia="de-DE"/>
              </w:rPr>
              <w:t>b) 6</w:t>
            </w:r>
          </w:p>
          <w:p w14:paraId="3AD0527B" w14:textId="77777777" w:rsidR="004F0196" w:rsidRPr="00A34F10" w:rsidRDefault="004F0196" w:rsidP="004F0196">
            <w:pPr>
              <w:pStyle w:val="RepTableSmall"/>
              <w:rPr>
                <w:lang w:val="en-GB"/>
              </w:rPr>
            </w:pPr>
          </w:p>
        </w:tc>
        <w:tc>
          <w:tcPr>
            <w:tcW w:w="325" w:type="pct"/>
            <w:shd w:val="clear" w:color="auto" w:fill="auto"/>
          </w:tcPr>
          <w:p w14:paraId="1AA7208E" w14:textId="77777777" w:rsidR="004F0196" w:rsidRPr="00A34F10" w:rsidRDefault="004F0196" w:rsidP="004F0196">
            <w:pPr>
              <w:keepNext/>
              <w:keepLines/>
              <w:widowControl w:val="0"/>
              <w:rPr>
                <w:bCs/>
                <w:sz w:val="16"/>
                <w:szCs w:val="16"/>
                <w:lang w:val="en-GB" w:eastAsia="de-DE"/>
              </w:rPr>
            </w:pPr>
            <w:r w:rsidRPr="00A34F10">
              <w:rPr>
                <w:sz w:val="16"/>
                <w:szCs w:val="16"/>
                <w:lang w:val="en-GB" w:eastAsia="de-DE"/>
              </w:rPr>
              <w:t>a) 0.24(*) + 0.902</w:t>
            </w:r>
            <w:r w:rsidRPr="00A34F10">
              <w:rPr>
                <w:bCs/>
                <w:sz w:val="16"/>
                <w:szCs w:val="16"/>
                <w:lang w:val="en-GB" w:eastAsia="de-DE"/>
              </w:rPr>
              <w:t>(**)</w:t>
            </w:r>
          </w:p>
          <w:p w14:paraId="64F9107F" w14:textId="1898B49D" w:rsidR="004F0196" w:rsidRPr="00A34F10" w:rsidRDefault="004F0196" w:rsidP="004F0196">
            <w:pPr>
              <w:pStyle w:val="RepTableSmall"/>
              <w:rPr>
                <w:lang w:val="en-GB"/>
              </w:rPr>
            </w:pPr>
            <w:r w:rsidRPr="00A34F10">
              <w:rPr>
                <w:bCs/>
                <w:szCs w:val="16"/>
                <w:lang w:val="en-GB" w:eastAsia="de-DE"/>
              </w:rPr>
              <w:t>b) 0.72(*) + 2.706(**)</w:t>
            </w:r>
          </w:p>
        </w:tc>
        <w:tc>
          <w:tcPr>
            <w:tcW w:w="247" w:type="pct"/>
            <w:shd w:val="clear" w:color="auto" w:fill="auto"/>
          </w:tcPr>
          <w:p w14:paraId="3555BA63" w14:textId="77777777" w:rsidR="004F0196" w:rsidRPr="00A34F10" w:rsidRDefault="004F0196" w:rsidP="004F0196">
            <w:pPr>
              <w:keepNext/>
              <w:keepLines/>
              <w:widowControl w:val="0"/>
              <w:rPr>
                <w:sz w:val="16"/>
                <w:szCs w:val="16"/>
                <w:lang w:eastAsia="de-DE"/>
              </w:rPr>
            </w:pPr>
            <w:r w:rsidRPr="00A34F10">
              <w:rPr>
                <w:sz w:val="16"/>
                <w:szCs w:val="16"/>
                <w:lang w:eastAsia="de-DE"/>
              </w:rPr>
              <w:t>100/1000</w:t>
            </w:r>
          </w:p>
          <w:p w14:paraId="41FAD3D8" w14:textId="34DC2927" w:rsidR="004F0196" w:rsidRPr="00A34F10" w:rsidRDefault="004F0196" w:rsidP="004F0196">
            <w:pPr>
              <w:pStyle w:val="RepTableSmall"/>
              <w:rPr>
                <w:lang w:val="en-GB"/>
              </w:rPr>
            </w:pPr>
            <w:r w:rsidRPr="00A34F10">
              <w:rPr>
                <w:szCs w:val="16"/>
                <w:lang w:eastAsia="de-DE"/>
              </w:rPr>
              <w:br/>
            </w:r>
            <w:r w:rsidRPr="00A34F10">
              <w:rPr>
                <w:szCs w:val="16"/>
                <w:lang w:eastAsia="de-DE"/>
              </w:rPr>
              <w:br/>
            </w:r>
            <w:r w:rsidRPr="00A34F10">
              <w:rPr>
                <w:szCs w:val="16"/>
                <w:lang w:eastAsia="de-DE"/>
              </w:rPr>
              <w:br/>
            </w:r>
          </w:p>
        </w:tc>
        <w:tc>
          <w:tcPr>
            <w:tcW w:w="195" w:type="pct"/>
            <w:shd w:val="clear" w:color="auto" w:fill="auto"/>
          </w:tcPr>
          <w:p w14:paraId="4E9DDB09" w14:textId="7D23980D" w:rsidR="004F0196" w:rsidRPr="00A34F10" w:rsidRDefault="004F0196" w:rsidP="004F0196">
            <w:pPr>
              <w:pStyle w:val="RepTableSmall"/>
              <w:rPr>
                <w:lang w:val="en-GB"/>
              </w:rPr>
            </w:pPr>
            <w:r w:rsidRPr="00A34F10">
              <w:rPr>
                <w:szCs w:val="16"/>
                <w:lang w:val="en-GB" w:eastAsia="de-DE"/>
              </w:rPr>
              <w:t>7</w:t>
            </w:r>
          </w:p>
        </w:tc>
        <w:tc>
          <w:tcPr>
            <w:tcW w:w="342" w:type="pct"/>
            <w:shd w:val="clear" w:color="auto" w:fill="auto"/>
          </w:tcPr>
          <w:p w14:paraId="598D3796" w14:textId="77777777" w:rsidR="004F0196" w:rsidRPr="00A34F10" w:rsidRDefault="004F0196" w:rsidP="004F0196">
            <w:pPr>
              <w:keepNext/>
              <w:keepLines/>
              <w:widowControl w:val="0"/>
              <w:rPr>
                <w:sz w:val="16"/>
                <w:szCs w:val="16"/>
                <w:lang w:val="en-GB" w:eastAsia="de-DE"/>
              </w:rPr>
            </w:pPr>
            <w:r w:rsidRPr="00A34F10">
              <w:rPr>
                <w:sz w:val="16"/>
                <w:szCs w:val="16"/>
                <w:lang w:val="en-GB" w:eastAsia="de-DE"/>
              </w:rPr>
              <w:t>Spray interval: 5-10 days</w:t>
            </w:r>
          </w:p>
          <w:p w14:paraId="52AB217A" w14:textId="77777777" w:rsidR="004F0196" w:rsidRPr="00A34F10" w:rsidRDefault="004F0196" w:rsidP="004F0196">
            <w:pPr>
              <w:keepNext/>
              <w:keepLines/>
              <w:widowControl w:val="0"/>
              <w:rPr>
                <w:spacing w:val="-1"/>
                <w:sz w:val="16"/>
                <w:szCs w:val="16"/>
                <w:lang w:val="en-GB" w:eastAsia="de-DE"/>
              </w:rPr>
            </w:pPr>
            <w:r w:rsidRPr="00A34F10">
              <w:rPr>
                <w:spacing w:val="-1"/>
                <w:sz w:val="16"/>
                <w:szCs w:val="16"/>
                <w:lang w:val="en-GB" w:eastAsia="de-DE"/>
              </w:rPr>
              <w:t>Water volume:</w:t>
            </w:r>
          </w:p>
          <w:p w14:paraId="0A302C80" w14:textId="77777777" w:rsidR="004F0196" w:rsidRPr="00A34F10" w:rsidRDefault="004F0196" w:rsidP="004F0196">
            <w:pPr>
              <w:keepNext/>
              <w:keepLines/>
              <w:widowControl w:val="0"/>
              <w:rPr>
                <w:sz w:val="16"/>
                <w:szCs w:val="16"/>
                <w:lang w:eastAsia="de-DE"/>
              </w:rPr>
            </w:pPr>
            <w:r w:rsidRPr="00A34F10">
              <w:rPr>
                <w:sz w:val="16"/>
                <w:szCs w:val="16"/>
                <w:lang w:eastAsia="de-DE"/>
              </w:rPr>
              <w:t>NL: 150/400 L/ha</w:t>
            </w:r>
          </w:p>
          <w:p w14:paraId="7527E28B" w14:textId="77777777" w:rsidR="004F0196" w:rsidRPr="00A34F10" w:rsidRDefault="004F0196" w:rsidP="004F0196">
            <w:pPr>
              <w:keepNext/>
              <w:keepLines/>
              <w:widowControl w:val="0"/>
              <w:rPr>
                <w:spacing w:val="-1"/>
                <w:sz w:val="16"/>
                <w:szCs w:val="16"/>
                <w:lang w:val="en-GB" w:eastAsia="de-DE"/>
              </w:rPr>
            </w:pPr>
            <w:r w:rsidRPr="00A34F10">
              <w:rPr>
                <w:spacing w:val="-1"/>
                <w:sz w:val="16"/>
                <w:szCs w:val="16"/>
                <w:lang w:val="en-GB" w:eastAsia="de-DE"/>
              </w:rPr>
              <w:t>IE: 200/400 L/ha</w:t>
            </w:r>
          </w:p>
          <w:p w14:paraId="18E8D2BF" w14:textId="202247B4" w:rsidR="004F0196" w:rsidRPr="00A34F10" w:rsidRDefault="004F0196" w:rsidP="00D802F0">
            <w:pPr>
              <w:keepNext/>
              <w:keepLines/>
              <w:widowControl w:val="0"/>
              <w:rPr>
                <w:lang w:val="en-GB"/>
              </w:rPr>
            </w:pPr>
            <w:r w:rsidRPr="00A34F10">
              <w:rPr>
                <w:sz w:val="16"/>
                <w:szCs w:val="16"/>
                <w:lang w:val="en-GB" w:eastAsia="de-DE"/>
              </w:rPr>
              <w:t>Applications only every 2</w:t>
            </w:r>
            <w:r w:rsidRPr="00A34F10">
              <w:rPr>
                <w:sz w:val="16"/>
                <w:szCs w:val="16"/>
                <w:vertAlign w:val="superscript"/>
                <w:lang w:val="en-GB" w:eastAsia="de-DE"/>
              </w:rPr>
              <w:t>nd</w:t>
            </w:r>
            <w:r w:rsidRPr="00A34F10">
              <w:rPr>
                <w:sz w:val="16"/>
                <w:szCs w:val="16"/>
                <w:lang w:val="en-GB" w:eastAsia="de-DE"/>
              </w:rPr>
              <w:t xml:space="preserve"> year</w:t>
            </w:r>
          </w:p>
        </w:tc>
        <w:tc>
          <w:tcPr>
            <w:tcW w:w="110" w:type="pct"/>
            <w:shd w:val="clear" w:color="auto" w:fill="92D050"/>
          </w:tcPr>
          <w:p w14:paraId="36E9A122" w14:textId="05CD432C" w:rsidR="004F0196" w:rsidRPr="00A34F10" w:rsidRDefault="00D51400" w:rsidP="004F0196">
            <w:pPr>
              <w:pStyle w:val="RepTableSmall"/>
              <w:rPr>
                <w:lang w:val="en-GB"/>
              </w:rPr>
            </w:pPr>
            <w:r>
              <w:rPr>
                <w:lang w:val="en-GB"/>
              </w:rPr>
              <w:t>A</w:t>
            </w:r>
          </w:p>
        </w:tc>
        <w:tc>
          <w:tcPr>
            <w:tcW w:w="110" w:type="pct"/>
            <w:shd w:val="clear" w:color="auto" w:fill="92D050"/>
          </w:tcPr>
          <w:p w14:paraId="3BD77496" w14:textId="2E96B50B" w:rsidR="004F0196" w:rsidRPr="00A34F10" w:rsidRDefault="00D51400" w:rsidP="004F0196">
            <w:pPr>
              <w:pStyle w:val="RepTableSmall"/>
              <w:rPr>
                <w:lang w:val="en-GB"/>
              </w:rPr>
            </w:pPr>
            <w:r>
              <w:rPr>
                <w:lang w:val="en-GB"/>
              </w:rPr>
              <w:t>A</w:t>
            </w:r>
          </w:p>
        </w:tc>
        <w:tc>
          <w:tcPr>
            <w:tcW w:w="110" w:type="pct"/>
            <w:shd w:val="clear" w:color="auto" w:fill="92D050"/>
          </w:tcPr>
          <w:p w14:paraId="53A07329" w14:textId="66AC3A77" w:rsidR="004F0196" w:rsidRPr="00A34F10" w:rsidRDefault="00D51400" w:rsidP="004F0196">
            <w:pPr>
              <w:pStyle w:val="RepTableSmall"/>
              <w:rPr>
                <w:lang w:val="en-GB"/>
              </w:rPr>
            </w:pPr>
            <w:r>
              <w:rPr>
                <w:lang w:val="en-GB"/>
              </w:rPr>
              <w:t>A</w:t>
            </w:r>
          </w:p>
        </w:tc>
        <w:tc>
          <w:tcPr>
            <w:tcW w:w="110" w:type="pct"/>
            <w:shd w:val="clear" w:color="auto" w:fill="92D050"/>
          </w:tcPr>
          <w:p w14:paraId="4D6ECF79" w14:textId="784BCE67" w:rsidR="004F0196" w:rsidRPr="00A34F10" w:rsidRDefault="00D51400" w:rsidP="004F0196">
            <w:pPr>
              <w:pStyle w:val="RepTableSmall"/>
              <w:rPr>
                <w:lang w:val="en-GB"/>
              </w:rPr>
            </w:pPr>
            <w:r>
              <w:rPr>
                <w:lang w:val="en-GB"/>
              </w:rPr>
              <w:t>A</w:t>
            </w:r>
          </w:p>
        </w:tc>
        <w:tc>
          <w:tcPr>
            <w:tcW w:w="110" w:type="pct"/>
            <w:shd w:val="clear" w:color="auto" w:fill="92D050"/>
          </w:tcPr>
          <w:p w14:paraId="2F1A3E28" w14:textId="0F3A4A32" w:rsidR="004F0196" w:rsidRPr="00A34F10" w:rsidRDefault="00D51400" w:rsidP="004F0196">
            <w:pPr>
              <w:pStyle w:val="RepTableSmall"/>
              <w:rPr>
                <w:lang w:val="en-GB"/>
              </w:rPr>
            </w:pPr>
            <w:r>
              <w:rPr>
                <w:lang w:val="en-GB"/>
              </w:rPr>
              <w:t>A</w:t>
            </w:r>
          </w:p>
        </w:tc>
        <w:tc>
          <w:tcPr>
            <w:tcW w:w="110" w:type="pct"/>
            <w:shd w:val="clear" w:color="auto" w:fill="92D050"/>
          </w:tcPr>
          <w:p w14:paraId="1CCF5F46" w14:textId="4A3D0E8B" w:rsidR="004F0196" w:rsidRPr="00A34F10" w:rsidRDefault="00D51400" w:rsidP="004F0196">
            <w:pPr>
              <w:pStyle w:val="RepTableSmall"/>
              <w:rPr>
                <w:lang w:val="en-GB"/>
              </w:rPr>
            </w:pPr>
            <w:r>
              <w:rPr>
                <w:lang w:val="en-GB"/>
              </w:rPr>
              <w:t>A</w:t>
            </w:r>
          </w:p>
        </w:tc>
        <w:tc>
          <w:tcPr>
            <w:tcW w:w="106" w:type="pct"/>
            <w:shd w:val="clear" w:color="auto" w:fill="92D050"/>
          </w:tcPr>
          <w:p w14:paraId="5A86B2A1" w14:textId="2363D50C" w:rsidR="004F0196" w:rsidRPr="00A34F10" w:rsidRDefault="00D51400" w:rsidP="004F0196">
            <w:pPr>
              <w:pStyle w:val="RepTableSmall"/>
              <w:rPr>
                <w:lang w:val="en-GB"/>
              </w:rPr>
            </w:pPr>
            <w:r>
              <w:rPr>
                <w:lang w:val="en-GB"/>
              </w:rPr>
              <w:t>A</w:t>
            </w:r>
          </w:p>
        </w:tc>
      </w:tr>
      <w:tr w:rsidR="00D51400" w:rsidRPr="00A34F10" w14:paraId="7A56F0BB" w14:textId="77777777" w:rsidTr="00595E62">
        <w:tc>
          <w:tcPr>
            <w:tcW w:w="144" w:type="pct"/>
            <w:shd w:val="clear" w:color="auto" w:fill="auto"/>
          </w:tcPr>
          <w:p w14:paraId="4BD50DE3" w14:textId="3B9FDDB9" w:rsidR="00D51400" w:rsidRPr="00A34F10" w:rsidRDefault="00D51400" w:rsidP="00D51400">
            <w:pPr>
              <w:pStyle w:val="RepTableSmall"/>
              <w:rPr>
                <w:lang w:val="en-GB"/>
              </w:rPr>
            </w:pPr>
            <w:r w:rsidRPr="00A34F10">
              <w:rPr>
                <w:spacing w:val="-1"/>
                <w:szCs w:val="16"/>
                <w:lang w:val="en-GB"/>
              </w:rPr>
              <w:t>2</w:t>
            </w:r>
          </w:p>
        </w:tc>
        <w:tc>
          <w:tcPr>
            <w:tcW w:w="262" w:type="pct"/>
            <w:shd w:val="clear" w:color="auto" w:fill="auto"/>
          </w:tcPr>
          <w:p w14:paraId="7F09D932" w14:textId="77777777" w:rsidR="00D51400" w:rsidRPr="00A34F10" w:rsidRDefault="00D51400" w:rsidP="00D51400">
            <w:pPr>
              <w:keepNext/>
              <w:keepLines/>
              <w:widowControl w:val="0"/>
              <w:rPr>
                <w:spacing w:val="-1"/>
                <w:sz w:val="16"/>
                <w:szCs w:val="16"/>
                <w:lang w:val="fr-FR" w:eastAsia="de-DE"/>
              </w:rPr>
            </w:pPr>
            <w:r w:rsidRPr="00A34F10">
              <w:rPr>
                <w:spacing w:val="-1"/>
                <w:sz w:val="16"/>
                <w:szCs w:val="16"/>
                <w:lang w:val="fr-FR" w:eastAsia="de-DE"/>
              </w:rPr>
              <w:t>PL</w:t>
            </w:r>
            <w:r w:rsidRPr="00A34F10">
              <w:rPr>
                <w:spacing w:val="-1"/>
                <w:sz w:val="16"/>
                <w:szCs w:val="16"/>
                <w:lang w:val="fr-FR" w:eastAsia="de-DE"/>
              </w:rPr>
              <w:br/>
              <w:t>HU, RO, SI, SK</w:t>
            </w:r>
            <w:r w:rsidRPr="00A34F10">
              <w:rPr>
                <w:spacing w:val="-1"/>
                <w:sz w:val="16"/>
                <w:szCs w:val="16"/>
                <w:lang w:val="fr-FR" w:eastAsia="de-DE"/>
              </w:rPr>
              <w:br/>
              <w:t xml:space="preserve">AT, CZ, DE </w:t>
            </w:r>
          </w:p>
          <w:p w14:paraId="37DE4EF2" w14:textId="77777777" w:rsidR="00D51400" w:rsidRPr="00A34F10" w:rsidRDefault="00D51400" w:rsidP="00D51400">
            <w:pPr>
              <w:keepNext/>
              <w:keepLines/>
              <w:widowControl w:val="0"/>
              <w:rPr>
                <w:spacing w:val="-1"/>
                <w:sz w:val="16"/>
                <w:szCs w:val="16"/>
                <w:lang w:val="fr-FR" w:eastAsia="de-DE"/>
              </w:rPr>
            </w:pPr>
          </w:p>
          <w:p w14:paraId="66877673" w14:textId="77777777" w:rsidR="00D51400" w:rsidRPr="00A34F10" w:rsidRDefault="00D51400" w:rsidP="00D51400">
            <w:pPr>
              <w:keepNext/>
              <w:keepLines/>
              <w:widowControl w:val="0"/>
              <w:rPr>
                <w:spacing w:val="-1"/>
                <w:sz w:val="16"/>
                <w:szCs w:val="16"/>
                <w:lang w:val="fr-FR" w:eastAsia="de-DE"/>
              </w:rPr>
            </w:pPr>
          </w:p>
          <w:p w14:paraId="4782ABAF" w14:textId="77777777" w:rsidR="00D51400" w:rsidRPr="001D51C3" w:rsidRDefault="00D51400" w:rsidP="00D51400">
            <w:pPr>
              <w:pStyle w:val="RepTableSmall"/>
              <w:rPr>
                <w:lang w:val="es-ES"/>
              </w:rPr>
            </w:pPr>
          </w:p>
        </w:tc>
        <w:tc>
          <w:tcPr>
            <w:tcW w:w="417" w:type="pct"/>
            <w:shd w:val="clear" w:color="auto" w:fill="auto"/>
          </w:tcPr>
          <w:p w14:paraId="7B0139D4" w14:textId="0C4561DE" w:rsidR="00D51400" w:rsidRPr="00A34F10" w:rsidRDefault="00D51400" w:rsidP="00D51400">
            <w:pPr>
              <w:pStyle w:val="RepTableSmall"/>
              <w:rPr>
                <w:lang w:val="en-GB"/>
              </w:rPr>
            </w:pPr>
            <w:r w:rsidRPr="00A34F10">
              <w:rPr>
                <w:szCs w:val="16"/>
                <w:lang w:val="en-GB" w:eastAsia="de-DE"/>
              </w:rPr>
              <w:t xml:space="preserve">Potato </w:t>
            </w:r>
            <w:r>
              <w:rPr>
                <w:szCs w:val="16"/>
                <w:lang w:val="en-GB" w:eastAsia="de-DE"/>
              </w:rPr>
              <w:t>(including seed potatoes)</w:t>
            </w:r>
            <w:r w:rsidRPr="00A34F10">
              <w:rPr>
                <w:szCs w:val="16"/>
                <w:lang w:val="en-GB" w:eastAsia="de-DE"/>
              </w:rPr>
              <w:br/>
              <w:t>(SOLTU)</w:t>
            </w:r>
          </w:p>
        </w:tc>
        <w:tc>
          <w:tcPr>
            <w:tcW w:w="132" w:type="pct"/>
            <w:shd w:val="clear" w:color="auto" w:fill="auto"/>
          </w:tcPr>
          <w:p w14:paraId="79147160" w14:textId="7A89D078" w:rsidR="00D51400" w:rsidRPr="00A34F10" w:rsidRDefault="00D51400" w:rsidP="00D51400">
            <w:pPr>
              <w:pStyle w:val="RepTableSmall"/>
              <w:rPr>
                <w:lang w:val="en-GB"/>
              </w:rPr>
            </w:pPr>
            <w:r w:rsidRPr="00A34F10">
              <w:rPr>
                <w:szCs w:val="16"/>
                <w:lang w:val="en-GB" w:eastAsia="de-DE"/>
              </w:rPr>
              <w:t>F</w:t>
            </w:r>
          </w:p>
        </w:tc>
        <w:tc>
          <w:tcPr>
            <w:tcW w:w="549" w:type="pct"/>
            <w:shd w:val="clear" w:color="auto" w:fill="auto"/>
          </w:tcPr>
          <w:p w14:paraId="204E575A" w14:textId="140F8DBF" w:rsidR="00D51400" w:rsidRPr="00A34F10" w:rsidRDefault="00D51400" w:rsidP="00D51400">
            <w:pPr>
              <w:pStyle w:val="RepTableSmall"/>
              <w:rPr>
                <w:lang w:val="en-GB"/>
              </w:rPr>
            </w:pPr>
            <w:r w:rsidRPr="00A34F10">
              <w:rPr>
                <w:i/>
                <w:szCs w:val="16"/>
                <w:lang w:val="en-GB" w:eastAsia="de-DE"/>
              </w:rPr>
              <w:t>Phytophthora infestans</w:t>
            </w:r>
            <w:r w:rsidRPr="00A34F10">
              <w:rPr>
                <w:i/>
                <w:szCs w:val="16"/>
                <w:lang w:val="en-GB" w:eastAsia="de-DE"/>
              </w:rPr>
              <w:br/>
            </w:r>
            <w:r w:rsidRPr="00A34F10">
              <w:rPr>
                <w:szCs w:val="16"/>
                <w:lang w:val="en-GB" w:eastAsia="de-DE"/>
              </w:rPr>
              <w:t>(PHYTIN)</w:t>
            </w:r>
          </w:p>
        </w:tc>
        <w:tc>
          <w:tcPr>
            <w:tcW w:w="324" w:type="pct"/>
            <w:shd w:val="clear" w:color="auto" w:fill="auto"/>
          </w:tcPr>
          <w:p w14:paraId="7879EBB0" w14:textId="33BD9F7F" w:rsidR="00D51400" w:rsidRPr="00A34F10" w:rsidRDefault="00D51400" w:rsidP="00D51400">
            <w:pPr>
              <w:pStyle w:val="RepTableSmall"/>
              <w:rPr>
                <w:lang w:val="en-GB"/>
              </w:rPr>
            </w:pPr>
            <w:r w:rsidRPr="00A34F10">
              <w:rPr>
                <w:szCs w:val="16"/>
                <w:lang w:val="en-GB" w:eastAsia="de-DE"/>
              </w:rPr>
              <w:t>SP</w:t>
            </w:r>
          </w:p>
        </w:tc>
        <w:tc>
          <w:tcPr>
            <w:tcW w:w="324" w:type="pct"/>
            <w:shd w:val="clear" w:color="auto" w:fill="auto"/>
          </w:tcPr>
          <w:p w14:paraId="7853B087" w14:textId="0C9C8D14" w:rsidR="00D51400" w:rsidRPr="00A34F10" w:rsidRDefault="00D51400" w:rsidP="00D51400">
            <w:pPr>
              <w:pStyle w:val="RepTableSmall"/>
              <w:rPr>
                <w:lang w:val="en-GB"/>
              </w:rPr>
            </w:pPr>
            <w:r w:rsidRPr="00A34F10">
              <w:rPr>
                <w:szCs w:val="16"/>
                <w:lang w:val="en-GB" w:eastAsia="de-DE"/>
              </w:rPr>
              <w:t>BBCH 21-89</w:t>
            </w:r>
          </w:p>
        </w:tc>
        <w:tc>
          <w:tcPr>
            <w:tcW w:w="324" w:type="pct"/>
            <w:shd w:val="clear" w:color="auto" w:fill="auto"/>
          </w:tcPr>
          <w:p w14:paraId="6CDCE5BF"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2</w:t>
            </w:r>
          </w:p>
          <w:p w14:paraId="3DA812F8" w14:textId="7166B40A" w:rsidR="00D51400" w:rsidRPr="00A34F10" w:rsidRDefault="00D51400" w:rsidP="00D51400">
            <w:pPr>
              <w:pStyle w:val="RepTableSmall"/>
              <w:rPr>
                <w:lang w:val="en-GB"/>
              </w:rPr>
            </w:pPr>
            <w:r w:rsidRPr="00A34F10">
              <w:rPr>
                <w:szCs w:val="16"/>
                <w:lang w:val="en-GB" w:eastAsia="de-DE"/>
              </w:rPr>
              <w:t>b) 2</w:t>
            </w:r>
          </w:p>
        </w:tc>
        <w:tc>
          <w:tcPr>
            <w:tcW w:w="326" w:type="pct"/>
            <w:shd w:val="clear" w:color="auto" w:fill="auto"/>
          </w:tcPr>
          <w:p w14:paraId="73EC8B88" w14:textId="0C15D3F4" w:rsidR="00D51400" w:rsidRPr="00A34F10" w:rsidRDefault="00D51400" w:rsidP="00D51400">
            <w:pPr>
              <w:pStyle w:val="RepTableSmall"/>
              <w:rPr>
                <w:lang w:val="en-GB"/>
              </w:rPr>
            </w:pPr>
            <w:r w:rsidRPr="00A34F10">
              <w:rPr>
                <w:szCs w:val="16"/>
                <w:lang w:val="en-GB" w:eastAsia="de-DE"/>
              </w:rPr>
              <w:t>5</w:t>
            </w:r>
          </w:p>
        </w:tc>
        <w:tc>
          <w:tcPr>
            <w:tcW w:w="325" w:type="pct"/>
            <w:shd w:val="clear" w:color="auto" w:fill="auto"/>
          </w:tcPr>
          <w:p w14:paraId="3C70F5E8"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2</w:t>
            </w:r>
          </w:p>
          <w:p w14:paraId="54969CF2"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b) 4</w:t>
            </w:r>
          </w:p>
          <w:p w14:paraId="54B1DFA2" w14:textId="77777777" w:rsidR="00D51400" w:rsidRPr="00A34F10" w:rsidRDefault="00D51400" w:rsidP="00D51400">
            <w:pPr>
              <w:pStyle w:val="RepTableSmall"/>
              <w:rPr>
                <w:lang w:val="en-GB"/>
              </w:rPr>
            </w:pPr>
          </w:p>
        </w:tc>
        <w:tc>
          <w:tcPr>
            <w:tcW w:w="325" w:type="pct"/>
            <w:shd w:val="clear" w:color="auto" w:fill="auto"/>
          </w:tcPr>
          <w:p w14:paraId="310FDDAF" w14:textId="77777777" w:rsidR="00D51400" w:rsidRPr="00A34F10" w:rsidRDefault="00D51400" w:rsidP="00D51400">
            <w:pPr>
              <w:keepNext/>
              <w:keepLines/>
              <w:widowControl w:val="0"/>
              <w:rPr>
                <w:bCs/>
                <w:sz w:val="16"/>
                <w:szCs w:val="16"/>
                <w:lang w:val="en-GB" w:eastAsia="de-DE"/>
              </w:rPr>
            </w:pPr>
            <w:r w:rsidRPr="00A34F10">
              <w:rPr>
                <w:sz w:val="16"/>
                <w:szCs w:val="16"/>
                <w:lang w:val="en-GB" w:eastAsia="de-DE"/>
              </w:rPr>
              <w:t>a) 0.24(*) + 0.902</w:t>
            </w:r>
            <w:r w:rsidRPr="00A34F10">
              <w:rPr>
                <w:bCs/>
                <w:sz w:val="16"/>
                <w:szCs w:val="16"/>
                <w:lang w:val="en-GB" w:eastAsia="de-DE"/>
              </w:rPr>
              <w:t>(**)</w:t>
            </w:r>
          </w:p>
          <w:p w14:paraId="46DD342D" w14:textId="48B86062" w:rsidR="00D51400" w:rsidRPr="00A34F10" w:rsidRDefault="00D51400" w:rsidP="00D51400">
            <w:pPr>
              <w:pStyle w:val="RepTableSmall"/>
              <w:rPr>
                <w:lang w:val="en-GB"/>
              </w:rPr>
            </w:pPr>
            <w:r w:rsidRPr="00A34F10">
              <w:rPr>
                <w:bCs/>
                <w:szCs w:val="16"/>
                <w:lang w:val="en-GB" w:eastAsia="de-DE"/>
              </w:rPr>
              <w:t>b) 0.48(*) + 1.804(**)</w:t>
            </w:r>
          </w:p>
        </w:tc>
        <w:tc>
          <w:tcPr>
            <w:tcW w:w="247" w:type="pct"/>
            <w:shd w:val="clear" w:color="auto" w:fill="auto"/>
          </w:tcPr>
          <w:p w14:paraId="64567953" w14:textId="77777777" w:rsidR="00D51400" w:rsidRPr="00A34F10" w:rsidRDefault="00D51400" w:rsidP="00D51400">
            <w:pPr>
              <w:keepNext/>
              <w:keepLines/>
              <w:widowControl w:val="0"/>
              <w:rPr>
                <w:sz w:val="16"/>
                <w:szCs w:val="16"/>
                <w:lang w:eastAsia="de-DE"/>
              </w:rPr>
            </w:pPr>
            <w:r w:rsidRPr="00A34F10">
              <w:rPr>
                <w:sz w:val="16"/>
                <w:szCs w:val="16"/>
                <w:lang w:eastAsia="de-DE"/>
              </w:rPr>
              <w:t>200/400</w:t>
            </w:r>
          </w:p>
          <w:p w14:paraId="64794A4E" w14:textId="77777777" w:rsidR="00D51400" w:rsidRPr="00A34F10" w:rsidRDefault="00D51400" w:rsidP="00D51400">
            <w:pPr>
              <w:keepNext/>
              <w:keepLines/>
              <w:widowControl w:val="0"/>
              <w:rPr>
                <w:szCs w:val="16"/>
                <w:lang w:val="en-GB"/>
              </w:rPr>
            </w:pPr>
            <w:r w:rsidRPr="00A34F10">
              <w:rPr>
                <w:sz w:val="16"/>
                <w:szCs w:val="16"/>
                <w:lang w:eastAsia="de-DE"/>
              </w:rPr>
              <w:br/>
            </w:r>
          </w:p>
          <w:p w14:paraId="2F277286" w14:textId="77777777" w:rsidR="00D51400" w:rsidRPr="00A34F10" w:rsidRDefault="00D51400" w:rsidP="00D51400">
            <w:pPr>
              <w:pStyle w:val="RepTableSmall"/>
              <w:rPr>
                <w:lang w:val="en-GB"/>
              </w:rPr>
            </w:pPr>
          </w:p>
        </w:tc>
        <w:tc>
          <w:tcPr>
            <w:tcW w:w="195" w:type="pct"/>
            <w:shd w:val="clear" w:color="auto" w:fill="auto"/>
          </w:tcPr>
          <w:p w14:paraId="17613FCC" w14:textId="1C24746B" w:rsidR="00D51400" w:rsidRPr="00A34F10" w:rsidRDefault="00D51400" w:rsidP="00D51400">
            <w:pPr>
              <w:pStyle w:val="RepTableSmall"/>
              <w:rPr>
                <w:lang w:val="en-GB"/>
              </w:rPr>
            </w:pPr>
            <w:r w:rsidRPr="00A34F10">
              <w:rPr>
                <w:szCs w:val="16"/>
                <w:lang w:val="en-GB" w:eastAsia="de-DE"/>
              </w:rPr>
              <w:t>7</w:t>
            </w:r>
          </w:p>
        </w:tc>
        <w:tc>
          <w:tcPr>
            <w:tcW w:w="342" w:type="pct"/>
            <w:shd w:val="clear" w:color="auto" w:fill="auto"/>
          </w:tcPr>
          <w:p w14:paraId="3D92FDCB"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Spray interval: 5-10 days</w:t>
            </w:r>
          </w:p>
          <w:p w14:paraId="08D922AB" w14:textId="0747F6CA" w:rsidR="00D51400" w:rsidRPr="00A34F10" w:rsidRDefault="00D51400" w:rsidP="00D51400">
            <w:pPr>
              <w:pStyle w:val="RepTableSmall"/>
              <w:rPr>
                <w:lang w:val="en-GB"/>
              </w:rPr>
            </w:pPr>
            <w:r w:rsidRPr="00A34F10">
              <w:rPr>
                <w:szCs w:val="16"/>
                <w:lang w:val="en-GB" w:eastAsia="de-DE"/>
              </w:rPr>
              <w:t>Dose rate range for HU, RO, SI, SK: 1,5-2 L/ha</w:t>
            </w:r>
          </w:p>
        </w:tc>
        <w:tc>
          <w:tcPr>
            <w:tcW w:w="110" w:type="pct"/>
            <w:shd w:val="clear" w:color="auto" w:fill="92D050"/>
          </w:tcPr>
          <w:p w14:paraId="0D13BE62" w14:textId="030DD4D5" w:rsidR="00D51400" w:rsidRPr="00A34F10" w:rsidRDefault="00D51400" w:rsidP="00D51400">
            <w:pPr>
              <w:pStyle w:val="RepTableSmall"/>
              <w:rPr>
                <w:lang w:val="en-GB"/>
              </w:rPr>
            </w:pPr>
            <w:r>
              <w:rPr>
                <w:lang w:val="en-GB"/>
              </w:rPr>
              <w:t>A</w:t>
            </w:r>
          </w:p>
        </w:tc>
        <w:tc>
          <w:tcPr>
            <w:tcW w:w="110" w:type="pct"/>
            <w:shd w:val="clear" w:color="auto" w:fill="92D050"/>
          </w:tcPr>
          <w:p w14:paraId="497B7B49" w14:textId="44AA9811" w:rsidR="00D51400" w:rsidRPr="00A34F10" w:rsidRDefault="00D51400" w:rsidP="00D51400">
            <w:pPr>
              <w:pStyle w:val="RepTableSmall"/>
              <w:rPr>
                <w:lang w:val="en-GB"/>
              </w:rPr>
            </w:pPr>
            <w:r>
              <w:rPr>
                <w:lang w:val="en-GB"/>
              </w:rPr>
              <w:t>A</w:t>
            </w:r>
          </w:p>
        </w:tc>
        <w:tc>
          <w:tcPr>
            <w:tcW w:w="110" w:type="pct"/>
            <w:shd w:val="clear" w:color="auto" w:fill="92D050"/>
          </w:tcPr>
          <w:p w14:paraId="21357683" w14:textId="5F988FDB" w:rsidR="00D51400" w:rsidRPr="00A34F10" w:rsidRDefault="00D51400" w:rsidP="00D51400">
            <w:pPr>
              <w:pStyle w:val="RepTableSmall"/>
              <w:rPr>
                <w:lang w:val="en-GB"/>
              </w:rPr>
            </w:pPr>
            <w:r>
              <w:rPr>
                <w:lang w:val="en-GB"/>
              </w:rPr>
              <w:t>A</w:t>
            </w:r>
          </w:p>
        </w:tc>
        <w:tc>
          <w:tcPr>
            <w:tcW w:w="110" w:type="pct"/>
            <w:shd w:val="clear" w:color="auto" w:fill="92D050"/>
          </w:tcPr>
          <w:p w14:paraId="1B105503" w14:textId="7AD3A091" w:rsidR="00D51400" w:rsidRPr="00A34F10" w:rsidRDefault="00D51400" w:rsidP="00D51400">
            <w:pPr>
              <w:pStyle w:val="RepTableSmall"/>
              <w:rPr>
                <w:lang w:val="en-GB"/>
              </w:rPr>
            </w:pPr>
            <w:r>
              <w:rPr>
                <w:lang w:val="en-GB"/>
              </w:rPr>
              <w:t>A</w:t>
            </w:r>
          </w:p>
        </w:tc>
        <w:tc>
          <w:tcPr>
            <w:tcW w:w="110" w:type="pct"/>
            <w:shd w:val="clear" w:color="auto" w:fill="92D050"/>
          </w:tcPr>
          <w:p w14:paraId="5C9A0A43" w14:textId="23C3DCFA" w:rsidR="00D51400" w:rsidRPr="00A34F10" w:rsidRDefault="00D51400" w:rsidP="00D51400">
            <w:pPr>
              <w:pStyle w:val="RepTableSmall"/>
              <w:rPr>
                <w:lang w:val="en-GB"/>
              </w:rPr>
            </w:pPr>
            <w:r>
              <w:rPr>
                <w:lang w:val="en-GB"/>
              </w:rPr>
              <w:t>A</w:t>
            </w:r>
          </w:p>
        </w:tc>
        <w:tc>
          <w:tcPr>
            <w:tcW w:w="110" w:type="pct"/>
            <w:shd w:val="clear" w:color="auto" w:fill="92D050"/>
          </w:tcPr>
          <w:p w14:paraId="1C8892B2" w14:textId="2C0137DE" w:rsidR="00D51400" w:rsidRPr="00A34F10" w:rsidRDefault="00D51400" w:rsidP="00D51400">
            <w:pPr>
              <w:pStyle w:val="RepTableSmall"/>
              <w:rPr>
                <w:lang w:val="en-GB"/>
              </w:rPr>
            </w:pPr>
            <w:r>
              <w:rPr>
                <w:lang w:val="en-GB"/>
              </w:rPr>
              <w:t>A</w:t>
            </w:r>
          </w:p>
        </w:tc>
        <w:tc>
          <w:tcPr>
            <w:tcW w:w="106" w:type="pct"/>
            <w:shd w:val="clear" w:color="auto" w:fill="92D050"/>
          </w:tcPr>
          <w:p w14:paraId="3E706EC9" w14:textId="45C8F958" w:rsidR="00D51400" w:rsidRPr="00A34F10" w:rsidRDefault="00D51400" w:rsidP="00D51400">
            <w:pPr>
              <w:pStyle w:val="RepTableSmall"/>
              <w:rPr>
                <w:lang w:val="en-GB"/>
              </w:rPr>
            </w:pPr>
            <w:r>
              <w:rPr>
                <w:lang w:val="en-GB"/>
              </w:rPr>
              <w:t>A</w:t>
            </w:r>
          </w:p>
        </w:tc>
      </w:tr>
      <w:tr w:rsidR="00D51400" w:rsidRPr="00A34F10" w14:paraId="56A681C0" w14:textId="77777777" w:rsidTr="00595E62">
        <w:tc>
          <w:tcPr>
            <w:tcW w:w="144" w:type="pct"/>
            <w:shd w:val="clear" w:color="auto" w:fill="auto"/>
          </w:tcPr>
          <w:p w14:paraId="1C0B8F35" w14:textId="639F10FE" w:rsidR="00D51400" w:rsidRPr="00A34F10" w:rsidRDefault="00D51400" w:rsidP="00D51400">
            <w:pPr>
              <w:pStyle w:val="RepTableSmall"/>
              <w:rPr>
                <w:lang w:val="en-GB"/>
              </w:rPr>
            </w:pPr>
            <w:r>
              <w:rPr>
                <w:lang w:val="en-GB"/>
              </w:rPr>
              <w:lastRenderedPageBreak/>
              <w:t>3</w:t>
            </w:r>
          </w:p>
        </w:tc>
        <w:tc>
          <w:tcPr>
            <w:tcW w:w="262" w:type="pct"/>
            <w:shd w:val="clear" w:color="auto" w:fill="auto"/>
          </w:tcPr>
          <w:p w14:paraId="4229379C" w14:textId="77777777" w:rsidR="00D51400" w:rsidRPr="00A34F10" w:rsidRDefault="00D51400" w:rsidP="00D51400">
            <w:pPr>
              <w:keepNext/>
              <w:keepLines/>
              <w:widowControl w:val="0"/>
              <w:rPr>
                <w:spacing w:val="-1"/>
                <w:sz w:val="16"/>
                <w:szCs w:val="16"/>
                <w:lang w:eastAsia="de-DE"/>
              </w:rPr>
            </w:pPr>
            <w:r w:rsidRPr="00A34F10">
              <w:rPr>
                <w:spacing w:val="-1"/>
                <w:sz w:val="16"/>
                <w:szCs w:val="16"/>
                <w:lang w:eastAsia="de-DE"/>
              </w:rPr>
              <w:t>BE, IE, NL, PL, RO</w:t>
            </w:r>
          </w:p>
          <w:p w14:paraId="42474373" w14:textId="77777777" w:rsidR="00D51400" w:rsidRPr="00A34F10" w:rsidRDefault="00D51400" w:rsidP="00D51400">
            <w:pPr>
              <w:keepNext/>
              <w:keepLines/>
              <w:widowControl w:val="0"/>
              <w:rPr>
                <w:spacing w:val="-1"/>
                <w:sz w:val="16"/>
                <w:szCs w:val="16"/>
                <w:lang w:eastAsia="de-DE"/>
              </w:rPr>
            </w:pPr>
          </w:p>
          <w:p w14:paraId="42F35C35" w14:textId="77777777" w:rsidR="00D51400" w:rsidRPr="00A34F10" w:rsidRDefault="00D51400" w:rsidP="00D51400">
            <w:pPr>
              <w:keepNext/>
              <w:keepLines/>
              <w:widowControl w:val="0"/>
              <w:rPr>
                <w:spacing w:val="-1"/>
                <w:sz w:val="16"/>
                <w:szCs w:val="16"/>
                <w:lang w:eastAsia="de-DE"/>
              </w:rPr>
            </w:pPr>
          </w:p>
          <w:p w14:paraId="0281A49F" w14:textId="77777777" w:rsidR="00D51400" w:rsidRPr="00A34F10" w:rsidRDefault="00D51400" w:rsidP="00D51400">
            <w:pPr>
              <w:pStyle w:val="RepTableSmall"/>
              <w:rPr>
                <w:lang w:val="en-GB"/>
              </w:rPr>
            </w:pPr>
          </w:p>
        </w:tc>
        <w:tc>
          <w:tcPr>
            <w:tcW w:w="417" w:type="pct"/>
            <w:shd w:val="clear" w:color="auto" w:fill="auto"/>
          </w:tcPr>
          <w:p w14:paraId="0D253765"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Onion</w:t>
            </w:r>
          </w:p>
          <w:p w14:paraId="67CAE4DF"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(ALLCE),</w:t>
            </w:r>
            <w:r w:rsidRPr="00A34F10">
              <w:rPr>
                <w:sz w:val="16"/>
                <w:szCs w:val="16"/>
                <w:lang w:val="en-GB" w:eastAsia="de-DE"/>
              </w:rPr>
              <w:br/>
              <w:t>Garlic (ALLSA)</w:t>
            </w:r>
          </w:p>
          <w:p w14:paraId="6DBB2E47" w14:textId="77777777" w:rsidR="00D51400" w:rsidRPr="00A34F10" w:rsidRDefault="00D51400" w:rsidP="00D51400">
            <w:pPr>
              <w:keepNext/>
              <w:keepLines/>
              <w:widowControl w:val="0"/>
              <w:rPr>
                <w:sz w:val="16"/>
                <w:szCs w:val="16"/>
                <w:lang w:eastAsia="de-DE"/>
              </w:rPr>
            </w:pPr>
          </w:p>
          <w:p w14:paraId="42951C5D" w14:textId="40EB4FE1" w:rsidR="00D51400" w:rsidRPr="00A34F10" w:rsidRDefault="00D51400" w:rsidP="00D51400">
            <w:pPr>
              <w:pStyle w:val="RepTableSmall"/>
              <w:rPr>
                <w:lang w:val="en-GB"/>
              </w:rPr>
            </w:pPr>
            <w:r w:rsidRPr="00A34F10">
              <w:rPr>
                <w:color w:val="FF00FF"/>
                <w:szCs w:val="16"/>
                <w:lang w:eastAsia="de-DE"/>
              </w:rPr>
              <w:br/>
            </w:r>
            <w:r w:rsidRPr="00A34F10">
              <w:rPr>
                <w:szCs w:val="16"/>
                <w:lang w:eastAsia="de-DE"/>
              </w:rPr>
              <w:t xml:space="preserve"> </w:t>
            </w:r>
          </w:p>
        </w:tc>
        <w:tc>
          <w:tcPr>
            <w:tcW w:w="132" w:type="pct"/>
            <w:shd w:val="clear" w:color="auto" w:fill="auto"/>
          </w:tcPr>
          <w:p w14:paraId="6D6DE2E4" w14:textId="1E644EC5" w:rsidR="00D51400" w:rsidRPr="00A34F10" w:rsidRDefault="00D51400" w:rsidP="00D51400">
            <w:pPr>
              <w:pStyle w:val="RepTableSmall"/>
              <w:rPr>
                <w:lang w:val="en-GB"/>
              </w:rPr>
            </w:pPr>
            <w:r w:rsidRPr="00A34F10">
              <w:rPr>
                <w:szCs w:val="16"/>
                <w:lang w:val="en-GB" w:eastAsia="de-DE"/>
              </w:rPr>
              <w:t>F</w:t>
            </w:r>
          </w:p>
        </w:tc>
        <w:tc>
          <w:tcPr>
            <w:tcW w:w="549" w:type="pct"/>
            <w:shd w:val="clear" w:color="auto" w:fill="auto"/>
          </w:tcPr>
          <w:p w14:paraId="092EA1DA" w14:textId="77777777" w:rsidR="00D51400" w:rsidRPr="00A34F10" w:rsidRDefault="00D51400" w:rsidP="00D51400">
            <w:pPr>
              <w:keepNext/>
              <w:keepLines/>
              <w:widowControl w:val="0"/>
              <w:rPr>
                <w:i/>
                <w:sz w:val="16"/>
                <w:szCs w:val="16"/>
                <w:lang w:val="en-GB" w:eastAsia="de-DE"/>
              </w:rPr>
            </w:pPr>
            <w:r w:rsidRPr="00A34F10">
              <w:rPr>
                <w:i/>
                <w:sz w:val="16"/>
                <w:szCs w:val="16"/>
                <w:lang w:val="en-GB" w:eastAsia="de-DE"/>
              </w:rPr>
              <w:t>Peronospora destructor</w:t>
            </w:r>
          </w:p>
          <w:p w14:paraId="5D03EA35"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(PERODE)</w:t>
            </w:r>
          </w:p>
          <w:p w14:paraId="2BA64422" w14:textId="77777777" w:rsidR="00D51400" w:rsidRPr="00A34F10" w:rsidRDefault="00D51400" w:rsidP="00D51400">
            <w:pPr>
              <w:pStyle w:val="RepTableSmall"/>
              <w:rPr>
                <w:lang w:val="en-GB"/>
              </w:rPr>
            </w:pPr>
          </w:p>
        </w:tc>
        <w:tc>
          <w:tcPr>
            <w:tcW w:w="324" w:type="pct"/>
            <w:shd w:val="clear" w:color="auto" w:fill="auto"/>
          </w:tcPr>
          <w:p w14:paraId="7A3CCE10"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 xml:space="preserve">SP </w:t>
            </w:r>
          </w:p>
          <w:p w14:paraId="24909735" w14:textId="77777777" w:rsidR="00D51400" w:rsidRPr="00A34F10" w:rsidRDefault="00D51400" w:rsidP="00D51400">
            <w:pPr>
              <w:pStyle w:val="RepTableSmall"/>
              <w:rPr>
                <w:lang w:val="en-GB"/>
              </w:rPr>
            </w:pPr>
          </w:p>
        </w:tc>
        <w:tc>
          <w:tcPr>
            <w:tcW w:w="324" w:type="pct"/>
            <w:shd w:val="clear" w:color="auto" w:fill="auto"/>
          </w:tcPr>
          <w:p w14:paraId="5A059156" w14:textId="7177AFDE" w:rsidR="00D51400" w:rsidRPr="00A34F10" w:rsidRDefault="00D51400" w:rsidP="00D51400">
            <w:pPr>
              <w:pStyle w:val="RepTableSmall"/>
              <w:rPr>
                <w:lang w:val="en-GB"/>
              </w:rPr>
            </w:pPr>
            <w:r w:rsidRPr="00A34F10">
              <w:rPr>
                <w:szCs w:val="16"/>
                <w:lang w:val="en-GB" w:eastAsia="de-DE"/>
              </w:rPr>
              <w:t xml:space="preserve">BBCH 14 </w:t>
            </w:r>
            <w:r w:rsidR="00EE46B5">
              <w:rPr>
                <w:szCs w:val="16"/>
                <w:lang w:val="en-GB" w:eastAsia="de-DE"/>
              </w:rPr>
              <w:t>–</w:t>
            </w:r>
            <w:r w:rsidRPr="00A34F10">
              <w:rPr>
                <w:szCs w:val="16"/>
                <w:lang w:val="en-GB" w:eastAsia="de-DE"/>
              </w:rPr>
              <w:t xml:space="preserve"> </w:t>
            </w:r>
            <w:r w:rsidR="00EE46B5" w:rsidRPr="006C550F">
              <w:rPr>
                <w:szCs w:val="16"/>
                <w:shd w:val="clear" w:color="auto" w:fill="BDD6EE" w:themeFill="accent5" w:themeFillTint="66"/>
                <w:lang w:val="en-GB" w:eastAsia="de-DE"/>
              </w:rPr>
              <w:t xml:space="preserve">39 </w:t>
            </w:r>
            <w:r w:rsidRPr="006C550F">
              <w:rPr>
                <w:strike/>
                <w:color w:val="D9D9D9" w:themeColor="background1" w:themeShade="D9"/>
                <w:szCs w:val="16"/>
                <w:shd w:val="clear" w:color="auto" w:fill="BDD6EE" w:themeFill="accent5" w:themeFillTint="66"/>
                <w:lang w:val="en-GB" w:eastAsia="de-DE"/>
              </w:rPr>
              <w:t>49</w:t>
            </w:r>
          </w:p>
        </w:tc>
        <w:tc>
          <w:tcPr>
            <w:tcW w:w="324" w:type="pct"/>
            <w:shd w:val="clear" w:color="auto" w:fill="auto"/>
          </w:tcPr>
          <w:p w14:paraId="4977AD5F"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2</w:t>
            </w:r>
          </w:p>
          <w:p w14:paraId="22A57C37" w14:textId="0F42EF94" w:rsidR="00D51400" w:rsidRPr="00A34F10" w:rsidRDefault="00D51400" w:rsidP="00D51400">
            <w:pPr>
              <w:pStyle w:val="RepTableSmall"/>
              <w:rPr>
                <w:lang w:val="en-GB"/>
              </w:rPr>
            </w:pPr>
            <w:r w:rsidRPr="00A34F10">
              <w:rPr>
                <w:szCs w:val="16"/>
                <w:lang w:val="en-GB" w:eastAsia="de-DE"/>
              </w:rPr>
              <w:t>b) 2</w:t>
            </w:r>
          </w:p>
        </w:tc>
        <w:tc>
          <w:tcPr>
            <w:tcW w:w="326" w:type="pct"/>
            <w:shd w:val="clear" w:color="auto" w:fill="auto"/>
          </w:tcPr>
          <w:p w14:paraId="419B1A01" w14:textId="15EDC0FB" w:rsidR="00D51400" w:rsidRPr="00A34F10" w:rsidRDefault="00D51400" w:rsidP="00D51400">
            <w:pPr>
              <w:pStyle w:val="RepTableSmall"/>
              <w:rPr>
                <w:lang w:val="en-GB"/>
              </w:rPr>
            </w:pPr>
            <w:r w:rsidRPr="00A34F10">
              <w:rPr>
                <w:szCs w:val="16"/>
                <w:lang w:val="en-GB" w:eastAsia="de-DE"/>
              </w:rPr>
              <w:t>5</w:t>
            </w:r>
          </w:p>
        </w:tc>
        <w:tc>
          <w:tcPr>
            <w:tcW w:w="325" w:type="pct"/>
            <w:shd w:val="clear" w:color="auto" w:fill="auto"/>
          </w:tcPr>
          <w:p w14:paraId="5D112A35"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2</w:t>
            </w:r>
          </w:p>
          <w:p w14:paraId="768D28F7"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b) 4</w:t>
            </w:r>
          </w:p>
          <w:p w14:paraId="764171E6" w14:textId="77777777" w:rsidR="00D51400" w:rsidRPr="00A34F10" w:rsidRDefault="00D51400" w:rsidP="00D51400">
            <w:pPr>
              <w:pStyle w:val="RepTableSmall"/>
              <w:rPr>
                <w:lang w:val="en-GB"/>
              </w:rPr>
            </w:pPr>
          </w:p>
        </w:tc>
        <w:tc>
          <w:tcPr>
            <w:tcW w:w="325" w:type="pct"/>
            <w:shd w:val="clear" w:color="auto" w:fill="auto"/>
          </w:tcPr>
          <w:p w14:paraId="20697349" w14:textId="77777777" w:rsidR="00D51400" w:rsidRPr="00A34F10" w:rsidRDefault="00D51400" w:rsidP="00D51400">
            <w:pPr>
              <w:keepNext/>
              <w:keepLines/>
              <w:widowControl w:val="0"/>
              <w:rPr>
                <w:bCs/>
                <w:sz w:val="16"/>
                <w:szCs w:val="16"/>
                <w:lang w:val="en-GB" w:eastAsia="de-DE"/>
              </w:rPr>
            </w:pPr>
            <w:r w:rsidRPr="00A34F10">
              <w:rPr>
                <w:sz w:val="16"/>
                <w:szCs w:val="16"/>
                <w:lang w:val="en-GB" w:eastAsia="de-DE"/>
              </w:rPr>
              <w:t>a) 0.24(*) + 0.902</w:t>
            </w:r>
            <w:r w:rsidRPr="00A34F10">
              <w:rPr>
                <w:bCs/>
                <w:sz w:val="16"/>
                <w:szCs w:val="16"/>
                <w:lang w:val="en-GB" w:eastAsia="de-DE"/>
              </w:rPr>
              <w:t>(**)</w:t>
            </w:r>
          </w:p>
          <w:p w14:paraId="47BB8714" w14:textId="08786C33" w:rsidR="00D51400" w:rsidRPr="00A34F10" w:rsidRDefault="00D51400" w:rsidP="00D51400">
            <w:pPr>
              <w:pStyle w:val="RepTableSmall"/>
              <w:rPr>
                <w:lang w:val="en-GB"/>
              </w:rPr>
            </w:pPr>
            <w:r w:rsidRPr="00A34F10">
              <w:rPr>
                <w:bCs/>
                <w:szCs w:val="16"/>
                <w:lang w:val="en-GB" w:eastAsia="de-DE"/>
              </w:rPr>
              <w:t>b) 0.48(*) + 1.804(**)</w:t>
            </w:r>
          </w:p>
        </w:tc>
        <w:tc>
          <w:tcPr>
            <w:tcW w:w="247" w:type="pct"/>
            <w:shd w:val="clear" w:color="auto" w:fill="auto"/>
          </w:tcPr>
          <w:p w14:paraId="0EDB883E" w14:textId="77777777" w:rsidR="00D51400" w:rsidRPr="00A34F10" w:rsidRDefault="00D51400" w:rsidP="00D51400">
            <w:pPr>
              <w:keepNext/>
              <w:keepLines/>
              <w:widowControl w:val="0"/>
              <w:rPr>
                <w:sz w:val="16"/>
                <w:szCs w:val="16"/>
                <w:lang w:eastAsia="de-DE"/>
              </w:rPr>
            </w:pPr>
            <w:r w:rsidRPr="00A34F10">
              <w:rPr>
                <w:sz w:val="16"/>
                <w:szCs w:val="16"/>
                <w:lang w:eastAsia="de-DE"/>
              </w:rPr>
              <w:t>200/1000</w:t>
            </w:r>
          </w:p>
          <w:p w14:paraId="17067058" w14:textId="77777777" w:rsidR="00D51400" w:rsidRPr="00A34F10" w:rsidRDefault="00D51400" w:rsidP="00D51400">
            <w:pPr>
              <w:keepNext/>
              <w:keepLines/>
              <w:widowControl w:val="0"/>
              <w:rPr>
                <w:szCs w:val="16"/>
                <w:lang w:val="en-GB"/>
              </w:rPr>
            </w:pPr>
            <w:r w:rsidRPr="00A34F10">
              <w:rPr>
                <w:sz w:val="16"/>
                <w:szCs w:val="16"/>
                <w:lang w:eastAsia="de-DE"/>
              </w:rPr>
              <w:br/>
            </w:r>
          </w:p>
          <w:p w14:paraId="0039F44B" w14:textId="77777777" w:rsidR="00D51400" w:rsidRPr="00A34F10" w:rsidRDefault="00D51400" w:rsidP="00D51400">
            <w:pPr>
              <w:pStyle w:val="RepTableSmall"/>
              <w:rPr>
                <w:lang w:val="en-GB"/>
              </w:rPr>
            </w:pPr>
          </w:p>
        </w:tc>
        <w:tc>
          <w:tcPr>
            <w:tcW w:w="195" w:type="pct"/>
            <w:shd w:val="clear" w:color="auto" w:fill="auto"/>
          </w:tcPr>
          <w:p w14:paraId="4A5D958C" w14:textId="6D108DD3" w:rsidR="00D51400" w:rsidRPr="00A34F10" w:rsidRDefault="00D51400" w:rsidP="00D51400">
            <w:pPr>
              <w:pStyle w:val="RepTableSmall"/>
              <w:rPr>
                <w:lang w:val="en-GB"/>
              </w:rPr>
            </w:pPr>
            <w:r w:rsidRPr="00A34F10">
              <w:rPr>
                <w:szCs w:val="16"/>
                <w:lang w:val="en-GB" w:eastAsia="de-DE"/>
              </w:rPr>
              <w:t>7</w:t>
            </w:r>
          </w:p>
        </w:tc>
        <w:tc>
          <w:tcPr>
            <w:tcW w:w="342" w:type="pct"/>
            <w:shd w:val="clear" w:color="auto" w:fill="auto"/>
          </w:tcPr>
          <w:p w14:paraId="2F1DB7C9" w14:textId="77777777" w:rsidR="00D51400" w:rsidRPr="00D802F0" w:rsidRDefault="00D51400" w:rsidP="00D51400">
            <w:pPr>
              <w:keepNext/>
              <w:keepLines/>
              <w:widowControl w:val="0"/>
              <w:rPr>
                <w:sz w:val="16"/>
                <w:szCs w:val="16"/>
                <w:lang w:val="en-GB" w:eastAsia="de-DE"/>
              </w:rPr>
            </w:pPr>
            <w:r w:rsidRPr="00A34F10">
              <w:rPr>
                <w:sz w:val="16"/>
                <w:szCs w:val="16"/>
                <w:lang w:val="en-GB" w:eastAsia="de-DE"/>
              </w:rPr>
              <w:t>Spray interval: 5-10 days</w:t>
            </w:r>
          </w:p>
          <w:p w14:paraId="524E8D7D" w14:textId="77777777" w:rsidR="00D51400" w:rsidRPr="00D802F0" w:rsidRDefault="00D51400" w:rsidP="00D51400">
            <w:pPr>
              <w:keepNext/>
              <w:keepLines/>
              <w:widowControl w:val="0"/>
              <w:rPr>
                <w:sz w:val="16"/>
                <w:szCs w:val="16"/>
                <w:lang w:val="en-GB" w:eastAsia="de-DE"/>
              </w:rPr>
            </w:pPr>
            <w:r w:rsidRPr="00D802F0">
              <w:rPr>
                <w:sz w:val="16"/>
                <w:szCs w:val="16"/>
                <w:lang w:val="en-GB" w:eastAsia="de-DE"/>
              </w:rPr>
              <w:t>Water volume:</w:t>
            </w:r>
          </w:p>
          <w:p w14:paraId="2A96DDFC" w14:textId="77777777" w:rsidR="00D51400" w:rsidRPr="00D802F0" w:rsidRDefault="00D51400" w:rsidP="00D51400">
            <w:pPr>
              <w:keepNext/>
              <w:keepLines/>
              <w:widowControl w:val="0"/>
              <w:rPr>
                <w:sz w:val="16"/>
                <w:szCs w:val="16"/>
                <w:lang w:val="es-ES" w:eastAsia="de-DE"/>
              </w:rPr>
            </w:pPr>
            <w:r w:rsidRPr="00D802F0">
              <w:rPr>
                <w:sz w:val="16"/>
                <w:szCs w:val="16"/>
                <w:lang w:val="es-ES" w:eastAsia="de-DE"/>
              </w:rPr>
              <w:t>NL, PL: 200/800 L/ha</w:t>
            </w:r>
          </w:p>
          <w:p w14:paraId="033EED76" w14:textId="293A494F" w:rsidR="00D51400" w:rsidRPr="00A34F10" w:rsidRDefault="00D51400" w:rsidP="00D51400">
            <w:pPr>
              <w:keepNext/>
              <w:keepLines/>
              <w:widowControl w:val="0"/>
              <w:rPr>
                <w:lang w:val="en-GB"/>
              </w:rPr>
            </w:pPr>
            <w:r w:rsidRPr="00D802F0">
              <w:rPr>
                <w:sz w:val="16"/>
                <w:szCs w:val="16"/>
                <w:lang w:val="es-ES" w:eastAsia="de-DE"/>
              </w:rPr>
              <w:t>IE. 200/700 L/ha</w:t>
            </w:r>
            <w:r w:rsidRPr="00D802F0">
              <w:rPr>
                <w:sz w:val="16"/>
                <w:szCs w:val="16"/>
                <w:lang w:val="es-ES" w:eastAsia="de-DE"/>
              </w:rPr>
              <w:br/>
            </w:r>
            <w:r w:rsidRPr="00D802F0">
              <w:rPr>
                <w:sz w:val="16"/>
                <w:szCs w:val="16"/>
                <w:lang w:val="en-GB" w:eastAsia="de-DE"/>
              </w:rPr>
              <w:t>Applications only every 2</w:t>
            </w:r>
            <w:r w:rsidRPr="00D802F0">
              <w:rPr>
                <w:sz w:val="16"/>
                <w:szCs w:val="16"/>
                <w:vertAlign w:val="superscript"/>
                <w:lang w:val="en-GB" w:eastAsia="de-DE"/>
              </w:rPr>
              <w:t>nd</w:t>
            </w:r>
            <w:r w:rsidRPr="00D802F0">
              <w:rPr>
                <w:sz w:val="16"/>
                <w:szCs w:val="16"/>
                <w:lang w:val="en-GB" w:eastAsia="de-DE"/>
              </w:rPr>
              <w:t xml:space="preserve"> year</w:t>
            </w:r>
          </w:p>
        </w:tc>
        <w:tc>
          <w:tcPr>
            <w:tcW w:w="110" w:type="pct"/>
            <w:shd w:val="clear" w:color="auto" w:fill="92D050"/>
          </w:tcPr>
          <w:p w14:paraId="20288250" w14:textId="5E236C28" w:rsidR="00D51400" w:rsidRPr="00A34F10" w:rsidRDefault="00D51400" w:rsidP="00D51400">
            <w:pPr>
              <w:pStyle w:val="RepTableSmall"/>
              <w:rPr>
                <w:lang w:val="en-GB"/>
              </w:rPr>
            </w:pPr>
            <w:r>
              <w:rPr>
                <w:lang w:val="en-GB"/>
              </w:rPr>
              <w:t>A</w:t>
            </w:r>
          </w:p>
        </w:tc>
        <w:tc>
          <w:tcPr>
            <w:tcW w:w="110" w:type="pct"/>
            <w:shd w:val="clear" w:color="auto" w:fill="92D050"/>
          </w:tcPr>
          <w:p w14:paraId="4D1C049D" w14:textId="0FF92C93" w:rsidR="00D51400" w:rsidRPr="00A34F10" w:rsidRDefault="00D51400" w:rsidP="00D51400">
            <w:pPr>
              <w:pStyle w:val="RepTableSmall"/>
              <w:rPr>
                <w:lang w:val="en-GB"/>
              </w:rPr>
            </w:pPr>
            <w:r>
              <w:rPr>
                <w:lang w:val="en-GB"/>
              </w:rPr>
              <w:t>A</w:t>
            </w:r>
          </w:p>
        </w:tc>
        <w:tc>
          <w:tcPr>
            <w:tcW w:w="110" w:type="pct"/>
            <w:shd w:val="clear" w:color="auto" w:fill="92D050"/>
          </w:tcPr>
          <w:p w14:paraId="46E9EBCD" w14:textId="652FC869" w:rsidR="00D51400" w:rsidRPr="00A34F10" w:rsidRDefault="00D51400" w:rsidP="00D51400">
            <w:pPr>
              <w:pStyle w:val="RepTableSmall"/>
              <w:rPr>
                <w:lang w:val="en-GB"/>
              </w:rPr>
            </w:pPr>
            <w:r>
              <w:rPr>
                <w:lang w:val="en-GB"/>
              </w:rPr>
              <w:t>A</w:t>
            </w:r>
          </w:p>
        </w:tc>
        <w:tc>
          <w:tcPr>
            <w:tcW w:w="110" w:type="pct"/>
            <w:shd w:val="clear" w:color="auto" w:fill="92D050"/>
          </w:tcPr>
          <w:p w14:paraId="1707FF7A" w14:textId="75284925" w:rsidR="00D51400" w:rsidRPr="00A34F10" w:rsidRDefault="00D51400" w:rsidP="00D51400">
            <w:pPr>
              <w:pStyle w:val="RepTableSmall"/>
              <w:rPr>
                <w:lang w:val="en-GB"/>
              </w:rPr>
            </w:pPr>
            <w:r>
              <w:rPr>
                <w:lang w:val="en-GB"/>
              </w:rPr>
              <w:t>A</w:t>
            </w:r>
          </w:p>
        </w:tc>
        <w:tc>
          <w:tcPr>
            <w:tcW w:w="110" w:type="pct"/>
            <w:shd w:val="clear" w:color="auto" w:fill="92D050"/>
          </w:tcPr>
          <w:p w14:paraId="28E0A34B" w14:textId="258B0AF3" w:rsidR="00D51400" w:rsidRPr="00A34F10" w:rsidRDefault="00D51400" w:rsidP="00D51400">
            <w:pPr>
              <w:pStyle w:val="RepTableSmall"/>
              <w:rPr>
                <w:lang w:val="en-GB"/>
              </w:rPr>
            </w:pPr>
            <w:r>
              <w:rPr>
                <w:lang w:val="en-GB"/>
              </w:rPr>
              <w:t>A</w:t>
            </w:r>
          </w:p>
        </w:tc>
        <w:tc>
          <w:tcPr>
            <w:tcW w:w="110" w:type="pct"/>
            <w:shd w:val="clear" w:color="auto" w:fill="92D050"/>
          </w:tcPr>
          <w:p w14:paraId="4CE54205" w14:textId="622FE584" w:rsidR="00D51400" w:rsidRPr="00A34F10" w:rsidRDefault="00D51400" w:rsidP="00D51400">
            <w:pPr>
              <w:pStyle w:val="RepTableSmall"/>
              <w:rPr>
                <w:lang w:val="en-GB"/>
              </w:rPr>
            </w:pPr>
            <w:r>
              <w:rPr>
                <w:lang w:val="en-GB"/>
              </w:rPr>
              <w:t>A</w:t>
            </w:r>
          </w:p>
        </w:tc>
        <w:tc>
          <w:tcPr>
            <w:tcW w:w="106" w:type="pct"/>
            <w:shd w:val="clear" w:color="auto" w:fill="92D050"/>
          </w:tcPr>
          <w:p w14:paraId="1222A87D" w14:textId="6284DF9A" w:rsidR="00D51400" w:rsidRPr="00A34F10" w:rsidRDefault="00D51400" w:rsidP="00D51400">
            <w:pPr>
              <w:pStyle w:val="RepTableSmall"/>
              <w:rPr>
                <w:lang w:val="en-GB"/>
              </w:rPr>
            </w:pPr>
            <w:r>
              <w:rPr>
                <w:lang w:val="en-GB"/>
              </w:rPr>
              <w:t>A</w:t>
            </w:r>
          </w:p>
        </w:tc>
      </w:tr>
      <w:tr w:rsidR="00D51400" w:rsidRPr="00A34F10" w14:paraId="4C7BFAD8" w14:textId="77777777" w:rsidTr="00595E62">
        <w:tc>
          <w:tcPr>
            <w:tcW w:w="144" w:type="pct"/>
            <w:shd w:val="clear" w:color="auto" w:fill="auto"/>
          </w:tcPr>
          <w:p w14:paraId="7DB4AFC1" w14:textId="27803CD7" w:rsidR="00D51400" w:rsidRPr="00A34F10" w:rsidRDefault="00D51400" w:rsidP="00D51400">
            <w:pPr>
              <w:pStyle w:val="RepTableSmall"/>
              <w:rPr>
                <w:lang w:val="en-GB"/>
              </w:rPr>
            </w:pPr>
            <w:r>
              <w:rPr>
                <w:lang w:val="en-GB"/>
              </w:rPr>
              <w:t>4</w:t>
            </w:r>
          </w:p>
        </w:tc>
        <w:tc>
          <w:tcPr>
            <w:tcW w:w="262" w:type="pct"/>
            <w:shd w:val="clear" w:color="auto" w:fill="auto"/>
          </w:tcPr>
          <w:p w14:paraId="6A61FC4E" w14:textId="77777777" w:rsidR="00D51400" w:rsidRPr="00A34F10" w:rsidRDefault="00D51400" w:rsidP="00D51400">
            <w:pPr>
              <w:keepNext/>
              <w:keepLines/>
              <w:widowControl w:val="0"/>
              <w:rPr>
                <w:spacing w:val="-1"/>
                <w:sz w:val="16"/>
                <w:szCs w:val="16"/>
                <w:lang w:val="fr-FR" w:eastAsia="de-DE"/>
              </w:rPr>
            </w:pPr>
            <w:r w:rsidRPr="00A34F10">
              <w:rPr>
                <w:spacing w:val="-1"/>
                <w:sz w:val="16"/>
                <w:szCs w:val="16"/>
                <w:lang w:val="fr-FR" w:eastAsia="de-DE"/>
              </w:rPr>
              <w:t>AT, CZ, DE, HU, SK, SI</w:t>
            </w:r>
          </w:p>
          <w:p w14:paraId="17C77C3F" w14:textId="77777777" w:rsidR="00D51400" w:rsidRPr="001D51C3" w:rsidRDefault="00D51400" w:rsidP="00D51400">
            <w:pPr>
              <w:pStyle w:val="RepTableSmall"/>
              <w:rPr>
                <w:lang w:val="es-ES"/>
              </w:rPr>
            </w:pPr>
          </w:p>
        </w:tc>
        <w:tc>
          <w:tcPr>
            <w:tcW w:w="417" w:type="pct"/>
            <w:shd w:val="clear" w:color="auto" w:fill="auto"/>
          </w:tcPr>
          <w:p w14:paraId="7DB31D22"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Onion</w:t>
            </w:r>
          </w:p>
          <w:p w14:paraId="5B7189E0"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(ALLCE),</w:t>
            </w:r>
            <w:r w:rsidRPr="00A34F10">
              <w:rPr>
                <w:sz w:val="16"/>
                <w:szCs w:val="16"/>
                <w:lang w:val="en-GB" w:eastAsia="de-DE"/>
              </w:rPr>
              <w:br/>
              <w:t>Garlic (ALLSA)</w:t>
            </w:r>
          </w:p>
          <w:p w14:paraId="5AF63D8C" w14:textId="775A16B0" w:rsidR="00D51400" w:rsidRPr="00A34F10" w:rsidRDefault="00D51400" w:rsidP="00D51400">
            <w:pPr>
              <w:pStyle w:val="RepTableSmall"/>
              <w:rPr>
                <w:lang w:val="en-GB"/>
              </w:rPr>
            </w:pPr>
          </w:p>
        </w:tc>
        <w:tc>
          <w:tcPr>
            <w:tcW w:w="132" w:type="pct"/>
            <w:shd w:val="clear" w:color="auto" w:fill="auto"/>
          </w:tcPr>
          <w:p w14:paraId="33A41AB2" w14:textId="11B9BD31" w:rsidR="00D51400" w:rsidRPr="00A34F10" w:rsidRDefault="00D51400" w:rsidP="00D51400">
            <w:pPr>
              <w:pStyle w:val="RepTableSmall"/>
              <w:rPr>
                <w:lang w:val="en-GB"/>
              </w:rPr>
            </w:pPr>
            <w:r w:rsidRPr="00A34F10">
              <w:rPr>
                <w:szCs w:val="16"/>
                <w:lang w:val="en-GB" w:eastAsia="de-DE"/>
              </w:rPr>
              <w:t>F</w:t>
            </w:r>
          </w:p>
        </w:tc>
        <w:tc>
          <w:tcPr>
            <w:tcW w:w="549" w:type="pct"/>
            <w:shd w:val="clear" w:color="auto" w:fill="auto"/>
          </w:tcPr>
          <w:p w14:paraId="1D9BCD3B" w14:textId="77777777" w:rsidR="00D51400" w:rsidRPr="00A34F10" w:rsidRDefault="00D51400" w:rsidP="00D51400">
            <w:pPr>
              <w:keepNext/>
              <w:keepLines/>
              <w:widowControl w:val="0"/>
              <w:rPr>
                <w:i/>
                <w:sz w:val="16"/>
                <w:szCs w:val="16"/>
                <w:lang w:val="en-GB" w:eastAsia="de-DE"/>
              </w:rPr>
            </w:pPr>
            <w:r w:rsidRPr="00A34F10">
              <w:rPr>
                <w:i/>
                <w:sz w:val="16"/>
                <w:szCs w:val="16"/>
                <w:lang w:val="en-GB" w:eastAsia="de-DE"/>
              </w:rPr>
              <w:t>Peronospora destructor</w:t>
            </w:r>
          </w:p>
          <w:p w14:paraId="7D1D0E65"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(PERODE)</w:t>
            </w:r>
          </w:p>
          <w:p w14:paraId="39A0FBA7" w14:textId="77777777" w:rsidR="00D51400" w:rsidRPr="00A34F10" w:rsidRDefault="00D51400" w:rsidP="00D51400">
            <w:pPr>
              <w:pStyle w:val="RepTableSmall"/>
              <w:rPr>
                <w:lang w:val="en-GB"/>
              </w:rPr>
            </w:pPr>
          </w:p>
        </w:tc>
        <w:tc>
          <w:tcPr>
            <w:tcW w:w="324" w:type="pct"/>
            <w:shd w:val="clear" w:color="auto" w:fill="auto"/>
          </w:tcPr>
          <w:p w14:paraId="5EBE4136"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 xml:space="preserve">SP </w:t>
            </w:r>
          </w:p>
          <w:p w14:paraId="6FE2F91A" w14:textId="77777777" w:rsidR="00D51400" w:rsidRPr="00A34F10" w:rsidRDefault="00D51400" w:rsidP="00D51400">
            <w:pPr>
              <w:pStyle w:val="RepTableSmall"/>
              <w:rPr>
                <w:lang w:val="en-GB"/>
              </w:rPr>
            </w:pPr>
          </w:p>
        </w:tc>
        <w:tc>
          <w:tcPr>
            <w:tcW w:w="324" w:type="pct"/>
            <w:shd w:val="clear" w:color="auto" w:fill="auto"/>
          </w:tcPr>
          <w:p w14:paraId="717B4690" w14:textId="43D88CA8" w:rsidR="00D51400" w:rsidRPr="00A34F10" w:rsidRDefault="00D51400" w:rsidP="00D51400">
            <w:pPr>
              <w:pStyle w:val="RepTableSmall"/>
              <w:rPr>
                <w:lang w:val="en-GB"/>
              </w:rPr>
            </w:pPr>
            <w:r w:rsidRPr="00A34F10">
              <w:rPr>
                <w:szCs w:val="16"/>
                <w:lang w:val="en-GB" w:eastAsia="de-DE"/>
              </w:rPr>
              <w:t>BBCH 14 - 49</w:t>
            </w:r>
          </w:p>
        </w:tc>
        <w:tc>
          <w:tcPr>
            <w:tcW w:w="324" w:type="pct"/>
            <w:shd w:val="clear" w:color="auto" w:fill="auto"/>
          </w:tcPr>
          <w:p w14:paraId="6598F347"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1</w:t>
            </w:r>
          </w:p>
          <w:p w14:paraId="214F06B7" w14:textId="37B9DA5D" w:rsidR="00D51400" w:rsidRPr="00A34F10" w:rsidRDefault="00D51400" w:rsidP="00D51400">
            <w:pPr>
              <w:pStyle w:val="RepTableSmall"/>
              <w:rPr>
                <w:lang w:val="en-GB"/>
              </w:rPr>
            </w:pPr>
            <w:r w:rsidRPr="00A34F10">
              <w:rPr>
                <w:szCs w:val="16"/>
                <w:lang w:val="en-GB" w:eastAsia="de-DE"/>
              </w:rPr>
              <w:t>b) 1</w:t>
            </w:r>
          </w:p>
        </w:tc>
        <w:tc>
          <w:tcPr>
            <w:tcW w:w="326" w:type="pct"/>
            <w:shd w:val="clear" w:color="auto" w:fill="auto"/>
          </w:tcPr>
          <w:p w14:paraId="6FC14C74" w14:textId="6FFAE704" w:rsidR="00D51400" w:rsidRPr="00A34F10" w:rsidRDefault="00D51400" w:rsidP="00D51400">
            <w:pPr>
              <w:pStyle w:val="RepTableSmall"/>
              <w:rPr>
                <w:lang w:val="en-GB"/>
              </w:rPr>
            </w:pPr>
            <w:r w:rsidRPr="00A34F10">
              <w:rPr>
                <w:szCs w:val="16"/>
                <w:lang w:val="en-GB" w:eastAsia="de-DE"/>
              </w:rPr>
              <w:t>NA</w:t>
            </w:r>
          </w:p>
        </w:tc>
        <w:tc>
          <w:tcPr>
            <w:tcW w:w="325" w:type="pct"/>
            <w:shd w:val="clear" w:color="auto" w:fill="auto"/>
          </w:tcPr>
          <w:p w14:paraId="077D7E5E"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a) 2</w:t>
            </w:r>
          </w:p>
          <w:p w14:paraId="74657DA3"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b) 2</w:t>
            </w:r>
          </w:p>
          <w:p w14:paraId="659F0443" w14:textId="77777777" w:rsidR="00D51400" w:rsidRPr="00A34F10" w:rsidRDefault="00D51400" w:rsidP="00D51400">
            <w:pPr>
              <w:pStyle w:val="RepTableSmall"/>
              <w:rPr>
                <w:lang w:val="en-GB"/>
              </w:rPr>
            </w:pPr>
          </w:p>
        </w:tc>
        <w:tc>
          <w:tcPr>
            <w:tcW w:w="325" w:type="pct"/>
            <w:shd w:val="clear" w:color="auto" w:fill="auto"/>
          </w:tcPr>
          <w:p w14:paraId="7491DDD5" w14:textId="77777777" w:rsidR="00D51400" w:rsidRPr="00A34F10" w:rsidRDefault="00D51400" w:rsidP="00D51400">
            <w:pPr>
              <w:keepNext/>
              <w:keepLines/>
              <w:widowControl w:val="0"/>
              <w:rPr>
                <w:bCs/>
                <w:sz w:val="16"/>
                <w:szCs w:val="16"/>
                <w:lang w:val="en-GB" w:eastAsia="de-DE"/>
              </w:rPr>
            </w:pPr>
            <w:r w:rsidRPr="00A34F10">
              <w:rPr>
                <w:sz w:val="16"/>
                <w:szCs w:val="16"/>
                <w:lang w:val="en-GB" w:eastAsia="de-DE"/>
              </w:rPr>
              <w:t>a) 0.24(*) + 0.902</w:t>
            </w:r>
            <w:r w:rsidRPr="00A34F10">
              <w:rPr>
                <w:bCs/>
                <w:sz w:val="16"/>
                <w:szCs w:val="16"/>
                <w:lang w:val="en-GB" w:eastAsia="de-DE"/>
              </w:rPr>
              <w:t>(**)</w:t>
            </w:r>
          </w:p>
          <w:p w14:paraId="20735D93" w14:textId="1AF82BE4" w:rsidR="00D51400" w:rsidRPr="00A34F10" w:rsidRDefault="00D51400" w:rsidP="00D51400">
            <w:pPr>
              <w:pStyle w:val="RepTableSmall"/>
              <w:rPr>
                <w:lang w:val="en-GB"/>
              </w:rPr>
            </w:pPr>
            <w:r w:rsidRPr="00A34F10">
              <w:rPr>
                <w:bCs/>
                <w:szCs w:val="16"/>
                <w:lang w:val="en-GB" w:eastAsia="de-DE"/>
              </w:rPr>
              <w:t>b) 0.24(*) + 0.902(**)</w:t>
            </w:r>
          </w:p>
        </w:tc>
        <w:tc>
          <w:tcPr>
            <w:tcW w:w="247" w:type="pct"/>
            <w:shd w:val="clear" w:color="auto" w:fill="auto"/>
          </w:tcPr>
          <w:p w14:paraId="3DB898E1" w14:textId="77777777" w:rsidR="00D51400" w:rsidRPr="00A34F10" w:rsidRDefault="00D51400" w:rsidP="00D51400">
            <w:pPr>
              <w:keepNext/>
              <w:keepLines/>
              <w:widowControl w:val="0"/>
              <w:rPr>
                <w:sz w:val="16"/>
                <w:szCs w:val="16"/>
                <w:lang w:val="en-GB" w:eastAsia="de-DE"/>
              </w:rPr>
            </w:pPr>
            <w:r w:rsidRPr="00A34F10">
              <w:rPr>
                <w:sz w:val="16"/>
                <w:szCs w:val="16"/>
                <w:lang w:val="en-GB" w:eastAsia="de-DE"/>
              </w:rPr>
              <w:t>200/1000</w:t>
            </w:r>
          </w:p>
          <w:p w14:paraId="04D9A513" w14:textId="77777777" w:rsidR="00D51400" w:rsidRPr="00A34F10" w:rsidRDefault="00D51400" w:rsidP="00D51400">
            <w:pPr>
              <w:pStyle w:val="RepTableSmall"/>
              <w:rPr>
                <w:lang w:val="en-GB"/>
              </w:rPr>
            </w:pPr>
          </w:p>
        </w:tc>
        <w:tc>
          <w:tcPr>
            <w:tcW w:w="195" w:type="pct"/>
            <w:shd w:val="clear" w:color="auto" w:fill="auto"/>
          </w:tcPr>
          <w:p w14:paraId="2C9E871F" w14:textId="6DCDBB6A" w:rsidR="00D51400" w:rsidRPr="00A34F10" w:rsidRDefault="00D51400" w:rsidP="00D51400">
            <w:pPr>
              <w:pStyle w:val="RepTableSmall"/>
              <w:rPr>
                <w:lang w:val="en-GB"/>
              </w:rPr>
            </w:pPr>
            <w:r w:rsidRPr="00A34F10">
              <w:rPr>
                <w:szCs w:val="16"/>
                <w:lang w:val="en-GB" w:eastAsia="de-DE"/>
              </w:rPr>
              <w:t>7</w:t>
            </w:r>
          </w:p>
        </w:tc>
        <w:tc>
          <w:tcPr>
            <w:tcW w:w="342" w:type="pct"/>
            <w:shd w:val="clear" w:color="auto" w:fill="auto"/>
          </w:tcPr>
          <w:p w14:paraId="58B27319" w14:textId="77777777" w:rsidR="00D51400" w:rsidRPr="00A34F10" w:rsidRDefault="00D51400" w:rsidP="00D51400">
            <w:pPr>
              <w:pStyle w:val="RepTableSmall"/>
              <w:rPr>
                <w:lang w:val="en-GB"/>
              </w:rPr>
            </w:pPr>
          </w:p>
        </w:tc>
        <w:tc>
          <w:tcPr>
            <w:tcW w:w="110" w:type="pct"/>
            <w:shd w:val="clear" w:color="auto" w:fill="92D050"/>
          </w:tcPr>
          <w:p w14:paraId="50F660D2" w14:textId="4AB231EB" w:rsidR="00D51400" w:rsidRPr="00A34F10" w:rsidRDefault="00D51400" w:rsidP="00D51400">
            <w:pPr>
              <w:pStyle w:val="RepTableSmall"/>
              <w:rPr>
                <w:lang w:val="en-GB"/>
              </w:rPr>
            </w:pPr>
            <w:r>
              <w:rPr>
                <w:lang w:val="en-GB"/>
              </w:rPr>
              <w:t>A</w:t>
            </w:r>
          </w:p>
        </w:tc>
        <w:tc>
          <w:tcPr>
            <w:tcW w:w="110" w:type="pct"/>
            <w:shd w:val="clear" w:color="auto" w:fill="92D050"/>
          </w:tcPr>
          <w:p w14:paraId="16ED30DB" w14:textId="3131DB24" w:rsidR="00D51400" w:rsidRPr="00A34F10" w:rsidRDefault="00D51400" w:rsidP="00D51400">
            <w:pPr>
              <w:pStyle w:val="RepTableSmall"/>
              <w:rPr>
                <w:lang w:val="en-GB"/>
              </w:rPr>
            </w:pPr>
            <w:r>
              <w:rPr>
                <w:lang w:val="en-GB"/>
              </w:rPr>
              <w:t>A</w:t>
            </w:r>
          </w:p>
        </w:tc>
        <w:tc>
          <w:tcPr>
            <w:tcW w:w="110" w:type="pct"/>
            <w:shd w:val="clear" w:color="auto" w:fill="92D050"/>
          </w:tcPr>
          <w:p w14:paraId="24780FDC" w14:textId="60B0B497" w:rsidR="00D51400" w:rsidRPr="00A34F10" w:rsidRDefault="00D51400" w:rsidP="00D51400">
            <w:pPr>
              <w:pStyle w:val="RepTableSmall"/>
              <w:rPr>
                <w:lang w:val="en-GB"/>
              </w:rPr>
            </w:pPr>
            <w:r>
              <w:rPr>
                <w:lang w:val="en-GB"/>
              </w:rPr>
              <w:t>A</w:t>
            </w:r>
          </w:p>
        </w:tc>
        <w:tc>
          <w:tcPr>
            <w:tcW w:w="110" w:type="pct"/>
            <w:shd w:val="clear" w:color="auto" w:fill="92D050"/>
          </w:tcPr>
          <w:p w14:paraId="2D053DA5" w14:textId="760CEDC1" w:rsidR="00D51400" w:rsidRPr="00A34F10" w:rsidRDefault="00D51400" w:rsidP="00D51400">
            <w:pPr>
              <w:pStyle w:val="RepTableSmall"/>
              <w:rPr>
                <w:lang w:val="en-GB"/>
              </w:rPr>
            </w:pPr>
            <w:r>
              <w:rPr>
                <w:lang w:val="en-GB"/>
              </w:rPr>
              <w:t>A</w:t>
            </w:r>
          </w:p>
        </w:tc>
        <w:tc>
          <w:tcPr>
            <w:tcW w:w="110" w:type="pct"/>
            <w:shd w:val="clear" w:color="auto" w:fill="92D050"/>
          </w:tcPr>
          <w:p w14:paraId="3D1AAACC" w14:textId="6909EA57" w:rsidR="00D51400" w:rsidRPr="00A34F10" w:rsidRDefault="00D51400" w:rsidP="00D51400">
            <w:pPr>
              <w:pStyle w:val="RepTableSmall"/>
              <w:rPr>
                <w:lang w:val="en-GB"/>
              </w:rPr>
            </w:pPr>
            <w:r>
              <w:rPr>
                <w:lang w:val="en-GB"/>
              </w:rPr>
              <w:t>A</w:t>
            </w:r>
          </w:p>
        </w:tc>
        <w:tc>
          <w:tcPr>
            <w:tcW w:w="110" w:type="pct"/>
            <w:shd w:val="clear" w:color="auto" w:fill="92D050"/>
          </w:tcPr>
          <w:p w14:paraId="4317355E" w14:textId="3C6FF4BB" w:rsidR="00D51400" w:rsidRPr="00A34F10" w:rsidRDefault="00D51400" w:rsidP="00D51400">
            <w:pPr>
              <w:pStyle w:val="RepTableSmall"/>
              <w:rPr>
                <w:lang w:val="en-GB"/>
              </w:rPr>
            </w:pPr>
            <w:r>
              <w:rPr>
                <w:lang w:val="en-GB"/>
              </w:rPr>
              <w:t>A</w:t>
            </w:r>
          </w:p>
        </w:tc>
        <w:tc>
          <w:tcPr>
            <w:tcW w:w="106" w:type="pct"/>
            <w:shd w:val="clear" w:color="auto" w:fill="92D050"/>
          </w:tcPr>
          <w:p w14:paraId="6C672825" w14:textId="2E0C7DB4" w:rsidR="00D51400" w:rsidRPr="00A34F10" w:rsidRDefault="00D51400" w:rsidP="00D51400">
            <w:pPr>
              <w:pStyle w:val="RepTableSmall"/>
              <w:rPr>
                <w:lang w:val="en-GB"/>
              </w:rPr>
            </w:pPr>
            <w:r>
              <w:rPr>
                <w:lang w:val="en-GB"/>
              </w:rPr>
              <w:t>A</w:t>
            </w:r>
          </w:p>
        </w:tc>
      </w:tr>
      <w:tr w:rsidR="00D51400" w:rsidRPr="00A34F10" w14:paraId="30456C40" w14:textId="77777777" w:rsidTr="00595E62">
        <w:tc>
          <w:tcPr>
            <w:tcW w:w="144" w:type="pct"/>
            <w:shd w:val="clear" w:color="auto" w:fill="auto"/>
          </w:tcPr>
          <w:p w14:paraId="0BD8A3DA" w14:textId="0458AD73" w:rsidR="00D51400" w:rsidRPr="00B611E2" w:rsidRDefault="00D51400" w:rsidP="00D51400">
            <w:pPr>
              <w:pStyle w:val="RepTableSmall"/>
              <w:rPr>
                <w:szCs w:val="16"/>
                <w:lang w:val="en-GB" w:eastAsia="de-DE"/>
              </w:rPr>
            </w:pPr>
            <w:r w:rsidRPr="00B611E2">
              <w:rPr>
                <w:szCs w:val="16"/>
                <w:lang w:val="en-GB" w:eastAsia="de-DE"/>
              </w:rPr>
              <w:t>5</w:t>
            </w:r>
          </w:p>
        </w:tc>
        <w:tc>
          <w:tcPr>
            <w:tcW w:w="262" w:type="pct"/>
            <w:shd w:val="clear" w:color="auto" w:fill="auto"/>
          </w:tcPr>
          <w:p w14:paraId="1112A4BC" w14:textId="41F7FF91" w:rsidR="00D51400" w:rsidRPr="001D51C3" w:rsidRDefault="00D51400" w:rsidP="00D51400">
            <w:pPr>
              <w:keepNext/>
              <w:keepLines/>
              <w:widowControl w:val="0"/>
              <w:rPr>
                <w:sz w:val="16"/>
                <w:szCs w:val="16"/>
                <w:lang w:val="es-ES" w:eastAsia="de-DE"/>
              </w:rPr>
            </w:pPr>
            <w:r w:rsidRPr="001D51C3">
              <w:rPr>
                <w:sz w:val="16"/>
                <w:szCs w:val="16"/>
                <w:lang w:val="es-ES" w:eastAsia="de-DE"/>
              </w:rPr>
              <w:t xml:space="preserve">PL, </w:t>
            </w:r>
            <w:r w:rsidRPr="001D51C3">
              <w:rPr>
                <w:sz w:val="16"/>
                <w:szCs w:val="16"/>
                <w:lang w:val="es-ES" w:eastAsia="de-DE"/>
              </w:rPr>
              <w:br/>
              <w:t>HU, RO, SK, SI</w:t>
            </w:r>
          </w:p>
        </w:tc>
        <w:tc>
          <w:tcPr>
            <w:tcW w:w="417" w:type="pct"/>
            <w:shd w:val="clear" w:color="auto" w:fill="auto"/>
          </w:tcPr>
          <w:p w14:paraId="6214338B" w14:textId="77777777" w:rsidR="00D51400" w:rsidRPr="00D56A76" w:rsidRDefault="00D51400" w:rsidP="00D51400">
            <w:pPr>
              <w:keepNext/>
              <w:keepLines/>
              <w:widowControl w:val="0"/>
              <w:rPr>
                <w:sz w:val="16"/>
                <w:szCs w:val="16"/>
                <w:lang w:val="en-GB" w:eastAsia="de-DE"/>
              </w:rPr>
            </w:pPr>
            <w:r w:rsidRPr="00D56A76">
              <w:rPr>
                <w:sz w:val="16"/>
                <w:szCs w:val="16"/>
                <w:lang w:val="en-GB" w:eastAsia="de-DE"/>
              </w:rPr>
              <w:t>Tomato / Aubergine</w:t>
            </w:r>
          </w:p>
          <w:p w14:paraId="13467F2A" w14:textId="3C0A3B7B" w:rsidR="00D51400" w:rsidRPr="00A34F10" w:rsidRDefault="00D51400" w:rsidP="00D51400">
            <w:pPr>
              <w:keepNext/>
              <w:keepLines/>
              <w:widowControl w:val="0"/>
              <w:rPr>
                <w:sz w:val="16"/>
                <w:szCs w:val="16"/>
                <w:lang w:val="en-GB" w:eastAsia="de-DE"/>
              </w:rPr>
            </w:pPr>
            <w:r w:rsidRPr="00B611E2">
              <w:rPr>
                <w:sz w:val="16"/>
                <w:szCs w:val="16"/>
                <w:lang w:val="en-GB" w:eastAsia="de-DE"/>
              </w:rPr>
              <w:t>(LYPES) / (SOLME)</w:t>
            </w:r>
          </w:p>
        </w:tc>
        <w:tc>
          <w:tcPr>
            <w:tcW w:w="132" w:type="pct"/>
            <w:shd w:val="clear" w:color="auto" w:fill="auto"/>
          </w:tcPr>
          <w:p w14:paraId="128930F2" w14:textId="6F98AB4F" w:rsidR="00D51400" w:rsidRPr="00A34F10" w:rsidRDefault="00D51400" w:rsidP="00D51400">
            <w:pPr>
              <w:pStyle w:val="RepTableSmall"/>
              <w:rPr>
                <w:szCs w:val="16"/>
                <w:lang w:val="en-GB" w:eastAsia="de-DE"/>
              </w:rPr>
            </w:pPr>
            <w:r w:rsidRPr="009A3EE0">
              <w:rPr>
                <w:szCs w:val="16"/>
                <w:lang w:val="en-GB" w:eastAsia="de-DE"/>
              </w:rPr>
              <w:t>F</w:t>
            </w:r>
          </w:p>
        </w:tc>
        <w:tc>
          <w:tcPr>
            <w:tcW w:w="549" w:type="pct"/>
            <w:shd w:val="clear" w:color="auto" w:fill="auto"/>
          </w:tcPr>
          <w:p w14:paraId="342780B7" w14:textId="4EF0D66E" w:rsidR="00D51400" w:rsidRPr="00B611E2" w:rsidRDefault="00D51400" w:rsidP="00D51400">
            <w:pPr>
              <w:keepNext/>
              <w:keepLines/>
              <w:widowControl w:val="0"/>
              <w:rPr>
                <w:sz w:val="16"/>
                <w:szCs w:val="16"/>
                <w:lang w:val="en-GB" w:eastAsia="de-DE"/>
              </w:rPr>
            </w:pPr>
            <w:r w:rsidRPr="00B611E2">
              <w:rPr>
                <w:sz w:val="16"/>
                <w:szCs w:val="16"/>
                <w:lang w:val="en-GB" w:eastAsia="de-DE"/>
              </w:rPr>
              <w:t>Phytophthora infestans</w:t>
            </w:r>
            <w:r w:rsidRPr="00B611E2">
              <w:rPr>
                <w:sz w:val="16"/>
                <w:szCs w:val="16"/>
                <w:lang w:val="en-GB" w:eastAsia="de-DE"/>
              </w:rPr>
              <w:br/>
              <w:t>(PHYTIN)</w:t>
            </w:r>
          </w:p>
        </w:tc>
        <w:tc>
          <w:tcPr>
            <w:tcW w:w="324" w:type="pct"/>
            <w:shd w:val="clear" w:color="auto" w:fill="auto"/>
          </w:tcPr>
          <w:p w14:paraId="6A81CD49" w14:textId="085F26FC" w:rsidR="00D51400" w:rsidRPr="00A34F10" w:rsidRDefault="00D51400" w:rsidP="00D51400">
            <w:pPr>
              <w:keepNext/>
              <w:keepLines/>
              <w:widowControl w:val="0"/>
              <w:rPr>
                <w:sz w:val="16"/>
                <w:szCs w:val="16"/>
                <w:lang w:val="en-GB" w:eastAsia="de-DE"/>
              </w:rPr>
            </w:pPr>
            <w:r w:rsidRPr="00B611E2">
              <w:rPr>
                <w:sz w:val="16"/>
                <w:szCs w:val="16"/>
                <w:lang w:val="en-GB" w:eastAsia="de-DE"/>
              </w:rPr>
              <w:t>SP</w:t>
            </w:r>
          </w:p>
        </w:tc>
        <w:tc>
          <w:tcPr>
            <w:tcW w:w="324" w:type="pct"/>
            <w:shd w:val="clear" w:color="auto" w:fill="auto"/>
          </w:tcPr>
          <w:p w14:paraId="4BE6CDCC" w14:textId="77777777" w:rsidR="00D51400" w:rsidRDefault="00D51400" w:rsidP="00D51400">
            <w:pPr>
              <w:pStyle w:val="RepTableSmall"/>
              <w:rPr>
                <w:szCs w:val="16"/>
                <w:lang w:val="en-GB" w:eastAsia="de-DE"/>
              </w:rPr>
            </w:pPr>
            <w:r w:rsidRPr="009A3EE0">
              <w:rPr>
                <w:szCs w:val="16"/>
                <w:lang w:val="en-GB" w:eastAsia="de-DE"/>
              </w:rPr>
              <w:t xml:space="preserve">BBCH </w:t>
            </w:r>
            <w:r w:rsidRPr="00DD626B">
              <w:rPr>
                <w:strike/>
                <w:color w:val="D9D9D9" w:themeColor="background1" w:themeShade="D9"/>
                <w:szCs w:val="16"/>
                <w:lang w:val="en-GB" w:eastAsia="de-DE"/>
              </w:rPr>
              <w:t>21</w:t>
            </w:r>
          </w:p>
          <w:p w14:paraId="10AD5D70" w14:textId="470953F6" w:rsidR="00D51400" w:rsidRPr="00A34F10" w:rsidRDefault="00D51400" w:rsidP="00D51400">
            <w:pPr>
              <w:pStyle w:val="RepTableSmall"/>
              <w:rPr>
                <w:szCs w:val="16"/>
                <w:lang w:val="en-GB" w:eastAsia="de-DE"/>
              </w:rPr>
            </w:pPr>
            <w:r w:rsidRPr="00DD626B">
              <w:rPr>
                <w:szCs w:val="16"/>
                <w:shd w:val="clear" w:color="auto" w:fill="D9D9D9" w:themeFill="background1" w:themeFillShade="D9"/>
                <w:lang w:val="en-GB" w:eastAsia="de-DE"/>
              </w:rPr>
              <w:t>40</w:t>
            </w:r>
            <w:r w:rsidRPr="009A3EE0">
              <w:rPr>
                <w:szCs w:val="16"/>
                <w:lang w:val="en-GB" w:eastAsia="de-DE"/>
              </w:rPr>
              <w:t>-89</w:t>
            </w:r>
          </w:p>
        </w:tc>
        <w:tc>
          <w:tcPr>
            <w:tcW w:w="324" w:type="pct"/>
            <w:shd w:val="clear" w:color="auto" w:fill="auto"/>
          </w:tcPr>
          <w:p w14:paraId="277655D8" w14:textId="77777777" w:rsidR="00D51400" w:rsidRPr="009A3EE0" w:rsidRDefault="00D51400" w:rsidP="00D51400">
            <w:pPr>
              <w:keepNext/>
              <w:keepLines/>
              <w:widowControl w:val="0"/>
              <w:rPr>
                <w:sz w:val="16"/>
                <w:szCs w:val="16"/>
                <w:lang w:val="en-GB" w:eastAsia="de-DE"/>
              </w:rPr>
            </w:pPr>
            <w:r w:rsidRPr="009A3EE0">
              <w:rPr>
                <w:sz w:val="16"/>
                <w:szCs w:val="16"/>
                <w:lang w:val="en-GB" w:eastAsia="de-DE"/>
              </w:rPr>
              <w:t>a) 2</w:t>
            </w:r>
          </w:p>
          <w:p w14:paraId="65E64516" w14:textId="01C7FA84" w:rsidR="00D51400" w:rsidRPr="00A34F10" w:rsidRDefault="00D51400" w:rsidP="00D51400">
            <w:pPr>
              <w:keepNext/>
              <w:keepLines/>
              <w:widowControl w:val="0"/>
              <w:rPr>
                <w:sz w:val="16"/>
                <w:szCs w:val="16"/>
                <w:lang w:val="en-GB" w:eastAsia="de-DE"/>
              </w:rPr>
            </w:pPr>
            <w:r w:rsidRPr="00B611E2">
              <w:rPr>
                <w:sz w:val="16"/>
                <w:szCs w:val="16"/>
                <w:lang w:val="en-GB" w:eastAsia="de-DE"/>
              </w:rPr>
              <w:t>b) 2</w:t>
            </w:r>
          </w:p>
        </w:tc>
        <w:tc>
          <w:tcPr>
            <w:tcW w:w="326" w:type="pct"/>
            <w:shd w:val="clear" w:color="auto" w:fill="auto"/>
          </w:tcPr>
          <w:p w14:paraId="4DF54E0F" w14:textId="6FE25285" w:rsidR="00D51400" w:rsidRPr="00A34F10" w:rsidRDefault="00D51400" w:rsidP="00D51400">
            <w:pPr>
              <w:pStyle w:val="RepTableSmall"/>
              <w:rPr>
                <w:szCs w:val="16"/>
                <w:lang w:val="en-GB" w:eastAsia="de-DE"/>
              </w:rPr>
            </w:pPr>
            <w:r w:rsidRPr="009A3EE0">
              <w:rPr>
                <w:szCs w:val="16"/>
                <w:lang w:val="en-GB" w:eastAsia="de-DE"/>
              </w:rPr>
              <w:t>7</w:t>
            </w:r>
          </w:p>
        </w:tc>
        <w:tc>
          <w:tcPr>
            <w:tcW w:w="325" w:type="pct"/>
            <w:shd w:val="clear" w:color="auto" w:fill="auto"/>
          </w:tcPr>
          <w:p w14:paraId="5884BDD7" w14:textId="77777777" w:rsidR="00D51400" w:rsidRPr="009A3EE0" w:rsidRDefault="00D51400" w:rsidP="00D51400">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7773C5E2" w14:textId="77777777" w:rsidR="00D51400" w:rsidRPr="009A3EE0" w:rsidRDefault="00D51400" w:rsidP="00D51400">
            <w:pPr>
              <w:keepNext/>
              <w:keepLines/>
              <w:widowControl w:val="0"/>
              <w:rPr>
                <w:sz w:val="16"/>
                <w:szCs w:val="16"/>
                <w:lang w:val="en-GB" w:eastAsia="de-DE"/>
              </w:rPr>
            </w:pPr>
            <w:r w:rsidRPr="009A3EE0">
              <w:rPr>
                <w:sz w:val="16"/>
                <w:szCs w:val="16"/>
                <w:lang w:val="en-GB" w:eastAsia="de-DE"/>
              </w:rPr>
              <w:t xml:space="preserve">b) </w:t>
            </w:r>
            <w:r>
              <w:rPr>
                <w:sz w:val="16"/>
                <w:szCs w:val="16"/>
                <w:lang w:val="en-GB" w:eastAsia="de-DE"/>
              </w:rPr>
              <w:t>4</w:t>
            </w:r>
          </w:p>
          <w:p w14:paraId="56C072F5" w14:textId="77777777" w:rsidR="00D51400" w:rsidRPr="00A34F10" w:rsidRDefault="00D51400" w:rsidP="00D51400">
            <w:pPr>
              <w:keepNext/>
              <w:keepLines/>
              <w:widowControl w:val="0"/>
              <w:rPr>
                <w:sz w:val="16"/>
                <w:szCs w:val="16"/>
                <w:lang w:val="en-GB" w:eastAsia="de-DE"/>
              </w:rPr>
            </w:pPr>
          </w:p>
        </w:tc>
        <w:tc>
          <w:tcPr>
            <w:tcW w:w="325" w:type="pct"/>
            <w:shd w:val="clear" w:color="auto" w:fill="auto"/>
          </w:tcPr>
          <w:p w14:paraId="2F7B54B5" w14:textId="77777777" w:rsidR="00D51400" w:rsidRPr="00B611E2" w:rsidRDefault="00D51400" w:rsidP="00D51400">
            <w:pPr>
              <w:keepNext/>
              <w:keepLines/>
              <w:widowControl w:val="0"/>
              <w:rPr>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B611E2">
              <w:rPr>
                <w:sz w:val="16"/>
                <w:szCs w:val="16"/>
                <w:lang w:val="en-GB" w:eastAsia="de-DE"/>
              </w:rPr>
              <w:t>(**)</w:t>
            </w:r>
          </w:p>
          <w:p w14:paraId="30071538" w14:textId="296D62EC" w:rsidR="00D51400" w:rsidRPr="00A34F10" w:rsidRDefault="00D51400" w:rsidP="00D51400">
            <w:pPr>
              <w:keepNext/>
              <w:keepLines/>
              <w:widowControl w:val="0"/>
              <w:rPr>
                <w:sz w:val="16"/>
                <w:szCs w:val="16"/>
                <w:lang w:val="en-GB" w:eastAsia="de-DE"/>
              </w:rPr>
            </w:pPr>
            <w:r w:rsidRPr="00B611E2">
              <w:rPr>
                <w:sz w:val="16"/>
                <w:szCs w:val="16"/>
                <w:lang w:val="en-GB" w:eastAsia="de-DE"/>
              </w:rPr>
              <w:t>b) 0.48(*) + 1.804(**)</w:t>
            </w:r>
          </w:p>
        </w:tc>
        <w:tc>
          <w:tcPr>
            <w:tcW w:w="247" w:type="pct"/>
            <w:shd w:val="clear" w:color="auto" w:fill="auto"/>
          </w:tcPr>
          <w:p w14:paraId="6478AFEE" w14:textId="77777777" w:rsidR="00D51400" w:rsidRDefault="00D51400" w:rsidP="00D51400">
            <w:pPr>
              <w:keepNext/>
              <w:keepLines/>
              <w:widowControl w:val="0"/>
              <w:rPr>
                <w:sz w:val="16"/>
                <w:szCs w:val="16"/>
                <w:lang w:val="en-GB" w:eastAsia="de-DE"/>
              </w:rPr>
            </w:pPr>
            <w:r w:rsidRPr="009A3EE0">
              <w:rPr>
                <w:sz w:val="16"/>
                <w:szCs w:val="16"/>
                <w:lang w:val="en-GB" w:eastAsia="de-DE"/>
              </w:rPr>
              <w:t>1</w:t>
            </w:r>
            <w:r>
              <w:rPr>
                <w:sz w:val="16"/>
                <w:szCs w:val="16"/>
                <w:lang w:val="en-GB" w:eastAsia="de-DE"/>
              </w:rPr>
              <w:t>5</w:t>
            </w:r>
            <w:r w:rsidRPr="009A3EE0">
              <w:rPr>
                <w:sz w:val="16"/>
                <w:szCs w:val="16"/>
                <w:lang w:val="en-GB" w:eastAsia="de-DE"/>
              </w:rPr>
              <w:t>0/</w:t>
            </w:r>
            <w:r>
              <w:rPr>
                <w:sz w:val="16"/>
                <w:szCs w:val="16"/>
                <w:lang w:val="en-GB" w:eastAsia="de-DE"/>
              </w:rPr>
              <w:t>500</w:t>
            </w:r>
          </w:p>
          <w:p w14:paraId="05022025" w14:textId="77777777" w:rsidR="00D51400" w:rsidRDefault="00D51400" w:rsidP="00D51400">
            <w:pPr>
              <w:keepNext/>
              <w:keepLines/>
              <w:widowControl w:val="0"/>
              <w:rPr>
                <w:sz w:val="16"/>
                <w:szCs w:val="16"/>
                <w:lang w:val="en-GB" w:eastAsia="de-DE"/>
              </w:rPr>
            </w:pPr>
          </w:p>
          <w:p w14:paraId="1AC5D49F" w14:textId="77777777" w:rsidR="00D51400" w:rsidRPr="00A34F10" w:rsidRDefault="00D51400" w:rsidP="00D51400">
            <w:pPr>
              <w:keepNext/>
              <w:keepLines/>
              <w:widowControl w:val="0"/>
              <w:rPr>
                <w:sz w:val="16"/>
                <w:szCs w:val="16"/>
                <w:lang w:val="en-GB" w:eastAsia="de-DE"/>
              </w:rPr>
            </w:pPr>
          </w:p>
        </w:tc>
        <w:tc>
          <w:tcPr>
            <w:tcW w:w="195" w:type="pct"/>
            <w:shd w:val="clear" w:color="auto" w:fill="auto"/>
          </w:tcPr>
          <w:p w14:paraId="327A91FB" w14:textId="3D97E762" w:rsidR="00D51400" w:rsidRPr="00A34F10" w:rsidRDefault="00D51400" w:rsidP="00D51400">
            <w:pPr>
              <w:pStyle w:val="RepTableSmall"/>
              <w:rPr>
                <w:szCs w:val="16"/>
                <w:lang w:val="en-GB" w:eastAsia="de-DE"/>
              </w:rPr>
            </w:pPr>
            <w:r w:rsidRPr="009A3EE0">
              <w:rPr>
                <w:szCs w:val="16"/>
                <w:lang w:val="en-GB" w:eastAsia="de-DE"/>
              </w:rPr>
              <w:t>1</w:t>
            </w:r>
          </w:p>
        </w:tc>
        <w:tc>
          <w:tcPr>
            <w:tcW w:w="342" w:type="pct"/>
            <w:shd w:val="clear" w:color="auto" w:fill="auto"/>
          </w:tcPr>
          <w:p w14:paraId="670FD007" w14:textId="3C1B1B9D" w:rsidR="00D51400" w:rsidRPr="00B611E2" w:rsidRDefault="00D51400" w:rsidP="00D51400">
            <w:pPr>
              <w:keepNext/>
              <w:keepLines/>
              <w:widowControl w:val="0"/>
              <w:rPr>
                <w:sz w:val="16"/>
                <w:szCs w:val="16"/>
                <w:lang w:val="en-GB" w:eastAsia="de-DE"/>
              </w:rPr>
            </w:pPr>
            <w:r w:rsidRPr="009A3EE0">
              <w:rPr>
                <w:sz w:val="16"/>
                <w:szCs w:val="16"/>
                <w:lang w:val="en-GB" w:eastAsia="de-DE"/>
              </w:rPr>
              <w:t>Spray interval: 7-10 days</w:t>
            </w:r>
          </w:p>
          <w:p w14:paraId="233F2932" w14:textId="77777777" w:rsidR="00D51400" w:rsidRPr="00B611E2" w:rsidRDefault="00D51400" w:rsidP="00D51400">
            <w:pPr>
              <w:pStyle w:val="RepTableSmall"/>
              <w:rPr>
                <w:szCs w:val="16"/>
                <w:lang w:val="en-GB" w:eastAsia="de-DE"/>
              </w:rPr>
            </w:pPr>
          </w:p>
        </w:tc>
        <w:tc>
          <w:tcPr>
            <w:tcW w:w="110" w:type="pct"/>
            <w:shd w:val="clear" w:color="auto" w:fill="92D050"/>
          </w:tcPr>
          <w:p w14:paraId="491C22EE" w14:textId="29BE6669" w:rsidR="00D51400" w:rsidRPr="00A34F10" w:rsidRDefault="00D51400" w:rsidP="00D51400">
            <w:pPr>
              <w:pStyle w:val="RepTableSmall"/>
              <w:rPr>
                <w:lang w:val="en-GB"/>
              </w:rPr>
            </w:pPr>
            <w:r>
              <w:rPr>
                <w:lang w:val="en-GB"/>
              </w:rPr>
              <w:t>A</w:t>
            </w:r>
          </w:p>
        </w:tc>
        <w:tc>
          <w:tcPr>
            <w:tcW w:w="110" w:type="pct"/>
            <w:shd w:val="clear" w:color="auto" w:fill="92D050"/>
          </w:tcPr>
          <w:p w14:paraId="5774CE0A" w14:textId="086B8198" w:rsidR="00D51400" w:rsidRPr="00A34F10" w:rsidRDefault="00D51400" w:rsidP="00D51400">
            <w:pPr>
              <w:pStyle w:val="RepTableSmall"/>
              <w:rPr>
                <w:lang w:val="en-GB"/>
              </w:rPr>
            </w:pPr>
            <w:r>
              <w:rPr>
                <w:lang w:val="en-GB"/>
              </w:rPr>
              <w:t>A</w:t>
            </w:r>
          </w:p>
        </w:tc>
        <w:tc>
          <w:tcPr>
            <w:tcW w:w="110" w:type="pct"/>
            <w:shd w:val="clear" w:color="auto" w:fill="92D050"/>
          </w:tcPr>
          <w:p w14:paraId="37113DB6" w14:textId="1F576795" w:rsidR="00D51400" w:rsidRPr="00A34F10" w:rsidRDefault="00D51400" w:rsidP="00D51400">
            <w:pPr>
              <w:pStyle w:val="RepTableSmall"/>
              <w:rPr>
                <w:lang w:val="en-GB"/>
              </w:rPr>
            </w:pPr>
            <w:r>
              <w:rPr>
                <w:lang w:val="en-GB"/>
              </w:rPr>
              <w:t>A</w:t>
            </w:r>
          </w:p>
        </w:tc>
        <w:tc>
          <w:tcPr>
            <w:tcW w:w="110" w:type="pct"/>
            <w:shd w:val="clear" w:color="auto" w:fill="92D050"/>
          </w:tcPr>
          <w:p w14:paraId="2B792E0F" w14:textId="772D7DEA" w:rsidR="00D51400" w:rsidRPr="00A34F10" w:rsidRDefault="00D51400" w:rsidP="00D51400">
            <w:pPr>
              <w:pStyle w:val="RepTableSmall"/>
              <w:rPr>
                <w:lang w:val="en-GB"/>
              </w:rPr>
            </w:pPr>
            <w:r>
              <w:rPr>
                <w:lang w:val="en-GB"/>
              </w:rPr>
              <w:t>A</w:t>
            </w:r>
          </w:p>
        </w:tc>
        <w:tc>
          <w:tcPr>
            <w:tcW w:w="110" w:type="pct"/>
            <w:shd w:val="clear" w:color="auto" w:fill="92D050"/>
          </w:tcPr>
          <w:p w14:paraId="62E8BF1A" w14:textId="27448274" w:rsidR="00D51400" w:rsidRPr="00A34F10" w:rsidRDefault="00D51400" w:rsidP="00D51400">
            <w:pPr>
              <w:pStyle w:val="RepTableSmall"/>
              <w:rPr>
                <w:lang w:val="en-GB"/>
              </w:rPr>
            </w:pPr>
            <w:r>
              <w:rPr>
                <w:lang w:val="en-GB"/>
              </w:rPr>
              <w:t>A</w:t>
            </w:r>
          </w:p>
        </w:tc>
        <w:tc>
          <w:tcPr>
            <w:tcW w:w="110" w:type="pct"/>
            <w:shd w:val="clear" w:color="auto" w:fill="92D050"/>
          </w:tcPr>
          <w:p w14:paraId="15F8377E" w14:textId="0A4D6D24" w:rsidR="00D51400" w:rsidRPr="00A34F10" w:rsidRDefault="00D51400" w:rsidP="00D51400">
            <w:pPr>
              <w:pStyle w:val="RepTableSmall"/>
              <w:rPr>
                <w:lang w:val="en-GB"/>
              </w:rPr>
            </w:pPr>
            <w:r>
              <w:rPr>
                <w:lang w:val="en-GB"/>
              </w:rPr>
              <w:t>A</w:t>
            </w:r>
          </w:p>
        </w:tc>
        <w:tc>
          <w:tcPr>
            <w:tcW w:w="106" w:type="pct"/>
            <w:shd w:val="clear" w:color="auto" w:fill="92D050"/>
          </w:tcPr>
          <w:p w14:paraId="6E759797" w14:textId="5760BF1D" w:rsidR="00D51400" w:rsidRPr="00A34F10" w:rsidRDefault="00D51400" w:rsidP="00D51400">
            <w:pPr>
              <w:pStyle w:val="RepTableSmall"/>
              <w:rPr>
                <w:lang w:val="en-GB"/>
              </w:rPr>
            </w:pPr>
            <w:r>
              <w:rPr>
                <w:lang w:val="en-GB"/>
              </w:rPr>
              <w:t>A</w:t>
            </w:r>
          </w:p>
        </w:tc>
      </w:tr>
      <w:tr w:rsidR="00D51400" w:rsidRPr="00A34F10" w14:paraId="39E5EA65" w14:textId="77777777" w:rsidTr="00A911C9">
        <w:tc>
          <w:tcPr>
            <w:tcW w:w="5000" w:type="pct"/>
            <w:gridSpan w:val="21"/>
            <w:shd w:val="clear" w:color="auto" w:fill="auto"/>
          </w:tcPr>
          <w:p w14:paraId="4BC4044D" w14:textId="68EFA231" w:rsidR="00D51400" w:rsidRPr="00A34F10" w:rsidRDefault="00D51400" w:rsidP="00D51400">
            <w:pPr>
              <w:pStyle w:val="RepTableSmallBold"/>
              <w:rPr>
                <w:lang w:val="en-GB"/>
              </w:rPr>
            </w:pPr>
            <w:r w:rsidRPr="00A34F10">
              <w:rPr>
                <w:lang w:val="en-GB"/>
              </w:rPr>
              <w:t>Minor uses according to Article 51 (field uses)</w:t>
            </w:r>
            <w:r>
              <w:rPr>
                <w:lang w:val="en-GB"/>
              </w:rPr>
              <w:t xml:space="preserve"> </w:t>
            </w:r>
            <w:r w:rsidRPr="00565585">
              <w:rPr>
                <w:highlight w:val="green"/>
                <w:lang w:val="en-GB"/>
              </w:rPr>
              <w:t>***</w:t>
            </w:r>
          </w:p>
        </w:tc>
      </w:tr>
      <w:tr w:rsidR="00D51400" w:rsidRPr="00A34F10" w14:paraId="0872F259" w14:textId="77777777" w:rsidTr="00D802F0">
        <w:tc>
          <w:tcPr>
            <w:tcW w:w="144" w:type="pct"/>
            <w:shd w:val="clear" w:color="auto" w:fill="auto"/>
          </w:tcPr>
          <w:p w14:paraId="7ADA8CE2" w14:textId="3E6B4FDF" w:rsidR="00D51400" w:rsidRPr="00A34F10" w:rsidRDefault="00D51400" w:rsidP="00D51400">
            <w:pPr>
              <w:pStyle w:val="RepTableSmall"/>
              <w:rPr>
                <w:lang w:val="en-GB"/>
              </w:rPr>
            </w:pPr>
            <w:r>
              <w:rPr>
                <w:lang w:val="en-GB"/>
              </w:rPr>
              <w:t>6</w:t>
            </w:r>
          </w:p>
        </w:tc>
        <w:tc>
          <w:tcPr>
            <w:tcW w:w="262" w:type="pct"/>
            <w:shd w:val="clear" w:color="auto" w:fill="auto"/>
          </w:tcPr>
          <w:p w14:paraId="2D5BABEB" w14:textId="2582F1FC"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2B8A1974" w14:textId="77777777" w:rsidR="00D51400" w:rsidRPr="00A34F10" w:rsidRDefault="00D51400" w:rsidP="00D51400">
            <w:pPr>
              <w:spacing w:before="60" w:after="40"/>
              <w:rPr>
                <w:spacing w:val="-1"/>
                <w:sz w:val="16"/>
                <w:szCs w:val="16"/>
              </w:rPr>
            </w:pPr>
            <w:r w:rsidRPr="00A34F10">
              <w:rPr>
                <w:spacing w:val="-1"/>
                <w:sz w:val="16"/>
                <w:szCs w:val="16"/>
              </w:rPr>
              <w:t>Floriculture crops DTG .2)</w:t>
            </w:r>
          </w:p>
          <w:p w14:paraId="30DF2CEA" w14:textId="6BFF46DD" w:rsidR="00D51400" w:rsidRPr="00A34F10" w:rsidRDefault="00D51400" w:rsidP="00D51400">
            <w:pPr>
              <w:pStyle w:val="RepTableSmall"/>
              <w:rPr>
                <w:lang w:val="en-GB"/>
              </w:rPr>
            </w:pPr>
            <w:r w:rsidRPr="00A34F10">
              <w:rPr>
                <w:spacing w:val="-1"/>
                <w:szCs w:val="16"/>
              </w:rPr>
              <w:t>(unprotected culture)</w:t>
            </w:r>
          </w:p>
        </w:tc>
        <w:tc>
          <w:tcPr>
            <w:tcW w:w="132" w:type="pct"/>
            <w:shd w:val="clear" w:color="auto" w:fill="auto"/>
          </w:tcPr>
          <w:p w14:paraId="7CCADEFA" w14:textId="3B4E7051"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4B3799C8" w14:textId="77777777" w:rsidR="00D51400" w:rsidRPr="001D51C3" w:rsidRDefault="00D51400" w:rsidP="00D51400">
            <w:pPr>
              <w:pStyle w:val="RepTableSmall"/>
              <w:rPr>
                <w:szCs w:val="16"/>
                <w:lang w:val="es-ES"/>
              </w:rPr>
            </w:pPr>
            <w:r w:rsidRPr="001D51C3">
              <w:rPr>
                <w:i/>
                <w:iCs/>
                <w:szCs w:val="16"/>
                <w:lang w:val="es-ES"/>
              </w:rPr>
              <w:t>Peronospora sp</w:t>
            </w:r>
            <w:r w:rsidRPr="001D51C3">
              <w:rPr>
                <w:szCs w:val="16"/>
                <w:lang w:val="es-ES"/>
              </w:rPr>
              <w:t xml:space="preserve"> (PEROSP)</w:t>
            </w:r>
          </w:p>
          <w:p w14:paraId="0DD91216" w14:textId="2F137D00" w:rsidR="00D51400" w:rsidRPr="001D51C3" w:rsidRDefault="00D51400" w:rsidP="00D51400">
            <w:pPr>
              <w:pStyle w:val="RepTableSmall"/>
              <w:rPr>
                <w:lang w:val="es-ES"/>
              </w:rPr>
            </w:pPr>
            <w:r w:rsidRPr="001D51C3">
              <w:rPr>
                <w:i/>
                <w:iCs/>
                <w:spacing w:val="-1"/>
                <w:szCs w:val="16"/>
                <w:lang w:val="es-ES"/>
              </w:rPr>
              <w:t>Phytophthora spp (</w:t>
            </w:r>
            <w:r w:rsidRPr="001D51C3">
              <w:rPr>
                <w:spacing w:val="-1"/>
                <w:szCs w:val="16"/>
                <w:lang w:val="es-ES"/>
              </w:rPr>
              <w:t>PHYTSP)</w:t>
            </w:r>
          </w:p>
        </w:tc>
        <w:tc>
          <w:tcPr>
            <w:tcW w:w="324" w:type="pct"/>
            <w:shd w:val="clear" w:color="auto" w:fill="auto"/>
          </w:tcPr>
          <w:p w14:paraId="5B9793CF" w14:textId="19AF3FB2"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610E406B" w14:textId="732B4935" w:rsidR="00D51400" w:rsidRPr="00A34F10" w:rsidRDefault="00D51400" w:rsidP="00D51400">
            <w:pPr>
              <w:pStyle w:val="RepTableSmall"/>
              <w:rPr>
                <w:lang w:val="en-GB"/>
              </w:rPr>
            </w:pPr>
            <w:r w:rsidRPr="00A34F10">
              <w:rPr>
                <w:spacing w:val="-1"/>
                <w:szCs w:val="16"/>
              </w:rPr>
              <w:t>BBCH 12-59 (Apr-Sep)</w:t>
            </w:r>
          </w:p>
        </w:tc>
        <w:tc>
          <w:tcPr>
            <w:tcW w:w="324" w:type="pct"/>
            <w:shd w:val="clear" w:color="auto" w:fill="auto"/>
          </w:tcPr>
          <w:p w14:paraId="5EA46346"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7ACA2900" w14:textId="6381595B"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3893E6ED" w14:textId="744DEB98" w:rsidR="00D51400" w:rsidRPr="00A34F10" w:rsidRDefault="00D51400" w:rsidP="00D51400">
            <w:pPr>
              <w:pStyle w:val="RepTableSmall"/>
              <w:rPr>
                <w:lang w:val="en-GB"/>
              </w:rPr>
            </w:pPr>
            <w:r w:rsidRPr="00A34F10">
              <w:rPr>
                <w:szCs w:val="16"/>
                <w:lang w:val="en-GB"/>
              </w:rPr>
              <w:t>7</w:t>
            </w:r>
          </w:p>
        </w:tc>
        <w:tc>
          <w:tcPr>
            <w:tcW w:w="325" w:type="pct"/>
            <w:shd w:val="clear" w:color="auto" w:fill="auto"/>
          </w:tcPr>
          <w:p w14:paraId="6C5429DE" w14:textId="77777777" w:rsidR="00D51400" w:rsidRPr="00A34F10" w:rsidRDefault="00D51400" w:rsidP="00D51400">
            <w:pPr>
              <w:spacing w:before="60" w:after="40"/>
              <w:rPr>
                <w:spacing w:val="-1"/>
                <w:sz w:val="16"/>
                <w:szCs w:val="16"/>
              </w:rPr>
            </w:pPr>
            <w:r w:rsidRPr="00A34F10">
              <w:rPr>
                <w:spacing w:val="-1"/>
                <w:sz w:val="16"/>
                <w:szCs w:val="16"/>
              </w:rPr>
              <w:t>a) 2</w:t>
            </w:r>
          </w:p>
          <w:p w14:paraId="1D0EEABE" w14:textId="73D70908"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1B825A97" w14:textId="77777777" w:rsidR="00D51400" w:rsidRPr="00A34F10" w:rsidRDefault="00D51400" w:rsidP="00D51400">
            <w:pPr>
              <w:spacing w:before="60" w:after="40"/>
              <w:rPr>
                <w:spacing w:val="-1"/>
                <w:sz w:val="16"/>
                <w:szCs w:val="16"/>
              </w:rPr>
            </w:pPr>
            <w:r w:rsidRPr="00A34F10">
              <w:rPr>
                <w:spacing w:val="-1"/>
                <w:sz w:val="16"/>
                <w:szCs w:val="16"/>
              </w:rPr>
              <w:t>a) 0.24(*) + 0.902(**)</w:t>
            </w:r>
          </w:p>
          <w:p w14:paraId="605029ED" w14:textId="72DA0EDF"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7E655E0F" w14:textId="32796DCF"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11D6540C" w14:textId="77766E25"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666307BB" w14:textId="77777777" w:rsidR="00D51400" w:rsidRPr="00A34F10" w:rsidRDefault="00D51400" w:rsidP="00D51400">
            <w:pPr>
              <w:pStyle w:val="RepTableSmall"/>
              <w:rPr>
                <w:lang w:val="en-GB"/>
              </w:rPr>
            </w:pPr>
          </w:p>
        </w:tc>
        <w:tc>
          <w:tcPr>
            <w:tcW w:w="110" w:type="pct"/>
            <w:shd w:val="clear" w:color="auto" w:fill="D9D9D9"/>
          </w:tcPr>
          <w:p w14:paraId="002C73B1" w14:textId="77777777" w:rsidR="00D51400" w:rsidRPr="00A34F10" w:rsidRDefault="00D51400" w:rsidP="00D51400">
            <w:pPr>
              <w:pStyle w:val="RepTableSmall"/>
              <w:rPr>
                <w:lang w:val="en-GB"/>
              </w:rPr>
            </w:pPr>
          </w:p>
        </w:tc>
        <w:tc>
          <w:tcPr>
            <w:tcW w:w="110" w:type="pct"/>
            <w:shd w:val="clear" w:color="auto" w:fill="D9D9D9"/>
          </w:tcPr>
          <w:p w14:paraId="445F1036" w14:textId="77777777" w:rsidR="00D51400" w:rsidRPr="00A34F10" w:rsidRDefault="00D51400" w:rsidP="00D51400">
            <w:pPr>
              <w:pStyle w:val="RepTableSmall"/>
              <w:rPr>
                <w:lang w:val="en-GB"/>
              </w:rPr>
            </w:pPr>
          </w:p>
        </w:tc>
        <w:tc>
          <w:tcPr>
            <w:tcW w:w="110" w:type="pct"/>
            <w:shd w:val="clear" w:color="auto" w:fill="D9D9D9"/>
          </w:tcPr>
          <w:p w14:paraId="0DFDC954" w14:textId="77777777" w:rsidR="00D51400" w:rsidRPr="00A34F10" w:rsidRDefault="00D51400" w:rsidP="00D51400">
            <w:pPr>
              <w:pStyle w:val="RepTableSmall"/>
              <w:rPr>
                <w:lang w:val="en-GB"/>
              </w:rPr>
            </w:pPr>
          </w:p>
        </w:tc>
        <w:tc>
          <w:tcPr>
            <w:tcW w:w="110" w:type="pct"/>
            <w:shd w:val="clear" w:color="auto" w:fill="D9D9D9"/>
          </w:tcPr>
          <w:p w14:paraId="5C2157FB" w14:textId="77777777" w:rsidR="00D51400" w:rsidRPr="00A34F10" w:rsidRDefault="00D51400" w:rsidP="00D51400">
            <w:pPr>
              <w:pStyle w:val="RepTableSmall"/>
              <w:rPr>
                <w:lang w:val="en-GB"/>
              </w:rPr>
            </w:pPr>
          </w:p>
        </w:tc>
        <w:tc>
          <w:tcPr>
            <w:tcW w:w="110" w:type="pct"/>
            <w:shd w:val="clear" w:color="auto" w:fill="D9D9D9"/>
          </w:tcPr>
          <w:p w14:paraId="0639286E" w14:textId="77777777" w:rsidR="00D51400" w:rsidRPr="00A34F10" w:rsidRDefault="00D51400" w:rsidP="00D51400">
            <w:pPr>
              <w:pStyle w:val="RepTableSmall"/>
              <w:rPr>
                <w:lang w:val="en-GB"/>
              </w:rPr>
            </w:pPr>
          </w:p>
        </w:tc>
        <w:tc>
          <w:tcPr>
            <w:tcW w:w="110" w:type="pct"/>
            <w:shd w:val="clear" w:color="auto" w:fill="D9D9D9"/>
          </w:tcPr>
          <w:p w14:paraId="59D0BB2F" w14:textId="77777777" w:rsidR="00D51400" w:rsidRPr="00A34F10" w:rsidRDefault="00D51400" w:rsidP="00D51400">
            <w:pPr>
              <w:pStyle w:val="RepTableSmall"/>
              <w:rPr>
                <w:lang w:val="en-GB"/>
              </w:rPr>
            </w:pPr>
          </w:p>
        </w:tc>
        <w:tc>
          <w:tcPr>
            <w:tcW w:w="106" w:type="pct"/>
            <w:shd w:val="clear" w:color="auto" w:fill="D9D9D9"/>
          </w:tcPr>
          <w:p w14:paraId="37A9CEE5" w14:textId="77777777" w:rsidR="00D51400" w:rsidRPr="00A34F10" w:rsidRDefault="00D51400" w:rsidP="00D51400">
            <w:pPr>
              <w:pStyle w:val="RepTableSmall"/>
              <w:rPr>
                <w:lang w:val="en-GB"/>
              </w:rPr>
            </w:pPr>
          </w:p>
        </w:tc>
      </w:tr>
      <w:tr w:rsidR="00D51400" w:rsidRPr="00A34F10" w14:paraId="1EBFCA45" w14:textId="77777777" w:rsidTr="00D802F0">
        <w:tc>
          <w:tcPr>
            <w:tcW w:w="144" w:type="pct"/>
            <w:shd w:val="clear" w:color="auto" w:fill="auto"/>
          </w:tcPr>
          <w:p w14:paraId="20F39909" w14:textId="4F5826D5" w:rsidR="00D51400" w:rsidRPr="00A34F10" w:rsidRDefault="00D51400" w:rsidP="00D51400">
            <w:pPr>
              <w:pStyle w:val="RepTableSmall"/>
              <w:rPr>
                <w:lang w:val="en-GB"/>
              </w:rPr>
            </w:pPr>
            <w:r>
              <w:rPr>
                <w:lang w:val="en-GB"/>
              </w:rPr>
              <w:t>7</w:t>
            </w:r>
          </w:p>
        </w:tc>
        <w:tc>
          <w:tcPr>
            <w:tcW w:w="262" w:type="pct"/>
            <w:shd w:val="clear" w:color="auto" w:fill="auto"/>
          </w:tcPr>
          <w:p w14:paraId="3C42B1C8" w14:textId="7D9F954E"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65AB1261" w14:textId="6E2FC8C5" w:rsidR="00D51400" w:rsidRPr="00A34F10" w:rsidRDefault="00D51400" w:rsidP="00D51400">
            <w:pPr>
              <w:pStyle w:val="RepTableSmall"/>
              <w:rPr>
                <w:lang w:val="en-GB"/>
              </w:rPr>
            </w:pPr>
            <w:r w:rsidRPr="00A34F10">
              <w:rPr>
                <w:spacing w:val="-1"/>
                <w:szCs w:val="16"/>
              </w:rPr>
              <w:t>Avenue trees</w:t>
            </w:r>
          </w:p>
        </w:tc>
        <w:tc>
          <w:tcPr>
            <w:tcW w:w="132" w:type="pct"/>
            <w:shd w:val="clear" w:color="auto" w:fill="auto"/>
          </w:tcPr>
          <w:p w14:paraId="6EED1370" w14:textId="3A361C16"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180FA7BA" w14:textId="48E04ED5" w:rsidR="00D51400" w:rsidRPr="00A34F10" w:rsidRDefault="00D51400" w:rsidP="00D51400">
            <w:pPr>
              <w:pStyle w:val="RepTableSmall"/>
              <w:rPr>
                <w:lang w:val="en-GB"/>
              </w:rPr>
            </w:pPr>
            <w:r w:rsidRPr="00A34F10">
              <w:rPr>
                <w:i/>
                <w:iCs/>
                <w:szCs w:val="16"/>
              </w:rPr>
              <w:t>Peronospora sp</w:t>
            </w:r>
            <w:r w:rsidRPr="00A34F10">
              <w:rPr>
                <w:szCs w:val="16"/>
              </w:rPr>
              <w:t xml:space="preserve"> (PEROSP)</w:t>
            </w:r>
          </w:p>
        </w:tc>
        <w:tc>
          <w:tcPr>
            <w:tcW w:w="324" w:type="pct"/>
            <w:shd w:val="clear" w:color="auto" w:fill="auto"/>
          </w:tcPr>
          <w:p w14:paraId="2BA23DBF" w14:textId="603D2F39"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0A27A48D" w14:textId="2649827D" w:rsidR="00D51400" w:rsidRPr="00A34F10" w:rsidRDefault="00D51400" w:rsidP="00D51400">
            <w:pPr>
              <w:pStyle w:val="RepTableSmall"/>
              <w:rPr>
                <w:lang w:val="en-GB"/>
              </w:rPr>
            </w:pPr>
            <w:r w:rsidRPr="00A34F10">
              <w:rPr>
                <w:spacing w:val="-1"/>
                <w:szCs w:val="16"/>
              </w:rPr>
              <w:t>BBCH 12-59 (Apr-Sep)</w:t>
            </w:r>
          </w:p>
        </w:tc>
        <w:tc>
          <w:tcPr>
            <w:tcW w:w="324" w:type="pct"/>
            <w:shd w:val="clear" w:color="auto" w:fill="auto"/>
          </w:tcPr>
          <w:p w14:paraId="6D1FB4A6"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2DE078BC" w14:textId="746229D4"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17849107" w14:textId="74EBAF03"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10A5EFD1" w14:textId="77777777" w:rsidR="00D51400" w:rsidRPr="00A34F10" w:rsidRDefault="00D51400" w:rsidP="00D51400">
            <w:pPr>
              <w:spacing w:before="60" w:after="40"/>
              <w:rPr>
                <w:spacing w:val="-1"/>
                <w:sz w:val="16"/>
                <w:szCs w:val="16"/>
              </w:rPr>
            </w:pPr>
            <w:r w:rsidRPr="00A34F10">
              <w:rPr>
                <w:spacing w:val="-1"/>
                <w:sz w:val="16"/>
                <w:szCs w:val="16"/>
              </w:rPr>
              <w:t>a) 2</w:t>
            </w:r>
          </w:p>
          <w:p w14:paraId="53BC6D05" w14:textId="48EDE3CA"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6948A56E" w14:textId="77777777" w:rsidR="00D51400" w:rsidRPr="00A34F10" w:rsidRDefault="00D51400" w:rsidP="00D51400">
            <w:pPr>
              <w:spacing w:before="60" w:after="40"/>
              <w:rPr>
                <w:spacing w:val="-1"/>
                <w:sz w:val="16"/>
                <w:szCs w:val="16"/>
              </w:rPr>
            </w:pPr>
            <w:r w:rsidRPr="00A34F10">
              <w:rPr>
                <w:spacing w:val="-1"/>
                <w:sz w:val="16"/>
                <w:szCs w:val="16"/>
              </w:rPr>
              <w:t>a) 0.24(*) + 0.902(**)</w:t>
            </w:r>
          </w:p>
          <w:p w14:paraId="7EAF2A7C" w14:textId="22FF6021"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20FDD6CD" w14:textId="3A178C6F"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452644C6" w14:textId="34734BE0"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682932A6" w14:textId="77777777" w:rsidR="00D51400" w:rsidRPr="00A34F10" w:rsidRDefault="00D51400" w:rsidP="00D51400">
            <w:pPr>
              <w:pStyle w:val="RepTableSmall"/>
              <w:rPr>
                <w:lang w:val="en-GB"/>
              </w:rPr>
            </w:pPr>
          </w:p>
        </w:tc>
        <w:tc>
          <w:tcPr>
            <w:tcW w:w="110" w:type="pct"/>
            <w:shd w:val="clear" w:color="auto" w:fill="D9D9D9"/>
          </w:tcPr>
          <w:p w14:paraId="0F88F887" w14:textId="77777777" w:rsidR="00D51400" w:rsidRPr="00A34F10" w:rsidRDefault="00D51400" w:rsidP="00D51400">
            <w:pPr>
              <w:pStyle w:val="RepTableSmall"/>
              <w:rPr>
                <w:lang w:val="en-GB"/>
              </w:rPr>
            </w:pPr>
          </w:p>
        </w:tc>
        <w:tc>
          <w:tcPr>
            <w:tcW w:w="110" w:type="pct"/>
            <w:shd w:val="clear" w:color="auto" w:fill="D9D9D9"/>
          </w:tcPr>
          <w:p w14:paraId="14B30DF1" w14:textId="77777777" w:rsidR="00D51400" w:rsidRPr="00A34F10" w:rsidRDefault="00D51400" w:rsidP="00D51400">
            <w:pPr>
              <w:pStyle w:val="RepTableSmall"/>
              <w:rPr>
                <w:lang w:val="en-GB"/>
              </w:rPr>
            </w:pPr>
          </w:p>
        </w:tc>
        <w:tc>
          <w:tcPr>
            <w:tcW w:w="110" w:type="pct"/>
            <w:shd w:val="clear" w:color="auto" w:fill="D9D9D9"/>
          </w:tcPr>
          <w:p w14:paraId="342A8130" w14:textId="77777777" w:rsidR="00D51400" w:rsidRPr="00A34F10" w:rsidRDefault="00D51400" w:rsidP="00D51400">
            <w:pPr>
              <w:pStyle w:val="RepTableSmall"/>
              <w:rPr>
                <w:lang w:val="en-GB"/>
              </w:rPr>
            </w:pPr>
          </w:p>
        </w:tc>
        <w:tc>
          <w:tcPr>
            <w:tcW w:w="110" w:type="pct"/>
            <w:shd w:val="clear" w:color="auto" w:fill="D9D9D9"/>
          </w:tcPr>
          <w:p w14:paraId="5DAACF79" w14:textId="77777777" w:rsidR="00D51400" w:rsidRPr="00A34F10" w:rsidRDefault="00D51400" w:rsidP="00D51400">
            <w:pPr>
              <w:pStyle w:val="RepTableSmall"/>
              <w:rPr>
                <w:lang w:val="en-GB"/>
              </w:rPr>
            </w:pPr>
          </w:p>
        </w:tc>
        <w:tc>
          <w:tcPr>
            <w:tcW w:w="110" w:type="pct"/>
            <w:shd w:val="clear" w:color="auto" w:fill="D9D9D9"/>
          </w:tcPr>
          <w:p w14:paraId="7CE64845" w14:textId="77777777" w:rsidR="00D51400" w:rsidRPr="00A34F10" w:rsidRDefault="00D51400" w:rsidP="00D51400">
            <w:pPr>
              <w:pStyle w:val="RepTableSmall"/>
              <w:rPr>
                <w:lang w:val="en-GB"/>
              </w:rPr>
            </w:pPr>
          </w:p>
        </w:tc>
        <w:tc>
          <w:tcPr>
            <w:tcW w:w="110" w:type="pct"/>
            <w:shd w:val="clear" w:color="auto" w:fill="D9D9D9"/>
          </w:tcPr>
          <w:p w14:paraId="296F6DD0" w14:textId="77777777" w:rsidR="00D51400" w:rsidRPr="00A34F10" w:rsidRDefault="00D51400" w:rsidP="00D51400">
            <w:pPr>
              <w:pStyle w:val="RepTableSmall"/>
              <w:rPr>
                <w:lang w:val="en-GB"/>
              </w:rPr>
            </w:pPr>
          </w:p>
        </w:tc>
        <w:tc>
          <w:tcPr>
            <w:tcW w:w="106" w:type="pct"/>
            <w:shd w:val="clear" w:color="auto" w:fill="D9D9D9"/>
          </w:tcPr>
          <w:p w14:paraId="32D48A06" w14:textId="77777777" w:rsidR="00D51400" w:rsidRPr="00A34F10" w:rsidRDefault="00D51400" w:rsidP="00D51400">
            <w:pPr>
              <w:pStyle w:val="RepTableSmall"/>
              <w:rPr>
                <w:lang w:val="en-GB"/>
              </w:rPr>
            </w:pPr>
          </w:p>
        </w:tc>
      </w:tr>
      <w:tr w:rsidR="00D51400" w:rsidRPr="00A34F10" w14:paraId="13BB658A" w14:textId="77777777" w:rsidTr="00D802F0">
        <w:tc>
          <w:tcPr>
            <w:tcW w:w="144" w:type="pct"/>
            <w:shd w:val="clear" w:color="auto" w:fill="auto"/>
          </w:tcPr>
          <w:p w14:paraId="4E6DFE99" w14:textId="23320403" w:rsidR="00D51400" w:rsidRPr="00A34F10" w:rsidRDefault="00D51400" w:rsidP="00D51400">
            <w:pPr>
              <w:pStyle w:val="RepTableSmall"/>
              <w:rPr>
                <w:lang w:val="en-GB"/>
              </w:rPr>
            </w:pPr>
            <w:r>
              <w:rPr>
                <w:lang w:val="en-GB"/>
              </w:rPr>
              <w:t>8</w:t>
            </w:r>
          </w:p>
        </w:tc>
        <w:tc>
          <w:tcPr>
            <w:tcW w:w="262" w:type="pct"/>
            <w:shd w:val="clear" w:color="auto" w:fill="auto"/>
          </w:tcPr>
          <w:p w14:paraId="6CCD2180" w14:textId="20B5F1C9"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148B1740" w14:textId="7F09632A" w:rsidR="00D51400" w:rsidRPr="00A34F10" w:rsidRDefault="00D51400" w:rsidP="00D51400">
            <w:pPr>
              <w:pStyle w:val="RepTableSmall"/>
              <w:rPr>
                <w:lang w:val="en-GB"/>
              </w:rPr>
            </w:pPr>
            <w:r w:rsidRPr="00A34F10">
              <w:rPr>
                <w:spacing w:val="-1"/>
                <w:szCs w:val="16"/>
              </w:rPr>
              <w:t>Climbing Plants</w:t>
            </w:r>
          </w:p>
        </w:tc>
        <w:tc>
          <w:tcPr>
            <w:tcW w:w="132" w:type="pct"/>
            <w:shd w:val="clear" w:color="auto" w:fill="auto"/>
          </w:tcPr>
          <w:p w14:paraId="3707AD85" w14:textId="262E3679"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3C9894CB" w14:textId="55EC8F4E" w:rsidR="00D51400" w:rsidRPr="00A34F10" w:rsidRDefault="00D51400" w:rsidP="00D51400">
            <w:pPr>
              <w:pStyle w:val="RepTableSmall"/>
              <w:rPr>
                <w:lang w:val="en-GB"/>
              </w:rPr>
            </w:pPr>
            <w:r w:rsidRPr="00A34F10">
              <w:rPr>
                <w:i/>
                <w:iCs/>
                <w:szCs w:val="16"/>
              </w:rPr>
              <w:t>Peronospora sp</w:t>
            </w:r>
            <w:r w:rsidRPr="00A34F10">
              <w:rPr>
                <w:szCs w:val="16"/>
              </w:rPr>
              <w:t xml:space="preserve"> (PEROSP)</w:t>
            </w:r>
          </w:p>
        </w:tc>
        <w:tc>
          <w:tcPr>
            <w:tcW w:w="324" w:type="pct"/>
            <w:shd w:val="clear" w:color="auto" w:fill="auto"/>
          </w:tcPr>
          <w:p w14:paraId="4491028B" w14:textId="6F428AE2"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0A1B5D53" w14:textId="66D7015A" w:rsidR="00D51400" w:rsidRPr="00A34F10" w:rsidRDefault="00D51400" w:rsidP="00D51400">
            <w:pPr>
              <w:pStyle w:val="RepTableSmall"/>
              <w:rPr>
                <w:lang w:val="en-GB"/>
              </w:rPr>
            </w:pPr>
            <w:r w:rsidRPr="00A34F10">
              <w:rPr>
                <w:spacing w:val="-1"/>
                <w:szCs w:val="16"/>
              </w:rPr>
              <w:t>BBCH 12-59 (Apr-Sep)</w:t>
            </w:r>
          </w:p>
        </w:tc>
        <w:tc>
          <w:tcPr>
            <w:tcW w:w="324" w:type="pct"/>
            <w:shd w:val="clear" w:color="auto" w:fill="auto"/>
          </w:tcPr>
          <w:p w14:paraId="615BC045"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56D7EFED" w14:textId="17EC0A75"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351C2879" w14:textId="5559F9DA"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77D307BE" w14:textId="77777777" w:rsidR="00D51400" w:rsidRPr="00A34F10" w:rsidRDefault="00D51400" w:rsidP="00D51400">
            <w:pPr>
              <w:spacing w:before="60" w:after="40"/>
              <w:rPr>
                <w:spacing w:val="-1"/>
                <w:sz w:val="16"/>
                <w:szCs w:val="16"/>
              </w:rPr>
            </w:pPr>
            <w:r w:rsidRPr="00A34F10">
              <w:rPr>
                <w:spacing w:val="-1"/>
                <w:sz w:val="16"/>
                <w:szCs w:val="16"/>
              </w:rPr>
              <w:t>a) 2</w:t>
            </w:r>
          </w:p>
          <w:p w14:paraId="1449677A" w14:textId="75DD0546"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3B203502" w14:textId="77777777" w:rsidR="00D51400" w:rsidRPr="00A34F10" w:rsidRDefault="00D51400" w:rsidP="00D51400">
            <w:pPr>
              <w:spacing w:before="60" w:after="40"/>
              <w:rPr>
                <w:spacing w:val="-1"/>
                <w:sz w:val="16"/>
                <w:szCs w:val="16"/>
              </w:rPr>
            </w:pPr>
            <w:r w:rsidRPr="00A34F10">
              <w:rPr>
                <w:spacing w:val="-1"/>
                <w:sz w:val="16"/>
                <w:szCs w:val="16"/>
              </w:rPr>
              <w:t>a) 0.24(*) + 0.902(**)</w:t>
            </w:r>
          </w:p>
          <w:p w14:paraId="5F136BAA" w14:textId="5D9E5AD4"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07164961" w14:textId="1F0F4D56"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7D09C1EF" w14:textId="2916994F"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7A61FAC3" w14:textId="77777777" w:rsidR="00D51400" w:rsidRPr="00A34F10" w:rsidRDefault="00D51400" w:rsidP="00D51400">
            <w:pPr>
              <w:pStyle w:val="RepTableSmall"/>
              <w:rPr>
                <w:lang w:val="en-GB"/>
              </w:rPr>
            </w:pPr>
          </w:p>
        </w:tc>
        <w:tc>
          <w:tcPr>
            <w:tcW w:w="110" w:type="pct"/>
            <w:shd w:val="clear" w:color="auto" w:fill="D9D9D9"/>
          </w:tcPr>
          <w:p w14:paraId="1BDDFE4F" w14:textId="77777777" w:rsidR="00D51400" w:rsidRPr="00A34F10" w:rsidRDefault="00D51400" w:rsidP="00D51400">
            <w:pPr>
              <w:pStyle w:val="RepTableSmall"/>
              <w:rPr>
                <w:lang w:val="en-GB"/>
              </w:rPr>
            </w:pPr>
          </w:p>
        </w:tc>
        <w:tc>
          <w:tcPr>
            <w:tcW w:w="110" w:type="pct"/>
            <w:shd w:val="clear" w:color="auto" w:fill="D9D9D9"/>
          </w:tcPr>
          <w:p w14:paraId="2E71CCBB" w14:textId="77777777" w:rsidR="00D51400" w:rsidRPr="00A34F10" w:rsidRDefault="00D51400" w:rsidP="00D51400">
            <w:pPr>
              <w:pStyle w:val="RepTableSmall"/>
              <w:rPr>
                <w:lang w:val="en-GB"/>
              </w:rPr>
            </w:pPr>
          </w:p>
        </w:tc>
        <w:tc>
          <w:tcPr>
            <w:tcW w:w="110" w:type="pct"/>
            <w:shd w:val="clear" w:color="auto" w:fill="D9D9D9"/>
          </w:tcPr>
          <w:p w14:paraId="5EC7E5F8" w14:textId="77777777" w:rsidR="00D51400" w:rsidRPr="00A34F10" w:rsidRDefault="00D51400" w:rsidP="00D51400">
            <w:pPr>
              <w:pStyle w:val="RepTableSmall"/>
              <w:rPr>
                <w:lang w:val="en-GB"/>
              </w:rPr>
            </w:pPr>
          </w:p>
        </w:tc>
        <w:tc>
          <w:tcPr>
            <w:tcW w:w="110" w:type="pct"/>
            <w:shd w:val="clear" w:color="auto" w:fill="D9D9D9"/>
          </w:tcPr>
          <w:p w14:paraId="35CE323C" w14:textId="77777777" w:rsidR="00D51400" w:rsidRPr="00A34F10" w:rsidRDefault="00D51400" w:rsidP="00D51400">
            <w:pPr>
              <w:pStyle w:val="RepTableSmall"/>
              <w:rPr>
                <w:lang w:val="en-GB"/>
              </w:rPr>
            </w:pPr>
          </w:p>
        </w:tc>
        <w:tc>
          <w:tcPr>
            <w:tcW w:w="110" w:type="pct"/>
            <w:shd w:val="clear" w:color="auto" w:fill="D9D9D9"/>
          </w:tcPr>
          <w:p w14:paraId="426A0B27" w14:textId="77777777" w:rsidR="00D51400" w:rsidRPr="00A34F10" w:rsidRDefault="00D51400" w:rsidP="00D51400">
            <w:pPr>
              <w:pStyle w:val="RepTableSmall"/>
              <w:rPr>
                <w:lang w:val="en-GB"/>
              </w:rPr>
            </w:pPr>
          </w:p>
        </w:tc>
        <w:tc>
          <w:tcPr>
            <w:tcW w:w="110" w:type="pct"/>
            <w:shd w:val="clear" w:color="auto" w:fill="D9D9D9"/>
          </w:tcPr>
          <w:p w14:paraId="793AAB76" w14:textId="77777777" w:rsidR="00D51400" w:rsidRPr="00A34F10" w:rsidRDefault="00D51400" w:rsidP="00D51400">
            <w:pPr>
              <w:pStyle w:val="RepTableSmall"/>
              <w:rPr>
                <w:lang w:val="en-GB"/>
              </w:rPr>
            </w:pPr>
          </w:p>
        </w:tc>
        <w:tc>
          <w:tcPr>
            <w:tcW w:w="106" w:type="pct"/>
            <w:shd w:val="clear" w:color="auto" w:fill="D9D9D9"/>
          </w:tcPr>
          <w:p w14:paraId="5AD0B4F8" w14:textId="77777777" w:rsidR="00D51400" w:rsidRPr="00A34F10" w:rsidRDefault="00D51400" w:rsidP="00D51400">
            <w:pPr>
              <w:pStyle w:val="RepTableSmall"/>
              <w:rPr>
                <w:lang w:val="en-GB"/>
              </w:rPr>
            </w:pPr>
          </w:p>
        </w:tc>
      </w:tr>
      <w:tr w:rsidR="00D51400" w:rsidRPr="00A34F10" w14:paraId="308AC6A2" w14:textId="77777777" w:rsidTr="00D802F0">
        <w:tc>
          <w:tcPr>
            <w:tcW w:w="144" w:type="pct"/>
            <w:shd w:val="clear" w:color="auto" w:fill="auto"/>
          </w:tcPr>
          <w:p w14:paraId="1D6B38C6" w14:textId="7A09118C" w:rsidR="00D51400" w:rsidRPr="00A34F10" w:rsidRDefault="00D51400" w:rsidP="00D51400">
            <w:pPr>
              <w:pStyle w:val="RepTableSmall"/>
              <w:keepNext/>
              <w:keepLines/>
              <w:rPr>
                <w:lang w:val="en-GB"/>
              </w:rPr>
            </w:pPr>
            <w:r>
              <w:rPr>
                <w:lang w:val="en-GB"/>
              </w:rPr>
              <w:lastRenderedPageBreak/>
              <w:t>9</w:t>
            </w:r>
          </w:p>
        </w:tc>
        <w:tc>
          <w:tcPr>
            <w:tcW w:w="262" w:type="pct"/>
            <w:shd w:val="clear" w:color="auto" w:fill="auto"/>
          </w:tcPr>
          <w:p w14:paraId="356DC5B8" w14:textId="36232E59" w:rsidR="00D51400" w:rsidRPr="00A34F10" w:rsidRDefault="00D51400" w:rsidP="00D51400">
            <w:pPr>
              <w:pStyle w:val="RepTableSmall"/>
              <w:keepNext/>
              <w:keepLines/>
              <w:rPr>
                <w:lang w:val="en-GB"/>
              </w:rPr>
            </w:pPr>
            <w:r w:rsidRPr="00A34F10">
              <w:rPr>
                <w:spacing w:val="-1"/>
                <w:szCs w:val="16"/>
              </w:rPr>
              <w:t>NL</w:t>
            </w:r>
          </w:p>
        </w:tc>
        <w:tc>
          <w:tcPr>
            <w:tcW w:w="417" w:type="pct"/>
            <w:shd w:val="clear" w:color="auto" w:fill="auto"/>
          </w:tcPr>
          <w:p w14:paraId="4F46E9C0" w14:textId="7EB5E425" w:rsidR="00D51400" w:rsidRPr="00A34F10" w:rsidRDefault="00D51400" w:rsidP="00D51400">
            <w:pPr>
              <w:pStyle w:val="RepTableSmall"/>
              <w:keepNext/>
              <w:keepLines/>
              <w:rPr>
                <w:lang w:val="en-GB"/>
              </w:rPr>
            </w:pPr>
            <w:r w:rsidRPr="00A34F10">
              <w:rPr>
                <w:spacing w:val="-1"/>
                <w:szCs w:val="16"/>
              </w:rPr>
              <w:t>Conifers (incl. Christmas trees)</w:t>
            </w:r>
          </w:p>
        </w:tc>
        <w:tc>
          <w:tcPr>
            <w:tcW w:w="132" w:type="pct"/>
            <w:shd w:val="clear" w:color="auto" w:fill="auto"/>
          </w:tcPr>
          <w:p w14:paraId="6E8256A5" w14:textId="22FE5B26" w:rsidR="00D51400" w:rsidRPr="00A34F10" w:rsidRDefault="00D51400" w:rsidP="00D51400">
            <w:pPr>
              <w:pStyle w:val="RepTableSmall"/>
              <w:keepNext/>
              <w:keepLines/>
              <w:rPr>
                <w:lang w:val="en-GB"/>
              </w:rPr>
            </w:pPr>
            <w:r w:rsidRPr="00A34F10">
              <w:rPr>
                <w:spacing w:val="-1"/>
                <w:szCs w:val="16"/>
              </w:rPr>
              <w:t>F</w:t>
            </w:r>
          </w:p>
        </w:tc>
        <w:tc>
          <w:tcPr>
            <w:tcW w:w="549" w:type="pct"/>
            <w:shd w:val="clear" w:color="auto" w:fill="auto"/>
          </w:tcPr>
          <w:p w14:paraId="1942E75D" w14:textId="12FB9673" w:rsidR="00D51400" w:rsidRPr="00A34F10" w:rsidRDefault="00D51400" w:rsidP="00D51400">
            <w:pPr>
              <w:pStyle w:val="RepTableSmall"/>
              <w:keepNext/>
              <w:keepLines/>
              <w:rPr>
                <w:lang w:val="en-GB"/>
              </w:rPr>
            </w:pPr>
            <w:r w:rsidRPr="00A34F10">
              <w:rPr>
                <w:i/>
                <w:iCs/>
                <w:szCs w:val="16"/>
              </w:rPr>
              <w:t>Peronospora sp</w:t>
            </w:r>
            <w:r w:rsidRPr="00A34F10">
              <w:rPr>
                <w:szCs w:val="16"/>
              </w:rPr>
              <w:t xml:space="preserve"> (PEROSP)</w:t>
            </w:r>
          </w:p>
        </w:tc>
        <w:tc>
          <w:tcPr>
            <w:tcW w:w="324" w:type="pct"/>
            <w:shd w:val="clear" w:color="auto" w:fill="auto"/>
          </w:tcPr>
          <w:p w14:paraId="36B29228" w14:textId="58C784DB" w:rsidR="00D51400" w:rsidRPr="00A34F10" w:rsidRDefault="00D51400" w:rsidP="00D51400">
            <w:pPr>
              <w:pStyle w:val="RepTableSmall"/>
              <w:keepNext/>
              <w:keepLines/>
              <w:rPr>
                <w:lang w:val="en-GB"/>
              </w:rPr>
            </w:pPr>
            <w:r w:rsidRPr="00A34F10">
              <w:rPr>
                <w:spacing w:val="-1"/>
                <w:szCs w:val="16"/>
              </w:rPr>
              <w:t>Foliar Treatment</w:t>
            </w:r>
          </w:p>
        </w:tc>
        <w:tc>
          <w:tcPr>
            <w:tcW w:w="324" w:type="pct"/>
            <w:shd w:val="clear" w:color="auto" w:fill="auto"/>
          </w:tcPr>
          <w:p w14:paraId="7B9DEB49" w14:textId="79409F8B" w:rsidR="00D51400" w:rsidRPr="00A34F10" w:rsidRDefault="00D51400" w:rsidP="00D51400">
            <w:pPr>
              <w:pStyle w:val="RepTableSmall"/>
              <w:keepNext/>
              <w:keepLines/>
              <w:rPr>
                <w:lang w:val="en-GB"/>
              </w:rPr>
            </w:pPr>
            <w:r w:rsidRPr="00A34F10">
              <w:rPr>
                <w:spacing w:val="-1"/>
                <w:szCs w:val="16"/>
              </w:rPr>
              <w:t>BBCH-12-59 (Apr-Sep)</w:t>
            </w:r>
          </w:p>
        </w:tc>
        <w:tc>
          <w:tcPr>
            <w:tcW w:w="324" w:type="pct"/>
            <w:shd w:val="clear" w:color="auto" w:fill="auto"/>
          </w:tcPr>
          <w:p w14:paraId="3F359D78"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745838CA" w14:textId="06E6D5BF" w:rsidR="00D51400" w:rsidRPr="00A34F10" w:rsidRDefault="00D51400" w:rsidP="00D51400">
            <w:pPr>
              <w:pStyle w:val="RepTableSmall"/>
              <w:keepNext/>
              <w:keepLines/>
              <w:rPr>
                <w:lang w:val="en-GB"/>
              </w:rPr>
            </w:pPr>
            <w:r w:rsidRPr="00A34F10">
              <w:rPr>
                <w:spacing w:val="-1"/>
                <w:szCs w:val="16"/>
                <w:lang w:val="en-GB" w:eastAsia="de-DE"/>
              </w:rPr>
              <w:t>b) 2</w:t>
            </w:r>
          </w:p>
        </w:tc>
        <w:tc>
          <w:tcPr>
            <w:tcW w:w="326" w:type="pct"/>
            <w:shd w:val="clear" w:color="auto" w:fill="auto"/>
          </w:tcPr>
          <w:p w14:paraId="7787A586" w14:textId="60A2A8FF" w:rsidR="00D51400" w:rsidRPr="00A34F10" w:rsidRDefault="00D51400" w:rsidP="00D51400">
            <w:pPr>
              <w:pStyle w:val="RepTableSmall"/>
              <w:keepNext/>
              <w:keepLines/>
              <w:rPr>
                <w:lang w:val="en-GB"/>
              </w:rPr>
            </w:pPr>
            <w:r w:rsidRPr="00A34F10">
              <w:rPr>
                <w:szCs w:val="16"/>
                <w:lang w:val="en-GB" w:eastAsia="de-DE"/>
              </w:rPr>
              <w:t>7</w:t>
            </w:r>
          </w:p>
        </w:tc>
        <w:tc>
          <w:tcPr>
            <w:tcW w:w="325" w:type="pct"/>
            <w:shd w:val="clear" w:color="auto" w:fill="auto"/>
          </w:tcPr>
          <w:p w14:paraId="5B3A29B5" w14:textId="77777777" w:rsidR="00D51400" w:rsidRPr="00A34F10" w:rsidRDefault="00D51400" w:rsidP="00D51400">
            <w:pPr>
              <w:keepNext/>
              <w:keepLines/>
              <w:spacing w:before="60" w:after="40"/>
              <w:rPr>
                <w:spacing w:val="-1"/>
                <w:sz w:val="16"/>
                <w:szCs w:val="16"/>
              </w:rPr>
            </w:pPr>
            <w:r w:rsidRPr="00A34F10">
              <w:rPr>
                <w:spacing w:val="-1"/>
                <w:sz w:val="16"/>
                <w:szCs w:val="16"/>
              </w:rPr>
              <w:t>a) 2</w:t>
            </w:r>
          </w:p>
          <w:p w14:paraId="29E60788" w14:textId="615EF43F" w:rsidR="00D51400" w:rsidRPr="00A34F10" w:rsidRDefault="00D51400" w:rsidP="00D51400">
            <w:pPr>
              <w:pStyle w:val="RepTableSmall"/>
              <w:keepNext/>
              <w:keepLines/>
              <w:rPr>
                <w:lang w:val="en-GB"/>
              </w:rPr>
            </w:pPr>
            <w:r w:rsidRPr="00A34F10">
              <w:rPr>
                <w:spacing w:val="-1"/>
                <w:szCs w:val="16"/>
              </w:rPr>
              <w:t>b) 4</w:t>
            </w:r>
          </w:p>
        </w:tc>
        <w:tc>
          <w:tcPr>
            <w:tcW w:w="325" w:type="pct"/>
            <w:shd w:val="clear" w:color="auto" w:fill="auto"/>
          </w:tcPr>
          <w:p w14:paraId="12CCF985" w14:textId="77777777" w:rsidR="00D51400" w:rsidRPr="00A34F10" w:rsidRDefault="00D51400" w:rsidP="00D51400">
            <w:pPr>
              <w:keepNext/>
              <w:keepLines/>
              <w:spacing w:before="60" w:after="40"/>
              <w:rPr>
                <w:spacing w:val="-1"/>
                <w:sz w:val="16"/>
                <w:szCs w:val="16"/>
              </w:rPr>
            </w:pPr>
            <w:r w:rsidRPr="00A34F10">
              <w:rPr>
                <w:spacing w:val="-1"/>
                <w:sz w:val="16"/>
                <w:szCs w:val="16"/>
              </w:rPr>
              <w:t>a) 0.24(*) + 0.902(**)</w:t>
            </w:r>
          </w:p>
          <w:p w14:paraId="78BBBE00" w14:textId="5C8D149E" w:rsidR="00D51400" w:rsidRPr="00A34F10" w:rsidRDefault="00D51400" w:rsidP="00D51400">
            <w:pPr>
              <w:pStyle w:val="RepTableSmall"/>
              <w:keepNext/>
              <w:keepLines/>
              <w:rPr>
                <w:lang w:val="en-GB"/>
              </w:rPr>
            </w:pPr>
            <w:r w:rsidRPr="00A34F10">
              <w:rPr>
                <w:spacing w:val="-1"/>
                <w:szCs w:val="16"/>
              </w:rPr>
              <w:t>b) 0.48(*) + 1.804(**)</w:t>
            </w:r>
          </w:p>
        </w:tc>
        <w:tc>
          <w:tcPr>
            <w:tcW w:w="247" w:type="pct"/>
            <w:shd w:val="clear" w:color="auto" w:fill="auto"/>
          </w:tcPr>
          <w:p w14:paraId="5574FEC9" w14:textId="2B5CDF2C" w:rsidR="00D51400" w:rsidRPr="00A34F10" w:rsidRDefault="00D51400" w:rsidP="00D51400">
            <w:pPr>
              <w:pStyle w:val="RepTableSmall"/>
              <w:keepNext/>
              <w:keepLines/>
              <w:rPr>
                <w:lang w:val="en-GB"/>
              </w:rPr>
            </w:pPr>
            <w:r w:rsidRPr="00A34F10">
              <w:rPr>
                <w:spacing w:val="-1"/>
                <w:szCs w:val="16"/>
              </w:rPr>
              <w:t>500</w:t>
            </w:r>
          </w:p>
        </w:tc>
        <w:tc>
          <w:tcPr>
            <w:tcW w:w="195" w:type="pct"/>
            <w:shd w:val="clear" w:color="auto" w:fill="auto"/>
          </w:tcPr>
          <w:p w14:paraId="045F375F" w14:textId="24EA526F" w:rsidR="00D51400" w:rsidRPr="00A34F10" w:rsidRDefault="00D51400" w:rsidP="00D51400">
            <w:pPr>
              <w:pStyle w:val="RepTableSmall"/>
              <w:keepNext/>
              <w:keepLines/>
              <w:rPr>
                <w:lang w:val="en-GB"/>
              </w:rPr>
            </w:pPr>
            <w:r w:rsidRPr="00A34F10">
              <w:rPr>
                <w:spacing w:val="-1"/>
                <w:szCs w:val="16"/>
              </w:rPr>
              <w:t>NA</w:t>
            </w:r>
          </w:p>
        </w:tc>
        <w:tc>
          <w:tcPr>
            <w:tcW w:w="342" w:type="pct"/>
            <w:shd w:val="clear" w:color="auto" w:fill="auto"/>
          </w:tcPr>
          <w:p w14:paraId="53DBDC87" w14:textId="77777777" w:rsidR="00D51400" w:rsidRPr="00A34F10" w:rsidRDefault="00D51400" w:rsidP="00D51400">
            <w:pPr>
              <w:pStyle w:val="RepTableSmall"/>
              <w:keepNext/>
              <w:keepLines/>
              <w:rPr>
                <w:lang w:val="en-GB"/>
              </w:rPr>
            </w:pPr>
          </w:p>
        </w:tc>
        <w:tc>
          <w:tcPr>
            <w:tcW w:w="110" w:type="pct"/>
            <w:shd w:val="clear" w:color="auto" w:fill="D9D9D9"/>
          </w:tcPr>
          <w:p w14:paraId="34A7F68B" w14:textId="77777777" w:rsidR="00D51400" w:rsidRPr="00A34F10" w:rsidRDefault="00D51400" w:rsidP="00D51400">
            <w:pPr>
              <w:pStyle w:val="RepTableSmall"/>
              <w:keepNext/>
              <w:keepLines/>
              <w:rPr>
                <w:lang w:val="en-GB"/>
              </w:rPr>
            </w:pPr>
          </w:p>
        </w:tc>
        <w:tc>
          <w:tcPr>
            <w:tcW w:w="110" w:type="pct"/>
            <w:shd w:val="clear" w:color="auto" w:fill="D9D9D9"/>
          </w:tcPr>
          <w:p w14:paraId="2AAA019F" w14:textId="77777777" w:rsidR="00D51400" w:rsidRPr="00A34F10" w:rsidRDefault="00D51400" w:rsidP="00D51400">
            <w:pPr>
              <w:pStyle w:val="RepTableSmall"/>
              <w:keepNext/>
              <w:keepLines/>
              <w:rPr>
                <w:lang w:val="en-GB"/>
              </w:rPr>
            </w:pPr>
          </w:p>
        </w:tc>
        <w:tc>
          <w:tcPr>
            <w:tcW w:w="110" w:type="pct"/>
            <w:shd w:val="clear" w:color="auto" w:fill="D9D9D9"/>
          </w:tcPr>
          <w:p w14:paraId="570D0368" w14:textId="77777777" w:rsidR="00D51400" w:rsidRPr="00A34F10" w:rsidRDefault="00D51400" w:rsidP="00D51400">
            <w:pPr>
              <w:pStyle w:val="RepTableSmall"/>
              <w:keepNext/>
              <w:keepLines/>
              <w:rPr>
                <w:lang w:val="en-GB"/>
              </w:rPr>
            </w:pPr>
          </w:p>
        </w:tc>
        <w:tc>
          <w:tcPr>
            <w:tcW w:w="110" w:type="pct"/>
            <w:shd w:val="clear" w:color="auto" w:fill="D9D9D9"/>
          </w:tcPr>
          <w:p w14:paraId="29489409" w14:textId="77777777" w:rsidR="00D51400" w:rsidRPr="00A34F10" w:rsidRDefault="00D51400" w:rsidP="00D51400">
            <w:pPr>
              <w:pStyle w:val="RepTableSmall"/>
              <w:keepNext/>
              <w:keepLines/>
              <w:rPr>
                <w:lang w:val="en-GB"/>
              </w:rPr>
            </w:pPr>
          </w:p>
        </w:tc>
        <w:tc>
          <w:tcPr>
            <w:tcW w:w="110" w:type="pct"/>
            <w:shd w:val="clear" w:color="auto" w:fill="D9D9D9"/>
          </w:tcPr>
          <w:p w14:paraId="6063DC48" w14:textId="77777777" w:rsidR="00D51400" w:rsidRPr="00A34F10" w:rsidRDefault="00D51400" w:rsidP="00D51400">
            <w:pPr>
              <w:pStyle w:val="RepTableSmall"/>
              <w:keepNext/>
              <w:keepLines/>
              <w:rPr>
                <w:lang w:val="en-GB"/>
              </w:rPr>
            </w:pPr>
          </w:p>
        </w:tc>
        <w:tc>
          <w:tcPr>
            <w:tcW w:w="110" w:type="pct"/>
            <w:shd w:val="clear" w:color="auto" w:fill="D9D9D9"/>
          </w:tcPr>
          <w:p w14:paraId="7206AD24" w14:textId="77777777" w:rsidR="00D51400" w:rsidRPr="00A34F10" w:rsidRDefault="00D51400" w:rsidP="00D51400">
            <w:pPr>
              <w:pStyle w:val="RepTableSmall"/>
              <w:keepNext/>
              <w:keepLines/>
              <w:rPr>
                <w:lang w:val="en-GB"/>
              </w:rPr>
            </w:pPr>
          </w:p>
        </w:tc>
        <w:tc>
          <w:tcPr>
            <w:tcW w:w="106" w:type="pct"/>
            <w:shd w:val="clear" w:color="auto" w:fill="D9D9D9"/>
          </w:tcPr>
          <w:p w14:paraId="052D2901" w14:textId="77777777" w:rsidR="00D51400" w:rsidRPr="00A34F10" w:rsidRDefault="00D51400" w:rsidP="00D51400">
            <w:pPr>
              <w:pStyle w:val="RepTableSmall"/>
              <w:keepNext/>
              <w:keepLines/>
              <w:rPr>
                <w:lang w:val="en-GB"/>
              </w:rPr>
            </w:pPr>
          </w:p>
        </w:tc>
      </w:tr>
      <w:tr w:rsidR="00D51400" w:rsidRPr="00A34F10" w14:paraId="505A5CBA" w14:textId="77777777" w:rsidTr="00D802F0">
        <w:tc>
          <w:tcPr>
            <w:tcW w:w="144" w:type="pct"/>
            <w:shd w:val="clear" w:color="auto" w:fill="auto"/>
          </w:tcPr>
          <w:p w14:paraId="2CF45DC6" w14:textId="31499719" w:rsidR="00D51400" w:rsidRPr="00A34F10" w:rsidRDefault="00D51400" w:rsidP="00D51400">
            <w:pPr>
              <w:pStyle w:val="RepTableSmall"/>
              <w:rPr>
                <w:lang w:val="en-GB"/>
              </w:rPr>
            </w:pPr>
            <w:r w:rsidRPr="00A34F10">
              <w:rPr>
                <w:spacing w:val="-1"/>
                <w:szCs w:val="16"/>
                <w:lang w:val="en-GB"/>
              </w:rPr>
              <w:t>1</w:t>
            </w:r>
            <w:r>
              <w:rPr>
                <w:spacing w:val="-1"/>
                <w:szCs w:val="16"/>
                <w:lang w:val="en-GB"/>
              </w:rPr>
              <w:t>0</w:t>
            </w:r>
          </w:p>
        </w:tc>
        <w:tc>
          <w:tcPr>
            <w:tcW w:w="262" w:type="pct"/>
            <w:shd w:val="clear" w:color="auto" w:fill="auto"/>
          </w:tcPr>
          <w:p w14:paraId="35BE3E96" w14:textId="7A5731B9" w:rsidR="00D51400" w:rsidRPr="00A34F10" w:rsidRDefault="00D51400" w:rsidP="00D51400">
            <w:pPr>
              <w:pStyle w:val="RepTableSmall"/>
              <w:keepNext/>
              <w:keepLines/>
              <w:rPr>
                <w:lang w:val="en-GB"/>
              </w:rPr>
            </w:pPr>
            <w:r w:rsidRPr="00A34F10">
              <w:rPr>
                <w:spacing w:val="-1"/>
                <w:szCs w:val="16"/>
              </w:rPr>
              <w:t>NL</w:t>
            </w:r>
          </w:p>
        </w:tc>
        <w:tc>
          <w:tcPr>
            <w:tcW w:w="417" w:type="pct"/>
            <w:shd w:val="clear" w:color="auto" w:fill="auto"/>
          </w:tcPr>
          <w:p w14:paraId="5E73C92C" w14:textId="7E1B8EA6" w:rsidR="00D51400" w:rsidRPr="00A34F10" w:rsidRDefault="00D51400" w:rsidP="00D51400">
            <w:pPr>
              <w:pStyle w:val="RepTableSmall"/>
              <w:keepNext/>
              <w:keepLines/>
              <w:rPr>
                <w:lang w:val="en-GB"/>
              </w:rPr>
            </w:pPr>
            <w:r w:rsidRPr="00A34F10">
              <w:rPr>
                <w:spacing w:val="-1"/>
                <w:szCs w:val="16"/>
              </w:rPr>
              <w:t>Ornamental shrubs (incl. roses)</w:t>
            </w:r>
          </w:p>
        </w:tc>
        <w:tc>
          <w:tcPr>
            <w:tcW w:w="132" w:type="pct"/>
            <w:shd w:val="clear" w:color="auto" w:fill="auto"/>
          </w:tcPr>
          <w:p w14:paraId="1AF97E2B" w14:textId="023C6DAB" w:rsidR="00D51400" w:rsidRPr="00A34F10" w:rsidRDefault="00D51400" w:rsidP="00D51400">
            <w:pPr>
              <w:pStyle w:val="RepTableSmall"/>
              <w:keepNext/>
              <w:keepLines/>
              <w:rPr>
                <w:lang w:val="en-GB"/>
              </w:rPr>
            </w:pPr>
            <w:r w:rsidRPr="00A34F10">
              <w:rPr>
                <w:spacing w:val="-1"/>
                <w:szCs w:val="16"/>
              </w:rPr>
              <w:t>F</w:t>
            </w:r>
          </w:p>
        </w:tc>
        <w:tc>
          <w:tcPr>
            <w:tcW w:w="549" w:type="pct"/>
            <w:shd w:val="clear" w:color="auto" w:fill="auto"/>
          </w:tcPr>
          <w:p w14:paraId="706A01A6" w14:textId="6347FA3B" w:rsidR="00D51400" w:rsidRPr="00A34F10" w:rsidRDefault="00D51400" w:rsidP="00D51400">
            <w:pPr>
              <w:pStyle w:val="RepTableSmall"/>
              <w:keepNext/>
              <w:keepLines/>
              <w:rPr>
                <w:lang w:val="en-GB"/>
              </w:rPr>
            </w:pPr>
            <w:r w:rsidRPr="00A34F10">
              <w:rPr>
                <w:i/>
                <w:iCs/>
                <w:szCs w:val="16"/>
              </w:rPr>
              <w:t>Peronospora sp</w:t>
            </w:r>
            <w:r w:rsidRPr="00A34F10">
              <w:rPr>
                <w:szCs w:val="16"/>
              </w:rPr>
              <w:t xml:space="preserve"> (PEROSP)</w:t>
            </w:r>
          </w:p>
        </w:tc>
        <w:tc>
          <w:tcPr>
            <w:tcW w:w="324" w:type="pct"/>
            <w:shd w:val="clear" w:color="auto" w:fill="auto"/>
          </w:tcPr>
          <w:p w14:paraId="2DCE28D4" w14:textId="5B57A3B8" w:rsidR="00D51400" w:rsidRPr="00A34F10" w:rsidRDefault="00D51400" w:rsidP="00D51400">
            <w:pPr>
              <w:pStyle w:val="RepTableSmall"/>
              <w:keepNext/>
              <w:keepLines/>
              <w:rPr>
                <w:lang w:val="en-GB"/>
              </w:rPr>
            </w:pPr>
            <w:r w:rsidRPr="00A34F10">
              <w:rPr>
                <w:spacing w:val="-1"/>
                <w:szCs w:val="16"/>
              </w:rPr>
              <w:t>Foliar Treatment</w:t>
            </w:r>
          </w:p>
        </w:tc>
        <w:tc>
          <w:tcPr>
            <w:tcW w:w="324" w:type="pct"/>
            <w:shd w:val="clear" w:color="auto" w:fill="auto"/>
          </w:tcPr>
          <w:p w14:paraId="590119AB" w14:textId="4C30A51B" w:rsidR="00D51400" w:rsidRPr="00A34F10" w:rsidRDefault="00D51400" w:rsidP="00D51400">
            <w:pPr>
              <w:pStyle w:val="RepTableSmall"/>
              <w:keepNext/>
              <w:keepLines/>
              <w:rPr>
                <w:lang w:val="en-GB"/>
              </w:rPr>
            </w:pPr>
            <w:r w:rsidRPr="00A34F10">
              <w:rPr>
                <w:spacing w:val="-1"/>
                <w:szCs w:val="16"/>
              </w:rPr>
              <w:t>BBCH-12-59 (Apr-Sep)</w:t>
            </w:r>
          </w:p>
        </w:tc>
        <w:tc>
          <w:tcPr>
            <w:tcW w:w="324" w:type="pct"/>
            <w:shd w:val="clear" w:color="auto" w:fill="auto"/>
          </w:tcPr>
          <w:p w14:paraId="013ADFCB"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1A4287FF" w14:textId="4AA82033" w:rsidR="00D51400" w:rsidRPr="00A34F10" w:rsidRDefault="00D51400" w:rsidP="00D51400">
            <w:pPr>
              <w:pStyle w:val="RepTableSmall"/>
              <w:keepNext/>
              <w:keepLines/>
              <w:rPr>
                <w:lang w:val="en-GB"/>
              </w:rPr>
            </w:pPr>
            <w:r w:rsidRPr="00A34F10">
              <w:rPr>
                <w:spacing w:val="-1"/>
                <w:szCs w:val="16"/>
                <w:lang w:val="en-GB" w:eastAsia="de-DE"/>
              </w:rPr>
              <w:t>b) 2</w:t>
            </w:r>
          </w:p>
        </w:tc>
        <w:tc>
          <w:tcPr>
            <w:tcW w:w="326" w:type="pct"/>
            <w:shd w:val="clear" w:color="auto" w:fill="auto"/>
          </w:tcPr>
          <w:p w14:paraId="0567F112" w14:textId="2EE819E0" w:rsidR="00D51400" w:rsidRPr="00A34F10" w:rsidRDefault="00D51400" w:rsidP="00D51400">
            <w:pPr>
              <w:pStyle w:val="RepTableSmall"/>
              <w:keepNext/>
              <w:keepLines/>
              <w:rPr>
                <w:lang w:val="en-GB"/>
              </w:rPr>
            </w:pPr>
            <w:r w:rsidRPr="00A34F10">
              <w:rPr>
                <w:szCs w:val="16"/>
                <w:lang w:val="en-GB" w:eastAsia="de-DE"/>
              </w:rPr>
              <w:t>7</w:t>
            </w:r>
          </w:p>
        </w:tc>
        <w:tc>
          <w:tcPr>
            <w:tcW w:w="325" w:type="pct"/>
            <w:shd w:val="clear" w:color="auto" w:fill="auto"/>
          </w:tcPr>
          <w:p w14:paraId="1935610C" w14:textId="77777777" w:rsidR="00D51400" w:rsidRPr="00A34F10" w:rsidRDefault="00D51400" w:rsidP="00D51400">
            <w:pPr>
              <w:keepNext/>
              <w:keepLines/>
              <w:widowControl w:val="0"/>
              <w:spacing w:before="60" w:after="40"/>
              <w:rPr>
                <w:spacing w:val="-1"/>
                <w:sz w:val="16"/>
                <w:szCs w:val="16"/>
              </w:rPr>
            </w:pPr>
            <w:r w:rsidRPr="00A34F10">
              <w:rPr>
                <w:spacing w:val="-1"/>
                <w:sz w:val="16"/>
                <w:szCs w:val="16"/>
              </w:rPr>
              <w:t>a) 2</w:t>
            </w:r>
          </w:p>
          <w:p w14:paraId="7F97F230" w14:textId="2FD8C574" w:rsidR="00D51400" w:rsidRPr="00A34F10" w:rsidRDefault="00D51400" w:rsidP="00D51400">
            <w:pPr>
              <w:pStyle w:val="RepTableSmall"/>
              <w:keepNext/>
              <w:keepLines/>
              <w:rPr>
                <w:lang w:val="en-GB"/>
              </w:rPr>
            </w:pPr>
            <w:r w:rsidRPr="00A34F10">
              <w:rPr>
                <w:spacing w:val="-1"/>
                <w:szCs w:val="16"/>
              </w:rPr>
              <w:t>b) 4</w:t>
            </w:r>
          </w:p>
        </w:tc>
        <w:tc>
          <w:tcPr>
            <w:tcW w:w="325" w:type="pct"/>
            <w:shd w:val="clear" w:color="auto" w:fill="auto"/>
          </w:tcPr>
          <w:p w14:paraId="2A1BC08B" w14:textId="77777777" w:rsidR="00D51400" w:rsidRPr="00A34F10" w:rsidRDefault="00D51400" w:rsidP="00D51400">
            <w:pPr>
              <w:keepNext/>
              <w:keepLines/>
              <w:widowControl w:val="0"/>
              <w:spacing w:before="60" w:after="40"/>
              <w:rPr>
                <w:spacing w:val="-1"/>
                <w:sz w:val="16"/>
                <w:szCs w:val="16"/>
              </w:rPr>
            </w:pPr>
            <w:r w:rsidRPr="00A34F10">
              <w:rPr>
                <w:spacing w:val="-1"/>
                <w:sz w:val="16"/>
                <w:szCs w:val="16"/>
              </w:rPr>
              <w:t>a) 0.24(*) + 0.902(**)</w:t>
            </w:r>
          </w:p>
          <w:p w14:paraId="0333138D" w14:textId="05B66054" w:rsidR="00D51400" w:rsidRPr="00A34F10" w:rsidRDefault="00D51400" w:rsidP="00D51400">
            <w:pPr>
              <w:pStyle w:val="RepTableSmall"/>
              <w:keepNext/>
              <w:keepLines/>
              <w:rPr>
                <w:lang w:val="en-GB"/>
              </w:rPr>
            </w:pPr>
            <w:r w:rsidRPr="00A34F10">
              <w:rPr>
                <w:spacing w:val="-1"/>
                <w:szCs w:val="16"/>
              </w:rPr>
              <w:t>b) 0.48(*) + 1.804(**)</w:t>
            </w:r>
          </w:p>
        </w:tc>
        <w:tc>
          <w:tcPr>
            <w:tcW w:w="247" w:type="pct"/>
            <w:shd w:val="clear" w:color="auto" w:fill="auto"/>
          </w:tcPr>
          <w:p w14:paraId="5981C24A" w14:textId="409A2319" w:rsidR="00D51400" w:rsidRPr="00A34F10" w:rsidRDefault="00D51400" w:rsidP="00D51400">
            <w:pPr>
              <w:pStyle w:val="RepTableSmall"/>
              <w:keepNext/>
              <w:keepLines/>
              <w:rPr>
                <w:lang w:val="en-GB"/>
              </w:rPr>
            </w:pPr>
            <w:r w:rsidRPr="00A34F10">
              <w:rPr>
                <w:spacing w:val="-1"/>
                <w:szCs w:val="16"/>
              </w:rPr>
              <w:t>500</w:t>
            </w:r>
          </w:p>
        </w:tc>
        <w:tc>
          <w:tcPr>
            <w:tcW w:w="195" w:type="pct"/>
            <w:shd w:val="clear" w:color="auto" w:fill="auto"/>
          </w:tcPr>
          <w:p w14:paraId="62078852" w14:textId="744152D7" w:rsidR="00D51400" w:rsidRPr="00A34F10" w:rsidRDefault="00D51400" w:rsidP="00D51400">
            <w:pPr>
              <w:pStyle w:val="RepTableSmall"/>
              <w:keepNext/>
              <w:keepLines/>
              <w:rPr>
                <w:lang w:val="en-GB"/>
              </w:rPr>
            </w:pPr>
            <w:r w:rsidRPr="00A34F10">
              <w:rPr>
                <w:spacing w:val="-1"/>
                <w:szCs w:val="16"/>
              </w:rPr>
              <w:t>NA</w:t>
            </w:r>
          </w:p>
        </w:tc>
        <w:tc>
          <w:tcPr>
            <w:tcW w:w="342" w:type="pct"/>
            <w:shd w:val="clear" w:color="auto" w:fill="auto"/>
          </w:tcPr>
          <w:p w14:paraId="560590CC" w14:textId="77777777" w:rsidR="00D51400" w:rsidRPr="00A34F10" w:rsidRDefault="00D51400" w:rsidP="00D51400">
            <w:pPr>
              <w:pStyle w:val="RepTableSmall"/>
              <w:keepNext/>
              <w:keepLines/>
              <w:rPr>
                <w:lang w:val="en-GB"/>
              </w:rPr>
            </w:pPr>
          </w:p>
        </w:tc>
        <w:tc>
          <w:tcPr>
            <w:tcW w:w="110" w:type="pct"/>
            <w:shd w:val="clear" w:color="auto" w:fill="D9D9D9"/>
          </w:tcPr>
          <w:p w14:paraId="2E90C83D" w14:textId="77777777" w:rsidR="00D51400" w:rsidRPr="00A34F10" w:rsidRDefault="00D51400" w:rsidP="00D51400">
            <w:pPr>
              <w:pStyle w:val="RepTableSmall"/>
              <w:rPr>
                <w:lang w:val="en-GB"/>
              </w:rPr>
            </w:pPr>
          </w:p>
        </w:tc>
        <w:tc>
          <w:tcPr>
            <w:tcW w:w="110" w:type="pct"/>
            <w:shd w:val="clear" w:color="auto" w:fill="D9D9D9"/>
          </w:tcPr>
          <w:p w14:paraId="035E95BE" w14:textId="77777777" w:rsidR="00D51400" w:rsidRPr="00A34F10" w:rsidRDefault="00D51400" w:rsidP="00D51400">
            <w:pPr>
              <w:pStyle w:val="RepTableSmall"/>
              <w:rPr>
                <w:lang w:val="en-GB"/>
              </w:rPr>
            </w:pPr>
          </w:p>
        </w:tc>
        <w:tc>
          <w:tcPr>
            <w:tcW w:w="110" w:type="pct"/>
            <w:shd w:val="clear" w:color="auto" w:fill="D9D9D9"/>
          </w:tcPr>
          <w:p w14:paraId="5EA35BBC" w14:textId="77777777" w:rsidR="00D51400" w:rsidRPr="00A34F10" w:rsidRDefault="00D51400" w:rsidP="00D51400">
            <w:pPr>
              <w:pStyle w:val="RepTableSmall"/>
              <w:rPr>
                <w:lang w:val="en-GB"/>
              </w:rPr>
            </w:pPr>
          </w:p>
        </w:tc>
        <w:tc>
          <w:tcPr>
            <w:tcW w:w="110" w:type="pct"/>
            <w:shd w:val="clear" w:color="auto" w:fill="D9D9D9"/>
          </w:tcPr>
          <w:p w14:paraId="3C03209A" w14:textId="77777777" w:rsidR="00D51400" w:rsidRPr="00A34F10" w:rsidRDefault="00D51400" w:rsidP="00D51400">
            <w:pPr>
              <w:pStyle w:val="RepTableSmall"/>
              <w:rPr>
                <w:lang w:val="en-GB"/>
              </w:rPr>
            </w:pPr>
          </w:p>
        </w:tc>
        <w:tc>
          <w:tcPr>
            <w:tcW w:w="110" w:type="pct"/>
            <w:shd w:val="clear" w:color="auto" w:fill="D9D9D9"/>
          </w:tcPr>
          <w:p w14:paraId="5F067D99" w14:textId="77777777" w:rsidR="00D51400" w:rsidRPr="00A34F10" w:rsidRDefault="00D51400" w:rsidP="00D51400">
            <w:pPr>
              <w:pStyle w:val="RepTableSmall"/>
              <w:rPr>
                <w:lang w:val="en-GB"/>
              </w:rPr>
            </w:pPr>
          </w:p>
        </w:tc>
        <w:tc>
          <w:tcPr>
            <w:tcW w:w="110" w:type="pct"/>
            <w:shd w:val="clear" w:color="auto" w:fill="D9D9D9"/>
          </w:tcPr>
          <w:p w14:paraId="170D45A1" w14:textId="77777777" w:rsidR="00D51400" w:rsidRPr="00A34F10" w:rsidRDefault="00D51400" w:rsidP="00D51400">
            <w:pPr>
              <w:pStyle w:val="RepTableSmall"/>
              <w:rPr>
                <w:lang w:val="en-GB"/>
              </w:rPr>
            </w:pPr>
          </w:p>
        </w:tc>
        <w:tc>
          <w:tcPr>
            <w:tcW w:w="106" w:type="pct"/>
            <w:shd w:val="clear" w:color="auto" w:fill="D9D9D9"/>
          </w:tcPr>
          <w:p w14:paraId="7334EC4E" w14:textId="77777777" w:rsidR="00D51400" w:rsidRPr="00A34F10" w:rsidRDefault="00D51400" w:rsidP="00D51400">
            <w:pPr>
              <w:pStyle w:val="RepTableSmall"/>
              <w:rPr>
                <w:lang w:val="en-GB"/>
              </w:rPr>
            </w:pPr>
          </w:p>
        </w:tc>
      </w:tr>
      <w:tr w:rsidR="00D51400" w:rsidRPr="00A34F10" w14:paraId="52A267AD" w14:textId="77777777" w:rsidTr="00D802F0">
        <w:tc>
          <w:tcPr>
            <w:tcW w:w="144" w:type="pct"/>
            <w:shd w:val="clear" w:color="auto" w:fill="auto"/>
          </w:tcPr>
          <w:p w14:paraId="53226727" w14:textId="156EE8E7" w:rsidR="00D51400" w:rsidRPr="00A34F10" w:rsidRDefault="00D51400" w:rsidP="00D51400">
            <w:pPr>
              <w:pStyle w:val="RepTableSmall"/>
              <w:rPr>
                <w:lang w:val="en-GB"/>
              </w:rPr>
            </w:pPr>
            <w:r w:rsidRPr="00A34F10">
              <w:rPr>
                <w:spacing w:val="-1"/>
                <w:szCs w:val="16"/>
                <w:lang w:val="en-GB"/>
              </w:rPr>
              <w:t>1</w:t>
            </w:r>
            <w:r>
              <w:rPr>
                <w:spacing w:val="-1"/>
                <w:szCs w:val="16"/>
                <w:lang w:val="en-GB"/>
              </w:rPr>
              <w:t>1</w:t>
            </w:r>
          </w:p>
        </w:tc>
        <w:tc>
          <w:tcPr>
            <w:tcW w:w="262" w:type="pct"/>
            <w:shd w:val="clear" w:color="auto" w:fill="auto"/>
          </w:tcPr>
          <w:p w14:paraId="69DC1DC1" w14:textId="5EEBAAFB"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3C6E661B" w14:textId="120B42FE" w:rsidR="00D51400" w:rsidRPr="00A34F10" w:rsidRDefault="00D51400" w:rsidP="00D51400">
            <w:pPr>
              <w:pStyle w:val="RepTableSmall"/>
              <w:rPr>
                <w:lang w:val="en-GB"/>
              </w:rPr>
            </w:pPr>
            <w:r w:rsidRPr="00A34F10">
              <w:rPr>
                <w:spacing w:val="-1"/>
                <w:szCs w:val="16"/>
              </w:rPr>
              <w:t>Heather</w:t>
            </w:r>
          </w:p>
        </w:tc>
        <w:tc>
          <w:tcPr>
            <w:tcW w:w="132" w:type="pct"/>
            <w:shd w:val="clear" w:color="auto" w:fill="auto"/>
          </w:tcPr>
          <w:p w14:paraId="724FF059" w14:textId="5515BBA6"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7FC47EAA" w14:textId="3DCCC40B" w:rsidR="00D51400" w:rsidRPr="00A34F10" w:rsidRDefault="00D51400" w:rsidP="00D51400">
            <w:pPr>
              <w:pStyle w:val="RepTableSmall"/>
              <w:rPr>
                <w:lang w:val="en-GB"/>
              </w:rPr>
            </w:pPr>
            <w:r w:rsidRPr="00A34F10">
              <w:rPr>
                <w:i/>
                <w:iCs/>
                <w:spacing w:val="-1"/>
                <w:szCs w:val="16"/>
              </w:rPr>
              <w:t>Phytophthora spp (</w:t>
            </w:r>
            <w:r w:rsidRPr="00A34F10">
              <w:rPr>
                <w:spacing w:val="-1"/>
                <w:szCs w:val="16"/>
              </w:rPr>
              <w:t>PHYTSP)</w:t>
            </w:r>
          </w:p>
        </w:tc>
        <w:tc>
          <w:tcPr>
            <w:tcW w:w="324" w:type="pct"/>
            <w:shd w:val="clear" w:color="auto" w:fill="auto"/>
          </w:tcPr>
          <w:p w14:paraId="303C352C" w14:textId="7389B3AF"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10D0A4BD" w14:textId="04BF2AAD" w:rsidR="00D51400" w:rsidRPr="00A34F10" w:rsidRDefault="00D51400" w:rsidP="00D51400">
            <w:pPr>
              <w:pStyle w:val="RepTableSmall"/>
              <w:rPr>
                <w:lang w:val="en-GB"/>
              </w:rPr>
            </w:pPr>
            <w:r w:rsidRPr="00A34F10">
              <w:rPr>
                <w:spacing w:val="-1"/>
                <w:szCs w:val="16"/>
              </w:rPr>
              <w:t>BBCH-12-59 (Apr-Sep)</w:t>
            </w:r>
          </w:p>
        </w:tc>
        <w:tc>
          <w:tcPr>
            <w:tcW w:w="324" w:type="pct"/>
            <w:shd w:val="clear" w:color="auto" w:fill="auto"/>
          </w:tcPr>
          <w:p w14:paraId="34D4EA1E"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2F4CB2A4" w14:textId="67264E5F"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2C6DF819" w14:textId="43998BAC"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7490144E" w14:textId="77777777" w:rsidR="00D51400" w:rsidRPr="00A34F10" w:rsidRDefault="00D51400" w:rsidP="00D51400">
            <w:pPr>
              <w:spacing w:before="60" w:after="40"/>
              <w:rPr>
                <w:spacing w:val="-1"/>
                <w:sz w:val="16"/>
                <w:szCs w:val="16"/>
              </w:rPr>
            </w:pPr>
            <w:r w:rsidRPr="00A34F10">
              <w:rPr>
                <w:spacing w:val="-1"/>
                <w:sz w:val="16"/>
                <w:szCs w:val="16"/>
              </w:rPr>
              <w:t>a) 2</w:t>
            </w:r>
          </w:p>
          <w:p w14:paraId="11D3AB9B" w14:textId="5667F7D6"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6D9B9E30" w14:textId="77777777" w:rsidR="00D51400" w:rsidRPr="00A34F10" w:rsidRDefault="00D51400" w:rsidP="00D51400">
            <w:pPr>
              <w:spacing w:before="60" w:after="40"/>
              <w:rPr>
                <w:spacing w:val="-1"/>
                <w:sz w:val="16"/>
                <w:szCs w:val="16"/>
              </w:rPr>
            </w:pPr>
            <w:r w:rsidRPr="00A34F10">
              <w:rPr>
                <w:spacing w:val="-1"/>
                <w:sz w:val="16"/>
                <w:szCs w:val="16"/>
              </w:rPr>
              <w:t>a) 0.24(*) + 0.902(**)</w:t>
            </w:r>
          </w:p>
          <w:p w14:paraId="006B0898" w14:textId="0610824A"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253553F0" w14:textId="42630542"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09E1D1D1" w14:textId="6BCD8D8A"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373B03AC" w14:textId="77777777" w:rsidR="00D51400" w:rsidRPr="00A34F10" w:rsidRDefault="00D51400" w:rsidP="00D51400">
            <w:pPr>
              <w:pStyle w:val="RepTableSmall"/>
              <w:rPr>
                <w:lang w:val="en-GB"/>
              </w:rPr>
            </w:pPr>
          </w:p>
        </w:tc>
        <w:tc>
          <w:tcPr>
            <w:tcW w:w="110" w:type="pct"/>
            <w:shd w:val="clear" w:color="auto" w:fill="D9D9D9"/>
          </w:tcPr>
          <w:p w14:paraId="6E08BD47" w14:textId="77777777" w:rsidR="00D51400" w:rsidRPr="00A34F10" w:rsidRDefault="00D51400" w:rsidP="00D51400">
            <w:pPr>
              <w:pStyle w:val="RepTableSmall"/>
              <w:rPr>
                <w:lang w:val="en-GB"/>
              </w:rPr>
            </w:pPr>
          </w:p>
        </w:tc>
        <w:tc>
          <w:tcPr>
            <w:tcW w:w="110" w:type="pct"/>
            <w:shd w:val="clear" w:color="auto" w:fill="D9D9D9"/>
          </w:tcPr>
          <w:p w14:paraId="60524294" w14:textId="77777777" w:rsidR="00D51400" w:rsidRPr="00A34F10" w:rsidRDefault="00D51400" w:rsidP="00D51400">
            <w:pPr>
              <w:pStyle w:val="RepTableSmall"/>
              <w:rPr>
                <w:lang w:val="en-GB"/>
              </w:rPr>
            </w:pPr>
          </w:p>
        </w:tc>
        <w:tc>
          <w:tcPr>
            <w:tcW w:w="110" w:type="pct"/>
            <w:shd w:val="clear" w:color="auto" w:fill="D9D9D9"/>
          </w:tcPr>
          <w:p w14:paraId="4ED11649" w14:textId="77777777" w:rsidR="00D51400" w:rsidRPr="00A34F10" w:rsidRDefault="00D51400" w:rsidP="00D51400">
            <w:pPr>
              <w:pStyle w:val="RepTableSmall"/>
              <w:rPr>
                <w:lang w:val="en-GB"/>
              </w:rPr>
            </w:pPr>
          </w:p>
        </w:tc>
        <w:tc>
          <w:tcPr>
            <w:tcW w:w="110" w:type="pct"/>
            <w:shd w:val="clear" w:color="auto" w:fill="D9D9D9"/>
          </w:tcPr>
          <w:p w14:paraId="4650C549" w14:textId="77777777" w:rsidR="00D51400" w:rsidRPr="00A34F10" w:rsidRDefault="00D51400" w:rsidP="00D51400">
            <w:pPr>
              <w:pStyle w:val="RepTableSmall"/>
              <w:rPr>
                <w:lang w:val="en-GB"/>
              </w:rPr>
            </w:pPr>
          </w:p>
        </w:tc>
        <w:tc>
          <w:tcPr>
            <w:tcW w:w="110" w:type="pct"/>
            <w:shd w:val="clear" w:color="auto" w:fill="D9D9D9"/>
          </w:tcPr>
          <w:p w14:paraId="23AD6866" w14:textId="77777777" w:rsidR="00D51400" w:rsidRPr="00A34F10" w:rsidRDefault="00D51400" w:rsidP="00D51400">
            <w:pPr>
              <w:pStyle w:val="RepTableSmall"/>
              <w:rPr>
                <w:lang w:val="en-GB"/>
              </w:rPr>
            </w:pPr>
          </w:p>
        </w:tc>
        <w:tc>
          <w:tcPr>
            <w:tcW w:w="110" w:type="pct"/>
            <w:shd w:val="clear" w:color="auto" w:fill="D9D9D9"/>
          </w:tcPr>
          <w:p w14:paraId="4E8AD397" w14:textId="77777777" w:rsidR="00D51400" w:rsidRPr="00A34F10" w:rsidRDefault="00D51400" w:rsidP="00D51400">
            <w:pPr>
              <w:pStyle w:val="RepTableSmall"/>
              <w:rPr>
                <w:lang w:val="en-GB"/>
              </w:rPr>
            </w:pPr>
          </w:p>
        </w:tc>
        <w:tc>
          <w:tcPr>
            <w:tcW w:w="106" w:type="pct"/>
            <w:shd w:val="clear" w:color="auto" w:fill="D9D9D9"/>
          </w:tcPr>
          <w:p w14:paraId="3EE42D15" w14:textId="77777777" w:rsidR="00D51400" w:rsidRPr="00A34F10" w:rsidRDefault="00D51400" w:rsidP="00D51400">
            <w:pPr>
              <w:pStyle w:val="RepTableSmall"/>
              <w:rPr>
                <w:lang w:val="en-GB"/>
              </w:rPr>
            </w:pPr>
          </w:p>
        </w:tc>
      </w:tr>
      <w:tr w:rsidR="00D51400" w:rsidRPr="00A34F10" w14:paraId="5534B410" w14:textId="77777777" w:rsidTr="00D802F0">
        <w:tc>
          <w:tcPr>
            <w:tcW w:w="144" w:type="pct"/>
            <w:shd w:val="clear" w:color="auto" w:fill="auto"/>
          </w:tcPr>
          <w:p w14:paraId="6039A74F" w14:textId="50B3F215" w:rsidR="00D51400" w:rsidRPr="00A34F10" w:rsidRDefault="00D51400" w:rsidP="00D51400">
            <w:pPr>
              <w:pStyle w:val="RepTableSmall"/>
              <w:rPr>
                <w:lang w:val="en-GB"/>
              </w:rPr>
            </w:pPr>
            <w:r w:rsidRPr="00A34F10">
              <w:rPr>
                <w:spacing w:val="-1"/>
                <w:szCs w:val="16"/>
                <w:lang w:val="en-GB"/>
              </w:rPr>
              <w:t>1</w:t>
            </w:r>
            <w:r>
              <w:rPr>
                <w:spacing w:val="-1"/>
                <w:szCs w:val="16"/>
                <w:lang w:val="en-GB"/>
              </w:rPr>
              <w:t>2</w:t>
            </w:r>
          </w:p>
        </w:tc>
        <w:tc>
          <w:tcPr>
            <w:tcW w:w="262" w:type="pct"/>
            <w:shd w:val="clear" w:color="auto" w:fill="auto"/>
          </w:tcPr>
          <w:p w14:paraId="1ED4655B" w14:textId="0CEBF3E9"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55411DDD" w14:textId="52F8DA1B" w:rsidR="00D51400" w:rsidRPr="00A34F10" w:rsidRDefault="00D51400" w:rsidP="00D51400">
            <w:pPr>
              <w:pStyle w:val="RepTableSmall"/>
              <w:rPr>
                <w:lang w:val="en-GB"/>
              </w:rPr>
            </w:pPr>
            <w:r w:rsidRPr="00A34F10">
              <w:rPr>
                <w:spacing w:val="-1"/>
                <w:szCs w:val="16"/>
              </w:rPr>
              <w:t>Forest trees and hedging plants</w:t>
            </w:r>
          </w:p>
        </w:tc>
        <w:tc>
          <w:tcPr>
            <w:tcW w:w="132" w:type="pct"/>
            <w:shd w:val="clear" w:color="auto" w:fill="auto"/>
          </w:tcPr>
          <w:p w14:paraId="3E237DE7" w14:textId="2FD41AF2"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72A1DFDB" w14:textId="771A8748" w:rsidR="00D51400" w:rsidRPr="00A34F10" w:rsidRDefault="00D51400" w:rsidP="00D51400">
            <w:pPr>
              <w:pStyle w:val="RepTableSmall"/>
              <w:rPr>
                <w:lang w:val="en-GB"/>
              </w:rPr>
            </w:pPr>
            <w:r w:rsidRPr="00A34F10">
              <w:rPr>
                <w:i/>
                <w:iCs/>
                <w:szCs w:val="16"/>
              </w:rPr>
              <w:t>Peronospora sp</w:t>
            </w:r>
            <w:r w:rsidRPr="00A34F10">
              <w:rPr>
                <w:szCs w:val="16"/>
              </w:rPr>
              <w:t xml:space="preserve"> (PEROSP)</w:t>
            </w:r>
          </w:p>
        </w:tc>
        <w:tc>
          <w:tcPr>
            <w:tcW w:w="324" w:type="pct"/>
            <w:shd w:val="clear" w:color="auto" w:fill="auto"/>
          </w:tcPr>
          <w:p w14:paraId="4715C5B3" w14:textId="4FC4DF66"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294E48A8" w14:textId="4EBB2AD7" w:rsidR="00D51400" w:rsidRPr="00A34F10" w:rsidRDefault="00D51400" w:rsidP="00D51400">
            <w:pPr>
              <w:pStyle w:val="RepTableSmall"/>
              <w:rPr>
                <w:lang w:val="en-GB"/>
              </w:rPr>
            </w:pPr>
            <w:r w:rsidRPr="00A34F10">
              <w:rPr>
                <w:spacing w:val="-1"/>
                <w:szCs w:val="16"/>
              </w:rPr>
              <w:t>BBCH-12-59 (Apr-Sep)</w:t>
            </w:r>
          </w:p>
        </w:tc>
        <w:tc>
          <w:tcPr>
            <w:tcW w:w="324" w:type="pct"/>
            <w:shd w:val="clear" w:color="auto" w:fill="auto"/>
          </w:tcPr>
          <w:p w14:paraId="7D674B53"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3B462CB3" w14:textId="7EC1AB74"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0E2D9670" w14:textId="66DB8E87"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0FF7C7F5" w14:textId="77777777" w:rsidR="00D51400" w:rsidRPr="00A34F10" w:rsidRDefault="00D51400" w:rsidP="00D51400">
            <w:pPr>
              <w:spacing w:before="60" w:after="40"/>
              <w:rPr>
                <w:spacing w:val="-1"/>
                <w:sz w:val="16"/>
                <w:szCs w:val="16"/>
              </w:rPr>
            </w:pPr>
            <w:r w:rsidRPr="00A34F10">
              <w:rPr>
                <w:spacing w:val="-1"/>
                <w:sz w:val="16"/>
                <w:szCs w:val="16"/>
              </w:rPr>
              <w:t>a) 2</w:t>
            </w:r>
          </w:p>
          <w:p w14:paraId="05F0FE23" w14:textId="2FBEBF99"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43C90FE6" w14:textId="77777777" w:rsidR="00D51400" w:rsidRPr="00A34F10" w:rsidRDefault="00D51400" w:rsidP="00D51400">
            <w:pPr>
              <w:spacing w:before="60" w:after="40"/>
              <w:rPr>
                <w:spacing w:val="-1"/>
                <w:sz w:val="16"/>
                <w:szCs w:val="16"/>
              </w:rPr>
            </w:pPr>
            <w:r w:rsidRPr="00A34F10">
              <w:rPr>
                <w:spacing w:val="-1"/>
                <w:sz w:val="16"/>
                <w:szCs w:val="16"/>
              </w:rPr>
              <w:t>a) 0.24(*) + 0.902(**)</w:t>
            </w:r>
          </w:p>
          <w:p w14:paraId="09524814" w14:textId="1373B0B1"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34A3E60E" w14:textId="584E2A60"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0EBD892C" w14:textId="49BC87EE"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1844078C" w14:textId="77777777" w:rsidR="00D51400" w:rsidRPr="00A34F10" w:rsidRDefault="00D51400" w:rsidP="00D51400">
            <w:pPr>
              <w:pStyle w:val="RepTableSmall"/>
              <w:rPr>
                <w:lang w:val="en-GB"/>
              </w:rPr>
            </w:pPr>
          </w:p>
        </w:tc>
        <w:tc>
          <w:tcPr>
            <w:tcW w:w="110" w:type="pct"/>
            <w:shd w:val="clear" w:color="auto" w:fill="D9D9D9"/>
          </w:tcPr>
          <w:p w14:paraId="04E23FEF" w14:textId="77777777" w:rsidR="00D51400" w:rsidRPr="00A34F10" w:rsidRDefault="00D51400" w:rsidP="00D51400">
            <w:pPr>
              <w:pStyle w:val="RepTableSmall"/>
              <w:rPr>
                <w:lang w:val="en-GB"/>
              </w:rPr>
            </w:pPr>
          </w:p>
        </w:tc>
        <w:tc>
          <w:tcPr>
            <w:tcW w:w="110" w:type="pct"/>
            <w:shd w:val="clear" w:color="auto" w:fill="D9D9D9"/>
          </w:tcPr>
          <w:p w14:paraId="76BB5E88" w14:textId="77777777" w:rsidR="00D51400" w:rsidRPr="00A34F10" w:rsidRDefault="00D51400" w:rsidP="00D51400">
            <w:pPr>
              <w:pStyle w:val="RepTableSmall"/>
              <w:rPr>
                <w:lang w:val="en-GB"/>
              </w:rPr>
            </w:pPr>
          </w:p>
        </w:tc>
        <w:tc>
          <w:tcPr>
            <w:tcW w:w="110" w:type="pct"/>
            <w:shd w:val="clear" w:color="auto" w:fill="D9D9D9"/>
          </w:tcPr>
          <w:p w14:paraId="0D2675C7" w14:textId="77777777" w:rsidR="00D51400" w:rsidRPr="00A34F10" w:rsidRDefault="00D51400" w:rsidP="00D51400">
            <w:pPr>
              <w:pStyle w:val="RepTableSmall"/>
              <w:rPr>
                <w:lang w:val="en-GB"/>
              </w:rPr>
            </w:pPr>
          </w:p>
        </w:tc>
        <w:tc>
          <w:tcPr>
            <w:tcW w:w="110" w:type="pct"/>
            <w:shd w:val="clear" w:color="auto" w:fill="D9D9D9"/>
          </w:tcPr>
          <w:p w14:paraId="17811C33" w14:textId="77777777" w:rsidR="00D51400" w:rsidRPr="00A34F10" w:rsidRDefault="00D51400" w:rsidP="00D51400">
            <w:pPr>
              <w:pStyle w:val="RepTableSmall"/>
              <w:rPr>
                <w:lang w:val="en-GB"/>
              </w:rPr>
            </w:pPr>
          </w:p>
        </w:tc>
        <w:tc>
          <w:tcPr>
            <w:tcW w:w="110" w:type="pct"/>
            <w:shd w:val="clear" w:color="auto" w:fill="D9D9D9"/>
          </w:tcPr>
          <w:p w14:paraId="4F23A040" w14:textId="77777777" w:rsidR="00D51400" w:rsidRPr="00A34F10" w:rsidRDefault="00D51400" w:rsidP="00D51400">
            <w:pPr>
              <w:pStyle w:val="RepTableSmall"/>
              <w:rPr>
                <w:lang w:val="en-GB"/>
              </w:rPr>
            </w:pPr>
          </w:p>
        </w:tc>
        <w:tc>
          <w:tcPr>
            <w:tcW w:w="110" w:type="pct"/>
            <w:shd w:val="clear" w:color="auto" w:fill="D9D9D9"/>
          </w:tcPr>
          <w:p w14:paraId="24C79B48" w14:textId="77777777" w:rsidR="00D51400" w:rsidRPr="00A34F10" w:rsidRDefault="00D51400" w:rsidP="00D51400">
            <w:pPr>
              <w:pStyle w:val="RepTableSmall"/>
              <w:rPr>
                <w:lang w:val="en-GB"/>
              </w:rPr>
            </w:pPr>
          </w:p>
        </w:tc>
        <w:tc>
          <w:tcPr>
            <w:tcW w:w="106" w:type="pct"/>
            <w:shd w:val="clear" w:color="auto" w:fill="D9D9D9"/>
          </w:tcPr>
          <w:p w14:paraId="189CDF71" w14:textId="77777777" w:rsidR="00D51400" w:rsidRPr="00A34F10" w:rsidRDefault="00D51400" w:rsidP="00D51400">
            <w:pPr>
              <w:pStyle w:val="RepTableSmall"/>
              <w:rPr>
                <w:lang w:val="en-GB"/>
              </w:rPr>
            </w:pPr>
          </w:p>
        </w:tc>
      </w:tr>
      <w:tr w:rsidR="00D51400" w:rsidRPr="00A34F10" w14:paraId="4D07E15C" w14:textId="77777777" w:rsidTr="00D802F0">
        <w:tc>
          <w:tcPr>
            <w:tcW w:w="144" w:type="pct"/>
            <w:shd w:val="clear" w:color="auto" w:fill="auto"/>
          </w:tcPr>
          <w:p w14:paraId="07118D9B" w14:textId="187B8713" w:rsidR="00D51400" w:rsidRPr="00A34F10" w:rsidRDefault="00D51400" w:rsidP="00D51400">
            <w:pPr>
              <w:pStyle w:val="RepTableSmall"/>
              <w:rPr>
                <w:lang w:val="en-GB"/>
              </w:rPr>
            </w:pPr>
            <w:r w:rsidRPr="00A34F10">
              <w:rPr>
                <w:spacing w:val="-1"/>
                <w:szCs w:val="16"/>
                <w:lang w:val="en-GB"/>
              </w:rPr>
              <w:t>1</w:t>
            </w:r>
            <w:r>
              <w:rPr>
                <w:spacing w:val="-1"/>
                <w:szCs w:val="16"/>
                <w:lang w:val="en-GB"/>
              </w:rPr>
              <w:t>3</w:t>
            </w:r>
          </w:p>
        </w:tc>
        <w:tc>
          <w:tcPr>
            <w:tcW w:w="262" w:type="pct"/>
            <w:shd w:val="clear" w:color="auto" w:fill="auto"/>
          </w:tcPr>
          <w:p w14:paraId="47723851" w14:textId="7DBF061B"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03E7606F" w14:textId="428A1CE8" w:rsidR="00D51400" w:rsidRPr="00A34F10" w:rsidRDefault="00D51400" w:rsidP="00D51400">
            <w:pPr>
              <w:pStyle w:val="RepTableSmall"/>
              <w:rPr>
                <w:lang w:val="en-GB"/>
              </w:rPr>
            </w:pPr>
            <w:r w:rsidRPr="00A34F10">
              <w:rPr>
                <w:spacing w:val="-1"/>
                <w:szCs w:val="16"/>
              </w:rPr>
              <w:t>Fruit trees and shrubs</w:t>
            </w:r>
            <w:r>
              <w:rPr>
                <w:spacing w:val="-1"/>
                <w:szCs w:val="16"/>
              </w:rPr>
              <w:t xml:space="preserve"> </w:t>
            </w:r>
            <w:r w:rsidRPr="00D802F0">
              <w:rPr>
                <w:spacing w:val="-1"/>
                <w:szCs w:val="16"/>
                <w:highlight w:val="green"/>
              </w:rPr>
              <w:t>(nursery)</w:t>
            </w:r>
          </w:p>
        </w:tc>
        <w:tc>
          <w:tcPr>
            <w:tcW w:w="132" w:type="pct"/>
            <w:shd w:val="clear" w:color="auto" w:fill="auto"/>
          </w:tcPr>
          <w:p w14:paraId="5E6B301B" w14:textId="33DADD90"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512154F9" w14:textId="6E72ADC8" w:rsidR="00D51400" w:rsidRPr="00A34F10" w:rsidRDefault="00D51400" w:rsidP="00D51400">
            <w:pPr>
              <w:pStyle w:val="RepTableSmall"/>
              <w:rPr>
                <w:lang w:val="en-GB"/>
              </w:rPr>
            </w:pPr>
            <w:r w:rsidRPr="00A34F10">
              <w:rPr>
                <w:i/>
                <w:iCs/>
                <w:szCs w:val="16"/>
              </w:rPr>
              <w:t>Peronospora sp</w:t>
            </w:r>
            <w:r w:rsidRPr="00A34F10">
              <w:rPr>
                <w:szCs w:val="16"/>
              </w:rPr>
              <w:t xml:space="preserve"> (PEROSP)</w:t>
            </w:r>
          </w:p>
        </w:tc>
        <w:tc>
          <w:tcPr>
            <w:tcW w:w="324" w:type="pct"/>
            <w:shd w:val="clear" w:color="auto" w:fill="auto"/>
          </w:tcPr>
          <w:p w14:paraId="06C5B425" w14:textId="4081D501"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699CA131" w14:textId="4FD5713C" w:rsidR="00D51400" w:rsidRPr="00A34F10" w:rsidRDefault="00D51400" w:rsidP="00D51400">
            <w:pPr>
              <w:pStyle w:val="RepTableSmall"/>
              <w:rPr>
                <w:lang w:val="en-GB"/>
              </w:rPr>
            </w:pPr>
            <w:r w:rsidRPr="00A34F10">
              <w:rPr>
                <w:spacing w:val="-1"/>
                <w:szCs w:val="16"/>
              </w:rPr>
              <w:t>BBCH-12-59 (Apr-Sep)</w:t>
            </w:r>
          </w:p>
        </w:tc>
        <w:tc>
          <w:tcPr>
            <w:tcW w:w="324" w:type="pct"/>
            <w:shd w:val="clear" w:color="auto" w:fill="auto"/>
          </w:tcPr>
          <w:p w14:paraId="4A65FDE3"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38E0C605" w14:textId="45C9C74E"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221972E7" w14:textId="68EFCD01"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52989F1D" w14:textId="77777777" w:rsidR="00D51400" w:rsidRPr="00A34F10" w:rsidRDefault="00D51400" w:rsidP="00D51400">
            <w:pPr>
              <w:spacing w:before="60" w:after="40"/>
              <w:rPr>
                <w:spacing w:val="-1"/>
                <w:sz w:val="16"/>
                <w:szCs w:val="16"/>
              </w:rPr>
            </w:pPr>
            <w:r w:rsidRPr="00A34F10">
              <w:rPr>
                <w:spacing w:val="-1"/>
                <w:sz w:val="16"/>
                <w:szCs w:val="16"/>
              </w:rPr>
              <w:t>a) 2</w:t>
            </w:r>
          </w:p>
          <w:p w14:paraId="4559CD87" w14:textId="441D1020"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2A006761" w14:textId="77777777" w:rsidR="00D51400" w:rsidRPr="00A34F10" w:rsidRDefault="00D51400" w:rsidP="00D51400">
            <w:pPr>
              <w:spacing w:before="60" w:after="40"/>
              <w:rPr>
                <w:spacing w:val="-1"/>
                <w:sz w:val="16"/>
                <w:szCs w:val="16"/>
              </w:rPr>
            </w:pPr>
            <w:r w:rsidRPr="00A34F10">
              <w:rPr>
                <w:spacing w:val="-1"/>
                <w:sz w:val="16"/>
                <w:szCs w:val="16"/>
              </w:rPr>
              <w:t>a) 0.24(*) + 0.902(**)</w:t>
            </w:r>
          </w:p>
          <w:p w14:paraId="212E8412" w14:textId="6C8AC037"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108D59B8" w14:textId="21FCDEDD"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19B79DA5" w14:textId="7CFE98E0"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34278674" w14:textId="16F69702" w:rsidR="00D51400" w:rsidRPr="00D802F0" w:rsidRDefault="00D51400" w:rsidP="00D51400">
            <w:pPr>
              <w:pStyle w:val="RepTableSmall"/>
              <w:rPr>
                <w:highlight w:val="green"/>
                <w:lang w:val="en-GB"/>
              </w:rPr>
            </w:pPr>
            <w:r w:rsidRPr="00D802F0">
              <w:rPr>
                <w:szCs w:val="16"/>
                <w:highlight w:val="green"/>
                <w:lang w:val="en-GB" w:eastAsia="de-DE"/>
              </w:rPr>
              <w:t>Ornamental crop not for fruit production</w:t>
            </w:r>
          </w:p>
        </w:tc>
        <w:tc>
          <w:tcPr>
            <w:tcW w:w="110" w:type="pct"/>
            <w:shd w:val="clear" w:color="auto" w:fill="D9D9D9"/>
          </w:tcPr>
          <w:p w14:paraId="6B5DDCDD" w14:textId="77777777" w:rsidR="00D51400" w:rsidRPr="00A34F10" w:rsidRDefault="00D51400" w:rsidP="00D51400">
            <w:pPr>
              <w:pStyle w:val="RepTableSmall"/>
              <w:rPr>
                <w:lang w:val="en-GB"/>
              </w:rPr>
            </w:pPr>
          </w:p>
        </w:tc>
        <w:tc>
          <w:tcPr>
            <w:tcW w:w="110" w:type="pct"/>
            <w:shd w:val="clear" w:color="auto" w:fill="D9D9D9"/>
          </w:tcPr>
          <w:p w14:paraId="0AEF0A7E" w14:textId="77777777" w:rsidR="00D51400" w:rsidRPr="00A34F10" w:rsidRDefault="00D51400" w:rsidP="00D51400">
            <w:pPr>
              <w:pStyle w:val="RepTableSmall"/>
              <w:rPr>
                <w:lang w:val="en-GB"/>
              </w:rPr>
            </w:pPr>
          </w:p>
        </w:tc>
        <w:tc>
          <w:tcPr>
            <w:tcW w:w="110" w:type="pct"/>
            <w:shd w:val="clear" w:color="auto" w:fill="D9D9D9"/>
          </w:tcPr>
          <w:p w14:paraId="0F722F29" w14:textId="77777777" w:rsidR="00D51400" w:rsidRPr="00A34F10" w:rsidRDefault="00D51400" w:rsidP="00D51400">
            <w:pPr>
              <w:pStyle w:val="RepTableSmall"/>
              <w:rPr>
                <w:lang w:val="en-GB"/>
              </w:rPr>
            </w:pPr>
          </w:p>
        </w:tc>
        <w:tc>
          <w:tcPr>
            <w:tcW w:w="110" w:type="pct"/>
            <w:shd w:val="clear" w:color="auto" w:fill="D9D9D9"/>
          </w:tcPr>
          <w:p w14:paraId="2A87F1E4" w14:textId="77777777" w:rsidR="00D51400" w:rsidRPr="00A34F10" w:rsidRDefault="00D51400" w:rsidP="00D51400">
            <w:pPr>
              <w:pStyle w:val="RepTableSmall"/>
              <w:rPr>
                <w:lang w:val="en-GB"/>
              </w:rPr>
            </w:pPr>
          </w:p>
        </w:tc>
        <w:tc>
          <w:tcPr>
            <w:tcW w:w="110" w:type="pct"/>
            <w:shd w:val="clear" w:color="auto" w:fill="D9D9D9"/>
          </w:tcPr>
          <w:p w14:paraId="3C5781EF" w14:textId="77777777" w:rsidR="00D51400" w:rsidRPr="00A34F10" w:rsidRDefault="00D51400" w:rsidP="00D51400">
            <w:pPr>
              <w:pStyle w:val="RepTableSmall"/>
              <w:rPr>
                <w:lang w:val="en-GB"/>
              </w:rPr>
            </w:pPr>
          </w:p>
        </w:tc>
        <w:tc>
          <w:tcPr>
            <w:tcW w:w="110" w:type="pct"/>
            <w:shd w:val="clear" w:color="auto" w:fill="D9D9D9"/>
          </w:tcPr>
          <w:p w14:paraId="042079F5" w14:textId="77777777" w:rsidR="00D51400" w:rsidRPr="00A34F10" w:rsidRDefault="00D51400" w:rsidP="00D51400">
            <w:pPr>
              <w:pStyle w:val="RepTableSmall"/>
              <w:rPr>
                <w:lang w:val="en-GB"/>
              </w:rPr>
            </w:pPr>
          </w:p>
        </w:tc>
        <w:tc>
          <w:tcPr>
            <w:tcW w:w="106" w:type="pct"/>
            <w:shd w:val="clear" w:color="auto" w:fill="D9D9D9"/>
          </w:tcPr>
          <w:p w14:paraId="6CF34E18" w14:textId="77777777" w:rsidR="00D51400" w:rsidRPr="00A34F10" w:rsidRDefault="00D51400" w:rsidP="00D51400">
            <w:pPr>
              <w:pStyle w:val="RepTableSmall"/>
              <w:rPr>
                <w:lang w:val="en-GB"/>
              </w:rPr>
            </w:pPr>
          </w:p>
        </w:tc>
      </w:tr>
      <w:tr w:rsidR="00D51400" w:rsidRPr="00A34F10" w14:paraId="2EB7D30E" w14:textId="77777777" w:rsidTr="00D802F0">
        <w:tc>
          <w:tcPr>
            <w:tcW w:w="144" w:type="pct"/>
            <w:shd w:val="clear" w:color="auto" w:fill="auto"/>
          </w:tcPr>
          <w:p w14:paraId="317CB3BC" w14:textId="63D22EAA" w:rsidR="00D51400" w:rsidRPr="00A34F10" w:rsidRDefault="00D51400" w:rsidP="00D51400">
            <w:pPr>
              <w:pStyle w:val="RepTableSmall"/>
              <w:rPr>
                <w:lang w:val="en-GB"/>
              </w:rPr>
            </w:pPr>
            <w:r w:rsidRPr="00A34F10">
              <w:rPr>
                <w:spacing w:val="-1"/>
                <w:szCs w:val="16"/>
                <w:lang w:val="en-GB"/>
              </w:rPr>
              <w:t>1</w:t>
            </w:r>
            <w:r>
              <w:rPr>
                <w:spacing w:val="-1"/>
                <w:szCs w:val="16"/>
                <w:lang w:val="en-GB"/>
              </w:rPr>
              <w:t>4</w:t>
            </w:r>
          </w:p>
        </w:tc>
        <w:tc>
          <w:tcPr>
            <w:tcW w:w="262" w:type="pct"/>
            <w:shd w:val="clear" w:color="auto" w:fill="auto"/>
          </w:tcPr>
          <w:p w14:paraId="1807F490" w14:textId="671B5FA6" w:rsidR="00D51400" w:rsidRPr="00A34F10" w:rsidRDefault="00D51400" w:rsidP="00D51400">
            <w:pPr>
              <w:pStyle w:val="RepTableSmall"/>
              <w:rPr>
                <w:lang w:val="en-GB"/>
              </w:rPr>
            </w:pPr>
            <w:r w:rsidRPr="00A34F10">
              <w:rPr>
                <w:spacing w:val="-1"/>
                <w:szCs w:val="16"/>
              </w:rPr>
              <w:t>NL</w:t>
            </w:r>
          </w:p>
        </w:tc>
        <w:tc>
          <w:tcPr>
            <w:tcW w:w="417" w:type="pct"/>
            <w:shd w:val="clear" w:color="auto" w:fill="auto"/>
          </w:tcPr>
          <w:p w14:paraId="043DF3CF" w14:textId="5C3A1FFB" w:rsidR="00D51400" w:rsidRPr="00A34F10" w:rsidRDefault="00D51400" w:rsidP="00D51400">
            <w:pPr>
              <w:pStyle w:val="RepTableSmall"/>
              <w:rPr>
                <w:lang w:val="en-GB"/>
              </w:rPr>
            </w:pPr>
            <w:r w:rsidRPr="00A34F10">
              <w:rPr>
                <w:spacing w:val="-1"/>
                <w:szCs w:val="16"/>
              </w:rPr>
              <w:t>Perennial crops</w:t>
            </w:r>
            <w:r>
              <w:rPr>
                <w:spacing w:val="-1"/>
                <w:szCs w:val="16"/>
              </w:rPr>
              <w:t xml:space="preserve"> </w:t>
            </w:r>
            <w:r w:rsidRPr="00D802F0">
              <w:rPr>
                <w:spacing w:val="-1"/>
                <w:szCs w:val="16"/>
                <w:highlight w:val="green"/>
              </w:rPr>
              <w:t>(nursery)</w:t>
            </w:r>
          </w:p>
        </w:tc>
        <w:tc>
          <w:tcPr>
            <w:tcW w:w="132" w:type="pct"/>
            <w:shd w:val="clear" w:color="auto" w:fill="auto"/>
          </w:tcPr>
          <w:p w14:paraId="57BF0837" w14:textId="21D762FF" w:rsidR="00D51400" w:rsidRPr="00A34F10" w:rsidRDefault="00D51400" w:rsidP="00D51400">
            <w:pPr>
              <w:pStyle w:val="RepTableSmall"/>
              <w:rPr>
                <w:lang w:val="en-GB"/>
              </w:rPr>
            </w:pPr>
            <w:r w:rsidRPr="00A34F10">
              <w:rPr>
                <w:spacing w:val="-1"/>
                <w:szCs w:val="16"/>
              </w:rPr>
              <w:t>F</w:t>
            </w:r>
          </w:p>
        </w:tc>
        <w:tc>
          <w:tcPr>
            <w:tcW w:w="549" w:type="pct"/>
            <w:shd w:val="clear" w:color="auto" w:fill="auto"/>
          </w:tcPr>
          <w:p w14:paraId="56AB12C6" w14:textId="5EFD8D2D" w:rsidR="00D51400" w:rsidRPr="00A34F10" w:rsidRDefault="00D51400" w:rsidP="00D51400">
            <w:pPr>
              <w:pStyle w:val="RepTableSmall"/>
              <w:rPr>
                <w:lang w:val="en-GB"/>
              </w:rPr>
            </w:pPr>
            <w:r w:rsidRPr="00A34F10">
              <w:rPr>
                <w:i/>
                <w:iCs/>
                <w:szCs w:val="16"/>
              </w:rPr>
              <w:t>Peronospora sp</w:t>
            </w:r>
            <w:r w:rsidRPr="00A34F10">
              <w:rPr>
                <w:szCs w:val="16"/>
              </w:rPr>
              <w:t xml:space="preserve"> (PEROSP)</w:t>
            </w:r>
          </w:p>
        </w:tc>
        <w:tc>
          <w:tcPr>
            <w:tcW w:w="324" w:type="pct"/>
            <w:shd w:val="clear" w:color="auto" w:fill="auto"/>
          </w:tcPr>
          <w:p w14:paraId="7BFC2C3D" w14:textId="401DEE8F" w:rsidR="00D51400" w:rsidRPr="00A34F10" w:rsidRDefault="00D51400" w:rsidP="00D51400">
            <w:pPr>
              <w:pStyle w:val="RepTableSmall"/>
              <w:rPr>
                <w:lang w:val="en-GB"/>
              </w:rPr>
            </w:pPr>
            <w:r w:rsidRPr="00A34F10">
              <w:rPr>
                <w:spacing w:val="-1"/>
                <w:szCs w:val="16"/>
              </w:rPr>
              <w:t>Foliar Treatment</w:t>
            </w:r>
          </w:p>
        </w:tc>
        <w:tc>
          <w:tcPr>
            <w:tcW w:w="324" w:type="pct"/>
            <w:shd w:val="clear" w:color="auto" w:fill="auto"/>
          </w:tcPr>
          <w:p w14:paraId="143A1919" w14:textId="5755BD6A" w:rsidR="00D51400" w:rsidRPr="00A34F10" w:rsidRDefault="00D51400" w:rsidP="00D51400">
            <w:pPr>
              <w:pStyle w:val="RepTableSmall"/>
              <w:rPr>
                <w:lang w:val="en-GB"/>
              </w:rPr>
            </w:pPr>
            <w:r w:rsidRPr="00A34F10">
              <w:rPr>
                <w:spacing w:val="-1"/>
                <w:szCs w:val="16"/>
              </w:rPr>
              <w:t>BBCH-12-59 (Apr-Sep)</w:t>
            </w:r>
          </w:p>
        </w:tc>
        <w:tc>
          <w:tcPr>
            <w:tcW w:w="324" w:type="pct"/>
            <w:shd w:val="clear" w:color="auto" w:fill="auto"/>
          </w:tcPr>
          <w:p w14:paraId="0F5060B4" w14:textId="77777777" w:rsidR="00D51400" w:rsidRPr="00A34F10" w:rsidRDefault="00D51400" w:rsidP="00D51400">
            <w:pPr>
              <w:keepNext/>
              <w:keepLines/>
              <w:widowControl w:val="0"/>
              <w:rPr>
                <w:spacing w:val="-1"/>
                <w:sz w:val="16"/>
                <w:szCs w:val="16"/>
              </w:rPr>
            </w:pPr>
            <w:r w:rsidRPr="00A34F10">
              <w:rPr>
                <w:spacing w:val="-1"/>
                <w:sz w:val="16"/>
                <w:szCs w:val="16"/>
              </w:rPr>
              <w:t>a) 2</w:t>
            </w:r>
          </w:p>
          <w:p w14:paraId="13E18E28" w14:textId="199AA106" w:rsidR="00D51400" w:rsidRPr="00A34F10" w:rsidRDefault="00D51400" w:rsidP="00D51400">
            <w:pPr>
              <w:pStyle w:val="RepTableSmall"/>
              <w:rPr>
                <w:lang w:val="en-GB"/>
              </w:rPr>
            </w:pPr>
            <w:r w:rsidRPr="00A34F10">
              <w:rPr>
                <w:spacing w:val="-1"/>
                <w:szCs w:val="16"/>
                <w:lang w:val="en-GB" w:eastAsia="de-DE"/>
              </w:rPr>
              <w:t>b) 2</w:t>
            </w:r>
          </w:p>
        </w:tc>
        <w:tc>
          <w:tcPr>
            <w:tcW w:w="326" w:type="pct"/>
            <w:shd w:val="clear" w:color="auto" w:fill="auto"/>
          </w:tcPr>
          <w:p w14:paraId="4F173F3D" w14:textId="5C202F88" w:rsidR="00D51400" w:rsidRPr="00A34F10" w:rsidRDefault="00D51400" w:rsidP="00D51400">
            <w:pPr>
              <w:pStyle w:val="RepTableSmall"/>
              <w:rPr>
                <w:lang w:val="en-GB"/>
              </w:rPr>
            </w:pPr>
            <w:r w:rsidRPr="00A34F10">
              <w:rPr>
                <w:szCs w:val="16"/>
                <w:lang w:val="en-GB" w:eastAsia="de-DE"/>
              </w:rPr>
              <w:t>7</w:t>
            </w:r>
          </w:p>
        </w:tc>
        <w:tc>
          <w:tcPr>
            <w:tcW w:w="325" w:type="pct"/>
            <w:shd w:val="clear" w:color="auto" w:fill="auto"/>
          </w:tcPr>
          <w:p w14:paraId="59CC51C4" w14:textId="77777777" w:rsidR="00D51400" w:rsidRPr="00A34F10" w:rsidRDefault="00D51400" w:rsidP="00D51400">
            <w:pPr>
              <w:spacing w:before="60" w:after="40"/>
              <w:rPr>
                <w:spacing w:val="-1"/>
                <w:sz w:val="16"/>
                <w:szCs w:val="16"/>
              </w:rPr>
            </w:pPr>
            <w:r w:rsidRPr="00A34F10">
              <w:rPr>
                <w:spacing w:val="-1"/>
                <w:sz w:val="16"/>
                <w:szCs w:val="16"/>
              </w:rPr>
              <w:t>a) 2</w:t>
            </w:r>
          </w:p>
          <w:p w14:paraId="49E1F587" w14:textId="0E69B27C" w:rsidR="00D51400" w:rsidRPr="00A34F10" w:rsidRDefault="00D51400" w:rsidP="00D51400">
            <w:pPr>
              <w:pStyle w:val="RepTableSmall"/>
              <w:rPr>
                <w:lang w:val="en-GB"/>
              </w:rPr>
            </w:pPr>
            <w:r w:rsidRPr="00A34F10">
              <w:rPr>
                <w:spacing w:val="-1"/>
                <w:szCs w:val="16"/>
              </w:rPr>
              <w:t>b) 4</w:t>
            </w:r>
          </w:p>
        </w:tc>
        <w:tc>
          <w:tcPr>
            <w:tcW w:w="325" w:type="pct"/>
            <w:shd w:val="clear" w:color="auto" w:fill="auto"/>
          </w:tcPr>
          <w:p w14:paraId="07F0F034" w14:textId="77777777" w:rsidR="00D51400" w:rsidRPr="00A34F10" w:rsidRDefault="00D51400" w:rsidP="00D51400">
            <w:pPr>
              <w:spacing w:before="60" w:after="40"/>
              <w:rPr>
                <w:spacing w:val="-1"/>
                <w:sz w:val="16"/>
                <w:szCs w:val="16"/>
              </w:rPr>
            </w:pPr>
            <w:r w:rsidRPr="00A34F10">
              <w:rPr>
                <w:spacing w:val="-1"/>
                <w:sz w:val="16"/>
                <w:szCs w:val="16"/>
              </w:rPr>
              <w:t>a) 0.24(*) + 0.902(**)</w:t>
            </w:r>
          </w:p>
          <w:p w14:paraId="7C952B3C" w14:textId="413BB45C" w:rsidR="00D51400" w:rsidRPr="00A34F10" w:rsidRDefault="00D51400" w:rsidP="00D51400">
            <w:pPr>
              <w:pStyle w:val="RepTableSmall"/>
              <w:rPr>
                <w:lang w:val="en-GB"/>
              </w:rPr>
            </w:pPr>
            <w:r w:rsidRPr="00A34F10">
              <w:rPr>
                <w:spacing w:val="-1"/>
                <w:szCs w:val="16"/>
              </w:rPr>
              <w:t>b) 0.48(*) + 1.804(**)</w:t>
            </w:r>
          </w:p>
        </w:tc>
        <w:tc>
          <w:tcPr>
            <w:tcW w:w="247" w:type="pct"/>
            <w:shd w:val="clear" w:color="auto" w:fill="auto"/>
          </w:tcPr>
          <w:p w14:paraId="01A88BEB" w14:textId="2A83137A" w:rsidR="00D51400" w:rsidRPr="00A34F10" w:rsidRDefault="00D51400" w:rsidP="00D51400">
            <w:pPr>
              <w:pStyle w:val="RepTableSmall"/>
              <w:rPr>
                <w:lang w:val="en-GB"/>
              </w:rPr>
            </w:pPr>
            <w:r w:rsidRPr="00A34F10">
              <w:rPr>
                <w:spacing w:val="-1"/>
                <w:szCs w:val="16"/>
              </w:rPr>
              <w:t>500</w:t>
            </w:r>
          </w:p>
        </w:tc>
        <w:tc>
          <w:tcPr>
            <w:tcW w:w="195" w:type="pct"/>
            <w:shd w:val="clear" w:color="auto" w:fill="auto"/>
          </w:tcPr>
          <w:p w14:paraId="3A0C783C" w14:textId="018EF1F0" w:rsidR="00D51400" w:rsidRPr="00A34F10" w:rsidRDefault="00D51400" w:rsidP="00D51400">
            <w:pPr>
              <w:pStyle w:val="RepTableSmall"/>
              <w:rPr>
                <w:lang w:val="en-GB"/>
              </w:rPr>
            </w:pPr>
            <w:r w:rsidRPr="00A34F10">
              <w:rPr>
                <w:spacing w:val="-1"/>
                <w:szCs w:val="16"/>
              </w:rPr>
              <w:t>NA</w:t>
            </w:r>
          </w:p>
        </w:tc>
        <w:tc>
          <w:tcPr>
            <w:tcW w:w="342" w:type="pct"/>
            <w:shd w:val="clear" w:color="auto" w:fill="auto"/>
          </w:tcPr>
          <w:p w14:paraId="0B6D62AE" w14:textId="36835A0F" w:rsidR="00D51400" w:rsidRPr="00D802F0" w:rsidRDefault="00D51400" w:rsidP="00D51400">
            <w:pPr>
              <w:keepNext/>
              <w:keepLines/>
              <w:widowControl w:val="0"/>
              <w:rPr>
                <w:highlight w:val="green"/>
                <w:lang w:val="en-GB"/>
              </w:rPr>
            </w:pPr>
            <w:r w:rsidRPr="00D802F0">
              <w:rPr>
                <w:sz w:val="16"/>
                <w:szCs w:val="16"/>
                <w:highlight w:val="green"/>
              </w:rPr>
              <w:t>Tree nursery green non-woody perennials crops</w:t>
            </w:r>
            <w:r w:rsidRPr="00D802F0">
              <w:rPr>
                <w:sz w:val="16"/>
                <w:szCs w:val="16"/>
                <w:highlight w:val="green"/>
                <w:lang w:val="en-GB" w:eastAsia="de-DE"/>
              </w:rPr>
              <w:t xml:space="preserve"> not for fruit production (e.g. Papaver, Geranium, Erigeron, Coydalis, Viola, Veronica, …)</w:t>
            </w:r>
          </w:p>
        </w:tc>
        <w:tc>
          <w:tcPr>
            <w:tcW w:w="110" w:type="pct"/>
            <w:shd w:val="clear" w:color="auto" w:fill="D9D9D9"/>
          </w:tcPr>
          <w:p w14:paraId="7E6F53B8" w14:textId="77777777" w:rsidR="00D51400" w:rsidRPr="00A34F10" w:rsidRDefault="00D51400" w:rsidP="00D51400">
            <w:pPr>
              <w:pStyle w:val="RepTableSmall"/>
              <w:rPr>
                <w:lang w:val="en-GB"/>
              </w:rPr>
            </w:pPr>
          </w:p>
        </w:tc>
        <w:tc>
          <w:tcPr>
            <w:tcW w:w="110" w:type="pct"/>
            <w:shd w:val="clear" w:color="auto" w:fill="D9D9D9"/>
          </w:tcPr>
          <w:p w14:paraId="0FEBC7FC" w14:textId="77777777" w:rsidR="00D51400" w:rsidRPr="00A34F10" w:rsidRDefault="00D51400" w:rsidP="00D51400">
            <w:pPr>
              <w:pStyle w:val="RepTableSmall"/>
              <w:rPr>
                <w:lang w:val="en-GB"/>
              </w:rPr>
            </w:pPr>
          </w:p>
        </w:tc>
        <w:tc>
          <w:tcPr>
            <w:tcW w:w="110" w:type="pct"/>
            <w:shd w:val="clear" w:color="auto" w:fill="D9D9D9"/>
          </w:tcPr>
          <w:p w14:paraId="6363D80D" w14:textId="77777777" w:rsidR="00D51400" w:rsidRPr="00A34F10" w:rsidRDefault="00D51400" w:rsidP="00D51400">
            <w:pPr>
              <w:pStyle w:val="RepTableSmall"/>
              <w:rPr>
                <w:lang w:val="en-GB"/>
              </w:rPr>
            </w:pPr>
          </w:p>
        </w:tc>
        <w:tc>
          <w:tcPr>
            <w:tcW w:w="110" w:type="pct"/>
            <w:shd w:val="clear" w:color="auto" w:fill="D9D9D9"/>
          </w:tcPr>
          <w:p w14:paraId="08644BD5" w14:textId="77777777" w:rsidR="00D51400" w:rsidRPr="00A34F10" w:rsidRDefault="00D51400" w:rsidP="00D51400">
            <w:pPr>
              <w:pStyle w:val="RepTableSmall"/>
              <w:rPr>
                <w:lang w:val="en-GB"/>
              </w:rPr>
            </w:pPr>
          </w:p>
        </w:tc>
        <w:tc>
          <w:tcPr>
            <w:tcW w:w="110" w:type="pct"/>
            <w:shd w:val="clear" w:color="auto" w:fill="D9D9D9"/>
          </w:tcPr>
          <w:p w14:paraId="0ABDED71" w14:textId="77777777" w:rsidR="00D51400" w:rsidRPr="00A34F10" w:rsidRDefault="00D51400" w:rsidP="00D51400">
            <w:pPr>
              <w:pStyle w:val="RepTableSmall"/>
              <w:rPr>
                <w:lang w:val="en-GB"/>
              </w:rPr>
            </w:pPr>
          </w:p>
        </w:tc>
        <w:tc>
          <w:tcPr>
            <w:tcW w:w="110" w:type="pct"/>
            <w:shd w:val="clear" w:color="auto" w:fill="D9D9D9"/>
          </w:tcPr>
          <w:p w14:paraId="334AD155" w14:textId="77777777" w:rsidR="00D51400" w:rsidRPr="00A34F10" w:rsidRDefault="00D51400" w:rsidP="00D51400">
            <w:pPr>
              <w:pStyle w:val="RepTableSmall"/>
              <w:rPr>
                <w:lang w:val="en-GB"/>
              </w:rPr>
            </w:pPr>
          </w:p>
        </w:tc>
        <w:tc>
          <w:tcPr>
            <w:tcW w:w="106" w:type="pct"/>
            <w:shd w:val="clear" w:color="auto" w:fill="D9D9D9"/>
          </w:tcPr>
          <w:p w14:paraId="584D7614" w14:textId="77777777" w:rsidR="00D51400" w:rsidRPr="00A34F10" w:rsidRDefault="00D51400" w:rsidP="00D51400">
            <w:pPr>
              <w:pStyle w:val="RepTableSmall"/>
              <w:rPr>
                <w:lang w:val="en-GB"/>
              </w:rPr>
            </w:pPr>
          </w:p>
        </w:tc>
      </w:tr>
    </w:tbl>
    <w:p w14:paraId="24CBB411" w14:textId="77777777" w:rsidR="00C06DED" w:rsidRPr="00A34F10" w:rsidRDefault="00C06DED" w:rsidP="00AA32CE">
      <w:pPr>
        <w:pStyle w:val="RepTableFootnote"/>
        <w:rPr>
          <w:lang w:val="en-GB"/>
        </w:rPr>
      </w:pPr>
      <w:r w:rsidRPr="00A34F10">
        <w:rPr>
          <w:lang w:val="en-GB"/>
        </w:rPr>
        <w:t xml:space="preserve">* </w:t>
      </w:r>
      <w:r w:rsidRPr="00A34F10">
        <w:rPr>
          <w:lang w:val="en-GB"/>
        </w:rPr>
        <w:tab/>
        <w:t xml:space="preserve">Use number(s) in accordance with the list of all intended GAPs in Part B, Section 0 should be given in column 1 </w:t>
      </w:r>
    </w:p>
    <w:p w14:paraId="35C7C17A" w14:textId="4C2E2318" w:rsidR="00C06DED" w:rsidRDefault="00C06DED" w:rsidP="00AA32CE">
      <w:pPr>
        <w:pStyle w:val="RepTableFootnote"/>
        <w:rPr>
          <w:lang w:val="en-GB"/>
        </w:rPr>
      </w:pPr>
      <w:r w:rsidRPr="00A34F10">
        <w:rPr>
          <w:lang w:val="en-GB"/>
        </w:rPr>
        <w:t xml:space="preserve">** </w:t>
      </w:r>
      <w:r w:rsidRPr="00A34F10">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21051BC6" w14:textId="50012153" w:rsidR="00565585" w:rsidRDefault="00565585" w:rsidP="00565585">
      <w:pPr>
        <w:pStyle w:val="RepStandard"/>
        <w:ind w:left="284" w:hanging="284"/>
        <w:rPr>
          <w:noProof/>
          <w:color w:val="000000"/>
          <w:sz w:val="18"/>
          <w:szCs w:val="18"/>
          <w:lang w:val="en-GB"/>
        </w:rPr>
      </w:pPr>
    </w:p>
    <w:p w14:paraId="260150DB" w14:textId="77777777" w:rsidR="00D802F0" w:rsidRDefault="00D802F0" w:rsidP="004B4D5B">
      <w:pPr>
        <w:jc w:val="both"/>
        <w:rPr>
          <w:i/>
          <w:iCs/>
          <w:sz w:val="18"/>
          <w:szCs w:val="18"/>
        </w:rPr>
      </w:pPr>
      <w:r w:rsidRPr="00D802F0">
        <w:rPr>
          <w:sz w:val="18"/>
          <w:szCs w:val="18"/>
          <w:highlight w:val="green"/>
        </w:rPr>
        <w:t>*</w:t>
      </w:r>
      <w:r w:rsidRPr="00D802F0">
        <w:rPr>
          <w:i/>
          <w:iCs/>
          <w:sz w:val="18"/>
          <w:szCs w:val="18"/>
          <w:highlight w:val="green"/>
        </w:rPr>
        <w:t xml:space="preserve"> For further details on concerned ornamental crops intended in The Netherlands and better understanding of the hierarchical classification followed in this country, please refer to the Definition List of Application Areas of Crop Protection Products (DTG list) from Ctgb which contains the standard terms for application areas of crop protection products for the Legal Instructions for Use (WG). The DTG list contains agricultural and horticultural crops, public green areas, uncultivated areas and terms for non-professional use</w:t>
      </w:r>
      <w:r w:rsidRPr="00D802F0">
        <w:rPr>
          <w:sz w:val="18"/>
          <w:szCs w:val="18"/>
          <w:highlight w:val="green"/>
        </w:rPr>
        <w:t xml:space="preserve">. </w:t>
      </w:r>
      <w:r w:rsidRPr="00D802F0">
        <w:rPr>
          <w:i/>
          <w:iCs/>
          <w:sz w:val="18"/>
          <w:szCs w:val="18"/>
          <w:highlight w:val="green"/>
        </w:rPr>
        <w:t>Please, refer to the following direct link:</w:t>
      </w:r>
    </w:p>
    <w:p w14:paraId="7F4E248C" w14:textId="15F1D38E" w:rsidR="00D35101" w:rsidRDefault="00D35101" w:rsidP="004B4D5B">
      <w:pPr>
        <w:jc w:val="both"/>
        <w:rPr>
          <w:i/>
          <w:iCs/>
          <w:sz w:val="18"/>
          <w:szCs w:val="18"/>
        </w:rPr>
      </w:pPr>
    </w:p>
    <w:p w14:paraId="7201DEFC" w14:textId="77777777" w:rsidR="00C84140" w:rsidRPr="00D802F0" w:rsidRDefault="00C84140" w:rsidP="004B4D5B">
      <w:pPr>
        <w:jc w:val="both"/>
        <w:rPr>
          <w:i/>
          <w:iCs/>
          <w:sz w:val="18"/>
          <w:szCs w:val="18"/>
        </w:rPr>
      </w:pPr>
    </w:p>
    <w:p w14:paraId="1B87A8BE" w14:textId="77777777" w:rsidR="00D802F0" w:rsidRPr="00D802F0" w:rsidRDefault="00D802F0" w:rsidP="004B4D5B">
      <w:pPr>
        <w:jc w:val="both"/>
        <w:rPr>
          <w:sz w:val="18"/>
          <w:szCs w:val="18"/>
        </w:rPr>
      </w:pPr>
      <w:hyperlink r:id="rId18" w:history="1">
        <w:r w:rsidRPr="00D802F0">
          <w:rPr>
            <w:rStyle w:val="Hipercze"/>
            <w:sz w:val="18"/>
            <w:szCs w:val="18"/>
            <w:highlight w:val="green"/>
          </w:rPr>
          <w:t>Definitielijst Toepassingsgebieden Gewasbeschermingsmiddelen 2.2 | Toetsingskader gewasbeschermingsmiddel | College voor de toelating van gewasbeschermingsmiddelen en biociden (ctgb.nl)</w:t>
        </w:r>
      </w:hyperlink>
      <w:r w:rsidRPr="00D802F0">
        <w:rPr>
          <w:sz w:val="18"/>
          <w:szCs w:val="18"/>
        </w:rPr>
        <w:t xml:space="preserve"> </w:t>
      </w:r>
    </w:p>
    <w:p w14:paraId="32489823" w14:textId="77777777" w:rsidR="00D802F0" w:rsidRPr="00565585" w:rsidRDefault="00D802F0" w:rsidP="004B4D5B">
      <w:pPr>
        <w:pStyle w:val="RepStandard"/>
        <w:ind w:left="284" w:hanging="284"/>
        <w:rPr>
          <w:noProof/>
          <w:color w:val="000000"/>
          <w:sz w:val="18"/>
          <w:szCs w:val="18"/>
          <w:lang w:val="en-GB"/>
        </w:rPr>
      </w:pPr>
    </w:p>
    <w:p w14:paraId="4B56275F" w14:textId="7A3047AA" w:rsidR="00C06DED" w:rsidRPr="00C84140" w:rsidRDefault="00D802F0" w:rsidP="004B4D5B">
      <w:pPr>
        <w:pStyle w:val="RepTableFootnote"/>
        <w:jc w:val="both"/>
        <w:rPr>
          <w:i/>
          <w:iCs/>
          <w:noProof w:val="0"/>
          <w:highlight w:val="green"/>
          <w:lang w:val="en-US"/>
        </w:rPr>
      </w:pPr>
      <w:r w:rsidRPr="00C84140">
        <w:rPr>
          <w:i/>
          <w:iCs/>
          <w:noProof w:val="0"/>
          <w:highlight w:val="green"/>
          <w:lang w:val="en-US"/>
        </w:rPr>
        <w:t>For the presentation of risk assessments only requested in the concerned Member State (The Netherlands), reference is made to the National Addendum (i.e. chronic risk assessments for bees based on EFSA guidance (2013, updated 2014)</w:t>
      </w:r>
    </w:p>
    <w:p w14:paraId="62BD88D8" w14:textId="77777777" w:rsidR="00D802F0" w:rsidRDefault="00D802F0" w:rsidP="00D802F0">
      <w:pPr>
        <w:pStyle w:val="RepStandard"/>
        <w:rPr>
          <w:lang w:val="en-GB"/>
        </w:rPr>
      </w:pPr>
    </w:p>
    <w:p w14:paraId="31EF6B3F" w14:textId="77777777" w:rsidR="00D802F0" w:rsidRPr="00D802F0" w:rsidRDefault="00D802F0" w:rsidP="00D802F0">
      <w:pPr>
        <w:pStyle w:val="RepStandard"/>
        <w:rPr>
          <w:lang w:val="en-GB"/>
        </w:rPr>
      </w:pPr>
    </w:p>
    <w:p w14:paraId="43313297" w14:textId="77777777" w:rsidR="00C06DED" w:rsidRPr="00A34F10" w:rsidRDefault="00C06DED" w:rsidP="00AA32CE">
      <w:pPr>
        <w:pStyle w:val="RepStandard"/>
      </w:pPr>
      <w:r w:rsidRPr="00A34F10">
        <w:t>Explanation for column 15 – 21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C06DED" w:rsidRPr="00A34F10" w14:paraId="2CA61A6A" w14:textId="77777777" w:rsidTr="006F3DE2">
        <w:trPr>
          <w:cantSplit/>
          <w:trHeight w:val="240"/>
        </w:trPr>
        <w:tc>
          <w:tcPr>
            <w:tcW w:w="361" w:type="dxa"/>
            <w:shd w:val="clear" w:color="auto" w:fill="92D050"/>
            <w:tcMar>
              <w:left w:w="57" w:type="dxa"/>
              <w:right w:w="57" w:type="dxa"/>
            </w:tcMar>
            <w:vAlign w:val="center"/>
          </w:tcPr>
          <w:p w14:paraId="516EA4D8" w14:textId="77777777" w:rsidR="00C06DED" w:rsidRPr="00A34F10" w:rsidRDefault="00C06DED" w:rsidP="00AA32CE">
            <w:pPr>
              <w:pStyle w:val="RepTableSmall"/>
              <w:rPr>
                <w:lang w:val="en-GB"/>
              </w:rPr>
            </w:pPr>
            <w:r w:rsidRPr="00A34F10">
              <w:rPr>
                <w:lang w:val="en-GB"/>
              </w:rPr>
              <w:t>A</w:t>
            </w:r>
          </w:p>
        </w:tc>
        <w:tc>
          <w:tcPr>
            <w:tcW w:w="4176" w:type="dxa"/>
            <w:tcMar>
              <w:left w:w="57" w:type="dxa"/>
              <w:right w:w="57" w:type="dxa"/>
            </w:tcMar>
            <w:vAlign w:val="center"/>
          </w:tcPr>
          <w:p w14:paraId="1CB6D214" w14:textId="77777777" w:rsidR="00C06DED" w:rsidRPr="00A34F10" w:rsidRDefault="00196532" w:rsidP="00AA32CE">
            <w:pPr>
              <w:pStyle w:val="RepTableSmall"/>
              <w:rPr>
                <w:lang w:val="en-GB"/>
              </w:rPr>
            </w:pPr>
            <w:r w:rsidRPr="00A34F10">
              <w:rPr>
                <w:lang w:val="en-GB"/>
              </w:rPr>
              <w:t xml:space="preserve">Acceptable, </w:t>
            </w:r>
            <w:r w:rsidR="00C06DED" w:rsidRPr="00A34F10">
              <w:rPr>
                <w:lang w:val="en-GB"/>
              </w:rPr>
              <w:t>Safe use</w:t>
            </w:r>
          </w:p>
        </w:tc>
      </w:tr>
      <w:tr w:rsidR="00C06DED" w:rsidRPr="00A34F10" w14:paraId="3585ABAF" w14:textId="77777777" w:rsidTr="00C06DED">
        <w:trPr>
          <w:cantSplit/>
          <w:trHeight w:val="240"/>
        </w:trPr>
        <w:tc>
          <w:tcPr>
            <w:tcW w:w="361" w:type="dxa"/>
            <w:shd w:val="clear" w:color="auto" w:fill="FFFF00"/>
            <w:tcMar>
              <w:left w:w="57" w:type="dxa"/>
              <w:right w:w="57" w:type="dxa"/>
            </w:tcMar>
            <w:vAlign w:val="center"/>
          </w:tcPr>
          <w:p w14:paraId="7B50237B" w14:textId="77777777" w:rsidR="00C06DED" w:rsidRPr="00A34F10" w:rsidRDefault="006F3DE2" w:rsidP="00AA32CE">
            <w:pPr>
              <w:pStyle w:val="RepTableSmall"/>
              <w:rPr>
                <w:lang w:val="en-GB"/>
              </w:rPr>
            </w:pPr>
            <w:r w:rsidRPr="00A34F10">
              <w:rPr>
                <w:lang w:val="en-GB"/>
              </w:rPr>
              <w:t>R</w:t>
            </w:r>
          </w:p>
        </w:tc>
        <w:tc>
          <w:tcPr>
            <w:tcW w:w="4176" w:type="dxa"/>
            <w:tcMar>
              <w:left w:w="57" w:type="dxa"/>
              <w:right w:w="57" w:type="dxa"/>
            </w:tcMar>
            <w:vAlign w:val="center"/>
          </w:tcPr>
          <w:p w14:paraId="4C6E10C1" w14:textId="77777777" w:rsidR="00C06DED" w:rsidRPr="00A34F10" w:rsidRDefault="00C06DED" w:rsidP="00AA32CE">
            <w:pPr>
              <w:pStyle w:val="RepTableSmall"/>
              <w:rPr>
                <w:lang w:val="en-GB"/>
              </w:rPr>
            </w:pPr>
            <w:r w:rsidRPr="00A34F10">
              <w:rPr>
                <w:lang w:val="en-GB"/>
              </w:rPr>
              <w:t>Further refinement and/or risk mitigation measures required</w:t>
            </w:r>
          </w:p>
        </w:tc>
      </w:tr>
      <w:tr w:rsidR="00C06DED" w:rsidRPr="00A34F10" w14:paraId="037EA42C" w14:textId="77777777" w:rsidTr="00C06DED">
        <w:trPr>
          <w:cantSplit/>
          <w:trHeight w:val="240"/>
        </w:trPr>
        <w:tc>
          <w:tcPr>
            <w:tcW w:w="361" w:type="dxa"/>
            <w:shd w:val="clear" w:color="auto" w:fill="BDD6EE"/>
            <w:tcMar>
              <w:left w:w="57" w:type="dxa"/>
              <w:right w:w="57" w:type="dxa"/>
            </w:tcMar>
            <w:vAlign w:val="center"/>
          </w:tcPr>
          <w:p w14:paraId="64181DCE" w14:textId="77777777" w:rsidR="00C06DED" w:rsidRPr="00A34F10" w:rsidRDefault="00C06DED" w:rsidP="00AA32CE">
            <w:pPr>
              <w:pStyle w:val="RepTableSmall"/>
              <w:rPr>
                <w:lang w:val="en-GB"/>
              </w:rPr>
            </w:pPr>
            <w:r w:rsidRPr="00A34F10">
              <w:rPr>
                <w:lang w:val="en-GB"/>
              </w:rPr>
              <w:t>C</w:t>
            </w:r>
          </w:p>
        </w:tc>
        <w:tc>
          <w:tcPr>
            <w:tcW w:w="4176" w:type="dxa"/>
            <w:tcMar>
              <w:left w:w="57" w:type="dxa"/>
              <w:right w:w="57" w:type="dxa"/>
            </w:tcMar>
            <w:vAlign w:val="center"/>
          </w:tcPr>
          <w:p w14:paraId="0C3C61BF" w14:textId="77777777" w:rsidR="00C06DED" w:rsidRPr="00A34F10" w:rsidRDefault="00C06DED" w:rsidP="00AA32CE">
            <w:pPr>
              <w:pStyle w:val="RepTableSmall"/>
              <w:rPr>
                <w:lang w:val="en-GB"/>
              </w:rPr>
            </w:pPr>
            <w:r w:rsidRPr="00A34F10">
              <w:rPr>
                <w:lang w:val="en-GB"/>
              </w:rPr>
              <w:t>To be confirmed by cMS</w:t>
            </w:r>
          </w:p>
        </w:tc>
      </w:tr>
      <w:tr w:rsidR="00C06DED" w:rsidRPr="00A34F10" w14:paraId="34FA99DE" w14:textId="77777777" w:rsidTr="006F3DE2">
        <w:trPr>
          <w:cantSplit/>
          <w:trHeight w:val="240"/>
        </w:trPr>
        <w:tc>
          <w:tcPr>
            <w:tcW w:w="361" w:type="dxa"/>
            <w:shd w:val="clear" w:color="auto" w:fill="FF0000"/>
            <w:tcMar>
              <w:left w:w="57" w:type="dxa"/>
              <w:right w:w="57" w:type="dxa"/>
            </w:tcMar>
            <w:vAlign w:val="center"/>
          </w:tcPr>
          <w:p w14:paraId="2C6CDFE9" w14:textId="77777777" w:rsidR="00C06DED" w:rsidRPr="00A34F10" w:rsidRDefault="00C06DED" w:rsidP="00AA32CE">
            <w:pPr>
              <w:pStyle w:val="RepTableSmall"/>
              <w:rPr>
                <w:lang w:val="en-GB"/>
              </w:rPr>
            </w:pPr>
            <w:r w:rsidRPr="00A34F10">
              <w:rPr>
                <w:lang w:val="en-GB"/>
              </w:rPr>
              <w:t>N</w:t>
            </w:r>
          </w:p>
        </w:tc>
        <w:tc>
          <w:tcPr>
            <w:tcW w:w="4176" w:type="dxa"/>
            <w:tcMar>
              <w:left w:w="57" w:type="dxa"/>
              <w:right w:w="57" w:type="dxa"/>
            </w:tcMar>
            <w:vAlign w:val="center"/>
          </w:tcPr>
          <w:p w14:paraId="67D6C2C3" w14:textId="77777777" w:rsidR="00C06DED" w:rsidRPr="00A34F10" w:rsidRDefault="00C06DED" w:rsidP="00AA32CE">
            <w:pPr>
              <w:pStyle w:val="RepTableSmall"/>
              <w:rPr>
                <w:lang w:val="en-GB"/>
              </w:rPr>
            </w:pPr>
            <w:r w:rsidRPr="00A34F10">
              <w:rPr>
                <w:lang w:val="en-GB"/>
              </w:rPr>
              <w:t>No safe use</w:t>
            </w:r>
          </w:p>
        </w:tc>
      </w:tr>
    </w:tbl>
    <w:p w14:paraId="0CEDAA20" w14:textId="77777777" w:rsidR="00C06DED" w:rsidRPr="00A34F10" w:rsidRDefault="00C06DED" w:rsidP="00AA32CE">
      <w:pPr>
        <w:pStyle w:val="RepStandard"/>
      </w:pPr>
    </w:p>
    <w:tbl>
      <w:tblPr>
        <w:tblW w:w="14716"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720E1C" w:rsidRPr="00A34F10" w14:paraId="4745205E" w14:textId="77777777" w:rsidTr="000E0A09">
        <w:trPr>
          <w:cantSplit/>
          <w:trHeight w:val="87"/>
        </w:trPr>
        <w:tc>
          <w:tcPr>
            <w:tcW w:w="955" w:type="dxa"/>
            <w:tcBorders>
              <w:bottom w:val="nil"/>
            </w:tcBorders>
            <w:vAlign w:val="center"/>
          </w:tcPr>
          <w:p w14:paraId="14A44440" w14:textId="77777777" w:rsidR="00720E1C" w:rsidRPr="00A34F10" w:rsidRDefault="00720E1C" w:rsidP="000E0A09">
            <w:pPr>
              <w:pStyle w:val="TableText8pt"/>
              <w:spacing w:before="0" w:after="0"/>
              <w:jc w:val="left"/>
              <w:rPr>
                <w:b/>
                <w:szCs w:val="16"/>
              </w:rPr>
            </w:pPr>
          </w:p>
        </w:tc>
        <w:tc>
          <w:tcPr>
            <w:tcW w:w="6531" w:type="dxa"/>
            <w:tcBorders>
              <w:bottom w:val="nil"/>
            </w:tcBorders>
            <w:vAlign w:val="center"/>
          </w:tcPr>
          <w:p w14:paraId="7CDB0EAF" w14:textId="77777777" w:rsidR="00720E1C" w:rsidRPr="00A34F10" w:rsidRDefault="00720E1C" w:rsidP="000E0A09">
            <w:pPr>
              <w:pStyle w:val="TableText8pt"/>
              <w:spacing w:before="0" w:after="0"/>
              <w:ind w:left="328" w:hanging="328"/>
              <w:jc w:val="left"/>
              <w:rPr>
                <w:szCs w:val="16"/>
              </w:rPr>
            </w:pPr>
          </w:p>
        </w:tc>
        <w:tc>
          <w:tcPr>
            <w:tcW w:w="284" w:type="dxa"/>
            <w:tcBorders>
              <w:bottom w:val="nil"/>
            </w:tcBorders>
            <w:vAlign w:val="center"/>
          </w:tcPr>
          <w:p w14:paraId="7ACF3BB1" w14:textId="77777777" w:rsidR="00720E1C" w:rsidRPr="00A34F10" w:rsidRDefault="00720E1C" w:rsidP="000E0A09">
            <w:pPr>
              <w:pStyle w:val="TableText8pt"/>
              <w:spacing w:before="0" w:after="0"/>
              <w:jc w:val="left"/>
            </w:pPr>
          </w:p>
        </w:tc>
        <w:tc>
          <w:tcPr>
            <w:tcW w:w="6946" w:type="dxa"/>
            <w:tcBorders>
              <w:bottom w:val="nil"/>
            </w:tcBorders>
            <w:vAlign w:val="center"/>
          </w:tcPr>
          <w:p w14:paraId="7B31F9B2" w14:textId="77777777" w:rsidR="00720E1C" w:rsidRPr="00A34F10" w:rsidRDefault="00720E1C" w:rsidP="000E0A09">
            <w:pPr>
              <w:pStyle w:val="TableText8pt"/>
              <w:spacing w:before="0" w:after="0"/>
              <w:ind w:left="315" w:hanging="315"/>
              <w:jc w:val="left"/>
            </w:pPr>
          </w:p>
        </w:tc>
      </w:tr>
      <w:tr w:rsidR="00720E1C" w:rsidRPr="00A34F10" w14:paraId="4F11BA8D" w14:textId="77777777" w:rsidTr="000E0A09">
        <w:trPr>
          <w:cantSplit/>
          <w:trHeight w:val="87"/>
        </w:trPr>
        <w:tc>
          <w:tcPr>
            <w:tcW w:w="955" w:type="dxa"/>
            <w:tcBorders>
              <w:bottom w:val="nil"/>
            </w:tcBorders>
          </w:tcPr>
          <w:p w14:paraId="41F795FB" w14:textId="77777777" w:rsidR="00720E1C" w:rsidRPr="00A34F10" w:rsidRDefault="00720E1C" w:rsidP="000E0A09">
            <w:pPr>
              <w:pStyle w:val="TableText8pt"/>
              <w:spacing w:before="0" w:after="0"/>
              <w:jc w:val="left"/>
              <w:rPr>
                <w:b/>
                <w:szCs w:val="16"/>
              </w:rPr>
            </w:pPr>
            <w:r w:rsidRPr="00A34F10">
              <w:rPr>
                <w:b/>
                <w:szCs w:val="16"/>
              </w:rPr>
              <w:t>Remarks</w:t>
            </w:r>
          </w:p>
          <w:p w14:paraId="5241A43C" w14:textId="77777777" w:rsidR="00720E1C" w:rsidRPr="00A34F10" w:rsidRDefault="00720E1C" w:rsidP="000E0A09">
            <w:pPr>
              <w:pStyle w:val="TableText8pt"/>
              <w:spacing w:before="0" w:after="0"/>
              <w:jc w:val="left"/>
              <w:rPr>
                <w:szCs w:val="16"/>
              </w:rPr>
            </w:pPr>
            <w:r w:rsidRPr="00A34F10">
              <w:rPr>
                <w:b/>
                <w:szCs w:val="16"/>
              </w:rPr>
              <w:t>table:</w:t>
            </w:r>
          </w:p>
        </w:tc>
        <w:tc>
          <w:tcPr>
            <w:tcW w:w="6531" w:type="dxa"/>
            <w:tcBorders>
              <w:bottom w:val="nil"/>
            </w:tcBorders>
          </w:tcPr>
          <w:p w14:paraId="3B467AC6" w14:textId="77777777" w:rsidR="00720E1C" w:rsidRPr="00A34F10" w:rsidRDefault="00720E1C" w:rsidP="000E0A09">
            <w:pPr>
              <w:pStyle w:val="TableText8pt"/>
              <w:spacing w:before="0" w:after="0"/>
              <w:ind w:left="328" w:hanging="328"/>
              <w:jc w:val="left"/>
              <w:rPr>
                <w:szCs w:val="16"/>
              </w:rPr>
            </w:pPr>
            <w:r w:rsidRPr="00A34F10">
              <w:rPr>
                <w:szCs w:val="16"/>
              </w:rPr>
              <w:t>(1)</w:t>
            </w:r>
            <w:r w:rsidRPr="00A34F10">
              <w:rPr>
                <w:szCs w:val="16"/>
              </w:rPr>
              <w:tab/>
              <w:t>Numeration necessary to allow references</w:t>
            </w:r>
          </w:p>
          <w:p w14:paraId="19E0C3C4" w14:textId="77777777" w:rsidR="00720E1C" w:rsidRPr="00A34F10" w:rsidRDefault="00720E1C" w:rsidP="000E0A09">
            <w:pPr>
              <w:pStyle w:val="TableText8pt"/>
              <w:spacing w:before="0" w:after="0"/>
              <w:ind w:left="328" w:hanging="328"/>
              <w:jc w:val="left"/>
              <w:rPr>
                <w:szCs w:val="16"/>
              </w:rPr>
            </w:pPr>
            <w:r w:rsidRPr="00A34F10">
              <w:rPr>
                <w:szCs w:val="16"/>
              </w:rPr>
              <w:t>(2)</w:t>
            </w:r>
            <w:r w:rsidRPr="00A34F10">
              <w:rPr>
                <w:szCs w:val="16"/>
              </w:rPr>
              <w:tab/>
              <w:t xml:space="preserve">Use official codes/nomenclatures of EU </w:t>
            </w:r>
          </w:p>
          <w:p w14:paraId="5EC2F4C4" w14:textId="77777777" w:rsidR="00720E1C" w:rsidRPr="00A34F10" w:rsidRDefault="00720E1C" w:rsidP="000E0A09">
            <w:pPr>
              <w:pStyle w:val="TableText8pt"/>
              <w:spacing w:before="0" w:after="0"/>
              <w:ind w:left="328" w:hanging="328"/>
              <w:jc w:val="left"/>
              <w:rPr>
                <w:szCs w:val="16"/>
              </w:rPr>
            </w:pPr>
            <w:r w:rsidRPr="00A34F10">
              <w:rPr>
                <w:szCs w:val="16"/>
              </w:rPr>
              <w:t>(3)</w:t>
            </w:r>
            <w:r w:rsidRPr="00A34F10">
              <w:rPr>
                <w:szCs w:val="16"/>
              </w:rPr>
              <w:tab/>
              <w:t>For crops, the EU and Codex classifications (both) should be used; where relevant, the use situation should be described (</w:t>
            </w:r>
            <w:r w:rsidRPr="00A34F10">
              <w:rPr>
                <w:i/>
                <w:szCs w:val="16"/>
              </w:rPr>
              <w:t>e.g.</w:t>
            </w:r>
            <w:r w:rsidRPr="00A34F10">
              <w:rPr>
                <w:szCs w:val="16"/>
              </w:rPr>
              <w:t xml:space="preserve"> fumigation of a structure)</w:t>
            </w:r>
          </w:p>
          <w:p w14:paraId="7834F6BD" w14:textId="77777777" w:rsidR="00720E1C" w:rsidRPr="00A34F10" w:rsidRDefault="00720E1C" w:rsidP="000E0A09">
            <w:pPr>
              <w:pStyle w:val="TableText8pt"/>
              <w:spacing w:before="0" w:after="0"/>
              <w:ind w:left="328" w:hanging="328"/>
              <w:jc w:val="left"/>
              <w:rPr>
                <w:szCs w:val="16"/>
              </w:rPr>
            </w:pPr>
            <w:r w:rsidRPr="00A34F10">
              <w:rPr>
                <w:szCs w:val="16"/>
              </w:rPr>
              <w:t>(4)</w:t>
            </w:r>
            <w:r w:rsidRPr="00A34F10">
              <w:rPr>
                <w:szCs w:val="16"/>
              </w:rPr>
              <w:tab/>
              <w:t xml:space="preserve">F: professional field use, Fn: non-professional field use, Fpn: professional and non-professional field use, G: professional greenhouse use, Gn: non-professional greenhouse use, Gpn: professional and non-professional greenhouse use, I: indoor application </w:t>
            </w:r>
          </w:p>
          <w:p w14:paraId="22EAB450" w14:textId="77777777" w:rsidR="00720E1C" w:rsidRPr="00A34F10" w:rsidRDefault="00720E1C" w:rsidP="000E0A09">
            <w:pPr>
              <w:pStyle w:val="TableText8pt"/>
              <w:spacing w:before="0" w:after="0"/>
              <w:ind w:left="328" w:hanging="328"/>
              <w:jc w:val="left"/>
              <w:rPr>
                <w:szCs w:val="16"/>
              </w:rPr>
            </w:pPr>
            <w:bookmarkStart w:id="22" w:name="OLE_LINK3"/>
            <w:bookmarkStart w:id="23" w:name="OLE_LINK4"/>
            <w:r w:rsidRPr="00A34F10">
              <w:rPr>
                <w:szCs w:val="16"/>
              </w:rPr>
              <w:t>(5)</w:t>
            </w:r>
            <w:r w:rsidRPr="00A34F10">
              <w:rPr>
                <w:szCs w:val="16"/>
              </w:rPr>
              <w:tab/>
            </w:r>
            <w:bookmarkEnd w:id="22"/>
            <w:bookmarkEnd w:id="23"/>
            <w:r w:rsidRPr="00A34F10">
              <w:rPr>
                <w:szCs w:val="16"/>
              </w:rPr>
              <w:t xml:space="preserve">Scientific names </w:t>
            </w:r>
            <w:r w:rsidRPr="00A34F10">
              <w:rPr>
                <w:szCs w:val="16"/>
                <w:u w:val="single"/>
              </w:rPr>
              <w:t>and</w:t>
            </w:r>
            <w:r w:rsidRPr="00A34F10">
              <w:rPr>
                <w:szCs w:val="16"/>
              </w:rPr>
              <w:t xml:space="preserve">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21141A16" w14:textId="77777777" w:rsidR="00720E1C" w:rsidRPr="00A34F10" w:rsidRDefault="00720E1C" w:rsidP="000E0A09">
            <w:pPr>
              <w:pStyle w:val="TableText8pt"/>
              <w:spacing w:before="0" w:after="0"/>
              <w:ind w:left="328" w:hanging="328"/>
              <w:jc w:val="left"/>
              <w:rPr>
                <w:szCs w:val="16"/>
              </w:rPr>
            </w:pPr>
            <w:r w:rsidRPr="00A34F10">
              <w:rPr>
                <w:szCs w:val="16"/>
              </w:rPr>
              <w:t>(6)</w:t>
            </w:r>
            <w:r w:rsidRPr="00A34F10">
              <w:rPr>
                <w:szCs w:val="16"/>
              </w:rPr>
              <w:tab/>
              <w:t>Method, e.g. high volume spraying, low volume spraying, spreading, dusting, drench</w:t>
            </w:r>
          </w:p>
          <w:p w14:paraId="1B397A3D" w14:textId="77777777" w:rsidR="00720E1C" w:rsidRPr="00A34F10" w:rsidRDefault="00720E1C" w:rsidP="000E0A09">
            <w:pPr>
              <w:pStyle w:val="TableText8pt"/>
              <w:spacing w:before="0" w:after="0"/>
              <w:ind w:left="315" w:hanging="315"/>
              <w:jc w:val="left"/>
              <w:rPr>
                <w:szCs w:val="16"/>
              </w:rPr>
            </w:pPr>
            <w:r w:rsidRPr="00A34F10">
              <w:rPr>
                <w:szCs w:val="16"/>
              </w:rPr>
              <w:tab/>
              <w:t>Kind, e.g. overall, broadcast, aerial spraying, row, individual plant, between the plants - type of equipment used must be indicated</w:t>
            </w:r>
          </w:p>
          <w:p w14:paraId="07132B23" w14:textId="77777777" w:rsidR="00720E1C" w:rsidRPr="00A34F10" w:rsidRDefault="00720E1C" w:rsidP="000E0A09">
            <w:pPr>
              <w:pStyle w:val="TableText8pt"/>
              <w:spacing w:before="0" w:after="0"/>
              <w:ind w:left="315" w:hanging="315"/>
              <w:jc w:val="left"/>
            </w:pPr>
          </w:p>
        </w:tc>
        <w:tc>
          <w:tcPr>
            <w:tcW w:w="284" w:type="dxa"/>
            <w:tcBorders>
              <w:bottom w:val="nil"/>
            </w:tcBorders>
          </w:tcPr>
          <w:p w14:paraId="056AA14E" w14:textId="77777777" w:rsidR="00720E1C" w:rsidRPr="00A34F10" w:rsidRDefault="00720E1C" w:rsidP="000E0A09">
            <w:pPr>
              <w:pStyle w:val="TableText8pt"/>
              <w:spacing w:before="0" w:after="0"/>
              <w:jc w:val="left"/>
            </w:pPr>
          </w:p>
        </w:tc>
        <w:tc>
          <w:tcPr>
            <w:tcW w:w="6946" w:type="dxa"/>
            <w:tcBorders>
              <w:bottom w:val="nil"/>
            </w:tcBorders>
          </w:tcPr>
          <w:p w14:paraId="66BADAAA" w14:textId="77777777" w:rsidR="00720E1C" w:rsidRPr="00A34F10" w:rsidRDefault="00720E1C" w:rsidP="000E0A09">
            <w:pPr>
              <w:pStyle w:val="TableText8pt"/>
              <w:spacing w:before="0" w:after="0"/>
              <w:ind w:left="315" w:hanging="315"/>
              <w:jc w:val="left"/>
            </w:pPr>
            <w:r w:rsidRPr="00A34F10">
              <w:t>(7)</w:t>
            </w:r>
            <w:r w:rsidRPr="00A34F10">
              <w:tab/>
              <w:t>Growth stage at first and last treatment (BBCH Monograph, Growth Stages of Plants, 1997, Blackwell, ISBN 3</w:t>
            </w:r>
            <w:r w:rsidRPr="00A34F10">
              <w:noBreakHyphen/>
              <w:t xml:space="preserve">8263-3152-4), including where relevant, information on season at time of application </w:t>
            </w:r>
          </w:p>
          <w:p w14:paraId="2963A7D7" w14:textId="77777777" w:rsidR="00720E1C" w:rsidRPr="00A34F10" w:rsidRDefault="00720E1C" w:rsidP="000E0A09">
            <w:pPr>
              <w:pStyle w:val="TableText8pt"/>
              <w:spacing w:before="0" w:after="0"/>
              <w:ind w:left="315" w:hanging="315"/>
              <w:jc w:val="left"/>
            </w:pPr>
            <w:r w:rsidRPr="00A34F10">
              <w:t>(8)</w:t>
            </w:r>
            <w:r w:rsidRPr="00A34F10">
              <w:tab/>
              <w:t>The maximum number of application possible under practical conditions of use must be provided</w:t>
            </w:r>
          </w:p>
          <w:p w14:paraId="6F2AB526" w14:textId="77777777" w:rsidR="00720E1C" w:rsidRPr="00A34F10" w:rsidRDefault="00720E1C" w:rsidP="000E0A09">
            <w:pPr>
              <w:pStyle w:val="TableText8pt"/>
              <w:spacing w:before="0" w:after="0"/>
              <w:ind w:left="315" w:hanging="315"/>
              <w:jc w:val="left"/>
            </w:pPr>
            <w:r w:rsidRPr="00A34F10">
              <w:t>(9)</w:t>
            </w:r>
            <w:r w:rsidRPr="00A34F10">
              <w:tab/>
              <w:t>Minimum interval (in days) between applications of the same product.</w:t>
            </w:r>
          </w:p>
          <w:p w14:paraId="54746F09" w14:textId="77777777" w:rsidR="00720E1C" w:rsidRPr="00A34F10" w:rsidRDefault="00720E1C" w:rsidP="000E0A09">
            <w:pPr>
              <w:pStyle w:val="TableText8pt"/>
              <w:spacing w:before="0" w:after="0"/>
              <w:ind w:left="315" w:hanging="315"/>
              <w:jc w:val="left"/>
            </w:pPr>
            <w:r w:rsidRPr="00A34F10">
              <w:t>(10)</w:t>
            </w:r>
            <w:r w:rsidRPr="00A34F10">
              <w:tab/>
              <w:t>For specific uses other specifications might be possible, e.g.: g/m³ in case of fumigation of empty rooms. See also EPPO-Guideline PP 1/239 Dose expression for plant protection products</w:t>
            </w:r>
          </w:p>
          <w:p w14:paraId="11D48C68" w14:textId="77777777" w:rsidR="00720E1C" w:rsidRPr="00A34F10" w:rsidRDefault="00720E1C" w:rsidP="000E0A09">
            <w:pPr>
              <w:pStyle w:val="TableText8pt"/>
              <w:spacing w:before="0" w:after="0"/>
              <w:ind w:left="315" w:hanging="315"/>
              <w:jc w:val="left"/>
            </w:pPr>
            <w:r w:rsidRPr="00A34F10">
              <w:t>(11)</w:t>
            </w:r>
            <w:r w:rsidRPr="00A34F10">
              <w:tab/>
              <w:t>The dimension (g, kg) must be clearly specified. (Maximum) dose of a.s. per treatment (usually g, kg or L product / ha).</w:t>
            </w:r>
          </w:p>
          <w:p w14:paraId="221B26FC" w14:textId="77777777" w:rsidR="00720E1C" w:rsidRPr="00A34F10" w:rsidRDefault="00720E1C" w:rsidP="000E0A09">
            <w:pPr>
              <w:pStyle w:val="TableText8pt"/>
              <w:spacing w:before="0" w:after="0"/>
              <w:ind w:left="315" w:hanging="315"/>
              <w:jc w:val="left"/>
            </w:pPr>
            <w:r w:rsidRPr="00A34F10">
              <w:t>(12)</w:t>
            </w:r>
            <w:r w:rsidRPr="00A34F10">
              <w:tab/>
              <w:t>If water volume range depends on application equipments (e.g. ULVA or LVA) it should be mentioned under “application: method/kind”.</w:t>
            </w:r>
          </w:p>
          <w:p w14:paraId="06B343AD" w14:textId="77777777" w:rsidR="00720E1C" w:rsidRPr="00A34F10" w:rsidRDefault="00720E1C" w:rsidP="000E0A09">
            <w:pPr>
              <w:pStyle w:val="TableText8pt"/>
              <w:spacing w:before="0" w:after="0"/>
              <w:ind w:left="315" w:hanging="315"/>
              <w:jc w:val="left"/>
            </w:pPr>
            <w:r w:rsidRPr="00A34F10">
              <w:t>(13)</w:t>
            </w:r>
            <w:r w:rsidRPr="00A34F10">
              <w:tab/>
              <w:t>PHI - minimum pre-harvest interval</w:t>
            </w:r>
          </w:p>
          <w:p w14:paraId="26380B2E" w14:textId="77777777" w:rsidR="00720E1C" w:rsidRPr="00A34F10" w:rsidRDefault="00720E1C" w:rsidP="000E0A09">
            <w:pPr>
              <w:pStyle w:val="TableText8pt"/>
              <w:spacing w:before="0" w:after="0"/>
              <w:ind w:left="315" w:hanging="315"/>
              <w:jc w:val="left"/>
            </w:pPr>
            <w:r w:rsidRPr="00A34F10">
              <w:t>(14)</w:t>
            </w:r>
            <w:r w:rsidRPr="00A34F10">
              <w:tab/>
              <w:t>Remarks may include: Extent of use/economic importance/restrictions</w:t>
            </w:r>
          </w:p>
        </w:tc>
      </w:tr>
    </w:tbl>
    <w:p w14:paraId="762EA111" w14:textId="77777777" w:rsidR="00720E1C" w:rsidRPr="00A34F10" w:rsidRDefault="00720E1C" w:rsidP="00720E1C">
      <w:pPr>
        <w:rPr>
          <w:color w:val="000000"/>
          <w:lang w:val="en-GB"/>
        </w:rPr>
      </w:pPr>
    </w:p>
    <w:p w14:paraId="75E5EDF4" w14:textId="77777777" w:rsidR="00720E1C" w:rsidRPr="00A34F10" w:rsidRDefault="00720E1C" w:rsidP="00AA32CE">
      <w:pPr>
        <w:pStyle w:val="RepStandard"/>
      </w:pPr>
    </w:p>
    <w:p w14:paraId="10E68F52" w14:textId="77777777" w:rsidR="00720E1C" w:rsidRPr="00A34F10" w:rsidRDefault="00720E1C" w:rsidP="00720E1C">
      <w:pPr>
        <w:pStyle w:val="RepStandard"/>
        <w:sectPr w:rsidR="00720E1C" w:rsidRPr="00A34F10" w:rsidSect="00D20BDB">
          <w:pgSz w:w="16838" w:h="11906" w:orient="landscape"/>
          <w:pgMar w:top="1418" w:right="1134" w:bottom="1134" w:left="1134" w:header="709" w:footer="709" w:gutter="0"/>
          <w:pgNumType w:chapSep="period"/>
          <w:cols w:space="708"/>
          <w:docGrid w:linePitch="360"/>
        </w:sectPr>
      </w:pPr>
    </w:p>
    <w:p w14:paraId="781502FE" w14:textId="77777777" w:rsidR="00D526BE" w:rsidRPr="00A34F10" w:rsidRDefault="00D526BE" w:rsidP="00AA32CE">
      <w:pPr>
        <w:pStyle w:val="Nagwek3"/>
        <w:rPr>
          <w:rFonts w:cs="Times New Roman"/>
        </w:rPr>
      </w:pPr>
      <w:bookmarkStart w:id="24" w:name="_Toc412643961"/>
      <w:bookmarkStart w:id="25" w:name="_Toc413916807"/>
      <w:bookmarkStart w:id="26" w:name="_Toc413916949"/>
      <w:bookmarkStart w:id="27" w:name="_Toc413922010"/>
      <w:bookmarkStart w:id="28" w:name="_Toc413922499"/>
      <w:bookmarkStart w:id="29" w:name="_Toc413922603"/>
      <w:bookmarkStart w:id="30" w:name="_Toc414955240"/>
      <w:bookmarkStart w:id="31" w:name="_Toc415214547"/>
      <w:bookmarkStart w:id="32" w:name="_Toc181624935"/>
      <w:r w:rsidRPr="00A34F10">
        <w:rPr>
          <w:rFonts w:cs="Times New Roman"/>
        </w:rPr>
        <w:lastRenderedPageBreak/>
        <w:t>Overall conclusions</w:t>
      </w:r>
      <w:bookmarkEnd w:id="24"/>
      <w:bookmarkEnd w:id="25"/>
      <w:bookmarkEnd w:id="26"/>
      <w:bookmarkEnd w:id="27"/>
      <w:bookmarkEnd w:id="28"/>
      <w:bookmarkEnd w:id="29"/>
      <w:bookmarkEnd w:id="30"/>
      <w:bookmarkEnd w:id="31"/>
      <w:bookmarkEnd w:id="32"/>
    </w:p>
    <w:p w14:paraId="7ADD5F9E" w14:textId="77777777" w:rsidR="00D526BE" w:rsidRPr="00A34F10" w:rsidRDefault="002A31C0" w:rsidP="00AA32CE">
      <w:pPr>
        <w:pStyle w:val="Nagwek4"/>
        <w:rPr>
          <w:lang w:val="en-GB"/>
        </w:rPr>
      </w:pPr>
      <w:bookmarkStart w:id="33" w:name="_Toc412643962"/>
      <w:bookmarkStart w:id="34" w:name="_Toc413916808"/>
      <w:bookmarkStart w:id="35" w:name="_Toc413916950"/>
      <w:bookmarkStart w:id="36" w:name="_Toc413922011"/>
      <w:bookmarkStart w:id="37" w:name="_Toc413922500"/>
      <w:bookmarkStart w:id="38" w:name="_Toc413922604"/>
      <w:bookmarkStart w:id="39" w:name="_Toc414955241"/>
      <w:bookmarkStart w:id="40" w:name="_Toc415214548"/>
      <w:bookmarkStart w:id="41" w:name="_Toc181624936"/>
      <w:r w:rsidRPr="00A34F10">
        <w:rPr>
          <w:lang w:val="en-GB"/>
        </w:rPr>
        <w:t>Effects on birds (KCP 10.1.1)</w:t>
      </w:r>
      <w:r w:rsidR="00D526BE" w:rsidRPr="00A34F10">
        <w:rPr>
          <w:lang w:val="en-GB"/>
        </w:rPr>
        <w:t xml:space="preserve">, </w:t>
      </w:r>
      <w:r w:rsidRPr="00A34F10">
        <w:rPr>
          <w:lang w:val="en-GB"/>
        </w:rPr>
        <w:t>Effects on terrestrial vertebrates other than birds (KCP 10.1.2)</w:t>
      </w:r>
      <w:r w:rsidR="00D526BE" w:rsidRPr="00A34F10">
        <w:rPr>
          <w:lang w:val="en-GB"/>
        </w:rPr>
        <w:t xml:space="preserve">, </w:t>
      </w:r>
      <w:r w:rsidRPr="00A34F10">
        <w:rPr>
          <w:lang w:val="en-GB"/>
        </w:rPr>
        <w:t>Effects on other terrestrial vertebrate wildlife (reptiles and amphibians) (KCP 10.1.3)</w:t>
      </w:r>
      <w:bookmarkEnd w:id="33"/>
      <w:bookmarkEnd w:id="34"/>
      <w:bookmarkEnd w:id="35"/>
      <w:bookmarkEnd w:id="36"/>
      <w:bookmarkEnd w:id="37"/>
      <w:bookmarkEnd w:id="38"/>
      <w:bookmarkEnd w:id="39"/>
      <w:bookmarkEnd w:id="40"/>
      <w:bookmarkEnd w:id="41"/>
    </w:p>
    <w:p w14:paraId="2F45AAA5" w14:textId="77777777" w:rsidR="00F25F77" w:rsidRPr="00A34F10" w:rsidRDefault="002A31C0" w:rsidP="000A09FB">
      <w:pPr>
        <w:pStyle w:val="Nagwek5"/>
      </w:pPr>
      <w:r w:rsidRPr="00A34F10">
        <w:t>Effects on birds (KCP 10.1.1)</w:t>
      </w:r>
    </w:p>
    <w:p w14:paraId="1B1A0AC2" w14:textId="77777777" w:rsidR="00433FD5" w:rsidRPr="00A34F10" w:rsidRDefault="00433FD5" w:rsidP="00433FD5">
      <w:pPr>
        <w:pStyle w:val="OECD-BASIS-TEXT"/>
        <w:widowControl w:val="0"/>
        <w:rPr>
          <w:i/>
          <w:color w:val="auto"/>
          <w:sz w:val="22"/>
          <w:lang w:val="en-US"/>
        </w:rPr>
      </w:pPr>
      <w:r w:rsidRPr="00A34F10">
        <w:rPr>
          <w:i/>
          <w:color w:val="auto"/>
          <w:sz w:val="22"/>
          <w:lang w:val="en-US"/>
        </w:rPr>
        <w:t>Dietary risk assessment</w:t>
      </w:r>
    </w:p>
    <w:p w14:paraId="511B8805" w14:textId="77777777" w:rsidR="00433FD5" w:rsidRPr="00A34F10" w:rsidRDefault="00433FD5" w:rsidP="00433FD5">
      <w:pPr>
        <w:widowControl w:val="0"/>
        <w:jc w:val="both"/>
        <w:rPr>
          <w:bCs/>
        </w:rPr>
      </w:pPr>
      <w:r w:rsidRPr="00A34F10">
        <w:rPr>
          <w:bCs/>
        </w:rPr>
        <w:t>In the screening step risk assessment, all TER</w:t>
      </w:r>
      <w:r w:rsidRPr="00A34F10">
        <w:rPr>
          <w:bCs/>
          <w:vertAlign w:val="subscript"/>
        </w:rPr>
        <w:t>A</w:t>
      </w:r>
      <w:r w:rsidRPr="00A34F10">
        <w:rPr>
          <w:bCs/>
        </w:rPr>
        <w:t xml:space="preserve"> values and all TER</w:t>
      </w:r>
      <w:r w:rsidRPr="00A34F10">
        <w:rPr>
          <w:bCs/>
          <w:caps/>
          <w:vertAlign w:val="subscript"/>
        </w:rPr>
        <w:t>lt</w:t>
      </w:r>
      <w:r w:rsidRPr="00A34F10">
        <w:rPr>
          <w:bCs/>
        </w:rPr>
        <w:t xml:space="preserve"> values for Ametoctradin exceed the trigger set by </w:t>
      </w:r>
      <w:r w:rsidRPr="00A34F10">
        <w:t>Commission Regulation (EU) 546/2011</w:t>
      </w:r>
      <w:r w:rsidRPr="00A34F10">
        <w:rPr>
          <w:bCs/>
        </w:rPr>
        <w:t xml:space="preserve"> for acceptability of effects. For the active substance Propamocarb-HCl and the formulation BAS 743 03 F acceptable dietary acute and long-term risk for birds is indicated at Tier 1 level except for the use in fruiting vegetables where an acceptable long-term risk was demonstrated at higher tier level</w:t>
      </w:r>
      <w:r w:rsidRPr="00A34F10">
        <w:t xml:space="preserve"> </w:t>
      </w:r>
      <w:r w:rsidRPr="00A34F10">
        <w:rPr>
          <w:bCs/>
        </w:rPr>
        <w:t>including considerations of combined exposure.</w:t>
      </w:r>
    </w:p>
    <w:p w14:paraId="283E15F6" w14:textId="77777777" w:rsidR="00433FD5" w:rsidRPr="00A34F10" w:rsidRDefault="00433FD5" w:rsidP="00433FD5">
      <w:pPr>
        <w:widowControl w:val="0"/>
        <w:jc w:val="both"/>
        <w:rPr>
          <w:bCs/>
        </w:rPr>
      </w:pPr>
    </w:p>
    <w:p w14:paraId="70DD58A7" w14:textId="77777777" w:rsidR="00433FD5" w:rsidRPr="00A34F10" w:rsidRDefault="00433FD5" w:rsidP="00433FD5">
      <w:pPr>
        <w:widowControl w:val="0"/>
        <w:autoSpaceDE w:val="0"/>
        <w:autoSpaceDN w:val="0"/>
        <w:adjustRightInd w:val="0"/>
        <w:jc w:val="both"/>
        <w:rPr>
          <w:i/>
        </w:rPr>
      </w:pPr>
      <w:r w:rsidRPr="00A34F10">
        <w:rPr>
          <w:i/>
        </w:rPr>
        <w:t>Drinking water risk assessment</w:t>
      </w:r>
    </w:p>
    <w:p w14:paraId="769EFA26" w14:textId="6C9475DB" w:rsidR="005D5C61" w:rsidRPr="00A34F10" w:rsidRDefault="00433FD5" w:rsidP="005D5C61">
      <w:pPr>
        <w:pStyle w:val="RepStandard"/>
      </w:pPr>
      <w:r w:rsidRPr="00A34F10">
        <w:t xml:space="preserve">Following </w:t>
      </w:r>
      <w:r w:rsidRPr="00A34F10">
        <w:rPr>
          <w:rFonts w:eastAsia="Batang"/>
          <w:lang w:eastAsia="zh-CN"/>
        </w:rPr>
        <w:t>EFSA</w:t>
      </w:r>
      <w:r w:rsidRPr="00A34F10">
        <w:t xml:space="preserve">/2009/1438, the puddle scenario </w:t>
      </w:r>
      <w:r w:rsidR="00B611E2">
        <w:t>is</w:t>
      </w:r>
      <w:r w:rsidRPr="00A34F10">
        <w:t xml:space="preserve"> considered relevant for the proposed use pattern. Since the ratios of the effective application rates to the relevant toxicity endpoints are below the relevant trigger values for both </w:t>
      </w:r>
      <w:r w:rsidRPr="00A34F10">
        <w:rPr>
          <w:bCs/>
        </w:rPr>
        <w:t>Ametoctradin and Propamocarb-HCl</w:t>
      </w:r>
      <w:r w:rsidRPr="00A34F10">
        <w:t xml:space="preserve">, a quantitative risk assessment for the proposed use pattern of BAS 743 03 F is not necessary for the puddle scenario. </w:t>
      </w:r>
      <w:r w:rsidR="005D5C61" w:rsidRPr="005D5C61">
        <w:t xml:space="preserve">In conclusion the proposed use pattern of BAS 743 03 F does not pose a risk to </w:t>
      </w:r>
      <w:r w:rsidR="005D5C61">
        <w:t>birds</w:t>
      </w:r>
      <w:r w:rsidR="005D5C61" w:rsidRPr="005D5C61">
        <w:t xml:space="preserve"> via up-take of contaminated drinking water.</w:t>
      </w:r>
    </w:p>
    <w:p w14:paraId="47D7496F" w14:textId="77777777" w:rsidR="00433FD5" w:rsidRPr="00A34F10" w:rsidRDefault="00433FD5" w:rsidP="00433FD5">
      <w:pPr>
        <w:widowControl w:val="0"/>
        <w:autoSpaceDE w:val="0"/>
        <w:autoSpaceDN w:val="0"/>
        <w:adjustRightInd w:val="0"/>
        <w:jc w:val="both"/>
      </w:pPr>
    </w:p>
    <w:p w14:paraId="2928F46D" w14:textId="77777777" w:rsidR="00433FD5" w:rsidRPr="00A34F10" w:rsidRDefault="00433FD5" w:rsidP="00433FD5">
      <w:pPr>
        <w:widowControl w:val="0"/>
        <w:jc w:val="both"/>
        <w:rPr>
          <w:bCs/>
          <w:i/>
        </w:rPr>
      </w:pPr>
      <w:r w:rsidRPr="00A34F10">
        <w:rPr>
          <w:bCs/>
          <w:i/>
        </w:rPr>
        <w:t>Secondary poisoning and biomagnification</w:t>
      </w:r>
    </w:p>
    <w:p w14:paraId="2335CFEB" w14:textId="77777777" w:rsidR="00433FD5" w:rsidRPr="00A34F10" w:rsidRDefault="00433FD5" w:rsidP="00433FD5">
      <w:pPr>
        <w:widowControl w:val="0"/>
        <w:jc w:val="both"/>
      </w:pPr>
      <w:bookmarkStart w:id="42" w:name="_Hlk42602537"/>
      <w:r w:rsidRPr="00A34F10">
        <w:rPr>
          <w:lang w:val="en-GB"/>
        </w:rPr>
        <w:t>The log P</w:t>
      </w:r>
      <w:r w:rsidRPr="00A34F10">
        <w:rPr>
          <w:vertAlign w:val="subscript"/>
          <w:lang w:val="en-GB"/>
        </w:rPr>
        <w:t>ow</w:t>
      </w:r>
      <w:r w:rsidRPr="00A34F10">
        <w:rPr>
          <w:lang w:val="en-GB"/>
        </w:rPr>
        <w:t xml:space="preserve"> of Propamocarb-HCl does not exceed the trigger value of 3. </w:t>
      </w:r>
      <w:r w:rsidRPr="00A34F10">
        <w:rPr>
          <w:bCs/>
        </w:rPr>
        <w:t xml:space="preserve">However, </w:t>
      </w:r>
      <w:bookmarkEnd w:id="42"/>
      <w:r w:rsidRPr="00A34F10">
        <w:t>the log P</w:t>
      </w:r>
      <w:r w:rsidRPr="00A34F10">
        <w:rPr>
          <w:vertAlign w:val="subscript"/>
        </w:rPr>
        <w:t>ow</w:t>
      </w:r>
      <w:r w:rsidRPr="00A34F10">
        <w:t xml:space="preserve"> of the active substance Ametoctradin was determined to be 4.4, which triggers an assessment of the potential risk from secondary poisoning. According to the tier 1 risk assessment for earthworm- and fish-eating birds, the TER values for Ametoctradin are above the trigger value of 5, indicating an acceptable risk. The potential for bioaccumulation of </w:t>
      </w:r>
      <w:r w:rsidRPr="00A34F10">
        <w:rPr>
          <w:bCs/>
        </w:rPr>
        <w:t xml:space="preserve">Ametoctradin and Propamocarb-HCl </w:t>
      </w:r>
      <w:r w:rsidRPr="00A34F10">
        <w:t>was considered as low in the respective EU reviews and therefore further evaluation on biomagnification is not necessary.</w:t>
      </w:r>
    </w:p>
    <w:p w14:paraId="62762770" w14:textId="77777777" w:rsidR="00433FD5" w:rsidRPr="00A34F10" w:rsidRDefault="00433FD5" w:rsidP="00433FD5">
      <w:pPr>
        <w:widowControl w:val="0"/>
        <w:autoSpaceDE w:val="0"/>
        <w:autoSpaceDN w:val="0"/>
        <w:adjustRightInd w:val="0"/>
        <w:jc w:val="both"/>
        <w:rPr>
          <w:highlight w:val="yellow"/>
        </w:rPr>
      </w:pPr>
    </w:p>
    <w:p w14:paraId="69D3CEF3" w14:textId="77777777" w:rsidR="00433FD5" w:rsidRPr="00A34F10" w:rsidRDefault="00433FD5" w:rsidP="00433FD5">
      <w:pPr>
        <w:pStyle w:val="OECD-BASIS-TEXT"/>
        <w:widowControl w:val="0"/>
        <w:rPr>
          <w:rFonts w:eastAsia="SimSun"/>
          <w:b/>
          <w:i/>
          <w:color w:val="auto"/>
          <w:sz w:val="22"/>
          <w:lang w:val="en-US" w:eastAsia="zh-CN"/>
        </w:rPr>
      </w:pPr>
      <w:r w:rsidRPr="00A34F10">
        <w:rPr>
          <w:rFonts w:eastAsia="SimSun"/>
          <w:b/>
          <w:i/>
          <w:color w:val="auto"/>
          <w:sz w:val="22"/>
          <w:lang w:val="en-US" w:eastAsia="zh-CN"/>
        </w:rPr>
        <w:t>Overall conclusion</w:t>
      </w:r>
    </w:p>
    <w:p w14:paraId="1EB04560" w14:textId="1885A6A6" w:rsidR="00E122F3" w:rsidRPr="00A34F10" w:rsidRDefault="00433FD5" w:rsidP="00433FD5">
      <w:pPr>
        <w:pStyle w:val="RepStandard"/>
        <w:rPr>
          <w:b/>
          <w:bCs/>
          <w:szCs w:val="24"/>
        </w:rPr>
      </w:pPr>
      <w:r w:rsidRPr="00A34F10">
        <w:rPr>
          <w:b/>
          <w:bCs/>
          <w:szCs w:val="24"/>
        </w:rPr>
        <w:t>It can be concluded that the risk to birds from the application of BAS 743 03 F according to good agricultural practice is acceptable.</w:t>
      </w:r>
    </w:p>
    <w:p w14:paraId="74328C3F" w14:textId="77777777" w:rsidR="00CE08CB" w:rsidRPr="00A34F10" w:rsidRDefault="002A31C0" w:rsidP="000A09FB">
      <w:pPr>
        <w:pStyle w:val="Nagwek5"/>
        <w:rPr>
          <w:lang w:val="en-US"/>
        </w:rPr>
      </w:pPr>
      <w:r w:rsidRPr="00A34F10">
        <w:rPr>
          <w:lang w:val="en-US"/>
        </w:rPr>
        <w:t>Effects on terrestrial vertebrates other than birds (KCP 10.1.2)</w:t>
      </w:r>
    </w:p>
    <w:p w14:paraId="0ABA8DF1" w14:textId="77777777" w:rsidR="00DF188E" w:rsidRPr="00A34F10" w:rsidRDefault="00DF188E" w:rsidP="00DF188E">
      <w:pPr>
        <w:pStyle w:val="OECD-BASIS-TEXT"/>
        <w:widowControl w:val="0"/>
        <w:rPr>
          <w:i/>
          <w:color w:val="auto"/>
          <w:sz w:val="22"/>
          <w:lang w:val="en-US"/>
        </w:rPr>
      </w:pPr>
      <w:r w:rsidRPr="00A34F10">
        <w:rPr>
          <w:i/>
          <w:color w:val="auto"/>
          <w:sz w:val="22"/>
          <w:lang w:val="en-US"/>
        </w:rPr>
        <w:t>Dietary risk assessment</w:t>
      </w:r>
    </w:p>
    <w:p w14:paraId="31E41172" w14:textId="77777777" w:rsidR="00DF188E" w:rsidRPr="003D60B4" w:rsidRDefault="00DF188E" w:rsidP="00DF188E">
      <w:pPr>
        <w:widowControl w:val="0"/>
        <w:jc w:val="both"/>
        <w:rPr>
          <w:bCs/>
          <w:strike/>
          <w:color w:val="D9D9D9" w:themeColor="background1" w:themeShade="D9"/>
        </w:rPr>
      </w:pPr>
      <w:r w:rsidRPr="00A34F10">
        <w:rPr>
          <w:bCs/>
        </w:rPr>
        <w:t>In the screening step risk assessment, all TER</w:t>
      </w:r>
      <w:r w:rsidRPr="00A34F10">
        <w:rPr>
          <w:bCs/>
          <w:vertAlign w:val="subscript"/>
        </w:rPr>
        <w:t>A</w:t>
      </w:r>
      <w:r w:rsidRPr="00A34F10">
        <w:rPr>
          <w:bCs/>
        </w:rPr>
        <w:t xml:space="preserve"> values and all TER</w:t>
      </w:r>
      <w:r w:rsidRPr="00A34F10">
        <w:rPr>
          <w:bCs/>
          <w:caps/>
          <w:vertAlign w:val="subscript"/>
        </w:rPr>
        <w:t>lt</w:t>
      </w:r>
      <w:r w:rsidRPr="00A34F10">
        <w:rPr>
          <w:bCs/>
        </w:rPr>
        <w:t xml:space="preserve"> values for Ametoctradin exceed the trigger set by </w:t>
      </w:r>
      <w:r w:rsidRPr="00A34F10">
        <w:t>Commission Regulation (EU) 546/2011</w:t>
      </w:r>
      <w:r w:rsidRPr="00A34F10">
        <w:rPr>
          <w:bCs/>
        </w:rPr>
        <w:t xml:space="preserve"> for acceptability of effects. </w:t>
      </w:r>
      <w:r w:rsidRPr="003D60B4">
        <w:rPr>
          <w:bCs/>
          <w:strike/>
          <w:color w:val="D9D9D9" w:themeColor="background1" w:themeShade="D9"/>
        </w:rPr>
        <w:t>For the active substance Propamocarb-HCl, an acceptable dietary acute risk for mammals is indicated at Tier 1 level while an acceptable dietary long-term risk for Propamocarb-HCl is indicated at higher-tier level. For the formulation BAS 743 03 F an acceptable dietary acute risk for mammals is indicated at higher tier level</w:t>
      </w:r>
      <w:r w:rsidRPr="003D60B4">
        <w:rPr>
          <w:strike/>
          <w:color w:val="D9D9D9" w:themeColor="background1" w:themeShade="D9"/>
        </w:rPr>
        <w:t xml:space="preserve"> </w:t>
      </w:r>
      <w:r w:rsidRPr="003D60B4">
        <w:rPr>
          <w:bCs/>
          <w:strike/>
          <w:color w:val="D9D9D9" w:themeColor="background1" w:themeShade="D9"/>
        </w:rPr>
        <w:t xml:space="preserve">including considerations of combined exposure. </w:t>
      </w:r>
    </w:p>
    <w:p w14:paraId="066B4DF1" w14:textId="1CA7C084" w:rsidR="003D60B4" w:rsidRPr="00FD6309" w:rsidRDefault="003D60B4" w:rsidP="003D60B4">
      <w:pPr>
        <w:widowControl w:val="0"/>
        <w:shd w:val="clear" w:color="auto" w:fill="D9D9D9" w:themeFill="background1" w:themeFillShade="D9"/>
        <w:suppressAutoHyphens/>
        <w:spacing w:after="120"/>
        <w:jc w:val="both"/>
      </w:pPr>
      <w:r w:rsidRPr="00FD6309">
        <w:t>All acute TER values exceed the relevant triggers i</w:t>
      </w:r>
      <w:r w:rsidRPr="00FD6309">
        <w:rPr>
          <w:lang w:val="en-GB"/>
        </w:rPr>
        <w:t xml:space="preserve">n the </w:t>
      </w:r>
      <w:r w:rsidRPr="00FD6309">
        <w:t>T</w:t>
      </w:r>
      <w:r w:rsidRPr="00FD6309">
        <w:rPr>
          <w:lang w:val="en-GB"/>
        </w:rPr>
        <w:t>ier 1 risk assessment</w:t>
      </w:r>
      <w:r w:rsidRPr="00FD6309">
        <w:t xml:space="preserve"> </w:t>
      </w:r>
      <w:r w:rsidRPr="00FD6309">
        <w:rPr>
          <w:lang w:val="en-GB"/>
        </w:rPr>
        <w:t xml:space="preserve">for </w:t>
      </w:r>
      <w:r w:rsidRPr="00FD6309">
        <w:rPr>
          <w:iCs/>
          <w:lang w:val="en-GB"/>
        </w:rPr>
        <w:t>p</w:t>
      </w:r>
      <w:r w:rsidRPr="00FD6309">
        <w:rPr>
          <w:noProof/>
          <w:lang w:val="en-GB"/>
        </w:rPr>
        <w:t xml:space="preserve">ropamocarb-HCl </w:t>
      </w:r>
      <w:r w:rsidRPr="00FD6309">
        <w:rPr>
          <w:lang w:val="en-GB"/>
        </w:rPr>
        <w:t xml:space="preserve">except for </w:t>
      </w:r>
      <w:r w:rsidR="00A91C3B">
        <w:t>t</w:t>
      </w:r>
      <w:r w:rsidR="00A91C3B" w:rsidRPr="009F2B5C">
        <w:t xml:space="preserve">he </w:t>
      </w:r>
      <w:r w:rsidR="00A91C3B">
        <w:t>m</w:t>
      </w:r>
      <w:r w:rsidR="00A91C3B" w:rsidRPr="009F2B5C">
        <w:t xml:space="preserve">inor use </w:t>
      </w:r>
      <w:r w:rsidR="007F6946">
        <w:t xml:space="preserve">(surrogate crop: </w:t>
      </w:r>
      <w:r w:rsidRPr="00FD6309">
        <w:rPr>
          <w:shd w:val="clear" w:color="auto" w:fill="D9D9D9" w:themeFill="background1" w:themeFillShade="D9"/>
        </w:rPr>
        <w:t>orchards BBCH 10-19</w:t>
      </w:r>
      <w:r w:rsidR="007F6946">
        <w:rPr>
          <w:shd w:val="clear" w:color="auto" w:fill="D9D9D9" w:themeFill="background1" w:themeFillShade="D9"/>
        </w:rPr>
        <w:t>)</w:t>
      </w:r>
      <w:r w:rsidRPr="00FD6309">
        <w:rPr>
          <w:shd w:val="clear" w:color="auto" w:fill="D9D9D9" w:themeFill="background1" w:themeFillShade="D9"/>
        </w:rPr>
        <w:t>.</w:t>
      </w:r>
      <w:r w:rsidRPr="00FD6309">
        <w:rPr>
          <w:noProof/>
          <w:lang w:val="en-GB"/>
        </w:rPr>
        <w:t xml:space="preserve"> </w:t>
      </w:r>
    </w:p>
    <w:p w14:paraId="679D743B" w14:textId="0600485B" w:rsidR="00EF2630" w:rsidRPr="007E43E8" w:rsidRDefault="003D60B4" w:rsidP="00EF2630">
      <w:pPr>
        <w:widowControl w:val="0"/>
        <w:shd w:val="clear" w:color="auto" w:fill="D9D9D9" w:themeFill="background1" w:themeFillShade="D9"/>
        <w:suppressAutoHyphens/>
        <w:spacing w:after="120"/>
        <w:jc w:val="both"/>
        <w:rPr>
          <w:lang w:val="en-GB"/>
        </w:rPr>
      </w:pPr>
      <w:r w:rsidRPr="00FD6309">
        <w:t xml:space="preserve">Based on </w:t>
      </w:r>
      <w:r w:rsidRPr="00FD6309">
        <w:rPr>
          <w:iCs/>
          <w:lang w:val="en-GB"/>
        </w:rPr>
        <w:t>the higher tier chronic risk assessment for p</w:t>
      </w:r>
      <w:r w:rsidRPr="00FD6309">
        <w:rPr>
          <w:noProof/>
          <w:lang w:val="en-GB"/>
        </w:rPr>
        <w:t xml:space="preserve">ropamocarb-HCl, </w:t>
      </w:r>
      <w:r w:rsidRPr="00FD6309">
        <w:rPr>
          <w:iCs/>
        </w:rPr>
        <w:t xml:space="preserve">where </w:t>
      </w:r>
      <w:r w:rsidRPr="00FD6309">
        <w:rPr>
          <w:iCs/>
          <w:lang w:val="en-GB"/>
        </w:rPr>
        <w:t xml:space="preserve">the deposition factor and </w:t>
      </w:r>
      <w:r w:rsidRPr="006C550F">
        <w:rPr>
          <w:iCs/>
          <w:strike/>
          <w:color w:val="808080" w:themeColor="background1" w:themeShade="80"/>
          <w:shd w:val="clear" w:color="auto" w:fill="BDD6EE" w:themeFill="accent5" w:themeFillTint="66"/>
          <w:lang w:val="en-GB"/>
        </w:rPr>
        <w:t>DT</w:t>
      </w:r>
      <w:r w:rsidRPr="006C550F">
        <w:rPr>
          <w:iCs/>
          <w:strike/>
          <w:color w:val="808080" w:themeColor="background1" w:themeShade="80"/>
          <w:shd w:val="clear" w:color="auto" w:fill="BDD6EE" w:themeFill="accent5" w:themeFillTint="66"/>
          <w:vertAlign w:val="subscript"/>
          <w:lang w:val="en-GB"/>
        </w:rPr>
        <w:t>50</w:t>
      </w:r>
      <w:r w:rsidRPr="006C550F">
        <w:rPr>
          <w:iCs/>
          <w:strike/>
          <w:color w:val="808080" w:themeColor="background1" w:themeShade="80"/>
          <w:shd w:val="clear" w:color="auto" w:fill="BDD6EE" w:themeFill="accent5" w:themeFillTint="66"/>
        </w:rPr>
        <w:t xml:space="preserve"> in plants</w:t>
      </w:r>
      <w:r w:rsidRPr="006C550F">
        <w:rPr>
          <w:iCs/>
          <w:shd w:val="clear" w:color="auto" w:fill="BDD6EE" w:themeFill="accent5" w:themeFillTint="66"/>
        </w:rPr>
        <w:t xml:space="preserve"> </w:t>
      </w:r>
      <w:r w:rsidR="002D7715" w:rsidRPr="006C550F">
        <w:rPr>
          <w:iCs/>
          <w:shd w:val="clear" w:color="auto" w:fill="BDD6EE" w:themeFill="accent5" w:themeFillTint="66"/>
        </w:rPr>
        <w:t>PD for voles</w:t>
      </w:r>
      <w:r w:rsidR="002D7715">
        <w:rPr>
          <w:iCs/>
        </w:rPr>
        <w:t xml:space="preserve"> </w:t>
      </w:r>
      <w:r w:rsidRPr="00FD6309">
        <w:rPr>
          <w:iCs/>
        </w:rPr>
        <w:t xml:space="preserve">were modified, </w:t>
      </w:r>
      <w:r w:rsidRPr="00FD6309">
        <w:t xml:space="preserve">the TERs </w:t>
      </w:r>
      <w:r w:rsidRPr="00FD6309">
        <w:rPr>
          <w:lang w:val="en-GB"/>
        </w:rPr>
        <w:t xml:space="preserve">exceed the trigger values set by Commission regulation (EU) 546/2011 for acceptability of effects except for uses in </w:t>
      </w:r>
      <w:r w:rsidRPr="00FD6309">
        <w:t>fruiting vegetables at BBCH 11-39</w:t>
      </w:r>
      <w:r w:rsidR="00EF2630">
        <w:t xml:space="preserve">, </w:t>
      </w:r>
      <w:r w:rsidR="00EF2630" w:rsidRPr="006C550F">
        <w:rPr>
          <w:shd w:val="clear" w:color="auto" w:fill="BDD6EE" w:themeFill="accent5" w:themeFillTint="66"/>
        </w:rPr>
        <w:t>multiple applications in onions BBCH ≥ 40, ornamentals BBCH 40-49,</w:t>
      </w:r>
      <w:r w:rsidR="00EF2630" w:rsidRPr="006C550F">
        <w:rPr>
          <w:shd w:val="clear" w:color="auto" w:fill="D9D9D9" w:themeFill="background1" w:themeFillShade="D9"/>
        </w:rPr>
        <w:t xml:space="preserve"> </w:t>
      </w:r>
      <w:r w:rsidR="00EF2630" w:rsidRPr="007E43E8">
        <w:rPr>
          <w:lang w:val="en-GB"/>
        </w:rPr>
        <w:t xml:space="preserve"> and </w:t>
      </w:r>
      <w:r w:rsidR="00EF2630" w:rsidRPr="007E43E8">
        <w:rPr>
          <w:shd w:val="clear" w:color="auto" w:fill="D9D9D9" w:themeFill="background1" w:themeFillShade="D9"/>
          <w:lang w:val="en-GB"/>
        </w:rPr>
        <w:t xml:space="preserve">for </w:t>
      </w:r>
      <w:r w:rsidR="00EF2630">
        <w:rPr>
          <w:lang w:val="en-GB"/>
        </w:rPr>
        <w:t xml:space="preserve">surrogate crops scenarios: </w:t>
      </w:r>
      <w:r w:rsidR="00EF2630" w:rsidRPr="007E43E8">
        <w:rPr>
          <w:shd w:val="clear" w:color="auto" w:fill="D9D9D9" w:themeFill="background1" w:themeFillShade="D9"/>
          <w:lang w:val="en-GB"/>
        </w:rPr>
        <w:t>orchards BBCH 10-</w:t>
      </w:r>
      <w:r w:rsidR="00EF2630" w:rsidRPr="006C550F">
        <w:rPr>
          <w:shd w:val="clear" w:color="auto" w:fill="BDD6EE" w:themeFill="accent5" w:themeFillTint="66"/>
          <w:lang w:val="en-GB"/>
        </w:rPr>
        <w:t xml:space="preserve">40 and </w:t>
      </w:r>
      <w:r w:rsidR="00EF2630" w:rsidRPr="006C550F">
        <w:rPr>
          <w:shd w:val="clear" w:color="auto" w:fill="BDD6EE" w:themeFill="accent5" w:themeFillTint="66"/>
        </w:rPr>
        <w:t>bush and cane fruit BBCH 10-39</w:t>
      </w:r>
      <w:r w:rsidR="006C550F">
        <w:rPr>
          <w:shd w:val="clear" w:color="auto" w:fill="BDD6EE" w:themeFill="accent5" w:themeFillTint="66"/>
        </w:rPr>
        <w:t>.</w:t>
      </w:r>
      <w:r w:rsidR="00EF2630">
        <w:rPr>
          <w:shd w:val="clear" w:color="auto" w:fill="D9D9D9" w:themeFill="background1" w:themeFillShade="D9"/>
        </w:rPr>
        <w:t xml:space="preserve"> </w:t>
      </w:r>
      <w:r w:rsidR="00EF2630" w:rsidRPr="007E43E8">
        <w:rPr>
          <w:lang w:val="en-GB"/>
        </w:rPr>
        <w:t xml:space="preserve"> </w:t>
      </w:r>
    </w:p>
    <w:p w14:paraId="5B592849" w14:textId="77777777" w:rsidR="003D60B4" w:rsidRPr="00A34F10" w:rsidRDefault="003D60B4" w:rsidP="00DF188E">
      <w:pPr>
        <w:widowControl w:val="0"/>
        <w:jc w:val="both"/>
        <w:rPr>
          <w:bCs/>
        </w:rPr>
      </w:pPr>
    </w:p>
    <w:p w14:paraId="20BB8A8C" w14:textId="77777777" w:rsidR="00DF188E" w:rsidRPr="00A34F10" w:rsidRDefault="00DF188E" w:rsidP="00DF188E">
      <w:pPr>
        <w:widowControl w:val="0"/>
        <w:autoSpaceDE w:val="0"/>
        <w:autoSpaceDN w:val="0"/>
        <w:adjustRightInd w:val="0"/>
        <w:jc w:val="both"/>
        <w:rPr>
          <w:i/>
        </w:rPr>
      </w:pPr>
      <w:r w:rsidRPr="00A34F10">
        <w:rPr>
          <w:i/>
        </w:rPr>
        <w:t>Drinking water risk assessment</w:t>
      </w:r>
    </w:p>
    <w:p w14:paraId="55BEE9CF" w14:textId="77777777" w:rsidR="00DF188E" w:rsidRPr="00A34F10" w:rsidRDefault="00DF188E" w:rsidP="00DF188E">
      <w:pPr>
        <w:widowControl w:val="0"/>
        <w:autoSpaceDE w:val="0"/>
        <w:autoSpaceDN w:val="0"/>
        <w:adjustRightInd w:val="0"/>
        <w:jc w:val="both"/>
      </w:pPr>
      <w:r w:rsidRPr="00A34F10">
        <w:rPr>
          <w:rFonts w:eastAsia="Batang"/>
          <w:lang w:eastAsia="zh-CN"/>
        </w:rPr>
        <w:t>Following EFSA/2009/1438, the puddle scenario is the one relevant for mammals</w:t>
      </w:r>
      <w:r w:rsidRPr="00A34F10">
        <w:t xml:space="preserve">. Since the ratios of the effective application rates to the relevant toxicity endpoints are below the relevant values for both Ametoctradin and </w:t>
      </w:r>
      <w:r w:rsidRPr="00A34F10">
        <w:rPr>
          <w:bCs/>
        </w:rPr>
        <w:t>Propamocarb-HCl</w:t>
      </w:r>
      <w:r w:rsidRPr="00A34F10">
        <w:t>, a quantitative risk assessment for the proposed use pattern of BAS 743 03 F is not necessary for the puddle scenario. In conclusion the proposed use pattern of BAS 743 03 F does not pose a risk to mammals via uptake of contaminated drinking water.</w:t>
      </w:r>
    </w:p>
    <w:p w14:paraId="181C98F2" w14:textId="77777777" w:rsidR="00DF188E" w:rsidRPr="00A34F10" w:rsidRDefault="00DF188E" w:rsidP="00DF188E">
      <w:pPr>
        <w:widowControl w:val="0"/>
        <w:autoSpaceDE w:val="0"/>
        <w:autoSpaceDN w:val="0"/>
        <w:adjustRightInd w:val="0"/>
        <w:jc w:val="both"/>
      </w:pPr>
    </w:p>
    <w:p w14:paraId="1C24413A" w14:textId="77777777" w:rsidR="00DF188E" w:rsidRPr="00A34F10" w:rsidRDefault="00DF188E" w:rsidP="00DF188E">
      <w:pPr>
        <w:widowControl w:val="0"/>
        <w:jc w:val="both"/>
        <w:rPr>
          <w:bCs/>
          <w:i/>
        </w:rPr>
      </w:pPr>
      <w:r w:rsidRPr="00A34F10">
        <w:rPr>
          <w:bCs/>
          <w:i/>
        </w:rPr>
        <w:t>Secondary poisoning and biomagnification</w:t>
      </w:r>
    </w:p>
    <w:p w14:paraId="35E70239" w14:textId="77777777" w:rsidR="00DF188E" w:rsidRPr="00A34F10" w:rsidRDefault="00DF188E" w:rsidP="00DF188E">
      <w:pPr>
        <w:widowControl w:val="0"/>
        <w:jc w:val="both"/>
      </w:pPr>
      <w:r w:rsidRPr="00A34F10">
        <w:rPr>
          <w:lang w:val="en-GB"/>
        </w:rPr>
        <w:t>The log P</w:t>
      </w:r>
      <w:r w:rsidRPr="00A34F10">
        <w:rPr>
          <w:vertAlign w:val="subscript"/>
          <w:lang w:val="en-GB"/>
        </w:rPr>
        <w:t>ow</w:t>
      </w:r>
      <w:r w:rsidRPr="00A34F10">
        <w:rPr>
          <w:lang w:val="en-GB"/>
        </w:rPr>
        <w:t xml:space="preserve"> of Propamocarb-HCl does not exceed the trigger value of 3. </w:t>
      </w:r>
      <w:r w:rsidRPr="00A34F10">
        <w:rPr>
          <w:bCs/>
        </w:rPr>
        <w:t>However, the</w:t>
      </w:r>
      <w:r w:rsidRPr="00A34F10">
        <w:t xml:space="preserve"> log P</w:t>
      </w:r>
      <w:r w:rsidRPr="00A34F10">
        <w:rPr>
          <w:vertAlign w:val="subscript"/>
        </w:rPr>
        <w:t>ow</w:t>
      </w:r>
      <w:r w:rsidRPr="00A34F10">
        <w:t xml:space="preserve"> of the active substance Ametoctradin was determined to be 4.4, which triggers an assessment of the potential risk from secondary poisoning. According to the tier 1 risk assessment for earthworm- and fish-eating mammals, the TER values for Ametoctradin are above the trigger value of 5, indicating an acceptable risk. The potential for bioaccumulation of </w:t>
      </w:r>
      <w:r w:rsidRPr="00A34F10">
        <w:rPr>
          <w:bCs/>
        </w:rPr>
        <w:t xml:space="preserve">Ametoctradin and Propamocarb-HCl </w:t>
      </w:r>
      <w:r w:rsidRPr="00A34F10">
        <w:t>was considered as low in the respective EU reviews and therefore further evaluation on biomagnification is not necessary.</w:t>
      </w:r>
    </w:p>
    <w:p w14:paraId="7A4D085D" w14:textId="77777777" w:rsidR="00DF188E" w:rsidRPr="00A34F10" w:rsidRDefault="00DF188E" w:rsidP="00DF188E">
      <w:pPr>
        <w:widowControl w:val="0"/>
        <w:autoSpaceDE w:val="0"/>
        <w:autoSpaceDN w:val="0"/>
        <w:adjustRightInd w:val="0"/>
        <w:jc w:val="both"/>
      </w:pPr>
    </w:p>
    <w:p w14:paraId="7846D8CF" w14:textId="77777777" w:rsidR="00DF188E" w:rsidRPr="00A34F10" w:rsidRDefault="00DF188E" w:rsidP="00DF188E">
      <w:pPr>
        <w:pStyle w:val="OECD-BASIS-TEXT"/>
        <w:widowControl w:val="0"/>
        <w:rPr>
          <w:rFonts w:eastAsia="SimSun"/>
          <w:b/>
          <w:i/>
          <w:color w:val="auto"/>
          <w:sz w:val="22"/>
          <w:lang w:val="en-US" w:eastAsia="zh-CN"/>
        </w:rPr>
      </w:pPr>
      <w:r w:rsidRPr="00A34F10">
        <w:rPr>
          <w:rFonts w:eastAsia="SimSun"/>
          <w:b/>
          <w:i/>
          <w:color w:val="auto"/>
          <w:sz w:val="22"/>
          <w:lang w:val="en-US" w:eastAsia="zh-CN"/>
        </w:rPr>
        <w:t>Overall conclusion</w:t>
      </w:r>
    </w:p>
    <w:p w14:paraId="50F8754F" w14:textId="77777777" w:rsidR="00DF188E" w:rsidRPr="00A34F10" w:rsidRDefault="00DF188E" w:rsidP="00DF188E">
      <w:pPr>
        <w:pStyle w:val="OECD-BASIS-TEXT"/>
        <w:widowControl w:val="0"/>
        <w:rPr>
          <w:b/>
          <w:bCs/>
          <w:color w:val="auto"/>
          <w:szCs w:val="24"/>
          <w:lang w:val="en-US"/>
        </w:rPr>
      </w:pPr>
      <w:r w:rsidRPr="00A34F10">
        <w:rPr>
          <w:b/>
          <w:bCs/>
          <w:color w:val="auto"/>
          <w:szCs w:val="24"/>
          <w:lang w:val="en-US"/>
        </w:rPr>
        <w:t>It can be concluded that the risk to mammals from the application of BAS 743 03 F according to good agricultural practice is acceptable.</w:t>
      </w:r>
    </w:p>
    <w:p w14:paraId="6845832B" w14:textId="77777777" w:rsidR="00CE08CB" w:rsidRPr="00A34F10" w:rsidRDefault="002A31C0" w:rsidP="000A09FB">
      <w:pPr>
        <w:pStyle w:val="Nagwek5"/>
        <w:rPr>
          <w:lang w:val="en-US"/>
        </w:rPr>
      </w:pPr>
      <w:r w:rsidRPr="00A34F10">
        <w:rPr>
          <w:lang w:val="en-US"/>
        </w:rPr>
        <w:t>Effects on other terrestrial vertebrate wildlife (reptiles and amphibians) (KCP 10.1.3)</w:t>
      </w:r>
    </w:p>
    <w:p w14:paraId="52496045" w14:textId="77777777" w:rsidR="00DF188E" w:rsidRPr="00A34F10" w:rsidRDefault="00DF188E" w:rsidP="00DF188E">
      <w:pPr>
        <w:jc w:val="both"/>
      </w:pPr>
      <w:r w:rsidRPr="00A34F10">
        <w:t>In the EU there are currently no guidance documents by EFSA on how to conduct risk assessments for amphibians and reptiles. Nevertheless, the latest EFSA guidance document on aquatic organisms (EFSA 2013) provides the recommendation to look for the availability of studies on the toxicity of the active substances to amphibians and, if available, to take such toxicity data into consideration.</w:t>
      </w:r>
    </w:p>
    <w:p w14:paraId="63FF1673" w14:textId="77777777" w:rsidR="00DF188E" w:rsidRPr="00A34F10" w:rsidRDefault="00DF188E" w:rsidP="00DF188E">
      <w:pPr>
        <w:jc w:val="both"/>
      </w:pPr>
    </w:p>
    <w:p w14:paraId="4DC607B3" w14:textId="322B79DC" w:rsidR="00CE08CB" w:rsidRPr="00A34F10" w:rsidRDefault="00DF188E" w:rsidP="00DF188E">
      <w:pPr>
        <w:pStyle w:val="RepStandard"/>
      </w:pPr>
      <w:r w:rsidRPr="00A34F10">
        <w:t>For both active substances contained in the formulation BAS 743 03 F, i.e. Ametoctradin and Propamocarb-HCl, there are no studies available, neither in the literature nor unpublished reports by the notifier, on their toxicity to amphibians or reptiles. Therefore, due to the lack of a standard risk assessment and of data on the toxicity of the active substances to amphibian and reptiles, a regulatory risk assessment for these organisms is not applicable at this time.</w:t>
      </w:r>
    </w:p>
    <w:p w14:paraId="0A608CAF" w14:textId="77777777" w:rsidR="00D526BE" w:rsidRPr="00A34F10" w:rsidRDefault="002A31C0" w:rsidP="00AA32CE">
      <w:pPr>
        <w:pStyle w:val="Nagwek4"/>
        <w:rPr>
          <w:lang w:val="en-GB"/>
        </w:rPr>
      </w:pPr>
      <w:bookmarkStart w:id="43" w:name="_Toc415214549"/>
      <w:bookmarkStart w:id="44" w:name="_Toc414955242"/>
      <w:bookmarkStart w:id="45" w:name="_Toc413922605"/>
      <w:bookmarkStart w:id="46" w:name="_Toc413922501"/>
      <w:bookmarkStart w:id="47" w:name="_Toc413922012"/>
      <w:bookmarkStart w:id="48" w:name="_Toc413916951"/>
      <w:bookmarkStart w:id="49" w:name="_Toc413916809"/>
      <w:bookmarkStart w:id="50" w:name="_Toc412643963"/>
      <w:bookmarkStart w:id="51" w:name="_Ref405923313"/>
      <w:bookmarkStart w:id="52" w:name="_Toc181624937"/>
      <w:r w:rsidRPr="00A34F10">
        <w:rPr>
          <w:lang w:val="en-GB"/>
        </w:rPr>
        <w:t>Effects on aquatic organisms (KCP 10.2)</w:t>
      </w:r>
      <w:bookmarkEnd w:id="43"/>
      <w:bookmarkEnd w:id="44"/>
      <w:bookmarkEnd w:id="45"/>
      <w:bookmarkEnd w:id="46"/>
      <w:bookmarkEnd w:id="47"/>
      <w:bookmarkEnd w:id="48"/>
      <w:bookmarkEnd w:id="49"/>
      <w:bookmarkEnd w:id="50"/>
      <w:bookmarkEnd w:id="51"/>
      <w:bookmarkEnd w:id="52"/>
    </w:p>
    <w:p w14:paraId="220D0800" w14:textId="77777777" w:rsidR="00DF188E" w:rsidRPr="00A34F10" w:rsidRDefault="00DF188E" w:rsidP="00DF188E">
      <w:pPr>
        <w:suppressAutoHyphens/>
        <w:jc w:val="both"/>
        <w:rPr>
          <w:lang w:val="en-GB"/>
        </w:rPr>
      </w:pPr>
      <w:r w:rsidRPr="00A34F10">
        <w:t xml:space="preserve">For Ametoctradin, the acute studies conducted with the active substance resulted in endpoints which are greater than the water solubility of the compound under test conditions. However, higher concentrations of the active substance could be achieved by testing the formulated product BAS 650 00 F (nominal content of Ametoctradin: 200 g a.s./L). Therefore, it was decided to include studies with the formulated product BAS 650 00 F, indicating an overall low to moderate toxicity. In the risk assessment, PEC/RAC ratio calculations are based on the endpoints derived with the formulated product (based on the content of the active substance). For Propamocarb, the EU agreed endpoints for acute and long-term toxicity to aquatic organisms </w:t>
      </w:r>
      <w:r w:rsidRPr="00A34F10">
        <w:rPr>
          <w:lang w:val="en-GB"/>
        </w:rPr>
        <w:t xml:space="preserve">are used in the risk assessment. For the formulated product BAS 743 02 F, studies on the acute toxicity to fish and </w:t>
      </w:r>
      <w:r w:rsidRPr="00A34F10">
        <w:rPr>
          <w:i/>
          <w:iCs/>
          <w:lang w:val="en-GB"/>
        </w:rPr>
        <w:t>Daphnia magna</w:t>
      </w:r>
      <w:r w:rsidRPr="00A34F10">
        <w:rPr>
          <w:lang w:val="en-GB"/>
        </w:rPr>
        <w:t xml:space="preserve"> as well the effects on green algae are available; in addition to measured toxicity data, mixture toxicity is also calculated based on the </w:t>
      </w:r>
      <w:r w:rsidRPr="00A34F10">
        <w:rPr>
          <w:iCs/>
        </w:rPr>
        <w:t>Concentration Addition (CA) model.</w:t>
      </w:r>
    </w:p>
    <w:p w14:paraId="68F8A85C" w14:textId="77777777" w:rsidR="00DF188E" w:rsidRPr="00A34F10" w:rsidRDefault="00DF188E" w:rsidP="00DF188E">
      <w:pPr>
        <w:suppressAutoHyphens/>
        <w:jc w:val="both"/>
      </w:pPr>
    </w:p>
    <w:p w14:paraId="265FD2C0" w14:textId="77777777" w:rsidR="00DF188E" w:rsidRPr="00A34F10" w:rsidRDefault="00DF188E" w:rsidP="00DF188E">
      <w:pPr>
        <w:suppressAutoHyphens/>
        <w:jc w:val="both"/>
      </w:pPr>
      <w:r w:rsidRPr="00A34F10">
        <w:t xml:space="preserve">For the active substance Ametoctradin, the calculated PEC/RAC ratios are below the trigger of 1 at FOCUS Step 3 for all intended uses indicating an acceptable risk for all groups of aquatic organisms without the necessity of mitigation measures. </w:t>
      </w:r>
    </w:p>
    <w:p w14:paraId="4524D6DB" w14:textId="77777777" w:rsidR="00DF188E" w:rsidRPr="00A34F10" w:rsidRDefault="00DF188E" w:rsidP="00DF188E">
      <w:pPr>
        <w:suppressAutoHyphens/>
        <w:jc w:val="both"/>
        <w:rPr>
          <w:lang w:val="en-GB"/>
        </w:rPr>
      </w:pPr>
    </w:p>
    <w:p w14:paraId="315377DC" w14:textId="77777777" w:rsidR="00DF188E" w:rsidRPr="00A34F10" w:rsidRDefault="00DF188E" w:rsidP="00DF188E">
      <w:pPr>
        <w:suppressAutoHyphens/>
        <w:jc w:val="both"/>
      </w:pPr>
      <w:r w:rsidRPr="00A34F10">
        <w:t xml:space="preserve">For Ametoctradin relevant metabolites, </w:t>
      </w:r>
      <w:bookmarkStart w:id="53" w:name="_Hlk134460040"/>
      <w:r w:rsidRPr="00A34F10">
        <w:t xml:space="preserve">the calculated </w:t>
      </w:r>
      <w:r w:rsidRPr="00A34F10">
        <w:rPr>
          <w:lang w:val="en-GB"/>
        </w:rPr>
        <w:t xml:space="preserve">PEC/RAC </w:t>
      </w:r>
      <w:r w:rsidRPr="00A34F10">
        <w:t>ratios are significantly below the trigger of 1</w:t>
      </w:r>
      <w:bookmarkEnd w:id="53"/>
      <w:r w:rsidRPr="00A34F10">
        <w:t xml:space="preserve"> at FOCUS Step 1; they are thus considered not to be of ecotoxicological relevance.</w:t>
      </w:r>
    </w:p>
    <w:p w14:paraId="6A2A06C4" w14:textId="77777777" w:rsidR="00DF188E" w:rsidRPr="00A34F10" w:rsidRDefault="00DF188E" w:rsidP="00DF188E">
      <w:pPr>
        <w:suppressAutoHyphens/>
        <w:jc w:val="both"/>
      </w:pPr>
    </w:p>
    <w:p w14:paraId="695270DB" w14:textId="77777777" w:rsidR="00DF188E" w:rsidRPr="00A34F10" w:rsidRDefault="00DF188E" w:rsidP="00DF188E">
      <w:pPr>
        <w:suppressAutoHyphens/>
        <w:jc w:val="both"/>
      </w:pPr>
      <w:r w:rsidRPr="00A34F10">
        <w:t>For the active substance Propamocarb-HCl, the calculated PEC/RAC ratios are below the trigger of 1 at FOCUS Step 2 for all intended uses of BAS 743 03 F.</w:t>
      </w:r>
    </w:p>
    <w:p w14:paraId="1AC071BB" w14:textId="77777777" w:rsidR="00DF188E" w:rsidRPr="00A34F10" w:rsidRDefault="00DF188E" w:rsidP="00DF188E">
      <w:pPr>
        <w:suppressAutoHyphens/>
        <w:jc w:val="both"/>
      </w:pPr>
    </w:p>
    <w:p w14:paraId="63D7C330" w14:textId="77777777" w:rsidR="00DF188E" w:rsidRPr="00A34F10" w:rsidRDefault="00DF188E" w:rsidP="00DF188E">
      <w:pPr>
        <w:suppressAutoHyphens/>
        <w:jc w:val="both"/>
      </w:pPr>
      <w:r w:rsidRPr="00A34F10">
        <w:t>The active substance Ametoctradin contributes by more than 90% to the chronic toxicity of the formulation BAS 743 03 F to fish and aquatic invertebrates; thus the risk assessment for these trophic level is based on the single-substance toxicity data of Ametoctradin. No “driver” of acute mixture toxicity is identified for fish, aquatic invertebrates and algae; thus, any potential risk due to the acute toxicity of BAS 743 03 F is addressed in a mixture risk assessment following the Risk Quotient Approach (RQ). For BAS 743 03 F the calculated RQ</w:t>
      </w:r>
      <w:r w:rsidRPr="00A34F10">
        <w:rPr>
          <w:vertAlign w:val="subscript"/>
        </w:rPr>
        <w:t>mix</w:t>
      </w:r>
      <w:r w:rsidRPr="00A34F10">
        <w:t xml:space="preserve"> ratios are below the trigger of 1 at FOCUS Step 1 for all intended uses of the formulated product. In addition, the calculated PEC/RAC ratios based on measured formulation endpoints for drift entry are significantly below the trigger of 1 indicating an acceptable risk for all intended uses of BAS 743 03 F. </w:t>
      </w:r>
    </w:p>
    <w:p w14:paraId="6767E160" w14:textId="0E8A4685" w:rsidR="00DF188E" w:rsidRDefault="00DF188E" w:rsidP="00DF188E">
      <w:pPr>
        <w:pStyle w:val="StyleOECD-BASIS-TEXTLeft"/>
        <w:suppressAutoHyphens/>
        <w:rPr>
          <w:sz w:val="22"/>
          <w:lang w:val="en-US"/>
        </w:rPr>
      </w:pPr>
    </w:p>
    <w:p w14:paraId="40B2503E" w14:textId="7FAB4B78" w:rsidR="005C3CD5" w:rsidRPr="00326E21" w:rsidRDefault="005C3CD5" w:rsidP="005C3CD5">
      <w:pPr>
        <w:shd w:val="clear" w:color="auto" w:fill="D9D9D9" w:themeFill="background1" w:themeFillShade="D9"/>
        <w:suppressAutoHyphens/>
        <w:spacing w:before="120" w:after="120"/>
        <w:jc w:val="both"/>
        <w:rPr>
          <w:noProof/>
        </w:rPr>
      </w:pPr>
      <w:bookmarkStart w:id="54" w:name="_Toc415214550"/>
      <w:bookmarkStart w:id="55" w:name="_Toc414955243"/>
      <w:bookmarkStart w:id="56" w:name="_Toc413922606"/>
      <w:bookmarkStart w:id="57" w:name="_Toc413922502"/>
      <w:bookmarkStart w:id="58" w:name="_Toc413922013"/>
      <w:bookmarkStart w:id="59" w:name="_Toc413916952"/>
      <w:bookmarkStart w:id="60" w:name="_Toc413916810"/>
      <w:bookmarkStart w:id="61" w:name="_Toc412643964"/>
      <w:r>
        <w:rPr>
          <w:noProof/>
        </w:rPr>
        <w:t xml:space="preserve">It should be noted that </w:t>
      </w:r>
      <w:r w:rsidRPr="009F2B5C">
        <w:t xml:space="preserve">for </w:t>
      </w:r>
      <w:r>
        <w:t>t</w:t>
      </w:r>
      <w:r w:rsidRPr="009F2B5C">
        <w:t>he GAPs</w:t>
      </w:r>
      <w:r>
        <w:t xml:space="preserve"> m</w:t>
      </w:r>
      <w:r w:rsidRPr="009F2B5C">
        <w:t>inor use</w:t>
      </w:r>
      <w:r>
        <w:t>s</w:t>
      </w:r>
      <w:r w:rsidRPr="009F2B5C">
        <w:t xml:space="preserve"> according to Article 51</w:t>
      </w:r>
      <w:r>
        <w:rPr>
          <w:noProof/>
        </w:rPr>
        <w:t xml:space="preserve"> </w:t>
      </w:r>
      <w:r w:rsidRPr="009F2B5C">
        <w:rPr>
          <w:noProof/>
        </w:rPr>
        <w:t>n</w:t>
      </w:r>
      <w:r w:rsidRPr="009F2B5C">
        <w:t>o PEC calculations following zonal requirements are provided in this dossier B8.</w:t>
      </w:r>
      <w:r>
        <w:t xml:space="preserve"> Thus, for those uses, the risk to aquatic organisms is not covered in this report. </w:t>
      </w:r>
    </w:p>
    <w:p w14:paraId="267CE1DF" w14:textId="5433E5A3" w:rsidR="00E34C95" w:rsidRPr="00A34F10" w:rsidRDefault="002A31C0" w:rsidP="00322176">
      <w:pPr>
        <w:pStyle w:val="Nagwek4"/>
      </w:pPr>
      <w:bookmarkStart w:id="62" w:name="_Toc181624938"/>
      <w:r w:rsidRPr="00A34F10">
        <w:t>Effects on bees (KCP 10.3.1)</w:t>
      </w:r>
      <w:bookmarkEnd w:id="54"/>
      <w:bookmarkEnd w:id="55"/>
      <w:bookmarkEnd w:id="56"/>
      <w:bookmarkEnd w:id="57"/>
      <w:bookmarkEnd w:id="58"/>
      <w:bookmarkEnd w:id="59"/>
      <w:bookmarkEnd w:id="60"/>
      <w:bookmarkEnd w:id="61"/>
      <w:bookmarkEnd w:id="62"/>
    </w:p>
    <w:p w14:paraId="478087EE" w14:textId="0D40A29F" w:rsidR="002E7F42" w:rsidRPr="00A34F10" w:rsidRDefault="002E7F42" w:rsidP="00273F80">
      <w:pPr>
        <w:widowControl w:val="0"/>
        <w:suppressAutoHyphens/>
        <w:jc w:val="both"/>
        <w:rPr>
          <w:i/>
        </w:rPr>
      </w:pPr>
      <w:r w:rsidRPr="00A34F10">
        <w:rPr>
          <w:lang w:eastAsia="de-DE"/>
        </w:rPr>
        <w:t xml:space="preserve">The risk assessment has been performed according to SANCO/10329/2002 rev 2 final, since </w:t>
      </w:r>
      <w:r w:rsidRPr="00A34F10">
        <w:t xml:space="preserve">the new EFSA GD </w:t>
      </w:r>
      <w:r w:rsidRPr="00A34F10">
        <w:rPr>
          <w:i/>
        </w:rPr>
        <w:t>“Guidance on the risk assessment of plant protection products on bees (</w:t>
      </w:r>
      <w:r w:rsidRPr="00A34F10">
        <w:rPr>
          <w:i/>
          <w:iCs/>
        </w:rPr>
        <w:t>Apis mellifera</w:t>
      </w:r>
      <w:r w:rsidRPr="00A34F10">
        <w:rPr>
          <w:i/>
        </w:rPr>
        <w:t xml:space="preserve">, </w:t>
      </w:r>
      <w:r w:rsidRPr="00A34F10">
        <w:rPr>
          <w:i/>
          <w:iCs/>
        </w:rPr>
        <w:t>Bombus</w:t>
      </w:r>
      <w:r w:rsidRPr="00A34F10">
        <w:rPr>
          <w:i/>
        </w:rPr>
        <w:t xml:space="preserve"> spp. and solitary bees)”</w:t>
      </w:r>
      <w:r w:rsidRPr="00A34F10">
        <w:t xml:space="preserve"> (EFSA Journal 2013; 1187):3295) has not been adopted by the Standing Committee on Plants, Animals, Food and Feed.</w:t>
      </w:r>
      <w:r w:rsidR="00273F80" w:rsidRPr="00273F80">
        <w:t xml:space="preserve"> </w:t>
      </w:r>
    </w:p>
    <w:p w14:paraId="28EB9A3E" w14:textId="77777777" w:rsidR="002E7F42" w:rsidRPr="00A34F10" w:rsidRDefault="002E7F42" w:rsidP="002E7F42">
      <w:pPr>
        <w:widowControl w:val="0"/>
        <w:suppressAutoHyphens/>
        <w:jc w:val="both"/>
      </w:pPr>
    </w:p>
    <w:p w14:paraId="7188FBC3" w14:textId="3E664B42" w:rsidR="002E7F42" w:rsidRDefault="002E7F42" w:rsidP="002E7F42">
      <w:pPr>
        <w:widowControl w:val="0"/>
        <w:suppressAutoHyphens/>
        <w:jc w:val="both"/>
      </w:pPr>
      <w:r w:rsidRPr="00A34F10">
        <w:t>The acute risk to honeybees from the intended uses of BAS 743 03 F is assessed using the maximum single application rate and the relevant LD</w:t>
      </w:r>
      <w:r w:rsidRPr="00A34F10">
        <w:rPr>
          <w:vertAlign w:val="subscript"/>
        </w:rPr>
        <w:t>50</w:t>
      </w:r>
      <w:r w:rsidRPr="00A34F10">
        <w:t xml:space="preserve"> values for the active substances Propamocarb-HCl and Ametoctradin and the formulated product BAS 743 03 F to calculate hazard quotients (HQ) for oral exposure (QHO) and contact exposure (QHC). The hazard quotients for both active substances and the formulated product for acute oral and acute contact exposure of honeybees are below the Commission Regulation (EU) 546/2011 trigger value of 50, indicating an acceptable risk.</w:t>
      </w:r>
      <w:r w:rsidR="00B3068D">
        <w:t xml:space="preserve"> </w:t>
      </w:r>
      <w:r w:rsidR="00273F80">
        <w:t xml:space="preserve"> </w:t>
      </w:r>
    </w:p>
    <w:p w14:paraId="2683BE64" w14:textId="272BD0EE" w:rsidR="00273F80" w:rsidRDefault="00273F80" w:rsidP="002E7F42">
      <w:pPr>
        <w:widowControl w:val="0"/>
        <w:suppressAutoHyphens/>
        <w:jc w:val="both"/>
      </w:pPr>
    </w:p>
    <w:p w14:paraId="44B7EDC8" w14:textId="43D1805E" w:rsidR="002E7F42" w:rsidRPr="00A34F10" w:rsidRDefault="002E7F42" w:rsidP="002E7F42">
      <w:pPr>
        <w:widowControl w:val="0"/>
        <w:suppressAutoHyphens/>
        <w:jc w:val="both"/>
      </w:pPr>
      <w:r w:rsidRPr="00A34F10">
        <w:t>In addition, data on chronic oral toxicity to adult honeybees and on oral toxicity to honeybee larvae for the similar formulation BAS 743 02 F (</w:t>
      </w:r>
      <w:r w:rsidRPr="00A34F10">
        <w:rPr>
          <w:lang w:val="en-GB"/>
        </w:rPr>
        <w:t xml:space="preserve">containing 137.1 g/L Ametoctradin and 515.4 g/L Propamocarb-HCl) </w:t>
      </w:r>
      <w:r w:rsidRPr="00A34F10">
        <w:t xml:space="preserve">are available. These studies indicate low toxicity to bees and meet the current data requirements (Commission Regulation (EU) No. 283/2013 and 284/2013). However, under the current risk assessment scheme (SANCO/10329/2002) there is no requirement to conduct a risk assessment with these endpoints. </w:t>
      </w:r>
    </w:p>
    <w:p w14:paraId="5F29FB4E" w14:textId="77777777" w:rsidR="002E7F42" w:rsidRPr="00A34F10" w:rsidRDefault="002E7F42" w:rsidP="002E7F42">
      <w:pPr>
        <w:widowControl w:val="0"/>
        <w:suppressAutoHyphens/>
        <w:jc w:val="both"/>
      </w:pPr>
    </w:p>
    <w:p w14:paraId="689ABD85" w14:textId="77777777" w:rsidR="002E7F42" w:rsidRDefault="002E7F42" w:rsidP="002E7F42">
      <w:pPr>
        <w:pStyle w:val="RepStandard"/>
        <w:rPr>
          <w:bCs/>
        </w:rPr>
      </w:pPr>
      <w:r w:rsidRPr="00A34F10">
        <w:rPr>
          <w:bCs/>
        </w:rPr>
        <w:t>Taking all data together, it can be concluded that the proposed uses of BAS 743 03 F pose no unacceptable risk to honeybees, if applied according to the recommended use patterns.</w:t>
      </w:r>
    </w:p>
    <w:p w14:paraId="3A4B2B6C" w14:textId="77777777" w:rsidR="00A04E23" w:rsidRDefault="00A04E23" w:rsidP="002E7F42">
      <w:pPr>
        <w:pStyle w:val="RepStandard"/>
        <w:rPr>
          <w:bCs/>
        </w:rPr>
      </w:pPr>
    </w:p>
    <w:p w14:paraId="19FB3201" w14:textId="117AB1DD" w:rsidR="00A04E23" w:rsidRDefault="00A04E23" w:rsidP="00D915C7">
      <w:pPr>
        <w:pStyle w:val="RepStandard"/>
        <w:shd w:val="clear" w:color="auto" w:fill="D9D9D9" w:themeFill="background1" w:themeFillShade="D9"/>
        <w:rPr>
          <w:bCs/>
        </w:rPr>
      </w:pPr>
      <w:r w:rsidRPr="00AE1707">
        <w:rPr>
          <w:iCs/>
        </w:rPr>
        <w:t xml:space="preserve">Some CEU </w:t>
      </w:r>
      <w:r w:rsidR="006325DA">
        <w:rPr>
          <w:iCs/>
        </w:rPr>
        <w:t>MS</w:t>
      </w:r>
      <w:r w:rsidR="00EE6D7A">
        <w:rPr>
          <w:iCs/>
        </w:rPr>
        <w:t>s</w:t>
      </w:r>
      <w:r w:rsidRPr="00AE1707">
        <w:rPr>
          <w:iCs/>
        </w:rPr>
        <w:t xml:space="preserve"> require evaluation according to EFSA 2013. This approach is still not harmonised, but it was discussed at the last meeting of the central zone in the field of ecotoxicology (Warsaw, 12.2023), where it was agreed to present an assessment in the Core in accordance with EFSA 2013.</w:t>
      </w:r>
      <w:r w:rsidR="00F806B9">
        <w:rPr>
          <w:iCs/>
        </w:rPr>
        <w:t xml:space="preserve"> </w:t>
      </w:r>
      <w:r w:rsidR="00F806B9" w:rsidRPr="006C550F">
        <w:rPr>
          <w:iCs/>
          <w:shd w:val="clear" w:color="auto" w:fill="BDD6EE" w:themeFill="accent5" w:themeFillTint="66"/>
        </w:rPr>
        <w:t xml:space="preserve">Thus, required chronic risk assessment was provided. </w:t>
      </w:r>
      <w:r w:rsidRPr="006C550F">
        <w:rPr>
          <w:iCs/>
          <w:strike/>
          <w:color w:val="808080" w:themeColor="background1" w:themeShade="80"/>
          <w:shd w:val="clear" w:color="auto" w:fill="BDD6EE" w:themeFill="accent5" w:themeFillTint="66"/>
        </w:rPr>
        <w:t>Currently, the minutes of the meeting are still in the course of zonal consultations.</w:t>
      </w:r>
      <w:r>
        <w:rPr>
          <w:iCs/>
        </w:rPr>
        <w:t xml:space="preserve"> </w:t>
      </w:r>
      <w:r w:rsidRPr="00C116B2">
        <w:rPr>
          <w:iCs/>
        </w:rPr>
        <w:t>For Pol</w:t>
      </w:r>
      <w:r>
        <w:rPr>
          <w:iCs/>
        </w:rPr>
        <w:t>and</w:t>
      </w:r>
      <w:r w:rsidRPr="00C116B2">
        <w:rPr>
          <w:iCs/>
        </w:rPr>
        <w:t>, a chronic risk assessment is not required</w:t>
      </w:r>
      <w:r w:rsidRPr="006C550F">
        <w:rPr>
          <w:iCs/>
          <w:color w:val="808080" w:themeColor="background1" w:themeShade="80"/>
          <w:shd w:val="clear" w:color="auto" w:fill="BDD6EE" w:themeFill="accent5" w:themeFillTint="66"/>
        </w:rPr>
        <w:t xml:space="preserve">. </w:t>
      </w:r>
      <w:r w:rsidRPr="006C550F">
        <w:rPr>
          <w:iCs/>
          <w:strike/>
          <w:color w:val="808080" w:themeColor="background1" w:themeShade="80"/>
          <w:shd w:val="clear" w:color="auto" w:fill="BDD6EE" w:themeFill="accent5" w:themeFillTint="66"/>
        </w:rPr>
        <w:t>Nevertheless, the Applicant, as a result of commenting process, may be asked to supplement the dossier with a risk assessment for bees in accordance with EFSA 2013.</w:t>
      </w:r>
    </w:p>
    <w:p w14:paraId="1FF1E229" w14:textId="77777777" w:rsidR="00D526BE" w:rsidRPr="00A34F10" w:rsidRDefault="002A31C0" w:rsidP="00AA32CE">
      <w:pPr>
        <w:pStyle w:val="Nagwek4"/>
        <w:rPr>
          <w:lang w:val="en-GB"/>
        </w:rPr>
      </w:pPr>
      <w:bookmarkStart w:id="63" w:name="_Toc415214551"/>
      <w:bookmarkStart w:id="64" w:name="_Toc414955244"/>
      <w:bookmarkStart w:id="65" w:name="_Toc413922607"/>
      <w:bookmarkStart w:id="66" w:name="_Toc413922503"/>
      <w:bookmarkStart w:id="67" w:name="_Toc413922014"/>
      <w:bookmarkStart w:id="68" w:name="_Toc413916953"/>
      <w:bookmarkStart w:id="69" w:name="_Toc413916811"/>
      <w:bookmarkStart w:id="70" w:name="_Toc412643965"/>
      <w:bookmarkStart w:id="71" w:name="_Toc181624939"/>
      <w:r w:rsidRPr="00A34F10">
        <w:rPr>
          <w:lang w:val="en-GB"/>
        </w:rPr>
        <w:t>Effects on arthropods other than bees (KCP 10.3.2)</w:t>
      </w:r>
      <w:bookmarkEnd w:id="63"/>
      <w:bookmarkEnd w:id="64"/>
      <w:bookmarkEnd w:id="65"/>
      <w:bookmarkEnd w:id="66"/>
      <w:bookmarkEnd w:id="67"/>
      <w:bookmarkEnd w:id="68"/>
      <w:bookmarkEnd w:id="69"/>
      <w:bookmarkEnd w:id="70"/>
      <w:bookmarkEnd w:id="71"/>
    </w:p>
    <w:p w14:paraId="14AD2E0A" w14:textId="77777777" w:rsidR="002E7F42" w:rsidRPr="00A34F10" w:rsidRDefault="002E7F42" w:rsidP="002E7F42">
      <w:pPr>
        <w:widowControl w:val="0"/>
        <w:suppressAutoHyphens/>
        <w:jc w:val="both"/>
      </w:pPr>
      <w:r w:rsidRPr="00A34F10">
        <w:t xml:space="preserve">The testing and risk assessment strategy used here follow the approach recommended in the </w:t>
      </w:r>
      <w:r w:rsidRPr="00A34F10">
        <w:rPr>
          <w:iCs/>
        </w:rPr>
        <w:t>ESCORT 2 guidance document</w:t>
      </w:r>
      <w:r w:rsidRPr="00A34F10">
        <w:t xml:space="preserve">, ESCORT 3, and the EC Guidance Document on Terrestrial Ecotoxicology </w:t>
      </w:r>
      <w:r w:rsidRPr="00A34F10">
        <w:lastRenderedPageBreak/>
        <w:t>(SANCO/10329, 17 October 2002)</w:t>
      </w:r>
      <w:r w:rsidRPr="00A34F10">
        <w:rPr>
          <w:i/>
        </w:rPr>
        <w:t xml:space="preserve">. </w:t>
      </w:r>
      <w:r w:rsidRPr="00A34F10">
        <w:t xml:space="preserve">The risk assessment for BAS 743 03 F is based on tests with the standard test species </w:t>
      </w:r>
      <w:r w:rsidRPr="00A34F10">
        <w:rPr>
          <w:bCs/>
          <w:i/>
        </w:rPr>
        <w:t>Typhlodromus pyri</w:t>
      </w:r>
      <w:r w:rsidRPr="00A34F10">
        <w:rPr>
          <w:bCs/>
        </w:rPr>
        <w:t xml:space="preserve"> and </w:t>
      </w:r>
      <w:r w:rsidRPr="00A34F10">
        <w:rPr>
          <w:i/>
          <w:szCs w:val="20"/>
        </w:rPr>
        <w:t>Aphidius rhopalosiphi</w:t>
      </w:r>
      <w:r w:rsidRPr="00A34F10">
        <w:rPr>
          <w:bCs/>
        </w:rPr>
        <w:t>.</w:t>
      </w:r>
    </w:p>
    <w:p w14:paraId="52CBE031" w14:textId="77777777" w:rsidR="002E7F42" w:rsidRPr="00A34F10" w:rsidRDefault="002E7F42" w:rsidP="002E7F42">
      <w:pPr>
        <w:widowControl w:val="0"/>
        <w:suppressAutoHyphens/>
        <w:jc w:val="both"/>
        <w:rPr>
          <w:bCs/>
        </w:rPr>
      </w:pPr>
    </w:p>
    <w:p w14:paraId="7264983B" w14:textId="3E62E71F" w:rsidR="002E7F42" w:rsidRDefault="002E7F42" w:rsidP="002E7F42">
      <w:pPr>
        <w:pStyle w:val="RepStandard"/>
        <w:suppressAutoHyphens/>
      </w:pPr>
      <w:r w:rsidRPr="00A34F10">
        <w:t xml:space="preserve">An acceptable in- and off-field risk for </w:t>
      </w:r>
      <w:r w:rsidRPr="00A34F10">
        <w:rPr>
          <w:i/>
          <w:iCs/>
        </w:rPr>
        <w:t>Typhlodromus pyri</w:t>
      </w:r>
      <w:r w:rsidRPr="00A34F10">
        <w:t xml:space="preserve"> and </w:t>
      </w:r>
      <w:r w:rsidRPr="00A34F10">
        <w:rPr>
          <w:i/>
          <w:iCs/>
        </w:rPr>
        <w:t>Aphidius rhopalosiphi</w:t>
      </w:r>
      <w:r w:rsidRPr="00A34F10">
        <w:t xml:space="preserve"> was found based on glass plate laboratory data. Therefore, an overall acceptable risk to non-target arthropods for all intended uses of BAS 743 03 F</w:t>
      </w:r>
      <w:r w:rsidR="00362CBA">
        <w:t xml:space="preserve"> </w:t>
      </w:r>
      <w:r w:rsidR="005C685A">
        <w:rPr>
          <w:shd w:val="clear" w:color="auto" w:fill="D9D9D9" w:themeFill="background1" w:themeFillShade="D9"/>
        </w:rPr>
        <w:t>to</w:t>
      </w:r>
      <w:r w:rsidR="00362CBA" w:rsidRPr="00362CBA">
        <w:rPr>
          <w:shd w:val="clear" w:color="auto" w:fill="D9D9D9" w:themeFill="background1" w:themeFillShade="D9"/>
        </w:rPr>
        <w:t xml:space="preserve"> field crops</w:t>
      </w:r>
      <w:r w:rsidR="00A60448">
        <w:rPr>
          <w:shd w:val="clear" w:color="auto" w:fill="D9D9D9" w:themeFill="background1" w:themeFillShade="D9"/>
        </w:rPr>
        <w:t xml:space="preserve"> </w:t>
      </w:r>
      <w:r w:rsidR="00A60448" w:rsidRPr="00A60448">
        <w:rPr>
          <w:shd w:val="clear" w:color="auto" w:fill="D9D9D9" w:themeFill="background1" w:themeFillShade="D9"/>
        </w:rPr>
        <w:t>(potato, onion, tomato and aubergine)</w:t>
      </w:r>
      <w:r w:rsidRPr="00A34F10">
        <w:t xml:space="preserve"> can be concluded.</w:t>
      </w:r>
    </w:p>
    <w:p w14:paraId="3822AA97" w14:textId="77777777" w:rsidR="00D526BE" w:rsidRPr="00A34F10" w:rsidRDefault="002A31C0" w:rsidP="00AA32CE">
      <w:pPr>
        <w:pStyle w:val="Nagwek4"/>
        <w:rPr>
          <w:lang w:val="en-GB"/>
        </w:rPr>
      </w:pPr>
      <w:bookmarkStart w:id="72" w:name="_Toc412643966"/>
      <w:bookmarkStart w:id="73" w:name="_Toc413916812"/>
      <w:bookmarkStart w:id="74" w:name="_Toc413916954"/>
      <w:bookmarkStart w:id="75" w:name="_Toc413922015"/>
      <w:bookmarkStart w:id="76" w:name="_Toc413922504"/>
      <w:bookmarkStart w:id="77" w:name="_Toc413922608"/>
      <w:bookmarkStart w:id="78" w:name="_Toc414955245"/>
      <w:bookmarkStart w:id="79" w:name="_Toc415214552"/>
      <w:bookmarkStart w:id="80" w:name="_Toc181624940"/>
      <w:r w:rsidRPr="00A34F10">
        <w:rPr>
          <w:lang w:val="en-GB"/>
        </w:rPr>
        <w:t>Effects on non-target soil meso- and macrofauna (KCP 10.4)</w:t>
      </w:r>
      <w:r w:rsidR="00D526BE" w:rsidRPr="00A34F10">
        <w:rPr>
          <w:lang w:val="en-GB"/>
        </w:rPr>
        <w:t xml:space="preserve">, </w:t>
      </w:r>
      <w:r w:rsidRPr="00A34F10">
        <w:rPr>
          <w:lang w:val="en-GB"/>
        </w:rPr>
        <w:t>Effects on soil microbial activity (KCP 10.5)</w:t>
      </w:r>
      <w:bookmarkEnd w:id="72"/>
      <w:bookmarkEnd w:id="73"/>
      <w:bookmarkEnd w:id="74"/>
      <w:bookmarkEnd w:id="75"/>
      <w:bookmarkEnd w:id="76"/>
      <w:bookmarkEnd w:id="77"/>
      <w:bookmarkEnd w:id="78"/>
      <w:bookmarkEnd w:id="79"/>
      <w:bookmarkEnd w:id="80"/>
    </w:p>
    <w:p w14:paraId="0EFEE712" w14:textId="77777777" w:rsidR="002E7F42" w:rsidRPr="00A34F10" w:rsidRDefault="002E7F42" w:rsidP="002E7F42">
      <w:pPr>
        <w:pStyle w:val="RepStandard"/>
        <w:suppressAutoHyphens/>
      </w:pPr>
      <w:r w:rsidRPr="00A34F10">
        <w:t>The evaluation of the risk for earthworms, other non-target soil organisms (meso- and macrofauna) and soil microorganisms was performed in accordance with the recommendations of the “Guidance Document on Terrestrial Ecotoxicology”, as provided by the Commission Services (SANCO/10329/2002 rev 2 (final), October 17, 2002).</w:t>
      </w:r>
    </w:p>
    <w:p w14:paraId="63F36924" w14:textId="77777777" w:rsidR="002E7F42" w:rsidRPr="00A34F10" w:rsidRDefault="002E7F42" w:rsidP="002E7F42">
      <w:pPr>
        <w:pStyle w:val="RepStandard"/>
        <w:suppressAutoHyphens/>
      </w:pPr>
    </w:p>
    <w:p w14:paraId="0C156E7C" w14:textId="77777777" w:rsidR="002E7F42" w:rsidRPr="00A34F10" w:rsidRDefault="002E7F42" w:rsidP="002E7F42">
      <w:pPr>
        <w:pStyle w:val="RepStandard"/>
        <w:suppressAutoHyphens/>
        <w:rPr>
          <w:b/>
          <w:i/>
        </w:rPr>
      </w:pPr>
      <w:r w:rsidRPr="00A34F10">
        <w:rPr>
          <w:b/>
          <w:i/>
        </w:rPr>
        <w:t>Effects on non-target soil meso- and macrofauna</w:t>
      </w:r>
    </w:p>
    <w:p w14:paraId="2D3C4DCF" w14:textId="77777777" w:rsidR="002E7F42" w:rsidRPr="00A34F10" w:rsidRDefault="002E7F42" w:rsidP="002E7F42">
      <w:pPr>
        <w:pStyle w:val="StyleOECD-BASIS-TEXTLeft"/>
        <w:suppressAutoHyphens/>
        <w:rPr>
          <w:sz w:val="20"/>
          <w:lang w:val="en-US"/>
        </w:rPr>
      </w:pPr>
    </w:p>
    <w:p w14:paraId="7D81D1F7" w14:textId="77777777" w:rsidR="002E7F42" w:rsidRPr="00A34F10" w:rsidRDefault="002E7F42" w:rsidP="002E7F42">
      <w:pPr>
        <w:pStyle w:val="StyleOECD-BASIS-TEXTLeft"/>
        <w:suppressAutoHyphens/>
        <w:rPr>
          <w:sz w:val="22"/>
          <w:lang w:val="en-US"/>
        </w:rPr>
      </w:pPr>
      <w:r w:rsidRPr="00A34F10">
        <w:rPr>
          <w:sz w:val="22"/>
          <w:lang w:val="en-US"/>
        </w:rPr>
        <w:t xml:space="preserve">All TER values for BAS 743 03 F, </w:t>
      </w:r>
      <w:r w:rsidRPr="00DA60D8">
        <w:rPr>
          <w:strike/>
          <w:color w:val="D9D9D9" w:themeColor="background1" w:themeShade="D9"/>
          <w:sz w:val="22"/>
          <w:lang w:val="en-US"/>
        </w:rPr>
        <w:t>the active substance Ametoctradin, and relevant metabolites</w:t>
      </w:r>
      <w:r w:rsidRPr="00DA60D8" w:rsidDel="00430871">
        <w:rPr>
          <w:strike/>
          <w:color w:val="D9D9D9" w:themeColor="background1" w:themeShade="D9"/>
          <w:sz w:val="22"/>
          <w:lang w:val="en-US"/>
        </w:rPr>
        <w:t xml:space="preserve"> </w:t>
      </w:r>
      <w:r w:rsidRPr="00DA60D8">
        <w:rPr>
          <w:strike/>
          <w:color w:val="D9D9D9" w:themeColor="background1" w:themeShade="D9"/>
          <w:sz w:val="22"/>
          <w:lang w:val="en-US"/>
        </w:rPr>
        <w:t>as well as the active substance Propamocarb-HCl</w:t>
      </w:r>
      <w:r w:rsidRPr="00DA60D8">
        <w:rPr>
          <w:color w:val="D9D9D9" w:themeColor="background1" w:themeShade="D9"/>
          <w:sz w:val="22"/>
          <w:lang w:val="en-US"/>
        </w:rPr>
        <w:t xml:space="preserve"> </w:t>
      </w:r>
      <w:r w:rsidRPr="00A34F10">
        <w:rPr>
          <w:sz w:val="22"/>
          <w:lang w:val="en-US"/>
        </w:rPr>
        <w:t>for chronic exposure of earthworms and other non-target soil organisms (meso- and macrofauna) are considerably higher than the Commission Regulation (EU) 546/2011 trigger value of 5.</w:t>
      </w:r>
    </w:p>
    <w:p w14:paraId="7860F3C7" w14:textId="77777777" w:rsidR="002E7F42" w:rsidRPr="00A34F10" w:rsidRDefault="002E7F42" w:rsidP="002E7F42">
      <w:pPr>
        <w:pStyle w:val="StyleOECD-BASIS-TEXTLeft"/>
        <w:suppressAutoHyphens/>
        <w:rPr>
          <w:sz w:val="22"/>
          <w:lang w:val="en-US"/>
        </w:rPr>
      </w:pPr>
    </w:p>
    <w:p w14:paraId="3A750DA8" w14:textId="77777777" w:rsidR="002E7F42" w:rsidRPr="00A34F10" w:rsidRDefault="002E7F42" w:rsidP="002E7F42">
      <w:pPr>
        <w:pStyle w:val="StyleOECD-BASIS-TEXTLeft"/>
        <w:suppressAutoHyphens/>
        <w:rPr>
          <w:b/>
          <w:sz w:val="22"/>
          <w:lang w:val="en-US"/>
        </w:rPr>
      </w:pPr>
      <w:r w:rsidRPr="00A34F10">
        <w:rPr>
          <w:b/>
          <w:sz w:val="22"/>
          <w:lang w:val="en-US"/>
        </w:rPr>
        <w:t>Therefore, it can be concluded that BAS 743 03 F poses no unacceptable risk to earthworms or other soil meso- and macrofauna when applied according to the proposed uses.</w:t>
      </w:r>
    </w:p>
    <w:p w14:paraId="3799C351" w14:textId="77777777" w:rsidR="002E7F42" w:rsidRPr="00A34F10" w:rsidRDefault="002E7F42" w:rsidP="002E7F42">
      <w:pPr>
        <w:pStyle w:val="StyleOECD-BASIS-TEXTLeft"/>
        <w:suppressAutoHyphens/>
        <w:rPr>
          <w:sz w:val="20"/>
          <w:lang w:val="en-US"/>
        </w:rPr>
      </w:pPr>
    </w:p>
    <w:p w14:paraId="20E6D9BD" w14:textId="77777777" w:rsidR="002E7F42" w:rsidRPr="00A34F10" w:rsidRDefault="002E7F42" w:rsidP="002E7F42">
      <w:pPr>
        <w:pStyle w:val="RepStandard"/>
        <w:suppressAutoHyphens/>
        <w:rPr>
          <w:b/>
          <w:i/>
        </w:rPr>
      </w:pPr>
      <w:r w:rsidRPr="00A34F10">
        <w:rPr>
          <w:b/>
          <w:i/>
        </w:rPr>
        <w:t>Effects on soil microbial activity</w:t>
      </w:r>
    </w:p>
    <w:p w14:paraId="533BDCEF" w14:textId="77777777" w:rsidR="002E7F42" w:rsidRPr="00A34F10" w:rsidRDefault="002E7F42" w:rsidP="002E7F42">
      <w:pPr>
        <w:pStyle w:val="RepStandard"/>
        <w:suppressAutoHyphens/>
        <w:rPr>
          <w:b/>
          <w:i/>
        </w:rPr>
      </w:pPr>
    </w:p>
    <w:p w14:paraId="3A979C49" w14:textId="77777777" w:rsidR="002E7F42" w:rsidRPr="00A34F10" w:rsidRDefault="002E7F42" w:rsidP="002E7F42">
      <w:pPr>
        <w:pStyle w:val="RepStandard"/>
        <w:suppressAutoHyphens/>
      </w:pPr>
      <w:r w:rsidRPr="00A34F10">
        <w:t xml:space="preserve">Studies on effects to soil microorganisms have been carried out with the active substance Ametoctradin, the Ametoctradin relevant soil metabolites, the active substance Propamocarb-HCl and with the formulation BAS 743 03 F. </w:t>
      </w:r>
    </w:p>
    <w:p w14:paraId="65535FBA" w14:textId="24B881D6" w:rsidR="002E7F42" w:rsidRPr="00A34F10" w:rsidRDefault="002E7F42" w:rsidP="002E7F42">
      <w:pPr>
        <w:pStyle w:val="RepStandard"/>
        <w:suppressAutoHyphens/>
      </w:pPr>
    </w:p>
    <w:p w14:paraId="4A8C6026" w14:textId="77777777" w:rsidR="002E7F42" w:rsidRPr="00A34F10" w:rsidRDefault="002E7F42" w:rsidP="002E7F42">
      <w:pPr>
        <w:pStyle w:val="RepStandard"/>
        <w:suppressAutoHyphens/>
      </w:pPr>
      <w:r w:rsidRPr="00A34F10">
        <w:t>The potential risk to soil micro-organisms was assessed by comparing the maximum PEC</w:t>
      </w:r>
      <w:r w:rsidRPr="00A34F10">
        <w:rPr>
          <w:vertAlign w:val="subscript"/>
        </w:rPr>
        <w:t>soil</w:t>
      </w:r>
      <w:r w:rsidRPr="00A34F10">
        <w:t xml:space="preserve"> values with the maximum concentration with effects ≤ 25%. For the formulation BAS 743 03 F, the two active substances Ametoctradin and Propamocarb-HCl, as well as for the relevant Ametoctradin metabolites, the maximum concentrations with effects &lt; 25% (SANCO/10329/2002 trigger) are all by far above the PEC</w:t>
      </w:r>
      <w:r w:rsidRPr="00A34F10">
        <w:rPr>
          <w:vertAlign w:val="subscript"/>
        </w:rPr>
        <w:t>soil</w:t>
      </w:r>
      <w:r w:rsidRPr="00A34F10">
        <w:t xml:space="preserve"> values derived from the maximum recommended application rate.</w:t>
      </w:r>
    </w:p>
    <w:p w14:paraId="06517C22" w14:textId="77777777" w:rsidR="002E7F42" w:rsidRPr="00A34F10" w:rsidRDefault="002E7F42" w:rsidP="002E7F42">
      <w:pPr>
        <w:pStyle w:val="RepStandard"/>
        <w:suppressAutoHyphens/>
      </w:pPr>
    </w:p>
    <w:p w14:paraId="6ED7B2F5" w14:textId="77777777" w:rsidR="007210E0" w:rsidRDefault="002E7F42" w:rsidP="007210E0">
      <w:pPr>
        <w:pStyle w:val="RepStandard"/>
        <w:rPr>
          <w:b/>
        </w:rPr>
      </w:pPr>
      <w:r w:rsidRPr="00A34F10">
        <w:rPr>
          <w:b/>
        </w:rPr>
        <w:t>Therefore, it can be concluded that the use of BAS 743 03 F will not pose an unacceptable risk to non-target soil micro-organisms, if applied according to good agricultural practice.</w:t>
      </w:r>
    </w:p>
    <w:p w14:paraId="711B9FAF" w14:textId="77777777" w:rsidR="007210E0" w:rsidRDefault="007210E0" w:rsidP="007210E0">
      <w:pPr>
        <w:pStyle w:val="RepStandard"/>
        <w:rPr>
          <w:b/>
        </w:rPr>
      </w:pPr>
    </w:p>
    <w:p w14:paraId="5C2FF003" w14:textId="1752F59E" w:rsidR="002E28E6" w:rsidRPr="00326E21" w:rsidRDefault="002E28E6" w:rsidP="002E28E6">
      <w:pPr>
        <w:shd w:val="clear" w:color="auto" w:fill="D9D9D9" w:themeFill="background1" w:themeFillShade="D9"/>
        <w:suppressAutoHyphens/>
        <w:spacing w:before="120" w:after="120"/>
        <w:jc w:val="both"/>
        <w:rPr>
          <w:noProof/>
        </w:rPr>
      </w:pPr>
      <w:bookmarkStart w:id="81" w:name="OLE_LINK1"/>
      <w:bookmarkStart w:id="82" w:name="_Toc415214553"/>
      <w:bookmarkStart w:id="83" w:name="_Toc414955246"/>
      <w:bookmarkStart w:id="84" w:name="_Toc413922609"/>
      <w:bookmarkStart w:id="85" w:name="_Toc413922505"/>
      <w:bookmarkStart w:id="86" w:name="_Toc413922016"/>
      <w:bookmarkStart w:id="87" w:name="_Toc413916955"/>
      <w:bookmarkStart w:id="88" w:name="_Toc413916813"/>
      <w:bookmarkStart w:id="89" w:name="_Toc412643967"/>
      <w:r>
        <w:rPr>
          <w:noProof/>
        </w:rPr>
        <w:t xml:space="preserve">It should be noted that </w:t>
      </w:r>
      <w:r w:rsidRPr="009F2B5C">
        <w:t xml:space="preserve">for </w:t>
      </w:r>
      <w:r>
        <w:t>t</w:t>
      </w:r>
      <w:r w:rsidRPr="009F2B5C">
        <w:t>he GAPs</w:t>
      </w:r>
      <w:r>
        <w:t xml:space="preserve"> m</w:t>
      </w:r>
      <w:r w:rsidRPr="009F2B5C">
        <w:t>inor use</w:t>
      </w:r>
      <w:r>
        <w:t>s</w:t>
      </w:r>
      <w:r w:rsidRPr="009F2B5C">
        <w:t xml:space="preserve"> according to Article 51</w:t>
      </w:r>
      <w:r>
        <w:rPr>
          <w:noProof/>
        </w:rPr>
        <w:t xml:space="preserve"> </w:t>
      </w:r>
      <w:r w:rsidRPr="009F2B5C">
        <w:rPr>
          <w:noProof/>
        </w:rPr>
        <w:t>n</w:t>
      </w:r>
      <w:r w:rsidRPr="009F2B5C">
        <w:t>o PEC calculations following zonal requirements are provided in this dossier B8.</w:t>
      </w:r>
      <w:r>
        <w:t xml:space="preserve"> Thus, for those uses, the risk to </w:t>
      </w:r>
      <w:r w:rsidR="00CE1712">
        <w:t>soil</w:t>
      </w:r>
      <w:r>
        <w:t xml:space="preserve"> organisms is not covered in this report. </w:t>
      </w:r>
    </w:p>
    <w:p w14:paraId="00182A0C" w14:textId="77777777" w:rsidR="00D526BE" w:rsidRPr="00A34F10" w:rsidRDefault="002A31C0" w:rsidP="00AA32CE">
      <w:pPr>
        <w:pStyle w:val="Nagwek4"/>
        <w:rPr>
          <w:lang w:val="en-GB"/>
        </w:rPr>
      </w:pPr>
      <w:bookmarkStart w:id="90" w:name="_Toc181624941"/>
      <w:r w:rsidRPr="00A34F10">
        <w:rPr>
          <w:lang w:val="en-GB"/>
        </w:rPr>
        <w:t>Effects on non-target terrestrial plants (KCP 10.6)</w:t>
      </w:r>
      <w:bookmarkEnd w:id="81"/>
      <w:bookmarkEnd w:id="82"/>
      <w:bookmarkEnd w:id="83"/>
      <w:bookmarkEnd w:id="84"/>
      <w:bookmarkEnd w:id="85"/>
      <w:bookmarkEnd w:id="86"/>
      <w:bookmarkEnd w:id="87"/>
      <w:bookmarkEnd w:id="88"/>
      <w:bookmarkEnd w:id="89"/>
      <w:bookmarkEnd w:id="90"/>
    </w:p>
    <w:p w14:paraId="3C9D3C5D" w14:textId="60FC8F1D" w:rsidR="002E7F42" w:rsidRPr="00A34F10" w:rsidRDefault="002E7F42" w:rsidP="002E7F42">
      <w:pPr>
        <w:pStyle w:val="RepStandard"/>
        <w:suppressAutoHyphens/>
      </w:pPr>
      <w:r w:rsidRPr="00A34F10">
        <w:t xml:space="preserve">The risk assessment was based on the “Guidance Document on Terrestrial Ecotoxicology”, (SANCO/10329/2002 rev.2 final, 2002). BAS </w:t>
      </w:r>
      <w:r w:rsidR="007A3825">
        <w:t>743 03</w:t>
      </w:r>
      <w:r w:rsidRPr="00A34F10">
        <w:t xml:space="preserve"> F is a fungicide and is therefore not expected to have significant herbicidal activity. Hence, a Tier 1 assessment was conducted, using the available screening data.</w:t>
      </w:r>
    </w:p>
    <w:p w14:paraId="77217DCB" w14:textId="77777777" w:rsidR="002E7F42" w:rsidRPr="00A34F10" w:rsidRDefault="002E7F42" w:rsidP="002E7F42">
      <w:pPr>
        <w:pStyle w:val="RepStandard"/>
        <w:suppressAutoHyphens/>
      </w:pPr>
    </w:p>
    <w:p w14:paraId="5AE3D5EC" w14:textId="77777777" w:rsidR="002E7F42" w:rsidRPr="00A34F10" w:rsidRDefault="002E7F42" w:rsidP="002E7F42">
      <w:pPr>
        <w:pStyle w:val="RepStandard"/>
        <w:suppressAutoHyphens/>
      </w:pPr>
      <w:r w:rsidRPr="00A34F10">
        <w:t xml:space="preserve">A study on the effects of BAS 743 03 F exposure on seedling emergence and vegetative vigour of terrestrial higher plants was conducted. The results showed that applications up to a rate of 3.85 L BAS 743 03 F/ha </w:t>
      </w:r>
      <w:r w:rsidRPr="00A34F10">
        <w:lastRenderedPageBreak/>
        <w:t xml:space="preserve">caused no reduced seedling emergence and plant fresh weight, and no symptoms of phytotoxicity were observed for any of the seven terrestrial plant species tested.   </w:t>
      </w:r>
    </w:p>
    <w:p w14:paraId="71929E44" w14:textId="77777777" w:rsidR="002E7F42" w:rsidRPr="00A34F10" w:rsidRDefault="002E7F42" w:rsidP="002E7F42">
      <w:pPr>
        <w:pStyle w:val="RepStandard"/>
        <w:suppressAutoHyphens/>
      </w:pPr>
    </w:p>
    <w:p w14:paraId="20CE873F" w14:textId="77777777" w:rsidR="002E7F42" w:rsidRPr="00A34F10" w:rsidRDefault="002E7F42" w:rsidP="002E7F42">
      <w:pPr>
        <w:pStyle w:val="RepStandard"/>
        <w:suppressAutoHyphens/>
      </w:pPr>
      <w:r w:rsidRPr="00A34F10">
        <w:t xml:space="preserve">The Tier 1 risk assessment based on screening data demonstrates an acceptable risk to non-target terrestrial plants for all intended uses of BAS 743 03 F. </w:t>
      </w:r>
    </w:p>
    <w:p w14:paraId="2E274F22" w14:textId="77777777" w:rsidR="002E7F42" w:rsidRPr="00A34F10" w:rsidRDefault="002E7F42" w:rsidP="002E7F42">
      <w:pPr>
        <w:pStyle w:val="RepStandard"/>
        <w:suppressAutoHyphens/>
      </w:pPr>
    </w:p>
    <w:p w14:paraId="3A11CF06" w14:textId="35139DA0" w:rsidR="00CE08CB" w:rsidRDefault="002E7F42" w:rsidP="002E7F42">
      <w:pPr>
        <w:pStyle w:val="RepStandard"/>
        <w:rPr>
          <w:b/>
        </w:rPr>
      </w:pPr>
      <w:r w:rsidRPr="00A34F10">
        <w:rPr>
          <w:b/>
        </w:rPr>
        <w:t>Based on the risk assessment it can be concluded that the proposed uses of BAS 743 03 F pose no unacceptable risk to non-target plants, if applied according to the recommended use patterns. Particular precautions to reduce the environmental concentrations resulting from BAS 743 03 F applications are not required for the protection of terrestrial non-target plants.</w:t>
      </w:r>
    </w:p>
    <w:p w14:paraId="69D980ED" w14:textId="77777777" w:rsidR="00D526BE" w:rsidRPr="00A34F10" w:rsidRDefault="002A31C0" w:rsidP="00AA32CE">
      <w:pPr>
        <w:pStyle w:val="Nagwek4"/>
        <w:rPr>
          <w:lang w:val="en-GB"/>
        </w:rPr>
      </w:pPr>
      <w:bookmarkStart w:id="91" w:name="_Toc415214554"/>
      <w:bookmarkStart w:id="92" w:name="_Toc414955247"/>
      <w:bookmarkStart w:id="93" w:name="_Toc413922610"/>
      <w:bookmarkStart w:id="94" w:name="_Toc413922506"/>
      <w:bookmarkStart w:id="95" w:name="_Toc413922017"/>
      <w:bookmarkStart w:id="96" w:name="_Toc413916956"/>
      <w:bookmarkStart w:id="97" w:name="_Toc413916814"/>
      <w:bookmarkStart w:id="98" w:name="_Toc412643968"/>
      <w:bookmarkStart w:id="99" w:name="_Toc181624942"/>
      <w:r w:rsidRPr="00A34F10">
        <w:rPr>
          <w:lang w:val="en-GB"/>
        </w:rPr>
        <w:t>Effects on other terrestrial organisms (flora and fauna) (KCP 10.7)</w:t>
      </w:r>
      <w:bookmarkEnd w:id="91"/>
      <w:bookmarkEnd w:id="92"/>
      <w:bookmarkEnd w:id="93"/>
      <w:bookmarkEnd w:id="94"/>
      <w:bookmarkEnd w:id="95"/>
      <w:bookmarkEnd w:id="96"/>
      <w:bookmarkEnd w:id="97"/>
      <w:bookmarkEnd w:id="98"/>
      <w:bookmarkEnd w:id="99"/>
    </w:p>
    <w:p w14:paraId="5E28948F" w14:textId="76BD8577" w:rsidR="00CE08CB" w:rsidRPr="00A34F10" w:rsidRDefault="002E7F42" w:rsidP="002E7F42">
      <w:pPr>
        <w:pStyle w:val="RepStandard"/>
      </w:pPr>
      <w:r w:rsidRPr="00A34F10">
        <w:t>Not relevant.</w:t>
      </w:r>
    </w:p>
    <w:p w14:paraId="5CB09166" w14:textId="77777777" w:rsidR="00D526BE" w:rsidRPr="00A34F10" w:rsidRDefault="00D526BE" w:rsidP="00AA32CE">
      <w:pPr>
        <w:pStyle w:val="Nagwek3"/>
        <w:rPr>
          <w:rFonts w:cs="Times New Roman"/>
        </w:rPr>
      </w:pPr>
      <w:bookmarkStart w:id="100" w:name="_Toc399487256"/>
      <w:bookmarkStart w:id="101" w:name="_Ref405664680"/>
      <w:bookmarkStart w:id="102" w:name="_Toc412643969"/>
      <w:bookmarkStart w:id="103" w:name="_Toc413916815"/>
      <w:bookmarkStart w:id="104" w:name="_Toc413916957"/>
      <w:bookmarkStart w:id="105" w:name="_Toc413922018"/>
      <w:bookmarkStart w:id="106" w:name="_Toc413922507"/>
      <w:bookmarkStart w:id="107" w:name="_Toc413922611"/>
      <w:bookmarkStart w:id="108" w:name="_Toc414955248"/>
      <w:bookmarkStart w:id="109" w:name="_Ref414959197"/>
      <w:bookmarkStart w:id="110" w:name="_Ref414959507"/>
      <w:bookmarkStart w:id="111" w:name="_Ref414959601"/>
      <w:bookmarkStart w:id="112" w:name="_Ref414960861"/>
      <w:bookmarkStart w:id="113" w:name="_Ref414961143"/>
      <w:bookmarkStart w:id="114" w:name="_Ref414961231"/>
      <w:bookmarkStart w:id="115" w:name="_Ref414962982"/>
      <w:bookmarkStart w:id="116" w:name="_Ref414969927"/>
      <w:bookmarkStart w:id="117" w:name="_Ref414969999"/>
      <w:bookmarkStart w:id="118" w:name="_Ref414970412"/>
      <w:bookmarkStart w:id="119" w:name="_Ref414972586"/>
      <w:bookmarkStart w:id="120" w:name="_Ref414978309"/>
      <w:bookmarkStart w:id="121" w:name="_Ref414978602"/>
      <w:bookmarkStart w:id="122" w:name="_Ref414979250"/>
      <w:bookmarkStart w:id="123" w:name="_Ref414979328"/>
      <w:bookmarkStart w:id="124" w:name="_Toc415214555"/>
      <w:bookmarkStart w:id="125" w:name="_Toc181624943"/>
      <w:r w:rsidRPr="00A34F10">
        <w:rPr>
          <w:rFonts w:cs="Times New Roman"/>
        </w:rPr>
        <w:t>Grouping of intended uses for risk assessment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CC6D489" w14:textId="77777777" w:rsidR="00D526BE" w:rsidRPr="00A34F10" w:rsidRDefault="00D526BE" w:rsidP="00AA32CE">
      <w:pPr>
        <w:pStyle w:val="RepStandard"/>
      </w:pPr>
      <w:r w:rsidRPr="00A34F10">
        <w:t>The following table documents the grouping of the intended uses to support application of the risk envelope approach (according to SANCO/11244/2011).</w:t>
      </w:r>
    </w:p>
    <w:p w14:paraId="472BCEEB" w14:textId="6C37E52F" w:rsidR="002E7F42" w:rsidRPr="00A34F10" w:rsidRDefault="00E122F3" w:rsidP="00BB63B3">
      <w:pPr>
        <w:pStyle w:val="Repheading"/>
      </w:pPr>
      <w:bookmarkStart w:id="126" w:name="_Toc412643970"/>
      <w:bookmarkStart w:id="127" w:name="_Toc413916816"/>
      <w:bookmarkStart w:id="128" w:name="_Toc413916958"/>
      <w:bookmarkStart w:id="129" w:name="_Toc413922019"/>
      <w:bookmarkStart w:id="130" w:name="_Toc413922508"/>
      <w:bookmarkStart w:id="131" w:name="_Toc413922612"/>
      <w:bookmarkStart w:id="132" w:name="_Toc414955249"/>
      <w:bookmarkStart w:id="133" w:name="_Toc415214556"/>
      <w:r w:rsidRPr="00A34F10">
        <w:t xml:space="preserve">Table </w:t>
      </w:r>
      <w:r w:rsidR="007E7467">
        <w:fldChar w:fldCharType="begin"/>
      </w:r>
      <w:r w:rsidR="007E7467">
        <w:instrText xml:space="preserve"> STYLEREF 2 \s </w:instrText>
      </w:r>
      <w:r w:rsidR="007E7467">
        <w:fldChar w:fldCharType="separate"/>
      </w:r>
      <w:r w:rsidR="006F0F3B">
        <w:rPr>
          <w:noProof/>
        </w:rPr>
        <w:t>9.1</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2</w:t>
      </w:r>
      <w:r w:rsidR="007E7467">
        <w:fldChar w:fldCharType="end"/>
      </w:r>
      <w:r w:rsidR="002E7F42" w:rsidRPr="00A34F10">
        <w:t>:</w:t>
      </w:r>
      <w:r w:rsidR="002E7F42" w:rsidRPr="00A34F10">
        <w:tab/>
        <w:t>Critical use pattern of BAS 743 03 F grouped according to worst-case application</w:t>
      </w:r>
    </w:p>
    <w:tbl>
      <w:tblPr>
        <w:tblW w:w="0" w:type="auto"/>
        <w:tblCellMar>
          <w:left w:w="0" w:type="dxa"/>
          <w:right w:w="0" w:type="dxa"/>
        </w:tblCellMar>
        <w:tblLook w:val="04A0" w:firstRow="1" w:lastRow="0" w:firstColumn="1" w:lastColumn="0" w:noHBand="0" w:noVBand="1"/>
      </w:tblPr>
      <w:tblGrid>
        <w:gridCol w:w="1403"/>
        <w:gridCol w:w="1881"/>
        <w:gridCol w:w="1594"/>
        <w:gridCol w:w="2840"/>
        <w:gridCol w:w="1619"/>
      </w:tblGrid>
      <w:tr w:rsidR="002E7F42" w:rsidRPr="00A34F10" w14:paraId="09BF71EB" w14:textId="77777777" w:rsidTr="00494F01">
        <w:trPr>
          <w:cantSplit/>
          <w:tblHeader/>
        </w:trPr>
        <w:tc>
          <w:tcPr>
            <w:tcW w:w="0" w:type="auto"/>
            <w:gridSpan w:val="5"/>
            <w:tcBorders>
              <w:top w:val="single" w:sz="8" w:space="0" w:color="auto"/>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76ADEF3A" w14:textId="77777777" w:rsidR="002E7F42" w:rsidRPr="00A34F10" w:rsidRDefault="002E7F42" w:rsidP="00494F01">
            <w:pPr>
              <w:keepNext/>
              <w:spacing w:before="60" w:after="60"/>
              <w:jc w:val="center"/>
              <w:rPr>
                <w:rFonts w:eastAsia="Calibri"/>
                <w:b/>
                <w:bCs/>
                <w:sz w:val="20"/>
                <w:szCs w:val="20"/>
                <w:lang w:val="en-GB"/>
              </w:rPr>
            </w:pPr>
            <w:r w:rsidRPr="00A34F10">
              <w:rPr>
                <w:rFonts w:eastAsia="Calibri"/>
                <w:b/>
                <w:bCs/>
                <w:sz w:val="20"/>
                <w:szCs w:val="20"/>
                <w:lang w:val="en-GB"/>
              </w:rPr>
              <w:t>Grouping according to worst-case application</w:t>
            </w:r>
          </w:p>
        </w:tc>
      </w:tr>
      <w:tr w:rsidR="002E7F42" w:rsidRPr="00A34F10" w14:paraId="014E730E" w14:textId="77777777" w:rsidTr="00494F01">
        <w:trPr>
          <w:cantSplit/>
          <w:tblHeader/>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108202F0" w14:textId="77777777" w:rsidR="002E7F42" w:rsidRPr="00A34F10" w:rsidRDefault="002E7F42" w:rsidP="00494F01">
            <w:pPr>
              <w:jc w:val="center"/>
              <w:rPr>
                <w:rFonts w:eastAsia="Calibri"/>
                <w:b/>
                <w:bCs/>
                <w:sz w:val="20"/>
                <w:szCs w:val="20"/>
                <w:lang w:val="en-GB" w:eastAsia="en-GB"/>
              </w:rPr>
            </w:pPr>
            <w:r w:rsidRPr="00A34F10">
              <w:rPr>
                <w:rFonts w:eastAsia="Calibri"/>
                <w:b/>
                <w:bCs/>
                <w:sz w:val="20"/>
                <w:szCs w:val="20"/>
                <w:lang w:val="en-GB" w:eastAsia="en-GB"/>
              </w:rPr>
              <w:t>Area</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66B77E5D" w14:textId="77777777" w:rsidR="002E7F42" w:rsidRPr="00A34F10" w:rsidRDefault="002E7F42" w:rsidP="00494F01">
            <w:pPr>
              <w:jc w:val="center"/>
              <w:rPr>
                <w:rFonts w:eastAsia="Calibri"/>
                <w:b/>
                <w:bCs/>
                <w:sz w:val="20"/>
                <w:szCs w:val="20"/>
                <w:lang w:val="en-GB" w:eastAsia="en-GB"/>
              </w:rPr>
            </w:pPr>
            <w:r w:rsidRPr="00A34F10">
              <w:rPr>
                <w:rFonts w:eastAsia="Calibri"/>
                <w:b/>
                <w:bCs/>
                <w:sz w:val="20"/>
                <w:szCs w:val="20"/>
                <w:lang w:val="en-GB" w:eastAsia="en-GB"/>
              </w:rPr>
              <w:t>Group</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28779313" w14:textId="77777777" w:rsidR="002E7F42" w:rsidRPr="00A34F10" w:rsidRDefault="002E7F42" w:rsidP="00494F01">
            <w:pPr>
              <w:jc w:val="center"/>
              <w:rPr>
                <w:rFonts w:eastAsia="Calibri"/>
                <w:b/>
                <w:bCs/>
                <w:sz w:val="20"/>
                <w:szCs w:val="20"/>
                <w:lang w:val="en-GB" w:eastAsia="en-GB"/>
              </w:rPr>
            </w:pPr>
            <w:r w:rsidRPr="00A34F10">
              <w:rPr>
                <w:rFonts w:eastAsia="Calibri"/>
                <w:b/>
                <w:bCs/>
                <w:sz w:val="20"/>
                <w:szCs w:val="20"/>
                <w:lang w:val="en-GB" w:eastAsia="en-GB"/>
              </w:rPr>
              <w:t>Intended uses</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0E51F8DA" w14:textId="77777777" w:rsidR="002E7F42" w:rsidRPr="00A34F10" w:rsidRDefault="002E7F42" w:rsidP="00494F01">
            <w:pPr>
              <w:jc w:val="center"/>
              <w:rPr>
                <w:rFonts w:eastAsia="Calibri"/>
                <w:b/>
                <w:bCs/>
                <w:sz w:val="20"/>
                <w:szCs w:val="20"/>
                <w:lang w:val="en-GB" w:eastAsia="en-GB"/>
              </w:rPr>
            </w:pPr>
            <w:r w:rsidRPr="00A34F10">
              <w:rPr>
                <w:rFonts w:eastAsia="Calibri"/>
                <w:b/>
                <w:bCs/>
                <w:sz w:val="20"/>
                <w:szCs w:val="20"/>
                <w:lang w:val="en-GB" w:eastAsia="en-GB"/>
              </w:rPr>
              <w:t>Relevant use parameters for grouping</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79C47877" w14:textId="77777777" w:rsidR="002E7F42" w:rsidRPr="00A34F10" w:rsidRDefault="002E7F42" w:rsidP="00494F01">
            <w:pPr>
              <w:jc w:val="center"/>
              <w:rPr>
                <w:rFonts w:eastAsia="Calibri"/>
                <w:b/>
                <w:bCs/>
                <w:sz w:val="20"/>
                <w:szCs w:val="20"/>
                <w:lang w:val="en-GB" w:eastAsia="en-GB"/>
              </w:rPr>
            </w:pPr>
            <w:r w:rsidRPr="00A34F10">
              <w:rPr>
                <w:rFonts w:eastAsia="Calibri"/>
                <w:b/>
                <w:bCs/>
                <w:sz w:val="20"/>
                <w:szCs w:val="20"/>
                <w:lang w:val="en-GB" w:eastAsia="en-GB"/>
              </w:rPr>
              <w:t>Relevant parameter or value for sorting</w:t>
            </w:r>
          </w:p>
        </w:tc>
      </w:tr>
      <w:tr w:rsidR="002E7F42" w:rsidRPr="00A34F10" w14:paraId="6C8DA881"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tcPr>
          <w:p w14:paraId="39A0A372"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Birds </w:t>
            </w:r>
          </w:p>
        </w:tc>
        <w:tc>
          <w:tcPr>
            <w:tcW w:w="1911" w:type="dxa"/>
            <w:vMerge w:val="restart"/>
            <w:tcBorders>
              <w:top w:val="nil"/>
              <w:left w:val="nil"/>
              <w:right w:val="single" w:sz="8" w:space="0" w:color="auto"/>
            </w:tcBorders>
            <w:tcMar>
              <w:top w:w="57" w:type="dxa"/>
              <w:left w:w="57" w:type="dxa"/>
              <w:bottom w:w="57" w:type="dxa"/>
              <w:right w:w="57" w:type="dxa"/>
            </w:tcMar>
            <w:vAlign w:val="center"/>
            <w:hideMark/>
          </w:tcPr>
          <w:p w14:paraId="62AB3191" w14:textId="149FF884" w:rsidR="002E7F42" w:rsidRPr="00A34F10" w:rsidRDefault="002E7F42" w:rsidP="00494F01">
            <w:pPr>
              <w:rPr>
                <w:rFonts w:eastAsia="Calibri"/>
                <w:sz w:val="20"/>
                <w:szCs w:val="20"/>
                <w:lang w:val="en-GB" w:eastAsia="en-GB"/>
              </w:rPr>
            </w:pPr>
            <w:r w:rsidRPr="00A34F10">
              <w:rPr>
                <w:rFonts w:eastAsia="Calibri"/>
                <w:sz w:val="20"/>
                <w:szCs w:val="20"/>
                <w:lang w:val="en-GB" w:eastAsia="en-GB"/>
              </w:rPr>
              <w:t>Potatoes, onions (Bulbs and onion like crops), tomato/aubergine (crop group fruiting vegetables), ornamentals</w:t>
            </w:r>
            <w:r w:rsidR="00B3068D" w:rsidRPr="00B3068D">
              <w:rPr>
                <w:rFonts w:eastAsia="Calibri"/>
                <w:sz w:val="20"/>
                <w:szCs w:val="20"/>
                <w:highlight w:val="green"/>
                <w:lang w:val="en-GB" w:eastAsia="en-GB"/>
              </w:rPr>
              <w:t>, orchards</w:t>
            </w:r>
            <w:r w:rsidR="00FB5212" w:rsidRPr="00FB5212">
              <w:rPr>
                <w:rFonts w:eastAsia="Calibri"/>
                <w:sz w:val="20"/>
                <w:szCs w:val="20"/>
                <w:highlight w:val="green"/>
                <w:lang w:val="en-GB" w:eastAsia="en-GB"/>
              </w:rPr>
              <w:t>, bush and cane fruit</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5C997538"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0632D49E"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Crop group according to EFSA/2009/1438</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67135AC2"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The worst-case application scenario is selected within each crop group separately.</w:t>
            </w:r>
          </w:p>
        </w:tc>
      </w:tr>
      <w:tr w:rsidR="002E7F42" w:rsidRPr="00A34F10" w14:paraId="12A611E7"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tcPr>
          <w:p w14:paraId="11864983"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Birds secondary poisoning</w:t>
            </w:r>
          </w:p>
        </w:tc>
        <w:tc>
          <w:tcPr>
            <w:tcW w:w="1911" w:type="dxa"/>
            <w:vMerge/>
            <w:tcBorders>
              <w:left w:val="nil"/>
              <w:bottom w:val="single" w:sz="8" w:space="0" w:color="auto"/>
              <w:right w:val="single" w:sz="8" w:space="0" w:color="auto"/>
            </w:tcBorders>
            <w:tcMar>
              <w:top w:w="57" w:type="dxa"/>
              <w:left w:w="57" w:type="dxa"/>
              <w:bottom w:w="57" w:type="dxa"/>
              <w:right w:w="57" w:type="dxa"/>
            </w:tcMar>
            <w:vAlign w:val="center"/>
          </w:tcPr>
          <w:p w14:paraId="67BEE8C0" w14:textId="77777777" w:rsidR="002E7F42" w:rsidRPr="00A34F10" w:rsidRDefault="002E7F42" w:rsidP="00494F01">
            <w:pPr>
              <w:rPr>
                <w:rFonts w:eastAsia="Calibri"/>
                <w:sz w:val="20"/>
                <w:szCs w:val="20"/>
                <w:lang w:val="en-GB" w:eastAsia="en-GB"/>
              </w:rPr>
            </w:pP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tcPr>
          <w:p w14:paraId="21F3F680"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tcPr>
          <w:p w14:paraId="274463CB"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 values resulting from calculations for single or multiple application following FOCUS surface water modelling</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tcPr>
          <w:p w14:paraId="05B52DAE"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w:t>
            </w:r>
            <w:r w:rsidRPr="00A34F10">
              <w:rPr>
                <w:rFonts w:eastAsia="Calibri"/>
                <w:sz w:val="20"/>
                <w:szCs w:val="20"/>
                <w:vertAlign w:val="subscript"/>
                <w:lang w:val="en-GB" w:eastAsia="en-GB"/>
              </w:rPr>
              <w:t>SW</w:t>
            </w:r>
            <w:r w:rsidRPr="00A34F10">
              <w:rPr>
                <w:rFonts w:eastAsia="Calibri"/>
                <w:sz w:val="20"/>
                <w:szCs w:val="20"/>
                <w:lang w:val="en-GB" w:eastAsia="en-GB"/>
              </w:rPr>
              <w:t xml:space="preserve"> </w:t>
            </w:r>
          </w:p>
        </w:tc>
      </w:tr>
      <w:tr w:rsidR="002E7F42" w:rsidRPr="00A34F10" w14:paraId="3753E3E2"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08098C69"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Mammals</w:t>
            </w:r>
          </w:p>
        </w:tc>
        <w:tc>
          <w:tcPr>
            <w:tcW w:w="1911" w:type="dxa"/>
            <w:vMerge w:val="restart"/>
            <w:tcBorders>
              <w:top w:val="nil"/>
              <w:left w:val="nil"/>
              <w:right w:val="single" w:sz="8" w:space="0" w:color="auto"/>
            </w:tcBorders>
            <w:tcMar>
              <w:top w:w="57" w:type="dxa"/>
              <w:left w:w="57" w:type="dxa"/>
              <w:bottom w:w="57" w:type="dxa"/>
              <w:right w:w="57" w:type="dxa"/>
            </w:tcMar>
            <w:vAlign w:val="center"/>
            <w:hideMark/>
          </w:tcPr>
          <w:p w14:paraId="715C422D" w14:textId="336011C6" w:rsidR="002E7F42" w:rsidRPr="00A34F10" w:rsidRDefault="002E7F42" w:rsidP="00494F01">
            <w:pPr>
              <w:rPr>
                <w:rFonts w:eastAsia="Calibri"/>
                <w:sz w:val="20"/>
                <w:szCs w:val="20"/>
                <w:lang w:val="en-GB" w:eastAsia="en-GB"/>
              </w:rPr>
            </w:pPr>
            <w:r w:rsidRPr="00A34F10">
              <w:rPr>
                <w:rFonts w:eastAsia="Calibri"/>
                <w:sz w:val="20"/>
                <w:szCs w:val="20"/>
                <w:lang w:val="en-GB" w:eastAsia="en-GB"/>
              </w:rPr>
              <w:t>Potatoes, onions (Bulbs and onion like crops), tomato/aubergine (crop group fruiting vegetables), ornamentals</w:t>
            </w:r>
            <w:r w:rsidR="00FB5212" w:rsidRPr="00B3068D">
              <w:rPr>
                <w:rFonts w:eastAsia="Calibri"/>
                <w:sz w:val="20"/>
                <w:szCs w:val="20"/>
                <w:highlight w:val="green"/>
                <w:lang w:val="en-GB" w:eastAsia="en-GB"/>
              </w:rPr>
              <w:t>, orchards</w:t>
            </w:r>
            <w:r w:rsidR="00FB5212" w:rsidRPr="00FB5212">
              <w:rPr>
                <w:rFonts w:eastAsia="Calibri"/>
                <w:sz w:val="20"/>
                <w:szCs w:val="20"/>
                <w:highlight w:val="green"/>
                <w:lang w:val="en-GB" w:eastAsia="en-GB"/>
              </w:rPr>
              <w:t>, bush and cane fruit</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7B63B4BA"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3B19317E"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Crop group according to EFSA/2009/1438</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508C743B"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The worst-case application scenario is selected within each crop group separately.</w:t>
            </w:r>
          </w:p>
        </w:tc>
      </w:tr>
      <w:tr w:rsidR="002E7F42" w:rsidRPr="00A34F10" w14:paraId="067DDA05"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tcPr>
          <w:p w14:paraId="285A36E2"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Mammals secondary poisoning</w:t>
            </w:r>
          </w:p>
        </w:tc>
        <w:tc>
          <w:tcPr>
            <w:tcW w:w="1911" w:type="dxa"/>
            <w:vMerge/>
            <w:tcBorders>
              <w:left w:val="nil"/>
              <w:bottom w:val="single" w:sz="8" w:space="0" w:color="auto"/>
              <w:right w:val="single" w:sz="8" w:space="0" w:color="auto"/>
            </w:tcBorders>
            <w:tcMar>
              <w:top w:w="57" w:type="dxa"/>
              <w:left w:w="57" w:type="dxa"/>
              <w:bottom w:w="57" w:type="dxa"/>
              <w:right w:w="57" w:type="dxa"/>
            </w:tcMar>
            <w:vAlign w:val="center"/>
          </w:tcPr>
          <w:p w14:paraId="27F85784" w14:textId="77777777" w:rsidR="002E7F42" w:rsidRPr="00A34F10" w:rsidRDefault="002E7F42" w:rsidP="00494F01">
            <w:pPr>
              <w:rPr>
                <w:rFonts w:eastAsia="Calibri"/>
                <w:sz w:val="20"/>
                <w:szCs w:val="20"/>
                <w:lang w:val="en-GB" w:eastAsia="en-GB"/>
              </w:rPr>
            </w:pP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tcPr>
          <w:p w14:paraId="7D422D81"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tcPr>
          <w:p w14:paraId="6ED8A3CC"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 values resulting from calculations for single or multiple application following FOCUS surface water modelling</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tcPr>
          <w:p w14:paraId="0810C5B8"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w:t>
            </w:r>
            <w:r w:rsidRPr="00A34F10">
              <w:rPr>
                <w:rFonts w:eastAsia="Calibri"/>
                <w:sz w:val="20"/>
                <w:szCs w:val="20"/>
                <w:vertAlign w:val="subscript"/>
                <w:lang w:val="en-GB" w:eastAsia="en-GB"/>
              </w:rPr>
              <w:t>SW</w:t>
            </w:r>
            <w:r w:rsidRPr="00A34F10">
              <w:rPr>
                <w:rFonts w:eastAsia="Calibri"/>
                <w:sz w:val="20"/>
                <w:szCs w:val="20"/>
                <w:lang w:val="en-GB" w:eastAsia="en-GB"/>
              </w:rPr>
              <w:t xml:space="preserve"> </w:t>
            </w:r>
          </w:p>
        </w:tc>
      </w:tr>
      <w:tr w:rsidR="002E7F42" w:rsidRPr="00A34F10" w14:paraId="1194B4D1" w14:textId="77777777" w:rsidTr="00494F01">
        <w:trPr>
          <w:cantSplit/>
        </w:trPr>
        <w:tc>
          <w:tcPr>
            <w:tcW w:w="0" w:type="auto"/>
            <w:tcBorders>
              <w:top w:val="single" w:sz="8" w:space="0" w:color="auto"/>
              <w:left w:val="single" w:sz="8" w:space="0" w:color="auto"/>
              <w:bottom w:val="single" w:sz="4" w:space="0" w:color="auto"/>
              <w:right w:val="single" w:sz="8" w:space="0" w:color="auto"/>
            </w:tcBorders>
            <w:tcMar>
              <w:top w:w="57" w:type="dxa"/>
              <w:left w:w="57" w:type="dxa"/>
              <w:bottom w:w="57" w:type="dxa"/>
              <w:right w:w="57" w:type="dxa"/>
            </w:tcMar>
            <w:vAlign w:val="center"/>
            <w:hideMark/>
          </w:tcPr>
          <w:p w14:paraId="2521B1CF"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Aquatic organisms</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18AF0A53" w14:textId="3E1E3751" w:rsidR="002E7F42" w:rsidRPr="00A34F10" w:rsidRDefault="002E7F42" w:rsidP="00494F01">
            <w:pPr>
              <w:rPr>
                <w:rFonts w:eastAsia="Calibri"/>
                <w:sz w:val="20"/>
                <w:szCs w:val="20"/>
                <w:lang w:val="en-GB" w:eastAsia="en-GB"/>
              </w:rPr>
            </w:pPr>
            <w:r w:rsidRPr="00A34F10">
              <w:rPr>
                <w:rFonts w:eastAsia="Calibri"/>
                <w:sz w:val="20"/>
                <w:szCs w:val="20"/>
                <w:lang w:val="en-GB" w:eastAsia="en-GB"/>
              </w:rPr>
              <w:t>Potatoes, onions (Bulbs and onion like crops), tomato/aubergine (crop group fruiting vegetables), ornamentals</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0E2BC781" w14:textId="77777777" w:rsidR="002E7F42" w:rsidRPr="00A34F10" w:rsidRDefault="002E7F42" w:rsidP="00494F01">
            <w:pPr>
              <w:rPr>
                <w:rFonts w:eastAsia="Calibri"/>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40915FED"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 values resulting from calculations for single or multiple application following FOCUS surface water modelling</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2419EC8D"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w:t>
            </w:r>
            <w:r w:rsidRPr="00A34F10">
              <w:rPr>
                <w:rFonts w:eastAsia="Calibri"/>
                <w:sz w:val="20"/>
                <w:szCs w:val="20"/>
                <w:vertAlign w:val="subscript"/>
                <w:lang w:val="en-GB" w:eastAsia="en-GB"/>
              </w:rPr>
              <w:t>SW</w:t>
            </w:r>
            <w:r w:rsidRPr="00A34F10">
              <w:rPr>
                <w:rFonts w:eastAsia="Calibri"/>
                <w:sz w:val="20"/>
                <w:szCs w:val="20"/>
                <w:lang w:val="en-GB" w:eastAsia="en-GB"/>
              </w:rPr>
              <w:t xml:space="preserve"> </w:t>
            </w:r>
          </w:p>
        </w:tc>
      </w:tr>
      <w:tr w:rsidR="002E7F42" w:rsidRPr="00A34F10" w14:paraId="26F7642D" w14:textId="77777777" w:rsidTr="00494F01">
        <w:trPr>
          <w:cantSplit/>
        </w:trPr>
        <w:tc>
          <w:tcPr>
            <w:tcW w:w="0" w:type="auto"/>
            <w:tcBorders>
              <w:top w:val="single" w:sz="4" w:space="0" w:color="auto"/>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10E9765E"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lastRenderedPageBreak/>
              <w:t>Bees</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676EAFB7"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Maximum single application rate</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1C57E8D5"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738BF5B0"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Maximum single application rate </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5B5D579F"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x 2 L product/ha</w:t>
            </w:r>
          </w:p>
        </w:tc>
      </w:tr>
      <w:tr w:rsidR="002E7F42" w:rsidRPr="00A34F10" w14:paraId="4618C854"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7BCADE0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Non-target arthropods</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30B4778E"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Field crops</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165B414E" w14:textId="77777777" w:rsidR="002E7F42" w:rsidRPr="00A34F10" w:rsidRDefault="002E7F42" w:rsidP="00494F01">
            <w:pPr>
              <w:rPr>
                <w:rFonts w:eastAsia="Calibri"/>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45E5021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application pattern (i.e. maximum application rate, maximum number of applications), crop group according to ESCORT 2</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7D8DDB08"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Highest multiple application rate in potatoes: 3 x 2.0 L product/ha</w:t>
            </w:r>
          </w:p>
        </w:tc>
      </w:tr>
      <w:tr w:rsidR="002E7F42" w:rsidRPr="00A34F10" w14:paraId="43078FB0" w14:textId="77777777" w:rsidTr="00494F01">
        <w:trPr>
          <w:cantSplit/>
        </w:trPr>
        <w:tc>
          <w:tcPr>
            <w:tcW w:w="0" w:type="auto"/>
            <w:tcBorders>
              <w:top w:val="nil"/>
              <w:left w:val="single" w:sz="8" w:space="0" w:color="auto"/>
              <w:right w:val="single" w:sz="8" w:space="0" w:color="auto"/>
            </w:tcBorders>
            <w:tcMar>
              <w:top w:w="57" w:type="dxa"/>
              <w:left w:w="57" w:type="dxa"/>
              <w:bottom w:w="57" w:type="dxa"/>
              <w:right w:w="57" w:type="dxa"/>
            </w:tcMar>
            <w:vAlign w:val="center"/>
            <w:hideMark/>
          </w:tcPr>
          <w:p w14:paraId="3FCA1343"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Soil macro- and mesofauna, soil microorganisms </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4651B58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Onion/cucurbits </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47ADBAC2"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 3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6EE27F9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Worst-case PEC values </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024598E7"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Worst-case PEC values calculated for onions/cucurbits</w:t>
            </w:r>
          </w:p>
        </w:tc>
      </w:tr>
      <w:tr w:rsidR="002E7F42" w:rsidRPr="00A34F10" w14:paraId="0A5BD65E" w14:textId="77777777" w:rsidTr="00494F01">
        <w:trPr>
          <w:cantSplit/>
        </w:trPr>
        <w:tc>
          <w:tcPr>
            <w:tcW w:w="0" w:type="auto"/>
            <w:tcBorders>
              <w:top w:val="nil"/>
              <w:left w:val="single" w:sz="8" w:space="0" w:color="auto"/>
              <w:bottom w:val="single" w:sz="8" w:space="0" w:color="auto"/>
              <w:right w:val="single" w:sz="8" w:space="0" w:color="auto"/>
            </w:tcBorders>
            <w:tcMar>
              <w:top w:w="57" w:type="dxa"/>
              <w:left w:w="57" w:type="dxa"/>
              <w:bottom w:w="57" w:type="dxa"/>
              <w:right w:w="57" w:type="dxa"/>
            </w:tcMar>
            <w:vAlign w:val="center"/>
            <w:hideMark/>
          </w:tcPr>
          <w:p w14:paraId="14202E81"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Non-target plants</w:t>
            </w:r>
          </w:p>
        </w:tc>
        <w:tc>
          <w:tcPr>
            <w:tcW w:w="1911"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31A4D3FF"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Field crops </w:t>
            </w:r>
          </w:p>
        </w:tc>
        <w:tc>
          <w:tcPr>
            <w:tcW w:w="1645"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1B659BE8"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x 2 L product/ha</w:t>
            </w:r>
          </w:p>
        </w:tc>
        <w:tc>
          <w:tcPr>
            <w:tcW w:w="2949"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241AC49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 xml:space="preserve">Maximum single application rate </w:t>
            </w:r>
          </w:p>
        </w:tc>
        <w:tc>
          <w:tcPr>
            <w:tcW w:w="1634" w:type="dxa"/>
            <w:tcBorders>
              <w:top w:val="nil"/>
              <w:left w:val="nil"/>
              <w:bottom w:val="single" w:sz="8" w:space="0" w:color="auto"/>
              <w:right w:val="single" w:sz="8" w:space="0" w:color="auto"/>
            </w:tcBorders>
            <w:tcMar>
              <w:top w:w="57" w:type="dxa"/>
              <w:left w:w="57" w:type="dxa"/>
              <w:bottom w:w="57" w:type="dxa"/>
              <w:right w:w="57" w:type="dxa"/>
            </w:tcMar>
            <w:vAlign w:val="center"/>
            <w:hideMark/>
          </w:tcPr>
          <w:p w14:paraId="31F475E6" w14:textId="77777777" w:rsidR="002E7F42" w:rsidRPr="00A34F10" w:rsidRDefault="002E7F42" w:rsidP="00494F01">
            <w:pPr>
              <w:rPr>
                <w:rFonts w:eastAsia="Calibri"/>
                <w:sz w:val="20"/>
                <w:szCs w:val="20"/>
                <w:lang w:val="en-GB" w:eastAsia="en-GB"/>
              </w:rPr>
            </w:pPr>
            <w:r w:rsidRPr="00A34F10">
              <w:rPr>
                <w:rFonts w:eastAsia="Calibri"/>
                <w:sz w:val="20"/>
                <w:szCs w:val="20"/>
                <w:lang w:val="en-GB" w:eastAsia="en-GB"/>
              </w:rPr>
              <w:t>1 x 2 L product/ha</w:t>
            </w:r>
          </w:p>
        </w:tc>
      </w:tr>
    </w:tbl>
    <w:p w14:paraId="1B4E2672" w14:textId="77777777" w:rsidR="00D526BE" w:rsidRPr="00A34F10" w:rsidRDefault="00D526BE" w:rsidP="00AA32CE">
      <w:pPr>
        <w:pStyle w:val="Nagwek3"/>
        <w:rPr>
          <w:rFonts w:cs="Times New Roman"/>
        </w:rPr>
      </w:pPr>
      <w:bookmarkStart w:id="134" w:name="_Toc181624944"/>
      <w:r w:rsidRPr="00A34F10">
        <w:rPr>
          <w:rFonts w:cs="Times New Roman"/>
        </w:rPr>
        <w:t>Consideration of metabolites</w:t>
      </w:r>
      <w:bookmarkEnd w:id="126"/>
      <w:bookmarkEnd w:id="127"/>
      <w:bookmarkEnd w:id="128"/>
      <w:bookmarkEnd w:id="129"/>
      <w:bookmarkEnd w:id="130"/>
      <w:bookmarkEnd w:id="131"/>
      <w:bookmarkEnd w:id="132"/>
      <w:bookmarkEnd w:id="133"/>
      <w:bookmarkEnd w:id="134"/>
    </w:p>
    <w:p w14:paraId="43593E71" w14:textId="49AF50C8" w:rsidR="003277CC" w:rsidRPr="00A34F10" w:rsidRDefault="002E7F42" w:rsidP="002E7F42">
      <w:pPr>
        <w:pStyle w:val="RepStandard"/>
        <w:suppressAutoHyphens/>
      </w:pPr>
      <w:r w:rsidRPr="00A34F10">
        <w:t>A list of metabolites found in environmental compartments is provided below. The need for conducting a metabolite-specific risk assessment in the context of the evaluation of BAS 743 03 F is indicated in the tables for both active substances.</w:t>
      </w:r>
    </w:p>
    <w:p w14:paraId="6668B3EC" w14:textId="32EC35C5" w:rsidR="002E7F42" w:rsidRPr="00A34F10" w:rsidRDefault="003277CC" w:rsidP="00BB63B3">
      <w:pPr>
        <w:pStyle w:val="Repheading"/>
      </w:pPr>
      <w:r w:rsidRPr="00A34F10">
        <w:t xml:space="preserve">Table </w:t>
      </w:r>
      <w:r w:rsidR="007E7467">
        <w:fldChar w:fldCharType="begin"/>
      </w:r>
      <w:r w:rsidR="007E7467">
        <w:instrText xml:space="preserve"> STYLEREF 2 \s </w:instrText>
      </w:r>
      <w:r w:rsidR="007E7467">
        <w:fldChar w:fldCharType="separate"/>
      </w:r>
      <w:r w:rsidR="006F0F3B">
        <w:rPr>
          <w:noProof/>
        </w:rPr>
        <w:t>9.1</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3</w:t>
      </w:r>
      <w:r w:rsidR="007E7467">
        <w:fldChar w:fldCharType="end"/>
      </w:r>
      <w:r w:rsidR="002E7F42" w:rsidRPr="00A34F10">
        <w:tab/>
        <w:t>Metabolites of Ametoctradin</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03"/>
        <w:gridCol w:w="2337"/>
        <w:gridCol w:w="1402"/>
        <w:gridCol w:w="2337"/>
        <w:gridCol w:w="1870"/>
      </w:tblGrid>
      <w:tr w:rsidR="002E7F42" w:rsidRPr="00A34F10" w14:paraId="362673E7" w14:textId="77777777" w:rsidTr="00494F01">
        <w:trPr>
          <w:tblHeader/>
        </w:trPr>
        <w:tc>
          <w:tcPr>
            <w:tcW w:w="750" w:type="pct"/>
            <w:shd w:val="clear" w:color="auto" w:fill="auto"/>
          </w:tcPr>
          <w:p w14:paraId="59CB4517" w14:textId="77777777" w:rsidR="002E7F42" w:rsidRPr="00A34F10" w:rsidRDefault="002E7F42" w:rsidP="00494F01">
            <w:pPr>
              <w:pStyle w:val="RepTableHeader"/>
              <w:suppressAutoHyphens/>
              <w:jc w:val="center"/>
              <w:rPr>
                <w:sz w:val="18"/>
                <w:szCs w:val="18"/>
                <w:lang w:val="en-GB"/>
              </w:rPr>
            </w:pPr>
            <w:r w:rsidRPr="00A34F10">
              <w:rPr>
                <w:sz w:val="18"/>
                <w:szCs w:val="18"/>
                <w:lang w:val="en-GB"/>
              </w:rPr>
              <w:t>Metabolite</w:t>
            </w:r>
          </w:p>
        </w:tc>
        <w:tc>
          <w:tcPr>
            <w:tcW w:w="1250" w:type="pct"/>
            <w:shd w:val="clear" w:color="auto" w:fill="auto"/>
          </w:tcPr>
          <w:p w14:paraId="662673D2" w14:textId="77777777" w:rsidR="002E7F42" w:rsidRPr="00A34F10" w:rsidRDefault="002E7F42" w:rsidP="00494F01">
            <w:pPr>
              <w:pStyle w:val="RepTableHeader"/>
              <w:suppressAutoHyphens/>
              <w:jc w:val="center"/>
              <w:rPr>
                <w:sz w:val="18"/>
                <w:szCs w:val="18"/>
                <w:lang w:val="en-GB"/>
              </w:rPr>
            </w:pPr>
            <w:r w:rsidRPr="00A34F10">
              <w:rPr>
                <w:sz w:val="18"/>
                <w:szCs w:val="18"/>
                <w:lang w:val="en-GB"/>
              </w:rPr>
              <w:t>Chemical structure</w:t>
            </w:r>
          </w:p>
        </w:tc>
        <w:tc>
          <w:tcPr>
            <w:tcW w:w="750" w:type="pct"/>
            <w:shd w:val="clear" w:color="auto" w:fill="auto"/>
          </w:tcPr>
          <w:p w14:paraId="6C3631C7" w14:textId="77777777" w:rsidR="002E7F42" w:rsidRPr="00A34F10" w:rsidRDefault="002E7F42" w:rsidP="00494F01">
            <w:pPr>
              <w:pStyle w:val="RepTableHeader"/>
              <w:suppressAutoHyphens/>
              <w:jc w:val="center"/>
              <w:rPr>
                <w:sz w:val="18"/>
                <w:szCs w:val="18"/>
                <w:lang w:val="en-GB"/>
              </w:rPr>
            </w:pPr>
            <w:r w:rsidRPr="00A34F10">
              <w:rPr>
                <w:sz w:val="18"/>
                <w:szCs w:val="18"/>
                <w:lang w:val="en-GB"/>
              </w:rPr>
              <w:t>Molar mass</w:t>
            </w:r>
          </w:p>
        </w:tc>
        <w:tc>
          <w:tcPr>
            <w:tcW w:w="1250" w:type="pct"/>
            <w:shd w:val="clear" w:color="auto" w:fill="auto"/>
          </w:tcPr>
          <w:p w14:paraId="76208E1C" w14:textId="77777777" w:rsidR="002E7F42" w:rsidRPr="00A34F10" w:rsidRDefault="002E7F42" w:rsidP="00494F01">
            <w:pPr>
              <w:pStyle w:val="RepTableHeader"/>
              <w:suppressAutoHyphens/>
              <w:jc w:val="center"/>
              <w:rPr>
                <w:sz w:val="18"/>
                <w:szCs w:val="18"/>
                <w:lang w:val="en-GB"/>
              </w:rPr>
            </w:pPr>
            <w:r w:rsidRPr="00A34F10">
              <w:rPr>
                <w:sz w:val="18"/>
                <w:szCs w:val="18"/>
                <w:lang w:val="en-GB"/>
              </w:rPr>
              <w:t>Maximum occurrence in compartments</w:t>
            </w:r>
          </w:p>
        </w:tc>
        <w:tc>
          <w:tcPr>
            <w:tcW w:w="1000" w:type="pct"/>
            <w:shd w:val="clear" w:color="auto" w:fill="auto"/>
          </w:tcPr>
          <w:p w14:paraId="59F8BAE3" w14:textId="77777777" w:rsidR="002E7F42" w:rsidRPr="00A34F10" w:rsidRDefault="002E7F42" w:rsidP="00494F01">
            <w:pPr>
              <w:pStyle w:val="RepTableHeader"/>
              <w:suppressAutoHyphens/>
              <w:jc w:val="center"/>
              <w:rPr>
                <w:sz w:val="18"/>
                <w:szCs w:val="18"/>
                <w:lang w:val="en-GB"/>
              </w:rPr>
            </w:pPr>
            <w:r w:rsidRPr="00A34F10">
              <w:rPr>
                <w:sz w:val="18"/>
                <w:szCs w:val="18"/>
                <w:lang w:val="en-GB"/>
              </w:rPr>
              <w:t>Risk assessment required?</w:t>
            </w:r>
          </w:p>
        </w:tc>
      </w:tr>
      <w:tr w:rsidR="002E7F42" w:rsidRPr="00A34F10" w14:paraId="11B691BD" w14:textId="77777777" w:rsidTr="00494F01">
        <w:tc>
          <w:tcPr>
            <w:tcW w:w="750" w:type="pct"/>
            <w:shd w:val="clear" w:color="auto" w:fill="auto"/>
          </w:tcPr>
          <w:p w14:paraId="7C392BCC"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M650F01</w:t>
            </w:r>
          </w:p>
        </w:tc>
        <w:tc>
          <w:tcPr>
            <w:tcW w:w="1250" w:type="pct"/>
            <w:shd w:val="clear" w:color="auto" w:fill="auto"/>
          </w:tcPr>
          <w:p w14:paraId="38522ADE" w14:textId="77777777" w:rsidR="002E7F42" w:rsidRPr="00A34F10" w:rsidRDefault="002E7F42" w:rsidP="00494F01">
            <w:pPr>
              <w:pStyle w:val="RepTableSmall"/>
              <w:suppressAutoHyphens/>
              <w:jc w:val="center"/>
              <w:rPr>
                <w:sz w:val="18"/>
                <w:szCs w:val="18"/>
                <w:lang w:val="en-GB"/>
              </w:rPr>
            </w:pPr>
            <w:r w:rsidRPr="00A34F10">
              <w:rPr>
                <w:noProof/>
                <w:sz w:val="18"/>
                <w:szCs w:val="18"/>
                <w:lang w:val="en-GB"/>
              </w:rPr>
              <w:drawing>
                <wp:inline distT="0" distB="0" distL="0" distR="0" wp14:anchorId="7A8DD1CE" wp14:editId="2DB6C7B2">
                  <wp:extent cx="1411605" cy="625963"/>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841" cy="633606"/>
                          </a:xfrm>
                          <a:prstGeom prst="rect">
                            <a:avLst/>
                          </a:prstGeom>
                          <a:noFill/>
                          <a:ln>
                            <a:noFill/>
                          </a:ln>
                        </pic:spPr>
                      </pic:pic>
                    </a:graphicData>
                  </a:graphic>
                </wp:inline>
              </w:drawing>
            </w:r>
          </w:p>
        </w:tc>
        <w:tc>
          <w:tcPr>
            <w:tcW w:w="750" w:type="pct"/>
            <w:shd w:val="clear" w:color="auto" w:fill="auto"/>
          </w:tcPr>
          <w:p w14:paraId="434366EE"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249.3</w:t>
            </w:r>
          </w:p>
        </w:tc>
        <w:tc>
          <w:tcPr>
            <w:tcW w:w="1250" w:type="pct"/>
            <w:shd w:val="clear" w:color="auto" w:fill="auto"/>
          </w:tcPr>
          <w:p w14:paraId="0BD0A1F7"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Soil:</w:t>
            </w:r>
            <w:r w:rsidRPr="00A34F10">
              <w:rPr>
                <w:sz w:val="18"/>
                <w:szCs w:val="18"/>
                <w:lang w:val="en-GB"/>
              </w:rPr>
              <w:tab/>
              <w:t>max. 53.9 %</w:t>
            </w:r>
          </w:p>
          <w:p w14:paraId="5DE22A9D"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Water:</w:t>
            </w:r>
            <w:r w:rsidRPr="00A34F10">
              <w:rPr>
                <w:sz w:val="18"/>
                <w:szCs w:val="18"/>
                <w:lang w:val="en-GB"/>
              </w:rPr>
              <w:tab/>
              <w:t>max. 24.4 %</w:t>
            </w:r>
          </w:p>
          <w:p w14:paraId="4889B77B"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Sediment:</w:t>
            </w:r>
            <w:r w:rsidRPr="00A34F10">
              <w:rPr>
                <w:sz w:val="18"/>
                <w:szCs w:val="18"/>
                <w:lang w:val="en-GB"/>
              </w:rPr>
              <w:tab/>
              <w:t>max. 1.5 %</w:t>
            </w:r>
          </w:p>
        </w:tc>
        <w:tc>
          <w:tcPr>
            <w:tcW w:w="1000" w:type="pct"/>
            <w:shd w:val="clear" w:color="auto" w:fill="auto"/>
          </w:tcPr>
          <w:p w14:paraId="6650B97B"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Aquatic</w:t>
            </w:r>
          </w:p>
          <w:p w14:paraId="31E094BE" w14:textId="77777777" w:rsidR="002E7F42" w:rsidRDefault="002E7F42" w:rsidP="00494F01">
            <w:pPr>
              <w:pStyle w:val="RepTableSmall"/>
              <w:keepNext/>
              <w:keepLines/>
              <w:widowControl/>
              <w:suppressAutoHyphens/>
              <w:rPr>
                <w:sz w:val="18"/>
                <w:szCs w:val="18"/>
                <w:lang w:val="en-GB"/>
              </w:rPr>
            </w:pPr>
            <w:r w:rsidRPr="00A34F10">
              <w:rPr>
                <w:sz w:val="18"/>
                <w:szCs w:val="18"/>
                <w:lang w:val="en-GB"/>
              </w:rPr>
              <w:t>Metabolite relevant for RA: yes</w:t>
            </w:r>
          </w:p>
          <w:p w14:paraId="458FD921" w14:textId="77777777" w:rsidR="00B03455" w:rsidRDefault="00B03455" w:rsidP="00B03455">
            <w:pPr>
              <w:pStyle w:val="RepTableSmall"/>
              <w:keepNext/>
              <w:keepLines/>
              <w:widowControl/>
              <w:suppressAutoHyphens/>
              <w:rPr>
                <w:sz w:val="18"/>
                <w:szCs w:val="18"/>
                <w:lang w:val="en-GB"/>
              </w:rPr>
            </w:pPr>
          </w:p>
          <w:p w14:paraId="3A899002" w14:textId="77777777" w:rsidR="00B03455" w:rsidRPr="00B76046" w:rsidRDefault="00B03455" w:rsidP="00B03455">
            <w:pPr>
              <w:pStyle w:val="RepTableSmall"/>
              <w:keepNext/>
              <w:keepLines/>
              <w:widowControl/>
              <w:suppressAutoHyphens/>
              <w:rPr>
                <w:b/>
                <w:bCs/>
                <w:sz w:val="18"/>
                <w:szCs w:val="18"/>
                <w:highlight w:val="green"/>
                <w:lang w:val="en-GB"/>
              </w:rPr>
            </w:pPr>
            <w:r w:rsidRPr="00B76046">
              <w:rPr>
                <w:b/>
                <w:bCs/>
                <w:sz w:val="18"/>
                <w:szCs w:val="18"/>
                <w:highlight w:val="green"/>
                <w:lang w:val="en-GB"/>
              </w:rPr>
              <w:t>Terrestrial</w:t>
            </w:r>
          </w:p>
          <w:p w14:paraId="41E88EAE" w14:textId="4A6663C2" w:rsidR="00B03455" w:rsidRPr="00A34F10" w:rsidRDefault="00B03455" w:rsidP="00B03455">
            <w:pPr>
              <w:pStyle w:val="RepTableSmall"/>
              <w:keepNext/>
              <w:keepLines/>
              <w:widowControl/>
              <w:suppressAutoHyphens/>
              <w:rPr>
                <w:sz w:val="18"/>
                <w:szCs w:val="18"/>
                <w:lang w:val="en-GB"/>
              </w:rPr>
            </w:pPr>
            <w:r w:rsidRPr="00B76046">
              <w:rPr>
                <w:sz w:val="18"/>
                <w:szCs w:val="18"/>
                <w:highlight w:val="green"/>
                <w:lang w:val="en-GB"/>
              </w:rPr>
              <w:t xml:space="preserve">Metabolite relevant for RA: no </w:t>
            </w:r>
            <w:r>
              <w:rPr>
                <w:sz w:val="18"/>
                <w:szCs w:val="18"/>
                <w:highlight w:val="green"/>
                <w:vertAlign w:val="superscript"/>
                <w:lang w:val="en-GB"/>
              </w:rPr>
              <w:t>2</w:t>
            </w:r>
            <w:r w:rsidRPr="00B76046">
              <w:rPr>
                <w:sz w:val="18"/>
                <w:szCs w:val="18"/>
                <w:highlight w:val="green"/>
                <w:vertAlign w:val="superscript"/>
                <w:lang w:val="en-GB"/>
              </w:rPr>
              <w:t>)</w:t>
            </w:r>
            <w:r w:rsidRPr="00B76046">
              <w:rPr>
                <w:sz w:val="18"/>
                <w:szCs w:val="18"/>
                <w:highlight w:val="green"/>
                <w:lang w:val="en-GB"/>
              </w:rPr>
              <w:br/>
              <w:t xml:space="preserve">RA conducted: no </w:t>
            </w:r>
            <w:r>
              <w:rPr>
                <w:sz w:val="18"/>
                <w:szCs w:val="18"/>
                <w:highlight w:val="green"/>
                <w:vertAlign w:val="superscript"/>
                <w:lang w:val="en-GB"/>
              </w:rPr>
              <w:t>2</w:t>
            </w:r>
            <w:r w:rsidRPr="00B76046">
              <w:rPr>
                <w:sz w:val="18"/>
                <w:szCs w:val="18"/>
                <w:highlight w:val="green"/>
                <w:vertAlign w:val="superscript"/>
                <w:lang w:val="en-GB"/>
              </w:rPr>
              <w:t>)</w:t>
            </w:r>
          </w:p>
        </w:tc>
      </w:tr>
      <w:tr w:rsidR="002E7F42" w:rsidRPr="00A34F10" w14:paraId="4552CA47" w14:textId="77777777" w:rsidTr="00494F01">
        <w:tc>
          <w:tcPr>
            <w:tcW w:w="750" w:type="pct"/>
            <w:shd w:val="clear" w:color="auto" w:fill="auto"/>
          </w:tcPr>
          <w:p w14:paraId="2401C20C"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M650F02</w:t>
            </w:r>
          </w:p>
        </w:tc>
        <w:tc>
          <w:tcPr>
            <w:tcW w:w="1250" w:type="pct"/>
            <w:shd w:val="clear" w:color="auto" w:fill="auto"/>
          </w:tcPr>
          <w:p w14:paraId="727E1DA6" w14:textId="77777777" w:rsidR="002E7F42" w:rsidRPr="00A34F10" w:rsidRDefault="002E7F42" w:rsidP="00494F01">
            <w:pPr>
              <w:pStyle w:val="RepTableSmall"/>
              <w:suppressAutoHyphens/>
              <w:jc w:val="center"/>
              <w:rPr>
                <w:sz w:val="18"/>
                <w:szCs w:val="18"/>
                <w:lang w:val="en-GB"/>
              </w:rPr>
            </w:pPr>
            <w:r w:rsidRPr="00A34F10">
              <w:rPr>
                <w:noProof/>
                <w:sz w:val="18"/>
                <w:szCs w:val="18"/>
                <w:lang w:val="en-GB"/>
              </w:rPr>
              <w:drawing>
                <wp:inline distT="0" distB="0" distL="0" distR="0" wp14:anchorId="5817B4E1" wp14:editId="208304F1">
                  <wp:extent cx="1236345" cy="608440"/>
                  <wp:effectExtent l="0" t="0" r="190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44318" cy="612364"/>
                          </a:xfrm>
                          <a:prstGeom prst="rect">
                            <a:avLst/>
                          </a:prstGeom>
                          <a:noFill/>
                          <a:ln>
                            <a:noFill/>
                          </a:ln>
                        </pic:spPr>
                      </pic:pic>
                    </a:graphicData>
                  </a:graphic>
                </wp:inline>
              </w:drawing>
            </w:r>
          </w:p>
        </w:tc>
        <w:tc>
          <w:tcPr>
            <w:tcW w:w="750" w:type="pct"/>
            <w:shd w:val="clear" w:color="auto" w:fill="auto"/>
          </w:tcPr>
          <w:p w14:paraId="6B445A98"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235.3</w:t>
            </w:r>
          </w:p>
        </w:tc>
        <w:tc>
          <w:tcPr>
            <w:tcW w:w="1250" w:type="pct"/>
            <w:shd w:val="clear" w:color="auto" w:fill="auto"/>
          </w:tcPr>
          <w:p w14:paraId="38546BA3"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Soil:</w:t>
            </w:r>
            <w:r w:rsidRPr="00A34F10">
              <w:rPr>
                <w:sz w:val="18"/>
                <w:szCs w:val="18"/>
                <w:lang w:val="en-GB"/>
              </w:rPr>
              <w:tab/>
              <w:t>max. 13.0 %</w:t>
            </w:r>
          </w:p>
          <w:p w14:paraId="19B20DC8"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Water:</w:t>
            </w:r>
            <w:r w:rsidRPr="00A34F10">
              <w:rPr>
                <w:sz w:val="18"/>
                <w:szCs w:val="18"/>
                <w:lang w:val="en-GB"/>
              </w:rPr>
              <w:tab/>
              <w:t>max. 10.2 %</w:t>
            </w:r>
          </w:p>
          <w:p w14:paraId="5EC762A8" w14:textId="77777777" w:rsidR="002E7F42" w:rsidRPr="00A34F10" w:rsidRDefault="002E7F42" w:rsidP="00494F01">
            <w:pPr>
              <w:pStyle w:val="RepTableSmall"/>
              <w:tabs>
                <w:tab w:val="left" w:pos="793"/>
              </w:tabs>
              <w:suppressAutoHyphens/>
              <w:rPr>
                <w:sz w:val="18"/>
                <w:szCs w:val="18"/>
                <w:lang w:val="en-GB"/>
              </w:rPr>
            </w:pPr>
            <w:r w:rsidRPr="00A34F10">
              <w:rPr>
                <w:sz w:val="18"/>
                <w:szCs w:val="18"/>
                <w:lang w:val="en-GB"/>
              </w:rPr>
              <w:t xml:space="preserve">Sediment: </w:t>
            </w:r>
            <w:r w:rsidRPr="00A34F10">
              <w:rPr>
                <w:sz w:val="18"/>
                <w:szCs w:val="18"/>
                <w:lang w:val="en-GB"/>
              </w:rPr>
              <w:tab/>
              <w:t>max. 3.0 %</w:t>
            </w:r>
          </w:p>
        </w:tc>
        <w:tc>
          <w:tcPr>
            <w:tcW w:w="1000" w:type="pct"/>
            <w:shd w:val="clear" w:color="auto" w:fill="auto"/>
          </w:tcPr>
          <w:p w14:paraId="2220BF4B"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Aquatic</w:t>
            </w:r>
          </w:p>
          <w:p w14:paraId="5D57682D" w14:textId="77777777" w:rsidR="002E7F42" w:rsidRPr="00A34F10" w:rsidRDefault="002E7F42" w:rsidP="00494F01">
            <w:pPr>
              <w:pStyle w:val="RepTableSmall"/>
              <w:keepNext/>
              <w:keepLines/>
              <w:widowControl/>
              <w:suppressAutoHyphens/>
              <w:rPr>
                <w:sz w:val="18"/>
                <w:szCs w:val="18"/>
                <w:lang w:val="en-GB"/>
              </w:rPr>
            </w:pPr>
            <w:r w:rsidRPr="00A34F10">
              <w:rPr>
                <w:sz w:val="18"/>
                <w:szCs w:val="18"/>
                <w:lang w:val="en-GB"/>
              </w:rPr>
              <w:t xml:space="preserve">Metabolite relevant for RA: no </w:t>
            </w:r>
            <w:r w:rsidRPr="00A34F10">
              <w:rPr>
                <w:sz w:val="18"/>
                <w:szCs w:val="18"/>
                <w:vertAlign w:val="superscript"/>
                <w:lang w:val="en-GB"/>
              </w:rPr>
              <w:t>1)</w:t>
            </w:r>
            <w:r w:rsidRPr="00A34F10">
              <w:rPr>
                <w:sz w:val="18"/>
                <w:szCs w:val="18"/>
                <w:lang w:val="en-GB"/>
              </w:rPr>
              <w:br/>
              <w:t xml:space="preserve">RA conducted: no </w:t>
            </w:r>
            <w:r w:rsidRPr="00A34F10">
              <w:rPr>
                <w:sz w:val="18"/>
                <w:szCs w:val="18"/>
                <w:vertAlign w:val="superscript"/>
                <w:lang w:val="en-GB"/>
              </w:rPr>
              <w:t>1)</w:t>
            </w:r>
          </w:p>
          <w:p w14:paraId="5AD9296E" w14:textId="77777777" w:rsidR="002E7F42" w:rsidRDefault="002E7F42" w:rsidP="00494F01">
            <w:pPr>
              <w:pStyle w:val="RepTableSmall"/>
              <w:keepNext/>
              <w:keepLines/>
              <w:widowControl/>
              <w:suppressAutoHyphens/>
              <w:rPr>
                <w:sz w:val="18"/>
                <w:szCs w:val="18"/>
                <w:lang w:val="en-GB"/>
              </w:rPr>
            </w:pPr>
          </w:p>
          <w:p w14:paraId="29D49E17" w14:textId="77777777" w:rsidR="00B03455" w:rsidRPr="003864DF" w:rsidRDefault="00B03455" w:rsidP="00494F01">
            <w:pPr>
              <w:pStyle w:val="RepTableSmall"/>
              <w:keepNext/>
              <w:keepLines/>
              <w:widowControl/>
              <w:suppressAutoHyphens/>
              <w:rPr>
                <w:b/>
                <w:bCs/>
                <w:sz w:val="18"/>
                <w:szCs w:val="18"/>
                <w:highlight w:val="green"/>
                <w:lang w:val="en-GB"/>
              </w:rPr>
            </w:pPr>
            <w:r w:rsidRPr="003864DF">
              <w:rPr>
                <w:b/>
                <w:bCs/>
                <w:sz w:val="18"/>
                <w:szCs w:val="18"/>
                <w:highlight w:val="green"/>
                <w:lang w:val="en-GB"/>
              </w:rPr>
              <w:t>Terrestrial</w:t>
            </w:r>
          </w:p>
          <w:p w14:paraId="7D446E92" w14:textId="2EDFC644" w:rsidR="00B03455" w:rsidRPr="00A34F10" w:rsidRDefault="00B03455" w:rsidP="00494F01">
            <w:pPr>
              <w:pStyle w:val="RepTableSmall"/>
              <w:keepNext/>
              <w:keepLines/>
              <w:widowControl/>
              <w:suppressAutoHyphens/>
              <w:rPr>
                <w:sz w:val="18"/>
                <w:szCs w:val="18"/>
                <w:lang w:val="en-GB"/>
              </w:rPr>
            </w:pPr>
            <w:r w:rsidRPr="003864DF">
              <w:rPr>
                <w:sz w:val="18"/>
                <w:szCs w:val="18"/>
                <w:highlight w:val="green"/>
                <w:lang w:val="en-GB"/>
              </w:rPr>
              <w:t xml:space="preserve">Metabolite relevant for RA: no </w:t>
            </w:r>
            <w:r>
              <w:rPr>
                <w:sz w:val="18"/>
                <w:szCs w:val="18"/>
                <w:highlight w:val="green"/>
                <w:vertAlign w:val="superscript"/>
                <w:lang w:val="en-GB"/>
              </w:rPr>
              <w:t>2</w:t>
            </w:r>
            <w:r w:rsidRPr="003864DF">
              <w:rPr>
                <w:sz w:val="18"/>
                <w:szCs w:val="18"/>
                <w:highlight w:val="green"/>
                <w:vertAlign w:val="superscript"/>
                <w:lang w:val="en-GB"/>
              </w:rPr>
              <w:t>)</w:t>
            </w:r>
            <w:r w:rsidRPr="003864DF">
              <w:rPr>
                <w:sz w:val="18"/>
                <w:szCs w:val="18"/>
                <w:highlight w:val="green"/>
                <w:lang w:val="en-GB"/>
              </w:rPr>
              <w:br/>
              <w:t xml:space="preserve">RA conducted: no </w:t>
            </w:r>
            <w:r>
              <w:rPr>
                <w:sz w:val="18"/>
                <w:szCs w:val="18"/>
                <w:highlight w:val="green"/>
                <w:vertAlign w:val="superscript"/>
                <w:lang w:val="en-GB"/>
              </w:rPr>
              <w:t>2</w:t>
            </w:r>
            <w:r w:rsidRPr="003864DF">
              <w:rPr>
                <w:sz w:val="18"/>
                <w:szCs w:val="18"/>
                <w:highlight w:val="green"/>
                <w:vertAlign w:val="superscript"/>
                <w:lang w:val="en-GB"/>
              </w:rPr>
              <w:t>)</w:t>
            </w:r>
          </w:p>
        </w:tc>
      </w:tr>
      <w:tr w:rsidR="002E7F42" w:rsidRPr="00A34F10" w14:paraId="2F276A58" w14:textId="77777777" w:rsidTr="00494F01">
        <w:tc>
          <w:tcPr>
            <w:tcW w:w="750" w:type="pct"/>
            <w:shd w:val="clear" w:color="auto" w:fill="auto"/>
          </w:tcPr>
          <w:p w14:paraId="1426EDB9"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M650F03</w:t>
            </w:r>
          </w:p>
        </w:tc>
        <w:tc>
          <w:tcPr>
            <w:tcW w:w="1250" w:type="pct"/>
            <w:shd w:val="clear" w:color="auto" w:fill="auto"/>
          </w:tcPr>
          <w:p w14:paraId="347A8336" w14:textId="77777777" w:rsidR="002E7F42" w:rsidRPr="00A34F10" w:rsidRDefault="002E7F42" w:rsidP="00494F01">
            <w:pPr>
              <w:pStyle w:val="RepTableSmall"/>
              <w:suppressAutoHyphens/>
              <w:jc w:val="center"/>
              <w:rPr>
                <w:sz w:val="18"/>
                <w:szCs w:val="18"/>
                <w:lang w:val="en-GB"/>
              </w:rPr>
            </w:pPr>
            <w:r w:rsidRPr="00A34F10">
              <w:rPr>
                <w:noProof/>
                <w:sz w:val="18"/>
                <w:szCs w:val="18"/>
                <w:lang w:val="en-GB"/>
              </w:rPr>
              <w:drawing>
                <wp:inline distT="0" distB="0" distL="0" distR="0" wp14:anchorId="5D6145ED" wp14:editId="77C46DA9">
                  <wp:extent cx="1068019" cy="60010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4327" cy="603654"/>
                          </a:xfrm>
                          <a:prstGeom prst="rect">
                            <a:avLst/>
                          </a:prstGeom>
                          <a:noFill/>
                          <a:ln>
                            <a:noFill/>
                          </a:ln>
                        </pic:spPr>
                      </pic:pic>
                    </a:graphicData>
                  </a:graphic>
                </wp:inline>
              </w:drawing>
            </w:r>
          </w:p>
        </w:tc>
        <w:tc>
          <w:tcPr>
            <w:tcW w:w="750" w:type="pct"/>
            <w:shd w:val="clear" w:color="auto" w:fill="auto"/>
          </w:tcPr>
          <w:p w14:paraId="5B088083"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221.2</w:t>
            </w:r>
          </w:p>
        </w:tc>
        <w:tc>
          <w:tcPr>
            <w:tcW w:w="1250" w:type="pct"/>
            <w:shd w:val="clear" w:color="auto" w:fill="auto"/>
          </w:tcPr>
          <w:p w14:paraId="70370FE2"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Soil:</w:t>
            </w:r>
            <w:r w:rsidRPr="00A34F10">
              <w:rPr>
                <w:sz w:val="18"/>
                <w:szCs w:val="18"/>
                <w:lang w:val="en-GB"/>
              </w:rPr>
              <w:tab/>
              <w:t>max. 57.0 %</w:t>
            </w:r>
          </w:p>
          <w:p w14:paraId="0B693955"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Water:</w:t>
            </w:r>
            <w:r w:rsidRPr="00A34F10">
              <w:rPr>
                <w:sz w:val="18"/>
                <w:szCs w:val="18"/>
                <w:lang w:val="en-GB"/>
              </w:rPr>
              <w:tab/>
              <w:t>max. 55.3 %</w:t>
            </w:r>
          </w:p>
          <w:p w14:paraId="5EC91877"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Sediment:</w:t>
            </w:r>
            <w:r w:rsidRPr="00A34F10">
              <w:rPr>
                <w:sz w:val="18"/>
                <w:szCs w:val="18"/>
                <w:lang w:val="en-GB"/>
              </w:rPr>
              <w:tab/>
              <w:t>max. 20.8 %</w:t>
            </w:r>
          </w:p>
        </w:tc>
        <w:tc>
          <w:tcPr>
            <w:tcW w:w="1000" w:type="pct"/>
            <w:shd w:val="clear" w:color="auto" w:fill="auto"/>
          </w:tcPr>
          <w:p w14:paraId="63BC7BF9"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Aquatic</w:t>
            </w:r>
          </w:p>
          <w:p w14:paraId="50ECEB21" w14:textId="77777777" w:rsidR="002E7F42" w:rsidRPr="00A34F10" w:rsidRDefault="002E7F42" w:rsidP="00494F01">
            <w:pPr>
              <w:pStyle w:val="RepTableSmall"/>
              <w:keepNext/>
              <w:keepLines/>
              <w:widowControl/>
              <w:suppressAutoHyphens/>
              <w:rPr>
                <w:sz w:val="18"/>
                <w:szCs w:val="18"/>
                <w:lang w:val="en-GB"/>
              </w:rPr>
            </w:pPr>
            <w:r w:rsidRPr="00A34F10">
              <w:rPr>
                <w:sz w:val="18"/>
                <w:szCs w:val="18"/>
                <w:lang w:val="en-GB"/>
              </w:rPr>
              <w:t>Metabolite relevant for RA: yes</w:t>
            </w:r>
            <w:r w:rsidRPr="00A34F10">
              <w:rPr>
                <w:sz w:val="18"/>
                <w:szCs w:val="18"/>
                <w:lang w:val="en-GB"/>
              </w:rPr>
              <w:br/>
              <w:t>RA conducted: yes</w:t>
            </w:r>
            <w:r w:rsidRPr="00A34F10">
              <w:rPr>
                <w:b/>
                <w:sz w:val="18"/>
                <w:szCs w:val="18"/>
                <w:lang w:val="en-GB"/>
              </w:rPr>
              <w:br/>
            </w:r>
          </w:p>
          <w:p w14:paraId="2C052B81"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Terrestrial</w:t>
            </w:r>
          </w:p>
          <w:p w14:paraId="5D62B786" w14:textId="77777777" w:rsidR="002E7F42" w:rsidRPr="00A34F10" w:rsidRDefault="002E7F42" w:rsidP="00494F01">
            <w:pPr>
              <w:pStyle w:val="RepTableSmall"/>
              <w:keepNext/>
              <w:keepLines/>
              <w:widowControl/>
              <w:suppressAutoHyphens/>
              <w:rPr>
                <w:sz w:val="18"/>
                <w:szCs w:val="18"/>
                <w:lang w:val="en-GB"/>
              </w:rPr>
            </w:pPr>
            <w:r w:rsidRPr="00A34F10">
              <w:rPr>
                <w:sz w:val="18"/>
                <w:szCs w:val="18"/>
                <w:lang w:val="en-GB"/>
              </w:rPr>
              <w:t>Metabolite relevant for RA: yes</w:t>
            </w:r>
            <w:r w:rsidRPr="00A34F10">
              <w:rPr>
                <w:sz w:val="18"/>
                <w:szCs w:val="18"/>
                <w:lang w:val="en-GB"/>
              </w:rPr>
              <w:br/>
              <w:t>RA conducted: yes</w:t>
            </w:r>
          </w:p>
        </w:tc>
      </w:tr>
      <w:tr w:rsidR="002E7F42" w:rsidRPr="00A34F10" w14:paraId="2068E111" w14:textId="77777777" w:rsidTr="00494F01">
        <w:tc>
          <w:tcPr>
            <w:tcW w:w="750" w:type="pct"/>
            <w:shd w:val="clear" w:color="auto" w:fill="auto"/>
          </w:tcPr>
          <w:p w14:paraId="16278392" w14:textId="77777777" w:rsidR="002E7F42" w:rsidRPr="00A34F10" w:rsidRDefault="002E7F42" w:rsidP="00494F01">
            <w:pPr>
              <w:pStyle w:val="RepTableSmall"/>
              <w:suppressAutoHyphens/>
              <w:jc w:val="center"/>
              <w:rPr>
                <w:sz w:val="18"/>
                <w:szCs w:val="18"/>
                <w:lang w:val="en-GB"/>
              </w:rPr>
            </w:pPr>
            <w:r w:rsidRPr="00A34F10">
              <w:rPr>
                <w:sz w:val="18"/>
                <w:szCs w:val="18"/>
                <w:lang w:val="en-GB"/>
              </w:rPr>
              <w:lastRenderedPageBreak/>
              <w:t>M650F04</w:t>
            </w:r>
          </w:p>
        </w:tc>
        <w:tc>
          <w:tcPr>
            <w:tcW w:w="1250" w:type="pct"/>
            <w:shd w:val="clear" w:color="auto" w:fill="auto"/>
          </w:tcPr>
          <w:p w14:paraId="04EF241A" w14:textId="77777777" w:rsidR="002E7F42" w:rsidRPr="00A34F10" w:rsidRDefault="002E7F42" w:rsidP="00494F01">
            <w:pPr>
              <w:pStyle w:val="RepTableSmall"/>
              <w:suppressAutoHyphens/>
              <w:jc w:val="center"/>
              <w:rPr>
                <w:sz w:val="18"/>
                <w:szCs w:val="18"/>
                <w:lang w:val="en-GB"/>
              </w:rPr>
            </w:pPr>
            <w:r w:rsidRPr="00A34F10">
              <w:rPr>
                <w:noProof/>
                <w:sz w:val="18"/>
                <w:szCs w:val="18"/>
                <w:lang w:val="en-GB"/>
              </w:rPr>
              <w:drawing>
                <wp:inline distT="0" distB="0" distL="0" distR="0" wp14:anchorId="45AFE10F" wp14:editId="0759CF40">
                  <wp:extent cx="984547" cy="636423"/>
                  <wp:effectExtent l="0" t="0" r="635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91678" cy="641033"/>
                          </a:xfrm>
                          <a:prstGeom prst="rect">
                            <a:avLst/>
                          </a:prstGeom>
                          <a:noFill/>
                          <a:ln>
                            <a:noFill/>
                          </a:ln>
                        </pic:spPr>
                      </pic:pic>
                    </a:graphicData>
                  </a:graphic>
                </wp:inline>
              </w:drawing>
            </w:r>
          </w:p>
        </w:tc>
        <w:tc>
          <w:tcPr>
            <w:tcW w:w="750" w:type="pct"/>
            <w:shd w:val="clear" w:color="auto" w:fill="auto"/>
          </w:tcPr>
          <w:p w14:paraId="6548A56D" w14:textId="77777777" w:rsidR="002E7F42" w:rsidRPr="00A34F10" w:rsidRDefault="002E7F42" w:rsidP="00494F01">
            <w:pPr>
              <w:pStyle w:val="RepTableSmall"/>
              <w:suppressAutoHyphens/>
              <w:jc w:val="center"/>
              <w:rPr>
                <w:sz w:val="18"/>
                <w:szCs w:val="18"/>
                <w:lang w:val="en-GB"/>
              </w:rPr>
            </w:pPr>
            <w:r w:rsidRPr="00A34F10">
              <w:rPr>
                <w:sz w:val="18"/>
                <w:szCs w:val="18"/>
                <w:lang w:val="en-GB"/>
              </w:rPr>
              <w:t>207.2</w:t>
            </w:r>
          </w:p>
        </w:tc>
        <w:tc>
          <w:tcPr>
            <w:tcW w:w="1250" w:type="pct"/>
            <w:shd w:val="clear" w:color="auto" w:fill="auto"/>
          </w:tcPr>
          <w:p w14:paraId="2EFF3857"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Soil:</w:t>
            </w:r>
            <w:r w:rsidRPr="00A34F10">
              <w:rPr>
                <w:sz w:val="18"/>
                <w:szCs w:val="18"/>
                <w:lang w:val="en-GB"/>
              </w:rPr>
              <w:tab/>
              <w:t>max. 55.7 %</w:t>
            </w:r>
          </w:p>
          <w:p w14:paraId="1021311C"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Water:</w:t>
            </w:r>
            <w:r w:rsidRPr="00A34F10">
              <w:rPr>
                <w:sz w:val="18"/>
                <w:szCs w:val="18"/>
                <w:lang w:val="en-GB"/>
              </w:rPr>
              <w:tab/>
              <w:t>max. 20.0 %</w:t>
            </w:r>
          </w:p>
          <w:p w14:paraId="6465A7EE" w14:textId="77777777" w:rsidR="002E7F42" w:rsidRPr="00A34F10" w:rsidRDefault="002E7F42" w:rsidP="00494F01">
            <w:pPr>
              <w:pStyle w:val="RepTableSmall"/>
              <w:tabs>
                <w:tab w:val="left" w:pos="866"/>
              </w:tabs>
              <w:suppressAutoHyphens/>
              <w:rPr>
                <w:sz w:val="18"/>
                <w:szCs w:val="18"/>
                <w:lang w:val="en-GB"/>
              </w:rPr>
            </w:pPr>
            <w:r w:rsidRPr="00A34F10">
              <w:rPr>
                <w:sz w:val="18"/>
                <w:szCs w:val="18"/>
                <w:lang w:val="en-GB"/>
              </w:rPr>
              <w:t>Sediment:</w:t>
            </w:r>
            <w:r w:rsidRPr="00A34F10">
              <w:rPr>
                <w:sz w:val="18"/>
                <w:szCs w:val="18"/>
                <w:lang w:val="en-GB"/>
              </w:rPr>
              <w:tab/>
              <w:t>max. 6.1 %</w:t>
            </w:r>
          </w:p>
        </w:tc>
        <w:tc>
          <w:tcPr>
            <w:tcW w:w="1000" w:type="pct"/>
            <w:shd w:val="clear" w:color="auto" w:fill="auto"/>
          </w:tcPr>
          <w:p w14:paraId="2AE84E79"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Aquatic</w:t>
            </w:r>
          </w:p>
          <w:p w14:paraId="2D1738D9" w14:textId="77777777" w:rsidR="002E7F42" w:rsidRPr="00A34F10" w:rsidRDefault="002E7F42" w:rsidP="00494F01">
            <w:pPr>
              <w:pStyle w:val="RepTableSmall"/>
              <w:keepNext/>
              <w:keepLines/>
              <w:widowControl/>
              <w:suppressAutoHyphens/>
              <w:rPr>
                <w:sz w:val="18"/>
                <w:szCs w:val="18"/>
                <w:lang w:val="en-GB"/>
              </w:rPr>
            </w:pPr>
            <w:r w:rsidRPr="00A34F10">
              <w:rPr>
                <w:sz w:val="18"/>
                <w:szCs w:val="18"/>
                <w:lang w:val="en-GB"/>
              </w:rPr>
              <w:t>Metabolite relevant for RA: yes</w:t>
            </w:r>
            <w:r w:rsidRPr="00A34F10">
              <w:rPr>
                <w:sz w:val="18"/>
                <w:szCs w:val="18"/>
                <w:lang w:val="en-GB"/>
              </w:rPr>
              <w:br/>
              <w:t>RA conducted: yes</w:t>
            </w:r>
            <w:r w:rsidRPr="00A34F10">
              <w:rPr>
                <w:sz w:val="18"/>
                <w:szCs w:val="18"/>
                <w:lang w:val="en-GB"/>
              </w:rPr>
              <w:br/>
            </w:r>
          </w:p>
          <w:p w14:paraId="6EEC9BD8" w14:textId="77777777" w:rsidR="002E7F42" w:rsidRPr="00A34F10" w:rsidRDefault="002E7F42" w:rsidP="00494F01">
            <w:pPr>
              <w:pStyle w:val="RepTableSmall"/>
              <w:keepNext/>
              <w:keepLines/>
              <w:widowControl/>
              <w:suppressAutoHyphens/>
              <w:rPr>
                <w:b/>
                <w:sz w:val="18"/>
                <w:szCs w:val="18"/>
                <w:lang w:val="en-GB"/>
              </w:rPr>
            </w:pPr>
            <w:r w:rsidRPr="00A34F10">
              <w:rPr>
                <w:b/>
                <w:sz w:val="18"/>
                <w:szCs w:val="18"/>
                <w:lang w:val="en-GB"/>
              </w:rPr>
              <w:t>Terrestrial</w:t>
            </w:r>
          </w:p>
          <w:p w14:paraId="0623A475" w14:textId="77777777" w:rsidR="002E7F42" w:rsidRPr="00A34F10" w:rsidRDefault="002E7F42" w:rsidP="00494F01">
            <w:pPr>
              <w:pStyle w:val="RepTableSmall"/>
              <w:keepNext/>
              <w:keepLines/>
              <w:widowControl/>
              <w:suppressAutoHyphens/>
              <w:rPr>
                <w:sz w:val="18"/>
                <w:szCs w:val="18"/>
                <w:lang w:val="en-GB"/>
              </w:rPr>
            </w:pPr>
            <w:r w:rsidRPr="00A34F10">
              <w:rPr>
                <w:sz w:val="18"/>
                <w:szCs w:val="18"/>
                <w:lang w:val="en-GB"/>
              </w:rPr>
              <w:t>Metabolite relevant for RA: yes</w:t>
            </w:r>
            <w:r w:rsidRPr="00A34F10">
              <w:rPr>
                <w:sz w:val="18"/>
                <w:szCs w:val="18"/>
                <w:lang w:val="en-GB"/>
              </w:rPr>
              <w:br/>
              <w:t>RA conducted: yes</w:t>
            </w:r>
          </w:p>
        </w:tc>
      </w:tr>
    </w:tbl>
    <w:p w14:paraId="728F045E" w14:textId="77777777" w:rsidR="002E7F42" w:rsidRPr="00A34F10" w:rsidRDefault="002E7F42" w:rsidP="002E7F42">
      <w:pPr>
        <w:pStyle w:val="StyleOECD-BASIS-TEXTLeft"/>
        <w:keepNext/>
        <w:keepLines/>
        <w:suppressAutoHyphens/>
        <w:rPr>
          <w:color w:val="auto"/>
          <w:sz w:val="18"/>
          <w:szCs w:val="18"/>
        </w:rPr>
      </w:pPr>
      <w:r w:rsidRPr="00A34F10">
        <w:rPr>
          <w:color w:val="auto"/>
          <w:sz w:val="18"/>
          <w:szCs w:val="18"/>
          <w:u w:val="single"/>
        </w:rPr>
        <w:t>Abbreviations:</w:t>
      </w:r>
      <w:r w:rsidRPr="00A34F10">
        <w:rPr>
          <w:color w:val="auto"/>
          <w:sz w:val="18"/>
          <w:szCs w:val="18"/>
        </w:rPr>
        <w:t xml:space="preserve"> RA = risk assessment</w:t>
      </w:r>
    </w:p>
    <w:p w14:paraId="04B804A7" w14:textId="77777777" w:rsidR="00B03455" w:rsidRDefault="002E7F42" w:rsidP="002E7F42">
      <w:pPr>
        <w:pStyle w:val="StyleOECD-BASIS-TEXTLeft"/>
        <w:rPr>
          <w:bCs/>
          <w:iCs/>
          <w:color w:val="auto"/>
          <w:sz w:val="18"/>
          <w:szCs w:val="18"/>
        </w:rPr>
      </w:pPr>
      <w:r w:rsidRPr="00A34F10">
        <w:rPr>
          <w:color w:val="auto"/>
          <w:sz w:val="18"/>
          <w:szCs w:val="18"/>
          <w:vertAlign w:val="superscript"/>
        </w:rPr>
        <w:t>1)</w:t>
      </w:r>
      <w:r w:rsidRPr="00A34F10">
        <w:rPr>
          <w:color w:val="auto"/>
          <w:sz w:val="18"/>
          <w:szCs w:val="18"/>
          <w:vertAlign w:val="superscript"/>
        </w:rPr>
        <w:tab/>
      </w:r>
      <w:r w:rsidRPr="00A34F10">
        <w:rPr>
          <w:color w:val="auto"/>
          <w:sz w:val="18"/>
          <w:szCs w:val="18"/>
        </w:rPr>
        <w:t xml:space="preserve">M650F02 is an intermediate metabolite with similar chemical structure as M650F01 and/or M650F03 and hence it is covered by aquatic risk assessment of these metabolites </w:t>
      </w:r>
      <w:r w:rsidRPr="00A34F10">
        <w:rPr>
          <w:bCs/>
          <w:iCs/>
          <w:color w:val="auto"/>
          <w:sz w:val="18"/>
          <w:szCs w:val="18"/>
        </w:rPr>
        <w:t>(for details please refer the updated DAR of ametoctradin (2010))</w:t>
      </w:r>
    </w:p>
    <w:p w14:paraId="28980316" w14:textId="1BDF13D7" w:rsidR="00B03455" w:rsidRDefault="00B03455" w:rsidP="00B03455">
      <w:pPr>
        <w:pStyle w:val="StyleOECD-BASIS-TEXTLeft"/>
        <w:rPr>
          <w:bCs/>
          <w:iCs/>
          <w:color w:val="auto"/>
          <w:sz w:val="18"/>
          <w:szCs w:val="18"/>
        </w:rPr>
      </w:pPr>
      <w:r w:rsidRPr="003864DF">
        <w:rPr>
          <w:color w:val="auto"/>
          <w:sz w:val="18"/>
          <w:szCs w:val="18"/>
          <w:highlight w:val="green"/>
          <w:vertAlign w:val="superscript"/>
        </w:rPr>
        <w:t xml:space="preserve"> 2)</w:t>
      </w:r>
      <w:r w:rsidRPr="003864DF">
        <w:rPr>
          <w:color w:val="auto"/>
          <w:sz w:val="18"/>
          <w:szCs w:val="18"/>
          <w:highlight w:val="green"/>
          <w:vertAlign w:val="superscript"/>
        </w:rPr>
        <w:tab/>
      </w:r>
      <w:r w:rsidRPr="003864DF">
        <w:rPr>
          <w:color w:val="auto"/>
          <w:sz w:val="18"/>
          <w:szCs w:val="18"/>
          <w:highlight w:val="green"/>
        </w:rPr>
        <w:t xml:space="preserve">Following the EFSA Journal 2012;10(11):2921, no </w:t>
      </w:r>
      <w:r w:rsidR="00885BEA">
        <w:rPr>
          <w:color w:val="auto"/>
          <w:sz w:val="18"/>
          <w:szCs w:val="18"/>
          <w:highlight w:val="green"/>
        </w:rPr>
        <w:t xml:space="preserve">soil </w:t>
      </w:r>
      <w:r w:rsidRPr="003864DF">
        <w:rPr>
          <w:color w:val="auto"/>
          <w:sz w:val="18"/>
          <w:szCs w:val="18"/>
          <w:highlight w:val="green"/>
        </w:rPr>
        <w:t xml:space="preserve">assessment </w:t>
      </w:r>
      <w:r w:rsidR="002D6076">
        <w:rPr>
          <w:color w:val="auto"/>
          <w:sz w:val="18"/>
          <w:szCs w:val="18"/>
          <w:highlight w:val="green"/>
        </w:rPr>
        <w:t xml:space="preserve">is required </w:t>
      </w:r>
      <w:r w:rsidRPr="003864DF">
        <w:rPr>
          <w:color w:val="auto"/>
          <w:sz w:val="18"/>
          <w:szCs w:val="18"/>
          <w:highlight w:val="green"/>
        </w:rPr>
        <w:t>for the Ametoctradin metabolites M650F01 and M650F02</w:t>
      </w:r>
    </w:p>
    <w:p w14:paraId="7ADD4079" w14:textId="6ABB2C6B" w:rsidR="00DC5685" w:rsidRPr="00A34F10" w:rsidRDefault="00DC5685" w:rsidP="002E7F42">
      <w:pPr>
        <w:pStyle w:val="StyleOECD-BASIS-TEXTLeft"/>
        <w:rPr>
          <w:color w:val="auto"/>
          <w:sz w:val="18"/>
          <w:szCs w:val="18"/>
        </w:rPr>
        <w:sectPr w:rsidR="00DC5685" w:rsidRPr="00A34F10" w:rsidSect="001C5B56">
          <w:headerReference w:type="default" r:id="rId23"/>
          <w:footerReference w:type="even" r:id="rId24"/>
          <w:footerReference w:type="default" r:id="rId25"/>
          <w:footerReference w:type="first" r:id="rId26"/>
          <w:pgSz w:w="11909" w:h="16834" w:code="9"/>
          <w:pgMar w:top="1418" w:right="1134" w:bottom="1134" w:left="1418" w:header="709" w:footer="709" w:gutter="0"/>
          <w:pgNumType w:chapSep="period"/>
          <w:cols w:space="720"/>
          <w:noEndnote/>
          <w:docGrid w:linePitch="299"/>
        </w:sectPr>
      </w:pPr>
    </w:p>
    <w:p w14:paraId="64D0A5E0" w14:textId="77777777" w:rsidR="00DC5685" w:rsidRPr="00A34F10" w:rsidRDefault="00DC5685" w:rsidP="00DC5685">
      <w:pPr>
        <w:pStyle w:val="Nagwek2"/>
      </w:pPr>
      <w:bookmarkStart w:id="135" w:name="_Toc399487258"/>
      <w:bookmarkStart w:id="136" w:name="_Ref405399133"/>
      <w:bookmarkStart w:id="137" w:name="_Ref405923357"/>
      <w:bookmarkStart w:id="138" w:name="_Ref405971516"/>
      <w:bookmarkStart w:id="139" w:name="_Toc412643971"/>
      <w:bookmarkStart w:id="140" w:name="_Toc413916817"/>
      <w:bookmarkStart w:id="141" w:name="_Toc413916959"/>
      <w:bookmarkStart w:id="142" w:name="_Toc413922020"/>
      <w:bookmarkStart w:id="143" w:name="_Toc413922509"/>
      <w:bookmarkStart w:id="144" w:name="_Toc413922613"/>
      <w:bookmarkStart w:id="145" w:name="_Toc414955250"/>
      <w:bookmarkStart w:id="146" w:name="_Toc415214557"/>
      <w:bookmarkStart w:id="147" w:name="_Toc181624945"/>
      <w:r w:rsidRPr="00A34F10">
        <w:lastRenderedPageBreak/>
        <w:t>Effects on birds (KCP 10.1.1)</w:t>
      </w:r>
      <w:bookmarkEnd w:id="135"/>
      <w:bookmarkEnd w:id="136"/>
      <w:bookmarkEnd w:id="137"/>
      <w:bookmarkEnd w:id="138"/>
      <w:bookmarkEnd w:id="139"/>
      <w:bookmarkEnd w:id="140"/>
      <w:bookmarkEnd w:id="141"/>
      <w:bookmarkEnd w:id="142"/>
      <w:bookmarkEnd w:id="143"/>
      <w:bookmarkEnd w:id="144"/>
      <w:bookmarkEnd w:id="145"/>
      <w:bookmarkEnd w:id="146"/>
      <w:bookmarkEnd w:id="147"/>
    </w:p>
    <w:p w14:paraId="33786462" w14:textId="77777777" w:rsidR="00DC5685" w:rsidRPr="00A34F10" w:rsidRDefault="00DC5685" w:rsidP="00DC5685">
      <w:pPr>
        <w:pStyle w:val="Nagwek3"/>
        <w:rPr>
          <w:rFonts w:cs="Times New Roman"/>
        </w:rPr>
      </w:pPr>
      <w:bookmarkStart w:id="148" w:name="_Toc399353251"/>
      <w:bookmarkStart w:id="149" w:name="_Toc412643972"/>
      <w:bookmarkStart w:id="150" w:name="_Toc413916818"/>
      <w:bookmarkStart w:id="151" w:name="_Toc413916960"/>
      <w:bookmarkStart w:id="152" w:name="_Toc413922021"/>
      <w:bookmarkStart w:id="153" w:name="_Toc413922510"/>
      <w:bookmarkStart w:id="154" w:name="_Toc413922614"/>
      <w:bookmarkStart w:id="155" w:name="_Toc414955251"/>
      <w:bookmarkStart w:id="156" w:name="_Toc415214558"/>
      <w:bookmarkStart w:id="157" w:name="_Toc181624946"/>
      <w:r w:rsidRPr="00A34F10">
        <w:rPr>
          <w:rFonts w:cs="Times New Roman"/>
        </w:rPr>
        <w:t>Toxicity data</w:t>
      </w:r>
      <w:bookmarkEnd w:id="148"/>
      <w:bookmarkEnd w:id="149"/>
      <w:bookmarkEnd w:id="150"/>
      <w:bookmarkEnd w:id="151"/>
      <w:bookmarkEnd w:id="152"/>
      <w:bookmarkEnd w:id="153"/>
      <w:bookmarkEnd w:id="154"/>
      <w:bookmarkEnd w:id="155"/>
      <w:bookmarkEnd w:id="156"/>
      <w:bookmarkEnd w:id="157"/>
    </w:p>
    <w:p w14:paraId="2CAFCD8F" w14:textId="77777777" w:rsidR="00DC5685" w:rsidRPr="00A34F10" w:rsidRDefault="00DC5685" w:rsidP="00DC5685">
      <w:pPr>
        <w:pStyle w:val="RepStandard"/>
        <w:suppressAutoHyphens/>
      </w:pPr>
      <w:bookmarkStart w:id="158" w:name="_Toc399353252"/>
      <w:bookmarkStart w:id="159" w:name="_Toc412643973"/>
      <w:bookmarkStart w:id="160" w:name="_Toc413916819"/>
      <w:bookmarkStart w:id="161" w:name="_Toc413916961"/>
      <w:bookmarkStart w:id="162" w:name="_Toc413922022"/>
      <w:bookmarkStart w:id="163" w:name="_Toc413922511"/>
      <w:bookmarkStart w:id="164" w:name="_Toc413922615"/>
      <w:bookmarkStart w:id="165" w:name="_Toc414955252"/>
      <w:bookmarkStart w:id="166" w:name="_Toc415214559"/>
      <w:bookmarkStart w:id="167" w:name="_Toc425512580"/>
      <w:r w:rsidRPr="00A34F10">
        <w:t>Avian toxicity studies have been carried out with Ametoctradin and Propamocarb. Full details of these studies are provided in the respective EU DAR and related documents.</w:t>
      </w:r>
    </w:p>
    <w:p w14:paraId="6F6DA523" w14:textId="77777777" w:rsidR="00DC5685" w:rsidRPr="00A34F10" w:rsidRDefault="00DC5685" w:rsidP="00DC5685">
      <w:pPr>
        <w:widowControl w:val="0"/>
        <w:suppressAutoHyphens/>
        <w:jc w:val="both"/>
        <w:rPr>
          <w:szCs w:val="24"/>
          <w:highlight w:val="yellow"/>
          <w:lang w:val="en-GB"/>
        </w:rPr>
      </w:pPr>
    </w:p>
    <w:p w14:paraId="5C6526C6" w14:textId="21C8F9F1" w:rsidR="00DC5685" w:rsidRPr="00A34F10" w:rsidRDefault="00DC5685" w:rsidP="00DC5685">
      <w:pPr>
        <w:widowControl w:val="0"/>
        <w:jc w:val="both"/>
        <w:rPr>
          <w:lang w:val="en-GB"/>
        </w:rPr>
      </w:pPr>
      <w:r w:rsidRPr="00A34F10">
        <w:rPr>
          <w:lang w:val="en-GB"/>
        </w:rPr>
        <w:t xml:space="preserve">Effects on birds of </w:t>
      </w:r>
      <w:bookmarkStart w:id="168" w:name="_Hlk23328329"/>
      <w:r w:rsidRPr="00A34F10">
        <w:rPr>
          <w:lang w:val="en-GB"/>
        </w:rPr>
        <w:t xml:space="preserve">BAS 743 03 F </w:t>
      </w:r>
      <w:bookmarkEnd w:id="168"/>
      <w:r w:rsidRPr="00A34F10">
        <w:rPr>
          <w:lang w:val="en-GB"/>
        </w:rPr>
        <w:t xml:space="preserve">were not evaluated as part of the EU assessment of Ametoctradin or Propamocarb. A new acute oral study on the similar formulation BAS 743 02 F </w:t>
      </w:r>
      <w:bookmarkStart w:id="169" w:name="_Hlk134990027"/>
      <w:r w:rsidRPr="00A34F10">
        <w:rPr>
          <w:lang w:val="en-GB"/>
        </w:rPr>
        <w:t>(containing 137.1 g/L Ametoctradin and 515.4 g/L Propamocarb-HCl)</w:t>
      </w:r>
      <w:bookmarkEnd w:id="169"/>
      <w:r w:rsidRPr="00A34F10">
        <w:rPr>
          <w:lang w:val="en-GB"/>
        </w:rPr>
        <w:t xml:space="preserve"> with Bobwhite quail is submitted with this application and is listed in Appendix 1 and summarised in Appendix 2. Since differences in co-formulants and/or their concentration between both formulations are considered minimal and both formulations are SC (suspension concentrates), it is assumed that bridging from BAS 743 02 F to BAS 743 03 F is acceptable. For details on the formulation compositions please refer to Part C of this submission. In addition, several ecotoxicological bridging studies have been performed with the formulation BAS 743 03 F on </w:t>
      </w:r>
      <w:r w:rsidRPr="00A34F10">
        <w:t>aquatic invertebrates (</w:t>
      </w:r>
      <w:r w:rsidRPr="00A34F10">
        <w:rPr>
          <w:i/>
          <w:iCs/>
        </w:rPr>
        <w:t>Daphnia magna</w:t>
      </w:r>
      <w:r w:rsidRPr="00A34F10">
        <w:t>, BAS Doc ID 2022/2033730), adult honey bees (</w:t>
      </w:r>
      <w:r w:rsidRPr="00A34F10">
        <w:rPr>
          <w:i/>
        </w:rPr>
        <w:t>Apis mellifera</w:t>
      </w:r>
      <w:r w:rsidRPr="00A34F10">
        <w:t xml:space="preserve">, acute oral and contact, </w:t>
      </w:r>
      <w:r w:rsidR="00482794">
        <w:t>XXXX</w:t>
      </w:r>
      <w:r w:rsidRPr="00A34F10">
        <w:t xml:space="preserve"> Doc ID 2022/2033729), non-target terrestrial arthropods (</w:t>
      </w:r>
      <w:r w:rsidRPr="00A34F10">
        <w:rPr>
          <w:i/>
        </w:rPr>
        <w:t xml:space="preserve">Aphidius rhopalosiphi, </w:t>
      </w:r>
      <w:r w:rsidR="00482794">
        <w:t>XXXX</w:t>
      </w:r>
      <w:r w:rsidRPr="00A34F10">
        <w:t xml:space="preserve"> Doc ID 2022/2033732) and </w:t>
      </w:r>
      <w:r w:rsidRPr="00A34F10">
        <w:rPr>
          <w:lang w:val="en-GB"/>
        </w:rPr>
        <w:t>chronic earthworms (</w:t>
      </w:r>
      <w:r w:rsidRPr="00A34F10">
        <w:rPr>
          <w:i/>
          <w:iCs/>
          <w:lang w:val="en-GB"/>
        </w:rPr>
        <w:t>Eisenia fetida</w:t>
      </w:r>
      <w:r w:rsidRPr="00A34F10">
        <w:rPr>
          <w:lang w:val="en-GB"/>
        </w:rPr>
        <w:t xml:space="preserve">, </w:t>
      </w:r>
      <w:r w:rsidR="00482794">
        <w:rPr>
          <w:lang w:val="en-GB"/>
        </w:rPr>
        <w:t>XXXX</w:t>
      </w:r>
      <w:r w:rsidRPr="00A34F10">
        <w:rPr>
          <w:lang w:val="en-GB"/>
        </w:rPr>
        <w:t xml:space="preserve"> Doc ID 2022/2033731) indicating no increased toxicity of BAS 743 03 F compared to BAS 743 02 F based on the content of active substance.</w:t>
      </w:r>
    </w:p>
    <w:p w14:paraId="2F8D6BE6" w14:textId="77777777" w:rsidR="00DC5685" w:rsidRPr="00A34F10" w:rsidRDefault="00DC5685" w:rsidP="00DC5685">
      <w:pPr>
        <w:widowControl w:val="0"/>
        <w:jc w:val="both"/>
        <w:rPr>
          <w:lang w:val="en-GB"/>
        </w:rPr>
      </w:pPr>
    </w:p>
    <w:p w14:paraId="5F711498" w14:textId="77777777" w:rsidR="00DC5685" w:rsidRPr="00A34F10" w:rsidRDefault="00DC5685" w:rsidP="00DC5685">
      <w:pPr>
        <w:widowControl w:val="0"/>
        <w:jc w:val="both"/>
        <w:rPr>
          <w:lang w:val="en-GB"/>
        </w:rPr>
      </w:pPr>
      <w:r w:rsidRPr="00A34F10">
        <w:rPr>
          <w:lang w:val="en-GB"/>
        </w:rPr>
        <w:t xml:space="preserve">The provision of further chronic data on </w:t>
      </w:r>
      <w:bookmarkStart w:id="170" w:name="_Hlk23329306"/>
      <w:r w:rsidRPr="00A34F10">
        <w:rPr>
          <w:lang w:val="en-GB"/>
        </w:rPr>
        <w:t xml:space="preserve">the formulation BAS 743 03 F </w:t>
      </w:r>
      <w:bookmarkEnd w:id="170"/>
      <w:r w:rsidRPr="00A34F10">
        <w:rPr>
          <w:lang w:val="en-GB"/>
        </w:rPr>
        <w:t xml:space="preserve">are not necessary as active substance data on the toxicity to birds is used and additional formulation data are not considered essential. Direct exposure of birds to applications of the formulation is considered unlikely, because at the time of application and for a short period thereafter, most birds will leave the immediate vicinity of spray operations in response to the human disturbance. Birds are typically exposed to dry residues on their food items following the dilution and spraying of the formulated product. During these processes, much of the formulation constituents are likely to be lost by volatilisation. Since dietary exposure is the main route of exposure, toxicity data for the active substances are used in preference to data from tests with the formulated material. Furthermore, </w:t>
      </w:r>
      <w:bookmarkStart w:id="171" w:name="_Hlk25171172"/>
      <w:r w:rsidRPr="00A34F10">
        <w:rPr>
          <w:lang w:val="en-GB"/>
        </w:rPr>
        <w:t xml:space="preserve">data on mammals do not indicate higher toxicity of the formulation compared to the active substance and no effects were observed for the active substances. </w:t>
      </w:r>
      <w:bookmarkStart w:id="172" w:name="_Hlk25152250"/>
    </w:p>
    <w:bookmarkEnd w:id="171"/>
    <w:bookmarkEnd w:id="172"/>
    <w:p w14:paraId="102FF459" w14:textId="77777777" w:rsidR="00DC5685" w:rsidRPr="00A34F10" w:rsidRDefault="00DC5685" w:rsidP="00DC5685">
      <w:pPr>
        <w:widowControl w:val="0"/>
        <w:jc w:val="both"/>
        <w:rPr>
          <w:lang w:val="en-GB"/>
        </w:rPr>
      </w:pPr>
    </w:p>
    <w:p w14:paraId="1ABDA7BE" w14:textId="77777777" w:rsidR="00DC5685" w:rsidRPr="00A34F10" w:rsidRDefault="00DC5685" w:rsidP="00DC5685">
      <w:pPr>
        <w:widowControl w:val="0"/>
        <w:suppressAutoHyphens/>
        <w:jc w:val="both"/>
        <w:rPr>
          <w:lang w:val="en-GB"/>
        </w:rPr>
      </w:pPr>
      <w:r w:rsidRPr="00A34F10">
        <w:rPr>
          <w:lang w:val="en-GB"/>
        </w:rPr>
        <w:t xml:space="preserve">The selection of studies and endpoints for the risk assessment is in line with the results of the EU review process, </w:t>
      </w:r>
      <w:r w:rsidRPr="00A34F10">
        <w:t>plus the endpoint for the formulation has been taken into account</w:t>
      </w:r>
      <w:r w:rsidRPr="00A34F10">
        <w:rPr>
          <w:lang w:val="en-GB"/>
        </w:rPr>
        <w:t>.</w:t>
      </w:r>
    </w:p>
    <w:p w14:paraId="78D8DA58" w14:textId="77777777" w:rsidR="00DC5685" w:rsidRPr="00A34F10" w:rsidRDefault="00DC5685" w:rsidP="00DC5685">
      <w:pPr>
        <w:widowControl w:val="0"/>
        <w:suppressAutoHyphens/>
        <w:jc w:val="both"/>
        <w:rPr>
          <w:szCs w:val="24"/>
          <w:highlight w:val="yellow"/>
          <w:lang w:val="en-GB"/>
        </w:rPr>
      </w:pPr>
    </w:p>
    <w:p w14:paraId="323D5642" w14:textId="77777777" w:rsidR="00DC5685" w:rsidRPr="00A34F10" w:rsidRDefault="00DC5685" w:rsidP="00DC5685">
      <w:pPr>
        <w:pStyle w:val="RepStandard"/>
        <w:suppressAutoHyphens/>
        <w:rPr>
          <w:b/>
          <w:u w:val="single"/>
        </w:rPr>
      </w:pPr>
      <w:r w:rsidRPr="00A34F10">
        <w:rPr>
          <w:b/>
          <w:u w:val="single"/>
        </w:rPr>
        <w:t>Active substances</w:t>
      </w:r>
    </w:p>
    <w:p w14:paraId="7622F837" w14:textId="77777777" w:rsidR="00DC5685" w:rsidRPr="00A34F10" w:rsidRDefault="00DC5685" w:rsidP="00DC5685">
      <w:pPr>
        <w:pStyle w:val="RepStandard"/>
        <w:suppressAutoHyphens/>
        <w:rPr>
          <w:highlight w:val="yellow"/>
        </w:rPr>
      </w:pPr>
    </w:p>
    <w:p w14:paraId="369958CE" w14:textId="362EDA4D" w:rsidR="00DC5685" w:rsidRPr="00A34F10" w:rsidRDefault="00DC5685" w:rsidP="00DC5685">
      <w:pPr>
        <w:pStyle w:val="RepStandard"/>
        <w:suppressAutoHyphens/>
      </w:pPr>
      <w:r w:rsidRPr="00A34F10">
        <w:t xml:space="preserve">An overview of the EU agreed endpoints for Ametoctradin is given in </w:t>
      </w:r>
      <w:fldSimple w:instr=" REF _Ref465316045  \* MERGEFORMAT ">
        <w:r w:rsidR="006F0F3B" w:rsidRPr="00A34F10">
          <w:t xml:space="preserve">Table </w:t>
        </w:r>
        <w:r w:rsidR="006F0F3B">
          <w:t>9.2</w:t>
        </w:r>
        <w:r w:rsidR="006F0F3B">
          <w:noBreakHyphen/>
          <w:t>1</w:t>
        </w:r>
      </w:fldSimple>
      <w:r w:rsidRPr="00A34F10">
        <w:t>. In case the selection of studies and endpoints for the risk assessment deviates from the results of the EU review process, justifications are provided below.</w:t>
      </w:r>
    </w:p>
    <w:p w14:paraId="33F0B65F" w14:textId="18D4555F" w:rsidR="00DC5685" w:rsidRPr="00A34F10" w:rsidRDefault="003277CC" w:rsidP="00DC5685">
      <w:pPr>
        <w:pStyle w:val="RepStandard"/>
        <w:suppressAutoHyphens/>
      </w:pPr>
      <w:r w:rsidRPr="00A34F10">
        <w:br w:type="page"/>
      </w:r>
    </w:p>
    <w:p w14:paraId="349124B1" w14:textId="10BE0742" w:rsidR="00DC5685" w:rsidRPr="00A34F10" w:rsidRDefault="00DC5685" w:rsidP="00DC5685">
      <w:pPr>
        <w:pStyle w:val="RepLabel"/>
        <w:tabs>
          <w:tab w:val="clear" w:pos="1985"/>
          <w:tab w:val="left" w:pos="1701"/>
        </w:tabs>
        <w:suppressAutoHyphens/>
        <w:spacing w:before="0" w:after="0"/>
        <w:jc w:val="both"/>
      </w:pPr>
      <w:bookmarkStart w:id="173" w:name="_Ref465316045"/>
      <w:bookmarkStart w:id="174" w:name="_Hlk39419961"/>
      <w:r w:rsidRPr="00A34F10">
        <w:lastRenderedPageBreak/>
        <w:t xml:space="preserve">Table </w:t>
      </w:r>
      <w:fldSimple w:instr=" STYLEREF 2 \s ">
        <w:r w:rsidR="006F0F3B">
          <w:rPr>
            <w:noProof/>
          </w:rPr>
          <w:t>9.2</w:t>
        </w:r>
      </w:fldSimple>
      <w:r w:rsidR="007E7467">
        <w:noBreakHyphen/>
      </w:r>
      <w:fldSimple w:instr=" SEQ Table \* ARABIC \s 2 ">
        <w:r w:rsidR="006F0F3B">
          <w:rPr>
            <w:noProof/>
          </w:rPr>
          <w:t>1</w:t>
        </w:r>
      </w:fldSimple>
      <w:bookmarkEnd w:id="173"/>
      <w:r w:rsidRPr="00A34F10">
        <w:t>:</w:t>
      </w:r>
      <w:r w:rsidRPr="00A34F10">
        <w:tab/>
        <w:t>Ametoctradin (BAS 650 F): Endpoints relevant for the risk assessment for birds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0"/>
        <w:gridCol w:w="1870"/>
        <w:gridCol w:w="1869"/>
        <w:gridCol w:w="1869"/>
        <w:gridCol w:w="1869"/>
      </w:tblGrid>
      <w:tr w:rsidR="00DC5685" w:rsidRPr="00A34F10" w14:paraId="3D99656D" w14:textId="77777777" w:rsidTr="000470C3">
        <w:trPr>
          <w:tblHeader/>
        </w:trPr>
        <w:tc>
          <w:tcPr>
            <w:tcW w:w="1000" w:type="pct"/>
            <w:shd w:val="clear" w:color="auto" w:fill="auto"/>
            <w:vAlign w:val="center"/>
          </w:tcPr>
          <w:p w14:paraId="3F396D66" w14:textId="77777777" w:rsidR="00DC5685" w:rsidRPr="00A34F10" w:rsidRDefault="00DC5685" w:rsidP="000470C3">
            <w:pPr>
              <w:pStyle w:val="RepTableHeader"/>
              <w:suppressAutoHyphens/>
              <w:rPr>
                <w:lang w:val="en-GB"/>
              </w:rPr>
            </w:pPr>
            <w:r w:rsidRPr="00A34F10">
              <w:rPr>
                <w:lang w:val="en-GB"/>
              </w:rPr>
              <w:t>Species</w:t>
            </w:r>
          </w:p>
        </w:tc>
        <w:tc>
          <w:tcPr>
            <w:tcW w:w="1000" w:type="pct"/>
            <w:shd w:val="clear" w:color="auto" w:fill="auto"/>
            <w:vAlign w:val="center"/>
          </w:tcPr>
          <w:p w14:paraId="1926A664" w14:textId="77777777" w:rsidR="00DC5685" w:rsidRPr="00A34F10" w:rsidRDefault="00DC5685" w:rsidP="000470C3">
            <w:pPr>
              <w:pStyle w:val="RepTableHeader"/>
              <w:suppressAutoHyphens/>
              <w:rPr>
                <w:lang w:val="en-GB"/>
              </w:rPr>
            </w:pPr>
            <w:r w:rsidRPr="00A34F10">
              <w:rPr>
                <w:lang w:val="en-GB"/>
              </w:rPr>
              <w:t>Substance</w:t>
            </w:r>
          </w:p>
        </w:tc>
        <w:tc>
          <w:tcPr>
            <w:tcW w:w="1000" w:type="pct"/>
            <w:shd w:val="clear" w:color="auto" w:fill="auto"/>
            <w:vAlign w:val="center"/>
          </w:tcPr>
          <w:p w14:paraId="7ACA16FA" w14:textId="77777777" w:rsidR="00DC5685" w:rsidRPr="00A34F10" w:rsidRDefault="00DC5685" w:rsidP="000470C3">
            <w:pPr>
              <w:pStyle w:val="RepTableHeader"/>
              <w:suppressAutoHyphens/>
              <w:rPr>
                <w:lang w:val="en-GB"/>
              </w:rPr>
            </w:pPr>
            <w:r w:rsidRPr="00A34F10">
              <w:rPr>
                <w:lang w:val="en-GB"/>
              </w:rPr>
              <w:t>Exposure</w:t>
            </w:r>
          </w:p>
          <w:p w14:paraId="35E06E0E" w14:textId="77777777" w:rsidR="00DC5685" w:rsidRPr="00A34F10" w:rsidRDefault="00DC5685" w:rsidP="000470C3">
            <w:pPr>
              <w:pStyle w:val="RepTableHeader"/>
              <w:suppressAutoHyphens/>
              <w:rPr>
                <w:lang w:val="en-GB"/>
              </w:rPr>
            </w:pPr>
            <w:r w:rsidRPr="00A34F10">
              <w:rPr>
                <w:lang w:val="en-GB"/>
              </w:rPr>
              <w:t>System</w:t>
            </w:r>
          </w:p>
        </w:tc>
        <w:tc>
          <w:tcPr>
            <w:tcW w:w="1000" w:type="pct"/>
            <w:shd w:val="clear" w:color="auto" w:fill="auto"/>
            <w:vAlign w:val="center"/>
          </w:tcPr>
          <w:p w14:paraId="7DEAE506" w14:textId="77777777" w:rsidR="00DC5685" w:rsidRPr="00A34F10" w:rsidRDefault="00DC5685" w:rsidP="000470C3">
            <w:pPr>
              <w:pStyle w:val="RepTableHeader"/>
              <w:suppressAutoHyphens/>
              <w:rPr>
                <w:lang w:val="en-GB"/>
              </w:rPr>
            </w:pPr>
            <w:r w:rsidRPr="00A34F10">
              <w:rPr>
                <w:lang w:val="en-GB"/>
              </w:rPr>
              <w:t>Results</w:t>
            </w:r>
          </w:p>
        </w:tc>
        <w:tc>
          <w:tcPr>
            <w:tcW w:w="1000" w:type="pct"/>
            <w:shd w:val="clear" w:color="auto" w:fill="auto"/>
            <w:vAlign w:val="center"/>
          </w:tcPr>
          <w:p w14:paraId="3761247F" w14:textId="77777777" w:rsidR="00DC5685" w:rsidRPr="00A34F10" w:rsidRDefault="00DC5685" w:rsidP="000470C3">
            <w:pPr>
              <w:pStyle w:val="RepTableBold"/>
              <w:keepNext/>
              <w:keepLines/>
              <w:widowControl/>
              <w:suppressAutoHyphens/>
              <w:rPr>
                <w:lang w:val="en-GB"/>
              </w:rPr>
            </w:pPr>
            <w:r w:rsidRPr="00A34F10">
              <w:rPr>
                <w:lang w:val="en-GB"/>
              </w:rPr>
              <w:t xml:space="preserve">Reference </w:t>
            </w:r>
          </w:p>
          <w:p w14:paraId="24C1E5CB" w14:textId="6C8DE382" w:rsidR="00DC5685" w:rsidRPr="00A34F10" w:rsidRDefault="00DC5685" w:rsidP="000470C3">
            <w:pPr>
              <w:pStyle w:val="RepTableHeader"/>
              <w:suppressAutoHyphens/>
              <w:rPr>
                <w:lang w:val="en-GB"/>
              </w:rPr>
            </w:pPr>
            <w:r w:rsidRPr="00A34F10">
              <w:rPr>
                <w:lang w:val="en-GB"/>
              </w:rPr>
              <w:t>[</w:t>
            </w:r>
            <w:r w:rsidR="00482794">
              <w:rPr>
                <w:lang w:val="en-GB"/>
              </w:rPr>
              <w:t>XXXX</w:t>
            </w:r>
            <w:r w:rsidRPr="00A34F10">
              <w:rPr>
                <w:lang w:val="en-GB"/>
              </w:rPr>
              <w:t xml:space="preserve"> DocID]</w:t>
            </w:r>
          </w:p>
        </w:tc>
      </w:tr>
      <w:bookmarkEnd w:id="174"/>
      <w:tr w:rsidR="00DC5685" w:rsidRPr="00A34F10" w14:paraId="6A879985" w14:textId="77777777" w:rsidTr="000470C3">
        <w:tc>
          <w:tcPr>
            <w:tcW w:w="1000" w:type="pct"/>
            <w:shd w:val="clear" w:color="auto" w:fill="auto"/>
          </w:tcPr>
          <w:p w14:paraId="40D4E7C8" w14:textId="77777777" w:rsidR="00DC5685" w:rsidRPr="00A34F10" w:rsidRDefault="00DC5685" w:rsidP="000470C3">
            <w:pPr>
              <w:pStyle w:val="RepTable"/>
              <w:suppressAutoHyphens/>
              <w:rPr>
                <w:noProof w:val="0"/>
                <w:szCs w:val="20"/>
                <w:highlight w:val="yellow"/>
              </w:rPr>
            </w:pPr>
            <w:r w:rsidRPr="00A34F10">
              <w:rPr>
                <w:i/>
                <w:noProof w:val="0"/>
                <w:szCs w:val="20"/>
              </w:rPr>
              <w:t>Colinus virginianus</w:t>
            </w:r>
          </w:p>
        </w:tc>
        <w:tc>
          <w:tcPr>
            <w:tcW w:w="1000" w:type="pct"/>
            <w:shd w:val="clear" w:color="auto" w:fill="auto"/>
          </w:tcPr>
          <w:p w14:paraId="42CCADB0" w14:textId="77777777" w:rsidR="00DC5685" w:rsidRPr="00A34F10" w:rsidRDefault="00DC5685" w:rsidP="000470C3">
            <w:pPr>
              <w:pStyle w:val="RepTable"/>
              <w:suppressAutoHyphens/>
              <w:rPr>
                <w:noProof w:val="0"/>
                <w:szCs w:val="20"/>
              </w:rPr>
            </w:pPr>
            <w:r w:rsidRPr="00A34F10">
              <w:rPr>
                <w:noProof w:val="0"/>
                <w:szCs w:val="20"/>
              </w:rPr>
              <w:t>Ametoctradin</w:t>
            </w:r>
          </w:p>
        </w:tc>
        <w:tc>
          <w:tcPr>
            <w:tcW w:w="1000" w:type="pct"/>
            <w:shd w:val="clear" w:color="auto" w:fill="auto"/>
          </w:tcPr>
          <w:p w14:paraId="412FFE19"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1000" w:type="pct"/>
            <w:shd w:val="clear" w:color="auto" w:fill="auto"/>
          </w:tcPr>
          <w:p w14:paraId="6933D1A8" w14:textId="77777777" w:rsidR="00DC5685" w:rsidRPr="00A34F10" w:rsidRDefault="00DC5685" w:rsidP="000470C3">
            <w:pPr>
              <w:pStyle w:val="RepTable"/>
              <w:suppressAutoHyphens/>
              <w:rPr>
                <w:noProof w:val="0"/>
                <w:szCs w:val="20"/>
              </w:rPr>
            </w:pPr>
            <w:r w:rsidRPr="00A34F10">
              <w:rPr>
                <w:noProof w:val="0"/>
                <w:szCs w:val="20"/>
              </w:rPr>
              <w:t>LD</w:t>
            </w:r>
            <w:r w:rsidRPr="00A34F10">
              <w:rPr>
                <w:noProof w:val="0"/>
                <w:szCs w:val="20"/>
                <w:vertAlign w:val="subscript"/>
              </w:rPr>
              <w:t>50</w:t>
            </w:r>
            <w:r w:rsidRPr="00A34F10">
              <w:rPr>
                <w:noProof w:val="0"/>
                <w:szCs w:val="20"/>
              </w:rPr>
              <w:t xml:space="preserve"> &gt; 2000 mg/kg b.w.</w:t>
            </w:r>
          </w:p>
        </w:tc>
        <w:tc>
          <w:tcPr>
            <w:tcW w:w="1000" w:type="pct"/>
            <w:shd w:val="clear" w:color="auto" w:fill="auto"/>
          </w:tcPr>
          <w:p w14:paraId="03FF0C4D" w14:textId="77777777" w:rsidR="00DC5685" w:rsidRPr="00A34F10" w:rsidRDefault="00DC5685" w:rsidP="000470C3">
            <w:pPr>
              <w:pStyle w:val="RepTable"/>
              <w:suppressAutoHyphens/>
              <w:rPr>
                <w:noProof w:val="0"/>
                <w:szCs w:val="20"/>
                <w:highlight w:val="yellow"/>
              </w:rPr>
            </w:pPr>
            <w:r w:rsidRPr="00A34F10">
              <w:rPr>
                <w:noProof w:val="0"/>
                <w:szCs w:val="20"/>
              </w:rPr>
              <w:t>EFSA Journal 2012, 10(11): 2921; 2006/1038389</w:t>
            </w:r>
          </w:p>
        </w:tc>
      </w:tr>
      <w:tr w:rsidR="00DC5685" w:rsidRPr="00A34F10" w14:paraId="1E2AD50A" w14:textId="77777777" w:rsidTr="000470C3">
        <w:tc>
          <w:tcPr>
            <w:tcW w:w="1000" w:type="pct"/>
            <w:shd w:val="clear" w:color="auto" w:fill="auto"/>
          </w:tcPr>
          <w:p w14:paraId="6F198251" w14:textId="77777777" w:rsidR="00DC5685" w:rsidRPr="00A34F10" w:rsidRDefault="00DC5685" w:rsidP="000470C3">
            <w:pPr>
              <w:pStyle w:val="RepTable"/>
              <w:suppressAutoHyphens/>
              <w:rPr>
                <w:i/>
                <w:noProof w:val="0"/>
                <w:szCs w:val="20"/>
              </w:rPr>
            </w:pPr>
            <w:r w:rsidRPr="00A34F10">
              <w:rPr>
                <w:i/>
                <w:noProof w:val="0"/>
                <w:szCs w:val="20"/>
              </w:rPr>
              <w:t>Anas platyrhynchos</w:t>
            </w:r>
          </w:p>
        </w:tc>
        <w:tc>
          <w:tcPr>
            <w:tcW w:w="1000" w:type="pct"/>
            <w:shd w:val="clear" w:color="auto" w:fill="auto"/>
          </w:tcPr>
          <w:p w14:paraId="40A9590F" w14:textId="77777777" w:rsidR="00DC5685" w:rsidRPr="00A34F10" w:rsidRDefault="00DC5685" w:rsidP="000470C3">
            <w:pPr>
              <w:pStyle w:val="RepTable"/>
              <w:suppressAutoHyphens/>
              <w:rPr>
                <w:noProof w:val="0"/>
                <w:szCs w:val="20"/>
              </w:rPr>
            </w:pPr>
            <w:r w:rsidRPr="00A34F10">
              <w:rPr>
                <w:noProof w:val="0"/>
                <w:szCs w:val="20"/>
              </w:rPr>
              <w:t>Ametoctradin</w:t>
            </w:r>
          </w:p>
        </w:tc>
        <w:tc>
          <w:tcPr>
            <w:tcW w:w="1000" w:type="pct"/>
            <w:shd w:val="clear" w:color="auto" w:fill="auto"/>
          </w:tcPr>
          <w:p w14:paraId="3BCA6333"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1000" w:type="pct"/>
            <w:shd w:val="clear" w:color="auto" w:fill="auto"/>
          </w:tcPr>
          <w:p w14:paraId="5E4C71B1" w14:textId="77777777" w:rsidR="00DC5685" w:rsidRPr="00A34F10" w:rsidRDefault="00DC5685" w:rsidP="000470C3">
            <w:pPr>
              <w:pStyle w:val="RepTable"/>
              <w:suppressAutoHyphens/>
              <w:rPr>
                <w:noProof w:val="0"/>
                <w:szCs w:val="20"/>
              </w:rPr>
            </w:pPr>
            <w:r w:rsidRPr="00A34F10">
              <w:rPr>
                <w:noProof w:val="0"/>
                <w:szCs w:val="20"/>
              </w:rPr>
              <w:t>LD</w:t>
            </w:r>
            <w:r w:rsidRPr="00A34F10">
              <w:rPr>
                <w:noProof w:val="0"/>
                <w:szCs w:val="20"/>
                <w:vertAlign w:val="subscript"/>
              </w:rPr>
              <w:t>50</w:t>
            </w:r>
            <w:r w:rsidRPr="00A34F10">
              <w:rPr>
                <w:noProof w:val="0"/>
                <w:szCs w:val="20"/>
              </w:rPr>
              <w:t xml:space="preserve"> &gt; 2000 mg/kg b.w.</w:t>
            </w:r>
          </w:p>
        </w:tc>
        <w:tc>
          <w:tcPr>
            <w:tcW w:w="1000" w:type="pct"/>
            <w:shd w:val="clear" w:color="auto" w:fill="auto"/>
          </w:tcPr>
          <w:p w14:paraId="35B28F28" w14:textId="77777777" w:rsidR="00DC5685" w:rsidRPr="00A34F10" w:rsidRDefault="00DC5685" w:rsidP="000470C3">
            <w:pPr>
              <w:pStyle w:val="RepTable"/>
              <w:suppressAutoHyphens/>
              <w:rPr>
                <w:noProof w:val="0"/>
                <w:szCs w:val="20"/>
                <w:highlight w:val="yellow"/>
              </w:rPr>
            </w:pPr>
            <w:r w:rsidRPr="00A34F10">
              <w:rPr>
                <w:noProof w:val="0"/>
                <w:szCs w:val="20"/>
              </w:rPr>
              <w:t>EFSA Journal 2012, 10(11): 2921; 2006/1038390</w:t>
            </w:r>
          </w:p>
        </w:tc>
      </w:tr>
      <w:tr w:rsidR="00DC5685" w:rsidRPr="00A34F10" w14:paraId="450493B3" w14:textId="77777777" w:rsidTr="000470C3">
        <w:tc>
          <w:tcPr>
            <w:tcW w:w="1000" w:type="pct"/>
            <w:shd w:val="clear" w:color="auto" w:fill="auto"/>
          </w:tcPr>
          <w:p w14:paraId="6C3B9C80" w14:textId="77777777" w:rsidR="00DC5685" w:rsidRPr="00A34F10" w:rsidRDefault="00DC5685" w:rsidP="000470C3">
            <w:pPr>
              <w:pStyle w:val="RepTable"/>
              <w:suppressAutoHyphens/>
              <w:rPr>
                <w:noProof w:val="0"/>
                <w:szCs w:val="20"/>
                <w:highlight w:val="yellow"/>
              </w:rPr>
            </w:pPr>
            <w:r w:rsidRPr="00A34F10">
              <w:rPr>
                <w:i/>
                <w:noProof w:val="0"/>
                <w:szCs w:val="20"/>
              </w:rPr>
              <w:t>Colinus virginianus</w:t>
            </w:r>
          </w:p>
        </w:tc>
        <w:tc>
          <w:tcPr>
            <w:tcW w:w="1000" w:type="pct"/>
            <w:shd w:val="clear" w:color="auto" w:fill="auto"/>
          </w:tcPr>
          <w:p w14:paraId="45EFB95C" w14:textId="77777777" w:rsidR="00DC5685" w:rsidRPr="00A34F10" w:rsidRDefault="00DC5685" w:rsidP="000470C3">
            <w:pPr>
              <w:pStyle w:val="RepTable"/>
              <w:suppressAutoHyphens/>
              <w:rPr>
                <w:noProof w:val="0"/>
                <w:szCs w:val="20"/>
                <w:highlight w:val="yellow"/>
              </w:rPr>
            </w:pPr>
            <w:r w:rsidRPr="00A34F10">
              <w:rPr>
                <w:noProof w:val="0"/>
                <w:szCs w:val="20"/>
              </w:rPr>
              <w:t>Ametoctradin</w:t>
            </w:r>
          </w:p>
        </w:tc>
        <w:tc>
          <w:tcPr>
            <w:tcW w:w="1000" w:type="pct"/>
            <w:shd w:val="clear" w:color="auto" w:fill="auto"/>
          </w:tcPr>
          <w:p w14:paraId="18A6D6C4" w14:textId="77777777" w:rsidR="00DC5685" w:rsidRPr="00A34F10" w:rsidRDefault="00DC5685" w:rsidP="000470C3">
            <w:pPr>
              <w:pStyle w:val="RepTable"/>
              <w:suppressAutoHyphens/>
              <w:rPr>
                <w:noProof w:val="0"/>
                <w:szCs w:val="20"/>
              </w:rPr>
            </w:pPr>
            <w:r w:rsidRPr="00A34F10">
              <w:rPr>
                <w:noProof w:val="0"/>
                <w:szCs w:val="20"/>
              </w:rPr>
              <w:t>Dietary</w:t>
            </w:r>
            <w:r w:rsidRPr="00A34F10">
              <w:rPr>
                <w:noProof w:val="0"/>
                <w:szCs w:val="20"/>
              </w:rPr>
              <w:br/>
              <w:t>Reproductive toxicity</w:t>
            </w:r>
          </w:p>
        </w:tc>
        <w:tc>
          <w:tcPr>
            <w:tcW w:w="1000" w:type="pct"/>
            <w:shd w:val="clear" w:color="auto" w:fill="auto"/>
          </w:tcPr>
          <w:p w14:paraId="5389D699" w14:textId="77777777" w:rsidR="00DC5685" w:rsidRPr="00A34F10" w:rsidRDefault="00DC5685" w:rsidP="000470C3">
            <w:pPr>
              <w:pStyle w:val="RepTable"/>
              <w:suppressAutoHyphens/>
              <w:rPr>
                <w:noProof w:val="0"/>
                <w:szCs w:val="20"/>
              </w:rPr>
            </w:pPr>
            <w:r w:rsidRPr="00A34F10">
              <w:rPr>
                <w:noProof w:val="0"/>
                <w:szCs w:val="20"/>
              </w:rPr>
              <w:t>NOEL = 115.2 mg/kg b.w./d</w:t>
            </w:r>
          </w:p>
        </w:tc>
        <w:tc>
          <w:tcPr>
            <w:tcW w:w="1000" w:type="pct"/>
            <w:shd w:val="clear" w:color="auto" w:fill="auto"/>
          </w:tcPr>
          <w:p w14:paraId="69FA8AAA" w14:textId="77777777" w:rsidR="00DC5685" w:rsidRPr="00A34F10" w:rsidRDefault="00DC5685" w:rsidP="000470C3">
            <w:pPr>
              <w:pStyle w:val="RepTable"/>
              <w:suppressAutoHyphens/>
              <w:rPr>
                <w:noProof w:val="0"/>
                <w:szCs w:val="20"/>
                <w:highlight w:val="yellow"/>
              </w:rPr>
            </w:pPr>
            <w:r w:rsidRPr="00A34F10">
              <w:rPr>
                <w:noProof w:val="0"/>
                <w:szCs w:val="20"/>
              </w:rPr>
              <w:t xml:space="preserve">EFSA Journal 2012, 10(11): 2921; </w:t>
            </w:r>
          </w:p>
          <w:p w14:paraId="4BA688DA" w14:textId="77777777" w:rsidR="00DC5685" w:rsidRPr="00A34F10" w:rsidRDefault="00DC5685" w:rsidP="000470C3">
            <w:pPr>
              <w:pStyle w:val="Tabellentextlinks"/>
              <w:suppressAutoHyphens/>
              <w:rPr>
                <w:rFonts w:ascii="Times New Roman" w:hAnsi="Times New Roman"/>
                <w:szCs w:val="20"/>
                <w:lang w:val="en-GB"/>
              </w:rPr>
            </w:pPr>
            <w:r w:rsidRPr="00A34F10">
              <w:rPr>
                <w:rFonts w:ascii="Times New Roman" w:hAnsi="Times New Roman"/>
                <w:szCs w:val="20"/>
                <w:lang w:val="en-GB"/>
              </w:rPr>
              <w:t>2008/1023023,</w:t>
            </w:r>
          </w:p>
          <w:p w14:paraId="4EDCFF04" w14:textId="77777777" w:rsidR="00DC5685" w:rsidRPr="00A34F10" w:rsidRDefault="00DC5685" w:rsidP="000470C3">
            <w:pPr>
              <w:suppressAutoHyphens/>
              <w:ind w:hanging="29"/>
              <w:rPr>
                <w:sz w:val="20"/>
                <w:szCs w:val="20"/>
                <w:lang w:val="en-GB"/>
              </w:rPr>
            </w:pPr>
            <w:r w:rsidRPr="00A34F10">
              <w:rPr>
                <w:rFonts w:eastAsia="Batang"/>
                <w:bCs/>
                <w:sz w:val="20"/>
                <w:szCs w:val="20"/>
                <w:lang w:val="en-GB" w:eastAsia="zh-CN"/>
              </w:rPr>
              <w:t>2008/1071959 </w:t>
            </w:r>
            <w:r w:rsidRPr="00A34F10">
              <w:rPr>
                <w:bCs/>
                <w:sz w:val="20"/>
                <w:szCs w:val="20"/>
                <w:vertAlign w:val="superscript"/>
                <w:lang w:val="en-GB"/>
              </w:rPr>
              <w:t>1)</w:t>
            </w:r>
            <w:r w:rsidRPr="00A34F10">
              <w:rPr>
                <w:bCs/>
                <w:sz w:val="20"/>
                <w:szCs w:val="20"/>
                <w:lang w:val="en-GB"/>
              </w:rPr>
              <w:t>,</w:t>
            </w:r>
          </w:p>
          <w:p w14:paraId="0F3024E8" w14:textId="77777777" w:rsidR="00DC5685" w:rsidRPr="00A34F10" w:rsidRDefault="00DC5685" w:rsidP="000470C3">
            <w:pPr>
              <w:pStyle w:val="RepTable"/>
              <w:suppressAutoHyphens/>
              <w:rPr>
                <w:noProof w:val="0"/>
                <w:szCs w:val="20"/>
                <w:highlight w:val="yellow"/>
              </w:rPr>
            </w:pPr>
            <w:r w:rsidRPr="00A34F10">
              <w:rPr>
                <w:rFonts w:eastAsia="Batang"/>
                <w:bCs/>
                <w:noProof w:val="0"/>
                <w:szCs w:val="20"/>
                <w:lang w:eastAsia="zh-CN"/>
              </w:rPr>
              <w:t>2009/1079840 </w:t>
            </w:r>
            <w:r w:rsidRPr="00A34F10">
              <w:rPr>
                <w:bCs/>
                <w:noProof w:val="0"/>
                <w:szCs w:val="20"/>
                <w:vertAlign w:val="superscript"/>
              </w:rPr>
              <w:t>1)</w:t>
            </w:r>
          </w:p>
        </w:tc>
      </w:tr>
      <w:tr w:rsidR="00DC5685" w:rsidRPr="00A34F10" w14:paraId="722A6CDE" w14:textId="77777777" w:rsidTr="000470C3">
        <w:tc>
          <w:tcPr>
            <w:tcW w:w="1000" w:type="pct"/>
            <w:shd w:val="clear" w:color="auto" w:fill="auto"/>
          </w:tcPr>
          <w:p w14:paraId="5BA31570" w14:textId="77777777" w:rsidR="00DC5685" w:rsidRPr="00A34F10" w:rsidRDefault="00DC5685" w:rsidP="000470C3">
            <w:pPr>
              <w:pStyle w:val="RepTable"/>
              <w:suppressAutoHyphens/>
              <w:rPr>
                <w:noProof w:val="0"/>
                <w:szCs w:val="20"/>
                <w:highlight w:val="yellow"/>
              </w:rPr>
            </w:pPr>
            <w:r w:rsidRPr="00A34F10">
              <w:rPr>
                <w:i/>
                <w:noProof w:val="0"/>
                <w:szCs w:val="20"/>
              </w:rPr>
              <w:t>Anas platyrhynchos</w:t>
            </w:r>
          </w:p>
        </w:tc>
        <w:tc>
          <w:tcPr>
            <w:tcW w:w="1000" w:type="pct"/>
            <w:shd w:val="clear" w:color="auto" w:fill="auto"/>
          </w:tcPr>
          <w:p w14:paraId="1A7A5A9B" w14:textId="77777777" w:rsidR="00DC5685" w:rsidRPr="00A34F10" w:rsidRDefault="00DC5685" w:rsidP="000470C3">
            <w:pPr>
              <w:pStyle w:val="RepTable"/>
              <w:suppressAutoHyphens/>
              <w:rPr>
                <w:noProof w:val="0"/>
                <w:szCs w:val="20"/>
                <w:highlight w:val="yellow"/>
              </w:rPr>
            </w:pPr>
            <w:r w:rsidRPr="00A34F10">
              <w:rPr>
                <w:noProof w:val="0"/>
                <w:szCs w:val="20"/>
              </w:rPr>
              <w:t>Ametoctradin</w:t>
            </w:r>
          </w:p>
        </w:tc>
        <w:tc>
          <w:tcPr>
            <w:tcW w:w="1000" w:type="pct"/>
            <w:shd w:val="clear" w:color="auto" w:fill="auto"/>
          </w:tcPr>
          <w:p w14:paraId="62F2BBE1" w14:textId="77777777" w:rsidR="00DC5685" w:rsidRPr="00A34F10" w:rsidRDefault="00DC5685" w:rsidP="000470C3">
            <w:pPr>
              <w:pStyle w:val="RepTable"/>
              <w:suppressAutoHyphens/>
              <w:rPr>
                <w:noProof w:val="0"/>
                <w:szCs w:val="20"/>
              </w:rPr>
            </w:pPr>
            <w:r w:rsidRPr="00A34F10">
              <w:rPr>
                <w:noProof w:val="0"/>
                <w:szCs w:val="20"/>
              </w:rPr>
              <w:t>Dietary</w:t>
            </w:r>
            <w:r w:rsidRPr="00A34F10">
              <w:rPr>
                <w:noProof w:val="0"/>
                <w:szCs w:val="20"/>
              </w:rPr>
              <w:br/>
              <w:t>Reproductive toxicity</w:t>
            </w:r>
          </w:p>
        </w:tc>
        <w:tc>
          <w:tcPr>
            <w:tcW w:w="1000" w:type="pct"/>
            <w:shd w:val="clear" w:color="auto" w:fill="auto"/>
          </w:tcPr>
          <w:p w14:paraId="151EA332" w14:textId="77777777" w:rsidR="00DC5685" w:rsidRPr="00A34F10" w:rsidRDefault="00DC5685" w:rsidP="000470C3">
            <w:pPr>
              <w:pStyle w:val="RepTable"/>
              <w:suppressAutoHyphens/>
              <w:rPr>
                <w:noProof w:val="0"/>
                <w:szCs w:val="20"/>
              </w:rPr>
            </w:pPr>
            <w:r w:rsidRPr="00A34F10">
              <w:rPr>
                <w:rFonts w:eastAsiaTheme="minorHAnsi"/>
                <w:noProof w:val="0"/>
                <w:szCs w:val="20"/>
              </w:rPr>
              <w:t>NOEL = 187.8 mg/kg b.w./d</w:t>
            </w:r>
          </w:p>
        </w:tc>
        <w:tc>
          <w:tcPr>
            <w:tcW w:w="1000" w:type="pct"/>
            <w:shd w:val="clear" w:color="auto" w:fill="auto"/>
          </w:tcPr>
          <w:p w14:paraId="536783B0" w14:textId="77777777" w:rsidR="00DC5685" w:rsidRPr="00A34F10" w:rsidRDefault="00DC5685" w:rsidP="000470C3">
            <w:pPr>
              <w:pStyle w:val="RepTable"/>
              <w:suppressAutoHyphens/>
              <w:rPr>
                <w:noProof w:val="0"/>
                <w:szCs w:val="20"/>
              </w:rPr>
            </w:pPr>
            <w:r w:rsidRPr="00A34F10">
              <w:rPr>
                <w:noProof w:val="0"/>
                <w:szCs w:val="20"/>
              </w:rPr>
              <w:t>EFSA Journal 2012, 10(11): 2921;</w:t>
            </w:r>
          </w:p>
          <w:p w14:paraId="4533DE90" w14:textId="77777777" w:rsidR="00DC5685" w:rsidRPr="00A34F10" w:rsidRDefault="00DC5685" w:rsidP="000470C3">
            <w:pPr>
              <w:pStyle w:val="Tabellentextlinks"/>
              <w:suppressAutoHyphens/>
              <w:rPr>
                <w:rFonts w:ascii="Times New Roman" w:hAnsi="Times New Roman"/>
                <w:szCs w:val="20"/>
                <w:lang w:val="en-GB"/>
              </w:rPr>
            </w:pPr>
            <w:r w:rsidRPr="00A34F10">
              <w:rPr>
                <w:rFonts w:ascii="Times New Roman" w:hAnsi="Times New Roman"/>
                <w:szCs w:val="20"/>
                <w:lang w:val="en-GB"/>
              </w:rPr>
              <w:t>2007/1050786</w:t>
            </w:r>
          </w:p>
          <w:p w14:paraId="71EE1C2B" w14:textId="77777777" w:rsidR="00DC5685" w:rsidRPr="00A34F10" w:rsidRDefault="00DC5685" w:rsidP="000470C3">
            <w:pPr>
              <w:pStyle w:val="Tabellentextlinks"/>
              <w:suppressAutoHyphens/>
              <w:rPr>
                <w:rFonts w:ascii="Times New Roman" w:hAnsi="Times New Roman"/>
                <w:szCs w:val="20"/>
                <w:lang w:val="en-GB"/>
              </w:rPr>
            </w:pPr>
            <w:r w:rsidRPr="00A34F10">
              <w:rPr>
                <w:rFonts w:ascii="Times New Roman" w:hAnsi="Times New Roman"/>
                <w:szCs w:val="20"/>
                <w:lang w:val="en-GB"/>
              </w:rPr>
              <w:t>2009/1079841 </w:t>
            </w:r>
            <w:r w:rsidRPr="00A34F10">
              <w:rPr>
                <w:rFonts w:ascii="Times New Roman" w:hAnsi="Times New Roman"/>
                <w:bCs/>
                <w:szCs w:val="20"/>
                <w:vertAlign w:val="superscript"/>
                <w:lang w:val="en-GB"/>
              </w:rPr>
              <w:t>2</w:t>
            </w:r>
            <w:r w:rsidRPr="00A34F10">
              <w:rPr>
                <w:rFonts w:ascii="Times New Roman" w:hAnsi="Times New Roman"/>
                <w:b/>
                <w:bCs/>
                <w:szCs w:val="20"/>
                <w:vertAlign w:val="superscript"/>
                <w:lang w:val="en-GB"/>
              </w:rPr>
              <w:t>)</w:t>
            </w:r>
            <w:r w:rsidRPr="00A34F10">
              <w:rPr>
                <w:rFonts w:ascii="Times New Roman" w:hAnsi="Times New Roman"/>
                <w:b/>
                <w:bCs/>
                <w:szCs w:val="20"/>
                <w:lang w:val="en-GB"/>
              </w:rPr>
              <w:t>,</w:t>
            </w:r>
          </w:p>
          <w:p w14:paraId="56BB8000" w14:textId="77777777" w:rsidR="00DC5685" w:rsidRPr="00A34F10" w:rsidRDefault="00DC5685" w:rsidP="000470C3">
            <w:pPr>
              <w:pStyle w:val="RepTable"/>
              <w:suppressAutoHyphens/>
              <w:rPr>
                <w:noProof w:val="0"/>
                <w:szCs w:val="20"/>
                <w:highlight w:val="yellow"/>
              </w:rPr>
            </w:pPr>
            <w:r w:rsidRPr="00A34F10">
              <w:rPr>
                <w:noProof w:val="0"/>
                <w:szCs w:val="20"/>
              </w:rPr>
              <w:t>2009/1111606 </w:t>
            </w:r>
            <w:r w:rsidRPr="00A34F10">
              <w:rPr>
                <w:bCs/>
                <w:noProof w:val="0"/>
                <w:szCs w:val="20"/>
                <w:vertAlign w:val="superscript"/>
              </w:rPr>
              <w:t>2</w:t>
            </w:r>
            <w:r w:rsidRPr="00A34F10">
              <w:rPr>
                <w:b/>
                <w:bCs/>
                <w:noProof w:val="0"/>
                <w:szCs w:val="20"/>
                <w:vertAlign w:val="superscript"/>
              </w:rPr>
              <w:t>)</w:t>
            </w:r>
          </w:p>
        </w:tc>
      </w:tr>
      <w:tr w:rsidR="00DC5685" w:rsidRPr="00A34F10" w14:paraId="6765AD49" w14:textId="77777777" w:rsidTr="000470C3">
        <w:tc>
          <w:tcPr>
            <w:tcW w:w="1000" w:type="pct"/>
            <w:shd w:val="clear" w:color="auto" w:fill="auto"/>
          </w:tcPr>
          <w:p w14:paraId="609F7DED" w14:textId="77777777" w:rsidR="00DC5685" w:rsidRPr="00A34F10" w:rsidRDefault="00DC5685" w:rsidP="000470C3">
            <w:pPr>
              <w:pStyle w:val="RepTable"/>
              <w:keepNext/>
              <w:suppressAutoHyphens/>
              <w:rPr>
                <w:b/>
                <w:noProof w:val="0"/>
                <w:szCs w:val="20"/>
              </w:rPr>
            </w:pPr>
            <w:r w:rsidRPr="00A34F10">
              <w:rPr>
                <w:b/>
                <w:noProof w:val="0"/>
                <w:szCs w:val="20"/>
              </w:rPr>
              <w:t>Endpoint used for acute risk assessments</w:t>
            </w:r>
          </w:p>
        </w:tc>
        <w:tc>
          <w:tcPr>
            <w:tcW w:w="1000" w:type="pct"/>
            <w:shd w:val="clear" w:color="auto" w:fill="auto"/>
          </w:tcPr>
          <w:p w14:paraId="61AEE1E9" w14:textId="77777777" w:rsidR="00DC5685" w:rsidRPr="00A34F10" w:rsidRDefault="00DC5685" w:rsidP="000470C3">
            <w:pPr>
              <w:keepNext/>
              <w:suppressAutoHyphens/>
              <w:rPr>
                <w:b/>
                <w:sz w:val="20"/>
                <w:szCs w:val="20"/>
                <w:lang w:val="en-GB"/>
              </w:rPr>
            </w:pPr>
            <w:r w:rsidRPr="00A34F10">
              <w:rPr>
                <w:b/>
                <w:sz w:val="20"/>
                <w:szCs w:val="20"/>
                <w:lang w:val="en-GB"/>
              </w:rPr>
              <w:t>Ametoctradin</w:t>
            </w:r>
          </w:p>
        </w:tc>
        <w:tc>
          <w:tcPr>
            <w:tcW w:w="1000" w:type="pct"/>
            <w:shd w:val="clear" w:color="auto" w:fill="auto"/>
          </w:tcPr>
          <w:p w14:paraId="0D1D884E" w14:textId="77777777" w:rsidR="00DC5685" w:rsidRPr="00A34F10" w:rsidRDefault="00DC5685" w:rsidP="000470C3">
            <w:pPr>
              <w:pStyle w:val="RepTable"/>
              <w:keepNext/>
              <w:suppressAutoHyphens/>
              <w:rPr>
                <w:b/>
                <w:noProof w:val="0"/>
                <w:szCs w:val="20"/>
              </w:rPr>
            </w:pPr>
            <w:r w:rsidRPr="00A34F10">
              <w:rPr>
                <w:b/>
                <w:noProof w:val="0"/>
                <w:szCs w:val="20"/>
              </w:rPr>
              <w:t>Oral, 1 d</w:t>
            </w:r>
          </w:p>
          <w:p w14:paraId="4102D7F3" w14:textId="77777777" w:rsidR="00DC5685" w:rsidRPr="00A34F10" w:rsidRDefault="00DC5685" w:rsidP="000470C3">
            <w:pPr>
              <w:pStyle w:val="RepTable"/>
              <w:keepNext/>
              <w:suppressAutoHyphens/>
              <w:rPr>
                <w:b/>
                <w:noProof w:val="0"/>
                <w:szCs w:val="20"/>
              </w:rPr>
            </w:pPr>
            <w:r w:rsidRPr="00A34F10">
              <w:rPr>
                <w:b/>
                <w:noProof w:val="0"/>
                <w:szCs w:val="20"/>
              </w:rPr>
              <w:t>Acute</w:t>
            </w:r>
          </w:p>
        </w:tc>
        <w:tc>
          <w:tcPr>
            <w:tcW w:w="1000" w:type="pct"/>
            <w:shd w:val="clear" w:color="auto" w:fill="auto"/>
          </w:tcPr>
          <w:p w14:paraId="25236749" w14:textId="77777777" w:rsidR="00DC5685" w:rsidRPr="00A34F10" w:rsidRDefault="00DC5685" w:rsidP="000470C3">
            <w:pPr>
              <w:pStyle w:val="RepTable"/>
              <w:keepNext/>
              <w:suppressAutoHyphens/>
              <w:rPr>
                <w:b/>
                <w:noProof w:val="0"/>
                <w:szCs w:val="20"/>
              </w:rPr>
            </w:pPr>
            <w:r w:rsidRPr="00A34F10">
              <w:rPr>
                <w:b/>
                <w:noProof w:val="0"/>
                <w:szCs w:val="20"/>
              </w:rPr>
              <w:t>LD</w:t>
            </w:r>
            <w:r w:rsidRPr="00A34F10">
              <w:rPr>
                <w:b/>
                <w:noProof w:val="0"/>
                <w:szCs w:val="20"/>
                <w:vertAlign w:val="subscript"/>
              </w:rPr>
              <w:t xml:space="preserve">50 (extrapolated, geometric mean) </w:t>
            </w:r>
            <w:r w:rsidRPr="00A34F10">
              <w:rPr>
                <w:b/>
                <w:noProof w:val="0"/>
                <w:szCs w:val="20"/>
              </w:rPr>
              <w:t>= 3776 mg/kg b.w. </w:t>
            </w:r>
            <w:r w:rsidRPr="00A34F10">
              <w:rPr>
                <w:b/>
                <w:noProof w:val="0"/>
                <w:szCs w:val="20"/>
                <w:vertAlign w:val="superscript"/>
              </w:rPr>
              <w:t>3)</w:t>
            </w:r>
          </w:p>
        </w:tc>
        <w:tc>
          <w:tcPr>
            <w:tcW w:w="1000" w:type="pct"/>
            <w:shd w:val="clear" w:color="auto" w:fill="auto"/>
          </w:tcPr>
          <w:p w14:paraId="5A3E2579" w14:textId="77777777" w:rsidR="00DC5685" w:rsidRPr="00A34F10" w:rsidRDefault="00DC5685" w:rsidP="000470C3">
            <w:pPr>
              <w:pStyle w:val="RepTable"/>
              <w:keepNext/>
              <w:suppressAutoHyphens/>
              <w:rPr>
                <w:b/>
                <w:noProof w:val="0"/>
                <w:szCs w:val="20"/>
              </w:rPr>
            </w:pPr>
            <w:r w:rsidRPr="00A34F10">
              <w:rPr>
                <w:b/>
                <w:noProof w:val="0"/>
                <w:szCs w:val="20"/>
              </w:rPr>
              <w:t>Extrapolation and geometric mean of quail and mallard LD</w:t>
            </w:r>
            <w:r w:rsidRPr="00A34F10">
              <w:rPr>
                <w:b/>
                <w:noProof w:val="0"/>
                <w:szCs w:val="20"/>
                <w:vertAlign w:val="subscript"/>
              </w:rPr>
              <w:t xml:space="preserve">50 </w:t>
            </w:r>
            <w:r w:rsidRPr="00A34F10">
              <w:rPr>
                <w:b/>
                <w:noProof w:val="0"/>
                <w:szCs w:val="20"/>
              </w:rPr>
              <w:t>values</w:t>
            </w:r>
          </w:p>
          <w:p w14:paraId="1D307783" w14:textId="77777777" w:rsidR="00DC5685" w:rsidRPr="00A34F10" w:rsidRDefault="00DC5685" w:rsidP="000470C3">
            <w:pPr>
              <w:pStyle w:val="RepTable"/>
              <w:keepNext/>
              <w:suppressAutoHyphens/>
              <w:rPr>
                <w:b/>
                <w:noProof w:val="0"/>
                <w:szCs w:val="20"/>
              </w:rPr>
            </w:pPr>
            <w:r w:rsidRPr="00A34F10">
              <w:rPr>
                <w:b/>
                <w:noProof w:val="0"/>
                <w:szCs w:val="20"/>
              </w:rPr>
              <w:t>2006/1038389, 2006/1038390</w:t>
            </w:r>
          </w:p>
        </w:tc>
      </w:tr>
      <w:tr w:rsidR="00DC5685" w:rsidRPr="00A34F10" w14:paraId="1F944664" w14:textId="77777777" w:rsidTr="000470C3">
        <w:tc>
          <w:tcPr>
            <w:tcW w:w="1000" w:type="pct"/>
            <w:shd w:val="clear" w:color="auto" w:fill="auto"/>
          </w:tcPr>
          <w:p w14:paraId="42B5BB69" w14:textId="77777777" w:rsidR="00DC5685" w:rsidRPr="00A34F10" w:rsidRDefault="00DC5685" w:rsidP="000470C3">
            <w:pPr>
              <w:pStyle w:val="RepTable"/>
              <w:suppressAutoHyphens/>
              <w:rPr>
                <w:b/>
                <w:noProof w:val="0"/>
                <w:szCs w:val="20"/>
              </w:rPr>
            </w:pPr>
            <w:r w:rsidRPr="00A34F10">
              <w:rPr>
                <w:b/>
                <w:noProof w:val="0"/>
                <w:szCs w:val="20"/>
              </w:rPr>
              <w:t>Endpoint used for reproductive risk assessments</w:t>
            </w:r>
          </w:p>
        </w:tc>
        <w:tc>
          <w:tcPr>
            <w:tcW w:w="1000" w:type="pct"/>
            <w:shd w:val="clear" w:color="auto" w:fill="auto"/>
          </w:tcPr>
          <w:p w14:paraId="50E38894" w14:textId="77777777" w:rsidR="00DC5685" w:rsidRPr="00A34F10" w:rsidRDefault="00DC5685" w:rsidP="000470C3">
            <w:pPr>
              <w:suppressAutoHyphens/>
              <w:rPr>
                <w:b/>
                <w:sz w:val="20"/>
                <w:szCs w:val="20"/>
                <w:lang w:val="en-GB"/>
              </w:rPr>
            </w:pPr>
            <w:r w:rsidRPr="00A34F10">
              <w:rPr>
                <w:b/>
                <w:sz w:val="20"/>
                <w:szCs w:val="20"/>
                <w:lang w:val="en-GB"/>
              </w:rPr>
              <w:t>Ametoctradin</w:t>
            </w:r>
          </w:p>
        </w:tc>
        <w:tc>
          <w:tcPr>
            <w:tcW w:w="1000" w:type="pct"/>
            <w:shd w:val="clear" w:color="auto" w:fill="auto"/>
          </w:tcPr>
          <w:p w14:paraId="43FB8303" w14:textId="77777777" w:rsidR="00DC5685" w:rsidRPr="00A34F10" w:rsidRDefault="00DC5685" w:rsidP="000470C3">
            <w:pPr>
              <w:pStyle w:val="RepTable"/>
              <w:suppressAutoHyphens/>
              <w:rPr>
                <w:b/>
                <w:noProof w:val="0"/>
                <w:szCs w:val="20"/>
              </w:rPr>
            </w:pPr>
            <w:r w:rsidRPr="00A34F10">
              <w:rPr>
                <w:b/>
                <w:noProof w:val="0"/>
                <w:szCs w:val="20"/>
              </w:rPr>
              <w:t>Dietary</w:t>
            </w:r>
            <w:r w:rsidRPr="00A34F10">
              <w:rPr>
                <w:b/>
                <w:noProof w:val="0"/>
                <w:szCs w:val="20"/>
              </w:rPr>
              <w:br/>
              <w:t>Reproductive toxicity</w:t>
            </w:r>
          </w:p>
        </w:tc>
        <w:tc>
          <w:tcPr>
            <w:tcW w:w="1000" w:type="pct"/>
            <w:shd w:val="clear" w:color="auto" w:fill="auto"/>
          </w:tcPr>
          <w:p w14:paraId="22DDDD7D" w14:textId="77777777" w:rsidR="00DC5685" w:rsidRPr="00A34F10" w:rsidRDefault="00DC5685" w:rsidP="000470C3">
            <w:pPr>
              <w:pStyle w:val="RepTable"/>
              <w:suppressAutoHyphens/>
              <w:rPr>
                <w:b/>
                <w:noProof w:val="0"/>
                <w:szCs w:val="20"/>
              </w:rPr>
            </w:pPr>
            <w:r w:rsidRPr="00A34F10">
              <w:rPr>
                <w:b/>
                <w:bCs/>
                <w:noProof w:val="0"/>
                <w:szCs w:val="20"/>
              </w:rPr>
              <w:t>NOEL = 115.2 mg a.s./kg b.w./d</w:t>
            </w:r>
          </w:p>
        </w:tc>
        <w:tc>
          <w:tcPr>
            <w:tcW w:w="1000" w:type="pct"/>
            <w:shd w:val="clear" w:color="auto" w:fill="auto"/>
          </w:tcPr>
          <w:p w14:paraId="3486BE41" w14:textId="77777777" w:rsidR="00DC5685" w:rsidRPr="00A34F10" w:rsidRDefault="00DC5685" w:rsidP="000470C3">
            <w:pPr>
              <w:pStyle w:val="RepTable"/>
              <w:suppressAutoHyphens/>
              <w:rPr>
                <w:b/>
                <w:noProof w:val="0"/>
                <w:szCs w:val="20"/>
              </w:rPr>
            </w:pPr>
            <w:r w:rsidRPr="00A34F10">
              <w:rPr>
                <w:b/>
                <w:noProof w:val="0"/>
                <w:szCs w:val="20"/>
              </w:rPr>
              <w:t xml:space="preserve">EFSA Journal 2012, 10(11): 2921; </w:t>
            </w:r>
          </w:p>
          <w:p w14:paraId="303DA625" w14:textId="77777777" w:rsidR="00DC5685" w:rsidRPr="00A34F10" w:rsidRDefault="00DC5685" w:rsidP="000470C3">
            <w:pPr>
              <w:pStyle w:val="RepTable"/>
              <w:suppressAutoHyphens/>
              <w:rPr>
                <w:b/>
                <w:noProof w:val="0"/>
                <w:szCs w:val="20"/>
              </w:rPr>
            </w:pPr>
            <w:r w:rsidRPr="00A34F10">
              <w:rPr>
                <w:b/>
                <w:noProof w:val="0"/>
                <w:szCs w:val="20"/>
              </w:rPr>
              <w:t>2008/1023023,</w:t>
            </w:r>
          </w:p>
          <w:p w14:paraId="481BADCF" w14:textId="77777777" w:rsidR="00DC5685" w:rsidRPr="00A34F10" w:rsidRDefault="00DC5685" w:rsidP="000470C3">
            <w:pPr>
              <w:pStyle w:val="RepTable"/>
              <w:suppressAutoHyphens/>
              <w:rPr>
                <w:b/>
                <w:noProof w:val="0"/>
                <w:szCs w:val="20"/>
              </w:rPr>
            </w:pPr>
            <w:r w:rsidRPr="00A34F10">
              <w:rPr>
                <w:rFonts w:eastAsia="Batang"/>
                <w:b/>
                <w:bCs/>
                <w:noProof w:val="0"/>
                <w:szCs w:val="20"/>
                <w:lang w:eastAsia="zh-CN"/>
              </w:rPr>
              <w:t>2008/1071959 </w:t>
            </w:r>
            <w:r w:rsidRPr="00A34F10">
              <w:rPr>
                <w:rFonts w:eastAsia="Batang"/>
                <w:b/>
                <w:bCs/>
                <w:noProof w:val="0"/>
                <w:szCs w:val="20"/>
                <w:vertAlign w:val="superscript"/>
                <w:lang w:eastAsia="zh-CN"/>
              </w:rPr>
              <w:t>1)</w:t>
            </w:r>
            <w:r w:rsidRPr="00A34F10">
              <w:rPr>
                <w:rFonts w:eastAsia="Batang"/>
                <w:b/>
                <w:bCs/>
                <w:noProof w:val="0"/>
                <w:szCs w:val="20"/>
                <w:lang w:eastAsia="zh-CN"/>
              </w:rPr>
              <w:t>,</w:t>
            </w:r>
            <w:r w:rsidRPr="00A34F10">
              <w:rPr>
                <w:b/>
                <w:noProof w:val="0"/>
                <w:szCs w:val="20"/>
              </w:rPr>
              <w:t xml:space="preserve"> </w:t>
            </w:r>
          </w:p>
          <w:p w14:paraId="68E7CC44" w14:textId="77777777" w:rsidR="00DC5685" w:rsidRPr="00A34F10" w:rsidRDefault="00DC5685" w:rsidP="000470C3">
            <w:pPr>
              <w:pStyle w:val="RepTable"/>
              <w:suppressAutoHyphens/>
              <w:rPr>
                <w:b/>
                <w:noProof w:val="0"/>
                <w:szCs w:val="20"/>
              </w:rPr>
            </w:pPr>
            <w:r w:rsidRPr="00A34F10">
              <w:rPr>
                <w:rFonts w:eastAsia="Batang"/>
                <w:b/>
                <w:bCs/>
                <w:noProof w:val="0"/>
                <w:szCs w:val="20"/>
                <w:lang w:eastAsia="zh-CN"/>
              </w:rPr>
              <w:t>2009/1079840 </w:t>
            </w:r>
            <w:r w:rsidRPr="00A34F10">
              <w:rPr>
                <w:rFonts w:eastAsia="Batang"/>
                <w:b/>
                <w:bCs/>
                <w:noProof w:val="0"/>
                <w:szCs w:val="20"/>
                <w:vertAlign w:val="superscript"/>
                <w:lang w:eastAsia="zh-CN"/>
              </w:rPr>
              <w:t>1)</w:t>
            </w:r>
            <w:r w:rsidRPr="00A34F10">
              <w:rPr>
                <w:rFonts w:eastAsia="Batang"/>
                <w:b/>
                <w:bCs/>
                <w:noProof w:val="0"/>
                <w:szCs w:val="20"/>
                <w:lang w:eastAsia="zh-CN"/>
              </w:rPr>
              <w:t xml:space="preserve"> </w:t>
            </w:r>
          </w:p>
        </w:tc>
      </w:tr>
    </w:tbl>
    <w:p w14:paraId="165D1D35" w14:textId="4D3FED81" w:rsidR="00DC5685" w:rsidRPr="00A34F10" w:rsidRDefault="00DC5685" w:rsidP="00DC5685">
      <w:pPr>
        <w:suppressAutoHyphens/>
        <w:ind w:left="284" w:hanging="284"/>
        <w:rPr>
          <w:sz w:val="18"/>
          <w:lang w:val="en-GB"/>
        </w:rPr>
      </w:pPr>
      <w:r w:rsidRPr="00A34F10">
        <w:rPr>
          <w:sz w:val="18"/>
          <w:vertAlign w:val="superscript"/>
          <w:lang w:val="en-GB"/>
        </w:rPr>
        <w:t>1)</w:t>
      </w:r>
      <w:r w:rsidRPr="00A34F10">
        <w:rPr>
          <w:sz w:val="18"/>
          <w:lang w:val="en-GB"/>
        </w:rPr>
        <w:tab/>
      </w:r>
      <w:r w:rsidRPr="00A34F10">
        <w:rPr>
          <w:sz w:val="18"/>
          <w:szCs w:val="18"/>
          <w:lang w:val="en-GB"/>
        </w:rPr>
        <w:t>Amendments to the report (</w:t>
      </w:r>
      <w:r w:rsidR="00F53DC5">
        <w:rPr>
          <w:sz w:val="18"/>
          <w:szCs w:val="18"/>
          <w:lang w:val="en-GB"/>
        </w:rPr>
        <w:t>XXXX</w:t>
      </w:r>
      <w:r w:rsidRPr="00A34F10">
        <w:rPr>
          <w:sz w:val="18"/>
          <w:szCs w:val="18"/>
          <w:lang w:val="en-GB"/>
        </w:rPr>
        <w:t>, 2008/1023023). Note that this report was only slightly modified (a mistake in the table order and typing errors were removed).</w:t>
      </w:r>
    </w:p>
    <w:p w14:paraId="0D363A8C" w14:textId="40CBF324" w:rsidR="00DC5685" w:rsidRPr="00A34F10" w:rsidRDefault="00DC5685" w:rsidP="00DC5685">
      <w:pPr>
        <w:suppressAutoHyphens/>
        <w:ind w:left="284" w:hanging="284"/>
        <w:rPr>
          <w:sz w:val="18"/>
          <w:szCs w:val="18"/>
          <w:lang w:val="en-GB"/>
        </w:rPr>
      </w:pPr>
      <w:r w:rsidRPr="00A34F10">
        <w:rPr>
          <w:sz w:val="18"/>
          <w:vertAlign w:val="superscript"/>
          <w:lang w:val="en-GB"/>
        </w:rPr>
        <w:t>2)</w:t>
      </w:r>
      <w:r w:rsidRPr="00A34F10">
        <w:rPr>
          <w:sz w:val="18"/>
          <w:lang w:val="en-GB"/>
        </w:rPr>
        <w:tab/>
      </w:r>
      <w:r w:rsidRPr="00A34F10">
        <w:rPr>
          <w:sz w:val="18"/>
          <w:szCs w:val="18"/>
          <w:lang w:val="en-GB"/>
        </w:rPr>
        <w:t>Amendments to the report (</w:t>
      </w:r>
      <w:r w:rsidR="00F53DC5">
        <w:rPr>
          <w:sz w:val="18"/>
          <w:szCs w:val="18"/>
          <w:lang w:val="en-GB"/>
        </w:rPr>
        <w:t>XXXX</w:t>
      </w:r>
      <w:r w:rsidRPr="00A34F10">
        <w:rPr>
          <w:sz w:val="18"/>
          <w:szCs w:val="18"/>
          <w:lang w:val="en-GB"/>
        </w:rPr>
        <w:t>, 2007/1050786). Note that this report was only slightly modified (a mistake in the table order and typing errors were removed).</w:t>
      </w:r>
    </w:p>
    <w:p w14:paraId="7470BA7D" w14:textId="77777777" w:rsidR="00DC5685" w:rsidRPr="00A34F10" w:rsidRDefault="00DC5685" w:rsidP="00DC5685">
      <w:pPr>
        <w:suppressAutoHyphens/>
        <w:ind w:left="284" w:hanging="284"/>
        <w:rPr>
          <w:sz w:val="18"/>
          <w:szCs w:val="18"/>
          <w:lang w:val="en-GB"/>
        </w:rPr>
      </w:pPr>
      <w:r w:rsidRPr="00A34F10">
        <w:rPr>
          <w:sz w:val="18"/>
          <w:szCs w:val="18"/>
          <w:vertAlign w:val="superscript"/>
          <w:lang w:val="en-GB"/>
        </w:rPr>
        <w:t>3)</w:t>
      </w:r>
      <w:r w:rsidRPr="00A34F10">
        <w:rPr>
          <w:sz w:val="18"/>
          <w:szCs w:val="18"/>
          <w:lang w:val="en-GB"/>
        </w:rPr>
        <w:tab/>
        <w:t>New endpoint. For details see section 9.2.1.1.</w:t>
      </w:r>
    </w:p>
    <w:p w14:paraId="23AF3F01" w14:textId="24DBD3E9" w:rsidR="00DC5685" w:rsidRPr="00A34F10" w:rsidRDefault="00DC5685" w:rsidP="00DC5685">
      <w:pPr>
        <w:pStyle w:val="RepStandard"/>
        <w:suppressAutoHyphens/>
      </w:pPr>
    </w:p>
    <w:p w14:paraId="205D668A" w14:textId="77777777" w:rsidR="003277CC" w:rsidRPr="00A34F10" w:rsidRDefault="003277CC" w:rsidP="00DC5685">
      <w:pPr>
        <w:pStyle w:val="RepStandard"/>
        <w:suppressAutoHyphens/>
      </w:pPr>
    </w:p>
    <w:p w14:paraId="1510CAEE" w14:textId="7FE3B8E0" w:rsidR="00DC5685" w:rsidRPr="00A34F10" w:rsidRDefault="00721DB9" w:rsidP="00BB63B3">
      <w:pPr>
        <w:pStyle w:val="Legenda"/>
      </w:pPr>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2</w:t>
      </w:r>
      <w:r w:rsidR="007E7467">
        <w:fldChar w:fldCharType="end"/>
      </w:r>
      <w:r w:rsidR="00DC5685" w:rsidRPr="00A34F10">
        <w:tab/>
        <w:t>Propamocarb-HCl: Endpoints relevant for the risk assessment for birds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0"/>
        <w:gridCol w:w="1870"/>
        <w:gridCol w:w="1869"/>
        <w:gridCol w:w="1869"/>
        <w:gridCol w:w="1869"/>
      </w:tblGrid>
      <w:tr w:rsidR="00DC5685" w:rsidRPr="00A34F10" w14:paraId="26DF6B7A" w14:textId="77777777" w:rsidTr="000470C3">
        <w:trPr>
          <w:tblHeader/>
        </w:trPr>
        <w:tc>
          <w:tcPr>
            <w:tcW w:w="1000" w:type="pct"/>
            <w:shd w:val="clear" w:color="auto" w:fill="auto"/>
            <w:vAlign w:val="center"/>
          </w:tcPr>
          <w:p w14:paraId="4045BD77" w14:textId="77777777" w:rsidR="00DC5685" w:rsidRPr="00A34F10" w:rsidRDefault="00DC5685" w:rsidP="000470C3">
            <w:pPr>
              <w:pStyle w:val="RepTableHeader"/>
              <w:suppressAutoHyphens/>
              <w:rPr>
                <w:lang w:val="en-GB"/>
              </w:rPr>
            </w:pPr>
            <w:r w:rsidRPr="00A34F10">
              <w:rPr>
                <w:lang w:val="en-GB"/>
              </w:rPr>
              <w:t>Species</w:t>
            </w:r>
          </w:p>
        </w:tc>
        <w:tc>
          <w:tcPr>
            <w:tcW w:w="1000" w:type="pct"/>
            <w:shd w:val="clear" w:color="auto" w:fill="auto"/>
            <w:vAlign w:val="center"/>
          </w:tcPr>
          <w:p w14:paraId="4E825020" w14:textId="77777777" w:rsidR="00DC5685" w:rsidRPr="00A34F10" w:rsidRDefault="00DC5685" w:rsidP="000470C3">
            <w:pPr>
              <w:pStyle w:val="RepTableHeader"/>
              <w:suppressAutoHyphens/>
              <w:rPr>
                <w:lang w:val="en-GB"/>
              </w:rPr>
            </w:pPr>
            <w:r w:rsidRPr="00A34F10">
              <w:rPr>
                <w:lang w:val="en-GB"/>
              </w:rPr>
              <w:t>Substance</w:t>
            </w:r>
          </w:p>
        </w:tc>
        <w:tc>
          <w:tcPr>
            <w:tcW w:w="1000" w:type="pct"/>
            <w:shd w:val="clear" w:color="auto" w:fill="auto"/>
            <w:vAlign w:val="center"/>
          </w:tcPr>
          <w:p w14:paraId="7848C9EB" w14:textId="77777777" w:rsidR="00DC5685" w:rsidRPr="00A34F10" w:rsidRDefault="00DC5685" w:rsidP="000470C3">
            <w:pPr>
              <w:pStyle w:val="RepTableHeader"/>
              <w:suppressAutoHyphens/>
              <w:rPr>
                <w:lang w:val="en-GB"/>
              </w:rPr>
            </w:pPr>
            <w:r w:rsidRPr="00A34F10">
              <w:rPr>
                <w:lang w:val="en-GB"/>
              </w:rPr>
              <w:t>Exposure</w:t>
            </w:r>
          </w:p>
          <w:p w14:paraId="1B772499" w14:textId="77777777" w:rsidR="00DC5685" w:rsidRPr="00A34F10" w:rsidRDefault="00DC5685" w:rsidP="000470C3">
            <w:pPr>
              <w:pStyle w:val="RepTableHeader"/>
              <w:suppressAutoHyphens/>
              <w:rPr>
                <w:lang w:val="en-GB"/>
              </w:rPr>
            </w:pPr>
            <w:r w:rsidRPr="00A34F10">
              <w:rPr>
                <w:lang w:val="en-GB"/>
              </w:rPr>
              <w:t>System</w:t>
            </w:r>
          </w:p>
        </w:tc>
        <w:tc>
          <w:tcPr>
            <w:tcW w:w="1000" w:type="pct"/>
            <w:shd w:val="clear" w:color="auto" w:fill="auto"/>
            <w:vAlign w:val="center"/>
          </w:tcPr>
          <w:p w14:paraId="44C3CE89" w14:textId="77777777" w:rsidR="00DC5685" w:rsidRPr="00A34F10" w:rsidRDefault="00DC5685" w:rsidP="000470C3">
            <w:pPr>
              <w:pStyle w:val="RepTableHeader"/>
              <w:suppressAutoHyphens/>
              <w:rPr>
                <w:lang w:val="en-GB"/>
              </w:rPr>
            </w:pPr>
            <w:r w:rsidRPr="00A34F10">
              <w:rPr>
                <w:lang w:val="en-GB"/>
              </w:rPr>
              <w:t>Results</w:t>
            </w:r>
          </w:p>
        </w:tc>
        <w:tc>
          <w:tcPr>
            <w:tcW w:w="1000" w:type="pct"/>
            <w:shd w:val="clear" w:color="auto" w:fill="auto"/>
            <w:vAlign w:val="center"/>
          </w:tcPr>
          <w:p w14:paraId="26D72627" w14:textId="77777777" w:rsidR="00DC5685" w:rsidRPr="00A34F10" w:rsidRDefault="00DC5685" w:rsidP="000470C3">
            <w:pPr>
              <w:pStyle w:val="RepTableBold"/>
              <w:keepNext/>
              <w:keepLines/>
              <w:widowControl/>
              <w:suppressAutoHyphens/>
              <w:rPr>
                <w:lang w:val="en-GB"/>
              </w:rPr>
            </w:pPr>
            <w:r w:rsidRPr="00A34F10">
              <w:rPr>
                <w:lang w:val="en-GB"/>
              </w:rPr>
              <w:t xml:space="preserve">Reference </w:t>
            </w:r>
          </w:p>
        </w:tc>
      </w:tr>
      <w:tr w:rsidR="00DC5685" w:rsidRPr="00A34F10" w14:paraId="7EFF36A3" w14:textId="77777777" w:rsidTr="000470C3">
        <w:trPr>
          <w:tblHeader/>
        </w:trPr>
        <w:tc>
          <w:tcPr>
            <w:tcW w:w="1000" w:type="pct"/>
            <w:shd w:val="clear" w:color="auto" w:fill="auto"/>
          </w:tcPr>
          <w:p w14:paraId="642B01D5" w14:textId="77777777" w:rsidR="00DC5685" w:rsidRPr="00A34F10" w:rsidRDefault="00DC5685" w:rsidP="000470C3">
            <w:pPr>
              <w:pStyle w:val="RepTableHeader"/>
              <w:suppressAutoHyphens/>
              <w:rPr>
                <w:b w:val="0"/>
                <w:bCs/>
                <w:lang w:val="en-GB"/>
              </w:rPr>
            </w:pPr>
            <w:r w:rsidRPr="00A34F10">
              <w:rPr>
                <w:b w:val="0"/>
                <w:bCs/>
                <w:i/>
              </w:rPr>
              <w:t>Colinus virginianus</w:t>
            </w:r>
          </w:p>
        </w:tc>
        <w:tc>
          <w:tcPr>
            <w:tcW w:w="1000" w:type="pct"/>
            <w:shd w:val="clear" w:color="auto" w:fill="auto"/>
          </w:tcPr>
          <w:p w14:paraId="60F23267" w14:textId="77777777" w:rsidR="00DC5685" w:rsidRPr="00A34F10" w:rsidRDefault="00DC5685" w:rsidP="000470C3">
            <w:pPr>
              <w:pStyle w:val="RepTableHeader"/>
              <w:suppressAutoHyphens/>
              <w:rPr>
                <w:b w:val="0"/>
                <w:bCs/>
                <w:lang w:val="en-GB"/>
              </w:rPr>
            </w:pPr>
            <w:r w:rsidRPr="00A34F10">
              <w:rPr>
                <w:b w:val="0"/>
                <w:bCs/>
              </w:rPr>
              <w:t>Propamocarb-HCl</w:t>
            </w:r>
          </w:p>
        </w:tc>
        <w:tc>
          <w:tcPr>
            <w:tcW w:w="1000" w:type="pct"/>
            <w:shd w:val="clear" w:color="auto" w:fill="auto"/>
          </w:tcPr>
          <w:p w14:paraId="46847415" w14:textId="77777777" w:rsidR="00DC5685" w:rsidRPr="00A34F10" w:rsidRDefault="00DC5685" w:rsidP="000470C3">
            <w:pPr>
              <w:pStyle w:val="RepTableHeader"/>
              <w:suppressAutoHyphens/>
              <w:rPr>
                <w:b w:val="0"/>
                <w:bCs/>
                <w:lang w:val="en-GB"/>
              </w:rPr>
            </w:pPr>
            <w:r w:rsidRPr="00A34F10">
              <w:rPr>
                <w:b w:val="0"/>
                <w:bCs/>
              </w:rPr>
              <w:t>Oral</w:t>
            </w:r>
            <w:r w:rsidRPr="00A34F10">
              <w:rPr>
                <w:b w:val="0"/>
                <w:bCs/>
              </w:rPr>
              <w:br/>
              <w:t>1 d</w:t>
            </w:r>
            <w:r w:rsidRPr="00A34F10">
              <w:rPr>
                <w:b w:val="0"/>
                <w:bCs/>
              </w:rPr>
              <w:br/>
              <w:t>Acute</w:t>
            </w:r>
          </w:p>
        </w:tc>
        <w:tc>
          <w:tcPr>
            <w:tcW w:w="1000" w:type="pct"/>
            <w:shd w:val="clear" w:color="auto" w:fill="auto"/>
          </w:tcPr>
          <w:p w14:paraId="62661B39" w14:textId="77777777" w:rsidR="00DC5685" w:rsidRPr="00A34F10" w:rsidRDefault="00DC5685" w:rsidP="000470C3">
            <w:pPr>
              <w:pStyle w:val="RepTableHeader"/>
              <w:suppressAutoHyphens/>
              <w:rPr>
                <w:b w:val="0"/>
                <w:bCs/>
              </w:rPr>
            </w:pPr>
            <w:r w:rsidRPr="00A34F10">
              <w:rPr>
                <w:b w:val="0"/>
                <w:bCs/>
              </w:rPr>
              <w:t>LD</w:t>
            </w:r>
            <w:r w:rsidRPr="00A34F10">
              <w:rPr>
                <w:b w:val="0"/>
                <w:bCs/>
                <w:vertAlign w:val="subscript"/>
              </w:rPr>
              <w:t>50</w:t>
            </w:r>
            <w:r w:rsidRPr="00A34F10">
              <w:rPr>
                <w:b w:val="0"/>
                <w:bCs/>
              </w:rPr>
              <w:t xml:space="preserve"> &gt; 1842 mg/kg b.w.</w:t>
            </w:r>
          </w:p>
          <w:p w14:paraId="022F527F" w14:textId="77777777" w:rsidR="00DC5685" w:rsidRPr="00A34F10" w:rsidRDefault="00DC5685" w:rsidP="000470C3">
            <w:pPr>
              <w:pStyle w:val="RepTableHeader"/>
              <w:suppressAutoHyphens/>
              <w:rPr>
                <w:lang w:val="en-GB"/>
              </w:rPr>
            </w:pPr>
            <w:r w:rsidRPr="00A34F10">
              <w:t>LD</w:t>
            </w:r>
            <w:r w:rsidRPr="00A34F10">
              <w:rPr>
                <w:vertAlign w:val="subscript"/>
              </w:rPr>
              <w:t xml:space="preserve">50 (extrapolated) </w:t>
            </w:r>
            <w:r w:rsidRPr="00A34F10">
              <w:t>= 3477.7 mg/kg b.w. </w:t>
            </w:r>
            <w:r w:rsidRPr="00A34F10">
              <w:rPr>
                <w:vertAlign w:val="superscript"/>
              </w:rPr>
              <w:t>1)</w:t>
            </w:r>
          </w:p>
        </w:tc>
        <w:tc>
          <w:tcPr>
            <w:tcW w:w="1000" w:type="pct"/>
            <w:shd w:val="clear" w:color="auto" w:fill="auto"/>
          </w:tcPr>
          <w:p w14:paraId="6C7C7E1E" w14:textId="77777777" w:rsidR="00DC5685" w:rsidRPr="00A34F10" w:rsidRDefault="00DC5685" w:rsidP="000470C3">
            <w:pPr>
              <w:pStyle w:val="RepTableBold"/>
              <w:keepNext/>
              <w:keepLines/>
              <w:widowControl/>
              <w:suppressAutoHyphens/>
              <w:rPr>
                <w:b w:val="0"/>
                <w:bCs w:val="0"/>
                <w:lang w:val="en-GB"/>
              </w:rPr>
            </w:pPr>
            <w:bookmarkStart w:id="175" w:name="_Hlk134375515"/>
            <w:r w:rsidRPr="00A34F10">
              <w:rPr>
                <w:b w:val="0"/>
                <w:bCs w:val="0"/>
              </w:rPr>
              <w:t>EFSA Scientific Report 2006, 78, 1-80</w:t>
            </w:r>
            <w:bookmarkEnd w:id="175"/>
          </w:p>
        </w:tc>
      </w:tr>
      <w:tr w:rsidR="00DC5685" w:rsidRPr="00A34F10" w14:paraId="706C6086" w14:textId="77777777" w:rsidTr="000470C3">
        <w:trPr>
          <w:tblHeader/>
        </w:trPr>
        <w:tc>
          <w:tcPr>
            <w:tcW w:w="1000" w:type="pct"/>
            <w:shd w:val="clear" w:color="auto" w:fill="auto"/>
          </w:tcPr>
          <w:p w14:paraId="1FE01828" w14:textId="77777777" w:rsidR="00DC5685" w:rsidRPr="00A34F10" w:rsidRDefault="00DC5685" w:rsidP="000470C3">
            <w:pPr>
              <w:pStyle w:val="RepTableHeader"/>
              <w:suppressAutoHyphens/>
              <w:rPr>
                <w:i/>
              </w:rPr>
            </w:pPr>
            <w:r w:rsidRPr="00A34F10">
              <w:rPr>
                <w:b w:val="0"/>
                <w:bCs/>
                <w:i/>
              </w:rPr>
              <w:t>Colinus virginianus</w:t>
            </w:r>
          </w:p>
        </w:tc>
        <w:tc>
          <w:tcPr>
            <w:tcW w:w="1000" w:type="pct"/>
            <w:shd w:val="clear" w:color="auto" w:fill="auto"/>
          </w:tcPr>
          <w:p w14:paraId="730B83A1" w14:textId="77777777" w:rsidR="00DC5685" w:rsidRPr="00A34F10" w:rsidRDefault="00DC5685" w:rsidP="000470C3">
            <w:pPr>
              <w:pStyle w:val="RepTableHeader"/>
              <w:suppressAutoHyphens/>
            </w:pPr>
            <w:r w:rsidRPr="00A34F10">
              <w:rPr>
                <w:b w:val="0"/>
                <w:bCs/>
              </w:rPr>
              <w:t>Propamocarb-HCl</w:t>
            </w:r>
          </w:p>
        </w:tc>
        <w:tc>
          <w:tcPr>
            <w:tcW w:w="1000" w:type="pct"/>
            <w:shd w:val="clear" w:color="auto" w:fill="auto"/>
          </w:tcPr>
          <w:p w14:paraId="1BC5B42C" w14:textId="77777777" w:rsidR="00DC5685" w:rsidRPr="00A34F10" w:rsidRDefault="00DC5685" w:rsidP="000470C3">
            <w:pPr>
              <w:pStyle w:val="RepTableHeader"/>
              <w:suppressAutoHyphens/>
              <w:rPr>
                <w:b w:val="0"/>
                <w:bCs/>
              </w:rPr>
            </w:pPr>
            <w:r w:rsidRPr="00A34F10">
              <w:rPr>
                <w:b w:val="0"/>
                <w:bCs/>
              </w:rPr>
              <w:t>Dietary</w:t>
            </w:r>
            <w:r w:rsidRPr="00A34F10">
              <w:rPr>
                <w:b w:val="0"/>
                <w:bCs/>
              </w:rPr>
              <w:br/>
              <w:t>Reproductive toxicity</w:t>
            </w:r>
          </w:p>
        </w:tc>
        <w:tc>
          <w:tcPr>
            <w:tcW w:w="1000" w:type="pct"/>
            <w:shd w:val="clear" w:color="auto" w:fill="auto"/>
          </w:tcPr>
          <w:p w14:paraId="0A9DB90E" w14:textId="77777777" w:rsidR="00DC5685" w:rsidRPr="00A34F10" w:rsidRDefault="00DC5685" w:rsidP="000470C3">
            <w:pPr>
              <w:pStyle w:val="RepTableHeader"/>
              <w:suppressAutoHyphens/>
            </w:pPr>
            <w:r w:rsidRPr="00A34F10">
              <w:t>NOEL = 105 mg/kg b.w./d</w:t>
            </w:r>
          </w:p>
        </w:tc>
        <w:tc>
          <w:tcPr>
            <w:tcW w:w="1000" w:type="pct"/>
            <w:shd w:val="clear" w:color="auto" w:fill="auto"/>
          </w:tcPr>
          <w:p w14:paraId="5FD102FC" w14:textId="77777777" w:rsidR="00DC5685" w:rsidRPr="00A34F10" w:rsidRDefault="00DC5685" w:rsidP="000470C3">
            <w:pPr>
              <w:pStyle w:val="RepTableBold"/>
              <w:keepNext/>
              <w:keepLines/>
              <w:widowControl/>
              <w:suppressAutoHyphens/>
              <w:rPr>
                <w:b w:val="0"/>
                <w:bCs w:val="0"/>
              </w:rPr>
            </w:pPr>
            <w:bookmarkStart w:id="176" w:name="_Hlk134452191"/>
            <w:r w:rsidRPr="00A34F10">
              <w:rPr>
                <w:b w:val="0"/>
                <w:bCs w:val="0"/>
              </w:rPr>
              <w:t>EFSA Scientific Report 2006, 78, 1-80</w:t>
            </w:r>
            <w:bookmarkEnd w:id="176"/>
          </w:p>
        </w:tc>
      </w:tr>
    </w:tbl>
    <w:p w14:paraId="08BFF2DD" w14:textId="77777777" w:rsidR="00DC5685" w:rsidRPr="00A34F10" w:rsidRDefault="00DC5685" w:rsidP="00DC5685">
      <w:pPr>
        <w:suppressAutoHyphens/>
        <w:ind w:left="284" w:hanging="284"/>
        <w:rPr>
          <w:sz w:val="18"/>
          <w:szCs w:val="18"/>
          <w:lang w:val="en-GB"/>
        </w:rPr>
      </w:pPr>
      <w:r w:rsidRPr="00A34F10">
        <w:rPr>
          <w:sz w:val="18"/>
          <w:szCs w:val="18"/>
          <w:vertAlign w:val="superscript"/>
          <w:lang w:val="en-GB"/>
        </w:rPr>
        <w:t>1)</w:t>
      </w:r>
      <w:r w:rsidRPr="00A34F10">
        <w:rPr>
          <w:sz w:val="18"/>
          <w:szCs w:val="18"/>
          <w:lang w:val="en-GB"/>
        </w:rPr>
        <w:tab/>
        <w:t>New endpoint. For details see section 9.2.1.1.</w:t>
      </w:r>
    </w:p>
    <w:p w14:paraId="46D4B744" w14:textId="04D2A7DF" w:rsidR="00DC5685" w:rsidRPr="00A34F10" w:rsidRDefault="00721DB9" w:rsidP="00DC5685">
      <w:pPr>
        <w:pStyle w:val="RepStandard"/>
        <w:suppressAutoHyphens/>
        <w:rPr>
          <w:b/>
          <w:u w:val="single"/>
        </w:rPr>
      </w:pPr>
      <w:r w:rsidRPr="00A34F10">
        <w:rPr>
          <w:b/>
          <w:u w:val="single"/>
        </w:rPr>
        <w:br w:type="page"/>
      </w:r>
    </w:p>
    <w:p w14:paraId="69878145" w14:textId="77777777" w:rsidR="00DC5685" w:rsidRPr="00A34F10" w:rsidRDefault="00DC5685" w:rsidP="00DC5685">
      <w:pPr>
        <w:pStyle w:val="RepStandard"/>
        <w:suppressAutoHyphens/>
        <w:rPr>
          <w:b/>
          <w:u w:val="single"/>
        </w:rPr>
      </w:pPr>
      <w:r w:rsidRPr="00A34F10">
        <w:rPr>
          <w:b/>
          <w:u w:val="single"/>
        </w:rPr>
        <w:lastRenderedPageBreak/>
        <w:t>Metabolites</w:t>
      </w:r>
    </w:p>
    <w:p w14:paraId="0E771E8B" w14:textId="77777777" w:rsidR="00DC5685" w:rsidRPr="00A34F10" w:rsidRDefault="00DC5685" w:rsidP="00DC5685">
      <w:pPr>
        <w:suppressAutoHyphens/>
        <w:rPr>
          <w:lang w:val="en-GB"/>
        </w:rPr>
      </w:pPr>
    </w:p>
    <w:p w14:paraId="0ADB723F" w14:textId="1D7B3E97" w:rsidR="00DC5685" w:rsidRPr="00A34F10" w:rsidRDefault="00DC5685" w:rsidP="00DC5685">
      <w:pPr>
        <w:suppressAutoHyphens/>
        <w:autoSpaceDE w:val="0"/>
        <w:autoSpaceDN w:val="0"/>
        <w:adjustRightInd w:val="0"/>
        <w:jc w:val="both"/>
        <w:rPr>
          <w:lang w:val="en-GB"/>
        </w:rPr>
      </w:pPr>
      <w:r w:rsidRPr="00A34F10">
        <w:rPr>
          <w:lang w:val="en-GB"/>
        </w:rPr>
        <w:t xml:space="preserve">In the assessment of the metabolites of </w:t>
      </w:r>
      <w:r w:rsidR="005D5C61">
        <w:rPr>
          <w:lang w:val="en-GB"/>
        </w:rPr>
        <w:t>A</w:t>
      </w:r>
      <w:r w:rsidRPr="00A34F10">
        <w:rPr>
          <w:lang w:val="en-GB"/>
        </w:rPr>
        <w:t xml:space="preserve">metoctradin carried out in the EU evaluation of this active substance (EFSA (2012) Scientific report 10 (11) 2921: Conclusion on the peer review </w:t>
      </w:r>
      <w:r w:rsidR="005D5C61">
        <w:rPr>
          <w:lang w:val="en-GB"/>
        </w:rPr>
        <w:t>A</w:t>
      </w:r>
      <w:r w:rsidRPr="00A34F10">
        <w:rPr>
          <w:lang w:val="en-GB"/>
        </w:rPr>
        <w:t>metoctradin (BAS 650 F) it was concluded that it was not necessary to carry out a specific risk assessment for birds and mammals for any of the Ametoctradin metabolites. Therefore, no risk assessment for metabolites is presented in this dossier.</w:t>
      </w:r>
    </w:p>
    <w:p w14:paraId="1FBA93C2" w14:textId="77777777" w:rsidR="00DC5685" w:rsidRPr="00A34F10" w:rsidRDefault="00DC5685" w:rsidP="00DC5685">
      <w:pPr>
        <w:suppressAutoHyphens/>
        <w:autoSpaceDE w:val="0"/>
        <w:autoSpaceDN w:val="0"/>
        <w:adjustRightInd w:val="0"/>
        <w:jc w:val="both"/>
        <w:rPr>
          <w:lang w:val="en-GB"/>
        </w:rPr>
      </w:pPr>
    </w:p>
    <w:p w14:paraId="53C34E25" w14:textId="77777777" w:rsidR="00DC5685" w:rsidRPr="00A34F10" w:rsidRDefault="00DC5685" w:rsidP="00DC5685">
      <w:pPr>
        <w:suppressAutoHyphens/>
        <w:autoSpaceDE w:val="0"/>
        <w:autoSpaceDN w:val="0"/>
        <w:adjustRightInd w:val="0"/>
        <w:jc w:val="both"/>
        <w:rPr>
          <w:b/>
          <w:bCs/>
          <w:u w:val="single"/>
          <w:lang w:val="en-GB"/>
        </w:rPr>
      </w:pPr>
      <w:bookmarkStart w:id="177" w:name="_Hlk39434484"/>
      <w:r w:rsidRPr="00A34F10">
        <w:rPr>
          <w:b/>
          <w:bCs/>
          <w:u w:val="single"/>
          <w:lang w:val="en-GB"/>
        </w:rPr>
        <w:t>Mixture toxicity</w:t>
      </w:r>
    </w:p>
    <w:p w14:paraId="0699C506" w14:textId="77777777" w:rsidR="00DC5685" w:rsidRPr="00A34F10" w:rsidRDefault="00DC5685" w:rsidP="00DC5685">
      <w:pPr>
        <w:suppressAutoHyphens/>
        <w:autoSpaceDE w:val="0"/>
        <w:autoSpaceDN w:val="0"/>
        <w:adjustRightInd w:val="0"/>
        <w:jc w:val="both"/>
        <w:rPr>
          <w:highlight w:val="yellow"/>
          <w:lang w:val="en-GB"/>
        </w:rPr>
      </w:pPr>
    </w:p>
    <w:p w14:paraId="54283A04" w14:textId="77777777" w:rsidR="00DC5685" w:rsidRPr="00A34F10" w:rsidRDefault="00DC5685" w:rsidP="00131F74">
      <w:pPr>
        <w:pStyle w:val="RepLabel"/>
        <w:tabs>
          <w:tab w:val="clear" w:pos="1985"/>
        </w:tabs>
        <w:suppressAutoHyphens/>
        <w:spacing w:before="0" w:after="0"/>
        <w:ind w:left="0" w:firstLine="0"/>
        <w:jc w:val="both"/>
        <w:rPr>
          <w:b w:val="0"/>
          <w:bCs w:val="0"/>
        </w:rPr>
      </w:pPr>
      <w:bookmarkStart w:id="178" w:name="_Hlk133235490"/>
      <w:r w:rsidRPr="00A34F10">
        <w:rPr>
          <w:b w:val="0"/>
          <w:bCs w:val="0"/>
          <w:iCs/>
        </w:rPr>
        <w:t xml:space="preserve">An acute oral toxicity test with the similar formulation BAS 74302 F (containing 137.1 g/L Ametoctradin and 515.4 g/L Propamocarb-HCl) is available indicating that the product is non-toxic by oral route in birds, </w:t>
      </w:r>
      <w:r w:rsidRPr="00A34F10">
        <w:rPr>
          <w:b w:val="0"/>
          <w:bCs w:val="0"/>
          <w:i/>
        </w:rPr>
        <w:t>i.e.</w:t>
      </w:r>
      <w:r w:rsidRPr="00A34F10">
        <w:rPr>
          <w:b w:val="0"/>
          <w:bCs w:val="0"/>
          <w:iCs/>
        </w:rPr>
        <w:t xml:space="preserve"> LD</w:t>
      </w:r>
      <w:r w:rsidRPr="00A34F10">
        <w:rPr>
          <w:b w:val="0"/>
          <w:bCs w:val="0"/>
          <w:iCs/>
          <w:vertAlign w:val="subscript"/>
        </w:rPr>
        <w:t>50</w:t>
      </w:r>
      <w:r w:rsidRPr="00A34F10">
        <w:rPr>
          <w:b w:val="0"/>
          <w:bCs w:val="0"/>
          <w:iCs/>
        </w:rPr>
        <w:t xml:space="preserve"> &gt; 2000 mg product/kg bw.</w:t>
      </w:r>
      <w:bookmarkEnd w:id="178"/>
    </w:p>
    <w:p w14:paraId="26468631" w14:textId="1CB9EC53" w:rsidR="00DC5685" w:rsidRPr="00A34F10" w:rsidRDefault="00DC5685" w:rsidP="00DC5685">
      <w:pPr>
        <w:suppressAutoHyphens/>
        <w:autoSpaceDE w:val="0"/>
        <w:autoSpaceDN w:val="0"/>
        <w:adjustRightInd w:val="0"/>
        <w:jc w:val="both"/>
        <w:rPr>
          <w:b/>
          <w:bCs/>
          <w:sz w:val="24"/>
          <w:szCs w:val="24"/>
          <w:u w:val="single"/>
          <w:lang w:val="en-GB"/>
        </w:rPr>
      </w:pPr>
    </w:p>
    <w:p w14:paraId="23ABFCDA" w14:textId="77777777" w:rsidR="00721DB9" w:rsidRPr="00A34F10" w:rsidRDefault="00721DB9" w:rsidP="00DC5685">
      <w:pPr>
        <w:suppressAutoHyphens/>
        <w:autoSpaceDE w:val="0"/>
        <w:autoSpaceDN w:val="0"/>
        <w:adjustRightInd w:val="0"/>
        <w:jc w:val="both"/>
        <w:rPr>
          <w:b/>
          <w:bCs/>
          <w:sz w:val="24"/>
          <w:szCs w:val="24"/>
          <w:u w:val="single"/>
          <w:lang w:val="en-GB"/>
        </w:rPr>
      </w:pPr>
    </w:p>
    <w:p w14:paraId="7A96DE5D" w14:textId="7CA3D6FC" w:rsidR="00DC5685" w:rsidRPr="00A34F10" w:rsidRDefault="00721DB9" w:rsidP="00BB63B3">
      <w:pPr>
        <w:pStyle w:val="Legenda"/>
      </w:pPr>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3</w:t>
      </w:r>
      <w:r w:rsidR="007E7467">
        <w:fldChar w:fldCharType="end"/>
      </w:r>
      <w:r w:rsidR="00DC5685" w:rsidRPr="00A34F10">
        <w:tab/>
        <w:t>Formulation BAS 743 03 F: Endpoints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4"/>
        <w:gridCol w:w="1841"/>
        <w:gridCol w:w="1845"/>
        <w:gridCol w:w="1845"/>
        <w:gridCol w:w="1972"/>
      </w:tblGrid>
      <w:tr w:rsidR="00DC5685" w:rsidRPr="00A34F10" w14:paraId="59AFE913" w14:textId="77777777" w:rsidTr="000470C3">
        <w:trPr>
          <w:tblHeader/>
        </w:trPr>
        <w:tc>
          <w:tcPr>
            <w:tcW w:w="986" w:type="pct"/>
            <w:shd w:val="clear" w:color="auto" w:fill="auto"/>
          </w:tcPr>
          <w:p w14:paraId="08DD8A74" w14:textId="77777777" w:rsidR="00DC5685" w:rsidRPr="00A34F10" w:rsidRDefault="00DC5685" w:rsidP="000470C3">
            <w:pPr>
              <w:pStyle w:val="RepTableHeader"/>
              <w:suppressAutoHyphens/>
              <w:rPr>
                <w:lang w:val="en-GB"/>
              </w:rPr>
            </w:pPr>
            <w:r w:rsidRPr="00A34F10">
              <w:rPr>
                <w:lang w:val="en-GB"/>
              </w:rPr>
              <w:t>Species</w:t>
            </w:r>
          </w:p>
        </w:tc>
        <w:tc>
          <w:tcPr>
            <w:tcW w:w="985" w:type="pct"/>
            <w:shd w:val="clear" w:color="auto" w:fill="auto"/>
          </w:tcPr>
          <w:p w14:paraId="36153093" w14:textId="77777777" w:rsidR="00DC5685" w:rsidRPr="00A34F10" w:rsidRDefault="00DC5685" w:rsidP="000470C3">
            <w:pPr>
              <w:pStyle w:val="RepTableHeader"/>
              <w:suppressAutoHyphens/>
              <w:rPr>
                <w:lang w:val="en-GB"/>
              </w:rPr>
            </w:pPr>
            <w:r w:rsidRPr="00A34F10">
              <w:rPr>
                <w:lang w:val="en-GB"/>
              </w:rPr>
              <w:t>Substance</w:t>
            </w:r>
          </w:p>
        </w:tc>
        <w:tc>
          <w:tcPr>
            <w:tcW w:w="987" w:type="pct"/>
            <w:shd w:val="clear" w:color="auto" w:fill="auto"/>
          </w:tcPr>
          <w:p w14:paraId="65F5463A" w14:textId="77777777" w:rsidR="00DC5685" w:rsidRPr="00A34F10" w:rsidRDefault="00DC5685" w:rsidP="000470C3">
            <w:pPr>
              <w:pStyle w:val="RepTableHeader"/>
              <w:suppressAutoHyphens/>
              <w:rPr>
                <w:lang w:val="en-GB"/>
              </w:rPr>
            </w:pPr>
            <w:r w:rsidRPr="00A34F10">
              <w:rPr>
                <w:lang w:val="en-GB"/>
              </w:rPr>
              <w:t>Exposure</w:t>
            </w:r>
          </w:p>
          <w:p w14:paraId="0D93FC36" w14:textId="77777777" w:rsidR="00DC5685" w:rsidRPr="00A34F10" w:rsidRDefault="00DC5685" w:rsidP="000470C3">
            <w:pPr>
              <w:pStyle w:val="RepTableHeader"/>
              <w:suppressAutoHyphens/>
              <w:rPr>
                <w:lang w:val="en-GB"/>
              </w:rPr>
            </w:pPr>
            <w:r w:rsidRPr="00A34F10">
              <w:rPr>
                <w:lang w:val="en-GB"/>
              </w:rPr>
              <w:t>System</w:t>
            </w:r>
          </w:p>
        </w:tc>
        <w:tc>
          <w:tcPr>
            <w:tcW w:w="987" w:type="pct"/>
            <w:shd w:val="clear" w:color="auto" w:fill="auto"/>
          </w:tcPr>
          <w:p w14:paraId="013F4EA1" w14:textId="77777777" w:rsidR="00DC5685" w:rsidRPr="00A34F10" w:rsidRDefault="00DC5685" w:rsidP="000470C3">
            <w:pPr>
              <w:pStyle w:val="RepTableHeader"/>
              <w:suppressAutoHyphens/>
              <w:rPr>
                <w:lang w:val="en-GB"/>
              </w:rPr>
            </w:pPr>
            <w:r w:rsidRPr="00A34F10">
              <w:rPr>
                <w:lang w:val="en-GB"/>
              </w:rPr>
              <w:t>Results</w:t>
            </w:r>
          </w:p>
        </w:tc>
        <w:tc>
          <w:tcPr>
            <w:tcW w:w="1055" w:type="pct"/>
            <w:shd w:val="clear" w:color="auto" w:fill="auto"/>
          </w:tcPr>
          <w:p w14:paraId="74B83400" w14:textId="77777777" w:rsidR="00DC5685" w:rsidRPr="00A34F10" w:rsidRDefault="00DC5685" w:rsidP="000470C3">
            <w:pPr>
              <w:pStyle w:val="RepTableHeader"/>
              <w:suppressAutoHyphens/>
              <w:rPr>
                <w:lang w:val="en-GB"/>
              </w:rPr>
            </w:pPr>
            <w:r w:rsidRPr="00A34F10">
              <w:rPr>
                <w:lang w:val="en-GB"/>
              </w:rPr>
              <w:t>Reference</w:t>
            </w:r>
          </w:p>
        </w:tc>
      </w:tr>
      <w:tr w:rsidR="00DC5685" w:rsidRPr="00A34F10" w14:paraId="374D8825" w14:textId="77777777" w:rsidTr="000470C3">
        <w:tc>
          <w:tcPr>
            <w:tcW w:w="986" w:type="pct"/>
            <w:shd w:val="clear" w:color="auto" w:fill="auto"/>
          </w:tcPr>
          <w:p w14:paraId="4C8D53B2" w14:textId="77777777" w:rsidR="00DC5685" w:rsidRPr="00A34F10" w:rsidRDefault="00DC5685" w:rsidP="000470C3">
            <w:pPr>
              <w:pStyle w:val="RepTable"/>
              <w:suppressAutoHyphens/>
              <w:rPr>
                <w:noProof w:val="0"/>
                <w:szCs w:val="20"/>
              </w:rPr>
            </w:pPr>
            <w:r w:rsidRPr="00A34F10">
              <w:rPr>
                <w:i/>
                <w:noProof w:val="0"/>
                <w:szCs w:val="20"/>
              </w:rPr>
              <w:t>Colinus virginianus</w:t>
            </w:r>
          </w:p>
        </w:tc>
        <w:tc>
          <w:tcPr>
            <w:tcW w:w="985" w:type="pct"/>
            <w:shd w:val="clear" w:color="auto" w:fill="auto"/>
          </w:tcPr>
          <w:p w14:paraId="64D0ACAD" w14:textId="77777777" w:rsidR="00DC5685" w:rsidRPr="00A34F10" w:rsidRDefault="00DC5685" w:rsidP="000470C3">
            <w:pPr>
              <w:suppressAutoHyphens/>
              <w:rPr>
                <w:sz w:val="20"/>
                <w:szCs w:val="20"/>
                <w:lang w:val="en-GB"/>
              </w:rPr>
            </w:pPr>
            <w:r w:rsidRPr="00A34F10">
              <w:rPr>
                <w:sz w:val="20"/>
                <w:szCs w:val="20"/>
              </w:rPr>
              <w:t>BAS 743 02 F*</w:t>
            </w:r>
          </w:p>
        </w:tc>
        <w:tc>
          <w:tcPr>
            <w:tcW w:w="987" w:type="pct"/>
            <w:shd w:val="clear" w:color="auto" w:fill="auto"/>
          </w:tcPr>
          <w:p w14:paraId="347D60F5"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987" w:type="pct"/>
            <w:shd w:val="clear" w:color="auto" w:fill="auto"/>
          </w:tcPr>
          <w:p w14:paraId="48FD775D" w14:textId="77777777" w:rsidR="00DC5685" w:rsidRPr="00A34F10" w:rsidRDefault="00DC5685" w:rsidP="000470C3">
            <w:pPr>
              <w:pStyle w:val="RepTable"/>
              <w:suppressAutoHyphens/>
              <w:rPr>
                <w:szCs w:val="20"/>
              </w:rPr>
            </w:pPr>
            <w:r w:rsidRPr="00A34F10">
              <w:rPr>
                <w:szCs w:val="20"/>
              </w:rPr>
              <w:t>LD</w:t>
            </w:r>
            <w:r w:rsidRPr="00A34F10">
              <w:rPr>
                <w:szCs w:val="20"/>
                <w:vertAlign w:val="subscript"/>
              </w:rPr>
              <w:t>50</w:t>
            </w:r>
            <w:r w:rsidRPr="00A34F10">
              <w:rPr>
                <w:szCs w:val="20"/>
              </w:rPr>
              <w:t xml:space="preserve"> &gt; 2000 mg/kg bw</w:t>
            </w:r>
          </w:p>
          <w:p w14:paraId="3ED8F4E4" w14:textId="77777777" w:rsidR="00DC5685" w:rsidRPr="00A34F10" w:rsidRDefault="00DC5685" w:rsidP="000470C3">
            <w:pPr>
              <w:pStyle w:val="RepTable"/>
              <w:suppressAutoHyphens/>
              <w:rPr>
                <w:noProof w:val="0"/>
                <w:szCs w:val="20"/>
              </w:rPr>
            </w:pPr>
            <w:r w:rsidRPr="00A34F10">
              <w:rPr>
                <w:b/>
                <w:szCs w:val="20"/>
              </w:rPr>
              <w:t>LD</w:t>
            </w:r>
            <w:r w:rsidRPr="00A34F10">
              <w:rPr>
                <w:b/>
                <w:szCs w:val="20"/>
                <w:vertAlign w:val="subscript"/>
              </w:rPr>
              <w:t xml:space="preserve">50 (extrapolated, geometric mean) </w:t>
            </w:r>
            <w:r w:rsidRPr="00A34F10">
              <w:rPr>
                <w:b/>
                <w:szCs w:val="20"/>
              </w:rPr>
              <w:t>= 3776 mg/kg b.w.</w:t>
            </w:r>
            <w:r w:rsidRPr="00A34F10">
              <w:rPr>
                <w:b/>
                <w:szCs w:val="20"/>
                <w:vertAlign w:val="superscript"/>
              </w:rPr>
              <w:t>1)</w:t>
            </w:r>
          </w:p>
        </w:tc>
        <w:tc>
          <w:tcPr>
            <w:tcW w:w="1055" w:type="pct"/>
            <w:shd w:val="clear" w:color="auto" w:fill="auto"/>
          </w:tcPr>
          <w:p w14:paraId="24379AF5" w14:textId="77777777" w:rsidR="00DC5685" w:rsidRPr="00A34F10" w:rsidRDefault="00DC5685" w:rsidP="000470C3">
            <w:pPr>
              <w:pStyle w:val="RepTable"/>
              <w:suppressAutoHyphens/>
              <w:rPr>
                <w:rFonts w:eastAsiaTheme="minorHAnsi"/>
                <w:noProof w:val="0"/>
                <w:szCs w:val="20"/>
              </w:rPr>
            </w:pPr>
            <w:r w:rsidRPr="00A34F10">
              <w:rPr>
                <w:rFonts w:eastAsiaTheme="minorHAnsi"/>
                <w:noProof w:val="0"/>
                <w:szCs w:val="20"/>
              </w:rPr>
              <w:t>New study</w:t>
            </w:r>
          </w:p>
          <w:p w14:paraId="04407177" w14:textId="77777777" w:rsidR="00DC5685" w:rsidRPr="00A34F10" w:rsidRDefault="00DC5685" w:rsidP="000470C3">
            <w:pPr>
              <w:widowControl w:val="0"/>
              <w:suppressAutoHyphens/>
              <w:rPr>
                <w:sz w:val="20"/>
                <w:szCs w:val="20"/>
                <w:lang w:val="en-GB"/>
              </w:rPr>
            </w:pPr>
            <w:r w:rsidRPr="00A34F10">
              <w:rPr>
                <w:color w:val="303030"/>
                <w:sz w:val="20"/>
                <w:szCs w:val="20"/>
                <w:shd w:val="clear" w:color="auto" w:fill="FFFFFF"/>
              </w:rPr>
              <w:t>2022/2033724</w:t>
            </w:r>
          </w:p>
        </w:tc>
      </w:tr>
    </w:tbl>
    <w:p w14:paraId="346CC9D6" w14:textId="77777777" w:rsidR="00DC5685" w:rsidRPr="00A34F10" w:rsidRDefault="00DC5685" w:rsidP="00DC5685">
      <w:pPr>
        <w:suppressAutoHyphens/>
        <w:autoSpaceDE w:val="0"/>
        <w:autoSpaceDN w:val="0"/>
        <w:adjustRightInd w:val="0"/>
        <w:jc w:val="both"/>
        <w:rPr>
          <w:sz w:val="18"/>
          <w:szCs w:val="18"/>
          <w:lang w:val="en-GB"/>
        </w:rPr>
      </w:pPr>
      <w:r w:rsidRPr="00A34F10">
        <w:rPr>
          <w:sz w:val="18"/>
          <w:szCs w:val="18"/>
          <w:vertAlign w:val="superscript"/>
          <w:lang w:val="en-GB"/>
        </w:rPr>
        <w:t>1)</w:t>
      </w:r>
      <w:r w:rsidRPr="00A34F10">
        <w:rPr>
          <w:sz w:val="18"/>
          <w:szCs w:val="18"/>
          <w:lang w:val="en-GB"/>
        </w:rPr>
        <w:t xml:space="preserve"> Since no mortality occurred in the acute oral gavage study and the number of birds tested were 10, the relevant extrapolation factor of 1.888 (EFSA/2009/1438, Table 1, section 2.1.2) was applied to the endpoint of LD</w:t>
      </w:r>
      <w:r w:rsidRPr="00A34F10">
        <w:rPr>
          <w:sz w:val="18"/>
          <w:szCs w:val="18"/>
          <w:vertAlign w:val="subscript"/>
          <w:lang w:val="en-GB"/>
        </w:rPr>
        <w:t>50</w:t>
      </w:r>
      <w:r w:rsidRPr="00A34F10">
        <w:rPr>
          <w:sz w:val="18"/>
          <w:szCs w:val="18"/>
          <w:lang w:val="en-GB"/>
        </w:rPr>
        <w:t xml:space="preserve"> &gt; 2000 mg/kg b.w.. </w:t>
      </w:r>
    </w:p>
    <w:p w14:paraId="4C87DAC7" w14:textId="77777777" w:rsidR="00DC5685" w:rsidRPr="00A34F10" w:rsidRDefault="00DC5685" w:rsidP="00DC5685">
      <w:pPr>
        <w:suppressAutoHyphens/>
        <w:autoSpaceDE w:val="0"/>
        <w:autoSpaceDN w:val="0"/>
        <w:adjustRightInd w:val="0"/>
        <w:ind w:left="284" w:hanging="284"/>
        <w:jc w:val="both"/>
        <w:rPr>
          <w:sz w:val="18"/>
          <w:szCs w:val="18"/>
          <w:lang w:val="en-GB"/>
        </w:rPr>
      </w:pPr>
      <w:r w:rsidRPr="00A34F10">
        <w:rPr>
          <w:sz w:val="18"/>
          <w:szCs w:val="18"/>
        </w:rPr>
        <w:t>*</w:t>
      </w:r>
      <w:r w:rsidRPr="00A34F10">
        <w:rPr>
          <w:sz w:val="18"/>
          <w:szCs w:val="18"/>
        </w:rPr>
        <w:tab/>
        <w:t>Study was conducted with the similar formulation BAS 743 02 F containing 137.1 g/L Ametoctradin and 515.4 g/L Propamocarb-HCl</w:t>
      </w:r>
    </w:p>
    <w:p w14:paraId="12E0DB70" w14:textId="31EB5D99" w:rsidR="00DC5685" w:rsidRPr="00A34F10" w:rsidRDefault="00DC5685" w:rsidP="00DC5685">
      <w:pPr>
        <w:suppressAutoHyphens/>
        <w:autoSpaceDE w:val="0"/>
        <w:autoSpaceDN w:val="0"/>
        <w:adjustRightInd w:val="0"/>
        <w:jc w:val="both"/>
        <w:rPr>
          <w:highlight w:val="yellow"/>
          <w:lang w:val="en-GB"/>
        </w:rPr>
      </w:pPr>
    </w:p>
    <w:p w14:paraId="2D72808A" w14:textId="77777777" w:rsidR="00721DB9" w:rsidRPr="00A34F10" w:rsidRDefault="00721DB9" w:rsidP="00DC5685">
      <w:pPr>
        <w:suppressAutoHyphens/>
        <w:autoSpaceDE w:val="0"/>
        <w:autoSpaceDN w:val="0"/>
        <w:adjustRightInd w:val="0"/>
        <w:jc w:val="both"/>
        <w:rPr>
          <w:highlight w:val="yellow"/>
          <w:lang w:val="en-GB"/>
        </w:rPr>
      </w:pPr>
    </w:p>
    <w:p w14:paraId="574F14AE" w14:textId="77777777" w:rsidR="00DC5685" w:rsidRPr="00A34F10" w:rsidRDefault="00DC5685" w:rsidP="00DC5685">
      <w:pPr>
        <w:jc w:val="both"/>
        <w:rPr>
          <w:lang w:val="en-GB"/>
        </w:rPr>
      </w:pPr>
      <w:r w:rsidRPr="00A34F10">
        <w:rPr>
          <w:lang w:val="en-GB"/>
        </w:rPr>
        <w:t>Nevertheless, in line with EFSA/2009/1438, for the assessment of acute effects (mortality) from the simultaneous exposure of birds to residues of Propamocarb and Ametoctradin (considered to be the only potential toxicants contained in the formulation), a surrogate LD</w:t>
      </w:r>
      <w:r w:rsidRPr="00A34F10">
        <w:rPr>
          <w:vertAlign w:val="subscript"/>
          <w:lang w:val="en-GB"/>
        </w:rPr>
        <w:t>50</w:t>
      </w:r>
      <w:r w:rsidRPr="00A34F10">
        <w:rPr>
          <w:lang w:val="en-GB"/>
        </w:rPr>
        <w:t xml:space="preserve"> (mix) is additionally derived. The surrogate LD</w:t>
      </w:r>
      <w:r w:rsidRPr="00A34F10">
        <w:rPr>
          <w:vertAlign w:val="subscript"/>
          <w:lang w:val="en-GB"/>
        </w:rPr>
        <w:t>50</w:t>
      </w:r>
      <w:r w:rsidRPr="00A34F10">
        <w:rPr>
          <w:lang w:val="en-GB"/>
        </w:rPr>
        <w:t xml:space="preserve"> (mix) is calculated assuming dose additivity of toxicity by using the following equation:</w:t>
      </w:r>
    </w:p>
    <w:p w14:paraId="0FD92B82" w14:textId="77777777" w:rsidR="00DC5685" w:rsidRPr="00A34F10" w:rsidRDefault="00DC5685" w:rsidP="00DC5685">
      <w:pPr>
        <w:jc w:val="both"/>
        <w:rPr>
          <w:iCs/>
          <w:lang w:val="en-GB"/>
        </w:rPr>
      </w:pPr>
    </w:p>
    <w:p w14:paraId="1966DAF8" w14:textId="77777777" w:rsidR="00DC5685" w:rsidRPr="00A34F10" w:rsidRDefault="00000000" w:rsidP="00DC5685">
      <w:pPr>
        <w:suppressAutoHyphens/>
        <w:autoSpaceDE w:val="0"/>
        <w:autoSpaceDN w:val="0"/>
        <w:adjustRightInd w:val="0"/>
        <w:jc w:val="both"/>
        <w:rPr>
          <w:lang w:val="en-GB"/>
        </w:rPr>
      </w:pPr>
      <m:oMathPara>
        <m:oMathParaPr>
          <m:jc m:val="left"/>
        </m:oMathParaPr>
        <m:oMath>
          <m:sSub>
            <m:sSubPr>
              <m:ctrlPr>
                <w:rPr>
                  <w:rFonts w:ascii="Cambria Math" w:hAnsi="Cambria Math"/>
                  <w:i/>
                  <w:lang w:val="en-GB"/>
                </w:rPr>
              </m:ctrlPr>
            </m:sSubPr>
            <m:e>
              <m:r>
                <w:rPr>
                  <w:rFonts w:ascii="Cambria Math" w:hAnsi="Cambria Math"/>
                  <w:lang w:val="en-GB"/>
                </w:rPr>
                <m:t>LD</m:t>
              </m:r>
            </m:e>
            <m:sub>
              <m:r>
                <w:rPr>
                  <w:rFonts w:ascii="Cambria Math" w:hAnsi="Cambria Math"/>
                  <w:lang w:val="en-GB"/>
                </w:rPr>
                <m:t>50</m:t>
              </m:r>
            </m:sub>
          </m:sSub>
          <m:d>
            <m:dPr>
              <m:ctrlPr>
                <w:rPr>
                  <w:rFonts w:ascii="Cambria Math" w:hAnsi="Cambria Math"/>
                  <w:i/>
                  <w:lang w:val="en-GB"/>
                </w:rPr>
              </m:ctrlPr>
            </m:dPr>
            <m:e>
              <m:r>
                <w:rPr>
                  <w:rFonts w:ascii="Cambria Math" w:hAnsi="Cambria Math"/>
                  <w:lang w:val="en-GB"/>
                </w:rPr>
                <m:t>mix</m:t>
              </m:r>
            </m:e>
          </m:d>
          <m:r>
            <w:rPr>
              <w:rFonts w:ascii="Cambria Math" w:hAnsi="Cambria Math"/>
              <w:lang w:val="en-GB"/>
            </w:rPr>
            <m:t>=</m:t>
          </m:r>
          <m:sSup>
            <m:sSupPr>
              <m:ctrlPr>
                <w:rPr>
                  <w:rFonts w:ascii="Cambria Math" w:hAnsi="Cambria Math"/>
                  <w:i/>
                  <w:lang w:val="en-GB"/>
                </w:rPr>
              </m:ctrlPr>
            </m:sSupPr>
            <m:e>
              <m:r>
                <w:rPr>
                  <w:rFonts w:ascii="Cambria Math" w:hAnsi="Cambria Math"/>
                  <w:lang w:val="en-GB"/>
                </w:rPr>
                <m:t xml:space="preserve"> </m:t>
              </m:r>
              <m:d>
                <m:dPr>
                  <m:ctrlPr>
                    <w:rPr>
                      <w:rFonts w:ascii="Cambria Math" w:hAnsi="Cambria Math"/>
                      <w:i/>
                      <w:lang w:val="en-GB"/>
                    </w:rPr>
                  </m:ctrlPr>
                </m:dPr>
                <m:e>
                  <m:nary>
                    <m:naryPr>
                      <m:chr m:val="∑"/>
                      <m:limLoc m:val="undOvr"/>
                      <m:supHide m:val="1"/>
                      <m:ctrlPr>
                        <w:rPr>
                          <w:rFonts w:ascii="Cambria Math" w:hAnsi="Cambria Math"/>
                          <w:i/>
                          <w:lang w:val="en-GB"/>
                        </w:rPr>
                      </m:ctrlPr>
                    </m:naryPr>
                    <m:sub>
                      <m:r>
                        <w:rPr>
                          <w:rFonts w:ascii="Cambria Math" w:hAnsi="Cambria Math"/>
                          <w:lang w:val="en-GB"/>
                        </w:rPr>
                        <m:t>i</m:t>
                      </m:r>
                    </m:sub>
                    <m:sup/>
                    <m:e>
                      <m:f>
                        <m:fPr>
                          <m:ctrlPr>
                            <w:rPr>
                              <w:rFonts w:ascii="Cambria Math" w:hAnsi="Cambria Math"/>
                              <w:i/>
                              <w:lang w:val="en-GB"/>
                            </w:rPr>
                          </m:ctrlPr>
                        </m:fPr>
                        <m:num>
                          <m:r>
                            <w:rPr>
                              <w:rFonts w:ascii="Cambria Math" w:hAnsi="Cambria Math"/>
                              <w:lang w:val="en-GB"/>
                            </w:rPr>
                            <m:t>X</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a.s.</m:t>
                                  </m:r>
                                </m:e>
                                <m:sub>
                                  <m:r>
                                    <w:rPr>
                                      <w:rFonts w:ascii="Cambria Math" w:hAnsi="Cambria Math"/>
                                      <w:lang w:val="en-GB"/>
                                    </w:rPr>
                                    <m:t>i</m:t>
                                  </m:r>
                                </m:sub>
                              </m:sSub>
                            </m:e>
                          </m:d>
                        </m:num>
                        <m:den>
                          <m:sSub>
                            <m:sSubPr>
                              <m:ctrlPr>
                                <w:rPr>
                                  <w:rFonts w:ascii="Cambria Math" w:hAnsi="Cambria Math"/>
                                  <w:i/>
                                  <w:lang w:val="en-GB"/>
                                </w:rPr>
                              </m:ctrlPr>
                            </m:sSubPr>
                            <m:e>
                              <m:r>
                                <w:rPr>
                                  <w:rFonts w:ascii="Cambria Math" w:hAnsi="Cambria Math"/>
                                  <w:lang w:val="en-GB"/>
                                </w:rPr>
                                <m:t>LD</m:t>
                              </m:r>
                            </m:e>
                            <m:sub>
                              <m:r>
                                <w:rPr>
                                  <w:rFonts w:ascii="Cambria Math" w:hAnsi="Cambria Math"/>
                                  <w:lang w:val="en-GB"/>
                                </w:rPr>
                                <m:t>50</m:t>
                              </m:r>
                            </m:sub>
                          </m:sSub>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a.s.</m:t>
                                  </m:r>
                                </m:e>
                                <m:sub>
                                  <m:r>
                                    <w:rPr>
                                      <w:rFonts w:ascii="Cambria Math" w:hAnsi="Cambria Math"/>
                                      <w:lang w:val="en-GB"/>
                                    </w:rPr>
                                    <m:t>i</m:t>
                                  </m:r>
                                </m:sub>
                              </m:sSub>
                            </m:e>
                          </m:d>
                        </m:den>
                      </m:f>
                    </m:e>
                  </m:nary>
                </m:e>
              </m:d>
            </m:e>
            <m:sup>
              <m:r>
                <w:rPr>
                  <w:rFonts w:ascii="Cambria Math" w:hAnsi="Cambria Math"/>
                  <w:lang w:val="en-GB"/>
                </w:rPr>
                <m:t>-1</m:t>
              </m:r>
            </m:sup>
          </m:sSup>
          <m:r>
            <w:rPr>
              <w:rFonts w:ascii="Cambria Math" w:hAnsi="Cambria Math"/>
              <w:lang w:val="en-GB"/>
            </w:rPr>
            <m:t xml:space="preserve"> </m:t>
          </m:r>
        </m:oMath>
      </m:oMathPara>
    </w:p>
    <w:p w14:paraId="19EB0D2D" w14:textId="77777777" w:rsidR="00DC5685" w:rsidRPr="00A34F10" w:rsidRDefault="00DC5685" w:rsidP="00DC5685">
      <w:pPr>
        <w:suppressAutoHyphens/>
        <w:autoSpaceDE w:val="0"/>
        <w:autoSpaceDN w:val="0"/>
        <w:adjustRightInd w:val="0"/>
        <w:jc w:val="both"/>
        <w:rPr>
          <w:lang w:val="en-GB"/>
        </w:rPr>
      </w:pPr>
      <w:r w:rsidRPr="00A34F10">
        <w:rPr>
          <w:lang w:val="en-GB"/>
        </w:rPr>
        <w:t>With:</w:t>
      </w:r>
    </w:p>
    <w:p w14:paraId="696529D9" w14:textId="77777777" w:rsidR="00DC5685" w:rsidRPr="00A34F10" w:rsidRDefault="00DC5685" w:rsidP="00DC5685">
      <w:pPr>
        <w:suppressAutoHyphens/>
        <w:autoSpaceDE w:val="0"/>
        <w:autoSpaceDN w:val="0"/>
        <w:adjustRightInd w:val="0"/>
        <w:jc w:val="both"/>
        <w:rPr>
          <w:lang w:val="en-GB"/>
        </w:rPr>
      </w:pPr>
      <w:r w:rsidRPr="00A34F10">
        <w:rPr>
          <w:lang w:val="en-GB"/>
        </w:rPr>
        <w:t>X (a.s.i)</w:t>
      </w:r>
      <w:r w:rsidRPr="00A34F10">
        <w:rPr>
          <w:lang w:val="en-GB"/>
        </w:rPr>
        <w:tab/>
        <w:t>= fraction of active substance [i] in the mixture</w:t>
      </w:r>
    </w:p>
    <w:p w14:paraId="69035401" w14:textId="77777777" w:rsidR="00DC5685" w:rsidRPr="00A34F10" w:rsidRDefault="00DC5685" w:rsidP="00DC5685">
      <w:pPr>
        <w:suppressAutoHyphens/>
        <w:autoSpaceDE w:val="0"/>
        <w:autoSpaceDN w:val="0"/>
        <w:adjustRightInd w:val="0"/>
        <w:jc w:val="both"/>
        <w:rPr>
          <w:lang w:val="en-GB"/>
        </w:rPr>
      </w:pPr>
    </w:p>
    <w:p w14:paraId="3FBA92F7" w14:textId="77777777" w:rsidR="00DC5685" w:rsidRPr="00A34F10" w:rsidRDefault="00DC5685" w:rsidP="00DC5685">
      <w:pPr>
        <w:spacing w:after="40"/>
        <w:ind w:left="1418" w:hanging="1418"/>
        <w:rPr>
          <w:lang w:val="x-none"/>
        </w:rPr>
      </w:pPr>
      <w:r w:rsidRPr="00A34F10">
        <w:rPr>
          <w:lang w:val="en-GB"/>
        </w:rPr>
        <w:t>LD</w:t>
      </w:r>
      <w:r w:rsidRPr="00A34F10">
        <w:rPr>
          <w:vertAlign w:val="subscript"/>
          <w:lang w:val="en-GB"/>
        </w:rPr>
        <w:t>50</w:t>
      </w:r>
      <w:r w:rsidRPr="00A34F10">
        <w:rPr>
          <w:lang w:val="en-GB"/>
        </w:rPr>
        <w:t> (a.s.</w:t>
      </w:r>
      <w:r w:rsidRPr="00A34F10">
        <w:rPr>
          <w:vertAlign w:val="subscript"/>
          <w:lang w:val="en-GB"/>
        </w:rPr>
        <w:t>i</w:t>
      </w:r>
      <w:r w:rsidRPr="00A34F10">
        <w:rPr>
          <w:lang w:val="en-GB"/>
        </w:rPr>
        <w:t xml:space="preserve">) </w:t>
      </w:r>
      <w:r w:rsidRPr="00A34F10">
        <w:rPr>
          <w:lang w:val="en-GB"/>
        </w:rPr>
        <w:tab/>
        <w:t>= acute toxicity value for active substance [i]</w:t>
      </w:r>
      <w:r w:rsidRPr="00A34F10">
        <w:rPr>
          <w:color w:val="2F5496" w:themeColor="accent1" w:themeShade="BF"/>
          <w:lang w:val="en-GB"/>
        </w:rPr>
        <w:t xml:space="preserve"> </w:t>
      </w:r>
      <w:r w:rsidRPr="00A34F10">
        <w:rPr>
          <w:lang w:val="en-GB"/>
        </w:rPr>
        <w:t>(</w:t>
      </w:r>
      <w:r w:rsidRPr="00A34F10">
        <w:rPr>
          <w:lang w:val="x-none"/>
        </w:rPr>
        <w:t>pragmatically, NOE</w:t>
      </w:r>
      <w:r w:rsidRPr="00A34F10">
        <w:rPr>
          <w:lang w:val="en-GB"/>
        </w:rPr>
        <w:t>L (a.s.</w:t>
      </w:r>
      <w:r w:rsidRPr="00A34F10">
        <w:rPr>
          <w:vertAlign w:val="subscript"/>
          <w:lang w:val="x-none"/>
        </w:rPr>
        <w:t>i</w:t>
      </w:r>
      <w:r w:rsidRPr="00A34F10">
        <w:rPr>
          <w:lang w:val="en-GB"/>
        </w:rPr>
        <w:t>)</w:t>
      </w:r>
      <w:r w:rsidRPr="00A34F10">
        <w:rPr>
          <w:lang w:val="x-none"/>
        </w:rPr>
        <w:t xml:space="preserve"> may be</w:t>
      </w:r>
      <w:r w:rsidRPr="00A34F10">
        <w:rPr>
          <w:lang w:val="en-GB"/>
        </w:rPr>
        <w:t xml:space="preserve"> </w:t>
      </w:r>
      <w:r w:rsidRPr="00A34F10">
        <w:rPr>
          <w:lang w:val="x-none"/>
        </w:rPr>
        <w:t>inserted, too)</w:t>
      </w:r>
    </w:p>
    <w:p w14:paraId="73A4D715" w14:textId="77777777" w:rsidR="00DC5685" w:rsidRPr="00A34F10" w:rsidRDefault="00DC5685" w:rsidP="00DC5685">
      <w:pPr>
        <w:spacing w:after="40"/>
        <w:rPr>
          <w:lang w:val="en-GB"/>
        </w:rPr>
      </w:pPr>
    </w:p>
    <w:p w14:paraId="15DC3A2A" w14:textId="77777777" w:rsidR="00DC5685" w:rsidRPr="00A34F10" w:rsidRDefault="00DC5685" w:rsidP="00ED40FE">
      <w:pPr>
        <w:spacing w:after="40"/>
        <w:jc w:val="both"/>
        <w:rPr>
          <w:lang w:val="en-GB"/>
        </w:rPr>
      </w:pPr>
      <w:r w:rsidRPr="00A34F10">
        <w:rPr>
          <w:lang w:val="en-GB"/>
        </w:rPr>
        <w:t xml:space="preserve">In addition to acute, the </w:t>
      </w:r>
      <w:r w:rsidRPr="00A34F10">
        <w:rPr>
          <w:lang w:val="x-none"/>
        </w:rPr>
        <w:t>long</w:t>
      </w:r>
      <w:r w:rsidRPr="00A34F10">
        <w:rPr>
          <w:lang w:val="en-GB"/>
        </w:rPr>
        <w:t>-</w:t>
      </w:r>
      <w:r w:rsidRPr="00A34F10">
        <w:rPr>
          <w:lang w:val="x-none"/>
        </w:rPr>
        <w:t>term risk from</w:t>
      </w:r>
      <w:r w:rsidRPr="00A34F10">
        <w:rPr>
          <w:lang w:val="en-GB"/>
        </w:rPr>
        <w:t xml:space="preserve"> </w:t>
      </w:r>
      <w:r w:rsidRPr="00A34F10">
        <w:rPr>
          <w:lang w:val="x-none"/>
        </w:rPr>
        <w:t>combined exposure of</w:t>
      </w:r>
      <w:r w:rsidRPr="00A34F10">
        <w:rPr>
          <w:lang w:val="en-GB"/>
        </w:rPr>
        <w:t xml:space="preserve"> birds and mammals to </w:t>
      </w:r>
      <w:r w:rsidRPr="00A34F10">
        <w:rPr>
          <w:lang w:val="x-none"/>
        </w:rPr>
        <w:t>active substances need</w:t>
      </w:r>
      <w:r w:rsidRPr="00A34F10">
        <w:rPr>
          <w:lang w:val="en-GB"/>
        </w:rPr>
        <w:t>s</w:t>
      </w:r>
      <w:r w:rsidRPr="00A34F10">
        <w:rPr>
          <w:lang w:val="x-none"/>
        </w:rPr>
        <w:t xml:space="preserve"> to be addressed via the Concentration Addition</w:t>
      </w:r>
      <w:r w:rsidRPr="00A34F10">
        <w:rPr>
          <w:lang w:val="en-GB"/>
        </w:rPr>
        <w:t xml:space="preserve"> </w:t>
      </w:r>
      <w:r w:rsidRPr="00A34F10">
        <w:rPr>
          <w:lang w:val="x-none"/>
        </w:rPr>
        <w:t>Model</w:t>
      </w:r>
      <w:r w:rsidRPr="00A34F10">
        <w:rPr>
          <w:lang w:val="en-GB"/>
        </w:rPr>
        <w:t>.</w:t>
      </w:r>
    </w:p>
    <w:p w14:paraId="3CB028B6" w14:textId="77777777" w:rsidR="00DC5685" w:rsidRPr="00A34F10" w:rsidRDefault="00DC5685" w:rsidP="00DC5685">
      <w:pPr>
        <w:spacing w:after="40"/>
        <w:rPr>
          <w:lang w:val="x-none"/>
        </w:rPr>
      </w:pPr>
    </w:p>
    <w:p w14:paraId="4D16A495" w14:textId="77777777" w:rsidR="00DC5685" w:rsidRPr="00A34F10" w:rsidRDefault="00DC5685" w:rsidP="00DC5685">
      <w:pPr>
        <w:spacing w:after="40"/>
        <w:rPr>
          <w:b/>
          <w:lang w:val="en-GB"/>
        </w:rPr>
      </w:pPr>
      <w:r w:rsidRPr="00A34F10">
        <w:rPr>
          <w:lang w:val="en-GB"/>
        </w:rPr>
        <w:t>The estimation of the LD</w:t>
      </w:r>
      <w:r w:rsidRPr="00A34F10">
        <w:rPr>
          <w:vertAlign w:val="subscript"/>
          <w:lang w:val="en-GB"/>
        </w:rPr>
        <w:t xml:space="preserve">50 </w:t>
      </w:r>
      <w:r w:rsidRPr="00A34F10">
        <w:rPr>
          <w:lang w:val="en-GB"/>
        </w:rPr>
        <w:t>(mix) and NOEL (mix) is shown in</w:t>
      </w:r>
      <w:r w:rsidRPr="00A34F10">
        <w:t xml:space="preserve"> the following tables</w:t>
      </w:r>
      <w:r w:rsidRPr="00A34F10">
        <w:rPr>
          <w:b/>
          <w:lang w:val="en-GB"/>
        </w:rPr>
        <w:t>.</w:t>
      </w:r>
    </w:p>
    <w:p w14:paraId="78B4D97E" w14:textId="181002BA" w:rsidR="00DC5685" w:rsidRPr="00A34F10" w:rsidRDefault="00721DB9" w:rsidP="00DC5685">
      <w:pPr>
        <w:rPr>
          <w:b/>
          <w:lang w:val="en-GB"/>
        </w:rPr>
      </w:pPr>
      <w:r w:rsidRPr="00A34F10">
        <w:rPr>
          <w:b/>
          <w:lang w:val="en-GB"/>
        </w:rPr>
        <w:br w:type="page"/>
      </w:r>
    </w:p>
    <w:p w14:paraId="4D08B028" w14:textId="16FCDA30" w:rsidR="00DC5685" w:rsidRPr="00A34F10" w:rsidRDefault="00721DB9" w:rsidP="00BB63B3">
      <w:pPr>
        <w:pStyle w:val="Legenda"/>
      </w:pPr>
      <w:bookmarkStart w:id="179" w:name="_Hlk42162924"/>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4</w:t>
      </w:r>
      <w:r w:rsidR="007E7467">
        <w:fldChar w:fldCharType="end"/>
      </w:r>
      <w:r w:rsidR="00DC5685" w:rsidRPr="00A34F10">
        <w:tab/>
        <w:t>Estimation of LD</w:t>
      </w:r>
      <w:r w:rsidR="00DC5685" w:rsidRPr="00A34F10">
        <w:rPr>
          <w:vertAlign w:val="subscript"/>
        </w:rPr>
        <w:t>50</w:t>
      </w:r>
      <w:r w:rsidR="00DC5685" w:rsidRPr="00A34F10">
        <w:t xml:space="preserve"> for the mixture assuming dose additivity</w:t>
      </w:r>
    </w:p>
    <w:tbl>
      <w:tblPr>
        <w:tblStyle w:val="Table-StandardGAB1"/>
        <w:tblW w:w="5000" w:type="pct"/>
        <w:tblLook w:val="04A0" w:firstRow="1" w:lastRow="0" w:firstColumn="1" w:lastColumn="0" w:noHBand="0" w:noVBand="1"/>
      </w:tblPr>
      <w:tblGrid>
        <w:gridCol w:w="1734"/>
        <w:gridCol w:w="1945"/>
        <w:gridCol w:w="1270"/>
        <w:gridCol w:w="1483"/>
        <w:gridCol w:w="1347"/>
        <w:gridCol w:w="1562"/>
      </w:tblGrid>
      <w:tr w:rsidR="00DC5685" w:rsidRPr="00A34F10" w14:paraId="3B572ED8" w14:textId="77777777" w:rsidTr="0043197F">
        <w:trPr>
          <w:cnfStyle w:val="100000000000" w:firstRow="1" w:lastRow="0" w:firstColumn="0" w:lastColumn="0" w:oddVBand="0" w:evenVBand="0" w:oddHBand="0" w:evenHBand="0" w:firstRowFirstColumn="0" w:firstRowLastColumn="0" w:lastRowFirstColumn="0" w:lastRowLastColumn="0"/>
        </w:trPr>
        <w:tc>
          <w:tcPr>
            <w:tcW w:w="928" w:type="pct"/>
            <w:hideMark/>
          </w:tcPr>
          <w:bookmarkEnd w:id="179"/>
          <w:p w14:paraId="615AD242"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Active substance</w:t>
            </w:r>
          </w:p>
        </w:tc>
        <w:tc>
          <w:tcPr>
            <w:tcW w:w="1041" w:type="pct"/>
          </w:tcPr>
          <w:p w14:paraId="7441251C" w14:textId="2A025F3C"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 xml:space="preserve">Concentration of each active substance in </w:t>
            </w:r>
            <w:r w:rsidRPr="009050FC">
              <w:rPr>
                <w:b/>
                <w:bCs/>
                <w:strike/>
                <w:sz w:val="20"/>
                <w:szCs w:val="20"/>
                <w:highlight w:val="green"/>
              </w:rPr>
              <w:t>formulation</w:t>
            </w:r>
            <w:r w:rsidRPr="009050FC">
              <w:rPr>
                <w:b/>
                <w:bCs/>
                <w:sz w:val="20"/>
                <w:szCs w:val="20"/>
                <w:highlight w:val="green"/>
              </w:rPr>
              <w:t xml:space="preserve"> </w:t>
            </w:r>
            <w:r w:rsidR="009050FC" w:rsidRPr="009050FC">
              <w:rPr>
                <w:b/>
                <w:bCs/>
                <w:sz w:val="20"/>
                <w:szCs w:val="20"/>
                <w:highlight w:val="green"/>
              </w:rPr>
              <w:t>BAS 743 02 F</w:t>
            </w:r>
          </w:p>
          <w:p w14:paraId="02399C09"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[g a.s.</w:t>
            </w:r>
            <w:r w:rsidRPr="00A34F10">
              <w:rPr>
                <w:b/>
                <w:bCs/>
                <w:sz w:val="20"/>
                <w:szCs w:val="20"/>
                <w:vertAlign w:val="subscript"/>
              </w:rPr>
              <w:t>i</w:t>
            </w:r>
            <w:r w:rsidRPr="00A34F10">
              <w:rPr>
                <w:b/>
                <w:bCs/>
                <w:sz w:val="20"/>
                <w:szCs w:val="20"/>
              </w:rPr>
              <w:t>/L]</w:t>
            </w:r>
          </w:p>
        </w:tc>
        <w:tc>
          <w:tcPr>
            <w:tcW w:w="680" w:type="pct"/>
          </w:tcPr>
          <w:p w14:paraId="7723B84B"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X (a.s.</w:t>
            </w:r>
            <w:r w:rsidRPr="00A34F10">
              <w:rPr>
                <w:b/>
                <w:bCs/>
                <w:sz w:val="20"/>
                <w:szCs w:val="20"/>
                <w:vertAlign w:val="subscript"/>
              </w:rPr>
              <w:t>i</w:t>
            </w:r>
            <w:r w:rsidRPr="00A34F10">
              <w:rPr>
                <w:b/>
                <w:bCs/>
                <w:sz w:val="20"/>
                <w:szCs w:val="20"/>
              </w:rPr>
              <w:t>) in the mixture</w:t>
            </w:r>
          </w:p>
        </w:tc>
        <w:tc>
          <w:tcPr>
            <w:tcW w:w="794" w:type="pct"/>
          </w:tcPr>
          <w:p w14:paraId="306209D7"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LD</w:t>
            </w:r>
            <w:r w:rsidRPr="00A34F10">
              <w:rPr>
                <w:b/>
                <w:bCs/>
                <w:sz w:val="20"/>
                <w:szCs w:val="20"/>
                <w:vertAlign w:val="subscript"/>
              </w:rPr>
              <w:t>50</w:t>
            </w:r>
            <w:r w:rsidRPr="00A34F10">
              <w:rPr>
                <w:b/>
                <w:bCs/>
                <w:sz w:val="20"/>
                <w:szCs w:val="20"/>
              </w:rPr>
              <w:br/>
              <w:t>[mg a.s.</w:t>
            </w:r>
            <w:r w:rsidRPr="00A34F10">
              <w:rPr>
                <w:b/>
                <w:bCs/>
                <w:sz w:val="20"/>
                <w:szCs w:val="20"/>
                <w:vertAlign w:val="subscript"/>
              </w:rPr>
              <w:t>i</w:t>
            </w:r>
            <w:r w:rsidRPr="00A34F10">
              <w:rPr>
                <w:b/>
                <w:bCs/>
                <w:sz w:val="20"/>
                <w:szCs w:val="20"/>
              </w:rPr>
              <w:t>/kg bw]</w:t>
            </w:r>
          </w:p>
        </w:tc>
        <w:tc>
          <w:tcPr>
            <w:tcW w:w="721" w:type="pct"/>
          </w:tcPr>
          <w:p w14:paraId="3B4D8648" w14:textId="3B4E80A0" w:rsidR="00DC5685" w:rsidRPr="00A34F10" w:rsidRDefault="00DC5685" w:rsidP="009050FC">
            <w:pPr>
              <w:keepNext/>
              <w:autoSpaceDE w:val="0"/>
              <w:autoSpaceDN w:val="0"/>
              <w:spacing w:before="40" w:after="40"/>
              <w:ind w:left="17" w:right="17"/>
              <w:jc w:val="center"/>
              <w:rPr>
                <w:b/>
                <w:bCs/>
                <w:sz w:val="20"/>
                <w:szCs w:val="20"/>
              </w:rPr>
            </w:pPr>
            <w:r w:rsidRPr="00A34F10">
              <w:rPr>
                <w:b/>
                <w:bCs/>
                <w:sz w:val="20"/>
                <w:szCs w:val="20"/>
              </w:rPr>
              <w:t>Σ [X (a.s.</w:t>
            </w:r>
            <w:r w:rsidRPr="00A34F10">
              <w:rPr>
                <w:b/>
                <w:bCs/>
                <w:sz w:val="20"/>
                <w:szCs w:val="20"/>
                <w:vertAlign w:val="subscript"/>
              </w:rPr>
              <w:t>i</w:t>
            </w:r>
            <w:r w:rsidRPr="00A34F10">
              <w:rPr>
                <w:b/>
                <w:bCs/>
                <w:sz w:val="20"/>
                <w:szCs w:val="20"/>
              </w:rPr>
              <w:t>)/LD</w:t>
            </w:r>
            <w:r w:rsidRPr="00A34F10">
              <w:rPr>
                <w:b/>
                <w:bCs/>
                <w:sz w:val="20"/>
                <w:szCs w:val="20"/>
                <w:vertAlign w:val="subscript"/>
              </w:rPr>
              <w:t>50</w:t>
            </w:r>
            <w:r w:rsidRPr="00A34F10">
              <w:rPr>
                <w:b/>
                <w:bCs/>
                <w:sz w:val="20"/>
                <w:szCs w:val="20"/>
              </w:rPr>
              <w:t xml:space="preserve"> (a.s.</w:t>
            </w:r>
            <w:r w:rsidRPr="00A34F10">
              <w:rPr>
                <w:b/>
                <w:bCs/>
                <w:sz w:val="20"/>
                <w:szCs w:val="20"/>
                <w:vertAlign w:val="subscript"/>
              </w:rPr>
              <w:t>i</w:t>
            </w:r>
            <w:r w:rsidRPr="00A34F10">
              <w:rPr>
                <w:b/>
                <w:bCs/>
                <w:sz w:val="20"/>
                <w:szCs w:val="20"/>
              </w:rPr>
              <w:t>)]</w:t>
            </w:r>
          </w:p>
        </w:tc>
        <w:tc>
          <w:tcPr>
            <w:tcW w:w="836" w:type="pct"/>
          </w:tcPr>
          <w:p w14:paraId="282555BE"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LD</w:t>
            </w:r>
            <w:r w:rsidRPr="00A34F10">
              <w:rPr>
                <w:b/>
                <w:bCs/>
                <w:sz w:val="20"/>
                <w:szCs w:val="20"/>
                <w:vertAlign w:val="subscript"/>
              </w:rPr>
              <w:t>50</w:t>
            </w:r>
            <w:r w:rsidRPr="00A34F10">
              <w:rPr>
                <w:b/>
                <w:bCs/>
                <w:sz w:val="20"/>
                <w:szCs w:val="20"/>
              </w:rPr>
              <w:t xml:space="preserve"> (mix)</w:t>
            </w:r>
            <w:r w:rsidRPr="00A34F10">
              <w:rPr>
                <w:b/>
                <w:bCs/>
                <w:sz w:val="20"/>
                <w:szCs w:val="20"/>
              </w:rPr>
              <w:br/>
              <w:t>[Σ mg a.s.</w:t>
            </w:r>
            <w:r w:rsidRPr="00A34F10">
              <w:rPr>
                <w:b/>
                <w:bCs/>
                <w:sz w:val="20"/>
                <w:szCs w:val="20"/>
                <w:vertAlign w:val="subscript"/>
              </w:rPr>
              <w:t>i</w:t>
            </w:r>
            <w:r w:rsidRPr="00A34F10">
              <w:rPr>
                <w:b/>
                <w:bCs/>
                <w:sz w:val="20"/>
                <w:szCs w:val="20"/>
              </w:rPr>
              <w:t>/kg bw]</w:t>
            </w:r>
          </w:p>
        </w:tc>
      </w:tr>
      <w:tr w:rsidR="00DC5685" w:rsidRPr="00A34F10" w14:paraId="52CAAFE4" w14:textId="77777777" w:rsidTr="0043197F">
        <w:tc>
          <w:tcPr>
            <w:tcW w:w="928" w:type="pct"/>
          </w:tcPr>
          <w:p w14:paraId="1AACDFA0"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Ametoctradin</w:t>
            </w:r>
          </w:p>
        </w:tc>
        <w:tc>
          <w:tcPr>
            <w:tcW w:w="1041" w:type="pct"/>
          </w:tcPr>
          <w:p w14:paraId="750BB7B7"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137</w:t>
            </w:r>
          </w:p>
        </w:tc>
        <w:tc>
          <w:tcPr>
            <w:tcW w:w="680" w:type="pct"/>
          </w:tcPr>
          <w:p w14:paraId="5D93E954"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0.21</w:t>
            </w:r>
          </w:p>
        </w:tc>
        <w:tc>
          <w:tcPr>
            <w:tcW w:w="794" w:type="pct"/>
            <w:tcBorders>
              <w:top w:val="single" w:sz="6" w:space="0" w:color="auto"/>
              <w:bottom w:val="single" w:sz="6" w:space="0" w:color="auto"/>
            </w:tcBorders>
          </w:tcPr>
          <w:p w14:paraId="0E6B337B"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3776</w:t>
            </w:r>
          </w:p>
        </w:tc>
        <w:tc>
          <w:tcPr>
            <w:tcW w:w="721" w:type="pct"/>
            <w:vMerge w:val="restart"/>
            <w:tcBorders>
              <w:top w:val="single" w:sz="6" w:space="0" w:color="auto"/>
              <w:bottom w:val="single" w:sz="6" w:space="0" w:color="auto"/>
            </w:tcBorders>
          </w:tcPr>
          <w:p w14:paraId="41A2A1BE" w14:textId="77777777" w:rsidR="00DC5685" w:rsidRPr="00A34F10" w:rsidRDefault="00DC5685" w:rsidP="000470C3">
            <w:pPr>
              <w:jc w:val="center"/>
              <w:rPr>
                <w:sz w:val="20"/>
                <w:szCs w:val="20"/>
              </w:rPr>
            </w:pPr>
            <w:bookmarkStart w:id="180" w:name="_Hlk132054134"/>
            <w:r w:rsidRPr="00A34F10">
              <w:rPr>
                <w:sz w:val="20"/>
                <w:szCs w:val="20"/>
                <w:lang w:val="de-DE"/>
              </w:rPr>
              <w:t xml:space="preserve">&lt; </w:t>
            </w:r>
            <w:bookmarkEnd w:id="180"/>
            <w:r w:rsidRPr="00A34F10">
              <w:rPr>
                <w:sz w:val="20"/>
                <w:szCs w:val="20"/>
                <w:lang w:val="de-DE"/>
              </w:rPr>
              <w:t>2.8E-04</w:t>
            </w:r>
          </w:p>
        </w:tc>
        <w:tc>
          <w:tcPr>
            <w:tcW w:w="836" w:type="pct"/>
            <w:vMerge w:val="restart"/>
            <w:tcBorders>
              <w:top w:val="single" w:sz="6" w:space="0" w:color="auto"/>
              <w:bottom w:val="single" w:sz="6" w:space="0" w:color="auto"/>
            </w:tcBorders>
          </w:tcPr>
          <w:p w14:paraId="1723C85F"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3536.4</w:t>
            </w:r>
          </w:p>
        </w:tc>
      </w:tr>
      <w:tr w:rsidR="00DC5685" w:rsidRPr="00A34F10" w14:paraId="120B066A" w14:textId="77777777" w:rsidTr="0043197F">
        <w:tc>
          <w:tcPr>
            <w:tcW w:w="928" w:type="pct"/>
          </w:tcPr>
          <w:p w14:paraId="44CA8D54"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Propamocarb-HCl</w:t>
            </w:r>
          </w:p>
        </w:tc>
        <w:tc>
          <w:tcPr>
            <w:tcW w:w="1041" w:type="pct"/>
          </w:tcPr>
          <w:p w14:paraId="299C9EA4"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515 </w:t>
            </w:r>
            <w:r w:rsidRPr="00A34F10">
              <w:rPr>
                <w:sz w:val="20"/>
                <w:szCs w:val="20"/>
                <w:vertAlign w:val="superscript"/>
              </w:rPr>
              <w:t>1)</w:t>
            </w:r>
          </w:p>
        </w:tc>
        <w:tc>
          <w:tcPr>
            <w:tcW w:w="680" w:type="pct"/>
          </w:tcPr>
          <w:p w14:paraId="787ECC39"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0.79</w:t>
            </w:r>
          </w:p>
        </w:tc>
        <w:tc>
          <w:tcPr>
            <w:tcW w:w="794" w:type="pct"/>
            <w:tcBorders>
              <w:top w:val="single" w:sz="6" w:space="0" w:color="auto"/>
              <w:bottom w:val="single" w:sz="6" w:space="0" w:color="auto"/>
            </w:tcBorders>
          </w:tcPr>
          <w:p w14:paraId="336D8DF6"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3477.7 </w:t>
            </w:r>
            <w:r w:rsidRPr="00A34F10">
              <w:rPr>
                <w:sz w:val="20"/>
                <w:szCs w:val="20"/>
                <w:vertAlign w:val="superscript"/>
              </w:rPr>
              <w:t>1)</w:t>
            </w:r>
          </w:p>
        </w:tc>
        <w:tc>
          <w:tcPr>
            <w:tcW w:w="721" w:type="pct"/>
            <w:vMerge/>
            <w:tcBorders>
              <w:top w:val="single" w:sz="6" w:space="0" w:color="auto"/>
              <w:bottom w:val="single" w:sz="6" w:space="0" w:color="auto"/>
            </w:tcBorders>
            <w:hideMark/>
          </w:tcPr>
          <w:p w14:paraId="0CEBD589" w14:textId="77777777" w:rsidR="00DC5685" w:rsidRPr="00A34F10" w:rsidRDefault="00DC5685" w:rsidP="000470C3">
            <w:pPr>
              <w:keepNext/>
              <w:spacing w:before="40" w:after="40"/>
              <w:ind w:left="17" w:right="17"/>
              <w:rPr>
                <w:sz w:val="20"/>
                <w:szCs w:val="20"/>
              </w:rPr>
            </w:pPr>
          </w:p>
        </w:tc>
        <w:tc>
          <w:tcPr>
            <w:tcW w:w="836" w:type="pct"/>
            <w:vMerge/>
            <w:tcBorders>
              <w:top w:val="single" w:sz="6" w:space="0" w:color="auto"/>
              <w:bottom w:val="single" w:sz="6" w:space="0" w:color="auto"/>
            </w:tcBorders>
            <w:hideMark/>
          </w:tcPr>
          <w:p w14:paraId="4E6BA0F7" w14:textId="77777777" w:rsidR="00DC5685" w:rsidRPr="00A34F10" w:rsidRDefault="00DC5685" w:rsidP="000470C3">
            <w:pPr>
              <w:keepNext/>
              <w:spacing w:before="40" w:after="40"/>
              <w:ind w:left="17" w:right="17"/>
              <w:rPr>
                <w:sz w:val="20"/>
                <w:szCs w:val="20"/>
              </w:rPr>
            </w:pPr>
          </w:p>
        </w:tc>
      </w:tr>
    </w:tbl>
    <w:p w14:paraId="4C01CC73" w14:textId="77777777" w:rsidR="00DC5685" w:rsidRPr="00A34F10" w:rsidRDefault="00DC5685" w:rsidP="00DC5685">
      <w:pPr>
        <w:ind w:left="284" w:hanging="284"/>
        <w:rPr>
          <w:sz w:val="18"/>
          <w:szCs w:val="18"/>
        </w:rPr>
      </w:pPr>
      <w:r w:rsidRPr="00A34F10">
        <w:rPr>
          <w:sz w:val="18"/>
          <w:vertAlign w:val="superscript"/>
        </w:rPr>
        <w:t>1)</w:t>
      </w:r>
      <w:r w:rsidRPr="00A34F10">
        <w:rPr>
          <w:sz w:val="18"/>
        </w:rPr>
        <w:tab/>
      </w:r>
      <w:r w:rsidRPr="00A34F10">
        <w:rPr>
          <w:sz w:val="18"/>
          <w:szCs w:val="18"/>
        </w:rPr>
        <w:t>Expressed</w:t>
      </w:r>
      <w:r w:rsidRPr="00A34F10">
        <w:rPr>
          <w:sz w:val="18"/>
          <w:szCs w:val="18"/>
          <w:lang w:val="en-GB"/>
        </w:rPr>
        <w:t xml:space="preserve"> as </w:t>
      </w:r>
      <w:bookmarkStart w:id="181" w:name="_Hlk132055681"/>
      <w:r w:rsidRPr="00A34F10">
        <w:rPr>
          <w:sz w:val="18"/>
          <w:szCs w:val="18"/>
          <w:lang w:val="en-GB"/>
        </w:rPr>
        <w:t>Propamocarb-Hydrochloride</w:t>
      </w:r>
      <w:bookmarkEnd w:id="181"/>
    </w:p>
    <w:p w14:paraId="7C0D3D9A" w14:textId="48807149" w:rsidR="00DC5685" w:rsidRPr="00A34F10" w:rsidRDefault="00DC5685" w:rsidP="00DC5685">
      <w:pPr>
        <w:jc w:val="both"/>
        <w:rPr>
          <w:sz w:val="20"/>
          <w:lang w:val="en-GB"/>
        </w:rPr>
      </w:pPr>
    </w:p>
    <w:p w14:paraId="0286CFDF" w14:textId="77777777" w:rsidR="00721DB9" w:rsidRPr="00A34F10" w:rsidRDefault="00721DB9" w:rsidP="00DC5685">
      <w:pPr>
        <w:jc w:val="both"/>
        <w:rPr>
          <w:sz w:val="20"/>
          <w:lang w:val="en-GB"/>
        </w:rPr>
      </w:pPr>
    </w:p>
    <w:p w14:paraId="23013761" w14:textId="5092A7D6" w:rsidR="00DC5685" w:rsidRPr="00A34F10" w:rsidRDefault="00721DB9" w:rsidP="00BB63B3">
      <w:pPr>
        <w:pStyle w:val="Legenda"/>
      </w:pPr>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5</w:t>
      </w:r>
      <w:r w:rsidR="007E7467">
        <w:fldChar w:fldCharType="end"/>
      </w:r>
      <w:r w:rsidR="00DC5685" w:rsidRPr="00A34F10">
        <w:tab/>
        <w:t>Estimation of NOEL for the mixture assuming dose additivity</w:t>
      </w:r>
    </w:p>
    <w:tbl>
      <w:tblPr>
        <w:tblStyle w:val="Table-StandardGAB1"/>
        <w:tblW w:w="5000" w:type="pct"/>
        <w:tblLook w:val="04A0" w:firstRow="1" w:lastRow="0" w:firstColumn="1" w:lastColumn="0" w:noHBand="0" w:noVBand="1"/>
      </w:tblPr>
      <w:tblGrid>
        <w:gridCol w:w="1734"/>
        <w:gridCol w:w="1945"/>
        <w:gridCol w:w="1270"/>
        <w:gridCol w:w="1483"/>
        <w:gridCol w:w="1347"/>
        <w:gridCol w:w="1562"/>
      </w:tblGrid>
      <w:tr w:rsidR="00DC5685" w:rsidRPr="00A34F10" w14:paraId="32B18DB8" w14:textId="77777777" w:rsidTr="0043197F">
        <w:trPr>
          <w:cnfStyle w:val="100000000000" w:firstRow="1" w:lastRow="0" w:firstColumn="0" w:lastColumn="0" w:oddVBand="0" w:evenVBand="0" w:oddHBand="0" w:evenHBand="0" w:firstRowFirstColumn="0" w:firstRowLastColumn="0" w:lastRowFirstColumn="0" w:lastRowLastColumn="0"/>
        </w:trPr>
        <w:tc>
          <w:tcPr>
            <w:tcW w:w="928" w:type="pct"/>
            <w:hideMark/>
          </w:tcPr>
          <w:p w14:paraId="00B65697"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Active substance</w:t>
            </w:r>
          </w:p>
        </w:tc>
        <w:tc>
          <w:tcPr>
            <w:tcW w:w="1041" w:type="pct"/>
          </w:tcPr>
          <w:p w14:paraId="6E2483DE" w14:textId="65267919"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 xml:space="preserve">Concentration of each active substance in </w:t>
            </w:r>
            <w:r w:rsidR="009050FC" w:rsidRPr="009050FC">
              <w:rPr>
                <w:b/>
                <w:bCs/>
                <w:strike/>
                <w:sz w:val="20"/>
                <w:szCs w:val="20"/>
                <w:highlight w:val="green"/>
              </w:rPr>
              <w:t>formulation</w:t>
            </w:r>
            <w:r w:rsidR="009050FC" w:rsidRPr="009050FC">
              <w:rPr>
                <w:b/>
                <w:bCs/>
                <w:sz w:val="20"/>
                <w:szCs w:val="20"/>
                <w:highlight w:val="green"/>
              </w:rPr>
              <w:t xml:space="preserve"> BAS 743 02 F</w:t>
            </w:r>
            <w:r w:rsidRPr="00A34F10">
              <w:rPr>
                <w:b/>
                <w:bCs/>
                <w:sz w:val="20"/>
                <w:szCs w:val="20"/>
              </w:rPr>
              <w:t xml:space="preserve"> </w:t>
            </w:r>
          </w:p>
          <w:p w14:paraId="09E3D184"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[g a.s.</w:t>
            </w:r>
            <w:r w:rsidRPr="00A34F10">
              <w:rPr>
                <w:b/>
                <w:bCs/>
                <w:sz w:val="20"/>
                <w:szCs w:val="20"/>
                <w:vertAlign w:val="subscript"/>
              </w:rPr>
              <w:t>i</w:t>
            </w:r>
            <w:r w:rsidRPr="00A34F10">
              <w:rPr>
                <w:b/>
                <w:bCs/>
                <w:sz w:val="20"/>
                <w:szCs w:val="20"/>
              </w:rPr>
              <w:t>/L]</w:t>
            </w:r>
          </w:p>
        </w:tc>
        <w:tc>
          <w:tcPr>
            <w:tcW w:w="680" w:type="pct"/>
          </w:tcPr>
          <w:p w14:paraId="03E96955"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X (a.s.</w:t>
            </w:r>
            <w:r w:rsidRPr="00A34F10">
              <w:rPr>
                <w:b/>
                <w:bCs/>
                <w:sz w:val="20"/>
                <w:szCs w:val="20"/>
                <w:vertAlign w:val="subscript"/>
              </w:rPr>
              <w:t>i</w:t>
            </w:r>
            <w:r w:rsidRPr="00A34F10">
              <w:rPr>
                <w:b/>
                <w:bCs/>
                <w:sz w:val="20"/>
                <w:szCs w:val="20"/>
              </w:rPr>
              <w:t>) in the mixture</w:t>
            </w:r>
          </w:p>
        </w:tc>
        <w:tc>
          <w:tcPr>
            <w:tcW w:w="794" w:type="pct"/>
          </w:tcPr>
          <w:p w14:paraId="2C7A9415"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NOEL</w:t>
            </w:r>
            <w:r w:rsidRPr="00A34F10">
              <w:rPr>
                <w:b/>
                <w:bCs/>
                <w:sz w:val="20"/>
                <w:szCs w:val="20"/>
              </w:rPr>
              <w:br/>
              <w:t>[mg a.s.</w:t>
            </w:r>
            <w:r w:rsidRPr="00A34F10">
              <w:rPr>
                <w:b/>
                <w:bCs/>
                <w:sz w:val="20"/>
                <w:szCs w:val="20"/>
                <w:vertAlign w:val="subscript"/>
              </w:rPr>
              <w:t>i</w:t>
            </w:r>
            <w:r w:rsidRPr="00A34F10">
              <w:rPr>
                <w:b/>
                <w:bCs/>
                <w:sz w:val="20"/>
                <w:szCs w:val="20"/>
              </w:rPr>
              <w:t>/kg bw]</w:t>
            </w:r>
          </w:p>
        </w:tc>
        <w:tc>
          <w:tcPr>
            <w:tcW w:w="721" w:type="pct"/>
          </w:tcPr>
          <w:p w14:paraId="258FF82F" w14:textId="69835A2A" w:rsidR="00DC5685" w:rsidRPr="00A34F10" w:rsidRDefault="00DC5685" w:rsidP="009050FC">
            <w:pPr>
              <w:keepNext/>
              <w:autoSpaceDE w:val="0"/>
              <w:autoSpaceDN w:val="0"/>
              <w:spacing w:before="40" w:after="40"/>
              <w:ind w:left="17" w:right="17"/>
              <w:jc w:val="center"/>
              <w:rPr>
                <w:b/>
                <w:bCs/>
                <w:sz w:val="20"/>
                <w:szCs w:val="20"/>
              </w:rPr>
            </w:pPr>
            <w:r w:rsidRPr="00A34F10">
              <w:rPr>
                <w:b/>
                <w:bCs/>
                <w:sz w:val="20"/>
                <w:szCs w:val="20"/>
              </w:rPr>
              <w:t>Σ [X (a.s.</w:t>
            </w:r>
            <w:r w:rsidRPr="00A34F10">
              <w:rPr>
                <w:b/>
                <w:bCs/>
                <w:sz w:val="20"/>
                <w:szCs w:val="20"/>
                <w:vertAlign w:val="subscript"/>
              </w:rPr>
              <w:t>i</w:t>
            </w:r>
            <w:r w:rsidRPr="00A34F10">
              <w:rPr>
                <w:b/>
                <w:bCs/>
                <w:sz w:val="20"/>
                <w:szCs w:val="20"/>
              </w:rPr>
              <w:t>)/NOEL (a.s.</w:t>
            </w:r>
            <w:r w:rsidRPr="00A34F10">
              <w:rPr>
                <w:b/>
                <w:bCs/>
                <w:sz w:val="20"/>
                <w:szCs w:val="20"/>
                <w:vertAlign w:val="subscript"/>
              </w:rPr>
              <w:t>i</w:t>
            </w:r>
            <w:r w:rsidRPr="00A34F10">
              <w:rPr>
                <w:b/>
                <w:bCs/>
                <w:sz w:val="20"/>
                <w:szCs w:val="20"/>
              </w:rPr>
              <w:t>)]</w:t>
            </w:r>
          </w:p>
        </w:tc>
        <w:tc>
          <w:tcPr>
            <w:tcW w:w="836" w:type="pct"/>
          </w:tcPr>
          <w:p w14:paraId="1F30EAEF"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NOEL (mix)</w:t>
            </w:r>
            <w:r w:rsidRPr="00A34F10">
              <w:rPr>
                <w:b/>
                <w:bCs/>
                <w:sz w:val="20"/>
                <w:szCs w:val="20"/>
              </w:rPr>
              <w:br/>
              <w:t>[Σ mg a.s.</w:t>
            </w:r>
            <w:r w:rsidRPr="00A34F10">
              <w:rPr>
                <w:b/>
                <w:bCs/>
                <w:sz w:val="20"/>
                <w:szCs w:val="20"/>
                <w:vertAlign w:val="subscript"/>
              </w:rPr>
              <w:t>i</w:t>
            </w:r>
            <w:r w:rsidRPr="00A34F10">
              <w:rPr>
                <w:b/>
                <w:bCs/>
                <w:sz w:val="20"/>
                <w:szCs w:val="20"/>
              </w:rPr>
              <w:t>/kg bw]</w:t>
            </w:r>
          </w:p>
        </w:tc>
      </w:tr>
      <w:tr w:rsidR="00DC5685" w:rsidRPr="00A34F10" w14:paraId="4D81D41C" w14:textId="77777777" w:rsidTr="0043197F">
        <w:tc>
          <w:tcPr>
            <w:tcW w:w="928" w:type="pct"/>
          </w:tcPr>
          <w:p w14:paraId="60969CD7"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Ametoctradin</w:t>
            </w:r>
          </w:p>
        </w:tc>
        <w:tc>
          <w:tcPr>
            <w:tcW w:w="1041" w:type="pct"/>
          </w:tcPr>
          <w:p w14:paraId="0D0BCB83"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137</w:t>
            </w:r>
          </w:p>
        </w:tc>
        <w:tc>
          <w:tcPr>
            <w:tcW w:w="680" w:type="pct"/>
          </w:tcPr>
          <w:p w14:paraId="188B072E"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0.21</w:t>
            </w:r>
          </w:p>
        </w:tc>
        <w:tc>
          <w:tcPr>
            <w:tcW w:w="794" w:type="pct"/>
            <w:tcBorders>
              <w:top w:val="single" w:sz="6" w:space="0" w:color="auto"/>
              <w:bottom w:val="single" w:sz="6" w:space="0" w:color="auto"/>
            </w:tcBorders>
          </w:tcPr>
          <w:p w14:paraId="289F3818" w14:textId="77777777" w:rsidR="00DC5685" w:rsidRPr="00A34F10" w:rsidRDefault="00DC5685" w:rsidP="000470C3">
            <w:pPr>
              <w:keepNext/>
              <w:tabs>
                <w:tab w:val="left" w:pos="720"/>
              </w:tabs>
              <w:spacing w:before="40" w:after="40"/>
              <w:ind w:left="17" w:right="17"/>
              <w:jc w:val="center"/>
              <w:rPr>
                <w:sz w:val="20"/>
                <w:szCs w:val="20"/>
              </w:rPr>
            </w:pPr>
            <w:r w:rsidRPr="00A34F10">
              <w:rPr>
                <w:bCs/>
                <w:sz w:val="20"/>
                <w:szCs w:val="20"/>
              </w:rPr>
              <w:t>115.2</w:t>
            </w:r>
          </w:p>
        </w:tc>
        <w:tc>
          <w:tcPr>
            <w:tcW w:w="721" w:type="pct"/>
            <w:vMerge w:val="restart"/>
            <w:tcBorders>
              <w:top w:val="single" w:sz="6" w:space="0" w:color="auto"/>
              <w:bottom w:val="single" w:sz="6" w:space="0" w:color="auto"/>
            </w:tcBorders>
          </w:tcPr>
          <w:p w14:paraId="7F37B606" w14:textId="77777777" w:rsidR="00DC5685" w:rsidRPr="00A34F10" w:rsidRDefault="00DC5685" w:rsidP="000470C3">
            <w:pPr>
              <w:jc w:val="center"/>
              <w:rPr>
                <w:sz w:val="20"/>
                <w:szCs w:val="20"/>
              </w:rPr>
            </w:pPr>
            <w:r w:rsidRPr="00A34F10">
              <w:rPr>
                <w:sz w:val="20"/>
                <w:szCs w:val="20"/>
                <w:lang w:val="de-DE"/>
              </w:rPr>
              <w:t>9.35E-03</w:t>
            </w:r>
          </w:p>
        </w:tc>
        <w:tc>
          <w:tcPr>
            <w:tcW w:w="836" w:type="pct"/>
            <w:vMerge w:val="restart"/>
            <w:tcBorders>
              <w:top w:val="single" w:sz="6" w:space="0" w:color="auto"/>
              <w:bottom w:val="single" w:sz="6" w:space="0" w:color="auto"/>
            </w:tcBorders>
          </w:tcPr>
          <w:p w14:paraId="174F050F"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107</w:t>
            </w:r>
          </w:p>
        </w:tc>
      </w:tr>
      <w:tr w:rsidR="00DC5685" w:rsidRPr="00A34F10" w14:paraId="01C54A3E" w14:textId="77777777" w:rsidTr="0043197F">
        <w:tc>
          <w:tcPr>
            <w:tcW w:w="928" w:type="pct"/>
          </w:tcPr>
          <w:p w14:paraId="08B310D7"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Propamocarb-HCl</w:t>
            </w:r>
          </w:p>
        </w:tc>
        <w:tc>
          <w:tcPr>
            <w:tcW w:w="1041" w:type="pct"/>
          </w:tcPr>
          <w:p w14:paraId="5899B357"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515 </w:t>
            </w:r>
            <w:r w:rsidRPr="00A34F10">
              <w:rPr>
                <w:sz w:val="20"/>
                <w:szCs w:val="20"/>
                <w:vertAlign w:val="superscript"/>
              </w:rPr>
              <w:t>1)</w:t>
            </w:r>
          </w:p>
        </w:tc>
        <w:tc>
          <w:tcPr>
            <w:tcW w:w="680" w:type="pct"/>
          </w:tcPr>
          <w:p w14:paraId="1B81E307"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0.79</w:t>
            </w:r>
          </w:p>
        </w:tc>
        <w:tc>
          <w:tcPr>
            <w:tcW w:w="794" w:type="pct"/>
            <w:tcBorders>
              <w:top w:val="single" w:sz="6" w:space="0" w:color="auto"/>
              <w:bottom w:val="single" w:sz="6" w:space="0" w:color="auto"/>
            </w:tcBorders>
          </w:tcPr>
          <w:p w14:paraId="60EF55E3"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105 </w:t>
            </w:r>
            <w:r w:rsidRPr="00A34F10">
              <w:rPr>
                <w:sz w:val="20"/>
                <w:szCs w:val="20"/>
                <w:vertAlign w:val="superscript"/>
              </w:rPr>
              <w:t>1)</w:t>
            </w:r>
          </w:p>
        </w:tc>
        <w:tc>
          <w:tcPr>
            <w:tcW w:w="721" w:type="pct"/>
            <w:vMerge/>
            <w:tcBorders>
              <w:top w:val="single" w:sz="6" w:space="0" w:color="auto"/>
              <w:bottom w:val="single" w:sz="6" w:space="0" w:color="auto"/>
            </w:tcBorders>
          </w:tcPr>
          <w:p w14:paraId="58BED734" w14:textId="77777777" w:rsidR="00DC5685" w:rsidRPr="00A34F10" w:rsidRDefault="00DC5685" w:rsidP="000470C3">
            <w:pPr>
              <w:keepNext/>
              <w:spacing w:before="40" w:after="40"/>
              <w:ind w:left="17" w:right="17"/>
              <w:rPr>
                <w:sz w:val="20"/>
                <w:szCs w:val="20"/>
              </w:rPr>
            </w:pPr>
          </w:p>
        </w:tc>
        <w:tc>
          <w:tcPr>
            <w:tcW w:w="836" w:type="pct"/>
            <w:vMerge/>
            <w:tcBorders>
              <w:top w:val="single" w:sz="6" w:space="0" w:color="auto"/>
              <w:bottom w:val="single" w:sz="6" w:space="0" w:color="auto"/>
            </w:tcBorders>
          </w:tcPr>
          <w:p w14:paraId="2C52DBC1" w14:textId="77777777" w:rsidR="00DC5685" w:rsidRPr="00A34F10" w:rsidRDefault="00DC5685" w:rsidP="000470C3">
            <w:pPr>
              <w:keepNext/>
              <w:spacing w:before="40" w:after="40"/>
              <w:ind w:left="17" w:right="17"/>
              <w:rPr>
                <w:sz w:val="20"/>
                <w:szCs w:val="20"/>
              </w:rPr>
            </w:pPr>
          </w:p>
        </w:tc>
      </w:tr>
    </w:tbl>
    <w:p w14:paraId="08BDD8CF" w14:textId="77777777" w:rsidR="00DC5685" w:rsidRPr="00A34F10" w:rsidRDefault="00DC5685" w:rsidP="00DC5685">
      <w:pPr>
        <w:ind w:left="284" w:hanging="284"/>
        <w:rPr>
          <w:sz w:val="18"/>
          <w:szCs w:val="18"/>
          <w:lang w:val="en-GB"/>
        </w:rPr>
      </w:pPr>
      <w:r w:rsidRPr="00A34F10">
        <w:rPr>
          <w:sz w:val="18"/>
          <w:vertAlign w:val="superscript"/>
        </w:rPr>
        <w:t>1)</w:t>
      </w:r>
      <w:r w:rsidRPr="00A34F10">
        <w:rPr>
          <w:sz w:val="18"/>
        </w:rPr>
        <w:tab/>
      </w:r>
      <w:r w:rsidRPr="00A34F10">
        <w:rPr>
          <w:sz w:val="18"/>
          <w:szCs w:val="18"/>
        </w:rPr>
        <w:t>Expressed</w:t>
      </w:r>
      <w:r w:rsidRPr="00A34F10">
        <w:rPr>
          <w:sz w:val="18"/>
          <w:szCs w:val="18"/>
          <w:lang w:val="en-GB"/>
        </w:rPr>
        <w:t xml:space="preserve"> as Propamocarb-Hydrochloride</w:t>
      </w:r>
    </w:p>
    <w:p w14:paraId="76333E16" w14:textId="08E14308" w:rsidR="00DC5685" w:rsidRPr="00A34F10" w:rsidRDefault="00DC5685" w:rsidP="00DC5685">
      <w:pPr>
        <w:ind w:left="284" w:hanging="284"/>
        <w:rPr>
          <w:sz w:val="18"/>
          <w:szCs w:val="18"/>
        </w:rPr>
      </w:pPr>
    </w:p>
    <w:p w14:paraId="44D5330B" w14:textId="77777777" w:rsidR="00721DB9" w:rsidRPr="00A34F10" w:rsidRDefault="00721DB9" w:rsidP="00DC5685">
      <w:pPr>
        <w:ind w:left="284" w:hanging="284"/>
        <w:rPr>
          <w:sz w:val="18"/>
          <w:szCs w:val="18"/>
        </w:rPr>
      </w:pPr>
    </w:p>
    <w:p w14:paraId="26E1CE5E" w14:textId="77777777" w:rsidR="00DC5685" w:rsidRPr="00A34F10" w:rsidRDefault="00DC5685" w:rsidP="00DC5685">
      <w:pPr>
        <w:autoSpaceDE w:val="0"/>
        <w:autoSpaceDN w:val="0"/>
        <w:adjustRightInd w:val="0"/>
        <w:jc w:val="both"/>
      </w:pPr>
      <w:r w:rsidRPr="00A34F10">
        <w:t>Measured LD</w:t>
      </w:r>
      <w:r w:rsidRPr="00A34F10">
        <w:rPr>
          <w:vertAlign w:val="subscript"/>
        </w:rPr>
        <w:t>50</w:t>
      </w:r>
      <w:r w:rsidRPr="00A34F10">
        <w:t xml:space="preserve"> values, if available, should only be replaced in the risk assessment by modelled data if a significant change of the predicted risk is to be expected. To achieve a basis for a comparison of single active substance and mixture toxicity in terms of potential risk, a “tox per fraction” quotient can be calculated for each active substance and compared to the corresponding quotient for the mixture:</w:t>
      </w:r>
    </w:p>
    <w:p w14:paraId="3FB6A492" w14:textId="77777777" w:rsidR="00DC5685" w:rsidRPr="00A34F10" w:rsidRDefault="00DC5685" w:rsidP="00DC5685">
      <w:pPr>
        <w:autoSpaceDE w:val="0"/>
        <w:autoSpaceDN w:val="0"/>
        <w:adjustRightInd w:val="0"/>
        <w:jc w:val="both"/>
        <w:rPr>
          <w:sz w:val="20"/>
          <w:szCs w:val="20"/>
        </w:rPr>
      </w:pPr>
    </w:p>
    <w:p w14:paraId="5CD44643" w14:textId="77777777" w:rsidR="00DC5685" w:rsidRPr="00A34F10" w:rsidRDefault="00DC5685" w:rsidP="00DC5685">
      <w:pPr>
        <w:spacing w:after="120"/>
        <w:rPr>
          <w:sz w:val="20"/>
          <w:highlight w:val="red"/>
          <w:lang w:val="en-GB"/>
        </w:rPr>
      </w:pPr>
      <w:r w:rsidRPr="00A34F10">
        <w:rPr>
          <w:position w:val="-26"/>
          <w:szCs w:val="24"/>
          <w:lang w:val="en-GB"/>
        </w:rPr>
        <w:object w:dxaOrig="2960" w:dyaOrig="600" w14:anchorId="1639C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28pt" o:ole="">
            <v:imagedata r:id="rId27" o:title=""/>
          </v:shape>
          <o:OLEObject Type="Embed" ProgID="Equation.3" ShapeID="_x0000_i1025" DrawAspect="Content" ObjectID="_1792489415" r:id="rId28"/>
        </w:object>
      </w:r>
      <w:r w:rsidRPr="00A34F10">
        <w:rPr>
          <w:szCs w:val="24"/>
          <w:lang w:val="en-GB"/>
        </w:rPr>
        <w:t xml:space="preserve"> </w:t>
      </w:r>
    </w:p>
    <w:p w14:paraId="56984E48" w14:textId="5F95DDC7" w:rsidR="00721DB9" w:rsidRPr="00A34F10" w:rsidRDefault="00DC5685" w:rsidP="00DC5685">
      <w:pPr>
        <w:tabs>
          <w:tab w:val="left" w:pos="1786"/>
        </w:tabs>
        <w:spacing w:after="120"/>
        <w:ind w:left="1786" w:hanging="1786"/>
        <w:rPr>
          <w:szCs w:val="24"/>
          <w:lang w:val="en-GB"/>
        </w:rPr>
      </w:pPr>
      <w:r w:rsidRPr="00A34F10">
        <w:rPr>
          <w:position w:val="-60"/>
          <w:szCs w:val="24"/>
          <w:lang w:val="en-GB"/>
        </w:rPr>
        <w:object w:dxaOrig="3040" w:dyaOrig="940" w14:anchorId="417DD43C">
          <v:shape id="_x0000_i1026" type="#_x0000_t75" style="width:152pt;height:50pt" o:ole="">
            <v:imagedata r:id="rId29" o:title=""/>
          </v:shape>
          <o:OLEObject Type="Embed" ProgID="Equation.3" ShapeID="_x0000_i1026" DrawAspect="Content" ObjectID="_1792489416" r:id="rId30"/>
        </w:object>
      </w:r>
      <w:r w:rsidRPr="00A34F10">
        <w:rPr>
          <w:szCs w:val="24"/>
          <w:lang w:val="en-GB"/>
        </w:rPr>
        <w:t xml:space="preserve"> </w:t>
      </w:r>
    </w:p>
    <w:p w14:paraId="2B611C27" w14:textId="77777777" w:rsidR="004B4D5B" w:rsidRDefault="004B4D5B" w:rsidP="00B3068D">
      <w:pPr>
        <w:pStyle w:val="Legenda"/>
        <w:ind w:left="1276" w:hanging="1276"/>
      </w:pPr>
    </w:p>
    <w:p w14:paraId="2C00071C" w14:textId="6C58F2A2" w:rsidR="00DC5685" w:rsidRPr="00A34F10" w:rsidRDefault="00721DB9" w:rsidP="00B3068D">
      <w:pPr>
        <w:pStyle w:val="Legenda"/>
        <w:ind w:left="1276" w:hanging="1276"/>
      </w:pPr>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6</w:t>
      </w:r>
      <w:r w:rsidR="007E7467">
        <w:fldChar w:fldCharType="end"/>
      </w:r>
      <w:r w:rsidR="00DC5685" w:rsidRPr="00A34F10">
        <w:tab/>
        <w:t>Comparison of “tox per fraction (a.s.</w:t>
      </w:r>
      <w:r w:rsidR="00DC5685" w:rsidRPr="00A34F10">
        <w:rPr>
          <w:iCs/>
          <w:vertAlign w:val="subscript"/>
        </w:rPr>
        <w:t>i</w:t>
      </w:r>
      <w:r w:rsidR="00DC5685" w:rsidRPr="00A34F10">
        <w:t>)” and “tox per fraction (mix)” for acute toxicity</w:t>
      </w:r>
    </w:p>
    <w:tbl>
      <w:tblPr>
        <w:tblStyle w:val="Table-StandardGAB1"/>
        <w:tblW w:w="5000" w:type="pct"/>
        <w:tblLook w:val="04A0" w:firstRow="1" w:lastRow="0" w:firstColumn="1" w:lastColumn="0" w:noHBand="0" w:noVBand="1"/>
      </w:tblPr>
      <w:tblGrid>
        <w:gridCol w:w="1968"/>
        <w:gridCol w:w="1681"/>
        <w:gridCol w:w="1915"/>
        <w:gridCol w:w="1879"/>
        <w:gridCol w:w="1898"/>
      </w:tblGrid>
      <w:tr w:rsidR="00DC5685" w:rsidRPr="00A34F10" w14:paraId="76D969A5" w14:textId="77777777" w:rsidTr="000470C3">
        <w:trPr>
          <w:cnfStyle w:val="100000000000" w:firstRow="1" w:lastRow="0" w:firstColumn="0" w:lastColumn="0" w:oddVBand="0" w:evenVBand="0" w:oddHBand="0" w:evenHBand="0" w:firstRowFirstColumn="0" w:firstRowLastColumn="0" w:lastRowFirstColumn="0" w:lastRowLastColumn="0"/>
        </w:trPr>
        <w:tc>
          <w:tcPr>
            <w:tcW w:w="1053" w:type="pct"/>
            <w:hideMark/>
          </w:tcPr>
          <w:p w14:paraId="181D86AE"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Active substance</w:t>
            </w:r>
          </w:p>
        </w:tc>
        <w:tc>
          <w:tcPr>
            <w:tcW w:w="900" w:type="pct"/>
            <w:hideMark/>
          </w:tcPr>
          <w:p w14:paraId="3FC47BF4"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LD</w:t>
            </w:r>
            <w:r w:rsidRPr="00A34F10">
              <w:rPr>
                <w:b/>
                <w:sz w:val="20"/>
                <w:szCs w:val="20"/>
                <w:vertAlign w:val="subscript"/>
              </w:rPr>
              <w:t xml:space="preserve">50 </w:t>
            </w:r>
            <w:r w:rsidRPr="00A34F10">
              <w:rPr>
                <w:b/>
                <w:sz w:val="20"/>
                <w:szCs w:val="20"/>
              </w:rPr>
              <w:t>(a.s.</w:t>
            </w:r>
            <w:r w:rsidRPr="00A34F10">
              <w:rPr>
                <w:b/>
                <w:sz w:val="20"/>
                <w:szCs w:val="20"/>
                <w:vertAlign w:val="subscript"/>
              </w:rPr>
              <w:t>i</w:t>
            </w:r>
            <w:r w:rsidRPr="00A34F10">
              <w:rPr>
                <w:b/>
                <w:sz w:val="20"/>
                <w:szCs w:val="20"/>
              </w:rPr>
              <w:t>)</w:t>
            </w:r>
            <w:r w:rsidRPr="00A34F10">
              <w:rPr>
                <w:b/>
                <w:sz w:val="20"/>
                <w:szCs w:val="20"/>
              </w:rPr>
              <w:br/>
              <w:t>[mg a.s./kg bw]</w:t>
            </w:r>
          </w:p>
        </w:tc>
        <w:tc>
          <w:tcPr>
            <w:tcW w:w="1025" w:type="pct"/>
            <w:hideMark/>
          </w:tcPr>
          <w:p w14:paraId="6FD42910"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X (a.s.</w:t>
            </w:r>
            <w:r w:rsidRPr="00A34F10">
              <w:rPr>
                <w:b/>
                <w:sz w:val="20"/>
                <w:szCs w:val="20"/>
                <w:vertAlign w:val="subscript"/>
              </w:rPr>
              <w:t>i</w:t>
            </w:r>
            <w:r w:rsidRPr="00A34F10">
              <w:rPr>
                <w:b/>
                <w:sz w:val="20"/>
                <w:szCs w:val="20"/>
              </w:rPr>
              <w:t>) in the mixture</w:t>
            </w:r>
          </w:p>
        </w:tc>
        <w:tc>
          <w:tcPr>
            <w:tcW w:w="1006" w:type="pct"/>
            <w:hideMark/>
          </w:tcPr>
          <w:p w14:paraId="39383A75" w14:textId="77777777" w:rsidR="00DC5685" w:rsidRPr="00A34F10" w:rsidRDefault="00DC5685" w:rsidP="000470C3">
            <w:pPr>
              <w:keepNext/>
              <w:keepLines/>
              <w:autoSpaceDE w:val="0"/>
              <w:autoSpaceDN w:val="0"/>
              <w:spacing w:before="40" w:after="40"/>
              <w:ind w:left="17" w:right="17"/>
              <w:jc w:val="center"/>
              <w:rPr>
                <w:b/>
                <w:bCs/>
                <w:sz w:val="20"/>
                <w:szCs w:val="20"/>
              </w:rPr>
            </w:pPr>
            <w:r w:rsidRPr="00A34F10">
              <w:rPr>
                <w:b/>
                <w:bCs/>
                <w:sz w:val="20"/>
                <w:szCs w:val="20"/>
              </w:rPr>
              <w:t>Tox per fraction:</w:t>
            </w:r>
          </w:p>
          <w:p w14:paraId="3D2766DB"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bCs/>
                <w:sz w:val="20"/>
                <w:szCs w:val="20"/>
              </w:rPr>
              <w:t>[LD</w:t>
            </w:r>
            <w:r w:rsidRPr="00A34F10">
              <w:rPr>
                <w:b/>
                <w:bCs/>
                <w:sz w:val="20"/>
                <w:szCs w:val="20"/>
                <w:vertAlign w:val="subscript"/>
              </w:rPr>
              <w:t>50</w:t>
            </w:r>
            <w:r w:rsidRPr="00A34F10">
              <w:rPr>
                <w:b/>
                <w:bCs/>
                <w:sz w:val="20"/>
                <w:szCs w:val="20"/>
              </w:rPr>
              <w:t xml:space="preserve"> (a.s.</w:t>
            </w:r>
            <w:r w:rsidRPr="00A34F10">
              <w:rPr>
                <w:b/>
                <w:bCs/>
                <w:sz w:val="20"/>
                <w:szCs w:val="20"/>
                <w:vertAlign w:val="subscript"/>
              </w:rPr>
              <w:t>i</w:t>
            </w:r>
            <w:r w:rsidRPr="00A34F10">
              <w:rPr>
                <w:b/>
                <w:bCs/>
                <w:sz w:val="20"/>
                <w:szCs w:val="20"/>
              </w:rPr>
              <w:t>)/X (a.s.</w:t>
            </w:r>
            <w:r w:rsidRPr="00A34F10">
              <w:rPr>
                <w:b/>
                <w:bCs/>
                <w:sz w:val="20"/>
                <w:szCs w:val="20"/>
                <w:vertAlign w:val="subscript"/>
              </w:rPr>
              <w:t>i</w:t>
            </w:r>
            <w:r w:rsidRPr="00A34F10">
              <w:rPr>
                <w:b/>
                <w:bCs/>
                <w:sz w:val="20"/>
                <w:szCs w:val="20"/>
              </w:rPr>
              <w:t>)]</w:t>
            </w:r>
          </w:p>
        </w:tc>
        <w:tc>
          <w:tcPr>
            <w:tcW w:w="1016" w:type="pct"/>
            <w:hideMark/>
          </w:tcPr>
          <w:p w14:paraId="2BA1BCEC" w14:textId="77777777" w:rsidR="00DC5685" w:rsidRPr="00A34F10" w:rsidRDefault="00DC5685" w:rsidP="000470C3">
            <w:pPr>
              <w:keepNext/>
              <w:keepLines/>
              <w:tabs>
                <w:tab w:val="left" w:pos="720"/>
              </w:tabs>
              <w:spacing w:before="40" w:after="40"/>
              <w:ind w:left="17" w:right="17"/>
              <w:jc w:val="center"/>
              <w:rPr>
                <w:b/>
                <w:sz w:val="20"/>
                <w:szCs w:val="20"/>
                <w:vertAlign w:val="superscript"/>
              </w:rPr>
            </w:pPr>
            <w:r w:rsidRPr="00A34F10">
              <w:rPr>
                <w:b/>
                <w:bCs/>
                <w:sz w:val="20"/>
                <w:szCs w:val="20"/>
              </w:rPr>
              <w:t>Contribution to overall toxicity</w:t>
            </w:r>
            <w:r w:rsidRPr="00A34F10">
              <w:rPr>
                <w:b/>
                <w:sz w:val="20"/>
                <w:szCs w:val="20"/>
              </w:rPr>
              <w:t xml:space="preserve"> </w:t>
            </w:r>
            <w:r w:rsidRPr="00A34F10">
              <w:rPr>
                <w:b/>
                <w:sz w:val="20"/>
                <w:szCs w:val="20"/>
              </w:rPr>
              <w:br/>
              <w:t>[%]</w:t>
            </w:r>
            <w:r w:rsidRPr="00A34F10">
              <w:rPr>
                <w:b/>
                <w:sz w:val="20"/>
                <w:szCs w:val="20"/>
                <w:vertAlign w:val="superscript"/>
              </w:rPr>
              <w:t xml:space="preserve"> 1)</w:t>
            </w:r>
          </w:p>
        </w:tc>
      </w:tr>
      <w:tr w:rsidR="00DC5685" w:rsidRPr="00A34F10" w14:paraId="274E7C08" w14:textId="77777777" w:rsidTr="000470C3">
        <w:tc>
          <w:tcPr>
            <w:tcW w:w="1053" w:type="pct"/>
            <w:hideMark/>
          </w:tcPr>
          <w:p w14:paraId="0DB6DCD3" w14:textId="77777777" w:rsidR="00DC5685" w:rsidRPr="00A34F10" w:rsidRDefault="00DC5685" w:rsidP="000470C3">
            <w:pPr>
              <w:keepNext/>
              <w:keepLines/>
              <w:spacing w:before="40" w:after="40"/>
              <w:ind w:left="17" w:right="17"/>
              <w:rPr>
                <w:sz w:val="20"/>
                <w:szCs w:val="20"/>
              </w:rPr>
            </w:pPr>
            <w:r w:rsidRPr="00A34F10">
              <w:rPr>
                <w:sz w:val="20"/>
                <w:szCs w:val="20"/>
              </w:rPr>
              <w:t>LD</w:t>
            </w:r>
            <w:r w:rsidRPr="00A34F10">
              <w:rPr>
                <w:sz w:val="20"/>
                <w:szCs w:val="20"/>
                <w:vertAlign w:val="subscript"/>
              </w:rPr>
              <w:t>50</w:t>
            </w:r>
            <w:r w:rsidRPr="00A34F10">
              <w:rPr>
                <w:sz w:val="20"/>
                <w:szCs w:val="20"/>
              </w:rPr>
              <w:t xml:space="preserve"> (mix)</w:t>
            </w:r>
          </w:p>
        </w:tc>
        <w:tc>
          <w:tcPr>
            <w:tcW w:w="900" w:type="pct"/>
            <w:hideMark/>
          </w:tcPr>
          <w:p w14:paraId="3B42441F"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3776</w:t>
            </w:r>
          </w:p>
        </w:tc>
        <w:tc>
          <w:tcPr>
            <w:tcW w:w="1025" w:type="pct"/>
            <w:hideMark/>
          </w:tcPr>
          <w:p w14:paraId="783C3F50"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1.0</w:t>
            </w:r>
          </w:p>
        </w:tc>
        <w:tc>
          <w:tcPr>
            <w:tcW w:w="1006" w:type="pct"/>
          </w:tcPr>
          <w:p w14:paraId="3A55C90A"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3776</w:t>
            </w:r>
          </w:p>
        </w:tc>
        <w:tc>
          <w:tcPr>
            <w:tcW w:w="1016" w:type="pct"/>
            <w:hideMark/>
          </w:tcPr>
          <w:p w14:paraId="080E4A8B"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 xml:space="preserve">- </w:t>
            </w:r>
          </w:p>
        </w:tc>
      </w:tr>
      <w:tr w:rsidR="00DC5685" w:rsidRPr="00A34F10" w14:paraId="117B96CA" w14:textId="77777777" w:rsidTr="000470C3">
        <w:tc>
          <w:tcPr>
            <w:tcW w:w="1053" w:type="pct"/>
          </w:tcPr>
          <w:p w14:paraId="08F907F7" w14:textId="77777777" w:rsidR="00DC5685" w:rsidRPr="00A34F10" w:rsidRDefault="00DC5685" w:rsidP="000470C3">
            <w:pPr>
              <w:keepNext/>
              <w:keepLines/>
              <w:tabs>
                <w:tab w:val="left" w:pos="720"/>
              </w:tabs>
              <w:spacing w:before="40" w:after="40"/>
              <w:rPr>
                <w:sz w:val="20"/>
                <w:szCs w:val="20"/>
              </w:rPr>
            </w:pPr>
            <w:r w:rsidRPr="00A34F10">
              <w:rPr>
                <w:sz w:val="20"/>
                <w:szCs w:val="20"/>
              </w:rPr>
              <w:t>Ametoctradin</w:t>
            </w:r>
          </w:p>
        </w:tc>
        <w:tc>
          <w:tcPr>
            <w:tcW w:w="900" w:type="pct"/>
            <w:tcBorders>
              <w:top w:val="single" w:sz="6" w:space="0" w:color="auto"/>
              <w:bottom w:val="single" w:sz="6" w:space="0" w:color="auto"/>
            </w:tcBorders>
          </w:tcPr>
          <w:p w14:paraId="54B34607"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3776</w:t>
            </w:r>
          </w:p>
        </w:tc>
        <w:tc>
          <w:tcPr>
            <w:tcW w:w="1025" w:type="pct"/>
          </w:tcPr>
          <w:p w14:paraId="7C925654"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0.21</w:t>
            </w:r>
          </w:p>
        </w:tc>
        <w:tc>
          <w:tcPr>
            <w:tcW w:w="1006" w:type="pct"/>
            <w:tcBorders>
              <w:top w:val="single" w:sz="6" w:space="0" w:color="auto"/>
              <w:left w:val="nil"/>
              <w:bottom w:val="single" w:sz="6" w:space="0" w:color="auto"/>
              <w:right w:val="nil"/>
            </w:tcBorders>
          </w:tcPr>
          <w:p w14:paraId="1506C1EA"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17981</w:t>
            </w:r>
          </w:p>
        </w:tc>
        <w:tc>
          <w:tcPr>
            <w:tcW w:w="1016" w:type="pct"/>
            <w:tcBorders>
              <w:top w:val="single" w:sz="6" w:space="0" w:color="auto"/>
              <w:bottom w:val="single" w:sz="6" w:space="0" w:color="auto"/>
            </w:tcBorders>
          </w:tcPr>
          <w:p w14:paraId="3F49E8FA"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19.7</w:t>
            </w:r>
          </w:p>
        </w:tc>
      </w:tr>
      <w:tr w:rsidR="00DC5685" w:rsidRPr="00A34F10" w14:paraId="43B47CE3" w14:textId="77777777" w:rsidTr="000470C3">
        <w:tc>
          <w:tcPr>
            <w:tcW w:w="1053" w:type="pct"/>
          </w:tcPr>
          <w:p w14:paraId="4D54804D" w14:textId="77777777" w:rsidR="00DC5685" w:rsidRPr="00A34F10" w:rsidRDefault="00DC5685" w:rsidP="000470C3">
            <w:pPr>
              <w:keepNext/>
              <w:keepLines/>
              <w:tabs>
                <w:tab w:val="left" w:pos="720"/>
              </w:tabs>
              <w:spacing w:before="40" w:after="40"/>
              <w:rPr>
                <w:sz w:val="20"/>
                <w:szCs w:val="20"/>
              </w:rPr>
            </w:pPr>
            <w:r w:rsidRPr="00A34F10">
              <w:rPr>
                <w:sz w:val="20"/>
                <w:szCs w:val="20"/>
              </w:rPr>
              <w:t>Propamocarb-HCl</w:t>
            </w:r>
          </w:p>
        </w:tc>
        <w:tc>
          <w:tcPr>
            <w:tcW w:w="900" w:type="pct"/>
            <w:tcBorders>
              <w:top w:val="single" w:sz="6" w:space="0" w:color="auto"/>
              <w:bottom w:val="single" w:sz="6" w:space="0" w:color="auto"/>
            </w:tcBorders>
          </w:tcPr>
          <w:p w14:paraId="3DCAD74D"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3477.7</w:t>
            </w:r>
          </w:p>
        </w:tc>
        <w:tc>
          <w:tcPr>
            <w:tcW w:w="1025" w:type="pct"/>
          </w:tcPr>
          <w:p w14:paraId="29B269D5"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 xml:space="preserve">0.79 </w:t>
            </w:r>
          </w:p>
        </w:tc>
        <w:tc>
          <w:tcPr>
            <w:tcW w:w="1006" w:type="pct"/>
            <w:tcBorders>
              <w:top w:val="single" w:sz="6" w:space="0" w:color="auto"/>
              <w:left w:val="nil"/>
              <w:bottom w:val="single" w:sz="6" w:space="0" w:color="auto"/>
              <w:right w:val="nil"/>
            </w:tcBorders>
          </w:tcPr>
          <w:p w14:paraId="3C92E772"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4402.2</w:t>
            </w:r>
          </w:p>
        </w:tc>
        <w:tc>
          <w:tcPr>
            <w:tcW w:w="1016" w:type="pct"/>
            <w:tcBorders>
              <w:top w:val="single" w:sz="6" w:space="0" w:color="auto"/>
              <w:bottom w:val="single" w:sz="6" w:space="0" w:color="auto"/>
            </w:tcBorders>
          </w:tcPr>
          <w:p w14:paraId="6AC5DCCC"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80.3</w:t>
            </w:r>
          </w:p>
        </w:tc>
      </w:tr>
    </w:tbl>
    <w:p w14:paraId="7E27F730" w14:textId="77777777" w:rsidR="00DC5685" w:rsidRPr="00A34F10" w:rsidRDefault="00DC5685" w:rsidP="00DC5685">
      <w:pPr>
        <w:keepNext/>
        <w:keepLines/>
        <w:ind w:left="284" w:hanging="284"/>
        <w:rPr>
          <w:sz w:val="18"/>
        </w:rPr>
      </w:pPr>
      <w:r w:rsidRPr="00A34F10">
        <w:rPr>
          <w:sz w:val="18"/>
          <w:vertAlign w:val="superscript"/>
        </w:rPr>
        <w:t>1)</w:t>
      </w:r>
      <w:r w:rsidRPr="00A34F10">
        <w:rPr>
          <w:sz w:val="18"/>
        </w:rPr>
        <w:tab/>
      </w:r>
      <w:r w:rsidRPr="00A34F10">
        <w:rPr>
          <w:sz w:val="18"/>
          <w:szCs w:val="18"/>
          <w:lang w:val="en-GB"/>
        </w:rPr>
        <w:t>Deviation [%] = 100-[(tox per fraction (a.s.</w:t>
      </w:r>
      <w:r w:rsidRPr="00A34F10">
        <w:rPr>
          <w:i/>
          <w:sz w:val="18"/>
          <w:szCs w:val="18"/>
          <w:vertAlign w:val="subscript"/>
          <w:lang w:val="en-GB"/>
        </w:rPr>
        <w:t>i</w:t>
      </w:r>
      <w:r w:rsidRPr="00A34F10">
        <w:rPr>
          <w:sz w:val="18"/>
          <w:szCs w:val="18"/>
          <w:lang w:val="en-GB"/>
        </w:rPr>
        <w:t>) - tox per fraction (mix)]/tox per fraction (a.s.</w:t>
      </w:r>
      <w:r w:rsidRPr="00A34F10">
        <w:rPr>
          <w:i/>
          <w:sz w:val="18"/>
          <w:szCs w:val="18"/>
          <w:vertAlign w:val="subscript"/>
          <w:lang w:val="en-GB"/>
        </w:rPr>
        <w:t>i</w:t>
      </w:r>
      <w:r w:rsidRPr="00A34F10">
        <w:rPr>
          <w:sz w:val="18"/>
          <w:szCs w:val="18"/>
          <w:lang w:val="en-GB"/>
        </w:rPr>
        <w:t>) × 100</w:t>
      </w:r>
    </w:p>
    <w:p w14:paraId="5E42EDC3" w14:textId="6BBF88B7" w:rsidR="00DC5685" w:rsidRPr="00A34F10" w:rsidRDefault="00DC5685" w:rsidP="00DC5685">
      <w:pPr>
        <w:keepNext/>
        <w:keepLines/>
        <w:jc w:val="both"/>
        <w:rPr>
          <w:lang w:val="en-GB"/>
        </w:rPr>
      </w:pPr>
    </w:p>
    <w:p w14:paraId="2DECBD3B" w14:textId="77777777" w:rsidR="00721DB9" w:rsidRPr="00A34F10" w:rsidRDefault="00721DB9" w:rsidP="00DC5685">
      <w:pPr>
        <w:keepNext/>
        <w:keepLines/>
        <w:jc w:val="both"/>
        <w:rPr>
          <w:lang w:val="en-GB"/>
        </w:rPr>
      </w:pPr>
    </w:p>
    <w:p w14:paraId="570FFF5F" w14:textId="77777777" w:rsidR="004B4D5B" w:rsidRDefault="004B4D5B">
      <w:pPr>
        <w:rPr>
          <w:b/>
          <w:bCs/>
          <w:color w:val="000000" w:themeColor="text1"/>
          <w:lang w:val="en-GB"/>
        </w:rPr>
      </w:pPr>
      <w:r>
        <w:br w:type="page"/>
      </w:r>
    </w:p>
    <w:p w14:paraId="48A83F76" w14:textId="4781BBD7" w:rsidR="00DC5685" w:rsidRPr="00A34F10" w:rsidRDefault="00721DB9" w:rsidP="00B3068D">
      <w:pPr>
        <w:pStyle w:val="Legenda"/>
        <w:ind w:left="1134" w:hanging="1134"/>
      </w:pPr>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7</w:t>
      </w:r>
      <w:r w:rsidR="007E7467">
        <w:fldChar w:fldCharType="end"/>
      </w:r>
      <w:r w:rsidR="00DC5685" w:rsidRPr="00A34F10">
        <w:tab/>
        <w:t>Comparison of “tox per fraction (a.s.</w:t>
      </w:r>
      <w:r w:rsidR="00DC5685" w:rsidRPr="00A34F10">
        <w:rPr>
          <w:i/>
          <w:vertAlign w:val="subscript"/>
        </w:rPr>
        <w:t>i</w:t>
      </w:r>
      <w:r w:rsidR="00DC5685" w:rsidRPr="00A34F10">
        <w:t>)” and “tox per fraction (mix)” for long-term/reproductive toxicity</w:t>
      </w:r>
    </w:p>
    <w:tbl>
      <w:tblPr>
        <w:tblStyle w:val="Table-StandardGAB1"/>
        <w:tblW w:w="5000" w:type="pct"/>
        <w:tblLook w:val="04A0" w:firstRow="1" w:lastRow="0" w:firstColumn="1" w:lastColumn="0" w:noHBand="0" w:noVBand="1"/>
      </w:tblPr>
      <w:tblGrid>
        <w:gridCol w:w="1968"/>
        <w:gridCol w:w="1681"/>
        <w:gridCol w:w="1915"/>
        <w:gridCol w:w="1879"/>
        <w:gridCol w:w="1898"/>
      </w:tblGrid>
      <w:tr w:rsidR="00DC5685" w:rsidRPr="00A34F10" w14:paraId="59019FBF" w14:textId="77777777" w:rsidTr="000470C3">
        <w:trPr>
          <w:cnfStyle w:val="100000000000" w:firstRow="1" w:lastRow="0" w:firstColumn="0" w:lastColumn="0" w:oddVBand="0" w:evenVBand="0" w:oddHBand="0" w:evenHBand="0" w:firstRowFirstColumn="0" w:firstRowLastColumn="0" w:lastRowFirstColumn="0" w:lastRowLastColumn="0"/>
        </w:trPr>
        <w:tc>
          <w:tcPr>
            <w:tcW w:w="1053" w:type="pct"/>
            <w:hideMark/>
          </w:tcPr>
          <w:p w14:paraId="799761BD"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Active substance</w:t>
            </w:r>
          </w:p>
        </w:tc>
        <w:tc>
          <w:tcPr>
            <w:tcW w:w="900" w:type="pct"/>
            <w:hideMark/>
          </w:tcPr>
          <w:p w14:paraId="3F8D81A0"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NOEL</w:t>
            </w:r>
            <w:r w:rsidRPr="00A34F10">
              <w:rPr>
                <w:b/>
                <w:sz w:val="20"/>
                <w:szCs w:val="20"/>
                <w:vertAlign w:val="subscript"/>
              </w:rPr>
              <w:t xml:space="preserve"> </w:t>
            </w:r>
            <w:r w:rsidRPr="00A34F10">
              <w:rPr>
                <w:b/>
                <w:sz w:val="20"/>
                <w:szCs w:val="20"/>
              </w:rPr>
              <w:t>(a.s.</w:t>
            </w:r>
            <w:r w:rsidRPr="00A34F10">
              <w:rPr>
                <w:b/>
                <w:sz w:val="20"/>
                <w:szCs w:val="20"/>
                <w:vertAlign w:val="subscript"/>
              </w:rPr>
              <w:t>i</w:t>
            </w:r>
            <w:r w:rsidRPr="00A34F10">
              <w:rPr>
                <w:b/>
                <w:sz w:val="20"/>
                <w:szCs w:val="20"/>
              </w:rPr>
              <w:t>)</w:t>
            </w:r>
            <w:r w:rsidRPr="00A34F10">
              <w:rPr>
                <w:b/>
                <w:sz w:val="20"/>
                <w:szCs w:val="20"/>
              </w:rPr>
              <w:br/>
              <w:t>[mg a.s./kg bw]</w:t>
            </w:r>
          </w:p>
        </w:tc>
        <w:tc>
          <w:tcPr>
            <w:tcW w:w="1025" w:type="pct"/>
            <w:hideMark/>
          </w:tcPr>
          <w:p w14:paraId="32B2BB9B"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X (a.s.</w:t>
            </w:r>
            <w:r w:rsidRPr="00A34F10">
              <w:rPr>
                <w:b/>
                <w:sz w:val="20"/>
                <w:szCs w:val="20"/>
                <w:vertAlign w:val="subscript"/>
              </w:rPr>
              <w:t>i</w:t>
            </w:r>
            <w:r w:rsidRPr="00A34F10">
              <w:rPr>
                <w:b/>
                <w:sz w:val="20"/>
                <w:szCs w:val="20"/>
              </w:rPr>
              <w:t>) in the mixture</w:t>
            </w:r>
          </w:p>
        </w:tc>
        <w:tc>
          <w:tcPr>
            <w:tcW w:w="1006" w:type="pct"/>
            <w:hideMark/>
          </w:tcPr>
          <w:p w14:paraId="0DD3F30B"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Tox per fraction:</w:t>
            </w:r>
          </w:p>
          <w:p w14:paraId="171F9649" w14:textId="77777777" w:rsidR="00DC5685" w:rsidRPr="00A34F10" w:rsidRDefault="00DC5685" w:rsidP="000470C3">
            <w:pPr>
              <w:keepNext/>
              <w:tabs>
                <w:tab w:val="left" w:pos="720"/>
              </w:tabs>
              <w:spacing w:before="40" w:after="40"/>
              <w:ind w:left="17" w:right="17"/>
              <w:jc w:val="center"/>
              <w:rPr>
                <w:b/>
                <w:sz w:val="20"/>
                <w:szCs w:val="20"/>
              </w:rPr>
            </w:pPr>
            <w:r w:rsidRPr="00A34F10">
              <w:rPr>
                <w:b/>
                <w:bCs/>
                <w:sz w:val="20"/>
                <w:szCs w:val="20"/>
              </w:rPr>
              <w:t>[NOEL (a.s.</w:t>
            </w:r>
            <w:r w:rsidRPr="00A34F10">
              <w:rPr>
                <w:b/>
                <w:bCs/>
                <w:sz w:val="20"/>
                <w:szCs w:val="20"/>
                <w:vertAlign w:val="subscript"/>
              </w:rPr>
              <w:t>i</w:t>
            </w:r>
            <w:r w:rsidRPr="00A34F10">
              <w:rPr>
                <w:b/>
                <w:bCs/>
                <w:sz w:val="20"/>
                <w:szCs w:val="20"/>
              </w:rPr>
              <w:t>)/X (a.s.</w:t>
            </w:r>
            <w:r w:rsidRPr="00A34F10">
              <w:rPr>
                <w:b/>
                <w:bCs/>
                <w:sz w:val="20"/>
                <w:szCs w:val="20"/>
                <w:vertAlign w:val="subscript"/>
              </w:rPr>
              <w:t>i</w:t>
            </w:r>
            <w:r w:rsidRPr="00A34F10">
              <w:rPr>
                <w:b/>
                <w:bCs/>
                <w:sz w:val="20"/>
                <w:szCs w:val="20"/>
              </w:rPr>
              <w:t>)]</w:t>
            </w:r>
          </w:p>
        </w:tc>
        <w:tc>
          <w:tcPr>
            <w:tcW w:w="1016" w:type="pct"/>
            <w:hideMark/>
          </w:tcPr>
          <w:p w14:paraId="31D52538" w14:textId="77777777" w:rsidR="00DC5685" w:rsidRPr="00A34F10" w:rsidRDefault="00DC5685" w:rsidP="000470C3">
            <w:pPr>
              <w:keepNext/>
              <w:tabs>
                <w:tab w:val="left" w:pos="720"/>
              </w:tabs>
              <w:spacing w:before="40" w:after="40"/>
              <w:ind w:left="17" w:right="17"/>
              <w:jc w:val="center"/>
              <w:rPr>
                <w:b/>
                <w:sz w:val="20"/>
                <w:szCs w:val="20"/>
                <w:vertAlign w:val="superscript"/>
              </w:rPr>
            </w:pPr>
            <w:r w:rsidRPr="00A34F10">
              <w:rPr>
                <w:b/>
                <w:bCs/>
                <w:sz w:val="20"/>
                <w:szCs w:val="20"/>
              </w:rPr>
              <w:t>Contribution to overall toxicity</w:t>
            </w:r>
            <w:r w:rsidRPr="00A34F10">
              <w:rPr>
                <w:b/>
                <w:sz w:val="20"/>
                <w:szCs w:val="20"/>
              </w:rPr>
              <w:t xml:space="preserve"> </w:t>
            </w:r>
            <w:r w:rsidRPr="00A34F10">
              <w:rPr>
                <w:b/>
                <w:sz w:val="20"/>
                <w:szCs w:val="20"/>
              </w:rPr>
              <w:br/>
              <w:t>[%]</w:t>
            </w:r>
            <w:r w:rsidRPr="00A34F10">
              <w:rPr>
                <w:b/>
                <w:sz w:val="20"/>
                <w:szCs w:val="20"/>
                <w:vertAlign w:val="superscript"/>
              </w:rPr>
              <w:t xml:space="preserve"> 1)</w:t>
            </w:r>
          </w:p>
        </w:tc>
      </w:tr>
      <w:tr w:rsidR="00DC5685" w:rsidRPr="00A34F10" w14:paraId="280BB405" w14:textId="77777777" w:rsidTr="000470C3">
        <w:tc>
          <w:tcPr>
            <w:tcW w:w="1053" w:type="pct"/>
            <w:hideMark/>
          </w:tcPr>
          <w:p w14:paraId="2E5A4A63" w14:textId="77777777" w:rsidR="00DC5685" w:rsidRPr="00A34F10" w:rsidRDefault="00DC5685" w:rsidP="000470C3">
            <w:pPr>
              <w:keepNext/>
              <w:spacing w:before="40" w:after="40"/>
              <w:ind w:left="17" w:right="17"/>
              <w:rPr>
                <w:sz w:val="20"/>
                <w:szCs w:val="20"/>
              </w:rPr>
            </w:pPr>
            <w:r w:rsidRPr="00A34F10">
              <w:rPr>
                <w:sz w:val="20"/>
                <w:szCs w:val="20"/>
              </w:rPr>
              <w:t>NOEL (mix)</w:t>
            </w:r>
          </w:p>
        </w:tc>
        <w:tc>
          <w:tcPr>
            <w:tcW w:w="900" w:type="pct"/>
            <w:hideMark/>
          </w:tcPr>
          <w:p w14:paraId="58E4964C"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107</w:t>
            </w:r>
          </w:p>
        </w:tc>
        <w:tc>
          <w:tcPr>
            <w:tcW w:w="1025" w:type="pct"/>
            <w:hideMark/>
          </w:tcPr>
          <w:p w14:paraId="5466D5BF"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1.0</w:t>
            </w:r>
          </w:p>
        </w:tc>
        <w:tc>
          <w:tcPr>
            <w:tcW w:w="1006" w:type="pct"/>
          </w:tcPr>
          <w:p w14:paraId="0822EF0F"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107</w:t>
            </w:r>
          </w:p>
        </w:tc>
        <w:tc>
          <w:tcPr>
            <w:tcW w:w="1016" w:type="pct"/>
            <w:hideMark/>
          </w:tcPr>
          <w:p w14:paraId="3F39D0CA"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 </w:t>
            </w:r>
          </w:p>
        </w:tc>
      </w:tr>
      <w:tr w:rsidR="00DC5685" w:rsidRPr="00A34F10" w14:paraId="4D227EB2" w14:textId="77777777" w:rsidTr="000470C3">
        <w:tc>
          <w:tcPr>
            <w:tcW w:w="1053" w:type="pct"/>
          </w:tcPr>
          <w:p w14:paraId="6405E71A" w14:textId="77777777" w:rsidR="00DC5685" w:rsidRPr="00A34F10" w:rsidRDefault="00DC5685" w:rsidP="000470C3">
            <w:pPr>
              <w:tabs>
                <w:tab w:val="left" w:pos="720"/>
              </w:tabs>
              <w:spacing w:before="40" w:after="40"/>
              <w:rPr>
                <w:sz w:val="20"/>
                <w:szCs w:val="20"/>
              </w:rPr>
            </w:pPr>
            <w:r w:rsidRPr="00A34F10">
              <w:rPr>
                <w:sz w:val="20"/>
                <w:szCs w:val="20"/>
              </w:rPr>
              <w:t>Ametoctradin</w:t>
            </w:r>
          </w:p>
        </w:tc>
        <w:tc>
          <w:tcPr>
            <w:tcW w:w="900" w:type="pct"/>
            <w:tcBorders>
              <w:top w:val="single" w:sz="6" w:space="0" w:color="auto"/>
              <w:bottom w:val="single" w:sz="6" w:space="0" w:color="auto"/>
            </w:tcBorders>
          </w:tcPr>
          <w:p w14:paraId="517FAEA1" w14:textId="77777777" w:rsidR="00DC5685" w:rsidRPr="00A34F10" w:rsidRDefault="00DC5685" w:rsidP="000470C3">
            <w:pPr>
              <w:keepNext/>
              <w:tabs>
                <w:tab w:val="left" w:pos="720"/>
              </w:tabs>
              <w:spacing w:before="40" w:after="40"/>
              <w:jc w:val="center"/>
              <w:rPr>
                <w:sz w:val="20"/>
                <w:szCs w:val="20"/>
              </w:rPr>
            </w:pPr>
            <w:r w:rsidRPr="00A34F10">
              <w:rPr>
                <w:bCs/>
                <w:sz w:val="20"/>
                <w:szCs w:val="20"/>
              </w:rPr>
              <w:t>115.2</w:t>
            </w:r>
          </w:p>
        </w:tc>
        <w:tc>
          <w:tcPr>
            <w:tcW w:w="1025" w:type="pct"/>
          </w:tcPr>
          <w:p w14:paraId="2A5B3CB1" w14:textId="77777777" w:rsidR="00DC5685" w:rsidRPr="00A34F10" w:rsidRDefault="00DC5685" w:rsidP="000470C3">
            <w:pPr>
              <w:keepNext/>
              <w:tabs>
                <w:tab w:val="left" w:pos="720"/>
              </w:tabs>
              <w:spacing w:before="40" w:after="40"/>
              <w:jc w:val="center"/>
              <w:rPr>
                <w:sz w:val="20"/>
                <w:szCs w:val="20"/>
              </w:rPr>
            </w:pPr>
            <w:r w:rsidRPr="00A34F10">
              <w:rPr>
                <w:sz w:val="20"/>
                <w:szCs w:val="20"/>
              </w:rPr>
              <w:t>0.21</w:t>
            </w:r>
          </w:p>
        </w:tc>
        <w:tc>
          <w:tcPr>
            <w:tcW w:w="1006" w:type="pct"/>
            <w:tcBorders>
              <w:top w:val="single" w:sz="6" w:space="0" w:color="auto"/>
              <w:left w:val="nil"/>
              <w:bottom w:val="single" w:sz="6" w:space="0" w:color="auto"/>
              <w:right w:val="nil"/>
            </w:tcBorders>
          </w:tcPr>
          <w:p w14:paraId="093422DA" w14:textId="77777777" w:rsidR="00DC5685" w:rsidRPr="00A34F10" w:rsidRDefault="00DC5685" w:rsidP="000470C3">
            <w:pPr>
              <w:keepNext/>
              <w:tabs>
                <w:tab w:val="left" w:pos="720"/>
              </w:tabs>
              <w:spacing w:before="40" w:after="40"/>
              <w:jc w:val="center"/>
              <w:rPr>
                <w:sz w:val="20"/>
                <w:szCs w:val="20"/>
              </w:rPr>
            </w:pPr>
            <w:r w:rsidRPr="00A34F10">
              <w:rPr>
                <w:sz w:val="20"/>
                <w:szCs w:val="20"/>
              </w:rPr>
              <w:t>548.6</w:t>
            </w:r>
          </w:p>
        </w:tc>
        <w:tc>
          <w:tcPr>
            <w:tcW w:w="1016" w:type="pct"/>
            <w:tcBorders>
              <w:top w:val="single" w:sz="6" w:space="0" w:color="auto"/>
              <w:bottom w:val="single" w:sz="6" w:space="0" w:color="auto"/>
            </w:tcBorders>
          </w:tcPr>
          <w:p w14:paraId="3029C2CA" w14:textId="77777777" w:rsidR="00DC5685" w:rsidRPr="00A34F10" w:rsidRDefault="00DC5685" w:rsidP="000470C3">
            <w:pPr>
              <w:keepNext/>
              <w:tabs>
                <w:tab w:val="left" w:pos="720"/>
              </w:tabs>
              <w:spacing w:before="40" w:after="40"/>
              <w:jc w:val="center"/>
              <w:rPr>
                <w:sz w:val="20"/>
                <w:szCs w:val="20"/>
              </w:rPr>
            </w:pPr>
            <w:r w:rsidRPr="00A34F10">
              <w:rPr>
                <w:sz w:val="20"/>
                <w:szCs w:val="20"/>
              </w:rPr>
              <w:t>19.5</w:t>
            </w:r>
          </w:p>
        </w:tc>
      </w:tr>
      <w:tr w:rsidR="00DC5685" w:rsidRPr="00A34F10" w14:paraId="249D9823" w14:textId="77777777" w:rsidTr="000470C3">
        <w:tc>
          <w:tcPr>
            <w:tcW w:w="1053" w:type="pct"/>
          </w:tcPr>
          <w:p w14:paraId="3F635F29" w14:textId="77777777" w:rsidR="00DC5685" w:rsidRPr="00A34F10" w:rsidRDefault="00DC5685" w:rsidP="000470C3">
            <w:pPr>
              <w:tabs>
                <w:tab w:val="left" w:pos="720"/>
              </w:tabs>
              <w:spacing w:before="40" w:after="40"/>
              <w:rPr>
                <w:sz w:val="20"/>
                <w:szCs w:val="20"/>
              </w:rPr>
            </w:pPr>
            <w:r w:rsidRPr="00A34F10">
              <w:rPr>
                <w:sz w:val="20"/>
                <w:szCs w:val="20"/>
              </w:rPr>
              <w:t>Propamocarb-HCl</w:t>
            </w:r>
          </w:p>
        </w:tc>
        <w:tc>
          <w:tcPr>
            <w:tcW w:w="900" w:type="pct"/>
            <w:tcBorders>
              <w:top w:val="single" w:sz="6" w:space="0" w:color="auto"/>
              <w:bottom w:val="single" w:sz="6" w:space="0" w:color="auto"/>
            </w:tcBorders>
          </w:tcPr>
          <w:p w14:paraId="62468255" w14:textId="77777777" w:rsidR="00DC5685" w:rsidRPr="00A34F10" w:rsidRDefault="00DC5685" w:rsidP="000470C3">
            <w:pPr>
              <w:keepNext/>
              <w:tabs>
                <w:tab w:val="left" w:pos="720"/>
              </w:tabs>
              <w:spacing w:before="40" w:after="40"/>
              <w:jc w:val="center"/>
              <w:rPr>
                <w:sz w:val="20"/>
                <w:szCs w:val="20"/>
              </w:rPr>
            </w:pPr>
            <w:r w:rsidRPr="00A34F10">
              <w:rPr>
                <w:sz w:val="20"/>
                <w:szCs w:val="20"/>
              </w:rPr>
              <w:t>105</w:t>
            </w:r>
          </w:p>
        </w:tc>
        <w:tc>
          <w:tcPr>
            <w:tcW w:w="1025" w:type="pct"/>
          </w:tcPr>
          <w:p w14:paraId="4602D9EF" w14:textId="77777777" w:rsidR="00DC5685" w:rsidRPr="00A34F10" w:rsidRDefault="00DC5685" w:rsidP="000470C3">
            <w:pPr>
              <w:keepNext/>
              <w:tabs>
                <w:tab w:val="left" w:pos="720"/>
              </w:tabs>
              <w:spacing w:before="40" w:after="40"/>
              <w:jc w:val="center"/>
              <w:rPr>
                <w:sz w:val="20"/>
                <w:szCs w:val="20"/>
              </w:rPr>
            </w:pPr>
            <w:r w:rsidRPr="00A34F10">
              <w:rPr>
                <w:sz w:val="20"/>
                <w:szCs w:val="20"/>
              </w:rPr>
              <w:t xml:space="preserve">0.79 </w:t>
            </w:r>
          </w:p>
        </w:tc>
        <w:tc>
          <w:tcPr>
            <w:tcW w:w="1006" w:type="pct"/>
            <w:tcBorders>
              <w:top w:val="single" w:sz="6" w:space="0" w:color="auto"/>
              <w:left w:val="nil"/>
              <w:bottom w:val="single" w:sz="6" w:space="0" w:color="auto"/>
              <w:right w:val="nil"/>
            </w:tcBorders>
          </w:tcPr>
          <w:p w14:paraId="766F849B" w14:textId="77777777" w:rsidR="00DC5685" w:rsidRPr="00A34F10" w:rsidRDefault="00DC5685" w:rsidP="000470C3">
            <w:pPr>
              <w:keepNext/>
              <w:tabs>
                <w:tab w:val="left" w:pos="720"/>
              </w:tabs>
              <w:spacing w:before="40" w:after="40"/>
              <w:jc w:val="center"/>
              <w:rPr>
                <w:sz w:val="20"/>
                <w:szCs w:val="20"/>
              </w:rPr>
            </w:pPr>
            <w:r w:rsidRPr="00A34F10">
              <w:rPr>
                <w:sz w:val="20"/>
                <w:szCs w:val="20"/>
              </w:rPr>
              <w:t>132.9</w:t>
            </w:r>
          </w:p>
        </w:tc>
        <w:tc>
          <w:tcPr>
            <w:tcW w:w="1016" w:type="pct"/>
            <w:tcBorders>
              <w:top w:val="single" w:sz="6" w:space="0" w:color="auto"/>
              <w:bottom w:val="single" w:sz="6" w:space="0" w:color="auto"/>
            </w:tcBorders>
          </w:tcPr>
          <w:p w14:paraId="2F3F25E5" w14:textId="77777777" w:rsidR="00DC5685" w:rsidRPr="00A34F10" w:rsidRDefault="00DC5685" w:rsidP="000470C3">
            <w:pPr>
              <w:keepNext/>
              <w:tabs>
                <w:tab w:val="left" w:pos="720"/>
              </w:tabs>
              <w:spacing w:before="40" w:after="40"/>
              <w:jc w:val="center"/>
              <w:rPr>
                <w:sz w:val="20"/>
                <w:szCs w:val="20"/>
              </w:rPr>
            </w:pPr>
            <w:r w:rsidRPr="00A34F10">
              <w:rPr>
                <w:sz w:val="20"/>
                <w:szCs w:val="20"/>
              </w:rPr>
              <w:t>80.5</w:t>
            </w:r>
          </w:p>
        </w:tc>
      </w:tr>
    </w:tbl>
    <w:p w14:paraId="4CE2374D" w14:textId="77777777" w:rsidR="00DC5685" w:rsidRPr="00A34F10" w:rsidRDefault="00DC5685" w:rsidP="00DC5685">
      <w:pPr>
        <w:ind w:left="284" w:hanging="284"/>
        <w:rPr>
          <w:sz w:val="18"/>
        </w:rPr>
      </w:pPr>
      <w:r w:rsidRPr="00A34F10">
        <w:rPr>
          <w:sz w:val="18"/>
          <w:vertAlign w:val="superscript"/>
        </w:rPr>
        <w:t>1)</w:t>
      </w:r>
      <w:r w:rsidRPr="00A34F10">
        <w:rPr>
          <w:sz w:val="18"/>
        </w:rPr>
        <w:tab/>
      </w:r>
      <w:r w:rsidRPr="00A34F10">
        <w:rPr>
          <w:sz w:val="18"/>
          <w:szCs w:val="18"/>
          <w:lang w:val="en-GB"/>
        </w:rPr>
        <w:t>Contribution to overall toxicity [%] = 100-[(tox per fraction (a.s.</w:t>
      </w:r>
      <w:r w:rsidRPr="00A34F10">
        <w:rPr>
          <w:i/>
          <w:sz w:val="18"/>
          <w:szCs w:val="18"/>
          <w:vertAlign w:val="subscript"/>
          <w:lang w:val="en-GB"/>
        </w:rPr>
        <w:t>i</w:t>
      </w:r>
      <w:r w:rsidRPr="00A34F10">
        <w:rPr>
          <w:sz w:val="18"/>
          <w:szCs w:val="18"/>
          <w:lang w:val="en-GB"/>
        </w:rPr>
        <w:t>) - tox per fraction (mix)]/tox per fraction (a.s.</w:t>
      </w:r>
      <w:r w:rsidRPr="00A34F10">
        <w:rPr>
          <w:i/>
          <w:sz w:val="18"/>
          <w:szCs w:val="18"/>
          <w:vertAlign w:val="subscript"/>
          <w:lang w:val="en-GB"/>
        </w:rPr>
        <w:t>i</w:t>
      </w:r>
      <w:r w:rsidRPr="00A34F10">
        <w:rPr>
          <w:sz w:val="18"/>
          <w:szCs w:val="18"/>
          <w:lang w:val="en-GB"/>
        </w:rPr>
        <w:t>) × 100</w:t>
      </w:r>
    </w:p>
    <w:p w14:paraId="1D7074D8" w14:textId="77777777" w:rsidR="00DC5685" w:rsidRPr="00A34F10" w:rsidRDefault="00DC5685" w:rsidP="00DC5685">
      <w:pPr>
        <w:ind w:left="284" w:hanging="284"/>
        <w:jc w:val="both"/>
        <w:rPr>
          <w:sz w:val="18"/>
          <w:szCs w:val="18"/>
          <w:lang w:val="en-GB"/>
        </w:rPr>
      </w:pPr>
    </w:p>
    <w:p w14:paraId="7E3F3D36" w14:textId="77777777" w:rsidR="00DC5685" w:rsidRPr="00A34F10" w:rsidRDefault="00DC5685" w:rsidP="00DC5685">
      <w:pPr>
        <w:jc w:val="both"/>
        <w:rPr>
          <w:lang w:val="en-GB"/>
        </w:rPr>
      </w:pPr>
    </w:p>
    <w:p w14:paraId="5B1C2A0A" w14:textId="77777777" w:rsidR="00DC5685" w:rsidRPr="00A34F10" w:rsidRDefault="00DC5685" w:rsidP="00DC5685">
      <w:pPr>
        <w:jc w:val="both"/>
        <w:rPr>
          <w:lang w:val="en-GB"/>
        </w:rPr>
      </w:pPr>
      <w:r w:rsidRPr="00A34F10">
        <w:t xml:space="preserve">None of the active substances </w:t>
      </w:r>
      <w:r w:rsidRPr="00A34F10">
        <w:rPr>
          <w:lang w:val="en-GB"/>
        </w:rPr>
        <w:t xml:space="preserve">contribute to </w:t>
      </w:r>
      <w:r w:rsidRPr="00A34F10">
        <w:t xml:space="preserve">≥ 90 </w:t>
      </w:r>
      <w:r w:rsidRPr="00A34F10">
        <w:rPr>
          <w:lang w:val="en-GB"/>
        </w:rPr>
        <w:t>% to the acute or long-term/reproductive toxicity of formulation</w:t>
      </w:r>
      <w:r w:rsidRPr="00A34F10">
        <w:rPr>
          <w:b/>
          <w:lang w:val="en-GB"/>
        </w:rPr>
        <w:t xml:space="preserve"> </w:t>
      </w:r>
      <w:r w:rsidRPr="00A34F10">
        <w:rPr>
          <w:bCs/>
          <w:lang w:val="en-GB"/>
        </w:rPr>
        <w:t>BAS 743 03 F</w:t>
      </w:r>
      <w:r w:rsidRPr="00A34F10">
        <w:rPr>
          <w:lang w:val="en-GB"/>
        </w:rPr>
        <w:t>.</w:t>
      </w:r>
      <w:r w:rsidRPr="00A34F10">
        <w:t xml:space="preserve"> </w:t>
      </w:r>
      <w:r w:rsidRPr="00A34F10">
        <w:rPr>
          <w:lang w:val="en-GB"/>
        </w:rPr>
        <w:t xml:space="preserve">Therefore, acute and long-term risk assessments for mammals are presented for both active substances and the formulated product. </w:t>
      </w:r>
    </w:p>
    <w:p w14:paraId="6285B159" w14:textId="77777777" w:rsidR="00DC5685" w:rsidRPr="00A34F10" w:rsidRDefault="00DC5685" w:rsidP="00DC5685">
      <w:pPr>
        <w:ind w:left="284" w:hanging="284"/>
        <w:rPr>
          <w:sz w:val="18"/>
          <w:szCs w:val="18"/>
        </w:rPr>
      </w:pPr>
    </w:p>
    <w:p w14:paraId="3DF19CDE" w14:textId="77777777" w:rsidR="00DC5685" w:rsidRPr="00A34F10" w:rsidRDefault="00DC5685" w:rsidP="00DC5685">
      <w:pPr>
        <w:keepNext/>
        <w:keepLines/>
        <w:jc w:val="both"/>
        <w:rPr>
          <w:lang w:val="en-GB"/>
        </w:rPr>
      </w:pPr>
      <w:r w:rsidRPr="00A34F10">
        <w:rPr>
          <w:lang w:val="en-GB"/>
        </w:rPr>
        <w:t>An acute endpoint from a study with the similar formulation BAS 743 02 F is available. Following Appendix B of the Guidance Document on Risk Assessment for Birds and Mammals on request from EFSA (EFSA/2009/1438), the LD</w:t>
      </w:r>
      <w:r w:rsidRPr="00A34F10">
        <w:rPr>
          <w:vertAlign w:val="subscript"/>
          <w:lang w:val="en-GB"/>
        </w:rPr>
        <w:t>50</w:t>
      </w:r>
      <w:r w:rsidRPr="00A34F10">
        <w:rPr>
          <w:lang w:val="en-GB"/>
        </w:rPr>
        <w:t xml:space="preserve"> value is compared with the predicted mixture toxicity assuming dose additivity, according to the following formulation:</w:t>
      </w:r>
    </w:p>
    <w:p w14:paraId="791BBBF3" w14:textId="77777777" w:rsidR="00DC5685" w:rsidRPr="00A34F10" w:rsidRDefault="00DC5685" w:rsidP="00DC5685">
      <w:pPr>
        <w:rPr>
          <w:lang w:val="en-GB"/>
        </w:rPr>
      </w:pPr>
    </w:p>
    <w:p w14:paraId="3806482C" w14:textId="77777777" w:rsidR="00DC5685" w:rsidRPr="00A34F10" w:rsidRDefault="00DC5685" w:rsidP="00DC5685">
      <w:pPr>
        <w:rPr>
          <w:lang w:val="en-GB"/>
        </w:rPr>
      </w:pPr>
      <w:r w:rsidRPr="00A34F10">
        <w:rPr>
          <w:noProof/>
          <w:lang w:val="en-GB" w:eastAsia="en-GB"/>
        </w:rPr>
        <w:drawing>
          <wp:inline distT="0" distB="0" distL="0" distR="0" wp14:anchorId="38BF06E1" wp14:editId="1377B098">
            <wp:extent cx="1924050" cy="561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24050" cy="561975"/>
                    </a:xfrm>
                    <a:prstGeom prst="rect">
                      <a:avLst/>
                    </a:prstGeom>
                    <a:noFill/>
                    <a:ln>
                      <a:noFill/>
                    </a:ln>
                  </pic:spPr>
                </pic:pic>
              </a:graphicData>
            </a:graphic>
          </wp:inline>
        </w:drawing>
      </w:r>
    </w:p>
    <w:p w14:paraId="640B933A" w14:textId="77777777" w:rsidR="00DC5685" w:rsidRPr="00A34F10" w:rsidRDefault="00DC5685" w:rsidP="00DC5685">
      <w:pPr>
        <w:rPr>
          <w:lang w:val="en-GB"/>
        </w:rPr>
      </w:pPr>
    </w:p>
    <w:p w14:paraId="2B1C10B5" w14:textId="77777777" w:rsidR="00DC5685" w:rsidRPr="00A34F10" w:rsidRDefault="00DC5685" w:rsidP="00DC5685">
      <w:pPr>
        <w:jc w:val="both"/>
        <w:rPr>
          <w:lang w:val="en-GB"/>
        </w:rPr>
      </w:pPr>
      <w:r w:rsidRPr="00A34F10">
        <w:rPr>
          <w:lang w:val="en-GB"/>
        </w:rPr>
        <w:t>With:</w:t>
      </w:r>
    </w:p>
    <w:p w14:paraId="6EB9B429" w14:textId="77777777" w:rsidR="00DC5685" w:rsidRPr="00A34F10" w:rsidRDefault="00DC5685" w:rsidP="00DC5685">
      <w:pPr>
        <w:jc w:val="both"/>
        <w:rPr>
          <w:lang w:val="en-GB"/>
        </w:rPr>
      </w:pPr>
      <w:r w:rsidRPr="00A34F10">
        <w:rPr>
          <w:lang w:val="en-GB"/>
        </w:rPr>
        <w:t>X(a.s.</w:t>
      </w:r>
      <w:r w:rsidRPr="00A34F10">
        <w:rPr>
          <w:vertAlign w:val="subscript"/>
          <w:lang w:val="en-GB"/>
        </w:rPr>
        <w:t>i</w:t>
      </w:r>
      <w:r w:rsidRPr="00A34F10">
        <w:rPr>
          <w:lang w:val="en-GB"/>
        </w:rPr>
        <w:t xml:space="preserve">) </w:t>
      </w:r>
      <w:r w:rsidRPr="00A34F10">
        <w:rPr>
          <w:lang w:val="en-GB"/>
        </w:rPr>
        <w:tab/>
      </w:r>
      <w:r w:rsidRPr="00A34F10">
        <w:rPr>
          <w:lang w:val="en-GB"/>
        </w:rPr>
        <w:tab/>
        <w:t>= fraction of active substance [</w:t>
      </w:r>
      <w:r w:rsidRPr="00A34F10">
        <w:rPr>
          <w:vertAlign w:val="subscript"/>
          <w:lang w:val="en-GB"/>
        </w:rPr>
        <w:t>i</w:t>
      </w:r>
      <w:r w:rsidRPr="00A34F10">
        <w:rPr>
          <w:lang w:val="en-GB"/>
        </w:rPr>
        <w:t>] in the mixture (here: formulation)</w:t>
      </w:r>
    </w:p>
    <w:p w14:paraId="654182E0" w14:textId="77777777" w:rsidR="00DC5685" w:rsidRPr="00A34F10" w:rsidRDefault="00DC5685" w:rsidP="00DC5685">
      <w:pPr>
        <w:jc w:val="both"/>
        <w:rPr>
          <w:lang w:val="en-GB"/>
        </w:rPr>
      </w:pPr>
      <w:r w:rsidRPr="00A34F10">
        <w:rPr>
          <w:lang w:val="en-GB"/>
        </w:rPr>
        <w:t>LD</w:t>
      </w:r>
      <w:r w:rsidRPr="00A34F10">
        <w:rPr>
          <w:vertAlign w:val="subscript"/>
          <w:lang w:val="en-GB"/>
        </w:rPr>
        <w:t>50</w:t>
      </w:r>
      <w:r w:rsidRPr="00A34F10">
        <w:rPr>
          <w:lang w:val="en-GB"/>
        </w:rPr>
        <w:t>(a.s.</w:t>
      </w:r>
      <w:r w:rsidRPr="00A34F10">
        <w:rPr>
          <w:vertAlign w:val="subscript"/>
          <w:lang w:val="en-GB"/>
        </w:rPr>
        <w:t>i</w:t>
      </w:r>
      <w:r w:rsidRPr="00A34F10">
        <w:rPr>
          <w:lang w:val="en-GB"/>
        </w:rPr>
        <w:t xml:space="preserve">) </w:t>
      </w:r>
      <w:r w:rsidRPr="00A34F10">
        <w:rPr>
          <w:lang w:val="en-GB"/>
        </w:rPr>
        <w:tab/>
        <w:t>= acute toxicity value for active substance [</w:t>
      </w:r>
      <w:r w:rsidRPr="00A34F10">
        <w:rPr>
          <w:vertAlign w:val="subscript"/>
          <w:lang w:val="en-GB"/>
        </w:rPr>
        <w:t>i</w:t>
      </w:r>
      <w:r w:rsidRPr="00A34F10">
        <w:rPr>
          <w:lang w:val="en-GB"/>
        </w:rPr>
        <w:t>]</w:t>
      </w:r>
    </w:p>
    <w:p w14:paraId="1D46C07E" w14:textId="77777777" w:rsidR="00DC5685" w:rsidRPr="00A34F10" w:rsidRDefault="00DC5685" w:rsidP="00DC5685">
      <w:pPr>
        <w:jc w:val="both"/>
        <w:rPr>
          <w:lang w:val="en-GB"/>
        </w:rPr>
      </w:pPr>
      <w:r w:rsidRPr="00A34F10">
        <w:rPr>
          <w:lang w:val="en-GB"/>
        </w:rPr>
        <w:t>LD</w:t>
      </w:r>
      <w:r w:rsidRPr="00A34F10">
        <w:rPr>
          <w:vertAlign w:val="subscript"/>
          <w:lang w:val="en-GB"/>
        </w:rPr>
        <w:t>50</w:t>
      </w:r>
      <w:r w:rsidRPr="00A34F10">
        <w:rPr>
          <w:lang w:val="en-GB"/>
        </w:rPr>
        <w:t xml:space="preserve">(mix) </w:t>
      </w:r>
      <w:r w:rsidRPr="00A34F10">
        <w:rPr>
          <w:lang w:val="en-GB"/>
        </w:rPr>
        <w:tab/>
        <w:t>= measured acute toxicity value for the mixture (here: formulation)</w:t>
      </w:r>
    </w:p>
    <w:p w14:paraId="3E535194" w14:textId="77777777" w:rsidR="00DC5685" w:rsidRPr="00A34F10" w:rsidRDefault="00DC5685" w:rsidP="00DC5685">
      <w:pPr>
        <w:rPr>
          <w:lang w:val="en-GB"/>
        </w:rPr>
      </w:pPr>
    </w:p>
    <w:p w14:paraId="1D6D7043" w14:textId="77777777" w:rsidR="00DC5685" w:rsidRPr="00A34F10" w:rsidRDefault="00DC5685" w:rsidP="00DC5685">
      <w:pPr>
        <w:jc w:val="both"/>
        <w:rPr>
          <w:lang w:val="en-GB"/>
        </w:rPr>
      </w:pPr>
      <w:r w:rsidRPr="00A34F10">
        <w:rPr>
          <w:lang w:val="en-GB"/>
        </w:rPr>
        <w:t>The resulting comparison between the measured LD</w:t>
      </w:r>
      <w:r w:rsidRPr="00A34F10">
        <w:rPr>
          <w:vertAlign w:val="subscript"/>
          <w:lang w:val="en-GB"/>
        </w:rPr>
        <w:t>50</w:t>
      </w:r>
      <w:r w:rsidRPr="00A34F10">
        <w:rPr>
          <w:lang w:val="en-GB"/>
        </w:rPr>
        <w:t xml:space="preserve"> based on the LD</w:t>
      </w:r>
      <w:r w:rsidRPr="00A34F10">
        <w:rPr>
          <w:vertAlign w:val="subscript"/>
          <w:lang w:val="en-GB"/>
        </w:rPr>
        <w:t>50</w:t>
      </w:r>
      <w:r w:rsidRPr="00A34F10">
        <w:rPr>
          <w:lang w:val="en-GB"/>
        </w:rPr>
        <w:t xml:space="preserve"> values for birds for Ametoctradin (LD</w:t>
      </w:r>
      <w:r w:rsidRPr="00A34F10">
        <w:rPr>
          <w:vertAlign w:val="subscript"/>
          <w:lang w:val="en-GB"/>
        </w:rPr>
        <w:t xml:space="preserve">50 </w:t>
      </w:r>
      <w:r w:rsidRPr="00A34F10">
        <w:rPr>
          <w:lang w:val="en-GB"/>
        </w:rPr>
        <w:t>=3776 mg a.s./kg bw) and Propamocarb (LD</w:t>
      </w:r>
      <w:r w:rsidRPr="00A34F10">
        <w:rPr>
          <w:vertAlign w:val="subscript"/>
          <w:lang w:val="en-GB"/>
        </w:rPr>
        <w:t>50</w:t>
      </w:r>
      <w:r w:rsidRPr="00A34F10">
        <w:rPr>
          <w:lang w:val="en-GB"/>
        </w:rPr>
        <w:t xml:space="preserve"> = 3477.7 mg a.s./kg bw) with the predicted mixture toxicity assuming dose additivity is as followed:</w:t>
      </w:r>
    </w:p>
    <w:p w14:paraId="0A78777C" w14:textId="77777777" w:rsidR="00DC5685" w:rsidRPr="00A34F10" w:rsidRDefault="00DC5685" w:rsidP="00DC5685">
      <w:pPr>
        <w:rPr>
          <w:lang w:val="en-GB"/>
        </w:rPr>
      </w:pPr>
    </w:p>
    <w:p w14:paraId="4A8C8BEA" w14:textId="77777777" w:rsidR="00DC5685" w:rsidRPr="00A34F10" w:rsidRDefault="00DC5685" w:rsidP="00DC5685">
      <w:pPr>
        <w:jc w:val="both"/>
        <w:rPr>
          <w:lang w:val="en-GB"/>
        </w:rPr>
      </w:pPr>
      <w:r w:rsidRPr="00A34F10">
        <w:rPr>
          <w:lang w:val="en-GB"/>
        </w:rPr>
        <w:t>The left-hand side of the equation (predicted mixture toxicity) is:</w:t>
      </w:r>
    </w:p>
    <w:p w14:paraId="0CE06EDF" w14:textId="77777777" w:rsidR="00DC5685" w:rsidRPr="00A34F10" w:rsidRDefault="00DC5685" w:rsidP="00DC5685">
      <w:pPr>
        <w:rPr>
          <w:lang w:val="en-GB"/>
        </w:rPr>
      </w:pPr>
      <w:r w:rsidRPr="00A34F10">
        <w:rPr>
          <w:lang w:val="en-GB"/>
        </w:rPr>
        <w:t>&lt; 0.00028</w:t>
      </w:r>
    </w:p>
    <w:p w14:paraId="190A12D7" w14:textId="77777777" w:rsidR="00DC5685" w:rsidRPr="00A34F10" w:rsidRDefault="00DC5685" w:rsidP="00DC5685">
      <w:pPr>
        <w:rPr>
          <w:lang w:val="en-GB"/>
        </w:rPr>
      </w:pPr>
    </w:p>
    <w:p w14:paraId="328193EE" w14:textId="77777777" w:rsidR="00DC5685" w:rsidRPr="00A34F10" w:rsidRDefault="00DC5685" w:rsidP="00DC5685">
      <w:pPr>
        <w:jc w:val="both"/>
        <w:rPr>
          <w:lang w:val="en-GB"/>
        </w:rPr>
      </w:pPr>
      <w:r w:rsidRPr="00A34F10">
        <w:rPr>
          <w:lang w:val="en-GB"/>
        </w:rPr>
        <w:t xml:space="preserve">And the right hand side of the equation (measured toxicity for comparison) is: </w:t>
      </w:r>
    </w:p>
    <w:p w14:paraId="3014D26D" w14:textId="12578649" w:rsidR="00DC5685" w:rsidRPr="00A34F10" w:rsidRDefault="00DC5685" w:rsidP="00DC5685">
      <w:pPr>
        <w:rPr>
          <w:lang w:val="en-GB"/>
        </w:rPr>
      </w:pPr>
      <w:r w:rsidRPr="00A34F10">
        <w:rPr>
          <w:lang w:val="en-GB"/>
        </w:rPr>
        <w:t>1 /</w:t>
      </w:r>
      <w:r w:rsidR="0043197F">
        <w:rPr>
          <w:lang w:val="en-GB"/>
        </w:rPr>
        <w:t xml:space="preserve"> </w:t>
      </w:r>
      <w:r w:rsidR="0043197F" w:rsidRPr="00A34F10">
        <w:rPr>
          <w:lang w:val="en-GB"/>
        </w:rPr>
        <w:t xml:space="preserve">2281.3 </w:t>
      </w:r>
      <w:r w:rsidRPr="00A34F10">
        <w:rPr>
          <w:lang w:val="en-GB"/>
        </w:rPr>
        <w:t>(product endpoint corrected for a.s. content</w:t>
      </w:r>
      <w:r w:rsidR="00ED40FE">
        <w:rPr>
          <w:lang w:val="en-GB"/>
        </w:rPr>
        <w:t xml:space="preserve"> </w:t>
      </w:r>
      <w:r w:rsidR="00ED40FE" w:rsidRPr="0043197F">
        <w:rPr>
          <w:highlight w:val="green"/>
          <w:lang w:val="en-GB"/>
        </w:rPr>
        <w:t>and product density</w:t>
      </w:r>
      <w:r w:rsidR="00044542" w:rsidRPr="0043197F">
        <w:rPr>
          <w:highlight w:val="green"/>
          <w:lang w:val="en-GB"/>
        </w:rPr>
        <w:t xml:space="preserve"> of BAS 743 02</w:t>
      </w:r>
      <w:r w:rsidR="007D2F30">
        <w:rPr>
          <w:highlight w:val="green"/>
          <w:lang w:val="en-GB"/>
        </w:rPr>
        <w:t xml:space="preserve"> </w:t>
      </w:r>
      <w:r w:rsidR="00044542" w:rsidRPr="0043197F">
        <w:rPr>
          <w:highlight w:val="green"/>
          <w:lang w:val="en-GB"/>
        </w:rPr>
        <w:t>F</w:t>
      </w:r>
      <w:r w:rsidRPr="00A34F10">
        <w:rPr>
          <w:lang w:val="en-GB"/>
        </w:rPr>
        <w:t>) =</w:t>
      </w:r>
      <w:r w:rsidRPr="00A34F10">
        <w:rPr>
          <w:lang w:val="en-GB"/>
        </w:rPr>
        <w:tab/>
        <w:t xml:space="preserve"> </w:t>
      </w:r>
      <w:r w:rsidR="0043197F" w:rsidRPr="00A34F10">
        <w:rPr>
          <w:lang w:val="en-GB"/>
        </w:rPr>
        <w:t>&lt;0.0004</w:t>
      </w:r>
    </w:p>
    <w:p w14:paraId="29D96595" w14:textId="2EE8B336" w:rsidR="008A5F38" w:rsidRDefault="008A5F38">
      <w:pPr>
        <w:rPr>
          <w:lang w:val="en-GB"/>
        </w:rPr>
      </w:pPr>
      <w:r>
        <w:rPr>
          <w:lang w:val="en-GB"/>
        </w:rPr>
        <w:br w:type="page"/>
      </w:r>
    </w:p>
    <w:p w14:paraId="302FF024" w14:textId="77777777" w:rsidR="00DC5685" w:rsidRPr="00A34F10" w:rsidRDefault="00DC5685" w:rsidP="00DC5685">
      <w:pPr>
        <w:widowControl w:val="0"/>
        <w:jc w:val="both"/>
        <w:rPr>
          <w:lang w:val="en-GB"/>
        </w:rPr>
      </w:pPr>
    </w:p>
    <w:p w14:paraId="141AD1A2" w14:textId="30862AD3" w:rsidR="00721DB9" w:rsidRPr="00A34F10" w:rsidRDefault="00DC5685" w:rsidP="00DC5685">
      <w:pPr>
        <w:suppressAutoHyphens/>
        <w:autoSpaceDE w:val="0"/>
        <w:autoSpaceDN w:val="0"/>
        <w:adjustRightInd w:val="0"/>
        <w:jc w:val="both"/>
        <w:rPr>
          <w:lang w:val="en-GB"/>
        </w:rPr>
      </w:pPr>
      <w:r w:rsidRPr="00A34F10">
        <w:rPr>
          <w:lang w:val="en-GB" w:eastAsia="en-GB"/>
        </w:rPr>
        <w:t xml:space="preserve">A greater value on the right side of the equation, as is the case here, indicates that </w:t>
      </w:r>
      <w:r w:rsidRPr="00A34F10">
        <w:rPr>
          <w:lang w:val="en-GB"/>
        </w:rPr>
        <w:t>the measured toxicity of a formulation is higher than predicted</w:t>
      </w:r>
      <w:r w:rsidRPr="00A34F10">
        <w:rPr>
          <w:lang w:val="en-GB" w:eastAsia="en-GB"/>
        </w:rPr>
        <w:t>. In this case the use of the measured LD</w:t>
      </w:r>
      <w:r w:rsidRPr="00A34F10">
        <w:rPr>
          <w:sz w:val="14"/>
          <w:szCs w:val="14"/>
          <w:lang w:val="en-GB" w:eastAsia="en-GB"/>
        </w:rPr>
        <w:t xml:space="preserve">50 </w:t>
      </w:r>
      <w:r w:rsidRPr="00A34F10">
        <w:rPr>
          <w:lang w:val="en-GB" w:eastAsia="en-GB"/>
        </w:rPr>
        <w:t>for the formulation is recommended for the first-tier assessment</w:t>
      </w:r>
      <w:r w:rsidRPr="00A34F10">
        <w:rPr>
          <w:b/>
          <w:lang w:val="en-GB"/>
        </w:rPr>
        <w:t>.</w:t>
      </w:r>
      <w:r w:rsidRPr="00A34F10">
        <w:rPr>
          <w:lang w:val="en-GB"/>
        </w:rPr>
        <w:t xml:space="preserve"> </w:t>
      </w:r>
    </w:p>
    <w:p w14:paraId="63E8F8C9" w14:textId="77777777" w:rsidR="00DC5685" w:rsidRPr="00A34F10" w:rsidRDefault="00DC5685" w:rsidP="002B350D">
      <w:pPr>
        <w:pStyle w:val="Nagwek4"/>
        <w:keepNext w:val="0"/>
        <w:suppressAutoHyphens/>
        <w:rPr>
          <w:noProof w:val="0"/>
          <w:lang w:val="en-GB"/>
        </w:rPr>
      </w:pPr>
      <w:bookmarkStart w:id="182" w:name="_Toc181624947"/>
      <w:bookmarkEnd w:id="177"/>
      <w:r w:rsidRPr="00A34F10">
        <w:rPr>
          <w:noProof w:val="0"/>
          <w:lang w:val="en-GB"/>
        </w:rPr>
        <w:t>Justification for new endpoints</w:t>
      </w:r>
      <w:bookmarkEnd w:id="158"/>
      <w:bookmarkEnd w:id="159"/>
      <w:bookmarkEnd w:id="160"/>
      <w:bookmarkEnd w:id="161"/>
      <w:bookmarkEnd w:id="162"/>
      <w:bookmarkEnd w:id="163"/>
      <w:bookmarkEnd w:id="164"/>
      <w:bookmarkEnd w:id="165"/>
      <w:bookmarkEnd w:id="166"/>
      <w:bookmarkEnd w:id="167"/>
      <w:bookmarkEnd w:id="182"/>
    </w:p>
    <w:p w14:paraId="7B9D150D" w14:textId="77777777" w:rsidR="00DC5685" w:rsidRPr="00A34F10" w:rsidRDefault="00DC5685" w:rsidP="002B350D">
      <w:pPr>
        <w:tabs>
          <w:tab w:val="left" w:pos="720"/>
        </w:tabs>
        <w:suppressAutoHyphens/>
        <w:jc w:val="both"/>
        <w:rPr>
          <w:lang w:val="en-GB"/>
        </w:rPr>
      </w:pPr>
      <w:r w:rsidRPr="00A34F10">
        <w:rPr>
          <w:u w:val="single"/>
          <w:lang w:val="en-GB"/>
        </w:rPr>
        <w:t>Acute</w:t>
      </w:r>
      <w:r w:rsidRPr="00A34F10">
        <w:rPr>
          <w:lang w:val="en-GB"/>
        </w:rPr>
        <w:t xml:space="preserve"> - The EU agreed endpoints for Ametoctradin (</w:t>
      </w:r>
      <w:r w:rsidRPr="00A34F10">
        <w:rPr>
          <w:szCs w:val="20"/>
          <w:lang w:val="en-GB"/>
        </w:rPr>
        <w:t xml:space="preserve">EFSA Journal 2012, 10: 2921) and Propamocarb (EFSA Scientific Report 2006, 78, 1-80) </w:t>
      </w:r>
      <w:r w:rsidRPr="00A34F10">
        <w:rPr>
          <w:lang w:val="en-GB"/>
        </w:rPr>
        <w:t>were derived using the former guidance on birds and mammals (SANCO/4145/2000). Following the recommendations of current guidance (</w:t>
      </w:r>
      <w:r w:rsidRPr="00A34F10">
        <w:rPr>
          <w:rFonts w:eastAsia="Batang"/>
          <w:szCs w:val="24"/>
          <w:lang w:val="en-GB" w:eastAsia="zh-CN"/>
        </w:rPr>
        <w:t>EFSA</w:t>
      </w:r>
      <w:r w:rsidRPr="00A34F10">
        <w:rPr>
          <w:szCs w:val="24"/>
          <w:lang w:val="en-GB"/>
        </w:rPr>
        <w:t xml:space="preserve">/2009/1438) </w:t>
      </w:r>
      <w:r w:rsidRPr="00A34F10">
        <w:rPr>
          <w:lang w:val="en-GB"/>
        </w:rPr>
        <w:t>a new endpoint for the acute risk assessment is justified.</w:t>
      </w:r>
    </w:p>
    <w:p w14:paraId="543D925A" w14:textId="77777777" w:rsidR="00DC5685" w:rsidRPr="00A34F10" w:rsidRDefault="00DC5685" w:rsidP="002B350D">
      <w:pPr>
        <w:tabs>
          <w:tab w:val="left" w:pos="720"/>
        </w:tabs>
        <w:suppressAutoHyphens/>
        <w:jc w:val="both"/>
        <w:rPr>
          <w:lang w:val="en-GB"/>
        </w:rPr>
      </w:pPr>
    </w:p>
    <w:p w14:paraId="59245FA2" w14:textId="77777777" w:rsidR="00DC5685" w:rsidRPr="00A34F10" w:rsidRDefault="00DC5685" w:rsidP="002B350D">
      <w:pPr>
        <w:tabs>
          <w:tab w:val="left" w:pos="720"/>
        </w:tabs>
        <w:suppressAutoHyphens/>
        <w:jc w:val="both"/>
        <w:rPr>
          <w:rFonts w:eastAsia="SimSun"/>
          <w:bCs/>
          <w:lang w:val="en-GB" w:eastAsia="zh-CN"/>
        </w:rPr>
      </w:pPr>
      <w:r w:rsidRPr="00A34F10">
        <w:rPr>
          <w:lang w:val="en-GB"/>
        </w:rPr>
        <w:t>Because no mortality occurred in the acute oral gavage studies in quail for both active substances and the number of birds tested were 10, the relevant extrapolation factor is 1.888 (EFSA/2009/1438, Table 1, section 2.1.2). Using this extrapolation factor to the endpoint of each of the two acute studies (LD</w:t>
      </w:r>
      <w:r w:rsidRPr="00A34F10">
        <w:rPr>
          <w:vertAlign w:val="subscript"/>
          <w:lang w:val="en-GB"/>
        </w:rPr>
        <w:t>50</w:t>
      </w:r>
      <w:r w:rsidRPr="00A34F10">
        <w:rPr>
          <w:lang w:val="en-GB"/>
        </w:rPr>
        <w:t xml:space="preserve"> &gt; 2000 mg/kg b.w.) the extrapolated endpoint is LD</w:t>
      </w:r>
      <w:r w:rsidRPr="00A34F10">
        <w:rPr>
          <w:vertAlign w:val="subscript"/>
          <w:lang w:val="en-GB"/>
        </w:rPr>
        <w:t>50</w:t>
      </w:r>
      <w:r w:rsidRPr="00A34F10">
        <w:rPr>
          <w:rFonts w:eastAsia="SimSun"/>
          <w:bCs/>
          <w:vertAlign w:val="subscript"/>
          <w:lang w:val="en-GB" w:eastAsia="zh-CN"/>
        </w:rPr>
        <w:t xml:space="preserve"> (extrapolated)</w:t>
      </w:r>
      <w:r w:rsidRPr="00A34F10">
        <w:rPr>
          <w:lang w:val="en-GB"/>
        </w:rPr>
        <w:t> = 3776 mg/kg b.w for Ametoctradin and LD</w:t>
      </w:r>
      <w:r w:rsidRPr="00A34F10">
        <w:rPr>
          <w:vertAlign w:val="subscript"/>
          <w:lang w:val="en-GB"/>
        </w:rPr>
        <w:t>50</w:t>
      </w:r>
      <w:r w:rsidRPr="00A34F10">
        <w:rPr>
          <w:rFonts w:eastAsia="SimSun"/>
          <w:bCs/>
          <w:vertAlign w:val="subscript"/>
          <w:lang w:val="en-GB" w:eastAsia="zh-CN"/>
        </w:rPr>
        <w:t xml:space="preserve"> (extrapolated)</w:t>
      </w:r>
      <w:r w:rsidRPr="00A34F10">
        <w:rPr>
          <w:lang w:val="en-GB"/>
        </w:rPr>
        <w:t xml:space="preserve"> = 3477.7 mg/kg b.w. for Propamocarb. </w:t>
      </w:r>
    </w:p>
    <w:p w14:paraId="369386C1" w14:textId="77777777" w:rsidR="00DC5685" w:rsidRPr="00A34F10" w:rsidRDefault="00DC5685" w:rsidP="00DC5685">
      <w:pPr>
        <w:pStyle w:val="Nagwek3"/>
        <w:rPr>
          <w:rFonts w:cs="Times New Roman"/>
        </w:rPr>
      </w:pPr>
      <w:bookmarkStart w:id="183" w:name="_Toc399353254"/>
      <w:bookmarkStart w:id="184" w:name="_Ref405896905"/>
      <w:bookmarkStart w:id="185" w:name="_Toc412643974"/>
      <w:bookmarkStart w:id="186" w:name="_Toc413916820"/>
      <w:bookmarkStart w:id="187" w:name="_Toc413916962"/>
      <w:bookmarkStart w:id="188" w:name="_Toc413922023"/>
      <w:bookmarkStart w:id="189" w:name="_Toc413922512"/>
      <w:bookmarkStart w:id="190" w:name="_Toc413922616"/>
      <w:bookmarkStart w:id="191" w:name="_Toc414955253"/>
      <w:bookmarkStart w:id="192" w:name="_Ref414959980"/>
      <w:bookmarkStart w:id="193" w:name="_Toc415214560"/>
      <w:bookmarkStart w:id="194" w:name="_Toc425512581"/>
      <w:bookmarkStart w:id="195" w:name="_Toc181624948"/>
      <w:r w:rsidRPr="00A34F10">
        <w:rPr>
          <w:rFonts w:cs="Times New Roman"/>
        </w:rPr>
        <w:t>Risk assessment for spray applications</w:t>
      </w:r>
      <w:bookmarkEnd w:id="183"/>
      <w:bookmarkEnd w:id="184"/>
      <w:bookmarkEnd w:id="185"/>
      <w:bookmarkEnd w:id="186"/>
      <w:bookmarkEnd w:id="187"/>
      <w:bookmarkEnd w:id="188"/>
      <w:bookmarkEnd w:id="189"/>
      <w:bookmarkEnd w:id="190"/>
      <w:bookmarkEnd w:id="191"/>
      <w:bookmarkEnd w:id="192"/>
      <w:bookmarkEnd w:id="193"/>
      <w:bookmarkEnd w:id="194"/>
      <w:bookmarkEnd w:id="195"/>
    </w:p>
    <w:p w14:paraId="54A563D7" w14:textId="77777777" w:rsidR="00DC5685" w:rsidRPr="00A34F10" w:rsidRDefault="00DC5685" w:rsidP="00DC5685">
      <w:pPr>
        <w:pStyle w:val="RepStandard"/>
      </w:pPr>
      <w:r w:rsidRPr="00A34F10">
        <w:t>The risk assessment is based on the methods presented in the Guidance Document on Risk Assessment for Birds and Mammals on request from EFSA (EFSA Journal 2009; 7(12): 1438; hereafter referred to as EFSA/2009/1438).</w:t>
      </w:r>
    </w:p>
    <w:p w14:paraId="67F4251E" w14:textId="77777777" w:rsidR="00DC5685" w:rsidRPr="00A34F10" w:rsidRDefault="00DC5685" w:rsidP="00DC5685">
      <w:pPr>
        <w:pStyle w:val="RepStandard"/>
      </w:pPr>
    </w:p>
    <w:p w14:paraId="1C40CCF6" w14:textId="77777777" w:rsidR="00DC5685" w:rsidRPr="00A34F10" w:rsidRDefault="00DC5685" w:rsidP="00DC5685">
      <w:pPr>
        <w:suppressAutoHyphens/>
        <w:jc w:val="both"/>
        <w:rPr>
          <w:b/>
          <w:szCs w:val="24"/>
          <w:lang w:val="en-GB"/>
        </w:rPr>
      </w:pPr>
      <w:r w:rsidRPr="00A34F10">
        <w:rPr>
          <w:b/>
          <w:bCs/>
          <w:lang w:val="en-GB"/>
        </w:rPr>
        <w:t>Proposed use pattern</w:t>
      </w:r>
      <w:r w:rsidRPr="00A34F10">
        <w:rPr>
          <w:b/>
          <w:szCs w:val="24"/>
          <w:lang w:val="en-GB"/>
        </w:rPr>
        <w:t xml:space="preserve"> for the risk assessments</w:t>
      </w:r>
    </w:p>
    <w:p w14:paraId="7D03C3C5" w14:textId="77777777" w:rsidR="00DC5685" w:rsidRPr="00A34F10" w:rsidRDefault="00DC5685" w:rsidP="00DC5685">
      <w:pPr>
        <w:suppressAutoHyphens/>
        <w:jc w:val="both"/>
        <w:rPr>
          <w:b/>
          <w:szCs w:val="24"/>
          <w:lang w:val="en-GB"/>
        </w:rPr>
      </w:pPr>
    </w:p>
    <w:p w14:paraId="147A4492" w14:textId="77777777" w:rsidR="00DC5685" w:rsidRPr="00A34F10" w:rsidRDefault="00DC5685" w:rsidP="00DC5685">
      <w:pPr>
        <w:pStyle w:val="RepStandard"/>
        <w:suppressAutoHyphens/>
        <w:rPr>
          <w:bCs/>
          <w:szCs w:val="24"/>
        </w:rPr>
      </w:pPr>
      <w:r w:rsidRPr="00A34F10">
        <w:rPr>
          <w:bCs/>
          <w:szCs w:val="24"/>
        </w:rPr>
        <w:t>The proposed use pattern for the use of BAS 743 03 F is summarized in the table at the beginning of the ecotoxicology chapter (section 9.1).</w:t>
      </w:r>
    </w:p>
    <w:p w14:paraId="31A54D03" w14:textId="77777777" w:rsidR="00DC5685" w:rsidRPr="00A34F10" w:rsidRDefault="00DC5685" w:rsidP="00DC5685">
      <w:pPr>
        <w:pStyle w:val="RepStandard"/>
        <w:suppressAutoHyphens/>
        <w:rPr>
          <w:bCs/>
          <w:szCs w:val="24"/>
        </w:rPr>
      </w:pPr>
    </w:p>
    <w:p w14:paraId="2D8839DE" w14:textId="14D7D2C4" w:rsidR="00DC5685" w:rsidRDefault="00DC5685" w:rsidP="00DC5685">
      <w:pPr>
        <w:pStyle w:val="RepStandard"/>
        <w:suppressAutoHyphens/>
      </w:pPr>
      <w:r w:rsidRPr="00A34F10">
        <w:t xml:space="preserve">To achieve a concise risk assessment, the risk envelope approach is applied. As for Ametoctradin risk acceptability is indicated at screening step, the risk assessment is based on the worst-case crop group potatoes. </w:t>
      </w:r>
      <w:r w:rsidRPr="00A34F10">
        <w:rPr>
          <w:bCs/>
        </w:rPr>
        <w:t xml:space="preserve">For Propamocarb and the formulation BAS 743 03 F, risk acceptability is indicated at Tier 1; therefore, the risk assessment is presented for all relevant crop groups. </w:t>
      </w:r>
      <w:r w:rsidRPr="00A34F10">
        <w:t>Please refer to Point 9.1.2 for further details.</w:t>
      </w:r>
      <w:r w:rsidR="009A6F86">
        <w:t xml:space="preserve"> </w:t>
      </w:r>
    </w:p>
    <w:p w14:paraId="36BD58B5" w14:textId="1900F7BD" w:rsidR="009A6F86" w:rsidRDefault="009A6F86" w:rsidP="00DC5685">
      <w:pPr>
        <w:pStyle w:val="RepStandard"/>
        <w:suppressAutoHyphens/>
      </w:pPr>
    </w:p>
    <w:p w14:paraId="552CDB49" w14:textId="4F958F31" w:rsidR="009A6F86" w:rsidRDefault="009A6F86" w:rsidP="00DC5685">
      <w:pPr>
        <w:pStyle w:val="RepStandard"/>
        <w:suppressAutoHyphens/>
      </w:pPr>
      <w:r w:rsidRPr="009A6F86">
        <w:rPr>
          <w:highlight w:val="green"/>
        </w:rPr>
        <w:t>The minor crops</w:t>
      </w:r>
      <w:r>
        <w:rPr>
          <w:highlight w:val="green"/>
        </w:rPr>
        <w:t xml:space="preserve"> indicated in the GAP table</w:t>
      </w:r>
      <w:r w:rsidRPr="009A6F86">
        <w:rPr>
          <w:highlight w:val="green"/>
        </w:rPr>
        <w:t xml:space="preserve"> (i.e. floriculture, avenue trees, climbing plants, conifers, ornamental shrubs, heather, forest trees and hedging plants, fruit trees and shrubs and perennial crops) are covered by the crop groups ´ornamentals´ a</w:t>
      </w:r>
      <w:r w:rsidR="00512D4C">
        <w:rPr>
          <w:highlight w:val="green"/>
        </w:rPr>
        <w:t>s well as</w:t>
      </w:r>
      <w:r w:rsidRPr="009A6F86">
        <w:rPr>
          <w:highlight w:val="green"/>
        </w:rPr>
        <w:t xml:space="preserve"> ´orchards´</w:t>
      </w:r>
      <w:r w:rsidR="00512D4C">
        <w:rPr>
          <w:highlight w:val="green"/>
        </w:rPr>
        <w:t xml:space="preserve"> and ´bush and cane fruit´ (in line with the request by the zonal Rapporteur Member State)</w:t>
      </w:r>
      <w:r w:rsidRPr="009A6F86">
        <w:rPr>
          <w:highlight w:val="green"/>
        </w:rPr>
        <w:t>.</w:t>
      </w:r>
    </w:p>
    <w:p w14:paraId="29BD9259" w14:textId="77777777" w:rsidR="00DC5685" w:rsidRPr="00A34F10" w:rsidRDefault="00DC5685" w:rsidP="00DC5685">
      <w:pPr>
        <w:pStyle w:val="Nagwek4"/>
        <w:suppressAutoHyphens/>
        <w:rPr>
          <w:noProof w:val="0"/>
          <w:lang w:val="en-GB"/>
        </w:rPr>
      </w:pPr>
      <w:bookmarkStart w:id="196" w:name="_Ref360723760"/>
      <w:bookmarkStart w:id="197" w:name="_Toc412643975"/>
      <w:bookmarkStart w:id="198" w:name="_Toc413916821"/>
      <w:bookmarkStart w:id="199" w:name="_Toc413916963"/>
      <w:bookmarkStart w:id="200" w:name="_Toc413922024"/>
      <w:bookmarkStart w:id="201" w:name="_Toc413922513"/>
      <w:bookmarkStart w:id="202" w:name="_Toc413922617"/>
      <w:bookmarkStart w:id="203" w:name="_Toc414955254"/>
      <w:bookmarkStart w:id="204" w:name="_Toc415214561"/>
      <w:bookmarkStart w:id="205" w:name="_Toc425512582"/>
      <w:bookmarkStart w:id="206" w:name="_Toc181624949"/>
      <w:r w:rsidRPr="00A34F10">
        <w:rPr>
          <w:noProof w:val="0"/>
          <w:lang w:val="en-GB"/>
        </w:rPr>
        <w:t>First-tier assessment (screening/generic focal species)</w:t>
      </w:r>
      <w:bookmarkEnd w:id="196"/>
      <w:bookmarkEnd w:id="197"/>
      <w:bookmarkEnd w:id="198"/>
      <w:bookmarkEnd w:id="199"/>
      <w:bookmarkEnd w:id="200"/>
      <w:bookmarkEnd w:id="201"/>
      <w:bookmarkEnd w:id="202"/>
      <w:bookmarkEnd w:id="203"/>
      <w:bookmarkEnd w:id="204"/>
      <w:bookmarkEnd w:id="205"/>
      <w:bookmarkEnd w:id="206"/>
    </w:p>
    <w:p w14:paraId="68A4189A" w14:textId="761010C8" w:rsidR="00721DB9" w:rsidRPr="00A34F10" w:rsidRDefault="00DC5685" w:rsidP="00DC5685">
      <w:pPr>
        <w:widowControl w:val="0"/>
        <w:tabs>
          <w:tab w:val="left" w:pos="720"/>
        </w:tabs>
        <w:suppressAutoHyphens/>
        <w:jc w:val="both"/>
        <w:rPr>
          <w:lang w:val="en-GB"/>
        </w:rPr>
      </w:pPr>
      <w:bookmarkStart w:id="207" w:name="_Toc412643976"/>
      <w:bookmarkStart w:id="208" w:name="_Toc413916822"/>
      <w:bookmarkStart w:id="209" w:name="_Toc413916964"/>
      <w:bookmarkStart w:id="210" w:name="_Toc413922025"/>
      <w:bookmarkStart w:id="211" w:name="_Toc413922514"/>
      <w:bookmarkStart w:id="212" w:name="_Toc413922618"/>
      <w:bookmarkStart w:id="213" w:name="_Toc414955255"/>
      <w:bookmarkStart w:id="214" w:name="_Toc415214562"/>
      <w:bookmarkStart w:id="215" w:name="_Toc425512583"/>
      <w:r w:rsidRPr="00A34F10">
        <w:rPr>
          <w:lang w:val="en-GB"/>
        </w:rPr>
        <w:t>The results of the acute and reproductive screening risk assessments are summarised in the following tables.</w:t>
      </w:r>
    </w:p>
    <w:p w14:paraId="596E4313" w14:textId="77777777" w:rsidR="00DC5685" w:rsidRPr="00A34F10" w:rsidRDefault="00721DB9" w:rsidP="00721DB9">
      <w:pPr>
        <w:rPr>
          <w:lang w:val="en-GB"/>
        </w:rPr>
      </w:pPr>
      <w:r w:rsidRPr="00A34F10">
        <w:rPr>
          <w:lang w:val="en-GB"/>
        </w:rPr>
        <w:br w:type="page"/>
      </w:r>
    </w:p>
    <w:p w14:paraId="7A50B597" w14:textId="6C31DD59" w:rsidR="00DC5685" w:rsidRPr="00A34F10" w:rsidRDefault="00721DB9" w:rsidP="009A6F86">
      <w:pPr>
        <w:pStyle w:val="Repheading"/>
        <w:ind w:left="1276" w:hanging="1276"/>
      </w:pPr>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8</w:t>
      </w:r>
      <w:r w:rsidR="007E7467">
        <w:fldChar w:fldCharType="end"/>
      </w:r>
      <w:r w:rsidR="00DC5685" w:rsidRPr="00A34F10">
        <w:tab/>
        <w:t xml:space="preserve">Ametoctradin: Screening assessment of the acute and long-term/reproductive risk for birds due to the worst-case use of BAS 743 03 F in potato (3 × 2.0 L product/ha)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0"/>
        <w:gridCol w:w="915"/>
        <w:gridCol w:w="1861"/>
        <w:gridCol w:w="1154"/>
        <w:gridCol w:w="1154"/>
        <w:gridCol w:w="1254"/>
        <w:gridCol w:w="1159"/>
      </w:tblGrid>
      <w:tr w:rsidR="00DC5685" w:rsidRPr="00A34F10" w14:paraId="03D97B2F" w14:textId="77777777" w:rsidTr="000470C3">
        <w:tc>
          <w:tcPr>
            <w:tcW w:w="1482" w:type="pct"/>
            <w:gridSpan w:val="2"/>
            <w:tcBorders>
              <w:right w:val="single" w:sz="4" w:space="0" w:color="auto"/>
            </w:tcBorders>
            <w:shd w:val="clear" w:color="auto" w:fill="auto"/>
          </w:tcPr>
          <w:p w14:paraId="05536668" w14:textId="77777777" w:rsidR="00DC5685" w:rsidRPr="00A34F10" w:rsidRDefault="00DC5685" w:rsidP="000470C3">
            <w:pPr>
              <w:keepNext/>
              <w:keepLines/>
              <w:widowControl w:val="0"/>
              <w:spacing w:before="60" w:after="60"/>
              <w:rPr>
                <w:b/>
                <w:sz w:val="20"/>
                <w:szCs w:val="20"/>
                <w:lang w:val="en-GB"/>
              </w:rPr>
            </w:pPr>
            <w:r w:rsidRPr="00A34F10">
              <w:rPr>
                <w:b/>
                <w:sz w:val="20"/>
                <w:szCs w:val="20"/>
                <w:lang w:val="en-GB"/>
              </w:rPr>
              <w:t>Intended use</w:t>
            </w:r>
          </w:p>
        </w:tc>
        <w:tc>
          <w:tcPr>
            <w:tcW w:w="3518" w:type="pct"/>
            <w:gridSpan w:val="5"/>
            <w:tcBorders>
              <w:top w:val="single" w:sz="4" w:space="0" w:color="auto"/>
              <w:left w:val="single" w:sz="4" w:space="0" w:color="auto"/>
              <w:bottom w:val="nil"/>
              <w:right w:val="single" w:sz="4" w:space="0" w:color="auto"/>
            </w:tcBorders>
            <w:shd w:val="clear" w:color="auto" w:fill="auto"/>
          </w:tcPr>
          <w:p w14:paraId="6B8C63B1" w14:textId="77777777" w:rsidR="00DC5685" w:rsidRPr="00A34F10" w:rsidRDefault="00DC5685" w:rsidP="000470C3">
            <w:pPr>
              <w:keepNext/>
              <w:keepLines/>
              <w:widowControl w:val="0"/>
              <w:spacing w:before="60" w:after="60"/>
              <w:rPr>
                <w:bCs/>
                <w:sz w:val="20"/>
                <w:szCs w:val="20"/>
                <w:lang w:val="en-GB"/>
              </w:rPr>
            </w:pPr>
            <w:r w:rsidRPr="00A34F10">
              <w:rPr>
                <w:bCs/>
                <w:sz w:val="20"/>
                <w:szCs w:val="20"/>
                <w:lang w:val="en-GB"/>
              </w:rPr>
              <w:t xml:space="preserve">Potato </w:t>
            </w:r>
          </w:p>
        </w:tc>
      </w:tr>
      <w:tr w:rsidR="00DC5685" w:rsidRPr="00A34F10" w14:paraId="6A8EC0D5" w14:textId="77777777" w:rsidTr="000470C3">
        <w:tc>
          <w:tcPr>
            <w:tcW w:w="1482" w:type="pct"/>
            <w:gridSpan w:val="2"/>
            <w:tcBorders>
              <w:right w:val="single" w:sz="4" w:space="0" w:color="auto"/>
            </w:tcBorders>
            <w:shd w:val="clear" w:color="auto" w:fill="auto"/>
          </w:tcPr>
          <w:p w14:paraId="4957738B" w14:textId="77777777" w:rsidR="00DC5685" w:rsidRPr="00A34F10" w:rsidRDefault="00DC5685" w:rsidP="000470C3">
            <w:pPr>
              <w:keepNext/>
              <w:keepLines/>
              <w:widowControl w:val="0"/>
              <w:rPr>
                <w:b/>
                <w:bCs/>
                <w:sz w:val="20"/>
                <w:szCs w:val="20"/>
                <w:lang w:val="en-GB"/>
              </w:rPr>
            </w:pPr>
            <w:r w:rsidRPr="00A34F10">
              <w:rPr>
                <w:b/>
                <w:bCs/>
                <w:sz w:val="20"/>
                <w:szCs w:val="20"/>
                <w:lang w:val="en-GB"/>
              </w:rPr>
              <w:t>Active substance</w:t>
            </w:r>
          </w:p>
        </w:tc>
        <w:tc>
          <w:tcPr>
            <w:tcW w:w="3518" w:type="pct"/>
            <w:gridSpan w:val="5"/>
            <w:tcBorders>
              <w:top w:val="nil"/>
              <w:left w:val="single" w:sz="4" w:space="0" w:color="auto"/>
              <w:bottom w:val="nil"/>
              <w:right w:val="single" w:sz="4" w:space="0" w:color="auto"/>
            </w:tcBorders>
            <w:shd w:val="clear" w:color="auto" w:fill="auto"/>
          </w:tcPr>
          <w:p w14:paraId="3AF8818D" w14:textId="77777777" w:rsidR="00DC5685" w:rsidRPr="00A34F10" w:rsidRDefault="00DC5685" w:rsidP="000470C3">
            <w:pPr>
              <w:keepNext/>
              <w:keepLines/>
              <w:widowControl w:val="0"/>
              <w:rPr>
                <w:sz w:val="20"/>
                <w:lang w:val="en-GB"/>
              </w:rPr>
            </w:pPr>
            <w:r w:rsidRPr="00A34F10">
              <w:rPr>
                <w:sz w:val="20"/>
                <w:lang w:val="en-GB"/>
              </w:rPr>
              <w:t>Ametoctradin</w:t>
            </w:r>
          </w:p>
        </w:tc>
      </w:tr>
      <w:tr w:rsidR="00DC5685" w:rsidRPr="00A34F10" w14:paraId="5A8AD50E" w14:textId="77777777" w:rsidTr="000470C3">
        <w:tc>
          <w:tcPr>
            <w:tcW w:w="1482" w:type="pct"/>
            <w:gridSpan w:val="2"/>
            <w:tcBorders>
              <w:right w:val="single" w:sz="4" w:space="0" w:color="auto"/>
            </w:tcBorders>
            <w:shd w:val="clear" w:color="auto" w:fill="auto"/>
          </w:tcPr>
          <w:p w14:paraId="01889794" w14:textId="77777777" w:rsidR="00DC5685" w:rsidRPr="00A34F10" w:rsidRDefault="00DC5685" w:rsidP="000470C3">
            <w:pPr>
              <w:keepNext/>
              <w:keepLines/>
              <w:widowControl w:val="0"/>
              <w:rPr>
                <w:b/>
                <w:bCs/>
                <w:sz w:val="20"/>
                <w:szCs w:val="20"/>
                <w:lang w:val="en-GB"/>
              </w:rPr>
            </w:pPr>
            <w:r w:rsidRPr="00A34F10">
              <w:rPr>
                <w:b/>
                <w:bCs/>
                <w:sz w:val="20"/>
                <w:szCs w:val="20"/>
                <w:lang w:val="en-GB"/>
              </w:rPr>
              <w:t>Application rate (kg/ha)</w:t>
            </w:r>
          </w:p>
        </w:tc>
        <w:tc>
          <w:tcPr>
            <w:tcW w:w="3518" w:type="pct"/>
            <w:gridSpan w:val="5"/>
            <w:tcBorders>
              <w:top w:val="nil"/>
              <w:left w:val="single" w:sz="4" w:space="0" w:color="auto"/>
              <w:bottom w:val="single" w:sz="4" w:space="0" w:color="auto"/>
              <w:right w:val="single" w:sz="4" w:space="0" w:color="auto"/>
            </w:tcBorders>
            <w:shd w:val="clear" w:color="auto" w:fill="auto"/>
          </w:tcPr>
          <w:p w14:paraId="702BC754" w14:textId="77777777" w:rsidR="00DC5685" w:rsidRPr="00A34F10" w:rsidRDefault="00DC5685" w:rsidP="000470C3">
            <w:pPr>
              <w:keepNext/>
              <w:keepLines/>
              <w:widowControl w:val="0"/>
              <w:rPr>
                <w:sz w:val="20"/>
                <w:lang w:val="en-GB"/>
              </w:rPr>
            </w:pPr>
            <w:r w:rsidRPr="00A34F10">
              <w:rPr>
                <w:sz w:val="20"/>
                <w:lang w:val="en-GB"/>
              </w:rPr>
              <w:t>3 × 0.24 (min. interval: 5 days)</w:t>
            </w:r>
          </w:p>
        </w:tc>
      </w:tr>
      <w:tr w:rsidR="00DC5685" w:rsidRPr="00A34F10" w14:paraId="6EDE2516" w14:textId="77777777" w:rsidTr="000470C3">
        <w:tc>
          <w:tcPr>
            <w:tcW w:w="1482" w:type="pct"/>
            <w:gridSpan w:val="2"/>
            <w:tcBorders>
              <w:right w:val="single" w:sz="4" w:space="0" w:color="auto"/>
            </w:tcBorders>
            <w:shd w:val="clear" w:color="auto" w:fill="auto"/>
          </w:tcPr>
          <w:p w14:paraId="1B1C62EA" w14:textId="77777777" w:rsidR="00DC5685" w:rsidRPr="00A34F10" w:rsidRDefault="00DC5685" w:rsidP="000470C3">
            <w:pPr>
              <w:keepNext/>
              <w:keepLines/>
              <w:widowControl w:val="0"/>
              <w:rPr>
                <w:b/>
                <w:bCs/>
                <w:sz w:val="20"/>
                <w:szCs w:val="20"/>
                <w:lang w:val="en-GB"/>
              </w:rPr>
            </w:pPr>
            <w:r w:rsidRPr="00A34F10">
              <w:rPr>
                <w:b/>
                <w:bCs/>
                <w:sz w:val="20"/>
                <w:szCs w:val="20"/>
                <w:lang w:val="en-GB"/>
              </w:rPr>
              <w:t>Acute toxicity (mg/kg bw)</w:t>
            </w:r>
          </w:p>
        </w:tc>
        <w:tc>
          <w:tcPr>
            <w:tcW w:w="3518" w:type="pct"/>
            <w:gridSpan w:val="5"/>
            <w:tcBorders>
              <w:top w:val="single" w:sz="4" w:space="0" w:color="auto"/>
              <w:left w:val="single" w:sz="4" w:space="0" w:color="auto"/>
              <w:bottom w:val="nil"/>
              <w:right w:val="single" w:sz="4" w:space="0" w:color="auto"/>
            </w:tcBorders>
            <w:shd w:val="clear" w:color="auto" w:fill="auto"/>
          </w:tcPr>
          <w:p w14:paraId="2B0B62E8" w14:textId="77777777" w:rsidR="00DC5685" w:rsidRPr="00A34F10" w:rsidRDefault="00DC5685" w:rsidP="000470C3">
            <w:pPr>
              <w:keepNext/>
              <w:keepLines/>
              <w:widowControl w:val="0"/>
              <w:rPr>
                <w:sz w:val="20"/>
                <w:lang w:val="en-GB"/>
              </w:rPr>
            </w:pPr>
            <w:r w:rsidRPr="00A34F10">
              <w:rPr>
                <w:sz w:val="20"/>
                <w:lang w:val="en-GB"/>
              </w:rPr>
              <w:t>3776</w:t>
            </w:r>
          </w:p>
        </w:tc>
      </w:tr>
      <w:tr w:rsidR="00DC5685" w:rsidRPr="00A34F10" w14:paraId="0C31F8B5" w14:textId="77777777" w:rsidTr="000470C3">
        <w:tc>
          <w:tcPr>
            <w:tcW w:w="1482" w:type="pct"/>
            <w:gridSpan w:val="2"/>
            <w:tcBorders>
              <w:right w:val="single" w:sz="4" w:space="0" w:color="auto"/>
            </w:tcBorders>
            <w:shd w:val="clear" w:color="auto" w:fill="auto"/>
          </w:tcPr>
          <w:p w14:paraId="5B41AFC8"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02016FFD" w14:textId="77777777" w:rsidR="00DC5685" w:rsidRPr="00A34F10" w:rsidRDefault="00DC5685" w:rsidP="000470C3">
            <w:pPr>
              <w:keepNext/>
              <w:keepLines/>
              <w:widowControl w:val="0"/>
              <w:rPr>
                <w:sz w:val="20"/>
                <w:lang w:val="en-GB"/>
              </w:rPr>
            </w:pPr>
            <w:r w:rsidRPr="00A34F10">
              <w:rPr>
                <w:sz w:val="20"/>
                <w:lang w:val="en-GB"/>
              </w:rPr>
              <w:t>10</w:t>
            </w:r>
          </w:p>
        </w:tc>
      </w:tr>
      <w:tr w:rsidR="00DC5685" w:rsidRPr="00A34F10" w14:paraId="166187AA" w14:textId="77777777" w:rsidTr="000470C3">
        <w:tc>
          <w:tcPr>
            <w:tcW w:w="991" w:type="pct"/>
            <w:shd w:val="clear" w:color="auto" w:fill="auto"/>
          </w:tcPr>
          <w:p w14:paraId="741EE948"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60E86276"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4E162866"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4318C199"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90</w:t>
            </w:r>
          </w:p>
        </w:tc>
        <w:tc>
          <w:tcPr>
            <w:tcW w:w="619" w:type="pct"/>
            <w:shd w:val="clear" w:color="auto" w:fill="auto"/>
          </w:tcPr>
          <w:p w14:paraId="27C7DDAE"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90</w:t>
            </w:r>
          </w:p>
        </w:tc>
        <w:tc>
          <w:tcPr>
            <w:tcW w:w="662" w:type="pct"/>
            <w:shd w:val="clear" w:color="auto" w:fill="auto"/>
          </w:tcPr>
          <w:p w14:paraId="3990208C"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90</w:t>
            </w:r>
          </w:p>
          <w:p w14:paraId="693D6782"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73B8DF75"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4AA014C3" w14:textId="77777777" w:rsidTr="000470C3">
        <w:tc>
          <w:tcPr>
            <w:tcW w:w="991" w:type="pct"/>
            <w:shd w:val="clear" w:color="auto" w:fill="auto"/>
          </w:tcPr>
          <w:p w14:paraId="369E377C"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6EC368C2"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5996DD13" w14:textId="77777777" w:rsidR="00DC5685" w:rsidRPr="00A34F10" w:rsidRDefault="00DC5685" w:rsidP="000470C3">
            <w:pPr>
              <w:keepNext/>
              <w:keepLines/>
              <w:widowControl w:val="0"/>
              <w:rPr>
                <w:sz w:val="20"/>
                <w:lang w:val="en-GB"/>
              </w:rPr>
            </w:pPr>
            <w:r w:rsidRPr="00A34F10">
              <w:rPr>
                <w:sz w:val="16"/>
                <w:szCs w:val="16"/>
                <w:lang w:val="en-GB"/>
              </w:rPr>
              <w:t>1</w:t>
            </w:r>
            <w:r w:rsidRPr="00A34F10">
              <w:rPr>
                <w:sz w:val="20"/>
                <w:szCs w:val="20"/>
                <w:lang w:val="en-GB"/>
              </w:rPr>
              <w:t>58.8</w:t>
            </w:r>
          </w:p>
        </w:tc>
        <w:tc>
          <w:tcPr>
            <w:tcW w:w="619" w:type="pct"/>
            <w:shd w:val="clear" w:color="auto" w:fill="auto"/>
          </w:tcPr>
          <w:p w14:paraId="0BAC12D3" w14:textId="77777777" w:rsidR="00DC5685" w:rsidRPr="00A34F10" w:rsidRDefault="00DC5685" w:rsidP="000470C3">
            <w:pPr>
              <w:keepNext/>
              <w:keepLines/>
              <w:widowControl w:val="0"/>
              <w:rPr>
                <w:sz w:val="20"/>
                <w:lang w:val="en-GB"/>
              </w:rPr>
            </w:pPr>
            <w:r w:rsidRPr="00A34F10">
              <w:rPr>
                <w:sz w:val="20"/>
                <w:lang w:val="en-GB"/>
              </w:rPr>
              <w:t>1.79</w:t>
            </w:r>
          </w:p>
        </w:tc>
        <w:tc>
          <w:tcPr>
            <w:tcW w:w="662" w:type="pct"/>
            <w:shd w:val="clear" w:color="auto" w:fill="auto"/>
          </w:tcPr>
          <w:p w14:paraId="635AD1DC" w14:textId="77777777" w:rsidR="00DC5685" w:rsidRPr="00A34F10" w:rsidRDefault="00DC5685" w:rsidP="000470C3">
            <w:pPr>
              <w:keepNext/>
              <w:keepLines/>
              <w:widowControl w:val="0"/>
              <w:rPr>
                <w:sz w:val="20"/>
                <w:lang w:val="en-GB"/>
              </w:rPr>
            </w:pPr>
            <w:r w:rsidRPr="00A34F10">
              <w:rPr>
                <w:sz w:val="20"/>
                <w:lang w:val="en-GB"/>
              </w:rPr>
              <w:t>68.31</w:t>
            </w:r>
          </w:p>
        </w:tc>
        <w:tc>
          <w:tcPr>
            <w:tcW w:w="622" w:type="pct"/>
            <w:shd w:val="clear" w:color="auto" w:fill="auto"/>
          </w:tcPr>
          <w:p w14:paraId="2E31E161" w14:textId="77777777" w:rsidR="00DC5685" w:rsidRPr="00A34F10" w:rsidRDefault="00DC5685" w:rsidP="000470C3">
            <w:pPr>
              <w:keepNext/>
              <w:keepLines/>
              <w:widowControl w:val="0"/>
              <w:rPr>
                <w:sz w:val="20"/>
                <w:lang w:val="en-GB"/>
              </w:rPr>
            </w:pPr>
            <w:r w:rsidRPr="00A34F10">
              <w:rPr>
                <w:sz w:val="20"/>
                <w:lang w:val="en-GB"/>
              </w:rPr>
              <w:t>55.3</w:t>
            </w:r>
          </w:p>
        </w:tc>
      </w:tr>
      <w:tr w:rsidR="00DC5685" w:rsidRPr="00A34F10" w14:paraId="52D62D86" w14:textId="77777777" w:rsidTr="000470C3">
        <w:tc>
          <w:tcPr>
            <w:tcW w:w="1482" w:type="pct"/>
            <w:gridSpan w:val="2"/>
            <w:tcBorders>
              <w:right w:val="single" w:sz="4" w:space="0" w:color="auto"/>
            </w:tcBorders>
            <w:shd w:val="clear" w:color="auto" w:fill="auto"/>
          </w:tcPr>
          <w:p w14:paraId="7A496476" w14:textId="77777777" w:rsidR="00DC5685" w:rsidRPr="00A34F10" w:rsidRDefault="00DC5685" w:rsidP="000470C3">
            <w:pPr>
              <w:keepNext/>
              <w:keepLines/>
              <w:widowControl w:val="0"/>
              <w:rPr>
                <w:b/>
                <w:bCs/>
                <w:sz w:val="20"/>
                <w:szCs w:val="20"/>
                <w:lang w:val="en-GB"/>
              </w:rPr>
            </w:pPr>
            <w:r w:rsidRPr="00A34F10">
              <w:rPr>
                <w:b/>
                <w:bCs/>
                <w:sz w:val="20"/>
                <w:szCs w:val="20"/>
                <w:lang w:val="en-GB"/>
              </w:rPr>
              <w:t>Reprod. toxicity (mg/kg bw/d)</w:t>
            </w:r>
          </w:p>
        </w:tc>
        <w:tc>
          <w:tcPr>
            <w:tcW w:w="3518" w:type="pct"/>
            <w:gridSpan w:val="5"/>
            <w:tcBorders>
              <w:top w:val="single" w:sz="4" w:space="0" w:color="auto"/>
              <w:left w:val="single" w:sz="4" w:space="0" w:color="auto"/>
              <w:bottom w:val="nil"/>
              <w:right w:val="single" w:sz="4" w:space="0" w:color="auto"/>
            </w:tcBorders>
            <w:shd w:val="clear" w:color="auto" w:fill="auto"/>
          </w:tcPr>
          <w:p w14:paraId="6CA00B16" w14:textId="77777777" w:rsidR="00DC5685" w:rsidRPr="00A34F10" w:rsidRDefault="00DC5685" w:rsidP="000470C3">
            <w:pPr>
              <w:keepNext/>
              <w:keepLines/>
              <w:widowControl w:val="0"/>
              <w:rPr>
                <w:sz w:val="20"/>
                <w:lang w:val="en-GB"/>
              </w:rPr>
            </w:pPr>
            <w:r w:rsidRPr="00A34F10">
              <w:rPr>
                <w:sz w:val="20"/>
                <w:lang w:val="en-GB"/>
              </w:rPr>
              <w:t>115.2</w:t>
            </w:r>
          </w:p>
        </w:tc>
      </w:tr>
      <w:tr w:rsidR="00DC5685" w:rsidRPr="00A34F10" w14:paraId="058C1D53" w14:textId="77777777" w:rsidTr="000470C3">
        <w:tc>
          <w:tcPr>
            <w:tcW w:w="1482" w:type="pct"/>
            <w:gridSpan w:val="2"/>
            <w:tcBorders>
              <w:right w:val="single" w:sz="4" w:space="0" w:color="auto"/>
            </w:tcBorders>
            <w:shd w:val="clear" w:color="auto" w:fill="auto"/>
          </w:tcPr>
          <w:p w14:paraId="7D9D421F"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14FE944D" w14:textId="77777777" w:rsidR="00DC5685" w:rsidRPr="00A34F10" w:rsidRDefault="00DC5685" w:rsidP="000470C3">
            <w:pPr>
              <w:keepNext/>
              <w:keepLines/>
              <w:widowControl w:val="0"/>
              <w:rPr>
                <w:sz w:val="20"/>
                <w:lang w:val="en-GB"/>
              </w:rPr>
            </w:pPr>
            <w:r w:rsidRPr="00A34F10">
              <w:rPr>
                <w:sz w:val="20"/>
                <w:lang w:val="en-GB"/>
              </w:rPr>
              <w:t>5</w:t>
            </w:r>
          </w:p>
        </w:tc>
      </w:tr>
      <w:tr w:rsidR="00DC5685" w:rsidRPr="00A34F10" w14:paraId="5C0232D5" w14:textId="77777777" w:rsidTr="000470C3">
        <w:tc>
          <w:tcPr>
            <w:tcW w:w="991" w:type="pct"/>
            <w:shd w:val="clear" w:color="auto" w:fill="auto"/>
          </w:tcPr>
          <w:p w14:paraId="6B4DBA56"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1FF2767F"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33B8A65A"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4DD297B9"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m</w:t>
            </w:r>
          </w:p>
        </w:tc>
        <w:tc>
          <w:tcPr>
            <w:tcW w:w="619" w:type="pct"/>
            <w:shd w:val="clear" w:color="auto" w:fill="auto"/>
          </w:tcPr>
          <w:p w14:paraId="2313638F"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m</w:t>
            </w:r>
            <w:r w:rsidRPr="00A34F10">
              <w:rPr>
                <w:b/>
                <w:bCs/>
                <w:sz w:val="20"/>
                <w:szCs w:val="20"/>
                <w:lang w:val="en-GB"/>
              </w:rPr>
              <w:t xml:space="preserve"> × TWA</w:t>
            </w:r>
          </w:p>
        </w:tc>
        <w:tc>
          <w:tcPr>
            <w:tcW w:w="662" w:type="pct"/>
            <w:shd w:val="clear" w:color="auto" w:fill="auto"/>
          </w:tcPr>
          <w:p w14:paraId="39DF2623"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m</w:t>
            </w:r>
          </w:p>
          <w:p w14:paraId="40C6E79A"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29AFE573"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lt</w:t>
            </w:r>
          </w:p>
        </w:tc>
      </w:tr>
      <w:tr w:rsidR="00DC5685" w:rsidRPr="00A34F10" w14:paraId="4EC066AB" w14:textId="77777777" w:rsidTr="000470C3">
        <w:tc>
          <w:tcPr>
            <w:tcW w:w="991" w:type="pct"/>
            <w:shd w:val="clear" w:color="auto" w:fill="auto"/>
          </w:tcPr>
          <w:p w14:paraId="5B650F36"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4F0571CB"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1EEB5728" w14:textId="77777777" w:rsidR="00DC5685" w:rsidRPr="00A34F10" w:rsidRDefault="00DC5685" w:rsidP="000470C3">
            <w:pPr>
              <w:keepNext/>
              <w:keepLines/>
              <w:widowControl w:val="0"/>
              <w:rPr>
                <w:sz w:val="20"/>
                <w:szCs w:val="20"/>
                <w:lang w:val="en-GB"/>
              </w:rPr>
            </w:pPr>
            <w:r w:rsidRPr="00A34F10">
              <w:rPr>
                <w:sz w:val="20"/>
                <w:szCs w:val="20"/>
                <w:lang w:val="en-GB"/>
              </w:rPr>
              <w:t>64.8</w:t>
            </w:r>
          </w:p>
        </w:tc>
        <w:tc>
          <w:tcPr>
            <w:tcW w:w="619" w:type="pct"/>
            <w:shd w:val="clear" w:color="auto" w:fill="auto"/>
          </w:tcPr>
          <w:p w14:paraId="457B6E46" w14:textId="77777777" w:rsidR="00DC5685" w:rsidRPr="00A34F10" w:rsidRDefault="00DC5685" w:rsidP="000470C3">
            <w:pPr>
              <w:keepNext/>
              <w:keepLines/>
              <w:widowControl w:val="0"/>
              <w:rPr>
                <w:sz w:val="20"/>
                <w:lang w:val="en-GB"/>
              </w:rPr>
            </w:pPr>
            <w:r w:rsidRPr="00A34F10">
              <w:rPr>
                <w:sz w:val="20"/>
                <w:lang w:val="en-GB"/>
              </w:rPr>
              <w:t>2.21 x 0.53</w:t>
            </w:r>
          </w:p>
        </w:tc>
        <w:tc>
          <w:tcPr>
            <w:tcW w:w="662" w:type="pct"/>
            <w:shd w:val="clear" w:color="auto" w:fill="auto"/>
          </w:tcPr>
          <w:p w14:paraId="2B425DFB" w14:textId="77777777" w:rsidR="00DC5685" w:rsidRPr="00A34F10" w:rsidRDefault="00DC5685" w:rsidP="000470C3">
            <w:pPr>
              <w:keepNext/>
              <w:keepLines/>
              <w:widowControl w:val="0"/>
              <w:rPr>
                <w:sz w:val="20"/>
                <w:lang w:val="en-GB"/>
              </w:rPr>
            </w:pPr>
            <w:r w:rsidRPr="00A34F10">
              <w:rPr>
                <w:sz w:val="20"/>
                <w:lang w:val="en-GB"/>
              </w:rPr>
              <w:t>18.36</w:t>
            </w:r>
          </w:p>
        </w:tc>
        <w:tc>
          <w:tcPr>
            <w:tcW w:w="622" w:type="pct"/>
            <w:shd w:val="clear" w:color="auto" w:fill="auto"/>
          </w:tcPr>
          <w:p w14:paraId="2C1C24E6" w14:textId="77777777" w:rsidR="00DC5685" w:rsidRPr="00A34F10" w:rsidRDefault="00DC5685" w:rsidP="000470C3">
            <w:pPr>
              <w:keepNext/>
              <w:keepLines/>
              <w:widowControl w:val="0"/>
              <w:rPr>
                <w:sz w:val="20"/>
                <w:lang w:val="en-GB"/>
              </w:rPr>
            </w:pPr>
            <w:r w:rsidRPr="00A34F10">
              <w:rPr>
                <w:sz w:val="20"/>
                <w:lang w:val="en-GB"/>
              </w:rPr>
              <w:t>6.3</w:t>
            </w:r>
          </w:p>
        </w:tc>
      </w:tr>
    </w:tbl>
    <w:p w14:paraId="462F832A" w14:textId="77777777" w:rsidR="00DC5685" w:rsidRPr="00A34F10" w:rsidRDefault="00DC5685" w:rsidP="00DC5685">
      <w:pPr>
        <w:keepNext/>
        <w:keepLines/>
        <w:widowControl w:val="0"/>
        <w:tabs>
          <w:tab w:val="left" w:pos="0"/>
        </w:tabs>
        <w:jc w:val="both"/>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27C7C251" w14:textId="77777777" w:rsidR="00DC5685" w:rsidRPr="00A34F10" w:rsidRDefault="00DC5685" w:rsidP="00DC5685">
      <w:pPr>
        <w:keepNext/>
        <w:keepLines/>
        <w:widowControl w:val="0"/>
        <w:tabs>
          <w:tab w:val="left" w:pos="0"/>
        </w:tabs>
        <w:rPr>
          <w:sz w:val="18"/>
          <w:szCs w:val="18"/>
          <w:lang w:val="en-GB"/>
        </w:rPr>
      </w:pPr>
    </w:p>
    <w:p w14:paraId="35767205" w14:textId="77777777" w:rsidR="00DC5685" w:rsidRPr="00A34F10" w:rsidRDefault="00DC5685" w:rsidP="00DC5685">
      <w:pPr>
        <w:widowControl w:val="0"/>
        <w:jc w:val="both"/>
        <w:rPr>
          <w:lang w:val="en-GB"/>
        </w:rPr>
      </w:pPr>
      <w:bookmarkStart w:id="216" w:name="_Hlk39436627"/>
      <w:r w:rsidRPr="00A34F10">
        <w:rPr>
          <w:lang w:val="en-GB"/>
        </w:rPr>
        <w:t>The screening assessment above shows an acceptable acute and chronic risk to birds for the active substance Ametoctradin from the proposed uses of BAS 743 03 F. No higher tier dietary risk assessments are necessary.</w:t>
      </w:r>
    </w:p>
    <w:bookmarkEnd w:id="216"/>
    <w:p w14:paraId="1AB61463" w14:textId="77777777" w:rsidR="00721DB9" w:rsidRPr="00A34F10" w:rsidRDefault="00721DB9" w:rsidP="00DC5685">
      <w:pPr>
        <w:widowControl w:val="0"/>
        <w:tabs>
          <w:tab w:val="left" w:pos="720"/>
        </w:tabs>
        <w:suppressAutoHyphens/>
        <w:jc w:val="both"/>
        <w:rPr>
          <w:b/>
          <w:u w:val="single"/>
          <w:lang w:val="en-GB"/>
        </w:rPr>
      </w:pPr>
    </w:p>
    <w:p w14:paraId="6E6070EA" w14:textId="304F89EF" w:rsidR="00DC5685" w:rsidRPr="00A34F10" w:rsidRDefault="00721DB9" w:rsidP="009A6F86">
      <w:pPr>
        <w:pStyle w:val="Legenda"/>
        <w:ind w:left="1276" w:hanging="1276"/>
      </w:pPr>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9</w:t>
      </w:r>
      <w:r w:rsidR="007E7467">
        <w:fldChar w:fldCharType="end"/>
      </w:r>
      <w:r w:rsidR="00DC5685" w:rsidRPr="00A34F10">
        <w:tab/>
        <w:t>Propamocarb-HCl: Screening assessment of the acute and long-term/reproductive risk for birds due to the worst-case use of BAS 743 03 F in potato (3 × 2.0 L product/ha)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0"/>
        <w:gridCol w:w="915"/>
        <w:gridCol w:w="1861"/>
        <w:gridCol w:w="1154"/>
        <w:gridCol w:w="1154"/>
        <w:gridCol w:w="1254"/>
        <w:gridCol w:w="1159"/>
      </w:tblGrid>
      <w:tr w:rsidR="00DC5685" w:rsidRPr="00A34F10" w14:paraId="63E5C33F" w14:textId="77777777" w:rsidTr="000470C3">
        <w:tc>
          <w:tcPr>
            <w:tcW w:w="1482" w:type="pct"/>
            <w:gridSpan w:val="2"/>
            <w:tcBorders>
              <w:right w:val="single" w:sz="4" w:space="0" w:color="auto"/>
            </w:tcBorders>
            <w:shd w:val="clear" w:color="auto" w:fill="auto"/>
          </w:tcPr>
          <w:p w14:paraId="04D8C1BD" w14:textId="77777777" w:rsidR="00DC5685" w:rsidRPr="00A34F10" w:rsidRDefault="00DC5685" w:rsidP="000470C3">
            <w:pPr>
              <w:keepNext/>
              <w:keepLines/>
              <w:widowControl w:val="0"/>
              <w:spacing w:before="60" w:after="60"/>
              <w:rPr>
                <w:b/>
                <w:sz w:val="20"/>
                <w:szCs w:val="20"/>
                <w:lang w:val="en-GB"/>
              </w:rPr>
            </w:pPr>
            <w:r w:rsidRPr="00A34F10">
              <w:rPr>
                <w:b/>
                <w:sz w:val="20"/>
                <w:szCs w:val="20"/>
                <w:lang w:val="en-GB"/>
              </w:rPr>
              <w:t>Intended use</w:t>
            </w:r>
          </w:p>
        </w:tc>
        <w:tc>
          <w:tcPr>
            <w:tcW w:w="3518" w:type="pct"/>
            <w:gridSpan w:val="5"/>
            <w:tcBorders>
              <w:top w:val="single" w:sz="4" w:space="0" w:color="auto"/>
              <w:left w:val="single" w:sz="4" w:space="0" w:color="auto"/>
              <w:bottom w:val="nil"/>
              <w:right w:val="single" w:sz="4" w:space="0" w:color="auto"/>
            </w:tcBorders>
            <w:shd w:val="clear" w:color="auto" w:fill="auto"/>
          </w:tcPr>
          <w:p w14:paraId="0A8D258A" w14:textId="77777777" w:rsidR="00DC5685" w:rsidRPr="00A34F10" w:rsidRDefault="00DC5685" w:rsidP="000470C3">
            <w:pPr>
              <w:keepNext/>
              <w:keepLines/>
              <w:widowControl w:val="0"/>
              <w:spacing w:before="60" w:after="60"/>
              <w:rPr>
                <w:bCs/>
                <w:sz w:val="20"/>
                <w:szCs w:val="20"/>
                <w:lang w:val="en-GB"/>
              </w:rPr>
            </w:pPr>
            <w:r w:rsidRPr="00A34F10">
              <w:rPr>
                <w:bCs/>
                <w:sz w:val="20"/>
                <w:szCs w:val="20"/>
                <w:lang w:val="en-GB"/>
              </w:rPr>
              <w:t xml:space="preserve">Potato </w:t>
            </w:r>
          </w:p>
        </w:tc>
      </w:tr>
      <w:tr w:rsidR="00DC5685" w:rsidRPr="00A34F10" w14:paraId="18ABFF15" w14:textId="77777777" w:rsidTr="000470C3">
        <w:tc>
          <w:tcPr>
            <w:tcW w:w="1482" w:type="pct"/>
            <w:gridSpan w:val="2"/>
            <w:tcBorders>
              <w:right w:val="single" w:sz="4" w:space="0" w:color="auto"/>
            </w:tcBorders>
            <w:shd w:val="clear" w:color="auto" w:fill="auto"/>
          </w:tcPr>
          <w:p w14:paraId="008036DC" w14:textId="77777777" w:rsidR="00DC5685" w:rsidRPr="00A34F10" w:rsidRDefault="00DC5685" w:rsidP="000470C3">
            <w:pPr>
              <w:keepNext/>
              <w:keepLines/>
              <w:widowControl w:val="0"/>
              <w:rPr>
                <w:b/>
                <w:bCs/>
                <w:sz w:val="20"/>
                <w:szCs w:val="20"/>
                <w:lang w:val="en-GB"/>
              </w:rPr>
            </w:pPr>
            <w:r w:rsidRPr="00A34F10">
              <w:rPr>
                <w:b/>
                <w:bCs/>
                <w:sz w:val="20"/>
                <w:szCs w:val="20"/>
                <w:lang w:val="en-GB"/>
              </w:rPr>
              <w:t>Active substance</w:t>
            </w:r>
          </w:p>
        </w:tc>
        <w:tc>
          <w:tcPr>
            <w:tcW w:w="3518" w:type="pct"/>
            <w:gridSpan w:val="5"/>
            <w:tcBorders>
              <w:top w:val="nil"/>
              <w:left w:val="single" w:sz="4" w:space="0" w:color="auto"/>
              <w:bottom w:val="nil"/>
              <w:right w:val="single" w:sz="4" w:space="0" w:color="auto"/>
            </w:tcBorders>
            <w:shd w:val="clear" w:color="auto" w:fill="auto"/>
          </w:tcPr>
          <w:p w14:paraId="51C549C6" w14:textId="77777777" w:rsidR="00DC5685" w:rsidRPr="00A34F10" w:rsidRDefault="00DC5685" w:rsidP="000470C3">
            <w:pPr>
              <w:keepNext/>
              <w:keepLines/>
              <w:widowControl w:val="0"/>
              <w:rPr>
                <w:sz w:val="20"/>
                <w:lang w:val="en-GB"/>
              </w:rPr>
            </w:pPr>
            <w:r w:rsidRPr="00A34F10">
              <w:rPr>
                <w:sz w:val="20"/>
                <w:lang w:val="en-GB"/>
              </w:rPr>
              <w:t>Propamocarb</w:t>
            </w:r>
          </w:p>
        </w:tc>
      </w:tr>
      <w:tr w:rsidR="00DC5685" w:rsidRPr="00A34F10" w14:paraId="3BE6C317" w14:textId="77777777" w:rsidTr="000470C3">
        <w:tc>
          <w:tcPr>
            <w:tcW w:w="1482" w:type="pct"/>
            <w:gridSpan w:val="2"/>
            <w:tcBorders>
              <w:right w:val="single" w:sz="4" w:space="0" w:color="auto"/>
            </w:tcBorders>
            <w:shd w:val="clear" w:color="auto" w:fill="auto"/>
          </w:tcPr>
          <w:p w14:paraId="196598E1" w14:textId="77777777" w:rsidR="00DC5685" w:rsidRPr="00A34F10" w:rsidRDefault="00DC5685" w:rsidP="000470C3">
            <w:pPr>
              <w:keepNext/>
              <w:keepLines/>
              <w:widowControl w:val="0"/>
              <w:rPr>
                <w:b/>
                <w:bCs/>
                <w:sz w:val="20"/>
                <w:szCs w:val="20"/>
                <w:lang w:val="en-GB"/>
              </w:rPr>
            </w:pPr>
            <w:r w:rsidRPr="00A34F10">
              <w:rPr>
                <w:b/>
                <w:bCs/>
                <w:sz w:val="20"/>
                <w:szCs w:val="20"/>
                <w:lang w:val="en-GB"/>
              </w:rPr>
              <w:t>Application rate (kg/ha)</w:t>
            </w:r>
          </w:p>
        </w:tc>
        <w:tc>
          <w:tcPr>
            <w:tcW w:w="3518" w:type="pct"/>
            <w:gridSpan w:val="5"/>
            <w:tcBorders>
              <w:top w:val="nil"/>
              <w:left w:val="single" w:sz="4" w:space="0" w:color="auto"/>
              <w:bottom w:val="single" w:sz="4" w:space="0" w:color="auto"/>
              <w:right w:val="single" w:sz="4" w:space="0" w:color="auto"/>
            </w:tcBorders>
            <w:shd w:val="clear" w:color="auto" w:fill="auto"/>
          </w:tcPr>
          <w:p w14:paraId="69A6B7D1" w14:textId="77777777" w:rsidR="00DC5685" w:rsidRPr="00A34F10" w:rsidRDefault="00DC5685" w:rsidP="000470C3">
            <w:pPr>
              <w:keepNext/>
              <w:keepLines/>
              <w:widowControl w:val="0"/>
              <w:rPr>
                <w:sz w:val="20"/>
                <w:lang w:val="en-GB"/>
              </w:rPr>
            </w:pPr>
            <w:r w:rsidRPr="00A34F10">
              <w:rPr>
                <w:sz w:val="20"/>
                <w:lang w:val="en-GB"/>
              </w:rPr>
              <w:t>3 × 0.902</w:t>
            </w:r>
          </w:p>
        </w:tc>
      </w:tr>
      <w:tr w:rsidR="00DC5685" w:rsidRPr="00A34F10" w14:paraId="36320A13" w14:textId="77777777" w:rsidTr="000470C3">
        <w:tc>
          <w:tcPr>
            <w:tcW w:w="1482" w:type="pct"/>
            <w:gridSpan w:val="2"/>
            <w:tcBorders>
              <w:right w:val="single" w:sz="4" w:space="0" w:color="auto"/>
            </w:tcBorders>
            <w:shd w:val="clear" w:color="auto" w:fill="auto"/>
          </w:tcPr>
          <w:p w14:paraId="1ED70DFE" w14:textId="77777777" w:rsidR="00DC5685" w:rsidRPr="00A34F10" w:rsidRDefault="00DC5685" w:rsidP="000470C3">
            <w:pPr>
              <w:keepNext/>
              <w:keepLines/>
              <w:widowControl w:val="0"/>
              <w:rPr>
                <w:b/>
                <w:bCs/>
                <w:sz w:val="20"/>
                <w:szCs w:val="20"/>
                <w:lang w:val="en-GB"/>
              </w:rPr>
            </w:pPr>
            <w:r w:rsidRPr="00A34F10">
              <w:rPr>
                <w:b/>
                <w:bCs/>
                <w:sz w:val="20"/>
                <w:szCs w:val="20"/>
                <w:lang w:val="en-GB"/>
              </w:rPr>
              <w:t>Acute toxicity (mg/kg bw)</w:t>
            </w:r>
          </w:p>
        </w:tc>
        <w:tc>
          <w:tcPr>
            <w:tcW w:w="3518" w:type="pct"/>
            <w:gridSpan w:val="5"/>
            <w:tcBorders>
              <w:top w:val="single" w:sz="4" w:space="0" w:color="auto"/>
              <w:left w:val="single" w:sz="4" w:space="0" w:color="auto"/>
              <w:bottom w:val="nil"/>
              <w:right w:val="single" w:sz="4" w:space="0" w:color="auto"/>
            </w:tcBorders>
            <w:shd w:val="clear" w:color="auto" w:fill="auto"/>
          </w:tcPr>
          <w:p w14:paraId="3B408B70" w14:textId="77777777" w:rsidR="00DC5685" w:rsidRPr="00A34F10" w:rsidRDefault="00DC5685" w:rsidP="000470C3">
            <w:pPr>
              <w:keepNext/>
              <w:keepLines/>
              <w:widowControl w:val="0"/>
              <w:rPr>
                <w:sz w:val="20"/>
                <w:lang w:val="en-GB"/>
              </w:rPr>
            </w:pPr>
            <w:r w:rsidRPr="00A34F10">
              <w:rPr>
                <w:sz w:val="20"/>
                <w:lang w:val="en-GB"/>
              </w:rPr>
              <w:t>3477.7</w:t>
            </w:r>
          </w:p>
        </w:tc>
      </w:tr>
      <w:tr w:rsidR="00DC5685" w:rsidRPr="00A34F10" w14:paraId="7D504BC4" w14:textId="77777777" w:rsidTr="000470C3">
        <w:tc>
          <w:tcPr>
            <w:tcW w:w="1482" w:type="pct"/>
            <w:gridSpan w:val="2"/>
            <w:tcBorders>
              <w:right w:val="single" w:sz="4" w:space="0" w:color="auto"/>
            </w:tcBorders>
            <w:shd w:val="clear" w:color="auto" w:fill="auto"/>
          </w:tcPr>
          <w:p w14:paraId="38B95232"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38931318" w14:textId="77777777" w:rsidR="00DC5685" w:rsidRPr="00A34F10" w:rsidRDefault="00DC5685" w:rsidP="000470C3">
            <w:pPr>
              <w:keepNext/>
              <w:keepLines/>
              <w:widowControl w:val="0"/>
              <w:rPr>
                <w:sz w:val="20"/>
                <w:lang w:val="en-GB"/>
              </w:rPr>
            </w:pPr>
            <w:r w:rsidRPr="00A34F10">
              <w:rPr>
                <w:sz w:val="20"/>
                <w:lang w:val="en-GB"/>
              </w:rPr>
              <w:t>10</w:t>
            </w:r>
          </w:p>
        </w:tc>
      </w:tr>
      <w:tr w:rsidR="00DC5685" w:rsidRPr="00A34F10" w14:paraId="3F1059DF" w14:textId="77777777" w:rsidTr="000470C3">
        <w:tc>
          <w:tcPr>
            <w:tcW w:w="991" w:type="pct"/>
            <w:shd w:val="clear" w:color="auto" w:fill="auto"/>
          </w:tcPr>
          <w:p w14:paraId="0C77AC6C"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661E556B"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34BFCDD4"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3D47FD55"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90</w:t>
            </w:r>
          </w:p>
        </w:tc>
        <w:tc>
          <w:tcPr>
            <w:tcW w:w="619" w:type="pct"/>
            <w:shd w:val="clear" w:color="auto" w:fill="auto"/>
          </w:tcPr>
          <w:p w14:paraId="0DCE6C04"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90</w:t>
            </w:r>
          </w:p>
        </w:tc>
        <w:tc>
          <w:tcPr>
            <w:tcW w:w="662" w:type="pct"/>
            <w:shd w:val="clear" w:color="auto" w:fill="auto"/>
          </w:tcPr>
          <w:p w14:paraId="43128987"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90</w:t>
            </w:r>
          </w:p>
          <w:p w14:paraId="3932E319"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703F14DD"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09F0B769" w14:textId="77777777" w:rsidTr="000470C3">
        <w:tc>
          <w:tcPr>
            <w:tcW w:w="991" w:type="pct"/>
            <w:shd w:val="clear" w:color="auto" w:fill="auto"/>
          </w:tcPr>
          <w:p w14:paraId="715495F4"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55099897"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6C2FC8DF" w14:textId="77777777" w:rsidR="00DC5685" w:rsidRPr="00A34F10" w:rsidRDefault="00DC5685" w:rsidP="000470C3">
            <w:pPr>
              <w:keepNext/>
              <w:keepLines/>
              <w:widowControl w:val="0"/>
              <w:rPr>
                <w:sz w:val="20"/>
                <w:lang w:val="en-GB"/>
              </w:rPr>
            </w:pPr>
            <w:r w:rsidRPr="00A34F10">
              <w:rPr>
                <w:sz w:val="16"/>
                <w:szCs w:val="16"/>
                <w:lang w:val="en-GB"/>
              </w:rPr>
              <w:t>1</w:t>
            </w:r>
            <w:r w:rsidRPr="00A34F10">
              <w:rPr>
                <w:sz w:val="20"/>
                <w:szCs w:val="20"/>
                <w:lang w:val="en-GB"/>
              </w:rPr>
              <w:t>58.8</w:t>
            </w:r>
          </w:p>
        </w:tc>
        <w:tc>
          <w:tcPr>
            <w:tcW w:w="619" w:type="pct"/>
            <w:shd w:val="clear" w:color="auto" w:fill="auto"/>
          </w:tcPr>
          <w:p w14:paraId="003A020F" w14:textId="77777777" w:rsidR="00DC5685" w:rsidRPr="00A34F10" w:rsidRDefault="00DC5685" w:rsidP="000470C3">
            <w:pPr>
              <w:keepNext/>
              <w:keepLines/>
              <w:widowControl w:val="0"/>
              <w:rPr>
                <w:sz w:val="20"/>
                <w:lang w:val="en-GB"/>
              </w:rPr>
            </w:pPr>
            <w:r w:rsidRPr="00A34F10">
              <w:rPr>
                <w:sz w:val="20"/>
                <w:lang w:val="en-GB"/>
              </w:rPr>
              <w:t>1.79</w:t>
            </w:r>
          </w:p>
        </w:tc>
        <w:tc>
          <w:tcPr>
            <w:tcW w:w="662" w:type="pct"/>
            <w:shd w:val="clear" w:color="auto" w:fill="auto"/>
          </w:tcPr>
          <w:p w14:paraId="4C6DB46B" w14:textId="77777777" w:rsidR="00DC5685" w:rsidRPr="00A34F10" w:rsidRDefault="00DC5685" w:rsidP="000470C3">
            <w:pPr>
              <w:keepNext/>
              <w:keepLines/>
              <w:widowControl w:val="0"/>
              <w:rPr>
                <w:sz w:val="20"/>
                <w:lang w:val="en-GB"/>
              </w:rPr>
            </w:pPr>
            <w:r w:rsidRPr="00A34F10">
              <w:rPr>
                <w:sz w:val="20"/>
                <w:lang w:val="en-GB"/>
              </w:rPr>
              <w:t>256.75</w:t>
            </w:r>
          </w:p>
        </w:tc>
        <w:tc>
          <w:tcPr>
            <w:tcW w:w="622" w:type="pct"/>
            <w:shd w:val="clear" w:color="auto" w:fill="auto"/>
          </w:tcPr>
          <w:p w14:paraId="27AF44D7" w14:textId="77777777" w:rsidR="00DC5685" w:rsidRPr="00A34F10" w:rsidRDefault="00DC5685" w:rsidP="000470C3">
            <w:pPr>
              <w:keepNext/>
              <w:keepLines/>
              <w:widowControl w:val="0"/>
              <w:rPr>
                <w:sz w:val="20"/>
                <w:lang w:val="en-GB"/>
              </w:rPr>
            </w:pPr>
            <w:r w:rsidRPr="00A34F10">
              <w:rPr>
                <w:sz w:val="20"/>
                <w:lang w:val="en-GB"/>
              </w:rPr>
              <w:t>13.5</w:t>
            </w:r>
          </w:p>
        </w:tc>
      </w:tr>
      <w:tr w:rsidR="00DC5685" w:rsidRPr="00A34F10" w14:paraId="21276211" w14:textId="77777777" w:rsidTr="000470C3">
        <w:tc>
          <w:tcPr>
            <w:tcW w:w="1482" w:type="pct"/>
            <w:gridSpan w:val="2"/>
            <w:tcBorders>
              <w:right w:val="single" w:sz="4" w:space="0" w:color="auto"/>
            </w:tcBorders>
            <w:shd w:val="clear" w:color="auto" w:fill="auto"/>
          </w:tcPr>
          <w:p w14:paraId="72B8FFAC" w14:textId="77777777" w:rsidR="00DC5685" w:rsidRPr="00A34F10" w:rsidRDefault="00DC5685" w:rsidP="000470C3">
            <w:pPr>
              <w:keepNext/>
              <w:keepLines/>
              <w:widowControl w:val="0"/>
              <w:rPr>
                <w:b/>
                <w:bCs/>
                <w:sz w:val="20"/>
                <w:szCs w:val="20"/>
                <w:lang w:val="en-GB"/>
              </w:rPr>
            </w:pPr>
            <w:r w:rsidRPr="00A34F10">
              <w:rPr>
                <w:b/>
                <w:bCs/>
                <w:sz w:val="20"/>
                <w:szCs w:val="20"/>
                <w:lang w:val="en-GB"/>
              </w:rPr>
              <w:t>Reprod. toxicity (mg/kg bw/d)</w:t>
            </w:r>
          </w:p>
        </w:tc>
        <w:tc>
          <w:tcPr>
            <w:tcW w:w="3518" w:type="pct"/>
            <w:gridSpan w:val="5"/>
            <w:tcBorders>
              <w:top w:val="single" w:sz="4" w:space="0" w:color="auto"/>
              <w:left w:val="single" w:sz="4" w:space="0" w:color="auto"/>
              <w:bottom w:val="nil"/>
              <w:right w:val="single" w:sz="4" w:space="0" w:color="auto"/>
            </w:tcBorders>
            <w:shd w:val="clear" w:color="auto" w:fill="auto"/>
          </w:tcPr>
          <w:p w14:paraId="3E356318" w14:textId="77777777" w:rsidR="00DC5685" w:rsidRPr="00A34F10" w:rsidRDefault="00DC5685" w:rsidP="000470C3">
            <w:pPr>
              <w:keepNext/>
              <w:keepLines/>
              <w:widowControl w:val="0"/>
              <w:rPr>
                <w:sz w:val="20"/>
                <w:lang w:val="en-GB"/>
              </w:rPr>
            </w:pPr>
            <w:r w:rsidRPr="00A34F10">
              <w:rPr>
                <w:sz w:val="20"/>
                <w:lang w:val="en-GB"/>
              </w:rPr>
              <w:t>105</w:t>
            </w:r>
          </w:p>
        </w:tc>
      </w:tr>
      <w:tr w:rsidR="00DC5685" w:rsidRPr="00A34F10" w14:paraId="3177AF31" w14:textId="77777777" w:rsidTr="000470C3">
        <w:tc>
          <w:tcPr>
            <w:tcW w:w="1482" w:type="pct"/>
            <w:gridSpan w:val="2"/>
            <w:tcBorders>
              <w:right w:val="single" w:sz="4" w:space="0" w:color="auto"/>
            </w:tcBorders>
            <w:shd w:val="clear" w:color="auto" w:fill="auto"/>
          </w:tcPr>
          <w:p w14:paraId="7EE9F18D"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6FE4A415" w14:textId="77777777" w:rsidR="00DC5685" w:rsidRPr="00A34F10" w:rsidRDefault="00DC5685" w:rsidP="000470C3">
            <w:pPr>
              <w:keepNext/>
              <w:keepLines/>
              <w:widowControl w:val="0"/>
              <w:rPr>
                <w:sz w:val="20"/>
                <w:lang w:val="en-GB"/>
              </w:rPr>
            </w:pPr>
            <w:r w:rsidRPr="00A34F10">
              <w:rPr>
                <w:sz w:val="20"/>
                <w:lang w:val="en-GB"/>
              </w:rPr>
              <w:t>5</w:t>
            </w:r>
          </w:p>
        </w:tc>
      </w:tr>
      <w:tr w:rsidR="00DC5685" w:rsidRPr="00A34F10" w14:paraId="694303F8" w14:textId="77777777" w:rsidTr="000470C3">
        <w:tc>
          <w:tcPr>
            <w:tcW w:w="991" w:type="pct"/>
            <w:shd w:val="clear" w:color="auto" w:fill="auto"/>
          </w:tcPr>
          <w:p w14:paraId="5788C47D"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34E6D982"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173331DC"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220C9266"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m</w:t>
            </w:r>
          </w:p>
        </w:tc>
        <w:tc>
          <w:tcPr>
            <w:tcW w:w="619" w:type="pct"/>
            <w:shd w:val="clear" w:color="auto" w:fill="auto"/>
          </w:tcPr>
          <w:p w14:paraId="575925D9"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m</w:t>
            </w:r>
            <w:r w:rsidRPr="00A34F10">
              <w:rPr>
                <w:b/>
                <w:bCs/>
                <w:sz w:val="20"/>
                <w:szCs w:val="20"/>
                <w:lang w:val="en-GB"/>
              </w:rPr>
              <w:t xml:space="preserve"> × TWA</w:t>
            </w:r>
          </w:p>
        </w:tc>
        <w:tc>
          <w:tcPr>
            <w:tcW w:w="662" w:type="pct"/>
            <w:shd w:val="clear" w:color="auto" w:fill="auto"/>
          </w:tcPr>
          <w:p w14:paraId="120DEB06"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m</w:t>
            </w:r>
          </w:p>
          <w:p w14:paraId="3AFDFBF4"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3CB79103"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lt</w:t>
            </w:r>
          </w:p>
        </w:tc>
      </w:tr>
      <w:tr w:rsidR="00DC5685" w:rsidRPr="00A34F10" w14:paraId="06C3A3A1" w14:textId="77777777" w:rsidTr="000470C3">
        <w:tc>
          <w:tcPr>
            <w:tcW w:w="991" w:type="pct"/>
            <w:shd w:val="clear" w:color="auto" w:fill="auto"/>
          </w:tcPr>
          <w:p w14:paraId="4AFC1FCE"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455CEC17"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18DA086C" w14:textId="77777777" w:rsidR="00DC5685" w:rsidRPr="00A34F10" w:rsidRDefault="00DC5685" w:rsidP="000470C3">
            <w:pPr>
              <w:keepNext/>
              <w:keepLines/>
              <w:widowControl w:val="0"/>
              <w:rPr>
                <w:sz w:val="20"/>
                <w:szCs w:val="20"/>
                <w:lang w:val="en-GB"/>
              </w:rPr>
            </w:pPr>
            <w:r w:rsidRPr="00A34F10">
              <w:rPr>
                <w:sz w:val="20"/>
                <w:szCs w:val="20"/>
                <w:lang w:val="en-GB"/>
              </w:rPr>
              <w:t>64.8</w:t>
            </w:r>
          </w:p>
        </w:tc>
        <w:tc>
          <w:tcPr>
            <w:tcW w:w="619" w:type="pct"/>
            <w:shd w:val="clear" w:color="auto" w:fill="auto"/>
          </w:tcPr>
          <w:p w14:paraId="7F81D772" w14:textId="77777777" w:rsidR="00DC5685" w:rsidRPr="00A34F10" w:rsidRDefault="00DC5685" w:rsidP="000470C3">
            <w:pPr>
              <w:keepNext/>
              <w:keepLines/>
              <w:widowControl w:val="0"/>
              <w:rPr>
                <w:sz w:val="20"/>
                <w:lang w:val="en-GB"/>
              </w:rPr>
            </w:pPr>
            <w:r w:rsidRPr="00A34F10">
              <w:rPr>
                <w:sz w:val="20"/>
                <w:lang w:val="en-GB"/>
              </w:rPr>
              <w:t>2.21 x 0.53</w:t>
            </w:r>
          </w:p>
        </w:tc>
        <w:tc>
          <w:tcPr>
            <w:tcW w:w="662" w:type="pct"/>
            <w:shd w:val="clear" w:color="auto" w:fill="auto"/>
          </w:tcPr>
          <w:p w14:paraId="333323CE" w14:textId="77777777" w:rsidR="00DC5685" w:rsidRPr="00A34F10" w:rsidRDefault="00DC5685" w:rsidP="000470C3">
            <w:pPr>
              <w:keepNext/>
              <w:keepLines/>
              <w:widowControl w:val="0"/>
              <w:rPr>
                <w:sz w:val="20"/>
                <w:lang w:val="en-GB"/>
              </w:rPr>
            </w:pPr>
            <w:r w:rsidRPr="00A34F10">
              <w:rPr>
                <w:sz w:val="20"/>
                <w:lang w:val="en-GB"/>
              </w:rPr>
              <w:t>68.37</w:t>
            </w:r>
          </w:p>
        </w:tc>
        <w:tc>
          <w:tcPr>
            <w:tcW w:w="622" w:type="pct"/>
            <w:shd w:val="clear" w:color="auto" w:fill="auto"/>
          </w:tcPr>
          <w:p w14:paraId="4BF1652F" w14:textId="77777777" w:rsidR="00DC5685" w:rsidRPr="00A34F10" w:rsidRDefault="00DC5685" w:rsidP="000470C3">
            <w:pPr>
              <w:keepNext/>
              <w:keepLines/>
              <w:widowControl w:val="0"/>
              <w:rPr>
                <w:b/>
                <w:bCs/>
                <w:sz w:val="20"/>
                <w:lang w:val="en-GB"/>
              </w:rPr>
            </w:pPr>
            <w:r w:rsidRPr="00A34F10">
              <w:rPr>
                <w:b/>
                <w:bCs/>
                <w:sz w:val="20"/>
                <w:lang w:val="en-GB"/>
              </w:rPr>
              <w:t>1.5</w:t>
            </w:r>
          </w:p>
        </w:tc>
      </w:tr>
    </w:tbl>
    <w:p w14:paraId="1A690C04" w14:textId="77777777" w:rsidR="00DC5685" w:rsidRPr="00A34F10" w:rsidRDefault="00DC5685" w:rsidP="00DC5685">
      <w:pPr>
        <w:keepNext/>
        <w:keepLines/>
        <w:widowControl w:val="0"/>
        <w:tabs>
          <w:tab w:val="left" w:pos="0"/>
        </w:tabs>
        <w:jc w:val="both"/>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5D05D006" w14:textId="77777777" w:rsidR="00721DB9" w:rsidRPr="00A34F10" w:rsidRDefault="00721DB9" w:rsidP="00DC5685">
      <w:pPr>
        <w:keepNext/>
        <w:keepLines/>
        <w:widowControl w:val="0"/>
        <w:tabs>
          <w:tab w:val="left" w:pos="0"/>
        </w:tabs>
        <w:rPr>
          <w:sz w:val="18"/>
          <w:szCs w:val="18"/>
          <w:lang w:val="en-GB"/>
        </w:rPr>
      </w:pPr>
    </w:p>
    <w:p w14:paraId="10C0173D" w14:textId="2FE6FD11" w:rsidR="00D35101" w:rsidRDefault="00DC5685" w:rsidP="00D35101">
      <w:pPr>
        <w:jc w:val="both"/>
      </w:pPr>
      <w:r w:rsidRPr="00A34F10">
        <w:rPr>
          <w:lang w:val="en-GB"/>
        </w:rPr>
        <w:t xml:space="preserve">The screening assessment above shows an acceptable acute </w:t>
      </w:r>
      <w:r w:rsidRPr="00A34F10">
        <w:t xml:space="preserve">risk to birds </w:t>
      </w:r>
      <w:r w:rsidRPr="00A34F10">
        <w:rPr>
          <w:lang w:val="en-GB"/>
        </w:rPr>
        <w:t>for the active substance Propamocarb-HCl from the proposed uses of BAS 743 03 F.</w:t>
      </w:r>
      <w:r w:rsidRPr="00A34F10">
        <w:t xml:space="preserve"> However, a potential long-term risk to birds is indicated and therefore a first-tier long-term (reproductive) risk assessment is required.</w:t>
      </w:r>
      <w:r w:rsidR="00D35101">
        <w:br w:type="page"/>
      </w:r>
    </w:p>
    <w:p w14:paraId="368CCD44" w14:textId="62C2525E" w:rsidR="00DC5685" w:rsidRPr="00A34F10" w:rsidRDefault="00DC5685" w:rsidP="00DC5685">
      <w:pPr>
        <w:widowControl w:val="0"/>
        <w:jc w:val="both"/>
        <w:rPr>
          <w:b/>
          <w:u w:val="single"/>
        </w:rPr>
      </w:pPr>
    </w:p>
    <w:p w14:paraId="52AB6A84" w14:textId="04E7FADD" w:rsidR="00DC5685" w:rsidRPr="00A34F10" w:rsidRDefault="00DC5685" w:rsidP="00040983">
      <w:pPr>
        <w:pStyle w:val="Legenda"/>
        <w:rPr>
          <w:b w:val="0"/>
        </w:rPr>
      </w:pPr>
      <w:r w:rsidRPr="00A34F10">
        <w:rPr>
          <w:lang w:eastAsia="en-GB"/>
        </w:rPr>
        <w:t xml:space="preserve">Table </w:t>
      </w:r>
      <w:r w:rsidR="007E7467">
        <w:rPr>
          <w:lang w:eastAsia="en-GB"/>
        </w:rPr>
        <w:fldChar w:fldCharType="begin"/>
      </w:r>
      <w:r w:rsidR="007E7467">
        <w:rPr>
          <w:lang w:eastAsia="en-GB"/>
        </w:rPr>
        <w:instrText xml:space="preserve"> STYLEREF 2 \s </w:instrText>
      </w:r>
      <w:r w:rsidR="007E7467">
        <w:rPr>
          <w:lang w:eastAsia="en-GB"/>
        </w:rPr>
        <w:fldChar w:fldCharType="separate"/>
      </w:r>
      <w:r w:rsidR="006F0F3B">
        <w:rPr>
          <w:noProof/>
          <w:lang w:eastAsia="en-GB"/>
        </w:rPr>
        <w:t>9.2</w:t>
      </w:r>
      <w:r w:rsidR="007E7467">
        <w:rPr>
          <w:lang w:eastAsia="en-GB"/>
        </w:rPr>
        <w:fldChar w:fldCharType="end"/>
      </w:r>
      <w:r w:rsidR="007E7467">
        <w:rPr>
          <w:lang w:eastAsia="en-GB"/>
        </w:rPr>
        <w:noBreakHyphen/>
      </w:r>
      <w:r w:rsidR="007E7467">
        <w:rPr>
          <w:lang w:eastAsia="en-GB"/>
        </w:rPr>
        <w:fldChar w:fldCharType="begin"/>
      </w:r>
      <w:r w:rsidR="007E7467">
        <w:rPr>
          <w:lang w:eastAsia="en-GB"/>
        </w:rPr>
        <w:instrText xml:space="preserve"> SEQ Table \* ARABIC \s 2 </w:instrText>
      </w:r>
      <w:r w:rsidR="007E7467">
        <w:rPr>
          <w:lang w:eastAsia="en-GB"/>
        </w:rPr>
        <w:fldChar w:fldCharType="separate"/>
      </w:r>
      <w:r w:rsidR="006F0F3B">
        <w:rPr>
          <w:noProof/>
          <w:lang w:eastAsia="en-GB"/>
        </w:rPr>
        <w:t>10</w:t>
      </w:r>
      <w:r w:rsidR="007E7467">
        <w:rPr>
          <w:lang w:eastAsia="en-GB"/>
        </w:rPr>
        <w:fldChar w:fldCharType="end"/>
      </w:r>
      <w:r w:rsidRPr="00A34F10">
        <w:rPr>
          <w:lang w:eastAsia="en-GB"/>
        </w:rPr>
        <w:t xml:space="preserve">: </w:t>
      </w:r>
      <w:r w:rsidRPr="00A34F10">
        <w:rPr>
          <w:lang w:eastAsia="en-GB"/>
        </w:rPr>
        <w:tab/>
        <w:t xml:space="preserve">First-tier assessment of the reproductive risk for birds due to the use of Propamocarb-HCl in </w:t>
      </w:r>
      <w:r w:rsidRPr="00A34F10">
        <w:t>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5"/>
        <w:gridCol w:w="2974"/>
        <w:gridCol w:w="1133"/>
        <w:gridCol w:w="675"/>
        <w:gridCol w:w="804"/>
        <w:gridCol w:w="1254"/>
        <w:gridCol w:w="952"/>
      </w:tblGrid>
      <w:tr w:rsidR="00DC5685" w:rsidRPr="00A34F10" w14:paraId="144BC198" w14:textId="77777777" w:rsidTr="00585A77">
        <w:trPr>
          <w:cantSplit/>
          <w:tblHeader/>
        </w:trPr>
        <w:tc>
          <w:tcPr>
            <w:tcW w:w="832" w:type="pct"/>
            <w:tcBorders>
              <w:right w:val="single" w:sz="4" w:space="0" w:color="auto"/>
            </w:tcBorders>
            <w:shd w:val="clear" w:color="auto" w:fill="auto"/>
          </w:tcPr>
          <w:p w14:paraId="1522285E" w14:textId="77777777" w:rsidR="00DC5685" w:rsidRPr="00A34F10" w:rsidRDefault="00DC5685" w:rsidP="000470C3">
            <w:pPr>
              <w:keepNext/>
              <w:widowControl w:val="0"/>
              <w:jc w:val="both"/>
              <w:rPr>
                <w:b/>
                <w:bCs/>
                <w:sz w:val="20"/>
                <w:szCs w:val="20"/>
                <w:lang w:val="en-GB"/>
              </w:rPr>
            </w:pPr>
            <w:r w:rsidRPr="00A34F10">
              <w:rPr>
                <w:b/>
                <w:bCs/>
                <w:sz w:val="20"/>
                <w:szCs w:val="20"/>
                <w:lang w:val="en-GB"/>
              </w:rPr>
              <w:t>Active substance</w:t>
            </w:r>
          </w:p>
        </w:tc>
        <w:tc>
          <w:tcPr>
            <w:tcW w:w="4168" w:type="pct"/>
            <w:gridSpan w:val="6"/>
            <w:tcBorders>
              <w:right w:val="single" w:sz="4" w:space="0" w:color="auto"/>
            </w:tcBorders>
            <w:shd w:val="clear" w:color="auto" w:fill="auto"/>
            <w:vAlign w:val="center"/>
          </w:tcPr>
          <w:p w14:paraId="5A734C87" w14:textId="77777777" w:rsidR="00DC5685" w:rsidRPr="00A34F10" w:rsidRDefault="00DC5685" w:rsidP="000470C3">
            <w:pPr>
              <w:keepNext/>
              <w:widowControl w:val="0"/>
              <w:jc w:val="both"/>
              <w:rPr>
                <w:sz w:val="20"/>
                <w:szCs w:val="20"/>
                <w:lang w:val="en-GB"/>
              </w:rPr>
            </w:pPr>
            <w:r w:rsidRPr="00A34F10">
              <w:rPr>
                <w:sz w:val="20"/>
                <w:szCs w:val="20"/>
                <w:lang w:val="en-GB"/>
              </w:rPr>
              <w:t>Propamocarb-HCl</w:t>
            </w:r>
          </w:p>
        </w:tc>
      </w:tr>
      <w:tr w:rsidR="00DC5685" w:rsidRPr="00A34F10" w14:paraId="1F981D3C" w14:textId="77777777" w:rsidTr="00585A77">
        <w:trPr>
          <w:cantSplit/>
          <w:tblHeader/>
        </w:trPr>
        <w:tc>
          <w:tcPr>
            <w:tcW w:w="832" w:type="pct"/>
            <w:tcBorders>
              <w:right w:val="single" w:sz="4" w:space="0" w:color="auto"/>
            </w:tcBorders>
            <w:shd w:val="clear" w:color="auto" w:fill="auto"/>
            <w:vAlign w:val="center"/>
          </w:tcPr>
          <w:p w14:paraId="394EA2EF" w14:textId="77777777" w:rsidR="00DC5685" w:rsidRPr="00A34F10" w:rsidRDefault="00DC5685" w:rsidP="000470C3">
            <w:pPr>
              <w:keepNext/>
              <w:widowControl w:val="0"/>
              <w:rPr>
                <w:b/>
                <w:bCs/>
                <w:sz w:val="20"/>
                <w:szCs w:val="20"/>
                <w:lang w:val="en-GB"/>
              </w:rPr>
            </w:pPr>
            <w:r w:rsidRPr="00A34F10">
              <w:rPr>
                <w:b/>
                <w:bCs/>
                <w:sz w:val="20"/>
                <w:szCs w:val="20"/>
                <w:lang w:val="en-GB"/>
              </w:rPr>
              <w:t xml:space="preserve">Reprod. toxicity </w:t>
            </w:r>
            <w:r w:rsidRPr="00A34F10">
              <w:rPr>
                <w:b/>
                <w:bCs/>
                <w:sz w:val="20"/>
                <w:szCs w:val="20"/>
                <w:lang w:val="en-GB"/>
              </w:rPr>
              <w:br/>
              <w:t>(mg/kg bw/d)</w:t>
            </w:r>
          </w:p>
        </w:tc>
        <w:tc>
          <w:tcPr>
            <w:tcW w:w="4168" w:type="pct"/>
            <w:gridSpan w:val="6"/>
            <w:tcBorders>
              <w:right w:val="single" w:sz="4" w:space="0" w:color="auto"/>
            </w:tcBorders>
            <w:shd w:val="clear" w:color="auto" w:fill="auto"/>
            <w:vAlign w:val="center"/>
          </w:tcPr>
          <w:p w14:paraId="18CD85F1" w14:textId="77777777" w:rsidR="00DC5685" w:rsidRPr="00A34F10" w:rsidRDefault="00DC5685" w:rsidP="000470C3">
            <w:pPr>
              <w:keepNext/>
              <w:widowControl w:val="0"/>
              <w:jc w:val="both"/>
              <w:rPr>
                <w:sz w:val="20"/>
                <w:szCs w:val="20"/>
                <w:lang w:val="en-GB"/>
              </w:rPr>
            </w:pPr>
            <w:r w:rsidRPr="00A34F10">
              <w:rPr>
                <w:sz w:val="20"/>
                <w:szCs w:val="20"/>
                <w:lang w:val="en-GB"/>
              </w:rPr>
              <w:t>105</w:t>
            </w:r>
          </w:p>
        </w:tc>
      </w:tr>
      <w:tr w:rsidR="00DC5685" w:rsidRPr="00A34F10" w14:paraId="5B6C50C2" w14:textId="77777777" w:rsidTr="00585A77">
        <w:trPr>
          <w:cantSplit/>
          <w:tblHeader/>
        </w:trPr>
        <w:tc>
          <w:tcPr>
            <w:tcW w:w="832" w:type="pct"/>
            <w:tcBorders>
              <w:right w:val="single" w:sz="4" w:space="0" w:color="auto"/>
            </w:tcBorders>
            <w:shd w:val="clear" w:color="auto" w:fill="auto"/>
            <w:vAlign w:val="center"/>
          </w:tcPr>
          <w:p w14:paraId="29A6407E" w14:textId="77777777" w:rsidR="00DC5685" w:rsidRPr="00A34F10" w:rsidRDefault="00DC5685" w:rsidP="000470C3">
            <w:pPr>
              <w:keepNext/>
              <w:widowControl w:val="0"/>
              <w:rPr>
                <w:b/>
                <w:bCs/>
                <w:sz w:val="20"/>
                <w:szCs w:val="20"/>
                <w:lang w:val="en-GB"/>
              </w:rPr>
            </w:pPr>
            <w:r w:rsidRPr="00A34F10">
              <w:rPr>
                <w:b/>
                <w:bCs/>
                <w:sz w:val="20"/>
                <w:szCs w:val="20"/>
                <w:lang w:val="en-GB"/>
              </w:rPr>
              <w:t>TER criterion</w:t>
            </w:r>
          </w:p>
        </w:tc>
        <w:tc>
          <w:tcPr>
            <w:tcW w:w="4168" w:type="pct"/>
            <w:gridSpan w:val="6"/>
            <w:tcBorders>
              <w:right w:val="single" w:sz="4" w:space="0" w:color="auto"/>
            </w:tcBorders>
            <w:shd w:val="clear" w:color="auto" w:fill="auto"/>
            <w:vAlign w:val="center"/>
          </w:tcPr>
          <w:p w14:paraId="6A04F65E" w14:textId="77777777" w:rsidR="00DC5685" w:rsidRPr="00A34F10" w:rsidRDefault="00DC5685" w:rsidP="000470C3">
            <w:pPr>
              <w:keepNext/>
              <w:widowControl w:val="0"/>
              <w:jc w:val="both"/>
              <w:rPr>
                <w:sz w:val="20"/>
                <w:szCs w:val="20"/>
                <w:lang w:val="en-GB"/>
              </w:rPr>
            </w:pPr>
            <w:r w:rsidRPr="00A34F10">
              <w:rPr>
                <w:sz w:val="20"/>
                <w:szCs w:val="20"/>
                <w:lang w:val="en-GB"/>
              </w:rPr>
              <w:t>5</w:t>
            </w:r>
          </w:p>
        </w:tc>
      </w:tr>
      <w:tr w:rsidR="00DC5685" w:rsidRPr="00A34F10" w14:paraId="012CC422" w14:textId="77777777" w:rsidTr="00585A77">
        <w:trPr>
          <w:cantSplit/>
          <w:tblHeader/>
        </w:trPr>
        <w:tc>
          <w:tcPr>
            <w:tcW w:w="832" w:type="pct"/>
            <w:tcBorders>
              <w:bottom w:val="single" w:sz="12" w:space="0" w:color="auto"/>
            </w:tcBorders>
            <w:shd w:val="clear" w:color="auto" w:fill="auto"/>
            <w:vAlign w:val="center"/>
          </w:tcPr>
          <w:p w14:paraId="65630FCC" w14:textId="77777777" w:rsidR="00DC5685" w:rsidRPr="00A34F10" w:rsidRDefault="00DC5685" w:rsidP="000470C3">
            <w:pPr>
              <w:keepNext/>
              <w:widowControl w:val="0"/>
              <w:rPr>
                <w:b/>
                <w:bCs/>
                <w:sz w:val="20"/>
                <w:szCs w:val="20"/>
                <w:lang w:val="en-GB"/>
              </w:rPr>
            </w:pPr>
            <w:r w:rsidRPr="00A34F10">
              <w:rPr>
                <w:b/>
                <w:bCs/>
                <w:sz w:val="20"/>
                <w:szCs w:val="20"/>
                <w:lang w:val="en-GB"/>
              </w:rPr>
              <w:t>Growth stage</w:t>
            </w:r>
          </w:p>
        </w:tc>
        <w:tc>
          <w:tcPr>
            <w:tcW w:w="1591" w:type="pct"/>
            <w:tcBorders>
              <w:bottom w:val="single" w:sz="12" w:space="0" w:color="auto"/>
            </w:tcBorders>
            <w:shd w:val="clear" w:color="auto" w:fill="auto"/>
            <w:vAlign w:val="center"/>
          </w:tcPr>
          <w:p w14:paraId="2461DF7A" w14:textId="77777777" w:rsidR="00DC5685" w:rsidRPr="00A34F10" w:rsidRDefault="00DC5685" w:rsidP="000470C3">
            <w:pPr>
              <w:keepNext/>
              <w:widowControl w:val="0"/>
              <w:rPr>
                <w:b/>
                <w:bCs/>
                <w:sz w:val="20"/>
                <w:szCs w:val="20"/>
                <w:lang w:val="en-GB"/>
              </w:rPr>
            </w:pPr>
            <w:r w:rsidRPr="00A34F10">
              <w:rPr>
                <w:b/>
                <w:bCs/>
                <w:sz w:val="20"/>
                <w:szCs w:val="20"/>
                <w:lang w:val="en-GB"/>
              </w:rPr>
              <w:t>Generic focal species</w:t>
            </w:r>
          </w:p>
        </w:tc>
        <w:tc>
          <w:tcPr>
            <w:tcW w:w="606" w:type="pct"/>
            <w:tcBorders>
              <w:bottom w:val="single" w:sz="12" w:space="0" w:color="auto"/>
            </w:tcBorders>
            <w:shd w:val="clear" w:color="auto" w:fill="auto"/>
            <w:vAlign w:val="center"/>
          </w:tcPr>
          <w:p w14:paraId="59C7010B" w14:textId="77777777" w:rsidR="00DC5685" w:rsidRPr="00A34F10" w:rsidRDefault="00DC5685" w:rsidP="000470C3">
            <w:pPr>
              <w:keepNext/>
              <w:widowControl w:val="0"/>
              <w:rPr>
                <w:b/>
                <w:bCs/>
                <w:sz w:val="20"/>
                <w:szCs w:val="20"/>
                <w:lang w:val="en-GB"/>
              </w:rPr>
            </w:pPr>
            <w:r w:rsidRPr="00A34F10">
              <w:rPr>
                <w:b/>
                <w:bCs/>
                <w:sz w:val="20"/>
                <w:szCs w:val="20"/>
                <w:lang w:val="en-GB"/>
              </w:rPr>
              <w:t>App. Rate</w:t>
            </w:r>
          </w:p>
          <w:p w14:paraId="427FE5E7" w14:textId="77777777" w:rsidR="00DC5685" w:rsidRPr="00A34F10" w:rsidRDefault="00DC5685" w:rsidP="000470C3">
            <w:pPr>
              <w:keepNext/>
              <w:widowControl w:val="0"/>
              <w:rPr>
                <w:b/>
                <w:bCs/>
                <w:sz w:val="20"/>
                <w:szCs w:val="20"/>
                <w:lang w:val="en-GB"/>
              </w:rPr>
            </w:pPr>
            <w:r w:rsidRPr="00A34F10">
              <w:rPr>
                <w:b/>
                <w:bCs/>
                <w:sz w:val="20"/>
                <w:szCs w:val="20"/>
                <w:lang w:val="en-GB"/>
              </w:rPr>
              <w:t>(kg a.s./ha)</w:t>
            </w:r>
          </w:p>
        </w:tc>
        <w:tc>
          <w:tcPr>
            <w:tcW w:w="361" w:type="pct"/>
            <w:tcBorders>
              <w:bottom w:val="single" w:sz="12" w:space="0" w:color="auto"/>
            </w:tcBorders>
            <w:shd w:val="clear" w:color="auto" w:fill="auto"/>
            <w:vAlign w:val="center"/>
          </w:tcPr>
          <w:p w14:paraId="3FA39FC4" w14:textId="77777777" w:rsidR="00DC5685" w:rsidRPr="00A34F10" w:rsidRDefault="00DC5685" w:rsidP="000470C3">
            <w:pPr>
              <w:keepNext/>
              <w:widowControl w:val="0"/>
              <w:rPr>
                <w:b/>
                <w:bCs/>
                <w:sz w:val="20"/>
                <w:szCs w:val="20"/>
                <w:lang w:val="en-GB"/>
              </w:rPr>
            </w:pPr>
            <w:r w:rsidRPr="00A34F10">
              <w:rPr>
                <w:b/>
                <w:bCs/>
                <w:sz w:val="20"/>
                <w:szCs w:val="20"/>
                <w:lang w:val="en-GB"/>
              </w:rPr>
              <w:t>SV</w:t>
            </w:r>
            <w:r w:rsidRPr="00A34F10">
              <w:rPr>
                <w:b/>
                <w:bCs/>
                <w:sz w:val="20"/>
                <w:szCs w:val="20"/>
                <w:vertAlign w:val="subscript"/>
                <w:lang w:val="en-GB"/>
              </w:rPr>
              <w:t>m</w:t>
            </w:r>
          </w:p>
        </w:tc>
        <w:tc>
          <w:tcPr>
            <w:tcW w:w="430" w:type="pct"/>
            <w:tcBorders>
              <w:bottom w:val="single" w:sz="12" w:space="0" w:color="auto"/>
            </w:tcBorders>
            <w:shd w:val="clear" w:color="auto" w:fill="auto"/>
            <w:vAlign w:val="center"/>
          </w:tcPr>
          <w:p w14:paraId="0334FBAC" w14:textId="77777777" w:rsidR="00DC5685" w:rsidRPr="00A34F10" w:rsidRDefault="00DC5685" w:rsidP="000470C3">
            <w:pPr>
              <w:keepNext/>
              <w:widowControl w:val="0"/>
              <w:rPr>
                <w:b/>
                <w:bCs/>
                <w:sz w:val="20"/>
                <w:szCs w:val="20"/>
                <w:lang w:val="en-GB"/>
              </w:rPr>
            </w:pPr>
            <w:r w:rsidRPr="00A34F10">
              <w:rPr>
                <w:b/>
                <w:bCs/>
                <w:sz w:val="20"/>
                <w:szCs w:val="20"/>
                <w:lang w:val="en-GB"/>
              </w:rPr>
              <w:t>MAF</w:t>
            </w:r>
            <w:r w:rsidRPr="00A34F10">
              <w:rPr>
                <w:b/>
                <w:bCs/>
                <w:sz w:val="20"/>
                <w:szCs w:val="20"/>
                <w:vertAlign w:val="subscript"/>
                <w:lang w:val="en-GB"/>
              </w:rPr>
              <w:t>m</w:t>
            </w:r>
            <w:r w:rsidRPr="00A34F10">
              <w:rPr>
                <w:b/>
                <w:bCs/>
                <w:sz w:val="20"/>
                <w:szCs w:val="20"/>
                <w:lang w:val="en-GB"/>
              </w:rPr>
              <w:t xml:space="preserve"> × TWA</w:t>
            </w:r>
          </w:p>
        </w:tc>
        <w:tc>
          <w:tcPr>
            <w:tcW w:w="671" w:type="pct"/>
            <w:tcBorders>
              <w:bottom w:val="single" w:sz="12" w:space="0" w:color="auto"/>
            </w:tcBorders>
            <w:shd w:val="clear" w:color="auto" w:fill="auto"/>
            <w:vAlign w:val="center"/>
          </w:tcPr>
          <w:p w14:paraId="22A7A451" w14:textId="77777777" w:rsidR="00DC5685" w:rsidRPr="00A34F10" w:rsidRDefault="00DC5685" w:rsidP="000470C3">
            <w:pPr>
              <w:keepNext/>
              <w:widowControl w:val="0"/>
              <w:rPr>
                <w:b/>
                <w:bCs/>
                <w:sz w:val="20"/>
                <w:szCs w:val="20"/>
                <w:lang w:val="de-DE"/>
              </w:rPr>
            </w:pPr>
            <w:r w:rsidRPr="00A34F10">
              <w:rPr>
                <w:b/>
                <w:bCs/>
                <w:sz w:val="20"/>
                <w:szCs w:val="20"/>
                <w:lang w:val="de-DE"/>
              </w:rPr>
              <w:t>DDD</w:t>
            </w:r>
            <w:r w:rsidRPr="00A34F10">
              <w:rPr>
                <w:b/>
                <w:bCs/>
                <w:sz w:val="20"/>
                <w:szCs w:val="20"/>
                <w:vertAlign w:val="subscript"/>
                <w:lang w:val="de-DE"/>
              </w:rPr>
              <w:t>m</w:t>
            </w:r>
          </w:p>
          <w:p w14:paraId="14577F10" w14:textId="77777777" w:rsidR="00DC5685" w:rsidRPr="00A34F10" w:rsidRDefault="00DC5685" w:rsidP="000470C3">
            <w:pPr>
              <w:keepNext/>
              <w:widowControl w:val="0"/>
              <w:rPr>
                <w:b/>
                <w:bCs/>
                <w:sz w:val="20"/>
                <w:szCs w:val="20"/>
                <w:lang w:val="de-DE"/>
              </w:rPr>
            </w:pPr>
            <w:r w:rsidRPr="00A34F10">
              <w:rPr>
                <w:b/>
                <w:bCs/>
                <w:sz w:val="20"/>
                <w:szCs w:val="20"/>
                <w:lang w:val="de-DE"/>
              </w:rPr>
              <w:t>(mg/kg bw/d)</w:t>
            </w:r>
          </w:p>
        </w:tc>
        <w:tc>
          <w:tcPr>
            <w:tcW w:w="508" w:type="pct"/>
            <w:tcBorders>
              <w:bottom w:val="single" w:sz="12" w:space="0" w:color="auto"/>
            </w:tcBorders>
            <w:shd w:val="clear" w:color="auto" w:fill="auto"/>
            <w:vAlign w:val="center"/>
          </w:tcPr>
          <w:p w14:paraId="7BB245CD" w14:textId="77777777" w:rsidR="00DC5685" w:rsidRPr="00A34F10" w:rsidRDefault="00DC5685" w:rsidP="000470C3">
            <w:pPr>
              <w:keepNext/>
              <w:widowControl w:val="0"/>
              <w:rPr>
                <w:b/>
                <w:bCs/>
                <w:sz w:val="20"/>
                <w:szCs w:val="20"/>
                <w:lang w:val="en-GB"/>
              </w:rPr>
            </w:pPr>
            <w:r w:rsidRPr="00A34F10">
              <w:rPr>
                <w:b/>
                <w:bCs/>
                <w:sz w:val="20"/>
                <w:szCs w:val="20"/>
                <w:lang w:val="en-GB"/>
              </w:rPr>
              <w:t>TER</w:t>
            </w:r>
            <w:r w:rsidRPr="00A34F10">
              <w:rPr>
                <w:b/>
                <w:bCs/>
                <w:sz w:val="20"/>
                <w:szCs w:val="20"/>
                <w:vertAlign w:val="subscript"/>
                <w:lang w:val="en-GB"/>
              </w:rPr>
              <w:t>lt</w:t>
            </w:r>
          </w:p>
        </w:tc>
      </w:tr>
      <w:tr w:rsidR="00DC5685" w:rsidRPr="00A34F10" w14:paraId="4B9EE2AB" w14:textId="77777777" w:rsidTr="000470C3">
        <w:trPr>
          <w:cantSplit/>
        </w:trPr>
        <w:tc>
          <w:tcPr>
            <w:tcW w:w="5000" w:type="pct"/>
            <w:gridSpan w:val="7"/>
            <w:tcBorders>
              <w:top w:val="single" w:sz="12" w:space="0" w:color="auto"/>
              <w:bottom w:val="single" w:sz="4" w:space="0" w:color="auto"/>
              <w:right w:val="single" w:sz="4" w:space="0" w:color="auto"/>
            </w:tcBorders>
            <w:shd w:val="clear" w:color="auto" w:fill="auto"/>
            <w:vAlign w:val="center"/>
          </w:tcPr>
          <w:p w14:paraId="2D6D0D2A" w14:textId="77777777" w:rsidR="00DC5685" w:rsidRPr="00A34F10" w:rsidRDefault="00DC5685" w:rsidP="000470C3">
            <w:pPr>
              <w:jc w:val="center"/>
              <w:rPr>
                <w:sz w:val="20"/>
                <w:szCs w:val="20"/>
                <w:lang w:val="en-GB"/>
              </w:rPr>
            </w:pPr>
            <w:r w:rsidRPr="00A34F10">
              <w:rPr>
                <w:b/>
                <w:sz w:val="20"/>
                <w:szCs w:val="20"/>
                <w:lang w:val="en-GB"/>
              </w:rPr>
              <w:t>Potatoes (3 x 0.902 kg a.s./ha, BBCH 21-89)</w:t>
            </w:r>
          </w:p>
        </w:tc>
      </w:tr>
      <w:tr w:rsidR="00DC5685" w:rsidRPr="00A34F10" w14:paraId="1A3EB2F6" w14:textId="77777777" w:rsidTr="00585A77">
        <w:trPr>
          <w:cantSplit/>
        </w:trPr>
        <w:tc>
          <w:tcPr>
            <w:tcW w:w="832" w:type="pct"/>
            <w:tcBorders>
              <w:top w:val="single" w:sz="4" w:space="0" w:color="auto"/>
            </w:tcBorders>
            <w:shd w:val="clear" w:color="auto" w:fill="auto"/>
          </w:tcPr>
          <w:p w14:paraId="296A9A5E" w14:textId="77777777" w:rsidR="00DC5685" w:rsidRPr="00A34F10" w:rsidRDefault="00DC5685" w:rsidP="000470C3">
            <w:pPr>
              <w:rPr>
                <w:sz w:val="20"/>
                <w:szCs w:val="20"/>
                <w:lang w:val="en-GB"/>
              </w:rPr>
            </w:pPr>
            <w:r w:rsidRPr="00A34F10">
              <w:rPr>
                <w:sz w:val="20"/>
                <w:szCs w:val="20"/>
                <w:lang w:val="en-GB"/>
              </w:rPr>
              <w:t>BBCH 10-39</w:t>
            </w:r>
          </w:p>
        </w:tc>
        <w:tc>
          <w:tcPr>
            <w:tcW w:w="1591" w:type="pct"/>
            <w:tcBorders>
              <w:top w:val="single" w:sz="4" w:space="0" w:color="auto"/>
            </w:tcBorders>
            <w:shd w:val="clear" w:color="auto" w:fill="auto"/>
          </w:tcPr>
          <w:p w14:paraId="79B0DB04" w14:textId="77777777" w:rsidR="00DC5685" w:rsidRPr="00A34F10" w:rsidRDefault="00DC5685" w:rsidP="000470C3">
            <w:pPr>
              <w:rPr>
                <w:sz w:val="20"/>
                <w:szCs w:val="20"/>
                <w:lang w:val="en-GB"/>
              </w:rPr>
            </w:pPr>
            <w:r w:rsidRPr="00A34F10">
              <w:rPr>
                <w:sz w:val="20"/>
                <w:szCs w:val="20"/>
                <w:lang w:val="en-GB"/>
              </w:rPr>
              <w:t>Small omnivorous bird “lark”</w:t>
            </w:r>
          </w:p>
        </w:tc>
        <w:tc>
          <w:tcPr>
            <w:tcW w:w="606" w:type="pct"/>
            <w:vMerge w:val="restart"/>
            <w:tcBorders>
              <w:top w:val="single" w:sz="4" w:space="0" w:color="auto"/>
            </w:tcBorders>
            <w:shd w:val="clear" w:color="auto" w:fill="auto"/>
            <w:vAlign w:val="center"/>
          </w:tcPr>
          <w:p w14:paraId="10CF249D" w14:textId="77777777" w:rsidR="00DC5685" w:rsidRPr="00A34F10" w:rsidRDefault="00DC5685" w:rsidP="000470C3">
            <w:pPr>
              <w:jc w:val="center"/>
              <w:rPr>
                <w:sz w:val="20"/>
                <w:szCs w:val="20"/>
                <w:lang w:val="en-GB"/>
              </w:rPr>
            </w:pPr>
            <w:r w:rsidRPr="00A34F10">
              <w:rPr>
                <w:sz w:val="20"/>
                <w:szCs w:val="20"/>
                <w:lang w:val="en-GB"/>
              </w:rPr>
              <w:t>0.902</w:t>
            </w:r>
          </w:p>
        </w:tc>
        <w:tc>
          <w:tcPr>
            <w:tcW w:w="361" w:type="pct"/>
            <w:tcBorders>
              <w:top w:val="single" w:sz="4" w:space="0" w:color="auto"/>
            </w:tcBorders>
            <w:shd w:val="clear" w:color="auto" w:fill="auto"/>
            <w:vAlign w:val="center"/>
          </w:tcPr>
          <w:p w14:paraId="75BC4DC2" w14:textId="77777777" w:rsidR="00DC5685" w:rsidRPr="00A34F10" w:rsidRDefault="00DC5685" w:rsidP="000470C3">
            <w:pPr>
              <w:jc w:val="center"/>
              <w:rPr>
                <w:sz w:val="20"/>
                <w:szCs w:val="20"/>
                <w:lang w:val="en-GB"/>
              </w:rPr>
            </w:pPr>
            <w:r w:rsidRPr="00A34F10">
              <w:rPr>
                <w:sz w:val="20"/>
                <w:szCs w:val="20"/>
                <w:lang w:val="en-GB"/>
              </w:rPr>
              <w:t>10.9</w:t>
            </w:r>
          </w:p>
        </w:tc>
        <w:tc>
          <w:tcPr>
            <w:tcW w:w="430" w:type="pct"/>
            <w:vMerge w:val="restart"/>
            <w:tcBorders>
              <w:top w:val="single" w:sz="4" w:space="0" w:color="auto"/>
            </w:tcBorders>
            <w:shd w:val="clear" w:color="auto" w:fill="auto"/>
            <w:vAlign w:val="center"/>
          </w:tcPr>
          <w:p w14:paraId="54000A8E" w14:textId="1FB5BC4B" w:rsidR="00DC5685" w:rsidRPr="00A34F10" w:rsidRDefault="00DC5685" w:rsidP="000470C3">
            <w:pPr>
              <w:jc w:val="center"/>
              <w:rPr>
                <w:sz w:val="20"/>
                <w:szCs w:val="20"/>
                <w:lang w:val="en-GB"/>
              </w:rPr>
            </w:pPr>
            <w:r w:rsidRPr="003B09BC">
              <w:rPr>
                <w:strike/>
                <w:color w:val="D9D9D9" w:themeColor="background1" w:themeShade="D9"/>
                <w:sz w:val="20"/>
                <w:szCs w:val="20"/>
                <w:lang w:val="en-GB"/>
              </w:rPr>
              <w:t>1.79</w:t>
            </w:r>
            <w:r w:rsidRPr="003B09BC">
              <w:rPr>
                <w:color w:val="D9D9D9" w:themeColor="background1" w:themeShade="D9"/>
                <w:sz w:val="20"/>
                <w:szCs w:val="20"/>
                <w:lang w:val="en-GB"/>
              </w:rPr>
              <w:t xml:space="preserve"> </w:t>
            </w:r>
            <w:r w:rsidR="003B09BC" w:rsidRPr="003B09BC">
              <w:rPr>
                <w:sz w:val="20"/>
                <w:shd w:val="clear" w:color="auto" w:fill="D9D9D9" w:themeFill="background1" w:themeFillShade="D9"/>
                <w:lang w:val="en-GB"/>
              </w:rPr>
              <w:t>2.2</w:t>
            </w:r>
            <w:r w:rsidRPr="00A34F10">
              <w:rPr>
                <w:sz w:val="20"/>
                <w:szCs w:val="20"/>
                <w:lang w:val="en-GB"/>
              </w:rPr>
              <w:t>×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0A1C5D3" w14:textId="77777777" w:rsidR="00DC5685" w:rsidRPr="00A34F10" w:rsidRDefault="00DC5685" w:rsidP="000470C3">
            <w:pPr>
              <w:jc w:val="center"/>
              <w:rPr>
                <w:sz w:val="20"/>
                <w:szCs w:val="20"/>
                <w:lang w:val="en-GB"/>
              </w:rPr>
            </w:pPr>
            <w:r w:rsidRPr="00A34F10">
              <w:rPr>
                <w:sz w:val="20"/>
                <w:szCs w:val="20"/>
              </w:rPr>
              <w:t>11.43</w:t>
            </w:r>
          </w:p>
        </w:tc>
        <w:tc>
          <w:tcPr>
            <w:tcW w:w="508" w:type="pct"/>
            <w:tcBorders>
              <w:top w:val="single" w:sz="4" w:space="0" w:color="auto"/>
              <w:left w:val="nil"/>
              <w:bottom w:val="single" w:sz="4" w:space="0" w:color="auto"/>
              <w:right w:val="single" w:sz="4" w:space="0" w:color="auto"/>
            </w:tcBorders>
            <w:shd w:val="clear" w:color="auto" w:fill="auto"/>
            <w:vAlign w:val="center"/>
          </w:tcPr>
          <w:p w14:paraId="792EFA21" w14:textId="77777777" w:rsidR="00DC5685" w:rsidRPr="00A34F10" w:rsidRDefault="00DC5685" w:rsidP="000470C3">
            <w:pPr>
              <w:jc w:val="center"/>
              <w:rPr>
                <w:sz w:val="20"/>
                <w:szCs w:val="20"/>
                <w:lang w:val="en-GB"/>
              </w:rPr>
            </w:pPr>
            <w:r w:rsidRPr="00A34F10">
              <w:rPr>
                <w:sz w:val="20"/>
                <w:szCs w:val="20"/>
              </w:rPr>
              <w:t>9.2</w:t>
            </w:r>
          </w:p>
        </w:tc>
      </w:tr>
      <w:tr w:rsidR="00DC5685" w:rsidRPr="00A34F10" w14:paraId="70AFB6A9" w14:textId="77777777" w:rsidTr="00585A77">
        <w:trPr>
          <w:cantSplit/>
        </w:trPr>
        <w:tc>
          <w:tcPr>
            <w:tcW w:w="832" w:type="pct"/>
            <w:tcBorders>
              <w:bottom w:val="single" w:sz="4" w:space="0" w:color="auto"/>
            </w:tcBorders>
            <w:shd w:val="clear" w:color="auto" w:fill="auto"/>
          </w:tcPr>
          <w:p w14:paraId="72643B4A" w14:textId="77777777" w:rsidR="00DC5685" w:rsidRPr="00A34F10" w:rsidRDefault="00DC5685" w:rsidP="000470C3">
            <w:pPr>
              <w:rPr>
                <w:sz w:val="20"/>
                <w:szCs w:val="20"/>
                <w:lang w:val="en-GB"/>
              </w:rPr>
            </w:pPr>
            <w:r w:rsidRPr="00A34F10">
              <w:rPr>
                <w:sz w:val="20"/>
                <w:szCs w:val="20"/>
                <w:lang w:val="en-GB"/>
              </w:rPr>
              <w:t>BBCH ≥40</w:t>
            </w:r>
          </w:p>
        </w:tc>
        <w:tc>
          <w:tcPr>
            <w:tcW w:w="1591" w:type="pct"/>
            <w:tcBorders>
              <w:bottom w:val="single" w:sz="4" w:space="0" w:color="auto"/>
            </w:tcBorders>
            <w:shd w:val="clear" w:color="auto" w:fill="auto"/>
          </w:tcPr>
          <w:p w14:paraId="0A43815E" w14:textId="77777777" w:rsidR="00DC5685" w:rsidRPr="00A34F10" w:rsidRDefault="00DC5685" w:rsidP="000470C3">
            <w:pPr>
              <w:rPr>
                <w:sz w:val="20"/>
                <w:szCs w:val="20"/>
                <w:lang w:val="en-GB"/>
              </w:rPr>
            </w:pPr>
            <w:r w:rsidRPr="00A34F10">
              <w:rPr>
                <w:sz w:val="20"/>
                <w:szCs w:val="20"/>
                <w:lang w:val="en-GB"/>
              </w:rPr>
              <w:t>Small omnivorous bird “lark”</w:t>
            </w:r>
          </w:p>
        </w:tc>
        <w:tc>
          <w:tcPr>
            <w:tcW w:w="606" w:type="pct"/>
            <w:vMerge/>
            <w:shd w:val="clear" w:color="auto" w:fill="auto"/>
            <w:vAlign w:val="center"/>
          </w:tcPr>
          <w:p w14:paraId="5AC6B3CF"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13ED030A" w14:textId="77777777" w:rsidR="00DC5685" w:rsidRPr="00A34F10" w:rsidRDefault="00DC5685" w:rsidP="000470C3">
            <w:pPr>
              <w:jc w:val="center"/>
              <w:rPr>
                <w:sz w:val="20"/>
                <w:szCs w:val="20"/>
                <w:lang w:val="en-GB"/>
              </w:rPr>
            </w:pPr>
            <w:r w:rsidRPr="00A34F10">
              <w:rPr>
                <w:sz w:val="20"/>
                <w:szCs w:val="20"/>
                <w:lang w:val="en-GB"/>
              </w:rPr>
              <w:t>3.3</w:t>
            </w:r>
          </w:p>
        </w:tc>
        <w:tc>
          <w:tcPr>
            <w:tcW w:w="430" w:type="pct"/>
            <w:vMerge/>
            <w:shd w:val="clear" w:color="auto" w:fill="auto"/>
            <w:vAlign w:val="center"/>
          </w:tcPr>
          <w:p w14:paraId="069A4D42"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892A069" w14:textId="77777777" w:rsidR="00DC5685" w:rsidRPr="00A34F10" w:rsidRDefault="00DC5685" w:rsidP="000470C3">
            <w:pPr>
              <w:jc w:val="center"/>
              <w:rPr>
                <w:sz w:val="20"/>
                <w:szCs w:val="20"/>
                <w:lang w:val="en-GB"/>
              </w:rPr>
            </w:pPr>
            <w:r w:rsidRPr="00A34F10">
              <w:rPr>
                <w:sz w:val="20"/>
                <w:szCs w:val="20"/>
              </w:rPr>
              <w:t>3.46</w:t>
            </w:r>
          </w:p>
        </w:tc>
        <w:tc>
          <w:tcPr>
            <w:tcW w:w="508" w:type="pct"/>
            <w:tcBorders>
              <w:top w:val="single" w:sz="4" w:space="0" w:color="auto"/>
              <w:left w:val="nil"/>
              <w:bottom w:val="single" w:sz="4" w:space="0" w:color="auto"/>
              <w:right w:val="single" w:sz="4" w:space="0" w:color="auto"/>
            </w:tcBorders>
            <w:shd w:val="clear" w:color="auto" w:fill="auto"/>
            <w:vAlign w:val="center"/>
          </w:tcPr>
          <w:p w14:paraId="5C20C844" w14:textId="77777777" w:rsidR="00DC5685" w:rsidRPr="00A34F10" w:rsidRDefault="00DC5685" w:rsidP="000470C3">
            <w:pPr>
              <w:jc w:val="center"/>
              <w:rPr>
                <w:sz w:val="20"/>
                <w:szCs w:val="20"/>
                <w:lang w:val="en-GB"/>
              </w:rPr>
            </w:pPr>
            <w:r w:rsidRPr="00A34F10">
              <w:rPr>
                <w:sz w:val="20"/>
                <w:szCs w:val="20"/>
              </w:rPr>
              <w:t>30.3</w:t>
            </w:r>
          </w:p>
        </w:tc>
      </w:tr>
      <w:tr w:rsidR="00DC5685" w:rsidRPr="00A34F10" w14:paraId="298F54D3" w14:textId="77777777" w:rsidTr="00585A77">
        <w:trPr>
          <w:cantSplit/>
        </w:trPr>
        <w:tc>
          <w:tcPr>
            <w:tcW w:w="832" w:type="pct"/>
            <w:tcBorders>
              <w:bottom w:val="single" w:sz="4" w:space="0" w:color="auto"/>
            </w:tcBorders>
            <w:shd w:val="clear" w:color="auto" w:fill="auto"/>
          </w:tcPr>
          <w:p w14:paraId="1FFF690F" w14:textId="77777777" w:rsidR="00DC5685" w:rsidRPr="00A34F10" w:rsidRDefault="00DC5685" w:rsidP="000470C3">
            <w:pPr>
              <w:rPr>
                <w:sz w:val="20"/>
                <w:szCs w:val="20"/>
                <w:lang w:val="en-GB"/>
              </w:rPr>
            </w:pPr>
            <w:r w:rsidRPr="00A34F10">
              <w:rPr>
                <w:sz w:val="20"/>
                <w:szCs w:val="20"/>
                <w:lang w:val="en-GB"/>
              </w:rPr>
              <w:t>BBCH ≥20</w:t>
            </w:r>
          </w:p>
        </w:tc>
        <w:tc>
          <w:tcPr>
            <w:tcW w:w="1591" w:type="pct"/>
            <w:tcBorders>
              <w:bottom w:val="single" w:sz="4" w:space="0" w:color="auto"/>
            </w:tcBorders>
            <w:shd w:val="clear" w:color="auto" w:fill="auto"/>
          </w:tcPr>
          <w:p w14:paraId="246E1B13" w14:textId="77777777" w:rsidR="00DC5685" w:rsidRPr="00A34F10" w:rsidRDefault="00DC5685" w:rsidP="000470C3">
            <w:pPr>
              <w:rPr>
                <w:sz w:val="20"/>
                <w:szCs w:val="20"/>
                <w:lang w:val="en-GB"/>
              </w:rPr>
            </w:pPr>
            <w:r w:rsidRPr="00A34F10">
              <w:rPr>
                <w:sz w:val="20"/>
                <w:szCs w:val="20"/>
                <w:lang w:val="en-GB"/>
              </w:rPr>
              <w:t>Small insectivorous bird “wagtail”</w:t>
            </w:r>
          </w:p>
        </w:tc>
        <w:tc>
          <w:tcPr>
            <w:tcW w:w="606" w:type="pct"/>
            <w:vMerge/>
            <w:tcBorders>
              <w:bottom w:val="single" w:sz="4" w:space="0" w:color="auto"/>
            </w:tcBorders>
            <w:shd w:val="clear" w:color="auto" w:fill="auto"/>
            <w:vAlign w:val="center"/>
          </w:tcPr>
          <w:p w14:paraId="2F116B57"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4A4FAE5D" w14:textId="77777777" w:rsidR="00DC5685" w:rsidRPr="00A34F10" w:rsidRDefault="00DC5685" w:rsidP="000470C3">
            <w:pPr>
              <w:jc w:val="center"/>
              <w:rPr>
                <w:sz w:val="20"/>
                <w:szCs w:val="20"/>
                <w:lang w:val="en-GB"/>
              </w:rPr>
            </w:pPr>
            <w:r w:rsidRPr="00A34F10">
              <w:rPr>
                <w:sz w:val="20"/>
                <w:szCs w:val="20"/>
                <w:lang w:val="en-GB"/>
              </w:rPr>
              <w:t>9.7</w:t>
            </w:r>
          </w:p>
        </w:tc>
        <w:tc>
          <w:tcPr>
            <w:tcW w:w="430" w:type="pct"/>
            <w:vMerge/>
            <w:tcBorders>
              <w:bottom w:val="single" w:sz="4" w:space="0" w:color="auto"/>
            </w:tcBorders>
            <w:shd w:val="clear" w:color="auto" w:fill="auto"/>
            <w:vAlign w:val="center"/>
          </w:tcPr>
          <w:p w14:paraId="6DE103BE"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C5987AE" w14:textId="77777777" w:rsidR="00DC5685" w:rsidRPr="00A34F10" w:rsidRDefault="00DC5685" w:rsidP="000470C3">
            <w:pPr>
              <w:jc w:val="center"/>
              <w:rPr>
                <w:sz w:val="20"/>
                <w:szCs w:val="20"/>
                <w:lang w:val="en-GB"/>
              </w:rPr>
            </w:pPr>
            <w:r w:rsidRPr="00A34F10">
              <w:rPr>
                <w:sz w:val="20"/>
                <w:szCs w:val="20"/>
              </w:rPr>
              <w:t>10.17</w:t>
            </w:r>
          </w:p>
        </w:tc>
        <w:tc>
          <w:tcPr>
            <w:tcW w:w="508" w:type="pct"/>
            <w:tcBorders>
              <w:top w:val="single" w:sz="4" w:space="0" w:color="auto"/>
              <w:left w:val="nil"/>
              <w:bottom w:val="single" w:sz="4" w:space="0" w:color="auto"/>
              <w:right w:val="single" w:sz="4" w:space="0" w:color="auto"/>
            </w:tcBorders>
            <w:shd w:val="clear" w:color="auto" w:fill="auto"/>
            <w:vAlign w:val="center"/>
          </w:tcPr>
          <w:p w14:paraId="41B7218F" w14:textId="77777777" w:rsidR="00DC5685" w:rsidRPr="00A34F10" w:rsidRDefault="00DC5685" w:rsidP="000470C3">
            <w:pPr>
              <w:jc w:val="center"/>
              <w:rPr>
                <w:sz w:val="20"/>
                <w:szCs w:val="20"/>
                <w:lang w:val="en-GB"/>
              </w:rPr>
            </w:pPr>
            <w:r w:rsidRPr="00A34F10">
              <w:rPr>
                <w:sz w:val="20"/>
                <w:szCs w:val="20"/>
              </w:rPr>
              <w:t>10.3</w:t>
            </w:r>
          </w:p>
        </w:tc>
      </w:tr>
      <w:tr w:rsidR="00DC5685" w:rsidRPr="00A34F10" w14:paraId="30AD3614" w14:textId="77777777" w:rsidTr="000470C3">
        <w:trPr>
          <w:cantSplit/>
        </w:trPr>
        <w:tc>
          <w:tcPr>
            <w:tcW w:w="5000" w:type="pct"/>
            <w:gridSpan w:val="7"/>
            <w:tcBorders>
              <w:bottom w:val="single" w:sz="4" w:space="0" w:color="auto"/>
              <w:right w:val="single" w:sz="4" w:space="0" w:color="auto"/>
            </w:tcBorders>
            <w:shd w:val="clear" w:color="auto" w:fill="auto"/>
          </w:tcPr>
          <w:p w14:paraId="7AB5EF60" w14:textId="77777777" w:rsidR="00DC5685" w:rsidRPr="00A34F10" w:rsidRDefault="00DC5685" w:rsidP="000470C3">
            <w:pPr>
              <w:jc w:val="center"/>
              <w:rPr>
                <w:sz w:val="20"/>
                <w:szCs w:val="20"/>
                <w:lang w:val="en-GB"/>
              </w:rPr>
            </w:pPr>
            <w:r w:rsidRPr="00A34F10">
              <w:rPr>
                <w:b/>
                <w:sz w:val="20"/>
                <w:szCs w:val="20"/>
                <w:lang w:val="en-GB"/>
              </w:rPr>
              <w:t>Potatoes (2 x 0.902 kg a.s./ha, BBCH 21-89)</w:t>
            </w:r>
          </w:p>
        </w:tc>
      </w:tr>
      <w:tr w:rsidR="00DC5685" w:rsidRPr="00A34F10" w14:paraId="783EDF8F" w14:textId="77777777" w:rsidTr="00585A77">
        <w:trPr>
          <w:cantSplit/>
        </w:trPr>
        <w:tc>
          <w:tcPr>
            <w:tcW w:w="832" w:type="pct"/>
            <w:tcBorders>
              <w:bottom w:val="single" w:sz="4" w:space="0" w:color="auto"/>
            </w:tcBorders>
            <w:shd w:val="clear" w:color="auto" w:fill="auto"/>
          </w:tcPr>
          <w:p w14:paraId="00006F04" w14:textId="77777777" w:rsidR="00DC5685" w:rsidRPr="00A34F10" w:rsidRDefault="00DC5685" w:rsidP="000470C3">
            <w:pPr>
              <w:rPr>
                <w:sz w:val="20"/>
                <w:szCs w:val="20"/>
                <w:lang w:val="en-GB"/>
              </w:rPr>
            </w:pPr>
            <w:r w:rsidRPr="00A34F10">
              <w:rPr>
                <w:sz w:val="20"/>
                <w:szCs w:val="20"/>
                <w:lang w:val="en-GB"/>
              </w:rPr>
              <w:t>BBCH 10-39</w:t>
            </w:r>
          </w:p>
        </w:tc>
        <w:tc>
          <w:tcPr>
            <w:tcW w:w="1591" w:type="pct"/>
            <w:tcBorders>
              <w:bottom w:val="single" w:sz="4" w:space="0" w:color="auto"/>
            </w:tcBorders>
            <w:shd w:val="clear" w:color="auto" w:fill="auto"/>
          </w:tcPr>
          <w:p w14:paraId="2BAFA673" w14:textId="77777777" w:rsidR="00DC5685" w:rsidRPr="00A34F10" w:rsidRDefault="00DC5685" w:rsidP="000470C3">
            <w:pPr>
              <w:rPr>
                <w:sz w:val="20"/>
                <w:szCs w:val="20"/>
                <w:lang w:val="en-GB"/>
              </w:rPr>
            </w:pPr>
            <w:r w:rsidRPr="00A34F10">
              <w:rPr>
                <w:sz w:val="20"/>
                <w:szCs w:val="20"/>
                <w:lang w:val="en-GB"/>
              </w:rPr>
              <w:t>Small omnivorous bird “lark”</w:t>
            </w:r>
          </w:p>
        </w:tc>
        <w:tc>
          <w:tcPr>
            <w:tcW w:w="606" w:type="pct"/>
            <w:vMerge w:val="restart"/>
            <w:shd w:val="clear" w:color="auto" w:fill="auto"/>
            <w:vAlign w:val="center"/>
          </w:tcPr>
          <w:p w14:paraId="0C9153E3" w14:textId="77777777" w:rsidR="00DC5685" w:rsidRPr="00A34F10" w:rsidRDefault="00DC5685" w:rsidP="000470C3">
            <w:pPr>
              <w:jc w:val="center"/>
              <w:rPr>
                <w:sz w:val="20"/>
                <w:szCs w:val="20"/>
                <w:lang w:val="en-GB"/>
              </w:rPr>
            </w:pPr>
            <w:r w:rsidRPr="00A34F10">
              <w:rPr>
                <w:sz w:val="20"/>
                <w:szCs w:val="20"/>
                <w:lang w:val="en-GB"/>
              </w:rPr>
              <w:t>0.902</w:t>
            </w:r>
          </w:p>
        </w:tc>
        <w:tc>
          <w:tcPr>
            <w:tcW w:w="361" w:type="pct"/>
            <w:tcBorders>
              <w:bottom w:val="single" w:sz="4" w:space="0" w:color="auto"/>
            </w:tcBorders>
            <w:shd w:val="clear" w:color="auto" w:fill="auto"/>
            <w:vAlign w:val="center"/>
          </w:tcPr>
          <w:p w14:paraId="3E4BDF04" w14:textId="77777777" w:rsidR="00DC5685" w:rsidRPr="00A34F10" w:rsidRDefault="00DC5685" w:rsidP="000470C3">
            <w:pPr>
              <w:jc w:val="center"/>
              <w:rPr>
                <w:sz w:val="20"/>
                <w:szCs w:val="20"/>
                <w:lang w:val="en-GB"/>
              </w:rPr>
            </w:pPr>
            <w:r w:rsidRPr="00A34F10">
              <w:rPr>
                <w:sz w:val="20"/>
                <w:szCs w:val="20"/>
                <w:lang w:val="en-GB"/>
              </w:rPr>
              <w:t>10.9</w:t>
            </w:r>
          </w:p>
        </w:tc>
        <w:tc>
          <w:tcPr>
            <w:tcW w:w="430" w:type="pct"/>
            <w:vMerge w:val="restart"/>
            <w:shd w:val="clear" w:color="auto" w:fill="auto"/>
            <w:vAlign w:val="center"/>
          </w:tcPr>
          <w:p w14:paraId="7FB77517" w14:textId="77777777" w:rsidR="00DC5685" w:rsidRPr="00A34F10" w:rsidRDefault="00DC5685" w:rsidP="000470C3">
            <w:pPr>
              <w:jc w:val="center"/>
              <w:rPr>
                <w:sz w:val="20"/>
                <w:szCs w:val="20"/>
                <w:lang w:val="en-GB"/>
              </w:rPr>
            </w:pPr>
            <w:r w:rsidRPr="00A34F10">
              <w:rPr>
                <w:sz w:val="20"/>
                <w:szCs w:val="20"/>
                <w:lang w:val="en-GB"/>
              </w:rPr>
              <w:t>1.71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C13EEFD" w14:textId="77777777" w:rsidR="00DC5685" w:rsidRPr="00A34F10" w:rsidRDefault="00DC5685" w:rsidP="000470C3">
            <w:pPr>
              <w:jc w:val="center"/>
              <w:rPr>
                <w:sz w:val="20"/>
                <w:szCs w:val="20"/>
              </w:rPr>
            </w:pPr>
            <w:r w:rsidRPr="00A34F10">
              <w:rPr>
                <w:sz w:val="20"/>
                <w:szCs w:val="20"/>
              </w:rPr>
              <w:t>8.84</w:t>
            </w:r>
          </w:p>
        </w:tc>
        <w:tc>
          <w:tcPr>
            <w:tcW w:w="508" w:type="pct"/>
            <w:tcBorders>
              <w:top w:val="single" w:sz="4" w:space="0" w:color="auto"/>
              <w:left w:val="nil"/>
              <w:bottom w:val="single" w:sz="4" w:space="0" w:color="auto"/>
              <w:right w:val="single" w:sz="4" w:space="0" w:color="auto"/>
            </w:tcBorders>
            <w:shd w:val="clear" w:color="auto" w:fill="auto"/>
            <w:vAlign w:val="center"/>
          </w:tcPr>
          <w:p w14:paraId="63C42EA8" w14:textId="77777777" w:rsidR="00DC5685" w:rsidRPr="00A34F10" w:rsidRDefault="00DC5685" w:rsidP="000470C3">
            <w:pPr>
              <w:jc w:val="center"/>
              <w:rPr>
                <w:sz w:val="20"/>
                <w:szCs w:val="20"/>
                <w:lang w:val="en-GB"/>
              </w:rPr>
            </w:pPr>
            <w:r w:rsidRPr="00A34F10">
              <w:rPr>
                <w:sz w:val="20"/>
                <w:szCs w:val="20"/>
                <w:lang w:val="en-GB"/>
              </w:rPr>
              <w:t>11.9</w:t>
            </w:r>
          </w:p>
        </w:tc>
      </w:tr>
      <w:tr w:rsidR="00DC5685" w:rsidRPr="00A34F10" w14:paraId="327B1138" w14:textId="77777777" w:rsidTr="00585A77">
        <w:trPr>
          <w:cantSplit/>
        </w:trPr>
        <w:tc>
          <w:tcPr>
            <w:tcW w:w="832" w:type="pct"/>
            <w:tcBorders>
              <w:bottom w:val="single" w:sz="4" w:space="0" w:color="auto"/>
            </w:tcBorders>
            <w:shd w:val="clear" w:color="auto" w:fill="auto"/>
          </w:tcPr>
          <w:p w14:paraId="1F136CCF" w14:textId="77777777" w:rsidR="00DC5685" w:rsidRPr="00A34F10" w:rsidRDefault="00DC5685" w:rsidP="000470C3">
            <w:pPr>
              <w:rPr>
                <w:sz w:val="20"/>
                <w:szCs w:val="20"/>
                <w:lang w:val="en-GB"/>
              </w:rPr>
            </w:pPr>
            <w:r w:rsidRPr="00A34F10">
              <w:rPr>
                <w:sz w:val="20"/>
                <w:szCs w:val="20"/>
                <w:lang w:val="en-GB"/>
              </w:rPr>
              <w:t>BBCH ≥40</w:t>
            </w:r>
          </w:p>
        </w:tc>
        <w:tc>
          <w:tcPr>
            <w:tcW w:w="1591" w:type="pct"/>
            <w:tcBorders>
              <w:bottom w:val="single" w:sz="4" w:space="0" w:color="auto"/>
            </w:tcBorders>
            <w:shd w:val="clear" w:color="auto" w:fill="auto"/>
          </w:tcPr>
          <w:p w14:paraId="4741FE6A" w14:textId="77777777" w:rsidR="00DC5685" w:rsidRPr="00A34F10" w:rsidRDefault="00DC5685" w:rsidP="000470C3">
            <w:pPr>
              <w:rPr>
                <w:sz w:val="20"/>
                <w:szCs w:val="20"/>
                <w:lang w:val="en-GB"/>
              </w:rPr>
            </w:pPr>
            <w:r w:rsidRPr="00A34F10">
              <w:rPr>
                <w:sz w:val="20"/>
                <w:szCs w:val="20"/>
                <w:lang w:val="en-GB"/>
              </w:rPr>
              <w:t>Small omnivorous bird “lark”</w:t>
            </w:r>
          </w:p>
        </w:tc>
        <w:tc>
          <w:tcPr>
            <w:tcW w:w="606" w:type="pct"/>
            <w:vMerge/>
            <w:shd w:val="clear" w:color="auto" w:fill="auto"/>
            <w:vAlign w:val="center"/>
          </w:tcPr>
          <w:p w14:paraId="49CA11B5"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6816277D" w14:textId="77777777" w:rsidR="00DC5685" w:rsidRPr="00A34F10" w:rsidRDefault="00DC5685" w:rsidP="000470C3">
            <w:pPr>
              <w:jc w:val="center"/>
              <w:rPr>
                <w:sz w:val="20"/>
                <w:szCs w:val="20"/>
                <w:lang w:val="en-GB"/>
              </w:rPr>
            </w:pPr>
            <w:r w:rsidRPr="00A34F10">
              <w:rPr>
                <w:sz w:val="20"/>
                <w:szCs w:val="20"/>
                <w:lang w:val="en-GB"/>
              </w:rPr>
              <w:t>3.3</w:t>
            </w:r>
          </w:p>
        </w:tc>
        <w:tc>
          <w:tcPr>
            <w:tcW w:w="430" w:type="pct"/>
            <w:vMerge/>
            <w:shd w:val="clear" w:color="auto" w:fill="auto"/>
            <w:vAlign w:val="center"/>
          </w:tcPr>
          <w:p w14:paraId="34F5E557"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86C08E8" w14:textId="77777777" w:rsidR="00DC5685" w:rsidRPr="00A34F10" w:rsidRDefault="00DC5685" w:rsidP="000470C3">
            <w:pPr>
              <w:jc w:val="center"/>
              <w:rPr>
                <w:sz w:val="20"/>
                <w:szCs w:val="20"/>
              </w:rPr>
            </w:pPr>
            <w:r w:rsidRPr="00A34F10">
              <w:rPr>
                <w:sz w:val="20"/>
                <w:szCs w:val="20"/>
              </w:rPr>
              <w:t>2.68</w:t>
            </w:r>
          </w:p>
        </w:tc>
        <w:tc>
          <w:tcPr>
            <w:tcW w:w="508" w:type="pct"/>
            <w:tcBorders>
              <w:top w:val="single" w:sz="4" w:space="0" w:color="auto"/>
              <w:left w:val="nil"/>
              <w:bottom w:val="single" w:sz="4" w:space="0" w:color="auto"/>
              <w:right w:val="single" w:sz="4" w:space="0" w:color="auto"/>
            </w:tcBorders>
            <w:shd w:val="clear" w:color="auto" w:fill="auto"/>
            <w:vAlign w:val="center"/>
          </w:tcPr>
          <w:p w14:paraId="439E7F01" w14:textId="77777777" w:rsidR="00DC5685" w:rsidRPr="00A34F10" w:rsidRDefault="00DC5685" w:rsidP="000470C3">
            <w:pPr>
              <w:jc w:val="center"/>
              <w:rPr>
                <w:sz w:val="20"/>
                <w:szCs w:val="20"/>
                <w:lang w:val="en-GB"/>
              </w:rPr>
            </w:pPr>
            <w:r w:rsidRPr="00A34F10">
              <w:rPr>
                <w:sz w:val="20"/>
                <w:szCs w:val="20"/>
                <w:lang w:val="en-GB"/>
              </w:rPr>
              <w:t>39.2</w:t>
            </w:r>
          </w:p>
        </w:tc>
      </w:tr>
      <w:tr w:rsidR="00DC5685" w:rsidRPr="00A34F10" w14:paraId="452C58A6" w14:textId="77777777" w:rsidTr="00585A77">
        <w:trPr>
          <w:cantSplit/>
        </w:trPr>
        <w:tc>
          <w:tcPr>
            <w:tcW w:w="832" w:type="pct"/>
            <w:tcBorders>
              <w:bottom w:val="single" w:sz="4" w:space="0" w:color="auto"/>
            </w:tcBorders>
            <w:shd w:val="clear" w:color="auto" w:fill="auto"/>
          </w:tcPr>
          <w:p w14:paraId="3650729A" w14:textId="77777777" w:rsidR="00DC5685" w:rsidRPr="00A34F10" w:rsidRDefault="00DC5685" w:rsidP="000470C3">
            <w:pPr>
              <w:rPr>
                <w:sz w:val="20"/>
                <w:szCs w:val="20"/>
                <w:lang w:val="en-GB"/>
              </w:rPr>
            </w:pPr>
            <w:r w:rsidRPr="00A34F10">
              <w:rPr>
                <w:sz w:val="20"/>
                <w:szCs w:val="20"/>
                <w:lang w:val="en-GB"/>
              </w:rPr>
              <w:t>BBCH ≥20</w:t>
            </w:r>
          </w:p>
        </w:tc>
        <w:tc>
          <w:tcPr>
            <w:tcW w:w="1591" w:type="pct"/>
            <w:tcBorders>
              <w:bottom w:val="single" w:sz="4" w:space="0" w:color="auto"/>
            </w:tcBorders>
            <w:shd w:val="clear" w:color="auto" w:fill="auto"/>
          </w:tcPr>
          <w:p w14:paraId="47494EF1" w14:textId="77777777" w:rsidR="00DC5685" w:rsidRPr="00A34F10" w:rsidRDefault="00DC5685" w:rsidP="000470C3">
            <w:pPr>
              <w:rPr>
                <w:sz w:val="20"/>
                <w:szCs w:val="20"/>
                <w:lang w:val="en-GB"/>
              </w:rPr>
            </w:pPr>
            <w:r w:rsidRPr="00A34F10">
              <w:rPr>
                <w:sz w:val="20"/>
                <w:szCs w:val="20"/>
                <w:lang w:val="en-GB"/>
              </w:rPr>
              <w:t>Small insectivorous bird “wagtail”</w:t>
            </w:r>
          </w:p>
        </w:tc>
        <w:tc>
          <w:tcPr>
            <w:tcW w:w="606" w:type="pct"/>
            <w:vMerge/>
            <w:tcBorders>
              <w:bottom w:val="single" w:sz="4" w:space="0" w:color="auto"/>
            </w:tcBorders>
            <w:shd w:val="clear" w:color="auto" w:fill="auto"/>
            <w:vAlign w:val="center"/>
          </w:tcPr>
          <w:p w14:paraId="62665AF3"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0BBC0F98" w14:textId="77777777" w:rsidR="00DC5685" w:rsidRPr="00A34F10" w:rsidRDefault="00DC5685" w:rsidP="000470C3">
            <w:pPr>
              <w:jc w:val="center"/>
              <w:rPr>
                <w:sz w:val="20"/>
                <w:szCs w:val="20"/>
                <w:lang w:val="en-GB"/>
              </w:rPr>
            </w:pPr>
            <w:r w:rsidRPr="00A34F10">
              <w:rPr>
                <w:sz w:val="20"/>
                <w:szCs w:val="20"/>
                <w:lang w:val="en-GB"/>
              </w:rPr>
              <w:t>9.7</w:t>
            </w:r>
          </w:p>
        </w:tc>
        <w:tc>
          <w:tcPr>
            <w:tcW w:w="430" w:type="pct"/>
            <w:vMerge/>
            <w:tcBorders>
              <w:bottom w:val="single" w:sz="4" w:space="0" w:color="auto"/>
            </w:tcBorders>
            <w:shd w:val="clear" w:color="auto" w:fill="auto"/>
            <w:vAlign w:val="center"/>
          </w:tcPr>
          <w:p w14:paraId="48AF0299"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D039340" w14:textId="77777777" w:rsidR="00DC5685" w:rsidRPr="00A34F10" w:rsidRDefault="00DC5685" w:rsidP="000470C3">
            <w:pPr>
              <w:jc w:val="center"/>
              <w:rPr>
                <w:sz w:val="20"/>
                <w:szCs w:val="20"/>
              </w:rPr>
            </w:pPr>
            <w:r w:rsidRPr="00A34F10">
              <w:rPr>
                <w:sz w:val="20"/>
                <w:szCs w:val="20"/>
              </w:rPr>
              <w:t>7.87</w:t>
            </w:r>
          </w:p>
        </w:tc>
        <w:tc>
          <w:tcPr>
            <w:tcW w:w="508" w:type="pct"/>
            <w:tcBorders>
              <w:top w:val="single" w:sz="4" w:space="0" w:color="auto"/>
              <w:left w:val="nil"/>
              <w:bottom w:val="single" w:sz="4" w:space="0" w:color="auto"/>
              <w:right w:val="single" w:sz="4" w:space="0" w:color="auto"/>
            </w:tcBorders>
            <w:shd w:val="clear" w:color="auto" w:fill="auto"/>
            <w:vAlign w:val="center"/>
          </w:tcPr>
          <w:p w14:paraId="0D34FF21" w14:textId="77777777" w:rsidR="00DC5685" w:rsidRPr="00A34F10" w:rsidRDefault="00DC5685" w:rsidP="000470C3">
            <w:pPr>
              <w:jc w:val="center"/>
              <w:rPr>
                <w:sz w:val="20"/>
                <w:szCs w:val="20"/>
                <w:lang w:val="en-GB"/>
              </w:rPr>
            </w:pPr>
            <w:r w:rsidRPr="00A34F10">
              <w:rPr>
                <w:sz w:val="20"/>
                <w:szCs w:val="20"/>
                <w:lang w:val="en-GB"/>
              </w:rPr>
              <w:t>13.3</w:t>
            </w:r>
          </w:p>
        </w:tc>
      </w:tr>
      <w:tr w:rsidR="00DC5685" w:rsidRPr="00A34F10" w14:paraId="40E6B187" w14:textId="77777777" w:rsidTr="000470C3">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40561169" w14:textId="77777777" w:rsidR="00DC5685" w:rsidRPr="00A34F10" w:rsidRDefault="00DC5685" w:rsidP="000470C3">
            <w:pPr>
              <w:jc w:val="center"/>
              <w:rPr>
                <w:b/>
                <w:color w:val="000000"/>
                <w:sz w:val="20"/>
                <w:szCs w:val="20"/>
                <w:highlight w:val="yellow"/>
                <w:lang w:val="en-GB"/>
              </w:rPr>
            </w:pPr>
            <w:r w:rsidRPr="00A34F10">
              <w:rPr>
                <w:b/>
                <w:sz w:val="20"/>
                <w:szCs w:val="20"/>
                <w:lang w:val="en-GB"/>
              </w:rPr>
              <w:t>Bulbs and onion like crops (2 x 0.902 kg a.s./ha, BBCH 14–49)</w:t>
            </w:r>
          </w:p>
        </w:tc>
      </w:tr>
      <w:tr w:rsidR="00DC5685" w:rsidRPr="00A34F10" w14:paraId="14BEDE04" w14:textId="77777777" w:rsidTr="00585A77">
        <w:trPr>
          <w:cantSplit/>
        </w:trPr>
        <w:tc>
          <w:tcPr>
            <w:tcW w:w="832" w:type="pct"/>
            <w:tcBorders>
              <w:top w:val="single" w:sz="4" w:space="0" w:color="auto"/>
              <w:left w:val="single" w:sz="4" w:space="0" w:color="auto"/>
              <w:bottom w:val="single" w:sz="2" w:space="0" w:color="auto"/>
              <w:right w:val="single" w:sz="4" w:space="0" w:color="auto"/>
            </w:tcBorders>
            <w:shd w:val="clear" w:color="auto" w:fill="auto"/>
            <w:vAlign w:val="center"/>
          </w:tcPr>
          <w:p w14:paraId="6D354D59" w14:textId="77777777" w:rsidR="00DC5685" w:rsidRPr="00A34F10" w:rsidRDefault="00DC5685" w:rsidP="000470C3">
            <w:pPr>
              <w:jc w:val="center"/>
              <w:rPr>
                <w:color w:val="000000"/>
                <w:sz w:val="20"/>
                <w:szCs w:val="20"/>
                <w:lang w:val="en-GB" w:eastAsia="en-GB"/>
              </w:rPr>
            </w:pPr>
            <w:r w:rsidRPr="00A34F10">
              <w:rPr>
                <w:sz w:val="20"/>
                <w:szCs w:val="20"/>
              </w:rPr>
              <w:t>BBCH 10-39</w:t>
            </w:r>
          </w:p>
        </w:tc>
        <w:tc>
          <w:tcPr>
            <w:tcW w:w="1591" w:type="pct"/>
            <w:tcBorders>
              <w:top w:val="single" w:sz="4" w:space="0" w:color="auto"/>
              <w:left w:val="nil"/>
              <w:bottom w:val="single" w:sz="2" w:space="0" w:color="auto"/>
              <w:right w:val="single" w:sz="4" w:space="0" w:color="auto"/>
            </w:tcBorders>
            <w:shd w:val="clear" w:color="auto" w:fill="auto"/>
            <w:vAlign w:val="center"/>
          </w:tcPr>
          <w:p w14:paraId="30E55036" w14:textId="77777777" w:rsidR="00DC5685" w:rsidRPr="00A34F10" w:rsidRDefault="00DC5685" w:rsidP="000470C3">
            <w:pPr>
              <w:jc w:val="center"/>
              <w:rPr>
                <w:color w:val="000000"/>
                <w:sz w:val="20"/>
                <w:szCs w:val="20"/>
                <w:lang w:val="en-GB"/>
              </w:rPr>
            </w:pPr>
            <w:r w:rsidRPr="00A34F10">
              <w:rPr>
                <w:sz w:val="20"/>
                <w:szCs w:val="20"/>
                <w:lang w:val="en-GB"/>
              </w:rPr>
              <w:t>Small granivorous bird “finch”</w:t>
            </w:r>
          </w:p>
        </w:tc>
        <w:tc>
          <w:tcPr>
            <w:tcW w:w="606" w:type="pct"/>
            <w:vMerge w:val="restart"/>
            <w:shd w:val="clear" w:color="auto" w:fill="auto"/>
            <w:vAlign w:val="center"/>
          </w:tcPr>
          <w:p w14:paraId="6842EB46" w14:textId="77777777" w:rsidR="00DC5685" w:rsidRPr="00A34F10" w:rsidRDefault="00DC5685" w:rsidP="000470C3">
            <w:pPr>
              <w:jc w:val="center"/>
              <w:rPr>
                <w:sz w:val="20"/>
                <w:szCs w:val="20"/>
                <w:lang w:val="en-GB"/>
              </w:rPr>
            </w:pPr>
            <w:r w:rsidRPr="00A34F10">
              <w:rPr>
                <w:sz w:val="20"/>
                <w:szCs w:val="20"/>
                <w:lang w:val="en-GB"/>
              </w:rPr>
              <w:t>0.902</w:t>
            </w:r>
          </w:p>
        </w:tc>
        <w:tc>
          <w:tcPr>
            <w:tcW w:w="361" w:type="pct"/>
            <w:tcBorders>
              <w:top w:val="single" w:sz="4" w:space="0" w:color="auto"/>
              <w:left w:val="single" w:sz="4" w:space="0" w:color="auto"/>
              <w:bottom w:val="single" w:sz="2" w:space="0" w:color="auto"/>
              <w:right w:val="single" w:sz="4" w:space="0" w:color="auto"/>
            </w:tcBorders>
            <w:shd w:val="clear" w:color="auto" w:fill="auto"/>
            <w:vAlign w:val="center"/>
          </w:tcPr>
          <w:p w14:paraId="6A48DD74" w14:textId="77777777" w:rsidR="00DC5685" w:rsidRPr="00A34F10" w:rsidRDefault="00DC5685" w:rsidP="000470C3">
            <w:pPr>
              <w:jc w:val="center"/>
              <w:rPr>
                <w:color w:val="000000"/>
                <w:sz w:val="20"/>
                <w:szCs w:val="20"/>
                <w:lang w:val="en-GB" w:eastAsia="en-GB"/>
              </w:rPr>
            </w:pPr>
            <w:r w:rsidRPr="00A34F10">
              <w:rPr>
                <w:sz w:val="20"/>
                <w:szCs w:val="20"/>
                <w:lang w:val="en-GB"/>
              </w:rPr>
              <w:t>11.4</w:t>
            </w:r>
          </w:p>
        </w:tc>
        <w:tc>
          <w:tcPr>
            <w:tcW w:w="430" w:type="pct"/>
            <w:vMerge w:val="restart"/>
            <w:shd w:val="clear" w:color="auto" w:fill="auto"/>
            <w:vAlign w:val="center"/>
          </w:tcPr>
          <w:p w14:paraId="0864A31B" w14:textId="77777777" w:rsidR="00DC5685" w:rsidRPr="00A34F10" w:rsidRDefault="00DC5685" w:rsidP="000470C3">
            <w:pPr>
              <w:jc w:val="center"/>
              <w:rPr>
                <w:sz w:val="20"/>
                <w:szCs w:val="20"/>
                <w:lang w:val="en-GB"/>
              </w:rPr>
            </w:pPr>
            <w:r w:rsidRPr="00A34F10">
              <w:rPr>
                <w:sz w:val="20"/>
                <w:szCs w:val="20"/>
                <w:lang w:val="en-GB"/>
              </w:rPr>
              <w:t>1.71 × 0.53</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17D1EEDF" w14:textId="77777777" w:rsidR="00DC5685" w:rsidRPr="00A34F10" w:rsidRDefault="00DC5685" w:rsidP="000470C3">
            <w:pPr>
              <w:jc w:val="center"/>
              <w:rPr>
                <w:color w:val="000000"/>
                <w:sz w:val="20"/>
                <w:szCs w:val="20"/>
                <w:lang w:val="en-GB" w:eastAsia="en-GB"/>
              </w:rPr>
            </w:pPr>
            <w:r w:rsidRPr="00A34F10">
              <w:rPr>
                <w:sz w:val="20"/>
                <w:szCs w:val="20"/>
              </w:rPr>
              <w:t>9.25</w:t>
            </w:r>
          </w:p>
        </w:tc>
        <w:tc>
          <w:tcPr>
            <w:tcW w:w="508" w:type="pct"/>
            <w:tcBorders>
              <w:top w:val="single" w:sz="4" w:space="0" w:color="auto"/>
              <w:left w:val="single" w:sz="4" w:space="0" w:color="auto"/>
              <w:bottom w:val="single" w:sz="2" w:space="0" w:color="auto"/>
              <w:right w:val="single" w:sz="4" w:space="0" w:color="auto"/>
            </w:tcBorders>
            <w:shd w:val="clear" w:color="auto" w:fill="auto"/>
            <w:vAlign w:val="center"/>
          </w:tcPr>
          <w:p w14:paraId="6BC58CFE" w14:textId="77777777" w:rsidR="00DC5685" w:rsidRPr="00A34F10" w:rsidRDefault="00DC5685" w:rsidP="000470C3">
            <w:pPr>
              <w:jc w:val="center"/>
              <w:rPr>
                <w:color w:val="000000"/>
                <w:sz w:val="20"/>
                <w:szCs w:val="20"/>
                <w:lang w:val="en-GB" w:eastAsia="en-GB"/>
              </w:rPr>
            </w:pPr>
            <w:r w:rsidRPr="00A34F10">
              <w:rPr>
                <w:sz w:val="20"/>
                <w:szCs w:val="20"/>
              </w:rPr>
              <w:t>11.4</w:t>
            </w:r>
          </w:p>
        </w:tc>
      </w:tr>
      <w:tr w:rsidR="00DC5685" w:rsidRPr="00A34F10" w14:paraId="56F10DD4" w14:textId="77777777" w:rsidTr="00585A77">
        <w:trPr>
          <w:cantSplit/>
        </w:trPr>
        <w:tc>
          <w:tcPr>
            <w:tcW w:w="832" w:type="pct"/>
            <w:tcBorders>
              <w:top w:val="single" w:sz="2" w:space="0" w:color="auto"/>
              <w:left w:val="single" w:sz="4" w:space="0" w:color="auto"/>
              <w:bottom w:val="single" w:sz="4" w:space="0" w:color="auto"/>
              <w:right w:val="single" w:sz="4" w:space="0" w:color="auto"/>
            </w:tcBorders>
            <w:shd w:val="clear" w:color="auto" w:fill="auto"/>
            <w:vAlign w:val="center"/>
          </w:tcPr>
          <w:p w14:paraId="79580F19" w14:textId="77777777" w:rsidR="00DC5685" w:rsidRPr="00A34F10" w:rsidRDefault="00DC5685" w:rsidP="000470C3">
            <w:pPr>
              <w:jc w:val="center"/>
              <w:rPr>
                <w:color w:val="000000"/>
                <w:sz w:val="20"/>
                <w:szCs w:val="20"/>
                <w:lang w:val="en-GB"/>
              </w:rPr>
            </w:pPr>
            <w:r w:rsidRPr="00A34F10">
              <w:rPr>
                <w:sz w:val="20"/>
                <w:szCs w:val="20"/>
              </w:rPr>
              <w:t>BBCH ≥40</w:t>
            </w:r>
          </w:p>
        </w:tc>
        <w:tc>
          <w:tcPr>
            <w:tcW w:w="1591" w:type="pct"/>
            <w:tcBorders>
              <w:top w:val="single" w:sz="2" w:space="0" w:color="auto"/>
              <w:left w:val="nil"/>
              <w:bottom w:val="single" w:sz="4" w:space="0" w:color="auto"/>
              <w:right w:val="single" w:sz="4" w:space="0" w:color="auto"/>
            </w:tcBorders>
            <w:shd w:val="clear" w:color="auto" w:fill="auto"/>
            <w:vAlign w:val="center"/>
          </w:tcPr>
          <w:p w14:paraId="42483582" w14:textId="77777777" w:rsidR="00DC5685" w:rsidRPr="00A34F10" w:rsidRDefault="00DC5685" w:rsidP="000470C3">
            <w:pPr>
              <w:jc w:val="center"/>
              <w:rPr>
                <w:color w:val="000000"/>
                <w:sz w:val="20"/>
                <w:szCs w:val="20"/>
                <w:lang w:val="en-GB"/>
              </w:rPr>
            </w:pPr>
            <w:r w:rsidRPr="00A34F10">
              <w:rPr>
                <w:sz w:val="20"/>
                <w:szCs w:val="20"/>
                <w:lang w:val="en-GB"/>
              </w:rPr>
              <w:t>Small granivorous bird “finch”</w:t>
            </w:r>
          </w:p>
        </w:tc>
        <w:tc>
          <w:tcPr>
            <w:tcW w:w="606" w:type="pct"/>
            <w:vMerge/>
            <w:shd w:val="clear" w:color="auto" w:fill="auto"/>
            <w:vAlign w:val="center"/>
          </w:tcPr>
          <w:p w14:paraId="673986C7" w14:textId="77777777" w:rsidR="00DC5685" w:rsidRPr="00A34F10" w:rsidRDefault="00DC5685" w:rsidP="000470C3">
            <w:pPr>
              <w:jc w:val="center"/>
              <w:rPr>
                <w:sz w:val="20"/>
                <w:szCs w:val="20"/>
                <w:lang w:val="en-GB"/>
              </w:rPr>
            </w:pPr>
          </w:p>
        </w:tc>
        <w:tc>
          <w:tcPr>
            <w:tcW w:w="361" w:type="pct"/>
            <w:tcBorders>
              <w:top w:val="single" w:sz="2" w:space="0" w:color="auto"/>
              <w:left w:val="single" w:sz="4" w:space="0" w:color="auto"/>
              <w:bottom w:val="single" w:sz="4" w:space="0" w:color="auto"/>
              <w:right w:val="single" w:sz="4" w:space="0" w:color="auto"/>
            </w:tcBorders>
            <w:shd w:val="clear" w:color="auto" w:fill="auto"/>
            <w:vAlign w:val="center"/>
          </w:tcPr>
          <w:p w14:paraId="24F4763B" w14:textId="77777777" w:rsidR="00DC5685" w:rsidRPr="00A34F10" w:rsidRDefault="00DC5685" w:rsidP="000470C3">
            <w:pPr>
              <w:jc w:val="center"/>
              <w:rPr>
                <w:color w:val="000000"/>
                <w:sz w:val="20"/>
                <w:szCs w:val="20"/>
                <w:lang w:val="en-GB"/>
              </w:rPr>
            </w:pPr>
            <w:r w:rsidRPr="00A34F10">
              <w:rPr>
                <w:sz w:val="20"/>
                <w:szCs w:val="20"/>
                <w:lang w:val="en-GB"/>
              </w:rPr>
              <w:t>6.9</w:t>
            </w:r>
          </w:p>
        </w:tc>
        <w:tc>
          <w:tcPr>
            <w:tcW w:w="430" w:type="pct"/>
            <w:vMerge/>
            <w:shd w:val="clear" w:color="auto" w:fill="auto"/>
            <w:vAlign w:val="center"/>
          </w:tcPr>
          <w:p w14:paraId="51688B87" w14:textId="77777777" w:rsidR="00DC5685" w:rsidRPr="00A34F10" w:rsidRDefault="00DC5685" w:rsidP="000470C3">
            <w:pPr>
              <w:jc w:val="center"/>
              <w:rPr>
                <w:sz w:val="20"/>
                <w:szCs w:val="20"/>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32BD8892" w14:textId="77777777" w:rsidR="00DC5685" w:rsidRPr="00A34F10" w:rsidRDefault="00DC5685" w:rsidP="000470C3">
            <w:pPr>
              <w:jc w:val="center"/>
              <w:rPr>
                <w:color w:val="000000"/>
                <w:sz w:val="20"/>
                <w:szCs w:val="20"/>
                <w:lang w:val="en-GB"/>
              </w:rPr>
            </w:pPr>
            <w:r w:rsidRPr="00A34F10">
              <w:rPr>
                <w:sz w:val="20"/>
                <w:szCs w:val="20"/>
              </w:rPr>
              <w:t>5.60</w:t>
            </w:r>
          </w:p>
        </w:tc>
        <w:tc>
          <w:tcPr>
            <w:tcW w:w="508" w:type="pct"/>
            <w:tcBorders>
              <w:top w:val="single" w:sz="2" w:space="0" w:color="auto"/>
              <w:left w:val="single" w:sz="4" w:space="0" w:color="auto"/>
              <w:bottom w:val="single" w:sz="4" w:space="0" w:color="auto"/>
              <w:right w:val="single" w:sz="4" w:space="0" w:color="auto"/>
            </w:tcBorders>
            <w:shd w:val="clear" w:color="auto" w:fill="auto"/>
            <w:vAlign w:val="center"/>
          </w:tcPr>
          <w:p w14:paraId="2C2D0A4E" w14:textId="77777777" w:rsidR="00DC5685" w:rsidRPr="00A34F10" w:rsidRDefault="00DC5685" w:rsidP="000470C3">
            <w:pPr>
              <w:jc w:val="center"/>
              <w:rPr>
                <w:color w:val="000000"/>
                <w:sz w:val="20"/>
                <w:szCs w:val="20"/>
                <w:lang w:val="en-GB"/>
              </w:rPr>
            </w:pPr>
            <w:r w:rsidRPr="00A34F10">
              <w:rPr>
                <w:sz w:val="20"/>
                <w:szCs w:val="20"/>
              </w:rPr>
              <w:t>18.8</w:t>
            </w:r>
          </w:p>
        </w:tc>
      </w:tr>
      <w:tr w:rsidR="00DC5685" w:rsidRPr="00A34F10" w14:paraId="4AF1627F" w14:textId="77777777" w:rsidTr="00585A77">
        <w:trPr>
          <w:cantSplit/>
        </w:trPr>
        <w:tc>
          <w:tcPr>
            <w:tcW w:w="832" w:type="pct"/>
            <w:tcBorders>
              <w:top w:val="nil"/>
              <w:left w:val="single" w:sz="4" w:space="0" w:color="auto"/>
              <w:bottom w:val="single" w:sz="4" w:space="0" w:color="auto"/>
              <w:right w:val="single" w:sz="4" w:space="0" w:color="auto"/>
            </w:tcBorders>
            <w:shd w:val="clear" w:color="auto" w:fill="auto"/>
            <w:vAlign w:val="center"/>
          </w:tcPr>
          <w:p w14:paraId="78AC6065" w14:textId="77777777" w:rsidR="00DC5685" w:rsidRPr="00A34F10" w:rsidRDefault="00DC5685" w:rsidP="000470C3">
            <w:pPr>
              <w:jc w:val="center"/>
              <w:rPr>
                <w:color w:val="000000"/>
                <w:sz w:val="20"/>
                <w:szCs w:val="20"/>
                <w:lang w:val="en-GB"/>
              </w:rPr>
            </w:pPr>
            <w:r w:rsidRPr="00A34F10">
              <w:rPr>
                <w:sz w:val="20"/>
                <w:szCs w:val="20"/>
              </w:rPr>
              <w:t>BBCH 10-39</w:t>
            </w:r>
          </w:p>
        </w:tc>
        <w:tc>
          <w:tcPr>
            <w:tcW w:w="1591" w:type="pct"/>
            <w:tcBorders>
              <w:top w:val="nil"/>
              <w:left w:val="nil"/>
              <w:bottom w:val="single" w:sz="4" w:space="0" w:color="auto"/>
              <w:right w:val="single" w:sz="4" w:space="0" w:color="auto"/>
            </w:tcBorders>
            <w:shd w:val="clear" w:color="auto" w:fill="auto"/>
            <w:vAlign w:val="center"/>
          </w:tcPr>
          <w:p w14:paraId="07FAEF7E" w14:textId="77777777" w:rsidR="00DC5685" w:rsidRPr="00A34F10" w:rsidRDefault="00DC5685" w:rsidP="000470C3">
            <w:pPr>
              <w:jc w:val="center"/>
              <w:rPr>
                <w:color w:val="000000"/>
                <w:sz w:val="20"/>
                <w:szCs w:val="20"/>
                <w:lang w:val="en-GB"/>
              </w:rPr>
            </w:pPr>
            <w:r w:rsidRPr="00A34F10">
              <w:rPr>
                <w:sz w:val="20"/>
                <w:szCs w:val="20"/>
                <w:lang w:val="en-GB"/>
              </w:rPr>
              <w:t>Small omnivorous bird “lark”</w:t>
            </w:r>
          </w:p>
        </w:tc>
        <w:tc>
          <w:tcPr>
            <w:tcW w:w="606" w:type="pct"/>
            <w:vMerge/>
            <w:shd w:val="clear" w:color="auto" w:fill="auto"/>
            <w:vAlign w:val="center"/>
          </w:tcPr>
          <w:p w14:paraId="40C25E5C" w14:textId="77777777" w:rsidR="00DC5685" w:rsidRPr="00A34F10" w:rsidRDefault="00DC5685" w:rsidP="000470C3">
            <w:pPr>
              <w:jc w:val="center"/>
              <w:rPr>
                <w:sz w:val="20"/>
                <w:szCs w:val="20"/>
                <w:lang w:val="en-GB"/>
              </w:rPr>
            </w:pPr>
          </w:p>
        </w:tc>
        <w:tc>
          <w:tcPr>
            <w:tcW w:w="361" w:type="pct"/>
            <w:tcBorders>
              <w:top w:val="nil"/>
              <w:left w:val="single" w:sz="4" w:space="0" w:color="auto"/>
              <w:bottom w:val="single" w:sz="4" w:space="0" w:color="auto"/>
              <w:right w:val="single" w:sz="4" w:space="0" w:color="auto"/>
            </w:tcBorders>
            <w:shd w:val="clear" w:color="auto" w:fill="auto"/>
            <w:vAlign w:val="center"/>
          </w:tcPr>
          <w:p w14:paraId="7BAAC1FD" w14:textId="77777777" w:rsidR="00DC5685" w:rsidRPr="00A34F10" w:rsidRDefault="00DC5685" w:rsidP="000470C3">
            <w:pPr>
              <w:jc w:val="center"/>
              <w:rPr>
                <w:color w:val="000000"/>
                <w:sz w:val="20"/>
                <w:szCs w:val="20"/>
                <w:lang w:val="en-GB"/>
              </w:rPr>
            </w:pPr>
            <w:r w:rsidRPr="00A34F10">
              <w:rPr>
                <w:sz w:val="20"/>
                <w:szCs w:val="20"/>
                <w:lang w:val="en-GB"/>
              </w:rPr>
              <w:t>10.9</w:t>
            </w:r>
          </w:p>
        </w:tc>
        <w:tc>
          <w:tcPr>
            <w:tcW w:w="430" w:type="pct"/>
            <w:vMerge/>
            <w:shd w:val="clear" w:color="auto" w:fill="auto"/>
            <w:vAlign w:val="center"/>
          </w:tcPr>
          <w:p w14:paraId="60E10D8E"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4D1EA29" w14:textId="77777777" w:rsidR="00DC5685" w:rsidRPr="00A34F10" w:rsidRDefault="00DC5685" w:rsidP="000470C3">
            <w:pPr>
              <w:jc w:val="center"/>
              <w:rPr>
                <w:color w:val="000000"/>
                <w:sz w:val="20"/>
                <w:szCs w:val="20"/>
                <w:lang w:val="en-GB"/>
              </w:rPr>
            </w:pPr>
            <w:r w:rsidRPr="00A34F10">
              <w:rPr>
                <w:sz w:val="20"/>
                <w:szCs w:val="20"/>
              </w:rPr>
              <w:t>8.84</w:t>
            </w:r>
          </w:p>
        </w:tc>
        <w:tc>
          <w:tcPr>
            <w:tcW w:w="508" w:type="pct"/>
            <w:tcBorders>
              <w:top w:val="nil"/>
              <w:left w:val="single" w:sz="4" w:space="0" w:color="auto"/>
              <w:bottom w:val="single" w:sz="4" w:space="0" w:color="auto"/>
              <w:right w:val="single" w:sz="4" w:space="0" w:color="auto"/>
            </w:tcBorders>
            <w:shd w:val="clear" w:color="auto" w:fill="auto"/>
            <w:vAlign w:val="center"/>
          </w:tcPr>
          <w:p w14:paraId="7410FE1C" w14:textId="77777777" w:rsidR="00DC5685" w:rsidRPr="00A34F10" w:rsidRDefault="00DC5685" w:rsidP="000470C3">
            <w:pPr>
              <w:jc w:val="center"/>
              <w:rPr>
                <w:color w:val="000000"/>
                <w:sz w:val="20"/>
                <w:szCs w:val="20"/>
                <w:lang w:val="en-GB"/>
              </w:rPr>
            </w:pPr>
            <w:r w:rsidRPr="00A34F10">
              <w:rPr>
                <w:sz w:val="20"/>
                <w:szCs w:val="20"/>
              </w:rPr>
              <w:t>11.9</w:t>
            </w:r>
          </w:p>
        </w:tc>
      </w:tr>
      <w:tr w:rsidR="00DC5685" w:rsidRPr="00A34F10" w14:paraId="47F208C2" w14:textId="77777777" w:rsidTr="00585A77">
        <w:trPr>
          <w:cantSplit/>
        </w:trPr>
        <w:tc>
          <w:tcPr>
            <w:tcW w:w="832" w:type="pct"/>
            <w:tcBorders>
              <w:top w:val="nil"/>
              <w:left w:val="single" w:sz="4" w:space="0" w:color="auto"/>
              <w:bottom w:val="single" w:sz="4" w:space="0" w:color="auto"/>
              <w:right w:val="single" w:sz="4" w:space="0" w:color="auto"/>
            </w:tcBorders>
            <w:shd w:val="clear" w:color="auto" w:fill="auto"/>
            <w:vAlign w:val="center"/>
          </w:tcPr>
          <w:p w14:paraId="295C7263" w14:textId="77777777" w:rsidR="00DC5685" w:rsidRPr="00A34F10" w:rsidRDefault="00DC5685" w:rsidP="000470C3">
            <w:pPr>
              <w:jc w:val="center"/>
              <w:rPr>
                <w:sz w:val="20"/>
                <w:szCs w:val="20"/>
                <w:lang w:val="en-GB"/>
              </w:rPr>
            </w:pPr>
            <w:r w:rsidRPr="00A34F10">
              <w:rPr>
                <w:sz w:val="20"/>
                <w:szCs w:val="20"/>
              </w:rPr>
              <w:t>BBCH ≥40</w:t>
            </w:r>
          </w:p>
        </w:tc>
        <w:tc>
          <w:tcPr>
            <w:tcW w:w="1591" w:type="pct"/>
            <w:tcBorders>
              <w:top w:val="single" w:sz="2" w:space="0" w:color="auto"/>
              <w:left w:val="nil"/>
              <w:bottom w:val="single" w:sz="4" w:space="0" w:color="auto"/>
              <w:right w:val="single" w:sz="4" w:space="0" w:color="auto"/>
            </w:tcBorders>
            <w:shd w:val="clear" w:color="auto" w:fill="auto"/>
            <w:vAlign w:val="center"/>
          </w:tcPr>
          <w:p w14:paraId="5A9D080B"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606" w:type="pct"/>
            <w:vMerge/>
            <w:shd w:val="clear" w:color="auto" w:fill="auto"/>
            <w:vAlign w:val="center"/>
          </w:tcPr>
          <w:p w14:paraId="554A8428" w14:textId="77777777" w:rsidR="00DC5685" w:rsidRPr="00A34F10" w:rsidRDefault="00DC5685" w:rsidP="000470C3">
            <w:pPr>
              <w:jc w:val="center"/>
              <w:rPr>
                <w:sz w:val="20"/>
                <w:szCs w:val="20"/>
                <w:lang w:val="en-GB"/>
              </w:rPr>
            </w:pPr>
          </w:p>
        </w:tc>
        <w:tc>
          <w:tcPr>
            <w:tcW w:w="361" w:type="pct"/>
            <w:tcBorders>
              <w:top w:val="nil"/>
              <w:left w:val="single" w:sz="4" w:space="0" w:color="auto"/>
              <w:bottom w:val="single" w:sz="4" w:space="0" w:color="auto"/>
              <w:right w:val="single" w:sz="4" w:space="0" w:color="auto"/>
            </w:tcBorders>
            <w:shd w:val="clear" w:color="auto" w:fill="auto"/>
            <w:vAlign w:val="center"/>
          </w:tcPr>
          <w:p w14:paraId="26BCDD88" w14:textId="77777777" w:rsidR="00DC5685" w:rsidRPr="00A34F10" w:rsidRDefault="00DC5685" w:rsidP="000470C3">
            <w:pPr>
              <w:jc w:val="center"/>
              <w:rPr>
                <w:sz w:val="20"/>
                <w:szCs w:val="20"/>
                <w:lang w:val="en-GB"/>
              </w:rPr>
            </w:pPr>
            <w:r w:rsidRPr="00A34F10">
              <w:rPr>
                <w:sz w:val="20"/>
                <w:szCs w:val="20"/>
                <w:lang w:val="en-GB"/>
              </w:rPr>
              <w:t>6.5</w:t>
            </w:r>
          </w:p>
        </w:tc>
        <w:tc>
          <w:tcPr>
            <w:tcW w:w="430" w:type="pct"/>
            <w:vMerge/>
            <w:shd w:val="clear" w:color="auto" w:fill="auto"/>
            <w:vAlign w:val="center"/>
          </w:tcPr>
          <w:p w14:paraId="368B6C92"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DD0DF6E" w14:textId="77777777" w:rsidR="00DC5685" w:rsidRPr="00A34F10" w:rsidRDefault="00DC5685" w:rsidP="000470C3">
            <w:pPr>
              <w:jc w:val="center"/>
              <w:rPr>
                <w:sz w:val="20"/>
                <w:szCs w:val="20"/>
                <w:lang w:val="en-GB"/>
              </w:rPr>
            </w:pPr>
            <w:r w:rsidRPr="00A34F10">
              <w:rPr>
                <w:sz w:val="20"/>
                <w:szCs w:val="20"/>
              </w:rPr>
              <w:t>5.27</w:t>
            </w:r>
          </w:p>
        </w:tc>
        <w:tc>
          <w:tcPr>
            <w:tcW w:w="508" w:type="pct"/>
            <w:tcBorders>
              <w:top w:val="nil"/>
              <w:left w:val="single" w:sz="4" w:space="0" w:color="auto"/>
              <w:bottom w:val="single" w:sz="4" w:space="0" w:color="auto"/>
              <w:right w:val="single" w:sz="4" w:space="0" w:color="auto"/>
            </w:tcBorders>
            <w:shd w:val="clear" w:color="auto" w:fill="auto"/>
            <w:vAlign w:val="center"/>
          </w:tcPr>
          <w:p w14:paraId="71182FE3" w14:textId="77777777" w:rsidR="00DC5685" w:rsidRPr="00A34F10" w:rsidRDefault="00DC5685" w:rsidP="000470C3">
            <w:pPr>
              <w:jc w:val="center"/>
              <w:rPr>
                <w:sz w:val="20"/>
                <w:szCs w:val="20"/>
                <w:lang w:val="en-GB"/>
              </w:rPr>
            </w:pPr>
            <w:r w:rsidRPr="00A34F10">
              <w:rPr>
                <w:sz w:val="20"/>
                <w:szCs w:val="20"/>
              </w:rPr>
              <w:t>19.9</w:t>
            </w:r>
          </w:p>
        </w:tc>
      </w:tr>
      <w:tr w:rsidR="00DC5685" w:rsidRPr="00A34F10" w14:paraId="5EC996F6" w14:textId="77777777" w:rsidTr="00585A77">
        <w:trPr>
          <w:cantSplit/>
        </w:trPr>
        <w:tc>
          <w:tcPr>
            <w:tcW w:w="832" w:type="pct"/>
            <w:tcBorders>
              <w:top w:val="nil"/>
              <w:left w:val="single" w:sz="4" w:space="0" w:color="auto"/>
              <w:bottom w:val="single" w:sz="4" w:space="0" w:color="auto"/>
              <w:right w:val="single" w:sz="4" w:space="0" w:color="auto"/>
            </w:tcBorders>
            <w:shd w:val="clear" w:color="auto" w:fill="auto"/>
            <w:vAlign w:val="center"/>
          </w:tcPr>
          <w:p w14:paraId="2B46C688" w14:textId="77777777" w:rsidR="00DC5685" w:rsidRPr="00A34F10" w:rsidRDefault="00DC5685" w:rsidP="000470C3">
            <w:pPr>
              <w:jc w:val="center"/>
              <w:rPr>
                <w:sz w:val="20"/>
                <w:szCs w:val="20"/>
                <w:lang w:val="en-GB"/>
              </w:rPr>
            </w:pPr>
            <w:r w:rsidRPr="00A34F10">
              <w:rPr>
                <w:sz w:val="20"/>
                <w:szCs w:val="20"/>
              </w:rPr>
              <w:t>BBCH 10-19</w:t>
            </w:r>
          </w:p>
        </w:tc>
        <w:tc>
          <w:tcPr>
            <w:tcW w:w="1591" w:type="pct"/>
            <w:tcBorders>
              <w:top w:val="nil"/>
              <w:left w:val="nil"/>
              <w:bottom w:val="single" w:sz="4" w:space="0" w:color="auto"/>
              <w:right w:val="single" w:sz="4" w:space="0" w:color="auto"/>
            </w:tcBorders>
            <w:shd w:val="clear" w:color="auto" w:fill="auto"/>
            <w:vAlign w:val="center"/>
          </w:tcPr>
          <w:p w14:paraId="553B10E5"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606" w:type="pct"/>
            <w:vMerge/>
            <w:shd w:val="clear" w:color="auto" w:fill="auto"/>
            <w:vAlign w:val="center"/>
          </w:tcPr>
          <w:p w14:paraId="5603F197" w14:textId="77777777" w:rsidR="00DC5685" w:rsidRPr="00A34F10" w:rsidRDefault="00DC5685" w:rsidP="000470C3">
            <w:pPr>
              <w:jc w:val="center"/>
              <w:rPr>
                <w:sz w:val="20"/>
                <w:szCs w:val="20"/>
                <w:lang w:val="en-GB"/>
              </w:rPr>
            </w:pPr>
          </w:p>
        </w:tc>
        <w:tc>
          <w:tcPr>
            <w:tcW w:w="361" w:type="pct"/>
            <w:tcBorders>
              <w:top w:val="nil"/>
              <w:left w:val="single" w:sz="4" w:space="0" w:color="auto"/>
              <w:bottom w:val="single" w:sz="4" w:space="0" w:color="auto"/>
              <w:right w:val="single" w:sz="4" w:space="0" w:color="auto"/>
            </w:tcBorders>
            <w:shd w:val="clear" w:color="auto" w:fill="auto"/>
            <w:vAlign w:val="center"/>
          </w:tcPr>
          <w:p w14:paraId="705803DF" w14:textId="77777777" w:rsidR="00DC5685" w:rsidRPr="00A34F10" w:rsidRDefault="00DC5685" w:rsidP="000470C3">
            <w:pPr>
              <w:jc w:val="center"/>
              <w:rPr>
                <w:sz w:val="20"/>
                <w:szCs w:val="20"/>
                <w:lang w:val="en-GB"/>
              </w:rPr>
            </w:pPr>
            <w:r w:rsidRPr="00A34F10">
              <w:rPr>
                <w:sz w:val="20"/>
                <w:szCs w:val="20"/>
                <w:lang w:val="en-GB"/>
              </w:rPr>
              <w:t>11.3</w:t>
            </w:r>
          </w:p>
        </w:tc>
        <w:tc>
          <w:tcPr>
            <w:tcW w:w="430" w:type="pct"/>
            <w:vMerge/>
            <w:shd w:val="clear" w:color="auto" w:fill="auto"/>
            <w:vAlign w:val="center"/>
          </w:tcPr>
          <w:p w14:paraId="7B996FEE"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4867E948" w14:textId="77777777" w:rsidR="00DC5685" w:rsidRPr="00A34F10" w:rsidRDefault="00DC5685" w:rsidP="000470C3">
            <w:pPr>
              <w:jc w:val="center"/>
              <w:rPr>
                <w:sz w:val="20"/>
                <w:szCs w:val="20"/>
                <w:lang w:val="en-GB"/>
              </w:rPr>
            </w:pPr>
            <w:r w:rsidRPr="00A34F10">
              <w:rPr>
                <w:sz w:val="20"/>
                <w:szCs w:val="20"/>
              </w:rPr>
              <w:t>9.17</w:t>
            </w:r>
          </w:p>
        </w:tc>
        <w:tc>
          <w:tcPr>
            <w:tcW w:w="508" w:type="pct"/>
            <w:tcBorders>
              <w:top w:val="nil"/>
              <w:left w:val="single" w:sz="4" w:space="0" w:color="auto"/>
              <w:bottom w:val="single" w:sz="4" w:space="0" w:color="auto"/>
              <w:right w:val="single" w:sz="4" w:space="0" w:color="auto"/>
            </w:tcBorders>
            <w:shd w:val="clear" w:color="auto" w:fill="auto"/>
            <w:vAlign w:val="center"/>
          </w:tcPr>
          <w:p w14:paraId="556D57AE" w14:textId="77777777" w:rsidR="00DC5685" w:rsidRPr="00A34F10" w:rsidRDefault="00DC5685" w:rsidP="000470C3">
            <w:pPr>
              <w:jc w:val="center"/>
              <w:rPr>
                <w:sz w:val="20"/>
                <w:szCs w:val="20"/>
                <w:lang w:val="en-GB"/>
              </w:rPr>
            </w:pPr>
            <w:r w:rsidRPr="00A34F10">
              <w:rPr>
                <w:sz w:val="20"/>
                <w:szCs w:val="20"/>
              </w:rPr>
              <w:t>11.5</w:t>
            </w:r>
          </w:p>
        </w:tc>
      </w:tr>
      <w:tr w:rsidR="00DC5685" w:rsidRPr="00A34F10" w14:paraId="5A2EF8AA" w14:textId="77777777" w:rsidTr="00585A77">
        <w:trPr>
          <w:cantSplit/>
        </w:trPr>
        <w:tc>
          <w:tcPr>
            <w:tcW w:w="832" w:type="pct"/>
            <w:tcBorders>
              <w:top w:val="nil"/>
              <w:left w:val="single" w:sz="4" w:space="0" w:color="auto"/>
              <w:bottom w:val="single" w:sz="4" w:space="0" w:color="auto"/>
              <w:right w:val="single" w:sz="4" w:space="0" w:color="auto"/>
            </w:tcBorders>
            <w:shd w:val="clear" w:color="auto" w:fill="auto"/>
            <w:vAlign w:val="center"/>
          </w:tcPr>
          <w:p w14:paraId="76B132A8" w14:textId="77777777" w:rsidR="00DC5685" w:rsidRPr="00A34F10" w:rsidRDefault="00DC5685" w:rsidP="000470C3">
            <w:pPr>
              <w:jc w:val="center"/>
              <w:rPr>
                <w:sz w:val="20"/>
                <w:szCs w:val="20"/>
                <w:lang w:val="en-GB"/>
              </w:rPr>
            </w:pPr>
            <w:r w:rsidRPr="00A34F10">
              <w:rPr>
                <w:sz w:val="20"/>
                <w:szCs w:val="20"/>
              </w:rPr>
              <w:t>BBCH ≥20</w:t>
            </w:r>
          </w:p>
        </w:tc>
        <w:tc>
          <w:tcPr>
            <w:tcW w:w="1591" w:type="pct"/>
            <w:tcBorders>
              <w:top w:val="nil"/>
              <w:left w:val="nil"/>
              <w:bottom w:val="single" w:sz="4" w:space="0" w:color="auto"/>
              <w:right w:val="single" w:sz="4" w:space="0" w:color="auto"/>
            </w:tcBorders>
            <w:shd w:val="clear" w:color="auto" w:fill="auto"/>
            <w:vAlign w:val="center"/>
          </w:tcPr>
          <w:p w14:paraId="06F14854"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606" w:type="pct"/>
            <w:vMerge/>
            <w:shd w:val="clear" w:color="auto" w:fill="auto"/>
            <w:vAlign w:val="center"/>
          </w:tcPr>
          <w:p w14:paraId="71706434" w14:textId="77777777" w:rsidR="00DC5685" w:rsidRPr="00A34F10" w:rsidRDefault="00DC5685" w:rsidP="000470C3">
            <w:pPr>
              <w:jc w:val="center"/>
              <w:rPr>
                <w:sz w:val="20"/>
                <w:szCs w:val="20"/>
                <w:lang w:val="en-GB"/>
              </w:rPr>
            </w:pPr>
          </w:p>
        </w:tc>
        <w:tc>
          <w:tcPr>
            <w:tcW w:w="361" w:type="pct"/>
            <w:tcBorders>
              <w:top w:val="nil"/>
              <w:left w:val="single" w:sz="4" w:space="0" w:color="auto"/>
              <w:bottom w:val="single" w:sz="4" w:space="0" w:color="auto"/>
              <w:right w:val="single" w:sz="4" w:space="0" w:color="auto"/>
            </w:tcBorders>
            <w:shd w:val="clear" w:color="auto" w:fill="auto"/>
            <w:vAlign w:val="center"/>
          </w:tcPr>
          <w:p w14:paraId="7FC106BD" w14:textId="77777777" w:rsidR="00DC5685" w:rsidRPr="00A34F10" w:rsidRDefault="00DC5685" w:rsidP="000470C3">
            <w:pPr>
              <w:jc w:val="center"/>
              <w:rPr>
                <w:sz w:val="20"/>
                <w:szCs w:val="20"/>
                <w:lang w:val="en-GB"/>
              </w:rPr>
            </w:pPr>
            <w:r w:rsidRPr="00A34F10">
              <w:rPr>
                <w:sz w:val="20"/>
                <w:szCs w:val="20"/>
                <w:lang w:val="en-GB"/>
              </w:rPr>
              <w:t>9.7</w:t>
            </w:r>
          </w:p>
        </w:tc>
        <w:tc>
          <w:tcPr>
            <w:tcW w:w="430" w:type="pct"/>
            <w:vMerge/>
            <w:shd w:val="clear" w:color="auto" w:fill="auto"/>
            <w:vAlign w:val="center"/>
          </w:tcPr>
          <w:p w14:paraId="2B2C7793"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63F40011" w14:textId="77777777" w:rsidR="00DC5685" w:rsidRPr="00A34F10" w:rsidRDefault="00DC5685" w:rsidP="000470C3">
            <w:pPr>
              <w:jc w:val="center"/>
              <w:rPr>
                <w:sz w:val="20"/>
                <w:szCs w:val="20"/>
                <w:lang w:val="en-GB"/>
              </w:rPr>
            </w:pPr>
            <w:r w:rsidRPr="00A34F10">
              <w:rPr>
                <w:sz w:val="20"/>
                <w:szCs w:val="20"/>
              </w:rPr>
              <w:t>7.87</w:t>
            </w:r>
          </w:p>
        </w:tc>
        <w:tc>
          <w:tcPr>
            <w:tcW w:w="508" w:type="pct"/>
            <w:tcBorders>
              <w:top w:val="nil"/>
              <w:left w:val="single" w:sz="4" w:space="0" w:color="auto"/>
              <w:bottom w:val="single" w:sz="4" w:space="0" w:color="auto"/>
              <w:right w:val="single" w:sz="4" w:space="0" w:color="auto"/>
            </w:tcBorders>
            <w:shd w:val="clear" w:color="auto" w:fill="auto"/>
            <w:vAlign w:val="center"/>
          </w:tcPr>
          <w:p w14:paraId="22B378D3" w14:textId="77777777" w:rsidR="00DC5685" w:rsidRPr="00A34F10" w:rsidRDefault="00DC5685" w:rsidP="000470C3">
            <w:pPr>
              <w:jc w:val="center"/>
              <w:rPr>
                <w:sz w:val="20"/>
                <w:szCs w:val="20"/>
                <w:lang w:val="en-GB"/>
              </w:rPr>
            </w:pPr>
            <w:r w:rsidRPr="00A34F10">
              <w:rPr>
                <w:sz w:val="20"/>
                <w:szCs w:val="20"/>
              </w:rPr>
              <w:t>13.3</w:t>
            </w:r>
          </w:p>
        </w:tc>
      </w:tr>
      <w:tr w:rsidR="00DC5685" w:rsidRPr="00A34F10" w14:paraId="2C7FFC93" w14:textId="77777777" w:rsidTr="000470C3">
        <w:trPr>
          <w:cantSplit/>
        </w:trPr>
        <w:tc>
          <w:tcPr>
            <w:tcW w:w="5000" w:type="pct"/>
            <w:gridSpan w:val="7"/>
            <w:tcBorders>
              <w:top w:val="single" w:sz="12" w:space="0" w:color="auto"/>
              <w:bottom w:val="single" w:sz="12" w:space="0" w:color="auto"/>
            </w:tcBorders>
            <w:shd w:val="clear" w:color="auto" w:fill="auto"/>
            <w:vAlign w:val="center"/>
          </w:tcPr>
          <w:p w14:paraId="57066C92" w14:textId="2C6F6BF7" w:rsidR="00DC5685" w:rsidRPr="00A34F10" w:rsidRDefault="00DC5685" w:rsidP="000470C3">
            <w:pPr>
              <w:jc w:val="center"/>
              <w:rPr>
                <w:sz w:val="20"/>
                <w:szCs w:val="20"/>
                <w:highlight w:val="yellow"/>
                <w:lang w:val="en-GB"/>
              </w:rPr>
            </w:pPr>
            <w:r w:rsidRPr="00A34F10">
              <w:rPr>
                <w:b/>
                <w:sz w:val="20"/>
                <w:szCs w:val="20"/>
                <w:lang w:val="en-GB"/>
              </w:rPr>
              <w:t xml:space="preserve">Fruiting vegetables (2 x 0.902 kg a.s./ha, BBCH </w:t>
            </w:r>
            <w:r w:rsidRPr="0043197F">
              <w:rPr>
                <w:b/>
                <w:strike/>
                <w:sz w:val="20"/>
                <w:szCs w:val="20"/>
                <w:highlight w:val="green"/>
                <w:lang w:val="en-GB"/>
              </w:rPr>
              <w:t>14</w:t>
            </w:r>
            <w:r w:rsidRPr="0043197F">
              <w:rPr>
                <w:b/>
                <w:sz w:val="20"/>
                <w:szCs w:val="20"/>
                <w:highlight w:val="green"/>
                <w:lang w:val="en-GB"/>
              </w:rPr>
              <w:t xml:space="preserve"> </w:t>
            </w:r>
            <w:r w:rsidR="00241167" w:rsidRPr="0043197F">
              <w:rPr>
                <w:b/>
                <w:sz w:val="20"/>
                <w:szCs w:val="20"/>
                <w:highlight w:val="green"/>
                <w:lang w:val="en-GB"/>
              </w:rPr>
              <w:t>21</w:t>
            </w:r>
            <w:r w:rsidRPr="00A34F10">
              <w:rPr>
                <w:b/>
                <w:sz w:val="20"/>
                <w:szCs w:val="20"/>
                <w:lang w:val="en-GB"/>
              </w:rPr>
              <w:t>- 89)</w:t>
            </w:r>
          </w:p>
        </w:tc>
      </w:tr>
      <w:tr w:rsidR="00DC5685" w:rsidRPr="00A34F10" w14:paraId="31A2F86F" w14:textId="77777777" w:rsidTr="00585A77">
        <w:trPr>
          <w:cantSplit/>
        </w:trPr>
        <w:tc>
          <w:tcPr>
            <w:tcW w:w="832" w:type="pct"/>
            <w:tcBorders>
              <w:bottom w:val="single" w:sz="4" w:space="0" w:color="auto"/>
            </w:tcBorders>
            <w:shd w:val="clear" w:color="auto" w:fill="auto"/>
            <w:vAlign w:val="center"/>
          </w:tcPr>
          <w:p w14:paraId="45095D95" w14:textId="77777777" w:rsidR="00DC5685" w:rsidRPr="00A34F10" w:rsidRDefault="00DC5685" w:rsidP="000470C3">
            <w:pPr>
              <w:jc w:val="center"/>
              <w:rPr>
                <w:sz w:val="20"/>
                <w:szCs w:val="20"/>
                <w:lang w:val="en-GB"/>
              </w:rPr>
            </w:pPr>
            <w:r w:rsidRPr="00A34F10">
              <w:rPr>
                <w:sz w:val="20"/>
                <w:szCs w:val="20"/>
              </w:rPr>
              <w:t>BBCH 71-89</w:t>
            </w:r>
          </w:p>
        </w:tc>
        <w:tc>
          <w:tcPr>
            <w:tcW w:w="1591" w:type="pct"/>
            <w:tcBorders>
              <w:bottom w:val="single" w:sz="4" w:space="0" w:color="auto"/>
            </w:tcBorders>
            <w:shd w:val="clear" w:color="auto" w:fill="auto"/>
            <w:vAlign w:val="center"/>
          </w:tcPr>
          <w:p w14:paraId="1357F03A" w14:textId="77777777" w:rsidR="00DC5685" w:rsidRPr="00A34F10" w:rsidRDefault="00DC5685" w:rsidP="000470C3">
            <w:pPr>
              <w:jc w:val="center"/>
              <w:rPr>
                <w:sz w:val="20"/>
                <w:szCs w:val="20"/>
                <w:lang w:val="en-GB"/>
              </w:rPr>
            </w:pPr>
            <w:r w:rsidRPr="00A34F10">
              <w:rPr>
                <w:sz w:val="20"/>
                <w:szCs w:val="20"/>
                <w:lang w:val="en-GB"/>
              </w:rPr>
              <w:t>Frugivorous “crow”</w:t>
            </w:r>
          </w:p>
        </w:tc>
        <w:tc>
          <w:tcPr>
            <w:tcW w:w="606" w:type="pct"/>
            <w:vMerge w:val="restart"/>
            <w:tcBorders>
              <w:bottom w:val="single" w:sz="4" w:space="0" w:color="auto"/>
            </w:tcBorders>
            <w:shd w:val="clear" w:color="auto" w:fill="auto"/>
            <w:vAlign w:val="center"/>
          </w:tcPr>
          <w:p w14:paraId="2FA7A568" w14:textId="77777777" w:rsidR="00DC5685" w:rsidRPr="00A34F10" w:rsidRDefault="00DC5685" w:rsidP="000470C3">
            <w:pPr>
              <w:jc w:val="center"/>
              <w:rPr>
                <w:sz w:val="20"/>
                <w:szCs w:val="20"/>
                <w:lang w:val="en-GB"/>
              </w:rPr>
            </w:pPr>
            <w:r w:rsidRPr="00A34F10">
              <w:rPr>
                <w:sz w:val="20"/>
                <w:szCs w:val="20"/>
                <w:lang w:val="en-GB"/>
              </w:rPr>
              <w:t>0.902</w:t>
            </w:r>
          </w:p>
        </w:tc>
        <w:tc>
          <w:tcPr>
            <w:tcW w:w="361" w:type="pct"/>
            <w:tcBorders>
              <w:bottom w:val="single" w:sz="4" w:space="0" w:color="auto"/>
            </w:tcBorders>
            <w:shd w:val="clear" w:color="auto" w:fill="auto"/>
            <w:vAlign w:val="center"/>
          </w:tcPr>
          <w:p w14:paraId="4D81536F" w14:textId="77777777" w:rsidR="00DC5685" w:rsidRPr="00A34F10" w:rsidRDefault="00DC5685" w:rsidP="000470C3">
            <w:pPr>
              <w:jc w:val="center"/>
              <w:rPr>
                <w:sz w:val="20"/>
                <w:szCs w:val="20"/>
                <w:lang w:val="en-GB"/>
              </w:rPr>
            </w:pPr>
            <w:r w:rsidRPr="00A34F10">
              <w:rPr>
                <w:sz w:val="20"/>
                <w:szCs w:val="20"/>
              </w:rPr>
              <w:t>32</w:t>
            </w:r>
          </w:p>
        </w:tc>
        <w:tc>
          <w:tcPr>
            <w:tcW w:w="430" w:type="pct"/>
            <w:vMerge w:val="restart"/>
            <w:tcBorders>
              <w:bottom w:val="single" w:sz="4" w:space="0" w:color="auto"/>
            </w:tcBorders>
            <w:shd w:val="clear" w:color="auto" w:fill="auto"/>
            <w:vAlign w:val="center"/>
          </w:tcPr>
          <w:p w14:paraId="756A9C31" w14:textId="77777777" w:rsidR="00DC5685" w:rsidRPr="00A34F10" w:rsidRDefault="00DC5685" w:rsidP="000470C3">
            <w:pPr>
              <w:jc w:val="center"/>
              <w:rPr>
                <w:sz w:val="20"/>
                <w:szCs w:val="20"/>
                <w:lang w:val="en-GB"/>
              </w:rPr>
            </w:pPr>
            <w:r w:rsidRPr="00A34F10">
              <w:rPr>
                <w:sz w:val="20"/>
                <w:szCs w:val="20"/>
                <w:lang w:val="en-GB"/>
              </w:rPr>
              <w:t>1.62 × 0.53</w:t>
            </w:r>
          </w:p>
        </w:tc>
        <w:tc>
          <w:tcPr>
            <w:tcW w:w="671" w:type="pct"/>
            <w:tcBorders>
              <w:top w:val="nil"/>
              <w:left w:val="single" w:sz="4" w:space="0" w:color="auto"/>
              <w:bottom w:val="single" w:sz="4" w:space="0" w:color="auto"/>
              <w:right w:val="single" w:sz="4" w:space="0" w:color="auto"/>
            </w:tcBorders>
            <w:shd w:val="clear" w:color="auto" w:fill="auto"/>
            <w:vAlign w:val="center"/>
          </w:tcPr>
          <w:p w14:paraId="15F6FFF6" w14:textId="77777777" w:rsidR="00DC5685" w:rsidRPr="00A34F10" w:rsidRDefault="00DC5685" w:rsidP="000470C3">
            <w:pPr>
              <w:jc w:val="center"/>
              <w:rPr>
                <w:sz w:val="20"/>
                <w:szCs w:val="20"/>
                <w:lang w:val="en-GB"/>
              </w:rPr>
            </w:pPr>
            <w:r w:rsidRPr="00A34F10">
              <w:rPr>
                <w:sz w:val="20"/>
                <w:szCs w:val="20"/>
              </w:rPr>
              <w:t>24.56</w:t>
            </w:r>
          </w:p>
        </w:tc>
        <w:tc>
          <w:tcPr>
            <w:tcW w:w="508" w:type="pct"/>
            <w:tcBorders>
              <w:top w:val="nil"/>
              <w:left w:val="nil"/>
              <w:bottom w:val="single" w:sz="4" w:space="0" w:color="auto"/>
              <w:right w:val="single" w:sz="4" w:space="0" w:color="auto"/>
            </w:tcBorders>
            <w:shd w:val="clear" w:color="auto" w:fill="auto"/>
            <w:vAlign w:val="center"/>
          </w:tcPr>
          <w:p w14:paraId="3FC63318" w14:textId="77777777" w:rsidR="00DC5685" w:rsidRPr="00A34F10" w:rsidRDefault="00DC5685" w:rsidP="000470C3">
            <w:pPr>
              <w:jc w:val="center"/>
              <w:rPr>
                <w:b/>
                <w:bCs/>
                <w:sz w:val="20"/>
                <w:szCs w:val="20"/>
                <w:lang w:val="en-GB"/>
              </w:rPr>
            </w:pPr>
            <w:r w:rsidRPr="00A34F10">
              <w:rPr>
                <w:b/>
                <w:bCs/>
                <w:sz w:val="20"/>
                <w:szCs w:val="20"/>
              </w:rPr>
              <w:t>4.3</w:t>
            </w:r>
          </w:p>
        </w:tc>
      </w:tr>
      <w:tr w:rsidR="00DC5685" w:rsidRPr="00A34F10" w14:paraId="4E5FE864" w14:textId="77777777" w:rsidTr="00585A77">
        <w:trPr>
          <w:cantSplit/>
        </w:trPr>
        <w:tc>
          <w:tcPr>
            <w:tcW w:w="832" w:type="pct"/>
            <w:tcBorders>
              <w:bottom w:val="single" w:sz="4" w:space="0" w:color="auto"/>
            </w:tcBorders>
            <w:shd w:val="clear" w:color="auto" w:fill="auto"/>
            <w:vAlign w:val="center"/>
          </w:tcPr>
          <w:p w14:paraId="5421968F" w14:textId="77777777" w:rsidR="00DC5685" w:rsidRPr="00A34F10" w:rsidRDefault="00DC5685" w:rsidP="000470C3">
            <w:pPr>
              <w:jc w:val="center"/>
              <w:rPr>
                <w:sz w:val="20"/>
                <w:szCs w:val="20"/>
                <w:lang w:val="en-GB"/>
              </w:rPr>
            </w:pPr>
            <w:r w:rsidRPr="00A34F10">
              <w:rPr>
                <w:sz w:val="20"/>
                <w:szCs w:val="20"/>
              </w:rPr>
              <w:t>BBCH 10-49</w:t>
            </w:r>
          </w:p>
        </w:tc>
        <w:tc>
          <w:tcPr>
            <w:tcW w:w="1591" w:type="pct"/>
            <w:tcBorders>
              <w:bottom w:val="single" w:sz="4" w:space="0" w:color="auto"/>
            </w:tcBorders>
            <w:shd w:val="clear" w:color="auto" w:fill="auto"/>
            <w:vAlign w:val="center"/>
          </w:tcPr>
          <w:p w14:paraId="2799DCCB" w14:textId="77777777" w:rsidR="00DC5685" w:rsidRPr="00A34F10" w:rsidRDefault="00DC5685" w:rsidP="000470C3">
            <w:pPr>
              <w:jc w:val="center"/>
              <w:rPr>
                <w:sz w:val="20"/>
                <w:szCs w:val="20"/>
                <w:lang w:val="en-GB"/>
              </w:rPr>
            </w:pPr>
            <w:r w:rsidRPr="00A34F10">
              <w:rPr>
                <w:sz w:val="20"/>
                <w:szCs w:val="20"/>
                <w:lang w:val="en-GB"/>
              </w:rPr>
              <w:t>Small granivorous bird “finch”</w:t>
            </w:r>
          </w:p>
        </w:tc>
        <w:tc>
          <w:tcPr>
            <w:tcW w:w="606" w:type="pct"/>
            <w:vMerge/>
            <w:tcBorders>
              <w:bottom w:val="single" w:sz="4" w:space="0" w:color="auto"/>
            </w:tcBorders>
            <w:shd w:val="clear" w:color="auto" w:fill="auto"/>
            <w:vAlign w:val="center"/>
          </w:tcPr>
          <w:p w14:paraId="54B8205A"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36BDF6E9" w14:textId="77777777" w:rsidR="00DC5685" w:rsidRPr="00A34F10" w:rsidRDefault="00DC5685" w:rsidP="000470C3">
            <w:pPr>
              <w:jc w:val="center"/>
              <w:rPr>
                <w:sz w:val="20"/>
                <w:szCs w:val="20"/>
                <w:lang w:val="en-GB"/>
              </w:rPr>
            </w:pPr>
            <w:r w:rsidRPr="00A34F10">
              <w:rPr>
                <w:sz w:val="20"/>
                <w:szCs w:val="20"/>
              </w:rPr>
              <w:t>11.4</w:t>
            </w:r>
          </w:p>
        </w:tc>
        <w:tc>
          <w:tcPr>
            <w:tcW w:w="430" w:type="pct"/>
            <w:vMerge/>
            <w:tcBorders>
              <w:bottom w:val="single" w:sz="4" w:space="0" w:color="auto"/>
            </w:tcBorders>
            <w:shd w:val="clear" w:color="auto" w:fill="auto"/>
            <w:vAlign w:val="center"/>
          </w:tcPr>
          <w:p w14:paraId="30B616CC"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549554E5" w14:textId="77777777" w:rsidR="00DC5685" w:rsidRPr="00A34F10" w:rsidRDefault="00DC5685" w:rsidP="000470C3">
            <w:pPr>
              <w:jc w:val="center"/>
              <w:rPr>
                <w:sz w:val="20"/>
                <w:szCs w:val="20"/>
                <w:lang w:val="en-GB"/>
              </w:rPr>
            </w:pPr>
            <w:r w:rsidRPr="00A34F10">
              <w:rPr>
                <w:sz w:val="20"/>
                <w:szCs w:val="20"/>
              </w:rPr>
              <w:t>8.75</w:t>
            </w:r>
          </w:p>
        </w:tc>
        <w:tc>
          <w:tcPr>
            <w:tcW w:w="508" w:type="pct"/>
            <w:tcBorders>
              <w:top w:val="nil"/>
              <w:left w:val="nil"/>
              <w:bottom w:val="single" w:sz="4" w:space="0" w:color="auto"/>
              <w:right w:val="single" w:sz="4" w:space="0" w:color="auto"/>
            </w:tcBorders>
            <w:shd w:val="clear" w:color="auto" w:fill="auto"/>
            <w:vAlign w:val="center"/>
          </w:tcPr>
          <w:p w14:paraId="7FE6A549" w14:textId="77777777" w:rsidR="00DC5685" w:rsidRPr="00A34F10" w:rsidRDefault="00DC5685" w:rsidP="000470C3">
            <w:pPr>
              <w:jc w:val="center"/>
              <w:rPr>
                <w:sz w:val="20"/>
                <w:szCs w:val="20"/>
                <w:lang w:val="en-GB"/>
              </w:rPr>
            </w:pPr>
            <w:r w:rsidRPr="00A34F10">
              <w:rPr>
                <w:sz w:val="20"/>
                <w:szCs w:val="20"/>
              </w:rPr>
              <w:t>12.0</w:t>
            </w:r>
          </w:p>
        </w:tc>
      </w:tr>
      <w:tr w:rsidR="00DC5685" w:rsidRPr="00A34F10" w14:paraId="7768B5C7" w14:textId="77777777" w:rsidTr="00585A77">
        <w:trPr>
          <w:cantSplit/>
        </w:trPr>
        <w:tc>
          <w:tcPr>
            <w:tcW w:w="832" w:type="pct"/>
            <w:tcBorders>
              <w:bottom w:val="single" w:sz="4" w:space="0" w:color="auto"/>
            </w:tcBorders>
            <w:shd w:val="clear" w:color="auto" w:fill="auto"/>
            <w:vAlign w:val="center"/>
          </w:tcPr>
          <w:p w14:paraId="50631C5E" w14:textId="77777777" w:rsidR="00DC5685" w:rsidRPr="00A34F10" w:rsidRDefault="00DC5685" w:rsidP="000470C3">
            <w:pPr>
              <w:jc w:val="center"/>
              <w:rPr>
                <w:sz w:val="20"/>
                <w:szCs w:val="20"/>
                <w:lang w:val="en-GB"/>
              </w:rPr>
            </w:pPr>
            <w:r w:rsidRPr="00A34F10">
              <w:rPr>
                <w:sz w:val="20"/>
                <w:szCs w:val="20"/>
              </w:rPr>
              <w:t>BBCH ≥50</w:t>
            </w:r>
          </w:p>
        </w:tc>
        <w:tc>
          <w:tcPr>
            <w:tcW w:w="1591" w:type="pct"/>
            <w:tcBorders>
              <w:bottom w:val="single" w:sz="4" w:space="0" w:color="auto"/>
            </w:tcBorders>
            <w:shd w:val="clear" w:color="auto" w:fill="auto"/>
            <w:vAlign w:val="center"/>
          </w:tcPr>
          <w:p w14:paraId="05442C67" w14:textId="77777777" w:rsidR="00DC5685" w:rsidRPr="00A34F10" w:rsidRDefault="00DC5685" w:rsidP="000470C3">
            <w:pPr>
              <w:jc w:val="center"/>
              <w:rPr>
                <w:sz w:val="20"/>
                <w:szCs w:val="20"/>
                <w:lang w:val="en-GB"/>
              </w:rPr>
            </w:pPr>
            <w:r w:rsidRPr="00A34F10">
              <w:rPr>
                <w:sz w:val="20"/>
                <w:szCs w:val="20"/>
                <w:lang w:val="en-GB"/>
              </w:rPr>
              <w:t>Small granivorous bird “finch”</w:t>
            </w:r>
          </w:p>
        </w:tc>
        <w:tc>
          <w:tcPr>
            <w:tcW w:w="606" w:type="pct"/>
            <w:vMerge/>
            <w:tcBorders>
              <w:bottom w:val="single" w:sz="4" w:space="0" w:color="auto"/>
            </w:tcBorders>
            <w:shd w:val="clear" w:color="auto" w:fill="auto"/>
            <w:vAlign w:val="center"/>
          </w:tcPr>
          <w:p w14:paraId="23680E43"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69F7E592" w14:textId="77777777" w:rsidR="00DC5685" w:rsidRPr="00A34F10" w:rsidRDefault="00DC5685" w:rsidP="000470C3">
            <w:pPr>
              <w:jc w:val="center"/>
              <w:rPr>
                <w:sz w:val="20"/>
                <w:szCs w:val="20"/>
                <w:lang w:val="en-GB"/>
              </w:rPr>
            </w:pPr>
            <w:r w:rsidRPr="00A34F10">
              <w:rPr>
                <w:sz w:val="20"/>
                <w:szCs w:val="20"/>
              </w:rPr>
              <w:t>3.4</w:t>
            </w:r>
          </w:p>
        </w:tc>
        <w:tc>
          <w:tcPr>
            <w:tcW w:w="430" w:type="pct"/>
            <w:vMerge/>
            <w:tcBorders>
              <w:bottom w:val="single" w:sz="4" w:space="0" w:color="auto"/>
            </w:tcBorders>
            <w:shd w:val="clear" w:color="auto" w:fill="auto"/>
            <w:vAlign w:val="center"/>
          </w:tcPr>
          <w:p w14:paraId="662F0BF2"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5EA310F" w14:textId="77777777" w:rsidR="00DC5685" w:rsidRPr="00A34F10" w:rsidRDefault="00DC5685" w:rsidP="000470C3">
            <w:pPr>
              <w:jc w:val="center"/>
              <w:rPr>
                <w:sz w:val="20"/>
                <w:szCs w:val="20"/>
                <w:lang w:val="en-GB"/>
              </w:rPr>
            </w:pPr>
            <w:r w:rsidRPr="00A34F10">
              <w:rPr>
                <w:sz w:val="20"/>
                <w:szCs w:val="20"/>
              </w:rPr>
              <w:t>2.61</w:t>
            </w:r>
          </w:p>
        </w:tc>
        <w:tc>
          <w:tcPr>
            <w:tcW w:w="508" w:type="pct"/>
            <w:tcBorders>
              <w:top w:val="nil"/>
              <w:left w:val="nil"/>
              <w:bottom w:val="single" w:sz="4" w:space="0" w:color="auto"/>
              <w:right w:val="single" w:sz="4" w:space="0" w:color="auto"/>
            </w:tcBorders>
            <w:shd w:val="clear" w:color="auto" w:fill="auto"/>
            <w:vAlign w:val="center"/>
          </w:tcPr>
          <w:p w14:paraId="7468E6BC" w14:textId="77777777" w:rsidR="00DC5685" w:rsidRPr="00A34F10" w:rsidRDefault="00DC5685" w:rsidP="000470C3">
            <w:pPr>
              <w:jc w:val="center"/>
              <w:rPr>
                <w:sz w:val="20"/>
                <w:szCs w:val="20"/>
                <w:lang w:val="en-GB"/>
              </w:rPr>
            </w:pPr>
            <w:r w:rsidRPr="00A34F10">
              <w:rPr>
                <w:sz w:val="20"/>
                <w:szCs w:val="20"/>
              </w:rPr>
              <w:t>40.2</w:t>
            </w:r>
          </w:p>
        </w:tc>
      </w:tr>
      <w:tr w:rsidR="00DC5685" w:rsidRPr="00A34F10" w14:paraId="443DF08E" w14:textId="77777777" w:rsidTr="00585A77">
        <w:trPr>
          <w:cantSplit/>
        </w:trPr>
        <w:tc>
          <w:tcPr>
            <w:tcW w:w="832" w:type="pct"/>
            <w:tcBorders>
              <w:bottom w:val="single" w:sz="4" w:space="0" w:color="auto"/>
            </w:tcBorders>
            <w:shd w:val="clear" w:color="auto" w:fill="auto"/>
            <w:vAlign w:val="center"/>
          </w:tcPr>
          <w:p w14:paraId="07127A53" w14:textId="77777777" w:rsidR="00DC5685" w:rsidRPr="00A34F10" w:rsidRDefault="00DC5685" w:rsidP="000470C3">
            <w:pPr>
              <w:jc w:val="center"/>
              <w:rPr>
                <w:sz w:val="20"/>
                <w:szCs w:val="20"/>
                <w:lang w:val="en-GB"/>
              </w:rPr>
            </w:pPr>
            <w:r w:rsidRPr="00A34F10">
              <w:rPr>
                <w:sz w:val="20"/>
                <w:szCs w:val="20"/>
              </w:rPr>
              <w:t>BBCH 10-49</w:t>
            </w:r>
          </w:p>
        </w:tc>
        <w:tc>
          <w:tcPr>
            <w:tcW w:w="1591" w:type="pct"/>
            <w:tcBorders>
              <w:bottom w:val="single" w:sz="4" w:space="0" w:color="auto"/>
            </w:tcBorders>
            <w:shd w:val="clear" w:color="auto" w:fill="auto"/>
            <w:vAlign w:val="center"/>
          </w:tcPr>
          <w:p w14:paraId="6AEB6C56"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606" w:type="pct"/>
            <w:vMerge/>
            <w:tcBorders>
              <w:bottom w:val="single" w:sz="4" w:space="0" w:color="auto"/>
            </w:tcBorders>
            <w:shd w:val="clear" w:color="auto" w:fill="auto"/>
            <w:vAlign w:val="center"/>
          </w:tcPr>
          <w:p w14:paraId="64A80332"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1C8F7AFE" w14:textId="77777777" w:rsidR="00DC5685" w:rsidRPr="00A34F10" w:rsidRDefault="00DC5685" w:rsidP="000470C3">
            <w:pPr>
              <w:jc w:val="center"/>
              <w:rPr>
                <w:sz w:val="20"/>
                <w:szCs w:val="20"/>
                <w:lang w:val="en-GB"/>
              </w:rPr>
            </w:pPr>
            <w:r w:rsidRPr="00A34F10">
              <w:rPr>
                <w:sz w:val="20"/>
                <w:szCs w:val="20"/>
              </w:rPr>
              <w:t>10.9</w:t>
            </w:r>
          </w:p>
        </w:tc>
        <w:tc>
          <w:tcPr>
            <w:tcW w:w="430" w:type="pct"/>
            <w:vMerge/>
            <w:tcBorders>
              <w:bottom w:val="single" w:sz="4" w:space="0" w:color="auto"/>
            </w:tcBorders>
            <w:shd w:val="clear" w:color="auto" w:fill="auto"/>
            <w:vAlign w:val="center"/>
          </w:tcPr>
          <w:p w14:paraId="476E3658"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6A27A02A" w14:textId="77777777" w:rsidR="00DC5685" w:rsidRPr="00A34F10" w:rsidRDefault="00DC5685" w:rsidP="000470C3">
            <w:pPr>
              <w:jc w:val="center"/>
              <w:rPr>
                <w:sz w:val="20"/>
                <w:szCs w:val="20"/>
                <w:lang w:val="en-GB"/>
              </w:rPr>
            </w:pPr>
            <w:r w:rsidRPr="00A34F10">
              <w:rPr>
                <w:sz w:val="20"/>
                <w:szCs w:val="20"/>
              </w:rPr>
              <w:t>8.37</w:t>
            </w:r>
          </w:p>
        </w:tc>
        <w:tc>
          <w:tcPr>
            <w:tcW w:w="508" w:type="pct"/>
            <w:tcBorders>
              <w:top w:val="nil"/>
              <w:left w:val="nil"/>
              <w:bottom w:val="single" w:sz="4" w:space="0" w:color="auto"/>
              <w:right w:val="single" w:sz="4" w:space="0" w:color="auto"/>
            </w:tcBorders>
            <w:shd w:val="clear" w:color="auto" w:fill="auto"/>
            <w:vAlign w:val="center"/>
          </w:tcPr>
          <w:p w14:paraId="0D384F11" w14:textId="77777777" w:rsidR="00DC5685" w:rsidRPr="00A34F10" w:rsidRDefault="00DC5685" w:rsidP="000470C3">
            <w:pPr>
              <w:jc w:val="center"/>
              <w:rPr>
                <w:sz w:val="20"/>
                <w:szCs w:val="20"/>
                <w:lang w:val="en-GB"/>
              </w:rPr>
            </w:pPr>
            <w:r w:rsidRPr="00A34F10">
              <w:rPr>
                <w:sz w:val="20"/>
                <w:szCs w:val="20"/>
              </w:rPr>
              <w:t>12.5</w:t>
            </w:r>
          </w:p>
        </w:tc>
      </w:tr>
      <w:tr w:rsidR="00DC5685" w:rsidRPr="00A34F10" w14:paraId="08A604FD" w14:textId="77777777" w:rsidTr="00585A77">
        <w:trPr>
          <w:cantSplit/>
        </w:trPr>
        <w:tc>
          <w:tcPr>
            <w:tcW w:w="832" w:type="pct"/>
            <w:tcBorders>
              <w:top w:val="single" w:sz="4" w:space="0" w:color="auto"/>
              <w:bottom w:val="single" w:sz="4" w:space="0" w:color="auto"/>
            </w:tcBorders>
            <w:shd w:val="clear" w:color="auto" w:fill="auto"/>
            <w:vAlign w:val="center"/>
          </w:tcPr>
          <w:p w14:paraId="174245F7" w14:textId="77777777" w:rsidR="00DC5685" w:rsidRPr="00A34F10" w:rsidRDefault="00DC5685" w:rsidP="000470C3">
            <w:pPr>
              <w:jc w:val="center"/>
              <w:rPr>
                <w:sz w:val="20"/>
                <w:szCs w:val="20"/>
                <w:lang w:val="en-GB"/>
              </w:rPr>
            </w:pPr>
            <w:r w:rsidRPr="00A34F10">
              <w:rPr>
                <w:sz w:val="20"/>
                <w:szCs w:val="20"/>
              </w:rPr>
              <w:t>BBCH ≥50</w:t>
            </w:r>
          </w:p>
        </w:tc>
        <w:tc>
          <w:tcPr>
            <w:tcW w:w="1591" w:type="pct"/>
            <w:tcBorders>
              <w:top w:val="single" w:sz="4" w:space="0" w:color="auto"/>
              <w:bottom w:val="single" w:sz="4" w:space="0" w:color="auto"/>
            </w:tcBorders>
            <w:shd w:val="clear" w:color="auto" w:fill="auto"/>
            <w:vAlign w:val="center"/>
          </w:tcPr>
          <w:p w14:paraId="6482C80E"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606" w:type="pct"/>
            <w:vMerge/>
            <w:tcBorders>
              <w:top w:val="single" w:sz="4" w:space="0" w:color="auto"/>
              <w:bottom w:val="single" w:sz="4" w:space="0" w:color="auto"/>
            </w:tcBorders>
            <w:shd w:val="clear" w:color="auto" w:fill="auto"/>
            <w:vAlign w:val="center"/>
          </w:tcPr>
          <w:p w14:paraId="0841AB30" w14:textId="77777777" w:rsidR="00DC5685" w:rsidRPr="00A34F10" w:rsidRDefault="00DC5685" w:rsidP="000470C3">
            <w:pPr>
              <w:jc w:val="center"/>
              <w:rPr>
                <w:sz w:val="20"/>
                <w:szCs w:val="20"/>
                <w:lang w:val="en-GB"/>
              </w:rPr>
            </w:pPr>
          </w:p>
        </w:tc>
        <w:tc>
          <w:tcPr>
            <w:tcW w:w="361" w:type="pct"/>
            <w:tcBorders>
              <w:top w:val="single" w:sz="4" w:space="0" w:color="auto"/>
              <w:bottom w:val="single" w:sz="4" w:space="0" w:color="auto"/>
            </w:tcBorders>
            <w:shd w:val="clear" w:color="auto" w:fill="auto"/>
            <w:vAlign w:val="center"/>
          </w:tcPr>
          <w:p w14:paraId="5A510BB4" w14:textId="77777777" w:rsidR="00DC5685" w:rsidRPr="00A34F10" w:rsidRDefault="00DC5685" w:rsidP="000470C3">
            <w:pPr>
              <w:jc w:val="center"/>
              <w:rPr>
                <w:sz w:val="20"/>
                <w:szCs w:val="20"/>
                <w:lang w:val="en-GB"/>
              </w:rPr>
            </w:pPr>
            <w:r w:rsidRPr="00A34F10">
              <w:rPr>
                <w:sz w:val="20"/>
                <w:szCs w:val="20"/>
              </w:rPr>
              <w:t>3.3</w:t>
            </w:r>
          </w:p>
        </w:tc>
        <w:tc>
          <w:tcPr>
            <w:tcW w:w="430" w:type="pct"/>
            <w:vMerge/>
            <w:tcBorders>
              <w:top w:val="single" w:sz="4" w:space="0" w:color="auto"/>
              <w:bottom w:val="single" w:sz="4" w:space="0" w:color="auto"/>
            </w:tcBorders>
            <w:shd w:val="clear" w:color="auto" w:fill="auto"/>
            <w:vAlign w:val="center"/>
          </w:tcPr>
          <w:p w14:paraId="723AEC3A"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985663A" w14:textId="77777777" w:rsidR="00DC5685" w:rsidRPr="00A34F10" w:rsidRDefault="00DC5685" w:rsidP="000470C3">
            <w:pPr>
              <w:jc w:val="center"/>
              <w:rPr>
                <w:sz w:val="20"/>
                <w:szCs w:val="20"/>
                <w:lang w:val="en-GB"/>
              </w:rPr>
            </w:pPr>
            <w:r w:rsidRPr="00A34F10">
              <w:rPr>
                <w:sz w:val="20"/>
                <w:szCs w:val="20"/>
              </w:rPr>
              <w:t>2.53</w:t>
            </w:r>
          </w:p>
        </w:tc>
        <w:tc>
          <w:tcPr>
            <w:tcW w:w="508" w:type="pct"/>
            <w:tcBorders>
              <w:top w:val="single" w:sz="4" w:space="0" w:color="auto"/>
              <w:left w:val="nil"/>
              <w:bottom w:val="single" w:sz="4" w:space="0" w:color="auto"/>
              <w:right w:val="single" w:sz="4" w:space="0" w:color="auto"/>
            </w:tcBorders>
            <w:shd w:val="clear" w:color="auto" w:fill="auto"/>
            <w:vAlign w:val="center"/>
          </w:tcPr>
          <w:p w14:paraId="6DAFB455" w14:textId="77777777" w:rsidR="00DC5685" w:rsidRPr="00A34F10" w:rsidRDefault="00DC5685" w:rsidP="000470C3">
            <w:pPr>
              <w:jc w:val="center"/>
              <w:rPr>
                <w:sz w:val="20"/>
                <w:szCs w:val="20"/>
                <w:lang w:val="en-GB"/>
              </w:rPr>
            </w:pPr>
            <w:r w:rsidRPr="00A34F10">
              <w:rPr>
                <w:sz w:val="20"/>
                <w:szCs w:val="20"/>
              </w:rPr>
              <w:t>41.5</w:t>
            </w:r>
          </w:p>
        </w:tc>
      </w:tr>
      <w:tr w:rsidR="00DC5685" w:rsidRPr="00A34F10" w14:paraId="53EE1656" w14:textId="77777777" w:rsidTr="00585A77">
        <w:trPr>
          <w:cantSplit/>
        </w:trPr>
        <w:tc>
          <w:tcPr>
            <w:tcW w:w="832" w:type="pct"/>
            <w:tcBorders>
              <w:bottom w:val="single" w:sz="4" w:space="0" w:color="auto"/>
            </w:tcBorders>
            <w:shd w:val="clear" w:color="auto" w:fill="auto"/>
            <w:vAlign w:val="center"/>
          </w:tcPr>
          <w:p w14:paraId="641A04CC" w14:textId="77777777" w:rsidR="00DC5685" w:rsidRPr="00A34F10" w:rsidRDefault="00DC5685" w:rsidP="000470C3">
            <w:pPr>
              <w:jc w:val="center"/>
              <w:rPr>
                <w:sz w:val="20"/>
                <w:szCs w:val="20"/>
                <w:lang w:val="en-GB"/>
              </w:rPr>
            </w:pPr>
            <w:r w:rsidRPr="00A34F10">
              <w:rPr>
                <w:sz w:val="20"/>
                <w:szCs w:val="20"/>
              </w:rPr>
              <w:t>BBCH 71-89</w:t>
            </w:r>
          </w:p>
        </w:tc>
        <w:tc>
          <w:tcPr>
            <w:tcW w:w="1591" w:type="pct"/>
            <w:tcBorders>
              <w:bottom w:val="single" w:sz="4" w:space="0" w:color="auto"/>
            </w:tcBorders>
            <w:shd w:val="clear" w:color="auto" w:fill="auto"/>
            <w:vAlign w:val="center"/>
          </w:tcPr>
          <w:p w14:paraId="5536EA5D" w14:textId="77777777" w:rsidR="00DC5685" w:rsidRPr="00A34F10" w:rsidRDefault="00DC5685" w:rsidP="000470C3">
            <w:pPr>
              <w:jc w:val="center"/>
              <w:rPr>
                <w:sz w:val="20"/>
                <w:szCs w:val="20"/>
                <w:lang w:val="en-GB"/>
              </w:rPr>
            </w:pPr>
            <w:r w:rsidRPr="00A34F10">
              <w:rPr>
                <w:sz w:val="20"/>
                <w:szCs w:val="20"/>
                <w:lang w:val="en-GB"/>
              </w:rPr>
              <w:t>Frugivorous “starling”</w:t>
            </w:r>
          </w:p>
        </w:tc>
        <w:tc>
          <w:tcPr>
            <w:tcW w:w="606" w:type="pct"/>
            <w:vMerge/>
            <w:tcBorders>
              <w:bottom w:val="single" w:sz="4" w:space="0" w:color="auto"/>
            </w:tcBorders>
            <w:shd w:val="clear" w:color="auto" w:fill="auto"/>
            <w:vAlign w:val="center"/>
          </w:tcPr>
          <w:p w14:paraId="36C9CCF9"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76C94877" w14:textId="77777777" w:rsidR="00DC5685" w:rsidRPr="00A34F10" w:rsidRDefault="00DC5685" w:rsidP="000470C3">
            <w:pPr>
              <w:jc w:val="center"/>
              <w:rPr>
                <w:sz w:val="20"/>
                <w:szCs w:val="20"/>
                <w:lang w:val="en-GB"/>
              </w:rPr>
            </w:pPr>
            <w:r w:rsidRPr="00A34F10">
              <w:rPr>
                <w:sz w:val="20"/>
                <w:szCs w:val="20"/>
              </w:rPr>
              <w:t>20.7</w:t>
            </w:r>
          </w:p>
        </w:tc>
        <w:tc>
          <w:tcPr>
            <w:tcW w:w="430" w:type="pct"/>
            <w:vMerge/>
            <w:tcBorders>
              <w:bottom w:val="single" w:sz="4" w:space="0" w:color="auto"/>
            </w:tcBorders>
            <w:shd w:val="clear" w:color="auto" w:fill="auto"/>
            <w:vAlign w:val="center"/>
          </w:tcPr>
          <w:p w14:paraId="22EDFF88"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F70D974" w14:textId="77777777" w:rsidR="00DC5685" w:rsidRPr="00A34F10" w:rsidRDefault="00DC5685" w:rsidP="000470C3">
            <w:pPr>
              <w:jc w:val="center"/>
              <w:rPr>
                <w:sz w:val="20"/>
                <w:szCs w:val="20"/>
                <w:lang w:val="en-GB"/>
              </w:rPr>
            </w:pPr>
            <w:r w:rsidRPr="00A34F10">
              <w:rPr>
                <w:sz w:val="20"/>
                <w:szCs w:val="20"/>
              </w:rPr>
              <w:t>15.89</w:t>
            </w:r>
          </w:p>
        </w:tc>
        <w:tc>
          <w:tcPr>
            <w:tcW w:w="508" w:type="pct"/>
            <w:tcBorders>
              <w:top w:val="single" w:sz="4" w:space="0" w:color="auto"/>
              <w:left w:val="nil"/>
              <w:bottom w:val="single" w:sz="4" w:space="0" w:color="auto"/>
              <w:right w:val="single" w:sz="4" w:space="0" w:color="auto"/>
            </w:tcBorders>
            <w:shd w:val="clear" w:color="auto" w:fill="auto"/>
            <w:vAlign w:val="center"/>
          </w:tcPr>
          <w:p w14:paraId="4752F0D6" w14:textId="77777777" w:rsidR="00DC5685" w:rsidRPr="00A34F10" w:rsidRDefault="00DC5685" w:rsidP="000470C3">
            <w:pPr>
              <w:jc w:val="center"/>
              <w:rPr>
                <w:sz w:val="20"/>
                <w:szCs w:val="20"/>
                <w:lang w:val="en-GB"/>
              </w:rPr>
            </w:pPr>
            <w:r w:rsidRPr="00A34F10">
              <w:rPr>
                <w:sz w:val="20"/>
                <w:szCs w:val="20"/>
              </w:rPr>
              <w:t>6.6</w:t>
            </w:r>
          </w:p>
        </w:tc>
      </w:tr>
      <w:tr w:rsidR="00DC5685" w:rsidRPr="00A34F10" w14:paraId="5EDC4230" w14:textId="77777777" w:rsidTr="00585A77">
        <w:trPr>
          <w:cantSplit/>
        </w:trPr>
        <w:tc>
          <w:tcPr>
            <w:tcW w:w="832" w:type="pct"/>
            <w:tcBorders>
              <w:top w:val="single" w:sz="4" w:space="0" w:color="auto"/>
              <w:bottom w:val="single" w:sz="4" w:space="0" w:color="auto"/>
            </w:tcBorders>
            <w:shd w:val="clear" w:color="auto" w:fill="auto"/>
            <w:vAlign w:val="center"/>
          </w:tcPr>
          <w:p w14:paraId="6FDBBDDA" w14:textId="77777777" w:rsidR="00DC5685" w:rsidRPr="0043197F" w:rsidRDefault="00DC5685" w:rsidP="000470C3">
            <w:pPr>
              <w:jc w:val="center"/>
              <w:rPr>
                <w:strike/>
                <w:sz w:val="20"/>
                <w:szCs w:val="20"/>
                <w:highlight w:val="green"/>
                <w:lang w:val="en-GB"/>
              </w:rPr>
            </w:pPr>
            <w:r w:rsidRPr="0043197F">
              <w:rPr>
                <w:strike/>
                <w:sz w:val="20"/>
                <w:szCs w:val="20"/>
                <w:highlight w:val="green"/>
              </w:rPr>
              <w:t>BBCH 10-19</w:t>
            </w:r>
          </w:p>
        </w:tc>
        <w:tc>
          <w:tcPr>
            <w:tcW w:w="1591" w:type="pct"/>
            <w:tcBorders>
              <w:top w:val="single" w:sz="4" w:space="0" w:color="auto"/>
              <w:bottom w:val="single" w:sz="4" w:space="0" w:color="auto"/>
            </w:tcBorders>
            <w:shd w:val="clear" w:color="auto" w:fill="auto"/>
            <w:vAlign w:val="center"/>
          </w:tcPr>
          <w:p w14:paraId="5C0F4184" w14:textId="77777777" w:rsidR="00DC5685" w:rsidRPr="0043197F" w:rsidRDefault="00DC5685" w:rsidP="000470C3">
            <w:pPr>
              <w:jc w:val="center"/>
              <w:rPr>
                <w:strike/>
                <w:sz w:val="20"/>
                <w:szCs w:val="20"/>
                <w:highlight w:val="green"/>
                <w:lang w:val="en-GB"/>
              </w:rPr>
            </w:pPr>
            <w:r w:rsidRPr="0043197F">
              <w:rPr>
                <w:strike/>
                <w:sz w:val="20"/>
                <w:szCs w:val="20"/>
                <w:highlight w:val="green"/>
                <w:lang w:val="en-GB"/>
              </w:rPr>
              <w:t>Small insectivorous bird “wagtail”</w:t>
            </w:r>
          </w:p>
        </w:tc>
        <w:tc>
          <w:tcPr>
            <w:tcW w:w="606" w:type="pct"/>
            <w:vMerge/>
            <w:tcBorders>
              <w:top w:val="single" w:sz="4" w:space="0" w:color="auto"/>
              <w:bottom w:val="single" w:sz="4" w:space="0" w:color="auto"/>
            </w:tcBorders>
            <w:shd w:val="clear" w:color="auto" w:fill="auto"/>
            <w:vAlign w:val="center"/>
          </w:tcPr>
          <w:p w14:paraId="50513F64" w14:textId="77777777" w:rsidR="00DC5685" w:rsidRPr="00A34F10" w:rsidRDefault="00DC5685" w:rsidP="000470C3">
            <w:pPr>
              <w:jc w:val="center"/>
              <w:rPr>
                <w:sz w:val="20"/>
                <w:szCs w:val="20"/>
                <w:lang w:val="en-GB"/>
              </w:rPr>
            </w:pPr>
          </w:p>
        </w:tc>
        <w:tc>
          <w:tcPr>
            <w:tcW w:w="361" w:type="pct"/>
            <w:tcBorders>
              <w:top w:val="single" w:sz="4" w:space="0" w:color="auto"/>
              <w:bottom w:val="single" w:sz="4" w:space="0" w:color="auto"/>
            </w:tcBorders>
            <w:shd w:val="clear" w:color="auto" w:fill="auto"/>
            <w:vAlign w:val="center"/>
          </w:tcPr>
          <w:p w14:paraId="57F9C262" w14:textId="77777777" w:rsidR="00DC5685" w:rsidRPr="0043197F" w:rsidRDefault="00DC5685" w:rsidP="000470C3">
            <w:pPr>
              <w:jc w:val="center"/>
              <w:rPr>
                <w:strike/>
                <w:sz w:val="20"/>
                <w:szCs w:val="20"/>
                <w:lang w:val="en-GB"/>
              </w:rPr>
            </w:pPr>
            <w:r w:rsidRPr="0043197F">
              <w:rPr>
                <w:strike/>
                <w:sz w:val="20"/>
                <w:szCs w:val="20"/>
                <w:highlight w:val="green"/>
              </w:rPr>
              <w:t>11.3</w:t>
            </w:r>
          </w:p>
        </w:tc>
        <w:tc>
          <w:tcPr>
            <w:tcW w:w="430" w:type="pct"/>
            <w:vMerge/>
            <w:tcBorders>
              <w:top w:val="single" w:sz="4" w:space="0" w:color="auto"/>
              <w:bottom w:val="single" w:sz="4" w:space="0" w:color="auto"/>
            </w:tcBorders>
            <w:shd w:val="clear" w:color="auto" w:fill="auto"/>
            <w:vAlign w:val="center"/>
          </w:tcPr>
          <w:p w14:paraId="23A30863"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0858F30" w14:textId="77777777" w:rsidR="00DC5685" w:rsidRPr="0043197F" w:rsidRDefault="00DC5685" w:rsidP="000470C3">
            <w:pPr>
              <w:jc w:val="center"/>
              <w:rPr>
                <w:strike/>
                <w:sz w:val="20"/>
                <w:szCs w:val="20"/>
                <w:highlight w:val="green"/>
                <w:lang w:val="en-GB"/>
              </w:rPr>
            </w:pPr>
            <w:r w:rsidRPr="0043197F">
              <w:rPr>
                <w:strike/>
                <w:sz w:val="20"/>
                <w:szCs w:val="20"/>
                <w:highlight w:val="green"/>
              </w:rPr>
              <w:t>8.67</w:t>
            </w:r>
          </w:p>
        </w:tc>
        <w:tc>
          <w:tcPr>
            <w:tcW w:w="508" w:type="pct"/>
            <w:tcBorders>
              <w:top w:val="single" w:sz="4" w:space="0" w:color="auto"/>
              <w:left w:val="nil"/>
              <w:bottom w:val="single" w:sz="4" w:space="0" w:color="auto"/>
              <w:right w:val="single" w:sz="4" w:space="0" w:color="auto"/>
            </w:tcBorders>
            <w:shd w:val="clear" w:color="auto" w:fill="auto"/>
            <w:vAlign w:val="center"/>
          </w:tcPr>
          <w:p w14:paraId="5ED2FA61" w14:textId="77777777" w:rsidR="00DC5685" w:rsidRPr="0043197F" w:rsidRDefault="00DC5685" w:rsidP="000470C3">
            <w:pPr>
              <w:jc w:val="center"/>
              <w:rPr>
                <w:strike/>
                <w:sz w:val="20"/>
                <w:szCs w:val="20"/>
                <w:highlight w:val="green"/>
                <w:lang w:val="en-GB"/>
              </w:rPr>
            </w:pPr>
            <w:r w:rsidRPr="0043197F">
              <w:rPr>
                <w:strike/>
                <w:sz w:val="20"/>
                <w:szCs w:val="20"/>
                <w:highlight w:val="green"/>
              </w:rPr>
              <w:t>12.1</w:t>
            </w:r>
          </w:p>
        </w:tc>
      </w:tr>
      <w:tr w:rsidR="00DC5685" w:rsidRPr="00A34F10" w14:paraId="6AC61C9F" w14:textId="77777777" w:rsidTr="00585A77">
        <w:trPr>
          <w:cantSplit/>
        </w:trPr>
        <w:tc>
          <w:tcPr>
            <w:tcW w:w="832" w:type="pct"/>
            <w:tcBorders>
              <w:bottom w:val="single" w:sz="4" w:space="0" w:color="auto"/>
            </w:tcBorders>
            <w:shd w:val="clear" w:color="auto" w:fill="auto"/>
            <w:vAlign w:val="center"/>
          </w:tcPr>
          <w:p w14:paraId="42E41B4E" w14:textId="77777777" w:rsidR="00DC5685" w:rsidRPr="00A34F10" w:rsidRDefault="00DC5685" w:rsidP="000470C3">
            <w:pPr>
              <w:jc w:val="center"/>
              <w:rPr>
                <w:sz w:val="20"/>
                <w:szCs w:val="20"/>
                <w:lang w:val="en-GB"/>
              </w:rPr>
            </w:pPr>
            <w:r w:rsidRPr="00A34F10">
              <w:rPr>
                <w:sz w:val="20"/>
                <w:szCs w:val="20"/>
              </w:rPr>
              <w:t>BBCH ≥20</w:t>
            </w:r>
          </w:p>
        </w:tc>
        <w:tc>
          <w:tcPr>
            <w:tcW w:w="1591" w:type="pct"/>
            <w:tcBorders>
              <w:bottom w:val="single" w:sz="4" w:space="0" w:color="auto"/>
            </w:tcBorders>
            <w:shd w:val="clear" w:color="auto" w:fill="auto"/>
            <w:vAlign w:val="center"/>
          </w:tcPr>
          <w:p w14:paraId="43F86071"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606" w:type="pct"/>
            <w:vMerge/>
            <w:tcBorders>
              <w:bottom w:val="single" w:sz="4" w:space="0" w:color="auto"/>
            </w:tcBorders>
            <w:shd w:val="clear" w:color="auto" w:fill="auto"/>
            <w:vAlign w:val="center"/>
          </w:tcPr>
          <w:p w14:paraId="2A98B87A"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3FE9E99A" w14:textId="77777777" w:rsidR="00DC5685" w:rsidRPr="00A34F10" w:rsidRDefault="00DC5685" w:rsidP="000470C3">
            <w:pPr>
              <w:jc w:val="center"/>
              <w:rPr>
                <w:sz w:val="20"/>
                <w:szCs w:val="20"/>
                <w:lang w:val="en-GB"/>
              </w:rPr>
            </w:pPr>
            <w:r w:rsidRPr="00A34F10">
              <w:rPr>
                <w:sz w:val="20"/>
                <w:szCs w:val="20"/>
              </w:rPr>
              <w:t>9.7</w:t>
            </w:r>
          </w:p>
        </w:tc>
        <w:tc>
          <w:tcPr>
            <w:tcW w:w="430" w:type="pct"/>
            <w:vMerge/>
            <w:tcBorders>
              <w:bottom w:val="single" w:sz="4" w:space="0" w:color="auto"/>
            </w:tcBorders>
            <w:shd w:val="clear" w:color="auto" w:fill="auto"/>
            <w:vAlign w:val="center"/>
          </w:tcPr>
          <w:p w14:paraId="0BB38527"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0107D23C" w14:textId="77777777" w:rsidR="00DC5685" w:rsidRPr="00A34F10" w:rsidRDefault="00DC5685" w:rsidP="000470C3">
            <w:pPr>
              <w:jc w:val="center"/>
              <w:rPr>
                <w:sz w:val="20"/>
                <w:szCs w:val="20"/>
                <w:lang w:val="en-GB"/>
              </w:rPr>
            </w:pPr>
            <w:r w:rsidRPr="00A34F10">
              <w:rPr>
                <w:sz w:val="20"/>
                <w:szCs w:val="20"/>
              </w:rPr>
              <w:t>7.45</w:t>
            </w:r>
          </w:p>
        </w:tc>
        <w:tc>
          <w:tcPr>
            <w:tcW w:w="508" w:type="pct"/>
            <w:tcBorders>
              <w:top w:val="nil"/>
              <w:left w:val="nil"/>
              <w:bottom w:val="single" w:sz="4" w:space="0" w:color="auto"/>
              <w:right w:val="single" w:sz="4" w:space="0" w:color="auto"/>
            </w:tcBorders>
            <w:shd w:val="clear" w:color="auto" w:fill="auto"/>
            <w:vAlign w:val="center"/>
          </w:tcPr>
          <w:p w14:paraId="2418E997" w14:textId="77777777" w:rsidR="00DC5685" w:rsidRPr="00A34F10" w:rsidRDefault="00DC5685" w:rsidP="000470C3">
            <w:pPr>
              <w:jc w:val="center"/>
              <w:rPr>
                <w:sz w:val="20"/>
                <w:szCs w:val="20"/>
                <w:lang w:val="en-GB"/>
              </w:rPr>
            </w:pPr>
            <w:r w:rsidRPr="00A34F10">
              <w:rPr>
                <w:sz w:val="20"/>
                <w:szCs w:val="20"/>
              </w:rPr>
              <w:t>14.1</w:t>
            </w:r>
          </w:p>
        </w:tc>
      </w:tr>
      <w:tr w:rsidR="00DC5685" w:rsidRPr="002D6076" w14:paraId="690A2060" w14:textId="77777777" w:rsidTr="000470C3">
        <w:trPr>
          <w:cantSplit/>
        </w:trPr>
        <w:tc>
          <w:tcPr>
            <w:tcW w:w="5000" w:type="pct"/>
            <w:gridSpan w:val="7"/>
            <w:tcBorders>
              <w:top w:val="single" w:sz="12" w:space="0" w:color="auto"/>
              <w:bottom w:val="single" w:sz="12" w:space="0" w:color="auto"/>
            </w:tcBorders>
            <w:shd w:val="clear" w:color="auto" w:fill="auto"/>
            <w:vAlign w:val="center"/>
          </w:tcPr>
          <w:p w14:paraId="4D44F224" w14:textId="77777777" w:rsidR="00DC5685" w:rsidRPr="001D51C3" w:rsidRDefault="00DC5685" w:rsidP="000470C3">
            <w:pPr>
              <w:jc w:val="center"/>
              <w:rPr>
                <w:sz w:val="20"/>
                <w:szCs w:val="20"/>
                <w:highlight w:val="yellow"/>
                <w:lang w:val="es-ES"/>
              </w:rPr>
            </w:pPr>
            <w:r w:rsidRPr="001D51C3">
              <w:rPr>
                <w:b/>
                <w:sz w:val="20"/>
                <w:szCs w:val="20"/>
                <w:lang w:val="es-ES"/>
              </w:rPr>
              <w:t>Ornamentals (2 x 0.902 kg a.s./ha, BBCH 12 - 59)</w:t>
            </w:r>
          </w:p>
        </w:tc>
      </w:tr>
      <w:tr w:rsidR="00DC5685" w:rsidRPr="00A34F10" w14:paraId="65497343" w14:textId="77777777" w:rsidTr="00585A77">
        <w:trPr>
          <w:cantSplit/>
        </w:trPr>
        <w:tc>
          <w:tcPr>
            <w:tcW w:w="832" w:type="pct"/>
            <w:tcBorders>
              <w:bottom w:val="single" w:sz="4" w:space="0" w:color="auto"/>
            </w:tcBorders>
            <w:shd w:val="clear" w:color="auto" w:fill="auto"/>
          </w:tcPr>
          <w:p w14:paraId="4488DFC9" w14:textId="77777777" w:rsidR="00DC5685" w:rsidRPr="00A34F10" w:rsidRDefault="00DC5685" w:rsidP="000470C3">
            <w:pPr>
              <w:jc w:val="center"/>
              <w:rPr>
                <w:sz w:val="20"/>
                <w:szCs w:val="20"/>
                <w:lang w:val="en-GB"/>
              </w:rPr>
            </w:pPr>
            <w:r w:rsidRPr="00A34F10">
              <w:rPr>
                <w:sz w:val="20"/>
                <w:szCs w:val="20"/>
              </w:rPr>
              <w:t>Application to plant</w:t>
            </w:r>
          </w:p>
        </w:tc>
        <w:tc>
          <w:tcPr>
            <w:tcW w:w="1591" w:type="pct"/>
            <w:tcBorders>
              <w:bottom w:val="single" w:sz="4" w:space="0" w:color="auto"/>
            </w:tcBorders>
            <w:shd w:val="clear" w:color="auto" w:fill="auto"/>
            <w:vAlign w:val="center"/>
          </w:tcPr>
          <w:p w14:paraId="51FE04D9" w14:textId="77777777" w:rsidR="00DC5685" w:rsidRPr="00A34F10" w:rsidRDefault="00DC5685" w:rsidP="000470C3">
            <w:pPr>
              <w:jc w:val="center"/>
              <w:rPr>
                <w:sz w:val="20"/>
                <w:szCs w:val="20"/>
                <w:lang w:val="en-GB"/>
              </w:rPr>
            </w:pPr>
            <w:r w:rsidRPr="00A34F10">
              <w:rPr>
                <w:sz w:val="20"/>
                <w:szCs w:val="20"/>
                <w:lang w:val="en-GB"/>
              </w:rPr>
              <w:t>Small insectivorous bird “tit”</w:t>
            </w:r>
          </w:p>
        </w:tc>
        <w:tc>
          <w:tcPr>
            <w:tcW w:w="606" w:type="pct"/>
            <w:vMerge w:val="restart"/>
            <w:tcBorders>
              <w:bottom w:val="single" w:sz="4" w:space="0" w:color="auto"/>
            </w:tcBorders>
            <w:shd w:val="clear" w:color="auto" w:fill="auto"/>
            <w:vAlign w:val="center"/>
          </w:tcPr>
          <w:p w14:paraId="190CE914" w14:textId="77777777" w:rsidR="00DC5685" w:rsidRPr="00A34F10" w:rsidRDefault="00DC5685" w:rsidP="000470C3">
            <w:pPr>
              <w:jc w:val="center"/>
              <w:rPr>
                <w:sz w:val="20"/>
                <w:szCs w:val="20"/>
                <w:lang w:val="en-GB"/>
              </w:rPr>
            </w:pPr>
            <w:r w:rsidRPr="00A34F10">
              <w:rPr>
                <w:sz w:val="20"/>
                <w:szCs w:val="20"/>
                <w:lang w:val="en-GB"/>
              </w:rPr>
              <w:t>0.902</w:t>
            </w:r>
          </w:p>
        </w:tc>
        <w:tc>
          <w:tcPr>
            <w:tcW w:w="361" w:type="pct"/>
            <w:tcBorders>
              <w:bottom w:val="single" w:sz="4" w:space="0" w:color="auto"/>
            </w:tcBorders>
            <w:shd w:val="clear" w:color="auto" w:fill="auto"/>
            <w:vAlign w:val="center"/>
          </w:tcPr>
          <w:p w14:paraId="1F565B7D" w14:textId="77777777" w:rsidR="00DC5685" w:rsidRPr="00A34F10" w:rsidRDefault="00DC5685" w:rsidP="000470C3">
            <w:pPr>
              <w:jc w:val="center"/>
              <w:rPr>
                <w:sz w:val="20"/>
                <w:szCs w:val="20"/>
                <w:lang w:val="en-GB"/>
              </w:rPr>
            </w:pPr>
            <w:r w:rsidRPr="00A34F10">
              <w:rPr>
                <w:sz w:val="20"/>
                <w:szCs w:val="20"/>
              </w:rPr>
              <w:t>18.2</w:t>
            </w:r>
          </w:p>
        </w:tc>
        <w:tc>
          <w:tcPr>
            <w:tcW w:w="430" w:type="pct"/>
            <w:vMerge w:val="restart"/>
            <w:tcBorders>
              <w:bottom w:val="single" w:sz="4" w:space="0" w:color="auto"/>
            </w:tcBorders>
            <w:shd w:val="clear" w:color="auto" w:fill="auto"/>
            <w:vAlign w:val="center"/>
          </w:tcPr>
          <w:p w14:paraId="4F009F3A" w14:textId="77777777" w:rsidR="00DC5685" w:rsidRPr="00A34F10" w:rsidRDefault="00DC5685" w:rsidP="000470C3">
            <w:pPr>
              <w:jc w:val="center"/>
              <w:rPr>
                <w:sz w:val="20"/>
                <w:szCs w:val="20"/>
                <w:lang w:val="en-GB"/>
              </w:rPr>
            </w:pPr>
            <w:r w:rsidRPr="00A34F10">
              <w:rPr>
                <w:sz w:val="20"/>
                <w:szCs w:val="20"/>
                <w:lang w:val="en-GB"/>
              </w:rPr>
              <w:t>1.62 × 0.53</w:t>
            </w:r>
          </w:p>
        </w:tc>
        <w:tc>
          <w:tcPr>
            <w:tcW w:w="671" w:type="pct"/>
            <w:tcBorders>
              <w:top w:val="nil"/>
              <w:left w:val="single" w:sz="4" w:space="0" w:color="auto"/>
              <w:bottom w:val="single" w:sz="4" w:space="0" w:color="auto"/>
              <w:right w:val="single" w:sz="4" w:space="0" w:color="auto"/>
            </w:tcBorders>
            <w:shd w:val="clear" w:color="auto" w:fill="auto"/>
            <w:vAlign w:val="center"/>
          </w:tcPr>
          <w:p w14:paraId="65E96596" w14:textId="77777777" w:rsidR="00DC5685" w:rsidRPr="00A34F10" w:rsidRDefault="00DC5685" w:rsidP="000470C3">
            <w:pPr>
              <w:jc w:val="center"/>
              <w:rPr>
                <w:sz w:val="20"/>
                <w:szCs w:val="20"/>
                <w:lang w:val="en-GB"/>
              </w:rPr>
            </w:pPr>
            <w:r w:rsidRPr="00A34F10">
              <w:rPr>
                <w:sz w:val="20"/>
                <w:szCs w:val="20"/>
              </w:rPr>
              <w:t>14.76</w:t>
            </w:r>
          </w:p>
        </w:tc>
        <w:tc>
          <w:tcPr>
            <w:tcW w:w="508" w:type="pct"/>
            <w:tcBorders>
              <w:top w:val="nil"/>
              <w:left w:val="nil"/>
              <w:bottom w:val="single" w:sz="4" w:space="0" w:color="auto"/>
              <w:right w:val="single" w:sz="4" w:space="0" w:color="auto"/>
            </w:tcBorders>
            <w:shd w:val="clear" w:color="auto" w:fill="auto"/>
            <w:vAlign w:val="center"/>
          </w:tcPr>
          <w:p w14:paraId="45EB0C73" w14:textId="77777777" w:rsidR="00DC5685" w:rsidRPr="00A34F10" w:rsidRDefault="00DC5685" w:rsidP="000470C3">
            <w:pPr>
              <w:jc w:val="center"/>
              <w:rPr>
                <w:b/>
                <w:bCs/>
                <w:sz w:val="20"/>
                <w:szCs w:val="20"/>
                <w:lang w:val="en-GB"/>
              </w:rPr>
            </w:pPr>
            <w:r w:rsidRPr="00A34F10">
              <w:rPr>
                <w:sz w:val="20"/>
                <w:szCs w:val="20"/>
              </w:rPr>
              <w:t>7.1</w:t>
            </w:r>
          </w:p>
        </w:tc>
      </w:tr>
      <w:tr w:rsidR="00DC5685" w:rsidRPr="00A34F10" w14:paraId="53024858" w14:textId="77777777" w:rsidTr="00585A77">
        <w:trPr>
          <w:cantSplit/>
        </w:trPr>
        <w:tc>
          <w:tcPr>
            <w:tcW w:w="832" w:type="pct"/>
            <w:tcBorders>
              <w:bottom w:val="single" w:sz="4" w:space="0" w:color="auto"/>
            </w:tcBorders>
            <w:shd w:val="clear" w:color="auto" w:fill="auto"/>
          </w:tcPr>
          <w:p w14:paraId="4DD7C939" w14:textId="77777777" w:rsidR="00DC5685" w:rsidRPr="00A34F10" w:rsidRDefault="00DC5685" w:rsidP="000470C3">
            <w:pPr>
              <w:jc w:val="center"/>
              <w:rPr>
                <w:sz w:val="20"/>
                <w:szCs w:val="20"/>
                <w:lang w:val="en-GB"/>
              </w:rPr>
            </w:pPr>
            <w:r w:rsidRPr="00A34F10">
              <w:rPr>
                <w:sz w:val="20"/>
                <w:szCs w:val="20"/>
              </w:rPr>
              <w:t>Application to plant - exposure to underlying ground</w:t>
            </w:r>
          </w:p>
        </w:tc>
        <w:tc>
          <w:tcPr>
            <w:tcW w:w="1591" w:type="pct"/>
            <w:tcBorders>
              <w:bottom w:val="single" w:sz="4" w:space="0" w:color="auto"/>
            </w:tcBorders>
            <w:shd w:val="clear" w:color="auto" w:fill="auto"/>
            <w:vAlign w:val="center"/>
          </w:tcPr>
          <w:p w14:paraId="6A4F8185" w14:textId="77777777" w:rsidR="00DC5685" w:rsidRPr="00A34F10" w:rsidRDefault="00DC5685" w:rsidP="000470C3">
            <w:pPr>
              <w:jc w:val="center"/>
              <w:rPr>
                <w:sz w:val="20"/>
                <w:szCs w:val="20"/>
                <w:lang w:val="en-GB"/>
              </w:rPr>
            </w:pPr>
            <w:r w:rsidRPr="00A34F10">
              <w:rPr>
                <w:sz w:val="20"/>
                <w:szCs w:val="20"/>
                <w:lang w:val="en-GB"/>
              </w:rPr>
              <w:t>small insectivorous/worm feeding “thrush”</w:t>
            </w:r>
          </w:p>
        </w:tc>
        <w:tc>
          <w:tcPr>
            <w:tcW w:w="606" w:type="pct"/>
            <w:vMerge/>
            <w:tcBorders>
              <w:bottom w:val="single" w:sz="4" w:space="0" w:color="auto"/>
            </w:tcBorders>
            <w:shd w:val="clear" w:color="auto" w:fill="auto"/>
            <w:vAlign w:val="center"/>
          </w:tcPr>
          <w:p w14:paraId="0728C827" w14:textId="77777777" w:rsidR="00DC5685" w:rsidRPr="00A34F10" w:rsidRDefault="00DC5685" w:rsidP="000470C3">
            <w:pPr>
              <w:jc w:val="center"/>
              <w:rPr>
                <w:sz w:val="20"/>
                <w:szCs w:val="20"/>
                <w:lang w:val="en-GB"/>
              </w:rPr>
            </w:pPr>
          </w:p>
        </w:tc>
        <w:tc>
          <w:tcPr>
            <w:tcW w:w="361" w:type="pct"/>
            <w:tcBorders>
              <w:bottom w:val="single" w:sz="4" w:space="0" w:color="auto"/>
            </w:tcBorders>
            <w:shd w:val="clear" w:color="auto" w:fill="auto"/>
            <w:vAlign w:val="center"/>
          </w:tcPr>
          <w:p w14:paraId="429324CF" w14:textId="77777777" w:rsidR="00DC5685" w:rsidRPr="00A34F10" w:rsidRDefault="00DC5685" w:rsidP="000470C3">
            <w:pPr>
              <w:jc w:val="center"/>
              <w:rPr>
                <w:sz w:val="20"/>
                <w:szCs w:val="20"/>
                <w:lang w:val="en-GB"/>
              </w:rPr>
            </w:pPr>
            <w:r w:rsidRPr="00A34F10">
              <w:rPr>
                <w:sz w:val="20"/>
                <w:szCs w:val="20"/>
              </w:rPr>
              <w:t>2.7</w:t>
            </w:r>
          </w:p>
        </w:tc>
        <w:tc>
          <w:tcPr>
            <w:tcW w:w="430" w:type="pct"/>
            <w:vMerge/>
            <w:tcBorders>
              <w:bottom w:val="single" w:sz="4" w:space="0" w:color="auto"/>
            </w:tcBorders>
            <w:shd w:val="clear" w:color="auto" w:fill="auto"/>
            <w:vAlign w:val="center"/>
          </w:tcPr>
          <w:p w14:paraId="21F7EC39"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F2E0413" w14:textId="77777777" w:rsidR="00DC5685" w:rsidRPr="00A34F10" w:rsidRDefault="00DC5685" w:rsidP="000470C3">
            <w:pPr>
              <w:jc w:val="center"/>
              <w:rPr>
                <w:sz w:val="20"/>
                <w:szCs w:val="20"/>
                <w:lang w:val="en-GB"/>
              </w:rPr>
            </w:pPr>
            <w:r w:rsidRPr="00A34F10">
              <w:rPr>
                <w:sz w:val="20"/>
                <w:szCs w:val="20"/>
              </w:rPr>
              <w:t>2.19</w:t>
            </w:r>
          </w:p>
        </w:tc>
        <w:tc>
          <w:tcPr>
            <w:tcW w:w="508" w:type="pct"/>
            <w:tcBorders>
              <w:top w:val="nil"/>
              <w:left w:val="nil"/>
              <w:bottom w:val="single" w:sz="4" w:space="0" w:color="auto"/>
              <w:right w:val="single" w:sz="4" w:space="0" w:color="auto"/>
            </w:tcBorders>
            <w:shd w:val="clear" w:color="auto" w:fill="auto"/>
            <w:vAlign w:val="center"/>
          </w:tcPr>
          <w:p w14:paraId="635F1DAC" w14:textId="77777777" w:rsidR="00DC5685" w:rsidRPr="00A34F10" w:rsidRDefault="00DC5685" w:rsidP="000470C3">
            <w:pPr>
              <w:jc w:val="center"/>
              <w:rPr>
                <w:sz w:val="20"/>
                <w:szCs w:val="20"/>
                <w:lang w:val="en-GB"/>
              </w:rPr>
            </w:pPr>
            <w:r w:rsidRPr="00A34F10">
              <w:rPr>
                <w:sz w:val="20"/>
                <w:szCs w:val="20"/>
              </w:rPr>
              <w:t>47.9</w:t>
            </w:r>
          </w:p>
        </w:tc>
      </w:tr>
      <w:tr w:rsidR="002B350D" w:rsidRPr="00A34F10" w14:paraId="0019EC75" w14:textId="77777777" w:rsidTr="002B350D">
        <w:trPr>
          <w:cantSplit/>
        </w:trPr>
        <w:tc>
          <w:tcPr>
            <w:tcW w:w="5000" w:type="pct"/>
            <w:gridSpan w:val="7"/>
            <w:tcBorders>
              <w:top w:val="single" w:sz="4" w:space="0" w:color="auto"/>
              <w:bottom w:val="single" w:sz="4" w:space="0" w:color="auto"/>
              <w:right w:val="single" w:sz="4" w:space="0" w:color="auto"/>
            </w:tcBorders>
            <w:shd w:val="clear" w:color="auto" w:fill="auto"/>
          </w:tcPr>
          <w:p w14:paraId="56CFE1E5" w14:textId="33CAD7BC" w:rsidR="002B350D" w:rsidRPr="00512D4C" w:rsidRDefault="002B350D" w:rsidP="00585A77">
            <w:pPr>
              <w:keepNext/>
              <w:keepLines/>
              <w:jc w:val="center"/>
              <w:rPr>
                <w:sz w:val="20"/>
                <w:szCs w:val="20"/>
                <w:highlight w:val="green"/>
              </w:rPr>
            </w:pPr>
            <w:r w:rsidRPr="00512D4C">
              <w:rPr>
                <w:b/>
                <w:bCs/>
                <w:sz w:val="20"/>
                <w:szCs w:val="20"/>
                <w:highlight w:val="green"/>
              </w:rPr>
              <w:lastRenderedPageBreak/>
              <w:t xml:space="preserve">Orchards </w:t>
            </w:r>
            <w:r w:rsidRPr="00B875EA">
              <w:rPr>
                <w:b/>
                <w:sz w:val="20"/>
                <w:szCs w:val="20"/>
                <w:highlight w:val="green"/>
                <w:lang w:val="en-GB"/>
              </w:rPr>
              <w:t>(2 x 0.902 kg a.s./ha, BBCH 12 - 59)</w:t>
            </w:r>
          </w:p>
        </w:tc>
      </w:tr>
      <w:tr w:rsidR="002B350D" w:rsidRPr="00A34F10" w14:paraId="18AC889D" w14:textId="77777777" w:rsidTr="00585A77">
        <w:trPr>
          <w:cantSplit/>
        </w:trPr>
        <w:tc>
          <w:tcPr>
            <w:tcW w:w="832" w:type="pct"/>
            <w:tcBorders>
              <w:top w:val="single" w:sz="4" w:space="0" w:color="auto"/>
              <w:bottom w:val="single" w:sz="4" w:space="0" w:color="auto"/>
            </w:tcBorders>
            <w:shd w:val="clear" w:color="auto" w:fill="auto"/>
          </w:tcPr>
          <w:p w14:paraId="7D90E4F2" w14:textId="0F0891ED" w:rsidR="002B350D" w:rsidRPr="00512D4C" w:rsidRDefault="002B350D" w:rsidP="00585A77">
            <w:pPr>
              <w:keepNext/>
              <w:keepLines/>
              <w:jc w:val="center"/>
              <w:rPr>
                <w:sz w:val="20"/>
                <w:szCs w:val="20"/>
                <w:highlight w:val="green"/>
              </w:rPr>
            </w:pPr>
            <w:r w:rsidRPr="00512D4C">
              <w:rPr>
                <w:sz w:val="20"/>
                <w:szCs w:val="20"/>
                <w:highlight w:val="green"/>
              </w:rPr>
              <w:t>Spring/Summer</w:t>
            </w:r>
          </w:p>
        </w:tc>
        <w:tc>
          <w:tcPr>
            <w:tcW w:w="1591" w:type="pct"/>
            <w:tcBorders>
              <w:top w:val="single" w:sz="4" w:space="0" w:color="auto"/>
              <w:bottom w:val="single" w:sz="4" w:space="0" w:color="auto"/>
            </w:tcBorders>
            <w:shd w:val="clear" w:color="auto" w:fill="auto"/>
            <w:vAlign w:val="center"/>
          </w:tcPr>
          <w:p w14:paraId="3AAC0AB5" w14:textId="598ECF36" w:rsidR="002B350D" w:rsidRPr="00512D4C" w:rsidRDefault="002B350D" w:rsidP="00585A77">
            <w:pPr>
              <w:keepNext/>
              <w:keepLines/>
              <w:jc w:val="center"/>
              <w:rPr>
                <w:sz w:val="20"/>
                <w:szCs w:val="20"/>
                <w:highlight w:val="green"/>
                <w:lang w:val="en-GB"/>
              </w:rPr>
            </w:pPr>
            <w:r w:rsidRPr="00512D4C">
              <w:rPr>
                <w:sz w:val="20"/>
                <w:szCs w:val="20"/>
                <w:highlight w:val="green"/>
                <w:lang w:val="en-GB"/>
              </w:rPr>
              <w:t>Small insectivorous bird “tit”</w:t>
            </w:r>
          </w:p>
        </w:tc>
        <w:tc>
          <w:tcPr>
            <w:tcW w:w="606" w:type="pct"/>
            <w:vMerge w:val="restart"/>
            <w:tcBorders>
              <w:top w:val="single" w:sz="4" w:space="0" w:color="auto"/>
            </w:tcBorders>
            <w:shd w:val="clear" w:color="auto" w:fill="auto"/>
            <w:vAlign w:val="center"/>
          </w:tcPr>
          <w:p w14:paraId="75238D81" w14:textId="0F1C5742" w:rsidR="002B350D" w:rsidRPr="00512D4C" w:rsidRDefault="002B350D" w:rsidP="000470C3">
            <w:pPr>
              <w:jc w:val="center"/>
              <w:rPr>
                <w:sz w:val="20"/>
                <w:szCs w:val="20"/>
                <w:highlight w:val="green"/>
                <w:lang w:val="en-GB"/>
              </w:rPr>
            </w:pPr>
            <w:r w:rsidRPr="00512D4C">
              <w:rPr>
                <w:sz w:val="20"/>
                <w:szCs w:val="20"/>
                <w:highlight w:val="green"/>
                <w:lang w:val="en-GB"/>
              </w:rPr>
              <w:t>0.902</w:t>
            </w:r>
          </w:p>
        </w:tc>
        <w:tc>
          <w:tcPr>
            <w:tcW w:w="361" w:type="pct"/>
            <w:tcBorders>
              <w:top w:val="single" w:sz="4" w:space="0" w:color="auto"/>
              <w:bottom w:val="single" w:sz="4" w:space="0" w:color="auto"/>
            </w:tcBorders>
            <w:shd w:val="clear" w:color="auto" w:fill="auto"/>
            <w:vAlign w:val="center"/>
          </w:tcPr>
          <w:p w14:paraId="6FF88034" w14:textId="322C4483" w:rsidR="002B350D" w:rsidRPr="00512D4C" w:rsidRDefault="002B350D" w:rsidP="000470C3">
            <w:pPr>
              <w:jc w:val="center"/>
              <w:rPr>
                <w:sz w:val="20"/>
                <w:szCs w:val="20"/>
                <w:highlight w:val="green"/>
              </w:rPr>
            </w:pPr>
            <w:r w:rsidRPr="00512D4C">
              <w:rPr>
                <w:sz w:val="20"/>
                <w:szCs w:val="20"/>
                <w:highlight w:val="green"/>
              </w:rPr>
              <w:t>18.2</w:t>
            </w:r>
          </w:p>
        </w:tc>
        <w:tc>
          <w:tcPr>
            <w:tcW w:w="430" w:type="pct"/>
            <w:vMerge w:val="restart"/>
            <w:tcBorders>
              <w:top w:val="single" w:sz="4" w:space="0" w:color="auto"/>
            </w:tcBorders>
            <w:shd w:val="clear" w:color="auto" w:fill="auto"/>
            <w:vAlign w:val="center"/>
          </w:tcPr>
          <w:p w14:paraId="2B5B2BED" w14:textId="753F5741" w:rsidR="002B350D" w:rsidRPr="00512D4C" w:rsidRDefault="002B350D" w:rsidP="000470C3">
            <w:pPr>
              <w:jc w:val="center"/>
              <w:rPr>
                <w:sz w:val="20"/>
                <w:szCs w:val="20"/>
                <w:highlight w:val="green"/>
                <w:lang w:val="en-GB"/>
              </w:rPr>
            </w:pPr>
            <w:r w:rsidRPr="00512D4C">
              <w:rPr>
                <w:sz w:val="20"/>
                <w:szCs w:val="20"/>
                <w:highlight w:val="green"/>
                <w:lang w:val="en-GB"/>
              </w:rPr>
              <w:t>1.62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3B0DF43" w14:textId="62752AD5" w:rsidR="002B350D" w:rsidRPr="00512D4C" w:rsidRDefault="002B350D" w:rsidP="000470C3">
            <w:pPr>
              <w:jc w:val="center"/>
              <w:rPr>
                <w:sz w:val="20"/>
                <w:szCs w:val="20"/>
                <w:highlight w:val="green"/>
              </w:rPr>
            </w:pPr>
            <w:r w:rsidRPr="00512D4C">
              <w:rPr>
                <w:sz w:val="20"/>
                <w:szCs w:val="20"/>
                <w:highlight w:val="green"/>
              </w:rPr>
              <w:t>13.97</w:t>
            </w:r>
          </w:p>
        </w:tc>
        <w:tc>
          <w:tcPr>
            <w:tcW w:w="508" w:type="pct"/>
            <w:tcBorders>
              <w:top w:val="single" w:sz="4" w:space="0" w:color="auto"/>
              <w:left w:val="nil"/>
              <w:bottom w:val="single" w:sz="4" w:space="0" w:color="auto"/>
              <w:right w:val="single" w:sz="4" w:space="0" w:color="auto"/>
            </w:tcBorders>
            <w:shd w:val="clear" w:color="auto" w:fill="auto"/>
            <w:vAlign w:val="center"/>
          </w:tcPr>
          <w:p w14:paraId="13720813" w14:textId="063A979B" w:rsidR="002B350D" w:rsidRPr="00512D4C" w:rsidRDefault="00512D4C" w:rsidP="000470C3">
            <w:pPr>
              <w:jc w:val="center"/>
              <w:rPr>
                <w:sz w:val="20"/>
                <w:szCs w:val="20"/>
                <w:highlight w:val="green"/>
              </w:rPr>
            </w:pPr>
            <w:r w:rsidRPr="00512D4C">
              <w:rPr>
                <w:sz w:val="20"/>
                <w:szCs w:val="20"/>
                <w:highlight w:val="green"/>
              </w:rPr>
              <w:t>7.5</w:t>
            </w:r>
          </w:p>
        </w:tc>
      </w:tr>
      <w:tr w:rsidR="002B350D" w:rsidRPr="00A34F10" w14:paraId="424E291C" w14:textId="77777777" w:rsidTr="00585A77">
        <w:trPr>
          <w:cantSplit/>
        </w:trPr>
        <w:tc>
          <w:tcPr>
            <w:tcW w:w="832" w:type="pct"/>
            <w:tcBorders>
              <w:top w:val="single" w:sz="4" w:space="0" w:color="auto"/>
              <w:bottom w:val="single" w:sz="4" w:space="0" w:color="auto"/>
            </w:tcBorders>
            <w:shd w:val="clear" w:color="auto" w:fill="auto"/>
          </w:tcPr>
          <w:p w14:paraId="79EC2A64" w14:textId="77777777" w:rsidR="002B350D" w:rsidRPr="00512D4C" w:rsidRDefault="002B350D" w:rsidP="00585A77">
            <w:pPr>
              <w:keepNext/>
              <w:keepLines/>
              <w:jc w:val="center"/>
              <w:rPr>
                <w:sz w:val="20"/>
                <w:szCs w:val="20"/>
                <w:highlight w:val="green"/>
              </w:rPr>
            </w:pPr>
            <w:r w:rsidRPr="00512D4C">
              <w:rPr>
                <w:sz w:val="20"/>
                <w:szCs w:val="20"/>
                <w:highlight w:val="green"/>
              </w:rPr>
              <w:t xml:space="preserve">Crop directed – </w:t>
            </w:r>
          </w:p>
          <w:p w14:paraId="04FC8968" w14:textId="31648FC4" w:rsidR="002B350D" w:rsidRPr="00512D4C" w:rsidRDefault="002B350D" w:rsidP="00585A77">
            <w:pPr>
              <w:keepNext/>
              <w:keepLines/>
              <w:jc w:val="center"/>
              <w:rPr>
                <w:sz w:val="20"/>
                <w:szCs w:val="20"/>
                <w:highlight w:val="green"/>
              </w:rPr>
            </w:pPr>
            <w:r w:rsidRPr="00512D4C">
              <w:rPr>
                <w:sz w:val="20"/>
                <w:szCs w:val="20"/>
                <w:highlight w:val="green"/>
              </w:rPr>
              <w:t>BBCH 10-19</w:t>
            </w:r>
          </w:p>
        </w:tc>
        <w:tc>
          <w:tcPr>
            <w:tcW w:w="1591" w:type="pct"/>
            <w:tcBorders>
              <w:top w:val="single" w:sz="4" w:space="0" w:color="auto"/>
              <w:bottom w:val="single" w:sz="4" w:space="0" w:color="auto"/>
            </w:tcBorders>
            <w:shd w:val="clear" w:color="auto" w:fill="auto"/>
            <w:vAlign w:val="center"/>
          </w:tcPr>
          <w:p w14:paraId="67301C0B" w14:textId="63082D11" w:rsidR="002B350D" w:rsidRPr="00512D4C" w:rsidRDefault="002B350D" w:rsidP="00585A77">
            <w:pPr>
              <w:keepNext/>
              <w:keepLines/>
              <w:jc w:val="center"/>
              <w:rPr>
                <w:sz w:val="20"/>
                <w:szCs w:val="20"/>
                <w:highlight w:val="green"/>
                <w:lang w:val="en-GB"/>
              </w:rPr>
            </w:pPr>
            <w:r w:rsidRPr="00512D4C">
              <w:rPr>
                <w:sz w:val="20"/>
                <w:szCs w:val="20"/>
                <w:highlight w:val="green"/>
                <w:lang w:val="en-GB"/>
              </w:rPr>
              <w:t>small insectivorous/worm feeding “thrush”</w:t>
            </w:r>
          </w:p>
        </w:tc>
        <w:tc>
          <w:tcPr>
            <w:tcW w:w="606" w:type="pct"/>
            <w:vMerge/>
            <w:shd w:val="clear" w:color="auto" w:fill="auto"/>
            <w:vAlign w:val="center"/>
          </w:tcPr>
          <w:p w14:paraId="3BB0B3DA"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04F09495" w14:textId="19D90F5B" w:rsidR="002B350D" w:rsidRPr="00512D4C" w:rsidRDefault="002B350D" w:rsidP="002B350D">
            <w:pPr>
              <w:jc w:val="center"/>
              <w:rPr>
                <w:sz w:val="20"/>
                <w:szCs w:val="20"/>
                <w:highlight w:val="green"/>
              </w:rPr>
            </w:pPr>
            <w:r w:rsidRPr="00512D4C">
              <w:rPr>
                <w:sz w:val="20"/>
                <w:szCs w:val="20"/>
                <w:highlight w:val="green"/>
              </w:rPr>
              <w:t>2.1</w:t>
            </w:r>
          </w:p>
        </w:tc>
        <w:tc>
          <w:tcPr>
            <w:tcW w:w="430" w:type="pct"/>
            <w:vMerge/>
            <w:shd w:val="clear" w:color="auto" w:fill="auto"/>
            <w:vAlign w:val="center"/>
          </w:tcPr>
          <w:p w14:paraId="1C80B833"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1274C7B" w14:textId="0C75F26D" w:rsidR="002B350D" w:rsidRPr="00512D4C" w:rsidRDefault="002B350D" w:rsidP="002B350D">
            <w:pPr>
              <w:jc w:val="center"/>
              <w:rPr>
                <w:sz w:val="20"/>
                <w:szCs w:val="20"/>
                <w:highlight w:val="green"/>
              </w:rPr>
            </w:pPr>
            <w:r w:rsidRPr="00512D4C">
              <w:rPr>
                <w:sz w:val="20"/>
                <w:szCs w:val="20"/>
                <w:highlight w:val="green"/>
              </w:rPr>
              <w:t>1.61</w:t>
            </w:r>
          </w:p>
        </w:tc>
        <w:tc>
          <w:tcPr>
            <w:tcW w:w="508" w:type="pct"/>
            <w:tcBorders>
              <w:top w:val="single" w:sz="4" w:space="0" w:color="auto"/>
              <w:left w:val="nil"/>
              <w:bottom w:val="single" w:sz="4" w:space="0" w:color="auto"/>
              <w:right w:val="single" w:sz="4" w:space="0" w:color="auto"/>
            </w:tcBorders>
            <w:shd w:val="clear" w:color="auto" w:fill="auto"/>
            <w:vAlign w:val="center"/>
          </w:tcPr>
          <w:p w14:paraId="2BADB6E5" w14:textId="371C540B" w:rsidR="002B350D" w:rsidRPr="00512D4C" w:rsidRDefault="00512D4C" w:rsidP="002B350D">
            <w:pPr>
              <w:jc w:val="center"/>
              <w:rPr>
                <w:sz w:val="20"/>
                <w:szCs w:val="20"/>
                <w:highlight w:val="green"/>
              </w:rPr>
            </w:pPr>
            <w:r w:rsidRPr="00512D4C">
              <w:rPr>
                <w:sz w:val="20"/>
                <w:szCs w:val="20"/>
                <w:highlight w:val="green"/>
              </w:rPr>
              <w:t>65.1</w:t>
            </w:r>
          </w:p>
        </w:tc>
      </w:tr>
      <w:tr w:rsidR="002B350D" w:rsidRPr="00A34F10" w14:paraId="7857D052" w14:textId="77777777" w:rsidTr="00585A77">
        <w:trPr>
          <w:cantSplit/>
        </w:trPr>
        <w:tc>
          <w:tcPr>
            <w:tcW w:w="832" w:type="pct"/>
            <w:tcBorders>
              <w:top w:val="single" w:sz="4" w:space="0" w:color="auto"/>
              <w:bottom w:val="single" w:sz="4" w:space="0" w:color="auto"/>
            </w:tcBorders>
            <w:shd w:val="clear" w:color="auto" w:fill="auto"/>
          </w:tcPr>
          <w:p w14:paraId="05EF26EB" w14:textId="77777777" w:rsidR="002B350D" w:rsidRPr="00512D4C" w:rsidRDefault="002B350D" w:rsidP="002B350D">
            <w:pPr>
              <w:jc w:val="center"/>
              <w:rPr>
                <w:sz w:val="20"/>
                <w:szCs w:val="20"/>
                <w:highlight w:val="green"/>
              </w:rPr>
            </w:pPr>
            <w:r w:rsidRPr="00512D4C">
              <w:rPr>
                <w:sz w:val="20"/>
                <w:szCs w:val="20"/>
                <w:highlight w:val="green"/>
              </w:rPr>
              <w:t xml:space="preserve">Crop directed – </w:t>
            </w:r>
          </w:p>
          <w:p w14:paraId="4CFAC4CE" w14:textId="74233683" w:rsidR="002B350D" w:rsidRPr="00512D4C" w:rsidRDefault="002B350D" w:rsidP="002B350D">
            <w:pPr>
              <w:jc w:val="center"/>
              <w:rPr>
                <w:sz w:val="20"/>
                <w:szCs w:val="20"/>
                <w:highlight w:val="green"/>
              </w:rPr>
            </w:pPr>
            <w:r w:rsidRPr="00512D4C">
              <w:rPr>
                <w:sz w:val="20"/>
                <w:szCs w:val="20"/>
                <w:highlight w:val="green"/>
              </w:rPr>
              <w:t>BBCH 20-39</w:t>
            </w:r>
          </w:p>
        </w:tc>
        <w:tc>
          <w:tcPr>
            <w:tcW w:w="1591" w:type="pct"/>
            <w:tcBorders>
              <w:top w:val="single" w:sz="4" w:space="0" w:color="auto"/>
              <w:bottom w:val="single" w:sz="4" w:space="0" w:color="auto"/>
            </w:tcBorders>
            <w:shd w:val="clear" w:color="auto" w:fill="auto"/>
            <w:vAlign w:val="center"/>
          </w:tcPr>
          <w:p w14:paraId="4B5CF9DD" w14:textId="1DDE4C90" w:rsidR="002B350D" w:rsidRPr="00512D4C" w:rsidRDefault="002B350D" w:rsidP="002B350D">
            <w:pPr>
              <w:jc w:val="center"/>
              <w:rPr>
                <w:sz w:val="20"/>
                <w:szCs w:val="20"/>
                <w:highlight w:val="green"/>
                <w:lang w:val="en-GB"/>
              </w:rPr>
            </w:pPr>
            <w:r w:rsidRPr="00512D4C">
              <w:rPr>
                <w:sz w:val="20"/>
                <w:szCs w:val="20"/>
                <w:highlight w:val="green"/>
                <w:lang w:val="en-GB"/>
              </w:rPr>
              <w:t>small insectivorous/worm feeding “thrush”</w:t>
            </w:r>
          </w:p>
        </w:tc>
        <w:tc>
          <w:tcPr>
            <w:tcW w:w="606" w:type="pct"/>
            <w:vMerge/>
            <w:shd w:val="clear" w:color="auto" w:fill="auto"/>
            <w:vAlign w:val="center"/>
          </w:tcPr>
          <w:p w14:paraId="48EA63C2"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6301E676" w14:textId="2A941CF3" w:rsidR="002B350D" w:rsidRPr="00512D4C" w:rsidRDefault="002B350D" w:rsidP="002B350D">
            <w:pPr>
              <w:jc w:val="center"/>
              <w:rPr>
                <w:sz w:val="20"/>
                <w:szCs w:val="20"/>
                <w:highlight w:val="green"/>
              </w:rPr>
            </w:pPr>
            <w:r w:rsidRPr="00512D4C">
              <w:rPr>
                <w:sz w:val="20"/>
                <w:szCs w:val="20"/>
                <w:highlight w:val="green"/>
              </w:rPr>
              <w:t>1.6</w:t>
            </w:r>
          </w:p>
        </w:tc>
        <w:tc>
          <w:tcPr>
            <w:tcW w:w="430" w:type="pct"/>
            <w:vMerge/>
            <w:shd w:val="clear" w:color="auto" w:fill="auto"/>
            <w:vAlign w:val="center"/>
          </w:tcPr>
          <w:p w14:paraId="5AF326AA"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D1F33E1" w14:textId="7B93A59F" w:rsidR="002B350D" w:rsidRPr="00512D4C" w:rsidRDefault="002B350D" w:rsidP="002B350D">
            <w:pPr>
              <w:jc w:val="center"/>
              <w:rPr>
                <w:sz w:val="20"/>
                <w:szCs w:val="20"/>
                <w:highlight w:val="green"/>
              </w:rPr>
            </w:pPr>
            <w:r w:rsidRPr="00512D4C">
              <w:rPr>
                <w:sz w:val="20"/>
                <w:szCs w:val="20"/>
                <w:highlight w:val="green"/>
              </w:rPr>
              <w:t>1.23</w:t>
            </w:r>
          </w:p>
        </w:tc>
        <w:tc>
          <w:tcPr>
            <w:tcW w:w="508" w:type="pct"/>
            <w:tcBorders>
              <w:top w:val="single" w:sz="4" w:space="0" w:color="auto"/>
              <w:left w:val="nil"/>
              <w:bottom w:val="single" w:sz="4" w:space="0" w:color="auto"/>
              <w:right w:val="single" w:sz="4" w:space="0" w:color="auto"/>
            </w:tcBorders>
            <w:shd w:val="clear" w:color="auto" w:fill="auto"/>
            <w:vAlign w:val="center"/>
          </w:tcPr>
          <w:p w14:paraId="71161CB2" w14:textId="0D2CF042" w:rsidR="002B350D" w:rsidRPr="00512D4C" w:rsidRDefault="00512D4C" w:rsidP="002B350D">
            <w:pPr>
              <w:jc w:val="center"/>
              <w:rPr>
                <w:sz w:val="20"/>
                <w:szCs w:val="20"/>
                <w:highlight w:val="green"/>
              </w:rPr>
            </w:pPr>
            <w:r w:rsidRPr="00512D4C">
              <w:rPr>
                <w:sz w:val="20"/>
                <w:szCs w:val="20"/>
                <w:highlight w:val="green"/>
              </w:rPr>
              <w:t>85.5</w:t>
            </w:r>
          </w:p>
        </w:tc>
      </w:tr>
      <w:tr w:rsidR="002B350D" w:rsidRPr="00A34F10" w14:paraId="4BB5CE92" w14:textId="77777777" w:rsidTr="00585A77">
        <w:trPr>
          <w:cantSplit/>
        </w:trPr>
        <w:tc>
          <w:tcPr>
            <w:tcW w:w="832" w:type="pct"/>
            <w:tcBorders>
              <w:top w:val="single" w:sz="4" w:space="0" w:color="auto"/>
              <w:bottom w:val="single" w:sz="4" w:space="0" w:color="auto"/>
            </w:tcBorders>
            <w:shd w:val="clear" w:color="auto" w:fill="auto"/>
          </w:tcPr>
          <w:p w14:paraId="1AB4C484" w14:textId="77777777" w:rsidR="002B350D" w:rsidRPr="00512D4C" w:rsidRDefault="002B350D" w:rsidP="002B350D">
            <w:pPr>
              <w:jc w:val="center"/>
              <w:rPr>
                <w:sz w:val="20"/>
                <w:szCs w:val="20"/>
                <w:highlight w:val="green"/>
              </w:rPr>
            </w:pPr>
            <w:r w:rsidRPr="00512D4C">
              <w:rPr>
                <w:sz w:val="20"/>
                <w:szCs w:val="20"/>
                <w:highlight w:val="green"/>
              </w:rPr>
              <w:t xml:space="preserve">Crop directed – </w:t>
            </w:r>
          </w:p>
          <w:p w14:paraId="60C044CF" w14:textId="4328918E" w:rsidR="002B350D" w:rsidRPr="00512D4C" w:rsidRDefault="002B350D" w:rsidP="002B350D">
            <w:pPr>
              <w:jc w:val="center"/>
              <w:rPr>
                <w:sz w:val="20"/>
                <w:szCs w:val="20"/>
                <w:highlight w:val="green"/>
              </w:rPr>
            </w:pPr>
            <w:r w:rsidRPr="00512D4C">
              <w:rPr>
                <w:sz w:val="20"/>
                <w:szCs w:val="20"/>
                <w:highlight w:val="green"/>
              </w:rPr>
              <w:t>BBCH ≥ 40</w:t>
            </w:r>
          </w:p>
        </w:tc>
        <w:tc>
          <w:tcPr>
            <w:tcW w:w="1591" w:type="pct"/>
            <w:tcBorders>
              <w:top w:val="single" w:sz="4" w:space="0" w:color="auto"/>
              <w:bottom w:val="single" w:sz="4" w:space="0" w:color="auto"/>
            </w:tcBorders>
            <w:shd w:val="clear" w:color="auto" w:fill="auto"/>
            <w:vAlign w:val="center"/>
          </w:tcPr>
          <w:p w14:paraId="4B1C980F" w14:textId="25C4AEC1" w:rsidR="002B350D" w:rsidRPr="00512D4C" w:rsidRDefault="002B350D" w:rsidP="002B350D">
            <w:pPr>
              <w:jc w:val="center"/>
              <w:rPr>
                <w:sz w:val="20"/>
                <w:szCs w:val="20"/>
                <w:highlight w:val="green"/>
                <w:lang w:val="en-GB"/>
              </w:rPr>
            </w:pPr>
            <w:r w:rsidRPr="00512D4C">
              <w:rPr>
                <w:sz w:val="20"/>
                <w:szCs w:val="20"/>
                <w:highlight w:val="green"/>
                <w:lang w:val="en-GB"/>
              </w:rPr>
              <w:t>small insectivorous/worm feeding “thrush”</w:t>
            </w:r>
          </w:p>
        </w:tc>
        <w:tc>
          <w:tcPr>
            <w:tcW w:w="606" w:type="pct"/>
            <w:vMerge/>
            <w:shd w:val="clear" w:color="auto" w:fill="auto"/>
            <w:vAlign w:val="center"/>
          </w:tcPr>
          <w:p w14:paraId="23024FA4"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2AB61867" w14:textId="53B4F5DE" w:rsidR="002B350D" w:rsidRPr="00512D4C" w:rsidRDefault="002B350D" w:rsidP="002B350D">
            <w:pPr>
              <w:jc w:val="center"/>
              <w:rPr>
                <w:sz w:val="20"/>
                <w:szCs w:val="20"/>
                <w:highlight w:val="green"/>
              </w:rPr>
            </w:pPr>
            <w:r w:rsidRPr="00512D4C">
              <w:rPr>
                <w:sz w:val="20"/>
                <w:szCs w:val="20"/>
                <w:highlight w:val="green"/>
              </w:rPr>
              <w:t>0.8</w:t>
            </w:r>
          </w:p>
        </w:tc>
        <w:tc>
          <w:tcPr>
            <w:tcW w:w="430" w:type="pct"/>
            <w:vMerge/>
            <w:shd w:val="clear" w:color="auto" w:fill="auto"/>
            <w:vAlign w:val="center"/>
          </w:tcPr>
          <w:p w14:paraId="26D2E862"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429BD97" w14:textId="01E489C9" w:rsidR="002B350D" w:rsidRPr="00512D4C" w:rsidRDefault="002B350D" w:rsidP="002B350D">
            <w:pPr>
              <w:jc w:val="center"/>
              <w:rPr>
                <w:sz w:val="20"/>
                <w:szCs w:val="20"/>
                <w:highlight w:val="green"/>
              </w:rPr>
            </w:pPr>
            <w:r w:rsidRPr="00512D4C">
              <w:rPr>
                <w:sz w:val="20"/>
                <w:szCs w:val="20"/>
                <w:highlight w:val="green"/>
              </w:rPr>
              <w:t>0.61</w:t>
            </w:r>
          </w:p>
        </w:tc>
        <w:tc>
          <w:tcPr>
            <w:tcW w:w="508" w:type="pct"/>
            <w:tcBorders>
              <w:top w:val="single" w:sz="4" w:space="0" w:color="auto"/>
              <w:left w:val="nil"/>
              <w:bottom w:val="single" w:sz="4" w:space="0" w:color="auto"/>
              <w:right w:val="single" w:sz="4" w:space="0" w:color="auto"/>
            </w:tcBorders>
            <w:shd w:val="clear" w:color="auto" w:fill="auto"/>
            <w:vAlign w:val="center"/>
          </w:tcPr>
          <w:p w14:paraId="505AEFFE" w14:textId="4E665F79" w:rsidR="002B350D" w:rsidRPr="00512D4C" w:rsidRDefault="00512D4C" w:rsidP="002B350D">
            <w:pPr>
              <w:jc w:val="center"/>
              <w:rPr>
                <w:sz w:val="20"/>
                <w:szCs w:val="20"/>
                <w:highlight w:val="green"/>
              </w:rPr>
            </w:pPr>
            <w:r w:rsidRPr="00512D4C">
              <w:rPr>
                <w:sz w:val="20"/>
                <w:szCs w:val="20"/>
                <w:highlight w:val="green"/>
              </w:rPr>
              <w:t>171.0</w:t>
            </w:r>
          </w:p>
        </w:tc>
      </w:tr>
      <w:tr w:rsidR="002B350D" w:rsidRPr="00A34F10" w14:paraId="59E1F623" w14:textId="77777777" w:rsidTr="00585A77">
        <w:trPr>
          <w:cantSplit/>
        </w:trPr>
        <w:tc>
          <w:tcPr>
            <w:tcW w:w="832" w:type="pct"/>
            <w:tcBorders>
              <w:top w:val="single" w:sz="4" w:space="0" w:color="auto"/>
              <w:bottom w:val="single" w:sz="4" w:space="0" w:color="auto"/>
            </w:tcBorders>
            <w:shd w:val="clear" w:color="auto" w:fill="auto"/>
          </w:tcPr>
          <w:p w14:paraId="586223B1" w14:textId="77777777" w:rsidR="002B350D" w:rsidRPr="00512D4C" w:rsidRDefault="002B350D" w:rsidP="002B350D">
            <w:pPr>
              <w:jc w:val="center"/>
              <w:rPr>
                <w:sz w:val="20"/>
                <w:szCs w:val="20"/>
                <w:highlight w:val="green"/>
              </w:rPr>
            </w:pPr>
            <w:r w:rsidRPr="00512D4C">
              <w:rPr>
                <w:sz w:val="20"/>
                <w:szCs w:val="20"/>
                <w:highlight w:val="green"/>
              </w:rPr>
              <w:t xml:space="preserve">Crop directed – </w:t>
            </w:r>
          </w:p>
          <w:p w14:paraId="18C29514" w14:textId="480023F4" w:rsidR="002B350D" w:rsidRPr="00512D4C" w:rsidRDefault="002B350D" w:rsidP="002B350D">
            <w:pPr>
              <w:jc w:val="center"/>
              <w:rPr>
                <w:sz w:val="20"/>
                <w:szCs w:val="20"/>
                <w:highlight w:val="green"/>
              </w:rPr>
            </w:pPr>
            <w:r w:rsidRPr="00512D4C">
              <w:rPr>
                <w:sz w:val="20"/>
                <w:szCs w:val="20"/>
                <w:highlight w:val="green"/>
              </w:rPr>
              <w:t>BBCH 10-19</w:t>
            </w:r>
          </w:p>
        </w:tc>
        <w:tc>
          <w:tcPr>
            <w:tcW w:w="1591" w:type="pct"/>
            <w:tcBorders>
              <w:top w:val="single" w:sz="4" w:space="0" w:color="auto"/>
              <w:bottom w:val="single" w:sz="4" w:space="0" w:color="auto"/>
            </w:tcBorders>
            <w:shd w:val="clear" w:color="auto" w:fill="auto"/>
            <w:vAlign w:val="center"/>
          </w:tcPr>
          <w:p w14:paraId="7BDDD22A" w14:textId="557F6ADD" w:rsidR="002B350D" w:rsidRPr="00512D4C" w:rsidRDefault="002B350D" w:rsidP="002B350D">
            <w:pPr>
              <w:jc w:val="center"/>
              <w:rPr>
                <w:sz w:val="20"/>
                <w:szCs w:val="20"/>
                <w:highlight w:val="green"/>
                <w:lang w:val="en-GB"/>
              </w:rPr>
            </w:pPr>
            <w:r w:rsidRPr="00512D4C">
              <w:rPr>
                <w:sz w:val="20"/>
                <w:szCs w:val="20"/>
                <w:highlight w:val="green"/>
                <w:lang w:val="en-GB"/>
              </w:rPr>
              <w:t>Small granivorous bird “finch”</w:t>
            </w:r>
          </w:p>
        </w:tc>
        <w:tc>
          <w:tcPr>
            <w:tcW w:w="606" w:type="pct"/>
            <w:vMerge/>
            <w:shd w:val="clear" w:color="auto" w:fill="auto"/>
            <w:vAlign w:val="center"/>
          </w:tcPr>
          <w:p w14:paraId="07D4946A"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014E636E" w14:textId="283B811E" w:rsidR="002B350D" w:rsidRPr="00512D4C" w:rsidRDefault="002B350D" w:rsidP="002B350D">
            <w:pPr>
              <w:jc w:val="center"/>
              <w:rPr>
                <w:sz w:val="20"/>
                <w:szCs w:val="20"/>
                <w:highlight w:val="green"/>
              </w:rPr>
            </w:pPr>
            <w:r w:rsidRPr="00512D4C">
              <w:rPr>
                <w:sz w:val="20"/>
                <w:szCs w:val="20"/>
                <w:highlight w:val="green"/>
              </w:rPr>
              <w:t>10.1</w:t>
            </w:r>
          </w:p>
        </w:tc>
        <w:tc>
          <w:tcPr>
            <w:tcW w:w="430" w:type="pct"/>
            <w:vMerge/>
            <w:shd w:val="clear" w:color="auto" w:fill="auto"/>
            <w:vAlign w:val="center"/>
          </w:tcPr>
          <w:p w14:paraId="374919ED"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A745DF6" w14:textId="719897B8" w:rsidR="002B350D" w:rsidRPr="00512D4C" w:rsidRDefault="00512D4C" w:rsidP="002B350D">
            <w:pPr>
              <w:jc w:val="center"/>
              <w:rPr>
                <w:sz w:val="20"/>
                <w:szCs w:val="20"/>
                <w:highlight w:val="green"/>
              </w:rPr>
            </w:pPr>
            <w:r w:rsidRPr="00512D4C">
              <w:rPr>
                <w:sz w:val="20"/>
                <w:szCs w:val="20"/>
                <w:highlight w:val="green"/>
              </w:rPr>
              <w:t>7.75</w:t>
            </w:r>
          </w:p>
        </w:tc>
        <w:tc>
          <w:tcPr>
            <w:tcW w:w="508" w:type="pct"/>
            <w:tcBorders>
              <w:top w:val="single" w:sz="4" w:space="0" w:color="auto"/>
              <w:left w:val="nil"/>
              <w:bottom w:val="single" w:sz="4" w:space="0" w:color="auto"/>
              <w:right w:val="single" w:sz="4" w:space="0" w:color="auto"/>
            </w:tcBorders>
            <w:shd w:val="clear" w:color="auto" w:fill="auto"/>
            <w:vAlign w:val="center"/>
          </w:tcPr>
          <w:p w14:paraId="2D456289" w14:textId="4E8DDE81" w:rsidR="002B350D" w:rsidRPr="00512D4C" w:rsidRDefault="00512D4C" w:rsidP="002B350D">
            <w:pPr>
              <w:jc w:val="center"/>
              <w:rPr>
                <w:sz w:val="20"/>
                <w:szCs w:val="20"/>
                <w:highlight w:val="green"/>
              </w:rPr>
            </w:pPr>
            <w:r w:rsidRPr="00512D4C">
              <w:rPr>
                <w:sz w:val="20"/>
                <w:szCs w:val="20"/>
                <w:highlight w:val="green"/>
              </w:rPr>
              <w:t>13.5</w:t>
            </w:r>
          </w:p>
        </w:tc>
      </w:tr>
      <w:tr w:rsidR="002B350D" w:rsidRPr="00A34F10" w14:paraId="7385E05E" w14:textId="77777777" w:rsidTr="00585A77">
        <w:trPr>
          <w:cantSplit/>
        </w:trPr>
        <w:tc>
          <w:tcPr>
            <w:tcW w:w="832" w:type="pct"/>
            <w:tcBorders>
              <w:top w:val="single" w:sz="4" w:space="0" w:color="auto"/>
              <w:bottom w:val="single" w:sz="4" w:space="0" w:color="auto"/>
            </w:tcBorders>
            <w:shd w:val="clear" w:color="auto" w:fill="auto"/>
          </w:tcPr>
          <w:p w14:paraId="48701BA3" w14:textId="77777777" w:rsidR="002B350D" w:rsidRPr="00512D4C" w:rsidRDefault="002B350D" w:rsidP="002B350D">
            <w:pPr>
              <w:jc w:val="center"/>
              <w:rPr>
                <w:sz w:val="20"/>
                <w:szCs w:val="20"/>
                <w:highlight w:val="green"/>
              </w:rPr>
            </w:pPr>
            <w:r w:rsidRPr="00512D4C">
              <w:rPr>
                <w:sz w:val="20"/>
                <w:szCs w:val="20"/>
                <w:highlight w:val="green"/>
              </w:rPr>
              <w:t xml:space="preserve">Crop directed – </w:t>
            </w:r>
          </w:p>
          <w:p w14:paraId="5BDFDD23" w14:textId="0FE10772" w:rsidR="002B350D" w:rsidRPr="00512D4C" w:rsidRDefault="002B350D" w:rsidP="002B350D">
            <w:pPr>
              <w:jc w:val="center"/>
              <w:rPr>
                <w:sz w:val="20"/>
                <w:szCs w:val="20"/>
                <w:highlight w:val="green"/>
              </w:rPr>
            </w:pPr>
            <w:r w:rsidRPr="00512D4C">
              <w:rPr>
                <w:sz w:val="20"/>
                <w:szCs w:val="20"/>
                <w:highlight w:val="green"/>
              </w:rPr>
              <w:t>BBCH 20-39</w:t>
            </w:r>
          </w:p>
        </w:tc>
        <w:tc>
          <w:tcPr>
            <w:tcW w:w="1591" w:type="pct"/>
            <w:tcBorders>
              <w:top w:val="single" w:sz="4" w:space="0" w:color="auto"/>
              <w:bottom w:val="single" w:sz="4" w:space="0" w:color="auto"/>
            </w:tcBorders>
            <w:shd w:val="clear" w:color="auto" w:fill="auto"/>
            <w:vAlign w:val="center"/>
          </w:tcPr>
          <w:p w14:paraId="36337197" w14:textId="06B63DB3" w:rsidR="002B350D" w:rsidRPr="00512D4C" w:rsidRDefault="002B350D" w:rsidP="002B350D">
            <w:pPr>
              <w:jc w:val="center"/>
              <w:rPr>
                <w:sz w:val="20"/>
                <w:szCs w:val="20"/>
                <w:highlight w:val="green"/>
                <w:lang w:val="en-GB"/>
              </w:rPr>
            </w:pPr>
            <w:r w:rsidRPr="00512D4C">
              <w:rPr>
                <w:sz w:val="20"/>
                <w:szCs w:val="20"/>
                <w:highlight w:val="green"/>
                <w:lang w:val="en-GB"/>
              </w:rPr>
              <w:t>Small granivorous bird “finch”</w:t>
            </w:r>
          </w:p>
        </w:tc>
        <w:tc>
          <w:tcPr>
            <w:tcW w:w="606" w:type="pct"/>
            <w:vMerge/>
            <w:shd w:val="clear" w:color="auto" w:fill="auto"/>
            <w:vAlign w:val="center"/>
          </w:tcPr>
          <w:p w14:paraId="6E997A94"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11007FF9" w14:textId="77C9FBA7" w:rsidR="002B350D" w:rsidRPr="00512D4C" w:rsidRDefault="002B350D" w:rsidP="002B350D">
            <w:pPr>
              <w:jc w:val="center"/>
              <w:rPr>
                <w:sz w:val="20"/>
                <w:szCs w:val="20"/>
                <w:highlight w:val="green"/>
              </w:rPr>
            </w:pPr>
            <w:r w:rsidRPr="00512D4C">
              <w:rPr>
                <w:sz w:val="20"/>
                <w:szCs w:val="20"/>
                <w:highlight w:val="green"/>
              </w:rPr>
              <w:t>7.6</w:t>
            </w:r>
          </w:p>
        </w:tc>
        <w:tc>
          <w:tcPr>
            <w:tcW w:w="430" w:type="pct"/>
            <w:vMerge/>
            <w:shd w:val="clear" w:color="auto" w:fill="auto"/>
            <w:vAlign w:val="center"/>
          </w:tcPr>
          <w:p w14:paraId="5B3A1ED7"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FBDFE76" w14:textId="7C1FB896" w:rsidR="002B350D" w:rsidRPr="00512D4C" w:rsidRDefault="00512D4C" w:rsidP="002B350D">
            <w:pPr>
              <w:jc w:val="center"/>
              <w:rPr>
                <w:sz w:val="20"/>
                <w:szCs w:val="20"/>
                <w:highlight w:val="green"/>
              </w:rPr>
            </w:pPr>
            <w:r w:rsidRPr="00512D4C">
              <w:rPr>
                <w:sz w:val="20"/>
                <w:szCs w:val="20"/>
                <w:highlight w:val="green"/>
              </w:rPr>
              <w:t>5.83</w:t>
            </w:r>
          </w:p>
        </w:tc>
        <w:tc>
          <w:tcPr>
            <w:tcW w:w="508" w:type="pct"/>
            <w:tcBorders>
              <w:top w:val="single" w:sz="4" w:space="0" w:color="auto"/>
              <w:left w:val="nil"/>
              <w:bottom w:val="single" w:sz="4" w:space="0" w:color="auto"/>
              <w:right w:val="single" w:sz="4" w:space="0" w:color="auto"/>
            </w:tcBorders>
            <w:shd w:val="clear" w:color="auto" w:fill="auto"/>
            <w:vAlign w:val="center"/>
          </w:tcPr>
          <w:p w14:paraId="16D7E556" w14:textId="516A40C2" w:rsidR="002B350D" w:rsidRPr="00512D4C" w:rsidRDefault="00512D4C" w:rsidP="002B350D">
            <w:pPr>
              <w:jc w:val="center"/>
              <w:rPr>
                <w:sz w:val="20"/>
                <w:szCs w:val="20"/>
                <w:highlight w:val="green"/>
              </w:rPr>
            </w:pPr>
            <w:r w:rsidRPr="00512D4C">
              <w:rPr>
                <w:sz w:val="20"/>
                <w:szCs w:val="20"/>
                <w:highlight w:val="green"/>
              </w:rPr>
              <w:t>18.0</w:t>
            </w:r>
          </w:p>
        </w:tc>
      </w:tr>
      <w:tr w:rsidR="002B350D" w:rsidRPr="00A34F10" w14:paraId="3F870CB1" w14:textId="77777777" w:rsidTr="00585A77">
        <w:trPr>
          <w:cantSplit/>
        </w:trPr>
        <w:tc>
          <w:tcPr>
            <w:tcW w:w="832" w:type="pct"/>
            <w:tcBorders>
              <w:top w:val="single" w:sz="4" w:space="0" w:color="auto"/>
              <w:bottom w:val="single" w:sz="4" w:space="0" w:color="auto"/>
            </w:tcBorders>
            <w:shd w:val="clear" w:color="auto" w:fill="auto"/>
          </w:tcPr>
          <w:p w14:paraId="46E761FA" w14:textId="77777777" w:rsidR="002B350D" w:rsidRPr="00512D4C" w:rsidRDefault="002B350D" w:rsidP="002B350D">
            <w:pPr>
              <w:jc w:val="center"/>
              <w:rPr>
                <w:sz w:val="20"/>
                <w:szCs w:val="20"/>
                <w:highlight w:val="green"/>
              </w:rPr>
            </w:pPr>
            <w:r w:rsidRPr="00512D4C">
              <w:rPr>
                <w:sz w:val="20"/>
                <w:szCs w:val="20"/>
                <w:highlight w:val="green"/>
              </w:rPr>
              <w:t xml:space="preserve">Crop directed – </w:t>
            </w:r>
          </w:p>
          <w:p w14:paraId="71FD64F7" w14:textId="35A68B30" w:rsidR="002B350D" w:rsidRPr="00512D4C" w:rsidRDefault="002B350D" w:rsidP="002B350D">
            <w:pPr>
              <w:jc w:val="center"/>
              <w:rPr>
                <w:sz w:val="20"/>
                <w:szCs w:val="20"/>
                <w:highlight w:val="green"/>
              </w:rPr>
            </w:pPr>
            <w:r w:rsidRPr="00512D4C">
              <w:rPr>
                <w:sz w:val="20"/>
                <w:szCs w:val="20"/>
                <w:highlight w:val="green"/>
              </w:rPr>
              <w:t>BBCH ≥ 40</w:t>
            </w:r>
          </w:p>
        </w:tc>
        <w:tc>
          <w:tcPr>
            <w:tcW w:w="1591" w:type="pct"/>
            <w:tcBorders>
              <w:top w:val="single" w:sz="4" w:space="0" w:color="auto"/>
              <w:bottom w:val="single" w:sz="4" w:space="0" w:color="auto"/>
            </w:tcBorders>
            <w:shd w:val="clear" w:color="auto" w:fill="auto"/>
            <w:vAlign w:val="center"/>
          </w:tcPr>
          <w:p w14:paraId="21174A73" w14:textId="1869BFFD" w:rsidR="002B350D" w:rsidRPr="00512D4C" w:rsidRDefault="002B350D" w:rsidP="002B350D">
            <w:pPr>
              <w:jc w:val="center"/>
              <w:rPr>
                <w:sz w:val="20"/>
                <w:szCs w:val="20"/>
                <w:highlight w:val="green"/>
                <w:lang w:val="en-GB"/>
              </w:rPr>
            </w:pPr>
            <w:r w:rsidRPr="00512D4C">
              <w:rPr>
                <w:sz w:val="20"/>
                <w:szCs w:val="20"/>
                <w:highlight w:val="green"/>
                <w:lang w:val="en-GB"/>
              </w:rPr>
              <w:t>Small granivorous bird “finch”</w:t>
            </w:r>
          </w:p>
        </w:tc>
        <w:tc>
          <w:tcPr>
            <w:tcW w:w="606" w:type="pct"/>
            <w:vMerge/>
            <w:shd w:val="clear" w:color="auto" w:fill="auto"/>
            <w:vAlign w:val="center"/>
          </w:tcPr>
          <w:p w14:paraId="158FD4DA" w14:textId="77777777" w:rsidR="002B350D" w:rsidRPr="00512D4C" w:rsidRDefault="002B350D" w:rsidP="002B350D">
            <w:pPr>
              <w:jc w:val="center"/>
              <w:rPr>
                <w:sz w:val="20"/>
                <w:szCs w:val="20"/>
                <w:highlight w:val="green"/>
                <w:lang w:val="en-GB"/>
              </w:rPr>
            </w:pPr>
          </w:p>
        </w:tc>
        <w:tc>
          <w:tcPr>
            <w:tcW w:w="361" w:type="pct"/>
            <w:tcBorders>
              <w:top w:val="single" w:sz="4" w:space="0" w:color="auto"/>
              <w:bottom w:val="single" w:sz="4" w:space="0" w:color="auto"/>
            </w:tcBorders>
            <w:shd w:val="clear" w:color="auto" w:fill="auto"/>
            <w:vAlign w:val="center"/>
          </w:tcPr>
          <w:p w14:paraId="49E57614" w14:textId="64BB8CBC" w:rsidR="002B350D" w:rsidRPr="00512D4C" w:rsidRDefault="002B350D" w:rsidP="002B350D">
            <w:pPr>
              <w:jc w:val="center"/>
              <w:rPr>
                <w:sz w:val="20"/>
                <w:szCs w:val="20"/>
                <w:highlight w:val="green"/>
              </w:rPr>
            </w:pPr>
            <w:r w:rsidRPr="00512D4C">
              <w:rPr>
                <w:sz w:val="20"/>
                <w:szCs w:val="20"/>
                <w:highlight w:val="green"/>
              </w:rPr>
              <w:t>3.8</w:t>
            </w:r>
          </w:p>
        </w:tc>
        <w:tc>
          <w:tcPr>
            <w:tcW w:w="430" w:type="pct"/>
            <w:vMerge/>
            <w:shd w:val="clear" w:color="auto" w:fill="auto"/>
            <w:vAlign w:val="center"/>
          </w:tcPr>
          <w:p w14:paraId="02EFB0AA" w14:textId="77777777" w:rsidR="002B350D" w:rsidRPr="00512D4C" w:rsidRDefault="002B350D" w:rsidP="002B350D">
            <w:pPr>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059239A" w14:textId="5B8A89DA" w:rsidR="002B350D" w:rsidRPr="00512D4C" w:rsidRDefault="00512D4C" w:rsidP="002B350D">
            <w:pPr>
              <w:jc w:val="center"/>
              <w:rPr>
                <w:sz w:val="20"/>
                <w:szCs w:val="20"/>
                <w:highlight w:val="green"/>
              </w:rPr>
            </w:pPr>
            <w:r w:rsidRPr="00512D4C">
              <w:rPr>
                <w:sz w:val="20"/>
                <w:szCs w:val="20"/>
                <w:highlight w:val="green"/>
              </w:rPr>
              <w:t>2.92</w:t>
            </w:r>
          </w:p>
        </w:tc>
        <w:tc>
          <w:tcPr>
            <w:tcW w:w="508" w:type="pct"/>
            <w:tcBorders>
              <w:top w:val="single" w:sz="4" w:space="0" w:color="auto"/>
              <w:left w:val="nil"/>
              <w:bottom w:val="single" w:sz="4" w:space="0" w:color="auto"/>
              <w:right w:val="single" w:sz="4" w:space="0" w:color="auto"/>
            </w:tcBorders>
            <w:shd w:val="clear" w:color="auto" w:fill="auto"/>
            <w:vAlign w:val="center"/>
          </w:tcPr>
          <w:p w14:paraId="36B7AD7B" w14:textId="1B29448A" w:rsidR="002B350D" w:rsidRPr="00512D4C" w:rsidRDefault="00512D4C" w:rsidP="002B350D">
            <w:pPr>
              <w:jc w:val="center"/>
              <w:rPr>
                <w:sz w:val="20"/>
                <w:szCs w:val="20"/>
                <w:highlight w:val="green"/>
              </w:rPr>
            </w:pPr>
            <w:r w:rsidRPr="00512D4C">
              <w:rPr>
                <w:sz w:val="20"/>
                <w:szCs w:val="20"/>
                <w:highlight w:val="green"/>
              </w:rPr>
              <w:t>36.0</w:t>
            </w:r>
          </w:p>
        </w:tc>
      </w:tr>
      <w:tr w:rsidR="00512D4C" w:rsidRPr="00A34F10" w14:paraId="13CB70B6" w14:textId="77777777" w:rsidTr="00512D4C">
        <w:trPr>
          <w:cantSplit/>
        </w:trPr>
        <w:tc>
          <w:tcPr>
            <w:tcW w:w="5000" w:type="pct"/>
            <w:gridSpan w:val="7"/>
            <w:tcBorders>
              <w:top w:val="single" w:sz="4" w:space="0" w:color="auto"/>
              <w:bottom w:val="single" w:sz="4" w:space="0" w:color="auto"/>
              <w:right w:val="single" w:sz="4" w:space="0" w:color="auto"/>
            </w:tcBorders>
            <w:shd w:val="clear" w:color="auto" w:fill="auto"/>
          </w:tcPr>
          <w:p w14:paraId="23C9E7B9" w14:textId="3305199B" w:rsidR="00512D4C" w:rsidRPr="00512D4C" w:rsidRDefault="00512D4C" w:rsidP="002B350D">
            <w:pPr>
              <w:jc w:val="center"/>
              <w:rPr>
                <w:sz w:val="20"/>
                <w:szCs w:val="20"/>
                <w:highlight w:val="green"/>
              </w:rPr>
            </w:pPr>
            <w:r>
              <w:rPr>
                <w:b/>
                <w:bCs/>
                <w:sz w:val="20"/>
                <w:szCs w:val="20"/>
                <w:highlight w:val="green"/>
              </w:rPr>
              <w:t>Bush and cane fruit</w:t>
            </w:r>
            <w:r w:rsidRPr="00512D4C">
              <w:rPr>
                <w:b/>
                <w:bCs/>
                <w:sz w:val="20"/>
                <w:szCs w:val="20"/>
                <w:highlight w:val="green"/>
              </w:rPr>
              <w:t xml:space="preserve"> </w:t>
            </w:r>
            <w:r w:rsidRPr="00B875EA">
              <w:rPr>
                <w:b/>
                <w:sz w:val="20"/>
                <w:szCs w:val="20"/>
                <w:highlight w:val="green"/>
                <w:lang w:val="en-GB"/>
              </w:rPr>
              <w:t>(2 x 0.902 kg a.s./ha, BBCH 12 - 59)</w:t>
            </w:r>
          </w:p>
        </w:tc>
      </w:tr>
      <w:tr w:rsidR="0043197F" w:rsidRPr="00A34F10" w14:paraId="0F9DF193" w14:textId="77777777" w:rsidTr="00585A77">
        <w:trPr>
          <w:cantSplit/>
          <w:trHeight w:val="426"/>
        </w:trPr>
        <w:tc>
          <w:tcPr>
            <w:tcW w:w="832" w:type="pct"/>
            <w:tcBorders>
              <w:top w:val="single" w:sz="4" w:space="0" w:color="auto"/>
            </w:tcBorders>
            <w:shd w:val="clear" w:color="auto" w:fill="auto"/>
          </w:tcPr>
          <w:p w14:paraId="2DC30954" w14:textId="5C2C9C53" w:rsidR="0043197F" w:rsidRDefault="0043197F" w:rsidP="002B350D">
            <w:pPr>
              <w:jc w:val="center"/>
              <w:rPr>
                <w:sz w:val="20"/>
                <w:szCs w:val="20"/>
                <w:highlight w:val="green"/>
              </w:rPr>
            </w:pPr>
            <w:r>
              <w:rPr>
                <w:sz w:val="20"/>
                <w:szCs w:val="20"/>
                <w:highlight w:val="green"/>
              </w:rPr>
              <w:t xml:space="preserve">Whole season (currants) – </w:t>
            </w:r>
          </w:p>
          <w:p w14:paraId="67B32530" w14:textId="2372BFFC" w:rsidR="0043197F" w:rsidRPr="00512D4C" w:rsidRDefault="0043197F" w:rsidP="002B350D">
            <w:pPr>
              <w:jc w:val="center"/>
              <w:rPr>
                <w:sz w:val="20"/>
                <w:szCs w:val="20"/>
                <w:highlight w:val="green"/>
              </w:rPr>
            </w:pPr>
            <w:r>
              <w:rPr>
                <w:sz w:val="20"/>
                <w:szCs w:val="20"/>
                <w:highlight w:val="green"/>
              </w:rPr>
              <w:t>BBCH 00-79</w:t>
            </w:r>
          </w:p>
        </w:tc>
        <w:tc>
          <w:tcPr>
            <w:tcW w:w="1591" w:type="pct"/>
            <w:tcBorders>
              <w:top w:val="single" w:sz="4" w:space="0" w:color="auto"/>
            </w:tcBorders>
            <w:shd w:val="clear" w:color="auto" w:fill="auto"/>
            <w:vAlign w:val="center"/>
          </w:tcPr>
          <w:p w14:paraId="5EA68711" w14:textId="1AB62778" w:rsidR="0043197F" w:rsidRPr="00512D4C" w:rsidRDefault="0043197F" w:rsidP="002B350D">
            <w:pPr>
              <w:jc w:val="center"/>
              <w:rPr>
                <w:sz w:val="20"/>
                <w:szCs w:val="20"/>
                <w:highlight w:val="green"/>
                <w:lang w:val="en-GB"/>
              </w:rPr>
            </w:pPr>
            <w:r w:rsidRPr="00512D4C">
              <w:rPr>
                <w:sz w:val="20"/>
                <w:szCs w:val="20"/>
                <w:highlight w:val="green"/>
                <w:lang w:val="en-GB"/>
              </w:rPr>
              <w:t>Small insectivorous bird</w:t>
            </w:r>
            <w:r>
              <w:rPr>
                <w:sz w:val="20"/>
                <w:szCs w:val="20"/>
                <w:highlight w:val="green"/>
                <w:lang w:val="en-GB"/>
              </w:rPr>
              <w:t xml:space="preserve"> </w:t>
            </w:r>
            <w:r w:rsidRPr="00512D4C">
              <w:rPr>
                <w:sz w:val="20"/>
                <w:szCs w:val="20"/>
                <w:highlight w:val="green"/>
                <w:lang w:val="en-GB"/>
              </w:rPr>
              <w:t>“</w:t>
            </w:r>
            <w:r>
              <w:rPr>
                <w:sz w:val="20"/>
                <w:szCs w:val="20"/>
                <w:highlight w:val="green"/>
                <w:lang w:val="en-GB"/>
              </w:rPr>
              <w:t>warbler</w:t>
            </w:r>
            <w:r w:rsidRPr="00512D4C">
              <w:rPr>
                <w:sz w:val="20"/>
                <w:szCs w:val="20"/>
                <w:highlight w:val="green"/>
                <w:lang w:val="en-GB"/>
              </w:rPr>
              <w:t xml:space="preserve">” </w:t>
            </w:r>
          </w:p>
        </w:tc>
        <w:tc>
          <w:tcPr>
            <w:tcW w:w="606" w:type="pct"/>
            <w:shd w:val="clear" w:color="auto" w:fill="auto"/>
            <w:vAlign w:val="center"/>
          </w:tcPr>
          <w:p w14:paraId="35986ED8" w14:textId="677529FE" w:rsidR="0043197F" w:rsidRPr="00512D4C" w:rsidRDefault="0043197F" w:rsidP="002B350D">
            <w:pPr>
              <w:jc w:val="center"/>
              <w:rPr>
                <w:sz w:val="20"/>
                <w:szCs w:val="20"/>
                <w:highlight w:val="green"/>
                <w:lang w:val="en-GB"/>
              </w:rPr>
            </w:pPr>
            <w:bookmarkStart w:id="217" w:name="OLE_LINK2"/>
            <w:r>
              <w:rPr>
                <w:sz w:val="20"/>
                <w:szCs w:val="20"/>
                <w:highlight w:val="green"/>
                <w:lang w:val="en-GB"/>
              </w:rPr>
              <w:t>0.902</w:t>
            </w:r>
            <w:bookmarkEnd w:id="217"/>
          </w:p>
        </w:tc>
        <w:tc>
          <w:tcPr>
            <w:tcW w:w="361" w:type="pct"/>
            <w:tcBorders>
              <w:top w:val="single" w:sz="4" w:space="0" w:color="auto"/>
            </w:tcBorders>
            <w:shd w:val="clear" w:color="auto" w:fill="auto"/>
            <w:vAlign w:val="center"/>
          </w:tcPr>
          <w:p w14:paraId="33E11BE0" w14:textId="109FCA81" w:rsidR="0043197F" w:rsidRPr="00512D4C" w:rsidRDefault="0043197F" w:rsidP="002B350D">
            <w:pPr>
              <w:jc w:val="center"/>
              <w:rPr>
                <w:sz w:val="20"/>
                <w:szCs w:val="20"/>
                <w:highlight w:val="green"/>
              </w:rPr>
            </w:pPr>
            <w:r>
              <w:rPr>
                <w:sz w:val="20"/>
                <w:szCs w:val="20"/>
                <w:highlight w:val="green"/>
              </w:rPr>
              <w:t>20.3</w:t>
            </w:r>
          </w:p>
        </w:tc>
        <w:tc>
          <w:tcPr>
            <w:tcW w:w="430" w:type="pct"/>
            <w:shd w:val="clear" w:color="auto" w:fill="auto"/>
            <w:vAlign w:val="center"/>
          </w:tcPr>
          <w:p w14:paraId="5DF73E2F" w14:textId="3E1D0576" w:rsidR="0043197F" w:rsidRPr="00512D4C" w:rsidRDefault="0043197F" w:rsidP="002B350D">
            <w:pPr>
              <w:jc w:val="center"/>
              <w:rPr>
                <w:sz w:val="20"/>
                <w:szCs w:val="20"/>
                <w:highlight w:val="green"/>
                <w:lang w:val="en-GB"/>
              </w:rPr>
            </w:pPr>
            <w:r w:rsidRPr="00512D4C">
              <w:rPr>
                <w:sz w:val="20"/>
                <w:szCs w:val="20"/>
                <w:highlight w:val="green"/>
                <w:lang w:val="en-GB"/>
              </w:rPr>
              <w:t>1.62 × 0.53</w:t>
            </w:r>
          </w:p>
        </w:tc>
        <w:tc>
          <w:tcPr>
            <w:tcW w:w="671" w:type="pct"/>
            <w:tcBorders>
              <w:top w:val="single" w:sz="4" w:space="0" w:color="auto"/>
              <w:left w:val="single" w:sz="4" w:space="0" w:color="auto"/>
              <w:right w:val="single" w:sz="4" w:space="0" w:color="auto"/>
            </w:tcBorders>
            <w:shd w:val="clear" w:color="auto" w:fill="auto"/>
            <w:vAlign w:val="center"/>
          </w:tcPr>
          <w:p w14:paraId="71197ACC" w14:textId="395488DD" w:rsidR="0043197F" w:rsidRPr="00512D4C" w:rsidRDefault="0043197F" w:rsidP="002B350D">
            <w:pPr>
              <w:jc w:val="center"/>
              <w:rPr>
                <w:sz w:val="20"/>
                <w:szCs w:val="20"/>
                <w:highlight w:val="green"/>
              </w:rPr>
            </w:pPr>
            <w:r>
              <w:rPr>
                <w:sz w:val="20"/>
                <w:szCs w:val="20"/>
                <w:highlight w:val="green"/>
              </w:rPr>
              <w:t>15.58</w:t>
            </w:r>
          </w:p>
        </w:tc>
        <w:tc>
          <w:tcPr>
            <w:tcW w:w="508" w:type="pct"/>
            <w:tcBorders>
              <w:top w:val="single" w:sz="4" w:space="0" w:color="auto"/>
              <w:left w:val="nil"/>
              <w:right w:val="single" w:sz="4" w:space="0" w:color="auto"/>
            </w:tcBorders>
            <w:shd w:val="clear" w:color="auto" w:fill="auto"/>
            <w:vAlign w:val="center"/>
          </w:tcPr>
          <w:p w14:paraId="7988C942" w14:textId="09FC1E6E" w:rsidR="0043197F" w:rsidRPr="00512D4C" w:rsidRDefault="0043197F" w:rsidP="002B350D">
            <w:pPr>
              <w:jc w:val="center"/>
              <w:rPr>
                <w:sz w:val="20"/>
                <w:szCs w:val="20"/>
                <w:highlight w:val="green"/>
              </w:rPr>
            </w:pPr>
            <w:r>
              <w:rPr>
                <w:sz w:val="20"/>
                <w:szCs w:val="20"/>
                <w:highlight w:val="green"/>
              </w:rPr>
              <w:t>6.7</w:t>
            </w:r>
          </w:p>
        </w:tc>
      </w:tr>
    </w:tbl>
    <w:p w14:paraId="199E3149" w14:textId="77777777" w:rsidR="00DC5685" w:rsidRPr="00A34F10" w:rsidRDefault="00DC5685" w:rsidP="00DC5685">
      <w:pPr>
        <w:widowControl w:val="0"/>
        <w:tabs>
          <w:tab w:val="left" w:pos="0"/>
        </w:tabs>
        <w:jc w:val="both"/>
        <w:rPr>
          <w:sz w:val="18"/>
          <w:szCs w:val="18"/>
          <w:lang w:val="en-GB"/>
        </w:rPr>
      </w:pPr>
      <w:r w:rsidRPr="00A34F10">
        <w:rPr>
          <w:sz w:val="18"/>
          <w:szCs w:val="18"/>
          <w:lang w:val="en-GB"/>
        </w:rPr>
        <w:t>SV: shortcut value; MAF: multiple application factor; TWA: time-weighted average factor; DDD: daily dietary dose; TER: toxicity to exposure ratio. TER values shown in bold fall below the relevant trigger.</w:t>
      </w:r>
    </w:p>
    <w:p w14:paraId="64D584C6" w14:textId="77777777" w:rsidR="00DC5685" w:rsidRPr="00A34F10" w:rsidRDefault="00DC5685" w:rsidP="00DC5685">
      <w:pPr>
        <w:widowControl w:val="0"/>
        <w:jc w:val="both"/>
        <w:rPr>
          <w:sz w:val="18"/>
          <w:szCs w:val="18"/>
          <w:lang w:val="en-GB"/>
        </w:rPr>
      </w:pPr>
      <w:r w:rsidRPr="00A34F10">
        <w:rPr>
          <w:sz w:val="18"/>
          <w:szCs w:val="18"/>
          <w:vertAlign w:val="superscript"/>
          <w:lang w:val="en-GB"/>
        </w:rPr>
        <w:t xml:space="preserve">a </w:t>
      </w:r>
      <w:r w:rsidRPr="00A34F10">
        <w:rPr>
          <w:sz w:val="18"/>
          <w:szCs w:val="18"/>
          <w:lang w:val="en-GB"/>
        </w:rPr>
        <w:t xml:space="preserve">Corrected SV value (to correct for known error in </w:t>
      </w:r>
      <w:r w:rsidRPr="00A34F10">
        <w:rPr>
          <w:rFonts w:eastAsia="MyriadPro-Regular"/>
          <w:sz w:val="18"/>
          <w:szCs w:val="18"/>
          <w:lang w:val="en-GB"/>
        </w:rPr>
        <w:t>EFSA/2009/1438 guidance document)</w:t>
      </w:r>
    </w:p>
    <w:p w14:paraId="6E53962A" w14:textId="77777777" w:rsidR="00DC5685" w:rsidRPr="00A34F10" w:rsidRDefault="00DC5685" w:rsidP="00DC5685">
      <w:pPr>
        <w:widowControl w:val="0"/>
        <w:jc w:val="both"/>
        <w:rPr>
          <w:lang w:val="en-GB"/>
        </w:rPr>
      </w:pPr>
    </w:p>
    <w:p w14:paraId="17B4BB3A" w14:textId="55E53D71" w:rsidR="00DC5685" w:rsidRPr="00A34F10" w:rsidRDefault="00DC5685" w:rsidP="00DC5685">
      <w:pPr>
        <w:widowControl w:val="0"/>
        <w:jc w:val="both"/>
        <w:rPr>
          <w:lang w:val="en-GB"/>
        </w:rPr>
      </w:pPr>
      <w:bookmarkStart w:id="218" w:name="_Hlk134993620"/>
      <w:r w:rsidRPr="00A34F10">
        <w:rPr>
          <w:lang w:val="en-GB"/>
        </w:rPr>
        <w:t xml:space="preserve">The first tier risk assessment demonstrates an acceptable long-term risk for birds for the active substance Propamocarb-HCl from the use of BAS 743 03 F, except the risk to </w:t>
      </w:r>
      <w:bookmarkStart w:id="219" w:name="_Hlk73379092"/>
      <w:r w:rsidRPr="00A34F10">
        <w:rPr>
          <w:lang w:val="en-GB"/>
        </w:rPr>
        <w:t xml:space="preserve">frugivorous birds “crow” </w:t>
      </w:r>
      <w:bookmarkEnd w:id="219"/>
      <w:r w:rsidRPr="00A34F10">
        <w:rPr>
          <w:lang w:val="en-GB"/>
        </w:rPr>
        <w:t xml:space="preserve">from use in </w:t>
      </w:r>
      <w:r w:rsidR="008C50A8">
        <w:rPr>
          <w:lang w:val="en-GB"/>
        </w:rPr>
        <w:t>fruiting</w:t>
      </w:r>
      <w:r w:rsidRPr="00A34F10">
        <w:rPr>
          <w:lang w:val="en-GB"/>
        </w:rPr>
        <w:t xml:space="preserve"> vegetables at BBCH 71 - 89. Therefore, further refinement is required.</w:t>
      </w:r>
    </w:p>
    <w:p w14:paraId="0B7F5E30" w14:textId="67CCC644" w:rsidR="00DC5685" w:rsidRPr="00A34F10" w:rsidRDefault="00A91B2E" w:rsidP="00DC5685">
      <w:pPr>
        <w:widowControl w:val="0"/>
        <w:jc w:val="both"/>
        <w:rPr>
          <w:lang w:val="en-GB"/>
        </w:rPr>
      </w:pPr>
      <w:r w:rsidRPr="00A34F10">
        <w:rPr>
          <w:lang w:val="en-GB"/>
        </w:rPr>
        <w:br w:type="page"/>
      </w:r>
    </w:p>
    <w:bookmarkEnd w:id="218"/>
    <w:p w14:paraId="304D212B" w14:textId="1563B924" w:rsidR="00DC5685" w:rsidRPr="00A34F10" w:rsidRDefault="00DC5685" w:rsidP="00040983">
      <w:pPr>
        <w:pStyle w:val="Legenda"/>
        <w:rPr>
          <w:b w:val="0"/>
          <w:bCs w:val="0"/>
        </w:rPr>
      </w:pPr>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11</w:t>
      </w:r>
      <w:r w:rsidR="007E7467">
        <w:fldChar w:fldCharType="end"/>
      </w:r>
      <w:r w:rsidRPr="00A34F10">
        <w:t xml:space="preserve">: </w:t>
      </w:r>
      <w:r w:rsidRPr="00A34F10">
        <w:tab/>
        <w:t xml:space="preserve">BAS 743 03 F: Screening assessment of the acute and long-term/reproductive risk for birds due to the worst-case use of BAS 743 03 F in potato (3 × 2.0 L product/ha)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0"/>
        <w:gridCol w:w="915"/>
        <w:gridCol w:w="1861"/>
        <w:gridCol w:w="1154"/>
        <w:gridCol w:w="1154"/>
        <w:gridCol w:w="1254"/>
        <w:gridCol w:w="1159"/>
      </w:tblGrid>
      <w:tr w:rsidR="00DC5685" w:rsidRPr="00A34F10" w14:paraId="429C4E64" w14:textId="77777777" w:rsidTr="000470C3">
        <w:tc>
          <w:tcPr>
            <w:tcW w:w="1482" w:type="pct"/>
            <w:gridSpan w:val="2"/>
            <w:tcBorders>
              <w:right w:val="single" w:sz="4" w:space="0" w:color="auto"/>
            </w:tcBorders>
            <w:shd w:val="clear" w:color="auto" w:fill="auto"/>
          </w:tcPr>
          <w:p w14:paraId="19FE3E46" w14:textId="77777777" w:rsidR="00DC5685" w:rsidRPr="00A34F10" w:rsidRDefault="00DC5685" w:rsidP="000470C3">
            <w:pPr>
              <w:keepNext/>
              <w:keepLines/>
              <w:widowControl w:val="0"/>
              <w:spacing w:before="60" w:after="60"/>
              <w:rPr>
                <w:b/>
                <w:sz w:val="20"/>
                <w:szCs w:val="20"/>
                <w:lang w:val="en-GB"/>
              </w:rPr>
            </w:pPr>
            <w:r w:rsidRPr="00A34F10">
              <w:rPr>
                <w:b/>
                <w:sz w:val="20"/>
                <w:szCs w:val="20"/>
                <w:lang w:val="en-GB"/>
              </w:rPr>
              <w:t>Intended use</w:t>
            </w:r>
          </w:p>
        </w:tc>
        <w:tc>
          <w:tcPr>
            <w:tcW w:w="3518" w:type="pct"/>
            <w:gridSpan w:val="5"/>
            <w:tcBorders>
              <w:top w:val="single" w:sz="4" w:space="0" w:color="auto"/>
              <w:left w:val="single" w:sz="4" w:space="0" w:color="auto"/>
              <w:bottom w:val="nil"/>
              <w:right w:val="single" w:sz="4" w:space="0" w:color="auto"/>
            </w:tcBorders>
            <w:shd w:val="clear" w:color="auto" w:fill="auto"/>
          </w:tcPr>
          <w:p w14:paraId="49A7BA21" w14:textId="77777777" w:rsidR="00DC5685" w:rsidRPr="00A34F10" w:rsidRDefault="00DC5685" w:rsidP="000470C3">
            <w:pPr>
              <w:keepNext/>
              <w:keepLines/>
              <w:widowControl w:val="0"/>
              <w:spacing w:before="60" w:after="60"/>
              <w:rPr>
                <w:bCs/>
                <w:sz w:val="20"/>
                <w:szCs w:val="20"/>
                <w:lang w:val="en-GB"/>
              </w:rPr>
            </w:pPr>
            <w:r w:rsidRPr="00A34F10">
              <w:rPr>
                <w:bCs/>
                <w:sz w:val="20"/>
                <w:szCs w:val="20"/>
                <w:lang w:val="en-GB"/>
              </w:rPr>
              <w:t xml:space="preserve">Potato </w:t>
            </w:r>
          </w:p>
        </w:tc>
      </w:tr>
      <w:tr w:rsidR="00DC5685" w:rsidRPr="00A34F10" w14:paraId="6ADC26F8" w14:textId="77777777" w:rsidTr="000470C3">
        <w:tc>
          <w:tcPr>
            <w:tcW w:w="1482" w:type="pct"/>
            <w:gridSpan w:val="2"/>
            <w:tcBorders>
              <w:right w:val="single" w:sz="4" w:space="0" w:color="auto"/>
            </w:tcBorders>
            <w:shd w:val="clear" w:color="auto" w:fill="auto"/>
          </w:tcPr>
          <w:p w14:paraId="01783A55" w14:textId="77777777" w:rsidR="00DC5685" w:rsidRPr="00A34F10" w:rsidRDefault="00DC5685" w:rsidP="000470C3">
            <w:pPr>
              <w:keepNext/>
              <w:keepLines/>
              <w:widowControl w:val="0"/>
              <w:rPr>
                <w:b/>
                <w:bCs/>
                <w:sz w:val="20"/>
                <w:szCs w:val="20"/>
                <w:lang w:val="en-GB"/>
              </w:rPr>
            </w:pPr>
            <w:r w:rsidRPr="00A34F10">
              <w:rPr>
                <w:b/>
                <w:bCs/>
                <w:sz w:val="20"/>
                <w:szCs w:val="20"/>
                <w:lang w:val="en-GB"/>
              </w:rPr>
              <w:t>Product</w:t>
            </w:r>
          </w:p>
        </w:tc>
        <w:tc>
          <w:tcPr>
            <w:tcW w:w="3518" w:type="pct"/>
            <w:gridSpan w:val="5"/>
            <w:tcBorders>
              <w:top w:val="nil"/>
              <w:left w:val="single" w:sz="4" w:space="0" w:color="auto"/>
              <w:bottom w:val="nil"/>
              <w:right w:val="single" w:sz="4" w:space="0" w:color="auto"/>
            </w:tcBorders>
            <w:shd w:val="clear" w:color="auto" w:fill="auto"/>
          </w:tcPr>
          <w:p w14:paraId="7C6286D9" w14:textId="77777777" w:rsidR="00DC5685" w:rsidRPr="00A34F10" w:rsidRDefault="00DC5685" w:rsidP="000470C3">
            <w:pPr>
              <w:keepNext/>
              <w:keepLines/>
              <w:widowControl w:val="0"/>
              <w:rPr>
                <w:sz w:val="20"/>
                <w:lang w:val="en-GB"/>
              </w:rPr>
            </w:pPr>
            <w:r w:rsidRPr="00A34F10">
              <w:rPr>
                <w:sz w:val="20"/>
                <w:lang w:val="en-GB"/>
              </w:rPr>
              <w:t>BAS 743 03 F</w:t>
            </w:r>
          </w:p>
        </w:tc>
      </w:tr>
      <w:tr w:rsidR="00DC5685" w:rsidRPr="00A34F10" w14:paraId="3424652A" w14:textId="77777777" w:rsidTr="000470C3">
        <w:tc>
          <w:tcPr>
            <w:tcW w:w="1482" w:type="pct"/>
            <w:gridSpan w:val="2"/>
            <w:tcBorders>
              <w:right w:val="single" w:sz="4" w:space="0" w:color="auto"/>
            </w:tcBorders>
            <w:shd w:val="clear" w:color="auto" w:fill="auto"/>
          </w:tcPr>
          <w:p w14:paraId="1ACFF24E" w14:textId="77777777" w:rsidR="00DC5685" w:rsidRPr="00A34F10" w:rsidRDefault="00DC5685" w:rsidP="000470C3">
            <w:pPr>
              <w:keepNext/>
              <w:keepLines/>
              <w:widowControl w:val="0"/>
              <w:rPr>
                <w:b/>
                <w:bCs/>
                <w:sz w:val="20"/>
                <w:szCs w:val="20"/>
                <w:lang w:val="en-GB"/>
              </w:rPr>
            </w:pPr>
            <w:r w:rsidRPr="00A34F10">
              <w:rPr>
                <w:b/>
                <w:bCs/>
                <w:sz w:val="20"/>
                <w:szCs w:val="20"/>
                <w:lang w:val="en-GB"/>
              </w:rPr>
              <w:t>Application rate (kg/ha)</w:t>
            </w:r>
          </w:p>
        </w:tc>
        <w:tc>
          <w:tcPr>
            <w:tcW w:w="3518" w:type="pct"/>
            <w:gridSpan w:val="5"/>
            <w:tcBorders>
              <w:top w:val="nil"/>
              <w:left w:val="single" w:sz="4" w:space="0" w:color="auto"/>
              <w:bottom w:val="single" w:sz="4" w:space="0" w:color="auto"/>
              <w:right w:val="single" w:sz="4" w:space="0" w:color="auto"/>
            </w:tcBorders>
            <w:shd w:val="clear" w:color="auto" w:fill="auto"/>
          </w:tcPr>
          <w:p w14:paraId="368F57B4" w14:textId="77777777" w:rsidR="00DC5685" w:rsidRPr="00A34F10" w:rsidRDefault="00DC5685" w:rsidP="000470C3">
            <w:pPr>
              <w:keepNext/>
              <w:keepLines/>
              <w:widowControl w:val="0"/>
              <w:rPr>
                <w:sz w:val="20"/>
                <w:lang w:val="en-GB"/>
              </w:rPr>
            </w:pPr>
            <w:r w:rsidRPr="00A34F10">
              <w:rPr>
                <w:sz w:val="20"/>
                <w:lang w:val="en-GB"/>
              </w:rPr>
              <w:t xml:space="preserve">3 × ∑ (0.24 + 0.902) </w:t>
            </w:r>
            <w:r w:rsidRPr="00A34F10">
              <w:rPr>
                <w:sz w:val="20"/>
                <w:vertAlign w:val="superscript"/>
                <w:lang w:val="en-GB"/>
              </w:rPr>
              <w:t>1)</w:t>
            </w:r>
          </w:p>
        </w:tc>
      </w:tr>
      <w:tr w:rsidR="00DC5685" w:rsidRPr="00A34F10" w14:paraId="60909237" w14:textId="77777777" w:rsidTr="000470C3">
        <w:tc>
          <w:tcPr>
            <w:tcW w:w="1482" w:type="pct"/>
            <w:gridSpan w:val="2"/>
            <w:tcBorders>
              <w:right w:val="single" w:sz="4" w:space="0" w:color="auto"/>
            </w:tcBorders>
            <w:shd w:val="clear" w:color="auto" w:fill="auto"/>
          </w:tcPr>
          <w:p w14:paraId="7349CEC0" w14:textId="77777777" w:rsidR="00DC5685" w:rsidRPr="00A34F10" w:rsidRDefault="00DC5685" w:rsidP="000470C3">
            <w:pPr>
              <w:keepNext/>
              <w:keepLines/>
              <w:widowControl w:val="0"/>
              <w:rPr>
                <w:b/>
                <w:bCs/>
                <w:sz w:val="20"/>
                <w:szCs w:val="20"/>
                <w:lang w:val="en-GB"/>
              </w:rPr>
            </w:pPr>
            <w:r w:rsidRPr="00A34F10">
              <w:rPr>
                <w:b/>
                <w:bCs/>
                <w:sz w:val="20"/>
                <w:szCs w:val="20"/>
                <w:lang w:val="en-GB"/>
              </w:rPr>
              <w:t>Acute toxicity (mg/kg bw)</w:t>
            </w:r>
          </w:p>
        </w:tc>
        <w:tc>
          <w:tcPr>
            <w:tcW w:w="3518" w:type="pct"/>
            <w:gridSpan w:val="5"/>
            <w:tcBorders>
              <w:top w:val="single" w:sz="4" w:space="0" w:color="auto"/>
              <w:left w:val="single" w:sz="4" w:space="0" w:color="auto"/>
              <w:bottom w:val="nil"/>
              <w:right w:val="single" w:sz="4" w:space="0" w:color="auto"/>
            </w:tcBorders>
            <w:shd w:val="clear" w:color="auto" w:fill="auto"/>
          </w:tcPr>
          <w:p w14:paraId="718D9B6D" w14:textId="42E7D3E1" w:rsidR="00DC5685" w:rsidRPr="00A34F10" w:rsidRDefault="00253645" w:rsidP="000470C3">
            <w:pPr>
              <w:keepNext/>
              <w:keepLines/>
              <w:widowControl w:val="0"/>
              <w:rPr>
                <w:sz w:val="20"/>
                <w:lang w:val="en-GB"/>
              </w:rPr>
            </w:pPr>
            <w:r w:rsidRPr="00253645">
              <w:rPr>
                <w:sz w:val="20"/>
                <w:lang w:val="en-GB"/>
              </w:rPr>
              <w:t xml:space="preserve">2281.3 </w:t>
            </w:r>
            <w:r w:rsidR="00ED40FE" w:rsidRPr="00ED40FE">
              <w:rPr>
                <w:sz w:val="20"/>
                <w:highlight w:val="green"/>
                <w:lang w:val="en-GB"/>
              </w:rPr>
              <w:t>(measured LD</w:t>
            </w:r>
            <w:r w:rsidR="00ED40FE" w:rsidRPr="00ED40FE">
              <w:rPr>
                <w:sz w:val="20"/>
                <w:highlight w:val="green"/>
                <w:vertAlign w:val="subscript"/>
                <w:lang w:val="en-GB"/>
              </w:rPr>
              <w:t>50</w:t>
            </w:r>
            <w:r w:rsidR="00ED40FE" w:rsidRPr="00ED40FE">
              <w:rPr>
                <w:sz w:val="20"/>
                <w:highlight w:val="green"/>
                <w:lang w:val="en-GB"/>
              </w:rPr>
              <w:t>)</w:t>
            </w:r>
          </w:p>
        </w:tc>
      </w:tr>
      <w:tr w:rsidR="00DC5685" w:rsidRPr="00A34F10" w14:paraId="67105335" w14:textId="77777777" w:rsidTr="000470C3">
        <w:tc>
          <w:tcPr>
            <w:tcW w:w="1482" w:type="pct"/>
            <w:gridSpan w:val="2"/>
            <w:tcBorders>
              <w:right w:val="single" w:sz="4" w:space="0" w:color="auto"/>
            </w:tcBorders>
            <w:shd w:val="clear" w:color="auto" w:fill="auto"/>
          </w:tcPr>
          <w:p w14:paraId="25463E4B"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12D095D2" w14:textId="77777777" w:rsidR="00DC5685" w:rsidRPr="00A34F10" w:rsidRDefault="00DC5685" w:rsidP="000470C3">
            <w:pPr>
              <w:keepNext/>
              <w:keepLines/>
              <w:widowControl w:val="0"/>
              <w:rPr>
                <w:sz w:val="20"/>
                <w:lang w:val="en-GB"/>
              </w:rPr>
            </w:pPr>
            <w:r w:rsidRPr="00A34F10">
              <w:rPr>
                <w:sz w:val="20"/>
                <w:lang w:val="en-GB"/>
              </w:rPr>
              <w:t>10</w:t>
            </w:r>
          </w:p>
        </w:tc>
      </w:tr>
      <w:tr w:rsidR="00DC5685" w:rsidRPr="00A34F10" w14:paraId="6FAC4E37" w14:textId="77777777" w:rsidTr="000470C3">
        <w:tc>
          <w:tcPr>
            <w:tcW w:w="991" w:type="pct"/>
            <w:shd w:val="clear" w:color="auto" w:fill="auto"/>
          </w:tcPr>
          <w:p w14:paraId="785501C0"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7031195C"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26A6CCF1"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68111064"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90</w:t>
            </w:r>
          </w:p>
        </w:tc>
        <w:tc>
          <w:tcPr>
            <w:tcW w:w="619" w:type="pct"/>
            <w:shd w:val="clear" w:color="auto" w:fill="auto"/>
          </w:tcPr>
          <w:p w14:paraId="71AEBA2C"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90</w:t>
            </w:r>
          </w:p>
        </w:tc>
        <w:tc>
          <w:tcPr>
            <w:tcW w:w="662" w:type="pct"/>
            <w:shd w:val="clear" w:color="auto" w:fill="auto"/>
          </w:tcPr>
          <w:p w14:paraId="57290EC3"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90</w:t>
            </w:r>
          </w:p>
          <w:p w14:paraId="5D283484"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6A739872"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35503AA4" w14:textId="77777777" w:rsidTr="000470C3">
        <w:tc>
          <w:tcPr>
            <w:tcW w:w="991" w:type="pct"/>
            <w:shd w:val="clear" w:color="auto" w:fill="auto"/>
          </w:tcPr>
          <w:p w14:paraId="40417709"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2A807335"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1CD0710D" w14:textId="77777777" w:rsidR="00DC5685" w:rsidRPr="002A106F" w:rsidRDefault="00DC5685" w:rsidP="000470C3">
            <w:pPr>
              <w:keepNext/>
              <w:keepLines/>
              <w:widowControl w:val="0"/>
              <w:rPr>
                <w:sz w:val="20"/>
                <w:lang w:val="en-GB"/>
              </w:rPr>
            </w:pPr>
            <w:r w:rsidRPr="002A106F">
              <w:rPr>
                <w:sz w:val="20"/>
                <w:szCs w:val="20"/>
                <w:lang w:val="en-GB"/>
              </w:rPr>
              <w:t>158.8</w:t>
            </w:r>
          </w:p>
        </w:tc>
        <w:tc>
          <w:tcPr>
            <w:tcW w:w="619" w:type="pct"/>
            <w:shd w:val="clear" w:color="auto" w:fill="auto"/>
          </w:tcPr>
          <w:p w14:paraId="038DCD6D" w14:textId="3E8D43AE" w:rsidR="00DC5685" w:rsidRPr="002A106F" w:rsidRDefault="00DC5685" w:rsidP="000470C3">
            <w:pPr>
              <w:keepNext/>
              <w:keepLines/>
              <w:widowControl w:val="0"/>
              <w:rPr>
                <w:sz w:val="20"/>
                <w:lang w:val="en-GB"/>
              </w:rPr>
            </w:pPr>
            <w:r w:rsidRPr="00810D6A">
              <w:rPr>
                <w:strike/>
                <w:color w:val="D9D9D9" w:themeColor="background1" w:themeShade="D9"/>
                <w:sz w:val="20"/>
                <w:lang w:val="en-GB"/>
              </w:rPr>
              <w:t>1.48</w:t>
            </w:r>
            <w:r w:rsidR="00810D6A" w:rsidRPr="00810D6A">
              <w:rPr>
                <w:color w:val="D9D9D9" w:themeColor="background1" w:themeShade="D9"/>
                <w:sz w:val="20"/>
                <w:lang w:val="en-GB"/>
              </w:rPr>
              <w:t xml:space="preserve"> </w:t>
            </w:r>
            <w:r w:rsidR="00810D6A" w:rsidRPr="00810D6A">
              <w:rPr>
                <w:sz w:val="20"/>
                <w:shd w:val="clear" w:color="auto" w:fill="D9D9D9" w:themeFill="background1" w:themeFillShade="D9"/>
                <w:lang w:val="en-GB"/>
              </w:rPr>
              <w:t>1.79</w:t>
            </w:r>
          </w:p>
        </w:tc>
        <w:tc>
          <w:tcPr>
            <w:tcW w:w="662" w:type="pct"/>
            <w:shd w:val="clear" w:color="auto" w:fill="auto"/>
          </w:tcPr>
          <w:p w14:paraId="720E8FEF" w14:textId="77777777" w:rsidR="00DC5685" w:rsidRPr="002A106F" w:rsidRDefault="00DC5685" w:rsidP="000470C3">
            <w:pPr>
              <w:keepNext/>
              <w:keepLines/>
              <w:widowControl w:val="0"/>
              <w:rPr>
                <w:sz w:val="20"/>
                <w:lang w:val="en-GB"/>
              </w:rPr>
            </w:pPr>
            <w:r w:rsidRPr="002A106F">
              <w:rPr>
                <w:sz w:val="20"/>
                <w:lang w:val="en-GB"/>
              </w:rPr>
              <w:t>325.06</w:t>
            </w:r>
          </w:p>
        </w:tc>
        <w:tc>
          <w:tcPr>
            <w:tcW w:w="622" w:type="pct"/>
            <w:shd w:val="clear" w:color="auto" w:fill="auto"/>
          </w:tcPr>
          <w:p w14:paraId="33B4ACA6" w14:textId="44EA20AB" w:rsidR="00DC5685" w:rsidRPr="002A106F" w:rsidRDefault="00253645" w:rsidP="000470C3">
            <w:pPr>
              <w:keepNext/>
              <w:keepLines/>
              <w:widowControl w:val="0"/>
              <w:rPr>
                <w:b/>
                <w:bCs/>
                <w:sz w:val="20"/>
                <w:highlight w:val="green"/>
                <w:lang w:val="en-GB"/>
              </w:rPr>
            </w:pPr>
            <w:r w:rsidRPr="00A34F10">
              <w:rPr>
                <w:b/>
                <w:bCs/>
                <w:sz w:val="20"/>
                <w:lang w:val="en-GB"/>
              </w:rPr>
              <w:t>7.0</w:t>
            </w:r>
          </w:p>
        </w:tc>
      </w:tr>
      <w:tr w:rsidR="00DC5685" w:rsidRPr="00A34F10" w14:paraId="2D6CFE7E" w14:textId="77777777" w:rsidTr="000470C3">
        <w:tc>
          <w:tcPr>
            <w:tcW w:w="1482" w:type="pct"/>
            <w:gridSpan w:val="2"/>
            <w:tcBorders>
              <w:right w:val="single" w:sz="4" w:space="0" w:color="auto"/>
            </w:tcBorders>
            <w:shd w:val="clear" w:color="auto" w:fill="auto"/>
          </w:tcPr>
          <w:p w14:paraId="61E6735A" w14:textId="77777777" w:rsidR="00DC5685" w:rsidRPr="00A34F10" w:rsidRDefault="00DC5685" w:rsidP="000470C3">
            <w:pPr>
              <w:keepNext/>
              <w:keepLines/>
              <w:widowControl w:val="0"/>
              <w:rPr>
                <w:b/>
                <w:bCs/>
                <w:sz w:val="20"/>
                <w:szCs w:val="20"/>
                <w:lang w:val="en-GB"/>
              </w:rPr>
            </w:pPr>
            <w:r w:rsidRPr="00A34F10">
              <w:rPr>
                <w:b/>
                <w:bCs/>
                <w:sz w:val="20"/>
                <w:szCs w:val="20"/>
                <w:lang w:val="en-GB"/>
              </w:rPr>
              <w:t>Reprod. toxicity (mg/kg bw/d)</w:t>
            </w:r>
          </w:p>
        </w:tc>
        <w:tc>
          <w:tcPr>
            <w:tcW w:w="3518" w:type="pct"/>
            <w:gridSpan w:val="5"/>
            <w:tcBorders>
              <w:top w:val="single" w:sz="4" w:space="0" w:color="auto"/>
              <w:left w:val="single" w:sz="4" w:space="0" w:color="auto"/>
              <w:bottom w:val="nil"/>
              <w:right w:val="single" w:sz="4" w:space="0" w:color="auto"/>
            </w:tcBorders>
            <w:shd w:val="clear" w:color="auto" w:fill="auto"/>
          </w:tcPr>
          <w:p w14:paraId="60E4325D" w14:textId="77777777" w:rsidR="00DC5685" w:rsidRPr="00A34F10" w:rsidRDefault="00DC5685" w:rsidP="000470C3">
            <w:pPr>
              <w:keepNext/>
              <w:keepLines/>
              <w:widowControl w:val="0"/>
              <w:rPr>
                <w:sz w:val="20"/>
                <w:lang w:val="en-GB"/>
              </w:rPr>
            </w:pPr>
            <w:r w:rsidRPr="00A34F10">
              <w:rPr>
                <w:sz w:val="20"/>
                <w:lang w:val="en-GB"/>
              </w:rPr>
              <w:t>107 (predicted NOEL</w:t>
            </w:r>
            <w:r w:rsidRPr="00A34F10">
              <w:rPr>
                <w:sz w:val="20"/>
                <w:vertAlign w:val="subscript"/>
                <w:lang w:val="en-GB"/>
              </w:rPr>
              <w:t>mix</w:t>
            </w:r>
            <w:r w:rsidRPr="00A34F10">
              <w:rPr>
                <w:sz w:val="20"/>
                <w:lang w:val="en-GB"/>
              </w:rPr>
              <w:t>)</w:t>
            </w:r>
          </w:p>
        </w:tc>
      </w:tr>
      <w:tr w:rsidR="00DC5685" w:rsidRPr="00A34F10" w14:paraId="02BC6B21" w14:textId="77777777" w:rsidTr="000470C3">
        <w:tc>
          <w:tcPr>
            <w:tcW w:w="1482" w:type="pct"/>
            <w:gridSpan w:val="2"/>
            <w:tcBorders>
              <w:right w:val="single" w:sz="4" w:space="0" w:color="auto"/>
            </w:tcBorders>
            <w:shd w:val="clear" w:color="auto" w:fill="auto"/>
          </w:tcPr>
          <w:p w14:paraId="496BE00B"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18" w:type="pct"/>
            <w:gridSpan w:val="5"/>
            <w:tcBorders>
              <w:top w:val="nil"/>
              <w:left w:val="single" w:sz="4" w:space="0" w:color="auto"/>
              <w:bottom w:val="single" w:sz="4" w:space="0" w:color="auto"/>
              <w:right w:val="single" w:sz="4" w:space="0" w:color="auto"/>
            </w:tcBorders>
            <w:shd w:val="clear" w:color="auto" w:fill="auto"/>
          </w:tcPr>
          <w:p w14:paraId="4A7EEFA5" w14:textId="77777777" w:rsidR="00DC5685" w:rsidRPr="00A34F10" w:rsidRDefault="00DC5685" w:rsidP="000470C3">
            <w:pPr>
              <w:keepNext/>
              <w:keepLines/>
              <w:widowControl w:val="0"/>
              <w:rPr>
                <w:sz w:val="20"/>
                <w:lang w:val="en-GB"/>
              </w:rPr>
            </w:pPr>
            <w:r w:rsidRPr="00A34F10">
              <w:rPr>
                <w:sz w:val="20"/>
                <w:lang w:val="en-GB"/>
              </w:rPr>
              <w:t>5</w:t>
            </w:r>
          </w:p>
        </w:tc>
      </w:tr>
      <w:tr w:rsidR="00DC5685" w:rsidRPr="00A34F10" w14:paraId="236A0754" w14:textId="77777777" w:rsidTr="000470C3">
        <w:tc>
          <w:tcPr>
            <w:tcW w:w="991" w:type="pct"/>
            <w:shd w:val="clear" w:color="auto" w:fill="auto"/>
          </w:tcPr>
          <w:p w14:paraId="116690D5"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p w14:paraId="26CEE591" w14:textId="77777777" w:rsidR="00DC5685" w:rsidRPr="00A34F10" w:rsidRDefault="00DC5685" w:rsidP="000470C3">
            <w:pPr>
              <w:keepNext/>
              <w:keepLines/>
              <w:widowControl w:val="0"/>
              <w:rPr>
                <w:b/>
                <w:bCs/>
                <w:sz w:val="20"/>
                <w:szCs w:val="20"/>
                <w:lang w:val="en-GB"/>
              </w:rPr>
            </w:pPr>
          </w:p>
        </w:tc>
        <w:tc>
          <w:tcPr>
            <w:tcW w:w="1488" w:type="pct"/>
            <w:gridSpan w:val="2"/>
            <w:shd w:val="clear" w:color="auto" w:fill="auto"/>
          </w:tcPr>
          <w:p w14:paraId="6A49C044"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19" w:type="pct"/>
            <w:shd w:val="clear" w:color="auto" w:fill="auto"/>
          </w:tcPr>
          <w:p w14:paraId="2A61F3AE"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m</w:t>
            </w:r>
          </w:p>
        </w:tc>
        <w:tc>
          <w:tcPr>
            <w:tcW w:w="619" w:type="pct"/>
            <w:shd w:val="clear" w:color="auto" w:fill="auto"/>
          </w:tcPr>
          <w:p w14:paraId="0ACE212C"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m</w:t>
            </w:r>
            <w:r w:rsidRPr="00A34F10">
              <w:rPr>
                <w:b/>
                <w:bCs/>
                <w:sz w:val="20"/>
                <w:szCs w:val="20"/>
                <w:lang w:val="en-GB"/>
              </w:rPr>
              <w:t xml:space="preserve"> × TWA</w:t>
            </w:r>
          </w:p>
        </w:tc>
        <w:tc>
          <w:tcPr>
            <w:tcW w:w="662" w:type="pct"/>
            <w:shd w:val="clear" w:color="auto" w:fill="auto"/>
          </w:tcPr>
          <w:p w14:paraId="20DB48FD"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m</w:t>
            </w:r>
          </w:p>
          <w:p w14:paraId="178BC7A3" w14:textId="77777777" w:rsidR="00DC5685" w:rsidRPr="00A34F10" w:rsidRDefault="00DC5685" w:rsidP="000470C3">
            <w:pPr>
              <w:keepNext/>
              <w:keepLines/>
              <w:widowControl w:val="0"/>
              <w:rPr>
                <w:b/>
                <w:bCs/>
                <w:sz w:val="20"/>
                <w:szCs w:val="20"/>
                <w:lang w:val="de-DE"/>
              </w:rPr>
            </w:pPr>
            <w:r w:rsidRPr="00A34F10">
              <w:rPr>
                <w:b/>
                <w:bCs/>
                <w:sz w:val="20"/>
                <w:szCs w:val="20"/>
                <w:lang w:val="de-DE"/>
              </w:rPr>
              <w:t>(mg/kg bw/d)</w:t>
            </w:r>
          </w:p>
        </w:tc>
        <w:tc>
          <w:tcPr>
            <w:tcW w:w="622" w:type="pct"/>
            <w:shd w:val="clear" w:color="auto" w:fill="auto"/>
          </w:tcPr>
          <w:p w14:paraId="687674C1"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lt</w:t>
            </w:r>
          </w:p>
        </w:tc>
      </w:tr>
      <w:tr w:rsidR="00DC5685" w:rsidRPr="00A34F10" w14:paraId="2D4470B7" w14:textId="77777777" w:rsidTr="000470C3">
        <w:tc>
          <w:tcPr>
            <w:tcW w:w="991" w:type="pct"/>
            <w:shd w:val="clear" w:color="auto" w:fill="auto"/>
          </w:tcPr>
          <w:p w14:paraId="35A7D49E" w14:textId="77777777" w:rsidR="00DC5685" w:rsidRPr="00A34F10" w:rsidRDefault="00DC5685" w:rsidP="000470C3">
            <w:pPr>
              <w:keepNext/>
              <w:keepLines/>
              <w:widowControl w:val="0"/>
              <w:rPr>
                <w:sz w:val="20"/>
                <w:lang w:val="en-GB"/>
              </w:rPr>
            </w:pPr>
            <w:r w:rsidRPr="00A34F10">
              <w:rPr>
                <w:sz w:val="20"/>
                <w:lang w:val="en-GB"/>
              </w:rPr>
              <w:t>Potato</w:t>
            </w:r>
          </w:p>
        </w:tc>
        <w:tc>
          <w:tcPr>
            <w:tcW w:w="1488" w:type="pct"/>
            <w:gridSpan w:val="2"/>
            <w:shd w:val="clear" w:color="auto" w:fill="auto"/>
          </w:tcPr>
          <w:p w14:paraId="02948699" w14:textId="77777777" w:rsidR="00DC5685" w:rsidRPr="00A34F10" w:rsidRDefault="00DC5685" w:rsidP="000470C3">
            <w:pPr>
              <w:keepNext/>
              <w:keepLines/>
              <w:widowControl w:val="0"/>
              <w:rPr>
                <w:sz w:val="20"/>
                <w:lang w:val="en-GB"/>
              </w:rPr>
            </w:pPr>
            <w:r w:rsidRPr="00A34F10">
              <w:rPr>
                <w:sz w:val="20"/>
                <w:lang w:val="en-GB"/>
              </w:rPr>
              <w:t>Small omnivorous bird</w:t>
            </w:r>
          </w:p>
        </w:tc>
        <w:tc>
          <w:tcPr>
            <w:tcW w:w="619" w:type="pct"/>
            <w:shd w:val="clear" w:color="auto" w:fill="auto"/>
          </w:tcPr>
          <w:p w14:paraId="16FC3CDA" w14:textId="77777777" w:rsidR="00DC5685" w:rsidRPr="00A34F10" w:rsidRDefault="00DC5685" w:rsidP="000470C3">
            <w:pPr>
              <w:keepNext/>
              <w:keepLines/>
              <w:widowControl w:val="0"/>
              <w:rPr>
                <w:sz w:val="20"/>
                <w:szCs w:val="20"/>
                <w:lang w:val="en-GB"/>
              </w:rPr>
            </w:pPr>
            <w:r w:rsidRPr="00A34F10">
              <w:rPr>
                <w:sz w:val="20"/>
                <w:szCs w:val="20"/>
                <w:lang w:val="en-GB"/>
              </w:rPr>
              <w:t>64.8</w:t>
            </w:r>
          </w:p>
        </w:tc>
        <w:tc>
          <w:tcPr>
            <w:tcW w:w="619" w:type="pct"/>
            <w:shd w:val="clear" w:color="auto" w:fill="auto"/>
          </w:tcPr>
          <w:p w14:paraId="65B7438C" w14:textId="2D592058" w:rsidR="00DC5685" w:rsidRPr="00A34F10" w:rsidRDefault="00DC5685" w:rsidP="000470C3">
            <w:pPr>
              <w:keepNext/>
              <w:keepLines/>
              <w:widowControl w:val="0"/>
              <w:rPr>
                <w:sz w:val="20"/>
                <w:lang w:val="en-GB"/>
              </w:rPr>
            </w:pPr>
            <w:r w:rsidRPr="007A74ED">
              <w:rPr>
                <w:strike/>
                <w:color w:val="D9D9D9" w:themeColor="background1" w:themeShade="D9"/>
                <w:sz w:val="20"/>
                <w:lang w:val="en-GB"/>
              </w:rPr>
              <w:t>1.71</w:t>
            </w:r>
            <w:r w:rsidR="00926719" w:rsidRPr="007A74ED">
              <w:rPr>
                <w:color w:val="D9D9D9" w:themeColor="background1" w:themeShade="D9"/>
                <w:sz w:val="20"/>
                <w:lang w:val="en-GB"/>
              </w:rPr>
              <w:t xml:space="preserve"> </w:t>
            </w:r>
            <w:r w:rsidR="00926719" w:rsidRPr="007A74ED">
              <w:rPr>
                <w:sz w:val="20"/>
                <w:shd w:val="clear" w:color="auto" w:fill="D9D9D9" w:themeFill="background1" w:themeFillShade="D9"/>
                <w:lang w:val="en-GB"/>
              </w:rPr>
              <w:t>2.2</w:t>
            </w:r>
            <w:r w:rsidRPr="00A34F10">
              <w:rPr>
                <w:sz w:val="20"/>
                <w:lang w:val="en-GB"/>
              </w:rPr>
              <w:t xml:space="preserve"> x 0.53</w:t>
            </w:r>
          </w:p>
        </w:tc>
        <w:tc>
          <w:tcPr>
            <w:tcW w:w="662" w:type="pct"/>
            <w:shd w:val="clear" w:color="auto" w:fill="auto"/>
          </w:tcPr>
          <w:p w14:paraId="42A74639" w14:textId="77777777" w:rsidR="00DC5685" w:rsidRPr="00A34F10" w:rsidRDefault="00DC5685" w:rsidP="000470C3">
            <w:pPr>
              <w:keepNext/>
              <w:keepLines/>
              <w:widowControl w:val="0"/>
              <w:rPr>
                <w:sz w:val="20"/>
                <w:lang w:val="en-GB"/>
              </w:rPr>
            </w:pPr>
            <w:r w:rsidRPr="00A34F10">
              <w:rPr>
                <w:sz w:val="20"/>
                <w:lang w:val="en-GB"/>
              </w:rPr>
              <w:t>86.56</w:t>
            </w:r>
          </w:p>
        </w:tc>
        <w:tc>
          <w:tcPr>
            <w:tcW w:w="622" w:type="pct"/>
            <w:shd w:val="clear" w:color="auto" w:fill="auto"/>
          </w:tcPr>
          <w:p w14:paraId="263DD5EB" w14:textId="77777777" w:rsidR="00DC5685" w:rsidRPr="00A34F10" w:rsidRDefault="00DC5685" w:rsidP="000470C3">
            <w:pPr>
              <w:keepNext/>
              <w:keepLines/>
              <w:widowControl w:val="0"/>
              <w:rPr>
                <w:b/>
                <w:bCs/>
                <w:sz w:val="20"/>
                <w:lang w:val="en-GB"/>
              </w:rPr>
            </w:pPr>
            <w:r w:rsidRPr="00A34F10">
              <w:rPr>
                <w:b/>
                <w:bCs/>
                <w:sz w:val="20"/>
                <w:lang w:val="en-GB"/>
              </w:rPr>
              <w:t>1.2</w:t>
            </w:r>
          </w:p>
        </w:tc>
      </w:tr>
    </w:tbl>
    <w:p w14:paraId="35A4D5E0"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0FADD176" w14:textId="77777777" w:rsidR="00DC5685" w:rsidRPr="00A34F10" w:rsidRDefault="00DC5685" w:rsidP="00DC5685">
      <w:pPr>
        <w:widowControl w:val="0"/>
        <w:tabs>
          <w:tab w:val="left" w:pos="720"/>
        </w:tabs>
        <w:suppressAutoHyphens/>
        <w:jc w:val="both"/>
        <w:rPr>
          <w:bCs/>
          <w:sz w:val="18"/>
          <w:szCs w:val="18"/>
          <w:lang w:val="en-GB"/>
        </w:rPr>
      </w:pPr>
      <w:r w:rsidRPr="00A34F10">
        <w:rPr>
          <w:bCs/>
          <w:sz w:val="18"/>
          <w:szCs w:val="18"/>
          <w:vertAlign w:val="superscript"/>
          <w:lang w:val="en-GB"/>
        </w:rPr>
        <w:t>1</w:t>
      </w:r>
      <w:r w:rsidRPr="00A34F10">
        <w:rPr>
          <w:bCs/>
          <w:sz w:val="18"/>
          <w:szCs w:val="18"/>
          <w:lang w:val="en-GB"/>
        </w:rPr>
        <w:tab/>
        <w:t>Sum of active substances</w:t>
      </w:r>
    </w:p>
    <w:p w14:paraId="1A49629A" w14:textId="35DEFF49" w:rsidR="00DC5685" w:rsidRPr="00A34F10" w:rsidRDefault="00DC5685" w:rsidP="00DC5685">
      <w:pPr>
        <w:widowControl w:val="0"/>
        <w:tabs>
          <w:tab w:val="left" w:pos="720"/>
        </w:tabs>
        <w:suppressAutoHyphens/>
        <w:jc w:val="both"/>
        <w:rPr>
          <w:b/>
          <w:u w:val="single"/>
          <w:lang w:val="en-GB"/>
        </w:rPr>
      </w:pPr>
    </w:p>
    <w:p w14:paraId="46F47287" w14:textId="77777777" w:rsidR="00A91B2E" w:rsidRPr="00A34F10" w:rsidRDefault="00A91B2E" w:rsidP="00DC5685">
      <w:pPr>
        <w:widowControl w:val="0"/>
        <w:tabs>
          <w:tab w:val="left" w:pos="720"/>
        </w:tabs>
        <w:suppressAutoHyphens/>
        <w:jc w:val="both"/>
        <w:rPr>
          <w:b/>
          <w:u w:val="single"/>
          <w:lang w:val="en-GB"/>
        </w:rPr>
      </w:pPr>
    </w:p>
    <w:p w14:paraId="0C587368" w14:textId="77777777" w:rsidR="00DC5685" w:rsidRPr="00A34F10" w:rsidRDefault="00DC5685" w:rsidP="00DC5685">
      <w:pPr>
        <w:jc w:val="both"/>
        <w:rPr>
          <w:lang w:val="en-GB"/>
        </w:rPr>
      </w:pPr>
      <w:r w:rsidRPr="00A34F10">
        <w:rPr>
          <w:lang w:val="en-GB"/>
        </w:rPr>
        <w:t xml:space="preserve">The screening assessment above shows a potential acute and long-term (reproductive) risk to birds, therefore a first-tier acute and long-term risk assessment is required for the proposed uses of BAS 743 03 F. </w:t>
      </w:r>
    </w:p>
    <w:p w14:paraId="0B1ED360" w14:textId="77777777" w:rsidR="00665CF7" w:rsidRDefault="00665CF7" w:rsidP="00040983">
      <w:pPr>
        <w:pStyle w:val="Legenda"/>
        <w:rPr>
          <w:lang w:eastAsia="en-GB"/>
        </w:rPr>
      </w:pPr>
    </w:p>
    <w:p w14:paraId="74BD0C6D" w14:textId="4718526C" w:rsidR="00DC5685" w:rsidRPr="00A34F10" w:rsidRDefault="00DC5685" w:rsidP="00040983">
      <w:pPr>
        <w:pStyle w:val="Legenda"/>
        <w:rPr>
          <w:b w:val="0"/>
        </w:rPr>
      </w:pPr>
      <w:r w:rsidRPr="00A34F10">
        <w:rPr>
          <w:lang w:eastAsia="en-GB"/>
        </w:rPr>
        <w:t>Table</w:t>
      </w:r>
      <w:r w:rsidR="00040983">
        <w:rPr>
          <w:lang w:eastAsia="en-GB"/>
        </w:rPr>
        <w:t xml:space="preserve"> </w:t>
      </w:r>
      <w:r w:rsidR="007E7467">
        <w:rPr>
          <w:lang w:eastAsia="en-GB"/>
        </w:rPr>
        <w:fldChar w:fldCharType="begin"/>
      </w:r>
      <w:r w:rsidR="007E7467">
        <w:rPr>
          <w:lang w:eastAsia="en-GB"/>
        </w:rPr>
        <w:instrText xml:space="preserve"> STYLEREF 2 \s </w:instrText>
      </w:r>
      <w:r w:rsidR="007E7467">
        <w:rPr>
          <w:lang w:eastAsia="en-GB"/>
        </w:rPr>
        <w:fldChar w:fldCharType="separate"/>
      </w:r>
      <w:r w:rsidR="006F0F3B">
        <w:rPr>
          <w:noProof/>
          <w:lang w:eastAsia="en-GB"/>
        </w:rPr>
        <w:t>9.2</w:t>
      </w:r>
      <w:r w:rsidR="007E7467">
        <w:rPr>
          <w:lang w:eastAsia="en-GB"/>
        </w:rPr>
        <w:fldChar w:fldCharType="end"/>
      </w:r>
      <w:r w:rsidR="007E7467">
        <w:rPr>
          <w:lang w:eastAsia="en-GB"/>
        </w:rPr>
        <w:noBreakHyphen/>
      </w:r>
      <w:r w:rsidR="007E7467">
        <w:rPr>
          <w:lang w:eastAsia="en-GB"/>
        </w:rPr>
        <w:fldChar w:fldCharType="begin"/>
      </w:r>
      <w:r w:rsidR="007E7467">
        <w:rPr>
          <w:lang w:eastAsia="en-GB"/>
        </w:rPr>
        <w:instrText xml:space="preserve"> SEQ Table \* ARABIC \s 2 </w:instrText>
      </w:r>
      <w:r w:rsidR="007E7467">
        <w:rPr>
          <w:lang w:eastAsia="en-GB"/>
        </w:rPr>
        <w:fldChar w:fldCharType="separate"/>
      </w:r>
      <w:r w:rsidR="006F0F3B">
        <w:rPr>
          <w:noProof/>
          <w:lang w:eastAsia="en-GB"/>
        </w:rPr>
        <w:t>12</w:t>
      </w:r>
      <w:r w:rsidR="007E7467">
        <w:rPr>
          <w:lang w:eastAsia="en-GB"/>
        </w:rPr>
        <w:fldChar w:fldCharType="end"/>
      </w:r>
      <w:r w:rsidRPr="00A34F10">
        <w:rPr>
          <w:lang w:eastAsia="en-GB"/>
        </w:rPr>
        <w:t xml:space="preserve">: </w:t>
      </w:r>
      <w:r w:rsidRPr="00A34F10">
        <w:rPr>
          <w:lang w:eastAsia="en-GB"/>
        </w:rPr>
        <w:tab/>
        <w:t xml:space="preserve">BAS 743 03 F: First-tier assessment of the acute risk for birds due to the use of </w:t>
      </w:r>
      <w:r w:rsidRPr="00A34F10">
        <w:t>BAS 743 03 F at 1 – 3 x 2.0 L/ha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9"/>
        <w:gridCol w:w="2950"/>
        <w:gridCol w:w="1008"/>
        <w:gridCol w:w="839"/>
        <w:gridCol w:w="700"/>
        <w:gridCol w:w="1254"/>
        <w:gridCol w:w="927"/>
      </w:tblGrid>
      <w:tr w:rsidR="00DC5685" w:rsidRPr="00A34F10" w14:paraId="36002F89" w14:textId="77777777" w:rsidTr="007764A7">
        <w:trPr>
          <w:cantSplit/>
          <w:tblHeader/>
        </w:trPr>
        <w:tc>
          <w:tcPr>
            <w:tcW w:w="893" w:type="pct"/>
            <w:tcBorders>
              <w:right w:val="single" w:sz="4" w:space="0" w:color="auto"/>
            </w:tcBorders>
            <w:shd w:val="clear" w:color="auto" w:fill="auto"/>
            <w:vAlign w:val="center"/>
          </w:tcPr>
          <w:p w14:paraId="1392B360" w14:textId="77777777" w:rsidR="00DC5685" w:rsidRPr="00A34F10" w:rsidRDefault="00DC5685" w:rsidP="000470C3">
            <w:pPr>
              <w:keepNext/>
              <w:widowControl w:val="0"/>
              <w:jc w:val="center"/>
              <w:rPr>
                <w:b/>
                <w:bCs/>
                <w:sz w:val="20"/>
                <w:szCs w:val="20"/>
                <w:lang w:val="en-GB"/>
              </w:rPr>
            </w:pPr>
            <w:r w:rsidRPr="00A34F10">
              <w:rPr>
                <w:b/>
                <w:bCs/>
                <w:sz w:val="20"/>
                <w:szCs w:val="20"/>
                <w:lang w:val="en-GB"/>
              </w:rPr>
              <w:t>Product</w:t>
            </w:r>
          </w:p>
        </w:tc>
        <w:tc>
          <w:tcPr>
            <w:tcW w:w="4107" w:type="pct"/>
            <w:gridSpan w:val="6"/>
            <w:tcBorders>
              <w:right w:val="single" w:sz="4" w:space="0" w:color="auto"/>
            </w:tcBorders>
            <w:shd w:val="clear" w:color="auto" w:fill="auto"/>
            <w:vAlign w:val="center"/>
          </w:tcPr>
          <w:p w14:paraId="7DF8346D" w14:textId="77777777" w:rsidR="00DC5685" w:rsidRPr="00A34F10" w:rsidRDefault="00DC5685" w:rsidP="000470C3">
            <w:pPr>
              <w:keepNext/>
              <w:widowControl w:val="0"/>
              <w:rPr>
                <w:sz w:val="20"/>
                <w:szCs w:val="20"/>
                <w:lang w:val="en-GB"/>
              </w:rPr>
            </w:pPr>
            <w:r w:rsidRPr="00A34F10">
              <w:rPr>
                <w:sz w:val="20"/>
                <w:szCs w:val="20"/>
                <w:lang w:val="en-GB"/>
              </w:rPr>
              <w:t>BAS 743 03 F</w:t>
            </w:r>
          </w:p>
        </w:tc>
      </w:tr>
      <w:tr w:rsidR="00DC5685" w:rsidRPr="00A34F10" w14:paraId="6A036C9B" w14:textId="77777777" w:rsidTr="007764A7">
        <w:trPr>
          <w:cantSplit/>
          <w:tblHeader/>
        </w:trPr>
        <w:tc>
          <w:tcPr>
            <w:tcW w:w="893" w:type="pct"/>
            <w:tcBorders>
              <w:right w:val="single" w:sz="4" w:space="0" w:color="auto"/>
            </w:tcBorders>
            <w:shd w:val="clear" w:color="auto" w:fill="auto"/>
            <w:vAlign w:val="center"/>
          </w:tcPr>
          <w:p w14:paraId="402C7103" w14:textId="77777777" w:rsidR="00DC5685" w:rsidRPr="00A34F10" w:rsidRDefault="00DC5685" w:rsidP="000470C3">
            <w:pPr>
              <w:keepNext/>
              <w:widowControl w:val="0"/>
              <w:jc w:val="center"/>
              <w:rPr>
                <w:b/>
                <w:bCs/>
                <w:sz w:val="20"/>
                <w:szCs w:val="20"/>
                <w:lang w:val="en-GB"/>
              </w:rPr>
            </w:pPr>
            <w:r w:rsidRPr="00A34F10">
              <w:rPr>
                <w:b/>
                <w:bCs/>
                <w:sz w:val="20"/>
                <w:szCs w:val="20"/>
                <w:lang w:val="en-GB"/>
              </w:rPr>
              <w:t xml:space="preserve">Acute toxicity </w:t>
            </w:r>
            <w:r w:rsidRPr="00A34F10">
              <w:rPr>
                <w:b/>
                <w:bCs/>
                <w:sz w:val="20"/>
                <w:szCs w:val="20"/>
                <w:lang w:val="en-GB"/>
              </w:rPr>
              <w:br/>
              <w:t>(mg/kg bw/d)</w:t>
            </w:r>
          </w:p>
        </w:tc>
        <w:tc>
          <w:tcPr>
            <w:tcW w:w="4107" w:type="pct"/>
            <w:gridSpan w:val="6"/>
            <w:tcBorders>
              <w:right w:val="single" w:sz="4" w:space="0" w:color="auto"/>
            </w:tcBorders>
            <w:shd w:val="clear" w:color="auto" w:fill="auto"/>
            <w:vAlign w:val="center"/>
          </w:tcPr>
          <w:p w14:paraId="03F85C8E" w14:textId="1AE99018" w:rsidR="00DC5685" w:rsidRPr="00A34F10" w:rsidRDefault="007764A7" w:rsidP="000470C3">
            <w:pPr>
              <w:keepNext/>
              <w:widowControl w:val="0"/>
              <w:rPr>
                <w:sz w:val="20"/>
                <w:szCs w:val="20"/>
                <w:lang w:val="en-GB"/>
              </w:rPr>
            </w:pPr>
            <w:r w:rsidRPr="00A34F10">
              <w:rPr>
                <w:sz w:val="20"/>
                <w:szCs w:val="20"/>
                <w:lang w:val="en-GB"/>
              </w:rPr>
              <w:t xml:space="preserve">2281.3 </w:t>
            </w:r>
            <w:r w:rsidR="00DC5685" w:rsidRPr="00ED40FE">
              <w:rPr>
                <w:sz w:val="20"/>
                <w:highlight w:val="green"/>
                <w:lang w:val="en-GB"/>
              </w:rPr>
              <w:t>(measured LD</w:t>
            </w:r>
            <w:r w:rsidR="00DC5685" w:rsidRPr="00ED40FE">
              <w:rPr>
                <w:sz w:val="20"/>
                <w:highlight w:val="green"/>
                <w:vertAlign w:val="subscript"/>
                <w:lang w:val="en-GB"/>
              </w:rPr>
              <w:t>50</w:t>
            </w:r>
            <w:r w:rsidR="00DC5685" w:rsidRPr="00ED40FE">
              <w:rPr>
                <w:sz w:val="20"/>
                <w:highlight w:val="green"/>
                <w:lang w:val="en-GB"/>
              </w:rPr>
              <w:t>)</w:t>
            </w:r>
          </w:p>
        </w:tc>
      </w:tr>
      <w:tr w:rsidR="00DC5685" w:rsidRPr="00A34F10" w14:paraId="3701EDEB" w14:textId="77777777" w:rsidTr="007764A7">
        <w:trPr>
          <w:cantSplit/>
          <w:tblHeader/>
        </w:trPr>
        <w:tc>
          <w:tcPr>
            <w:tcW w:w="893" w:type="pct"/>
            <w:tcBorders>
              <w:right w:val="single" w:sz="4" w:space="0" w:color="auto"/>
            </w:tcBorders>
            <w:shd w:val="clear" w:color="auto" w:fill="auto"/>
            <w:vAlign w:val="center"/>
          </w:tcPr>
          <w:p w14:paraId="206A58EB" w14:textId="77777777" w:rsidR="00DC5685" w:rsidRPr="00A34F10" w:rsidRDefault="00DC5685" w:rsidP="000470C3">
            <w:pPr>
              <w:keepNext/>
              <w:widowControl w:val="0"/>
              <w:jc w:val="center"/>
              <w:rPr>
                <w:b/>
                <w:bCs/>
                <w:sz w:val="20"/>
                <w:szCs w:val="20"/>
                <w:lang w:val="en-GB"/>
              </w:rPr>
            </w:pPr>
            <w:r w:rsidRPr="00A34F10">
              <w:rPr>
                <w:b/>
                <w:bCs/>
                <w:sz w:val="20"/>
                <w:szCs w:val="20"/>
                <w:lang w:val="en-GB"/>
              </w:rPr>
              <w:t>TER criterion</w:t>
            </w:r>
          </w:p>
        </w:tc>
        <w:tc>
          <w:tcPr>
            <w:tcW w:w="4107" w:type="pct"/>
            <w:gridSpan w:val="6"/>
            <w:tcBorders>
              <w:right w:val="single" w:sz="4" w:space="0" w:color="auto"/>
            </w:tcBorders>
            <w:shd w:val="clear" w:color="auto" w:fill="auto"/>
            <w:vAlign w:val="center"/>
          </w:tcPr>
          <w:p w14:paraId="2AE1E459" w14:textId="77777777" w:rsidR="00DC5685" w:rsidRPr="00A34F10" w:rsidRDefault="00DC5685" w:rsidP="000470C3">
            <w:pPr>
              <w:keepNext/>
              <w:widowControl w:val="0"/>
              <w:rPr>
                <w:sz w:val="20"/>
                <w:szCs w:val="20"/>
                <w:lang w:val="en-GB"/>
              </w:rPr>
            </w:pPr>
            <w:r w:rsidRPr="00A34F10">
              <w:rPr>
                <w:sz w:val="20"/>
                <w:szCs w:val="20"/>
                <w:lang w:val="en-GB"/>
              </w:rPr>
              <w:t>10</w:t>
            </w:r>
          </w:p>
        </w:tc>
      </w:tr>
      <w:tr w:rsidR="00DC5685" w:rsidRPr="00A34F10" w14:paraId="49FA820F" w14:textId="77777777" w:rsidTr="007764A7">
        <w:trPr>
          <w:cantSplit/>
          <w:tblHeader/>
        </w:trPr>
        <w:tc>
          <w:tcPr>
            <w:tcW w:w="893" w:type="pct"/>
            <w:tcBorders>
              <w:bottom w:val="single" w:sz="12" w:space="0" w:color="auto"/>
            </w:tcBorders>
            <w:shd w:val="clear" w:color="auto" w:fill="auto"/>
            <w:vAlign w:val="center"/>
          </w:tcPr>
          <w:p w14:paraId="60112410" w14:textId="77777777" w:rsidR="00DC5685" w:rsidRPr="00A34F10" w:rsidRDefault="00DC5685" w:rsidP="000470C3">
            <w:pPr>
              <w:keepNext/>
              <w:widowControl w:val="0"/>
              <w:jc w:val="center"/>
              <w:rPr>
                <w:b/>
                <w:bCs/>
                <w:sz w:val="20"/>
                <w:szCs w:val="20"/>
                <w:lang w:val="en-GB"/>
              </w:rPr>
            </w:pPr>
            <w:r w:rsidRPr="00A34F10">
              <w:rPr>
                <w:b/>
                <w:bCs/>
                <w:sz w:val="20"/>
                <w:szCs w:val="20"/>
                <w:lang w:val="en-GB"/>
              </w:rPr>
              <w:t>Growth stage</w:t>
            </w:r>
          </w:p>
        </w:tc>
        <w:tc>
          <w:tcPr>
            <w:tcW w:w="1578" w:type="pct"/>
            <w:tcBorders>
              <w:bottom w:val="single" w:sz="12" w:space="0" w:color="auto"/>
            </w:tcBorders>
            <w:shd w:val="clear" w:color="auto" w:fill="auto"/>
            <w:vAlign w:val="center"/>
          </w:tcPr>
          <w:p w14:paraId="0CA175E6" w14:textId="77777777" w:rsidR="00DC5685" w:rsidRPr="00A34F10" w:rsidRDefault="00DC5685" w:rsidP="000470C3">
            <w:pPr>
              <w:keepNext/>
              <w:widowControl w:val="0"/>
              <w:jc w:val="center"/>
              <w:rPr>
                <w:b/>
                <w:bCs/>
                <w:sz w:val="20"/>
                <w:szCs w:val="20"/>
                <w:lang w:val="en-GB"/>
              </w:rPr>
            </w:pPr>
            <w:r w:rsidRPr="00A34F10">
              <w:rPr>
                <w:b/>
                <w:bCs/>
                <w:sz w:val="20"/>
                <w:szCs w:val="20"/>
                <w:lang w:val="en-GB"/>
              </w:rPr>
              <w:t>Generic focal species</w:t>
            </w:r>
          </w:p>
        </w:tc>
        <w:tc>
          <w:tcPr>
            <w:tcW w:w="539" w:type="pct"/>
            <w:tcBorders>
              <w:bottom w:val="single" w:sz="12" w:space="0" w:color="auto"/>
            </w:tcBorders>
            <w:shd w:val="clear" w:color="auto" w:fill="auto"/>
            <w:vAlign w:val="center"/>
          </w:tcPr>
          <w:p w14:paraId="2934A43D" w14:textId="77777777" w:rsidR="00DC5685" w:rsidRPr="00A34F10" w:rsidRDefault="00DC5685" w:rsidP="000470C3">
            <w:pPr>
              <w:keepNext/>
              <w:widowControl w:val="0"/>
              <w:jc w:val="center"/>
              <w:rPr>
                <w:b/>
                <w:bCs/>
                <w:sz w:val="20"/>
                <w:szCs w:val="20"/>
                <w:lang w:val="en-GB"/>
              </w:rPr>
            </w:pPr>
            <w:r w:rsidRPr="00A34F10">
              <w:rPr>
                <w:b/>
                <w:bCs/>
                <w:sz w:val="20"/>
                <w:szCs w:val="20"/>
                <w:lang w:val="en-GB"/>
              </w:rPr>
              <w:t>App. Rate</w:t>
            </w:r>
          </w:p>
          <w:p w14:paraId="638D8E07" w14:textId="77777777" w:rsidR="00DC5685" w:rsidRPr="00A34F10" w:rsidRDefault="00DC5685" w:rsidP="000470C3">
            <w:pPr>
              <w:keepNext/>
              <w:widowControl w:val="0"/>
              <w:jc w:val="center"/>
              <w:rPr>
                <w:b/>
                <w:bCs/>
                <w:sz w:val="20"/>
                <w:szCs w:val="20"/>
                <w:lang w:val="en-GB"/>
              </w:rPr>
            </w:pPr>
            <w:r w:rsidRPr="00A34F10">
              <w:rPr>
                <w:b/>
                <w:bCs/>
                <w:sz w:val="20"/>
                <w:szCs w:val="20"/>
                <w:lang w:val="en-GB"/>
              </w:rPr>
              <w:t>(kg a.s./ha)</w:t>
            </w:r>
          </w:p>
        </w:tc>
        <w:tc>
          <w:tcPr>
            <w:tcW w:w="449" w:type="pct"/>
            <w:tcBorders>
              <w:bottom w:val="single" w:sz="12" w:space="0" w:color="auto"/>
            </w:tcBorders>
            <w:shd w:val="clear" w:color="auto" w:fill="auto"/>
            <w:vAlign w:val="center"/>
          </w:tcPr>
          <w:p w14:paraId="488E8287" w14:textId="77777777" w:rsidR="00DC5685" w:rsidRPr="00A34F10" w:rsidRDefault="00DC5685" w:rsidP="000470C3">
            <w:pPr>
              <w:keepNext/>
              <w:widowControl w:val="0"/>
              <w:jc w:val="center"/>
              <w:rPr>
                <w:b/>
                <w:bCs/>
                <w:sz w:val="20"/>
                <w:szCs w:val="20"/>
                <w:lang w:val="en-GB"/>
              </w:rPr>
            </w:pPr>
            <w:r w:rsidRPr="00A34F10">
              <w:rPr>
                <w:b/>
                <w:bCs/>
                <w:sz w:val="20"/>
                <w:szCs w:val="20"/>
                <w:lang w:val="en-GB"/>
              </w:rPr>
              <w:t>SV</w:t>
            </w:r>
            <w:r w:rsidRPr="00A34F10">
              <w:rPr>
                <w:b/>
                <w:bCs/>
                <w:sz w:val="20"/>
                <w:szCs w:val="20"/>
                <w:vertAlign w:val="subscript"/>
                <w:lang w:val="en-GB"/>
              </w:rPr>
              <w:t>90</w:t>
            </w:r>
          </w:p>
        </w:tc>
        <w:tc>
          <w:tcPr>
            <w:tcW w:w="374" w:type="pct"/>
            <w:tcBorders>
              <w:bottom w:val="single" w:sz="12" w:space="0" w:color="auto"/>
            </w:tcBorders>
            <w:shd w:val="clear" w:color="auto" w:fill="auto"/>
            <w:vAlign w:val="center"/>
          </w:tcPr>
          <w:p w14:paraId="1E3242AC" w14:textId="77777777" w:rsidR="00DC5685" w:rsidRPr="00A34F10" w:rsidRDefault="00DC5685" w:rsidP="000470C3">
            <w:pPr>
              <w:keepNext/>
              <w:widowControl w:val="0"/>
              <w:jc w:val="center"/>
              <w:rPr>
                <w:b/>
                <w:bCs/>
                <w:sz w:val="20"/>
                <w:szCs w:val="20"/>
                <w:lang w:val="en-GB"/>
              </w:rPr>
            </w:pPr>
            <w:r w:rsidRPr="00A34F10">
              <w:rPr>
                <w:b/>
                <w:bCs/>
                <w:sz w:val="20"/>
                <w:szCs w:val="20"/>
                <w:lang w:val="en-GB"/>
              </w:rPr>
              <w:t>MAF</w:t>
            </w:r>
            <w:r w:rsidRPr="00A34F10">
              <w:rPr>
                <w:b/>
                <w:bCs/>
                <w:sz w:val="20"/>
                <w:szCs w:val="20"/>
                <w:vertAlign w:val="subscript"/>
                <w:lang w:val="en-GB"/>
              </w:rPr>
              <w:t>90</w:t>
            </w:r>
            <w:r w:rsidRPr="00A34F10">
              <w:rPr>
                <w:b/>
                <w:bCs/>
                <w:sz w:val="20"/>
                <w:szCs w:val="20"/>
                <w:lang w:val="en-GB"/>
              </w:rPr>
              <w:t xml:space="preserve"> </w:t>
            </w:r>
          </w:p>
        </w:tc>
        <w:tc>
          <w:tcPr>
            <w:tcW w:w="671" w:type="pct"/>
            <w:tcBorders>
              <w:bottom w:val="single" w:sz="12" w:space="0" w:color="auto"/>
            </w:tcBorders>
            <w:shd w:val="clear" w:color="auto" w:fill="auto"/>
            <w:vAlign w:val="center"/>
          </w:tcPr>
          <w:p w14:paraId="09347ADB" w14:textId="77777777" w:rsidR="00DC5685" w:rsidRPr="00A34F10" w:rsidRDefault="00DC5685" w:rsidP="000470C3">
            <w:pPr>
              <w:keepNext/>
              <w:widowControl w:val="0"/>
              <w:jc w:val="center"/>
              <w:rPr>
                <w:b/>
                <w:bCs/>
                <w:sz w:val="20"/>
                <w:szCs w:val="20"/>
                <w:lang w:val="de-DE"/>
              </w:rPr>
            </w:pPr>
            <w:r w:rsidRPr="00A34F10">
              <w:rPr>
                <w:b/>
                <w:bCs/>
                <w:sz w:val="20"/>
                <w:szCs w:val="20"/>
                <w:lang w:val="de-DE"/>
              </w:rPr>
              <w:t>DDD</w:t>
            </w:r>
            <w:r w:rsidRPr="00A34F10">
              <w:rPr>
                <w:b/>
                <w:bCs/>
                <w:sz w:val="20"/>
                <w:szCs w:val="20"/>
                <w:vertAlign w:val="subscript"/>
                <w:lang w:val="de-DE"/>
              </w:rPr>
              <w:t>90</w:t>
            </w:r>
          </w:p>
          <w:p w14:paraId="3D59EA24" w14:textId="77777777" w:rsidR="00DC5685" w:rsidRPr="00A34F10" w:rsidRDefault="00DC5685" w:rsidP="000470C3">
            <w:pPr>
              <w:keepNext/>
              <w:widowControl w:val="0"/>
              <w:jc w:val="center"/>
              <w:rPr>
                <w:b/>
                <w:bCs/>
                <w:sz w:val="20"/>
                <w:szCs w:val="20"/>
                <w:lang w:val="de-DE"/>
              </w:rPr>
            </w:pPr>
            <w:r w:rsidRPr="00A34F10">
              <w:rPr>
                <w:b/>
                <w:bCs/>
                <w:sz w:val="20"/>
                <w:szCs w:val="20"/>
                <w:lang w:val="de-DE"/>
              </w:rPr>
              <w:t>(mg/kg bw/d)</w:t>
            </w:r>
          </w:p>
        </w:tc>
        <w:tc>
          <w:tcPr>
            <w:tcW w:w="496" w:type="pct"/>
            <w:tcBorders>
              <w:bottom w:val="single" w:sz="12" w:space="0" w:color="auto"/>
            </w:tcBorders>
            <w:shd w:val="clear" w:color="auto" w:fill="auto"/>
            <w:vAlign w:val="center"/>
          </w:tcPr>
          <w:p w14:paraId="3D7844F7" w14:textId="77777777" w:rsidR="00DC5685" w:rsidRPr="00A34F10" w:rsidRDefault="00DC5685" w:rsidP="000470C3">
            <w:pPr>
              <w:keepNext/>
              <w:widowControl w:val="0"/>
              <w:jc w:val="center"/>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34080324" w14:textId="77777777" w:rsidTr="00AA604E">
        <w:trPr>
          <w:cantSplit/>
        </w:trPr>
        <w:tc>
          <w:tcPr>
            <w:tcW w:w="5000" w:type="pct"/>
            <w:gridSpan w:val="7"/>
            <w:tcBorders>
              <w:top w:val="single" w:sz="12" w:space="0" w:color="auto"/>
              <w:bottom w:val="single" w:sz="4" w:space="0" w:color="auto"/>
              <w:right w:val="single" w:sz="4" w:space="0" w:color="auto"/>
            </w:tcBorders>
            <w:shd w:val="clear" w:color="auto" w:fill="auto"/>
            <w:vAlign w:val="center"/>
          </w:tcPr>
          <w:p w14:paraId="2A5C5A7C" w14:textId="77777777" w:rsidR="00DC5685" w:rsidRPr="00A34F10" w:rsidRDefault="00DC5685" w:rsidP="000470C3">
            <w:pPr>
              <w:jc w:val="center"/>
              <w:rPr>
                <w:sz w:val="20"/>
                <w:szCs w:val="20"/>
                <w:lang w:val="en-GB"/>
              </w:rPr>
            </w:pPr>
            <w:r w:rsidRPr="00A34F10">
              <w:rPr>
                <w:b/>
                <w:sz w:val="20"/>
                <w:szCs w:val="20"/>
                <w:lang w:val="en-GB"/>
              </w:rPr>
              <w:t>Potatoes (3 × ∑ (0.24 + 0.902) kg a.s./ha, BBCH 21-89)</w:t>
            </w:r>
          </w:p>
        </w:tc>
      </w:tr>
      <w:tr w:rsidR="007764A7" w:rsidRPr="00A34F10" w14:paraId="15080757" w14:textId="77777777" w:rsidTr="007764A7">
        <w:trPr>
          <w:cantSplit/>
        </w:trPr>
        <w:tc>
          <w:tcPr>
            <w:tcW w:w="893" w:type="pct"/>
            <w:tcBorders>
              <w:top w:val="single" w:sz="4" w:space="0" w:color="auto"/>
            </w:tcBorders>
            <w:shd w:val="clear" w:color="auto" w:fill="auto"/>
            <w:vAlign w:val="center"/>
          </w:tcPr>
          <w:p w14:paraId="326D497B" w14:textId="77777777" w:rsidR="007764A7" w:rsidRPr="007764A7" w:rsidRDefault="007764A7" w:rsidP="007764A7">
            <w:pPr>
              <w:jc w:val="center"/>
              <w:rPr>
                <w:sz w:val="20"/>
                <w:szCs w:val="20"/>
                <w:lang w:val="en-GB"/>
              </w:rPr>
            </w:pPr>
            <w:r w:rsidRPr="007764A7">
              <w:rPr>
                <w:sz w:val="20"/>
                <w:szCs w:val="20"/>
                <w:lang w:val="en-GB"/>
              </w:rPr>
              <w:t>BBCH 10-39</w:t>
            </w:r>
          </w:p>
        </w:tc>
        <w:tc>
          <w:tcPr>
            <w:tcW w:w="1578" w:type="pct"/>
            <w:tcBorders>
              <w:top w:val="single" w:sz="4" w:space="0" w:color="auto"/>
            </w:tcBorders>
            <w:shd w:val="clear" w:color="auto" w:fill="auto"/>
            <w:vAlign w:val="center"/>
          </w:tcPr>
          <w:p w14:paraId="25A8BF83" w14:textId="77777777" w:rsidR="007764A7" w:rsidRPr="007764A7" w:rsidRDefault="007764A7" w:rsidP="007764A7">
            <w:pPr>
              <w:jc w:val="center"/>
              <w:rPr>
                <w:sz w:val="20"/>
                <w:szCs w:val="20"/>
                <w:lang w:val="en-GB"/>
              </w:rPr>
            </w:pPr>
            <w:r w:rsidRPr="007764A7">
              <w:rPr>
                <w:sz w:val="20"/>
                <w:szCs w:val="20"/>
                <w:lang w:val="en-GB"/>
              </w:rPr>
              <w:t>Small omnivorous bird “lark”</w:t>
            </w:r>
          </w:p>
        </w:tc>
        <w:tc>
          <w:tcPr>
            <w:tcW w:w="539" w:type="pct"/>
            <w:vMerge w:val="restart"/>
            <w:tcBorders>
              <w:top w:val="single" w:sz="4" w:space="0" w:color="auto"/>
            </w:tcBorders>
            <w:shd w:val="clear" w:color="auto" w:fill="auto"/>
            <w:vAlign w:val="center"/>
          </w:tcPr>
          <w:p w14:paraId="55C7D789" w14:textId="77777777" w:rsidR="007764A7" w:rsidRPr="007764A7" w:rsidRDefault="007764A7" w:rsidP="007764A7">
            <w:pPr>
              <w:jc w:val="center"/>
              <w:rPr>
                <w:sz w:val="20"/>
                <w:szCs w:val="20"/>
                <w:lang w:val="en-GB"/>
              </w:rPr>
            </w:pPr>
            <w:r w:rsidRPr="007764A7">
              <w:rPr>
                <w:sz w:val="20"/>
                <w:szCs w:val="20"/>
                <w:lang w:val="en-GB"/>
              </w:rPr>
              <w:t>1.142</w:t>
            </w:r>
          </w:p>
        </w:tc>
        <w:tc>
          <w:tcPr>
            <w:tcW w:w="449" w:type="pct"/>
            <w:tcBorders>
              <w:top w:val="single" w:sz="4" w:space="0" w:color="auto"/>
            </w:tcBorders>
            <w:shd w:val="clear" w:color="auto" w:fill="auto"/>
            <w:vAlign w:val="center"/>
          </w:tcPr>
          <w:p w14:paraId="6EA47F87" w14:textId="77777777" w:rsidR="007764A7" w:rsidRPr="007764A7" w:rsidRDefault="007764A7" w:rsidP="007764A7">
            <w:pPr>
              <w:jc w:val="center"/>
              <w:rPr>
                <w:sz w:val="20"/>
                <w:szCs w:val="20"/>
                <w:lang w:val="en-GB"/>
              </w:rPr>
            </w:pPr>
            <w:r w:rsidRPr="007764A7">
              <w:rPr>
                <w:sz w:val="20"/>
                <w:szCs w:val="20"/>
              </w:rPr>
              <w:t>24</w:t>
            </w:r>
          </w:p>
        </w:tc>
        <w:tc>
          <w:tcPr>
            <w:tcW w:w="374" w:type="pct"/>
            <w:vMerge w:val="restart"/>
            <w:tcBorders>
              <w:top w:val="single" w:sz="4" w:space="0" w:color="auto"/>
            </w:tcBorders>
            <w:shd w:val="clear" w:color="auto" w:fill="auto"/>
            <w:vAlign w:val="center"/>
          </w:tcPr>
          <w:p w14:paraId="37BD594D" w14:textId="77777777" w:rsidR="007764A7" w:rsidRPr="007764A7" w:rsidRDefault="007764A7" w:rsidP="007764A7">
            <w:pPr>
              <w:jc w:val="center"/>
              <w:rPr>
                <w:sz w:val="20"/>
                <w:szCs w:val="20"/>
                <w:lang w:val="en-GB"/>
              </w:rPr>
            </w:pPr>
            <w:r w:rsidRPr="007764A7">
              <w:rPr>
                <w:sz w:val="20"/>
                <w:szCs w:val="20"/>
                <w:lang w:val="en-GB"/>
              </w:rPr>
              <w:t>1.79</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617B12B" w14:textId="77777777" w:rsidR="007764A7" w:rsidRPr="007764A7" w:rsidRDefault="007764A7" w:rsidP="007764A7">
            <w:pPr>
              <w:jc w:val="center"/>
              <w:rPr>
                <w:sz w:val="20"/>
                <w:szCs w:val="20"/>
                <w:lang w:val="en-GB"/>
              </w:rPr>
            </w:pPr>
            <w:r w:rsidRPr="007764A7">
              <w:rPr>
                <w:sz w:val="20"/>
                <w:szCs w:val="20"/>
              </w:rPr>
              <w:t>49.13</w:t>
            </w:r>
          </w:p>
        </w:tc>
        <w:tc>
          <w:tcPr>
            <w:tcW w:w="496" w:type="pct"/>
            <w:tcBorders>
              <w:top w:val="single" w:sz="4" w:space="0" w:color="auto"/>
              <w:left w:val="nil"/>
              <w:bottom w:val="single" w:sz="4" w:space="0" w:color="auto"/>
              <w:right w:val="single" w:sz="4" w:space="0" w:color="auto"/>
            </w:tcBorders>
            <w:shd w:val="clear" w:color="auto" w:fill="auto"/>
          </w:tcPr>
          <w:p w14:paraId="05F4A26E" w14:textId="41085AD8" w:rsidR="007764A7" w:rsidRPr="007764A7" w:rsidRDefault="007764A7" w:rsidP="007764A7">
            <w:pPr>
              <w:jc w:val="center"/>
              <w:rPr>
                <w:sz w:val="20"/>
                <w:szCs w:val="20"/>
                <w:highlight w:val="green"/>
                <w:lang w:val="en-GB"/>
              </w:rPr>
            </w:pPr>
            <w:r w:rsidRPr="007764A7">
              <w:rPr>
                <w:sz w:val="20"/>
                <w:szCs w:val="20"/>
              </w:rPr>
              <w:t>46.4</w:t>
            </w:r>
          </w:p>
        </w:tc>
      </w:tr>
      <w:tr w:rsidR="007764A7" w:rsidRPr="00A34F10" w14:paraId="6CDD2BCC" w14:textId="77777777" w:rsidTr="007764A7">
        <w:trPr>
          <w:cantSplit/>
        </w:trPr>
        <w:tc>
          <w:tcPr>
            <w:tcW w:w="893" w:type="pct"/>
            <w:tcBorders>
              <w:bottom w:val="single" w:sz="4" w:space="0" w:color="auto"/>
            </w:tcBorders>
            <w:shd w:val="clear" w:color="auto" w:fill="auto"/>
            <w:vAlign w:val="center"/>
          </w:tcPr>
          <w:p w14:paraId="700E62FA" w14:textId="77777777" w:rsidR="007764A7" w:rsidRPr="007764A7" w:rsidRDefault="007764A7" w:rsidP="007764A7">
            <w:pPr>
              <w:jc w:val="center"/>
              <w:rPr>
                <w:sz w:val="20"/>
                <w:szCs w:val="20"/>
                <w:lang w:val="en-GB"/>
              </w:rPr>
            </w:pPr>
            <w:r w:rsidRPr="007764A7">
              <w:rPr>
                <w:sz w:val="20"/>
                <w:szCs w:val="20"/>
                <w:lang w:val="en-GB"/>
              </w:rPr>
              <w:t>BBCH ≥40</w:t>
            </w:r>
          </w:p>
        </w:tc>
        <w:tc>
          <w:tcPr>
            <w:tcW w:w="1578" w:type="pct"/>
            <w:tcBorders>
              <w:bottom w:val="single" w:sz="4" w:space="0" w:color="auto"/>
            </w:tcBorders>
            <w:shd w:val="clear" w:color="auto" w:fill="auto"/>
            <w:vAlign w:val="center"/>
          </w:tcPr>
          <w:p w14:paraId="72F810DF" w14:textId="77777777" w:rsidR="007764A7" w:rsidRPr="007764A7" w:rsidRDefault="007764A7" w:rsidP="007764A7">
            <w:pPr>
              <w:jc w:val="center"/>
              <w:rPr>
                <w:sz w:val="20"/>
                <w:szCs w:val="20"/>
                <w:lang w:val="en-GB"/>
              </w:rPr>
            </w:pPr>
            <w:r w:rsidRPr="007764A7">
              <w:rPr>
                <w:sz w:val="20"/>
                <w:szCs w:val="20"/>
                <w:lang w:val="en-GB"/>
              </w:rPr>
              <w:t>Small omnivorous bird “lark”</w:t>
            </w:r>
          </w:p>
        </w:tc>
        <w:tc>
          <w:tcPr>
            <w:tcW w:w="539" w:type="pct"/>
            <w:vMerge/>
            <w:shd w:val="clear" w:color="auto" w:fill="auto"/>
            <w:vAlign w:val="center"/>
          </w:tcPr>
          <w:p w14:paraId="31AC2530" w14:textId="77777777" w:rsidR="007764A7" w:rsidRPr="007764A7"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341B64C0" w14:textId="77777777" w:rsidR="007764A7" w:rsidRPr="007764A7" w:rsidRDefault="007764A7" w:rsidP="007764A7">
            <w:pPr>
              <w:jc w:val="center"/>
              <w:rPr>
                <w:sz w:val="20"/>
                <w:szCs w:val="20"/>
                <w:lang w:val="en-GB"/>
              </w:rPr>
            </w:pPr>
            <w:r w:rsidRPr="007764A7">
              <w:rPr>
                <w:sz w:val="20"/>
                <w:szCs w:val="20"/>
              </w:rPr>
              <w:t>7.2</w:t>
            </w:r>
          </w:p>
        </w:tc>
        <w:tc>
          <w:tcPr>
            <w:tcW w:w="374" w:type="pct"/>
            <w:vMerge/>
            <w:shd w:val="clear" w:color="auto" w:fill="auto"/>
            <w:vAlign w:val="center"/>
          </w:tcPr>
          <w:p w14:paraId="19F4EA13" w14:textId="77777777" w:rsidR="007764A7" w:rsidRPr="007764A7"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3C4A9F3" w14:textId="77777777" w:rsidR="007764A7" w:rsidRPr="007764A7" w:rsidRDefault="007764A7" w:rsidP="007764A7">
            <w:pPr>
              <w:jc w:val="center"/>
              <w:rPr>
                <w:sz w:val="20"/>
                <w:szCs w:val="20"/>
                <w:lang w:val="en-GB"/>
              </w:rPr>
            </w:pPr>
            <w:r w:rsidRPr="007764A7">
              <w:rPr>
                <w:sz w:val="20"/>
                <w:szCs w:val="20"/>
              </w:rPr>
              <w:t>14.74</w:t>
            </w:r>
          </w:p>
        </w:tc>
        <w:tc>
          <w:tcPr>
            <w:tcW w:w="496" w:type="pct"/>
            <w:tcBorders>
              <w:top w:val="single" w:sz="4" w:space="0" w:color="auto"/>
              <w:left w:val="nil"/>
              <w:bottom w:val="single" w:sz="4" w:space="0" w:color="auto"/>
              <w:right w:val="single" w:sz="4" w:space="0" w:color="auto"/>
            </w:tcBorders>
            <w:shd w:val="clear" w:color="auto" w:fill="auto"/>
          </w:tcPr>
          <w:p w14:paraId="0AB8C152" w14:textId="11C25FC5" w:rsidR="007764A7" w:rsidRPr="007764A7" w:rsidRDefault="007764A7" w:rsidP="007764A7">
            <w:pPr>
              <w:jc w:val="center"/>
              <w:rPr>
                <w:sz w:val="20"/>
                <w:szCs w:val="20"/>
                <w:highlight w:val="green"/>
                <w:lang w:val="en-GB"/>
              </w:rPr>
            </w:pPr>
            <w:r w:rsidRPr="007764A7">
              <w:rPr>
                <w:sz w:val="20"/>
                <w:szCs w:val="20"/>
              </w:rPr>
              <w:t>154.8</w:t>
            </w:r>
          </w:p>
        </w:tc>
      </w:tr>
      <w:tr w:rsidR="007764A7" w:rsidRPr="00A34F10" w14:paraId="5E35F8C9" w14:textId="77777777" w:rsidTr="007764A7">
        <w:trPr>
          <w:cantSplit/>
        </w:trPr>
        <w:tc>
          <w:tcPr>
            <w:tcW w:w="893" w:type="pct"/>
            <w:tcBorders>
              <w:bottom w:val="single" w:sz="4" w:space="0" w:color="auto"/>
            </w:tcBorders>
            <w:shd w:val="clear" w:color="auto" w:fill="auto"/>
            <w:vAlign w:val="center"/>
          </w:tcPr>
          <w:p w14:paraId="7BE6161C" w14:textId="77777777" w:rsidR="007764A7" w:rsidRPr="007764A7" w:rsidRDefault="007764A7" w:rsidP="007764A7">
            <w:pPr>
              <w:jc w:val="center"/>
              <w:rPr>
                <w:sz w:val="20"/>
                <w:szCs w:val="20"/>
                <w:lang w:val="en-GB"/>
              </w:rPr>
            </w:pPr>
            <w:r w:rsidRPr="007764A7">
              <w:rPr>
                <w:sz w:val="20"/>
                <w:szCs w:val="20"/>
                <w:lang w:val="en-GB"/>
              </w:rPr>
              <w:t>BBCH ≥20</w:t>
            </w:r>
          </w:p>
        </w:tc>
        <w:tc>
          <w:tcPr>
            <w:tcW w:w="1578" w:type="pct"/>
            <w:tcBorders>
              <w:bottom w:val="single" w:sz="4" w:space="0" w:color="auto"/>
            </w:tcBorders>
            <w:shd w:val="clear" w:color="auto" w:fill="auto"/>
            <w:vAlign w:val="center"/>
          </w:tcPr>
          <w:p w14:paraId="44EB2AAE" w14:textId="77777777" w:rsidR="007764A7" w:rsidRPr="007764A7" w:rsidRDefault="007764A7" w:rsidP="007764A7">
            <w:pPr>
              <w:jc w:val="center"/>
              <w:rPr>
                <w:sz w:val="20"/>
                <w:szCs w:val="20"/>
                <w:lang w:val="en-GB"/>
              </w:rPr>
            </w:pPr>
            <w:r w:rsidRPr="007764A7">
              <w:rPr>
                <w:sz w:val="20"/>
                <w:szCs w:val="20"/>
                <w:lang w:val="en-GB"/>
              </w:rPr>
              <w:t>Small insectivorous bird “wagtail”</w:t>
            </w:r>
          </w:p>
        </w:tc>
        <w:tc>
          <w:tcPr>
            <w:tcW w:w="539" w:type="pct"/>
            <w:vMerge/>
            <w:tcBorders>
              <w:bottom w:val="single" w:sz="4" w:space="0" w:color="auto"/>
            </w:tcBorders>
            <w:shd w:val="clear" w:color="auto" w:fill="auto"/>
            <w:vAlign w:val="center"/>
          </w:tcPr>
          <w:p w14:paraId="0CD12E74" w14:textId="77777777" w:rsidR="007764A7" w:rsidRPr="007764A7"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4FEFD86E" w14:textId="77777777" w:rsidR="007764A7" w:rsidRPr="007764A7" w:rsidRDefault="007764A7" w:rsidP="007764A7">
            <w:pPr>
              <w:jc w:val="center"/>
              <w:rPr>
                <w:sz w:val="20"/>
                <w:szCs w:val="20"/>
                <w:lang w:val="en-GB"/>
              </w:rPr>
            </w:pPr>
            <w:r w:rsidRPr="007764A7">
              <w:rPr>
                <w:sz w:val="20"/>
                <w:szCs w:val="20"/>
              </w:rPr>
              <w:t>25.2</w:t>
            </w:r>
          </w:p>
        </w:tc>
        <w:tc>
          <w:tcPr>
            <w:tcW w:w="374" w:type="pct"/>
            <w:vMerge/>
            <w:tcBorders>
              <w:bottom w:val="single" w:sz="4" w:space="0" w:color="auto"/>
            </w:tcBorders>
            <w:shd w:val="clear" w:color="auto" w:fill="auto"/>
            <w:vAlign w:val="center"/>
          </w:tcPr>
          <w:p w14:paraId="3F4EC7F5" w14:textId="77777777" w:rsidR="007764A7" w:rsidRPr="007764A7"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C59CD3B" w14:textId="77777777" w:rsidR="007764A7" w:rsidRPr="007764A7" w:rsidRDefault="007764A7" w:rsidP="007764A7">
            <w:pPr>
              <w:jc w:val="center"/>
              <w:rPr>
                <w:sz w:val="20"/>
                <w:szCs w:val="20"/>
                <w:lang w:val="en-GB"/>
              </w:rPr>
            </w:pPr>
            <w:r w:rsidRPr="007764A7">
              <w:rPr>
                <w:sz w:val="20"/>
                <w:szCs w:val="20"/>
              </w:rPr>
              <w:t>51.58</w:t>
            </w:r>
          </w:p>
        </w:tc>
        <w:tc>
          <w:tcPr>
            <w:tcW w:w="496" w:type="pct"/>
            <w:tcBorders>
              <w:top w:val="single" w:sz="4" w:space="0" w:color="auto"/>
              <w:left w:val="nil"/>
              <w:bottom w:val="single" w:sz="4" w:space="0" w:color="auto"/>
              <w:right w:val="single" w:sz="4" w:space="0" w:color="auto"/>
            </w:tcBorders>
            <w:shd w:val="clear" w:color="auto" w:fill="auto"/>
          </w:tcPr>
          <w:p w14:paraId="2C23385C" w14:textId="11A337C6" w:rsidR="007764A7" w:rsidRPr="007764A7" w:rsidRDefault="007764A7" w:rsidP="007764A7">
            <w:pPr>
              <w:jc w:val="center"/>
              <w:rPr>
                <w:sz w:val="20"/>
                <w:szCs w:val="20"/>
                <w:highlight w:val="green"/>
                <w:lang w:val="en-GB"/>
              </w:rPr>
            </w:pPr>
            <w:r w:rsidRPr="007764A7">
              <w:rPr>
                <w:sz w:val="20"/>
                <w:szCs w:val="20"/>
              </w:rPr>
              <w:t>44.2</w:t>
            </w:r>
          </w:p>
        </w:tc>
      </w:tr>
      <w:tr w:rsidR="00DC5685" w:rsidRPr="00A34F10" w14:paraId="37A0A517" w14:textId="77777777" w:rsidTr="00AA604E">
        <w:trPr>
          <w:cantSplit/>
        </w:trPr>
        <w:tc>
          <w:tcPr>
            <w:tcW w:w="5000" w:type="pct"/>
            <w:gridSpan w:val="7"/>
            <w:tcBorders>
              <w:bottom w:val="single" w:sz="4" w:space="0" w:color="auto"/>
              <w:right w:val="single" w:sz="4" w:space="0" w:color="auto"/>
            </w:tcBorders>
            <w:shd w:val="clear" w:color="auto" w:fill="auto"/>
            <w:vAlign w:val="center"/>
          </w:tcPr>
          <w:p w14:paraId="57962F47" w14:textId="77777777" w:rsidR="00DC5685" w:rsidRPr="00A34F10" w:rsidRDefault="00DC5685" w:rsidP="00CB23D4">
            <w:pPr>
              <w:keepNext/>
              <w:jc w:val="center"/>
              <w:rPr>
                <w:sz w:val="20"/>
                <w:szCs w:val="20"/>
              </w:rPr>
            </w:pPr>
            <w:r w:rsidRPr="00A34F10">
              <w:rPr>
                <w:b/>
                <w:sz w:val="20"/>
                <w:szCs w:val="20"/>
                <w:lang w:val="en-GB"/>
              </w:rPr>
              <w:t>Potatoes (2 × ∑ (0.24 + 0.902) kg a.s./ha, BBCH 21-89)</w:t>
            </w:r>
          </w:p>
        </w:tc>
      </w:tr>
      <w:tr w:rsidR="007764A7" w:rsidRPr="00A34F10" w14:paraId="457738DB" w14:textId="77777777" w:rsidTr="007764A7">
        <w:trPr>
          <w:cantSplit/>
        </w:trPr>
        <w:tc>
          <w:tcPr>
            <w:tcW w:w="893" w:type="pct"/>
            <w:tcBorders>
              <w:bottom w:val="single" w:sz="4" w:space="0" w:color="auto"/>
            </w:tcBorders>
            <w:shd w:val="clear" w:color="auto" w:fill="auto"/>
            <w:vAlign w:val="center"/>
          </w:tcPr>
          <w:p w14:paraId="28EA2538" w14:textId="77777777" w:rsidR="007764A7" w:rsidRPr="00A34F10" w:rsidRDefault="007764A7" w:rsidP="007764A7">
            <w:pPr>
              <w:keepNext/>
              <w:jc w:val="center"/>
              <w:rPr>
                <w:sz w:val="20"/>
                <w:szCs w:val="20"/>
                <w:lang w:val="en-GB"/>
              </w:rPr>
            </w:pPr>
            <w:r w:rsidRPr="00A34F10">
              <w:rPr>
                <w:sz w:val="20"/>
                <w:szCs w:val="20"/>
                <w:lang w:val="en-GB"/>
              </w:rPr>
              <w:t>BBCH 10-39</w:t>
            </w:r>
          </w:p>
        </w:tc>
        <w:tc>
          <w:tcPr>
            <w:tcW w:w="1578" w:type="pct"/>
            <w:tcBorders>
              <w:bottom w:val="single" w:sz="4" w:space="0" w:color="auto"/>
            </w:tcBorders>
            <w:shd w:val="clear" w:color="auto" w:fill="auto"/>
            <w:vAlign w:val="center"/>
          </w:tcPr>
          <w:p w14:paraId="39A2A239" w14:textId="77777777" w:rsidR="007764A7" w:rsidRPr="00A34F10" w:rsidRDefault="007764A7" w:rsidP="007764A7">
            <w:pPr>
              <w:keepNext/>
              <w:jc w:val="center"/>
              <w:rPr>
                <w:sz w:val="20"/>
                <w:szCs w:val="20"/>
                <w:lang w:val="en-GB"/>
              </w:rPr>
            </w:pPr>
            <w:r w:rsidRPr="00A34F10">
              <w:rPr>
                <w:sz w:val="20"/>
                <w:szCs w:val="20"/>
                <w:lang w:val="en-GB"/>
              </w:rPr>
              <w:t>Small omnivorous bird “lark”</w:t>
            </w:r>
          </w:p>
        </w:tc>
        <w:tc>
          <w:tcPr>
            <w:tcW w:w="539" w:type="pct"/>
            <w:vMerge w:val="restart"/>
            <w:shd w:val="clear" w:color="auto" w:fill="auto"/>
            <w:vAlign w:val="center"/>
          </w:tcPr>
          <w:p w14:paraId="2F36261F" w14:textId="77777777" w:rsidR="007764A7" w:rsidRPr="00A34F10" w:rsidRDefault="007764A7" w:rsidP="007764A7">
            <w:pPr>
              <w:keepNext/>
              <w:jc w:val="center"/>
              <w:rPr>
                <w:sz w:val="20"/>
                <w:szCs w:val="20"/>
                <w:lang w:val="en-GB"/>
              </w:rPr>
            </w:pPr>
            <w:r w:rsidRPr="00A34F10">
              <w:rPr>
                <w:sz w:val="20"/>
                <w:szCs w:val="20"/>
                <w:lang w:val="en-GB"/>
              </w:rPr>
              <w:t>1.142</w:t>
            </w:r>
          </w:p>
        </w:tc>
        <w:tc>
          <w:tcPr>
            <w:tcW w:w="449" w:type="pct"/>
            <w:tcBorders>
              <w:bottom w:val="single" w:sz="4" w:space="0" w:color="auto"/>
            </w:tcBorders>
            <w:shd w:val="clear" w:color="auto" w:fill="auto"/>
            <w:vAlign w:val="center"/>
          </w:tcPr>
          <w:p w14:paraId="4B613CB1" w14:textId="77777777" w:rsidR="007764A7" w:rsidRPr="00A34F10" w:rsidRDefault="007764A7" w:rsidP="007764A7">
            <w:pPr>
              <w:keepNext/>
              <w:jc w:val="center"/>
              <w:rPr>
                <w:sz w:val="20"/>
                <w:szCs w:val="20"/>
              </w:rPr>
            </w:pPr>
            <w:r w:rsidRPr="00A34F10">
              <w:rPr>
                <w:sz w:val="20"/>
                <w:szCs w:val="20"/>
              </w:rPr>
              <w:t>24</w:t>
            </w:r>
          </w:p>
        </w:tc>
        <w:tc>
          <w:tcPr>
            <w:tcW w:w="374" w:type="pct"/>
            <w:vMerge w:val="restart"/>
            <w:shd w:val="clear" w:color="auto" w:fill="auto"/>
            <w:vAlign w:val="center"/>
          </w:tcPr>
          <w:p w14:paraId="6C622C70" w14:textId="77777777" w:rsidR="007764A7" w:rsidRPr="00A34F10" w:rsidRDefault="007764A7" w:rsidP="007764A7">
            <w:pPr>
              <w:keepNext/>
              <w:jc w:val="center"/>
              <w:rPr>
                <w:sz w:val="20"/>
                <w:szCs w:val="20"/>
                <w:lang w:val="en-GB"/>
              </w:rPr>
            </w:pPr>
            <w:r w:rsidRPr="00A34F10">
              <w:rPr>
                <w:sz w:val="20"/>
                <w:szCs w:val="20"/>
                <w:lang w:val="en-GB"/>
              </w:rPr>
              <w:t>1.48</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D4FB23C" w14:textId="77777777" w:rsidR="007764A7" w:rsidRPr="00AA604E" w:rsidRDefault="007764A7" w:rsidP="007764A7">
            <w:pPr>
              <w:keepNext/>
              <w:jc w:val="center"/>
              <w:rPr>
                <w:sz w:val="20"/>
                <w:szCs w:val="20"/>
              </w:rPr>
            </w:pPr>
            <w:r w:rsidRPr="00AA604E">
              <w:rPr>
                <w:sz w:val="20"/>
                <w:szCs w:val="20"/>
              </w:rPr>
              <w:t>40.58</w:t>
            </w:r>
          </w:p>
        </w:tc>
        <w:tc>
          <w:tcPr>
            <w:tcW w:w="496" w:type="pct"/>
            <w:tcBorders>
              <w:top w:val="single" w:sz="4" w:space="0" w:color="auto"/>
              <w:left w:val="nil"/>
              <w:bottom w:val="single" w:sz="4" w:space="0" w:color="auto"/>
              <w:right w:val="single" w:sz="4" w:space="0" w:color="auto"/>
            </w:tcBorders>
            <w:shd w:val="clear" w:color="auto" w:fill="auto"/>
            <w:vAlign w:val="center"/>
          </w:tcPr>
          <w:p w14:paraId="457570DA" w14:textId="655F23F4" w:rsidR="007764A7" w:rsidRPr="008E1E5E" w:rsidRDefault="007764A7" w:rsidP="007764A7">
            <w:pPr>
              <w:keepNext/>
              <w:jc w:val="center"/>
              <w:rPr>
                <w:sz w:val="20"/>
                <w:szCs w:val="20"/>
              </w:rPr>
            </w:pPr>
            <w:r w:rsidRPr="00A34F10">
              <w:rPr>
                <w:sz w:val="20"/>
                <w:szCs w:val="20"/>
              </w:rPr>
              <w:t>56.2</w:t>
            </w:r>
          </w:p>
        </w:tc>
      </w:tr>
      <w:tr w:rsidR="007764A7" w:rsidRPr="00A34F10" w14:paraId="14657EC7" w14:textId="77777777" w:rsidTr="007764A7">
        <w:trPr>
          <w:cantSplit/>
        </w:trPr>
        <w:tc>
          <w:tcPr>
            <w:tcW w:w="893" w:type="pct"/>
            <w:tcBorders>
              <w:bottom w:val="single" w:sz="4" w:space="0" w:color="auto"/>
            </w:tcBorders>
            <w:shd w:val="clear" w:color="auto" w:fill="auto"/>
            <w:vAlign w:val="center"/>
          </w:tcPr>
          <w:p w14:paraId="09CD0559" w14:textId="77777777" w:rsidR="007764A7" w:rsidRPr="00A34F10" w:rsidRDefault="007764A7" w:rsidP="007764A7">
            <w:pPr>
              <w:keepNext/>
              <w:jc w:val="center"/>
              <w:rPr>
                <w:sz w:val="20"/>
                <w:szCs w:val="20"/>
                <w:lang w:val="en-GB"/>
              </w:rPr>
            </w:pPr>
            <w:r w:rsidRPr="00A34F10">
              <w:rPr>
                <w:sz w:val="20"/>
                <w:szCs w:val="20"/>
                <w:lang w:val="en-GB"/>
              </w:rPr>
              <w:t>BBCH ≥40</w:t>
            </w:r>
          </w:p>
        </w:tc>
        <w:tc>
          <w:tcPr>
            <w:tcW w:w="1578" w:type="pct"/>
            <w:tcBorders>
              <w:bottom w:val="single" w:sz="4" w:space="0" w:color="auto"/>
            </w:tcBorders>
            <w:shd w:val="clear" w:color="auto" w:fill="auto"/>
            <w:vAlign w:val="center"/>
          </w:tcPr>
          <w:p w14:paraId="1952EE5E" w14:textId="77777777" w:rsidR="007764A7" w:rsidRPr="00A34F10" w:rsidRDefault="007764A7" w:rsidP="007764A7">
            <w:pPr>
              <w:keepNext/>
              <w:jc w:val="center"/>
              <w:rPr>
                <w:sz w:val="20"/>
                <w:szCs w:val="20"/>
                <w:lang w:val="en-GB"/>
              </w:rPr>
            </w:pPr>
            <w:r w:rsidRPr="00A34F10">
              <w:rPr>
                <w:sz w:val="20"/>
                <w:szCs w:val="20"/>
                <w:lang w:val="en-GB"/>
              </w:rPr>
              <w:t>Small omnivorous bird “lark”</w:t>
            </w:r>
          </w:p>
        </w:tc>
        <w:tc>
          <w:tcPr>
            <w:tcW w:w="539" w:type="pct"/>
            <w:vMerge/>
            <w:shd w:val="clear" w:color="auto" w:fill="auto"/>
            <w:vAlign w:val="center"/>
          </w:tcPr>
          <w:p w14:paraId="1D8F471F" w14:textId="77777777" w:rsidR="007764A7" w:rsidRPr="00A34F10" w:rsidRDefault="007764A7" w:rsidP="007764A7">
            <w:pPr>
              <w:keepNext/>
              <w:jc w:val="center"/>
              <w:rPr>
                <w:sz w:val="20"/>
                <w:szCs w:val="20"/>
                <w:lang w:val="en-GB"/>
              </w:rPr>
            </w:pPr>
          </w:p>
        </w:tc>
        <w:tc>
          <w:tcPr>
            <w:tcW w:w="449" w:type="pct"/>
            <w:tcBorders>
              <w:bottom w:val="single" w:sz="4" w:space="0" w:color="auto"/>
            </w:tcBorders>
            <w:shd w:val="clear" w:color="auto" w:fill="auto"/>
            <w:vAlign w:val="center"/>
          </w:tcPr>
          <w:p w14:paraId="1CA821DE" w14:textId="77777777" w:rsidR="007764A7" w:rsidRPr="00A34F10" w:rsidRDefault="007764A7" w:rsidP="007764A7">
            <w:pPr>
              <w:keepNext/>
              <w:jc w:val="center"/>
              <w:rPr>
                <w:sz w:val="20"/>
                <w:szCs w:val="20"/>
              </w:rPr>
            </w:pPr>
            <w:r w:rsidRPr="00A34F10">
              <w:rPr>
                <w:sz w:val="20"/>
                <w:szCs w:val="20"/>
              </w:rPr>
              <w:t>7.2</w:t>
            </w:r>
          </w:p>
        </w:tc>
        <w:tc>
          <w:tcPr>
            <w:tcW w:w="374" w:type="pct"/>
            <w:vMerge/>
            <w:shd w:val="clear" w:color="auto" w:fill="auto"/>
            <w:vAlign w:val="center"/>
          </w:tcPr>
          <w:p w14:paraId="7927FE90" w14:textId="77777777" w:rsidR="007764A7" w:rsidRPr="00A34F10" w:rsidRDefault="007764A7" w:rsidP="007764A7">
            <w:pPr>
              <w:keepNext/>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E5DCE01" w14:textId="77777777" w:rsidR="007764A7" w:rsidRPr="00AA604E" w:rsidRDefault="007764A7" w:rsidP="007764A7">
            <w:pPr>
              <w:keepNext/>
              <w:jc w:val="center"/>
              <w:rPr>
                <w:sz w:val="20"/>
                <w:szCs w:val="20"/>
              </w:rPr>
            </w:pPr>
            <w:r w:rsidRPr="00AA604E">
              <w:rPr>
                <w:sz w:val="20"/>
                <w:szCs w:val="20"/>
              </w:rPr>
              <w:t>12.18</w:t>
            </w:r>
          </w:p>
        </w:tc>
        <w:tc>
          <w:tcPr>
            <w:tcW w:w="496" w:type="pct"/>
            <w:tcBorders>
              <w:top w:val="single" w:sz="4" w:space="0" w:color="auto"/>
              <w:left w:val="nil"/>
              <w:bottom w:val="single" w:sz="4" w:space="0" w:color="auto"/>
              <w:right w:val="single" w:sz="4" w:space="0" w:color="auto"/>
            </w:tcBorders>
            <w:shd w:val="clear" w:color="auto" w:fill="auto"/>
            <w:vAlign w:val="center"/>
          </w:tcPr>
          <w:p w14:paraId="3FB4C139" w14:textId="46EA543B" w:rsidR="007764A7" w:rsidRPr="008E1E5E" w:rsidRDefault="007764A7" w:rsidP="007764A7">
            <w:pPr>
              <w:keepNext/>
              <w:jc w:val="center"/>
              <w:rPr>
                <w:sz w:val="20"/>
                <w:szCs w:val="20"/>
              </w:rPr>
            </w:pPr>
            <w:r w:rsidRPr="00A34F10">
              <w:rPr>
                <w:sz w:val="20"/>
                <w:szCs w:val="20"/>
              </w:rPr>
              <w:t>187.4</w:t>
            </w:r>
          </w:p>
        </w:tc>
      </w:tr>
      <w:tr w:rsidR="007764A7" w:rsidRPr="00A34F10" w14:paraId="5F6E26F3" w14:textId="77777777" w:rsidTr="007764A7">
        <w:trPr>
          <w:cantSplit/>
        </w:trPr>
        <w:tc>
          <w:tcPr>
            <w:tcW w:w="893" w:type="pct"/>
            <w:tcBorders>
              <w:bottom w:val="single" w:sz="4" w:space="0" w:color="auto"/>
            </w:tcBorders>
            <w:shd w:val="clear" w:color="auto" w:fill="auto"/>
            <w:vAlign w:val="center"/>
          </w:tcPr>
          <w:p w14:paraId="14BD4E52" w14:textId="77777777" w:rsidR="007764A7" w:rsidRPr="00A34F10" w:rsidRDefault="007764A7" w:rsidP="007764A7">
            <w:pPr>
              <w:jc w:val="center"/>
              <w:rPr>
                <w:sz w:val="20"/>
                <w:szCs w:val="20"/>
                <w:lang w:val="en-GB"/>
              </w:rPr>
            </w:pPr>
            <w:r w:rsidRPr="00A34F10">
              <w:rPr>
                <w:sz w:val="20"/>
                <w:szCs w:val="20"/>
                <w:lang w:val="en-GB"/>
              </w:rPr>
              <w:t>BBCH ≥20</w:t>
            </w:r>
          </w:p>
        </w:tc>
        <w:tc>
          <w:tcPr>
            <w:tcW w:w="1578" w:type="pct"/>
            <w:tcBorders>
              <w:bottom w:val="single" w:sz="4" w:space="0" w:color="auto"/>
            </w:tcBorders>
            <w:shd w:val="clear" w:color="auto" w:fill="auto"/>
            <w:vAlign w:val="center"/>
          </w:tcPr>
          <w:p w14:paraId="3D7251D7" w14:textId="77777777" w:rsidR="007764A7" w:rsidRPr="00A34F10" w:rsidRDefault="007764A7" w:rsidP="007764A7">
            <w:pPr>
              <w:jc w:val="center"/>
              <w:rPr>
                <w:sz w:val="20"/>
                <w:szCs w:val="20"/>
                <w:lang w:val="en-GB"/>
              </w:rPr>
            </w:pPr>
            <w:r w:rsidRPr="00A34F10">
              <w:rPr>
                <w:sz w:val="20"/>
                <w:szCs w:val="20"/>
                <w:lang w:val="en-GB"/>
              </w:rPr>
              <w:t>Small insectivorous bird “wagtail”</w:t>
            </w:r>
          </w:p>
        </w:tc>
        <w:tc>
          <w:tcPr>
            <w:tcW w:w="539" w:type="pct"/>
            <w:vMerge/>
            <w:tcBorders>
              <w:bottom w:val="single" w:sz="4" w:space="0" w:color="auto"/>
            </w:tcBorders>
            <w:shd w:val="clear" w:color="auto" w:fill="auto"/>
            <w:vAlign w:val="center"/>
          </w:tcPr>
          <w:p w14:paraId="65BA8BD5"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40934558" w14:textId="77777777" w:rsidR="007764A7" w:rsidRPr="00A34F10" w:rsidRDefault="007764A7" w:rsidP="007764A7">
            <w:pPr>
              <w:jc w:val="center"/>
              <w:rPr>
                <w:sz w:val="20"/>
                <w:szCs w:val="20"/>
              </w:rPr>
            </w:pPr>
            <w:r w:rsidRPr="00A34F10">
              <w:rPr>
                <w:sz w:val="20"/>
                <w:szCs w:val="20"/>
              </w:rPr>
              <w:t>25.2</w:t>
            </w:r>
          </w:p>
        </w:tc>
        <w:tc>
          <w:tcPr>
            <w:tcW w:w="374" w:type="pct"/>
            <w:vMerge/>
            <w:tcBorders>
              <w:bottom w:val="single" w:sz="4" w:space="0" w:color="auto"/>
            </w:tcBorders>
            <w:shd w:val="clear" w:color="auto" w:fill="auto"/>
            <w:vAlign w:val="center"/>
          </w:tcPr>
          <w:p w14:paraId="6CD80813" w14:textId="77777777" w:rsidR="007764A7" w:rsidRPr="00A34F10"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6BAA934" w14:textId="77777777" w:rsidR="007764A7" w:rsidRPr="00AA604E" w:rsidRDefault="007764A7" w:rsidP="007764A7">
            <w:pPr>
              <w:jc w:val="center"/>
              <w:rPr>
                <w:sz w:val="20"/>
                <w:szCs w:val="20"/>
              </w:rPr>
            </w:pPr>
            <w:r w:rsidRPr="00AA604E">
              <w:rPr>
                <w:sz w:val="20"/>
                <w:szCs w:val="20"/>
              </w:rPr>
              <w:t>42.61</w:t>
            </w:r>
          </w:p>
        </w:tc>
        <w:tc>
          <w:tcPr>
            <w:tcW w:w="496" w:type="pct"/>
            <w:tcBorders>
              <w:top w:val="single" w:sz="4" w:space="0" w:color="auto"/>
              <w:left w:val="nil"/>
              <w:bottom w:val="single" w:sz="4" w:space="0" w:color="auto"/>
              <w:right w:val="single" w:sz="4" w:space="0" w:color="auto"/>
            </w:tcBorders>
            <w:shd w:val="clear" w:color="auto" w:fill="auto"/>
            <w:vAlign w:val="center"/>
          </w:tcPr>
          <w:p w14:paraId="31FA03BD" w14:textId="03419B7C" w:rsidR="007764A7" w:rsidRPr="008E1E5E" w:rsidRDefault="007764A7" w:rsidP="007764A7">
            <w:pPr>
              <w:jc w:val="center"/>
              <w:rPr>
                <w:sz w:val="20"/>
                <w:szCs w:val="20"/>
              </w:rPr>
            </w:pPr>
            <w:r w:rsidRPr="00A34F10">
              <w:rPr>
                <w:sz w:val="20"/>
                <w:szCs w:val="20"/>
              </w:rPr>
              <w:t>53.5</w:t>
            </w:r>
          </w:p>
        </w:tc>
      </w:tr>
      <w:tr w:rsidR="00DC5685" w:rsidRPr="00A34F10" w14:paraId="386690EA" w14:textId="77777777" w:rsidTr="00AA604E">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1A9A9C30" w14:textId="77777777" w:rsidR="00DC5685" w:rsidRPr="00A34F10" w:rsidRDefault="00DC5685" w:rsidP="007764A7">
            <w:pPr>
              <w:keepNext/>
              <w:keepLines/>
              <w:jc w:val="center"/>
              <w:rPr>
                <w:b/>
                <w:color w:val="000000"/>
                <w:sz w:val="20"/>
                <w:szCs w:val="20"/>
                <w:highlight w:val="yellow"/>
                <w:lang w:val="en-GB"/>
              </w:rPr>
            </w:pPr>
            <w:r w:rsidRPr="00A34F10">
              <w:rPr>
                <w:b/>
                <w:sz w:val="20"/>
                <w:szCs w:val="20"/>
                <w:lang w:val="en-GB"/>
              </w:rPr>
              <w:lastRenderedPageBreak/>
              <w:t>Bulbs and onion like crops (2 × ∑ 0.24 + 0.902 kg a.s./ha, BBCH 14–49)</w:t>
            </w:r>
          </w:p>
        </w:tc>
      </w:tr>
      <w:tr w:rsidR="007764A7" w:rsidRPr="00A34F10" w14:paraId="19BE11AF" w14:textId="77777777" w:rsidTr="007764A7">
        <w:trPr>
          <w:cantSplit/>
        </w:trPr>
        <w:tc>
          <w:tcPr>
            <w:tcW w:w="893" w:type="pct"/>
            <w:tcBorders>
              <w:top w:val="single" w:sz="4" w:space="0" w:color="auto"/>
              <w:left w:val="single" w:sz="4" w:space="0" w:color="auto"/>
              <w:bottom w:val="single" w:sz="2" w:space="0" w:color="auto"/>
              <w:right w:val="single" w:sz="4" w:space="0" w:color="auto"/>
            </w:tcBorders>
            <w:shd w:val="clear" w:color="auto" w:fill="auto"/>
            <w:vAlign w:val="center"/>
          </w:tcPr>
          <w:p w14:paraId="51D232AE" w14:textId="77777777" w:rsidR="007764A7" w:rsidRPr="00A34F10" w:rsidRDefault="007764A7" w:rsidP="007764A7">
            <w:pPr>
              <w:keepNext/>
              <w:keepLines/>
              <w:jc w:val="center"/>
              <w:rPr>
                <w:color w:val="000000"/>
                <w:sz w:val="20"/>
                <w:szCs w:val="20"/>
                <w:lang w:val="en-GB" w:eastAsia="en-GB"/>
              </w:rPr>
            </w:pPr>
            <w:r w:rsidRPr="00A34F10">
              <w:rPr>
                <w:sz w:val="20"/>
                <w:szCs w:val="20"/>
              </w:rPr>
              <w:t>BBCH 10-39</w:t>
            </w:r>
          </w:p>
        </w:tc>
        <w:tc>
          <w:tcPr>
            <w:tcW w:w="1578" w:type="pct"/>
            <w:tcBorders>
              <w:top w:val="single" w:sz="4" w:space="0" w:color="auto"/>
              <w:left w:val="nil"/>
              <w:bottom w:val="single" w:sz="2" w:space="0" w:color="auto"/>
              <w:right w:val="single" w:sz="4" w:space="0" w:color="auto"/>
            </w:tcBorders>
            <w:shd w:val="clear" w:color="auto" w:fill="auto"/>
            <w:vAlign w:val="center"/>
          </w:tcPr>
          <w:p w14:paraId="07EF169B" w14:textId="77777777" w:rsidR="007764A7" w:rsidRPr="00A34F10" w:rsidRDefault="007764A7" w:rsidP="007764A7">
            <w:pPr>
              <w:jc w:val="center"/>
              <w:rPr>
                <w:color w:val="000000"/>
                <w:sz w:val="20"/>
                <w:szCs w:val="20"/>
                <w:lang w:val="en-GB"/>
              </w:rPr>
            </w:pPr>
            <w:r w:rsidRPr="00A34F10">
              <w:rPr>
                <w:sz w:val="20"/>
                <w:szCs w:val="20"/>
                <w:lang w:val="en-GB"/>
              </w:rPr>
              <w:t>Small granivorous bird “finch”</w:t>
            </w:r>
          </w:p>
        </w:tc>
        <w:tc>
          <w:tcPr>
            <w:tcW w:w="539" w:type="pct"/>
            <w:vMerge w:val="restart"/>
            <w:shd w:val="clear" w:color="auto" w:fill="auto"/>
            <w:vAlign w:val="center"/>
          </w:tcPr>
          <w:p w14:paraId="7A42E02B" w14:textId="77777777" w:rsidR="007764A7" w:rsidRPr="00A34F10" w:rsidRDefault="007764A7" w:rsidP="007764A7">
            <w:pPr>
              <w:jc w:val="center"/>
              <w:rPr>
                <w:sz w:val="20"/>
                <w:szCs w:val="20"/>
                <w:lang w:val="en-GB"/>
              </w:rPr>
            </w:pPr>
            <w:r w:rsidRPr="00A34F10">
              <w:rPr>
                <w:sz w:val="20"/>
                <w:szCs w:val="20"/>
                <w:lang w:val="en-GB"/>
              </w:rPr>
              <w:t>1.142</w:t>
            </w:r>
          </w:p>
        </w:tc>
        <w:tc>
          <w:tcPr>
            <w:tcW w:w="449" w:type="pct"/>
            <w:tcBorders>
              <w:top w:val="single" w:sz="4" w:space="0" w:color="auto"/>
              <w:left w:val="single" w:sz="4" w:space="0" w:color="auto"/>
              <w:bottom w:val="single" w:sz="2" w:space="0" w:color="auto"/>
              <w:right w:val="single" w:sz="4" w:space="0" w:color="auto"/>
            </w:tcBorders>
            <w:shd w:val="clear" w:color="auto" w:fill="auto"/>
            <w:vAlign w:val="center"/>
          </w:tcPr>
          <w:p w14:paraId="729EC3BC" w14:textId="77777777" w:rsidR="007764A7" w:rsidRPr="00A34F10" w:rsidRDefault="007764A7" w:rsidP="007764A7">
            <w:pPr>
              <w:jc w:val="center"/>
              <w:rPr>
                <w:color w:val="000000"/>
                <w:sz w:val="20"/>
                <w:szCs w:val="20"/>
                <w:lang w:val="en-GB" w:eastAsia="en-GB"/>
              </w:rPr>
            </w:pPr>
            <w:r w:rsidRPr="00A34F10">
              <w:rPr>
                <w:sz w:val="20"/>
                <w:szCs w:val="20"/>
              </w:rPr>
              <w:t>24.7</w:t>
            </w:r>
          </w:p>
        </w:tc>
        <w:tc>
          <w:tcPr>
            <w:tcW w:w="374" w:type="pct"/>
            <w:vMerge w:val="restart"/>
            <w:shd w:val="clear" w:color="auto" w:fill="auto"/>
            <w:vAlign w:val="center"/>
          </w:tcPr>
          <w:p w14:paraId="4FC7F5B6" w14:textId="77777777" w:rsidR="007764A7" w:rsidRPr="00A34F10" w:rsidRDefault="007764A7" w:rsidP="007764A7">
            <w:pPr>
              <w:jc w:val="center"/>
              <w:rPr>
                <w:sz w:val="20"/>
                <w:szCs w:val="20"/>
                <w:lang w:val="en-GB"/>
              </w:rPr>
            </w:pPr>
            <w:r w:rsidRPr="00A34F10">
              <w:rPr>
                <w:sz w:val="20"/>
                <w:szCs w:val="20"/>
                <w:lang w:val="en-GB"/>
              </w:rPr>
              <w:t>1.48</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452A2F0B" w14:textId="77777777" w:rsidR="007764A7" w:rsidRPr="00AA604E" w:rsidRDefault="007764A7" w:rsidP="007764A7">
            <w:pPr>
              <w:jc w:val="center"/>
              <w:rPr>
                <w:sz w:val="20"/>
                <w:szCs w:val="20"/>
                <w:lang w:val="en-GB" w:eastAsia="en-GB"/>
              </w:rPr>
            </w:pPr>
            <w:r w:rsidRPr="00AA604E">
              <w:rPr>
                <w:sz w:val="20"/>
                <w:szCs w:val="20"/>
              </w:rPr>
              <w:t>41.77</w:t>
            </w:r>
          </w:p>
        </w:tc>
        <w:tc>
          <w:tcPr>
            <w:tcW w:w="496" w:type="pct"/>
            <w:tcBorders>
              <w:top w:val="single" w:sz="4" w:space="0" w:color="auto"/>
              <w:left w:val="single" w:sz="4" w:space="0" w:color="auto"/>
              <w:bottom w:val="single" w:sz="2" w:space="0" w:color="auto"/>
              <w:right w:val="single" w:sz="4" w:space="0" w:color="auto"/>
            </w:tcBorders>
            <w:shd w:val="clear" w:color="auto" w:fill="auto"/>
            <w:vAlign w:val="center"/>
          </w:tcPr>
          <w:p w14:paraId="7E5B905C" w14:textId="354D5447" w:rsidR="007764A7" w:rsidRPr="00AA604E" w:rsidRDefault="007764A7" w:rsidP="007764A7">
            <w:pPr>
              <w:jc w:val="center"/>
              <w:rPr>
                <w:sz w:val="20"/>
                <w:szCs w:val="20"/>
                <w:highlight w:val="green"/>
                <w:lang w:val="en-GB" w:eastAsia="en-GB"/>
              </w:rPr>
            </w:pPr>
            <w:r w:rsidRPr="00A34F10">
              <w:rPr>
                <w:sz w:val="20"/>
                <w:szCs w:val="20"/>
              </w:rPr>
              <w:t>54.6</w:t>
            </w:r>
          </w:p>
        </w:tc>
      </w:tr>
      <w:tr w:rsidR="007764A7" w:rsidRPr="00A34F10" w14:paraId="08113FC6" w14:textId="77777777" w:rsidTr="007764A7">
        <w:trPr>
          <w:cantSplit/>
        </w:trPr>
        <w:tc>
          <w:tcPr>
            <w:tcW w:w="893" w:type="pct"/>
            <w:tcBorders>
              <w:top w:val="single" w:sz="2" w:space="0" w:color="auto"/>
              <w:left w:val="single" w:sz="4" w:space="0" w:color="auto"/>
              <w:bottom w:val="single" w:sz="4" w:space="0" w:color="auto"/>
              <w:right w:val="single" w:sz="4" w:space="0" w:color="auto"/>
            </w:tcBorders>
            <w:shd w:val="clear" w:color="auto" w:fill="auto"/>
            <w:vAlign w:val="center"/>
          </w:tcPr>
          <w:p w14:paraId="2BB92E95" w14:textId="77777777" w:rsidR="007764A7" w:rsidRPr="00A34F10" w:rsidRDefault="007764A7" w:rsidP="007764A7">
            <w:pPr>
              <w:keepNext/>
              <w:keepLines/>
              <w:jc w:val="center"/>
              <w:rPr>
                <w:color w:val="000000"/>
                <w:sz w:val="20"/>
                <w:szCs w:val="20"/>
                <w:lang w:val="en-GB"/>
              </w:rPr>
            </w:pPr>
            <w:r w:rsidRPr="00A34F10">
              <w:rPr>
                <w:sz w:val="20"/>
                <w:szCs w:val="20"/>
              </w:rPr>
              <w:t>BBCH ≥40</w:t>
            </w:r>
          </w:p>
        </w:tc>
        <w:tc>
          <w:tcPr>
            <w:tcW w:w="1578" w:type="pct"/>
            <w:tcBorders>
              <w:top w:val="single" w:sz="2" w:space="0" w:color="auto"/>
              <w:left w:val="nil"/>
              <w:bottom w:val="single" w:sz="4" w:space="0" w:color="auto"/>
              <w:right w:val="single" w:sz="4" w:space="0" w:color="auto"/>
            </w:tcBorders>
            <w:shd w:val="clear" w:color="auto" w:fill="auto"/>
            <w:vAlign w:val="center"/>
          </w:tcPr>
          <w:p w14:paraId="7A3CD2F5" w14:textId="77777777" w:rsidR="007764A7" w:rsidRPr="00A34F10" w:rsidRDefault="007764A7" w:rsidP="007764A7">
            <w:pPr>
              <w:jc w:val="center"/>
              <w:rPr>
                <w:color w:val="000000"/>
                <w:sz w:val="20"/>
                <w:szCs w:val="20"/>
                <w:lang w:val="en-GB"/>
              </w:rPr>
            </w:pPr>
            <w:r w:rsidRPr="00A34F10">
              <w:rPr>
                <w:sz w:val="20"/>
                <w:szCs w:val="20"/>
                <w:lang w:val="en-GB"/>
              </w:rPr>
              <w:t>Small granivorous bird “finch”</w:t>
            </w:r>
          </w:p>
        </w:tc>
        <w:tc>
          <w:tcPr>
            <w:tcW w:w="539" w:type="pct"/>
            <w:vMerge/>
            <w:shd w:val="clear" w:color="auto" w:fill="auto"/>
            <w:vAlign w:val="center"/>
          </w:tcPr>
          <w:p w14:paraId="0A75F020" w14:textId="77777777" w:rsidR="007764A7" w:rsidRPr="00A34F10" w:rsidRDefault="007764A7" w:rsidP="007764A7">
            <w:pPr>
              <w:jc w:val="center"/>
              <w:rPr>
                <w:sz w:val="20"/>
                <w:szCs w:val="20"/>
                <w:lang w:val="en-GB"/>
              </w:rPr>
            </w:pPr>
          </w:p>
        </w:tc>
        <w:tc>
          <w:tcPr>
            <w:tcW w:w="449" w:type="pct"/>
            <w:tcBorders>
              <w:top w:val="single" w:sz="2" w:space="0" w:color="auto"/>
              <w:left w:val="single" w:sz="4" w:space="0" w:color="auto"/>
              <w:bottom w:val="single" w:sz="4" w:space="0" w:color="auto"/>
              <w:right w:val="single" w:sz="4" w:space="0" w:color="auto"/>
            </w:tcBorders>
            <w:shd w:val="clear" w:color="auto" w:fill="auto"/>
            <w:vAlign w:val="center"/>
          </w:tcPr>
          <w:p w14:paraId="6989BD7C" w14:textId="77777777" w:rsidR="007764A7" w:rsidRPr="00A34F10" w:rsidRDefault="007764A7" w:rsidP="007764A7">
            <w:pPr>
              <w:jc w:val="center"/>
              <w:rPr>
                <w:color w:val="000000"/>
                <w:sz w:val="20"/>
                <w:szCs w:val="20"/>
                <w:lang w:val="en-GB"/>
              </w:rPr>
            </w:pPr>
            <w:r w:rsidRPr="00A34F10">
              <w:rPr>
                <w:sz w:val="20"/>
                <w:szCs w:val="20"/>
              </w:rPr>
              <w:t>14.8</w:t>
            </w:r>
          </w:p>
        </w:tc>
        <w:tc>
          <w:tcPr>
            <w:tcW w:w="374" w:type="pct"/>
            <w:vMerge/>
            <w:shd w:val="clear" w:color="auto" w:fill="auto"/>
            <w:vAlign w:val="center"/>
          </w:tcPr>
          <w:p w14:paraId="64373149" w14:textId="77777777" w:rsidR="007764A7" w:rsidRPr="00A34F10" w:rsidRDefault="007764A7" w:rsidP="007764A7">
            <w:pPr>
              <w:jc w:val="center"/>
              <w:rPr>
                <w:sz w:val="20"/>
                <w:szCs w:val="20"/>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346AA54C" w14:textId="77777777" w:rsidR="007764A7" w:rsidRPr="00AA604E" w:rsidRDefault="007764A7" w:rsidP="007764A7">
            <w:pPr>
              <w:jc w:val="center"/>
              <w:rPr>
                <w:sz w:val="20"/>
                <w:szCs w:val="20"/>
                <w:lang w:val="en-GB"/>
              </w:rPr>
            </w:pPr>
            <w:r w:rsidRPr="00AA604E">
              <w:rPr>
                <w:sz w:val="20"/>
                <w:szCs w:val="20"/>
              </w:rPr>
              <w:t>25.03</w:t>
            </w:r>
          </w:p>
        </w:tc>
        <w:tc>
          <w:tcPr>
            <w:tcW w:w="496" w:type="pct"/>
            <w:tcBorders>
              <w:top w:val="single" w:sz="2" w:space="0" w:color="auto"/>
              <w:left w:val="single" w:sz="4" w:space="0" w:color="auto"/>
              <w:bottom w:val="single" w:sz="4" w:space="0" w:color="auto"/>
              <w:right w:val="single" w:sz="4" w:space="0" w:color="auto"/>
            </w:tcBorders>
            <w:shd w:val="clear" w:color="auto" w:fill="auto"/>
            <w:vAlign w:val="center"/>
          </w:tcPr>
          <w:p w14:paraId="7A541E09" w14:textId="0BDF7690" w:rsidR="007764A7" w:rsidRPr="00AA604E" w:rsidRDefault="007764A7" w:rsidP="007764A7">
            <w:pPr>
              <w:jc w:val="center"/>
              <w:rPr>
                <w:sz w:val="20"/>
                <w:szCs w:val="20"/>
                <w:highlight w:val="green"/>
                <w:lang w:val="en-GB"/>
              </w:rPr>
            </w:pPr>
            <w:r w:rsidRPr="00A34F10">
              <w:rPr>
                <w:sz w:val="20"/>
                <w:szCs w:val="20"/>
              </w:rPr>
              <w:t>91.2</w:t>
            </w:r>
          </w:p>
        </w:tc>
      </w:tr>
      <w:tr w:rsidR="007764A7" w:rsidRPr="00A34F10" w14:paraId="73060BA2" w14:textId="77777777" w:rsidTr="007764A7">
        <w:trPr>
          <w:cantSplit/>
        </w:trPr>
        <w:tc>
          <w:tcPr>
            <w:tcW w:w="893" w:type="pct"/>
            <w:tcBorders>
              <w:top w:val="nil"/>
              <w:left w:val="single" w:sz="4" w:space="0" w:color="auto"/>
              <w:bottom w:val="single" w:sz="4" w:space="0" w:color="auto"/>
              <w:right w:val="single" w:sz="4" w:space="0" w:color="auto"/>
            </w:tcBorders>
            <w:shd w:val="clear" w:color="auto" w:fill="auto"/>
            <w:vAlign w:val="center"/>
          </w:tcPr>
          <w:p w14:paraId="18C85630" w14:textId="77777777" w:rsidR="007764A7" w:rsidRPr="00A34F10" w:rsidRDefault="007764A7" w:rsidP="007764A7">
            <w:pPr>
              <w:keepNext/>
              <w:keepLines/>
              <w:jc w:val="center"/>
              <w:rPr>
                <w:color w:val="000000"/>
                <w:sz w:val="20"/>
                <w:szCs w:val="20"/>
                <w:lang w:val="en-GB"/>
              </w:rPr>
            </w:pPr>
            <w:r w:rsidRPr="00A34F10">
              <w:rPr>
                <w:sz w:val="20"/>
                <w:szCs w:val="20"/>
              </w:rPr>
              <w:t>BBCH 10-39</w:t>
            </w:r>
          </w:p>
        </w:tc>
        <w:tc>
          <w:tcPr>
            <w:tcW w:w="1578" w:type="pct"/>
            <w:tcBorders>
              <w:top w:val="nil"/>
              <w:left w:val="nil"/>
              <w:bottom w:val="single" w:sz="4" w:space="0" w:color="auto"/>
              <w:right w:val="single" w:sz="4" w:space="0" w:color="auto"/>
            </w:tcBorders>
            <w:shd w:val="clear" w:color="auto" w:fill="auto"/>
            <w:vAlign w:val="center"/>
          </w:tcPr>
          <w:p w14:paraId="589F3F4F" w14:textId="77777777" w:rsidR="007764A7" w:rsidRPr="00A34F10" w:rsidRDefault="007764A7" w:rsidP="007764A7">
            <w:pPr>
              <w:jc w:val="center"/>
              <w:rPr>
                <w:color w:val="000000"/>
                <w:sz w:val="20"/>
                <w:szCs w:val="20"/>
                <w:lang w:val="en-GB"/>
              </w:rPr>
            </w:pPr>
            <w:r w:rsidRPr="00A34F10">
              <w:rPr>
                <w:sz w:val="20"/>
                <w:szCs w:val="20"/>
                <w:lang w:val="en-GB"/>
              </w:rPr>
              <w:t>Small omnivorous bird “lark”</w:t>
            </w:r>
          </w:p>
        </w:tc>
        <w:tc>
          <w:tcPr>
            <w:tcW w:w="539" w:type="pct"/>
            <w:vMerge/>
            <w:shd w:val="clear" w:color="auto" w:fill="auto"/>
            <w:vAlign w:val="center"/>
          </w:tcPr>
          <w:p w14:paraId="704CABAA" w14:textId="77777777" w:rsidR="007764A7" w:rsidRPr="00A34F10" w:rsidRDefault="007764A7" w:rsidP="007764A7">
            <w:pPr>
              <w:jc w:val="center"/>
              <w:rPr>
                <w:sz w:val="20"/>
                <w:szCs w:val="20"/>
                <w:lang w:val="en-GB"/>
              </w:rPr>
            </w:pPr>
          </w:p>
        </w:tc>
        <w:tc>
          <w:tcPr>
            <w:tcW w:w="449" w:type="pct"/>
            <w:tcBorders>
              <w:top w:val="nil"/>
              <w:left w:val="single" w:sz="4" w:space="0" w:color="auto"/>
              <w:bottom w:val="single" w:sz="4" w:space="0" w:color="auto"/>
              <w:right w:val="single" w:sz="4" w:space="0" w:color="auto"/>
            </w:tcBorders>
            <w:shd w:val="clear" w:color="auto" w:fill="auto"/>
            <w:vAlign w:val="center"/>
          </w:tcPr>
          <w:p w14:paraId="48627D29" w14:textId="77777777" w:rsidR="007764A7" w:rsidRPr="00A34F10" w:rsidRDefault="007764A7" w:rsidP="007764A7">
            <w:pPr>
              <w:jc w:val="center"/>
              <w:rPr>
                <w:color w:val="000000"/>
                <w:sz w:val="20"/>
                <w:szCs w:val="20"/>
                <w:lang w:val="en-GB"/>
              </w:rPr>
            </w:pPr>
            <w:r w:rsidRPr="00A34F10">
              <w:rPr>
                <w:sz w:val="20"/>
                <w:szCs w:val="20"/>
              </w:rPr>
              <w:t>24</w:t>
            </w:r>
          </w:p>
        </w:tc>
        <w:tc>
          <w:tcPr>
            <w:tcW w:w="374" w:type="pct"/>
            <w:vMerge/>
            <w:shd w:val="clear" w:color="auto" w:fill="auto"/>
            <w:vAlign w:val="center"/>
          </w:tcPr>
          <w:p w14:paraId="05687706"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3AACE97" w14:textId="77777777" w:rsidR="007764A7" w:rsidRPr="00AA604E" w:rsidRDefault="007764A7" w:rsidP="007764A7">
            <w:pPr>
              <w:jc w:val="center"/>
              <w:rPr>
                <w:sz w:val="20"/>
                <w:szCs w:val="20"/>
                <w:lang w:val="en-GB"/>
              </w:rPr>
            </w:pPr>
            <w:r w:rsidRPr="00AA604E">
              <w:rPr>
                <w:sz w:val="20"/>
                <w:szCs w:val="20"/>
              </w:rPr>
              <w:t>40.58</w:t>
            </w:r>
          </w:p>
        </w:tc>
        <w:tc>
          <w:tcPr>
            <w:tcW w:w="496" w:type="pct"/>
            <w:tcBorders>
              <w:top w:val="nil"/>
              <w:left w:val="single" w:sz="4" w:space="0" w:color="auto"/>
              <w:bottom w:val="single" w:sz="4" w:space="0" w:color="auto"/>
              <w:right w:val="single" w:sz="4" w:space="0" w:color="auto"/>
            </w:tcBorders>
            <w:shd w:val="clear" w:color="auto" w:fill="auto"/>
            <w:vAlign w:val="center"/>
          </w:tcPr>
          <w:p w14:paraId="1AC42D2E" w14:textId="62E011E2" w:rsidR="007764A7" w:rsidRPr="00AA604E" w:rsidRDefault="007764A7" w:rsidP="007764A7">
            <w:pPr>
              <w:jc w:val="center"/>
              <w:rPr>
                <w:sz w:val="20"/>
                <w:szCs w:val="20"/>
                <w:highlight w:val="green"/>
                <w:lang w:val="en-GB"/>
              </w:rPr>
            </w:pPr>
            <w:r w:rsidRPr="00A34F10">
              <w:rPr>
                <w:sz w:val="20"/>
                <w:szCs w:val="20"/>
              </w:rPr>
              <w:t>56.2</w:t>
            </w:r>
          </w:p>
        </w:tc>
      </w:tr>
      <w:tr w:rsidR="007764A7" w:rsidRPr="00A34F10" w14:paraId="12674124" w14:textId="77777777" w:rsidTr="007764A7">
        <w:trPr>
          <w:cantSplit/>
        </w:trPr>
        <w:tc>
          <w:tcPr>
            <w:tcW w:w="893" w:type="pct"/>
            <w:tcBorders>
              <w:top w:val="nil"/>
              <w:left w:val="single" w:sz="4" w:space="0" w:color="auto"/>
              <w:bottom w:val="single" w:sz="4" w:space="0" w:color="auto"/>
              <w:right w:val="single" w:sz="4" w:space="0" w:color="auto"/>
            </w:tcBorders>
            <w:shd w:val="clear" w:color="auto" w:fill="auto"/>
            <w:vAlign w:val="center"/>
          </w:tcPr>
          <w:p w14:paraId="49F94275" w14:textId="77777777" w:rsidR="007764A7" w:rsidRPr="00A34F10" w:rsidRDefault="007764A7" w:rsidP="007764A7">
            <w:pPr>
              <w:keepNext/>
              <w:keepLines/>
              <w:jc w:val="center"/>
              <w:rPr>
                <w:sz w:val="20"/>
                <w:szCs w:val="20"/>
                <w:lang w:val="en-GB"/>
              </w:rPr>
            </w:pPr>
            <w:r w:rsidRPr="00A34F10">
              <w:rPr>
                <w:sz w:val="20"/>
                <w:szCs w:val="20"/>
              </w:rPr>
              <w:t>BBCH ≥40</w:t>
            </w:r>
          </w:p>
        </w:tc>
        <w:tc>
          <w:tcPr>
            <w:tcW w:w="1578" w:type="pct"/>
            <w:tcBorders>
              <w:top w:val="single" w:sz="2" w:space="0" w:color="auto"/>
              <w:left w:val="nil"/>
              <w:bottom w:val="single" w:sz="4" w:space="0" w:color="auto"/>
              <w:right w:val="single" w:sz="4" w:space="0" w:color="auto"/>
            </w:tcBorders>
            <w:shd w:val="clear" w:color="auto" w:fill="auto"/>
            <w:vAlign w:val="center"/>
          </w:tcPr>
          <w:p w14:paraId="7A775F09" w14:textId="77777777" w:rsidR="007764A7" w:rsidRPr="00A34F10" w:rsidRDefault="007764A7" w:rsidP="007764A7">
            <w:pPr>
              <w:jc w:val="center"/>
              <w:rPr>
                <w:sz w:val="20"/>
                <w:szCs w:val="20"/>
                <w:lang w:val="en-GB"/>
              </w:rPr>
            </w:pPr>
            <w:r w:rsidRPr="00A34F10">
              <w:rPr>
                <w:sz w:val="20"/>
                <w:szCs w:val="20"/>
                <w:lang w:val="en-GB"/>
              </w:rPr>
              <w:t>Small omnivorous bird “lark”</w:t>
            </w:r>
          </w:p>
        </w:tc>
        <w:tc>
          <w:tcPr>
            <w:tcW w:w="539" w:type="pct"/>
            <w:vMerge/>
            <w:shd w:val="clear" w:color="auto" w:fill="auto"/>
            <w:vAlign w:val="center"/>
          </w:tcPr>
          <w:p w14:paraId="5085E8FC" w14:textId="77777777" w:rsidR="007764A7" w:rsidRPr="00A34F10" w:rsidRDefault="007764A7" w:rsidP="007764A7">
            <w:pPr>
              <w:jc w:val="center"/>
              <w:rPr>
                <w:sz w:val="20"/>
                <w:szCs w:val="20"/>
                <w:lang w:val="en-GB"/>
              </w:rPr>
            </w:pPr>
          </w:p>
        </w:tc>
        <w:tc>
          <w:tcPr>
            <w:tcW w:w="449" w:type="pct"/>
            <w:tcBorders>
              <w:top w:val="nil"/>
              <w:left w:val="single" w:sz="4" w:space="0" w:color="auto"/>
              <w:bottom w:val="single" w:sz="4" w:space="0" w:color="auto"/>
              <w:right w:val="single" w:sz="4" w:space="0" w:color="auto"/>
            </w:tcBorders>
            <w:shd w:val="clear" w:color="auto" w:fill="auto"/>
            <w:vAlign w:val="center"/>
          </w:tcPr>
          <w:p w14:paraId="3C47EA2F" w14:textId="77777777" w:rsidR="007764A7" w:rsidRPr="00A34F10" w:rsidRDefault="007764A7" w:rsidP="007764A7">
            <w:pPr>
              <w:jc w:val="center"/>
              <w:rPr>
                <w:sz w:val="20"/>
                <w:szCs w:val="20"/>
                <w:lang w:val="en-GB"/>
              </w:rPr>
            </w:pPr>
            <w:r w:rsidRPr="00A34F10">
              <w:rPr>
                <w:sz w:val="20"/>
                <w:szCs w:val="20"/>
              </w:rPr>
              <w:t>14.4</w:t>
            </w:r>
          </w:p>
        </w:tc>
        <w:tc>
          <w:tcPr>
            <w:tcW w:w="374" w:type="pct"/>
            <w:vMerge/>
            <w:shd w:val="clear" w:color="auto" w:fill="auto"/>
            <w:vAlign w:val="center"/>
          </w:tcPr>
          <w:p w14:paraId="2DEFD05C"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6419379B" w14:textId="77777777" w:rsidR="007764A7" w:rsidRPr="00AA604E" w:rsidRDefault="007764A7" w:rsidP="007764A7">
            <w:pPr>
              <w:jc w:val="center"/>
              <w:rPr>
                <w:sz w:val="20"/>
                <w:szCs w:val="20"/>
                <w:lang w:val="en-GB"/>
              </w:rPr>
            </w:pPr>
            <w:r w:rsidRPr="00AA604E">
              <w:rPr>
                <w:sz w:val="20"/>
                <w:szCs w:val="20"/>
              </w:rPr>
              <w:t>24.35</w:t>
            </w:r>
          </w:p>
        </w:tc>
        <w:tc>
          <w:tcPr>
            <w:tcW w:w="496" w:type="pct"/>
            <w:tcBorders>
              <w:top w:val="nil"/>
              <w:left w:val="single" w:sz="4" w:space="0" w:color="auto"/>
              <w:bottom w:val="single" w:sz="4" w:space="0" w:color="auto"/>
              <w:right w:val="single" w:sz="4" w:space="0" w:color="auto"/>
            </w:tcBorders>
            <w:shd w:val="clear" w:color="auto" w:fill="auto"/>
            <w:vAlign w:val="center"/>
          </w:tcPr>
          <w:p w14:paraId="36771B83" w14:textId="28ADF923" w:rsidR="007764A7" w:rsidRPr="00AA604E" w:rsidRDefault="007764A7" w:rsidP="007764A7">
            <w:pPr>
              <w:jc w:val="center"/>
              <w:rPr>
                <w:sz w:val="20"/>
                <w:szCs w:val="20"/>
                <w:highlight w:val="green"/>
                <w:lang w:val="en-GB"/>
              </w:rPr>
            </w:pPr>
            <w:r w:rsidRPr="00A34F10">
              <w:rPr>
                <w:sz w:val="20"/>
                <w:szCs w:val="20"/>
              </w:rPr>
              <w:t>93.7</w:t>
            </w:r>
          </w:p>
        </w:tc>
      </w:tr>
      <w:tr w:rsidR="007764A7" w:rsidRPr="00A34F10" w14:paraId="0D0C14AD" w14:textId="77777777" w:rsidTr="007764A7">
        <w:trPr>
          <w:cantSplit/>
        </w:trPr>
        <w:tc>
          <w:tcPr>
            <w:tcW w:w="893" w:type="pct"/>
            <w:tcBorders>
              <w:top w:val="nil"/>
              <w:left w:val="single" w:sz="4" w:space="0" w:color="auto"/>
              <w:bottom w:val="single" w:sz="4" w:space="0" w:color="auto"/>
              <w:right w:val="single" w:sz="4" w:space="0" w:color="auto"/>
            </w:tcBorders>
            <w:shd w:val="clear" w:color="auto" w:fill="auto"/>
            <w:vAlign w:val="center"/>
          </w:tcPr>
          <w:p w14:paraId="1E3ABFAC" w14:textId="77777777" w:rsidR="007764A7" w:rsidRPr="00A34F10" w:rsidRDefault="007764A7" w:rsidP="007764A7">
            <w:pPr>
              <w:keepNext/>
              <w:keepLines/>
              <w:jc w:val="center"/>
              <w:rPr>
                <w:sz w:val="20"/>
                <w:szCs w:val="20"/>
                <w:lang w:val="en-GB"/>
              </w:rPr>
            </w:pPr>
            <w:r w:rsidRPr="00A34F10">
              <w:rPr>
                <w:sz w:val="20"/>
                <w:szCs w:val="20"/>
              </w:rPr>
              <w:t>BBCH 10-19</w:t>
            </w:r>
          </w:p>
        </w:tc>
        <w:tc>
          <w:tcPr>
            <w:tcW w:w="1578" w:type="pct"/>
            <w:tcBorders>
              <w:top w:val="nil"/>
              <w:left w:val="nil"/>
              <w:bottom w:val="single" w:sz="4" w:space="0" w:color="auto"/>
              <w:right w:val="single" w:sz="4" w:space="0" w:color="auto"/>
            </w:tcBorders>
            <w:shd w:val="clear" w:color="auto" w:fill="auto"/>
            <w:vAlign w:val="center"/>
          </w:tcPr>
          <w:p w14:paraId="4ED7E8CC" w14:textId="77777777" w:rsidR="007764A7" w:rsidRPr="00A34F10" w:rsidRDefault="007764A7" w:rsidP="007764A7">
            <w:pPr>
              <w:jc w:val="center"/>
              <w:rPr>
                <w:sz w:val="20"/>
                <w:szCs w:val="20"/>
                <w:lang w:val="en-GB"/>
              </w:rPr>
            </w:pPr>
            <w:r w:rsidRPr="00A34F10">
              <w:rPr>
                <w:sz w:val="20"/>
                <w:szCs w:val="20"/>
                <w:lang w:val="en-GB"/>
              </w:rPr>
              <w:t>Small insectivorous bird “wagtail”</w:t>
            </w:r>
          </w:p>
        </w:tc>
        <w:tc>
          <w:tcPr>
            <w:tcW w:w="539" w:type="pct"/>
            <w:vMerge/>
            <w:shd w:val="clear" w:color="auto" w:fill="auto"/>
            <w:vAlign w:val="center"/>
          </w:tcPr>
          <w:p w14:paraId="4C0AC69B" w14:textId="77777777" w:rsidR="007764A7" w:rsidRPr="00A34F10" w:rsidRDefault="007764A7" w:rsidP="007764A7">
            <w:pPr>
              <w:jc w:val="center"/>
              <w:rPr>
                <w:sz w:val="20"/>
                <w:szCs w:val="20"/>
                <w:lang w:val="en-GB"/>
              </w:rPr>
            </w:pPr>
          </w:p>
        </w:tc>
        <w:tc>
          <w:tcPr>
            <w:tcW w:w="449" w:type="pct"/>
            <w:tcBorders>
              <w:top w:val="nil"/>
              <w:left w:val="single" w:sz="4" w:space="0" w:color="auto"/>
              <w:bottom w:val="single" w:sz="4" w:space="0" w:color="auto"/>
              <w:right w:val="single" w:sz="4" w:space="0" w:color="auto"/>
            </w:tcBorders>
            <w:shd w:val="clear" w:color="auto" w:fill="auto"/>
            <w:vAlign w:val="center"/>
          </w:tcPr>
          <w:p w14:paraId="547202BF" w14:textId="77777777" w:rsidR="007764A7" w:rsidRPr="00A34F10" w:rsidRDefault="007764A7" w:rsidP="007764A7">
            <w:pPr>
              <w:jc w:val="center"/>
              <w:rPr>
                <w:sz w:val="20"/>
                <w:szCs w:val="20"/>
                <w:lang w:val="en-GB"/>
              </w:rPr>
            </w:pPr>
            <w:r w:rsidRPr="00A34F10">
              <w:rPr>
                <w:sz w:val="20"/>
                <w:szCs w:val="20"/>
              </w:rPr>
              <w:t>26.8</w:t>
            </w:r>
          </w:p>
        </w:tc>
        <w:tc>
          <w:tcPr>
            <w:tcW w:w="374" w:type="pct"/>
            <w:vMerge/>
            <w:shd w:val="clear" w:color="auto" w:fill="auto"/>
            <w:vAlign w:val="center"/>
          </w:tcPr>
          <w:p w14:paraId="34E03C71"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97B99D6" w14:textId="77777777" w:rsidR="007764A7" w:rsidRPr="00AA604E" w:rsidRDefault="007764A7" w:rsidP="007764A7">
            <w:pPr>
              <w:jc w:val="center"/>
              <w:rPr>
                <w:sz w:val="20"/>
                <w:szCs w:val="20"/>
                <w:lang w:val="en-GB"/>
              </w:rPr>
            </w:pPr>
            <w:r w:rsidRPr="00AA604E">
              <w:rPr>
                <w:sz w:val="20"/>
                <w:szCs w:val="20"/>
              </w:rPr>
              <w:t>45.32</w:t>
            </w:r>
          </w:p>
        </w:tc>
        <w:tc>
          <w:tcPr>
            <w:tcW w:w="496" w:type="pct"/>
            <w:tcBorders>
              <w:top w:val="nil"/>
              <w:left w:val="single" w:sz="4" w:space="0" w:color="auto"/>
              <w:bottom w:val="single" w:sz="4" w:space="0" w:color="auto"/>
              <w:right w:val="single" w:sz="4" w:space="0" w:color="auto"/>
            </w:tcBorders>
            <w:shd w:val="clear" w:color="auto" w:fill="auto"/>
            <w:vAlign w:val="center"/>
          </w:tcPr>
          <w:p w14:paraId="35C977F7" w14:textId="46736C1F" w:rsidR="007764A7" w:rsidRPr="00AA604E" w:rsidRDefault="007764A7" w:rsidP="007764A7">
            <w:pPr>
              <w:jc w:val="center"/>
              <w:rPr>
                <w:sz w:val="20"/>
                <w:szCs w:val="20"/>
                <w:highlight w:val="green"/>
                <w:lang w:val="en-GB"/>
              </w:rPr>
            </w:pPr>
            <w:r w:rsidRPr="00A34F10">
              <w:rPr>
                <w:sz w:val="20"/>
                <w:szCs w:val="20"/>
              </w:rPr>
              <w:t>50.3</w:t>
            </w:r>
          </w:p>
        </w:tc>
      </w:tr>
      <w:tr w:rsidR="007764A7" w:rsidRPr="00A34F10" w14:paraId="20910AF6" w14:textId="77777777" w:rsidTr="007764A7">
        <w:trPr>
          <w:cantSplit/>
        </w:trPr>
        <w:tc>
          <w:tcPr>
            <w:tcW w:w="893" w:type="pct"/>
            <w:tcBorders>
              <w:top w:val="nil"/>
              <w:left w:val="single" w:sz="4" w:space="0" w:color="auto"/>
              <w:bottom w:val="single" w:sz="4" w:space="0" w:color="auto"/>
              <w:right w:val="single" w:sz="4" w:space="0" w:color="auto"/>
            </w:tcBorders>
            <w:shd w:val="clear" w:color="auto" w:fill="auto"/>
            <w:vAlign w:val="center"/>
          </w:tcPr>
          <w:p w14:paraId="2381F170" w14:textId="77777777" w:rsidR="007764A7" w:rsidRPr="00A34F10" w:rsidRDefault="007764A7" w:rsidP="007764A7">
            <w:pPr>
              <w:keepNext/>
              <w:keepLines/>
              <w:jc w:val="center"/>
              <w:rPr>
                <w:sz w:val="20"/>
                <w:szCs w:val="20"/>
                <w:lang w:val="en-GB"/>
              </w:rPr>
            </w:pPr>
            <w:r w:rsidRPr="00A34F10">
              <w:rPr>
                <w:sz w:val="20"/>
                <w:szCs w:val="20"/>
              </w:rPr>
              <w:t>BBCH ≥20</w:t>
            </w:r>
          </w:p>
        </w:tc>
        <w:tc>
          <w:tcPr>
            <w:tcW w:w="1578" w:type="pct"/>
            <w:tcBorders>
              <w:top w:val="nil"/>
              <w:left w:val="nil"/>
              <w:bottom w:val="single" w:sz="4" w:space="0" w:color="auto"/>
              <w:right w:val="single" w:sz="4" w:space="0" w:color="auto"/>
            </w:tcBorders>
            <w:shd w:val="clear" w:color="auto" w:fill="auto"/>
            <w:vAlign w:val="center"/>
          </w:tcPr>
          <w:p w14:paraId="4B181F31" w14:textId="77777777" w:rsidR="007764A7" w:rsidRPr="00A34F10" w:rsidRDefault="007764A7" w:rsidP="007764A7">
            <w:pPr>
              <w:jc w:val="center"/>
              <w:rPr>
                <w:sz w:val="20"/>
                <w:szCs w:val="20"/>
                <w:lang w:val="en-GB"/>
              </w:rPr>
            </w:pPr>
            <w:r w:rsidRPr="00A34F10">
              <w:rPr>
                <w:sz w:val="20"/>
                <w:szCs w:val="20"/>
                <w:lang w:val="en-GB"/>
              </w:rPr>
              <w:t>Small insectivorous bird “wagtail”</w:t>
            </w:r>
          </w:p>
        </w:tc>
        <w:tc>
          <w:tcPr>
            <w:tcW w:w="539" w:type="pct"/>
            <w:vMerge/>
            <w:shd w:val="clear" w:color="auto" w:fill="auto"/>
            <w:vAlign w:val="center"/>
          </w:tcPr>
          <w:p w14:paraId="77717BE8" w14:textId="77777777" w:rsidR="007764A7" w:rsidRPr="00A34F10" w:rsidRDefault="007764A7" w:rsidP="007764A7">
            <w:pPr>
              <w:jc w:val="center"/>
              <w:rPr>
                <w:sz w:val="20"/>
                <w:szCs w:val="20"/>
                <w:lang w:val="en-GB"/>
              </w:rPr>
            </w:pPr>
          </w:p>
        </w:tc>
        <w:tc>
          <w:tcPr>
            <w:tcW w:w="449" w:type="pct"/>
            <w:tcBorders>
              <w:top w:val="nil"/>
              <w:left w:val="single" w:sz="4" w:space="0" w:color="auto"/>
              <w:bottom w:val="single" w:sz="4" w:space="0" w:color="auto"/>
              <w:right w:val="single" w:sz="4" w:space="0" w:color="auto"/>
            </w:tcBorders>
            <w:shd w:val="clear" w:color="auto" w:fill="auto"/>
            <w:vAlign w:val="center"/>
          </w:tcPr>
          <w:p w14:paraId="57AB5CB4" w14:textId="77777777" w:rsidR="007764A7" w:rsidRPr="00A34F10" w:rsidRDefault="007764A7" w:rsidP="007764A7">
            <w:pPr>
              <w:jc w:val="center"/>
              <w:rPr>
                <w:sz w:val="20"/>
                <w:szCs w:val="20"/>
                <w:lang w:val="en-GB"/>
              </w:rPr>
            </w:pPr>
            <w:r w:rsidRPr="00A34F10">
              <w:rPr>
                <w:sz w:val="20"/>
                <w:szCs w:val="20"/>
              </w:rPr>
              <w:t>25.2</w:t>
            </w:r>
          </w:p>
        </w:tc>
        <w:tc>
          <w:tcPr>
            <w:tcW w:w="374" w:type="pct"/>
            <w:vMerge/>
            <w:shd w:val="clear" w:color="auto" w:fill="auto"/>
            <w:vAlign w:val="center"/>
          </w:tcPr>
          <w:p w14:paraId="6410551B"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619DE657" w14:textId="77777777" w:rsidR="007764A7" w:rsidRPr="00AA604E" w:rsidRDefault="007764A7" w:rsidP="007764A7">
            <w:pPr>
              <w:jc w:val="center"/>
              <w:rPr>
                <w:sz w:val="20"/>
                <w:szCs w:val="20"/>
                <w:lang w:val="en-GB"/>
              </w:rPr>
            </w:pPr>
            <w:r w:rsidRPr="00AA604E">
              <w:rPr>
                <w:sz w:val="20"/>
                <w:szCs w:val="20"/>
              </w:rPr>
              <w:t>42.61</w:t>
            </w:r>
          </w:p>
        </w:tc>
        <w:tc>
          <w:tcPr>
            <w:tcW w:w="496" w:type="pct"/>
            <w:tcBorders>
              <w:top w:val="nil"/>
              <w:left w:val="single" w:sz="4" w:space="0" w:color="auto"/>
              <w:bottom w:val="single" w:sz="4" w:space="0" w:color="auto"/>
              <w:right w:val="single" w:sz="4" w:space="0" w:color="auto"/>
            </w:tcBorders>
            <w:shd w:val="clear" w:color="auto" w:fill="auto"/>
            <w:vAlign w:val="center"/>
          </w:tcPr>
          <w:p w14:paraId="019A8947" w14:textId="275946D2" w:rsidR="007764A7" w:rsidRPr="00AA604E" w:rsidRDefault="007764A7" w:rsidP="007764A7">
            <w:pPr>
              <w:jc w:val="center"/>
              <w:rPr>
                <w:sz w:val="20"/>
                <w:szCs w:val="20"/>
                <w:highlight w:val="green"/>
                <w:lang w:val="en-GB"/>
              </w:rPr>
            </w:pPr>
            <w:r w:rsidRPr="00A34F10">
              <w:rPr>
                <w:sz w:val="20"/>
                <w:szCs w:val="20"/>
              </w:rPr>
              <w:t>53.5</w:t>
            </w:r>
          </w:p>
        </w:tc>
      </w:tr>
      <w:tr w:rsidR="007764A7" w:rsidRPr="00A34F10" w14:paraId="4A955269" w14:textId="77777777" w:rsidTr="007764A7">
        <w:trPr>
          <w:cantSplit/>
        </w:trPr>
        <w:tc>
          <w:tcPr>
            <w:tcW w:w="893" w:type="pct"/>
            <w:tcBorders>
              <w:top w:val="nil"/>
              <w:left w:val="single" w:sz="4" w:space="0" w:color="auto"/>
              <w:bottom w:val="single" w:sz="4" w:space="0" w:color="auto"/>
              <w:right w:val="single" w:sz="4" w:space="0" w:color="auto"/>
            </w:tcBorders>
            <w:shd w:val="clear" w:color="auto" w:fill="auto"/>
            <w:vAlign w:val="center"/>
          </w:tcPr>
          <w:p w14:paraId="0653F7BA" w14:textId="342EE5D7" w:rsidR="007764A7" w:rsidRPr="007764A7" w:rsidRDefault="007764A7" w:rsidP="007764A7">
            <w:pPr>
              <w:keepNext/>
              <w:keepLines/>
              <w:jc w:val="center"/>
              <w:rPr>
                <w:strike/>
                <w:sz w:val="20"/>
                <w:szCs w:val="20"/>
                <w:highlight w:val="green"/>
              </w:rPr>
            </w:pPr>
            <w:r w:rsidRPr="007764A7">
              <w:rPr>
                <w:strike/>
                <w:sz w:val="20"/>
                <w:szCs w:val="20"/>
                <w:highlight w:val="green"/>
              </w:rPr>
              <w:t>BBCH ≥20</w:t>
            </w:r>
          </w:p>
        </w:tc>
        <w:tc>
          <w:tcPr>
            <w:tcW w:w="1578" w:type="pct"/>
            <w:tcBorders>
              <w:top w:val="nil"/>
              <w:left w:val="nil"/>
              <w:bottom w:val="single" w:sz="4" w:space="0" w:color="auto"/>
              <w:right w:val="single" w:sz="4" w:space="0" w:color="auto"/>
            </w:tcBorders>
            <w:shd w:val="clear" w:color="auto" w:fill="auto"/>
            <w:vAlign w:val="center"/>
          </w:tcPr>
          <w:p w14:paraId="5E5343DB" w14:textId="06343B28" w:rsidR="007764A7" w:rsidRPr="007764A7" w:rsidRDefault="007764A7" w:rsidP="007764A7">
            <w:pPr>
              <w:jc w:val="center"/>
              <w:rPr>
                <w:strike/>
                <w:sz w:val="20"/>
                <w:szCs w:val="20"/>
                <w:highlight w:val="green"/>
                <w:lang w:val="en-GB"/>
              </w:rPr>
            </w:pPr>
            <w:r w:rsidRPr="007764A7">
              <w:rPr>
                <w:strike/>
                <w:sz w:val="20"/>
                <w:szCs w:val="20"/>
                <w:highlight w:val="green"/>
                <w:lang w:val="en-GB"/>
              </w:rPr>
              <w:t>Small insectivorous bird “wagtail”</w:t>
            </w:r>
          </w:p>
        </w:tc>
        <w:tc>
          <w:tcPr>
            <w:tcW w:w="539" w:type="pct"/>
            <w:vMerge/>
            <w:shd w:val="clear" w:color="auto" w:fill="auto"/>
            <w:vAlign w:val="center"/>
          </w:tcPr>
          <w:p w14:paraId="3B5F059F" w14:textId="77777777" w:rsidR="007764A7" w:rsidRPr="00A34F10" w:rsidRDefault="007764A7" w:rsidP="007764A7">
            <w:pPr>
              <w:jc w:val="center"/>
              <w:rPr>
                <w:sz w:val="20"/>
                <w:szCs w:val="20"/>
                <w:lang w:val="en-GB"/>
              </w:rPr>
            </w:pPr>
          </w:p>
        </w:tc>
        <w:tc>
          <w:tcPr>
            <w:tcW w:w="449" w:type="pct"/>
            <w:tcBorders>
              <w:top w:val="nil"/>
              <w:left w:val="single" w:sz="4" w:space="0" w:color="auto"/>
              <w:bottom w:val="single" w:sz="4" w:space="0" w:color="auto"/>
              <w:right w:val="single" w:sz="4" w:space="0" w:color="auto"/>
            </w:tcBorders>
            <w:shd w:val="clear" w:color="auto" w:fill="auto"/>
            <w:vAlign w:val="center"/>
          </w:tcPr>
          <w:p w14:paraId="47676F2A" w14:textId="2BA52FC9" w:rsidR="007764A7" w:rsidRPr="007764A7" w:rsidRDefault="007764A7" w:rsidP="007764A7">
            <w:pPr>
              <w:jc w:val="center"/>
              <w:rPr>
                <w:strike/>
                <w:sz w:val="20"/>
                <w:szCs w:val="20"/>
              </w:rPr>
            </w:pPr>
            <w:r w:rsidRPr="007764A7">
              <w:rPr>
                <w:strike/>
                <w:sz w:val="20"/>
                <w:szCs w:val="20"/>
                <w:highlight w:val="green"/>
              </w:rPr>
              <w:t>25.2</w:t>
            </w:r>
          </w:p>
        </w:tc>
        <w:tc>
          <w:tcPr>
            <w:tcW w:w="374" w:type="pct"/>
            <w:vMerge/>
            <w:shd w:val="clear" w:color="auto" w:fill="auto"/>
            <w:vAlign w:val="center"/>
          </w:tcPr>
          <w:p w14:paraId="66208642"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08CB7051" w14:textId="010D9D18" w:rsidR="007764A7" w:rsidRPr="007764A7" w:rsidRDefault="007764A7" w:rsidP="007764A7">
            <w:pPr>
              <w:jc w:val="center"/>
              <w:rPr>
                <w:strike/>
                <w:sz w:val="20"/>
                <w:szCs w:val="20"/>
                <w:highlight w:val="green"/>
              </w:rPr>
            </w:pPr>
            <w:r w:rsidRPr="007764A7">
              <w:rPr>
                <w:strike/>
                <w:sz w:val="20"/>
                <w:szCs w:val="20"/>
                <w:highlight w:val="green"/>
              </w:rPr>
              <w:t>41.77</w:t>
            </w:r>
          </w:p>
        </w:tc>
        <w:tc>
          <w:tcPr>
            <w:tcW w:w="496" w:type="pct"/>
            <w:tcBorders>
              <w:top w:val="nil"/>
              <w:left w:val="single" w:sz="4" w:space="0" w:color="auto"/>
              <w:bottom w:val="single" w:sz="4" w:space="0" w:color="auto"/>
              <w:right w:val="single" w:sz="4" w:space="0" w:color="auto"/>
            </w:tcBorders>
            <w:shd w:val="clear" w:color="auto" w:fill="auto"/>
            <w:vAlign w:val="center"/>
          </w:tcPr>
          <w:p w14:paraId="7FA07AD6" w14:textId="02504E01" w:rsidR="007764A7" w:rsidRPr="007764A7" w:rsidRDefault="007764A7" w:rsidP="007764A7">
            <w:pPr>
              <w:jc w:val="center"/>
              <w:rPr>
                <w:strike/>
                <w:sz w:val="20"/>
                <w:szCs w:val="20"/>
                <w:highlight w:val="green"/>
              </w:rPr>
            </w:pPr>
            <w:r w:rsidRPr="007764A7">
              <w:rPr>
                <w:strike/>
                <w:sz w:val="20"/>
                <w:szCs w:val="20"/>
                <w:highlight w:val="green"/>
              </w:rPr>
              <w:t>54.6</w:t>
            </w:r>
          </w:p>
        </w:tc>
      </w:tr>
      <w:tr w:rsidR="00DC5685" w:rsidRPr="00A34F10" w14:paraId="323CC281" w14:textId="77777777" w:rsidTr="00AA604E">
        <w:trPr>
          <w:cantSplit/>
        </w:trPr>
        <w:tc>
          <w:tcPr>
            <w:tcW w:w="5000" w:type="pct"/>
            <w:gridSpan w:val="7"/>
            <w:tcBorders>
              <w:top w:val="single" w:sz="12" w:space="0" w:color="auto"/>
              <w:bottom w:val="single" w:sz="12" w:space="0" w:color="auto"/>
            </w:tcBorders>
            <w:shd w:val="clear" w:color="auto" w:fill="auto"/>
            <w:vAlign w:val="center"/>
          </w:tcPr>
          <w:p w14:paraId="6040D51E" w14:textId="0498D972" w:rsidR="00DC5685" w:rsidRPr="00A34F10" w:rsidRDefault="00DC5685" w:rsidP="000470C3">
            <w:pPr>
              <w:jc w:val="center"/>
              <w:rPr>
                <w:sz w:val="20"/>
                <w:szCs w:val="20"/>
                <w:highlight w:val="yellow"/>
                <w:lang w:val="en-GB"/>
              </w:rPr>
            </w:pPr>
            <w:r w:rsidRPr="00A34F10">
              <w:rPr>
                <w:b/>
                <w:sz w:val="20"/>
                <w:szCs w:val="20"/>
                <w:lang w:val="en-GB"/>
              </w:rPr>
              <w:t xml:space="preserve">Fruiting vegetables (2 × ∑ 0.24 + 0.902 kg a.s./ha, BBCH </w:t>
            </w:r>
            <w:r w:rsidRPr="007764A7">
              <w:rPr>
                <w:b/>
                <w:strike/>
                <w:sz w:val="20"/>
                <w:szCs w:val="20"/>
                <w:highlight w:val="green"/>
                <w:lang w:val="en-GB"/>
              </w:rPr>
              <w:t>14</w:t>
            </w:r>
            <w:r w:rsidR="00A778F8" w:rsidRPr="007764A7">
              <w:rPr>
                <w:b/>
                <w:sz w:val="20"/>
                <w:szCs w:val="20"/>
                <w:highlight w:val="green"/>
                <w:lang w:val="en-GB"/>
              </w:rPr>
              <w:t xml:space="preserve"> 21</w:t>
            </w:r>
            <w:r w:rsidRPr="00A34F10">
              <w:rPr>
                <w:b/>
                <w:sz w:val="20"/>
                <w:szCs w:val="20"/>
                <w:lang w:val="en-GB"/>
              </w:rPr>
              <w:t xml:space="preserve"> - 89)</w:t>
            </w:r>
          </w:p>
        </w:tc>
      </w:tr>
      <w:tr w:rsidR="007764A7" w:rsidRPr="00A34F10" w14:paraId="5B1D12A2" w14:textId="77777777" w:rsidTr="007764A7">
        <w:trPr>
          <w:cantSplit/>
        </w:trPr>
        <w:tc>
          <w:tcPr>
            <w:tcW w:w="893" w:type="pct"/>
            <w:tcBorders>
              <w:bottom w:val="single" w:sz="4" w:space="0" w:color="auto"/>
            </w:tcBorders>
            <w:shd w:val="clear" w:color="auto" w:fill="auto"/>
            <w:vAlign w:val="center"/>
          </w:tcPr>
          <w:p w14:paraId="5FFEAA33" w14:textId="77777777" w:rsidR="007764A7" w:rsidRPr="00A34F10" w:rsidRDefault="007764A7" w:rsidP="007764A7">
            <w:pPr>
              <w:jc w:val="center"/>
              <w:rPr>
                <w:sz w:val="20"/>
                <w:szCs w:val="20"/>
                <w:lang w:val="en-GB"/>
              </w:rPr>
            </w:pPr>
            <w:r w:rsidRPr="00A34F10">
              <w:rPr>
                <w:sz w:val="20"/>
                <w:szCs w:val="20"/>
              </w:rPr>
              <w:t>BBCH 71-89</w:t>
            </w:r>
          </w:p>
        </w:tc>
        <w:tc>
          <w:tcPr>
            <w:tcW w:w="1578" w:type="pct"/>
            <w:tcBorders>
              <w:bottom w:val="single" w:sz="4" w:space="0" w:color="auto"/>
            </w:tcBorders>
            <w:shd w:val="clear" w:color="auto" w:fill="auto"/>
            <w:vAlign w:val="center"/>
          </w:tcPr>
          <w:p w14:paraId="47D4507A" w14:textId="77777777" w:rsidR="007764A7" w:rsidRPr="00A34F10" w:rsidRDefault="007764A7" w:rsidP="007764A7">
            <w:pPr>
              <w:jc w:val="center"/>
              <w:rPr>
                <w:sz w:val="20"/>
                <w:szCs w:val="20"/>
                <w:lang w:val="en-GB"/>
              </w:rPr>
            </w:pPr>
            <w:r w:rsidRPr="00A34F10">
              <w:rPr>
                <w:sz w:val="20"/>
                <w:szCs w:val="20"/>
                <w:lang w:val="en-GB"/>
              </w:rPr>
              <w:t>Frugivorous “crow”</w:t>
            </w:r>
          </w:p>
        </w:tc>
        <w:tc>
          <w:tcPr>
            <w:tcW w:w="539" w:type="pct"/>
            <w:vMerge w:val="restart"/>
            <w:tcBorders>
              <w:bottom w:val="single" w:sz="4" w:space="0" w:color="auto"/>
            </w:tcBorders>
            <w:shd w:val="clear" w:color="auto" w:fill="auto"/>
            <w:vAlign w:val="center"/>
          </w:tcPr>
          <w:p w14:paraId="37202C04" w14:textId="77777777" w:rsidR="007764A7" w:rsidRPr="00A34F10" w:rsidRDefault="007764A7" w:rsidP="007764A7">
            <w:pPr>
              <w:jc w:val="center"/>
              <w:rPr>
                <w:sz w:val="20"/>
                <w:szCs w:val="20"/>
                <w:lang w:val="en-GB"/>
              </w:rPr>
            </w:pPr>
            <w:r w:rsidRPr="00A34F10">
              <w:rPr>
                <w:sz w:val="20"/>
                <w:szCs w:val="20"/>
                <w:lang w:val="en-GB"/>
              </w:rPr>
              <w:t>1.142</w:t>
            </w:r>
          </w:p>
        </w:tc>
        <w:tc>
          <w:tcPr>
            <w:tcW w:w="449" w:type="pct"/>
            <w:tcBorders>
              <w:bottom w:val="single" w:sz="4" w:space="0" w:color="auto"/>
            </w:tcBorders>
            <w:shd w:val="clear" w:color="auto" w:fill="auto"/>
            <w:vAlign w:val="center"/>
          </w:tcPr>
          <w:p w14:paraId="68456B2B" w14:textId="77777777" w:rsidR="007764A7" w:rsidRPr="00A34F10" w:rsidRDefault="007764A7" w:rsidP="007764A7">
            <w:pPr>
              <w:jc w:val="center"/>
              <w:rPr>
                <w:sz w:val="20"/>
                <w:szCs w:val="20"/>
                <w:lang w:val="en-GB"/>
              </w:rPr>
            </w:pPr>
            <w:r w:rsidRPr="00A34F10">
              <w:rPr>
                <w:sz w:val="20"/>
                <w:szCs w:val="20"/>
              </w:rPr>
              <w:t>57.4</w:t>
            </w:r>
          </w:p>
        </w:tc>
        <w:tc>
          <w:tcPr>
            <w:tcW w:w="374" w:type="pct"/>
            <w:vMerge w:val="restart"/>
            <w:tcBorders>
              <w:bottom w:val="single" w:sz="4" w:space="0" w:color="auto"/>
            </w:tcBorders>
            <w:shd w:val="clear" w:color="auto" w:fill="auto"/>
            <w:vAlign w:val="center"/>
          </w:tcPr>
          <w:p w14:paraId="4A2D4908" w14:textId="77777777" w:rsidR="007764A7" w:rsidRPr="00A34F10" w:rsidRDefault="007764A7" w:rsidP="007764A7">
            <w:pPr>
              <w:jc w:val="center"/>
              <w:rPr>
                <w:sz w:val="20"/>
                <w:szCs w:val="20"/>
                <w:lang w:val="en-GB"/>
              </w:rPr>
            </w:pPr>
            <w:r w:rsidRPr="00A34F10">
              <w:rPr>
                <w:sz w:val="20"/>
                <w:szCs w:val="20"/>
                <w:lang w:val="en-GB"/>
              </w:rPr>
              <w:t>1.41</w:t>
            </w:r>
          </w:p>
        </w:tc>
        <w:tc>
          <w:tcPr>
            <w:tcW w:w="671" w:type="pct"/>
            <w:tcBorders>
              <w:top w:val="nil"/>
              <w:left w:val="single" w:sz="4" w:space="0" w:color="auto"/>
              <w:bottom w:val="single" w:sz="4" w:space="0" w:color="auto"/>
              <w:right w:val="single" w:sz="4" w:space="0" w:color="auto"/>
            </w:tcBorders>
            <w:shd w:val="clear" w:color="auto" w:fill="auto"/>
            <w:vAlign w:val="center"/>
          </w:tcPr>
          <w:p w14:paraId="46578DC6" w14:textId="77777777" w:rsidR="007764A7" w:rsidRPr="008E1E5E" w:rsidRDefault="007764A7" w:rsidP="007764A7">
            <w:pPr>
              <w:jc w:val="center"/>
              <w:rPr>
                <w:sz w:val="20"/>
                <w:szCs w:val="20"/>
                <w:lang w:val="en-GB"/>
              </w:rPr>
            </w:pPr>
            <w:r w:rsidRPr="008E1E5E">
              <w:rPr>
                <w:sz w:val="20"/>
                <w:szCs w:val="20"/>
              </w:rPr>
              <w:t>92.33</w:t>
            </w:r>
          </w:p>
        </w:tc>
        <w:tc>
          <w:tcPr>
            <w:tcW w:w="496" w:type="pct"/>
            <w:tcBorders>
              <w:top w:val="nil"/>
              <w:left w:val="nil"/>
              <w:bottom w:val="single" w:sz="4" w:space="0" w:color="auto"/>
              <w:right w:val="single" w:sz="4" w:space="0" w:color="auto"/>
            </w:tcBorders>
            <w:shd w:val="clear" w:color="auto" w:fill="auto"/>
            <w:vAlign w:val="center"/>
          </w:tcPr>
          <w:p w14:paraId="27E6C4EA" w14:textId="6448C684" w:rsidR="007764A7" w:rsidRPr="008E1E5E" w:rsidRDefault="007764A7" w:rsidP="007764A7">
            <w:pPr>
              <w:jc w:val="center"/>
              <w:rPr>
                <w:b/>
                <w:bCs/>
                <w:sz w:val="20"/>
                <w:szCs w:val="20"/>
                <w:highlight w:val="green"/>
                <w:lang w:val="en-GB"/>
              </w:rPr>
            </w:pPr>
            <w:r w:rsidRPr="00A34F10">
              <w:rPr>
                <w:sz w:val="20"/>
                <w:szCs w:val="20"/>
              </w:rPr>
              <w:t>24.7</w:t>
            </w:r>
          </w:p>
        </w:tc>
      </w:tr>
      <w:tr w:rsidR="007764A7" w:rsidRPr="00A34F10" w14:paraId="4AACF1DA" w14:textId="77777777" w:rsidTr="007764A7">
        <w:trPr>
          <w:cantSplit/>
        </w:trPr>
        <w:tc>
          <w:tcPr>
            <w:tcW w:w="893" w:type="pct"/>
            <w:tcBorders>
              <w:bottom w:val="single" w:sz="4" w:space="0" w:color="auto"/>
            </w:tcBorders>
            <w:shd w:val="clear" w:color="auto" w:fill="auto"/>
            <w:vAlign w:val="center"/>
          </w:tcPr>
          <w:p w14:paraId="0560B196" w14:textId="77777777" w:rsidR="007764A7" w:rsidRPr="00A34F10" w:rsidRDefault="007764A7" w:rsidP="007764A7">
            <w:pPr>
              <w:jc w:val="center"/>
              <w:rPr>
                <w:sz w:val="20"/>
                <w:szCs w:val="20"/>
                <w:lang w:val="en-GB"/>
              </w:rPr>
            </w:pPr>
            <w:r w:rsidRPr="00A34F10">
              <w:rPr>
                <w:sz w:val="20"/>
                <w:szCs w:val="20"/>
              </w:rPr>
              <w:t>BBCH 10-49</w:t>
            </w:r>
          </w:p>
        </w:tc>
        <w:tc>
          <w:tcPr>
            <w:tcW w:w="1578" w:type="pct"/>
            <w:tcBorders>
              <w:bottom w:val="single" w:sz="4" w:space="0" w:color="auto"/>
            </w:tcBorders>
            <w:shd w:val="clear" w:color="auto" w:fill="auto"/>
            <w:vAlign w:val="center"/>
          </w:tcPr>
          <w:p w14:paraId="69898E13" w14:textId="77777777" w:rsidR="007764A7" w:rsidRPr="00A34F10" w:rsidRDefault="007764A7" w:rsidP="007764A7">
            <w:pPr>
              <w:jc w:val="center"/>
              <w:rPr>
                <w:sz w:val="20"/>
                <w:szCs w:val="20"/>
                <w:lang w:val="en-GB"/>
              </w:rPr>
            </w:pPr>
            <w:r w:rsidRPr="00A34F10">
              <w:rPr>
                <w:sz w:val="20"/>
                <w:szCs w:val="20"/>
                <w:lang w:val="en-GB"/>
              </w:rPr>
              <w:t>Small granivorous bird “finch”</w:t>
            </w:r>
          </w:p>
        </w:tc>
        <w:tc>
          <w:tcPr>
            <w:tcW w:w="539" w:type="pct"/>
            <w:vMerge/>
            <w:tcBorders>
              <w:bottom w:val="single" w:sz="4" w:space="0" w:color="auto"/>
            </w:tcBorders>
            <w:shd w:val="clear" w:color="auto" w:fill="auto"/>
            <w:vAlign w:val="center"/>
          </w:tcPr>
          <w:p w14:paraId="5D1C4CC9"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21BAABB7" w14:textId="77777777" w:rsidR="007764A7" w:rsidRPr="00A34F10" w:rsidRDefault="007764A7" w:rsidP="007764A7">
            <w:pPr>
              <w:jc w:val="center"/>
              <w:rPr>
                <w:sz w:val="20"/>
                <w:szCs w:val="20"/>
                <w:lang w:val="en-GB"/>
              </w:rPr>
            </w:pPr>
            <w:r w:rsidRPr="00A34F10">
              <w:rPr>
                <w:sz w:val="20"/>
                <w:szCs w:val="20"/>
              </w:rPr>
              <w:t>24.7</w:t>
            </w:r>
          </w:p>
        </w:tc>
        <w:tc>
          <w:tcPr>
            <w:tcW w:w="374" w:type="pct"/>
            <w:vMerge/>
            <w:tcBorders>
              <w:bottom w:val="single" w:sz="4" w:space="0" w:color="auto"/>
            </w:tcBorders>
            <w:shd w:val="clear" w:color="auto" w:fill="auto"/>
            <w:vAlign w:val="center"/>
          </w:tcPr>
          <w:p w14:paraId="115A4627"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4F420243" w14:textId="77777777" w:rsidR="007764A7" w:rsidRPr="008E1E5E" w:rsidRDefault="007764A7" w:rsidP="007764A7">
            <w:pPr>
              <w:jc w:val="center"/>
              <w:rPr>
                <w:sz w:val="20"/>
                <w:szCs w:val="20"/>
                <w:lang w:val="en-GB"/>
              </w:rPr>
            </w:pPr>
            <w:r w:rsidRPr="008E1E5E">
              <w:rPr>
                <w:sz w:val="20"/>
                <w:szCs w:val="20"/>
              </w:rPr>
              <w:t>39.73</w:t>
            </w:r>
          </w:p>
        </w:tc>
        <w:tc>
          <w:tcPr>
            <w:tcW w:w="496" w:type="pct"/>
            <w:tcBorders>
              <w:top w:val="nil"/>
              <w:left w:val="nil"/>
              <w:bottom w:val="single" w:sz="4" w:space="0" w:color="auto"/>
              <w:right w:val="single" w:sz="4" w:space="0" w:color="auto"/>
            </w:tcBorders>
            <w:shd w:val="clear" w:color="auto" w:fill="auto"/>
            <w:vAlign w:val="center"/>
          </w:tcPr>
          <w:p w14:paraId="325D91BE" w14:textId="7FF80802" w:rsidR="007764A7" w:rsidRPr="008E1E5E" w:rsidRDefault="007764A7" w:rsidP="007764A7">
            <w:pPr>
              <w:jc w:val="center"/>
              <w:rPr>
                <w:sz w:val="20"/>
                <w:szCs w:val="20"/>
                <w:highlight w:val="green"/>
                <w:lang w:val="en-GB"/>
              </w:rPr>
            </w:pPr>
            <w:r w:rsidRPr="00A34F10">
              <w:rPr>
                <w:sz w:val="20"/>
                <w:szCs w:val="20"/>
              </w:rPr>
              <w:t>57.4</w:t>
            </w:r>
          </w:p>
        </w:tc>
      </w:tr>
      <w:tr w:rsidR="007764A7" w:rsidRPr="00A34F10" w14:paraId="35F9B41C" w14:textId="77777777" w:rsidTr="007764A7">
        <w:trPr>
          <w:cantSplit/>
        </w:trPr>
        <w:tc>
          <w:tcPr>
            <w:tcW w:w="893" w:type="pct"/>
            <w:tcBorders>
              <w:bottom w:val="single" w:sz="4" w:space="0" w:color="auto"/>
            </w:tcBorders>
            <w:shd w:val="clear" w:color="auto" w:fill="auto"/>
            <w:vAlign w:val="center"/>
          </w:tcPr>
          <w:p w14:paraId="67C70B24" w14:textId="77777777" w:rsidR="007764A7" w:rsidRPr="00A34F10" w:rsidRDefault="007764A7" w:rsidP="007764A7">
            <w:pPr>
              <w:jc w:val="center"/>
              <w:rPr>
                <w:sz w:val="20"/>
                <w:szCs w:val="20"/>
                <w:lang w:val="en-GB"/>
              </w:rPr>
            </w:pPr>
            <w:r w:rsidRPr="00A34F10">
              <w:rPr>
                <w:sz w:val="20"/>
                <w:szCs w:val="20"/>
              </w:rPr>
              <w:t>BBCH ≥50</w:t>
            </w:r>
          </w:p>
        </w:tc>
        <w:tc>
          <w:tcPr>
            <w:tcW w:w="1578" w:type="pct"/>
            <w:tcBorders>
              <w:bottom w:val="single" w:sz="4" w:space="0" w:color="auto"/>
            </w:tcBorders>
            <w:shd w:val="clear" w:color="auto" w:fill="auto"/>
            <w:vAlign w:val="center"/>
          </w:tcPr>
          <w:p w14:paraId="5A0340D7" w14:textId="77777777" w:rsidR="007764A7" w:rsidRPr="00A34F10" w:rsidRDefault="007764A7" w:rsidP="007764A7">
            <w:pPr>
              <w:jc w:val="center"/>
              <w:rPr>
                <w:sz w:val="20"/>
                <w:szCs w:val="20"/>
                <w:lang w:val="en-GB"/>
              </w:rPr>
            </w:pPr>
            <w:r w:rsidRPr="00A34F10">
              <w:rPr>
                <w:sz w:val="20"/>
                <w:szCs w:val="20"/>
                <w:lang w:val="en-GB"/>
              </w:rPr>
              <w:t>Small granivorous bird “finch”</w:t>
            </w:r>
          </w:p>
        </w:tc>
        <w:tc>
          <w:tcPr>
            <w:tcW w:w="539" w:type="pct"/>
            <w:vMerge/>
            <w:tcBorders>
              <w:bottom w:val="single" w:sz="4" w:space="0" w:color="auto"/>
            </w:tcBorders>
            <w:shd w:val="clear" w:color="auto" w:fill="auto"/>
            <w:vAlign w:val="center"/>
          </w:tcPr>
          <w:p w14:paraId="49DB4D00"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7D25CB1E" w14:textId="77777777" w:rsidR="007764A7" w:rsidRPr="00A34F10" w:rsidRDefault="007764A7" w:rsidP="007764A7">
            <w:pPr>
              <w:jc w:val="center"/>
              <w:rPr>
                <w:sz w:val="20"/>
                <w:szCs w:val="20"/>
                <w:lang w:val="en-GB"/>
              </w:rPr>
            </w:pPr>
            <w:r w:rsidRPr="00A34F10">
              <w:rPr>
                <w:sz w:val="20"/>
                <w:szCs w:val="20"/>
              </w:rPr>
              <w:t>7.4</w:t>
            </w:r>
          </w:p>
        </w:tc>
        <w:tc>
          <w:tcPr>
            <w:tcW w:w="374" w:type="pct"/>
            <w:vMerge/>
            <w:tcBorders>
              <w:bottom w:val="single" w:sz="4" w:space="0" w:color="auto"/>
            </w:tcBorders>
            <w:shd w:val="clear" w:color="auto" w:fill="auto"/>
            <w:vAlign w:val="center"/>
          </w:tcPr>
          <w:p w14:paraId="2DEE4119"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8443805" w14:textId="77777777" w:rsidR="007764A7" w:rsidRPr="008E1E5E" w:rsidRDefault="007764A7" w:rsidP="007764A7">
            <w:pPr>
              <w:jc w:val="center"/>
              <w:rPr>
                <w:sz w:val="20"/>
                <w:szCs w:val="20"/>
                <w:lang w:val="en-GB"/>
              </w:rPr>
            </w:pPr>
            <w:r w:rsidRPr="008E1E5E">
              <w:rPr>
                <w:sz w:val="20"/>
                <w:szCs w:val="20"/>
              </w:rPr>
              <w:t>11.90</w:t>
            </w:r>
          </w:p>
        </w:tc>
        <w:tc>
          <w:tcPr>
            <w:tcW w:w="496" w:type="pct"/>
            <w:tcBorders>
              <w:top w:val="nil"/>
              <w:left w:val="nil"/>
              <w:bottom w:val="single" w:sz="4" w:space="0" w:color="auto"/>
              <w:right w:val="single" w:sz="4" w:space="0" w:color="auto"/>
            </w:tcBorders>
            <w:shd w:val="clear" w:color="auto" w:fill="auto"/>
            <w:vAlign w:val="center"/>
          </w:tcPr>
          <w:p w14:paraId="5C25ECC9" w14:textId="77FBFFE4" w:rsidR="007764A7" w:rsidRPr="008E1E5E" w:rsidRDefault="007764A7" w:rsidP="007764A7">
            <w:pPr>
              <w:jc w:val="center"/>
              <w:rPr>
                <w:sz w:val="20"/>
                <w:szCs w:val="20"/>
                <w:highlight w:val="green"/>
                <w:lang w:val="en-GB"/>
              </w:rPr>
            </w:pPr>
            <w:r w:rsidRPr="00A34F10">
              <w:rPr>
                <w:sz w:val="20"/>
                <w:szCs w:val="20"/>
              </w:rPr>
              <w:t>191.7</w:t>
            </w:r>
          </w:p>
        </w:tc>
      </w:tr>
      <w:tr w:rsidR="007764A7" w:rsidRPr="00A34F10" w14:paraId="2ECBD78B" w14:textId="77777777" w:rsidTr="007764A7">
        <w:trPr>
          <w:cantSplit/>
        </w:trPr>
        <w:tc>
          <w:tcPr>
            <w:tcW w:w="893" w:type="pct"/>
            <w:tcBorders>
              <w:bottom w:val="single" w:sz="4" w:space="0" w:color="auto"/>
            </w:tcBorders>
            <w:shd w:val="clear" w:color="auto" w:fill="auto"/>
            <w:vAlign w:val="center"/>
          </w:tcPr>
          <w:p w14:paraId="477F6EE3" w14:textId="77777777" w:rsidR="007764A7" w:rsidRPr="00A34F10" w:rsidRDefault="007764A7" w:rsidP="007764A7">
            <w:pPr>
              <w:jc w:val="center"/>
              <w:rPr>
                <w:sz w:val="20"/>
                <w:szCs w:val="20"/>
                <w:lang w:val="en-GB"/>
              </w:rPr>
            </w:pPr>
            <w:r w:rsidRPr="00A34F10">
              <w:rPr>
                <w:sz w:val="20"/>
                <w:szCs w:val="20"/>
              </w:rPr>
              <w:t>BBCH 10-49</w:t>
            </w:r>
          </w:p>
        </w:tc>
        <w:tc>
          <w:tcPr>
            <w:tcW w:w="1578" w:type="pct"/>
            <w:tcBorders>
              <w:bottom w:val="single" w:sz="4" w:space="0" w:color="auto"/>
            </w:tcBorders>
            <w:shd w:val="clear" w:color="auto" w:fill="auto"/>
            <w:vAlign w:val="center"/>
          </w:tcPr>
          <w:p w14:paraId="7ECDD6B3" w14:textId="77777777" w:rsidR="007764A7" w:rsidRPr="00A34F10" w:rsidRDefault="007764A7" w:rsidP="007764A7">
            <w:pPr>
              <w:jc w:val="center"/>
              <w:rPr>
                <w:sz w:val="20"/>
                <w:szCs w:val="20"/>
                <w:lang w:val="en-GB"/>
              </w:rPr>
            </w:pPr>
            <w:r w:rsidRPr="00A34F10">
              <w:rPr>
                <w:sz w:val="20"/>
                <w:szCs w:val="20"/>
                <w:lang w:val="en-GB"/>
              </w:rPr>
              <w:t>Small omnivorous bird “lark”</w:t>
            </w:r>
          </w:p>
        </w:tc>
        <w:tc>
          <w:tcPr>
            <w:tcW w:w="539" w:type="pct"/>
            <w:vMerge/>
            <w:tcBorders>
              <w:bottom w:val="single" w:sz="4" w:space="0" w:color="auto"/>
            </w:tcBorders>
            <w:shd w:val="clear" w:color="auto" w:fill="auto"/>
            <w:vAlign w:val="center"/>
          </w:tcPr>
          <w:p w14:paraId="39B281DF"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102D10C5" w14:textId="77777777" w:rsidR="007764A7" w:rsidRPr="00A34F10" w:rsidRDefault="007764A7" w:rsidP="007764A7">
            <w:pPr>
              <w:jc w:val="center"/>
              <w:rPr>
                <w:sz w:val="20"/>
                <w:szCs w:val="20"/>
                <w:lang w:val="en-GB"/>
              </w:rPr>
            </w:pPr>
            <w:r w:rsidRPr="00A34F10">
              <w:rPr>
                <w:sz w:val="20"/>
                <w:szCs w:val="20"/>
              </w:rPr>
              <w:t>24</w:t>
            </w:r>
          </w:p>
        </w:tc>
        <w:tc>
          <w:tcPr>
            <w:tcW w:w="374" w:type="pct"/>
            <w:vMerge/>
            <w:tcBorders>
              <w:bottom w:val="single" w:sz="4" w:space="0" w:color="auto"/>
            </w:tcBorders>
            <w:shd w:val="clear" w:color="auto" w:fill="auto"/>
            <w:vAlign w:val="center"/>
          </w:tcPr>
          <w:p w14:paraId="2BE9175B"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831C3F8" w14:textId="77777777" w:rsidR="007764A7" w:rsidRPr="008E1E5E" w:rsidRDefault="007764A7" w:rsidP="007764A7">
            <w:pPr>
              <w:jc w:val="center"/>
              <w:rPr>
                <w:sz w:val="20"/>
                <w:szCs w:val="20"/>
                <w:lang w:val="en-GB"/>
              </w:rPr>
            </w:pPr>
            <w:r w:rsidRPr="008E1E5E">
              <w:rPr>
                <w:sz w:val="20"/>
                <w:szCs w:val="20"/>
              </w:rPr>
              <w:t>38.60</w:t>
            </w:r>
          </w:p>
        </w:tc>
        <w:tc>
          <w:tcPr>
            <w:tcW w:w="496" w:type="pct"/>
            <w:tcBorders>
              <w:top w:val="nil"/>
              <w:left w:val="nil"/>
              <w:bottom w:val="single" w:sz="4" w:space="0" w:color="auto"/>
              <w:right w:val="single" w:sz="4" w:space="0" w:color="auto"/>
            </w:tcBorders>
            <w:shd w:val="clear" w:color="auto" w:fill="auto"/>
            <w:vAlign w:val="center"/>
          </w:tcPr>
          <w:p w14:paraId="1837C6A1" w14:textId="7CDBF8C9" w:rsidR="007764A7" w:rsidRPr="008E1E5E" w:rsidRDefault="007764A7" w:rsidP="007764A7">
            <w:pPr>
              <w:jc w:val="center"/>
              <w:rPr>
                <w:sz w:val="20"/>
                <w:szCs w:val="20"/>
                <w:highlight w:val="green"/>
                <w:lang w:val="en-GB"/>
              </w:rPr>
            </w:pPr>
            <w:r w:rsidRPr="00A34F10">
              <w:rPr>
                <w:sz w:val="20"/>
                <w:szCs w:val="20"/>
              </w:rPr>
              <w:t>59.1</w:t>
            </w:r>
          </w:p>
        </w:tc>
      </w:tr>
      <w:tr w:rsidR="007764A7" w:rsidRPr="00A34F10" w14:paraId="0839AE8B" w14:textId="77777777" w:rsidTr="007764A7">
        <w:trPr>
          <w:cantSplit/>
        </w:trPr>
        <w:tc>
          <w:tcPr>
            <w:tcW w:w="893" w:type="pct"/>
            <w:tcBorders>
              <w:top w:val="single" w:sz="4" w:space="0" w:color="auto"/>
              <w:bottom w:val="single" w:sz="4" w:space="0" w:color="auto"/>
            </w:tcBorders>
            <w:shd w:val="clear" w:color="auto" w:fill="auto"/>
            <w:vAlign w:val="center"/>
          </w:tcPr>
          <w:p w14:paraId="5D18CD28" w14:textId="77777777" w:rsidR="007764A7" w:rsidRPr="00A34F10" w:rsidRDefault="007764A7" w:rsidP="007764A7">
            <w:pPr>
              <w:jc w:val="center"/>
              <w:rPr>
                <w:sz w:val="20"/>
                <w:szCs w:val="20"/>
                <w:lang w:val="en-GB"/>
              </w:rPr>
            </w:pPr>
            <w:r w:rsidRPr="00A34F10">
              <w:rPr>
                <w:sz w:val="20"/>
                <w:szCs w:val="20"/>
              </w:rPr>
              <w:t>BBCH ≥50</w:t>
            </w:r>
          </w:p>
        </w:tc>
        <w:tc>
          <w:tcPr>
            <w:tcW w:w="1578" w:type="pct"/>
            <w:tcBorders>
              <w:top w:val="single" w:sz="4" w:space="0" w:color="auto"/>
              <w:bottom w:val="single" w:sz="4" w:space="0" w:color="auto"/>
            </w:tcBorders>
            <w:shd w:val="clear" w:color="auto" w:fill="auto"/>
            <w:vAlign w:val="center"/>
          </w:tcPr>
          <w:p w14:paraId="1B835352" w14:textId="77777777" w:rsidR="007764A7" w:rsidRPr="00A34F10" w:rsidRDefault="007764A7" w:rsidP="007764A7">
            <w:pPr>
              <w:jc w:val="center"/>
              <w:rPr>
                <w:sz w:val="20"/>
                <w:szCs w:val="20"/>
                <w:lang w:val="en-GB"/>
              </w:rPr>
            </w:pPr>
            <w:r w:rsidRPr="00A34F10">
              <w:rPr>
                <w:sz w:val="20"/>
                <w:szCs w:val="20"/>
                <w:lang w:val="en-GB"/>
              </w:rPr>
              <w:t>Small omnivorous bird “lark”</w:t>
            </w:r>
          </w:p>
        </w:tc>
        <w:tc>
          <w:tcPr>
            <w:tcW w:w="539" w:type="pct"/>
            <w:vMerge/>
            <w:tcBorders>
              <w:top w:val="single" w:sz="4" w:space="0" w:color="auto"/>
              <w:bottom w:val="single" w:sz="4" w:space="0" w:color="auto"/>
            </w:tcBorders>
            <w:shd w:val="clear" w:color="auto" w:fill="auto"/>
            <w:vAlign w:val="center"/>
          </w:tcPr>
          <w:p w14:paraId="182037D3" w14:textId="77777777" w:rsidR="007764A7" w:rsidRPr="00A34F10" w:rsidRDefault="007764A7" w:rsidP="007764A7">
            <w:pPr>
              <w:jc w:val="center"/>
              <w:rPr>
                <w:sz w:val="20"/>
                <w:szCs w:val="20"/>
                <w:lang w:val="en-GB"/>
              </w:rPr>
            </w:pPr>
          </w:p>
        </w:tc>
        <w:tc>
          <w:tcPr>
            <w:tcW w:w="449" w:type="pct"/>
            <w:tcBorders>
              <w:top w:val="single" w:sz="4" w:space="0" w:color="auto"/>
              <w:bottom w:val="single" w:sz="4" w:space="0" w:color="auto"/>
            </w:tcBorders>
            <w:shd w:val="clear" w:color="auto" w:fill="auto"/>
            <w:vAlign w:val="center"/>
          </w:tcPr>
          <w:p w14:paraId="270A549F" w14:textId="77777777" w:rsidR="007764A7" w:rsidRPr="00A34F10" w:rsidRDefault="007764A7" w:rsidP="007764A7">
            <w:pPr>
              <w:jc w:val="center"/>
              <w:rPr>
                <w:sz w:val="20"/>
                <w:szCs w:val="20"/>
                <w:lang w:val="en-GB"/>
              </w:rPr>
            </w:pPr>
            <w:r w:rsidRPr="00A34F10">
              <w:rPr>
                <w:sz w:val="20"/>
                <w:szCs w:val="20"/>
              </w:rPr>
              <w:t>7.2</w:t>
            </w:r>
          </w:p>
        </w:tc>
        <w:tc>
          <w:tcPr>
            <w:tcW w:w="374" w:type="pct"/>
            <w:vMerge/>
            <w:tcBorders>
              <w:top w:val="single" w:sz="4" w:space="0" w:color="auto"/>
              <w:bottom w:val="single" w:sz="4" w:space="0" w:color="auto"/>
            </w:tcBorders>
            <w:shd w:val="clear" w:color="auto" w:fill="auto"/>
            <w:vAlign w:val="center"/>
          </w:tcPr>
          <w:p w14:paraId="525D2FBA" w14:textId="77777777" w:rsidR="007764A7" w:rsidRPr="00A34F10"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BFCD5D9" w14:textId="77777777" w:rsidR="007764A7" w:rsidRPr="008E1E5E" w:rsidRDefault="007764A7" w:rsidP="007764A7">
            <w:pPr>
              <w:jc w:val="center"/>
              <w:rPr>
                <w:sz w:val="20"/>
                <w:szCs w:val="20"/>
                <w:lang w:val="en-GB"/>
              </w:rPr>
            </w:pPr>
            <w:r w:rsidRPr="008E1E5E">
              <w:rPr>
                <w:sz w:val="20"/>
                <w:szCs w:val="20"/>
              </w:rPr>
              <w:t>11.58</w:t>
            </w:r>
          </w:p>
        </w:tc>
        <w:tc>
          <w:tcPr>
            <w:tcW w:w="496" w:type="pct"/>
            <w:tcBorders>
              <w:top w:val="single" w:sz="4" w:space="0" w:color="auto"/>
              <w:left w:val="nil"/>
              <w:bottom w:val="single" w:sz="4" w:space="0" w:color="auto"/>
              <w:right w:val="single" w:sz="4" w:space="0" w:color="auto"/>
            </w:tcBorders>
            <w:shd w:val="clear" w:color="auto" w:fill="auto"/>
            <w:vAlign w:val="center"/>
          </w:tcPr>
          <w:p w14:paraId="0DA4D986" w14:textId="55A908BA" w:rsidR="007764A7" w:rsidRPr="008E1E5E" w:rsidRDefault="007764A7" w:rsidP="007764A7">
            <w:pPr>
              <w:jc w:val="center"/>
              <w:rPr>
                <w:sz w:val="20"/>
                <w:szCs w:val="20"/>
                <w:highlight w:val="green"/>
                <w:lang w:val="en-GB"/>
              </w:rPr>
            </w:pPr>
            <w:r w:rsidRPr="00A34F10">
              <w:rPr>
                <w:sz w:val="20"/>
                <w:szCs w:val="20"/>
              </w:rPr>
              <w:t>197.0</w:t>
            </w:r>
          </w:p>
        </w:tc>
      </w:tr>
      <w:tr w:rsidR="007764A7" w:rsidRPr="00A34F10" w14:paraId="482082D9" w14:textId="77777777" w:rsidTr="007764A7">
        <w:trPr>
          <w:cantSplit/>
        </w:trPr>
        <w:tc>
          <w:tcPr>
            <w:tcW w:w="893" w:type="pct"/>
            <w:tcBorders>
              <w:bottom w:val="single" w:sz="4" w:space="0" w:color="auto"/>
            </w:tcBorders>
            <w:shd w:val="clear" w:color="auto" w:fill="auto"/>
            <w:vAlign w:val="center"/>
          </w:tcPr>
          <w:p w14:paraId="27E9BB34" w14:textId="77777777" w:rsidR="007764A7" w:rsidRPr="00A34F10" w:rsidRDefault="007764A7" w:rsidP="007764A7">
            <w:pPr>
              <w:jc w:val="center"/>
              <w:rPr>
                <w:sz w:val="20"/>
                <w:szCs w:val="20"/>
                <w:lang w:val="en-GB"/>
              </w:rPr>
            </w:pPr>
            <w:r w:rsidRPr="00A34F10">
              <w:rPr>
                <w:sz w:val="20"/>
                <w:szCs w:val="20"/>
              </w:rPr>
              <w:t>BBCH 71-89</w:t>
            </w:r>
          </w:p>
        </w:tc>
        <w:tc>
          <w:tcPr>
            <w:tcW w:w="1578" w:type="pct"/>
            <w:tcBorders>
              <w:bottom w:val="single" w:sz="4" w:space="0" w:color="auto"/>
            </w:tcBorders>
            <w:shd w:val="clear" w:color="auto" w:fill="auto"/>
            <w:vAlign w:val="center"/>
          </w:tcPr>
          <w:p w14:paraId="4CBF6FEA" w14:textId="77777777" w:rsidR="007764A7" w:rsidRPr="00A34F10" w:rsidRDefault="007764A7" w:rsidP="007764A7">
            <w:pPr>
              <w:jc w:val="center"/>
              <w:rPr>
                <w:sz w:val="20"/>
                <w:szCs w:val="20"/>
                <w:lang w:val="en-GB"/>
              </w:rPr>
            </w:pPr>
            <w:r w:rsidRPr="00A34F10">
              <w:rPr>
                <w:sz w:val="20"/>
                <w:szCs w:val="20"/>
                <w:lang w:val="en-GB"/>
              </w:rPr>
              <w:t>Frugivorous “starling”</w:t>
            </w:r>
          </w:p>
        </w:tc>
        <w:tc>
          <w:tcPr>
            <w:tcW w:w="539" w:type="pct"/>
            <w:vMerge/>
            <w:tcBorders>
              <w:bottom w:val="single" w:sz="4" w:space="0" w:color="auto"/>
            </w:tcBorders>
            <w:shd w:val="clear" w:color="auto" w:fill="auto"/>
            <w:vAlign w:val="center"/>
          </w:tcPr>
          <w:p w14:paraId="67353C6C"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005BE1F7" w14:textId="77777777" w:rsidR="007764A7" w:rsidRPr="00A34F10" w:rsidRDefault="007764A7" w:rsidP="007764A7">
            <w:pPr>
              <w:jc w:val="center"/>
              <w:rPr>
                <w:sz w:val="20"/>
                <w:szCs w:val="20"/>
                <w:lang w:val="en-GB"/>
              </w:rPr>
            </w:pPr>
            <w:r w:rsidRPr="00A34F10">
              <w:rPr>
                <w:sz w:val="20"/>
                <w:szCs w:val="20"/>
              </w:rPr>
              <w:t>49.4</w:t>
            </w:r>
          </w:p>
        </w:tc>
        <w:tc>
          <w:tcPr>
            <w:tcW w:w="374" w:type="pct"/>
            <w:vMerge/>
            <w:tcBorders>
              <w:bottom w:val="single" w:sz="4" w:space="0" w:color="auto"/>
            </w:tcBorders>
            <w:shd w:val="clear" w:color="auto" w:fill="auto"/>
            <w:vAlign w:val="center"/>
          </w:tcPr>
          <w:p w14:paraId="5FF87554" w14:textId="77777777" w:rsidR="007764A7" w:rsidRPr="00A34F10"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9BA04FC" w14:textId="77777777" w:rsidR="007764A7" w:rsidRPr="008E1E5E" w:rsidRDefault="007764A7" w:rsidP="007764A7">
            <w:pPr>
              <w:jc w:val="center"/>
              <w:rPr>
                <w:sz w:val="20"/>
                <w:szCs w:val="20"/>
                <w:lang w:val="en-GB"/>
              </w:rPr>
            </w:pPr>
            <w:r w:rsidRPr="008E1E5E">
              <w:rPr>
                <w:sz w:val="20"/>
                <w:szCs w:val="20"/>
              </w:rPr>
              <w:t>79.46</w:t>
            </w:r>
          </w:p>
        </w:tc>
        <w:tc>
          <w:tcPr>
            <w:tcW w:w="496" w:type="pct"/>
            <w:tcBorders>
              <w:top w:val="single" w:sz="4" w:space="0" w:color="auto"/>
              <w:left w:val="nil"/>
              <w:bottom w:val="single" w:sz="4" w:space="0" w:color="auto"/>
              <w:right w:val="single" w:sz="4" w:space="0" w:color="auto"/>
            </w:tcBorders>
            <w:shd w:val="clear" w:color="auto" w:fill="auto"/>
            <w:vAlign w:val="center"/>
          </w:tcPr>
          <w:p w14:paraId="505E2E3C" w14:textId="0CA90088" w:rsidR="007764A7" w:rsidRPr="008E1E5E" w:rsidRDefault="007764A7" w:rsidP="007764A7">
            <w:pPr>
              <w:jc w:val="center"/>
              <w:rPr>
                <w:sz w:val="20"/>
                <w:szCs w:val="20"/>
                <w:highlight w:val="green"/>
                <w:lang w:val="en-GB"/>
              </w:rPr>
            </w:pPr>
            <w:r w:rsidRPr="00A34F10">
              <w:rPr>
                <w:sz w:val="20"/>
                <w:szCs w:val="20"/>
              </w:rPr>
              <w:t>28.7</w:t>
            </w:r>
          </w:p>
        </w:tc>
      </w:tr>
      <w:tr w:rsidR="007764A7" w:rsidRPr="00A34F10" w14:paraId="0871FCEC" w14:textId="77777777" w:rsidTr="007764A7">
        <w:trPr>
          <w:cantSplit/>
        </w:trPr>
        <w:tc>
          <w:tcPr>
            <w:tcW w:w="893" w:type="pct"/>
            <w:tcBorders>
              <w:top w:val="single" w:sz="4" w:space="0" w:color="auto"/>
              <w:bottom w:val="single" w:sz="4" w:space="0" w:color="auto"/>
            </w:tcBorders>
            <w:shd w:val="clear" w:color="auto" w:fill="auto"/>
            <w:vAlign w:val="center"/>
          </w:tcPr>
          <w:p w14:paraId="22488A83" w14:textId="77777777" w:rsidR="007764A7" w:rsidRPr="007764A7" w:rsidRDefault="007764A7" w:rsidP="007764A7">
            <w:pPr>
              <w:jc w:val="center"/>
              <w:rPr>
                <w:strike/>
                <w:sz w:val="20"/>
                <w:szCs w:val="20"/>
                <w:highlight w:val="green"/>
                <w:lang w:val="en-GB"/>
              </w:rPr>
            </w:pPr>
            <w:r w:rsidRPr="007764A7">
              <w:rPr>
                <w:strike/>
                <w:sz w:val="20"/>
                <w:szCs w:val="20"/>
                <w:highlight w:val="green"/>
              </w:rPr>
              <w:t>BBCH 10-19</w:t>
            </w:r>
          </w:p>
        </w:tc>
        <w:tc>
          <w:tcPr>
            <w:tcW w:w="1578" w:type="pct"/>
            <w:tcBorders>
              <w:top w:val="single" w:sz="4" w:space="0" w:color="auto"/>
              <w:bottom w:val="single" w:sz="4" w:space="0" w:color="auto"/>
            </w:tcBorders>
            <w:shd w:val="clear" w:color="auto" w:fill="auto"/>
            <w:vAlign w:val="center"/>
          </w:tcPr>
          <w:p w14:paraId="53F68899" w14:textId="77777777" w:rsidR="007764A7" w:rsidRPr="007764A7" w:rsidRDefault="007764A7" w:rsidP="007764A7">
            <w:pPr>
              <w:jc w:val="center"/>
              <w:rPr>
                <w:strike/>
                <w:sz w:val="20"/>
                <w:szCs w:val="20"/>
                <w:highlight w:val="green"/>
                <w:lang w:val="en-GB"/>
              </w:rPr>
            </w:pPr>
            <w:r w:rsidRPr="007764A7">
              <w:rPr>
                <w:strike/>
                <w:sz w:val="20"/>
                <w:szCs w:val="20"/>
                <w:highlight w:val="green"/>
                <w:lang w:val="en-GB"/>
              </w:rPr>
              <w:t>Small insectivorous bird “wagtail”</w:t>
            </w:r>
          </w:p>
        </w:tc>
        <w:tc>
          <w:tcPr>
            <w:tcW w:w="539" w:type="pct"/>
            <w:vMerge/>
            <w:tcBorders>
              <w:top w:val="single" w:sz="4" w:space="0" w:color="auto"/>
              <w:bottom w:val="single" w:sz="4" w:space="0" w:color="auto"/>
            </w:tcBorders>
            <w:shd w:val="clear" w:color="auto" w:fill="auto"/>
            <w:vAlign w:val="center"/>
          </w:tcPr>
          <w:p w14:paraId="33E33A96" w14:textId="77777777" w:rsidR="007764A7" w:rsidRPr="00A34F10" w:rsidRDefault="007764A7" w:rsidP="007764A7">
            <w:pPr>
              <w:jc w:val="center"/>
              <w:rPr>
                <w:sz w:val="20"/>
                <w:szCs w:val="20"/>
                <w:lang w:val="en-GB"/>
              </w:rPr>
            </w:pPr>
          </w:p>
        </w:tc>
        <w:tc>
          <w:tcPr>
            <w:tcW w:w="449" w:type="pct"/>
            <w:tcBorders>
              <w:top w:val="single" w:sz="4" w:space="0" w:color="auto"/>
              <w:bottom w:val="single" w:sz="4" w:space="0" w:color="auto"/>
            </w:tcBorders>
            <w:shd w:val="clear" w:color="auto" w:fill="auto"/>
            <w:vAlign w:val="center"/>
          </w:tcPr>
          <w:p w14:paraId="2F4B60A3" w14:textId="77777777" w:rsidR="007764A7" w:rsidRPr="007764A7" w:rsidRDefault="007764A7" w:rsidP="007764A7">
            <w:pPr>
              <w:jc w:val="center"/>
              <w:rPr>
                <w:strike/>
                <w:sz w:val="20"/>
                <w:szCs w:val="20"/>
                <w:lang w:val="en-GB"/>
              </w:rPr>
            </w:pPr>
            <w:r w:rsidRPr="007764A7">
              <w:rPr>
                <w:strike/>
                <w:sz w:val="20"/>
                <w:szCs w:val="20"/>
                <w:highlight w:val="green"/>
              </w:rPr>
              <w:t>26.8</w:t>
            </w:r>
          </w:p>
        </w:tc>
        <w:tc>
          <w:tcPr>
            <w:tcW w:w="374" w:type="pct"/>
            <w:vMerge/>
            <w:tcBorders>
              <w:top w:val="single" w:sz="4" w:space="0" w:color="auto"/>
              <w:bottom w:val="single" w:sz="4" w:space="0" w:color="auto"/>
            </w:tcBorders>
            <w:shd w:val="clear" w:color="auto" w:fill="auto"/>
            <w:vAlign w:val="center"/>
          </w:tcPr>
          <w:p w14:paraId="79C72660" w14:textId="77777777" w:rsidR="007764A7" w:rsidRPr="00A34F10" w:rsidRDefault="007764A7" w:rsidP="007764A7">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81836EB" w14:textId="77777777" w:rsidR="007764A7" w:rsidRPr="007764A7" w:rsidRDefault="007764A7" w:rsidP="007764A7">
            <w:pPr>
              <w:jc w:val="center"/>
              <w:rPr>
                <w:strike/>
                <w:sz w:val="20"/>
                <w:szCs w:val="20"/>
                <w:lang w:val="en-GB"/>
              </w:rPr>
            </w:pPr>
            <w:r w:rsidRPr="007764A7">
              <w:rPr>
                <w:strike/>
                <w:sz w:val="20"/>
                <w:szCs w:val="20"/>
                <w:highlight w:val="green"/>
              </w:rPr>
              <w:t>43.11</w:t>
            </w:r>
          </w:p>
        </w:tc>
        <w:tc>
          <w:tcPr>
            <w:tcW w:w="496" w:type="pct"/>
            <w:tcBorders>
              <w:top w:val="single" w:sz="4" w:space="0" w:color="auto"/>
              <w:left w:val="nil"/>
              <w:bottom w:val="single" w:sz="4" w:space="0" w:color="auto"/>
              <w:right w:val="single" w:sz="4" w:space="0" w:color="auto"/>
            </w:tcBorders>
            <w:shd w:val="clear" w:color="auto" w:fill="auto"/>
            <w:vAlign w:val="center"/>
          </w:tcPr>
          <w:p w14:paraId="03FFD3EE" w14:textId="140FDCF5" w:rsidR="007764A7" w:rsidRPr="007764A7" w:rsidRDefault="007764A7" w:rsidP="007764A7">
            <w:pPr>
              <w:jc w:val="center"/>
              <w:rPr>
                <w:strike/>
                <w:sz w:val="20"/>
                <w:szCs w:val="20"/>
                <w:highlight w:val="green"/>
                <w:lang w:val="en-GB"/>
              </w:rPr>
            </w:pPr>
            <w:r w:rsidRPr="00A34F10">
              <w:rPr>
                <w:sz w:val="20"/>
                <w:szCs w:val="20"/>
              </w:rPr>
              <w:t>52.9</w:t>
            </w:r>
          </w:p>
        </w:tc>
      </w:tr>
      <w:tr w:rsidR="007764A7" w:rsidRPr="00A34F10" w14:paraId="112A0A50" w14:textId="77777777" w:rsidTr="007764A7">
        <w:trPr>
          <w:cantSplit/>
        </w:trPr>
        <w:tc>
          <w:tcPr>
            <w:tcW w:w="893" w:type="pct"/>
            <w:tcBorders>
              <w:bottom w:val="single" w:sz="4" w:space="0" w:color="auto"/>
            </w:tcBorders>
            <w:shd w:val="clear" w:color="auto" w:fill="auto"/>
            <w:vAlign w:val="center"/>
          </w:tcPr>
          <w:p w14:paraId="1800AAB3" w14:textId="77777777" w:rsidR="007764A7" w:rsidRPr="00A34F10" w:rsidRDefault="007764A7" w:rsidP="007764A7">
            <w:pPr>
              <w:jc w:val="center"/>
              <w:rPr>
                <w:sz w:val="20"/>
                <w:szCs w:val="20"/>
                <w:lang w:val="en-GB"/>
              </w:rPr>
            </w:pPr>
            <w:r w:rsidRPr="00A34F10">
              <w:rPr>
                <w:sz w:val="20"/>
                <w:szCs w:val="20"/>
              </w:rPr>
              <w:t>BBCH ≥20</w:t>
            </w:r>
          </w:p>
        </w:tc>
        <w:tc>
          <w:tcPr>
            <w:tcW w:w="1578" w:type="pct"/>
            <w:tcBorders>
              <w:bottom w:val="single" w:sz="4" w:space="0" w:color="auto"/>
            </w:tcBorders>
            <w:shd w:val="clear" w:color="auto" w:fill="auto"/>
            <w:vAlign w:val="center"/>
          </w:tcPr>
          <w:p w14:paraId="6CA15B02" w14:textId="77777777" w:rsidR="007764A7" w:rsidRPr="00A34F10" w:rsidRDefault="007764A7" w:rsidP="007764A7">
            <w:pPr>
              <w:jc w:val="center"/>
              <w:rPr>
                <w:sz w:val="20"/>
                <w:szCs w:val="20"/>
                <w:lang w:val="en-GB"/>
              </w:rPr>
            </w:pPr>
            <w:r w:rsidRPr="00A34F10">
              <w:rPr>
                <w:sz w:val="20"/>
                <w:szCs w:val="20"/>
                <w:lang w:val="en-GB"/>
              </w:rPr>
              <w:t>Small insectivorous bird “wagtail”</w:t>
            </w:r>
          </w:p>
        </w:tc>
        <w:tc>
          <w:tcPr>
            <w:tcW w:w="539" w:type="pct"/>
            <w:vMerge/>
            <w:tcBorders>
              <w:bottom w:val="single" w:sz="4" w:space="0" w:color="auto"/>
            </w:tcBorders>
            <w:shd w:val="clear" w:color="auto" w:fill="auto"/>
            <w:vAlign w:val="center"/>
          </w:tcPr>
          <w:p w14:paraId="052D4E98" w14:textId="77777777" w:rsidR="007764A7" w:rsidRPr="00A34F10" w:rsidRDefault="007764A7" w:rsidP="007764A7">
            <w:pPr>
              <w:jc w:val="center"/>
              <w:rPr>
                <w:sz w:val="20"/>
                <w:szCs w:val="20"/>
                <w:lang w:val="en-GB"/>
              </w:rPr>
            </w:pPr>
          </w:p>
        </w:tc>
        <w:tc>
          <w:tcPr>
            <w:tcW w:w="449" w:type="pct"/>
            <w:tcBorders>
              <w:bottom w:val="single" w:sz="4" w:space="0" w:color="auto"/>
            </w:tcBorders>
            <w:shd w:val="clear" w:color="auto" w:fill="auto"/>
            <w:vAlign w:val="center"/>
          </w:tcPr>
          <w:p w14:paraId="362CE23B" w14:textId="77777777" w:rsidR="007764A7" w:rsidRPr="00A34F10" w:rsidRDefault="007764A7" w:rsidP="007764A7">
            <w:pPr>
              <w:jc w:val="center"/>
              <w:rPr>
                <w:sz w:val="20"/>
                <w:szCs w:val="20"/>
                <w:lang w:val="en-GB"/>
              </w:rPr>
            </w:pPr>
            <w:r w:rsidRPr="00A34F10">
              <w:rPr>
                <w:sz w:val="20"/>
                <w:szCs w:val="20"/>
              </w:rPr>
              <w:t>25.2</w:t>
            </w:r>
          </w:p>
        </w:tc>
        <w:tc>
          <w:tcPr>
            <w:tcW w:w="374" w:type="pct"/>
            <w:vMerge/>
            <w:tcBorders>
              <w:bottom w:val="single" w:sz="4" w:space="0" w:color="auto"/>
            </w:tcBorders>
            <w:shd w:val="clear" w:color="auto" w:fill="auto"/>
            <w:vAlign w:val="center"/>
          </w:tcPr>
          <w:p w14:paraId="72EFB012" w14:textId="77777777" w:rsidR="007764A7" w:rsidRPr="00A34F10" w:rsidRDefault="007764A7" w:rsidP="007764A7">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70429D0B" w14:textId="77777777" w:rsidR="007764A7" w:rsidRPr="008E1E5E" w:rsidRDefault="007764A7" w:rsidP="007764A7">
            <w:pPr>
              <w:jc w:val="center"/>
              <w:rPr>
                <w:sz w:val="20"/>
                <w:szCs w:val="20"/>
                <w:lang w:val="en-GB"/>
              </w:rPr>
            </w:pPr>
            <w:r w:rsidRPr="008E1E5E">
              <w:rPr>
                <w:sz w:val="20"/>
                <w:szCs w:val="20"/>
              </w:rPr>
              <w:t>40.53</w:t>
            </w:r>
          </w:p>
        </w:tc>
        <w:tc>
          <w:tcPr>
            <w:tcW w:w="496" w:type="pct"/>
            <w:tcBorders>
              <w:top w:val="nil"/>
              <w:left w:val="nil"/>
              <w:bottom w:val="single" w:sz="4" w:space="0" w:color="auto"/>
              <w:right w:val="single" w:sz="4" w:space="0" w:color="auto"/>
            </w:tcBorders>
            <w:shd w:val="clear" w:color="auto" w:fill="auto"/>
            <w:vAlign w:val="center"/>
          </w:tcPr>
          <w:p w14:paraId="468FAE99" w14:textId="6F37F59D" w:rsidR="007764A7" w:rsidRPr="008E1E5E" w:rsidRDefault="007764A7" w:rsidP="007764A7">
            <w:pPr>
              <w:jc w:val="center"/>
              <w:rPr>
                <w:sz w:val="20"/>
                <w:szCs w:val="20"/>
                <w:highlight w:val="green"/>
                <w:lang w:val="en-GB"/>
              </w:rPr>
            </w:pPr>
            <w:r w:rsidRPr="00A34F10">
              <w:rPr>
                <w:sz w:val="20"/>
                <w:szCs w:val="20"/>
              </w:rPr>
              <w:t>56.3</w:t>
            </w:r>
          </w:p>
        </w:tc>
      </w:tr>
      <w:tr w:rsidR="00DC5685" w:rsidRPr="002D6076" w14:paraId="16C867DE" w14:textId="77777777" w:rsidTr="00AA604E">
        <w:trPr>
          <w:cantSplit/>
        </w:trPr>
        <w:tc>
          <w:tcPr>
            <w:tcW w:w="5000" w:type="pct"/>
            <w:gridSpan w:val="7"/>
            <w:tcBorders>
              <w:top w:val="single" w:sz="12" w:space="0" w:color="auto"/>
              <w:bottom w:val="single" w:sz="12" w:space="0" w:color="auto"/>
            </w:tcBorders>
            <w:shd w:val="clear" w:color="auto" w:fill="auto"/>
            <w:vAlign w:val="center"/>
          </w:tcPr>
          <w:p w14:paraId="14DA53AA" w14:textId="77777777" w:rsidR="00DC5685" w:rsidRPr="001D51C3" w:rsidRDefault="00DC5685" w:rsidP="00AA604E">
            <w:pPr>
              <w:keepNext/>
              <w:jc w:val="center"/>
              <w:rPr>
                <w:sz w:val="20"/>
                <w:szCs w:val="20"/>
                <w:highlight w:val="yellow"/>
                <w:lang w:val="es-ES"/>
              </w:rPr>
            </w:pPr>
            <w:r w:rsidRPr="001D51C3">
              <w:rPr>
                <w:b/>
                <w:sz w:val="20"/>
                <w:szCs w:val="20"/>
                <w:lang w:val="es-ES"/>
              </w:rPr>
              <w:t>Ornamentals (2 x 0.902 kg a.s./ha, BBCH 12 - 59)</w:t>
            </w:r>
          </w:p>
        </w:tc>
      </w:tr>
      <w:tr w:rsidR="00DC5685" w:rsidRPr="00A34F10" w14:paraId="3E45B41F" w14:textId="77777777" w:rsidTr="007764A7">
        <w:trPr>
          <w:cantSplit/>
        </w:trPr>
        <w:tc>
          <w:tcPr>
            <w:tcW w:w="893" w:type="pct"/>
            <w:tcBorders>
              <w:bottom w:val="single" w:sz="4" w:space="0" w:color="auto"/>
            </w:tcBorders>
            <w:shd w:val="clear" w:color="auto" w:fill="auto"/>
            <w:vAlign w:val="center"/>
          </w:tcPr>
          <w:p w14:paraId="21457196" w14:textId="77777777" w:rsidR="00DC5685" w:rsidRPr="00A34F10" w:rsidRDefault="00DC5685" w:rsidP="00AA604E">
            <w:pPr>
              <w:keepNext/>
              <w:jc w:val="center"/>
              <w:rPr>
                <w:sz w:val="20"/>
                <w:szCs w:val="20"/>
                <w:lang w:val="en-GB"/>
              </w:rPr>
            </w:pPr>
            <w:r w:rsidRPr="00A34F10">
              <w:rPr>
                <w:sz w:val="20"/>
                <w:szCs w:val="20"/>
              </w:rPr>
              <w:t>Application to plant</w:t>
            </w:r>
          </w:p>
        </w:tc>
        <w:tc>
          <w:tcPr>
            <w:tcW w:w="1578" w:type="pct"/>
            <w:tcBorders>
              <w:bottom w:val="single" w:sz="4" w:space="0" w:color="auto"/>
            </w:tcBorders>
            <w:shd w:val="clear" w:color="auto" w:fill="auto"/>
            <w:vAlign w:val="center"/>
          </w:tcPr>
          <w:p w14:paraId="00235B57" w14:textId="77777777" w:rsidR="00DC5685" w:rsidRPr="00A34F10" w:rsidRDefault="00DC5685" w:rsidP="00AA604E">
            <w:pPr>
              <w:keepNext/>
              <w:jc w:val="center"/>
              <w:rPr>
                <w:sz w:val="20"/>
                <w:szCs w:val="20"/>
                <w:lang w:val="en-GB"/>
              </w:rPr>
            </w:pPr>
            <w:r w:rsidRPr="00A34F10">
              <w:rPr>
                <w:sz w:val="20"/>
                <w:szCs w:val="20"/>
                <w:lang w:val="en-GB"/>
              </w:rPr>
              <w:t>Small insectivorous bird “tit”</w:t>
            </w:r>
          </w:p>
        </w:tc>
        <w:tc>
          <w:tcPr>
            <w:tcW w:w="539" w:type="pct"/>
            <w:vMerge w:val="restart"/>
            <w:tcBorders>
              <w:bottom w:val="single" w:sz="4" w:space="0" w:color="auto"/>
            </w:tcBorders>
            <w:shd w:val="clear" w:color="auto" w:fill="auto"/>
            <w:vAlign w:val="center"/>
          </w:tcPr>
          <w:p w14:paraId="6773D5E5" w14:textId="77777777" w:rsidR="00DC5685" w:rsidRPr="00A34F10" w:rsidRDefault="00DC5685" w:rsidP="00AA604E">
            <w:pPr>
              <w:keepNext/>
              <w:jc w:val="center"/>
              <w:rPr>
                <w:sz w:val="20"/>
                <w:szCs w:val="20"/>
                <w:lang w:val="en-GB"/>
              </w:rPr>
            </w:pPr>
            <w:r w:rsidRPr="00A34F10">
              <w:rPr>
                <w:sz w:val="20"/>
                <w:szCs w:val="20"/>
                <w:lang w:val="en-GB"/>
              </w:rPr>
              <w:t>1.142</w:t>
            </w:r>
          </w:p>
        </w:tc>
        <w:tc>
          <w:tcPr>
            <w:tcW w:w="449" w:type="pct"/>
            <w:tcBorders>
              <w:bottom w:val="single" w:sz="4" w:space="0" w:color="auto"/>
            </w:tcBorders>
            <w:shd w:val="clear" w:color="auto" w:fill="auto"/>
            <w:vAlign w:val="center"/>
          </w:tcPr>
          <w:p w14:paraId="61E1A25C" w14:textId="77777777" w:rsidR="00DC5685" w:rsidRPr="00A34F10" w:rsidRDefault="00DC5685" w:rsidP="00AA604E">
            <w:pPr>
              <w:keepNext/>
              <w:jc w:val="center"/>
              <w:rPr>
                <w:sz w:val="20"/>
                <w:szCs w:val="20"/>
                <w:lang w:val="en-GB"/>
              </w:rPr>
            </w:pPr>
            <w:r w:rsidRPr="00A34F10">
              <w:rPr>
                <w:sz w:val="20"/>
                <w:szCs w:val="20"/>
              </w:rPr>
              <w:t>18.2</w:t>
            </w:r>
          </w:p>
        </w:tc>
        <w:tc>
          <w:tcPr>
            <w:tcW w:w="374" w:type="pct"/>
            <w:vMerge w:val="restart"/>
            <w:tcBorders>
              <w:bottom w:val="single" w:sz="4" w:space="0" w:color="auto"/>
            </w:tcBorders>
            <w:shd w:val="clear" w:color="auto" w:fill="auto"/>
            <w:vAlign w:val="center"/>
          </w:tcPr>
          <w:p w14:paraId="281E886D" w14:textId="77777777" w:rsidR="00DC5685" w:rsidRPr="00A34F10" w:rsidRDefault="00DC5685" w:rsidP="00AA604E">
            <w:pPr>
              <w:keepNext/>
              <w:jc w:val="center"/>
              <w:rPr>
                <w:sz w:val="20"/>
                <w:szCs w:val="20"/>
                <w:lang w:val="en-GB"/>
              </w:rPr>
            </w:pPr>
            <w:r w:rsidRPr="00A34F10">
              <w:rPr>
                <w:sz w:val="20"/>
                <w:szCs w:val="20"/>
                <w:lang w:val="en-GB"/>
              </w:rPr>
              <w:t>1.41</w:t>
            </w:r>
          </w:p>
        </w:tc>
        <w:tc>
          <w:tcPr>
            <w:tcW w:w="671" w:type="pct"/>
            <w:tcBorders>
              <w:top w:val="nil"/>
              <w:left w:val="single" w:sz="4" w:space="0" w:color="auto"/>
              <w:bottom w:val="single" w:sz="4" w:space="0" w:color="auto"/>
              <w:right w:val="single" w:sz="4" w:space="0" w:color="auto"/>
            </w:tcBorders>
            <w:shd w:val="clear" w:color="auto" w:fill="auto"/>
            <w:vAlign w:val="center"/>
          </w:tcPr>
          <w:p w14:paraId="366491BE" w14:textId="77777777" w:rsidR="00DC5685" w:rsidRPr="008E1E5E" w:rsidRDefault="00DC5685" w:rsidP="00AA604E">
            <w:pPr>
              <w:keepNext/>
              <w:jc w:val="center"/>
              <w:rPr>
                <w:sz w:val="20"/>
                <w:szCs w:val="20"/>
                <w:highlight w:val="yellow"/>
                <w:lang w:val="en-GB"/>
              </w:rPr>
            </w:pPr>
            <w:r w:rsidRPr="008E1E5E">
              <w:rPr>
                <w:sz w:val="20"/>
                <w:szCs w:val="20"/>
              </w:rPr>
              <w:t>75.28</w:t>
            </w:r>
          </w:p>
        </w:tc>
        <w:tc>
          <w:tcPr>
            <w:tcW w:w="496" w:type="pct"/>
            <w:tcBorders>
              <w:top w:val="nil"/>
              <w:left w:val="nil"/>
              <w:bottom w:val="single" w:sz="4" w:space="0" w:color="auto"/>
              <w:right w:val="single" w:sz="4" w:space="0" w:color="auto"/>
            </w:tcBorders>
            <w:shd w:val="clear" w:color="auto" w:fill="auto"/>
            <w:vAlign w:val="center"/>
          </w:tcPr>
          <w:p w14:paraId="4B37FF30" w14:textId="38D3CBF8" w:rsidR="00DC5685" w:rsidRPr="008E1E5E" w:rsidRDefault="00B37D11" w:rsidP="00AA604E">
            <w:pPr>
              <w:keepNext/>
              <w:jc w:val="center"/>
              <w:rPr>
                <w:b/>
                <w:bCs/>
                <w:sz w:val="20"/>
                <w:szCs w:val="20"/>
                <w:highlight w:val="green"/>
                <w:lang w:val="en-GB"/>
              </w:rPr>
            </w:pPr>
            <w:r w:rsidRPr="00A34F10">
              <w:rPr>
                <w:sz w:val="20"/>
                <w:szCs w:val="20"/>
              </w:rPr>
              <w:t>30.3</w:t>
            </w:r>
          </w:p>
        </w:tc>
      </w:tr>
      <w:tr w:rsidR="00DC5685" w:rsidRPr="00A34F10" w14:paraId="02329B97" w14:textId="77777777" w:rsidTr="007764A7">
        <w:trPr>
          <w:cantSplit/>
        </w:trPr>
        <w:tc>
          <w:tcPr>
            <w:tcW w:w="893" w:type="pct"/>
            <w:tcBorders>
              <w:bottom w:val="single" w:sz="4" w:space="0" w:color="auto"/>
            </w:tcBorders>
            <w:shd w:val="clear" w:color="auto" w:fill="auto"/>
            <w:vAlign w:val="center"/>
          </w:tcPr>
          <w:p w14:paraId="131BE161" w14:textId="77777777" w:rsidR="00DC5685" w:rsidRPr="00A34F10" w:rsidRDefault="00DC5685" w:rsidP="000470C3">
            <w:pPr>
              <w:jc w:val="center"/>
              <w:rPr>
                <w:sz w:val="20"/>
                <w:szCs w:val="20"/>
                <w:lang w:val="en-GB"/>
              </w:rPr>
            </w:pPr>
            <w:r w:rsidRPr="00A34F10">
              <w:rPr>
                <w:sz w:val="20"/>
                <w:szCs w:val="20"/>
              </w:rPr>
              <w:t>Application to plant - exposure to underlying ground</w:t>
            </w:r>
          </w:p>
        </w:tc>
        <w:tc>
          <w:tcPr>
            <w:tcW w:w="1578" w:type="pct"/>
            <w:tcBorders>
              <w:bottom w:val="single" w:sz="4" w:space="0" w:color="auto"/>
            </w:tcBorders>
            <w:shd w:val="clear" w:color="auto" w:fill="auto"/>
            <w:vAlign w:val="center"/>
          </w:tcPr>
          <w:p w14:paraId="2FA21118" w14:textId="77777777" w:rsidR="00DC5685" w:rsidRPr="00A34F10" w:rsidRDefault="00DC5685" w:rsidP="000470C3">
            <w:pPr>
              <w:jc w:val="center"/>
              <w:rPr>
                <w:sz w:val="20"/>
                <w:szCs w:val="20"/>
                <w:lang w:val="en-GB"/>
              </w:rPr>
            </w:pPr>
            <w:r w:rsidRPr="00A34F10">
              <w:rPr>
                <w:sz w:val="20"/>
                <w:szCs w:val="20"/>
                <w:lang w:val="en-GB"/>
              </w:rPr>
              <w:t>small insectivorous/worm feeding “thrush”</w:t>
            </w:r>
          </w:p>
        </w:tc>
        <w:tc>
          <w:tcPr>
            <w:tcW w:w="539" w:type="pct"/>
            <w:vMerge/>
            <w:tcBorders>
              <w:bottom w:val="single" w:sz="4" w:space="0" w:color="auto"/>
            </w:tcBorders>
            <w:shd w:val="clear" w:color="auto" w:fill="auto"/>
            <w:vAlign w:val="center"/>
          </w:tcPr>
          <w:p w14:paraId="77768ACD" w14:textId="77777777" w:rsidR="00DC5685" w:rsidRPr="00A34F10" w:rsidRDefault="00DC5685" w:rsidP="000470C3">
            <w:pPr>
              <w:jc w:val="center"/>
              <w:rPr>
                <w:sz w:val="20"/>
                <w:szCs w:val="20"/>
                <w:lang w:val="en-GB"/>
              </w:rPr>
            </w:pPr>
          </w:p>
        </w:tc>
        <w:tc>
          <w:tcPr>
            <w:tcW w:w="449" w:type="pct"/>
            <w:tcBorders>
              <w:bottom w:val="single" w:sz="4" w:space="0" w:color="auto"/>
            </w:tcBorders>
            <w:shd w:val="clear" w:color="auto" w:fill="auto"/>
            <w:vAlign w:val="center"/>
          </w:tcPr>
          <w:p w14:paraId="19B7C672" w14:textId="77777777" w:rsidR="00DC5685" w:rsidRPr="00A34F10" w:rsidRDefault="00DC5685" w:rsidP="000470C3">
            <w:pPr>
              <w:jc w:val="center"/>
              <w:rPr>
                <w:sz w:val="20"/>
                <w:szCs w:val="20"/>
                <w:lang w:val="en-GB"/>
              </w:rPr>
            </w:pPr>
            <w:r w:rsidRPr="00A34F10">
              <w:rPr>
                <w:sz w:val="20"/>
                <w:szCs w:val="20"/>
              </w:rPr>
              <w:t>2.7</w:t>
            </w:r>
          </w:p>
        </w:tc>
        <w:tc>
          <w:tcPr>
            <w:tcW w:w="374" w:type="pct"/>
            <w:vMerge/>
            <w:tcBorders>
              <w:bottom w:val="single" w:sz="4" w:space="0" w:color="auto"/>
            </w:tcBorders>
            <w:shd w:val="clear" w:color="auto" w:fill="auto"/>
            <w:vAlign w:val="center"/>
          </w:tcPr>
          <w:p w14:paraId="3A44D383"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7D732918" w14:textId="77777777" w:rsidR="00DC5685" w:rsidRPr="008E1E5E" w:rsidRDefault="00DC5685" w:rsidP="000470C3">
            <w:pPr>
              <w:jc w:val="center"/>
              <w:rPr>
                <w:sz w:val="20"/>
                <w:szCs w:val="20"/>
                <w:highlight w:val="yellow"/>
                <w:lang w:val="en-GB"/>
              </w:rPr>
            </w:pPr>
            <w:r w:rsidRPr="008E1E5E">
              <w:rPr>
                <w:sz w:val="20"/>
                <w:szCs w:val="20"/>
              </w:rPr>
              <w:t>11.90</w:t>
            </w:r>
          </w:p>
        </w:tc>
        <w:tc>
          <w:tcPr>
            <w:tcW w:w="496" w:type="pct"/>
            <w:tcBorders>
              <w:top w:val="nil"/>
              <w:left w:val="nil"/>
              <w:bottom w:val="single" w:sz="4" w:space="0" w:color="auto"/>
              <w:right w:val="single" w:sz="4" w:space="0" w:color="auto"/>
            </w:tcBorders>
            <w:shd w:val="clear" w:color="auto" w:fill="auto"/>
            <w:vAlign w:val="center"/>
          </w:tcPr>
          <w:p w14:paraId="45FC7C1F" w14:textId="102E5B31" w:rsidR="00DC5685" w:rsidRPr="008E1E5E" w:rsidRDefault="00B37D11" w:rsidP="000470C3">
            <w:pPr>
              <w:jc w:val="center"/>
              <w:rPr>
                <w:sz w:val="20"/>
                <w:szCs w:val="20"/>
                <w:highlight w:val="green"/>
                <w:lang w:val="en-GB"/>
              </w:rPr>
            </w:pPr>
            <w:r w:rsidRPr="00A34F10">
              <w:rPr>
                <w:sz w:val="20"/>
                <w:szCs w:val="20"/>
              </w:rPr>
              <w:t>191.7</w:t>
            </w:r>
          </w:p>
        </w:tc>
      </w:tr>
      <w:tr w:rsidR="00AA3E62" w:rsidRPr="00A34F10" w14:paraId="15C03D9B" w14:textId="77777777" w:rsidTr="00AA604E">
        <w:trPr>
          <w:cantSplit/>
        </w:trPr>
        <w:tc>
          <w:tcPr>
            <w:tcW w:w="5000" w:type="pct"/>
            <w:gridSpan w:val="7"/>
            <w:tcBorders>
              <w:top w:val="single" w:sz="4" w:space="0" w:color="auto"/>
              <w:bottom w:val="single" w:sz="4" w:space="0" w:color="auto"/>
              <w:right w:val="single" w:sz="4" w:space="0" w:color="auto"/>
            </w:tcBorders>
            <w:shd w:val="clear" w:color="auto" w:fill="auto"/>
            <w:vAlign w:val="center"/>
          </w:tcPr>
          <w:p w14:paraId="48B2FDD2" w14:textId="1FF7BF90" w:rsidR="00AA3E62" w:rsidRPr="00AA3E62" w:rsidRDefault="00AA3E62" w:rsidP="00AA3E62">
            <w:pPr>
              <w:keepNext/>
              <w:jc w:val="center"/>
              <w:rPr>
                <w:sz w:val="20"/>
                <w:szCs w:val="20"/>
                <w:highlight w:val="green"/>
              </w:rPr>
            </w:pPr>
            <w:r w:rsidRPr="00B875EA">
              <w:rPr>
                <w:b/>
                <w:sz w:val="20"/>
                <w:szCs w:val="20"/>
                <w:highlight w:val="green"/>
                <w:lang w:val="en-GB"/>
              </w:rPr>
              <w:t>Orchards (2 x 0.902 kg a.s./ha, BBCH 12 - 59)</w:t>
            </w:r>
          </w:p>
        </w:tc>
      </w:tr>
      <w:tr w:rsidR="00B37D11" w:rsidRPr="00A34F10" w14:paraId="7F466B81" w14:textId="77777777" w:rsidTr="007764A7">
        <w:trPr>
          <w:cantSplit/>
        </w:trPr>
        <w:tc>
          <w:tcPr>
            <w:tcW w:w="893" w:type="pct"/>
            <w:tcBorders>
              <w:top w:val="single" w:sz="4" w:space="0" w:color="auto"/>
              <w:bottom w:val="single" w:sz="4" w:space="0" w:color="auto"/>
            </w:tcBorders>
            <w:shd w:val="clear" w:color="auto" w:fill="auto"/>
            <w:vAlign w:val="center"/>
          </w:tcPr>
          <w:p w14:paraId="0B080E65" w14:textId="647B74A4" w:rsidR="00B37D11" w:rsidRPr="00A34F10" w:rsidRDefault="00B37D11" w:rsidP="00B37D11">
            <w:pPr>
              <w:keepNext/>
              <w:jc w:val="center"/>
              <w:rPr>
                <w:sz w:val="20"/>
                <w:szCs w:val="20"/>
              </w:rPr>
            </w:pPr>
            <w:r w:rsidRPr="00512D4C">
              <w:rPr>
                <w:sz w:val="20"/>
                <w:szCs w:val="20"/>
                <w:highlight w:val="green"/>
              </w:rPr>
              <w:t>Spring/Summer</w:t>
            </w:r>
          </w:p>
        </w:tc>
        <w:tc>
          <w:tcPr>
            <w:tcW w:w="1578" w:type="pct"/>
            <w:tcBorders>
              <w:top w:val="single" w:sz="4" w:space="0" w:color="auto"/>
              <w:bottom w:val="single" w:sz="4" w:space="0" w:color="auto"/>
            </w:tcBorders>
            <w:shd w:val="clear" w:color="auto" w:fill="auto"/>
            <w:vAlign w:val="center"/>
          </w:tcPr>
          <w:p w14:paraId="4F1CFD2D" w14:textId="6F36989C" w:rsidR="00B37D11" w:rsidRPr="00A34F10" w:rsidRDefault="00B37D11" w:rsidP="00B37D11">
            <w:pPr>
              <w:keepNext/>
              <w:jc w:val="center"/>
              <w:rPr>
                <w:sz w:val="20"/>
                <w:szCs w:val="20"/>
                <w:lang w:val="en-GB"/>
              </w:rPr>
            </w:pPr>
            <w:r w:rsidRPr="00512D4C">
              <w:rPr>
                <w:sz w:val="20"/>
                <w:szCs w:val="20"/>
                <w:highlight w:val="green"/>
                <w:lang w:val="en-GB"/>
              </w:rPr>
              <w:t>Small insectivorous bird “tit”</w:t>
            </w:r>
          </w:p>
        </w:tc>
        <w:tc>
          <w:tcPr>
            <w:tcW w:w="539" w:type="pct"/>
            <w:vMerge w:val="restart"/>
            <w:tcBorders>
              <w:top w:val="single" w:sz="4" w:space="0" w:color="auto"/>
            </w:tcBorders>
            <w:shd w:val="clear" w:color="auto" w:fill="auto"/>
            <w:vAlign w:val="center"/>
          </w:tcPr>
          <w:p w14:paraId="262981F0" w14:textId="2CDF2A28" w:rsidR="00B37D11" w:rsidRPr="00CB23D4" w:rsidRDefault="00B37D11" w:rsidP="00B37D11">
            <w:pPr>
              <w:keepNext/>
              <w:jc w:val="center"/>
              <w:rPr>
                <w:sz w:val="20"/>
                <w:szCs w:val="20"/>
                <w:highlight w:val="green"/>
                <w:lang w:val="en-GB"/>
              </w:rPr>
            </w:pPr>
            <w:r w:rsidRPr="00CB23D4">
              <w:rPr>
                <w:sz w:val="20"/>
                <w:szCs w:val="20"/>
                <w:highlight w:val="green"/>
                <w:lang w:val="en-GB"/>
              </w:rPr>
              <w:t>1.142</w:t>
            </w:r>
          </w:p>
        </w:tc>
        <w:tc>
          <w:tcPr>
            <w:tcW w:w="449" w:type="pct"/>
            <w:tcBorders>
              <w:top w:val="single" w:sz="4" w:space="0" w:color="auto"/>
              <w:bottom w:val="single" w:sz="4" w:space="0" w:color="auto"/>
            </w:tcBorders>
            <w:shd w:val="clear" w:color="auto" w:fill="auto"/>
            <w:vAlign w:val="center"/>
          </w:tcPr>
          <w:p w14:paraId="216A9ED1" w14:textId="079363D1" w:rsidR="00B37D11" w:rsidRPr="00CB23D4" w:rsidRDefault="00B37D11" w:rsidP="00B37D11">
            <w:pPr>
              <w:keepNext/>
              <w:jc w:val="center"/>
              <w:rPr>
                <w:sz w:val="20"/>
                <w:szCs w:val="20"/>
                <w:highlight w:val="green"/>
              </w:rPr>
            </w:pPr>
            <w:r w:rsidRPr="00CB23D4">
              <w:rPr>
                <w:sz w:val="20"/>
                <w:szCs w:val="20"/>
                <w:highlight w:val="green"/>
              </w:rPr>
              <w:t>46.8</w:t>
            </w:r>
          </w:p>
        </w:tc>
        <w:tc>
          <w:tcPr>
            <w:tcW w:w="374" w:type="pct"/>
            <w:vMerge w:val="restart"/>
            <w:tcBorders>
              <w:top w:val="single" w:sz="4" w:space="0" w:color="auto"/>
            </w:tcBorders>
            <w:shd w:val="clear" w:color="auto" w:fill="auto"/>
            <w:vAlign w:val="center"/>
          </w:tcPr>
          <w:p w14:paraId="125B8E79" w14:textId="243A7845" w:rsidR="00B37D11" w:rsidRPr="00CB23D4" w:rsidRDefault="00B37D11" w:rsidP="00B37D11">
            <w:pPr>
              <w:keepNext/>
              <w:jc w:val="center"/>
              <w:rPr>
                <w:sz w:val="20"/>
                <w:szCs w:val="20"/>
                <w:highlight w:val="green"/>
                <w:lang w:val="en-GB"/>
              </w:rPr>
            </w:pPr>
            <w:r w:rsidRPr="00CB23D4">
              <w:rPr>
                <w:sz w:val="20"/>
                <w:szCs w:val="20"/>
                <w:highlight w:val="green"/>
                <w:lang w:val="en-GB"/>
              </w:rPr>
              <w:t>1.41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D756390" w14:textId="6BDFA44F" w:rsidR="00B37D11" w:rsidRPr="008E1E5E" w:rsidRDefault="00B37D11" w:rsidP="00B37D11">
            <w:pPr>
              <w:keepNext/>
              <w:jc w:val="center"/>
              <w:rPr>
                <w:sz w:val="20"/>
                <w:szCs w:val="20"/>
                <w:highlight w:val="green"/>
              </w:rPr>
            </w:pPr>
            <w:r w:rsidRPr="008E1E5E">
              <w:rPr>
                <w:sz w:val="20"/>
                <w:szCs w:val="20"/>
                <w:highlight w:val="green"/>
              </w:rPr>
              <w:t>75.28</w:t>
            </w:r>
          </w:p>
        </w:tc>
        <w:tc>
          <w:tcPr>
            <w:tcW w:w="496" w:type="pct"/>
            <w:tcBorders>
              <w:top w:val="single" w:sz="4" w:space="0" w:color="auto"/>
              <w:left w:val="nil"/>
              <w:bottom w:val="single" w:sz="4" w:space="0" w:color="auto"/>
              <w:right w:val="single" w:sz="4" w:space="0" w:color="auto"/>
            </w:tcBorders>
            <w:shd w:val="clear" w:color="auto" w:fill="auto"/>
            <w:vAlign w:val="center"/>
          </w:tcPr>
          <w:p w14:paraId="7B798092" w14:textId="2A8A640A" w:rsidR="00B37D11" w:rsidRPr="008E1E5E" w:rsidRDefault="00B37D11" w:rsidP="00B37D11">
            <w:pPr>
              <w:keepNext/>
              <w:jc w:val="center"/>
              <w:rPr>
                <w:sz w:val="20"/>
                <w:szCs w:val="20"/>
                <w:highlight w:val="green"/>
              </w:rPr>
            </w:pPr>
            <w:r w:rsidRPr="00B37D11">
              <w:rPr>
                <w:sz w:val="20"/>
                <w:szCs w:val="20"/>
                <w:highlight w:val="green"/>
              </w:rPr>
              <w:t>30.3</w:t>
            </w:r>
          </w:p>
        </w:tc>
      </w:tr>
      <w:tr w:rsidR="00B37D11" w:rsidRPr="00A34F10" w14:paraId="5D50069F" w14:textId="77777777" w:rsidTr="007764A7">
        <w:trPr>
          <w:cantSplit/>
        </w:trPr>
        <w:tc>
          <w:tcPr>
            <w:tcW w:w="893" w:type="pct"/>
            <w:tcBorders>
              <w:top w:val="single" w:sz="4" w:space="0" w:color="auto"/>
              <w:bottom w:val="single" w:sz="4" w:space="0" w:color="auto"/>
            </w:tcBorders>
            <w:shd w:val="clear" w:color="auto" w:fill="auto"/>
            <w:vAlign w:val="center"/>
          </w:tcPr>
          <w:p w14:paraId="63EEE942" w14:textId="77777777" w:rsidR="00B37D11" w:rsidRPr="00512D4C" w:rsidRDefault="00B37D11" w:rsidP="00B37D11">
            <w:pPr>
              <w:jc w:val="center"/>
              <w:rPr>
                <w:sz w:val="20"/>
                <w:szCs w:val="20"/>
                <w:highlight w:val="green"/>
              </w:rPr>
            </w:pPr>
            <w:r w:rsidRPr="00512D4C">
              <w:rPr>
                <w:sz w:val="20"/>
                <w:szCs w:val="20"/>
                <w:highlight w:val="green"/>
              </w:rPr>
              <w:t xml:space="preserve">Crop directed – </w:t>
            </w:r>
          </w:p>
          <w:p w14:paraId="2C751D74" w14:textId="5F777E9D" w:rsidR="00B37D11" w:rsidRPr="00A34F10" w:rsidRDefault="00B37D11" w:rsidP="00B37D11">
            <w:pPr>
              <w:keepNext/>
              <w:jc w:val="center"/>
              <w:rPr>
                <w:sz w:val="20"/>
                <w:szCs w:val="20"/>
              </w:rPr>
            </w:pPr>
            <w:r w:rsidRPr="00512D4C">
              <w:rPr>
                <w:sz w:val="20"/>
                <w:szCs w:val="20"/>
                <w:highlight w:val="green"/>
              </w:rPr>
              <w:t>BBCH 10-19</w:t>
            </w:r>
          </w:p>
        </w:tc>
        <w:tc>
          <w:tcPr>
            <w:tcW w:w="1578" w:type="pct"/>
            <w:tcBorders>
              <w:top w:val="single" w:sz="4" w:space="0" w:color="auto"/>
              <w:bottom w:val="single" w:sz="4" w:space="0" w:color="auto"/>
            </w:tcBorders>
            <w:shd w:val="clear" w:color="auto" w:fill="auto"/>
            <w:vAlign w:val="center"/>
          </w:tcPr>
          <w:p w14:paraId="23F7C8A7" w14:textId="06412D9F" w:rsidR="00B37D11" w:rsidRPr="00A34F10" w:rsidRDefault="00B37D11" w:rsidP="00B37D11">
            <w:pPr>
              <w:keepNext/>
              <w:jc w:val="center"/>
              <w:rPr>
                <w:sz w:val="20"/>
                <w:szCs w:val="20"/>
                <w:lang w:val="en-GB"/>
              </w:rPr>
            </w:pPr>
            <w:r w:rsidRPr="00512D4C">
              <w:rPr>
                <w:sz w:val="20"/>
                <w:szCs w:val="20"/>
                <w:highlight w:val="green"/>
                <w:lang w:val="en-GB"/>
              </w:rPr>
              <w:t>small insectivorous/worm feeding “thrush”</w:t>
            </w:r>
          </w:p>
        </w:tc>
        <w:tc>
          <w:tcPr>
            <w:tcW w:w="539" w:type="pct"/>
            <w:vMerge/>
            <w:shd w:val="clear" w:color="auto" w:fill="auto"/>
            <w:vAlign w:val="center"/>
          </w:tcPr>
          <w:p w14:paraId="73D97C84"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798AC996" w14:textId="697221DD" w:rsidR="00B37D11" w:rsidRPr="00CB23D4" w:rsidRDefault="00B37D11" w:rsidP="00B37D11">
            <w:pPr>
              <w:keepNext/>
              <w:jc w:val="center"/>
              <w:rPr>
                <w:sz w:val="20"/>
                <w:szCs w:val="20"/>
                <w:highlight w:val="green"/>
              </w:rPr>
            </w:pPr>
            <w:r w:rsidRPr="00CB23D4">
              <w:rPr>
                <w:sz w:val="20"/>
                <w:szCs w:val="20"/>
                <w:highlight w:val="green"/>
              </w:rPr>
              <w:t>5.9</w:t>
            </w:r>
          </w:p>
        </w:tc>
        <w:tc>
          <w:tcPr>
            <w:tcW w:w="374" w:type="pct"/>
            <w:vMerge/>
            <w:shd w:val="clear" w:color="auto" w:fill="auto"/>
            <w:vAlign w:val="center"/>
          </w:tcPr>
          <w:p w14:paraId="5C648696"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78C1584" w14:textId="6C6732B7" w:rsidR="00B37D11" w:rsidRPr="008E1E5E" w:rsidRDefault="00B37D11" w:rsidP="00B37D11">
            <w:pPr>
              <w:keepNext/>
              <w:jc w:val="center"/>
              <w:rPr>
                <w:sz w:val="20"/>
                <w:szCs w:val="20"/>
                <w:highlight w:val="green"/>
              </w:rPr>
            </w:pPr>
            <w:r w:rsidRPr="008E1E5E">
              <w:rPr>
                <w:sz w:val="20"/>
                <w:szCs w:val="20"/>
                <w:highlight w:val="green"/>
              </w:rPr>
              <w:t>9.49</w:t>
            </w:r>
          </w:p>
        </w:tc>
        <w:tc>
          <w:tcPr>
            <w:tcW w:w="496" w:type="pct"/>
            <w:tcBorders>
              <w:top w:val="single" w:sz="4" w:space="0" w:color="auto"/>
              <w:left w:val="nil"/>
              <w:bottom w:val="single" w:sz="4" w:space="0" w:color="auto"/>
              <w:right w:val="single" w:sz="4" w:space="0" w:color="auto"/>
            </w:tcBorders>
            <w:shd w:val="clear" w:color="auto" w:fill="auto"/>
            <w:vAlign w:val="center"/>
          </w:tcPr>
          <w:p w14:paraId="74222771" w14:textId="1A2CA442" w:rsidR="00B37D11" w:rsidRPr="008E1E5E" w:rsidRDefault="00B37D11" w:rsidP="00B37D11">
            <w:pPr>
              <w:keepNext/>
              <w:jc w:val="center"/>
              <w:rPr>
                <w:sz w:val="20"/>
                <w:szCs w:val="20"/>
                <w:highlight w:val="green"/>
              </w:rPr>
            </w:pPr>
            <w:r w:rsidRPr="00B37D11">
              <w:rPr>
                <w:sz w:val="20"/>
                <w:szCs w:val="20"/>
                <w:highlight w:val="green"/>
              </w:rPr>
              <w:t>240.4</w:t>
            </w:r>
          </w:p>
        </w:tc>
      </w:tr>
      <w:tr w:rsidR="00B37D11" w:rsidRPr="00A34F10" w14:paraId="5D883D7F" w14:textId="77777777" w:rsidTr="007764A7">
        <w:trPr>
          <w:cantSplit/>
        </w:trPr>
        <w:tc>
          <w:tcPr>
            <w:tcW w:w="893" w:type="pct"/>
            <w:tcBorders>
              <w:top w:val="single" w:sz="4" w:space="0" w:color="auto"/>
              <w:bottom w:val="single" w:sz="4" w:space="0" w:color="auto"/>
            </w:tcBorders>
            <w:shd w:val="clear" w:color="auto" w:fill="auto"/>
            <w:vAlign w:val="center"/>
          </w:tcPr>
          <w:p w14:paraId="12B4E2EF" w14:textId="77777777" w:rsidR="00B37D11" w:rsidRPr="00512D4C" w:rsidRDefault="00B37D11" w:rsidP="00B37D11">
            <w:pPr>
              <w:jc w:val="center"/>
              <w:rPr>
                <w:sz w:val="20"/>
                <w:szCs w:val="20"/>
                <w:highlight w:val="green"/>
              </w:rPr>
            </w:pPr>
            <w:r w:rsidRPr="00512D4C">
              <w:rPr>
                <w:sz w:val="20"/>
                <w:szCs w:val="20"/>
                <w:highlight w:val="green"/>
              </w:rPr>
              <w:t xml:space="preserve">Crop directed – </w:t>
            </w:r>
          </w:p>
          <w:p w14:paraId="7165977B" w14:textId="4072B7B3" w:rsidR="00B37D11" w:rsidRPr="00A34F10" w:rsidRDefault="00B37D11" w:rsidP="00B37D11">
            <w:pPr>
              <w:keepNext/>
              <w:jc w:val="center"/>
              <w:rPr>
                <w:sz w:val="20"/>
                <w:szCs w:val="20"/>
              </w:rPr>
            </w:pPr>
            <w:r w:rsidRPr="00512D4C">
              <w:rPr>
                <w:sz w:val="20"/>
                <w:szCs w:val="20"/>
                <w:highlight w:val="green"/>
              </w:rPr>
              <w:t>BBCH 20-39</w:t>
            </w:r>
          </w:p>
        </w:tc>
        <w:tc>
          <w:tcPr>
            <w:tcW w:w="1578" w:type="pct"/>
            <w:tcBorders>
              <w:top w:val="single" w:sz="4" w:space="0" w:color="auto"/>
              <w:bottom w:val="single" w:sz="4" w:space="0" w:color="auto"/>
            </w:tcBorders>
            <w:shd w:val="clear" w:color="auto" w:fill="auto"/>
            <w:vAlign w:val="center"/>
          </w:tcPr>
          <w:p w14:paraId="61713042" w14:textId="0BFE35CE" w:rsidR="00B37D11" w:rsidRPr="00A34F10" w:rsidRDefault="00B37D11" w:rsidP="00B37D11">
            <w:pPr>
              <w:keepNext/>
              <w:jc w:val="center"/>
              <w:rPr>
                <w:sz w:val="20"/>
                <w:szCs w:val="20"/>
                <w:lang w:val="en-GB"/>
              </w:rPr>
            </w:pPr>
            <w:r w:rsidRPr="00512D4C">
              <w:rPr>
                <w:sz w:val="20"/>
                <w:szCs w:val="20"/>
                <w:highlight w:val="green"/>
                <w:lang w:val="en-GB"/>
              </w:rPr>
              <w:t>small insectivorous/worm feeding “thrush”</w:t>
            </w:r>
          </w:p>
        </w:tc>
        <w:tc>
          <w:tcPr>
            <w:tcW w:w="539" w:type="pct"/>
            <w:vMerge/>
            <w:shd w:val="clear" w:color="auto" w:fill="auto"/>
            <w:vAlign w:val="center"/>
          </w:tcPr>
          <w:p w14:paraId="4E554771"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38A2905E" w14:textId="28FBE797" w:rsidR="00B37D11" w:rsidRPr="00CB23D4" w:rsidRDefault="00B37D11" w:rsidP="00B37D11">
            <w:pPr>
              <w:keepNext/>
              <w:jc w:val="center"/>
              <w:rPr>
                <w:sz w:val="20"/>
                <w:szCs w:val="20"/>
                <w:highlight w:val="green"/>
              </w:rPr>
            </w:pPr>
            <w:r w:rsidRPr="00CB23D4">
              <w:rPr>
                <w:sz w:val="20"/>
                <w:szCs w:val="20"/>
                <w:highlight w:val="green"/>
              </w:rPr>
              <w:t>4.4</w:t>
            </w:r>
          </w:p>
        </w:tc>
        <w:tc>
          <w:tcPr>
            <w:tcW w:w="374" w:type="pct"/>
            <w:vMerge/>
            <w:shd w:val="clear" w:color="auto" w:fill="auto"/>
            <w:vAlign w:val="center"/>
          </w:tcPr>
          <w:p w14:paraId="4F894994"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0D88E07" w14:textId="71C3D887" w:rsidR="00B37D11" w:rsidRPr="008E1E5E" w:rsidRDefault="00B37D11" w:rsidP="00B37D11">
            <w:pPr>
              <w:keepNext/>
              <w:jc w:val="center"/>
              <w:rPr>
                <w:sz w:val="20"/>
                <w:szCs w:val="20"/>
                <w:highlight w:val="green"/>
              </w:rPr>
            </w:pPr>
            <w:r w:rsidRPr="008E1E5E">
              <w:rPr>
                <w:sz w:val="20"/>
                <w:szCs w:val="20"/>
                <w:highlight w:val="green"/>
              </w:rPr>
              <w:t>7.08</w:t>
            </w:r>
          </w:p>
        </w:tc>
        <w:tc>
          <w:tcPr>
            <w:tcW w:w="496" w:type="pct"/>
            <w:tcBorders>
              <w:top w:val="single" w:sz="4" w:space="0" w:color="auto"/>
              <w:left w:val="nil"/>
              <w:bottom w:val="single" w:sz="4" w:space="0" w:color="auto"/>
              <w:right w:val="single" w:sz="4" w:space="0" w:color="auto"/>
            </w:tcBorders>
            <w:shd w:val="clear" w:color="auto" w:fill="auto"/>
            <w:vAlign w:val="center"/>
          </w:tcPr>
          <w:p w14:paraId="6ECD8585" w14:textId="3DA63C89" w:rsidR="00B37D11" w:rsidRPr="008E1E5E" w:rsidRDefault="00B37D11" w:rsidP="00B37D11">
            <w:pPr>
              <w:keepNext/>
              <w:jc w:val="center"/>
              <w:rPr>
                <w:sz w:val="20"/>
                <w:szCs w:val="20"/>
                <w:highlight w:val="green"/>
              </w:rPr>
            </w:pPr>
            <w:r w:rsidRPr="00B37D11">
              <w:rPr>
                <w:sz w:val="20"/>
                <w:szCs w:val="20"/>
                <w:highlight w:val="green"/>
              </w:rPr>
              <w:t>322.3</w:t>
            </w:r>
          </w:p>
        </w:tc>
      </w:tr>
      <w:tr w:rsidR="00B37D11" w:rsidRPr="00A34F10" w14:paraId="0359C5B5" w14:textId="77777777" w:rsidTr="007764A7">
        <w:trPr>
          <w:cantSplit/>
        </w:trPr>
        <w:tc>
          <w:tcPr>
            <w:tcW w:w="893" w:type="pct"/>
            <w:tcBorders>
              <w:top w:val="single" w:sz="4" w:space="0" w:color="auto"/>
              <w:bottom w:val="single" w:sz="4" w:space="0" w:color="auto"/>
            </w:tcBorders>
            <w:shd w:val="clear" w:color="auto" w:fill="auto"/>
            <w:vAlign w:val="center"/>
          </w:tcPr>
          <w:p w14:paraId="3879A793" w14:textId="77777777" w:rsidR="00B37D11" w:rsidRPr="00512D4C" w:rsidRDefault="00B37D11" w:rsidP="00B37D11">
            <w:pPr>
              <w:jc w:val="center"/>
              <w:rPr>
                <w:sz w:val="20"/>
                <w:szCs w:val="20"/>
                <w:highlight w:val="green"/>
              </w:rPr>
            </w:pPr>
            <w:r w:rsidRPr="00512D4C">
              <w:rPr>
                <w:sz w:val="20"/>
                <w:szCs w:val="20"/>
                <w:highlight w:val="green"/>
              </w:rPr>
              <w:t xml:space="preserve">Crop directed – </w:t>
            </w:r>
          </w:p>
          <w:p w14:paraId="2BE7F7FC" w14:textId="2E1E8221" w:rsidR="00B37D11" w:rsidRPr="00A34F10" w:rsidRDefault="00B37D11" w:rsidP="00B37D11">
            <w:pPr>
              <w:keepNext/>
              <w:jc w:val="center"/>
              <w:rPr>
                <w:sz w:val="20"/>
                <w:szCs w:val="20"/>
              </w:rPr>
            </w:pPr>
            <w:r w:rsidRPr="00512D4C">
              <w:rPr>
                <w:sz w:val="20"/>
                <w:szCs w:val="20"/>
                <w:highlight w:val="green"/>
              </w:rPr>
              <w:t>BBCH ≥ 40</w:t>
            </w:r>
          </w:p>
        </w:tc>
        <w:tc>
          <w:tcPr>
            <w:tcW w:w="1578" w:type="pct"/>
            <w:tcBorders>
              <w:top w:val="single" w:sz="4" w:space="0" w:color="auto"/>
              <w:bottom w:val="single" w:sz="4" w:space="0" w:color="auto"/>
            </w:tcBorders>
            <w:shd w:val="clear" w:color="auto" w:fill="auto"/>
            <w:vAlign w:val="center"/>
          </w:tcPr>
          <w:p w14:paraId="7D2158AF" w14:textId="6372E9A7" w:rsidR="00B37D11" w:rsidRPr="00A34F10" w:rsidRDefault="00B37D11" w:rsidP="00B37D11">
            <w:pPr>
              <w:keepNext/>
              <w:jc w:val="center"/>
              <w:rPr>
                <w:sz w:val="20"/>
                <w:szCs w:val="20"/>
                <w:lang w:val="en-GB"/>
              </w:rPr>
            </w:pPr>
            <w:r w:rsidRPr="00512D4C">
              <w:rPr>
                <w:sz w:val="20"/>
                <w:szCs w:val="20"/>
                <w:highlight w:val="green"/>
                <w:lang w:val="en-GB"/>
              </w:rPr>
              <w:t>small insectivorous/worm feeding “thrush”</w:t>
            </w:r>
          </w:p>
        </w:tc>
        <w:tc>
          <w:tcPr>
            <w:tcW w:w="539" w:type="pct"/>
            <w:vMerge/>
            <w:shd w:val="clear" w:color="auto" w:fill="auto"/>
            <w:vAlign w:val="center"/>
          </w:tcPr>
          <w:p w14:paraId="03541F20"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4D3AB151" w14:textId="2AD8853F" w:rsidR="00B37D11" w:rsidRPr="00CB23D4" w:rsidRDefault="00B37D11" w:rsidP="00B37D11">
            <w:pPr>
              <w:keepNext/>
              <w:jc w:val="center"/>
              <w:rPr>
                <w:sz w:val="20"/>
                <w:szCs w:val="20"/>
                <w:highlight w:val="green"/>
              </w:rPr>
            </w:pPr>
            <w:r w:rsidRPr="00CB23D4">
              <w:rPr>
                <w:sz w:val="20"/>
                <w:szCs w:val="20"/>
                <w:highlight w:val="green"/>
              </w:rPr>
              <w:t>2.2</w:t>
            </w:r>
          </w:p>
        </w:tc>
        <w:tc>
          <w:tcPr>
            <w:tcW w:w="374" w:type="pct"/>
            <w:vMerge/>
            <w:shd w:val="clear" w:color="auto" w:fill="auto"/>
            <w:vAlign w:val="center"/>
          </w:tcPr>
          <w:p w14:paraId="5FB14E16"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00D94C9" w14:textId="11F34F4F" w:rsidR="00B37D11" w:rsidRPr="008E1E5E" w:rsidRDefault="00B37D11" w:rsidP="00B37D11">
            <w:pPr>
              <w:keepNext/>
              <w:jc w:val="center"/>
              <w:rPr>
                <w:sz w:val="20"/>
                <w:szCs w:val="20"/>
                <w:highlight w:val="green"/>
              </w:rPr>
            </w:pPr>
            <w:r w:rsidRPr="008E1E5E">
              <w:rPr>
                <w:sz w:val="20"/>
                <w:szCs w:val="20"/>
                <w:highlight w:val="green"/>
              </w:rPr>
              <w:t>3.54</w:t>
            </w:r>
          </w:p>
        </w:tc>
        <w:tc>
          <w:tcPr>
            <w:tcW w:w="496" w:type="pct"/>
            <w:tcBorders>
              <w:top w:val="single" w:sz="4" w:space="0" w:color="auto"/>
              <w:left w:val="nil"/>
              <w:bottom w:val="single" w:sz="4" w:space="0" w:color="auto"/>
              <w:right w:val="single" w:sz="4" w:space="0" w:color="auto"/>
            </w:tcBorders>
            <w:shd w:val="clear" w:color="auto" w:fill="auto"/>
            <w:vAlign w:val="center"/>
          </w:tcPr>
          <w:p w14:paraId="1411A0FD" w14:textId="2D6D3554" w:rsidR="00B37D11" w:rsidRPr="008E1E5E" w:rsidRDefault="00B37D11" w:rsidP="00B37D11">
            <w:pPr>
              <w:keepNext/>
              <w:jc w:val="center"/>
              <w:rPr>
                <w:sz w:val="20"/>
                <w:szCs w:val="20"/>
                <w:highlight w:val="green"/>
              </w:rPr>
            </w:pPr>
            <w:r w:rsidRPr="00B37D11">
              <w:rPr>
                <w:sz w:val="20"/>
                <w:szCs w:val="20"/>
                <w:highlight w:val="green"/>
              </w:rPr>
              <w:t>644.7</w:t>
            </w:r>
          </w:p>
        </w:tc>
      </w:tr>
      <w:tr w:rsidR="00B37D11" w:rsidRPr="00A34F10" w14:paraId="143F7523" w14:textId="77777777" w:rsidTr="007764A7">
        <w:trPr>
          <w:cantSplit/>
        </w:trPr>
        <w:tc>
          <w:tcPr>
            <w:tcW w:w="893" w:type="pct"/>
            <w:tcBorders>
              <w:top w:val="single" w:sz="4" w:space="0" w:color="auto"/>
              <w:bottom w:val="single" w:sz="4" w:space="0" w:color="auto"/>
            </w:tcBorders>
            <w:shd w:val="clear" w:color="auto" w:fill="auto"/>
            <w:vAlign w:val="center"/>
          </w:tcPr>
          <w:p w14:paraId="60D80A08" w14:textId="77777777" w:rsidR="00B37D11" w:rsidRPr="00512D4C" w:rsidRDefault="00B37D11" w:rsidP="00B37D11">
            <w:pPr>
              <w:jc w:val="center"/>
              <w:rPr>
                <w:sz w:val="20"/>
                <w:szCs w:val="20"/>
                <w:highlight w:val="green"/>
              </w:rPr>
            </w:pPr>
            <w:r w:rsidRPr="00512D4C">
              <w:rPr>
                <w:sz w:val="20"/>
                <w:szCs w:val="20"/>
                <w:highlight w:val="green"/>
              </w:rPr>
              <w:t xml:space="preserve">Crop directed – </w:t>
            </w:r>
          </w:p>
          <w:p w14:paraId="26026249" w14:textId="5B05C572" w:rsidR="00B37D11" w:rsidRPr="00A34F10" w:rsidRDefault="00B37D11" w:rsidP="00B37D11">
            <w:pPr>
              <w:keepNext/>
              <w:jc w:val="center"/>
              <w:rPr>
                <w:sz w:val="20"/>
                <w:szCs w:val="20"/>
              </w:rPr>
            </w:pPr>
            <w:r w:rsidRPr="00512D4C">
              <w:rPr>
                <w:sz w:val="20"/>
                <w:szCs w:val="20"/>
                <w:highlight w:val="green"/>
              </w:rPr>
              <w:t>BBCH 10-19</w:t>
            </w:r>
          </w:p>
        </w:tc>
        <w:tc>
          <w:tcPr>
            <w:tcW w:w="1578" w:type="pct"/>
            <w:tcBorders>
              <w:top w:val="single" w:sz="4" w:space="0" w:color="auto"/>
              <w:bottom w:val="single" w:sz="4" w:space="0" w:color="auto"/>
            </w:tcBorders>
            <w:shd w:val="clear" w:color="auto" w:fill="auto"/>
            <w:vAlign w:val="center"/>
          </w:tcPr>
          <w:p w14:paraId="44814078" w14:textId="07749FE0" w:rsidR="00B37D11" w:rsidRPr="00A34F10" w:rsidRDefault="00B37D11" w:rsidP="00B37D11">
            <w:pPr>
              <w:keepNext/>
              <w:jc w:val="center"/>
              <w:rPr>
                <w:sz w:val="20"/>
                <w:szCs w:val="20"/>
                <w:lang w:val="en-GB"/>
              </w:rPr>
            </w:pPr>
            <w:r w:rsidRPr="00512D4C">
              <w:rPr>
                <w:sz w:val="20"/>
                <w:szCs w:val="20"/>
                <w:highlight w:val="green"/>
                <w:lang w:val="en-GB"/>
              </w:rPr>
              <w:t>Small granivorous bird “finch”</w:t>
            </w:r>
          </w:p>
        </w:tc>
        <w:tc>
          <w:tcPr>
            <w:tcW w:w="539" w:type="pct"/>
            <w:vMerge/>
            <w:shd w:val="clear" w:color="auto" w:fill="auto"/>
            <w:vAlign w:val="center"/>
          </w:tcPr>
          <w:p w14:paraId="2D930D0B"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7D68237A" w14:textId="718561A4" w:rsidR="00B37D11" w:rsidRPr="00CB23D4" w:rsidRDefault="00B37D11" w:rsidP="00B37D11">
            <w:pPr>
              <w:keepNext/>
              <w:jc w:val="center"/>
              <w:rPr>
                <w:sz w:val="20"/>
                <w:szCs w:val="20"/>
                <w:highlight w:val="green"/>
              </w:rPr>
            </w:pPr>
            <w:r w:rsidRPr="00CB23D4">
              <w:rPr>
                <w:sz w:val="20"/>
                <w:szCs w:val="20"/>
                <w:highlight w:val="green"/>
              </w:rPr>
              <w:t>21.9</w:t>
            </w:r>
          </w:p>
        </w:tc>
        <w:tc>
          <w:tcPr>
            <w:tcW w:w="374" w:type="pct"/>
            <w:vMerge/>
            <w:shd w:val="clear" w:color="auto" w:fill="auto"/>
            <w:vAlign w:val="center"/>
          </w:tcPr>
          <w:p w14:paraId="1F260046"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FE54823" w14:textId="08D6AD71" w:rsidR="00B37D11" w:rsidRPr="008E1E5E" w:rsidRDefault="00B37D11" w:rsidP="00B37D11">
            <w:pPr>
              <w:keepNext/>
              <w:jc w:val="center"/>
              <w:rPr>
                <w:sz w:val="20"/>
                <w:szCs w:val="20"/>
                <w:highlight w:val="green"/>
              </w:rPr>
            </w:pPr>
            <w:r w:rsidRPr="008E1E5E">
              <w:rPr>
                <w:sz w:val="20"/>
                <w:szCs w:val="20"/>
                <w:highlight w:val="green"/>
              </w:rPr>
              <w:t>35.23</w:t>
            </w:r>
          </w:p>
        </w:tc>
        <w:tc>
          <w:tcPr>
            <w:tcW w:w="496" w:type="pct"/>
            <w:tcBorders>
              <w:top w:val="single" w:sz="4" w:space="0" w:color="auto"/>
              <w:left w:val="nil"/>
              <w:bottom w:val="single" w:sz="4" w:space="0" w:color="auto"/>
              <w:right w:val="single" w:sz="4" w:space="0" w:color="auto"/>
            </w:tcBorders>
            <w:shd w:val="clear" w:color="auto" w:fill="auto"/>
            <w:vAlign w:val="center"/>
          </w:tcPr>
          <w:p w14:paraId="6A0D1DDC" w14:textId="51A39E06" w:rsidR="00B37D11" w:rsidRPr="008E1E5E" w:rsidRDefault="00B37D11" w:rsidP="00B37D11">
            <w:pPr>
              <w:keepNext/>
              <w:jc w:val="center"/>
              <w:rPr>
                <w:sz w:val="20"/>
                <w:szCs w:val="20"/>
                <w:highlight w:val="green"/>
              </w:rPr>
            </w:pPr>
            <w:r w:rsidRPr="00B37D11">
              <w:rPr>
                <w:sz w:val="20"/>
                <w:szCs w:val="20"/>
                <w:highlight w:val="green"/>
              </w:rPr>
              <w:t>64.8</w:t>
            </w:r>
          </w:p>
        </w:tc>
      </w:tr>
      <w:tr w:rsidR="00B37D11" w:rsidRPr="00A34F10" w14:paraId="48FE59E5" w14:textId="77777777" w:rsidTr="007764A7">
        <w:trPr>
          <w:cantSplit/>
        </w:trPr>
        <w:tc>
          <w:tcPr>
            <w:tcW w:w="893" w:type="pct"/>
            <w:tcBorders>
              <w:top w:val="single" w:sz="4" w:space="0" w:color="auto"/>
              <w:bottom w:val="single" w:sz="4" w:space="0" w:color="auto"/>
            </w:tcBorders>
            <w:shd w:val="clear" w:color="auto" w:fill="auto"/>
            <w:vAlign w:val="center"/>
          </w:tcPr>
          <w:p w14:paraId="43CE30A1" w14:textId="77777777" w:rsidR="00B37D11" w:rsidRPr="00512D4C" w:rsidRDefault="00B37D11" w:rsidP="00B37D11">
            <w:pPr>
              <w:jc w:val="center"/>
              <w:rPr>
                <w:sz w:val="20"/>
                <w:szCs w:val="20"/>
                <w:highlight w:val="green"/>
              </w:rPr>
            </w:pPr>
            <w:r w:rsidRPr="00512D4C">
              <w:rPr>
                <w:sz w:val="20"/>
                <w:szCs w:val="20"/>
                <w:highlight w:val="green"/>
              </w:rPr>
              <w:t xml:space="preserve">Crop directed – </w:t>
            </w:r>
          </w:p>
          <w:p w14:paraId="617D8EFD" w14:textId="582C7770" w:rsidR="00B37D11" w:rsidRPr="00A34F10" w:rsidRDefault="00B37D11" w:rsidP="00B37D11">
            <w:pPr>
              <w:keepNext/>
              <w:jc w:val="center"/>
              <w:rPr>
                <w:sz w:val="20"/>
                <w:szCs w:val="20"/>
              </w:rPr>
            </w:pPr>
            <w:r w:rsidRPr="00512D4C">
              <w:rPr>
                <w:sz w:val="20"/>
                <w:szCs w:val="20"/>
                <w:highlight w:val="green"/>
              </w:rPr>
              <w:t>BBCH 20-39</w:t>
            </w:r>
          </w:p>
        </w:tc>
        <w:tc>
          <w:tcPr>
            <w:tcW w:w="1578" w:type="pct"/>
            <w:tcBorders>
              <w:top w:val="single" w:sz="4" w:space="0" w:color="auto"/>
              <w:bottom w:val="single" w:sz="4" w:space="0" w:color="auto"/>
            </w:tcBorders>
            <w:shd w:val="clear" w:color="auto" w:fill="auto"/>
            <w:vAlign w:val="center"/>
          </w:tcPr>
          <w:p w14:paraId="28E3607F" w14:textId="3CEEF38E" w:rsidR="00B37D11" w:rsidRPr="00A34F10" w:rsidRDefault="00B37D11" w:rsidP="00B37D11">
            <w:pPr>
              <w:keepNext/>
              <w:jc w:val="center"/>
              <w:rPr>
                <w:sz w:val="20"/>
                <w:szCs w:val="20"/>
                <w:lang w:val="en-GB"/>
              </w:rPr>
            </w:pPr>
            <w:r w:rsidRPr="00512D4C">
              <w:rPr>
                <w:sz w:val="20"/>
                <w:szCs w:val="20"/>
                <w:highlight w:val="green"/>
                <w:lang w:val="en-GB"/>
              </w:rPr>
              <w:t>Small granivorous bird “finch”</w:t>
            </w:r>
          </w:p>
        </w:tc>
        <w:tc>
          <w:tcPr>
            <w:tcW w:w="539" w:type="pct"/>
            <w:vMerge/>
            <w:shd w:val="clear" w:color="auto" w:fill="auto"/>
            <w:vAlign w:val="center"/>
          </w:tcPr>
          <w:p w14:paraId="35F9A0C9"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4499FEC9" w14:textId="7E43DF3F" w:rsidR="00B37D11" w:rsidRPr="00CB23D4" w:rsidRDefault="00B37D11" w:rsidP="00B37D11">
            <w:pPr>
              <w:keepNext/>
              <w:jc w:val="center"/>
              <w:rPr>
                <w:sz w:val="20"/>
                <w:szCs w:val="20"/>
                <w:highlight w:val="green"/>
              </w:rPr>
            </w:pPr>
            <w:r w:rsidRPr="00CB23D4">
              <w:rPr>
                <w:sz w:val="20"/>
                <w:szCs w:val="20"/>
                <w:highlight w:val="green"/>
              </w:rPr>
              <w:t>16.4</w:t>
            </w:r>
          </w:p>
        </w:tc>
        <w:tc>
          <w:tcPr>
            <w:tcW w:w="374" w:type="pct"/>
            <w:vMerge/>
            <w:shd w:val="clear" w:color="auto" w:fill="auto"/>
            <w:vAlign w:val="center"/>
          </w:tcPr>
          <w:p w14:paraId="62D02E99"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7988BA8" w14:textId="7C2A488C" w:rsidR="00B37D11" w:rsidRPr="008E1E5E" w:rsidRDefault="00B37D11" w:rsidP="00B37D11">
            <w:pPr>
              <w:keepNext/>
              <w:jc w:val="center"/>
              <w:rPr>
                <w:sz w:val="20"/>
                <w:szCs w:val="20"/>
                <w:highlight w:val="green"/>
              </w:rPr>
            </w:pPr>
            <w:r w:rsidRPr="008E1E5E">
              <w:rPr>
                <w:sz w:val="20"/>
                <w:szCs w:val="20"/>
                <w:highlight w:val="green"/>
              </w:rPr>
              <w:t>26.38</w:t>
            </w:r>
          </w:p>
        </w:tc>
        <w:tc>
          <w:tcPr>
            <w:tcW w:w="496" w:type="pct"/>
            <w:tcBorders>
              <w:top w:val="single" w:sz="4" w:space="0" w:color="auto"/>
              <w:left w:val="nil"/>
              <w:bottom w:val="single" w:sz="4" w:space="0" w:color="auto"/>
              <w:right w:val="single" w:sz="4" w:space="0" w:color="auto"/>
            </w:tcBorders>
            <w:shd w:val="clear" w:color="auto" w:fill="auto"/>
            <w:vAlign w:val="center"/>
          </w:tcPr>
          <w:p w14:paraId="62329155" w14:textId="0CF2231A" w:rsidR="00B37D11" w:rsidRPr="008E1E5E" w:rsidRDefault="00B37D11" w:rsidP="00B37D11">
            <w:pPr>
              <w:keepNext/>
              <w:jc w:val="center"/>
              <w:rPr>
                <w:sz w:val="20"/>
                <w:szCs w:val="20"/>
                <w:highlight w:val="green"/>
              </w:rPr>
            </w:pPr>
            <w:r w:rsidRPr="00B37D11">
              <w:rPr>
                <w:sz w:val="20"/>
                <w:szCs w:val="20"/>
                <w:highlight w:val="green"/>
              </w:rPr>
              <w:t>86.5</w:t>
            </w:r>
          </w:p>
        </w:tc>
      </w:tr>
      <w:tr w:rsidR="00B37D11" w:rsidRPr="00A34F10" w14:paraId="54C3B287" w14:textId="77777777" w:rsidTr="007764A7">
        <w:trPr>
          <w:cantSplit/>
        </w:trPr>
        <w:tc>
          <w:tcPr>
            <w:tcW w:w="893" w:type="pct"/>
            <w:tcBorders>
              <w:top w:val="single" w:sz="4" w:space="0" w:color="auto"/>
              <w:bottom w:val="single" w:sz="4" w:space="0" w:color="auto"/>
            </w:tcBorders>
            <w:shd w:val="clear" w:color="auto" w:fill="auto"/>
            <w:vAlign w:val="center"/>
          </w:tcPr>
          <w:p w14:paraId="4EAC067B" w14:textId="02254DA6" w:rsidR="00B37D11" w:rsidRPr="00A34F10" w:rsidRDefault="00B37D11" w:rsidP="00B37D11">
            <w:pPr>
              <w:jc w:val="center"/>
              <w:rPr>
                <w:sz w:val="20"/>
                <w:szCs w:val="20"/>
              </w:rPr>
            </w:pPr>
            <w:r w:rsidRPr="00512D4C">
              <w:rPr>
                <w:sz w:val="20"/>
                <w:szCs w:val="20"/>
                <w:highlight w:val="green"/>
              </w:rPr>
              <w:lastRenderedPageBreak/>
              <w:t>Crop directed – BBCH ≥ 40</w:t>
            </w:r>
          </w:p>
        </w:tc>
        <w:tc>
          <w:tcPr>
            <w:tcW w:w="1578" w:type="pct"/>
            <w:tcBorders>
              <w:top w:val="single" w:sz="4" w:space="0" w:color="auto"/>
              <w:bottom w:val="single" w:sz="4" w:space="0" w:color="auto"/>
            </w:tcBorders>
            <w:shd w:val="clear" w:color="auto" w:fill="auto"/>
            <w:vAlign w:val="center"/>
          </w:tcPr>
          <w:p w14:paraId="38817241" w14:textId="381C07D7" w:rsidR="00B37D11" w:rsidRPr="00A34F10" w:rsidRDefault="00B37D11" w:rsidP="00B37D11">
            <w:pPr>
              <w:keepNext/>
              <w:jc w:val="center"/>
              <w:rPr>
                <w:sz w:val="20"/>
                <w:szCs w:val="20"/>
                <w:lang w:val="en-GB"/>
              </w:rPr>
            </w:pPr>
            <w:r w:rsidRPr="00512D4C">
              <w:rPr>
                <w:sz w:val="20"/>
                <w:szCs w:val="20"/>
                <w:highlight w:val="green"/>
                <w:lang w:val="en-GB"/>
              </w:rPr>
              <w:t>Small granivorous bird “finch”</w:t>
            </w:r>
          </w:p>
        </w:tc>
        <w:tc>
          <w:tcPr>
            <w:tcW w:w="539" w:type="pct"/>
            <w:vMerge/>
            <w:shd w:val="clear" w:color="auto" w:fill="auto"/>
            <w:vAlign w:val="center"/>
          </w:tcPr>
          <w:p w14:paraId="5908EBB9" w14:textId="77777777" w:rsidR="00B37D11" w:rsidRPr="00CB23D4" w:rsidRDefault="00B37D11" w:rsidP="00B37D11">
            <w:pPr>
              <w:keepNext/>
              <w:jc w:val="center"/>
              <w:rPr>
                <w:sz w:val="20"/>
                <w:szCs w:val="20"/>
                <w:highlight w:val="green"/>
                <w:lang w:val="en-GB"/>
              </w:rPr>
            </w:pPr>
          </w:p>
        </w:tc>
        <w:tc>
          <w:tcPr>
            <w:tcW w:w="449" w:type="pct"/>
            <w:tcBorders>
              <w:top w:val="single" w:sz="4" w:space="0" w:color="auto"/>
              <w:bottom w:val="single" w:sz="4" w:space="0" w:color="auto"/>
            </w:tcBorders>
            <w:shd w:val="clear" w:color="auto" w:fill="auto"/>
            <w:vAlign w:val="center"/>
          </w:tcPr>
          <w:p w14:paraId="4647F651" w14:textId="68EDBAB3" w:rsidR="00B37D11" w:rsidRPr="00CB23D4" w:rsidRDefault="00B37D11" w:rsidP="00B37D11">
            <w:pPr>
              <w:keepNext/>
              <w:jc w:val="center"/>
              <w:rPr>
                <w:sz w:val="20"/>
                <w:szCs w:val="20"/>
                <w:highlight w:val="green"/>
              </w:rPr>
            </w:pPr>
            <w:r w:rsidRPr="00CB23D4">
              <w:rPr>
                <w:sz w:val="20"/>
                <w:szCs w:val="20"/>
                <w:highlight w:val="green"/>
              </w:rPr>
              <w:t>8.2</w:t>
            </w:r>
          </w:p>
        </w:tc>
        <w:tc>
          <w:tcPr>
            <w:tcW w:w="374" w:type="pct"/>
            <w:vMerge/>
            <w:shd w:val="clear" w:color="auto" w:fill="auto"/>
            <w:vAlign w:val="center"/>
          </w:tcPr>
          <w:p w14:paraId="51C160A9" w14:textId="77777777" w:rsidR="00B37D11" w:rsidRPr="00CB23D4" w:rsidRDefault="00B37D11" w:rsidP="00B37D11">
            <w:pPr>
              <w:keepNext/>
              <w:jc w:val="center"/>
              <w:rPr>
                <w:sz w:val="20"/>
                <w:szCs w:val="20"/>
                <w:highlight w:val="green"/>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2A60811" w14:textId="4A448FD9" w:rsidR="00B37D11" w:rsidRPr="008E1E5E" w:rsidRDefault="00B37D11" w:rsidP="00B37D11">
            <w:pPr>
              <w:keepNext/>
              <w:jc w:val="center"/>
              <w:rPr>
                <w:sz w:val="20"/>
                <w:szCs w:val="20"/>
                <w:highlight w:val="green"/>
              </w:rPr>
            </w:pPr>
            <w:r w:rsidRPr="008E1E5E">
              <w:rPr>
                <w:sz w:val="20"/>
                <w:szCs w:val="20"/>
                <w:highlight w:val="green"/>
              </w:rPr>
              <w:t>13.19</w:t>
            </w:r>
          </w:p>
        </w:tc>
        <w:tc>
          <w:tcPr>
            <w:tcW w:w="496" w:type="pct"/>
            <w:tcBorders>
              <w:top w:val="single" w:sz="4" w:space="0" w:color="auto"/>
              <w:left w:val="nil"/>
              <w:bottom w:val="single" w:sz="4" w:space="0" w:color="auto"/>
              <w:right w:val="single" w:sz="4" w:space="0" w:color="auto"/>
            </w:tcBorders>
            <w:shd w:val="clear" w:color="auto" w:fill="auto"/>
            <w:vAlign w:val="center"/>
          </w:tcPr>
          <w:p w14:paraId="36903165" w14:textId="40394488" w:rsidR="00B37D11" w:rsidRPr="008E1E5E" w:rsidRDefault="00B37D11" w:rsidP="00B37D11">
            <w:pPr>
              <w:keepNext/>
              <w:jc w:val="center"/>
              <w:rPr>
                <w:sz w:val="20"/>
                <w:szCs w:val="20"/>
                <w:highlight w:val="green"/>
              </w:rPr>
            </w:pPr>
            <w:r w:rsidRPr="00B37D11">
              <w:rPr>
                <w:sz w:val="20"/>
                <w:szCs w:val="20"/>
                <w:highlight w:val="green"/>
              </w:rPr>
              <w:t>173.0</w:t>
            </w:r>
          </w:p>
        </w:tc>
      </w:tr>
      <w:tr w:rsidR="00AA3E62" w:rsidRPr="00A34F10" w14:paraId="0C4A5153" w14:textId="77777777" w:rsidTr="00AA604E">
        <w:trPr>
          <w:cantSplit/>
        </w:trPr>
        <w:tc>
          <w:tcPr>
            <w:tcW w:w="5000" w:type="pct"/>
            <w:gridSpan w:val="7"/>
            <w:tcBorders>
              <w:top w:val="single" w:sz="4" w:space="0" w:color="auto"/>
              <w:bottom w:val="single" w:sz="4" w:space="0" w:color="auto"/>
              <w:right w:val="single" w:sz="4" w:space="0" w:color="auto"/>
            </w:tcBorders>
            <w:shd w:val="clear" w:color="auto" w:fill="auto"/>
            <w:vAlign w:val="center"/>
          </w:tcPr>
          <w:p w14:paraId="61E794F4" w14:textId="6D1C8B00" w:rsidR="00AA3E62" w:rsidRPr="00CB23D4" w:rsidRDefault="00AA3E62" w:rsidP="00AA3E62">
            <w:pPr>
              <w:keepNext/>
              <w:jc w:val="center"/>
              <w:rPr>
                <w:sz w:val="20"/>
                <w:szCs w:val="20"/>
                <w:highlight w:val="green"/>
              </w:rPr>
            </w:pPr>
            <w:r w:rsidRPr="00B875EA">
              <w:rPr>
                <w:b/>
                <w:sz w:val="20"/>
                <w:szCs w:val="20"/>
                <w:highlight w:val="green"/>
                <w:lang w:val="en-GB"/>
              </w:rPr>
              <w:t>Bush and cane fruit (2 x 0.902 kg a.s./ha, BBCH 12 - 59)</w:t>
            </w:r>
          </w:p>
        </w:tc>
      </w:tr>
      <w:tr w:rsidR="00B37D11" w:rsidRPr="00A34F10" w14:paraId="56737776" w14:textId="77777777" w:rsidTr="00B37D11">
        <w:trPr>
          <w:cantSplit/>
          <w:trHeight w:val="582"/>
        </w:trPr>
        <w:tc>
          <w:tcPr>
            <w:tcW w:w="893" w:type="pct"/>
            <w:tcBorders>
              <w:top w:val="single" w:sz="4" w:space="0" w:color="auto"/>
            </w:tcBorders>
            <w:shd w:val="clear" w:color="auto" w:fill="auto"/>
            <w:vAlign w:val="center"/>
          </w:tcPr>
          <w:p w14:paraId="529B9240" w14:textId="77777777" w:rsidR="00B37D11" w:rsidRDefault="00B37D11" w:rsidP="00CB23D4">
            <w:pPr>
              <w:jc w:val="center"/>
              <w:rPr>
                <w:sz w:val="20"/>
                <w:szCs w:val="20"/>
                <w:highlight w:val="green"/>
              </w:rPr>
            </w:pPr>
            <w:r>
              <w:rPr>
                <w:sz w:val="20"/>
                <w:szCs w:val="20"/>
                <w:highlight w:val="green"/>
              </w:rPr>
              <w:t xml:space="preserve">Whole season (currants) – </w:t>
            </w:r>
          </w:p>
          <w:p w14:paraId="78A43449" w14:textId="35467685" w:rsidR="00B37D11" w:rsidRPr="00A34F10" w:rsidRDefault="00B37D11" w:rsidP="00CB23D4">
            <w:pPr>
              <w:keepNext/>
              <w:jc w:val="center"/>
              <w:rPr>
                <w:sz w:val="20"/>
                <w:szCs w:val="20"/>
              </w:rPr>
            </w:pPr>
            <w:r>
              <w:rPr>
                <w:sz w:val="20"/>
                <w:szCs w:val="20"/>
                <w:highlight w:val="green"/>
              </w:rPr>
              <w:t>BBCH 00-79</w:t>
            </w:r>
          </w:p>
        </w:tc>
        <w:tc>
          <w:tcPr>
            <w:tcW w:w="1578" w:type="pct"/>
            <w:tcBorders>
              <w:top w:val="single" w:sz="4" w:space="0" w:color="auto"/>
            </w:tcBorders>
            <w:shd w:val="clear" w:color="auto" w:fill="auto"/>
            <w:vAlign w:val="center"/>
          </w:tcPr>
          <w:p w14:paraId="4E76DF83" w14:textId="6B3D9AEA" w:rsidR="00B37D11" w:rsidRPr="00A34F10" w:rsidRDefault="00B37D11" w:rsidP="00CB23D4">
            <w:pPr>
              <w:keepNext/>
              <w:jc w:val="center"/>
              <w:rPr>
                <w:sz w:val="20"/>
                <w:szCs w:val="20"/>
                <w:lang w:val="en-GB"/>
              </w:rPr>
            </w:pPr>
            <w:r w:rsidRPr="00512D4C">
              <w:rPr>
                <w:sz w:val="20"/>
                <w:szCs w:val="20"/>
                <w:highlight w:val="green"/>
                <w:lang w:val="en-GB"/>
              </w:rPr>
              <w:t>Small insectivorous bird “</w:t>
            </w:r>
            <w:r>
              <w:rPr>
                <w:sz w:val="20"/>
                <w:szCs w:val="20"/>
                <w:highlight w:val="green"/>
                <w:lang w:val="en-GB"/>
              </w:rPr>
              <w:t>warbler</w:t>
            </w:r>
            <w:r w:rsidRPr="00512D4C">
              <w:rPr>
                <w:sz w:val="20"/>
                <w:szCs w:val="20"/>
                <w:highlight w:val="green"/>
                <w:lang w:val="en-GB"/>
              </w:rPr>
              <w:t>”</w:t>
            </w:r>
          </w:p>
        </w:tc>
        <w:tc>
          <w:tcPr>
            <w:tcW w:w="539" w:type="pct"/>
            <w:shd w:val="clear" w:color="auto" w:fill="auto"/>
            <w:vAlign w:val="center"/>
          </w:tcPr>
          <w:p w14:paraId="41697C55" w14:textId="3CC350CA" w:rsidR="00B37D11" w:rsidRPr="00A34F10" w:rsidRDefault="00B37D11" w:rsidP="00CB23D4">
            <w:pPr>
              <w:keepNext/>
              <w:jc w:val="center"/>
              <w:rPr>
                <w:sz w:val="20"/>
                <w:szCs w:val="20"/>
                <w:lang w:val="en-GB"/>
              </w:rPr>
            </w:pPr>
            <w:r w:rsidRPr="00CB23D4">
              <w:rPr>
                <w:sz w:val="20"/>
                <w:szCs w:val="20"/>
                <w:highlight w:val="green"/>
                <w:lang w:val="en-GB"/>
              </w:rPr>
              <w:t>1.142</w:t>
            </w:r>
          </w:p>
        </w:tc>
        <w:tc>
          <w:tcPr>
            <w:tcW w:w="449" w:type="pct"/>
            <w:tcBorders>
              <w:top w:val="single" w:sz="4" w:space="0" w:color="auto"/>
            </w:tcBorders>
            <w:shd w:val="clear" w:color="auto" w:fill="auto"/>
            <w:vAlign w:val="center"/>
          </w:tcPr>
          <w:p w14:paraId="06D39742" w14:textId="58583B95" w:rsidR="00B37D11" w:rsidRPr="00CB23D4" w:rsidRDefault="00B37D11" w:rsidP="00CB23D4">
            <w:pPr>
              <w:keepNext/>
              <w:jc w:val="center"/>
              <w:rPr>
                <w:sz w:val="20"/>
                <w:szCs w:val="20"/>
                <w:highlight w:val="green"/>
              </w:rPr>
            </w:pPr>
            <w:r w:rsidRPr="00CB23D4">
              <w:rPr>
                <w:sz w:val="20"/>
                <w:szCs w:val="20"/>
                <w:highlight w:val="green"/>
              </w:rPr>
              <w:t>52.2</w:t>
            </w:r>
          </w:p>
        </w:tc>
        <w:tc>
          <w:tcPr>
            <w:tcW w:w="374" w:type="pct"/>
            <w:shd w:val="clear" w:color="auto" w:fill="auto"/>
            <w:vAlign w:val="center"/>
          </w:tcPr>
          <w:p w14:paraId="7E5E724D" w14:textId="69A95E05" w:rsidR="00B37D11" w:rsidRPr="00A34F10" w:rsidRDefault="00B37D11" w:rsidP="00CB23D4">
            <w:pPr>
              <w:keepNext/>
              <w:jc w:val="center"/>
              <w:rPr>
                <w:sz w:val="20"/>
                <w:szCs w:val="20"/>
                <w:lang w:val="en-GB"/>
              </w:rPr>
            </w:pPr>
            <w:r w:rsidRPr="00CB23D4">
              <w:rPr>
                <w:sz w:val="20"/>
                <w:szCs w:val="20"/>
                <w:highlight w:val="green"/>
                <w:lang w:val="en-GB"/>
              </w:rPr>
              <w:t>1.41</w:t>
            </w:r>
          </w:p>
        </w:tc>
        <w:tc>
          <w:tcPr>
            <w:tcW w:w="671" w:type="pct"/>
            <w:tcBorders>
              <w:top w:val="single" w:sz="4" w:space="0" w:color="auto"/>
              <w:left w:val="single" w:sz="4" w:space="0" w:color="auto"/>
              <w:right w:val="single" w:sz="4" w:space="0" w:color="auto"/>
            </w:tcBorders>
            <w:shd w:val="clear" w:color="auto" w:fill="auto"/>
            <w:vAlign w:val="center"/>
          </w:tcPr>
          <w:p w14:paraId="0853DE13" w14:textId="34637E67" w:rsidR="00B37D11" w:rsidRPr="008E1E5E" w:rsidRDefault="00B37D11" w:rsidP="00CB23D4">
            <w:pPr>
              <w:keepNext/>
              <w:jc w:val="center"/>
              <w:rPr>
                <w:sz w:val="20"/>
                <w:szCs w:val="20"/>
                <w:highlight w:val="green"/>
              </w:rPr>
            </w:pPr>
            <w:r w:rsidRPr="008E1E5E">
              <w:rPr>
                <w:sz w:val="20"/>
                <w:szCs w:val="20"/>
                <w:highlight w:val="green"/>
              </w:rPr>
              <w:t>83.96</w:t>
            </w:r>
          </w:p>
        </w:tc>
        <w:tc>
          <w:tcPr>
            <w:tcW w:w="496" w:type="pct"/>
            <w:tcBorders>
              <w:top w:val="single" w:sz="4" w:space="0" w:color="auto"/>
              <w:left w:val="nil"/>
              <w:right w:val="single" w:sz="4" w:space="0" w:color="auto"/>
            </w:tcBorders>
            <w:shd w:val="clear" w:color="auto" w:fill="auto"/>
            <w:vAlign w:val="center"/>
          </w:tcPr>
          <w:p w14:paraId="147B3A2C" w14:textId="4894D8F3" w:rsidR="00B37D11" w:rsidRPr="008E1E5E" w:rsidRDefault="00B37D11" w:rsidP="00CB23D4">
            <w:pPr>
              <w:keepNext/>
              <w:jc w:val="center"/>
              <w:rPr>
                <w:sz w:val="20"/>
                <w:szCs w:val="20"/>
                <w:highlight w:val="green"/>
              </w:rPr>
            </w:pPr>
            <w:r>
              <w:rPr>
                <w:sz w:val="20"/>
                <w:szCs w:val="20"/>
                <w:highlight w:val="green"/>
              </w:rPr>
              <w:t>27.2</w:t>
            </w:r>
          </w:p>
        </w:tc>
      </w:tr>
    </w:tbl>
    <w:p w14:paraId="6A8799AA" w14:textId="77777777" w:rsidR="00DC5685" w:rsidRPr="00A34F10" w:rsidRDefault="00DC5685" w:rsidP="00DC5685">
      <w:pPr>
        <w:widowControl w:val="0"/>
        <w:tabs>
          <w:tab w:val="left" w:pos="0"/>
        </w:tabs>
        <w:jc w:val="both"/>
        <w:rPr>
          <w:sz w:val="18"/>
          <w:szCs w:val="18"/>
          <w:lang w:val="en-GB"/>
        </w:rPr>
      </w:pPr>
      <w:r w:rsidRPr="00A34F10">
        <w:rPr>
          <w:sz w:val="18"/>
          <w:szCs w:val="18"/>
          <w:lang w:val="en-GB"/>
        </w:rPr>
        <w:t>SV: shortcut value; MAF: multiple application factor; TWA: time-weighted average factor; DDD: daily dietary dose; TER: toxicity to exposure ratio. TER values shown in bold fall below the relevant trigger.</w:t>
      </w:r>
    </w:p>
    <w:p w14:paraId="6F1EF63C" w14:textId="77777777" w:rsidR="00DC5685" w:rsidRPr="00A34F10" w:rsidRDefault="00DC5685" w:rsidP="00DC5685">
      <w:pPr>
        <w:widowControl w:val="0"/>
        <w:jc w:val="both"/>
        <w:rPr>
          <w:sz w:val="18"/>
          <w:szCs w:val="18"/>
          <w:lang w:val="en-GB"/>
        </w:rPr>
      </w:pPr>
      <w:r w:rsidRPr="00A34F10">
        <w:rPr>
          <w:sz w:val="18"/>
          <w:szCs w:val="18"/>
          <w:vertAlign w:val="superscript"/>
          <w:lang w:val="en-GB"/>
        </w:rPr>
        <w:t xml:space="preserve">a </w:t>
      </w:r>
      <w:r w:rsidRPr="00A34F10">
        <w:rPr>
          <w:sz w:val="18"/>
          <w:szCs w:val="18"/>
          <w:lang w:val="en-GB"/>
        </w:rPr>
        <w:t xml:space="preserve">Corrected SV value (to correct for known error in </w:t>
      </w:r>
      <w:r w:rsidRPr="00A34F10">
        <w:rPr>
          <w:rFonts w:eastAsia="MyriadPro-Regular"/>
          <w:sz w:val="18"/>
          <w:szCs w:val="18"/>
          <w:lang w:val="en-GB"/>
        </w:rPr>
        <w:t>EFSA/2009/1438 guidance document)</w:t>
      </w:r>
    </w:p>
    <w:p w14:paraId="11D946B9" w14:textId="77777777" w:rsidR="00DC5685" w:rsidRPr="00A34F10" w:rsidRDefault="00DC5685" w:rsidP="00DC5685">
      <w:pPr>
        <w:jc w:val="both"/>
        <w:rPr>
          <w:lang w:val="en-GB"/>
        </w:rPr>
      </w:pPr>
    </w:p>
    <w:p w14:paraId="6D8F5001" w14:textId="77777777" w:rsidR="00DC5685" w:rsidRPr="00A34F10" w:rsidRDefault="00DC5685" w:rsidP="00DC5685">
      <w:pPr>
        <w:widowControl w:val="0"/>
        <w:jc w:val="both"/>
        <w:rPr>
          <w:b/>
          <w:u w:val="single"/>
        </w:rPr>
      </w:pPr>
    </w:p>
    <w:p w14:paraId="204F2FCC" w14:textId="4E97A530" w:rsidR="00DC5685" w:rsidRPr="00A34F10" w:rsidRDefault="00DC5685" w:rsidP="00040983">
      <w:pPr>
        <w:pStyle w:val="Legenda"/>
        <w:rPr>
          <w:b w:val="0"/>
        </w:rPr>
      </w:pPr>
      <w:r w:rsidRPr="00A34F10">
        <w:rPr>
          <w:lang w:eastAsia="en-GB"/>
        </w:rPr>
        <w:t xml:space="preserve">Table </w:t>
      </w:r>
      <w:r w:rsidR="007E7467">
        <w:rPr>
          <w:lang w:eastAsia="en-GB"/>
        </w:rPr>
        <w:fldChar w:fldCharType="begin"/>
      </w:r>
      <w:r w:rsidR="007E7467">
        <w:rPr>
          <w:lang w:eastAsia="en-GB"/>
        </w:rPr>
        <w:instrText xml:space="preserve"> STYLEREF 2 \s </w:instrText>
      </w:r>
      <w:r w:rsidR="007E7467">
        <w:rPr>
          <w:lang w:eastAsia="en-GB"/>
        </w:rPr>
        <w:fldChar w:fldCharType="separate"/>
      </w:r>
      <w:r w:rsidR="006F0F3B">
        <w:rPr>
          <w:noProof/>
          <w:lang w:eastAsia="en-GB"/>
        </w:rPr>
        <w:t>9.2</w:t>
      </w:r>
      <w:r w:rsidR="007E7467">
        <w:rPr>
          <w:lang w:eastAsia="en-GB"/>
        </w:rPr>
        <w:fldChar w:fldCharType="end"/>
      </w:r>
      <w:r w:rsidR="007E7467">
        <w:rPr>
          <w:lang w:eastAsia="en-GB"/>
        </w:rPr>
        <w:noBreakHyphen/>
      </w:r>
      <w:r w:rsidR="007E7467">
        <w:rPr>
          <w:lang w:eastAsia="en-GB"/>
        </w:rPr>
        <w:fldChar w:fldCharType="begin"/>
      </w:r>
      <w:r w:rsidR="007E7467">
        <w:rPr>
          <w:lang w:eastAsia="en-GB"/>
        </w:rPr>
        <w:instrText xml:space="preserve"> SEQ Table \* ARABIC \s 2 </w:instrText>
      </w:r>
      <w:r w:rsidR="007E7467">
        <w:rPr>
          <w:lang w:eastAsia="en-GB"/>
        </w:rPr>
        <w:fldChar w:fldCharType="separate"/>
      </w:r>
      <w:r w:rsidR="006F0F3B">
        <w:rPr>
          <w:noProof/>
          <w:lang w:eastAsia="en-GB"/>
        </w:rPr>
        <w:t>13</w:t>
      </w:r>
      <w:r w:rsidR="007E7467">
        <w:rPr>
          <w:lang w:eastAsia="en-GB"/>
        </w:rPr>
        <w:fldChar w:fldCharType="end"/>
      </w:r>
      <w:r w:rsidR="00040983">
        <w:rPr>
          <w:lang w:eastAsia="en-GB"/>
        </w:rPr>
        <w:t>:</w:t>
      </w:r>
      <w:r w:rsidRPr="00A34F10">
        <w:rPr>
          <w:lang w:eastAsia="en-GB"/>
        </w:rPr>
        <w:t xml:space="preserve"> </w:t>
      </w:r>
      <w:r w:rsidRPr="00A34F10">
        <w:rPr>
          <w:lang w:eastAsia="en-GB"/>
        </w:rPr>
        <w:tab/>
        <w:t xml:space="preserve">BAS 743 03 F: First-tier assessment of the reproductive risk for birds due to the use of </w:t>
      </w:r>
      <w:r w:rsidRPr="00A34F10">
        <w:t>BAS 743 03 F at 1 – 3 x 2.0 L/ha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5"/>
        <w:gridCol w:w="2952"/>
        <w:gridCol w:w="726"/>
        <w:gridCol w:w="991"/>
        <w:gridCol w:w="791"/>
        <w:gridCol w:w="1254"/>
        <w:gridCol w:w="938"/>
      </w:tblGrid>
      <w:tr w:rsidR="00DC5685" w:rsidRPr="00A34F10" w14:paraId="4054BEF2" w14:textId="77777777" w:rsidTr="00B37D11">
        <w:trPr>
          <w:cantSplit/>
          <w:tblHeader/>
        </w:trPr>
        <w:tc>
          <w:tcPr>
            <w:tcW w:w="907" w:type="pct"/>
            <w:tcBorders>
              <w:right w:val="single" w:sz="4" w:space="0" w:color="auto"/>
            </w:tcBorders>
            <w:shd w:val="clear" w:color="auto" w:fill="auto"/>
            <w:vAlign w:val="center"/>
          </w:tcPr>
          <w:p w14:paraId="18E977E8" w14:textId="77777777" w:rsidR="00DC5685" w:rsidRPr="00A34F10" w:rsidRDefault="00DC5685" w:rsidP="000470C3">
            <w:pPr>
              <w:keepNext/>
              <w:widowControl w:val="0"/>
              <w:jc w:val="center"/>
              <w:rPr>
                <w:b/>
                <w:bCs/>
                <w:sz w:val="20"/>
                <w:szCs w:val="20"/>
                <w:lang w:val="en-GB"/>
              </w:rPr>
            </w:pPr>
            <w:r w:rsidRPr="00A34F10">
              <w:rPr>
                <w:b/>
                <w:bCs/>
                <w:sz w:val="20"/>
                <w:szCs w:val="20"/>
                <w:lang w:val="en-GB"/>
              </w:rPr>
              <w:t>Product</w:t>
            </w:r>
          </w:p>
        </w:tc>
        <w:tc>
          <w:tcPr>
            <w:tcW w:w="4093" w:type="pct"/>
            <w:gridSpan w:val="6"/>
            <w:tcBorders>
              <w:right w:val="single" w:sz="4" w:space="0" w:color="auto"/>
            </w:tcBorders>
            <w:shd w:val="clear" w:color="auto" w:fill="auto"/>
            <w:vAlign w:val="center"/>
          </w:tcPr>
          <w:p w14:paraId="4FA9CE1B" w14:textId="77777777" w:rsidR="00DC5685" w:rsidRPr="00A34F10" w:rsidRDefault="00DC5685" w:rsidP="000470C3">
            <w:pPr>
              <w:keepNext/>
              <w:widowControl w:val="0"/>
              <w:rPr>
                <w:sz w:val="20"/>
                <w:szCs w:val="20"/>
                <w:lang w:val="en-GB"/>
              </w:rPr>
            </w:pPr>
            <w:r w:rsidRPr="00A34F10">
              <w:rPr>
                <w:sz w:val="20"/>
                <w:szCs w:val="20"/>
                <w:lang w:val="en-GB"/>
              </w:rPr>
              <w:t>BAS 743 03 F</w:t>
            </w:r>
          </w:p>
        </w:tc>
      </w:tr>
      <w:tr w:rsidR="00DC5685" w:rsidRPr="00A34F10" w14:paraId="4D5E5EC3" w14:textId="77777777" w:rsidTr="00B37D11">
        <w:trPr>
          <w:cantSplit/>
          <w:tblHeader/>
        </w:trPr>
        <w:tc>
          <w:tcPr>
            <w:tcW w:w="907" w:type="pct"/>
            <w:tcBorders>
              <w:right w:val="single" w:sz="4" w:space="0" w:color="auto"/>
            </w:tcBorders>
            <w:shd w:val="clear" w:color="auto" w:fill="auto"/>
            <w:vAlign w:val="center"/>
          </w:tcPr>
          <w:p w14:paraId="0E2E1B4A" w14:textId="77777777" w:rsidR="00DC5685" w:rsidRPr="00A34F10" w:rsidRDefault="00DC5685" w:rsidP="000470C3">
            <w:pPr>
              <w:keepNext/>
              <w:widowControl w:val="0"/>
              <w:jc w:val="center"/>
              <w:rPr>
                <w:b/>
                <w:bCs/>
                <w:sz w:val="20"/>
                <w:szCs w:val="20"/>
                <w:lang w:val="en-GB"/>
              </w:rPr>
            </w:pPr>
            <w:r w:rsidRPr="00A34F10">
              <w:rPr>
                <w:b/>
                <w:bCs/>
                <w:sz w:val="20"/>
                <w:szCs w:val="20"/>
                <w:lang w:val="en-GB"/>
              </w:rPr>
              <w:t xml:space="preserve">Reprod. toxicity </w:t>
            </w:r>
            <w:r w:rsidRPr="00A34F10">
              <w:rPr>
                <w:b/>
                <w:bCs/>
                <w:sz w:val="20"/>
                <w:szCs w:val="20"/>
                <w:lang w:val="en-GB"/>
              </w:rPr>
              <w:br/>
              <w:t>(mg/kg bw/d)</w:t>
            </w:r>
          </w:p>
        </w:tc>
        <w:tc>
          <w:tcPr>
            <w:tcW w:w="4093" w:type="pct"/>
            <w:gridSpan w:val="6"/>
            <w:tcBorders>
              <w:right w:val="single" w:sz="4" w:space="0" w:color="auto"/>
            </w:tcBorders>
            <w:shd w:val="clear" w:color="auto" w:fill="auto"/>
            <w:vAlign w:val="center"/>
          </w:tcPr>
          <w:p w14:paraId="19D9A367" w14:textId="77777777" w:rsidR="00DC5685" w:rsidRPr="00A34F10" w:rsidRDefault="00DC5685" w:rsidP="000470C3">
            <w:pPr>
              <w:keepNext/>
              <w:widowControl w:val="0"/>
              <w:rPr>
                <w:sz w:val="20"/>
                <w:szCs w:val="20"/>
                <w:lang w:val="en-GB"/>
              </w:rPr>
            </w:pPr>
            <w:r w:rsidRPr="00A34F10">
              <w:rPr>
                <w:sz w:val="20"/>
                <w:szCs w:val="20"/>
                <w:lang w:val="en-GB"/>
              </w:rPr>
              <w:t xml:space="preserve">107 </w:t>
            </w:r>
            <w:r w:rsidRPr="00A34F10">
              <w:rPr>
                <w:sz w:val="20"/>
                <w:lang w:val="en-GB"/>
              </w:rPr>
              <w:t>(predicted NOEL</w:t>
            </w:r>
            <w:r w:rsidRPr="00A34F10">
              <w:rPr>
                <w:sz w:val="20"/>
                <w:vertAlign w:val="subscript"/>
                <w:lang w:val="en-GB"/>
              </w:rPr>
              <w:t>mix</w:t>
            </w:r>
            <w:r w:rsidRPr="00A34F10">
              <w:rPr>
                <w:sz w:val="20"/>
                <w:lang w:val="en-GB"/>
              </w:rPr>
              <w:t>)</w:t>
            </w:r>
          </w:p>
        </w:tc>
      </w:tr>
      <w:tr w:rsidR="00DC5685" w:rsidRPr="00A34F10" w14:paraId="395F4241" w14:textId="77777777" w:rsidTr="00B37D11">
        <w:trPr>
          <w:cantSplit/>
          <w:tblHeader/>
        </w:trPr>
        <w:tc>
          <w:tcPr>
            <w:tcW w:w="907" w:type="pct"/>
            <w:tcBorders>
              <w:right w:val="single" w:sz="4" w:space="0" w:color="auto"/>
            </w:tcBorders>
            <w:shd w:val="clear" w:color="auto" w:fill="auto"/>
            <w:vAlign w:val="center"/>
          </w:tcPr>
          <w:p w14:paraId="38664F75" w14:textId="77777777" w:rsidR="00DC5685" w:rsidRPr="00A34F10" w:rsidRDefault="00DC5685" w:rsidP="000470C3">
            <w:pPr>
              <w:keepNext/>
              <w:widowControl w:val="0"/>
              <w:jc w:val="center"/>
              <w:rPr>
                <w:b/>
                <w:bCs/>
                <w:sz w:val="20"/>
                <w:szCs w:val="20"/>
                <w:lang w:val="en-GB"/>
              </w:rPr>
            </w:pPr>
            <w:r w:rsidRPr="00A34F10">
              <w:rPr>
                <w:b/>
                <w:bCs/>
                <w:sz w:val="20"/>
                <w:szCs w:val="20"/>
                <w:lang w:val="en-GB"/>
              </w:rPr>
              <w:t>TER criterion</w:t>
            </w:r>
          </w:p>
        </w:tc>
        <w:tc>
          <w:tcPr>
            <w:tcW w:w="4093" w:type="pct"/>
            <w:gridSpan w:val="6"/>
            <w:tcBorders>
              <w:right w:val="single" w:sz="4" w:space="0" w:color="auto"/>
            </w:tcBorders>
            <w:shd w:val="clear" w:color="auto" w:fill="auto"/>
            <w:vAlign w:val="center"/>
          </w:tcPr>
          <w:p w14:paraId="48031591" w14:textId="77777777" w:rsidR="00DC5685" w:rsidRPr="00A34F10" w:rsidRDefault="00DC5685" w:rsidP="000470C3">
            <w:pPr>
              <w:keepNext/>
              <w:widowControl w:val="0"/>
              <w:rPr>
                <w:sz w:val="20"/>
                <w:szCs w:val="20"/>
                <w:lang w:val="en-GB"/>
              </w:rPr>
            </w:pPr>
            <w:r w:rsidRPr="00A34F10">
              <w:rPr>
                <w:sz w:val="20"/>
                <w:szCs w:val="20"/>
                <w:lang w:val="en-GB"/>
              </w:rPr>
              <w:t>5</w:t>
            </w:r>
          </w:p>
        </w:tc>
      </w:tr>
      <w:tr w:rsidR="00DC5685" w:rsidRPr="00A34F10" w14:paraId="6EF5A505" w14:textId="77777777" w:rsidTr="00B37D11">
        <w:trPr>
          <w:cantSplit/>
          <w:tblHeader/>
        </w:trPr>
        <w:tc>
          <w:tcPr>
            <w:tcW w:w="907" w:type="pct"/>
            <w:tcBorders>
              <w:bottom w:val="single" w:sz="12" w:space="0" w:color="auto"/>
            </w:tcBorders>
            <w:shd w:val="clear" w:color="auto" w:fill="auto"/>
            <w:vAlign w:val="center"/>
          </w:tcPr>
          <w:p w14:paraId="167D84A4" w14:textId="77777777" w:rsidR="00DC5685" w:rsidRPr="00A34F10" w:rsidRDefault="00DC5685" w:rsidP="000470C3">
            <w:pPr>
              <w:keepNext/>
              <w:widowControl w:val="0"/>
              <w:jc w:val="center"/>
              <w:rPr>
                <w:b/>
                <w:bCs/>
                <w:sz w:val="20"/>
                <w:szCs w:val="20"/>
                <w:lang w:val="en-GB"/>
              </w:rPr>
            </w:pPr>
            <w:r w:rsidRPr="00A34F10">
              <w:rPr>
                <w:b/>
                <w:bCs/>
                <w:sz w:val="20"/>
                <w:szCs w:val="20"/>
                <w:lang w:val="en-GB"/>
              </w:rPr>
              <w:t>Growth stage</w:t>
            </w:r>
          </w:p>
        </w:tc>
        <w:tc>
          <w:tcPr>
            <w:tcW w:w="1579" w:type="pct"/>
            <w:tcBorders>
              <w:bottom w:val="single" w:sz="12" w:space="0" w:color="auto"/>
            </w:tcBorders>
            <w:shd w:val="clear" w:color="auto" w:fill="auto"/>
            <w:vAlign w:val="center"/>
          </w:tcPr>
          <w:p w14:paraId="685656ED" w14:textId="77777777" w:rsidR="00DC5685" w:rsidRPr="00A34F10" w:rsidRDefault="00DC5685" w:rsidP="000470C3">
            <w:pPr>
              <w:keepNext/>
              <w:widowControl w:val="0"/>
              <w:jc w:val="center"/>
              <w:rPr>
                <w:b/>
                <w:bCs/>
                <w:sz w:val="20"/>
                <w:szCs w:val="20"/>
                <w:lang w:val="en-GB"/>
              </w:rPr>
            </w:pPr>
            <w:r w:rsidRPr="00A34F10">
              <w:rPr>
                <w:b/>
                <w:bCs/>
                <w:sz w:val="20"/>
                <w:szCs w:val="20"/>
                <w:lang w:val="en-GB"/>
              </w:rPr>
              <w:t>Generic focal species</w:t>
            </w:r>
          </w:p>
        </w:tc>
        <w:tc>
          <w:tcPr>
            <w:tcW w:w="388" w:type="pct"/>
            <w:tcBorders>
              <w:bottom w:val="single" w:sz="12" w:space="0" w:color="auto"/>
            </w:tcBorders>
            <w:shd w:val="clear" w:color="auto" w:fill="auto"/>
            <w:vAlign w:val="center"/>
          </w:tcPr>
          <w:p w14:paraId="5351A9A6" w14:textId="77777777" w:rsidR="00DC5685" w:rsidRPr="00A34F10" w:rsidRDefault="00DC5685" w:rsidP="000470C3">
            <w:pPr>
              <w:keepNext/>
              <w:widowControl w:val="0"/>
              <w:jc w:val="center"/>
              <w:rPr>
                <w:b/>
                <w:bCs/>
                <w:sz w:val="20"/>
                <w:szCs w:val="20"/>
                <w:lang w:val="en-GB"/>
              </w:rPr>
            </w:pPr>
            <w:r w:rsidRPr="00A34F10">
              <w:rPr>
                <w:b/>
                <w:bCs/>
                <w:sz w:val="20"/>
                <w:szCs w:val="20"/>
                <w:lang w:val="en-GB"/>
              </w:rPr>
              <w:t>App. Rate</w:t>
            </w:r>
          </w:p>
          <w:p w14:paraId="7EE62030" w14:textId="77777777" w:rsidR="00DC5685" w:rsidRPr="00A34F10" w:rsidRDefault="00DC5685" w:rsidP="000470C3">
            <w:pPr>
              <w:keepNext/>
              <w:widowControl w:val="0"/>
              <w:jc w:val="center"/>
              <w:rPr>
                <w:b/>
                <w:bCs/>
                <w:sz w:val="20"/>
                <w:szCs w:val="20"/>
                <w:lang w:val="en-GB"/>
              </w:rPr>
            </w:pPr>
            <w:r w:rsidRPr="00A34F10">
              <w:rPr>
                <w:b/>
                <w:bCs/>
                <w:sz w:val="20"/>
                <w:szCs w:val="20"/>
                <w:lang w:val="en-GB"/>
              </w:rPr>
              <w:t>(kg a.s./ha)</w:t>
            </w:r>
          </w:p>
        </w:tc>
        <w:tc>
          <w:tcPr>
            <w:tcW w:w="530" w:type="pct"/>
            <w:tcBorders>
              <w:bottom w:val="single" w:sz="12" w:space="0" w:color="auto"/>
            </w:tcBorders>
            <w:shd w:val="clear" w:color="auto" w:fill="auto"/>
            <w:vAlign w:val="center"/>
          </w:tcPr>
          <w:p w14:paraId="5D6DDE4D" w14:textId="77777777" w:rsidR="00DC5685" w:rsidRPr="00A34F10" w:rsidRDefault="00DC5685" w:rsidP="000470C3">
            <w:pPr>
              <w:keepNext/>
              <w:widowControl w:val="0"/>
              <w:jc w:val="center"/>
              <w:rPr>
                <w:b/>
                <w:bCs/>
                <w:sz w:val="20"/>
                <w:szCs w:val="20"/>
                <w:lang w:val="en-GB"/>
              </w:rPr>
            </w:pPr>
            <w:r w:rsidRPr="00A34F10">
              <w:rPr>
                <w:b/>
                <w:bCs/>
                <w:sz w:val="20"/>
                <w:szCs w:val="20"/>
                <w:lang w:val="en-GB"/>
              </w:rPr>
              <w:t>SV</w:t>
            </w:r>
            <w:r w:rsidRPr="00A34F10">
              <w:rPr>
                <w:b/>
                <w:bCs/>
                <w:sz w:val="20"/>
                <w:szCs w:val="20"/>
                <w:vertAlign w:val="subscript"/>
                <w:lang w:val="en-GB"/>
              </w:rPr>
              <w:t>m</w:t>
            </w:r>
          </w:p>
        </w:tc>
        <w:tc>
          <w:tcPr>
            <w:tcW w:w="423" w:type="pct"/>
            <w:tcBorders>
              <w:bottom w:val="single" w:sz="12" w:space="0" w:color="auto"/>
            </w:tcBorders>
            <w:shd w:val="clear" w:color="auto" w:fill="auto"/>
            <w:vAlign w:val="center"/>
          </w:tcPr>
          <w:p w14:paraId="5AF61C64" w14:textId="77777777" w:rsidR="00DC5685" w:rsidRPr="00A34F10" w:rsidRDefault="00DC5685" w:rsidP="000470C3">
            <w:pPr>
              <w:keepNext/>
              <w:widowControl w:val="0"/>
              <w:jc w:val="center"/>
              <w:rPr>
                <w:b/>
                <w:bCs/>
                <w:sz w:val="20"/>
                <w:szCs w:val="20"/>
                <w:lang w:val="en-GB"/>
              </w:rPr>
            </w:pPr>
            <w:r w:rsidRPr="00A34F10">
              <w:rPr>
                <w:b/>
                <w:bCs/>
                <w:sz w:val="20"/>
                <w:szCs w:val="20"/>
                <w:lang w:val="en-GB"/>
              </w:rPr>
              <w:t>MAF</w:t>
            </w:r>
            <w:r w:rsidRPr="00A34F10">
              <w:rPr>
                <w:b/>
                <w:bCs/>
                <w:sz w:val="20"/>
                <w:szCs w:val="20"/>
                <w:vertAlign w:val="subscript"/>
                <w:lang w:val="en-GB"/>
              </w:rPr>
              <w:t>m</w:t>
            </w:r>
            <w:r w:rsidRPr="00A34F10">
              <w:rPr>
                <w:b/>
                <w:bCs/>
                <w:sz w:val="20"/>
                <w:szCs w:val="20"/>
                <w:lang w:val="en-GB"/>
              </w:rPr>
              <w:t xml:space="preserve"> × TWA</w:t>
            </w:r>
          </w:p>
        </w:tc>
        <w:tc>
          <w:tcPr>
            <w:tcW w:w="671" w:type="pct"/>
            <w:tcBorders>
              <w:bottom w:val="single" w:sz="12" w:space="0" w:color="auto"/>
            </w:tcBorders>
            <w:shd w:val="clear" w:color="auto" w:fill="auto"/>
            <w:vAlign w:val="center"/>
          </w:tcPr>
          <w:p w14:paraId="2EAC222A" w14:textId="77777777" w:rsidR="00DC5685" w:rsidRPr="00A34F10" w:rsidRDefault="00DC5685" w:rsidP="000470C3">
            <w:pPr>
              <w:keepNext/>
              <w:widowControl w:val="0"/>
              <w:jc w:val="center"/>
              <w:rPr>
                <w:b/>
                <w:bCs/>
                <w:sz w:val="20"/>
                <w:szCs w:val="20"/>
                <w:lang w:val="de-DE"/>
              </w:rPr>
            </w:pPr>
            <w:r w:rsidRPr="00A34F10">
              <w:rPr>
                <w:b/>
                <w:bCs/>
                <w:sz w:val="20"/>
                <w:szCs w:val="20"/>
                <w:lang w:val="de-DE"/>
              </w:rPr>
              <w:t>DDD</w:t>
            </w:r>
            <w:r w:rsidRPr="00A34F10">
              <w:rPr>
                <w:b/>
                <w:bCs/>
                <w:sz w:val="20"/>
                <w:szCs w:val="20"/>
                <w:vertAlign w:val="subscript"/>
                <w:lang w:val="de-DE"/>
              </w:rPr>
              <w:t>m</w:t>
            </w:r>
          </w:p>
          <w:p w14:paraId="1CA76613" w14:textId="77777777" w:rsidR="00DC5685" w:rsidRPr="00A34F10" w:rsidRDefault="00DC5685" w:rsidP="000470C3">
            <w:pPr>
              <w:keepNext/>
              <w:widowControl w:val="0"/>
              <w:jc w:val="center"/>
              <w:rPr>
                <w:b/>
                <w:bCs/>
                <w:sz w:val="20"/>
                <w:szCs w:val="20"/>
                <w:lang w:val="de-DE"/>
              </w:rPr>
            </w:pPr>
            <w:r w:rsidRPr="00A34F10">
              <w:rPr>
                <w:b/>
                <w:bCs/>
                <w:sz w:val="20"/>
                <w:szCs w:val="20"/>
                <w:lang w:val="de-DE"/>
              </w:rPr>
              <w:t>(mg/kg bw/d)</w:t>
            </w:r>
          </w:p>
        </w:tc>
        <w:tc>
          <w:tcPr>
            <w:tcW w:w="502" w:type="pct"/>
            <w:tcBorders>
              <w:bottom w:val="single" w:sz="12" w:space="0" w:color="auto"/>
            </w:tcBorders>
            <w:shd w:val="clear" w:color="auto" w:fill="auto"/>
            <w:vAlign w:val="center"/>
          </w:tcPr>
          <w:p w14:paraId="5D039EF2" w14:textId="77777777" w:rsidR="00DC5685" w:rsidRPr="00A34F10" w:rsidRDefault="00DC5685" w:rsidP="000470C3">
            <w:pPr>
              <w:keepNext/>
              <w:widowControl w:val="0"/>
              <w:jc w:val="center"/>
              <w:rPr>
                <w:b/>
                <w:bCs/>
                <w:sz w:val="20"/>
                <w:szCs w:val="20"/>
                <w:lang w:val="en-GB"/>
              </w:rPr>
            </w:pPr>
            <w:r w:rsidRPr="00A34F10">
              <w:rPr>
                <w:b/>
                <w:bCs/>
                <w:sz w:val="20"/>
                <w:szCs w:val="20"/>
                <w:lang w:val="en-GB"/>
              </w:rPr>
              <w:t>TER</w:t>
            </w:r>
            <w:r w:rsidRPr="00A34F10">
              <w:rPr>
                <w:b/>
                <w:bCs/>
                <w:sz w:val="20"/>
                <w:szCs w:val="20"/>
                <w:vertAlign w:val="subscript"/>
                <w:lang w:val="en-GB"/>
              </w:rPr>
              <w:t>lt</w:t>
            </w:r>
          </w:p>
        </w:tc>
      </w:tr>
      <w:tr w:rsidR="00DC5685" w:rsidRPr="00A34F10" w14:paraId="0AFD2404" w14:textId="77777777" w:rsidTr="000470C3">
        <w:trPr>
          <w:cantSplit/>
        </w:trPr>
        <w:tc>
          <w:tcPr>
            <w:tcW w:w="5000" w:type="pct"/>
            <w:gridSpan w:val="7"/>
            <w:tcBorders>
              <w:top w:val="single" w:sz="12" w:space="0" w:color="auto"/>
              <w:bottom w:val="single" w:sz="4" w:space="0" w:color="auto"/>
              <w:right w:val="single" w:sz="4" w:space="0" w:color="auto"/>
            </w:tcBorders>
            <w:shd w:val="clear" w:color="auto" w:fill="auto"/>
            <w:vAlign w:val="center"/>
          </w:tcPr>
          <w:p w14:paraId="60C89B5D" w14:textId="77777777" w:rsidR="00DC5685" w:rsidRPr="00A34F10" w:rsidRDefault="00DC5685" w:rsidP="000470C3">
            <w:pPr>
              <w:jc w:val="center"/>
              <w:rPr>
                <w:sz w:val="20"/>
                <w:szCs w:val="20"/>
                <w:lang w:val="en-GB"/>
              </w:rPr>
            </w:pPr>
            <w:r w:rsidRPr="00A34F10">
              <w:rPr>
                <w:b/>
                <w:sz w:val="20"/>
                <w:szCs w:val="20"/>
                <w:lang w:val="en-GB"/>
              </w:rPr>
              <w:t>Potatoes (3 × ∑ (0.24 + 0.902) kg a.s./ha, BBCH 21-89)</w:t>
            </w:r>
          </w:p>
        </w:tc>
      </w:tr>
      <w:tr w:rsidR="00DC5685" w:rsidRPr="00A34F10" w14:paraId="4AC6B252" w14:textId="77777777" w:rsidTr="00B37D11">
        <w:trPr>
          <w:cantSplit/>
        </w:trPr>
        <w:tc>
          <w:tcPr>
            <w:tcW w:w="907" w:type="pct"/>
            <w:tcBorders>
              <w:top w:val="single" w:sz="4" w:space="0" w:color="auto"/>
            </w:tcBorders>
            <w:shd w:val="clear" w:color="auto" w:fill="auto"/>
            <w:vAlign w:val="center"/>
          </w:tcPr>
          <w:p w14:paraId="2C5B7024" w14:textId="77777777" w:rsidR="00DC5685" w:rsidRPr="00A34F10" w:rsidRDefault="00DC5685" w:rsidP="000470C3">
            <w:pPr>
              <w:jc w:val="center"/>
              <w:rPr>
                <w:sz w:val="20"/>
                <w:szCs w:val="20"/>
                <w:lang w:val="en-GB"/>
              </w:rPr>
            </w:pPr>
            <w:r w:rsidRPr="00A34F10">
              <w:rPr>
                <w:sz w:val="20"/>
                <w:szCs w:val="20"/>
                <w:lang w:val="en-GB"/>
              </w:rPr>
              <w:t>BBCH 10-39</w:t>
            </w:r>
          </w:p>
        </w:tc>
        <w:tc>
          <w:tcPr>
            <w:tcW w:w="1579" w:type="pct"/>
            <w:tcBorders>
              <w:top w:val="single" w:sz="4" w:space="0" w:color="auto"/>
            </w:tcBorders>
            <w:shd w:val="clear" w:color="auto" w:fill="auto"/>
            <w:vAlign w:val="center"/>
          </w:tcPr>
          <w:p w14:paraId="4AE9E1E1"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388" w:type="pct"/>
            <w:vMerge w:val="restart"/>
            <w:tcBorders>
              <w:top w:val="single" w:sz="4" w:space="0" w:color="auto"/>
            </w:tcBorders>
            <w:shd w:val="clear" w:color="auto" w:fill="auto"/>
            <w:vAlign w:val="center"/>
          </w:tcPr>
          <w:p w14:paraId="098B558D" w14:textId="77777777" w:rsidR="00DC5685" w:rsidRPr="00A34F10" w:rsidRDefault="00DC5685" w:rsidP="000470C3">
            <w:pPr>
              <w:jc w:val="center"/>
              <w:rPr>
                <w:sz w:val="20"/>
                <w:szCs w:val="20"/>
                <w:lang w:val="en-GB"/>
              </w:rPr>
            </w:pPr>
            <w:r w:rsidRPr="00A34F10">
              <w:rPr>
                <w:sz w:val="20"/>
                <w:szCs w:val="20"/>
                <w:lang w:val="en-GB"/>
              </w:rPr>
              <w:t>1.142</w:t>
            </w:r>
          </w:p>
        </w:tc>
        <w:tc>
          <w:tcPr>
            <w:tcW w:w="530" w:type="pct"/>
            <w:tcBorders>
              <w:top w:val="single" w:sz="4" w:space="0" w:color="auto"/>
            </w:tcBorders>
            <w:shd w:val="clear" w:color="auto" w:fill="auto"/>
            <w:vAlign w:val="center"/>
          </w:tcPr>
          <w:p w14:paraId="415DA969" w14:textId="77777777" w:rsidR="00DC5685" w:rsidRPr="00A34F10" w:rsidRDefault="00DC5685" w:rsidP="000470C3">
            <w:pPr>
              <w:jc w:val="center"/>
              <w:rPr>
                <w:sz w:val="20"/>
                <w:szCs w:val="20"/>
                <w:lang w:val="en-GB"/>
              </w:rPr>
            </w:pPr>
            <w:r w:rsidRPr="00A34F10">
              <w:rPr>
                <w:sz w:val="20"/>
                <w:szCs w:val="20"/>
                <w:lang w:val="en-GB"/>
              </w:rPr>
              <w:t>10.9</w:t>
            </w:r>
          </w:p>
        </w:tc>
        <w:tc>
          <w:tcPr>
            <w:tcW w:w="423" w:type="pct"/>
            <w:vMerge w:val="restart"/>
            <w:tcBorders>
              <w:top w:val="single" w:sz="4" w:space="0" w:color="auto"/>
            </w:tcBorders>
            <w:shd w:val="clear" w:color="auto" w:fill="auto"/>
            <w:vAlign w:val="center"/>
          </w:tcPr>
          <w:p w14:paraId="4138FAE9" w14:textId="77777777" w:rsidR="00DC5685" w:rsidRPr="00A34F10" w:rsidRDefault="00DC5685" w:rsidP="000470C3">
            <w:pPr>
              <w:jc w:val="center"/>
              <w:rPr>
                <w:sz w:val="20"/>
                <w:szCs w:val="20"/>
                <w:lang w:val="en-GB"/>
              </w:rPr>
            </w:pPr>
            <w:r w:rsidRPr="00A34F10">
              <w:rPr>
                <w:sz w:val="20"/>
                <w:szCs w:val="20"/>
                <w:lang w:val="en-GB"/>
              </w:rPr>
              <w:t>2.21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1FE8759" w14:textId="77777777" w:rsidR="00DC5685" w:rsidRPr="00A34F10" w:rsidRDefault="00DC5685" w:rsidP="000470C3">
            <w:pPr>
              <w:jc w:val="center"/>
              <w:rPr>
                <w:sz w:val="20"/>
                <w:szCs w:val="20"/>
                <w:lang w:val="en-GB"/>
              </w:rPr>
            </w:pPr>
            <w:r w:rsidRPr="00A34F10">
              <w:rPr>
                <w:sz w:val="20"/>
                <w:szCs w:val="20"/>
              </w:rPr>
              <w:t>14.47</w:t>
            </w:r>
          </w:p>
        </w:tc>
        <w:tc>
          <w:tcPr>
            <w:tcW w:w="502" w:type="pct"/>
            <w:tcBorders>
              <w:top w:val="single" w:sz="4" w:space="0" w:color="auto"/>
              <w:left w:val="nil"/>
              <w:bottom w:val="single" w:sz="4" w:space="0" w:color="auto"/>
              <w:right w:val="single" w:sz="4" w:space="0" w:color="auto"/>
            </w:tcBorders>
            <w:shd w:val="clear" w:color="auto" w:fill="auto"/>
            <w:vAlign w:val="center"/>
          </w:tcPr>
          <w:p w14:paraId="5C9B3ED7" w14:textId="77777777" w:rsidR="00DC5685" w:rsidRPr="00A34F10" w:rsidRDefault="00DC5685" w:rsidP="000470C3">
            <w:pPr>
              <w:jc w:val="center"/>
              <w:rPr>
                <w:sz w:val="20"/>
                <w:szCs w:val="20"/>
                <w:lang w:val="en-GB"/>
              </w:rPr>
            </w:pPr>
            <w:r w:rsidRPr="00A34F10">
              <w:rPr>
                <w:sz w:val="20"/>
                <w:szCs w:val="20"/>
              </w:rPr>
              <w:t>7.4</w:t>
            </w:r>
          </w:p>
        </w:tc>
      </w:tr>
      <w:tr w:rsidR="00DC5685" w:rsidRPr="00A34F10" w14:paraId="26027C75" w14:textId="77777777" w:rsidTr="00B37D11">
        <w:trPr>
          <w:cantSplit/>
        </w:trPr>
        <w:tc>
          <w:tcPr>
            <w:tcW w:w="907" w:type="pct"/>
            <w:tcBorders>
              <w:bottom w:val="single" w:sz="4" w:space="0" w:color="auto"/>
            </w:tcBorders>
            <w:shd w:val="clear" w:color="auto" w:fill="auto"/>
            <w:vAlign w:val="center"/>
          </w:tcPr>
          <w:p w14:paraId="43B3C310" w14:textId="77777777" w:rsidR="00DC5685" w:rsidRPr="00A34F10" w:rsidRDefault="00DC5685" w:rsidP="000470C3">
            <w:pPr>
              <w:jc w:val="center"/>
              <w:rPr>
                <w:sz w:val="20"/>
                <w:szCs w:val="20"/>
                <w:lang w:val="en-GB"/>
              </w:rPr>
            </w:pPr>
            <w:r w:rsidRPr="00A34F10">
              <w:rPr>
                <w:sz w:val="20"/>
                <w:szCs w:val="20"/>
                <w:lang w:val="en-GB"/>
              </w:rPr>
              <w:t>BBCH ≥40</w:t>
            </w:r>
          </w:p>
        </w:tc>
        <w:tc>
          <w:tcPr>
            <w:tcW w:w="1579" w:type="pct"/>
            <w:tcBorders>
              <w:bottom w:val="single" w:sz="4" w:space="0" w:color="auto"/>
            </w:tcBorders>
            <w:shd w:val="clear" w:color="auto" w:fill="auto"/>
            <w:vAlign w:val="center"/>
          </w:tcPr>
          <w:p w14:paraId="624F1D65"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388" w:type="pct"/>
            <w:vMerge/>
            <w:shd w:val="clear" w:color="auto" w:fill="auto"/>
            <w:vAlign w:val="center"/>
          </w:tcPr>
          <w:p w14:paraId="10278AB4"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5800DB27" w14:textId="77777777" w:rsidR="00DC5685" w:rsidRPr="00A34F10" w:rsidRDefault="00DC5685" w:rsidP="000470C3">
            <w:pPr>
              <w:jc w:val="center"/>
              <w:rPr>
                <w:sz w:val="20"/>
                <w:szCs w:val="20"/>
                <w:lang w:val="en-GB"/>
              </w:rPr>
            </w:pPr>
            <w:r w:rsidRPr="00A34F10">
              <w:rPr>
                <w:sz w:val="20"/>
                <w:szCs w:val="20"/>
                <w:lang w:val="en-GB"/>
              </w:rPr>
              <w:t>3.3</w:t>
            </w:r>
          </w:p>
        </w:tc>
        <w:tc>
          <w:tcPr>
            <w:tcW w:w="423" w:type="pct"/>
            <w:vMerge/>
            <w:shd w:val="clear" w:color="auto" w:fill="auto"/>
            <w:vAlign w:val="center"/>
          </w:tcPr>
          <w:p w14:paraId="33E4571D"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9EEB53F" w14:textId="77777777" w:rsidR="00DC5685" w:rsidRPr="00A34F10" w:rsidRDefault="00DC5685" w:rsidP="000470C3">
            <w:pPr>
              <w:jc w:val="center"/>
              <w:rPr>
                <w:sz w:val="20"/>
                <w:szCs w:val="20"/>
                <w:lang w:val="en-GB"/>
              </w:rPr>
            </w:pPr>
            <w:r w:rsidRPr="00A34F10">
              <w:rPr>
                <w:sz w:val="20"/>
                <w:szCs w:val="20"/>
              </w:rPr>
              <w:t>4.38</w:t>
            </w:r>
          </w:p>
        </w:tc>
        <w:tc>
          <w:tcPr>
            <w:tcW w:w="502" w:type="pct"/>
            <w:tcBorders>
              <w:top w:val="single" w:sz="4" w:space="0" w:color="auto"/>
              <w:left w:val="nil"/>
              <w:bottom w:val="single" w:sz="4" w:space="0" w:color="auto"/>
              <w:right w:val="single" w:sz="4" w:space="0" w:color="auto"/>
            </w:tcBorders>
            <w:shd w:val="clear" w:color="auto" w:fill="auto"/>
            <w:vAlign w:val="center"/>
          </w:tcPr>
          <w:p w14:paraId="35AC1731" w14:textId="77777777" w:rsidR="00DC5685" w:rsidRPr="00A34F10" w:rsidRDefault="00DC5685" w:rsidP="000470C3">
            <w:pPr>
              <w:jc w:val="center"/>
              <w:rPr>
                <w:sz w:val="20"/>
                <w:szCs w:val="20"/>
                <w:lang w:val="en-GB"/>
              </w:rPr>
            </w:pPr>
            <w:r w:rsidRPr="00A34F10">
              <w:rPr>
                <w:sz w:val="20"/>
                <w:szCs w:val="20"/>
              </w:rPr>
              <w:t>24.4</w:t>
            </w:r>
          </w:p>
        </w:tc>
      </w:tr>
      <w:tr w:rsidR="00DC5685" w:rsidRPr="00A34F10" w14:paraId="2EF1B33C" w14:textId="77777777" w:rsidTr="00B37D11">
        <w:trPr>
          <w:cantSplit/>
        </w:trPr>
        <w:tc>
          <w:tcPr>
            <w:tcW w:w="907" w:type="pct"/>
            <w:tcBorders>
              <w:bottom w:val="single" w:sz="4" w:space="0" w:color="auto"/>
            </w:tcBorders>
            <w:shd w:val="clear" w:color="auto" w:fill="auto"/>
            <w:vAlign w:val="center"/>
          </w:tcPr>
          <w:p w14:paraId="486D5D2F" w14:textId="77777777" w:rsidR="00DC5685" w:rsidRPr="00A34F10" w:rsidRDefault="00DC5685" w:rsidP="000470C3">
            <w:pPr>
              <w:jc w:val="center"/>
              <w:rPr>
                <w:sz w:val="20"/>
                <w:szCs w:val="20"/>
                <w:lang w:val="en-GB"/>
              </w:rPr>
            </w:pPr>
            <w:r w:rsidRPr="00A34F10">
              <w:rPr>
                <w:sz w:val="20"/>
                <w:szCs w:val="20"/>
                <w:lang w:val="en-GB"/>
              </w:rPr>
              <w:t>BBCH ≥20</w:t>
            </w:r>
          </w:p>
        </w:tc>
        <w:tc>
          <w:tcPr>
            <w:tcW w:w="1579" w:type="pct"/>
            <w:tcBorders>
              <w:bottom w:val="single" w:sz="4" w:space="0" w:color="auto"/>
            </w:tcBorders>
            <w:shd w:val="clear" w:color="auto" w:fill="auto"/>
            <w:vAlign w:val="center"/>
          </w:tcPr>
          <w:p w14:paraId="269CB542"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388" w:type="pct"/>
            <w:vMerge/>
            <w:tcBorders>
              <w:bottom w:val="single" w:sz="4" w:space="0" w:color="auto"/>
            </w:tcBorders>
            <w:shd w:val="clear" w:color="auto" w:fill="auto"/>
            <w:vAlign w:val="center"/>
          </w:tcPr>
          <w:p w14:paraId="64E26F01"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5DC964E2" w14:textId="77777777" w:rsidR="00DC5685" w:rsidRPr="00A34F10" w:rsidRDefault="00DC5685" w:rsidP="000470C3">
            <w:pPr>
              <w:jc w:val="center"/>
              <w:rPr>
                <w:sz w:val="20"/>
                <w:szCs w:val="20"/>
                <w:lang w:val="en-GB"/>
              </w:rPr>
            </w:pPr>
            <w:r w:rsidRPr="00A34F10">
              <w:rPr>
                <w:sz w:val="20"/>
                <w:szCs w:val="20"/>
                <w:lang w:val="en-GB"/>
              </w:rPr>
              <w:t>9.7</w:t>
            </w:r>
          </w:p>
        </w:tc>
        <w:tc>
          <w:tcPr>
            <w:tcW w:w="423" w:type="pct"/>
            <w:vMerge/>
            <w:tcBorders>
              <w:bottom w:val="single" w:sz="4" w:space="0" w:color="auto"/>
            </w:tcBorders>
            <w:shd w:val="clear" w:color="auto" w:fill="auto"/>
            <w:vAlign w:val="center"/>
          </w:tcPr>
          <w:p w14:paraId="1230250B"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C09E2E6" w14:textId="77777777" w:rsidR="00DC5685" w:rsidRPr="00A34F10" w:rsidRDefault="00DC5685" w:rsidP="000470C3">
            <w:pPr>
              <w:jc w:val="center"/>
              <w:rPr>
                <w:sz w:val="20"/>
                <w:szCs w:val="20"/>
                <w:lang w:val="en-GB"/>
              </w:rPr>
            </w:pPr>
            <w:r w:rsidRPr="00A34F10">
              <w:rPr>
                <w:sz w:val="20"/>
                <w:szCs w:val="20"/>
              </w:rPr>
              <w:t>12.88</w:t>
            </w:r>
          </w:p>
        </w:tc>
        <w:tc>
          <w:tcPr>
            <w:tcW w:w="502" w:type="pct"/>
            <w:tcBorders>
              <w:top w:val="single" w:sz="4" w:space="0" w:color="auto"/>
              <w:left w:val="nil"/>
              <w:bottom w:val="single" w:sz="4" w:space="0" w:color="auto"/>
              <w:right w:val="single" w:sz="4" w:space="0" w:color="auto"/>
            </w:tcBorders>
            <w:shd w:val="clear" w:color="auto" w:fill="auto"/>
            <w:vAlign w:val="center"/>
          </w:tcPr>
          <w:p w14:paraId="02526B79" w14:textId="77777777" w:rsidR="00DC5685" w:rsidRPr="00A34F10" w:rsidRDefault="00DC5685" w:rsidP="000470C3">
            <w:pPr>
              <w:jc w:val="center"/>
              <w:rPr>
                <w:sz w:val="20"/>
                <w:szCs w:val="20"/>
                <w:lang w:val="en-GB"/>
              </w:rPr>
            </w:pPr>
            <w:r w:rsidRPr="00A34F10">
              <w:rPr>
                <w:sz w:val="20"/>
                <w:szCs w:val="20"/>
              </w:rPr>
              <w:t>8.3</w:t>
            </w:r>
          </w:p>
        </w:tc>
      </w:tr>
      <w:tr w:rsidR="00DC5685" w:rsidRPr="00A34F10" w14:paraId="093BA3C8" w14:textId="77777777" w:rsidTr="000470C3">
        <w:trPr>
          <w:cantSplit/>
        </w:trPr>
        <w:tc>
          <w:tcPr>
            <w:tcW w:w="5000" w:type="pct"/>
            <w:gridSpan w:val="7"/>
            <w:tcBorders>
              <w:bottom w:val="single" w:sz="4" w:space="0" w:color="auto"/>
              <w:right w:val="single" w:sz="4" w:space="0" w:color="auto"/>
            </w:tcBorders>
            <w:shd w:val="clear" w:color="auto" w:fill="auto"/>
            <w:vAlign w:val="center"/>
          </w:tcPr>
          <w:p w14:paraId="0975DA12" w14:textId="77777777" w:rsidR="00DC5685" w:rsidRPr="00A34F10" w:rsidRDefault="00DC5685" w:rsidP="000470C3">
            <w:pPr>
              <w:jc w:val="center"/>
              <w:rPr>
                <w:sz w:val="20"/>
                <w:szCs w:val="20"/>
              </w:rPr>
            </w:pPr>
            <w:r w:rsidRPr="00A34F10">
              <w:rPr>
                <w:b/>
                <w:sz w:val="20"/>
                <w:szCs w:val="20"/>
                <w:lang w:val="en-GB"/>
              </w:rPr>
              <w:t>Potatoes (2 × ∑ (0.24 + 0.902) kg a.s./ha, BBCH 21-89)</w:t>
            </w:r>
          </w:p>
        </w:tc>
      </w:tr>
      <w:tr w:rsidR="00DC5685" w:rsidRPr="00A34F10" w14:paraId="4B25AD33" w14:textId="77777777" w:rsidTr="00B37D11">
        <w:trPr>
          <w:cantSplit/>
        </w:trPr>
        <w:tc>
          <w:tcPr>
            <w:tcW w:w="907" w:type="pct"/>
            <w:tcBorders>
              <w:bottom w:val="single" w:sz="4" w:space="0" w:color="auto"/>
            </w:tcBorders>
            <w:shd w:val="clear" w:color="auto" w:fill="auto"/>
            <w:vAlign w:val="center"/>
          </w:tcPr>
          <w:p w14:paraId="5006EED2" w14:textId="77777777" w:rsidR="00DC5685" w:rsidRPr="00A34F10" w:rsidRDefault="00DC5685" w:rsidP="000470C3">
            <w:pPr>
              <w:jc w:val="center"/>
              <w:rPr>
                <w:sz w:val="20"/>
                <w:szCs w:val="20"/>
                <w:lang w:val="en-GB"/>
              </w:rPr>
            </w:pPr>
            <w:r w:rsidRPr="00A34F10">
              <w:rPr>
                <w:sz w:val="20"/>
                <w:szCs w:val="20"/>
                <w:lang w:val="en-GB"/>
              </w:rPr>
              <w:t>BBCH 10-39</w:t>
            </w:r>
          </w:p>
        </w:tc>
        <w:tc>
          <w:tcPr>
            <w:tcW w:w="1579" w:type="pct"/>
            <w:tcBorders>
              <w:bottom w:val="single" w:sz="4" w:space="0" w:color="auto"/>
            </w:tcBorders>
            <w:shd w:val="clear" w:color="auto" w:fill="auto"/>
            <w:vAlign w:val="center"/>
          </w:tcPr>
          <w:p w14:paraId="3504CCD9"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388" w:type="pct"/>
            <w:vMerge w:val="restart"/>
            <w:shd w:val="clear" w:color="auto" w:fill="auto"/>
            <w:vAlign w:val="center"/>
          </w:tcPr>
          <w:p w14:paraId="14338384" w14:textId="77777777" w:rsidR="00DC5685" w:rsidRPr="00A34F10" w:rsidRDefault="00DC5685" w:rsidP="000470C3">
            <w:pPr>
              <w:jc w:val="center"/>
              <w:rPr>
                <w:sz w:val="20"/>
                <w:szCs w:val="20"/>
                <w:lang w:val="en-GB"/>
              </w:rPr>
            </w:pPr>
            <w:r w:rsidRPr="00A34F10">
              <w:rPr>
                <w:sz w:val="20"/>
                <w:szCs w:val="20"/>
                <w:lang w:val="en-GB"/>
              </w:rPr>
              <w:t>1.142</w:t>
            </w:r>
          </w:p>
        </w:tc>
        <w:tc>
          <w:tcPr>
            <w:tcW w:w="530" w:type="pct"/>
            <w:tcBorders>
              <w:bottom w:val="single" w:sz="4" w:space="0" w:color="auto"/>
            </w:tcBorders>
            <w:shd w:val="clear" w:color="auto" w:fill="auto"/>
            <w:vAlign w:val="center"/>
          </w:tcPr>
          <w:p w14:paraId="17491AE6" w14:textId="77777777" w:rsidR="00DC5685" w:rsidRPr="00A34F10" w:rsidRDefault="00DC5685" w:rsidP="000470C3">
            <w:pPr>
              <w:jc w:val="center"/>
              <w:rPr>
                <w:sz w:val="20"/>
                <w:szCs w:val="20"/>
                <w:lang w:val="en-GB"/>
              </w:rPr>
            </w:pPr>
            <w:r w:rsidRPr="00A34F10">
              <w:rPr>
                <w:sz w:val="20"/>
                <w:szCs w:val="20"/>
                <w:lang w:val="en-GB"/>
              </w:rPr>
              <w:t>10.9</w:t>
            </w:r>
          </w:p>
        </w:tc>
        <w:tc>
          <w:tcPr>
            <w:tcW w:w="423" w:type="pct"/>
            <w:vMerge w:val="restart"/>
            <w:shd w:val="clear" w:color="auto" w:fill="auto"/>
            <w:vAlign w:val="center"/>
          </w:tcPr>
          <w:p w14:paraId="6A99A904" w14:textId="77777777" w:rsidR="00DC5685" w:rsidRPr="00A34F10" w:rsidRDefault="00DC5685" w:rsidP="000470C3">
            <w:pPr>
              <w:jc w:val="center"/>
              <w:rPr>
                <w:sz w:val="20"/>
                <w:szCs w:val="20"/>
                <w:lang w:val="en-GB"/>
              </w:rPr>
            </w:pPr>
            <w:r w:rsidRPr="00A34F10">
              <w:rPr>
                <w:sz w:val="20"/>
                <w:szCs w:val="20"/>
                <w:lang w:val="en-GB"/>
              </w:rPr>
              <w:t>1.71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3F5F8E3" w14:textId="77777777" w:rsidR="00DC5685" w:rsidRPr="00A34F10" w:rsidRDefault="00DC5685" w:rsidP="000470C3">
            <w:pPr>
              <w:jc w:val="center"/>
              <w:rPr>
                <w:sz w:val="20"/>
                <w:szCs w:val="20"/>
              </w:rPr>
            </w:pPr>
            <w:r w:rsidRPr="00A34F10">
              <w:rPr>
                <w:sz w:val="20"/>
                <w:szCs w:val="20"/>
              </w:rPr>
              <w:t>11.19</w:t>
            </w:r>
          </w:p>
        </w:tc>
        <w:tc>
          <w:tcPr>
            <w:tcW w:w="502" w:type="pct"/>
            <w:tcBorders>
              <w:top w:val="single" w:sz="4" w:space="0" w:color="auto"/>
              <w:left w:val="nil"/>
              <w:bottom w:val="single" w:sz="4" w:space="0" w:color="auto"/>
              <w:right w:val="single" w:sz="4" w:space="0" w:color="auto"/>
            </w:tcBorders>
            <w:shd w:val="clear" w:color="auto" w:fill="auto"/>
            <w:vAlign w:val="center"/>
          </w:tcPr>
          <w:p w14:paraId="2E59EEAA" w14:textId="77777777" w:rsidR="00DC5685" w:rsidRPr="00A34F10" w:rsidRDefault="00DC5685" w:rsidP="000470C3">
            <w:pPr>
              <w:jc w:val="center"/>
              <w:rPr>
                <w:sz w:val="20"/>
                <w:szCs w:val="20"/>
              </w:rPr>
            </w:pPr>
            <w:r w:rsidRPr="00A34F10">
              <w:rPr>
                <w:sz w:val="20"/>
                <w:szCs w:val="20"/>
              </w:rPr>
              <w:t>9.6</w:t>
            </w:r>
          </w:p>
        </w:tc>
      </w:tr>
      <w:tr w:rsidR="00DC5685" w:rsidRPr="00A34F10" w14:paraId="2F5CF616" w14:textId="77777777" w:rsidTr="00B37D11">
        <w:trPr>
          <w:cantSplit/>
        </w:trPr>
        <w:tc>
          <w:tcPr>
            <w:tcW w:w="907" w:type="pct"/>
            <w:tcBorders>
              <w:bottom w:val="single" w:sz="4" w:space="0" w:color="auto"/>
            </w:tcBorders>
            <w:shd w:val="clear" w:color="auto" w:fill="auto"/>
            <w:vAlign w:val="center"/>
          </w:tcPr>
          <w:p w14:paraId="7F725544" w14:textId="77777777" w:rsidR="00DC5685" w:rsidRPr="00A34F10" w:rsidRDefault="00DC5685" w:rsidP="000470C3">
            <w:pPr>
              <w:jc w:val="center"/>
              <w:rPr>
                <w:sz w:val="20"/>
                <w:szCs w:val="20"/>
                <w:lang w:val="en-GB"/>
              </w:rPr>
            </w:pPr>
            <w:r w:rsidRPr="00A34F10">
              <w:rPr>
                <w:sz w:val="20"/>
                <w:szCs w:val="20"/>
                <w:lang w:val="en-GB"/>
              </w:rPr>
              <w:t>BBCH ≥40</w:t>
            </w:r>
          </w:p>
        </w:tc>
        <w:tc>
          <w:tcPr>
            <w:tcW w:w="1579" w:type="pct"/>
            <w:tcBorders>
              <w:bottom w:val="single" w:sz="4" w:space="0" w:color="auto"/>
            </w:tcBorders>
            <w:shd w:val="clear" w:color="auto" w:fill="auto"/>
            <w:vAlign w:val="center"/>
          </w:tcPr>
          <w:p w14:paraId="603E0671"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388" w:type="pct"/>
            <w:vMerge/>
            <w:shd w:val="clear" w:color="auto" w:fill="auto"/>
            <w:vAlign w:val="center"/>
          </w:tcPr>
          <w:p w14:paraId="4689F6E4"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35D15A80" w14:textId="77777777" w:rsidR="00DC5685" w:rsidRPr="00A34F10" w:rsidRDefault="00DC5685" w:rsidP="000470C3">
            <w:pPr>
              <w:jc w:val="center"/>
              <w:rPr>
                <w:sz w:val="20"/>
                <w:szCs w:val="20"/>
                <w:lang w:val="en-GB"/>
              </w:rPr>
            </w:pPr>
            <w:r w:rsidRPr="00A34F10">
              <w:rPr>
                <w:sz w:val="20"/>
                <w:szCs w:val="20"/>
                <w:lang w:val="en-GB"/>
              </w:rPr>
              <w:t>3.3</w:t>
            </w:r>
          </w:p>
        </w:tc>
        <w:tc>
          <w:tcPr>
            <w:tcW w:w="423" w:type="pct"/>
            <w:vMerge/>
            <w:shd w:val="clear" w:color="auto" w:fill="auto"/>
            <w:vAlign w:val="center"/>
          </w:tcPr>
          <w:p w14:paraId="3B89B9E4"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DAD2E0E" w14:textId="77777777" w:rsidR="00DC5685" w:rsidRPr="00A34F10" w:rsidRDefault="00DC5685" w:rsidP="000470C3">
            <w:pPr>
              <w:jc w:val="center"/>
              <w:rPr>
                <w:sz w:val="20"/>
                <w:szCs w:val="20"/>
              </w:rPr>
            </w:pPr>
            <w:r w:rsidRPr="00A34F10">
              <w:rPr>
                <w:sz w:val="20"/>
                <w:szCs w:val="20"/>
              </w:rPr>
              <w:t>3.39</w:t>
            </w:r>
          </w:p>
        </w:tc>
        <w:tc>
          <w:tcPr>
            <w:tcW w:w="502" w:type="pct"/>
            <w:tcBorders>
              <w:top w:val="single" w:sz="4" w:space="0" w:color="auto"/>
              <w:left w:val="nil"/>
              <w:bottom w:val="single" w:sz="4" w:space="0" w:color="auto"/>
              <w:right w:val="single" w:sz="4" w:space="0" w:color="auto"/>
            </w:tcBorders>
            <w:shd w:val="clear" w:color="auto" w:fill="auto"/>
            <w:vAlign w:val="center"/>
          </w:tcPr>
          <w:p w14:paraId="67CC9AD6" w14:textId="77777777" w:rsidR="00DC5685" w:rsidRPr="00A34F10" w:rsidRDefault="00DC5685" w:rsidP="000470C3">
            <w:pPr>
              <w:jc w:val="center"/>
              <w:rPr>
                <w:sz w:val="20"/>
                <w:szCs w:val="20"/>
              </w:rPr>
            </w:pPr>
            <w:r w:rsidRPr="00A34F10">
              <w:rPr>
                <w:sz w:val="20"/>
                <w:szCs w:val="20"/>
              </w:rPr>
              <w:t>31.6</w:t>
            </w:r>
          </w:p>
        </w:tc>
      </w:tr>
      <w:tr w:rsidR="00DC5685" w:rsidRPr="00A34F10" w14:paraId="44DE5F05" w14:textId="77777777" w:rsidTr="00B37D11">
        <w:trPr>
          <w:cantSplit/>
        </w:trPr>
        <w:tc>
          <w:tcPr>
            <w:tcW w:w="907" w:type="pct"/>
            <w:tcBorders>
              <w:bottom w:val="single" w:sz="4" w:space="0" w:color="auto"/>
            </w:tcBorders>
            <w:shd w:val="clear" w:color="auto" w:fill="auto"/>
            <w:vAlign w:val="center"/>
          </w:tcPr>
          <w:p w14:paraId="1C596484" w14:textId="77777777" w:rsidR="00DC5685" w:rsidRPr="00A34F10" w:rsidRDefault="00DC5685" w:rsidP="000470C3">
            <w:pPr>
              <w:jc w:val="center"/>
              <w:rPr>
                <w:sz w:val="20"/>
                <w:szCs w:val="20"/>
                <w:lang w:val="en-GB"/>
              </w:rPr>
            </w:pPr>
            <w:r w:rsidRPr="00A34F10">
              <w:rPr>
                <w:sz w:val="20"/>
                <w:szCs w:val="20"/>
                <w:lang w:val="en-GB"/>
              </w:rPr>
              <w:t>BBCH ≥20</w:t>
            </w:r>
          </w:p>
        </w:tc>
        <w:tc>
          <w:tcPr>
            <w:tcW w:w="1579" w:type="pct"/>
            <w:tcBorders>
              <w:bottom w:val="single" w:sz="4" w:space="0" w:color="auto"/>
            </w:tcBorders>
            <w:shd w:val="clear" w:color="auto" w:fill="auto"/>
            <w:vAlign w:val="center"/>
          </w:tcPr>
          <w:p w14:paraId="2C71CA1C"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388" w:type="pct"/>
            <w:vMerge/>
            <w:tcBorders>
              <w:bottom w:val="single" w:sz="4" w:space="0" w:color="auto"/>
            </w:tcBorders>
            <w:shd w:val="clear" w:color="auto" w:fill="auto"/>
            <w:vAlign w:val="center"/>
          </w:tcPr>
          <w:p w14:paraId="246369D1"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14DF4202" w14:textId="77777777" w:rsidR="00DC5685" w:rsidRPr="00A34F10" w:rsidRDefault="00DC5685" w:rsidP="000470C3">
            <w:pPr>
              <w:jc w:val="center"/>
              <w:rPr>
                <w:sz w:val="20"/>
                <w:szCs w:val="20"/>
                <w:lang w:val="en-GB"/>
              </w:rPr>
            </w:pPr>
            <w:r w:rsidRPr="00A34F10">
              <w:rPr>
                <w:sz w:val="20"/>
                <w:szCs w:val="20"/>
                <w:lang w:val="en-GB"/>
              </w:rPr>
              <w:t>9.7</w:t>
            </w:r>
          </w:p>
        </w:tc>
        <w:tc>
          <w:tcPr>
            <w:tcW w:w="423" w:type="pct"/>
            <w:vMerge/>
            <w:tcBorders>
              <w:bottom w:val="single" w:sz="4" w:space="0" w:color="auto"/>
            </w:tcBorders>
            <w:shd w:val="clear" w:color="auto" w:fill="auto"/>
            <w:vAlign w:val="center"/>
          </w:tcPr>
          <w:p w14:paraId="53F3FA5A"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1D82E4E" w14:textId="77777777" w:rsidR="00DC5685" w:rsidRPr="00A34F10" w:rsidRDefault="00DC5685" w:rsidP="000470C3">
            <w:pPr>
              <w:jc w:val="center"/>
              <w:rPr>
                <w:sz w:val="20"/>
                <w:szCs w:val="20"/>
              </w:rPr>
            </w:pPr>
            <w:r w:rsidRPr="00A34F10">
              <w:rPr>
                <w:sz w:val="20"/>
                <w:szCs w:val="20"/>
              </w:rPr>
              <w:t>9.96</w:t>
            </w:r>
          </w:p>
        </w:tc>
        <w:tc>
          <w:tcPr>
            <w:tcW w:w="502" w:type="pct"/>
            <w:tcBorders>
              <w:top w:val="single" w:sz="4" w:space="0" w:color="auto"/>
              <w:left w:val="nil"/>
              <w:bottom w:val="single" w:sz="4" w:space="0" w:color="auto"/>
              <w:right w:val="single" w:sz="4" w:space="0" w:color="auto"/>
            </w:tcBorders>
            <w:shd w:val="clear" w:color="auto" w:fill="auto"/>
            <w:vAlign w:val="center"/>
          </w:tcPr>
          <w:p w14:paraId="6D75377B" w14:textId="77777777" w:rsidR="00DC5685" w:rsidRPr="00A34F10" w:rsidRDefault="00DC5685" w:rsidP="000470C3">
            <w:pPr>
              <w:jc w:val="center"/>
              <w:rPr>
                <w:sz w:val="20"/>
                <w:szCs w:val="20"/>
              </w:rPr>
            </w:pPr>
            <w:r w:rsidRPr="00A34F10">
              <w:rPr>
                <w:sz w:val="20"/>
                <w:szCs w:val="20"/>
              </w:rPr>
              <w:t>10.7</w:t>
            </w:r>
          </w:p>
        </w:tc>
      </w:tr>
      <w:tr w:rsidR="00DC5685" w:rsidRPr="00A34F10" w14:paraId="667DC6DF" w14:textId="77777777" w:rsidTr="000470C3">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54F21789" w14:textId="77777777" w:rsidR="00DC5685" w:rsidRPr="00A34F10" w:rsidRDefault="00DC5685" w:rsidP="000470C3">
            <w:pPr>
              <w:jc w:val="center"/>
              <w:rPr>
                <w:b/>
                <w:color w:val="000000"/>
                <w:sz w:val="20"/>
                <w:szCs w:val="20"/>
                <w:highlight w:val="yellow"/>
                <w:lang w:val="en-GB"/>
              </w:rPr>
            </w:pPr>
            <w:r w:rsidRPr="00A34F10">
              <w:rPr>
                <w:b/>
                <w:sz w:val="20"/>
                <w:szCs w:val="20"/>
                <w:lang w:val="en-GB"/>
              </w:rPr>
              <w:t>Bulbs and onion like crops (2 × ∑ 0.24 + 0.902 kg a.s./ha, BBCH 14–49)</w:t>
            </w:r>
          </w:p>
        </w:tc>
      </w:tr>
      <w:tr w:rsidR="00DC5685" w:rsidRPr="00A34F10" w14:paraId="49A416E6" w14:textId="77777777" w:rsidTr="00B37D11">
        <w:trPr>
          <w:cantSplit/>
        </w:trPr>
        <w:tc>
          <w:tcPr>
            <w:tcW w:w="907" w:type="pct"/>
            <w:tcBorders>
              <w:top w:val="single" w:sz="4" w:space="0" w:color="auto"/>
              <w:left w:val="single" w:sz="4" w:space="0" w:color="auto"/>
              <w:bottom w:val="single" w:sz="2" w:space="0" w:color="auto"/>
              <w:right w:val="single" w:sz="4" w:space="0" w:color="auto"/>
            </w:tcBorders>
            <w:shd w:val="clear" w:color="auto" w:fill="auto"/>
            <w:vAlign w:val="center"/>
          </w:tcPr>
          <w:p w14:paraId="02434CA1" w14:textId="77777777" w:rsidR="00DC5685" w:rsidRPr="00A34F10" w:rsidRDefault="00DC5685" w:rsidP="000470C3">
            <w:pPr>
              <w:jc w:val="center"/>
              <w:rPr>
                <w:color w:val="000000"/>
                <w:sz w:val="20"/>
                <w:szCs w:val="20"/>
                <w:lang w:val="en-GB" w:eastAsia="en-GB"/>
              </w:rPr>
            </w:pPr>
            <w:r w:rsidRPr="00A34F10">
              <w:rPr>
                <w:sz w:val="20"/>
                <w:szCs w:val="20"/>
              </w:rPr>
              <w:t>BBCH 10-39</w:t>
            </w:r>
          </w:p>
        </w:tc>
        <w:tc>
          <w:tcPr>
            <w:tcW w:w="1579" w:type="pct"/>
            <w:tcBorders>
              <w:top w:val="single" w:sz="4" w:space="0" w:color="auto"/>
              <w:left w:val="nil"/>
              <w:bottom w:val="single" w:sz="2" w:space="0" w:color="auto"/>
              <w:right w:val="single" w:sz="4" w:space="0" w:color="auto"/>
            </w:tcBorders>
            <w:shd w:val="clear" w:color="auto" w:fill="auto"/>
            <w:vAlign w:val="center"/>
          </w:tcPr>
          <w:p w14:paraId="6ADF7A60" w14:textId="77777777" w:rsidR="00DC5685" w:rsidRPr="00A34F10" w:rsidRDefault="00DC5685" w:rsidP="000470C3">
            <w:pPr>
              <w:jc w:val="center"/>
              <w:rPr>
                <w:color w:val="000000"/>
                <w:sz w:val="20"/>
                <w:szCs w:val="20"/>
                <w:lang w:val="en-GB"/>
              </w:rPr>
            </w:pPr>
            <w:r w:rsidRPr="00A34F10">
              <w:rPr>
                <w:sz w:val="20"/>
                <w:szCs w:val="20"/>
                <w:lang w:val="en-GB"/>
              </w:rPr>
              <w:t>Small granivorous bird “finch”</w:t>
            </w:r>
          </w:p>
        </w:tc>
        <w:tc>
          <w:tcPr>
            <w:tcW w:w="388" w:type="pct"/>
            <w:vMerge w:val="restart"/>
            <w:shd w:val="clear" w:color="auto" w:fill="auto"/>
            <w:vAlign w:val="center"/>
          </w:tcPr>
          <w:p w14:paraId="1A66B66E" w14:textId="77777777" w:rsidR="00DC5685" w:rsidRPr="00A34F10" w:rsidRDefault="00DC5685" w:rsidP="000470C3">
            <w:pPr>
              <w:jc w:val="center"/>
              <w:rPr>
                <w:sz w:val="20"/>
                <w:szCs w:val="20"/>
                <w:lang w:val="en-GB"/>
              </w:rPr>
            </w:pPr>
            <w:r w:rsidRPr="00A34F10">
              <w:rPr>
                <w:sz w:val="20"/>
                <w:szCs w:val="20"/>
                <w:lang w:val="en-GB"/>
              </w:rPr>
              <w:t>1.142</w:t>
            </w:r>
          </w:p>
        </w:tc>
        <w:tc>
          <w:tcPr>
            <w:tcW w:w="530" w:type="pct"/>
            <w:tcBorders>
              <w:top w:val="single" w:sz="4" w:space="0" w:color="auto"/>
              <w:left w:val="single" w:sz="4" w:space="0" w:color="auto"/>
              <w:bottom w:val="single" w:sz="2" w:space="0" w:color="auto"/>
              <w:right w:val="single" w:sz="4" w:space="0" w:color="auto"/>
            </w:tcBorders>
            <w:shd w:val="clear" w:color="auto" w:fill="auto"/>
            <w:vAlign w:val="center"/>
          </w:tcPr>
          <w:p w14:paraId="7171669C" w14:textId="77777777" w:rsidR="00DC5685" w:rsidRPr="00A34F10" w:rsidRDefault="00DC5685" w:rsidP="000470C3">
            <w:pPr>
              <w:jc w:val="center"/>
              <w:rPr>
                <w:color w:val="000000"/>
                <w:sz w:val="20"/>
                <w:szCs w:val="20"/>
                <w:lang w:val="en-GB" w:eastAsia="en-GB"/>
              </w:rPr>
            </w:pPr>
            <w:r w:rsidRPr="00A34F10">
              <w:rPr>
                <w:sz w:val="20"/>
                <w:szCs w:val="20"/>
                <w:lang w:val="en-GB"/>
              </w:rPr>
              <w:t>11.4</w:t>
            </w:r>
          </w:p>
        </w:tc>
        <w:tc>
          <w:tcPr>
            <w:tcW w:w="423" w:type="pct"/>
            <w:vMerge w:val="restart"/>
            <w:shd w:val="clear" w:color="auto" w:fill="auto"/>
            <w:vAlign w:val="center"/>
          </w:tcPr>
          <w:p w14:paraId="267A67E8" w14:textId="77777777" w:rsidR="00DC5685" w:rsidRPr="00A34F10" w:rsidRDefault="00DC5685" w:rsidP="000470C3">
            <w:pPr>
              <w:jc w:val="center"/>
              <w:rPr>
                <w:sz w:val="20"/>
                <w:szCs w:val="20"/>
                <w:lang w:val="en-GB"/>
              </w:rPr>
            </w:pPr>
            <w:r w:rsidRPr="00A34F10">
              <w:rPr>
                <w:sz w:val="20"/>
                <w:szCs w:val="20"/>
                <w:lang w:val="en-GB"/>
              </w:rPr>
              <w:t>1.71 × 0.53</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40F10539" w14:textId="77777777" w:rsidR="00DC5685" w:rsidRPr="00A34F10" w:rsidRDefault="00DC5685" w:rsidP="000470C3">
            <w:pPr>
              <w:jc w:val="center"/>
              <w:rPr>
                <w:color w:val="000000"/>
                <w:sz w:val="20"/>
                <w:szCs w:val="20"/>
                <w:lang w:val="en-GB" w:eastAsia="en-GB"/>
              </w:rPr>
            </w:pPr>
            <w:r w:rsidRPr="00A34F10">
              <w:rPr>
                <w:sz w:val="20"/>
                <w:szCs w:val="20"/>
              </w:rPr>
              <w:t>11.71</w:t>
            </w:r>
          </w:p>
        </w:tc>
        <w:tc>
          <w:tcPr>
            <w:tcW w:w="502" w:type="pct"/>
            <w:tcBorders>
              <w:top w:val="single" w:sz="4" w:space="0" w:color="auto"/>
              <w:left w:val="single" w:sz="4" w:space="0" w:color="auto"/>
              <w:bottom w:val="single" w:sz="2" w:space="0" w:color="auto"/>
              <w:right w:val="single" w:sz="4" w:space="0" w:color="auto"/>
            </w:tcBorders>
            <w:shd w:val="clear" w:color="auto" w:fill="auto"/>
            <w:vAlign w:val="center"/>
          </w:tcPr>
          <w:p w14:paraId="796242A8" w14:textId="77777777" w:rsidR="00DC5685" w:rsidRPr="00A34F10" w:rsidRDefault="00DC5685" w:rsidP="000470C3">
            <w:pPr>
              <w:jc w:val="center"/>
              <w:rPr>
                <w:color w:val="000000"/>
                <w:sz w:val="20"/>
                <w:szCs w:val="20"/>
                <w:lang w:val="en-GB" w:eastAsia="en-GB"/>
              </w:rPr>
            </w:pPr>
            <w:r w:rsidRPr="00A34F10">
              <w:rPr>
                <w:sz w:val="20"/>
                <w:szCs w:val="20"/>
              </w:rPr>
              <w:t>9.1</w:t>
            </w:r>
          </w:p>
        </w:tc>
      </w:tr>
      <w:tr w:rsidR="00DC5685" w:rsidRPr="00A34F10" w14:paraId="33320E28" w14:textId="77777777" w:rsidTr="00B37D11">
        <w:trPr>
          <w:cantSplit/>
        </w:trPr>
        <w:tc>
          <w:tcPr>
            <w:tcW w:w="907" w:type="pct"/>
            <w:tcBorders>
              <w:top w:val="single" w:sz="2" w:space="0" w:color="auto"/>
              <w:left w:val="single" w:sz="4" w:space="0" w:color="auto"/>
              <w:bottom w:val="single" w:sz="4" w:space="0" w:color="auto"/>
              <w:right w:val="single" w:sz="4" w:space="0" w:color="auto"/>
            </w:tcBorders>
            <w:shd w:val="clear" w:color="auto" w:fill="auto"/>
            <w:vAlign w:val="center"/>
          </w:tcPr>
          <w:p w14:paraId="370F56BD" w14:textId="77777777" w:rsidR="00DC5685" w:rsidRPr="00A34F10" w:rsidRDefault="00DC5685" w:rsidP="000470C3">
            <w:pPr>
              <w:jc w:val="center"/>
              <w:rPr>
                <w:color w:val="000000"/>
                <w:sz w:val="20"/>
                <w:szCs w:val="20"/>
                <w:lang w:val="en-GB"/>
              </w:rPr>
            </w:pPr>
            <w:r w:rsidRPr="00A34F10">
              <w:rPr>
                <w:sz w:val="20"/>
                <w:szCs w:val="20"/>
              </w:rPr>
              <w:t>BBCH ≥40</w:t>
            </w:r>
          </w:p>
        </w:tc>
        <w:tc>
          <w:tcPr>
            <w:tcW w:w="1579" w:type="pct"/>
            <w:tcBorders>
              <w:top w:val="single" w:sz="2" w:space="0" w:color="auto"/>
              <w:left w:val="nil"/>
              <w:bottom w:val="single" w:sz="4" w:space="0" w:color="auto"/>
              <w:right w:val="single" w:sz="4" w:space="0" w:color="auto"/>
            </w:tcBorders>
            <w:shd w:val="clear" w:color="auto" w:fill="auto"/>
            <w:vAlign w:val="center"/>
          </w:tcPr>
          <w:p w14:paraId="627F5AB0" w14:textId="77777777" w:rsidR="00DC5685" w:rsidRPr="00A34F10" w:rsidRDefault="00DC5685" w:rsidP="000470C3">
            <w:pPr>
              <w:jc w:val="center"/>
              <w:rPr>
                <w:color w:val="000000"/>
                <w:sz w:val="20"/>
                <w:szCs w:val="20"/>
                <w:lang w:val="en-GB"/>
              </w:rPr>
            </w:pPr>
            <w:r w:rsidRPr="00A34F10">
              <w:rPr>
                <w:sz w:val="20"/>
                <w:szCs w:val="20"/>
                <w:lang w:val="en-GB"/>
              </w:rPr>
              <w:t>Small granivorous bird “finch”</w:t>
            </w:r>
          </w:p>
        </w:tc>
        <w:tc>
          <w:tcPr>
            <w:tcW w:w="388" w:type="pct"/>
            <w:vMerge/>
            <w:shd w:val="clear" w:color="auto" w:fill="auto"/>
            <w:vAlign w:val="center"/>
          </w:tcPr>
          <w:p w14:paraId="4AC6FD76" w14:textId="77777777" w:rsidR="00DC5685" w:rsidRPr="00A34F10" w:rsidRDefault="00DC5685" w:rsidP="000470C3">
            <w:pPr>
              <w:jc w:val="center"/>
              <w:rPr>
                <w:sz w:val="20"/>
                <w:szCs w:val="20"/>
                <w:lang w:val="en-GB"/>
              </w:rPr>
            </w:pPr>
          </w:p>
        </w:tc>
        <w:tc>
          <w:tcPr>
            <w:tcW w:w="530" w:type="pct"/>
            <w:tcBorders>
              <w:top w:val="single" w:sz="2" w:space="0" w:color="auto"/>
              <w:left w:val="single" w:sz="4" w:space="0" w:color="auto"/>
              <w:bottom w:val="single" w:sz="4" w:space="0" w:color="auto"/>
              <w:right w:val="single" w:sz="4" w:space="0" w:color="auto"/>
            </w:tcBorders>
            <w:shd w:val="clear" w:color="auto" w:fill="auto"/>
            <w:vAlign w:val="center"/>
          </w:tcPr>
          <w:p w14:paraId="4EF66471" w14:textId="77777777" w:rsidR="00DC5685" w:rsidRPr="00A34F10" w:rsidRDefault="00DC5685" w:rsidP="000470C3">
            <w:pPr>
              <w:jc w:val="center"/>
              <w:rPr>
                <w:color w:val="000000"/>
                <w:sz w:val="20"/>
                <w:szCs w:val="20"/>
                <w:lang w:val="en-GB"/>
              </w:rPr>
            </w:pPr>
            <w:r w:rsidRPr="00A34F10">
              <w:rPr>
                <w:sz w:val="20"/>
                <w:szCs w:val="20"/>
                <w:lang w:val="en-GB"/>
              </w:rPr>
              <w:t>6.9</w:t>
            </w:r>
          </w:p>
        </w:tc>
        <w:tc>
          <w:tcPr>
            <w:tcW w:w="423" w:type="pct"/>
            <w:vMerge/>
            <w:shd w:val="clear" w:color="auto" w:fill="auto"/>
            <w:vAlign w:val="center"/>
          </w:tcPr>
          <w:p w14:paraId="5D783551" w14:textId="77777777" w:rsidR="00DC5685" w:rsidRPr="00A34F10" w:rsidRDefault="00DC5685" w:rsidP="000470C3">
            <w:pPr>
              <w:jc w:val="center"/>
              <w:rPr>
                <w:sz w:val="20"/>
                <w:szCs w:val="20"/>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67A23E56" w14:textId="77777777" w:rsidR="00DC5685" w:rsidRPr="00A34F10" w:rsidRDefault="00DC5685" w:rsidP="000470C3">
            <w:pPr>
              <w:jc w:val="center"/>
              <w:rPr>
                <w:color w:val="000000"/>
                <w:sz w:val="20"/>
                <w:szCs w:val="20"/>
                <w:lang w:val="en-GB"/>
              </w:rPr>
            </w:pPr>
            <w:r w:rsidRPr="00A34F10">
              <w:rPr>
                <w:sz w:val="20"/>
                <w:szCs w:val="20"/>
              </w:rPr>
              <w:t>7.09</w:t>
            </w:r>
          </w:p>
        </w:tc>
        <w:tc>
          <w:tcPr>
            <w:tcW w:w="502" w:type="pct"/>
            <w:tcBorders>
              <w:top w:val="single" w:sz="2" w:space="0" w:color="auto"/>
              <w:left w:val="single" w:sz="4" w:space="0" w:color="auto"/>
              <w:bottom w:val="single" w:sz="4" w:space="0" w:color="auto"/>
              <w:right w:val="single" w:sz="4" w:space="0" w:color="auto"/>
            </w:tcBorders>
            <w:shd w:val="clear" w:color="auto" w:fill="auto"/>
            <w:vAlign w:val="center"/>
          </w:tcPr>
          <w:p w14:paraId="563E683F" w14:textId="77777777" w:rsidR="00DC5685" w:rsidRPr="00A34F10" w:rsidRDefault="00DC5685" w:rsidP="000470C3">
            <w:pPr>
              <w:jc w:val="center"/>
              <w:rPr>
                <w:color w:val="000000"/>
                <w:sz w:val="20"/>
                <w:szCs w:val="20"/>
                <w:lang w:val="en-GB"/>
              </w:rPr>
            </w:pPr>
            <w:r w:rsidRPr="00A34F10">
              <w:rPr>
                <w:sz w:val="20"/>
                <w:szCs w:val="20"/>
              </w:rPr>
              <w:t>15.1</w:t>
            </w:r>
          </w:p>
        </w:tc>
      </w:tr>
      <w:tr w:rsidR="00DC5685" w:rsidRPr="00A34F10" w14:paraId="1ADCB9D0" w14:textId="77777777" w:rsidTr="00B37D11">
        <w:trPr>
          <w:cantSplit/>
        </w:trPr>
        <w:tc>
          <w:tcPr>
            <w:tcW w:w="907" w:type="pct"/>
            <w:tcBorders>
              <w:top w:val="nil"/>
              <w:left w:val="single" w:sz="4" w:space="0" w:color="auto"/>
              <w:bottom w:val="single" w:sz="4" w:space="0" w:color="auto"/>
              <w:right w:val="single" w:sz="4" w:space="0" w:color="auto"/>
            </w:tcBorders>
            <w:shd w:val="clear" w:color="auto" w:fill="auto"/>
            <w:vAlign w:val="center"/>
          </w:tcPr>
          <w:p w14:paraId="2255E322" w14:textId="77777777" w:rsidR="00DC5685" w:rsidRPr="00A34F10" w:rsidRDefault="00DC5685" w:rsidP="000470C3">
            <w:pPr>
              <w:jc w:val="center"/>
              <w:rPr>
                <w:color w:val="000000"/>
                <w:sz w:val="20"/>
                <w:szCs w:val="20"/>
                <w:lang w:val="en-GB"/>
              </w:rPr>
            </w:pPr>
            <w:r w:rsidRPr="00A34F10">
              <w:rPr>
                <w:sz w:val="20"/>
                <w:szCs w:val="20"/>
              </w:rPr>
              <w:t>BBCH 10-39</w:t>
            </w:r>
          </w:p>
        </w:tc>
        <w:tc>
          <w:tcPr>
            <w:tcW w:w="1579" w:type="pct"/>
            <w:tcBorders>
              <w:top w:val="nil"/>
              <w:left w:val="nil"/>
              <w:bottom w:val="single" w:sz="4" w:space="0" w:color="auto"/>
              <w:right w:val="single" w:sz="4" w:space="0" w:color="auto"/>
            </w:tcBorders>
            <w:shd w:val="clear" w:color="auto" w:fill="auto"/>
            <w:vAlign w:val="center"/>
          </w:tcPr>
          <w:p w14:paraId="53F75795" w14:textId="77777777" w:rsidR="00DC5685" w:rsidRPr="00A34F10" w:rsidRDefault="00DC5685" w:rsidP="000470C3">
            <w:pPr>
              <w:jc w:val="center"/>
              <w:rPr>
                <w:color w:val="000000"/>
                <w:sz w:val="20"/>
                <w:szCs w:val="20"/>
                <w:lang w:val="en-GB"/>
              </w:rPr>
            </w:pPr>
            <w:r w:rsidRPr="00A34F10">
              <w:rPr>
                <w:sz w:val="20"/>
                <w:szCs w:val="20"/>
                <w:lang w:val="en-GB"/>
              </w:rPr>
              <w:t>Small omnivorous bird “lark”</w:t>
            </w:r>
          </w:p>
        </w:tc>
        <w:tc>
          <w:tcPr>
            <w:tcW w:w="388" w:type="pct"/>
            <w:vMerge/>
            <w:shd w:val="clear" w:color="auto" w:fill="auto"/>
            <w:vAlign w:val="center"/>
          </w:tcPr>
          <w:p w14:paraId="52E7CCDD" w14:textId="77777777" w:rsidR="00DC5685" w:rsidRPr="00A34F10" w:rsidRDefault="00DC5685" w:rsidP="000470C3">
            <w:pPr>
              <w:jc w:val="center"/>
              <w:rPr>
                <w:sz w:val="20"/>
                <w:szCs w:val="20"/>
                <w:lang w:val="en-GB"/>
              </w:rPr>
            </w:pPr>
          </w:p>
        </w:tc>
        <w:tc>
          <w:tcPr>
            <w:tcW w:w="530" w:type="pct"/>
            <w:tcBorders>
              <w:top w:val="nil"/>
              <w:left w:val="single" w:sz="4" w:space="0" w:color="auto"/>
              <w:bottom w:val="single" w:sz="4" w:space="0" w:color="auto"/>
              <w:right w:val="single" w:sz="4" w:space="0" w:color="auto"/>
            </w:tcBorders>
            <w:shd w:val="clear" w:color="auto" w:fill="auto"/>
            <w:vAlign w:val="center"/>
          </w:tcPr>
          <w:p w14:paraId="21AB1D0B" w14:textId="77777777" w:rsidR="00DC5685" w:rsidRPr="00A34F10" w:rsidRDefault="00DC5685" w:rsidP="000470C3">
            <w:pPr>
              <w:jc w:val="center"/>
              <w:rPr>
                <w:color w:val="000000"/>
                <w:sz w:val="20"/>
                <w:szCs w:val="20"/>
                <w:lang w:val="en-GB"/>
              </w:rPr>
            </w:pPr>
            <w:r w:rsidRPr="00A34F10">
              <w:rPr>
                <w:sz w:val="20"/>
                <w:szCs w:val="20"/>
                <w:lang w:val="en-GB"/>
              </w:rPr>
              <w:t>10.9</w:t>
            </w:r>
          </w:p>
        </w:tc>
        <w:tc>
          <w:tcPr>
            <w:tcW w:w="423" w:type="pct"/>
            <w:vMerge/>
            <w:shd w:val="clear" w:color="auto" w:fill="auto"/>
            <w:vAlign w:val="center"/>
          </w:tcPr>
          <w:p w14:paraId="3C85F1E8"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799E32FC" w14:textId="77777777" w:rsidR="00DC5685" w:rsidRPr="00A34F10" w:rsidRDefault="00DC5685" w:rsidP="000470C3">
            <w:pPr>
              <w:jc w:val="center"/>
              <w:rPr>
                <w:color w:val="000000"/>
                <w:sz w:val="20"/>
                <w:szCs w:val="20"/>
                <w:lang w:val="en-GB"/>
              </w:rPr>
            </w:pPr>
            <w:r w:rsidRPr="00A34F10">
              <w:rPr>
                <w:sz w:val="20"/>
                <w:szCs w:val="20"/>
              </w:rPr>
              <w:t>11.19</w:t>
            </w:r>
          </w:p>
        </w:tc>
        <w:tc>
          <w:tcPr>
            <w:tcW w:w="502" w:type="pct"/>
            <w:tcBorders>
              <w:top w:val="nil"/>
              <w:left w:val="single" w:sz="4" w:space="0" w:color="auto"/>
              <w:bottom w:val="single" w:sz="4" w:space="0" w:color="auto"/>
              <w:right w:val="single" w:sz="4" w:space="0" w:color="auto"/>
            </w:tcBorders>
            <w:shd w:val="clear" w:color="auto" w:fill="auto"/>
            <w:vAlign w:val="center"/>
          </w:tcPr>
          <w:p w14:paraId="4516E85B" w14:textId="77777777" w:rsidR="00DC5685" w:rsidRPr="00A34F10" w:rsidRDefault="00DC5685" w:rsidP="000470C3">
            <w:pPr>
              <w:jc w:val="center"/>
              <w:rPr>
                <w:color w:val="000000"/>
                <w:sz w:val="20"/>
                <w:szCs w:val="20"/>
                <w:lang w:val="en-GB"/>
              </w:rPr>
            </w:pPr>
            <w:r w:rsidRPr="00A34F10">
              <w:rPr>
                <w:sz w:val="20"/>
                <w:szCs w:val="20"/>
              </w:rPr>
              <w:t>9.6</w:t>
            </w:r>
          </w:p>
        </w:tc>
      </w:tr>
      <w:tr w:rsidR="00DC5685" w:rsidRPr="00A34F10" w14:paraId="54921F32" w14:textId="77777777" w:rsidTr="00B37D11">
        <w:trPr>
          <w:cantSplit/>
        </w:trPr>
        <w:tc>
          <w:tcPr>
            <w:tcW w:w="907" w:type="pct"/>
            <w:tcBorders>
              <w:top w:val="nil"/>
              <w:left w:val="single" w:sz="4" w:space="0" w:color="auto"/>
              <w:bottom w:val="single" w:sz="4" w:space="0" w:color="auto"/>
              <w:right w:val="single" w:sz="4" w:space="0" w:color="auto"/>
            </w:tcBorders>
            <w:shd w:val="clear" w:color="auto" w:fill="auto"/>
            <w:vAlign w:val="center"/>
          </w:tcPr>
          <w:p w14:paraId="20D1105E" w14:textId="77777777" w:rsidR="00DC5685" w:rsidRPr="00A34F10" w:rsidRDefault="00DC5685" w:rsidP="000470C3">
            <w:pPr>
              <w:jc w:val="center"/>
              <w:rPr>
                <w:sz w:val="20"/>
                <w:szCs w:val="20"/>
                <w:lang w:val="en-GB"/>
              </w:rPr>
            </w:pPr>
            <w:r w:rsidRPr="00A34F10">
              <w:rPr>
                <w:sz w:val="20"/>
                <w:szCs w:val="20"/>
              </w:rPr>
              <w:t>BBCH ≥40</w:t>
            </w:r>
          </w:p>
        </w:tc>
        <w:tc>
          <w:tcPr>
            <w:tcW w:w="1579" w:type="pct"/>
            <w:tcBorders>
              <w:top w:val="single" w:sz="2" w:space="0" w:color="auto"/>
              <w:left w:val="nil"/>
              <w:bottom w:val="single" w:sz="4" w:space="0" w:color="auto"/>
              <w:right w:val="single" w:sz="4" w:space="0" w:color="auto"/>
            </w:tcBorders>
            <w:shd w:val="clear" w:color="auto" w:fill="auto"/>
            <w:vAlign w:val="center"/>
          </w:tcPr>
          <w:p w14:paraId="0F6DBBA5" w14:textId="77777777" w:rsidR="00DC5685" w:rsidRPr="00A34F10" w:rsidRDefault="00DC5685" w:rsidP="000470C3">
            <w:pPr>
              <w:jc w:val="center"/>
              <w:rPr>
                <w:sz w:val="20"/>
                <w:szCs w:val="20"/>
                <w:lang w:val="en-GB"/>
              </w:rPr>
            </w:pPr>
            <w:r w:rsidRPr="00A34F10">
              <w:rPr>
                <w:sz w:val="20"/>
                <w:szCs w:val="20"/>
                <w:lang w:val="en-GB"/>
              </w:rPr>
              <w:t>Small omnivorous bird “lark”</w:t>
            </w:r>
          </w:p>
        </w:tc>
        <w:tc>
          <w:tcPr>
            <w:tcW w:w="388" w:type="pct"/>
            <w:vMerge/>
            <w:shd w:val="clear" w:color="auto" w:fill="auto"/>
            <w:vAlign w:val="center"/>
          </w:tcPr>
          <w:p w14:paraId="7FC46614" w14:textId="77777777" w:rsidR="00DC5685" w:rsidRPr="00A34F10" w:rsidRDefault="00DC5685" w:rsidP="000470C3">
            <w:pPr>
              <w:jc w:val="center"/>
              <w:rPr>
                <w:sz w:val="20"/>
                <w:szCs w:val="20"/>
                <w:lang w:val="en-GB"/>
              </w:rPr>
            </w:pPr>
          </w:p>
        </w:tc>
        <w:tc>
          <w:tcPr>
            <w:tcW w:w="530" w:type="pct"/>
            <w:tcBorders>
              <w:top w:val="nil"/>
              <w:left w:val="single" w:sz="4" w:space="0" w:color="auto"/>
              <w:bottom w:val="single" w:sz="4" w:space="0" w:color="auto"/>
              <w:right w:val="single" w:sz="4" w:space="0" w:color="auto"/>
            </w:tcBorders>
            <w:shd w:val="clear" w:color="auto" w:fill="auto"/>
            <w:vAlign w:val="center"/>
          </w:tcPr>
          <w:p w14:paraId="2C8D15DD" w14:textId="77777777" w:rsidR="00DC5685" w:rsidRPr="00A34F10" w:rsidRDefault="00DC5685" w:rsidP="000470C3">
            <w:pPr>
              <w:jc w:val="center"/>
              <w:rPr>
                <w:sz w:val="20"/>
                <w:szCs w:val="20"/>
                <w:lang w:val="en-GB"/>
              </w:rPr>
            </w:pPr>
            <w:r w:rsidRPr="00A34F10">
              <w:rPr>
                <w:sz w:val="20"/>
                <w:szCs w:val="20"/>
                <w:lang w:val="en-GB"/>
              </w:rPr>
              <w:t>6.5</w:t>
            </w:r>
          </w:p>
        </w:tc>
        <w:tc>
          <w:tcPr>
            <w:tcW w:w="423" w:type="pct"/>
            <w:vMerge/>
            <w:shd w:val="clear" w:color="auto" w:fill="auto"/>
            <w:vAlign w:val="center"/>
          </w:tcPr>
          <w:p w14:paraId="3B8C77DB"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6DEEBB8" w14:textId="77777777" w:rsidR="00DC5685" w:rsidRPr="00A34F10" w:rsidRDefault="00DC5685" w:rsidP="000470C3">
            <w:pPr>
              <w:jc w:val="center"/>
              <w:rPr>
                <w:sz w:val="20"/>
                <w:szCs w:val="20"/>
                <w:lang w:val="en-GB"/>
              </w:rPr>
            </w:pPr>
            <w:r w:rsidRPr="00A34F10">
              <w:rPr>
                <w:sz w:val="20"/>
                <w:szCs w:val="20"/>
              </w:rPr>
              <w:t>6.67</w:t>
            </w:r>
          </w:p>
        </w:tc>
        <w:tc>
          <w:tcPr>
            <w:tcW w:w="502" w:type="pct"/>
            <w:tcBorders>
              <w:top w:val="nil"/>
              <w:left w:val="single" w:sz="4" w:space="0" w:color="auto"/>
              <w:bottom w:val="single" w:sz="4" w:space="0" w:color="auto"/>
              <w:right w:val="single" w:sz="4" w:space="0" w:color="auto"/>
            </w:tcBorders>
            <w:shd w:val="clear" w:color="auto" w:fill="auto"/>
            <w:vAlign w:val="center"/>
          </w:tcPr>
          <w:p w14:paraId="0105BF8C" w14:textId="77777777" w:rsidR="00DC5685" w:rsidRPr="00A34F10" w:rsidRDefault="00DC5685" w:rsidP="000470C3">
            <w:pPr>
              <w:jc w:val="center"/>
              <w:rPr>
                <w:sz w:val="20"/>
                <w:szCs w:val="20"/>
                <w:lang w:val="en-GB"/>
              </w:rPr>
            </w:pPr>
            <w:r w:rsidRPr="00A34F10">
              <w:rPr>
                <w:sz w:val="20"/>
                <w:szCs w:val="20"/>
              </w:rPr>
              <w:t>16.0</w:t>
            </w:r>
          </w:p>
        </w:tc>
      </w:tr>
      <w:tr w:rsidR="00DC5685" w:rsidRPr="00A34F10" w14:paraId="77F723BD" w14:textId="77777777" w:rsidTr="00B37D11">
        <w:trPr>
          <w:cantSplit/>
        </w:trPr>
        <w:tc>
          <w:tcPr>
            <w:tcW w:w="907" w:type="pct"/>
            <w:tcBorders>
              <w:top w:val="nil"/>
              <w:left w:val="single" w:sz="4" w:space="0" w:color="auto"/>
              <w:bottom w:val="single" w:sz="4" w:space="0" w:color="auto"/>
              <w:right w:val="single" w:sz="4" w:space="0" w:color="auto"/>
            </w:tcBorders>
            <w:shd w:val="clear" w:color="auto" w:fill="auto"/>
            <w:vAlign w:val="center"/>
          </w:tcPr>
          <w:p w14:paraId="04C3A9FE" w14:textId="77777777" w:rsidR="00DC5685" w:rsidRPr="00A34F10" w:rsidRDefault="00DC5685" w:rsidP="000470C3">
            <w:pPr>
              <w:jc w:val="center"/>
              <w:rPr>
                <w:sz w:val="20"/>
                <w:szCs w:val="20"/>
                <w:lang w:val="en-GB"/>
              </w:rPr>
            </w:pPr>
            <w:r w:rsidRPr="00A34F10">
              <w:rPr>
                <w:sz w:val="20"/>
                <w:szCs w:val="20"/>
              </w:rPr>
              <w:t>BBCH 10-19</w:t>
            </w:r>
          </w:p>
        </w:tc>
        <w:tc>
          <w:tcPr>
            <w:tcW w:w="1579" w:type="pct"/>
            <w:tcBorders>
              <w:top w:val="nil"/>
              <w:left w:val="nil"/>
              <w:bottom w:val="single" w:sz="4" w:space="0" w:color="auto"/>
              <w:right w:val="single" w:sz="4" w:space="0" w:color="auto"/>
            </w:tcBorders>
            <w:shd w:val="clear" w:color="auto" w:fill="auto"/>
            <w:vAlign w:val="center"/>
          </w:tcPr>
          <w:p w14:paraId="615D38A2"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388" w:type="pct"/>
            <w:vMerge/>
            <w:shd w:val="clear" w:color="auto" w:fill="auto"/>
            <w:vAlign w:val="center"/>
          </w:tcPr>
          <w:p w14:paraId="50528401" w14:textId="77777777" w:rsidR="00DC5685" w:rsidRPr="00A34F10" w:rsidRDefault="00DC5685" w:rsidP="000470C3">
            <w:pPr>
              <w:jc w:val="center"/>
              <w:rPr>
                <w:sz w:val="20"/>
                <w:szCs w:val="20"/>
                <w:lang w:val="en-GB"/>
              </w:rPr>
            </w:pPr>
          </w:p>
        </w:tc>
        <w:tc>
          <w:tcPr>
            <w:tcW w:w="530" w:type="pct"/>
            <w:tcBorders>
              <w:top w:val="nil"/>
              <w:left w:val="single" w:sz="4" w:space="0" w:color="auto"/>
              <w:bottom w:val="single" w:sz="4" w:space="0" w:color="auto"/>
              <w:right w:val="single" w:sz="4" w:space="0" w:color="auto"/>
            </w:tcBorders>
            <w:shd w:val="clear" w:color="auto" w:fill="auto"/>
            <w:vAlign w:val="center"/>
          </w:tcPr>
          <w:p w14:paraId="089EFC73" w14:textId="77777777" w:rsidR="00DC5685" w:rsidRPr="00A34F10" w:rsidRDefault="00DC5685" w:rsidP="000470C3">
            <w:pPr>
              <w:jc w:val="center"/>
              <w:rPr>
                <w:sz w:val="20"/>
                <w:szCs w:val="20"/>
                <w:lang w:val="en-GB"/>
              </w:rPr>
            </w:pPr>
            <w:r w:rsidRPr="00A34F10">
              <w:rPr>
                <w:sz w:val="20"/>
                <w:szCs w:val="20"/>
                <w:lang w:val="en-GB"/>
              </w:rPr>
              <w:t>11.3</w:t>
            </w:r>
          </w:p>
        </w:tc>
        <w:tc>
          <w:tcPr>
            <w:tcW w:w="423" w:type="pct"/>
            <w:vMerge/>
            <w:shd w:val="clear" w:color="auto" w:fill="auto"/>
            <w:vAlign w:val="center"/>
          </w:tcPr>
          <w:p w14:paraId="56477256"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0DFA2DAE" w14:textId="77777777" w:rsidR="00DC5685" w:rsidRPr="00A34F10" w:rsidRDefault="00DC5685" w:rsidP="000470C3">
            <w:pPr>
              <w:jc w:val="center"/>
              <w:rPr>
                <w:sz w:val="20"/>
                <w:szCs w:val="20"/>
                <w:lang w:val="en-GB"/>
              </w:rPr>
            </w:pPr>
            <w:r w:rsidRPr="00A34F10">
              <w:rPr>
                <w:sz w:val="20"/>
                <w:szCs w:val="20"/>
              </w:rPr>
              <w:t>11.60</w:t>
            </w:r>
          </w:p>
        </w:tc>
        <w:tc>
          <w:tcPr>
            <w:tcW w:w="502" w:type="pct"/>
            <w:tcBorders>
              <w:top w:val="nil"/>
              <w:left w:val="single" w:sz="4" w:space="0" w:color="auto"/>
              <w:bottom w:val="single" w:sz="4" w:space="0" w:color="auto"/>
              <w:right w:val="single" w:sz="4" w:space="0" w:color="auto"/>
            </w:tcBorders>
            <w:shd w:val="clear" w:color="auto" w:fill="auto"/>
            <w:vAlign w:val="center"/>
          </w:tcPr>
          <w:p w14:paraId="51B716EB" w14:textId="77777777" w:rsidR="00DC5685" w:rsidRPr="00A34F10" w:rsidRDefault="00DC5685" w:rsidP="000470C3">
            <w:pPr>
              <w:jc w:val="center"/>
              <w:rPr>
                <w:sz w:val="20"/>
                <w:szCs w:val="20"/>
                <w:lang w:val="en-GB"/>
              </w:rPr>
            </w:pPr>
            <w:r w:rsidRPr="00A34F10">
              <w:rPr>
                <w:sz w:val="20"/>
                <w:szCs w:val="20"/>
              </w:rPr>
              <w:t>9.2</w:t>
            </w:r>
          </w:p>
        </w:tc>
      </w:tr>
      <w:tr w:rsidR="00DC5685" w:rsidRPr="00A34F10" w14:paraId="3C74D9FE" w14:textId="77777777" w:rsidTr="00B37D11">
        <w:trPr>
          <w:cantSplit/>
        </w:trPr>
        <w:tc>
          <w:tcPr>
            <w:tcW w:w="907" w:type="pct"/>
            <w:tcBorders>
              <w:top w:val="nil"/>
              <w:left w:val="single" w:sz="4" w:space="0" w:color="auto"/>
              <w:bottom w:val="single" w:sz="4" w:space="0" w:color="auto"/>
              <w:right w:val="single" w:sz="4" w:space="0" w:color="auto"/>
            </w:tcBorders>
            <w:shd w:val="clear" w:color="auto" w:fill="auto"/>
            <w:vAlign w:val="center"/>
          </w:tcPr>
          <w:p w14:paraId="5F22F8DA" w14:textId="77777777" w:rsidR="00DC5685" w:rsidRPr="00A34F10" w:rsidRDefault="00DC5685" w:rsidP="000470C3">
            <w:pPr>
              <w:jc w:val="center"/>
              <w:rPr>
                <w:sz w:val="20"/>
                <w:szCs w:val="20"/>
                <w:lang w:val="en-GB"/>
              </w:rPr>
            </w:pPr>
            <w:r w:rsidRPr="00A34F10">
              <w:rPr>
                <w:sz w:val="20"/>
                <w:szCs w:val="20"/>
              </w:rPr>
              <w:t>BBCH ≥20</w:t>
            </w:r>
          </w:p>
        </w:tc>
        <w:tc>
          <w:tcPr>
            <w:tcW w:w="1579" w:type="pct"/>
            <w:tcBorders>
              <w:top w:val="nil"/>
              <w:left w:val="nil"/>
              <w:bottom w:val="single" w:sz="4" w:space="0" w:color="auto"/>
              <w:right w:val="single" w:sz="4" w:space="0" w:color="auto"/>
            </w:tcBorders>
            <w:shd w:val="clear" w:color="auto" w:fill="auto"/>
            <w:vAlign w:val="center"/>
          </w:tcPr>
          <w:p w14:paraId="5BB1B250"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388" w:type="pct"/>
            <w:vMerge/>
            <w:shd w:val="clear" w:color="auto" w:fill="auto"/>
            <w:vAlign w:val="center"/>
          </w:tcPr>
          <w:p w14:paraId="4B128F36" w14:textId="77777777" w:rsidR="00DC5685" w:rsidRPr="00A34F10" w:rsidRDefault="00DC5685" w:rsidP="000470C3">
            <w:pPr>
              <w:jc w:val="center"/>
              <w:rPr>
                <w:sz w:val="20"/>
                <w:szCs w:val="20"/>
                <w:lang w:val="en-GB"/>
              </w:rPr>
            </w:pPr>
          </w:p>
        </w:tc>
        <w:tc>
          <w:tcPr>
            <w:tcW w:w="530" w:type="pct"/>
            <w:tcBorders>
              <w:top w:val="nil"/>
              <w:left w:val="single" w:sz="4" w:space="0" w:color="auto"/>
              <w:bottom w:val="single" w:sz="4" w:space="0" w:color="auto"/>
              <w:right w:val="single" w:sz="4" w:space="0" w:color="auto"/>
            </w:tcBorders>
            <w:shd w:val="clear" w:color="auto" w:fill="auto"/>
            <w:vAlign w:val="center"/>
          </w:tcPr>
          <w:p w14:paraId="220CF6E4" w14:textId="77777777" w:rsidR="00DC5685" w:rsidRPr="00A34F10" w:rsidRDefault="00DC5685" w:rsidP="000470C3">
            <w:pPr>
              <w:jc w:val="center"/>
              <w:rPr>
                <w:sz w:val="20"/>
                <w:szCs w:val="20"/>
                <w:lang w:val="en-GB"/>
              </w:rPr>
            </w:pPr>
            <w:r w:rsidRPr="00A34F10">
              <w:rPr>
                <w:sz w:val="20"/>
                <w:szCs w:val="20"/>
                <w:lang w:val="en-GB"/>
              </w:rPr>
              <w:t>9.7</w:t>
            </w:r>
          </w:p>
        </w:tc>
        <w:tc>
          <w:tcPr>
            <w:tcW w:w="423" w:type="pct"/>
            <w:vMerge/>
            <w:shd w:val="clear" w:color="auto" w:fill="auto"/>
            <w:vAlign w:val="center"/>
          </w:tcPr>
          <w:p w14:paraId="66684E5C"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4A930ED7" w14:textId="77777777" w:rsidR="00DC5685" w:rsidRPr="00A34F10" w:rsidRDefault="00DC5685" w:rsidP="000470C3">
            <w:pPr>
              <w:jc w:val="center"/>
              <w:rPr>
                <w:sz w:val="20"/>
                <w:szCs w:val="20"/>
                <w:lang w:val="en-GB"/>
              </w:rPr>
            </w:pPr>
            <w:r w:rsidRPr="00A34F10">
              <w:rPr>
                <w:sz w:val="20"/>
                <w:szCs w:val="20"/>
              </w:rPr>
              <w:t>9.96</w:t>
            </w:r>
          </w:p>
        </w:tc>
        <w:tc>
          <w:tcPr>
            <w:tcW w:w="502" w:type="pct"/>
            <w:tcBorders>
              <w:top w:val="nil"/>
              <w:left w:val="single" w:sz="4" w:space="0" w:color="auto"/>
              <w:bottom w:val="single" w:sz="4" w:space="0" w:color="auto"/>
              <w:right w:val="single" w:sz="4" w:space="0" w:color="auto"/>
            </w:tcBorders>
            <w:shd w:val="clear" w:color="auto" w:fill="auto"/>
            <w:vAlign w:val="center"/>
          </w:tcPr>
          <w:p w14:paraId="06AD2BC5" w14:textId="77777777" w:rsidR="00DC5685" w:rsidRPr="00A34F10" w:rsidRDefault="00DC5685" w:rsidP="000470C3">
            <w:pPr>
              <w:jc w:val="center"/>
              <w:rPr>
                <w:sz w:val="20"/>
                <w:szCs w:val="20"/>
                <w:lang w:val="en-GB"/>
              </w:rPr>
            </w:pPr>
            <w:r w:rsidRPr="00A34F10">
              <w:rPr>
                <w:sz w:val="20"/>
                <w:szCs w:val="20"/>
              </w:rPr>
              <w:t>10.7</w:t>
            </w:r>
          </w:p>
        </w:tc>
      </w:tr>
      <w:tr w:rsidR="00DC5685" w:rsidRPr="00A34F10" w14:paraId="2B6E0DAB" w14:textId="77777777" w:rsidTr="000470C3">
        <w:trPr>
          <w:cantSplit/>
        </w:trPr>
        <w:tc>
          <w:tcPr>
            <w:tcW w:w="5000" w:type="pct"/>
            <w:gridSpan w:val="7"/>
            <w:tcBorders>
              <w:top w:val="single" w:sz="12" w:space="0" w:color="auto"/>
              <w:bottom w:val="single" w:sz="12" w:space="0" w:color="auto"/>
            </w:tcBorders>
            <w:shd w:val="clear" w:color="auto" w:fill="auto"/>
            <w:vAlign w:val="center"/>
          </w:tcPr>
          <w:p w14:paraId="69DBAC4E" w14:textId="70A307E9" w:rsidR="00DC5685" w:rsidRPr="00A34F10" w:rsidRDefault="00DC5685" w:rsidP="008E1E5E">
            <w:pPr>
              <w:keepNext/>
              <w:jc w:val="center"/>
              <w:rPr>
                <w:sz w:val="20"/>
                <w:szCs w:val="20"/>
                <w:highlight w:val="yellow"/>
                <w:lang w:val="en-GB"/>
              </w:rPr>
            </w:pPr>
            <w:r w:rsidRPr="00A34F10">
              <w:rPr>
                <w:b/>
                <w:sz w:val="20"/>
                <w:szCs w:val="20"/>
                <w:lang w:val="en-GB"/>
              </w:rPr>
              <w:lastRenderedPageBreak/>
              <w:t xml:space="preserve">Fruiting vegetables (2 × ∑ 0.24 + 0.902 kg a.s./ha, BBCH </w:t>
            </w:r>
            <w:r w:rsidRPr="00B37D11">
              <w:rPr>
                <w:b/>
                <w:strike/>
                <w:sz w:val="20"/>
                <w:szCs w:val="20"/>
                <w:highlight w:val="green"/>
                <w:lang w:val="en-GB"/>
              </w:rPr>
              <w:t>14</w:t>
            </w:r>
            <w:r w:rsidRPr="00B37D11">
              <w:rPr>
                <w:b/>
                <w:sz w:val="20"/>
                <w:szCs w:val="20"/>
                <w:highlight w:val="green"/>
                <w:lang w:val="en-GB"/>
              </w:rPr>
              <w:t xml:space="preserve"> </w:t>
            </w:r>
            <w:r w:rsidR="00241167" w:rsidRPr="00B37D11">
              <w:rPr>
                <w:b/>
                <w:sz w:val="20"/>
                <w:szCs w:val="20"/>
                <w:highlight w:val="green"/>
                <w:lang w:val="en-GB"/>
              </w:rPr>
              <w:t>21</w:t>
            </w:r>
            <w:r w:rsidR="00241167">
              <w:rPr>
                <w:b/>
                <w:sz w:val="20"/>
                <w:szCs w:val="20"/>
                <w:lang w:val="en-GB"/>
              </w:rPr>
              <w:t xml:space="preserve"> </w:t>
            </w:r>
            <w:r w:rsidRPr="00A34F10">
              <w:rPr>
                <w:b/>
                <w:sz w:val="20"/>
                <w:szCs w:val="20"/>
                <w:lang w:val="en-GB"/>
              </w:rPr>
              <w:t>- 89)</w:t>
            </w:r>
          </w:p>
        </w:tc>
      </w:tr>
      <w:tr w:rsidR="00DC5685" w:rsidRPr="00A34F10" w14:paraId="30616282" w14:textId="77777777" w:rsidTr="00B37D11">
        <w:trPr>
          <w:cantSplit/>
        </w:trPr>
        <w:tc>
          <w:tcPr>
            <w:tcW w:w="907" w:type="pct"/>
            <w:tcBorders>
              <w:bottom w:val="single" w:sz="4" w:space="0" w:color="auto"/>
            </w:tcBorders>
            <w:shd w:val="clear" w:color="auto" w:fill="auto"/>
            <w:vAlign w:val="center"/>
          </w:tcPr>
          <w:p w14:paraId="380F3116" w14:textId="77777777" w:rsidR="00DC5685" w:rsidRPr="00A34F10" w:rsidRDefault="00DC5685" w:rsidP="008E1E5E">
            <w:pPr>
              <w:keepNext/>
              <w:jc w:val="center"/>
              <w:rPr>
                <w:sz w:val="20"/>
                <w:szCs w:val="20"/>
                <w:lang w:val="en-GB"/>
              </w:rPr>
            </w:pPr>
            <w:r w:rsidRPr="00A34F10">
              <w:rPr>
                <w:sz w:val="20"/>
                <w:szCs w:val="20"/>
              </w:rPr>
              <w:t>BBCH 71-89</w:t>
            </w:r>
          </w:p>
        </w:tc>
        <w:tc>
          <w:tcPr>
            <w:tcW w:w="1579" w:type="pct"/>
            <w:tcBorders>
              <w:bottom w:val="single" w:sz="4" w:space="0" w:color="auto"/>
            </w:tcBorders>
            <w:shd w:val="clear" w:color="auto" w:fill="auto"/>
            <w:vAlign w:val="center"/>
          </w:tcPr>
          <w:p w14:paraId="39DAFC46" w14:textId="77777777" w:rsidR="00DC5685" w:rsidRPr="00A34F10" w:rsidRDefault="00DC5685" w:rsidP="008E1E5E">
            <w:pPr>
              <w:keepNext/>
              <w:jc w:val="center"/>
              <w:rPr>
                <w:sz w:val="20"/>
                <w:szCs w:val="20"/>
                <w:lang w:val="en-GB"/>
              </w:rPr>
            </w:pPr>
            <w:r w:rsidRPr="00A34F10">
              <w:rPr>
                <w:sz w:val="20"/>
                <w:szCs w:val="20"/>
                <w:lang w:val="en-GB"/>
              </w:rPr>
              <w:t>Frugivorous “crow”</w:t>
            </w:r>
          </w:p>
        </w:tc>
        <w:tc>
          <w:tcPr>
            <w:tcW w:w="388" w:type="pct"/>
            <w:vMerge w:val="restart"/>
            <w:tcBorders>
              <w:bottom w:val="single" w:sz="4" w:space="0" w:color="auto"/>
            </w:tcBorders>
            <w:shd w:val="clear" w:color="auto" w:fill="auto"/>
            <w:vAlign w:val="center"/>
          </w:tcPr>
          <w:p w14:paraId="210CD6C2" w14:textId="77777777" w:rsidR="00DC5685" w:rsidRPr="00A34F10" w:rsidRDefault="00DC5685" w:rsidP="008E1E5E">
            <w:pPr>
              <w:keepNext/>
              <w:jc w:val="center"/>
              <w:rPr>
                <w:sz w:val="20"/>
                <w:szCs w:val="20"/>
                <w:lang w:val="en-GB"/>
              </w:rPr>
            </w:pPr>
            <w:r w:rsidRPr="00A34F10">
              <w:rPr>
                <w:sz w:val="20"/>
                <w:szCs w:val="20"/>
                <w:lang w:val="en-GB"/>
              </w:rPr>
              <w:t>1.142</w:t>
            </w:r>
          </w:p>
        </w:tc>
        <w:tc>
          <w:tcPr>
            <w:tcW w:w="530" w:type="pct"/>
            <w:tcBorders>
              <w:bottom w:val="single" w:sz="4" w:space="0" w:color="auto"/>
            </w:tcBorders>
            <w:shd w:val="clear" w:color="auto" w:fill="auto"/>
            <w:vAlign w:val="center"/>
          </w:tcPr>
          <w:p w14:paraId="04979557" w14:textId="77777777" w:rsidR="00DC5685" w:rsidRPr="00A34F10" w:rsidRDefault="00DC5685" w:rsidP="008E1E5E">
            <w:pPr>
              <w:keepNext/>
              <w:jc w:val="center"/>
              <w:rPr>
                <w:sz w:val="20"/>
                <w:szCs w:val="20"/>
                <w:lang w:val="en-GB"/>
              </w:rPr>
            </w:pPr>
            <w:r w:rsidRPr="00A34F10">
              <w:rPr>
                <w:sz w:val="20"/>
                <w:szCs w:val="20"/>
              </w:rPr>
              <w:t>32</w:t>
            </w:r>
          </w:p>
        </w:tc>
        <w:tc>
          <w:tcPr>
            <w:tcW w:w="423" w:type="pct"/>
            <w:vMerge w:val="restart"/>
            <w:tcBorders>
              <w:bottom w:val="single" w:sz="4" w:space="0" w:color="auto"/>
            </w:tcBorders>
            <w:shd w:val="clear" w:color="auto" w:fill="auto"/>
            <w:vAlign w:val="center"/>
          </w:tcPr>
          <w:p w14:paraId="4648DB4F" w14:textId="77777777" w:rsidR="00DC5685" w:rsidRPr="00A34F10" w:rsidRDefault="00DC5685" w:rsidP="008E1E5E">
            <w:pPr>
              <w:keepNext/>
              <w:jc w:val="center"/>
              <w:rPr>
                <w:sz w:val="20"/>
                <w:szCs w:val="20"/>
                <w:lang w:val="en-GB"/>
              </w:rPr>
            </w:pPr>
            <w:r w:rsidRPr="00A34F10">
              <w:rPr>
                <w:sz w:val="20"/>
                <w:szCs w:val="20"/>
                <w:lang w:val="en-GB"/>
              </w:rPr>
              <w:t>1.62 × 0.53</w:t>
            </w:r>
          </w:p>
        </w:tc>
        <w:tc>
          <w:tcPr>
            <w:tcW w:w="671" w:type="pct"/>
            <w:tcBorders>
              <w:top w:val="nil"/>
              <w:left w:val="single" w:sz="4" w:space="0" w:color="auto"/>
              <w:bottom w:val="single" w:sz="4" w:space="0" w:color="auto"/>
              <w:right w:val="single" w:sz="4" w:space="0" w:color="auto"/>
            </w:tcBorders>
            <w:shd w:val="clear" w:color="auto" w:fill="auto"/>
            <w:vAlign w:val="center"/>
          </w:tcPr>
          <w:p w14:paraId="74124215" w14:textId="77777777" w:rsidR="00DC5685" w:rsidRPr="00A34F10" w:rsidRDefault="00DC5685" w:rsidP="008E1E5E">
            <w:pPr>
              <w:keepNext/>
              <w:jc w:val="center"/>
              <w:rPr>
                <w:sz w:val="20"/>
                <w:szCs w:val="20"/>
                <w:lang w:val="en-GB"/>
              </w:rPr>
            </w:pPr>
            <w:r w:rsidRPr="00A34F10">
              <w:rPr>
                <w:sz w:val="20"/>
                <w:szCs w:val="20"/>
              </w:rPr>
              <w:t>31.10</w:t>
            </w:r>
          </w:p>
        </w:tc>
        <w:tc>
          <w:tcPr>
            <w:tcW w:w="502" w:type="pct"/>
            <w:tcBorders>
              <w:top w:val="nil"/>
              <w:left w:val="nil"/>
              <w:bottom w:val="single" w:sz="4" w:space="0" w:color="auto"/>
              <w:right w:val="single" w:sz="4" w:space="0" w:color="auto"/>
            </w:tcBorders>
            <w:shd w:val="clear" w:color="auto" w:fill="auto"/>
            <w:vAlign w:val="center"/>
          </w:tcPr>
          <w:p w14:paraId="7B7E1E67" w14:textId="77777777" w:rsidR="00DC5685" w:rsidRPr="00A34F10" w:rsidRDefault="00DC5685" w:rsidP="008E1E5E">
            <w:pPr>
              <w:keepNext/>
              <w:jc w:val="center"/>
              <w:rPr>
                <w:b/>
                <w:bCs/>
                <w:sz w:val="20"/>
                <w:szCs w:val="20"/>
                <w:lang w:val="en-GB"/>
              </w:rPr>
            </w:pPr>
            <w:r w:rsidRPr="00A34F10">
              <w:rPr>
                <w:b/>
                <w:bCs/>
                <w:sz w:val="20"/>
                <w:szCs w:val="20"/>
              </w:rPr>
              <w:t>3.4</w:t>
            </w:r>
          </w:p>
        </w:tc>
      </w:tr>
      <w:tr w:rsidR="00DC5685" w:rsidRPr="00A34F10" w14:paraId="2A40D792" w14:textId="77777777" w:rsidTr="00B37D11">
        <w:trPr>
          <w:cantSplit/>
        </w:trPr>
        <w:tc>
          <w:tcPr>
            <w:tcW w:w="907" w:type="pct"/>
            <w:tcBorders>
              <w:bottom w:val="single" w:sz="4" w:space="0" w:color="auto"/>
            </w:tcBorders>
            <w:shd w:val="clear" w:color="auto" w:fill="auto"/>
            <w:vAlign w:val="center"/>
          </w:tcPr>
          <w:p w14:paraId="230CF044" w14:textId="77777777" w:rsidR="00DC5685" w:rsidRPr="00A34F10" w:rsidRDefault="00DC5685" w:rsidP="008E1E5E">
            <w:pPr>
              <w:keepNext/>
              <w:jc w:val="center"/>
              <w:rPr>
                <w:sz w:val="20"/>
                <w:szCs w:val="20"/>
                <w:lang w:val="en-GB"/>
              </w:rPr>
            </w:pPr>
            <w:r w:rsidRPr="00A34F10">
              <w:rPr>
                <w:sz w:val="20"/>
                <w:szCs w:val="20"/>
              </w:rPr>
              <w:t>BBCH 10-49</w:t>
            </w:r>
          </w:p>
        </w:tc>
        <w:tc>
          <w:tcPr>
            <w:tcW w:w="1579" w:type="pct"/>
            <w:tcBorders>
              <w:bottom w:val="single" w:sz="4" w:space="0" w:color="auto"/>
            </w:tcBorders>
            <w:shd w:val="clear" w:color="auto" w:fill="auto"/>
            <w:vAlign w:val="center"/>
          </w:tcPr>
          <w:p w14:paraId="426A2EC7" w14:textId="77777777" w:rsidR="00DC5685" w:rsidRPr="00A34F10" w:rsidRDefault="00DC5685" w:rsidP="008E1E5E">
            <w:pPr>
              <w:keepNext/>
              <w:jc w:val="center"/>
              <w:rPr>
                <w:sz w:val="20"/>
                <w:szCs w:val="20"/>
                <w:lang w:val="en-GB"/>
              </w:rPr>
            </w:pPr>
            <w:r w:rsidRPr="00A34F10">
              <w:rPr>
                <w:sz w:val="20"/>
                <w:szCs w:val="20"/>
                <w:lang w:val="en-GB"/>
              </w:rPr>
              <w:t>Small granivorous bird “finch”</w:t>
            </w:r>
          </w:p>
        </w:tc>
        <w:tc>
          <w:tcPr>
            <w:tcW w:w="388" w:type="pct"/>
            <w:vMerge/>
            <w:tcBorders>
              <w:bottom w:val="single" w:sz="4" w:space="0" w:color="auto"/>
            </w:tcBorders>
            <w:shd w:val="clear" w:color="auto" w:fill="auto"/>
            <w:vAlign w:val="center"/>
          </w:tcPr>
          <w:p w14:paraId="7E916C78" w14:textId="77777777" w:rsidR="00DC5685" w:rsidRPr="00A34F10" w:rsidRDefault="00DC5685" w:rsidP="008E1E5E">
            <w:pPr>
              <w:keepNext/>
              <w:jc w:val="center"/>
              <w:rPr>
                <w:sz w:val="20"/>
                <w:szCs w:val="20"/>
                <w:lang w:val="en-GB"/>
              </w:rPr>
            </w:pPr>
          </w:p>
        </w:tc>
        <w:tc>
          <w:tcPr>
            <w:tcW w:w="530" w:type="pct"/>
            <w:tcBorders>
              <w:bottom w:val="single" w:sz="4" w:space="0" w:color="auto"/>
            </w:tcBorders>
            <w:shd w:val="clear" w:color="auto" w:fill="auto"/>
            <w:vAlign w:val="center"/>
          </w:tcPr>
          <w:p w14:paraId="2BFB322E" w14:textId="77777777" w:rsidR="00DC5685" w:rsidRPr="00A34F10" w:rsidRDefault="00DC5685" w:rsidP="008E1E5E">
            <w:pPr>
              <w:keepNext/>
              <w:jc w:val="center"/>
              <w:rPr>
                <w:sz w:val="20"/>
                <w:szCs w:val="20"/>
                <w:lang w:val="en-GB"/>
              </w:rPr>
            </w:pPr>
            <w:r w:rsidRPr="00A34F10">
              <w:rPr>
                <w:sz w:val="20"/>
                <w:szCs w:val="20"/>
              </w:rPr>
              <w:t>11.4</w:t>
            </w:r>
          </w:p>
        </w:tc>
        <w:tc>
          <w:tcPr>
            <w:tcW w:w="423" w:type="pct"/>
            <w:vMerge/>
            <w:tcBorders>
              <w:bottom w:val="single" w:sz="4" w:space="0" w:color="auto"/>
            </w:tcBorders>
            <w:shd w:val="clear" w:color="auto" w:fill="auto"/>
            <w:vAlign w:val="center"/>
          </w:tcPr>
          <w:p w14:paraId="5EC0C87B" w14:textId="77777777" w:rsidR="00DC5685" w:rsidRPr="00A34F10" w:rsidRDefault="00DC5685" w:rsidP="008E1E5E">
            <w:pPr>
              <w:keepNext/>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4D7F23F" w14:textId="77777777" w:rsidR="00DC5685" w:rsidRPr="00A34F10" w:rsidRDefault="00DC5685" w:rsidP="008E1E5E">
            <w:pPr>
              <w:keepNext/>
              <w:jc w:val="center"/>
              <w:rPr>
                <w:sz w:val="20"/>
                <w:szCs w:val="20"/>
                <w:lang w:val="en-GB"/>
              </w:rPr>
            </w:pPr>
            <w:r w:rsidRPr="00A34F10">
              <w:rPr>
                <w:sz w:val="20"/>
                <w:szCs w:val="20"/>
              </w:rPr>
              <w:t>11.08</w:t>
            </w:r>
          </w:p>
        </w:tc>
        <w:tc>
          <w:tcPr>
            <w:tcW w:w="502" w:type="pct"/>
            <w:tcBorders>
              <w:top w:val="nil"/>
              <w:left w:val="nil"/>
              <w:bottom w:val="single" w:sz="4" w:space="0" w:color="auto"/>
              <w:right w:val="single" w:sz="4" w:space="0" w:color="auto"/>
            </w:tcBorders>
            <w:shd w:val="clear" w:color="auto" w:fill="auto"/>
            <w:vAlign w:val="center"/>
          </w:tcPr>
          <w:p w14:paraId="0B753361" w14:textId="77777777" w:rsidR="00DC5685" w:rsidRPr="00A34F10" w:rsidRDefault="00DC5685" w:rsidP="008E1E5E">
            <w:pPr>
              <w:keepNext/>
              <w:jc w:val="center"/>
              <w:rPr>
                <w:sz w:val="20"/>
                <w:szCs w:val="20"/>
                <w:lang w:val="en-GB"/>
              </w:rPr>
            </w:pPr>
            <w:r w:rsidRPr="00A34F10">
              <w:rPr>
                <w:sz w:val="20"/>
                <w:szCs w:val="20"/>
              </w:rPr>
              <w:t>9.7</w:t>
            </w:r>
          </w:p>
        </w:tc>
      </w:tr>
      <w:tr w:rsidR="00DC5685" w:rsidRPr="00A34F10" w14:paraId="11B6E2AF" w14:textId="77777777" w:rsidTr="00B37D11">
        <w:trPr>
          <w:cantSplit/>
        </w:trPr>
        <w:tc>
          <w:tcPr>
            <w:tcW w:w="907" w:type="pct"/>
            <w:tcBorders>
              <w:bottom w:val="single" w:sz="4" w:space="0" w:color="auto"/>
            </w:tcBorders>
            <w:shd w:val="clear" w:color="auto" w:fill="auto"/>
            <w:vAlign w:val="center"/>
          </w:tcPr>
          <w:p w14:paraId="149AD2E2" w14:textId="77777777" w:rsidR="00DC5685" w:rsidRPr="00A34F10" w:rsidRDefault="00DC5685" w:rsidP="008E1E5E">
            <w:pPr>
              <w:keepNext/>
              <w:jc w:val="center"/>
              <w:rPr>
                <w:sz w:val="20"/>
                <w:szCs w:val="20"/>
                <w:lang w:val="en-GB"/>
              </w:rPr>
            </w:pPr>
            <w:r w:rsidRPr="00A34F10">
              <w:rPr>
                <w:sz w:val="20"/>
                <w:szCs w:val="20"/>
              </w:rPr>
              <w:t>BBCH ≥50</w:t>
            </w:r>
          </w:p>
        </w:tc>
        <w:tc>
          <w:tcPr>
            <w:tcW w:w="1579" w:type="pct"/>
            <w:tcBorders>
              <w:bottom w:val="single" w:sz="4" w:space="0" w:color="auto"/>
            </w:tcBorders>
            <w:shd w:val="clear" w:color="auto" w:fill="auto"/>
            <w:vAlign w:val="center"/>
          </w:tcPr>
          <w:p w14:paraId="1298EF96" w14:textId="77777777" w:rsidR="00DC5685" w:rsidRPr="00A34F10" w:rsidRDefault="00DC5685" w:rsidP="008E1E5E">
            <w:pPr>
              <w:keepNext/>
              <w:jc w:val="center"/>
              <w:rPr>
                <w:sz w:val="20"/>
                <w:szCs w:val="20"/>
                <w:lang w:val="en-GB"/>
              </w:rPr>
            </w:pPr>
            <w:r w:rsidRPr="00A34F10">
              <w:rPr>
                <w:sz w:val="20"/>
                <w:szCs w:val="20"/>
                <w:lang w:val="en-GB"/>
              </w:rPr>
              <w:t>Small granivorous bird “finch”</w:t>
            </w:r>
          </w:p>
        </w:tc>
        <w:tc>
          <w:tcPr>
            <w:tcW w:w="388" w:type="pct"/>
            <w:vMerge/>
            <w:tcBorders>
              <w:bottom w:val="single" w:sz="4" w:space="0" w:color="auto"/>
            </w:tcBorders>
            <w:shd w:val="clear" w:color="auto" w:fill="auto"/>
            <w:vAlign w:val="center"/>
          </w:tcPr>
          <w:p w14:paraId="102C0BE9" w14:textId="77777777" w:rsidR="00DC5685" w:rsidRPr="00A34F10" w:rsidRDefault="00DC5685" w:rsidP="008E1E5E">
            <w:pPr>
              <w:keepNext/>
              <w:jc w:val="center"/>
              <w:rPr>
                <w:sz w:val="20"/>
                <w:szCs w:val="20"/>
                <w:lang w:val="en-GB"/>
              </w:rPr>
            </w:pPr>
          </w:p>
        </w:tc>
        <w:tc>
          <w:tcPr>
            <w:tcW w:w="530" w:type="pct"/>
            <w:tcBorders>
              <w:bottom w:val="single" w:sz="4" w:space="0" w:color="auto"/>
            </w:tcBorders>
            <w:shd w:val="clear" w:color="auto" w:fill="auto"/>
            <w:vAlign w:val="center"/>
          </w:tcPr>
          <w:p w14:paraId="04D1A8E3" w14:textId="77777777" w:rsidR="00DC5685" w:rsidRPr="00A34F10" w:rsidRDefault="00DC5685" w:rsidP="008E1E5E">
            <w:pPr>
              <w:keepNext/>
              <w:jc w:val="center"/>
              <w:rPr>
                <w:sz w:val="20"/>
                <w:szCs w:val="20"/>
                <w:lang w:val="en-GB"/>
              </w:rPr>
            </w:pPr>
            <w:r w:rsidRPr="00A34F10">
              <w:rPr>
                <w:sz w:val="20"/>
                <w:szCs w:val="20"/>
              </w:rPr>
              <w:t>3.4</w:t>
            </w:r>
          </w:p>
        </w:tc>
        <w:tc>
          <w:tcPr>
            <w:tcW w:w="423" w:type="pct"/>
            <w:vMerge/>
            <w:tcBorders>
              <w:bottom w:val="single" w:sz="4" w:space="0" w:color="auto"/>
            </w:tcBorders>
            <w:shd w:val="clear" w:color="auto" w:fill="auto"/>
            <w:vAlign w:val="center"/>
          </w:tcPr>
          <w:p w14:paraId="7A48CBA0" w14:textId="77777777" w:rsidR="00DC5685" w:rsidRPr="00A34F10" w:rsidRDefault="00DC5685" w:rsidP="008E1E5E">
            <w:pPr>
              <w:keepNext/>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55B8BE0C" w14:textId="77777777" w:rsidR="00DC5685" w:rsidRPr="00A34F10" w:rsidRDefault="00DC5685" w:rsidP="008E1E5E">
            <w:pPr>
              <w:keepNext/>
              <w:jc w:val="center"/>
              <w:rPr>
                <w:sz w:val="20"/>
                <w:szCs w:val="20"/>
                <w:lang w:val="en-GB"/>
              </w:rPr>
            </w:pPr>
            <w:r w:rsidRPr="00A34F10">
              <w:rPr>
                <w:sz w:val="20"/>
                <w:szCs w:val="20"/>
              </w:rPr>
              <w:t>3.30</w:t>
            </w:r>
          </w:p>
        </w:tc>
        <w:tc>
          <w:tcPr>
            <w:tcW w:w="502" w:type="pct"/>
            <w:tcBorders>
              <w:top w:val="nil"/>
              <w:left w:val="nil"/>
              <w:bottom w:val="single" w:sz="4" w:space="0" w:color="auto"/>
              <w:right w:val="single" w:sz="4" w:space="0" w:color="auto"/>
            </w:tcBorders>
            <w:shd w:val="clear" w:color="auto" w:fill="auto"/>
            <w:vAlign w:val="center"/>
          </w:tcPr>
          <w:p w14:paraId="2B5FB531" w14:textId="77777777" w:rsidR="00DC5685" w:rsidRPr="00A34F10" w:rsidRDefault="00DC5685" w:rsidP="008E1E5E">
            <w:pPr>
              <w:keepNext/>
              <w:jc w:val="center"/>
              <w:rPr>
                <w:sz w:val="20"/>
                <w:szCs w:val="20"/>
                <w:lang w:val="en-GB"/>
              </w:rPr>
            </w:pPr>
            <w:r w:rsidRPr="00A34F10">
              <w:rPr>
                <w:sz w:val="20"/>
                <w:szCs w:val="20"/>
              </w:rPr>
              <w:t>32.4</w:t>
            </w:r>
          </w:p>
        </w:tc>
      </w:tr>
      <w:tr w:rsidR="00DC5685" w:rsidRPr="00A34F10" w14:paraId="608C8AA0" w14:textId="77777777" w:rsidTr="00B37D11">
        <w:trPr>
          <w:cantSplit/>
        </w:trPr>
        <w:tc>
          <w:tcPr>
            <w:tcW w:w="907" w:type="pct"/>
            <w:tcBorders>
              <w:bottom w:val="single" w:sz="4" w:space="0" w:color="auto"/>
            </w:tcBorders>
            <w:shd w:val="clear" w:color="auto" w:fill="auto"/>
            <w:vAlign w:val="center"/>
          </w:tcPr>
          <w:p w14:paraId="30230ACC" w14:textId="77777777" w:rsidR="00DC5685" w:rsidRPr="00A34F10" w:rsidRDefault="00DC5685" w:rsidP="008E1E5E">
            <w:pPr>
              <w:keepNext/>
              <w:jc w:val="center"/>
              <w:rPr>
                <w:sz w:val="20"/>
                <w:szCs w:val="20"/>
                <w:lang w:val="en-GB"/>
              </w:rPr>
            </w:pPr>
            <w:r w:rsidRPr="00A34F10">
              <w:rPr>
                <w:sz w:val="20"/>
                <w:szCs w:val="20"/>
              </w:rPr>
              <w:t>BBCH 10-49</w:t>
            </w:r>
          </w:p>
        </w:tc>
        <w:tc>
          <w:tcPr>
            <w:tcW w:w="1579" w:type="pct"/>
            <w:tcBorders>
              <w:bottom w:val="single" w:sz="4" w:space="0" w:color="auto"/>
            </w:tcBorders>
            <w:shd w:val="clear" w:color="auto" w:fill="auto"/>
            <w:vAlign w:val="center"/>
          </w:tcPr>
          <w:p w14:paraId="4B6208EE" w14:textId="77777777" w:rsidR="00DC5685" w:rsidRPr="00A34F10" w:rsidRDefault="00DC5685" w:rsidP="008E1E5E">
            <w:pPr>
              <w:keepNext/>
              <w:jc w:val="center"/>
              <w:rPr>
                <w:sz w:val="20"/>
                <w:szCs w:val="20"/>
                <w:lang w:val="en-GB"/>
              </w:rPr>
            </w:pPr>
            <w:r w:rsidRPr="00A34F10">
              <w:rPr>
                <w:sz w:val="20"/>
                <w:szCs w:val="20"/>
                <w:lang w:val="en-GB"/>
              </w:rPr>
              <w:t>Small omnivorous bird “lark”</w:t>
            </w:r>
          </w:p>
        </w:tc>
        <w:tc>
          <w:tcPr>
            <w:tcW w:w="388" w:type="pct"/>
            <w:vMerge/>
            <w:tcBorders>
              <w:bottom w:val="single" w:sz="4" w:space="0" w:color="auto"/>
            </w:tcBorders>
            <w:shd w:val="clear" w:color="auto" w:fill="auto"/>
            <w:vAlign w:val="center"/>
          </w:tcPr>
          <w:p w14:paraId="0AFD5D9E" w14:textId="77777777" w:rsidR="00DC5685" w:rsidRPr="00A34F10" w:rsidRDefault="00DC5685" w:rsidP="008E1E5E">
            <w:pPr>
              <w:keepNext/>
              <w:jc w:val="center"/>
              <w:rPr>
                <w:sz w:val="20"/>
                <w:szCs w:val="20"/>
                <w:lang w:val="en-GB"/>
              </w:rPr>
            </w:pPr>
          </w:p>
        </w:tc>
        <w:tc>
          <w:tcPr>
            <w:tcW w:w="530" w:type="pct"/>
            <w:tcBorders>
              <w:bottom w:val="single" w:sz="4" w:space="0" w:color="auto"/>
            </w:tcBorders>
            <w:shd w:val="clear" w:color="auto" w:fill="auto"/>
            <w:vAlign w:val="center"/>
          </w:tcPr>
          <w:p w14:paraId="34FD30FE" w14:textId="77777777" w:rsidR="00DC5685" w:rsidRPr="00A34F10" w:rsidRDefault="00DC5685" w:rsidP="008E1E5E">
            <w:pPr>
              <w:keepNext/>
              <w:jc w:val="center"/>
              <w:rPr>
                <w:sz w:val="20"/>
                <w:szCs w:val="20"/>
                <w:lang w:val="en-GB"/>
              </w:rPr>
            </w:pPr>
            <w:r w:rsidRPr="00A34F10">
              <w:rPr>
                <w:sz w:val="20"/>
                <w:szCs w:val="20"/>
              </w:rPr>
              <w:t>10.9</w:t>
            </w:r>
          </w:p>
        </w:tc>
        <w:tc>
          <w:tcPr>
            <w:tcW w:w="423" w:type="pct"/>
            <w:vMerge/>
            <w:tcBorders>
              <w:bottom w:val="single" w:sz="4" w:space="0" w:color="auto"/>
            </w:tcBorders>
            <w:shd w:val="clear" w:color="auto" w:fill="auto"/>
            <w:vAlign w:val="center"/>
          </w:tcPr>
          <w:p w14:paraId="704D5BC2" w14:textId="77777777" w:rsidR="00DC5685" w:rsidRPr="00A34F10" w:rsidRDefault="00DC5685" w:rsidP="008E1E5E">
            <w:pPr>
              <w:keepNext/>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62C6195C" w14:textId="77777777" w:rsidR="00DC5685" w:rsidRPr="00A34F10" w:rsidRDefault="00DC5685" w:rsidP="008E1E5E">
            <w:pPr>
              <w:keepNext/>
              <w:jc w:val="center"/>
              <w:rPr>
                <w:sz w:val="20"/>
                <w:szCs w:val="20"/>
                <w:lang w:val="en-GB"/>
              </w:rPr>
            </w:pPr>
            <w:r w:rsidRPr="00A34F10">
              <w:rPr>
                <w:sz w:val="20"/>
                <w:szCs w:val="20"/>
              </w:rPr>
              <w:t>10.59</w:t>
            </w:r>
          </w:p>
        </w:tc>
        <w:tc>
          <w:tcPr>
            <w:tcW w:w="502" w:type="pct"/>
            <w:tcBorders>
              <w:top w:val="nil"/>
              <w:left w:val="nil"/>
              <w:bottom w:val="single" w:sz="4" w:space="0" w:color="auto"/>
              <w:right w:val="single" w:sz="4" w:space="0" w:color="auto"/>
            </w:tcBorders>
            <w:shd w:val="clear" w:color="auto" w:fill="auto"/>
            <w:vAlign w:val="center"/>
          </w:tcPr>
          <w:p w14:paraId="64C7D03C" w14:textId="77777777" w:rsidR="00DC5685" w:rsidRPr="00A34F10" w:rsidRDefault="00DC5685" w:rsidP="008E1E5E">
            <w:pPr>
              <w:keepNext/>
              <w:jc w:val="center"/>
              <w:rPr>
                <w:sz w:val="20"/>
                <w:szCs w:val="20"/>
                <w:lang w:val="en-GB"/>
              </w:rPr>
            </w:pPr>
            <w:r w:rsidRPr="00A34F10">
              <w:rPr>
                <w:sz w:val="20"/>
                <w:szCs w:val="20"/>
              </w:rPr>
              <w:t>10.1</w:t>
            </w:r>
          </w:p>
        </w:tc>
      </w:tr>
      <w:tr w:rsidR="00DC5685" w:rsidRPr="00A34F10" w14:paraId="5DD8D518" w14:textId="77777777" w:rsidTr="00B37D11">
        <w:trPr>
          <w:cantSplit/>
        </w:trPr>
        <w:tc>
          <w:tcPr>
            <w:tcW w:w="907" w:type="pct"/>
            <w:tcBorders>
              <w:top w:val="single" w:sz="4" w:space="0" w:color="auto"/>
              <w:bottom w:val="single" w:sz="4" w:space="0" w:color="auto"/>
            </w:tcBorders>
            <w:shd w:val="clear" w:color="auto" w:fill="auto"/>
            <w:vAlign w:val="center"/>
          </w:tcPr>
          <w:p w14:paraId="0AAF0D7F" w14:textId="77777777" w:rsidR="00DC5685" w:rsidRPr="00A34F10" w:rsidRDefault="00DC5685" w:rsidP="008E1E5E">
            <w:pPr>
              <w:keepNext/>
              <w:jc w:val="center"/>
              <w:rPr>
                <w:sz w:val="20"/>
                <w:szCs w:val="20"/>
                <w:lang w:val="en-GB"/>
              </w:rPr>
            </w:pPr>
            <w:r w:rsidRPr="00A34F10">
              <w:rPr>
                <w:sz w:val="20"/>
                <w:szCs w:val="20"/>
              </w:rPr>
              <w:t>BBCH ≥50</w:t>
            </w:r>
          </w:p>
        </w:tc>
        <w:tc>
          <w:tcPr>
            <w:tcW w:w="1579" w:type="pct"/>
            <w:tcBorders>
              <w:top w:val="single" w:sz="4" w:space="0" w:color="auto"/>
              <w:bottom w:val="single" w:sz="4" w:space="0" w:color="auto"/>
            </w:tcBorders>
            <w:shd w:val="clear" w:color="auto" w:fill="auto"/>
            <w:vAlign w:val="center"/>
          </w:tcPr>
          <w:p w14:paraId="78A56DCA" w14:textId="77777777" w:rsidR="00DC5685" w:rsidRPr="00A34F10" w:rsidRDefault="00DC5685" w:rsidP="008E1E5E">
            <w:pPr>
              <w:keepNext/>
              <w:jc w:val="center"/>
              <w:rPr>
                <w:sz w:val="20"/>
                <w:szCs w:val="20"/>
                <w:lang w:val="en-GB"/>
              </w:rPr>
            </w:pPr>
            <w:r w:rsidRPr="00A34F10">
              <w:rPr>
                <w:sz w:val="20"/>
                <w:szCs w:val="20"/>
                <w:lang w:val="en-GB"/>
              </w:rPr>
              <w:t>Small omnivorous bird “lark”</w:t>
            </w:r>
          </w:p>
        </w:tc>
        <w:tc>
          <w:tcPr>
            <w:tcW w:w="388" w:type="pct"/>
            <w:vMerge/>
            <w:tcBorders>
              <w:top w:val="single" w:sz="4" w:space="0" w:color="auto"/>
              <w:bottom w:val="single" w:sz="4" w:space="0" w:color="auto"/>
            </w:tcBorders>
            <w:shd w:val="clear" w:color="auto" w:fill="auto"/>
            <w:vAlign w:val="center"/>
          </w:tcPr>
          <w:p w14:paraId="7D71E879" w14:textId="77777777" w:rsidR="00DC5685" w:rsidRPr="00A34F10" w:rsidRDefault="00DC5685" w:rsidP="008E1E5E">
            <w:pPr>
              <w:keepNext/>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15F0612C" w14:textId="77777777" w:rsidR="00DC5685" w:rsidRPr="00A34F10" w:rsidRDefault="00DC5685" w:rsidP="008E1E5E">
            <w:pPr>
              <w:keepNext/>
              <w:jc w:val="center"/>
              <w:rPr>
                <w:sz w:val="20"/>
                <w:szCs w:val="20"/>
                <w:lang w:val="en-GB"/>
              </w:rPr>
            </w:pPr>
            <w:r w:rsidRPr="00A34F10">
              <w:rPr>
                <w:sz w:val="20"/>
                <w:szCs w:val="20"/>
              </w:rPr>
              <w:t>3.3</w:t>
            </w:r>
          </w:p>
        </w:tc>
        <w:tc>
          <w:tcPr>
            <w:tcW w:w="423" w:type="pct"/>
            <w:vMerge/>
            <w:tcBorders>
              <w:top w:val="single" w:sz="4" w:space="0" w:color="auto"/>
              <w:bottom w:val="single" w:sz="4" w:space="0" w:color="auto"/>
            </w:tcBorders>
            <w:shd w:val="clear" w:color="auto" w:fill="auto"/>
            <w:vAlign w:val="center"/>
          </w:tcPr>
          <w:p w14:paraId="41CC8829" w14:textId="77777777" w:rsidR="00DC5685" w:rsidRPr="00A34F10" w:rsidRDefault="00DC5685" w:rsidP="008E1E5E">
            <w:pPr>
              <w:keepNext/>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E90690E" w14:textId="77777777" w:rsidR="00DC5685" w:rsidRPr="00A34F10" w:rsidRDefault="00DC5685" w:rsidP="008E1E5E">
            <w:pPr>
              <w:keepNext/>
              <w:jc w:val="center"/>
              <w:rPr>
                <w:sz w:val="20"/>
                <w:szCs w:val="20"/>
                <w:lang w:val="en-GB"/>
              </w:rPr>
            </w:pPr>
            <w:r w:rsidRPr="00A34F10">
              <w:rPr>
                <w:sz w:val="20"/>
                <w:szCs w:val="20"/>
              </w:rPr>
              <w:t>3.21</w:t>
            </w:r>
          </w:p>
        </w:tc>
        <w:tc>
          <w:tcPr>
            <w:tcW w:w="502" w:type="pct"/>
            <w:tcBorders>
              <w:top w:val="single" w:sz="4" w:space="0" w:color="auto"/>
              <w:left w:val="nil"/>
              <w:bottom w:val="single" w:sz="4" w:space="0" w:color="auto"/>
              <w:right w:val="single" w:sz="4" w:space="0" w:color="auto"/>
            </w:tcBorders>
            <w:shd w:val="clear" w:color="auto" w:fill="auto"/>
            <w:vAlign w:val="center"/>
          </w:tcPr>
          <w:p w14:paraId="651B27F5" w14:textId="77777777" w:rsidR="00DC5685" w:rsidRPr="00A34F10" w:rsidRDefault="00DC5685" w:rsidP="008E1E5E">
            <w:pPr>
              <w:keepNext/>
              <w:jc w:val="center"/>
              <w:rPr>
                <w:sz w:val="20"/>
                <w:szCs w:val="20"/>
                <w:lang w:val="en-GB"/>
              </w:rPr>
            </w:pPr>
            <w:r w:rsidRPr="00A34F10">
              <w:rPr>
                <w:sz w:val="20"/>
                <w:szCs w:val="20"/>
              </w:rPr>
              <w:t>33.4</w:t>
            </w:r>
          </w:p>
        </w:tc>
      </w:tr>
      <w:tr w:rsidR="00DC5685" w:rsidRPr="00A34F10" w14:paraId="5A39A923" w14:textId="77777777" w:rsidTr="00B37D11">
        <w:trPr>
          <w:cantSplit/>
        </w:trPr>
        <w:tc>
          <w:tcPr>
            <w:tcW w:w="907" w:type="pct"/>
            <w:tcBorders>
              <w:bottom w:val="single" w:sz="4" w:space="0" w:color="auto"/>
            </w:tcBorders>
            <w:shd w:val="clear" w:color="auto" w:fill="auto"/>
            <w:vAlign w:val="center"/>
          </w:tcPr>
          <w:p w14:paraId="6273D38E" w14:textId="77777777" w:rsidR="00DC5685" w:rsidRPr="00A34F10" w:rsidRDefault="00DC5685" w:rsidP="000470C3">
            <w:pPr>
              <w:jc w:val="center"/>
              <w:rPr>
                <w:sz w:val="20"/>
                <w:szCs w:val="20"/>
                <w:lang w:val="en-GB"/>
              </w:rPr>
            </w:pPr>
            <w:r w:rsidRPr="00A34F10">
              <w:rPr>
                <w:sz w:val="20"/>
                <w:szCs w:val="20"/>
              </w:rPr>
              <w:t>BBCH 71-89</w:t>
            </w:r>
          </w:p>
        </w:tc>
        <w:tc>
          <w:tcPr>
            <w:tcW w:w="1579" w:type="pct"/>
            <w:tcBorders>
              <w:bottom w:val="single" w:sz="4" w:space="0" w:color="auto"/>
            </w:tcBorders>
            <w:shd w:val="clear" w:color="auto" w:fill="auto"/>
            <w:vAlign w:val="center"/>
          </w:tcPr>
          <w:p w14:paraId="1087E6A0" w14:textId="77777777" w:rsidR="00DC5685" w:rsidRPr="00A34F10" w:rsidRDefault="00DC5685" w:rsidP="000470C3">
            <w:pPr>
              <w:jc w:val="center"/>
              <w:rPr>
                <w:sz w:val="20"/>
                <w:szCs w:val="20"/>
                <w:lang w:val="en-GB"/>
              </w:rPr>
            </w:pPr>
            <w:r w:rsidRPr="00A34F10">
              <w:rPr>
                <w:sz w:val="20"/>
                <w:szCs w:val="20"/>
                <w:lang w:val="en-GB"/>
              </w:rPr>
              <w:t>Frugivorous “starling”</w:t>
            </w:r>
          </w:p>
        </w:tc>
        <w:tc>
          <w:tcPr>
            <w:tcW w:w="388" w:type="pct"/>
            <w:vMerge/>
            <w:tcBorders>
              <w:bottom w:val="single" w:sz="4" w:space="0" w:color="auto"/>
            </w:tcBorders>
            <w:shd w:val="clear" w:color="auto" w:fill="auto"/>
            <w:vAlign w:val="center"/>
          </w:tcPr>
          <w:p w14:paraId="48A73B27"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52951564" w14:textId="77777777" w:rsidR="00DC5685" w:rsidRPr="00A34F10" w:rsidRDefault="00DC5685" w:rsidP="000470C3">
            <w:pPr>
              <w:jc w:val="center"/>
              <w:rPr>
                <w:sz w:val="20"/>
                <w:szCs w:val="20"/>
                <w:lang w:val="en-GB"/>
              </w:rPr>
            </w:pPr>
            <w:r w:rsidRPr="00A34F10">
              <w:rPr>
                <w:sz w:val="20"/>
                <w:szCs w:val="20"/>
              </w:rPr>
              <w:t>20.7</w:t>
            </w:r>
          </w:p>
        </w:tc>
        <w:tc>
          <w:tcPr>
            <w:tcW w:w="423" w:type="pct"/>
            <w:vMerge/>
            <w:tcBorders>
              <w:bottom w:val="single" w:sz="4" w:space="0" w:color="auto"/>
            </w:tcBorders>
            <w:shd w:val="clear" w:color="auto" w:fill="auto"/>
            <w:vAlign w:val="center"/>
          </w:tcPr>
          <w:p w14:paraId="3C628F72"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C25D465" w14:textId="77777777" w:rsidR="00DC5685" w:rsidRPr="00A34F10" w:rsidRDefault="00DC5685" w:rsidP="000470C3">
            <w:pPr>
              <w:jc w:val="center"/>
              <w:rPr>
                <w:sz w:val="20"/>
                <w:szCs w:val="20"/>
                <w:lang w:val="en-GB"/>
              </w:rPr>
            </w:pPr>
            <w:r w:rsidRPr="00A34F10">
              <w:rPr>
                <w:sz w:val="20"/>
                <w:szCs w:val="20"/>
              </w:rPr>
              <w:t>20.12</w:t>
            </w:r>
          </w:p>
        </w:tc>
        <w:tc>
          <w:tcPr>
            <w:tcW w:w="502" w:type="pct"/>
            <w:tcBorders>
              <w:top w:val="single" w:sz="4" w:space="0" w:color="auto"/>
              <w:left w:val="nil"/>
              <w:bottom w:val="single" w:sz="4" w:space="0" w:color="auto"/>
              <w:right w:val="single" w:sz="4" w:space="0" w:color="auto"/>
            </w:tcBorders>
            <w:shd w:val="clear" w:color="auto" w:fill="auto"/>
            <w:vAlign w:val="center"/>
          </w:tcPr>
          <w:p w14:paraId="4251E136" w14:textId="77777777" w:rsidR="00DC5685" w:rsidRPr="00A34F10" w:rsidRDefault="00DC5685" w:rsidP="000470C3">
            <w:pPr>
              <w:jc w:val="center"/>
              <w:rPr>
                <w:sz w:val="20"/>
                <w:szCs w:val="20"/>
                <w:lang w:val="en-GB"/>
              </w:rPr>
            </w:pPr>
            <w:r w:rsidRPr="00A34F10">
              <w:rPr>
                <w:sz w:val="20"/>
                <w:szCs w:val="20"/>
              </w:rPr>
              <w:t>5.3</w:t>
            </w:r>
          </w:p>
        </w:tc>
      </w:tr>
      <w:tr w:rsidR="00DC5685" w:rsidRPr="00A34F10" w14:paraId="7839FE2C" w14:textId="77777777" w:rsidTr="00B37D11">
        <w:trPr>
          <w:cantSplit/>
        </w:trPr>
        <w:tc>
          <w:tcPr>
            <w:tcW w:w="907" w:type="pct"/>
            <w:tcBorders>
              <w:top w:val="single" w:sz="4" w:space="0" w:color="auto"/>
              <w:bottom w:val="single" w:sz="4" w:space="0" w:color="auto"/>
            </w:tcBorders>
            <w:shd w:val="clear" w:color="auto" w:fill="auto"/>
            <w:vAlign w:val="center"/>
          </w:tcPr>
          <w:p w14:paraId="711A795B" w14:textId="77777777" w:rsidR="00DC5685" w:rsidRPr="00B37D11" w:rsidRDefault="00DC5685" w:rsidP="000470C3">
            <w:pPr>
              <w:jc w:val="center"/>
              <w:rPr>
                <w:strike/>
                <w:sz w:val="20"/>
                <w:szCs w:val="20"/>
                <w:highlight w:val="green"/>
                <w:lang w:val="en-GB"/>
              </w:rPr>
            </w:pPr>
            <w:r w:rsidRPr="00B37D11">
              <w:rPr>
                <w:strike/>
                <w:sz w:val="20"/>
                <w:szCs w:val="20"/>
                <w:highlight w:val="green"/>
              </w:rPr>
              <w:t>BBCH 10-19</w:t>
            </w:r>
          </w:p>
        </w:tc>
        <w:tc>
          <w:tcPr>
            <w:tcW w:w="1579" w:type="pct"/>
            <w:tcBorders>
              <w:top w:val="single" w:sz="4" w:space="0" w:color="auto"/>
              <w:bottom w:val="single" w:sz="4" w:space="0" w:color="auto"/>
            </w:tcBorders>
            <w:shd w:val="clear" w:color="auto" w:fill="auto"/>
            <w:vAlign w:val="center"/>
          </w:tcPr>
          <w:p w14:paraId="1FAE8981" w14:textId="77777777" w:rsidR="00DC5685" w:rsidRPr="00B37D11" w:rsidRDefault="00DC5685" w:rsidP="000470C3">
            <w:pPr>
              <w:jc w:val="center"/>
              <w:rPr>
                <w:sz w:val="20"/>
                <w:szCs w:val="20"/>
                <w:highlight w:val="green"/>
                <w:lang w:val="en-GB"/>
              </w:rPr>
            </w:pPr>
            <w:r w:rsidRPr="00B37D11">
              <w:rPr>
                <w:strike/>
                <w:sz w:val="20"/>
                <w:szCs w:val="20"/>
                <w:highlight w:val="green"/>
                <w:lang w:val="en-GB"/>
              </w:rPr>
              <w:t>Small insectivorous bird “wagtail</w:t>
            </w:r>
            <w:r w:rsidRPr="00B37D11">
              <w:rPr>
                <w:sz w:val="20"/>
                <w:szCs w:val="20"/>
                <w:highlight w:val="green"/>
                <w:lang w:val="en-GB"/>
              </w:rPr>
              <w:t>”</w:t>
            </w:r>
          </w:p>
        </w:tc>
        <w:tc>
          <w:tcPr>
            <w:tcW w:w="388" w:type="pct"/>
            <w:vMerge/>
            <w:tcBorders>
              <w:top w:val="single" w:sz="4" w:space="0" w:color="auto"/>
              <w:bottom w:val="single" w:sz="4" w:space="0" w:color="auto"/>
            </w:tcBorders>
            <w:shd w:val="clear" w:color="auto" w:fill="auto"/>
            <w:vAlign w:val="center"/>
          </w:tcPr>
          <w:p w14:paraId="05DDCDA5" w14:textId="77777777" w:rsidR="00DC5685" w:rsidRPr="00A34F10" w:rsidRDefault="00DC5685" w:rsidP="000470C3">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2926D3C3" w14:textId="77777777" w:rsidR="00DC5685" w:rsidRPr="00B37D11" w:rsidRDefault="00DC5685" w:rsidP="000470C3">
            <w:pPr>
              <w:jc w:val="center"/>
              <w:rPr>
                <w:strike/>
                <w:sz w:val="20"/>
                <w:szCs w:val="20"/>
                <w:lang w:val="en-GB"/>
              </w:rPr>
            </w:pPr>
            <w:r w:rsidRPr="00B37D11">
              <w:rPr>
                <w:strike/>
                <w:sz w:val="20"/>
                <w:szCs w:val="20"/>
                <w:highlight w:val="green"/>
              </w:rPr>
              <w:t>11.3</w:t>
            </w:r>
          </w:p>
        </w:tc>
        <w:tc>
          <w:tcPr>
            <w:tcW w:w="423" w:type="pct"/>
            <w:vMerge/>
            <w:tcBorders>
              <w:top w:val="single" w:sz="4" w:space="0" w:color="auto"/>
              <w:bottom w:val="single" w:sz="4" w:space="0" w:color="auto"/>
            </w:tcBorders>
            <w:shd w:val="clear" w:color="auto" w:fill="auto"/>
            <w:vAlign w:val="center"/>
          </w:tcPr>
          <w:p w14:paraId="5196A8BF" w14:textId="77777777" w:rsidR="00DC5685" w:rsidRPr="00A34F10" w:rsidRDefault="00DC5685" w:rsidP="000470C3">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BD4771D" w14:textId="77777777" w:rsidR="00DC5685" w:rsidRPr="00B37D11" w:rsidRDefault="00DC5685" w:rsidP="000470C3">
            <w:pPr>
              <w:jc w:val="center"/>
              <w:rPr>
                <w:strike/>
                <w:sz w:val="20"/>
                <w:szCs w:val="20"/>
                <w:highlight w:val="green"/>
                <w:lang w:val="en-GB"/>
              </w:rPr>
            </w:pPr>
            <w:r w:rsidRPr="00B37D11">
              <w:rPr>
                <w:strike/>
                <w:sz w:val="20"/>
                <w:szCs w:val="20"/>
                <w:highlight w:val="green"/>
              </w:rPr>
              <w:t>10.98</w:t>
            </w:r>
          </w:p>
        </w:tc>
        <w:tc>
          <w:tcPr>
            <w:tcW w:w="502" w:type="pct"/>
            <w:tcBorders>
              <w:top w:val="single" w:sz="4" w:space="0" w:color="auto"/>
              <w:left w:val="nil"/>
              <w:bottom w:val="single" w:sz="4" w:space="0" w:color="auto"/>
              <w:right w:val="single" w:sz="4" w:space="0" w:color="auto"/>
            </w:tcBorders>
            <w:shd w:val="clear" w:color="auto" w:fill="auto"/>
            <w:vAlign w:val="center"/>
          </w:tcPr>
          <w:p w14:paraId="40EA5134" w14:textId="77777777" w:rsidR="00DC5685" w:rsidRPr="00B37D11" w:rsidRDefault="00DC5685" w:rsidP="000470C3">
            <w:pPr>
              <w:jc w:val="center"/>
              <w:rPr>
                <w:strike/>
                <w:sz w:val="20"/>
                <w:szCs w:val="20"/>
                <w:highlight w:val="green"/>
                <w:lang w:val="en-GB"/>
              </w:rPr>
            </w:pPr>
            <w:r w:rsidRPr="00B37D11">
              <w:rPr>
                <w:strike/>
                <w:sz w:val="20"/>
                <w:szCs w:val="20"/>
                <w:highlight w:val="green"/>
              </w:rPr>
              <w:t>9.7</w:t>
            </w:r>
          </w:p>
        </w:tc>
      </w:tr>
      <w:tr w:rsidR="00DC5685" w:rsidRPr="00A34F10" w14:paraId="5973FDBB" w14:textId="77777777" w:rsidTr="00B37D11">
        <w:trPr>
          <w:cantSplit/>
        </w:trPr>
        <w:tc>
          <w:tcPr>
            <w:tcW w:w="907" w:type="pct"/>
            <w:tcBorders>
              <w:bottom w:val="single" w:sz="4" w:space="0" w:color="auto"/>
            </w:tcBorders>
            <w:shd w:val="clear" w:color="auto" w:fill="auto"/>
            <w:vAlign w:val="center"/>
          </w:tcPr>
          <w:p w14:paraId="63D8C65C" w14:textId="77777777" w:rsidR="00DC5685" w:rsidRPr="00A34F10" w:rsidRDefault="00DC5685" w:rsidP="000470C3">
            <w:pPr>
              <w:jc w:val="center"/>
              <w:rPr>
                <w:sz w:val="20"/>
                <w:szCs w:val="20"/>
                <w:lang w:val="en-GB"/>
              </w:rPr>
            </w:pPr>
            <w:r w:rsidRPr="00A34F10">
              <w:rPr>
                <w:sz w:val="20"/>
                <w:szCs w:val="20"/>
              </w:rPr>
              <w:t>BBCH ≥20</w:t>
            </w:r>
          </w:p>
        </w:tc>
        <w:tc>
          <w:tcPr>
            <w:tcW w:w="1579" w:type="pct"/>
            <w:tcBorders>
              <w:bottom w:val="single" w:sz="4" w:space="0" w:color="auto"/>
            </w:tcBorders>
            <w:shd w:val="clear" w:color="auto" w:fill="auto"/>
            <w:vAlign w:val="center"/>
          </w:tcPr>
          <w:p w14:paraId="0E3E9250" w14:textId="77777777" w:rsidR="00DC5685" w:rsidRPr="00A34F10" w:rsidRDefault="00DC5685" w:rsidP="000470C3">
            <w:pPr>
              <w:jc w:val="center"/>
              <w:rPr>
                <w:sz w:val="20"/>
                <w:szCs w:val="20"/>
                <w:lang w:val="en-GB"/>
              </w:rPr>
            </w:pPr>
            <w:r w:rsidRPr="00A34F10">
              <w:rPr>
                <w:sz w:val="20"/>
                <w:szCs w:val="20"/>
                <w:lang w:val="en-GB"/>
              </w:rPr>
              <w:t>Small insectivorous bird “wagtail”</w:t>
            </w:r>
          </w:p>
        </w:tc>
        <w:tc>
          <w:tcPr>
            <w:tcW w:w="388" w:type="pct"/>
            <w:vMerge/>
            <w:tcBorders>
              <w:bottom w:val="single" w:sz="4" w:space="0" w:color="auto"/>
            </w:tcBorders>
            <w:shd w:val="clear" w:color="auto" w:fill="auto"/>
            <w:vAlign w:val="center"/>
          </w:tcPr>
          <w:p w14:paraId="117FC734"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6E09DBF2" w14:textId="77777777" w:rsidR="00DC5685" w:rsidRPr="00A34F10" w:rsidRDefault="00DC5685" w:rsidP="000470C3">
            <w:pPr>
              <w:jc w:val="center"/>
              <w:rPr>
                <w:sz w:val="20"/>
                <w:szCs w:val="20"/>
                <w:lang w:val="en-GB"/>
              </w:rPr>
            </w:pPr>
            <w:r w:rsidRPr="00A34F10">
              <w:rPr>
                <w:sz w:val="20"/>
                <w:szCs w:val="20"/>
              </w:rPr>
              <w:t>9.7</w:t>
            </w:r>
          </w:p>
        </w:tc>
        <w:tc>
          <w:tcPr>
            <w:tcW w:w="423" w:type="pct"/>
            <w:vMerge/>
            <w:tcBorders>
              <w:bottom w:val="single" w:sz="4" w:space="0" w:color="auto"/>
            </w:tcBorders>
            <w:shd w:val="clear" w:color="auto" w:fill="auto"/>
            <w:vAlign w:val="center"/>
          </w:tcPr>
          <w:p w14:paraId="0B47CCC0"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5C86A2B6" w14:textId="77777777" w:rsidR="00DC5685" w:rsidRPr="00A34F10" w:rsidRDefault="00DC5685" w:rsidP="000470C3">
            <w:pPr>
              <w:jc w:val="center"/>
              <w:rPr>
                <w:sz w:val="20"/>
                <w:szCs w:val="20"/>
                <w:lang w:val="en-GB"/>
              </w:rPr>
            </w:pPr>
            <w:r w:rsidRPr="00A34F10">
              <w:rPr>
                <w:sz w:val="20"/>
                <w:szCs w:val="20"/>
              </w:rPr>
              <w:t>9.43</w:t>
            </w:r>
          </w:p>
        </w:tc>
        <w:tc>
          <w:tcPr>
            <w:tcW w:w="502" w:type="pct"/>
            <w:tcBorders>
              <w:top w:val="nil"/>
              <w:left w:val="nil"/>
              <w:bottom w:val="single" w:sz="4" w:space="0" w:color="auto"/>
              <w:right w:val="single" w:sz="4" w:space="0" w:color="auto"/>
            </w:tcBorders>
            <w:shd w:val="clear" w:color="auto" w:fill="auto"/>
            <w:vAlign w:val="center"/>
          </w:tcPr>
          <w:p w14:paraId="341D0C77" w14:textId="77777777" w:rsidR="00DC5685" w:rsidRPr="00A34F10" w:rsidRDefault="00DC5685" w:rsidP="000470C3">
            <w:pPr>
              <w:jc w:val="center"/>
              <w:rPr>
                <w:sz w:val="20"/>
                <w:szCs w:val="20"/>
                <w:lang w:val="en-GB"/>
              </w:rPr>
            </w:pPr>
            <w:r w:rsidRPr="00A34F10">
              <w:rPr>
                <w:sz w:val="20"/>
                <w:szCs w:val="20"/>
              </w:rPr>
              <w:t>11.4</w:t>
            </w:r>
          </w:p>
        </w:tc>
      </w:tr>
      <w:tr w:rsidR="00DC5685" w:rsidRPr="002D6076" w14:paraId="2D95E778" w14:textId="77777777" w:rsidTr="000470C3">
        <w:trPr>
          <w:cantSplit/>
        </w:trPr>
        <w:tc>
          <w:tcPr>
            <w:tcW w:w="5000" w:type="pct"/>
            <w:gridSpan w:val="7"/>
            <w:tcBorders>
              <w:top w:val="single" w:sz="12" w:space="0" w:color="auto"/>
              <w:bottom w:val="single" w:sz="12" w:space="0" w:color="auto"/>
            </w:tcBorders>
            <w:shd w:val="clear" w:color="auto" w:fill="auto"/>
            <w:vAlign w:val="center"/>
          </w:tcPr>
          <w:p w14:paraId="51D9DA3B" w14:textId="77777777" w:rsidR="00DC5685" w:rsidRPr="001D51C3" w:rsidRDefault="00DC5685" w:rsidP="000470C3">
            <w:pPr>
              <w:jc w:val="center"/>
              <w:rPr>
                <w:sz w:val="20"/>
                <w:szCs w:val="20"/>
                <w:highlight w:val="yellow"/>
                <w:lang w:val="es-ES"/>
              </w:rPr>
            </w:pPr>
            <w:r w:rsidRPr="001D51C3">
              <w:rPr>
                <w:b/>
                <w:sz w:val="20"/>
                <w:szCs w:val="20"/>
                <w:lang w:val="es-ES"/>
              </w:rPr>
              <w:t>Ornamentals (2 x 0.902 kg a.s./ha, BBCH 12 - 59)</w:t>
            </w:r>
          </w:p>
        </w:tc>
      </w:tr>
      <w:tr w:rsidR="00DC5685" w:rsidRPr="00A34F10" w14:paraId="2B204B09" w14:textId="77777777" w:rsidTr="00B37D11">
        <w:trPr>
          <w:cantSplit/>
        </w:trPr>
        <w:tc>
          <w:tcPr>
            <w:tcW w:w="907" w:type="pct"/>
            <w:tcBorders>
              <w:bottom w:val="single" w:sz="4" w:space="0" w:color="auto"/>
            </w:tcBorders>
            <w:shd w:val="clear" w:color="auto" w:fill="auto"/>
          </w:tcPr>
          <w:p w14:paraId="6ADDBEDB" w14:textId="77777777" w:rsidR="00DC5685" w:rsidRPr="00A34F10" w:rsidRDefault="00DC5685" w:rsidP="000470C3">
            <w:pPr>
              <w:jc w:val="center"/>
              <w:rPr>
                <w:sz w:val="20"/>
                <w:szCs w:val="20"/>
                <w:lang w:val="en-GB"/>
              </w:rPr>
            </w:pPr>
            <w:r w:rsidRPr="00A34F10">
              <w:rPr>
                <w:sz w:val="20"/>
                <w:szCs w:val="20"/>
              </w:rPr>
              <w:t>Application to plant</w:t>
            </w:r>
          </w:p>
        </w:tc>
        <w:tc>
          <w:tcPr>
            <w:tcW w:w="1579" w:type="pct"/>
            <w:tcBorders>
              <w:bottom w:val="single" w:sz="4" w:space="0" w:color="auto"/>
            </w:tcBorders>
            <w:shd w:val="clear" w:color="auto" w:fill="auto"/>
            <w:vAlign w:val="center"/>
          </w:tcPr>
          <w:p w14:paraId="57EFD6B6" w14:textId="77777777" w:rsidR="00DC5685" w:rsidRPr="00A34F10" w:rsidRDefault="00DC5685" w:rsidP="000470C3">
            <w:pPr>
              <w:jc w:val="center"/>
              <w:rPr>
                <w:sz w:val="20"/>
                <w:szCs w:val="20"/>
                <w:lang w:val="en-GB"/>
              </w:rPr>
            </w:pPr>
            <w:r w:rsidRPr="00A34F10">
              <w:rPr>
                <w:sz w:val="20"/>
                <w:szCs w:val="20"/>
                <w:lang w:val="en-GB"/>
              </w:rPr>
              <w:t>Small insectivorous bird “tit”</w:t>
            </w:r>
          </w:p>
        </w:tc>
        <w:tc>
          <w:tcPr>
            <w:tcW w:w="388" w:type="pct"/>
            <w:vMerge w:val="restart"/>
            <w:tcBorders>
              <w:bottom w:val="single" w:sz="4" w:space="0" w:color="auto"/>
            </w:tcBorders>
            <w:shd w:val="clear" w:color="auto" w:fill="auto"/>
            <w:vAlign w:val="center"/>
          </w:tcPr>
          <w:p w14:paraId="270CE766" w14:textId="6C97C8C4" w:rsidR="00DC5685" w:rsidRPr="00A34F10" w:rsidRDefault="00DC5685" w:rsidP="000470C3">
            <w:pPr>
              <w:jc w:val="center"/>
              <w:rPr>
                <w:sz w:val="20"/>
                <w:szCs w:val="20"/>
                <w:lang w:val="en-GB"/>
              </w:rPr>
            </w:pPr>
            <w:r w:rsidRPr="00B37D11">
              <w:rPr>
                <w:strike/>
                <w:sz w:val="20"/>
                <w:szCs w:val="20"/>
                <w:highlight w:val="green"/>
                <w:lang w:val="en-GB"/>
              </w:rPr>
              <w:t>0.902</w:t>
            </w:r>
            <w:r w:rsidR="00652585">
              <w:rPr>
                <w:sz w:val="20"/>
                <w:szCs w:val="20"/>
                <w:lang w:val="en-GB"/>
              </w:rPr>
              <w:t xml:space="preserve"> </w:t>
            </w:r>
            <w:r w:rsidR="00652585" w:rsidRPr="00B37D11">
              <w:rPr>
                <w:sz w:val="20"/>
                <w:szCs w:val="20"/>
                <w:highlight w:val="green"/>
                <w:lang w:val="en-GB"/>
              </w:rPr>
              <w:t>1.142</w:t>
            </w:r>
          </w:p>
        </w:tc>
        <w:tc>
          <w:tcPr>
            <w:tcW w:w="530" w:type="pct"/>
            <w:tcBorders>
              <w:bottom w:val="single" w:sz="4" w:space="0" w:color="auto"/>
            </w:tcBorders>
            <w:shd w:val="clear" w:color="auto" w:fill="auto"/>
            <w:vAlign w:val="center"/>
          </w:tcPr>
          <w:p w14:paraId="35160162" w14:textId="77777777" w:rsidR="00DC5685" w:rsidRPr="00A34F10" w:rsidRDefault="00DC5685" w:rsidP="000470C3">
            <w:pPr>
              <w:jc w:val="center"/>
              <w:rPr>
                <w:sz w:val="20"/>
                <w:szCs w:val="20"/>
                <w:lang w:val="en-GB"/>
              </w:rPr>
            </w:pPr>
            <w:r w:rsidRPr="00A34F10">
              <w:rPr>
                <w:sz w:val="20"/>
                <w:szCs w:val="20"/>
              </w:rPr>
              <w:t>18.2</w:t>
            </w:r>
          </w:p>
        </w:tc>
        <w:tc>
          <w:tcPr>
            <w:tcW w:w="423" w:type="pct"/>
            <w:vMerge w:val="restart"/>
            <w:tcBorders>
              <w:bottom w:val="single" w:sz="4" w:space="0" w:color="auto"/>
            </w:tcBorders>
            <w:shd w:val="clear" w:color="auto" w:fill="auto"/>
            <w:vAlign w:val="center"/>
          </w:tcPr>
          <w:p w14:paraId="283FD176" w14:textId="77777777" w:rsidR="00DC5685" w:rsidRPr="00A34F10" w:rsidRDefault="00DC5685" w:rsidP="000470C3">
            <w:pPr>
              <w:jc w:val="center"/>
              <w:rPr>
                <w:sz w:val="20"/>
                <w:szCs w:val="20"/>
                <w:lang w:val="en-GB"/>
              </w:rPr>
            </w:pPr>
            <w:r w:rsidRPr="00A34F10">
              <w:rPr>
                <w:sz w:val="20"/>
                <w:szCs w:val="20"/>
                <w:lang w:val="en-GB"/>
              </w:rPr>
              <w:t>1.62 × 0.53</w:t>
            </w:r>
          </w:p>
        </w:tc>
        <w:tc>
          <w:tcPr>
            <w:tcW w:w="671" w:type="pct"/>
            <w:tcBorders>
              <w:top w:val="nil"/>
              <w:left w:val="single" w:sz="4" w:space="0" w:color="auto"/>
              <w:bottom w:val="single" w:sz="4" w:space="0" w:color="auto"/>
              <w:right w:val="single" w:sz="4" w:space="0" w:color="auto"/>
            </w:tcBorders>
            <w:shd w:val="clear" w:color="auto" w:fill="auto"/>
            <w:vAlign w:val="center"/>
          </w:tcPr>
          <w:p w14:paraId="335372EF" w14:textId="77777777" w:rsidR="00DC5685" w:rsidRPr="00A34F10" w:rsidRDefault="00DC5685" w:rsidP="000470C3">
            <w:pPr>
              <w:jc w:val="center"/>
              <w:rPr>
                <w:sz w:val="20"/>
                <w:szCs w:val="20"/>
                <w:highlight w:val="yellow"/>
                <w:lang w:val="en-GB"/>
              </w:rPr>
            </w:pPr>
            <w:r w:rsidRPr="00A34F10">
              <w:rPr>
                <w:sz w:val="20"/>
                <w:szCs w:val="20"/>
              </w:rPr>
              <w:t>17.69</w:t>
            </w:r>
          </w:p>
        </w:tc>
        <w:tc>
          <w:tcPr>
            <w:tcW w:w="502" w:type="pct"/>
            <w:tcBorders>
              <w:top w:val="nil"/>
              <w:left w:val="nil"/>
              <w:bottom w:val="single" w:sz="4" w:space="0" w:color="auto"/>
              <w:right w:val="single" w:sz="4" w:space="0" w:color="auto"/>
            </w:tcBorders>
            <w:shd w:val="clear" w:color="auto" w:fill="auto"/>
            <w:vAlign w:val="center"/>
          </w:tcPr>
          <w:p w14:paraId="236D1736" w14:textId="77777777" w:rsidR="00DC5685" w:rsidRPr="00A34F10" w:rsidRDefault="00DC5685" w:rsidP="000470C3">
            <w:pPr>
              <w:jc w:val="center"/>
              <w:rPr>
                <w:b/>
                <w:bCs/>
                <w:sz w:val="20"/>
                <w:szCs w:val="20"/>
                <w:highlight w:val="yellow"/>
                <w:lang w:val="en-GB"/>
              </w:rPr>
            </w:pPr>
            <w:r w:rsidRPr="00A34F10">
              <w:rPr>
                <w:sz w:val="20"/>
                <w:szCs w:val="20"/>
              </w:rPr>
              <w:t>6.0</w:t>
            </w:r>
          </w:p>
        </w:tc>
      </w:tr>
      <w:tr w:rsidR="00DC5685" w:rsidRPr="00A34F10" w14:paraId="3EA583EC" w14:textId="77777777" w:rsidTr="00B37D11">
        <w:trPr>
          <w:cantSplit/>
        </w:trPr>
        <w:tc>
          <w:tcPr>
            <w:tcW w:w="907" w:type="pct"/>
            <w:tcBorders>
              <w:bottom w:val="single" w:sz="4" w:space="0" w:color="auto"/>
            </w:tcBorders>
            <w:shd w:val="clear" w:color="auto" w:fill="auto"/>
          </w:tcPr>
          <w:p w14:paraId="10EB58A3" w14:textId="77777777" w:rsidR="00DC5685" w:rsidRPr="00A34F10" w:rsidRDefault="00DC5685" w:rsidP="000470C3">
            <w:pPr>
              <w:jc w:val="center"/>
              <w:rPr>
                <w:sz w:val="20"/>
                <w:szCs w:val="20"/>
                <w:lang w:val="en-GB"/>
              </w:rPr>
            </w:pPr>
            <w:r w:rsidRPr="00A34F10">
              <w:rPr>
                <w:sz w:val="20"/>
                <w:szCs w:val="20"/>
              </w:rPr>
              <w:t>Application to plant - exposure to underlying ground</w:t>
            </w:r>
          </w:p>
        </w:tc>
        <w:tc>
          <w:tcPr>
            <w:tcW w:w="1579" w:type="pct"/>
            <w:tcBorders>
              <w:bottom w:val="single" w:sz="4" w:space="0" w:color="auto"/>
            </w:tcBorders>
            <w:shd w:val="clear" w:color="auto" w:fill="auto"/>
            <w:vAlign w:val="center"/>
          </w:tcPr>
          <w:p w14:paraId="2FB419D1" w14:textId="77777777" w:rsidR="00DC5685" w:rsidRPr="00A34F10" w:rsidRDefault="00DC5685" w:rsidP="000470C3">
            <w:pPr>
              <w:jc w:val="center"/>
              <w:rPr>
                <w:sz w:val="20"/>
                <w:szCs w:val="20"/>
                <w:lang w:val="en-GB"/>
              </w:rPr>
            </w:pPr>
            <w:r w:rsidRPr="00A34F10">
              <w:rPr>
                <w:sz w:val="20"/>
                <w:szCs w:val="20"/>
                <w:lang w:val="en-GB"/>
              </w:rPr>
              <w:t>small insectivorous/worm feeding “thrush”</w:t>
            </w:r>
          </w:p>
        </w:tc>
        <w:tc>
          <w:tcPr>
            <w:tcW w:w="388" w:type="pct"/>
            <w:vMerge/>
            <w:tcBorders>
              <w:bottom w:val="single" w:sz="4" w:space="0" w:color="auto"/>
            </w:tcBorders>
            <w:shd w:val="clear" w:color="auto" w:fill="auto"/>
            <w:vAlign w:val="center"/>
          </w:tcPr>
          <w:p w14:paraId="2B4F2E09" w14:textId="77777777" w:rsidR="00DC5685" w:rsidRPr="00A34F10" w:rsidRDefault="00DC5685" w:rsidP="000470C3">
            <w:pPr>
              <w:jc w:val="center"/>
              <w:rPr>
                <w:sz w:val="20"/>
                <w:szCs w:val="20"/>
                <w:lang w:val="en-GB"/>
              </w:rPr>
            </w:pPr>
          </w:p>
        </w:tc>
        <w:tc>
          <w:tcPr>
            <w:tcW w:w="530" w:type="pct"/>
            <w:tcBorders>
              <w:bottom w:val="single" w:sz="4" w:space="0" w:color="auto"/>
            </w:tcBorders>
            <w:shd w:val="clear" w:color="auto" w:fill="auto"/>
            <w:vAlign w:val="center"/>
          </w:tcPr>
          <w:p w14:paraId="17A5D136" w14:textId="77777777" w:rsidR="00DC5685" w:rsidRPr="00A34F10" w:rsidRDefault="00DC5685" w:rsidP="000470C3">
            <w:pPr>
              <w:jc w:val="center"/>
              <w:rPr>
                <w:sz w:val="20"/>
                <w:szCs w:val="20"/>
                <w:lang w:val="en-GB"/>
              </w:rPr>
            </w:pPr>
            <w:r w:rsidRPr="00A34F10">
              <w:rPr>
                <w:sz w:val="20"/>
                <w:szCs w:val="20"/>
              </w:rPr>
              <w:t>2.7</w:t>
            </w:r>
          </w:p>
        </w:tc>
        <w:tc>
          <w:tcPr>
            <w:tcW w:w="423" w:type="pct"/>
            <w:vMerge/>
            <w:tcBorders>
              <w:bottom w:val="single" w:sz="4" w:space="0" w:color="auto"/>
            </w:tcBorders>
            <w:shd w:val="clear" w:color="auto" w:fill="auto"/>
            <w:vAlign w:val="center"/>
          </w:tcPr>
          <w:p w14:paraId="4F57B219" w14:textId="77777777" w:rsidR="00DC5685" w:rsidRPr="00A34F10" w:rsidRDefault="00DC5685" w:rsidP="000470C3">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72584CBC" w14:textId="77777777" w:rsidR="00DC5685" w:rsidRPr="00A34F10" w:rsidRDefault="00DC5685" w:rsidP="000470C3">
            <w:pPr>
              <w:jc w:val="center"/>
              <w:rPr>
                <w:sz w:val="20"/>
                <w:szCs w:val="20"/>
                <w:highlight w:val="yellow"/>
                <w:lang w:val="en-GB"/>
              </w:rPr>
            </w:pPr>
            <w:r w:rsidRPr="00A34F10">
              <w:rPr>
                <w:sz w:val="20"/>
                <w:szCs w:val="20"/>
              </w:rPr>
              <w:t>2.62</w:t>
            </w:r>
          </w:p>
        </w:tc>
        <w:tc>
          <w:tcPr>
            <w:tcW w:w="502" w:type="pct"/>
            <w:tcBorders>
              <w:top w:val="nil"/>
              <w:left w:val="nil"/>
              <w:bottom w:val="single" w:sz="4" w:space="0" w:color="auto"/>
              <w:right w:val="single" w:sz="4" w:space="0" w:color="auto"/>
            </w:tcBorders>
            <w:shd w:val="clear" w:color="auto" w:fill="auto"/>
            <w:vAlign w:val="center"/>
          </w:tcPr>
          <w:p w14:paraId="4084B877" w14:textId="77777777" w:rsidR="00DC5685" w:rsidRPr="00A34F10" w:rsidRDefault="00DC5685" w:rsidP="000470C3">
            <w:pPr>
              <w:jc w:val="center"/>
              <w:rPr>
                <w:sz w:val="20"/>
                <w:szCs w:val="20"/>
                <w:highlight w:val="yellow"/>
                <w:lang w:val="en-GB"/>
              </w:rPr>
            </w:pPr>
            <w:r w:rsidRPr="00A34F10">
              <w:rPr>
                <w:sz w:val="20"/>
                <w:szCs w:val="20"/>
              </w:rPr>
              <w:t>40.8</w:t>
            </w:r>
          </w:p>
        </w:tc>
      </w:tr>
      <w:tr w:rsidR="008E1E5E" w:rsidRPr="00A34F10" w14:paraId="6E16EB80" w14:textId="77777777" w:rsidTr="008E1E5E">
        <w:trPr>
          <w:cantSplit/>
        </w:trPr>
        <w:tc>
          <w:tcPr>
            <w:tcW w:w="5000" w:type="pct"/>
            <w:gridSpan w:val="7"/>
            <w:tcBorders>
              <w:top w:val="single" w:sz="4" w:space="0" w:color="auto"/>
              <w:bottom w:val="single" w:sz="4" w:space="0" w:color="auto"/>
              <w:right w:val="single" w:sz="4" w:space="0" w:color="auto"/>
            </w:tcBorders>
            <w:shd w:val="clear" w:color="auto" w:fill="auto"/>
          </w:tcPr>
          <w:p w14:paraId="138B9D1C" w14:textId="39A6E255" w:rsidR="008E1E5E" w:rsidRPr="00A34F10" w:rsidRDefault="008E1E5E" w:rsidP="000470C3">
            <w:pPr>
              <w:jc w:val="center"/>
              <w:rPr>
                <w:sz w:val="20"/>
                <w:szCs w:val="20"/>
              </w:rPr>
            </w:pPr>
            <w:r w:rsidRPr="00B875EA">
              <w:rPr>
                <w:b/>
                <w:sz w:val="20"/>
                <w:szCs w:val="20"/>
                <w:highlight w:val="green"/>
                <w:lang w:val="en-GB"/>
              </w:rPr>
              <w:t xml:space="preserve">Orchards (2 x </w:t>
            </w:r>
            <w:r w:rsidR="004B16F3" w:rsidRPr="004B16F3">
              <w:rPr>
                <w:b/>
                <w:sz w:val="20"/>
                <w:szCs w:val="20"/>
                <w:highlight w:val="green"/>
                <w:lang w:val="en-GB"/>
              </w:rPr>
              <w:t xml:space="preserve">∑ 0.24 + 0.902 </w:t>
            </w:r>
            <w:r w:rsidRPr="00B875EA">
              <w:rPr>
                <w:b/>
                <w:sz w:val="20"/>
                <w:szCs w:val="20"/>
                <w:highlight w:val="green"/>
                <w:lang w:val="en-GB"/>
              </w:rPr>
              <w:t>kg a.s./ha, BBCH 12 - 59)</w:t>
            </w:r>
          </w:p>
        </w:tc>
      </w:tr>
      <w:tr w:rsidR="007F2329" w:rsidRPr="00A34F10" w14:paraId="0EECBE2A" w14:textId="77777777" w:rsidTr="00B37D11">
        <w:trPr>
          <w:cantSplit/>
        </w:trPr>
        <w:tc>
          <w:tcPr>
            <w:tcW w:w="907" w:type="pct"/>
            <w:tcBorders>
              <w:top w:val="single" w:sz="4" w:space="0" w:color="auto"/>
              <w:bottom w:val="single" w:sz="4" w:space="0" w:color="auto"/>
            </w:tcBorders>
            <w:shd w:val="clear" w:color="auto" w:fill="auto"/>
            <w:vAlign w:val="center"/>
          </w:tcPr>
          <w:p w14:paraId="00556D6A" w14:textId="548D20E9" w:rsidR="007F2329" w:rsidRPr="00A34F10" w:rsidRDefault="007F2329" w:rsidP="008E1E5E">
            <w:pPr>
              <w:jc w:val="center"/>
              <w:rPr>
                <w:sz w:val="20"/>
                <w:szCs w:val="20"/>
              </w:rPr>
            </w:pPr>
            <w:r w:rsidRPr="00512D4C">
              <w:rPr>
                <w:sz w:val="20"/>
                <w:szCs w:val="20"/>
                <w:highlight w:val="green"/>
              </w:rPr>
              <w:t>Spring/Summer</w:t>
            </w:r>
          </w:p>
        </w:tc>
        <w:tc>
          <w:tcPr>
            <w:tcW w:w="1579" w:type="pct"/>
            <w:tcBorders>
              <w:top w:val="single" w:sz="4" w:space="0" w:color="auto"/>
              <w:bottom w:val="single" w:sz="4" w:space="0" w:color="auto"/>
            </w:tcBorders>
            <w:shd w:val="clear" w:color="auto" w:fill="auto"/>
            <w:vAlign w:val="center"/>
          </w:tcPr>
          <w:p w14:paraId="68531BCD" w14:textId="45347C3C" w:rsidR="007F2329" w:rsidRPr="00A34F10" w:rsidRDefault="007F2329" w:rsidP="008E1E5E">
            <w:pPr>
              <w:jc w:val="center"/>
              <w:rPr>
                <w:sz w:val="20"/>
                <w:szCs w:val="20"/>
                <w:lang w:val="en-GB"/>
              </w:rPr>
            </w:pPr>
            <w:r w:rsidRPr="00512D4C">
              <w:rPr>
                <w:sz w:val="20"/>
                <w:szCs w:val="20"/>
                <w:highlight w:val="green"/>
                <w:lang w:val="en-GB"/>
              </w:rPr>
              <w:t>Small insectivorous bird “tit”</w:t>
            </w:r>
          </w:p>
        </w:tc>
        <w:tc>
          <w:tcPr>
            <w:tcW w:w="388" w:type="pct"/>
            <w:vMerge w:val="restart"/>
            <w:tcBorders>
              <w:top w:val="single" w:sz="4" w:space="0" w:color="auto"/>
            </w:tcBorders>
            <w:shd w:val="clear" w:color="auto" w:fill="auto"/>
            <w:vAlign w:val="center"/>
          </w:tcPr>
          <w:p w14:paraId="575E6C54" w14:textId="2BCB1B9D" w:rsidR="007F2329" w:rsidRPr="00A34F10" w:rsidRDefault="007F2329" w:rsidP="008E1E5E">
            <w:pPr>
              <w:jc w:val="center"/>
              <w:rPr>
                <w:sz w:val="20"/>
                <w:szCs w:val="20"/>
                <w:lang w:val="en-GB"/>
              </w:rPr>
            </w:pPr>
            <w:r w:rsidRPr="00CB23D4">
              <w:rPr>
                <w:sz w:val="20"/>
                <w:szCs w:val="20"/>
                <w:highlight w:val="green"/>
                <w:lang w:val="en-GB"/>
              </w:rPr>
              <w:t>1.142</w:t>
            </w:r>
          </w:p>
        </w:tc>
        <w:tc>
          <w:tcPr>
            <w:tcW w:w="530" w:type="pct"/>
            <w:tcBorders>
              <w:top w:val="single" w:sz="4" w:space="0" w:color="auto"/>
              <w:bottom w:val="single" w:sz="4" w:space="0" w:color="auto"/>
            </w:tcBorders>
            <w:shd w:val="clear" w:color="auto" w:fill="auto"/>
            <w:vAlign w:val="center"/>
          </w:tcPr>
          <w:p w14:paraId="5C6EA71C" w14:textId="77E16699" w:rsidR="007F2329" w:rsidRPr="007F2329" w:rsidRDefault="007F2329" w:rsidP="008E1E5E">
            <w:pPr>
              <w:jc w:val="center"/>
              <w:rPr>
                <w:sz w:val="20"/>
                <w:szCs w:val="20"/>
                <w:highlight w:val="green"/>
              </w:rPr>
            </w:pPr>
            <w:r w:rsidRPr="007F2329">
              <w:rPr>
                <w:sz w:val="20"/>
                <w:szCs w:val="20"/>
                <w:highlight w:val="green"/>
              </w:rPr>
              <w:t>18.2</w:t>
            </w:r>
          </w:p>
        </w:tc>
        <w:tc>
          <w:tcPr>
            <w:tcW w:w="423" w:type="pct"/>
            <w:vMerge w:val="restart"/>
            <w:tcBorders>
              <w:top w:val="single" w:sz="4" w:space="0" w:color="auto"/>
            </w:tcBorders>
            <w:shd w:val="clear" w:color="auto" w:fill="auto"/>
            <w:vAlign w:val="center"/>
          </w:tcPr>
          <w:p w14:paraId="1C0DB9C9" w14:textId="174AA8CF" w:rsidR="007F2329" w:rsidRPr="00A34F10" w:rsidRDefault="007F2329" w:rsidP="008E1E5E">
            <w:pPr>
              <w:jc w:val="center"/>
              <w:rPr>
                <w:sz w:val="20"/>
                <w:szCs w:val="20"/>
                <w:lang w:val="en-GB"/>
              </w:rPr>
            </w:pPr>
            <w:r w:rsidRPr="007F2329">
              <w:rPr>
                <w:sz w:val="20"/>
                <w:szCs w:val="20"/>
                <w:highlight w:val="green"/>
                <w:lang w:val="en-GB"/>
              </w:rPr>
              <w:t>1.62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59D1AFA" w14:textId="0352F56C" w:rsidR="007F2329" w:rsidRPr="007F2329" w:rsidRDefault="007F2329" w:rsidP="008E1E5E">
            <w:pPr>
              <w:jc w:val="center"/>
              <w:rPr>
                <w:sz w:val="20"/>
                <w:szCs w:val="20"/>
                <w:highlight w:val="green"/>
              </w:rPr>
            </w:pPr>
            <w:r>
              <w:rPr>
                <w:sz w:val="20"/>
                <w:szCs w:val="20"/>
                <w:highlight w:val="green"/>
              </w:rPr>
              <w:t>17.69</w:t>
            </w:r>
          </w:p>
        </w:tc>
        <w:tc>
          <w:tcPr>
            <w:tcW w:w="502" w:type="pct"/>
            <w:tcBorders>
              <w:top w:val="single" w:sz="4" w:space="0" w:color="auto"/>
              <w:left w:val="nil"/>
              <w:bottom w:val="single" w:sz="4" w:space="0" w:color="auto"/>
              <w:right w:val="single" w:sz="4" w:space="0" w:color="auto"/>
            </w:tcBorders>
            <w:shd w:val="clear" w:color="auto" w:fill="auto"/>
            <w:vAlign w:val="center"/>
          </w:tcPr>
          <w:p w14:paraId="0720C330" w14:textId="10BD2AD8" w:rsidR="007F2329" w:rsidRPr="007F2329" w:rsidRDefault="007F2329" w:rsidP="008E1E5E">
            <w:pPr>
              <w:jc w:val="center"/>
              <w:rPr>
                <w:sz w:val="20"/>
                <w:szCs w:val="20"/>
                <w:highlight w:val="green"/>
              </w:rPr>
            </w:pPr>
            <w:r>
              <w:rPr>
                <w:sz w:val="20"/>
                <w:szCs w:val="20"/>
                <w:highlight w:val="green"/>
              </w:rPr>
              <w:t>6.0</w:t>
            </w:r>
          </w:p>
        </w:tc>
      </w:tr>
      <w:tr w:rsidR="007F2329" w:rsidRPr="00A34F10" w14:paraId="14B750AD" w14:textId="77777777" w:rsidTr="00B37D11">
        <w:trPr>
          <w:cantSplit/>
        </w:trPr>
        <w:tc>
          <w:tcPr>
            <w:tcW w:w="907" w:type="pct"/>
            <w:tcBorders>
              <w:top w:val="single" w:sz="4" w:space="0" w:color="auto"/>
              <w:bottom w:val="single" w:sz="4" w:space="0" w:color="auto"/>
            </w:tcBorders>
            <w:shd w:val="clear" w:color="auto" w:fill="auto"/>
            <w:vAlign w:val="center"/>
          </w:tcPr>
          <w:p w14:paraId="098EF1BA"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2B480DCD" w14:textId="4BDC1D93" w:rsidR="007F2329" w:rsidRPr="00A34F10" w:rsidRDefault="007F2329" w:rsidP="008E1E5E">
            <w:pPr>
              <w:jc w:val="center"/>
              <w:rPr>
                <w:sz w:val="20"/>
                <w:szCs w:val="20"/>
              </w:rPr>
            </w:pPr>
            <w:r w:rsidRPr="00512D4C">
              <w:rPr>
                <w:sz w:val="20"/>
                <w:szCs w:val="20"/>
                <w:highlight w:val="green"/>
              </w:rPr>
              <w:t>BBCH 10-19</w:t>
            </w:r>
          </w:p>
        </w:tc>
        <w:tc>
          <w:tcPr>
            <w:tcW w:w="1579" w:type="pct"/>
            <w:tcBorders>
              <w:top w:val="single" w:sz="4" w:space="0" w:color="auto"/>
              <w:bottom w:val="single" w:sz="4" w:space="0" w:color="auto"/>
            </w:tcBorders>
            <w:shd w:val="clear" w:color="auto" w:fill="auto"/>
            <w:vAlign w:val="center"/>
          </w:tcPr>
          <w:p w14:paraId="06464253" w14:textId="5667624C" w:rsidR="007F2329" w:rsidRPr="00A34F10" w:rsidRDefault="007F2329" w:rsidP="008E1E5E">
            <w:pPr>
              <w:jc w:val="center"/>
              <w:rPr>
                <w:sz w:val="20"/>
                <w:szCs w:val="20"/>
                <w:lang w:val="en-GB"/>
              </w:rPr>
            </w:pPr>
            <w:r w:rsidRPr="00512D4C">
              <w:rPr>
                <w:sz w:val="20"/>
                <w:szCs w:val="20"/>
                <w:highlight w:val="green"/>
                <w:lang w:val="en-GB"/>
              </w:rPr>
              <w:t>small insectivorous/worm feeding “thrush”</w:t>
            </w:r>
          </w:p>
        </w:tc>
        <w:tc>
          <w:tcPr>
            <w:tcW w:w="388" w:type="pct"/>
            <w:vMerge/>
            <w:shd w:val="clear" w:color="auto" w:fill="auto"/>
            <w:vAlign w:val="center"/>
          </w:tcPr>
          <w:p w14:paraId="506B1D41"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384E1BCF" w14:textId="4BD03683" w:rsidR="007F2329" w:rsidRPr="007F2329" w:rsidRDefault="007F2329" w:rsidP="008E1E5E">
            <w:pPr>
              <w:jc w:val="center"/>
              <w:rPr>
                <w:sz w:val="20"/>
                <w:szCs w:val="20"/>
                <w:highlight w:val="green"/>
              </w:rPr>
            </w:pPr>
            <w:r w:rsidRPr="007F2329">
              <w:rPr>
                <w:sz w:val="20"/>
                <w:szCs w:val="20"/>
                <w:highlight w:val="green"/>
              </w:rPr>
              <w:t>2.1</w:t>
            </w:r>
          </w:p>
        </w:tc>
        <w:tc>
          <w:tcPr>
            <w:tcW w:w="423" w:type="pct"/>
            <w:vMerge/>
            <w:shd w:val="clear" w:color="auto" w:fill="auto"/>
            <w:vAlign w:val="center"/>
          </w:tcPr>
          <w:p w14:paraId="278D9BD5"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EA006BA" w14:textId="6B61C49B" w:rsidR="007F2329" w:rsidRPr="007F2329" w:rsidRDefault="007F2329" w:rsidP="008E1E5E">
            <w:pPr>
              <w:jc w:val="center"/>
              <w:rPr>
                <w:sz w:val="20"/>
                <w:szCs w:val="20"/>
                <w:highlight w:val="green"/>
              </w:rPr>
            </w:pPr>
            <w:r>
              <w:rPr>
                <w:sz w:val="20"/>
                <w:szCs w:val="20"/>
                <w:highlight w:val="green"/>
              </w:rPr>
              <w:t>2.04</w:t>
            </w:r>
          </w:p>
        </w:tc>
        <w:tc>
          <w:tcPr>
            <w:tcW w:w="502" w:type="pct"/>
            <w:tcBorders>
              <w:top w:val="single" w:sz="4" w:space="0" w:color="auto"/>
              <w:left w:val="nil"/>
              <w:bottom w:val="single" w:sz="4" w:space="0" w:color="auto"/>
              <w:right w:val="single" w:sz="4" w:space="0" w:color="auto"/>
            </w:tcBorders>
            <w:shd w:val="clear" w:color="auto" w:fill="auto"/>
            <w:vAlign w:val="center"/>
          </w:tcPr>
          <w:p w14:paraId="5C2F114B" w14:textId="78115A4F" w:rsidR="007F2329" w:rsidRPr="007F2329" w:rsidRDefault="007F2329" w:rsidP="008E1E5E">
            <w:pPr>
              <w:jc w:val="center"/>
              <w:rPr>
                <w:sz w:val="20"/>
                <w:szCs w:val="20"/>
                <w:highlight w:val="green"/>
              </w:rPr>
            </w:pPr>
            <w:r>
              <w:rPr>
                <w:sz w:val="20"/>
                <w:szCs w:val="20"/>
                <w:highlight w:val="green"/>
              </w:rPr>
              <w:t>52.4</w:t>
            </w:r>
          </w:p>
        </w:tc>
      </w:tr>
      <w:tr w:rsidR="007F2329" w:rsidRPr="00A34F10" w14:paraId="695BFFC2" w14:textId="77777777" w:rsidTr="00B37D11">
        <w:trPr>
          <w:cantSplit/>
        </w:trPr>
        <w:tc>
          <w:tcPr>
            <w:tcW w:w="907" w:type="pct"/>
            <w:tcBorders>
              <w:top w:val="single" w:sz="4" w:space="0" w:color="auto"/>
              <w:bottom w:val="single" w:sz="4" w:space="0" w:color="auto"/>
            </w:tcBorders>
            <w:shd w:val="clear" w:color="auto" w:fill="auto"/>
            <w:vAlign w:val="center"/>
          </w:tcPr>
          <w:p w14:paraId="5732EBE7"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579EBBF0" w14:textId="5790E524" w:rsidR="007F2329" w:rsidRPr="00A34F10" w:rsidRDefault="007F2329" w:rsidP="008E1E5E">
            <w:pPr>
              <w:jc w:val="center"/>
              <w:rPr>
                <w:sz w:val="20"/>
                <w:szCs w:val="20"/>
              </w:rPr>
            </w:pPr>
            <w:r w:rsidRPr="00512D4C">
              <w:rPr>
                <w:sz w:val="20"/>
                <w:szCs w:val="20"/>
                <w:highlight w:val="green"/>
              </w:rPr>
              <w:t>BBCH 20-39</w:t>
            </w:r>
          </w:p>
        </w:tc>
        <w:tc>
          <w:tcPr>
            <w:tcW w:w="1579" w:type="pct"/>
            <w:tcBorders>
              <w:top w:val="single" w:sz="4" w:space="0" w:color="auto"/>
              <w:bottom w:val="single" w:sz="4" w:space="0" w:color="auto"/>
            </w:tcBorders>
            <w:shd w:val="clear" w:color="auto" w:fill="auto"/>
            <w:vAlign w:val="center"/>
          </w:tcPr>
          <w:p w14:paraId="7F9CBDC6" w14:textId="6CB38951" w:rsidR="007F2329" w:rsidRPr="00A34F10" w:rsidRDefault="007F2329" w:rsidP="008E1E5E">
            <w:pPr>
              <w:jc w:val="center"/>
              <w:rPr>
                <w:sz w:val="20"/>
                <w:szCs w:val="20"/>
                <w:lang w:val="en-GB"/>
              </w:rPr>
            </w:pPr>
            <w:r w:rsidRPr="00512D4C">
              <w:rPr>
                <w:sz w:val="20"/>
                <w:szCs w:val="20"/>
                <w:highlight w:val="green"/>
                <w:lang w:val="en-GB"/>
              </w:rPr>
              <w:t>small insectivorous/worm feeding “thrush”</w:t>
            </w:r>
          </w:p>
        </w:tc>
        <w:tc>
          <w:tcPr>
            <w:tcW w:w="388" w:type="pct"/>
            <w:vMerge/>
            <w:shd w:val="clear" w:color="auto" w:fill="auto"/>
            <w:vAlign w:val="center"/>
          </w:tcPr>
          <w:p w14:paraId="3B296218"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3DA514A7" w14:textId="212FE41F" w:rsidR="007F2329" w:rsidRPr="007F2329" w:rsidRDefault="007F2329" w:rsidP="008E1E5E">
            <w:pPr>
              <w:jc w:val="center"/>
              <w:rPr>
                <w:sz w:val="20"/>
                <w:szCs w:val="20"/>
                <w:highlight w:val="green"/>
              </w:rPr>
            </w:pPr>
            <w:r w:rsidRPr="007F2329">
              <w:rPr>
                <w:sz w:val="20"/>
                <w:szCs w:val="20"/>
                <w:highlight w:val="green"/>
              </w:rPr>
              <w:t>1.6</w:t>
            </w:r>
          </w:p>
        </w:tc>
        <w:tc>
          <w:tcPr>
            <w:tcW w:w="423" w:type="pct"/>
            <w:vMerge/>
            <w:shd w:val="clear" w:color="auto" w:fill="auto"/>
            <w:vAlign w:val="center"/>
          </w:tcPr>
          <w:p w14:paraId="01160DA8"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616A858" w14:textId="22F4A42A" w:rsidR="007F2329" w:rsidRPr="007F2329" w:rsidRDefault="007F2329" w:rsidP="008E1E5E">
            <w:pPr>
              <w:jc w:val="center"/>
              <w:rPr>
                <w:sz w:val="20"/>
                <w:szCs w:val="20"/>
                <w:highlight w:val="green"/>
              </w:rPr>
            </w:pPr>
            <w:r>
              <w:rPr>
                <w:sz w:val="20"/>
                <w:szCs w:val="20"/>
                <w:highlight w:val="green"/>
              </w:rPr>
              <w:t>1.55</w:t>
            </w:r>
          </w:p>
        </w:tc>
        <w:tc>
          <w:tcPr>
            <w:tcW w:w="502" w:type="pct"/>
            <w:tcBorders>
              <w:top w:val="single" w:sz="4" w:space="0" w:color="auto"/>
              <w:left w:val="nil"/>
              <w:bottom w:val="single" w:sz="4" w:space="0" w:color="auto"/>
              <w:right w:val="single" w:sz="4" w:space="0" w:color="auto"/>
            </w:tcBorders>
            <w:shd w:val="clear" w:color="auto" w:fill="auto"/>
            <w:vAlign w:val="center"/>
          </w:tcPr>
          <w:p w14:paraId="6E45084A" w14:textId="0BD55BD9" w:rsidR="007F2329" w:rsidRPr="007F2329" w:rsidRDefault="007F2329" w:rsidP="008E1E5E">
            <w:pPr>
              <w:jc w:val="center"/>
              <w:rPr>
                <w:sz w:val="20"/>
                <w:szCs w:val="20"/>
                <w:highlight w:val="green"/>
              </w:rPr>
            </w:pPr>
            <w:r>
              <w:rPr>
                <w:sz w:val="20"/>
                <w:szCs w:val="20"/>
                <w:highlight w:val="green"/>
              </w:rPr>
              <w:t>68.8</w:t>
            </w:r>
          </w:p>
        </w:tc>
      </w:tr>
      <w:tr w:rsidR="007F2329" w:rsidRPr="00A34F10" w14:paraId="04109530" w14:textId="77777777" w:rsidTr="00B37D11">
        <w:trPr>
          <w:cantSplit/>
        </w:trPr>
        <w:tc>
          <w:tcPr>
            <w:tcW w:w="907" w:type="pct"/>
            <w:tcBorders>
              <w:top w:val="single" w:sz="4" w:space="0" w:color="auto"/>
              <w:bottom w:val="single" w:sz="4" w:space="0" w:color="auto"/>
            </w:tcBorders>
            <w:shd w:val="clear" w:color="auto" w:fill="auto"/>
            <w:vAlign w:val="center"/>
          </w:tcPr>
          <w:p w14:paraId="3EA7D034"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096F9F81" w14:textId="46EB2465" w:rsidR="007F2329" w:rsidRPr="00A34F10" w:rsidRDefault="007F2329" w:rsidP="008E1E5E">
            <w:pPr>
              <w:jc w:val="center"/>
              <w:rPr>
                <w:sz w:val="20"/>
                <w:szCs w:val="20"/>
              </w:rPr>
            </w:pPr>
            <w:r w:rsidRPr="00512D4C">
              <w:rPr>
                <w:sz w:val="20"/>
                <w:szCs w:val="20"/>
                <w:highlight w:val="green"/>
              </w:rPr>
              <w:t>BBCH ≥ 40</w:t>
            </w:r>
          </w:p>
        </w:tc>
        <w:tc>
          <w:tcPr>
            <w:tcW w:w="1579" w:type="pct"/>
            <w:tcBorders>
              <w:top w:val="single" w:sz="4" w:space="0" w:color="auto"/>
              <w:bottom w:val="single" w:sz="4" w:space="0" w:color="auto"/>
            </w:tcBorders>
            <w:shd w:val="clear" w:color="auto" w:fill="auto"/>
            <w:vAlign w:val="center"/>
          </w:tcPr>
          <w:p w14:paraId="1A46CC2A" w14:textId="45E017CC" w:rsidR="007F2329" w:rsidRPr="00A34F10" w:rsidRDefault="007F2329" w:rsidP="008E1E5E">
            <w:pPr>
              <w:jc w:val="center"/>
              <w:rPr>
                <w:sz w:val="20"/>
                <w:szCs w:val="20"/>
                <w:lang w:val="en-GB"/>
              </w:rPr>
            </w:pPr>
            <w:r w:rsidRPr="00512D4C">
              <w:rPr>
                <w:sz w:val="20"/>
                <w:szCs w:val="20"/>
                <w:highlight w:val="green"/>
                <w:lang w:val="en-GB"/>
              </w:rPr>
              <w:t>small insectivorous/worm feeding “thrush”</w:t>
            </w:r>
          </w:p>
        </w:tc>
        <w:tc>
          <w:tcPr>
            <w:tcW w:w="388" w:type="pct"/>
            <w:vMerge/>
            <w:shd w:val="clear" w:color="auto" w:fill="auto"/>
            <w:vAlign w:val="center"/>
          </w:tcPr>
          <w:p w14:paraId="291338DB"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6178FBFA" w14:textId="1F6AEA9B" w:rsidR="007F2329" w:rsidRPr="007F2329" w:rsidRDefault="007F2329" w:rsidP="008E1E5E">
            <w:pPr>
              <w:jc w:val="center"/>
              <w:rPr>
                <w:sz w:val="20"/>
                <w:szCs w:val="20"/>
                <w:highlight w:val="green"/>
              </w:rPr>
            </w:pPr>
            <w:r w:rsidRPr="007F2329">
              <w:rPr>
                <w:sz w:val="20"/>
                <w:szCs w:val="20"/>
                <w:highlight w:val="green"/>
              </w:rPr>
              <w:t>0.8</w:t>
            </w:r>
          </w:p>
        </w:tc>
        <w:tc>
          <w:tcPr>
            <w:tcW w:w="423" w:type="pct"/>
            <w:vMerge/>
            <w:shd w:val="clear" w:color="auto" w:fill="auto"/>
            <w:vAlign w:val="center"/>
          </w:tcPr>
          <w:p w14:paraId="79679E87"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73992C9" w14:textId="7319A0FE" w:rsidR="007F2329" w:rsidRPr="007F2329" w:rsidRDefault="007F2329" w:rsidP="008E1E5E">
            <w:pPr>
              <w:jc w:val="center"/>
              <w:rPr>
                <w:sz w:val="20"/>
                <w:szCs w:val="20"/>
                <w:highlight w:val="green"/>
              </w:rPr>
            </w:pPr>
            <w:r>
              <w:rPr>
                <w:sz w:val="20"/>
                <w:szCs w:val="20"/>
                <w:highlight w:val="green"/>
              </w:rPr>
              <w:t>0.78</w:t>
            </w:r>
          </w:p>
        </w:tc>
        <w:tc>
          <w:tcPr>
            <w:tcW w:w="502" w:type="pct"/>
            <w:tcBorders>
              <w:top w:val="single" w:sz="4" w:space="0" w:color="auto"/>
              <w:left w:val="nil"/>
              <w:bottom w:val="single" w:sz="4" w:space="0" w:color="auto"/>
              <w:right w:val="single" w:sz="4" w:space="0" w:color="auto"/>
            </w:tcBorders>
            <w:shd w:val="clear" w:color="auto" w:fill="auto"/>
            <w:vAlign w:val="center"/>
          </w:tcPr>
          <w:p w14:paraId="16C0F8AC" w14:textId="143370D6" w:rsidR="007F2329" w:rsidRPr="007F2329" w:rsidRDefault="007F2329" w:rsidP="008E1E5E">
            <w:pPr>
              <w:jc w:val="center"/>
              <w:rPr>
                <w:sz w:val="20"/>
                <w:szCs w:val="20"/>
                <w:highlight w:val="green"/>
              </w:rPr>
            </w:pPr>
            <w:r>
              <w:rPr>
                <w:sz w:val="20"/>
                <w:szCs w:val="20"/>
                <w:highlight w:val="green"/>
              </w:rPr>
              <w:t>137.6</w:t>
            </w:r>
          </w:p>
        </w:tc>
      </w:tr>
      <w:tr w:rsidR="007F2329" w:rsidRPr="00A34F10" w14:paraId="1E5F90D0" w14:textId="77777777" w:rsidTr="00B37D11">
        <w:trPr>
          <w:cantSplit/>
        </w:trPr>
        <w:tc>
          <w:tcPr>
            <w:tcW w:w="907" w:type="pct"/>
            <w:tcBorders>
              <w:top w:val="single" w:sz="4" w:space="0" w:color="auto"/>
              <w:bottom w:val="single" w:sz="4" w:space="0" w:color="auto"/>
            </w:tcBorders>
            <w:shd w:val="clear" w:color="auto" w:fill="auto"/>
            <w:vAlign w:val="center"/>
          </w:tcPr>
          <w:p w14:paraId="40FDD689"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0B37F67B" w14:textId="651C0F0C" w:rsidR="007F2329" w:rsidRPr="00A34F10" w:rsidRDefault="007F2329" w:rsidP="008E1E5E">
            <w:pPr>
              <w:jc w:val="center"/>
              <w:rPr>
                <w:sz w:val="20"/>
                <w:szCs w:val="20"/>
              </w:rPr>
            </w:pPr>
            <w:r w:rsidRPr="00512D4C">
              <w:rPr>
                <w:sz w:val="20"/>
                <w:szCs w:val="20"/>
                <w:highlight w:val="green"/>
              </w:rPr>
              <w:t>BBCH 10-19</w:t>
            </w:r>
          </w:p>
        </w:tc>
        <w:tc>
          <w:tcPr>
            <w:tcW w:w="1579" w:type="pct"/>
            <w:tcBorders>
              <w:top w:val="single" w:sz="4" w:space="0" w:color="auto"/>
              <w:bottom w:val="single" w:sz="4" w:space="0" w:color="auto"/>
            </w:tcBorders>
            <w:shd w:val="clear" w:color="auto" w:fill="auto"/>
            <w:vAlign w:val="center"/>
          </w:tcPr>
          <w:p w14:paraId="7CF78E51" w14:textId="007A31EE" w:rsidR="007F2329" w:rsidRPr="00A34F10" w:rsidRDefault="007F2329" w:rsidP="008E1E5E">
            <w:pPr>
              <w:jc w:val="center"/>
              <w:rPr>
                <w:sz w:val="20"/>
                <w:szCs w:val="20"/>
                <w:lang w:val="en-GB"/>
              </w:rPr>
            </w:pPr>
            <w:r w:rsidRPr="00512D4C">
              <w:rPr>
                <w:sz w:val="20"/>
                <w:szCs w:val="20"/>
                <w:highlight w:val="green"/>
                <w:lang w:val="en-GB"/>
              </w:rPr>
              <w:t>Small granivorous bird “finch”</w:t>
            </w:r>
          </w:p>
        </w:tc>
        <w:tc>
          <w:tcPr>
            <w:tcW w:w="388" w:type="pct"/>
            <w:vMerge/>
            <w:shd w:val="clear" w:color="auto" w:fill="auto"/>
            <w:vAlign w:val="center"/>
          </w:tcPr>
          <w:p w14:paraId="401BBE20"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03599F7B" w14:textId="383ACA16" w:rsidR="007F2329" w:rsidRPr="007F2329" w:rsidRDefault="007F2329" w:rsidP="008E1E5E">
            <w:pPr>
              <w:jc w:val="center"/>
              <w:rPr>
                <w:sz w:val="20"/>
                <w:szCs w:val="20"/>
                <w:highlight w:val="green"/>
              </w:rPr>
            </w:pPr>
            <w:r w:rsidRPr="007F2329">
              <w:rPr>
                <w:sz w:val="20"/>
                <w:szCs w:val="20"/>
                <w:highlight w:val="green"/>
              </w:rPr>
              <w:t>10.1</w:t>
            </w:r>
          </w:p>
        </w:tc>
        <w:tc>
          <w:tcPr>
            <w:tcW w:w="423" w:type="pct"/>
            <w:vMerge/>
            <w:shd w:val="clear" w:color="auto" w:fill="auto"/>
            <w:vAlign w:val="center"/>
          </w:tcPr>
          <w:p w14:paraId="2047DA99"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F99D9CC" w14:textId="218042D5" w:rsidR="007F2329" w:rsidRPr="007F2329" w:rsidRDefault="007F2329" w:rsidP="008E1E5E">
            <w:pPr>
              <w:jc w:val="center"/>
              <w:rPr>
                <w:sz w:val="20"/>
                <w:szCs w:val="20"/>
                <w:highlight w:val="green"/>
              </w:rPr>
            </w:pPr>
            <w:r>
              <w:rPr>
                <w:sz w:val="20"/>
                <w:szCs w:val="20"/>
                <w:highlight w:val="green"/>
              </w:rPr>
              <w:t>9.82</w:t>
            </w:r>
          </w:p>
        </w:tc>
        <w:tc>
          <w:tcPr>
            <w:tcW w:w="502" w:type="pct"/>
            <w:tcBorders>
              <w:top w:val="single" w:sz="4" w:space="0" w:color="auto"/>
              <w:left w:val="nil"/>
              <w:bottom w:val="single" w:sz="4" w:space="0" w:color="auto"/>
              <w:right w:val="single" w:sz="4" w:space="0" w:color="auto"/>
            </w:tcBorders>
            <w:shd w:val="clear" w:color="auto" w:fill="auto"/>
            <w:vAlign w:val="center"/>
          </w:tcPr>
          <w:p w14:paraId="4C456C7B" w14:textId="7089B0AD" w:rsidR="007F2329" w:rsidRPr="007F2329" w:rsidRDefault="007F2329" w:rsidP="008E1E5E">
            <w:pPr>
              <w:jc w:val="center"/>
              <w:rPr>
                <w:sz w:val="20"/>
                <w:szCs w:val="20"/>
                <w:highlight w:val="green"/>
              </w:rPr>
            </w:pPr>
            <w:r>
              <w:rPr>
                <w:sz w:val="20"/>
                <w:szCs w:val="20"/>
                <w:highlight w:val="green"/>
              </w:rPr>
              <w:t>10.9</w:t>
            </w:r>
          </w:p>
        </w:tc>
      </w:tr>
      <w:tr w:rsidR="007F2329" w:rsidRPr="00A34F10" w14:paraId="64943752" w14:textId="77777777" w:rsidTr="00B37D11">
        <w:trPr>
          <w:cantSplit/>
        </w:trPr>
        <w:tc>
          <w:tcPr>
            <w:tcW w:w="907" w:type="pct"/>
            <w:tcBorders>
              <w:top w:val="single" w:sz="4" w:space="0" w:color="auto"/>
              <w:bottom w:val="single" w:sz="4" w:space="0" w:color="auto"/>
            </w:tcBorders>
            <w:shd w:val="clear" w:color="auto" w:fill="auto"/>
            <w:vAlign w:val="center"/>
          </w:tcPr>
          <w:p w14:paraId="6ADA2085"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53434524" w14:textId="4D1E7CD6" w:rsidR="007F2329" w:rsidRPr="00A34F10" w:rsidRDefault="007F2329" w:rsidP="008E1E5E">
            <w:pPr>
              <w:jc w:val="center"/>
              <w:rPr>
                <w:sz w:val="20"/>
                <w:szCs w:val="20"/>
              </w:rPr>
            </w:pPr>
            <w:r w:rsidRPr="00512D4C">
              <w:rPr>
                <w:sz w:val="20"/>
                <w:szCs w:val="20"/>
                <w:highlight w:val="green"/>
              </w:rPr>
              <w:t>BBCH 20-39</w:t>
            </w:r>
          </w:p>
        </w:tc>
        <w:tc>
          <w:tcPr>
            <w:tcW w:w="1579" w:type="pct"/>
            <w:tcBorders>
              <w:top w:val="single" w:sz="4" w:space="0" w:color="auto"/>
              <w:bottom w:val="single" w:sz="4" w:space="0" w:color="auto"/>
            </w:tcBorders>
            <w:shd w:val="clear" w:color="auto" w:fill="auto"/>
            <w:vAlign w:val="center"/>
          </w:tcPr>
          <w:p w14:paraId="56C05E27" w14:textId="25A80020" w:rsidR="007F2329" w:rsidRPr="00A34F10" w:rsidRDefault="007F2329" w:rsidP="008E1E5E">
            <w:pPr>
              <w:jc w:val="center"/>
              <w:rPr>
                <w:sz w:val="20"/>
                <w:szCs w:val="20"/>
                <w:lang w:val="en-GB"/>
              </w:rPr>
            </w:pPr>
            <w:r w:rsidRPr="00512D4C">
              <w:rPr>
                <w:sz w:val="20"/>
                <w:szCs w:val="20"/>
                <w:highlight w:val="green"/>
                <w:lang w:val="en-GB"/>
              </w:rPr>
              <w:t>Small granivorous bird “finch”</w:t>
            </w:r>
          </w:p>
        </w:tc>
        <w:tc>
          <w:tcPr>
            <w:tcW w:w="388" w:type="pct"/>
            <w:vMerge/>
            <w:shd w:val="clear" w:color="auto" w:fill="auto"/>
            <w:vAlign w:val="center"/>
          </w:tcPr>
          <w:p w14:paraId="2CE8E379"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7D6B629C" w14:textId="0B1BF67C" w:rsidR="007F2329" w:rsidRPr="007F2329" w:rsidRDefault="007F2329" w:rsidP="008E1E5E">
            <w:pPr>
              <w:jc w:val="center"/>
              <w:rPr>
                <w:sz w:val="20"/>
                <w:szCs w:val="20"/>
                <w:highlight w:val="green"/>
              </w:rPr>
            </w:pPr>
            <w:r w:rsidRPr="007F2329">
              <w:rPr>
                <w:sz w:val="20"/>
                <w:szCs w:val="20"/>
                <w:highlight w:val="green"/>
              </w:rPr>
              <w:t>7.6</w:t>
            </w:r>
          </w:p>
        </w:tc>
        <w:tc>
          <w:tcPr>
            <w:tcW w:w="423" w:type="pct"/>
            <w:vMerge/>
            <w:shd w:val="clear" w:color="auto" w:fill="auto"/>
            <w:vAlign w:val="center"/>
          </w:tcPr>
          <w:p w14:paraId="1BB2E9B8"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9BCF2D0" w14:textId="1FF5A6A5" w:rsidR="007F2329" w:rsidRPr="007F2329" w:rsidRDefault="007F2329" w:rsidP="008E1E5E">
            <w:pPr>
              <w:jc w:val="center"/>
              <w:rPr>
                <w:sz w:val="20"/>
                <w:szCs w:val="20"/>
                <w:highlight w:val="green"/>
              </w:rPr>
            </w:pPr>
            <w:r>
              <w:rPr>
                <w:sz w:val="20"/>
                <w:szCs w:val="20"/>
                <w:highlight w:val="green"/>
              </w:rPr>
              <w:t>7.39</w:t>
            </w:r>
          </w:p>
        </w:tc>
        <w:tc>
          <w:tcPr>
            <w:tcW w:w="502" w:type="pct"/>
            <w:tcBorders>
              <w:top w:val="single" w:sz="4" w:space="0" w:color="auto"/>
              <w:left w:val="nil"/>
              <w:bottom w:val="single" w:sz="4" w:space="0" w:color="auto"/>
              <w:right w:val="single" w:sz="4" w:space="0" w:color="auto"/>
            </w:tcBorders>
            <w:shd w:val="clear" w:color="auto" w:fill="auto"/>
            <w:vAlign w:val="center"/>
          </w:tcPr>
          <w:p w14:paraId="20BBED88" w14:textId="1B969076" w:rsidR="007F2329" w:rsidRPr="007F2329" w:rsidRDefault="007F2329" w:rsidP="008E1E5E">
            <w:pPr>
              <w:jc w:val="center"/>
              <w:rPr>
                <w:sz w:val="20"/>
                <w:szCs w:val="20"/>
                <w:highlight w:val="green"/>
              </w:rPr>
            </w:pPr>
            <w:r>
              <w:rPr>
                <w:sz w:val="20"/>
                <w:szCs w:val="20"/>
                <w:highlight w:val="green"/>
              </w:rPr>
              <w:t>14.5</w:t>
            </w:r>
          </w:p>
        </w:tc>
      </w:tr>
      <w:tr w:rsidR="007F2329" w:rsidRPr="00A34F10" w14:paraId="204E28A5" w14:textId="77777777" w:rsidTr="00B37D11">
        <w:trPr>
          <w:cantSplit/>
        </w:trPr>
        <w:tc>
          <w:tcPr>
            <w:tcW w:w="907" w:type="pct"/>
            <w:tcBorders>
              <w:top w:val="single" w:sz="4" w:space="0" w:color="auto"/>
              <w:bottom w:val="single" w:sz="4" w:space="0" w:color="auto"/>
            </w:tcBorders>
            <w:shd w:val="clear" w:color="auto" w:fill="auto"/>
            <w:vAlign w:val="center"/>
          </w:tcPr>
          <w:p w14:paraId="3919920F" w14:textId="77777777" w:rsidR="007F2329" w:rsidRPr="00512D4C" w:rsidRDefault="007F2329" w:rsidP="008E1E5E">
            <w:pPr>
              <w:jc w:val="center"/>
              <w:rPr>
                <w:sz w:val="20"/>
                <w:szCs w:val="20"/>
                <w:highlight w:val="green"/>
              </w:rPr>
            </w:pPr>
            <w:r w:rsidRPr="00512D4C">
              <w:rPr>
                <w:sz w:val="20"/>
                <w:szCs w:val="20"/>
                <w:highlight w:val="green"/>
              </w:rPr>
              <w:t xml:space="preserve">Crop directed – </w:t>
            </w:r>
          </w:p>
          <w:p w14:paraId="0D36879E" w14:textId="25051966" w:rsidR="007F2329" w:rsidRPr="00A34F10" w:rsidRDefault="007F2329" w:rsidP="008E1E5E">
            <w:pPr>
              <w:jc w:val="center"/>
              <w:rPr>
                <w:sz w:val="20"/>
                <w:szCs w:val="20"/>
              </w:rPr>
            </w:pPr>
            <w:r w:rsidRPr="00512D4C">
              <w:rPr>
                <w:sz w:val="20"/>
                <w:szCs w:val="20"/>
                <w:highlight w:val="green"/>
              </w:rPr>
              <w:t>BBCH ≥ 40</w:t>
            </w:r>
          </w:p>
        </w:tc>
        <w:tc>
          <w:tcPr>
            <w:tcW w:w="1579" w:type="pct"/>
            <w:tcBorders>
              <w:top w:val="single" w:sz="4" w:space="0" w:color="auto"/>
              <w:bottom w:val="single" w:sz="4" w:space="0" w:color="auto"/>
            </w:tcBorders>
            <w:shd w:val="clear" w:color="auto" w:fill="auto"/>
            <w:vAlign w:val="center"/>
          </w:tcPr>
          <w:p w14:paraId="7FFD6BF2" w14:textId="4FAC30A0" w:rsidR="007F2329" w:rsidRPr="00A34F10" w:rsidRDefault="007F2329" w:rsidP="008E1E5E">
            <w:pPr>
              <w:jc w:val="center"/>
              <w:rPr>
                <w:sz w:val="20"/>
                <w:szCs w:val="20"/>
                <w:lang w:val="en-GB"/>
              </w:rPr>
            </w:pPr>
            <w:r w:rsidRPr="00512D4C">
              <w:rPr>
                <w:sz w:val="20"/>
                <w:szCs w:val="20"/>
                <w:highlight w:val="green"/>
                <w:lang w:val="en-GB"/>
              </w:rPr>
              <w:t>Small granivorous bird “finch”</w:t>
            </w:r>
          </w:p>
        </w:tc>
        <w:tc>
          <w:tcPr>
            <w:tcW w:w="388" w:type="pct"/>
            <w:vMerge/>
            <w:tcBorders>
              <w:bottom w:val="single" w:sz="4" w:space="0" w:color="auto"/>
            </w:tcBorders>
            <w:shd w:val="clear" w:color="auto" w:fill="auto"/>
            <w:vAlign w:val="center"/>
          </w:tcPr>
          <w:p w14:paraId="382321EB" w14:textId="77777777" w:rsidR="007F2329" w:rsidRPr="00A34F10" w:rsidRDefault="007F2329" w:rsidP="008E1E5E">
            <w:pPr>
              <w:jc w:val="center"/>
              <w:rPr>
                <w:sz w:val="20"/>
                <w:szCs w:val="20"/>
                <w:lang w:val="en-GB"/>
              </w:rPr>
            </w:pPr>
          </w:p>
        </w:tc>
        <w:tc>
          <w:tcPr>
            <w:tcW w:w="530" w:type="pct"/>
            <w:tcBorders>
              <w:top w:val="single" w:sz="4" w:space="0" w:color="auto"/>
              <w:bottom w:val="single" w:sz="4" w:space="0" w:color="auto"/>
            </w:tcBorders>
            <w:shd w:val="clear" w:color="auto" w:fill="auto"/>
            <w:vAlign w:val="center"/>
          </w:tcPr>
          <w:p w14:paraId="36D909B7" w14:textId="439F38EA" w:rsidR="007F2329" w:rsidRPr="007F2329" w:rsidRDefault="007F2329" w:rsidP="008E1E5E">
            <w:pPr>
              <w:jc w:val="center"/>
              <w:rPr>
                <w:sz w:val="20"/>
                <w:szCs w:val="20"/>
                <w:highlight w:val="green"/>
              </w:rPr>
            </w:pPr>
            <w:r w:rsidRPr="007F2329">
              <w:rPr>
                <w:sz w:val="20"/>
                <w:szCs w:val="20"/>
                <w:highlight w:val="green"/>
              </w:rPr>
              <w:t>3.8</w:t>
            </w:r>
          </w:p>
        </w:tc>
        <w:tc>
          <w:tcPr>
            <w:tcW w:w="423" w:type="pct"/>
            <w:vMerge/>
            <w:tcBorders>
              <w:bottom w:val="single" w:sz="4" w:space="0" w:color="auto"/>
            </w:tcBorders>
            <w:shd w:val="clear" w:color="auto" w:fill="auto"/>
            <w:vAlign w:val="center"/>
          </w:tcPr>
          <w:p w14:paraId="3F56870D" w14:textId="77777777" w:rsidR="007F2329" w:rsidRPr="00A34F10" w:rsidRDefault="007F2329" w:rsidP="008E1E5E">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587C1D4" w14:textId="090F88B7" w:rsidR="007F2329" w:rsidRPr="007F2329" w:rsidRDefault="007F2329" w:rsidP="008E1E5E">
            <w:pPr>
              <w:jc w:val="center"/>
              <w:rPr>
                <w:sz w:val="20"/>
                <w:szCs w:val="20"/>
                <w:highlight w:val="green"/>
              </w:rPr>
            </w:pPr>
            <w:r>
              <w:rPr>
                <w:sz w:val="20"/>
                <w:szCs w:val="20"/>
                <w:highlight w:val="green"/>
              </w:rPr>
              <w:t>3.69</w:t>
            </w:r>
          </w:p>
        </w:tc>
        <w:tc>
          <w:tcPr>
            <w:tcW w:w="502" w:type="pct"/>
            <w:tcBorders>
              <w:top w:val="single" w:sz="4" w:space="0" w:color="auto"/>
              <w:left w:val="nil"/>
              <w:bottom w:val="single" w:sz="4" w:space="0" w:color="auto"/>
              <w:right w:val="single" w:sz="4" w:space="0" w:color="auto"/>
            </w:tcBorders>
            <w:shd w:val="clear" w:color="auto" w:fill="auto"/>
            <w:vAlign w:val="center"/>
          </w:tcPr>
          <w:p w14:paraId="7423E67C" w14:textId="66BEC6C4" w:rsidR="007F2329" w:rsidRPr="007F2329" w:rsidRDefault="007F2329" w:rsidP="008E1E5E">
            <w:pPr>
              <w:jc w:val="center"/>
              <w:rPr>
                <w:sz w:val="20"/>
                <w:szCs w:val="20"/>
                <w:highlight w:val="green"/>
              </w:rPr>
            </w:pPr>
            <w:r>
              <w:rPr>
                <w:sz w:val="20"/>
                <w:szCs w:val="20"/>
                <w:highlight w:val="green"/>
              </w:rPr>
              <w:t>29.0</w:t>
            </w:r>
          </w:p>
        </w:tc>
      </w:tr>
      <w:tr w:rsidR="008E1E5E" w:rsidRPr="00A34F10" w14:paraId="7EF36427" w14:textId="77777777" w:rsidTr="008E1E5E">
        <w:trPr>
          <w:cantSplit/>
        </w:trPr>
        <w:tc>
          <w:tcPr>
            <w:tcW w:w="5000" w:type="pct"/>
            <w:gridSpan w:val="7"/>
            <w:tcBorders>
              <w:top w:val="single" w:sz="4" w:space="0" w:color="auto"/>
              <w:bottom w:val="single" w:sz="4" w:space="0" w:color="auto"/>
              <w:right w:val="single" w:sz="4" w:space="0" w:color="auto"/>
            </w:tcBorders>
            <w:shd w:val="clear" w:color="auto" w:fill="auto"/>
          </w:tcPr>
          <w:p w14:paraId="01CBB535" w14:textId="5465EDDD" w:rsidR="008E1E5E" w:rsidRPr="00A34F10" w:rsidRDefault="008E1E5E" w:rsidP="008E1E5E">
            <w:pPr>
              <w:keepNext/>
              <w:jc w:val="center"/>
              <w:rPr>
                <w:sz w:val="20"/>
                <w:szCs w:val="20"/>
              </w:rPr>
            </w:pPr>
            <w:r w:rsidRPr="00B875EA">
              <w:rPr>
                <w:b/>
                <w:sz w:val="20"/>
                <w:szCs w:val="20"/>
                <w:highlight w:val="green"/>
                <w:lang w:val="en-GB"/>
              </w:rPr>
              <w:t xml:space="preserve">Bush and cane fruit (2 x </w:t>
            </w:r>
            <w:r w:rsidR="004B16F3" w:rsidRPr="004B16F3">
              <w:rPr>
                <w:b/>
                <w:sz w:val="20"/>
                <w:szCs w:val="20"/>
                <w:highlight w:val="green"/>
                <w:lang w:val="en-GB"/>
              </w:rPr>
              <w:t xml:space="preserve">∑ 0.24 + 0.902 </w:t>
            </w:r>
            <w:r w:rsidRPr="00B875EA">
              <w:rPr>
                <w:b/>
                <w:sz w:val="20"/>
                <w:szCs w:val="20"/>
                <w:highlight w:val="green"/>
                <w:lang w:val="en-GB"/>
              </w:rPr>
              <w:t>kg a.s./ha, BBCH 12 - 59)</w:t>
            </w:r>
          </w:p>
        </w:tc>
      </w:tr>
      <w:tr w:rsidR="00B37D11" w:rsidRPr="00A34F10" w14:paraId="47638BA5" w14:textId="77777777" w:rsidTr="00B37D11">
        <w:trPr>
          <w:cantSplit/>
        </w:trPr>
        <w:tc>
          <w:tcPr>
            <w:tcW w:w="907" w:type="pct"/>
            <w:tcBorders>
              <w:top w:val="single" w:sz="4" w:space="0" w:color="auto"/>
              <w:bottom w:val="single" w:sz="4" w:space="0" w:color="auto"/>
            </w:tcBorders>
            <w:shd w:val="clear" w:color="auto" w:fill="auto"/>
            <w:vAlign w:val="center"/>
          </w:tcPr>
          <w:p w14:paraId="75CDA002" w14:textId="77777777" w:rsidR="00B37D11" w:rsidRDefault="00B37D11" w:rsidP="00B37D11">
            <w:pPr>
              <w:jc w:val="center"/>
              <w:rPr>
                <w:sz w:val="20"/>
                <w:szCs w:val="20"/>
                <w:highlight w:val="green"/>
              </w:rPr>
            </w:pPr>
            <w:r>
              <w:rPr>
                <w:sz w:val="20"/>
                <w:szCs w:val="20"/>
                <w:highlight w:val="green"/>
              </w:rPr>
              <w:t xml:space="preserve">Whole season (currants) – </w:t>
            </w:r>
          </w:p>
          <w:p w14:paraId="4EDC9ED4" w14:textId="6C8071B9" w:rsidR="00B37D11" w:rsidRPr="00A34F10" w:rsidRDefault="00B37D11" w:rsidP="00B37D11">
            <w:pPr>
              <w:jc w:val="center"/>
              <w:rPr>
                <w:sz w:val="20"/>
                <w:szCs w:val="20"/>
              </w:rPr>
            </w:pPr>
            <w:r>
              <w:rPr>
                <w:sz w:val="20"/>
                <w:szCs w:val="20"/>
                <w:highlight w:val="green"/>
              </w:rPr>
              <w:t>BBCH 00-79</w:t>
            </w:r>
          </w:p>
        </w:tc>
        <w:tc>
          <w:tcPr>
            <w:tcW w:w="1579" w:type="pct"/>
            <w:tcBorders>
              <w:top w:val="single" w:sz="4" w:space="0" w:color="auto"/>
              <w:bottom w:val="single" w:sz="4" w:space="0" w:color="auto"/>
            </w:tcBorders>
            <w:shd w:val="clear" w:color="auto" w:fill="auto"/>
            <w:vAlign w:val="center"/>
          </w:tcPr>
          <w:p w14:paraId="00C5FA98" w14:textId="1697AFEF" w:rsidR="00B37D11" w:rsidRPr="00A34F10" w:rsidRDefault="00B37D11" w:rsidP="00B37D11">
            <w:pPr>
              <w:jc w:val="center"/>
              <w:rPr>
                <w:sz w:val="20"/>
                <w:szCs w:val="20"/>
                <w:lang w:val="en-GB"/>
              </w:rPr>
            </w:pPr>
            <w:r w:rsidRPr="00512D4C">
              <w:rPr>
                <w:sz w:val="20"/>
                <w:szCs w:val="20"/>
                <w:highlight w:val="green"/>
                <w:lang w:val="en-GB"/>
              </w:rPr>
              <w:t>Small insectivorous bird “</w:t>
            </w:r>
            <w:r>
              <w:rPr>
                <w:sz w:val="20"/>
                <w:szCs w:val="20"/>
                <w:highlight w:val="green"/>
                <w:lang w:val="en-GB"/>
              </w:rPr>
              <w:t>warbler</w:t>
            </w:r>
            <w:r w:rsidRPr="00512D4C">
              <w:rPr>
                <w:sz w:val="20"/>
                <w:szCs w:val="20"/>
                <w:highlight w:val="green"/>
                <w:lang w:val="en-GB"/>
              </w:rPr>
              <w:t>”</w:t>
            </w:r>
          </w:p>
        </w:tc>
        <w:tc>
          <w:tcPr>
            <w:tcW w:w="388" w:type="pct"/>
            <w:tcBorders>
              <w:bottom w:val="single" w:sz="4" w:space="0" w:color="auto"/>
            </w:tcBorders>
            <w:shd w:val="clear" w:color="auto" w:fill="auto"/>
            <w:vAlign w:val="center"/>
          </w:tcPr>
          <w:p w14:paraId="462B48F3" w14:textId="6B1ECBE1" w:rsidR="00B37D11" w:rsidRPr="00A34F10" w:rsidRDefault="00B37D11" w:rsidP="00B37D11">
            <w:pPr>
              <w:jc w:val="center"/>
              <w:rPr>
                <w:sz w:val="20"/>
                <w:szCs w:val="20"/>
                <w:lang w:val="en-GB"/>
              </w:rPr>
            </w:pPr>
            <w:r w:rsidRPr="00CB23D4">
              <w:rPr>
                <w:sz w:val="20"/>
                <w:szCs w:val="20"/>
                <w:highlight w:val="green"/>
                <w:lang w:val="en-GB"/>
              </w:rPr>
              <w:t>1.142</w:t>
            </w:r>
          </w:p>
        </w:tc>
        <w:tc>
          <w:tcPr>
            <w:tcW w:w="530" w:type="pct"/>
            <w:tcBorders>
              <w:top w:val="single" w:sz="4" w:space="0" w:color="auto"/>
              <w:bottom w:val="single" w:sz="4" w:space="0" w:color="auto"/>
            </w:tcBorders>
            <w:shd w:val="clear" w:color="auto" w:fill="auto"/>
            <w:vAlign w:val="center"/>
          </w:tcPr>
          <w:p w14:paraId="059A60CF" w14:textId="069AA97F" w:rsidR="00B37D11" w:rsidRPr="008E1E5E" w:rsidRDefault="00B37D11" w:rsidP="00B37D11">
            <w:pPr>
              <w:jc w:val="center"/>
              <w:rPr>
                <w:sz w:val="20"/>
                <w:szCs w:val="20"/>
                <w:highlight w:val="green"/>
              </w:rPr>
            </w:pPr>
            <w:r w:rsidRPr="008E1E5E">
              <w:rPr>
                <w:sz w:val="20"/>
                <w:szCs w:val="20"/>
                <w:highlight w:val="green"/>
              </w:rPr>
              <w:t>20.3</w:t>
            </w:r>
          </w:p>
        </w:tc>
        <w:tc>
          <w:tcPr>
            <w:tcW w:w="423" w:type="pct"/>
            <w:tcBorders>
              <w:bottom w:val="single" w:sz="4" w:space="0" w:color="auto"/>
            </w:tcBorders>
            <w:shd w:val="clear" w:color="auto" w:fill="auto"/>
            <w:vAlign w:val="center"/>
          </w:tcPr>
          <w:p w14:paraId="0E808B91" w14:textId="33FDDB5F" w:rsidR="00B37D11" w:rsidRPr="008E1E5E" w:rsidRDefault="00B37D11" w:rsidP="00B37D11">
            <w:pPr>
              <w:jc w:val="center"/>
              <w:rPr>
                <w:sz w:val="20"/>
                <w:szCs w:val="20"/>
                <w:highlight w:val="green"/>
                <w:lang w:val="en-GB"/>
              </w:rPr>
            </w:pPr>
            <w:r w:rsidRPr="008E1E5E">
              <w:rPr>
                <w:sz w:val="20"/>
                <w:szCs w:val="20"/>
                <w:highlight w:val="green"/>
                <w:lang w:val="en-GB"/>
              </w:rPr>
              <w:t>1.62 × 0.53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476ED26" w14:textId="27F933D2" w:rsidR="00B37D11" w:rsidRPr="008E1E5E" w:rsidRDefault="00B37D11" w:rsidP="00B37D11">
            <w:pPr>
              <w:jc w:val="center"/>
              <w:rPr>
                <w:sz w:val="20"/>
                <w:szCs w:val="20"/>
                <w:highlight w:val="green"/>
              </w:rPr>
            </w:pPr>
            <w:r>
              <w:rPr>
                <w:sz w:val="20"/>
                <w:szCs w:val="20"/>
                <w:highlight w:val="green"/>
              </w:rPr>
              <w:t>19.73</w:t>
            </w:r>
          </w:p>
        </w:tc>
        <w:tc>
          <w:tcPr>
            <w:tcW w:w="502" w:type="pct"/>
            <w:tcBorders>
              <w:top w:val="single" w:sz="4" w:space="0" w:color="auto"/>
              <w:left w:val="nil"/>
              <w:bottom w:val="single" w:sz="4" w:space="0" w:color="auto"/>
              <w:right w:val="single" w:sz="4" w:space="0" w:color="auto"/>
            </w:tcBorders>
            <w:shd w:val="clear" w:color="auto" w:fill="auto"/>
            <w:vAlign w:val="center"/>
          </w:tcPr>
          <w:p w14:paraId="1174C2D8" w14:textId="5409FF3A" w:rsidR="00B37D11" w:rsidRPr="00122438" w:rsidRDefault="00B37D11" w:rsidP="00B37D11">
            <w:pPr>
              <w:jc w:val="center"/>
              <w:rPr>
                <w:sz w:val="20"/>
                <w:szCs w:val="20"/>
                <w:highlight w:val="green"/>
              </w:rPr>
            </w:pPr>
            <w:r>
              <w:rPr>
                <w:sz w:val="20"/>
                <w:szCs w:val="20"/>
                <w:highlight w:val="green"/>
              </w:rPr>
              <w:t>5.4</w:t>
            </w:r>
          </w:p>
        </w:tc>
      </w:tr>
    </w:tbl>
    <w:p w14:paraId="6EC2D4A4" w14:textId="77777777" w:rsidR="00DC5685" w:rsidRPr="00A34F10" w:rsidRDefault="00DC5685" w:rsidP="00DC5685">
      <w:pPr>
        <w:widowControl w:val="0"/>
        <w:tabs>
          <w:tab w:val="left" w:pos="0"/>
        </w:tabs>
        <w:jc w:val="both"/>
        <w:rPr>
          <w:sz w:val="18"/>
          <w:szCs w:val="18"/>
          <w:lang w:val="en-GB"/>
        </w:rPr>
      </w:pPr>
      <w:r w:rsidRPr="00A34F10">
        <w:rPr>
          <w:sz w:val="18"/>
          <w:szCs w:val="18"/>
          <w:lang w:val="en-GB"/>
        </w:rPr>
        <w:t>SV: shortcut value; MAF: multiple application factor; TWA: time-weighted average factor; DDD: daily dietary dose; TER: toxicity to exposure ratio. TER values shown in bold fall below the relevant trigger.</w:t>
      </w:r>
    </w:p>
    <w:p w14:paraId="43648499" w14:textId="77777777" w:rsidR="00DC5685" w:rsidRPr="00A34F10" w:rsidRDefault="00DC5685" w:rsidP="00DC5685">
      <w:pPr>
        <w:widowControl w:val="0"/>
        <w:jc w:val="both"/>
        <w:rPr>
          <w:sz w:val="18"/>
          <w:szCs w:val="18"/>
          <w:lang w:val="en-GB"/>
        </w:rPr>
      </w:pPr>
      <w:r w:rsidRPr="00A34F10">
        <w:rPr>
          <w:sz w:val="18"/>
          <w:szCs w:val="18"/>
          <w:vertAlign w:val="superscript"/>
          <w:lang w:val="en-GB"/>
        </w:rPr>
        <w:t xml:space="preserve">a </w:t>
      </w:r>
      <w:r w:rsidRPr="00A34F10">
        <w:rPr>
          <w:sz w:val="18"/>
          <w:szCs w:val="18"/>
          <w:lang w:val="en-GB"/>
        </w:rPr>
        <w:t xml:space="preserve">Corrected SV value (to correct for known error in </w:t>
      </w:r>
      <w:r w:rsidRPr="00A34F10">
        <w:rPr>
          <w:rFonts w:eastAsia="MyriadPro-Regular"/>
          <w:sz w:val="18"/>
          <w:szCs w:val="18"/>
          <w:lang w:val="en-GB"/>
        </w:rPr>
        <w:t>EFSA/2009/1438 guidance document)</w:t>
      </w:r>
    </w:p>
    <w:p w14:paraId="023FC684" w14:textId="77777777" w:rsidR="00DC5685" w:rsidRPr="007F2329" w:rsidRDefault="00DC5685" w:rsidP="00DC5685">
      <w:pPr>
        <w:widowControl w:val="0"/>
        <w:jc w:val="both"/>
        <w:rPr>
          <w:lang w:val="en-GB"/>
        </w:rPr>
      </w:pPr>
    </w:p>
    <w:p w14:paraId="63AF5CC4" w14:textId="3DC981B3" w:rsidR="00DC5685" w:rsidRDefault="00DC5685" w:rsidP="00DC5685">
      <w:pPr>
        <w:widowControl w:val="0"/>
        <w:jc w:val="both"/>
        <w:rPr>
          <w:lang w:val="en-GB"/>
        </w:rPr>
      </w:pPr>
      <w:r w:rsidRPr="007F2329">
        <w:rPr>
          <w:lang w:val="en-GB"/>
        </w:rPr>
        <w:t xml:space="preserve">The first tier risk assessment demonstrates an acceptable acute and long-term risk for birds for BAS 743 03 F, except the chronic risk to frugivorous birds “crow” from use in </w:t>
      </w:r>
      <w:r w:rsidR="008C50A8" w:rsidRPr="007F2329">
        <w:rPr>
          <w:lang w:val="en-GB"/>
        </w:rPr>
        <w:t>fruiting</w:t>
      </w:r>
      <w:r w:rsidRPr="007F2329">
        <w:rPr>
          <w:lang w:val="en-GB"/>
        </w:rPr>
        <w:t xml:space="preserve"> vegetables at BBCH 71 </w:t>
      </w:r>
      <w:r w:rsidR="007F2329" w:rsidRPr="007F2329">
        <w:rPr>
          <w:lang w:val="en-GB"/>
        </w:rPr>
        <w:t>–</w:t>
      </w:r>
      <w:r w:rsidRPr="007F2329">
        <w:rPr>
          <w:lang w:val="en-GB"/>
        </w:rPr>
        <w:t xml:space="preserve"> 89</w:t>
      </w:r>
      <w:r w:rsidRPr="004D1AB1">
        <w:rPr>
          <w:lang w:val="en-GB"/>
        </w:rPr>
        <w:t>.</w:t>
      </w:r>
      <w:r w:rsidRPr="007F2329">
        <w:rPr>
          <w:lang w:val="en-GB"/>
        </w:rPr>
        <w:t xml:space="preserve"> </w:t>
      </w:r>
      <w:r w:rsidRPr="007F2329">
        <w:rPr>
          <w:lang w:val="en-GB"/>
        </w:rPr>
        <w:lastRenderedPageBreak/>
        <w:t>Therefore, further refinement is required.</w:t>
      </w:r>
    </w:p>
    <w:p w14:paraId="5986A87D" w14:textId="77777777" w:rsidR="00DC5685" w:rsidRPr="00A34F10" w:rsidRDefault="00DC5685" w:rsidP="004B16F3">
      <w:pPr>
        <w:pStyle w:val="Nagwek4"/>
        <w:keepNext w:val="0"/>
        <w:suppressAutoHyphens/>
        <w:rPr>
          <w:noProof w:val="0"/>
          <w:lang w:val="en-GB"/>
        </w:rPr>
      </w:pPr>
      <w:bookmarkStart w:id="220" w:name="_Toc181624950"/>
      <w:r w:rsidRPr="00A34F10">
        <w:rPr>
          <w:noProof w:val="0"/>
          <w:lang w:val="en-GB"/>
        </w:rPr>
        <w:t>Higher-tier risk assessment</w:t>
      </w:r>
      <w:bookmarkEnd w:id="207"/>
      <w:bookmarkEnd w:id="208"/>
      <w:bookmarkEnd w:id="209"/>
      <w:bookmarkEnd w:id="210"/>
      <w:bookmarkEnd w:id="211"/>
      <w:bookmarkEnd w:id="212"/>
      <w:bookmarkEnd w:id="213"/>
      <w:bookmarkEnd w:id="214"/>
      <w:bookmarkEnd w:id="215"/>
      <w:bookmarkEnd w:id="220"/>
    </w:p>
    <w:p w14:paraId="1DFAB9B9" w14:textId="196D9F3A" w:rsidR="00DC5685" w:rsidRPr="00A34F10" w:rsidRDefault="00DC5685" w:rsidP="004B16F3">
      <w:pPr>
        <w:pStyle w:val="RepStandard"/>
        <w:suppressAutoHyphens/>
      </w:pPr>
      <w:r w:rsidRPr="00A34F10">
        <w:t xml:space="preserve">According to the above first-tier risk assessment, a long-term higher-tier risk assessments is required for Propamocarb-HCl </w:t>
      </w:r>
      <w:r w:rsidR="00EB7734" w:rsidRPr="00EB7734">
        <w:rPr>
          <w:highlight w:val="green"/>
        </w:rPr>
        <w:t>and BAS 743 03 F</w:t>
      </w:r>
      <w:r w:rsidR="00EB7734">
        <w:t xml:space="preserve"> </w:t>
      </w:r>
      <w:r w:rsidRPr="00A34F10">
        <w:t xml:space="preserve">and </w:t>
      </w:r>
      <w:bookmarkStart w:id="221" w:name="_Hlk132315097"/>
      <w:r w:rsidRPr="00A34F10">
        <w:t>the frugivorous birds “crow” from the use in fruiting vegetables at BBCH 71 – 89</w:t>
      </w:r>
      <w:bookmarkEnd w:id="221"/>
      <w:r w:rsidR="007770A3">
        <w:t>.</w:t>
      </w:r>
    </w:p>
    <w:p w14:paraId="36B3C0C7" w14:textId="77777777" w:rsidR="00DC5685" w:rsidRPr="00A34F10" w:rsidRDefault="00DC5685" w:rsidP="004B16F3">
      <w:pPr>
        <w:pStyle w:val="RepStandard"/>
        <w:suppressAutoHyphens/>
      </w:pPr>
    </w:p>
    <w:p w14:paraId="28F77294" w14:textId="77777777" w:rsidR="00DC5685" w:rsidRPr="00A34F10" w:rsidRDefault="00DC5685" w:rsidP="004B16F3">
      <w:pPr>
        <w:rPr>
          <w:rFonts w:eastAsia="MS Mincho"/>
          <w:b/>
          <w:bCs/>
          <w:u w:val="single"/>
          <w:lang w:val="en-GB"/>
        </w:rPr>
      </w:pPr>
      <w:r w:rsidRPr="00A34F10">
        <w:rPr>
          <w:b/>
          <w:bCs/>
          <w:u w:val="single"/>
          <w:lang w:val="en-GB"/>
        </w:rPr>
        <w:t>Frugivorous birds “crow”</w:t>
      </w:r>
    </w:p>
    <w:p w14:paraId="37F35AE7" w14:textId="77777777" w:rsidR="00DC5685" w:rsidRPr="00A34F10" w:rsidRDefault="00DC5685" w:rsidP="004B16F3">
      <w:pPr>
        <w:jc w:val="both"/>
        <w:rPr>
          <w:rFonts w:eastAsia="MS Mincho"/>
          <w:b/>
          <w:iCs/>
          <w:u w:val="single"/>
          <w:lang w:val="en-GB"/>
        </w:rPr>
      </w:pPr>
    </w:p>
    <w:p w14:paraId="0DF3202B" w14:textId="570E669C" w:rsidR="00D35101" w:rsidRDefault="00DC5685" w:rsidP="004B16F3">
      <w:pPr>
        <w:spacing w:after="240"/>
        <w:jc w:val="both"/>
        <w:rPr>
          <w:rFonts w:eastAsia="MS Mincho"/>
          <w:lang w:val="en-GB"/>
        </w:rPr>
      </w:pPr>
      <w:r w:rsidRPr="00A34F10">
        <w:rPr>
          <w:rFonts w:eastAsia="MS Mincho"/>
          <w:lang w:val="en-GB"/>
        </w:rPr>
        <w:t xml:space="preserve">The generic focal species as defined in EFSA/2009/1438, can be refined in a higher tier risk assessment by defining a realistic focal species that actually occurs in the crop and in the geographic region based on crop-specific generic bird data. </w:t>
      </w:r>
    </w:p>
    <w:p w14:paraId="4325D9B4" w14:textId="77777777" w:rsidR="00DC5685" w:rsidRPr="00A34F10" w:rsidRDefault="00DC5685" w:rsidP="004B16F3">
      <w:pPr>
        <w:spacing w:after="240"/>
        <w:jc w:val="both"/>
        <w:rPr>
          <w:rFonts w:eastAsia="MS Mincho"/>
          <w:lang w:val="en-GB"/>
        </w:rPr>
      </w:pPr>
      <w:r w:rsidRPr="00A34F10">
        <w:rPr>
          <w:rFonts w:eastAsia="MS Mincho"/>
          <w:lang w:val="en-GB"/>
        </w:rPr>
        <w:t>The generic focal species starling and crow both reflect the risk to frugivorous birds at BBCH 71-89, while the Tier 1 assessment assumes a diet consisting of 100% fruits for both species with the highest RUD value in gourds of 34.3 mg/kg. Therefore, the Tier 1 scenario frugivorous bird “crow” represents an unrealistic worst -case for the use of BAS 743 03 F in tomatoes and aubergine. Accordingly, the risk to frugivorous birds is considered to be covered by the scenario frugivorous birds “starling” with a RUD value for tomatoes of 20.7 mg/kg, for which an acceptable risk was demonstrated in the first-tier risk assessment.</w:t>
      </w:r>
    </w:p>
    <w:p w14:paraId="1E1D9E31" w14:textId="55A918B9" w:rsidR="00A91B2E" w:rsidRPr="00A34F10" w:rsidRDefault="00DC5685" w:rsidP="004B16F3">
      <w:pPr>
        <w:spacing w:after="240"/>
        <w:jc w:val="both"/>
        <w:rPr>
          <w:rFonts w:eastAsia="MS Mincho"/>
          <w:lang w:val="en-GB"/>
        </w:rPr>
      </w:pPr>
      <w:r w:rsidRPr="00A34F10">
        <w:rPr>
          <w:rFonts w:eastAsia="MS Mincho"/>
          <w:lang w:val="en-GB"/>
        </w:rPr>
        <w:t>However, as a conservative approach a refined risk assessment for frugivorous birds “crow” is presented below considering refined exposure and a refined portion of diet (PD).</w:t>
      </w:r>
    </w:p>
    <w:p w14:paraId="714A826F" w14:textId="57810FE7" w:rsidR="00DC5685" w:rsidRPr="00A34F10" w:rsidRDefault="00DC5685" w:rsidP="0011693C">
      <w:pPr>
        <w:jc w:val="both"/>
        <w:rPr>
          <w:rFonts w:eastAsia="MS Mincho"/>
          <w:lang w:val="en-GB"/>
        </w:rPr>
      </w:pPr>
      <w:r w:rsidRPr="00A34F10">
        <w:rPr>
          <w:rFonts w:eastAsia="MS Mincho"/>
          <w:lang w:val="en-GB"/>
        </w:rPr>
        <w:t>The occurrence of birds in fruiting vegetables (tomatoes) has been evaluated in a generic field study conducted in commercially used tomato fields (3.7 - 7 ha) in the Southern Zone (Codogno, Lombardia, Italy) For details please refer to the RAR for Propamocarb, Vol. 3 CP, Proplant, B9 (June 2017). The study area is a typical region for the cultivation of field tomatoes in southern Europe. Bird activities and abundance in the tomato fields were recorded on two whole days in each field by an ornithologist and every bird in the field was recorded (species, numbers, behaviour). Additionally, three times within the study period a bird census was carried out at each study field and its vicinity, to get a list of species and their relative abundance in tomato growing areas and surrounding habitats. Tomato fields are intensively cultivated areas. The fields were covered by plants to fifty percent approximately. Only a small proportion of the plants were weeds while the majority were cultivated tomatoes.</w:t>
      </w:r>
    </w:p>
    <w:p w14:paraId="527AC4D9" w14:textId="77777777" w:rsidR="00DC5685" w:rsidRPr="00A34F10" w:rsidRDefault="00DC5685" w:rsidP="00DC5685">
      <w:pPr>
        <w:jc w:val="both"/>
        <w:rPr>
          <w:rFonts w:eastAsia="MS Mincho"/>
          <w:lang w:val="en-GB"/>
        </w:rPr>
      </w:pPr>
      <w:r w:rsidRPr="00A34F10">
        <w:rPr>
          <w:rFonts w:eastAsia="MS Mincho"/>
          <w:lang w:val="en-GB"/>
        </w:rPr>
        <w:t xml:space="preserve">The study showed that the abundance and diversity of birds in the tomato fields were very low, compared to the surrounding habitats. Main species on the fields were the Yellow Wagtail, even breeding on the fields, but strictly insectivore, and the Tree- and House Sparrow, both omnivorous but obviously exclusively feeding on insects within this habitat. The only species, observed </w:t>
      </w:r>
      <w:bookmarkStart w:id="222" w:name="_Hlk133324007"/>
      <w:r w:rsidRPr="00A34F10">
        <w:rPr>
          <w:rFonts w:eastAsia="MS Mincho"/>
          <w:lang w:val="en-GB"/>
        </w:rPr>
        <w:t>feeding on vegetable material, was the Hooded Crow, pecking on the inner parts of tomato fruits.</w:t>
      </w:r>
      <w:bookmarkEnd w:id="222"/>
      <w:r w:rsidRPr="00A34F10">
        <w:rPr>
          <w:rFonts w:eastAsia="MS Mincho"/>
          <w:lang w:val="en-GB"/>
        </w:rPr>
        <w:t xml:space="preserve"> </w:t>
      </w:r>
    </w:p>
    <w:p w14:paraId="4ADEA1A8" w14:textId="77777777" w:rsidR="00DC5685" w:rsidRPr="00A34F10" w:rsidRDefault="00DC5685" w:rsidP="00DC5685">
      <w:pPr>
        <w:jc w:val="both"/>
        <w:rPr>
          <w:rFonts w:eastAsia="MS Mincho"/>
          <w:lang w:val="en-GB"/>
        </w:rPr>
      </w:pPr>
    </w:p>
    <w:p w14:paraId="59EC884A" w14:textId="77777777" w:rsidR="00DC5685" w:rsidRPr="00A34F10" w:rsidRDefault="00DC5685" w:rsidP="00DC5685">
      <w:pPr>
        <w:jc w:val="both"/>
        <w:rPr>
          <w:rFonts w:eastAsia="MS Mincho"/>
          <w:lang w:val="en-GB"/>
        </w:rPr>
      </w:pPr>
      <w:r w:rsidRPr="00A34F10">
        <w:rPr>
          <w:rFonts w:eastAsia="MS Mincho"/>
          <w:lang w:val="en-GB"/>
        </w:rPr>
        <w:t xml:space="preserve">Fruiting vegetables, such as tomatoes and aubergine, are grown and managed in the Central Zone by various techniques in open fields or greenhouses. The fruiting vegetables are usually grown in rows as it allows for better management of the crop, easier access for harvesting and irrigation. The direct area under the crop is usually kept free of vegetation to avoid competition of the plants while the area between the rows is usually covered by vegetation. Based on this, in the Central Zone, the field structure and farming practices are comparable for the different types of fruiting vegetables. Therefore, the findings on the occurrence of birds in tomato fields obtained from the above generic field study is considered suitable to refine the long-term/reproductive risk to frugivorous birds from the use of BAS 743 03 F in fruiting vegetables. </w:t>
      </w:r>
    </w:p>
    <w:p w14:paraId="62356C0D" w14:textId="77777777" w:rsidR="00DC5685" w:rsidRPr="00A34F10" w:rsidRDefault="00DC5685" w:rsidP="00DC5685">
      <w:pPr>
        <w:jc w:val="both"/>
        <w:rPr>
          <w:rFonts w:eastAsia="MS Mincho"/>
          <w:lang w:val="en-GB"/>
        </w:rPr>
      </w:pPr>
    </w:p>
    <w:p w14:paraId="367F2184" w14:textId="77777777" w:rsidR="00DC5685" w:rsidRPr="00A34F10" w:rsidRDefault="00DC5685" w:rsidP="00DC5685">
      <w:pPr>
        <w:jc w:val="both"/>
        <w:rPr>
          <w:rFonts w:eastAsia="MS Mincho"/>
          <w:lang w:val="en-GB"/>
        </w:rPr>
      </w:pPr>
      <w:r w:rsidRPr="00A34F10">
        <w:rPr>
          <w:rFonts w:eastAsia="MS Mincho"/>
          <w:lang w:val="en-GB"/>
        </w:rPr>
        <w:t>The hooded crow (</w:t>
      </w:r>
      <w:r w:rsidRPr="00A34F10">
        <w:rPr>
          <w:rFonts w:eastAsia="MS Mincho"/>
          <w:i/>
          <w:iCs/>
          <w:lang w:val="en-GB"/>
        </w:rPr>
        <w:t>Corvus cornix</w:t>
      </w:r>
      <w:r w:rsidRPr="00A34F10">
        <w:rPr>
          <w:rFonts w:eastAsia="MS Mincho"/>
          <w:lang w:val="en-GB"/>
        </w:rPr>
        <w:t>) was the only bird species observed feeding on vegetable material, while pecking on the inner parts of tomato fruits. Therefore, the hooded crow (</w:t>
      </w:r>
      <w:r w:rsidRPr="00A34F10">
        <w:rPr>
          <w:rFonts w:eastAsia="MS Mincho"/>
          <w:i/>
          <w:iCs/>
          <w:lang w:val="en-GB"/>
        </w:rPr>
        <w:t>Corvus Cornix</w:t>
      </w:r>
      <w:r w:rsidRPr="00A34F10">
        <w:rPr>
          <w:rFonts w:eastAsia="MS Mincho"/>
          <w:lang w:val="en-GB"/>
        </w:rPr>
        <w:t>) is considered the relevant focal species obtaining parts of its diet in fruiting vegetable fields instead of the American crow (</w:t>
      </w:r>
      <w:r w:rsidRPr="00A34F10">
        <w:rPr>
          <w:rFonts w:eastAsia="MS Mincho"/>
          <w:i/>
          <w:iCs/>
          <w:lang w:val="en-GB"/>
        </w:rPr>
        <w:t>Corvus brachyrhynchos</w:t>
      </w:r>
      <w:r w:rsidRPr="00A34F10">
        <w:rPr>
          <w:rFonts w:eastAsia="MS Mincho"/>
          <w:lang w:val="en-GB"/>
        </w:rPr>
        <w:t xml:space="preserve">) which is listed in </w:t>
      </w:r>
      <w:bookmarkStart w:id="223" w:name="_Hlk133335306"/>
      <w:r w:rsidRPr="00A34F10">
        <w:rPr>
          <w:rFonts w:eastAsia="MS Mincho"/>
          <w:lang w:val="en-GB"/>
        </w:rPr>
        <w:t xml:space="preserve">EFSA/2009/1438 </w:t>
      </w:r>
      <w:bookmarkEnd w:id="223"/>
      <w:r w:rsidRPr="00A34F10">
        <w:rPr>
          <w:rFonts w:eastAsia="MS Mincho"/>
          <w:lang w:val="en-GB"/>
        </w:rPr>
        <w:t>as a generic focal species for frugivorous birds in fruiting vegetables.  In addition, for most European regions (Southern European and Central European), the carrion crow (</w:t>
      </w:r>
      <w:r w:rsidRPr="00A34F10">
        <w:rPr>
          <w:rFonts w:eastAsia="MS Mincho"/>
          <w:i/>
          <w:iCs/>
          <w:lang w:val="en-GB"/>
        </w:rPr>
        <w:t>Corvus corone</w:t>
      </w:r>
      <w:r w:rsidRPr="00A34F10">
        <w:rPr>
          <w:rFonts w:eastAsia="MS Mincho"/>
          <w:lang w:val="en-GB"/>
        </w:rPr>
        <w:t>), the rook (Corvus frugilegus) and the hooded crow (</w:t>
      </w:r>
      <w:r w:rsidRPr="00A34F10">
        <w:rPr>
          <w:rFonts w:eastAsia="MS Mincho"/>
          <w:i/>
          <w:iCs/>
          <w:lang w:val="en-GB"/>
        </w:rPr>
        <w:t xml:space="preserve">Corvus </w:t>
      </w:r>
      <w:r w:rsidRPr="00A34F10">
        <w:rPr>
          <w:rFonts w:eastAsia="MS Mincho"/>
          <w:i/>
          <w:iCs/>
          <w:lang w:val="en-GB"/>
        </w:rPr>
        <w:lastRenderedPageBreak/>
        <w:t>cornix</w:t>
      </w:r>
      <w:r w:rsidRPr="00A34F10">
        <w:rPr>
          <w:rFonts w:eastAsia="MS Mincho"/>
          <w:lang w:val="en-GB"/>
        </w:rPr>
        <w:t xml:space="preserve">) are considered to be of higher relevance (Cramp et al., 1998; Glutz von Blotzheim &amp; Bauer, 2001), all of which are omnivorous bird species. </w:t>
      </w:r>
    </w:p>
    <w:p w14:paraId="35C19768" w14:textId="77777777" w:rsidR="00DC5685" w:rsidRPr="00A34F10" w:rsidRDefault="00DC5685" w:rsidP="00DC5685">
      <w:pPr>
        <w:jc w:val="both"/>
        <w:rPr>
          <w:rFonts w:eastAsia="MS Mincho"/>
          <w:lang w:val="en-GB"/>
        </w:rPr>
      </w:pPr>
    </w:p>
    <w:p w14:paraId="0DEC5388" w14:textId="77777777" w:rsidR="00DC5685" w:rsidRPr="00A34F10" w:rsidRDefault="00DC5685" w:rsidP="00DC5685">
      <w:pPr>
        <w:jc w:val="both"/>
        <w:rPr>
          <w:rFonts w:eastAsia="MS Mincho"/>
          <w:lang w:val="en-GB"/>
        </w:rPr>
      </w:pPr>
      <w:r w:rsidRPr="00A34F10">
        <w:rPr>
          <w:rFonts w:eastAsia="MS Mincho"/>
          <w:lang w:val="en-GB"/>
        </w:rPr>
        <w:t>In the Tier-1 risk assessment it is assumed that the generic focal species “crow” feeds exclusively on fruits in the treated field. However, this is an unrealistic assumption considering the feeding behaviour of the crow as an omnivorous bird. Buxton et al. (1998)</w:t>
      </w:r>
      <w:r w:rsidRPr="00A34F10">
        <w:rPr>
          <w:rStyle w:val="Odwoanieprzypisudolnego"/>
          <w:rFonts w:eastAsia="MS Mincho"/>
          <w:lang w:val="en-GB"/>
        </w:rPr>
        <w:footnoteReference w:id="1"/>
      </w:r>
      <w:r w:rsidRPr="00A34F10">
        <w:rPr>
          <w:rFonts w:eastAsia="MS Mincho"/>
          <w:lang w:val="en-GB"/>
        </w:rPr>
        <w:t xml:space="preserve"> describe a series of studies which have investigated the diet composition of different crow species </w:t>
      </w:r>
      <w:r w:rsidRPr="00A34F10">
        <w:rPr>
          <w:rFonts w:eastAsia="MS Mincho"/>
          <w:i/>
          <w:iCs/>
          <w:lang w:val="en-GB"/>
        </w:rPr>
        <w:t>i.e</w:t>
      </w:r>
      <w:r w:rsidRPr="00A34F10">
        <w:rPr>
          <w:rFonts w:eastAsia="MS Mincho"/>
          <w:lang w:val="en-GB"/>
        </w:rPr>
        <w:t>., the carrion crow, rook and hooded crow. Results show that the diet of these crow species consists mainly of insects, earthworms, fruits, plant matter (incl. cereals, plant matter and grain), and carrion.</w:t>
      </w:r>
    </w:p>
    <w:p w14:paraId="3E4D39EF" w14:textId="77777777" w:rsidR="00DC5685" w:rsidRPr="00A34F10" w:rsidRDefault="00DC5685" w:rsidP="00DC5685">
      <w:pPr>
        <w:jc w:val="both"/>
        <w:rPr>
          <w:rFonts w:eastAsia="MS Mincho"/>
          <w:lang w:val="en-GB"/>
        </w:rPr>
      </w:pPr>
      <w:r w:rsidRPr="00A34F10">
        <w:rPr>
          <w:rFonts w:eastAsia="MS Mincho"/>
          <w:lang w:val="en-GB"/>
        </w:rPr>
        <w:t>In particular for the hooded crow, the diet as percentages of volume found in stomachs during a period between April and September consists of 70% insects, 5% earthworms, 5% fruits and 15% plant material. For the period October to March, the fractions in the diet are 70% cereal grain, 15% plants, 5% carrion and 5% fruits (</w:t>
      </w:r>
      <w:bookmarkStart w:id="224" w:name="_Hlk134442643"/>
      <w:r w:rsidRPr="00A34F10">
        <w:rPr>
          <w:rFonts w:eastAsia="MS Mincho"/>
          <w:lang w:val="en-GB"/>
        </w:rPr>
        <w:t>Houston, 1977, in Buxton et al., 1998</w:t>
      </w:r>
      <w:bookmarkEnd w:id="224"/>
      <w:r w:rsidRPr="00A34F10">
        <w:rPr>
          <w:rFonts w:eastAsia="MS Mincho"/>
          <w:lang w:val="en-GB"/>
        </w:rPr>
        <w:t xml:space="preserve">). </w:t>
      </w:r>
    </w:p>
    <w:p w14:paraId="57E2D954" w14:textId="77777777" w:rsidR="00A91B2E" w:rsidRDefault="00DC5685" w:rsidP="00DC5685">
      <w:pPr>
        <w:jc w:val="both"/>
        <w:rPr>
          <w:rFonts w:eastAsia="MS Mincho"/>
          <w:lang w:val="en-GB"/>
        </w:rPr>
      </w:pPr>
      <w:r w:rsidRPr="00A34F10">
        <w:rPr>
          <w:rFonts w:eastAsia="MS Mincho"/>
          <w:lang w:val="en-GB"/>
        </w:rPr>
        <w:t>Although these observations on dietary compositions were made in the Central Zone (UK) and not specifically in vegetable fields, it is highly unlikely that crows in fruiting vegetables feed exclusively on fruits (</w:t>
      </w:r>
      <w:r w:rsidRPr="00A34F10">
        <w:rPr>
          <w:rFonts w:eastAsia="MS Mincho"/>
          <w:i/>
          <w:iCs/>
          <w:lang w:val="en-GB"/>
        </w:rPr>
        <w:t>i.e</w:t>
      </w:r>
      <w:r w:rsidRPr="00A34F10">
        <w:rPr>
          <w:rFonts w:eastAsia="MS Mincho"/>
          <w:lang w:val="en-GB"/>
        </w:rPr>
        <w:t xml:space="preserve">. 100%). Therefore, it can be conservatively assumed, based on feeding habits of omnivores that the diet of crows in fruiting vegetables consists of various food items other than fruits. Accordingly, also considering the fact that in the generic field study most birds observed in the field were feeding exclusively on insects, it is likely that a significant proportion of insects in the diet will rather be obtained from the plants or from soil surface with distinctly lower RUDs. </w:t>
      </w:r>
    </w:p>
    <w:p w14:paraId="63A2ED25" w14:textId="77777777" w:rsidR="00D35101" w:rsidRPr="00A34F10" w:rsidRDefault="00D35101" w:rsidP="00DC5685">
      <w:pPr>
        <w:jc w:val="both"/>
        <w:rPr>
          <w:rFonts w:eastAsia="MS Mincho"/>
          <w:lang w:val="en-GB"/>
        </w:rPr>
      </w:pPr>
    </w:p>
    <w:p w14:paraId="33B46223" w14:textId="5EDA40BA" w:rsidR="00DC5685" w:rsidRPr="00A34F10" w:rsidRDefault="00DC5685" w:rsidP="00585A77">
      <w:pPr>
        <w:jc w:val="both"/>
        <w:rPr>
          <w:rFonts w:eastAsia="MS Mincho"/>
          <w:lang w:val="en-GB"/>
        </w:rPr>
      </w:pPr>
      <w:r w:rsidRPr="00A34F10">
        <w:rPr>
          <w:rFonts w:eastAsia="MS Mincho"/>
          <w:lang w:val="en-GB"/>
        </w:rPr>
        <w:t>Therefore, a refined higher tier risk assessment is shown below assuming a more realistic worst-case proportion of diet (PD value) of 70% insects (worst-case RUD for foliar insects of 21 mg a.s./kg) and 30% fruits (worst-case RUD for gourds of 34.3 mg a.s./kg). This is a conservative assumption as data (Houston, 1977, in Buxton et al., 1998) suggest that insects with a lower RUD are dominant in the diet of crows, whereas fruits are taken at distinctly lower percentages. Also for the other feed items reported in the diet of omnivorous crows, specifically for earthworms, carrion or non-grass herbs, residue levels can be assumed lower as the RUD for gourds.</w:t>
      </w:r>
    </w:p>
    <w:p w14:paraId="2A25AA2A" w14:textId="77777777" w:rsidR="00DC5685" w:rsidRPr="00A34F10" w:rsidRDefault="00DC5685" w:rsidP="00DC5685">
      <w:pPr>
        <w:jc w:val="both"/>
        <w:rPr>
          <w:rFonts w:eastAsia="MS Mincho"/>
          <w:lang w:val="en-GB"/>
        </w:rPr>
      </w:pPr>
    </w:p>
    <w:p w14:paraId="01FDD1BF" w14:textId="77777777" w:rsidR="00DC5685" w:rsidRDefault="00DC5685" w:rsidP="00DC5685">
      <w:pPr>
        <w:jc w:val="both"/>
        <w:rPr>
          <w:rFonts w:eastAsia="MS Mincho"/>
          <w:lang w:val="en-GB"/>
        </w:rPr>
      </w:pPr>
      <w:r w:rsidRPr="00A34F10">
        <w:rPr>
          <w:rFonts w:eastAsia="MS Mincho"/>
          <w:lang w:val="en-GB"/>
        </w:rPr>
        <w:t>Furthermore, the generic field study showed that while some birds visited the fields only sporadically or singularly (7 out of 10 observations), most birds were observed in the surrounding areas of the field (38 species, 95% compared to 5% in tomato fields). From these birds visiting the fields, only 49 observations of feeding behaviour on tomato fields were made. These were mainly birds feeding on insects (36 in total, 73.5%), 3 unknown items and 10 times (20.4%) the hooded crow picking the fruits. Based on these results, it can be assumed that crows will not feed exclusively on the treated fruits in the field but prefer a mixed or even exclusively</w:t>
      </w:r>
      <w:r w:rsidRPr="00A34F10">
        <w:t xml:space="preserve"> </w:t>
      </w:r>
      <w:r w:rsidRPr="00A34F10">
        <w:rPr>
          <w:rFonts w:eastAsia="MS Mincho"/>
          <w:lang w:val="en-GB"/>
        </w:rPr>
        <w:t>animal diet which they will mostly obtain in the untreated surroundings of the field. In addition, the assumption that crows will be able to feed exclusively on fruits in economically managed fields is highly unrealistic on a long-term view. Moreover, growers will take measures to minimise damage to fruits by birds, for example by using netting. The potential for consumption of fruits (</w:t>
      </w:r>
      <w:r w:rsidRPr="00A34F10">
        <w:rPr>
          <w:rFonts w:eastAsia="MS Mincho"/>
          <w:i/>
          <w:iCs/>
          <w:lang w:val="en-GB"/>
        </w:rPr>
        <w:t>i.e</w:t>
      </w:r>
      <w:r w:rsidRPr="00A34F10">
        <w:rPr>
          <w:rFonts w:eastAsia="MS Mincho"/>
          <w:lang w:val="en-GB"/>
        </w:rPr>
        <w:t xml:space="preserve">. the crop itself) is therefore minimised. Considering all this, it is highly likely that a PT value (the time spent feeding in the treated field) of 1 overestimate realistic exposure of birds in tomato fields. Therefore, as a realistic worst-case a PT value of 0.8 was used in the refined risk assessment below. </w:t>
      </w:r>
    </w:p>
    <w:p w14:paraId="17D1D30C" w14:textId="77777777" w:rsidR="0011693C" w:rsidRDefault="0011693C" w:rsidP="00DC5685">
      <w:pPr>
        <w:jc w:val="both"/>
        <w:rPr>
          <w:rFonts w:eastAsia="MS Mincho"/>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11693C" w14:paraId="75AC4033" w14:textId="77777777" w:rsidTr="00CD4C6E">
        <w:trPr>
          <w:trHeight w:val="1002"/>
        </w:trPr>
        <w:tc>
          <w:tcPr>
            <w:tcW w:w="5000" w:type="pct"/>
            <w:shd w:val="clear" w:color="auto" w:fill="D9D9D9"/>
          </w:tcPr>
          <w:p w14:paraId="7B8646FA" w14:textId="77777777" w:rsidR="0011693C" w:rsidRPr="0061664C" w:rsidRDefault="0011693C" w:rsidP="00B85AE5">
            <w:pPr>
              <w:pStyle w:val="RepStandard"/>
              <w:spacing w:after="120"/>
              <w:rPr>
                <w:b/>
                <w:bCs/>
              </w:rPr>
            </w:pPr>
            <w:r w:rsidRPr="0061664C">
              <w:rPr>
                <w:b/>
                <w:bCs/>
              </w:rPr>
              <w:t>Review Comments:</w:t>
            </w:r>
          </w:p>
          <w:p w14:paraId="4EDFAAE7" w14:textId="0DDEF182" w:rsidR="0011693C" w:rsidRPr="00D7760E" w:rsidRDefault="00CD4C6E" w:rsidP="00B85AE5">
            <w:pPr>
              <w:spacing w:after="120"/>
              <w:jc w:val="both"/>
              <w:rPr>
                <w:rFonts w:eastAsia="MS Mincho"/>
                <w:highlight w:val="green"/>
                <w:lang w:val="en-GB"/>
              </w:rPr>
            </w:pPr>
            <w:r w:rsidRPr="00CD4C6E">
              <w:rPr>
                <w:rFonts w:eastAsia="MS Mincho"/>
                <w:lang w:val="en-GB"/>
              </w:rPr>
              <w:t>The information and data provided above by the Applicant</w:t>
            </w:r>
            <w:r w:rsidR="00CA6ECF">
              <w:rPr>
                <w:rFonts w:eastAsia="MS Mincho"/>
                <w:lang w:val="en-GB"/>
              </w:rPr>
              <w:t>,</w:t>
            </w:r>
            <w:r w:rsidRPr="00CD4C6E">
              <w:rPr>
                <w:rFonts w:eastAsia="MS Mincho"/>
                <w:lang w:val="en-GB"/>
              </w:rPr>
              <w:t xml:space="preserve"> in the opinion of zRMS</w:t>
            </w:r>
            <w:r w:rsidR="00CA6ECF">
              <w:rPr>
                <w:rFonts w:eastAsia="MS Mincho"/>
                <w:lang w:val="en-GB"/>
              </w:rPr>
              <w:t>,</w:t>
            </w:r>
            <w:r w:rsidRPr="00CD4C6E">
              <w:rPr>
                <w:rFonts w:eastAsia="MS Mincho"/>
                <w:lang w:val="en-GB"/>
              </w:rPr>
              <w:t xml:space="preserve"> can only be used as supplementary data.</w:t>
            </w:r>
          </w:p>
        </w:tc>
      </w:tr>
    </w:tbl>
    <w:p w14:paraId="23DE62BB" w14:textId="77777777" w:rsidR="0011693C" w:rsidRPr="0011693C" w:rsidRDefault="0011693C" w:rsidP="00DC5685">
      <w:pPr>
        <w:jc w:val="both"/>
        <w:rPr>
          <w:rFonts w:eastAsia="MS Mincho"/>
        </w:rPr>
      </w:pPr>
    </w:p>
    <w:p w14:paraId="050506AC" w14:textId="77777777" w:rsidR="00DC5685" w:rsidRDefault="00DC5685" w:rsidP="00DC5685">
      <w:pPr>
        <w:jc w:val="both"/>
        <w:rPr>
          <w:rFonts w:eastAsia="MS Mincho"/>
          <w:lang w:val="en-GB"/>
        </w:rPr>
      </w:pPr>
    </w:p>
    <w:p w14:paraId="532BE676" w14:textId="77777777" w:rsidR="00802A8C" w:rsidRDefault="00802A8C">
      <w:pPr>
        <w:rPr>
          <w:rFonts w:eastAsia="MS Mincho"/>
          <w:b/>
          <w:bCs/>
          <w:highlight w:val="green"/>
          <w:u w:val="single"/>
          <w:lang w:val="en-GB"/>
        </w:rPr>
      </w:pPr>
      <w:r>
        <w:rPr>
          <w:rFonts w:eastAsia="MS Mincho"/>
          <w:b/>
          <w:bCs/>
          <w:highlight w:val="green"/>
          <w:u w:val="single"/>
          <w:lang w:val="en-GB"/>
        </w:rPr>
        <w:br w:type="page"/>
      </w:r>
    </w:p>
    <w:p w14:paraId="3BBB14C9" w14:textId="758D9221" w:rsidR="00243DC5" w:rsidRPr="00EE6D22" w:rsidRDefault="00243DC5" w:rsidP="00DC5685">
      <w:pPr>
        <w:jc w:val="both"/>
        <w:rPr>
          <w:rFonts w:eastAsia="MS Mincho"/>
          <w:b/>
          <w:bCs/>
          <w:highlight w:val="green"/>
          <w:u w:val="single"/>
          <w:lang w:val="en-GB"/>
        </w:rPr>
      </w:pPr>
      <w:r w:rsidRPr="00EE6D22">
        <w:rPr>
          <w:rFonts w:eastAsia="MS Mincho"/>
          <w:b/>
          <w:bCs/>
          <w:highlight w:val="green"/>
          <w:u w:val="single"/>
          <w:lang w:val="en-GB"/>
        </w:rPr>
        <w:lastRenderedPageBreak/>
        <w:t>Residue per Unit Doses</w:t>
      </w:r>
      <w:r w:rsidR="003A1E99" w:rsidRPr="00EE6D22">
        <w:rPr>
          <w:rFonts w:eastAsia="MS Mincho"/>
          <w:b/>
          <w:bCs/>
          <w:highlight w:val="green"/>
          <w:u w:val="single"/>
          <w:lang w:val="en-GB"/>
        </w:rPr>
        <w:t xml:space="preserve"> (RUD)</w:t>
      </w:r>
    </w:p>
    <w:p w14:paraId="63A48B41" w14:textId="3A7F1D1F" w:rsidR="007770A3" w:rsidRPr="00EE6D22" w:rsidRDefault="007770A3" w:rsidP="00DC5685">
      <w:pPr>
        <w:jc w:val="both"/>
        <w:rPr>
          <w:rFonts w:eastAsia="MS Mincho"/>
          <w:highlight w:val="green"/>
          <w:lang w:val="en-GB"/>
        </w:rPr>
      </w:pPr>
    </w:p>
    <w:p w14:paraId="398D064E" w14:textId="2B32CEF2" w:rsidR="007770A3" w:rsidRPr="00EE6D22" w:rsidRDefault="00243DC5" w:rsidP="00DC5685">
      <w:pPr>
        <w:jc w:val="both"/>
        <w:rPr>
          <w:rFonts w:eastAsia="MS Mincho"/>
          <w:highlight w:val="green"/>
          <w:lang w:val="en-GB"/>
        </w:rPr>
      </w:pPr>
      <w:r w:rsidRPr="00EE6D22">
        <w:rPr>
          <w:rFonts w:eastAsia="MS Mincho"/>
          <w:highlight w:val="green"/>
          <w:lang w:val="en-GB"/>
        </w:rPr>
        <w:t xml:space="preserve">In order to refine the assessments based on the proposed generic focal species, reference is made to </w:t>
      </w:r>
      <w:r w:rsidR="003A1E99" w:rsidRPr="00EE6D22">
        <w:rPr>
          <w:rFonts w:eastAsia="MS Mincho"/>
          <w:highlight w:val="green"/>
          <w:lang w:val="en-GB"/>
        </w:rPr>
        <w:t>RUD data as provided in the updated Birds and Mammals Guidance (EFSA, 2023</w:t>
      </w:r>
      <w:r w:rsidR="003A1E99" w:rsidRPr="00EE6D22">
        <w:rPr>
          <w:rStyle w:val="Odwoanieprzypisudolnego"/>
          <w:rFonts w:eastAsia="MS Mincho"/>
          <w:highlight w:val="green"/>
          <w:lang w:val="en-GB"/>
        </w:rPr>
        <w:footnoteReference w:id="2"/>
      </w:r>
      <w:r w:rsidR="003A1E99" w:rsidRPr="00EE6D22">
        <w:rPr>
          <w:rFonts w:eastAsia="MS Mincho"/>
          <w:highlight w:val="green"/>
          <w:lang w:val="en-GB"/>
        </w:rPr>
        <w:t xml:space="preserve">). It is acknowledged that this guidance document is not yet noted. However, the revised residue data are in agreement with scientific developments (favouring geometric mean residue estimates over arithmetic means) and are therefore argued to be more relevant, independent of an implementation of the revised guidance. </w:t>
      </w:r>
    </w:p>
    <w:p w14:paraId="5739F3AD" w14:textId="654624EA" w:rsidR="003A1E99" w:rsidRPr="00EE6D22" w:rsidRDefault="003A1E99" w:rsidP="00DC5685">
      <w:pPr>
        <w:jc w:val="both"/>
        <w:rPr>
          <w:rFonts w:eastAsia="MS Mincho"/>
          <w:highlight w:val="green"/>
          <w:lang w:val="en-GB"/>
        </w:rPr>
      </w:pPr>
    </w:p>
    <w:p w14:paraId="4F030285" w14:textId="0C31F9F7" w:rsidR="003A1E99" w:rsidRPr="00EE6D22" w:rsidRDefault="003A1E99" w:rsidP="00DC5685">
      <w:pPr>
        <w:jc w:val="both"/>
        <w:rPr>
          <w:rFonts w:eastAsia="MS Mincho"/>
          <w:highlight w:val="green"/>
          <w:lang w:val="en-GB"/>
        </w:rPr>
      </w:pPr>
      <w:r w:rsidRPr="00EE6D22">
        <w:rPr>
          <w:rFonts w:eastAsia="MS Mincho"/>
          <w:highlight w:val="green"/>
          <w:lang w:val="en-GB"/>
        </w:rPr>
        <w:t xml:space="preserve">The geometric mean RUDs for </w:t>
      </w:r>
      <w:r w:rsidR="00EE6D22" w:rsidRPr="00EE6D22">
        <w:rPr>
          <w:rFonts w:eastAsia="MS Mincho"/>
          <w:highlight w:val="green"/>
          <w:lang w:val="en-GB"/>
        </w:rPr>
        <w:t xml:space="preserve">cucurbitaceous plants (fruits) according to the revised RUD data </w:t>
      </w:r>
      <w:r w:rsidR="00741B5E">
        <w:rPr>
          <w:rFonts w:eastAsia="MS Mincho"/>
          <w:highlight w:val="green"/>
          <w:lang w:val="en-GB"/>
        </w:rPr>
        <w:t>is</w:t>
      </w:r>
      <w:r w:rsidR="00EE6D22" w:rsidRPr="00EE6D22">
        <w:rPr>
          <w:rFonts w:eastAsia="MS Mincho"/>
          <w:highlight w:val="green"/>
          <w:lang w:val="en-GB"/>
        </w:rPr>
        <w:t xml:space="preserve"> 0.47 mg a.s./kg.</w:t>
      </w:r>
    </w:p>
    <w:p w14:paraId="6B5BBA58" w14:textId="3908C2D9" w:rsidR="00EE6D22" w:rsidRPr="00EE6D22" w:rsidRDefault="00EE6D22" w:rsidP="00DC5685">
      <w:pPr>
        <w:jc w:val="both"/>
        <w:rPr>
          <w:rFonts w:eastAsia="MS Mincho"/>
          <w:highlight w:val="green"/>
          <w:lang w:val="en-GB"/>
        </w:rPr>
      </w:pPr>
    </w:p>
    <w:p w14:paraId="2027C27F" w14:textId="6BEF1FE9" w:rsidR="00EE6D22" w:rsidRDefault="00EE6D22" w:rsidP="00DC5685">
      <w:pPr>
        <w:jc w:val="both"/>
        <w:rPr>
          <w:rFonts w:eastAsia="MS Mincho"/>
          <w:highlight w:val="green"/>
          <w:lang w:val="en-GB"/>
        </w:rPr>
      </w:pPr>
      <w:r w:rsidRPr="00EE6D22">
        <w:rPr>
          <w:rFonts w:eastAsia="MS Mincho"/>
          <w:highlight w:val="green"/>
          <w:lang w:val="en-GB"/>
        </w:rPr>
        <w:t>Revised risk assessments independent of additional refinements as detailed above for the “crow” are presented below based on these RUD estimates.</w:t>
      </w:r>
    </w:p>
    <w:p w14:paraId="7CE0E501" w14:textId="77777777" w:rsidR="004541B8" w:rsidRDefault="004541B8" w:rsidP="00DC5685">
      <w:pPr>
        <w:jc w:val="both"/>
        <w:rPr>
          <w:rFonts w:eastAsia="MS Mincho"/>
          <w:highlight w:val="gree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202C53" w14:paraId="4E1A8169" w14:textId="77777777" w:rsidTr="00B85AE5">
        <w:trPr>
          <w:trHeight w:val="2055"/>
        </w:trPr>
        <w:tc>
          <w:tcPr>
            <w:tcW w:w="5000" w:type="pct"/>
            <w:shd w:val="clear" w:color="auto" w:fill="D9D9D9"/>
          </w:tcPr>
          <w:p w14:paraId="16B65C4C" w14:textId="77777777" w:rsidR="00202C53" w:rsidRPr="0061664C" w:rsidRDefault="00202C53" w:rsidP="00B768F5">
            <w:pPr>
              <w:pStyle w:val="RepStandard"/>
              <w:spacing w:after="120"/>
              <w:rPr>
                <w:b/>
                <w:bCs/>
              </w:rPr>
            </w:pPr>
            <w:r w:rsidRPr="0061664C">
              <w:rPr>
                <w:b/>
                <w:bCs/>
              </w:rPr>
              <w:t>Review Comments:</w:t>
            </w:r>
          </w:p>
          <w:p w14:paraId="3117D748" w14:textId="7AAABA0C" w:rsidR="0049321F" w:rsidRDefault="0049321F" w:rsidP="00B768F5">
            <w:pPr>
              <w:autoSpaceDE w:val="0"/>
              <w:autoSpaceDN w:val="0"/>
              <w:adjustRightInd w:val="0"/>
              <w:spacing w:after="120"/>
              <w:jc w:val="both"/>
              <w:rPr>
                <w:lang w:val="en-GB" w:eastAsia="pl-PL"/>
              </w:rPr>
            </w:pPr>
            <w:r w:rsidRPr="0061664C">
              <w:rPr>
                <w:rFonts w:eastAsia="MS Mincho"/>
                <w:lang w:val="en-GB"/>
              </w:rPr>
              <w:t>In the updated Birds and Mammals Guidance (EFSA, 2023) t</w:t>
            </w:r>
            <w:r w:rsidRPr="0061664C">
              <w:rPr>
                <w:rFonts w:eastAsiaTheme="minorHAnsi"/>
                <w:lang w:val="en-GB"/>
                <w14:ligatures w14:val="standardContextual"/>
              </w:rPr>
              <w:t>omatoes were included in the crop group ‘</w:t>
            </w:r>
            <w:r w:rsidRPr="0061664C">
              <w:rPr>
                <w:rFonts w:eastAsia="AdvTT62f2e734+20"/>
                <w:lang w:val="en-GB"/>
                <w14:ligatures w14:val="standardContextual"/>
              </w:rPr>
              <w:t>f</w:t>
            </w:r>
            <w:r w:rsidRPr="0061664C">
              <w:rPr>
                <w:rFonts w:eastAsiaTheme="minorHAnsi"/>
                <w:lang w:val="en-GB"/>
                <w14:ligatures w14:val="standardContextual"/>
              </w:rPr>
              <w:t>ruiting solanaceous vegetable crops</w:t>
            </w:r>
            <w:r w:rsidRPr="0061664C">
              <w:rPr>
                <w:rFonts w:eastAsia="AdvTT62f2e734+20"/>
                <w:lang w:val="en-GB"/>
                <w14:ligatures w14:val="standardContextual"/>
              </w:rPr>
              <w:t>’</w:t>
            </w:r>
          </w:p>
          <w:p w14:paraId="342976B7" w14:textId="0DA2C714" w:rsidR="00944FCF" w:rsidRPr="0061664C" w:rsidRDefault="00944FCF" w:rsidP="00B768F5">
            <w:pPr>
              <w:autoSpaceDE w:val="0"/>
              <w:autoSpaceDN w:val="0"/>
              <w:adjustRightInd w:val="0"/>
              <w:spacing w:after="120"/>
              <w:jc w:val="both"/>
              <w:rPr>
                <w:lang w:val="en-GB"/>
              </w:rPr>
            </w:pPr>
            <w:r w:rsidRPr="0061664C">
              <w:rPr>
                <w:lang w:val="en-GB" w:eastAsia="pl-PL"/>
              </w:rPr>
              <w:t>The default RUD values given in EFSA (2009) had several shortcomings (e.g., only few data were</w:t>
            </w:r>
            <w:r w:rsidR="0061664C">
              <w:rPr>
                <w:lang w:val="en-GB" w:eastAsia="pl-PL"/>
              </w:rPr>
              <w:t xml:space="preserve"> </w:t>
            </w:r>
            <w:r w:rsidRPr="0061664C">
              <w:rPr>
                <w:lang w:val="en-GB" w:eastAsia="pl-PL"/>
              </w:rPr>
              <w:t xml:space="preserve">available for some matrices). Nowadays available information on residues in </w:t>
            </w:r>
            <w:r w:rsidR="00781BA0">
              <w:rPr>
                <w:lang w:val="en-GB" w:eastAsia="pl-PL"/>
              </w:rPr>
              <w:t>‘</w:t>
            </w:r>
            <w:r w:rsidR="007F16EA" w:rsidRPr="0061664C">
              <w:rPr>
                <w:lang w:val="en-GB"/>
              </w:rPr>
              <w:t>fruiting solanaceous vegetable crops</w:t>
            </w:r>
            <w:r w:rsidR="007F16EA" w:rsidRPr="0061664C">
              <w:rPr>
                <w:rFonts w:eastAsia="AdvTT62f2e734+20"/>
                <w:lang w:val="en-GB"/>
              </w:rPr>
              <w:t>’</w:t>
            </w:r>
            <w:r w:rsidR="00B577E4" w:rsidRPr="0061664C">
              <w:rPr>
                <w:rFonts w:eastAsia="AdvTT62f2e734+20"/>
                <w:lang w:val="en-GB"/>
              </w:rPr>
              <w:t xml:space="preserve"> </w:t>
            </w:r>
            <w:r w:rsidRPr="0061664C">
              <w:rPr>
                <w:lang w:val="en-GB" w:eastAsia="pl-PL"/>
              </w:rPr>
              <w:t xml:space="preserve">has been evaluated according to current standards and using a larger dataset (the database developed by Lahr et al.; 2018). </w:t>
            </w:r>
            <w:r w:rsidR="00E94BE4">
              <w:rPr>
                <w:lang w:val="en-GB" w:eastAsia="pl-PL"/>
              </w:rPr>
              <w:t>F</w:t>
            </w:r>
            <w:r w:rsidR="00E94BE4" w:rsidRPr="0061664C">
              <w:rPr>
                <w:lang w:val="en-GB"/>
              </w:rPr>
              <w:t>or this crop group data were available from 97 samples</w:t>
            </w:r>
            <w:r w:rsidR="00693189">
              <w:rPr>
                <w:lang w:val="en-GB"/>
              </w:rPr>
              <w:t>,</w:t>
            </w:r>
            <w:r w:rsidR="00E94BE4" w:rsidRPr="0061664C">
              <w:rPr>
                <w:lang w:val="en-GB"/>
              </w:rPr>
              <w:t xml:space="preserve"> where for tomatoes - 88% and peppers – 12%</w:t>
            </w:r>
            <w:r w:rsidR="00E94BE4">
              <w:rPr>
                <w:lang w:val="en-GB"/>
              </w:rPr>
              <w:t>.</w:t>
            </w:r>
            <w:r w:rsidR="00E94BE4" w:rsidRPr="0061664C">
              <w:rPr>
                <w:lang w:val="en-GB" w:eastAsia="pl-PL"/>
              </w:rPr>
              <w:t xml:space="preserve"> </w:t>
            </w:r>
            <w:r w:rsidRPr="0061664C">
              <w:rPr>
                <w:lang w:val="en-GB" w:eastAsia="pl-PL"/>
              </w:rPr>
              <w:t>In z RMS opinion, the residue data evaluated for the purposes of revision B&amp;M guidance are the most reliable for the regulatory use. The WG considered that a geometric mean value was preferable to the arithmetic mean which was used in EFSA (2009) as there is less influence of the extreme values in the distribution.</w:t>
            </w:r>
          </w:p>
          <w:p w14:paraId="706F6CC8" w14:textId="77777777" w:rsidR="00D7760E" w:rsidRDefault="00D7760E" w:rsidP="00B768F5">
            <w:pPr>
              <w:spacing w:after="120"/>
              <w:jc w:val="both"/>
              <w:rPr>
                <w:rFonts w:eastAsia="MS Mincho"/>
                <w:lang w:val="en-GB"/>
              </w:rPr>
            </w:pPr>
            <w:r w:rsidRPr="00B768F5">
              <w:rPr>
                <w:rFonts w:eastAsia="MS Mincho"/>
                <w:lang w:val="en-GB"/>
              </w:rPr>
              <w:t xml:space="preserve">The geometric mean RUDs for </w:t>
            </w:r>
            <w:r w:rsidR="00B768F5" w:rsidRPr="00B768F5">
              <w:rPr>
                <w:rFonts w:eastAsiaTheme="minorHAnsi"/>
                <w:lang w:val="en-GB"/>
                <w14:ligatures w14:val="standardContextual"/>
              </w:rPr>
              <w:t>‘</w:t>
            </w:r>
            <w:r w:rsidR="00B768F5" w:rsidRPr="00B768F5">
              <w:rPr>
                <w:rFonts w:eastAsia="AdvTT62f2e734+20"/>
                <w:lang w:val="en-GB"/>
                <w14:ligatures w14:val="standardContextual"/>
              </w:rPr>
              <w:t>f</w:t>
            </w:r>
            <w:r w:rsidR="00B768F5" w:rsidRPr="00B768F5">
              <w:rPr>
                <w:rFonts w:eastAsiaTheme="minorHAnsi"/>
                <w:lang w:val="en-GB"/>
                <w14:ligatures w14:val="standardContextual"/>
              </w:rPr>
              <w:t>ruiting solanaceous vegetable crops</w:t>
            </w:r>
            <w:r w:rsidR="00B768F5" w:rsidRPr="00B768F5">
              <w:rPr>
                <w:rFonts w:eastAsia="AdvTT62f2e734+20"/>
                <w:lang w:val="en-GB"/>
                <w14:ligatures w14:val="standardContextual"/>
              </w:rPr>
              <w:t xml:space="preserve">’ </w:t>
            </w:r>
            <w:r w:rsidRPr="00B768F5">
              <w:rPr>
                <w:rFonts w:eastAsia="MS Mincho"/>
                <w:lang w:val="en-GB"/>
              </w:rPr>
              <w:t>according to the revised RUD data is 0.73 mg a.s./kg</w:t>
            </w:r>
            <w:r w:rsidR="00B768F5" w:rsidRPr="00B768F5">
              <w:rPr>
                <w:rFonts w:eastAsia="MS Mincho"/>
                <w:lang w:val="en-GB"/>
              </w:rPr>
              <w:t xml:space="preserve"> (Table J.8)</w:t>
            </w:r>
            <w:r w:rsidRPr="00B768F5">
              <w:rPr>
                <w:rFonts w:eastAsia="MS Mincho"/>
                <w:lang w:val="en-GB"/>
              </w:rPr>
              <w:t>.</w:t>
            </w:r>
          </w:p>
          <w:p w14:paraId="33974ABA" w14:textId="21297304" w:rsidR="00B7410F" w:rsidRPr="00D7760E" w:rsidRDefault="000969BD" w:rsidP="00B768F5">
            <w:pPr>
              <w:spacing w:after="120"/>
              <w:jc w:val="both"/>
              <w:rPr>
                <w:rFonts w:eastAsia="MS Mincho"/>
                <w:highlight w:val="green"/>
                <w:lang w:val="en-GB"/>
              </w:rPr>
            </w:pPr>
            <w:r w:rsidRPr="0009781A">
              <w:rPr>
                <w:rFonts w:eastAsia="MS Mincho"/>
                <w:lang w:val="en-GB"/>
              </w:rPr>
              <w:t xml:space="preserve">Only for </w:t>
            </w:r>
            <w:r w:rsidR="00156B30" w:rsidRPr="0009781A">
              <w:rPr>
                <w:rFonts w:eastAsia="MS Mincho"/>
                <w:lang w:val="en-GB"/>
              </w:rPr>
              <w:t>tomatoes the</w:t>
            </w:r>
            <w:r w:rsidR="00BC3F37" w:rsidRPr="0009781A">
              <w:rPr>
                <w:rFonts w:eastAsia="MS Mincho"/>
                <w:lang w:val="en-GB"/>
              </w:rPr>
              <w:t xml:space="preserve"> </w:t>
            </w:r>
            <w:r w:rsidR="00BC3F37" w:rsidRPr="00B90B69">
              <w:rPr>
                <w:rFonts w:cstheme="minorHAnsi"/>
                <w:lang w:val="en-GB" w:eastAsia="de-DE"/>
              </w:rPr>
              <w:t xml:space="preserve">exposure </w:t>
            </w:r>
            <w:r w:rsidR="00BC3F37">
              <w:rPr>
                <w:rFonts w:cstheme="minorHAnsi"/>
                <w:lang w:val="en-GB" w:eastAsia="de-DE"/>
              </w:rPr>
              <w:t>was</w:t>
            </w:r>
            <w:r w:rsidR="00BC3F37" w:rsidRPr="00B90B69">
              <w:rPr>
                <w:rFonts w:cstheme="minorHAnsi"/>
                <w:lang w:val="en-GB" w:eastAsia="de-DE"/>
              </w:rPr>
              <w:t xml:space="preserve"> refined using </w:t>
            </w:r>
            <w:r w:rsidR="00EC0C7C">
              <w:rPr>
                <w:rFonts w:cstheme="minorHAnsi"/>
                <w:lang w:val="en-GB" w:eastAsia="de-DE"/>
              </w:rPr>
              <w:t xml:space="preserve">RUDm value from </w:t>
            </w:r>
            <w:r w:rsidR="00BC3F37" w:rsidRPr="00B90B69">
              <w:rPr>
                <w:rFonts w:cstheme="minorHAnsi"/>
                <w:lang w:val="en-GB" w:eastAsia="de-DE"/>
              </w:rPr>
              <w:t>EFSA (2023)</w:t>
            </w:r>
            <w:r w:rsidR="00EC0C7C">
              <w:rPr>
                <w:rFonts w:cstheme="minorHAnsi"/>
                <w:lang w:val="en-GB" w:eastAsia="de-DE"/>
              </w:rPr>
              <w:t xml:space="preserve">. For other exposure scenarios </w:t>
            </w:r>
            <w:r w:rsidR="00CA344F">
              <w:rPr>
                <w:rFonts w:cstheme="minorHAnsi"/>
                <w:lang w:val="en-GB" w:eastAsia="de-DE"/>
              </w:rPr>
              <w:t>it was not required as acceptable risk was concluded usin</w:t>
            </w:r>
            <w:r w:rsidR="00F40B0F">
              <w:rPr>
                <w:rFonts w:cstheme="minorHAnsi"/>
                <w:lang w:val="en-GB" w:eastAsia="de-DE"/>
              </w:rPr>
              <w:t xml:space="preserve">g more conservative </w:t>
            </w:r>
            <w:r w:rsidR="0009781A">
              <w:rPr>
                <w:rFonts w:cstheme="minorHAnsi"/>
                <w:lang w:val="en-GB" w:eastAsia="de-DE"/>
              </w:rPr>
              <w:t>RUD values from EFSA (2009).</w:t>
            </w:r>
          </w:p>
        </w:tc>
      </w:tr>
    </w:tbl>
    <w:p w14:paraId="69E369B1" w14:textId="77777777" w:rsidR="00202C53" w:rsidRDefault="00202C53" w:rsidP="00202C53"/>
    <w:p w14:paraId="76D095CE" w14:textId="5C60B7EF" w:rsidR="007770A3" w:rsidRPr="00EE6D22" w:rsidRDefault="007770A3" w:rsidP="00DC5685">
      <w:pPr>
        <w:jc w:val="both"/>
        <w:rPr>
          <w:rFonts w:eastAsia="MS Mincho"/>
          <w:highlight w:val="green"/>
          <w:lang w:val="en-GB"/>
        </w:rPr>
      </w:pPr>
    </w:p>
    <w:p w14:paraId="057D27C4" w14:textId="2B32CE2C" w:rsidR="00EE6D22" w:rsidRPr="00EE6D22" w:rsidRDefault="00EE6D22" w:rsidP="00EE6D22">
      <w:pPr>
        <w:keepNext/>
        <w:jc w:val="both"/>
        <w:rPr>
          <w:rFonts w:eastAsia="MS Mincho"/>
          <w:b/>
          <w:bCs/>
          <w:u w:val="single"/>
          <w:lang w:val="en-GB"/>
        </w:rPr>
      </w:pPr>
      <w:r w:rsidRPr="00EE6D22">
        <w:rPr>
          <w:rFonts w:eastAsia="MS Mincho"/>
          <w:b/>
          <w:bCs/>
          <w:highlight w:val="green"/>
          <w:u w:val="single"/>
          <w:lang w:val="en-GB"/>
        </w:rPr>
        <w:t>Refined risk assessments</w:t>
      </w:r>
    </w:p>
    <w:p w14:paraId="7B942929" w14:textId="2A85AA2B" w:rsidR="00DA391D" w:rsidRDefault="00DA391D" w:rsidP="00DA391D">
      <w:pPr>
        <w:keepNext/>
        <w:keepLines/>
        <w:spacing w:before="200" w:after="120"/>
        <w:jc w:val="both"/>
        <w:rPr>
          <w:rFonts w:eastAsia="MS Mincho"/>
          <w:lang w:val="en-GB"/>
        </w:rPr>
      </w:pPr>
      <w:r w:rsidRPr="00DA391D">
        <w:rPr>
          <w:rFonts w:eastAsia="MS Mincho"/>
          <w:highlight w:val="green"/>
          <w:lang w:val="en-GB"/>
        </w:rPr>
        <w:t>In line with the risk assessments failing at Tier 1, below revised risk assessments are presented for propamocarb-HCl and the formulated product BAS 743 03 F (based on NOEL</w:t>
      </w:r>
      <w:r w:rsidRPr="00DA391D">
        <w:rPr>
          <w:rFonts w:eastAsia="MS Mincho"/>
          <w:highlight w:val="green"/>
          <w:vertAlign w:val="subscript"/>
          <w:lang w:val="en-GB"/>
        </w:rPr>
        <w:t>mix</w:t>
      </w:r>
      <w:r w:rsidRPr="00DA391D">
        <w:rPr>
          <w:rFonts w:eastAsia="MS Mincho"/>
          <w:highlight w:val="green"/>
          <w:lang w:val="en-GB"/>
        </w:rPr>
        <w:t>) for the frugivorous “crow”.</w:t>
      </w:r>
    </w:p>
    <w:p w14:paraId="50F9BD96" w14:textId="77777777" w:rsidR="00D35101" w:rsidRDefault="00D35101" w:rsidP="00DA391D">
      <w:pPr>
        <w:keepNext/>
        <w:keepLines/>
        <w:spacing w:before="200" w:after="120"/>
        <w:jc w:val="both"/>
        <w:rPr>
          <w:rFonts w:eastAsia="MS Mincho"/>
          <w:lang w:val="en-GB"/>
        </w:rPr>
      </w:pPr>
    </w:p>
    <w:p w14:paraId="7E0F91AA" w14:textId="7A7C1FCD" w:rsidR="00DC5685" w:rsidRPr="000150E8" w:rsidRDefault="00DC5685" w:rsidP="00040983">
      <w:pPr>
        <w:pStyle w:val="Legenda"/>
        <w:rPr>
          <w:rFonts w:eastAsia="MS Mincho"/>
          <w:b w:val="0"/>
          <w:bCs w:val="0"/>
          <w:color w:val="D9D9D9" w:themeColor="background1" w:themeShade="D9"/>
        </w:rPr>
      </w:pPr>
      <w:r w:rsidRPr="000150E8">
        <w:rPr>
          <w:rFonts w:eastAsia="MS Mincho"/>
          <w:color w:val="D9D9D9" w:themeColor="background1" w:themeShade="D9"/>
        </w:rPr>
        <w:t xml:space="preserve">Table </w:t>
      </w:r>
      <w:r w:rsidR="007E7467" w:rsidRPr="000150E8">
        <w:rPr>
          <w:rFonts w:eastAsia="MS Mincho"/>
          <w:color w:val="D9D9D9" w:themeColor="background1" w:themeShade="D9"/>
        </w:rPr>
        <w:fldChar w:fldCharType="begin"/>
      </w:r>
      <w:r w:rsidR="007E7467" w:rsidRPr="000150E8">
        <w:rPr>
          <w:rFonts w:eastAsia="MS Mincho"/>
          <w:color w:val="D9D9D9" w:themeColor="background1" w:themeShade="D9"/>
        </w:rPr>
        <w:instrText xml:space="preserve"> STYLEREF 2 \s </w:instrText>
      </w:r>
      <w:r w:rsidR="007E7467" w:rsidRPr="000150E8">
        <w:rPr>
          <w:rFonts w:eastAsia="MS Mincho"/>
          <w:color w:val="D9D9D9" w:themeColor="background1" w:themeShade="D9"/>
        </w:rPr>
        <w:fldChar w:fldCharType="separate"/>
      </w:r>
      <w:r w:rsidR="006F0F3B" w:rsidRPr="000150E8">
        <w:rPr>
          <w:rFonts w:eastAsia="MS Mincho"/>
          <w:noProof/>
          <w:color w:val="D9D9D9" w:themeColor="background1" w:themeShade="D9"/>
        </w:rPr>
        <w:t>9.2</w:t>
      </w:r>
      <w:r w:rsidR="007E7467" w:rsidRPr="000150E8">
        <w:rPr>
          <w:rFonts w:eastAsia="MS Mincho"/>
          <w:color w:val="D9D9D9" w:themeColor="background1" w:themeShade="D9"/>
        </w:rPr>
        <w:fldChar w:fldCharType="end"/>
      </w:r>
      <w:r w:rsidR="007E7467" w:rsidRPr="000150E8">
        <w:rPr>
          <w:rFonts w:eastAsia="MS Mincho"/>
          <w:color w:val="D9D9D9" w:themeColor="background1" w:themeShade="D9"/>
        </w:rPr>
        <w:noBreakHyphen/>
      </w:r>
      <w:r w:rsidR="007E7467" w:rsidRPr="000150E8">
        <w:rPr>
          <w:rFonts w:eastAsia="MS Mincho"/>
          <w:color w:val="D9D9D9" w:themeColor="background1" w:themeShade="D9"/>
        </w:rPr>
        <w:fldChar w:fldCharType="begin"/>
      </w:r>
      <w:r w:rsidR="007E7467" w:rsidRPr="000150E8">
        <w:rPr>
          <w:rFonts w:eastAsia="MS Mincho"/>
          <w:color w:val="D9D9D9" w:themeColor="background1" w:themeShade="D9"/>
        </w:rPr>
        <w:instrText xml:space="preserve"> SEQ Table \* ARABIC \s 2 </w:instrText>
      </w:r>
      <w:r w:rsidR="007E7467" w:rsidRPr="000150E8">
        <w:rPr>
          <w:rFonts w:eastAsia="MS Mincho"/>
          <w:color w:val="D9D9D9" w:themeColor="background1" w:themeShade="D9"/>
        </w:rPr>
        <w:fldChar w:fldCharType="separate"/>
      </w:r>
      <w:r w:rsidR="006F0F3B" w:rsidRPr="000150E8">
        <w:rPr>
          <w:rFonts w:eastAsia="MS Mincho"/>
          <w:noProof/>
          <w:color w:val="D9D9D9" w:themeColor="background1" w:themeShade="D9"/>
        </w:rPr>
        <w:t>14</w:t>
      </w:r>
      <w:r w:rsidR="007E7467" w:rsidRPr="000150E8">
        <w:rPr>
          <w:rFonts w:eastAsia="MS Mincho"/>
          <w:color w:val="D9D9D9" w:themeColor="background1" w:themeShade="D9"/>
        </w:rPr>
        <w:fldChar w:fldCharType="end"/>
      </w:r>
      <w:r w:rsidR="00040983" w:rsidRPr="000150E8">
        <w:rPr>
          <w:rFonts w:eastAsia="MS Mincho"/>
          <w:color w:val="D9D9D9" w:themeColor="background1" w:themeShade="D9"/>
        </w:rPr>
        <w:t>:</w:t>
      </w:r>
      <w:r w:rsidRPr="000150E8">
        <w:rPr>
          <w:rFonts w:eastAsia="MS Mincho"/>
          <w:color w:val="D9D9D9" w:themeColor="background1" w:themeShade="D9"/>
        </w:rPr>
        <w:t xml:space="preserve"> </w:t>
      </w:r>
      <w:r w:rsidRPr="000150E8">
        <w:rPr>
          <w:rFonts w:eastAsia="MS Mincho"/>
          <w:color w:val="D9D9D9" w:themeColor="background1" w:themeShade="D9"/>
        </w:rPr>
        <w:tab/>
        <w:t>Higher-tier assessment of the long-term/reproductive risk for the frugivorous bird “crow” due to the exposure to propamocarb-HCl following the uses of BAS 743 03 F in fruiting vegetables (BBCH 71 – 89)</w:t>
      </w:r>
      <w:r w:rsidR="00EE6D22" w:rsidRPr="000150E8">
        <w:rPr>
          <w:rFonts w:eastAsia="MS Mincho"/>
          <w:color w:val="D9D9D9" w:themeColor="background1" w:themeShade="D9"/>
        </w:rPr>
        <w:t xml:space="preserve"> </w:t>
      </w:r>
      <w:r w:rsidR="00EE6D22" w:rsidRPr="000150E8">
        <w:rPr>
          <w:rFonts w:eastAsia="MS Mincho"/>
          <w:color w:val="D9D9D9" w:themeColor="background1" w:themeShade="D9"/>
          <w:highlight w:val="green"/>
        </w:rPr>
        <w:t>– revised PD</w:t>
      </w:r>
      <w:r w:rsidR="00142FF0" w:rsidRPr="000150E8">
        <w:rPr>
          <w:rFonts w:eastAsia="MS Mincho"/>
          <w:color w:val="D9D9D9" w:themeColor="background1" w:themeShade="D9"/>
          <w:highlight w:val="green"/>
        </w:rPr>
        <w:t>, 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5"/>
        <w:gridCol w:w="854"/>
        <w:gridCol w:w="572"/>
        <w:gridCol w:w="1109"/>
        <w:gridCol w:w="1155"/>
        <w:gridCol w:w="849"/>
        <w:gridCol w:w="729"/>
        <w:gridCol w:w="570"/>
        <w:gridCol w:w="976"/>
        <w:gridCol w:w="709"/>
        <w:gridCol w:w="699"/>
      </w:tblGrid>
      <w:tr w:rsidR="000150E8" w:rsidRPr="000150E8" w14:paraId="331DE650" w14:textId="77777777" w:rsidTr="000470C3">
        <w:tc>
          <w:tcPr>
            <w:tcW w:w="1365" w:type="pct"/>
            <w:gridSpan w:val="3"/>
            <w:tcBorders>
              <w:top w:val="single" w:sz="4" w:space="0" w:color="auto"/>
              <w:right w:val="single" w:sz="4" w:space="0" w:color="auto"/>
            </w:tcBorders>
          </w:tcPr>
          <w:p w14:paraId="3654144C" w14:textId="77777777" w:rsidR="00DC5685" w:rsidRPr="000150E8" w:rsidRDefault="00DC5685" w:rsidP="000470C3">
            <w:pPr>
              <w:keepNext/>
              <w:keepLines/>
              <w:spacing w:before="20" w:after="20"/>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lastRenderedPageBreak/>
              <w:t>Reprod. toxicity (mg/kg bw/d)</w:t>
            </w:r>
          </w:p>
        </w:tc>
        <w:tc>
          <w:tcPr>
            <w:tcW w:w="3635" w:type="pct"/>
            <w:gridSpan w:val="8"/>
            <w:tcBorders>
              <w:top w:val="single" w:sz="4" w:space="0" w:color="auto"/>
              <w:right w:val="single" w:sz="4" w:space="0" w:color="auto"/>
            </w:tcBorders>
          </w:tcPr>
          <w:p w14:paraId="529B83D8" w14:textId="77777777" w:rsidR="00DC5685" w:rsidRPr="000150E8" w:rsidRDefault="00DC5685" w:rsidP="000470C3">
            <w:pPr>
              <w:keepNext/>
              <w:keepLines/>
              <w:spacing w:before="20" w:after="20"/>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105</w:t>
            </w:r>
          </w:p>
        </w:tc>
      </w:tr>
      <w:tr w:rsidR="000150E8" w:rsidRPr="000150E8" w14:paraId="0CCFFEF4" w14:textId="77777777" w:rsidTr="000470C3">
        <w:tc>
          <w:tcPr>
            <w:tcW w:w="1365" w:type="pct"/>
            <w:gridSpan w:val="3"/>
            <w:tcBorders>
              <w:top w:val="single" w:sz="4" w:space="0" w:color="auto"/>
              <w:right w:val="single" w:sz="4" w:space="0" w:color="auto"/>
            </w:tcBorders>
          </w:tcPr>
          <w:p w14:paraId="6B63714A" w14:textId="3A6D326B" w:rsidR="008F40BF" w:rsidRPr="000150E8" w:rsidRDefault="008F40BF" w:rsidP="008F40BF">
            <w:pPr>
              <w:keepNext/>
              <w:widowControl w:val="0"/>
              <w:rPr>
                <w:rFonts w:eastAsia="MS Mincho"/>
                <w:b/>
                <w:bCs/>
                <w:color w:val="D9D9D9" w:themeColor="background1" w:themeShade="D9"/>
                <w:sz w:val="20"/>
                <w:szCs w:val="20"/>
                <w:highlight w:val="green"/>
                <w:lang w:val="en-GB"/>
              </w:rPr>
            </w:pPr>
            <w:r w:rsidRPr="000150E8">
              <w:rPr>
                <w:b/>
                <w:bCs/>
                <w:color w:val="D9D9D9" w:themeColor="background1" w:themeShade="D9"/>
                <w:sz w:val="20"/>
                <w:szCs w:val="20"/>
                <w:highlight w:val="green"/>
                <w:lang w:val="en-GB"/>
              </w:rPr>
              <w:t>App. Rate (kg a.s./ha)</w:t>
            </w:r>
          </w:p>
        </w:tc>
        <w:tc>
          <w:tcPr>
            <w:tcW w:w="3635" w:type="pct"/>
            <w:gridSpan w:val="8"/>
            <w:tcBorders>
              <w:top w:val="single" w:sz="4" w:space="0" w:color="auto"/>
              <w:right w:val="single" w:sz="4" w:space="0" w:color="auto"/>
            </w:tcBorders>
          </w:tcPr>
          <w:p w14:paraId="60FE09EF" w14:textId="47722523" w:rsidR="008F40BF" w:rsidRPr="000150E8" w:rsidRDefault="008F40BF" w:rsidP="000470C3">
            <w:pPr>
              <w:keepNext/>
              <w:keepLines/>
              <w:spacing w:before="20" w:after="20"/>
              <w:rPr>
                <w:rFonts w:eastAsia="MS Mincho"/>
                <w:bCs/>
                <w:color w:val="D9D9D9" w:themeColor="background1" w:themeShade="D9"/>
                <w:sz w:val="20"/>
                <w:szCs w:val="20"/>
                <w:highlight w:val="green"/>
                <w:lang w:val="en-GB"/>
              </w:rPr>
            </w:pPr>
            <w:r w:rsidRPr="000150E8">
              <w:rPr>
                <w:bCs/>
                <w:color w:val="D9D9D9" w:themeColor="background1" w:themeShade="D9"/>
                <w:sz w:val="20"/>
                <w:szCs w:val="20"/>
                <w:highlight w:val="green"/>
                <w:lang w:val="es-ES"/>
              </w:rPr>
              <w:t>2 x 0.902</w:t>
            </w:r>
          </w:p>
        </w:tc>
      </w:tr>
      <w:tr w:rsidR="000150E8" w:rsidRPr="000150E8" w14:paraId="26592E65" w14:textId="77777777" w:rsidTr="000470C3">
        <w:tc>
          <w:tcPr>
            <w:tcW w:w="1365" w:type="pct"/>
            <w:gridSpan w:val="3"/>
            <w:tcBorders>
              <w:bottom w:val="single" w:sz="12" w:space="0" w:color="auto"/>
              <w:right w:val="single" w:sz="4" w:space="0" w:color="auto"/>
            </w:tcBorders>
          </w:tcPr>
          <w:p w14:paraId="1D1953AC" w14:textId="77777777" w:rsidR="00DC5685" w:rsidRPr="000150E8" w:rsidRDefault="00DC5685" w:rsidP="000470C3">
            <w:pPr>
              <w:keepNext/>
              <w:keepLines/>
              <w:spacing w:before="20" w:after="20"/>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TER criterion</w:t>
            </w:r>
          </w:p>
        </w:tc>
        <w:tc>
          <w:tcPr>
            <w:tcW w:w="3635" w:type="pct"/>
            <w:gridSpan w:val="8"/>
            <w:tcBorders>
              <w:bottom w:val="single" w:sz="12" w:space="0" w:color="auto"/>
              <w:right w:val="single" w:sz="4" w:space="0" w:color="auto"/>
            </w:tcBorders>
          </w:tcPr>
          <w:p w14:paraId="6FABA155" w14:textId="77777777" w:rsidR="00DC5685" w:rsidRPr="000150E8" w:rsidRDefault="00DC5685" w:rsidP="000470C3">
            <w:pPr>
              <w:keepNext/>
              <w:keepLines/>
              <w:spacing w:before="20" w:after="20"/>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5</w:t>
            </w:r>
          </w:p>
        </w:tc>
      </w:tr>
      <w:tr w:rsidR="000150E8" w:rsidRPr="000150E8" w14:paraId="6B6C03B9" w14:textId="77777777" w:rsidTr="000470C3">
        <w:tc>
          <w:tcPr>
            <w:tcW w:w="602" w:type="pct"/>
            <w:tcBorders>
              <w:top w:val="single" w:sz="12" w:space="0" w:color="auto"/>
              <w:right w:val="single" w:sz="8" w:space="0" w:color="auto"/>
            </w:tcBorders>
          </w:tcPr>
          <w:p w14:paraId="46559D8D"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Max. application rate (g a.s./ha)</w:t>
            </w:r>
          </w:p>
        </w:tc>
        <w:tc>
          <w:tcPr>
            <w:tcW w:w="457" w:type="pct"/>
            <w:tcBorders>
              <w:top w:val="single" w:sz="12" w:space="0" w:color="auto"/>
              <w:right w:val="single" w:sz="8" w:space="0" w:color="auto"/>
            </w:tcBorders>
            <w:shd w:val="clear" w:color="auto" w:fill="auto"/>
          </w:tcPr>
          <w:p w14:paraId="5D8A014A"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Calibri"/>
                <w:b/>
                <w:color w:val="D9D9D9" w:themeColor="background1" w:themeShade="D9"/>
                <w:sz w:val="20"/>
                <w:szCs w:val="20"/>
                <w:lang w:val="en-GB"/>
              </w:rPr>
              <w:t>Feed item</w:t>
            </w:r>
          </w:p>
        </w:tc>
        <w:tc>
          <w:tcPr>
            <w:tcW w:w="306" w:type="pct"/>
            <w:tcBorders>
              <w:top w:val="single" w:sz="12" w:space="0" w:color="auto"/>
              <w:left w:val="single" w:sz="8" w:space="0" w:color="auto"/>
            </w:tcBorders>
            <w:shd w:val="clear" w:color="auto" w:fill="auto"/>
          </w:tcPr>
          <w:p w14:paraId="12605046"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Calibri"/>
                <w:b/>
                <w:color w:val="D9D9D9" w:themeColor="background1" w:themeShade="D9"/>
                <w:sz w:val="20"/>
                <w:szCs w:val="20"/>
                <w:lang w:val="en-GB"/>
              </w:rPr>
              <w:t>PD</w:t>
            </w:r>
          </w:p>
        </w:tc>
        <w:tc>
          <w:tcPr>
            <w:tcW w:w="593" w:type="pct"/>
            <w:tcBorders>
              <w:top w:val="single" w:sz="12" w:space="0" w:color="auto"/>
            </w:tcBorders>
            <w:shd w:val="clear" w:color="auto" w:fill="auto"/>
          </w:tcPr>
          <w:p w14:paraId="13F43F7C"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FIR</w:t>
            </w:r>
            <w:r w:rsidRPr="000150E8">
              <w:rPr>
                <w:rFonts w:eastAsia="MS Mincho"/>
                <w:b/>
                <w:bCs/>
                <w:color w:val="D9D9D9" w:themeColor="background1" w:themeShade="D9"/>
                <w:sz w:val="20"/>
                <w:szCs w:val="20"/>
                <w:vertAlign w:val="subscript"/>
                <w:lang w:val="en-GB"/>
              </w:rPr>
              <w:t>i</w:t>
            </w:r>
            <w:r w:rsidRPr="000150E8">
              <w:rPr>
                <w:rFonts w:eastAsia="MS Mincho"/>
                <w:b/>
                <w:bCs/>
                <w:color w:val="D9D9D9" w:themeColor="background1" w:themeShade="D9"/>
                <w:sz w:val="20"/>
                <w:szCs w:val="20"/>
                <w:lang w:val="en-GB"/>
              </w:rPr>
              <w:t>, total fresh</w:t>
            </w:r>
          </w:p>
          <w:p w14:paraId="1C34386A"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[g fresh weight/d]</w:t>
            </w:r>
          </w:p>
        </w:tc>
        <w:tc>
          <w:tcPr>
            <w:tcW w:w="618" w:type="pct"/>
            <w:tcBorders>
              <w:top w:val="single" w:sz="12" w:space="0" w:color="auto"/>
            </w:tcBorders>
            <w:shd w:val="clear" w:color="auto" w:fill="auto"/>
          </w:tcPr>
          <w:p w14:paraId="1A64EF1C" w14:textId="77777777" w:rsidR="00DC5685" w:rsidRPr="000150E8" w:rsidRDefault="00DC5685" w:rsidP="000470C3">
            <w:pPr>
              <w:keepNext/>
              <w:keepLines/>
              <w:widowControl w:val="0"/>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RUD of food item</w:t>
            </w:r>
          </w:p>
          <w:p w14:paraId="2D35CC48" w14:textId="77777777" w:rsidR="00DC5685" w:rsidRPr="000150E8" w:rsidRDefault="00DC5685" w:rsidP="000470C3">
            <w:pPr>
              <w:keepNext/>
              <w:keepLines/>
              <w:widowControl w:val="0"/>
              <w:spacing w:before="20" w:after="20"/>
              <w:jc w:val="center"/>
              <w:rPr>
                <w:rFonts w:eastAsia="MS Mincho"/>
                <w:b/>
                <w:bCs/>
                <w:color w:val="D9D9D9" w:themeColor="background1" w:themeShade="D9"/>
                <w:sz w:val="20"/>
                <w:szCs w:val="20"/>
                <w:vertAlign w:val="superscript"/>
                <w:lang w:val="en-GB"/>
              </w:rPr>
            </w:pPr>
            <w:r w:rsidRPr="000150E8">
              <w:rPr>
                <w:rFonts w:eastAsia="MS Mincho"/>
                <w:b/>
                <w:bCs/>
                <w:color w:val="D9D9D9" w:themeColor="background1" w:themeShade="D9"/>
                <w:sz w:val="20"/>
                <w:szCs w:val="20"/>
                <w:lang w:val="en-GB"/>
              </w:rPr>
              <w:t>[mg a.s./kg]</w:t>
            </w:r>
          </w:p>
        </w:tc>
        <w:tc>
          <w:tcPr>
            <w:tcW w:w="454" w:type="pct"/>
            <w:tcBorders>
              <w:top w:val="single" w:sz="12" w:space="0" w:color="auto"/>
            </w:tcBorders>
            <w:shd w:val="clear" w:color="auto" w:fill="auto"/>
          </w:tcPr>
          <w:p w14:paraId="03EAA819"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de-DE"/>
              </w:rPr>
            </w:pPr>
            <w:r w:rsidRPr="000150E8">
              <w:rPr>
                <w:rFonts w:eastAsia="MS Mincho"/>
                <w:b/>
                <w:bCs/>
                <w:color w:val="D9D9D9" w:themeColor="background1" w:themeShade="D9"/>
                <w:sz w:val="20"/>
                <w:szCs w:val="20"/>
                <w:lang w:val="de-DE"/>
              </w:rPr>
              <w:t>MAF × twa*</w:t>
            </w:r>
          </w:p>
        </w:tc>
        <w:tc>
          <w:tcPr>
            <w:tcW w:w="390" w:type="pct"/>
            <w:tcBorders>
              <w:top w:val="single" w:sz="12" w:space="0" w:color="auto"/>
            </w:tcBorders>
          </w:tcPr>
          <w:p w14:paraId="5C3F7490"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de-DE"/>
              </w:rPr>
            </w:pPr>
            <w:r w:rsidRPr="000150E8">
              <w:rPr>
                <w:rFonts w:eastAsia="MS Mincho"/>
                <w:b/>
                <w:bCs/>
                <w:color w:val="D9D9D9" w:themeColor="background1" w:themeShade="D9"/>
                <w:sz w:val="20"/>
                <w:szCs w:val="20"/>
                <w:lang w:val="de-DE"/>
              </w:rPr>
              <w:t>DF</w:t>
            </w:r>
          </w:p>
        </w:tc>
        <w:tc>
          <w:tcPr>
            <w:tcW w:w="305" w:type="pct"/>
            <w:tcBorders>
              <w:top w:val="single" w:sz="12" w:space="0" w:color="auto"/>
            </w:tcBorders>
          </w:tcPr>
          <w:p w14:paraId="09679BF9"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de-DE"/>
              </w:rPr>
            </w:pPr>
            <w:r w:rsidRPr="000150E8">
              <w:rPr>
                <w:rFonts w:eastAsia="MS Mincho"/>
                <w:b/>
                <w:bCs/>
                <w:color w:val="D9D9D9" w:themeColor="background1" w:themeShade="D9"/>
                <w:sz w:val="20"/>
                <w:szCs w:val="20"/>
                <w:lang w:val="de-DE"/>
              </w:rPr>
              <w:t>PT</w:t>
            </w:r>
          </w:p>
        </w:tc>
        <w:tc>
          <w:tcPr>
            <w:tcW w:w="522" w:type="pct"/>
            <w:tcBorders>
              <w:top w:val="single" w:sz="12" w:space="0" w:color="auto"/>
            </w:tcBorders>
            <w:shd w:val="clear" w:color="auto" w:fill="auto"/>
          </w:tcPr>
          <w:p w14:paraId="66D742E5"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de-DE"/>
              </w:rPr>
            </w:pPr>
            <w:r w:rsidRPr="000150E8">
              <w:rPr>
                <w:rFonts w:eastAsia="MS Mincho"/>
                <w:b/>
                <w:bCs/>
                <w:color w:val="D9D9D9" w:themeColor="background1" w:themeShade="D9"/>
                <w:sz w:val="20"/>
                <w:szCs w:val="20"/>
                <w:lang w:val="de-DE"/>
              </w:rPr>
              <w:t>DDD</w:t>
            </w:r>
            <w:r w:rsidRPr="000150E8">
              <w:rPr>
                <w:rFonts w:eastAsia="MS Mincho"/>
                <w:b/>
                <w:bCs/>
                <w:color w:val="D9D9D9" w:themeColor="background1" w:themeShade="D9"/>
                <w:sz w:val="20"/>
                <w:szCs w:val="20"/>
                <w:vertAlign w:val="subscript"/>
                <w:lang w:val="de-DE"/>
              </w:rPr>
              <w:t>m</w:t>
            </w:r>
          </w:p>
          <w:p w14:paraId="6B2E482B"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de-DE"/>
              </w:rPr>
            </w:pPr>
            <w:r w:rsidRPr="000150E8">
              <w:rPr>
                <w:rFonts w:eastAsia="MS Mincho"/>
                <w:b/>
                <w:bCs/>
                <w:color w:val="D9D9D9" w:themeColor="background1" w:themeShade="D9"/>
                <w:sz w:val="20"/>
                <w:szCs w:val="20"/>
                <w:lang w:val="de-DE"/>
              </w:rPr>
              <w:t>(mg/kg bw/d)</w:t>
            </w:r>
          </w:p>
        </w:tc>
        <w:tc>
          <w:tcPr>
            <w:tcW w:w="379" w:type="pct"/>
            <w:tcBorders>
              <w:top w:val="single" w:sz="12" w:space="0" w:color="auto"/>
            </w:tcBorders>
          </w:tcPr>
          <w:p w14:paraId="699398EC"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Body weight [g]</w:t>
            </w:r>
          </w:p>
        </w:tc>
        <w:tc>
          <w:tcPr>
            <w:tcW w:w="374" w:type="pct"/>
            <w:tcBorders>
              <w:top w:val="single" w:sz="12" w:space="0" w:color="auto"/>
            </w:tcBorders>
            <w:shd w:val="clear" w:color="auto" w:fill="auto"/>
          </w:tcPr>
          <w:p w14:paraId="5E5E86F3"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lang w:val="en-GB"/>
              </w:rPr>
              <w:t>TER</w:t>
            </w:r>
            <w:r w:rsidRPr="000150E8">
              <w:rPr>
                <w:rFonts w:eastAsia="MS Mincho"/>
                <w:b/>
                <w:bCs/>
                <w:color w:val="D9D9D9" w:themeColor="background1" w:themeShade="D9"/>
                <w:sz w:val="20"/>
                <w:szCs w:val="20"/>
                <w:vertAlign w:val="subscript"/>
                <w:lang w:val="en-GB"/>
              </w:rPr>
              <w:t>lt</w:t>
            </w:r>
          </w:p>
        </w:tc>
      </w:tr>
      <w:tr w:rsidR="000150E8" w:rsidRPr="000150E8" w14:paraId="545B00CF" w14:textId="77777777" w:rsidTr="000470C3">
        <w:tc>
          <w:tcPr>
            <w:tcW w:w="5000" w:type="pct"/>
            <w:gridSpan w:val="11"/>
            <w:tcBorders>
              <w:top w:val="single" w:sz="8" w:space="0" w:color="auto"/>
              <w:left w:val="single" w:sz="8" w:space="0" w:color="auto"/>
              <w:bottom w:val="single" w:sz="4" w:space="0" w:color="auto"/>
              <w:right w:val="single" w:sz="8" w:space="0" w:color="auto"/>
            </w:tcBorders>
          </w:tcPr>
          <w:p w14:paraId="29D7BC2E" w14:textId="77777777" w:rsidR="00DC5685" w:rsidRPr="000150E8" w:rsidRDefault="00DC5685" w:rsidP="000470C3">
            <w:pPr>
              <w:keepNext/>
              <w:keepLines/>
              <w:spacing w:before="20" w:after="20"/>
              <w:rPr>
                <w:rFonts w:eastAsia="MS Mincho"/>
                <w:b/>
                <w:color w:val="D9D9D9" w:themeColor="background1" w:themeShade="D9"/>
                <w:sz w:val="20"/>
                <w:szCs w:val="20"/>
                <w:lang w:val="en-GB"/>
              </w:rPr>
            </w:pPr>
            <w:r w:rsidRPr="000150E8">
              <w:rPr>
                <w:rFonts w:eastAsia="MS Mincho"/>
                <w:b/>
                <w:color w:val="D9D9D9" w:themeColor="background1" w:themeShade="D9"/>
                <w:sz w:val="20"/>
                <w:szCs w:val="20"/>
                <w:lang w:val="en-GB"/>
              </w:rPr>
              <w:t>Fruiting vegetables</w:t>
            </w:r>
            <w:r w:rsidRPr="000150E8">
              <w:rPr>
                <w:rFonts w:eastAsia="MS Mincho"/>
                <w:color w:val="D9D9D9" w:themeColor="background1" w:themeShade="D9"/>
                <w:sz w:val="20"/>
                <w:szCs w:val="20"/>
                <w:lang w:val="en-GB"/>
              </w:rPr>
              <w:t xml:space="preserve"> </w:t>
            </w:r>
          </w:p>
        </w:tc>
      </w:tr>
      <w:tr w:rsidR="000150E8" w:rsidRPr="000150E8" w14:paraId="24488D99" w14:textId="77777777" w:rsidTr="000470C3">
        <w:tc>
          <w:tcPr>
            <w:tcW w:w="602" w:type="pct"/>
            <w:vMerge w:val="restart"/>
            <w:tcBorders>
              <w:bottom w:val="single" w:sz="12" w:space="0" w:color="auto"/>
              <w:right w:val="single" w:sz="8" w:space="0" w:color="auto"/>
            </w:tcBorders>
            <w:vAlign w:val="center"/>
          </w:tcPr>
          <w:p w14:paraId="423AE5B5"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2 x 902</w:t>
            </w:r>
          </w:p>
          <w:p w14:paraId="688B28CB"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(7 d interval)</w:t>
            </w:r>
          </w:p>
        </w:tc>
        <w:tc>
          <w:tcPr>
            <w:tcW w:w="457" w:type="pct"/>
            <w:tcBorders>
              <w:bottom w:val="single" w:sz="2" w:space="0" w:color="auto"/>
              <w:right w:val="single" w:sz="8" w:space="0" w:color="auto"/>
            </w:tcBorders>
            <w:shd w:val="clear" w:color="auto" w:fill="auto"/>
            <w:vAlign w:val="center"/>
          </w:tcPr>
          <w:p w14:paraId="3DA8DDFF"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Foliar insects</w:t>
            </w:r>
          </w:p>
        </w:tc>
        <w:tc>
          <w:tcPr>
            <w:tcW w:w="306" w:type="pct"/>
            <w:tcBorders>
              <w:left w:val="single" w:sz="8" w:space="0" w:color="auto"/>
              <w:bottom w:val="single" w:sz="2" w:space="0" w:color="auto"/>
            </w:tcBorders>
            <w:shd w:val="clear" w:color="auto" w:fill="auto"/>
            <w:vAlign w:val="center"/>
          </w:tcPr>
          <w:p w14:paraId="125948D8"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0.7</w:t>
            </w:r>
          </w:p>
        </w:tc>
        <w:tc>
          <w:tcPr>
            <w:tcW w:w="593" w:type="pct"/>
            <w:vMerge w:val="restart"/>
            <w:tcBorders>
              <w:bottom w:val="single" w:sz="2" w:space="0" w:color="auto"/>
            </w:tcBorders>
            <w:shd w:val="clear" w:color="auto" w:fill="auto"/>
            <w:vAlign w:val="center"/>
          </w:tcPr>
          <w:p w14:paraId="064C4BB5" w14:textId="217AC82F" w:rsidR="00DC5685" w:rsidRPr="000150E8" w:rsidRDefault="00142FF0"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highlight w:val="green"/>
                <w:lang w:val="en-GB"/>
              </w:rPr>
              <w:t>157.11</w:t>
            </w:r>
          </w:p>
        </w:tc>
        <w:tc>
          <w:tcPr>
            <w:tcW w:w="618" w:type="pct"/>
            <w:tcBorders>
              <w:bottom w:val="single" w:sz="2" w:space="0" w:color="auto"/>
            </w:tcBorders>
            <w:shd w:val="clear" w:color="auto" w:fill="auto"/>
            <w:vAlign w:val="center"/>
          </w:tcPr>
          <w:p w14:paraId="38010BF0" w14:textId="77777777" w:rsidR="00DC5685" w:rsidRPr="000150E8" w:rsidRDefault="00DC5685" w:rsidP="000470C3">
            <w:pPr>
              <w:keepNext/>
              <w:keepLines/>
              <w:spacing w:before="20" w:after="20"/>
              <w:jc w:val="center"/>
              <w:rPr>
                <w:rFonts w:eastAsia="MS Mincho"/>
                <w:b/>
                <w:bCs/>
                <w:color w:val="D9D9D9" w:themeColor="background1" w:themeShade="D9"/>
                <w:sz w:val="20"/>
                <w:szCs w:val="20"/>
                <w:highlight w:val="green"/>
                <w:lang w:val="en-GB"/>
              </w:rPr>
            </w:pPr>
            <w:r w:rsidRPr="000150E8">
              <w:rPr>
                <w:rFonts w:eastAsia="MS Mincho"/>
                <w:b/>
                <w:bCs/>
                <w:color w:val="D9D9D9" w:themeColor="background1" w:themeShade="D9"/>
                <w:sz w:val="20"/>
                <w:szCs w:val="20"/>
                <w:highlight w:val="green"/>
                <w:lang w:val="en-GB"/>
              </w:rPr>
              <w:t>21</w:t>
            </w:r>
          </w:p>
        </w:tc>
        <w:tc>
          <w:tcPr>
            <w:tcW w:w="454" w:type="pct"/>
            <w:vMerge w:val="restart"/>
            <w:shd w:val="clear" w:color="auto" w:fill="auto"/>
            <w:vAlign w:val="center"/>
          </w:tcPr>
          <w:p w14:paraId="1B33BDF9"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0.95</w:t>
            </w:r>
          </w:p>
        </w:tc>
        <w:tc>
          <w:tcPr>
            <w:tcW w:w="390" w:type="pct"/>
            <w:vMerge w:val="restart"/>
            <w:tcBorders>
              <w:bottom w:val="single" w:sz="12" w:space="0" w:color="auto"/>
            </w:tcBorders>
            <w:vAlign w:val="center"/>
          </w:tcPr>
          <w:p w14:paraId="2B0BAD62"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1</w:t>
            </w:r>
          </w:p>
        </w:tc>
        <w:tc>
          <w:tcPr>
            <w:tcW w:w="305" w:type="pct"/>
            <w:vMerge w:val="restart"/>
            <w:tcBorders>
              <w:bottom w:val="single" w:sz="12" w:space="0" w:color="auto"/>
            </w:tcBorders>
            <w:vAlign w:val="center"/>
          </w:tcPr>
          <w:p w14:paraId="7A075DB8" w14:textId="77777777" w:rsidR="00DC5685" w:rsidRPr="000150E8" w:rsidRDefault="00DC5685" w:rsidP="000470C3">
            <w:pPr>
              <w:keepNext/>
              <w:keepLines/>
              <w:spacing w:before="20" w:after="20"/>
              <w:jc w:val="center"/>
              <w:rPr>
                <w:rFonts w:eastAsia="MS Mincho"/>
                <w:b/>
                <w:bCs/>
                <w:color w:val="D9D9D9" w:themeColor="background1" w:themeShade="D9"/>
                <w:sz w:val="20"/>
                <w:szCs w:val="20"/>
                <w:lang w:val="en-GB"/>
              </w:rPr>
            </w:pPr>
            <w:r w:rsidRPr="000150E8">
              <w:rPr>
                <w:rFonts w:eastAsia="MS Mincho"/>
                <w:b/>
                <w:bCs/>
                <w:color w:val="D9D9D9" w:themeColor="background1" w:themeShade="D9"/>
                <w:sz w:val="20"/>
                <w:szCs w:val="20"/>
                <w:highlight w:val="green"/>
                <w:lang w:val="en-GB"/>
              </w:rPr>
              <w:t>0.8</w:t>
            </w:r>
          </w:p>
        </w:tc>
        <w:tc>
          <w:tcPr>
            <w:tcW w:w="522" w:type="pct"/>
            <w:vMerge w:val="restart"/>
            <w:tcBorders>
              <w:bottom w:val="single" w:sz="12" w:space="0" w:color="auto"/>
            </w:tcBorders>
            <w:shd w:val="clear" w:color="auto" w:fill="auto"/>
            <w:vAlign w:val="center"/>
          </w:tcPr>
          <w:p w14:paraId="07A342E0"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6.01</w:t>
            </w:r>
          </w:p>
        </w:tc>
        <w:tc>
          <w:tcPr>
            <w:tcW w:w="379" w:type="pct"/>
            <w:vMerge w:val="restart"/>
            <w:tcBorders>
              <w:bottom w:val="single" w:sz="12" w:space="0" w:color="auto"/>
            </w:tcBorders>
            <w:vAlign w:val="center"/>
          </w:tcPr>
          <w:p w14:paraId="1D493590" w14:textId="77777777" w:rsidR="00DC5685" w:rsidRPr="000150E8" w:rsidRDefault="00DC5685" w:rsidP="000470C3">
            <w:pPr>
              <w:keepNext/>
              <w:keepLines/>
              <w:spacing w:before="20" w:after="20"/>
              <w:jc w:val="center"/>
              <w:rPr>
                <w:rFonts w:eastAsia="MS Mincho"/>
                <w:bCs/>
                <w:color w:val="D9D9D9" w:themeColor="background1" w:themeShade="D9"/>
                <w:sz w:val="20"/>
                <w:szCs w:val="20"/>
                <w:lang w:val="en-GB"/>
              </w:rPr>
            </w:pPr>
            <w:r w:rsidRPr="000150E8">
              <w:rPr>
                <w:rFonts w:eastAsia="MS Mincho"/>
                <w:bCs/>
                <w:color w:val="D9D9D9" w:themeColor="background1" w:themeShade="D9"/>
                <w:sz w:val="20"/>
                <w:szCs w:val="20"/>
                <w:lang w:val="en-GB"/>
              </w:rPr>
              <w:t>448</w:t>
            </w:r>
          </w:p>
        </w:tc>
        <w:tc>
          <w:tcPr>
            <w:tcW w:w="374" w:type="pct"/>
            <w:vMerge w:val="restart"/>
            <w:tcBorders>
              <w:bottom w:val="single" w:sz="12" w:space="0" w:color="auto"/>
            </w:tcBorders>
            <w:shd w:val="clear" w:color="auto" w:fill="auto"/>
            <w:vAlign w:val="center"/>
          </w:tcPr>
          <w:p w14:paraId="1C9892E8" w14:textId="704D50CB" w:rsidR="00DC5685" w:rsidRPr="000150E8" w:rsidRDefault="00DC5685" w:rsidP="000470C3">
            <w:pPr>
              <w:keepNext/>
              <w:keepLines/>
              <w:spacing w:before="20" w:after="20"/>
              <w:jc w:val="center"/>
              <w:rPr>
                <w:rFonts w:eastAsia="MS Mincho"/>
                <w:bCs/>
                <w:color w:val="D9D9D9" w:themeColor="background1" w:themeShade="D9"/>
                <w:sz w:val="20"/>
                <w:szCs w:val="20"/>
                <w:lang w:val="en-GB"/>
              </w:rPr>
            </w:pPr>
            <w:r w:rsidRPr="000150E8">
              <w:rPr>
                <w:rFonts w:eastAsia="MS Mincho"/>
                <w:bCs/>
                <w:color w:val="D9D9D9" w:themeColor="background1" w:themeShade="D9"/>
                <w:sz w:val="20"/>
                <w:szCs w:val="20"/>
                <w:highlight w:val="green"/>
                <w:lang w:val="en-GB"/>
              </w:rPr>
              <w:t>17.</w:t>
            </w:r>
            <w:r w:rsidR="00142FF0" w:rsidRPr="000150E8">
              <w:rPr>
                <w:rFonts w:eastAsia="MS Mincho"/>
                <w:bCs/>
                <w:color w:val="D9D9D9" w:themeColor="background1" w:themeShade="D9"/>
                <w:sz w:val="20"/>
                <w:szCs w:val="20"/>
                <w:highlight w:val="green"/>
                <w:lang w:val="en-GB"/>
              </w:rPr>
              <w:t>5</w:t>
            </w:r>
          </w:p>
        </w:tc>
      </w:tr>
      <w:tr w:rsidR="000150E8" w:rsidRPr="000150E8" w14:paraId="4B012CCC" w14:textId="77777777" w:rsidTr="000470C3">
        <w:tc>
          <w:tcPr>
            <w:tcW w:w="602" w:type="pct"/>
            <w:vMerge/>
            <w:tcBorders>
              <w:top w:val="single" w:sz="12" w:space="0" w:color="auto"/>
              <w:right w:val="single" w:sz="2" w:space="0" w:color="auto"/>
            </w:tcBorders>
          </w:tcPr>
          <w:p w14:paraId="0E6CECB8"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457" w:type="pct"/>
            <w:tcBorders>
              <w:top w:val="single" w:sz="2" w:space="0" w:color="auto"/>
              <w:left w:val="single" w:sz="2" w:space="0" w:color="auto"/>
              <w:bottom w:val="single" w:sz="2" w:space="0" w:color="auto"/>
              <w:right w:val="single" w:sz="2" w:space="0" w:color="auto"/>
            </w:tcBorders>
            <w:shd w:val="clear" w:color="auto" w:fill="auto"/>
          </w:tcPr>
          <w:p w14:paraId="03C202EC"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Fruits</w:t>
            </w:r>
          </w:p>
        </w:tc>
        <w:tc>
          <w:tcPr>
            <w:tcW w:w="306" w:type="pct"/>
            <w:tcBorders>
              <w:top w:val="single" w:sz="2" w:space="0" w:color="auto"/>
              <w:left w:val="single" w:sz="2" w:space="0" w:color="auto"/>
              <w:bottom w:val="single" w:sz="2" w:space="0" w:color="auto"/>
              <w:right w:val="single" w:sz="2" w:space="0" w:color="auto"/>
            </w:tcBorders>
            <w:shd w:val="clear" w:color="auto" w:fill="auto"/>
          </w:tcPr>
          <w:p w14:paraId="44F6D46D"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r w:rsidRPr="000150E8">
              <w:rPr>
                <w:rFonts w:eastAsia="MS Mincho"/>
                <w:color w:val="D9D9D9" w:themeColor="background1" w:themeShade="D9"/>
                <w:sz w:val="20"/>
                <w:szCs w:val="20"/>
                <w:lang w:val="en-GB"/>
              </w:rPr>
              <w:t>0.3</w:t>
            </w:r>
          </w:p>
        </w:tc>
        <w:tc>
          <w:tcPr>
            <w:tcW w:w="593" w:type="pct"/>
            <w:vMerge/>
            <w:tcBorders>
              <w:top w:val="single" w:sz="2" w:space="0" w:color="auto"/>
              <w:left w:val="single" w:sz="2" w:space="0" w:color="auto"/>
              <w:bottom w:val="single" w:sz="2" w:space="0" w:color="auto"/>
              <w:right w:val="single" w:sz="2" w:space="0" w:color="auto"/>
            </w:tcBorders>
            <w:shd w:val="clear" w:color="auto" w:fill="auto"/>
          </w:tcPr>
          <w:p w14:paraId="4C403862"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618" w:type="pct"/>
            <w:tcBorders>
              <w:top w:val="single" w:sz="2" w:space="0" w:color="auto"/>
              <w:left w:val="single" w:sz="2" w:space="0" w:color="auto"/>
              <w:bottom w:val="single" w:sz="2" w:space="0" w:color="auto"/>
            </w:tcBorders>
            <w:shd w:val="clear" w:color="auto" w:fill="auto"/>
          </w:tcPr>
          <w:p w14:paraId="56BFD8D3" w14:textId="77777777" w:rsidR="00DC5685" w:rsidRPr="000150E8" w:rsidRDefault="00DC5685" w:rsidP="000470C3">
            <w:pPr>
              <w:keepNext/>
              <w:keepLines/>
              <w:spacing w:before="20" w:after="20"/>
              <w:jc w:val="center"/>
              <w:rPr>
                <w:rFonts w:eastAsia="MS Mincho"/>
                <w:b/>
                <w:bCs/>
                <w:color w:val="D9D9D9" w:themeColor="background1" w:themeShade="D9"/>
                <w:sz w:val="20"/>
                <w:szCs w:val="20"/>
                <w:highlight w:val="green"/>
                <w:lang w:val="en-GB"/>
              </w:rPr>
            </w:pPr>
            <w:r w:rsidRPr="000150E8">
              <w:rPr>
                <w:rFonts w:eastAsia="MS Mincho"/>
                <w:b/>
                <w:bCs/>
                <w:color w:val="D9D9D9" w:themeColor="background1" w:themeShade="D9"/>
                <w:sz w:val="20"/>
                <w:szCs w:val="20"/>
                <w:highlight w:val="green"/>
                <w:lang w:val="en-GB"/>
              </w:rPr>
              <w:t>34.3</w:t>
            </w:r>
          </w:p>
        </w:tc>
        <w:tc>
          <w:tcPr>
            <w:tcW w:w="454" w:type="pct"/>
            <w:vMerge/>
            <w:shd w:val="clear" w:color="auto" w:fill="auto"/>
          </w:tcPr>
          <w:p w14:paraId="18EDEC99"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390" w:type="pct"/>
            <w:vMerge/>
            <w:tcBorders>
              <w:top w:val="single" w:sz="12" w:space="0" w:color="auto"/>
            </w:tcBorders>
          </w:tcPr>
          <w:p w14:paraId="7A9A6A2B"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305" w:type="pct"/>
            <w:vMerge/>
            <w:tcBorders>
              <w:top w:val="single" w:sz="12" w:space="0" w:color="auto"/>
            </w:tcBorders>
          </w:tcPr>
          <w:p w14:paraId="10E7E37E"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522" w:type="pct"/>
            <w:vMerge/>
            <w:tcBorders>
              <w:top w:val="single" w:sz="12" w:space="0" w:color="auto"/>
            </w:tcBorders>
            <w:shd w:val="clear" w:color="auto" w:fill="auto"/>
          </w:tcPr>
          <w:p w14:paraId="2B0F1398" w14:textId="77777777" w:rsidR="00DC5685" w:rsidRPr="000150E8" w:rsidRDefault="00DC5685" w:rsidP="000470C3">
            <w:pPr>
              <w:keepNext/>
              <w:keepLines/>
              <w:spacing w:before="20" w:after="20"/>
              <w:jc w:val="center"/>
              <w:rPr>
                <w:rFonts w:eastAsia="MS Mincho"/>
                <w:color w:val="D9D9D9" w:themeColor="background1" w:themeShade="D9"/>
                <w:sz w:val="20"/>
                <w:szCs w:val="20"/>
                <w:lang w:val="en-GB"/>
              </w:rPr>
            </w:pPr>
          </w:p>
        </w:tc>
        <w:tc>
          <w:tcPr>
            <w:tcW w:w="379" w:type="pct"/>
            <w:vMerge/>
            <w:tcBorders>
              <w:top w:val="single" w:sz="12" w:space="0" w:color="auto"/>
            </w:tcBorders>
          </w:tcPr>
          <w:p w14:paraId="7C6F783F" w14:textId="77777777" w:rsidR="00DC5685" w:rsidRPr="000150E8" w:rsidRDefault="00DC5685" w:rsidP="000470C3">
            <w:pPr>
              <w:keepNext/>
              <w:keepLines/>
              <w:spacing w:before="20" w:after="20"/>
              <w:jc w:val="center"/>
              <w:rPr>
                <w:rFonts w:eastAsia="MS Mincho"/>
                <w:bCs/>
                <w:color w:val="D9D9D9" w:themeColor="background1" w:themeShade="D9"/>
                <w:sz w:val="20"/>
                <w:szCs w:val="20"/>
                <w:lang w:val="en-GB"/>
              </w:rPr>
            </w:pPr>
          </w:p>
        </w:tc>
        <w:tc>
          <w:tcPr>
            <w:tcW w:w="374" w:type="pct"/>
            <w:vMerge/>
            <w:tcBorders>
              <w:top w:val="single" w:sz="12" w:space="0" w:color="auto"/>
            </w:tcBorders>
            <w:shd w:val="clear" w:color="auto" w:fill="auto"/>
          </w:tcPr>
          <w:p w14:paraId="5B64F468" w14:textId="77777777" w:rsidR="00DC5685" w:rsidRPr="000150E8" w:rsidRDefault="00DC5685" w:rsidP="000470C3">
            <w:pPr>
              <w:keepNext/>
              <w:keepLines/>
              <w:spacing w:before="20" w:after="20"/>
              <w:jc w:val="center"/>
              <w:rPr>
                <w:rFonts w:eastAsia="MS Mincho"/>
                <w:bCs/>
                <w:color w:val="D9D9D9" w:themeColor="background1" w:themeShade="D9"/>
                <w:sz w:val="20"/>
                <w:szCs w:val="20"/>
                <w:lang w:val="en-GB"/>
              </w:rPr>
            </w:pPr>
          </w:p>
        </w:tc>
      </w:tr>
    </w:tbl>
    <w:p w14:paraId="072060FC" w14:textId="772C7911" w:rsidR="00DC5685" w:rsidRPr="000150E8" w:rsidRDefault="00DC5685" w:rsidP="00DC5685">
      <w:pPr>
        <w:keepNext/>
        <w:keepLines/>
        <w:tabs>
          <w:tab w:val="left" w:pos="0"/>
        </w:tabs>
        <w:rPr>
          <w:rFonts w:eastAsia="MS Mincho"/>
          <w:color w:val="D9D9D9" w:themeColor="background1" w:themeShade="D9"/>
          <w:sz w:val="18"/>
          <w:szCs w:val="18"/>
          <w:lang w:val="en-GB"/>
        </w:rPr>
      </w:pPr>
      <w:r w:rsidRPr="000150E8">
        <w:rPr>
          <w:rFonts w:eastAsia="MS Mincho"/>
          <w:color w:val="D9D9D9" w:themeColor="background1" w:themeShade="D9"/>
          <w:sz w:val="18"/>
          <w:szCs w:val="18"/>
          <w:lang w:val="en-GB"/>
        </w:rPr>
        <w:t xml:space="preserve">FIR: food intake rate; TWA: time-weighted average factor; DDD: daily dietary dose; DF: Deposition factor, PD: Fraction in diet, PT: Fraction in time, TER: toxicity to exposure ratio. </w:t>
      </w:r>
      <w:r w:rsidR="00142FF0" w:rsidRPr="000150E8">
        <w:rPr>
          <w:rFonts w:eastAsia="MS Mincho"/>
          <w:b/>
          <w:bCs/>
          <w:color w:val="D9D9D9" w:themeColor="background1" w:themeShade="D9"/>
          <w:sz w:val="18"/>
          <w:szCs w:val="18"/>
          <w:highlight w:val="green"/>
          <w:lang w:val="en-GB"/>
        </w:rPr>
        <w:t>Bold</w:t>
      </w:r>
      <w:r w:rsidR="00142FF0" w:rsidRPr="000150E8">
        <w:rPr>
          <w:rFonts w:eastAsia="MS Mincho"/>
          <w:color w:val="D9D9D9" w:themeColor="background1" w:themeShade="D9"/>
          <w:sz w:val="18"/>
          <w:szCs w:val="18"/>
          <w:highlight w:val="green"/>
          <w:lang w:val="en-GB"/>
        </w:rPr>
        <w:t>: refined parameter(s)</w:t>
      </w:r>
    </w:p>
    <w:p w14:paraId="003552FB" w14:textId="77777777" w:rsidR="00DC5685" w:rsidRPr="000150E8" w:rsidRDefault="00DC5685" w:rsidP="00142FF0">
      <w:pPr>
        <w:keepNext/>
        <w:keepLines/>
        <w:tabs>
          <w:tab w:val="left" w:pos="142"/>
        </w:tabs>
        <w:ind w:left="142" w:hanging="142"/>
        <w:rPr>
          <w:rFonts w:eastAsia="MS Mincho"/>
          <w:color w:val="D9D9D9" w:themeColor="background1" w:themeShade="D9"/>
          <w:sz w:val="18"/>
          <w:szCs w:val="18"/>
          <w:lang w:val="en-GB"/>
        </w:rPr>
      </w:pPr>
      <w:r w:rsidRPr="000150E8">
        <w:rPr>
          <w:rFonts w:eastAsia="MS Mincho"/>
          <w:color w:val="D9D9D9" w:themeColor="background1" w:themeShade="D9"/>
          <w:sz w:val="18"/>
          <w:szCs w:val="18"/>
          <w:lang w:val="en-GB"/>
        </w:rPr>
        <w:t xml:space="preserve">*MAF×twa value for Propamocarb-HCl calculated with the moving-time window approach for 2 applications and 7-day interval according to the formula detailed in Appendix H of the EFSA Guidance Document (2009). </w:t>
      </w:r>
    </w:p>
    <w:p w14:paraId="2F10A004" w14:textId="77777777" w:rsidR="00DC5685" w:rsidRPr="00A34F10" w:rsidRDefault="00DC5685" w:rsidP="00DC5685">
      <w:pPr>
        <w:widowControl w:val="0"/>
        <w:jc w:val="both"/>
        <w:rPr>
          <w:rFonts w:eastAsia="MS Mincho"/>
          <w:lang w:val="en-GB"/>
        </w:rPr>
      </w:pPr>
    </w:p>
    <w:p w14:paraId="050A912C" w14:textId="53BDEB66" w:rsidR="00EE6D22" w:rsidRPr="00A34F10" w:rsidRDefault="00EE6D22" w:rsidP="00040983">
      <w:pPr>
        <w:pStyle w:val="Legenda"/>
        <w:rPr>
          <w:rFonts w:eastAsia="MS Mincho"/>
          <w:b w:val="0"/>
          <w:bCs w:val="0"/>
        </w:rPr>
      </w:pPr>
      <w:r w:rsidRPr="00EE6D22">
        <w:rPr>
          <w:rFonts w:eastAsia="MS Mincho"/>
          <w:highlight w:val="green"/>
        </w:rPr>
        <w:t xml:space="preserve">Table </w:t>
      </w:r>
      <w:r w:rsidR="007E7467">
        <w:rPr>
          <w:rFonts w:eastAsia="MS Mincho"/>
          <w:highlight w:val="green"/>
        </w:rPr>
        <w:fldChar w:fldCharType="begin"/>
      </w:r>
      <w:r w:rsidR="007E7467">
        <w:rPr>
          <w:rFonts w:eastAsia="MS Mincho"/>
          <w:highlight w:val="green"/>
        </w:rPr>
        <w:instrText xml:space="preserve"> STYLEREF 2 \s </w:instrText>
      </w:r>
      <w:r w:rsidR="007E7467">
        <w:rPr>
          <w:rFonts w:eastAsia="MS Mincho"/>
          <w:highlight w:val="green"/>
        </w:rPr>
        <w:fldChar w:fldCharType="separate"/>
      </w:r>
      <w:r w:rsidR="006F0F3B">
        <w:rPr>
          <w:rFonts w:eastAsia="MS Mincho"/>
          <w:noProof/>
          <w:highlight w:val="green"/>
        </w:rPr>
        <w:t>9.2</w:t>
      </w:r>
      <w:r w:rsidR="007E7467">
        <w:rPr>
          <w:rFonts w:eastAsia="MS Mincho"/>
          <w:highlight w:val="green"/>
        </w:rPr>
        <w:fldChar w:fldCharType="end"/>
      </w:r>
      <w:r w:rsidR="007E7467">
        <w:rPr>
          <w:rFonts w:eastAsia="MS Mincho"/>
          <w:highlight w:val="green"/>
        </w:rPr>
        <w:noBreakHyphen/>
      </w:r>
      <w:r w:rsidR="007E7467">
        <w:rPr>
          <w:rFonts w:eastAsia="MS Mincho"/>
          <w:highlight w:val="green"/>
        </w:rPr>
        <w:fldChar w:fldCharType="begin"/>
      </w:r>
      <w:r w:rsidR="007E7467">
        <w:rPr>
          <w:rFonts w:eastAsia="MS Mincho"/>
          <w:highlight w:val="green"/>
        </w:rPr>
        <w:instrText xml:space="preserve"> SEQ Table \* ARABIC \s 2 </w:instrText>
      </w:r>
      <w:r w:rsidR="007E7467">
        <w:rPr>
          <w:rFonts w:eastAsia="MS Mincho"/>
          <w:highlight w:val="green"/>
        </w:rPr>
        <w:fldChar w:fldCharType="separate"/>
      </w:r>
      <w:r w:rsidR="006F0F3B">
        <w:rPr>
          <w:rFonts w:eastAsia="MS Mincho"/>
          <w:noProof/>
          <w:highlight w:val="green"/>
        </w:rPr>
        <w:t>15</w:t>
      </w:r>
      <w:r w:rsidR="007E7467">
        <w:rPr>
          <w:rFonts w:eastAsia="MS Mincho"/>
          <w:highlight w:val="green"/>
        </w:rPr>
        <w:fldChar w:fldCharType="end"/>
      </w:r>
      <w:r w:rsidRPr="00EE6D22">
        <w:rPr>
          <w:rFonts w:eastAsia="MS Mincho"/>
          <w:highlight w:val="green"/>
        </w:rPr>
        <w:t xml:space="preserve">: </w:t>
      </w:r>
      <w:r w:rsidRPr="00EE6D22">
        <w:rPr>
          <w:rFonts w:eastAsia="MS Mincho"/>
          <w:highlight w:val="green"/>
        </w:rPr>
        <w:tab/>
        <w:t>Higher-tier assessment of the long-term/reproductive risk for the frugivorous bird “crow” due to the exposure to propamocarb-HCl following the uses of BAS 743 03 F in fruiting vegetables (BBCH 71 – 89) – revised RUD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5"/>
        <w:gridCol w:w="854"/>
        <w:gridCol w:w="572"/>
        <w:gridCol w:w="1129"/>
        <w:gridCol w:w="1135"/>
        <w:gridCol w:w="849"/>
        <w:gridCol w:w="729"/>
        <w:gridCol w:w="570"/>
        <w:gridCol w:w="976"/>
        <w:gridCol w:w="709"/>
        <w:gridCol w:w="699"/>
      </w:tblGrid>
      <w:tr w:rsidR="00EE6D22" w:rsidRPr="00142FF0" w14:paraId="6A54ACD8" w14:textId="77777777" w:rsidTr="00BE2565">
        <w:tc>
          <w:tcPr>
            <w:tcW w:w="1365" w:type="pct"/>
            <w:gridSpan w:val="3"/>
            <w:tcBorders>
              <w:top w:val="single" w:sz="4" w:space="0" w:color="auto"/>
              <w:right w:val="single" w:sz="4" w:space="0" w:color="auto"/>
            </w:tcBorders>
          </w:tcPr>
          <w:p w14:paraId="01700ABF" w14:textId="77777777" w:rsidR="00EE6D22" w:rsidRPr="00142FF0" w:rsidRDefault="00EE6D22" w:rsidP="00BE2565">
            <w:pPr>
              <w:keepNext/>
              <w:keepLines/>
              <w:spacing w:before="20" w:after="20"/>
              <w:rPr>
                <w:rFonts w:eastAsia="MS Mincho"/>
                <w:b/>
                <w:bCs/>
                <w:sz w:val="20"/>
                <w:szCs w:val="20"/>
                <w:highlight w:val="green"/>
                <w:lang w:val="en-GB"/>
              </w:rPr>
            </w:pPr>
            <w:r w:rsidRPr="00142FF0">
              <w:rPr>
                <w:rFonts w:eastAsia="MS Mincho"/>
                <w:b/>
                <w:bCs/>
                <w:sz w:val="20"/>
                <w:szCs w:val="20"/>
                <w:highlight w:val="green"/>
                <w:lang w:val="en-GB"/>
              </w:rPr>
              <w:t>Reprod. toxicity (mg/kg bw/d)</w:t>
            </w:r>
          </w:p>
        </w:tc>
        <w:tc>
          <w:tcPr>
            <w:tcW w:w="3635" w:type="pct"/>
            <w:gridSpan w:val="8"/>
            <w:tcBorders>
              <w:top w:val="single" w:sz="4" w:space="0" w:color="auto"/>
              <w:right w:val="single" w:sz="4" w:space="0" w:color="auto"/>
            </w:tcBorders>
          </w:tcPr>
          <w:p w14:paraId="4258F8FC" w14:textId="77777777" w:rsidR="00EE6D22" w:rsidRPr="00142FF0" w:rsidRDefault="00EE6D22" w:rsidP="00BE2565">
            <w:pPr>
              <w:keepNext/>
              <w:keepLines/>
              <w:spacing w:before="20" w:after="20"/>
              <w:rPr>
                <w:rFonts w:eastAsia="MS Mincho"/>
                <w:sz w:val="20"/>
                <w:szCs w:val="20"/>
                <w:highlight w:val="green"/>
                <w:lang w:val="en-GB"/>
              </w:rPr>
            </w:pPr>
            <w:r w:rsidRPr="00142FF0">
              <w:rPr>
                <w:rFonts w:eastAsia="MS Mincho"/>
                <w:sz w:val="20"/>
                <w:szCs w:val="20"/>
                <w:highlight w:val="green"/>
                <w:lang w:val="en-GB"/>
              </w:rPr>
              <w:t>105</w:t>
            </w:r>
          </w:p>
        </w:tc>
      </w:tr>
      <w:tr w:rsidR="008F40BF" w:rsidRPr="00142FF0" w14:paraId="3F48D7DD" w14:textId="77777777" w:rsidTr="00451226">
        <w:tc>
          <w:tcPr>
            <w:tcW w:w="1365" w:type="pct"/>
            <w:gridSpan w:val="3"/>
            <w:tcBorders>
              <w:top w:val="single" w:sz="4" w:space="0" w:color="auto"/>
              <w:right w:val="single" w:sz="4" w:space="0" w:color="auto"/>
            </w:tcBorders>
          </w:tcPr>
          <w:p w14:paraId="68F503D8" w14:textId="765EC796" w:rsidR="008F40BF" w:rsidRPr="00142FF0" w:rsidRDefault="008F40BF" w:rsidP="008F40BF">
            <w:pPr>
              <w:keepNext/>
              <w:keepLines/>
              <w:spacing w:before="20" w:after="20"/>
              <w:rPr>
                <w:rFonts w:eastAsia="MS Mincho"/>
                <w:b/>
                <w:bCs/>
                <w:sz w:val="20"/>
                <w:szCs w:val="20"/>
                <w:highlight w:val="green"/>
                <w:lang w:val="en-GB"/>
              </w:rPr>
            </w:pPr>
            <w:r w:rsidRPr="008F40BF">
              <w:rPr>
                <w:b/>
                <w:bCs/>
                <w:sz w:val="20"/>
                <w:szCs w:val="20"/>
                <w:highlight w:val="green"/>
                <w:lang w:val="en-GB"/>
              </w:rPr>
              <w:t>App. Rate (kg a.s./ha)</w:t>
            </w:r>
          </w:p>
        </w:tc>
        <w:tc>
          <w:tcPr>
            <w:tcW w:w="3635" w:type="pct"/>
            <w:gridSpan w:val="8"/>
            <w:tcBorders>
              <w:top w:val="single" w:sz="4" w:space="0" w:color="auto"/>
              <w:right w:val="single" w:sz="4" w:space="0" w:color="auto"/>
            </w:tcBorders>
          </w:tcPr>
          <w:p w14:paraId="1AA1766C" w14:textId="2D1BA9BF" w:rsidR="008F40BF" w:rsidRPr="00142FF0" w:rsidRDefault="008F40BF" w:rsidP="008F40BF">
            <w:pPr>
              <w:keepNext/>
              <w:keepLines/>
              <w:spacing w:before="20" w:after="20"/>
              <w:rPr>
                <w:rFonts w:eastAsia="MS Mincho"/>
                <w:sz w:val="20"/>
                <w:szCs w:val="20"/>
                <w:highlight w:val="green"/>
                <w:lang w:val="en-GB"/>
              </w:rPr>
            </w:pPr>
            <w:r w:rsidRPr="008F40BF">
              <w:rPr>
                <w:bCs/>
                <w:sz w:val="20"/>
                <w:szCs w:val="20"/>
                <w:highlight w:val="green"/>
                <w:lang w:val="es-ES"/>
              </w:rPr>
              <w:t>2 x 0.902</w:t>
            </w:r>
          </w:p>
        </w:tc>
      </w:tr>
      <w:tr w:rsidR="008F40BF" w:rsidRPr="00142FF0" w14:paraId="2C3CB0B1" w14:textId="77777777" w:rsidTr="00BE2565">
        <w:tc>
          <w:tcPr>
            <w:tcW w:w="1365" w:type="pct"/>
            <w:gridSpan w:val="3"/>
            <w:tcBorders>
              <w:bottom w:val="single" w:sz="12" w:space="0" w:color="auto"/>
              <w:right w:val="single" w:sz="4" w:space="0" w:color="auto"/>
            </w:tcBorders>
          </w:tcPr>
          <w:p w14:paraId="4D77C2D8" w14:textId="77777777" w:rsidR="008F40BF" w:rsidRPr="00142FF0" w:rsidRDefault="008F40BF" w:rsidP="008F40BF">
            <w:pPr>
              <w:keepNext/>
              <w:keepLines/>
              <w:spacing w:before="20" w:after="20"/>
              <w:rPr>
                <w:rFonts w:eastAsia="MS Mincho"/>
                <w:b/>
                <w:bCs/>
                <w:sz w:val="20"/>
                <w:szCs w:val="20"/>
                <w:highlight w:val="green"/>
                <w:lang w:val="en-GB"/>
              </w:rPr>
            </w:pPr>
            <w:r w:rsidRPr="00142FF0">
              <w:rPr>
                <w:rFonts w:eastAsia="MS Mincho"/>
                <w:b/>
                <w:bCs/>
                <w:sz w:val="20"/>
                <w:szCs w:val="20"/>
                <w:highlight w:val="green"/>
                <w:lang w:val="en-GB"/>
              </w:rPr>
              <w:t>TER criterion</w:t>
            </w:r>
          </w:p>
        </w:tc>
        <w:tc>
          <w:tcPr>
            <w:tcW w:w="3635" w:type="pct"/>
            <w:gridSpan w:val="8"/>
            <w:tcBorders>
              <w:bottom w:val="single" w:sz="12" w:space="0" w:color="auto"/>
              <w:right w:val="single" w:sz="4" w:space="0" w:color="auto"/>
            </w:tcBorders>
          </w:tcPr>
          <w:p w14:paraId="067AB349" w14:textId="77777777" w:rsidR="008F40BF" w:rsidRPr="00142FF0" w:rsidRDefault="008F40BF" w:rsidP="008F40BF">
            <w:pPr>
              <w:keepNext/>
              <w:keepLines/>
              <w:spacing w:before="20" w:after="20"/>
              <w:rPr>
                <w:rFonts w:eastAsia="MS Mincho"/>
                <w:sz w:val="20"/>
                <w:szCs w:val="20"/>
                <w:highlight w:val="green"/>
                <w:lang w:val="en-GB"/>
              </w:rPr>
            </w:pPr>
            <w:r w:rsidRPr="00142FF0">
              <w:rPr>
                <w:rFonts w:eastAsia="MS Mincho"/>
                <w:sz w:val="20"/>
                <w:szCs w:val="20"/>
                <w:highlight w:val="green"/>
                <w:lang w:val="en-GB"/>
              </w:rPr>
              <w:t>5</w:t>
            </w:r>
          </w:p>
        </w:tc>
      </w:tr>
      <w:tr w:rsidR="008F40BF" w:rsidRPr="00142FF0" w14:paraId="40DE40FE" w14:textId="77777777" w:rsidTr="00EE6D22">
        <w:tc>
          <w:tcPr>
            <w:tcW w:w="602" w:type="pct"/>
            <w:tcBorders>
              <w:top w:val="single" w:sz="12" w:space="0" w:color="auto"/>
              <w:right w:val="single" w:sz="8" w:space="0" w:color="auto"/>
            </w:tcBorders>
          </w:tcPr>
          <w:p w14:paraId="2F53407B"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Max. application rate (g a.s./ha)</w:t>
            </w:r>
          </w:p>
        </w:tc>
        <w:tc>
          <w:tcPr>
            <w:tcW w:w="457" w:type="pct"/>
            <w:tcBorders>
              <w:top w:val="single" w:sz="12" w:space="0" w:color="auto"/>
              <w:right w:val="single" w:sz="8" w:space="0" w:color="auto"/>
            </w:tcBorders>
            <w:shd w:val="clear" w:color="auto" w:fill="auto"/>
          </w:tcPr>
          <w:p w14:paraId="27DD81C8"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Calibri"/>
                <w:b/>
                <w:sz w:val="20"/>
                <w:szCs w:val="20"/>
                <w:highlight w:val="green"/>
                <w:lang w:val="en-GB"/>
              </w:rPr>
              <w:t>Feed item</w:t>
            </w:r>
          </w:p>
        </w:tc>
        <w:tc>
          <w:tcPr>
            <w:tcW w:w="306" w:type="pct"/>
            <w:tcBorders>
              <w:top w:val="single" w:sz="12" w:space="0" w:color="auto"/>
              <w:left w:val="single" w:sz="8" w:space="0" w:color="auto"/>
            </w:tcBorders>
            <w:shd w:val="clear" w:color="auto" w:fill="auto"/>
          </w:tcPr>
          <w:p w14:paraId="77C899FD"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Calibri"/>
                <w:b/>
                <w:sz w:val="20"/>
                <w:szCs w:val="20"/>
                <w:highlight w:val="green"/>
                <w:lang w:val="en-GB"/>
              </w:rPr>
              <w:t>PD</w:t>
            </w:r>
          </w:p>
        </w:tc>
        <w:tc>
          <w:tcPr>
            <w:tcW w:w="604" w:type="pct"/>
            <w:tcBorders>
              <w:top w:val="single" w:sz="12" w:space="0" w:color="auto"/>
            </w:tcBorders>
            <w:shd w:val="clear" w:color="auto" w:fill="auto"/>
          </w:tcPr>
          <w:p w14:paraId="65C871EC"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FIR</w:t>
            </w:r>
            <w:r w:rsidRPr="00142FF0">
              <w:rPr>
                <w:rFonts w:eastAsia="MS Mincho"/>
                <w:b/>
                <w:bCs/>
                <w:sz w:val="20"/>
                <w:szCs w:val="20"/>
                <w:highlight w:val="green"/>
                <w:vertAlign w:val="subscript"/>
                <w:lang w:val="en-GB"/>
              </w:rPr>
              <w:t>i</w:t>
            </w:r>
            <w:r w:rsidRPr="00142FF0">
              <w:rPr>
                <w:rFonts w:eastAsia="MS Mincho"/>
                <w:b/>
                <w:bCs/>
                <w:sz w:val="20"/>
                <w:szCs w:val="20"/>
                <w:highlight w:val="green"/>
                <w:lang w:val="en-GB"/>
              </w:rPr>
              <w:t>, total fresh</w:t>
            </w:r>
          </w:p>
          <w:p w14:paraId="55C7640B"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[g fresh weight/d]</w:t>
            </w:r>
          </w:p>
        </w:tc>
        <w:tc>
          <w:tcPr>
            <w:tcW w:w="607" w:type="pct"/>
            <w:tcBorders>
              <w:top w:val="single" w:sz="12" w:space="0" w:color="auto"/>
            </w:tcBorders>
            <w:shd w:val="clear" w:color="auto" w:fill="auto"/>
          </w:tcPr>
          <w:p w14:paraId="5D55D6C1" w14:textId="77777777" w:rsidR="008F40BF" w:rsidRPr="00142FF0" w:rsidRDefault="008F40BF" w:rsidP="008F40BF">
            <w:pPr>
              <w:keepNext/>
              <w:keepLines/>
              <w:widowControl w:val="0"/>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RUD of food item</w:t>
            </w:r>
          </w:p>
          <w:p w14:paraId="411CA55F" w14:textId="77777777" w:rsidR="008F40BF" w:rsidRPr="00142FF0" w:rsidRDefault="008F40BF" w:rsidP="008F40BF">
            <w:pPr>
              <w:keepNext/>
              <w:keepLines/>
              <w:widowControl w:val="0"/>
              <w:spacing w:before="20" w:after="20"/>
              <w:jc w:val="center"/>
              <w:rPr>
                <w:rFonts w:eastAsia="MS Mincho"/>
                <w:b/>
                <w:bCs/>
                <w:sz w:val="20"/>
                <w:szCs w:val="20"/>
                <w:highlight w:val="green"/>
                <w:vertAlign w:val="superscript"/>
                <w:lang w:val="en-GB"/>
              </w:rPr>
            </w:pPr>
            <w:r w:rsidRPr="00142FF0">
              <w:rPr>
                <w:rFonts w:eastAsia="MS Mincho"/>
                <w:b/>
                <w:bCs/>
                <w:sz w:val="20"/>
                <w:szCs w:val="20"/>
                <w:highlight w:val="green"/>
                <w:lang w:val="en-GB"/>
              </w:rPr>
              <w:t>[mg a.s./kg]</w:t>
            </w:r>
          </w:p>
        </w:tc>
        <w:tc>
          <w:tcPr>
            <w:tcW w:w="454" w:type="pct"/>
            <w:tcBorders>
              <w:top w:val="single" w:sz="12" w:space="0" w:color="auto"/>
            </w:tcBorders>
            <w:shd w:val="clear" w:color="auto" w:fill="auto"/>
          </w:tcPr>
          <w:p w14:paraId="0300FFA3"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MAF × twa*</w:t>
            </w:r>
          </w:p>
        </w:tc>
        <w:tc>
          <w:tcPr>
            <w:tcW w:w="390" w:type="pct"/>
            <w:tcBorders>
              <w:top w:val="single" w:sz="12" w:space="0" w:color="auto"/>
            </w:tcBorders>
          </w:tcPr>
          <w:p w14:paraId="585BC6B0"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DF</w:t>
            </w:r>
          </w:p>
        </w:tc>
        <w:tc>
          <w:tcPr>
            <w:tcW w:w="305" w:type="pct"/>
            <w:tcBorders>
              <w:top w:val="single" w:sz="12" w:space="0" w:color="auto"/>
            </w:tcBorders>
          </w:tcPr>
          <w:p w14:paraId="53E229CD"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PT</w:t>
            </w:r>
          </w:p>
        </w:tc>
        <w:tc>
          <w:tcPr>
            <w:tcW w:w="522" w:type="pct"/>
            <w:tcBorders>
              <w:top w:val="single" w:sz="12" w:space="0" w:color="auto"/>
            </w:tcBorders>
            <w:shd w:val="clear" w:color="auto" w:fill="auto"/>
          </w:tcPr>
          <w:p w14:paraId="266A827A"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DDD</w:t>
            </w:r>
            <w:r w:rsidRPr="00142FF0">
              <w:rPr>
                <w:rFonts w:eastAsia="MS Mincho"/>
                <w:b/>
                <w:bCs/>
                <w:sz w:val="20"/>
                <w:szCs w:val="20"/>
                <w:highlight w:val="green"/>
                <w:vertAlign w:val="subscript"/>
                <w:lang w:val="de-DE"/>
              </w:rPr>
              <w:t>m</w:t>
            </w:r>
          </w:p>
          <w:p w14:paraId="5F1C5677"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(mg/kg bw/d)</w:t>
            </w:r>
          </w:p>
        </w:tc>
        <w:tc>
          <w:tcPr>
            <w:tcW w:w="379" w:type="pct"/>
            <w:tcBorders>
              <w:top w:val="single" w:sz="12" w:space="0" w:color="auto"/>
            </w:tcBorders>
          </w:tcPr>
          <w:p w14:paraId="5D2DEC65"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Body weight [g]</w:t>
            </w:r>
          </w:p>
        </w:tc>
        <w:tc>
          <w:tcPr>
            <w:tcW w:w="374" w:type="pct"/>
            <w:tcBorders>
              <w:top w:val="single" w:sz="12" w:space="0" w:color="auto"/>
            </w:tcBorders>
            <w:shd w:val="clear" w:color="auto" w:fill="auto"/>
          </w:tcPr>
          <w:p w14:paraId="45D2BE60"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TER</w:t>
            </w:r>
            <w:r w:rsidRPr="00142FF0">
              <w:rPr>
                <w:rFonts w:eastAsia="MS Mincho"/>
                <w:b/>
                <w:bCs/>
                <w:sz w:val="20"/>
                <w:szCs w:val="20"/>
                <w:highlight w:val="green"/>
                <w:vertAlign w:val="subscript"/>
                <w:lang w:val="en-GB"/>
              </w:rPr>
              <w:t>lt</w:t>
            </w:r>
          </w:p>
        </w:tc>
      </w:tr>
      <w:tr w:rsidR="008F40BF" w:rsidRPr="00142FF0" w14:paraId="4CCD8612" w14:textId="77777777" w:rsidTr="00BE2565">
        <w:tc>
          <w:tcPr>
            <w:tcW w:w="5000" w:type="pct"/>
            <w:gridSpan w:val="11"/>
            <w:tcBorders>
              <w:top w:val="single" w:sz="8" w:space="0" w:color="auto"/>
              <w:left w:val="single" w:sz="8" w:space="0" w:color="auto"/>
              <w:bottom w:val="single" w:sz="4" w:space="0" w:color="auto"/>
              <w:right w:val="single" w:sz="8" w:space="0" w:color="auto"/>
            </w:tcBorders>
          </w:tcPr>
          <w:p w14:paraId="29701B21" w14:textId="77777777" w:rsidR="008F40BF" w:rsidRPr="00142FF0" w:rsidRDefault="008F40BF" w:rsidP="008F40BF">
            <w:pPr>
              <w:keepNext/>
              <w:keepLines/>
              <w:spacing w:before="20" w:after="20"/>
              <w:rPr>
                <w:rFonts w:eastAsia="MS Mincho"/>
                <w:b/>
                <w:sz w:val="20"/>
                <w:szCs w:val="20"/>
                <w:highlight w:val="green"/>
                <w:lang w:val="en-GB"/>
              </w:rPr>
            </w:pPr>
            <w:r w:rsidRPr="00142FF0">
              <w:rPr>
                <w:rFonts w:eastAsia="MS Mincho"/>
                <w:b/>
                <w:sz w:val="20"/>
                <w:szCs w:val="20"/>
                <w:highlight w:val="green"/>
                <w:lang w:val="en-GB"/>
              </w:rPr>
              <w:t>Fruiting vegetables</w:t>
            </w:r>
            <w:r w:rsidRPr="00142FF0">
              <w:rPr>
                <w:rFonts w:eastAsia="MS Mincho"/>
                <w:sz w:val="20"/>
                <w:szCs w:val="20"/>
                <w:highlight w:val="green"/>
                <w:lang w:val="en-GB"/>
              </w:rPr>
              <w:t xml:space="preserve"> </w:t>
            </w:r>
          </w:p>
        </w:tc>
      </w:tr>
      <w:tr w:rsidR="008F40BF" w:rsidRPr="00142FF0" w14:paraId="0FA69C15" w14:textId="77777777" w:rsidTr="00EE6D22">
        <w:tc>
          <w:tcPr>
            <w:tcW w:w="602" w:type="pct"/>
            <w:tcBorders>
              <w:bottom w:val="single" w:sz="12" w:space="0" w:color="auto"/>
              <w:right w:val="single" w:sz="8" w:space="0" w:color="auto"/>
            </w:tcBorders>
            <w:vAlign w:val="center"/>
          </w:tcPr>
          <w:p w14:paraId="039D4C84"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2 x 902</w:t>
            </w:r>
          </w:p>
          <w:p w14:paraId="448D0D9D"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(7 d interval)</w:t>
            </w:r>
          </w:p>
        </w:tc>
        <w:tc>
          <w:tcPr>
            <w:tcW w:w="457" w:type="pct"/>
            <w:tcBorders>
              <w:bottom w:val="single" w:sz="2" w:space="0" w:color="auto"/>
              <w:right w:val="single" w:sz="8" w:space="0" w:color="auto"/>
            </w:tcBorders>
            <w:shd w:val="clear" w:color="auto" w:fill="auto"/>
            <w:vAlign w:val="center"/>
          </w:tcPr>
          <w:p w14:paraId="72501992" w14:textId="24878C85"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Fruits</w:t>
            </w:r>
          </w:p>
        </w:tc>
        <w:tc>
          <w:tcPr>
            <w:tcW w:w="306" w:type="pct"/>
            <w:tcBorders>
              <w:left w:val="single" w:sz="8" w:space="0" w:color="auto"/>
              <w:bottom w:val="single" w:sz="2" w:space="0" w:color="auto"/>
            </w:tcBorders>
            <w:shd w:val="clear" w:color="auto" w:fill="auto"/>
            <w:vAlign w:val="center"/>
          </w:tcPr>
          <w:p w14:paraId="05F1F891" w14:textId="6E28F56E"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1.0</w:t>
            </w:r>
          </w:p>
        </w:tc>
        <w:tc>
          <w:tcPr>
            <w:tcW w:w="604" w:type="pct"/>
            <w:tcBorders>
              <w:bottom w:val="single" w:sz="2" w:space="0" w:color="auto"/>
            </w:tcBorders>
            <w:shd w:val="clear" w:color="auto" w:fill="auto"/>
            <w:vAlign w:val="center"/>
          </w:tcPr>
          <w:p w14:paraId="2ED99656"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417.93</w:t>
            </w:r>
          </w:p>
        </w:tc>
        <w:tc>
          <w:tcPr>
            <w:tcW w:w="607" w:type="pct"/>
            <w:tcBorders>
              <w:bottom w:val="single" w:sz="2" w:space="0" w:color="auto"/>
            </w:tcBorders>
            <w:shd w:val="clear" w:color="auto" w:fill="auto"/>
            <w:vAlign w:val="center"/>
          </w:tcPr>
          <w:p w14:paraId="6C693BE7" w14:textId="51F52658" w:rsidR="008F40BF" w:rsidRPr="00142FF0" w:rsidRDefault="008F40BF" w:rsidP="008F40BF">
            <w:pPr>
              <w:keepNext/>
              <w:keepLines/>
              <w:spacing w:before="20" w:after="20"/>
              <w:jc w:val="center"/>
              <w:rPr>
                <w:rFonts w:eastAsia="MS Mincho"/>
                <w:b/>
                <w:bCs/>
                <w:sz w:val="20"/>
                <w:szCs w:val="20"/>
                <w:highlight w:val="green"/>
                <w:lang w:val="en-GB"/>
              </w:rPr>
            </w:pPr>
            <w:r w:rsidRPr="00067059">
              <w:rPr>
                <w:rFonts w:eastAsia="MS Mincho"/>
                <w:b/>
                <w:bCs/>
                <w:strike/>
                <w:color w:val="D9D9D9" w:themeColor="background1" w:themeShade="D9"/>
                <w:sz w:val="20"/>
                <w:szCs w:val="20"/>
                <w:highlight w:val="green"/>
                <w:lang w:val="en-GB"/>
              </w:rPr>
              <w:t>0.47</w:t>
            </w:r>
            <w:r w:rsidR="007D4446" w:rsidRPr="00067059">
              <w:rPr>
                <w:rFonts w:eastAsia="MS Mincho"/>
                <w:b/>
                <w:bCs/>
                <w:color w:val="D9D9D9" w:themeColor="background1" w:themeShade="D9"/>
                <w:sz w:val="20"/>
                <w:szCs w:val="20"/>
                <w:highlight w:val="green"/>
                <w:lang w:val="en-GB"/>
              </w:rPr>
              <w:t xml:space="preserve"> </w:t>
            </w:r>
            <w:r w:rsidR="007D4446" w:rsidRPr="00067059">
              <w:rPr>
                <w:rFonts w:eastAsia="MS Mincho"/>
                <w:b/>
                <w:bCs/>
                <w:sz w:val="20"/>
                <w:szCs w:val="20"/>
                <w:shd w:val="clear" w:color="auto" w:fill="D9D9D9" w:themeFill="background1" w:themeFillShade="D9"/>
                <w:lang w:val="en-GB"/>
              </w:rPr>
              <w:t>0.</w:t>
            </w:r>
            <w:r w:rsidR="00067059" w:rsidRPr="00067059">
              <w:rPr>
                <w:rFonts w:eastAsia="MS Mincho"/>
                <w:b/>
                <w:bCs/>
                <w:sz w:val="20"/>
                <w:szCs w:val="20"/>
                <w:shd w:val="clear" w:color="auto" w:fill="D9D9D9" w:themeFill="background1" w:themeFillShade="D9"/>
                <w:lang w:val="en-GB"/>
              </w:rPr>
              <w:t>73</w:t>
            </w:r>
          </w:p>
        </w:tc>
        <w:tc>
          <w:tcPr>
            <w:tcW w:w="454" w:type="pct"/>
            <w:shd w:val="clear" w:color="auto" w:fill="auto"/>
            <w:vAlign w:val="center"/>
          </w:tcPr>
          <w:p w14:paraId="1C2C04E1"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0.95</w:t>
            </w:r>
          </w:p>
        </w:tc>
        <w:tc>
          <w:tcPr>
            <w:tcW w:w="390" w:type="pct"/>
            <w:tcBorders>
              <w:bottom w:val="single" w:sz="12" w:space="0" w:color="auto"/>
            </w:tcBorders>
            <w:vAlign w:val="center"/>
          </w:tcPr>
          <w:p w14:paraId="5FC3FE3C"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w:t>
            </w:r>
          </w:p>
        </w:tc>
        <w:tc>
          <w:tcPr>
            <w:tcW w:w="305" w:type="pct"/>
            <w:tcBorders>
              <w:bottom w:val="single" w:sz="12" w:space="0" w:color="auto"/>
            </w:tcBorders>
            <w:vAlign w:val="center"/>
          </w:tcPr>
          <w:p w14:paraId="7CFD1D1C" w14:textId="0693E0C5"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w:t>
            </w:r>
          </w:p>
        </w:tc>
        <w:tc>
          <w:tcPr>
            <w:tcW w:w="522" w:type="pct"/>
            <w:tcBorders>
              <w:bottom w:val="single" w:sz="12" w:space="0" w:color="auto"/>
            </w:tcBorders>
            <w:shd w:val="clear" w:color="auto" w:fill="auto"/>
            <w:vAlign w:val="center"/>
          </w:tcPr>
          <w:p w14:paraId="1552A8CB" w14:textId="4CE123DA" w:rsidR="008F40BF" w:rsidRPr="00142FF0" w:rsidRDefault="008F40BF" w:rsidP="008F40BF">
            <w:pPr>
              <w:keepNext/>
              <w:keepLines/>
              <w:spacing w:before="20" w:after="20"/>
              <w:jc w:val="center"/>
              <w:rPr>
                <w:rFonts w:eastAsia="MS Mincho"/>
                <w:sz w:val="20"/>
                <w:szCs w:val="20"/>
                <w:highlight w:val="green"/>
                <w:lang w:val="en-GB"/>
              </w:rPr>
            </w:pPr>
            <w:r w:rsidRPr="00CB015B">
              <w:rPr>
                <w:rFonts w:eastAsia="MS Mincho"/>
                <w:strike/>
                <w:color w:val="D9D9D9" w:themeColor="background1" w:themeShade="D9"/>
                <w:sz w:val="20"/>
                <w:szCs w:val="20"/>
                <w:highlight w:val="green"/>
                <w:lang w:val="en-GB"/>
              </w:rPr>
              <w:t>0.38</w:t>
            </w:r>
            <w:r w:rsidR="00FC006C" w:rsidRPr="00CB015B">
              <w:rPr>
                <w:rFonts w:eastAsia="MS Mincho"/>
                <w:color w:val="D9D9D9" w:themeColor="background1" w:themeShade="D9"/>
                <w:sz w:val="20"/>
                <w:szCs w:val="20"/>
                <w:highlight w:val="green"/>
                <w:lang w:val="en-GB"/>
              </w:rPr>
              <w:t xml:space="preserve"> </w:t>
            </w:r>
            <w:r w:rsidR="00CB015B" w:rsidRPr="00CB015B">
              <w:rPr>
                <w:rFonts w:eastAsia="MS Mincho"/>
                <w:sz w:val="20"/>
                <w:szCs w:val="20"/>
                <w:shd w:val="clear" w:color="auto" w:fill="D9D9D9" w:themeFill="background1" w:themeFillShade="D9"/>
                <w:lang w:val="en-GB"/>
              </w:rPr>
              <w:t>0.58</w:t>
            </w:r>
          </w:p>
        </w:tc>
        <w:tc>
          <w:tcPr>
            <w:tcW w:w="379" w:type="pct"/>
            <w:tcBorders>
              <w:bottom w:val="single" w:sz="12" w:space="0" w:color="auto"/>
            </w:tcBorders>
            <w:vAlign w:val="center"/>
          </w:tcPr>
          <w:p w14:paraId="1F2243B2" w14:textId="77777777" w:rsidR="008F40BF" w:rsidRPr="00142FF0" w:rsidRDefault="008F40BF" w:rsidP="008F40BF">
            <w:pPr>
              <w:keepNext/>
              <w:keepLines/>
              <w:spacing w:before="20" w:after="20"/>
              <w:jc w:val="center"/>
              <w:rPr>
                <w:rFonts w:eastAsia="MS Mincho"/>
                <w:bCs/>
                <w:sz w:val="20"/>
                <w:szCs w:val="20"/>
                <w:highlight w:val="green"/>
                <w:lang w:val="en-GB"/>
              </w:rPr>
            </w:pPr>
            <w:r w:rsidRPr="00142FF0">
              <w:rPr>
                <w:rFonts w:eastAsia="MS Mincho"/>
                <w:bCs/>
                <w:sz w:val="20"/>
                <w:szCs w:val="20"/>
                <w:highlight w:val="green"/>
                <w:lang w:val="en-GB"/>
              </w:rPr>
              <w:t>448</w:t>
            </w:r>
          </w:p>
        </w:tc>
        <w:tc>
          <w:tcPr>
            <w:tcW w:w="374" w:type="pct"/>
            <w:tcBorders>
              <w:bottom w:val="single" w:sz="12" w:space="0" w:color="auto"/>
            </w:tcBorders>
            <w:shd w:val="clear" w:color="auto" w:fill="auto"/>
            <w:vAlign w:val="center"/>
          </w:tcPr>
          <w:p w14:paraId="4A4F4D6E" w14:textId="77777777" w:rsidR="008F40BF" w:rsidRPr="00980E0F" w:rsidRDefault="008F40BF" w:rsidP="008F40BF">
            <w:pPr>
              <w:keepNext/>
              <w:keepLines/>
              <w:spacing w:before="20" w:after="20"/>
              <w:jc w:val="center"/>
              <w:rPr>
                <w:rFonts w:eastAsia="MS Mincho"/>
                <w:bCs/>
                <w:strike/>
                <w:color w:val="D9D9D9" w:themeColor="background1" w:themeShade="D9"/>
                <w:sz w:val="20"/>
                <w:szCs w:val="20"/>
                <w:highlight w:val="green"/>
                <w:lang w:val="en-GB"/>
              </w:rPr>
            </w:pPr>
            <w:r w:rsidRPr="00980E0F">
              <w:rPr>
                <w:rFonts w:eastAsia="MS Mincho"/>
                <w:bCs/>
                <w:strike/>
                <w:color w:val="D9D9D9" w:themeColor="background1" w:themeShade="D9"/>
                <w:sz w:val="20"/>
                <w:szCs w:val="20"/>
                <w:highlight w:val="green"/>
                <w:lang w:val="en-GB"/>
              </w:rPr>
              <w:t>279.5</w:t>
            </w:r>
          </w:p>
          <w:p w14:paraId="008BD63D" w14:textId="6F00B0B1" w:rsidR="00CB015B" w:rsidRPr="00142FF0" w:rsidRDefault="00980E0F" w:rsidP="008F40BF">
            <w:pPr>
              <w:keepNext/>
              <w:keepLines/>
              <w:spacing w:before="20" w:after="20"/>
              <w:jc w:val="center"/>
              <w:rPr>
                <w:rFonts w:eastAsia="MS Mincho"/>
                <w:bCs/>
                <w:sz w:val="20"/>
                <w:szCs w:val="20"/>
                <w:highlight w:val="green"/>
                <w:lang w:val="en-GB"/>
              </w:rPr>
            </w:pPr>
            <w:r w:rsidRPr="00980E0F">
              <w:rPr>
                <w:rFonts w:eastAsia="MS Mincho"/>
                <w:bCs/>
                <w:sz w:val="20"/>
                <w:szCs w:val="20"/>
                <w:shd w:val="clear" w:color="auto" w:fill="D9D9D9" w:themeFill="background1" w:themeFillShade="D9"/>
                <w:lang w:val="en-GB"/>
              </w:rPr>
              <w:t>181</w:t>
            </w:r>
          </w:p>
        </w:tc>
      </w:tr>
    </w:tbl>
    <w:p w14:paraId="13AD66C6" w14:textId="77B5AA38" w:rsidR="00EE6D22" w:rsidRPr="00142FF0" w:rsidRDefault="00EE6D22" w:rsidP="00EE6D22">
      <w:pPr>
        <w:keepNext/>
        <w:keepLines/>
        <w:tabs>
          <w:tab w:val="left" w:pos="0"/>
        </w:tabs>
        <w:rPr>
          <w:rFonts w:eastAsia="MS Mincho"/>
          <w:sz w:val="18"/>
          <w:szCs w:val="18"/>
          <w:highlight w:val="green"/>
          <w:lang w:val="en-GB"/>
        </w:rPr>
      </w:pPr>
      <w:r w:rsidRPr="00142FF0">
        <w:rPr>
          <w:rFonts w:eastAsia="MS Mincho"/>
          <w:sz w:val="18"/>
          <w:szCs w:val="18"/>
          <w:highlight w:val="green"/>
          <w:lang w:val="en-GB"/>
        </w:rPr>
        <w:t xml:space="preserve">FIR: food intake rate; TWA: time-weighted average factor; DDD: daily dietary dose; DF: Deposition factor, PD: Fraction in diet, PT: Fraction in time, TER: toxicity to exposure ratio. </w:t>
      </w:r>
      <w:r w:rsidR="00142FF0" w:rsidRPr="00142FF0">
        <w:rPr>
          <w:rFonts w:eastAsia="MS Mincho"/>
          <w:b/>
          <w:bCs/>
          <w:sz w:val="18"/>
          <w:szCs w:val="18"/>
          <w:highlight w:val="green"/>
          <w:lang w:val="en-GB"/>
        </w:rPr>
        <w:t>Bold</w:t>
      </w:r>
      <w:r w:rsidR="00142FF0" w:rsidRPr="00142FF0">
        <w:rPr>
          <w:rFonts w:eastAsia="MS Mincho"/>
          <w:sz w:val="18"/>
          <w:szCs w:val="18"/>
          <w:highlight w:val="green"/>
          <w:lang w:val="en-GB"/>
        </w:rPr>
        <w:t>: refined parameter(s)</w:t>
      </w:r>
    </w:p>
    <w:p w14:paraId="7C8D0E71" w14:textId="7E4C63F6" w:rsidR="00EE6D22" w:rsidRDefault="00EE6D22" w:rsidP="00142FF0">
      <w:pPr>
        <w:pStyle w:val="RepStandard"/>
        <w:ind w:left="142" w:hanging="142"/>
        <w:rPr>
          <w:rFonts w:eastAsia="MS Mincho"/>
        </w:rPr>
      </w:pPr>
      <w:r w:rsidRPr="00142FF0">
        <w:rPr>
          <w:rFonts w:eastAsia="MS Mincho"/>
          <w:sz w:val="18"/>
          <w:szCs w:val="18"/>
          <w:highlight w:val="green"/>
          <w:lang w:val="en-GB"/>
        </w:rPr>
        <w:t>*MAF×twa value for Propamocarb-HCl calculated with the moving-time window approach for 2 applications and 7-day interval according to the formula detailed in Appendix H of the EFSA Guidance Document (2009).</w:t>
      </w:r>
    </w:p>
    <w:p w14:paraId="43DA3F24" w14:textId="77777777" w:rsidR="00EE6D22" w:rsidRDefault="00EE6D22" w:rsidP="00DC5685">
      <w:pPr>
        <w:pStyle w:val="RepStandard"/>
        <w:rPr>
          <w:rFonts w:eastAsia="MS Mincho"/>
        </w:rPr>
      </w:pPr>
    </w:p>
    <w:p w14:paraId="0C5EF781" w14:textId="3D96A727" w:rsidR="00EE6D22" w:rsidRDefault="00EE6D22" w:rsidP="00DC5685">
      <w:pPr>
        <w:pStyle w:val="RepStandard"/>
        <w:rPr>
          <w:rFonts w:eastAsia="MS Mincho"/>
        </w:rPr>
      </w:pPr>
    </w:p>
    <w:p w14:paraId="3E4A17C6" w14:textId="75AC97B2" w:rsidR="00142FF0" w:rsidRPr="00F570A7" w:rsidRDefault="00142FF0" w:rsidP="00040983">
      <w:pPr>
        <w:pStyle w:val="Legenda"/>
        <w:rPr>
          <w:rFonts w:eastAsia="MS Mincho"/>
          <w:b w:val="0"/>
          <w:bCs w:val="0"/>
          <w:color w:val="D9D9D9" w:themeColor="background1" w:themeShade="D9"/>
          <w:highlight w:val="green"/>
        </w:rPr>
      </w:pPr>
      <w:r w:rsidRPr="00F570A7">
        <w:rPr>
          <w:rFonts w:eastAsia="MS Mincho"/>
          <w:color w:val="D9D9D9" w:themeColor="background1" w:themeShade="D9"/>
          <w:highlight w:val="green"/>
        </w:rPr>
        <w:t xml:space="preserve">Table </w:t>
      </w:r>
      <w:r w:rsidR="007E7467" w:rsidRPr="00F570A7">
        <w:rPr>
          <w:rFonts w:eastAsia="MS Mincho"/>
          <w:color w:val="D9D9D9" w:themeColor="background1" w:themeShade="D9"/>
          <w:highlight w:val="green"/>
        </w:rPr>
        <w:fldChar w:fldCharType="begin"/>
      </w:r>
      <w:r w:rsidR="007E7467" w:rsidRPr="00F570A7">
        <w:rPr>
          <w:rFonts w:eastAsia="MS Mincho"/>
          <w:color w:val="D9D9D9" w:themeColor="background1" w:themeShade="D9"/>
          <w:highlight w:val="green"/>
        </w:rPr>
        <w:instrText xml:space="preserve"> STYLEREF 2 \s </w:instrText>
      </w:r>
      <w:r w:rsidR="007E7467" w:rsidRPr="00F570A7">
        <w:rPr>
          <w:rFonts w:eastAsia="MS Mincho"/>
          <w:color w:val="D9D9D9" w:themeColor="background1" w:themeShade="D9"/>
          <w:highlight w:val="green"/>
        </w:rPr>
        <w:fldChar w:fldCharType="separate"/>
      </w:r>
      <w:r w:rsidR="006F0F3B" w:rsidRPr="00F570A7">
        <w:rPr>
          <w:rFonts w:eastAsia="MS Mincho"/>
          <w:noProof/>
          <w:color w:val="D9D9D9" w:themeColor="background1" w:themeShade="D9"/>
          <w:highlight w:val="green"/>
        </w:rPr>
        <w:t>9.2</w:t>
      </w:r>
      <w:r w:rsidR="007E7467" w:rsidRPr="00F570A7">
        <w:rPr>
          <w:rFonts w:eastAsia="MS Mincho"/>
          <w:color w:val="D9D9D9" w:themeColor="background1" w:themeShade="D9"/>
          <w:highlight w:val="green"/>
        </w:rPr>
        <w:fldChar w:fldCharType="end"/>
      </w:r>
      <w:r w:rsidR="007E7467" w:rsidRPr="00F570A7">
        <w:rPr>
          <w:rFonts w:eastAsia="MS Mincho"/>
          <w:color w:val="D9D9D9" w:themeColor="background1" w:themeShade="D9"/>
          <w:highlight w:val="green"/>
        </w:rPr>
        <w:noBreakHyphen/>
      </w:r>
      <w:r w:rsidR="007E7467" w:rsidRPr="00F570A7">
        <w:rPr>
          <w:rFonts w:eastAsia="MS Mincho"/>
          <w:color w:val="D9D9D9" w:themeColor="background1" w:themeShade="D9"/>
          <w:highlight w:val="green"/>
        </w:rPr>
        <w:fldChar w:fldCharType="begin"/>
      </w:r>
      <w:r w:rsidR="007E7467" w:rsidRPr="00F570A7">
        <w:rPr>
          <w:rFonts w:eastAsia="MS Mincho"/>
          <w:color w:val="D9D9D9" w:themeColor="background1" w:themeShade="D9"/>
          <w:highlight w:val="green"/>
        </w:rPr>
        <w:instrText xml:space="preserve"> SEQ Table \* ARABIC \s 2 </w:instrText>
      </w:r>
      <w:r w:rsidR="007E7467" w:rsidRPr="00F570A7">
        <w:rPr>
          <w:rFonts w:eastAsia="MS Mincho"/>
          <w:color w:val="D9D9D9" w:themeColor="background1" w:themeShade="D9"/>
          <w:highlight w:val="green"/>
        </w:rPr>
        <w:fldChar w:fldCharType="separate"/>
      </w:r>
      <w:r w:rsidR="006F0F3B" w:rsidRPr="00F570A7">
        <w:rPr>
          <w:rFonts w:eastAsia="MS Mincho"/>
          <w:noProof/>
          <w:color w:val="D9D9D9" w:themeColor="background1" w:themeShade="D9"/>
          <w:highlight w:val="green"/>
        </w:rPr>
        <w:t>16</w:t>
      </w:r>
      <w:r w:rsidR="007E7467" w:rsidRPr="00F570A7">
        <w:rPr>
          <w:rFonts w:eastAsia="MS Mincho"/>
          <w:color w:val="D9D9D9" w:themeColor="background1" w:themeShade="D9"/>
          <w:highlight w:val="green"/>
        </w:rPr>
        <w:fldChar w:fldCharType="end"/>
      </w:r>
      <w:r w:rsidRPr="00F570A7">
        <w:rPr>
          <w:rFonts w:eastAsia="MS Mincho"/>
          <w:color w:val="D9D9D9" w:themeColor="background1" w:themeShade="D9"/>
          <w:highlight w:val="green"/>
        </w:rPr>
        <w:t xml:space="preserve">: </w:t>
      </w:r>
      <w:r w:rsidRPr="00F570A7">
        <w:rPr>
          <w:rFonts w:eastAsia="MS Mincho"/>
          <w:color w:val="D9D9D9" w:themeColor="background1" w:themeShade="D9"/>
          <w:highlight w:val="green"/>
        </w:rPr>
        <w:tab/>
        <w:t>Higher-tier assessment of the long-term/reproductive risk for the frugivorous bird “crow” due to the exposure to BAS 743 03 F in fruiting vegetables (BBCH 71 – 89) – revised PD, PT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5"/>
        <w:gridCol w:w="854"/>
        <w:gridCol w:w="572"/>
        <w:gridCol w:w="1109"/>
        <w:gridCol w:w="1155"/>
        <w:gridCol w:w="849"/>
        <w:gridCol w:w="729"/>
        <w:gridCol w:w="570"/>
        <w:gridCol w:w="976"/>
        <w:gridCol w:w="709"/>
        <w:gridCol w:w="699"/>
      </w:tblGrid>
      <w:tr w:rsidR="00F570A7" w:rsidRPr="00F570A7" w14:paraId="1544B9BD" w14:textId="77777777" w:rsidTr="00BE2565">
        <w:tc>
          <w:tcPr>
            <w:tcW w:w="1365" w:type="pct"/>
            <w:gridSpan w:val="3"/>
            <w:tcBorders>
              <w:top w:val="single" w:sz="4" w:space="0" w:color="auto"/>
              <w:right w:val="single" w:sz="4" w:space="0" w:color="auto"/>
            </w:tcBorders>
          </w:tcPr>
          <w:p w14:paraId="3B7EDA7A" w14:textId="77777777" w:rsidR="00142FF0" w:rsidRPr="00F570A7" w:rsidRDefault="00142FF0" w:rsidP="00BE2565">
            <w:pPr>
              <w:keepNext/>
              <w:keepLines/>
              <w:spacing w:before="20" w:after="20"/>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lastRenderedPageBreak/>
              <w:t>Reprod. toxicity (mg/kg bw/d)</w:t>
            </w:r>
          </w:p>
        </w:tc>
        <w:tc>
          <w:tcPr>
            <w:tcW w:w="3635" w:type="pct"/>
            <w:gridSpan w:val="8"/>
            <w:tcBorders>
              <w:top w:val="single" w:sz="4" w:space="0" w:color="auto"/>
              <w:right w:val="single" w:sz="4" w:space="0" w:color="auto"/>
            </w:tcBorders>
          </w:tcPr>
          <w:p w14:paraId="0C90421B" w14:textId="460E8B22" w:rsidR="00142FF0" w:rsidRPr="00F570A7" w:rsidRDefault="00142FF0" w:rsidP="00BE2565">
            <w:pPr>
              <w:keepNext/>
              <w:keepLines/>
              <w:spacing w:before="20" w:after="20"/>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107</w:t>
            </w:r>
            <w:r w:rsidR="007C76A9" w:rsidRPr="00F570A7">
              <w:rPr>
                <w:rFonts w:eastAsia="MS Mincho"/>
                <w:color w:val="D9D9D9" w:themeColor="background1" w:themeShade="D9"/>
                <w:sz w:val="20"/>
                <w:szCs w:val="20"/>
                <w:highlight w:val="green"/>
                <w:lang w:val="en-GB"/>
              </w:rPr>
              <w:t xml:space="preserve"> (NOEL</w:t>
            </w:r>
            <w:r w:rsidR="007C76A9" w:rsidRPr="00F570A7">
              <w:rPr>
                <w:rFonts w:eastAsia="MS Mincho"/>
                <w:color w:val="D9D9D9" w:themeColor="background1" w:themeShade="D9"/>
                <w:sz w:val="20"/>
                <w:szCs w:val="20"/>
                <w:highlight w:val="green"/>
                <w:vertAlign w:val="subscript"/>
                <w:lang w:val="en-GB"/>
              </w:rPr>
              <w:t>mix</w:t>
            </w:r>
            <w:r w:rsidR="007C76A9" w:rsidRPr="00F570A7">
              <w:rPr>
                <w:rFonts w:eastAsia="MS Mincho"/>
                <w:color w:val="D9D9D9" w:themeColor="background1" w:themeShade="D9"/>
                <w:sz w:val="20"/>
                <w:szCs w:val="20"/>
                <w:highlight w:val="green"/>
                <w:lang w:val="en-GB"/>
              </w:rPr>
              <w:t>)</w:t>
            </w:r>
          </w:p>
        </w:tc>
      </w:tr>
      <w:tr w:rsidR="00F570A7" w:rsidRPr="00F570A7" w14:paraId="267EE56E" w14:textId="77777777" w:rsidTr="00F609B1">
        <w:tc>
          <w:tcPr>
            <w:tcW w:w="1365" w:type="pct"/>
            <w:gridSpan w:val="3"/>
            <w:tcBorders>
              <w:top w:val="single" w:sz="4" w:space="0" w:color="auto"/>
              <w:right w:val="single" w:sz="4" w:space="0" w:color="auto"/>
            </w:tcBorders>
          </w:tcPr>
          <w:p w14:paraId="423D203A" w14:textId="718CAA64" w:rsidR="008F40BF" w:rsidRPr="00F570A7" w:rsidRDefault="008F40BF" w:rsidP="008F40BF">
            <w:pPr>
              <w:keepNext/>
              <w:keepLines/>
              <w:spacing w:before="20" w:after="20"/>
              <w:rPr>
                <w:rFonts w:eastAsia="MS Mincho"/>
                <w:b/>
                <w:bCs/>
                <w:color w:val="D9D9D9" w:themeColor="background1" w:themeShade="D9"/>
                <w:sz w:val="20"/>
                <w:szCs w:val="20"/>
                <w:highlight w:val="green"/>
                <w:lang w:val="en-GB"/>
              </w:rPr>
            </w:pPr>
            <w:r w:rsidRPr="00F570A7">
              <w:rPr>
                <w:b/>
                <w:bCs/>
                <w:color w:val="D9D9D9" w:themeColor="background1" w:themeShade="D9"/>
                <w:sz w:val="20"/>
                <w:szCs w:val="20"/>
                <w:highlight w:val="green"/>
                <w:lang w:val="en-GB"/>
              </w:rPr>
              <w:t>App. Rate (kg a.s./ha)</w:t>
            </w:r>
          </w:p>
        </w:tc>
        <w:tc>
          <w:tcPr>
            <w:tcW w:w="3635" w:type="pct"/>
            <w:gridSpan w:val="8"/>
            <w:tcBorders>
              <w:top w:val="single" w:sz="4" w:space="0" w:color="auto"/>
              <w:right w:val="single" w:sz="4" w:space="0" w:color="auto"/>
            </w:tcBorders>
          </w:tcPr>
          <w:p w14:paraId="3E0A26CA" w14:textId="7398749F" w:rsidR="008F40BF" w:rsidRPr="00F570A7" w:rsidRDefault="008F40BF" w:rsidP="008F40BF">
            <w:pPr>
              <w:keepNext/>
              <w:keepLines/>
              <w:spacing w:before="20" w:after="20"/>
              <w:rPr>
                <w:rFonts w:eastAsia="MS Mincho"/>
                <w:color w:val="D9D9D9" w:themeColor="background1" w:themeShade="D9"/>
                <w:sz w:val="20"/>
                <w:szCs w:val="20"/>
                <w:highlight w:val="green"/>
                <w:lang w:val="en-GB"/>
              </w:rPr>
            </w:pPr>
            <w:r w:rsidRPr="00F570A7">
              <w:rPr>
                <w:bCs/>
                <w:color w:val="D9D9D9" w:themeColor="background1" w:themeShade="D9"/>
                <w:sz w:val="20"/>
                <w:szCs w:val="20"/>
                <w:highlight w:val="green"/>
                <w:lang w:val="es-ES"/>
              </w:rPr>
              <w:t>2 x 1.142 (</w:t>
            </w:r>
            <w:r w:rsidRPr="00F570A7">
              <w:rPr>
                <w:bCs/>
                <w:color w:val="D9D9D9" w:themeColor="background1" w:themeShade="D9"/>
                <w:sz w:val="20"/>
                <w:szCs w:val="20"/>
                <w:highlight w:val="green"/>
                <w:lang w:val="en-GB"/>
              </w:rPr>
              <w:t>2 × ∑ 0.24 + 0.902</w:t>
            </w:r>
            <w:r w:rsidRPr="00F570A7">
              <w:rPr>
                <w:bCs/>
                <w:color w:val="D9D9D9" w:themeColor="background1" w:themeShade="D9"/>
                <w:sz w:val="20"/>
                <w:szCs w:val="20"/>
                <w:highlight w:val="green"/>
                <w:lang w:val="es-ES"/>
              </w:rPr>
              <w:t>)</w:t>
            </w:r>
          </w:p>
        </w:tc>
      </w:tr>
      <w:tr w:rsidR="00F570A7" w:rsidRPr="00F570A7" w14:paraId="283AC33F" w14:textId="77777777" w:rsidTr="00BE2565">
        <w:tc>
          <w:tcPr>
            <w:tcW w:w="1365" w:type="pct"/>
            <w:gridSpan w:val="3"/>
            <w:tcBorders>
              <w:bottom w:val="single" w:sz="12" w:space="0" w:color="auto"/>
              <w:right w:val="single" w:sz="4" w:space="0" w:color="auto"/>
            </w:tcBorders>
          </w:tcPr>
          <w:p w14:paraId="0896366B" w14:textId="77777777" w:rsidR="008F40BF" w:rsidRPr="00F570A7" w:rsidRDefault="008F40BF" w:rsidP="008F40BF">
            <w:pPr>
              <w:keepNext/>
              <w:keepLines/>
              <w:spacing w:before="20" w:after="20"/>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TER criterion</w:t>
            </w:r>
          </w:p>
        </w:tc>
        <w:tc>
          <w:tcPr>
            <w:tcW w:w="3635" w:type="pct"/>
            <w:gridSpan w:val="8"/>
            <w:tcBorders>
              <w:bottom w:val="single" w:sz="12" w:space="0" w:color="auto"/>
              <w:right w:val="single" w:sz="4" w:space="0" w:color="auto"/>
            </w:tcBorders>
          </w:tcPr>
          <w:p w14:paraId="05B2678A" w14:textId="77777777" w:rsidR="008F40BF" w:rsidRPr="00F570A7" w:rsidRDefault="008F40BF" w:rsidP="008F40BF">
            <w:pPr>
              <w:keepNext/>
              <w:keepLines/>
              <w:spacing w:before="20" w:after="20"/>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5</w:t>
            </w:r>
          </w:p>
        </w:tc>
      </w:tr>
      <w:tr w:rsidR="00F570A7" w:rsidRPr="00F570A7" w14:paraId="7D5676F7" w14:textId="77777777" w:rsidTr="00BE2565">
        <w:tc>
          <w:tcPr>
            <w:tcW w:w="602" w:type="pct"/>
            <w:tcBorders>
              <w:top w:val="single" w:sz="12" w:space="0" w:color="auto"/>
              <w:right w:val="single" w:sz="8" w:space="0" w:color="auto"/>
            </w:tcBorders>
          </w:tcPr>
          <w:p w14:paraId="7160FE82"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Max. application rate (g a.s./ha)</w:t>
            </w:r>
          </w:p>
        </w:tc>
        <w:tc>
          <w:tcPr>
            <w:tcW w:w="457" w:type="pct"/>
            <w:tcBorders>
              <w:top w:val="single" w:sz="12" w:space="0" w:color="auto"/>
              <w:right w:val="single" w:sz="8" w:space="0" w:color="auto"/>
            </w:tcBorders>
            <w:shd w:val="clear" w:color="auto" w:fill="auto"/>
          </w:tcPr>
          <w:p w14:paraId="3110AB07"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Calibri"/>
                <w:b/>
                <w:color w:val="D9D9D9" w:themeColor="background1" w:themeShade="D9"/>
                <w:sz w:val="20"/>
                <w:szCs w:val="20"/>
                <w:highlight w:val="green"/>
                <w:lang w:val="en-GB"/>
              </w:rPr>
              <w:t>Feed item</w:t>
            </w:r>
          </w:p>
        </w:tc>
        <w:tc>
          <w:tcPr>
            <w:tcW w:w="306" w:type="pct"/>
            <w:tcBorders>
              <w:top w:val="single" w:sz="12" w:space="0" w:color="auto"/>
              <w:left w:val="single" w:sz="8" w:space="0" w:color="auto"/>
            </w:tcBorders>
            <w:shd w:val="clear" w:color="auto" w:fill="auto"/>
          </w:tcPr>
          <w:p w14:paraId="677DF14D"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Calibri"/>
                <w:b/>
                <w:color w:val="D9D9D9" w:themeColor="background1" w:themeShade="D9"/>
                <w:sz w:val="20"/>
                <w:szCs w:val="20"/>
                <w:highlight w:val="green"/>
                <w:lang w:val="en-GB"/>
              </w:rPr>
              <w:t>PD</w:t>
            </w:r>
          </w:p>
        </w:tc>
        <w:tc>
          <w:tcPr>
            <w:tcW w:w="593" w:type="pct"/>
            <w:tcBorders>
              <w:top w:val="single" w:sz="12" w:space="0" w:color="auto"/>
            </w:tcBorders>
            <w:shd w:val="clear" w:color="auto" w:fill="auto"/>
          </w:tcPr>
          <w:p w14:paraId="659EF4EE"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FIR</w:t>
            </w:r>
            <w:r w:rsidRPr="00F570A7">
              <w:rPr>
                <w:rFonts w:eastAsia="MS Mincho"/>
                <w:b/>
                <w:bCs/>
                <w:color w:val="D9D9D9" w:themeColor="background1" w:themeShade="D9"/>
                <w:sz w:val="20"/>
                <w:szCs w:val="20"/>
                <w:highlight w:val="green"/>
                <w:vertAlign w:val="subscript"/>
                <w:lang w:val="en-GB"/>
              </w:rPr>
              <w:t>i</w:t>
            </w:r>
            <w:r w:rsidRPr="00F570A7">
              <w:rPr>
                <w:rFonts w:eastAsia="MS Mincho"/>
                <w:b/>
                <w:bCs/>
                <w:color w:val="D9D9D9" w:themeColor="background1" w:themeShade="D9"/>
                <w:sz w:val="20"/>
                <w:szCs w:val="20"/>
                <w:highlight w:val="green"/>
                <w:lang w:val="en-GB"/>
              </w:rPr>
              <w:t>, total fresh</w:t>
            </w:r>
          </w:p>
          <w:p w14:paraId="1E274620"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[g fresh weight/d]</w:t>
            </w:r>
          </w:p>
        </w:tc>
        <w:tc>
          <w:tcPr>
            <w:tcW w:w="618" w:type="pct"/>
            <w:tcBorders>
              <w:top w:val="single" w:sz="12" w:space="0" w:color="auto"/>
            </w:tcBorders>
            <w:shd w:val="clear" w:color="auto" w:fill="auto"/>
          </w:tcPr>
          <w:p w14:paraId="63B9F02C" w14:textId="77777777" w:rsidR="008F40BF" w:rsidRPr="00F570A7" w:rsidRDefault="008F40BF" w:rsidP="008F40BF">
            <w:pPr>
              <w:keepNext/>
              <w:keepLines/>
              <w:widowControl w:val="0"/>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RUD of food item</w:t>
            </w:r>
          </w:p>
          <w:p w14:paraId="6F3FAAD0" w14:textId="77777777" w:rsidR="008F40BF" w:rsidRPr="00F570A7" w:rsidRDefault="008F40BF" w:rsidP="008F40BF">
            <w:pPr>
              <w:keepNext/>
              <w:keepLines/>
              <w:widowControl w:val="0"/>
              <w:spacing w:before="20" w:after="20"/>
              <w:jc w:val="center"/>
              <w:rPr>
                <w:rFonts w:eastAsia="MS Mincho"/>
                <w:b/>
                <w:bCs/>
                <w:color w:val="D9D9D9" w:themeColor="background1" w:themeShade="D9"/>
                <w:sz w:val="20"/>
                <w:szCs w:val="20"/>
                <w:highlight w:val="green"/>
                <w:vertAlign w:val="superscript"/>
                <w:lang w:val="en-GB"/>
              </w:rPr>
            </w:pPr>
            <w:r w:rsidRPr="00F570A7">
              <w:rPr>
                <w:rFonts w:eastAsia="MS Mincho"/>
                <w:b/>
                <w:bCs/>
                <w:color w:val="D9D9D9" w:themeColor="background1" w:themeShade="D9"/>
                <w:sz w:val="20"/>
                <w:szCs w:val="20"/>
                <w:highlight w:val="green"/>
                <w:lang w:val="en-GB"/>
              </w:rPr>
              <w:t>[mg a.s./kg]</w:t>
            </w:r>
          </w:p>
        </w:tc>
        <w:tc>
          <w:tcPr>
            <w:tcW w:w="454" w:type="pct"/>
            <w:tcBorders>
              <w:top w:val="single" w:sz="12" w:space="0" w:color="auto"/>
            </w:tcBorders>
            <w:shd w:val="clear" w:color="auto" w:fill="auto"/>
          </w:tcPr>
          <w:p w14:paraId="7888DDCD"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de-DE"/>
              </w:rPr>
            </w:pPr>
            <w:r w:rsidRPr="00F570A7">
              <w:rPr>
                <w:rFonts w:eastAsia="MS Mincho"/>
                <w:b/>
                <w:bCs/>
                <w:color w:val="D9D9D9" w:themeColor="background1" w:themeShade="D9"/>
                <w:sz w:val="20"/>
                <w:szCs w:val="20"/>
                <w:highlight w:val="green"/>
                <w:lang w:val="de-DE"/>
              </w:rPr>
              <w:t>MAF × twa*</w:t>
            </w:r>
          </w:p>
        </w:tc>
        <w:tc>
          <w:tcPr>
            <w:tcW w:w="390" w:type="pct"/>
            <w:tcBorders>
              <w:top w:val="single" w:sz="12" w:space="0" w:color="auto"/>
            </w:tcBorders>
          </w:tcPr>
          <w:p w14:paraId="35B20592"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de-DE"/>
              </w:rPr>
            </w:pPr>
            <w:r w:rsidRPr="00F570A7">
              <w:rPr>
                <w:rFonts w:eastAsia="MS Mincho"/>
                <w:b/>
                <w:bCs/>
                <w:color w:val="D9D9D9" w:themeColor="background1" w:themeShade="D9"/>
                <w:sz w:val="20"/>
                <w:szCs w:val="20"/>
                <w:highlight w:val="green"/>
                <w:lang w:val="de-DE"/>
              </w:rPr>
              <w:t>DF</w:t>
            </w:r>
          </w:p>
        </w:tc>
        <w:tc>
          <w:tcPr>
            <w:tcW w:w="305" w:type="pct"/>
            <w:tcBorders>
              <w:top w:val="single" w:sz="12" w:space="0" w:color="auto"/>
            </w:tcBorders>
          </w:tcPr>
          <w:p w14:paraId="098C94E0"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de-DE"/>
              </w:rPr>
            </w:pPr>
            <w:r w:rsidRPr="00F570A7">
              <w:rPr>
                <w:rFonts w:eastAsia="MS Mincho"/>
                <w:b/>
                <w:bCs/>
                <w:color w:val="D9D9D9" w:themeColor="background1" w:themeShade="D9"/>
                <w:sz w:val="20"/>
                <w:szCs w:val="20"/>
                <w:highlight w:val="green"/>
                <w:lang w:val="de-DE"/>
              </w:rPr>
              <w:t>PT</w:t>
            </w:r>
          </w:p>
        </w:tc>
        <w:tc>
          <w:tcPr>
            <w:tcW w:w="522" w:type="pct"/>
            <w:tcBorders>
              <w:top w:val="single" w:sz="12" w:space="0" w:color="auto"/>
            </w:tcBorders>
            <w:shd w:val="clear" w:color="auto" w:fill="auto"/>
          </w:tcPr>
          <w:p w14:paraId="7137F8E3"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de-DE"/>
              </w:rPr>
            </w:pPr>
            <w:r w:rsidRPr="00F570A7">
              <w:rPr>
                <w:rFonts w:eastAsia="MS Mincho"/>
                <w:b/>
                <w:bCs/>
                <w:color w:val="D9D9D9" w:themeColor="background1" w:themeShade="D9"/>
                <w:sz w:val="20"/>
                <w:szCs w:val="20"/>
                <w:highlight w:val="green"/>
                <w:lang w:val="de-DE"/>
              </w:rPr>
              <w:t>DDD</w:t>
            </w:r>
            <w:r w:rsidRPr="00F570A7">
              <w:rPr>
                <w:rFonts w:eastAsia="MS Mincho"/>
                <w:b/>
                <w:bCs/>
                <w:color w:val="D9D9D9" w:themeColor="background1" w:themeShade="D9"/>
                <w:sz w:val="20"/>
                <w:szCs w:val="20"/>
                <w:highlight w:val="green"/>
                <w:vertAlign w:val="subscript"/>
                <w:lang w:val="de-DE"/>
              </w:rPr>
              <w:t>m</w:t>
            </w:r>
          </w:p>
          <w:p w14:paraId="0B54206B"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de-DE"/>
              </w:rPr>
            </w:pPr>
            <w:r w:rsidRPr="00F570A7">
              <w:rPr>
                <w:rFonts w:eastAsia="MS Mincho"/>
                <w:b/>
                <w:bCs/>
                <w:color w:val="D9D9D9" w:themeColor="background1" w:themeShade="D9"/>
                <w:sz w:val="20"/>
                <w:szCs w:val="20"/>
                <w:highlight w:val="green"/>
                <w:lang w:val="de-DE"/>
              </w:rPr>
              <w:t>(mg/kg bw/d)</w:t>
            </w:r>
          </w:p>
        </w:tc>
        <w:tc>
          <w:tcPr>
            <w:tcW w:w="379" w:type="pct"/>
            <w:tcBorders>
              <w:top w:val="single" w:sz="12" w:space="0" w:color="auto"/>
            </w:tcBorders>
          </w:tcPr>
          <w:p w14:paraId="356C5767"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Body weight [g]</w:t>
            </w:r>
          </w:p>
        </w:tc>
        <w:tc>
          <w:tcPr>
            <w:tcW w:w="374" w:type="pct"/>
            <w:tcBorders>
              <w:top w:val="single" w:sz="12" w:space="0" w:color="auto"/>
            </w:tcBorders>
            <w:shd w:val="clear" w:color="auto" w:fill="auto"/>
          </w:tcPr>
          <w:p w14:paraId="1861DC8B"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TER</w:t>
            </w:r>
            <w:r w:rsidRPr="00F570A7">
              <w:rPr>
                <w:rFonts w:eastAsia="MS Mincho"/>
                <w:b/>
                <w:bCs/>
                <w:color w:val="D9D9D9" w:themeColor="background1" w:themeShade="D9"/>
                <w:sz w:val="20"/>
                <w:szCs w:val="20"/>
                <w:highlight w:val="green"/>
                <w:vertAlign w:val="subscript"/>
                <w:lang w:val="en-GB"/>
              </w:rPr>
              <w:t>lt</w:t>
            </w:r>
          </w:p>
        </w:tc>
      </w:tr>
      <w:tr w:rsidR="00F570A7" w:rsidRPr="00F570A7" w14:paraId="311BFC28" w14:textId="77777777" w:rsidTr="00BE2565">
        <w:tc>
          <w:tcPr>
            <w:tcW w:w="5000" w:type="pct"/>
            <w:gridSpan w:val="11"/>
            <w:tcBorders>
              <w:top w:val="single" w:sz="8" w:space="0" w:color="auto"/>
              <w:left w:val="single" w:sz="8" w:space="0" w:color="auto"/>
              <w:bottom w:val="single" w:sz="4" w:space="0" w:color="auto"/>
              <w:right w:val="single" w:sz="8" w:space="0" w:color="auto"/>
            </w:tcBorders>
          </w:tcPr>
          <w:p w14:paraId="791EE3F4" w14:textId="77777777" w:rsidR="008F40BF" w:rsidRPr="00F570A7" w:rsidRDefault="008F40BF" w:rsidP="008F40BF">
            <w:pPr>
              <w:keepNext/>
              <w:keepLines/>
              <w:spacing w:before="20" w:after="20"/>
              <w:rPr>
                <w:rFonts w:eastAsia="MS Mincho"/>
                <w:b/>
                <w:color w:val="D9D9D9" w:themeColor="background1" w:themeShade="D9"/>
                <w:sz w:val="20"/>
                <w:szCs w:val="20"/>
                <w:highlight w:val="green"/>
                <w:lang w:val="en-GB"/>
              </w:rPr>
            </w:pPr>
            <w:r w:rsidRPr="00F570A7">
              <w:rPr>
                <w:rFonts w:eastAsia="MS Mincho"/>
                <w:b/>
                <w:color w:val="D9D9D9" w:themeColor="background1" w:themeShade="D9"/>
                <w:sz w:val="20"/>
                <w:szCs w:val="20"/>
                <w:highlight w:val="green"/>
                <w:lang w:val="en-GB"/>
              </w:rPr>
              <w:t>Fruiting vegetables</w:t>
            </w:r>
            <w:r w:rsidRPr="00F570A7">
              <w:rPr>
                <w:rFonts w:eastAsia="MS Mincho"/>
                <w:color w:val="D9D9D9" w:themeColor="background1" w:themeShade="D9"/>
                <w:sz w:val="20"/>
                <w:szCs w:val="20"/>
                <w:highlight w:val="green"/>
                <w:lang w:val="en-GB"/>
              </w:rPr>
              <w:t xml:space="preserve"> </w:t>
            </w:r>
          </w:p>
        </w:tc>
      </w:tr>
      <w:tr w:rsidR="00F570A7" w:rsidRPr="00F570A7" w14:paraId="68CC9353" w14:textId="77777777" w:rsidTr="00BE2565">
        <w:tc>
          <w:tcPr>
            <w:tcW w:w="602" w:type="pct"/>
            <w:vMerge w:val="restart"/>
            <w:tcBorders>
              <w:bottom w:val="single" w:sz="12" w:space="0" w:color="auto"/>
              <w:right w:val="single" w:sz="8" w:space="0" w:color="auto"/>
            </w:tcBorders>
            <w:vAlign w:val="center"/>
          </w:tcPr>
          <w:p w14:paraId="19A54F65"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2 x 902</w:t>
            </w:r>
          </w:p>
          <w:p w14:paraId="75E38664"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(7 d interval)</w:t>
            </w:r>
          </w:p>
        </w:tc>
        <w:tc>
          <w:tcPr>
            <w:tcW w:w="457" w:type="pct"/>
            <w:tcBorders>
              <w:bottom w:val="single" w:sz="2" w:space="0" w:color="auto"/>
              <w:right w:val="single" w:sz="8" w:space="0" w:color="auto"/>
            </w:tcBorders>
            <w:shd w:val="clear" w:color="auto" w:fill="auto"/>
            <w:vAlign w:val="center"/>
          </w:tcPr>
          <w:p w14:paraId="34A7AD14"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Foliar insects</w:t>
            </w:r>
          </w:p>
        </w:tc>
        <w:tc>
          <w:tcPr>
            <w:tcW w:w="306" w:type="pct"/>
            <w:tcBorders>
              <w:left w:val="single" w:sz="8" w:space="0" w:color="auto"/>
              <w:bottom w:val="single" w:sz="2" w:space="0" w:color="auto"/>
            </w:tcBorders>
            <w:shd w:val="clear" w:color="auto" w:fill="auto"/>
            <w:vAlign w:val="center"/>
          </w:tcPr>
          <w:p w14:paraId="1FA7B0C2"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0.7</w:t>
            </w:r>
          </w:p>
        </w:tc>
        <w:tc>
          <w:tcPr>
            <w:tcW w:w="593" w:type="pct"/>
            <w:vMerge w:val="restart"/>
            <w:tcBorders>
              <w:bottom w:val="single" w:sz="2" w:space="0" w:color="auto"/>
            </w:tcBorders>
            <w:shd w:val="clear" w:color="auto" w:fill="auto"/>
            <w:vAlign w:val="center"/>
          </w:tcPr>
          <w:p w14:paraId="7F34C9CE"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157.11</w:t>
            </w:r>
          </w:p>
        </w:tc>
        <w:tc>
          <w:tcPr>
            <w:tcW w:w="618" w:type="pct"/>
            <w:tcBorders>
              <w:bottom w:val="single" w:sz="2" w:space="0" w:color="auto"/>
            </w:tcBorders>
            <w:shd w:val="clear" w:color="auto" w:fill="auto"/>
            <w:vAlign w:val="center"/>
          </w:tcPr>
          <w:p w14:paraId="272EE10B"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21</w:t>
            </w:r>
          </w:p>
        </w:tc>
        <w:tc>
          <w:tcPr>
            <w:tcW w:w="454" w:type="pct"/>
            <w:vMerge w:val="restart"/>
            <w:shd w:val="clear" w:color="auto" w:fill="auto"/>
            <w:vAlign w:val="center"/>
          </w:tcPr>
          <w:p w14:paraId="4C7C2A8D"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0.95</w:t>
            </w:r>
          </w:p>
        </w:tc>
        <w:tc>
          <w:tcPr>
            <w:tcW w:w="390" w:type="pct"/>
            <w:vMerge w:val="restart"/>
            <w:tcBorders>
              <w:bottom w:val="single" w:sz="12" w:space="0" w:color="auto"/>
            </w:tcBorders>
            <w:vAlign w:val="center"/>
          </w:tcPr>
          <w:p w14:paraId="52794EF8"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1</w:t>
            </w:r>
          </w:p>
        </w:tc>
        <w:tc>
          <w:tcPr>
            <w:tcW w:w="305" w:type="pct"/>
            <w:vMerge w:val="restart"/>
            <w:tcBorders>
              <w:bottom w:val="single" w:sz="12" w:space="0" w:color="auto"/>
            </w:tcBorders>
            <w:vAlign w:val="center"/>
          </w:tcPr>
          <w:p w14:paraId="12D76194"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0.8</w:t>
            </w:r>
          </w:p>
        </w:tc>
        <w:tc>
          <w:tcPr>
            <w:tcW w:w="522" w:type="pct"/>
            <w:vMerge w:val="restart"/>
            <w:tcBorders>
              <w:bottom w:val="single" w:sz="12" w:space="0" w:color="auto"/>
            </w:tcBorders>
            <w:shd w:val="clear" w:color="auto" w:fill="auto"/>
            <w:vAlign w:val="center"/>
          </w:tcPr>
          <w:p w14:paraId="6BC72A4D" w14:textId="38398A5C"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7.61</w:t>
            </w:r>
          </w:p>
        </w:tc>
        <w:tc>
          <w:tcPr>
            <w:tcW w:w="379" w:type="pct"/>
            <w:vMerge w:val="restart"/>
            <w:tcBorders>
              <w:bottom w:val="single" w:sz="12" w:space="0" w:color="auto"/>
            </w:tcBorders>
            <w:vAlign w:val="center"/>
          </w:tcPr>
          <w:p w14:paraId="52AECD5F" w14:textId="77777777" w:rsidR="008F40BF" w:rsidRPr="00F570A7" w:rsidRDefault="008F40BF" w:rsidP="008F40BF">
            <w:pPr>
              <w:keepNext/>
              <w:keepLines/>
              <w:spacing w:before="20" w:after="20"/>
              <w:jc w:val="center"/>
              <w:rPr>
                <w:rFonts w:eastAsia="MS Mincho"/>
                <w:bCs/>
                <w:color w:val="D9D9D9" w:themeColor="background1" w:themeShade="D9"/>
                <w:sz w:val="20"/>
                <w:szCs w:val="20"/>
                <w:highlight w:val="green"/>
                <w:lang w:val="en-GB"/>
              </w:rPr>
            </w:pPr>
            <w:r w:rsidRPr="00F570A7">
              <w:rPr>
                <w:rFonts w:eastAsia="MS Mincho"/>
                <w:bCs/>
                <w:color w:val="D9D9D9" w:themeColor="background1" w:themeShade="D9"/>
                <w:sz w:val="20"/>
                <w:szCs w:val="20"/>
                <w:highlight w:val="green"/>
                <w:lang w:val="en-GB"/>
              </w:rPr>
              <w:t>448</w:t>
            </w:r>
          </w:p>
        </w:tc>
        <w:tc>
          <w:tcPr>
            <w:tcW w:w="374" w:type="pct"/>
            <w:vMerge w:val="restart"/>
            <w:tcBorders>
              <w:bottom w:val="single" w:sz="12" w:space="0" w:color="auto"/>
            </w:tcBorders>
            <w:shd w:val="clear" w:color="auto" w:fill="auto"/>
            <w:vAlign w:val="center"/>
          </w:tcPr>
          <w:p w14:paraId="1709AA07" w14:textId="1AC46F8F" w:rsidR="008F40BF" w:rsidRPr="00F570A7" w:rsidRDefault="008F40BF" w:rsidP="008F40BF">
            <w:pPr>
              <w:keepNext/>
              <w:keepLines/>
              <w:spacing w:before="20" w:after="20"/>
              <w:jc w:val="center"/>
              <w:rPr>
                <w:rFonts w:eastAsia="MS Mincho"/>
                <w:bCs/>
                <w:color w:val="D9D9D9" w:themeColor="background1" w:themeShade="D9"/>
                <w:sz w:val="20"/>
                <w:szCs w:val="20"/>
                <w:highlight w:val="green"/>
                <w:lang w:val="en-GB"/>
              </w:rPr>
            </w:pPr>
            <w:r w:rsidRPr="00F570A7">
              <w:rPr>
                <w:rFonts w:eastAsia="MS Mincho"/>
                <w:bCs/>
                <w:color w:val="D9D9D9" w:themeColor="background1" w:themeShade="D9"/>
                <w:sz w:val="20"/>
                <w:szCs w:val="20"/>
                <w:highlight w:val="green"/>
                <w:lang w:val="en-GB"/>
              </w:rPr>
              <w:t>14.1</w:t>
            </w:r>
          </w:p>
        </w:tc>
      </w:tr>
      <w:tr w:rsidR="00F570A7" w:rsidRPr="00F570A7" w14:paraId="2C8E3942" w14:textId="77777777" w:rsidTr="00BE2565">
        <w:tc>
          <w:tcPr>
            <w:tcW w:w="602" w:type="pct"/>
            <w:vMerge/>
            <w:tcBorders>
              <w:top w:val="single" w:sz="12" w:space="0" w:color="auto"/>
              <w:right w:val="single" w:sz="2" w:space="0" w:color="auto"/>
            </w:tcBorders>
          </w:tcPr>
          <w:p w14:paraId="0B3CCD9E"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457" w:type="pct"/>
            <w:tcBorders>
              <w:top w:val="single" w:sz="2" w:space="0" w:color="auto"/>
              <w:left w:val="single" w:sz="2" w:space="0" w:color="auto"/>
              <w:bottom w:val="single" w:sz="2" w:space="0" w:color="auto"/>
              <w:right w:val="single" w:sz="2" w:space="0" w:color="auto"/>
            </w:tcBorders>
            <w:shd w:val="clear" w:color="auto" w:fill="auto"/>
          </w:tcPr>
          <w:p w14:paraId="36A8E08B"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Fruits</w:t>
            </w:r>
          </w:p>
        </w:tc>
        <w:tc>
          <w:tcPr>
            <w:tcW w:w="306" w:type="pct"/>
            <w:tcBorders>
              <w:top w:val="single" w:sz="2" w:space="0" w:color="auto"/>
              <w:left w:val="single" w:sz="2" w:space="0" w:color="auto"/>
              <w:bottom w:val="single" w:sz="2" w:space="0" w:color="auto"/>
              <w:right w:val="single" w:sz="2" w:space="0" w:color="auto"/>
            </w:tcBorders>
            <w:shd w:val="clear" w:color="auto" w:fill="auto"/>
          </w:tcPr>
          <w:p w14:paraId="07BB0C8A"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r w:rsidRPr="00F570A7">
              <w:rPr>
                <w:rFonts w:eastAsia="MS Mincho"/>
                <w:color w:val="D9D9D9" w:themeColor="background1" w:themeShade="D9"/>
                <w:sz w:val="20"/>
                <w:szCs w:val="20"/>
                <w:highlight w:val="green"/>
                <w:lang w:val="en-GB"/>
              </w:rPr>
              <w:t>0.3</w:t>
            </w:r>
          </w:p>
        </w:tc>
        <w:tc>
          <w:tcPr>
            <w:tcW w:w="593" w:type="pct"/>
            <w:vMerge/>
            <w:tcBorders>
              <w:top w:val="single" w:sz="2" w:space="0" w:color="auto"/>
              <w:left w:val="single" w:sz="2" w:space="0" w:color="auto"/>
              <w:bottom w:val="single" w:sz="2" w:space="0" w:color="auto"/>
              <w:right w:val="single" w:sz="2" w:space="0" w:color="auto"/>
            </w:tcBorders>
            <w:shd w:val="clear" w:color="auto" w:fill="auto"/>
          </w:tcPr>
          <w:p w14:paraId="2DDCCE05"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618" w:type="pct"/>
            <w:tcBorders>
              <w:top w:val="single" w:sz="2" w:space="0" w:color="auto"/>
              <w:left w:val="single" w:sz="2" w:space="0" w:color="auto"/>
              <w:bottom w:val="single" w:sz="2" w:space="0" w:color="auto"/>
            </w:tcBorders>
            <w:shd w:val="clear" w:color="auto" w:fill="auto"/>
          </w:tcPr>
          <w:p w14:paraId="0AD85F06" w14:textId="77777777" w:rsidR="008F40BF" w:rsidRPr="00F570A7" w:rsidRDefault="008F40BF" w:rsidP="008F40BF">
            <w:pPr>
              <w:keepNext/>
              <w:keepLines/>
              <w:spacing w:before="20" w:after="20"/>
              <w:jc w:val="center"/>
              <w:rPr>
                <w:rFonts w:eastAsia="MS Mincho"/>
                <w:b/>
                <w:bCs/>
                <w:color w:val="D9D9D9" w:themeColor="background1" w:themeShade="D9"/>
                <w:sz w:val="20"/>
                <w:szCs w:val="20"/>
                <w:highlight w:val="green"/>
                <w:lang w:val="en-GB"/>
              </w:rPr>
            </w:pPr>
            <w:r w:rsidRPr="00F570A7">
              <w:rPr>
                <w:rFonts w:eastAsia="MS Mincho"/>
                <w:b/>
                <w:bCs/>
                <w:color w:val="D9D9D9" w:themeColor="background1" w:themeShade="D9"/>
                <w:sz w:val="20"/>
                <w:szCs w:val="20"/>
                <w:highlight w:val="green"/>
                <w:lang w:val="en-GB"/>
              </w:rPr>
              <w:t>34.3</w:t>
            </w:r>
          </w:p>
        </w:tc>
        <w:tc>
          <w:tcPr>
            <w:tcW w:w="454" w:type="pct"/>
            <w:vMerge/>
            <w:shd w:val="clear" w:color="auto" w:fill="auto"/>
          </w:tcPr>
          <w:p w14:paraId="29C22E6A"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390" w:type="pct"/>
            <w:vMerge/>
            <w:tcBorders>
              <w:top w:val="single" w:sz="12" w:space="0" w:color="auto"/>
            </w:tcBorders>
          </w:tcPr>
          <w:p w14:paraId="197B6C0E"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305" w:type="pct"/>
            <w:vMerge/>
            <w:tcBorders>
              <w:top w:val="single" w:sz="12" w:space="0" w:color="auto"/>
            </w:tcBorders>
          </w:tcPr>
          <w:p w14:paraId="2EED1CDE"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522" w:type="pct"/>
            <w:vMerge/>
            <w:tcBorders>
              <w:top w:val="single" w:sz="12" w:space="0" w:color="auto"/>
            </w:tcBorders>
            <w:shd w:val="clear" w:color="auto" w:fill="auto"/>
          </w:tcPr>
          <w:p w14:paraId="59794AF0" w14:textId="77777777" w:rsidR="008F40BF" w:rsidRPr="00F570A7" w:rsidRDefault="008F40BF" w:rsidP="008F40BF">
            <w:pPr>
              <w:keepNext/>
              <w:keepLines/>
              <w:spacing w:before="20" w:after="20"/>
              <w:jc w:val="center"/>
              <w:rPr>
                <w:rFonts w:eastAsia="MS Mincho"/>
                <w:color w:val="D9D9D9" w:themeColor="background1" w:themeShade="D9"/>
                <w:sz w:val="20"/>
                <w:szCs w:val="20"/>
                <w:highlight w:val="green"/>
                <w:lang w:val="en-GB"/>
              </w:rPr>
            </w:pPr>
          </w:p>
        </w:tc>
        <w:tc>
          <w:tcPr>
            <w:tcW w:w="379" w:type="pct"/>
            <w:vMerge/>
            <w:tcBorders>
              <w:top w:val="single" w:sz="12" w:space="0" w:color="auto"/>
            </w:tcBorders>
          </w:tcPr>
          <w:p w14:paraId="1D3CAE4F" w14:textId="77777777" w:rsidR="008F40BF" w:rsidRPr="00F570A7" w:rsidRDefault="008F40BF" w:rsidP="008F40BF">
            <w:pPr>
              <w:keepNext/>
              <w:keepLines/>
              <w:spacing w:before="20" w:after="20"/>
              <w:jc w:val="center"/>
              <w:rPr>
                <w:rFonts w:eastAsia="MS Mincho"/>
                <w:bCs/>
                <w:color w:val="D9D9D9" w:themeColor="background1" w:themeShade="D9"/>
                <w:sz w:val="20"/>
                <w:szCs w:val="20"/>
                <w:highlight w:val="green"/>
                <w:lang w:val="en-GB"/>
              </w:rPr>
            </w:pPr>
          </w:p>
        </w:tc>
        <w:tc>
          <w:tcPr>
            <w:tcW w:w="374" w:type="pct"/>
            <w:vMerge/>
            <w:tcBorders>
              <w:top w:val="single" w:sz="12" w:space="0" w:color="auto"/>
            </w:tcBorders>
            <w:shd w:val="clear" w:color="auto" w:fill="auto"/>
          </w:tcPr>
          <w:p w14:paraId="3BF7CD5D" w14:textId="77777777" w:rsidR="008F40BF" w:rsidRPr="00F570A7" w:rsidRDefault="008F40BF" w:rsidP="008F40BF">
            <w:pPr>
              <w:keepNext/>
              <w:keepLines/>
              <w:spacing w:before="20" w:after="20"/>
              <w:jc w:val="center"/>
              <w:rPr>
                <w:rFonts w:eastAsia="MS Mincho"/>
                <w:bCs/>
                <w:color w:val="D9D9D9" w:themeColor="background1" w:themeShade="D9"/>
                <w:sz w:val="20"/>
                <w:szCs w:val="20"/>
                <w:highlight w:val="green"/>
                <w:lang w:val="en-GB"/>
              </w:rPr>
            </w:pPr>
          </w:p>
        </w:tc>
      </w:tr>
    </w:tbl>
    <w:p w14:paraId="673775F6" w14:textId="77777777" w:rsidR="00142FF0" w:rsidRPr="00F570A7" w:rsidRDefault="00142FF0" w:rsidP="00142FF0">
      <w:pPr>
        <w:keepNext/>
        <w:keepLines/>
        <w:tabs>
          <w:tab w:val="left" w:pos="0"/>
        </w:tabs>
        <w:rPr>
          <w:rFonts w:eastAsia="MS Mincho"/>
          <w:color w:val="D9D9D9" w:themeColor="background1" w:themeShade="D9"/>
          <w:sz w:val="18"/>
          <w:szCs w:val="18"/>
          <w:highlight w:val="green"/>
          <w:lang w:val="en-GB"/>
        </w:rPr>
      </w:pPr>
      <w:r w:rsidRPr="00F570A7">
        <w:rPr>
          <w:rFonts w:eastAsia="MS Mincho"/>
          <w:color w:val="D9D9D9" w:themeColor="background1" w:themeShade="D9"/>
          <w:sz w:val="18"/>
          <w:szCs w:val="18"/>
          <w:highlight w:val="green"/>
          <w:lang w:val="en-GB"/>
        </w:rPr>
        <w:t xml:space="preserve">FIR: food intake rate; TWA: time-weighted average factor; DDD: daily dietary dose; DF: Deposition factor, PD: Fraction in diet, PT: Fraction in time, TER: toxicity to exposure ratio. </w:t>
      </w:r>
      <w:r w:rsidRPr="00F570A7">
        <w:rPr>
          <w:rFonts w:eastAsia="MS Mincho"/>
          <w:b/>
          <w:bCs/>
          <w:color w:val="D9D9D9" w:themeColor="background1" w:themeShade="D9"/>
          <w:sz w:val="18"/>
          <w:szCs w:val="18"/>
          <w:highlight w:val="green"/>
          <w:lang w:val="en-GB"/>
        </w:rPr>
        <w:t>Bold</w:t>
      </w:r>
      <w:r w:rsidRPr="00F570A7">
        <w:rPr>
          <w:rFonts w:eastAsia="MS Mincho"/>
          <w:color w:val="D9D9D9" w:themeColor="background1" w:themeShade="D9"/>
          <w:sz w:val="18"/>
          <w:szCs w:val="18"/>
          <w:highlight w:val="green"/>
          <w:lang w:val="en-GB"/>
        </w:rPr>
        <w:t>: refined parameter(s)</w:t>
      </w:r>
    </w:p>
    <w:p w14:paraId="55B5482A" w14:textId="77777777" w:rsidR="00142FF0" w:rsidRPr="00F570A7" w:rsidRDefault="00142FF0" w:rsidP="00142FF0">
      <w:pPr>
        <w:keepNext/>
        <w:keepLines/>
        <w:tabs>
          <w:tab w:val="left" w:pos="142"/>
        </w:tabs>
        <w:ind w:left="142" w:hanging="142"/>
        <w:rPr>
          <w:rFonts w:eastAsia="MS Mincho"/>
          <w:color w:val="D9D9D9" w:themeColor="background1" w:themeShade="D9"/>
          <w:sz w:val="18"/>
          <w:szCs w:val="18"/>
          <w:lang w:val="en-GB"/>
        </w:rPr>
      </w:pPr>
      <w:r w:rsidRPr="00F570A7">
        <w:rPr>
          <w:rFonts w:eastAsia="MS Mincho"/>
          <w:color w:val="D9D9D9" w:themeColor="background1" w:themeShade="D9"/>
          <w:sz w:val="18"/>
          <w:szCs w:val="18"/>
          <w:highlight w:val="green"/>
          <w:lang w:val="en-GB"/>
        </w:rPr>
        <w:t>*MAF×twa value for Propamocarb-HCl calculated with the moving-time window approach for 2 applications and 7-day interval according to the formula detailed in Appendix H of the EFSA Guidance Document (2009).</w:t>
      </w:r>
      <w:r w:rsidRPr="00F570A7">
        <w:rPr>
          <w:rFonts w:eastAsia="MS Mincho"/>
          <w:color w:val="D9D9D9" w:themeColor="background1" w:themeShade="D9"/>
          <w:sz w:val="18"/>
          <w:szCs w:val="18"/>
          <w:lang w:val="en-GB"/>
        </w:rPr>
        <w:t xml:space="preserve"> </w:t>
      </w:r>
    </w:p>
    <w:p w14:paraId="04FE9B2B" w14:textId="77777777" w:rsidR="00142FF0" w:rsidRPr="00A34F10" w:rsidRDefault="00142FF0" w:rsidP="00142FF0">
      <w:pPr>
        <w:widowControl w:val="0"/>
        <w:jc w:val="both"/>
        <w:rPr>
          <w:rFonts w:eastAsia="MS Mincho"/>
          <w:lang w:val="en-GB"/>
        </w:rPr>
      </w:pPr>
    </w:p>
    <w:p w14:paraId="24BDEA33" w14:textId="08C0670F" w:rsidR="00142FF0" w:rsidRPr="00A34F10" w:rsidRDefault="00142FF0" w:rsidP="00040983">
      <w:pPr>
        <w:pStyle w:val="Legenda"/>
        <w:rPr>
          <w:rFonts w:eastAsia="MS Mincho"/>
          <w:b w:val="0"/>
          <w:bCs w:val="0"/>
        </w:rPr>
      </w:pPr>
      <w:r w:rsidRPr="00EE6D22">
        <w:rPr>
          <w:rFonts w:eastAsia="MS Mincho"/>
          <w:highlight w:val="green"/>
        </w:rPr>
        <w:t xml:space="preserve">Table </w:t>
      </w:r>
      <w:r w:rsidR="007E7467">
        <w:rPr>
          <w:rFonts w:eastAsia="MS Mincho"/>
          <w:highlight w:val="green"/>
        </w:rPr>
        <w:fldChar w:fldCharType="begin"/>
      </w:r>
      <w:r w:rsidR="007E7467">
        <w:rPr>
          <w:rFonts w:eastAsia="MS Mincho"/>
          <w:highlight w:val="green"/>
        </w:rPr>
        <w:instrText xml:space="preserve"> STYLEREF 2 \s </w:instrText>
      </w:r>
      <w:r w:rsidR="007E7467">
        <w:rPr>
          <w:rFonts w:eastAsia="MS Mincho"/>
          <w:highlight w:val="green"/>
        </w:rPr>
        <w:fldChar w:fldCharType="separate"/>
      </w:r>
      <w:r w:rsidR="006F0F3B">
        <w:rPr>
          <w:rFonts w:eastAsia="MS Mincho"/>
          <w:noProof/>
          <w:highlight w:val="green"/>
        </w:rPr>
        <w:t>9.2</w:t>
      </w:r>
      <w:r w:rsidR="007E7467">
        <w:rPr>
          <w:rFonts w:eastAsia="MS Mincho"/>
          <w:highlight w:val="green"/>
        </w:rPr>
        <w:fldChar w:fldCharType="end"/>
      </w:r>
      <w:r w:rsidR="007E7467">
        <w:rPr>
          <w:rFonts w:eastAsia="MS Mincho"/>
          <w:highlight w:val="green"/>
        </w:rPr>
        <w:noBreakHyphen/>
      </w:r>
      <w:r w:rsidR="007E7467">
        <w:rPr>
          <w:rFonts w:eastAsia="MS Mincho"/>
          <w:highlight w:val="green"/>
        </w:rPr>
        <w:fldChar w:fldCharType="begin"/>
      </w:r>
      <w:r w:rsidR="007E7467">
        <w:rPr>
          <w:rFonts w:eastAsia="MS Mincho"/>
          <w:highlight w:val="green"/>
        </w:rPr>
        <w:instrText xml:space="preserve"> SEQ Table \* ARABIC \s 2 </w:instrText>
      </w:r>
      <w:r w:rsidR="007E7467">
        <w:rPr>
          <w:rFonts w:eastAsia="MS Mincho"/>
          <w:highlight w:val="green"/>
        </w:rPr>
        <w:fldChar w:fldCharType="separate"/>
      </w:r>
      <w:r w:rsidR="006F0F3B">
        <w:rPr>
          <w:rFonts w:eastAsia="MS Mincho"/>
          <w:noProof/>
          <w:highlight w:val="green"/>
        </w:rPr>
        <w:t>17</w:t>
      </w:r>
      <w:r w:rsidR="007E7467">
        <w:rPr>
          <w:rFonts w:eastAsia="MS Mincho"/>
          <w:highlight w:val="green"/>
        </w:rPr>
        <w:fldChar w:fldCharType="end"/>
      </w:r>
      <w:r w:rsidRPr="00EE6D22">
        <w:rPr>
          <w:rFonts w:eastAsia="MS Mincho"/>
          <w:highlight w:val="green"/>
        </w:rPr>
        <w:t xml:space="preserve">: </w:t>
      </w:r>
      <w:r w:rsidRPr="00EE6D22">
        <w:rPr>
          <w:rFonts w:eastAsia="MS Mincho"/>
          <w:highlight w:val="green"/>
        </w:rPr>
        <w:tab/>
        <w:t>Higher-tier assessment of the long-term/reproductive risk for the frugivorous bird “crow” due to the exposure to BAS 743 03 F in fruiting vegetables (BBCH 71 – 89) – revised RUD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25"/>
        <w:gridCol w:w="854"/>
        <w:gridCol w:w="572"/>
        <w:gridCol w:w="1129"/>
        <w:gridCol w:w="1135"/>
        <w:gridCol w:w="849"/>
        <w:gridCol w:w="729"/>
        <w:gridCol w:w="570"/>
        <w:gridCol w:w="976"/>
        <w:gridCol w:w="709"/>
        <w:gridCol w:w="699"/>
      </w:tblGrid>
      <w:tr w:rsidR="00142FF0" w:rsidRPr="00142FF0" w14:paraId="31839525" w14:textId="77777777" w:rsidTr="00BE2565">
        <w:tc>
          <w:tcPr>
            <w:tcW w:w="1365" w:type="pct"/>
            <w:gridSpan w:val="3"/>
            <w:tcBorders>
              <w:top w:val="single" w:sz="4" w:space="0" w:color="auto"/>
              <w:right w:val="single" w:sz="4" w:space="0" w:color="auto"/>
            </w:tcBorders>
          </w:tcPr>
          <w:p w14:paraId="24CE77D4" w14:textId="77777777" w:rsidR="00142FF0" w:rsidRPr="00142FF0" w:rsidRDefault="00142FF0" w:rsidP="00BE2565">
            <w:pPr>
              <w:keepNext/>
              <w:keepLines/>
              <w:spacing w:before="20" w:after="20"/>
              <w:rPr>
                <w:rFonts w:eastAsia="MS Mincho"/>
                <w:b/>
                <w:bCs/>
                <w:sz w:val="20"/>
                <w:szCs w:val="20"/>
                <w:highlight w:val="green"/>
                <w:lang w:val="en-GB"/>
              </w:rPr>
            </w:pPr>
            <w:r w:rsidRPr="00142FF0">
              <w:rPr>
                <w:rFonts w:eastAsia="MS Mincho"/>
                <w:b/>
                <w:bCs/>
                <w:sz w:val="20"/>
                <w:szCs w:val="20"/>
                <w:highlight w:val="green"/>
                <w:lang w:val="en-GB"/>
              </w:rPr>
              <w:t>Reprod. toxicity (mg/kg bw/d)</w:t>
            </w:r>
          </w:p>
        </w:tc>
        <w:tc>
          <w:tcPr>
            <w:tcW w:w="3635" w:type="pct"/>
            <w:gridSpan w:val="8"/>
            <w:tcBorders>
              <w:top w:val="single" w:sz="4" w:space="0" w:color="auto"/>
              <w:right w:val="single" w:sz="4" w:space="0" w:color="auto"/>
            </w:tcBorders>
          </w:tcPr>
          <w:p w14:paraId="1FD7B691" w14:textId="5C4086C6" w:rsidR="00142FF0" w:rsidRPr="00142FF0" w:rsidRDefault="00142FF0" w:rsidP="00BE2565">
            <w:pPr>
              <w:keepNext/>
              <w:keepLines/>
              <w:spacing w:before="20" w:after="20"/>
              <w:rPr>
                <w:rFonts w:eastAsia="MS Mincho"/>
                <w:sz w:val="20"/>
                <w:szCs w:val="20"/>
                <w:highlight w:val="green"/>
                <w:lang w:val="en-GB"/>
              </w:rPr>
            </w:pPr>
            <w:r w:rsidRPr="00142FF0">
              <w:rPr>
                <w:rFonts w:eastAsia="MS Mincho"/>
                <w:sz w:val="20"/>
                <w:szCs w:val="20"/>
                <w:highlight w:val="green"/>
                <w:lang w:val="en-GB"/>
              </w:rPr>
              <w:t>10</w:t>
            </w:r>
            <w:r>
              <w:rPr>
                <w:rFonts w:eastAsia="MS Mincho"/>
                <w:sz w:val="20"/>
                <w:szCs w:val="20"/>
                <w:highlight w:val="green"/>
                <w:lang w:val="en-GB"/>
              </w:rPr>
              <w:t>7</w:t>
            </w:r>
            <w:r w:rsidR="007C76A9">
              <w:rPr>
                <w:rFonts w:eastAsia="MS Mincho"/>
                <w:sz w:val="20"/>
                <w:szCs w:val="20"/>
                <w:highlight w:val="green"/>
                <w:lang w:val="en-GB"/>
              </w:rPr>
              <w:t xml:space="preserve"> (NOEL</w:t>
            </w:r>
            <w:r w:rsidR="007C76A9" w:rsidRPr="007C76A9">
              <w:rPr>
                <w:rFonts w:eastAsia="MS Mincho"/>
                <w:sz w:val="20"/>
                <w:szCs w:val="20"/>
                <w:highlight w:val="green"/>
                <w:vertAlign w:val="subscript"/>
                <w:lang w:val="en-GB"/>
              </w:rPr>
              <w:t>mix</w:t>
            </w:r>
            <w:r w:rsidR="007C76A9">
              <w:rPr>
                <w:rFonts w:eastAsia="MS Mincho"/>
                <w:sz w:val="20"/>
                <w:szCs w:val="20"/>
                <w:highlight w:val="green"/>
                <w:lang w:val="en-GB"/>
              </w:rPr>
              <w:t>)</w:t>
            </w:r>
          </w:p>
        </w:tc>
      </w:tr>
      <w:tr w:rsidR="008F40BF" w:rsidRPr="00142FF0" w14:paraId="6BABDFA1" w14:textId="77777777" w:rsidTr="0036156E">
        <w:tc>
          <w:tcPr>
            <w:tcW w:w="1365" w:type="pct"/>
            <w:gridSpan w:val="3"/>
            <w:tcBorders>
              <w:top w:val="single" w:sz="4" w:space="0" w:color="auto"/>
              <w:right w:val="single" w:sz="4" w:space="0" w:color="auto"/>
            </w:tcBorders>
          </w:tcPr>
          <w:p w14:paraId="1AC51112" w14:textId="464BF9B9" w:rsidR="008F40BF" w:rsidRPr="00142FF0" w:rsidRDefault="008F40BF" w:rsidP="008F40BF">
            <w:pPr>
              <w:keepNext/>
              <w:keepLines/>
              <w:spacing w:before="20" w:after="20"/>
              <w:rPr>
                <w:rFonts w:eastAsia="MS Mincho"/>
                <w:b/>
                <w:bCs/>
                <w:sz w:val="20"/>
                <w:szCs w:val="20"/>
                <w:highlight w:val="green"/>
                <w:lang w:val="en-GB"/>
              </w:rPr>
            </w:pPr>
            <w:r w:rsidRPr="008F40BF">
              <w:rPr>
                <w:b/>
                <w:bCs/>
                <w:sz w:val="20"/>
                <w:szCs w:val="20"/>
                <w:highlight w:val="green"/>
                <w:lang w:val="en-GB"/>
              </w:rPr>
              <w:t>App. Rate (kg a.s./ha)</w:t>
            </w:r>
          </w:p>
        </w:tc>
        <w:tc>
          <w:tcPr>
            <w:tcW w:w="3635" w:type="pct"/>
            <w:gridSpan w:val="8"/>
            <w:tcBorders>
              <w:top w:val="single" w:sz="4" w:space="0" w:color="auto"/>
              <w:right w:val="single" w:sz="4" w:space="0" w:color="auto"/>
            </w:tcBorders>
          </w:tcPr>
          <w:p w14:paraId="152C9DBC" w14:textId="6BB810BC" w:rsidR="008F40BF" w:rsidRPr="00142FF0" w:rsidRDefault="008F40BF" w:rsidP="008F40BF">
            <w:pPr>
              <w:keepNext/>
              <w:keepLines/>
              <w:spacing w:before="20" w:after="20"/>
              <w:rPr>
                <w:rFonts w:eastAsia="MS Mincho"/>
                <w:sz w:val="20"/>
                <w:szCs w:val="20"/>
                <w:highlight w:val="green"/>
                <w:lang w:val="en-GB"/>
              </w:rPr>
            </w:pPr>
            <w:r w:rsidRPr="008F40BF">
              <w:rPr>
                <w:bCs/>
                <w:sz w:val="20"/>
                <w:szCs w:val="20"/>
                <w:highlight w:val="green"/>
                <w:lang w:val="es-ES"/>
              </w:rPr>
              <w:t xml:space="preserve">2 x </w:t>
            </w:r>
            <w:r>
              <w:rPr>
                <w:bCs/>
                <w:sz w:val="20"/>
                <w:szCs w:val="20"/>
                <w:highlight w:val="green"/>
                <w:lang w:val="es-ES"/>
              </w:rPr>
              <w:t>1.</w:t>
            </w:r>
            <w:r w:rsidRPr="008F40BF">
              <w:rPr>
                <w:bCs/>
                <w:sz w:val="20"/>
                <w:szCs w:val="20"/>
                <w:highlight w:val="green"/>
                <w:lang w:val="es-ES"/>
              </w:rPr>
              <w:t>142 (</w:t>
            </w:r>
            <w:r w:rsidRPr="008F40BF">
              <w:rPr>
                <w:bCs/>
                <w:sz w:val="20"/>
                <w:szCs w:val="20"/>
                <w:highlight w:val="green"/>
                <w:lang w:val="en-GB"/>
              </w:rPr>
              <w:t>2 × ∑ 0.24 + 0.902</w:t>
            </w:r>
            <w:r w:rsidRPr="008F40BF">
              <w:rPr>
                <w:bCs/>
                <w:sz w:val="20"/>
                <w:szCs w:val="20"/>
                <w:highlight w:val="green"/>
                <w:lang w:val="es-ES"/>
              </w:rPr>
              <w:t>)</w:t>
            </w:r>
          </w:p>
        </w:tc>
      </w:tr>
      <w:tr w:rsidR="008F40BF" w:rsidRPr="00142FF0" w14:paraId="772808B1" w14:textId="77777777" w:rsidTr="00BE2565">
        <w:tc>
          <w:tcPr>
            <w:tcW w:w="1365" w:type="pct"/>
            <w:gridSpan w:val="3"/>
            <w:tcBorders>
              <w:bottom w:val="single" w:sz="12" w:space="0" w:color="auto"/>
              <w:right w:val="single" w:sz="4" w:space="0" w:color="auto"/>
            </w:tcBorders>
          </w:tcPr>
          <w:p w14:paraId="1FFD7653" w14:textId="77777777" w:rsidR="008F40BF" w:rsidRPr="00142FF0" w:rsidRDefault="008F40BF" w:rsidP="008F40BF">
            <w:pPr>
              <w:keepNext/>
              <w:keepLines/>
              <w:spacing w:before="20" w:after="20"/>
              <w:rPr>
                <w:rFonts w:eastAsia="MS Mincho"/>
                <w:b/>
                <w:bCs/>
                <w:sz w:val="20"/>
                <w:szCs w:val="20"/>
                <w:highlight w:val="green"/>
                <w:lang w:val="en-GB"/>
              </w:rPr>
            </w:pPr>
            <w:r w:rsidRPr="00142FF0">
              <w:rPr>
                <w:rFonts w:eastAsia="MS Mincho"/>
                <w:b/>
                <w:bCs/>
                <w:sz w:val="20"/>
                <w:szCs w:val="20"/>
                <w:highlight w:val="green"/>
                <w:lang w:val="en-GB"/>
              </w:rPr>
              <w:t>TER criterion</w:t>
            </w:r>
          </w:p>
        </w:tc>
        <w:tc>
          <w:tcPr>
            <w:tcW w:w="3635" w:type="pct"/>
            <w:gridSpan w:val="8"/>
            <w:tcBorders>
              <w:bottom w:val="single" w:sz="12" w:space="0" w:color="auto"/>
              <w:right w:val="single" w:sz="4" w:space="0" w:color="auto"/>
            </w:tcBorders>
          </w:tcPr>
          <w:p w14:paraId="59B10560" w14:textId="77777777" w:rsidR="008F40BF" w:rsidRPr="00142FF0" w:rsidRDefault="008F40BF" w:rsidP="008F40BF">
            <w:pPr>
              <w:keepNext/>
              <w:keepLines/>
              <w:spacing w:before="20" w:after="20"/>
              <w:rPr>
                <w:rFonts w:eastAsia="MS Mincho"/>
                <w:sz w:val="20"/>
                <w:szCs w:val="20"/>
                <w:highlight w:val="green"/>
                <w:lang w:val="en-GB"/>
              </w:rPr>
            </w:pPr>
            <w:r w:rsidRPr="00142FF0">
              <w:rPr>
                <w:rFonts w:eastAsia="MS Mincho"/>
                <w:sz w:val="20"/>
                <w:szCs w:val="20"/>
                <w:highlight w:val="green"/>
                <w:lang w:val="en-GB"/>
              </w:rPr>
              <w:t>5</w:t>
            </w:r>
          </w:p>
        </w:tc>
      </w:tr>
      <w:tr w:rsidR="008F40BF" w:rsidRPr="00142FF0" w14:paraId="678F3F45" w14:textId="77777777" w:rsidTr="00BE2565">
        <w:tc>
          <w:tcPr>
            <w:tcW w:w="602" w:type="pct"/>
            <w:tcBorders>
              <w:top w:val="single" w:sz="12" w:space="0" w:color="auto"/>
              <w:right w:val="single" w:sz="8" w:space="0" w:color="auto"/>
            </w:tcBorders>
          </w:tcPr>
          <w:p w14:paraId="55E25FD1"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Max. application rate (g a.s./ha)</w:t>
            </w:r>
          </w:p>
        </w:tc>
        <w:tc>
          <w:tcPr>
            <w:tcW w:w="457" w:type="pct"/>
            <w:tcBorders>
              <w:top w:val="single" w:sz="12" w:space="0" w:color="auto"/>
              <w:right w:val="single" w:sz="8" w:space="0" w:color="auto"/>
            </w:tcBorders>
            <w:shd w:val="clear" w:color="auto" w:fill="auto"/>
          </w:tcPr>
          <w:p w14:paraId="6882B5F5"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Calibri"/>
                <w:b/>
                <w:sz w:val="20"/>
                <w:szCs w:val="20"/>
                <w:highlight w:val="green"/>
                <w:lang w:val="en-GB"/>
              </w:rPr>
              <w:t>Feed item</w:t>
            </w:r>
          </w:p>
        </w:tc>
        <w:tc>
          <w:tcPr>
            <w:tcW w:w="306" w:type="pct"/>
            <w:tcBorders>
              <w:top w:val="single" w:sz="12" w:space="0" w:color="auto"/>
              <w:left w:val="single" w:sz="8" w:space="0" w:color="auto"/>
            </w:tcBorders>
            <w:shd w:val="clear" w:color="auto" w:fill="auto"/>
          </w:tcPr>
          <w:p w14:paraId="798B5A75"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Calibri"/>
                <w:b/>
                <w:sz w:val="20"/>
                <w:szCs w:val="20"/>
                <w:highlight w:val="green"/>
                <w:lang w:val="en-GB"/>
              </w:rPr>
              <w:t>PD</w:t>
            </w:r>
          </w:p>
        </w:tc>
        <w:tc>
          <w:tcPr>
            <w:tcW w:w="604" w:type="pct"/>
            <w:tcBorders>
              <w:top w:val="single" w:sz="12" w:space="0" w:color="auto"/>
            </w:tcBorders>
            <w:shd w:val="clear" w:color="auto" w:fill="auto"/>
          </w:tcPr>
          <w:p w14:paraId="721A2E44"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FIR</w:t>
            </w:r>
            <w:r w:rsidRPr="00142FF0">
              <w:rPr>
                <w:rFonts w:eastAsia="MS Mincho"/>
                <w:b/>
                <w:bCs/>
                <w:sz w:val="20"/>
                <w:szCs w:val="20"/>
                <w:highlight w:val="green"/>
                <w:vertAlign w:val="subscript"/>
                <w:lang w:val="en-GB"/>
              </w:rPr>
              <w:t>i</w:t>
            </w:r>
            <w:r w:rsidRPr="00142FF0">
              <w:rPr>
                <w:rFonts w:eastAsia="MS Mincho"/>
                <w:b/>
                <w:bCs/>
                <w:sz w:val="20"/>
                <w:szCs w:val="20"/>
                <w:highlight w:val="green"/>
                <w:lang w:val="en-GB"/>
              </w:rPr>
              <w:t>, total fresh</w:t>
            </w:r>
          </w:p>
          <w:p w14:paraId="716DD8F7"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[g fresh weight/d]</w:t>
            </w:r>
          </w:p>
        </w:tc>
        <w:tc>
          <w:tcPr>
            <w:tcW w:w="607" w:type="pct"/>
            <w:tcBorders>
              <w:top w:val="single" w:sz="12" w:space="0" w:color="auto"/>
            </w:tcBorders>
            <w:shd w:val="clear" w:color="auto" w:fill="auto"/>
          </w:tcPr>
          <w:p w14:paraId="1E297C16" w14:textId="77777777" w:rsidR="008F40BF" w:rsidRPr="00142FF0" w:rsidRDefault="008F40BF" w:rsidP="008F40BF">
            <w:pPr>
              <w:keepNext/>
              <w:keepLines/>
              <w:widowControl w:val="0"/>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RUD of food item</w:t>
            </w:r>
          </w:p>
          <w:p w14:paraId="388A1150" w14:textId="77777777" w:rsidR="008F40BF" w:rsidRPr="00142FF0" w:rsidRDefault="008F40BF" w:rsidP="008F40BF">
            <w:pPr>
              <w:keepNext/>
              <w:keepLines/>
              <w:widowControl w:val="0"/>
              <w:spacing w:before="20" w:after="20"/>
              <w:jc w:val="center"/>
              <w:rPr>
                <w:rFonts w:eastAsia="MS Mincho"/>
                <w:b/>
                <w:bCs/>
                <w:sz w:val="20"/>
                <w:szCs w:val="20"/>
                <w:highlight w:val="green"/>
                <w:vertAlign w:val="superscript"/>
                <w:lang w:val="en-GB"/>
              </w:rPr>
            </w:pPr>
            <w:r w:rsidRPr="00142FF0">
              <w:rPr>
                <w:rFonts w:eastAsia="MS Mincho"/>
                <w:b/>
                <w:bCs/>
                <w:sz w:val="20"/>
                <w:szCs w:val="20"/>
                <w:highlight w:val="green"/>
                <w:lang w:val="en-GB"/>
              </w:rPr>
              <w:t>[mg a.s./kg]</w:t>
            </w:r>
          </w:p>
        </w:tc>
        <w:tc>
          <w:tcPr>
            <w:tcW w:w="454" w:type="pct"/>
            <w:tcBorders>
              <w:top w:val="single" w:sz="12" w:space="0" w:color="auto"/>
            </w:tcBorders>
            <w:shd w:val="clear" w:color="auto" w:fill="auto"/>
          </w:tcPr>
          <w:p w14:paraId="23C7022E"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MAF × twa*</w:t>
            </w:r>
          </w:p>
        </w:tc>
        <w:tc>
          <w:tcPr>
            <w:tcW w:w="390" w:type="pct"/>
            <w:tcBorders>
              <w:top w:val="single" w:sz="12" w:space="0" w:color="auto"/>
            </w:tcBorders>
          </w:tcPr>
          <w:p w14:paraId="24AB6991"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DF</w:t>
            </w:r>
          </w:p>
        </w:tc>
        <w:tc>
          <w:tcPr>
            <w:tcW w:w="305" w:type="pct"/>
            <w:tcBorders>
              <w:top w:val="single" w:sz="12" w:space="0" w:color="auto"/>
            </w:tcBorders>
          </w:tcPr>
          <w:p w14:paraId="5EFDA4C2"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PT</w:t>
            </w:r>
          </w:p>
        </w:tc>
        <w:tc>
          <w:tcPr>
            <w:tcW w:w="522" w:type="pct"/>
            <w:tcBorders>
              <w:top w:val="single" w:sz="12" w:space="0" w:color="auto"/>
            </w:tcBorders>
            <w:shd w:val="clear" w:color="auto" w:fill="auto"/>
          </w:tcPr>
          <w:p w14:paraId="43A69273"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DDD</w:t>
            </w:r>
            <w:r w:rsidRPr="00142FF0">
              <w:rPr>
                <w:rFonts w:eastAsia="MS Mincho"/>
                <w:b/>
                <w:bCs/>
                <w:sz w:val="20"/>
                <w:szCs w:val="20"/>
                <w:highlight w:val="green"/>
                <w:vertAlign w:val="subscript"/>
                <w:lang w:val="de-DE"/>
              </w:rPr>
              <w:t>m</w:t>
            </w:r>
          </w:p>
          <w:p w14:paraId="684D15CC" w14:textId="77777777" w:rsidR="008F40BF" w:rsidRPr="00142FF0" w:rsidRDefault="008F40BF" w:rsidP="008F40BF">
            <w:pPr>
              <w:keepNext/>
              <w:keepLines/>
              <w:spacing w:before="20" w:after="20"/>
              <w:jc w:val="center"/>
              <w:rPr>
                <w:rFonts w:eastAsia="MS Mincho"/>
                <w:b/>
                <w:bCs/>
                <w:sz w:val="20"/>
                <w:szCs w:val="20"/>
                <w:highlight w:val="green"/>
                <w:lang w:val="de-DE"/>
              </w:rPr>
            </w:pPr>
            <w:r w:rsidRPr="00142FF0">
              <w:rPr>
                <w:rFonts w:eastAsia="MS Mincho"/>
                <w:b/>
                <w:bCs/>
                <w:sz w:val="20"/>
                <w:szCs w:val="20"/>
                <w:highlight w:val="green"/>
                <w:lang w:val="de-DE"/>
              </w:rPr>
              <w:t>(mg/kg bw/d)</w:t>
            </w:r>
          </w:p>
        </w:tc>
        <w:tc>
          <w:tcPr>
            <w:tcW w:w="379" w:type="pct"/>
            <w:tcBorders>
              <w:top w:val="single" w:sz="12" w:space="0" w:color="auto"/>
            </w:tcBorders>
          </w:tcPr>
          <w:p w14:paraId="704A3302"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Body weight [g]</w:t>
            </w:r>
          </w:p>
        </w:tc>
        <w:tc>
          <w:tcPr>
            <w:tcW w:w="374" w:type="pct"/>
            <w:tcBorders>
              <w:top w:val="single" w:sz="12" w:space="0" w:color="auto"/>
            </w:tcBorders>
            <w:shd w:val="clear" w:color="auto" w:fill="auto"/>
          </w:tcPr>
          <w:p w14:paraId="6993D640" w14:textId="77777777" w:rsidR="008F40BF" w:rsidRPr="00142FF0" w:rsidRDefault="008F40BF" w:rsidP="008F40BF">
            <w:pPr>
              <w:keepNext/>
              <w:keepLines/>
              <w:spacing w:before="20" w:after="20"/>
              <w:jc w:val="center"/>
              <w:rPr>
                <w:rFonts w:eastAsia="MS Mincho"/>
                <w:b/>
                <w:bCs/>
                <w:sz w:val="20"/>
                <w:szCs w:val="20"/>
                <w:highlight w:val="green"/>
                <w:lang w:val="en-GB"/>
              </w:rPr>
            </w:pPr>
            <w:r w:rsidRPr="00142FF0">
              <w:rPr>
                <w:rFonts w:eastAsia="MS Mincho"/>
                <w:b/>
                <w:bCs/>
                <w:sz w:val="20"/>
                <w:szCs w:val="20"/>
                <w:highlight w:val="green"/>
                <w:lang w:val="en-GB"/>
              </w:rPr>
              <w:t>TER</w:t>
            </w:r>
            <w:r w:rsidRPr="00142FF0">
              <w:rPr>
                <w:rFonts w:eastAsia="MS Mincho"/>
                <w:b/>
                <w:bCs/>
                <w:sz w:val="20"/>
                <w:szCs w:val="20"/>
                <w:highlight w:val="green"/>
                <w:vertAlign w:val="subscript"/>
                <w:lang w:val="en-GB"/>
              </w:rPr>
              <w:t>lt</w:t>
            </w:r>
          </w:p>
        </w:tc>
      </w:tr>
      <w:tr w:rsidR="008F40BF" w:rsidRPr="00142FF0" w14:paraId="7B96D950" w14:textId="77777777" w:rsidTr="00BE2565">
        <w:tc>
          <w:tcPr>
            <w:tcW w:w="5000" w:type="pct"/>
            <w:gridSpan w:val="11"/>
            <w:tcBorders>
              <w:top w:val="single" w:sz="8" w:space="0" w:color="auto"/>
              <w:left w:val="single" w:sz="8" w:space="0" w:color="auto"/>
              <w:bottom w:val="single" w:sz="4" w:space="0" w:color="auto"/>
              <w:right w:val="single" w:sz="8" w:space="0" w:color="auto"/>
            </w:tcBorders>
          </w:tcPr>
          <w:p w14:paraId="7D7B3B17" w14:textId="77777777" w:rsidR="008F40BF" w:rsidRPr="00142FF0" w:rsidRDefault="008F40BF" w:rsidP="008F40BF">
            <w:pPr>
              <w:keepNext/>
              <w:keepLines/>
              <w:spacing w:before="20" w:after="20"/>
              <w:rPr>
                <w:rFonts w:eastAsia="MS Mincho"/>
                <w:b/>
                <w:sz w:val="20"/>
                <w:szCs w:val="20"/>
                <w:highlight w:val="green"/>
                <w:lang w:val="en-GB"/>
              </w:rPr>
            </w:pPr>
            <w:r w:rsidRPr="00142FF0">
              <w:rPr>
                <w:rFonts w:eastAsia="MS Mincho"/>
                <w:b/>
                <w:sz w:val="20"/>
                <w:szCs w:val="20"/>
                <w:highlight w:val="green"/>
                <w:lang w:val="en-GB"/>
              </w:rPr>
              <w:t>Fruiting vegetables</w:t>
            </w:r>
            <w:r w:rsidRPr="00142FF0">
              <w:rPr>
                <w:rFonts w:eastAsia="MS Mincho"/>
                <w:sz w:val="20"/>
                <w:szCs w:val="20"/>
                <w:highlight w:val="green"/>
                <w:lang w:val="en-GB"/>
              </w:rPr>
              <w:t xml:space="preserve"> </w:t>
            </w:r>
          </w:p>
        </w:tc>
      </w:tr>
      <w:tr w:rsidR="008F40BF" w:rsidRPr="00142FF0" w14:paraId="4705C1B3" w14:textId="77777777" w:rsidTr="00BE2565">
        <w:tc>
          <w:tcPr>
            <w:tcW w:w="602" w:type="pct"/>
            <w:tcBorders>
              <w:bottom w:val="single" w:sz="12" w:space="0" w:color="auto"/>
              <w:right w:val="single" w:sz="8" w:space="0" w:color="auto"/>
            </w:tcBorders>
            <w:vAlign w:val="center"/>
          </w:tcPr>
          <w:p w14:paraId="651BCAEB"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2 x 902</w:t>
            </w:r>
          </w:p>
          <w:p w14:paraId="7644991F"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(7 d interval)</w:t>
            </w:r>
          </w:p>
        </w:tc>
        <w:tc>
          <w:tcPr>
            <w:tcW w:w="457" w:type="pct"/>
            <w:tcBorders>
              <w:bottom w:val="single" w:sz="2" w:space="0" w:color="auto"/>
              <w:right w:val="single" w:sz="8" w:space="0" w:color="auto"/>
            </w:tcBorders>
            <w:shd w:val="clear" w:color="auto" w:fill="auto"/>
            <w:vAlign w:val="center"/>
          </w:tcPr>
          <w:p w14:paraId="40B32EDA"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Fruits</w:t>
            </w:r>
          </w:p>
        </w:tc>
        <w:tc>
          <w:tcPr>
            <w:tcW w:w="306" w:type="pct"/>
            <w:tcBorders>
              <w:left w:val="single" w:sz="8" w:space="0" w:color="auto"/>
              <w:bottom w:val="single" w:sz="2" w:space="0" w:color="auto"/>
            </w:tcBorders>
            <w:shd w:val="clear" w:color="auto" w:fill="auto"/>
            <w:vAlign w:val="center"/>
          </w:tcPr>
          <w:p w14:paraId="35192CF3"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1.0</w:t>
            </w:r>
          </w:p>
        </w:tc>
        <w:tc>
          <w:tcPr>
            <w:tcW w:w="604" w:type="pct"/>
            <w:tcBorders>
              <w:bottom w:val="single" w:sz="2" w:space="0" w:color="auto"/>
            </w:tcBorders>
            <w:shd w:val="clear" w:color="auto" w:fill="auto"/>
            <w:vAlign w:val="center"/>
          </w:tcPr>
          <w:p w14:paraId="21DE3242"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417.93</w:t>
            </w:r>
          </w:p>
        </w:tc>
        <w:tc>
          <w:tcPr>
            <w:tcW w:w="607" w:type="pct"/>
            <w:tcBorders>
              <w:bottom w:val="single" w:sz="2" w:space="0" w:color="auto"/>
            </w:tcBorders>
            <w:shd w:val="clear" w:color="auto" w:fill="auto"/>
            <w:vAlign w:val="center"/>
          </w:tcPr>
          <w:p w14:paraId="643AC87E" w14:textId="02BC354B" w:rsidR="008F40BF" w:rsidRPr="00142FF0" w:rsidRDefault="00F570A7" w:rsidP="008F40BF">
            <w:pPr>
              <w:keepNext/>
              <w:keepLines/>
              <w:spacing w:before="20" w:after="20"/>
              <w:jc w:val="center"/>
              <w:rPr>
                <w:rFonts w:eastAsia="MS Mincho"/>
                <w:b/>
                <w:bCs/>
                <w:sz w:val="20"/>
                <w:szCs w:val="20"/>
                <w:highlight w:val="green"/>
                <w:lang w:val="en-GB"/>
              </w:rPr>
            </w:pPr>
            <w:r w:rsidRPr="00067059">
              <w:rPr>
                <w:rFonts w:eastAsia="MS Mincho"/>
                <w:b/>
                <w:bCs/>
                <w:strike/>
                <w:color w:val="D9D9D9" w:themeColor="background1" w:themeShade="D9"/>
                <w:sz w:val="20"/>
                <w:szCs w:val="20"/>
                <w:highlight w:val="green"/>
                <w:lang w:val="en-GB"/>
              </w:rPr>
              <w:t>0.47</w:t>
            </w:r>
            <w:r w:rsidRPr="00067059">
              <w:rPr>
                <w:rFonts w:eastAsia="MS Mincho"/>
                <w:b/>
                <w:bCs/>
                <w:color w:val="D9D9D9" w:themeColor="background1" w:themeShade="D9"/>
                <w:sz w:val="20"/>
                <w:szCs w:val="20"/>
                <w:highlight w:val="green"/>
                <w:lang w:val="en-GB"/>
              </w:rPr>
              <w:t xml:space="preserve"> </w:t>
            </w:r>
            <w:r w:rsidRPr="00067059">
              <w:rPr>
                <w:rFonts w:eastAsia="MS Mincho"/>
                <w:b/>
                <w:bCs/>
                <w:sz w:val="20"/>
                <w:szCs w:val="20"/>
                <w:shd w:val="clear" w:color="auto" w:fill="D9D9D9" w:themeFill="background1" w:themeFillShade="D9"/>
                <w:lang w:val="en-GB"/>
              </w:rPr>
              <w:t>0.73</w:t>
            </w:r>
          </w:p>
        </w:tc>
        <w:tc>
          <w:tcPr>
            <w:tcW w:w="454" w:type="pct"/>
            <w:shd w:val="clear" w:color="auto" w:fill="auto"/>
            <w:vAlign w:val="center"/>
          </w:tcPr>
          <w:p w14:paraId="3E2A84A8"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0.95</w:t>
            </w:r>
          </w:p>
        </w:tc>
        <w:tc>
          <w:tcPr>
            <w:tcW w:w="390" w:type="pct"/>
            <w:tcBorders>
              <w:bottom w:val="single" w:sz="12" w:space="0" w:color="auto"/>
            </w:tcBorders>
            <w:vAlign w:val="center"/>
          </w:tcPr>
          <w:p w14:paraId="002FF6AE"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w:t>
            </w:r>
          </w:p>
        </w:tc>
        <w:tc>
          <w:tcPr>
            <w:tcW w:w="305" w:type="pct"/>
            <w:tcBorders>
              <w:bottom w:val="single" w:sz="12" w:space="0" w:color="auto"/>
            </w:tcBorders>
            <w:vAlign w:val="center"/>
          </w:tcPr>
          <w:p w14:paraId="4B1715ED" w14:textId="77777777" w:rsidR="008F40BF" w:rsidRPr="00142FF0" w:rsidRDefault="008F40BF" w:rsidP="008F40BF">
            <w:pPr>
              <w:keepNext/>
              <w:keepLines/>
              <w:spacing w:before="20" w:after="20"/>
              <w:jc w:val="center"/>
              <w:rPr>
                <w:rFonts w:eastAsia="MS Mincho"/>
                <w:sz w:val="20"/>
                <w:szCs w:val="20"/>
                <w:highlight w:val="green"/>
                <w:lang w:val="en-GB"/>
              </w:rPr>
            </w:pPr>
            <w:r w:rsidRPr="00142FF0">
              <w:rPr>
                <w:rFonts w:eastAsia="MS Mincho"/>
                <w:sz w:val="20"/>
                <w:szCs w:val="20"/>
                <w:highlight w:val="green"/>
                <w:lang w:val="en-GB"/>
              </w:rPr>
              <w:t>1</w:t>
            </w:r>
          </w:p>
        </w:tc>
        <w:tc>
          <w:tcPr>
            <w:tcW w:w="522" w:type="pct"/>
            <w:tcBorders>
              <w:bottom w:val="single" w:sz="12" w:space="0" w:color="auto"/>
            </w:tcBorders>
            <w:shd w:val="clear" w:color="auto" w:fill="auto"/>
            <w:vAlign w:val="center"/>
          </w:tcPr>
          <w:p w14:paraId="4FB0FF16" w14:textId="10D50E7E" w:rsidR="008F40BF" w:rsidRPr="00142FF0" w:rsidRDefault="008F40BF" w:rsidP="008F40BF">
            <w:pPr>
              <w:keepNext/>
              <w:keepLines/>
              <w:spacing w:before="20" w:after="20"/>
              <w:jc w:val="center"/>
              <w:rPr>
                <w:rFonts w:eastAsia="MS Mincho"/>
                <w:sz w:val="20"/>
                <w:szCs w:val="20"/>
                <w:highlight w:val="green"/>
                <w:lang w:val="en-GB"/>
              </w:rPr>
            </w:pPr>
            <w:r w:rsidRPr="00151E5A">
              <w:rPr>
                <w:rFonts w:eastAsia="MS Mincho"/>
                <w:strike/>
                <w:color w:val="D9D9D9" w:themeColor="background1" w:themeShade="D9"/>
                <w:sz w:val="20"/>
                <w:szCs w:val="20"/>
                <w:highlight w:val="green"/>
                <w:lang w:val="en-GB"/>
              </w:rPr>
              <w:t>0.48</w:t>
            </w:r>
            <w:r w:rsidR="00852AF1" w:rsidRPr="00151E5A">
              <w:rPr>
                <w:rFonts w:eastAsia="MS Mincho"/>
                <w:color w:val="D9D9D9" w:themeColor="background1" w:themeShade="D9"/>
                <w:sz w:val="20"/>
                <w:szCs w:val="20"/>
                <w:highlight w:val="green"/>
                <w:lang w:val="en-GB"/>
              </w:rPr>
              <w:t xml:space="preserve"> </w:t>
            </w:r>
            <w:r w:rsidR="00151E5A" w:rsidRPr="00151E5A">
              <w:rPr>
                <w:rFonts w:eastAsia="MS Mincho"/>
                <w:sz w:val="20"/>
                <w:szCs w:val="20"/>
                <w:shd w:val="clear" w:color="auto" w:fill="D9D9D9" w:themeFill="background1" w:themeFillShade="D9"/>
                <w:lang w:val="en-GB"/>
              </w:rPr>
              <w:t>0.74</w:t>
            </w:r>
          </w:p>
        </w:tc>
        <w:tc>
          <w:tcPr>
            <w:tcW w:w="379" w:type="pct"/>
            <w:tcBorders>
              <w:bottom w:val="single" w:sz="12" w:space="0" w:color="auto"/>
            </w:tcBorders>
            <w:vAlign w:val="center"/>
          </w:tcPr>
          <w:p w14:paraId="5436DCFC" w14:textId="77777777" w:rsidR="008F40BF" w:rsidRPr="00142FF0" w:rsidRDefault="008F40BF" w:rsidP="008F40BF">
            <w:pPr>
              <w:keepNext/>
              <w:keepLines/>
              <w:spacing w:before="20" w:after="20"/>
              <w:jc w:val="center"/>
              <w:rPr>
                <w:rFonts w:eastAsia="MS Mincho"/>
                <w:bCs/>
                <w:sz w:val="20"/>
                <w:szCs w:val="20"/>
                <w:highlight w:val="green"/>
                <w:lang w:val="en-GB"/>
              </w:rPr>
            </w:pPr>
            <w:r w:rsidRPr="00142FF0">
              <w:rPr>
                <w:rFonts w:eastAsia="MS Mincho"/>
                <w:bCs/>
                <w:sz w:val="20"/>
                <w:szCs w:val="20"/>
                <w:highlight w:val="green"/>
                <w:lang w:val="en-GB"/>
              </w:rPr>
              <w:t>448</w:t>
            </w:r>
          </w:p>
        </w:tc>
        <w:tc>
          <w:tcPr>
            <w:tcW w:w="374" w:type="pct"/>
            <w:tcBorders>
              <w:bottom w:val="single" w:sz="12" w:space="0" w:color="auto"/>
            </w:tcBorders>
            <w:shd w:val="clear" w:color="auto" w:fill="auto"/>
            <w:vAlign w:val="center"/>
          </w:tcPr>
          <w:p w14:paraId="1B905950" w14:textId="77777777" w:rsidR="008F40BF" w:rsidRPr="00C529E1" w:rsidRDefault="008F40BF" w:rsidP="008F40BF">
            <w:pPr>
              <w:keepNext/>
              <w:keepLines/>
              <w:spacing w:before="20" w:after="20"/>
              <w:jc w:val="center"/>
              <w:rPr>
                <w:rFonts w:eastAsia="MS Mincho"/>
                <w:bCs/>
                <w:strike/>
                <w:color w:val="D9D9D9" w:themeColor="background1" w:themeShade="D9"/>
                <w:sz w:val="20"/>
                <w:szCs w:val="20"/>
                <w:highlight w:val="green"/>
                <w:lang w:val="en-GB"/>
              </w:rPr>
            </w:pPr>
            <w:r w:rsidRPr="00C529E1">
              <w:rPr>
                <w:rFonts w:eastAsia="MS Mincho"/>
                <w:bCs/>
                <w:strike/>
                <w:color w:val="D9D9D9" w:themeColor="background1" w:themeShade="D9"/>
                <w:sz w:val="20"/>
                <w:szCs w:val="20"/>
                <w:highlight w:val="green"/>
                <w:lang w:val="en-GB"/>
              </w:rPr>
              <w:t>224.9</w:t>
            </w:r>
          </w:p>
          <w:p w14:paraId="57C8A243" w14:textId="3D051390" w:rsidR="00151E5A" w:rsidRPr="00142FF0" w:rsidRDefault="00C529E1" w:rsidP="008F40BF">
            <w:pPr>
              <w:keepNext/>
              <w:keepLines/>
              <w:spacing w:before="20" w:after="20"/>
              <w:jc w:val="center"/>
              <w:rPr>
                <w:rFonts w:eastAsia="MS Mincho"/>
                <w:bCs/>
                <w:sz w:val="20"/>
                <w:szCs w:val="20"/>
                <w:highlight w:val="green"/>
                <w:lang w:val="en-GB"/>
              </w:rPr>
            </w:pPr>
            <w:r w:rsidRPr="00C529E1">
              <w:rPr>
                <w:rFonts w:eastAsia="MS Mincho"/>
                <w:bCs/>
                <w:sz w:val="20"/>
                <w:szCs w:val="20"/>
                <w:shd w:val="clear" w:color="auto" w:fill="D9D9D9" w:themeFill="background1" w:themeFillShade="D9"/>
                <w:lang w:val="en-GB"/>
              </w:rPr>
              <w:t>144.6</w:t>
            </w:r>
          </w:p>
        </w:tc>
      </w:tr>
    </w:tbl>
    <w:p w14:paraId="42E4D64E" w14:textId="77777777" w:rsidR="00142FF0" w:rsidRPr="00142FF0" w:rsidRDefault="00142FF0" w:rsidP="00142FF0">
      <w:pPr>
        <w:keepNext/>
        <w:keepLines/>
        <w:tabs>
          <w:tab w:val="left" w:pos="0"/>
        </w:tabs>
        <w:rPr>
          <w:rFonts w:eastAsia="MS Mincho"/>
          <w:sz w:val="18"/>
          <w:szCs w:val="18"/>
          <w:highlight w:val="green"/>
          <w:lang w:val="en-GB"/>
        </w:rPr>
      </w:pPr>
      <w:r w:rsidRPr="00142FF0">
        <w:rPr>
          <w:rFonts w:eastAsia="MS Mincho"/>
          <w:sz w:val="18"/>
          <w:szCs w:val="18"/>
          <w:highlight w:val="green"/>
          <w:lang w:val="en-GB"/>
        </w:rPr>
        <w:t xml:space="preserve">FIR: food intake rate; TWA: time-weighted average factor; DDD: daily dietary dose; DF: Deposition factor, PD: Fraction in diet, PT: Fraction in time, TER: toxicity to exposure ratio. </w:t>
      </w:r>
      <w:r w:rsidRPr="00142FF0">
        <w:rPr>
          <w:rFonts w:eastAsia="MS Mincho"/>
          <w:b/>
          <w:bCs/>
          <w:sz w:val="18"/>
          <w:szCs w:val="18"/>
          <w:highlight w:val="green"/>
          <w:lang w:val="en-GB"/>
        </w:rPr>
        <w:t>Bold</w:t>
      </w:r>
      <w:r w:rsidRPr="00142FF0">
        <w:rPr>
          <w:rFonts w:eastAsia="MS Mincho"/>
          <w:sz w:val="18"/>
          <w:szCs w:val="18"/>
          <w:highlight w:val="green"/>
          <w:lang w:val="en-GB"/>
        </w:rPr>
        <w:t>: refined parameter(s)</w:t>
      </w:r>
    </w:p>
    <w:p w14:paraId="5FFE45DA" w14:textId="77777777" w:rsidR="00142FF0" w:rsidRDefault="00142FF0" w:rsidP="00142FF0">
      <w:pPr>
        <w:pStyle w:val="RepStandard"/>
        <w:ind w:left="142" w:hanging="142"/>
        <w:rPr>
          <w:rFonts w:eastAsia="MS Mincho"/>
        </w:rPr>
      </w:pPr>
      <w:r w:rsidRPr="00142FF0">
        <w:rPr>
          <w:rFonts w:eastAsia="MS Mincho"/>
          <w:sz w:val="18"/>
          <w:szCs w:val="18"/>
          <w:highlight w:val="green"/>
          <w:lang w:val="en-GB"/>
        </w:rPr>
        <w:t>*MAF×twa value for Propamocarb-HCl calculated with the moving-time window approach for 2 applications and 7-day interval according to the formula detailed in Appendix H of the EFSA Guidance Document (2009).</w:t>
      </w:r>
    </w:p>
    <w:p w14:paraId="57975B35" w14:textId="6492EA80" w:rsidR="00142FF0" w:rsidRDefault="00142FF0" w:rsidP="00DC5685">
      <w:pPr>
        <w:pStyle w:val="RepStandard"/>
        <w:rPr>
          <w:rFonts w:eastAsia="MS Mincho"/>
        </w:rPr>
      </w:pPr>
    </w:p>
    <w:p w14:paraId="2994F87E" w14:textId="07115CEC" w:rsidR="00DC5685" w:rsidRDefault="00DC5685" w:rsidP="00DC5685">
      <w:pPr>
        <w:pStyle w:val="RepStandard"/>
        <w:rPr>
          <w:rFonts w:eastAsia="MS Mincho"/>
        </w:rPr>
      </w:pPr>
      <w:r w:rsidRPr="008F40BF">
        <w:rPr>
          <w:rFonts w:eastAsia="MS Mincho"/>
          <w:highlight w:val="green"/>
        </w:rPr>
        <w:t>The refined risk assessment</w:t>
      </w:r>
      <w:r w:rsidR="008F40BF" w:rsidRPr="008F40BF">
        <w:rPr>
          <w:rFonts w:eastAsia="MS Mincho"/>
          <w:highlight w:val="green"/>
        </w:rPr>
        <w:t>s</w:t>
      </w:r>
      <w:r w:rsidRPr="008F40BF">
        <w:rPr>
          <w:rFonts w:eastAsia="MS Mincho"/>
          <w:highlight w:val="green"/>
        </w:rPr>
        <w:t xml:space="preserve"> for frugivorous birds feeding in fruiting vegetables following application of BAS 743 03 F demonstrate acceptable risk.</w:t>
      </w:r>
      <w:r w:rsidRPr="00A34F10">
        <w:rPr>
          <w:rFonts w:eastAsia="MS Mincho"/>
        </w:rPr>
        <w:t xml:space="preserve"> </w:t>
      </w:r>
    </w:p>
    <w:p w14:paraId="51DD85E4" w14:textId="77777777" w:rsidR="00DC5685" w:rsidRPr="00A34F10" w:rsidRDefault="00DC5685" w:rsidP="00D15E54">
      <w:pPr>
        <w:pStyle w:val="Nagwek4"/>
        <w:keepLines/>
        <w:suppressAutoHyphens/>
        <w:rPr>
          <w:noProof w:val="0"/>
          <w:lang w:val="en-GB"/>
        </w:rPr>
      </w:pPr>
      <w:bookmarkStart w:id="225" w:name="_Toc267660797"/>
      <w:bookmarkStart w:id="226" w:name="_Toc269365856"/>
      <w:bookmarkStart w:id="227" w:name="_Toc321980187"/>
      <w:bookmarkStart w:id="228" w:name="_Toc412643977"/>
      <w:bookmarkStart w:id="229" w:name="_Toc413916823"/>
      <w:bookmarkStart w:id="230" w:name="_Toc413916965"/>
      <w:bookmarkStart w:id="231" w:name="_Toc413922026"/>
      <w:bookmarkStart w:id="232" w:name="_Toc413922515"/>
      <w:bookmarkStart w:id="233" w:name="_Toc413922619"/>
      <w:bookmarkStart w:id="234" w:name="_Toc414955256"/>
      <w:bookmarkStart w:id="235" w:name="_Toc415214563"/>
      <w:bookmarkStart w:id="236" w:name="_Toc425512584"/>
      <w:bookmarkStart w:id="237" w:name="_Toc181624951"/>
      <w:r w:rsidRPr="00A34F10">
        <w:rPr>
          <w:noProof w:val="0"/>
          <w:lang w:val="en-GB"/>
        </w:rPr>
        <w:t>Drinking water exposure</w:t>
      </w:r>
      <w:bookmarkEnd w:id="225"/>
      <w:bookmarkEnd w:id="226"/>
      <w:bookmarkEnd w:id="227"/>
      <w:bookmarkEnd w:id="228"/>
      <w:bookmarkEnd w:id="229"/>
      <w:bookmarkEnd w:id="230"/>
      <w:bookmarkEnd w:id="231"/>
      <w:bookmarkEnd w:id="232"/>
      <w:bookmarkEnd w:id="233"/>
      <w:bookmarkEnd w:id="234"/>
      <w:bookmarkEnd w:id="235"/>
      <w:bookmarkEnd w:id="236"/>
      <w:bookmarkEnd w:id="237"/>
      <w:r w:rsidRPr="00A34F10">
        <w:rPr>
          <w:noProof w:val="0"/>
          <w:lang w:val="en-GB"/>
        </w:rPr>
        <w:t xml:space="preserve"> </w:t>
      </w:r>
    </w:p>
    <w:p w14:paraId="3A66591D" w14:textId="77777777" w:rsidR="00DC5685" w:rsidRPr="00A34F10" w:rsidRDefault="00DC5685" w:rsidP="00D15E54">
      <w:pPr>
        <w:pStyle w:val="RepStandard"/>
        <w:keepNext/>
        <w:keepLines/>
      </w:pPr>
      <w:r w:rsidRPr="00A34F10">
        <w:t>When necessary, the assessment of the risk for birds due to uptake of contaminated drinking water is conducted for a small granivorous bird with a body weight of 15.3 g (</w:t>
      </w:r>
      <w:r w:rsidRPr="00A34F10">
        <w:rPr>
          <w:i/>
        </w:rPr>
        <w:t>Carduelis cannabina</w:t>
      </w:r>
      <w:r w:rsidRPr="00A34F10">
        <w:t>) and a drinking water uptake rate of 0.46 L/kg bw/d (</w:t>
      </w:r>
      <w:r w:rsidRPr="00A34F10">
        <w:rPr>
          <w:i/>
        </w:rPr>
        <w:t>cf</w:t>
      </w:r>
      <w:r w:rsidRPr="00A34F10">
        <w:t>. Appendix K of EFSA/2009/1438).</w:t>
      </w:r>
    </w:p>
    <w:p w14:paraId="03758CD9" w14:textId="77777777" w:rsidR="00DC5685" w:rsidRPr="00A34F10" w:rsidRDefault="00DC5685" w:rsidP="00650EAB">
      <w:pPr>
        <w:pStyle w:val="RepNewPart"/>
        <w:keepNext w:val="0"/>
        <w:keepLines w:val="0"/>
        <w:suppressAutoHyphens/>
      </w:pPr>
      <w:bookmarkStart w:id="238" w:name="_Toc335031501"/>
      <w:r w:rsidRPr="00A34F10">
        <w:t>Leaf scenario</w:t>
      </w:r>
      <w:bookmarkEnd w:id="238"/>
    </w:p>
    <w:p w14:paraId="3A2D2693" w14:textId="77777777" w:rsidR="005D5C61" w:rsidRPr="00454FE0" w:rsidRDefault="005D5C61" w:rsidP="00650EAB">
      <w:pPr>
        <w:pStyle w:val="RepStandard"/>
        <w:rPr>
          <w:lang w:val="en-GB"/>
        </w:rPr>
      </w:pPr>
      <w:r w:rsidRPr="00454FE0">
        <w:rPr>
          <w:lang w:val="en-GB"/>
        </w:rPr>
        <w:t>Since BAS 743 0</w:t>
      </w:r>
      <w:r>
        <w:rPr>
          <w:lang w:val="en-GB"/>
        </w:rPr>
        <w:t>3</w:t>
      </w:r>
      <w:r w:rsidRPr="00454FE0">
        <w:rPr>
          <w:lang w:val="en-GB"/>
        </w:rPr>
        <w:t xml:space="preserve"> F is not intended to be applied on leafy vegetables forming heads or crop plants with </w:t>
      </w:r>
      <w:r w:rsidRPr="00454FE0">
        <w:rPr>
          <w:lang w:val="en-GB"/>
        </w:rPr>
        <w:lastRenderedPageBreak/>
        <w:t>comparable water collecting structures at principal growth stage 4 or later, the leaf scenario does not have to be considered.</w:t>
      </w:r>
    </w:p>
    <w:p w14:paraId="68AF494A" w14:textId="77777777" w:rsidR="00DC5685" w:rsidRPr="00A34F10" w:rsidRDefault="00DC5685" w:rsidP="00650EAB">
      <w:pPr>
        <w:pStyle w:val="RepNewPart"/>
        <w:keepNext w:val="0"/>
        <w:keepLines w:val="0"/>
        <w:suppressAutoHyphens/>
      </w:pPr>
      <w:r w:rsidRPr="00A34F10">
        <w:t>Puddle scenario</w:t>
      </w:r>
    </w:p>
    <w:p w14:paraId="279B9711" w14:textId="77777777" w:rsidR="00DC5685" w:rsidRPr="00A34F10" w:rsidRDefault="00DC5685" w:rsidP="00DC5685">
      <w:pPr>
        <w:pStyle w:val="RepStandard"/>
        <w:suppressAutoHyphens/>
      </w:pPr>
      <w:r w:rsidRPr="00A34F10">
        <w:t>Due to the characteristics of the exposure scenario in connection with the standard assumptions for water uptake by animals, no specific calculations of exposure and TER are necessary when the ratio of effective application rate (in g/ha) to relevant endpoint (in mg/kg bw/d) does not exceed 50 in the case of less sorptive substances (Koc &lt; 500 L/kg) or 3000 in the case of more sorptive substances (Koc ≥ 500 L/kg).</w:t>
      </w:r>
    </w:p>
    <w:p w14:paraId="16FF3255" w14:textId="77777777" w:rsidR="00DC5685" w:rsidRPr="00A34F10" w:rsidRDefault="00DC5685" w:rsidP="00DC5685">
      <w:pPr>
        <w:pStyle w:val="RepStandard"/>
        <w:suppressAutoHyphens/>
      </w:pPr>
    </w:p>
    <w:p w14:paraId="093C1AA5" w14:textId="3D85CD3E" w:rsidR="00DC5685" w:rsidRDefault="00DC5685" w:rsidP="007E7467">
      <w:pPr>
        <w:jc w:val="both"/>
        <w:rPr>
          <w:lang w:val="en-GB"/>
        </w:rPr>
      </w:pPr>
      <w:r w:rsidRPr="00A34F10">
        <w:rPr>
          <w:lang w:val="en-GB"/>
        </w:rPr>
        <w:t>With a K</w:t>
      </w:r>
      <w:r w:rsidRPr="00A34F10">
        <w:rPr>
          <w:vertAlign w:val="subscript"/>
          <w:lang w:val="en-GB"/>
        </w:rPr>
        <w:t>(f)OC</w:t>
      </w:r>
      <w:r w:rsidRPr="00A34F10">
        <w:rPr>
          <w:lang w:val="en-GB"/>
        </w:rPr>
        <w:t xml:space="preserve"> of 3779 L/kg and of 535.56 L/kg for Ametoctradin and Propamocarb, respectively both active substances belong to the group of more sorptive substances. To achieve a concise risk assessment, the risk envelope approach is applied. Here, the assessment for the use group potatoes also covers the risk for birds from all other intended uses in </w:t>
      </w:r>
      <w:r w:rsidR="008C50A8">
        <w:rPr>
          <w:lang w:val="en-GB"/>
        </w:rPr>
        <w:t>fruiting</w:t>
      </w:r>
      <w:r w:rsidRPr="00A34F10">
        <w:rPr>
          <w:lang w:val="en-GB"/>
        </w:rPr>
        <w:t xml:space="preserve"> vegetables and bulbs and onion like crops. </w:t>
      </w:r>
      <w:r w:rsidRPr="00A34F10">
        <w:rPr>
          <w:rFonts w:eastAsia="SimSun"/>
          <w:lang w:val="en-GB" w:eastAsia="zh-CN"/>
        </w:rPr>
        <w:t xml:space="preserve">The ratio calculations for effective application rate to relevant endpoints are detailed in </w:t>
      </w:r>
      <w:r w:rsidR="006F4905">
        <w:rPr>
          <w:rFonts w:eastAsia="SimSun"/>
          <w:lang w:val="en-GB" w:eastAsia="zh-CN"/>
        </w:rPr>
        <w:fldChar w:fldCharType="begin"/>
      </w:r>
      <w:r w:rsidR="006F4905">
        <w:rPr>
          <w:rFonts w:eastAsia="SimSun"/>
          <w:lang w:val="en-GB" w:eastAsia="zh-CN"/>
        </w:rPr>
        <w:instrText xml:space="preserve"> REF _Ref465171897 \h </w:instrText>
      </w:r>
      <w:r w:rsidR="006F4905">
        <w:rPr>
          <w:rFonts w:eastAsia="SimSun"/>
          <w:lang w:val="en-GB" w:eastAsia="zh-CN"/>
        </w:rPr>
      </w:r>
      <w:r w:rsidR="006F4905">
        <w:rPr>
          <w:rFonts w:eastAsia="SimSun"/>
          <w:lang w:val="en-GB" w:eastAsia="zh-CN"/>
        </w:rPr>
        <w:fldChar w:fldCharType="separate"/>
      </w:r>
      <w:r w:rsidR="006F4905" w:rsidRPr="00A34F10">
        <w:t xml:space="preserve">Table </w:t>
      </w:r>
      <w:r w:rsidR="006F4905">
        <w:rPr>
          <w:noProof/>
        </w:rPr>
        <w:t>9.2</w:t>
      </w:r>
      <w:r w:rsidR="006F4905">
        <w:noBreakHyphen/>
      </w:r>
      <w:r w:rsidR="006F4905">
        <w:rPr>
          <w:noProof/>
          <w:highlight w:val="green"/>
        </w:rPr>
        <w:t>18</w:t>
      </w:r>
      <w:r w:rsidR="006F4905">
        <w:rPr>
          <w:rFonts w:eastAsia="SimSun"/>
          <w:lang w:val="en-GB" w:eastAsia="zh-CN"/>
        </w:rPr>
        <w:fldChar w:fldCharType="end"/>
      </w:r>
      <w:r w:rsidR="006F4905">
        <w:rPr>
          <w:rFonts w:eastAsia="SimSun"/>
          <w:lang w:val="en-GB" w:eastAsia="zh-CN"/>
        </w:rPr>
        <w:t xml:space="preserve"> and </w:t>
      </w:r>
      <w:r w:rsidR="006F4905">
        <w:rPr>
          <w:rFonts w:eastAsia="SimSun"/>
          <w:lang w:val="en-GB" w:eastAsia="zh-CN"/>
        </w:rPr>
        <w:fldChar w:fldCharType="begin"/>
      </w:r>
      <w:r w:rsidR="006F4905">
        <w:rPr>
          <w:rFonts w:eastAsia="SimSun"/>
          <w:lang w:val="en-GB" w:eastAsia="zh-CN"/>
        </w:rPr>
        <w:instrText xml:space="preserve"> REF _Ref163808077 \h </w:instrText>
      </w:r>
      <w:r w:rsidR="006F4905">
        <w:rPr>
          <w:rFonts w:eastAsia="SimSun"/>
          <w:lang w:val="en-GB" w:eastAsia="zh-CN"/>
        </w:rPr>
      </w:r>
      <w:r w:rsidR="006F4905">
        <w:rPr>
          <w:rFonts w:eastAsia="SimSun"/>
          <w:lang w:val="en-GB" w:eastAsia="zh-CN"/>
        </w:rPr>
        <w:fldChar w:fldCharType="separate"/>
      </w:r>
      <w:r w:rsidR="006F4905" w:rsidRPr="00A34F10">
        <w:t xml:space="preserve">Table </w:t>
      </w:r>
      <w:r w:rsidR="006F4905">
        <w:rPr>
          <w:noProof/>
        </w:rPr>
        <w:t>9.2</w:t>
      </w:r>
      <w:r w:rsidR="006F4905">
        <w:noBreakHyphen/>
      </w:r>
      <w:r w:rsidR="006F4905">
        <w:rPr>
          <w:noProof/>
          <w:highlight w:val="green"/>
        </w:rPr>
        <w:t>19</w:t>
      </w:r>
      <w:r w:rsidR="006F4905">
        <w:rPr>
          <w:rFonts w:eastAsia="SimSun"/>
          <w:lang w:val="en-GB" w:eastAsia="zh-CN"/>
        </w:rPr>
        <w:fldChar w:fldCharType="end"/>
      </w:r>
      <w:r w:rsidR="006F4905">
        <w:rPr>
          <w:rFonts w:eastAsia="SimSun"/>
          <w:lang w:val="en-GB" w:eastAsia="zh-CN"/>
        </w:rPr>
        <w:t>.</w:t>
      </w:r>
      <w:r w:rsidRPr="00A34F10">
        <w:rPr>
          <w:lang w:val="en-GB"/>
        </w:rPr>
        <w:t xml:space="preserve">The ratios for acute and reproductive endpoints for Ametoctradin (0.15 and 5.1, respectively) do not exceed the threshold values of 3000, </w:t>
      </w:r>
      <w:r w:rsidRPr="00A34F10">
        <w:rPr>
          <w:rFonts w:eastAsia="SimSun"/>
          <w:lang w:val="en-GB" w:eastAsia="zh-CN"/>
        </w:rPr>
        <w:t xml:space="preserve">thus no specific calculations of exposure </w:t>
      </w:r>
      <w:r w:rsidRPr="00A34F10">
        <w:rPr>
          <w:lang w:val="en-GB"/>
        </w:rPr>
        <w:t>for birds through drinking water for the puddle scenario</w:t>
      </w:r>
      <w:r w:rsidRPr="00A34F10">
        <w:rPr>
          <w:rFonts w:eastAsia="SimSun"/>
          <w:lang w:val="en-GB" w:eastAsia="zh-CN"/>
        </w:rPr>
        <w:t xml:space="preserve"> are necessary</w:t>
      </w:r>
      <w:r w:rsidRPr="00A34F10">
        <w:rPr>
          <w:lang w:val="en-GB"/>
        </w:rPr>
        <w:t>. Therefore, a quantitative drinking water risk assessment for the puddle scenario is not triggered.</w:t>
      </w:r>
    </w:p>
    <w:p w14:paraId="33B84ACE" w14:textId="77777777" w:rsidR="00665CF7" w:rsidRPr="00A34F10" w:rsidRDefault="00665CF7" w:rsidP="007E7467">
      <w:pPr>
        <w:jc w:val="both"/>
        <w:rPr>
          <w:rFonts w:eastAsia="SimSun"/>
          <w:lang w:val="en-GB" w:eastAsia="zh-CN"/>
        </w:rPr>
      </w:pPr>
    </w:p>
    <w:p w14:paraId="61D6DC1E" w14:textId="3DD40734" w:rsidR="00DC5685" w:rsidRPr="00A34F10" w:rsidRDefault="00DC5685" w:rsidP="00040983">
      <w:pPr>
        <w:pStyle w:val="Legenda"/>
      </w:pPr>
      <w:bookmarkStart w:id="239" w:name="_Ref465171897"/>
      <w:bookmarkStart w:id="240" w:name="_Ref163806307"/>
      <w:r w:rsidRPr="00A34F10">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rsidRPr="007D2C72">
        <w:rPr>
          <w:highlight w:val="green"/>
        </w:rPr>
        <w:fldChar w:fldCharType="begin"/>
      </w:r>
      <w:r w:rsidR="007E7467" w:rsidRPr="007D2C72">
        <w:rPr>
          <w:highlight w:val="green"/>
        </w:rPr>
        <w:instrText xml:space="preserve"> SEQ Table \* ARABIC \s 2 </w:instrText>
      </w:r>
      <w:r w:rsidR="007E7467" w:rsidRPr="007D2C72">
        <w:rPr>
          <w:highlight w:val="green"/>
        </w:rPr>
        <w:fldChar w:fldCharType="separate"/>
      </w:r>
      <w:r w:rsidR="006F0F3B">
        <w:rPr>
          <w:noProof/>
          <w:highlight w:val="green"/>
        </w:rPr>
        <w:t>18</w:t>
      </w:r>
      <w:r w:rsidR="007E7467" w:rsidRPr="007D2C72">
        <w:rPr>
          <w:highlight w:val="green"/>
        </w:rPr>
        <w:fldChar w:fldCharType="end"/>
      </w:r>
      <w:bookmarkEnd w:id="239"/>
      <w:r w:rsidRPr="007D2C72">
        <w:rPr>
          <w:highlight w:val="green"/>
        </w:rPr>
        <w:t>:</w:t>
      </w:r>
      <w:r w:rsidRPr="00A34F10">
        <w:tab/>
        <w:t>Assessment of the risk for birds due to exposure to Ametoctradin via contaminated drinking water in puddles</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1"/>
        <w:gridCol w:w="2717"/>
        <w:gridCol w:w="2909"/>
      </w:tblGrid>
      <w:tr w:rsidR="00DC5685" w:rsidRPr="00A34F10" w14:paraId="7BDFBDD0" w14:textId="77777777" w:rsidTr="000470C3">
        <w:tc>
          <w:tcPr>
            <w:tcW w:w="1990" w:type="pct"/>
            <w:vAlign w:val="center"/>
          </w:tcPr>
          <w:p w14:paraId="0AC7633D" w14:textId="77777777" w:rsidR="00DC5685" w:rsidRPr="00A34F10" w:rsidRDefault="00DC5685" w:rsidP="000470C3">
            <w:pPr>
              <w:keepNext/>
              <w:keepLines/>
              <w:tabs>
                <w:tab w:val="left" w:pos="720"/>
              </w:tabs>
              <w:suppressAutoHyphens/>
              <w:rPr>
                <w:b/>
                <w:bCs/>
                <w:sz w:val="20"/>
                <w:szCs w:val="20"/>
                <w:lang w:val="en-GB"/>
              </w:rPr>
            </w:pPr>
            <w:r w:rsidRPr="00A34F10">
              <w:rPr>
                <w:b/>
                <w:bCs/>
                <w:sz w:val="20"/>
                <w:szCs w:val="20"/>
                <w:lang w:val="en-GB"/>
              </w:rPr>
              <w:t>Parameter</w:t>
            </w:r>
          </w:p>
        </w:tc>
        <w:tc>
          <w:tcPr>
            <w:tcW w:w="1453" w:type="pct"/>
          </w:tcPr>
          <w:p w14:paraId="1E36C3B3" w14:textId="77777777" w:rsidR="00DC5685" w:rsidRPr="00A34F10" w:rsidRDefault="00DC5685" w:rsidP="000470C3">
            <w:pPr>
              <w:keepNext/>
              <w:keepLines/>
              <w:suppressAutoHyphens/>
              <w:jc w:val="center"/>
              <w:rPr>
                <w:b/>
                <w:bCs/>
                <w:sz w:val="20"/>
                <w:szCs w:val="20"/>
                <w:lang w:val="en-GB"/>
              </w:rPr>
            </w:pPr>
            <w:r w:rsidRPr="00A34F10">
              <w:rPr>
                <w:b/>
                <w:bCs/>
                <w:sz w:val="20"/>
                <w:szCs w:val="20"/>
                <w:lang w:val="en-GB"/>
              </w:rPr>
              <w:t>Ametoctradin</w:t>
            </w:r>
          </w:p>
        </w:tc>
        <w:tc>
          <w:tcPr>
            <w:tcW w:w="1556" w:type="pct"/>
            <w:shd w:val="clear" w:color="auto" w:fill="auto"/>
            <w:vAlign w:val="center"/>
          </w:tcPr>
          <w:p w14:paraId="35FE67C5" w14:textId="77777777" w:rsidR="00DC5685" w:rsidRPr="00A34F10" w:rsidRDefault="00DC5685" w:rsidP="000470C3">
            <w:pPr>
              <w:keepNext/>
              <w:keepLines/>
              <w:tabs>
                <w:tab w:val="left" w:pos="720"/>
              </w:tabs>
              <w:suppressAutoHyphens/>
              <w:jc w:val="center"/>
              <w:rPr>
                <w:b/>
                <w:bCs/>
                <w:sz w:val="20"/>
                <w:szCs w:val="20"/>
                <w:lang w:val="en-GB"/>
              </w:rPr>
            </w:pPr>
            <w:r w:rsidRPr="00A34F10">
              <w:rPr>
                <w:b/>
                <w:bCs/>
                <w:sz w:val="20"/>
                <w:szCs w:val="20"/>
                <w:lang w:val="en-GB"/>
              </w:rPr>
              <w:t>Reference</w:t>
            </w:r>
          </w:p>
        </w:tc>
      </w:tr>
      <w:tr w:rsidR="00DC5685" w:rsidRPr="00A34F10" w14:paraId="1077E38C" w14:textId="77777777" w:rsidTr="000470C3">
        <w:tc>
          <w:tcPr>
            <w:tcW w:w="1990" w:type="pct"/>
            <w:vAlign w:val="center"/>
          </w:tcPr>
          <w:p w14:paraId="5181DF2E"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Koc (geometric mean) [L/kg]</w:t>
            </w:r>
          </w:p>
        </w:tc>
        <w:tc>
          <w:tcPr>
            <w:tcW w:w="1453" w:type="pct"/>
            <w:vAlign w:val="center"/>
          </w:tcPr>
          <w:p w14:paraId="7E5BC30C"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3779</w:t>
            </w:r>
          </w:p>
        </w:tc>
        <w:tc>
          <w:tcPr>
            <w:tcW w:w="1556" w:type="pct"/>
            <w:shd w:val="clear" w:color="auto" w:fill="auto"/>
            <w:vAlign w:val="center"/>
          </w:tcPr>
          <w:p w14:paraId="21568D4F"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Chapter 8.5.1 and 8.5.2</w:t>
            </w:r>
          </w:p>
        </w:tc>
      </w:tr>
      <w:tr w:rsidR="00DC5685" w:rsidRPr="00A34F10" w14:paraId="252D30D8" w14:textId="77777777" w:rsidTr="000470C3">
        <w:tc>
          <w:tcPr>
            <w:tcW w:w="1990" w:type="pct"/>
            <w:vAlign w:val="center"/>
          </w:tcPr>
          <w:p w14:paraId="62612F26"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Number of applications</w:t>
            </w:r>
          </w:p>
        </w:tc>
        <w:tc>
          <w:tcPr>
            <w:tcW w:w="1453" w:type="pct"/>
          </w:tcPr>
          <w:p w14:paraId="455AB4F9"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w:t>
            </w:r>
          </w:p>
        </w:tc>
        <w:tc>
          <w:tcPr>
            <w:tcW w:w="1556" w:type="pct"/>
            <w:shd w:val="clear" w:color="auto" w:fill="auto"/>
            <w:vAlign w:val="center"/>
          </w:tcPr>
          <w:p w14:paraId="43DD8B13"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40734463" w14:textId="77777777" w:rsidTr="000470C3">
        <w:tc>
          <w:tcPr>
            <w:tcW w:w="1990" w:type="pct"/>
            <w:vAlign w:val="center"/>
          </w:tcPr>
          <w:p w14:paraId="51B7993F"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Interval [days]</w:t>
            </w:r>
          </w:p>
        </w:tc>
        <w:tc>
          <w:tcPr>
            <w:tcW w:w="1453" w:type="pct"/>
          </w:tcPr>
          <w:p w14:paraId="0B7EEA5E"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5</w:t>
            </w:r>
          </w:p>
        </w:tc>
        <w:tc>
          <w:tcPr>
            <w:tcW w:w="1556" w:type="pct"/>
            <w:shd w:val="clear" w:color="auto" w:fill="auto"/>
            <w:vAlign w:val="center"/>
          </w:tcPr>
          <w:p w14:paraId="1EF1E1E1"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1A229759" w14:textId="77777777" w:rsidTr="000470C3">
        <w:tc>
          <w:tcPr>
            <w:tcW w:w="1990" w:type="pct"/>
            <w:vAlign w:val="center"/>
          </w:tcPr>
          <w:p w14:paraId="21136707"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MAF</w:t>
            </w:r>
            <w:r w:rsidRPr="00A34F10">
              <w:rPr>
                <w:sz w:val="20"/>
                <w:szCs w:val="20"/>
                <w:vertAlign w:val="subscript"/>
                <w:lang w:val="en-GB"/>
              </w:rPr>
              <w:t>m</w:t>
            </w:r>
            <w:r w:rsidRPr="00A34F10">
              <w:rPr>
                <w:sz w:val="20"/>
                <w:szCs w:val="20"/>
                <w:lang w:val="en-GB"/>
              </w:rPr>
              <w:t> </w:t>
            </w:r>
            <w:r w:rsidRPr="00A34F10">
              <w:rPr>
                <w:sz w:val="20"/>
                <w:szCs w:val="20"/>
                <w:vertAlign w:val="superscript"/>
                <w:lang w:val="en-GB"/>
              </w:rPr>
              <w:t>1)</w:t>
            </w:r>
          </w:p>
        </w:tc>
        <w:tc>
          <w:tcPr>
            <w:tcW w:w="1453" w:type="pct"/>
          </w:tcPr>
          <w:p w14:paraId="006441F3"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2.21</w:t>
            </w:r>
          </w:p>
        </w:tc>
        <w:tc>
          <w:tcPr>
            <w:tcW w:w="1556" w:type="pct"/>
            <w:shd w:val="clear" w:color="auto" w:fill="auto"/>
            <w:vAlign w:val="center"/>
          </w:tcPr>
          <w:p w14:paraId="2142C8EB"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w:t>
            </w:r>
          </w:p>
        </w:tc>
      </w:tr>
      <w:tr w:rsidR="00DC5685" w:rsidRPr="00A34F10" w14:paraId="063221EF" w14:textId="77777777" w:rsidTr="000470C3">
        <w:tc>
          <w:tcPr>
            <w:tcW w:w="1990" w:type="pct"/>
            <w:vAlign w:val="center"/>
          </w:tcPr>
          <w:p w14:paraId="3C14E722"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Max use rate [g/ha]</w:t>
            </w:r>
          </w:p>
        </w:tc>
        <w:tc>
          <w:tcPr>
            <w:tcW w:w="1453" w:type="pct"/>
          </w:tcPr>
          <w:p w14:paraId="08F3C6DE"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240</w:t>
            </w:r>
          </w:p>
        </w:tc>
        <w:tc>
          <w:tcPr>
            <w:tcW w:w="1556" w:type="pct"/>
            <w:shd w:val="clear" w:color="auto" w:fill="auto"/>
            <w:vAlign w:val="center"/>
          </w:tcPr>
          <w:p w14:paraId="0B20D904"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5FA8C400" w14:textId="77777777" w:rsidTr="000470C3">
        <w:tc>
          <w:tcPr>
            <w:tcW w:w="1990" w:type="pct"/>
            <w:vAlign w:val="center"/>
          </w:tcPr>
          <w:p w14:paraId="4C4C7922"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AR</w:t>
            </w:r>
            <w:r w:rsidRPr="00A34F10">
              <w:rPr>
                <w:sz w:val="20"/>
                <w:szCs w:val="20"/>
                <w:vertAlign w:val="subscript"/>
                <w:lang w:val="en-GB"/>
              </w:rPr>
              <w:t>eff</w:t>
            </w:r>
            <w:r w:rsidRPr="00A34F10">
              <w:rPr>
                <w:sz w:val="20"/>
                <w:szCs w:val="20"/>
                <w:lang w:val="en-GB"/>
              </w:rPr>
              <w:t xml:space="preserve"> [g/ha] </w:t>
            </w:r>
            <w:r w:rsidRPr="00A34F10">
              <w:rPr>
                <w:sz w:val="20"/>
                <w:szCs w:val="20"/>
                <w:vertAlign w:val="superscript"/>
                <w:lang w:val="en-GB"/>
              </w:rPr>
              <w:t>2)</w:t>
            </w:r>
          </w:p>
        </w:tc>
        <w:tc>
          <w:tcPr>
            <w:tcW w:w="1453" w:type="pct"/>
          </w:tcPr>
          <w:p w14:paraId="2CCFE6BE"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530</w:t>
            </w:r>
          </w:p>
        </w:tc>
        <w:tc>
          <w:tcPr>
            <w:tcW w:w="1556" w:type="pct"/>
            <w:shd w:val="clear" w:color="auto" w:fill="auto"/>
            <w:vAlign w:val="center"/>
          </w:tcPr>
          <w:p w14:paraId="3ED3D540"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3DF0EB1B" w14:textId="77777777" w:rsidTr="000470C3">
        <w:tc>
          <w:tcPr>
            <w:tcW w:w="1990" w:type="pct"/>
            <w:vAlign w:val="center"/>
          </w:tcPr>
          <w:p w14:paraId="68742657"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LD</w:t>
            </w:r>
            <w:r w:rsidRPr="00A34F10">
              <w:rPr>
                <w:sz w:val="20"/>
                <w:szCs w:val="20"/>
                <w:vertAlign w:val="subscript"/>
                <w:lang w:val="en-GB"/>
              </w:rPr>
              <w:t>50</w:t>
            </w:r>
            <w:r w:rsidRPr="00A34F10">
              <w:rPr>
                <w:sz w:val="20"/>
                <w:szCs w:val="20"/>
                <w:lang w:val="en-GB"/>
              </w:rPr>
              <w:t xml:space="preserve"> [mg/kg b.w.]</w:t>
            </w:r>
          </w:p>
        </w:tc>
        <w:tc>
          <w:tcPr>
            <w:tcW w:w="1453" w:type="pct"/>
          </w:tcPr>
          <w:p w14:paraId="4AEFB87D"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3776</w:t>
            </w:r>
          </w:p>
        </w:tc>
        <w:tc>
          <w:tcPr>
            <w:tcW w:w="1556" w:type="pct"/>
            <w:shd w:val="clear" w:color="auto" w:fill="auto"/>
            <w:vAlign w:val="center"/>
          </w:tcPr>
          <w:p w14:paraId="698567ED"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77408AE5" w14:textId="77777777" w:rsidTr="000470C3">
        <w:tc>
          <w:tcPr>
            <w:tcW w:w="1990" w:type="pct"/>
            <w:vAlign w:val="center"/>
          </w:tcPr>
          <w:p w14:paraId="5E7835E3"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Ratio (acute) </w:t>
            </w:r>
            <w:r w:rsidRPr="00A34F10">
              <w:rPr>
                <w:sz w:val="20"/>
                <w:szCs w:val="20"/>
                <w:vertAlign w:val="superscript"/>
                <w:lang w:val="en-GB"/>
              </w:rPr>
              <w:t>3)</w:t>
            </w:r>
          </w:p>
        </w:tc>
        <w:tc>
          <w:tcPr>
            <w:tcW w:w="1453" w:type="pct"/>
          </w:tcPr>
          <w:p w14:paraId="44B81F74"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0.1403</w:t>
            </w:r>
          </w:p>
        </w:tc>
        <w:tc>
          <w:tcPr>
            <w:tcW w:w="1556" w:type="pct"/>
            <w:shd w:val="clear" w:color="auto" w:fill="auto"/>
            <w:vAlign w:val="center"/>
          </w:tcPr>
          <w:p w14:paraId="669B84BF"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3979E1F5" w14:textId="77777777" w:rsidTr="000470C3">
        <w:tc>
          <w:tcPr>
            <w:tcW w:w="1990" w:type="pct"/>
            <w:vAlign w:val="center"/>
          </w:tcPr>
          <w:p w14:paraId="021D6889" w14:textId="77777777" w:rsidR="00DC5685" w:rsidRPr="001D51C3" w:rsidRDefault="00DC5685" w:rsidP="000470C3">
            <w:pPr>
              <w:keepNext/>
              <w:keepLines/>
              <w:numPr>
                <w:ilvl w:val="12"/>
                <w:numId w:val="0"/>
              </w:numPr>
              <w:tabs>
                <w:tab w:val="left" w:pos="720"/>
              </w:tabs>
              <w:suppressAutoHyphens/>
              <w:rPr>
                <w:sz w:val="20"/>
                <w:szCs w:val="20"/>
                <w:lang w:val="es-ES"/>
              </w:rPr>
            </w:pPr>
            <w:r w:rsidRPr="001D51C3">
              <w:rPr>
                <w:sz w:val="20"/>
                <w:szCs w:val="20"/>
                <w:lang w:val="es-ES"/>
              </w:rPr>
              <w:t>NO(A)EL [mg/kg b.w./d]</w:t>
            </w:r>
          </w:p>
        </w:tc>
        <w:tc>
          <w:tcPr>
            <w:tcW w:w="1453" w:type="pct"/>
          </w:tcPr>
          <w:p w14:paraId="3D3FEE44"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115.2</w:t>
            </w:r>
          </w:p>
        </w:tc>
        <w:tc>
          <w:tcPr>
            <w:tcW w:w="1556" w:type="pct"/>
            <w:shd w:val="clear" w:color="auto" w:fill="auto"/>
            <w:vAlign w:val="center"/>
          </w:tcPr>
          <w:p w14:paraId="58A47DC5"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61A1A46E" w14:textId="77777777" w:rsidTr="000470C3">
        <w:tc>
          <w:tcPr>
            <w:tcW w:w="1990" w:type="pct"/>
            <w:vAlign w:val="center"/>
          </w:tcPr>
          <w:p w14:paraId="13DE435B"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Ratio (repro) </w:t>
            </w:r>
            <w:r w:rsidRPr="00A34F10">
              <w:rPr>
                <w:sz w:val="20"/>
                <w:szCs w:val="20"/>
                <w:vertAlign w:val="superscript"/>
                <w:lang w:val="en-GB"/>
              </w:rPr>
              <w:t>3)</w:t>
            </w:r>
          </w:p>
        </w:tc>
        <w:tc>
          <w:tcPr>
            <w:tcW w:w="1453" w:type="pct"/>
          </w:tcPr>
          <w:p w14:paraId="50CABB3F"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4.5981</w:t>
            </w:r>
          </w:p>
        </w:tc>
        <w:tc>
          <w:tcPr>
            <w:tcW w:w="1556" w:type="pct"/>
            <w:shd w:val="clear" w:color="auto" w:fill="auto"/>
            <w:vAlign w:val="center"/>
          </w:tcPr>
          <w:p w14:paraId="0C7E3AC7"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0C9FA6E5" w14:textId="77777777" w:rsidTr="000470C3">
        <w:tc>
          <w:tcPr>
            <w:tcW w:w="1990" w:type="pct"/>
            <w:vAlign w:val="center"/>
          </w:tcPr>
          <w:p w14:paraId="112DFC63"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Trigger</w:t>
            </w:r>
          </w:p>
        </w:tc>
        <w:tc>
          <w:tcPr>
            <w:tcW w:w="1453" w:type="pct"/>
          </w:tcPr>
          <w:p w14:paraId="2C380F13"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3000</w:t>
            </w:r>
          </w:p>
        </w:tc>
        <w:tc>
          <w:tcPr>
            <w:tcW w:w="1556" w:type="pct"/>
            <w:shd w:val="clear" w:color="auto" w:fill="auto"/>
            <w:vAlign w:val="center"/>
          </w:tcPr>
          <w:p w14:paraId="7DA70CB6"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2E736437" w14:textId="77777777" w:rsidTr="000470C3">
        <w:tc>
          <w:tcPr>
            <w:tcW w:w="1990" w:type="pct"/>
            <w:vAlign w:val="center"/>
          </w:tcPr>
          <w:p w14:paraId="63D24D92"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Drinking water assessment</w:t>
            </w:r>
          </w:p>
          <w:p w14:paraId="15F6C497"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required [Yes/No]</w:t>
            </w:r>
          </w:p>
        </w:tc>
        <w:tc>
          <w:tcPr>
            <w:tcW w:w="1453" w:type="pct"/>
            <w:vAlign w:val="center"/>
          </w:tcPr>
          <w:p w14:paraId="36E09392"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No</w:t>
            </w:r>
          </w:p>
        </w:tc>
        <w:tc>
          <w:tcPr>
            <w:tcW w:w="1556" w:type="pct"/>
            <w:shd w:val="clear" w:color="auto" w:fill="auto"/>
            <w:vAlign w:val="center"/>
          </w:tcPr>
          <w:p w14:paraId="608A2326"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bl>
    <w:p w14:paraId="1BD84BAE" w14:textId="77777777" w:rsidR="00DC5685" w:rsidRPr="00A34F10" w:rsidRDefault="00DC5685" w:rsidP="00DC5685">
      <w:pPr>
        <w:keepNext/>
        <w:keepLines/>
        <w:tabs>
          <w:tab w:val="left" w:pos="360"/>
          <w:tab w:val="left" w:pos="720"/>
        </w:tabs>
        <w:suppressAutoHyphens/>
        <w:autoSpaceDE w:val="0"/>
        <w:autoSpaceDN w:val="0"/>
        <w:adjustRightInd w:val="0"/>
        <w:ind w:left="360" w:hangingChars="200" w:hanging="360"/>
        <w:rPr>
          <w:sz w:val="18"/>
          <w:szCs w:val="18"/>
          <w:lang w:val="en-GB"/>
        </w:rPr>
      </w:pPr>
      <w:r w:rsidRPr="00A34F10">
        <w:rPr>
          <w:sz w:val="18"/>
          <w:szCs w:val="18"/>
          <w:vertAlign w:val="superscript"/>
          <w:lang w:val="en-GB"/>
        </w:rPr>
        <w:t>1)</w:t>
      </w:r>
      <w:r w:rsidRPr="00A34F10">
        <w:rPr>
          <w:sz w:val="18"/>
          <w:szCs w:val="18"/>
          <w:lang w:val="en-GB"/>
        </w:rPr>
        <w:tab/>
        <w:t>MAFm = (1-e</w:t>
      </w:r>
      <w:r w:rsidRPr="00A34F10">
        <w:rPr>
          <w:sz w:val="18"/>
          <w:szCs w:val="18"/>
          <w:vertAlign w:val="superscript"/>
          <w:lang w:val="en-GB"/>
        </w:rPr>
        <w:t>-nki</w:t>
      </w:r>
      <w:r w:rsidRPr="00A34F10">
        <w:rPr>
          <w:sz w:val="18"/>
          <w:szCs w:val="18"/>
          <w:lang w:val="en-GB"/>
        </w:rPr>
        <w:t>) / (1-e</w:t>
      </w:r>
      <w:r w:rsidRPr="00A34F10">
        <w:rPr>
          <w:sz w:val="18"/>
          <w:szCs w:val="18"/>
          <w:vertAlign w:val="superscript"/>
          <w:lang w:val="en-GB"/>
        </w:rPr>
        <w:t>-ki</w:t>
      </w:r>
      <w:r w:rsidRPr="00A34F10">
        <w:rPr>
          <w:sz w:val="18"/>
          <w:szCs w:val="18"/>
          <w:lang w:val="en-GB"/>
        </w:rPr>
        <w:t>) with k = ln(2)/DT</w:t>
      </w:r>
      <w:r w:rsidRPr="00A34F10">
        <w:rPr>
          <w:sz w:val="18"/>
          <w:szCs w:val="18"/>
          <w:vertAlign w:val="subscript"/>
          <w:lang w:val="en-GB"/>
        </w:rPr>
        <w:t>50</w:t>
      </w:r>
      <w:r w:rsidRPr="00A34F10">
        <w:rPr>
          <w:sz w:val="18"/>
          <w:szCs w:val="18"/>
          <w:lang w:val="en-GB"/>
        </w:rPr>
        <w:t xml:space="preserve"> (rate constant), n = number of applications and i = application interval [d]</w:t>
      </w:r>
    </w:p>
    <w:p w14:paraId="53DC0071"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vertAlign w:val="subscript"/>
          <w:lang w:val="en-GB"/>
        </w:rPr>
      </w:pPr>
      <w:r w:rsidRPr="00A34F10">
        <w:rPr>
          <w:sz w:val="18"/>
          <w:szCs w:val="18"/>
          <w:vertAlign w:val="superscript"/>
          <w:lang w:val="en-GB"/>
        </w:rPr>
        <w:t>2)</w:t>
      </w:r>
      <w:r w:rsidRPr="00A34F10">
        <w:rPr>
          <w:sz w:val="18"/>
          <w:szCs w:val="18"/>
          <w:lang w:val="en-GB"/>
        </w:rPr>
        <w:tab/>
        <w:t>AR</w:t>
      </w:r>
      <w:r w:rsidRPr="00A34F10">
        <w:rPr>
          <w:sz w:val="18"/>
          <w:szCs w:val="18"/>
          <w:vertAlign w:val="subscript"/>
          <w:lang w:val="en-GB"/>
        </w:rPr>
        <w:t>eff</w:t>
      </w:r>
      <w:r w:rsidRPr="00A34F10">
        <w:rPr>
          <w:sz w:val="18"/>
          <w:szCs w:val="18"/>
          <w:lang w:val="en-GB"/>
        </w:rPr>
        <w:t xml:space="preserve"> = Application rate (g/ha) x MAF</w:t>
      </w:r>
      <w:r w:rsidRPr="00A34F10">
        <w:rPr>
          <w:sz w:val="18"/>
          <w:szCs w:val="18"/>
          <w:vertAlign w:val="subscript"/>
          <w:lang w:val="en-GB"/>
        </w:rPr>
        <w:t>mean</w:t>
      </w:r>
    </w:p>
    <w:p w14:paraId="3A09CBAA"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lang w:val="en-GB"/>
        </w:rPr>
      </w:pPr>
      <w:r w:rsidRPr="00A34F10">
        <w:rPr>
          <w:sz w:val="18"/>
          <w:szCs w:val="18"/>
          <w:vertAlign w:val="superscript"/>
          <w:lang w:val="en-GB"/>
        </w:rPr>
        <w:t>3)</w:t>
      </w:r>
      <w:r w:rsidRPr="00A34F10">
        <w:rPr>
          <w:sz w:val="18"/>
          <w:szCs w:val="18"/>
          <w:lang w:val="en-GB"/>
        </w:rPr>
        <w:tab/>
        <w:t>Ratio of AR</w:t>
      </w:r>
      <w:r w:rsidRPr="00A34F10">
        <w:rPr>
          <w:sz w:val="18"/>
          <w:szCs w:val="18"/>
          <w:vertAlign w:val="subscript"/>
          <w:lang w:val="en-GB"/>
        </w:rPr>
        <w:t>eff</w:t>
      </w:r>
      <w:r w:rsidRPr="00A34F10">
        <w:rPr>
          <w:sz w:val="18"/>
          <w:szCs w:val="18"/>
          <w:lang w:val="en-GB"/>
        </w:rPr>
        <w:t xml:space="preserve"> and relevant toxicity endpoint</w:t>
      </w:r>
    </w:p>
    <w:p w14:paraId="24D6FFB8" w14:textId="00C96469" w:rsidR="00DC5685" w:rsidRPr="00A34F10" w:rsidRDefault="00DC5685" w:rsidP="00DC5685">
      <w:pPr>
        <w:keepNext/>
        <w:keepLines/>
        <w:tabs>
          <w:tab w:val="left" w:pos="360"/>
          <w:tab w:val="left" w:pos="720"/>
        </w:tabs>
        <w:suppressAutoHyphens/>
        <w:autoSpaceDE w:val="0"/>
        <w:autoSpaceDN w:val="0"/>
        <w:adjustRightInd w:val="0"/>
        <w:rPr>
          <w:sz w:val="18"/>
          <w:szCs w:val="18"/>
          <w:lang w:val="en-GB"/>
        </w:rPr>
      </w:pPr>
    </w:p>
    <w:p w14:paraId="491DB3E3" w14:textId="77777777" w:rsidR="00A91B2E" w:rsidRPr="00A34F10" w:rsidRDefault="00A91B2E" w:rsidP="00DC5685">
      <w:pPr>
        <w:keepNext/>
        <w:keepLines/>
        <w:tabs>
          <w:tab w:val="left" w:pos="360"/>
          <w:tab w:val="left" w:pos="720"/>
        </w:tabs>
        <w:suppressAutoHyphens/>
        <w:autoSpaceDE w:val="0"/>
        <w:autoSpaceDN w:val="0"/>
        <w:adjustRightInd w:val="0"/>
        <w:rPr>
          <w:sz w:val="18"/>
          <w:szCs w:val="18"/>
          <w:lang w:val="en-GB"/>
        </w:rPr>
      </w:pPr>
    </w:p>
    <w:p w14:paraId="3DD1CD9D" w14:textId="77777777" w:rsidR="00665CF7" w:rsidRDefault="00665CF7">
      <w:pPr>
        <w:rPr>
          <w:b/>
          <w:bCs/>
          <w:color w:val="000000" w:themeColor="text1"/>
          <w:lang w:val="en-GB"/>
        </w:rPr>
      </w:pPr>
      <w:bookmarkStart w:id="241" w:name="_Ref163808077"/>
      <w:bookmarkStart w:id="242" w:name="_Ref163806341"/>
      <w:r>
        <w:br w:type="page"/>
      </w:r>
    </w:p>
    <w:p w14:paraId="671CE9D8" w14:textId="70F338AA" w:rsidR="00DC5685" w:rsidRPr="00A34F10" w:rsidRDefault="00DC5685" w:rsidP="00040983">
      <w:pPr>
        <w:pStyle w:val="Legenda"/>
      </w:pPr>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9.2</w:t>
      </w:r>
      <w:r w:rsidR="007E7467">
        <w:fldChar w:fldCharType="end"/>
      </w:r>
      <w:r w:rsidR="007E7467">
        <w:noBreakHyphen/>
      </w:r>
      <w:r w:rsidR="007E7467" w:rsidRPr="007D2C72">
        <w:rPr>
          <w:highlight w:val="green"/>
        </w:rPr>
        <w:fldChar w:fldCharType="begin"/>
      </w:r>
      <w:r w:rsidR="007E7467" w:rsidRPr="007D2C72">
        <w:rPr>
          <w:highlight w:val="green"/>
        </w:rPr>
        <w:instrText xml:space="preserve"> SEQ Table \* ARABIC \s 2 </w:instrText>
      </w:r>
      <w:r w:rsidR="007E7467" w:rsidRPr="007D2C72">
        <w:rPr>
          <w:highlight w:val="green"/>
        </w:rPr>
        <w:fldChar w:fldCharType="separate"/>
      </w:r>
      <w:r w:rsidR="006F0F3B">
        <w:rPr>
          <w:noProof/>
          <w:highlight w:val="green"/>
        </w:rPr>
        <w:t>19</w:t>
      </w:r>
      <w:r w:rsidR="007E7467" w:rsidRPr="007D2C72">
        <w:rPr>
          <w:highlight w:val="green"/>
        </w:rPr>
        <w:fldChar w:fldCharType="end"/>
      </w:r>
      <w:bookmarkEnd w:id="241"/>
      <w:r w:rsidRPr="00040983">
        <w:rPr>
          <w:highlight w:val="green"/>
        </w:rPr>
        <w:t>:</w:t>
      </w:r>
      <w:r w:rsidRPr="00A34F10">
        <w:tab/>
        <w:t>Assessment of the risk for birds due to exposure to Propamocarb-HCl via contaminated drinking water in puddles</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1"/>
        <w:gridCol w:w="2717"/>
        <w:gridCol w:w="2909"/>
      </w:tblGrid>
      <w:tr w:rsidR="00DC5685" w:rsidRPr="00A34F10" w14:paraId="2274AC3A" w14:textId="77777777" w:rsidTr="000470C3">
        <w:tc>
          <w:tcPr>
            <w:tcW w:w="1990" w:type="pct"/>
            <w:vAlign w:val="center"/>
          </w:tcPr>
          <w:p w14:paraId="5B43DF8E" w14:textId="77777777" w:rsidR="00DC5685" w:rsidRPr="00A34F10" w:rsidRDefault="00DC5685" w:rsidP="000470C3">
            <w:pPr>
              <w:keepNext/>
              <w:keepLines/>
              <w:tabs>
                <w:tab w:val="left" w:pos="720"/>
              </w:tabs>
              <w:suppressAutoHyphens/>
              <w:rPr>
                <w:b/>
                <w:bCs/>
                <w:sz w:val="20"/>
                <w:szCs w:val="20"/>
                <w:lang w:val="en-GB"/>
              </w:rPr>
            </w:pPr>
            <w:r w:rsidRPr="00A34F10">
              <w:rPr>
                <w:b/>
                <w:bCs/>
                <w:sz w:val="20"/>
                <w:szCs w:val="20"/>
                <w:lang w:val="en-GB"/>
              </w:rPr>
              <w:t>Parameter</w:t>
            </w:r>
          </w:p>
        </w:tc>
        <w:tc>
          <w:tcPr>
            <w:tcW w:w="1453" w:type="pct"/>
          </w:tcPr>
          <w:p w14:paraId="55E42D7E" w14:textId="77777777" w:rsidR="00DC5685" w:rsidRPr="00A34F10" w:rsidRDefault="00DC5685" w:rsidP="000470C3">
            <w:pPr>
              <w:keepNext/>
              <w:keepLines/>
              <w:suppressAutoHyphens/>
              <w:jc w:val="center"/>
              <w:rPr>
                <w:b/>
                <w:bCs/>
                <w:sz w:val="20"/>
                <w:szCs w:val="20"/>
                <w:lang w:val="en-GB"/>
              </w:rPr>
            </w:pPr>
            <w:r w:rsidRPr="00A34F10">
              <w:rPr>
                <w:b/>
                <w:bCs/>
                <w:sz w:val="20"/>
                <w:szCs w:val="20"/>
                <w:lang w:val="en-GB"/>
              </w:rPr>
              <w:t>Propamocarb-HCl</w:t>
            </w:r>
          </w:p>
        </w:tc>
        <w:tc>
          <w:tcPr>
            <w:tcW w:w="1556" w:type="pct"/>
            <w:shd w:val="clear" w:color="auto" w:fill="auto"/>
            <w:vAlign w:val="center"/>
          </w:tcPr>
          <w:p w14:paraId="2DB20B9F" w14:textId="77777777" w:rsidR="00DC5685" w:rsidRPr="00A34F10" w:rsidRDefault="00DC5685" w:rsidP="000470C3">
            <w:pPr>
              <w:keepNext/>
              <w:keepLines/>
              <w:tabs>
                <w:tab w:val="left" w:pos="720"/>
              </w:tabs>
              <w:suppressAutoHyphens/>
              <w:jc w:val="center"/>
              <w:rPr>
                <w:b/>
                <w:bCs/>
                <w:sz w:val="20"/>
                <w:szCs w:val="20"/>
                <w:lang w:val="en-GB"/>
              </w:rPr>
            </w:pPr>
            <w:r w:rsidRPr="00A34F10">
              <w:rPr>
                <w:b/>
                <w:bCs/>
                <w:sz w:val="20"/>
                <w:szCs w:val="20"/>
                <w:lang w:val="en-GB"/>
              </w:rPr>
              <w:t>Reference</w:t>
            </w:r>
          </w:p>
        </w:tc>
      </w:tr>
      <w:tr w:rsidR="00DC5685" w:rsidRPr="00A34F10" w14:paraId="6222F994" w14:textId="77777777" w:rsidTr="000470C3">
        <w:tc>
          <w:tcPr>
            <w:tcW w:w="1990" w:type="pct"/>
            <w:vAlign w:val="center"/>
          </w:tcPr>
          <w:p w14:paraId="71000243"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Koc (geometric mean) [L/kg]</w:t>
            </w:r>
          </w:p>
        </w:tc>
        <w:tc>
          <w:tcPr>
            <w:tcW w:w="1453" w:type="pct"/>
            <w:vAlign w:val="center"/>
          </w:tcPr>
          <w:p w14:paraId="2863B256"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535.56</w:t>
            </w:r>
          </w:p>
        </w:tc>
        <w:tc>
          <w:tcPr>
            <w:tcW w:w="1556" w:type="pct"/>
            <w:shd w:val="clear" w:color="auto" w:fill="auto"/>
            <w:vAlign w:val="center"/>
          </w:tcPr>
          <w:p w14:paraId="13BD5999"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Chapter 8.5.1 and 8.5.2</w:t>
            </w:r>
          </w:p>
        </w:tc>
      </w:tr>
      <w:tr w:rsidR="00DC5685" w:rsidRPr="00A34F10" w14:paraId="38C6C44A" w14:textId="77777777" w:rsidTr="000470C3">
        <w:tc>
          <w:tcPr>
            <w:tcW w:w="1990" w:type="pct"/>
            <w:vAlign w:val="center"/>
          </w:tcPr>
          <w:p w14:paraId="72CD890A"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DT</w:t>
            </w:r>
            <w:r w:rsidRPr="00A34F10">
              <w:rPr>
                <w:sz w:val="20"/>
                <w:szCs w:val="20"/>
                <w:vertAlign w:val="subscript"/>
                <w:lang w:val="en-GB"/>
              </w:rPr>
              <w:t>50</w:t>
            </w:r>
            <w:r w:rsidRPr="00A34F10">
              <w:rPr>
                <w:sz w:val="20"/>
                <w:szCs w:val="20"/>
                <w:lang w:val="en-GB"/>
              </w:rPr>
              <w:t xml:space="preserve"> (soil) [days]</w:t>
            </w:r>
          </w:p>
        </w:tc>
        <w:tc>
          <w:tcPr>
            <w:tcW w:w="1453" w:type="pct"/>
            <w:vAlign w:val="center"/>
          </w:tcPr>
          <w:p w14:paraId="520F4283"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10.19</w:t>
            </w:r>
          </w:p>
        </w:tc>
        <w:tc>
          <w:tcPr>
            <w:tcW w:w="1556" w:type="pct"/>
            <w:shd w:val="clear" w:color="auto" w:fill="auto"/>
            <w:vAlign w:val="center"/>
          </w:tcPr>
          <w:p w14:paraId="2E777B6D" w14:textId="77777777" w:rsidR="00DC5685" w:rsidRPr="00A34F10" w:rsidRDefault="00DC5685" w:rsidP="000470C3">
            <w:pPr>
              <w:keepNext/>
              <w:keepLines/>
              <w:suppressAutoHyphens/>
              <w:autoSpaceDE w:val="0"/>
              <w:autoSpaceDN w:val="0"/>
              <w:adjustRightInd w:val="0"/>
              <w:jc w:val="center"/>
              <w:rPr>
                <w:strike/>
                <w:sz w:val="20"/>
                <w:szCs w:val="20"/>
                <w:lang w:val="en-GB"/>
              </w:rPr>
            </w:pPr>
            <w:r w:rsidRPr="00A34F10">
              <w:rPr>
                <w:sz w:val="20"/>
                <w:szCs w:val="20"/>
                <w:lang w:val="en-GB"/>
              </w:rPr>
              <w:t>Chapter 8.3.1.1 and 8.3.1.2</w:t>
            </w:r>
          </w:p>
        </w:tc>
      </w:tr>
      <w:tr w:rsidR="00DC5685" w:rsidRPr="00A34F10" w14:paraId="7AE95C5A" w14:textId="77777777" w:rsidTr="000470C3">
        <w:tc>
          <w:tcPr>
            <w:tcW w:w="1990" w:type="pct"/>
            <w:vAlign w:val="center"/>
          </w:tcPr>
          <w:p w14:paraId="3C650D7F"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Number of applications</w:t>
            </w:r>
          </w:p>
        </w:tc>
        <w:tc>
          <w:tcPr>
            <w:tcW w:w="1453" w:type="pct"/>
          </w:tcPr>
          <w:p w14:paraId="0BC386F9"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w:t>
            </w:r>
          </w:p>
        </w:tc>
        <w:tc>
          <w:tcPr>
            <w:tcW w:w="1556" w:type="pct"/>
            <w:shd w:val="clear" w:color="auto" w:fill="auto"/>
            <w:vAlign w:val="center"/>
          </w:tcPr>
          <w:p w14:paraId="671DBD05"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0B5C4B50" w14:textId="77777777" w:rsidTr="000470C3">
        <w:tc>
          <w:tcPr>
            <w:tcW w:w="1990" w:type="pct"/>
            <w:vAlign w:val="center"/>
          </w:tcPr>
          <w:p w14:paraId="6588EC58"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Interval [days]</w:t>
            </w:r>
          </w:p>
        </w:tc>
        <w:tc>
          <w:tcPr>
            <w:tcW w:w="1453" w:type="pct"/>
          </w:tcPr>
          <w:p w14:paraId="50DFCB5A"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5</w:t>
            </w:r>
          </w:p>
        </w:tc>
        <w:tc>
          <w:tcPr>
            <w:tcW w:w="1556" w:type="pct"/>
            <w:shd w:val="clear" w:color="auto" w:fill="auto"/>
            <w:vAlign w:val="center"/>
          </w:tcPr>
          <w:p w14:paraId="34891E4D"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2EF2F4C3" w14:textId="77777777" w:rsidTr="000470C3">
        <w:tc>
          <w:tcPr>
            <w:tcW w:w="1990" w:type="pct"/>
            <w:vAlign w:val="center"/>
          </w:tcPr>
          <w:p w14:paraId="6EC1FFA5"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MAF</w:t>
            </w:r>
            <w:r w:rsidRPr="00A34F10">
              <w:rPr>
                <w:sz w:val="20"/>
                <w:szCs w:val="20"/>
                <w:vertAlign w:val="subscript"/>
                <w:lang w:val="en-GB"/>
              </w:rPr>
              <w:t>m</w:t>
            </w:r>
            <w:r w:rsidRPr="00A34F10">
              <w:rPr>
                <w:sz w:val="20"/>
                <w:szCs w:val="20"/>
                <w:lang w:val="en-GB"/>
              </w:rPr>
              <w:t> </w:t>
            </w:r>
            <w:r w:rsidRPr="00A34F10">
              <w:rPr>
                <w:sz w:val="20"/>
                <w:szCs w:val="20"/>
                <w:vertAlign w:val="superscript"/>
                <w:lang w:val="en-GB"/>
              </w:rPr>
              <w:t>1)</w:t>
            </w:r>
          </w:p>
        </w:tc>
        <w:tc>
          <w:tcPr>
            <w:tcW w:w="1453" w:type="pct"/>
          </w:tcPr>
          <w:p w14:paraId="23795700"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2.21</w:t>
            </w:r>
          </w:p>
        </w:tc>
        <w:tc>
          <w:tcPr>
            <w:tcW w:w="1556" w:type="pct"/>
            <w:shd w:val="clear" w:color="auto" w:fill="auto"/>
            <w:vAlign w:val="center"/>
          </w:tcPr>
          <w:p w14:paraId="010B70CC" w14:textId="77777777" w:rsidR="00DC5685" w:rsidRPr="00A34F10" w:rsidRDefault="00DC5685" w:rsidP="000470C3">
            <w:pPr>
              <w:keepNext/>
              <w:keepLines/>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w:t>
            </w:r>
          </w:p>
        </w:tc>
      </w:tr>
      <w:tr w:rsidR="00DC5685" w:rsidRPr="00A34F10" w14:paraId="198BF562" w14:textId="77777777" w:rsidTr="000470C3">
        <w:tc>
          <w:tcPr>
            <w:tcW w:w="1990" w:type="pct"/>
            <w:vAlign w:val="center"/>
          </w:tcPr>
          <w:p w14:paraId="39A4AE97"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Max use rate [g/ha]</w:t>
            </w:r>
          </w:p>
        </w:tc>
        <w:tc>
          <w:tcPr>
            <w:tcW w:w="1453" w:type="pct"/>
          </w:tcPr>
          <w:p w14:paraId="7DCA9C59"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902</w:t>
            </w:r>
          </w:p>
        </w:tc>
        <w:tc>
          <w:tcPr>
            <w:tcW w:w="1556" w:type="pct"/>
            <w:shd w:val="clear" w:color="auto" w:fill="auto"/>
            <w:vAlign w:val="center"/>
          </w:tcPr>
          <w:p w14:paraId="60DD0169"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1BF3FE3E" w14:textId="77777777" w:rsidTr="000470C3">
        <w:tc>
          <w:tcPr>
            <w:tcW w:w="1990" w:type="pct"/>
            <w:vAlign w:val="center"/>
          </w:tcPr>
          <w:p w14:paraId="29517B15"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AR</w:t>
            </w:r>
            <w:r w:rsidRPr="00A34F10">
              <w:rPr>
                <w:sz w:val="20"/>
                <w:szCs w:val="20"/>
                <w:vertAlign w:val="subscript"/>
                <w:lang w:val="en-GB"/>
              </w:rPr>
              <w:t>eff</w:t>
            </w:r>
            <w:r w:rsidRPr="00A34F10">
              <w:rPr>
                <w:sz w:val="20"/>
                <w:szCs w:val="20"/>
                <w:lang w:val="en-GB"/>
              </w:rPr>
              <w:t xml:space="preserve"> [g/ha] </w:t>
            </w:r>
            <w:r w:rsidRPr="00A34F10">
              <w:rPr>
                <w:sz w:val="20"/>
                <w:szCs w:val="20"/>
                <w:vertAlign w:val="superscript"/>
                <w:lang w:val="en-GB"/>
              </w:rPr>
              <w:t>2)</w:t>
            </w:r>
          </w:p>
        </w:tc>
        <w:tc>
          <w:tcPr>
            <w:tcW w:w="1453" w:type="pct"/>
          </w:tcPr>
          <w:p w14:paraId="35EB9D3C"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1991</w:t>
            </w:r>
          </w:p>
        </w:tc>
        <w:tc>
          <w:tcPr>
            <w:tcW w:w="1556" w:type="pct"/>
            <w:shd w:val="clear" w:color="auto" w:fill="auto"/>
            <w:vAlign w:val="center"/>
          </w:tcPr>
          <w:p w14:paraId="2AFBE103"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1D4ECE50" w14:textId="77777777" w:rsidTr="000470C3">
        <w:tc>
          <w:tcPr>
            <w:tcW w:w="1990" w:type="pct"/>
            <w:vAlign w:val="center"/>
          </w:tcPr>
          <w:p w14:paraId="7A6D554E"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LD</w:t>
            </w:r>
            <w:r w:rsidRPr="00A34F10">
              <w:rPr>
                <w:sz w:val="20"/>
                <w:szCs w:val="20"/>
                <w:vertAlign w:val="subscript"/>
                <w:lang w:val="en-GB"/>
              </w:rPr>
              <w:t>50</w:t>
            </w:r>
            <w:r w:rsidRPr="00A34F10">
              <w:rPr>
                <w:sz w:val="20"/>
                <w:szCs w:val="20"/>
                <w:lang w:val="en-GB"/>
              </w:rPr>
              <w:t xml:space="preserve"> [mg/kg b.w.]</w:t>
            </w:r>
          </w:p>
        </w:tc>
        <w:tc>
          <w:tcPr>
            <w:tcW w:w="1453" w:type="pct"/>
          </w:tcPr>
          <w:p w14:paraId="4F6E87CC"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3477.7</w:t>
            </w:r>
          </w:p>
        </w:tc>
        <w:tc>
          <w:tcPr>
            <w:tcW w:w="1556" w:type="pct"/>
            <w:shd w:val="clear" w:color="auto" w:fill="auto"/>
            <w:vAlign w:val="center"/>
          </w:tcPr>
          <w:p w14:paraId="5E5C7DB1"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2073CD4C" w14:textId="77777777" w:rsidTr="000470C3">
        <w:tc>
          <w:tcPr>
            <w:tcW w:w="1990" w:type="pct"/>
            <w:vAlign w:val="center"/>
          </w:tcPr>
          <w:p w14:paraId="734D92D3"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Ratio (acute) </w:t>
            </w:r>
            <w:r w:rsidRPr="00A34F10">
              <w:rPr>
                <w:sz w:val="20"/>
                <w:szCs w:val="20"/>
                <w:vertAlign w:val="superscript"/>
                <w:lang w:val="en-GB"/>
              </w:rPr>
              <w:t>3)</w:t>
            </w:r>
          </w:p>
        </w:tc>
        <w:tc>
          <w:tcPr>
            <w:tcW w:w="1453" w:type="pct"/>
          </w:tcPr>
          <w:p w14:paraId="02069899"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0.5725</w:t>
            </w:r>
          </w:p>
        </w:tc>
        <w:tc>
          <w:tcPr>
            <w:tcW w:w="1556" w:type="pct"/>
            <w:shd w:val="clear" w:color="auto" w:fill="auto"/>
            <w:vAlign w:val="center"/>
          </w:tcPr>
          <w:p w14:paraId="5218E771"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362C4854" w14:textId="77777777" w:rsidTr="000470C3">
        <w:tc>
          <w:tcPr>
            <w:tcW w:w="1990" w:type="pct"/>
            <w:vAlign w:val="center"/>
          </w:tcPr>
          <w:p w14:paraId="15978EAA" w14:textId="77777777" w:rsidR="00DC5685" w:rsidRPr="001D51C3" w:rsidRDefault="00DC5685" w:rsidP="000470C3">
            <w:pPr>
              <w:keepNext/>
              <w:keepLines/>
              <w:numPr>
                <w:ilvl w:val="12"/>
                <w:numId w:val="0"/>
              </w:numPr>
              <w:tabs>
                <w:tab w:val="left" w:pos="720"/>
              </w:tabs>
              <w:suppressAutoHyphens/>
              <w:rPr>
                <w:sz w:val="20"/>
                <w:szCs w:val="20"/>
                <w:lang w:val="es-ES"/>
              </w:rPr>
            </w:pPr>
            <w:r w:rsidRPr="001D51C3">
              <w:rPr>
                <w:sz w:val="20"/>
                <w:szCs w:val="20"/>
                <w:lang w:val="es-ES"/>
              </w:rPr>
              <w:t>NO(A)EL [mg/kg b.w./d]</w:t>
            </w:r>
          </w:p>
        </w:tc>
        <w:tc>
          <w:tcPr>
            <w:tcW w:w="1453" w:type="pct"/>
          </w:tcPr>
          <w:p w14:paraId="7248D01E"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105</w:t>
            </w:r>
          </w:p>
        </w:tc>
        <w:tc>
          <w:tcPr>
            <w:tcW w:w="1556" w:type="pct"/>
            <w:shd w:val="clear" w:color="auto" w:fill="auto"/>
            <w:vAlign w:val="center"/>
          </w:tcPr>
          <w:p w14:paraId="6E651039"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7439F29C" w14:textId="77777777" w:rsidTr="000470C3">
        <w:tc>
          <w:tcPr>
            <w:tcW w:w="1990" w:type="pct"/>
            <w:vAlign w:val="center"/>
          </w:tcPr>
          <w:p w14:paraId="5BDF8E76"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Ratio (repro) </w:t>
            </w:r>
            <w:r w:rsidRPr="00A34F10">
              <w:rPr>
                <w:sz w:val="20"/>
                <w:szCs w:val="20"/>
                <w:vertAlign w:val="superscript"/>
                <w:lang w:val="en-GB"/>
              </w:rPr>
              <w:t>3)</w:t>
            </w:r>
          </w:p>
        </w:tc>
        <w:tc>
          <w:tcPr>
            <w:tcW w:w="1453" w:type="pct"/>
          </w:tcPr>
          <w:p w14:paraId="2A693DCE"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18.9601</w:t>
            </w:r>
          </w:p>
        </w:tc>
        <w:tc>
          <w:tcPr>
            <w:tcW w:w="1556" w:type="pct"/>
            <w:shd w:val="clear" w:color="auto" w:fill="auto"/>
            <w:vAlign w:val="center"/>
          </w:tcPr>
          <w:p w14:paraId="2274C1C2"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5DFFE1DB" w14:textId="77777777" w:rsidTr="000470C3">
        <w:tc>
          <w:tcPr>
            <w:tcW w:w="1990" w:type="pct"/>
            <w:vAlign w:val="center"/>
          </w:tcPr>
          <w:p w14:paraId="6E1D4148"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Trigger</w:t>
            </w:r>
          </w:p>
        </w:tc>
        <w:tc>
          <w:tcPr>
            <w:tcW w:w="1453" w:type="pct"/>
          </w:tcPr>
          <w:p w14:paraId="735E55AC"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3000</w:t>
            </w:r>
          </w:p>
        </w:tc>
        <w:tc>
          <w:tcPr>
            <w:tcW w:w="1556" w:type="pct"/>
            <w:shd w:val="clear" w:color="auto" w:fill="auto"/>
            <w:vAlign w:val="center"/>
          </w:tcPr>
          <w:p w14:paraId="0509A4B2"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6D9BA529" w14:textId="77777777" w:rsidTr="000470C3">
        <w:tc>
          <w:tcPr>
            <w:tcW w:w="1990" w:type="pct"/>
            <w:vAlign w:val="center"/>
          </w:tcPr>
          <w:p w14:paraId="3C887A4E"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Drinking water assessment</w:t>
            </w:r>
          </w:p>
          <w:p w14:paraId="5AC8E3D1" w14:textId="77777777" w:rsidR="00DC5685" w:rsidRPr="00A34F10" w:rsidRDefault="00DC5685" w:rsidP="000470C3">
            <w:pPr>
              <w:keepNext/>
              <w:keepLines/>
              <w:numPr>
                <w:ilvl w:val="12"/>
                <w:numId w:val="0"/>
              </w:numPr>
              <w:tabs>
                <w:tab w:val="left" w:pos="720"/>
              </w:tabs>
              <w:suppressAutoHyphens/>
              <w:rPr>
                <w:sz w:val="20"/>
                <w:szCs w:val="20"/>
                <w:lang w:val="en-GB"/>
              </w:rPr>
            </w:pPr>
            <w:r w:rsidRPr="00A34F10">
              <w:rPr>
                <w:sz w:val="20"/>
                <w:szCs w:val="20"/>
                <w:lang w:val="en-GB"/>
              </w:rPr>
              <w:t>required [Yes/No]</w:t>
            </w:r>
          </w:p>
        </w:tc>
        <w:tc>
          <w:tcPr>
            <w:tcW w:w="1453" w:type="pct"/>
            <w:vAlign w:val="center"/>
          </w:tcPr>
          <w:p w14:paraId="67D8AED3" w14:textId="77777777" w:rsidR="00DC5685" w:rsidRPr="00A34F10" w:rsidRDefault="00DC5685" w:rsidP="000470C3">
            <w:pPr>
              <w:keepNext/>
              <w:keepLines/>
              <w:numPr>
                <w:ilvl w:val="12"/>
                <w:numId w:val="0"/>
              </w:numPr>
              <w:suppressAutoHyphens/>
              <w:jc w:val="center"/>
              <w:rPr>
                <w:sz w:val="20"/>
                <w:szCs w:val="20"/>
                <w:lang w:val="en-GB"/>
              </w:rPr>
            </w:pPr>
            <w:r w:rsidRPr="00A34F10">
              <w:rPr>
                <w:sz w:val="20"/>
                <w:szCs w:val="20"/>
                <w:lang w:val="en-GB"/>
              </w:rPr>
              <w:t>No</w:t>
            </w:r>
          </w:p>
        </w:tc>
        <w:tc>
          <w:tcPr>
            <w:tcW w:w="1556" w:type="pct"/>
            <w:shd w:val="clear" w:color="auto" w:fill="auto"/>
            <w:vAlign w:val="center"/>
          </w:tcPr>
          <w:p w14:paraId="7EB7D60D" w14:textId="77777777" w:rsidR="00DC5685" w:rsidRPr="00A34F10" w:rsidRDefault="00DC5685" w:rsidP="000470C3">
            <w:pPr>
              <w:keepNext/>
              <w:keepLines/>
              <w:numPr>
                <w:ilvl w:val="12"/>
                <w:numId w:val="0"/>
              </w:numPr>
              <w:tabs>
                <w:tab w:val="left" w:pos="720"/>
              </w:tabs>
              <w:suppressAutoHyphens/>
              <w:jc w:val="center"/>
              <w:rPr>
                <w:sz w:val="20"/>
                <w:szCs w:val="20"/>
                <w:lang w:val="en-GB"/>
              </w:rPr>
            </w:pPr>
            <w:r w:rsidRPr="00A34F10">
              <w:rPr>
                <w:sz w:val="20"/>
                <w:szCs w:val="20"/>
                <w:lang w:val="en-GB"/>
              </w:rPr>
              <w:t>--</w:t>
            </w:r>
          </w:p>
        </w:tc>
      </w:tr>
    </w:tbl>
    <w:p w14:paraId="071BFA3A" w14:textId="77777777" w:rsidR="00DC5685" w:rsidRPr="00A34F10" w:rsidRDefault="00DC5685" w:rsidP="00DC5685">
      <w:pPr>
        <w:keepNext/>
        <w:keepLines/>
        <w:tabs>
          <w:tab w:val="left" w:pos="360"/>
          <w:tab w:val="left" w:pos="720"/>
        </w:tabs>
        <w:suppressAutoHyphens/>
        <w:autoSpaceDE w:val="0"/>
        <w:autoSpaceDN w:val="0"/>
        <w:adjustRightInd w:val="0"/>
        <w:ind w:left="360" w:hangingChars="200" w:hanging="360"/>
        <w:rPr>
          <w:sz w:val="18"/>
          <w:szCs w:val="18"/>
          <w:lang w:val="en-GB"/>
        </w:rPr>
      </w:pPr>
      <w:r w:rsidRPr="00A34F10">
        <w:rPr>
          <w:sz w:val="18"/>
          <w:szCs w:val="18"/>
          <w:vertAlign w:val="superscript"/>
          <w:lang w:val="en-GB"/>
        </w:rPr>
        <w:t>1)</w:t>
      </w:r>
      <w:r w:rsidRPr="00A34F10">
        <w:rPr>
          <w:sz w:val="18"/>
          <w:szCs w:val="18"/>
          <w:lang w:val="en-GB"/>
        </w:rPr>
        <w:tab/>
        <w:t>MAFm = (1-e</w:t>
      </w:r>
      <w:r w:rsidRPr="00A34F10">
        <w:rPr>
          <w:sz w:val="18"/>
          <w:szCs w:val="18"/>
          <w:vertAlign w:val="superscript"/>
          <w:lang w:val="en-GB"/>
        </w:rPr>
        <w:t>-nki</w:t>
      </w:r>
      <w:r w:rsidRPr="00A34F10">
        <w:rPr>
          <w:sz w:val="18"/>
          <w:szCs w:val="18"/>
          <w:lang w:val="en-GB"/>
        </w:rPr>
        <w:t>) / (1-e</w:t>
      </w:r>
      <w:r w:rsidRPr="00A34F10">
        <w:rPr>
          <w:sz w:val="18"/>
          <w:szCs w:val="18"/>
          <w:vertAlign w:val="superscript"/>
          <w:lang w:val="en-GB"/>
        </w:rPr>
        <w:t>-ki</w:t>
      </w:r>
      <w:r w:rsidRPr="00A34F10">
        <w:rPr>
          <w:sz w:val="18"/>
          <w:szCs w:val="18"/>
          <w:lang w:val="en-GB"/>
        </w:rPr>
        <w:t>) with k = ln(2)/DT</w:t>
      </w:r>
      <w:r w:rsidRPr="00A34F10">
        <w:rPr>
          <w:sz w:val="18"/>
          <w:szCs w:val="18"/>
          <w:vertAlign w:val="subscript"/>
          <w:lang w:val="en-GB"/>
        </w:rPr>
        <w:t>50</w:t>
      </w:r>
      <w:r w:rsidRPr="00A34F10">
        <w:rPr>
          <w:sz w:val="18"/>
          <w:szCs w:val="18"/>
          <w:lang w:val="en-GB"/>
        </w:rPr>
        <w:t xml:space="preserve"> (rate constant), n = number of applications and i = application interval [d]</w:t>
      </w:r>
    </w:p>
    <w:p w14:paraId="575B3EF0"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vertAlign w:val="subscript"/>
          <w:lang w:val="en-GB"/>
        </w:rPr>
      </w:pPr>
      <w:r w:rsidRPr="00A34F10">
        <w:rPr>
          <w:sz w:val="18"/>
          <w:szCs w:val="18"/>
          <w:vertAlign w:val="superscript"/>
          <w:lang w:val="en-GB"/>
        </w:rPr>
        <w:t>2)</w:t>
      </w:r>
      <w:r w:rsidRPr="00A34F10">
        <w:rPr>
          <w:sz w:val="18"/>
          <w:szCs w:val="18"/>
          <w:lang w:val="en-GB"/>
        </w:rPr>
        <w:tab/>
        <w:t>AR</w:t>
      </w:r>
      <w:r w:rsidRPr="00A34F10">
        <w:rPr>
          <w:sz w:val="18"/>
          <w:szCs w:val="18"/>
          <w:vertAlign w:val="subscript"/>
          <w:lang w:val="en-GB"/>
        </w:rPr>
        <w:t>eff</w:t>
      </w:r>
      <w:r w:rsidRPr="00A34F10">
        <w:rPr>
          <w:sz w:val="18"/>
          <w:szCs w:val="18"/>
          <w:lang w:val="en-GB"/>
        </w:rPr>
        <w:t xml:space="preserve"> = Application rate (g/ha) x MAF</w:t>
      </w:r>
      <w:r w:rsidRPr="00A34F10">
        <w:rPr>
          <w:sz w:val="18"/>
          <w:szCs w:val="18"/>
          <w:vertAlign w:val="subscript"/>
          <w:lang w:val="en-GB"/>
        </w:rPr>
        <w:t>mean</w:t>
      </w:r>
    </w:p>
    <w:p w14:paraId="628A5C0C"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lang w:val="en-GB"/>
        </w:rPr>
      </w:pPr>
      <w:r w:rsidRPr="00A34F10">
        <w:rPr>
          <w:sz w:val="18"/>
          <w:szCs w:val="18"/>
          <w:vertAlign w:val="superscript"/>
          <w:lang w:val="en-GB"/>
        </w:rPr>
        <w:t>3)</w:t>
      </w:r>
      <w:r w:rsidRPr="00A34F10">
        <w:rPr>
          <w:sz w:val="18"/>
          <w:szCs w:val="18"/>
          <w:lang w:val="en-GB"/>
        </w:rPr>
        <w:tab/>
        <w:t>Ratio of AR</w:t>
      </w:r>
      <w:r w:rsidRPr="00A34F10">
        <w:rPr>
          <w:sz w:val="18"/>
          <w:szCs w:val="18"/>
          <w:vertAlign w:val="subscript"/>
          <w:lang w:val="en-GB"/>
        </w:rPr>
        <w:t>eff</w:t>
      </w:r>
      <w:r w:rsidRPr="00A34F10">
        <w:rPr>
          <w:sz w:val="18"/>
          <w:szCs w:val="18"/>
          <w:lang w:val="en-GB"/>
        </w:rPr>
        <w:t xml:space="preserve"> and relevant toxicity endpoint</w:t>
      </w:r>
    </w:p>
    <w:p w14:paraId="70FA108C" w14:textId="77777777" w:rsidR="00DC5685" w:rsidRPr="00A34F10" w:rsidRDefault="00DC5685" w:rsidP="00DC5685">
      <w:pPr>
        <w:keepNext/>
        <w:keepLines/>
        <w:tabs>
          <w:tab w:val="left" w:pos="360"/>
          <w:tab w:val="left" w:pos="720"/>
        </w:tabs>
        <w:suppressAutoHyphens/>
        <w:autoSpaceDE w:val="0"/>
        <w:autoSpaceDN w:val="0"/>
        <w:adjustRightInd w:val="0"/>
        <w:rPr>
          <w:lang w:val="en-GB"/>
        </w:rPr>
      </w:pPr>
    </w:p>
    <w:p w14:paraId="4459C30B" w14:textId="77777777" w:rsidR="00DC5685" w:rsidRPr="00A34F10" w:rsidRDefault="00DC5685" w:rsidP="00DC5685">
      <w:pPr>
        <w:widowControl w:val="0"/>
        <w:tabs>
          <w:tab w:val="left" w:pos="720"/>
        </w:tabs>
        <w:suppressAutoHyphens/>
        <w:jc w:val="both"/>
        <w:rPr>
          <w:lang w:val="en-GB"/>
        </w:rPr>
      </w:pPr>
      <w:r w:rsidRPr="00A34F10">
        <w:rPr>
          <w:lang w:val="en-GB"/>
        </w:rPr>
        <w:t>In conclusion, the risk to birds via drinking water from the intended use of BAS 743 03 F according to the proposed use pattern is acceptable.</w:t>
      </w:r>
    </w:p>
    <w:p w14:paraId="04C18A24" w14:textId="77777777" w:rsidR="00DC5685" w:rsidRPr="00A34F10" w:rsidRDefault="00DC5685" w:rsidP="00DC5685">
      <w:pPr>
        <w:pStyle w:val="Nagwek4"/>
        <w:suppressAutoHyphens/>
        <w:rPr>
          <w:noProof w:val="0"/>
          <w:lang w:val="en-GB"/>
        </w:rPr>
      </w:pPr>
      <w:bookmarkStart w:id="243" w:name="_Toc105318971"/>
      <w:bookmarkStart w:id="244" w:name="_Toc140312107"/>
      <w:bookmarkStart w:id="245" w:name="_Toc234290973"/>
      <w:bookmarkStart w:id="246" w:name="_Toc321980196"/>
      <w:bookmarkStart w:id="247" w:name="_Toc412643978"/>
      <w:bookmarkStart w:id="248" w:name="_Toc413916824"/>
      <w:bookmarkStart w:id="249" w:name="_Toc413916966"/>
      <w:bookmarkStart w:id="250" w:name="_Toc413922027"/>
      <w:bookmarkStart w:id="251" w:name="_Toc413922516"/>
      <w:bookmarkStart w:id="252" w:name="_Toc413922620"/>
      <w:bookmarkStart w:id="253" w:name="_Toc414955257"/>
      <w:bookmarkStart w:id="254" w:name="_Toc415214564"/>
      <w:bookmarkStart w:id="255" w:name="_Toc425512585"/>
      <w:bookmarkStart w:id="256" w:name="_Toc181624952"/>
      <w:r w:rsidRPr="00A34F10">
        <w:rPr>
          <w:noProof w:val="0"/>
          <w:lang w:val="en-GB"/>
        </w:rPr>
        <w:t>Effects of secondary poisoning</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0FDD2D38" w14:textId="77777777" w:rsidR="00DC5685" w:rsidRPr="00A34F10" w:rsidRDefault="00DC5685" w:rsidP="00DC5685">
      <w:pPr>
        <w:pStyle w:val="RepNewPart"/>
        <w:suppressAutoHyphens/>
        <w:jc w:val="both"/>
        <w:rPr>
          <w:b w:val="0"/>
        </w:rPr>
      </w:pPr>
      <w:bookmarkStart w:id="257" w:name="_Toc399353255"/>
      <w:bookmarkStart w:id="258" w:name="_Toc412643979"/>
      <w:bookmarkStart w:id="259" w:name="_Toc413916825"/>
      <w:bookmarkStart w:id="260" w:name="_Toc413916967"/>
      <w:bookmarkStart w:id="261" w:name="_Toc413922028"/>
      <w:bookmarkStart w:id="262" w:name="_Toc413922517"/>
      <w:bookmarkStart w:id="263" w:name="_Toc413922621"/>
      <w:bookmarkStart w:id="264" w:name="_Toc414955258"/>
      <w:bookmarkStart w:id="265" w:name="_Toc415214565"/>
      <w:bookmarkStart w:id="266" w:name="_Toc425512586"/>
      <w:r w:rsidRPr="00A34F10">
        <w:rPr>
          <w:b w:val="0"/>
        </w:rPr>
        <w:t>According to the EFSA/2009/1438, substances with a log P</w:t>
      </w:r>
      <w:r w:rsidRPr="00A34F10">
        <w:rPr>
          <w:b w:val="0"/>
          <w:vertAlign w:val="subscript"/>
        </w:rPr>
        <w:t>ow</w:t>
      </w:r>
      <w:r w:rsidRPr="00A34F10">
        <w:rPr>
          <w:b w:val="0"/>
        </w:rPr>
        <w:t xml:space="preserve"> ≥ 3 have potential for bioaccumulation and should be assessed for the risk of biomagnification in aquatic and terrestrial food chains. </w:t>
      </w:r>
    </w:p>
    <w:p w14:paraId="331C8247" w14:textId="2F5741A0" w:rsidR="00DC5685" w:rsidRPr="00A34F10" w:rsidRDefault="00DC5685" w:rsidP="00DC5685">
      <w:pPr>
        <w:pStyle w:val="RepNewPart"/>
        <w:suppressAutoHyphens/>
        <w:jc w:val="both"/>
        <w:rPr>
          <w:b w:val="0"/>
        </w:rPr>
      </w:pPr>
      <w:bookmarkStart w:id="267" w:name="_Hlk129295791"/>
      <w:r w:rsidRPr="00A34F10">
        <w:rPr>
          <w:b w:val="0"/>
        </w:rPr>
        <w:t>The log P</w:t>
      </w:r>
      <w:r w:rsidRPr="00A34F10">
        <w:rPr>
          <w:b w:val="0"/>
          <w:vertAlign w:val="subscript"/>
        </w:rPr>
        <w:t>ow</w:t>
      </w:r>
      <w:r w:rsidRPr="00A34F10">
        <w:rPr>
          <w:b w:val="0"/>
        </w:rPr>
        <w:t xml:space="preserve"> of the active substance Ametoctradin is 4.4 (</w:t>
      </w:r>
      <w:r w:rsidR="00482794">
        <w:rPr>
          <w:b w:val="0"/>
        </w:rPr>
        <w:t>XXXX</w:t>
      </w:r>
      <w:r w:rsidRPr="00A34F10">
        <w:rPr>
          <w:b w:val="0"/>
        </w:rPr>
        <w:t xml:space="preserve"> DocID 2005/1014072), which triggers an assessment of the potential risk from secondary poisoning.</w:t>
      </w:r>
      <w:r w:rsidRPr="00A34F10">
        <w:t xml:space="preserve"> </w:t>
      </w:r>
      <w:r w:rsidRPr="00A34F10">
        <w:rPr>
          <w:b w:val="0"/>
        </w:rPr>
        <w:t>The log P</w:t>
      </w:r>
      <w:r w:rsidRPr="00A34F10">
        <w:rPr>
          <w:b w:val="0"/>
          <w:vertAlign w:val="subscript"/>
        </w:rPr>
        <w:t>ow</w:t>
      </w:r>
      <w:r w:rsidRPr="00A34F10">
        <w:rPr>
          <w:b w:val="0"/>
        </w:rPr>
        <w:t xml:space="preserve"> of the active substance Propamocarb is -1.2 (at pH 7, EFSA Scientific Report 2006, 78, 1-80), which does not trigger an assessment of the potential risk from secondary poisoning.</w:t>
      </w:r>
    </w:p>
    <w:bookmarkEnd w:id="267"/>
    <w:p w14:paraId="67BEBBD3" w14:textId="77777777" w:rsidR="00DC5685" w:rsidRPr="00A34F10" w:rsidRDefault="00DC5685" w:rsidP="00DC5685">
      <w:pPr>
        <w:pStyle w:val="RepNewPart"/>
        <w:suppressAutoHyphens/>
      </w:pPr>
      <w:r w:rsidRPr="00A34F10">
        <w:t>Risk assessment for earthworm-eating birds via secondary poisoning</w:t>
      </w:r>
    </w:p>
    <w:p w14:paraId="1B388C49" w14:textId="77777777" w:rsidR="00DC5685" w:rsidRPr="00A34F10" w:rsidRDefault="00DC5685" w:rsidP="00DC5685">
      <w:pPr>
        <w:pStyle w:val="RepStandard"/>
        <w:suppressAutoHyphens/>
      </w:pPr>
      <w:r w:rsidRPr="00A34F10">
        <w:t>According to EFSA/2009/1438, the risk for vermivorous birds is assessed for a bird of 100 g body weight with a daily food consumption of 104.6 g. Bioaccumulation in earthworms is estimated based on predicted concentrations in soil is based on experimental data.</w:t>
      </w:r>
    </w:p>
    <w:p w14:paraId="636A7EF2" w14:textId="77777777" w:rsidR="00DC5685" w:rsidRPr="00A34F10" w:rsidRDefault="00DC5685" w:rsidP="00DC5685">
      <w:pPr>
        <w:pStyle w:val="RepStandard"/>
        <w:suppressAutoHyphens/>
      </w:pPr>
    </w:p>
    <w:p w14:paraId="0794ED1F" w14:textId="77777777" w:rsidR="00DC5685" w:rsidRPr="00A34F10" w:rsidRDefault="00DC5685" w:rsidP="00DC5685">
      <w:pPr>
        <w:pStyle w:val="RepStandard"/>
        <w:suppressAutoHyphens/>
      </w:pPr>
      <w:r w:rsidRPr="00A34F10">
        <w:t>As shown in the following table, the TER</w:t>
      </w:r>
      <w:r w:rsidRPr="00A34F10">
        <w:rPr>
          <w:vertAlign w:val="subscript"/>
        </w:rPr>
        <w:t>LT</w:t>
      </w:r>
      <w:r w:rsidRPr="00A34F10">
        <w:t xml:space="preserve"> for Ametoctradin exceeds the relevant trigger of 5 for acceptability of effects, indicating an acceptable risk to earthworm-eating birds via secondary poisoning. </w:t>
      </w:r>
    </w:p>
    <w:p w14:paraId="507DB623" w14:textId="77777777" w:rsidR="00A91B2E" w:rsidRPr="00A34F10" w:rsidRDefault="00A91B2E" w:rsidP="00DC5685">
      <w:pPr>
        <w:pStyle w:val="RepStandard"/>
        <w:suppressAutoHyphens/>
      </w:pPr>
    </w:p>
    <w:p w14:paraId="404190BE" w14:textId="00CD2659" w:rsidR="00DC5685" w:rsidRPr="00A34F10" w:rsidRDefault="00DC5685" w:rsidP="00DC5685">
      <w:pPr>
        <w:pStyle w:val="RepLabel"/>
        <w:suppressAutoHyphens/>
        <w:jc w:val="both"/>
      </w:pPr>
      <w:r w:rsidRPr="00A34F10">
        <w:t xml:space="preserve">Table </w:t>
      </w:r>
      <w:fldSimple w:instr=" STYLEREF 2 \s ">
        <w:r w:rsidR="006F0F3B">
          <w:rPr>
            <w:noProof/>
          </w:rPr>
          <w:t>9.2</w:t>
        </w:r>
      </w:fldSimple>
      <w:r w:rsidR="007E7467">
        <w:noBreakHyphen/>
      </w:r>
      <w:r w:rsidR="007E7467" w:rsidRPr="007D2C72">
        <w:rPr>
          <w:highlight w:val="green"/>
        </w:rPr>
        <w:fldChar w:fldCharType="begin"/>
      </w:r>
      <w:r w:rsidR="007E7467" w:rsidRPr="007D2C72">
        <w:rPr>
          <w:highlight w:val="green"/>
        </w:rPr>
        <w:instrText xml:space="preserve"> SEQ Table \* ARABIC \s 2 </w:instrText>
      </w:r>
      <w:r w:rsidR="007E7467" w:rsidRPr="007D2C72">
        <w:rPr>
          <w:highlight w:val="green"/>
        </w:rPr>
        <w:fldChar w:fldCharType="separate"/>
      </w:r>
      <w:r w:rsidR="006F0F3B">
        <w:rPr>
          <w:noProof/>
          <w:highlight w:val="green"/>
        </w:rPr>
        <w:t>20</w:t>
      </w:r>
      <w:r w:rsidR="007E7467" w:rsidRPr="007D2C72">
        <w:rPr>
          <w:highlight w:val="green"/>
        </w:rPr>
        <w:fldChar w:fldCharType="end"/>
      </w:r>
      <w:r w:rsidRPr="00A34F10">
        <w:t>:</w:t>
      </w:r>
      <w:r w:rsidRPr="00A34F10">
        <w:tab/>
        <w:t xml:space="preserve">Assessment of the risk for earthworm-eating birds due to exposure to Ametoctradin via bioaccumulation in earthworms (secondary poisoning) for the worst-case intended use in </w:t>
      </w:r>
      <w:bookmarkStart w:id="268" w:name="_Hlk135010354"/>
      <w:r w:rsidR="00B60C6E" w:rsidRPr="006C550F">
        <w:rPr>
          <w:shd w:val="clear" w:color="auto" w:fill="BDD6EE" w:themeFill="accent5" w:themeFillTint="66"/>
        </w:rPr>
        <w:t xml:space="preserve">onions </w:t>
      </w:r>
      <w:r w:rsidRPr="006C550F">
        <w:rPr>
          <w:strike/>
          <w:color w:val="D9D9D9" w:themeColor="background1" w:themeShade="D9"/>
          <w:shd w:val="clear" w:color="auto" w:fill="BDD6EE" w:themeFill="accent5" w:themeFillTint="66"/>
        </w:rPr>
        <w:t>ornamentals (perennial crops)</w:t>
      </w:r>
      <w:bookmarkEnd w:id="26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gridCol w:w="3118"/>
        <w:gridCol w:w="3399"/>
      </w:tblGrid>
      <w:tr w:rsidR="00DC5685" w:rsidRPr="00A34F10" w14:paraId="216989CF" w14:textId="77777777" w:rsidTr="000470C3">
        <w:trPr>
          <w:cantSplit/>
          <w:trHeight w:val="440"/>
          <w:tblHeader/>
          <w:jc w:val="center"/>
        </w:trPr>
        <w:tc>
          <w:tcPr>
            <w:tcW w:w="1514" w:type="pct"/>
            <w:vAlign w:val="center"/>
          </w:tcPr>
          <w:p w14:paraId="2E5A9FDE" w14:textId="77777777" w:rsidR="00DC5685" w:rsidRPr="00A34F10" w:rsidRDefault="00DC5685" w:rsidP="000470C3">
            <w:pPr>
              <w:widowControl w:val="0"/>
              <w:numPr>
                <w:ilvl w:val="12"/>
                <w:numId w:val="0"/>
              </w:numPr>
              <w:suppressAutoHyphens/>
              <w:jc w:val="center"/>
              <w:rPr>
                <w:b/>
                <w:sz w:val="20"/>
                <w:szCs w:val="20"/>
                <w:lang w:val="en-GB"/>
              </w:rPr>
            </w:pPr>
            <w:r w:rsidRPr="00A34F10">
              <w:rPr>
                <w:b/>
                <w:sz w:val="20"/>
                <w:szCs w:val="20"/>
                <w:lang w:val="en-GB"/>
              </w:rPr>
              <w:t>Parameter</w:t>
            </w:r>
          </w:p>
        </w:tc>
        <w:tc>
          <w:tcPr>
            <w:tcW w:w="1668" w:type="pct"/>
            <w:vAlign w:val="center"/>
          </w:tcPr>
          <w:p w14:paraId="65B3CF21" w14:textId="77777777" w:rsidR="00DC5685" w:rsidRPr="00A34F10" w:rsidRDefault="00DC5685" w:rsidP="000470C3">
            <w:pPr>
              <w:pStyle w:val="TableHeader9pt"/>
              <w:keepLines w:val="0"/>
              <w:widowControl w:val="0"/>
              <w:tabs>
                <w:tab w:val="left" w:pos="-720"/>
              </w:tabs>
              <w:suppressAutoHyphens/>
              <w:spacing w:before="0"/>
              <w:jc w:val="center"/>
              <w:rPr>
                <w:sz w:val="20"/>
                <w:lang w:val="en-GB"/>
              </w:rPr>
            </w:pPr>
            <w:r w:rsidRPr="00A34F10">
              <w:rPr>
                <w:sz w:val="20"/>
                <w:lang w:val="en-GB"/>
              </w:rPr>
              <w:t>Ametoctradin</w:t>
            </w:r>
          </w:p>
        </w:tc>
        <w:tc>
          <w:tcPr>
            <w:tcW w:w="1818" w:type="pct"/>
            <w:vAlign w:val="center"/>
          </w:tcPr>
          <w:p w14:paraId="3E1E09C4" w14:textId="77777777" w:rsidR="00DC5685" w:rsidRPr="00A34F10" w:rsidRDefault="00DC5685" w:rsidP="000470C3">
            <w:pPr>
              <w:widowControl w:val="0"/>
              <w:numPr>
                <w:ilvl w:val="12"/>
                <w:numId w:val="0"/>
              </w:numPr>
              <w:suppressAutoHyphens/>
              <w:ind w:left="-107"/>
              <w:jc w:val="center"/>
              <w:rPr>
                <w:b/>
                <w:bCs/>
                <w:sz w:val="20"/>
                <w:szCs w:val="20"/>
                <w:lang w:val="en-GB"/>
              </w:rPr>
            </w:pPr>
            <w:r w:rsidRPr="00A34F10">
              <w:rPr>
                <w:b/>
                <w:bCs/>
                <w:sz w:val="20"/>
                <w:szCs w:val="20"/>
                <w:lang w:val="en-GB"/>
              </w:rPr>
              <w:t>Reference</w:t>
            </w:r>
          </w:p>
        </w:tc>
      </w:tr>
      <w:tr w:rsidR="00DC5685" w:rsidRPr="00A34F10" w14:paraId="38AEB79D" w14:textId="77777777" w:rsidTr="000470C3">
        <w:trPr>
          <w:cantSplit/>
          <w:trHeight w:val="510"/>
          <w:jc w:val="center"/>
        </w:trPr>
        <w:tc>
          <w:tcPr>
            <w:tcW w:w="1514" w:type="pct"/>
            <w:vAlign w:val="center"/>
          </w:tcPr>
          <w:p w14:paraId="68D8895D" w14:textId="77777777" w:rsidR="00DC5685" w:rsidRPr="00A34F10" w:rsidRDefault="00DC5685" w:rsidP="000470C3">
            <w:pPr>
              <w:widowControl w:val="0"/>
              <w:numPr>
                <w:ilvl w:val="12"/>
                <w:numId w:val="0"/>
              </w:numPr>
              <w:suppressAutoHyphens/>
              <w:ind w:right="-125"/>
              <w:rPr>
                <w:sz w:val="20"/>
                <w:szCs w:val="20"/>
                <w:lang w:val="en-GB"/>
              </w:rPr>
            </w:pPr>
            <w:r w:rsidRPr="00A34F10">
              <w:rPr>
                <w:sz w:val="20"/>
                <w:szCs w:val="20"/>
                <w:lang w:val="en-GB"/>
              </w:rPr>
              <w:t>PEC</w:t>
            </w:r>
            <w:r w:rsidRPr="00A34F10">
              <w:rPr>
                <w:sz w:val="20"/>
                <w:szCs w:val="20"/>
                <w:vertAlign w:val="subscript"/>
                <w:lang w:val="en-GB"/>
              </w:rPr>
              <w:t xml:space="preserve">soil  </w:t>
            </w:r>
            <w:r w:rsidRPr="00A34F10">
              <w:rPr>
                <w:sz w:val="20"/>
                <w:szCs w:val="20"/>
                <w:lang w:val="en-GB"/>
              </w:rPr>
              <w:t>(twa, 21 days)</w:t>
            </w:r>
            <w:r w:rsidRPr="00A34F10">
              <w:rPr>
                <w:sz w:val="20"/>
                <w:szCs w:val="20"/>
                <w:vertAlign w:val="superscript"/>
                <w:lang w:val="en-GB"/>
              </w:rPr>
              <w:br/>
            </w:r>
            <w:r w:rsidRPr="00A34F10">
              <w:rPr>
                <w:sz w:val="20"/>
                <w:szCs w:val="20"/>
                <w:lang w:val="en-GB"/>
              </w:rPr>
              <w:t>[mg/kg soil] </w:t>
            </w:r>
            <w:r w:rsidRPr="00A34F10">
              <w:rPr>
                <w:sz w:val="20"/>
                <w:szCs w:val="20"/>
                <w:vertAlign w:val="superscript"/>
                <w:lang w:val="en-GB"/>
              </w:rPr>
              <w:t>1)</w:t>
            </w:r>
          </w:p>
        </w:tc>
        <w:tc>
          <w:tcPr>
            <w:tcW w:w="1668" w:type="pct"/>
            <w:shd w:val="clear" w:color="auto" w:fill="FFFFFF" w:themeFill="background1"/>
            <w:vAlign w:val="center"/>
          </w:tcPr>
          <w:p w14:paraId="561A9358" w14:textId="727C4EB3" w:rsidR="00DC5685" w:rsidRPr="00A34F10" w:rsidRDefault="00DC5685" w:rsidP="000470C3">
            <w:pPr>
              <w:widowControl w:val="0"/>
              <w:numPr>
                <w:ilvl w:val="12"/>
                <w:numId w:val="0"/>
              </w:numPr>
              <w:suppressAutoHyphens/>
              <w:ind w:left="170"/>
              <w:jc w:val="center"/>
              <w:rPr>
                <w:sz w:val="20"/>
                <w:szCs w:val="20"/>
                <w:lang w:val="en-GB"/>
              </w:rPr>
            </w:pPr>
            <w:r w:rsidRPr="00BC09B0">
              <w:rPr>
                <w:strike/>
                <w:color w:val="D9D9D9" w:themeColor="background1" w:themeShade="D9"/>
                <w:sz w:val="20"/>
                <w:szCs w:val="20"/>
                <w:lang w:val="en-GB"/>
              </w:rPr>
              <w:t>0.135</w:t>
            </w:r>
            <w:r w:rsidR="00B41221" w:rsidRPr="00BC09B0">
              <w:rPr>
                <w:color w:val="D9D9D9" w:themeColor="background1" w:themeShade="D9"/>
                <w:sz w:val="20"/>
                <w:szCs w:val="20"/>
                <w:lang w:val="en-GB"/>
              </w:rPr>
              <w:t xml:space="preserve"> </w:t>
            </w:r>
            <w:r w:rsidR="00B41221" w:rsidRPr="00BC09B0">
              <w:rPr>
                <w:sz w:val="20"/>
                <w:szCs w:val="20"/>
                <w:shd w:val="clear" w:color="auto" w:fill="D9D9D9" w:themeFill="background1" w:themeFillShade="D9"/>
                <w:lang w:val="en-GB"/>
              </w:rPr>
              <w:t>0.145</w:t>
            </w:r>
          </w:p>
        </w:tc>
        <w:tc>
          <w:tcPr>
            <w:tcW w:w="1818" w:type="pct"/>
            <w:vAlign w:val="center"/>
          </w:tcPr>
          <w:p w14:paraId="549379A6" w14:textId="68126F3A" w:rsidR="00DC5685" w:rsidRPr="00A34F10" w:rsidRDefault="00DC5685" w:rsidP="000470C3">
            <w:pPr>
              <w:pStyle w:val="TableText9pt"/>
              <w:keepLines w:val="0"/>
              <w:widowControl w:val="0"/>
              <w:suppressAutoHyphens/>
              <w:spacing w:before="0"/>
              <w:rPr>
                <w:sz w:val="20"/>
                <w:lang w:val="en-GB"/>
              </w:rPr>
            </w:pPr>
            <w:r w:rsidRPr="00A34F10">
              <w:rPr>
                <w:sz w:val="20"/>
                <w:lang w:val="en-GB"/>
              </w:rPr>
              <w:t>Chapter 8.7</w:t>
            </w:r>
            <w:r w:rsidR="005D60C4">
              <w:rPr>
                <w:sz w:val="20"/>
                <w:lang w:val="en-GB"/>
              </w:rPr>
              <w:t xml:space="preserve"> </w:t>
            </w:r>
            <w:r w:rsidR="005D60C4" w:rsidRPr="005D60C4">
              <w:rPr>
                <w:sz w:val="20"/>
                <w:shd w:val="clear" w:color="auto" w:fill="D9D9D9" w:themeFill="background1" w:themeFillShade="D9"/>
                <w:lang w:val="en-GB"/>
              </w:rPr>
              <w:t>(Table 8.7-6)</w:t>
            </w:r>
          </w:p>
        </w:tc>
      </w:tr>
      <w:tr w:rsidR="00DC5685" w:rsidRPr="00A34F10" w14:paraId="0B883F9B" w14:textId="77777777" w:rsidTr="000470C3">
        <w:trPr>
          <w:cantSplit/>
          <w:trHeight w:val="510"/>
          <w:jc w:val="center"/>
        </w:trPr>
        <w:tc>
          <w:tcPr>
            <w:tcW w:w="1514" w:type="pct"/>
            <w:vAlign w:val="center"/>
          </w:tcPr>
          <w:p w14:paraId="21C6C180"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K</w:t>
            </w:r>
            <w:r w:rsidRPr="00A34F10">
              <w:rPr>
                <w:sz w:val="20"/>
                <w:szCs w:val="20"/>
                <w:vertAlign w:val="subscript"/>
                <w:lang w:val="en-GB"/>
              </w:rPr>
              <w:t>ow</w:t>
            </w:r>
          </w:p>
        </w:tc>
        <w:tc>
          <w:tcPr>
            <w:tcW w:w="1668" w:type="pct"/>
            <w:vAlign w:val="center"/>
          </w:tcPr>
          <w:p w14:paraId="60FA1F91"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25119</w:t>
            </w:r>
          </w:p>
        </w:tc>
        <w:tc>
          <w:tcPr>
            <w:tcW w:w="1818" w:type="pct"/>
            <w:vAlign w:val="center"/>
          </w:tcPr>
          <w:p w14:paraId="7699F63B" w14:textId="7047CA26" w:rsidR="00DC5685" w:rsidRPr="00A34F10" w:rsidRDefault="00482794" w:rsidP="000470C3">
            <w:pPr>
              <w:pStyle w:val="TableText9pt"/>
              <w:keepLines w:val="0"/>
              <w:widowControl w:val="0"/>
              <w:suppressAutoHyphens/>
              <w:spacing w:before="0"/>
              <w:rPr>
                <w:sz w:val="20"/>
                <w:lang w:val="en-GB"/>
              </w:rPr>
            </w:pPr>
            <w:r>
              <w:rPr>
                <w:sz w:val="20"/>
                <w:lang w:val="en-GB"/>
              </w:rPr>
              <w:t>XXXXX</w:t>
            </w:r>
            <w:r w:rsidR="00DC5685" w:rsidRPr="00A34F10">
              <w:rPr>
                <w:sz w:val="20"/>
                <w:lang w:val="en-GB"/>
              </w:rPr>
              <w:t xml:space="preserve"> DocID 2005/1014072</w:t>
            </w:r>
          </w:p>
        </w:tc>
      </w:tr>
      <w:tr w:rsidR="00DC5685" w:rsidRPr="00A34F10" w14:paraId="06C6F357" w14:textId="77777777" w:rsidTr="000470C3">
        <w:trPr>
          <w:cantSplit/>
          <w:trHeight w:val="510"/>
          <w:jc w:val="center"/>
        </w:trPr>
        <w:tc>
          <w:tcPr>
            <w:tcW w:w="1514" w:type="pct"/>
            <w:vAlign w:val="center"/>
          </w:tcPr>
          <w:p w14:paraId="04FCCEB1"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lastRenderedPageBreak/>
              <w:t>K</w:t>
            </w:r>
            <w:r w:rsidRPr="00A34F10">
              <w:rPr>
                <w:sz w:val="20"/>
                <w:szCs w:val="20"/>
                <w:vertAlign w:val="subscript"/>
                <w:lang w:val="en-GB"/>
              </w:rPr>
              <w:t xml:space="preserve">oc </w:t>
            </w:r>
            <w:r w:rsidRPr="00A34F10">
              <w:rPr>
                <w:sz w:val="20"/>
                <w:szCs w:val="20"/>
                <w:lang w:val="en-GB"/>
              </w:rPr>
              <w:t>(arithmetic mean)</w:t>
            </w:r>
          </w:p>
        </w:tc>
        <w:tc>
          <w:tcPr>
            <w:tcW w:w="1668" w:type="pct"/>
            <w:vAlign w:val="center"/>
          </w:tcPr>
          <w:p w14:paraId="7192044F"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3779</w:t>
            </w:r>
          </w:p>
        </w:tc>
        <w:tc>
          <w:tcPr>
            <w:tcW w:w="1818" w:type="pct"/>
            <w:vAlign w:val="center"/>
          </w:tcPr>
          <w:p w14:paraId="09BC4AC1" w14:textId="77777777" w:rsidR="00DC5685" w:rsidRPr="00A34F10" w:rsidRDefault="00DC5685" w:rsidP="000470C3">
            <w:pPr>
              <w:widowControl w:val="0"/>
              <w:suppressAutoHyphens/>
              <w:ind w:right="72"/>
              <w:jc w:val="both"/>
              <w:rPr>
                <w:sz w:val="20"/>
                <w:szCs w:val="20"/>
                <w:lang w:val="en-GB"/>
              </w:rPr>
            </w:pPr>
            <w:r w:rsidRPr="00A34F10">
              <w:rPr>
                <w:sz w:val="20"/>
                <w:szCs w:val="20"/>
                <w:lang w:val="en-GB"/>
              </w:rPr>
              <w:t>EFSA Journal 2012, 10(11): 2921;</w:t>
            </w:r>
          </w:p>
          <w:p w14:paraId="178C91ED" w14:textId="12F17FB6" w:rsidR="00DC5685" w:rsidRPr="00A34F10" w:rsidRDefault="00482794" w:rsidP="000470C3">
            <w:pPr>
              <w:widowControl w:val="0"/>
              <w:suppressAutoHyphens/>
              <w:ind w:right="72"/>
              <w:jc w:val="both"/>
              <w:rPr>
                <w:sz w:val="20"/>
                <w:szCs w:val="20"/>
                <w:lang w:val="en-GB"/>
              </w:rPr>
            </w:pPr>
            <w:r>
              <w:rPr>
                <w:sz w:val="20"/>
                <w:szCs w:val="20"/>
                <w:lang w:val="en-GB"/>
              </w:rPr>
              <w:t>XXXXX</w:t>
            </w:r>
            <w:r w:rsidR="00DC5685" w:rsidRPr="00A34F10">
              <w:rPr>
                <w:sz w:val="20"/>
                <w:szCs w:val="20"/>
                <w:lang w:val="en-GB"/>
              </w:rPr>
              <w:t xml:space="preserve"> DocID 2008/1017000 and 2008/1046556</w:t>
            </w:r>
          </w:p>
        </w:tc>
      </w:tr>
      <w:tr w:rsidR="00DC5685" w:rsidRPr="00A34F10" w14:paraId="6C51CB66" w14:textId="77777777" w:rsidTr="000470C3">
        <w:trPr>
          <w:cantSplit/>
          <w:trHeight w:val="397"/>
          <w:jc w:val="center"/>
        </w:trPr>
        <w:tc>
          <w:tcPr>
            <w:tcW w:w="1514" w:type="pct"/>
            <w:vAlign w:val="center"/>
          </w:tcPr>
          <w:p w14:paraId="1971F39A"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f</w:t>
            </w:r>
            <w:r w:rsidRPr="00A34F10">
              <w:rPr>
                <w:sz w:val="20"/>
                <w:szCs w:val="20"/>
                <w:vertAlign w:val="subscript"/>
                <w:lang w:val="en-GB"/>
              </w:rPr>
              <w:t>oc</w:t>
            </w:r>
            <w:r w:rsidRPr="00A34F10">
              <w:rPr>
                <w:sz w:val="20"/>
                <w:szCs w:val="20"/>
                <w:lang w:val="en-GB"/>
              </w:rPr>
              <w:t xml:space="preserve"> (default)</w:t>
            </w:r>
          </w:p>
        </w:tc>
        <w:tc>
          <w:tcPr>
            <w:tcW w:w="1668" w:type="pct"/>
            <w:vAlign w:val="center"/>
          </w:tcPr>
          <w:p w14:paraId="439B07C1"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0.02</w:t>
            </w:r>
          </w:p>
        </w:tc>
        <w:tc>
          <w:tcPr>
            <w:tcW w:w="1818" w:type="pct"/>
            <w:vAlign w:val="center"/>
          </w:tcPr>
          <w:p w14:paraId="2D85426B"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EFSA/2009/1438</w:t>
            </w:r>
          </w:p>
        </w:tc>
      </w:tr>
      <w:tr w:rsidR="00DC5685" w:rsidRPr="00A34F10" w14:paraId="73DACCEF" w14:textId="77777777" w:rsidTr="000470C3">
        <w:trPr>
          <w:cantSplit/>
          <w:trHeight w:val="397"/>
          <w:jc w:val="center"/>
        </w:trPr>
        <w:tc>
          <w:tcPr>
            <w:tcW w:w="1514" w:type="pct"/>
            <w:vAlign w:val="center"/>
          </w:tcPr>
          <w:p w14:paraId="18F501AB"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BCF</w:t>
            </w:r>
            <w:r w:rsidRPr="00A34F10">
              <w:rPr>
                <w:sz w:val="20"/>
                <w:szCs w:val="20"/>
                <w:vertAlign w:val="subscript"/>
                <w:lang w:val="en-GB"/>
              </w:rPr>
              <w:t>earthworm</w:t>
            </w:r>
          </w:p>
        </w:tc>
        <w:tc>
          <w:tcPr>
            <w:tcW w:w="1668" w:type="pct"/>
            <w:vAlign w:val="center"/>
          </w:tcPr>
          <w:p w14:paraId="0A4DA91C"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4.013</w:t>
            </w:r>
          </w:p>
        </w:tc>
        <w:tc>
          <w:tcPr>
            <w:tcW w:w="1818" w:type="pct"/>
            <w:vAlign w:val="center"/>
          </w:tcPr>
          <w:p w14:paraId="605D3C2F" w14:textId="77777777" w:rsidR="00DC5685" w:rsidRPr="00A34F10" w:rsidRDefault="00DC5685" w:rsidP="000470C3">
            <w:pPr>
              <w:pStyle w:val="TableText9pt"/>
              <w:keepNext/>
              <w:suppressAutoHyphens/>
              <w:spacing w:before="0"/>
              <w:rPr>
                <w:sz w:val="20"/>
                <w:lang w:val="en-GB"/>
              </w:rPr>
            </w:pPr>
            <w:r w:rsidRPr="00A34F10">
              <w:rPr>
                <w:sz w:val="20"/>
                <w:lang w:val="en-GB"/>
              </w:rPr>
              <w:t xml:space="preserve">-- </w:t>
            </w:r>
          </w:p>
        </w:tc>
      </w:tr>
      <w:tr w:rsidR="00DC5685" w:rsidRPr="00A34F10" w14:paraId="644787E4" w14:textId="77777777" w:rsidTr="000470C3">
        <w:trPr>
          <w:cantSplit/>
          <w:trHeight w:val="397"/>
          <w:jc w:val="center"/>
        </w:trPr>
        <w:tc>
          <w:tcPr>
            <w:tcW w:w="1514" w:type="pct"/>
            <w:vAlign w:val="center"/>
          </w:tcPr>
          <w:p w14:paraId="2BF4E250"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PEC</w:t>
            </w:r>
            <w:r w:rsidRPr="00A34F10">
              <w:rPr>
                <w:sz w:val="20"/>
                <w:szCs w:val="20"/>
                <w:vertAlign w:val="subscript"/>
                <w:lang w:val="en-GB"/>
              </w:rPr>
              <w:t>worm</w:t>
            </w:r>
            <w:r w:rsidRPr="00A34F10">
              <w:rPr>
                <w:sz w:val="20"/>
                <w:szCs w:val="20"/>
                <w:lang w:val="en-GB"/>
              </w:rPr>
              <w:t xml:space="preserve"> [mg/kg]</w:t>
            </w:r>
          </w:p>
        </w:tc>
        <w:tc>
          <w:tcPr>
            <w:tcW w:w="1668" w:type="pct"/>
            <w:vAlign w:val="center"/>
          </w:tcPr>
          <w:p w14:paraId="6C9AE9B5" w14:textId="30A29C73" w:rsidR="00DC5685" w:rsidRPr="00A34F10" w:rsidRDefault="00DC5685" w:rsidP="000470C3">
            <w:pPr>
              <w:widowControl w:val="0"/>
              <w:numPr>
                <w:ilvl w:val="12"/>
                <w:numId w:val="0"/>
              </w:numPr>
              <w:suppressAutoHyphens/>
              <w:ind w:left="-29"/>
              <w:jc w:val="center"/>
              <w:rPr>
                <w:sz w:val="20"/>
                <w:szCs w:val="20"/>
                <w:lang w:val="en-GB"/>
              </w:rPr>
            </w:pPr>
            <w:r w:rsidRPr="005C7058">
              <w:rPr>
                <w:strike/>
                <w:color w:val="D9D9D9" w:themeColor="background1" w:themeShade="D9"/>
                <w:sz w:val="20"/>
                <w:szCs w:val="20"/>
                <w:lang w:val="en-GB"/>
              </w:rPr>
              <w:t>0.542</w:t>
            </w:r>
            <w:r w:rsidR="005C7058" w:rsidRPr="005C7058">
              <w:rPr>
                <w:color w:val="D9D9D9" w:themeColor="background1" w:themeShade="D9"/>
                <w:sz w:val="20"/>
                <w:szCs w:val="20"/>
                <w:lang w:val="en-GB"/>
              </w:rPr>
              <w:t xml:space="preserve"> </w:t>
            </w:r>
            <w:r w:rsidR="005C7058" w:rsidRPr="005C7058">
              <w:rPr>
                <w:sz w:val="20"/>
                <w:szCs w:val="20"/>
                <w:shd w:val="clear" w:color="auto" w:fill="D9D9D9" w:themeFill="background1" w:themeFillShade="D9"/>
                <w:lang w:val="en-GB"/>
              </w:rPr>
              <w:t>0.582</w:t>
            </w:r>
          </w:p>
        </w:tc>
        <w:tc>
          <w:tcPr>
            <w:tcW w:w="1818" w:type="pct"/>
            <w:vAlign w:val="center"/>
          </w:tcPr>
          <w:p w14:paraId="0E04AC02" w14:textId="77777777" w:rsidR="00DC5685" w:rsidRPr="00A34F10" w:rsidRDefault="00DC5685" w:rsidP="000470C3">
            <w:pPr>
              <w:pStyle w:val="TableText9pt"/>
              <w:keepNext/>
              <w:suppressAutoHyphens/>
              <w:spacing w:before="0"/>
              <w:rPr>
                <w:sz w:val="20"/>
                <w:lang w:val="en-GB"/>
              </w:rPr>
            </w:pPr>
            <w:r w:rsidRPr="00A34F10">
              <w:rPr>
                <w:sz w:val="20"/>
                <w:lang w:val="en-GB"/>
              </w:rPr>
              <w:t>PEC</w:t>
            </w:r>
            <w:r w:rsidRPr="00A34F10">
              <w:rPr>
                <w:sz w:val="20"/>
                <w:vertAlign w:val="subscript"/>
                <w:lang w:val="en-GB"/>
              </w:rPr>
              <w:t>worm</w:t>
            </w:r>
            <w:r w:rsidRPr="00A34F10">
              <w:rPr>
                <w:sz w:val="20"/>
                <w:lang w:val="en-GB"/>
              </w:rPr>
              <w:t xml:space="preserve"> = PEC</w:t>
            </w:r>
            <w:r w:rsidRPr="00A34F10">
              <w:rPr>
                <w:sz w:val="20"/>
                <w:vertAlign w:val="subscript"/>
                <w:lang w:val="en-GB"/>
              </w:rPr>
              <w:t>soil</w:t>
            </w:r>
            <w:r w:rsidRPr="00A34F10">
              <w:rPr>
                <w:sz w:val="20"/>
                <w:lang w:val="en-GB"/>
              </w:rPr>
              <w:t xml:space="preserve"> x BCF</w:t>
            </w:r>
            <w:r w:rsidRPr="00A34F10">
              <w:rPr>
                <w:sz w:val="20"/>
                <w:vertAlign w:val="subscript"/>
                <w:lang w:val="en-GB"/>
              </w:rPr>
              <w:t>earthworm</w:t>
            </w:r>
          </w:p>
        </w:tc>
      </w:tr>
      <w:tr w:rsidR="00DC5685" w:rsidRPr="00A34F10" w14:paraId="4C2CDEB7" w14:textId="77777777" w:rsidTr="000470C3">
        <w:trPr>
          <w:cantSplit/>
          <w:trHeight w:val="397"/>
          <w:jc w:val="center"/>
        </w:trPr>
        <w:tc>
          <w:tcPr>
            <w:tcW w:w="1514" w:type="pct"/>
            <w:vAlign w:val="center"/>
          </w:tcPr>
          <w:p w14:paraId="27351464" w14:textId="77777777" w:rsidR="00DC5685" w:rsidRPr="00A34F10" w:rsidRDefault="00DC5685" w:rsidP="000470C3">
            <w:pPr>
              <w:widowControl w:val="0"/>
              <w:numPr>
                <w:ilvl w:val="12"/>
                <w:numId w:val="0"/>
              </w:numPr>
              <w:suppressAutoHyphens/>
              <w:ind w:right="-70"/>
              <w:rPr>
                <w:sz w:val="20"/>
                <w:szCs w:val="20"/>
                <w:lang w:val="en-GB"/>
              </w:rPr>
            </w:pPr>
            <w:r w:rsidRPr="00A34F10">
              <w:rPr>
                <w:sz w:val="20"/>
                <w:szCs w:val="20"/>
                <w:lang w:val="en-GB"/>
              </w:rPr>
              <w:t>Daily dose [mg/kg b.w./d]</w:t>
            </w:r>
          </w:p>
        </w:tc>
        <w:tc>
          <w:tcPr>
            <w:tcW w:w="1668" w:type="pct"/>
            <w:shd w:val="clear" w:color="auto" w:fill="FFFFFF" w:themeFill="background1"/>
            <w:vAlign w:val="center"/>
          </w:tcPr>
          <w:p w14:paraId="3A5BFCA5" w14:textId="7C502F35" w:rsidR="00DC5685" w:rsidRPr="00A34F10" w:rsidRDefault="00DC5685" w:rsidP="000470C3">
            <w:pPr>
              <w:widowControl w:val="0"/>
              <w:numPr>
                <w:ilvl w:val="12"/>
                <w:numId w:val="0"/>
              </w:numPr>
              <w:suppressAutoHyphens/>
              <w:ind w:left="-29"/>
              <w:jc w:val="center"/>
              <w:rPr>
                <w:sz w:val="20"/>
                <w:szCs w:val="20"/>
                <w:lang w:val="en-GB"/>
              </w:rPr>
            </w:pPr>
            <w:r w:rsidRPr="00CC3F6C">
              <w:rPr>
                <w:strike/>
                <w:color w:val="D9D9D9" w:themeColor="background1" w:themeShade="D9"/>
                <w:sz w:val="20"/>
                <w:szCs w:val="20"/>
                <w:lang w:val="en-GB"/>
              </w:rPr>
              <w:t>0.569</w:t>
            </w:r>
            <w:r w:rsidR="00CC3F6C" w:rsidRPr="00CC3F6C">
              <w:rPr>
                <w:color w:val="D9D9D9" w:themeColor="background1" w:themeShade="D9"/>
                <w:sz w:val="20"/>
                <w:szCs w:val="20"/>
                <w:lang w:val="en-GB"/>
              </w:rPr>
              <w:t xml:space="preserve"> </w:t>
            </w:r>
            <w:r w:rsidR="00CC3F6C" w:rsidRPr="00CC3F6C">
              <w:rPr>
                <w:sz w:val="20"/>
                <w:szCs w:val="20"/>
                <w:shd w:val="clear" w:color="auto" w:fill="D9D9D9" w:themeFill="background1" w:themeFillShade="D9"/>
                <w:lang w:val="en-GB"/>
              </w:rPr>
              <w:t>0.611</w:t>
            </w:r>
          </w:p>
        </w:tc>
        <w:tc>
          <w:tcPr>
            <w:tcW w:w="1818" w:type="pct"/>
            <w:vAlign w:val="center"/>
          </w:tcPr>
          <w:p w14:paraId="75F8283F"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Daily dose = PEC</w:t>
            </w:r>
            <w:r w:rsidRPr="00A34F10">
              <w:rPr>
                <w:sz w:val="20"/>
                <w:vertAlign w:val="subscript"/>
                <w:lang w:val="en-GB"/>
              </w:rPr>
              <w:t xml:space="preserve">worm </w:t>
            </w:r>
            <w:r w:rsidRPr="00A34F10">
              <w:rPr>
                <w:sz w:val="20"/>
                <w:lang w:val="en-GB"/>
              </w:rPr>
              <w:t>x 1.05</w:t>
            </w:r>
          </w:p>
        </w:tc>
      </w:tr>
      <w:tr w:rsidR="00DC5685" w:rsidRPr="00A34F10" w14:paraId="25CDD989" w14:textId="77777777" w:rsidTr="000470C3">
        <w:trPr>
          <w:cantSplit/>
          <w:trHeight w:val="716"/>
          <w:jc w:val="center"/>
        </w:trPr>
        <w:tc>
          <w:tcPr>
            <w:tcW w:w="1514" w:type="pct"/>
            <w:vAlign w:val="center"/>
          </w:tcPr>
          <w:p w14:paraId="7068E69F" w14:textId="77777777" w:rsidR="00DC5685" w:rsidRPr="001D51C3" w:rsidRDefault="00DC5685" w:rsidP="000470C3">
            <w:pPr>
              <w:widowControl w:val="0"/>
              <w:numPr>
                <w:ilvl w:val="12"/>
                <w:numId w:val="0"/>
              </w:numPr>
              <w:suppressAutoHyphens/>
              <w:rPr>
                <w:sz w:val="20"/>
                <w:szCs w:val="20"/>
                <w:lang w:val="es-ES"/>
              </w:rPr>
            </w:pPr>
            <w:r w:rsidRPr="001D51C3">
              <w:rPr>
                <w:sz w:val="20"/>
                <w:szCs w:val="20"/>
                <w:lang w:val="es-ES"/>
              </w:rPr>
              <w:t>NO(A)EL [mg/kg b.w./d]</w:t>
            </w:r>
          </w:p>
        </w:tc>
        <w:tc>
          <w:tcPr>
            <w:tcW w:w="1668" w:type="pct"/>
            <w:vAlign w:val="center"/>
          </w:tcPr>
          <w:p w14:paraId="0364614B"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115.2</w:t>
            </w:r>
          </w:p>
        </w:tc>
        <w:tc>
          <w:tcPr>
            <w:tcW w:w="1818" w:type="pct"/>
            <w:vAlign w:val="center"/>
          </w:tcPr>
          <w:p w14:paraId="3CF533B7" w14:textId="77777777" w:rsidR="00DC5685" w:rsidRPr="00A34F10" w:rsidRDefault="00DC5685" w:rsidP="000470C3">
            <w:pPr>
              <w:pStyle w:val="Stopka"/>
              <w:widowControl w:val="0"/>
              <w:suppressAutoHyphens/>
              <w:rPr>
                <w:sz w:val="20"/>
                <w:szCs w:val="20"/>
                <w:lang w:val="en-GB"/>
              </w:rPr>
            </w:pPr>
            <w:r w:rsidRPr="00A34F10">
              <w:rPr>
                <w:sz w:val="20"/>
                <w:szCs w:val="20"/>
                <w:lang w:val="en-GB"/>
              </w:rPr>
              <w:t>See above</w:t>
            </w:r>
          </w:p>
        </w:tc>
      </w:tr>
      <w:tr w:rsidR="00DC5685" w:rsidRPr="00A34F10" w14:paraId="069E0DDE" w14:textId="77777777" w:rsidTr="000470C3">
        <w:trPr>
          <w:cantSplit/>
          <w:trHeight w:val="397"/>
          <w:jc w:val="center"/>
        </w:trPr>
        <w:tc>
          <w:tcPr>
            <w:tcW w:w="1514" w:type="pct"/>
            <w:vAlign w:val="center"/>
          </w:tcPr>
          <w:p w14:paraId="651F1F61" w14:textId="77777777" w:rsidR="00DC5685" w:rsidRPr="00A34F10" w:rsidRDefault="00DC5685" w:rsidP="000470C3">
            <w:pPr>
              <w:widowControl w:val="0"/>
              <w:numPr>
                <w:ilvl w:val="12"/>
                <w:numId w:val="0"/>
              </w:numPr>
              <w:suppressAutoHyphens/>
              <w:rPr>
                <w:sz w:val="20"/>
                <w:szCs w:val="20"/>
                <w:vertAlign w:val="superscript"/>
                <w:lang w:val="en-GB"/>
              </w:rPr>
            </w:pPr>
            <w:r w:rsidRPr="00A34F10">
              <w:rPr>
                <w:sz w:val="20"/>
                <w:szCs w:val="20"/>
                <w:lang w:val="en-GB"/>
              </w:rPr>
              <w:t>TER</w:t>
            </w:r>
            <w:r w:rsidRPr="00A34F10">
              <w:rPr>
                <w:caps/>
                <w:sz w:val="20"/>
                <w:szCs w:val="20"/>
                <w:vertAlign w:val="subscript"/>
                <w:lang w:val="en-GB"/>
              </w:rPr>
              <w:t>lt</w:t>
            </w:r>
          </w:p>
        </w:tc>
        <w:tc>
          <w:tcPr>
            <w:tcW w:w="1668" w:type="pct"/>
            <w:vAlign w:val="center"/>
          </w:tcPr>
          <w:p w14:paraId="7603B86F" w14:textId="73DD3900" w:rsidR="00DC5685" w:rsidRPr="00A34F10" w:rsidRDefault="00DC5685" w:rsidP="000470C3">
            <w:pPr>
              <w:widowControl w:val="0"/>
              <w:numPr>
                <w:ilvl w:val="12"/>
                <w:numId w:val="0"/>
              </w:numPr>
              <w:suppressAutoHyphens/>
              <w:ind w:left="-29"/>
              <w:jc w:val="center"/>
              <w:rPr>
                <w:sz w:val="20"/>
                <w:szCs w:val="20"/>
                <w:lang w:val="en-GB"/>
              </w:rPr>
            </w:pPr>
            <w:r w:rsidRPr="00FA7C9A">
              <w:rPr>
                <w:strike/>
                <w:color w:val="D9D9D9" w:themeColor="background1" w:themeShade="D9"/>
                <w:sz w:val="20"/>
                <w:szCs w:val="20"/>
                <w:lang w:val="en-GB"/>
              </w:rPr>
              <w:t>202.5</w:t>
            </w:r>
            <w:r w:rsidR="00FA7C9A" w:rsidRPr="00FA7C9A">
              <w:rPr>
                <w:color w:val="D9D9D9" w:themeColor="background1" w:themeShade="D9"/>
                <w:sz w:val="20"/>
                <w:szCs w:val="20"/>
                <w:lang w:val="en-GB"/>
              </w:rPr>
              <w:t xml:space="preserve"> </w:t>
            </w:r>
            <w:r w:rsidR="00FA7C9A" w:rsidRPr="00FA7C9A">
              <w:rPr>
                <w:sz w:val="20"/>
                <w:szCs w:val="20"/>
                <w:shd w:val="clear" w:color="auto" w:fill="D9D9D9" w:themeFill="background1" w:themeFillShade="D9"/>
                <w:lang w:val="en-GB"/>
              </w:rPr>
              <w:t>188.5</w:t>
            </w:r>
          </w:p>
        </w:tc>
        <w:tc>
          <w:tcPr>
            <w:tcW w:w="1818" w:type="pct"/>
            <w:vAlign w:val="center"/>
          </w:tcPr>
          <w:p w14:paraId="07C75F42" w14:textId="77777777" w:rsidR="00DC5685" w:rsidRPr="00A34F10" w:rsidRDefault="00DC5685" w:rsidP="000470C3">
            <w:pPr>
              <w:widowControl w:val="0"/>
              <w:numPr>
                <w:ilvl w:val="12"/>
                <w:numId w:val="0"/>
              </w:numPr>
              <w:suppressAutoHyphens/>
              <w:ind w:left="170"/>
              <w:rPr>
                <w:sz w:val="20"/>
                <w:szCs w:val="20"/>
                <w:lang w:val="en-GB"/>
              </w:rPr>
            </w:pPr>
            <w:r w:rsidRPr="00A34F10">
              <w:rPr>
                <w:sz w:val="20"/>
                <w:szCs w:val="20"/>
                <w:lang w:val="en-GB"/>
              </w:rPr>
              <w:t>--</w:t>
            </w:r>
          </w:p>
        </w:tc>
      </w:tr>
    </w:tbl>
    <w:p w14:paraId="7886BB89" w14:textId="7364B336" w:rsidR="00DC5685" w:rsidRPr="00A34F10" w:rsidRDefault="00DC5685" w:rsidP="00DC5685">
      <w:pPr>
        <w:pStyle w:val="RepNewPart"/>
        <w:keepNext w:val="0"/>
        <w:keepLines w:val="0"/>
        <w:suppressAutoHyphens/>
        <w:spacing w:before="0" w:after="0"/>
        <w:ind w:left="284" w:hanging="284"/>
        <w:rPr>
          <w:b w:val="0"/>
          <w:sz w:val="18"/>
          <w:szCs w:val="18"/>
        </w:rPr>
      </w:pPr>
      <w:r w:rsidRPr="00A34F10">
        <w:rPr>
          <w:b w:val="0"/>
          <w:sz w:val="18"/>
          <w:szCs w:val="18"/>
          <w:vertAlign w:val="superscript"/>
        </w:rPr>
        <w:t>1)</w:t>
      </w:r>
      <w:r w:rsidRPr="00A34F10">
        <w:rPr>
          <w:b w:val="0"/>
          <w:sz w:val="18"/>
          <w:szCs w:val="18"/>
        </w:rPr>
        <w:tab/>
        <w:t>Highest PEC</w:t>
      </w:r>
      <w:r w:rsidRPr="00A34F10">
        <w:rPr>
          <w:b w:val="0"/>
          <w:sz w:val="18"/>
          <w:szCs w:val="18"/>
          <w:vertAlign w:val="subscript"/>
        </w:rPr>
        <w:t>soil</w:t>
      </w:r>
      <w:r w:rsidRPr="00A34F10">
        <w:rPr>
          <w:b w:val="0"/>
          <w:sz w:val="18"/>
          <w:szCs w:val="18"/>
        </w:rPr>
        <w:t xml:space="preserve"> (21-d, twa) as worst-case, selected from 2 application in</w:t>
      </w:r>
      <w:r w:rsidR="00FF03B6">
        <w:rPr>
          <w:b w:val="0"/>
          <w:sz w:val="18"/>
          <w:szCs w:val="18"/>
        </w:rPr>
        <w:t xml:space="preserve"> </w:t>
      </w:r>
      <w:r w:rsidR="00BC09B0" w:rsidRPr="00BC09B0">
        <w:rPr>
          <w:b w:val="0"/>
          <w:sz w:val="18"/>
          <w:szCs w:val="18"/>
          <w:shd w:val="clear" w:color="auto" w:fill="D9D9D9" w:themeFill="background1" w:themeFillShade="D9"/>
        </w:rPr>
        <w:t>onion</w:t>
      </w:r>
      <w:r w:rsidRPr="00A34F10">
        <w:rPr>
          <w:b w:val="0"/>
          <w:sz w:val="18"/>
          <w:szCs w:val="18"/>
        </w:rPr>
        <w:t xml:space="preserve"> </w:t>
      </w:r>
      <w:r w:rsidRPr="00BC09B0">
        <w:rPr>
          <w:b w:val="0"/>
          <w:strike/>
          <w:color w:val="D9D9D9" w:themeColor="background1" w:themeShade="D9"/>
          <w:sz w:val="18"/>
          <w:szCs w:val="18"/>
        </w:rPr>
        <w:t>ornamentals (perennial crops)</w:t>
      </w:r>
      <w:r w:rsidRPr="00BC09B0">
        <w:rPr>
          <w:b w:val="0"/>
          <w:color w:val="D9D9D9" w:themeColor="background1" w:themeShade="D9"/>
          <w:sz w:val="18"/>
          <w:szCs w:val="18"/>
        </w:rPr>
        <w:t xml:space="preserve"> </w:t>
      </w:r>
      <w:r w:rsidRPr="00A34F10">
        <w:rPr>
          <w:b w:val="0"/>
          <w:sz w:val="18"/>
          <w:szCs w:val="18"/>
        </w:rPr>
        <w:t>as a risk envelope.</w:t>
      </w:r>
    </w:p>
    <w:p w14:paraId="402DE73C" w14:textId="77777777" w:rsidR="00665CF7" w:rsidRDefault="00665CF7" w:rsidP="00DC5685">
      <w:pPr>
        <w:pStyle w:val="RepNewPart"/>
        <w:widowControl/>
        <w:suppressAutoHyphens/>
        <w:spacing w:before="0" w:after="0"/>
      </w:pPr>
    </w:p>
    <w:p w14:paraId="50B63756" w14:textId="77777777" w:rsidR="00665CF7" w:rsidRDefault="00665CF7" w:rsidP="00DC5685">
      <w:pPr>
        <w:pStyle w:val="RepNewPart"/>
        <w:widowControl/>
        <w:suppressAutoHyphens/>
        <w:spacing w:before="0" w:after="0"/>
      </w:pPr>
    </w:p>
    <w:p w14:paraId="33021D48" w14:textId="3C0CC389" w:rsidR="00DC5685" w:rsidRPr="00A34F10" w:rsidRDefault="00DC5685" w:rsidP="00DC5685">
      <w:pPr>
        <w:pStyle w:val="RepNewPart"/>
        <w:widowControl/>
        <w:suppressAutoHyphens/>
        <w:spacing w:before="0" w:after="0"/>
      </w:pPr>
      <w:r w:rsidRPr="00A34F10">
        <w:t>Risk assessment for fish-eating birds via secondary poisoning</w:t>
      </w:r>
    </w:p>
    <w:p w14:paraId="732A2400" w14:textId="77777777" w:rsidR="00DC5685" w:rsidRPr="00A34F10" w:rsidRDefault="00DC5685" w:rsidP="00DC5685">
      <w:pPr>
        <w:pStyle w:val="RepStandard"/>
        <w:keepNext/>
        <w:keepLines/>
        <w:widowControl/>
        <w:suppressAutoHyphens/>
      </w:pPr>
    </w:p>
    <w:p w14:paraId="32B413D4" w14:textId="77777777" w:rsidR="00DC5685" w:rsidRPr="00A34F10" w:rsidRDefault="00DC5685" w:rsidP="00DC5685">
      <w:pPr>
        <w:pStyle w:val="RepStandard"/>
        <w:keepNext/>
        <w:keepLines/>
        <w:widowControl/>
        <w:suppressAutoHyphens/>
      </w:pPr>
      <w:r w:rsidRPr="00A34F10">
        <w:t>According to EFSA/2009/1438, the risk for piscivorous birds is assessed for a bird of 1000 g body weight with a daily food consumption of 159 g. Bioaccumulation in fish is estimated based on predicted concentrations in surface water.</w:t>
      </w:r>
    </w:p>
    <w:p w14:paraId="4169815C" w14:textId="77777777" w:rsidR="00DC5685" w:rsidRPr="00A34F10" w:rsidRDefault="00DC5685" w:rsidP="00DC5685">
      <w:pPr>
        <w:pStyle w:val="RepStandard"/>
        <w:suppressAutoHyphens/>
      </w:pPr>
    </w:p>
    <w:p w14:paraId="07947BFE" w14:textId="77777777" w:rsidR="00DC5685" w:rsidRPr="00A34F10" w:rsidRDefault="00DC5685" w:rsidP="00DC5685">
      <w:pPr>
        <w:pStyle w:val="RepStandard"/>
        <w:suppressAutoHyphens/>
      </w:pPr>
      <w:r w:rsidRPr="00A34F10">
        <w:t>As shown in the following table, the TER</w:t>
      </w:r>
      <w:r w:rsidRPr="00A34F10">
        <w:rPr>
          <w:vertAlign w:val="subscript"/>
        </w:rPr>
        <w:t>LT</w:t>
      </w:r>
      <w:r w:rsidRPr="00A34F10">
        <w:t xml:space="preserve"> for Ametoctradin exceeds the relevant trigger of 5 for acceptability of effects, indicating an acceptable risk to fish-eating birds via secondary poisoning. </w:t>
      </w:r>
    </w:p>
    <w:p w14:paraId="535DDFE0" w14:textId="77777777" w:rsidR="00A91B2E" w:rsidRPr="00A34F10" w:rsidRDefault="00A91B2E" w:rsidP="00DC5685">
      <w:pPr>
        <w:pStyle w:val="RepStandard"/>
        <w:suppressAutoHyphens/>
      </w:pPr>
    </w:p>
    <w:p w14:paraId="5F6E24B6" w14:textId="0C0543BF" w:rsidR="00DC5685" w:rsidRPr="00A34F10" w:rsidRDefault="00DC5685" w:rsidP="007E7467">
      <w:pPr>
        <w:pStyle w:val="RepLabel"/>
        <w:suppressAutoHyphens/>
        <w:jc w:val="both"/>
      </w:pPr>
      <w:r w:rsidRPr="00A34F10">
        <w:t xml:space="preserve">Table </w:t>
      </w:r>
      <w:fldSimple w:instr=" STYLEREF 2 \s ">
        <w:r w:rsidR="006F0F3B">
          <w:rPr>
            <w:noProof/>
          </w:rPr>
          <w:t>9.2</w:t>
        </w:r>
      </w:fldSimple>
      <w:r w:rsidR="007E7467">
        <w:noBreakHyphen/>
      </w:r>
      <w:r w:rsidR="007E7467" w:rsidRPr="007E7467">
        <w:rPr>
          <w:highlight w:val="green"/>
        </w:rPr>
        <w:fldChar w:fldCharType="begin"/>
      </w:r>
      <w:r w:rsidR="007E7467" w:rsidRPr="007E7467">
        <w:rPr>
          <w:highlight w:val="green"/>
        </w:rPr>
        <w:instrText xml:space="preserve"> SEQ Table \* ARABIC \s 2 </w:instrText>
      </w:r>
      <w:r w:rsidR="007E7467" w:rsidRPr="007E7467">
        <w:rPr>
          <w:highlight w:val="green"/>
        </w:rPr>
        <w:fldChar w:fldCharType="separate"/>
      </w:r>
      <w:r w:rsidR="006F0F3B">
        <w:rPr>
          <w:noProof/>
          <w:highlight w:val="green"/>
        </w:rPr>
        <w:t>21</w:t>
      </w:r>
      <w:r w:rsidR="007E7467" w:rsidRPr="007E7467">
        <w:rPr>
          <w:highlight w:val="green"/>
        </w:rPr>
        <w:fldChar w:fldCharType="end"/>
      </w:r>
      <w:r w:rsidRPr="00A34F10">
        <w:t>:</w:t>
      </w:r>
      <w:r w:rsidRPr="00A34F10">
        <w:tab/>
        <w:t xml:space="preserve">Assessment of the risk for fish-eating birds due to exposure to Ametoctradin via bioaccumulation in fish (secondary poisoning) for the worst-case intended use in potato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2976"/>
        <w:gridCol w:w="3399"/>
      </w:tblGrid>
      <w:tr w:rsidR="00DC5685" w:rsidRPr="00A34F10" w14:paraId="30BA35FC" w14:textId="77777777" w:rsidTr="000470C3">
        <w:trPr>
          <w:cantSplit/>
          <w:trHeight w:val="366"/>
          <w:tblHeader/>
        </w:trPr>
        <w:tc>
          <w:tcPr>
            <w:tcW w:w="1590" w:type="pct"/>
            <w:vAlign w:val="center"/>
          </w:tcPr>
          <w:p w14:paraId="1F83395A" w14:textId="77777777" w:rsidR="00DC5685" w:rsidRPr="00A34F10" w:rsidRDefault="00DC5685" w:rsidP="000470C3">
            <w:pPr>
              <w:widowControl w:val="0"/>
              <w:numPr>
                <w:ilvl w:val="12"/>
                <w:numId w:val="0"/>
              </w:numPr>
              <w:suppressAutoHyphens/>
              <w:jc w:val="center"/>
              <w:rPr>
                <w:b/>
                <w:sz w:val="20"/>
                <w:lang w:val="en-GB"/>
              </w:rPr>
            </w:pPr>
            <w:r w:rsidRPr="00A34F10">
              <w:rPr>
                <w:b/>
                <w:sz w:val="20"/>
                <w:lang w:val="en-GB"/>
              </w:rPr>
              <w:t>Parameter</w:t>
            </w:r>
          </w:p>
        </w:tc>
        <w:tc>
          <w:tcPr>
            <w:tcW w:w="1592" w:type="pct"/>
            <w:vAlign w:val="center"/>
          </w:tcPr>
          <w:p w14:paraId="083C065E" w14:textId="77777777" w:rsidR="00DC5685" w:rsidRPr="00A34F10" w:rsidRDefault="00DC5685" w:rsidP="000470C3">
            <w:pPr>
              <w:widowControl w:val="0"/>
              <w:numPr>
                <w:ilvl w:val="12"/>
                <w:numId w:val="0"/>
              </w:numPr>
              <w:suppressAutoHyphens/>
              <w:jc w:val="center"/>
              <w:rPr>
                <w:b/>
                <w:bCs/>
                <w:sz w:val="20"/>
                <w:lang w:val="en-GB"/>
              </w:rPr>
            </w:pPr>
            <w:r w:rsidRPr="00A34F10">
              <w:rPr>
                <w:b/>
                <w:bCs/>
                <w:sz w:val="20"/>
                <w:lang w:val="en-GB"/>
              </w:rPr>
              <w:t>Ametoctradin</w:t>
            </w:r>
          </w:p>
        </w:tc>
        <w:tc>
          <w:tcPr>
            <w:tcW w:w="1818" w:type="pct"/>
            <w:vAlign w:val="center"/>
          </w:tcPr>
          <w:p w14:paraId="01CD015E" w14:textId="77777777" w:rsidR="00DC5685" w:rsidRPr="00A34F10" w:rsidRDefault="00DC5685" w:rsidP="000470C3">
            <w:pPr>
              <w:widowControl w:val="0"/>
              <w:numPr>
                <w:ilvl w:val="12"/>
                <w:numId w:val="0"/>
              </w:numPr>
              <w:suppressAutoHyphens/>
              <w:jc w:val="center"/>
              <w:rPr>
                <w:b/>
                <w:bCs/>
                <w:sz w:val="20"/>
                <w:lang w:val="en-GB"/>
              </w:rPr>
            </w:pPr>
            <w:r w:rsidRPr="00A34F10">
              <w:rPr>
                <w:b/>
                <w:bCs/>
                <w:sz w:val="20"/>
                <w:lang w:val="en-GB"/>
              </w:rPr>
              <w:t>Reference</w:t>
            </w:r>
          </w:p>
        </w:tc>
      </w:tr>
      <w:tr w:rsidR="00DC5685" w:rsidRPr="00A34F10" w14:paraId="7F188A45" w14:textId="77777777" w:rsidTr="000470C3">
        <w:trPr>
          <w:cantSplit/>
          <w:trHeight w:val="530"/>
        </w:trPr>
        <w:tc>
          <w:tcPr>
            <w:tcW w:w="1590" w:type="pct"/>
            <w:vAlign w:val="center"/>
          </w:tcPr>
          <w:p w14:paraId="72B5DF49" w14:textId="77777777" w:rsidR="00DC5685" w:rsidRPr="00A34F10" w:rsidRDefault="00DC5685" w:rsidP="000470C3">
            <w:pPr>
              <w:widowControl w:val="0"/>
              <w:numPr>
                <w:ilvl w:val="12"/>
                <w:numId w:val="0"/>
              </w:numPr>
              <w:suppressAutoHyphens/>
              <w:rPr>
                <w:sz w:val="20"/>
                <w:lang w:val="en-GB"/>
              </w:rPr>
            </w:pPr>
            <w:r w:rsidRPr="00A34F10">
              <w:rPr>
                <w:sz w:val="20"/>
                <w:lang w:val="en-GB"/>
              </w:rPr>
              <w:t>PEC</w:t>
            </w:r>
            <w:r w:rsidRPr="00A34F10">
              <w:rPr>
                <w:sz w:val="20"/>
                <w:vertAlign w:val="subscript"/>
                <w:lang w:val="en-GB"/>
              </w:rPr>
              <w:t xml:space="preserve">sw </w:t>
            </w:r>
            <w:r w:rsidRPr="00A34F10">
              <w:rPr>
                <w:sz w:val="20"/>
                <w:lang w:val="en-GB"/>
              </w:rPr>
              <w:t xml:space="preserve">[mg/L] </w:t>
            </w:r>
            <w:r w:rsidRPr="00A34F10">
              <w:rPr>
                <w:sz w:val="20"/>
                <w:vertAlign w:val="superscript"/>
                <w:lang w:val="en-GB"/>
              </w:rPr>
              <w:t>1)</w:t>
            </w:r>
          </w:p>
        </w:tc>
        <w:tc>
          <w:tcPr>
            <w:tcW w:w="1592" w:type="pct"/>
            <w:shd w:val="clear" w:color="auto" w:fill="FFFFFF" w:themeFill="background1"/>
            <w:vAlign w:val="center"/>
          </w:tcPr>
          <w:p w14:paraId="4643E316"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0.1645</w:t>
            </w:r>
          </w:p>
        </w:tc>
        <w:tc>
          <w:tcPr>
            <w:tcW w:w="1818" w:type="pct"/>
            <w:vAlign w:val="center"/>
          </w:tcPr>
          <w:p w14:paraId="356BAEAA" w14:textId="14702EE2" w:rsidR="00DC5685" w:rsidRPr="00A34F10" w:rsidRDefault="00DC5685" w:rsidP="000470C3">
            <w:pPr>
              <w:pStyle w:val="TableText9pt"/>
              <w:keepLines w:val="0"/>
              <w:widowControl w:val="0"/>
              <w:suppressAutoHyphens/>
              <w:spacing w:before="0"/>
              <w:rPr>
                <w:sz w:val="20"/>
                <w:lang w:val="en-GB"/>
              </w:rPr>
            </w:pPr>
            <w:r w:rsidRPr="00A34F10">
              <w:rPr>
                <w:sz w:val="20"/>
                <w:lang w:val="en-GB"/>
              </w:rPr>
              <w:t>Chapter 8.9</w:t>
            </w:r>
            <w:r w:rsidR="00720421">
              <w:rPr>
                <w:sz w:val="20"/>
                <w:lang w:val="en-GB"/>
              </w:rPr>
              <w:t xml:space="preserve"> </w:t>
            </w:r>
            <w:r w:rsidR="00720421" w:rsidRPr="00720421">
              <w:rPr>
                <w:sz w:val="20"/>
                <w:shd w:val="clear" w:color="auto" w:fill="D9D9D9" w:themeFill="background1" w:themeFillShade="D9"/>
                <w:lang w:val="en-GB"/>
              </w:rPr>
              <w:t>(Step 1)</w:t>
            </w:r>
          </w:p>
        </w:tc>
      </w:tr>
      <w:tr w:rsidR="00DC5685" w:rsidRPr="00A34F10" w14:paraId="444A0FB1" w14:textId="77777777" w:rsidTr="000470C3">
        <w:trPr>
          <w:cantSplit/>
          <w:trHeight w:val="547"/>
        </w:trPr>
        <w:tc>
          <w:tcPr>
            <w:tcW w:w="1590" w:type="pct"/>
            <w:vAlign w:val="center"/>
          </w:tcPr>
          <w:p w14:paraId="6B7D6316" w14:textId="77777777" w:rsidR="00DC5685" w:rsidRPr="00A34F10" w:rsidRDefault="00DC5685" w:rsidP="000470C3">
            <w:pPr>
              <w:widowControl w:val="0"/>
              <w:numPr>
                <w:ilvl w:val="12"/>
                <w:numId w:val="0"/>
              </w:numPr>
              <w:suppressAutoHyphens/>
              <w:rPr>
                <w:sz w:val="20"/>
                <w:lang w:val="en-GB"/>
              </w:rPr>
            </w:pPr>
            <w:r w:rsidRPr="00A34F10">
              <w:rPr>
                <w:sz w:val="20"/>
                <w:lang w:val="en-GB"/>
              </w:rPr>
              <w:t>BCF fish (max. worst case)</w:t>
            </w:r>
          </w:p>
        </w:tc>
        <w:tc>
          <w:tcPr>
            <w:tcW w:w="1592" w:type="pct"/>
            <w:vAlign w:val="center"/>
          </w:tcPr>
          <w:p w14:paraId="444F4418"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 xml:space="preserve">219 </w:t>
            </w:r>
          </w:p>
        </w:tc>
        <w:tc>
          <w:tcPr>
            <w:tcW w:w="1818" w:type="pct"/>
            <w:vAlign w:val="center"/>
          </w:tcPr>
          <w:p w14:paraId="2FF4255C" w14:textId="77777777" w:rsidR="00DC5685" w:rsidRPr="00A34F10" w:rsidRDefault="00DC5685" w:rsidP="000470C3">
            <w:pPr>
              <w:widowControl w:val="0"/>
              <w:suppressAutoHyphens/>
              <w:ind w:right="72"/>
              <w:rPr>
                <w:sz w:val="20"/>
                <w:lang w:val="en-GB"/>
              </w:rPr>
            </w:pPr>
            <w:r w:rsidRPr="00A34F10">
              <w:rPr>
                <w:sz w:val="20"/>
                <w:szCs w:val="20"/>
                <w:lang w:val="en-GB"/>
              </w:rPr>
              <w:t>EFSA Journal 2012, 10(11): 2921</w:t>
            </w:r>
            <w:r w:rsidRPr="00A34F10">
              <w:rPr>
                <w:sz w:val="20"/>
                <w:lang w:val="en-GB"/>
              </w:rPr>
              <w:t xml:space="preserve"> </w:t>
            </w:r>
          </w:p>
        </w:tc>
      </w:tr>
      <w:tr w:rsidR="00DC5685" w:rsidRPr="00A34F10" w14:paraId="0C827CE4" w14:textId="77777777" w:rsidTr="000470C3">
        <w:trPr>
          <w:cantSplit/>
          <w:trHeight w:val="397"/>
        </w:trPr>
        <w:tc>
          <w:tcPr>
            <w:tcW w:w="1590" w:type="pct"/>
            <w:vAlign w:val="center"/>
          </w:tcPr>
          <w:p w14:paraId="6848C7E6" w14:textId="77777777" w:rsidR="00DC5685" w:rsidRPr="00A34F10" w:rsidRDefault="00DC5685" w:rsidP="000470C3">
            <w:pPr>
              <w:widowControl w:val="0"/>
              <w:numPr>
                <w:ilvl w:val="12"/>
                <w:numId w:val="0"/>
              </w:numPr>
              <w:suppressAutoHyphens/>
              <w:rPr>
                <w:sz w:val="20"/>
                <w:lang w:val="en-GB"/>
              </w:rPr>
            </w:pPr>
            <w:r w:rsidRPr="00A34F10">
              <w:rPr>
                <w:sz w:val="20"/>
                <w:lang w:val="en-GB"/>
              </w:rPr>
              <w:t>PEC</w:t>
            </w:r>
            <w:r w:rsidRPr="00A34F10">
              <w:rPr>
                <w:sz w:val="20"/>
                <w:vertAlign w:val="subscript"/>
                <w:lang w:val="en-GB"/>
              </w:rPr>
              <w:t>fish</w:t>
            </w:r>
            <w:r w:rsidRPr="00A34F10">
              <w:rPr>
                <w:sz w:val="20"/>
                <w:lang w:val="en-GB"/>
              </w:rPr>
              <w:t xml:space="preserve"> [mg/kg]</w:t>
            </w:r>
          </w:p>
        </w:tc>
        <w:tc>
          <w:tcPr>
            <w:tcW w:w="1592" w:type="pct"/>
            <w:vAlign w:val="center"/>
          </w:tcPr>
          <w:p w14:paraId="4B29B126"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36.026</w:t>
            </w:r>
          </w:p>
        </w:tc>
        <w:tc>
          <w:tcPr>
            <w:tcW w:w="1818" w:type="pct"/>
            <w:vAlign w:val="center"/>
          </w:tcPr>
          <w:p w14:paraId="197DDC8B"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PEC</w:t>
            </w:r>
            <w:r w:rsidRPr="00A34F10">
              <w:rPr>
                <w:sz w:val="20"/>
                <w:vertAlign w:val="subscript"/>
                <w:lang w:val="en-GB"/>
              </w:rPr>
              <w:t xml:space="preserve">fish </w:t>
            </w:r>
            <w:r w:rsidRPr="00A34F10">
              <w:rPr>
                <w:sz w:val="20"/>
                <w:lang w:val="en-GB"/>
              </w:rPr>
              <w:t>= PEC</w:t>
            </w:r>
            <w:r w:rsidRPr="00A34F10">
              <w:rPr>
                <w:sz w:val="20"/>
                <w:vertAlign w:val="subscript"/>
                <w:lang w:val="en-GB"/>
              </w:rPr>
              <w:t>water</w:t>
            </w:r>
            <w:r w:rsidRPr="00A34F10">
              <w:rPr>
                <w:sz w:val="20"/>
                <w:lang w:val="en-GB"/>
              </w:rPr>
              <w:t xml:space="preserve"> x TWA x BCF</w:t>
            </w:r>
          </w:p>
        </w:tc>
      </w:tr>
      <w:tr w:rsidR="00DC5685" w:rsidRPr="00A34F10" w14:paraId="3BE248E5" w14:textId="77777777" w:rsidTr="000470C3">
        <w:trPr>
          <w:cantSplit/>
          <w:trHeight w:val="397"/>
        </w:trPr>
        <w:tc>
          <w:tcPr>
            <w:tcW w:w="1590" w:type="pct"/>
            <w:vAlign w:val="center"/>
          </w:tcPr>
          <w:p w14:paraId="04FDF9BE" w14:textId="77777777" w:rsidR="00DC5685" w:rsidRPr="00A34F10" w:rsidRDefault="00DC5685" w:rsidP="000470C3">
            <w:pPr>
              <w:widowControl w:val="0"/>
              <w:numPr>
                <w:ilvl w:val="12"/>
                <w:numId w:val="0"/>
              </w:numPr>
              <w:suppressAutoHyphens/>
              <w:rPr>
                <w:sz w:val="20"/>
                <w:lang w:val="en-GB"/>
              </w:rPr>
            </w:pPr>
            <w:r w:rsidRPr="00A34F10">
              <w:rPr>
                <w:sz w:val="20"/>
                <w:lang w:val="en-GB"/>
              </w:rPr>
              <w:t>Daily dose [mg/kg b.w./d]</w:t>
            </w:r>
          </w:p>
        </w:tc>
        <w:tc>
          <w:tcPr>
            <w:tcW w:w="1592" w:type="pct"/>
            <w:vAlign w:val="center"/>
          </w:tcPr>
          <w:p w14:paraId="1E62A95E"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5.728</w:t>
            </w:r>
          </w:p>
        </w:tc>
        <w:tc>
          <w:tcPr>
            <w:tcW w:w="1818" w:type="pct"/>
            <w:vAlign w:val="center"/>
          </w:tcPr>
          <w:p w14:paraId="4A084F98"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Daily dose = PEC</w:t>
            </w:r>
            <w:r w:rsidRPr="00A34F10">
              <w:rPr>
                <w:sz w:val="20"/>
                <w:vertAlign w:val="subscript"/>
                <w:lang w:val="en-GB"/>
              </w:rPr>
              <w:t xml:space="preserve">fish </w:t>
            </w:r>
            <w:r w:rsidRPr="00A34F10">
              <w:rPr>
                <w:sz w:val="20"/>
                <w:lang w:val="en-GB"/>
              </w:rPr>
              <w:t>x 0.159</w:t>
            </w:r>
          </w:p>
        </w:tc>
      </w:tr>
      <w:tr w:rsidR="00DC5685" w:rsidRPr="00A34F10" w14:paraId="29AF9DF7" w14:textId="77777777" w:rsidTr="000470C3">
        <w:trPr>
          <w:cantSplit/>
          <w:trHeight w:val="592"/>
        </w:trPr>
        <w:tc>
          <w:tcPr>
            <w:tcW w:w="1590" w:type="pct"/>
            <w:vAlign w:val="center"/>
          </w:tcPr>
          <w:p w14:paraId="73134863" w14:textId="77777777" w:rsidR="00DC5685" w:rsidRPr="001D51C3" w:rsidRDefault="00DC5685" w:rsidP="000470C3">
            <w:pPr>
              <w:widowControl w:val="0"/>
              <w:numPr>
                <w:ilvl w:val="12"/>
                <w:numId w:val="0"/>
              </w:numPr>
              <w:suppressAutoHyphens/>
              <w:rPr>
                <w:sz w:val="20"/>
                <w:lang w:val="es-ES"/>
              </w:rPr>
            </w:pPr>
            <w:r w:rsidRPr="001D51C3">
              <w:rPr>
                <w:sz w:val="20"/>
                <w:lang w:val="es-ES"/>
              </w:rPr>
              <w:t>NO(A)EL [mg/kg b.w./d]</w:t>
            </w:r>
          </w:p>
        </w:tc>
        <w:tc>
          <w:tcPr>
            <w:tcW w:w="1592" w:type="pct"/>
            <w:vAlign w:val="center"/>
          </w:tcPr>
          <w:p w14:paraId="45CCFDF1"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115.2</w:t>
            </w:r>
          </w:p>
        </w:tc>
        <w:tc>
          <w:tcPr>
            <w:tcW w:w="1818" w:type="pct"/>
            <w:vAlign w:val="center"/>
          </w:tcPr>
          <w:p w14:paraId="6436E9AE"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See above</w:t>
            </w:r>
          </w:p>
        </w:tc>
      </w:tr>
      <w:tr w:rsidR="00DC5685" w:rsidRPr="00A34F10" w14:paraId="6A7389FB" w14:textId="77777777" w:rsidTr="000470C3">
        <w:trPr>
          <w:cantSplit/>
          <w:trHeight w:val="592"/>
        </w:trPr>
        <w:tc>
          <w:tcPr>
            <w:tcW w:w="1590" w:type="pct"/>
            <w:tcBorders>
              <w:top w:val="single" w:sz="4" w:space="0" w:color="auto"/>
              <w:left w:val="single" w:sz="4" w:space="0" w:color="auto"/>
              <w:bottom w:val="single" w:sz="4" w:space="0" w:color="auto"/>
              <w:right w:val="single" w:sz="4" w:space="0" w:color="auto"/>
            </w:tcBorders>
            <w:vAlign w:val="center"/>
          </w:tcPr>
          <w:p w14:paraId="514BD9D5" w14:textId="77777777" w:rsidR="00DC5685" w:rsidRPr="00A34F10" w:rsidRDefault="00DC5685" w:rsidP="000470C3">
            <w:pPr>
              <w:widowControl w:val="0"/>
              <w:numPr>
                <w:ilvl w:val="12"/>
                <w:numId w:val="0"/>
              </w:numPr>
              <w:suppressAutoHyphens/>
              <w:rPr>
                <w:sz w:val="20"/>
                <w:lang w:val="en-GB"/>
              </w:rPr>
            </w:pPr>
            <w:r w:rsidRPr="00A34F10">
              <w:rPr>
                <w:sz w:val="20"/>
                <w:lang w:val="en-GB"/>
              </w:rPr>
              <w:t>TERlt</w:t>
            </w:r>
          </w:p>
        </w:tc>
        <w:tc>
          <w:tcPr>
            <w:tcW w:w="1592" w:type="pct"/>
            <w:tcBorders>
              <w:top w:val="single" w:sz="4" w:space="0" w:color="auto"/>
              <w:left w:val="single" w:sz="4" w:space="0" w:color="auto"/>
              <w:bottom w:val="single" w:sz="4" w:space="0" w:color="auto"/>
              <w:right w:val="single" w:sz="4" w:space="0" w:color="auto"/>
            </w:tcBorders>
            <w:vAlign w:val="center"/>
          </w:tcPr>
          <w:p w14:paraId="65F096B2" w14:textId="77777777" w:rsidR="00DC5685" w:rsidRPr="00A34F10" w:rsidRDefault="00DC5685" w:rsidP="000470C3">
            <w:pPr>
              <w:widowControl w:val="0"/>
              <w:numPr>
                <w:ilvl w:val="12"/>
                <w:numId w:val="0"/>
              </w:numPr>
              <w:suppressAutoHyphens/>
              <w:jc w:val="center"/>
              <w:rPr>
                <w:sz w:val="20"/>
                <w:lang w:val="en-GB"/>
              </w:rPr>
            </w:pPr>
            <w:r w:rsidRPr="00A34F10">
              <w:rPr>
                <w:sz w:val="20"/>
                <w:lang w:val="en-GB"/>
              </w:rPr>
              <w:t>20.1</w:t>
            </w:r>
          </w:p>
        </w:tc>
        <w:tc>
          <w:tcPr>
            <w:tcW w:w="1818" w:type="pct"/>
            <w:tcBorders>
              <w:top w:val="single" w:sz="4" w:space="0" w:color="auto"/>
              <w:left w:val="single" w:sz="4" w:space="0" w:color="auto"/>
              <w:bottom w:val="single" w:sz="4" w:space="0" w:color="auto"/>
              <w:right w:val="single" w:sz="4" w:space="0" w:color="auto"/>
            </w:tcBorders>
            <w:vAlign w:val="center"/>
          </w:tcPr>
          <w:p w14:paraId="59D20E18"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w:t>
            </w:r>
          </w:p>
        </w:tc>
      </w:tr>
    </w:tbl>
    <w:p w14:paraId="6D814529" w14:textId="77777777" w:rsidR="00DC5685" w:rsidRPr="00A34F10" w:rsidRDefault="00DC5685" w:rsidP="00DC5685">
      <w:pPr>
        <w:pStyle w:val="RepNewPart"/>
        <w:keepNext w:val="0"/>
        <w:keepLines w:val="0"/>
        <w:suppressAutoHyphens/>
        <w:spacing w:before="0" w:after="0"/>
        <w:ind w:left="284" w:hanging="284"/>
        <w:rPr>
          <w:b w:val="0"/>
          <w:sz w:val="18"/>
          <w:szCs w:val="18"/>
        </w:rPr>
      </w:pPr>
      <w:r w:rsidRPr="00A34F10">
        <w:rPr>
          <w:b w:val="0"/>
          <w:sz w:val="18"/>
          <w:szCs w:val="18"/>
          <w:vertAlign w:val="superscript"/>
        </w:rPr>
        <w:t>1)</w:t>
      </w:r>
      <w:r w:rsidRPr="00A34F10">
        <w:rPr>
          <w:b w:val="0"/>
          <w:sz w:val="18"/>
          <w:szCs w:val="18"/>
        </w:rPr>
        <w:tab/>
        <w:t>Highest PEC</w:t>
      </w:r>
      <w:r w:rsidRPr="00A34F10">
        <w:rPr>
          <w:b w:val="0"/>
          <w:sz w:val="18"/>
          <w:szCs w:val="18"/>
          <w:vertAlign w:val="subscript"/>
        </w:rPr>
        <w:t>sw</w:t>
      </w:r>
      <w:r w:rsidRPr="00A34F10">
        <w:rPr>
          <w:b w:val="0"/>
          <w:sz w:val="18"/>
          <w:szCs w:val="18"/>
        </w:rPr>
        <w:t xml:space="preserve"> (initial) as worst-case, selected from single application scenario in potatoes, onion and salad crops (spray drift). For details please refer to chapter 8.9.</w:t>
      </w:r>
    </w:p>
    <w:p w14:paraId="2DA5923F" w14:textId="77777777" w:rsidR="00DC5685" w:rsidRPr="00A34F10" w:rsidRDefault="00DC5685" w:rsidP="00DC5685">
      <w:pPr>
        <w:pStyle w:val="Nagwek4"/>
        <w:suppressAutoHyphens/>
        <w:rPr>
          <w:noProof w:val="0"/>
          <w:lang w:val="en-GB"/>
        </w:rPr>
      </w:pPr>
      <w:bookmarkStart w:id="269" w:name="_Toc181624953"/>
      <w:r w:rsidRPr="00A34F10">
        <w:rPr>
          <w:noProof w:val="0"/>
          <w:lang w:val="en-GB"/>
        </w:rPr>
        <w:t>Biomagnification in terrestrial food chains</w:t>
      </w:r>
      <w:bookmarkEnd w:id="257"/>
      <w:bookmarkEnd w:id="258"/>
      <w:bookmarkEnd w:id="259"/>
      <w:bookmarkEnd w:id="260"/>
      <w:bookmarkEnd w:id="261"/>
      <w:bookmarkEnd w:id="262"/>
      <w:bookmarkEnd w:id="263"/>
      <w:bookmarkEnd w:id="264"/>
      <w:bookmarkEnd w:id="265"/>
      <w:bookmarkEnd w:id="266"/>
      <w:bookmarkEnd w:id="269"/>
    </w:p>
    <w:p w14:paraId="43E85074" w14:textId="77777777" w:rsidR="00DC5685" w:rsidRPr="00A34F10" w:rsidRDefault="00DC5685" w:rsidP="00DC5685">
      <w:pPr>
        <w:widowControl w:val="0"/>
        <w:tabs>
          <w:tab w:val="left" w:pos="120"/>
        </w:tabs>
        <w:suppressAutoHyphens/>
        <w:jc w:val="both"/>
        <w:rPr>
          <w:lang w:val="en-GB"/>
        </w:rPr>
      </w:pPr>
      <w:bookmarkStart w:id="270" w:name="_Toc399353256"/>
      <w:bookmarkStart w:id="271" w:name="_Toc412643980"/>
      <w:bookmarkStart w:id="272" w:name="_Toc413916826"/>
      <w:bookmarkStart w:id="273" w:name="_Toc413916968"/>
      <w:bookmarkStart w:id="274" w:name="_Toc413922029"/>
      <w:bookmarkStart w:id="275" w:name="_Toc413922518"/>
      <w:bookmarkStart w:id="276" w:name="_Toc413922622"/>
      <w:bookmarkStart w:id="277" w:name="_Toc414955259"/>
      <w:bookmarkStart w:id="278" w:name="_Toc415214566"/>
      <w:bookmarkStart w:id="279" w:name="_Toc425512587"/>
      <w:r w:rsidRPr="00A34F10">
        <w:rPr>
          <w:rFonts w:eastAsia="SimSun"/>
          <w:lang w:val="en-GB" w:eastAsia="zh-CN"/>
        </w:rPr>
        <w:t xml:space="preserve">Low potential for accumulation in animal tissue was concluded in the EU reviews of </w:t>
      </w:r>
      <w:r w:rsidRPr="00A34F10">
        <w:rPr>
          <w:lang w:val="en-GB"/>
        </w:rPr>
        <w:t>Ametoctradin</w:t>
      </w:r>
      <w:r w:rsidRPr="00A34F10">
        <w:rPr>
          <w:rFonts w:eastAsia="SimSun"/>
          <w:lang w:val="en-GB" w:eastAsia="zh-CN"/>
        </w:rPr>
        <w:t xml:space="preserve"> </w:t>
      </w:r>
      <w:r w:rsidRPr="00A34F10">
        <w:rPr>
          <w:rFonts w:eastAsia="SimSun"/>
          <w:szCs w:val="24"/>
          <w:lang w:val="en-GB" w:eastAsia="zh-CN"/>
        </w:rPr>
        <w:t>(</w:t>
      </w:r>
      <w:r w:rsidRPr="00A34F10">
        <w:rPr>
          <w:szCs w:val="24"/>
          <w:lang w:val="en-GB"/>
        </w:rPr>
        <w:t xml:space="preserve">EFSA Scientific Report (2012) 10(11): 2921) </w:t>
      </w:r>
      <w:r w:rsidRPr="00A34F10">
        <w:rPr>
          <w:rFonts w:eastAsia="SimSun"/>
          <w:lang w:val="en-GB" w:eastAsia="zh-CN"/>
        </w:rPr>
        <w:t>and Propamocarb-HCl (</w:t>
      </w:r>
      <w:r w:rsidRPr="00A34F10">
        <w:rPr>
          <w:szCs w:val="24"/>
          <w:lang w:val="en-GB"/>
        </w:rPr>
        <w:t xml:space="preserve">EFSA Scientific Report (2006)) </w:t>
      </w:r>
      <w:r w:rsidRPr="00A34F10">
        <w:rPr>
          <w:rFonts w:eastAsia="SimSun"/>
          <w:lang w:val="en-GB" w:eastAsia="zh-CN"/>
        </w:rPr>
        <w:t xml:space="preserve">from </w:t>
      </w:r>
      <w:r w:rsidRPr="00A34F10">
        <w:rPr>
          <w:rFonts w:eastAsia="SimSun"/>
          <w:szCs w:val="24"/>
          <w:lang w:val="en-GB" w:eastAsia="zh-CN"/>
        </w:rPr>
        <w:t>toxicokinetics studies</w:t>
      </w:r>
      <w:r w:rsidRPr="00A34F10">
        <w:rPr>
          <w:lang w:val="en-GB"/>
        </w:rPr>
        <w:t>.</w:t>
      </w:r>
    </w:p>
    <w:p w14:paraId="42635C9D" w14:textId="77777777" w:rsidR="00DC5685" w:rsidRPr="00A34F10" w:rsidRDefault="00DC5685" w:rsidP="00DC5685">
      <w:pPr>
        <w:widowControl w:val="0"/>
        <w:tabs>
          <w:tab w:val="left" w:pos="120"/>
        </w:tabs>
        <w:suppressAutoHyphens/>
        <w:jc w:val="both"/>
        <w:rPr>
          <w:lang w:val="en-GB"/>
        </w:rPr>
      </w:pPr>
    </w:p>
    <w:p w14:paraId="78E4D124" w14:textId="77777777" w:rsidR="00DC5685" w:rsidRDefault="00DC5685" w:rsidP="00DC5685">
      <w:pPr>
        <w:widowControl w:val="0"/>
        <w:suppressAutoHyphens/>
        <w:jc w:val="both"/>
        <w:rPr>
          <w:lang w:val="en-GB"/>
        </w:rPr>
      </w:pPr>
      <w:r w:rsidRPr="00A34F10">
        <w:rPr>
          <w:lang w:val="en-GB"/>
        </w:rPr>
        <w:lastRenderedPageBreak/>
        <w:t>Since the bioaccumulation potential of Ametoctradin and Propamocarb is low, no further assessment on biomagnification along the food chain is required.</w:t>
      </w:r>
    </w:p>
    <w:p w14:paraId="75885C97" w14:textId="77777777" w:rsidR="00DC5685" w:rsidRPr="00A34F10" w:rsidRDefault="00DC5685" w:rsidP="00DC5685">
      <w:pPr>
        <w:pStyle w:val="Nagwek3"/>
        <w:rPr>
          <w:rFonts w:cs="Times New Roman"/>
        </w:rPr>
      </w:pPr>
      <w:bookmarkStart w:id="280" w:name="_Toc181624954"/>
      <w:r w:rsidRPr="00A34F10">
        <w:rPr>
          <w:rFonts w:cs="Times New Roman"/>
        </w:rPr>
        <w:t>Risk assessment for baits, pellets, granules, prills or treated seed</w:t>
      </w:r>
      <w:bookmarkEnd w:id="270"/>
      <w:bookmarkEnd w:id="271"/>
      <w:bookmarkEnd w:id="272"/>
      <w:bookmarkEnd w:id="273"/>
      <w:bookmarkEnd w:id="274"/>
      <w:bookmarkEnd w:id="275"/>
      <w:bookmarkEnd w:id="276"/>
      <w:bookmarkEnd w:id="277"/>
      <w:bookmarkEnd w:id="278"/>
      <w:bookmarkEnd w:id="279"/>
      <w:bookmarkEnd w:id="280"/>
    </w:p>
    <w:p w14:paraId="0B54F77B" w14:textId="77EB6C2B" w:rsidR="00DC5685" w:rsidRDefault="00DC5685" w:rsidP="00DC5685">
      <w:pPr>
        <w:pStyle w:val="RepStandard"/>
        <w:suppressAutoHyphens/>
      </w:pPr>
      <w:r w:rsidRPr="00A34F10">
        <w:t>Not relevant.</w:t>
      </w:r>
    </w:p>
    <w:p w14:paraId="55A6EF71" w14:textId="77777777" w:rsidR="00DC5685" w:rsidRPr="00A34F10" w:rsidRDefault="00DC5685" w:rsidP="00DC5685">
      <w:pPr>
        <w:pStyle w:val="Nagwek3"/>
        <w:rPr>
          <w:rFonts w:cs="Times New Roman"/>
        </w:rPr>
      </w:pPr>
      <w:bookmarkStart w:id="281" w:name="_Toc399353257"/>
      <w:bookmarkStart w:id="282" w:name="_Toc412643981"/>
      <w:bookmarkStart w:id="283" w:name="_Toc413916827"/>
      <w:bookmarkStart w:id="284" w:name="_Toc413916969"/>
      <w:bookmarkStart w:id="285" w:name="_Toc413922030"/>
      <w:bookmarkStart w:id="286" w:name="_Toc413922519"/>
      <w:bookmarkStart w:id="287" w:name="_Toc413922623"/>
      <w:bookmarkStart w:id="288" w:name="_Toc414955260"/>
      <w:bookmarkStart w:id="289" w:name="_Toc415214567"/>
      <w:bookmarkStart w:id="290" w:name="_Toc425512588"/>
      <w:bookmarkStart w:id="291" w:name="_Toc181624955"/>
      <w:r w:rsidRPr="00A34F10">
        <w:rPr>
          <w:rFonts w:cs="Times New Roman"/>
        </w:rPr>
        <w:t>Overall conclusions</w:t>
      </w:r>
      <w:bookmarkEnd w:id="281"/>
      <w:bookmarkEnd w:id="282"/>
      <w:bookmarkEnd w:id="283"/>
      <w:bookmarkEnd w:id="284"/>
      <w:bookmarkEnd w:id="285"/>
      <w:bookmarkEnd w:id="286"/>
      <w:bookmarkEnd w:id="287"/>
      <w:bookmarkEnd w:id="288"/>
      <w:bookmarkEnd w:id="289"/>
      <w:bookmarkEnd w:id="290"/>
      <w:bookmarkEnd w:id="291"/>
    </w:p>
    <w:p w14:paraId="003CA004" w14:textId="77777777" w:rsidR="00DC5685" w:rsidRPr="00A34F10" w:rsidRDefault="00DC5685" w:rsidP="00DC5685">
      <w:pPr>
        <w:pStyle w:val="RepStandard"/>
      </w:pPr>
      <w:r w:rsidRPr="00A34F10">
        <w:t>It can be concluded that the risk to birds from the application of BAS 743 03 F according to good agricultural practice is acceptable.</w:t>
      </w:r>
    </w:p>
    <w:p w14:paraId="30D36463" w14:textId="77777777" w:rsidR="00DC5685" w:rsidRPr="00A34F10" w:rsidRDefault="00DC5685" w:rsidP="00DC5685">
      <w:pPr>
        <w:pStyle w:val="StyleOECD-BASIS-TEXTLeft"/>
        <w:rPr>
          <w:sz w:val="22"/>
          <w:lang w:val="en-US"/>
        </w:rPr>
      </w:pPr>
    </w:p>
    <w:p w14:paraId="178EE88F" w14:textId="77777777" w:rsidR="00DC5685" w:rsidRDefault="00DC5685" w:rsidP="002E7F42">
      <w:pPr>
        <w:pStyle w:val="StyleOECD-BASIS-TEXTLeft"/>
        <w:rPr>
          <w:sz w:val="22"/>
          <w:lang w:val="en-US"/>
        </w:rPr>
      </w:pPr>
    </w:p>
    <w:p w14:paraId="7045AAE1" w14:textId="77777777" w:rsidR="00F35C1D" w:rsidRDefault="00F35C1D" w:rsidP="00F35C1D">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F35C1D" w:rsidRPr="00DD5DB0" w14:paraId="3A39C62E" w14:textId="77777777" w:rsidTr="00B85AE5">
        <w:tc>
          <w:tcPr>
            <w:tcW w:w="5000" w:type="pct"/>
            <w:shd w:val="clear" w:color="auto" w:fill="D9D9D9"/>
          </w:tcPr>
          <w:p w14:paraId="3BB979A4" w14:textId="77777777" w:rsidR="00F35C1D" w:rsidRPr="009E0C31" w:rsidRDefault="00F35C1D" w:rsidP="00B85AE5">
            <w:pPr>
              <w:pStyle w:val="TableText1"/>
              <w:spacing w:after="120"/>
              <w:jc w:val="both"/>
              <w:rPr>
                <w:b/>
                <w:bCs w:val="0"/>
                <w:sz w:val="22"/>
                <w:szCs w:val="22"/>
                <w:lang w:eastAsia="en-US"/>
              </w:rPr>
            </w:pPr>
            <w:r w:rsidRPr="009E0C31">
              <w:rPr>
                <w:b/>
                <w:sz w:val="22"/>
                <w:szCs w:val="22"/>
                <w:lang w:eastAsia="en-US"/>
              </w:rPr>
              <w:t>Review Comments:</w:t>
            </w:r>
          </w:p>
          <w:p w14:paraId="557C64D0" w14:textId="58D65EDB" w:rsidR="00F35C1D" w:rsidRPr="009E0C31" w:rsidRDefault="00F35C1D" w:rsidP="00B85AE5">
            <w:pPr>
              <w:pStyle w:val="TableText9pt"/>
              <w:spacing w:before="0" w:after="120"/>
              <w:jc w:val="both"/>
              <w:rPr>
                <w:sz w:val="22"/>
                <w:szCs w:val="22"/>
                <w:lang w:val="en-GB"/>
              </w:rPr>
            </w:pPr>
            <w:r w:rsidRPr="009E0C31">
              <w:rPr>
                <w:sz w:val="22"/>
                <w:szCs w:val="22"/>
                <w:lang w:val="en-GB"/>
              </w:rPr>
              <w:t xml:space="preserve">The acute and chronic risks of </w:t>
            </w:r>
            <w:r>
              <w:rPr>
                <w:sz w:val="22"/>
                <w:szCs w:val="22"/>
                <w:lang w:val="en-GB"/>
              </w:rPr>
              <w:t>BAS 743 03 F</w:t>
            </w:r>
            <w:r w:rsidRPr="009E0C31">
              <w:rPr>
                <w:b/>
                <w:sz w:val="22"/>
                <w:szCs w:val="22"/>
                <w:lang w:val="en-GB"/>
              </w:rPr>
              <w:t xml:space="preserve"> </w:t>
            </w:r>
            <w:r w:rsidRPr="009E0C31">
              <w:rPr>
                <w:sz w:val="22"/>
                <w:szCs w:val="22"/>
                <w:lang w:val="en-GB"/>
              </w:rPr>
              <w:t>to birds were assessed from toxicity exposure ratios between toxicity endpoints, estimated from study with active ingredient</w:t>
            </w:r>
            <w:r w:rsidR="009C1F3E">
              <w:rPr>
                <w:sz w:val="22"/>
                <w:szCs w:val="22"/>
                <w:lang w:val="en-GB"/>
              </w:rPr>
              <w:t>s</w:t>
            </w:r>
            <w:r w:rsidRPr="009E0C31">
              <w:rPr>
                <w:sz w:val="22"/>
                <w:szCs w:val="22"/>
                <w:lang w:val="en-GB"/>
              </w:rPr>
              <w:t xml:space="preserve">, and maximum residues occurring on food items. </w:t>
            </w:r>
          </w:p>
          <w:p w14:paraId="20347068" w14:textId="70DDD268" w:rsidR="00F35C1D" w:rsidRPr="009E0C31" w:rsidRDefault="00F35C1D" w:rsidP="00B85AE5">
            <w:pPr>
              <w:pStyle w:val="TableText1"/>
              <w:spacing w:after="120"/>
              <w:jc w:val="both"/>
              <w:rPr>
                <w:sz w:val="22"/>
                <w:szCs w:val="22"/>
              </w:rPr>
            </w:pPr>
            <w:r w:rsidRPr="009E0C31">
              <w:rPr>
                <w:sz w:val="22"/>
                <w:szCs w:val="22"/>
              </w:rPr>
              <w:t>All TER values exceed the relevant triggers indicating that</w:t>
            </w:r>
            <w:r w:rsidR="009C1F3E">
              <w:rPr>
                <w:sz w:val="22"/>
                <w:szCs w:val="22"/>
              </w:rPr>
              <w:t xml:space="preserve"> BAS 743 03 F</w:t>
            </w:r>
            <w:r w:rsidRPr="009E0C31">
              <w:rPr>
                <w:b/>
                <w:sz w:val="22"/>
                <w:szCs w:val="22"/>
              </w:rPr>
              <w:t xml:space="preserve"> </w:t>
            </w:r>
            <w:r w:rsidRPr="009E0C31">
              <w:rPr>
                <w:sz w:val="22"/>
                <w:szCs w:val="22"/>
              </w:rPr>
              <w:t>does not pose an unacceptable risk to birds following applications according to recommended use pattern.</w:t>
            </w:r>
          </w:p>
          <w:p w14:paraId="16C90E64" w14:textId="77777777" w:rsidR="00F35C1D" w:rsidRPr="00C24BD1" w:rsidRDefault="00F35C1D" w:rsidP="00E40C40">
            <w:pPr>
              <w:shd w:val="clear" w:color="auto" w:fill="D9D9D9"/>
              <w:jc w:val="both"/>
            </w:pPr>
            <w:r w:rsidRPr="009E0C31">
              <w:t>Evaluation of exposing to birds through the drinking water demonstrated the acceptable risk. The risk to earthworm- and fish-eating animals from secondary poisoning is low.</w:t>
            </w:r>
          </w:p>
        </w:tc>
      </w:tr>
    </w:tbl>
    <w:p w14:paraId="74EF9F12" w14:textId="77777777" w:rsidR="00720421" w:rsidRPr="00A34F10" w:rsidRDefault="00720421" w:rsidP="002E7F42">
      <w:pPr>
        <w:pStyle w:val="StyleOECD-BASIS-TEXTLeft"/>
        <w:rPr>
          <w:sz w:val="22"/>
          <w:lang w:val="en-US"/>
        </w:rPr>
        <w:sectPr w:rsidR="00720421" w:rsidRPr="00A34F10" w:rsidSect="00834A06">
          <w:pgSz w:w="11909" w:h="16834" w:code="9"/>
          <w:pgMar w:top="1418" w:right="1134" w:bottom="1134" w:left="1418" w:header="709" w:footer="709" w:gutter="0"/>
          <w:pgNumType w:chapSep="period"/>
          <w:cols w:space="720"/>
          <w:noEndnote/>
          <w:docGrid w:linePitch="299"/>
        </w:sectPr>
      </w:pPr>
    </w:p>
    <w:p w14:paraId="569EF90B" w14:textId="77777777" w:rsidR="00DC5685" w:rsidRPr="00A34F10" w:rsidRDefault="00DC5685" w:rsidP="00DC5685">
      <w:pPr>
        <w:pStyle w:val="Nagwek2"/>
      </w:pPr>
      <w:bookmarkStart w:id="292" w:name="_Toc399487264"/>
      <w:bookmarkStart w:id="293" w:name="_Ref405399189"/>
      <w:bookmarkStart w:id="294" w:name="_Ref405923364"/>
      <w:bookmarkStart w:id="295" w:name="_Toc412643982"/>
      <w:bookmarkStart w:id="296" w:name="_Toc413916828"/>
      <w:bookmarkStart w:id="297" w:name="_Toc413916970"/>
      <w:bookmarkStart w:id="298" w:name="_Toc413922031"/>
      <w:bookmarkStart w:id="299" w:name="_Toc413922520"/>
      <w:bookmarkStart w:id="300" w:name="_Toc413922624"/>
      <w:bookmarkStart w:id="301" w:name="_Toc414955261"/>
      <w:bookmarkStart w:id="302" w:name="_Toc415214568"/>
      <w:bookmarkStart w:id="303" w:name="_Toc181624956"/>
      <w:r w:rsidRPr="00A34F10">
        <w:lastRenderedPageBreak/>
        <w:t>Effects on terrestrial vertebrates other than birds (KCP 10.1.2)</w:t>
      </w:r>
      <w:bookmarkEnd w:id="292"/>
      <w:bookmarkEnd w:id="293"/>
      <w:bookmarkEnd w:id="294"/>
      <w:bookmarkEnd w:id="295"/>
      <w:bookmarkEnd w:id="296"/>
      <w:bookmarkEnd w:id="297"/>
      <w:bookmarkEnd w:id="298"/>
      <w:bookmarkEnd w:id="299"/>
      <w:bookmarkEnd w:id="300"/>
      <w:bookmarkEnd w:id="301"/>
      <w:bookmarkEnd w:id="302"/>
      <w:bookmarkEnd w:id="303"/>
    </w:p>
    <w:p w14:paraId="2BC4FCC7" w14:textId="77777777" w:rsidR="00DC5685" w:rsidRPr="00A34F10" w:rsidRDefault="00DC5685" w:rsidP="00DC5685">
      <w:pPr>
        <w:pStyle w:val="Nagwek3"/>
        <w:rPr>
          <w:rFonts w:cs="Times New Roman"/>
        </w:rPr>
      </w:pPr>
      <w:bookmarkStart w:id="304" w:name="_Toc412643983"/>
      <w:bookmarkStart w:id="305" w:name="_Toc413916829"/>
      <w:bookmarkStart w:id="306" w:name="_Toc413916971"/>
      <w:bookmarkStart w:id="307" w:name="_Toc413922032"/>
      <w:bookmarkStart w:id="308" w:name="_Toc413922521"/>
      <w:bookmarkStart w:id="309" w:name="_Toc413922625"/>
      <w:bookmarkStart w:id="310" w:name="_Toc414955262"/>
      <w:bookmarkStart w:id="311" w:name="_Toc415214569"/>
      <w:bookmarkStart w:id="312" w:name="_Toc181624957"/>
      <w:r w:rsidRPr="00A34F10">
        <w:rPr>
          <w:rFonts w:cs="Times New Roman"/>
        </w:rPr>
        <w:t>Toxicity data</w:t>
      </w:r>
      <w:bookmarkEnd w:id="304"/>
      <w:bookmarkEnd w:id="305"/>
      <w:bookmarkEnd w:id="306"/>
      <w:bookmarkEnd w:id="307"/>
      <w:bookmarkEnd w:id="308"/>
      <w:bookmarkEnd w:id="309"/>
      <w:bookmarkEnd w:id="310"/>
      <w:bookmarkEnd w:id="311"/>
      <w:bookmarkEnd w:id="312"/>
    </w:p>
    <w:p w14:paraId="3F2239B5" w14:textId="77777777" w:rsidR="00DC5685" w:rsidRPr="00A34F10" w:rsidRDefault="00DC5685" w:rsidP="00DC5685">
      <w:pPr>
        <w:pStyle w:val="RepStandard"/>
        <w:suppressAutoHyphens/>
      </w:pPr>
      <w:bookmarkStart w:id="313" w:name="_Toc412643984"/>
      <w:bookmarkStart w:id="314" w:name="_Toc413916830"/>
      <w:bookmarkStart w:id="315" w:name="_Toc413916972"/>
      <w:bookmarkStart w:id="316" w:name="_Toc413922033"/>
      <w:bookmarkStart w:id="317" w:name="_Toc413922522"/>
      <w:bookmarkStart w:id="318" w:name="_Toc413922626"/>
      <w:bookmarkStart w:id="319" w:name="_Toc414955263"/>
      <w:bookmarkStart w:id="320" w:name="_Toc415214570"/>
      <w:bookmarkStart w:id="321" w:name="_Toc425512591"/>
      <w:bookmarkStart w:id="322" w:name="_Toc399487270"/>
      <w:bookmarkStart w:id="323" w:name="_Ref405399513"/>
      <w:r w:rsidRPr="00A34F10">
        <w:t>Mammalian toxicity studies have been carried out with Ametoctradin and Propamocarb. Full details of these studies are provided in the respective EU DARs and related documents.</w:t>
      </w:r>
    </w:p>
    <w:p w14:paraId="1F0C9F4F" w14:textId="77777777" w:rsidR="00DC5685" w:rsidRPr="00A34F10" w:rsidRDefault="00DC5685" w:rsidP="00DC5685">
      <w:pPr>
        <w:pStyle w:val="RepStandard"/>
        <w:suppressAutoHyphens/>
      </w:pPr>
    </w:p>
    <w:p w14:paraId="42486946" w14:textId="5EEE68D9" w:rsidR="00DC5685" w:rsidRPr="00A34F10" w:rsidRDefault="00DC5685" w:rsidP="00DC5685">
      <w:pPr>
        <w:pStyle w:val="RepStandard"/>
        <w:suppressAutoHyphens/>
      </w:pPr>
      <w:r w:rsidRPr="00A34F10">
        <w:t>Effects on mammals of BAS 743 03 F were not evaluated as part of the EU assessment of the active substances Ametoctradin and Propamocarb. A new acute oral study on the similar formulation BAS 743 02 F (containing 137.1 g/L Ametoctradin and 515.4 g/L Propamocarb-HCl) with rats submitted with this application is listed in Appendix 1 and summarised in Appendix 2. Since differences in co-formulants and/or their concentration between both formulations are considered minimal and both formulations are SC (suspension concentrates), it is assumed that bridging from BAS 743 02 F to BAS 743 03 F is acceptable. For details on the formulation compositions please refer to Part C of this submission. In addition, several ecotoxicological bridging studies have been performed with the formulation BAS 743 03 F on aquatic invertebrates (</w:t>
      </w:r>
      <w:r w:rsidRPr="00A34F10">
        <w:rPr>
          <w:i/>
          <w:iCs/>
        </w:rPr>
        <w:t>Daphnia magna</w:t>
      </w:r>
      <w:r w:rsidRPr="00A34F10">
        <w:t>, BAS Doc ID 2022/2033730), adult honey bees (</w:t>
      </w:r>
      <w:r w:rsidRPr="00A34F10">
        <w:rPr>
          <w:i/>
        </w:rPr>
        <w:t>Apis mellifera</w:t>
      </w:r>
      <w:r w:rsidRPr="00A34F10">
        <w:t xml:space="preserve">, acute oral and contact, </w:t>
      </w:r>
      <w:r w:rsidR="00482794">
        <w:t>XXXX</w:t>
      </w:r>
      <w:r w:rsidRPr="00A34F10">
        <w:t xml:space="preserve"> Doc ID 2022/2033729), non-target terrestrial arthropods (</w:t>
      </w:r>
      <w:r w:rsidRPr="00A34F10">
        <w:rPr>
          <w:i/>
        </w:rPr>
        <w:t xml:space="preserve">Aphidius rhopalosiphi, </w:t>
      </w:r>
      <w:r w:rsidR="00482794">
        <w:t>XXXX</w:t>
      </w:r>
      <w:r w:rsidRPr="00A34F10">
        <w:t xml:space="preserve"> Doc ID 2022/2033732) and chronic earthworms (</w:t>
      </w:r>
      <w:r w:rsidRPr="00A34F10">
        <w:rPr>
          <w:i/>
          <w:iCs/>
        </w:rPr>
        <w:t>Eisenia fetida</w:t>
      </w:r>
      <w:r w:rsidRPr="00A34F10">
        <w:t xml:space="preserve">, </w:t>
      </w:r>
      <w:r w:rsidR="00482794">
        <w:t>XXXX</w:t>
      </w:r>
      <w:r w:rsidRPr="00A34F10">
        <w:t xml:space="preserve"> Doc ID 2022/2033731) indicating no increased toxicity of BAS 743 03 F compared to BAS 743 02 F based on the content of active substance.</w:t>
      </w:r>
    </w:p>
    <w:p w14:paraId="6EFB7885" w14:textId="77777777" w:rsidR="00DC5685" w:rsidRPr="00A34F10" w:rsidRDefault="00DC5685" w:rsidP="00DC5685">
      <w:pPr>
        <w:pStyle w:val="RepStandard"/>
        <w:suppressAutoHyphens/>
      </w:pPr>
    </w:p>
    <w:p w14:paraId="404B7B34" w14:textId="77777777" w:rsidR="00DC5685" w:rsidRPr="00A34F10" w:rsidRDefault="00DC5685" w:rsidP="00DC5685">
      <w:pPr>
        <w:pStyle w:val="RepStandard"/>
        <w:suppressAutoHyphens/>
      </w:pPr>
      <w:r w:rsidRPr="00A34F10">
        <w:t>The selection of studies and endpoints for the risk assessment is in line with the results of the EU review process, plus the endpoint for the formulation has been taken into account.</w:t>
      </w:r>
    </w:p>
    <w:p w14:paraId="2AC26185" w14:textId="77777777" w:rsidR="00DC5685" w:rsidRPr="00A34F10" w:rsidRDefault="00DC5685" w:rsidP="00DC5685">
      <w:pPr>
        <w:pStyle w:val="RepStandard"/>
        <w:suppressAutoHyphens/>
      </w:pPr>
    </w:p>
    <w:p w14:paraId="7E23E6CE" w14:textId="77777777" w:rsidR="00DC5685" w:rsidRPr="00A34F10" w:rsidRDefault="00DC5685" w:rsidP="00DC5685">
      <w:pPr>
        <w:pStyle w:val="RepStandard"/>
        <w:suppressAutoHyphens/>
        <w:rPr>
          <w:b/>
          <w:u w:val="single"/>
        </w:rPr>
      </w:pPr>
      <w:r w:rsidRPr="00A34F10">
        <w:rPr>
          <w:b/>
          <w:u w:val="single"/>
        </w:rPr>
        <w:t>Active substances</w:t>
      </w:r>
    </w:p>
    <w:p w14:paraId="425A7595" w14:textId="77777777" w:rsidR="00DC5685" w:rsidRPr="00A34F10" w:rsidRDefault="00DC5685" w:rsidP="00DC5685">
      <w:pPr>
        <w:pStyle w:val="RepStandard"/>
        <w:suppressAutoHyphens/>
      </w:pPr>
    </w:p>
    <w:p w14:paraId="235D9BA3" w14:textId="162340F2" w:rsidR="00DC5685" w:rsidRPr="00A34F10" w:rsidRDefault="00DC5685" w:rsidP="00DC5685">
      <w:pPr>
        <w:pStyle w:val="RepStandard"/>
        <w:suppressAutoHyphens/>
      </w:pPr>
      <w:r w:rsidRPr="00A34F10">
        <w:t xml:space="preserve">An overview of the EU agreed endpoints for Ametoctradin is given in </w:t>
      </w:r>
      <w:fldSimple w:instr=" REF _Ref465316292  \* MERGEFORMAT ">
        <w:r w:rsidR="006F0F3B" w:rsidRPr="00A34F10">
          <w:t xml:space="preserve">Table </w:t>
        </w:r>
        <w:r w:rsidR="006F0F3B">
          <w:t>9.3</w:t>
        </w:r>
        <w:r w:rsidR="006F0F3B">
          <w:noBreakHyphen/>
          <w:t>1</w:t>
        </w:r>
      </w:fldSimple>
      <w:r w:rsidRPr="00A34F10">
        <w:t>. In case the selection of studies and endpoints for the risk assessment deviates from the results of the EU review process, justifications are provided below.</w:t>
      </w:r>
    </w:p>
    <w:p w14:paraId="59289321" w14:textId="2FB09045" w:rsidR="00DC5685" w:rsidRPr="00A34F10" w:rsidRDefault="00DC5685" w:rsidP="00DC5685">
      <w:pPr>
        <w:pStyle w:val="RepStandard"/>
        <w:suppressAutoHyphens/>
      </w:pPr>
    </w:p>
    <w:p w14:paraId="04A14DCE" w14:textId="1B831AEC" w:rsidR="00DC5685" w:rsidRPr="00A34F10" w:rsidRDefault="00DC5685" w:rsidP="00DC5685">
      <w:pPr>
        <w:pStyle w:val="RepLabel"/>
        <w:suppressAutoHyphens/>
      </w:pPr>
      <w:bookmarkStart w:id="324" w:name="_Ref465316292"/>
      <w:bookmarkStart w:id="325" w:name="_Hlk40012857"/>
      <w:r w:rsidRPr="00A34F10">
        <w:t xml:space="preserve">Table </w:t>
      </w:r>
      <w:fldSimple w:instr=" STYLEREF 2 \s ">
        <w:r w:rsidR="006F0F3B">
          <w:rPr>
            <w:noProof/>
          </w:rPr>
          <w:t>9.3</w:t>
        </w:r>
      </w:fldSimple>
      <w:r w:rsidR="007E7467">
        <w:noBreakHyphen/>
      </w:r>
      <w:fldSimple w:instr=" SEQ Table \* ARABIC \s 2 ">
        <w:r w:rsidR="006F0F3B">
          <w:rPr>
            <w:noProof/>
          </w:rPr>
          <w:t>1</w:t>
        </w:r>
      </w:fldSimple>
      <w:bookmarkEnd w:id="324"/>
      <w:r w:rsidRPr="00A34F10">
        <w:t>:</w:t>
      </w:r>
      <w:r w:rsidRPr="00A34F10">
        <w:tab/>
        <w:t>Ametoctradin (BAS 650 F): Endpoints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4"/>
        <w:gridCol w:w="1841"/>
        <w:gridCol w:w="1845"/>
        <w:gridCol w:w="1845"/>
        <w:gridCol w:w="1972"/>
      </w:tblGrid>
      <w:tr w:rsidR="00DC5685" w:rsidRPr="00A34F10" w14:paraId="65E3F11D" w14:textId="77777777" w:rsidTr="000470C3">
        <w:trPr>
          <w:tblHeader/>
        </w:trPr>
        <w:tc>
          <w:tcPr>
            <w:tcW w:w="986" w:type="pct"/>
            <w:shd w:val="clear" w:color="auto" w:fill="auto"/>
          </w:tcPr>
          <w:p w14:paraId="3B329221" w14:textId="77777777" w:rsidR="00DC5685" w:rsidRPr="00A34F10" w:rsidRDefault="00DC5685" w:rsidP="000470C3">
            <w:pPr>
              <w:pStyle w:val="RepTableHeader"/>
              <w:suppressAutoHyphens/>
              <w:rPr>
                <w:lang w:val="en-GB"/>
              </w:rPr>
            </w:pPr>
            <w:r w:rsidRPr="00A34F10">
              <w:rPr>
                <w:lang w:val="en-GB"/>
              </w:rPr>
              <w:t>Species</w:t>
            </w:r>
          </w:p>
        </w:tc>
        <w:tc>
          <w:tcPr>
            <w:tcW w:w="985" w:type="pct"/>
            <w:shd w:val="clear" w:color="auto" w:fill="auto"/>
          </w:tcPr>
          <w:p w14:paraId="1E1CE1F8" w14:textId="77777777" w:rsidR="00DC5685" w:rsidRPr="00A34F10" w:rsidRDefault="00DC5685" w:rsidP="000470C3">
            <w:pPr>
              <w:pStyle w:val="RepTableHeader"/>
              <w:suppressAutoHyphens/>
              <w:rPr>
                <w:lang w:val="en-GB"/>
              </w:rPr>
            </w:pPr>
            <w:r w:rsidRPr="00A34F10">
              <w:rPr>
                <w:lang w:val="en-GB"/>
              </w:rPr>
              <w:t>Substance</w:t>
            </w:r>
          </w:p>
        </w:tc>
        <w:tc>
          <w:tcPr>
            <w:tcW w:w="987" w:type="pct"/>
            <w:shd w:val="clear" w:color="auto" w:fill="auto"/>
          </w:tcPr>
          <w:p w14:paraId="5515A2BC" w14:textId="77777777" w:rsidR="00DC5685" w:rsidRPr="00A34F10" w:rsidRDefault="00DC5685" w:rsidP="000470C3">
            <w:pPr>
              <w:pStyle w:val="RepTableHeader"/>
              <w:suppressAutoHyphens/>
              <w:rPr>
                <w:lang w:val="en-GB"/>
              </w:rPr>
            </w:pPr>
            <w:r w:rsidRPr="00A34F10">
              <w:rPr>
                <w:lang w:val="en-GB"/>
              </w:rPr>
              <w:t>Exposure</w:t>
            </w:r>
          </w:p>
          <w:p w14:paraId="3A10F69D" w14:textId="77777777" w:rsidR="00DC5685" w:rsidRPr="00A34F10" w:rsidRDefault="00DC5685" w:rsidP="000470C3">
            <w:pPr>
              <w:pStyle w:val="RepTableHeader"/>
              <w:suppressAutoHyphens/>
              <w:rPr>
                <w:lang w:val="en-GB"/>
              </w:rPr>
            </w:pPr>
            <w:r w:rsidRPr="00A34F10">
              <w:rPr>
                <w:lang w:val="en-GB"/>
              </w:rPr>
              <w:t>System</w:t>
            </w:r>
          </w:p>
        </w:tc>
        <w:tc>
          <w:tcPr>
            <w:tcW w:w="987" w:type="pct"/>
            <w:shd w:val="clear" w:color="auto" w:fill="auto"/>
          </w:tcPr>
          <w:p w14:paraId="37D1C997" w14:textId="77777777" w:rsidR="00DC5685" w:rsidRPr="00A34F10" w:rsidRDefault="00DC5685" w:rsidP="000470C3">
            <w:pPr>
              <w:pStyle w:val="RepTableHeader"/>
              <w:suppressAutoHyphens/>
              <w:rPr>
                <w:lang w:val="en-GB"/>
              </w:rPr>
            </w:pPr>
            <w:r w:rsidRPr="00A34F10">
              <w:rPr>
                <w:lang w:val="en-GB"/>
              </w:rPr>
              <w:t>Results</w:t>
            </w:r>
          </w:p>
        </w:tc>
        <w:tc>
          <w:tcPr>
            <w:tcW w:w="1055" w:type="pct"/>
            <w:shd w:val="clear" w:color="auto" w:fill="auto"/>
          </w:tcPr>
          <w:p w14:paraId="062F768F" w14:textId="77777777" w:rsidR="00DC5685" w:rsidRPr="00A34F10" w:rsidRDefault="00DC5685" w:rsidP="000470C3">
            <w:pPr>
              <w:pStyle w:val="RepTableHeader"/>
              <w:suppressAutoHyphens/>
              <w:rPr>
                <w:lang w:val="en-GB"/>
              </w:rPr>
            </w:pPr>
            <w:r w:rsidRPr="00A34F10">
              <w:rPr>
                <w:lang w:val="en-GB"/>
              </w:rPr>
              <w:t>Reference</w:t>
            </w:r>
          </w:p>
        </w:tc>
      </w:tr>
      <w:bookmarkEnd w:id="325"/>
      <w:tr w:rsidR="00DC5685" w:rsidRPr="00A34F10" w14:paraId="49894EA5" w14:textId="77777777" w:rsidTr="000470C3">
        <w:tc>
          <w:tcPr>
            <w:tcW w:w="986" w:type="pct"/>
            <w:shd w:val="clear" w:color="auto" w:fill="auto"/>
          </w:tcPr>
          <w:p w14:paraId="74A5C2F8" w14:textId="77777777" w:rsidR="00DC5685" w:rsidRPr="00A34F10" w:rsidRDefault="00DC5685" w:rsidP="000470C3">
            <w:pPr>
              <w:pStyle w:val="RepTable"/>
              <w:suppressAutoHyphens/>
              <w:rPr>
                <w:noProof w:val="0"/>
                <w:szCs w:val="20"/>
              </w:rPr>
            </w:pPr>
            <w:r w:rsidRPr="00A34F10">
              <w:rPr>
                <w:noProof w:val="0"/>
                <w:szCs w:val="20"/>
              </w:rPr>
              <w:t>Rat</w:t>
            </w:r>
          </w:p>
        </w:tc>
        <w:tc>
          <w:tcPr>
            <w:tcW w:w="985" w:type="pct"/>
            <w:shd w:val="clear" w:color="auto" w:fill="auto"/>
          </w:tcPr>
          <w:p w14:paraId="16359158" w14:textId="77777777" w:rsidR="00DC5685" w:rsidRPr="00A34F10" w:rsidRDefault="00DC5685" w:rsidP="000470C3">
            <w:pPr>
              <w:suppressAutoHyphens/>
              <w:rPr>
                <w:sz w:val="20"/>
                <w:szCs w:val="20"/>
                <w:lang w:val="en-GB"/>
              </w:rPr>
            </w:pPr>
            <w:r w:rsidRPr="00A34F10">
              <w:rPr>
                <w:sz w:val="20"/>
                <w:szCs w:val="20"/>
              </w:rPr>
              <w:t>Ametoctradin</w:t>
            </w:r>
          </w:p>
        </w:tc>
        <w:tc>
          <w:tcPr>
            <w:tcW w:w="987" w:type="pct"/>
            <w:shd w:val="clear" w:color="auto" w:fill="auto"/>
          </w:tcPr>
          <w:p w14:paraId="20158A27"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987" w:type="pct"/>
            <w:shd w:val="clear" w:color="auto" w:fill="auto"/>
          </w:tcPr>
          <w:p w14:paraId="7561C1F2" w14:textId="77777777" w:rsidR="00DC5685" w:rsidRPr="00A34F10" w:rsidRDefault="00DC5685" w:rsidP="000470C3">
            <w:pPr>
              <w:pStyle w:val="RepTable"/>
              <w:suppressAutoHyphens/>
              <w:rPr>
                <w:noProof w:val="0"/>
                <w:szCs w:val="20"/>
              </w:rPr>
            </w:pPr>
            <w:r w:rsidRPr="00A34F10">
              <w:rPr>
                <w:noProof w:val="0"/>
                <w:szCs w:val="20"/>
              </w:rPr>
              <w:t>LD</w:t>
            </w:r>
            <w:r w:rsidRPr="00A34F10">
              <w:rPr>
                <w:noProof w:val="0"/>
                <w:szCs w:val="20"/>
                <w:vertAlign w:val="subscript"/>
              </w:rPr>
              <w:t>50</w:t>
            </w:r>
            <w:r w:rsidRPr="00A34F10">
              <w:rPr>
                <w:noProof w:val="0"/>
                <w:szCs w:val="20"/>
              </w:rPr>
              <w:t xml:space="preserve"> &gt; 2000 mg/kg bw</w:t>
            </w:r>
          </w:p>
        </w:tc>
        <w:tc>
          <w:tcPr>
            <w:tcW w:w="1055" w:type="pct"/>
            <w:shd w:val="clear" w:color="auto" w:fill="auto"/>
          </w:tcPr>
          <w:p w14:paraId="425A6191" w14:textId="77777777" w:rsidR="00DC5685" w:rsidRPr="00A34F10" w:rsidRDefault="00DC5685" w:rsidP="000470C3">
            <w:pPr>
              <w:pStyle w:val="RepTable"/>
              <w:suppressAutoHyphens/>
              <w:rPr>
                <w:noProof w:val="0"/>
                <w:szCs w:val="20"/>
              </w:rPr>
            </w:pPr>
            <w:r w:rsidRPr="00A34F10">
              <w:rPr>
                <w:noProof w:val="0"/>
                <w:szCs w:val="20"/>
              </w:rPr>
              <w:t>EFSA Journal 2012, 10(11): 2921;</w:t>
            </w:r>
          </w:p>
          <w:p w14:paraId="205DCCDF" w14:textId="77777777" w:rsidR="00DC5685" w:rsidRPr="00A34F10" w:rsidRDefault="00DC5685" w:rsidP="000470C3">
            <w:pPr>
              <w:widowControl w:val="0"/>
              <w:suppressAutoHyphens/>
              <w:rPr>
                <w:sz w:val="20"/>
                <w:szCs w:val="20"/>
                <w:lang w:val="en-GB"/>
              </w:rPr>
            </w:pPr>
            <w:r w:rsidRPr="00A34F10">
              <w:rPr>
                <w:rFonts w:eastAsia="Batang"/>
                <w:bCs/>
                <w:sz w:val="20"/>
                <w:szCs w:val="20"/>
                <w:lang w:eastAsia="zh-CN"/>
              </w:rPr>
              <w:t>2006/1025795</w:t>
            </w:r>
          </w:p>
        </w:tc>
      </w:tr>
      <w:tr w:rsidR="00DC5685" w:rsidRPr="00A34F10" w14:paraId="08C47CA8" w14:textId="77777777" w:rsidTr="000470C3">
        <w:tc>
          <w:tcPr>
            <w:tcW w:w="986" w:type="pct"/>
            <w:shd w:val="clear" w:color="auto" w:fill="auto"/>
          </w:tcPr>
          <w:p w14:paraId="339ADC4B" w14:textId="77777777" w:rsidR="00DC5685" w:rsidRPr="00A34F10" w:rsidRDefault="00DC5685" w:rsidP="000470C3">
            <w:pPr>
              <w:pStyle w:val="RepTable"/>
              <w:suppressAutoHyphens/>
              <w:rPr>
                <w:noProof w:val="0"/>
                <w:szCs w:val="20"/>
              </w:rPr>
            </w:pPr>
            <w:r w:rsidRPr="00A34F10">
              <w:rPr>
                <w:noProof w:val="0"/>
                <w:szCs w:val="20"/>
              </w:rPr>
              <w:t>Rat</w:t>
            </w:r>
          </w:p>
        </w:tc>
        <w:tc>
          <w:tcPr>
            <w:tcW w:w="985" w:type="pct"/>
            <w:shd w:val="clear" w:color="auto" w:fill="auto"/>
          </w:tcPr>
          <w:p w14:paraId="5702069B" w14:textId="77777777" w:rsidR="00DC5685" w:rsidRPr="00A34F10" w:rsidRDefault="00DC5685" w:rsidP="000470C3">
            <w:pPr>
              <w:suppressAutoHyphens/>
              <w:rPr>
                <w:sz w:val="20"/>
                <w:szCs w:val="20"/>
                <w:lang w:val="en-GB"/>
              </w:rPr>
            </w:pPr>
            <w:r w:rsidRPr="00A34F10">
              <w:rPr>
                <w:sz w:val="20"/>
                <w:szCs w:val="20"/>
              </w:rPr>
              <w:t>Ametoctradin</w:t>
            </w:r>
          </w:p>
        </w:tc>
        <w:tc>
          <w:tcPr>
            <w:tcW w:w="987" w:type="pct"/>
            <w:shd w:val="clear" w:color="auto" w:fill="auto"/>
          </w:tcPr>
          <w:p w14:paraId="03C44E97" w14:textId="77777777" w:rsidR="00DC5685" w:rsidRPr="00A34F10" w:rsidRDefault="00DC5685" w:rsidP="000470C3">
            <w:pPr>
              <w:suppressAutoHyphens/>
              <w:rPr>
                <w:sz w:val="20"/>
                <w:szCs w:val="20"/>
                <w:lang w:val="en-GB"/>
              </w:rPr>
            </w:pPr>
            <w:r w:rsidRPr="00A34F10">
              <w:rPr>
                <w:sz w:val="20"/>
                <w:szCs w:val="20"/>
              </w:rPr>
              <w:t>Dietary</w:t>
            </w:r>
            <w:r w:rsidRPr="00A34F10">
              <w:rPr>
                <w:sz w:val="20"/>
                <w:szCs w:val="20"/>
              </w:rPr>
              <w:br/>
              <w:t>Reproductive toxicity</w:t>
            </w:r>
            <w:r w:rsidRPr="00A34F10">
              <w:rPr>
                <w:sz w:val="20"/>
                <w:szCs w:val="20"/>
              </w:rPr>
              <w:br/>
              <w:t>Two-generation study</w:t>
            </w:r>
          </w:p>
        </w:tc>
        <w:tc>
          <w:tcPr>
            <w:tcW w:w="987" w:type="pct"/>
            <w:shd w:val="clear" w:color="auto" w:fill="auto"/>
          </w:tcPr>
          <w:p w14:paraId="1D07A803" w14:textId="77777777" w:rsidR="00DC5685" w:rsidRPr="00A34F10" w:rsidRDefault="00DC5685" w:rsidP="000470C3">
            <w:pPr>
              <w:widowControl w:val="0"/>
              <w:suppressAutoHyphens/>
              <w:rPr>
                <w:rFonts w:eastAsia="Batang"/>
                <w:sz w:val="20"/>
                <w:szCs w:val="20"/>
                <w:vertAlign w:val="superscript"/>
                <w:lang w:eastAsia="zh-CN"/>
              </w:rPr>
            </w:pPr>
            <w:r w:rsidRPr="00A34F10">
              <w:rPr>
                <w:rFonts w:eastAsia="Batang"/>
                <w:sz w:val="20"/>
                <w:szCs w:val="20"/>
                <w:lang w:eastAsia="zh-CN"/>
              </w:rPr>
              <w:t>NOAEL</w:t>
            </w:r>
            <w:r w:rsidRPr="00A34F10">
              <w:rPr>
                <w:rFonts w:eastAsia="Batang"/>
                <w:sz w:val="20"/>
                <w:szCs w:val="20"/>
                <w:vertAlign w:val="subscript"/>
                <w:lang w:eastAsia="zh-CN"/>
              </w:rPr>
              <w:t>parental</w:t>
            </w:r>
            <w:r w:rsidRPr="00A34F10">
              <w:rPr>
                <w:rFonts w:eastAsia="Batang"/>
                <w:sz w:val="20"/>
                <w:szCs w:val="20"/>
                <w:lang w:eastAsia="zh-CN"/>
              </w:rPr>
              <w:t xml:space="preserve"> = 939 mg a.s./kg bw/d</w:t>
            </w:r>
          </w:p>
          <w:p w14:paraId="49C5348F" w14:textId="77777777" w:rsidR="00DC5685" w:rsidRPr="00A34F10" w:rsidRDefault="00DC5685" w:rsidP="000470C3">
            <w:pPr>
              <w:widowControl w:val="0"/>
              <w:suppressAutoHyphens/>
              <w:rPr>
                <w:rFonts w:eastAsia="Batang"/>
                <w:sz w:val="20"/>
                <w:szCs w:val="20"/>
                <w:vertAlign w:val="superscript"/>
                <w:lang w:eastAsia="zh-CN"/>
              </w:rPr>
            </w:pPr>
            <w:r w:rsidRPr="00A34F10">
              <w:rPr>
                <w:rFonts w:eastAsia="Batang"/>
                <w:sz w:val="20"/>
                <w:szCs w:val="20"/>
                <w:lang w:eastAsia="zh-CN"/>
              </w:rPr>
              <w:t>NOAEL</w:t>
            </w:r>
            <w:r w:rsidRPr="00A34F10">
              <w:rPr>
                <w:rFonts w:eastAsia="Batang"/>
                <w:sz w:val="20"/>
                <w:szCs w:val="20"/>
                <w:vertAlign w:val="subscript"/>
                <w:lang w:eastAsia="zh-CN"/>
              </w:rPr>
              <w:t>reproductive</w:t>
            </w:r>
            <w:r w:rsidRPr="00A34F10">
              <w:rPr>
                <w:rFonts w:eastAsia="Batang"/>
                <w:sz w:val="20"/>
                <w:szCs w:val="20"/>
                <w:lang w:eastAsia="zh-CN"/>
              </w:rPr>
              <w:t xml:space="preserve"> = 939 mg a.s./kg bw/d</w:t>
            </w:r>
          </w:p>
          <w:p w14:paraId="2D7E3801" w14:textId="77777777" w:rsidR="00DC5685" w:rsidRPr="00A34F10" w:rsidRDefault="00DC5685" w:rsidP="000470C3">
            <w:pPr>
              <w:suppressAutoHyphens/>
              <w:rPr>
                <w:sz w:val="20"/>
                <w:szCs w:val="20"/>
                <w:lang w:val="en-GB"/>
              </w:rPr>
            </w:pPr>
            <w:r w:rsidRPr="00A34F10">
              <w:rPr>
                <w:rFonts w:eastAsia="Batang"/>
                <w:sz w:val="20"/>
                <w:szCs w:val="20"/>
                <w:lang w:eastAsia="zh-CN"/>
              </w:rPr>
              <w:t>NOAEL</w:t>
            </w:r>
            <w:r w:rsidRPr="00A34F10">
              <w:rPr>
                <w:rFonts w:eastAsia="Batang"/>
                <w:sz w:val="20"/>
                <w:szCs w:val="20"/>
                <w:vertAlign w:val="subscript"/>
                <w:lang w:eastAsia="zh-CN"/>
              </w:rPr>
              <w:t>offspring</w:t>
            </w:r>
            <w:r w:rsidRPr="00A34F10">
              <w:rPr>
                <w:rFonts w:eastAsia="Batang"/>
                <w:sz w:val="20"/>
                <w:szCs w:val="20"/>
                <w:lang w:eastAsia="zh-CN"/>
              </w:rPr>
              <w:t xml:space="preserve"> = 939 mg a.s./kg bw/d</w:t>
            </w:r>
          </w:p>
        </w:tc>
        <w:tc>
          <w:tcPr>
            <w:tcW w:w="1055" w:type="pct"/>
            <w:shd w:val="clear" w:color="auto" w:fill="auto"/>
          </w:tcPr>
          <w:p w14:paraId="5E3740F9" w14:textId="77777777" w:rsidR="00DC5685" w:rsidRPr="00A34F10" w:rsidRDefault="00DC5685" w:rsidP="000470C3">
            <w:pPr>
              <w:pStyle w:val="RepTable"/>
              <w:suppressAutoHyphens/>
              <w:rPr>
                <w:noProof w:val="0"/>
                <w:szCs w:val="20"/>
              </w:rPr>
            </w:pPr>
            <w:r w:rsidRPr="00A34F10">
              <w:rPr>
                <w:rFonts w:eastAsiaTheme="minorHAnsi"/>
                <w:noProof w:val="0"/>
                <w:szCs w:val="20"/>
              </w:rPr>
              <w:t xml:space="preserve">EFSA Journal 2012, 10(11): 2921; </w:t>
            </w:r>
            <w:r w:rsidRPr="00A34F10">
              <w:rPr>
                <w:rFonts w:eastAsia="Batang"/>
                <w:noProof w:val="0"/>
                <w:szCs w:val="20"/>
                <w:lang w:eastAsia="zh-CN"/>
              </w:rPr>
              <w:t>2008/1014201</w:t>
            </w:r>
          </w:p>
        </w:tc>
      </w:tr>
      <w:tr w:rsidR="00DC5685" w:rsidRPr="00A34F10" w14:paraId="641C8689" w14:textId="77777777" w:rsidTr="000470C3">
        <w:tc>
          <w:tcPr>
            <w:tcW w:w="986" w:type="pct"/>
            <w:shd w:val="clear" w:color="auto" w:fill="auto"/>
          </w:tcPr>
          <w:p w14:paraId="74EEF798" w14:textId="77777777" w:rsidR="00DC5685" w:rsidRPr="00A34F10" w:rsidRDefault="00DC5685" w:rsidP="000470C3">
            <w:pPr>
              <w:pStyle w:val="RepTable"/>
              <w:suppressAutoHyphens/>
              <w:rPr>
                <w:noProof w:val="0"/>
                <w:szCs w:val="20"/>
              </w:rPr>
            </w:pPr>
            <w:r w:rsidRPr="00A34F10">
              <w:rPr>
                <w:noProof w:val="0"/>
                <w:szCs w:val="20"/>
              </w:rPr>
              <w:t>Rat</w:t>
            </w:r>
          </w:p>
        </w:tc>
        <w:tc>
          <w:tcPr>
            <w:tcW w:w="985" w:type="pct"/>
            <w:shd w:val="clear" w:color="auto" w:fill="auto"/>
          </w:tcPr>
          <w:p w14:paraId="0E9D75C3" w14:textId="77777777" w:rsidR="00DC5685" w:rsidRPr="00A34F10" w:rsidRDefault="00DC5685" w:rsidP="000470C3">
            <w:pPr>
              <w:suppressAutoHyphens/>
              <w:rPr>
                <w:sz w:val="20"/>
                <w:szCs w:val="20"/>
                <w:lang w:val="en-GB"/>
              </w:rPr>
            </w:pPr>
            <w:r w:rsidRPr="00A34F10">
              <w:rPr>
                <w:sz w:val="20"/>
                <w:szCs w:val="20"/>
              </w:rPr>
              <w:t>Ametoctradin</w:t>
            </w:r>
          </w:p>
        </w:tc>
        <w:tc>
          <w:tcPr>
            <w:tcW w:w="987" w:type="pct"/>
            <w:shd w:val="clear" w:color="auto" w:fill="auto"/>
          </w:tcPr>
          <w:p w14:paraId="49BB70E9" w14:textId="77777777" w:rsidR="00DC5685" w:rsidRPr="00A34F10" w:rsidRDefault="00DC5685" w:rsidP="000470C3">
            <w:pPr>
              <w:suppressAutoHyphens/>
              <w:rPr>
                <w:sz w:val="20"/>
                <w:szCs w:val="20"/>
                <w:lang w:val="en-GB"/>
              </w:rPr>
            </w:pPr>
            <w:r w:rsidRPr="00A34F10">
              <w:rPr>
                <w:sz w:val="20"/>
                <w:szCs w:val="20"/>
              </w:rPr>
              <w:t>Oral</w:t>
            </w:r>
            <w:r w:rsidRPr="00A34F10">
              <w:rPr>
                <w:sz w:val="20"/>
                <w:szCs w:val="20"/>
              </w:rPr>
              <w:br/>
              <w:t>Developmental toxicity</w:t>
            </w:r>
          </w:p>
        </w:tc>
        <w:tc>
          <w:tcPr>
            <w:tcW w:w="987" w:type="pct"/>
            <w:shd w:val="clear" w:color="auto" w:fill="auto"/>
          </w:tcPr>
          <w:p w14:paraId="36E787E4" w14:textId="77777777" w:rsidR="00DC5685" w:rsidRPr="00A34F10" w:rsidRDefault="00DC5685" w:rsidP="000470C3">
            <w:pPr>
              <w:widowControl w:val="0"/>
              <w:suppressAutoHyphens/>
              <w:rPr>
                <w:rFonts w:eastAsia="Batang"/>
                <w:sz w:val="20"/>
                <w:szCs w:val="20"/>
                <w:vertAlign w:val="superscript"/>
                <w:lang w:val="de-DE" w:eastAsia="zh-CN"/>
              </w:rPr>
            </w:pPr>
            <w:r w:rsidRPr="00A34F10">
              <w:rPr>
                <w:rFonts w:eastAsia="Batang"/>
                <w:sz w:val="20"/>
                <w:szCs w:val="20"/>
                <w:lang w:val="de-DE" w:eastAsia="zh-CN"/>
              </w:rPr>
              <w:t>NOAEL</w:t>
            </w:r>
            <w:r w:rsidRPr="00A34F10">
              <w:rPr>
                <w:rFonts w:eastAsia="Batang"/>
                <w:sz w:val="20"/>
                <w:szCs w:val="20"/>
                <w:vertAlign w:val="subscript"/>
                <w:lang w:val="de-DE" w:eastAsia="zh-CN"/>
              </w:rPr>
              <w:t>maternal</w:t>
            </w:r>
            <w:r w:rsidRPr="00A34F10">
              <w:rPr>
                <w:rFonts w:eastAsia="Batang"/>
                <w:sz w:val="20"/>
                <w:szCs w:val="20"/>
                <w:lang w:val="de-DE" w:eastAsia="zh-CN"/>
              </w:rPr>
              <w:t xml:space="preserve"> = 1000 mg a.s./kg bw/d</w:t>
            </w:r>
          </w:p>
          <w:p w14:paraId="6B550939" w14:textId="77777777" w:rsidR="00DC5685" w:rsidRPr="00A34F10" w:rsidRDefault="00DC5685" w:rsidP="000470C3">
            <w:pPr>
              <w:suppressAutoHyphens/>
              <w:rPr>
                <w:sz w:val="20"/>
                <w:szCs w:val="20"/>
                <w:lang w:val="en-GB"/>
              </w:rPr>
            </w:pPr>
            <w:r w:rsidRPr="00A34F10">
              <w:rPr>
                <w:rFonts w:eastAsia="Batang"/>
                <w:sz w:val="20"/>
                <w:szCs w:val="20"/>
                <w:lang w:eastAsia="zh-CN"/>
              </w:rPr>
              <w:t>NOAEL</w:t>
            </w:r>
            <w:r w:rsidRPr="00A34F10">
              <w:rPr>
                <w:rFonts w:eastAsia="Batang"/>
                <w:sz w:val="20"/>
                <w:szCs w:val="20"/>
                <w:vertAlign w:val="subscript"/>
                <w:lang w:eastAsia="zh-CN"/>
              </w:rPr>
              <w:t>developmental</w:t>
            </w:r>
            <w:r w:rsidRPr="00A34F10">
              <w:rPr>
                <w:rFonts w:eastAsia="Batang"/>
                <w:sz w:val="20"/>
                <w:szCs w:val="20"/>
                <w:lang w:eastAsia="zh-CN"/>
              </w:rPr>
              <w:t xml:space="preserve"> = 1000 mg a.s./kg bw/d</w:t>
            </w:r>
          </w:p>
        </w:tc>
        <w:tc>
          <w:tcPr>
            <w:tcW w:w="1055" w:type="pct"/>
            <w:shd w:val="clear" w:color="auto" w:fill="auto"/>
          </w:tcPr>
          <w:p w14:paraId="384FAFEA" w14:textId="77777777" w:rsidR="00DC5685" w:rsidRPr="00A34F10" w:rsidRDefault="00DC5685" w:rsidP="000470C3">
            <w:pPr>
              <w:pStyle w:val="RepTable"/>
              <w:suppressAutoHyphens/>
              <w:rPr>
                <w:rFonts w:eastAsiaTheme="minorHAnsi"/>
                <w:noProof w:val="0"/>
                <w:szCs w:val="20"/>
              </w:rPr>
            </w:pPr>
            <w:r w:rsidRPr="00A34F10">
              <w:rPr>
                <w:rFonts w:eastAsiaTheme="minorHAnsi"/>
                <w:noProof w:val="0"/>
                <w:szCs w:val="20"/>
              </w:rPr>
              <w:t xml:space="preserve">EFSA Journal 2012, 10(11): 2921; </w:t>
            </w:r>
            <w:r w:rsidRPr="00A34F10">
              <w:rPr>
                <w:rFonts w:eastAsia="Batang"/>
                <w:bCs/>
                <w:noProof w:val="0"/>
                <w:szCs w:val="20"/>
                <w:lang w:eastAsia="zh-CN"/>
              </w:rPr>
              <w:t>2006/1024669</w:t>
            </w:r>
          </w:p>
        </w:tc>
      </w:tr>
      <w:tr w:rsidR="00DC5685" w:rsidRPr="00A34F10" w14:paraId="79FD3C2D" w14:textId="77777777" w:rsidTr="000470C3">
        <w:tc>
          <w:tcPr>
            <w:tcW w:w="986" w:type="pct"/>
            <w:shd w:val="clear" w:color="auto" w:fill="auto"/>
          </w:tcPr>
          <w:p w14:paraId="35623081" w14:textId="77777777" w:rsidR="00DC5685" w:rsidRPr="00A34F10" w:rsidRDefault="00DC5685" w:rsidP="000470C3">
            <w:pPr>
              <w:pStyle w:val="RepTable"/>
              <w:suppressAutoHyphens/>
              <w:rPr>
                <w:noProof w:val="0"/>
                <w:szCs w:val="20"/>
              </w:rPr>
            </w:pPr>
            <w:r w:rsidRPr="00A34F10">
              <w:rPr>
                <w:noProof w:val="0"/>
                <w:szCs w:val="20"/>
              </w:rPr>
              <w:t>Rabbit</w:t>
            </w:r>
          </w:p>
        </w:tc>
        <w:tc>
          <w:tcPr>
            <w:tcW w:w="985" w:type="pct"/>
            <w:shd w:val="clear" w:color="auto" w:fill="auto"/>
          </w:tcPr>
          <w:p w14:paraId="12EB8C93" w14:textId="77777777" w:rsidR="00DC5685" w:rsidRPr="00A34F10" w:rsidRDefault="00DC5685" w:rsidP="000470C3">
            <w:pPr>
              <w:pStyle w:val="RepTable"/>
              <w:suppressAutoHyphens/>
              <w:rPr>
                <w:noProof w:val="0"/>
                <w:szCs w:val="20"/>
              </w:rPr>
            </w:pPr>
            <w:r w:rsidRPr="00A34F10">
              <w:rPr>
                <w:noProof w:val="0"/>
                <w:szCs w:val="20"/>
              </w:rPr>
              <w:t>Ametoctradin</w:t>
            </w:r>
          </w:p>
        </w:tc>
        <w:tc>
          <w:tcPr>
            <w:tcW w:w="987" w:type="pct"/>
            <w:shd w:val="clear" w:color="auto" w:fill="auto"/>
          </w:tcPr>
          <w:p w14:paraId="717C905B"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Developmental toxicity</w:t>
            </w:r>
          </w:p>
        </w:tc>
        <w:tc>
          <w:tcPr>
            <w:tcW w:w="987" w:type="pct"/>
            <w:shd w:val="clear" w:color="auto" w:fill="auto"/>
          </w:tcPr>
          <w:p w14:paraId="52BAF2A9" w14:textId="77777777" w:rsidR="00DC5685" w:rsidRPr="00A34F10" w:rsidRDefault="00DC5685" w:rsidP="000470C3">
            <w:pPr>
              <w:widowControl w:val="0"/>
              <w:suppressAutoHyphens/>
              <w:rPr>
                <w:rFonts w:eastAsia="Batang"/>
                <w:sz w:val="20"/>
                <w:szCs w:val="20"/>
                <w:vertAlign w:val="superscript"/>
                <w:lang w:val="de-DE" w:eastAsia="zh-CN"/>
              </w:rPr>
            </w:pPr>
            <w:r w:rsidRPr="00A34F10">
              <w:rPr>
                <w:rFonts w:eastAsia="Batang"/>
                <w:sz w:val="20"/>
                <w:szCs w:val="20"/>
                <w:lang w:val="de-DE" w:eastAsia="zh-CN"/>
              </w:rPr>
              <w:t>NOAEL</w:t>
            </w:r>
            <w:r w:rsidRPr="00A34F10">
              <w:rPr>
                <w:rFonts w:eastAsia="Batang"/>
                <w:sz w:val="20"/>
                <w:szCs w:val="20"/>
                <w:vertAlign w:val="subscript"/>
                <w:lang w:val="de-DE" w:eastAsia="zh-CN"/>
              </w:rPr>
              <w:t>maternal</w:t>
            </w:r>
            <w:r w:rsidRPr="00A34F10">
              <w:rPr>
                <w:rFonts w:eastAsia="Batang"/>
                <w:sz w:val="20"/>
                <w:szCs w:val="20"/>
                <w:lang w:val="de-DE" w:eastAsia="zh-CN"/>
              </w:rPr>
              <w:t xml:space="preserve"> = 1000 mg a.s./kg bw/d</w:t>
            </w:r>
          </w:p>
          <w:p w14:paraId="68FC241E" w14:textId="77777777" w:rsidR="00DC5685" w:rsidRPr="00A34F10" w:rsidRDefault="00DC5685" w:rsidP="000470C3">
            <w:pPr>
              <w:pStyle w:val="RepTable"/>
              <w:suppressAutoHyphens/>
              <w:rPr>
                <w:noProof w:val="0"/>
                <w:szCs w:val="20"/>
              </w:rPr>
            </w:pPr>
            <w:r w:rsidRPr="00A34F10">
              <w:rPr>
                <w:rFonts w:eastAsia="Batang"/>
                <w:noProof w:val="0"/>
                <w:szCs w:val="20"/>
                <w:lang w:eastAsia="zh-CN"/>
              </w:rPr>
              <w:t>NOAEL</w:t>
            </w:r>
            <w:r w:rsidRPr="00A34F10">
              <w:rPr>
                <w:rFonts w:eastAsia="Batang"/>
                <w:noProof w:val="0"/>
                <w:szCs w:val="20"/>
                <w:vertAlign w:val="subscript"/>
                <w:lang w:eastAsia="zh-CN"/>
              </w:rPr>
              <w:t>developmental</w:t>
            </w:r>
            <w:r w:rsidRPr="00A34F10">
              <w:rPr>
                <w:rFonts w:eastAsia="Batang"/>
                <w:noProof w:val="0"/>
                <w:szCs w:val="20"/>
                <w:lang w:eastAsia="zh-CN"/>
              </w:rPr>
              <w:t xml:space="preserve"> = </w:t>
            </w:r>
            <w:r w:rsidRPr="00A34F10">
              <w:rPr>
                <w:rFonts w:eastAsia="Batang"/>
                <w:noProof w:val="0"/>
                <w:szCs w:val="20"/>
                <w:lang w:eastAsia="zh-CN"/>
              </w:rPr>
              <w:lastRenderedPageBreak/>
              <w:t>1000 mg a.s./kg bw/d</w:t>
            </w:r>
          </w:p>
        </w:tc>
        <w:tc>
          <w:tcPr>
            <w:tcW w:w="1055" w:type="pct"/>
            <w:shd w:val="clear" w:color="auto" w:fill="auto"/>
          </w:tcPr>
          <w:p w14:paraId="2C02943A" w14:textId="77777777" w:rsidR="00DC5685" w:rsidRPr="00A34F10" w:rsidRDefault="00DC5685" w:rsidP="000470C3">
            <w:pPr>
              <w:pStyle w:val="RepTable"/>
              <w:suppressAutoHyphens/>
              <w:rPr>
                <w:noProof w:val="0"/>
                <w:szCs w:val="20"/>
              </w:rPr>
            </w:pPr>
            <w:r w:rsidRPr="00A34F10">
              <w:rPr>
                <w:rFonts w:eastAsiaTheme="minorHAnsi"/>
                <w:noProof w:val="0"/>
                <w:szCs w:val="20"/>
              </w:rPr>
              <w:lastRenderedPageBreak/>
              <w:t xml:space="preserve">EFSA Journal 2012, 10(11): 2921; </w:t>
            </w:r>
            <w:r w:rsidRPr="00A34F10">
              <w:rPr>
                <w:rFonts w:eastAsia="Batang"/>
                <w:bCs/>
                <w:noProof w:val="0"/>
                <w:szCs w:val="20"/>
                <w:lang w:eastAsia="zh-CN"/>
              </w:rPr>
              <w:t>2008/1033420</w:t>
            </w:r>
          </w:p>
        </w:tc>
      </w:tr>
      <w:tr w:rsidR="00DC5685" w:rsidRPr="00A34F10" w14:paraId="73C6DD24" w14:textId="77777777" w:rsidTr="000470C3">
        <w:tc>
          <w:tcPr>
            <w:tcW w:w="986" w:type="pct"/>
            <w:shd w:val="clear" w:color="auto" w:fill="auto"/>
          </w:tcPr>
          <w:p w14:paraId="02FA72A7" w14:textId="77777777" w:rsidR="00DC5685" w:rsidRPr="00A34F10" w:rsidRDefault="00DC5685" w:rsidP="000470C3">
            <w:pPr>
              <w:pStyle w:val="RepTable"/>
              <w:suppressAutoHyphens/>
              <w:rPr>
                <w:noProof w:val="0"/>
                <w:szCs w:val="20"/>
              </w:rPr>
            </w:pPr>
            <w:r w:rsidRPr="00A34F10">
              <w:rPr>
                <w:b/>
                <w:noProof w:val="0"/>
                <w:szCs w:val="20"/>
              </w:rPr>
              <w:t>Endpoint used for acute risk assessments</w:t>
            </w:r>
          </w:p>
        </w:tc>
        <w:tc>
          <w:tcPr>
            <w:tcW w:w="985" w:type="pct"/>
            <w:shd w:val="clear" w:color="auto" w:fill="auto"/>
          </w:tcPr>
          <w:p w14:paraId="5D0D1E26" w14:textId="77777777" w:rsidR="00DC5685" w:rsidRPr="00A34F10" w:rsidRDefault="00DC5685" w:rsidP="000470C3">
            <w:pPr>
              <w:pStyle w:val="RepTable"/>
              <w:suppressAutoHyphens/>
              <w:rPr>
                <w:noProof w:val="0"/>
                <w:szCs w:val="20"/>
              </w:rPr>
            </w:pPr>
            <w:r w:rsidRPr="00A34F10">
              <w:rPr>
                <w:b/>
                <w:noProof w:val="0"/>
                <w:szCs w:val="20"/>
              </w:rPr>
              <w:t>Ametoctradin</w:t>
            </w:r>
          </w:p>
        </w:tc>
        <w:tc>
          <w:tcPr>
            <w:tcW w:w="987" w:type="pct"/>
            <w:shd w:val="clear" w:color="auto" w:fill="auto"/>
          </w:tcPr>
          <w:p w14:paraId="5B4A7B76" w14:textId="77777777" w:rsidR="00DC5685" w:rsidRPr="00A34F10" w:rsidRDefault="00DC5685" w:rsidP="000470C3">
            <w:pPr>
              <w:pStyle w:val="RepTable"/>
              <w:suppressAutoHyphens/>
              <w:rPr>
                <w:noProof w:val="0"/>
                <w:szCs w:val="20"/>
              </w:rPr>
            </w:pPr>
            <w:r w:rsidRPr="00A34F10">
              <w:rPr>
                <w:b/>
                <w:noProof w:val="0"/>
                <w:szCs w:val="20"/>
              </w:rPr>
              <w:t>Oral</w:t>
            </w:r>
            <w:r w:rsidRPr="00A34F10">
              <w:rPr>
                <w:b/>
                <w:noProof w:val="0"/>
                <w:szCs w:val="20"/>
              </w:rPr>
              <w:br/>
              <w:t>1 d</w:t>
            </w:r>
            <w:r w:rsidRPr="00A34F10">
              <w:rPr>
                <w:b/>
                <w:noProof w:val="0"/>
                <w:szCs w:val="20"/>
              </w:rPr>
              <w:br/>
              <w:t>Acute</w:t>
            </w:r>
          </w:p>
        </w:tc>
        <w:tc>
          <w:tcPr>
            <w:tcW w:w="987" w:type="pct"/>
            <w:shd w:val="clear" w:color="auto" w:fill="auto"/>
          </w:tcPr>
          <w:p w14:paraId="536F3EAC" w14:textId="77777777" w:rsidR="00DC5685" w:rsidRPr="00A34F10" w:rsidRDefault="00DC5685" w:rsidP="000470C3">
            <w:pPr>
              <w:pStyle w:val="RepTable"/>
              <w:suppressAutoHyphens/>
              <w:rPr>
                <w:noProof w:val="0"/>
                <w:szCs w:val="20"/>
              </w:rPr>
            </w:pPr>
            <w:r w:rsidRPr="00A34F10">
              <w:rPr>
                <w:b/>
                <w:szCs w:val="20"/>
              </w:rPr>
              <w:t>LD</w:t>
            </w:r>
            <w:r w:rsidRPr="00A34F10">
              <w:rPr>
                <w:b/>
                <w:szCs w:val="20"/>
                <w:vertAlign w:val="subscript"/>
              </w:rPr>
              <w:t xml:space="preserve">50 </w:t>
            </w:r>
            <w:r w:rsidRPr="00A34F10">
              <w:rPr>
                <w:b/>
                <w:szCs w:val="20"/>
              </w:rPr>
              <w:t>&gt; 2000 mg/kg b.w.</w:t>
            </w:r>
            <w:r w:rsidRPr="00A34F10">
              <w:rPr>
                <w:b/>
                <w:bCs/>
                <w:szCs w:val="20"/>
              </w:rPr>
              <w:t> </w:t>
            </w:r>
            <w:r w:rsidRPr="00A34F10">
              <w:rPr>
                <w:b/>
                <w:bCs/>
                <w:szCs w:val="20"/>
                <w:vertAlign w:val="superscript"/>
              </w:rPr>
              <w:t>2)</w:t>
            </w:r>
          </w:p>
        </w:tc>
        <w:tc>
          <w:tcPr>
            <w:tcW w:w="1055" w:type="pct"/>
            <w:shd w:val="clear" w:color="auto" w:fill="auto"/>
          </w:tcPr>
          <w:p w14:paraId="6DC44065" w14:textId="77777777" w:rsidR="00DC5685" w:rsidRPr="00A34F10" w:rsidRDefault="00DC5685" w:rsidP="000470C3">
            <w:pPr>
              <w:pStyle w:val="RepTable"/>
              <w:rPr>
                <w:b/>
                <w:szCs w:val="20"/>
              </w:rPr>
            </w:pPr>
            <w:r w:rsidRPr="00A34F10">
              <w:rPr>
                <w:b/>
                <w:szCs w:val="20"/>
              </w:rPr>
              <w:t>EFSA Journal 2012, 10(11): 2921;</w:t>
            </w:r>
          </w:p>
          <w:p w14:paraId="1CE762D2" w14:textId="77777777" w:rsidR="00DC5685" w:rsidRPr="00A34F10" w:rsidRDefault="00DC5685" w:rsidP="000470C3">
            <w:pPr>
              <w:pStyle w:val="RepTable"/>
              <w:suppressAutoHyphens/>
              <w:rPr>
                <w:noProof w:val="0"/>
                <w:szCs w:val="20"/>
              </w:rPr>
            </w:pPr>
            <w:r w:rsidRPr="00A34F10">
              <w:rPr>
                <w:b/>
                <w:bCs/>
                <w:noProof w:val="0"/>
                <w:szCs w:val="20"/>
              </w:rPr>
              <w:t>2006/1025795</w:t>
            </w:r>
          </w:p>
        </w:tc>
      </w:tr>
      <w:tr w:rsidR="00DC5685" w:rsidRPr="00A34F10" w14:paraId="784B7750" w14:textId="77777777" w:rsidTr="000470C3">
        <w:tc>
          <w:tcPr>
            <w:tcW w:w="986" w:type="pct"/>
            <w:shd w:val="clear" w:color="auto" w:fill="auto"/>
          </w:tcPr>
          <w:p w14:paraId="2F1E9987" w14:textId="77777777" w:rsidR="00DC5685" w:rsidRPr="00A34F10" w:rsidRDefault="00DC5685" w:rsidP="000470C3">
            <w:pPr>
              <w:pStyle w:val="RepTable"/>
              <w:suppressAutoHyphens/>
              <w:rPr>
                <w:noProof w:val="0"/>
                <w:szCs w:val="20"/>
              </w:rPr>
            </w:pPr>
            <w:r w:rsidRPr="00A34F10">
              <w:rPr>
                <w:b/>
                <w:noProof w:val="0"/>
                <w:szCs w:val="20"/>
              </w:rPr>
              <w:t>Endpoint used for reproductive risk assessments</w:t>
            </w:r>
          </w:p>
        </w:tc>
        <w:tc>
          <w:tcPr>
            <w:tcW w:w="985" w:type="pct"/>
            <w:shd w:val="clear" w:color="auto" w:fill="auto"/>
          </w:tcPr>
          <w:p w14:paraId="43F495CD" w14:textId="77777777" w:rsidR="00DC5685" w:rsidRPr="00A34F10" w:rsidRDefault="00DC5685" w:rsidP="000470C3">
            <w:pPr>
              <w:pStyle w:val="RepTable"/>
              <w:suppressAutoHyphens/>
              <w:rPr>
                <w:noProof w:val="0"/>
                <w:szCs w:val="20"/>
              </w:rPr>
            </w:pPr>
            <w:r w:rsidRPr="00A34F10">
              <w:rPr>
                <w:b/>
                <w:noProof w:val="0"/>
                <w:szCs w:val="20"/>
              </w:rPr>
              <w:t>Ametoctradin</w:t>
            </w:r>
          </w:p>
        </w:tc>
        <w:tc>
          <w:tcPr>
            <w:tcW w:w="987" w:type="pct"/>
            <w:shd w:val="clear" w:color="auto" w:fill="auto"/>
          </w:tcPr>
          <w:p w14:paraId="1923B76F" w14:textId="77777777" w:rsidR="00DC5685" w:rsidRPr="00A34F10" w:rsidRDefault="00DC5685" w:rsidP="000470C3">
            <w:pPr>
              <w:pStyle w:val="RepTable"/>
              <w:suppressAutoHyphens/>
              <w:rPr>
                <w:noProof w:val="0"/>
                <w:szCs w:val="20"/>
              </w:rPr>
            </w:pPr>
            <w:r w:rsidRPr="00A34F10">
              <w:rPr>
                <w:b/>
                <w:noProof w:val="0"/>
                <w:szCs w:val="20"/>
              </w:rPr>
              <w:t>Dietary</w:t>
            </w:r>
            <w:r w:rsidRPr="00A34F10">
              <w:rPr>
                <w:b/>
                <w:noProof w:val="0"/>
                <w:szCs w:val="20"/>
              </w:rPr>
              <w:br/>
              <w:t>Reproductive toxicity</w:t>
            </w:r>
            <w:r w:rsidRPr="00A34F10">
              <w:rPr>
                <w:b/>
                <w:noProof w:val="0"/>
                <w:szCs w:val="20"/>
              </w:rPr>
              <w:br/>
              <w:t>Two-generation study</w:t>
            </w:r>
          </w:p>
        </w:tc>
        <w:tc>
          <w:tcPr>
            <w:tcW w:w="987" w:type="pct"/>
            <w:shd w:val="clear" w:color="auto" w:fill="auto"/>
          </w:tcPr>
          <w:p w14:paraId="0A40EEA0" w14:textId="77777777" w:rsidR="00DC5685" w:rsidRPr="00A34F10" w:rsidRDefault="00DC5685" w:rsidP="000470C3">
            <w:pPr>
              <w:pStyle w:val="RepTable"/>
              <w:suppressAutoHyphens/>
              <w:rPr>
                <w:noProof w:val="0"/>
                <w:szCs w:val="20"/>
              </w:rPr>
            </w:pPr>
            <w:r w:rsidRPr="00A34F10">
              <w:rPr>
                <w:b/>
                <w:bCs/>
                <w:szCs w:val="20"/>
              </w:rPr>
              <w:t>NOEL = 939 mg a.s./kg b.w./d</w:t>
            </w:r>
          </w:p>
        </w:tc>
        <w:tc>
          <w:tcPr>
            <w:tcW w:w="1055" w:type="pct"/>
            <w:shd w:val="clear" w:color="auto" w:fill="auto"/>
          </w:tcPr>
          <w:p w14:paraId="780F26AB" w14:textId="77777777" w:rsidR="00DC5685" w:rsidRPr="00A34F10" w:rsidRDefault="00DC5685" w:rsidP="000470C3">
            <w:pPr>
              <w:pStyle w:val="RepTable"/>
              <w:suppressAutoHyphens/>
              <w:rPr>
                <w:noProof w:val="0"/>
                <w:szCs w:val="20"/>
              </w:rPr>
            </w:pPr>
            <w:r w:rsidRPr="00A34F10">
              <w:rPr>
                <w:rFonts w:eastAsiaTheme="minorHAnsi"/>
                <w:b/>
                <w:noProof w:val="0"/>
                <w:szCs w:val="20"/>
              </w:rPr>
              <w:t>EFSA Journal 2012, 10(11): 2921</w:t>
            </w:r>
            <w:r w:rsidRPr="00A34F10">
              <w:rPr>
                <w:b/>
                <w:noProof w:val="0"/>
                <w:szCs w:val="20"/>
              </w:rPr>
              <w:t>;</w:t>
            </w:r>
            <w:r w:rsidRPr="00A34F10">
              <w:rPr>
                <w:rFonts w:eastAsiaTheme="minorHAnsi"/>
                <w:b/>
                <w:noProof w:val="0"/>
                <w:szCs w:val="20"/>
              </w:rPr>
              <w:t xml:space="preserve"> </w:t>
            </w:r>
          </w:p>
        </w:tc>
      </w:tr>
    </w:tbl>
    <w:p w14:paraId="022D2862" w14:textId="4A3A134A" w:rsidR="00DC5685" w:rsidRPr="00A34F10" w:rsidRDefault="00DC5685" w:rsidP="00E05ECD">
      <w:pPr>
        <w:numPr>
          <w:ilvl w:val="0"/>
          <w:numId w:val="19"/>
        </w:numPr>
        <w:suppressAutoHyphens/>
        <w:rPr>
          <w:rFonts w:eastAsia="Batang"/>
          <w:sz w:val="20"/>
          <w:szCs w:val="20"/>
          <w:lang w:val="en-GB" w:eastAsia="zh-CN"/>
        </w:rPr>
      </w:pPr>
      <w:r w:rsidRPr="00A34F10">
        <w:rPr>
          <w:sz w:val="18"/>
          <w:szCs w:val="18"/>
          <w:lang w:val="en-GB"/>
        </w:rPr>
        <w:t xml:space="preserve">Amendment of report </w:t>
      </w:r>
      <w:r w:rsidR="00482794">
        <w:rPr>
          <w:sz w:val="18"/>
          <w:szCs w:val="18"/>
          <w:lang w:val="en-GB"/>
        </w:rPr>
        <w:t>XXXX</w:t>
      </w:r>
      <w:r w:rsidRPr="00A34F10">
        <w:rPr>
          <w:sz w:val="18"/>
          <w:szCs w:val="18"/>
          <w:lang w:val="en-GB"/>
        </w:rPr>
        <w:t xml:space="preserve"> DocID </w:t>
      </w:r>
      <w:r w:rsidRPr="00A34F10">
        <w:rPr>
          <w:rFonts w:eastAsia="Batang"/>
          <w:sz w:val="20"/>
          <w:szCs w:val="20"/>
          <w:lang w:val="en-GB" w:eastAsia="zh-CN"/>
        </w:rPr>
        <w:t>2010/1031186</w:t>
      </w:r>
    </w:p>
    <w:p w14:paraId="1972F5DF" w14:textId="77777777" w:rsidR="00DC5685" w:rsidRPr="00A34F10" w:rsidRDefault="00DC5685" w:rsidP="00E05ECD">
      <w:pPr>
        <w:numPr>
          <w:ilvl w:val="0"/>
          <w:numId w:val="19"/>
        </w:numPr>
        <w:suppressAutoHyphens/>
        <w:rPr>
          <w:sz w:val="18"/>
          <w:szCs w:val="18"/>
          <w:lang w:val="en-GB"/>
        </w:rPr>
      </w:pPr>
      <w:r w:rsidRPr="00A34F10">
        <w:rPr>
          <w:sz w:val="18"/>
          <w:szCs w:val="18"/>
          <w:lang w:val="en-GB"/>
        </w:rPr>
        <w:t>New endpoint. For details see section 9.3.1.1.</w:t>
      </w:r>
    </w:p>
    <w:p w14:paraId="6A4F1D51" w14:textId="709F6CB3" w:rsidR="00DC5685" w:rsidRPr="00A34F10" w:rsidRDefault="00DC5685" w:rsidP="00DC5685">
      <w:pPr>
        <w:pStyle w:val="RepStandard"/>
        <w:suppressAutoHyphens/>
      </w:pPr>
    </w:p>
    <w:p w14:paraId="78248AD5" w14:textId="6C81DAB3" w:rsidR="00DC5685" w:rsidRPr="00A34F10" w:rsidRDefault="00DC5685" w:rsidP="00DC5685">
      <w:pPr>
        <w:pStyle w:val="RepLabel"/>
        <w:suppressAutoHyphens/>
      </w:pPr>
      <w:r w:rsidRPr="00A34F10">
        <w:t xml:space="preserve">Table </w:t>
      </w:r>
      <w:fldSimple w:instr=" STYLEREF 2 \s ">
        <w:r w:rsidR="006F0F3B">
          <w:rPr>
            <w:noProof/>
          </w:rPr>
          <w:t>9.3</w:t>
        </w:r>
      </w:fldSimple>
      <w:r w:rsidRPr="00A34F10">
        <w:noBreakHyphen/>
        <w:t>2:</w:t>
      </w:r>
      <w:r w:rsidRPr="00A34F10">
        <w:tab/>
        <w:t>Propamocarb-HCl: Endpoints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4"/>
        <w:gridCol w:w="1841"/>
        <w:gridCol w:w="1845"/>
        <w:gridCol w:w="1845"/>
        <w:gridCol w:w="1972"/>
      </w:tblGrid>
      <w:tr w:rsidR="00DC5685" w:rsidRPr="00A34F10" w14:paraId="2B80A434" w14:textId="77777777" w:rsidTr="000470C3">
        <w:trPr>
          <w:tblHeader/>
        </w:trPr>
        <w:tc>
          <w:tcPr>
            <w:tcW w:w="986" w:type="pct"/>
            <w:shd w:val="clear" w:color="auto" w:fill="auto"/>
          </w:tcPr>
          <w:p w14:paraId="2CEF087D" w14:textId="77777777" w:rsidR="00DC5685" w:rsidRPr="00A34F10" w:rsidRDefault="00DC5685" w:rsidP="000470C3">
            <w:pPr>
              <w:pStyle w:val="RepTableHeader"/>
              <w:suppressAutoHyphens/>
              <w:rPr>
                <w:lang w:val="en-GB"/>
              </w:rPr>
            </w:pPr>
            <w:r w:rsidRPr="00A34F10">
              <w:rPr>
                <w:lang w:val="en-GB"/>
              </w:rPr>
              <w:t>Species</w:t>
            </w:r>
          </w:p>
        </w:tc>
        <w:tc>
          <w:tcPr>
            <w:tcW w:w="985" w:type="pct"/>
            <w:shd w:val="clear" w:color="auto" w:fill="auto"/>
          </w:tcPr>
          <w:p w14:paraId="692567AB" w14:textId="77777777" w:rsidR="00DC5685" w:rsidRPr="00A34F10" w:rsidRDefault="00DC5685" w:rsidP="000470C3">
            <w:pPr>
              <w:pStyle w:val="RepTableHeader"/>
              <w:suppressAutoHyphens/>
              <w:rPr>
                <w:lang w:val="en-GB"/>
              </w:rPr>
            </w:pPr>
            <w:r w:rsidRPr="00A34F10">
              <w:rPr>
                <w:lang w:val="en-GB"/>
              </w:rPr>
              <w:t>Substance</w:t>
            </w:r>
          </w:p>
        </w:tc>
        <w:tc>
          <w:tcPr>
            <w:tcW w:w="987" w:type="pct"/>
            <w:shd w:val="clear" w:color="auto" w:fill="auto"/>
          </w:tcPr>
          <w:p w14:paraId="5B06F72B" w14:textId="77777777" w:rsidR="00DC5685" w:rsidRPr="00A34F10" w:rsidRDefault="00DC5685" w:rsidP="000470C3">
            <w:pPr>
              <w:pStyle w:val="RepTableHeader"/>
              <w:suppressAutoHyphens/>
              <w:rPr>
                <w:lang w:val="en-GB"/>
              </w:rPr>
            </w:pPr>
            <w:r w:rsidRPr="00A34F10">
              <w:rPr>
                <w:lang w:val="en-GB"/>
              </w:rPr>
              <w:t>Exposure</w:t>
            </w:r>
          </w:p>
          <w:p w14:paraId="3545039D" w14:textId="77777777" w:rsidR="00DC5685" w:rsidRPr="00A34F10" w:rsidRDefault="00DC5685" w:rsidP="000470C3">
            <w:pPr>
              <w:pStyle w:val="RepTableHeader"/>
              <w:suppressAutoHyphens/>
              <w:rPr>
                <w:lang w:val="en-GB"/>
              </w:rPr>
            </w:pPr>
            <w:r w:rsidRPr="00A34F10">
              <w:rPr>
                <w:lang w:val="en-GB"/>
              </w:rPr>
              <w:t>System</w:t>
            </w:r>
          </w:p>
        </w:tc>
        <w:tc>
          <w:tcPr>
            <w:tcW w:w="987" w:type="pct"/>
            <w:shd w:val="clear" w:color="auto" w:fill="auto"/>
          </w:tcPr>
          <w:p w14:paraId="33A87374" w14:textId="77777777" w:rsidR="00DC5685" w:rsidRPr="00A34F10" w:rsidRDefault="00DC5685" w:rsidP="000470C3">
            <w:pPr>
              <w:pStyle w:val="RepTableHeader"/>
              <w:suppressAutoHyphens/>
              <w:rPr>
                <w:lang w:val="en-GB"/>
              </w:rPr>
            </w:pPr>
            <w:r w:rsidRPr="00A34F10">
              <w:rPr>
                <w:lang w:val="en-GB"/>
              </w:rPr>
              <w:t>Results</w:t>
            </w:r>
          </w:p>
        </w:tc>
        <w:tc>
          <w:tcPr>
            <w:tcW w:w="1055" w:type="pct"/>
            <w:shd w:val="clear" w:color="auto" w:fill="auto"/>
          </w:tcPr>
          <w:p w14:paraId="606205AD" w14:textId="77777777" w:rsidR="00DC5685" w:rsidRPr="00A34F10" w:rsidRDefault="00DC5685" w:rsidP="000470C3">
            <w:pPr>
              <w:pStyle w:val="RepTableHeader"/>
              <w:suppressAutoHyphens/>
              <w:rPr>
                <w:lang w:val="en-GB"/>
              </w:rPr>
            </w:pPr>
            <w:r w:rsidRPr="00A34F10">
              <w:rPr>
                <w:lang w:val="en-GB"/>
              </w:rPr>
              <w:t>Reference</w:t>
            </w:r>
          </w:p>
        </w:tc>
      </w:tr>
      <w:tr w:rsidR="00DC5685" w:rsidRPr="002D6076" w14:paraId="043C4F49" w14:textId="77777777" w:rsidTr="000470C3">
        <w:tc>
          <w:tcPr>
            <w:tcW w:w="986" w:type="pct"/>
            <w:shd w:val="clear" w:color="auto" w:fill="auto"/>
          </w:tcPr>
          <w:p w14:paraId="01281704" w14:textId="77777777" w:rsidR="00DC5685" w:rsidRPr="00A34F10" w:rsidRDefault="00DC5685" w:rsidP="000470C3">
            <w:pPr>
              <w:pStyle w:val="RepTable"/>
              <w:suppressAutoHyphens/>
              <w:rPr>
                <w:noProof w:val="0"/>
                <w:szCs w:val="20"/>
              </w:rPr>
            </w:pPr>
            <w:r w:rsidRPr="00A34F10">
              <w:rPr>
                <w:noProof w:val="0"/>
                <w:szCs w:val="20"/>
              </w:rPr>
              <w:t>Rat</w:t>
            </w:r>
          </w:p>
        </w:tc>
        <w:tc>
          <w:tcPr>
            <w:tcW w:w="985" w:type="pct"/>
            <w:shd w:val="clear" w:color="auto" w:fill="auto"/>
          </w:tcPr>
          <w:p w14:paraId="7A07A9CD" w14:textId="77777777" w:rsidR="00DC5685" w:rsidRPr="00A34F10" w:rsidRDefault="00DC5685" w:rsidP="000470C3">
            <w:pPr>
              <w:suppressAutoHyphens/>
              <w:rPr>
                <w:sz w:val="20"/>
                <w:szCs w:val="20"/>
                <w:lang w:val="en-GB"/>
              </w:rPr>
            </w:pPr>
            <w:r w:rsidRPr="00A34F10">
              <w:rPr>
                <w:sz w:val="20"/>
                <w:szCs w:val="20"/>
                <w:lang w:val="en-GB"/>
              </w:rPr>
              <w:t>Propamocarb-HCl</w:t>
            </w:r>
          </w:p>
        </w:tc>
        <w:tc>
          <w:tcPr>
            <w:tcW w:w="987" w:type="pct"/>
            <w:shd w:val="clear" w:color="auto" w:fill="auto"/>
          </w:tcPr>
          <w:p w14:paraId="130A03E7" w14:textId="77777777" w:rsidR="00DC5685" w:rsidRPr="00A34F10" w:rsidRDefault="00DC5685" w:rsidP="000470C3">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987" w:type="pct"/>
            <w:shd w:val="clear" w:color="auto" w:fill="auto"/>
          </w:tcPr>
          <w:p w14:paraId="68E6770E" w14:textId="77777777" w:rsidR="00DC5685" w:rsidRPr="00161058" w:rsidRDefault="00DC5685" w:rsidP="000470C3">
            <w:pPr>
              <w:pStyle w:val="RepTable"/>
              <w:suppressAutoHyphens/>
              <w:rPr>
                <w:b/>
                <w:bCs/>
                <w:strike/>
                <w:color w:val="D9D9D9" w:themeColor="background1" w:themeShade="D9"/>
                <w:szCs w:val="20"/>
              </w:rPr>
            </w:pPr>
            <w:r w:rsidRPr="00161058">
              <w:rPr>
                <w:b/>
                <w:bCs/>
                <w:strike/>
                <w:color w:val="D9D9D9" w:themeColor="background1" w:themeShade="D9"/>
                <w:szCs w:val="20"/>
              </w:rPr>
              <w:t>LD</w:t>
            </w:r>
            <w:r w:rsidRPr="00161058">
              <w:rPr>
                <w:b/>
                <w:bCs/>
                <w:strike/>
                <w:color w:val="D9D9D9" w:themeColor="background1" w:themeShade="D9"/>
                <w:szCs w:val="20"/>
                <w:vertAlign w:val="subscript"/>
              </w:rPr>
              <w:t>50</w:t>
            </w:r>
            <w:r w:rsidRPr="00161058">
              <w:rPr>
                <w:b/>
                <w:bCs/>
                <w:strike/>
                <w:color w:val="D9D9D9" w:themeColor="background1" w:themeShade="D9"/>
                <w:szCs w:val="20"/>
              </w:rPr>
              <w:t xml:space="preserve"> = 2000 mg/kg bw*</w:t>
            </w:r>
          </w:p>
          <w:p w14:paraId="6C72442D" w14:textId="77777777" w:rsidR="00161058" w:rsidRPr="00161058" w:rsidRDefault="00161058" w:rsidP="00161058">
            <w:pPr>
              <w:widowControl w:val="0"/>
              <w:shd w:val="clear" w:color="auto" w:fill="D9D9D9" w:themeFill="background1" w:themeFillShade="D9"/>
              <w:suppressAutoHyphens/>
              <w:rPr>
                <w:b/>
                <w:bCs/>
                <w:sz w:val="20"/>
                <w:szCs w:val="20"/>
                <w:lang w:val="en-GB"/>
              </w:rPr>
            </w:pPr>
            <w:r w:rsidRPr="00161058">
              <w:rPr>
                <w:b/>
                <w:bCs/>
                <w:sz w:val="20"/>
                <w:szCs w:val="20"/>
                <w:lang w:val="en-GB"/>
              </w:rPr>
              <w:t>LD</w:t>
            </w:r>
            <w:r w:rsidRPr="00161058">
              <w:rPr>
                <w:b/>
                <w:bCs/>
                <w:sz w:val="20"/>
                <w:szCs w:val="20"/>
                <w:vertAlign w:val="subscript"/>
                <w:lang w:val="en-GB"/>
              </w:rPr>
              <w:t xml:space="preserve">50 </w:t>
            </w:r>
            <w:r w:rsidRPr="00161058">
              <w:rPr>
                <w:b/>
                <w:bCs/>
                <w:sz w:val="20"/>
                <w:szCs w:val="20"/>
                <w:lang w:val="en-GB"/>
              </w:rPr>
              <w:t>&gt;</w:t>
            </w:r>
          </w:p>
          <w:p w14:paraId="02447FA0" w14:textId="1890A205" w:rsidR="00161058" w:rsidRPr="00A34F10" w:rsidRDefault="00161058" w:rsidP="00161058">
            <w:pPr>
              <w:pStyle w:val="RepTable"/>
              <w:shd w:val="clear" w:color="auto" w:fill="D9D9D9" w:themeFill="background1" w:themeFillShade="D9"/>
              <w:suppressAutoHyphens/>
              <w:rPr>
                <w:b/>
                <w:bCs/>
                <w:szCs w:val="20"/>
              </w:rPr>
            </w:pPr>
            <w:r w:rsidRPr="00161058">
              <w:rPr>
                <w:b/>
                <w:bCs/>
                <w:szCs w:val="20"/>
                <w:lang w:val="en-GB"/>
              </w:rPr>
              <w:t>1330 mg a.s./kg bw</w:t>
            </w:r>
          </w:p>
        </w:tc>
        <w:tc>
          <w:tcPr>
            <w:tcW w:w="1055" w:type="pct"/>
            <w:shd w:val="clear" w:color="auto" w:fill="auto"/>
          </w:tcPr>
          <w:p w14:paraId="6427D37E" w14:textId="77777777" w:rsidR="00DC5685" w:rsidRPr="00161058" w:rsidRDefault="00DC5685" w:rsidP="000470C3">
            <w:pPr>
              <w:widowControl w:val="0"/>
              <w:suppressAutoHyphens/>
              <w:rPr>
                <w:strike/>
                <w:color w:val="D9D9D9" w:themeColor="background1" w:themeShade="D9"/>
                <w:sz w:val="20"/>
                <w:szCs w:val="20"/>
                <w:lang w:val="es-ES"/>
              </w:rPr>
            </w:pPr>
            <w:r w:rsidRPr="00161058">
              <w:rPr>
                <w:strike/>
                <w:color w:val="D9D9D9" w:themeColor="background1" w:themeShade="D9"/>
                <w:sz w:val="20"/>
                <w:szCs w:val="20"/>
                <w:lang w:val="es-ES"/>
              </w:rPr>
              <w:t>RAR Propamocarb, Vol. 3 – CP B9 (June 2017)</w:t>
            </w:r>
          </w:p>
          <w:p w14:paraId="18E0D446" w14:textId="66E9660F" w:rsidR="00161058" w:rsidRPr="00161058" w:rsidRDefault="00161058" w:rsidP="000470C3">
            <w:pPr>
              <w:widowControl w:val="0"/>
              <w:suppressAutoHyphens/>
              <w:rPr>
                <w:strike/>
                <w:color w:val="D9D9D9" w:themeColor="background1" w:themeShade="D9"/>
                <w:sz w:val="20"/>
                <w:szCs w:val="20"/>
                <w:lang w:val="es-ES"/>
              </w:rPr>
            </w:pPr>
            <w:r w:rsidRPr="00161058">
              <w:rPr>
                <w:sz w:val="20"/>
                <w:szCs w:val="20"/>
                <w:shd w:val="clear" w:color="auto" w:fill="D9D9D9" w:themeFill="background1" w:themeFillShade="D9"/>
              </w:rPr>
              <w:t>EFSA Scientific Report 2006, 78, 1-80</w:t>
            </w:r>
          </w:p>
        </w:tc>
      </w:tr>
      <w:tr w:rsidR="00DC5685" w:rsidRPr="00A34F10" w14:paraId="6C63258C" w14:textId="77777777" w:rsidTr="000470C3">
        <w:tc>
          <w:tcPr>
            <w:tcW w:w="986" w:type="pct"/>
            <w:shd w:val="clear" w:color="auto" w:fill="auto"/>
          </w:tcPr>
          <w:p w14:paraId="18BA6370" w14:textId="77777777" w:rsidR="00DC5685" w:rsidRPr="00A34F10" w:rsidRDefault="00DC5685" w:rsidP="000470C3">
            <w:pPr>
              <w:pStyle w:val="RepTable"/>
              <w:suppressAutoHyphens/>
              <w:rPr>
                <w:noProof w:val="0"/>
                <w:szCs w:val="20"/>
              </w:rPr>
            </w:pPr>
            <w:r w:rsidRPr="00A34F10">
              <w:rPr>
                <w:noProof w:val="0"/>
                <w:szCs w:val="20"/>
              </w:rPr>
              <w:t>Rat</w:t>
            </w:r>
          </w:p>
        </w:tc>
        <w:tc>
          <w:tcPr>
            <w:tcW w:w="985" w:type="pct"/>
            <w:shd w:val="clear" w:color="auto" w:fill="auto"/>
          </w:tcPr>
          <w:p w14:paraId="418570D7" w14:textId="77777777" w:rsidR="00DC5685" w:rsidRPr="00A34F10" w:rsidRDefault="00DC5685" w:rsidP="000470C3">
            <w:pPr>
              <w:suppressAutoHyphens/>
              <w:rPr>
                <w:sz w:val="20"/>
                <w:szCs w:val="20"/>
                <w:lang w:val="en-GB"/>
              </w:rPr>
            </w:pPr>
            <w:r w:rsidRPr="00A34F10">
              <w:rPr>
                <w:sz w:val="20"/>
                <w:szCs w:val="20"/>
              </w:rPr>
              <w:t>Propamocarb-HCl</w:t>
            </w:r>
          </w:p>
        </w:tc>
        <w:tc>
          <w:tcPr>
            <w:tcW w:w="987" w:type="pct"/>
            <w:shd w:val="clear" w:color="auto" w:fill="auto"/>
          </w:tcPr>
          <w:p w14:paraId="3746C7F1" w14:textId="77777777" w:rsidR="00DC5685" w:rsidRPr="00A34F10" w:rsidRDefault="00DC5685" w:rsidP="000470C3">
            <w:pPr>
              <w:pStyle w:val="RepTable"/>
              <w:suppressAutoHyphens/>
              <w:rPr>
                <w:noProof w:val="0"/>
                <w:szCs w:val="20"/>
              </w:rPr>
            </w:pPr>
            <w:r w:rsidRPr="00A34F10">
              <w:rPr>
                <w:noProof w:val="0"/>
                <w:szCs w:val="20"/>
              </w:rPr>
              <w:t>Dietary</w:t>
            </w:r>
            <w:r w:rsidRPr="00A34F10">
              <w:rPr>
                <w:noProof w:val="0"/>
                <w:szCs w:val="20"/>
              </w:rPr>
              <w:br/>
              <w:t>Reproductive toxicity</w:t>
            </w:r>
            <w:r w:rsidRPr="00A34F10">
              <w:rPr>
                <w:noProof w:val="0"/>
                <w:szCs w:val="20"/>
              </w:rPr>
              <w:br/>
              <w:t>Two-generation study</w:t>
            </w:r>
          </w:p>
        </w:tc>
        <w:tc>
          <w:tcPr>
            <w:tcW w:w="987" w:type="pct"/>
            <w:shd w:val="clear" w:color="auto" w:fill="auto"/>
          </w:tcPr>
          <w:p w14:paraId="3171283E" w14:textId="77777777" w:rsidR="00DC5685" w:rsidRPr="00A34F10" w:rsidRDefault="00DC5685" w:rsidP="000470C3">
            <w:pPr>
              <w:widowControl w:val="0"/>
              <w:suppressAutoHyphens/>
              <w:rPr>
                <w:rFonts w:eastAsia="Batang"/>
                <w:b/>
                <w:bCs/>
                <w:sz w:val="20"/>
                <w:szCs w:val="20"/>
                <w:vertAlign w:val="superscript"/>
                <w:lang w:eastAsia="zh-CN"/>
              </w:rPr>
            </w:pPr>
            <w:r w:rsidRPr="00A34F10">
              <w:rPr>
                <w:rFonts w:eastAsia="Batang"/>
                <w:b/>
                <w:bCs/>
                <w:sz w:val="20"/>
                <w:szCs w:val="20"/>
                <w:lang w:eastAsia="zh-CN"/>
              </w:rPr>
              <w:t>NOAEL</w:t>
            </w:r>
            <w:r w:rsidRPr="00A34F10">
              <w:rPr>
                <w:rFonts w:eastAsia="Batang"/>
                <w:b/>
                <w:bCs/>
                <w:sz w:val="20"/>
                <w:szCs w:val="20"/>
                <w:vertAlign w:val="subscript"/>
                <w:lang w:eastAsia="zh-CN"/>
              </w:rPr>
              <w:t>reproductive</w:t>
            </w:r>
            <w:r w:rsidRPr="00A34F10">
              <w:rPr>
                <w:rFonts w:eastAsia="Batang"/>
                <w:b/>
                <w:bCs/>
                <w:sz w:val="20"/>
                <w:szCs w:val="20"/>
                <w:lang w:eastAsia="zh-CN"/>
              </w:rPr>
              <w:t xml:space="preserve"> = 104 mg a.s./kg bw/d</w:t>
            </w:r>
          </w:p>
        </w:tc>
        <w:tc>
          <w:tcPr>
            <w:tcW w:w="1055" w:type="pct"/>
            <w:shd w:val="clear" w:color="auto" w:fill="auto"/>
          </w:tcPr>
          <w:p w14:paraId="5D219522" w14:textId="77777777" w:rsidR="00DC5685" w:rsidRPr="00161058" w:rsidRDefault="00DC5685" w:rsidP="000470C3">
            <w:pPr>
              <w:pStyle w:val="RepTable"/>
              <w:suppressAutoHyphens/>
              <w:rPr>
                <w:rFonts w:eastAsiaTheme="minorHAnsi"/>
                <w:noProof w:val="0"/>
                <w:szCs w:val="20"/>
              </w:rPr>
            </w:pPr>
            <w:r w:rsidRPr="00161058">
              <w:rPr>
                <w:szCs w:val="20"/>
              </w:rPr>
              <w:t>EFSA Scientific Report 2006, 78, 1-80</w:t>
            </w:r>
          </w:p>
        </w:tc>
      </w:tr>
    </w:tbl>
    <w:p w14:paraId="32A450CA" w14:textId="77777777" w:rsidR="00DC5685" w:rsidRPr="00A34F10" w:rsidRDefault="00DC5685" w:rsidP="00DC5685">
      <w:pPr>
        <w:pStyle w:val="RepStandard"/>
        <w:suppressAutoHyphens/>
        <w:ind w:left="113" w:hanging="113"/>
        <w:rPr>
          <w:sz w:val="18"/>
          <w:szCs w:val="18"/>
        </w:rPr>
      </w:pPr>
      <w:r w:rsidRPr="00A34F10">
        <w:rPr>
          <w:sz w:val="18"/>
          <w:szCs w:val="18"/>
        </w:rPr>
        <w:t xml:space="preserve">* </w:t>
      </w:r>
      <w:r w:rsidRPr="00E85C80">
        <w:rPr>
          <w:strike/>
          <w:color w:val="F2F2F2" w:themeColor="background1" w:themeShade="F2"/>
          <w:sz w:val="18"/>
          <w:szCs w:val="18"/>
        </w:rPr>
        <w:t>According to the RAR (2017) for Propamocarb (RAR Propamocarb, Vol. 3 – CP B9, June 2017), dose-response study where rats were used with 6 doses of Previcur N covering a range of 1300 – 4826 mg/kg bw – Previcur N contained 66.5% of Propamocarb- HCl (SN 66752); The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values in this study are 2900 mg/kg bw in males and 2000 mg/kg bw in females. In the past, however, these values were erroneously corrected with a purity factor of 66.5 %, resulting in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values of 1928.5 and 1330 mg/kg bw for males and females, respectively leading to determine an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value higher than 1330 mg/kg bw used in the risk assessment. As stated in the report, the rat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values represent dose levels as active ingredient, so that the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values to be used for ecotoxicology are 2900 and 2000 mg/kg bw for males and females, respectively; a geometric mean cannot be used because there is a clear indication of a difference in sensitivity between sexes (refer EFSA Guidance Document 2009). Therefore, as a worst-case the LD</w:t>
      </w:r>
      <w:r w:rsidRPr="00E85C80">
        <w:rPr>
          <w:strike/>
          <w:color w:val="F2F2F2" w:themeColor="background1" w:themeShade="F2"/>
          <w:sz w:val="18"/>
          <w:szCs w:val="18"/>
          <w:vertAlign w:val="subscript"/>
        </w:rPr>
        <w:t>50</w:t>
      </w:r>
      <w:r w:rsidRPr="00E85C80">
        <w:rPr>
          <w:strike/>
          <w:color w:val="F2F2F2" w:themeColor="background1" w:themeShade="F2"/>
          <w:sz w:val="18"/>
          <w:szCs w:val="18"/>
        </w:rPr>
        <w:t xml:space="preserve"> = 2000 mg/kg bw for females is proposed for the risk assessment.</w:t>
      </w:r>
    </w:p>
    <w:p w14:paraId="64BC22A2" w14:textId="77777777" w:rsidR="00DC5685" w:rsidRPr="00A34F10" w:rsidRDefault="00DC5685" w:rsidP="00DC5685">
      <w:pPr>
        <w:pStyle w:val="RepStandard"/>
        <w:suppressAutoHyphens/>
      </w:pPr>
    </w:p>
    <w:p w14:paraId="2089851C" w14:textId="77777777" w:rsidR="00DC5685" w:rsidRPr="00A34F10" w:rsidRDefault="00DC5685" w:rsidP="004B4D5B">
      <w:pPr>
        <w:pStyle w:val="RepStandard"/>
        <w:suppressAutoHyphens/>
        <w:rPr>
          <w:b/>
          <w:u w:val="single"/>
        </w:rPr>
      </w:pPr>
      <w:r w:rsidRPr="00A34F10">
        <w:rPr>
          <w:b/>
          <w:u w:val="single"/>
        </w:rPr>
        <w:t xml:space="preserve">Metabolites </w:t>
      </w:r>
    </w:p>
    <w:p w14:paraId="40A50DA6" w14:textId="77777777" w:rsidR="00DC5685" w:rsidRPr="00A34F10" w:rsidRDefault="00DC5685" w:rsidP="00DC5685">
      <w:pPr>
        <w:suppressAutoHyphens/>
        <w:jc w:val="both"/>
        <w:rPr>
          <w:lang w:val="en-GB"/>
        </w:rPr>
      </w:pPr>
      <w:r w:rsidRPr="00A34F10">
        <w:rPr>
          <w:lang w:val="en-GB"/>
        </w:rPr>
        <w:t>See Section 9.2.1 in the bird chapter.</w:t>
      </w:r>
    </w:p>
    <w:p w14:paraId="1709753F" w14:textId="77777777" w:rsidR="00DC5685" w:rsidRPr="00A34F10" w:rsidRDefault="00DC5685" w:rsidP="00DC5685">
      <w:pPr>
        <w:pStyle w:val="RepStandard"/>
        <w:suppressAutoHyphens/>
      </w:pPr>
    </w:p>
    <w:p w14:paraId="60E3A07E" w14:textId="77777777" w:rsidR="00DC5685" w:rsidRPr="00A34F10" w:rsidRDefault="00DC5685" w:rsidP="00DC5685">
      <w:pPr>
        <w:suppressAutoHyphens/>
        <w:autoSpaceDE w:val="0"/>
        <w:autoSpaceDN w:val="0"/>
        <w:adjustRightInd w:val="0"/>
        <w:jc w:val="both"/>
        <w:rPr>
          <w:b/>
          <w:bCs/>
          <w:u w:val="single"/>
          <w:lang w:val="en-GB"/>
        </w:rPr>
      </w:pPr>
      <w:r w:rsidRPr="00A34F10">
        <w:rPr>
          <w:b/>
          <w:bCs/>
          <w:u w:val="single"/>
          <w:lang w:val="en-GB"/>
        </w:rPr>
        <w:t>Mixture toxicity</w:t>
      </w:r>
    </w:p>
    <w:p w14:paraId="2B292900" w14:textId="77777777" w:rsidR="00DC5685" w:rsidRPr="00A34F10" w:rsidRDefault="00DC5685" w:rsidP="00DC5685">
      <w:pPr>
        <w:pStyle w:val="RepLabel"/>
        <w:tabs>
          <w:tab w:val="clear" w:pos="1985"/>
        </w:tabs>
        <w:suppressAutoHyphens/>
        <w:spacing w:before="0" w:after="0"/>
        <w:ind w:left="0" w:firstLine="0"/>
        <w:jc w:val="both"/>
        <w:rPr>
          <w:b w:val="0"/>
          <w:bCs w:val="0"/>
        </w:rPr>
      </w:pPr>
      <w:bookmarkStart w:id="326" w:name="_Hlk133240636"/>
      <w:r w:rsidRPr="00A34F10">
        <w:rPr>
          <w:b w:val="0"/>
          <w:bCs w:val="0"/>
          <w:iCs/>
        </w:rPr>
        <w:t xml:space="preserve">An acute oral mammalian toxicity test with the similar formulation BAS 74302 F </w:t>
      </w:r>
      <w:r w:rsidRPr="00A34F10">
        <w:rPr>
          <w:b w:val="0"/>
          <w:bCs w:val="0"/>
        </w:rPr>
        <w:t xml:space="preserve">(containing 137.1 g/L Ametoctradin and 515.4 g/L Propamocarb-HCl) </w:t>
      </w:r>
      <w:r w:rsidRPr="00A34F10">
        <w:rPr>
          <w:b w:val="0"/>
          <w:bCs w:val="0"/>
          <w:iCs/>
        </w:rPr>
        <w:t xml:space="preserve">is available indicating that the product is non-toxic by oral route in rats, </w:t>
      </w:r>
      <w:r w:rsidRPr="00A34F10">
        <w:rPr>
          <w:b w:val="0"/>
          <w:bCs w:val="0"/>
          <w:i/>
        </w:rPr>
        <w:t>i.e.</w:t>
      </w:r>
      <w:r w:rsidRPr="00A34F10">
        <w:rPr>
          <w:b w:val="0"/>
          <w:bCs w:val="0"/>
          <w:iCs/>
        </w:rPr>
        <w:t xml:space="preserve"> LD</w:t>
      </w:r>
      <w:r w:rsidRPr="00A34F10">
        <w:rPr>
          <w:b w:val="0"/>
          <w:bCs w:val="0"/>
          <w:iCs/>
          <w:vertAlign w:val="subscript"/>
        </w:rPr>
        <w:t>50</w:t>
      </w:r>
      <w:r w:rsidRPr="00A34F10">
        <w:rPr>
          <w:b w:val="0"/>
          <w:bCs w:val="0"/>
          <w:iCs/>
        </w:rPr>
        <w:t xml:space="preserve"> &gt; 2000 mg product/kg bw.</w:t>
      </w:r>
    </w:p>
    <w:p w14:paraId="35000BA4" w14:textId="15139939" w:rsidR="00DC5685" w:rsidRPr="00A34F10" w:rsidRDefault="00DC5685" w:rsidP="002F6515">
      <w:pPr>
        <w:pStyle w:val="RepLabel"/>
        <w:keepNext w:val="0"/>
        <w:keepLines w:val="0"/>
        <w:suppressAutoHyphens/>
      </w:pPr>
      <w:r w:rsidRPr="00A34F10">
        <w:t xml:space="preserve">Table </w:t>
      </w:r>
      <w:fldSimple w:instr=" STYLEREF 2 \s ">
        <w:r w:rsidR="006F0F3B">
          <w:rPr>
            <w:noProof/>
          </w:rPr>
          <w:t>9.3</w:t>
        </w:r>
      </w:fldSimple>
      <w:r w:rsidRPr="00A34F10">
        <w:noBreakHyphen/>
        <w:t>3:</w:t>
      </w:r>
      <w:r w:rsidRPr="00A34F10">
        <w:tab/>
        <w:t>Formulation BAS 743 03 F: Endpoints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4"/>
        <w:gridCol w:w="1841"/>
        <w:gridCol w:w="1845"/>
        <w:gridCol w:w="1845"/>
        <w:gridCol w:w="1972"/>
      </w:tblGrid>
      <w:tr w:rsidR="00DC5685" w:rsidRPr="00A34F10" w14:paraId="1FB9F6A3" w14:textId="77777777" w:rsidTr="000470C3">
        <w:trPr>
          <w:tblHeader/>
        </w:trPr>
        <w:tc>
          <w:tcPr>
            <w:tcW w:w="986" w:type="pct"/>
            <w:shd w:val="clear" w:color="auto" w:fill="auto"/>
          </w:tcPr>
          <w:p w14:paraId="5DCB5B2F" w14:textId="77777777" w:rsidR="00DC5685" w:rsidRPr="00A34F10" w:rsidRDefault="00DC5685" w:rsidP="002F6515">
            <w:pPr>
              <w:pStyle w:val="RepTableHeader"/>
              <w:keepNext w:val="0"/>
              <w:keepLines w:val="0"/>
              <w:suppressAutoHyphens/>
              <w:rPr>
                <w:lang w:val="en-GB"/>
              </w:rPr>
            </w:pPr>
            <w:r w:rsidRPr="00A34F10">
              <w:rPr>
                <w:lang w:val="en-GB"/>
              </w:rPr>
              <w:t>Species</w:t>
            </w:r>
          </w:p>
        </w:tc>
        <w:tc>
          <w:tcPr>
            <w:tcW w:w="985" w:type="pct"/>
            <w:shd w:val="clear" w:color="auto" w:fill="auto"/>
          </w:tcPr>
          <w:p w14:paraId="5D75F449" w14:textId="77777777" w:rsidR="00DC5685" w:rsidRPr="00A34F10" w:rsidRDefault="00DC5685" w:rsidP="002F6515">
            <w:pPr>
              <w:pStyle w:val="RepTableHeader"/>
              <w:keepNext w:val="0"/>
              <w:keepLines w:val="0"/>
              <w:suppressAutoHyphens/>
              <w:rPr>
                <w:lang w:val="en-GB"/>
              </w:rPr>
            </w:pPr>
            <w:r w:rsidRPr="00A34F10">
              <w:rPr>
                <w:lang w:val="en-GB"/>
              </w:rPr>
              <w:t>Substance</w:t>
            </w:r>
          </w:p>
        </w:tc>
        <w:tc>
          <w:tcPr>
            <w:tcW w:w="987" w:type="pct"/>
            <w:shd w:val="clear" w:color="auto" w:fill="auto"/>
          </w:tcPr>
          <w:p w14:paraId="11298909" w14:textId="77777777" w:rsidR="00DC5685" w:rsidRPr="00A34F10" w:rsidRDefault="00DC5685" w:rsidP="002F6515">
            <w:pPr>
              <w:pStyle w:val="RepTableHeader"/>
              <w:keepNext w:val="0"/>
              <w:keepLines w:val="0"/>
              <w:suppressAutoHyphens/>
              <w:rPr>
                <w:lang w:val="en-GB"/>
              </w:rPr>
            </w:pPr>
            <w:r w:rsidRPr="00A34F10">
              <w:rPr>
                <w:lang w:val="en-GB"/>
              </w:rPr>
              <w:t>Exposure</w:t>
            </w:r>
          </w:p>
          <w:p w14:paraId="017AE30F" w14:textId="77777777" w:rsidR="00DC5685" w:rsidRPr="00A34F10" w:rsidRDefault="00DC5685" w:rsidP="002F6515">
            <w:pPr>
              <w:pStyle w:val="RepTableHeader"/>
              <w:keepNext w:val="0"/>
              <w:keepLines w:val="0"/>
              <w:suppressAutoHyphens/>
              <w:rPr>
                <w:lang w:val="en-GB"/>
              </w:rPr>
            </w:pPr>
            <w:r w:rsidRPr="00A34F10">
              <w:rPr>
                <w:lang w:val="en-GB"/>
              </w:rPr>
              <w:t>System</w:t>
            </w:r>
          </w:p>
        </w:tc>
        <w:tc>
          <w:tcPr>
            <w:tcW w:w="987" w:type="pct"/>
            <w:shd w:val="clear" w:color="auto" w:fill="auto"/>
          </w:tcPr>
          <w:p w14:paraId="6265602F" w14:textId="77777777" w:rsidR="00DC5685" w:rsidRPr="00A34F10" w:rsidRDefault="00DC5685" w:rsidP="002F6515">
            <w:pPr>
              <w:pStyle w:val="RepTableHeader"/>
              <w:keepNext w:val="0"/>
              <w:keepLines w:val="0"/>
              <w:suppressAutoHyphens/>
              <w:rPr>
                <w:lang w:val="en-GB"/>
              </w:rPr>
            </w:pPr>
            <w:r w:rsidRPr="00A34F10">
              <w:rPr>
                <w:lang w:val="en-GB"/>
              </w:rPr>
              <w:t>Results</w:t>
            </w:r>
          </w:p>
        </w:tc>
        <w:tc>
          <w:tcPr>
            <w:tcW w:w="1055" w:type="pct"/>
            <w:shd w:val="clear" w:color="auto" w:fill="auto"/>
          </w:tcPr>
          <w:p w14:paraId="6627CB95" w14:textId="77777777" w:rsidR="00DC5685" w:rsidRPr="00A34F10" w:rsidRDefault="00DC5685" w:rsidP="002F6515">
            <w:pPr>
              <w:pStyle w:val="RepTableHeader"/>
              <w:keepNext w:val="0"/>
              <w:keepLines w:val="0"/>
              <w:suppressAutoHyphens/>
              <w:rPr>
                <w:lang w:val="en-GB"/>
              </w:rPr>
            </w:pPr>
            <w:r w:rsidRPr="00A34F10">
              <w:rPr>
                <w:lang w:val="en-GB"/>
              </w:rPr>
              <w:t>Reference</w:t>
            </w:r>
          </w:p>
        </w:tc>
      </w:tr>
      <w:tr w:rsidR="00DC5685" w:rsidRPr="00A34F10" w14:paraId="5B3748D4" w14:textId="77777777" w:rsidTr="000470C3">
        <w:tc>
          <w:tcPr>
            <w:tcW w:w="986" w:type="pct"/>
            <w:shd w:val="clear" w:color="auto" w:fill="auto"/>
          </w:tcPr>
          <w:p w14:paraId="3C378715" w14:textId="77777777" w:rsidR="00DC5685" w:rsidRPr="00A34F10" w:rsidRDefault="00DC5685" w:rsidP="002F6515">
            <w:pPr>
              <w:pStyle w:val="RepTable"/>
              <w:suppressAutoHyphens/>
              <w:rPr>
                <w:noProof w:val="0"/>
                <w:szCs w:val="20"/>
              </w:rPr>
            </w:pPr>
            <w:r w:rsidRPr="00A34F10">
              <w:rPr>
                <w:noProof w:val="0"/>
                <w:szCs w:val="20"/>
              </w:rPr>
              <w:t>Rat</w:t>
            </w:r>
          </w:p>
        </w:tc>
        <w:tc>
          <w:tcPr>
            <w:tcW w:w="985" w:type="pct"/>
            <w:shd w:val="clear" w:color="auto" w:fill="auto"/>
          </w:tcPr>
          <w:p w14:paraId="39460F7D" w14:textId="77777777" w:rsidR="00DC5685" w:rsidRPr="00A34F10" w:rsidRDefault="00DC5685" w:rsidP="002F6515">
            <w:pPr>
              <w:suppressAutoHyphens/>
              <w:rPr>
                <w:sz w:val="20"/>
                <w:szCs w:val="20"/>
                <w:lang w:val="en-GB"/>
              </w:rPr>
            </w:pPr>
            <w:r w:rsidRPr="00A34F10">
              <w:rPr>
                <w:szCs w:val="20"/>
              </w:rPr>
              <w:t>BAS 743 02 F</w:t>
            </w:r>
          </w:p>
        </w:tc>
        <w:tc>
          <w:tcPr>
            <w:tcW w:w="987" w:type="pct"/>
            <w:shd w:val="clear" w:color="auto" w:fill="auto"/>
          </w:tcPr>
          <w:p w14:paraId="4FCD069A" w14:textId="77777777" w:rsidR="00DC5685" w:rsidRPr="00A34F10" w:rsidRDefault="00DC5685" w:rsidP="002F6515">
            <w:pPr>
              <w:pStyle w:val="RepTable"/>
              <w:suppressAutoHyphens/>
              <w:rPr>
                <w:noProof w:val="0"/>
                <w:szCs w:val="20"/>
              </w:rPr>
            </w:pPr>
            <w:r w:rsidRPr="00A34F10">
              <w:rPr>
                <w:noProof w:val="0"/>
                <w:szCs w:val="20"/>
              </w:rPr>
              <w:t>Oral</w:t>
            </w:r>
            <w:r w:rsidRPr="00A34F10">
              <w:rPr>
                <w:noProof w:val="0"/>
                <w:szCs w:val="20"/>
              </w:rPr>
              <w:br/>
              <w:t>1 d</w:t>
            </w:r>
            <w:r w:rsidRPr="00A34F10">
              <w:rPr>
                <w:noProof w:val="0"/>
                <w:szCs w:val="20"/>
              </w:rPr>
              <w:br/>
              <w:t>Acute</w:t>
            </w:r>
          </w:p>
        </w:tc>
        <w:tc>
          <w:tcPr>
            <w:tcW w:w="987" w:type="pct"/>
            <w:shd w:val="clear" w:color="auto" w:fill="auto"/>
          </w:tcPr>
          <w:p w14:paraId="078313C5" w14:textId="77777777" w:rsidR="00DC5685" w:rsidRPr="00A34F10" w:rsidRDefault="00DC5685" w:rsidP="002F6515">
            <w:pPr>
              <w:pStyle w:val="RepTable"/>
              <w:suppressAutoHyphens/>
              <w:rPr>
                <w:noProof w:val="0"/>
                <w:szCs w:val="20"/>
              </w:rPr>
            </w:pPr>
            <w:r w:rsidRPr="00A34F10">
              <w:rPr>
                <w:szCs w:val="20"/>
              </w:rPr>
              <w:t>LD</w:t>
            </w:r>
            <w:r w:rsidRPr="00A34F10">
              <w:rPr>
                <w:szCs w:val="20"/>
                <w:vertAlign w:val="subscript"/>
              </w:rPr>
              <w:t>50</w:t>
            </w:r>
            <w:r w:rsidRPr="00A34F10">
              <w:rPr>
                <w:szCs w:val="20"/>
              </w:rPr>
              <w:t xml:space="preserve"> &gt; 2000 mg/kg bw</w:t>
            </w:r>
          </w:p>
        </w:tc>
        <w:tc>
          <w:tcPr>
            <w:tcW w:w="1055" w:type="pct"/>
            <w:shd w:val="clear" w:color="auto" w:fill="auto"/>
          </w:tcPr>
          <w:p w14:paraId="4A9A2D87" w14:textId="77777777" w:rsidR="00DC5685" w:rsidRPr="00A34F10" w:rsidRDefault="00DC5685" w:rsidP="002F6515">
            <w:pPr>
              <w:pStyle w:val="RepTable"/>
              <w:suppressAutoHyphens/>
              <w:rPr>
                <w:rFonts w:eastAsiaTheme="minorHAnsi"/>
                <w:noProof w:val="0"/>
                <w:szCs w:val="20"/>
              </w:rPr>
            </w:pPr>
            <w:r w:rsidRPr="00A34F10">
              <w:rPr>
                <w:rFonts w:eastAsiaTheme="minorHAnsi"/>
                <w:noProof w:val="0"/>
                <w:szCs w:val="20"/>
              </w:rPr>
              <w:t>New study</w:t>
            </w:r>
          </w:p>
          <w:p w14:paraId="17D18064" w14:textId="77777777" w:rsidR="00DC5685" w:rsidRPr="00A34F10" w:rsidRDefault="00DC5685" w:rsidP="002F6515">
            <w:pPr>
              <w:widowControl w:val="0"/>
              <w:suppressAutoHyphens/>
              <w:rPr>
                <w:sz w:val="20"/>
                <w:szCs w:val="20"/>
                <w:lang w:val="en-GB"/>
              </w:rPr>
            </w:pPr>
            <w:r w:rsidRPr="00A34F10">
              <w:rPr>
                <w:rFonts w:eastAsiaTheme="minorHAnsi"/>
                <w:szCs w:val="20"/>
              </w:rPr>
              <w:t>2022/2034982</w:t>
            </w:r>
          </w:p>
        </w:tc>
      </w:tr>
    </w:tbl>
    <w:p w14:paraId="72F1D84F" w14:textId="77777777" w:rsidR="00DC5685" w:rsidRPr="00A34F10" w:rsidRDefault="00DC5685" w:rsidP="002F6515">
      <w:pPr>
        <w:suppressAutoHyphens/>
        <w:autoSpaceDE w:val="0"/>
        <w:autoSpaceDN w:val="0"/>
        <w:adjustRightInd w:val="0"/>
        <w:ind w:left="284" w:hanging="284"/>
        <w:jc w:val="both"/>
        <w:rPr>
          <w:sz w:val="18"/>
          <w:szCs w:val="18"/>
          <w:lang w:val="en-GB"/>
        </w:rPr>
      </w:pPr>
      <w:r w:rsidRPr="00A34F10">
        <w:rPr>
          <w:sz w:val="18"/>
          <w:szCs w:val="18"/>
        </w:rPr>
        <w:lastRenderedPageBreak/>
        <w:t>*</w:t>
      </w:r>
      <w:r w:rsidRPr="00A34F10">
        <w:rPr>
          <w:sz w:val="18"/>
          <w:szCs w:val="18"/>
        </w:rPr>
        <w:tab/>
        <w:t>Study was conducted with the similar formulation BAS 743 02 F containing 137.1 g/L Ametoctradin and 515.4 g/L Propamocarb-HCl</w:t>
      </w:r>
    </w:p>
    <w:p w14:paraId="43045319" w14:textId="0B6252CE" w:rsidR="00DC5685" w:rsidRPr="00A34F10" w:rsidRDefault="00DC5685" w:rsidP="002F6515">
      <w:pPr>
        <w:suppressAutoHyphens/>
        <w:autoSpaceDE w:val="0"/>
        <w:autoSpaceDN w:val="0"/>
        <w:adjustRightInd w:val="0"/>
        <w:jc w:val="both"/>
        <w:rPr>
          <w:highlight w:val="yellow"/>
          <w:lang w:val="en-GB"/>
        </w:rPr>
      </w:pPr>
    </w:p>
    <w:p w14:paraId="17F4BE6D" w14:textId="77777777" w:rsidR="00DC5685" w:rsidRPr="00A34F10" w:rsidRDefault="00DC5685" w:rsidP="002F6515">
      <w:pPr>
        <w:jc w:val="both"/>
        <w:rPr>
          <w:iCs/>
          <w:lang w:val="en-GB"/>
        </w:rPr>
      </w:pPr>
      <w:r w:rsidRPr="00A34F10">
        <w:rPr>
          <w:lang w:val="en-GB"/>
        </w:rPr>
        <w:t>Nevertheless, in line with EFSA/2009/1438, for the assessment of acute effects (mortality) from the simultaneous exposure of mammals to residues of Propamocarb and Ametoctradin (considered to be the only potential toxicants contained in the formulation) a surrogate LD</w:t>
      </w:r>
      <w:r w:rsidRPr="00A34F10">
        <w:rPr>
          <w:vertAlign w:val="subscript"/>
          <w:lang w:val="en-GB"/>
        </w:rPr>
        <w:t>50</w:t>
      </w:r>
      <w:r w:rsidRPr="00A34F10">
        <w:rPr>
          <w:lang w:val="en-GB"/>
        </w:rPr>
        <w:t xml:space="preserve"> (mix) is additionally derived. The surrogate LD</w:t>
      </w:r>
      <w:r w:rsidRPr="00A34F10">
        <w:rPr>
          <w:vertAlign w:val="subscript"/>
          <w:lang w:val="en-GB"/>
        </w:rPr>
        <w:t>50</w:t>
      </w:r>
      <w:r w:rsidRPr="00A34F10">
        <w:rPr>
          <w:lang w:val="en-GB"/>
        </w:rPr>
        <w:t xml:space="preserve"> (mix) is calculated assuming dose additivity of toxicity by using the following equation:</w:t>
      </w:r>
    </w:p>
    <w:bookmarkEnd w:id="326"/>
    <w:p w14:paraId="233A14FF" w14:textId="77777777" w:rsidR="00DC5685" w:rsidRPr="00A34F10" w:rsidRDefault="00DC5685" w:rsidP="002F6515">
      <w:pPr>
        <w:spacing w:after="120"/>
        <w:rPr>
          <w:lang w:val="en-GB"/>
        </w:rPr>
      </w:pPr>
    </w:p>
    <w:p w14:paraId="0644335C" w14:textId="49B1D025" w:rsidR="007E7467" w:rsidRDefault="00DC5685" w:rsidP="00DC5685">
      <w:pPr>
        <w:spacing w:after="120"/>
        <w:rPr>
          <w:lang w:val="en-GB"/>
        </w:rPr>
      </w:pPr>
      <w:r w:rsidRPr="00A34F10">
        <w:rPr>
          <w:position w:val="-28"/>
          <w:lang w:val="en-GB"/>
        </w:rPr>
        <w:object w:dxaOrig="2700" w:dyaOrig="720" w14:anchorId="510DA2EE">
          <v:shape id="_x0000_i1027" type="#_x0000_t75" style="width:136pt;height:36pt" o:ole="">
            <v:imagedata r:id="rId32" o:title=""/>
          </v:shape>
          <o:OLEObject Type="Embed" ProgID="Equation.3" ShapeID="_x0000_i1027" DrawAspect="Content" ObjectID="_1792489417" r:id="rId33"/>
        </w:object>
      </w:r>
      <w:r w:rsidRPr="00A34F10">
        <w:rPr>
          <w:lang w:val="en-GB"/>
        </w:rPr>
        <w:t xml:space="preserve"> </w:t>
      </w:r>
    </w:p>
    <w:p w14:paraId="6BB995B9" w14:textId="02F77E44" w:rsidR="00DC5685" w:rsidRPr="00A34F10" w:rsidRDefault="00DC5685" w:rsidP="00E85C80">
      <w:pPr>
        <w:rPr>
          <w:lang w:val="en-GB"/>
        </w:rPr>
      </w:pPr>
    </w:p>
    <w:p w14:paraId="01731729" w14:textId="77777777" w:rsidR="00DC5685" w:rsidRPr="00A34F10" w:rsidRDefault="00DC5685" w:rsidP="002F6515">
      <w:pPr>
        <w:keepNext/>
        <w:spacing w:after="40"/>
        <w:rPr>
          <w:lang w:val="en-GB"/>
        </w:rPr>
      </w:pPr>
      <w:bookmarkStart w:id="327" w:name="_Hlk133242984"/>
      <w:r w:rsidRPr="00A34F10">
        <w:rPr>
          <w:lang w:val="en-GB"/>
        </w:rPr>
        <w:t>With:</w:t>
      </w:r>
    </w:p>
    <w:p w14:paraId="374C1EFE" w14:textId="77777777" w:rsidR="00DC5685" w:rsidRPr="00A34F10" w:rsidRDefault="00DC5685" w:rsidP="00DC5685">
      <w:pPr>
        <w:spacing w:after="40"/>
        <w:rPr>
          <w:lang w:val="en-GB"/>
        </w:rPr>
      </w:pPr>
      <w:r w:rsidRPr="00A34F10">
        <w:rPr>
          <w:lang w:val="en-GB"/>
        </w:rPr>
        <w:t>X (a.s.</w:t>
      </w:r>
      <w:r w:rsidRPr="00A34F10">
        <w:rPr>
          <w:vertAlign w:val="subscript"/>
          <w:lang w:val="en-GB"/>
        </w:rPr>
        <w:t>i</w:t>
      </w:r>
      <w:r w:rsidRPr="00A34F10">
        <w:rPr>
          <w:lang w:val="en-GB"/>
        </w:rPr>
        <w:t>)</w:t>
      </w:r>
      <w:r w:rsidRPr="00A34F10">
        <w:rPr>
          <w:lang w:val="en-GB"/>
        </w:rPr>
        <w:tab/>
        <w:t>= fraction of active substance [i] in the mixture</w:t>
      </w:r>
      <w:bookmarkEnd w:id="327"/>
    </w:p>
    <w:p w14:paraId="7E4DB85C" w14:textId="77777777" w:rsidR="00DC5685" w:rsidRPr="00A34F10" w:rsidRDefault="00DC5685" w:rsidP="00DC5685">
      <w:pPr>
        <w:spacing w:after="40"/>
        <w:rPr>
          <w:lang w:val="x-none"/>
        </w:rPr>
      </w:pPr>
      <w:bookmarkStart w:id="328" w:name="_Hlk133243026"/>
      <w:r w:rsidRPr="00A34F10">
        <w:rPr>
          <w:lang w:val="en-GB"/>
        </w:rPr>
        <w:t>LD</w:t>
      </w:r>
      <w:r w:rsidRPr="00A34F10">
        <w:rPr>
          <w:vertAlign w:val="subscript"/>
          <w:lang w:val="en-GB"/>
        </w:rPr>
        <w:t>50</w:t>
      </w:r>
      <w:r w:rsidRPr="00A34F10">
        <w:rPr>
          <w:lang w:val="en-GB"/>
        </w:rPr>
        <w:t> (a.s.</w:t>
      </w:r>
      <w:r w:rsidRPr="00A34F10">
        <w:rPr>
          <w:vertAlign w:val="subscript"/>
          <w:lang w:val="en-GB"/>
        </w:rPr>
        <w:t>i</w:t>
      </w:r>
      <w:r w:rsidRPr="00A34F10">
        <w:rPr>
          <w:lang w:val="en-GB"/>
        </w:rPr>
        <w:t>) = acute toxicity value for active substance [i]</w:t>
      </w:r>
      <w:r w:rsidRPr="00A34F10">
        <w:rPr>
          <w:color w:val="2F5496" w:themeColor="accent1" w:themeShade="BF"/>
          <w:lang w:val="en-GB"/>
        </w:rPr>
        <w:t xml:space="preserve"> </w:t>
      </w:r>
      <w:r w:rsidRPr="00A34F10">
        <w:rPr>
          <w:lang w:val="en-GB"/>
        </w:rPr>
        <w:t>(</w:t>
      </w:r>
      <w:r w:rsidRPr="00A34F10">
        <w:rPr>
          <w:lang w:val="x-none"/>
        </w:rPr>
        <w:t>pragmatically, NOE</w:t>
      </w:r>
      <w:r w:rsidRPr="00A34F10">
        <w:rPr>
          <w:lang w:val="en-GB"/>
        </w:rPr>
        <w:t>L (a.s.</w:t>
      </w:r>
      <w:r w:rsidRPr="00A34F10">
        <w:rPr>
          <w:vertAlign w:val="subscript"/>
          <w:lang w:val="x-none"/>
        </w:rPr>
        <w:t>i</w:t>
      </w:r>
      <w:r w:rsidRPr="00A34F10">
        <w:rPr>
          <w:lang w:val="en-GB"/>
        </w:rPr>
        <w:t>)</w:t>
      </w:r>
      <w:r w:rsidRPr="00A34F10">
        <w:rPr>
          <w:lang w:val="x-none"/>
        </w:rPr>
        <w:t xml:space="preserve"> may be</w:t>
      </w:r>
      <w:r w:rsidRPr="00A34F10">
        <w:rPr>
          <w:lang w:val="en-GB"/>
        </w:rPr>
        <w:t xml:space="preserve"> </w:t>
      </w:r>
      <w:r w:rsidRPr="00A34F10">
        <w:rPr>
          <w:lang w:val="x-none"/>
        </w:rPr>
        <w:t>inserted, too)</w:t>
      </w:r>
    </w:p>
    <w:p w14:paraId="06A68EAC" w14:textId="77777777" w:rsidR="00DC5685" w:rsidRPr="00A34F10" w:rsidRDefault="00DC5685" w:rsidP="00DC5685">
      <w:pPr>
        <w:spacing w:after="40"/>
        <w:rPr>
          <w:lang w:val="en-GB"/>
        </w:rPr>
      </w:pPr>
    </w:p>
    <w:p w14:paraId="3EBC09AB" w14:textId="77777777" w:rsidR="00DC5685" w:rsidRPr="00A34F10" w:rsidRDefault="00DC5685" w:rsidP="00DC5685">
      <w:pPr>
        <w:spacing w:after="40"/>
        <w:rPr>
          <w:lang w:val="en-GB"/>
        </w:rPr>
      </w:pPr>
      <w:r w:rsidRPr="00A34F10">
        <w:rPr>
          <w:lang w:val="en-GB"/>
        </w:rPr>
        <w:t xml:space="preserve">In addition to acute, the </w:t>
      </w:r>
      <w:r w:rsidRPr="00A34F10">
        <w:rPr>
          <w:lang w:val="x-none"/>
        </w:rPr>
        <w:t>long</w:t>
      </w:r>
      <w:r w:rsidRPr="00A34F10">
        <w:rPr>
          <w:lang w:val="en-GB"/>
        </w:rPr>
        <w:t>-</w:t>
      </w:r>
      <w:r w:rsidRPr="00A34F10">
        <w:rPr>
          <w:lang w:val="x-none"/>
        </w:rPr>
        <w:t>term risk from</w:t>
      </w:r>
      <w:r w:rsidRPr="00A34F10">
        <w:rPr>
          <w:lang w:val="en-GB"/>
        </w:rPr>
        <w:t xml:space="preserve"> </w:t>
      </w:r>
      <w:r w:rsidRPr="00A34F10">
        <w:rPr>
          <w:lang w:val="x-none"/>
        </w:rPr>
        <w:t>combined exposure of</w:t>
      </w:r>
      <w:r w:rsidRPr="00A34F10">
        <w:rPr>
          <w:lang w:val="en-GB"/>
        </w:rPr>
        <w:t xml:space="preserve"> birds and mammals to </w:t>
      </w:r>
      <w:r w:rsidRPr="00A34F10">
        <w:rPr>
          <w:lang w:val="x-none"/>
        </w:rPr>
        <w:t>active substances need</w:t>
      </w:r>
      <w:r w:rsidRPr="00A34F10">
        <w:rPr>
          <w:lang w:val="en-GB"/>
        </w:rPr>
        <w:t>s</w:t>
      </w:r>
      <w:r w:rsidRPr="00A34F10">
        <w:rPr>
          <w:lang w:val="x-none"/>
        </w:rPr>
        <w:t xml:space="preserve"> to be addressed via the Concentration Addition</w:t>
      </w:r>
      <w:r w:rsidRPr="00A34F10">
        <w:rPr>
          <w:lang w:val="en-GB"/>
        </w:rPr>
        <w:t xml:space="preserve"> </w:t>
      </w:r>
      <w:r w:rsidRPr="00A34F10">
        <w:rPr>
          <w:lang w:val="x-none"/>
        </w:rPr>
        <w:t>Model</w:t>
      </w:r>
      <w:r w:rsidRPr="00A34F10">
        <w:rPr>
          <w:lang w:val="en-GB"/>
        </w:rPr>
        <w:t>.</w:t>
      </w:r>
    </w:p>
    <w:p w14:paraId="4ECBACE7" w14:textId="77777777" w:rsidR="00DC5685" w:rsidRPr="00A34F10" w:rsidRDefault="00DC5685" w:rsidP="00DC5685">
      <w:pPr>
        <w:spacing w:after="40"/>
        <w:rPr>
          <w:lang w:val="x-none"/>
        </w:rPr>
      </w:pPr>
    </w:p>
    <w:p w14:paraId="76B4F434" w14:textId="77777777" w:rsidR="00DC5685" w:rsidRPr="00A34F10" w:rsidRDefault="00DC5685" w:rsidP="00DC5685">
      <w:pPr>
        <w:spacing w:after="40"/>
        <w:rPr>
          <w:b/>
          <w:lang w:val="en-GB"/>
        </w:rPr>
      </w:pPr>
      <w:r w:rsidRPr="00A34F10">
        <w:rPr>
          <w:lang w:val="en-GB"/>
        </w:rPr>
        <w:t>The estimation of the LD</w:t>
      </w:r>
      <w:r w:rsidRPr="00A34F10">
        <w:rPr>
          <w:vertAlign w:val="subscript"/>
          <w:lang w:val="en-GB"/>
        </w:rPr>
        <w:t xml:space="preserve">50 </w:t>
      </w:r>
      <w:r w:rsidRPr="00A34F10">
        <w:rPr>
          <w:lang w:val="en-GB"/>
        </w:rPr>
        <w:t>(mix) and NOEL (mix) is shown in</w:t>
      </w:r>
      <w:r w:rsidRPr="00A34F10">
        <w:t xml:space="preserve"> the following tables</w:t>
      </w:r>
      <w:r w:rsidRPr="00A34F10">
        <w:rPr>
          <w:b/>
          <w:lang w:val="en-GB"/>
        </w:rPr>
        <w:t>.</w:t>
      </w:r>
    </w:p>
    <w:p w14:paraId="17096A60" w14:textId="28DEDD82" w:rsidR="00DC5685" w:rsidRPr="00A34F10" w:rsidRDefault="00DC5685" w:rsidP="00DC5685">
      <w:pPr>
        <w:rPr>
          <w:b/>
          <w:lang w:val="en-GB"/>
        </w:rPr>
      </w:pPr>
    </w:p>
    <w:p w14:paraId="5F42A589" w14:textId="440FA6FB" w:rsidR="00DC5685" w:rsidRPr="00A34F10" w:rsidRDefault="00DC5685" w:rsidP="00DC5685">
      <w:pPr>
        <w:pStyle w:val="RepLabel"/>
        <w:suppressAutoHyphens/>
        <w:rPr>
          <w:b w:val="0"/>
          <w:bCs w:val="0"/>
        </w:rPr>
      </w:pPr>
      <w:r w:rsidRPr="00A34F10">
        <w:t xml:space="preserve">Table </w:t>
      </w:r>
      <w:fldSimple w:instr=" STYLEREF 2 \s ">
        <w:r w:rsidR="006F0F3B">
          <w:rPr>
            <w:noProof/>
          </w:rPr>
          <w:t>9.3</w:t>
        </w:r>
      </w:fldSimple>
      <w:r w:rsidRPr="00A34F10">
        <w:noBreakHyphen/>
        <w:t>4:</w:t>
      </w:r>
      <w:r w:rsidRPr="00A34F10">
        <w:tab/>
        <w:t>Estimation of LD</w:t>
      </w:r>
      <w:r w:rsidRPr="00A34F10">
        <w:rPr>
          <w:vertAlign w:val="subscript"/>
        </w:rPr>
        <w:t>50</w:t>
      </w:r>
      <w:r w:rsidRPr="00A34F10">
        <w:t xml:space="preserve"> for the mixture assuming dose additivity</w:t>
      </w:r>
    </w:p>
    <w:tbl>
      <w:tblPr>
        <w:tblStyle w:val="Table-StandardGAB1"/>
        <w:tblW w:w="5000" w:type="pct"/>
        <w:tblLook w:val="04A0" w:firstRow="1" w:lastRow="0" w:firstColumn="1" w:lastColumn="0" w:noHBand="0" w:noVBand="1"/>
      </w:tblPr>
      <w:tblGrid>
        <w:gridCol w:w="1734"/>
        <w:gridCol w:w="1747"/>
        <w:gridCol w:w="1468"/>
        <w:gridCol w:w="1483"/>
        <w:gridCol w:w="1347"/>
        <w:gridCol w:w="1562"/>
      </w:tblGrid>
      <w:tr w:rsidR="00DC5685" w:rsidRPr="00A34F10" w14:paraId="3C92BC4B" w14:textId="77777777" w:rsidTr="000470C3">
        <w:trPr>
          <w:cnfStyle w:val="100000000000" w:firstRow="1" w:lastRow="0" w:firstColumn="0" w:lastColumn="0" w:oddVBand="0" w:evenVBand="0" w:oddHBand="0" w:evenHBand="0" w:firstRowFirstColumn="0" w:firstRowLastColumn="0" w:lastRowFirstColumn="0" w:lastRowLastColumn="0"/>
        </w:trPr>
        <w:tc>
          <w:tcPr>
            <w:tcW w:w="928" w:type="pct"/>
            <w:hideMark/>
          </w:tcPr>
          <w:p w14:paraId="1AD56F9C"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Active substance</w:t>
            </w:r>
          </w:p>
        </w:tc>
        <w:tc>
          <w:tcPr>
            <w:tcW w:w="935" w:type="pct"/>
          </w:tcPr>
          <w:p w14:paraId="09276A4C" w14:textId="1E329985"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 xml:space="preserve">Concentration of each active substance in </w:t>
            </w:r>
            <w:r w:rsidR="00E34814" w:rsidRPr="009050FC">
              <w:rPr>
                <w:b/>
                <w:bCs/>
                <w:strike/>
                <w:sz w:val="20"/>
                <w:szCs w:val="20"/>
                <w:highlight w:val="green"/>
              </w:rPr>
              <w:t>formulation</w:t>
            </w:r>
            <w:r w:rsidR="00E34814" w:rsidRPr="009050FC">
              <w:rPr>
                <w:b/>
                <w:bCs/>
                <w:sz w:val="20"/>
                <w:szCs w:val="20"/>
                <w:highlight w:val="green"/>
              </w:rPr>
              <w:t xml:space="preserve"> BAS 743 02 F</w:t>
            </w:r>
            <w:r w:rsidRPr="00A34F10">
              <w:rPr>
                <w:b/>
                <w:bCs/>
                <w:sz w:val="20"/>
                <w:szCs w:val="20"/>
              </w:rPr>
              <w:t xml:space="preserve"> </w:t>
            </w:r>
          </w:p>
          <w:p w14:paraId="4825A90B"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[g a.s.</w:t>
            </w:r>
            <w:r w:rsidRPr="00A34F10">
              <w:rPr>
                <w:b/>
                <w:bCs/>
                <w:sz w:val="20"/>
                <w:szCs w:val="20"/>
                <w:vertAlign w:val="subscript"/>
              </w:rPr>
              <w:t>i</w:t>
            </w:r>
            <w:r w:rsidRPr="00A34F10">
              <w:rPr>
                <w:b/>
                <w:bCs/>
                <w:sz w:val="20"/>
                <w:szCs w:val="20"/>
              </w:rPr>
              <w:t>/L]</w:t>
            </w:r>
          </w:p>
        </w:tc>
        <w:tc>
          <w:tcPr>
            <w:tcW w:w="786" w:type="pct"/>
          </w:tcPr>
          <w:p w14:paraId="67D2F71E"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X (a.s.</w:t>
            </w:r>
            <w:r w:rsidRPr="00A34F10">
              <w:rPr>
                <w:b/>
                <w:bCs/>
                <w:sz w:val="20"/>
                <w:szCs w:val="20"/>
                <w:vertAlign w:val="subscript"/>
              </w:rPr>
              <w:t>i</w:t>
            </w:r>
            <w:r w:rsidRPr="00A34F10">
              <w:rPr>
                <w:b/>
                <w:bCs/>
                <w:sz w:val="20"/>
                <w:szCs w:val="20"/>
              </w:rPr>
              <w:t>) in the mixture</w:t>
            </w:r>
          </w:p>
        </w:tc>
        <w:tc>
          <w:tcPr>
            <w:tcW w:w="794" w:type="pct"/>
          </w:tcPr>
          <w:p w14:paraId="235F17DC"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LD</w:t>
            </w:r>
            <w:r w:rsidRPr="00A34F10">
              <w:rPr>
                <w:b/>
                <w:bCs/>
                <w:sz w:val="20"/>
                <w:szCs w:val="20"/>
                <w:vertAlign w:val="subscript"/>
              </w:rPr>
              <w:t>50</w:t>
            </w:r>
            <w:r w:rsidRPr="00A34F10">
              <w:rPr>
                <w:b/>
                <w:bCs/>
                <w:sz w:val="20"/>
                <w:szCs w:val="20"/>
              </w:rPr>
              <w:br/>
              <w:t>[mg a.s.</w:t>
            </w:r>
            <w:r w:rsidRPr="00A34F10">
              <w:rPr>
                <w:b/>
                <w:bCs/>
                <w:sz w:val="20"/>
                <w:szCs w:val="20"/>
                <w:vertAlign w:val="subscript"/>
              </w:rPr>
              <w:t>i</w:t>
            </w:r>
            <w:r w:rsidRPr="00A34F10">
              <w:rPr>
                <w:b/>
                <w:bCs/>
                <w:sz w:val="20"/>
                <w:szCs w:val="20"/>
              </w:rPr>
              <w:t>/kg bw]</w:t>
            </w:r>
          </w:p>
        </w:tc>
        <w:tc>
          <w:tcPr>
            <w:tcW w:w="721" w:type="pct"/>
          </w:tcPr>
          <w:p w14:paraId="12232439" w14:textId="77777777" w:rsidR="00DC5685" w:rsidRPr="00BA02BD" w:rsidRDefault="00DC5685" w:rsidP="000470C3">
            <w:pPr>
              <w:keepNext/>
              <w:autoSpaceDE w:val="0"/>
              <w:autoSpaceDN w:val="0"/>
              <w:spacing w:before="40" w:after="40"/>
              <w:ind w:left="17" w:right="17"/>
              <w:jc w:val="center"/>
              <w:rPr>
                <w:b/>
                <w:bCs/>
                <w:strike/>
                <w:color w:val="D9D9D9" w:themeColor="background1" w:themeShade="D9"/>
                <w:sz w:val="20"/>
                <w:szCs w:val="20"/>
              </w:rPr>
            </w:pPr>
            <w:r w:rsidRPr="00BA02BD">
              <w:rPr>
                <w:b/>
                <w:bCs/>
                <w:strike/>
                <w:color w:val="D9D9D9" w:themeColor="background1" w:themeShade="D9"/>
                <w:sz w:val="20"/>
                <w:szCs w:val="20"/>
              </w:rPr>
              <w:t>Σ [X (a.s.</w:t>
            </w:r>
            <w:r w:rsidRPr="00BA02BD">
              <w:rPr>
                <w:b/>
                <w:bCs/>
                <w:strike/>
                <w:color w:val="D9D9D9" w:themeColor="background1" w:themeShade="D9"/>
                <w:sz w:val="20"/>
                <w:szCs w:val="20"/>
                <w:vertAlign w:val="subscript"/>
              </w:rPr>
              <w:t>i</w:t>
            </w:r>
            <w:r w:rsidRPr="00BA02BD">
              <w:rPr>
                <w:b/>
                <w:bCs/>
                <w:strike/>
                <w:color w:val="D9D9D9" w:themeColor="background1" w:themeShade="D9"/>
                <w:sz w:val="20"/>
                <w:szCs w:val="20"/>
              </w:rPr>
              <w:t>)/LD</w:t>
            </w:r>
            <w:r w:rsidRPr="00BA02BD">
              <w:rPr>
                <w:b/>
                <w:bCs/>
                <w:strike/>
                <w:color w:val="D9D9D9" w:themeColor="background1" w:themeShade="D9"/>
                <w:sz w:val="20"/>
                <w:szCs w:val="20"/>
                <w:vertAlign w:val="subscript"/>
              </w:rPr>
              <w:t>50</w:t>
            </w:r>
            <w:r w:rsidRPr="00BA02BD">
              <w:rPr>
                <w:b/>
                <w:bCs/>
                <w:strike/>
                <w:color w:val="D9D9D9" w:themeColor="background1" w:themeShade="D9"/>
                <w:sz w:val="20"/>
                <w:szCs w:val="20"/>
              </w:rPr>
              <w:t xml:space="preserve"> (a.s.</w:t>
            </w:r>
            <w:r w:rsidRPr="00BA02BD">
              <w:rPr>
                <w:b/>
                <w:bCs/>
                <w:strike/>
                <w:color w:val="D9D9D9" w:themeColor="background1" w:themeShade="D9"/>
                <w:sz w:val="20"/>
                <w:szCs w:val="20"/>
                <w:vertAlign w:val="subscript"/>
              </w:rPr>
              <w:t>i</w:t>
            </w:r>
            <w:r w:rsidRPr="00BA02BD">
              <w:rPr>
                <w:b/>
                <w:bCs/>
                <w:strike/>
                <w:color w:val="D9D9D9" w:themeColor="background1" w:themeShade="D9"/>
                <w:sz w:val="20"/>
                <w:szCs w:val="20"/>
              </w:rPr>
              <w:t>)]</w:t>
            </w:r>
          </w:p>
          <w:p w14:paraId="69315541" w14:textId="77777777" w:rsidR="00DC5685" w:rsidRPr="00BA02BD" w:rsidRDefault="00DC5685" w:rsidP="000470C3">
            <w:pPr>
              <w:keepNext/>
              <w:autoSpaceDE w:val="0"/>
              <w:autoSpaceDN w:val="0"/>
              <w:spacing w:before="40" w:after="40"/>
              <w:ind w:left="17" w:right="17"/>
              <w:jc w:val="center"/>
              <w:rPr>
                <w:b/>
                <w:bCs/>
                <w:strike/>
                <w:color w:val="D9D9D9" w:themeColor="background1" w:themeShade="D9"/>
                <w:sz w:val="20"/>
                <w:szCs w:val="20"/>
              </w:rPr>
            </w:pPr>
          </w:p>
        </w:tc>
        <w:tc>
          <w:tcPr>
            <w:tcW w:w="837" w:type="pct"/>
          </w:tcPr>
          <w:p w14:paraId="24A08172"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LD</w:t>
            </w:r>
            <w:r w:rsidRPr="00A34F10">
              <w:rPr>
                <w:b/>
                <w:bCs/>
                <w:sz w:val="20"/>
                <w:szCs w:val="20"/>
                <w:vertAlign w:val="subscript"/>
              </w:rPr>
              <w:t>50</w:t>
            </w:r>
            <w:r w:rsidRPr="00A34F10">
              <w:rPr>
                <w:b/>
                <w:bCs/>
                <w:sz w:val="20"/>
                <w:szCs w:val="20"/>
              </w:rPr>
              <w:t xml:space="preserve"> (mix)</w:t>
            </w:r>
            <w:r w:rsidRPr="00A34F10">
              <w:rPr>
                <w:b/>
                <w:bCs/>
                <w:sz w:val="20"/>
                <w:szCs w:val="20"/>
              </w:rPr>
              <w:br/>
              <w:t>[Σ mg a.s.</w:t>
            </w:r>
            <w:r w:rsidRPr="00A34F10">
              <w:rPr>
                <w:b/>
                <w:bCs/>
                <w:sz w:val="20"/>
                <w:szCs w:val="20"/>
                <w:vertAlign w:val="subscript"/>
              </w:rPr>
              <w:t>i</w:t>
            </w:r>
            <w:r w:rsidRPr="00A34F10">
              <w:rPr>
                <w:b/>
                <w:bCs/>
                <w:sz w:val="20"/>
                <w:szCs w:val="20"/>
              </w:rPr>
              <w:t>/kg bw]</w:t>
            </w:r>
          </w:p>
        </w:tc>
      </w:tr>
      <w:tr w:rsidR="00DC5685" w:rsidRPr="00A34F10" w14:paraId="34781D1E" w14:textId="77777777" w:rsidTr="000470C3">
        <w:tc>
          <w:tcPr>
            <w:tcW w:w="928" w:type="pct"/>
          </w:tcPr>
          <w:p w14:paraId="644E66D4"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Ametoctradin</w:t>
            </w:r>
          </w:p>
        </w:tc>
        <w:tc>
          <w:tcPr>
            <w:tcW w:w="935" w:type="pct"/>
          </w:tcPr>
          <w:p w14:paraId="2ECBCE33"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137</w:t>
            </w:r>
          </w:p>
        </w:tc>
        <w:tc>
          <w:tcPr>
            <w:tcW w:w="786" w:type="pct"/>
          </w:tcPr>
          <w:p w14:paraId="5BB245AE"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0.21</w:t>
            </w:r>
          </w:p>
        </w:tc>
        <w:tc>
          <w:tcPr>
            <w:tcW w:w="794" w:type="pct"/>
            <w:tcBorders>
              <w:top w:val="single" w:sz="6" w:space="0" w:color="auto"/>
              <w:bottom w:val="single" w:sz="6" w:space="0" w:color="auto"/>
            </w:tcBorders>
          </w:tcPr>
          <w:p w14:paraId="6128052B" w14:textId="77777777" w:rsidR="00DC5685" w:rsidRPr="00A34F10" w:rsidRDefault="00DC5685" w:rsidP="000470C3">
            <w:pPr>
              <w:keepNext/>
              <w:tabs>
                <w:tab w:val="left" w:pos="720"/>
              </w:tabs>
              <w:spacing w:before="40" w:after="40"/>
              <w:ind w:left="17" w:right="17"/>
              <w:jc w:val="center"/>
              <w:rPr>
                <w:sz w:val="20"/>
                <w:szCs w:val="20"/>
              </w:rPr>
            </w:pPr>
            <w:r w:rsidRPr="00A34F10">
              <w:rPr>
                <w:bCs/>
                <w:sz w:val="20"/>
                <w:szCs w:val="20"/>
              </w:rPr>
              <w:t>&gt;2000</w:t>
            </w:r>
          </w:p>
        </w:tc>
        <w:tc>
          <w:tcPr>
            <w:tcW w:w="721" w:type="pct"/>
            <w:vMerge w:val="restart"/>
            <w:tcBorders>
              <w:top w:val="single" w:sz="6" w:space="0" w:color="auto"/>
              <w:bottom w:val="single" w:sz="6" w:space="0" w:color="auto"/>
            </w:tcBorders>
          </w:tcPr>
          <w:p w14:paraId="575B1E1C" w14:textId="77777777" w:rsidR="00DC5685" w:rsidRPr="00BA02BD" w:rsidRDefault="00DC5685" w:rsidP="000470C3">
            <w:pPr>
              <w:jc w:val="center"/>
              <w:rPr>
                <w:strike/>
                <w:color w:val="D9D9D9" w:themeColor="background1" w:themeShade="D9"/>
                <w:sz w:val="20"/>
                <w:szCs w:val="20"/>
              </w:rPr>
            </w:pPr>
            <w:r w:rsidRPr="00BA02BD">
              <w:rPr>
                <w:strike/>
                <w:color w:val="D9D9D9" w:themeColor="background1" w:themeShade="D9"/>
                <w:sz w:val="20"/>
                <w:szCs w:val="20"/>
                <w:lang w:val="de-DE"/>
              </w:rPr>
              <w:t>&lt; 5.00E-04</w:t>
            </w:r>
          </w:p>
        </w:tc>
        <w:tc>
          <w:tcPr>
            <w:tcW w:w="837" w:type="pct"/>
            <w:vMerge w:val="restart"/>
            <w:tcBorders>
              <w:top w:val="single" w:sz="6" w:space="0" w:color="auto"/>
              <w:bottom w:val="single" w:sz="6" w:space="0" w:color="auto"/>
            </w:tcBorders>
          </w:tcPr>
          <w:p w14:paraId="5D9EE9B1" w14:textId="0620216F"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&gt; </w:t>
            </w:r>
            <w:r w:rsidRPr="00E70E80">
              <w:rPr>
                <w:strike/>
                <w:color w:val="D9D9D9" w:themeColor="background1" w:themeShade="D9"/>
                <w:sz w:val="20"/>
                <w:szCs w:val="20"/>
              </w:rPr>
              <w:t>2000</w:t>
            </w:r>
            <w:r w:rsidR="00E70E80">
              <w:rPr>
                <w:sz w:val="20"/>
                <w:szCs w:val="20"/>
              </w:rPr>
              <w:t xml:space="preserve"> </w:t>
            </w:r>
            <w:r w:rsidR="00E70E80" w:rsidRPr="00E70E80">
              <w:rPr>
                <w:sz w:val="20"/>
                <w:szCs w:val="20"/>
                <w:shd w:val="clear" w:color="auto" w:fill="D9D9D9" w:themeFill="background1" w:themeFillShade="D9"/>
              </w:rPr>
              <w:t>1430.7</w:t>
            </w:r>
          </w:p>
        </w:tc>
      </w:tr>
      <w:tr w:rsidR="00DC5685" w:rsidRPr="00A34F10" w14:paraId="6197B41F" w14:textId="77777777" w:rsidTr="000470C3">
        <w:tc>
          <w:tcPr>
            <w:tcW w:w="928" w:type="pct"/>
          </w:tcPr>
          <w:p w14:paraId="7F01DE5D" w14:textId="77777777" w:rsidR="00DC5685" w:rsidRPr="00A34F10" w:rsidRDefault="00DC5685" w:rsidP="000470C3">
            <w:pPr>
              <w:keepNext/>
              <w:tabs>
                <w:tab w:val="left" w:pos="720"/>
              </w:tabs>
              <w:spacing w:before="40" w:after="40"/>
              <w:ind w:left="17" w:right="17"/>
              <w:rPr>
                <w:sz w:val="20"/>
                <w:szCs w:val="20"/>
              </w:rPr>
            </w:pPr>
            <w:r w:rsidRPr="00A34F10">
              <w:rPr>
                <w:sz w:val="20"/>
                <w:szCs w:val="20"/>
              </w:rPr>
              <w:t>Propamocarb-HCl</w:t>
            </w:r>
          </w:p>
        </w:tc>
        <w:tc>
          <w:tcPr>
            <w:tcW w:w="935" w:type="pct"/>
          </w:tcPr>
          <w:p w14:paraId="05BC8728"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515 </w:t>
            </w:r>
            <w:r w:rsidRPr="00A34F10">
              <w:rPr>
                <w:sz w:val="20"/>
                <w:szCs w:val="20"/>
                <w:vertAlign w:val="superscript"/>
              </w:rPr>
              <w:t>1)</w:t>
            </w:r>
          </w:p>
        </w:tc>
        <w:tc>
          <w:tcPr>
            <w:tcW w:w="786" w:type="pct"/>
          </w:tcPr>
          <w:p w14:paraId="2C99B644"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0.79</w:t>
            </w:r>
          </w:p>
        </w:tc>
        <w:tc>
          <w:tcPr>
            <w:tcW w:w="794" w:type="pct"/>
            <w:tcBorders>
              <w:top w:val="single" w:sz="6" w:space="0" w:color="auto"/>
              <w:bottom w:val="single" w:sz="6" w:space="0" w:color="auto"/>
            </w:tcBorders>
          </w:tcPr>
          <w:p w14:paraId="1FF2130A" w14:textId="30B06CB4"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&gt; </w:t>
            </w:r>
            <w:r w:rsidR="00F80490" w:rsidRPr="00DE7C2C">
              <w:rPr>
                <w:strike/>
                <w:color w:val="D9D9D9" w:themeColor="background1" w:themeShade="D9"/>
                <w:sz w:val="20"/>
                <w:szCs w:val="20"/>
              </w:rPr>
              <w:t>2000</w:t>
            </w:r>
            <w:r w:rsidR="00F80490">
              <w:rPr>
                <w:sz w:val="20"/>
                <w:szCs w:val="20"/>
              </w:rPr>
              <w:t xml:space="preserve"> </w:t>
            </w:r>
            <w:r w:rsidR="00F80490" w:rsidRPr="00DE7C2C">
              <w:rPr>
                <w:sz w:val="20"/>
                <w:szCs w:val="20"/>
                <w:shd w:val="clear" w:color="auto" w:fill="D9D9D9" w:themeFill="background1" w:themeFillShade="D9"/>
              </w:rPr>
              <w:t xml:space="preserve">1330 </w:t>
            </w:r>
            <w:r w:rsidRPr="00A34F10">
              <w:rPr>
                <w:sz w:val="20"/>
                <w:szCs w:val="20"/>
              </w:rPr>
              <w:t xml:space="preserve"> </w:t>
            </w:r>
            <w:r w:rsidRPr="00A34F10">
              <w:rPr>
                <w:sz w:val="20"/>
                <w:szCs w:val="20"/>
                <w:vertAlign w:val="superscript"/>
              </w:rPr>
              <w:t>1)</w:t>
            </w:r>
          </w:p>
        </w:tc>
        <w:tc>
          <w:tcPr>
            <w:tcW w:w="721" w:type="pct"/>
            <w:vMerge/>
            <w:tcBorders>
              <w:top w:val="single" w:sz="6" w:space="0" w:color="auto"/>
              <w:bottom w:val="single" w:sz="6" w:space="0" w:color="auto"/>
            </w:tcBorders>
            <w:hideMark/>
          </w:tcPr>
          <w:p w14:paraId="24D13349" w14:textId="77777777" w:rsidR="00DC5685" w:rsidRPr="00A34F10" w:rsidRDefault="00DC5685" w:rsidP="000470C3">
            <w:pPr>
              <w:keepNext/>
              <w:spacing w:before="40" w:after="40"/>
              <w:ind w:left="17" w:right="17"/>
              <w:rPr>
                <w:sz w:val="20"/>
                <w:szCs w:val="20"/>
              </w:rPr>
            </w:pPr>
          </w:p>
        </w:tc>
        <w:tc>
          <w:tcPr>
            <w:tcW w:w="837" w:type="pct"/>
            <w:vMerge/>
            <w:tcBorders>
              <w:top w:val="single" w:sz="6" w:space="0" w:color="auto"/>
              <w:bottom w:val="single" w:sz="6" w:space="0" w:color="auto"/>
            </w:tcBorders>
            <w:hideMark/>
          </w:tcPr>
          <w:p w14:paraId="08A94A65" w14:textId="77777777" w:rsidR="00DC5685" w:rsidRPr="00A34F10" w:rsidRDefault="00DC5685" w:rsidP="000470C3">
            <w:pPr>
              <w:keepNext/>
              <w:spacing w:before="40" w:after="40"/>
              <w:ind w:left="17" w:right="17"/>
              <w:rPr>
                <w:sz w:val="20"/>
                <w:szCs w:val="20"/>
              </w:rPr>
            </w:pPr>
          </w:p>
        </w:tc>
      </w:tr>
    </w:tbl>
    <w:p w14:paraId="13E5E248" w14:textId="77777777" w:rsidR="00DC5685" w:rsidRPr="00A34F10" w:rsidRDefault="00DC5685" w:rsidP="00DC5685">
      <w:pPr>
        <w:ind w:left="284" w:hanging="284"/>
        <w:rPr>
          <w:sz w:val="18"/>
          <w:szCs w:val="18"/>
        </w:rPr>
      </w:pPr>
      <w:r w:rsidRPr="00A34F10">
        <w:rPr>
          <w:sz w:val="18"/>
          <w:vertAlign w:val="superscript"/>
        </w:rPr>
        <w:t>1)</w:t>
      </w:r>
      <w:r w:rsidRPr="00A34F10">
        <w:rPr>
          <w:sz w:val="18"/>
        </w:rPr>
        <w:tab/>
      </w:r>
      <w:r w:rsidRPr="00A34F10">
        <w:rPr>
          <w:sz w:val="18"/>
          <w:szCs w:val="18"/>
        </w:rPr>
        <w:t>Expressed</w:t>
      </w:r>
      <w:r w:rsidRPr="00A34F10">
        <w:rPr>
          <w:sz w:val="18"/>
          <w:szCs w:val="18"/>
          <w:lang w:val="en-GB"/>
        </w:rPr>
        <w:t xml:space="preserve"> as Propamocarb-Hydrochloride</w:t>
      </w:r>
    </w:p>
    <w:p w14:paraId="75268F89" w14:textId="346B574D" w:rsidR="00DC5685" w:rsidRPr="00A34F10" w:rsidRDefault="00DC5685" w:rsidP="00DC5685">
      <w:pPr>
        <w:jc w:val="both"/>
        <w:rPr>
          <w:sz w:val="20"/>
          <w:lang w:val="en-GB"/>
        </w:rPr>
      </w:pPr>
    </w:p>
    <w:p w14:paraId="635D817D" w14:textId="50043E73" w:rsidR="00DC5685" w:rsidRPr="00A34F10" w:rsidRDefault="00DC5685" w:rsidP="002F6515">
      <w:pPr>
        <w:pStyle w:val="RepLabel"/>
        <w:keepNext w:val="0"/>
        <w:keepLines w:val="0"/>
        <w:suppressAutoHyphens/>
        <w:rPr>
          <w:b w:val="0"/>
          <w:bCs w:val="0"/>
        </w:rPr>
      </w:pPr>
      <w:r w:rsidRPr="00A34F10">
        <w:t xml:space="preserve">Table </w:t>
      </w:r>
      <w:fldSimple w:instr=" STYLEREF 2 \s ">
        <w:r w:rsidR="006F0F3B">
          <w:rPr>
            <w:noProof/>
          </w:rPr>
          <w:t>9.3</w:t>
        </w:r>
      </w:fldSimple>
      <w:r w:rsidRPr="00A34F10">
        <w:noBreakHyphen/>
        <w:t>5:</w:t>
      </w:r>
      <w:r w:rsidRPr="00A34F10">
        <w:tab/>
        <w:t>Estimation of NOEL for the mixture assuming dose additivity</w:t>
      </w:r>
    </w:p>
    <w:tbl>
      <w:tblPr>
        <w:tblStyle w:val="Table-StandardGAB1"/>
        <w:tblW w:w="5000" w:type="pct"/>
        <w:tblLook w:val="04A0" w:firstRow="1" w:lastRow="0" w:firstColumn="1" w:lastColumn="0" w:noHBand="0" w:noVBand="1"/>
      </w:tblPr>
      <w:tblGrid>
        <w:gridCol w:w="1734"/>
        <w:gridCol w:w="1747"/>
        <w:gridCol w:w="1468"/>
        <w:gridCol w:w="1483"/>
        <w:gridCol w:w="1347"/>
        <w:gridCol w:w="1562"/>
      </w:tblGrid>
      <w:tr w:rsidR="00DC5685" w:rsidRPr="00A34F10" w14:paraId="3F560DE2" w14:textId="77777777" w:rsidTr="000470C3">
        <w:trPr>
          <w:cnfStyle w:val="100000000000" w:firstRow="1" w:lastRow="0" w:firstColumn="0" w:lastColumn="0" w:oddVBand="0" w:evenVBand="0" w:oddHBand="0" w:evenHBand="0" w:firstRowFirstColumn="0" w:firstRowLastColumn="0" w:lastRowFirstColumn="0" w:lastRowLastColumn="0"/>
        </w:trPr>
        <w:tc>
          <w:tcPr>
            <w:tcW w:w="928" w:type="pct"/>
            <w:hideMark/>
          </w:tcPr>
          <w:p w14:paraId="153D8908"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Active substance</w:t>
            </w:r>
          </w:p>
        </w:tc>
        <w:tc>
          <w:tcPr>
            <w:tcW w:w="935" w:type="pct"/>
          </w:tcPr>
          <w:p w14:paraId="74BEAB9B" w14:textId="32978C1A"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 xml:space="preserve">Concentration of each active substance in </w:t>
            </w:r>
            <w:r w:rsidR="00E34814" w:rsidRPr="009050FC">
              <w:rPr>
                <w:b/>
                <w:bCs/>
                <w:strike/>
                <w:sz w:val="20"/>
                <w:szCs w:val="20"/>
                <w:highlight w:val="green"/>
              </w:rPr>
              <w:t>formulation</w:t>
            </w:r>
            <w:r w:rsidR="00E34814" w:rsidRPr="009050FC">
              <w:rPr>
                <w:b/>
                <w:bCs/>
                <w:sz w:val="20"/>
                <w:szCs w:val="20"/>
                <w:highlight w:val="green"/>
              </w:rPr>
              <w:t xml:space="preserve"> BAS 743 02 F</w:t>
            </w:r>
            <w:r w:rsidRPr="00A34F10">
              <w:rPr>
                <w:b/>
                <w:bCs/>
                <w:sz w:val="20"/>
                <w:szCs w:val="20"/>
              </w:rPr>
              <w:t xml:space="preserve"> </w:t>
            </w:r>
          </w:p>
          <w:p w14:paraId="51CA3FE2"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[g a.s.</w:t>
            </w:r>
            <w:r w:rsidRPr="00A34F10">
              <w:rPr>
                <w:b/>
                <w:bCs/>
                <w:sz w:val="20"/>
                <w:szCs w:val="20"/>
                <w:vertAlign w:val="subscript"/>
              </w:rPr>
              <w:t>i</w:t>
            </w:r>
            <w:r w:rsidRPr="00A34F10">
              <w:rPr>
                <w:b/>
                <w:bCs/>
                <w:sz w:val="20"/>
                <w:szCs w:val="20"/>
              </w:rPr>
              <w:t>/L]</w:t>
            </w:r>
          </w:p>
        </w:tc>
        <w:tc>
          <w:tcPr>
            <w:tcW w:w="786" w:type="pct"/>
          </w:tcPr>
          <w:p w14:paraId="5701B491"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X (a.s.</w:t>
            </w:r>
            <w:r w:rsidRPr="00A34F10">
              <w:rPr>
                <w:b/>
                <w:bCs/>
                <w:sz w:val="20"/>
                <w:szCs w:val="20"/>
                <w:vertAlign w:val="subscript"/>
              </w:rPr>
              <w:t>i</w:t>
            </w:r>
            <w:r w:rsidRPr="00A34F10">
              <w:rPr>
                <w:b/>
                <w:bCs/>
                <w:sz w:val="20"/>
                <w:szCs w:val="20"/>
              </w:rPr>
              <w:t>) in the mixture</w:t>
            </w:r>
          </w:p>
        </w:tc>
        <w:tc>
          <w:tcPr>
            <w:tcW w:w="794" w:type="pct"/>
          </w:tcPr>
          <w:p w14:paraId="7778F4FD"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NOEL</w:t>
            </w:r>
            <w:r w:rsidRPr="00A34F10">
              <w:rPr>
                <w:b/>
                <w:bCs/>
                <w:sz w:val="20"/>
                <w:szCs w:val="20"/>
              </w:rPr>
              <w:br/>
              <w:t>[mg a.s.</w:t>
            </w:r>
            <w:r w:rsidRPr="00A34F10">
              <w:rPr>
                <w:b/>
                <w:bCs/>
                <w:sz w:val="20"/>
                <w:szCs w:val="20"/>
                <w:vertAlign w:val="subscript"/>
              </w:rPr>
              <w:t>i</w:t>
            </w:r>
            <w:r w:rsidRPr="00A34F10">
              <w:rPr>
                <w:b/>
                <w:bCs/>
                <w:sz w:val="20"/>
                <w:szCs w:val="20"/>
              </w:rPr>
              <w:t>/kg bw]</w:t>
            </w:r>
          </w:p>
        </w:tc>
        <w:tc>
          <w:tcPr>
            <w:tcW w:w="721" w:type="pct"/>
          </w:tcPr>
          <w:p w14:paraId="765B97B3"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Σ [X (a.s.</w:t>
            </w:r>
            <w:r w:rsidRPr="00A34F10">
              <w:rPr>
                <w:b/>
                <w:bCs/>
                <w:sz w:val="20"/>
                <w:szCs w:val="20"/>
                <w:vertAlign w:val="subscript"/>
              </w:rPr>
              <w:t>i</w:t>
            </w:r>
            <w:r w:rsidRPr="00A34F10">
              <w:rPr>
                <w:b/>
                <w:bCs/>
                <w:sz w:val="20"/>
                <w:szCs w:val="20"/>
              </w:rPr>
              <w:t>)/NOEL (a.s.</w:t>
            </w:r>
            <w:r w:rsidRPr="00A34F10">
              <w:rPr>
                <w:b/>
                <w:bCs/>
                <w:sz w:val="20"/>
                <w:szCs w:val="20"/>
                <w:vertAlign w:val="subscript"/>
              </w:rPr>
              <w:t>i</w:t>
            </w:r>
            <w:r w:rsidRPr="00A34F10">
              <w:rPr>
                <w:b/>
                <w:bCs/>
                <w:sz w:val="20"/>
                <w:szCs w:val="20"/>
              </w:rPr>
              <w:t>)]</w:t>
            </w:r>
          </w:p>
          <w:p w14:paraId="32D7AFBB" w14:textId="77777777" w:rsidR="00DC5685" w:rsidRPr="00A34F10" w:rsidRDefault="00DC5685" w:rsidP="002F6515">
            <w:pPr>
              <w:autoSpaceDE w:val="0"/>
              <w:autoSpaceDN w:val="0"/>
              <w:spacing w:before="40" w:after="40"/>
              <w:ind w:left="17" w:right="17"/>
              <w:jc w:val="center"/>
              <w:rPr>
                <w:b/>
                <w:bCs/>
                <w:sz w:val="20"/>
                <w:szCs w:val="20"/>
              </w:rPr>
            </w:pPr>
          </w:p>
        </w:tc>
        <w:tc>
          <w:tcPr>
            <w:tcW w:w="836" w:type="pct"/>
          </w:tcPr>
          <w:p w14:paraId="177D5C99" w14:textId="77777777" w:rsidR="00DC5685" w:rsidRPr="00A34F10" w:rsidRDefault="00DC5685" w:rsidP="002F6515">
            <w:pPr>
              <w:autoSpaceDE w:val="0"/>
              <w:autoSpaceDN w:val="0"/>
              <w:spacing w:before="40" w:after="40"/>
              <w:ind w:left="17" w:right="17"/>
              <w:jc w:val="center"/>
              <w:rPr>
                <w:b/>
                <w:bCs/>
                <w:sz w:val="20"/>
                <w:szCs w:val="20"/>
              </w:rPr>
            </w:pPr>
            <w:r w:rsidRPr="00A34F10">
              <w:rPr>
                <w:b/>
                <w:bCs/>
                <w:sz w:val="20"/>
                <w:szCs w:val="20"/>
              </w:rPr>
              <w:t>NOEL (mix)</w:t>
            </w:r>
            <w:r w:rsidRPr="00A34F10">
              <w:rPr>
                <w:b/>
                <w:bCs/>
                <w:sz w:val="20"/>
                <w:szCs w:val="20"/>
              </w:rPr>
              <w:br/>
              <w:t>[Σ mg a.s.</w:t>
            </w:r>
            <w:r w:rsidRPr="00A34F10">
              <w:rPr>
                <w:b/>
                <w:bCs/>
                <w:sz w:val="20"/>
                <w:szCs w:val="20"/>
                <w:vertAlign w:val="subscript"/>
              </w:rPr>
              <w:t>i</w:t>
            </w:r>
            <w:r w:rsidRPr="00A34F10">
              <w:rPr>
                <w:b/>
                <w:bCs/>
                <w:sz w:val="20"/>
                <w:szCs w:val="20"/>
              </w:rPr>
              <w:t>/kg bw]</w:t>
            </w:r>
          </w:p>
        </w:tc>
      </w:tr>
      <w:tr w:rsidR="00DC5685" w:rsidRPr="00A34F10" w14:paraId="42334ECA" w14:textId="77777777" w:rsidTr="000470C3">
        <w:tc>
          <w:tcPr>
            <w:tcW w:w="928" w:type="pct"/>
          </w:tcPr>
          <w:p w14:paraId="635F68B2" w14:textId="77777777" w:rsidR="00DC5685" w:rsidRPr="00A34F10" w:rsidRDefault="00DC5685" w:rsidP="002F6515">
            <w:pPr>
              <w:tabs>
                <w:tab w:val="left" w:pos="720"/>
              </w:tabs>
              <w:spacing w:before="40" w:after="40"/>
              <w:ind w:left="17" w:right="17"/>
              <w:rPr>
                <w:sz w:val="20"/>
                <w:szCs w:val="20"/>
              </w:rPr>
            </w:pPr>
            <w:r w:rsidRPr="00A34F10">
              <w:rPr>
                <w:sz w:val="20"/>
                <w:szCs w:val="20"/>
              </w:rPr>
              <w:t>Ametoctradin</w:t>
            </w:r>
          </w:p>
        </w:tc>
        <w:tc>
          <w:tcPr>
            <w:tcW w:w="935" w:type="pct"/>
          </w:tcPr>
          <w:p w14:paraId="5E406D72"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137</w:t>
            </w:r>
          </w:p>
        </w:tc>
        <w:tc>
          <w:tcPr>
            <w:tcW w:w="786" w:type="pct"/>
          </w:tcPr>
          <w:p w14:paraId="68B3A71F"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0.21</w:t>
            </w:r>
          </w:p>
        </w:tc>
        <w:tc>
          <w:tcPr>
            <w:tcW w:w="794" w:type="pct"/>
            <w:tcBorders>
              <w:top w:val="single" w:sz="6" w:space="0" w:color="auto"/>
              <w:bottom w:val="single" w:sz="6" w:space="0" w:color="auto"/>
            </w:tcBorders>
          </w:tcPr>
          <w:p w14:paraId="4F1F4201" w14:textId="77777777" w:rsidR="00DC5685" w:rsidRPr="00A34F10" w:rsidRDefault="00DC5685" w:rsidP="002F6515">
            <w:pPr>
              <w:tabs>
                <w:tab w:val="left" w:pos="720"/>
              </w:tabs>
              <w:spacing w:before="40" w:after="40"/>
              <w:ind w:left="17" w:right="17"/>
              <w:jc w:val="center"/>
              <w:rPr>
                <w:sz w:val="20"/>
                <w:szCs w:val="20"/>
              </w:rPr>
            </w:pPr>
            <w:r w:rsidRPr="00A34F10">
              <w:rPr>
                <w:bCs/>
                <w:sz w:val="20"/>
                <w:szCs w:val="20"/>
              </w:rPr>
              <w:t>939</w:t>
            </w:r>
          </w:p>
        </w:tc>
        <w:tc>
          <w:tcPr>
            <w:tcW w:w="721" w:type="pct"/>
            <w:vMerge w:val="restart"/>
            <w:tcBorders>
              <w:top w:val="single" w:sz="6" w:space="0" w:color="auto"/>
              <w:bottom w:val="single" w:sz="6" w:space="0" w:color="auto"/>
            </w:tcBorders>
          </w:tcPr>
          <w:p w14:paraId="7D33EFDC" w14:textId="77777777" w:rsidR="00DC5685" w:rsidRPr="00A34F10" w:rsidRDefault="00DC5685" w:rsidP="002F6515">
            <w:pPr>
              <w:jc w:val="center"/>
              <w:rPr>
                <w:sz w:val="20"/>
                <w:szCs w:val="20"/>
              </w:rPr>
            </w:pPr>
            <w:r w:rsidRPr="00A34F10">
              <w:rPr>
                <w:sz w:val="20"/>
                <w:szCs w:val="20"/>
                <w:lang w:val="de-DE"/>
              </w:rPr>
              <w:t>7.82E-03</w:t>
            </w:r>
          </w:p>
        </w:tc>
        <w:tc>
          <w:tcPr>
            <w:tcW w:w="836" w:type="pct"/>
            <w:vMerge w:val="restart"/>
            <w:tcBorders>
              <w:top w:val="single" w:sz="6" w:space="0" w:color="auto"/>
              <w:bottom w:val="single" w:sz="6" w:space="0" w:color="auto"/>
            </w:tcBorders>
          </w:tcPr>
          <w:p w14:paraId="4C85C069"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127.88</w:t>
            </w:r>
          </w:p>
        </w:tc>
      </w:tr>
      <w:tr w:rsidR="00DC5685" w:rsidRPr="00A34F10" w14:paraId="53CE2675" w14:textId="77777777" w:rsidTr="000470C3">
        <w:tc>
          <w:tcPr>
            <w:tcW w:w="928" w:type="pct"/>
          </w:tcPr>
          <w:p w14:paraId="456282A2" w14:textId="77777777" w:rsidR="00DC5685" w:rsidRPr="00A34F10" w:rsidRDefault="00DC5685" w:rsidP="002F6515">
            <w:pPr>
              <w:tabs>
                <w:tab w:val="left" w:pos="720"/>
              </w:tabs>
              <w:spacing w:before="40" w:after="40"/>
              <w:ind w:left="17" w:right="17"/>
              <w:rPr>
                <w:sz w:val="20"/>
                <w:szCs w:val="20"/>
              </w:rPr>
            </w:pPr>
            <w:r w:rsidRPr="00A34F10">
              <w:rPr>
                <w:sz w:val="20"/>
                <w:szCs w:val="20"/>
              </w:rPr>
              <w:t>Propamocarb-HCl</w:t>
            </w:r>
          </w:p>
        </w:tc>
        <w:tc>
          <w:tcPr>
            <w:tcW w:w="935" w:type="pct"/>
          </w:tcPr>
          <w:p w14:paraId="6F3A663A"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 xml:space="preserve">515 </w:t>
            </w:r>
            <w:r w:rsidRPr="00A34F10">
              <w:rPr>
                <w:sz w:val="20"/>
                <w:szCs w:val="20"/>
                <w:vertAlign w:val="superscript"/>
              </w:rPr>
              <w:t>1)</w:t>
            </w:r>
          </w:p>
        </w:tc>
        <w:tc>
          <w:tcPr>
            <w:tcW w:w="786" w:type="pct"/>
          </w:tcPr>
          <w:p w14:paraId="2E70B60F"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0.79</w:t>
            </w:r>
          </w:p>
        </w:tc>
        <w:tc>
          <w:tcPr>
            <w:tcW w:w="794" w:type="pct"/>
            <w:tcBorders>
              <w:top w:val="single" w:sz="6" w:space="0" w:color="auto"/>
              <w:bottom w:val="single" w:sz="6" w:space="0" w:color="auto"/>
            </w:tcBorders>
          </w:tcPr>
          <w:p w14:paraId="35052202" w14:textId="77777777" w:rsidR="00DC5685" w:rsidRPr="00A34F10" w:rsidRDefault="00DC5685" w:rsidP="002F6515">
            <w:pPr>
              <w:tabs>
                <w:tab w:val="left" w:pos="720"/>
              </w:tabs>
              <w:spacing w:before="40" w:after="40"/>
              <w:ind w:left="17" w:right="17"/>
              <w:jc w:val="center"/>
              <w:rPr>
                <w:sz w:val="20"/>
                <w:szCs w:val="20"/>
              </w:rPr>
            </w:pPr>
            <w:r w:rsidRPr="00A34F10">
              <w:rPr>
                <w:sz w:val="20"/>
                <w:szCs w:val="20"/>
              </w:rPr>
              <w:t xml:space="preserve">104 </w:t>
            </w:r>
            <w:r w:rsidRPr="00A34F10">
              <w:rPr>
                <w:sz w:val="20"/>
                <w:szCs w:val="20"/>
                <w:vertAlign w:val="superscript"/>
              </w:rPr>
              <w:t>1)</w:t>
            </w:r>
          </w:p>
        </w:tc>
        <w:tc>
          <w:tcPr>
            <w:tcW w:w="721" w:type="pct"/>
            <w:vMerge/>
            <w:tcBorders>
              <w:top w:val="single" w:sz="6" w:space="0" w:color="auto"/>
              <w:bottom w:val="single" w:sz="6" w:space="0" w:color="auto"/>
            </w:tcBorders>
          </w:tcPr>
          <w:p w14:paraId="20F68849" w14:textId="77777777" w:rsidR="00DC5685" w:rsidRPr="00A34F10" w:rsidRDefault="00DC5685" w:rsidP="002F6515">
            <w:pPr>
              <w:spacing w:before="40" w:after="40"/>
              <w:ind w:left="17" w:right="17"/>
              <w:rPr>
                <w:sz w:val="20"/>
                <w:szCs w:val="20"/>
              </w:rPr>
            </w:pPr>
          </w:p>
        </w:tc>
        <w:tc>
          <w:tcPr>
            <w:tcW w:w="836" w:type="pct"/>
            <w:vMerge/>
            <w:tcBorders>
              <w:top w:val="single" w:sz="6" w:space="0" w:color="auto"/>
              <w:bottom w:val="single" w:sz="6" w:space="0" w:color="auto"/>
            </w:tcBorders>
          </w:tcPr>
          <w:p w14:paraId="2CD71F07" w14:textId="77777777" w:rsidR="00DC5685" w:rsidRPr="00A34F10" w:rsidRDefault="00DC5685" w:rsidP="002F6515">
            <w:pPr>
              <w:spacing w:before="40" w:after="40"/>
              <w:ind w:left="17" w:right="17"/>
              <w:rPr>
                <w:sz w:val="20"/>
                <w:szCs w:val="20"/>
              </w:rPr>
            </w:pPr>
          </w:p>
        </w:tc>
      </w:tr>
    </w:tbl>
    <w:p w14:paraId="26A64B52" w14:textId="77777777" w:rsidR="00DC5685" w:rsidRPr="00A34F10" w:rsidRDefault="00DC5685" w:rsidP="002F6515">
      <w:pPr>
        <w:ind w:left="284" w:hanging="284"/>
        <w:rPr>
          <w:sz w:val="18"/>
          <w:szCs w:val="18"/>
          <w:lang w:val="en-GB"/>
        </w:rPr>
      </w:pPr>
      <w:r w:rsidRPr="00A34F10">
        <w:rPr>
          <w:sz w:val="18"/>
          <w:vertAlign w:val="superscript"/>
        </w:rPr>
        <w:t>1)</w:t>
      </w:r>
      <w:r w:rsidRPr="00A34F10">
        <w:rPr>
          <w:sz w:val="18"/>
        </w:rPr>
        <w:tab/>
      </w:r>
      <w:r w:rsidRPr="00A34F10">
        <w:rPr>
          <w:sz w:val="18"/>
          <w:szCs w:val="18"/>
        </w:rPr>
        <w:t>Expressed</w:t>
      </w:r>
      <w:r w:rsidRPr="00A34F10">
        <w:rPr>
          <w:sz w:val="18"/>
          <w:szCs w:val="18"/>
          <w:lang w:val="en-GB"/>
        </w:rPr>
        <w:t xml:space="preserve"> as Propamocarb-Hydrochloride</w:t>
      </w:r>
    </w:p>
    <w:p w14:paraId="54A44315" w14:textId="1D00FD68" w:rsidR="00DC5685" w:rsidRPr="00A34F10" w:rsidRDefault="00DC5685" w:rsidP="002F6515">
      <w:pPr>
        <w:ind w:left="284" w:hanging="284"/>
        <w:rPr>
          <w:sz w:val="18"/>
          <w:szCs w:val="18"/>
        </w:rPr>
      </w:pPr>
    </w:p>
    <w:p w14:paraId="4A063BEC" w14:textId="77777777" w:rsidR="00EE3ACD" w:rsidRPr="00A34F10" w:rsidRDefault="00EE3ACD" w:rsidP="002F6515">
      <w:pPr>
        <w:ind w:left="284" w:hanging="284"/>
        <w:rPr>
          <w:sz w:val="18"/>
          <w:szCs w:val="18"/>
        </w:rPr>
      </w:pPr>
    </w:p>
    <w:p w14:paraId="3CAE629B" w14:textId="77777777" w:rsidR="00DC5685" w:rsidRPr="00A34F10" w:rsidRDefault="00DC5685" w:rsidP="002F6515">
      <w:pPr>
        <w:autoSpaceDE w:val="0"/>
        <w:autoSpaceDN w:val="0"/>
        <w:adjustRightInd w:val="0"/>
        <w:jc w:val="both"/>
      </w:pPr>
      <w:r w:rsidRPr="00A34F10">
        <w:t>Measured LD</w:t>
      </w:r>
      <w:r w:rsidRPr="00A34F10">
        <w:rPr>
          <w:vertAlign w:val="subscript"/>
        </w:rPr>
        <w:t>50</w:t>
      </w:r>
      <w:r w:rsidRPr="00A34F10">
        <w:t xml:space="preserve"> values, if available, should only be replaced in the risk assessment by modelled data if a significant change of the predicted risk is to be expected. To achieve a basis for a comparison of single active substance and mixture toxicity in terms of potential risk, a “tox per fraction” quotient can be calculated for each active substance and compared to the corresponding quotient for the mixture:</w:t>
      </w:r>
    </w:p>
    <w:p w14:paraId="0909B652" w14:textId="77777777" w:rsidR="00DC5685" w:rsidRPr="00A34F10" w:rsidRDefault="00DC5685" w:rsidP="00DC5685">
      <w:pPr>
        <w:autoSpaceDE w:val="0"/>
        <w:autoSpaceDN w:val="0"/>
        <w:adjustRightInd w:val="0"/>
        <w:jc w:val="both"/>
        <w:rPr>
          <w:sz w:val="20"/>
          <w:szCs w:val="20"/>
        </w:rPr>
      </w:pPr>
    </w:p>
    <w:p w14:paraId="54A40B61" w14:textId="77777777" w:rsidR="00DC5685" w:rsidRPr="00A34F10" w:rsidRDefault="00DC5685" w:rsidP="00DC5685">
      <w:pPr>
        <w:spacing w:after="120"/>
        <w:rPr>
          <w:sz w:val="20"/>
          <w:highlight w:val="red"/>
          <w:lang w:val="en-GB"/>
        </w:rPr>
      </w:pPr>
      <w:r w:rsidRPr="00A34F10">
        <w:rPr>
          <w:position w:val="-26"/>
          <w:szCs w:val="24"/>
          <w:lang w:val="en-GB"/>
        </w:rPr>
        <w:object w:dxaOrig="2960" w:dyaOrig="600" w14:anchorId="1330584F">
          <v:shape id="_x0000_i1028" type="#_x0000_t75" style="width:152pt;height:28pt" o:ole="">
            <v:imagedata r:id="rId27" o:title=""/>
          </v:shape>
          <o:OLEObject Type="Embed" ProgID="Equation.3" ShapeID="_x0000_i1028" DrawAspect="Content" ObjectID="_1792489418" r:id="rId34"/>
        </w:object>
      </w:r>
      <w:r w:rsidRPr="00A34F10">
        <w:rPr>
          <w:szCs w:val="24"/>
          <w:lang w:val="en-GB"/>
        </w:rPr>
        <w:t xml:space="preserve"> </w:t>
      </w:r>
    </w:p>
    <w:p w14:paraId="34556CCB" w14:textId="6C35AEF7" w:rsidR="00DC5685" w:rsidRPr="00A34F10" w:rsidRDefault="00DC5685" w:rsidP="00DC5685">
      <w:pPr>
        <w:tabs>
          <w:tab w:val="left" w:pos="1786"/>
        </w:tabs>
        <w:spacing w:after="120"/>
        <w:ind w:left="1786" w:hanging="1786"/>
        <w:rPr>
          <w:szCs w:val="24"/>
          <w:lang w:val="en-GB"/>
        </w:rPr>
      </w:pPr>
      <w:r w:rsidRPr="00A34F10">
        <w:rPr>
          <w:position w:val="-60"/>
          <w:szCs w:val="24"/>
          <w:lang w:val="en-GB"/>
        </w:rPr>
        <w:object w:dxaOrig="3040" w:dyaOrig="940" w14:anchorId="40B88BFE">
          <v:shape id="_x0000_i1029" type="#_x0000_t75" style="width:152pt;height:50pt" o:ole="">
            <v:imagedata r:id="rId29" o:title=""/>
          </v:shape>
          <o:OLEObject Type="Embed" ProgID="Equation.3" ShapeID="_x0000_i1029" DrawAspect="Content" ObjectID="_1792489419" r:id="rId35"/>
        </w:object>
      </w:r>
      <w:r w:rsidRPr="00A34F10">
        <w:rPr>
          <w:szCs w:val="24"/>
          <w:lang w:val="en-GB"/>
        </w:rPr>
        <w:t xml:space="preserve"> </w:t>
      </w:r>
    </w:p>
    <w:p w14:paraId="62861897" w14:textId="4D6A3132" w:rsidR="00EE3ACD" w:rsidRPr="00A34F10" w:rsidRDefault="00EE3ACD" w:rsidP="00DC5685">
      <w:pPr>
        <w:tabs>
          <w:tab w:val="left" w:pos="1786"/>
        </w:tabs>
        <w:spacing w:after="120"/>
        <w:ind w:left="1786" w:hanging="1786"/>
        <w:rPr>
          <w:szCs w:val="24"/>
          <w:lang w:val="en-GB"/>
        </w:rPr>
      </w:pPr>
    </w:p>
    <w:p w14:paraId="4C3B7872" w14:textId="22E072DC" w:rsidR="00DC5685" w:rsidRPr="00A34F10" w:rsidRDefault="00DC5685" w:rsidP="00DC5685">
      <w:pPr>
        <w:pStyle w:val="RepLabel"/>
        <w:suppressAutoHyphens/>
        <w:rPr>
          <w:b w:val="0"/>
          <w:bCs w:val="0"/>
        </w:rPr>
      </w:pPr>
      <w:r w:rsidRPr="00A34F10">
        <w:t xml:space="preserve">Table </w:t>
      </w:r>
      <w:fldSimple w:instr=" STYLEREF 2 \s ">
        <w:r w:rsidR="006F0F3B">
          <w:rPr>
            <w:noProof/>
          </w:rPr>
          <w:t>9.3</w:t>
        </w:r>
      </w:fldSimple>
      <w:r w:rsidRPr="00A34F10">
        <w:noBreakHyphen/>
        <w:t>6:</w:t>
      </w:r>
      <w:r w:rsidRPr="00A34F10">
        <w:tab/>
        <w:t>Comparison of “tox per fraction (a.s.</w:t>
      </w:r>
      <w:r w:rsidRPr="00A34F10">
        <w:rPr>
          <w:iCs/>
          <w:vertAlign w:val="subscript"/>
        </w:rPr>
        <w:t>i</w:t>
      </w:r>
      <w:r w:rsidRPr="00A34F10">
        <w:t>)” and “tox per fraction (mix)” for acute toxicity</w:t>
      </w:r>
    </w:p>
    <w:tbl>
      <w:tblPr>
        <w:tblStyle w:val="Table-StandardGAB1"/>
        <w:tblW w:w="5000" w:type="pct"/>
        <w:tblLook w:val="04A0" w:firstRow="1" w:lastRow="0" w:firstColumn="1" w:lastColumn="0" w:noHBand="0" w:noVBand="1"/>
      </w:tblPr>
      <w:tblGrid>
        <w:gridCol w:w="1968"/>
        <w:gridCol w:w="1681"/>
        <w:gridCol w:w="1915"/>
        <w:gridCol w:w="1879"/>
        <w:gridCol w:w="1898"/>
      </w:tblGrid>
      <w:tr w:rsidR="00DC5685" w:rsidRPr="00A34F10" w14:paraId="0356B019" w14:textId="77777777" w:rsidTr="000470C3">
        <w:trPr>
          <w:cnfStyle w:val="100000000000" w:firstRow="1" w:lastRow="0" w:firstColumn="0" w:lastColumn="0" w:oddVBand="0" w:evenVBand="0" w:oddHBand="0" w:evenHBand="0" w:firstRowFirstColumn="0" w:firstRowLastColumn="0" w:lastRowFirstColumn="0" w:lastRowLastColumn="0"/>
        </w:trPr>
        <w:tc>
          <w:tcPr>
            <w:tcW w:w="1053" w:type="pct"/>
            <w:hideMark/>
          </w:tcPr>
          <w:p w14:paraId="208878F2"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Active substance</w:t>
            </w:r>
          </w:p>
        </w:tc>
        <w:tc>
          <w:tcPr>
            <w:tcW w:w="900" w:type="pct"/>
            <w:hideMark/>
          </w:tcPr>
          <w:p w14:paraId="2E9492FD"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LD</w:t>
            </w:r>
            <w:r w:rsidRPr="00A34F10">
              <w:rPr>
                <w:b/>
                <w:sz w:val="20"/>
                <w:szCs w:val="20"/>
                <w:vertAlign w:val="subscript"/>
              </w:rPr>
              <w:t xml:space="preserve">50 </w:t>
            </w:r>
            <w:r w:rsidRPr="00A34F10">
              <w:rPr>
                <w:b/>
                <w:sz w:val="20"/>
                <w:szCs w:val="20"/>
              </w:rPr>
              <w:t>(a.s.</w:t>
            </w:r>
            <w:r w:rsidRPr="00A34F10">
              <w:rPr>
                <w:b/>
                <w:sz w:val="20"/>
                <w:szCs w:val="20"/>
                <w:vertAlign w:val="subscript"/>
              </w:rPr>
              <w:t>i</w:t>
            </w:r>
            <w:r w:rsidRPr="00A34F10">
              <w:rPr>
                <w:b/>
                <w:sz w:val="20"/>
                <w:szCs w:val="20"/>
              </w:rPr>
              <w:t>)</w:t>
            </w:r>
            <w:r w:rsidRPr="00A34F10">
              <w:rPr>
                <w:b/>
                <w:sz w:val="20"/>
                <w:szCs w:val="20"/>
              </w:rPr>
              <w:br/>
              <w:t>[mg a.s./kg bw]</w:t>
            </w:r>
          </w:p>
        </w:tc>
        <w:tc>
          <w:tcPr>
            <w:tcW w:w="1025" w:type="pct"/>
            <w:hideMark/>
          </w:tcPr>
          <w:p w14:paraId="14D7BACC"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sz w:val="20"/>
                <w:szCs w:val="20"/>
              </w:rPr>
              <w:t>X (a.s.</w:t>
            </w:r>
            <w:r w:rsidRPr="00A34F10">
              <w:rPr>
                <w:b/>
                <w:sz w:val="20"/>
                <w:szCs w:val="20"/>
                <w:vertAlign w:val="subscript"/>
              </w:rPr>
              <w:t>i</w:t>
            </w:r>
            <w:r w:rsidRPr="00A34F10">
              <w:rPr>
                <w:b/>
                <w:sz w:val="20"/>
                <w:szCs w:val="20"/>
              </w:rPr>
              <w:t>) in the mixture</w:t>
            </w:r>
          </w:p>
        </w:tc>
        <w:tc>
          <w:tcPr>
            <w:tcW w:w="1006" w:type="pct"/>
            <w:hideMark/>
          </w:tcPr>
          <w:p w14:paraId="3325D124" w14:textId="77777777" w:rsidR="00DC5685" w:rsidRPr="00A34F10" w:rsidRDefault="00DC5685" w:rsidP="000470C3">
            <w:pPr>
              <w:keepNext/>
              <w:keepLines/>
              <w:autoSpaceDE w:val="0"/>
              <w:autoSpaceDN w:val="0"/>
              <w:spacing w:before="40" w:after="40"/>
              <w:ind w:left="17" w:right="17"/>
              <w:jc w:val="center"/>
              <w:rPr>
                <w:b/>
                <w:bCs/>
                <w:sz w:val="20"/>
                <w:szCs w:val="20"/>
              </w:rPr>
            </w:pPr>
            <w:r w:rsidRPr="00A34F10">
              <w:rPr>
                <w:b/>
                <w:bCs/>
                <w:sz w:val="20"/>
                <w:szCs w:val="20"/>
              </w:rPr>
              <w:t>Tox per fraction:</w:t>
            </w:r>
          </w:p>
          <w:p w14:paraId="4CD53249" w14:textId="77777777" w:rsidR="00DC5685" w:rsidRPr="00A34F10" w:rsidRDefault="00DC5685" w:rsidP="000470C3">
            <w:pPr>
              <w:keepNext/>
              <w:keepLines/>
              <w:tabs>
                <w:tab w:val="left" w:pos="720"/>
              </w:tabs>
              <w:spacing w:before="40" w:after="40"/>
              <w:ind w:left="17" w:right="17"/>
              <w:jc w:val="center"/>
              <w:rPr>
                <w:b/>
                <w:sz w:val="20"/>
                <w:szCs w:val="20"/>
              </w:rPr>
            </w:pPr>
            <w:r w:rsidRPr="00A34F10">
              <w:rPr>
                <w:b/>
                <w:bCs/>
                <w:sz w:val="20"/>
                <w:szCs w:val="20"/>
              </w:rPr>
              <w:t>[LD</w:t>
            </w:r>
            <w:r w:rsidRPr="00A34F10">
              <w:rPr>
                <w:b/>
                <w:bCs/>
                <w:sz w:val="20"/>
                <w:szCs w:val="20"/>
                <w:vertAlign w:val="subscript"/>
              </w:rPr>
              <w:t>50</w:t>
            </w:r>
            <w:r w:rsidRPr="00A34F10">
              <w:rPr>
                <w:b/>
                <w:bCs/>
                <w:sz w:val="20"/>
                <w:szCs w:val="20"/>
              </w:rPr>
              <w:t xml:space="preserve"> (a.s.</w:t>
            </w:r>
            <w:r w:rsidRPr="00A34F10">
              <w:rPr>
                <w:b/>
                <w:bCs/>
                <w:sz w:val="20"/>
                <w:szCs w:val="20"/>
                <w:vertAlign w:val="subscript"/>
              </w:rPr>
              <w:t>i</w:t>
            </w:r>
            <w:r w:rsidRPr="00A34F10">
              <w:rPr>
                <w:b/>
                <w:bCs/>
                <w:sz w:val="20"/>
                <w:szCs w:val="20"/>
              </w:rPr>
              <w:t>)/X (a.s.</w:t>
            </w:r>
            <w:r w:rsidRPr="00A34F10">
              <w:rPr>
                <w:b/>
                <w:bCs/>
                <w:sz w:val="20"/>
                <w:szCs w:val="20"/>
                <w:vertAlign w:val="subscript"/>
              </w:rPr>
              <w:t>i</w:t>
            </w:r>
            <w:r w:rsidRPr="00A34F10">
              <w:rPr>
                <w:b/>
                <w:bCs/>
                <w:sz w:val="20"/>
                <w:szCs w:val="20"/>
              </w:rPr>
              <w:t>)]</w:t>
            </w:r>
          </w:p>
        </w:tc>
        <w:tc>
          <w:tcPr>
            <w:tcW w:w="1016" w:type="pct"/>
            <w:hideMark/>
          </w:tcPr>
          <w:p w14:paraId="29F6FD0D" w14:textId="77777777" w:rsidR="00DC5685" w:rsidRPr="00A34F10" w:rsidRDefault="00DC5685" w:rsidP="000470C3">
            <w:pPr>
              <w:keepNext/>
              <w:keepLines/>
              <w:tabs>
                <w:tab w:val="left" w:pos="720"/>
              </w:tabs>
              <w:spacing w:before="40" w:after="40"/>
              <w:ind w:left="17" w:right="17"/>
              <w:jc w:val="center"/>
              <w:rPr>
                <w:b/>
                <w:sz w:val="20"/>
                <w:szCs w:val="20"/>
                <w:vertAlign w:val="superscript"/>
              </w:rPr>
            </w:pPr>
            <w:r w:rsidRPr="00A34F10">
              <w:rPr>
                <w:b/>
                <w:bCs/>
                <w:sz w:val="20"/>
                <w:szCs w:val="20"/>
              </w:rPr>
              <w:t>Contribution to overall toxicity</w:t>
            </w:r>
            <w:r w:rsidRPr="00A34F10">
              <w:rPr>
                <w:b/>
                <w:sz w:val="20"/>
                <w:szCs w:val="20"/>
              </w:rPr>
              <w:t xml:space="preserve"> </w:t>
            </w:r>
            <w:r w:rsidRPr="00A34F10">
              <w:rPr>
                <w:b/>
                <w:sz w:val="20"/>
                <w:szCs w:val="20"/>
              </w:rPr>
              <w:br/>
              <w:t>[%]</w:t>
            </w:r>
            <w:r w:rsidRPr="00A34F10">
              <w:rPr>
                <w:b/>
                <w:sz w:val="20"/>
                <w:szCs w:val="20"/>
                <w:vertAlign w:val="superscript"/>
              </w:rPr>
              <w:t xml:space="preserve"> 1)</w:t>
            </w:r>
          </w:p>
        </w:tc>
      </w:tr>
      <w:tr w:rsidR="00DC5685" w:rsidRPr="00A34F10" w14:paraId="6DB4F808" w14:textId="77777777" w:rsidTr="000470C3">
        <w:tc>
          <w:tcPr>
            <w:tcW w:w="1053" w:type="pct"/>
            <w:hideMark/>
          </w:tcPr>
          <w:p w14:paraId="2FAE506D" w14:textId="77777777" w:rsidR="00DC5685" w:rsidRPr="00A34F10" w:rsidRDefault="00DC5685" w:rsidP="000470C3">
            <w:pPr>
              <w:keepNext/>
              <w:keepLines/>
              <w:spacing w:before="40" w:after="40"/>
              <w:ind w:left="17" w:right="17"/>
              <w:rPr>
                <w:sz w:val="20"/>
                <w:szCs w:val="20"/>
              </w:rPr>
            </w:pPr>
            <w:r w:rsidRPr="00A34F10">
              <w:rPr>
                <w:sz w:val="20"/>
                <w:szCs w:val="20"/>
              </w:rPr>
              <w:t>LD</w:t>
            </w:r>
            <w:r w:rsidRPr="00A34F10">
              <w:rPr>
                <w:sz w:val="20"/>
                <w:szCs w:val="20"/>
                <w:vertAlign w:val="subscript"/>
              </w:rPr>
              <w:t>50</w:t>
            </w:r>
            <w:r w:rsidRPr="00A34F10">
              <w:rPr>
                <w:sz w:val="20"/>
                <w:szCs w:val="20"/>
              </w:rPr>
              <w:t xml:space="preserve"> (mix)</w:t>
            </w:r>
          </w:p>
        </w:tc>
        <w:tc>
          <w:tcPr>
            <w:tcW w:w="900" w:type="pct"/>
            <w:hideMark/>
          </w:tcPr>
          <w:p w14:paraId="4D5038EB" w14:textId="29FEDC52"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 xml:space="preserve">&gt; </w:t>
            </w:r>
            <w:r w:rsidR="00E70E80" w:rsidRPr="00E70E80">
              <w:rPr>
                <w:strike/>
                <w:color w:val="D9D9D9" w:themeColor="background1" w:themeShade="D9"/>
                <w:sz w:val="20"/>
                <w:szCs w:val="20"/>
              </w:rPr>
              <w:t>2000</w:t>
            </w:r>
            <w:r w:rsidR="00E70E80">
              <w:rPr>
                <w:sz w:val="20"/>
                <w:szCs w:val="20"/>
              </w:rPr>
              <w:t xml:space="preserve"> </w:t>
            </w:r>
            <w:r w:rsidR="00E70E80" w:rsidRPr="00E70E80">
              <w:rPr>
                <w:sz w:val="20"/>
                <w:szCs w:val="20"/>
                <w:shd w:val="clear" w:color="auto" w:fill="D9D9D9" w:themeFill="background1" w:themeFillShade="D9"/>
              </w:rPr>
              <w:t>1430.7</w:t>
            </w:r>
          </w:p>
        </w:tc>
        <w:tc>
          <w:tcPr>
            <w:tcW w:w="1025" w:type="pct"/>
            <w:hideMark/>
          </w:tcPr>
          <w:p w14:paraId="19A4689D"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1.0</w:t>
            </w:r>
          </w:p>
        </w:tc>
        <w:tc>
          <w:tcPr>
            <w:tcW w:w="1006" w:type="pct"/>
          </w:tcPr>
          <w:p w14:paraId="534E0F53" w14:textId="4F721409"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 xml:space="preserve">&gt; </w:t>
            </w:r>
            <w:r w:rsidR="00E70E80" w:rsidRPr="00E70E80">
              <w:rPr>
                <w:strike/>
                <w:color w:val="D9D9D9" w:themeColor="background1" w:themeShade="D9"/>
                <w:sz w:val="20"/>
                <w:szCs w:val="20"/>
              </w:rPr>
              <w:t>2000</w:t>
            </w:r>
            <w:r w:rsidR="00E70E80">
              <w:rPr>
                <w:sz w:val="20"/>
                <w:szCs w:val="20"/>
              </w:rPr>
              <w:t xml:space="preserve"> </w:t>
            </w:r>
            <w:r w:rsidR="00E70E80" w:rsidRPr="00E70E80">
              <w:rPr>
                <w:sz w:val="20"/>
                <w:szCs w:val="20"/>
                <w:shd w:val="clear" w:color="auto" w:fill="D9D9D9" w:themeFill="background1" w:themeFillShade="D9"/>
              </w:rPr>
              <w:t>1430.7</w:t>
            </w:r>
          </w:p>
        </w:tc>
        <w:tc>
          <w:tcPr>
            <w:tcW w:w="1016" w:type="pct"/>
            <w:hideMark/>
          </w:tcPr>
          <w:p w14:paraId="74AEB725" w14:textId="77777777" w:rsidR="00DC5685" w:rsidRPr="00A34F10" w:rsidRDefault="00DC5685" w:rsidP="000470C3">
            <w:pPr>
              <w:keepNext/>
              <w:keepLines/>
              <w:tabs>
                <w:tab w:val="left" w:pos="720"/>
              </w:tabs>
              <w:spacing w:before="40" w:after="40"/>
              <w:ind w:left="17" w:right="17"/>
              <w:jc w:val="center"/>
              <w:rPr>
                <w:sz w:val="20"/>
                <w:szCs w:val="20"/>
              </w:rPr>
            </w:pPr>
            <w:r w:rsidRPr="00A34F10">
              <w:rPr>
                <w:sz w:val="20"/>
                <w:szCs w:val="20"/>
              </w:rPr>
              <w:t xml:space="preserve">- </w:t>
            </w:r>
          </w:p>
        </w:tc>
      </w:tr>
      <w:tr w:rsidR="00DC5685" w:rsidRPr="00A34F10" w14:paraId="2D72379C" w14:textId="77777777" w:rsidTr="000470C3">
        <w:tc>
          <w:tcPr>
            <w:tcW w:w="1053" w:type="pct"/>
          </w:tcPr>
          <w:p w14:paraId="529C32D5" w14:textId="77777777" w:rsidR="00DC5685" w:rsidRPr="00A34F10" w:rsidRDefault="00DC5685" w:rsidP="000470C3">
            <w:pPr>
              <w:keepNext/>
              <w:keepLines/>
              <w:tabs>
                <w:tab w:val="left" w:pos="720"/>
              </w:tabs>
              <w:spacing w:before="40" w:after="40"/>
              <w:rPr>
                <w:sz w:val="20"/>
                <w:szCs w:val="20"/>
              </w:rPr>
            </w:pPr>
            <w:r w:rsidRPr="00A34F10">
              <w:rPr>
                <w:sz w:val="20"/>
                <w:szCs w:val="20"/>
              </w:rPr>
              <w:t>Ametoctradin</w:t>
            </w:r>
          </w:p>
        </w:tc>
        <w:tc>
          <w:tcPr>
            <w:tcW w:w="900" w:type="pct"/>
            <w:tcBorders>
              <w:top w:val="single" w:sz="6" w:space="0" w:color="auto"/>
              <w:bottom w:val="single" w:sz="6" w:space="0" w:color="auto"/>
            </w:tcBorders>
          </w:tcPr>
          <w:p w14:paraId="4D56ECD2" w14:textId="77777777" w:rsidR="00DC5685" w:rsidRPr="00A34F10" w:rsidRDefault="00DC5685" w:rsidP="000470C3">
            <w:pPr>
              <w:keepNext/>
              <w:keepLines/>
              <w:tabs>
                <w:tab w:val="left" w:pos="720"/>
              </w:tabs>
              <w:spacing w:before="40" w:after="40"/>
              <w:jc w:val="center"/>
              <w:rPr>
                <w:sz w:val="20"/>
                <w:szCs w:val="20"/>
              </w:rPr>
            </w:pPr>
            <w:r w:rsidRPr="00A34F10">
              <w:rPr>
                <w:bCs/>
                <w:sz w:val="20"/>
                <w:szCs w:val="20"/>
              </w:rPr>
              <w:t>&gt;2000</w:t>
            </w:r>
          </w:p>
        </w:tc>
        <w:tc>
          <w:tcPr>
            <w:tcW w:w="1025" w:type="pct"/>
          </w:tcPr>
          <w:p w14:paraId="1AC80D28"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0.21</w:t>
            </w:r>
          </w:p>
        </w:tc>
        <w:tc>
          <w:tcPr>
            <w:tcW w:w="1006" w:type="pct"/>
            <w:tcBorders>
              <w:top w:val="single" w:sz="6" w:space="0" w:color="auto"/>
              <w:left w:val="nil"/>
              <w:bottom w:val="single" w:sz="6" w:space="0" w:color="auto"/>
              <w:right w:val="nil"/>
            </w:tcBorders>
          </w:tcPr>
          <w:p w14:paraId="07AD7B58"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&gt; 9523.8</w:t>
            </w:r>
          </w:p>
        </w:tc>
        <w:tc>
          <w:tcPr>
            <w:tcW w:w="1016" w:type="pct"/>
            <w:tcBorders>
              <w:top w:val="single" w:sz="6" w:space="0" w:color="auto"/>
              <w:bottom w:val="single" w:sz="6" w:space="0" w:color="auto"/>
            </w:tcBorders>
          </w:tcPr>
          <w:p w14:paraId="2561A135" w14:textId="49F2093A" w:rsidR="00DC5685" w:rsidRPr="00A34F10" w:rsidRDefault="00DC5685" w:rsidP="000470C3">
            <w:pPr>
              <w:keepNext/>
              <w:keepLines/>
              <w:tabs>
                <w:tab w:val="left" w:pos="720"/>
              </w:tabs>
              <w:spacing w:before="40" w:after="40"/>
              <w:jc w:val="center"/>
              <w:rPr>
                <w:sz w:val="20"/>
                <w:szCs w:val="20"/>
              </w:rPr>
            </w:pPr>
            <w:r w:rsidRPr="00A5457F">
              <w:rPr>
                <w:strike/>
                <w:color w:val="D9D9D9" w:themeColor="background1" w:themeShade="D9"/>
                <w:sz w:val="20"/>
                <w:szCs w:val="20"/>
              </w:rPr>
              <w:t>21.0</w:t>
            </w:r>
            <w:r w:rsidR="00C036B2" w:rsidRPr="00A5457F">
              <w:rPr>
                <w:color w:val="D9D9D9" w:themeColor="background1" w:themeShade="D9"/>
                <w:sz w:val="20"/>
                <w:szCs w:val="20"/>
              </w:rPr>
              <w:t xml:space="preserve"> </w:t>
            </w:r>
            <w:r w:rsidR="00C036B2" w:rsidRPr="00A5457F">
              <w:rPr>
                <w:sz w:val="20"/>
                <w:szCs w:val="20"/>
                <w:shd w:val="clear" w:color="auto" w:fill="D9D9D9" w:themeFill="background1" w:themeFillShade="D9"/>
              </w:rPr>
              <w:t>15</w:t>
            </w:r>
          </w:p>
        </w:tc>
      </w:tr>
      <w:tr w:rsidR="00DC5685" w:rsidRPr="00A34F10" w14:paraId="4532709C" w14:textId="77777777" w:rsidTr="000470C3">
        <w:tc>
          <w:tcPr>
            <w:tcW w:w="1053" w:type="pct"/>
          </w:tcPr>
          <w:p w14:paraId="11CC2ED8" w14:textId="77777777" w:rsidR="00DC5685" w:rsidRPr="00A34F10" w:rsidRDefault="00DC5685" w:rsidP="000470C3">
            <w:pPr>
              <w:keepNext/>
              <w:keepLines/>
              <w:tabs>
                <w:tab w:val="left" w:pos="720"/>
              </w:tabs>
              <w:spacing w:before="40" w:after="40"/>
              <w:rPr>
                <w:sz w:val="20"/>
                <w:szCs w:val="20"/>
              </w:rPr>
            </w:pPr>
            <w:r w:rsidRPr="00A34F10">
              <w:rPr>
                <w:sz w:val="20"/>
                <w:szCs w:val="20"/>
              </w:rPr>
              <w:t>Propamocarb</w:t>
            </w:r>
          </w:p>
        </w:tc>
        <w:tc>
          <w:tcPr>
            <w:tcW w:w="900" w:type="pct"/>
            <w:tcBorders>
              <w:top w:val="single" w:sz="6" w:space="0" w:color="auto"/>
              <w:bottom w:val="single" w:sz="6" w:space="0" w:color="auto"/>
            </w:tcBorders>
          </w:tcPr>
          <w:p w14:paraId="612DDFC5" w14:textId="688E329C" w:rsidR="00DC5685" w:rsidRPr="00A34F10" w:rsidRDefault="00DC5685" w:rsidP="000470C3">
            <w:pPr>
              <w:keepNext/>
              <w:keepLines/>
              <w:tabs>
                <w:tab w:val="left" w:pos="720"/>
              </w:tabs>
              <w:spacing w:before="40" w:after="40"/>
              <w:jc w:val="center"/>
              <w:rPr>
                <w:sz w:val="20"/>
                <w:szCs w:val="20"/>
              </w:rPr>
            </w:pPr>
            <w:r w:rsidRPr="00A34F10">
              <w:rPr>
                <w:sz w:val="20"/>
                <w:szCs w:val="20"/>
              </w:rPr>
              <w:t xml:space="preserve">&gt; </w:t>
            </w:r>
            <w:r w:rsidRPr="00DE7C2C">
              <w:rPr>
                <w:strike/>
                <w:color w:val="D9D9D9" w:themeColor="background1" w:themeShade="D9"/>
                <w:sz w:val="20"/>
                <w:szCs w:val="20"/>
              </w:rPr>
              <w:t>2000</w:t>
            </w:r>
            <w:r w:rsidR="000102D6">
              <w:rPr>
                <w:sz w:val="20"/>
                <w:szCs w:val="20"/>
              </w:rPr>
              <w:t xml:space="preserve"> </w:t>
            </w:r>
            <w:r w:rsidR="000102D6" w:rsidRPr="00DE7C2C">
              <w:rPr>
                <w:sz w:val="20"/>
                <w:szCs w:val="20"/>
                <w:shd w:val="clear" w:color="auto" w:fill="D9D9D9" w:themeFill="background1" w:themeFillShade="D9"/>
              </w:rPr>
              <w:t>1330</w:t>
            </w:r>
            <w:r w:rsidRPr="00DE7C2C">
              <w:rPr>
                <w:sz w:val="20"/>
                <w:szCs w:val="20"/>
                <w:shd w:val="clear" w:color="auto" w:fill="D9D9D9" w:themeFill="background1" w:themeFillShade="D9"/>
              </w:rPr>
              <w:t xml:space="preserve"> </w:t>
            </w:r>
            <w:r w:rsidRPr="00A34F10">
              <w:rPr>
                <w:sz w:val="20"/>
                <w:szCs w:val="20"/>
                <w:vertAlign w:val="superscript"/>
              </w:rPr>
              <w:t>2)</w:t>
            </w:r>
          </w:p>
        </w:tc>
        <w:tc>
          <w:tcPr>
            <w:tcW w:w="1025" w:type="pct"/>
          </w:tcPr>
          <w:p w14:paraId="37EE7776" w14:textId="77777777" w:rsidR="00DC5685" w:rsidRPr="00A34F10" w:rsidRDefault="00DC5685" w:rsidP="000470C3">
            <w:pPr>
              <w:keepNext/>
              <w:keepLines/>
              <w:tabs>
                <w:tab w:val="left" w:pos="720"/>
              </w:tabs>
              <w:spacing w:before="40" w:after="40"/>
              <w:jc w:val="center"/>
              <w:rPr>
                <w:sz w:val="20"/>
                <w:szCs w:val="20"/>
              </w:rPr>
            </w:pPr>
            <w:r w:rsidRPr="00A34F10">
              <w:rPr>
                <w:sz w:val="20"/>
                <w:szCs w:val="20"/>
              </w:rPr>
              <w:t xml:space="preserve">0.79 </w:t>
            </w:r>
          </w:p>
        </w:tc>
        <w:tc>
          <w:tcPr>
            <w:tcW w:w="1006" w:type="pct"/>
            <w:tcBorders>
              <w:top w:val="single" w:sz="6" w:space="0" w:color="auto"/>
              <w:left w:val="nil"/>
              <w:bottom w:val="single" w:sz="6" w:space="0" w:color="auto"/>
              <w:right w:val="nil"/>
            </w:tcBorders>
          </w:tcPr>
          <w:p w14:paraId="5269BD1D" w14:textId="425245FD" w:rsidR="00DC5685" w:rsidRPr="00A34F10" w:rsidRDefault="00DC5685" w:rsidP="000470C3">
            <w:pPr>
              <w:keepNext/>
              <w:keepLines/>
              <w:tabs>
                <w:tab w:val="left" w:pos="720"/>
              </w:tabs>
              <w:spacing w:before="40" w:after="40"/>
              <w:jc w:val="center"/>
              <w:rPr>
                <w:sz w:val="20"/>
                <w:szCs w:val="20"/>
              </w:rPr>
            </w:pPr>
            <w:r w:rsidRPr="00A34F10">
              <w:rPr>
                <w:sz w:val="20"/>
                <w:szCs w:val="20"/>
              </w:rPr>
              <w:t xml:space="preserve">&gt; </w:t>
            </w:r>
            <w:r w:rsidRPr="00EB767C">
              <w:rPr>
                <w:strike/>
                <w:color w:val="D9D9D9" w:themeColor="background1" w:themeShade="D9"/>
                <w:sz w:val="20"/>
                <w:szCs w:val="20"/>
              </w:rPr>
              <w:t>2531.6</w:t>
            </w:r>
            <w:r w:rsidR="001021F0" w:rsidRPr="00EB767C">
              <w:rPr>
                <w:color w:val="D9D9D9" w:themeColor="background1" w:themeShade="D9"/>
                <w:sz w:val="20"/>
                <w:szCs w:val="20"/>
              </w:rPr>
              <w:t xml:space="preserve"> </w:t>
            </w:r>
            <w:r w:rsidR="001021F0" w:rsidRPr="00EB767C">
              <w:rPr>
                <w:sz w:val="20"/>
                <w:szCs w:val="20"/>
                <w:shd w:val="clear" w:color="auto" w:fill="D9D9D9" w:themeFill="background1" w:themeFillShade="D9"/>
              </w:rPr>
              <w:t>16</w:t>
            </w:r>
            <w:r w:rsidR="00EB767C" w:rsidRPr="00EB767C">
              <w:rPr>
                <w:sz w:val="20"/>
                <w:szCs w:val="20"/>
                <w:shd w:val="clear" w:color="auto" w:fill="D9D9D9" w:themeFill="background1" w:themeFillShade="D9"/>
              </w:rPr>
              <w:t>83.5</w:t>
            </w:r>
          </w:p>
        </w:tc>
        <w:tc>
          <w:tcPr>
            <w:tcW w:w="1016" w:type="pct"/>
            <w:tcBorders>
              <w:top w:val="single" w:sz="6" w:space="0" w:color="auto"/>
              <w:bottom w:val="single" w:sz="6" w:space="0" w:color="auto"/>
            </w:tcBorders>
          </w:tcPr>
          <w:p w14:paraId="3D88D3CF" w14:textId="3C2D5006" w:rsidR="00DC5685" w:rsidRPr="00A34F10" w:rsidRDefault="00DC5685" w:rsidP="000470C3">
            <w:pPr>
              <w:keepNext/>
              <w:keepLines/>
              <w:tabs>
                <w:tab w:val="left" w:pos="720"/>
              </w:tabs>
              <w:spacing w:before="40" w:after="40"/>
              <w:jc w:val="center"/>
              <w:rPr>
                <w:sz w:val="20"/>
                <w:szCs w:val="20"/>
              </w:rPr>
            </w:pPr>
            <w:r w:rsidRPr="00A5457F">
              <w:rPr>
                <w:strike/>
                <w:color w:val="D9D9D9" w:themeColor="background1" w:themeShade="D9"/>
                <w:sz w:val="20"/>
                <w:szCs w:val="20"/>
              </w:rPr>
              <w:t>79.0</w:t>
            </w:r>
            <w:r w:rsidR="00A5457F" w:rsidRPr="00A5457F">
              <w:rPr>
                <w:color w:val="D9D9D9" w:themeColor="background1" w:themeShade="D9"/>
                <w:sz w:val="20"/>
                <w:szCs w:val="20"/>
              </w:rPr>
              <w:t xml:space="preserve"> </w:t>
            </w:r>
            <w:r w:rsidR="00A5457F" w:rsidRPr="00A5457F">
              <w:rPr>
                <w:sz w:val="20"/>
                <w:szCs w:val="20"/>
                <w:shd w:val="clear" w:color="auto" w:fill="D9D9D9" w:themeFill="background1" w:themeFillShade="D9"/>
              </w:rPr>
              <w:t>85</w:t>
            </w:r>
          </w:p>
        </w:tc>
      </w:tr>
    </w:tbl>
    <w:p w14:paraId="3B16E44B" w14:textId="77777777" w:rsidR="00DC5685" w:rsidRPr="00A34F10" w:rsidRDefault="00DC5685" w:rsidP="00DC5685">
      <w:pPr>
        <w:keepNext/>
        <w:keepLines/>
        <w:ind w:left="284" w:hanging="284"/>
        <w:rPr>
          <w:sz w:val="18"/>
        </w:rPr>
      </w:pPr>
      <w:r w:rsidRPr="00A34F10">
        <w:rPr>
          <w:sz w:val="18"/>
          <w:vertAlign w:val="superscript"/>
        </w:rPr>
        <w:t>1)</w:t>
      </w:r>
      <w:r w:rsidRPr="00A34F10">
        <w:rPr>
          <w:sz w:val="18"/>
        </w:rPr>
        <w:tab/>
      </w:r>
      <w:r w:rsidRPr="00A34F10">
        <w:rPr>
          <w:sz w:val="18"/>
          <w:szCs w:val="18"/>
          <w:lang w:val="en-GB"/>
        </w:rPr>
        <w:t>Deviation [%] = 100-[(tox per fraction (a.s.</w:t>
      </w:r>
      <w:r w:rsidRPr="00A34F10">
        <w:rPr>
          <w:i/>
          <w:sz w:val="18"/>
          <w:szCs w:val="18"/>
          <w:vertAlign w:val="subscript"/>
          <w:lang w:val="en-GB"/>
        </w:rPr>
        <w:t>i</w:t>
      </w:r>
      <w:r w:rsidRPr="00A34F10">
        <w:rPr>
          <w:sz w:val="18"/>
          <w:szCs w:val="18"/>
          <w:lang w:val="en-GB"/>
        </w:rPr>
        <w:t>) - tox per fraction (mix)]/tox per fraction (a.s.</w:t>
      </w:r>
      <w:r w:rsidRPr="00A34F10">
        <w:rPr>
          <w:i/>
          <w:sz w:val="18"/>
          <w:szCs w:val="18"/>
          <w:vertAlign w:val="subscript"/>
          <w:lang w:val="en-GB"/>
        </w:rPr>
        <w:t>i</w:t>
      </w:r>
      <w:r w:rsidRPr="00A34F10">
        <w:rPr>
          <w:sz w:val="18"/>
          <w:szCs w:val="18"/>
          <w:lang w:val="en-GB"/>
        </w:rPr>
        <w:t>) × 100</w:t>
      </w:r>
    </w:p>
    <w:p w14:paraId="7840DFFE" w14:textId="77777777" w:rsidR="00DC5685" w:rsidRPr="00A34F10" w:rsidRDefault="00DC5685" w:rsidP="00DC5685">
      <w:pPr>
        <w:keepNext/>
        <w:keepLines/>
        <w:ind w:left="284" w:hanging="284"/>
        <w:jc w:val="both"/>
        <w:rPr>
          <w:sz w:val="18"/>
          <w:szCs w:val="18"/>
          <w:lang w:val="en-GB"/>
        </w:rPr>
      </w:pPr>
      <w:bookmarkStart w:id="329" w:name="_Hlk42092940"/>
      <w:r w:rsidRPr="00A34F10">
        <w:rPr>
          <w:sz w:val="18"/>
          <w:vertAlign w:val="superscript"/>
        </w:rPr>
        <w:t>2)</w:t>
      </w:r>
      <w:r w:rsidRPr="00A34F10">
        <w:rPr>
          <w:sz w:val="18"/>
        </w:rPr>
        <w:tab/>
      </w:r>
      <w:r w:rsidRPr="00A34F10">
        <w:rPr>
          <w:sz w:val="18"/>
          <w:szCs w:val="18"/>
        </w:rPr>
        <w:t>Expressed</w:t>
      </w:r>
      <w:r w:rsidRPr="00A34F10">
        <w:rPr>
          <w:sz w:val="18"/>
          <w:szCs w:val="18"/>
          <w:lang w:val="en-GB"/>
        </w:rPr>
        <w:t xml:space="preserve"> as </w:t>
      </w:r>
      <w:bookmarkEnd w:id="329"/>
      <w:r w:rsidRPr="00A34F10">
        <w:rPr>
          <w:sz w:val="18"/>
          <w:szCs w:val="18"/>
          <w:lang w:val="en-GB"/>
        </w:rPr>
        <w:t>Propamocarb-Hydrochloride</w:t>
      </w:r>
    </w:p>
    <w:p w14:paraId="6BDE0FCD" w14:textId="34F17ED2" w:rsidR="00DC5685" w:rsidRPr="00A34F10" w:rsidRDefault="00DC5685" w:rsidP="00DC5685">
      <w:pPr>
        <w:keepNext/>
        <w:keepLines/>
        <w:jc w:val="both"/>
        <w:rPr>
          <w:lang w:val="en-GB"/>
        </w:rPr>
      </w:pPr>
    </w:p>
    <w:p w14:paraId="4111277B" w14:textId="66421E2F" w:rsidR="00DC5685" w:rsidRPr="00A34F10" w:rsidRDefault="00DC5685" w:rsidP="00DC5685">
      <w:pPr>
        <w:pStyle w:val="RepLabel"/>
        <w:suppressAutoHyphens/>
        <w:rPr>
          <w:b w:val="0"/>
          <w:bCs w:val="0"/>
        </w:rPr>
      </w:pPr>
      <w:r w:rsidRPr="00A34F10">
        <w:t xml:space="preserve">Table </w:t>
      </w:r>
      <w:fldSimple w:instr=" STYLEREF 2 \s ">
        <w:r w:rsidR="006F0F3B">
          <w:rPr>
            <w:noProof/>
          </w:rPr>
          <w:t>9.3</w:t>
        </w:r>
      </w:fldSimple>
      <w:r w:rsidRPr="00A34F10">
        <w:noBreakHyphen/>
        <w:t>7:</w:t>
      </w:r>
      <w:r w:rsidRPr="00A34F10">
        <w:tab/>
        <w:t>Comparison of “tox per fraction (a.s.</w:t>
      </w:r>
      <w:r w:rsidRPr="00A34F10">
        <w:rPr>
          <w:i/>
          <w:vertAlign w:val="subscript"/>
        </w:rPr>
        <w:t>i</w:t>
      </w:r>
      <w:r w:rsidRPr="00A34F10">
        <w:t>)” and “tox per fraction (mix)” for long-term/reproductive toxicity</w:t>
      </w:r>
    </w:p>
    <w:tbl>
      <w:tblPr>
        <w:tblStyle w:val="Table-StandardGAB1"/>
        <w:tblW w:w="5000" w:type="pct"/>
        <w:tblLook w:val="04A0" w:firstRow="1" w:lastRow="0" w:firstColumn="1" w:lastColumn="0" w:noHBand="0" w:noVBand="1"/>
      </w:tblPr>
      <w:tblGrid>
        <w:gridCol w:w="1968"/>
        <w:gridCol w:w="1681"/>
        <w:gridCol w:w="1915"/>
        <w:gridCol w:w="1879"/>
        <w:gridCol w:w="1898"/>
      </w:tblGrid>
      <w:tr w:rsidR="00DC5685" w:rsidRPr="00A34F10" w14:paraId="1B466244" w14:textId="77777777" w:rsidTr="000470C3">
        <w:trPr>
          <w:cnfStyle w:val="100000000000" w:firstRow="1" w:lastRow="0" w:firstColumn="0" w:lastColumn="0" w:oddVBand="0" w:evenVBand="0" w:oddHBand="0" w:evenHBand="0" w:firstRowFirstColumn="0" w:firstRowLastColumn="0" w:lastRowFirstColumn="0" w:lastRowLastColumn="0"/>
        </w:trPr>
        <w:tc>
          <w:tcPr>
            <w:tcW w:w="1053" w:type="pct"/>
            <w:hideMark/>
          </w:tcPr>
          <w:p w14:paraId="4A2464D6"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Active substance</w:t>
            </w:r>
          </w:p>
        </w:tc>
        <w:tc>
          <w:tcPr>
            <w:tcW w:w="900" w:type="pct"/>
            <w:hideMark/>
          </w:tcPr>
          <w:p w14:paraId="713D46B2"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NOEL</w:t>
            </w:r>
            <w:r w:rsidRPr="00A34F10">
              <w:rPr>
                <w:b/>
                <w:sz w:val="20"/>
                <w:szCs w:val="20"/>
                <w:vertAlign w:val="subscript"/>
              </w:rPr>
              <w:t xml:space="preserve"> </w:t>
            </w:r>
            <w:r w:rsidRPr="00A34F10">
              <w:rPr>
                <w:b/>
                <w:sz w:val="20"/>
                <w:szCs w:val="20"/>
              </w:rPr>
              <w:t>(a.s.</w:t>
            </w:r>
            <w:r w:rsidRPr="00A34F10">
              <w:rPr>
                <w:b/>
                <w:sz w:val="20"/>
                <w:szCs w:val="20"/>
                <w:vertAlign w:val="subscript"/>
              </w:rPr>
              <w:t>i</w:t>
            </w:r>
            <w:r w:rsidRPr="00A34F10">
              <w:rPr>
                <w:b/>
                <w:sz w:val="20"/>
                <w:szCs w:val="20"/>
              </w:rPr>
              <w:t>)</w:t>
            </w:r>
            <w:r w:rsidRPr="00A34F10">
              <w:rPr>
                <w:b/>
                <w:sz w:val="20"/>
                <w:szCs w:val="20"/>
              </w:rPr>
              <w:br/>
              <w:t>[mg a.s./kg bw]</w:t>
            </w:r>
          </w:p>
        </w:tc>
        <w:tc>
          <w:tcPr>
            <w:tcW w:w="1025" w:type="pct"/>
            <w:hideMark/>
          </w:tcPr>
          <w:p w14:paraId="56CE1C84" w14:textId="77777777" w:rsidR="00DC5685" w:rsidRPr="00A34F10" w:rsidRDefault="00DC5685" w:rsidP="000470C3">
            <w:pPr>
              <w:keepNext/>
              <w:tabs>
                <w:tab w:val="left" w:pos="720"/>
              </w:tabs>
              <w:spacing w:before="40" w:after="40"/>
              <w:ind w:left="17" w:right="17"/>
              <w:jc w:val="center"/>
              <w:rPr>
                <w:b/>
                <w:sz w:val="20"/>
                <w:szCs w:val="20"/>
              </w:rPr>
            </w:pPr>
            <w:r w:rsidRPr="00A34F10">
              <w:rPr>
                <w:b/>
                <w:sz w:val="20"/>
                <w:szCs w:val="20"/>
              </w:rPr>
              <w:t>X (a.s.</w:t>
            </w:r>
            <w:r w:rsidRPr="00A34F10">
              <w:rPr>
                <w:b/>
                <w:sz w:val="20"/>
                <w:szCs w:val="20"/>
                <w:vertAlign w:val="subscript"/>
              </w:rPr>
              <w:t>i</w:t>
            </w:r>
            <w:r w:rsidRPr="00A34F10">
              <w:rPr>
                <w:b/>
                <w:sz w:val="20"/>
                <w:szCs w:val="20"/>
              </w:rPr>
              <w:t>) in the mixture</w:t>
            </w:r>
          </w:p>
        </w:tc>
        <w:tc>
          <w:tcPr>
            <w:tcW w:w="1006" w:type="pct"/>
            <w:hideMark/>
          </w:tcPr>
          <w:p w14:paraId="3C28C58D" w14:textId="77777777" w:rsidR="00DC5685" w:rsidRPr="00A34F10" w:rsidRDefault="00DC5685" w:rsidP="000470C3">
            <w:pPr>
              <w:keepNext/>
              <w:autoSpaceDE w:val="0"/>
              <w:autoSpaceDN w:val="0"/>
              <w:spacing w:before="40" w:after="40"/>
              <w:ind w:left="17" w:right="17"/>
              <w:jc w:val="center"/>
              <w:rPr>
                <w:b/>
                <w:bCs/>
                <w:sz w:val="20"/>
                <w:szCs w:val="20"/>
              </w:rPr>
            </w:pPr>
            <w:r w:rsidRPr="00A34F10">
              <w:rPr>
                <w:b/>
                <w:bCs/>
                <w:sz w:val="20"/>
                <w:szCs w:val="20"/>
              </w:rPr>
              <w:t>Tox per fraction:</w:t>
            </w:r>
          </w:p>
          <w:p w14:paraId="032F84A6" w14:textId="77777777" w:rsidR="00DC5685" w:rsidRPr="00A34F10" w:rsidRDefault="00DC5685" w:rsidP="000470C3">
            <w:pPr>
              <w:keepNext/>
              <w:tabs>
                <w:tab w:val="left" w:pos="720"/>
              </w:tabs>
              <w:spacing w:before="40" w:after="40"/>
              <w:ind w:left="17" w:right="17"/>
              <w:jc w:val="center"/>
              <w:rPr>
                <w:b/>
                <w:sz w:val="20"/>
                <w:szCs w:val="20"/>
              </w:rPr>
            </w:pPr>
            <w:r w:rsidRPr="00A34F10">
              <w:rPr>
                <w:b/>
                <w:bCs/>
                <w:sz w:val="20"/>
                <w:szCs w:val="20"/>
              </w:rPr>
              <w:t>[NOEL (a.s.</w:t>
            </w:r>
            <w:r w:rsidRPr="00A34F10">
              <w:rPr>
                <w:b/>
                <w:bCs/>
                <w:sz w:val="20"/>
                <w:szCs w:val="20"/>
                <w:vertAlign w:val="subscript"/>
              </w:rPr>
              <w:t>i</w:t>
            </w:r>
            <w:r w:rsidRPr="00A34F10">
              <w:rPr>
                <w:b/>
                <w:bCs/>
                <w:sz w:val="20"/>
                <w:szCs w:val="20"/>
              </w:rPr>
              <w:t>)/X (a.s.</w:t>
            </w:r>
            <w:r w:rsidRPr="00A34F10">
              <w:rPr>
                <w:b/>
                <w:bCs/>
                <w:sz w:val="20"/>
                <w:szCs w:val="20"/>
                <w:vertAlign w:val="subscript"/>
              </w:rPr>
              <w:t>i</w:t>
            </w:r>
            <w:r w:rsidRPr="00A34F10">
              <w:rPr>
                <w:b/>
                <w:bCs/>
                <w:sz w:val="20"/>
                <w:szCs w:val="20"/>
              </w:rPr>
              <w:t>)]</w:t>
            </w:r>
          </w:p>
        </w:tc>
        <w:tc>
          <w:tcPr>
            <w:tcW w:w="1016" w:type="pct"/>
            <w:hideMark/>
          </w:tcPr>
          <w:p w14:paraId="51008049" w14:textId="77777777" w:rsidR="00DC5685" w:rsidRPr="00A34F10" w:rsidRDefault="00DC5685" w:rsidP="000470C3">
            <w:pPr>
              <w:keepNext/>
              <w:tabs>
                <w:tab w:val="left" w:pos="720"/>
              </w:tabs>
              <w:spacing w:before="40" w:after="40"/>
              <w:ind w:left="17" w:right="17"/>
              <w:jc w:val="center"/>
              <w:rPr>
                <w:b/>
                <w:sz w:val="20"/>
                <w:szCs w:val="20"/>
                <w:vertAlign w:val="superscript"/>
              </w:rPr>
            </w:pPr>
            <w:r w:rsidRPr="00A34F10">
              <w:rPr>
                <w:b/>
                <w:bCs/>
                <w:sz w:val="20"/>
                <w:szCs w:val="20"/>
              </w:rPr>
              <w:t>Contribution to overall toxicity</w:t>
            </w:r>
            <w:r w:rsidRPr="00A34F10">
              <w:rPr>
                <w:b/>
                <w:sz w:val="20"/>
                <w:szCs w:val="20"/>
              </w:rPr>
              <w:t xml:space="preserve"> </w:t>
            </w:r>
            <w:r w:rsidRPr="00A34F10">
              <w:rPr>
                <w:b/>
                <w:sz w:val="20"/>
                <w:szCs w:val="20"/>
              </w:rPr>
              <w:br/>
              <w:t>[%]</w:t>
            </w:r>
            <w:r w:rsidRPr="00A34F10">
              <w:rPr>
                <w:b/>
                <w:sz w:val="20"/>
                <w:szCs w:val="20"/>
                <w:vertAlign w:val="superscript"/>
              </w:rPr>
              <w:t xml:space="preserve"> 1)</w:t>
            </w:r>
          </w:p>
        </w:tc>
      </w:tr>
      <w:tr w:rsidR="00DC5685" w:rsidRPr="00A34F10" w14:paraId="18B1090F" w14:textId="77777777" w:rsidTr="000470C3">
        <w:tc>
          <w:tcPr>
            <w:tcW w:w="1053" w:type="pct"/>
            <w:hideMark/>
          </w:tcPr>
          <w:p w14:paraId="76348AD7" w14:textId="77777777" w:rsidR="00DC5685" w:rsidRPr="00A34F10" w:rsidRDefault="00DC5685" w:rsidP="000470C3">
            <w:pPr>
              <w:keepNext/>
              <w:spacing w:before="40" w:after="40"/>
              <w:ind w:left="17" w:right="17"/>
              <w:rPr>
                <w:sz w:val="20"/>
                <w:szCs w:val="20"/>
              </w:rPr>
            </w:pPr>
            <w:r w:rsidRPr="00A34F10">
              <w:rPr>
                <w:sz w:val="20"/>
                <w:szCs w:val="20"/>
              </w:rPr>
              <w:t>LD</w:t>
            </w:r>
            <w:r w:rsidRPr="00A34F10">
              <w:rPr>
                <w:sz w:val="20"/>
                <w:szCs w:val="20"/>
                <w:vertAlign w:val="subscript"/>
              </w:rPr>
              <w:t>50</w:t>
            </w:r>
            <w:r w:rsidRPr="00A34F10">
              <w:rPr>
                <w:sz w:val="20"/>
                <w:szCs w:val="20"/>
              </w:rPr>
              <w:t xml:space="preserve"> (mix)</w:t>
            </w:r>
          </w:p>
        </w:tc>
        <w:tc>
          <w:tcPr>
            <w:tcW w:w="900" w:type="pct"/>
            <w:hideMark/>
          </w:tcPr>
          <w:p w14:paraId="58BF4687"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127.88</w:t>
            </w:r>
          </w:p>
        </w:tc>
        <w:tc>
          <w:tcPr>
            <w:tcW w:w="1025" w:type="pct"/>
            <w:hideMark/>
          </w:tcPr>
          <w:p w14:paraId="3D017C97"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1.0</w:t>
            </w:r>
          </w:p>
        </w:tc>
        <w:tc>
          <w:tcPr>
            <w:tcW w:w="1006" w:type="pct"/>
          </w:tcPr>
          <w:p w14:paraId="7D1574A2"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127.88</w:t>
            </w:r>
          </w:p>
        </w:tc>
        <w:tc>
          <w:tcPr>
            <w:tcW w:w="1016" w:type="pct"/>
            <w:hideMark/>
          </w:tcPr>
          <w:p w14:paraId="3B286B81" w14:textId="77777777" w:rsidR="00DC5685" w:rsidRPr="00A34F10" w:rsidRDefault="00DC5685" w:rsidP="000470C3">
            <w:pPr>
              <w:keepNext/>
              <w:tabs>
                <w:tab w:val="left" w:pos="720"/>
              </w:tabs>
              <w:spacing w:before="40" w:after="40"/>
              <w:ind w:left="17" w:right="17"/>
              <w:jc w:val="center"/>
              <w:rPr>
                <w:sz w:val="20"/>
                <w:szCs w:val="20"/>
              </w:rPr>
            </w:pPr>
            <w:r w:rsidRPr="00A34F10">
              <w:rPr>
                <w:sz w:val="20"/>
                <w:szCs w:val="20"/>
              </w:rPr>
              <w:t xml:space="preserve">- </w:t>
            </w:r>
          </w:p>
        </w:tc>
      </w:tr>
      <w:tr w:rsidR="00DC5685" w:rsidRPr="00A34F10" w14:paraId="0C49E908" w14:textId="77777777" w:rsidTr="000470C3">
        <w:tc>
          <w:tcPr>
            <w:tcW w:w="1053" w:type="pct"/>
          </w:tcPr>
          <w:p w14:paraId="5AB54C14" w14:textId="77777777" w:rsidR="00DC5685" w:rsidRPr="00A34F10" w:rsidRDefault="00DC5685" w:rsidP="000470C3">
            <w:pPr>
              <w:tabs>
                <w:tab w:val="left" w:pos="720"/>
              </w:tabs>
              <w:spacing w:before="40" w:after="40"/>
              <w:rPr>
                <w:sz w:val="20"/>
                <w:szCs w:val="20"/>
              </w:rPr>
            </w:pPr>
            <w:r w:rsidRPr="00A34F10">
              <w:rPr>
                <w:sz w:val="20"/>
                <w:szCs w:val="20"/>
              </w:rPr>
              <w:t>Ametoctradin</w:t>
            </w:r>
          </w:p>
        </w:tc>
        <w:tc>
          <w:tcPr>
            <w:tcW w:w="900" w:type="pct"/>
            <w:tcBorders>
              <w:top w:val="single" w:sz="6" w:space="0" w:color="auto"/>
              <w:bottom w:val="single" w:sz="6" w:space="0" w:color="auto"/>
            </w:tcBorders>
          </w:tcPr>
          <w:p w14:paraId="78348DFA" w14:textId="77777777" w:rsidR="00DC5685" w:rsidRPr="00A34F10" w:rsidRDefault="00DC5685" w:rsidP="000470C3">
            <w:pPr>
              <w:keepNext/>
              <w:tabs>
                <w:tab w:val="left" w:pos="720"/>
              </w:tabs>
              <w:spacing w:before="40" w:after="40"/>
              <w:jc w:val="center"/>
              <w:rPr>
                <w:sz w:val="20"/>
                <w:szCs w:val="20"/>
              </w:rPr>
            </w:pPr>
            <w:r w:rsidRPr="00A34F10">
              <w:rPr>
                <w:bCs/>
                <w:sz w:val="20"/>
                <w:szCs w:val="20"/>
              </w:rPr>
              <w:t>939</w:t>
            </w:r>
          </w:p>
        </w:tc>
        <w:tc>
          <w:tcPr>
            <w:tcW w:w="1025" w:type="pct"/>
          </w:tcPr>
          <w:p w14:paraId="1337B38C" w14:textId="77777777" w:rsidR="00DC5685" w:rsidRPr="00A34F10" w:rsidRDefault="00DC5685" w:rsidP="000470C3">
            <w:pPr>
              <w:keepNext/>
              <w:tabs>
                <w:tab w:val="left" w:pos="720"/>
              </w:tabs>
              <w:spacing w:before="40" w:after="40"/>
              <w:jc w:val="center"/>
              <w:rPr>
                <w:sz w:val="20"/>
                <w:szCs w:val="20"/>
              </w:rPr>
            </w:pPr>
            <w:r w:rsidRPr="00A34F10">
              <w:rPr>
                <w:sz w:val="20"/>
                <w:szCs w:val="20"/>
              </w:rPr>
              <w:t>0.21</w:t>
            </w:r>
          </w:p>
        </w:tc>
        <w:tc>
          <w:tcPr>
            <w:tcW w:w="1006" w:type="pct"/>
            <w:tcBorders>
              <w:top w:val="single" w:sz="6" w:space="0" w:color="auto"/>
              <w:left w:val="nil"/>
              <w:bottom w:val="single" w:sz="6" w:space="0" w:color="auto"/>
              <w:right w:val="nil"/>
            </w:tcBorders>
          </w:tcPr>
          <w:p w14:paraId="5AEFC1EC" w14:textId="77777777" w:rsidR="00DC5685" w:rsidRPr="00A34F10" w:rsidRDefault="00DC5685" w:rsidP="000470C3">
            <w:pPr>
              <w:keepNext/>
              <w:tabs>
                <w:tab w:val="left" w:pos="720"/>
              </w:tabs>
              <w:spacing w:before="40" w:after="40"/>
              <w:jc w:val="center"/>
              <w:rPr>
                <w:sz w:val="20"/>
                <w:szCs w:val="20"/>
              </w:rPr>
            </w:pPr>
            <w:r w:rsidRPr="00A34F10">
              <w:rPr>
                <w:sz w:val="20"/>
                <w:szCs w:val="20"/>
              </w:rPr>
              <w:t>4471.4</w:t>
            </w:r>
          </w:p>
        </w:tc>
        <w:tc>
          <w:tcPr>
            <w:tcW w:w="1016" w:type="pct"/>
            <w:tcBorders>
              <w:top w:val="single" w:sz="6" w:space="0" w:color="auto"/>
              <w:bottom w:val="single" w:sz="6" w:space="0" w:color="auto"/>
            </w:tcBorders>
          </w:tcPr>
          <w:p w14:paraId="3AEF6030" w14:textId="77777777" w:rsidR="00DC5685" w:rsidRPr="00A34F10" w:rsidRDefault="00DC5685" w:rsidP="000470C3">
            <w:pPr>
              <w:keepNext/>
              <w:tabs>
                <w:tab w:val="left" w:pos="720"/>
              </w:tabs>
              <w:spacing w:before="40" w:after="40"/>
              <w:jc w:val="center"/>
              <w:rPr>
                <w:sz w:val="20"/>
                <w:szCs w:val="20"/>
              </w:rPr>
            </w:pPr>
            <w:r w:rsidRPr="00A34F10">
              <w:rPr>
                <w:sz w:val="20"/>
                <w:szCs w:val="20"/>
              </w:rPr>
              <w:t>2.9</w:t>
            </w:r>
          </w:p>
        </w:tc>
      </w:tr>
      <w:tr w:rsidR="00DC5685" w:rsidRPr="00A34F10" w14:paraId="51A92D8B" w14:textId="77777777" w:rsidTr="000470C3">
        <w:tc>
          <w:tcPr>
            <w:tcW w:w="1053" w:type="pct"/>
          </w:tcPr>
          <w:p w14:paraId="0A7D9859" w14:textId="77777777" w:rsidR="00DC5685" w:rsidRPr="00A34F10" w:rsidRDefault="00DC5685" w:rsidP="000470C3">
            <w:pPr>
              <w:tabs>
                <w:tab w:val="left" w:pos="720"/>
              </w:tabs>
              <w:spacing w:before="40" w:after="40"/>
              <w:rPr>
                <w:sz w:val="20"/>
                <w:szCs w:val="20"/>
              </w:rPr>
            </w:pPr>
            <w:r w:rsidRPr="00A34F10">
              <w:rPr>
                <w:sz w:val="20"/>
                <w:szCs w:val="20"/>
              </w:rPr>
              <w:t>Propamocarb</w:t>
            </w:r>
          </w:p>
        </w:tc>
        <w:tc>
          <w:tcPr>
            <w:tcW w:w="900" w:type="pct"/>
            <w:tcBorders>
              <w:top w:val="single" w:sz="6" w:space="0" w:color="auto"/>
              <w:bottom w:val="single" w:sz="6" w:space="0" w:color="auto"/>
            </w:tcBorders>
          </w:tcPr>
          <w:p w14:paraId="0F4A49E7" w14:textId="77777777" w:rsidR="00DC5685" w:rsidRPr="00A34F10" w:rsidRDefault="00DC5685" w:rsidP="000470C3">
            <w:pPr>
              <w:keepNext/>
              <w:tabs>
                <w:tab w:val="left" w:pos="720"/>
              </w:tabs>
              <w:spacing w:before="40" w:after="40"/>
              <w:jc w:val="center"/>
              <w:rPr>
                <w:sz w:val="20"/>
                <w:szCs w:val="20"/>
              </w:rPr>
            </w:pPr>
            <w:r w:rsidRPr="00A34F10">
              <w:rPr>
                <w:sz w:val="20"/>
                <w:szCs w:val="20"/>
              </w:rPr>
              <w:t xml:space="preserve">104 </w:t>
            </w:r>
            <w:r w:rsidRPr="00A34F10">
              <w:rPr>
                <w:sz w:val="20"/>
                <w:szCs w:val="20"/>
                <w:vertAlign w:val="superscript"/>
              </w:rPr>
              <w:t>2)</w:t>
            </w:r>
          </w:p>
        </w:tc>
        <w:tc>
          <w:tcPr>
            <w:tcW w:w="1025" w:type="pct"/>
          </w:tcPr>
          <w:p w14:paraId="3001E5E8" w14:textId="77777777" w:rsidR="00DC5685" w:rsidRPr="00A34F10" w:rsidRDefault="00DC5685" w:rsidP="000470C3">
            <w:pPr>
              <w:keepNext/>
              <w:tabs>
                <w:tab w:val="left" w:pos="720"/>
              </w:tabs>
              <w:spacing w:before="40" w:after="40"/>
              <w:jc w:val="center"/>
              <w:rPr>
                <w:sz w:val="20"/>
                <w:szCs w:val="20"/>
              </w:rPr>
            </w:pPr>
            <w:r w:rsidRPr="00A34F10">
              <w:rPr>
                <w:sz w:val="20"/>
                <w:szCs w:val="20"/>
              </w:rPr>
              <w:t xml:space="preserve">0.79 </w:t>
            </w:r>
          </w:p>
        </w:tc>
        <w:tc>
          <w:tcPr>
            <w:tcW w:w="1006" w:type="pct"/>
            <w:tcBorders>
              <w:top w:val="single" w:sz="6" w:space="0" w:color="auto"/>
              <w:left w:val="nil"/>
              <w:bottom w:val="single" w:sz="6" w:space="0" w:color="auto"/>
              <w:right w:val="nil"/>
            </w:tcBorders>
          </w:tcPr>
          <w:p w14:paraId="53DDB798" w14:textId="77777777" w:rsidR="00DC5685" w:rsidRPr="00A34F10" w:rsidRDefault="00DC5685" w:rsidP="000470C3">
            <w:pPr>
              <w:keepNext/>
              <w:tabs>
                <w:tab w:val="left" w:pos="720"/>
              </w:tabs>
              <w:spacing w:before="40" w:after="40"/>
              <w:jc w:val="center"/>
              <w:rPr>
                <w:sz w:val="20"/>
                <w:szCs w:val="20"/>
              </w:rPr>
            </w:pPr>
            <w:r w:rsidRPr="00A34F10">
              <w:rPr>
                <w:sz w:val="20"/>
                <w:szCs w:val="20"/>
              </w:rPr>
              <w:t>131.6</w:t>
            </w:r>
          </w:p>
        </w:tc>
        <w:tc>
          <w:tcPr>
            <w:tcW w:w="1016" w:type="pct"/>
            <w:tcBorders>
              <w:top w:val="single" w:sz="6" w:space="0" w:color="auto"/>
              <w:bottom w:val="single" w:sz="6" w:space="0" w:color="auto"/>
            </w:tcBorders>
          </w:tcPr>
          <w:p w14:paraId="7BD9128A" w14:textId="77777777" w:rsidR="00DC5685" w:rsidRPr="00A34F10" w:rsidRDefault="00DC5685" w:rsidP="000470C3">
            <w:pPr>
              <w:keepNext/>
              <w:tabs>
                <w:tab w:val="left" w:pos="720"/>
              </w:tabs>
              <w:spacing w:before="40" w:after="40"/>
              <w:jc w:val="center"/>
              <w:rPr>
                <w:b/>
                <w:bCs/>
                <w:sz w:val="20"/>
                <w:szCs w:val="20"/>
              </w:rPr>
            </w:pPr>
            <w:r w:rsidRPr="00A34F10">
              <w:rPr>
                <w:b/>
                <w:bCs/>
                <w:sz w:val="20"/>
                <w:szCs w:val="20"/>
              </w:rPr>
              <w:t>97.1</w:t>
            </w:r>
          </w:p>
        </w:tc>
      </w:tr>
    </w:tbl>
    <w:p w14:paraId="62451F9C" w14:textId="77777777" w:rsidR="00DC5685" w:rsidRPr="00A34F10" w:rsidRDefault="00DC5685" w:rsidP="00DC5685">
      <w:pPr>
        <w:ind w:left="284" w:hanging="284"/>
        <w:rPr>
          <w:sz w:val="18"/>
        </w:rPr>
      </w:pPr>
      <w:r w:rsidRPr="00A34F10">
        <w:rPr>
          <w:sz w:val="18"/>
          <w:vertAlign w:val="superscript"/>
        </w:rPr>
        <w:t>1)</w:t>
      </w:r>
      <w:r w:rsidRPr="00A34F10">
        <w:rPr>
          <w:sz w:val="18"/>
        </w:rPr>
        <w:tab/>
      </w:r>
      <w:r w:rsidRPr="00A34F10">
        <w:rPr>
          <w:sz w:val="18"/>
          <w:szCs w:val="18"/>
          <w:lang w:val="en-GB"/>
        </w:rPr>
        <w:t>Contribution to overall toxicity [%] = 100-[(tox per fraction (a.s.</w:t>
      </w:r>
      <w:r w:rsidRPr="00A34F10">
        <w:rPr>
          <w:i/>
          <w:sz w:val="18"/>
          <w:szCs w:val="18"/>
          <w:vertAlign w:val="subscript"/>
          <w:lang w:val="en-GB"/>
        </w:rPr>
        <w:t>i</w:t>
      </w:r>
      <w:r w:rsidRPr="00A34F10">
        <w:rPr>
          <w:sz w:val="18"/>
          <w:szCs w:val="18"/>
          <w:lang w:val="en-GB"/>
        </w:rPr>
        <w:t>) - tox per fraction (mix)]/tox per fraction (a.s.</w:t>
      </w:r>
      <w:r w:rsidRPr="00A34F10">
        <w:rPr>
          <w:i/>
          <w:sz w:val="18"/>
          <w:szCs w:val="18"/>
          <w:vertAlign w:val="subscript"/>
          <w:lang w:val="en-GB"/>
        </w:rPr>
        <w:t>i</w:t>
      </w:r>
      <w:r w:rsidRPr="00A34F10">
        <w:rPr>
          <w:sz w:val="18"/>
          <w:szCs w:val="18"/>
          <w:lang w:val="en-GB"/>
        </w:rPr>
        <w:t>) × 100</w:t>
      </w:r>
    </w:p>
    <w:p w14:paraId="65CA4A3C" w14:textId="1C8EBEF5" w:rsidR="002F6515" w:rsidRDefault="00DC5685" w:rsidP="002F6515">
      <w:pPr>
        <w:ind w:left="284" w:hanging="284"/>
        <w:jc w:val="both"/>
        <w:rPr>
          <w:sz w:val="18"/>
          <w:szCs w:val="18"/>
          <w:lang w:val="en-GB"/>
        </w:rPr>
      </w:pPr>
      <w:r w:rsidRPr="00A34F10">
        <w:rPr>
          <w:sz w:val="18"/>
          <w:vertAlign w:val="superscript"/>
        </w:rPr>
        <w:t>2)</w:t>
      </w:r>
      <w:r w:rsidRPr="00A34F10">
        <w:rPr>
          <w:sz w:val="18"/>
        </w:rPr>
        <w:tab/>
      </w:r>
      <w:r w:rsidRPr="00A34F10">
        <w:rPr>
          <w:sz w:val="18"/>
          <w:szCs w:val="18"/>
        </w:rPr>
        <w:t>Expressed</w:t>
      </w:r>
      <w:r w:rsidRPr="00A34F10">
        <w:rPr>
          <w:sz w:val="18"/>
          <w:szCs w:val="18"/>
          <w:lang w:val="en-GB"/>
        </w:rPr>
        <w:t xml:space="preserve"> as Propamocarb-Hydrochloride</w:t>
      </w:r>
    </w:p>
    <w:p w14:paraId="2B408AB5" w14:textId="18078470" w:rsidR="002F6515" w:rsidRDefault="002F6515" w:rsidP="002F6515">
      <w:pPr>
        <w:ind w:left="284" w:hanging="284"/>
        <w:jc w:val="both"/>
        <w:rPr>
          <w:sz w:val="18"/>
          <w:szCs w:val="18"/>
          <w:lang w:val="en-GB"/>
        </w:rPr>
      </w:pPr>
    </w:p>
    <w:p w14:paraId="73707A47" w14:textId="77777777" w:rsidR="002F6515" w:rsidRDefault="002F6515" w:rsidP="002F6515">
      <w:pPr>
        <w:ind w:left="284" w:hanging="284"/>
        <w:jc w:val="both"/>
        <w:rPr>
          <w:sz w:val="18"/>
          <w:szCs w:val="18"/>
          <w:lang w:val="en-GB"/>
        </w:rPr>
      </w:pPr>
    </w:p>
    <w:p w14:paraId="6FB911F9" w14:textId="02062CFA" w:rsidR="00DC5685" w:rsidRPr="00A34F10" w:rsidRDefault="00DC5685" w:rsidP="002F6515">
      <w:pPr>
        <w:jc w:val="both"/>
        <w:rPr>
          <w:lang w:val="en-GB"/>
        </w:rPr>
      </w:pPr>
      <w:r w:rsidRPr="00A34F10">
        <w:rPr>
          <w:lang w:val="en-GB"/>
        </w:rPr>
        <w:t xml:space="preserve">For long-term/reproductive toxicity, the </w:t>
      </w:r>
      <w:bookmarkStart w:id="330" w:name="_Hlk125646242"/>
      <w:r w:rsidRPr="00A34F10">
        <w:rPr>
          <w:lang w:val="en-GB"/>
        </w:rPr>
        <w:t xml:space="preserve">contribution to overall toxicity </w:t>
      </w:r>
      <w:bookmarkEnd w:id="330"/>
      <w:r w:rsidRPr="00A34F10">
        <w:rPr>
          <w:lang w:val="en-GB"/>
        </w:rPr>
        <w:t xml:space="preserve">for Propamocarb is 97.1% indicating that </w:t>
      </w:r>
      <w:r w:rsidRPr="00A34F10">
        <w:t xml:space="preserve">this active substance </w:t>
      </w:r>
      <w:r w:rsidRPr="00A34F10">
        <w:rPr>
          <w:lang w:val="en-GB"/>
        </w:rPr>
        <w:t xml:space="preserve">contributes to </w:t>
      </w:r>
      <w:r w:rsidRPr="00A34F10">
        <w:t xml:space="preserve">≥ 90 </w:t>
      </w:r>
      <w:r w:rsidRPr="00A34F10">
        <w:rPr>
          <w:lang w:val="en-GB"/>
        </w:rPr>
        <w:t>% to the long-term/reproductive toxicity of the formulation</w:t>
      </w:r>
      <w:r w:rsidRPr="00A34F10">
        <w:rPr>
          <w:b/>
          <w:lang w:val="en-GB"/>
        </w:rPr>
        <w:t xml:space="preserve"> </w:t>
      </w:r>
      <w:r w:rsidRPr="00A34F10">
        <w:rPr>
          <w:bCs/>
          <w:lang w:val="en-GB"/>
        </w:rPr>
        <w:t>BAS 743 03 F</w:t>
      </w:r>
      <w:r w:rsidRPr="00A34F10">
        <w:rPr>
          <w:lang w:val="en-GB"/>
        </w:rPr>
        <w:t>.</w:t>
      </w:r>
      <w:r w:rsidRPr="00A34F10">
        <w:t xml:space="preserve"> Therefore, the long-term/reproductive risk assessment can be performed for Propamocarb alone. Nevertheless, for completeness reasons, a long-term/reproductive risk assessment for the active substance Ametoctradin is also presented.</w:t>
      </w:r>
    </w:p>
    <w:p w14:paraId="29F37977" w14:textId="77777777" w:rsidR="00DC5685" w:rsidRPr="00A34F10" w:rsidRDefault="00DC5685" w:rsidP="002F6515">
      <w:pPr>
        <w:jc w:val="both"/>
        <w:rPr>
          <w:lang w:val="en-GB"/>
        </w:rPr>
      </w:pPr>
    </w:p>
    <w:p w14:paraId="7C879561" w14:textId="77777777" w:rsidR="00DC5685" w:rsidRPr="00A34F10" w:rsidRDefault="00DC5685" w:rsidP="002F6515">
      <w:pPr>
        <w:jc w:val="both"/>
        <w:rPr>
          <w:lang w:val="en-GB"/>
        </w:rPr>
      </w:pPr>
      <w:r w:rsidRPr="00A34F10">
        <w:rPr>
          <w:lang w:val="en-GB"/>
        </w:rPr>
        <w:t>For acute toxicity, the contribution to overall toxicity</w:t>
      </w:r>
      <w:r w:rsidRPr="00A34F10">
        <w:t xml:space="preserve"> </w:t>
      </w:r>
      <w:r w:rsidRPr="00A34F10">
        <w:rPr>
          <w:lang w:val="en-GB"/>
        </w:rPr>
        <w:t xml:space="preserve">is above 10% for both Ametoctradin and Propamocarb indicating that </w:t>
      </w:r>
      <w:r w:rsidRPr="00A34F10">
        <w:t>n</w:t>
      </w:r>
      <w:r w:rsidRPr="00A34F10">
        <w:rPr>
          <w:lang w:val="en-GB"/>
        </w:rPr>
        <w:t xml:space="preserve">one of the active substances contributes to </w:t>
      </w:r>
      <w:r w:rsidRPr="00A34F10">
        <w:t xml:space="preserve">≥ 90 </w:t>
      </w:r>
      <w:r w:rsidRPr="00A34F10">
        <w:rPr>
          <w:lang w:val="en-GB"/>
        </w:rPr>
        <w:t>% to the toxicity of formulation</w:t>
      </w:r>
      <w:r w:rsidRPr="00A34F10">
        <w:rPr>
          <w:b/>
          <w:lang w:val="en-GB"/>
        </w:rPr>
        <w:t xml:space="preserve"> </w:t>
      </w:r>
      <w:r w:rsidRPr="00A34F10">
        <w:rPr>
          <w:bCs/>
          <w:lang w:val="en-GB"/>
        </w:rPr>
        <w:t>BAS 743 03 F</w:t>
      </w:r>
      <w:r w:rsidRPr="00A34F10">
        <w:rPr>
          <w:lang w:val="en-GB"/>
        </w:rPr>
        <w:t xml:space="preserve">. Therefore, acute risk assessment for mammals is presented for both active substances and the formulated product.  </w:t>
      </w:r>
    </w:p>
    <w:p w14:paraId="787AB18E" w14:textId="77777777" w:rsidR="00DC5685" w:rsidRPr="00A34F10" w:rsidRDefault="00DC5685" w:rsidP="002F6515">
      <w:pPr>
        <w:ind w:left="284" w:hanging="284"/>
        <w:rPr>
          <w:sz w:val="18"/>
          <w:szCs w:val="18"/>
        </w:rPr>
      </w:pPr>
    </w:p>
    <w:p w14:paraId="15FA9697" w14:textId="77777777" w:rsidR="00DC5685" w:rsidRPr="00A34F10" w:rsidRDefault="00DC5685" w:rsidP="002F6515">
      <w:pPr>
        <w:jc w:val="both"/>
        <w:rPr>
          <w:lang w:val="en-GB"/>
        </w:rPr>
      </w:pPr>
      <w:r w:rsidRPr="00A34F10">
        <w:rPr>
          <w:lang w:val="en-GB"/>
        </w:rPr>
        <w:t>An acute endpoint from a study with the similar formulation BAS 743 02 F is available. Following Appendix B of the Guidance Document on Risk Assessment for Birds and Mammals on request from EFSA (EFSA/2009/1438), the LD</w:t>
      </w:r>
      <w:r w:rsidRPr="00A34F10">
        <w:rPr>
          <w:vertAlign w:val="subscript"/>
          <w:lang w:val="en-GB"/>
        </w:rPr>
        <w:t>50</w:t>
      </w:r>
      <w:r w:rsidRPr="00A34F10">
        <w:rPr>
          <w:lang w:val="en-GB"/>
        </w:rPr>
        <w:t xml:space="preserve"> value is compared with the predicted mixture toxicity assuming dose additivity, according to the following formulation:</w:t>
      </w:r>
    </w:p>
    <w:p w14:paraId="496FD807" w14:textId="77777777" w:rsidR="00DC5685" w:rsidRPr="00A34F10" w:rsidRDefault="00DC5685" w:rsidP="002F6515">
      <w:pPr>
        <w:rPr>
          <w:lang w:val="en-GB"/>
        </w:rPr>
      </w:pPr>
    </w:p>
    <w:p w14:paraId="62BF4EB8" w14:textId="77777777" w:rsidR="00DC5685" w:rsidRPr="00A34F10" w:rsidRDefault="00DC5685" w:rsidP="00DC5685">
      <w:pPr>
        <w:rPr>
          <w:lang w:val="en-GB"/>
        </w:rPr>
      </w:pPr>
      <w:r w:rsidRPr="00A34F10">
        <w:rPr>
          <w:noProof/>
          <w:lang w:val="en-GB" w:eastAsia="en-GB"/>
        </w:rPr>
        <w:drawing>
          <wp:inline distT="0" distB="0" distL="0" distR="0" wp14:anchorId="15BB8239" wp14:editId="557F8093">
            <wp:extent cx="1924050" cy="5619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24050" cy="561975"/>
                    </a:xfrm>
                    <a:prstGeom prst="rect">
                      <a:avLst/>
                    </a:prstGeom>
                    <a:noFill/>
                    <a:ln>
                      <a:noFill/>
                    </a:ln>
                  </pic:spPr>
                </pic:pic>
              </a:graphicData>
            </a:graphic>
          </wp:inline>
        </w:drawing>
      </w:r>
    </w:p>
    <w:p w14:paraId="603BE24D" w14:textId="77777777" w:rsidR="00DC5685" w:rsidRPr="00A34F10" w:rsidRDefault="00DC5685" w:rsidP="00DC5685">
      <w:pPr>
        <w:rPr>
          <w:lang w:val="en-GB"/>
        </w:rPr>
      </w:pPr>
    </w:p>
    <w:p w14:paraId="74658EAB" w14:textId="77777777" w:rsidR="00DC5685" w:rsidRPr="00A34F10" w:rsidRDefault="00DC5685" w:rsidP="00DC5685">
      <w:pPr>
        <w:jc w:val="both"/>
        <w:rPr>
          <w:lang w:val="en-GB"/>
        </w:rPr>
      </w:pPr>
      <w:r w:rsidRPr="00A34F10">
        <w:rPr>
          <w:lang w:val="en-GB"/>
        </w:rPr>
        <w:lastRenderedPageBreak/>
        <w:t>With:</w:t>
      </w:r>
    </w:p>
    <w:p w14:paraId="771F2922" w14:textId="77777777" w:rsidR="00DC5685" w:rsidRPr="00A34F10" w:rsidRDefault="00DC5685" w:rsidP="00DC5685">
      <w:pPr>
        <w:jc w:val="both"/>
        <w:rPr>
          <w:lang w:val="en-GB"/>
        </w:rPr>
      </w:pPr>
      <w:r w:rsidRPr="00A34F10">
        <w:rPr>
          <w:lang w:val="en-GB"/>
        </w:rPr>
        <w:t>X(a.s.</w:t>
      </w:r>
      <w:r w:rsidRPr="00A34F10">
        <w:rPr>
          <w:vertAlign w:val="subscript"/>
          <w:lang w:val="en-GB"/>
        </w:rPr>
        <w:t>i</w:t>
      </w:r>
      <w:r w:rsidRPr="00A34F10">
        <w:rPr>
          <w:lang w:val="en-GB"/>
        </w:rPr>
        <w:t xml:space="preserve">) </w:t>
      </w:r>
      <w:r w:rsidRPr="00A34F10">
        <w:rPr>
          <w:lang w:val="en-GB"/>
        </w:rPr>
        <w:tab/>
      </w:r>
      <w:r w:rsidRPr="00A34F10">
        <w:rPr>
          <w:lang w:val="en-GB"/>
        </w:rPr>
        <w:tab/>
        <w:t>= fraction of active substance [</w:t>
      </w:r>
      <w:r w:rsidRPr="00A34F10">
        <w:rPr>
          <w:vertAlign w:val="subscript"/>
          <w:lang w:val="en-GB"/>
        </w:rPr>
        <w:t>i</w:t>
      </w:r>
      <w:r w:rsidRPr="00A34F10">
        <w:rPr>
          <w:lang w:val="en-GB"/>
        </w:rPr>
        <w:t>] in the mixture (here: formulation)</w:t>
      </w:r>
    </w:p>
    <w:p w14:paraId="0179F6AA" w14:textId="77777777" w:rsidR="00DC5685" w:rsidRPr="00A34F10" w:rsidRDefault="00DC5685" w:rsidP="00DC5685">
      <w:pPr>
        <w:jc w:val="both"/>
        <w:rPr>
          <w:lang w:val="en-GB"/>
        </w:rPr>
      </w:pPr>
      <w:r w:rsidRPr="00A34F10">
        <w:rPr>
          <w:lang w:val="en-GB"/>
        </w:rPr>
        <w:t>LD</w:t>
      </w:r>
      <w:r w:rsidRPr="00A34F10">
        <w:rPr>
          <w:vertAlign w:val="subscript"/>
          <w:lang w:val="en-GB"/>
        </w:rPr>
        <w:t>50</w:t>
      </w:r>
      <w:r w:rsidRPr="00A34F10">
        <w:rPr>
          <w:lang w:val="en-GB"/>
        </w:rPr>
        <w:t>(a.s.</w:t>
      </w:r>
      <w:r w:rsidRPr="00A34F10">
        <w:rPr>
          <w:vertAlign w:val="subscript"/>
          <w:lang w:val="en-GB"/>
        </w:rPr>
        <w:t>i</w:t>
      </w:r>
      <w:r w:rsidRPr="00A34F10">
        <w:rPr>
          <w:lang w:val="en-GB"/>
        </w:rPr>
        <w:t xml:space="preserve">) </w:t>
      </w:r>
      <w:r w:rsidRPr="00A34F10">
        <w:rPr>
          <w:lang w:val="en-GB"/>
        </w:rPr>
        <w:tab/>
        <w:t>= acute toxicity value for active substance [</w:t>
      </w:r>
      <w:r w:rsidRPr="00A34F10">
        <w:rPr>
          <w:vertAlign w:val="subscript"/>
          <w:lang w:val="en-GB"/>
        </w:rPr>
        <w:t>i</w:t>
      </w:r>
      <w:r w:rsidRPr="00A34F10">
        <w:rPr>
          <w:lang w:val="en-GB"/>
        </w:rPr>
        <w:t>]</w:t>
      </w:r>
    </w:p>
    <w:p w14:paraId="3EF88E3B" w14:textId="77777777" w:rsidR="00DC5685" w:rsidRPr="00A34F10" w:rsidRDefault="00DC5685" w:rsidP="00DC5685">
      <w:pPr>
        <w:jc w:val="both"/>
        <w:rPr>
          <w:lang w:val="en-GB"/>
        </w:rPr>
      </w:pPr>
      <w:r w:rsidRPr="00A34F10">
        <w:rPr>
          <w:lang w:val="en-GB"/>
        </w:rPr>
        <w:t>LD</w:t>
      </w:r>
      <w:r w:rsidRPr="00A34F10">
        <w:rPr>
          <w:vertAlign w:val="subscript"/>
          <w:lang w:val="en-GB"/>
        </w:rPr>
        <w:t>50</w:t>
      </w:r>
      <w:r w:rsidRPr="00A34F10">
        <w:rPr>
          <w:lang w:val="en-GB"/>
        </w:rPr>
        <w:t xml:space="preserve">(mix) </w:t>
      </w:r>
      <w:r w:rsidRPr="00A34F10">
        <w:rPr>
          <w:lang w:val="en-GB"/>
        </w:rPr>
        <w:tab/>
        <w:t>= measured acute toxicity value for the mixture (here: formulation)</w:t>
      </w:r>
    </w:p>
    <w:p w14:paraId="77B8C41A" w14:textId="77777777" w:rsidR="00DC5685" w:rsidRPr="00A34F10" w:rsidRDefault="00DC5685" w:rsidP="00DC5685">
      <w:pPr>
        <w:rPr>
          <w:lang w:val="en-GB"/>
        </w:rPr>
      </w:pPr>
    </w:p>
    <w:p w14:paraId="0E89C214" w14:textId="1C65DC5C" w:rsidR="00DC5685" w:rsidRPr="00A34F10" w:rsidRDefault="00DC5685" w:rsidP="00DC5685">
      <w:pPr>
        <w:jc w:val="both"/>
        <w:rPr>
          <w:lang w:val="en-GB"/>
        </w:rPr>
      </w:pPr>
      <w:r w:rsidRPr="00A34F10">
        <w:rPr>
          <w:lang w:val="en-GB"/>
        </w:rPr>
        <w:t>The resulting comparison between the measured LD</w:t>
      </w:r>
      <w:r w:rsidRPr="00A34F10">
        <w:rPr>
          <w:vertAlign w:val="subscript"/>
          <w:lang w:val="en-GB"/>
        </w:rPr>
        <w:t>50</w:t>
      </w:r>
      <w:r w:rsidRPr="00A34F10">
        <w:rPr>
          <w:lang w:val="en-GB"/>
        </w:rPr>
        <w:t xml:space="preserve"> based on the LD</w:t>
      </w:r>
      <w:r w:rsidRPr="00A34F10">
        <w:rPr>
          <w:vertAlign w:val="subscript"/>
          <w:lang w:val="en-GB"/>
        </w:rPr>
        <w:t>50</w:t>
      </w:r>
      <w:r w:rsidRPr="00A34F10">
        <w:rPr>
          <w:lang w:val="en-GB"/>
        </w:rPr>
        <w:t xml:space="preserve"> values of the rat for Ametoctradin (LD</w:t>
      </w:r>
      <w:r w:rsidRPr="00A34F10">
        <w:rPr>
          <w:vertAlign w:val="subscript"/>
          <w:lang w:val="en-GB"/>
        </w:rPr>
        <w:t xml:space="preserve">50 </w:t>
      </w:r>
      <w:r w:rsidRPr="0030774F">
        <w:rPr>
          <w:strike/>
          <w:highlight w:val="green"/>
          <w:vertAlign w:val="subscript"/>
          <w:lang w:val="en-GB"/>
        </w:rPr>
        <w:t>=</w:t>
      </w:r>
      <w:r w:rsidRPr="0030774F">
        <w:rPr>
          <w:highlight w:val="green"/>
          <w:lang w:val="en-GB"/>
        </w:rPr>
        <w:t xml:space="preserve"> </w:t>
      </w:r>
      <w:r w:rsidR="00E72A5B" w:rsidRPr="0030774F">
        <w:rPr>
          <w:highlight w:val="green"/>
          <w:lang w:val="en-GB"/>
        </w:rPr>
        <w:t>&gt;</w:t>
      </w:r>
      <w:r w:rsidRPr="00A34F10">
        <w:rPr>
          <w:lang w:val="en-GB"/>
        </w:rPr>
        <w:t>2000 mg a.s./kg bw) and Propamocarb (LD</w:t>
      </w:r>
      <w:r w:rsidRPr="00A34F10">
        <w:rPr>
          <w:vertAlign w:val="subscript"/>
          <w:lang w:val="en-GB"/>
        </w:rPr>
        <w:t>50</w:t>
      </w:r>
      <w:r w:rsidRPr="00A34F10">
        <w:rPr>
          <w:lang w:val="en-GB"/>
        </w:rPr>
        <w:t xml:space="preserve"> = </w:t>
      </w:r>
      <w:r w:rsidR="00D44371" w:rsidRPr="00DE7C2C">
        <w:rPr>
          <w:strike/>
          <w:color w:val="D9D9D9" w:themeColor="background1" w:themeShade="D9"/>
          <w:sz w:val="20"/>
          <w:szCs w:val="20"/>
        </w:rPr>
        <w:t>2000</w:t>
      </w:r>
      <w:r w:rsidR="00D44371">
        <w:rPr>
          <w:sz w:val="20"/>
          <w:szCs w:val="20"/>
        </w:rPr>
        <w:t xml:space="preserve"> </w:t>
      </w:r>
      <w:r w:rsidR="00D44371" w:rsidRPr="00DE7C2C">
        <w:rPr>
          <w:sz w:val="20"/>
          <w:szCs w:val="20"/>
          <w:shd w:val="clear" w:color="auto" w:fill="D9D9D9" w:themeFill="background1" w:themeFillShade="D9"/>
        </w:rPr>
        <w:t xml:space="preserve">1330 </w:t>
      </w:r>
      <w:r w:rsidRPr="00A34F10">
        <w:rPr>
          <w:lang w:val="en-GB"/>
        </w:rPr>
        <w:t xml:space="preserve"> mg a.s./kg bw) with the predicted mixture toxicity assuming dose additivity is as followed:</w:t>
      </w:r>
    </w:p>
    <w:p w14:paraId="55E72818" w14:textId="77777777" w:rsidR="00DC5685" w:rsidRPr="00A34F10" w:rsidRDefault="00DC5685" w:rsidP="00DC5685">
      <w:pPr>
        <w:rPr>
          <w:lang w:val="en-GB"/>
        </w:rPr>
      </w:pPr>
    </w:p>
    <w:p w14:paraId="1FFA0EB7" w14:textId="77777777" w:rsidR="00DC5685" w:rsidRPr="00A34F10" w:rsidRDefault="00DC5685" w:rsidP="00DC5685">
      <w:pPr>
        <w:jc w:val="both"/>
        <w:rPr>
          <w:lang w:val="en-GB"/>
        </w:rPr>
      </w:pPr>
      <w:r w:rsidRPr="00A34F10">
        <w:rPr>
          <w:lang w:val="en-GB"/>
        </w:rPr>
        <w:t>The left-hand side of the equation (predicted mixture toxicity) is:</w:t>
      </w:r>
    </w:p>
    <w:p w14:paraId="57134ED5" w14:textId="79A41A75" w:rsidR="00DC5685" w:rsidRPr="00A34F10" w:rsidRDefault="00DC5685" w:rsidP="00DC5685">
      <w:pPr>
        <w:rPr>
          <w:lang w:val="en-GB"/>
        </w:rPr>
      </w:pPr>
      <w:r w:rsidRPr="00A34F10">
        <w:rPr>
          <w:lang w:val="en-GB"/>
        </w:rPr>
        <w:t xml:space="preserve">&lt; </w:t>
      </w:r>
      <w:r w:rsidRPr="00977752">
        <w:rPr>
          <w:strike/>
          <w:color w:val="D9D9D9" w:themeColor="background1" w:themeShade="D9"/>
          <w:lang w:val="en-GB"/>
        </w:rPr>
        <w:t>0.0005</w:t>
      </w:r>
      <w:r w:rsidR="00796727" w:rsidRPr="00977752">
        <w:rPr>
          <w:color w:val="D9D9D9" w:themeColor="background1" w:themeShade="D9"/>
          <w:lang w:val="en-GB"/>
        </w:rPr>
        <w:t xml:space="preserve"> </w:t>
      </w:r>
      <w:r w:rsidR="00796727" w:rsidRPr="00977752">
        <w:rPr>
          <w:shd w:val="clear" w:color="auto" w:fill="D9D9D9" w:themeFill="background1" w:themeFillShade="D9"/>
          <w:lang w:val="en-GB"/>
        </w:rPr>
        <w:t>0.0007</w:t>
      </w:r>
    </w:p>
    <w:p w14:paraId="1AC41EBE" w14:textId="77777777" w:rsidR="00DC5685" w:rsidRPr="00A34F10" w:rsidRDefault="00DC5685" w:rsidP="00DC5685">
      <w:pPr>
        <w:rPr>
          <w:lang w:val="en-GB"/>
        </w:rPr>
      </w:pPr>
    </w:p>
    <w:p w14:paraId="70DC1EEF" w14:textId="77777777" w:rsidR="00DC5685" w:rsidRPr="00A34F10" w:rsidRDefault="00DC5685" w:rsidP="00DC5685">
      <w:pPr>
        <w:jc w:val="both"/>
        <w:rPr>
          <w:lang w:val="en-GB"/>
        </w:rPr>
      </w:pPr>
      <w:r w:rsidRPr="00A34F10">
        <w:rPr>
          <w:lang w:val="en-GB"/>
        </w:rPr>
        <w:t xml:space="preserve">And the right-hand side of the equation (measured toxicity for comparison) is: </w:t>
      </w:r>
    </w:p>
    <w:p w14:paraId="479BB4B4" w14:textId="68CEEAC5" w:rsidR="00DC5685" w:rsidRPr="00A34F10" w:rsidRDefault="00DC5685" w:rsidP="00DC5685">
      <w:pPr>
        <w:rPr>
          <w:lang w:val="en-GB"/>
        </w:rPr>
      </w:pPr>
      <w:r w:rsidRPr="00A34F10">
        <w:rPr>
          <w:lang w:val="en-GB"/>
        </w:rPr>
        <w:t xml:space="preserve">1 / </w:t>
      </w:r>
      <w:r w:rsidR="005B67CE" w:rsidRPr="00A34F10">
        <w:rPr>
          <w:lang w:val="en-GB"/>
        </w:rPr>
        <w:t xml:space="preserve">&gt;1208.3 </w:t>
      </w:r>
      <w:r w:rsidRPr="00A34F10">
        <w:rPr>
          <w:lang w:val="en-GB"/>
        </w:rPr>
        <w:t>(product endpoint corrected for a.s. content</w:t>
      </w:r>
      <w:r w:rsidR="00565585">
        <w:rPr>
          <w:lang w:val="en-GB"/>
        </w:rPr>
        <w:t xml:space="preserve"> </w:t>
      </w:r>
      <w:r w:rsidR="005B67CE" w:rsidRPr="0043197F">
        <w:rPr>
          <w:highlight w:val="green"/>
          <w:lang w:val="en-GB"/>
        </w:rPr>
        <w:t>and product density of BAS 743 02F</w:t>
      </w:r>
      <w:r w:rsidRPr="00A34F10">
        <w:rPr>
          <w:lang w:val="en-GB"/>
        </w:rPr>
        <w:t>)</w:t>
      </w:r>
      <w:r w:rsidR="005B67CE">
        <w:rPr>
          <w:lang w:val="en-GB"/>
        </w:rPr>
        <w:t xml:space="preserve"> </w:t>
      </w:r>
      <w:r w:rsidRPr="00A34F10">
        <w:rPr>
          <w:lang w:val="en-GB"/>
        </w:rPr>
        <w:t>=</w:t>
      </w:r>
      <w:r w:rsidRPr="00A34F10">
        <w:rPr>
          <w:lang w:val="en-GB"/>
        </w:rPr>
        <w:tab/>
        <w:t xml:space="preserve"> &lt;0.001</w:t>
      </w:r>
    </w:p>
    <w:p w14:paraId="3B703D39" w14:textId="77777777" w:rsidR="00DC5685" w:rsidRPr="00A34F10" w:rsidRDefault="00DC5685" w:rsidP="00DC5685">
      <w:pPr>
        <w:widowControl w:val="0"/>
        <w:jc w:val="both"/>
        <w:rPr>
          <w:lang w:val="en-GB"/>
        </w:rPr>
      </w:pPr>
    </w:p>
    <w:p w14:paraId="5BE999C2" w14:textId="1889E8BF" w:rsidR="00DC5685" w:rsidRPr="00A34F10" w:rsidRDefault="00DC5685" w:rsidP="00DC5685">
      <w:pPr>
        <w:jc w:val="both"/>
        <w:rPr>
          <w:b/>
          <w:lang w:val="en-GB"/>
        </w:rPr>
      </w:pPr>
      <w:r w:rsidRPr="00A34F10">
        <w:rPr>
          <w:lang w:val="en-GB" w:eastAsia="en-GB"/>
        </w:rPr>
        <w:t xml:space="preserve">A greater value on the right side of the equation, as is the case here, indicates that </w:t>
      </w:r>
      <w:r w:rsidRPr="00A34F10">
        <w:rPr>
          <w:lang w:val="en-GB"/>
        </w:rPr>
        <w:t>the measured toxicity of a formulation is higher than predicted</w:t>
      </w:r>
      <w:r w:rsidRPr="00A34F10">
        <w:rPr>
          <w:lang w:val="en-GB" w:eastAsia="en-GB"/>
        </w:rPr>
        <w:t>. In this case the use of the measured LD</w:t>
      </w:r>
      <w:r w:rsidRPr="00A34F10">
        <w:rPr>
          <w:sz w:val="14"/>
          <w:szCs w:val="14"/>
          <w:lang w:val="en-GB" w:eastAsia="en-GB"/>
        </w:rPr>
        <w:t xml:space="preserve">50 </w:t>
      </w:r>
      <w:r w:rsidRPr="00A34F10">
        <w:rPr>
          <w:lang w:val="en-GB" w:eastAsia="en-GB"/>
        </w:rPr>
        <w:t>for the formulation is recommended for the first-tier assessment</w:t>
      </w:r>
      <w:r w:rsidRPr="00A34F10">
        <w:rPr>
          <w:b/>
          <w:lang w:val="en-GB"/>
        </w:rPr>
        <w:t xml:space="preserve">. </w:t>
      </w:r>
      <w:bookmarkEnd w:id="328"/>
    </w:p>
    <w:p w14:paraId="7BFE77F8" w14:textId="77777777" w:rsidR="00DC5685" w:rsidRPr="00A34F10" w:rsidRDefault="00DC5685" w:rsidP="00DC5685">
      <w:pPr>
        <w:pStyle w:val="Nagwek4"/>
        <w:suppressAutoHyphens/>
        <w:rPr>
          <w:noProof w:val="0"/>
          <w:lang w:val="en-GB"/>
        </w:rPr>
      </w:pPr>
      <w:bookmarkStart w:id="331" w:name="_Toc181624958"/>
      <w:r w:rsidRPr="00A34F10">
        <w:rPr>
          <w:noProof w:val="0"/>
          <w:lang w:val="en-GB"/>
        </w:rPr>
        <w:t>Justification for new endpoints</w:t>
      </w:r>
      <w:bookmarkEnd w:id="313"/>
      <w:bookmarkEnd w:id="314"/>
      <w:bookmarkEnd w:id="315"/>
      <w:bookmarkEnd w:id="316"/>
      <w:bookmarkEnd w:id="317"/>
      <w:bookmarkEnd w:id="318"/>
      <w:bookmarkEnd w:id="319"/>
      <w:bookmarkEnd w:id="320"/>
      <w:bookmarkEnd w:id="321"/>
      <w:bookmarkEnd w:id="331"/>
    </w:p>
    <w:p w14:paraId="6C4D7062" w14:textId="47A6E510" w:rsidR="00DC5685" w:rsidRDefault="00DC5685" w:rsidP="00DC5685">
      <w:pPr>
        <w:pStyle w:val="RepStandard"/>
      </w:pPr>
      <w:bookmarkStart w:id="332" w:name="_Ref405896911"/>
      <w:r w:rsidRPr="00A34F10">
        <w:t>An additional study has been conducted on rats with the formulated product BAS 743 03 F, which has been considered for the risk assessment.</w:t>
      </w:r>
    </w:p>
    <w:p w14:paraId="71DD5337" w14:textId="77777777" w:rsidR="00DC5685" w:rsidRPr="00A34F10" w:rsidRDefault="00DC5685" w:rsidP="00DC5685">
      <w:pPr>
        <w:pStyle w:val="Nagwek3"/>
        <w:keepNext w:val="0"/>
        <w:rPr>
          <w:rFonts w:cs="Times New Roman"/>
        </w:rPr>
      </w:pPr>
      <w:bookmarkStart w:id="333" w:name="_Toc412643985"/>
      <w:bookmarkStart w:id="334" w:name="_Toc413916831"/>
      <w:bookmarkStart w:id="335" w:name="_Toc413916973"/>
      <w:bookmarkStart w:id="336" w:name="_Toc413922034"/>
      <w:bookmarkStart w:id="337" w:name="_Toc413922523"/>
      <w:bookmarkStart w:id="338" w:name="_Toc413922627"/>
      <w:bookmarkStart w:id="339" w:name="_Toc414955264"/>
      <w:bookmarkStart w:id="340" w:name="_Ref414971625"/>
      <w:bookmarkStart w:id="341" w:name="_Toc415214571"/>
      <w:bookmarkStart w:id="342" w:name="_Toc425512592"/>
      <w:bookmarkStart w:id="343" w:name="_Toc181624959"/>
      <w:r w:rsidRPr="00A34F10">
        <w:rPr>
          <w:rFonts w:cs="Times New Roman"/>
        </w:rPr>
        <w:t>Risk assessment for spray applications</w:t>
      </w:r>
      <w:bookmarkEnd w:id="332"/>
      <w:bookmarkEnd w:id="333"/>
      <w:bookmarkEnd w:id="334"/>
      <w:bookmarkEnd w:id="335"/>
      <w:bookmarkEnd w:id="336"/>
      <w:bookmarkEnd w:id="337"/>
      <w:bookmarkEnd w:id="338"/>
      <w:bookmarkEnd w:id="339"/>
      <w:bookmarkEnd w:id="340"/>
      <w:bookmarkEnd w:id="341"/>
      <w:bookmarkEnd w:id="342"/>
      <w:bookmarkEnd w:id="343"/>
    </w:p>
    <w:p w14:paraId="52CE494F" w14:textId="77777777" w:rsidR="00DC5685" w:rsidRPr="00A34F10" w:rsidRDefault="00DC5685" w:rsidP="00DC5685">
      <w:pPr>
        <w:suppressAutoHyphens/>
        <w:jc w:val="both"/>
        <w:rPr>
          <w:lang w:val="en-GB"/>
        </w:rPr>
      </w:pPr>
      <w:bookmarkStart w:id="344" w:name="_Toc412643986"/>
      <w:bookmarkStart w:id="345" w:name="_Toc413916832"/>
      <w:bookmarkStart w:id="346" w:name="_Toc413916974"/>
      <w:bookmarkStart w:id="347" w:name="_Toc413922035"/>
      <w:bookmarkStart w:id="348" w:name="_Toc413922524"/>
      <w:bookmarkStart w:id="349" w:name="_Toc413922628"/>
      <w:bookmarkStart w:id="350" w:name="_Toc414955265"/>
      <w:bookmarkStart w:id="351" w:name="_Toc415214572"/>
      <w:bookmarkStart w:id="352" w:name="_Toc425512593"/>
      <w:r w:rsidRPr="00A34F10">
        <w:rPr>
          <w:lang w:val="en-GB"/>
        </w:rPr>
        <w:t>The risk assessment is based on the methods presented in the Guidance Document on Risk Assessment for Birds and Mammals on request from EFSA (EFSA Journal 2009; 7(12): 1438; hereafter referred to as EFSA/2009/1438).</w:t>
      </w:r>
    </w:p>
    <w:p w14:paraId="4EDF3DEE" w14:textId="77777777" w:rsidR="00DC5685" w:rsidRPr="00A34F10" w:rsidRDefault="00DC5685" w:rsidP="00DC5685">
      <w:pPr>
        <w:suppressAutoHyphens/>
        <w:jc w:val="both"/>
        <w:rPr>
          <w:lang w:val="en-GB"/>
        </w:rPr>
      </w:pPr>
    </w:p>
    <w:p w14:paraId="6557B251" w14:textId="77777777" w:rsidR="00DC5685" w:rsidRPr="00A34F10" w:rsidRDefault="00DC5685" w:rsidP="00DC5685">
      <w:pPr>
        <w:suppressAutoHyphens/>
        <w:jc w:val="both"/>
        <w:rPr>
          <w:b/>
          <w:szCs w:val="24"/>
          <w:lang w:val="en-GB"/>
        </w:rPr>
      </w:pPr>
      <w:r w:rsidRPr="00A34F10">
        <w:rPr>
          <w:b/>
          <w:bCs/>
          <w:lang w:val="en-GB"/>
        </w:rPr>
        <w:t>Proposed use pattern</w:t>
      </w:r>
      <w:r w:rsidRPr="00A34F10">
        <w:rPr>
          <w:b/>
          <w:szCs w:val="24"/>
          <w:lang w:val="en-GB"/>
        </w:rPr>
        <w:t xml:space="preserve"> for the risk assessments</w:t>
      </w:r>
    </w:p>
    <w:p w14:paraId="7060CBFA" w14:textId="77777777" w:rsidR="00DC5685" w:rsidRPr="00A34F10" w:rsidRDefault="00DC5685" w:rsidP="00DC5685">
      <w:pPr>
        <w:suppressAutoHyphens/>
        <w:jc w:val="both"/>
        <w:rPr>
          <w:b/>
          <w:szCs w:val="24"/>
          <w:lang w:val="en-GB"/>
        </w:rPr>
      </w:pPr>
    </w:p>
    <w:p w14:paraId="4C7E2E01" w14:textId="77777777" w:rsidR="00DC5685" w:rsidRPr="00A34F10" w:rsidRDefault="00DC5685" w:rsidP="00DC5685">
      <w:pPr>
        <w:pStyle w:val="RepStandard"/>
        <w:suppressAutoHyphens/>
        <w:rPr>
          <w:bCs/>
        </w:rPr>
      </w:pPr>
      <w:r w:rsidRPr="00A34F10">
        <w:rPr>
          <w:bCs/>
        </w:rPr>
        <w:t xml:space="preserve">The proposed use pattern for the use of BAS 743 03 F is summarized in the table at the beginning of the ecotoxicology chapter (Section 9.1). </w:t>
      </w:r>
    </w:p>
    <w:p w14:paraId="1FB7C3B1" w14:textId="77777777" w:rsidR="00DC5685" w:rsidRPr="00A34F10" w:rsidRDefault="00DC5685" w:rsidP="00DC5685">
      <w:pPr>
        <w:pStyle w:val="RepStandard"/>
        <w:suppressAutoHyphens/>
        <w:rPr>
          <w:bCs/>
        </w:rPr>
      </w:pPr>
    </w:p>
    <w:p w14:paraId="67CEFB38" w14:textId="767B20E9" w:rsidR="00EE3ACD" w:rsidRDefault="00DC5685" w:rsidP="00DC5685">
      <w:pPr>
        <w:pStyle w:val="RepStandard"/>
        <w:suppressAutoHyphens/>
      </w:pPr>
      <w:r w:rsidRPr="00A34F10">
        <w:t xml:space="preserve">To achieve a concise risk assessment, the risk envelope approach is applied. As for Ametoctradin risk acceptability is indicated at screening step, the risk assessment is based on the worst-case crop group </w:t>
      </w:r>
      <w:r w:rsidRPr="005B67CE">
        <w:rPr>
          <w:strike/>
          <w:highlight w:val="green"/>
        </w:rPr>
        <w:t>fruiting vegetables</w:t>
      </w:r>
      <w:r w:rsidR="00B871FC" w:rsidRPr="005B67CE">
        <w:rPr>
          <w:highlight w:val="green"/>
        </w:rPr>
        <w:t xml:space="preserve"> potatoes</w:t>
      </w:r>
      <w:r w:rsidRPr="00CE3639">
        <w:rPr>
          <w:highlight w:val="green"/>
        </w:rPr>
        <w:t>.</w:t>
      </w:r>
      <w:r w:rsidR="00CE3639" w:rsidRPr="00CE3639">
        <w:rPr>
          <w:highlight w:val="green"/>
        </w:rPr>
        <w:t xml:space="preserve"> Additionally, screening step risk assessments are presented for the worst-case scenario among the minor uses.</w:t>
      </w:r>
      <w:r w:rsidRPr="00A34F10">
        <w:t xml:space="preserve"> </w:t>
      </w:r>
      <w:r w:rsidRPr="00A34F10">
        <w:rPr>
          <w:bCs/>
        </w:rPr>
        <w:t xml:space="preserve">For Propamocarb and the formulation BAS 743 03 F, risk acceptability is indicated at Tier 1/higher tier; therefore, the risk assessment is presented for all relevant crop groups. </w:t>
      </w:r>
      <w:r w:rsidRPr="00A34F10">
        <w:t>Please refer to Point 9.1.2 for further details.</w:t>
      </w:r>
    </w:p>
    <w:p w14:paraId="59D23B0D" w14:textId="7130502A" w:rsidR="002A106F" w:rsidRDefault="002A106F" w:rsidP="00DC5685">
      <w:pPr>
        <w:pStyle w:val="RepStandard"/>
        <w:suppressAutoHyphens/>
      </w:pPr>
    </w:p>
    <w:p w14:paraId="6580516B" w14:textId="06C060F3" w:rsidR="002A106F" w:rsidRPr="00A34F10" w:rsidRDefault="002A106F" w:rsidP="00DC5685">
      <w:pPr>
        <w:pStyle w:val="RepStandard"/>
        <w:suppressAutoHyphens/>
      </w:pPr>
      <w:r w:rsidRPr="009A6F86">
        <w:rPr>
          <w:highlight w:val="green"/>
        </w:rPr>
        <w:t>The minor crops</w:t>
      </w:r>
      <w:r>
        <w:rPr>
          <w:highlight w:val="green"/>
        </w:rPr>
        <w:t xml:space="preserve"> indicated in the GAP table</w:t>
      </w:r>
      <w:r w:rsidRPr="009A6F86">
        <w:rPr>
          <w:highlight w:val="green"/>
        </w:rPr>
        <w:t xml:space="preserve"> (i.e. floriculture, avenue trees, climbing plants, conifers, ornamental shrubs, heather, forest trees and hedging plants, fruit trees and shrubs and perennial crops) are covered by the crop groups ´ornamentals´ a</w:t>
      </w:r>
      <w:r>
        <w:rPr>
          <w:highlight w:val="green"/>
        </w:rPr>
        <w:t>s well as</w:t>
      </w:r>
      <w:r w:rsidRPr="009A6F86">
        <w:rPr>
          <w:highlight w:val="green"/>
        </w:rPr>
        <w:t xml:space="preserve"> ´orchards´</w:t>
      </w:r>
      <w:r>
        <w:rPr>
          <w:highlight w:val="green"/>
        </w:rPr>
        <w:t xml:space="preserve"> and ´bush and cane fruit´ (in line with the request by the zonal Rapporteur Member State)</w:t>
      </w:r>
      <w:r w:rsidRPr="009A6F86">
        <w:rPr>
          <w:highlight w:val="green"/>
        </w:rPr>
        <w:t>.</w:t>
      </w:r>
    </w:p>
    <w:p w14:paraId="5CE57405" w14:textId="77777777" w:rsidR="00DC5685" w:rsidRPr="00A34F10" w:rsidRDefault="00DC5685" w:rsidP="00DC5685">
      <w:pPr>
        <w:pStyle w:val="Nagwek4"/>
        <w:suppressAutoHyphens/>
        <w:rPr>
          <w:noProof w:val="0"/>
          <w:lang w:val="en-GB"/>
        </w:rPr>
      </w:pPr>
      <w:bookmarkStart w:id="353" w:name="_Toc181624960"/>
      <w:r w:rsidRPr="00A34F10">
        <w:rPr>
          <w:noProof w:val="0"/>
          <w:lang w:val="en-GB"/>
        </w:rPr>
        <w:t>First-tier assessment (screening/generic focal species)</w:t>
      </w:r>
      <w:bookmarkEnd w:id="344"/>
      <w:bookmarkEnd w:id="345"/>
      <w:bookmarkEnd w:id="346"/>
      <w:bookmarkEnd w:id="347"/>
      <w:bookmarkEnd w:id="348"/>
      <w:bookmarkEnd w:id="349"/>
      <w:bookmarkEnd w:id="350"/>
      <w:bookmarkEnd w:id="351"/>
      <w:bookmarkEnd w:id="352"/>
      <w:bookmarkEnd w:id="353"/>
    </w:p>
    <w:p w14:paraId="69A0CF1D" w14:textId="25D023E1" w:rsidR="00DC5685" w:rsidRPr="00A34F10" w:rsidRDefault="00DC5685" w:rsidP="00DC5685">
      <w:pPr>
        <w:pStyle w:val="RepStandard"/>
      </w:pPr>
      <w:bookmarkStart w:id="354" w:name="_Toc412643987"/>
      <w:bookmarkStart w:id="355" w:name="_Toc413916833"/>
      <w:bookmarkStart w:id="356" w:name="_Toc413916975"/>
      <w:bookmarkStart w:id="357" w:name="_Toc413922036"/>
      <w:bookmarkStart w:id="358" w:name="_Toc413922525"/>
      <w:bookmarkStart w:id="359" w:name="_Toc413922629"/>
      <w:bookmarkStart w:id="360" w:name="_Toc414955266"/>
      <w:bookmarkStart w:id="361" w:name="_Toc415214573"/>
      <w:bookmarkStart w:id="362" w:name="_Toc425512594"/>
      <w:r w:rsidRPr="00A34F10">
        <w:t>The results of the acute and reproductive screening risk assessments are summarised in the following table.</w:t>
      </w:r>
    </w:p>
    <w:p w14:paraId="3CFD4176" w14:textId="707D833A" w:rsidR="00EE3ACD" w:rsidRPr="00A34F10" w:rsidRDefault="00EE3ACD" w:rsidP="00DC5685">
      <w:pPr>
        <w:pStyle w:val="RepStandard"/>
      </w:pPr>
    </w:p>
    <w:p w14:paraId="1A202F79" w14:textId="77777777" w:rsidR="00EE3ACD" w:rsidRPr="00A34F10" w:rsidRDefault="00EE3ACD" w:rsidP="00DC5685">
      <w:pPr>
        <w:pStyle w:val="RepStandard"/>
      </w:pPr>
    </w:p>
    <w:p w14:paraId="59366992" w14:textId="617C62BD" w:rsidR="00DC5685" w:rsidRPr="00A34F10" w:rsidRDefault="00DC5685" w:rsidP="00DC5685">
      <w:pPr>
        <w:keepNext/>
        <w:keepLines/>
        <w:widowControl w:val="0"/>
        <w:tabs>
          <w:tab w:val="left" w:pos="1985"/>
        </w:tabs>
        <w:spacing w:before="200" w:after="120"/>
        <w:ind w:left="1985" w:hanging="1985"/>
        <w:jc w:val="both"/>
        <w:rPr>
          <w:b/>
          <w:bCs/>
          <w:lang w:val="en-GB"/>
        </w:rPr>
      </w:pPr>
      <w:r w:rsidRPr="00A34F10">
        <w:rPr>
          <w:b/>
          <w:bCs/>
          <w:lang w:val="en-GB"/>
        </w:rPr>
        <w:lastRenderedPageBreak/>
        <w:t xml:space="preserve">Table </w:t>
      </w:r>
      <w:r w:rsidRPr="00A34F10">
        <w:rPr>
          <w:b/>
          <w:bCs/>
          <w:lang w:val="en-GB"/>
        </w:rPr>
        <w:fldChar w:fldCharType="begin"/>
      </w:r>
      <w:r w:rsidRPr="00A34F10">
        <w:rPr>
          <w:b/>
          <w:bCs/>
          <w:lang w:val="en-GB"/>
        </w:rPr>
        <w:instrText xml:space="preserve"> STYLEREF 2 \s </w:instrText>
      </w:r>
      <w:r w:rsidRPr="00A34F10">
        <w:rPr>
          <w:b/>
          <w:bCs/>
          <w:lang w:val="en-GB"/>
        </w:rPr>
        <w:fldChar w:fldCharType="separate"/>
      </w:r>
      <w:r w:rsidR="006F0F3B">
        <w:rPr>
          <w:b/>
          <w:bCs/>
          <w:noProof/>
          <w:lang w:val="en-GB"/>
        </w:rPr>
        <w:t>9.3</w:t>
      </w:r>
      <w:r w:rsidRPr="00A34F10">
        <w:rPr>
          <w:b/>
          <w:bCs/>
          <w:lang w:val="en-GB"/>
        </w:rPr>
        <w:fldChar w:fldCharType="end"/>
      </w:r>
      <w:r w:rsidRPr="00A34F10">
        <w:rPr>
          <w:b/>
          <w:bCs/>
          <w:lang w:val="en-GB"/>
        </w:rPr>
        <w:noBreakHyphen/>
        <w:t xml:space="preserve">8: </w:t>
      </w:r>
      <w:r w:rsidRPr="00A34F10">
        <w:rPr>
          <w:b/>
          <w:bCs/>
          <w:lang w:val="en-GB"/>
        </w:rPr>
        <w:tab/>
        <w:t xml:space="preserve">Ametoctradin: Screening assessment of the acute and long-term/reproductive risk for mammals due to the worst-case use of BAS 743 03 F in potatoes (3 × 2.0 L product/ha)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51"/>
        <w:gridCol w:w="915"/>
        <w:gridCol w:w="1861"/>
        <w:gridCol w:w="1154"/>
        <w:gridCol w:w="1154"/>
        <w:gridCol w:w="1254"/>
        <w:gridCol w:w="1158"/>
      </w:tblGrid>
      <w:tr w:rsidR="00DC5685" w:rsidRPr="00A34F10" w14:paraId="5A41C1D4" w14:textId="77777777" w:rsidTr="000470C3">
        <w:tc>
          <w:tcPr>
            <w:tcW w:w="1495" w:type="pct"/>
            <w:gridSpan w:val="2"/>
            <w:tcBorders>
              <w:bottom w:val="nil"/>
            </w:tcBorders>
          </w:tcPr>
          <w:p w14:paraId="177CDE4F" w14:textId="77777777" w:rsidR="00DC5685" w:rsidRPr="00254174" w:rsidRDefault="00DC5685" w:rsidP="000470C3">
            <w:pPr>
              <w:keepNext/>
              <w:keepLines/>
              <w:widowControl w:val="0"/>
              <w:rPr>
                <w:b/>
                <w:bCs/>
                <w:sz w:val="20"/>
                <w:szCs w:val="20"/>
                <w:lang w:val="en-GB"/>
              </w:rPr>
            </w:pPr>
            <w:bookmarkStart w:id="363" w:name="_Hlk132056640"/>
            <w:r w:rsidRPr="00254174">
              <w:rPr>
                <w:b/>
                <w:bCs/>
                <w:sz w:val="20"/>
                <w:szCs w:val="20"/>
                <w:lang w:val="en-GB"/>
              </w:rPr>
              <w:t>Intended use</w:t>
            </w:r>
          </w:p>
        </w:tc>
        <w:tc>
          <w:tcPr>
            <w:tcW w:w="3505" w:type="pct"/>
            <w:gridSpan w:val="5"/>
            <w:tcBorders>
              <w:bottom w:val="nil"/>
            </w:tcBorders>
          </w:tcPr>
          <w:p w14:paraId="2C692F21" w14:textId="77777777" w:rsidR="00DC5685" w:rsidRPr="00254174" w:rsidRDefault="00DC5685" w:rsidP="000470C3">
            <w:pPr>
              <w:keepNext/>
              <w:keepLines/>
              <w:widowControl w:val="0"/>
              <w:rPr>
                <w:sz w:val="20"/>
                <w:szCs w:val="20"/>
                <w:lang w:val="en-GB"/>
              </w:rPr>
            </w:pPr>
            <w:r w:rsidRPr="00254174">
              <w:rPr>
                <w:bCs/>
                <w:sz w:val="20"/>
                <w:szCs w:val="20"/>
                <w:lang w:val="en-GB"/>
              </w:rPr>
              <w:t>Potatoes</w:t>
            </w:r>
          </w:p>
        </w:tc>
      </w:tr>
      <w:tr w:rsidR="00DC5685" w:rsidRPr="00A34F10" w14:paraId="2BEAF746" w14:textId="77777777" w:rsidTr="000470C3">
        <w:tc>
          <w:tcPr>
            <w:tcW w:w="1495" w:type="pct"/>
            <w:gridSpan w:val="2"/>
            <w:tcBorders>
              <w:top w:val="nil"/>
              <w:bottom w:val="nil"/>
            </w:tcBorders>
          </w:tcPr>
          <w:p w14:paraId="27B5CEBD" w14:textId="77777777" w:rsidR="00DC5685" w:rsidRPr="00254174" w:rsidRDefault="00DC5685" w:rsidP="000470C3">
            <w:pPr>
              <w:keepNext/>
              <w:keepLines/>
              <w:widowControl w:val="0"/>
              <w:rPr>
                <w:b/>
                <w:bCs/>
                <w:sz w:val="20"/>
                <w:szCs w:val="20"/>
                <w:lang w:val="en-GB"/>
              </w:rPr>
            </w:pPr>
            <w:r w:rsidRPr="00254174">
              <w:rPr>
                <w:b/>
                <w:bCs/>
                <w:sz w:val="20"/>
                <w:szCs w:val="20"/>
                <w:lang w:val="en-GB"/>
              </w:rPr>
              <w:t>Active substance</w:t>
            </w:r>
          </w:p>
        </w:tc>
        <w:tc>
          <w:tcPr>
            <w:tcW w:w="3505" w:type="pct"/>
            <w:gridSpan w:val="5"/>
            <w:tcBorders>
              <w:top w:val="nil"/>
              <w:bottom w:val="nil"/>
            </w:tcBorders>
          </w:tcPr>
          <w:p w14:paraId="04C8F1A5" w14:textId="77777777" w:rsidR="00DC5685" w:rsidRPr="00254174" w:rsidRDefault="00DC5685" w:rsidP="000470C3">
            <w:pPr>
              <w:keepNext/>
              <w:keepLines/>
              <w:widowControl w:val="0"/>
              <w:rPr>
                <w:sz w:val="20"/>
                <w:szCs w:val="20"/>
                <w:lang w:val="en-GB"/>
              </w:rPr>
            </w:pPr>
            <w:r w:rsidRPr="00254174">
              <w:rPr>
                <w:sz w:val="20"/>
                <w:szCs w:val="20"/>
                <w:lang w:val="en-GB"/>
              </w:rPr>
              <w:t>Ametoctradin</w:t>
            </w:r>
          </w:p>
        </w:tc>
      </w:tr>
      <w:tr w:rsidR="00DC5685" w:rsidRPr="00A34F10" w14:paraId="25138F40" w14:textId="77777777" w:rsidTr="000470C3">
        <w:tc>
          <w:tcPr>
            <w:tcW w:w="1495" w:type="pct"/>
            <w:gridSpan w:val="2"/>
            <w:tcBorders>
              <w:top w:val="nil"/>
              <w:bottom w:val="single" w:sz="4" w:space="0" w:color="auto"/>
            </w:tcBorders>
          </w:tcPr>
          <w:p w14:paraId="701CF1F9" w14:textId="77777777" w:rsidR="00DC5685" w:rsidRPr="00254174" w:rsidRDefault="00DC5685" w:rsidP="000470C3">
            <w:pPr>
              <w:keepNext/>
              <w:keepLines/>
              <w:widowControl w:val="0"/>
              <w:rPr>
                <w:b/>
                <w:bCs/>
                <w:sz w:val="20"/>
                <w:szCs w:val="20"/>
                <w:lang w:val="en-GB"/>
              </w:rPr>
            </w:pPr>
            <w:r w:rsidRPr="00254174">
              <w:rPr>
                <w:b/>
                <w:bCs/>
                <w:sz w:val="20"/>
                <w:szCs w:val="20"/>
                <w:lang w:val="en-GB"/>
              </w:rPr>
              <w:t>Application rate (g/ha)</w:t>
            </w:r>
          </w:p>
        </w:tc>
        <w:tc>
          <w:tcPr>
            <w:tcW w:w="3505" w:type="pct"/>
            <w:gridSpan w:val="5"/>
            <w:tcBorders>
              <w:top w:val="nil"/>
              <w:bottom w:val="single" w:sz="4" w:space="0" w:color="auto"/>
            </w:tcBorders>
          </w:tcPr>
          <w:p w14:paraId="217BCA7B" w14:textId="77777777" w:rsidR="00DC5685" w:rsidRPr="00254174" w:rsidRDefault="00DC5685" w:rsidP="000470C3">
            <w:pPr>
              <w:keepNext/>
              <w:keepLines/>
              <w:widowControl w:val="0"/>
              <w:rPr>
                <w:sz w:val="20"/>
                <w:szCs w:val="20"/>
                <w:lang w:val="en-GB"/>
              </w:rPr>
            </w:pPr>
            <w:r w:rsidRPr="00254174">
              <w:rPr>
                <w:sz w:val="20"/>
                <w:szCs w:val="20"/>
                <w:lang w:val="en-GB"/>
              </w:rPr>
              <w:t>3 × 240</w:t>
            </w:r>
          </w:p>
        </w:tc>
      </w:tr>
      <w:tr w:rsidR="00DC5685" w:rsidRPr="00A34F10" w14:paraId="10B8367D" w14:textId="77777777" w:rsidTr="000470C3">
        <w:tc>
          <w:tcPr>
            <w:tcW w:w="1495" w:type="pct"/>
            <w:gridSpan w:val="2"/>
            <w:tcBorders>
              <w:bottom w:val="nil"/>
            </w:tcBorders>
          </w:tcPr>
          <w:p w14:paraId="7A6B576C" w14:textId="77777777" w:rsidR="00DC5685" w:rsidRPr="00254174" w:rsidRDefault="00DC5685" w:rsidP="000470C3">
            <w:pPr>
              <w:keepNext/>
              <w:keepLines/>
              <w:widowControl w:val="0"/>
              <w:rPr>
                <w:b/>
                <w:bCs/>
                <w:sz w:val="20"/>
                <w:szCs w:val="20"/>
                <w:lang w:val="en-GB"/>
              </w:rPr>
            </w:pPr>
            <w:r w:rsidRPr="00254174">
              <w:rPr>
                <w:b/>
                <w:bCs/>
                <w:sz w:val="20"/>
                <w:szCs w:val="20"/>
                <w:lang w:val="en-GB"/>
              </w:rPr>
              <w:t>Acute toxicity (mg/kg bw)</w:t>
            </w:r>
          </w:p>
        </w:tc>
        <w:tc>
          <w:tcPr>
            <w:tcW w:w="3505" w:type="pct"/>
            <w:gridSpan w:val="5"/>
            <w:tcBorders>
              <w:bottom w:val="nil"/>
            </w:tcBorders>
          </w:tcPr>
          <w:p w14:paraId="0305CDE3" w14:textId="430739B4" w:rsidR="00DC5685" w:rsidRPr="00254174" w:rsidRDefault="00E879F2" w:rsidP="000470C3">
            <w:pPr>
              <w:keepNext/>
              <w:keepLines/>
              <w:widowControl w:val="0"/>
              <w:rPr>
                <w:sz w:val="20"/>
                <w:szCs w:val="20"/>
                <w:lang w:val="en-GB"/>
              </w:rPr>
            </w:pPr>
            <w:r w:rsidRPr="00254174">
              <w:rPr>
                <w:sz w:val="20"/>
                <w:szCs w:val="20"/>
                <w:highlight w:val="green"/>
                <w:lang w:val="en-GB"/>
              </w:rPr>
              <w:t>&gt;</w:t>
            </w:r>
            <w:r w:rsidRPr="00254174">
              <w:rPr>
                <w:sz w:val="20"/>
                <w:szCs w:val="20"/>
                <w:lang w:val="en-GB"/>
              </w:rPr>
              <w:t xml:space="preserve"> </w:t>
            </w:r>
            <w:r w:rsidR="00DC5685" w:rsidRPr="00254174">
              <w:rPr>
                <w:sz w:val="20"/>
                <w:szCs w:val="20"/>
                <w:lang w:val="en-GB"/>
              </w:rPr>
              <w:t>2000</w:t>
            </w:r>
          </w:p>
        </w:tc>
      </w:tr>
      <w:tr w:rsidR="00DC5685" w:rsidRPr="00A34F10" w14:paraId="2A271F9C" w14:textId="77777777" w:rsidTr="000470C3">
        <w:tc>
          <w:tcPr>
            <w:tcW w:w="1495" w:type="pct"/>
            <w:gridSpan w:val="2"/>
            <w:tcBorders>
              <w:top w:val="nil"/>
            </w:tcBorders>
          </w:tcPr>
          <w:p w14:paraId="060F15A9" w14:textId="77777777" w:rsidR="00DC5685" w:rsidRPr="00254174" w:rsidRDefault="00DC5685" w:rsidP="000470C3">
            <w:pPr>
              <w:keepNext/>
              <w:keepLines/>
              <w:widowControl w:val="0"/>
              <w:rPr>
                <w:b/>
                <w:bCs/>
                <w:sz w:val="20"/>
                <w:szCs w:val="20"/>
                <w:lang w:val="en-GB"/>
              </w:rPr>
            </w:pPr>
            <w:r w:rsidRPr="00254174">
              <w:rPr>
                <w:b/>
                <w:bCs/>
                <w:sz w:val="20"/>
                <w:szCs w:val="20"/>
                <w:lang w:val="en-GB"/>
              </w:rPr>
              <w:t>TER criterion</w:t>
            </w:r>
          </w:p>
        </w:tc>
        <w:tc>
          <w:tcPr>
            <w:tcW w:w="3505" w:type="pct"/>
            <w:gridSpan w:val="5"/>
            <w:tcBorders>
              <w:top w:val="nil"/>
            </w:tcBorders>
          </w:tcPr>
          <w:p w14:paraId="0BBE9A03" w14:textId="77777777" w:rsidR="00DC5685" w:rsidRPr="00254174" w:rsidRDefault="00DC5685" w:rsidP="000470C3">
            <w:pPr>
              <w:keepNext/>
              <w:keepLines/>
              <w:widowControl w:val="0"/>
              <w:rPr>
                <w:sz w:val="20"/>
                <w:szCs w:val="20"/>
                <w:lang w:val="en-GB"/>
              </w:rPr>
            </w:pPr>
            <w:r w:rsidRPr="00254174">
              <w:rPr>
                <w:sz w:val="20"/>
                <w:szCs w:val="20"/>
                <w:lang w:val="en-GB"/>
              </w:rPr>
              <w:t>10</w:t>
            </w:r>
          </w:p>
        </w:tc>
      </w:tr>
      <w:tr w:rsidR="00DC5685" w:rsidRPr="00A34F10" w14:paraId="096EEFA2" w14:textId="77777777" w:rsidTr="000470C3">
        <w:tc>
          <w:tcPr>
            <w:tcW w:w="998" w:type="pct"/>
          </w:tcPr>
          <w:p w14:paraId="39F47831" w14:textId="77777777" w:rsidR="00DC5685" w:rsidRPr="00254174" w:rsidRDefault="00DC5685" w:rsidP="000470C3">
            <w:pPr>
              <w:keepNext/>
              <w:keepLines/>
              <w:widowControl w:val="0"/>
              <w:rPr>
                <w:b/>
                <w:bCs/>
                <w:sz w:val="20"/>
                <w:szCs w:val="20"/>
                <w:lang w:val="en-GB"/>
              </w:rPr>
            </w:pPr>
            <w:r w:rsidRPr="00254174">
              <w:rPr>
                <w:b/>
                <w:bCs/>
                <w:sz w:val="20"/>
                <w:szCs w:val="20"/>
                <w:lang w:val="en-GB"/>
              </w:rPr>
              <w:t>Crop scenario</w:t>
            </w:r>
          </w:p>
        </w:tc>
        <w:tc>
          <w:tcPr>
            <w:tcW w:w="1500" w:type="pct"/>
            <w:gridSpan w:val="2"/>
          </w:tcPr>
          <w:p w14:paraId="72B3C571" w14:textId="77777777" w:rsidR="00DC5685" w:rsidRPr="00254174" w:rsidRDefault="00DC5685" w:rsidP="000470C3">
            <w:pPr>
              <w:keepNext/>
              <w:keepLines/>
              <w:widowControl w:val="0"/>
              <w:rPr>
                <w:b/>
                <w:bCs/>
                <w:sz w:val="20"/>
                <w:szCs w:val="20"/>
                <w:lang w:val="en-GB"/>
              </w:rPr>
            </w:pPr>
            <w:r w:rsidRPr="00254174">
              <w:rPr>
                <w:b/>
                <w:bCs/>
                <w:sz w:val="20"/>
                <w:szCs w:val="20"/>
                <w:lang w:val="en-GB"/>
              </w:rPr>
              <w:t>Indicator species</w:t>
            </w:r>
          </w:p>
        </w:tc>
        <w:tc>
          <w:tcPr>
            <w:tcW w:w="625" w:type="pct"/>
          </w:tcPr>
          <w:p w14:paraId="75AA717D" w14:textId="77777777" w:rsidR="00DC5685" w:rsidRPr="00254174" w:rsidRDefault="00DC5685" w:rsidP="000470C3">
            <w:pPr>
              <w:keepNext/>
              <w:keepLines/>
              <w:widowControl w:val="0"/>
              <w:rPr>
                <w:b/>
                <w:bCs/>
                <w:sz w:val="20"/>
                <w:szCs w:val="20"/>
                <w:lang w:val="en-GB"/>
              </w:rPr>
            </w:pPr>
            <w:r w:rsidRPr="00254174">
              <w:rPr>
                <w:b/>
                <w:bCs/>
                <w:sz w:val="20"/>
                <w:szCs w:val="20"/>
                <w:lang w:val="en-GB"/>
              </w:rPr>
              <w:t>SV</w:t>
            </w:r>
            <w:r w:rsidRPr="00254174">
              <w:rPr>
                <w:b/>
                <w:bCs/>
                <w:sz w:val="20"/>
                <w:szCs w:val="20"/>
                <w:vertAlign w:val="subscript"/>
                <w:lang w:val="en-GB"/>
              </w:rPr>
              <w:t>90</w:t>
            </w:r>
          </w:p>
        </w:tc>
        <w:tc>
          <w:tcPr>
            <w:tcW w:w="625" w:type="pct"/>
          </w:tcPr>
          <w:p w14:paraId="26D0C8EA" w14:textId="77777777" w:rsidR="00DC5685" w:rsidRPr="00254174" w:rsidRDefault="00DC5685" w:rsidP="000470C3">
            <w:pPr>
              <w:keepNext/>
              <w:keepLines/>
              <w:widowControl w:val="0"/>
              <w:rPr>
                <w:b/>
                <w:bCs/>
                <w:sz w:val="20"/>
                <w:szCs w:val="20"/>
                <w:lang w:val="en-GB"/>
              </w:rPr>
            </w:pPr>
            <w:r w:rsidRPr="00254174">
              <w:rPr>
                <w:b/>
                <w:bCs/>
                <w:sz w:val="20"/>
                <w:szCs w:val="20"/>
                <w:lang w:val="en-GB"/>
              </w:rPr>
              <w:t>MAF</w:t>
            </w:r>
            <w:r w:rsidRPr="00254174">
              <w:rPr>
                <w:b/>
                <w:bCs/>
                <w:sz w:val="20"/>
                <w:szCs w:val="20"/>
                <w:vertAlign w:val="subscript"/>
                <w:lang w:val="en-GB"/>
              </w:rPr>
              <w:t>90</w:t>
            </w:r>
          </w:p>
        </w:tc>
        <w:tc>
          <w:tcPr>
            <w:tcW w:w="625" w:type="pct"/>
          </w:tcPr>
          <w:p w14:paraId="32B88044" w14:textId="77777777" w:rsidR="00DC5685" w:rsidRPr="00254174" w:rsidRDefault="00DC5685" w:rsidP="000470C3">
            <w:pPr>
              <w:keepNext/>
              <w:keepLines/>
              <w:widowControl w:val="0"/>
              <w:rPr>
                <w:b/>
                <w:bCs/>
                <w:sz w:val="20"/>
                <w:szCs w:val="20"/>
                <w:lang w:val="de-DE"/>
              </w:rPr>
            </w:pPr>
            <w:r w:rsidRPr="00254174">
              <w:rPr>
                <w:b/>
                <w:bCs/>
                <w:sz w:val="20"/>
                <w:szCs w:val="20"/>
                <w:lang w:val="de-DE"/>
              </w:rPr>
              <w:t>DDD</w:t>
            </w:r>
            <w:r w:rsidRPr="00254174">
              <w:rPr>
                <w:b/>
                <w:bCs/>
                <w:sz w:val="20"/>
                <w:szCs w:val="20"/>
                <w:vertAlign w:val="subscript"/>
                <w:lang w:val="de-DE"/>
              </w:rPr>
              <w:t>90</w:t>
            </w:r>
          </w:p>
          <w:p w14:paraId="6B1D8093" w14:textId="77777777" w:rsidR="00DC5685" w:rsidRPr="00254174" w:rsidRDefault="00DC5685" w:rsidP="000470C3">
            <w:pPr>
              <w:keepNext/>
              <w:keepLines/>
              <w:widowControl w:val="0"/>
              <w:rPr>
                <w:b/>
                <w:bCs/>
                <w:sz w:val="20"/>
                <w:szCs w:val="20"/>
                <w:lang w:val="de-DE"/>
              </w:rPr>
            </w:pPr>
            <w:r w:rsidRPr="00254174">
              <w:rPr>
                <w:b/>
                <w:bCs/>
                <w:sz w:val="20"/>
                <w:szCs w:val="20"/>
                <w:lang w:val="de-DE"/>
              </w:rPr>
              <w:t>(mg/kg bw/d)</w:t>
            </w:r>
          </w:p>
        </w:tc>
        <w:tc>
          <w:tcPr>
            <w:tcW w:w="628" w:type="pct"/>
          </w:tcPr>
          <w:p w14:paraId="65DA795E" w14:textId="77777777" w:rsidR="00DC5685" w:rsidRPr="00254174" w:rsidRDefault="00DC5685" w:rsidP="000470C3">
            <w:pPr>
              <w:keepNext/>
              <w:keepLines/>
              <w:widowControl w:val="0"/>
              <w:rPr>
                <w:b/>
                <w:bCs/>
                <w:sz w:val="20"/>
                <w:szCs w:val="20"/>
                <w:lang w:val="en-GB"/>
              </w:rPr>
            </w:pPr>
            <w:r w:rsidRPr="00254174">
              <w:rPr>
                <w:b/>
                <w:bCs/>
                <w:sz w:val="20"/>
                <w:szCs w:val="20"/>
                <w:lang w:val="en-GB"/>
              </w:rPr>
              <w:t>TER</w:t>
            </w:r>
            <w:r w:rsidRPr="00254174">
              <w:rPr>
                <w:b/>
                <w:bCs/>
                <w:sz w:val="20"/>
                <w:szCs w:val="20"/>
                <w:vertAlign w:val="subscript"/>
                <w:lang w:val="en-GB"/>
              </w:rPr>
              <w:t>a</w:t>
            </w:r>
          </w:p>
        </w:tc>
      </w:tr>
      <w:tr w:rsidR="00DC5685" w:rsidRPr="00A34F10" w14:paraId="0588AB7C" w14:textId="77777777" w:rsidTr="000470C3">
        <w:tc>
          <w:tcPr>
            <w:tcW w:w="998" w:type="pct"/>
          </w:tcPr>
          <w:p w14:paraId="7FEBBD37" w14:textId="34BE44E1" w:rsidR="00DC5685" w:rsidRPr="00254174" w:rsidRDefault="00DC5685" w:rsidP="000470C3">
            <w:pPr>
              <w:keepNext/>
              <w:keepLines/>
              <w:widowControl w:val="0"/>
              <w:rPr>
                <w:sz w:val="20"/>
                <w:szCs w:val="20"/>
                <w:lang w:val="en-GB"/>
              </w:rPr>
            </w:pPr>
            <w:r w:rsidRPr="00254174">
              <w:rPr>
                <w:bCs/>
                <w:strike/>
                <w:sz w:val="20"/>
                <w:szCs w:val="20"/>
                <w:highlight w:val="green"/>
                <w:lang w:val="en-GB"/>
              </w:rPr>
              <w:t>Bulbs and onion like crops</w:t>
            </w:r>
            <w:r w:rsidRPr="00254174">
              <w:rPr>
                <w:bCs/>
                <w:sz w:val="20"/>
                <w:szCs w:val="20"/>
                <w:highlight w:val="green"/>
                <w:lang w:val="en-GB"/>
              </w:rPr>
              <w:t xml:space="preserve">, </w:t>
            </w:r>
            <w:r w:rsidR="002502D9" w:rsidRPr="00254174">
              <w:rPr>
                <w:bCs/>
                <w:sz w:val="20"/>
                <w:szCs w:val="20"/>
                <w:highlight w:val="green"/>
                <w:lang w:val="en-GB"/>
              </w:rPr>
              <w:t>P</w:t>
            </w:r>
            <w:r w:rsidRPr="00254174">
              <w:rPr>
                <w:bCs/>
                <w:sz w:val="20"/>
                <w:szCs w:val="20"/>
                <w:highlight w:val="green"/>
                <w:lang w:val="en-GB"/>
              </w:rPr>
              <w:t>otatoes</w:t>
            </w:r>
          </w:p>
        </w:tc>
        <w:tc>
          <w:tcPr>
            <w:tcW w:w="1500" w:type="pct"/>
            <w:gridSpan w:val="2"/>
          </w:tcPr>
          <w:p w14:paraId="11C6DCFF" w14:textId="77777777" w:rsidR="00DC5685" w:rsidRPr="00254174" w:rsidRDefault="00DC5685" w:rsidP="000470C3">
            <w:pPr>
              <w:keepNext/>
              <w:keepLines/>
              <w:autoSpaceDE w:val="0"/>
              <w:autoSpaceDN w:val="0"/>
              <w:adjustRightInd w:val="0"/>
              <w:rPr>
                <w:color w:val="000000"/>
                <w:sz w:val="20"/>
                <w:szCs w:val="20"/>
                <w:lang w:val="en-GB"/>
              </w:rPr>
            </w:pPr>
            <w:r w:rsidRPr="00254174">
              <w:rPr>
                <w:sz w:val="20"/>
                <w:szCs w:val="20"/>
                <w:lang w:val="en-GB"/>
              </w:rPr>
              <w:t>Small herbivorous mammal</w:t>
            </w:r>
            <w:r w:rsidRPr="00254174">
              <w:rPr>
                <w:color w:val="000000"/>
                <w:sz w:val="20"/>
                <w:szCs w:val="20"/>
                <w:lang w:val="en-GB"/>
              </w:rPr>
              <w:t xml:space="preserve"> </w:t>
            </w:r>
          </w:p>
        </w:tc>
        <w:tc>
          <w:tcPr>
            <w:tcW w:w="625" w:type="pct"/>
          </w:tcPr>
          <w:p w14:paraId="1518D96A" w14:textId="77777777" w:rsidR="00DC5685" w:rsidRPr="00254174" w:rsidRDefault="00DC5685" w:rsidP="000470C3">
            <w:pPr>
              <w:keepNext/>
              <w:keepLines/>
              <w:widowControl w:val="0"/>
              <w:rPr>
                <w:sz w:val="20"/>
                <w:szCs w:val="20"/>
                <w:lang w:val="en-GB"/>
              </w:rPr>
            </w:pPr>
            <w:r w:rsidRPr="00254174">
              <w:rPr>
                <w:sz w:val="20"/>
                <w:szCs w:val="20"/>
                <w:lang w:val="en-GB"/>
              </w:rPr>
              <w:t>118.4</w:t>
            </w:r>
          </w:p>
        </w:tc>
        <w:tc>
          <w:tcPr>
            <w:tcW w:w="625" w:type="pct"/>
          </w:tcPr>
          <w:p w14:paraId="75596284" w14:textId="77777777" w:rsidR="00DC5685" w:rsidRPr="00254174" w:rsidRDefault="00DC5685" w:rsidP="000470C3">
            <w:pPr>
              <w:keepNext/>
              <w:keepLines/>
              <w:widowControl w:val="0"/>
              <w:rPr>
                <w:sz w:val="20"/>
                <w:szCs w:val="20"/>
                <w:lang w:val="en-GB"/>
              </w:rPr>
            </w:pPr>
            <w:r w:rsidRPr="00254174">
              <w:rPr>
                <w:sz w:val="20"/>
                <w:szCs w:val="20"/>
                <w:lang w:val="en-GB"/>
              </w:rPr>
              <w:t>1.79</w:t>
            </w:r>
          </w:p>
        </w:tc>
        <w:tc>
          <w:tcPr>
            <w:tcW w:w="625" w:type="pct"/>
          </w:tcPr>
          <w:p w14:paraId="012545D6" w14:textId="77777777" w:rsidR="00DC5685" w:rsidRPr="00254174" w:rsidRDefault="00DC5685" w:rsidP="000470C3">
            <w:pPr>
              <w:keepNext/>
              <w:keepLines/>
              <w:widowControl w:val="0"/>
              <w:rPr>
                <w:sz w:val="20"/>
                <w:szCs w:val="20"/>
                <w:lang w:val="en-GB"/>
              </w:rPr>
            </w:pPr>
            <w:r w:rsidRPr="00254174">
              <w:rPr>
                <w:sz w:val="20"/>
                <w:szCs w:val="20"/>
                <w:lang w:val="en-GB"/>
              </w:rPr>
              <w:t>50.93</w:t>
            </w:r>
          </w:p>
        </w:tc>
        <w:tc>
          <w:tcPr>
            <w:tcW w:w="628" w:type="pct"/>
          </w:tcPr>
          <w:p w14:paraId="0DF4DB2B" w14:textId="67D8C210" w:rsidR="00DC5685" w:rsidRPr="00254174" w:rsidRDefault="00CA1CEF" w:rsidP="000470C3">
            <w:pPr>
              <w:keepNext/>
              <w:keepLines/>
              <w:widowControl w:val="0"/>
              <w:rPr>
                <w:sz w:val="20"/>
                <w:szCs w:val="20"/>
                <w:lang w:val="en-GB"/>
              </w:rPr>
            </w:pPr>
            <w:r w:rsidRPr="00F2064A">
              <w:rPr>
                <w:sz w:val="20"/>
                <w:szCs w:val="20"/>
                <w:highlight w:val="yellow"/>
                <w:lang w:val="en-GB"/>
              </w:rPr>
              <w:t>&gt;</w:t>
            </w:r>
            <w:r w:rsidR="00E879F2" w:rsidRPr="00254174">
              <w:rPr>
                <w:sz w:val="20"/>
                <w:szCs w:val="20"/>
                <w:lang w:val="en-GB"/>
              </w:rPr>
              <w:t xml:space="preserve"> </w:t>
            </w:r>
            <w:r w:rsidR="00DC5685" w:rsidRPr="00254174">
              <w:rPr>
                <w:sz w:val="20"/>
                <w:szCs w:val="20"/>
                <w:lang w:val="en-GB"/>
              </w:rPr>
              <w:t>39.3</w:t>
            </w:r>
          </w:p>
        </w:tc>
      </w:tr>
      <w:tr w:rsidR="00DC5685" w:rsidRPr="00A34F10" w14:paraId="7F17BEF2" w14:textId="77777777" w:rsidTr="000470C3">
        <w:tc>
          <w:tcPr>
            <w:tcW w:w="1495" w:type="pct"/>
            <w:gridSpan w:val="2"/>
            <w:tcBorders>
              <w:bottom w:val="nil"/>
            </w:tcBorders>
          </w:tcPr>
          <w:p w14:paraId="67276F20" w14:textId="77777777" w:rsidR="00DC5685" w:rsidRPr="00254174" w:rsidRDefault="00DC5685" w:rsidP="000470C3">
            <w:pPr>
              <w:keepNext/>
              <w:keepLines/>
              <w:widowControl w:val="0"/>
              <w:rPr>
                <w:b/>
                <w:bCs/>
                <w:sz w:val="20"/>
                <w:szCs w:val="20"/>
                <w:lang w:val="en-GB"/>
              </w:rPr>
            </w:pPr>
            <w:r w:rsidRPr="00254174">
              <w:rPr>
                <w:b/>
                <w:bCs/>
                <w:sz w:val="20"/>
                <w:szCs w:val="20"/>
                <w:lang w:val="en-GB"/>
              </w:rPr>
              <w:t>Reprod. toxicity (mg/kg bw/d)</w:t>
            </w:r>
          </w:p>
        </w:tc>
        <w:tc>
          <w:tcPr>
            <w:tcW w:w="3505" w:type="pct"/>
            <w:gridSpan w:val="5"/>
            <w:tcBorders>
              <w:bottom w:val="nil"/>
            </w:tcBorders>
          </w:tcPr>
          <w:p w14:paraId="6EDF1439" w14:textId="77777777" w:rsidR="00DC5685" w:rsidRPr="00254174" w:rsidRDefault="00DC5685" w:rsidP="000470C3">
            <w:pPr>
              <w:keepNext/>
              <w:keepLines/>
              <w:widowControl w:val="0"/>
              <w:rPr>
                <w:sz w:val="20"/>
                <w:szCs w:val="20"/>
                <w:lang w:val="en-GB"/>
              </w:rPr>
            </w:pPr>
            <w:r w:rsidRPr="00254174">
              <w:rPr>
                <w:sz w:val="20"/>
                <w:szCs w:val="20"/>
                <w:lang w:val="en-GB"/>
              </w:rPr>
              <w:t>939</w:t>
            </w:r>
          </w:p>
        </w:tc>
      </w:tr>
      <w:tr w:rsidR="00DC5685" w:rsidRPr="00A34F10" w14:paraId="7F66469C" w14:textId="77777777" w:rsidTr="000470C3">
        <w:tc>
          <w:tcPr>
            <w:tcW w:w="1495" w:type="pct"/>
            <w:gridSpan w:val="2"/>
            <w:tcBorders>
              <w:top w:val="nil"/>
            </w:tcBorders>
          </w:tcPr>
          <w:p w14:paraId="4D054E03" w14:textId="77777777" w:rsidR="00DC5685" w:rsidRPr="00254174" w:rsidRDefault="00DC5685" w:rsidP="000470C3">
            <w:pPr>
              <w:keepNext/>
              <w:keepLines/>
              <w:widowControl w:val="0"/>
              <w:rPr>
                <w:b/>
                <w:bCs/>
                <w:sz w:val="20"/>
                <w:szCs w:val="20"/>
                <w:lang w:val="en-GB"/>
              </w:rPr>
            </w:pPr>
            <w:r w:rsidRPr="00254174">
              <w:rPr>
                <w:b/>
                <w:bCs/>
                <w:sz w:val="20"/>
                <w:szCs w:val="20"/>
                <w:lang w:val="en-GB"/>
              </w:rPr>
              <w:t>TER criterion</w:t>
            </w:r>
          </w:p>
        </w:tc>
        <w:tc>
          <w:tcPr>
            <w:tcW w:w="3505" w:type="pct"/>
            <w:gridSpan w:val="5"/>
            <w:tcBorders>
              <w:top w:val="nil"/>
            </w:tcBorders>
          </w:tcPr>
          <w:p w14:paraId="5F8EABEB" w14:textId="77777777" w:rsidR="00DC5685" w:rsidRPr="00254174" w:rsidRDefault="00DC5685" w:rsidP="000470C3">
            <w:pPr>
              <w:keepNext/>
              <w:keepLines/>
              <w:widowControl w:val="0"/>
              <w:rPr>
                <w:sz w:val="20"/>
                <w:szCs w:val="20"/>
                <w:lang w:val="en-GB"/>
              </w:rPr>
            </w:pPr>
            <w:r w:rsidRPr="00254174">
              <w:rPr>
                <w:sz w:val="20"/>
                <w:szCs w:val="20"/>
                <w:lang w:val="en-GB"/>
              </w:rPr>
              <w:t>5</w:t>
            </w:r>
          </w:p>
        </w:tc>
      </w:tr>
      <w:tr w:rsidR="00DC5685" w:rsidRPr="00A34F10" w14:paraId="0257CC18" w14:textId="77777777" w:rsidTr="000470C3">
        <w:tc>
          <w:tcPr>
            <w:tcW w:w="998" w:type="pct"/>
          </w:tcPr>
          <w:p w14:paraId="11AFD2A0" w14:textId="77777777" w:rsidR="00DC5685" w:rsidRPr="00254174" w:rsidRDefault="00DC5685" w:rsidP="000470C3">
            <w:pPr>
              <w:keepNext/>
              <w:keepLines/>
              <w:widowControl w:val="0"/>
              <w:rPr>
                <w:b/>
                <w:bCs/>
                <w:sz w:val="20"/>
                <w:szCs w:val="20"/>
                <w:lang w:val="en-GB"/>
              </w:rPr>
            </w:pPr>
            <w:r w:rsidRPr="00254174">
              <w:rPr>
                <w:b/>
                <w:bCs/>
                <w:sz w:val="20"/>
                <w:szCs w:val="20"/>
                <w:lang w:val="en-GB"/>
              </w:rPr>
              <w:t>Crop scenario</w:t>
            </w:r>
          </w:p>
        </w:tc>
        <w:tc>
          <w:tcPr>
            <w:tcW w:w="1500" w:type="pct"/>
            <w:gridSpan w:val="2"/>
          </w:tcPr>
          <w:p w14:paraId="212FF2A8" w14:textId="77777777" w:rsidR="00DC5685" w:rsidRPr="00254174" w:rsidRDefault="00DC5685" w:rsidP="000470C3">
            <w:pPr>
              <w:keepNext/>
              <w:keepLines/>
              <w:widowControl w:val="0"/>
              <w:rPr>
                <w:b/>
                <w:bCs/>
                <w:sz w:val="20"/>
                <w:szCs w:val="20"/>
                <w:lang w:val="en-GB"/>
              </w:rPr>
            </w:pPr>
            <w:r w:rsidRPr="00254174">
              <w:rPr>
                <w:b/>
                <w:bCs/>
                <w:sz w:val="20"/>
                <w:szCs w:val="20"/>
                <w:lang w:val="en-GB"/>
              </w:rPr>
              <w:t>Indicator species</w:t>
            </w:r>
          </w:p>
        </w:tc>
        <w:tc>
          <w:tcPr>
            <w:tcW w:w="625" w:type="pct"/>
          </w:tcPr>
          <w:p w14:paraId="477CE927" w14:textId="77777777" w:rsidR="00DC5685" w:rsidRPr="00254174" w:rsidRDefault="00DC5685" w:rsidP="000470C3">
            <w:pPr>
              <w:keepNext/>
              <w:keepLines/>
              <w:widowControl w:val="0"/>
              <w:rPr>
                <w:b/>
                <w:bCs/>
                <w:sz w:val="20"/>
                <w:szCs w:val="20"/>
                <w:vertAlign w:val="subscript"/>
                <w:lang w:val="en-GB"/>
              </w:rPr>
            </w:pPr>
            <w:r w:rsidRPr="00254174">
              <w:rPr>
                <w:b/>
                <w:bCs/>
                <w:sz w:val="20"/>
                <w:szCs w:val="20"/>
                <w:lang w:val="en-GB"/>
              </w:rPr>
              <w:t>SV</w:t>
            </w:r>
            <w:r w:rsidRPr="00254174">
              <w:rPr>
                <w:b/>
                <w:bCs/>
                <w:sz w:val="20"/>
                <w:szCs w:val="20"/>
                <w:vertAlign w:val="subscript"/>
                <w:lang w:val="en-GB"/>
              </w:rPr>
              <w:t>m</w:t>
            </w:r>
          </w:p>
        </w:tc>
        <w:tc>
          <w:tcPr>
            <w:tcW w:w="625" w:type="pct"/>
          </w:tcPr>
          <w:p w14:paraId="1E095A02" w14:textId="77777777" w:rsidR="00DC5685" w:rsidRPr="00254174" w:rsidRDefault="00DC5685" w:rsidP="000470C3">
            <w:pPr>
              <w:keepNext/>
              <w:keepLines/>
              <w:widowControl w:val="0"/>
              <w:rPr>
                <w:b/>
                <w:bCs/>
                <w:sz w:val="20"/>
                <w:szCs w:val="20"/>
                <w:lang w:val="en-GB"/>
              </w:rPr>
            </w:pPr>
            <w:r w:rsidRPr="00254174">
              <w:rPr>
                <w:b/>
                <w:bCs/>
                <w:sz w:val="20"/>
                <w:szCs w:val="20"/>
                <w:lang w:val="en-GB"/>
              </w:rPr>
              <w:t>MAF</w:t>
            </w:r>
            <w:r w:rsidRPr="00254174">
              <w:rPr>
                <w:b/>
                <w:bCs/>
                <w:sz w:val="20"/>
                <w:szCs w:val="20"/>
                <w:vertAlign w:val="subscript"/>
                <w:lang w:val="en-GB"/>
              </w:rPr>
              <w:t>m</w:t>
            </w:r>
            <w:r w:rsidRPr="00254174">
              <w:rPr>
                <w:b/>
                <w:bCs/>
                <w:sz w:val="20"/>
                <w:szCs w:val="20"/>
                <w:lang w:val="en-GB"/>
              </w:rPr>
              <w:t xml:space="preserve"> × TWA</w:t>
            </w:r>
          </w:p>
        </w:tc>
        <w:tc>
          <w:tcPr>
            <w:tcW w:w="625" w:type="pct"/>
          </w:tcPr>
          <w:p w14:paraId="67CEB439" w14:textId="77777777" w:rsidR="00DC5685" w:rsidRPr="00254174" w:rsidRDefault="00DC5685" w:rsidP="000470C3">
            <w:pPr>
              <w:keepNext/>
              <w:keepLines/>
              <w:widowControl w:val="0"/>
              <w:rPr>
                <w:b/>
                <w:bCs/>
                <w:sz w:val="20"/>
                <w:szCs w:val="20"/>
                <w:lang w:val="de-DE"/>
              </w:rPr>
            </w:pPr>
            <w:r w:rsidRPr="00254174">
              <w:rPr>
                <w:b/>
                <w:bCs/>
                <w:sz w:val="20"/>
                <w:szCs w:val="20"/>
                <w:lang w:val="de-DE"/>
              </w:rPr>
              <w:t>DDD</w:t>
            </w:r>
            <w:r w:rsidRPr="00254174">
              <w:rPr>
                <w:b/>
                <w:bCs/>
                <w:sz w:val="20"/>
                <w:szCs w:val="20"/>
                <w:vertAlign w:val="subscript"/>
                <w:lang w:val="de-DE"/>
              </w:rPr>
              <w:t>m</w:t>
            </w:r>
          </w:p>
          <w:p w14:paraId="7FE4E311" w14:textId="77777777" w:rsidR="00DC5685" w:rsidRPr="00254174" w:rsidRDefault="00DC5685" w:rsidP="000470C3">
            <w:pPr>
              <w:keepNext/>
              <w:keepLines/>
              <w:widowControl w:val="0"/>
              <w:rPr>
                <w:b/>
                <w:bCs/>
                <w:sz w:val="20"/>
                <w:szCs w:val="20"/>
                <w:lang w:val="de-DE"/>
              </w:rPr>
            </w:pPr>
            <w:r w:rsidRPr="00254174">
              <w:rPr>
                <w:b/>
                <w:bCs/>
                <w:sz w:val="20"/>
                <w:szCs w:val="20"/>
                <w:lang w:val="de-DE"/>
              </w:rPr>
              <w:t>(mg/kg bw/d)</w:t>
            </w:r>
          </w:p>
        </w:tc>
        <w:tc>
          <w:tcPr>
            <w:tcW w:w="628" w:type="pct"/>
          </w:tcPr>
          <w:p w14:paraId="0AE806C1" w14:textId="77777777" w:rsidR="00DC5685" w:rsidRPr="00254174" w:rsidRDefault="00DC5685" w:rsidP="000470C3">
            <w:pPr>
              <w:keepNext/>
              <w:keepLines/>
              <w:widowControl w:val="0"/>
              <w:rPr>
                <w:b/>
                <w:bCs/>
                <w:sz w:val="20"/>
                <w:szCs w:val="20"/>
                <w:lang w:val="en-GB"/>
              </w:rPr>
            </w:pPr>
            <w:r w:rsidRPr="00254174">
              <w:rPr>
                <w:b/>
                <w:bCs/>
                <w:sz w:val="20"/>
                <w:szCs w:val="20"/>
                <w:lang w:val="en-GB"/>
              </w:rPr>
              <w:t>TER</w:t>
            </w:r>
            <w:r w:rsidRPr="00254174">
              <w:rPr>
                <w:b/>
                <w:bCs/>
                <w:sz w:val="20"/>
                <w:szCs w:val="20"/>
                <w:vertAlign w:val="subscript"/>
                <w:lang w:val="en-GB"/>
              </w:rPr>
              <w:t>lt</w:t>
            </w:r>
          </w:p>
        </w:tc>
      </w:tr>
      <w:tr w:rsidR="00DC5685" w:rsidRPr="00A34F10" w14:paraId="33BE7E9E" w14:textId="77777777" w:rsidTr="000470C3">
        <w:tc>
          <w:tcPr>
            <w:tcW w:w="998" w:type="pct"/>
          </w:tcPr>
          <w:p w14:paraId="7D3D6E1C" w14:textId="51E6C025" w:rsidR="00DC5685" w:rsidRPr="00254174" w:rsidRDefault="00DC5685" w:rsidP="000470C3">
            <w:pPr>
              <w:keepNext/>
              <w:keepLines/>
              <w:widowControl w:val="0"/>
              <w:rPr>
                <w:sz w:val="20"/>
                <w:szCs w:val="20"/>
                <w:lang w:val="en-GB"/>
              </w:rPr>
            </w:pPr>
            <w:r w:rsidRPr="00254174">
              <w:rPr>
                <w:bCs/>
                <w:strike/>
                <w:sz w:val="20"/>
                <w:szCs w:val="20"/>
                <w:highlight w:val="green"/>
                <w:lang w:val="en-GB"/>
              </w:rPr>
              <w:t>Bulbs and onion like crops,</w:t>
            </w:r>
            <w:r w:rsidRPr="00254174">
              <w:rPr>
                <w:bCs/>
                <w:sz w:val="20"/>
                <w:szCs w:val="20"/>
                <w:highlight w:val="green"/>
                <w:lang w:val="en-GB"/>
              </w:rPr>
              <w:t xml:space="preserve"> </w:t>
            </w:r>
            <w:r w:rsidR="002502D9" w:rsidRPr="00254174">
              <w:rPr>
                <w:bCs/>
                <w:sz w:val="20"/>
                <w:szCs w:val="20"/>
                <w:highlight w:val="green"/>
                <w:lang w:val="en-GB"/>
              </w:rPr>
              <w:t>P</w:t>
            </w:r>
            <w:r w:rsidRPr="00254174">
              <w:rPr>
                <w:bCs/>
                <w:sz w:val="20"/>
                <w:szCs w:val="20"/>
                <w:highlight w:val="green"/>
                <w:lang w:val="en-GB"/>
              </w:rPr>
              <w:t>otatoes</w:t>
            </w:r>
          </w:p>
        </w:tc>
        <w:tc>
          <w:tcPr>
            <w:tcW w:w="1500" w:type="pct"/>
            <w:gridSpan w:val="2"/>
          </w:tcPr>
          <w:p w14:paraId="38B62D9F" w14:textId="77777777" w:rsidR="00DC5685" w:rsidRPr="00254174" w:rsidRDefault="00DC5685" w:rsidP="000470C3">
            <w:pPr>
              <w:keepNext/>
              <w:keepLines/>
              <w:widowControl w:val="0"/>
              <w:rPr>
                <w:sz w:val="20"/>
                <w:szCs w:val="20"/>
                <w:lang w:val="en-GB"/>
              </w:rPr>
            </w:pPr>
            <w:r w:rsidRPr="00254174">
              <w:rPr>
                <w:sz w:val="20"/>
                <w:szCs w:val="20"/>
                <w:lang w:val="en-GB"/>
              </w:rPr>
              <w:t>Small herbivorous mammal</w:t>
            </w:r>
          </w:p>
        </w:tc>
        <w:tc>
          <w:tcPr>
            <w:tcW w:w="625" w:type="pct"/>
          </w:tcPr>
          <w:p w14:paraId="40010A7F" w14:textId="77777777" w:rsidR="00DC5685" w:rsidRPr="00254174" w:rsidRDefault="00DC5685" w:rsidP="000470C3">
            <w:pPr>
              <w:keepNext/>
              <w:keepLines/>
              <w:widowControl w:val="0"/>
              <w:rPr>
                <w:sz w:val="20"/>
                <w:szCs w:val="20"/>
                <w:lang w:val="en-GB"/>
              </w:rPr>
            </w:pPr>
            <w:r w:rsidRPr="00254174">
              <w:rPr>
                <w:sz w:val="20"/>
                <w:szCs w:val="20"/>
                <w:lang w:val="en-GB"/>
              </w:rPr>
              <w:t>48.3</w:t>
            </w:r>
          </w:p>
        </w:tc>
        <w:tc>
          <w:tcPr>
            <w:tcW w:w="625" w:type="pct"/>
          </w:tcPr>
          <w:p w14:paraId="02FC8CE5" w14:textId="77777777" w:rsidR="00DC5685" w:rsidRPr="00254174" w:rsidRDefault="00DC5685" w:rsidP="000470C3">
            <w:pPr>
              <w:keepNext/>
              <w:keepLines/>
              <w:widowControl w:val="0"/>
              <w:rPr>
                <w:sz w:val="20"/>
                <w:szCs w:val="20"/>
                <w:lang w:val="en-GB"/>
              </w:rPr>
            </w:pPr>
            <w:r w:rsidRPr="00254174">
              <w:rPr>
                <w:sz w:val="20"/>
                <w:szCs w:val="20"/>
                <w:lang w:val="en-GB"/>
              </w:rPr>
              <w:t>2.21 × 0.53</w:t>
            </w:r>
          </w:p>
        </w:tc>
        <w:tc>
          <w:tcPr>
            <w:tcW w:w="625" w:type="pct"/>
          </w:tcPr>
          <w:p w14:paraId="2DB5F01B" w14:textId="77777777" w:rsidR="00DC5685" w:rsidRPr="00254174" w:rsidRDefault="00DC5685" w:rsidP="000470C3">
            <w:pPr>
              <w:keepNext/>
              <w:keepLines/>
              <w:widowControl w:val="0"/>
              <w:rPr>
                <w:sz w:val="20"/>
                <w:szCs w:val="20"/>
                <w:lang w:val="en-GB"/>
              </w:rPr>
            </w:pPr>
            <w:r w:rsidRPr="00254174">
              <w:rPr>
                <w:sz w:val="20"/>
                <w:szCs w:val="20"/>
                <w:lang w:val="en-GB"/>
              </w:rPr>
              <w:t>13.56</w:t>
            </w:r>
          </w:p>
        </w:tc>
        <w:tc>
          <w:tcPr>
            <w:tcW w:w="628" w:type="pct"/>
          </w:tcPr>
          <w:p w14:paraId="37C8F728" w14:textId="1ED9AB90" w:rsidR="00DC5685" w:rsidRPr="00254174" w:rsidRDefault="00F2064A" w:rsidP="000470C3">
            <w:pPr>
              <w:keepNext/>
              <w:keepLines/>
              <w:widowControl w:val="0"/>
              <w:rPr>
                <w:sz w:val="20"/>
                <w:szCs w:val="20"/>
                <w:lang w:val="en-GB"/>
              </w:rPr>
            </w:pPr>
            <w:r w:rsidRPr="00F2064A">
              <w:rPr>
                <w:sz w:val="20"/>
                <w:szCs w:val="20"/>
                <w:highlight w:val="yellow"/>
                <w:lang w:val="en-GB"/>
              </w:rPr>
              <w:t>&gt;</w:t>
            </w:r>
            <w:r>
              <w:rPr>
                <w:sz w:val="20"/>
                <w:szCs w:val="20"/>
                <w:lang w:val="en-GB"/>
              </w:rPr>
              <w:t xml:space="preserve"> </w:t>
            </w:r>
            <w:r w:rsidR="00DC5685" w:rsidRPr="00254174">
              <w:rPr>
                <w:sz w:val="20"/>
                <w:szCs w:val="20"/>
                <w:lang w:val="en-GB"/>
              </w:rPr>
              <w:t>69.2</w:t>
            </w:r>
          </w:p>
        </w:tc>
      </w:tr>
    </w:tbl>
    <w:bookmarkEnd w:id="363"/>
    <w:p w14:paraId="2E0C3902"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3EA3DE5B" w14:textId="77777777" w:rsidR="00DC5685" w:rsidRDefault="00DC5685" w:rsidP="00DC5685">
      <w:pPr>
        <w:widowControl w:val="0"/>
        <w:tabs>
          <w:tab w:val="left" w:pos="720"/>
        </w:tabs>
        <w:suppressAutoHyphens/>
        <w:jc w:val="both"/>
        <w:rPr>
          <w:lang w:val="en-GB"/>
        </w:rPr>
      </w:pPr>
    </w:p>
    <w:p w14:paraId="710201C0" w14:textId="14CAB537" w:rsidR="00CE3639" w:rsidRPr="00CE3639" w:rsidRDefault="00CE3639" w:rsidP="00CE3639">
      <w:pPr>
        <w:keepNext/>
        <w:keepLines/>
        <w:widowControl w:val="0"/>
        <w:tabs>
          <w:tab w:val="left" w:pos="1985"/>
        </w:tabs>
        <w:spacing w:before="200" w:after="120"/>
        <w:ind w:left="1985" w:hanging="1985"/>
        <w:jc w:val="both"/>
        <w:rPr>
          <w:b/>
          <w:bCs/>
          <w:highlight w:val="green"/>
          <w:lang w:val="en-GB"/>
        </w:rPr>
      </w:pPr>
      <w:r w:rsidRPr="00CE3639">
        <w:rPr>
          <w:b/>
          <w:bCs/>
          <w:highlight w:val="green"/>
          <w:lang w:val="en-GB"/>
        </w:rPr>
        <w:t xml:space="preserve">Table </w:t>
      </w:r>
      <w:r w:rsidRPr="00CE3639">
        <w:rPr>
          <w:b/>
          <w:bCs/>
          <w:highlight w:val="green"/>
          <w:lang w:val="en-GB"/>
        </w:rPr>
        <w:fldChar w:fldCharType="begin"/>
      </w:r>
      <w:r w:rsidRPr="00CE3639">
        <w:rPr>
          <w:b/>
          <w:bCs/>
          <w:highlight w:val="green"/>
          <w:lang w:val="en-GB"/>
        </w:rPr>
        <w:instrText xml:space="preserve"> STYLEREF 2 \s </w:instrText>
      </w:r>
      <w:r w:rsidRPr="00CE3639">
        <w:rPr>
          <w:b/>
          <w:bCs/>
          <w:highlight w:val="green"/>
          <w:lang w:val="en-GB"/>
        </w:rPr>
        <w:fldChar w:fldCharType="separate"/>
      </w:r>
      <w:r w:rsidR="006F0F3B">
        <w:rPr>
          <w:b/>
          <w:bCs/>
          <w:noProof/>
          <w:highlight w:val="green"/>
          <w:lang w:val="en-GB"/>
        </w:rPr>
        <w:t>9.3</w:t>
      </w:r>
      <w:r w:rsidRPr="00CE3639">
        <w:rPr>
          <w:b/>
          <w:bCs/>
          <w:highlight w:val="green"/>
          <w:lang w:val="en-GB"/>
        </w:rPr>
        <w:fldChar w:fldCharType="end"/>
      </w:r>
      <w:r w:rsidRPr="00CE3639">
        <w:rPr>
          <w:b/>
          <w:bCs/>
          <w:highlight w:val="green"/>
          <w:lang w:val="en-GB"/>
        </w:rPr>
        <w:noBreakHyphen/>
        <w:t xml:space="preserve">9: </w:t>
      </w:r>
      <w:r w:rsidRPr="00CE3639">
        <w:rPr>
          <w:b/>
          <w:bCs/>
          <w:highlight w:val="green"/>
          <w:lang w:val="en-GB"/>
        </w:rPr>
        <w:tab/>
        <w:t xml:space="preserve">Ametoctradin: Screening assessment of the acute and long-term/reproductive risk for mammals due to the worst-case use of BAS 743 03 F in </w:t>
      </w:r>
      <w:r w:rsidR="00254174">
        <w:rPr>
          <w:b/>
          <w:bCs/>
          <w:highlight w:val="green"/>
          <w:lang w:val="en-GB"/>
        </w:rPr>
        <w:t xml:space="preserve">minor uses </w:t>
      </w:r>
      <w:r w:rsidR="00254174">
        <w:rPr>
          <w:b/>
          <w:bCs/>
          <w:highlight w:val="green"/>
          <w:lang w:val="en-GB"/>
        </w:rPr>
        <w:br/>
      </w:r>
      <w:r w:rsidRPr="00CE3639">
        <w:rPr>
          <w:b/>
          <w:bCs/>
          <w:highlight w:val="green"/>
          <w:lang w:val="en-GB"/>
        </w:rPr>
        <w:t xml:space="preserve">(2 × 2.0 L product/ha)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51"/>
        <w:gridCol w:w="915"/>
        <w:gridCol w:w="1861"/>
        <w:gridCol w:w="1154"/>
        <w:gridCol w:w="1154"/>
        <w:gridCol w:w="1254"/>
        <w:gridCol w:w="1158"/>
      </w:tblGrid>
      <w:tr w:rsidR="00CE3639" w:rsidRPr="00CE3639" w14:paraId="7B63DF8B" w14:textId="77777777" w:rsidTr="00062954">
        <w:tc>
          <w:tcPr>
            <w:tcW w:w="1495" w:type="pct"/>
            <w:gridSpan w:val="2"/>
            <w:tcBorders>
              <w:bottom w:val="nil"/>
            </w:tcBorders>
          </w:tcPr>
          <w:p w14:paraId="750A11B7"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Intended use</w:t>
            </w:r>
          </w:p>
        </w:tc>
        <w:tc>
          <w:tcPr>
            <w:tcW w:w="3505" w:type="pct"/>
            <w:gridSpan w:val="5"/>
            <w:tcBorders>
              <w:bottom w:val="nil"/>
            </w:tcBorders>
          </w:tcPr>
          <w:p w14:paraId="1E569A22" w14:textId="6250A0D7" w:rsidR="00CE3639" w:rsidRPr="00254174" w:rsidRDefault="00CE3639" w:rsidP="00062954">
            <w:pPr>
              <w:keepNext/>
              <w:keepLines/>
              <w:widowControl w:val="0"/>
              <w:rPr>
                <w:sz w:val="20"/>
                <w:szCs w:val="20"/>
                <w:highlight w:val="green"/>
                <w:lang w:val="en-GB"/>
              </w:rPr>
            </w:pPr>
            <w:r w:rsidRPr="00254174">
              <w:rPr>
                <w:bCs/>
                <w:sz w:val="20"/>
                <w:szCs w:val="20"/>
                <w:highlight w:val="green"/>
                <w:lang w:val="en-GB"/>
              </w:rPr>
              <w:t>Ornamentals and orchards</w:t>
            </w:r>
          </w:p>
        </w:tc>
      </w:tr>
      <w:tr w:rsidR="00CE3639" w:rsidRPr="00CE3639" w14:paraId="5D4E8BFC" w14:textId="77777777" w:rsidTr="00062954">
        <w:tc>
          <w:tcPr>
            <w:tcW w:w="1495" w:type="pct"/>
            <w:gridSpan w:val="2"/>
            <w:tcBorders>
              <w:top w:val="nil"/>
              <w:bottom w:val="nil"/>
            </w:tcBorders>
          </w:tcPr>
          <w:p w14:paraId="4183C57E"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Active substance</w:t>
            </w:r>
          </w:p>
        </w:tc>
        <w:tc>
          <w:tcPr>
            <w:tcW w:w="3505" w:type="pct"/>
            <w:gridSpan w:val="5"/>
            <w:tcBorders>
              <w:top w:val="nil"/>
              <w:bottom w:val="nil"/>
            </w:tcBorders>
          </w:tcPr>
          <w:p w14:paraId="773C3F1F"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Ametoctradin</w:t>
            </w:r>
          </w:p>
        </w:tc>
      </w:tr>
      <w:tr w:rsidR="00CE3639" w:rsidRPr="00CE3639" w14:paraId="08F76B3D" w14:textId="77777777" w:rsidTr="00062954">
        <w:tc>
          <w:tcPr>
            <w:tcW w:w="1495" w:type="pct"/>
            <w:gridSpan w:val="2"/>
            <w:tcBorders>
              <w:top w:val="nil"/>
              <w:bottom w:val="single" w:sz="4" w:space="0" w:color="auto"/>
            </w:tcBorders>
          </w:tcPr>
          <w:p w14:paraId="295D28FA"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Application rate (g/ha)</w:t>
            </w:r>
          </w:p>
        </w:tc>
        <w:tc>
          <w:tcPr>
            <w:tcW w:w="3505" w:type="pct"/>
            <w:gridSpan w:val="5"/>
            <w:tcBorders>
              <w:top w:val="nil"/>
              <w:bottom w:val="single" w:sz="4" w:space="0" w:color="auto"/>
            </w:tcBorders>
          </w:tcPr>
          <w:p w14:paraId="75F9BDE8" w14:textId="063F0A1B"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2 × 240</w:t>
            </w:r>
          </w:p>
        </w:tc>
      </w:tr>
      <w:tr w:rsidR="00CE3639" w:rsidRPr="00CE3639" w14:paraId="691442D4" w14:textId="77777777" w:rsidTr="00062954">
        <w:tc>
          <w:tcPr>
            <w:tcW w:w="1495" w:type="pct"/>
            <w:gridSpan w:val="2"/>
            <w:tcBorders>
              <w:bottom w:val="nil"/>
            </w:tcBorders>
          </w:tcPr>
          <w:p w14:paraId="16D9C3AD"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Acute toxicity (mg/kg bw)</w:t>
            </w:r>
          </w:p>
        </w:tc>
        <w:tc>
          <w:tcPr>
            <w:tcW w:w="3505" w:type="pct"/>
            <w:gridSpan w:val="5"/>
            <w:tcBorders>
              <w:bottom w:val="nil"/>
            </w:tcBorders>
          </w:tcPr>
          <w:p w14:paraId="3B348662"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&gt; 2000</w:t>
            </w:r>
          </w:p>
        </w:tc>
      </w:tr>
      <w:tr w:rsidR="00CE3639" w:rsidRPr="00CE3639" w14:paraId="225537A1" w14:textId="77777777" w:rsidTr="00062954">
        <w:tc>
          <w:tcPr>
            <w:tcW w:w="1495" w:type="pct"/>
            <w:gridSpan w:val="2"/>
            <w:tcBorders>
              <w:top w:val="nil"/>
            </w:tcBorders>
          </w:tcPr>
          <w:p w14:paraId="4954A811"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TER criterion</w:t>
            </w:r>
          </w:p>
        </w:tc>
        <w:tc>
          <w:tcPr>
            <w:tcW w:w="3505" w:type="pct"/>
            <w:gridSpan w:val="5"/>
            <w:tcBorders>
              <w:top w:val="nil"/>
            </w:tcBorders>
          </w:tcPr>
          <w:p w14:paraId="4FC060FA"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10</w:t>
            </w:r>
          </w:p>
        </w:tc>
      </w:tr>
      <w:tr w:rsidR="00CE3639" w:rsidRPr="00CE3639" w14:paraId="223331A7" w14:textId="77777777" w:rsidTr="00062954">
        <w:tc>
          <w:tcPr>
            <w:tcW w:w="998" w:type="pct"/>
          </w:tcPr>
          <w:p w14:paraId="3A43E90A"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Crop scenario</w:t>
            </w:r>
          </w:p>
        </w:tc>
        <w:tc>
          <w:tcPr>
            <w:tcW w:w="1500" w:type="pct"/>
            <w:gridSpan w:val="2"/>
          </w:tcPr>
          <w:p w14:paraId="5A4FFE65"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Indicator species</w:t>
            </w:r>
          </w:p>
        </w:tc>
        <w:tc>
          <w:tcPr>
            <w:tcW w:w="625" w:type="pct"/>
          </w:tcPr>
          <w:p w14:paraId="49DF59C2"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SV</w:t>
            </w:r>
            <w:r w:rsidRPr="00254174">
              <w:rPr>
                <w:b/>
                <w:bCs/>
                <w:sz w:val="20"/>
                <w:szCs w:val="20"/>
                <w:highlight w:val="green"/>
                <w:vertAlign w:val="subscript"/>
                <w:lang w:val="en-GB"/>
              </w:rPr>
              <w:t>90</w:t>
            </w:r>
          </w:p>
        </w:tc>
        <w:tc>
          <w:tcPr>
            <w:tcW w:w="625" w:type="pct"/>
          </w:tcPr>
          <w:p w14:paraId="188344FD"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MAF</w:t>
            </w:r>
            <w:r w:rsidRPr="00254174">
              <w:rPr>
                <w:b/>
                <w:bCs/>
                <w:sz w:val="20"/>
                <w:szCs w:val="20"/>
                <w:highlight w:val="green"/>
                <w:vertAlign w:val="subscript"/>
                <w:lang w:val="en-GB"/>
              </w:rPr>
              <w:t>90</w:t>
            </w:r>
          </w:p>
        </w:tc>
        <w:tc>
          <w:tcPr>
            <w:tcW w:w="625" w:type="pct"/>
          </w:tcPr>
          <w:p w14:paraId="7EFA6BC2" w14:textId="77777777" w:rsidR="00CE3639" w:rsidRPr="00254174" w:rsidRDefault="00CE3639" w:rsidP="00062954">
            <w:pPr>
              <w:keepNext/>
              <w:keepLines/>
              <w:widowControl w:val="0"/>
              <w:rPr>
                <w:b/>
                <w:bCs/>
                <w:sz w:val="20"/>
                <w:szCs w:val="20"/>
                <w:highlight w:val="green"/>
                <w:lang w:val="de-DE"/>
              </w:rPr>
            </w:pPr>
            <w:r w:rsidRPr="00254174">
              <w:rPr>
                <w:b/>
                <w:bCs/>
                <w:sz w:val="20"/>
                <w:szCs w:val="20"/>
                <w:highlight w:val="green"/>
                <w:lang w:val="de-DE"/>
              </w:rPr>
              <w:t>DDD</w:t>
            </w:r>
            <w:r w:rsidRPr="00254174">
              <w:rPr>
                <w:b/>
                <w:bCs/>
                <w:sz w:val="20"/>
                <w:szCs w:val="20"/>
                <w:highlight w:val="green"/>
                <w:vertAlign w:val="subscript"/>
                <w:lang w:val="de-DE"/>
              </w:rPr>
              <w:t>90</w:t>
            </w:r>
          </w:p>
          <w:p w14:paraId="6804E71D" w14:textId="77777777" w:rsidR="00CE3639" w:rsidRPr="00254174" w:rsidRDefault="00CE3639" w:rsidP="00062954">
            <w:pPr>
              <w:keepNext/>
              <w:keepLines/>
              <w:widowControl w:val="0"/>
              <w:rPr>
                <w:b/>
                <w:bCs/>
                <w:sz w:val="20"/>
                <w:szCs w:val="20"/>
                <w:highlight w:val="green"/>
                <w:lang w:val="de-DE"/>
              </w:rPr>
            </w:pPr>
            <w:r w:rsidRPr="00254174">
              <w:rPr>
                <w:b/>
                <w:bCs/>
                <w:sz w:val="20"/>
                <w:szCs w:val="20"/>
                <w:highlight w:val="green"/>
                <w:lang w:val="de-DE"/>
              </w:rPr>
              <w:t>(mg/kg bw/d)</w:t>
            </w:r>
          </w:p>
        </w:tc>
        <w:tc>
          <w:tcPr>
            <w:tcW w:w="628" w:type="pct"/>
          </w:tcPr>
          <w:p w14:paraId="1F232445"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TER</w:t>
            </w:r>
            <w:r w:rsidRPr="00254174">
              <w:rPr>
                <w:b/>
                <w:bCs/>
                <w:sz w:val="20"/>
                <w:szCs w:val="20"/>
                <w:highlight w:val="green"/>
                <w:vertAlign w:val="subscript"/>
                <w:lang w:val="en-GB"/>
              </w:rPr>
              <w:t>a</w:t>
            </w:r>
          </w:p>
        </w:tc>
      </w:tr>
      <w:tr w:rsidR="00CE3639" w:rsidRPr="00CE3639" w14:paraId="3BABD333" w14:textId="77777777" w:rsidTr="00062954">
        <w:tc>
          <w:tcPr>
            <w:tcW w:w="998" w:type="pct"/>
          </w:tcPr>
          <w:p w14:paraId="21048B31" w14:textId="30E28E90" w:rsidR="00CE3639" w:rsidRPr="00254174" w:rsidRDefault="00CE3639" w:rsidP="00062954">
            <w:pPr>
              <w:keepNext/>
              <w:keepLines/>
              <w:widowControl w:val="0"/>
              <w:rPr>
                <w:sz w:val="20"/>
                <w:szCs w:val="20"/>
                <w:highlight w:val="green"/>
                <w:lang w:val="en-GB"/>
              </w:rPr>
            </w:pPr>
            <w:r w:rsidRPr="00254174">
              <w:rPr>
                <w:bCs/>
                <w:sz w:val="20"/>
                <w:szCs w:val="20"/>
                <w:highlight w:val="green"/>
                <w:lang w:val="en-GB"/>
              </w:rPr>
              <w:t>Ornamentals and orchards</w:t>
            </w:r>
          </w:p>
        </w:tc>
        <w:tc>
          <w:tcPr>
            <w:tcW w:w="1500" w:type="pct"/>
            <w:gridSpan w:val="2"/>
          </w:tcPr>
          <w:p w14:paraId="465CA121" w14:textId="77777777" w:rsidR="00CE3639" w:rsidRPr="00254174" w:rsidRDefault="00CE3639" w:rsidP="00062954">
            <w:pPr>
              <w:keepNext/>
              <w:keepLines/>
              <w:autoSpaceDE w:val="0"/>
              <w:autoSpaceDN w:val="0"/>
              <w:adjustRightInd w:val="0"/>
              <w:rPr>
                <w:color w:val="000000"/>
                <w:sz w:val="20"/>
                <w:szCs w:val="20"/>
                <w:highlight w:val="green"/>
                <w:lang w:val="en-GB"/>
              </w:rPr>
            </w:pPr>
            <w:r w:rsidRPr="00254174">
              <w:rPr>
                <w:sz w:val="20"/>
                <w:szCs w:val="20"/>
                <w:highlight w:val="green"/>
                <w:lang w:val="en-GB"/>
              </w:rPr>
              <w:t>Small herbivorous mammal</w:t>
            </w:r>
            <w:r w:rsidRPr="00254174">
              <w:rPr>
                <w:color w:val="000000"/>
                <w:sz w:val="20"/>
                <w:szCs w:val="20"/>
                <w:highlight w:val="green"/>
                <w:lang w:val="en-GB"/>
              </w:rPr>
              <w:t xml:space="preserve"> </w:t>
            </w:r>
          </w:p>
        </w:tc>
        <w:tc>
          <w:tcPr>
            <w:tcW w:w="625" w:type="pct"/>
          </w:tcPr>
          <w:p w14:paraId="6A9E5005" w14:textId="3C85F395"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136.4</w:t>
            </w:r>
          </w:p>
        </w:tc>
        <w:tc>
          <w:tcPr>
            <w:tcW w:w="625" w:type="pct"/>
          </w:tcPr>
          <w:p w14:paraId="5670B245" w14:textId="0D4FDAFD"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1.41</w:t>
            </w:r>
          </w:p>
        </w:tc>
        <w:tc>
          <w:tcPr>
            <w:tcW w:w="625" w:type="pct"/>
          </w:tcPr>
          <w:p w14:paraId="3C73F4D5" w14:textId="3A7F726F"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46.11</w:t>
            </w:r>
          </w:p>
        </w:tc>
        <w:tc>
          <w:tcPr>
            <w:tcW w:w="628" w:type="pct"/>
          </w:tcPr>
          <w:p w14:paraId="47845B35" w14:textId="12EF6FC7" w:rsidR="00CE3639" w:rsidRPr="00254174" w:rsidRDefault="00F2064A" w:rsidP="00062954">
            <w:pPr>
              <w:keepNext/>
              <w:keepLines/>
              <w:widowControl w:val="0"/>
              <w:rPr>
                <w:sz w:val="20"/>
                <w:szCs w:val="20"/>
                <w:highlight w:val="green"/>
                <w:lang w:val="en-GB"/>
              </w:rPr>
            </w:pPr>
            <w:r w:rsidRPr="00F2064A">
              <w:rPr>
                <w:sz w:val="20"/>
                <w:szCs w:val="20"/>
                <w:highlight w:val="yellow"/>
                <w:lang w:val="en-GB"/>
              </w:rPr>
              <w:t>&gt;</w:t>
            </w:r>
            <w:r w:rsidR="00CE3639" w:rsidRPr="00F2064A">
              <w:rPr>
                <w:sz w:val="20"/>
                <w:szCs w:val="20"/>
                <w:highlight w:val="yellow"/>
                <w:lang w:val="en-GB"/>
              </w:rPr>
              <w:t xml:space="preserve"> </w:t>
            </w:r>
            <w:r w:rsidR="00CE3639" w:rsidRPr="00254174">
              <w:rPr>
                <w:sz w:val="20"/>
                <w:szCs w:val="20"/>
                <w:highlight w:val="green"/>
                <w:lang w:val="en-GB"/>
              </w:rPr>
              <w:t>43.4</w:t>
            </w:r>
          </w:p>
        </w:tc>
      </w:tr>
      <w:tr w:rsidR="00CE3639" w:rsidRPr="00CE3639" w14:paraId="75466B69" w14:textId="77777777" w:rsidTr="00062954">
        <w:tc>
          <w:tcPr>
            <w:tcW w:w="1495" w:type="pct"/>
            <w:gridSpan w:val="2"/>
            <w:tcBorders>
              <w:bottom w:val="nil"/>
            </w:tcBorders>
          </w:tcPr>
          <w:p w14:paraId="49D2284A"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Reprod. toxicity (mg/kg bw/d)</w:t>
            </w:r>
          </w:p>
        </w:tc>
        <w:tc>
          <w:tcPr>
            <w:tcW w:w="3505" w:type="pct"/>
            <w:gridSpan w:val="5"/>
            <w:tcBorders>
              <w:bottom w:val="nil"/>
            </w:tcBorders>
          </w:tcPr>
          <w:p w14:paraId="1E6073C7"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939</w:t>
            </w:r>
          </w:p>
        </w:tc>
      </w:tr>
      <w:tr w:rsidR="00CE3639" w:rsidRPr="00CE3639" w14:paraId="53D4A640" w14:textId="77777777" w:rsidTr="00062954">
        <w:tc>
          <w:tcPr>
            <w:tcW w:w="1495" w:type="pct"/>
            <w:gridSpan w:val="2"/>
            <w:tcBorders>
              <w:top w:val="nil"/>
            </w:tcBorders>
          </w:tcPr>
          <w:p w14:paraId="29939E58"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TER criterion</w:t>
            </w:r>
          </w:p>
        </w:tc>
        <w:tc>
          <w:tcPr>
            <w:tcW w:w="3505" w:type="pct"/>
            <w:gridSpan w:val="5"/>
            <w:tcBorders>
              <w:top w:val="nil"/>
            </w:tcBorders>
          </w:tcPr>
          <w:p w14:paraId="1F2E71E8"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5</w:t>
            </w:r>
          </w:p>
        </w:tc>
      </w:tr>
      <w:tr w:rsidR="00CE3639" w:rsidRPr="00CE3639" w14:paraId="2D00E961" w14:textId="77777777" w:rsidTr="00062954">
        <w:tc>
          <w:tcPr>
            <w:tcW w:w="998" w:type="pct"/>
          </w:tcPr>
          <w:p w14:paraId="1FFABE58"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Crop scenario</w:t>
            </w:r>
          </w:p>
        </w:tc>
        <w:tc>
          <w:tcPr>
            <w:tcW w:w="1500" w:type="pct"/>
            <w:gridSpan w:val="2"/>
          </w:tcPr>
          <w:p w14:paraId="7164E851"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Indicator species</w:t>
            </w:r>
          </w:p>
        </w:tc>
        <w:tc>
          <w:tcPr>
            <w:tcW w:w="625" w:type="pct"/>
          </w:tcPr>
          <w:p w14:paraId="47316E07" w14:textId="77777777" w:rsidR="00CE3639" w:rsidRPr="00254174" w:rsidRDefault="00CE3639" w:rsidP="00062954">
            <w:pPr>
              <w:keepNext/>
              <w:keepLines/>
              <w:widowControl w:val="0"/>
              <w:rPr>
                <w:b/>
                <w:bCs/>
                <w:sz w:val="20"/>
                <w:szCs w:val="20"/>
                <w:highlight w:val="green"/>
                <w:vertAlign w:val="subscript"/>
                <w:lang w:val="en-GB"/>
              </w:rPr>
            </w:pPr>
            <w:r w:rsidRPr="00254174">
              <w:rPr>
                <w:b/>
                <w:bCs/>
                <w:sz w:val="20"/>
                <w:szCs w:val="20"/>
                <w:highlight w:val="green"/>
                <w:lang w:val="en-GB"/>
              </w:rPr>
              <w:t>SV</w:t>
            </w:r>
            <w:r w:rsidRPr="00254174">
              <w:rPr>
                <w:b/>
                <w:bCs/>
                <w:sz w:val="20"/>
                <w:szCs w:val="20"/>
                <w:highlight w:val="green"/>
                <w:vertAlign w:val="subscript"/>
                <w:lang w:val="en-GB"/>
              </w:rPr>
              <w:t>m</w:t>
            </w:r>
          </w:p>
        </w:tc>
        <w:tc>
          <w:tcPr>
            <w:tcW w:w="625" w:type="pct"/>
          </w:tcPr>
          <w:p w14:paraId="4E56CD19"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MAF</w:t>
            </w:r>
            <w:r w:rsidRPr="00254174">
              <w:rPr>
                <w:b/>
                <w:bCs/>
                <w:sz w:val="20"/>
                <w:szCs w:val="20"/>
                <w:highlight w:val="green"/>
                <w:vertAlign w:val="subscript"/>
                <w:lang w:val="en-GB"/>
              </w:rPr>
              <w:t>m</w:t>
            </w:r>
            <w:r w:rsidRPr="00254174">
              <w:rPr>
                <w:b/>
                <w:bCs/>
                <w:sz w:val="20"/>
                <w:szCs w:val="20"/>
                <w:highlight w:val="green"/>
                <w:lang w:val="en-GB"/>
              </w:rPr>
              <w:t xml:space="preserve"> × TWA</w:t>
            </w:r>
          </w:p>
        </w:tc>
        <w:tc>
          <w:tcPr>
            <w:tcW w:w="625" w:type="pct"/>
          </w:tcPr>
          <w:p w14:paraId="730707A7" w14:textId="77777777" w:rsidR="00CE3639" w:rsidRPr="00254174" w:rsidRDefault="00CE3639" w:rsidP="00062954">
            <w:pPr>
              <w:keepNext/>
              <w:keepLines/>
              <w:widowControl w:val="0"/>
              <w:rPr>
                <w:b/>
                <w:bCs/>
                <w:sz w:val="20"/>
                <w:szCs w:val="20"/>
                <w:highlight w:val="green"/>
                <w:lang w:val="de-DE"/>
              </w:rPr>
            </w:pPr>
            <w:r w:rsidRPr="00254174">
              <w:rPr>
                <w:b/>
                <w:bCs/>
                <w:sz w:val="20"/>
                <w:szCs w:val="20"/>
                <w:highlight w:val="green"/>
                <w:lang w:val="de-DE"/>
              </w:rPr>
              <w:t>DDD</w:t>
            </w:r>
            <w:r w:rsidRPr="00254174">
              <w:rPr>
                <w:b/>
                <w:bCs/>
                <w:sz w:val="20"/>
                <w:szCs w:val="20"/>
                <w:highlight w:val="green"/>
                <w:vertAlign w:val="subscript"/>
                <w:lang w:val="de-DE"/>
              </w:rPr>
              <w:t>m</w:t>
            </w:r>
          </w:p>
          <w:p w14:paraId="6FBD8E1F" w14:textId="77777777" w:rsidR="00CE3639" w:rsidRPr="00254174" w:rsidRDefault="00CE3639" w:rsidP="00062954">
            <w:pPr>
              <w:keepNext/>
              <w:keepLines/>
              <w:widowControl w:val="0"/>
              <w:rPr>
                <w:b/>
                <w:bCs/>
                <w:sz w:val="20"/>
                <w:szCs w:val="20"/>
                <w:highlight w:val="green"/>
                <w:lang w:val="de-DE"/>
              </w:rPr>
            </w:pPr>
            <w:r w:rsidRPr="00254174">
              <w:rPr>
                <w:b/>
                <w:bCs/>
                <w:sz w:val="20"/>
                <w:szCs w:val="20"/>
                <w:highlight w:val="green"/>
                <w:lang w:val="de-DE"/>
              </w:rPr>
              <w:t>(mg/kg bw/d)</w:t>
            </w:r>
          </w:p>
        </w:tc>
        <w:tc>
          <w:tcPr>
            <w:tcW w:w="628" w:type="pct"/>
          </w:tcPr>
          <w:p w14:paraId="56023039" w14:textId="77777777" w:rsidR="00CE3639" w:rsidRPr="00254174" w:rsidRDefault="00CE3639" w:rsidP="00062954">
            <w:pPr>
              <w:keepNext/>
              <w:keepLines/>
              <w:widowControl w:val="0"/>
              <w:rPr>
                <w:b/>
                <w:bCs/>
                <w:sz w:val="20"/>
                <w:szCs w:val="20"/>
                <w:highlight w:val="green"/>
                <w:lang w:val="en-GB"/>
              </w:rPr>
            </w:pPr>
            <w:r w:rsidRPr="00254174">
              <w:rPr>
                <w:b/>
                <w:bCs/>
                <w:sz w:val="20"/>
                <w:szCs w:val="20"/>
                <w:highlight w:val="green"/>
                <w:lang w:val="en-GB"/>
              </w:rPr>
              <w:t>TER</w:t>
            </w:r>
            <w:r w:rsidRPr="00254174">
              <w:rPr>
                <w:b/>
                <w:bCs/>
                <w:sz w:val="20"/>
                <w:szCs w:val="20"/>
                <w:highlight w:val="green"/>
                <w:vertAlign w:val="subscript"/>
                <w:lang w:val="en-GB"/>
              </w:rPr>
              <w:t>lt</w:t>
            </w:r>
          </w:p>
        </w:tc>
      </w:tr>
      <w:tr w:rsidR="00CE3639" w:rsidRPr="00CE3639" w14:paraId="019E9984" w14:textId="77777777" w:rsidTr="00062954">
        <w:tc>
          <w:tcPr>
            <w:tcW w:w="998" w:type="pct"/>
          </w:tcPr>
          <w:p w14:paraId="1705EC95" w14:textId="7C6EF5A2" w:rsidR="00CE3639" w:rsidRPr="00254174" w:rsidRDefault="00CE3639" w:rsidP="00062954">
            <w:pPr>
              <w:keepNext/>
              <w:keepLines/>
              <w:widowControl w:val="0"/>
              <w:rPr>
                <w:sz w:val="20"/>
                <w:szCs w:val="20"/>
                <w:highlight w:val="green"/>
                <w:lang w:val="en-GB"/>
              </w:rPr>
            </w:pPr>
            <w:r w:rsidRPr="00254174">
              <w:rPr>
                <w:bCs/>
                <w:sz w:val="20"/>
                <w:szCs w:val="20"/>
                <w:highlight w:val="green"/>
                <w:lang w:val="en-GB"/>
              </w:rPr>
              <w:t>Ornamentals and orchards</w:t>
            </w:r>
          </w:p>
        </w:tc>
        <w:tc>
          <w:tcPr>
            <w:tcW w:w="1500" w:type="pct"/>
            <w:gridSpan w:val="2"/>
          </w:tcPr>
          <w:p w14:paraId="5951C866" w14:textId="77777777"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Small herbivorous mammal</w:t>
            </w:r>
          </w:p>
        </w:tc>
        <w:tc>
          <w:tcPr>
            <w:tcW w:w="625" w:type="pct"/>
          </w:tcPr>
          <w:p w14:paraId="3181DAB4" w14:textId="0B2D357D"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72.3</w:t>
            </w:r>
          </w:p>
        </w:tc>
        <w:tc>
          <w:tcPr>
            <w:tcW w:w="625" w:type="pct"/>
          </w:tcPr>
          <w:p w14:paraId="5DB00993" w14:textId="01D29992"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1.62 × 0.53</w:t>
            </w:r>
          </w:p>
        </w:tc>
        <w:tc>
          <w:tcPr>
            <w:tcW w:w="625" w:type="pct"/>
          </w:tcPr>
          <w:p w14:paraId="456C329B" w14:textId="58768466" w:rsidR="00CE3639" w:rsidRPr="00254174" w:rsidRDefault="00CE3639" w:rsidP="00062954">
            <w:pPr>
              <w:keepNext/>
              <w:keepLines/>
              <w:widowControl w:val="0"/>
              <w:rPr>
                <w:sz w:val="20"/>
                <w:szCs w:val="20"/>
                <w:highlight w:val="green"/>
                <w:lang w:val="en-GB"/>
              </w:rPr>
            </w:pPr>
            <w:r w:rsidRPr="00254174">
              <w:rPr>
                <w:sz w:val="20"/>
                <w:szCs w:val="20"/>
                <w:highlight w:val="green"/>
                <w:lang w:val="en-GB"/>
              </w:rPr>
              <w:t>14.86</w:t>
            </w:r>
          </w:p>
        </w:tc>
        <w:tc>
          <w:tcPr>
            <w:tcW w:w="628" w:type="pct"/>
          </w:tcPr>
          <w:p w14:paraId="62DE34DB" w14:textId="3BBF2116" w:rsidR="00CE3639" w:rsidRPr="00254174" w:rsidRDefault="00F2064A" w:rsidP="00062954">
            <w:pPr>
              <w:keepNext/>
              <w:keepLines/>
              <w:widowControl w:val="0"/>
              <w:rPr>
                <w:sz w:val="20"/>
                <w:szCs w:val="20"/>
                <w:highlight w:val="green"/>
                <w:lang w:val="en-GB"/>
              </w:rPr>
            </w:pPr>
            <w:r w:rsidRPr="00F2064A">
              <w:rPr>
                <w:sz w:val="20"/>
                <w:szCs w:val="20"/>
                <w:highlight w:val="yellow"/>
                <w:lang w:val="en-GB"/>
              </w:rPr>
              <w:t>&gt;</w:t>
            </w:r>
            <w:r w:rsidR="00CE3639" w:rsidRPr="00254174">
              <w:rPr>
                <w:sz w:val="20"/>
                <w:szCs w:val="20"/>
                <w:highlight w:val="green"/>
                <w:lang w:val="en-GB"/>
              </w:rPr>
              <w:t xml:space="preserve"> 63.2</w:t>
            </w:r>
          </w:p>
        </w:tc>
      </w:tr>
    </w:tbl>
    <w:p w14:paraId="3C741C45" w14:textId="77777777" w:rsidR="00CE3639" w:rsidRPr="00A34F10" w:rsidRDefault="00CE3639" w:rsidP="00CE3639">
      <w:pPr>
        <w:keepNext/>
        <w:keepLines/>
        <w:widowControl w:val="0"/>
        <w:tabs>
          <w:tab w:val="left" w:pos="0"/>
        </w:tabs>
        <w:rPr>
          <w:sz w:val="18"/>
          <w:szCs w:val="18"/>
          <w:lang w:val="en-GB"/>
        </w:rPr>
      </w:pPr>
      <w:r w:rsidRPr="00CE3639">
        <w:rPr>
          <w:sz w:val="18"/>
          <w:szCs w:val="18"/>
          <w:highlight w:val="green"/>
          <w:lang w:val="en-GB"/>
        </w:rPr>
        <w:t>SV: shortcut value; MAF: multiple application factor; TWA: time-weighted average factor; DDD: daily dietary dose; TER: toxicity to exposure ratio.</w:t>
      </w:r>
      <w:r w:rsidRPr="00A34F10">
        <w:rPr>
          <w:sz w:val="18"/>
          <w:szCs w:val="18"/>
          <w:lang w:val="en-GB"/>
        </w:rPr>
        <w:t xml:space="preserve"> </w:t>
      </w:r>
    </w:p>
    <w:p w14:paraId="73ED6D14" w14:textId="051B38F7" w:rsidR="00CE3639" w:rsidRDefault="00CE3639" w:rsidP="00DC5685">
      <w:pPr>
        <w:widowControl w:val="0"/>
        <w:tabs>
          <w:tab w:val="left" w:pos="720"/>
        </w:tabs>
        <w:suppressAutoHyphens/>
        <w:jc w:val="both"/>
        <w:rPr>
          <w:lang w:val="en-GB"/>
        </w:rPr>
      </w:pPr>
    </w:p>
    <w:p w14:paraId="15C28C4B" w14:textId="315C6207" w:rsidR="00DC5685" w:rsidRPr="00A34F10" w:rsidRDefault="00DC5685" w:rsidP="00DC5685">
      <w:pPr>
        <w:widowControl w:val="0"/>
        <w:suppressAutoHyphens/>
        <w:jc w:val="both"/>
        <w:rPr>
          <w:rFonts w:eastAsia="Batang"/>
          <w:lang w:val="en-GB" w:eastAsia="zh-CN"/>
        </w:rPr>
      </w:pPr>
      <w:bookmarkStart w:id="364" w:name="_Hlk134998837"/>
      <w:r w:rsidRPr="00A34F10">
        <w:rPr>
          <w:lang w:val="en-GB"/>
        </w:rPr>
        <w:t>The screening assessment</w:t>
      </w:r>
      <w:r w:rsidR="00CE3639" w:rsidRPr="00CE3639">
        <w:rPr>
          <w:highlight w:val="green"/>
          <w:lang w:val="en-GB"/>
        </w:rPr>
        <w:t>s</w:t>
      </w:r>
      <w:r w:rsidRPr="00A34F10">
        <w:rPr>
          <w:lang w:val="en-GB"/>
        </w:rPr>
        <w:t xml:space="preserve"> above show</w:t>
      </w:r>
      <w:r w:rsidRPr="00CE3639">
        <w:rPr>
          <w:strike/>
          <w:highlight w:val="green"/>
          <w:lang w:val="en-GB"/>
        </w:rPr>
        <w:t>s</w:t>
      </w:r>
      <w:r w:rsidRPr="00A34F10">
        <w:rPr>
          <w:lang w:val="en-GB"/>
        </w:rPr>
        <w:t xml:space="preserve"> an acceptable acute and chronic risk to mammals for the active substance Ametoctradin from the proposed uses of BAS 743 03 F. No higher tier dietary risk assessments are necessary.</w:t>
      </w:r>
      <w:bookmarkEnd w:id="364"/>
    </w:p>
    <w:p w14:paraId="274BA1DA" w14:textId="5D63738F" w:rsidR="00D35101" w:rsidRDefault="00D35101">
      <w:pPr>
        <w:rPr>
          <w:rFonts w:eastAsia="Batang"/>
          <w:lang w:val="en-GB" w:eastAsia="zh-CN"/>
        </w:rPr>
      </w:pPr>
      <w:r>
        <w:rPr>
          <w:rFonts w:eastAsia="Batang"/>
          <w:lang w:val="en-GB" w:eastAsia="zh-CN"/>
        </w:rPr>
        <w:br w:type="page"/>
      </w:r>
    </w:p>
    <w:p w14:paraId="2BEFC2DF" w14:textId="14C4731C" w:rsidR="00DC5685" w:rsidRPr="00A34F10" w:rsidRDefault="00DC5685" w:rsidP="00DC5685">
      <w:pPr>
        <w:keepNext/>
        <w:keepLines/>
        <w:widowControl w:val="0"/>
        <w:tabs>
          <w:tab w:val="left" w:pos="1985"/>
        </w:tabs>
        <w:spacing w:before="200" w:after="120"/>
        <w:ind w:left="1985" w:hanging="1985"/>
        <w:jc w:val="both"/>
        <w:rPr>
          <w:b/>
          <w:bCs/>
          <w:lang w:val="en-GB"/>
        </w:rPr>
      </w:pPr>
      <w:r w:rsidRPr="00A34F10">
        <w:rPr>
          <w:b/>
          <w:bCs/>
          <w:lang w:val="en-GB"/>
        </w:rPr>
        <w:lastRenderedPageBreak/>
        <w:t xml:space="preserve">Table </w:t>
      </w:r>
      <w:r w:rsidRPr="00A34F10">
        <w:rPr>
          <w:b/>
          <w:bCs/>
          <w:lang w:val="en-GB"/>
        </w:rPr>
        <w:fldChar w:fldCharType="begin"/>
      </w:r>
      <w:r w:rsidRPr="00A34F10">
        <w:rPr>
          <w:b/>
          <w:bCs/>
          <w:lang w:val="en-GB"/>
        </w:rPr>
        <w:instrText xml:space="preserve"> STYLEREF 2 \s </w:instrText>
      </w:r>
      <w:r w:rsidRPr="00A34F10">
        <w:rPr>
          <w:b/>
          <w:bCs/>
          <w:lang w:val="en-GB"/>
        </w:rPr>
        <w:fldChar w:fldCharType="separate"/>
      </w:r>
      <w:r w:rsidR="006F0F3B">
        <w:rPr>
          <w:b/>
          <w:bCs/>
          <w:noProof/>
          <w:lang w:val="en-GB"/>
        </w:rPr>
        <w:t>9.3</w:t>
      </w:r>
      <w:r w:rsidRPr="00A34F10">
        <w:rPr>
          <w:b/>
          <w:bCs/>
          <w:lang w:val="en-GB"/>
        </w:rPr>
        <w:fldChar w:fldCharType="end"/>
      </w:r>
      <w:r w:rsidRPr="00A34F10">
        <w:rPr>
          <w:b/>
          <w:bCs/>
          <w:lang w:val="en-GB"/>
        </w:rPr>
        <w:noBreakHyphen/>
      </w:r>
      <w:r w:rsidR="00AD52F6" w:rsidRPr="00AD52F6">
        <w:rPr>
          <w:b/>
          <w:bCs/>
          <w:highlight w:val="green"/>
          <w:lang w:val="en-GB"/>
        </w:rPr>
        <w:t>10</w:t>
      </w:r>
      <w:r w:rsidRPr="00A34F10">
        <w:rPr>
          <w:b/>
          <w:bCs/>
          <w:lang w:val="en-GB"/>
        </w:rPr>
        <w:t xml:space="preserve">: </w:t>
      </w:r>
      <w:r w:rsidRPr="00A34F10">
        <w:rPr>
          <w:b/>
          <w:bCs/>
          <w:lang w:val="en-GB"/>
        </w:rPr>
        <w:tab/>
        <w:t>Propamocarb-HCL: Screening assessment of the acute and long-term/reproductive risk for mammals due to the worst-case use of BAS 743 03 F in potatoes (3 × 2.0 L product/ha)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51"/>
        <w:gridCol w:w="915"/>
        <w:gridCol w:w="1861"/>
        <w:gridCol w:w="1154"/>
        <w:gridCol w:w="1154"/>
        <w:gridCol w:w="1254"/>
        <w:gridCol w:w="1158"/>
      </w:tblGrid>
      <w:tr w:rsidR="00DC5685" w:rsidRPr="00A34F10" w14:paraId="25BFF52C" w14:textId="77777777" w:rsidTr="000470C3">
        <w:tc>
          <w:tcPr>
            <w:tcW w:w="1495" w:type="pct"/>
            <w:gridSpan w:val="2"/>
            <w:tcBorders>
              <w:bottom w:val="nil"/>
            </w:tcBorders>
          </w:tcPr>
          <w:p w14:paraId="2813B1BD" w14:textId="77777777" w:rsidR="00DC5685" w:rsidRPr="00254174" w:rsidRDefault="00DC5685" w:rsidP="000470C3">
            <w:pPr>
              <w:keepNext/>
              <w:keepLines/>
              <w:widowControl w:val="0"/>
              <w:rPr>
                <w:b/>
                <w:bCs/>
                <w:sz w:val="20"/>
                <w:szCs w:val="20"/>
                <w:lang w:val="en-GB"/>
              </w:rPr>
            </w:pPr>
            <w:r w:rsidRPr="00254174">
              <w:rPr>
                <w:b/>
                <w:bCs/>
                <w:sz w:val="20"/>
                <w:szCs w:val="20"/>
                <w:lang w:val="en-GB"/>
              </w:rPr>
              <w:t>Intended use</w:t>
            </w:r>
          </w:p>
        </w:tc>
        <w:tc>
          <w:tcPr>
            <w:tcW w:w="3505" w:type="pct"/>
            <w:gridSpan w:val="5"/>
            <w:tcBorders>
              <w:bottom w:val="nil"/>
            </w:tcBorders>
          </w:tcPr>
          <w:p w14:paraId="16967981" w14:textId="77777777" w:rsidR="00DC5685" w:rsidRPr="00254174" w:rsidRDefault="00DC5685" w:rsidP="000470C3">
            <w:pPr>
              <w:keepNext/>
              <w:keepLines/>
              <w:widowControl w:val="0"/>
              <w:rPr>
                <w:sz w:val="20"/>
                <w:szCs w:val="20"/>
                <w:lang w:val="en-GB"/>
              </w:rPr>
            </w:pPr>
            <w:r w:rsidRPr="00254174">
              <w:rPr>
                <w:bCs/>
                <w:sz w:val="20"/>
                <w:szCs w:val="20"/>
                <w:lang w:val="en-GB"/>
              </w:rPr>
              <w:t>Potatoes</w:t>
            </w:r>
          </w:p>
        </w:tc>
      </w:tr>
      <w:tr w:rsidR="00DC5685" w:rsidRPr="00A34F10" w14:paraId="0C100034" w14:textId="77777777" w:rsidTr="000470C3">
        <w:tc>
          <w:tcPr>
            <w:tcW w:w="1495" w:type="pct"/>
            <w:gridSpan w:val="2"/>
            <w:tcBorders>
              <w:top w:val="nil"/>
              <w:bottom w:val="nil"/>
            </w:tcBorders>
          </w:tcPr>
          <w:p w14:paraId="502D7260" w14:textId="77777777" w:rsidR="00DC5685" w:rsidRPr="00254174" w:rsidRDefault="00DC5685" w:rsidP="000470C3">
            <w:pPr>
              <w:keepNext/>
              <w:keepLines/>
              <w:widowControl w:val="0"/>
              <w:rPr>
                <w:b/>
                <w:bCs/>
                <w:sz w:val="20"/>
                <w:szCs w:val="20"/>
                <w:lang w:val="en-GB"/>
              </w:rPr>
            </w:pPr>
            <w:r w:rsidRPr="00254174">
              <w:rPr>
                <w:b/>
                <w:bCs/>
                <w:sz w:val="20"/>
                <w:szCs w:val="20"/>
                <w:lang w:val="en-GB"/>
              </w:rPr>
              <w:t>Active substance</w:t>
            </w:r>
          </w:p>
        </w:tc>
        <w:tc>
          <w:tcPr>
            <w:tcW w:w="3505" w:type="pct"/>
            <w:gridSpan w:val="5"/>
            <w:tcBorders>
              <w:top w:val="nil"/>
              <w:bottom w:val="nil"/>
            </w:tcBorders>
          </w:tcPr>
          <w:p w14:paraId="7A899B19" w14:textId="77777777" w:rsidR="00DC5685" w:rsidRPr="00254174" w:rsidRDefault="00DC5685" w:rsidP="000470C3">
            <w:pPr>
              <w:keepNext/>
              <w:keepLines/>
              <w:widowControl w:val="0"/>
              <w:rPr>
                <w:sz w:val="20"/>
                <w:szCs w:val="20"/>
                <w:lang w:val="en-GB"/>
              </w:rPr>
            </w:pPr>
            <w:r w:rsidRPr="00254174">
              <w:rPr>
                <w:sz w:val="20"/>
                <w:szCs w:val="20"/>
                <w:lang w:val="en-GB"/>
              </w:rPr>
              <w:t>Propamocarb</w:t>
            </w:r>
          </w:p>
        </w:tc>
      </w:tr>
      <w:tr w:rsidR="00DC5685" w:rsidRPr="00A34F10" w14:paraId="520D0ECC" w14:textId="77777777" w:rsidTr="000470C3">
        <w:tc>
          <w:tcPr>
            <w:tcW w:w="1495" w:type="pct"/>
            <w:gridSpan w:val="2"/>
            <w:tcBorders>
              <w:top w:val="nil"/>
              <w:bottom w:val="single" w:sz="4" w:space="0" w:color="auto"/>
            </w:tcBorders>
          </w:tcPr>
          <w:p w14:paraId="5CE47094" w14:textId="77777777" w:rsidR="00DC5685" w:rsidRPr="00254174" w:rsidRDefault="00DC5685" w:rsidP="000470C3">
            <w:pPr>
              <w:keepNext/>
              <w:keepLines/>
              <w:widowControl w:val="0"/>
              <w:rPr>
                <w:b/>
                <w:bCs/>
                <w:sz w:val="20"/>
                <w:szCs w:val="20"/>
                <w:lang w:val="en-GB"/>
              </w:rPr>
            </w:pPr>
            <w:r w:rsidRPr="00254174">
              <w:rPr>
                <w:b/>
                <w:bCs/>
                <w:sz w:val="20"/>
                <w:szCs w:val="20"/>
                <w:lang w:val="en-GB"/>
              </w:rPr>
              <w:t>Application rate (g/ha)</w:t>
            </w:r>
          </w:p>
        </w:tc>
        <w:tc>
          <w:tcPr>
            <w:tcW w:w="3505" w:type="pct"/>
            <w:gridSpan w:val="5"/>
            <w:tcBorders>
              <w:top w:val="nil"/>
              <w:bottom w:val="single" w:sz="4" w:space="0" w:color="auto"/>
            </w:tcBorders>
          </w:tcPr>
          <w:p w14:paraId="42BFC59E" w14:textId="77777777" w:rsidR="00DC5685" w:rsidRPr="00254174" w:rsidRDefault="00DC5685" w:rsidP="000470C3">
            <w:pPr>
              <w:keepNext/>
              <w:keepLines/>
              <w:widowControl w:val="0"/>
              <w:rPr>
                <w:sz w:val="20"/>
                <w:szCs w:val="20"/>
                <w:lang w:val="en-GB"/>
              </w:rPr>
            </w:pPr>
            <w:r w:rsidRPr="00254174">
              <w:rPr>
                <w:sz w:val="20"/>
                <w:szCs w:val="20"/>
                <w:lang w:val="en-GB"/>
              </w:rPr>
              <w:t>3 × 902</w:t>
            </w:r>
          </w:p>
        </w:tc>
      </w:tr>
      <w:tr w:rsidR="00DC5685" w:rsidRPr="00A34F10" w14:paraId="6215E33E" w14:textId="77777777" w:rsidTr="000470C3">
        <w:tc>
          <w:tcPr>
            <w:tcW w:w="1495" w:type="pct"/>
            <w:gridSpan w:val="2"/>
            <w:tcBorders>
              <w:bottom w:val="nil"/>
            </w:tcBorders>
          </w:tcPr>
          <w:p w14:paraId="59FD7E20" w14:textId="77777777" w:rsidR="00DC5685" w:rsidRPr="00254174" w:rsidRDefault="00DC5685" w:rsidP="000470C3">
            <w:pPr>
              <w:keepNext/>
              <w:keepLines/>
              <w:widowControl w:val="0"/>
              <w:rPr>
                <w:b/>
                <w:bCs/>
                <w:sz w:val="20"/>
                <w:szCs w:val="20"/>
                <w:lang w:val="en-GB"/>
              </w:rPr>
            </w:pPr>
            <w:r w:rsidRPr="00254174">
              <w:rPr>
                <w:b/>
                <w:bCs/>
                <w:sz w:val="20"/>
                <w:szCs w:val="20"/>
                <w:lang w:val="en-GB"/>
              </w:rPr>
              <w:t>Acute toxicity (mg/kg bw)</w:t>
            </w:r>
          </w:p>
        </w:tc>
        <w:tc>
          <w:tcPr>
            <w:tcW w:w="3505" w:type="pct"/>
            <w:gridSpan w:val="5"/>
            <w:tcBorders>
              <w:bottom w:val="nil"/>
            </w:tcBorders>
          </w:tcPr>
          <w:p w14:paraId="6CDC7F8B" w14:textId="33344287" w:rsidR="00DC5685" w:rsidRPr="00254174" w:rsidRDefault="00DC5685" w:rsidP="000470C3">
            <w:pPr>
              <w:keepNext/>
              <w:keepLines/>
              <w:widowControl w:val="0"/>
              <w:rPr>
                <w:sz w:val="20"/>
                <w:szCs w:val="20"/>
                <w:lang w:val="en-GB"/>
              </w:rPr>
            </w:pPr>
            <w:r w:rsidRPr="00E62A3A">
              <w:rPr>
                <w:strike/>
                <w:color w:val="D9D9D9" w:themeColor="background1" w:themeShade="D9"/>
                <w:sz w:val="20"/>
                <w:szCs w:val="20"/>
                <w:lang w:val="en-GB"/>
              </w:rPr>
              <w:t>2000</w:t>
            </w:r>
            <w:r w:rsidR="00E62A3A">
              <w:rPr>
                <w:sz w:val="20"/>
                <w:szCs w:val="20"/>
                <w:lang w:val="en-GB"/>
              </w:rPr>
              <w:t xml:space="preserve"> </w:t>
            </w:r>
            <w:r w:rsidR="00E62A3A" w:rsidRPr="00E62A3A">
              <w:rPr>
                <w:sz w:val="20"/>
                <w:szCs w:val="20"/>
                <w:shd w:val="clear" w:color="auto" w:fill="D9D9D9" w:themeFill="background1" w:themeFillShade="D9"/>
                <w:lang w:val="en-GB"/>
              </w:rPr>
              <w:t>1330</w:t>
            </w:r>
          </w:p>
        </w:tc>
      </w:tr>
      <w:tr w:rsidR="00DC5685" w:rsidRPr="00A34F10" w14:paraId="4ED336AC" w14:textId="77777777" w:rsidTr="000470C3">
        <w:tc>
          <w:tcPr>
            <w:tcW w:w="1495" w:type="pct"/>
            <w:gridSpan w:val="2"/>
            <w:tcBorders>
              <w:top w:val="nil"/>
            </w:tcBorders>
          </w:tcPr>
          <w:p w14:paraId="7CBBA327" w14:textId="77777777" w:rsidR="00DC5685" w:rsidRPr="00254174" w:rsidRDefault="00DC5685" w:rsidP="000470C3">
            <w:pPr>
              <w:keepNext/>
              <w:keepLines/>
              <w:widowControl w:val="0"/>
              <w:rPr>
                <w:b/>
                <w:bCs/>
                <w:sz w:val="20"/>
                <w:szCs w:val="20"/>
                <w:lang w:val="en-GB"/>
              </w:rPr>
            </w:pPr>
            <w:r w:rsidRPr="00254174">
              <w:rPr>
                <w:b/>
                <w:bCs/>
                <w:sz w:val="20"/>
                <w:szCs w:val="20"/>
                <w:lang w:val="en-GB"/>
              </w:rPr>
              <w:t>TER criterion</w:t>
            </w:r>
          </w:p>
        </w:tc>
        <w:tc>
          <w:tcPr>
            <w:tcW w:w="3505" w:type="pct"/>
            <w:gridSpan w:val="5"/>
            <w:tcBorders>
              <w:top w:val="nil"/>
            </w:tcBorders>
          </w:tcPr>
          <w:p w14:paraId="456F0302" w14:textId="77777777" w:rsidR="00DC5685" w:rsidRPr="00254174" w:rsidRDefault="00DC5685" w:rsidP="000470C3">
            <w:pPr>
              <w:keepNext/>
              <w:keepLines/>
              <w:widowControl w:val="0"/>
              <w:rPr>
                <w:sz w:val="20"/>
                <w:szCs w:val="20"/>
                <w:lang w:val="en-GB"/>
              </w:rPr>
            </w:pPr>
            <w:r w:rsidRPr="00254174">
              <w:rPr>
                <w:sz w:val="20"/>
                <w:szCs w:val="20"/>
                <w:lang w:val="en-GB"/>
              </w:rPr>
              <w:t>10</w:t>
            </w:r>
          </w:p>
        </w:tc>
      </w:tr>
      <w:tr w:rsidR="00DC5685" w:rsidRPr="00A34F10" w14:paraId="71DD3F36" w14:textId="77777777" w:rsidTr="000470C3">
        <w:tc>
          <w:tcPr>
            <w:tcW w:w="998" w:type="pct"/>
          </w:tcPr>
          <w:p w14:paraId="17E54140" w14:textId="77777777" w:rsidR="00DC5685" w:rsidRPr="00254174" w:rsidRDefault="00DC5685" w:rsidP="000470C3">
            <w:pPr>
              <w:keepNext/>
              <w:keepLines/>
              <w:widowControl w:val="0"/>
              <w:rPr>
                <w:b/>
                <w:bCs/>
                <w:sz w:val="20"/>
                <w:szCs w:val="20"/>
                <w:lang w:val="en-GB"/>
              </w:rPr>
            </w:pPr>
            <w:r w:rsidRPr="00254174">
              <w:rPr>
                <w:b/>
                <w:bCs/>
                <w:sz w:val="20"/>
                <w:szCs w:val="20"/>
                <w:lang w:val="en-GB"/>
              </w:rPr>
              <w:t>Crop scenario</w:t>
            </w:r>
          </w:p>
        </w:tc>
        <w:tc>
          <w:tcPr>
            <w:tcW w:w="1500" w:type="pct"/>
            <w:gridSpan w:val="2"/>
          </w:tcPr>
          <w:p w14:paraId="5104E2C8" w14:textId="77777777" w:rsidR="00DC5685" w:rsidRPr="00254174" w:rsidRDefault="00DC5685" w:rsidP="000470C3">
            <w:pPr>
              <w:keepNext/>
              <w:keepLines/>
              <w:widowControl w:val="0"/>
              <w:rPr>
                <w:b/>
                <w:bCs/>
                <w:sz w:val="20"/>
                <w:szCs w:val="20"/>
                <w:lang w:val="en-GB"/>
              </w:rPr>
            </w:pPr>
            <w:r w:rsidRPr="00254174">
              <w:rPr>
                <w:b/>
                <w:bCs/>
                <w:sz w:val="20"/>
                <w:szCs w:val="20"/>
                <w:lang w:val="en-GB"/>
              </w:rPr>
              <w:t>Indicator species</w:t>
            </w:r>
          </w:p>
        </w:tc>
        <w:tc>
          <w:tcPr>
            <w:tcW w:w="625" w:type="pct"/>
          </w:tcPr>
          <w:p w14:paraId="437CE4C7" w14:textId="77777777" w:rsidR="00DC5685" w:rsidRPr="00254174" w:rsidRDefault="00DC5685" w:rsidP="000470C3">
            <w:pPr>
              <w:keepNext/>
              <w:keepLines/>
              <w:widowControl w:val="0"/>
              <w:rPr>
                <w:b/>
                <w:bCs/>
                <w:sz w:val="20"/>
                <w:szCs w:val="20"/>
                <w:lang w:val="en-GB"/>
              </w:rPr>
            </w:pPr>
            <w:r w:rsidRPr="00254174">
              <w:rPr>
                <w:b/>
                <w:bCs/>
                <w:sz w:val="20"/>
                <w:szCs w:val="20"/>
                <w:lang w:val="en-GB"/>
              </w:rPr>
              <w:t>SV</w:t>
            </w:r>
            <w:r w:rsidRPr="00254174">
              <w:rPr>
                <w:b/>
                <w:bCs/>
                <w:sz w:val="20"/>
                <w:szCs w:val="20"/>
                <w:vertAlign w:val="subscript"/>
                <w:lang w:val="en-GB"/>
              </w:rPr>
              <w:t>90</w:t>
            </w:r>
          </w:p>
        </w:tc>
        <w:tc>
          <w:tcPr>
            <w:tcW w:w="625" w:type="pct"/>
          </w:tcPr>
          <w:p w14:paraId="29618321" w14:textId="77777777" w:rsidR="00DC5685" w:rsidRPr="00254174" w:rsidRDefault="00DC5685" w:rsidP="000470C3">
            <w:pPr>
              <w:keepNext/>
              <w:keepLines/>
              <w:widowControl w:val="0"/>
              <w:rPr>
                <w:b/>
                <w:bCs/>
                <w:sz w:val="20"/>
                <w:szCs w:val="20"/>
                <w:lang w:val="en-GB"/>
              </w:rPr>
            </w:pPr>
            <w:r w:rsidRPr="00254174">
              <w:rPr>
                <w:b/>
                <w:bCs/>
                <w:sz w:val="20"/>
                <w:szCs w:val="20"/>
                <w:lang w:val="en-GB"/>
              </w:rPr>
              <w:t>MAF</w:t>
            </w:r>
            <w:r w:rsidRPr="00254174">
              <w:rPr>
                <w:b/>
                <w:bCs/>
                <w:sz w:val="20"/>
                <w:szCs w:val="20"/>
                <w:vertAlign w:val="subscript"/>
                <w:lang w:val="en-GB"/>
              </w:rPr>
              <w:t>90</w:t>
            </w:r>
          </w:p>
        </w:tc>
        <w:tc>
          <w:tcPr>
            <w:tcW w:w="625" w:type="pct"/>
          </w:tcPr>
          <w:p w14:paraId="1CF064DA" w14:textId="77777777" w:rsidR="00DC5685" w:rsidRPr="00254174" w:rsidRDefault="00DC5685" w:rsidP="000470C3">
            <w:pPr>
              <w:keepNext/>
              <w:keepLines/>
              <w:widowControl w:val="0"/>
              <w:rPr>
                <w:b/>
                <w:bCs/>
                <w:sz w:val="20"/>
                <w:szCs w:val="20"/>
                <w:lang w:val="de-DE"/>
              </w:rPr>
            </w:pPr>
            <w:r w:rsidRPr="00254174">
              <w:rPr>
                <w:b/>
                <w:bCs/>
                <w:sz w:val="20"/>
                <w:szCs w:val="20"/>
                <w:lang w:val="de-DE"/>
              </w:rPr>
              <w:t>DDD</w:t>
            </w:r>
            <w:r w:rsidRPr="00254174">
              <w:rPr>
                <w:b/>
                <w:bCs/>
                <w:sz w:val="20"/>
                <w:szCs w:val="20"/>
                <w:vertAlign w:val="subscript"/>
                <w:lang w:val="de-DE"/>
              </w:rPr>
              <w:t>90</w:t>
            </w:r>
          </w:p>
          <w:p w14:paraId="4D59CD32" w14:textId="77777777" w:rsidR="00DC5685" w:rsidRPr="00254174" w:rsidRDefault="00DC5685" w:rsidP="000470C3">
            <w:pPr>
              <w:keepNext/>
              <w:keepLines/>
              <w:widowControl w:val="0"/>
              <w:rPr>
                <w:b/>
                <w:bCs/>
                <w:sz w:val="20"/>
                <w:szCs w:val="20"/>
                <w:lang w:val="de-DE"/>
              </w:rPr>
            </w:pPr>
            <w:r w:rsidRPr="00254174">
              <w:rPr>
                <w:b/>
                <w:bCs/>
                <w:sz w:val="20"/>
                <w:szCs w:val="20"/>
                <w:lang w:val="de-DE"/>
              </w:rPr>
              <w:t>(mg/kg bw/d)</w:t>
            </w:r>
          </w:p>
        </w:tc>
        <w:tc>
          <w:tcPr>
            <w:tcW w:w="628" w:type="pct"/>
          </w:tcPr>
          <w:p w14:paraId="0921D461" w14:textId="77777777" w:rsidR="00DC5685" w:rsidRPr="00254174" w:rsidRDefault="00DC5685" w:rsidP="000470C3">
            <w:pPr>
              <w:keepNext/>
              <w:keepLines/>
              <w:widowControl w:val="0"/>
              <w:rPr>
                <w:b/>
                <w:bCs/>
                <w:sz w:val="20"/>
                <w:szCs w:val="20"/>
                <w:lang w:val="en-GB"/>
              </w:rPr>
            </w:pPr>
            <w:r w:rsidRPr="00254174">
              <w:rPr>
                <w:b/>
                <w:bCs/>
                <w:sz w:val="20"/>
                <w:szCs w:val="20"/>
                <w:lang w:val="en-GB"/>
              </w:rPr>
              <w:t>TER</w:t>
            </w:r>
            <w:r w:rsidRPr="00254174">
              <w:rPr>
                <w:b/>
                <w:bCs/>
                <w:sz w:val="20"/>
                <w:szCs w:val="20"/>
                <w:vertAlign w:val="subscript"/>
                <w:lang w:val="en-GB"/>
              </w:rPr>
              <w:t>a</w:t>
            </w:r>
          </w:p>
        </w:tc>
      </w:tr>
      <w:tr w:rsidR="00DC5685" w:rsidRPr="00A34F10" w14:paraId="5621F8C4" w14:textId="77777777" w:rsidTr="000470C3">
        <w:tc>
          <w:tcPr>
            <w:tcW w:w="998" w:type="pct"/>
          </w:tcPr>
          <w:p w14:paraId="4FCF00BD" w14:textId="2059D262" w:rsidR="00DC5685" w:rsidRPr="00254174" w:rsidRDefault="00DC5685" w:rsidP="000470C3">
            <w:pPr>
              <w:keepNext/>
              <w:keepLines/>
              <w:widowControl w:val="0"/>
              <w:rPr>
                <w:sz w:val="20"/>
                <w:szCs w:val="20"/>
                <w:lang w:val="en-GB"/>
              </w:rPr>
            </w:pPr>
            <w:r w:rsidRPr="00254174">
              <w:rPr>
                <w:bCs/>
                <w:strike/>
                <w:sz w:val="20"/>
                <w:szCs w:val="20"/>
                <w:highlight w:val="green"/>
                <w:lang w:val="en-GB"/>
              </w:rPr>
              <w:t>Bulbs and onion like crops,</w:t>
            </w:r>
            <w:r w:rsidRPr="00254174">
              <w:rPr>
                <w:bCs/>
                <w:sz w:val="20"/>
                <w:szCs w:val="20"/>
                <w:highlight w:val="green"/>
                <w:lang w:val="en-GB"/>
              </w:rPr>
              <w:t xml:space="preserve"> </w:t>
            </w:r>
            <w:r w:rsidR="002502D9" w:rsidRPr="00254174">
              <w:rPr>
                <w:bCs/>
                <w:sz w:val="20"/>
                <w:szCs w:val="20"/>
                <w:highlight w:val="green"/>
                <w:lang w:val="en-GB"/>
              </w:rPr>
              <w:t>P</w:t>
            </w:r>
            <w:r w:rsidRPr="00254174">
              <w:rPr>
                <w:bCs/>
                <w:sz w:val="20"/>
                <w:szCs w:val="20"/>
                <w:highlight w:val="green"/>
                <w:lang w:val="en-GB"/>
              </w:rPr>
              <w:t>otatoes</w:t>
            </w:r>
          </w:p>
        </w:tc>
        <w:tc>
          <w:tcPr>
            <w:tcW w:w="1500" w:type="pct"/>
            <w:gridSpan w:val="2"/>
          </w:tcPr>
          <w:p w14:paraId="535C31E5" w14:textId="77777777" w:rsidR="00DC5685" w:rsidRPr="00254174" w:rsidRDefault="00DC5685" w:rsidP="000470C3">
            <w:pPr>
              <w:keepNext/>
              <w:keepLines/>
              <w:autoSpaceDE w:val="0"/>
              <w:autoSpaceDN w:val="0"/>
              <w:adjustRightInd w:val="0"/>
              <w:rPr>
                <w:color w:val="000000"/>
                <w:sz w:val="20"/>
                <w:szCs w:val="20"/>
                <w:lang w:val="en-GB"/>
              </w:rPr>
            </w:pPr>
            <w:r w:rsidRPr="00254174">
              <w:rPr>
                <w:sz w:val="20"/>
                <w:szCs w:val="20"/>
                <w:lang w:val="en-GB"/>
              </w:rPr>
              <w:t>Small herbivorous mammal</w:t>
            </w:r>
            <w:r w:rsidRPr="00254174">
              <w:rPr>
                <w:color w:val="000000"/>
                <w:sz w:val="20"/>
                <w:szCs w:val="20"/>
                <w:lang w:val="en-GB"/>
              </w:rPr>
              <w:t xml:space="preserve"> </w:t>
            </w:r>
          </w:p>
        </w:tc>
        <w:tc>
          <w:tcPr>
            <w:tcW w:w="625" w:type="pct"/>
          </w:tcPr>
          <w:p w14:paraId="12F2F2DD" w14:textId="77777777" w:rsidR="00DC5685" w:rsidRPr="00254174" w:rsidRDefault="00DC5685" w:rsidP="000470C3">
            <w:pPr>
              <w:keepNext/>
              <w:keepLines/>
              <w:widowControl w:val="0"/>
              <w:rPr>
                <w:sz w:val="20"/>
                <w:szCs w:val="20"/>
                <w:lang w:val="en-GB"/>
              </w:rPr>
            </w:pPr>
            <w:r w:rsidRPr="00254174">
              <w:rPr>
                <w:sz w:val="20"/>
                <w:szCs w:val="20"/>
                <w:lang w:val="en-GB"/>
              </w:rPr>
              <w:t>118.4</w:t>
            </w:r>
          </w:p>
        </w:tc>
        <w:tc>
          <w:tcPr>
            <w:tcW w:w="625" w:type="pct"/>
          </w:tcPr>
          <w:p w14:paraId="0D5BC581" w14:textId="77777777" w:rsidR="00DC5685" w:rsidRPr="00254174" w:rsidRDefault="00DC5685" w:rsidP="000470C3">
            <w:pPr>
              <w:keepNext/>
              <w:keepLines/>
              <w:widowControl w:val="0"/>
              <w:rPr>
                <w:sz w:val="20"/>
                <w:szCs w:val="20"/>
                <w:lang w:val="en-GB"/>
              </w:rPr>
            </w:pPr>
            <w:r w:rsidRPr="00254174">
              <w:rPr>
                <w:sz w:val="20"/>
                <w:szCs w:val="20"/>
                <w:lang w:val="en-GB"/>
              </w:rPr>
              <w:t>1.79</w:t>
            </w:r>
          </w:p>
        </w:tc>
        <w:tc>
          <w:tcPr>
            <w:tcW w:w="625" w:type="pct"/>
          </w:tcPr>
          <w:p w14:paraId="14B4A8B4" w14:textId="77777777" w:rsidR="00DC5685" w:rsidRPr="00254174" w:rsidRDefault="00DC5685" w:rsidP="000470C3">
            <w:pPr>
              <w:keepNext/>
              <w:keepLines/>
              <w:widowControl w:val="0"/>
              <w:rPr>
                <w:sz w:val="20"/>
                <w:szCs w:val="20"/>
                <w:lang w:val="en-GB"/>
              </w:rPr>
            </w:pPr>
            <w:r w:rsidRPr="00254174">
              <w:rPr>
                <w:sz w:val="20"/>
                <w:szCs w:val="20"/>
                <w:lang w:val="en-GB"/>
              </w:rPr>
              <w:t>191.43</w:t>
            </w:r>
          </w:p>
        </w:tc>
        <w:tc>
          <w:tcPr>
            <w:tcW w:w="628" w:type="pct"/>
          </w:tcPr>
          <w:p w14:paraId="71B8B5C3" w14:textId="2429E9EA" w:rsidR="00DC5685" w:rsidRPr="00254174" w:rsidRDefault="00DC5685" w:rsidP="000470C3">
            <w:pPr>
              <w:keepNext/>
              <w:keepLines/>
              <w:widowControl w:val="0"/>
              <w:rPr>
                <w:sz w:val="20"/>
                <w:szCs w:val="20"/>
                <w:lang w:val="en-GB"/>
              </w:rPr>
            </w:pPr>
            <w:r w:rsidRPr="005D43B4">
              <w:rPr>
                <w:strike/>
                <w:color w:val="D9D9D9" w:themeColor="background1" w:themeShade="D9"/>
                <w:sz w:val="20"/>
                <w:szCs w:val="20"/>
                <w:lang w:val="en-GB"/>
              </w:rPr>
              <w:t>10.4</w:t>
            </w:r>
            <w:r w:rsidR="005D43B4" w:rsidRPr="005D43B4">
              <w:rPr>
                <w:color w:val="D9D9D9" w:themeColor="background1" w:themeShade="D9"/>
                <w:sz w:val="20"/>
                <w:szCs w:val="20"/>
                <w:lang w:val="en-GB"/>
              </w:rPr>
              <w:t xml:space="preserve"> </w:t>
            </w:r>
            <w:r w:rsidR="005D43B4" w:rsidRPr="005D43B4">
              <w:rPr>
                <w:b/>
                <w:bCs/>
                <w:sz w:val="20"/>
                <w:szCs w:val="20"/>
                <w:shd w:val="clear" w:color="auto" w:fill="D9D9D9" w:themeFill="background1" w:themeFillShade="D9"/>
                <w:lang w:val="en-GB"/>
              </w:rPr>
              <w:t>6.9</w:t>
            </w:r>
          </w:p>
        </w:tc>
      </w:tr>
      <w:tr w:rsidR="00DC5685" w:rsidRPr="00A34F10" w14:paraId="4FBC364C" w14:textId="77777777" w:rsidTr="000470C3">
        <w:tc>
          <w:tcPr>
            <w:tcW w:w="1495" w:type="pct"/>
            <w:gridSpan w:val="2"/>
            <w:tcBorders>
              <w:bottom w:val="nil"/>
            </w:tcBorders>
          </w:tcPr>
          <w:p w14:paraId="70516C04" w14:textId="77777777" w:rsidR="00DC5685" w:rsidRPr="00254174" w:rsidRDefault="00DC5685" w:rsidP="000470C3">
            <w:pPr>
              <w:keepNext/>
              <w:keepLines/>
              <w:widowControl w:val="0"/>
              <w:rPr>
                <w:b/>
                <w:bCs/>
                <w:sz w:val="20"/>
                <w:szCs w:val="20"/>
                <w:lang w:val="en-GB"/>
              </w:rPr>
            </w:pPr>
            <w:r w:rsidRPr="00254174">
              <w:rPr>
                <w:b/>
                <w:bCs/>
                <w:sz w:val="20"/>
                <w:szCs w:val="20"/>
                <w:lang w:val="en-GB"/>
              </w:rPr>
              <w:t>Reprod. toxicity (mg/kg bw/d)</w:t>
            </w:r>
          </w:p>
        </w:tc>
        <w:tc>
          <w:tcPr>
            <w:tcW w:w="3505" w:type="pct"/>
            <w:gridSpan w:val="5"/>
            <w:tcBorders>
              <w:bottom w:val="nil"/>
            </w:tcBorders>
          </w:tcPr>
          <w:p w14:paraId="7EA9B61B" w14:textId="77777777" w:rsidR="00DC5685" w:rsidRPr="00254174" w:rsidRDefault="00DC5685" w:rsidP="000470C3">
            <w:pPr>
              <w:keepNext/>
              <w:keepLines/>
              <w:widowControl w:val="0"/>
              <w:rPr>
                <w:sz w:val="20"/>
                <w:szCs w:val="20"/>
                <w:lang w:val="en-GB"/>
              </w:rPr>
            </w:pPr>
            <w:r w:rsidRPr="00254174">
              <w:rPr>
                <w:sz w:val="20"/>
                <w:szCs w:val="20"/>
                <w:lang w:val="en-GB"/>
              </w:rPr>
              <w:t>104</w:t>
            </w:r>
          </w:p>
        </w:tc>
      </w:tr>
      <w:tr w:rsidR="00DC5685" w:rsidRPr="00A34F10" w14:paraId="354F30CE" w14:textId="77777777" w:rsidTr="000470C3">
        <w:tc>
          <w:tcPr>
            <w:tcW w:w="1495" w:type="pct"/>
            <w:gridSpan w:val="2"/>
            <w:tcBorders>
              <w:top w:val="nil"/>
            </w:tcBorders>
          </w:tcPr>
          <w:p w14:paraId="027BF1A2" w14:textId="77777777" w:rsidR="00DC5685" w:rsidRPr="00254174" w:rsidRDefault="00DC5685" w:rsidP="000470C3">
            <w:pPr>
              <w:keepNext/>
              <w:keepLines/>
              <w:widowControl w:val="0"/>
              <w:rPr>
                <w:b/>
                <w:bCs/>
                <w:sz w:val="20"/>
                <w:szCs w:val="20"/>
                <w:lang w:val="en-GB"/>
              </w:rPr>
            </w:pPr>
            <w:r w:rsidRPr="00254174">
              <w:rPr>
                <w:b/>
                <w:bCs/>
                <w:sz w:val="20"/>
                <w:szCs w:val="20"/>
                <w:lang w:val="en-GB"/>
              </w:rPr>
              <w:t>TER criterion</w:t>
            </w:r>
          </w:p>
        </w:tc>
        <w:tc>
          <w:tcPr>
            <w:tcW w:w="3505" w:type="pct"/>
            <w:gridSpan w:val="5"/>
            <w:tcBorders>
              <w:top w:val="nil"/>
            </w:tcBorders>
          </w:tcPr>
          <w:p w14:paraId="67F1762B" w14:textId="77777777" w:rsidR="00DC5685" w:rsidRPr="00254174" w:rsidRDefault="00DC5685" w:rsidP="000470C3">
            <w:pPr>
              <w:keepNext/>
              <w:keepLines/>
              <w:widowControl w:val="0"/>
              <w:rPr>
                <w:sz w:val="20"/>
                <w:szCs w:val="20"/>
                <w:lang w:val="en-GB"/>
              </w:rPr>
            </w:pPr>
            <w:r w:rsidRPr="00254174">
              <w:rPr>
                <w:sz w:val="20"/>
                <w:szCs w:val="20"/>
                <w:lang w:val="en-GB"/>
              </w:rPr>
              <w:t>5</w:t>
            </w:r>
          </w:p>
        </w:tc>
      </w:tr>
      <w:tr w:rsidR="00DC5685" w:rsidRPr="00A34F10" w14:paraId="3978291B" w14:textId="77777777" w:rsidTr="000470C3">
        <w:tc>
          <w:tcPr>
            <w:tcW w:w="998" w:type="pct"/>
          </w:tcPr>
          <w:p w14:paraId="3A102FDE" w14:textId="77777777" w:rsidR="00DC5685" w:rsidRPr="00254174" w:rsidRDefault="00DC5685" w:rsidP="000470C3">
            <w:pPr>
              <w:keepNext/>
              <w:keepLines/>
              <w:widowControl w:val="0"/>
              <w:rPr>
                <w:b/>
                <w:bCs/>
                <w:sz w:val="20"/>
                <w:szCs w:val="20"/>
                <w:lang w:val="en-GB"/>
              </w:rPr>
            </w:pPr>
            <w:r w:rsidRPr="00254174">
              <w:rPr>
                <w:b/>
                <w:bCs/>
                <w:sz w:val="20"/>
                <w:szCs w:val="20"/>
                <w:lang w:val="en-GB"/>
              </w:rPr>
              <w:t>Crop scenario</w:t>
            </w:r>
          </w:p>
        </w:tc>
        <w:tc>
          <w:tcPr>
            <w:tcW w:w="1500" w:type="pct"/>
            <w:gridSpan w:val="2"/>
          </w:tcPr>
          <w:p w14:paraId="1A093A1B" w14:textId="77777777" w:rsidR="00DC5685" w:rsidRPr="00254174" w:rsidRDefault="00DC5685" w:rsidP="000470C3">
            <w:pPr>
              <w:keepNext/>
              <w:keepLines/>
              <w:widowControl w:val="0"/>
              <w:rPr>
                <w:b/>
                <w:bCs/>
                <w:sz w:val="20"/>
                <w:szCs w:val="20"/>
                <w:lang w:val="en-GB"/>
              </w:rPr>
            </w:pPr>
            <w:r w:rsidRPr="00254174">
              <w:rPr>
                <w:b/>
                <w:bCs/>
                <w:sz w:val="20"/>
                <w:szCs w:val="20"/>
                <w:lang w:val="en-GB"/>
              </w:rPr>
              <w:t>Indicator species</w:t>
            </w:r>
          </w:p>
        </w:tc>
        <w:tc>
          <w:tcPr>
            <w:tcW w:w="625" w:type="pct"/>
          </w:tcPr>
          <w:p w14:paraId="6F06EB35" w14:textId="77777777" w:rsidR="00DC5685" w:rsidRPr="00254174" w:rsidRDefault="00DC5685" w:rsidP="000470C3">
            <w:pPr>
              <w:keepNext/>
              <w:keepLines/>
              <w:widowControl w:val="0"/>
              <w:rPr>
                <w:b/>
                <w:bCs/>
                <w:sz w:val="20"/>
                <w:szCs w:val="20"/>
                <w:vertAlign w:val="subscript"/>
                <w:lang w:val="en-GB"/>
              </w:rPr>
            </w:pPr>
            <w:r w:rsidRPr="00254174">
              <w:rPr>
                <w:b/>
                <w:bCs/>
                <w:sz w:val="20"/>
                <w:szCs w:val="20"/>
                <w:lang w:val="en-GB"/>
              </w:rPr>
              <w:t>SV</w:t>
            </w:r>
            <w:r w:rsidRPr="00254174">
              <w:rPr>
                <w:b/>
                <w:bCs/>
                <w:sz w:val="20"/>
                <w:szCs w:val="20"/>
                <w:vertAlign w:val="subscript"/>
                <w:lang w:val="en-GB"/>
              </w:rPr>
              <w:t>m</w:t>
            </w:r>
          </w:p>
        </w:tc>
        <w:tc>
          <w:tcPr>
            <w:tcW w:w="625" w:type="pct"/>
          </w:tcPr>
          <w:p w14:paraId="777A4271" w14:textId="77777777" w:rsidR="00DC5685" w:rsidRPr="00254174" w:rsidRDefault="00DC5685" w:rsidP="000470C3">
            <w:pPr>
              <w:keepNext/>
              <w:keepLines/>
              <w:widowControl w:val="0"/>
              <w:rPr>
                <w:b/>
                <w:bCs/>
                <w:sz w:val="20"/>
                <w:szCs w:val="20"/>
                <w:lang w:val="en-GB"/>
              </w:rPr>
            </w:pPr>
            <w:r w:rsidRPr="00254174">
              <w:rPr>
                <w:b/>
                <w:bCs/>
                <w:sz w:val="20"/>
                <w:szCs w:val="20"/>
                <w:lang w:val="en-GB"/>
              </w:rPr>
              <w:t>MAF</w:t>
            </w:r>
            <w:r w:rsidRPr="00254174">
              <w:rPr>
                <w:b/>
                <w:bCs/>
                <w:sz w:val="20"/>
                <w:szCs w:val="20"/>
                <w:vertAlign w:val="subscript"/>
                <w:lang w:val="en-GB"/>
              </w:rPr>
              <w:t>m</w:t>
            </w:r>
            <w:r w:rsidRPr="00254174">
              <w:rPr>
                <w:b/>
                <w:bCs/>
                <w:sz w:val="20"/>
                <w:szCs w:val="20"/>
                <w:lang w:val="en-GB"/>
              </w:rPr>
              <w:t xml:space="preserve"> × TWA</w:t>
            </w:r>
          </w:p>
        </w:tc>
        <w:tc>
          <w:tcPr>
            <w:tcW w:w="625" w:type="pct"/>
          </w:tcPr>
          <w:p w14:paraId="2853E25D" w14:textId="77777777" w:rsidR="00DC5685" w:rsidRPr="00254174" w:rsidRDefault="00DC5685" w:rsidP="000470C3">
            <w:pPr>
              <w:keepNext/>
              <w:keepLines/>
              <w:widowControl w:val="0"/>
              <w:rPr>
                <w:b/>
                <w:bCs/>
                <w:sz w:val="20"/>
                <w:szCs w:val="20"/>
                <w:lang w:val="de-DE"/>
              </w:rPr>
            </w:pPr>
            <w:r w:rsidRPr="00254174">
              <w:rPr>
                <w:b/>
                <w:bCs/>
                <w:sz w:val="20"/>
                <w:szCs w:val="20"/>
                <w:lang w:val="de-DE"/>
              </w:rPr>
              <w:t>DDD</w:t>
            </w:r>
            <w:r w:rsidRPr="00254174">
              <w:rPr>
                <w:b/>
                <w:bCs/>
                <w:sz w:val="20"/>
                <w:szCs w:val="20"/>
                <w:vertAlign w:val="subscript"/>
                <w:lang w:val="de-DE"/>
              </w:rPr>
              <w:t>m</w:t>
            </w:r>
          </w:p>
          <w:p w14:paraId="351FC042" w14:textId="77777777" w:rsidR="00DC5685" w:rsidRPr="00254174" w:rsidRDefault="00DC5685" w:rsidP="000470C3">
            <w:pPr>
              <w:keepNext/>
              <w:keepLines/>
              <w:widowControl w:val="0"/>
              <w:rPr>
                <w:b/>
                <w:bCs/>
                <w:sz w:val="20"/>
                <w:szCs w:val="20"/>
                <w:lang w:val="de-DE"/>
              </w:rPr>
            </w:pPr>
            <w:r w:rsidRPr="00254174">
              <w:rPr>
                <w:b/>
                <w:bCs/>
                <w:sz w:val="20"/>
                <w:szCs w:val="20"/>
                <w:lang w:val="de-DE"/>
              </w:rPr>
              <w:t>(mg/kg bw/d)</w:t>
            </w:r>
          </w:p>
        </w:tc>
        <w:tc>
          <w:tcPr>
            <w:tcW w:w="628" w:type="pct"/>
          </w:tcPr>
          <w:p w14:paraId="1E1F7FD7" w14:textId="77777777" w:rsidR="00DC5685" w:rsidRPr="00254174" w:rsidRDefault="00DC5685" w:rsidP="000470C3">
            <w:pPr>
              <w:keepNext/>
              <w:keepLines/>
              <w:widowControl w:val="0"/>
              <w:rPr>
                <w:b/>
                <w:bCs/>
                <w:sz w:val="20"/>
                <w:szCs w:val="20"/>
                <w:lang w:val="en-GB"/>
              </w:rPr>
            </w:pPr>
            <w:r w:rsidRPr="00254174">
              <w:rPr>
                <w:b/>
                <w:bCs/>
                <w:sz w:val="20"/>
                <w:szCs w:val="20"/>
                <w:lang w:val="en-GB"/>
              </w:rPr>
              <w:t>TER</w:t>
            </w:r>
            <w:r w:rsidRPr="00254174">
              <w:rPr>
                <w:b/>
                <w:bCs/>
                <w:sz w:val="20"/>
                <w:szCs w:val="20"/>
                <w:vertAlign w:val="subscript"/>
                <w:lang w:val="en-GB"/>
              </w:rPr>
              <w:t>lt</w:t>
            </w:r>
          </w:p>
        </w:tc>
      </w:tr>
      <w:tr w:rsidR="00DC5685" w:rsidRPr="00A34F10" w14:paraId="10767969" w14:textId="77777777" w:rsidTr="000470C3">
        <w:tc>
          <w:tcPr>
            <w:tcW w:w="998" w:type="pct"/>
          </w:tcPr>
          <w:p w14:paraId="51CDCE05" w14:textId="142EAA71" w:rsidR="00DC5685" w:rsidRPr="00254174" w:rsidRDefault="00DC5685" w:rsidP="000470C3">
            <w:pPr>
              <w:keepNext/>
              <w:keepLines/>
              <w:widowControl w:val="0"/>
              <w:rPr>
                <w:sz w:val="20"/>
                <w:szCs w:val="20"/>
                <w:lang w:val="en-GB"/>
              </w:rPr>
            </w:pPr>
            <w:r w:rsidRPr="00254174">
              <w:rPr>
                <w:bCs/>
                <w:strike/>
                <w:sz w:val="20"/>
                <w:szCs w:val="20"/>
                <w:highlight w:val="green"/>
                <w:lang w:val="en-GB"/>
              </w:rPr>
              <w:t>Bulbs and onion like crops,</w:t>
            </w:r>
            <w:r w:rsidRPr="00254174">
              <w:rPr>
                <w:bCs/>
                <w:sz w:val="20"/>
                <w:szCs w:val="20"/>
                <w:highlight w:val="green"/>
                <w:lang w:val="en-GB"/>
              </w:rPr>
              <w:t xml:space="preserve"> </w:t>
            </w:r>
            <w:r w:rsidR="002502D9" w:rsidRPr="00254174">
              <w:rPr>
                <w:bCs/>
                <w:sz w:val="20"/>
                <w:szCs w:val="20"/>
                <w:highlight w:val="green"/>
                <w:lang w:val="en-GB"/>
              </w:rPr>
              <w:t>P</w:t>
            </w:r>
            <w:r w:rsidRPr="00254174">
              <w:rPr>
                <w:bCs/>
                <w:sz w:val="20"/>
                <w:szCs w:val="20"/>
                <w:highlight w:val="green"/>
                <w:lang w:val="en-GB"/>
              </w:rPr>
              <w:t>otatoes</w:t>
            </w:r>
          </w:p>
        </w:tc>
        <w:tc>
          <w:tcPr>
            <w:tcW w:w="1500" w:type="pct"/>
            <w:gridSpan w:val="2"/>
          </w:tcPr>
          <w:p w14:paraId="5F656E28" w14:textId="77777777" w:rsidR="00DC5685" w:rsidRPr="00254174" w:rsidRDefault="00DC5685" w:rsidP="000470C3">
            <w:pPr>
              <w:keepNext/>
              <w:keepLines/>
              <w:widowControl w:val="0"/>
              <w:rPr>
                <w:sz w:val="20"/>
                <w:szCs w:val="20"/>
                <w:lang w:val="en-GB"/>
              </w:rPr>
            </w:pPr>
            <w:r w:rsidRPr="00254174">
              <w:rPr>
                <w:sz w:val="20"/>
                <w:szCs w:val="20"/>
                <w:lang w:val="en-GB"/>
              </w:rPr>
              <w:t>Small herbivorous mammal</w:t>
            </w:r>
          </w:p>
        </w:tc>
        <w:tc>
          <w:tcPr>
            <w:tcW w:w="625" w:type="pct"/>
          </w:tcPr>
          <w:p w14:paraId="513FD44A" w14:textId="77777777" w:rsidR="00DC5685" w:rsidRPr="00254174" w:rsidRDefault="00DC5685" w:rsidP="000470C3">
            <w:pPr>
              <w:keepNext/>
              <w:keepLines/>
              <w:widowControl w:val="0"/>
              <w:rPr>
                <w:sz w:val="20"/>
                <w:szCs w:val="20"/>
                <w:lang w:val="en-GB"/>
              </w:rPr>
            </w:pPr>
            <w:r w:rsidRPr="00254174">
              <w:rPr>
                <w:sz w:val="20"/>
                <w:szCs w:val="20"/>
                <w:lang w:val="en-GB"/>
              </w:rPr>
              <w:t>48.3</w:t>
            </w:r>
          </w:p>
        </w:tc>
        <w:tc>
          <w:tcPr>
            <w:tcW w:w="625" w:type="pct"/>
          </w:tcPr>
          <w:p w14:paraId="18BFF9F8" w14:textId="77777777" w:rsidR="00DC5685" w:rsidRPr="00254174" w:rsidRDefault="00DC5685" w:rsidP="000470C3">
            <w:pPr>
              <w:keepNext/>
              <w:keepLines/>
              <w:widowControl w:val="0"/>
              <w:rPr>
                <w:sz w:val="20"/>
                <w:szCs w:val="20"/>
                <w:lang w:val="en-GB"/>
              </w:rPr>
            </w:pPr>
            <w:r w:rsidRPr="00254174">
              <w:rPr>
                <w:sz w:val="20"/>
                <w:szCs w:val="20"/>
                <w:lang w:val="en-GB"/>
              </w:rPr>
              <w:t>2.21 × 0.53</w:t>
            </w:r>
          </w:p>
        </w:tc>
        <w:tc>
          <w:tcPr>
            <w:tcW w:w="625" w:type="pct"/>
          </w:tcPr>
          <w:p w14:paraId="17E565D4" w14:textId="77777777" w:rsidR="00DC5685" w:rsidRPr="00254174" w:rsidRDefault="00DC5685" w:rsidP="000470C3">
            <w:pPr>
              <w:keepNext/>
              <w:keepLines/>
              <w:widowControl w:val="0"/>
              <w:rPr>
                <w:sz w:val="20"/>
                <w:szCs w:val="20"/>
                <w:lang w:val="en-GB"/>
              </w:rPr>
            </w:pPr>
            <w:r w:rsidRPr="00254174">
              <w:rPr>
                <w:sz w:val="20"/>
                <w:szCs w:val="20"/>
                <w:lang w:val="en-GB"/>
              </w:rPr>
              <w:t>50.96</w:t>
            </w:r>
          </w:p>
        </w:tc>
        <w:tc>
          <w:tcPr>
            <w:tcW w:w="628" w:type="pct"/>
          </w:tcPr>
          <w:p w14:paraId="56803B79" w14:textId="77777777" w:rsidR="00DC5685" w:rsidRPr="00254174" w:rsidRDefault="00DC5685" w:rsidP="000470C3">
            <w:pPr>
              <w:keepNext/>
              <w:keepLines/>
              <w:widowControl w:val="0"/>
              <w:rPr>
                <w:b/>
                <w:bCs/>
                <w:sz w:val="20"/>
                <w:szCs w:val="20"/>
                <w:lang w:val="en-GB"/>
              </w:rPr>
            </w:pPr>
            <w:r w:rsidRPr="00254174">
              <w:rPr>
                <w:b/>
                <w:bCs/>
                <w:sz w:val="20"/>
                <w:szCs w:val="20"/>
                <w:lang w:val="en-GB"/>
              </w:rPr>
              <w:t>2.0</w:t>
            </w:r>
          </w:p>
        </w:tc>
      </w:tr>
    </w:tbl>
    <w:p w14:paraId="2C1C6C90"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597DABB9" w14:textId="77777777" w:rsidR="00DC5685" w:rsidRPr="00A34F10" w:rsidRDefault="00DC5685" w:rsidP="00DC5685">
      <w:pPr>
        <w:widowControl w:val="0"/>
        <w:suppressAutoHyphens/>
        <w:jc w:val="both"/>
        <w:rPr>
          <w:rFonts w:eastAsia="Batang"/>
          <w:lang w:val="en-GB" w:eastAsia="zh-CN"/>
        </w:rPr>
      </w:pPr>
    </w:p>
    <w:p w14:paraId="2BCCF4D0" w14:textId="15527AA7" w:rsidR="00254174" w:rsidRPr="00A34F10" w:rsidRDefault="00254174" w:rsidP="00254174">
      <w:pPr>
        <w:keepNext/>
        <w:keepLines/>
        <w:widowControl w:val="0"/>
        <w:tabs>
          <w:tab w:val="left" w:pos="1985"/>
        </w:tabs>
        <w:spacing w:before="200" w:after="120"/>
        <w:ind w:left="1985" w:hanging="1985"/>
        <w:jc w:val="both"/>
        <w:rPr>
          <w:b/>
          <w:bCs/>
          <w:lang w:val="en-GB"/>
        </w:rPr>
      </w:pPr>
      <w:r w:rsidRPr="00254174">
        <w:rPr>
          <w:b/>
          <w:bCs/>
          <w:highlight w:val="green"/>
          <w:lang w:val="en-GB"/>
        </w:rPr>
        <w:t xml:space="preserve">Table </w:t>
      </w:r>
      <w:r w:rsidRPr="00254174">
        <w:rPr>
          <w:b/>
          <w:bCs/>
          <w:highlight w:val="green"/>
          <w:lang w:val="en-GB"/>
        </w:rPr>
        <w:fldChar w:fldCharType="begin"/>
      </w:r>
      <w:r w:rsidRPr="00254174">
        <w:rPr>
          <w:b/>
          <w:bCs/>
          <w:highlight w:val="green"/>
          <w:lang w:val="en-GB"/>
        </w:rPr>
        <w:instrText xml:space="preserve"> STYLEREF 2 \s </w:instrText>
      </w:r>
      <w:r w:rsidRPr="00254174">
        <w:rPr>
          <w:b/>
          <w:bCs/>
          <w:highlight w:val="green"/>
          <w:lang w:val="en-GB"/>
        </w:rPr>
        <w:fldChar w:fldCharType="separate"/>
      </w:r>
      <w:r w:rsidR="006F0F3B">
        <w:rPr>
          <w:b/>
          <w:bCs/>
          <w:noProof/>
          <w:highlight w:val="green"/>
          <w:lang w:val="en-GB"/>
        </w:rPr>
        <w:t>9.3</w:t>
      </w:r>
      <w:r w:rsidRPr="00254174">
        <w:rPr>
          <w:b/>
          <w:bCs/>
          <w:highlight w:val="green"/>
          <w:lang w:val="en-GB"/>
        </w:rPr>
        <w:fldChar w:fldCharType="end"/>
      </w:r>
      <w:r w:rsidRPr="00254174">
        <w:rPr>
          <w:b/>
          <w:bCs/>
          <w:highlight w:val="green"/>
          <w:lang w:val="en-GB"/>
        </w:rPr>
        <w:noBreakHyphen/>
        <w:t xml:space="preserve">11: </w:t>
      </w:r>
      <w:r w:rsidRPr="00254174">
        <w:rPr>
          <w:b/>
          <w:bCs/>
          <w:highlight w:val="green"/>
          <w:lang w:val="en-GB"/>
        </w:rPr>
        <w:tab/>
        <w:t>Propamocarb-HCL: Screening assessment of the acute and long-term/reproductive risk for mammals due to the worst-case use of BAS 743 03 F in minor uses (2 × 2.0 L product/ha)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55"/>
        <w:gridCol w:w="915"/>
        <w:gridCol w:w="1861"/>
        <w:gridCol w:w="1154"/>
        <w:gridCol w:w="1154"/>
        <w:gridCol w:w="1254"/>
        <w:gridCol w:w="1154"/>
      </w:tblGrid>
      <w:tr w:rsidR="00254174" w:rsidRPr="00A34F10" w14:paraId="1F626DA3" w14:textId="77777777" w:rsidTr="00254174">
        <w:tc>
          <w:tcPr>
            <w:tcW w:w="1497" w:type="pct"/>
            <w:gridSpan w:val="2"/>
            <w:tcBorders>
              <w:bottom w:val="nil"/>
            </w:tcBorders>
          </w:tcPr>
          <w:p w14:paraId="70D88895"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Intended use</w:t>
            </w:r>
          </w:p>
        </w:tc>
        <w:tc>
          <w:tcPr>
            <w:tcW w:w="3503" w:type="pct"/>
            <w:gridSpan w:val="5"/>
            <w:tcBorders>
              <w:bottom w:val="nil"/>
            </w:tcBorders>
          </w:tcPr>
          <w:p w14:paraId="3DFC9EBC" w14:textId="56AFB6C1" w:rsidR="00254174" w:rsidRPr="00254174" w:rsidRDefault="00254174" w:rsidP="00062954">
            <w:pPr>
              <w:keepNext/>
              <w:keepLines/>
              <w:widowControl w:val="0"/>
              <w:rPr>
                <w:sz w:val="20"/>
                <w:szCs w:val="20"/>
                <w:highlight w:val="green"/>
                <w:lang w:val="en-GB"/>
              </w:rPr>
            </w:pPr>
            <w:r w:rsidRPr="00254174">
              <w:rPr>
                <w:bCs/>
                <w:sz w:val="20"/>
                <w:szCs w:val="20"/>
                <w:highlight w:val="green"/>
                <w:lang w:val="en-GB"/>
              </w:rPr>
              <w:t>Ornamentals and orchards</w:t>
            </w:r>
          </w:p>
        </w:tc>
      </w:tr>
      <w:tr w:rsidR="00254174" w:rsidRPr="00A34F10" w14:paraId="5E63F456" w14:textId="77777777" w:rsidTr="00254174">
        <w:tc>
          <w:tcPr>
            <w:tcW w:w="1497" w:type="pct"/>
            <w:gridSpan w:val="2"/>
            <w:tcBorders>
              <w:top w:val="nil"/>
              <w:bottom w:val="nil"/>
            </w:tcBorders>
          </w:tcPr>
          <w:p w14:paraId="1E14C9CD"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Active substance</w:t>
            </w:r>
          </w:p>
        </w:tc>
        <w:tc>
          <w:tcPr>
            <w:tcW w:w="3503" w:type="pct"/>
            <w:gridSpan w:val="5"/>
            <w:tcBorders>
              <w:top w:val="nil"/>
              <w:bottom w:val="nil"/>
            </w:tcBorders>
          </w:tcPr>
          <w:p w14:paraId="1E8E912C" w14:textId="77777777" w:rsidR="00254174" w:rsidRPr="00254174" w:rsidRDefault="00254174" w:rsidP="00062954">
            <w:pPr>
              <w:keepNext/>
              <w:keepLines/>
              <w:widowControl w:val="0"/>
              <w:rPr>
                <w:sz w:val="20"/>
                <w:szCs w:val="20"/>
                <w:highlight w:val="green"/>
                <w:lang w:val="en-GB"/>
              </w:rPr>
            </w:pPr>
            <w:r w:rsidRPr="00254174">
              <w:rPr>
                <w:sz w:val="20"/>
                <w:szCs w:val="20"/>
                <w:highlight w:val="green"/>
                <w:lang w:val="en-GB"/>
              </w:rPr>
              <w:t>Propamocarb</w:t>
            </w:r>
          </w:p>
        </w:tc>
      </w:tr>
      <w:tr w:rsidR="00254174" w:rsidRPr="00A34F10" w14:paraId="641A0AC0" w14:textId="77777777" w:rsidTr="00254174">
        <w:tc>
          <w:tcPr>
            <w:tcW w:w="1497" w:type="pct"/>
            <w:gridSpan w:val="2"/>
            <w:tcBorders>
              <w:top w:val="nil"/>
              <w:bottom w:val="single" w:sz="4" w:space="0" w:color="auto"/>
            </w:tcBorders>
          </w:tcPr>
          <w:p w14:paraId="3BA17FA7"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Application rate (g/ha)</w:t>
            </w:r>
          </w:p>
        </w:tc>
        <w:tc>
          <w:tcPr>
            <w:tcW w:w="3503" w:type="pct"/>
            <w:gridSpan w:val="5"/>
            <w:tcBorders>
              <w:top w:val="nil"/>
              <w:bottom w:val="single" w:sz="4" w:space="0" w:color="auto"/>
            </w:tcBorders>
          </w:tcPr>
          <w:p w14:paraId="3DAAFF89" w14:textId="3E2E9454" w:rsidR="00254174" w:rsidRPr="00254174" w:rsidRDefault="00254174" w:rsidP="00062954">
            <w:pPr>
              <w:keepNext/>
              <w:keepLines/>
              <w:widowControl w:val="0"/>
              <w:rPr>
                <w:sz w:val="20"/>
                <w:szCs w:val="20"/>
                <w:highlight w:val="green"/>
                <w:lang w:val="en-GB"/>
              </w:rPr>
            </w:pPr>
            <w:r w:rsidRPr="00254174">
              <w:rPr>
                <w:sz w:val="20"/>
                <w:szCs w:val="20"/>
                <w:highlight w:val="green"/>
                <w:lang w:val="en-GB"/>
              </w:rPr>
              <w:t>2 × 902</w:t>
            </w:r>
          </w:p>
        </w:tc>
      </w:tr>
      <w:tr w:rsidR="00254174" w:rsidRPr="00A34F10" w14:paraId="494EE346" w14:textId="77777777" w:rsidTr="00254174">
        <w:tc>
          <w:tcPr>
            <w:tcW w:w="1497" w:type="pct"/>
            <w:gridSpan w:val="2"/>
            <w:tcBorders>
              <w:bottom w:val="nil"/>
            </w:tcBorders>
          </w:tcPr>
          <w:p w14:paraId="561B5BBD"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Acute toxicity (mg/kg bw)</w:t>
            </w:r>
          </w:p>
        </w:tc>
        <w:tc>
          <w:tcPr>
            <w:tcW w:w="3503" w:type="pct"/>
            <w:gridSpan w:val="5"/>
            <w:tcBorders>
              <w:bottom w:val="nil"/>
            </w:tcBorders>
          </w:tcPr>
          <w:p w14:paraId="729B4264" w14:textId="19A55AE6" w:rsidR="00254174" w:rsidRPr="00254174" w:rsidRDefault="00442008" w:rsidP="00062954">
            <w:pPr>
              <w:keepNext/>
              <w:keepLines/>
              <w:widowControl w:val="0"/>
              <w:rPr>
                <w:sz w:val="20"/>
                <w:szCs w:val="20"/>
                <w:highlight w:val="green"/>
                <w:lang w:val="en-GB"/>
              </w:rPr>
            </w:pPr>
            <w:r w:rsidRPr="00442008">
              <w:rPr>
                <w:strike/>
                <w:color w:val="D9D9D9" w:themeColor="background1" w:themeShade="D9"/>
                <w:sz w:val="20"/>
                <w:szCs w:val="20"/>
                <w:highlight w:val="green"/>
                <w:lang w:val="en-GB"/>
              </w:rPr>
              <w:t>2000</w:t>
            </w:r>
            <w:r>
              <w:rPr>
                <w:sz w:val="20"/>
                <w:szCs w:val="20"/>
                <w:lang w:val="en-GB"/>
              </w:rPr>
              <w:t xml:space="preserve"> </w:t>
            </w:r>
            <w:r w:rsidRPr="00E62A3A">
              <w:rPr>
                <w:sz w:val="20"/>
                <w:szCs w:val="20"/>
                <w:shd w:val="clear" w:color="auto" w:fill="D9D9D9" w:themeFill="background1" w:themeFillShade="D9"/>
                <w:lang w:val="en-GB"/>
              </w:rPr>
              <w:t>1330</w:t>
            </w:r>
          </w:p>
        </w:tc>
      </w:tr>
      <w:tr w:rsidR="00254174" w:rsidRPr="00A34F10" w14:paraId="145A9C14" w14:textId="77777777" w:rsidTr="00254174">
        <w:tc>
          <w:tcPr>
            <w:tcW w:w="1497" w:type="pct"/>
            <w:gridSpan w:val="2"/>
            <w:tcBorders>
              <w:top w:val="nil"/>
            </w:tcBorders>
          </w:tcPr>
          <w:p w14:paraId="7271D276"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TER criterion</w:t>
            </w:r>
          </w:p>
        </w:tc>
        <w:tc>
          <w:tcPr>
            <w:tcW w:w="3503" w:type="pct"/>
            <w:gridSpan w:val="5"/>
            <w:tcBorders>
              <w:top w:val="nil"/>
            </w:tcBorders>
          </w:tcPr>
          <w:p w14:paraId="13A3F780" w14:textId="77777777" w:rsidR="00254174" w:rsidRPr="00254174" w:rsidRDefault="00254174" w:rsidP="00062954">
            <w:pPr>
              <w:keepNext/>
              <w:keepLines/>
              <w:widowControl w:val="0"/>
              <w:rPr>
                <w:sz w:val="20"/>
                <w:szCs w:val="20"/>
                <w:highlight w:val="green"/>
                <w:lang w:val="en-GB"/>
              </w:rPr>
            </w:pPr>
            <w:r w:rsidRPr="00254174">
              <w:rPr>
                <w:sz w:val="20"/>
                <w:szCs w:val="20"/>
                <w:highlight w:val="green"/>
                <w:lang w:val="en-GB"/>
              </w:rPr>
              <w:t>10</w:t>
            </w:r>
          </w:p>
        </w:tc>
      </w:tr>
      <w:tr w:rsidR="00254174" w:rsidRPr="00A34F10" w14:paraId="1AB934BF" w14:textId="77777777" w:rsidTr="00254174">
        <w:tc>
          <w:tcPr>
            <w:tcW w:w="1000" w:type="pct"/>
          </w:tcPr>
          <w:p w14:paraId="7322760B"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Crop scenario</w:t>
            </w:r>
          </w:p>
        </w:tc>
        <w:tc>
          <w:tcPr>
            <w:tcW w:w="1500" w:type="pct"/>
            <w:gridSpan w:val="2"/>
          </w:tcPr>
          <w:p w14:paraId="0C17687A"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Indicator species</w:t>
            </w:r>
          </w:p>
        </w:tc>
        <w:tc>
          <w:tcPr>
            <w:tcW w:w="625" w:type="pct"/>
          </w:tcPr>
          <w:p w14:paraId="790FDA1F"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SV</w:t>
            </w:r>
            <w:r w:rsidRPr="00254174">
              <w:rPr>
                <w:b/>
                <w:bCs/>
                <w:sz w:val="20"/>
                <w:szCs w:val="20"/>
                <w:highlight w:val="green"/>
                <w:vertAlign w:val="subscript"/>
                <w:lang w:val="en-GB"/>
              </w:rPr>
              <w:t>90</w:t>
            </w:r>
          </w:p>
        </w:tc>
        <w:tc>
          <w:tcPr>
            <w:tcW w:w="625" w:type="pct"/>
          </w:tcPr>
          <w:p w14:paraId="702FD43D"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MAF</w:t>
            </w:r>
            <w:r w:rsidRPr="00254174">
              <w:rPr>
                <w:b/>
                <w:bCs/>
                <w:sz w:val="20"/>
                <w:szCs w:val="20"/>
                <w:highlight w:val="green"/>
                <w:vertAlign w:val="subscript"/>
                <w:lang w:val="en-GB"/>
              </w:rPr>
              <w:t>90</w:t>
            </w:r>
          </w:p>
        </w:tc>
        <w:tc>
          <w:tcPr>
            <w:tcW w:w="625" w:type="pct"/>
          </w:tcPr>
          <w:p w14:paraId="75EE2776" w14:textId="77777777" w:rsidR="00254174" w:rsidRPr="00254174" w:rsidRDefault="00254174" w:rsidP="00062954">
            <w:pPr>
              <w:keepNext/>
              <w:keepLines/>
              <w:widowControl w:val="0"/>
              <w:rPr>
                <w:b/>
                <w:bCs/>
                <w:sz w:val="20"/>
                <w:szCs w:val="20"/>
                <w:highlight w:val="green"/>
                <w:lang w:val="de-DE"/>
              </w:rPr>
            </w:pPr>
            <w:r w:rsidRPr="00254174">
              <w:rPr>
                <w:b/>
                <w:bCs/>
                <w:sz w:val="20"/>
                <w:szCs w:val="20"/>
                <w:highlight w:val="green"/>
                <w:lang w:val="de-DE"/>
              </w:rPr>
              <w:t>DDD</w:t>
            </w:r>
            <w:r w:rsidRPr="00254174">
              <w:rPr>
                <w:b/>
                <w:bCs/>
                <w:sz w:val="20"/>
                <w:szCs w:val="20"/>
                <w:highlight w:val="green"/>
                <w:vertAlign w:val="subscript"/>
                <w:lang w:val="de-DE"/>
              </w:rPr>
              <w:t>90</w:t>
            </w:r>
          </w:p>
          <w:p w14:paraId="4C6CCB15" w14:textId="77777777" w:rsidR="00254174" w:rsidRPr="00254174" w:rsidRDefault="00254174" w:rsidP="00062954">
            <w:pPr>
              <w:keepNext/>
              <w:keepLines/>
              <w:widowControl w:val="0"/>
              <w:rPr>
                <w:b/>
                <w:bCs/>
                <w:sz w:val="20"/>
                <w:szCs w:val="20"/>
                <w:highlight w:val="green"/>
                <w:lang w:val="de-DE"/>
              </w:rPr>
            </w:pPr>
            <w:r w:rsidRPr="00254174">
              <w:rPr>
                <w:b/>
                <w:bCs/>
                <w:sz w:val="20"/>
                <w:szCs w:val="20"/>
                <w:highlight w:val="green"/>
                <w:lang w:val="de-DE"/>
              </w:rPr>
              <w:t>(mg/kg bw/d)</w:t>
            </w:r>
          </w:p>
        </w:tc>
        <w:tc>
          <w:tcPr>
            <w:tcW w:w="626" w:type="pct"/>
          </w:tcPr>
          <w:p w14:paraId="04B7D028"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TER</w:t>
            </w:r>
            <w:r w:rsidRPr="00254174">
              <w:rPr>
                <w:b/>
                <w:bCs/>
                <w:sz w:val="20"/>
                <w:szCs w:val="20"/>
                <w:highlight w:val="green"/>
                <w:vertAlign w:val="subscript"/>
                <w:lang w:val="en-GB"/>
              </w:rPr>
              <w:t>a</w:t>
            </w:r>
          </w:p>
        </w:tc>
      </w:tr>
      <w:tr w:rsidR="00254174" w:rsidRPr="00A34F10" w14:paraId="23AAA62F" w14:textId="77777777" w:rsidTr="00254174">
        <w:tc>
          <w:tcPr>
            <w:tcW w:w="1000" w:type="pct"/>
          </w:tcPr>
          <w:p w14:paraId="4E294F4A" w14:textId="123D01A2" w:rsidR="00254174" w:rsidRPr="00254174" w:rsidRDefault="00254174" w:rsidP="00254174">
            <w:pPr>
              <w:keepNext/>
              <w:keepLines/>
              <w:widowControl w:val="0"/>
              <w:rPr>
                <w:sz w:val="20"/>
                <w:szCs w:val="20"/>
                <w:highlight w:val="green"/>
                <w:lang w:val="en-GB"/>
              </w:rPr>
            </w:pPr>
            <w:r w:rsidRPr="00254174">
              <w:rPr>
                <w:bCs/>
                <w:sz w:val="20"/>
                <w:szCs w:val="20"/>
                <w:highlight w:val="green"/>
                <w:lang w:val="en-GB"/>
              </w:rPr>
              <w:t>Ornamentals and orchards</w:t>
            </w:r>
          </w:p>
        </w:tc>
        <w:tc>
          <w:tcPr>
            <w:tcW w:w="1500" w:type="pct"/>
            <w:gridSpan w:val="2"/>
          </w:tcPr>
          <w:p w14:paraId="21D3A3CD" w14:textId="0FF09B8F" w:rsidR="00254174" w:rsidRPr="00254174" w:rsidRDefault="00254174" w:rsidP="00254174">
            <w:pPr>
              <w:keepNext/>
              <w:keepLines/>
              <w:autoSpaceDE w:val="0"/>
              <w:autoSpaceDN w:val="0"/>
              <w:adjustRightInd w:val="0"/>
              <w:rPr>
                <w:color w:val="000000"/>
                <w:sz w:val="20"/>
                <w:szCs w:val="20"/>
                <w:highlight w:val="green"/>
                <w:lang w:val="en-GB"/>
              </w:rPr>
            </w:pPr>
            <w:r w:rsidRPr="00254174">
              <w:rPr>
                <w:sz w:val="20"/>
                <w:szCs w:val="20"/>
                <w:highlight w:val="green"/>
                <w:lang w:val="en-GB"/>
              </w:rPr>
              <w:t>Small herbivorous mammal</w:t>
            </w:r>
            <w:r w:rsidRPr="00254174">
              <w:rPr>
                <w:color w:val="000000"/>
                <w:sz w:val="20"/>
                <w:szCs w:val="20"/>
                <w:highlight w:val="green"/>
                <w:lang w:val="en-GB"/>
              </w:rPr>
              <w:t xml:space="preserve"> </w:t>
            </w:r>
          </w:p>
        </w:tc>
        <w:tc>
          <w:tcPr>
            <w:tcW w:w="625" w:type="pct"/>
          </w:tcPr>
          <w:p w14:paraId="4F3FA1C0" w14:textId="567F0C34"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136.4</w:t>
            </w:r>
          </w:p>
        </w:tc>
        <w:tc>
          <w:tcPr>
            <w:tcW w:w="625" w:type="pct"/>
          </w:tcPr>
          <w:p w14:paraId="572D1804" w14:textId="2CDBE940"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1.41</w:t>
            </w:r>
          </w:p>
        </w:tc>
        <w:tc>
          <w:tcPr>
            <w:tcW w:w="625" w:type="pct"/>
          </w:tcPr>
          <w:p w14:paraId="77FF466A" w14:textId="3A89D087"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173.29</w:t>
            </w:r>
          </w:p>
        </w:tc>
        <w:tc>
          <w:tcPr>
            <w:tcW w:w="626" w:type="pct"/>
          </w:tcPr>
          <w:p w14:paraId="173D3F1B" w14:textId="144BA08D" w:rsidR="00254174" w:rsidRPr="00254174" w:rsidRDefault="00254174" w:rsidP="00254174">
            <w:pPr>
              <w:keepNext/>
              <w:keepLines/>
              <w:widowControl w:val="0"/>
              <w:rPr>
                <w:sz w:val="20"/>
                <w:szCs w:val="20"/>
                <w:highlight w:val="green"/>
                <w:lang w:val="en-GB"/>
              </w:rPr>
            </w:pPr>
            <w:r w:rsidRPr="00AA614C">
              <w:rPr>
                <w:strike/>
                <w:color w:val="D9D9D9" w:themeColor="background1" w:themeShade="D9"/>
                <w:sz w:val="20"/>
                <w:szCs w:val="20"/>
                <w:highlight w:val="green"/>
                <w:lang w:val="en-GB"/>
              </w:rPr>
              <w:t>11.5</w:t>
            </w:r>
            <w:r w:rsidR="00AA614C" w:rsidRPr="00AA614C">
              <w:rPr>
                <w:color w:val="D9D9D9" w:themeColor="background1" w:themeShade="D9"/>
                <w:sz w:val="20"/>
                <w:szCs w:val="20"/>
                <w:highlight w:val="green"/>
                <w:lang w:val="en-GB"/>
              </w:rPr>
              <w:t xml:space="preserve"> </w:t>
            </w:r>
            <w:r w:rsidR="00AA614C" w:rsidRPr="00AA614C">
              <w:rPr>
                <w:b/>
                <w:bCs/>
                <w:sz w:val="20"/>
                <w:szCs w:val="20"/>
                <w:shd w:val="clear" w:color="auto" w:fill="D9D9D9" w:themeFill="background1" w:themeFillShade="D9"/>
                <w:lang w:val="en-GB"/>
              </w:rPr>
              <w:t>7.7</w:t>
            </w:r>
          </w:p>
        </w:tc>
      </w:tr>
      <w:tr w:rsidR="00254174" w:rsidRPr="00A34F10" w14:paraId="30F6B992" w14:textId="77777777" w:rsidTr="00254174">
        <w:tc>
          <w:tcPr>
            <w:tcW w:w="1497" w:type="pct"/>
            <w:gridSpan w:val="2"/>
            <w:tcBorders>
              <w:bottom w:val="nil"/>
            </w:tcBorders>
          </w:tcPr>
          <w:p w14:paraId="64B61577"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Reprod. toxicity (mg/kg bw/d)</w:t>
            </w:r>
          </w:p>
        </w:tc>
        <w:tc>
          <w:tcPr>
            <w:tcW w:w="3503" w:type="pct"/>
            <w:gridSpan w:val="5"/>
            <w:tcBorders>
              <w:bottom w:val="nil"/>
            </w:tcBorders>
          </w:tcPr>
          <w:p w14:paraId="38625F81" w14:textId="77777777" w:rsidR="00254174" w:rsidRPr="00254174" w:rsidRDefault="00254174" w:rsidP="00062954">
            <w:pPr>
              <w:keepNext/>
              <w:keepLines/>
              <w:widowControl w:val="0"/>
              <w:rPr>
                <w:sz w:val="20"/>
                <w:szCs w:val="20"/>
                <w:highlight w:val="green"/>
                <w:lang w:val="en-GB"/>
              </w:rPr>
            </w:pPr>
            <w:r w:rsidRPr="00254174">
              <w:rPr>
                <w:sz w:val="20"/>
                <w:szCs w:val="20"/>
                <w:highlight w:val="green"/>
                <w:lang w:val="en-GB"/>
              </w:rPr>
              <w:t>104</w:t>
            </w:r>
          </w:p>
        </w:tc>
      </w:tr>
      <w:tr w:rsidR="00254174" w:rsidRPr="00254174" w14:paraId="477C3968" w14:textId="77777777" w:rsidTr="00254174">
        <w:tc>
          <w:tcPr>
            <w:tcW w:w="1497" w:type="pct"/>
            <w:gridSpan w:val="2"/>
            <w:tcBorders>
              <w:top w:val="nil"/>
            </w:tcBorders>
          </w:tcPr>
          <w:p w14:paraId="0439EA7D"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TER criterion</w:t>
            </w:r>
          </w:p>
        </w:tc>
        <w:tc>
          <w:tcPr>
            <w:tcW w:w="3503" w:type="pct"/>
            <w:gridSpan w:val="5"/>
            <w:tcBorders>
              <w:top w:val="nil"/>
            </w:tcBorders>
          </w:tcPr>
          <w:p w14:paraId="3CE565B9" w14:textId="77777777" w:rsidR="00254174" w:rsidRPr="00254174" w:rsidRDefault="00254174" w:rsidP="00062954">
            <w:pPr>
              <w:keepNext/>
              <w:keepLines/>
              <w:widowControl w:val="0"/>
              <w:rPr>
                <w:sz w:val="20"/>
                <w:szCs w:val="20"/>
                <w:highlight w:val="green"/>
                <w:lang w:val="en-GB"/>
              </w:rPr>
            </w:pPr>
            <w:r w:rsidRPr="00254174">
              <w:rPr>
                <w:sz w:val="20"/>
                <w:szCs w:val="20"/>
                <w:highlight w:val="green"/>
                <w:lang w:val="en-GB"/>
              </w:rPr>
              <w:t>5</w:t>
            </w:r>
          </w:p>
        </w:tc>
      </w:tr>
      <w:tr w:rsidR="00254174" w:rsidRPr="00254174" w14:paraId="5543188D" w14:textId="77777777" w:rsidTr="00254174">
        <w:tc>
          <w:tcPr>
            <w:tcW w:w="1000" w:type="pct"/>
          </w:tcPr>
          <w:p w14:paraId="03B32466"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Crop scenario</w:t>
            </w:r>
          </w:p>
        </w:tc>
        <w:tc>
          <w:tcPr>
            <w:tcW w:w="1500" w:type="pct"/>
            <w:gridSpan w:val="2"/>
          </w:tcPr>
          <w:p w14:paraId="0A8819D3"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Indicator species</w:t>
            </w:r>
          </w:p>
        </w:tc>
        <w:tc>
          <w:tcPr>
            <w:tcW w:w="625" w:type="pct"/>
          </w:tcPr>
          <w:p w14:paraId="2253730B" w14:textId="77777777" w:rsidR="00254174" w:rsidRPr="00254174" w:rsidRDefault="00254174" w:rsidP="00062954">
            <w:pPr>
              <w:keepNext/>
              <w:keepLines/>
              <w:widowControl w:val="0"/>
              <w:rPr>
                <w:b/>
                <w:bCs/>
                <w:sz w:val="20"/>
                <w:szCs w:val="20"/>
                <w:highlight w:val="green"/>
                <w:vertAlign w:val="subscript"/>
                <w:lang w:val="en-GB"/>
              </w:rPr>
            </w:pPr>
            <w:r w:rsidRPr="00254174">
              <w:rPr>
                <w:b/>
                <w:bCs/>
                <w:sz w:val="20"/>
                <w:szCs w:val="20"/>
                <w:highlight w:val="green"/>
                <w:lang w:val="en-GB"/>
              </w:rPr>
              <w:t>SV</w:t>
            </w:r>
            <w:r w:rsidRPr="00254174">
              <w:rPr>
                <w:b/>
                <w:bCs/>
                <w:sz w:val="20"/>
                <w:szCs w:val="20"/>
                <w:highlight w:val="green"/>
                <w:vertAlign w:val="subscript"/>
                <w:lang w:val="en-GB"/>
              </w:rPr>
              <w:t>m</w:t>
            </w:r>
          </w:p>
        </w:tc>
        <w:tc>
          <w:tcPr>
            <w:tcW w:w="625" w:type="pct"/>
          </w:tcPr>
          <w:p w14:paraId="76713A18"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MAF</w:t>
            </w:r>
            <w:r w:rsidRPr="00254174">
              <w:rPr>
                <w:b/>
                <w:bCs/>
                <w:sz w:val="20"/>
                <w:szCs w:val="20"/>
                <w:highlight w:val="green"/>
                <w:vertAlign w:val="subscript"/>
                <w:lang w:val="en-GB"/>
              </w:rPr>
              <w:t>m</w:t>
            </w:r>
            <w:r w:rsidRPr="00254174">
              <w:rPr>
                <w:b/>
                <w:bCs/>
                <w:sz w:val="20"/>
                <w:szCs w:val="20"/>
                <w:highlight w:val="green"/>
                <w:lang w:val="en-GB"/>
              </w:rPr>
              <w:t xml:space="preserve"> × TWA</w:t>
            </w:r>
          </w:p>
        </w:tc>
        <w:tc>
          <w:tcPr>
            <w:tcW w:w="625" w:type="pct"/>
          </w:tcPr>
          <w:p w14:paraId="70CEA766" w14:textId="77777777" w:rsidR="00254174" w:rsidRPr="00254174" w:rsidRDefault="00254174" w:rsidP="00062954">
            <w:pPr>
              <w:keepNext/>
              <w:keepLines/>
              <w:widowControl w:val="0"/>
              <w:rPr>
                <w:b/>
                <w:bCs/>
                <w:sz w:val="20"/>
                <w:szCs w:val="20"/>
                <w:highlight w:val="green"/>
                <w:lang w:val="de-DE"/>
              </w:rPr>
            </w:pPr>
            <w:r w:rsidRPr="00254174">
              <w:rPr>
                <w:b/>
                <w:bCs/>
                <w:sz w:val="20"/>
                <w:szCs w:val="20"/>
                <w:highlight w:val="green"/>
                <w:lang w:val="de-DE"/>
              </w:rPr>
              <w:t>DDD</w:t>
            </w:r>
            <w:r w:rsidRPr="00254174">
              <w:rPr>
                <w:b/>
                <w:bCs/>
                <w:sz w:val="20"/>
                <w:szCs w:val="20"/>
                <w:highlight w:val="green"/>
                <w:vertAlign w:val="subscript"/>
                <w:lang w:val="de-DE"/>
              </w:rPr>
              <w:t>m</w:t>
            </w:r>
          </w:p>
          <w:p w14:paraId="42F8D77C" w14:textId="77777777" w:rsidR="00254174" w:rsidRPr="00254174" w:rsidRDefault="00254174" w:rsidP="00062954">
            <w:pPr>
              <w:keepNext/>
              <w:keepLines/>
              <w:widowControl w:val="0"/>
              <w:rPr>
                <w:b/>
                <w:bCs/>
                <w:sz w:val="20"/>
                <w:szCs w:val="20"/>
                <w:highlight w:val="green"/>
                <w:lang w:val="de-DE"/>
              </w:rPr>
            </w:pPr>
            <w:r w:rsidRPr="00254174">
              <w:rPr>
                <w:b/>
                <w:bCs/>
                <w:sz w:val="20"/>
                <w:szCs w:val="20"/>
                <w:highlight w:val="green"/>
                <w:lang w:val="de-DE"/>
              </w:rPr>
              <w:t>(mg/kg bw/d)</w:t>
            </w:r>
          </w:p>
        </w:tc>
        <w:tc>
          <w:tcPr>
            <w:tcW w:w="626" w:type="pct"/>
          </w:tcPr>
          <w:p w14:paraId="5F6F8B62" w14:textId="77777777" w:rsidR="00254174" w:rsidRPr="00254174" w:rsidRDefault="00254174" w:rsidP="00062954">
            <w:pPr>
              <w:keepNext/>
              <w:keepLines/>
              <w:widowControl w:val="0"/>
              <w:rPr>
                <w:b/>
                <w:bCs/>
                <w:sz w:val="20"/>
                <w:szCs w:val="20"/>
                <w:highlight w:val="green"/>
                <w:lang w:val="en-GB"/>
              </w:rPr>
            </w:pPr>
            <w:r w:rsidRPr="00254174">
              <w:rPr>
                <w:b/>
                <w:bCs/>
                <w:sz w:val="20"/>
                <w:szCs w:val="20"/>
                <w:highlight w:val="green"/>
                <w:lang w:val="en-GB"/>
              </w:rPr>
              <w:t>TER</w:t>
            </w:r>
            <w:r w:rsidRPr="00254174">
              <w:rPr>
                <w:b/>
                <w:bCs/>
                <w:sz w:val="20"/>
                <w:szCs w:val="20"/>
                <w:highlight w:val="green"/>
                <w:vertAlign w:val="subscript"/>
                <w:lang w:val="en-GB"/>
              </w:rPr>
              <w:t>lt</w:t>
            </w:r>
          </w:p>
        </w:tc>
      </w:tr>
      <w:tr w:rsidR="00254174" w:rsidRPr="00254174" w14:paraId="63B4F824" w14:textId="77777777" w:rsidTr="00254174">
        <w:tc>
          <w:tcPr>
            <w:tcW w:w="1000" w:type="pct"/>
          </w:tcPr>
          <w:p w14:paraId="0A11ACEC" w14:textId="480B92DF" w:rsidR="00254174" w:rsidRPr="00254174" w:rsidRDefault="00254174" w:rsidP="00254174">
            <w:pPr>
              <w:keepNext/>
              <w:keepLines/>
              <w:widowControl w:val="0"/>
              <w:rPr>
                <w:sz w:val="20"/>
                <w:szCs w:val="20"/>
                <w:highlight w:val="green"/>
                <w:lang w:val="en-GB"/>
              </w:rPr>
            </w:pPr>
            <w:r w:rsidRPr="00254174">
              <w:rPr>
                <w:bCs/>
                <w:sz w:val="20"/>
                <w:szCs w:val="20"/>
                <w:highlight w:val="green"/>
                <w:lang w:val="en-GB"/>
              </w:rPr>
              <w:t>Ornamentals and orchards</w:t>
            </w:r>
          </w:p>
        </w:tc>
        <w:tc>
          <w:tcPr>
            <w:tcW w:w="1500" w:type="pct"/>
            <w:gridSpan w:val="2"/>
          </w:tcPr>
          <w:p w14:paraId="63238916" w14:textId="6072CFB5"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Small herbivorous mammal</w:t>
            </w:r>
          </w:p>
        </w:tc>
        <w:tc>
          <w:tcPr>
            <w:tcW w:w="625" w:type="pct"/>
          </w:tcPr>
          <w:p w14:paraId="654F0966" w14:textId="55461883"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72.3</w:t>
            </w:r>
          </w:p>
        </w:tc>
        <w:tc>
          <w:tcPr>
            <w:tcW w:w="625" w:type="pct"/>
          </w:tcPr>
          <w:p w14:paraId="24288A4A" w14:textId="63E714E4"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1.62 × 0.53</w:t>
            </w:r>
          </w:p>
        </w:tc>
        <w:tc>
          <w:tcPr>
            <w:tcW w:w="625" w:type="pct"/>
          </w:tcPr>
          <w:p w14:paraId="424DF281" w14:textId="07A8ED78" w:rsidR="00254174" w:rsidRPr="00254174" w:rsidRDefault="00254174" w:rsidP="00254174">
            <w:pPr>
              <w:keepNext/>
              <w:keepLines/>
              <w:widowControl w:val="0"/>
              <w:rPr>
                <w:sz w:val="20"/>
                <w:szCs w:val="20"/>
                <w:highlight w:val="green"/>
                <w:lang w:val="en-GB"/>
              </w:rPr>
            </w:pPr>
            <w:r w:rsidRPr="00254174">
              <w:rPr>
                <w:sz w:val="20"/>
                <w:szCs w:val="20"/>
                <w:highlight w:val="green"/>
                <w:lang w:val="en-GB"/>
              </w:rPr>
              <w:t>55.84</w:t>
            </w:r>
          </w:p>
        </w:tc>
        <w:tc>
          <w:tcPr>
            <w:tcW w:w="626" w:type="pct"/>
          </w:tcPr>
          <w:p w14:paraId="435D0C7D" w14:textId="17244373" w:rsidR="00254174" w:rsidRPr="00254174" w:rsidRDefault="00254174" w:rsidP="00254174">
            <w:pPr>
              <w:keepNext/>
              <w:keepLines/>
              <w:widowControl w:val="0"/>
              <w:rPr>
                <w:b/>
                <w:bCs/>
                <w:sz w:val="20"/>
                <w:szCs w:val="20"/>
                <w:highlight w:val="green"/>
                <w:lang w:val="en-GB"/>
              </w:rPr>
            </w:pPr>
            <w:r w:rsidRPr="00254174">
              <w:rPr>
                <w:b/>
                <w:bCs/>
                <w:sz w:val="20"/>
                <w:szCs w:val="20"/>
                <w:highlight w:val="green"/>
                <w:lang w:val="en-GB"/>
              </w:rPr>
              <w:t>1.9</w:t>
            </w:r>
          </w:p>
        </w:tc>
      </w:tr>
    </w:tbl>
    <w:p w14:paraId="30A06A06" w14:textId="77777777" w:rsidR="00254174" w:rsidRPr="00A34F10" w:rsidRDefault="00254174" w:rsidP="00254174">
      <w:pPr>
        <w:keepNext/>
        <w:keepLines/>
        <w:widowControl w:val="0"/>
        <w:tabs>
          <w:tab w:val="left" w:pos="0"/>
        </w:tabs>
        <w:rPr>
          <w:sz w:val="18"/>
          <w:szCs w:val="18"/>
          <w:lang w:val="en-GB"/>
        </w:rPr>
      </w:pPr>
      <w:r w:rsidRPr="00254174">
        <w:rPr>
          <w:sz w:val="18"/>
          <w:szCs w:val="18"/>
          <w:highlight w:val="green"/>
          <w:lang w:val="en-GB"/>
        </w:rPr>
        <w:t>SV: shortcut value; MAF: multiple application factor; TWA: time-weighted average factor; DDD: daily dietary dose; TER: toxicity to exposure ratio.</w:t>
      </w:r>
      <w:r w:rsidRPr="00A34F10">
        <w:rPr>
          <w:sz w:val="18"/>
          <w:szCs w:val="18"/>
          <w:lang w:val="en-GB"/>
        </w:rPr>
        <w:t xml:space="preserve"> </w:t>
      </w:r>
    </w:p>
    <w:p w14:paraId="3C6842EC" w14:textId="307430A2" w:rsidR="00254174" w:rsidRDefault="00254174" w:rsidP="00DC5685">
      <w:pPr>
        <w:widowControl w:val="0"/>
        <w:suppressAutoHyphens/>
        <w:jc w:val="both"/>
        <w:rPr>
          <w:rFonts w:eastAsia="Batang"/>
          <w:lang w:val="en-GB" w:eastAsia="zh-CN"/>
        </w:rPr>
      </w:pPr>
    </w:p>
    <w:p w14:paraId="747A8F90" w14:textId="5013AE0E" w:rsidR="009B71DE" w:rsidRDefault="009B71DE">
      <w:pPr>
        <w:rPr>
          <w:rFonts w:eastAsia="Batang"/>
          <w:lang w:val="en-GB" w:eastAsia="zh-CN"/>
        </w:rPr>
      </w:pPr>
      <w:r>
        <w:rPr>
          <w:rFonts w:eastAsia="Batang"/>
          <w:lang w:val="en-GB" w:eastAsia="zh-CN"/>
        </w:rPr>
        <w:br w:type="page"/>
      </w:r>
    </w:p>
    <w:p w14:paraId="1E092AF3" w14:textId="77777777" w:rsidR="00254174" w:rsidRPr="00A34F10" w:rsidRDefault="00254174" w:rsidP="00DC5685">
      <w:pPr>
        <w:widowControl w:val="0"/>
        <w:suppressAutoHyphens/>
        <w:jc w:val="both"/>
        <w:rPr>
          <w:rFonts w:eastAsia="Batang"/>
          <w:lang w:val="en-GB" w:eastAsia="zh-CN"/>
        </w:rPr>
      </w:pPr>
    </w:p>
    <w:p w14:paraId="21FDA033" w14:textId="2B7CAE80" w:rsidR="00DC5685" w:rsidRPr="00A34F10" w:rsidRDefault="00DC5685" w:rsidP="00DC5685">
      <w:pPr>
        <w:jc w:val="both"/>
      </w:pPr>
      <w:r w:rsidRPr="00A34F10">
        <w:rPr>
          <w:lang w:val="en-GB"/>
        </w:rPr>
        <w:t>The screening assessment</w:t>
      </w:r>
      <w:r w:rsidR="00254174" w:rsidRPr="00254174">
        <w:rPr>
          <w:highlight w:val="green"/>
          <w:lang w:val="en-GB"/>
        </w:rPr>
        <w:t>s</w:t>
      </w:r>
      <w:r w:rsidRPr="00A34F10">
        <w:rPr>
          <w:lang w:val="en-GB"/>
        </w:rPr>
        <w:t xml:space="preserve"> above show</w:t>
      </w:r>
      <w:r w:rsidRPr="00254174">
        <w:rPr>
          <w:strike/>
          <w:highlight w:val="green"/>
          <w:lang w:val="en-GB"/>
        </w:rPr>
        <w:t>s</w:t>
      </w:r>
      <w:r w:rsidRPr="00A34F10">
        <w:rPr>
          <w:lang w:val="en-GB"/>
        </w:rPr>
        <w:t xml:space="preserve"> an </w:t>
      </w:r>
      <w:r w:rsidR="00C8131B" w:rsidRPr="00C8131B">
        <w:rPr>
          <w:shd w:val="clear" w:color="auto" w:fill="D9D9D9" w:themeFill="background1" w:themeFillShade="D9"/>
          <w:lang w:val="en-GB"/>
        </w:rPr>
        <w:t>un</w:t>
      </w:r>
      <w:r w:rsidRPr="00A34F10">
        <w:rPr>
          <w:lang w:val="en-GB"/>
        </w:rPr>
        <w:t xml:space="preserve">acceptable acute </w:t>
      </w:r>
      <w:r w:rsidRPr="00A34F10">
        <w:t xml:space="preserve">risk to mammals </w:t>
      </w:r>
      <w:r w:rsidRPr="00A34F10">
        <w:rPr>
          <w:lang w:val="en-GB"/>
        </w:rPr>
        <w:t>for the active substance Propamocarb-HCl from the proposed uses of BAS 743 03 F.</w:t>
      </w:r>
      <w:r w:rsidRPr="00A34F10">
        <w:t xml:space="preserve"> However, a potential long-term risk to mammals is indicated and therefore a first-tier long-term (reproductive) risk assessment is required.</w:t>
      </w:r>
    </w:p>
    <w:p w14:paraId="1346087A" w14:textId="29B18386" w:rsidR="00431264" w:rsidRDefault="00DC5685" w:rsidP="00431264">
      <w:pPr>
        <w:keepNext/>
        <w:keepLines/>
        <w:widowControl w:val="0"/>
        <w:tabs>
          <w:tab w:val="left" w:pos="1985"/>
        </w:tabs>
        <w:spacing w:before="200" w:after="120"/>
        <w:ind w:left="1985" w:hanging="1985"/>
        <w:jc w:val="both"/>
        <w:rPr>
          <w:b/>
          <w:lang w:val="en-GB"/>
        </w:rPr>
      </w:pPr>
      <w:r w:rsidRPr="00A34F10">
        <w:rPr>
          <w:b/>
          <w:bCs/>
          <w:lang w:val="en-GB" w:eastAsia="en-GB"/>
        </w:rPr>
        <w:t xml:space="preserve">Table </w:t>
      </w:r>
      <w:r w:rsidRPr="00A34F10">
        <w:rPr>
          <w:b/>
          <w:bCs/>
          <w:lang w:val="en-GB" w:eastAsia="en-GB"/>
        </w:rPr>
        <w:fldChar w:fldCharType="begin"/>
      </w:r>
      <w:r w:rsidRPr="00A34F10">
        <w:rPr>
          <w:b/>
          <w:bCs/>
          <w:lang w:val="en-GB" w:eastAsia="en-GB"/>
        </w:rPr>
        <w:instrText xml:space="preserve"> STYLEREF 2 \s </w:instrText>
      </w:r>
      <w:r w:rsidRPr="00A34F10">
        <w:rPr>
          <w:b/>
          <w:bCs/>
          <w:lang w:val="en-GB" w:eastAsia="en-GB"/>
        </w:rPr>
        <w:fldChar w:fldCharType="separate"/>
      </w:r>
      <w:r w:rsidR="006F0F3B">
        <w:rPr>
          <w:b/>
          <w:bCs/>
          <w:noProof/>
          <w:lang w:val="en-GB" w:eastAsia="en-GB"/>
        </w:rPr>
        <w:t>9.3</w:t>
      </w:r>
      <w:r w:rsidRPr="00A34F10">
        <w:rPr>
          <w:b/>
          <w:bCs/>
          <w:lang w:val="en-GB" w:eastAsia="en-GB"/>
        </w:rPr>
        <w:fldChar w:fldCharType="end"/>
      </w:r>
      <w:r w:rsidRPr="00A34F10">
        <w:rPr>
          <w:b/>
          <w:bCs/>
          <w:lang w:val="en-GB" w:eastAsia="en-GB"/>
        </w:rPr>
        <w:noBreakHyphen/>
      </w:r>
      <w:r w:rsidR="00254174" w:rsidRPr="00254174">
        <w:rPr>
          <w:b/>
          <w:bCs/>
          <w:highlight w:val="green"/>
          <w:lang w:val="en-GB" w:eastAsia="en-GB"/>
        </w:rPr>
        <w:t>12</w:t>
      </w:r>
      <w:r w:rsidRPr="00A34F10">
        <w:rPr>
          <w:b/>
          <w:bCs/>
          <w:lang w:val="en-GB" w:eastAsia="en-GB"/>
        </w:rPr>
        <w:t xml:space="preserve">: </w:t>
      </w:r>
      <w:r w:rsidRPr="00A34F10">
        <w:rPr>
          <w:b/>
          <w:bCs/>
          <w:lang w:val="en-GB" w:eastAsia="en-GB"/>
        </w:rPr>
        <w:tab/>
        <w:t xml:space="preserve">First-tier assessment of the </w:t>
      </w:r>
      <w:r w:rsidR="008B64F2" w:rsidRPr="00BC3EDB">
        <w:rPr>
          <w:b/>
          <w:bCs/>
          <w:shd w:val="clear" w:color="auto" w:fill="D9D9D9" w:themeFill="background1" w:themeFillShade="D9"/>
          <w:lang w:val="en-GB" w:eastAsia="en-GB"/>
        </w:rPr>
        <w:t>acute and</w:t>
      </w:r>
      <w:r w:rsidR="008B64F2">
        <w:rPr>
          <w:b/>
          <w:bCs/>
          <w:lang w:val="en-GB" w:eastAsia="en-GB"/>
        </w:rPr>
        <w:t xml:space="preserve"> </w:t>
      </w:r>
      <w:r w:rsidRPr="00A34F10">
        <w:rPr>
          <w:b/>
          <w:bCs/>
          <w:lang w:val="en-GB" w:eastAsia="en-GB"/>
        </w:rPr>
        <w:t xml:space="preserve">long-term risk for mammals due to the use of Propamocarb-HCl in </w:t>
      </w:r>
      <w:r w:rsidRPr="00A34F10">
        <w:rPr>
          <w:b/>
          <w:lang w:val="en-GB"/>
        </w:rPr>
        <w:t>BAS 743 03 F</w:t>
      </w:r>
    </w:p>
    <w:tbl>
      <w:tblPr>
        <w:tblW w:w="503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8"/>
        <w:gridCol w:w="1577"/>
        <w:gridCol w:w="47"/>
        <w:gridCol w:w="3165"/>
        <w:gridCol w:w="26"/>
        <w:gridCol w:w="973"/>
        <w:gridCol w:w="21"/>
        <w:gridCol w:w="649"/>
        <w:gridCol w:w="17"/>
        <w:gridCol w:w="730"/>
        <w:gridCol w:w="11"/>
        <w:gridCol w:w="1254"/>
        <w:gridCol w:w="881"/>
      </w:tblGrid>
      <w:tr w:rsidR="008B64F2" w:rsidRPr="006C5A12" w14:paraId="63EE3343" w14:textId="77777777" w:rsidTr="008B64F2">
        <w:trPr>
          <w:cantSplit/>
        </w:trPr>
        <w:tc>
          <w:tcPr>
            <w:tcW w:w="89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BA0445" w14:textId="77777777" w:rsidR="008B64F2" w:rsidRPr="006C5A12" w:rsidRDefault="008B64F2" w:rsidP="00B85AE5">
            <w:pPr>
              <w:keepNext/>
              <w:widowControl w:val="0"/>
              <w:jc w:val="both"/>
              <w:rPr>
                <w:b/>
                <w:bCs/>
                <w:sz w:val="20"/>
                <w:szCs w:val="20"/>
                <w:lang w:val="en-GB"/>
              </w:rPr>
            </w:pPr>
            <w:r w:rsidRPr="006C5A12">
              <w:rPr>
                <w:b/>
                <w:bCs/>
                <w:sz w:val="20"/>
                <w:szCs w:val="20"/>
                <w:lang w:val="en-GB"/>
              </w:rPr>
              <w:t>Active substance</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429F83" w14:textId="77777777" w:rsidR="008B64F2" w:rsidRPr="006C5A12" w:rsidRDefault="008B64F2" w:rsidP="00B85AE5">
            <w:pPr>
              <w:keepNext/>
              <w:widowControl w:val="0"/>
              <w:jc w:val="both"/>
              <w:rPr>
                <w:sz w:val="20"/>
                <w:szCs w:val="20"/>
                <w:lang w:val="en-GB"/>
              </w:rPr>
            </w:pPr>
            <w:r w:rsidRPr="006C5A12">
              <w:rPr>
                <w:sz w:val="20"/>
                <w:szCs w:val="20"/>
                <w:lang w:val="en-GB"/>
              </w:rPr>
              <w:t>Propamocarb</w:t>
            </w:r>
          </w:p>
        </w:tc>
      </w:tr>
      <w:tr w:rsidR="008B64F2" w:rsidRPr="006C5A12" w14:paraId="1BD9B58A" w14:textId="77777777" w:rsidTr="008B64F2">
        <w:trPr>
          <w:cantSplit/>
        </w:trPr>
        <w:tc>
          <w:tcPr>
            <w:tcW w:w="89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186E7" w14:textId="77777777" w:rsidR="008B64F2" w:rsidRPr="006C5A12" w:rsidRDefault="008B64F2" w:rsidP="00B85AE5">
            <w:pPr>
              <w:keepNext/>
              <w:widowControl w:val="0"/>
              <w:jc w:val="both"/>
              <w:rPr>
                <w:b/>
                <w:bCs/>
                <w:sz w:val="20"/>
                <w:szCs w:val="20"/>
                <w:lang w:val="en-GB"/>
              </w:rPr>
            </w:pPr>
            <w:r>
              <w:rPr>
                <w:b/>
                <w:bCs/>
                <w:sz w:val="20"/>
                <w:szCs w:val="20"/>
                <w:lang w:val="en-GB"/>
              </w:rPr>
              <w:t>Acute</w:t>
            </w:r>
            <w:r w:rsidRPr="006C5A12">
              <w:rPr>
                <w:b/>
                <w:bCs/>
                <w:sz w:val="20"/>
                <w:szCs w:val="20"/>
                <w:lang w:val="en-GB"/>
              </w:rPr>
              <w:t xml:space="preserve"> toxicity </w:t>
            </w:r>
            <w:r w:rsidRPr="006C5A12">
              <w:rPr>
                <w:b/>
                <w:bCs/>
                <w:sz w:val="20"/>
                <w:szCs w:val="20"/>
                <w:lang w:val="en-GB"/>
              </w:rPr>
              <w:br/>
              <w:t>(mg/kg bw/d)</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112588" w14:textId="77777777" w:rsidR="008B64F2" w:rsidRPr="006C5A12" w:rsidRDefault="008B64F2" w:rsidP="00B85AE5">
            <w:pPr>
              <w:keepNext/>
              <w:widowControl w:val="0"/>
              <w:jc w:val="both"/>
              <w:rPr>
                <w:sz w:val="20"/>
                <w:szCs w:val="20"/>
                <w:lang w:val="en-GB"/>
              </w:rPr>
            </w:pPr>
            <w:r w:rsidRPr="006C5A12">
              <w:rPr>
                <w:sz w:val="20"/>
                <w:szCs w:val="20"/>
                <w:lang w:val="en-GB"/>
              </w:rPr>
              <w:t>1</w:t>
            </w:r>
            <w:r>
              <w:rPr>
                <w:sz w:val="20"/>
                <w:szCs w:val="20"/>
                <w:lang w:val="en-GB"/>
              </w:rPr>
              <w:t>330</w:t>
            </w:r>
          </w:p>
        </w:tc>
      </w:tr>
      <w:tr w:rsidR="008B64F2" w:rsidRPr="006C5A12" w14:paraId="74E2A9F9" w14:textId="77777777" w:rsidTr="008B64F2">
        <w:trPr>
          <w:cantSplit/>
        </w:trPr>
        <w:tc>
          <w:tcPr>
            <w:tcW w:w="89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62E87" w14:textId="77777777" w:rsidR="008B64F2" w:rsidRPr="006C5A12" w:rsidRDefault="008B64F2" w:rsidP="00B85AE5">
            <w:pPr>
              <w:keepNext/>
              <w:widowControl w:val="0"/>
              <w:jc w:val="both"/>
              <w:rPr>
                <w:b/>
                <w:bCs/>
                <w:sz w:val="20"/>
                <w:szCs w:val="20"/>
                <w:lang w:val="en-GB"/>
              </w:rPr>
            </w:pPr>
            <w:r w:rsidRPr="006C5A12">
              <w:rPr>
                <w:b/>
                <w:bCs/>
                <w:sz w:val="20"/>
                <w:szCs w:val="20"/>
                <w:lang w:val="en-GB"/>
              </w:rPr>
              <w:t>TER criterion</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0397C9" w14:textId="77777777" w:rsidR="008B64F2" w:rsidRPr="006C5A12" w:rsidRDefault="008B64F2" w:rsidP="00B85AE5">
            <w:pPr>
              <w:keepNext/>
              <w:widowControl w:val="0"/>
              <w:jc w:val="both"/>
              <w:rPr>
                <w:sz w:val="20"/>
                <w:szCs w:val="20"/>
                <w:lang w:val="en-GB"/>
              </w:rPr>
            </w:pPr>
            <w:r>
              <w:rPr>
                <w:sz w:val="20"/>
                <w:szCs w:val="20"/>
                <w:lang w:val="en-GB"/>
              </w:rPr>
              <w:t>10</w:t>
            </w:r>
          </w:p>
        </w:tc>
      </w:tr>
      <w:tr w:rsidR="008B64F2" w:rsidRPr="006C5A12" w14:paraId="2DF59F62" w14:textId="77777777" w:rsidTr="008B64F2">
        <w:trPr>
          <w:cantSplit/>
        </w:trPr>
        <w:tc>
          <w:tcPr>
            <w:tcW w:w="894" w:type="pct"/>
            <w:gridSpan w:val="3"/>
            <w:tcBorders>
              <w:bottom w:val="single" w:sz="12" w:space="0" w:color="auto"/>
            </w:tcBorders>
            <w:shd w:val="clear" w:color="auto" w:fill="D9D9D9" w:themeFill="background1" w:themeFillShade="D9"/>
            <w:vAlign w:val="center"/>
          </w:tcPr>
          <w:p w14:paraId="369F98E3" w14:textId="77777777" w:rsidR="008B64F2" w:rsidRPr="006C5A12" w:rsidRDefault="008B64F2" w:rsidP="00B85AE5">
            <w:pPr>
              <w:keepNext/>
              <w:widowControl w:val="0"/>
              <w:rPr>
                <w:b/>
                <w:bCs/>
                <w:sz w:val="20"/>
                <w:szCs w:val="20"/>
                <w:lang w:val="en-GB"/>
              </w:rPr>
            </w:pPr>
            <w:r w:rsidRPr="006C5A12">
              <w:rPr>
                <w:b/>
                <w:bCs/>
                <w:sz w:val="20"/>
                <w:szCs w:val="20"/>
                <w:lang w:val="en-GB"/>
              </w:rPr>
              <w:t>Growth stage</w:t>
            </w:r>
          </w:p>
        </w:tc>
        <w:tc>
          <w:tcPr>
            <w:tcW w:w="1696" w:type="pct"/>
            <w:gridSpan w:val="2"/>
            <w:tcBorders>
              <w:bottom w:val="single" w:sz="12" w:space="0" w:color="auto"/>
            </w:tcBorders>
            <w:shd w:val="clear" w:color="auto" w:fill="D9D9D9" w:themeFill="background1" w:themeFillShade="D9"/>
            <w:vAlign w:val="center"/>
          </w:tcPr>
          <w:p w14:paraId="23B917CE" w14:textId="77777777" w:rsidR="008B64F2" w:rsidRPr="006C5A12" w:rsidRDefault="008B64F2" w:rsidP="00B85AE5">
            <w:pPr>
              <w:keepNext/>
              <w:widowControl w:val="0"/>
              <w:rPr>
                <w:b/>
                <w:bCs/>
                <w:sz w:val="20"/>
                <w:szCs w:val="20"/>
                <w:lang w:val="en-GB"/>
              </w:rPr>
            </w:pPr>
            <w:r w:rsidRPr="006C5A12">
              <w:rPr>
                <w:b/>
                <w:bCs/>
                <w:sz w:val="20"/>
                <w:szCs w:val="20"/>
                <w:lang w:val="en-GB"/>
              </w:rPr>
              <w:t>Generic focal species</w:t>
            </w:r>
          </w:p>
        </w:tc>
        <w:tc>
          <w:tcPr>
            <w:tcW w:w="528" w:type="pct"/>
            <w:gridSpan w:val="2"/>
            <w:tcBorders>
              <w:bottom w:val="single" w:sz="12" w:space="0" w:color="auto"/>
            </w:tcBorders>
            <w:shd w:val="clear" w:color="auto" w:fill="D9D9D9" w:themeFill="background1" w:themeFillShade="D9"/>
            <w:vAlign w:val="center"/>
          </w:tcPr>
          <w:p w14:paraId="0ED2FD6D" w14:textId="77777777" w:rsidR="008B64F2" w:rsidRPr="006C5A12" w:rsidRDefault="008B64F2" w:rsidP="00B85AE5">
            <w:pPr>
              <w:keepNext/>
              <w:widowControl w:val="0"/>
              <w:rPr>
                <w:b/>
                <w:bCs/>
                <w:sz w:val="20"/>
                <w:szCs w:val="20"/>
                <w:lang w:val="en-GB"/>
              </w:rPr>
            </w:pPr>
            <w:r w:rsidRPr="006C5A12">
              <w:rPr>
                <w:b/>
                <w:bCs/>
                <w:sz w:val="20"/>
                <w:szCs w:val="20"/>
                <w:lang w:val="en-GB"/>
              </w:rPr>
              <w:t>App. Rate</w:t>
            </w:r>
          </w:p>
          <w:p w14:paraId="4F50EBEE" w14:textId="77777777" w:rsidR="008B64F2" w:rsidRPr="006C5A12" w:rsidRDefault="008B64F2" w:rsidP="00B85AE5">
            <w:pPr>
              <w:keepNext/>
              <w:widowControl w:val="0"/>
              <w:rPr>
                <w:b/>
                <w:bCs/>
                <w:sz w:val="20"/>
                <w:szCs w:val="20"/>
                <w:lang w:val="en-GB"/>
              </w:rPr>
            </w:pPr>
            <w:r w:rsidRPr="006C5A12">
              <w:rPr>
                <w:b/>
                <w:bCs/>
                <w:sz w:val="20"/>
                <w:szCs w:val="20"/>
                <w:lang w:val="en-GB"/>
              </w:rPr>
              <w:t>(kg a.s./ha)</w:t>
            </w:r>
          </w:p>
        </w:tc>
        <w:tc>
          <w:tcPr>
            <w:tcW w:w="354" w:type="pct"/>
            <w:gridSpan w:val="2"/>
            <w:tcBorders>
              <w:bottom w:val="single" w:sz="12" w:space="0" w:color="auto"/>
            </w:tcBorders>
            <w:shd w:val="clear" w:color="auto" w:fill="D9D9D9" w:themeFill="background1" w:themeFillShade="D9"/>
            <w:vAlign w:val="center"/>
          </w:tcPr>
          <w:p w14:paraId="6E77DF2D" w14:textId="77777777" w:rsidR="008B64F2" w:rsidRPr="006C5A12" w:rsidRDefault="008B64F2" w:rsidP="00B85AE5">
            <w:pPr>
              <w:keepNext/>
              <w:widowControl w:val="0"/>
              <w:rPr>
                <w:b/>
                <w:bCs/>
                <w:sz w:val="20"/>
                <w:szCs w:val="20"/>
                <w:lang w:val="en-GB"/>
              </w:rPr>
            </w:pPr>
            <w:r w:rsidRPr="006C5A12">
              <w:rPr>
                <w:b/>
                <w:bCs/>
                <w:sz w:val="20"/>
                <w:szCs w:val="20"/>
                <w:lang w:val="en-GB"/>
              </w:rPr>
              <w:t>SV</w:t>
            </w:r>
            <w:r>
              <w:rPr>
                <w:b/>
                <w:bCs/>
                <w:sz w:val="20"/>
                <w:szCs w:val="20"/>
                <w:lang w:val="en-GB"/>
              </w:rPr>
              <w:t>a</w:t>
            </w:r>
          </w:p>
        </w:tc>
        <w:tc>
          <w:tcPr>
            <w:tcW w:w="394" w:type="pct"/>
            <w:gridSpan w:val="2"/>
            <w:tcBorders>
              <w:bottom w:val="single" w:sz="12" w:space="0" w:color="auto"/>
            </w:tcBorders>
            <w:shd w:val="clear" w:color="auto" w:fill="D9D9D9" w:themeFill="background1" w:themeFillShade="D9"/>
            <w:vAlign w:val="center"/>
          </w:tcPr>
          <w:p w14:paraId="07B9B9C3" w14:textId="77777777" w:rsidR="008B64F2" w:rsidRPr="006C5A12" w:rsidRDefault="008B64F2" w:rsidP="00B85AE5">
            <w:pPr>
              <w:keepNext/>
              <w:widowControl w:val="0"/>
              <w:rPr>
                <w:b/>
                <w:bCs/>
                <w:sz w:val="20"/>
                <w:szCs w:val="20"/>
                <w:lang w:val="en-GB"/>
              </w:rPr>
            </w:pPr>
            <w:r w:rsidRPr="006C5A12">
              <w:rPr>
                <w:b/>
                <w:bCs/>
                <w:sz w:val="20"/>
                <w:szCs w:val="20"/>
                <w:lang w:val="en-GB"/>
              </w:rPr>
              <w:t>MAF</w:t>
            </w:r>
            <w:r>
              <w:rPr>
                <w:b/>
                <w:bCs/>
                <w:sz w:val="20"/>
                <w:szCs w:val="20"/>
                <w:lang w:val="en-GB"/>
              </w:rPr>
              <w:t>a</w:t>
            </w:r>
            <w:r w:rsidRPr="006C5A12">
              <w:rPr>
                <w:b/>
                <w:bCs/>
                <w:sz w:val="20"/>
                <w:szCs w:val="20"/>
                <w:lang w:val="en-GB"/>
              </w:rPr>
              <w:t xml:space="preserve"> </w:t>
            </w:r>
          </w:p>
        </w:tc>
        <w:tc>
          <w:tcPr>
            <w:tcW w:w="666" w:type="pct"/>
            <w:tcBorders>
              <w:bottom w:val="single" w:sz="12" w:space="0" w:color="auto"/>
            </w:tcBorders>
            <w:shd w:val="clear" w:color="auto" w:fill="D9D9D9" w:themeFill="background1" w:themeFillShade="D9"/>
            <w:vAlign w:val="center"/>
          </w:tcPr>
          <w:p w14:paraId="7B181D6B" w14:textId="38974075" w:rsidR="008B64F2" w:rsidRPr="006C5A12" w:rsidRDefault="008B64F2" w:rsidP="00B85AE5">
            <w:pPr>
              <w:keepNext/>
              <w:widowControl w:val="0"/>
              <w:rPr>
                <w:b/>
                <w:bCs/>
                <w:sz w:val="20"/>
                <w:szCs w:val="20"/>
                <w:lang w:val="de-DE"/>
              </w:rPr>
            </w:pPr>
            <w:r w:rsidRPr="006C5A12">
              <w:rPr>
                <w:b/>
                <w:bCs/>
                <w:sz w:val="20"/>
                <w:szCs w:val="20"/>
                <w:lang w:val="de-DE"/>
              </w:rPr>
              <w:t>DDD</w:t>
            </w:r>
            <w:r w:rsidR="00165618">
              <w:rPr>
                <w:b/>
                <w:bCs/>
                <w:sz w:val="20"/>
                <w:szCs w:val="20"/>
                <w:lang w:val="de-DE"/>
              </w:rPr>
              <w:t>a</w:t>
            </w:r>
          </w:p>
          <w:p w14:paraId="672D78D2" w14:textId="77777777" w:rsidR="008B64F2" w:rsidRPr="006C5A12" w:rsidRDefault="008B64F2" w:rsidP="00B85AE5">
            <w:pPr>
              <w:keepNext/>
              <w:widowControl w:val="0"/>
              <w:rPr>
                <w:b/>
                <w:bCs/>
                <w:sz w:val="20"/>
                <w:szCs w:val="20"/>
                <w:lang w:val="de-DE"/>
              </w:rPr>
            </w:pPr>
            <w:r w:rsidRPr="006C5A12">
              <w:rPr>
                <w:b/>
                <w:bCs/>
                <w:sz w:val="20"/>
                <w:szCs w:val="20"/>
                <w:lang w:val="de-DE"/>
              </w:rPr>
              <w:t>(mg/kg bw/d)</w:t>
            </w:r>
          </w:p>
        </w:tc>
        <w:tc>
          <w:tcPr>
            <w:tcW w:w="468" w:type="pct"/>
            <w:tcBorders>
              <w:bottom w:val="single" w:sz="12" w:space="0" w:color="auto"/>
            </w:tcBorders>
            <w:shd w:val="clear" w:color="auto" w:fill="D9D9D9" w:themeFill="background1" w:themeFillShade="D9"/>
            <w:vAlign w:val="center"/>
          </w:tcPr>
          <w:p w14:paraId="5681004E" w14:textId="068E6E4A" w:rsidR="008B64F2" w:rsidRPr="006C5A12" w:rsidRDefault="008B64F2" w:rsidP="00B85AE5">
            <w:pPr>
              <w:keepNext/>
              <w:widowControl w:val="0"/>
              <w:rPr>
                <w:b/>
                <w:bCs/>
                <w:sz w:val="20"/>
                <w:szCs w:val="20"/>
                <w:lang w:val="en-GB"/>
              </w:rPr>
            </w:pPr>
            <w:r w:rsidRPr="006C5A12">
              <w:rPr>
                <w:b/>
                <w:bCs/>
                <w:sz w:val="20"/>
                <w:szCs w:val="20"/>
                <w:lang w:val="en-GB"/>
              </w:rPr>
              <w:t>TER</w:t>
            </w:r>
            <w:r w:rsidR="00D406BC">
              <w:rPr>
                <w:b/>
                <w:bCs/>
                <w:sz w:val="20"/>
                <w:szCs w:val="20"/>
                <w:lang w:val="en-GB"/>
              </w:rPr>
              <w:t>a</w:t>
            </w:r>
          </w:p>
        </w:tc>
      </w:tr>
      <w:tr w:rsidR="004552B2" w:rsidRPr="006C5A12" w14:paraId="457983B6" w14:textId="77777777" w:rsidTr="008B64F2">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11398" w14:textId="77777777" w:rsidR="004552B2" w:rsidRPr="008B64F2" w:rsidRDefault="004552B2" w:rsidP="00B85AE5">
            <w:pPr>
              <w:keepNext/>
              <w:jc w:val="center"/>
              <w:rPr>
                <w:sz w:val="20"/>
                <w:szCs w:val="20"/>
              </w:rPr>
            </w:pPr>
            <w:r w:rsidRPr="008B64F2">
              <w:rPr>
                <w:b/>
                <w:bCs/>
                <w:sz w:val="20"/>
                <w:szCs w:val="20"/>
              </w:rPr>
              <w:t xml:space="preserve">Orchards </w:t>
            </w:r>
            <w:r w:rsidRPr="008B64F2">
              <w:rPr>
                <w:b/>
                <w:sz w:val="20"/>
                <w:szCs w:val="20"/>
                <w:lang w:val="en-GB"/>
              </w:rPr>
              <w:t>(2 x 0.902 kg a.s./ha, BBCH 12 - 59)</w:t>
            </w:r>
          </w:p>
        </w:tc>
      </w:tr>
      <w:tr w:rsidR="004552B2" w:rsidRPr="006C5A12" w14:paraId="6F23DE3D"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BEC09F" w14:textId="77777777" w:rsidR="004552B2" w:rsidRPr="008B64F2" w:rsidRDefault="004552B2" w:rsidP="00B85AE5">
            <w:pPr>
              <w:keepNext/>
              <w:jc w:val="center"/>
              <w:rPr>
                <w:sz w:val="20"/>
                <w:szCs w:val="20"/>
              </w:rPr>
            </w:pPr>
            <w:r w:rsidRPr="008B64F2">
              <w:rPr>
                <w:sz w:val="20"/>
                <w:szCs w:val="20"/>
              </w:rPr>
              <w:t>Application crop directed</w:t>
            </w:r>
          </w:p>
          <w:p w14:paraId="6DF075FD" w14:textId="77777777" w:rsidR="004552B2" w:rsidRPr="008B64F2" w:rsidRDefault="004552B2" w:rsidP="00B85AE5">
            <w:pPr>
              <w:keepNext/>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CEB7022" w14:textId="77777777" w:rsidR="004552B2" w:rsidRPr="008B64F2" w:rsidRDefault="004552B2" w:rsidP="00B85AE5">
            <w:pPr>
              <w:keepNext/>
              <w:jc w:val="center"/>
              <w:rPr>
                <w:sz w:val="20"/>
                <w:szCs w:val="20"/>
                <w:lang w:val="en-GB"/>
              </w:rPr>
            </w:pPr>
            <w:r w:rsidRPr="008B64F2">
              <w:rPr>
                <w:sz w:val="20"/>
                <w:szCs w:val="20"/>
                <w:lang w:val="en-GB"/>
              </w:rPr>
              <w:t>Small herbivorous mammal “vole”</w:t>
            </w:r>
          </w:p>
        </w:tc>
        <w:tc>
          <w:tcPr>
            <w:tcW w:w="531" w:type="pct"/>
            <w:gridSpan w:val="2"/>
            <w:vMerge w:val="restart"/>
            <w:tcBorders>
              <w:top w:val="single" w:sz="4" w:space="0" w:color="auto"/>
            </w:tcBorders>
            <w:shd w:val="clear" w:color="auto" w:fill="D9D9D9" w:themeFill="background1" w:themeFillShade="D9"/>
            <w:vAlign w:val="center"/>
          </w:tcPr>
          <w:p w14:paraId="2F39A0B2" w14:textId="77777777" w:rsidR="004552B2" w:rsidRPr="008B64F2" w:rsidRDefault="004552B2" w:rsidP="00B85AE5">
            <w:pPr>
              <w:keepNext/>
              <w:jc w:val="center"/>
              <w:rPr>
                <w:sz w:val="20"/>
                <w:szCs w:val="20"/>
                <w:lang w:val="en-GB"/>
              </w:rPr>
            </w:pPr>
            <w:r w:rsidRPr="008B64F2">
              <w:rPr>
                <w:sz w:val="20"/>
                <w:szCs w:val="20"/>
                <w:lang w:val="en-GB"/>
              </w:rPr>
              <w:t>0.902</w:t>
            </w: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D6860F" w14:textId="3E218E27" w:rsidR="004552B2" w:rsidRPr="008B64F2" w:rsidRDefault="00BE08B4" w:rsidP="00B85AE5">
            <w:pPr>
              <w:keepNext/>
              <w:jc w:val="center"/>
              <w:rPr>
                <w:sz w:val="20"/>
                <w:szCs w:val="20"/>
              </w:rPr>
            </w:pPr>
            <w:r>
              <w:rPr>
                <w:sz w:val="20"/>
                <w:szCs w:val="20"/>
              </w:rPr>
              <w:t>109.2</w:t>
            </w:r>
          </w:p>
        </w:tc>
        <w:tc>
          <w:tcPr>
            <w:tcW w:w="397" w:type="pct"/>
            <w:gridSpan w:val="2"/>
            <w:vMerge w:val="restart"/>
            <w:tcBorders>
              <w:top w:val="single" w:sz="4" w:space="0" w:color="auto"/>
            </w:tcBorders>
            <w:shd w:val="clear" w:color="auto" w:fill="D9D9D9" w:themeFill="background1" w:themeFillShade="D9"/>
            <w:vAlign w:val="center"/>
          </w:tcPr>
          <w:p w14:paraId="50E1CC88" w14:textId="7736ADAE" w:rsidR="004552B2" w:rsidRPr="008B64F2" w:rsidRDefault="0084294D" w:rsidP="00B85AE5">
            <w:pPr>
              <w:keepNext/>
              <w:jc w:val="center"/>
              <w:rPr>
                <w:sz w:val="20"/>
                <w:szCs w:val="20"/>
                <w:lang w:val="en-GB"/>
              </w:rPr>
            </w:pPr>
            <w:r>
              <w:rPr>
                <w:sz w:val="20"/>
                <w:szCs w:val="20"/>
                <w:lang w:val="en-GB"/>
              </w:rPr>
              <w:t>1.41</w:t>
            </w: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706A82" w14:textId="4641F76E" w:rsidR="004552B2" w:rsidRPr="0084294D" w:rsidRDefault="00EA16A4" w:rsidP="00B85AE5">
            <w:pPr>
              <w:keepNext/>
              <w:jc w:val="center"/>
              <w:rPr>
                <w:sz w:val="20"/>
                <w:szCs w:val="20"/>
              </w:rPr>
            </w:pPr>
            <w:r>
              <w:rPr>
                <w:sz w:val="20"/>
                <w:szCs w:val="20"/>
              </w:rPr>
              <w:t>138.88</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B29C52" w14:textId="2C1246FA" w:rsidR="004552B2" w:rsidRPr="00D406CE" w:rsidRDefault="00D406CE" w:rsidP="00B85AE5">
            <w:pPr>
              <w:keepNext/>
              <w:jc w:val="center"/>
              <w:rPr>
                <w:b/>
                <w:bCs/>
                <w:sz w:val="20"/>
                <w:szCs w:val="20"/>
              </w:rPr>
            </w:pPr>
            <w:r w:rsidRPr="00D406CE">
              <w:rPr>
                <w:b/>
                <w:bCs/>
                <w:sz w:val="20"/>
                <w:szCs w:val="20"/>
              </w:rPr>
              <w:t>9.58</w:t>
            </w:r>
          </w:p>
        </w:tc>
      </w:tr>
      <w:tr w:rsidR="004552B2" w:rsidRPr="006C5A12" w14:paraId="299EBFFC"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11B768" w14:textId="77777777" w:rsidR="004552B2" w:rsidRPr="008B64F2" w:rsidRDefault="004552B2" w:rsidP="00B85AE5">
            <w:pPr>
              <w:keepNext/>
              <w:jc w:val="center"/>
              <w:rPr>
                <w:sz w:val="20"/>
                <w:szCs w:val="20"/>
              </w:rPr>
            </w:pPr>
            <w:r w:rsidRPr="008B64F2">
              <w:rPr>
                <w:sz w:val="20"/>
                <w:szCs w:val="20"/>
              </w:rPr>
              <w:t>Application crop directed</w:t>
            </w:r>
          </w:p>
          <w:p w14:paraId="18B5E454" w14:textId="77777777" w:rsidR="004552B2" w:rsidRPr="008B64F2" w:rsidRDefault="004552B2" w:rsidP="00B85AE5">
            <w:pPr>
              <w:keepNext/>
              <w:jc w:val="center"/>
              <w:rPr>
                <w:sz w:val="20"/>
                <w:szCs w:val="20"/>
              </w:rPr>
            </w:pPr>
            <w:r w:rsidRPr="008B64F2">
              <w:rPr>
                <w:sz w:val="20"/>
                <w:szCs w:val="20"/>
              </w:rPr>
              <w:t>BBCH 20-40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505324D" w14:textId="77777777" w:rsidR="004552B2" w:rsidRPr="008B64F2" w:rsidRDefault="004552B2" w:rsidP="00B85AE5">
            <w:pPr>
              <w:keepNext/>
              <w:jc w:val="center"/>
              <w:rPr>
                <w:sz w:val="20"/>
                <w:szCs w:val="20"/>
                <w:lang w:val="en-GB"/>
              </w:rPr>
            </w:pPr>
            <w:r w:rsidRPr="008B64F2">
              <w:rPr>
                <w:sz w:val="20"/>
                <w:szCs w:val="20"/>
                <w:lang w:val="en-GB"/>
              </w:rPr>
              <w:t>Small herbivorous mammal “vole”</w:t>
            </w:r>
          </w:p>
        </w:tc>
        <w:tc>
          <w:tcPr>
            <w:tcW w:w="531" w:type="pct"/>
            <w:gridSpan w:val="2"/>
            <w:vMerge/>
            <w:shd w:val="clear" w:color="auto" w:fill="D9D9D9" w:themeFill="background1" w:themeFillShade="D9"/>
            <w:vAlign w:val="center"/>
          </w:tcPr>
          <w:p w14:paraId="036767E7" w14:textId="77777777" w:rsidR="004552B2" w:rsidRPr="008B64F2" w:rsidRDefault="004552B2" w:rsidP="00B85AE5">
            <w:pPr>
              <w:keepNext/>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09B7AD" w14:textId="2908387E" w:rsidR="004552B2" w:rsidRPr="008B64F2" w:rsidRDefault="00BE08B4" w:rsidP="00B85AE5">
            <w:pPr>
              <w:keepNext/>
              <w:jc w:val="center"/>
              <w:rPr>
                <w:sz w:val="20"/>
                <w:szCs w:val="20"/>
              </w:rPr>
            </w:pPr>
            <w:r>
              <w:rPr>
                <w:sz w:val="20"/>
                <w:szCs w:val="20"/>
              </w:rPr>
              <w:t>81.9</w:t>
            </w:r>
          </w:p>
        </w:tc>
        <w:tc>
          <w:tcPr>
            <w:tcW w:w="397" w:type="pct"/>
            <w:gridSpan w:val="2"/>
            <w:vMerge/>
            <w:shd w:val="clear" w:color="auto" w:fill="D9D9D9" w:themeFill="background1" w:themeFillShade="D9"/>
            <w:vAlign w:val="center"/>
          </w:tcPr>
          <w:p w14:paraId="5CD82882" w14:textId="77777777" w:rsidR="004552B2" w:rsidRPr="008B64F2" w:rsidRDefault="004552B2" w:rsidP="00B85AE5">
            <w:pPr>
              <w:keepNext/>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6FA0F" w14:textId="2DEE9CDB" w:rsidR="004552B2" w:rsidRPr="0084294D" w:rsidRDefault="00A91B55" w:rsidP="00B85AE5">
            <w:pPr>
              <w:keepNext/>
              <w:jc w:val="center"/>
              <w:rPr>
                <w:sz w:val="20"/>
                <w:szCs w:val="20"/>
              </w:rPr>
            </w:pPr>
            <w:r>
              <w:rPr>
                <w:sz w:val="20"/>
                <w:szCs w:val="20"/>
              </w:rPr>
              <w:t>104.16</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0414CD" w14:textId="5BF8C43D" w:rsidR="004552B2" w:rsidRPr="0084294D" w:rsidRDefault="00697AE7" w:rsidP="00B85AE5">
            <w:pPr>
              <w:keepNext/>
              <w:jc w:val="center"/>
              <w:rPr>
                <w:sz w:val="20"/>
                <w:szCs w:val="20"/>
              </w:rPr>
            </w:pPr>
            <w:r>
              <w:rPr>
                <w:sz w:val="20"/>
                <w:szCs w:val="20"/>
              </w:rPr>
              <w:t>12.77</w:t>
            </w:r>
          </w:p>
        </w:tc>
      </w:tr>
      <w:tr w:rsidR="004552B2" w:rsidRPr="006C5A12" w14:paraId="53807411"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37F346" w14:textId="77777777" w:rsidR="004552B2" w:rsidRPr="008B64F2" w:rsidRDefault="004552B2" w:rsidP="00B85AE5">
            <w:pPr>
              <w:keepNext/>
              <w:jc w:val="center"/>
              <w:rPr>
                <w:sz w:val="20"/>
                <w:szCs w:val="20"/>
              </w:rPr>
            </w:pPr>
            <w:r w:rsidRPr="008B64F2">
              <w:rPr>
                <w:sz w:val="20"/>
                <w:szCs w:val="20"/>
              </w:rPr>
              <w:t>Application crop directed</w:t>
            </w:r>
          </w:p>
          <w:p w14:paraId="5F7C9E44" w14:textId="77777777" w:rsidR="004552B2" w:rsidRPr="008B64F2" w:rsidRDefault="004552B2" w:rsidP="00B85AE5">
            <w:pPr>
              <w:keepNext/>
              <w:jc w:val="center"/>
              <w:rPr>
                <w:sz w:val="20"/>
                <w:szCs w:val="20"/>
              </w:rPr>
            </w:pPr>
            <w:r w:rsidRPr="008B64F2">
              <w:rPr>
                <w:sz w:val="20"/>
                <w:szCs w:val="20"/>
              </w:rPr>
              <w:t>BBCH ≥ 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AD08EBD" w14:textId="77777777" w:rsidR="004552B2" w:rsidRPr="008B64F2" w:rsidRDefault="004552B2" w:rsidP="00B85AE5">
            <w:pPr>
              <w:keepNext/>
              <w:jc w:val="center"/>
              <w:rPr>
                <w:sz w:val="20"/>
                <w:szCs w:val="20"/>
                <w:lang w:val="en-GB"/>
              </w:rPr>
            </w:pPr>
            <w:r w:rsidRPr="008B64F2">
              <w:rPr>
                <w:sz w:val="20"/>
                <w:szCs w:val="20"/>
                <w:lang w:val="en-GB"/>
              </w:rPr>
              <w:t>Small herbivorous mammal “vole”</w:t>
            </w:r>
          </w:p>
        </w:tc>
        <w:tc>
          <w:tcPr>
            <w:tcW w:w="531" w:type="pct"/>
            <w:gridSpan w:val="2"/>
            <w:vMerge/>
            <w:shd w:val="clear" w:color="auto" w:fill="D9D9D9" w:themeFill="background1" w:themeFillShade="D9"/>
            <w:vAlign w:val="center"/>
          </w:tcPr>
          <w:p w14:paraId="3E00C20D" w14:textId="77777777" w:rsidR="004552B2" w:rsidRPr="008B64F2" w:rsidRDefault="004552B2" w:rsidP="00B85AE5">
            <w:pPr>
              <w:keepNext/>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213AF3" w14:textId="328D8222" w:rsidR="004552B2" w:rsidRPr="008B64F2" w:rsidRDefault="00066879" w:rsidP="00B85AE5">
            <w:pPr>
              <w:keepNext/>
              <w:jc w:val="center"/>
              <w:rPr>
                <w:sz w:val="20"/>
                <w:szCs w:val="20"/>
              </w:rPr>
            </w:pPr>
            <w:r>
              <w:rPr>
                <w:sz w:val="20"/>
                <w:szCs w:val="20"/>
              </w:rPr>
              <w:t>40.9</w:t>
            </w:r>
          </w:p>
        </w:tc>
        <w:tc>
          <w:tcPr>
            <w:tcW w:w="397" w:type="pct"/>
            <w:gridSpan w:val="2"/>
            <w:vMerge/>
            <w:shd w:val="clear" w:color="auto" w:fill="D9D9D9" w:themeFill="background1" w:themeFillShade="D9"/>
            <w:vAlign w:val="center"/>
          </w:tcPr>
          <w:p w14:paraId="1BDF4808" w14:textId="77777777" w:rsidR="004552B2" w:rsidRPr="008B64F2" w:rsidRDefault="004552B2" w:rsidP="00B85AE5">
            <w:pPr>
              <w:keepNext/>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DB26E2" w14:textId="26A32DCF" w:rsidR="004552B2" w:rsidRPr="0084294D" w:rsidRDefault="00697AE7" w:rsidP="00B85AE5">
            <w:pPr>
              <w:keepNext/>
              <w:jc w:val="center"/>
              <w:rPr>
                <w:sz w:val="20"/>
                <w:szCs w:val="20"/>
              </w:rPr>
            </w:pPr>
            <w:r>
              <w:rPr>
                <w:sz w:val="20"/>
                <w:szCs w:val="20"/>
              </w:rPr>
              <w:t>52.02</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F8CFB" w14:textId="2A4500C7" w:rsidR="004552B2" w:rsidRPr="0084294D" w:rsidRDefault="00412C47" w:rsidP="00B85AE5">
            <w:pPr>
              <w:keepNext/>
              <w:jc w:val="center"/>
              <w:rPr>
                <w:sz w:val="20"/>
                <w:szCs w:val="20"/>
              </w:rPr>
            </w:pPr>
            <w:r>
              <w:rPr>
                <w:sz w:val="20"/>
                <w:szCs w:val="20"/>
              </w:rPr>
              <w:t>25.57</w:t>
            </w:r>
          </w:p>
        </w:tc>
      </w:tr>
      <w:tr w:rsidR="004552B2" w:rsidRPr="006C5A12" w14:paraId="6919E889"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F185D3" w14:textId="77777777" w:rsidR="004552B2" w:rsidRPr="008B64F2" w:rsidRDefault="004552B2" w:rsidP="00B85AE5">
            <w:pPr>
              <w:keepNext/>
              <w:jc w:val="center"/>
              <w:rPr>
                <w:sz w:val="20"/>
                <w:szCs w:val="20"/>
              </w:rPr>
            </w:pPr>
            <w:r w:rsidRPr="008B64F2">
              <w:rPr>
                <w:sz w:val="20"/>
                <w:szCs w:val="20"/>
              </w:rPr>
              <w:t>Application crop directed</w:t>
            </w:r>
          </w:p>
          <w:p w14:paraId="29A7945E" w14:textId="77777777" w:rsidR="004552B2" w:rsidRPr="008B64F2" w:rsidRDefault="004552B2" w:rsidP="00B85AE5">
            <w:pPr>
              <w:keepNext/>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CF3B424" w14:textId="77777777" w:rsidR="004552B2" w:rsidRPr="008B64F2" w:rsidRDefault="004552B2" w:rsidP="00B85AE5">
            <w:pPr>
              <w:keepNext/>
              <w:jc w:val="center"/>
              <w:rPr>
                <w:sz w:val="20"/>
                <w:szCs w:val="20"/>
                <w:lang w:val="en-GB"/>
              </w:rPr>
            </w:pPr>
            <w:r w:rsidRPr="008B64F2">
              <w:rPr>
                <w:sz w:val="20"/>
                <w:szCs w:val="20"/>
                <w:lang w:val="en-GB"/>
              </w:rPr>
              <w:t>Large herbivorous mammal “lagomorph”</w:t>
            </w:r>
          </w:p>
        </w:tc>
        <w:tc>
          <w:tcPr>
            <w:tcW w:w="531" w:type="pct"/>
            <w:gridSpan w:val="2"/>
            <w:vMerge/>
            <w:shd w:val="clear" w:color="auto" w:fill="D9D9D9" w:themeFill="background1" w:themeFillShade="D9"/>
            <w:vAlign w:val="center"/>
          </w:tcPr>
          <w:p w14:paraId="4C529953" w14:textId="77777777" w:rsidR="004552B2" w:rsidRPr="008B64F2" w:rsidRDefault="004552B2" w:rsidP="00B85AE5">
            <w:pPr>
              <w:keepNext/>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D0F399" w14:textId="0410CD2B" w:rsidR="004552B2" w:rsidRPr="008B64F2" w:rsidRDefault="00066879" w:rsidP="00B85AE5">
            <w:pPr>
              <w:keepNext/>
              <w:jc w:val="center"/>
              <w:rPr>
                <w:sz w:val="20"/>
                <w:szCs w:val="20"/>
              </w:rPr>
            </w:pPr>
            <w:r>
              <w:rPr>
                <w:sz w:val="20"/>
                <w:szCs w:val="20"/>
              </w:rPr>
              <w:t>28.1</w:t>
            </w:r>
          </w:p>
        </w:tc>
        <w:tc>
          <w:tcPr>
            <w:tcW w:w="397" w:type="pct"/>
            <w:gridSpan w:val="2"/>
            <w:vMerge/>
            <w:shd w:val="clear" w:color="auto" w:fill="D9D9D9" w:themeFill="background1" w:themeFillShade="D9"/>
            <w:vAlign w:val="center"/>
          </w:tcPr>
          <w:p w14:paraId="461E0461" w14:textId="77777777" w:rsidR="004552B2" w:rsidRPr="008B64F2" w:rsidRDefault="004552B2" w:rsidP="00B85AE5">
            <w:pPr>
              <w:keepNext/>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9AE83D" w14:textId="6798FDE2" w:rsidR="004552B2" w:rsidRPr="0084294D" w:rsidRDefault="00412C47" w:rsidP="00B85AE5">
            <w:pPr>
              <w:keepNext/>
              <w:jc w:val="center"/>
              <w:rPr>
                <w:sz w:val="20"/>
                <w:szCs w:val="20"/>
              </w:rPr>
            </w:pPr>
            <w:r>
              <w:rPr>
                <w:sz w:val="20"/>
                <w:szCs w:val="20"/>
              </w:rPr>
              <w:t>35.74</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C2E53" w14:textId="68D12989" w:rsidR="004552B2" w:rsidRPr="0084294D" w:rsidRDefault="000660A0" w:rsidP="00B85AE5">
            <w:pPr>
              <w:keepNext/>
              <w:jc w:val="center"/>
              <w:rPr>
                <w:sz w:val="20"/>
                <w:szCs w:val="20"/>
              </w:rPr>
            </w:pPr>
            <w:r>
              <w:rPr>
                <w:sz w:val="20"/>
                <w:szCs w:val="20"/>
              </w:rPr>
              <w:t>37.21</w:t>
            </w:r>
          </w:p>
        </w:tc>
      </w:tr>
      <w:tr w:rsidR="004552B2" w:rsidRPr="006C5A12" w14:paraId="247F02C5"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ACD6D" w14:textId="77777777" w:rsidR="004552B2" w:rsidRPr="008B64F2" w:rsidRDefault="004552B2" w:rsidP="00B85AE5">
            <w:pPr>
              <w:keepNext/>
              <w:jc w:val="center"/>
              <w:rPr>
                <w:sz w:val="20"/>
                <w:szCs w:val="20"/>
              </w:rPr>
            </w:pPr>
            <w:r w:rsidRPr="008B64F2">
              <w:rPr>
                <w:sz w:val="20"/>
                <w:szCs w:val="20"/>
              </w:rPr>
              <w:t>Application crop directed</w:t>
            </w:r>
          </w:p>
          <w:p w14:paraId="2DA79987" w14:textId="77777777" w:rsidR="004552B2" w:rsidRPr="008B64F2" w:rsidRDefault="004552B2" w:rsidP="00B85AE5">
            <w:pPr>
              <w:keepNext/>
              <w:jc w:val="center"/>
              <w:rPr>
                <w:sz w:val="20"/>
                <w:szCs w:val="20"/>
              </w:rPr>
            </w:pPr>
            <w:r w:rsidRPr="008B64F2">
              <w:rPr>
                <w:sz w:val="20"/>
                <w:szCs w:val="20"/>
              </w:rPr>
              <w:t>BBCH 20-40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B99C19" w14:textId="77777777" w:rsidR="004552B2" w:rsidRPr="008B64F2" w:rsidRDefault="004552B2" w:rsidP="00B85AE5">
            <w:pPr>
              <w:keepNext/>
              <w:jc w:val="center"/>
              <w:rPr>
                <w:sz w:val="20"/>
                <w:szCs w:val="20"/>
                <w:lang w:val="en-GB"/>
              </w:rPr>
            </w:pPr>
            <w:r w:rsidRPr="008B64F2">
              <w:rPr>
                <w:sz w:val="20"/>
                <w:szCs w:val="20"/>
                <w:lang w:val="en-GB"/>
              </w:rPr>
              <w:t>Large herbivorous mammal “lagomorph”</w:t>
            </w:r>
          </w:p>
        </w:tc>
        <w:tc>
          <w:tcPr>
            <w:tcW w:w="531" w:type="pct"/>
            <w:gridSpan w:val="2"/>
            <w:vMerge/>
            <w:shd w:val="clear" w:color="auto" w:fill="D9D9D9" w:themeFill="background1" w:themeFillShade="D9"/>
            <w:vAlign w:val="center"/>
          </w:tcPr>
          <w:p w14:paraId="18A62C92" w14:textId="77777777" w:rsidR="004552B2" w:rsidRPr="008B64F2" w:rsidRDefault="004552B2" w:rsidP="00B85AE5">
            <w:pPr>
              <w:keepNext/>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08AD70" w14:textId="7EB04A93" w:rsidR="004552B2" w:rsidRPr="008B64F2" w:rsidRDefault="00AC465B" w:rsidP="00B85AE5">
            <w:pPr>
              <w:keepNext/>
              <w:jc w:val="center"/>
              <w:rPr>
                <w:sz w:val="20"/>
                <w:szCs w:val="20"/>
              </w:rPr>
            </w:pPr>
            <w:r>
              <w:rPr>
                <w:sz w:val="20"/>
                <w:szCs w:val="20"/>
              </w:rPr>
              <w:t>21.1</w:t>
            </w:r>
          </w:p>
        </w:tc>
        <w:tc>
          <w:tcPr>
            <w:tcW w:w="397" w:type="pct"/>
            <w:gridSpan w:val="2"/>
            <w:vMerge/>
            <w:shd w:val="clear" w:color="auto" w:fill="D9D9D9" w:themeFill="background1" w:themeFillShade="D9"/>
            <w:vAlign w:val="center"/>
          </w:tcPr>
          <w:p w14:paraId="79F277B4" w14:textId="77777777" w:rsidR="004552B2" w:rsidRPr="008B64F2" w:rsidRDefault="004552B2" w:rsidP="00B85AE5">
            <w:pPr>
              <w:keepNext/>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E7224F" w14:textId="461E5494" w:rsidR="004552B2" w:rsidRPr="0084294D" w:rsidRDefault="000660A0" w:rsidP="00B85AE5">
            <w:pPr>
              <w:keepNext/>
              <w:jc w:val="center"/>
              <w:rPr>
                <w:sz w:val="20"/>
                <w:szCs w:val="20"/>
              </w:rPr>
            </w:pPr>
            <w:r>
              <w:rPr>
                <w:sz w:val="20"/>
                <w:szCs w:val="20"/>
              </w:rPr>
              <w:t>26.84</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C1C85" w14:textId="1048115E" w:rsidR="004552B2" w:rsidRPr="0084294D" w:rsidRDefault="001E377E" w:rsidP="00B85AE5">
            <w:pPr>
              <w:keepNext/>
              <w:jc w:val="center"/>
              <w:rPr>
                <w:sz w:val="20"/>
                <w:szCs w:val="20"/>
              </w:rPr>
            </w:pPr>
            <w:r>
              <w:rPr>
                <w:sz w:val="20"/>
                <w:szCs w:val="20"/>
              </w:rPr>
              <w:t>49.55</w:t>
            </w:r>
          </w:p>
        </w:tc>
      </w:tr>
      <w:tr w:rsidR="004552B2" w:rsidRPr="006C5A12" w14:paraId="6943E873"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99FB23" w14:textId="77777777" w:rsidR="004552B2" w:rsidRPr="008B64F2" w:rsidRDefault="004552B2" w:rsidP="00B85AE5">
            <w:pPr>
              <w:keepNext/>
              <w:jc w:val="center"/>
              <w:rPr>
                <w:sz w:val="20"/>
                <w:szCs w:val="20"/>
              </w:rPr>
            </w:pPr>
            <w:r w:rsidRPr="008B64F2">
              <w:rPr>
                <w:sz w:val="20"/>
                <w:szCs w:val="20"/>
              </w:rPr>
              <w:t>Application crop directed</w:t>
            </w:r>
          </w:p>
          <w:p w14:paraId="294430B4" w14:textId="77777777" w:rsidR="004552B2" w:rsidRPr="008B64F2" w:rsidRDefault="004552B2" w:rsidP="00B85AE5">
            <w:pPr>
              <w:keepNext/>
              <w:jc w:val="center"/>
              <w:rPr>
                <w:sz w:val="20"/>
                <w:szCs w:val="20"/>
              </w:rPr>
            </w:pPr>
            <w:r w:rsidRPr="008B64F2">
              <w:rPr>
                <w:sz w:val="20"/>
                <w:szCs w:val="20"/>
              </w:rPr>
              <w:t>BBCH ≥ 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80D2BB4" w14:textId="77777777" w:rsidR="004552B2" w:rsidRPr="008B64F2" w:rsidRDefault="004552B2" w:rsidP="00B85AE5">
            <w:pPr>
              <w:keepNext/>
              <w:jc w:val="center"/>
              <w:rPr>
                <w:sz w:val="20"/>
                <w:szCs w:val="20"/>
                <w:lang w:val="en-GB"/>
              </w:rPr>
            </w:pPr>
            <w:r w:rsidRPr="008B64F2">
              <w:rPr>
                <w:sz w:val="20"/>
                <w:szCs w:val="20"/>
                <w:lang w:val="en-GB"/>
              </w:rPr>
              <w:t>Large herbivorous mammal “lagomorph”</w:t>
            </w:r>
          </w:p>
        </w:tc>
        <w:tc>
          <w:tcPr>
            <w:tcW w:w="531" w:type="pct"/>
            <w:gridSpan w:val="2"/>
            <w:vMerge/>
            <w:shd w:val="clear" w:color="auto" w:fill="D9D9D9" w:themeFill="background1" w:themeFillShade="D9"/>
            <w:vAlign w:val="center"/>
          </w:tcPr>
          <w:p w14:paraId="6C5268B6" w14:textId="77777777" w:rsidR="004552B2" w:rsidRPr="008B64F2" w:rsidRDefault="004552B2" w:rsidP="00B85AE5">
            <w:pPr>
              <w:keepNext/>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80388" w14:textId="0D961851" w:rsidR="004552B2" w:rsidRPr="008B64F2" w:rsidRDefault="00AC465B" w:rsidP="00B85AE5">
            <w:pPr>
              <w:keepNext/>
              <w:jc w:val="center"/>
              <w:rPr>
                <w:sz w:val="20"/>
                <w:szCs w:val="20"/>
              </w:rPr>
            </w:pPr>
            <w:r>
              <w:rPr>
                <w:sz w:val="20"/>
                <w:szCs w:val="20"/>
              </w:rPr>
              <w:t>10.5</w:t>
            </w:r>
          </w:p>
        </w:tc>
        <w:tc>
          <w:tcPr>
            <w:tcW w:w="397" w:type="pct"/>
            <w:gridSpan w:val="2"/>
            <w:vMerge/>
            <w:shd w:val="clear" w:color="auto" w:fill="D9D9D9" w:themeFill="background1" w:themeFillShade="D9"/>
            <w:vAlign w:val="center"/>
          </w:tcPr>
          <w:p w14:paraId="6CFC4428" w14:textId="77777777" w:rsidR="004552B2" w:rsidRPr="008B64F2" w:rsidRDefault="004552B2" w:rsidP="00B85AE5">
            <w:pPr>
              <w:keepNext/>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CFA4E0" w14:textId="25E61F69" w:rsidR="004552B2" w:rsidRPr="0084294D" w:rsidRDefault="001E377E" w:rsidP="00B85AE5">
            <w:pPr>
              <w:keepNext/>
              <w:jc w:val="center"/>
              <w:rPr>
                <w:sz w:val="20"/>
                <w:szCs w:val="20"/>
              </w:rPr>
            </w:pPr>
            <w:r>
              <w:rPr>
                <w:sz w:val="20"/>
                <w:szCs w:val="20"/>
              </w:rPr>
              <w:t>13.35</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F4E00B" w14:textId="2A2CAA5D" w:rsidR="004552B2" w:rsidRPr="0084294D" w:rsidRDefault="00FA69A9" w:rsidP="00B85AE5">
            <w:pPr>
              <w:keepNext/>
              <w:jc w:val="center"/>
              <w:rPr>
                <w:sz w:val="20"/>
                <w:szCs w:val="20"/>
              </w:rPr>
            </w:pPr>
            <w:r>
              <w:rPr>
                <w:sz w:val="20"/>
                <w:szCs w:val="20"/>
              </w:rPr>
              <w:t>99.63</w:t>
            </w:r>
          </w:p>
        </w:tc>
      </w:tr>
      <w:tr w:rsidR="004552B2" w:rsidRPr="006C5A12" w14:paraId="2EDA3994"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39778A" w14:textId="77777777" w:rsidR="004552B2" w:rsidRPr="008B64F2" w:rsidRDefault="004552B2" w:rsidP="00B85AE5">
            <w:pPr>
              <w:keepNext/>
              <w:jc w:val="center"/>
              <w:rPr>
                <w:sz w:val="20"/>
                <w:szCs w:val="20"/>
              </w:rPr>
            </w:pPr>
            <w:r w:rsidRPr="008B64F2">
              <w:rPr>
                <w:sz w:val="20"/>
                <w:szCs w:val="20"/>
              </w:rPr>
              <w:t>Application crop directed</w:t>
            </w:r>
          </w:p>
          <w:p w14:paraId="50ABDB53" w14:textId="77777777" w:rsidR="004552B2" w:rsidRPr="008B64F2" w:rsidRDefault="004552B2" w:rsidP="00B85AE5">
            <w:pPr>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6C09D218" w14:textId="77777777" w:rsidR="004552B2" w:rsidRPr="008B64F2" w:rsidRDefault="004552B2" w:rsidP="00B85AE5">
            <w:pPr>
              <w:jc w:val="center"/>
              <w:rPr>
                <w:sz w:val="20"/>
                <w:szCs w:val="20"/>
                <w:lang w:val="en-GB"/>
              </w:rPr>
            </w:pPr>
            <w:r w:rsidRPr="008B64F2">
              <w:rPr>
                <w:sz w:val="20"/>
                <w:szCs w:val="20"/>
                <w:lang w:val="en-GB"/>
              </w:rPr>
              <w:t>Small omnivorous mammal “mouse”</w:t>
            </w:r>
          </w:p>
        </w:tc>
        <w:tc>
          <w:tcPr>
            <w:tcW w:w="531" w:type="pct"/>
            <w:gridSpan w:val="2"/>
            <w:vMerge/>
            <w:shd w:val="clear" w:color="auto" w:fill="D9D9D9" w:themeFill="background1" w:themeFillShade="D9"/>
            <w:vAlign w:val="center"/>
          </w:tcPr>
          <w:p w14:paraId="4FCDE5D8" w14:textId="77777777" w:rsidR="004552B2" w:rsidRPr="008B64F2" w:rsidRDefault="004552B2" w:rsidP="00B85AE5">
            <w:pPr>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F76484" w14:textId="4B056BB9" w:rsidR="004552B2" w:rsidRPr="008B64F2" w:rsidRDefault="00AC465B" w:rsidP="00B85AE5">
            <w:pPr>
              <w:jc w:val="center"/>
              <w:rPr>
                <w:sz w:val="20"/>
                <w:szCs w:val="20"/>
              </w:rPr>
            </w:pPr>
            <w:r>
              <w:rPr>
                <w:sz w:val="20"/>
                <w:szCs w:val="20"/>
              </w:rPr>
              <w:t>13.8</w:t>
            </w:r>
          </w:p>
        </w:tc>
        <w:tc>
          <w:tcPr>
            <w:tcW w:w="397" w:type="pct"/>
            <w:gridSpan w:val="2"/>
            <w:vMerge/>
            <w:shd w:val="clear" w:color="auto" w:fill="D9D9D9" w:themeFill="background1" w:themeFillShade="D9"/>
            <w:vAlign w:val="center"/>
          </w:tcPr>
          <w:p w14:paraId="35D7D5A6" w14:textId="77777777" w:rsidR="004552B2" w:rsidRPr="008B64F2" w:rsidRDefault="004552B2" w:rsidP="00B85AE5">
            <w:pPr>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2C15E6" w14:textId="47DD094E" w:rsidR="004552B2" w:rsidRPr="0084294D" w:rsidRDefault="00FA69A9" w:rsidP="00B85AE5">
            <w:pPr>
              <w:jc w:val="center"/>
              <w:rPr>
                <w:sz w:val="20"/>
                <w:szCs w:val="20"/>
              </w:rPr>
            </w:pPr>
            <w:r>
              <w:rPr>
                <w:sz w:val="20"/>
                <w:szCs w:val="20"/>
              </w:rPr>
              <w:t>17.55</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50F52B" w14:textId="041AE2FA" w:rsidR="004552B2" w:rsidRPr="0084294D" w:rsidRDefault="00AD7A3D" w:rsidP="00B85AE5">
            <w:pPr>
              <w:jc w:val="center"/>
              <w:rPr>
                <w:sz w:val="20"/>
                <w:szCs w:val="20"/>
              </w:rPr>
            </w:pPr>
            <w:r>
              <w:rPr>
                <w:sz w:val="20"/>
                <w:szCs w:val="20"/>
              </w:rPr>
              <w:t>75.78</w:t>
            </w:r>
          </w:p>
        </w:tc>
      </w:tr>
      <w:tr w:rsidR="004552B2" w:rsidRPr="006C5A12" w14:paraId="4750727D"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FBD22" w14:textId="77777777" w:rsidR="004552B2" w:rsidRPr="008B64F2" w:rsidRDefault="004552B2" w:rsidP="00B85AE5">
            <w:pPr>
              <w:keepNext/>
              <w:jc w:val="center"/>
              <w:rPr>
                <w:sz w:val="20"/>
                <w:szCs w:val="20"/>
              </w:rPr>
            </w:pPr>
            <w:r w:rsidRPr="008B64F2">
              <w:rPr>
                <w:sz w:val="20"/>
                <w:szCs w:val="20"/>
              </w:rPr>
              <w:t>Application crop directed</w:t>
            </w:r>
          </w:p>
          <w:p w14:paraId="16677714" w14:textId="77777777" w:rsidR="004552B2" w:rsidRPr="008B64F2" w:rsidRDefault="004552B2" w:rsidP="00B85AE5">
            <w:pPr>
              <w:jc w:val="center"/>
              <w:rPr>
                <w:sz w:val="20"/>
                <w:szCs w:val="20"/>
              </w:rPr>
            </w:pPr>
            <w:r w:rsidRPr="008B64F2">
              <w:rPr>
                <w:sz w:val="20"/>
                <w:szCs w:val="20"/>
              </w:rPr>
              <w:t>BBCH 20-40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A4FF6CF" w14:textId="77777777" w:rsidR="004552B2" w:rsidRPr="008B64F2" w:rsidRDefault="004552B2" w:rsidP="00B85AE5">
            <w:pPr>
              <w:jc w:val="center"/>
              <w:rPr>
                <w:sz w:val="20"/>
                <w:szCs w:val="20"/>
                <w:lang w:val="en-GB"/>
              </w:rPr>
            </w:pPr>
            <w:r w:rsidRPr="008B64F2">
              <w:rPr>
                <w:sz w:val="20"/>
                <w:szCs w:val="20"/>
                <w:lang w:val="en-GB"/>
              </w:rPr>
              <w:t>Small omnivorous mammal “mouse”</w:t>
            </w:r>
          </w:p>
        </w:tc>
        <w:tc>
          <w:tcPr>
            <w:tcW w:w="531" w:type="pct"/>
            <w:gridSpan w:val="2"/>
            <w:vMerge/>
            <w:shd w:val="clear" w:color="auto" w:fill="D9D9D9" w:themeFill="background1" w:themeFillShade="D9"/>
            <w:vAlign w:val="center"/>
          </w:tcPr>
          <w:p w14:paraId="08BC340D" w14:textId="77777777" w:rsidR="004552B2" w:rsidRPr="008B64F2" w:rsidRDefault="004552B2" w:rsidP="00B85AE5">
            <w:pPr>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2589D3" w14:textId="48C55124" w:rsidR="004552B2" w:rsidRPr="008B64F2" w:rsidRDefault="00B24719" w:rsidP="00B85AE5">
            <w:pPr>
              <w:jc w:val="center"/>
              <w:rPr>
                <w:sz w:val="20"/>
                <w:szCs w:val="20"/>
              </w:rPr>
            </w:pPr>
            <w:r>
              <w:rPr>
                <w:sz w:val="20"/>
                <w:szCs w:val="20"/>
              </w:rPr>
              <w:t>10.3</w:t>
            </w:r>
          </w:p>
        </w:tc>
        <w:tc>
          <w:tcPr>
            <w:tcW w:w="397" w:type="pct"/>
            <w:gridSpan w:val="2"/>
            <w:vMerge/>
            <w:shd w:val="clear" w:color="auto" w:fill="D9D9D9" w:themeFill="background1" w:themeFillShade="D9"/>
            <w:vAlign w:val="center"/>
          </w:tcPr>
          <w:p w14:paraId="362538D9" w14:textId="77777777" w:rsidR="004552B2" w:rsidRPr="008B64F2" w:rsidRDefault="004552B2" w:rsidP="00B85AE5">
            <w:pPr>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02A477" w14:textId="0A1453FB" w:rsidR="004552B2" w:rsidRPr="0084294D" w:rsidRDefault="00AD7A3D" w:rsidP="00B85AE5">
            <w:pPr>
              <w:jc w:val="center"/>
              <w:rPr>
                <w:sz w:val="20"/>
                <w:szCs w:val="20"/>
              </w:rPr>
            </w:pPr>
            <w:r>
              <w:rPr>
                <w:sz w:val="20"/>
                <w:szCs w:val="20"/>
              </w:rPr>
              <w:t>13.10</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6C3594" w14:textId="28A1F055" w:rsidR="004552B2" w:rsidRPr="0084294D" w:rsidRDefault="008F2942" w:rsidP="00B85AE5">
            <w:pPr>
              <w:jc w:val="center"/>
              <w:rPr>
                <w:sz w:val="20"/>
                <w:szCs w:val="20"/>
              </w:rPr>
            </w:pPr>
            <w:r>
              <w:rPr>
                <w:sz w:val="20"/>
                <w:szCs w:val="20"/>
              </w:rPr>
              <w:t>101.53</w:t>
            </w:r>
          </w:p>
        </w:tc>
      </w:tr>
      <w:tr w:rsidR="004552B2" w:rsidRPr="006C5A12" w14:paraId="353079E4"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450BD6" w14:textId="77777777" w:rsidR="004552B2" w:rsidRPr="008B64F2" w:rsidRDefault="004552B2" w:rsidP="00B85AE5">
            <w:pPr>
              <w:jc w:val="center"/>
              <w:rPr>
                <w:sz w:val="20"/>
                <w:szCs w:val="20"/>
              </w:rPr>
            </w:pPr>
            <w:r w:rsidRPr="008B64F2">
              <w:rPr>
                <w:sz w:val="20"/>
                <w:szCs w:val="20"/>
              </w:rPr>
              <w:t>Application crop directed</w:t>
            </w:r>
          </w:p>
          <w:p w14:paraId="17E3F633" w14:textId="77777777" w:rsidR="004552B2" w:rsidRPr="008B64F2" w:rsidRDefault="004552B2" w:rsidP="00B85AE5">
            <w:pPr>
              <w:jc w:val="center"/>
              <w:rPr>
                <w:sz w:val="20"/>
                <w:szCs w:val="20"/>
              </w:rPr>
            </w:pPr>
            <w:r w:rsidRPr="008B64F2">
              <w:rPr>
                <w:sz w:val="20"/>
                <w:szCs w:val="20"/>
              </w:rPr>
              <w:t>BBCH ≥ 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F68B3E8" w14:textId="77777777" w:rsidR="004552B2" w:rsidRPr="008B64F2" w:rsidRDefault="004552B2" w:rsidP="00B85AE5">
            <w:pPr>
              <w:jc w:val="center"/>
              <w:rPr>
                <w:sz w:val="20"/>
                <w:szCs w:val="20"/>
                <w:lang w:val="en-GB"/>
              </w:rPr>
            </w:pPr>
            <w:r w:rsidRPr="008B64F2">
              <w:rPr>
                <w:sz w:val="20"/>
                <w:szCs w:val="20"/>
                <w:lang w:val="en-GB"/>
              </w:rPr>
              <w:t>Small omnivorous mammal “mouse”</w:t>
            </w:r>
          </w:p>
        </w:tc>
        <w:tc>
          <w:tcPr>
            <w:tcW w:w="531" w:type="pct"/>
            <w:gridSpan w:val="2"/>
            <w:vMerge/>
            <w:tcBorders>
              <w:bottom w:val="single" w:sz="4" w:space="0" w:color="auto"/>
            </w:tcBorders>
            <w:shd w:val="clear" w:color="auto" w:fill="D9D9D9" w:themeFill="background1" w:themeFillShade="D9"/>
            <w:vAlign w:val="center"/>
          </w:tcPr>
          <w:p w14:paraId="0ECA99A9" w14:textId="77777777" w:rsidR="004552B2" w:rsidRPr="008B64F2" w:rsidRDefault="004552B2" w:rsidP="00B85AE5">
            <w:pPr>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759BB9" w14:textId="34F50BE1" w:rsidR="004552B2" w:rsidRPr="008B64F2" w:rsidRDefault="00DD331F" w:rsidP="00B85AE5">
            <w:pPr>
              <w:jc w:val="center"/>
              <w:rPr>
                <w:sz w:val="20"/>
                <w:szCs w:val="20"/>
              </w:rPr>
            </w:pPr>
            <w:r>
              <w:rPr>
                <w:sz w:val="20"/>
                <w:szCs w:val="20"/>
              </w:rPr>
              <w:t>5.2</w:t>
            </w:r>
          </w:p>
        </w:tc>
        <w:tc>
          <w:tcPr>
            <w:tcW w:w="397" w:type="pct"/>
            <w:gridSpan w:val="2"/>
            <w:vMerge/>
            <w:tcBorders>
              <w:bottom w:val="single" w:sz="4" w:space="0" w:color="auto"/>
            </w:tcBorders>
            <w:shd w:val="clear" w:color="auto" w:fill="D9D9D9" w:themeFill="background1" w:themeFillShade="D9"/>
            <w:vAlign w:val="center"/>
          </w:tcPr>
          <w:p w14:paraId="73E3CBF0" w14:textId="77777777" w:rsidR="004552B2" w:rsidRPr="008B64F2" w:rsidRDefault="004552B2" w:rsidP="00B85AE5">
            <w:pPr>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3BE30" w14:textId="71C3ABC6" w:rsidR="004552B2" w:rsidRPr="0084294D" w:rsidRDefault="008F2942" w:rsidP="00B85AE5">
            <w:pPr>
              <w:jc w:val="center"/>
              <w:rPr>
                <w:sz w:val="20"/>
                <w:szCs w:val="20"/>
              </w:rPr>
            </w:pPr>
            <w:r>
              <w:rPr>
                <w:sz w:val="20"/>
                <w:szCs w:val="20"/>
              </w:rPr>
              <w:t>6.61</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73DEA0" w14:textId="529E18D1" w:rsidR="004552B2" w:rsidRPr="0084294D" w:rsidRDefault="001B11C0" w:rsidP="00B85AE5">
            <w:pPr>
              <w:jc w:val="center"/>
              <w:rPr>
                <w:sz w:val="20"/>
                <w:szCs w:val="20"/>
              </w:rPr>
            </w:pPr>
            <w:r>
              <w:rPr>
                <w:sz w:val="20"/>
                <w:szCs w:val="20"/>
              </w:rPr>
              <w:t>201.21</w:t>
            </w:r>
          </w:p>
        </w:tc>
      </w:tr>
      <w:tr w:rsidR="004552B2" w:rsidRPr="006C5A12" w14:paraId="46F240EB" w14:textId="77777777" w:rsidTr="008B64F2">
        <w:trPr>
          <w:cantSplit/>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0EA89" w14:textId="77777777" w:rsidR="004552B2" w:rsidRPr="008B64F2" w:rsidRDefault="004552B2" w:rsidP="00B85AE5">
            <w:pPr>
              <w:keepNext/>
              <w:keepLines/>
              <w:jc w:val="center"/>
              <w:rPr>
                <w:sz w:val="20"/>
                <w:szCs w:val="20"/>
              </w:rPr>
            </w:pPr>
            <w:r w:rsidRPr="008B64F2">
              <w:rPr>
                <w:b/>
                <w:bCs/>
                <w:sz w:val="20"/>
                <w:szCs w:val="20"/>
              </w:rPr>
              <w:lastRenderedPageBreak/>
              <w:t xml:space="preserve">Bush and cane fruit </w:t>
            </w:r>
            <w:r w:rsidRPr="008B64F2">
              <w:rPr>
                <w:b/>
                <w:sz w:val="20"/>
                <w:szCs w:val="20"/>
                <w:lang w:val="en-GB"/>
              </w:rPr>
              <w:t>(2 x 0.902 kg a.s./ha, BBCH 12 - 59)</w:t>
            </w:r>
          </w:p>
        </w:tc>
      </w:tr>
      <w:tr w:rsidR="004552B2" w:rsidRPr="006C5A12" w14:paraId="7408B6F9"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B14538" w14:textId="77777777" w:rsidR="004552B2" w:rsidRPr="008B64F2" w:rsidRDefault="004552B2" w:rsidP="00B85AE5">
            <w:pPr>
              <w:keepNext/>
              <w:keepLines/>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69B96AFB" w14:textId="77777777" w:rsidR="004552B2" w:rsidRPr="008B64F2" w:rsidRDefault="004552B2" w:rsidP="00B85AE5">
            <w:pPr>
              <w:keepNext/>
              <w:keepLines/>
              <w:jc w:val="center"/>
              <w:rPr>
                <w:sz w:val="20"/>
                <w:szCs w:val="20"/>
                <w:lang w:val="en-GB"/>
              </w:rPr>
            </w:pPr>
            <w:r w:rsidRPr="008B64F2">
              <w:rPr>
                <w:sz w:val="20"/>
                <w:szCs w:val="20"/>
                <w:lang w:val="en-GB"/>
              </w:rPr>
              <w:t>Small insectivorous mammal “shrew”</w:t>
            </w:r>
          </w:p>
        </w:tc>
        <w:tc>
          <w:tcPr>
            <w:tcW w:w="531" w:type="pct"/>
            <w:gridSpan w:val="2"/>
            <w:vMerge w:val="restart"/>
            <w:tcBorders>
              <w:top w:val="single" w:sz="4" w:space="0" w:color="auto"/>
            </w:tcBorders>
            <w:shd w:val="clear" w:color="auto" w:fill="D9D9D9" w:themeFill="background1" w:themeFillShade="D9"/>
            <w:vAlign w:val="center"/>
          </w:tcPr>
          <w:p w14:paraId="0949FFC5" w14:textId="77777777" w:rsidR="004552B2" w:rsidRPr="008B64F2" w:rsidRDefault="004552B2" w:rsidP="00B85AE5">
            <w:pPr>
              <w:keepNext/>
              <w:keepLines/>
              <w:jc w:val="center"/>
              <w:rPr>
                <w:sz w:val="20"/>
                <w:szCs w:val="20"/>
                <w:lang w:val="en-GB"/>
              </w:rPr>
            </w:pPr>
            <w:r w:rsidRPr="008B64F2">
              <w:rPr>
                <w:sz w:val="20"/>
                <w:szCs w:val="20"/>
                <w:lang w:val="en-GB"/>
              </w:rPr>
              <w:t>0.902</w:t>
            </w: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E5E136" w14:textId="01DA1653" w:rsidR="004552B2" w:rsidRPr="008B64F2" w:rsidRDefault="00DD331F" w:rsidP="00B85AE5">
            <w:pPr>
              <w:keepNext/>
              <w:keepLines/>
              <w:jc w:val="center"/>
              <w:rPr>
                <w:sz w:val="20"/>
                <w:szCs w:val="20"/>
              </w:rPr>
            </w:pPr>
            <w:r>
              <w:rPr>
                <w:sz w:val="20"/>
                <w:szCs w:val="20"/>
              </w:rPr>
              <w:t>7.6</w:t>
            </w:r>
          </w:p>
        </w:tc>
        <w:tc>
          <w:tcPr>
            <w:tcW w:w="397" w:type="pct"/>
            <w:gridSpan w:val="2"/>
            <w:vMerge w:val="restart"/>
            <w:tcBorders>
              <w:top w:val="single" w:sz="4" w:space="0" w:color="auto"/>
            </w:tcBorders>
            <w:shd w:val="clear" w:color="auto" w:fill="D9D9D9" w:themeFill="background1" w:themeFillShade="D9"/>
            <w:vAlign w:val="center"/>
          </w:tcPr>
          <w:p w14:paraId="6BFDBABE" w14:textId="0F4227B7" w:rsidR="004552B2" w:rsidRPr="008B64F2" w:rsidRDefault="0084294D" w:rsidP="00B85AE5">
            <w:pPr>
              <w:keepNext/>
              <w:keepLines/>
              <w:jc w:val="center"/>
              <w:rPr>
                <w:sz w:val="20"/>
                <w:szCs w:val="20"/>
                <w:lang w:val="en-GB"/>
              </w:rPr>
            </w:pPr>
            <w:r>
              <w:rPr>
                <w:sz w:val="20"/>
                <w:szCs w:val="20"/>
                <w:lang w:val="en-GB"/>
              </w:rPr>
              <w:t>1.41</w:t>
            </w: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1FB0A" w14:textId="62352B46" w:rsidR="004552B2" w:rsidRPr="0084294D" w:rsidRDefault="00C81C28" w:rsidP="00B85AE5">
            <w:pPr>
              <w:keepNext/>
              <w:keepLines/>
              <w:jc w:val="center"/>
              <w:rPr>
                <w:sz w:val="20"/>
                <w:szCs w:val="20"/>
              </w:rPr>
            </w:pPr>
            <w:r>
              <w:rPr>
                <w:sz w:val="20"/>
                <w:szCs w:val="20"/>
              </w:rPr>
              <w:t>9.67</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389DC1" w14:textId="456B3E90" w:rsidR="004552B2" w:rsidRPr="0084294D" w:rsidRDefault="00C81C28" w:rsidP="00B85AE5">
            <w:pPr>
              <w:keepNext/>
              <w:keepLines/>
              <w:jc w:val="center"/>
              <w:rPr>
                <w:sz w:val="20"/>
                <w:szCs w:val="20"/>
              </w:rPr>
            </w:pPr>
            <w:r>
              <w:rPr>
                <w:sz w:val="20"/>
                <w:szCs w:val="20"/>
              </w:rPr>
              <w:t>137.54</w:t>
            </w:r>
          </w:p>
        </w:tc>
      </w:tr>
      <w:tr w:rsidR="004552B2" w:rsidRPr="006C5A12" w14:paraId="6B63245B"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061B4" w14:textId="77777777" w:rsidR="004552B2" w:rsidRPr="008B64F2" w:rsidRDefault="004552B2" w:rsidP="00B85AE5">
            <w:pPr>
              <w:keepNext/>
              <w:keepLines/>
              <w:jc w:val="center"/>
              <w:rPr>
                <w:sz w:val="20"/>
                <w:szCs w:val="20"/>
              </w:rPr>
            </w:pPr>
            <w:r w:rsidRPr="008B64F2">
              <w:rPr>
                <w:sz w:val="20"/>
                <w:szCs w:val="20"/>
              </w:rPr>
              <w:t>BBCH ≥ 20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590DCFB" w14:textId="77777777" w:rsidR="004552B2" w:rsidRPr="008B64F2" w:rsidRDefault="004552B2" w:rsidP="00B85AE5">
            <w:pPr>
              <w:keepNext/>
              <w:keepLines/>
              <w:jc w:val="center"/>
              <w:rPr>
                <w:sz w:val="20"/>
                <w:szCs w:val="20"/>
                <w:lang w:val="en-GB"/>
              </w:rPr>
            </w:pPr>
            <w:r w:rsidRPr="008B64F2">
              <w:rPr>
                <w:sz w:val="20"/>
                <w:szCs w:val="20"/>
                <w:lang w:val="en-GB"/>
              </w:rPr>
              <w:t>Small insectivorous mammal “shrew”</w:t>
            </w:r>
          </w:p>
        </w:tc>
        <w:tc>
          <w:tcPr>
            <w:tcW w:w="531" w:type="pct"/>
            <w:gridSpan w:val="2"/>
            <w:vMerge/>
            <w:shd w:val="clear" w:color="auto" w:fill="D9D9D9" w:themeFill="background1" w:themeFillShade="D9"/>
            <w:vAlign w:val="center"/>
          </w:tcPr>
          <w:p w14:paraId="617A5190"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97ECFC" w14:textId="45A943C3" w:rsidR="004552B2" w:rsidRPr="008B64F2" w:rsidRDefault="00DD331F" w:rsidP="00B85AE5">
            <w:pPr>
              <w:keepNext/>
              <w:keepLines/>
              <w:jc w:val="center"/>
              <w:rPr>
                <w:sz w:val="20"/>
                <w:szCs w:val="20"/>
              </w:rPr>
            </w:pPr>
            <w:r>
              <w:rPr>
                <w:sz w:val="20"/>
                <w:szCs w:val="20"/>
              </w:rPr>
              <w:t>5.4</w:t>
            </w:r>
          </w:p>
        </w:tc>
        <w:tc>
          <w:tcPr>
            <w:tcW w:w="397" w:type="pct"/>
            <w:gridSpan w:val="2"/>
            <w:vMerge/>
            <w:shd w:val="clear" w:color="auto" w:fill="D9D9D9" w:themeFill="background1" w:themeFillShade="D9"/>
            <w:vAlign w:val="center"/>
          </w:tcPr>
          <w:p w14:paraId="5B6B5A0F"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6ADB79" w14:textId="08B6C597" w:rsidR="004552B2" w:rsidRPr="0084294D" w:rsidRDefault="004E5247" w:rsidP="00B85AE5">
            <w:pPr>
              <w:keepNext/>
              <w:keepLines/>
              <w:jc w:val="center"/>
              <w:rPr>
                <w:sz w:val="20"/>
                <w:szCs w:val="20"/>
              </w:rPr>
            </w:pPr>
            <w:r>
              <w:rPr>
                <w:sz w:val="20"/>
                <w:szCs w:val="20"/>
              </w:rPr>
              <w:t>6.87</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728B9E" w14:textId="56BD3F85" w:rsidR="004552B2" w:rsidRPr="0084294D" w:rsidRDefault="004E5247" w:rsidP="00B85AE5">
            <w:pPr>
              <w:keepNext/>
              <w:keepLines/>
              <w:jc w:val="center"/>
              <w:rPr>
                <w:sz w:val="20"/>
                <w:szCs w:val="20"/>
              </w:rPr>
            </w:pPr>
            <w:r>
              <w:rPr>
                <w:sz w:val="20"/>
                <w:szCs w:val="20"/>
              </w:rPr>
              <w:t>193.60</w:t>
            </w:r>
          </w:p>
        </w:tc>
      </w:tr>
      <w:tr w:rsidR="004552B2" w:rsidRPr="006C5A12" w14:paraId="57F753B7"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76AFD8" w14:textId="77777777" w:rsidR="004552B2" w:rsidRPr="008B64F2" w:rsidRDefault="004552B2" w:rsidP="00B85AE5">
            <w:pPr>
              <w:keepNext/>
              <w:keepLines/>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544C3D1" w14:textId="77777777" w:rsidR="004552B2" w:rsidRPr="008B64F2" w:rsidRDefault="004552B2" w:rsidP="00B85AE5">
            <w:pPr>
              <w:keepNext/>
              <w:keepLines/>
              <w:jc w:val="center"/>
              <w:rPr>
                <w:sz w:val="20"/>
                <w:szCs w:val="20"/>
                <w:lang w:val="en-GB"/>
              </w:rPr>
            </w:pPr>
            <w:r w:rsidRPr="008B64F2">
              <w:rPr>
                <w:sz w:val="20"/>
                <w:szCs w:val="20"/>
                <w:lang w:val="en-GB"/>
              </w:rPr>
              <w:t>Small herbivorous mammal “vole”</w:t>
            </w:r>
          </w:p>
        </w:tc>
        <w:tc>
          <w:tcPr>
            <w:tcW w:w="531" w:type="pct"/>
            <w:gridSpan w:val="2"/>
            <w:vMerge/>
            <w:shd w:val="clear" w:color="auto" w:fill="D9D9D9" w:themeFill="background1" w:themeFillShade="D9"/>
            <w:vAlign w:val="center"/>
          </w:tcPr>
          <w:p w14:paraId="7A18F44D"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123D6" w14:textId="520253DE" w:rsidR="004552B2" w:rsidRPr="008B64F2" w:rsidRDefault="0052705E" w:rsidP="00B85AE5">
            <w:pPr>
              <w:keepNext/>
              <w:keepLines/>
              <w:jc w:val="center"/>
              <w:rPr>
                <w:sz w:val="20"/>
                <w:szCs w:val="20"/>
              </w:rPr>
            </w:pPr>
            <w:r>
              <w:rPr>
                <w:sz w:val="20"/>
                <w:szCs w:val="20"/>
              </w:rPr>
              <w:t>81.9</w:t>
            </w:r>
          </w:p>
        </w:tc>
        <w:tc>
          <w:tcPr>
            <w:tcW w:w="397" w:type="pct"/>
            <w:gridSpan w:val="2"/>
            <w:vMerge/>
            <w:shd w:val="clear" w:color="auto" w:fill="D9D9D9" w:themeFill="background1" w:themeFillShade="D9"/>
            <w:vAlign w:val="center"/>
          </w:tcPr>
          <w:p w14:paraId="6BA897F0"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9D22A" w14:textId="5EEED60D" w:rsidR="004552B2" w:rsidRPr="0084294D" w:rsidRDefault="00A90566" w:rsidP="00B85AE5">
            <w:pPr>
              <w:keepNext/>
              <w:keepLines/>
              <w:jc w:val="center"/>
              <w:rPr>
                <w:sz w:val="20"/>
                <w:szCs w:val="20"/>
              </w:rPr>
            </w:pPr>
            <w:r>
              <w:rPr>
                <w:sz w:val="20"/>
                <w:szCs w:val="20"/>
              </w:rPr>
              <w:t>104.16</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7863" w14:textId="0B795FBF" w:rsidR="004552B2" w:rsidRPr="0084294D" w:rsidRDefault="00A90566" w:rsidP="00B85AE5">
            <w:pPr>
              <w:keepNext/>
              <w:keepLines/>
              <w:jc w:val="center"/>
              <w:rPr>
                <w:sz w:val="20"/>
                <w:szCs w:val="20"/>
              </w:rPr>
            </w:pPr>
            <w:r>
              <w:rPr>
                <w:sz w:val="20"/>
                <w:szCs w:val="20"/>
              </w:rPr>
              <w:t>12.77</w:t>
            </w:r>
          </w:p>
        </w:tc>
      </w:tr>
      <w:tr w:rsidR="004552B2" w:rsidRPr="006C5A12" w14:paraId="6F7576D5"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5386F2" w14:textId="77777777" w:rsidR="004552B2" w:rsidRPr="008B64F2" w:rsidRDefault="004552B2" w:rsidP="00B85AE5">
            <w:pPr>
              <w:keepNext/>
              <w:keepLines/>
              <w:jc w:val="center"/>
              <w:rPr>
                <w:sz w:val="20"/>
                <w:szCs w:val="20"/>
              </w:rPr>
            </w:pPr>
            <w:r w:rsidRPr="008B64F2">
              <w:rPr>
                <w:sz w:val="20"/>
                <w:szCs w:val="20"/>
              </w:rPr>
              <w:t>BBCH 20-39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0D6CC83C" w14:textId="77777777" w:rsidR="004552B2" w:rsidRPr="008B64F2" w:rsidRDefault="004552B2" w:rsidP="00B85AE5">
            <w:pPr>
              <w:keepNext/>
              <w:keepLines/>
              <w:jc w:val="center"/>
              <w:rPr>
                <w:sz w:val="20"/>
                <w:szCs w:val="20"/>
                <w:lang w:val="en-GB"/>
              </w:rPr>
            </w:pPr>
            <w:r w:rsidRPr="008B64F2">
              <w:rPr>
                <w:sz w:val="20"/>
                <w:szCs w:val="20"/>
                <w:lang w:val="en-GB"/>
              </w:rPr>
              <w:t>Small herbivorous mammal “vole”</w:t>
            </w:r>
          </w:p>
        </w:tc>
        <w:tc>
          <w:tcPr>
            <w:tcW w:w="531" w:type="pct"/>
            <w:gridSpan w:val="2"/>
            <w:vMerge/>
            <w:shd w:val="clear" w:color="auto" w:fill="D9D9D9" w:themeFill="background1" w:themeFillShade="D9"/>
            <w:vAlign w:val="center"/>
          </w:tcPr>
          <w:p w14:paraId="214A62DE"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BF938C" w14:textId="517AE424" w:rsidR="004552B2" w:rsidRPr="008B64F2" w:rsidRDefault="0052705E" w:rsidP="00B85AE5">
            <w:pPr>
              <w:keepNext/>
              <w:keepLines/>
              <w:jc w:val="center"/>
              <w:rPr>
                <w:sz w:val="20"/>
                <w:szCs w:val="20"/>
              </w:rPr>
            </w:pPr>
            <w:r>
              <w:rPr>
                <w:sz w:val="20"/>
                <w:szCs w:val="20"/>
              </w:rPr>
              <w:t>68.2</w:t>
            </w:r>
          </w:p>
        </w:tc>
        <w:tc>
          <w:tcPr>
            <w:tcW w:w="397" w:type="pct"/>
            <w:gridSpan w:val="2"/>
            <w:vMerge/>
            <w:shd w:val="clear" w:color="auto" w:fill="D9D9D9" w:themeFill="background1" w:themeFillShade="D9"/>
            <w:vAlign w:val="center"/>
          </w:tcPr>
          <w:p w14:paraId="798C44D6"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39C3ED" w14:textId="29F363EE" w:rsidR="004552B2" w:rsidRPr="0084294D" w:rsidRDefault="00363F83" w:rsidP="00B85AE5">
            <w:pPr>
              <w:keepNext/>
              <w:keepLines/>
              <w:jc w:val="center"/>
              <w:rPr>
                <w:sz w:val="20"/>
                <w:szCs w:val="20"/>
              </w:rPr>
            </w:pPr>
            <w:r>
              <w:rPr>
                <w:sz w:val="20"/>
                <w:szCs w:val="20"/>
              </w:rPr>
              <w:t>86.74</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1E0A13" w14:textId="3BB665A2" w:rsidR="004552B2" w:rsidRPr="0084294D" w:rsidRDefault="00363F83" w:rsidP="00B85AE5">
            <w:pPr>
              <w:keepNext/>
              <w:keepLines/>
              <w:jc w:val="center"/>
              <w:rPr>
                <w:sz w:val="20"/>
                <w:szCs w:val="20"/>
              </w:rPr>
            </w:pPr>
            <w:r>
              <w:rPr>
                <w:sz w:val="20"/>
                <w:szCs w:val="20"/>
              </w:rPr>
              <w:t>15.33</w:t>
            </w:r>
          </w:p>
        </w:tc>
      </w:tr>
      <w:tr w:rsidR="004552B2" w:rsidRPr="006C5A12" w14:paraId="46948E15"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5CB3DB" w14:textId="77777777" w:rsidR="004552B2" w:rsidRPr="008B64F2" w:rsidRDefault="004552B2" w:rsidP="00B85AE5">
            <w:pPr>
              <w:keepNext/>
              <w:keepLines/>
              <w:jc w:val="center"/>
              <w:rPr>
                <w:sz w:val="20"/>
                <w:szCs w:val="20"/>
              </w:rPr>
            </w:pPr>
            <w:r w:rsidRPr="008B64F2">
              <w:rPr>
                <w:sz w:val="20"/>
                <w:szCs w:val="20"/>
              </w:rPr>
              <w:t>BBCH ≥ 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676C9061" w14:textId="77777777" w:rsidR="004552B2" w:rsidRPr="008B64F2" w:rsidRDefault="004552B2" w:rsidP="00B85AE5">
            <w:pPr>
              <w:keepNext/>
              <w:keepLines/>
              <w:jc w:val="center"/>
              <w:rPr>
                <w:sz w:val="20"/>
                <w:szCs w:val="20"/>
                <w:lang w:val="en-GB"/>
              </w:rPr>
            </w:pPr>
            <w:r w:rsidRPr="008B64F2">
              <w:rPr>
                <w:sz w:val="20"/>
                <w:szCs w:val="20"/>
                <w:lang w:val="en-GB"/>
              </w:rPr>
              <w:t>Small herbivorous mammal “vole”</w:t>
            </w:r>
          </w:p>
        </w:tc>
        <w:tc>
          <w:tcPr>
            <w:tcW w:w="531" w:type="pct"/>
            <w:gridSpan w:val="2"/>
            <w:vMerge/>
            <w:shd w:val="clear" w:color="auto" w:fill="D9D9D9" w:themeFill="background1" w:themeFillShade="D9"/>
            <w:vAlign w:val="center"/>
          </w:tcPr>
          <w:p w14:paraId="4AEBBF71"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1C2299" w14:textId="48ADF1F0" w:rsidR="004552B2" w:rsidRPr="008B64F2" w:rsidRDefault="00B17B78" w:rsidP="00B85AE5">
            <w:pPr>
              <w:keepNext/>
              <w:keepLines/>
              <w:jc w:val="center"/>
              <w:rPr>
                <w:sz w:val="20"/>
                <w:szCs w:val="20"/>
              </w:rPr>
            </w:pPr>
            <w:r>
              <w:rPr>
                <w:sz w:val="20"/>
                <w:szCs w:val="20"/>
              </w:rPr>
              <w:t>40.9</w:t>
            </w:r>
          </w:p>
        </w:tc>
        <w:tc>
          <w:tcPr>
            <w:tcW w:w="397" w:type="pct"/>
            <w:gridSpan w:val="2"/>
            <w:vMerge/>
            <w:shd w:val="clear" w:color="auto" w:fill="D9D9D9" w:themeFill="background1" w:themeFillShade="D9"/>
            <w:vAlign w:val="center"/>
          </w:tcPr>
          <w:p w14:paraId="3F682B89"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5B0C73" w14:textId="7538D0CB" w:rsidR="004552B2" w:rsidRPr="0084294D" w:rsidRDefault="001349E8" w:rsidP="00B85AE5">
            <w:pPr>
              <w:keepNext/>
              <w:keepLines/>
              <w:jc w:val="center"/>
              <w:rPr>
                <w:sz w:val="20"/>
                <w:szCs w:val="20"/>
              </w:rPr>
            </w:pPr>
            <w:r>
              <w:rPr>
                <w:sz w:val="20"/>
                <w:szCs w:val="20"/>
              </w:rPr>
              <w:t>52.02</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F95DE9" w14:textId="1241A9CD" w:rsidR="004552B2" w:rsidRPr="0084294D" w:rsidRDefault="001349E8" w:rsidP="00B85AE5">
            <w:pPr>
              <w:keepNext/>
              <w:keepLines/>
              <w:jc w:val="center"/>
              <w:rPr>
                <w:sz w:val="20"/>
                <w:szCs w:val="20"/>
              </w:rPr>
            </w:pPr>
            <w:r>
              <w:rPr>
                <w:sz w:val="20"/>
                <w:szCs w:val="20"/>
              </w:rPr>
              <w:t>25.57</w:t>
            </w:r>
          </w:p>
        </w:tc>
      </w:tr>
      <w:tr w:rsidR="004552B2" w:rsidRPr="006C5A12" w14:paraId="1FDB8DCB"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1B9EAF" w14:textId="77777777" w:rsidR="004552B2" w:rsidRPr="008B64F2" w:rsidRDefault="004552B2" w:rsidP="00B85AE5">
            <w:pPr>
              <w:keepNext/>
              <w:keepLines/>
              <w:jc w:val="center"/>
              <w:rPr>
                <w:sz w:val="20"/>
                <w:szCs w:val="20"/>
              </w:rPr>
            </w:pPr>
            <w:r w:rsidRPr="008B64F2">
              <w:rPr>
                <w:sz w:val="20"/>
                <w:szCs w:val="20"/>
              </w:rPr>
              <w:t>BBCH 10-19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5AA37E5B" w14:textId="77777777" w:rsidR="004552B2" w:rsidRPr="008B64F2" w:rsidRDefault="004552B2" w:rsidP="00B85AE5">
            <w:pPr>
              <w:keepNext/>
              <w:keepLines/>
              <w:jc w:val="center"/>
              <w:rPr>
                <w:sz w:val="20"/>
                <w:szCs w:val="20"/>
                <w:lang w:val="en-GB"/>
              </w:rPr>
            </w:pPr>
            <w:r w:rsidRPr="008B64F2">
              <w:rPr>
                <w:sz w:val="20"/>
                <w:szCs w:val="20"/>
                <w:lang w:val="en-GB"/>
              </w:rPr>
              <w:t>Small omnivorous mammal “mouse”</w:t>
            </w:r>
          </w:p>
        </w:tc>
        <w:tc>
          <w:tcPr>
            <w:tcW w:w="531" w:type="pct"/>
            <w:gridSpan w:val="2"/>
            <w:vMerge/>
            <w:shd w:val="clear" w:color="auto" w:fill="D9D9D9" w:themeFill="background1" w:themeFillShade="D9"/>
            <w:vAlign w:val="center"/>
          </w:tcPr>
          <w:p w14:paraId="4D3360A5"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0F6FE2" w14:textId="3B1CEFA7" w:rsidR="004552B2" w:rsidRPr="008B64F2" w:rsidRDefault="00B17B78" w:rsidP="00B85AE5">
            <w:pPr>
              <w:keepNext/>
              <w:keepLines/>
              <w:jc w:val="center"/>
              <w:rPr>
                <w:sz w:val="20"/>
                <w:szCs w:val="20"/>
              </w:rPr>
            </w:pPr>
            <w:r>
              <w:rPr>
                <w:sz w:val="20"/>
                <w:szCs w:val="20"/>
              </w:rPr>
              <w:t>10.3</w:t>
            </w:r>
          </w:p>
        </w:tc>
        <w:tc>
          <w:tcPr>
            <w:tcW w:w="397" w:type="pct"/>
            <w:gridSpan w:val="2"/>
            <w:vMerge/>
            <w:shd w:val="clear" w:color="auto" w:fill="D9D9D9" w:themeFill="background1" w:themeFillShade="D9"/>
            <w:vAlign w:val="center"/>
          </w:tcPr>
          <w:p w14:paraId="3644180E"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5B9A97" w14:textId="02159FE6" w:rsidR="004552B2" w:rsidRPr="0084294D" w:rsidRDefault="00B2414F" w:rsidP="00B85AE5">
            <w:pPr>
              <w:keepNext/>
              <w:keepLines/>
              <w:jc w:val="center"/>
              <w:rPr>
                <w:sz w:val="20"/>
                <w:szCs w:val="20"/>
              </w:rPr>
            </w:pPr>
            <w:r>
              <w:rPr>
                <w:sz w:val="20"/>
                <w:szCs w:val="20"/>
              </w:rPr>
              <w:t>13.10</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673F6" w14:textId="78A2CEFC" w:rsidR="004552B2" w:rsidRPr="0084294D" w:rsidRDefault="00B2414F" w:rsidP="00B85AE5">
            <w:pPr>
              <w:keepNext/>
              <w:keepLines/>
              <w:jc w:val="center"/>
              <w:rPr>
                <w:sz w:val="20"/>
                <w:szCs w:val="20"/>
              </w:rPr>
            </w:pPr>
            <w:r>
              <w:rPr>
                <w:sz w:val="20"/>
                <w:szCs w:val="20"/>
              </w:rPr>
              <w:t>101.53</w:t>
            </w:r>
          </w:p>
        </w:tc>
      </w:tr>
      <w:tr w:rsidR="004552B2" w:rsidRPr="006C5A12" w14:paraId="0B893EA2"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DB6E1A" w14:textId="77777777" w:rsidR="004552B2" w:rsidRPr="008B64F2" w:rsidRDefault="004552B2" w:rsidP="00B85AE5">
            <w:pPr>
              <w:keepNext/>
              <w:keepLines/>
              <w:jc w:val="center"/>
              <w:rPr>
                <w:sz w:val="20"/>
                <w:szCs w:val="20"/>
              </w:rPr>
            </w:pPr>
            <w:r w:rsidRPr="008B64F2">
              <w:rPr>
                <w:sz w:val="20"/>
                <w:szCs w:val="20"/>
              </w:rPr>
              <w:t>BBCH 20-39</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BAE9E" w14:textId="77777777" w:rsidR="004552B2" w:rsidRPr="008B64F2" w:rsidRDefault="004552B2" w:rsidP="00B85AE5">
            <w:pPr>
              <w:keepNext/>
              <w:keepLines/>
              <w:jc w:val="center"/>
              <w:rPr>
                <w:sz w:val="20"/>
                <w:szCs w:val="20"/>
                <w:lang w:val="en-GB"/>
              </w:rPr>
            </w:pPr>
            <w:r w:rsidRPr="008B64F2">
              <w:rPr>
                <w:sz w:val="20"/>
                <w:szCs w:val="20"/>
                <w:lang w:val="en-GB"/>
              </w:rPr>
              <w:t>Small omnivorous mammal “mouse”</w:t>
            </w:r>
          </w:p>
        </w:tc>
        <w:tc>
          <w:tcPr>
            <w:tcW w:w="531" w:type="pct"/>
            <w:gridSpan w:val="2"/>
            <w:vMerge/>
            <w:shd w:val="clear" w:color="auto" w:fill="D9D9D9" w:themeFill="background1" w:themeFillShade="D9"/>
            <w:vAlign w:val="center"/>
          </w:tcPr>
          <w:p w14:paraId="0E06AEB4"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68F7EC" w14:textId="2555FCAE" w:rsidR="004552B2" w:rsidRPr="008B64F2" w:rsidRDefault="00B17B78" w:rsidP="00B85AE5">
            <w:pPr>
              <w:keepNext/>
              <w:keepLines/>
              <w:jc w:val="center"/>
              <w:rPr>
                <w:sz w:val="20"/>
                <w:szCs w:val="20"/>
              </w:rPr>
            </w:pPr>
            <w:r>
              <w:rPr>
                <w:sz w:val="20"/>
                <w:szCs w:val="20"/>
              </w:rPr>
              <w:t>8.6</w:t>
            </w:r>
          </w:p>
        </w:tc>
        <w:tc>
          <w:tcPr>
            <w:tcW w:w="397" w:type="pct"/>
            <w:gridSpan w:val="2"/>
            <w:vMerge/>
            <w:shd w:val="clear" w:color="auto" w:fill="D9D9D9" w:themeFill="background1" w:themeFillShade="D9"/>
            <w:vAlign w:val="center"/>
          </w:tcPr>
          <w:p w14:paraId="22FBEBFB"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98CE75" w14:textId="736CB310" w:rsidR="004552B2" w:rsidRPr="0084294D" w:rsidRDefault="00C02B32" w:rsidP="00B85AE5">
            <w:pPr>
              <w:keepNext/>
              <w:keepLines/>
              <w:jc w:val="center"/>
              <w:rPr>
                <w:sz w:val="20"/>
                <w:szCs w:val="20"/>
              </w:rPr>
            </w:pPr>
            <w:r>
              <w:rPr>
                <w:sz w:val="20"/>
                <w:szCs w:val="20"/>
              </w:rPr>
              <w:t>10.94</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522EA" w14:textId="4EAFE9D6" w:rsidR="004552B2" w:rsidRPr="0084294D" w:rsidRDefault="00C02B32" w:rsidP="00B85AE5">
            <w:pPr>
              <w:keepNext/>
              <w:keepLines/>
              <w:jc w:val="center"/>
              <w:rPr>
                <w:sz w:val="20"/>
                <w:szCs w:val="20"/>
              </w:rPr>
            </w:pPr>
            <w:r>
              <w:rPr>
                <w:sz w:val="20"/>
                <w:szCs w:val="20"/>
              </w:rPr>
              <w:t>121.57</w:t>
            </w:r>
          </w:p>
        </w:tc>
      </w:tr>
      <w:tr w:rsidR="004552B2" w:rsidRPr="006C5A12" w14:paraId="400F1191" w14:textId="77777777" w:rsidTr="008B64F2">
        <w:trPr>
          <w:cantSplit/>
        </w:trPr>
        <w:tc>
          <w:tcPr>
            <w:tcW w:w="8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34753D" w14:textId="77777777" w:rsidR="004552B2" w:rsidRPr="008B64F2" w:rsidRDefault="004552B2" w:rsidP="00B85AE5">
            <w:pPr>
              <w:keepNext/>
              <w:keepLines/>
              <w:jc w:val="center"/>
              <w:rPr>
                <w:sz w:val="20"/>
                <w:szCs w:val="20"/>
              </w:rPr>
            </w:pPr>
            <w:r w:rsidRPr="008B64F2">
              <w:rPr>
                <w:sz w:val="20"/>
                <w:szCs w:val="20"/>
              </w:rPr>
              <w:t>BBCH ≥ 40</w:t>
            </w:r>
          </w:p>
        </w:tc>
        <w:tc>
          <w:tcPr>
            <w:tcW w:w="170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6827B55" w14:textId="77777777" w:rsidR="004552B2" w:rsidRPr="008B64F2" w:rsidRDefault="004552B2" w:rsidP="00B85AE5">
            <w:pPr>
              <w:keepNext/>
              <w:keepLines/>
              <w:jc w:val="center"/>
              <w:rPr>
                <w:sz w:val="20"/>
                <w:szCs w:val="20"/>
                <w:lang w:val="en-GB"/>
              </w:rPr>
            </w:pPr>
            <w:r w:rsidRPr="008B64F2">
              <w:rPr>
                <w:sz w:val="20"/>
                <w:szCs w:val="20"/>
                <w:lang w:val="en-GB"/>
              </w:rPr>
              <w:t>Small omnivorous mammal “mouse”</w:t>
            </w:r>
          </w:p>
        </w:tc>
        <w:tc>
          <w:tcPr>
            <w:tcW w:w="531" w:type="pct"/>
            <w:gridSpan w:val="2"/>
            <w:vMerge/>
            <w:shd w:val="clear" w:color="auto" w:fill="D9D9D9" w:themeFill="background1" w:themeFillShade="D9"/>
            <w:vAlign w:val="center"/>
          </w:tcPr>
          <w:p w14:paraId="26C21B03" w14:textId="77777777" w:rsidR="004552B2" w:rsidRPr="008B64F2" w:rsidRDefault="004552B2" w:rsidP="00B85AE5">
            <w:pPr>
              <w:keepNext/>
              <w:keepLines/>
              <w:jc w:val="center"/>
              <w:rPr>
                <w:sz w:val="20"/>
                <w:szCs w:val="20"/>
                <w:lang w:val="en-GB"/>
              </w:rPr>
            </w:pPr>
          </w:p>
        </w:tc>
        <w:tc>
          <w:tcPr>
            <w:tcW w:w="35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92FF3A" w14:textId="64CE3AFC" w:rsidR="004552B2" w:rsidRPr="008B64F2" w:rsidRDefault="00BC3EDB" w:rsidP="00B85AE5">
            <w:pPr>
              <w:keepNext/>
              <w:keepLines/>
              <w:jc w:val="center"/>
              <w:rPr>
                <w:sz w:val="20"/>
                <w:szCs w:val="20"/>
              </w:rPr>
            </w:pPr>
            <w:r>
              <w:rPr>
                <w:sz w:val="20"/>
                <w:szCs w:val="20"/>
              </w:rPr>
              <w:t>5.2</w:t>
            </w:r>
          </w:p>
        </w:tc>
        <w:tc>
          <w:tcPr>
            <w:tcW w:w="397" w:type="pct"/>
            <w:gridSpan w:val="2"/>
            <w:vMerge/>
            <w:shd w:val="clear" w:color="auto" w:fill="D9D9D9" w:themeFill="background1" w:themeFillShade="D9"/>
            <w:vAlign w:val="center"/>
          </w:tcPr>
          <w:p w14:paraId="45565CAA" w14:textId="77777777" w:rsidR="004552B2" w:rsidRPr="008B64F2" w:rsidRDefault="004552B2" w:rsidP="00B85AE5">
            <w:pPr>
              <w:keepNext/>
              <w:keepLines/>
              <w:jc w:val="center"/>
              <w:rPr>
                <w:sz w:val="20"/>
                <w:szCs w:val="20"/>
                <w:lang w:val="en-GB"/>
              </w:rPr>
            </w:pPr>
          </w:p>
        </w:tc>
        <w:tc>
          <w:tcPr>
            <w:tcW w:w="67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2DC4B2" w14:textId="41D001AF" w:rsidR="004552B2" w:rsidRPr="0084294D" w:rsidRDefault="003F7CDF" w:rsidP="00B85AE5">
            <w:pPr>
              <w:keepNext/>
              <w:keepLines/>
              <w:jc w:val="center"/>
              <w:rPr>
                <w:sz w:val="20"/>
                <w:szCs w:val="20"/>
              </w:rPr>
            </w:pPr>
            <w:r>
              <w:rPr>
                <w:sz w:val="20"/>
                <w:szCs w:val="20"/>
              </w:rPr>
              <w:t>6.61</w:t>
            </w:r>
          </w:p>
        </w:tc>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F9975" w14:textId="27E9D7D4" w:rsidR="004552B2" w:rsidRPr="0084294D" w:rsidRDefault="000C2C83" w:rsidP="00B85AE5">
            <w:pPr>
              <w:keepNext/>
              <w:keepLines/>
              <w:jc w:val="center"/>
              <w:rPr>
                <w:sz w:val="20"/>
                <w:szCs w:val="20"/>
              </w:rPr>
            </w:pPr>
            <w:r>
              <w:rPr>
                <w:sz w:val="20"/>
                <w:szCs w:val="20"/>
              </w:rPr>
              <w:t>201.21</w:t>
            </w:r>
          </w:p>
        </w:tc>
      </w:tr>
      <w:tr w:rsidR="00431264" w:rsidRPr="006C5A12" w14:paraId="31E620F9" w14:textId="77777777" w:rsidTr="008B64F2">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FBDA1E" w14:textId="77777777" w:rsidR="00431264" w:rsidRPr="008B64F2" w:rsidRDefault="00431264" w:rsidP="00B85AE5">
            <w:pPr>
              <w:keepNext/>
              <w:widowControl w:val="0"/>
              <w:jc w:val="both"/>
              <w:rPr>
                <w:b/>
                <w:bCs/>
                <w:sz w:val="20"/>
                <w:szCs w:val="20"/>
                <w:lang w:val="en-GB"/>
              </w:rPr>
            </w:pPr>
            <w:r w:rsidRPr="008B64F2">
              <w:rPr>
                <w:b/>
                <w:bCs/>
                <w:sz w:val="20"/>
                <w:szCs w:val="20"/>
                <w:lang w:val="en-GB"/>
              </w:rPr>
              <w:t>Active substance</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EB7B4E" w14:textId="77777777" w:rsidR="00431264" w:rsidRPr="008B64F2" w:rsidRDefault="00431264" w:rsidP="00B85AE5">
            <w:pPr>
              <w:keepNext/>
              <w:widowControl w:val="0"/>
              <w:jc w:val="both"/>
              <w:rPr>
                <w:sz w:val="20"/>
                <w:szCs w:val="20"/>
                <w:lang w:val="en-GB"/>
              </w:rPr>
            </w:pPr>
            <w:r w:rsidRPr="008B64F2">
              <w:rPr>
                <w:sz w:val="20"/>
                <w:szCs w:val="20"/>
                <w:lang w:val="en-GB"/>
              </w:rPr>
              <w:t>Propamocarb</w:t>
            </w:r>
          </w:p>
        </w:tc>
      </w:tr>
      <w:tr w:rsidR="00431264" w:rsidRPr="006C5A12" w14:paraId="3F254FFC" w14:textId="77777777" w:rsidTr="008B64F2">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8BCECA" w14:textId="453C5222" w:rsidR="00431264" w:rsidRPr="006C5A12" w:rsidRDefault="00431264" w:rsidP="00431264">
            <w:pPr>
              <w:keepNext/>
              <w:widowControl w:val="0"/>
              <w:jc w:val="both"/>
              <w:rPr>
                <w:b/>
                <w:bCs/>
                <w:sz w:val="20"/>
                <w:szCs w:val="20"/>
                <w:lang w:val="en-GB"/>
              </w:rPr>
            </w:pPr>
            <w:r>
              <w:rPr>
                <w:b/>
                <w:bCs/>
                <w:sz w:val="20"/>
                <w:szCs w:val="20"/>
                <w:lang w:val="en-GB"/>
              </w:rPr>
              <w:t>Acute</w:t>
            </w:r>
            <w:r w:rsidRPr="006C5A12">
              <w:rPr>
                <w:b/>
                <w:bCs/>
                <w:sz w:val="20"/>
                <w:szCs w:val="20"/>
                <w:lang w:val="en-GB"/>
              </w:rPr>
              <w:t xml:space="preserve"> toxicity </w:t>
            </w:r>
            <w:r w:rsidRPr="006C5A12">
              <w:rPr>
                <w:b/>
                <w:bCs/>
                <w:sz w:val="20"/>
                <w:szCs w:val="20"/>
                <w:lang w:val="en-GB"/>
              </w:rPr>
              <w:br/>
              <w:t>(mg/kg bw/d)</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890F85" w14:textId="01B8A4BB" w:rsidR="00431264" w:rsidRPr="006C5A12" w:rsidRDefault="00431264" w:rsidP="00B85AE5">
            <w:pPr>
              <w:keepNext/>
              <w:widowControl w:val="0"/>
              <w:jc w:val="both"/>
              <w:rPr>
                <w:sz w:val="20"/>
                <w:szCs w:val="20"/>
                <w:lang w:val="en-GB"/>
              </w:rPr>
            </w:pPr>
            <w:r w:rsidRPr="006C5A12">
              <w:rPr>
                <w:sz w:val="20"/>
                <w:szCs w:val="20"/>
                <w:lang w:val="en-GB"/>
              </w:rPr>
              <w:t>1</w:t>
            </w:r>
            <w:r>
              <w:rPr>
                <w:sz w:val="20"/>
                <w:szCs w:val="20"/>
                <w:lang w:val="en-GB"/>
              </w:rPr>
              <w:t>330</w:t>
            </w:r>
          </w:p>
        </w:tc>
      </w:tr>
      <w:tr w:rsidR="00431264" w:rsidRPr="006C5A12" w14:paraId="5EF5BBC0" w14:textId="77777777" w:rsidTr="008B64F2">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7A5B41" w14:textId="77777777" w:rsidR="00431264" w:rsidRPr="006C5A12" w:rsidRDefault="00431264" w:rsidP="00431264">
            <w:pPr>
              <w:keepNext/>
              <w:widowControl w:val="0"/>
              <w:jc w:val="both"/>
              <w:rPr>
                <w:b/>
                <w:bCs/>
                <w:sz w:val="20"/>
                <w:szCs w:val="20"/>
                <w:lang w:val="en-GB"/>
              </w:rPr>
            </w:pPr>
            <w:r w:rsidRPr="006C5A12">
              <w:rPr>
                <w:b/>
                <w:bCs/>
                <w:sz w:val="20"/>
                <w:szCs w:val="20"/>
                <w:lang w:val="en-GB"/>
              </w:rPr>
              <w:t>TER criterion</w:t>
            </w:r>
          </w:p>
        </w:tc>
        <w:tc>
          <w:tcPr>
            <w:tcW w:w="4106"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0B84E3" w14:textId="2E817059" w:rsidR="00431264" w:rsidRPr="006C5A12" w:rsidRDefault="00431264" w:rsidP="00B85AE5">
            <w:pPr>
              <w:keepNext/>
              <w:widowControl w:val="0"/>
              <w:jc w:val="both"/>
              <w:rPr>
                <w:sz w:val="20"/>
                <w:szCs w:val="20"/>
                <w:lang w:val="en-GB"/>
              </w:rPr>
            </w:pPr>
            <w:r>
              <w:rPr>
                <w:sz w:val="20"/>
                <w:szCs w:val="20"/>
                <w:lang w:val="en-GB"/>
              </w:rPr>
              <w:t>10</w:t>
            </w:r>
          </w:p>
        </w:tc>
      </w:tr>
      <w:tr w:rsidR="00431264" w:rsidRPr="006C5A12" w14:paraId="2F06F00E" w14:textId="77777777" w:rsidTr="00B23596">
        <w:trPr>
          <w:cantSplit/>
        </w:trPr>
        <w:tc>
          <w:tcPr>
            <w:tcW w:w="894" w:type="pct"/>
            <w:gridSpan w:val="3"/>
            <w:tcBorders>
              <w:bottom w:val="single" w:sz="12" w:space="0" w:color="auto"/>
            </w:tcBorders>
            <w:shd w:val="clear" w:color="auto" w:fill="D9D9D9" w:themeFill="background1" w:themeFillShade="D9"/>
            <w:vAlign w:val="center"/>
          </w:tcPr>
          <w:p w14:paraId="143092F0" w14:textId="77777777" w:rsidR="00431264" w:rsidRPr="006C5A12" w:rsidRDefault="00431264" w:rsidP="00B85AE5">
            <w:pPr>
              <w:keepNext/>
              <w:widowControl w:val="0"/>
              <w:rPr>
                <w:b/>
                <w:bCs/>
                <w:sz w:val="20"/>
                <w:szCs w:val="20"/>
                <w:lang w:val="en-GB"/>
              </w:rPr>
            </w:pPr>
            <w:r w:rsidRPr="006C5A12">
              <w:rPr>
                <w:b/>
                <w:bCs/>
                <w:sz w:val="20"/>
                <w:szCs w:val="20"/>
                <w:lang w:val="en-GB"/>
              </w:rPr>
              <w:t>Growth stage</w:t>
            </w:r>
          </w:p>
        </w:tc>
        <w:tc>
          <w:tcPr>
            <w:tcW w:w="1696" w:type="pct"/>
            <w:gridSpan w:val="2"/>
            <w:tcBorders>
              <w:bottom w:val="single" w:sz="12" w:space="0" w:color="auto"/>
            </w:tcBorders>
            <w:shd w:val="clear" w:color="auto" w:fill="D9D9D9" w:themeFill="background1" w:themeFillShade="D9"/>
            <w:vAlign w:val="center"/>
          </w:tcPr>
          <w:p w14:paraId="2681C107" w14:textId="77777777" w:rsidR="00431264" w:rsidRPr="006C5A12" w:rsidRDefault="00431264" w:rsidP="00B85AE5">
            <w:pPr>
              <w:keepNext/>
              <w:widowControl w:val="0"/>
              <w:rPr>
                <w:b/>
                <w:bCs/>
                <w:sz w:val="20"/>
                <w:szCs w:val="20"/>
                <w:lang w:val="en-GB"/>
              </w:rPr>
            </w:pPr>
            <w:r w:rsidRPr="006C5A12">
              <w:rPr>
                <w:b/>
                <w:bCs/>
                <w:sz w:val="20"/>
                <w:szCs w:val="20"/>
                <w:lang w:val="en-GB"/>
              </w:rPr>
              <w:t>Generic focal species</w:t>
            </w:r>
          </w:p>
        </w:tc>
        <w:tc>
          <w:tcPr>
            <w:tcW w:w="528" w:type="pct"/>
            <w:gridSpan w:val="2"/>
            <w:tcBorders>
              <w:bottom w:val="single" w:sz="12" w:space="0" w:color="auto"/>
            </w:tcBorders>
            <w:shd w:val="clear" w:color="auto" w:fill="D9D9D9" w:themeFill="background1" w:themeFillShade="D9"/>
            <w:vAlign w:val="center"/>
          </w:tcPr>
          <w:p w14:paraId="5AD6FA17" w14:textId="77777777" w:rsidR="00431264" w:rsidRPr="006C5A12" w:rsidRDefault="00431264" w:rsidP="00B85AE5">
            <w:pPr>
              <w:keepNext/>
              <w:widowControl w:val="0"/>
              <w:rPr>
                <w:b/>
                <w:bCs/>
                <w:sz w:val="20"/>
                <w:szCs w:val="20"/>
                <w:lang w:val="en-GB"/>
              </w:rPr>
            </w:pPr>
            <w:r w:rsidRPr="006C5A12">
              <w:rPr>
                <w:b/>
                <w:bCs/>
                <w:sz w:val="20"/>
                <w:szCs w:val="20"/>
                <w:lang w:val="en-GB"/>
              </w:rPr>
              <w:t>App. Rate</w:t>
            </w:r>
          </w:p>
          <w:p w14:paraId="04452850" w14:textId="77777777" w:rsidR="00431264" w:rsidRPr="006C5A12" w:rsidRDefault="00431264" w:rsidP="00B85AE5">
            <w:pPr>
              <w:keepNext/>
              <w:widowControl w:val="0"/>
              <w:rPr>
                <w:b/>
                <w:bCs/>
                <w:sz w:val="20"/>
                <w:szCs w:val="20"/>
                <w:lang w:val="en-GB"/>
              </w:rPr>
            </w:pPr>
            <w:r w:rsidRPr="006C5A12">
              <w:rPr>
                <w:b/>
                <w:bCs/>
                <w:sz w:val="20"/>
                <w:szCs w:val="20"/>
                <w:lang w:val="en-GB"/>
              </w:rPr>
              <w:t>(kg a.s./ha)</w:t>
            </w:r>
          </w:p>
        </w:tc>
        <w:tc>
          <w:tcPr>
            <w:tcW w:w="354" w:type="pct"/>
            <w:gridSpan w:val="2"/>
            <w:tcBorders>
              <w:bottom w:val="single" w:sz="12" w:space="0" w:color="auto"/>
            </w:tcBorders>
            <w:shd w:val="clear" w:color="auto" w:fill="D9D9D9" w:themeFill="background1" w:themeFillShade="D9"/>
            <w:vAlign w:val="center"/>
          </w:tcPr>
          <w:p w14:paraId="6C284460" w14:textId="3E24EC88" w:rsidR="00431264" w:rsidRPr="006C5A12" w:rsidRDefault="00431264" w:rsidP="00B85AE5">
            <w:pPr>
              <w:keepNext/>
              <w:widowControl w:val="0"/>
              <w:rPr>
                <w:b/>
                <w:bCs/>
                <w:sz w:val="20"/>
                <w:szCs w:val="20"/>
                <w:lang w:val="en-GB"/>
              </w:rPr>
            </w:pPr>
            <w:r w:rsidRPr="006C5A12">
              <w:rPr>
                <w:b/>
                <w:bCs/>
                <w:sz w:val="20"/>
                <w:szCs w:val="20"/>
                <w:lang w:val="en-GB"/>
              </w:rPr>
              <w:t>SV</w:t>
            </w:r>
            <w:r w:rsidR="00E64E9E">
              <w:rPr>
                <w:b/>
                <w:bCs/>
                <w:sz w:val="20"/>
                <w:szCs w:val="20"/>
                <w:lang w:val="en-GB"/>
              </w:rPr>
              <w:t>a</w:t>
            </w:r>
          </w:p>
        </w:tc>
        <w:tc>
          <w:tcPr>
            <w:tcW w:w="394" w:type="pct"/>
            <w:gridSpan w:val="2"/>
            <w:tcBorders>
              <w:bottom w:val="single" w:sz="12" w:space="0" w:color="auto"/>
            </w:tcBorders>
            <w:shd w:val="clear" w:color="auto" w:fill="D9D9D9" w:themeFill="background1" w:themeFillShade="D9"/>
            <w:vAlign w:val="center"/>
          </w:tcPr>
          <w:p w14:paraId="5FD4035F" w14:textId="205F2702" w:rsidR="00431264" w:rsidRPr="006C5A12" w:rsidRDefault="00431264" w:rsidP="00B85AE5">
            <w:pPr>
              <w:keepNext/>
              <w:widowControl w:val="0"/>
              <w:rPr>
                <w:b/>
                <w:bCs/>
                <w:sz w:val="20"/>
                <w:szCs w:val="20"/>
                <w:lang w:val="en-GB"/>
              </w:rPr>
            </w:pPr>
            <w:r w:rsidRPr="006C5A12">
              <w:rPr>
                <w:b/>
                <w:bCs/>
                <w:sz w:val="20"/>
                <w:szCs w:val="20"/>
                <w:lang w:val="en-GB"/>
              </w:rPr>
              <w:t>MAF</w:t>
            </w:r>
            <w:r>
              <w:rPr>
                <w:b/>
                <w:bCs/>
                <w:sz w:val="20"/>
                <w:szCs w:val="20"/>
                <w:lang w:val="en-GB"/>
              </w:rPr>
              <w:t>a</w:t>
            </w:r>
            <w:r w:rsidRPr="006C5A12">
              <w:rPr>
                <w:b/>
                <w:bCs/>
                <w:sz w:val="20"/>
                <w:szCs w:val="20"/>
                <w:lang w:val="en-GB"/>
              </w:rPr>
              <w:t xml:space="preserve"> </w:t>
            </w:r>
          </w:p>
        </w:tc>
        <w:tc>
          <w:tcPr>
            <w:tcW w:w="666" w:type="pct"/>
            <w:tcBorders>
              <w:bottom w:val="single" w:sz="12" w:space="0" w:color="auto"/>
            </w:tcBorders>
            <w:shd w:val="clear" w:color="auto" w:fill="D9D9D9" w:themeFill="background1" w:themeFillShade="D9"/>
            <w:vAlign w:val="center"/>
          </w:tcPr>
          <w:p w14:paraId="63922DF3" w14:textId="77777777" w:rsidR="00431264" w:rsidRPr="006C5A12" w:rsidRDefault="00431264" w:rsidP="00B85AE5">
            <w:pPr>
              <w:keepNext/>
              <w:widowControl w:val="0"/>
              <w:rPr>
                <w:b/>
                <w:bCs/>
                <w:sz w:val="20"/>
                <w:szCs w:val="20"/>
                <w:lang w:val="de-DE"/>
              </w:rPr>
            </w:pPr>
            <w:r w:rsidRPr="006C5A12">
              <w:rPr>
                <w:b/>
                <w:bCs/>
                <w:sz w:val="20"/>
                <w:szCs w:val="20"/>
                <w:lang w:val="de-DE"/>
              </w:rPr>
              <w:t>DDD</w:t>
            </w:r>
            <w:r w:rsidRPr="006C5A12">
              <w:rPr>
                <w:b/>
                <w:bCs/>
                <w:sz w:val="20"/>
                <w:szCs w:val="20"/>
                <w:vertAlign w:val="subscript"/>
                <w:lang w:val="de-DE"/>
              </w:rPr>
              <w:t>m</w:t>
            </w:r>
          </w:p>
          <w:p w14:paraId="79F9A654" w14:textId="77777777" w:rsidR="00431264" w:rsidRPr="006C5A12" w:rsidRDefault="00431264" w:rsidP="00B85AE5">
            <w:pPr>
              <w:keepNext/>
              <w:widowControl w:val="0"/>
              <w:rPr>
                <w:b/>
                <w:bCs/>
                <w:sz w:val="20"/>
                <w:szCs w:val="20"/>
                <w:lang w:val="de-DE"/>
              </w:rPr>
            </w:pPr>
            <w:r w:rsidRPr="006C5A12">
              <w:rPr>
                <w:b/>
                <w:bCs/>
                <w:sz w:val="20"/>
                <w:szCs w:val="20"/>
                <w:lang w:val="de-DE"/>
              </w:rPr>
              <w:t>(mg/kg bw/d)</w:t>
            </w:r>
          </w:p>
        </w:tc>
        <w:tc>
          <w:tcPr>
            <w:tcW w:w="468" w:type="pct"/>
            <w:tcBorders>
              <w:bottom w:val="single" w:sz="12" w:space="0" w:color="auto"/>
            </w:tcBorders>
            <w:shd w:val="clear" w:color="auto" w:fill="D9D9D9" w:themeFill="background1" w:themeFillShade="D9"/>
            <w:vAlign w:val="center"/>
          </w:tcPr>
          <w:p w14:paraId="796EE9A9" w14:textId="029E153A" w:rsidR="00431264" w:rsidRPr="006C5A12" w:rsidRDefault="00431264" w:rsidP="00B85AE5">
            <w:pPr>
              <w:keepNext/>
              <w:widowControl w:val="0"/>
              <w:rPr>
                <w:b/>
                <w:bCs/>
                <w:sz w:val="20"/>
                <w:szCs w:val="20"/>
                <w:lang w:val="en-GB"/>
              </w:rPr>
            </w:pPr>
            <w:r w:rsidRPr="006C5A12">
              <w:rPr>
                <w:b/>
                <w:bCs/>
                <w:sz w:val="20"/>
                <w:szCs w:val="20"/>
                <w:lang w:val="en-GB"/>
              </w:rPr>
              <w:t>TER</w:t>
            </w:r>
            <w:r w:rsidR="004552B2">
              <w:rPr>
                <w:b/>
                <w:bCs/>
                <w:sz w:val="20"/>
                <w:szCs w:val="20"/>
                <w:lang w:val="en-GB"/>
              </w:rPr>
              <w:t>a</w:t>
            </w:r>
          </w:p>
        </w:tc>
      </w:tr>
      <w:tr w:rsidR="00431264" w:rsidRPr="006C5A12" w14:paraId="43A56A57" w14:textId="77777777" w:rsidTr="002E162D">
        <w:trPr>
          <w:cantSplit/>
        </w:trPr>
        <w:tc>
          <w:tcPr>
            <w:tcW w:w="5000" w:type="pct"/>
            <w:gridSpan w:val="1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8342613" w14:textId="00B6A208" w:rsidR="00431264" w:rsidRPr="006C5A12" w:rsidRDefault="00431264" w:rsidP="00B85AE5">
            <w:pPr>
              <w:jc w:val="center"/>
              <w:rPr>
                <w:sz w:val="20"/>
                <w:szCs w:val="20"/>
                <w:lang w:val="en-GB"/>
              </w:rPr>
            </w:pPr>
            <w:r w:rsidRPr="006C5A12">
              <w:rPr>
                <w:b/>
                <w:sz w:val="20"/>
                <w:szCs w:val="20"/>
                <w:lang w:val="en-GB"/>
              </w:rPr>
              <w:t>Potatoes (3 x 0.902 kg a.s./ha, BBCH 21-89</w:t>
            </w:r>
            <w:r w:rsidR="002E162D">
              <w:rPr>
                <w:b/>
                <w:sz w:val="20"/>
                <w:szCs w:val="20"/>
                <w:lang w:val="en-GB"/>
              </w:rPr>
              <w:t xml:space="preserve">; cover </w:t>
            </w:r>
            <w:r w:rsidR="002E162D" w:rsidRPr="006C5A12">
              <w:rPr>
                <w:b/>
                <w:sz w:val="20"/>
                <w:szCs w:val="20"/>
                <w:lang w:val="en-GB"/>
              </w:rPr>
              <w:t>2 x 0.902 kg a.s./ha, BBCH 21-89)</w:t>
            </w:r>
          </w:p>
        </w:tc>
      </w:tr>
      <w:tr w:rsidR="00431264" w:rsidRPr="006C5A12" w14:paraId="5B951041" w14:textId="77777777" w:rsidTr="00B23596">
        <w:trPr>
          <w:cantSplit/>
        </w:trPr>
        <w:tc>
          <w:tcPr>
            <w:tcW w:w="894" w:type="pct"/>
            <w:gridSpan w:val="3"/>
            <w:tcBorders>
              <w:top w:val="single" w:sz="12" w:space="0" w:color="auto"/>
            </w:tcBorders>
            <w:shd w:val="clear" w:color="auto" w:fill="D9D9D9" w:themeFill="background1" w:themeFillShade="D9"/>
            <w:vAlign w:val="center"/>
          </w:tcPr>
          <w:p w14:paraId="3BED515D" w14:textId="77777777" w:rsidR="00431264" w:rsidRPr="006C5A12" w:rsidRDefault="00431264" w:rsidP="00B85AE5">
            <w:pPr>
              <w:jc w:val="center"/>
              <w:rPr>
                <w:sz w:val="20"/>
                <w:szCs w:val="20"/>
                <w:lang w:val="en-GB"/>
              </w:rPr>
            </w:pPr>
            <w:r w:rsidRPr="006C5A12">
              <w:rPr>
                <w:sz w:val="20"/>
                <w:szCs w:val="20"/>
              </w:rPr>
              <w:t>BBCH ≥20</w:t>
            </w:r>
          </w:p>
        </w:tc>
        <w:tc>
          <w:tcPr>
            <w:tcW w:w="1696" w:type="pct"/>
            <w:gridSpan w:val="2"/>
            <w:tcBorders>
              <w:top w:val="single" w:sz="12" w:space="0" w:color="auto"/>
            </w:tcBorders>
            <w:shd w:val="clear" w:color="auto" w:fill="D9D9D9" w:themeFill="background1" w:themeFillShade="D9"/>
            <w:vAlign w:val="center"/>
          </w:tcPr>
          <w:p w14:paraId="1A573ABF" w14:textId="77777777" w:rsidR="00431264" w:rsidRPr="006C5A12" w:rsidRDefault="00431264" w:rsidP="00B85AE5">
            <w:pPr>
              <w:jc w:val="center"/>
              <w:rPr>
                <w:sz w:val="20"/>
                <w:szCs w:val="20"/>
                <w:lang w:val="en-GB"/>
              </w:rPr>
            </w:pPr>
            <w:r w:rsidRPr="006C5A12">
              <w:rPr>
                <w:sz w:val="20"/>
                <w:szCs w:val="20"/>
                <w:lang w:val="en-GB"/>
              </w:rPr>
              <w:t>Small insectivorous mammal “shrew”</w:t>
            </w:r>
          </w:p>
        </w:tc>
        <w:tc>
          <w:tcPr>
            <w:tcW w:w="528" w:type="pct"/>
            <w:gridSpan w:val="2"/>
            <w:vMerge w:val="restart"/>
            <w:tcBorders>
              <w:top w:val="single" w:sz="12" w:space="0" w:color="auto"/>
            </w:tcBorders>
            <w:shd w:val="clear" w:color="auto" w:fill="D9D9D9" w:themeFill="background1" w:themeFillShade="D9"/>
            <w:vAlign w:val="center"/>
          </w:tcPr>
          <w:p w14:paraId="1F7582B0" w14:textId="77777777" w:rsidR="00431264" w:rsidRPr="006C5A12" w:rsidRDefault="00431264" w:rsidP="00B85AE5">
            <w:pPr>
              <w:jc w:val="center"/>
              <w:rPr>
                <w:sz w:val="20"/>
                <w:szCs w:val="20"/>
                <w:lang w:val="en-GB"/>
              </w:rPr>
            </w:pPr>
            <w:r w:rsidRPr="006C5A12">
              <w:rPr>
                <w:sz w:val="20"/>
                <w:szCs w:val="20"/>
                <w:lang w:val="en-GB"/>
              </w:rPr>
              <w:t>0.902</w:t>
            </w:r>
          </w:p>
        </w:tc>
        <w:tc>
          <w:tcPr>
            <w:tcW w:w="354" w:type="pct"/>
            <w:gridSpan w:val="2"/>
            <w:tcBorders>
              <w:top w:val="single" w:sz="12" w:space="0" w:color="auto"/>
            </w:tcBorders>
            <w:shd w:val="clear" w:color="auto" w:fill="D9D9D9" w:themeFill="background1" w:themeFillShade="D9"/>
            <w:vAlign w:val="center"/>
          </w:tcPr>
          <w:p w14:paraId="7A23507B" w14:textId="32AA87A5" w:rsidR="00431264" w:rsidRPr="006C5A12" w:rsidRDefault="00E64E9E" w:rsidP="00B85AE5">
            <w:pPr>
              <w:jc w:val="center"/>
              <w:rPr>
                <w:sz w:val="20"/>
                <w:szCs w:val="20"/>
                <w:lang w:val="en-GB"/>
              </w:rPr>
            </w:pPr>
            <w:r>
              <w:rPr>
                <w:sz w:val="20"/>
                <w:szCs w:val="20"/>
              </w:rPr>
              <w:t>5.4</w:t>
            </w:r>
          </w:p>
        </w:tc>
        <w:tc>
          <w:tcPr>
            <w:tcW w:w="394" w:type="pct"/>
            <w:gridSpan w:val="2"/>
            <w:vMerge w:val="restart"/>
            <w:tcBorders>
              <w:top w:val="single" w:sz="12" w:space="0" w:color="auto"/>
            </w:tcBorders>
            <w:shd w:val="clear" w:color="auto" w:fill="D9D9D9" w:themeFill="background1" w:themeFillShade="D9"/>
            <w:vAlign w:val="center"/>
          </w:tcPr>
          <w:p w14:paraId="37D387E1" w14:textId="557229C0" w:rsidR="00431264" w:rsidRPr="006C5A12" w:rsidRDefault="00431264" w:rsidP="00B85AE5">
            <w:pPr>
              <w:jc w:val="center"/>
              <w:rPr>
                <w:sz w:val="20"/>
                <w:szCs w:val="20"/>
                <w:lang w:val="en-GB"/>
              </w:rPr>
            </w:pPr>
            <w:r w:rsidRPr="00254174">
              <w:rPr>
                <w:sz w:val="20"/>
                <w:szCs w:val="20"/>
                <w:lang w:val="en-GB"/>
              </w:rPr>
              <w:t>1.79</w:t>
            </w:r>
          </w:p>
        </w:tc>
        <w:tc>
          <w:tcPr>
            <w:tcW w:w="666"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49108CB1" w14:textId="2C5F0919" w:rsidR="00431264" w:rsidRPr="006C5A12" w:rsidRDefault="006A2625" w:rsidP="00B85AE5">
            <w:pPr>
              <w:jc w:val="center"/>
              <w:rPr>
                <w:sz w:val="20"/>
                <w:szCs w:val="20"/>
                <w:lang w:val="en-GB"/>
              </w:rPr>
            </w:pPr>
            <w:r>
              <w:rPr>
                <w:sz w:val="20"/>
                <w:szCs w:val="20"/>
                <w:lang w:val="en-GB"/>
              </w:rPr>
              <w:t>8.72</w:t>
            </w:r>
          </w:p>
        </w:tc>
        <w:tc>
          <w:tcPr>
            <w:tcW w:w="468" w:type="pct"/>
            <w:tcBorders>
              <w:top w:val="single" w:sz="12" w:space="0" w:color="auto"/>
              <w:left w:val="nil"/>
              <w:bottom w:val="single" w:sz="4" w:space="0" w:color="auto"/>
              <w:right w:val="single" w:sz="4" w:space="0" w:color="auto"/>
            </w:tcBorders>
            <w:shd w:val="clear" w:color="auto" w:fill="D9D9D9" w:themeFill="background1" w:themeFillShade="D9"/>
            <w:vAlign w:val="center"/>
          </w:tcPr>
          <w:p w14:paraId="1AF246DB" w14:textId="1252A026" w:rsidR="00431264" w:rsidRPr="006C5A12" w:rsidRDefault="00176B31" w:rsidP="00B85AE5">
            <w:pPr>
              <w:jc w:val="center"/>
              <w:rPr>
                <w:sz w:val="20"/>
                <w:szCs w:val="20"/>
                <w:lang w:val="en-GB"/>
              </w:rPr>
            </w:pPr>
            <w:r>
              <w:rPr>
                <w:sz w:val="20"/>
                <w:szCs w:val="20"/>
                <w:lang w:val="en-GB"/>
              </w:rPr>
              <w:t>152.5</w:t>
            </w:r>
          </w:p>
        </w:tc>
      </w:tr>
      <w:tr w:rsidR="00431264" w:rsidRPr="006C5A12" w14:paraId="2185957B" w14:textId="77777777" w:rsidTr="00B23596">
        <w:trPr>
          <w:cantSplit/>
        </w:trPr>
        <w:tc>
          <w:tcPr>
            <w:tcW w:w="894" w:type="pct"/>
            <w:gridSpan w:val="3"/>
            <w:tcBorders>
              <w:bottom w:val="single" w:sz="4" w:space="0" w:color="auto"/>
            </w:tcBorders>
            <w:shd w:val="clear" w:color="auto" w:fill="D9D9D9" w:themeFill="background1" w:themeFillShade="D9"/>
            <w:vAlign w:val="center"/>
          </w:tcPr>
          <w:p w14:paraId="009D7F82" w14:textId="77777777" w:rsidR="00431264" w:rsidRPr="006C5A12" w:rsidRDefault="00431264" w:rsidP="00B85AE5">
            <w:pPr>
              <w:jc w:val="center"/>
              <w:rPr>
                <w:sz w:val="20"/>
                <w:szCs w:val="20"/>
                <w:lang w:val="en-GB"/>
              </w:rPr>
            </w:pPr>
            <w:r w:rsidRPr="006C5A12">
              <w:rPr>
                <w:sz w:val="20"/>
                <w:szCs w:val="20"/>
              </w:rPr>
              <w:t>BBCH ≥40</w:t>
            </w:r>
          </w:p>
        </w:tc>
        <w:tc>
          <w:tcPr>
            <w:tcW w:w="1696" w:type="pct"/>
            <w:gridSpan w:val="2"/>
            <w:tcBorders>
              <w:bottom w:val="single" w:sz="4" w:space="0" w:color="auto"/>
            </w:tcBorders>
            <w:shd w:val="clear" w:color="auto" w:fill="D9D9D9" w:themeFill="background1" w:themeFillShade="D9"/>
            <w:vAlign w:val="center"/>
          </w:tcPr>
          <w:p w14:paraId="3531554D" w14:textId="77777777" w:rsidR="00431264" w:rsidRPr="006C5A12" w:rsidRDefault="00431264" w:rsidP="00B85AE5">
            <w:pPr>
              <w:jc w:val="center"/>
              <w:rPr>
                <w:sz w:val="20"/>
                <w:szCs w:val="20"/>
                <w:lang w:val="en-GB"/>
              </w:rPr>
            </w:pPr>
            <w:r w:rsidRPr="006C5A12">
              <w:rPr>
                <w:sz w:val="20"/>
                <w:szCs w:val="20"/>
                <w:lang w:val="en-GB"/>
              </w:rPr>
              <w:t>Small herbivorous mammal “vole”</w:t>
            </w:r>
          </w:p>
        </w:tc>
        <w:tc>
          <w:tcPr>
            <w:tcW w:w="528" w:type="pct"/>
            <w:gridSpan w:val="2"/>
            <w:vMerge/>
            <w:shd w:val="clear" w:color="auto" w:fill="D9D9D9" w:themeFill="background1" w:themeFillShade="D9"/>
            <w:vAlign w:val="center"/>
          </w:tcPr>
          <w:p w14:paraId="40A231DB" w14:textId="77777777" w:rsidR="00431264" w:rsidRPr="006C5A12" w:rsidRDefault="00431264" w:rsidP="00B85AE5">
            <w:pPr>
              <w:jc w:val="center"/>
              <w:rPr>
                <w:sz w:val="20"/>
                <w:szCs w:val="20"/>
                <w:lang w:val="en-GB"/>
              </w:rPr>
            </w:pPr>
          </w:p>
        </w:tc>
        <w:tc>
          <w:tcPr>
            <w:tcW w:w="354" w:type="pct"/>
            <w:gridSpan w:val="2"/>
            <w:tcBorders>
              <w:bottom w:val="single" w:sz="4" w:space="0" w:color="auto"/>
            </w:tcBorders>
            <w:shd w:val="clear" w:color="auto" w:fill="D9D9D9" w:themeFill="background1" w:themeFillShade="D9"/>
            <w:vAlign w:val="center"/>
          </w:tcPr>
          <w:p w14:paraId="295F7D75" w14:textId="21BBF797" w:rsidR="00431264" w:rsidRPr="006C5A12" w:rsidRDefault="00231BEE" w:rsidP="00B85AE5">
            <w:pPr>
              <w:jc w:val="center"/>
              <w:rPr>
                <w:sz w:val="20"/>
                <w:szCs w:val="20"/>
                <w:lang w:val="en-GB"/>
              </w:rPr>
            </w:pPr>
            <w:r>
              <w:rPr>
                <w:sz w:val="20"/>
                <w:szCs w:val="20"/>
                <w:lang w:val="en-GB"/>
              </w:rPr>
              <w:t>40.9</w:t>
            </w:r>
          </w:p>
        </w:tc>
        <w:tc>
          <w:tcPr>
            <w:tcW w:w="394" w:type="pct"/>
            <w:gridSpan w:val="2"/>
            <w:vMerge/>
            <w:shd w:val="clear" w:color="auto" w:fill="D9D9D9" w:themeFill="background1" w:themeFillShade="D9"/>
            <w:vAlign w:val="center"/>
          </w:tcPr>
          <w:p w14:paraId="4F5CBA09" w14:textId="77777777" w:rsidR="00431264" w:rsidRPr="006C5A12" w:rsidRDefault="00431264" w:rsidP="00B85AE5">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59BE84" w14:textId="05595C40" w:rsidR="00431264" w:rsidRPr="006C5A12" w:rsidRDefault="00D37188" w:rsidP="00B85AE5">
            <w:pPr>
              <w:jc w:val="center"/>
              <w:rPr>
                <w:sz w:val="20"/>
                <w:szCs w:val="20"/>
                <w:lang w:val="en-GB"/>
              </w:rPr>
            </w:pPr>
            <w:r>
              <w:rPr>
                <w:sz w:val="20"/>
                <w:szCs w:val="20"/>
                <w:lang w:val="en-GB"/>
              </w:rPr>
              <w:t>66.04</w:t>
            </w:r>
          </w:p>
        </w:tc>
        <w:tc>
          <w:tcPr>
            <w:tcW w:w="46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4EEA03A" w14:textId="632CB764" w:rsidR="00431264" w:rsidRPr="00176B31" w:rsidRDefault="00176B31" w:rsidP="00B85AE5">
            <w:pPr>
              <w:jc w:val="center"/>
              <w:rPr>
                <w:sz w:val="20"/>
                <w:szCs w:val="20"/>
                <w:lang w:val="en-GB"/>
              </w:rPr>
            </w:pPr>
            <w:r w:rsidRPr="00176B31">
              <w:rPr>
                <w:sz w:val="20"/>
                <w:szCs w:val="20"/>
                <w:lang w:val="en-GB"/>
              </w:rPr>
              <w:t>20.1</w:t>
            </w:r>
          </w:p>
        </w:tc>
      </w:tr>
      <w:tr w:rsidR="00431264" w:rsidRPr="006C5A12" w14:paraId="35882A48" w14:textId="77777777" w:rsidTr="00B23596">
        <w:trPr>
          <w:cantSplit/>
        </w:trPr>
        <w:tc>
          <w:tcPr>
            <w:tcW w:w="894" w:type="pct"/>
            <w:gridSpan w:val="3"/>
            <w:tcBorders>
              <w:bottom w:val="single" w:sz="4" w:space="0" w:color="auto"/>
            </w:tcBorders>
            <w:shd w:val="clear" w:color="auto" w:fill="D9D9D9" w:themeFill="background1" w:themeFillShade="D9"/>
            <w:vAlign w:val="center"/>
          </w:tcPr>
          <w:p w14:paraId="1CC4634E" w14:textId="77777777" w:rsidR="00431264" w:rsidRPr="006C5A12" w:rsidRDefault="00431264" w:rsidP="00B85AE5">
            <w:pPr>
              <w:jc w:val="center"/>
              <w:rPr>
                <w:sz w:val="20"/>
                <w:szCs w:val="20"/>
                <w:lang w:val="en-GB"/>
              </w:rPr>
            </w:pPr>
            <w:r w:rsidRPr="006C5A12">
              <w:rPr>
                <w:sz w:val="20"/>
                <w:szCs w:val="20"/>
              </w:rPr>
              <w:t>BBCH 10-40</w:t>
            </w:r>
          </w:p>
        </w:tc>
        <w:tc>
          <w:tcPr>
            <w:tcW w:w="1696" w:type="pct"/>
            <w:gridSpan w:val="2"/>
            <w:tcBorders>
              <w:bottom w:val="single" w:sz="4" w:space="0" w:color="auto"/>
            </w:tcBorders>
            <w:shd w:val="clear" w:color="auto" w:fill="D9D9D9" w:themeFill="background1" w:themeFillShade="D9"/>
            <w:vAlign w:val="center"/>
          </w:tcPr>
          <w:p w14:paraId="35227616" w14:textId="77777777" w:rsidR="00431264" w:rsidRPr="006C5A12" w:rsidRDefault="00431264" w:rsidP="00B85AE5">
            <w:pPr>
              <w:jc w:val="center"/>
              <w:rPr>
                <w:sz w:val="20"/>
                <w:szCs w:val="20"/>
                <w:lang w:val="en-GB"/>
              </w:rPr>
            </w:pPr>
            <w:r w:rsidRPr="006C5A12">
              <w:rPr>
                <w:sz w:val="20"/>
                <w:szCs w:val="20"/>
                <w:lang w:val="en-GB"/>
              </w:rPr>
              <w:t>Large herbivorous mammal “lagomorph”</w:t>
            </w:r>
          </w:p>
        </w:tc>
        <w:tc>
          <w:tcPr>
            <w:tcW w:w="528" w:type="pct"/>
            <w:gridSpan w:val="2"/>
            <w:vMerge/>
            <w:shd w:val="clear" w:color="auto" w:fill="D9D9D9" w:themeFill="background1" w:themeFillShade="D9"/>
            <w:vAlign w:val="center"/>
          </w:tcPr>
          <w:p w14:paraId="0619002A" w14:textId="77777777" w:rsidR="00431264" w:rsidRPr="006C5A12" w:rsidRDefault="00431264" w:rsidP="00B85AE5">
            <w:pPr>
              <w:jc w:val="center"/>
              <w:rPr>
                <w:sz w:val="20"/>
                <w:szCs w:val="20"/>
                <w:lang w:val="en-GB"/>
              </w:rPr>
            </w:pPr>
          </w:p>
        </w:tc>
        <w:tc>
          <w:tcPr>
            <w:tcW w:w="354" w:type="pct"/>
            <w:gridSpan w:val="2"/>
            <w:tcBorders>
              <w:bottom w:val="single" w:sz="4" w:space="0" w:color="auto"/>
            </w:tcBorders>
            <w:shd w:val="clear" w:color="auto" w:fill="D9D9D9" w:themeFill="background1" w:themeFillShade="D9"/>
            <w:vAlign w:val="center"/>
          </w:tcPr>
          <w:p w14:paraId="0827FA64" w14:textId="77777777" w:rsidR="00431264" w:rsidRPr="006C5A12" w:rsidRDefault="00431264" w:rsidP="00B85AE5">
            <w:pPr>
              <w:jc w:val="center"/>
              <w:rPr>
                <w:sz w:val="20"/>
                <w:szCs w:val="20"/>
                <w:lang w:val="en-GB"/>
              </w:rPr>
            </w:pPr>
            <w:r w:rsidRPr="006C5A12">
              <w:rPr>
                <w:sz w:val="20"/>
                <w:szCs w:val="20"/>
              </w:rPr>
              <w:t>14.3</w:t>
            </w:r>
          </w:p>
        </w:tc>
        <w:tc>
          <w:tcPr>
            <w:tcW w:w="394" w:type="pct"/>
            <w:gridSpan w:val="2"/>
            <w:vMerge/>
            <w:shd w:val="clear" w:color="auto" w:fill="D9D9D9" w:themeFill="background1" w:themeFillShade="D9"/>
            <w:vAlign w:val="center"/>
          </w:tcPr>
          <w:p w14:paraId="00BD8B79" w14:textId="77777777" w:rsidR="00431264" w:rsidRPr="006C5A12" w:rsidRDefault="00431264" w:rsidP="00B85AE5">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9C5CD4" w14:textId="133B8EC2" w:rsidR="00431264" w:rsidRPr="006C5A12" w:rsidRDefault="00D37188" w:rsidP="00B85AE5">
            <w:pPr>
              <w:jc w:val="center"/>
              <w:rPr>
                <w:sz w:val="20"/>
                <w:szCs w:val="20"/>
                <w:lang w:val="en-GB"/>
              </w:rPr>
            </w:pPr>
            <w:r>
              <w:rPr>
                <w:sz w:val="20"/>
                <w:szCs w:val="20"/>
                <w:lang w:val="en-GB"/>
              </w:rPr>
              <w:t>23.09</w:t>
            </w:r>
          </w:p>
        </w:tc>
        <w:tc>
          <w:tcPr>
            <w:tcW w:w="46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3A1E983" w14:textId="57A2C366" w:rsidR="00431264" w:rsidRPr="006C5A12" w:rsidRDefault="00FD190D" w:rsidP="00B85AE5">
            <w:pPr>
              <w:jc w:val="center"/>
              <w:rPr>
                <w:sz w:val="20"/>
                <w:szCs w:val="20"/>
                <w:lang w:val="en-GB"/>
              </w:rPr>
            </w:pPr>
            <w:r>
              <w:rPr>
                <w:sz w:val="20"/>
                <w:szCs w:val="20"/>
                <w:lang w:val="en-GB"/>
              </w:rPr>
              <w:t>57.6</w:t>
            </w:r>
          </w:p>
        </w:tc>
      </w:tr>
      <w:tr w:rsidR="00431264" w:rsidRPr="006C5A12" w14:paraId="71B57B16" w14:textId="77777777" w:rsidTr="00B23596">
        <w:trPr>
          <w:cantSplit/>
        </w:trPr>
        <w:tc>
          <w:tcPr>
            <w:tcW w:w="894" w:type="pct"/>
            <w:gridSpan w:val="3"/>
            <w:tcBorders>
              <w:bottom w:val="single" w:sz="4" w:space="0" w:color="auto"/>
            </w:tcBorders>
            <w:shd w:val="clear" w:color="auto" w:fill="D9D9D9" w:themeFill="background1" w:themeFillShade="D9"/>
            <w:vAlign w:val="center"/>
          </w:tcPr>
          <w:p w14:paraId="43CAD5A9" w14:textId="77777777" w:rsidR="00431264" w:rsidRPr="006C5A12" w:rsidRDefault="00431264" w:rsidP="00B85AE5">
            <w:pPr>
              <w:jc w:val="center"/>
              <w:rPr>
                <w:sz w:val="20"/>
                <w:szCs w:val="20"/>
                <w:lang w:val="en-GB"/>
              </w:rPr>
            </w:pPr>
            <w:r w:rsidRPr="006C5A12">
              <w:rPr>
                <w:sz w:val="20"/>
                <w:szCs w:val="20"/>
              </w:rPr>
              <w:t>BBCH ≥40</w:t>
            </w:r>
          </w:p>
        </w:tc>
        <w:tc>
          <w:tcPr>
            <w:tcW w:w="1696" w:type="pct"/>
            <w:gridSpan w:val="2"/>
            <w:tcBorders>
              <w:bottom w:val="single" w:sz="4" w:space="0" w:color="auto"/>
            </w:tcBorders>
            <w:shd w:val="clear" w:color="auto" w:fill="D9D9D9" w:themeFill="background1" w:themeFillShade="D9"/>
            <w:vAlign w:val="center"/>
          </w:tcPr>
          <w:p w14:paraId="57739580" w14:textId="77777777" w:rsidR="00431264" w:rsidRPr="006C5A12" w:rsidRDefault="00431264" w:rsidP="00B85AE5">
            <w:pPr>
              <w:jc w:val="center"/>
              <w:rPr>
                <w:sz w:val="20"/>
                <w:szCs w:val="20"/>
                <w:lang w:val="en-GB"/>
              </w:rPr>
            </w:pPr>
            <w:r w:rsidRPr="006C5A12">
              <w:rPr>
                <w:sz w:val="20"/>
                <w:szCs w:val="20"/>
                <w:lang w:val="en-GB"/>
              </w:rPr>
              <w:t>Large herbivorous mammal “lagomorph”</w:t>
            </w:r>
          </w:p>
        </w:tc>
        <w:tc>
          <w:tcPr>
            <w:tcW w:w="528" w:type="pct"/>
            <w:gridSpan w:val="2"/>
            <w:vMerge/>
            <w:shd w:val="clear" w:color="auto" w:fill="D9D9D9" w:themeFill="background1" w:themeFillShade="D9"/>
            <w:vAlign w:val="center"/>
          </w:tcPr>
          <w:p w14:paraId="083B38EE" w14:textId="77777777" w:rsidR="00431264" w:rsidRPr="006C5A12" w:rsidRDefault="00431264" w:rsidP="00B85AE5">
            <w:pPr>
              <w:jc w:val="center"/>
              <w:rPr>
                <w:sz w:val="20"/>
                <w:szCs w:val="20"/>
                <w:lang w:val="en-GB"/>
              </w:rPr>
            </w:pPr>
          </w:p>
        </w:tc>
        <w:tc>
          <w:tcPr>
            <w:tcW w:w="354" w:type="pct"/>
            <w:gridSpan w:val="2"/>
            <w:tcBorders>
              <w:bottom w:val="single" w:sz="4" w:space="0" w:color="auto"/>
            </w:tcBorders>
            <w:shd w:val="clear" w:color="auto" w:fill="D9D9D9" w:themeFill="background1" w:themeFillShade="D9"/>
            <w:vAlign w:val="center"/>
          </w:tcPr>
          <w:p w14:paraId="6303A560" w14:textId="279F2120" w:rsidR="00431264" w:rsidRPr="006C5A12" w:rsidRDefault="00231BEE" w:rsidP="00B85AE5">
            <w:pPr>
              <w:jc w:val="center"/>
              <w:rPr>
                <w:sz w:val="20"/>
                <w:szCs w:val="20"/>
                <w:lang w:val="en-GB"/>
              </w:rPr>
            </w:pPr>
            <w:r>
              <w:rPr>
                <w:sz w:val="20"/>
                <w:szCs w:val="20"/>
                <w:lang w:val="en-GB"/>
              </w:rPr>
              <w:t>35.1</w:t>
            </w:r>
          </w:p>
        </w:tc>
        <w:tc>
          <w:tcPr>
            <w:tcW w:w="394" w:type="pct"/>
            <w:gridSpan w:val="2"/>
            <w:vMerge/>
            <w:shd w:val="clear" w:color="auto" w:fill="D9D9D9" w:themeFill="background1" w:themeFillShade="D9"/>
            <w:vAlign w:val="center"/>
          </w:tcPr>
          <w:p w14:paraId="1DEC4671" w14:textId="77777777" w:rsidR="00431264" w:rsidRPr="006C5A12" w:rsidRDefault="00431264" w:rsidP="00B85AE5">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572C7A" w14:textId="2272F756" w:rsidR="00431264" w:rsidRPr="006C5A12" w:rsidRDefault="008B5C25" w:rsidP="00B85AE5">
            <w:pPr>
              <w:jc w:val="center"/>
              <w:rPr>
                <w:sz w:val="20"/>
                <w:szCs w:val="20"/>
                <w:lang w:val="en-GB"/>
              </w:rPr>
            </w:pPr>
            <w:r>
              <w:rPr>
                <w:sz w:val="20"/>
                <w:szCs w:val="20"/>
                <w:lang w:val="en-GB"/>
              </w:rPr>
              <w:t>56.67</w:t>
            </w:r>
          </w:p>
        </w:tc>
        <w:tc>
          <w:tcPr>
            <w:tcW w:w="46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7520C7B" w14:textId="3AB9D47C" w:rsidR="00431264" w:rsidRPr="006C5A12" w:rsidRDefault="00FD190D" w:rsidP="00B85AE5">
            <w:pPr>
              <w:jc w:val="center"/>
              <w:rPr>
                <w:sz w:val="20"/>
                <w:szCs w:val="20"/>
                <w:lang w:val="en-GB"/>
              </w:rPr>
            </w:pPr>
            <w:r>
              <w:rPr>
                <w:sz w:val="20"/>
                <w:szCs w:val="20"/>
                <w:lang w:val="en-GB"/>
              </w:rPr>
              <w:t>23.5</w:t>
            </w:r>
          </w:p>
        </w:tc>
      </w:tr>
      <w:tr w:rsidR="00431264" w:rsidRPr="006C5A12" w14:paraId="7B198685" w14:textId="77777777" w:rsidTr="00B23596">
        <w:trPr>
          <w:cantSplit/>
        </w:trPr>
        <w:tc>
          <w:tcPr>
            <w:tcW w:w="894" w:type="pct"/>
            <w:gridSpan w:val="3"/>
            <w:tcBorders>
              <w:bottom w:val="single" w:sz="4" w:space="0" w:color="auto"/>
            </w:tcBorders>
            <w:shd w:val="clear" w:color="auto" w:fill="D9D9D9" w:themeFill="background1" w:themeFillShade="D9"/>
            <w:vAlign w:val="center"/>
          </w:tcPr>
          <w:p w14:paraId="5A3FE1DE" w14:textId="77777777" w:rsidR="00431264" w:rsidRPr="006C5A12" w:rsidRDefault="00431264" w:rsidP="00B85AE5">
            <w:pPr>
              <w:jc w:val="center"/>
              <w:rPr>
                <w:sz w:val="20"/>
                <w:szCs w:val="20"/>
                <w:lang w:val="en-GB"/>
              </w:rPr>
            </w:pPr>
            <w:r w:rsidRPr="006C5A12">
              <w:rPr>
                <w:sz w:val="20"/>
                <w:szCs w:val="20"/>
              </w:rPr>
              <w:t>BBCH 10-39</w:t>
            </w:r>
          </w:p>
        </w:tc>
        <w:tc>
          <w:tcPr>
            <w:tcW w:w="1696" w:type="pct"/>
            <w:gridSpan w:val="2"/>
            <w:tcBorders>
              <w:bottom w:val="single" w:sz="4" w:space="0" w:color="auto"/>
            </w:tcBorders>
            <w:shd w:val="clear" w:color="auto" w:fill="D9D9D9" w:themeFill="background1" w:themeFillShade="D9"/>
            <w:vAlign w:val="center"/>
          </w:tcPr>
          <w:p w14:paraId="5FC8EA9F" w14:textId="77777777" w:rsidR="00431264" w:rsidRPr="006C5A12" w:rsidRDefault="00431264" w:rsidP="00B85AE5">
            <w:pPr>
              <w:jc w:val="center"/>
              <w:rPr>
                <w:sz w:val="20"/>
                <w:szCs w:val="20"/>
                <w:lang w:val="en-GB"/>
              </w:rPr>
            </w:pPr>
            <w:r w:rsidRPr="006C5A12">
              <w:rPr>
                <w:sz w:val="20"/>
                <w:szCs w:val="20"/>
                <w:lang w:val="en-GB"/>
              </w:rPr>
              <w:t>Small omnivorous mammal “mouse”</w:t>
            </w:r>
          </w:p>
        </w:tc>
        <w:tc>
          <w:tcPr>
            <w:tcW w:w="528" w:type="pct"/>
            <w:gridSpan w:val="2"/>
            <w:vMerge/>
            <w:shd w:val="clear" w:color="auto" w:fill="D9D9D9" w:themeFill="background1" w:themeFillShade="D9"/>
            <w:vAlign w:val="center"/>
          </w:tcPr>
          <w:p w14:paraId="39DDC1F5" w14:textId="77777777" w:rsidR="00431264" w:rsidRPr="006C5A12" w:rsidRDefault="00431264" w:rsidP="00B85AE5">
            <w:pPr>
              <w:jc w:val="center"/>
              <w:rPr>
                <w:sz w:val="20"/>
                <w:szCs w:val="20"/>
                <w:lang w:val="en-GB"/>
              </w:rPr>
            </w:pPr>
          </w:p>
        </w:tc>
        <w:tc>
          <w:tcPr>
            <w:tcW w:w="354" w:type="pct"/>
            <w:gridSpan w:val="2"/>
            <w:tcBorders>
              <w:bottom w:val="single" w:sz="4" w:space="0" w:color="auto"/>
            </w:tcBorders>
            <w:shd w:val="clear" w:color="auto" w:fill="D9D9D9" w:themeFill="background1" w:themeFillShade="D9"/>
            <w:vAlign w:val="center"/>
          </w:tcPr>
          <w:p w14:paraId="0B66B8F0" w14:textId="2953A6D5" w:rsidR="00431264" w:rsidRPr="006C5A12" w:rsidRDefault="00231BEE" w:rsidP="00B85AE5">
            <w:pPr>
              <w:jc w:val="center"/>
              <w:rPr>
                <w:sz w:val="20"/>
                <w:szCs w:val="20"/>
                <w:lang w:val="en-GB"/>
              </w:rPr>
            </w:pPr>
            <w:r>
              <w:rPr>
                <w:sz w:val="20"/>
                <w:szCs w:val="20"/>
                <w:lang w:val="en-GB"/>
              </w:rPr>
              <w:t>17.2</w:t>
            </w:r>
          </w:p>
        </w:tc>
        <w:tc>
          <w:tcPr>
            <w:tcW w:w="394" w:type="pct"/>
            <w:gridSpan w:val="2"/>
            <w:vMerge/>
            <w:shd w:val="clear" w:color="auto" w:fill="D9D9D9" w:themeFill="background1" w:themeFillShade="D9"/>
            <w:vAlign w:val="center"/>
          </w:tcPr>
          <w:p w14:paraId="7ED175FF" w14:textId="77777777" w:rsidR="00431264" w:rsidRPr="006C5A12" w:rsidRDefault="00431264" w:rsidP="00B85AE5">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A8BB49" w14:textId="4F6096B0" w:rsidR="00431264" w:rsidRPr="006C5A12" w:rsidRDefault="004636B4" w:rsidP="00B85AE5">
            <w:pPr>
              <w:jc w:val="center"/>
              <w:rPr>
                <w:sz w:val="20"/>
                <w:szCs w:val="20"/>
                <w:lang w:val="en-GB"/>
              </w:rPr>
            </w:pPr>
            <w:r>
              <w:rPr>
                <w:sz w:val="20"/>
                <w:szCs w:val="20"/>
                <w:lang w:val="en-GB"/>
              </w:rPr>
              <w:t>27.77</w:t>
            </w:r>
          </w:p>
        </w:tc>
        <w:tc>
          <w:tcPr>
            <w:tcW w:w="46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825BEE8" w14:textId="10F40231" w:rsidR="00431264" w:rsidRPr="006C5A12" w:rsidRDefault="0031130D" w:rsidP="00B85AE5">
            <w:pPr>
              <w:jc w:val="center"/>
              <w:rPr>
                <w:sz w:val="20"/>
                <w:szCs w:val="20"/>
                <w:lang w:val="en-GB"/>
              </w:rPr>
            </w:pPr>
            <w:r>
              <w:rPr>
                <w:sz w:val="20"/>
                <w:szCs w:val="20"/>
                <w:lang w:val="en-GB"/>
              </w:rPr>
              <w:t>47.9</w:t>
            </w:r>
          </w:p>
        </w:tc>
      </w:tr>
      <w:tr w:rsidR="00431264" w:rsidRPr="006C5A12" w14:paraId="2F2A51EF" w14:textId="77777777" w:rsidTr="00B23596">
        <w:trPr>
          <w:cantSplit/>
        </w:trPr>
        <w:tc>
          <w:tcPr>
            <w:tcW w:w="894" w:type="pct"/>
            <w:gridSpan w:val="3"/>
            <w:tcBorders>
              <w:bottom w:val="single" w:sz="12" w:space="0" w:color="auto"/>
            </w:tcBorders>
            <w:shd w:val="clear" w:color="auto" w:fill="D9D9D9" w:themeFill="background1" w:themeFillShade="D9"/>
            <w:vAlign w:val="center"/>
          </w:tcPr>
          <w:p w14:paraId="1D4A9E05" w14:textId="77777777" w:rsidR="00431264" w:rsidRPr="006C5A12" w:rsidRDefault="00431264" w:rsidP="00B85AE5">
            <w:pPr>
              <w:jc w:val="center"/>
              <w:rPr>
                <w:sz w:val="20"/>
                <w:szCs w:val="20"/>
                <w:lang w:val="en-GB"/>
              </w:rPr>
            </w:pPr>
            <w:r w:rsidRPr="006C5A12">
              <w:rPr>
                <w:sz w:val="20"/>
                <w:szCs w:val="20"/>
              </w:rPr>
              <w:t>BBCH ≥40</w:t>
            </w:r>
          </w:p>
        </w:tc>
        <w:tc>
          <w:tcPr>
            <w:tcW w:w="1696" w:type="pct"/>
            <w:gridSpan w:val="2"/>
            <w:tcBorders>
              <w:bottom w:val="single" w:sz="12" w:space="0" w:color="auto"/>
            </w:tcBorders>
            <w:shd w:val="clear" w:color="auto" w:fill="D9D9D9" w:themeFill="background1" w:themeFillShade="D9"/>
            <w:vAlign w:val="center"/>
          </w:tcPr>
          <w:p w14:paraId="529CE97A" w14:textId="77777777" w:rsidR="00431264" w:rsidRPr="006C5A12" w:rsidRDefault="00431264" w:rsidP="00B85AE5">
            <w:pPr>
              <w:jc w:val="center"/>
              <w:rPr>
                <w:sz w:val="20"/>
                <w:szCs w:val="20"/>
                <w:lang w:val="en-GB"/>
              </w:rPr>
            </w:pPr>
            <w:r w:rsidRPr="006C5A12">
              <w:rPr>
                <w:sz w:val="20"/>
                <w:szCs w:val="20"/>
                <w:lang w:val="en-GB"/>
              </w:rPr>
              <w:t>Small omnivorous mammal “mouse”</w:t>
            </w:r>
          </w:p>
        </w:tc>
        <w:tc>
          <w:tcPr>
            <w:tcW w:w="528" w:type="pct"/>
            <w:gridSpan w:val="2"/>
            <w:vMerge/>
            <w:tcBorders>
              <w:bottom w:val="single" w:sz="12" w:space="0" w:color="auto"/>
            </w:tcBorders>
            <w:shd w:val="clear" w:color="auto" w:fill="D9D9D9" w:themeFill="background1" w:themeFillShade="D9"/>
            <w:vAlign w:val="center"/>
          </w:tcPr>
          <w:p w14:paraId="68B5C7FB" w14:textId="77777777" w:rsidR="00431264" w:rsidRPr="006C5A12" w:rsidRDefault="00431264" w:rsidP="00B85AE5">
            <w:pPr>
              <w:jc w:val="center"/>
              <w:rPr>
                <w:sz w:val="20"/>
                <w:szCs w:val="20"/>
                <w:lang w:val="en-GB"/>
              </w:rPr>
            </w:pPr>
          </w:p>
        </w:tc>
        <w:tc>
          <w:tcPr>
            <w:tcW w:w="354" w:type="pct"/>
            <w:gridSpan w:val="2"/>
            <w:tcBorders>
              <w:bottom w:val="single" w:sz="12" w:space="0" w:color="auto"/>
            </w:tcBorders>
            <w:shd w:val="clear" w:color="auto" w:fill="D9D9D9" w:themeFill="background1" w:themeFillShade="D9"/>
            <w:vAlign w:val="center"/>
          </w:tcPr>
          <w:p w14:paraId="20C5E025" w14:textId="79858360" w:rsidR="00431264" w:rsidRPr="006C5A12" w:rsidRDefault="006A2625" w:rsidP="00B85AE5">
            <w:pPr>
              <w:jc w:val="center"/>
              <w:rPr>
                <w:sz w:val="20"/>
                <w:szCs w:val="20"/>
                <w:lang w:val="en-GB"/>
              </w:rPr>
            </w:pPr>
            <w:r>
              <w:rPr>
                <w:sz w:val="20"/>
                <w:szCs w:val="20"/>
                <w:lang w:val="en-GB"/>
              </w:rPr>
              <w:t>5.2</w:t>
            </w:r>
          </w:p>
        </w:tc>
        <w:tc>
          <w:tcPr>
            <w:tcW w:w="394" w:type="pct"/>
            <w:gridSpan w:val="2"/>
            <w:vMerge/>
            <w:tcBorders>
              <w:bottom w:val="single" w:sz="12" w:space="0" w:color="auto"/>
            </w:tcBorders>
            <w:shd w:val="clear" w:color="auto" w:fill="D9D9D9" w:themeFill="background1" w:themeFillShade="D9"/>
            <w:vAlign w:val="center"/>
          </w:tcPr>
          <w:p w14:paraId="6234BDDC" w14:textId="77777777" w:rsidR="00431264" w:rsidRPr="006C5A12" w:rsidRDefault="00431264" w:rsidP="00B85AE5">
            <w:pPr>
              <w:jc w:val="center"/>
              <w:rPr>
                <w:sz w:val="20"/>
                <w:szCs w:val="20"/>
                <w:lang w:val="en-GB"/>
              </w:rPr>
            </w:pPr>
          </w:p>
        </w:tc>
        <w:tc>
          <w:tcPr>
            <w:tcW w:w="666" w:type="pct"/>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C6499A2" w14:textId="433FB092" w:rsidR="00431264" w:rsidRPr="006C5A12" w:rsidRDefault="004636B4" w:rsidP="00B85AE5">
            <w:pPr>
              <w:jc w:val="center"/>
              <w:rPr>
                <w:sz w:val="20"/>
                <w:szCs w:val="20"/>
                <w:lang w:val="en-GB"/>
              </w:rPr>
            </w:pPr>
            <w:r>
              <w:rPr>
                <w:sz w:val="20"/>
                <w:szCs w:val="20"/>
                <w:lang w:val="en-GB"/>
              </w:rPr>
              <w:t>8.40</w:t>
            </w:r>
          </w:p>
        </w:tc>
        <w:tc>
          <w:tcPr>
            <w:tcW w:w="468" w:type="pct"/>
            <w:tcBorders>
              <w:top w:val="single" w:sz="4" w:space="0" w:color="auto"/>
              <w:left w:val="nil"/>
              <w:bottom w:val="single" w:sz="12" w:space="0" w:color="auto"/>
              <w:right w:val="single" w:sz="4" w:space="0" w:color="auto"/>
            </w:tcBorders>
            <w:shd w:val="clear" w:color="auto" w:fill="D9D9D9" w:themeFill="background1" w:themeFillShade="D9"/>
            <w:vAlign w:val="center"/>
          </w:tcPr>
          <w:p w14:paraId="5A66A73A" w14:textId="60208E56" w:rsidR="00431264" w:rsidRPr="006C5A12" w:rsidRDefault="0031130D" w:rsidP="00B85AE5">
            <w:pPr>
              <w:jc w:val="center"/>
              <w:rPr>
                <w:sz w:val="20"/>
                <w:szCs w:val="20"/>
                <w:lang w:val="en-GB"/>
              </w:rPr>
            </w:pPr>
            <w:r>
              <w:rPr>
                <w:sz w:val="20"/>
                <w:szCs w:val="20"/>
                <w:lang w:val="en-GB"/>
              </w:rPr>
              <w:t>158.3</w:t>
            </w:r>
          </w:p>
        </w:tc>
      </w:tr>
      <w:tr w:rsidR="00B23596" w:rsidRPr="006C550F" w14:paraId="0AF85C40" w14:textId="77777777" w:rsidTr="006C550F">
        <w:trPr>
          <w:cantSplit/>
        </w:trPr>
        <w:tc>
          <w:tcPr>
            <w:tcW w:w="5000" w:type="pct"/>
            <w:gridSpan w:val="13"/>
            <w:tcBorders>
              <w:bottom w:val="single" w:sz="4" w:space="0" w:color="auto"/>
              <w:right w:val="single" w:sz="4" w:space="0" w:color="auto"/>
            </w:tcBorders>
            <w:shd w:val="clear" w:color="auto" w:fill="BDD6EE" w:themeFill="accent5" w:themeFillTint="66"/>
            <w:vAlign w:val="center"/>
          </w:tcPr>
          <w:p w14:paraId="400495EC" w14:textId="44174AB1" w:rsidR="00B23596" w:rsidRPr="006C550F" w:rsidRDefault="005B32D2" w:rsidP="00B85AE5">
            <w:pPr>
              <w:jc w:val="center"/>
              <w:rPr>
                <w:sz w:val="20"/>
                <w:szCs w:val="20"/>
                <w:lang w:val="en-GB"/>
              </w:rPr>
            </w:pPr>
            <w:r w:rsidRPr="006C550F">
              <w:rPr>
                <w:b/>
                <w:sz w:val="20"/>
                <w:szCs w:val="20"/>
                <w:lang w:val="en-GB"/>
              </w:rPr>
              <w:t>Bulbs and onion like crops (2 x 0.902 kg a.s./ha, BBCH 14–49)</w:t>
            </w:r>
          </w:p>
        </w:tc>
      </w:tr>
      <w:tr w:rsidR="00592413" w:rsidRPr="006C550F" w14:paraId="180D3F31" w14:textId="77777777" w:rsidTr="006C550F">
        <w:trPr>
          <w:cantSplit/>
        </w:trPr>
        <w:tc>
          <w:tcPr>
            <w:tcW w:w="894" w:type="pct"/>
            <w:gridSpan w:val="3"/>
            <w:tcBorders>
              <w:bottom w:val="single" w:sz="4" w:space="0" w:color="auto"/>
            </w:tcBorders>
            <w:shd w:val="clear" w:color="auto" w:fill="BDD6EE" w:themeFill="accent5" w:themeFillTint="66"/>
            <w:vAlign w:val="center"/>
          </w:tcPr>
          <w:p w14:paraId="04CE5874" w14:textId="32275DAC" w:rsidR="00592413" w:rsidRPr="006C550F" w:rsidRDefault="00592413" w:rsidP="00D27A7B">
            <w:pPr>
              <w:jc w:val="center"/>
              <w:rPr>
                <w:sz w:val="20"/>
                <w:szCs w:val="20"/>
              </w:rPr>
            </w:pPr>
            <w:r w:rsidRPr="006C550F">
              <w:rPr>
                <w:sz w:val="20"/>
                <w:szCs w:val="20"/>
              </w:rPr>
              <w:t>BBCH 10-19</w:t>
            </w:r>
          </w:p>
        </w:tc>
        <w:tc>
          <w:tcPr>
            <w:tcW w:w="1696" w:type="pct"/>
            <w:gridSpan w:val="2"/>
            <w:tcBorders>
              <w:bottom w:val="single" w:sz="4" w:space="0" w:color="auto"/>
            </w:tcBorders>
            <w:shd w:val="clear" w:color="auto" w:fill="BDD6EE" w:themeFill="accent5" w:themeFillTint="66"/>
            <w:vAlign w:val="center"/>
          </w:tcPr>
          <w:p w14:paraId="7B241315" w14:textId="2B41667A" w:rsidR="00592413" w:rsidRPr="006C550F" w:rsidRDefault="00592413" w:rsidP="00D27A7B">
            <w:pPr>
              <w:jc w:val="center"/>
              <w:rPr>
                <w:sz w:val="20"/>
                <w:szCs w:val="20"/>
                <w:lang w:val="en-GB"/>
              </w:rPr>
            </w:pPr>
            <w:r w:rsidRPr="006C550F">
              <w:rPr>
                <w:sz w:val="20"/>
                <w:szCs w:val="20"/>
                <w:lang w:val="en-GB"/>
              </w:rPr>
              <w:t>Small insectivorous mammal “shrew”</w:t>
            </w:r>
          </w:p>
        </w:tc>
        <w:tc>
          <w:tcPr>
            <w:tcW w:w="528" w:type="pct"/>
            <w:gridSpan w:val="2"/>
            <w:vMerge w:val="restart"/>
            <w:shd w:val="clear" w:color="auto" w:fill="BDD6EE" w:themeFill="accent5" w:themeFillTint="66"/>
            <w:vAlign w:val="center"/>
          </w:tcPr>
          <w:p w14:paraId="31FD0EA1" w14:textId="3E6CF7A4" w:rsidR="00592413" w:rsidRPr="006C550F" w:rsidRDefault="00592413" w:rsidP="00D27A7B">
            <w:pPr>
              <w:jc w:val="center"/>
              <w:rPr>
                <w:sz w:val="20"/>
                <w:szCs w:val="20"/>
                <w:lang w:val="en-GB"/>
              </w:rPr>
            </w:pPr>
            <w:r w:rsidRPr="006C550F">
              <w:rPr>
                <w:sz w:val="20"/>
                <w:szCs w:val="20"/>
                <w:lang w:val="en-GB"/>
              </w:rPr>
              <w:t>0.902</w:t>
            </w:r>
          </w:p>
        </w:tc>
        <w:tc>
          <w:tcPr>
            <w:tcW w:w="354" w:type="pct"/>
            <w:gridSpan w:val="2"/>
            <w:tcBorders>
              <w:bottom w:val="single" w:sz="4" w:space="0" w:color="auto"/>
            </w:tcBorders>
            <w:shd w:val="clear" w:color="auto" w:fill="BDD6EE" w:themeFill="accent5" w:themeFillTint="66"/>
            <w:vAlign w:val="center"/>
          </w:tcPr>
          <w:p w14:paraId="54271605" w14:textId="382F3CE0" w:rsidR="00592413" w:rsidRPr="006C550F" w:rsidRDefault="00F03DE2" w:rsidP="00D27A7B">
            <w:pPr>
              <w:jc w:val="center"/>
              <w:rPr>
                <w:sz w:val="20"/>
                <w:szCs w:val="20"/>
                <w:lang w:val="en-GB"/>
              </w:rPr>
            </w:pPr>
            <w:r w:rsidRPr="006C550F">
              <w:rPr>
                <w:sz w:val="20"/>
                <w:szCs w:val="20"/>
                <w:lang w:val="en-GB"/>
              </w:rPr>
              <w:t>7.6</w:t>
            </w:r>
          </w:p>
        </w:tc>
        <w:tc>
          <w:tcPr>
            <w:tcW w:w="394" w:type="pct"/>
            <w:gridSpan w:val="2"/>
            <w:vMerge w:val="restart"/>
            <w:shd w:val="clear" w:color="auto" w:fill="BDD6EE" w:themeFill="accent5" w:themeFillTint="66"/>
            <w:vAlign w:val="center"/>
          </w:tcPr>
          <w:p w14:paraId="7A84AE5B" w14:textId="64D3AB4C" w:rsidR="00592413" w:rsidRPr="006C550F" w:rsidRDefault="00E95520" w:rsidP="00D27A7B">
            <w:pPr>
              <w:jc w:val="center"/>
              <w:rPr>
                <w:sz w:val="20"/>
                <w:szCs w:val="20"/>
                <w:lang w:val="en-GB"/>
              </w:rPr>
            </w:pPr>
            <w:r w:rsidRPr="006C550F">
              <w:rPr>
                <w:sz w:val="20"/>
                <w:szCs w:val="20"/>
                <w:lang w:val="en-GB"/>
              </w:rPr>
              <w:t>1.5</w:t>
            </w:r>
          </w:p>
        </w:tc>
        <w:tc>
          <w:tcPr>
            <w:tcW w:w="66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F21D284" w14:textId="068BEEF1" w:rsidR="00592413" w:rsidRPr="006C550F" w:rsidRDefault="005107FA" w:rsidP="00D27A7B">
            <w:pPr>
              <w:jc w:val="center"/>
              <w:rPr>
                <w:sz w:val="20"/>
                <w:szCs w:val="20"/>
                <w:lang w:val="en-GB"/>
              </w:rPr>
            </w:pPr>
            <w:r w:rsidRPr="006C550F">
              <w:rPr>
                <w:sz w:val="20"/>
                <w:szCs w:val="20"/>
                <w:lang w:val="en-GB"/>
              </w:rPr>
              <w:t>10.28</w:t>
            </w:r>
          </w:p>
        </w:tc>
        <w:tc>
          <w:tcPr>
            <w:tcW w:w="468"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5F95FCB9" w14:textId="1EF15938" w:rsidR="00592413" w:rsidRPr="006C550F" w:rsidRDefault="001B3911" w:rsidP="00D27A7B">
            <w:pPr>
              <w:jc w:val="center"/>
              <w:rPr>
                <w:sz w:val="20"/>
                <w:szCs w:val="20"/>
                <w:lang w:val="en-GB"/>
              </w:rPr>
            </w:pPr>
            <w:r w:rsidRPr="006C550F">
              <w:rPr>
                <w:sz w:val="20"/>
                <w:szCs w:val="20"/>
                <w:lang w:val="en-GB"/>
              </w:rPr>
              <w:t>129.4</w:t>
            </w:r>
          </w:p>
        </w:tc>
      </w:tr>
      <w:tr w:rsidR="00592413" w:rsidRPr="006C550F" w14:paraId="18269C0D" w14:textId="77777777" w:rsidTr="006C550F">
        <w:trPr>
          <w:cantSplit/>
        </w:trPr>
        <w:tc>
          <w:tcPr>
            <w:tcW w:w="894" w:type="pct"/>
            <w:gridSpan w:val="3"/>
            <w:tcBorders>
              <w:top w:val="single" w:sz="4" w:space="0" w:color="auto"/>
              <w:bottom w:val="single" w:sz="4" w:space="0" w:color="auto"/>
              <w:right w:val="single" w:sz="4" w:space="0" w:color="auto"/>
            </w:tcBorders>
            <w:shd w:val="clear" w:color="auto" w:fill="BDD6EE" w:themeFill="accent5" w:themeFillTint="66"/>
            <w:vAlign w:val="center"/>
          </w:tcPr>
          <w:p w14:paraId="3356823E" w14:textId="07052BBE" w:rsidR="00592413" w:rsidRPr="006C550F" w:rsidRDefault="00592413" w:rsidP="00D27A7B">
            <w:pPr>
              <w:jc w:val="center"/>
              <w:rPr>
                <w:sz w:val="20"/>
                <w:szCs w:val="20"/>
              </w:rPr>
            </w:pPr>
            <w:r w:rsidRPr="006C550F">
              <w:rPr>
                <w:sz w:val="20"/>
                <w:szCs w:val="20"/>
              </w:rPr>
              <w:t>BBCH ≥20</w:t>
            </w:r>
          </w:p>
        </w:tc>
        <w:tc>
          <w:tcPr>
            <w:tcW w:w="1696" w:type="pct"/>
            <w:gridSpan w:val="2"/>
            <w:tcBorders>
              <w:top w:val="single" w:sz="4" w:space="0" w:color="auto"/>
              <w:left w:val="single" w:sz="4" w:space="0" w:color="auto"/>
              <w:bottom w:val="single" w:sz="4" w:space="0" w:color="auto"/>
            </w:tcBorders>
            <w:shd w:val="clear" w:color="auto" w:fill="BDD6EE" w:themeFill="accent5" w:themeFillTint="66"/>
            <w:vAlign w:val="center"/>
          </w:tcPr>
          <w:p w14:paraId="18CF457D" w14:textId="6C6BCE32" w:rsidR="00592413" w:rsidRPr="006C550F" w:rsidRDefault="00592413" w:rsidP="00D27A7B">
            <w:pPr>
              <w:jc w:val="center"/>
              <w:rPr>
                <w:sz w:val="20"/>
                <w:szCs w:val="20"/>
                <w:lang w:val="en-GB"/>
              </w:rPr>
            </w:pPr>
            <w:r w:rsidRPr="006C550F">
              <w:rPr>
                <w:sz w:val="20"/>
                <w:szCs w:val="20"/>
                <w:lang w:val="en-GB"/>
              </w:rPr>
              <w:t>Small insectivorous mammal “shrew”</w:t>
            </w:r>
          </w:p>
        </w:tc>
        <w:tc>
          <w:tcPr>
            <w:tcW w:w="528" w:type="pct"/>
            <w:gridSpan w:val="2"/>
            <w:vMerge/>
            <w:shd w:val="clear" w:color="auto" w:fill="BDD6EE" w:themeFill="accent5" w:themeFillTint="66"/>
            <w:vAlign w:val="center"/>
          </w:tcPr>
          <w:p w14:paraId="62A99264" w14:textId="77777777" w:rsidR="00592413" w:rsidRPr="006C550F" w:rsidRDefault="00592413" w:rsidP="00D27A7B">
            <w:pPr>
              <w:jc w:val="center"/>
              <w:rPr>
                <w:sz w:val="20"/>
                <w:szCs w:val="20"/>
                <w:lang w:val="en-GB"/>
              </w:rPr>
            </w:pPr>
          </w:p>
        </w:tc>
        <w:tc>
          <w:tcPr>
            <w:tcW w:w="354" w:type="pct"/>
            <w:gridSpan w:val="2"/>
            <w:tcBorders>
              <w:top w:val="single" w:sz="4" w:space="0" w:color="auto"/>
              <w:bottom w:val="single" w:sz="4" w:space="0" w:color="auto"/>
            </w:tcBorders>
            <w:shd w:val="clear" w:color="auto" w:fill="BDD6EE" w:themeFill="accent5" w:themeFillTint="66"/>
            <w:vAlign w:val="center"/>
          </w:tcPr>
          <w:p w14:paraId="1E61F932" w14:textId="22715BA4" w:rsidR="00592413" w:rsidRPr="006C550F" w:rsidRDefault="004B70D8" w:rsidP="00D27A7B">
            <w:pPr>
              <w:jc w:val="center"/>
              <w:rPr>
                <w:sz w:val="20"/>
                <w:szCs w:val="20"/>
                <w:lang w:val="en-GB"/>
              </w:rPr>
            </w:pPr>
            <w:r w:rsidRPr="006C550F">
              <w:rPr>
                <w:sz w:val="20"/>
                <w:szCs w:val="20"/>
                <w:lang w:val="en-GB"/>
              </w:rPr>
              <w:t>5.4</w:t>
            </w:r>
          </w:p>
        </w:tc>
        <w:tc>
          <w:tcPr>
            <w:tcW w:w="394" w:type="pct"/>
            <w:gridSpan w:val="2"/>
            <w:vMerge/>
            <w:shd w:val="clear" w:color="auto" w:fill="BDD6EE" w:themeFill="accent5" w:themeFillTint="66"/>
            <w:vAlign w:val="center"/>
          </w:tcPr>
          <w:p w14:paraId="2FA1B819" w14:textId="77777777" w:rsidR="00592413" w:rsidRPr="006C550F" w:rsidRDefault="00592413" w:rsidP="00D27A7B">
            <w:pPr>
              <w:jc w:val="center"/>
              <w:rPr>
                <w:sz w:val="20"/>
                <w:szCs w:val="20"/>
                <w:lang w:val="en-GB"/>
              </w:rPr>
            </w:pPr>
          </w:p>
        </w:tc>
        <w:tc>
          <w:tcPr>
            <w:tcW w:w="666" w:type="pct"/>
            <w:tcBorders>
              <w:top w:val="single" w:sz="4" w:space="0" w:color="auto"/>
              <w:bottom w:val="single" w:sz="4" w:space="0" w:color="auto"/>
              <w:right w:val="single" w:sz="4" w:space="0" w:color="auto"/>
            </w:tcBorders>
            <w:shd w:val="clear" w:color="auto" w:fill="BDD6EE" w:themeFill="accent5" w:themeFillTint="66"/>
            <w:vAlign w:val="center"/>
          </w:tcPr>
          <w:p w14:paraId="6A20751D" w14:textId="65AF7D93" w:rsidR="00592413" w:rsidRPr="006C550F" w:rsidRDefault="005107FA" w:rsidP="00D27A7B">
            <w:pPr>
              <w:jc w:val="center"/>
              <w:rPr>
                <w:sz w:val="20"/>
                <w:szCs w:val="20"/>
                <w:lang w:val="en-GB"/>
              </w:rPr>
            </w:pPr>
            <w:r w:rsidRPr="006C550F">
              <w:rPr>
                <w:sz w:val="20"/>
                <w:szCs w:val="20"/>
                <w:lang w:val="en-GB"/>
              </w:rPr>
              <w:t>7.31</w:t>
            </w:r>
          </w:p>
        </w:tc>
        <w:tc>
          <w:tcPr>
            <w:tcW w:w="468"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A39D829" w14:textId="09AD3C68" w:rsidR="00592413" w:rsidRPr="006C550F" w:rsidRDefault="0055285C" w:rsidP="00D27A7B">
            <w:pPr>
              <w:jc w:val="center"/>
              <w:rPr>
                <w:sz w:val="20"/>
                <w:szCs w:val="20"/>
                <w:lang w:val="en-GB"/>
              </w:rPr>
            </w:pPr>
            <w:r w:rsidRPr="006C550F">
              <w:rPr>
                <w:sz w:val="20"/>
                <w:szCs w:val="20"/>
                <w:lang w:val="en-GB"/>
              </w:rPr>
              <w:t>181.9</w:t>
            </w:r>
          </w:p>
        </w:tc>
      </w:tr>
      <w:tr w:rsidR="00592413" w:rsidRPr="006C550F" w14:paraId="4DEFB111" w14:textId="77777777" w:rsidTr="006C550F">
        <w:trPr>
          <w:cantSplit/>
        </w:trPr>
        <w:tc>
          <w:tcPr>
            <w:tcW w:w="894" w:type="pct"/>
            <w:gridSpan w:val="3"/>
            <w:tcBorders>
              <w:top w:val="single" w:sz="4" w:space="0" w:color="auto"/>
              <w:bottom w:val="single" w:sz="4" w:space="0" w:color="auto"/>
            </w:tcBorders>
            <w:shd w:val="clear" w:color="auto" w:fill="BDD6EE" w:themeFill="accent5" w:themeFillTint="66"/>
            <w:vAlign w:val="center"/>
          </w:tcPr>
          <w:p w14:paraId="76A6AD77" w14:textId="7ED23A83" w:rsidR="00592413" w:rsidRPr="006C550F" w:rsidRDefault="00592413" w:rsidP="00D27A7B">
            <w:pPr>
              <w:jc w:val="center"/>
              <w:rPr>
                <w:sz w:val="20"/>
                <w:szCs w:val="20"/>
              </w:rPr>
            </w:pPr>
            <w:r w:rsidRPr="006C550F">
              <w:rPr>
                <w:sz w:val="20"/>
                <w:szCs w:val="20"/>
              </w:rPr>
              <w:t>BBCH ≥40</w:t>
            </w:r>
          </w:p>
        </w:tc>
        <w:tc>
          <w:tcPr>
            <w:tcW w:w="1696" w:type="pct"/>
            <w:gridSpan w:val="2"/>
            <w:tcBorders>
              <w:top w:val="single" w:sz="4" w:space="0" w:color="auto"/>
              <w:bottom w:val="single" w:sz="4" w:space="0" w:color="auto"/>
            </w:tcBorders>
            <w:shd w:val="clear" w:color="auto" w:fill="BDD6EE" w:themeFill="accent5" w:themeFillTint="66"/>
            <w:vAlign w:val="center"/>
          </w:tcPr>
          <w:p w14:paraId="73599B53" w14:textId="621BB896" w:rsidR="00592413" w:rsidRPr="006C550F" w:rsidRDefault="00592413" w:rsidP="00D27A7B">
            <w:pPr>
              <w:jc w:val="center"/>
              <w:rPr>
                <w:sz w:val="20"/>
                <w:szCs w:val="20"/>
                <w:lang w:val="en-GB"/>
              </w:rPr>
            </w:pPr>
            <w:r w:rsidRPr="006C550F">
              <w:rPr>
                <w:sz w:val="20"/>
                <w:szCs w:val="20"/>
                <w:lang w:val="en-GB"/>
              </w:rPr>
              <w:t>Small herbivorous mammal “vole”</w:t>
            </w:r>
          </w:p>
        </w:tc>
        <w:tc>
          <w:tcPr>
            <w:tcW w:w="528" w:type="pct"/>
            <w:gridSpan w:val="2"/>
            <w:vMerge/>
            <w:shd w:val="clear" w:color="auto" w:fill="BDD6EE" w:themeFill="accent5" w:themeFillTint="66"/>
            <w:vAlign w:val="center"/>
          </w:tcPr>
          <w:p w14:paraId="4FA8AAF9" w14:textId="77777777" w:rsidR="00592413" w:rsidRPr="006C550F" w:rsidRDefault="00592413" w:rsidP="00D27A7B">
            <w:pPr>
              <w:jc w:val="center"/>
              <w:rPr>
                <w:sz w:val="20"/>
                <w:szCs w:val="20"/>
                <w:lang w:val="en-GB"/>
              </w:rPr>
            </w:pPr>
          </w:p>
        </w:tc>
        <w:tc>
          <w:tcPr>
            <w:tcW w:w="354" w:type="pct"/>
            <w:gridSpan w:val="2"/>
            <w:tcBorders>
              <w:top w:val="single" w:sz="4" w:space="0" w:color="auto"/>
              <w:bottom w:val="single" w:sz="4" w:space="0" w:color="auto"/>
            </w:tcBorders>
            <w:shd w:val="clear" w:color="auto" w:fill="BDD6EE" w:themeFill="accent5" w:themeFillTint="66"/>
            <w:vAlign w:val="center"/>
          </w:tcPr>
          <w:p w14:paraId="14B3FAFC" w14:textId="46ACE883" w:rsidR="00592413" w:rsidRPr="006C550F" w:rsidRDefault="004B70D8" w:rsidP="00D27A7B">
            <w:pPr>
              <w:jc w:val="center"/>
              <w:rPr>
                <w:sz w:val="20"/>
                <w:szCs w:val="20"/>
                <w:lang w:val="en-GB"/>
              </w:rPr>
            </w:pPr>
            <w:r w:rsidRPr="006C550F">
              <w:rPr>
                <w:sz w:val="20"/>
                <w:szCs w:val="20"/>
                <w:lang w:val="en-GB"/>
              </w:rPr>
              <w:t>81.9</w:t>
            </w:r>
          </w:p>
        </w:tc>
        <w:tc>
          <w:tcPr>
            <w:tcW w:w="394" w:type="pct"/>
            <w:gridSpan w:val="2"/>
            <w:vMerge/>
            <w:shd w:val="clear" w:color="auto" w:fill="BDD6EE" w:themeFill="accent5" w:themeFillTint="66"/>
            <w:vAlign w:val="center"/>
          </w:tcPr>
          <w:p w14:paraId="57B057EF" w14:textId="77777777" w:rsidR="00592413" w:rsidRPr="006C550F" w:rsidRDefault="00592413"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32A431E" w14:textId="23B4FE0E" w:rsidR="00592413" w:rsidRPr="006C550F" w:rsidRDefault="0012471F" w:rsidP="00D27A7B">
            <w:pPr>
              <w:jc w:val="center"/>
              <w:rPr>
                <w:sz w:val="20"/>
                <w:szCs w:val="20"/>
                <w:lang w:val="en-GB"/>
              </w:rPr>
            </w:pPr>
            <w:r w:rsidRPr="006C550F">
              <w:rPr>
                <w:sz w:val="20"/>
                <w:szCs w:val="20"/>
                <w:lang w:val="en-GB"/>
              </w:rPr>
              <w:t>110.81</w:t>
            </w:r>
          </w:p>
        </w:tc>
        <w:tc>
          <w:tcPr>
            <w:tcW w:w="468"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275DA0D4" w14:textId="625A7374" w:rsidR="00592413" w:rsidRPr="006C550F" w:rsidRDefault="0055285C" w:rsidP="00D27A7B">
            <w:pPr>
              <w:jc w:val="center"/>
              <w:rPr>
                <w:sz w:val="20"/>
                <w:szCs w:val="20"/>
                <w:lang w:val="en-GB"/>
              </w:rPr>
            </w:pPr>
            <w:r w:rsidRPr="006C550F">
              <w:rPr>
                <w:sz w:val="20"/>
                <w:szCs w:val="20"/>
                <w:lang w:val="en-GB"/>
              </w:rPr>
              <w:t>12.0</w:t>
            </w:r>
          </w:p>
        </w:tc>
      </w:tr>
      <w:tr w:rsidR="00592413" w:rsidRPr="006C550F" w14:paraId="67E2B3AA" w14:textId="77777777" w:rsidTr="006C550F">
        <w:trPr>
          <w:cantSplit/>
        </w:trPr>
        <w:tc>
          <w:tcPr>
            <w:tcW w:w="894" w:type="pct"/>
            <w:gridSpan w:val="3"/>
            <w:tcBorders>
              <w:top w:val="single" w:sz="4" w:space="0" w:color="auto"/>
              <w:bottom w:val="single" w:sz="4" w:space="0" w:color="auto"/>
            </w:tcBorders>
            <w:shd w:val="clear" w:color="auto" w:fill="BDD6EE" w:themeFill="accent5" w:themeFillTint="66"/>
            <w:vAlign w:val="center"/>
          </w:tcPr>
          <w:p w14:paraId="769F1B3B" w14:textId="5C853C37" w:rsidR="00592413" w:rsidRPr="006C550F" w:rsidRDefault="00592413" w:rsidP="00D27A7B">
            <w:pPr>
              <w:jc w:val="center"/>
              <w:rPr>
                <w:sz w:val="20"/>
                <w:szCs w:val="20"/>
              </w:rPr>
            </w:pPr>
            <w:r w:rsidRPr="006C550F">
              <w:rPr>
                <w:sz w:val="20"/>
                <w:szCs w:val="20"/>
              </w:rPr>
              <w:t>BBCH 10-39</w:t>
            </w:r>
          </w:p>
        </w:tc>
        <w:tc>
          <w:tcPr>
            <w:tcW w:w="1696" w:type="pct"/>
            <w:gridSpan w:val="2"/>
            <w:tcBorders>
              <w:top w:val="single" w:sz="4" w:space="0" w:color="auto"/>
              <w:bottom w:val="single" w:sz="4" w:space="0" w:color="auto"/>
            </w:tcBorders>
            <w:shd w:val="clear" w:color="auto" w:fill="BDD6EE" w:themeFill="accent5" w:themeFillTint="66"/>
            <w:vAlign w:val="center"/>
          </w:tcPr>
          <w:p w14:paraId="50E48BD0" w14:textId="7E63EF21" w:rsidR="00592413" w:rsidRPr="006C550F" w:rsidRDefault="00592413" w:rsidP="00D27A7B">
            <w:pPr>
              <w:jc w:val="center"/>
              <w:rPr>
                <w:sz w:val="20"/>
                <w:szCs w:val="20"/>
                <w:lang w:val="en-GB"/>
              </w:rPr>
            </w:pPr>
            <w:r w:rsidRPr="006C550F">
              <w:rPr>
                <w:sz w:val="20"/>
                <w:szCs w:val="20"/>
                <w:lang w:val="en-GB"/>
              </w:rPr>
              <w:t>Small omnivorous mammal “mouse”</w:t>
            </w:r>
          </w:p>
        </w:tc>
        <w:tc>
          <w:tcPr>
            <w:tcW w:w="528" w:type="pct"/>
            <w:gridSpan w:val="2"/>
            <w:vMerge/>
            <w:shd w:val="clear" w:color="auto" w:fill="BDD6EE" w:themeFill="accent5" w:themeFillTint="66"/>
            <w:vAlign w:val="center"/>
          </w:tcPr>
          <w:p w14:paraId="6AD47B42" w14:textId="77777777" w:rsidR="00592413" w:rsidRPr="006C550F" w:rsidRDefault="00592413" w:rsidP="00D27A7B">
            <w:pPr>
              <w:jc w:val="center"/>
              <w:rPr>
                <w:sz w:val="20"/>
                <w:szCs w:val="20"/>
                <w:lang w:val="en-GB"/>
              </w:rPr>
            </w:pPr>
          </w:p>
        </w:tc>
        <w:tc>
          <w:tcPr>
            <w:tcW w:w="354" w:type="pct"/>
            <w:gridSpan w:val="2"/>
            <w:tcBorders>
              <w:top w:val="single" w:sz="4" w:space="0" w:color="auto"/>
              <w:bottom w:val="single" w:sz="4" w:space="0" w:color="auto"/>
            </w:tcBorders>
            <w:shd w:val="clear" w:color="auto" w:fill="BDD6EE" w:themeFill="accent5" w:themeFillTint="66"/>
            <w:vAlign w:val="center"/>
          </w:tcPr>
          <w:p w14:paraId="748984DD" w14:textId="479160C7" w:rsidR="00592413" w:rsidRPr="006C550F" w:rsidRDefault="007D00D6" w:rsidP="00D27A7B">
            <w:pPr>
              <w:jc w:val="center"/>
              <w:rPr>
                <w:sz w:val="20"/>
                <w:szCs w:val="20"/>
                <w:lang w:val="en-GB"/>
              </w:rPr>
            </w:pPr>
            <w:r w:rsidRPr="006C550F">
              <w:rPr>
                <w:sz w:val="20"/>
                <w:szCs w:val="20"/>
                <w:lang w:val="en-GB"/>
              </w:rPr>
              <w:t>17.2</w:t>
            </w:r>
          </w:p>
        </w:tc>
        <w:tc>
          <w:tcPr>
            <w:tcW w:w="394" w:type="pct"/>
            <w:gridSpan w:val="2"/>
            <w:vMerge/>
            <w:shd w:val="clear" w:color="auto" w:fill="BDD6EE" w:themeFill="accent5" w:themeFillTint="66"/>
            <w:vAlign w:val="center"/>
          </w:tcPr>
          <w:p w14:paraId="5ABB1615" w14:textId="77777777" w:rsidR="00592413" w:rsidRPr="006C550F" w:rsidRDefault="00592413"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64B10F3" w14:textId="5BBCA10D" w:rsidR="00592413" w:rsidRPr="006C550F" w:rsidRDefault="00DB4A84" w:rsidP="00D27A7B">
            <w:pPr>
              <w:jc w:val="center"/>
              <w:rPr>
                <w:sz w:val="20"/>
                <w:szCs w:val="20"/>
                <w:lang w:val="en-GB"/>
              </w:rPr>
            </w:pPr>
            <w:r w:rsidRPr="006C550F">
              <w:rPr>
                <w:sz w:val="20"/>
                <w:szCs w:val="20"/>
                <w:lang w:val="en-GB"/>
              </w:rPr>
              <w:t>23.27</w:t>
            </w:r>
          </w:p>
        </w:tc>
        <w:tc>
          <w:tcPr>
            <w:tcW w:w="468"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18D614A5" w14:textId="6AA79CE1" w:rsidR="00592413" w:rsidRPr="006C550F" w:rsidRDefault="00B50754" w:rsidP="00D27A7B">
            <w:pPr>
              <w:jc w:val="center"/>
              <w:rPr>
                <w:sz w:val="20"/>
                <w:szCs w:val="20"/>
                <w:lang w:val="en-GB"/>
              </w:rPr>
            </w:pPr>
            <w:r w:rsidRPr="006C550F">
              <w:rPr>
                <w:sz w:val="20"/>
                <w:szCs w:val="20"/>
                <w:lang w:val="en-GB"/>
              </w:rPr>
              <w:t>57.1</w:t>
            </w:r>
          </w:p>
        </w:tc>
      </w:tr>
      <w:tr w:rsidR="00592413" w:rsidRPr="006C5A12" w14:paraId="27FA8B81" w14:textId="77777777" w:rsidTr="006C550F">
        <w:trPr>
          <w:cantSplit/>
        </w:trPr>
        <w:tc>
          <w:tcPr>
            <w:tcW w:w="894" w:type="pct"/>
            <w:gridSpan w:val="3"/>
            <w:tcBorders>
              <w:top w:val="single" w:sz="4" w:space="0" w:color="auto"/>
              <w:bottom w:val="single" w:sz="4" w:space="0" w:color="auto"/>
            </w:tcBorders>
            <w:shd w:val="clear" w:color="auto" w:fill="BDD6EE" w:themeFill="accent5" w:themeFillTint="66"/>
            <w:vAlign w:val="center"/>
          </w:tcPr>
          <w:p w14:paraId="4FCAD18F" w14:textId="5AD9CD6E" w:rsidR="00592413" w:rsidRPr="006C550F" w:rsidRDefault="00592413" w:rsidP="00D27A7B">
            <w:pPr>
              <w:jc w:val="center"/>
              <w:rPr>
                <w:sz w:val="20"/>
                <w:szCs w:val="20"/>
              </w:rPr>
            </w:pPr>
            <w:r w:rsidRPr="006C550F">
              <w:rPr>
                <w:sz w:val="20"/>
                <w:szCs w:val="20"/>
              </w:rPr>
              <w:t>BBCH ≥40</w:t>
            </w:r>
          </w:p>
        </w:tc>
        <w:tc>
          <w:tcPr>
            <w:tcW w:w="1696" w:type="pct"/>
            <w:gridSpan w:val="2"/>
            <w:tcBorders>
              <w:top w:val="single" w:sz="4" w:space="0" w:color="auto"/>
              <w:bottom w:val="single" w:sz="4" w:space="0" w:color="auto"/>
            </w:tcBorders>
            <w:shd w:val="clear" w:color="auto" w:fill="BDD6EE" w:themeFill="accent5" w:themeFillTint="66"/>
            <w:vAlign w:val="center"/>
          </w:tcPr>
          <w:p w14:paraId="32D6347D" w14:textId="70AAEC52" w:rsidR="00592413" w:rsidRPr="006C550F" w:rsidRDefault="00592413" w:rsidP="00D27A7B">
            <w:pPr>
              <w:jc w:val="center"/>
              <w:rPr>
                <w:sz w:val="20"/>
                <w:szCs w:val="20"/>
                <w:lang w:val="en-GB"/>
              </w:rPr>
            </w:pPr>
            <w:r w:rsidRPr="006C550F">
              <w:rPr>
                <w:sz w:val="20"/>
                <w:szCs w:val="20"/>
                <w:lang w:val="en-GB"/>
              </w:rPr>
              <w:t>Small omnivorous mammal “mouse”</w:t>
            </w:r>
          </w:p>
        </w:tc>
        <w:tc>
          <w:tcPr>
            <w:tcW w:w="528" w:type="pct"/>
            <w:gridSpan w:val="2"/>
            <w:vMerge/>
            <w:tcBorders>
              <w:bottom w:val="single" w:sz="4" w:space="0" w:color="auto"/>
            </w:tcBorders>
            <w:shd w:val="clear" w:color="auto" w:fill="BDD6EE" w:themeFill="accent5" w:themeFillTint="66"/>
            <w:vAlign w:val="center"/>
          </w:tcPr>
          <w:p w14:paraId="5EA87B92" w14:textId="77777777" w:rsidR="00592413" w:rsidRPr="006C550F" w:rsidRDefault="00592413" w:rsidP="00D27A7B">
            <w:pPr>
              <w:jc w:val="center"/>
              <w:rPr>
                <w:sz w:val="20"/>
                <w:szCs w:val="20"/>
                <w:lang w:val="en-GB"/>
              </w:rPr>
            </w:pPr>
          </w:p>
        </w:tc>
        <w:tc>
          <w:tcPr>
            <w:tcW w:w="354" w:type="pct"/>
            <w:gridSpan w:val="2"/>
            <w:tcBorders>
              <w:top w:val="single" w:sz="4" w:space="0" w:color="auto"/>
              <w:bottom w:val="single" w:sz="4" w:space="0" w:color="auto"/>
            </w:tcBorders>
            <w:shd w:val="clear" w:color="auto" w:fill="BDD6EE" w:themeFill="accent5" w:themeFillTint="66"/>
            <w:vAlign w:val="center"/>
          </w:tcPr>
          <w:p w14:paraId="009979EB" w14:textId="3FDB4A18" w:rsidR="00592413" w:rsidRPr="006C550F" w:rsidRDefault="007D00D6" w:rsidP="00D27A7B">
            <w:pPr>
              <w:jc w:val="center"/>
              <w:rPr>
                <w:sz w:val="20"/>
                <w:szCs w:val="20"/>
                <w:lang w:val="en-GB"/>
              </w:rPr>
            </w:pPr>
            <w:r w:rsidRPr="006C550F">
              <w:rPr>
                <w:sz w:val="20"/>
                <w:szCs w:val="20"/>
                <w:lang w:val="en-GB"/>
              </w:rPr>
              <w:t>10.3</w:t>
            </w:r>
          </w:p>
        </w:tc>
        <w:tc>
          <w:tcPr>
            <w:tcW w:w="394" w:type="pct"/>
            <w:gridSpan w:val="2"/>
            <w:vMerge/>
            <w:tcBorders>
              <w:bottom w:val="single" w:sz="4" w:space="0" w:color="auto"/>
            </w:tcBorders>
            <w:shd w:val="clear" w:color="auto" w:fill="BDD6EE" w:themeFill="accent5" w:themeFillTint="66"/>
            <w:vAlign w:val="center"/>
          </w:tcPr>
          <w:p w14:paraId="1AE6D2BD" w14:textId="77777777" w:rsidR="00592413" w:rsidRPr="006C550F" w:rsidRDefault="00592413"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42F5024" w14:textId="4CDD0569" w:rsidR="00592413" w:rsidRPr="006C550F" w:rsidRDefault="00DB4A84" w:rsidP="00D27A7B">
            <w:pPr>
              <w:jc w:val="center"/>
              <w:rPr>
                <w:sz w:val="20"/>
                <w:szCs w:val="20"/>
                <w:lang w:val="en-GB"/>
              </w:rPr>
            </w:pPr>
            <w:r w:rsidRPr="006C550F">
              <w:rPr>
                <w:sz w:val="20"/>
                <w:szCs w:val="20"/>
                <w:lang w:val="en-GB"/>
              </w:rPr>
              <w:t>13.94</w:t>
            </w:r>
          </w:p>
        </w:tc>
        <w:tc>
          <w:tcPr>
            <w:tcW w:w="468"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46222BE3" w14:textId="02637346" w:rsidR="00592413" w:rsidRPr="006C550F" w:rsidRDefault="00B50754" w:rsidP="00D27A7B">
            <w:pPr>
              <w:jc w:val="center"/>
              <w:rPr>
                <w:sz w:val="20"/>
                <w:szCs w:val="20"/>
                <w:lang w:val="en-GB"/>
              </w:rPr>
            </w:pPr>
            <w:r w:rsidRPr="006C550F">
              <w:rPr>
                <w:sz w:val="20"/>
                <w:szCs w:val="20"/>
                <w:lang w:val="en-GB"/>
              </w:rPr>
              <w:t>95.41</w:t>
            </w:r>
          </w:p>
        </w:tc>
      </w:tr>
      <w:tr w:rsidR="00D27A7B" w:rsidRPr="006C5A12" w14:paraId="738A5B23" w14:textId="77777777" w:rsidTr="008B64F2">
        <w:trPr>
          <w:gridBefore w:val="1"/>
          <w:wBefore w:w="31" w:type="pct"/>
          <w:cantSplit/>
          <w:tblHeader/>
        </w:trPr>
        <w:tc>
          <w:tcPr>
            <w:tcW w:w="863" w:type="pct"/>
            <w:gridSpan w:val="2"/>
            <w:tcBorders>
              <w:right w:val="single" w:sz="4" w:space="0" w:color="auto"/>
            </w:tcBorders>
            <w:shd w:val="clear" w:color="auto" w:fill="auto"/>
            <w:vAlign w:val="center"/>
          </w:tcPr>
          <w:p w14:paraId="7D8C9C24" w14:textId="77777777" w:rsidR="00D27A7B" w:rsidRPr="006C5A12" w:rsidRDefault="00D27A7B" w:rsidP="00D27A7B">
            <w:pPr>
              <w:keepNext/>
              <w:widowControl w:val="0"/>
              <w:jc w:val="both"/>
              <w:rPr>
                <w:b/>
                <w:bCs/>
                <w:sz w:val="20"/>
                <w:szCs w:val="20"/>
                <w:lang w:val="en-GB"/>
              </w:rPr>
            </w:pPr>
            <w:r w:rsidRPr="006C5A12">
              <w:rPr>
                <w:b/>
                <w:bCs/>
                <w:sz w:val="20"/>
                <w:szCs w:val="20"/>
                <w:lang w:val="en-GB"/>
              </w:rPr>
              <w:t>Active substance</w:t>
            </w:r>
          </w:p>
        </w:tc>
        <w:tc>
          <w:tcPr>
            <w:tcW w:w="4106" w:type="pct"/>
            <w:gridSpan w:val="10"/>
            <w:tcBorders>
              <w:right w:val="single" w:sz="4" w:space="0" w:color="auto"/>
            </w:tcBorders>
            <w:shd w:val="clear" w:color="auto" w:fill="auto"/>
            <w:vAlign w:val="center"/>
          </w:tcPr>
          <w:p w14:paraId="164F194D" w14:textId="77777777" w:rsidR="00D27A7B" w:rsidRPr="006C5A12" w:rsidRDefault="00D27A7B" w:rsidP="00D27A7B">
            <w:pPr>
              <w:keepNext/>
              <w:widowControl w:val="0"/>
              <w:jc w:val="both"/>
              <w:rPr>
                <w:sz w:val="20"/>
                <w:szCs w:val="20"/>
                <w:lang w:val="en-GB"/>
              </w:rPr>
            </w:pPr>
            <w:r w:rsidRPr="006C5A12">
              <w:rPr>
                <w:sz w:val="20"/>
                <w:szCs w:val="20"/>
                <w:lang w:val="en-GB"/>
              </w:rPr>
              <w:t>Propamocarb</w:t>
            </w:r>
          </w:p>
        </w:tc>
      </w:tr>
      <w:tr w:rsidR="00D27A7B" w:rsidRPr="006C5A12" w14:paraId="7FADC71B" w14:textId="77777777" w:rsidTr="008B64F2">
        <w:trPr>
          <w:gridBefore w:val="1"/>
          <w:wBefore w:w="31" w:type="pct"/>
          <w:cantSplit/>
          <w:tblHeader/>
        </w:trPr>
        <w:tc>
          <w:tcPr>
            <w:tcW w:w="863" w:type="pct"/>
            <w:gridSpan w:val="2"/>
            <w:tcBorders>
              <w:right w:val="single" w:sz="4" w:space="0" w:color="auto"/>
            </w:tcBorders>
            <w:shd w:val="clear" w:color="auto" w:fill="auto"/>
            <w:vAlign w:val="center"/>
          </w:tcPr>
          <w:p w14:paraId="1DD74873" w14:textId="77777777" w:rsidR="00D27A7B" w:rsidRPr="006C5A12" w:rsidRDefault="00D27A7B" w:rsidP="00D27A7B">
            <w:pPr>
              <w:keepNext/>
              <w:widowControl w:val="0"/>
              <w:rPr>
                <w:b/>
                <w:bCs/>
                <w:sz w:val="20"/>
                <w:szCs w:val="20"/>
                <w:lang w:val="en-GB"/>
              </w:rPr>
            </w:pPr>
            <w:r w:rsidRPr="006C5A12">
              <w:rPr>
                <w:b/>
                <w:bCs/>
                <w:sz w:val="20"/>
                <w:szCs w:val="20"/>
                <w:lang w:val="en-GB"/>
              </w:rPr>
              <w:t xml:space="preserve">Reprod. toxicity </w:t>
            </w:r>
            <w:r w:rsidRPr="006C5A12">
              <w:rPr>
                <w:b/>
                <w:bCs/>
                <w:sz w:val="20"/>
                <w:szCs w:val="20"/>
                <w:lang w:val="en-GB"/>
              </w:rPr>
              <w:br/>
              <w:t>(mg/kg bw/d)</w:t>
            </w:r>
          </w:p>
        </w:tc>
        <w:tc>
          <w:tcPr>
            <w:tcW w:w="4106" w:type="pct"/>
            <w:gridSpan w:val="10"/>
            <w:tcBorders>
              <w:right w:val="single" w:sz="4" w:space="0" w:color="auto"/>
            </w:tcBorders>
            <w:shd w:val="clear" w:color="auto" w:fill="auto"/>
            <w:vAlign w:val="center"/>
          </w:tcPr>
          <w:p w14:paraId="67032BA2" w14:textId="77777777" w:rsidR="00D27A7B" w:rsidRPr="006C5A12" w:rsidRDefault="00D27A7B" w:rsidP="00D27A7B">
            <w:pPr>
              <w:keepNext/>
              <w:widowControl w:val="0"/>
              <w:jc w:val="both"/>
              <w:rPr>
                <w:sz w:val="20"/>
                <w:szCs w:val="20"/>
                <w:lang w:val="en-GB"/>
              </w:rPr>
            </w:pPr>
            <w:r w:rsidRPr="006C5A12">
              <w:rPr>
                <w:sz w:val="20"/>
                <w:szCs w:val="20"/>
                <w:lang w:val="en-GB"/>
              </w:rPr>
              <w:t>104</w:t>
            </w:r>
          </w:p>
        </w:tc>
      </w:tr>
      <w:tr w:rsidR="00D27A7B" w:rsidRPr="006C5A12" w14:paraId="23BD2601" w14:textId="77777777" w:rsidTr="008B64F2">
        <w:trPr>
          <w:gridBefore w:val="1"/>
          <w:wBefore w:w="31" w:type="pct"/>
          <w:cantSplit/>
          <w:tblHeader/>
        </w:trPr>
        <w:tc>
          <w:tcPr>
            <w:tcW w:w="863" w:type="pct"/>
            <w:gridSpan w:val="2"/>
            <w:tcBorders>
              <w:right w:val="single" w:sz="4" w:space="0" w:color="auto"/>
            </w:tcBorders>
            <w:shd w:val="clear" w:color="auto" w:fill="auto"/>
            <w:vAlign w:val="center"/>
          </w:tcPr>
          <w:p w14:paraId="48BC4E2B" w14:textId="77777777" w:rsidR="00D27A7B" w:rsidRPr="006C5A12" w:rsidRDefault="00D27A7B" w:rsidP="00D27A7B">
            <w:pPr>
              <w:keepNext/>
              <w:widowControl w:val="0"/>
              <w:rPr>
                <w:b/>
                <w:bCs/>
                <w:sz w:val="20"/>
                <w:szCs w:val="20"/>
                <w:lang w:val="en-GB"/>
              </w:rPr>
            </w:pPr>
            <w:r w:rsidRPr="006C5A12">
              <w:rPr>
                <w:b/>
                <w:bCs/>
                <w:sz w:val="20"/>
                <w:szCs w:val="20"/>
                <w:lang w:val="en-GB"/>
              </w:rPr>
              <w:t>TER criterion</w:t>
            </w:r>
          </w:p>
        </w:tc>
        <w:tc>
          <w:tcPr>
            <w:tcW w:w="4106" w:type="pct"/>
            <w:gridSpan w:val="10"/>
            <w:tcBorders>
              <w:right w:val="single" w:sz="4" w:space="0" w:color="auto"/>
            </w:tcBorders>
            <w:shd w:val="clear" w:color="auto" w:fill="auto"/>
            <w:vAlign w:val="center"/>
          </w:tcPr>
          <w:p w14:paraId="7B0FAF18" w14:textId="77777777" w:rsidR="00D27A7B" w:rsidRPr="006C5A12" w:rsidRDefault="00D27A7B" w:rsidP="00D27A7B">
            <w:pPr>
              <w:keepNext/>
              <w:widowControl w:val="0"/>
              <w:jc w:val="both"/>
              <w:rPr>
                <w:sz w:val="20"/>
                <w:szCs w:val="20"/>
                <w:lang w:val="en-GB"/>
              </w:rPr>
            </w:pPr>
            <w:r w:rsidRPr="006C5A12">
              <w:rPr>
                <w:sz w:val="20"/>
                <w:szCs w:val="20"/>
                <w:lang w:val="en-GB"/>
              </w:rPr>
              <w:t>5</w:t>
            </w:r>
          </w:p>
        </w:tc>
      </w:tr>
      <w:tr w:rsidR="00D27A7B" w:rsidRPr="006C5A12" w14:paraId="4BD3B284" w14:textId="77777777" w:rsidTr="00B23596">
        <w:trPr>
          <w:gridBefore w:val="1"/>
          <w:wBefore w:w="31" w:type="pct"/>
          <w:cantSplit/>
          <w:tblHeader/>
        </w:trPr>
        <w:tc>
          <w:tcPr>
            <w:tcW w:w="863" w:type="pct"/>
            <w:gridSpan w:val="2"/>
            <w:tcBorders>
              <w:bottom w:val="single" w:sz="12" w:space="0" w:color="auto"/>
            </w:tcBorders>
            <w:shd w:val="clear" w:color="auto" w:fill="auto"/>
            <w:vAlign w:val="center"/>
          </w:tcPr>
          <w:p w14:paraId="2A67B8A0" w14:textId="77777777" w:rsidR="00D27A7B" w:rsidRPr="006C5A12" w:rsidRDefault="00D27A7B" w:rsidP="00D27A7B">
            <w:pPr>
              <w:keepNext/>
              <w:widowControl w:val="0"/>
              <w:rPr>
                <w:b/>
                <w:bCs/>
                <w:sz w:val="20"/>
                <w:szCs w:val="20"/>
                <w:lang w:val="en-GB"/>
              </w:rPr>
            </w:pPr>
            <w:r w:rsidRPr="006C5A12">
              <w:rPr>
                <w:b/>
                <w:bCs/>
                <w:sz w:val="20"/>
                <w:szCs w:val="20"/>
                <w:lang w:val="en-GB"/>
              </w:rPr>
              <w:t>Growth stage</w:t>
            </w:r>
          </w:p>
        </w:tc>
        <w:tc>
          <w:tcPr>
            <w:tcW w:w="1696" w:type="pct"/>
            <w:gridSpan w:val="2"/>
            <w:tcBorders>
              <w:bottom w:val="single" w:sz="12" w:space="0" w:color="auto"/>
            </w:tcBorders>
            <w:shd w:val="clear" w:color="auto" w:fill="auto"/>
            <w:vAlign w:val="center"/>
          </w:tcPr>
          <w:p w14:paraId="682297CE" w14:textId="77777777" w:rsidR="00D27A7B" w:rsidRPr="006C5A12" w:rsidRDefault="00D27A7B" w:rsidP="00D27A7B">
            <w:pPr>
              <w:keepNext/>
              <w:widowControl w:val="0"/>
              <w:rPr>
                <w:b/>
                <w:bCs/>
                <w:sz w:val="20"/>
                <w:szCs w:val="20"/>
                <w:lang w:val="en-GB"/>
              </w:rPr>
            </w:pPr>
            <w:r w:rsidRPr="006C5A12">
              <w:rPr>
                <w:b/>
                <w:bCs/>
                <w:sz w:val="20"/>
                <w:szCs w:val="20"/>
                <w:lang w:val="en-GB"/>
              </w:rPr>
              <w:t>Generic focal species</w:t>
            </w:r>
          </w:p>
        </w:tc>
        <w:tc>
          <w:tcPr>
            <w:tcW w:w="528" w:type="pct"/>
            <w:gridSpan w:val="2"/>
            <w:tcBorders>
              <w:bottom w:val="single" w:sz="12" w:space="0" w:color="auto"/>
            </w:tcBorders>
            <w:shd w:val="clear" w:color="auto" w:fill="auto"/>
            <w:vAlign w:val="center"/>
          </w:tcPr>
          <w:p w14:paraId="1226B732" w14:textId="77777777" w:rsidR="00D27A7B" w:rsidRPr="006C5A12" w:rsidRDefault="00D27A7B" w:rsidP="00D27A7B">
            <w:pPr>
              <w:keepNext/>
              <w:widowControl w:val="0"/>
              <w:rPr>
                <w:b/>
                <w:bCs/>
                <w:sz w:val="20"/>
                <w:szCs w:val="20"/>
                <w:lang w:val="en-GB"/>
              </w:rPr>
            </w:pPr>
            <w:r w:rsidRPr="006C5A12">
              <w:rPr>
                <w:b/>
                <w:bCs/>
                <w:sz w:val="20"/>
                <w:szCs w:val="20"/>
                <w:lang w:val="en-GB"/>
              </w:rPr>
              <w:t>App. Rate</w:t>
            </w:r>
          </w:p>
          <w:p w14:paraId="724EA837" w14:textId="77777777" w:rsidR="00D27A7B" w:rsidRPr="006C5A12" w:rsidRDefault="00D27A7B" w:rsidP="00D27A7B">
            <w:pPr>
              <w:keepNext/>
              <w:widowControl w:val="0"/>
              <w:rPr>
                <w:b/>
                <w:bCs/>
                <w:sz w:val="20"/>
                <w:szCs w:val="20"/>
                <w:lang w:val="en-GB"/>
              </w:rPr>
            </w:pPr>
            <w:r w:rsidRPr="006C5A12">
              <w:rPr>
                <w:b/>
                <w:bCs/>
                <w:sz w:val="20"/>
                <w:szCs w:val="20"/>
                <w:lang w:val="en-GB"/>
              </w:rPr>
              <w:t>(kg a.s./ha)</w:t>
            </w:r>
          </w:p>
        </w:tc>
        <w:tc>
          <w:tcPr>
            <w:tcW w:w="354" w:type="pct"/>
            <w:gridSpan w:val="2"/>
            <w:tcBorders>
              <w:bottom w:val="single" w:sz="12" w:space="0" w:color="auto"/>
            </w:tcBorders>
            <w:shd w:val="clear" w:color="auto" w:fill="auto"/>
            <w:vAlign w:val="center"/>
          </w:tcPr>
          <w:p w14:paraId="4E9848E1" w14:textId="77777777" w:rsidR="00D27A7B" w:rsidRPr="006C5A12" w:rsidRDefault="00D27A7B" w:rsidP="00D27A7B">
            <w:pPr>
              <w:keepNext/>
              <w:widowControl w:val="0"/>
              <w:rPr>
                <w:b/>
                <w:bCs/>
                <w:sz w:val="20"/>
                <w:szCs w:val="20"/>
                <w:lang w:val="en-GB"/>
              </w:rPr>
            </w:pPr>
            <w:r w:rsidRPr="006C5A12">
              <w:rPr>
                <w:b/>
                <w:bCs/>
                <w:sz w:val="20"/>
                <w:szCs w:val="20"/>
                <w:lang w:val="en-GB"/>
              </w:rPr>
              <w:t>SV</w:t>
            </w:r>
            <w:r w:rsidRPr="006C5A12">
              <w:rPr>
                <w:b/>
                <w:bCs/>
                <w:sz w:val="20"/>
                <w:szCs w:val="20"/>
                <w:vertAlign w:val="subscript"/>
                <w:lang w:val="en-GB"/>
              </w:rPr>
              <w:t>m</w:t>
            </w:r>
          </w:p>
        </w:tc>
        <w:tc>
          <w:tcPr>
            <w:tcW w:w="394" w:type="pct"/>
            <w:gridSpan w:val="2"/>
            <w:tcBorders>
              <w:bottom w:val="single" w:sz="12" w:space="0" w:color="auto"/>
            </w:tcBorders>
            <w:shd w:val="clear" w:color="auto" w:fill="auto"/>
            <w:vAlign w:val="center"/>
          </w:tcPr>
          <w:p w14:paraId="4330C62A" w14:textId="77777777" w:rsidR="00D27A7B" w:rsidRPr="006C5A12" w:rsidRDefault="00D27A7B" w:rsidP="00D27A7B">
            <w:pPr>
              <w:keepNext/>
              <w:widowControl w:val="0"/>
              <w:rPr>
                <w:b/>
                <w:bCs/>
                <w:sz w:val="20"/>
                <w:szCs w:val="20"/>
                <w:lang w:val="en-GB"/>
              </w:rPr>
            </w:pPr>
            <w:r w:rsidRPr="006C5A12">
              <w:rPr>
                <w:b/>
                <w:bCs/>
                <w:sz w:val="20"/>
                <w:szCs w:val="20"/>
                <w:lang w:val="en-GB"/>
              </w:rPr>
              <w:t>MAF</w:t>
            </w:r>
            <w:r w:rsidRPr="006C5A12">
              <w:rPr>
                <w:b/>
                <w:bCs/>
                <w:sz w:val="20"/>
                <w:szCs w:val="20"/>
                <w:vertAlign w:val="subscript"/>
                <w:lang w:val="en-GB"/>
              </w:rPr>
              <w:t>m</w:t>
            </w:r>
            <w:r w:rsidRPr="006C5A12">
              <w:rPr>
                <w:b/>
                <w:bCs/>
                <w:sz w:val="20"/>
                <w:szCs w:val="20"/>
                <w:lang w:val="en-GB"/>
              </w:rPr>
              <w:t xml:space="preserve"> × TWA</w:t>
            </w:r>
          </w:p>
        </w:tc>
        <w:tc>
          <w:tcPr>
            <w:tcW w:w="666" w:type="pct"/>
            <w:tcBorders>
              <w:bottom w:val="single" w:sz="12" w:space="0" w:color="auto"/>
            </w:tcBorders>
            <w:shd w:val="clear" w:color="auto" w:fill="auto"/>
            <w:vAlign w:val="center"/>
          </w:tcPr>
          <w:p w14:paraId="412F1EB6" w14:textId="77777777" w:rsidR="00D27A7B" w:rsidRPr="006C5A12" w:rsidRDefault="00D27A7B" w:rsidP="00D27A7B">
            <w:pPr>
              <w:keepNext/>
              <w:widowControl w:val="0"/>
              <w:rPr>
                <w:b/>
                <w:bCs/>
                <w:sz w:val="20"/>
                <w:szCs w:val="20"/>
                <w:lang w:val="de-DE"/>
              </w:rPr>
            </w:pPr>
            <w:r w:rsidRPr="006C5A12">
              <w:rPr>
                <w:b/>
                <w:bCs/>
                <w:sz w:val="20"/>
                <w:szCs w:val="20"/>
                <w:lang w:val="de-DE"/>
              </w:rPr>
              <w:t>DDD</w:t>
            </w:r>
            <w:r w:rsidRPr="006C5A12">
              <w:rPr>
                <w:b/>
                <w:bCs/>
                <w:sz w:val="20"/>
                <w:szCs w:val="20"/>
                <w:vertAlign w:val="subscript"/>
                <w:lang w:val="de-DE"/>
              </w:rPr>
              <w:t>m</w:t>
            </w:r>
          </w:p>
          <w:p w14:paraId="47BA03B5" w14:textId="77777777" w:rsidR="00D27A7B" w:rsidRPr="006C5A12" w:rsidRDefault="00D27A7B" w:rsidP="00D27A7B">
            <w:pPr>
              <w:keepNext/>
              <w:widowControl w:val="0"/>
              <w:rPr>
                <w:b/>
                <w:bCs/>
                <w:sz w:val="20"/>
                <w:szCs w:val="20"/>
                <w:lang w:val="de-DE"/>
              </w:rPr>
            </w:pPr>
            <w:r w:rsidRPr="006C5A12">
              <w:rPr>
                <w:b/>
                <w:bCs/>
                <w:sz w:val="20"/>
                <w:szCs w:val="20"/>
                <w:lang w:val="de-DE"/>
              </w:rPr>
              <w:t>(mg/kg bw/d)</w:t>
            </w:r>
          </w:p>
        </w:tc>
        <w:tc>
          <w:tcPr>
            <w:tcW w:w="468" w:type="pct"/>
            <w:tcBorders>
              <w:bottom w:val="single" w:sz="12" w:space="0" w:color="auto"/>
            </w:tcBorders>
            <w:shd w:val="clear" w:color="auto" w:fill="auto"/>
            <w:vAlign w:val="center"/>
          </w:tcPr>
          <w:p w14:paraId="462D1D8E" w14:textId="77777777" w:rsidR="00D27A7B" w:rsidRPr="006C5A12" w:rsidRDefault="00D27A7B" w:rsidP="00D27A7B">
            <w:pPr>
              <w:keepNext/>
              <w:widowControl w:val="0"/>
              <w:rPr>
                <w:b/>
                <w:bCs/>
                <w:sz w:val="20"/>
                <w:szCs w:val="20"/>
                <w:lang w:val="en-GB"/>
              </w:rPr>
            </w:pPr>
            <w:r w:rsidRPr="006C5A12">
              <w:rPr>
                <w:b/>
                <w:bCs/>
                <w:sz w:val="20"/>
                <w:szCs w:val="20"/>
                <w:lang w:val="en-GB"/>
              </w:rPr>
              <w:t>TER</w:t>
            </w:r>
            <w:r w:rsidRPr="006C5A12">
              <w:rPr>
                <w:b/>
                <w:bCs/>
                <w:sz w:val="20"/>
                <w:szCs w:val="20"/>
                <w:vertAlign w:val="subscript"/>
                <w:lang w:val="en-GB"/>
              </w:rPr>
              <w:t>lt</w:t>
            </w:r>
          </w:p>
        </w:tc>
      </w:tr>
      <w:tr w:rsidR="00D27A7B" w:rsidRPr="006C5A12" w14:paraId="71DF81A5" w14:textId="77777777" w:rsidTr="008B64F2">
        <w:trPr>
          <w:gridBefore w:val="1"/>
          <w:wBefore w:w="31" w:type="pct"/>
          <w:cantSplit/>
        </w:trPr>
        <w:tc>
          <w:tcPr>
            <w:tcW w:w="4969" w:type="pct"/>
            <w:gridSpan w:val="12"/>
            <w:tcBorders>
              <w:top w:val="single" w:sz="12" w:space="0" w:color="auto"/>
              <w:left w:val="single" w:sz="12" w:space="0" w:color="auto"/>
              <w:bottom w:val="single" w:sz="12" w:space="0" w:color="auto"/>
              <w:right w:val="single" w:sz="12" w:space="0" w:color="auto"/>
            </w:tcBorders>
            <w:shd w:val="clear" w:color="auto" w:fill="auto"/>
            <w:vAlign w:val="center"/>
          </w:tcPr>
          <w:p w14:paraId="13745B4E" w14:textId="77777777" w:rsidR="00D27A7B" w:rsidRPr="006C5A12" w:rsidRDefault="00D27A7B" w:rsidP="00D27A7B">
            <w:pPr>
              <w:jc w:val="center"/>
              <w:rPr>
                <w:sz w:val="20"/>
                <w:szCs w:val="20"/>
                <w:lang w:val="en-GB"/>
              </w:rPr>
            </w:pPr>
            <w:r w:rsidRPr="006C5A12">
              <w:rPr>
                <w:b/>
                <w:sz w:val="20"/>
                <w:szCs w:val="20"/>
                <w:lang w:val="en-GB"/>
              </w:rPr>
              <w:t>Potatoes (3 x 0.902 kg a.s./ha, BBCH 21-89)</w:t>
            </w:r>
          </w:p>
        </w:tc>
      </w:tr>
      <w:tr w:rsidR="00D27A7B" w:rsidRPr="006C5A12" w14:paraId="069B355C" w14:textId="77777777" w:rsidTr="00B23596">
        <w:trPr>
          <w:gridBefore w:val="1"/>
          <w:wBefore w:w="31" w:type="pct"/>
          <w:cantSplit/>
        </w:trPr>
        <w:tc>
          <w:tcPr>
            <w:tcW w:w="863" w:type="pct"/>
            <w:gridSpan w:val="2"/>
            <w:tcBorders>
              <w:top w:val="single" w:sz="12" w:space="0" w:color="auto"/>
            </w:tcBorders>
            <w:shd w:val="clear" w:color="auto" w:fill="auto"/>
            <w:vAlign w:val="center"/>
          </w:tcPr>
          <w:p w14:paraId="267D8DA1" w14:textId="77777777" w:rsidR="00D27A7B" w:rsidRPr="006C5A12" w:rsidRDefault="00D27A7B" w:rsidP="00D27A7B">
            <w:pPr>
              <w:jc w:val="center"/>
              <w:rPr>
                <w:sz w:val="20"/>
                <w:szCs w:val="20"/>
                <w:lang w:val="en-GB"/>
              </w:rPr>
            </w:pPr>
            <w:r w:rsidRPr="006C5A12">
              <w:rPr>
                <w:sz w:val="20"/>
                <w:szCs w:val="20"/>
              </w:rPr>
              <w:t>BBCH ≥20</w:t>
            </w:r>
          </w:p>
        </w:tc>
        <w:tc>
          <w:tcPr>
            <w:tcW w:w="1696" w:type="pct"/>
            <w:gridSpan w:val="2"/>
            <w:tcBorders>
              <w:top w:val="single" w:sz="12" w:space="0" w:color="auto"/>
            </w:tcBorders>
            <w:shd w:val="clear" w:color="auto" w:fill="auto"/>
            <w:vAlign w:val="center"/>
          </w:tcPr>
          <w:p w14:paraId="39AF288A" w14:textId="77777777" w:rsidR="00D27A7B" w:rsidRPr="006C5A12" w:rsidRDefault="00D27A7B" w:rsidP="00D27A7B">
            <w:pPr>
              <w:jc w:val="center"/>
              <w:rPr>
                <w:sz w:val="20"/>
                <w:szCs w:val="20"/>
                <w:lang w:val="en-GB"/>
              </w:rPr>
            </w:pPr>
            <w:r w:rsidRPr="006C5A12">
              <w:rPr>
                <w:sz w:val="20"/>
                <w:szCs w:val="20"/>
                <w:lang w:val="en-GB"/>
              </w:rPr>
              <w:t>Small insectivorous mammal “shrew”</w:t>
            </w:r>
          </w:p>
        </w:tc>
        <w:tc>
          <w:tcPr>
            <w:tcW w:w="528" w:type="pct"/>
            <w:gridSpan w:val="2"/>
            <w:vMerge w:val="restart"/>
            <w:tcBorders>
              <w:top w:val="single" w:sz="12" w:space="0" w:color="auto"/>
            </w:tcBorders>
            <w:shd w:val="clear" w:color="auto" w:fill="auto"/>
            <w:vAlign w:val="center"/>
          </w:tcPr>
          <w:p w14:paraId="0FB301D0" w14:textId="77777777" w:rsidR="00D27A7B" w:rsidRPr="006C5A12" w:rsidRDefault="00D27A7B" w:rsidP="00D27A7B">
            <w:pPr>
              <w:jc w:val="center"/>
              <w:rPr>
                <w:sz w:val="20"/>
                <w:szCs w:val="20"/>
                <w:lang w:val="en-GB"/>
              </w:rPr>
            </w:pPr>
            <w:r w:rsidRPr="006C5A12">
              <w:rPr>
                <w:sz w:val="20"/>
                <w:szCs w:val="20"/>
                <w:lang w:val="en-GB"/>
              </w:rPr>
              <w:t>0.902</w:t>
            </w:r>
          </w:p>
        </w:tc>
        <w:tc>
          <w:tcPr>
            <w:tcW w:w="354" w:type="pct"/>
            <w:gridSpan w:val="2"/>
            <w:tcBorders>
              <w:top w:val="single" w:sz="12" w:space="0" w:color="auto"/>
            </w:tcBorders>
            <w:shd w:val="clear" w:color="auto" w:fill="auto"/>
            <w:vAlign w:val="center"/>
          </w:tcPr>
          <w:p w14:paraId="61594D92" w14:textId="77777777" w:rsidR="00D27A7B" w:rsidRPr="006C5A12" w:rsidRDefault="00D27A7B" w:rsidP="00D27A7B">
            <w:pPr>
              <w:jc w:val="center"/>
              <w:rPr>
                <w:sz w:val="20"/>
                <w:szCs w:val="20"/>
                <w:lang w:val="en-GB"/>
              </w:rPr>
            </w:pPr>
            <w:r w:rsidRPr="006C5A12">
              <w:rPr>
                <w:sz w:val="20"/>
                <w:szCs w:val="20"/>
              </w:rPr>
              <w:t>1.9</w:t>
            </w:r>
          </w:p>
        </w:tc>
        <w:tc>
          <w:tcPr>
            <w:tcW w:w="394" w:type="pct"/>
            <w:gridSpan w:val="2"/>
            <w:vMerge w:val="restart"/>
            <w:tcBorders>
              <w:top w:val="single" w:sz="12" w:space="0" w:color="auto"/>
            </w:tcBorders>
            <w:shd w:val="clear" w:color="auto" w:fill="auto"/>
            <w:vAlign w:val="center"/>
          </w:tcPr>
          <w:p w14:paraId="3A01BF0B" w14:textId="77777777" w:rsidR="00D27A7B" w:rsidRPr="006C5A12" w:rsidRDefault="00D27A7B" w:rsidP="00D27A7B">
            <w:pPr>
              <w:jc w:val="center"/>
              <w:rPr>
                <w:sz w:val="20"/>
                <w:szCs w:val="20"/>
                <w:lang w:val="en-GB"/>
              </w:rPr>
            </w:pPr>
            <w:r w:rsidRPr="006C5A12">
              <w:rPr>
                <w:sz w:val="20"/>
                <w:szCs w:val="20"/>
                <w:lang w:val="en-GB"/>
              </w:rPr>
              <w:t>2.21 × 0.53</w:t>
            </w:r>
          </w:p>
        </w:tc>
        <w:tc>
          <w:tcPr>
            <w:tcW w:w="666" w:type="pct"/>
            <w:tcBorders>
              <w:top w:val="single" w:sz="12" w:space="0" w:color="auto"/>
              <w:left w:val="single" w:sz="4" w:space="0" w:color="auto"/>
              <w:bottom w:val="single" w:sz="4" w:space="0" w:color="auto"/>
              <w:right w:val="single" w:sz="4" w:space="0" w:color="auto"/>
            </w:tcBorders>
            <w:shd w:val="clear" w:color="auto" w:fill="auto"/>
            <w:vAlign w:val="center"/>
          </w:tcPr>
          <w:p w14:paraId="700ADD23" w14:textId="77777777" w:rsidR="00D27A7B" w:rsidRPr="006C5A12" w:rsidRDefault="00D27A7B" w:rsidP="00D27A7B">
            <w:pPr>
              <w:jc w:val="center"/>
              <w:rPr>
                <w:sz w:val="20"/>
                <w:szCs w:val="20"/>
                <w:lang w:val="en-GB"/>
              </w:rPr>
            </w:pPr>
            <w:r w:rsidRPr="006C5A12">
              <w:rPr>
                <w:sz w:val="20"/>
                <w:szCs w:val="20"/>
              </w:rPr>
              <w:t>1.99</w:t>
            </w:r>
          </w:p>
        </w:tc>
        <w:tc>
          <w:tcPr>
            <w:tcW w:w="468" w:type="pct"/>
            <w:tcBorders>
              <w:top w:val="single" w:sz="12" w:space="0" w:color="auto"/>
              <w:left w:val="nil"/>
              <w:bottom w:val="single" w:sz="4" w:space="0" w:color="auto"/>
              <w:right w:val="single" w:sz="4" w:space="0" w:color="auto"/>
            </w:tcBorders>
            <w:shd w:val="clear" w:color="auto" w:fill="auto"/>
            <w:vAlign w:val="center"/>
          </w:tcPr>
          <w:p w14:paraId="6BD2873E" w14:textId="77777777" w:rsidR="00D27A7B" w:rsidRPr="006C5A12" w:rsidRDefault="00D27A7B" w:rsidP="00D27A7B">
            <w:pPr>
              <w:jc w:val="center"/>
              <w:rPr>
                <w:sz w:val="20"/>
                <w:szCs w:val="20"/>
                <w:lang w:val="en-GB"/>
              </w:rPr>
            </w:pPr>
            <w:r w:rsidRPr="006C5A12">
              <w:rPr>
                <w:sz w:val="20"/>
                <w:szCs w:val="20"/>
              </w:rPr>
              <w:t>52.2</w:t>
            </w:r>
          </w:p>
        </w:tc>
      </w:tr>
      <w:tr w:rsidR="00D27A7B" w:rsidRPr="006C5A12" w14:paraId="280682AA"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0B5ACA30" w14:textId="63CB48E3" w:rsidR="00D27A7B" w:rsidRPr="006C5A12" w:rsidRDefault="00D27A7B" w:rsidP="00D27A7B">
            <w:pPr>
              <w:jc w:val="center"/>
              <w:rPr>
                <w:sz w:val="20"/>
                <w:szCs w:val="20"/>
                <w:lang w:val="en-GB"/>
              </w:rPr>
            </w:pPr>
            <w:bookmarkStart w:id="365" w:name="_Hlk135000339"/>
            <w:r w:rsidRPr="006C5A12">
              <w:rPr>
                <w:sz w:val="20"/>
                <w:szCs w:val="20"/>
              </w:rPr>
              <w:t>BBCH ≥40</w:t>
            </w:r>
            <w:bookmarkEnd w:id="365"/>
          </w:p>
        </w:tc>
        <w:tc>
          <w:tcPr>
            <w:tcW w:w="1696" w:type="pct"/>
            <w:gridSpan w:val="2"/>
            <w:tcBorders>
              <w:bottom w:val="single" w:sz="4" w:space="0" w:color="auto"/>
            </w:tcBorders>
            <w:shd w:val="clear" w:color="auto" w:fill="auto"/>
            <w:vAlign w:val="center"/>
          </w:tcPr>
          <w:p w14:paraId="350B5D05" w14:textId="77777777" w:rsidR="00D27A7B" w:rsidRPr="006C5A12" w:rsidRDefault="00D27A7B" w:rsidP="00D27A7B">
            <w:pPr>
              <w:jc w:val="center"/>
              <w:rPr>
                <w:sz w:val="20"/>
                <w:szCs w:val="20"/>
                <w:lang w:val="en-GB"/>
              </w:rPr>
            </w:pPr>
            <w:r w:rsidRPr="006C5A12">
              <w:rPr>
                <w:sz w:val="20"/>
                <w:szCs w:val="20"/>
                <w:lang w:val="en-GB"/>
              </w:rPr>
              <w:t>Small herbivorous mammal “vole”</w:t>
            </w:r>
          </w:p>
        </w:tc>
        <w:tc>
          <w:tcPr>
            <w:tcW w:w="528" w:type="pct"/>
            <w:gridSpan w:val="2"/>
            <w:vMerge/>
            <w:shd w:val="clear" w:color="auto" w:fill="auto"/>
            <w:vAlign w:val="center"/>
          </w:tcPr>
          <w:p w14:paraId="0FFC4A88"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5CC40258" w14:textId="77777777" w:rsidR="00D27A7B" w:rsidRPr="006C5A12" w:rsidRDefault="00D27A7B" w:rsidP="00D27A7B">
            <w:pPr>
              <w:jc w:val="center"/>
              <w:rPr>
                <w:sz w:val="20"/>
                <w:szCs w:val="20"/>
                <w:lang w:val="en-GB"/>
              </w:rPr>
            </w:pPr>
            <w:r w:rsidRPr="006C5A12">
              <w:rPr>
                <w:sz w:val="20"/>
                <w:szCs w:val="20"/>
              </w:rPr>
              <w:t>21.7</w:t>
            </w:r>
          </w:p>
        </w:tc>
        <w:tc>
          <w:tcPr>
            <w:tcW w:w="394" w:type="pct"/>
            <w:gridSpan w:val="2"/>
            <w:vMerge/>
            <w:shd w:val="clear" w:color="auto" w:fill="auto"/>
            <w:vAlign w:val="center"/>
          </w:tcPr>
          <w:p w14:paraId="669AD9FC"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5DA98797" w14:textId="77777777" w:rsidR="00D27A7B" w:rsidRPr="006C5A12" w:rsidRDefault="00D27A7B" w:rsidP="00D27A7B">
            <w:pPr>
              <w:jc w:val="center"/>
              <w:rPr>
                <w:sz w:val="20"/>
                <w:szCs w:val="20"/>
                <w:lang w:val="en-GB"/>
              </w:rPr>
            </w:pPr>
            <w:r w:rsidRPr="006C5A12">
              <w:rPr>
                <w:sz w:val="20"/>
                <w:szCs w:val="20"/>
              </w:rPr>
              <w:t>22.76</w:t>
            </w:r>
          </w:p>
        </w:tc>
        <w:tc>
          <w:tcPr>
            <w:tcW w:w="468" w:type="pct"/>
            <w:tcBorders>
              <w:top w:val="single" w:sz="4" w:space="0" w:color="auto"/>
              <w:left w:val="nil"/>
              <w:bottom w:val="single" w:sz="4" w:space="0" w:color="auto"/>
              <w:right w:val="single" w:sz="4" w:space="0" w:color="auto"/>
            </w:tcBorders>
            <w:shd w:val="clear" w:color="auto" w:fill="auto"/>
            <w:vAlign w:val="center"/>
          </w:tcPr>
          <w:p w14:paraId="4BC38D09" w14:textId="77777777" w:rsidR="00D27A7B" w:rsidRPr="006C5A12" w:rsidRDefault="00D27A7B" w:rsidP="00D27A7B">
            <w:pPr>
              <w:jc w:val="center"/>
              <w:rPr>
                <w:b/>
                <w:bCs/>
                <w:sz w:val="20"/>
                <w:szCs w:val="20"/>
                <w:lang w:val="en-GB"/>
              </w:rPr>
            </w:pPr>
            <w:r w:rsidRPr="006C5A12">
              <w:rPr>
                <w:b/>
                <w:bCs/>
                <w:sz w:val="20"/>
                <w:szCs w:val="20"/>
              </w:rPr>
              <w:t>4.6</w:t>
            </w:r>
          </w:p>
        </w:tc>
      </w:tr>
      <w:tr w:rsidR="00D27A7B" w:rsidRPr="006C5A12" w14:paraId="24429342"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1CCF78EB" w14:textId="77777777" w:rsidR="00D27A7B" w:rsidRPr="006C5A12" w:rsidRDefault="00D27A7B" w:rsidP="00D27A7B">
            <w:pPr>
              <w:jc w:val="center"/>
              <w:rPr>
                <w:sz w:val="20"/>
                <w:szCs w:val="20"/>
                <w:lang w:val="en-GB"/>
              </w:rPr>
            </w:pPr>
            <w:r w:rsidRPr="006C5A12">
              <w:rPr>
                <w:sz w:val="20"/>
                <w:szCs w:val="20"/>
              </w:rPr>
              <w:lastRenderedPageBreak/>
              <w:t>BBCH 10-40</w:t>
            </w:r>
          </w:p>
        </w:tc>
        <w:tc>
          <w:tcPr>
            <w:tcW w:w="1696" w:type="pct"/>
            <w:gridSpan w:val="2"/>
            <w:tcBorders>
              <w:bottom w:val="single" w:sz="4" w:space="0" w:color="auto"/>
            </w:tcBorders>
            <w:shd w:val="clear" w:color="auto" w:fill="auto"/>
            <w:vAlign w:val="center"/>
          </w:tcPr>
          <w:p w14:paraId="5E5E9BF2" w14:textId="77777777" w:rsidR="00D27A7B" w:rsidRPr="006C5A12" w:rsidRDefault="00D27A7B" w:rsidP="00D27A7B">
            <w:pPr>
              <w:jc w:val="center"/>
              <w:rPr>
                <w:sz w:val="20"/>
                <w:szCs w:val="20"/>
                <w:lang w:val="en-GB"/>
              </w:rPr>
            </w:pPr>
            <w:r w:rsidRPr="006C5A12">
              <w:rPr>
                <w:sz w:val="20"/>
                <w:szCs w:val="20"/>
                <w:lang w:val="en-GB"/>
              </w:rPr>
              <w:t>Large herbivorous mammal “lagomorph”</w:t>
            </w:r>
          </w:p>
        </w:tc>
        <w:tc>
          <w:tcPr>
            <w:tcW w:w="528" w:type="pct"/>
            <w:gridSpan w:val="2"/>
            <w:vMerge/>
            <w:shd w:val="clear" w:color="auto" w:fill="auto"/>
            <w:vAlign w:val="center"/>
          </w:tcPr>
          <w:p w14:paraId="6E91852D"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5FAF0FA0" w14:textId="77777777" w:rsidR="00D27A7B" w:rsidRPr="006C5A12" w:rsidRDefault="00D27A7B" w:rsidP="00D27A7B">
            <w:pPr>
              <w:jc w:val="center"/>
              <w:rPr>
                <w:sz w:val="20"/>
                <w:szCs w:val="20"/>
                <w:lang w:val="en-GB"/>
              </w:rPr>
            </w:pPr>
            <w:r w:rsidRPr="006C5A12">
              <w:rPr>
                <w:sz w:val="20"/>
                <w:szCs w:val="20"/>
              </w:rPr>
              <w:t>14.3</w:t>
            </w:r>
          </w:p>
        </w:tc>
        <w:tc>
          <w:tcPr>
            <w:tcW w:w="394" w:type="pct"/>
            <w:gridSpan w:val="2"/>
            <w:vMerge/>
            <w:shd w:val="clear" w:color="auto" w:fill="auto"/>
            <w:vAlign w:val="center"/>
          </w:tcPr>
          <w:p w14:paraId="59F745C4"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E3C4578" w14:textId="77777777" w:rsidR="00D27A7B" w:rsidRPr="006C5A12" w:rsidRDefault="00D27A7B" w:rsidP="00D27A7B">
            <w:pPr>
              <w:jc w:val="center"/>
              <w:rPr>
                <w:sz w:val="20"/>
                <w:szCs w:val="20"/>
                <w:lang w:val="en-GB"/>
              </w:rPr>
            </w:pPr>
            <w:r w:rsidRPr="006C5A12">
              <w:rPr>
                <w:sz w:val="20"/>
                <w:szCs w:val="20"/>
              </w:rPr>
              <w:t>15.00</w:t>
            </w:r>
          </w:p>
        </w:tc>
        <w:tc>
          <w:tcPr>
            <w:tcW w:w="468" w:type="pct"/>
            <w:tcBorders>
              <w:top w:val="single" w:sz="4" w:space="0" w:color="auto"/>
              <w:left w:val="nil"/>
              <w:bottom w:val="single" w:sz="4" w:space="0" w:color="auto"/>
              <w:right w:val="single" w:sz="4" w:space="0" w:color="auto"/>
            </w:tcBorders>
            <w:shd w:val="clear" w:color="auto" w:fill="auto"/>
            <w:vAlign w:val="center"/>
          </w:tcPr>
          <w:p w14:paraId="6942018E" w14:textId="77777777" w:rsidR="00D27A7B" w:rsidRPr="006C5A12" w:rsidRDefault="00D27A7B" w:rsidP="00D27A7B">
            <w:pPr>
              <w:jc w:val="center"/>
              <w:rPr>
                <w:sz w:val="20"/>
                <w:szCs w:val="20"/>
                <w:lang w:val="en-GB"/>
              </w:rPr>
            </w:pPr>
            <w:r w:rsidRPr="006C5A12">
              <w:rPr>
                <w:sz w:val="20"/>
                <w:szCs w:val="20"/>
              </w:rPr>
              <w:t>6.9</w:t>
            </w:r>
          </w:p>
        </w:tc>
      </w:tr>
      <w:tr w:rsidR="00D27A7B" w:rsidRPr="006C5A12" w14:paraId="7251AAB7"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29180952" w14:textId="77777777" w:rsidR="00D27A7B" w:rsidRPr="006C5A12" w:rsidRDefault="00D27A7B" w:rsidP="00D27A7B">
            <w:pPr>
              <w:jc w:val="center"/>
              <w:rPr>
                <w:sz w:val="20"/>
                <w:szCs w:val="20"/>
                <w:lang w:val="en-GB"/>
              </w:rPr>
            </w:pPr>
            <w:r w:rsidRPr="006C5A12">
              <w:rPr>
                <w:sz w:val="20"/>
                <w:szCs w:val="20"/>
              </w:rPr>
              <w:t>BBCH ≥40</w:t>
            </w:r>
          </w:p>
        </w:tc>
        <w:tc>
          <w:tcPr>
            <w:tcW w:w="1696" w:type="pct"/>
            <w:gridSpan w:val="2"/>
            <w:tcBorders>
              <w:bottom w:val="single" w:sz="4" w:space="0" w:color="auto"/>
            </w:tcBorders>
            <w:shd w:val="clear" w:color="auto" w:fill="auto"/>
            <w:vAlign w:val="center"/>
          </w:tcPr>
          <w:p w14:paraId="1A2A4710" w14:textId="77777777" w:rsidR="00D27A7B" w:rsidRPr="006C5A12" w:rsidRDefault="00D27A7B" w:rsidP="00D27A7B">
            <w:pPr>
              <w:jc w:val="center"/>
              <w:rPr>
                <w:sz w:val="20"/>
                <w:szCs w:val="20"/>
                <w:lang w:val="en-GB"/>
              </w:rPr>
            </w:pPr>
            <w:r w:rsidRPr="006C5A12">
              <w:rPr>
                <w:sz w:val="20"/>
                <w:szCs w:val="20"/>
                <w:lang w:val="en-GB"/>
              </w:rPr>
              <w:t>Large herbivorous mammal “lagomorph”</w:t>
            </w:r>
          </w:p>
        </w:tc>
        <w:tc>
          <w:tcPr>
            <w:tcW w:w="528" w:type="pct"/>
            <w:gridSpan w:val="2"/>
            <w:vMerge/>
            <w:shd w:val="clear" w:color="auto" w:fill="auto"/>
            <w:vAlign w:val="center"/>
          </w:tcPr>
          <w:p w14:paraId="62F4F419"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6A454144" w14:textId="77777777" w:rsidR="00D27A7B" w:rsidRPr="006C5A12" w:rsidRDefault="00D27A7B" w:rsidP="00D27A7B">
            <w:pPr>
              <w:jc w:val="center"/>
              <w:rPr>
                <w:sz w:val="20"/>
                <w:szCs w:val="20"/>
                <w:lang w:val="en-GB"/>
              </w:rPr>
            </w:pPr>
            <w:r w:rsidRPr="006C5A12">
              <w:rPr>
                <w:sz w:val="20"/>
                <w:szCs w:val="20"/>
              </w:rPr>
              <w:t>4.3</w:t>
            </w:r>
          </w:p>
        </w:tc>
        <w:tc>
          <w:tcPr>
            <w:tcW w:w="394" w:type="pct"/>
            <w:gridSpan w:val="2"/>
            <w:vMerge/>
            <w:shd w:val="clear" w:color="auto" w:fill="auto"/>
            <w:vAlign w:val="center"/>
          </w:tcPr>
          <w:p w14:paraId="7DE5B3E7"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0339BD4" w14:textId="77777777" w:rsidR="00D27A7B" w:rsidRPr="006C5A12" w:rsidRDefault="00D27A7B" w:rsidP="00D27A7B">
            <w:pPr>
              <w:jc w:val="center"/>
              <w:rPr>
                <w:sz w:val="20"/>
                <w:szCs w:val="20"/>
                <w:lang w:val="en-GB"/>
              </w:rPr>
            </w:pPr>
            <w:r w:rsidRPr="006C5A12">
              <w:rPr>
                <w:sz w:val="20"/>
                <w:szCs w:val="20"/>
              </w:rPr>
              <w:t>4.51</w:t>
            </w:r>
          </w:p>
        </w:tc>
        <w:tc>
          <w:tcPr>
            <w:tcW w:w="468" w:type="pct"/>
            <w:tcBorders>
              <w:top w:val="single" w:sz="4" w:space="0" w:color="auto"/>
              <w:left w:val="nil"/>
              <w:bottom w:val="single" w:sz="4" w:space="0" w:color="auto"/>
              <w:right w:val="single" w:sz="4" w:space="0" w:color="auto"/>
            </w:tcBorders>
            <w:shd w:val="clear" w:color="auto" w:fill="auto"/>
            <w:vAlign w:val="center"/>
          </w:tcPr>
          <w:p w14:paraId="06EDF80C" w14:textId="77777777" w:rsidR="00D27A7B" w:rsidRPr="006C5A12" w:rsidRDefault="00D27A7B" w:rsidP="00D27A7B">
            <w:pPr>
              <w:jc w:val="center"/>
              <w:rPr>
                <w:sz w:val="20"/>
                <w:szCs w:val="20"/>
                <w:lang w:val="en-GB"/>
              </w:rPr>
            </w:pPr>
            <w:r w:rsidRPr="006C5A12">
              <w:rPr>
                <w:sz w:val="20"/>
                <w:szCs w:val="20"/>
              </w:rPr>
              <w:t>23.1</w:t>
            </w:r>
          </w:p>
        </w:tc>
      </w:tr>
      <w:tr w:rsidR="00D27A7B" w:rsidRPr="006C5A12" w14:paraId="507C673E"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20F1DD3" w14:textId="77777777" w:rsidR="00D27A7B" w:rsidRPr="006C5A12" w:rsidRDefault="00D27A7B" w:rsidP="00D27A7B">
            <w:pPr>
              <w:jc w:val="center"/>
              <w:rPr>
                <w:sz w:val="20"/>
                <w:szCs w:val="20"/>
                <w:lang w:val="en-GB"/>
              </w:rPr>
            </w:pPr>
            <w:r w:rsidRPr="006C5A12">
              <w:rPr>
                <w:sz w:val="20"/>
                <w:szCs w:val="20"/>
              </w:rPr>
              <w:t>BBCH 10-39</w:t>
            </w:r>
          </w:p>
        </w:tc>
        <w:tc>
          <w:tcPr>
            <w:tcW w:w="1696" w:type="pct"/>
            <w:gridSpan w:val="2"/>
            <w:tcBorders>
              <w:bottom w:val="single" w:sz="4" w:space="0" w:color="auto"/>
            </w:tcBorders>
            <w:shd w:val="clear" w:color="auto" w:fill="auto"/>
            <w:vAlign w:val="center"/>
          </w:tcPr>
          <w:p w14:paraId="58F7FE7E"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3CEB159E"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21A9332E" w14:textId="77777777" w:rsidR="00D27A7B" w:rsidRPr="006C5A12" w:rsidRDefault="00D27A7B" w:rsidP="00D27A7B">
            <w:pPr>
              <w:jc w:val="center"/>
              <w:rPr>
                <w:sz w:val="20"/>
                <w:szCs w:val="20"/>
                <w:lang w:val="en-GB"/>
              </w:rPr>
            </w:pPr>
            <w:r w:rsidRPr="006C5A12">
              <w:rPr>
                <w:sz w:val="20"/>
                <w:szCs w:val="20"/>
              </w:rPr>
              <w:t>7.8</w:t>
            </w:r>
          </w:p>
        </w:tc>
        <w:tc>
          <w:tcPr>
            <w:tcW w:w="394" w:type="pct"/>
            <w:gridSpan w:val="2"/>
            <w:vMerge/>
            <w:shd w:val="clear" w:color="auto" w:fill="auto"/>
            <w:vAlign w:val="center"/>
          </w:tcPr>
          <w:p w14:paraId="731D2AF3"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410591CE" w14:textId="77777777" w:rsidR="00D27A7B" w:rsidRPr="006C5A12" w:rsidRDefault="00D27A7B" w:rsidP="00D27A7B">
            <w:pPr>
              <w:jc w:val="center"/>
              <w:rPr>
                <w:sz w:val="20"/>
                <w:szCs w:val="20"/>
                <w:lang w:val="en-GB"/>
              </w:rPr>
            </w:pPr>
            <w:r w:rsidRPr="006C5A12">
              <w:rPr>
                <w:sz w:val="20"/>
                <w:szCs w:val="20"/>
              </w:rPr>
              <w:t>8.18</w:t>
            </w:r>
          </w:p>
        </w:tc>
        <w:tc>
          <w:tcPr>
            <w:tcW w:w="468" w:type="pct"/>
            <w:tcBorders>
              <w:top w:val="single" w:sz="4" w:space="0" w:color="auto"/>
              <w:left w:val="nil"/>
              <w:bottom w:val="single" w:sz="4" w:space="0" w:color="auto"/>
              <w:right w:val="single" w:sz="4" w:space="0" w:color="auto"/>
            </w:tcBorders>
            <w:shd w:val="clear" w:color="auto" w:fill="auto"/>
            <w:vAlign w:val="center"/>
          </w:tcPr>
          <w:p w14:paraId="0DB76A79" w14:textId="77777777" w:rsidR="00D27A7B" w:rsidRPr="006C5A12" w:rsidRDefault="00D27A7B" w:rsidP="00D27A7B">
            <w:pPr>
              <w:jc w:val="center"/>
              <w:rPr>
                <w:sz w:val="20"/>
                <w:szCs w:val="20"/>
                <w:lang w:val="en-GB"/>
              </w:rPr>
            </w:pPr>
            <w:r w:rsidRPr="006C5A12">
              <w:rPr>
                <w:sz w:val="20"/>
                <w:szCs w:val="20"/>
              </w:rPr>
              <w:t>12.7</w:t>
            </w:r>
          </w:p>
        </w:tc>
      </w:tr>
      <w:tr w:rsidR="00D27A7B" w:rsidRPr="006C5A12" w14:paraId="612BD093" w14:textId="77777777" w:rsidTr="00B23596">
        <w:trPr>
          <w:gridBefore w:val="1"/>
          <w:wBefore w:w="31" w:type="pct"/>
          <w:cantSplit/>
        </w:trPr>
        <w:tc>
          <w:tcPr>
            <w:tcW w:w="863" w:type="pct"/>
            <w:gridSpan w:val="2"/>
            <w:tcBorders>
              <w:bottom w:val="single" w:sz="12" w:space="0" w:color="auto"/>
            </w:tcBorders>
            <w:shd w:val="clear" w:color="auto" w:fill="auto"/>
            <w:vAlign w:val="center"/>
          </w:tcPr>
          <w:p w14:paraId="4F9193B5" w14:textId="77777777" w:rsidR="00D27A7B" w:rsidRPr="006C5A12" w:rsidRDefault="00D27A7B" w:rsidP="00D27A7B">
            <w:pPr>
              <w:jc w:val="center"/>
              <w:rPr>
                <w:sz w:val="20"/>
                <w:szCs w:val="20"/>
                <w:lang w:val="en-GB"/>
              </w:rPr>
            </w:pPr>
            <w:r w:rsidRPr="006C5A12">
              <w:rPr>
                <w:sz w:val="20"/>
                <w:szCs w:val="20"/>
              </w:rPr>
              <w:t>BBCH ≥40</w:t>
            </w:r>
          </w:p>
        </w:tc>
        <w:tc>
          <w:tcPr>
            <w:tcW w:w="1696" w:type="pct"/>
            <w:gridSpan w:val="2"/>
            <w:tcBorders>
              <w:bottom w:val="single" w:sz="12" w:space="0" w:color="auto"/>
            </w:tcBorders>
            <w:shd w:val="clear" w:color="auto" w:fill="auto"/>
            <w:vAlign w:val="center"/>
          </w:tcPr>
          <w:p w14:paraId="1EDC6CF5"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tcBorders>
              <w:bottom w:val="single" w:sz="12" w:space="0" w:color="auto"/>
            </w:tcBorders>
            <w:shd w:val="clear" w:color="auto" w:fill="auto"/>
            <w:vAlign w:val="center"/>
          </w:tcPr>
          <w:p w14:paraId="094CC38E" w14:textId="77777777" w:rsidR="00D27A7B" w:rsidRPr="006C5A12" w:rsidRDefault="00D27A7B" w:rsidP="00D27A7B">
            <w:pPr>
              <w:jc w:val="center"/>
              <w:rPr>
                <w:sz w:val="20"/>
                <w:szCs w:val="20"/>
                <w:lang w:val="en-GB"/>
              </w:rPr>
            </w:pPr>
          </w:p>
        </w:tc>
        <w:tc>
          <w:tcPr>
            <w:tcW w:w="354" w:type="pct"/>
            <w:gridSpan w:val="2"/>
            <w:tcBorders>
              <w:bottom w:val="single" w:sz="12" w:space="0" w:color="auto"/>
            </w:tcBorders>
            <w:shd w:val="clear" w:color="auto" w:fill="auto"/>
            <w:vAlign w:val="center"/>
          </w:tcPr>
          <w:p w14:paraId="60F6DC2D" w14:textId="77777777" w:rsidR="00D27A7B" w:rsidRPr="006C5A12" w:rsidRDefault="00D27A7B" w:rsidP="00D27A7B">
            <w:pPr>
              <w:jc w:val="center"/>
              <w:rPr>
                <w:sz w:val="20"/>
                <w:szCs w:val="20"/>
                <w:lang w:val="en-GB"/>
              </w:rPr>
            </w:pPr>
            <w:r w:rsidRPr="006C5A12">
              <w:rPr>
                <w:sz w:val="20"/>
                <w:szCs w:val="20"/>
              </w:rPr>
              <w:t>2.3</w:t>
            </w:r>
          </w:p>
        </w:tc>
        <w:tc>
          <w:tcPr>
            <w:tcW w:w="394" w:type="pct"/>
            <w:gridSpan w:val="2"/>
            <w:vMerge/>
            <w:tcBorders>
              <w:bottom w:val="single" w:sz="12" w:space="0" w:color="auto"/>
            </w:tcBorders>
            <w:shd w:val="clear" w:color="auto" w:fill="auto"/>
            <w:vAlign w:val="center"/>
          </w:tcPr>
          <w:p w14:paraId="79699006"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12" w:space="0" w:color="auto"/>
              <w:right w:val="single" w:sz="4" w:space="0" w:color="auto"/>
            </w:tcBorders>
            <w:shd w:val="clear" w:color="auto" w:fill="auto"/>
            <w:vAlign w:val="center"/>
          </w:tcPr>
          <w:p w14:paraId="61C722AD" w14:textId="77777777" w:rsidR="00D27A7B" w:rsidRPr="006C5A12" w:rsidRDefault="00D27A7B" w:rsidP="00D27A7B">
            <w:pPr>
              <w:jc w:val="center"/>
              <w:rPr>
                <w:sz w:val="20"/>
                <w:szCs w:val="20"/>
                <w:lang w:val="en-GB"/>
              </w:rPr>
            </w:pPr>
            <w:r w:rsidRPr="006C5A12">
              <w:rPr>
                <w:sz w:val="20"/>
                <w:szCs w:val="20"/>
              </w:rPr>
              <w:t>2.41</w:t>
            </w:r>
          </w:p>
        </w:tc>
        <w:tc>
          <w:tcPr>
            <w:tcW w:w="468" w:type="pct"/>
            <w:tcBorders>
              <w:top w:val="single" w:sz="4" w:space="0" w:color="auto"/>
              <w:left w:val="nil"/>
              <w:bottom w:val="single" w:sz="12" w:space="0" w:color="auto"/>
              <w:right w:val="single" w:sz="4" w:space="0" w:color="auto"/>
            </w:tcBorders>
            <w:shd w:val="clear" w:color="auto" w:fill="auto"/>
            <w:vAlign w:val="center"/>
          </w:tcPr>
          <w:p w14:paraId="2F8A214A" w14:textId="77777777" w:rsidR="00D27A7B" w:rsidRPr="006C5A12" w:rsidRDefault="00D27A7B" w:rsidP="00D27A7B">
            <w:pPr>
              <w:jc w:val="center"/>
              <w:rPr>
                <w:sz w:val="20"/>
                <w:szCs w:val="20"/>
                <w:lang w:val="en-GB"/>
              </w:rPr>
            </w:pPr>
            <w:r w:rsidRPr="006C5A12">
              <w:rPr>
                <w:sz w:val="20"/>
                <w:szCs w:val="20"/>
              </w:rPr>
              <w:t>43.1</w:t>
            </w:r>
          </w:p>
        </w:tc>
      </w:tr>
      <w:tr w:rsidR="00D27A7B" w:rsidRPr="006C5A12" w14:paraId="78DBE0A8" w14:textId="77777777" w:rsidTr="008B64F2">
        <w:trPr>
          <w:gridBefore w:val="1"/>
          <w:wBefore w:w="31" w:type="pct"/>
          <w:cantSplit/>
        </w:trPr>
        <w:tc>
          <w:tcPr>
            <w:tcW w:w="4969" w:type="pct"/>
            <w:gridSpan w:val="12"/>
            <w:tcBorders>
              <w:bottom w:val="single" w:sz="4" w:space="0" w:color="auto"/>
              <w:right w:val="single" w:sz="4" w:space="0" w:color="auto"/>
            </w:tcBorders>
            <w:shd w:val="clear" w:color="auto" w:fill="auto"/>
            <w:vAlign w:val="center"/>
          </w:tcPr>
          <w:p w14:paraId="68ED762F" w14:textId="77777777" w:rsidR="00D27A7B" w:rsidRPr="006C5A12" w:rsidRDefault="00D27A7B" w:rsidP="00D27A7B">
            <w:pPr>
              <w:jc w:val="center"/>
              <w:rPr>
                <w:sz w:val="20"/>
                <w:szCs w:val="20"/>
              </w:rPr>
            </w:pPr>
            <w:r w:rsidRPr="006C5A12">
              <w:rPr>
                <w:b/>
                <w:sz w:val="20"/>
                <w:szCs w:val="20"/>
                <w:lang w:val="en-GB"/>
              </w:rPr>
              <w:t>Potatoes (2 x 0.902 kg a.s./ha, BBCH 21-89)</w:t>
            </w:r>
          </w:p>
        </w:tc>
      </w:tr>
      <w:tr w:rsidR="00D27A7B" w:rsidRPr="006C5A12" w14:paraId="46769638"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26468957" w14:textId="77777777" w:rsidR="00D27A7B" w:rsidRPr="006C5A12" w:rsidRDefault="00D27A7B" w:rsidP="00D27A7B">
            <w:pPr>
              <w:jc w:val="center"/>
              <w:rPr>
                <w:sz w:val="20"/>
                <w:szCs w:val="20"/>
              </w:rPr>
            </w:pPr>
            <w:r w:rsidRPr="006C5A12">
              <w:rPr>
                <w:sz w:val="20"/>
                <w:szCs w:val="20"/>
              </w:rPr>
              <w:t>BBCH ≥20</w:t>
            </w:r>
          </w:p>
        </w:tc>
        <w:tc>
          <w:tcPr>
            <w:tcW w:w="1696" w:type="pct"/>
            <w:gridSpan w:val="2"/>
            <w:tcBorders>
              <w:bottom w:val="single" w:sz="4" w:space="0" w:color="auto"/>
            </w:tcBorders>
            <w:shd w:val="clear" w:color="auto" w:fill="auto"/>
            <w:vAlign w:val="center"/>
          </w:tcPr>
          <w:p w14:paraId="7B0F8F44" w14:textId="77777777" w:rsidR="00D27A7B" w:rsidRPr="006C5A12" w:rsidRDefault="00D27A7B" w:rsidP="00D27A7B">
            <w:pPr>
              <w:jc w:val="center"/>
              <w:rPr>
                <w:sz w:val="20"/>
                <w:szCs w:val="20"/>
                <w:lang w:val="en-GB"/>
              </w:rPr>
            </w:pPr>
            <w:r w:rsidRPr="006C5A12">
              <w:rPr>
                <w:sz w:val="20"/>
                <w:szCs w:val="20"/>
                <w:lang w:val="en-GB"/>
              </w:rPr>
              <w:t>Small insectivorous mammal “shrew”</w:t>
            </w:r>
          </w:p>
        </w:tc>
        <w:tc>
          <w:tcPr>
            <w:tcW w:w="528" w:type="pct"/>
            <w:gridSpan w:val="2"/>
            <w:vMerge w:val="restart"/>
            <w:shd w:val="clear" w:color="auto" w:fill="auto"/>
            <w:vAlign w:val="center"/>
          </w:tcPr>
          <w:p w14:paraId="1EF81A8B" w14:textId="77777777" w:rsidR="00D27A7B" w:rsidRPr="006C5A12" w:rsidRDefault="00D27A7B" w:rsidP="00D27A7B">
            <w:pPr>
              <w:jc w:val="center"/>
              <w:rPr>
                <w:sz w:val="20"/>
                <w:szCs w:val="20"/>
                <w:lang w:val="en-GB"/>
              </w:rPr>
            </w:pPr>
            <w:r w:rsidRPr="006C5A12">
              <w:rPr>
                <w:sz w:val="20"/>
                <w:szCs w:val="20"/>
                <w:lang w:val="en-GB"/>
              </w:rPr>
              <w:t>0.902</w:t>
            </w:r>
          </w:p>
        </w:tc>
        <w:tc>
          <w:tcPr>
            <w:tcW w:w="354" w:type="pct"/>
            <w:gridSpan w:val="2"/>
            <w:tcBorders>
              <w:bottom w:val="single" w:sz="4" w:space="0" w:color="auto"/>
            </w:tcBorders>
            <w:shd w:val="clear" w:color="auto" w:fill="auto"/>
            <w:vAlign w:val="center"/>
          </w:tcPr>
          <w:p w14:paraId="2F1EFD45" w14:textId="77777777" w:rsidR="00D27A7B" w:rsidRPr="006C5A12" w:rsidRDefault="00D27A7B" w:rsidP="00D27A7B">
            <w:pPr>
              <w:jc w:val="center"/>
              <w:rPr>
                <w:sz w:val="20"/>
                <w:szCs w:val="20"/>
              </w:rPr>
            </w:pPr>
            <w:r w:rsidRPr="006C5A12">
              <w:rPr>
                <w:sz w:val="20"/>
                <w:szCs w:val="20"/>
              </w:rPr>
              <w:t>1.9</w:t>
            </w:r>
          </w:p>
        </w:tc>
        <w:tc>
          <w:tcPr>
            <w:tcW w:w="394" w:type="pct"/>
            <w:gridSpan w:val="2"/>
            <w:vMerge w:val="restart"/>
            <w:shd w:val="clear" w:color="auto" w:fill="auto"/>
            <w:vAlign w:val="center"/>
          </w:tcPr>
          <w:p w14:paraId="52E71170" w14:textId="77777777" w:rsidR="00D27A7B" w:rsidRPr="006C5A12" w:rsidRDefault="00D27A7B" w:rsidP="00D27A7B">
            <w:pPr>
              <w:jc w:val="center"/>
              <w:rPr>
                <w:sz w:val="20"/>
                <w:szCs w:val="20"/>
                <w:lang w:val="en-GB"/>
              </w:rPr>
            </w:pPr>
            <w:r w:rsidRPr="006C5A12">
              <w:rPr>
                <w:sz w:val="20"/>
                <w:szCs w:val="20"/>
                <w:lang w:val="en-GB"/>
              </w:rPr>
              <w:t>1.71 × 0.53</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594D992" w14:textId="77777777" w:rsidR="00D27A7B" w:rsidRPr="006C5A12" w:rsidRDefault="00D27A7B" w:rsidP="00D27A7B">
            <w:pPr>
              <w:jc w:val="center"/>
              <w:rPr>
                <w:sz w:val="20"/>
                <w:szCs w:val="20"/>
              </w:rPr>
            </w:pPr>
            <w:r w:rsidRPr="006C5A12">
              <w:rPr>
                <w:sz w:val="20"/>
                <w:szCs w:val="20"/>
              </w:rPr>
              <w:t>1.54</w:t>
            </w:r>
          </w:p>
        </w:tc>
        <w:tc>
          <w:tcPr>
            <w:tcW w:w="468" w:type="pct"/>
            <w:tcBorders>
              <w:top w:val="single" w:sz="4" w:space="0" w:color="auto"/>
              <w:left w:val="nil"/>
              <w:bottom w:val="single" w:sz="4" w:space="0" w:color="auto"/>
              <w:right w:val="single" w:sz="4" w:space="0" w:color="auto"/>
            </w:tcBorders>
            <w:shd w:val="clear" w:color="auto" w:fill="auto"/>
            <w:vAlign w:val="center"/>
          </w:tcPr>
          <w:p w14:paraId="3A6B6E63" w14:textId="77777777" w:rsidR="00D27A7B" w:rsidRPr="006C5A12" w:rsidRDefault="00D27A7B" w:rsidP="00D27A7B">
            <w:pPr>
              <w:jc w:val="center"/>
              <w:rPr>
                <w:sz w:val="20"/>
                <w:szCs w:val="20"/>
              </w:rPr>
            </w:pPr>
            <w:r w:rsidRPr="006C5A12">
              <w:rPr>
                <w:sz w:val="20"/>
                <w:szCs w:val="20"/>
              </w:rPr>
              <w:t>67.5</w:t>
            </w:r>
          </w:p>
        </w:tc>
      </w:tr>
      <w:tr w:rsidR="00D27A7B" w:rsidRPr="006C5A12" w14:paraId="023EF8D1"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E6DBC68" w14:textId="77777777" w:rsidR="00D27A7B" w:rsidRPr="006C5A12" w:rsidRDefault="00D27A7B" w:rsidP="00D27A7B">
            <w:pPr>
              <w:jc w:val="center"/>
              <w:rPr>
                <w:sz w:val="20"/>
                <w:szCs w:val="20"/>
              </w:rPr>
            </w:pPr>
            <w:r w:rsidRPr="006C5A12">
              <w:rPr>
                <w:sz w:val="20"/>
                <w:szCs w:val="20"/>
              </w:rPr>
              <w:t>BBCH ≥40</w:t>
            </w:r>
          </w:p>
        </w:tc>
        <w:tc>
          <w:tcPr>
            <w:tcW w:w="1696" w:type="pct"/>
            <w:gridSpan w:val="2"/>
            <w:tcBorders>
              <w:bottom w:val="single" w:sz="4" w:space="0" w:color="auto"/>
            </w:tcBorders>
            <w:shd w:val="clear" w:color="auto" w:fill="auto"/>
            <w:vAlign w:val="center"/>
          </w:tcPr>
          <w:p w14:paraId="62E1C85B" w14:textId="77777777" w:rsidR="00D27A7B" w:rsidRPr="006C5A12" w:rsidRDefault="00D27A7B" w:rsidP="00D27A7B">
            <w:pPr>
              <w:jc w:val="center"/>
              <w:rPr>
                <w:sz w:val="20"/>
                <w:szCs w:val="20"/>
                <w:lang w:val="en-GB"/>
              </w:rPr>
            </w:pPr>
            <w:r w:rsidRPr="006C5A12">
              <w:rPr>
                <w:sz w:val="20"/>
                <w:szCs w:val="20"/>
                <w:lang w:val="en-GB"/>
              </w:rPr>
              <w:t>Small herbivorous mammal “vole”</w:t>
            </w:r>
          </w:p>
        </w:tc>
        <w:tc>
          <w:tcPr>
            <w:tcW w:w="528" w:type="pct"/>
            <w:gridSpan w:val="2"/>
            <w:vMerge/>
            <w:shd w:val="clear" w:color="auto" w:fill="auto"/>
            <w:vAlign w:val="center"/>
          </w:tcPr>
          <w:p w14:paraId="0AD03E74"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71F89120" w14:textId="77777777" w:rsidR="00D27A7B" w:rsidRPr="006C5A12" w:rsidRDefault="00D27A7B" w:rsidP="00D27A7B">
            <w:pPr>
              <w:jc w:val="center"/>
              <w:rPr>
                <w:sz w:val="20"/>
                <w:szCs w:val="20"/>
              </w:rPr>
            </w:pPr>
            <w:r w:rsidRPr="006C5A12">
              <w:rPr>
                <w:sz w:val="20"/>
                <w:szCs w:val="20"/>
              </w:rPr>
              <w:t>21.7</w:t>
            </w:r>
          </w:p>
        </w:tc>
        <w:tc>
          <w:tcPr>
            <w:tcW w:w="394" w:type="pct"/>
            <w:gridSpan w:val="2"/>
            <w:vMerge/>
            <w:shd w:val="clear" w:color="auto" w:fill="auto"/>
            <w:vAlign w:val="center"/>
          </w:tcPr>
          <w:p w14:paraId="67E4602C"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3F4A7963" w14:textId="77777777" w:rsidR="00D27A7B" w:rsidRPr="006C5A12" w:rsidRDefault="00D27A7B" w:rsidP="00D27A7B">
            <w:pPr>
              <w:jc w:val="center"/>
              <w:rPr>
                <w:sz w:val="20"/>
                <w:szCs w:val="20"/>
              </w:rPr>
            </w:pPr>
            <w:r w:rsidRPr="006C5A12">
              <w:rPr>
                <w:sz w:val="20"/>
                <w:szCs w:val="20"/>
              </w:rPr>
              <w:t>17.60</w:t>
            </w:r>
          </w:p>
        </w:tc>
        <w:tc>
          <w:tcPr>
            <w:tcW w:w="468" w:type="pct"/>
            <w:tcBorders>
              <w:top w:val="single" w:sz="4" w:space="0" w:color="auto"/>
              <w:left w:val="nil"/>
              <w:bottom w:val="single" w:sz="4" w:space="0" w:color="auto"/>
              <w:right w:val="single" w:sz="4" w:space="0" w:color="auto"/>
            </w:tcBorders>
            <w:shd w:val="clear" w:color="auto" w:fill="auto"/>
            <w:vAlign w:val="center"/>
          </w:tcPr>
          <w:p w14:paraId="271F990B" w14:textId="77777777" w:rsidR="00D27A7B" w:rsidRPr="006C5A12" w:rsidRDefault="00D27A7B" w:rsidP="00D27A7B">
            <w:pPr>
              <w:jc w:val="center"/>
              <w:rPr>
                <w:sz w:val="20"/>
                <w:szCs w:val="20"/>
              </w:rPr>
            </w:pPr>
            <w:r w:rsidRPr="006C5A12">
              <w:rPr>
                <w:sz w:val="20"/>
                <w:szCs w:val="20"/>
              </w:rPr>
              <w:t>5.9</w:t>
            </w:r>
          </w:p>
        </w:tc>
      </w:tr>
      <w:tr w:rsidR="00D27A7B" w:rsidRPr="006C5A12" w14:paraId="749BF2E6"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4DC17C8" w14:textId="77777777" w:rsidR="00D27A7B" w:rsidRPr="006C5A12" w:rsidRDefault="00D27A7B" w:rsidP="00D27A7B">
            <w:pPr>
              <w:jc w:val="center"/>
              <w:rPr>
                <w:sz w:val="20"/>
                <w:szCs w:val="20"/>
              </w:rPr>
            </w:pPr>
            <w:r w:rsidRPr="006C5A12">
              <w:rPr>
                <w:sz w:val="20"/>
                <w:szCs w:val="20"/>
              </w:rPr>
              <w:t>BBCH 10-40</w:t>
            </w:r>
          </w:p>
        </w:tc>
        <w:tc>
          <w:tcPr>
            <w:tcW w:w="1696" w:type="pct"/>
            <w:gridSpan w:val="2"/>
            <w:tcBorders>
              <w:bottom w:val="single" w:sz="4" w:space="0" w:color="auto"/>
            </w:tcBorders>
            <w:shd w:val="clear" w:color="auto" w:fill="auto"/>
            <w:vAlign w:val="center"/>
          </w:tcPr>
          <w:p w14:paraId="4A8933CB" w14:textId="77777777" w:rsidR="00D27A7B" w:rsidRPr="006C5A12" w:rsidRDefault="00D27A7B" w:rsidP="00D27A7B">
            <w:pPr>
              <w:jc w:val="center"/>
              <w:rPr>
                <w:sz w:val="20"/>
                <w:szCs w:val="20"/>
                <w:lang w:val="en-GB"/>
              </w:rPr>
            </w:pPr>
            <w:r w:rsidRPr="006C5A12">
              <w:rPr>
                <w:sz w:val="20"/>
                <w:szCs w:val="20"/>
                <w:lang w:val="en-GB"/>
              </w:rPr>
              <w:t>Large herbivorous mammal “lagomorph”</w:t>
            </w:r>
          </w:p>
        </w:tc>
        <w:tc>
          <w:tcPr>
            <w:tcW w:w="528" w:type="pct"/>
            <w:gridSpan w:val="2"/>
            <w:vMerge/>
            <w:shd w:val="clear" w:color="auto" w:fill="auto"/>
            <w:vAlign w:val="center"/>
          </w:tcPr>
          <w:p w14:paraId="0C94BEF4"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416E3FB4" w14:textId="77777777" w:rsidR="00D27A7B" w:rsidRPr="006C5A12" w:rsidRDefault="00D27A7B" w:rsidP="00D27A7B">
            <w:pPr>
              <w:jc w:val="center"/>
              <w:rPr>
                <w:sz w:val="20"/>
                <w:szCs w:val="20"/>
              </w:rPr>
            </w:pPr>
            <w:r w:rsidRPr="006C5A12">
              <w:rPr>
                <w:sz w:val="20"/>
                <w:szCs w:val="20"/>
              </w:rPr>
              <w:t>14.3</w:t>
            </w:r>
          </w:p>
        </w:tc>
        <w:tc>
          <w:tcPr>
            <w:tcW w:w="394" w:type="pct"/>
            <w:gridSpan w:val="2"/>
            <w:vMerge/>
            <w:shd w:val="clear" w:color="auto" w:fill="auto"/>
            <w:vAlign w:val="center"/>
          </w:tcPr>
          <w:p w14:paraId="3D8EA48C"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244B65A1" w14:textId="77777777" w:rsidR="00D27A7B" w:rsidRPr="006C5A12" w:rsidRDefault="00D27A7B" w:rsidP="00D27A7B">
            <w:pPr>
              <w:jc w:val="center"/>
              <w:rPr>
                <w:sz w:val="20"/>
                <w:szCs w:val="20"/>
              </w:rPr>
            </w:pPr>
            <w:r w:rsidRPr="006C5A12">
              <w:rPr>
                <w:sz w:val="20"/>
                <w:szCs w:val="20"/>
              </w:rPr>
              <w:t>11.60</w:t>
            </w:r>
          </w:p>
        </w:tc>
        <w:tc>
          <w:tcPr>
            <w:tcW w:w="468" w:type="pct"/>
            <w:tcBorders>
              <w:top w:val="single" w:sz="4" w:space="0" w:color="auto"/>
              <w:left w:val="nil"/>
              <w:bottom w:val="single" w:sz="4" w:space="0" w:color="auto"/>
              <w:right w:val="single" w:sz="4" w:space="0" w:color="auto"/>
            </w:tcBorders>
            <w:shd w:val="clear" w:color="auto" w:fill="auto"/>
            <w:vAlign w:val="center"/>
          </w:tcPr>
          <w:p w14:paraId="7B869200" w14:textId="77777777" w:rsidR="00D27A7B" w:rsidRPr="006C5A12" w:rsidRDefault="00D27A7B" w:rsidP="00D27A7B">
            <w:pPr>
              <w:jc w:val="center"/>
              <w:rPr>
                <w:sz w:val="20"/>
                <w:szCs w:val="20"/>
              </w:rPr>
            </w:pPr>
            <w:r w:rsidRPr="006C5A12">
              <w:rPr>
                <w:sz w:val="20"/>
                <w:szCs w:val="20"/>
              </w:rPr>
              <w:t>9.0</w:t>
            </w:r>
          </w:p>
        </w:tc>
      </w:tr>
      <w:tr w:rsidR="00D27A7B" w:rsidRPr="006C5A12" w14:paraId="2716A429"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1DC246C9" w14:textId="77777777" w:rsidR="00D27A7B" w:rsidRPr="006C5A12" w:rsidRDefault="00D27A7B" w:rsidP="00D27A7B">
            <w:pPr>
              <w:jc w:val="center"/>
              <w:rPr>
                <w:sz w:val="20"/>
                <w:szCs w:val="20"/>
              </w:rPr>
            </w:pPr>
            <w:r w:rsidRPr="006C5A12">
              <w:rPr>
                <w:sz w:val="20"/>
                <w:szCs w:val="20"/>
              </w:rPr>
              <w:t>BBCH ≥40</w:t>
            </w:r>
          </w:p>
        </w:tc>
        <w:tc>
          <w:tcPr>
            <w:tcW w:w="1696" w:type="pct"/>
            <w:gridSpan w:val="2"/>
            <w:tcBorders>
              <w:bottom w:val="single" w:sz="4" w:space="0" w:color="auto"/>
            </w:tcBorders>
            <w:shd w:val="clear" w:color="auto" w:fill="auto"/>
            <w:vAlign w:val="center"/>
          </w:tcPr>
          <w:p w14:paraId="41224FC8" w14:textId="77777777" w:rsidR="00D27A7B" w:rsidRPr="006C5A12" w:rsidRDefault="00D27A7B" w:rsidP="00D27A7B">
            <w:pPr>
              <w:jc w:val="center"/>
              <w:rPr>
                <w:sz w:val="20"/>
                <w:szCs w:val="20"/>
                <w:lang w:val="en-GB"/>
              </w:rPr>
            </w:pPr>
            <w:r w:rsidRPr="006C5A12">
              <w:rPr>
                <w:sz w:val="20"/>
                <w:szCs w:val="20"/>
                <w:lang w:val="en-GB"/>
              </w:rPr>
              <w:t>Large herbivorous mammal “lagomorph”</w:t>
            </w:r>
          </w:p>
        </w:tc>
        <w:tc>
          <w:tcPr>
            <w:tcW w:w="528" w:type="pct"/>
            <w:gridSpan w:val="2"/>
            <w:vMerge/>
            <w:shd w:val="clear" w:color="auto" w:fill="auto"/>
            <w:vAlign w:val="center"/>
          </w:tcPr>
          <w:p w14:paraId="5C5B7F6D"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3D345549" w14:textId="77777777" w:rsidR="00D27A7B" w:rsidRPr="006C5A12" w:rsidRDefault="00D27A7B" w:rsidP="00D27A7B">
            <w:pPr>
              <w:jc w:val="center"/>
              <w:rPr>
                <w:sz w:val="20"/>
                <w:szCs w:val="20"/>
              </w:rPr>
            </w:pPr>
            <w:r w:rsidRPr="006C5A12">
              <w:rPr>
                <w:sz w:val="20"/>
                <w:szCs w:val="20"/>
              </w:rPr>
              <w:t>4.3</w:t>
            </w:r>
          </w:p>
        </w:tc>
        <w:tc>
          <w:tcPr>
            <w:tcW w:w="394" w:type="pct"/>
            <w:gridSpan w:val="2"/>
            <w:vMerge/>
            <w:shd w:val="clear" w:color="auto" w:fill="auto"/>
            <w:vAlign w:val="center"/>
          </w:tcPr>
          <w:p w14:paraId="1BB89F73"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14C9AEA9" w14:textId="77777777" w:rsidR="00D27A7B" w:rsidRPr="006C5A12" w:rsidRDefault="00D27A7B" w:rsidP="00D27A7B">
            <w:pPr>
              <w:jc w:val="center"/>
              <w:rPr>
                <w:sz w:val="20"/>
                <w:szCs w:val="20"/>
              </w:rPr>
            </w:pPr>
            <w:r w:rsidRPr="006C5A12">
              <w:rPr>
                <w:sz w:val="20"/>
                <w:szCs w:val="20"/>
              </w:rPr>
              <w:t>3.49</w:t>
            </w:r>
          </w:p>
        </w:tc>
        <w:tc>
          <w:tcPr>
            <w:tcW w:w="468" w:type="pct"/>
            <w:tcBorders>
              <w:top w:val="single" w:sz="4" w:space="0" w:color="auto"/>
              <w:left w:val="nil"/>
              <w:bottom w:val="single" w:sz="4" w:space="0" w:color="auto"/>
              <w:right w:val="single" w:sz="4" w:space="0" w:color="auto"/>
            </w:tcBorders>
            <w:shd w:val="clear" w:color="auto" w:fill="auto"/>
            <w:vAlign w:val="center"/>
          </w:tcPr>
          <w:p w14:paraId="183E3F7F" w14:textId="77777777" w:rsidR="00D27A7B" w:rsidRPr="006C5A12" w:rsidRDefault="00D27A7B" w:rsidP="00D27A7B">
            <w:pPr>
              <w:jc w:val="center"/>
              <w:rPr>
                <w:sz w:val="20"/>
                <w:szCs w:val="20"/>
              </w:rPr>
            </w:pPr>
            <w:r w:rsidRPr="006C5A12">
              <w:rPr>
                <w:sz w:val="20"/>
                <w:szCs w:val="20"/>
              </w:rPr>
              <w:t>29.8</w:t>
            </w:r>
          </w:p>
        </w:tc>
      </w:tr>
      <w:tr w:rsidR="00D27A7B" w:rsidRPr="006C5A12" w14:paraId="400C9887"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2AA47523" w14:textId="77777777" w:rsidR="00D27A7B" w:rsidRPr="006C5A12" w:rsidRDefault="00D27A7B" w:rsidP="00D27A7B">
            <w:pPr>
              <w:jc w:val="center"/>
              <w:rPr>
                <w:sz w:val="20"/>
                <w:szCs w:val="20"/>
              </w:rPr>
            </w:pPr>
            <w:r w:rsidRPr="006C5A12">
              <w:rPr>
                <w:sz w:val="20"/>
                <w:szCs w:val="20"/>
              </w:rPr>
              <w:t>BBCH 10-39</w:t>
            </w:r>
          </w:p>
        </w:tc>
        <w:tc>
          <w:tcPr>
            <w:tcW w:w="1696" w:type="pct"/>
            <w:gridSpan w:val="2"/>
            <w:tcBorders>
              <w:bottom w:val="single" w:sz="4" w:space="0" w:color="auto"/>
            </w:tcBorders>
            <w:shd w:val="clear" w:color="auto" w:fill="auto"/>
            <w:vAlign w:val="center"/>
          </w:tcPr>
          <w:p w14:paraId="022E9B0E"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50FF2BAC"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683B392E" w14:textId="77777777" w:rsidR="00D27A7B" w:rsidRPr="006C5A12" w:rsidRDefault="00D27A7B" w:rsidP="00D27A7B">
            <w:pPr>
              <w:jc w:val="center"/>
              <w:rPr>
                <w:sz w:val="20"/>
                <w:szCs w:val="20"/>
              </w:rPr>
            </w:pPr>
            <w:r w:rsidRPr="006C5A12">
              <w:rPr>
                <w:sz w:val="20"/>
                <w:szCs w:val="20"/>
              </w:rPr>
              <w:t>7.8</w:t>
            </w:r>
          </w:p>
        </w:tc>
        <w:tc>
          <w:tcPr>
            <w:tcW w:w="394" w:type="pct"/>
            <w:gridSpan w:val="2"/>
            <w:vMerge/>
            <w:shd w:val="clear" w:color="auto" w:fill="auto"/>
            <w:vAlign w:val="center"/>
          </w:tcPr>
          <w:p w14:paraId="430D866F"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8EB194D" w14:textId="77777777" w:rsidR="00D27A7B" w:rsidRPr="006C5A12" w:rsidRDefault="00D27A7B" w:rsidP="00D27A7B">
            <w:pPr>
              <w:jc w:val="center"/>
              <w:rPr>
                <w:sz w:val="20"/>
                <w:szCs w:val="20"/>
              </w:rPr>
            </w:pPr>
            <w:r w:rsidRPr="006C5A12">
              <w:rPr>
                <w:sz w:val="20"/>
                <w:szCs w:val="20"/>
              </w:rPr>
              <w:t>6.33</w:t>
            </w:r>
          </w:p>
        </w:tc>
        <w:tc>
          <w:tcPr>
            <w:tcW w:w="468" w:type="pct"/>
            <w:tcBorders>
              <w:top w:val="single" w:sz="4" w:space="0" w:color="auto"/>
              <w:left w:val="nil"/>
              <w:bottom w:val="single" w:sz="4" w:space="0" w:color="auto"/>
              <w:right w:val="single" w:sz="4" w:space="0" w:color="auto"/>
            </w:tcBorders>
            <w:shd w:val="clear" w:color="auto" w:fill="auto"/>
            <w:vAlign w:val="center"/>
          </w:tcPr>
          <w:p w14:paraId="6E369C07" w14:textId="77777777" w:rsidR="00D27A7B" w:rsidRPr="006C5A12" w:rsidRDefault="00D27A7B" w:rsidP="00D27A7B">
            <w:pPr>
              <w:jc w:val="center"/>
              <w:rPr>
                <w:sz w:val="20"/>
                <w:szCs w:val="20"/>
              </w:rPr>
            </w:pPr>
            <w:r w:rsidRPr="006C5A12">
              <w:rPr>
                <w:sz w:val="20"/>
                <w:szCs w:val="20"/>
              </w:rPr>
              <w:t>16.4</w:t>
            </w:r>
          </w:p>
        </w:tc>
      </w:tr>
      <w:tr w:rsidR="00D27A7B" w:rsidRPr="006C5A12" w14:paraId="2C58CC7B"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3E4440BE" w14:textId="77777777" w:rsidR="00D27A7B" w:rsidRPr="006C5A12" w:rsidRDefault="00D27A7B" w:rsidP="00D27A7B">
            <w:pPr>
              <w:jc w:val="center"/>
              <w:rPr>
                <w:sz w:val="20"/>
                <w:szCs w:val="20"/>
              </w:rPr>
            </w:pPr>
            <w:r w:rsidRPr="006C5A12">
              <w:rPr>
                <w:sz w:val="20"/>
                <w:szCs w:val="20"/>
              </w:rPr>
              <w:t>BBCH ≥40</w:t>
            </w:r>
          </w:p>
        </w:tc>
        <w:tc>
          <w:tcPr>
            <w:tcW w:w="1696" w:type="pct"/>
            <w:gridSpan w:val="2"/>
            <w:tcBorders>
              <w:bottom w:val="single" w:sz="4" w:space="0" w:color="auto"/>
            </w:tcBorders>
            <w:shd w:val="clear" w:color="auto" w:fill="auto"/>
            <w:vAlign w:val="center"/>
          </w:tcPr>
          <w:p w14:paraId="5B74A0B9"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tcBorders>
              <w:bottom w:val="single" w:sz="4" w:space="0" w:color="auto"/>
            </w:tcBorders>
            <w:shd w:val="clear" w:color="auto" w:fill="auto"/>
            <w:vAlign w:val="center"/>
          </w:tcPr>
          <w:p w14:paraId="2446C209"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498E8B2A" w14:textId="77777777" w:rsidR="00D27A7B" w:rsidRPr="006C5A12" w:rsidRDefault="00D27A7B" w:rsidP="00D27A7B">
            <w:pPr>
              <w:jc w:val="center"/>
              <w:rPr>
                <w:sz w:val="20"/>
                <w:szCs w:val="20"/>
              </w:rPr>
            </w:pPr>
            <w:r w:rsidRPr="006C5A12">
              <w:rPr>
                <w:sz w:val="20"/>
                <w:szCs w:val="20"/>
              </w:rPr>
              <w:t>2.3</w:t>
            </w:r>
          </w:p>
        </w:tc>
        <w:tc>
          <w:tcPr>
            <w:tcW w:w="394" w:type="pct"/>
            <w:gridSpan w:val="2"/>
            <w:vMerge/>
            <w:tcBorders>
              <w:bottom w:val="single" w:sz="4" w:space="0" w:color="auto"/>
            </w:tcBorders>
            <w:shd w:val="clear" w:color="auto" w:fill="auto"/>
            <w:vAlign w:val="center"/>
          </w:tcPr>
          <w:p w14:paraId="7C7DB76D"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DF2C362" w14:textId="77777777" w:rsidR="00D27A7B" w:rsidRPr="006C5A12" w:rsidRDefault="00D27A7B" w:rsidP="00D27A7B">
            <w:pPr>
              <w:jc w:val="center"/>
              <w:rPr>
                <w:sz w:val="20"/>
                <w:szCs w:val="20"/>
              </w:rPr>
            </w:pPr>
            <w:r w:rsidRPr="006C5A12">
              <w:rPr>
                <w:sz w:val="20"/>
                <w:szCs w:val="20"/>
              </w:rPr>
              <w:t>1.87</w:t>
            </w:r>
          </w:p>
        </w:tc>
        <w:tc>
          <w:tcPr>
            <w:tcW w:w="468" w:type="pct"/>
            <w:tcBorders>
              <w:top w:val="single" w:sz="4" w:space="0" w:color="auto"/>
              <w:left w:val="nil"/>
              <w:bottom w:val="single" w:sz="4" w:space="0" w:color="auto"/>
              <w:right w:val="single" w:sz="4" w:space="0" w:color="auto"/>
            </w:tcBorders>
            <w:shd w:val="clear" w:color="auto" w:fill="auto"/>
            <w:vAlign w:val="center"/>
          </w:tcPr>
          <w:p w14:paraId="653E914B" w14:textId="77777777" w:rsidR="00D27A7B" w:rsidRPr="006C5A12" w:rsidRDefault="00D27A7B" w:rsidP="00D27A7B">
            <w:pPr>
              <w:jc w:val="center"/>
              <w:rPr>
                <w:sz w:val="20"/>
                <w:szCs w:val="20"/>
              </w:rPr>
            </w:pPr>
            <w:r w:rsidRPr="006C5A12">
              <w:rPr>
                <w:sz w:val="20"/>
                <w:szCs w:val="20"/>
              </w:rPr>
              <w:t>55.7</w:t>
            </w:r>
          </w:p>
        </w:tc>
      </w:tr>
      <w:tr w:rsidR="00D27A7B" w:rsidRPr="006C5A12" w14:paraId="7387B4A9" w14:textId="77777777" w:rsidTr="008B64F2">
        <w:trPr>
          <w:gridBefore w:val="1"/>
          <w:wBefore w:w="31" w:type="pct"/>
          <w:cantSplit/>
        </w:trPr>
        <w:tc>
          <w:tcPr>
            <w:tcW w:w="4969" w:type="pct"/>
            <w:gridSpan w:val="12"/>
            <w:tcBorders>
              <w:top w:val="single" w:sz="12" w:space="0" w:color="auto"/>
              <w:bottom w:val="single" w:sz="12" w:space="0" w:color="auto"/>
              <w:right w:val="single" w:sz="4" w:space="0" w:color="auto"/>
            </w:tcBorders>
            <w:shd w:val="clear" w:color="auto" w:fill="auto"/>
            <w:vAlign w:val="center"/>
          </w:tcPr>
          <w:p w14:paraId="706F2913" w14:textId="273E7A34" w:rsidR="00D27A7B" w:rsidRPr="006C5A12" w:rsidRDefault="00D27A7B" w:rsidP="00D27A7B">
            <w:pPr>
              <w:jc w:val="center"/>
              <w:rPr>
                <w:b/>
                <w:color w:val="000000"/>
                <w:sz w:val="20"/>
                <w:szCs w:val="20"/>
                <w:highlight w:val="yellow"/>
                <w:lang w:val="en-GB"/>
              </w:rPr>
            </w:pPr>
            <w:bookmarkStart w:id="366" w:name="_Hlk135000317"/>
            <w:r w:rsidRPr="006C5A12">
              <w:rPr>
                <w:b/>
                <w:sz w:val="20"/>
                <w:szCs w:val="20"/>
                <w:lang w:val="en-GB"/>
              </w:rPr>
              <w:t xml:space="preserve">Bulbs and onion like crops </w:t>
            </w:r>
            <w:bookmarkEnd w:id="366"/>
            <w:r w:rsidRPr="006C5A12">
              <w:rPr>
                <w:b/>
                <w:sz w:val="20"/>
                <w:szCs w:val="20"/>
                <w:lang w:val="en-GB"/>
              </w:rPr>
              <w:t>(2 x 0.902 kg a.s./ha, BBCH 14–49)</w:t>
            </w:r>
          </w:p>
        </w:tc>
      </w:tr>
      <w:tr w:rsidR="00D27A7B" w:rsidRPr="006C5A12" w14:paraId="43A14DD4" w14:textId="77777777" w:rsidTr="00B23596">
        <w:trPr>
          <w:gridBefore w:val="1"/>
          <w:wBefore w:w="31" w:type="pct"/>
          <w:cantSplit/>
        </w:trPr>
        <w:tc>
          <w:tcPr>
            <w:tcW w:w="863"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382AB3DA" w14:textId="77777777" w:rsidR="00D27A7B" w:rsidRPr="006C5A12" w:rsidRDefault="00D27A7B" w:rsidP="00D27A7B">
            <w:pPr>
              <w:jc w:val="center"/>
              <w:rPr>
                <w:color w:val="000000"/>
                <w:sz w:val="20"/>
                <w:szCs w:val="20"/>
                <w:lang w:val="en-GB" w:eastAsia="en-GB"/>
              </w:rPr>
            </w:pPr>
            <w:r w:rsidRPr="006C5A12">
              <w:rPr>
                <w:sz w:val="20"/>
                <w:szCs w:val="20"/>
              </w:rPr>
              <w:t>BBCH 10-19</w:t>
            </w:r>
          </w:p>
        </w:tc>
        <w:tc>
          <w:tcPr>
            <w:tcW w:w="1696" w:type="pct"/>
            <w:gridSpan w:val="2"/>
            <w:tcBorders>
              <w:top w:val="single" w:sz="4" w:space="0" w:color="auto"/>
              <w:left w:val="nil"/>
              <w:bottom w:val="single" w:sz="2" w:space="0" w:color="auto"/>
              <w:right w:val="single" w:sz="4" w:space="0" w:color="auto"/>
            </w:tcBorders>
            <w:shd w:val="clear" w:color="auto" w:fill="auto"/>
            <w:vAlign w:val="center"/>
          </w:tcPr>
          <w:p w14:paraId="594280CB" w14:textId="77777777" w:rsidR="00D27A7B" w:rsidRPr="006C5A12" w:rsidRDefault="00D27A7B" w:rsidP="00D27A7B">
            <w:pPr>
              <w:jc w:val="center"/>
              <w:rPr>
                <w:color w:val="000000"/>
                <w:sz w:val="20"/>
                <w:szCs w:val="20"/>
                <w:lang w:val="en-GB"/>
              </w:rPr>
            </w:pPr>
            <w:r w:rsidRPr="006C5A12">
              <w:rPr>
                <w:sz w:val="20"/>
                <w:szCs w:val="20"/>
                <w:lang w:val="en-GB"/>
              </w:rPr>
              <w:t>Small insectivorous mammal “shrew”</w:t>
            </w:r>
          </w:p>
        </w:tc>
        <w:tc>
          <w:tcPr>
            <w:tcW w:w="528" w:type="pct"/>
            <w:gridSpan w:val="2"/>
            <w:vMerge w:val="restart"/>
            <w:shd w:val="clear" w:color="auto" w:fill="auto"/>
            <w:vAlign w:val="center"/>
          </w:tcPr>
          <w:p w14:paraId="6753DA57" w14:textId="77777777" w:rsidR="00D27A7B" w:rsidRPr="006C5A12" w:rsidRDefault="00D27A7B" w:rsidP="00D27A7B">
            <w:pPr>
              <w:jc w:val="center"/>
              <w:rPr>
                <w:sz w:val="20"/>
                <w:szCs w:val="20"/>
                <w:lang w:val="en-GB"/>
              </w:rPr>
            </w:pPr>
            <w:r w:rsidRPr="006C5A12">
              <w:rPr>
                <w:sz w:val="20"/>
                <w:szCs w:val="20"/>
                <w:lang w:val="en-GB"/>
              </w:rPr>
              <w:t>0.902</w:t>
            </w:r>
          </w:p>
        </w:tc>
        <w:tc>
          <w:tcPr>
            <w:tcW w:w="354"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16EC1958" w14:textId="77777777" w:rsidR="00D27A7B" w:rsidRPr="006C5A12" w:rsidRDefault="00D27A7B" w:rsidP="00D27A7B">
            <w:pPr>
              <w:jc w:val="center"/>
              <w:rPr>
                <w:color w:val="000000"/>
                <w:sz w:val="20"/>
                <w:szCs w:val="20"/>
                <w:lang w:val="en-GB" w:eastAsia="en-GB"/>
              </w:rPr>
            </w:pPr>
            <w:r w:rsidRPr="006C5A12">
              <w:rPr>
                <w:sz w:val="20"/>
                <w:szCs w:val="20"/>
              </w:rPr>
              <w:t>4.2</w:t>
            </w:r>
          </w:p>
        </w:tc>
        <w:tc>
          <w:tcPr>
            <w:tcW w:w="394" w:type="pct"/>
            <w:gridSpan w:val="2"/>
            <w:vMerge w:val="restart"/>
            <w:shd w:val="clear" w:color="auto" w:fill="auto"/>
            <w:vAlign w:val="center"/>
          </w:tcPr>
          <w:p w14:paraId="7A95015C" w14:textId="77777777" w:rsidR="00D27A7B" w:rsidRPr="006C5A12" w:rsidRDefault="00D27A7B" w:rsidP="00D27A7B">
            <w:pPr>
              <w:jc w:val="center"/>
              <w:rPr>
                <w:sz w:val="20"/>
                <w:szCs w:val="20"/>
                <w:lang w:val="en-GB"/>
              </w:rPr>
            </w:pPr>
            <w:r w:rsidRPr="006C5A12">
              <w:rPr>
                <w:sz w:val="20"/>
                <w:szCs w:val="20"/>
                <w:lang w:val="en-GB"/>
              </w:rPr>
              <w:t>1.71 × 0.53</w:t>
            </w:r>
          </w:p>
        </w:tc>
        <w:tc>
          <w:tcPr>
            <w:tcW w:w="666" w:type="pct"/>
            <w:tcBorders>
              <w:top w:val="single" w:sz="4" w:space="0" w:color="auto"/>
              <w:left w:val="single" w:sz="4" w:space="0" w:color="auto"/>
              <w:bottom w:val="single" w:sz="2" w:space="0" w:color="auto"/>
              <w:right w:val="single" w:sz="4" w:space="0" w:color="auto"/>
            </w:tcBorders>
            <w:shd w:val="clear" w:color="auto" w:fill="auto"/>
            <w:vAlign w:val="center"/>
          </w:tcPr>
          <w:p w14:paraId="41620FB2" w14:textId="77777777" w:rsidR="00D27A7B" w:rsidRPr="006C5A12" w:rsidRDefault="00D27A7B" w:rsidP="00D27A7B">
            <w:pPr>
              <w:jc w:val="center"/>
              <w:rPr>
                <w:color w:val="000000"/>
                <w:sz w:val="20"/>
                <w:szCs w:val="20"/>
                <w:lang w:val="en-GB" w:eastAsia="en-GB"/>
              </w:rPr>
            </w:pPr>
            <w:r w:rsidRPr="006C5A12">
              <w:rPr>
                <w:sz w:val="20"/>
                <w:szCs w:val="20"/>
              </w:rPr>
              <w:t>3.41</w:t>
            </w:r>
          </w:p>
        </w:tc>
        <w:tc>
          <w:tcPr>
            <w:tcW w:w="468" w:type="pct"/>
            <w:tcBorders>
              <w:top w:val="single" w:sz="4" w:space="0" w:color="auto"/>
              <w:left w:val="single" w:sz="4" w:space="0" w:color="auto"/>
              <w:bottom w:val="single" w:sz="2" w:space="0" w:color="auto"/>
              <w:right w:val="single" w:sz="4" w:space="0" w:color="auto"/>
            </w:tcBorders>
            <w:shd w:val="clear" w:color="auto" w:fill="auto"/>
            <w:vAlign w:val="center"/>
          </w:tcPr>
          <w:p w14:paraId="6A010171" w14:textId="77777777" w:rsidR="00D27A7B" w:rsidRPr="006C5A12" w:rsidRDefault="00D27A7B" w:rsidP="00D27A7B">
            <w:pPr>
              <w:jc w:val="center"/>
              <w:rPr>
                <w:color w:val="000000"/>
                <w:sz w:val="20"/>
                <w:szCs w:val="20"/>
                <w:lang w:val="en-GB" w:eastAsia="en-GB"/>
              </w:rPr>
            </w:pPr>
            <w:r w:rsidRPr="006C5A12">
              <w:rPr>
                <w:sz w:val="20"/>
                <w:szCs w:val="20"/>
              </w:rPr>
              <w:t>30.5</w:t>
            </w:r>
          </w:p>
        </w:tc>
      </w:tr>
      <w:tr w:rsidR="00D27A7B" w:rsidRPr="006C5A12" w14:paraId="700A6B0E" w14:textId="77777777" w:rsidTr="00B23596">
        <w:trPr>
          <w:gridBefore w:val="1"/>
          <w:wBefore w:w="31" w:type="pct"/>
          <w:cantSplit/>
        </w:trPr>
        <w:tc>
          <w:tcPr>
            <w:tcW w:w="863"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1E338892" w14:textId="77777777" w:rsidR="00D27A7B" w:rsidRPr="006C5A12" w:rsidRDefault="00D27A7B" w:rsidP="00D27A7B">
            <w:pPr>
              <w:jc w:val="center"/>
              <w:rPr>
                <w:color w:val="000000"/>
                <w:sz w:val="20"/>
                <w:szCs w:val="20"/>
                <w:lang w:val="en-GB"/>
              </w:rPr>
            </w:pPr>
            <w:r w:rsidRPr="006C5A12">
              <w:rPr>
                <w:sz w:val="20"/>
                <w:szCs w:val="20"/>
              </w:rPr>
              <w:t>BBCH ≥20</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3A0B189D" w14:textId="77777777" w:rsidR="00D27A7B" w:rsidRPr="006C5A12" w:rsidRDefault="00D27A7B" w:rsidP="00D27A7B">
            <w:pPr>
              <w:jc w:val="center"/>
              <w:rPr>
                <w:color w:val="000000"/>
                <w:sz w:val="20"/>
                <w:szCs w:val="20"/>
                <w:lang w:val="en-GB"/>
              </w:rPr>
            </w:pPr>
            <w:r w:rsidRPr="006C5A12">
              <w:rPr>
                <w:sz w:val="20"/>
                <w:szCs w:val="20"/>
                <w:lang w:val="en-GB"/>
              </w:rPr>
              <w:t>Small insectivorous mammal “shrew”</w:t>
            </w:r>
          </w:p>
        </w:tc>
        <w:tc>
          <w:tcPr>
            <w:tcW w:w="528" w:type="pct"/>
            <w:gridSpan w:val="2"/>
            <w:vMerge/>
            <w:shd w:val="clear" w:color="auto" w:fill="auto"/>
            <w:vAlign w:val="center"/>
          </w:tcPr>
          <w:p w14:paraId="56BC1520" w14:textId="77777777" w:rsidR="00D27A7B" w:rsidRPr="006C5A12" w:rsidRDefault="00D27A7B" w:rsidP="00D27A7B">
            <w:pPr>
              <w:jc w:val="center"/>
              <w:rPr>
                <w:sz w:val="20"/>
                <w:szCs w:val="20"/>
                <w:lang w:val="en-GB"/>
              </w:rPr>
            </w:pPr>
          </w:p>
        </w:tc>
        <w:tc>
          <w:tcPr>
            <w:tcW w:w="354"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08836184" w14:textId="77777777" w:rsidR="00D27A7B" w:rsidRPr="006C5A12" w:rsidRDefault="00D27A7B" w:rsidP="00D27A7B">
            <w:pPr>
              <w:jc w:val="center"/>
              <w:rPr>
                <w:color w:val="000000"/>
                <w:sz w:val="20"/>
                <w:szCs w:val="20"/>
                <w:lang w:val="en-GB"/>
              </w:rPr>
            </w:pPr>
            <w:r w:rsidRPr="006C5A12">
              <w:rPr>
                <w:sz w:val="20"/>
                <w:szCs w:val="20"/>
              </w:rPr>
              <w:t>1.9</w:t>
            </w:r>
          </w:p>
        </w:tc>
        <w:tc>
          <w:tcPr>
            <w:tcW w:w="394" w:type="pct"/>
            <w:gridSpan w:val="2"/>
            <w:vMerge/>
            <w:shd w:val="clear" w:color="auto" w:fill="auto"/>
            <w:vAlign w:val="center"/>
          </w:tcPr>
          <w:p w14:paraId="3340C637" w14:textId="77777777" w:rsidR="00D27A7B" w:rsidRPr="006C5A12" w:rsidRDefault="00D27A7B" w:rsidP="00D27A7B">
            <w:pPr>
              <w:jc w:val="center"/>
              <w:rPr>
                <w:sz w:val="20"/>
                <w:szCs w:val="20"/>
                <w:lang w:val="en-GB"/>
              </w:rPr>
            </w:pPr>
          </w:p>
        </w:tc>
        <w:tc>
          <w:tcPr>
            <w:tcW w:w="666" w:type="pct"/>
            <w:tcBorders>
              <w:top w:val="single" w:sz="2" w:space="0" w:color="auto"/>
              <w:left w:val="single" w:sz="4" w:space="0" w:color="auto"/>
              <w:bottom w:val="single" w:sz="4" w:space="0" w:color="auto"/>
              <w:right w:val="single" w:sz="4" w:space="0" w:color="auto"/>
            </w:tcBorders>
            <w:shd w:val="clear" w:color="auto" w:fill="auto"/>
            <w:vAlign w:val="center"/>
          </w:tcPr>
          <w:p w14:paraId="57010DD6" w14:textId="77777777" w:rsidR="00D27A7B" w:rsidRPr="006C5A12" w:rsidRDefault="00D27A7B" w:rsidP="00D27A7B">
            <w:pPr>
              <w:jc w:val="center"/>
              <w:rPr>
                <w:color w:val="000000"/>
                <w:sz w:val="20"/>
                <w:szCs w:val="20"/>
                <w:lang w:val="en-GB"/>
              </w:rPr>
            </w:pPr>
            <w:r w:rsidRPr="006C5A12">
              <w:rPr>
                <w:sz w:val="20"/>
                <w:szCs w:val="20"/>
              </w:rPr>
              <w:t>1.54</w:t>
            </w:r>
          </w:p>
        </w:tc>
        <w:tc>
          <w:tcPr>
            <w:tcW w:w="468" w:type="pct"/>
            <w:tcBorders>
              <w:top w:val="single" w:sz="2" w:space="0" w:color="auto"/>
              <w:left w:val="single" w:sz="4" w:space="0" w:color="auto"/>
              <w:bottom w:val="single" w:sz="4" w:space="0" w:color="auto"/>
              <w:right w:val="single" w:sz="4" w:space="0" w:color="auto"/>
            </w:tcBorders>
            <w:shd w:val="clear" w:color="auto" w:fill="auto"/>
            <w:vAlign w:val="center"/>
          </w:tcPr>
          <w:p w14:paraId="5E7CAD1F" w14:textId="77777777" w:rsidR="00D27A7B" w:rsidRPr="006C5A12" w:rsidRDefault="00D27A7B" w:rsidP="00D27A7B">
            <w:pPr>
              <w:jc w:val="center"/>
              <w:rPr>
                <w:color w:val="000000"/>
                <w:sz w:val="20"/>
                <w:szCs w:val="20"/>
                <w:lang w:val="en-GB"/>
              </w:rPr>
            </w:pPr>
            <w:r w:rsidRPr="006C5A12">
              <w:rPr>
                <w:sz w:val="20"/>
                <w:szCs w:val="20"/>
              </w:rPr>
              <w:t>67.5</w:t>
            </w:r>
          </w:p>
        </w:tc>
      </w:tr>
      <w:tr w:rsidR="00D27A7B" w:rsidRPr="006C5A12" w14:paraId="74CFF7C7"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5AB9EE65" w14:textId="77777777" w:rsidR="00D27A7B" w:rsidRPr="006C5A12" w:rsidRDefault="00D27A7B" w:rsidP="00D27A7B">
            <w:pPr>
              <w:jc w:val="center"/>
              <w:rPr>
                <w:color w:val="000000"/>
                <w:sz w:val="20"/>
                <w:szCs w:val="20"/>
                <w:lang w:val="en-GB"/>
              </w:rPr>
            </w:pPr>
            <w:r w:rsidRPr="006C5A12">
              <w:rPr>
                <w:sz w:val="20"/>
                <w:szCs w:val="20"/>
              </w:rPr>
              <w:t>BBCH ≥40</w:t>
            </w:r>
          </w:p>
        </w:tc>
        <w:tc>
          <w:tcPr>
            <w:tcW w:w="1696" w:type="pct"/>
            <w:gridSpan w:val="2"/>
            <w:tcBorders>
              <w:top w:val="nil"/>
              <w:left w:val="nil"/>
              <w:bottom w:val="single" w:sz="4" w:space="0" w:color="auto"/>
              <w:right w:val="single" w:sz="4" w:space="0" w:color="auto"/>
            </w:tcBorders>
            <w:shd w:val="clear" w:color="auto" w:fill="auto"/>
            <w:vAlign w:val="center"/>
          </w:tcPr>
          <w:p w14:paraId="29FB91B4" w14:textId="77777777" w:rsidR="00D27A7B" w:rsidRPr="006C5A12" w:rsidRDefault="00D27A7B" w:rsidP="00D27A7B">
            <w:pPr>
              <w:jc w:val="center"/>
              <w:rPr>
                <w:color w:val="000000"/>
                <w:sz w:val="20"/>
                <w:szCs w:val="20"/>
                <w:lang w:val="en-GB"/>
              </w:rPr>
            </w:pPr>
            <w:r w:rsidRPr="006C5A12">
              <w:rPr>
                <w:sz w:val="20"/>
                <w:szCs w:val="20"/>
                <w:lang w:val="en-GB"/>
              </w:rPr>
              <w:t>Small herbivorous mammal “vole”</w:t>
            </w:r>
          </w:p>
        </w:tc>
        <w:tc>
          <w:tcPr>
            <w:tcW w:w="528" w:type="pct"/>
            <w:gridSpan w:val="2"/>
            <w:vMerge/>
            <w:shd w:val="clear" w:color="auto" w:fill="auto"/>
            <w:vAlign w:val="center"/>
          </w:tcPr>
          <w:p w14:paraId="33116748"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3DB3F42C" w14:textId="77777777" w:rsidR="00D27A7B" w:rsidRPr="006C5A12" w:rsidRDefault="00D27A7B" w:rsidP="00D27A7B">
            <w:pPr>
              <w:jc w:val="center"/>
              <w:rPr>
                <w:color w:val="000000"/>
                <w:sz w:val="20"/>
                <w:szCs w:val="20"/>
                <w:lang w:val="en-GB"/>
              </w:rPr>
            </w:pPr>
            <w:r w:rsidRPr="006C5A12">
              <w:rPr>
                <w:sz w:val="20"/>
                <w:szCs w:val="20"/>
              </w:rPr>
              <w:t>43.4</w:t>
            </w:r>
          </w:p>
        </w:tc>
        <w:tc>
          <w:tcPr>
            <w:tcW w:w="394" w:type="pct"/>
            <w:gridSpan w:val="2"/>
            <w:vMerge/>
            <w:shd w:val="clear" w:color="auto" w:fill="auto"/>
            <w:vAlign w:val="center"/>
          </w:tcPr>
          <w:p w14:paraId="3BAB0C9C"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2C0F813C" w14:textId="77777777" w:rsidR="00D27A7B" w:rsidRPr="006C5A12" w:rsidRDefault="00D27A7B" w:rsidP="00D27A7B">
            <w:pPr>
              <w:jc w:val="center"/>
              <w:rPr>
                <w:color w:val="000000"/>
                <w:sz w:val="20"/>
                <w:szCs w:val="20"/>
                <w:lang w:val="en-GB"/>
              </w:rPr>
            </w:pPr>
            <w:r w:rsidRPr="006C5A12">
              <w:rPr>
                <w:sz w:val="20"/>
                <w:szCs w:val="20"/>
              </w:rPr>
              <w:t>35.20</w:t>
            </w:r>
          </w:p>
        </w:tc>
        <w:tc>
          <w:tcPr>
            <w:tcW w:w="468" w:type="pct"/>
            <w:tcBorders>
              <w:top w:val="nil"/>
              <w:left w:val="single" w:sz="4" w:space="0" w:color="auto"/>
              <w:bottom w:val="single" w:sz="4" w:space="0" w:color="auto"/>
              <w:right w:val="single" w:sz="4" w:space="0" w:color="auto"/>
            </w:tcBorders>
            <w:shd w:val="clear" w:color="auto" w:fill="auto"/>
            <w:vAlign w:val="center"/>
          </w:tcPr>
          <w:p w14:paraId="69DD95FD" w14:textId="77777777" w:rsidR="00D27A7B" w:rsidRPr="006C5A12" w:rsidRDefault="00D27A7B" w:rsidP="00D27A7B">
            <w:pPr>
              <w:jc w:val="center"/>
              <w:rPr>
                <w:b/>
                <w:bCs/>
                <w:color w:val="000000"/>
                <w:sz w:val="20"/>
                <w:szCs w:val="20"/>
                <w:lang w:val="en-GB"/>
              </w:rPr>
            </w:pPr>
            <w:r w:rsidRPr="006C5A12">
              <w:rPr>
                <w:b/>
                <w:bCs/>
                <w:sz w:val="20"/>
                <w:szCs w:val="20"/>
              </w:rPr>
              <w:t>3.0</w:t>
            </w:r>
          </w:p>
        </w:tc>
      </w:tr>
      <w:tr w:rsidR="00D27A7B" w:rsidRPr="006C5A12" w14:paraId="40B7A1F9"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69618A92" w14:textId="77777777" w:rsidR="00D27A7B" w:rsidRPr="006C5A12" w:rsidRDefault="00D27A7B" w:rsidP="00D27A7B">
            <w:pPr>
              <w:jc w:val="center"/>
              <w:rPr>
                <w:sz w:val="20"/>
                <w:szCs w:val="20"/>
                <w:lang w:val="en-GB"/>
              </w:rPr>
            </w:pPr>
            <w:r w:rsidRPr="006C5A12">
              <w:rPr>
                <w:sz w:val="20"/>
                <w:szCs w:val="20"/>
              </w:rPr>
              <w:t>BBCH 10-39</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5E0DF7DA"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58EA46DA"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2EACFF2D" w14:textId="77777777" w:rsidR="00D27A7B" w:rsidRPr="006C5A12" w:rsidRDefault="00D27A7B" w:rsidP="00D27A7B">
            <w:pPr>
              <w:jc w:val="center"/>
              <w:rPr>
                <w:sz w:val="20"/>
                <w:szCs w:val="20"/>
                <w:lang w:val="en-GB"/>
              </w:rPr>
            </w:pPr>
            <w:r w:rsidRPr="006C5A12">
              <w:rPr>
                <w:sz w:val="20"/>
                <w:szCs w:val="20"/>
              </w:rPr>
              <w:t>7.8</w:t>
            </w:r>
          </w:p>
        </w:tc>
        <w:tc>
          <w:tcPr>
            <w:tcW w:w="394" w:type="pct"/>
            <w:gridSpan w:val="2"/>
            <w:vMerge/>
            <w:shd w:val="clear" w:color="auto" w:fill="auto"/>
            <w:vAlign w:val="center"/>
          </w:tcPr>
          <w:p w14:paraId="3DC61CFE"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7453063A" w14:textId="77777777" w:rsidR="00D27A7B" w:rsidRPr="006C5A12" w:rsidRDefault="00D27A7B" w:rsidP="00D27A7B">
            <w:pPr>
              <w:jc w:val="center"/>
              <w:rPr>
                <w:sz w:val="20"/>
                <w:szCs w:val="20"/>
                <w:lang w:val="en-GB"/>
              </w:rPr>
            </w:pPr>
            <w:r w:rsidRPr="006C5A12">
              <w:rPr>
                <w:sz w:val="20"/>
                <w:szCs w:val="20"/>
              </w:rPr>
              <w:t>6.33</w:t>
            </w:r>
          </w:p>
        </w:tc>
        <w:tc>
          <w:tcPr>
            <w:tcW w:w="468" w:type="pct"/>
            <w:tcBorders>
              <w:top w:val="nil"/>
              <w:left w:val="single" w:sz="4" w:space="0" w:color="auto"/>
              <w:bottom w:val="single" w:sz="4" w:space="0" w:color="auto"/>
              <w:right w:val="single" w:sz="4" w:space="0" w:color="auto"/>
            </w:tcBorders>
            <w:shd w:val="clear" w:color="auto" w:fill="auto"/>
            <w:vAlign w:val="center"/>
          </w:tcPr>
          <w:p w14:paraId="3022C3A0" w14:textId="77777777" w:rsidR="00D27A7B" w:rsidRPr="006C5A12" w:rsidRDefault="00D27A7B" w:rsidP="00D27A7B">
            <w:pPr>
              <w:jc w:val="center"/>
              <w:rPr>
                <w:sz w:val="20"/>
                <w:szCs w:val="20"/>
                <w:lang w:val="en-GB"/>
              </w:rPr>
            </w:pPr>
            <w:r w:rsidRPr="006C5A12">
              <w:rPr>
                <w:sz w:val="20"/>
                <w:szCs w:val="20"/>
              </w:rPr>
              <w:t>16.4</w:t>
            </w:r>
          </w:p>
        </w:tc>
      </w:tr>
      <w:tr w:rsidR="00D27A7B" w:rsidRPr="006C5A12" w14:paraId="0720FA07"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5FCDA6EB" w14:textId="77777777" w:rsidR="00D27A7B" w:rsidRPr="006C5A12" w:rsidRDefault="00D27A7B" w:rsidP="00D27A7B">
            <w:pPr>
              <w:jc w:val="center"/>
              <w:rPr>
                <w:sz w:val="20"/>
                <w:szCs w:val="20"/>
                <w:lang w:val="en-GB"/>
              </w:rPr>
            </w:pPr>
            <w:r w:rsidRPr="006C5A12">
              <w:rPr>
                <w:sz w:val="20"/>
                <w:szCs w:val="20"/>
              </w:rPr>
              <w:t>BBCH ≥40</w:t>
            </w:r>
          </w:p>
        </w:tc>
        <w:tc>
          <w:tcPr>
            <w:tcW w:w="1696" w:type="pct"/>
            <w:gridSpan w:val="2"/>
            <w:tcBorders>
              <w:top w:val="nil"/>
              <w:left w:val="nil"/>
              <w:bottom w:val="single" w:sz="4" w:space="0" w:color="auto"/>
              <w:right w:val="single" w:sz="4" w:space="0" w:color="auto"/>
            </w:tcBorders>
            <w:shd w:val="clear" w:color="auto" w:fill="auto"/>
            <w:vAlign w:val="center"/>
          </w:tcPr>
          <w:p w14:paraId="6F8980ED"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0923F219"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430B4F12" w14:textId="77777777" w:rsidR="00D27A7B" w:rsidRPr="006C5A12" w:rsidRDefault="00D27A7B" w:rsidP="00D27A7B">
            <w:pPr>
              <w:jc w:val="center"/>
              <w:rPr>
                <w:sz w:val="20"/>
                <w:szCs w:val="20"/>
                <w:lang w:val="en-GB"/>
              </w:rPr>
            </w:pPr>
            <w:r w:rsidRPr="006C5A12">
              <w:rPr>
                <w:sz w:val="20"/>
                <w:szCs w:val="20"/>
              </w:rPr>
              <w:t>4.7</w:t>
            </w:r>
          </w:p>
        </w:tc>
        <w:tc>
          <w:tcPr>
            <w:tcW w:w="394" w:type="pct"/>
            <w:gridSpan w:val="2"/>
            <w:vMerge/>
            <w:shd w:val="clear" w:color="auto" w:fill="auto"/>
            <w:vAlign w:val="center"/>
          </w:tcPr>
          <w:p w14:paraId="23E542E7"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2D4457D5" w14:textId="77777777" w:rsidR="00D27A7B" w:rsidRPr="006C5A12" w:rsidRDefault="00D27A7B" w:rsidP="00D27A7B">
            <w:pPr>
              <w:jc w:val="center"/>
              <w:rPr>
                <w:sz w:val="20"/>
                <w:szCs w:val="20"/>
                <w:lang w:val="en-GB"/>
              </w:rPr>
            </w:pPr>
            <w:r w:rsidRPr="006C5A12">
              <w:rPr>
                <w:sz w:val="20"/>
                <w:szCs w:val="20"/>
              </w:rPr>
              <w:t>3.81</w:t>
            </w:r>
          </w:p>
        </w:tc>
        <w:tc>
          <w:tcPr>
            <w:tcW w:w="468" w:type="pct"/>
            <w:tcBorders>
              <w:top w:val="nil"/>
              <w:left w:val="single" w:sz="4" w:space="0" w:color="auto"/>
              <w:bottom w:val="single" w:sz="4" w:space="0" w:color="auto"/>
              <w:right w:val="single" w:sz="4" w:space="0" w:color="auto"/>
            </w:tcBorders>
            <w:shd w:val="clear" w:color="auto" w:fill="auto"/>
            <w:vAlign w:val="center"/>
          </w:tcPr>
          <w:p w14:paraId="31EA5DE5" w14:textId="77777777" w:rsidR="00D27A7B" w:rsidRPr="006C5A12" w:rsidRDefault="00D27A7B" w:rsidP="00D27A7B">
            <w:pPr>
              <w:jc w:val="center"/>
              <w:rPr>
                <w:sz w:val="20"/>
                <w:szCs w:val="20"/>
                <w:lang w:val="en-GB"/>
              </w:rPr>
            </w:pPr>
            <w:r w:rsidRPr="006C5A12">
              <w:rPr>
                <w:sz w:val="20"/>
                <w:szCs w:val="20"/>
              </w:rPr>
              <w:t>27.3</w:t>
            </w:r>
          </w:p>
        </w:tc>
      </w:tr>
      <w:tr w:rsidR="00D27A7B" w:rsidRPr="006C5A12" w14:paraId="72D72668" w14:textId="77777777" w:rsidTr="008B64F2">
        <w:trPr>
          <w:gridBefore w:val="1"/>
          <w:wBefore w:w="31" w:type="pct"/>
          <w:cantSplit/>
        </w:trPr>
        <w:tc>
          <w:tcPr>
            <w:tcW w:w="4969" w:type="pct"/>
            <w:gridSpan w:val="12"/>
            <w:tcBorders>
              <w:top w:val="single" w:sz="12" w:space="0" w:color="auto"/>
              <w:bottom w:val="single" w:sz="12" w:space="0" w:color="auto"/>
            </w:tcBorders>
            <w:shd w:val="clear" w:color="auto" w:fill="auto"/>
            <w:vAlign w:val="center"/>
          </w:tcPr>
          <w:p w14:paraId="17249E3C" w14:textId="00E24436" w:rsidR="00D27A7B" w:rsidRPr="006C5A12" w:rsidRDefault="00D27A7B" w:rsidP="00D27A7B">
            <w:pPr>
              <w:jc w:val="center"/>
              <w:rPr>
                <w:sz w:val="20"/>
                <w:szCs w:val="20"/>
                <w:highlight w:val="yellow"/>
                <w:lang w:val="en-GB"/>
              </w:rPr>
            </w:pPr>
            <w:r w:rsidRPr="006C5A12">
              <w:rPr>
                <w:b/>
                <w:sz w:val="20"/>
                <w:szCs w:val="20"/>
                <w:lang w:val="en-GB"/>
              </w:rPr>
              <w:t xml:space="preserve">Fruiting vegetables (2 x 0.902 kg a.s./ha, BBCH </w:t>
            </w:r>
            <w:r w:rsidRPr="006C5A12">
              <w:rPr>
                <w:b/>
                <w:strike/>
                <w:sz w:val="20"/>
                <w:szCs w:val="20"/>
                <w:highlight w:val="green"/>
                <w:lang w:val="en-GB"/>
              </w:rPr>
              <w:t>14</w:t>
            </w:r>
            <w:r w:rsidRPr="006C5A12">
              <w:rPr>
                <w:b/>
                <w:sz w:val="20"/>
                <w:szCs w:val="20"/>
                <w:lang w:val="en-GB"/>
              </w:rPr>
              <w:t xml:space="preserve"> </w:t>
            </w:r>
            <w:r w:rsidRPr="006C5A12">
              <w:rPr>
                <w:b/>
                <w:sz w:val="20"/>
                <w:szCs w:val="20"/>
                <w:highlight w:val="green"/>
                <w:lang w:val="en-GB"/>
              </w:rPr>
              <w:t>21</w:t>
            </w:r>
            <w:r w:rsidRPr="006C5A12">
              <w:rPr>
                <w:b/>
                <w:sz w:val="20"/>
                <w:szCs w:val="20"/>
                <w:lang w:val="en-GB"/>
              </w:rPr>
              <w:t xml:space="preserve"> - 89)</w:t>
            </w:r>
          </w:p>
        </w:tc>
      </w:tr>
      <w:tr w:rsidR="00D27A7B" w:rsidRPr="006C5A12" w14:paraId="6D96CA9B"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2E94FFA" w14:textId="77777777" w:rsidR="00D27A7B" w:rsidRPr="006C5A12" w:rsidRDefault="00D27A7B" w:rsidP="00D27A7B">
            <w:pPr>
              <w:jc w:val="center"/>
              <w:rPr>
                <w:sz w:val="20"/>
                <w:szCs w:val="20"/>
                <w:lang w:val="en-GB"/>
              </w:rPr>
            </w:pPr>
            <w:r w:rsidRPr="006C5A12">
              <w:rPr>
                <w:sz w:val="20"/>
                <w:szCs w:val="20"/>
              </w:rPr>
              <w:t>BBCH 71-89</w:t>
            </w:r>
          </w:p>
        </w:tc>
        <w:tc>
          <w:tcPr>
            <w:tcW w:w="1696" w:type="pct"/>
            <w:gridSpan w:val="2"/>
            <w:tcBorders>
              <w:bottom w:val="single" w:sz="4" w:space="0" w:color="auto"/>
            </w:tcBorders>
            <w:shd w:val="clear" w:color="auto" w:fill="auto"/>
            <w:vAlign w:val="center"/>
          </w:tcPr>
          <w:p w14:paraId="0BAE0EC1" w14:textId="77777777" w:rsidR="00D27A7B" w:rsidRPr="006C5A12" w:rsidRDefault="00D27A7B" w:rsidP="00D27A7B">
            <w:pPr>
              <w:jc w:val="center"/>
              <w:rPr>
                <w:sz w:val="20"/>
                <w:szCs w:val="20"/>
                <w:lang w:val="en-GB"/>
              </w:rPr>
            </w:pPr>
            <w:r w:rsidRPr="006C5A12">
              <w:rPr>
                <w:sz w:val="20"/>
                <w:szCs w:val="20"/>
              </w:rPr>
              <w:t>Frugivorous mammal “rat”</w:t>
            </w:r>
          </w:p>
        </w:tc>
        <w:tc>
          <w:tcPr>
            <w:tcW w:w="528" w:type="pct"/>
            <w:gridSpan w:val="2"/>
            <w:vMerge w:val="restart"/>
            <w:tcBorders>
              <w:bottom w:val="single" w:sz="4" w:space="0" w:color="auto"/>
            </w:tcBorders>
            <w:shd w:val="clear" w:color="auto" w:fill="auto"/>
            <w:vAlign w:val="center"/>
          </w:tcPr>
          <w:p w14:paraId="2F78A8ED" w14:textId="77777777" w:rsidR="00D27A7B" w:rsidRPr="006C5A12" w:rsidRDefault="00D27A7B" w:rsidP="00D27A7B">
            <w:pPr>
              <w:jc w:val="center"/>
              <w:rPr>
                <w:sz w:val="20"/>
                <w:szCs w:val="20"/>
                <w:lang w:val="en-GB"/>
              </w:rPr>
            </w:pPr>
            <w:r w:rsidRPr="006C5A12">
              <w:rPr>
                <w:sz w:val="20"/>
                <w:szCs w:val="20"/>
                <w:lang w:val="en-GB"/>
              </w:rPr>
              <w:t>0.902</w:t>
            </w:r>
          </w:p>
        </w:tc>
        <w:tc>
          <w:tcPr>
            <w:tcW w:w="354" w:type="pct"/>
            <w:gridSpan w:val="2"/>
            <w:tcBorders>
              <w:bottom w:val="single" w:sz="4" w:space="0" w:color="auto"/>
            </w:tcBorders>
            <w:shd w:val="clear" w:color="auto" w:fill="auto"/>
            <w:vAlign w:val="center"/>
          </w:tcPr>
          <w:p w14:paraId="42F56962" w14:textId="77777777" w:rsidR="00D27A7B" w:rsidRPr="006C5A12" w:rsidRDefault="00D27A7B" w:rsidP="00D27A7B">
            <w:pPr>
              <w:jc w:val="center"/>
              <w:rPr>
                <w:sz w:val="20"/>
                <w:szCs w:val="20"/>
                <w:lang w:val="en-GB"/>
              </w:rPr>
            </w:pPr>
            <w:r w:rsidRPr="006C5A12">
              <w:rPr>
                <w:sz w:val="20"/>
                <w:szCs w:val="20"/>
              </w:rPr>
              <w:t>25.2</w:t>
            </w:r>
          </w:p>
        </w:tc>
        <w:tc>
          <w:tcPr>
            <w:tcW w:w="394" w:type="pct"/>
            <w:gridSpan w:val="2"/>
            <w:vMerge w:val="restart"/>
            <w:tcBorders>
              <w:bottom w:val="single" w:sz="4" w:space="0" w:color="auto"/>
            </w:tcBorders>
            <w:shd w:val="clear" w:color="auto" w:fill="auto"/>
            <w:vAlign w:val="center"/>
          </w:tcPr>
          <w:p w14:paraId="5BD8B3E9" w14:textId="77777777" w:rsidR="00D27A7B" w:rsidRPr="006C5A12" w:rsidRDefault="00D27A7B" w:rsidP="00D27A7B">
            <w:pPr>
              <w:jc w:val="center"/>
              <w:rPr>
                <w:sz w:val="20"/>
                <w:szCs w:val="20"/>
                <w:lang w:val="en-GB"/>
              </w:rPr>
            </w:pPr>
            <w:r w:rsidRPr="006C5A12">
              <w:rPr>
                <w:sz w:val="20"/>
                <w:szCs w:val="20"/>
                <w:lang w:val="en-GB"/>
              </w:rPr>
              <w:t>1.62 × 0.53</w:t>
            </w:r>
          </w:p>
        </w:tc>
        <w:tc>
          <w:tcPr>
            <w:tcW w:w="666" w:type="pct"/>
            <w:tcBorders>
              <w:top w:val="nil"/>
              <w:left w:val="single" w:sz="4" w:space="0" w:color="auto"/>
              <w:bottom w:val="single" w:sz="4" w:space="0" w:color="auto"/>
              <w:right w:val="single" w:sz="4" w:space="0" w:color="auto"/>
            </w:tcBorders>
            <w:shd w:val="clear" w:color="auto" w:fill="auto"/>
            <w:vAlign w:val="center"/>
          </w:tcPr>
          <w:p w14:paraId="237ACD49" w14:textId="77777777" w:rsidR="00D27A7B" w:rsidRPr="006C5A12" w:rsidRDefault="00D27A7B" w:rsidP="00D27A7B">
            <w:pPr>
              <w:jc w:val="center"/>
              <w:rPr>
                <w:sz w:val="20"/>
                <w:szCs w:val="20"/>
                <w:lang w:val="en-GB"/>
              </w:rPr>
            </w:pPr>
            <w:r w:rsidRPr="006C5A12">
              <w:rPr>
                <w:sz w:val="20"/>
                <w:szCs w:val="20"/>
              </w:rPr>
              <w:t>19.34</w:t>
            </w:r>
          </w:p>
        </w:tc>
        <w:tc>
          <w:tcPr>
            <w:tcW w:w="468" w:type="pct"/>
            <w:tcBorders>
              <w:top w:val="nil"/>
              <w:left w:val="nil"/>
              <w:bottom w:val="single" w:sz="4" w:space="0" w:color="auto"/>
              <w:right w:val="single" w:sz="4" w:space="0" w:color="auto"/>
            </w:tcBorders>
            <w:shd w:val="clear" w:color="auto" w:fill="auto"/>
            <w:vAlign w:val="center"/>
          </w:tcPr>
          <w:p w14:paraId="3922229E" w14:textId="77777777" w:rsidR="00D27A7B" w:rsidRPr="006C5A12" w:rsidRDefault="00D27A7B" w:rsidP="00D27A7B">
            <w:pPr>
              <w:jc w:val="center"/>
              <w:rPr>
                <w:sz w:val="20"/>
                <w:szCs w:val="20"/>
                <w:lang w:val="en-GB"/>
              </w:rPr>
            </w:pPr>
            <w:r w:rsidRPr="006C5A12">
              <w:rPr>
                <w:sz w:val="20"/>
                <w:szCs w:val="20"/>
              </w:rPr>
              <w:t>5.4</w:t>
            </w:r>
          </w:p>
        </w:tc>
      </w:tr>
      <w:tr w:rsidR="00D27A7B" w:rsidRPr="006C5A12" w14:paraId="1A6C35AD"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CE799E3" w14:textId="77777777" w:rsidR="00D27A7B" w:rsidRPr="0086079A" w:rsidRDefault="00D27A7B" w:rsidP="00D27A7B">
            <w:pPr>
              <w:jc w:val="center"/>
              <w:rPr>
                <w:strike/>
                <w:sz w:val="20"/>
                <w:szCs w:val="20"/>
                <w:highlight w:val="green"/>
                <w:lang w:val="en-GB"/>
              </w:rPr>
            </w:pPr>
            <w:r w:rsidRPr="0086079A">
              <w:rPr>
                <w:strike/>
                <w:sz w:val="20"/>
                <w:szCs w:val="20"/>
                <w:highlight w:val="green"/>
              </w:rPr>
              <w:t>BBCH 10-19</w:t>
            </w:r>
          </w:p>
        </w:tc>
        <w:tc>
          <w:tcPr>
            <w:tcW w:w="1696" w:type="pct"/>
            <w:gridSpan w:val="2"/>
            <w:tcBorders>
              <w:bottom w:val="single" w:sz="4" w:space="0" w:color="auto"/>
            </w:tcBorders>
            <w:shd w:val="clear" w:color="auto" w:fill="auto"/>
            <w:vAlign w:val="center"/>
          </w:tcPr>
          <w:p w14:paraId="6C0783C9" w14:textId="77777777" w:rsidR="00D27A7B" w:rsidRPr="0086079A" w:rsidRDefault="00D27A7B" w:rsidP="00D27A7B">
            <w:pPr>
              <w:jc w:val="center"/>
              <w:rPr>
                <w:strike/>
                <w:sz w:val="20"/>
                <w:szCs w:val="20"/>
                <w:highlight w:val="green"/>
                <w:lang w:val="en-GB"/>
              </w:rPr>
            </w:pPr>
            <w:r w:rsidRPr="0086079A">
              <w:rPr>
                <w:strike/>
                <w:sz w:val="20"/>
                <w:szCs w:val="20"/>
                <w:highlight w:val="green"/>
                <w:lang w:val="en-GB"/>
              </w:rPr>
              <w:t>Small insectivorous mammal “shrew”</w:t>
            </w:r>
          </w:p>
        </w:tc>
        <w:tc>
          <w:tcPr>
            <w:tcW w:w="528" w:type="pct"/>
            <w:gridSpan w:val="2"/>
            <w:vMerge/>
            <w:tcBorders>
              <w:bottom w:val="single" w:sz="4" w:space="0" w:color="auto"/>
            </w:tcBorders>
            <w:shd w:val="clear" w:color="auto" w:fill="auto"/>
            <w:vAlign w:val="center"/>
          </w:tcPr>
          <w:p w14:paraId="7757AC8E"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7983AB35" w14:textId="77777777" w:rsidR="00D27A7B" w:rsidRPr="0086079A" w:rsidRDefault="00D27A7B" w:rsidP="00D27A7B">
            <w:pPr>
              <w:jc w:val="center"/>
              <w:rPr>
                <w:strike/>
                <w:sz w:val="20"/>
                <w:szCs w:val="20"/>
                <w:lang w:val="en-GB"/>
              </w:rPr>
            </w:pPr>
            <w:r w:rsidRPr="0086079A">
              <w:rPr>
                <w:strike/>
                <w:sz w:val="20"/>
                <w:szCs w:val="20"/>
                <w:highlight w:val="green"/>
              </w:rPr>
              <w:t>4.2</w:t>
            </w:r>
          </w:p>
        </w:tc>
        <w:tc>
          <w:tcPr>
            <w:tcW w:w="394" w:type="pct"/>
            <w:gridSpan w:val="2"/>
            <w:vMerge/>
            <w:tcBorders>
              <w:bottom w:val="single" w:sz="4" w:space="0" w:color="auto"/>
            </w:tcBorders>
            <w:shd w:val="clear" w:color="auto" w:fill="auto"/>
            <w:vAlign w:val="center"/>
          </w:tcPr>
          <w:p w14:paraId="4B4C188C"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41569C49" w14:textId="77777777" w:rsidR="00D27A7B" w:rsidRPr="0086079A" w:rsidRDefault="00D27A7B" w:rsidP="00D27A7B">
            <w:pPr>
              <w:jc w:val="center"/>
              <w:rPr>
                <w:strike/>
                <w:sz w:val="20"/>
                <w:szCs w:val="20"/>
                <w:highlight w:val="green"/>
                <w:lang w:val="en-GB"/>
              </w:rPr>
            </w:pPr>
            <w:r w:rsidRPr="0086079A">
              <w:rPr>
                <w:strike/>
                <w:sz w:val="20"/>
                <w:szCs w:val="20"/>
                <w:highlight w:val="green"/>
              </w:rPr>
              <w:t>3.22</w:t>
            </w:r>
          </w:p>
        </w:tc>
        <w:tc>
          <w:tcPr>
            <w:tcW w:w="468" w:type="pct"/>
            <w:tcBorders>
              <w:top w:val="nil"/>
              <w:left w:val="nil"/>
              <w:bottom w:val="single" w:sz="4" w:space="0" w:color="auto"/>
              <w:right w:val="single" w:sz="4" w:space="0" w:color="auto"/>
            </w:tcBorders>
            <w:shd w:val="clear" w:color="auto" w:fill="auto"/>
            <w:vAlign w:val="center"/>
          </w:tcPr>
          <w:p w14:paraId="32B665CD" w14:textId="77777777" w:rsidR="00D27A7B" w:rsidRPr="0086079A" w:rsidRDefault="00D27A7B" w:rsidP="00D27A7B">
            <w:pPr>
              <w:jc w:val="center"/>
              <w:rPr>
                <w:strike/>
                <w:sz w:val="20"/>
                <w:szCs w:val="20"/>
                <w:highlight w:val="green"/>
                <w:lang w:val="en-GB"/>
              </w:rPr>
            </w:pPr>
            <w:r w:rsidRPr="0086079A">
              <w:rPr>
                <w:strike/>
                <w:sz w:val="20"/>
                <w:szCs w:val="20"/>
                <w:highlight w:val="green"/>
              </w:rPr>
              <w:t>32.3</w:t>
            </w:r>
          </w:p>
        </w:tc>
      </w:tr>
      <w:tr w:rsidR="00D27A7B" w:rsidRPr="006C5A12" w14:paraId="29B41A7B"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4453FD46" w14:textId="77777777" w:rsidR="00D27A7B" w:rsidRPr="006C5A12" w:rsidRDefault="00D27A7B" w:rsidP="00D27A7B">
            <w:pPr>
              <w:jc w:val="center"/>
              <w:rPr>
                <w:sz w:val="20"/>
                <w:szCs w:val="20"/>
                <w:lang w:val="en-GB"/>
              </w:rPr>
            </w:pPr>
            <w:r w:rsidRPr="006C5A12">
              <w:rPr>
                <w:sz w:val="20"/>
                <w:szCs w:val="20"/>
              </w:rPr>
              <w:t>BBCH ≥20</w:t>
            </w:r>
          </w:p>
        </w:tc>
        <w:tc>
          <w:tcPr>
            <w:tcW w:w="1696" w:type="pct"/>
            <w:gridSpan w:val="2"/>
            <w:tcBorders>
              <w:bottom w:val="single" w:sz="4" w:space="0" w:color="auto"/>
            </w:tcBorders>
            <w:shd w:val="clear" w:color="auto" w:fill="auto"/>
            <w:vAlign w:val="center"/>
          </w:tcPr>
          <w:p w14:paraId="65282E95" w14:textId="77777777" w:rsidR="00D27A7B" w:rsidRPr="006C5A12" w:rsidRDefault="00D27A7B" w:rsidP="00D27A7B">
            <w:pPr>
              <w:jc w:val="center"/>
              <w:rPr>
                <w:sz w:val="20"/>
                <w:szCs w:val="20"/>
                <w:lang w:val="en-GB"/>
              </w:rPr>
            </w:pPr>
            <w:r w:rsidRPr="006C5A12">
              <w:rPr>
                <w:sz w:val="20"/>
                <w:szCs w:val="20"/>
                <w:lang w:val="en-GB"/>
              </w:rPr>
              <w:t>Small insectivorous mammal “shrew”</w:t>
            </w:r>
          </w:p>
        </w:tc>
        <w:tc>
          <w:tcPr>
            <w:tcW w:w="528" w:type="pct"/>
            <w:gridSpan w:val="2"/>
            <w:vMerge/>
            <w:tcBorders>
              <w:bottom w:val="single" w:sz="4" w:space="0" w:color="auto"/>
            </w:tcBorders>
            <w:shd w:val="clear" w:color="auto" w:fill="auto"/>
            <w:vAlign w:val="center"/>
          </w:tcPr>
          <w:p w14:paraId="51900742"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1D7355DB" w14:textId="77777777" w:rsidR="00D27A7B" w:rsidRPr="006C5A12" w:rsidRDefault="00D27A7B" w:rsidP="00D27A7B">
            <w:pPr>
              <w:jc w:val="center"/>
              <w:rPr>
                <w:sz w:val="20"/>
                <w:szCs w:val="20"/>
                <w:lang w:val="en-GB"/>
              </w:rPr>
            </w:pPr>
            <w:r w:rsidRPr="006C5A12">
              <w:rPr>
                <w:sz w:val="20"/>
                <w:szCs w:val="20"/>
              </w:rPr>
              <w:t>1.9</w:t>
            </w:r>
          </w:p>
        </w:tc>
        <w:tc>
          <w:tcPr>
            <w:tcW w:w="394" w:type="pct"/>
            <w:gridSpan w:val="2"/>
            <w:vMerge/>
            <w:tcBorders>
              <w:bottom w:val="single" w:sz="4" w:space="0" w:color="auto"/>
            </w:tcBorders>
            <w:shd w:val="clear" w:color="auto" w:fill="auto"/>
            <w:vAlign w:val="center"/>
          </w:tcPr>
          <w:p w14:paraId="6CB17518"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6EE5FEF2" w14:textId="77777777" w:rsidR="00D27A7B" w:rsidRPr="006C5A12" w:rsidRDefault="00D27A7B" w:rsidP="00D27A7B">
            <w:pPr>
              <w:jc w:val="center"/>
              <w:rPr>
                <w:sz w:val="20"/>
                <w:szCs w:val="20"/>
                <w:lang w:val="en-GB"/>
              </w:rPr>
            </w:pPr>
            <w:r w:rsidRPr="006C5A12">
              <w:rPr>
                <w:sz w:val="20"/>
                <w:szCs w:val="20"/>
              </w:rPr>
              <w:t>1.46</w:t>
            </w:r>
          </w:p>
        </w:tc>
        <w:tc>
          <w:tcPr>
            <w:tcW w:w="468" w:type="pct"/>
            <w:tcBorders>
              <w:top w:val="nil"/>
              <w:left w:val="nil"/>
              <w:bottom w:val="single" w:sz="4" w:space="0" w:color="auto"/>
              <w:right w:val="single" w:sz="4" w:space="0" w:color="auto"/>
            </w:tcBorders>
            <w:shd w:val="clear" w:color="auto" w:fill="auto"/>
            <w:vAlign w:val="center"/>
          </w:tcPr>
          <w:p w14:paraId="0872730B" w14:textId="77777777" w:rsidR="00D27A7B" w:rsidRPr="006C5A12" w:rsidRDefault="00D27A7B" w:rsidP="00D27A7B">
            <w:pPr>
              <w:jc w:val="center"/>
              <w:rPr>
                <w:sz w:val="20"/>
                <w:szCs w:val="20"/>
                <w:lang w:val="en-GB"/>
              </w:rPr>
            </w:pPr>
            <w:r w:rsidRPr="006C5A12">
              <w:rPr>
                <w:sz w:val="20"/>
                <w:szCs w:val="20"/>
              </w:rPr>
              <w:t>71.3</w:t>
            </w:r>
          </w:p>
        </w:tc>
      </w:tr>
      <w:tr w:rsidR="00D27A7B" w:rsidRPr="006C5A12" w14:paraId="4028BBAD"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7D689DF9" w14:textId="77777777" w:rsidR="00D27A7B" w:rsidRPr="006C5A12" w:rsidRDefault="00D27A7B" w:rsidP="00D27A7B">
            <w:pPr>
              <w:jc w:val="center"/>
              <w:rPr>
                <w:sz w:val="20"/>
                <w:szCs w:val="20"/>
                <w:lang w:val="en-GB"/>
              </w:rPr>
            </w:pPr>
            <w:r w:rsidRPr="006C5A12">
              <w:rPr>
                <w:sz w:val="20"/>
                <w:szCs w:val="20"/>
              </w:rPr>
              <w:t>BBCH 10-49</w:t>
            </w:r>
          </w:p>
        </w:tc>
        <w:tc>
          <w:tcPr>
            <w:tcW w:w="1696" w:type="pct"/>
            <w:gridSpan w:val="2"/>
            <w:tcBorders>
              <w:bottom w:val="single" w:sz="4" w:space="0" w:color="auto"/>
            </w:tcBorders>
            <w:shd w:val="clear" w:color="auto" w:fill="auto"/>
            <w:vAlign w:val="center"/>
          </w:tcPr>
          <w:p w14:paraId="318149A0" w14:textId="77777777" w:rsidR="00D27A7B" w:rsidRPr="006C5A12" w:rsidRDefault="00D27A7B" w:rsidP="00D27A7B">
            <w:pPr>
              <w:jc w:val="center"/>
              <w:rPr>
                <w:sz w:val="20"/>
                <w:szCs w:val="20"/>
                <w:lang w:val="en-GB"/>
              </w:rPr>
            </w:pPr>
            <w:r w:rsidRPr="006C5A12">
              <w:rPr>
                <w:sz w:val="20"/>
                <w:szCs w:val="20"/>
                <w:lang w:val="en-GB"/>
              </w:rPr>
              <w:t>Small herbivorous mammal “vole”</w:t>
            </w:r>
          </w:p>
        </w:tc>
        <w:tc>
          <w:tcPr>
            <w:tcW w:w="528" w:type="pct"/>
            <w:gridSpan w:val="2"/>
            <w:vMerge/>
            <w:tcBorders>
              <w:bottom w:val="single" w:sz="4" w:space="0" w:color="auto"/>
            </w:tcBorders>
            <w:shd w:val="clear" w:color="auto" w:fill="auto"/>
            <w:vAlign w:val="center"/>
          </w:tcPr>
          <w:p w14:paraId="47F255D1"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36D312D6" w14:textId="77777777" w:rsidR="00D27A7B" w:rsidRPr="006C5A12" w:rsidRDefault="00D27A7B" w:rsidP="00D27A7B">
            <w:pPr>
              <w:jc w:val="center"/>
              <w:rPr>
                <w:sz w:val="20"/>
                <w:szCs w:val="20"/>
                <w:lang w:val="en-GB"/>
              </w:rPr>
            </w:pPr>
            <w:r w:rsidRPr="006C5A12">
              <w:rPr>
                <w:sz w:val="20"/>
                <w:szCs w:val="20"/>
              </w:rPr>
              <w:t>72.3</w:t>
            </w:r>
          </w:p>
        </w:tc>
        <w:tc>
          <w:tcPr>
            <w:tcW w:w="394" w:type="pct"/>
            <w:gridSpan w:val="2"/>
            <w:vMerge/>
            <w:tcBorders>
              <w:bottom w:val="single" w:sz="4" w:space="0" w:color="auto"/>
            </w:tcBorders>
            <w:shd w:val="clear" w:color="auto" w:fill="auto"/>
            <w:vAlign w:val="center"/>
          </w:tcPr>
          <w:p w14:paraId="5A866266"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7079C7E8" w14:textId="77777777" w:rsidR="00D27A7B" w:rsidRPr="006C5A12" w:rsidRDefault="00D27A7B" w:rsidP="00D27A7B">
            <w:pPr>
              <w:jc w:val="center"/>
              <w:rPr>
                <w:sz w:val="20"/>
                <w:szCs w:val="20"/>
                <w:lang w:val="en-GB"/>
              </w:rPr>
            </w:pPr>
            <w:r w:rsidRPr="006C5A12">
              <w:rPr>
                <w:sz w:val="20"/>
                <w:szCs w:val="20"/>
              </w:rPr>
              <w:t>55.50</w:t>
            </w:r>
          </w:p>
        </w:tc>
        <w:tc>
          <w:tcPr>
            <w:tcW w:w="468" w:type="pct"/>
            <w:tcBorders>
              <w:top w:val="nil"/>
              <w:left w:val="nil"/>
              <w:bottom w:val="single" w:sz="4" w:space="0" w:color="auto"/>
              <w:right w:val="single" w:sz="4" w:space="0" w:color="auto"/>
            </w:tcBorders>
            <w:shd w:val="clear" w:color="auto" w:fill="auto"/>
            <w:vAlign w:val="center"/>
          </w:tcPr>
          <w:p w14:paraId="0AF6FBDB" w14:textId="77777777" w:rsidR="00D27A7B" w:rsidRPr="006C5A12" w:rsidRDefault="00D27A7B" w:rsidP="00D27A7B">
            <w:pPr>
              <w:jc w:val="center"/>
              <w:rPr>
                <w:b/>
                <w:bCs/>
                <w:sz w:val="20"/>
                <w:szCs w:val="20"/>
                <w:lang w:val="en-GB"/>
              </w:rPr>
            </w:pPr>
            <w:r w:rsidRPr="006C5A12">
              <w:rPr>
                <w:b/>
                <w:bCs/>
                <w:sz w:val="20"/>
                <w:szCs w:val="20"/>
              </w:rPr>
              <w:t>1.9</w:t>
            </w:r>
          </w:p>
        </w:tc>
      </w:tr>
      <w:tr w:rsidR="00D27A7B" w:rsidRPr="006C5A12" w14:paraId="4B16685E" w14:textId="77777777" w:rsidTr="00B23596">
        <w:trPr>
          <w:gridBefore w:val="1"/>
          <w:wBefore w:w="31" w:type="pct"/>
          <w:cantSplit/>
        </w:trPr>
        <w:tc>
          <w:tcPr>
            <w:tcW w:w="863" w:type="pct"/>
            <w:gridSpan w:val="2"/>
            <w:tcBorders>
              <w:top w:val="single" w:sz="4" w:space="0" w:color="auto"/>
              <w:bottom w:val="single" w:sz="4" w:space="0" w:color="auto"/>
            </w:tcBorders>
            <w:shd w:val="clear" w:color="auto" w:fill="auto"/>
            <w:vAlign w:val="center"/>
          </w:tcPr>
          <w:p w14:paraId="75B4C1BF" w14:textId="77777777" w:rsidR="00D27A7B" w:rsidRPr="006C5A12" w:rsidRDefault="00D27A7B" w:rsidP="00D27A7B">
            <w:pPr>
              <w:jc w:val="center"/>
              <w:rPr>
                <w:sz w:val="20"/>
                <w:szCs w:val="20"/>
                <w:lang w:val="en-GB"/>
              </w:rPr>
            </w:pPr>
            <w:r w:rsidRPr="006C5A12">
              <w:rPr>
                <w:sz w:val="20"/>
                <w:szCs w:val="20"/>
              </w:rPr>
              <w:t>BBCH ≥50</w:t>
            </w:r>
          </w:p>
        </w:tc>
        <w:tc>
          <w:tcPr>
            <w:tcW w:w="1696" w:type="pct"/>
            <w:gridSpan w:val="2"/>
            <w:tcBorders>
              <w:top w:val="single" w:sz="4" w:space="0" w:color="auto"/>
              <w:bottom w:val="single" w:sz="4" w:space="0" w:color="auto"/>
            </w:tcBorders>
            <w:shd w:val="clear" w:color="auto" w:fill="auto"/>
            <w:vAlign w:val="center"/>
          </w:tcPr>
          <w:p w14:paraId="3279BDCA" w14:textId="77777777" w:rsidR="00D27A7B" w:rsidRPr="006C5A12" w:rsidRDefault="00D27A7B" w:rsidP="00D27A7B">
            <w:pPr>
              <w:jc w:val="center"/>
              <w:rPr>
                <w:sz w:val="20"/>
                <w:szCs w:val="20"/>
                <w:lang w:val="en-GB"/>
              </w:rPr>
            </w:pPr>
            <w:r w:rsidRPr="006C5A12">
              <w:rPr>
                <w:sz w:val="20"/>
                <w:szCs w:val="20"/>
                <w:lang w:val="en-GB"/>
              </w:rPr>
              <w:t>Small herbivorous mammal “vole”</w:t>
            </w:r>
          </w:p>
        </w:tc>
        <w:tc>
          <w:tcPr>
            <w:tcW w:w="528" w:type="pct"/>
            <w:gridSpan w:val="2"/>
            <w:vMerge/>
            <w:tcBorders>
              <w:top w:val="single" w:sz="4" w:space="0" w:color="auto"/>
              <w:bottom w:val="single" w:sz="4" w:space="0" w:color="auto"/>
            </w:tcBorders>
            <w:shd w:val="clear" w:color="auto" w:fill="auto"/>
            <w:vAlign w:val="center"/>
          </w:tcPr>
          <w:p w14:paraId="0372BC89" w14:textId="77777777" w:rsidR="00D27A7B" w:rsidRPr="006C5A12" w:rsidRDefault="00D27A7B" w:rsidP="00D27A7B">
            <w:pPr>
              <w:jc w:val="center"/>
              <w:rPr>
                <w:sz w:val="20"/>
                <w:szCs w:val="20"/>
                <w:lang w:val="en-GB"/>
              </w:rPr>
            </w:pPr>
          </w:p>
        </w:tc>
        <w:tc>
          <w:tcPr>
            <w:tcW w:w="354" w:type="pct"/>
            <w:gridSpan w:val="2"/>
            <w:tcBorders>
              <w:top w:val="single" w:sz="4" w:space="0" w:color="auto"/>
              <w:bottom w:val="single" w:sz="4" w:space="0" w:color="auto"/>
            </w:tcBorders>
            <w:shd w:val="clear" w:color="auto" w:fill="auto"/>
            <w:vAlign w:val="center"/>
          </w:tcPr>
          <w:p w14:paraId="63B7988D" w14:textId="77777777" w:rsidR="00D27A7B" w:rsidRPr="006C5A12" w:rsidRDefault="00D27A7B" w:rsidP="00D27A7B">
            <w:pPr>
              <w:jc w:val="center"/>
              <w:rPr>
                <w:sz w:val="20"/>
                <w:szCs w:val="20"/>
                <w:lang w:val="en-GB"/>
              </w:rPr>
            </w:pPr>
            <w:r w:rsidRPr="006C5A12">
              <w:rPr>
                <w:sz w:val="20"/>
                <w:szCs w:val="20"/>
              </w:rPr>
              <w:t>21.7</w:t>
            </w:r>
          </w:p>
        </w:tc>
        <w:tc>
          <w:tcPr>
            <w:tcW w:w="394" w:type="pct"/>
            <w:gridSpan w:val="2"/>
            <w:vMerge/>
            <w:tcBorders>
              <w:top w:val="single" w:sz="4" w:space="0" w:color="auto"/>
              <w:bottom w:val="single" w:sz="4" w:space="0" w:color="auto"/>
            </w:tcBorders>
            <w:shd w:val="clear" w:color="auto" w:fill="auto"/>
            <w:vAlign w:val="center"/>
          </w:tcPr>
          <w:p w14:paraId="15644FB0"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4451CD15" w14:textId="77777777" w:rsidR="00D27A7B" w:rsidRPr="006C5A12" w:rsidRDefault="00D27A7B" w:rsidP="00D27A7B">
            <w:pPr>
              <w:jc w:val="center"/>
              <w:rPr>
                <w:sz w:val="20"/>
                <w:szCs w:val="20"/>
                <w:lang w:val="en-GB"/>
              </w:rPr>
            </w:pPr>
            <w:r w:rsidRPr="006C5A12">
              <w:rPr>
                <w:sz w:val="20"/>
                <w:szCs w:val="20"/>
              </w:rPr>
              <w:t>16.66</w:t>
            </w:r>
          </w:p>
        </w:tc>
        <w:tc>
          <w:tcPr>
            <w:tcW w:w="468" w:type="pct"/>
            <w:tcBorders>
              <w:top w:val="single" w:sz="4" w:space="0" w:color="auto"/>
              <w:left w:val="nil"/>
              <w:bottom w:val="single" w:sz="4" w:space="0" w:color="auto"/>
              <w:right w:val="single" w:sz="4" w:space="0" w:color="auto"/>
            </w:tcBorders>
            <w:shd w:val="clear" w:color="auto" w:fill="auto"/>
            <w:vAlign w:val="center"/>
          </w:tcPr>
          <w:p w14:paraId="113576AC" w14:textId="77777777" w:rsidR="00D27A7B" w:rsidRPr="006C5A12" w:rsidRDefault="00D27A7B" w:rsidP="00D27A7B">
            <w:pPr>
              <w:jc w:val="center"/>
              <w:rPr>
                <w:sz w:val="20"/>
                <w:szCs w:val="20"/>
                <w:lang w:val="en-GB"/>
              </w:rPr>
            </w:pPr>
            <w:r w:rsidRPr="006C5A12">
              <w:rPr>
                <w:sz w:val="20"/>
                <w:szCs w:val="20"/>
              </w:rPr>
              <w:t>6.2</w:t>
            </w:r>
          </w:p>
        </w:tc>
      </w:tr>
      <w:tr w:rsidR="00D27A7B" w:rsidRPr="006C5A12" w14:paraId="374E3BDC" w14:textId="77777777" w:rsidTr="00B23596">
        <w:trPr>
          <w:gridBefore w:val="1"/>
          <w:wBefore w:w="31" w:type="pct"/>
          <w:cantSplit/>
        </w:trPr>
        <w:tc>
          <w:tcPr>
            <w:tcW w:w="863" w:type="pct"/>
            <w:gridSpan w:val="2"/>
            <w:tcBorders>
              <w:bottom w:val="single" w:sz="4" w:space="0" w:color="auto"/>
            </w:tcBorders>
            <w:shd w:val="clear" w:color="auto" w:fill="auto"/>
            <w:vAlign w:val="center"/>
          </w:tcPr>
          <w:p w14:paraId="35AECDB8" w14:textId="77777777" w:rsidR="00D27A7B" w:rsidRPr="006C5A12" w:rsidRDefault="00D27A7B" w:rsidP="00D27A7B">
            <w:pPr>
              <w:jc w:val="center"/>
              <w:rPr>
                <w:sz w:val="20"/>
                <w:szCs w:val="20"/>
                <w:lang w:val="en-GB"/>
              </w:rPr>
            </w:pPr>
            <w:r w:rsidRPr="006C5A12">
              <w:rPr>
                <w:sz w:val="20"/>
                <w:szCs w:val="20"/>
              </w:rPr>
              <w:t>BBCH 10-49</w:t>
            </w:r>
          </w:p>
        </w:tc>
        <w:tc>
          <w:tcPr>
            <w:tcW w:w="1696" w:type="pct"/>
            <w:gridSpan w:val="2"/>
            <w:tcBorders>
              <w:bottom w:val="single" w:sz="4" w:space="0" w:color="auto"/>
            </w:tcBorders>
            <w:shd w:val="clear" w:color="auto" w:fill="auto"/>
            <w:vAlign w:val="center"/>
          </w:tcPr>
          <w:p w14:paraId="0E16D115"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tcBorders>
              <w:bottom w:val="single" w:sz="4" w:space="0" w:color="auto"/>
            </w:tcBorders>
            <w:shd w:val="clear" w:color="auto" w:fill="auto"/>
            <w:vAlign w:val="center"/>
          </w:tcPr>
          <w:p w14:paraId="1C5FBFD0" w14:textId="77777777" w:rsidR="00D27A7B" w:rsidRPr="006C5A12" w:rsidRDefault="00D27A7B" w:rsidP="00D27A7B">
            <w:pPr>
              <w:jc w:val="center"/>
              <w:rPr>
                <w:sz w:val="20"/>
                <w:szCs w:val="20"/>
                <w:lang w:val="en-GB"/>
              </w:rPr>
            </w:pPr>
          </w:p>
        </w:tc>
        <w:tc>
          <w:tcPr>
            <w:tcW w:w="354" w:type="pct"/>
            <w:gridSpan w:val="2"/>
            <w:tcBorders>
              <w:bottom w:val="single" w:sz="4" w:space="0" w:color="auto"/>
            </w:tcBorders>
            <w:shd w:val="clear" w:color="auto" w:fill="auto"/>
            <w:vAlign w:val="center"/>
          </w:tcPr>
          <w:p w14:paraId="204E5659" w14:textId="77777777" w:rsidR="00D27A7B" w:rsidRPr="006C5A12" w:rsidRDefault="00D27A7B" w:rsidP="00D27A7B">
            <w:pPr>
              <w:jc w:val="center"/>
              <w:rPr>
                <w:sz w:val="20"/>
                <w:szCs w:val="20"/>
                <w:lang w:val="en-GB"/>
              </w:rPr>
            </w:pPr>
            <w:r w:rsidRPr="006C5A12">
              <w:rPr>
                <w:sz w:val="20"/>
                <w:szCs w:val="20"/>
              </w:rPr>
              <w:t>7.8</w:t>
            </w:r>
          </w:p>
        </w:tc>
        <w:tc>
          <w:tcPr>
            <w:tcW w:w="394" w:type="pct"/>
            <w:gridSpan w:val="2"/>
            <w:vMerge/>
            <w:tcBorders>
              <w:bottom w:val="single" w:sz="4" w:space="0" w:color="auto"/>
            </w:tcBorders>
            <w:shd w:val="clear" w:color="auto" w:fill="auto"/>
            <w:vAlign w:val="center"/>
          </w:tcPr>
          <w:p w14:paraId="78534841"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2E07E119" w14:textId="77777777" w:rsidR="00D27A7B" w:rsidRPr="006C5A12" w:rsidRDefault="00D27A7B" w:rsidP="00D27A7B">
            <w:pPr>
              <w:jc w:val="center"/>
              <w:rPr>
                <w:sz w:val="20"/>
                <w:szCs w:val="20"/>
                <w:lang w:val="en-GB"/>
              </w:rPr>
            </w:pPr>
            <w:r w:rsidRPr="006C5A12">
              <w:rPr>
                <w:sz w:val="20"/>
                <w:szCs w:val="20"/>
              </w:rPr>
              <w:t>5.99</w:t>
            </w:r>
          </w:p>
        </w:tc>
        <w:tc>
          <w:tcPr>
            <w:tcW w:w="468" w:type="pct"/>
            <w:tcBorders>
              <w:top w:val="single" w:sz="4" w:space="0" w:color="auto"/>
              <w:left w:val="nil"/>
              <w:bottom w:val="single" w:sz="4" w:space="0" w:color="auto"/>
              <w:right w:val="single" w:sz="4" w:space="0" w:color="auto"/>
            </w:tcBorders>
            <w:shd w:val="clear" w:color="auto" w:fill="auto"/>
            <w:vAlign w:val="center"/>
          </w:tcPr>
          <w:p w14:paraId="7F533CBE" w14:textId="77777777" w:rsidR="00D27A7B" w:rsidRPr="006C5A12" w:rsidRDefault="00D27A7B" w:rsidP="00D27A7B">
            <w:pPr>
              <w:jc w:val="center"/>
              <w:rPr>
                <w:sz w:val="20"/>
                <w:szCs w:val="20"/>
                <w:lang w:val="en-GB"/>
              </w:rPr>
            </w:pPr>
            <w:r w:rsidRPr="006C5A12">
              <w:rPr>
                <w:sz w:val="20"/>
                <w:szCs w:val="20"/>
              </w:rPr>
              <w:t>17.4</w:t>
            </w:r>
          </w:p>
        </w:tc>
      </w:tr>
      <w:tr w:rsidR="00D27A7B" w:rsidRPr="006C5A12" w14:paraId="0F3B3A64" w14:textId="77777777" w:rsidTr="00B23596">
        <w:trPr>
          <w:gridBefore w:val="1"/>
          <w:wBefore w:w="31" w:type="pct"/>
          <w:cantSplit/>
        </w:trPr>
        <w:tc>
          <w:tcPr>
            <w:tcW w:w="863" w:type="pct"/>
            <w:gridSpan w:val="2"/>
            <w:tcBorders>
              <w:top w:val="single" w:sz="4" w:space="0" w:color="auto"/>
              <w:bottom w:val="single" w:sz="12" w:space="0" w:color="auto"/>
            </w:tcBorders>
            <w:shd w:val="clear" w:color="auto" w:fill="auto"/>
            <w:vAlign w:val="center"/>
          </w:tcPr>
          <w:p w14:paraId="4F5B440F" w14:textId="77777777" w:rsidR="00D27A7B" w:rsidRPr="006C5A12" w:rsidRDefault="00D27A7B" w:rsidP="00D27A7B">
            <w:pPr>
              <w:jc w:val="center"/>
              <w:rPr>
                <w:sz w:val="20"/>
                <w:szCs w:val="20"/>
                <w:lang w:val="en-GB"/>
              </w:rPr>
            </w:pPr>
            <w:r w:rsidRPr="006C5A12">
              <w:rPr>
                <w:sz w:val="20"/>
                <w:szCs w:val="20"/>
              </w:rPr>
              <w:t>BBCH ≥50</w:t>
            </w:r>
          </w:p>
        </w:tc>
        <w:tc>
          <w:tcPr>
            <w:tcW w:w="1696" w:type="pct"/>
            <w:gridSpan w:val="2"/>
            <w:tcBorders>
              <w:top w:val="single" w:sz="4" w:space="0" w:color="auto"/>
              <w:bottom w:val="single" w:sz="12" w:space="0" w:color="auto"/>
            </w:tcBorders>
            <w:shd w:val="clear" w:color="auto" w:fill="auto"/>
            <w:vAlign w:val="center"/>
          </w:tcPr>
          <w:p w14:paraId="7B4EC4D1"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tcBorders>
              <w:top w:val="single" w:sz="4" w:space="0" w:color="auto"/>
              <w:bottom w:val="single" w:sz="12" w:space="0" w:color="auto"/>
            </w:tcBorders>
            <w:shd w:val="clear" w:color="auto" w:fill="auto"/>
            <w:vAlign w:val="center"/>
          </w:tcPr>
          <w:p w14:paraId="17E1902C" w14:textId="77777777" w:rsidR="00D27A7B" w:rsidRPr="006C5A12" w:rsidRDefault="00D27A7B" w:rsidP="00D27A7B">
            <w:pPr>
              <w:jc w:val="center"/>
              <w:rPr>
                <w:sz w:val="20"/>
                <w:szCs w:val="20"/>
                <w:lang w:val="en-GB"/>
              </w:rPr>
            </w:pPr>
          </w:p>
        </w:tc>
        <w:tc>
          <w:tcPr>
            <w:tcW w:w="354" w:type="pct"/>
            <w:gridSpan w:val="2"/>
            <w:tcBorders>
              <w:top w:val="single" w:sz="4" w:space="0" w:color="auto"/>
              <w:bottom w:val="single" w:sz="12" w:space="0" w:color="auto"/>
            </w:tcBorders>
            <w:shd w:val="clear" w:color="auto" w:fill="auto"/>
            <w:vAlign w:val="center"/>
          </w:tcPr>
          <w:p w14:paraId="4364A068" w14:textId="77777777" w:rsidR="00D27A7B" w:rsidRPr="006C5A12" w:rsidRDefault="00D27A7B" w:rsidP="00D27A7B">
            <w:pPr>
              <w:jc w:val="center"/>
              <w:rPr>
                <w:sz w:val="20"/>
                <w:szCs w:val="20"/>
                <w:lang w:val="en-GB"/>
              </w:rPr>
            </w:pPr>
            <w:r w:rsidRPr="006C5A12">
              <w:rPr>
                <w:sz w:val="20"/>
                <w:szCs w:val="20"/>
              </w:rPr>
              <w:t>2.3</w:t>
            </w:r>
          </w:p>
        </w:tc>
        <w:tc>
          <w:tcPr>
            <w:tcW w:w="394" w:type="pct"/>
            <w:gridSpan w:val="2"/>
            <w:vMerge/>
            <w:tcBorders>
              <w:top w:val="single" w:sz="4" w:space="0" w:color="auto"/>
              <w:bottom w:val="single" w:sz="12" w:space="0" w:color="auto"/>
            </w:tcBorders>
            <w:shd w:val="clear" w:color="auto" w:fill="auto"/>
            <w:vAlign w:val="center"/>
          </w:tcPr>
          <w:p w14:paraId="066A8702" w14:textId="77777777" w:rsidR="00D27A7B" w:rsidRPr="006C5A12" w:rsidRDefault="00D27A7B" w:rsidP="00D27A7B">
            <w:pPr>
              <w:jc w:val="center"/>
              <w:rPr>
                <w:sz w:val="20"/>
                <w:szCs w:val="20"/>
                <w:lang w:val="en-GB"/>
              </w:rPr>
            </w:pPr>
          </w:p>
        </w:tc>
        <w:tc>
          <w:tcPr>
            <w:tcW w:w="666" w:type="pct"/>
            <w:tcBorders>
              <w:top w:val="single" w:sz="4" w:space="0" w:color="auto"/>
              <w:left w:val="single" w:sz="4" w:space="0" w:color="auto"/>
              <w:bottom w:val="single" w:sz="12" w:space="0" w:color="auto"/>
              <w:right w:val="single" w:sz="4" w:space="0" w:color="auto"/>
            </w:tcBorders>
            <w:shd w:val="clear" w:color="auto" w:fill="auto"/>
            <w:vAlign w:val="center"/>
          </w:tcPr>
          <w:p w14:paraId="3FCA074E" w14:textId="77777777" w:rsidR="00D27A7B" w:rsidRPr="006C5A12" w:rsidRDefault="00D27A7B" w:rsidP="00D27A7B">
            <w:pPr>
              <w:jc w:val="center"/>
              <w:rPr>
                <w:sz w:val="20"/>
                <w:szCs w:val="20"/>
                <w:lang w:val="en-GB"/>
              </w:rPr>
            </w:pPr>
            <w:r w:rsidRPr="006C5A12">
              <w:rPr>
                <w:sz w:val="20"/>
                <w:szCs w:val="20"/>
              </w:rPr>
              <w:t>1.77</w:t>
            </w:r>
          </w:p>
        </w:tc>
        <w:tc>
          <w:tcPr>
            <w:tcW w:w="468" w:type="pct"/>
            <w:tcBorders>
              <w:top w:val="single" w:sz="4" w:space="0" w:color="auto"/>
              <w:left w:val="nil"/>
              <w:bottom w:val="single" w:sz="12" w:space="0" w:color="auto"/>
              <w:right w:val="single" w:sz="4" w:space="0" w:color="auto"/>
            </w:tcBorders>
            <w:shd w:val="clear" w:color="auto" w:fill="auto"/>
            <w:vAlign w:val="center"/>
          </w:tcPr>
          <w:p w14:paraId="4487224A" w14:textId="77777777" w:rsidR="00D27A7B" w:rsidRPr="006C5A12" w:rsidRDefault="00D27A7B" w:rsidP="00D27A7B">
            <w:pPr>
              <w:jc w:val="center"/>
              <w:rPr>
                <w:sz w:val="20"/>
                <w:szCs w:val="20"/>
                <w:lang w:val="en-GB"/>
              </w:rPr>
            </w:pPr>
            <w:r w:rsidRPr="006C5A12">
              <w:rPr>
                <w:sz w:val="20"/>
                <w:szCs w:val="20"/>
              </w:rPr>
              <w:t>58.9</w:t>
            </w:r>
          </w:p>
        </w:tc>
      </w:tr>
      <w:tr w:rsidR="00D27A7B" w:rsidRPr="00DD6E50" w14:paraId="069DA0F8" w14:textId="77777777" w:rsidTr="008B64F2">
        <w:trPr>
          <w:gridBefore w:val="1"/>
          <w:wBefore w:w="31" w:type="pct"/>
          <w:cantSplit/>
        </w:trPr>
        <w:tc>
          <w:tcPr>
            <w:tcW w:w="4969" w:type="pct"/>
            <w:gridSpan w:val="12"/>
            <w:tcBorders>
              <w:top w:val="single" w:sz="12" w:space="0" w:color="auto"/>
              <w:bottom w:val="single" w:sz="12" w:space="0" w:color="auto"/>
              <w:right w:val="single" w:sz="4" w:space="0" w:color="auto"/>
            </w:tcBorders>
            <w:shd w:val="clear" w:color="auto" w:fill="auto"/>
            <w:vAlign w:val="center"/>
          </w:tcPr>
          <w:p w14:paraId="6E3BC912" w14:textId="77777777" w:rsidR="00D27A7B" w:rsidRPr="006C5A12" w:rsidRDefault="00D27A7B" w:rsidP="00D27A7B">
            <w:pPr>
              <w:keepNext/>
              <w:keepLines/>
              <w:jc w:val="center"/>
              <w:rPr>
                <w:b/>
                <w:color w:val="000000"/>
                <w:sz w:val="20"/>
                <w:szCs w:val="20"/>
                <w:highlight w:val="yellow"/>
                <w:lang w:val="es-ES"/>
              </w:rPr>
            </w:pPr>
            <w:r w:rsidRPr="006C5A12">
              <w:rPr>
                <w:b/>
                <w:sz w:val="20"/>
                <w:szCs w:val="20"/>
                <w:lang w:val="es-ES"/>
              </w:rPr>
              <w:t>Ornamentals (2 x 0.902 kg a.s./ha, BBCH 12–59)</w:t>
            </w:r>
          </w:p>
        </w:tc>
      </w:tr>
      <w:tr w:rsidR="00D27A7B" w:rsidRPr="006C5A12" w14:paraId="6A162D1D" w14:textId="77777777" w:rsidTr="00B23596">
        <w:trPr>
          <w:gridBefore w:val="1"/>
          <w:wBefore w:w="31" w:type="pct"/>
          <w:cantSplit/>
        </w:trPr>
        <w:tc>
          <w:tcPr>
            <w:tcW w:w="863"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6834ED15" w14:textId="77777777" w:rsidR="00D27A7B" w:rsidRPr="006C5A12" w:rsidRDefault="00D27A7B" w:rsidP="00D27A7B">
            <w:pPr>
              <w:jc w:val="center"/>
              <w:rPr>
                <w:color w:val="000000"/>
                <w:sz w:val="20"/>
                <w:szCs w:val="20"/>
                <w:lang w:val="en-GB" w:eastAsia="en-GB"/>
              </w:rPr>
            </w:pPr>
            <w:r w:rsidRPr="006C5A12">
              <w:rPr>
                <w:sz w:val="20"/>
                <w:szCs w:val="20"/>
              </w:rPr>
              <w:t>Application to plant - exposure to underlying ground</w:t>
            </w:r>
          </w:p>
        </w:tc>
        <w:tc>
          <w:tcPr>
            <w:tcW w:w="1696" w:type="pct"/>
            <w:gridSpan w:val="2"/>
            <w:tcBorders>
              <w:top w:val="single" w:sz="4" w:space="0" w:color="auto"/>
              <w:left w:val="nil"/>
              <w:bottom w:val="single" w:sz="2" w:space="0" w:color="auto"/>
              <w:right w:val="single" w:sz="4" w:space="0" w:color="auto"/>
            </w:tcBorders>
            <w:shd w:val="clear" w:color="auto" w:fill="auto"/>
            <w:vAlign w:val="center"/>
          </w:tcPr>
          <w:p w14:paraId="51783829" w14:textId="77777777" w:rsidR="00D27A7B" w:rsidRPr="006C5A12" w:rsidRDefault="00D27A7B" w:rsidP="00D27A7B">
            <w:pPr>
              <w:keepNext/>
              <w:keepLines/>
              <w:jc w:val="center"/>
              <w:rPr>
                <w:color w:val="000000"/>
                <w:sz w:val="20"/>
                <w:szCs w:val="20"/>
                <w:lang w:val="en-GB"/>
              </w:rPr>
            </w:pPr>
            <w:r w:rsidRPr="006C5A12">
              <w:rPr>
                <w:sz w:val="20"/>
                <w:szCs w:val="20"/>
                <w:lang w:val="en-GB"/>
              </w:rPr>
              <w:t>Small insectivorous mammal “shrew”</w:t>
            </w:r>
          </w:p>
        </w:tc>
        <w:tc>
          <w:tcPr>
            <w:tcW w:w="528" w:type="pct"/>
            <w:gridSpan w:val="2"/>
            <w:vMerge w:val="restart"/>
            <w:shd w:val="clear" w:color="auto" w:fill="auto"/>
            <w:vAlign w:val="center"/>
          </w:tcPr>
          <w:p w14:paraId="0C0F6E90" w14:textId="77777777" w:rsidR="00D27A7B" w:rsidRPr="006C5A12" w:rsidRDefault="00D27A7B" w:rsidP="00D27A7B">
            <w:pPr>
              <w:jc w:val="center"/>
              <w:rPr>
                <w:sz w:val="20"/>
                <w:szCs w:val="20"/>
                <w:lang w:val="en-GB"/>
              </w:rPr>
            </w:pPr>
            <w:r w:rsidRPr="006C5A12">
              <w:rPr>
                <w:sz w:val="20"/>
                <w:szCs w:val="20"/>
                <w:lang w:val="en-GB"/>
              </w:rPr>
              <w:t>0.902</w:t>
            </w:r>
          </w:p>
        </w:tc>
        <w:tc>
          <w:tcPr>
            <w:tcW w:w="354"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471152D8" w14:textId="77777777" w:rsidR="00D27A7B" w:rsidRPr="006C5A12" w:rsidRDefault="00D27A7B" w:rsidP="00D27A7B">
            <w:pPr>
              <w:jc w:val="center"/>
              <w:rPr>
                <w:color w:val="000000"/>
                <w:sz w:val="20"/>
                <w:szCs w:val="20"/>
                <w:lang w:val="en-GB" w:eastAsia="en-GB"/>
              </w:rPr>
            </w:pPr>
            <w:r w:rsidRPr="006C5A12">
              <w:rPr>
                <w:sz w:val="20"/>
                <w:szCs w:val="20"/>
              </w:rPr>
              <w:t>1.9</w:t>
            </w:r>
          </w:p>
        </w:tc>
        <w:tc>
          <w:tcPr>
            <w:tcW w:w="394" w:type="pct"/>
            <w:gridSpan w:val="2"/>
            <w:vMerge w:val="restart"/>
            <w:shd w:val="clear" w:color="auto" w:fill="auto"/>
            <w:vAlign w:val="center"/>
          </w:tcPr>
          <w:p w14:paraId="7EA3FBB6" w14:textId="77777777" w:rsidR="00D27A7B" w:rsidRPr="006C5A12" w:rsidRDefault="00D27A7B" w:rsidP="00D27A7B">
            <w:pPr>
              <w:jc w:val="center"/>
              <w:rPr>
                <w:sz w:val="20"/>
                <w:szCs w:val="20"/>
                <w:lang w:val="en-GB"/>
              </w:rPr>
            </w:pPr>
            <w:r w:rsidRPr="006C5A12">
              <w:rPr>
                <w:sz w:val="20"/>
                <w:szCs w:val="20"/>
                <w:lang w:val="en-GB"/>
              </w:rPr>
              <w:t>1.71 × 0.53</w:t>
            </w:r>
          </w:p>
        </w:tc>
        <w:tc>
          <w:tcPr>
            <w:tcW w:w="666" w:type="pct"/>
            <w:tcBorders>
              <w:top w:val="single" w:sz="4" w:space="0" w:color="auto"/>
              <w:left w:val="single" w:sz="4" w:space="0" w:color="auto"/>
              <w:bottom w:val="single" w:sz="2" w:space="0" w:color="auto"/>
              <w:right w:val="single" w:sz="4" w:space="0" w:color="auto"/>
            </w:tcBorders>
            <w:shd w:val="clear" w:color="auto" w:fill="auto"/>
            <w:vAlign w:val="center"/>
          </w:tcPr>
          <w:p w14:paraId="73FC6DC0" w14:textId="77777777" w:rsidR="00D27A7B" w:rsidRPr="006C5A12" w:rsidRDefault="00D27A7B" w:rsidP="00D27A7B">
            <w:pPr>
              <w:jc w:val="center"/>
              <w:rPr>
                <w:color w:val="000000"/>
                <w:sz w:val="20"/>
                <w:szCs w:val="20"/>
                <w:lang w:val="en-GB" w:eastAsia="en-GB"/>
              </w:rPr>
            </w:pPr>
            <w:r w:rsidRPr="006C5A12">
              <w:rPr>
                <w:sz w:val="20"/>
                <w:szCs w:val="20"/>
              </w:rPr>
              <w:t>1.46</w:t>
            </w:r>
          </w:p>
        </w:tc>
        <w:tc>
          <w:tcPr>
            <w:tcW w:w="468" w:type="pct"/>
            <w:tcBorders>
              <w:top w:val="single" w:sz="4" w:space="0" w:color="auto"/>
              <w:left w:val="single" w:sz="4" w:space="0" w:color="auto"/>
              <w:bottom w:val="single" w:sz="2" w:space="0" w:color="auto"/>
              <w:right w:val="single" w:sz="4" w:space="0" w:color="auto"/>
            </w:tcBorders>
            <w:shd w:val="clear" w:color="auto" w:fill="auto"/>
            <w:vAlign w:val="center"/>
          </w:tcPr>
          <w:p w14:paraId="360B49AC" w14:textId="77777777" w:rsidR="00D27A7B" w:rsidRPr="006C5A12" w:rsidRDefault="00D27A7B" w:rsidP="00D27A7B">
            <w:pPr>
              <w:jc w:val="center"/>
              <w:rPr>
                <w:color w:val="000000"/>
                <w:sz w:val="20"/>
                <w:szCs w:val="20"/>
                <w:lang w:val="en-GB" w:eastAsia="en-GB"/>
              </w:rPr>
            </w:pPr>
            <w:r w:rsidRPr="006C5A12">
              <w:rPr>
                <w:sz w:val="20"/>
                <w:szCs w:val="20"/>
              </w:rPr>
              <w:t>71.3</w:t>
            </w:r>
          </w:p>
        </w:tc>
      </w:tr>
      <w:tr w:rsidR="00D27A7B" w:rsidRPr="006C5A12" w14:paraId="78BB4D64" w14:textId="77777777" w:rsidTr="00B23596">
        <w:trPr>
          <w:gridBefore w:val="1"/>
          <w:wBefore w:w="31" w:type="pct"/>
          <w:cantSplit/>
        </w:trPr>
        <w:tc>
          <w:tcPr>
            <w:tcW w:w="863"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6FCDA55F" w14:textId="77777777" w:rsidR="00D27A7B" w:rsidRPr="006C5A12" w:rsidRDefault="00D27A7B" w:rsidP="00D27A7B">
            <w:pPr>
              <w:jc w:val="center"/>
              <w:rPr>
                <w:color w:val="000000"/>
                <w:sz w:val="20"/>
                <w:szCs w:val="20"/>
                <w:lang w:val="en-GB"/>
              </w:rPr>
            </w:pPr>
            <w:r w:rsidRPr="006C5A12">
              <w:rPr>
                <w:sz w:val="20"/>
                <w:szCs w:val="20"/>
              </w:rPr>
              <w:t>BBCH 40-49</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3F4E26AC" w14:textId="77777777" w:rsidR="00D27A7B" w:rsidRPr="006C5A12" w:rsidRDefault="00D27A7B" w:rsidP="00D27A7B">
            <w:pPr>
              <w:keepNext/>
              <w:keepLines/>
              <w:jc w:val="center"/>
              <w:rPr>
                <w:color w:val="000000"/>
                <w:sz w:val="20"/>
                <w:szCs w:val="20"/>
                <w:lang w:val="en-GB"/>
              </w:rPr>
            </w:pPr>
            <w:r w:rsidRPr="006C5A12">
              <w:rPr>
                <w:sz w:val="20"/>
                <w:szCs w:val="20"/>
                <w:lang w:val="en-GB"/>
              </w:rPr>
              <w:t>Small herbivorous mammal “vole”</w:t>
            </w:r>
          </w:p>
        </w:tc>
        <w:tc>
          <w:tcPr>
            <w:tcW w:w="528" w:type="pct"/>
            <w:gridSpan w:val="2"/>
            <w:vMerge/>
            <w:shd w:val="clear" w:color="auto" w:fill="auto"/>
            <w:vAlign w:val="center"/>
          </w:tcPr>
          <w:p w14:paraId="342E6363" w14:textId="77777777" w:rsidR="00D27A7B" w:rsidRPr="006C5A12" w:rsidRDefault="00D27A7B" w:rsidP="00D27A7B">
            <w:pPr>
              <w:jc w:val="center"/>
              <w:rPr>
                <w:sz w:val="20"/>
                <w:szCs w:val="20"/>
                <w:lang w:val="en-GB"/>
              </w:rPr>
            </w:pPr>
          </w:p>
        </w:tc>
        <w:tc>
          <w:tcPr>
            <w:tcW w:w="354"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72A78AB4" w14:textId="77777777" w:rsidR="00D27A7B" w:rsidRPr="006C5A12" w:rsidRDefault="00D27A7B" w:rsidP="00D27A7B">
            <w:pPr>
              <w:jc w:val="center"/>
              <w:rPr>
                <w:color w:val="000000"/>
                <w:sz w:val="20"/>
                <w:szCs w:val="20"/>
                <w:lang w:val="en-GB"/>
              </w:rPr>
            </w:pPr>
            <w:r w:rsidRPr="006C5A12">
              <w:rPr>
                <w:sz w:val="20"/>
                <w:szCs w:val="20"/>
              </w:rPr>
              <w:t>72.3</w:t>
            </w:r>
          </w:p>
        </w:tc>
        <w:tc>
          <w:tcPr>
            <w:tcW w:w="394" w:type="pct"/>
            <w:gridSpan w:val="2"/>
            <w:vMerge/>
            <w:shd w:val="clear" w:color="auto" w:fill="auto"/>
            <w:vAlign w:val="center"/>
          </w:tcPr>
          <w:p w14:paraId="20810F02" w14:textId="77777777" w:rsidR="00D27A7B" w:rsidRPr="006C5A12" w:rsidRDefault="00D27A7B" w:rsidP="00D27A7B">
            <w:pPr>
              <w:jc w:val="center"/>
              <w:rPr>
                <w:sz w:val="20"/>
                <w:szCs w:val="20"/>
                <w:lang w:val="en-GB"/>
              </w:rPr>
            </w:pPr>
          </w:p>
        </w:tc>
        <w:tc>
          <w:tcPr>
            <w:tcW w:w="666" w:type="pct"/>
            <w:tcBorders>
              <w:top w:val="single" w:sz="2" w:space="0" w:color="auto"/>
              <w:left w:val="single" w:sz="4" w:space="0" w:color="auto"/>
              <w:bottom w:val="single" w:sz="4" w:space="0" w:color="auto"/>
              <w:right w:val="single" w:sz="4" w:space="0" w:color="auto"/>
            </w:tcBorders>
            <w:shd w:val="clear" w:color="auto" w:fill="auto"/>
            <w:vAlign w:val="center"/>
          </w:tcPr>
          <w:p w14:paraId="12297DB2" w14:textId="77777777" w:rsidR="00D27A7B" w:rsidRPr="006C5A12" w:rsidRDefault="00D27A7B" w:rsidP="00D27A7B">
            <w:pPr>
              <w:jc w:val="center"/>
              <w:rPr>
                <w:color w:val="000000"/>
                <w:sz w:val="20"/>
                <w:szCs w:val="20"/>
                <w:lang w:val="en-GB"/>
              </w:rPr>
            </w:pPr>
            <w:r w:rsidRPr="006C5A12">
              <w:rPr>
                <w:sz w:val="20"/>
                <w:szCs w:val="20"/>
              </w:rPr>
              <w:t>55.50</w:t>
            </w:r>
          </w:p>
        </w:tc>
        <w:tc>
          <w:tcPr>
            <w:tcW w:w="468" w:type="pct"/>
            <w:tcBorders>
              <w:top w:val="single" w:sz="2" w:space="0" w:color="auto"/>
              <w:left w:val="single" w:sz="4" w:space="0" w:color="auto"/>
              <w:bottom w:val="single" w:sz="4" w:space="0" w:color="auto"/>
              <w:right w:val="single" w:sz="4" w:space="0" w:color="auto"/>
            </w:tcBorders>
            <w:shd w:val="clear" w:color="auto" w:fill="auto"/>
            <w:vAlign w:val="center"/>
          </w:tcPr>
          <w:p w14:paraId="5CC7D175" w14:textId="77777777" w:rsidR="00D27A7B" w:rsidRPr="006C5A12" w:rsidRDefault="00D27A7B" w:rsidP="00D27A7B">
            <w:pPr>
              <w:jc w:val="center"/>
              <w:rPr>
                <w:b/>
                <w:bCs/>
                <w:color w:val="000000"/>
                <w:sz w:val="20"/>
                <w:szCs w:val="20"/>
                <w:lang w:val="en-GB"/>
              </w:rPr>
            </w:pPr>
            <w:r w:rsidRPr="006C5A12">
              <w:rPr>
                <w:b/>
                <w:bCs/>
                <w:sz w:val="20"/>
                <w:szCs w:val="20"/>
              </w:rPr>
              <w:t>1.9</w:t>
            </w:r>
          </w:p>
        </w:tc>
      </w:tr>
      <w:tr w:rsidR="00D27A7B" w:rsidRPr="006C5A12" w14:paraId="2AF2942D"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4494F801" w14:textId="77777777" w:rsidR="00D27A7B" w:rsidRPr="006C5A12" w:rsidRDefault="00D27A7B" w:rsidP="00D27A7B">
            <w:pPr>
              <w:jc w:val="center"/>
              <w:rPr>
                <w:color w:val="000000"/>
                <w:sz w:val="20"/>
                <w:szCs w:val="20"/>
                <w:lang w:val="en-GB"/>
              </w:rPr>
            </w:pPr>
            <w:r w:rsidRPr="006C5A12">
              <w:rPr>
                <w:sz w:val="20"/>
                <w:szCs w:val="20"/>
              </w:rPr>
              <w:t>BBCH ≥50</w:t>
            </w:r>
          </w:p>
        </w:tc>
        <w:tc>
          <w:tcPr>
            <w:tcW w:w="1696" w:type="pct"/>
            <w:gridSpan w:val="2"/>
            <w:tcBorders>
              <w:top w:val="nil"/>
              <w:left w:val="nil"/>
              <w:bottom w:val="single" w:sz="4" w:space="0" w:color="auto"/>
              <w:right w:val="single" w:sz="4" w:space="0" w:color="auto"/>
            </w:tcBorders>
            <w:shd w:val="clear" w:color="auto" w:fill="auto"/>
            <w:vAlign w:val="center"/>
          </w:tcPr>
          <w:p w14:paraId="21FB0FD0" w14:textId="77777777" w:rsidR="00D27A7B" w:rsidRPr="006C5A12" w:rsidRDefault="00D27A7B" w:rsidP="00D27A7B">
            <w:pPr>
              <w:keepNext/>
              <w:keepLines/>
              <w:jc w:val="center"/>
              <w:rPr>
                <w:color w:val="000000"/>
                <w:sz w:val="20"/>
                <w:szCs w:val="20"/>
                <w:lang w:val="en-GB"/>
              </w:rPr>
            </w:pPr>
            <w:r w:rsidRPr="006C5A12">
              <w:rPr>
                <w:sz w:val="20"/>
                <w:szCs w:val="20"/>
                <w:lang w:val="en-GB"/>
              </w:rPr>
              <w:t>Small herbivorous mammal “vole”</w:t>
            </w:r>
          </w:p>
        </w:tc>
        <w:tc>
          <w:tcPr>
            <w:tcW w:w="528" w:type="pct"/>
            <w:gridSpan w:val="2"/>
            <w:vMerge/>
            <w:shd w:val="clear" w:color="auto" w:fill="auto"/>
            <w:vAlign w:val="center"/>
          </w:tcPr>
          <w:p w14:paraId="379A630C"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38D69DF3" w14:textId="77777777" w:rsidR="00D27A7B" w:rsidRPr="006C5A12" w:rsidRDefault="00D27A7B" w:rsidP="00D27A7B">
            <w:pPr>
              <w:jc w:val="center"/>
              <w:rPr>
                <w:color w:val="000000"/>
                <w:sz w:val="20"/>
                <w:szCs w:val="20"/>
                <w:lang w:val="en-GB"/>
              </w:rPr>
            </w:pPr>
            <w:r w:rsidRPr="006C5A12">
              <w:rPr>
                <w:sz w:val="20"/>
                <w:szCs w:val="20"/>
              </w:rPr>
              <w:t>36.1</w:t>
            </w:r>
          </w:p>
        </w:tc>
        <w:tc>
          <w:tcPr>
            <w:tcW w:w="394" w:type="pct"/>
            <w:gridSpan w:val="2"/>
            <w:vMerge/>
            <w:shd w:val="clear" w:color="auto" w:fill="auto"/>
            <w:vAlign w:val="center"/>
          </w:tcPr>
          <w:p w14:paraId="1C763DE9"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7F31C3D2" w14:textId="77777777" w:rsidR="00D27A7B" w:rsidRPr="006C5A12" w:rsidRDefault="00D27A7B" w:rsidP="00D27A7B">
            <w:pPr>
              <w:jc w:val="center"/>
              <w:rPr>
                <w:color w:val="000000"/>
                <w:sz w:val="20"/>
                <w:szCs w:val="20"/>
                <w:lang w:val="en-GB"/>
              </w:rPr>
            </w:pPr>
            <w:r w:rsidRPr="006C5A12">
              <w:rPr>
                <w:sz w:val="20"/>
                <w:szCs w:val="20"/>
              </w:rPr>
              <w:t>27.71</w:t>
            </w:r>
          </w:p>
        </w:tc>
        <w:tc>
          <w:tcPr>
            <w:tcW w:w="468" w:type="pct"/>
            <w:tcBorders>
              <w:top w:val="nil"/>
              <w:left w:val="single" w:sz="4" w:space="0" w:color="auto"/>
              <w:bottom w:val="single" w:sz="4" w:space="0" w:color="auto"/>
              <w:right w:val="single" w:sz="4" w:space="0" w:color="auto"/>
            </w:tcBorders>
            <w:shd w:val="clear" w:color="auto" w:fill="auto"/>
            <w:vAlign w:val="center"/>
          </w:tcPr>
          <w:p w14:paraId="333247A0" w14:textId="77777777" w:rsidR="00D27A7B" w:rsidRPr="006C5A12" w:rsidRDefault="00D27A7B" w:rsidP="00D27A7B">
            <w:pPr>
              <w:jc w:val="center"/>
              <w:rPr>
                <w:b/>
                <w:bCs/>
                <w:color w:val="000000"/>
                <w:sz w:val="20"/>
                <w:szCs w:val="20"/>
                <w:lang w:val="en-GB"/>
              </w:rPr>
            </w:pPr>
            <w:r w:rsidRPr="006C5A12">
              <w:rPr>
                <w:b/>
                <w:bCs/>
                <w:sz w:val="20"/>
                <w:szCs w:val="20"/>
              </w:rPr>
              <w:t>3.8</w:t>
            </w:r>
          </w:p>
        </w:tc>
      </w:tr>
      <w:tr w:rsidR="00D27A7B" w:rsidRPr="006C5A12" w14:paraId="22AB3315"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372B4E07" w14:textId="77777777" w:rsidR="00D27A7B" w:rsidRPr="006C5A12" w:rsidRDefault="00D27A7B" w:rsidP="00D27A7B">
            <w:pPr>
              <w:jc w:val="center"/>
              <w:rPr>
                <w:sz w:val="20"/>
                <w:szCs w:val="20"/>
                <w:lang w:val="en-GB"/>
              </w:rPr>
            </w:pPr>
            <w:r w:rsidRPr="006C5A12">
              <w:rPr>
                <w:sz w:val="20"/>
                <w:szCs w:val="20"/>
              </w:rPr>
              <w:t>Application crop directed BBCH 10-49</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135D278E"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77C33139"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16445238" w14:textId="77777777" w:rsidR="00D27A7B" w:rsidRPr="006C5A12" w:rsidRDefault="00D27A7B" w:rsidP="00D27A7B">
            <w:pPr>
              <w:jc w:val="center"/>
              <w:rPr>
                <w:sz w:val="20"/>
                <w:szCs w:val="20"/>
                <w:lang w:val="en-GB"/>
              </w:rPr>
            </w:pPr>
            <w:r w:rsidRPr="006C5A12">
              <w:rPr>
                <w:sz w:val="20"/>
                <w:szCs w:val="20"/>
              </w:rPr>
              <w:t>7.8</w:t>
            </w:r>
          </w:p>
        </w:tc>
        <w:tc>
          <w:tcPr>
            <w:tcW w:w="394" w:type="pct"/>
            <w:gridSpan w:val="2"/>
            <w:vMerge/>
            <w:shd w:val="clear" w:color="auto" w:fill="auto"/>
            <w:vAlign w:val="center"/>
          </w:tcPr>
          <w:p w14:paraId="5612E138"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2D5707FF" w14:textId="77777777" w:rsidR="00D27A7B" w:rsidRPr="006C5A12" w:rsidRDefault="00D27A7B" w:rsidP="00D27A7B">
            <w:pPr>
              <w:jc w:val="center"/>
              <w:rPr>
                <w:sz w:val="20"/>
                <w:szCs w:val="20"/>
                <w:lang w:val="en-GB"/>
              </w:rPr>
            </w:pPr>
            <w:r w:rsidRPr="006C5A12">
              <w:rPr>
                <w:sz w:val="20"/>
                <w:szCs w:val="20"/>
              </w:rPr>
              <w:t>5.99</w:t>
            </w:r>
          </w:p>
        </w:tc>
        <w:tc>
          <w:tcPr>
            <w:tcW w:w="468" w:type="pct"/>
            <w:tcBorders>
              <w:top w:val="nil"/>
              <w:left w:val="single" w:sz="4" w:space="0" w:color="auto"/>
              <w:bottom w:val="single" w:sz="4" w:space="0" w:color="auto"/>
              <w:right w:val="single" w:sz="4" w:space="0" w:color="auto"/>
            </w:tcBorders>
            <w:shd w:val="clear" w:color="auto" w:fill="auto"/>
            <w:vAlign w:val="center"/>
          </w:tcPr>
          <w:p w14:paraId="7EDA95A1" w14:textId="77777777" w:rsidR="00D27A7B" w:rsidRPr="006C5A12" w:rsidRDefault="00D27A7B" w:rsidP="00D27A7B">
            <w:pPr>
              <w:jc w:val="center"/>
              <w:rPr>
                <w:sz w:val="20"/>
                <w:szCs w:val="20"/>
                <w:lang w:val="en-GB"/>
              </w:rPr>
            </w:pPr>
            <w:r w:rsidRPr="006C5A12">
              <w:rPr>
                <w:sz w:val="20"/>
                <w:szCs w:val="20"/>
              </w:rPr>
              <w:t>17.4</w:t>
            </w:r>
          </w:p>
        </w:tc>
      </w:tr>
      <w:tr w:rsidR="00D27A7B" w:rsidRPr="006C5A12" w14:paraId="78933988"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1CD36E32" w14:textId="77777777" w:rsidR="00D27A7B" w:rsidRPr="006C5A12" w:rsidRDefault="00D27A7B" w:rsidP="00D27A7B">
            <w:pPr>
              <w:jc w:val="center"/>
              <w:rPr>
                <w:sz w:val="20"/>
                <w:szCs w:val="20"/>
                <w:lang w:val="en-GB"/>
              </w:rPr>
            </w:pPr>
            <w:r w:rsidRPr="006C5A12">
              <w:rPr>
                <w:sz w:val="20"/>
                <w:szCs w:val="20"/>
              </w:rPr>
              <w:t>Application crop directed BBCH ≥50</w:t>
            </w:r>
          </w:p>
        </w:tc>
        <w:tc>
          <w:tcPr>
            <w:tcW w:w="1696" w:type="pct"/>
            <w:gridSpan w:val="2"/>
            <w:tcBorders>
              <w:top w:val="nil"/>
              <w:left w:val="nil"/>
              <w:bottom w:val="single" w:sz="4" w:space="0" w:color="auto"/>
              <w:right w:val="single" w:sz="4" w:space="0" w:color="auto"/>
            </w:tcBorders>
            <w:shd w:val="clear" w:color="auto" w:fill="auto"/>
            <w:vAlign w:val="center"/>
          </w:tcPr>
          <w:p w14:paraId="7637252A" w14:textId="77777777" w:rsidR="00D27A7B" w:rsidRPr="006C5A12" w:rsidRDefault="00D27A7B" w:rsidP="00D27A7B">
            <w:pPr>
              <w:jc w:val="center"/>
              <w:rPr>
                <w:sz w:val="20"/>
                <w:szCs w:val="20"/>
                <w:lang w:val="en-GB"/>
              </w:rPr>
            </w:pPr>
            <w:r w:rsidRPr="006C5A12">
              <w:rPr>
                <w:sz w:val="20"/>
                <w:szCs w:val="20"/>
                <w:lang w:val="en-GB"/>
              </w:rPr>
              <w:t>Small omnivorous mammal “mouse”</w:t>
            </w:r>
          </w:p>
        </w:tc>
        <w:tc>
          <w:tcPr>
            <w:tcW w:w="528" w:type="pct"/>
            <w:gridSpan w:val="2"/>
            <w:vMerge/>
            <w:shd w:val="clear" w:color="auto" w:fill="auto"/>
            <w:vAlign w:val="center"/>
          </w:tcPr>
          <w:p w14:paraId="3C99B485" w14:textId="77777777" w:rsidR="00D27A7B" w:rsidRPr="006C5A12" w:rsidRDefault="00D27A7B" w:rsidP="00D27A7B">
            <w:pPr>
              <w:jc w:val="center"/>
              <w:rPr>
                <w:sz w:val="20"/>
                <w:szCs w:val="20"/>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6FAF1A52" w14:textId="77777777" w:rsidR="00D27A7B" w:rsidRPr="006C5A12" w:rsidRDefault="00D27A7B" w:rsidP="00D27A7B">
            <w:pPr>
              <w:jc w:val="center"/>
              <w:rPr>
                <w:sz w:val="20"/>
                <w:szCs w:val="20"/>
                <w:lang w:val="en-GB"/>
              </w:rPr>
            </w:pPr>
            <w:r w:rsidRPr="006C5A12">
              <w:rPr>
                <w:sz w:val="20"/>
                <w:szCs w:val="20"/>
              </w:rPr>
              <w:t>3.9</w:t>
            </w:r>
          </w:p>
        </w:tc>
        <w:tc>
          <w:tcPr>
            <w:tcW w:w="394" w:type="pct"/>
            <w:gridSpan w:val="2"/>
            <w:vMerge/>
            <w:shd w:val="clear" w:color="auto" w:fill="auto"/>
            <w:vAlign w:val="center"/>
          </w:tcPr>
          <w:p w14:paraId="2B91AAFC" w14:textId="77777777" w:rsidR="00D27A7B" w:rsidRPr="006C5A12" w:rsidRDefault="00D27A7B" w:rsidP="00D27A7B">
            <w:pPr>
              <w:jc w:val="center"/>
              <w:rPr>
                <w:sz w:val="20"/>
                <w:szCs w:val="20"/>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0E594E4E" w14:textId="77777777" w:rsidR="00D27A7B" w:rsidRPr="006C5A12" w:rsidRDefault="00D27A7B" w:rsidP="00D27A7B">
            <w:pPr>
              <w:jc w:val="center"/>
              <w:rPr>
                <w:sz w:val="20"/>
                <w:szCs w:val="20"/>
                <w:lang w:val="en-GB"/>
              </w:rPr>
            </w:pPr>
            <w:r w:rsidRPr="006C5A12">
              <w:rPr>
                <w:sz w:val="20"/>
                <w:szCs w:val="20"/>
              </w:rPr>
              <w:t>2.99</w:t>
            </w:r>
          </w:p>
        </w:tc>
        <w:tc>
          <w:tcPr>
            <w:tcW w:w="468" w:type="pct"/>
            <w:tcBorders>
              <w:top w:val="nil"/>
              <w:left w:val="single" w:sz="4" w:space="0" w:color="auto"/>
              <w:bottom w:val="single" w:sz="4" w:space="0" w:color="auto"/>
              <w:right w:val="single" w:sz="4" w:space="0" w:color="auto"/>
            </w:tcBorders>
            <w:shd w:val="clear" w:color="auto" w:fill="auto"/>
            <w:vAlign w:val="center"/>
          </w:tcPr>
          <w:p w14:paraId="131DC820" w14:textId="77777777" w:rsidR="00D27A7B" w:rsidRPr="006C5A12" w:rsidRDefault="00D27A7B" w:rsidP="00D27A7B">
            <w:pPr>
              <w:jc w:val="center"/>
              <w:rPr>
                <w:sz w:val="20"/>
                <w:szCs w:val="20"/>
                <w:lang w:val="en-GB"/>
              </w:rPr>
            </w:pPr>
            <w:r w:rsidRPr="006C5A12">
              <w:rPr>
                <w:sz w:val="20"/>
                <w:szCs w:val="20"/>
              </w:rPr>
              <w:t>34.7</w:t>
            </w:r>
          </w:p>
        </w:tc>
      </w:tr>
      <w:tr w:rsidR="00D27A7B" w:rsidRPr="00DD6E50" w14:paraId="4B4C3364" w14:textId="77777777" w:rsidTr="008B64F2">
        <w:trPr>
          <w:gridBefore w:val="1"/>
          <w:wBefore w:w="31" w:type="pct"/>
          <w:cantSplit/>
        </w:trPr>
        <w:tc>
          <w:tcPr>
            <w:tcW w:w="4969" w:type="pct"/>
            <w:gridSpan w:val="12"/>
            <w:tcBorders>
              <w:top w:val="single" w:sz="12" w:space="0" w:color="auto"/>
              <w:bottom w:val="single" w:sz="12" w:space="0" w:color="auto"/>
              <w:right w:val="single" w:sz="4" w:space="0" w:color="auto"/>
            </w:tcBorders>
            <w:shd w:val="clear" w:color="auto" w:fill="auto"/>
            <w:vAlign w:val="center"/>
          </w:tcPr>
          <w:p w14:paraId="4313024E" w14:textId="77777777" w:rsidR="00D27A7B" w:rsidRPr="006C68FA" w:rsidRDefault="00D27A7B" w:rsidP="00D27A7B">
            <w:pPr>
              <w:jc w:val="center"/>
              <w:rPr>
                <w:b/>
                <w:strike/>
                <w:color w:val="000000"/>
                <w:sz w:val="20"/>
                <w:szCs w:val="20"/>
                <w:highlight w:val="green"/>
                <w:lang w:val="es-ES"/>
              </w:rPr>
            </w:pPr>
            <w:r w:rsidRPr="00D92F20">
              <w:rPr>
                <w:b/>
                <w:strike/>
                <w:sz w:val="20"/>
                <w:szCs w:val="20"/>
                <w:highlight w:val="green"/>
                <w:lang w:val="es-ES"/>
              </w:rPr>
              <w:t>Ornamentals (1 x 0.902 kg a.s./ha, BBCH 12–59)</w:t>
            </w:r>
          </w:p>
        </w:tc>
      </w:tr>
      <w:tr w:rsidR="00D27A7B" w:rsidRPr="006C5A12" w14:paraId="77E669E1" w14:textId="77777777" w:rsidTr="00B23596">
        <w:trPr>
          <w:gridBefore w:val="1"/>
          <w:wBefore w:w="31" w:type="pct"/>
          <w:cantSplit/>
        </w:trPr>
        <w:tc>
          <w:tcPr>
            <w:tcW w:w="863"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455C60FD" w14:textId="77777777" w:rsidR="00D27A7B" w:rsidRPr="0054080C" w:rsidRDefault="00D27A7B" w:rsidP="00D27A7B">
            <w:pPr>
              <w:jc w:val="center"/>
              <w:rPr>
                <w:strike/>
                <w:color w:val="000000"/>
                <w:sz w:val="20"/>
                <w:szCs w:val="20"/>
                <w:highlight w:val="green"/>
                <w:lang w:val="en-GB" w:eastAsia="en-GB"/>
              </w:rPr>
            </w:pPr>
            <w:r w:rsidRPr="0054080C">
              <w:rPr>
                <w:strike/>
                <w:sz w:val="20"/>
                <w:szCs w:val="20"/>
                <w:highlight w:val="green"/>
              </w:rPr>
              <w:lastRenderedPageBreak/>
              <w:t>Application to plant - exposure to underlying ground</w:t>
            </w:r>
          </w:p>
        </w:tc>
        <w:tc>
          <w:tcPr>
            <w:tcW w:w="1696" w:type="pct"/>
            <w:gridSpan w:val="2"/>
            <w:tcBorders>
              <w:top w:val="single" w:sz="4" w:space="0" w:color="auto"/>
              <w:left w:val="nil"/>
              <w:bottom w:val="single" w:sz="2" w:space="0" w:color="auto"/>
              <w:right w:val="single" w:sz="4" w:space="0" w:color="auto"/>
            </w:tcBorders>
            <w:shd w:val="clear" w:color="auto" w:fill="auto"/>
            <w:vAlign w:val="center"/>
          </w:tcPr>
          <w:p w14:paraId="0401A5B4"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lang w:val="en-GB"/>
              </w:rPr>
              <w:t>Small insectivorous mammal “shrew”</w:t>
            </w:r>
          </w:p>
        </w:tc>
        <w:tc>
          <w:tcPr>
            <w:tcW w:w="528" w:type="pct"/>
            <w:gridSpan w:val="2"/>
            <w:vMerge w:val="restart"/>
            <w:shd w:val="clear" w:color="auto" w:fill="auto"/>
            <w:vAlign w:val="center"/>
          </w:tcPr>
          <w:p w14:paraId="4E3E8B0F" w14:textId="77777777" w:rsidR="00D27A7B" w:rsidRPr="006C68FA" w:rsidRDefault="00D27A7B" w:rsidP="00D27A7B">
            <w:pPr>
              <w:jc w:val="center"/>
              <w:rPr>
                <w:strike/>
                <w:sz w:val="20"/>
                <w:szCs w:val="20"/>
                <w:highlight w:val="green"/>
                <w:lang w:val="en-GB"/>
              </w:rPr>
            </w:pPr>
            <w:r w:rsidRPr="006C68FA">
              <w:rPr>
                <w:strike/>
                <w:sz w:val="20"/>
                <w:szCs w:val="20"/>
                <w:highlight w:val="green"/>
                <w:lang w:val="en-GB"/>
              </w:rPr>
              <w:t>0.902</w:t>
            </w:r>
          </w:p>
        </w:tc>
        <w:tc>
          <w:tcPr>
            <w:tcW w:w="354"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50699FC8" w14:textId="77777777" w:rsidR="00D27A7B" w:rsidRPr="006C68FA" w:rsidRDefault="00D27A7B" w:rsidP="00D27A7B">
            <w:pPr>
              <w:jc w:val="center"/>
              <w:rPr>
                <w:strike/>
                <w:color w:val="000000"/>
                <w:sz w:val="20"/>
                <w:szCs w:val="20"/>
                <w:highlight w:val="green"/>
                <w:lang w:val="en-GB" w:eastAsia="en-GB"/>
              </w:rPr>
            </w:pPr>
            <w:r w:rsidRPr="006C68FA">
              <w:rPr>
                <w:strike/>
                <w:sz w:val="20"/>
                <w:szCs w:val="20"/>
                <w:highlight w:val="green"/>
              </w:rPr>
              <w:t>1.9</w:t>
            </w:r>
          </w:p>
        </w:tc>
        <w:tc>
          <w:tcPr>
            <w:tcW w:w="394" w:type="pct"/>
            <w:gridSpan w:val="2"/>
            <w:vMerge w:val="restart"/>
            <w:shd w:val="clear" w:color="auto" w:fill="auto"/>
            <w:vAlign w:val="center"/>
          </w:tcPr>
          <w:p w14:paraId="7F23939E" w14:textId="77777777" w:rsidR="00D27A7B" w:rsidRPr="006C68FA" w:rsidRDefault="00D27A7B" w:rsidP="00D27A7B">
            <w:pPr>
              <w:jc w:val="center"/>
              <w:rPr>
                <w:strike/>
                <w:sz w:val="20"/>
                <w:szCs w:val="20"/>
                <w:highlight w:val="green"/>
                <w:lang w:val="en-GB"/>
              </w:rPr>
            </w:pPr>
            <w:r w:rsidRPr="006C68FA">
              <w:rPr>
                <w:strike/>
                <w:sz w:val="20"/>
                <w:szCs w:val="20"/>
                <w:highlight w:val="green"/>
                <w:lang w:val="en-GB"/>
              </w:rPr>
              <w:t>1.0 × 0.53</w:t>
            </w:r>
          </w:p>
        </w:tc>
        <w:tc>
          <w:tcPr>
            <w:tcW w:w="666" w:type="pct"/>
            <w:tcBorders>
              <w:top w:val="single" w:sz="4" w:space="0" w:color="auto"/>
              <w:left w:val="single" w:sz="4" w:space="0" w:color="auto"/>
              <w:bottom w:val="single" w:sz="2" w:space="0" w:color="auto"/>
              <w:right w:val="single" w:sz="4" w:space="0" w:color="auto"/>
            </w:tcBorders>
            <w:shd w:val="clear" w:color="auto" w:fill="auto"/>
            <w:vAlign w:val="center"/>
          </w:tcPr>
          <w:p w14:paraId="12E31E0B" w14:textId="77777777" w:rsidR="00D27A7B" w:rsidRPr="006C68FA" w:rsidRDefault="00D27A7B" w:rsidP="00D27A7B">
            <w:pPr>
              <w:jc w:val="center"/>
              <w:rPr>
                <w:strike/>
                <w:color w:val="000000"/>
                <w:sz w:val="20"/>
                <w:szCs w:val="20"/>
                <w:highlight w:val="green"/>
                <w:lang w:val="en-GB" w:eastAsia="en-GB"/>
              </w:rPr>
            </w:pPr>
            <w:r w:rsidRPr="006C68FA">
              <w:rPr>
                <w:strike/>
                <w:sz w:val="20"/>
                <w:szCs w:val="20"/>
                <w:highlight w:val="green"/>
              </w:rPr>
              <w:t>0.90</w:t>
            </w:r>
          </w:p>
        </w:tc>
        <w:tc>
          <w:tcPr>
            <w:tcW w:w="468" w:type="pct"/>
            <w:tcBorders>
              <w:top w:val="single" w:sz="4" w:space="0" w:color="auto"/>
              <w:left w:val="single" w:sz="4" w:space="0" w:color="auto"/>
              <w:bottom w:val="single" w:sz="2" w:space="0" w:color="auto"/>
              <w:right w:val="single" w:sz="4" w:space="0" w:color="auto"/>
            </w:tcBorders>
            <w:shd w:val="clear" w:color="auto" w:fill="auto"/>
            <w:vAlign w:val="center"/>
          </w:tcPr>
          <w:p w14:paraId="2E045966" w14:textId="77777777" w:rsidR="00D27A7B" w:rsidRPr="006C68FA" w:rsidRDefault="00D27A7B" w:rsidP="00D27A7B">
            <w:pPr>
              <w:jc w:val="center"/>
              <w:rPr>
                <w:strike/>
                <w:color w:val="000000"/>
                <w:sz w:val="20"/>
                <w:szCs w:val="20"/>
                <w:highlight w:val="green"/>
                <w:lang w:val="en-GB" w:eastAsia="en-GB"/>
              </w:rPr>
            </w:pPr>
            <w:r w:rsidRPr="006C68FA">
              <w:rPr>
                <w:strike/>
                <w:sz w:val="20"/>
                <w:szCs w:val="20"/>
                <w:highlight w:val="green"/>
              </w:rPr>
              <w:t>115.2</w:t>
            </w:r>
          </w:p>
        </w:tc>
      </w:tr>
      <w:tr w:rsidR="00D27A7B" w:rsidRPr="006C5A12" w14:paraId="713CF624" w14:textId="77777777" w:rsidTr="00B23596">
        <w:trPr>
          <w:gridBefore w:val="1"/>
          <w:wBefore w:w="31" w:type="pct"/>
          <w:cantSplit/>
        </w:trPr>
        <w:tc>
          <w:tcPr>
            <w:tcW w:w="863"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5D78D60C" w14:textId="77777777" w:rsidR="00D27A7B" w:rsidRPr="0054080C" w:rsidRDefault="00D27A7B" w:rsidP="00D27A7B">
            <w:pPr>
              <w:jc w:val="center"/>
              <w:rPr>
                <w:strike/>
                <w:color w:val="000000"/>
                <w:sz w:val="20"/>
                <w:szCs w:val="20"/>
                <w:highlight w:val="green"/>
                <w:lang w:val="en-GB"/>
              </w:rPr>
            </w:pPr>
            <w:r w:rsidRPr="0054080C">
              <w:rPr>
                <w:strike/>
                <w:sz w:val="20"/>
                <w:szCs w:val="20"/>
                <w:highlight w:val="green"/>
              </w:rPr>
              <w:t>BBCH 40-49</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7FB86731"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lang w:val="en-GB"/>
              </w:rPr>
              <w:t>Small herbivorous mammal “vole”</w:t>
            </w:r>
          </w:p>
        </w:tc>
        <w:tc>
          <w:tcPr>
            <w:tcW w:w="528" w:type="pct"/>
            <w:gridSpan w:val="2"/>
            <w:vMerge/>
            <w:shd w:val="clear" w:color="auto" w:fill="auto"/>
            <w:vAlign w:val="center"/>
          </w:tcPr>
          <w:p w14:paraId="605BC506" w14:textId="77777777" w:rsidR="00D27A7B" w:rsidRPr="006C68FA" w:rsidRDefault="00D27A7B" w:rsidP="00D27A7B">
            <w:pPr>
              <w:jc w:val="center"/>
              <w:rPr>
                <w:strike/>
                <w:sz w:val="20"/>
                <w:szCs w:val="20"/>
                <w:highlight w:val="green"/>
                <w:lang w:val="en-GB"/>
              </w:rPr>
            </w:pPr>
          </w:p>
        </w:tc>
        <w:tc>
          <w:tcPr>
            <w:tcW w:w="354" w:type="pct"/>
            <w:gridSpan w:val="2"/>
            <w:tcBorders>
              <w:top w:val="single" w:sz="2" w:space="0" w:color="auto"/>
              <w:left w:val="single" w:sz="4" w:space="0" w:color="auto"/>
              <w:bottom w:val="single" w:sz="4" w:space="0" w:color="auto"/>
              <w:right w:val="single" w:sz="4" w:space="0" w:color="auto"/>
            </w:tcBorders>
            <w:shd w:val="clear" w:color="auto" w:fill="auto"/>
            <w:vAlign w:val="center"/>
          </w:tcPr>
          <w:p w14:paraId="3BA26BB2"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rPr>
              <w:t>72.3</w:t>
            </w:r>
          </w:p>
        </w:tc>
        <w:tc>
          <w:tcPr>
            <w:tcW w:w="394" w:type="pct"/>
            <w:gridSpan w:val="2"/>
            <w:vMerge/>
            <w:shd w:val="clear" w:color="auto" w:fill="auto"/>
            <w:vAlign w:val="center"/>
          </w:tcPr>
          <w:p w14:paraId="610A5072" w14:textId="77777777" w:rsidR="00D27A7B" w:rsidRPr="006C68FA" w:rsidRDefault="00D27A7B" w:rsidP="00D27A7B">
            <w:pPr>
              <w:jc w:val="center"/>
              <w:rPr>
                <w:strike/>
                <w:sz w:val="20"/>
                <w:szCs w:val="20"/>
                <w:highlight w:val="green"/>
                <w:lang w:val="en-GB"/>
              </w:rPr>
            </w:pPr>
          </w:p>
        </w:tc>
        <w:tc>
          <w:tcPr>
            <w:tcW w:w="666" w:type="pct"/>
            <w:tcBorders>
              <w:top w:val="single" w:sz="2" w:space="0" w:color="auto"/>
              <w:left w:val="single" w:sz="4" w:space="0" w:color="auto"/>
              <w:bottom w:val="single" w:sz="4" w:space="0" w:color="auto"/>
              <w:right w:val="single" w:sz="4" w:space="0" w:color="auto"/>
            </w:tcBorders>
            <w:shd w:val="clear" w:color="auto" w:fill="auto"/>
            <w:vAlign w:val="center"/>
          </w:tcPr>
          <w:p w14:paraId="63BD1BE0"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rPr>
              <w:t>34.35</w:t>
            </w:r>
          </w:p>
        </w:tc>
        <w:tc>
          <w:tcPr>
            <w:tcW w:w="468" w:type="pct"/>
            <w:tcBorders>
              <w:top w:val="single" w:sz="2" w:space="0" w:color="auto"/>
              <w:left w:val="single" w:sz="4" w:space="0" w:color="auto"/>
              <w:bottom w:val="single" w:sz="4" w:space="0" w:color="auto"/>
              <w:right w:val="single" w:sz="4" w:space="0" w:color="auto"/>
            </w:tcBorders>
            <w:shd w:val="clear" w:color="auto" w:fill="auto"/>
            <w:vAlign w:val="center"/>
          </w:tcPr>
          <w:p w14:paraId="68E340E1" w14:textId="77777777" w:rsidR="00D27A7B" w:rsidRPr="006C68FA" w:rsidRDefault="00D27A7B" w:rsidP="00D27A7B">
            <w:pPr>
              <w:jc w:val="center"/>
              <w:rPr>
                <w:b/>
                <w:bCs/>
                <w:strike/>
                <w:color w:val="000000"/>
                <w:sz w:val="20"/>
                <w:szCs w:val="20"/>
                <w:highlight w:val="green"/>
                <w:lang w:val="en-GB"/>
              </w:rPr>
            </w:pPr>
            <w:r w:rsidRPr="006C68FA">
              <w:rPr>
                <w:b/>
                <w:bCs/>
                <w:strike/>
                <w:sz w:val="20"/>
                <w:szCs w:val="20"/>
                <w:highlight w:val="green"/>
              </w:rPr>
              <w:t>3.0</w:t>
            </w:r>
          </w:p>
        </w:tc>
      </w:tr>
      <w:tr w:rsidR="00D27A7B" w:rsidRPr="006C5A12" w14:paraId="25D5E006"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4ABBAD53" w14:textId="77777777" w:rsidR="00D27A7B" w:rsidRPr="0054080C" w:rsidRDefault="00D27A7B" w:rsidP="00D27A7B">
            <w:pPr>
              <w:jc w:val="center"/>
              <w:rPr>
                <w:strike/>
                <w:color w:val="000000"/>
                <w:sz w:val="20"/>
                <w:szCs w:val="20"/>
                <w:highlight w:val="green"/>
                <w:lang w:val="en-GB"/>
              </w:rPr>
            </w:pPr>
            <w:r w:rsidRPr="0054080C">
              <w:rPr>
                <w:strike/>
                <w:sz w:val="20"/>
                <w:szCs w:val="20"/>
                <w:highlight w:val="green"/>
              </w:rPr>
              <w:t>BBCH ≥50</w:t>
            </w:r>
          </w:p>
        </w:tc>
        <w:tc>
          <w:tcPr>
            <w:tcW w:w="1696" w:type="pct"/>
            <w:gridSpan w:val="2"/>
            <w:tcBorders>
              <w:top w:val="nil"/>
              <w:left w:val="nil"/>
              <w:bottom w:val="single" w:sz="4" w:space="0" w:color="auto"/>
              <w:right w:val="single" w:sz="4" w:space="0" w:color="auto"/>
            </w:tcBorders>
            <w:shd w:val="clear" w:color="auto" w:fill="auto"/>
            <w:vAlign w:val="center"/>
          </w:tcPr>
          <w:p w14:paraId="1CF538DF"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lang w:val="en-GB"/>
              </w:rPr>
              <w:t>Small herbivorous mammal “vole”</w:t>
            </w:r>
          </w:p>
        </w:tc>
        <w:tc>
          <w:tcPr>
            <w:tcW w:w="528" w:type="pct"/>
            <w:gridSpan w:val="2"/>
            <w:vMerge/>
            <w:shd w:val="clear" w:color="auto" w:fill="auto"/>
            <w:vAlign w:val="center"/>
          </w:tcPr>
          <w:p w14:paraId="06939630" w14:textId="77777777" w:rsidR="00D27A7B" w:rsidRPr="006C68FA" w:rsidRDefault="00D27A7B" w:rsidP="00D27A7B">
            <w:pPr>
              <w:jc w:val="center"/>
              <w:rPr>
                <w:strike/>
                <w:sz w:val="20"/>
                <w:szCs w:val="20"/>
                <w:highlight w:val="green"/>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66F55460"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rPr>
              <w:t>36.1</w:t>
            </w:r>
          </w:p>
        </w:tc>
        <w:tc>
          <w:tcPr>
            <w:tcW w:w="394" w:type="pct"/>
            <w:gridSpan w:val="2"/>
            <w:vMerge/>
            <w:shd w:val="clear" w:color="auto" w:fill="auto"/>
            <w:vAlign w:val="center"/>
          </w:tcPr>
          <w:p w14:paraId="6CB2D5C4" w14:textId="77777777" w:rsidR="00D27A7B" w:rsidRPr="006C68FA" w:rsidRDefault="00D27A7B" w:rsidP="00D27A7B">
            <w:pPr>
              <w:jc w:val="center"/>
              <w:rPr>
                <w:strike/>
                <w:sz w:val="20"/>
                <w:szCs w:val="20"/>
                <w:highlight w:val="green"/>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23BFB9D0" w14:textId="77777777" w:rsidR="00D27A7B" w:rsidRPr="006C68FA" w:rsidRDefault="00D27A7B" w:rsidP="00D27A7B">
            <w:pPr>
              <w:jc w:val="center"/>
              <w:rPr>
                <w:strike/>
                <w:color w:val="000000"/>
                <w:sz w:val="20"/>
                <w:szCs w:val="20"/>
                <w:highlight w:val="green"/>
                <w:lang w:val="en-GB"/>
              </w:rPr>
            </w:pPr>
            <w:r w:rsidRPr="006C68FA">
              <w:rPr>
                <w:strike/>
                <w:sz w:val="20"/>
                <w:szCs w:val="20"/>
                <w:highlight w:val="green"/>
              </w:rPr>
              <w:t>17.15</w:t>
            </w:r>
          </w:p>
        </w:tc>
        <w:tc>
          <w:tcPr>
            <w:tcW w:w="468" w:type="pct"/>
            <w:tcBorders>
              <w:top w:val="nil"/>
              <w:left w:val="single" w:sz="4" w:space="0" w:color="auto"/>
              <w:bottom w:val="single" w:sz="4" w:space="0" w:color="auto"/>
              <w:right w:val="single" w:sz="4" w:space="0" w:color="auto"/>
            </w:tcBorders>
            <w:shd w:val="clear" w:color="auto" w:fill="auto"/>
            <w:vAlign w:val="center"/>
          </w:tcPr>
          <w:p w14:paraId="0D4832EA" w14:textId="77777777" w:rsidR="00D27A7B" w:rsidRPr="006C68FA" w:rsidRDefault="00D27A7B" w:rsidP="00D27A7B">
            <w:pPr>
              <w:jc w:val="center"/>
              <w:rPr>
                <w:b/>
                <w:bCs/>
                <w:strike/>
                <w:color w:val="000000"/>
                <w:sz w:val="20"/>
                <w:szCs w:val="20"/>
                <w:highlight w:val="green"/>
                <w:lang w:val="en-GB"/>
              </w:rPr>
            </w:pPr>
            <w:r w:rsidRPr="006C68FA">
              <w:rPr>
                <w:strike/>
                <w:sz w:val="20"/>
                <w:szCs w:val="20"/>
                <w:highlight w:val="green"/>
              </w:rPr>
              <w:t>6.1</w:t>
            </w:r>
          </w:p>
        </w:tc>
      </w:tr>
      <w:tr w:rsidR="00D27A7B" w:rsidRPr="006C5A12" w14:paraId="49E1216D"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190015AE" w14:textId="77777777" w:rsidR="00D27A7B" w:rsidRPr="0054080C" w:rsidRDefault="00D27A7B" w:rsidP="00D27A7B">
            <w:pPr>
              <w:jc w:val="center"/>
              <w:rPr>
                <w:strike/>
                <w:sz w:val="20"/>
                <w:szCs w:val="20"/>
                <w:highlight w:val="green"/>
                <w:lang w:val="en-GB"/>
              </w:rPr>
            </w:pPr>
            <w:r w:rsidRPr="0054080C">
              <w:rPr>
                <w:strike/>
                <w:sz w:val="20"/>
                <w:szCs w:val="20"/>
                <w:highlight w:val="green"/>
              </w:rPr>
              <w:t>Application crop directed BBCH 10-49</w:t>
            </w:r>
          </w:p>
        </w:tc>
        <w:tc>
          <w:tcPr>
            <w:tcW w:w="1696" w:type="pct"/>
            <w:gridSpan w:val="2"/>
            <w:tcBorders>
              <w:top w:val="single" w:sz="2" w:space="0" w:color="auto"/>
              <w:left w:val="nil"/>
              <w:bottom w:val="single" w:sz="4" w:space="0" w:color="auto"/>
              <w:right w:val="single" w:sz="4" w:space="0" w:color="auto"/>
            </w:tcBorders>
            <w:shd w:val="clear" w:color="auto" w:fill="auto"/>
            <w:vAlign w:val="center"/>
          </w:tcPr>
          <w:p w14:paraId="334C8356" w14:textId="77777777" w:rsidR="00D27A7B" w:rsidRPr="006C68FA" w:rsidRDefault="00D27A7B" w:rsidP="00D27A7B">
            <w:pPr>
              <w:jc w:val="center"/>
              <w:rPr>
                <w:strike/>
                <w:sz w:val="20"/>
                <w:szCs w:val="20"/>
                <w:highlight w:val="green"/>
                <w:lang w:val="en-GB"/>
              </w:rPr>
            </w:pPr>
            <w:r w:rsidRPr="006C68FA">
              <w:rPr>
                <w:strike/>
                <w:sz w:val="20"/>
                <w:szCs w:val="20"/>
                <w:highlight w:val="green"/>
                <w:lang w:val="en-GB"/>
              </w:rPr>
              <w:t>Small omnivorous mammal “mouse”</w:t>
            </w:r>
          </w:p>
        </w:tc>
        <w:tc>
          <w:tcPr>
            <w:tcW w:w="528" w:type="pct"/>
            <w:gridSpan w:val="2"/>
            <w:vMerge/>
            <w:shd w:val="clear" w:color="auto" w:fill="auto"/>
            <w:vAlign w:val="center"/>
          </w:tcPr>
          <w:p w14:paraId="19574CE4" w14:textId="77777777" w:rsidR="00D27A7B" w:rsidRPr="006C68FA" w:rsidRDefault="00D27A7B" w:rsidP="00D27A7B">
            <w:pPr>
              <w:jc w:val="center"/>
              <w:rPr>
                <w:strike/>
                <w:sz w:val="20"/>
                <w:szCs w:val="20"/>
                <w:highlight w:val="green"/>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452D87B7" w14:textId="77777777" w:rsidR="00D27A7B" w:rsidRPr="006C68FA" w:rsidRDefault="00D27A7B" w:rsidP="00D27A7B">
            <w:pPr>
              <w:jc w:val="center"/>
              <w:rPr>
                <w:strike/>
                <w:sz w:val="20"/>
                <w:szCs w:val="20"/>
                <w:highlight w:val="green"/>
                <w:lang w:val="en-GB"/>
              </w:rPr>
            </w:pPr>
            <w:r w:rsidRPr="006C68FA">
              <w:rPr>
                <w:strike/>
                <w:sz w:val="20"/>
                <w:szCs w:val="20"/>
                <w:highlight w:val="green"/>
              </w:rPr>
              <w:t>7.8</w:t>
            </w:r>
          </w:p>
        </w:tc>
        <w:tc>
          <w:tcPr>
            <w:tcW w:w="394" w:type="pct"/>
            <w:gridSpan w:val="2"/>
            <w:vMerge/>
            <w:shd w:val="clear" w:color="auto" w:fill="auto"/>
            <w:vAlign w:val="center"/>
          </w:tcPr>
          <w:p w14:paraId="7EBC5CDB" w14:textId="77777777" w:rsidR="00D27A7B" w:rsidRPr="006C68FA" w:rsidRDefault="00D27A7B" w:rsidP="00D27A7B">
            <w:pPr>
              <w:jc w:val="center"/>
              <w:rPr>
                <w:strike/>
                <w:sz w:val="20"/>
                <w:szCs w:val="20"/>
                <w:highlight w:val="green"/>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1B43348C" w14:textId="77777777" w:rsidR="00D27A7B" w:rsidRPr="006C68FA" w:rsidRDefault="00D27A7B" w:rsidP="00D27A7B">
            <w:pPr>
              <w:jc w:val="center"/>
              <w:rPr>
                <w:strike/>
                <w:sz w:val="20"/>
                <w:szCs w:val="20"/>
                <w:highlight w:val="green"/>
                <w:lang w:val="en-GB"/>
              </w:rPr>
            </w:pPr>
            <w:r w:rsidRPr="006C68FA">
              <w:rPr>
                <w:strike/>
                <w:sz w:val="20"/>
                <w:szCs w:val="20"/>
                <w:highlight w:val="green"/>
              </w:rPr>
              <w:t>3.71</w:t>
            </w:r>
          </w:p>
        </w:tc>
        <w:tc>
          <w:tcPr>
            <w:tcW w:w="468" w:type="pct"/>
            <w:tcBorders>
              <w:top w:val="nil"/>
              <w:left w:val="single" w:sz="4" w:space="0" w:color="auto"/>
              <w:bottom w:val="single" w:sz="4" w:space="0" w:color="auto"/>
              <w:right w:val="single" w:sz="4" w:space="0" w:color="auto"/>
            </w:tcBorders>
            <w:shd w:val="clear" w:color="auto" w:fill="auto"/>
            <w:vAlign w:val="center"/>
          </w:tcPr>
          <w:p w14:paraId="7C43A36A" w14:textId="77777777" w:rsidR="00D27A7B" w:rsidRPr="006C68FA" w:rsidRDefault="00D27A7B" w:rsidP="00D27A7B">
            <w:pPr>
              <w:jc w:val="center"/>
              <w:rPr>
                <w:strike/>
                <w:sz w:val="20"/>
                <w:szCs w:val="20"/>
                <w:highlight w:val="green"/>
                <w:lang w:val="en-GB"/>
              </w:rPr>
            </w:pPr>
            <w:r w:rsidRPr="006C68FA">
              <w:rPr>
                <w:strike/>
                <w:sz w:val="20"/>
                <w:szCs w:val="20"/>
                <w:highlight w:val="green"/>
              </w:rPr>
              <w:t>28.1</w:t>
            </w:r>
          </w:p>
        </w:tc>
      </w:tr>
      <w:tr w:rsidR="00D27A7B" w:rsidRPr="006C5A12" w14:paraId="30190EA7" w14:textId="77777777" w:rsidTr="00B23596">
        <w:trPr>
          <w:gridBefore w:val="1"/>
          <w:wBefore w:w="31" w:type="pct"/>
          <w:cantSplit/>
        </w:trPr>
        <w:tc>
          <w:tcPr>
            <w:tcW w:w="863" w:type="pct"/>
            <w:gridSpan w:val="2"/>
            <w:tcBorders>
              <w:top w:val="nil"/>
              <w:left w:val="single" w:sz="4" w:space="0" w:color="auto"/>
              <w:bottom w:val="single" w:sz="4" w:space="0" w:color="auto"/>
              <w:right w:val="single" w:sz="4" w:space="0" w:color="auto"/>
            </w:tcBorders>
            <w:shd w:val="clear" w:color="auto" w:fill="auto"/>
            <w:vAlign w:val="center"/>
          </w:tcPr>
          <w:p w14:paraId="5CCC3F9E" w14:textId="77777777" w:rsidR="00D27A7B" w:rsidRPr="0054080C" w:rsidRDefault="00D27A7B" w:rsidP="00D27A7B">
            <w:pPr>
              <w:jc w:val="center"/>
              <w:rPr>
                <w:strike/>
                <w:sz w:val="20"/>
                <w:szCs w:val="20"/>
                <w:highlight w:val="green"/>
                <w:lang w:val="en-GB"/>
              </w:rPr>
            </w:pPr>
            <w:r w:rsidRPr="0054080C">
              <w:rPr>
                <w:strike/>
                <w:sz w:val="20"/>
                <w:szCs w:val="20"/>
                <w:highlight w:val="green"/>
              </w:rPr>
              <w:t>Application crop directed BBCH ≥50</w:t>
            </w:r>
          </w:p>
        </w:tc>
        <w:tc>
          <w:tcPr>
            <w:tcW w:w="1696" w:type="pct"/>
            <w:gridSpan w:val="2"/>
            <w:tcBorders>
              <w:top w:val="nil"/>
              <w:left w:val="nil"/>
              <w:bottom w:val="single" w:sz="4" w:space="0" w:color="auto"/>
              <w:right w:val="single" w:sz="4" w:space="0" w:color="auto"/>
            </w:tcBorders>
            <w:shd w:val="clear" w:color="auto" w:fill="auto"/>
            <w:vAlign w:val="center"/>
          </w:tcPr>
          <w:p w14:paraId="22B17541" w14:textId="77777777" w:rsidR="00D27A7B" w:rsidRPr="006C68FA" w:rsidRDefault="00D27A7B" w:rsidP="00D27A7B">
            <w:pPr>
              <w:jc w:val="center"/>
              <w:rPr>
                <w:strike/>
                <w:sz w:val="20"/>
                <w:szCs w:val="20"/>
                <w:highlight w:val="green"/>
                <w:lang w:val="en-GB"/>
              </w:rPr>
            </w:pPr>
            <w:r w:rsidRPr="006C68FA">
              <w:rPr>
                <w:strike/>
                <w:sz w:val="20"/>
                <w:szCs w:val="20"/>
                <w:highlight w:val="green"/>
                <w:lang w:val="en-GB"/>
              </w:rPr>
              <w:t>Small omnivorous mammal “mouse”</w:t>
            </w:r>
          </w:p>
        </w:tc>
        <w:tc>
          <w:tcPr>
            <w:tcW w:w="528" w:type="pct"/>
            <w:gridSpan w:val="2"/>
            <w:vMerge/>
            <w:tcBorders>
              <w:bottom w:val="single" w:sz="4" w:space="0" w:color="auto"/>
            </w:tcBorders>
            <w:shd w:val="clear" w:color="auto" w:fill="auto"/>
            <w:vAlign w:val="center"/>
          </w:tcPr>
          <w:p w14:paraId="0CEC04D3" w14:textId="77777777" w:rsidR="00D27A7B" w:rsidRPr="006C68FA" w:rsidRDefault="00D27A7B" w:rsidP="00D27A7B">
            <w:pPr>
              <w:jc w:val="center"/>
              <w:rPr>
                <w:strike/>
                <w:sz w:val="20"/>
                <w:szCs w:val="20"/>
                <w:highlight w:val="green"/>
                <w:lang w:val="en-GB"/>
              </w:rPr>
            </w:pPr>
          </w:p>
        </w:tc>
        <w:tc>
          <w:tcPr>
            <w:tcW w:w="354" w:type="pct"/>
            <w:gridSpan w:val="2"/>
            <w:tcBorders>
              <w:top w:val="nil"/>
              <w:left w:val="single" w:sz="4" w:space="0" w:color="auto"/>
              <w:bottom w:val="single" w:sz="4" w:space="0" w:color="auto"/>
              <w:right w:val="single" w:sz="4" w:space="0" w:color="auto"/>
            </w:tcBorders>
            <w:shd w:val="clear" w:color="auto" w:fill="auto"/>
            <w:vAlign w:val="center"/>
          </w:tcPr>
          <w:p w14:paraId="5581CDB2" w14:textId="77777777" w:rsidR="00D27A7B" w:rsidRPr="006C68FA" w:rsidRDefault="00D27A7B" w:rsidP="00D27A7B">
            <w:pPr>
              <w:jc w:val="center"/>
              <w:rPr>
                <w:strike/>
                <w:sz w:val="20"/>
                <w:szCs w:val="20"/>
                <w:highlight w:val="green"/>
                <w:lang w:val="en-GB"/>
              </w:rPr>
            </w:pPr>
            <w:r w:rsidRPr="006C68FA">
              <w:rPr>
                <w:strike/>
                <w:sz w:val="20"/>
                <w:szCs w:val="20"/>
                <w:highlight w:val="green"/>
              </w:rPr>
              <w:t>3.9</w:t>
            </w:r>
          </w:p>
        </w:tc>
        <w:tc>
          <w:tcPr>
            <w:tcW w:w="394" w:type="pct"/>
            <w:gridSpan w:val="2"/>
            <w:vMerge/>
            <w:tcBorders>
              <w:bottom w:val="single" w:sz="4" w:space="0" w:color="auto"/>
            </w:tcBorders>
            <w:shd w:val="clear" w:color="auto" w:fill="auto"/>
            <w:vAlign w:val="center"/>
          </w:tcPr>
          <w:p w14:paraId="6FBD0498" w14:textId="77777777" w:rsidR="00D27A7B" w:rsidRPr="006C68FA" w:rsidRDefault="00D27A7B" w:rsidP="00D27A7B">
            <w:pPr>
              <w:jc w:val="center"/>
              <w:rPr>
                <w:strike/>
                <w:sz w:val="20"/>
                <w:szCs w:val="20"/>
                <w:highlight w:val="green"/>
                <w:lang w:val="en-GB"/>
              </w:rPr>
            </w:pPr>
          </w:p>
        </w:tc>
        <w:tc>
          <w:tcPr>
            <w:tcW w:w="666" w:type="pct"/>
            <w:tcBorders>
              <w:top w:val="nil"/>
              <w:left w:val="single" w:sz="4" w:space="0" w:color="auto"/>
              <w:bottom w:val="single" w:sz="4" w:space="0" w:color="auto"/>
              <w:right w:val="single" w:sz="4" w:space="0" w:color="auto"/>
            </w:tcBorders>
            <w:shd w:val="clear" w:color="auto" w:fill="auto"/>
            <w:vAlign w:val="center"/>
          </w:tcPr>
          <w:p w14:paraId="416640BE" w14:textId="77777777" w:rsidR="00D27A7B" w:rsidRPr="006C68FA" w:rsidRDefault="00D27A7B" w:rsidP="00D27A7B">
            <w:pPr>
              <w:jc w:val="center"/>
              <w:rPr>
                <w:strike/>
                <w:sz w:val="20"/>
                <w:szCs w:val="20"/>
                <w:highlight w:val="green"/>
                <w:lang w:val="en-GB"/>
              </w:rPr>
            </w:pPr>
            <w:r w:rsidRPr="006C68FA">
              <w:rPr>
                <w:strike/>
                <w:sz w:val="20"/>
                <w:szCs w:val="20"/>
                <w:highlight w:val="green"/>
              </w:rPr>
              <w:t>1.85</w:t>
            </w:r>
          </w:p>
        </w:tc>
        <w:tc>
          <w:tcPr>
            <w:tcW w:w="468" w:type="pct"/>
            <w:tcBorders>
              <w:top w:val="nil"/>
              <w:left w:val="single" w:sz="4" w:space="0" w:color="auto"/>
              <w:bottom w:val="single" w:sz="4" w:space="0" w:color="auto"/>
              <w:right w:val="single" w:sz="4" w:space="0" w:color="auto"/>
            </w:tcBorders>
            <w:shd w:val="clear" w:color="auto" w:fill="auto"/>
            <w:vAlign w:val="center"/>
          </w:tcPr>
          <w:p w14:paraId="0ACE86E1" w14:textId="77777777" w:rsidR="00D27A7B" w:rsidRPr="006C68FA" w:rsidRDefault="00D27A7B" w:rsidP="00D27A7B">
            <w:pPr>
              <w:jc w:val="center"/>
              <w:rPr>
                <w:strike/>
                <w:sz w:val="20"/>
                <w:szCs w:val="20"/>
                <w:highlight w:val="green"/>
                <w:lang w:val="en-GB"/>
              </w:rPr>
            </w:pPr>
            <w:r w:rsidRPr="006C68FA">
              <w:rPr>
                <w:strike/>
                <w:sz w:val="20"/>
                <w:szCs w:val="20"/>
                <w:highlight w:val="green"/>
              </w:rPr>
              <w:t>56.1</w:t>
            </w:r>
          </w:p>
        </w:tc>
      </w:tr>
      <w:tr w:rsidR="00D27A7B" w:rsidRPr="006C5A12" w14:paraId="0181766F" w14:textId="77777777" w:rsidTr="008B64F2">
        <w:trPr>
          <w:gridBefore w:val="1"/>
          <w:wBefore w:w="31" w:type="pct"/>
          <w:cantSplit/>
        </w:trPr>
        <w:tc>
          <w:tcPr>
            <w:tcW w:w="496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31AAD92" w14:textId="259C407D" w:rsidR="00D27A7B" w:rsidRPr="006C5A12" w:rsidRDefault="00D27A7B" w:rsidP="00D27A7B">
            <w:pPr>
              <w:keepNext/>
              <w:jc w:val="center"/>
              <w:rPr>
                <w:sz w:val="20"/>
                <w:szCs w:val="20"/>
              </w:rPr>
            </w:pPr>
            <w:r w:rsidRPr="006C5A12">
              <w:rPr>
                <w:b/>
                <w:bCs/>
                <w:sz w:val="20"/>
                <w:szCs w:val="20"/>
                <w:highlight w:val="green"/>
              </w:rPr>
              <w:t xml:space="preserve">Orchards </w:t>
            </w:r>
            <w:r w:rsidRPr="006C5A12">
              <w:rPr>
                <w:b/>
                <w:sz w:val="20"/>
                <w:szCs w:val="20"/>
                <w:highlight w:val="green"/>
                <w:lang w:val="en-GB"/>
              </w:rPr>
              <w:t>(2 x 0.902 kg a.s./ha, BBCH 12 - 59)</w:t>
            </w:r>
          </w:p>
        </w:tc>
      </w:tr>
      <w:tr w:rsidR="00D27A7B" w:rsidRPr="006C5A12" w14:paraId="3F552345"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A37A69"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5EA9433C" w14:textId="4A9C0CD9" w:rsidR="00D27A7B" w:rsidRPr="006C5A12" w:rsidRDefault="00D27A7B" w:rsidP="00D27A7B">
            <w:pPr>
              <w:keepNext/>
              <w:jc w:val="center"/>
              <w:rPr>
                <w:sz w:val="20"/>
                <w:szCs w:val="20"/>
                <w:highlight w:val="green"/>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1E853682" w14:textId="3D2B83F2" w:rsidR="00D27A7B" w:rsidRPr="006C5A12" w:rsidRDefault="00D27A7B" w:rsidP="00D27A7B">
            <w:pPr>
              <w:keepNext/>
              <w:jc w:val="center"/>
              <w:rPr>
                <w:sz w:val="20"/>
                <w:szCs w:val="20"/>
                <w:highlight w:val="green"/>
                <w:lang w:val="en-GB"/>
              </w:rPr>
            </w:pPr>
            <w:r w:rsidRPr="006C5A12">
              <w:rPr>
                <w:sz w:val="20"/>
                <w:szCs w:val="20"/>
                <w:highlight w:val="green"/>
                <w:lang w:val="en-GB"/>
              </w:rPr>
              <w:t>Small herbivorous mammal “vole”</w:t>
            </w:r>
          </w:p>
        </w:tc>
        <w:tc>
          <w:tcPr>
            <w:tcW w:w="528" w:type="pct"/>
            <w:gridSpan w:val="2"/>
            <w:vMerge w:val="restart"/>
            <w:tcBorders>
              <w:top w:val="single" w:sz="4" w:space="0" w:color="auto"/>
            </w:tcBorders>
            <w:shd w:val="clear" w:color="auto" w:fill="auto"/>
            <w:vAlign w:val="center"/>
          </w:tcPr>
          <w:p w14:paraId="7788D2C5" w14:textId="346DF7C4" w:rsidR="00D27A7B" w:rsidRPr="006C5A12" w:rsidRDefault="00D27A7B" w:rsidP="00D27A7B">
            <w:pPr>
              <w:keepNext/>
              <w:jc w:val="center"/>
              <w:rPr>
                <w:sz w:val="20"/>
                <w:szCs w:val="20"/>
                <w:highlight w:val="green"/>
                <w:lang w:val="en-GB"/>
              </w:rPr>
            </w:pPr>
            <w:r w:rsidRPr="006C5A12">
              <w:rPr>
                <w:sz w:val="20"/>
                <w:szCs w:val="20"/>
                <w:highlight w:val="green"/>
                <w:lang w:val="en-GB"/>
              </w:rPr>
              <w:t>0.902</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0ABC96" w14:textId="6DC753C1" w:rsidR="00D27A7B" w:rsidRPr="006C5A12" w:rsidRDefault="00D27A7B" w:rsidP="00D27A7B">
            <w:pPr>
              <w:keepNext/>
              <w:jc w:val="center"/>
              <w:rPr>
                <w:sz w:val="20"/>
                <w:szCs w:val="20"/>
                <w:highlight w:val="green"/>
              </w:rPr>
            </w:pPr>
            <w:r w:rsidRPr="006C5A12">
              <w:rPr>
                <w:sz w:val="20"/>
                <w:szCs w:val="20"/>
                <w:highlight w:val="green"/>
                <w:lang w:val="en-GB"/>
              </w:rPr>
              <w:t>57.8</w:t>
            </w:r>
          </w:p>
        </w:tc>
        <w:tc>
          <w:tcPr>
            <w:tcW w:w="394" w:type="pct"/>
            <w:gridSpan w:val="2"/>
            <w:vMerge w:val="restart"/>
            <w:tcBorders>
              <w:top w:val="single" w:sz="4" w:space="0" w:color="auto"/>
            </w:tcBorders>
            <w:shd w:val="clear" w:color="auto" w:fill="auto"/>
            <w:vAlign w:val="center"/>
          </w:tcPr>
          <w:p w14:paraId="51F1AB6B" w14:textId="70A9D86F" w:rsidR="00D27A7B" w:rsidRPr="006C5A12" w:rsidRDefault="00D27A7B" w:rsidP="00D27A7B">
            <w:pPr>
              <w:keepNext/>
              <w:jc w:val="center"/>
              <w:rPr>
                <w:sz w:val="20"/>
                <w:szCs w:val="20"/>
                <w:highlight w:val="green"/>
                <w:lang w:val="en-GB"/>
              </w:rPr>
            </w:pPr>
            <w:r w:rsidRPr="006C5A12">
              <w:rPr>
                <w:sz w:val="20"/>
                <w:szCs w:val="20"/>
                <w:highlight w:val="green"/>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3F4A1B69" w14:textId="65AC0E7B" w:rsidR="00D27A7B" w:rsidRPr="006C5A12" w:rsidRDefault="00D27A7B" w:rsidP="00D27A7B">
            <w:pPr>
              <w:keepNext/>
              <w:jc w:val="center"/>
              <w:rPr>
                <w:sz w:val="20"/>
                <w:szCs w:val="20"/>
                <w:highlight w:val="green"/>
              </w:rPr>
            </w:pPr>
            <w:r w:rsidRPr="006C5A12">
              <w:rPr>
                <w:sz w:val="20"/>
                <w:szCs w:val="20"/>
                <w:highlight w:val="green"/>
              </w:rPr>
              <w:t>44.37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90A686F" w14:textId="34CA3AE2" w:rsidR="00D27A7B" w:rsidRPr="006C5A12" w:rsidRDefault="00D27A7B" w:rsidP="00D27A7B">
            <w:pPr>
              <w:keepNext/>
              <w:jc w:val="center"/>
              <w:rPr>
                <w:b/>
                <w:bCs/>
                <w:sz w:val="20"/>
                <w:szCs w:val="20"/>
                <w:highlight w:val="green"/>
              </w:rPr>
            </w:pPr>
            <w:r w:rsidRPr="006C5A12">
              <w:rPr>
                <w:b/>
                <w:bCs/>
                <w:sz w:val="20"/>
                <w:szCs w:val="20"/>
                <w:highlight w:val="green"/>
              </w:rPr>
              <w:t>2.3</w:t>
            </w:r>
          </w:p>
        </w:tc>
      </w:tr>
      <w:tr w:rsidR="00D27A7B" w:rsidRPr="006C5A12" w14:paraId="357FC169"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AC6A7"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4036E9B4" w14:textId="6D048341" w:rsidR="00D27A7B" w:rsidRPr="006C5A12" w:rsidRDefault="00D27A7B" w:rsidP="00D27A7B">
            <w:pPr>
              <w:keepNext/>
              <w:jc w:val="center"/>
              <w:rPr>
                <w:sz w:val="20"/>
                <w:szCs w:val="20"/>
                <w:highlight w:val="green"/>
              </w:rPr>
            </w:pPr>
            <w:r w:rsidRPr="006C5A12">
              <w:rPr>
                <w:sz w:val="20"/>
                <w:szCs w:val="20"/>
                <w:highlight w:val="green"/>
              </w:rPr>
              <w:t>BBCH 20-40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15B07DDA" w14:textId="4971B9D9" w:rsidR="00D27A7B" w:rsidRPr="006C5A12" w:rsidRDefault="00D27A7B" w:rsidP="00D27A7B">
            <w:pPr>
              <w:keepNext/>
              <w:jc w:val="center"/>
              <w:rPr>
                <w:sz w:val="20"/>
                <w:szCs w:val="20"/>
                <w:highlight w:val="green"/>
                <w:lang w:val="en-GB"/>
              </w:rPr>
            </w:pPr>
            <w:r w:rsidRPr="006C5A12">
              <w:rPr>
                <w:sz w:val="20"/>
                <w:szCs w:val="20"/>
                <w:highlight w:val="green"/>
                <w:lang w:val="en-GB"/>
              </w:rPr>
              <w:t>Small herbivorous mammal “vole”</w:t>
            </w:r>
          </w:p>
        </w:tc>
        <w:tc>
          <w:tcPr>
            <w:tcW w:w="528" w:type="pct"/>
            <w:gridSpan w:val="2"/>
            <w:vMerge/>
            <w:shd w:val="clear" w:color="auto" w:fill="auto"/>
            <w:vAlign w:val="center"/>
          </w:tcPr>
          <w:p w14:paraId="2ED8D768" w14:textId="6B4483A5" w:rsidR="00D27A7B" w:rsidRPr="006C5A12" w:rsidRDefault="00D27A7B" w:rsidP="00D27A7B">
            <w:pPr>
              <w:keepNext/>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CC87FF" w14:textId="12E4F86B" w:rsidR="00D27A7B" w:rsidRPr="006C5A12" w:rsidRDefault="00D27A7B" w:rsidP="00D27A7B">
            <w:pPr>
              <w:keepNext/>
              <w:jc w:val="center"/>
              <w:rPr>
                <w:sz w:val="20"/>
                <w:szCs w:val="20"/>
                <w:highlight w:val="green"/>
              </w:rPr>
            </w:pPr>
            <w:r w:rsidRPr="006C5A12">
              <w:rPr>
                <w:sz w:val="20"/>
                <w:szCs w:val="20"/>
                <w:highlight w:val="green"/>
                <w:lang w:val="en-GB"/>
              </w:rPr>
              <w:t>43.4</w:t>
            </w:r>
          </w:p>
        </w:tc>
        <w:tc>
          <w:tcPr>
            <w:tcW w:w="394" w:type="pct"/>
            <w:gridSpan w:val="2"/>
            <w:vMerge/>
            <w:shd w:val="clear" w:color="auto" w:fill="auto"/>
            <w:vAlign w:val="center"/>
          </w:tcPr>
          <w:p w14:paraId="748A2BF5" w14:textId="77777777" w:rsidR="00D27A7B" w:rsidRPr="006C5A12" w:rsidRDefault="00D27A7B" w:rsidP="00D27A7B">
            <w:pPr>
              <w:keepNext/>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3C54C8A" w14:textId="299ED303" w:rsidR="00D27A7B" w:rsidRPr="006C5A12" w:rsidRDefault="00D27A7B" w:rsidP="00D27A7B">
            <w:pPr>
              <w:keepNext/>
              <w:jc w:val="center"/>
              <w:rPr>
                <w:sz w:val="20"/>
                <w:szCs w:val="20"/>
                <w:highlight w:val="green"/>
              </w:rPr>
            </w:pPr>
            <w:r w:rsidRPr="006C5A12">
              <w:rPr>
                <w:sz w:val="20"/>
                <w:szCs w:val="20"/>
                <w:highlight w:val="green"/>
              </w:rPr>
              <w:t>33.31</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731631C1" w14:textId="244377E6" w:rsidR="00D27A7B" w:rsidRPr="006C5A12" w:rsidRDefault="00D27A7B" w:rsidP="00D27A7B">
            <w:pPr>
              <w:keepNext/>
              <w:jc w:val="center"/>
              <w:rPr>
                <w:b/>
                <w:bCs/>
                <w:sz w:val="20"/>
                <w:szCs w:val="20"/>
                <w:highlight w:val="green"/>
              </w:rPr>
            </w:pPr>
            <w:r w:rsidRPr="006C5A12">
              <w:rPr>
                <w:b/>
                <w:bCs/>
                <w:sz w:val="20"/>
                <w:szCs w:val="20"/>
                <w:highlight w:val="green"/>
              </w:rPr>
              <w:t>3.1</w:t>
            </w:r>
          </w:p>
        </w:tc>
      </w:tr>
      <w:tr w:rsidR="00D27A7B" w:rsidRPr="006C5A12" w14:paraId="5BF86306"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CC7D42"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012B9C36" w14:textId="7AEE4263" w:rsidR="00D27A7B" w:rsidRPr="006C5A12" w:rsidRDefault="00D27A7B" w:rsidP="00D27A7B">
            <w:pPr>
              <w:keepNext/>
              <w:jc w:val="center"/>
              <w:rPr>
                <w:sz w:val="20"/>
                <w:szCs w:val="20"/>
                <w:highlight w:val="green"/>
              </w:rPr>
            </w:pPr>
            <w:r w:rsidRPr="006C5A12">
              <w:rPr>
                <w:sz w:val="20"/>
                <w:szCs w:val="20"/>
                <w:highlight w:val="green"/>
              </w:rPr>
              <w:t>BBCH ≥ 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0114668A" w14:textId="2AF398FE" w:rsidR="00D27A7B" w:rsidRPr="006C5A12" w:rsidRDefault="00D27A7B" w:rsidP="00D27A7B">
            <w:pPr>
              <w:keepNext/>
              <w:jc w:val="center"/>
              <w:rPr>
                <w:sz w:val="20"/>
                <w:szCs w:val="20"/>
                <w:highlight w:val="green"/>
                <w:lang w:val="en-GB"/>
              </w:rPr>
            </w:pPr>
            <w:r w:rsidRPr="006C5A12">
              <w:rPr>
                <w:sz w:val="20"/>
                <w:szCs w:val="20"/>
                <w:highlight w:val="green"/>
                <w:lang w:val="en-GB"/>
              </w:rPr>
              <w:t>Small herbivorous mammal “vole”</w:t>
            </w:r>
          </w:p>
        </w:tc>
        <w:tc>
          <w:tcPr>
            <w:tcW w:w="528" w:type="pct"/>
            <w:gridSpan w:val="2"/>
            <w:vMerge/>
            <w:shd w:val="clear" w:color="auto" w:fill="auto"/>
            <w:vAlign w:val="center"/>
          </w:tcPr>
          <w:p w14:paraId="06AE61FA" w14:textId="3E7B3366" w:rsidR="00D27A7B" w:rsidRPr="006C5A12" w:rsidRDefault="00D27A7B" w:rsidP="00D27A7B">
            <w:pPr>
              <w:keepNext/>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F16861" w14:textId="751AEA86" w:rsidR="00D27A7B" w:rsidRPr="006C5A12" w:rsidRDefault="00D27A7B" w:rsidP="00D27A7B">
            <w:pPr>
              <w:keepNext/>
              <w:jc w:val="center"/>
              <w:rPr>
                <w:sz w:val="20"/>
                <w:szCs w:val="20"/>
                <w:highlight w:val="green"/>
              </w:rPr>
            </w:pPr>
            <w:r w:rsidRPr="006C5A12">
              <w:rPr>
                <w:sz w:val="20"/>
                <w:szCs w:val="20"/>
                <w:highlight w:val="green"/>
                <w:lang w:val="en-GB"/>
              </w:rPr>
              <w:t>21.7</w:t>
            </w:r>
          </w:p>
        </w:tc>
        <w:tc>
          <w:tcPr>
            <w:tcW w:w="394" w:type="pct"/>
            <w:gridSpan w:val="2"/>
            <w:vMerge/>
            <w:shd w:val="clear" w:color="auto" w:fill="auto"/>
            <w:vAlign w:val="center"/>
          </w:tcPr>
          <w:p w14:paraId="4A3E3769" w14:textId="77777777" w:rsidR="00D27A7B" w:rsidRPr="006C5A12" w:rsidRDefault="00D27A7B" w:rsidP="00D27A7B">
            <w:pPr>
              <w:keepNext/>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4FE0A6B6" w14:textId="094C7596" w:rsidR="00D27A7B" w:rsidRPr="006C5A12" w:rsidRDefault="00D27A7B" w:rsidP="00D27A7B">
            <w:pPr>
              <w:keepNext/>
              <w:jc w:val="center"/>
              <w:rPr>
                <w:sz w:val="20"/>
                <w:szCs w:val="20"/>
                <w:highlight w:val="green"/>
              </w:rPr>
            </w:pPr>
            <w:r w:rsidRPr="006C5A12">
              <w:rPr>
                <w:sz w:val="20"/>
                <w:szCs w:val="20"/>
                <w:highlight w:val="green"/>
              </w:rPr>
              <w:t>16.66</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78687FB6" w14:textId="233E2D11" w:rsidR="00D27A7B" w:rsidRPr="006C5A12" w:rsidRDefault="00D27A7B" w:rsidP="00D27A7B">
            <w:pPr>
              <w:keepNext/>
              <w:jc w:val="center"/>
              <w:rPr>
                <w:sz w:val="20"/>
                <w:szCs w:val="20"/>
                <w:highlight w:val="green"/>
              </w:rPr>
            </w:pPr>
            <w:r w:rsidRPr="006C5A12">
              <w:rPr>
                <w:sz w:val="20"/>
                <w:szCs w:val="20"/>
                <w:highlight w:val="green"/>
              </w:rPr>
              <w:t>6.2</w:t>
            </w:r>
          </w:p>
        </w:tc>
      </w:tr>
      <w:tr w:rsidR="00D27A7B" w:rsidRPr="006C5A12" w14:paraId="29D9880F"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7F9E96"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13FAEB64" w14:textId="69F3D72D" w:rsidR="00D27A7B" w:rsidRPr="006C5A12" w:rsidRDefault="00D27A7B" w:rsidP="00D27A7B">
            <w:pPr>
              <w:keepNext/>
              <w:jc w:val="center"/>
              <w:rPr>
                <w:sz w:val="20"/>
                <w:szCs w:val="20"/>
                <w:highlight w:val="green"/>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1C2505E4" w14:textId="7A6D19A6" w:rsidR="00D27A7B" w:rsidRPr="006C5A12" w:rsidRDefault="00D27A7B" w:rsidP="00D27A7B">
            <w:pPr>
              <w:keepNext/>
              <w:jc w:val="center"/>
              <w:rPr>
                <w:sz w:val="20"/>
                <w:szCs w:val="20"/>
                <w:highlight w:val="green"/>
                <w:lang w:val="en-GB"/>
              </w:rPr>
            </w:pPr>
            <w:r w:rsidRPr="006C5A12">
              <w:rPr>
                <w:sz w:val="20"/>
                <w:szCs w:val="20"/>
                <w:highlight w:val="green"/>
                <w:lang w:val="en-GB"/>
              </w:rPr>
              <w:t>Large herbivorous mammal “lagomorph”</w:t>
            </w:r>
          </w:p>
        </w:tc>
        <w:tc>
          <w:tcPr>
            <w:tcW w:w="528" w:type="pct"/>
            <w:gridSpan w:val="2"/>
            <w:vMerge/>
            <w:shd w:val="clear" w:color="auto" w:fill="auto"/>
            <w:vAlign w:val="center"/>
          </w:tcPr>
          <w:p w14:paraId="535FB5E6" w14:textId="176F9D9C" w:rsidR="00D27A7B" w:rsidRPr="006C5A12" w:rsidRDefault="00D27A7B" w:rsidP="00D27A7B">
            <w:pPr>
              <w:keepNext/>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D209A1" w14:textId="24A405BA" w:rsidR="00D27A7B" w:rsidRPr="006C5A12" w:rsidRDefault="00D27A7B" w:rsidP="00D27A7B">
            <w:pPr>
              <w:keepNext/>
              <w:jc w:val="center"/>
              <w:rPr>
                <w:sz w:val="20"/>
                <w:szCs w:val="20"/>
                <w:highlight w:val="green"/>
              </w:rPr>
            </w:pPr>
            <w:r w:rsidRPr="006C5A12">
              <w:rPr>
                <w:sz w:val="20"/>
                <w:szCs w:val="20"/>
                <w:highlight w:val="green"/>
                <w:lang w:val="en-GB"/>
              </w:rPr>
              <w:t>11.5</w:t>
            </w:r>
          </w:p>
        </w:tc>
        <w:tc>
          <w:tcPr>
            <w:tcW w:w="394" w:type="pct"/>
            <w:gridSpan w:val="2"/>
            <w:vMerge/>
            <w:shd w:val="clear" w:color="auto" w:fill="auto"/>
            <w:vAlign w:val="center"/>
          </w:tcPr>
          <w:p w14:paraId="29C82D7F" w14:textId="77777777" w:rsidR="00D27A7B" w:rsidRPr="006C5A12" w:rsidRDefault="00D27A7B" w:rsidP="00D27A7B">
            <w:pPr>
              <w:keepNext/>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F8629F7" w14:textId="3EB68D4D" w:rsidR="00D27A7B" w:rsidRPr="006C5A12" w:rsidRDefault="00D27A7B" w:rsidP="00D27A7B">
            <w:pPr>
              <w:keepNext/>
              <w:jc w:val="center"/>
              <w:rPr>
                <w:sz w:val="20"/>
                <w:szCs w:val="20"/>
                <w:highlight w:val="green"/>
              </w:rPr>
            </w:pPr>
            <w:r w:rsidRPr="006C5A12">
              <w:rPr>
                <w:sz w:val="20"/>
                <w:szCs w:val="20"/>
                <w:highlight w:val="green"/>
              </w:rPr>
              <w:t>8.83</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904D7D9" w14:textId="40CE0A75" w:rsidR="00D27A7B" w:rsidRPr="006C5A12" w:rsidRDefault="00D27A7B" w:rsidP="00D27A7B">
            <w:pPr>
              <w:keepNext/>
              <w:jc w:val="center"/>
              <w:rPr>
                <w:sz w:val="20"/>
                <w:szCs w:val="20"/>
                <w:highlight w:val="green"/>
              </w:rPr>
            </w:pPr>
            <w:r w:rsidRPr="006C5A12">
              <w:rPr>
                <w:sz w:val="20"/>
                <w:szCs w:val="20"/>
                <w:highlight w:val="green"/>
              </w:rPr>
              <w:t>11.8</w:t>
            </w:r>
          </w:p>
        </w:tc>
      </w:tr>
      <w:tr w:rsidR="00D27A7B" w:rsidRPr="006C5A12" w14:paraId="10ED6FAB"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92CEC3"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47E9488B" w14:textId="7D12DA84" w:rsidR="00D27A7B" w:rsidRPr="006C5A12" w:rsidRDefault="00D27A7B" w:rsidP="00D27A7B">
            <w:pPr>
              <w:keepNext/>
              <w:jc w:val="center"/>
              <w:rPr>
                <w:sz w:val="20"/>
                <w:szCs w:val="20"/>
                <w:highlight w:val="green"/>
              </w:rPr>
            </w:pPr>
            <w:r w:rsidRPr="006C5A12">
              <w:rPr>
                <w:sz w:val="20"/>
                <w:szCs w:val="20"/>
                <w:highlight w:val="green"/>
              </w:rPr>
              <w:t>BBCH 20-40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5B90E279" w14:textId="354D08B6" w:rsidR="00D27A7B" w:rsidRPr="006C5A12" w:rsidRDefault="00D27A7B" w:rsidP="00D27A7B">
            <w:pPr>
              <w:keepNext/>
              <w:jc w:val="center"/>
              <w:rPr>
                <w:sz w:val="20"/>
                <w:szCs w:val="20"/>
                <w:highlight w:val="green"/>
                <w:lang w:val="en-GB"/>
              </w:rPr>
            </w:pPr>
            <w:r w:rsidRPr="006C5A12">
              <w:rPr>
                <w:sz w:val="20"/>
                <w:szCs w:val="20"/>
                <w:highlight w:val="green"/>
                <w:lang w:val="en-GB"/>
              </w:rPr>
              <w:t>Large herbivorous mammal “lagomorph”</w:t>
            </w:r>
          </w:p>
        </w:tc>
        <w:tc>
          <w:tcPr>
            <w:tcW w:w="528" w:type="pct"/>
            <w:gridSpan w:val="2"/>
            <w:vMerge/>
            <w:shd w:val="clear" w:color="auto" w:fill="auto"/>
            <w:vAlign w:val="center"/>
          </w:tcPr>
          <w:p w14:paraId="604D1DF6" w14:textId="2FFE1D13" w:rsidR="00D27A7B" w:rsidRPr="006C5A12" w:rsidRDefault="00D27A7B" w:rsidP="00D27A7B">
            <w:pPr>
              <w:keepNext/>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8356B0" w14:textId="437C6B8A" w:rsidR="00D27A7B" w:rsidRPr="006C5A12" w:rsidRDefault="00D27A7B" w:rsidP="00D27A7B">
            <w:pPr>
              <w:keepNext/>
              <w:jc w:val="center"/>
              <w:rPr>
                <w:sz w:val="20"/>
                <w:szCs w:val="20"/>
                <w:highlight w:val="green"/>
              </w:rPr>
            </w:pPr>
            <w:r w:rsidRPr="006C5A12">
              <w:rPr>
                <w:sz w:val="20"/>
                <w:szCs w:val="20"/>
                <w:highlight w:val="green"/>
                <w:lang w:val="en-GB"/>
              </w:rPr>
              <w:t>8.6</w:t>
            </w:r>
          </w:p>
        </w:tc>
        <w:tc>
          <w:tcPr>
            <w:tcW w:w="394" w:type="pct"/>
            <w:gridSpan w:val="2"/>
            <w:vMerge/>
            <w:shd w:val="clear" w:color="auto" w:fill="auto"/>
            <w:vAlign w:val="center"/>
          </w:tcPr>
          <w:p w14:paraId="0EA15C22" w14:textId="77777777" w:rsidR="00D27A7B" w:rsidRPr="006C5A12" w:rsidRDefault="00D27A7B" w:rsidP="00D27A7B">
            <w:pPr>
              <w:keepNext/>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5F582EAF" w14:textId="00CB993A" w:rsidR="00D27A7B" w:rsidRPr="006C5A12" w:rsidRDefault="00D27A7B" w:rsidP="00D27A7B">
            <w:pPr>
              <w:keepNext/>
              <w:jc w:val="center"/>
              <w:rPr>
                <w:sz w:val="20"/>
                <w:szCs w:val="20"/>
                <w:highlight w:val="green"/>
              </w:rPr>
            </w:pPr>
            <w:r w:rsidRPr="006C5A12">
              <w:rPr>
                <w:sz w:val="20"/>
                <w:szCs w:val="20"/>
                <w:highlight w:val="green"/>
              </w:rPr>
              <w:t>6.60</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503E177" w14:textId="28917693" w:rsidR="00D27A7B" w:rsidRPr="006C5A12" w:rsidRDefault="00D27A7B" w:rsidP="00D27A7B">
            <w:pPr>
              <w:keepNext/>
              <w:jc w:val="center"/>
              <w:rPr>
                <w:sz w:val="20"/>
                <w:szCs w:val="20"/>
                <w:highlight w:val="green"/>
              </w:rPr>
            </w:pPr>
            <w:r w:rsidRPr="006C5A12">
              <w:rPr>
                <w:sz w:val="20"/>
                <w:szCs w:val="20"/>
                <w:highlight w:val="green"/>
              </w:rPr>
              <w:t>15.8</w:t>
            </w:r>
          </w:p>
        </w:tc>
      </w:tr>
      <w:tr w:rsidR="00D27A7B" w:rsidRPr="006C5A12" w14:paraId="205DD68B"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CC9848"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47623200" w14:textId="71FAB987" w:rsidR="00D27A7B" w:rsidRPr="006C5A12" w:rsidRDefault="00D27A7B" w:rsidP="00D27A7B">
            <w:pPr>
              <w:keepNext/>
              <w:jc w:val="center"/>
              <w:rPr>
                <w:sz w:val="20"/>
                <w:szCs w:val="20"/>
                <w:highlight w:val="green"/>
              </w:rPr>
            </w:pPr>
            <w:r w:rsidRPr="006C5A12">
              <w:rPr>
                <w:sz w:val="20"/>
                <w:szCs w:val="20"/>
                <w:highlight w:val="green"/>
              </w:rPr>
              <w:t>BBCH ≥ 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1D250304" w14:textId="24FC941D" w:rsidR="00D27A7B" w:rsidRPr="006C5A12" w:rsidRDefault="00D27A7B" w:rsidP="00D27A7B">
            <w:pPr>
              <w:keepNext/>
              <w:jc w:val="center"/>
              <w:rPr>
                <w:sz w:val="20"/>
                <w:szCs w:val="20"/>
                <w:highlight w:val="green"/>
                <w:lang w:val="en-GB"/>
              </w:rPr>
            </w:pPr>
            <w:r w:rsidRPr="006C5A12">
              <w:rPr>
                <w:sz w:val="20"/>
                <w:szCs w:val="20"/>
                <w:highlight w:val="green"/>
                <w:lang w:val="en-GB"/>
              </w:rPr>
              <w:t>Large herbivorous mammal “lagomorph”</w:t>
            </w:r>
          </w:p>
        </w:tc>
        <w:tc>
          <w:tcPr>
            <w:tcW w:w="528" w:type="pct"/>
            <w:gridSpan w:val="2"/>
            <w:vMerge/>
            <w:shd w:val="clear" w:color="auto" w:fill="auto"/>
            <w:vAlign w:val="center"/>
          </w:tcPr>
          <w:p w14:paraId="2FF18234" w14:textId="42AE2C9B" w:rsidR="00D27A7B" w:rsidRPr="006C5A12" w:rsidRDefault="00D27A7B" w:rsidP="00D27A7B">
            <w:pPr>
              <w:keepNext/>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1CBEE2" w14:textId="1736651A" w:rsidR="00D27A7B" w:rsidRPr="006C5A12" w:rsidRDefault="00D27A7B" w:rsidP="00D27A7B">
            <w:pPr>
              <w:keepNext/>
              <w:jc w:val="center"/>
              <w:rPr>
                <w:sz w:val="20"/>
                <w:szCs w:val="20"/>
                <w:highlight w:val="green"/>
              </w:rPr>
            </w:pPr>
            <w:r w:rsidRPr="006C5A12">
              <w:rPr>
                <w:sz w:val="20"/>
                <w:szCs w:val="20"/>
                <w:highlight w:val="green"/>
                <w:lang w:val="en-GB"/>
              </w:rPr>
              <w:t>4.3</w:t>
            </w:r>
          </w:p>
        </w:tc>
        <w:tc>
          <w:tcPr>
            <w:tcW w:w="394" w:type="pct"/>
            <w:gridSpan w:val="2"/>
            <w:vMerge/>
            <w:shd w:val="clear" w:color="auto" w:fill="auto"/>
            <w:vAlign w:val="center"/>
          </w:tcPr>
          <w:p w14:paraId="6CD3D491" w14:textId="77777777" w:rsidR="00D27A7B" w:rsidRPr="006C5A12" w:rsidRDefault="00D27A7B" w:rsidP="00D27A7B">
            <w:pPr>
              <w:keepNext/>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158EB12B" w14:textId="07A45CFA" w:rsidR="00D27A7B" w:rsidRPr="006C5A12" w:rsidRDefault="00D27A7B" w:rsidP="00D27A7B">
            <w:pPr>
              <w:keepNext/>
              <w:jc w:val="center"/>
              <w:rPr>
                <w:sz w:val="20"/>
                <w:szCs w:val="20"/>
                <w:highlight w:val="green"/>
              </w:rPr>
            </w:pPr>
            <w:r w:rsidRPr="006C5A12">
              <w:rPr>
                <w:sz w:val="20"/>
                <w:szCs w:val="20"/>
                <w:highlight w:val="green"/>
              </w:rPr>
              <w:t>3.30</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1E2F8714" w14:textId="418FC392" w:rsidR="00D27A7B" w:rsidRPr="006C5A12" w:rsidRDefault="00D27A7B" w:rsidP="00D27A7B">
            <w:pPr>
              <w:keepNext/>
              <w:jc w:val="center"/>
              <w:rPr>
                <w:sz w:val="20"/>
                <w:szCs w:val="20"/>
                <w:highlight w:val="green"/>
              </w:rPr>
            </w:pPr>
            <w:r w:rsidRPr="006C5A12">
              <w:rPr>
                <w:sz w:val="20"/>
                <w:szCs w:val="20"/>
                <w:highlight w:val="green"/>
              </w:rPr>
              <w:t>31.5</w:t>
            </w:r>
          </w:p>
        </w:tc>
      </w:tr>
      <w:tr w:rsidR="00D27A7B" w:rsidRPr="006C5A12" w14:paraId="088F2BEB"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9D3CC1"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38CDE275" w14:textId="4E30A429" w:rsidR="00D27A7B" w:rsidRPr="006C5A12" w:rsidRDefault="00D27A7B" w:rsidP="00D27A7B">
            <w:pPr>
              <w:jc w:val="center"/>
              <w:rPr>
                <w:sz w:val="20"/>
                <w:szCs w:val="20"/>
                <w:highlight w:val="green"/>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4D757BE5" w14:textId="5C011020" w:rsidR="00D27A7B" w:rsidRPr="006C5A12" w:rsidRDefault="00D27A7B" w:rsidP="00D27A7B">
            <w:pPr>
              <w:jc w:val="center"/>
              <w:rPr>
                <w:sz w:val="20"/>
                <w:szCs w:val="20"/>
                <w:highlight w:val="green"/>
                <w:lang w:val="en-GB"/>
              </w:rPr>
            </w:pPr>
            <w:r w:rsidRPr="006C5A12">
              <w:rPr>
                <w:sz w:val="20"/>
                <w:szCs w:val="20"/>
                <w:highlight w:val="green"/>
                <w:lang w:val="en-GB"/>
              </w:rPr>
              <w:t>Small omnivorous mammal “mouse”</w:t>
            </w:r>
          </w:p>
        </w:tc>
        <w:tc>
          <w:tcPr>
            <w:tcW w:w="528" w:type="pct"/>
            <w:gridSpan w:val="2"/>
            <w:vMerge/>
            <w:shd w:val="clear" w:color="auto" w:fill="auto"/>
            <w:vAlign w:val="center"/>
          </w:tcPr>
          <w:p w14:paraId="2F1ECE6B" w14:textId="2EF213D2" w:rsidR="00D27A7B" w:rsidRPr="006C5A12" w:rsidRDefault="00D27A7B" w:rsidP="00D27A7B">
            <w:pPr>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E1AAA0" w14:textId="1CD1535D" w:rsidR="00D27A7B" w:rsidRPr="006C5A12" w:rsidRDefault="00D27A7B" w:rsidP="00D27A7B">
            <w:pPr>
              <w:jc w:val="center"/>
              <w:rPr>
                <w:sz w:val="20"/>
                <w:szCs w:val="20"/>
                <w:highlight w:val="green"/>
              </w:rPr>
            </w:pPr>
            <w:r w:rsidRPr="006C5A12">
              <w:rPr>
                <w:sz w:val="20"/>
                <w:szCs w:val="20"/>
                <w:highlight w:val="green"/>
                <w:lang w:val="en-GB"/>
              </w:rPr>
              <w:t>6.2</w:t>
            </w:r>
          </w:p>
        </w:tc>
        <w:tc>
          <w:tcPr>
            <w:tcW w:w="394" w:type="pct"/>
            <w:gridSpan w:val="2"/>
            <w:vMerge/>
            <w:shd w:val="clear" w:color="auto" w:fill="auto"/>
            <w:vAlign w:val="center"/>
          </w:tcPr>
          <w:p w14:paraId="2B5B881B" w14:textId="77777777" w:rsidR="00D27A7B" w:rsidRPr="006C5A12" w:rsidRDefault="00D27A7B" w:rsidP="00D27A7B">
            <w:pPr>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1812E53" w14:textId="732C9CE3" w:rsidR="00D27A7B" w:rsidRPr="006C5A12" w:rsidRDefault="00D27A7B" w:rsidP="00D27A7B">
            <w:pPr>
              <w:jc w:val="center"/>
              <w:rPr>
                <w:sz w:val="20"/>
                <w:szCs w:val="20"/>
                <w:highlight w:val="green"/>
              </w:rPr>
            </w:pPr>
            <w:r w:rsidRPr="006C5A12">
              <w:rPr>
                <w:sz w:val="20"/>
                <w:szCs w:val="20"/>
                <w:highlight w:val="green"/>
              </w:rPr>
              <w:t>4.76</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03DB210A" w14:textId="1703A92A" w:rsidR="00D27A7B" w:rsidRPr="006C5A12" w:rsidRDefault="00D27A7B" w:rsidP="00D27A7B">
            <w:pPr>
              <w:jc w:val="center"/>
              <w:rPr>
                <w:sz w:val="20"/>
                <w:szCs w:val="20"/>
                <w:highlight w:val="green"/>
              </w:rPr>
            </w:pPr>
            <w:r w:rsidRPr="006C5A12">
              <w:rPr>
                <w:sz w:val="20"/>
                <w:szCs w:val="20"/>
                <w:highlight w:val="green"/>
              </w:rPr>
              <w:t>21.9</w:t>
            </w:r>
          </w:p>
        </w:tc>
      </w:tr>
      <w:tr w:rsidR="00D27A7B" w:rsidRPr="006C5A12" w14:paraId="5DF7F098"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69009" w14:textId="77777777" w:rsidR="00D27A7B" w:rsidRPr="006C5A12" w:rsidRDefault="00D27A7B" w:rsidP="00D27A7B">
            <w:pPr>
              <w:keepNext/>
              <w:jc w:val="center"/>
              <w:rPr>
                <w:sz w:val="20"/>
                <w:szCs w:val="20"/>
                <w:highlight w:val="green"/>
              </w:rPr>
            </w:pPr>
            <w:r w:rsidRPr="006C5A12">
              <w:rPr>
                <w:sz w:val="20"/>
                <w:szCs w:val="20"/>
                <w:highlight w:val="green"/>
              </w:rPr>
              <w:t>Application crop directed</w:t>
            </w:r>
          </w:p>
          <w:p w14:paraId="20C60E28" w14:textId="6BA08C9F" w:rsidR="00D27A7B" w:rsidRPr="006C5A12" w:rsidRDefault="00D27A7B" w:rsidP="00D27A7B">
            <w:pPr>
              <w:jc w:val="center"/>
              <w:rPr>
                <w:sz w:val="20"/>
                <w:szCs w:val="20"/>
                <w:highlight w:val="green"/>
              </w:rPr>
            </w:pPr>
            <w:r w:rsidRPr="006C5A12">
              <w:rPr>
                <w:sz w:val="20"/>
                <w:szCs w:val="20"/>
                <w:highlight w:val="green"/>
              </w:rPr>
              <w:t>BBCH 20-40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6919C814" w14:textId="2FD47816" w:rsidR="00D27A7B" w:rsidRPr="006C5A12" w:rsidRDefault="00D27A7B" w:rsidP="00D27A7B">
            <w:pPr>
              <w:jc w:val="center"/>
              <w:rPr>
                <w:sz w:val="20"/>
                <w:szCs w:val="20"/>
                <w:highlight w:val="green"/>
                <w:lang w:val="en-GB"/>
              </w:rPr>
            </w:pPr>
            <w:r w:rsidRPr="006C5A12">
              <w:rPr>
                <w:sz w:val="20"/>
                <w:szCs w:val="20"/>
                <w:highlight w:val="green"/>
                <w:lang w:val="en-GB"/>
              </w:rPr>
              <w:t>Small omnivorous mammal “mouse”</w:t>
            </w:r>
          </w:p>
        </w:tc>
        <w:tc>
          <w:tcPr>
            <w:tcW w:w="528" w:type="pct"/>
            <w:gridSpan w:val="2"/>
            <w:vMerge/>
            <w:shd w:val="clear" w:color="auto" w:fill="auto"/>
            <w:vAlign w:val="center"/>
          </w:tcPr>
          <w:p w14:paraId="1D1DA646" w14:textId="17EF2D24" w:rsidR="00D27A7B" w:rsidRPr="006C5A12" w:rsidRDefault="00D27A7B" w:rsidP="00D27A7B">
            <w:pPr>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807A56" w14:textId="2577E41D" w:rsidR="00D27A7B" w:rsidRPr="006C5A12" w:rsidRDefault="00D27A7B" w:rsidP="00D27A7B">
            <w:pPr>
              <w:jc w:val="center"/>
              <w:rPr>
                <w:sz w:val="20"/>
                <w:szCs w:val="20"/>
                <w:highlight w:val="green"/>
              </w:rPr>
            </w:pPr>
            <w:r w:rsidRPr="006C5A12">
              <w:rPr>
                <w:sz w:val="20"/>
                <w:szCs w:val="20"/>
                <w:highlight w:val="green"/>
                <w:lang w:val="en-GB"/>
              </w:rPr>
              <w:t>4.7</w:t>
            </w:r>
          </w:p>
        </w:tc>
        <w:tc>
          <w:tcPr>
            <w:tcW w:w="394" w:type="pct"/>
            <w:gridSpan w:val="2"/>
            <w:vMerge/>
            <w:shd w:val="clear" w:color="auto" w:fill="auto"/>
            <w:vAlign w:val="center"/>
          </w:tcPr>
          <w:p w14:paraId="7CE203D7" w14:textId="77777777" w:rsidR="00D27A7B" w:rsidRPr="006C5A12" w:rsidRDefault="00D27A7B" w:rsidP="00D27A7B">
            <w:pPr>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5BA3DB4" w14:textId="48AEB752" w:rsidR="00D27A7B" w:rsidRPr="006C5A12" w:rsidRDefault="00D27A7B" w:rsidP="00D27A7B">
            <w:pPr>
              <w:jc w:val="center"/>
              <w:rPr>
                <w:sz w:val="20"/>
                <w:szCs w:val="20"/>
                <w:highlight w:val="green"/>
              </w:rPr>
            </w:pPr>
            <w:r w:rsidRPr="006C5A12">
              <w:rPr>
                <w:sz w:val="20"/>
                <w:szCs w:val="20"/>
                <w:highlight w:val="green"/>
              </w:rPr>
              <w:t>3.61</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54DDD9C3" w14:textId="2F933241" w:rsidR="00D27A7B" w:rsidRPr="006C5A12" w:rsidRDefault="00D27A7B" w:rsidP="00D27A7B">
            <w:pPr>
              <w:jc w:val="center"/>
              <w:rPr>
                <w:sz w:val="20"/>
                <w:szCs w:val="20"/>
                <w:highlight w:val="green"/>
              </w:rPr>
            </w:pPr>
            <w:r w:rsidRPr="006C5A12">
              <w:rPr>
                <w:sz w:val="20"/>
                <w:szCs w:val="20"/>
                <w:highlight w:val="green"/>
              </w:rPr>
              <w:t>28.8</w:t>
            </w:r>
          </w:p>
        </w:tc>
      </w:tr>
      <w:tr w:rsidR="00D27A7B" w:rsidRPr="006C5A12" w14:paraId="5A4287FF"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EC4EA3" w14:textId="77777777" w:rsidR="00D27A7B" w:rsidRPr="006C5A12" w:rsidRDefault="00D27A7B" w:rsidP="00D27A7B">
            <w:pPr>
              <w:jc w:val="center"/>
              <w:rPr>
                <w:sz w:val="20"/>
                <w:szCs w:val="20"/>
                <w:highlight w:val="green"/>
              </w:rPr>
            </w:pPr>
            <w:r w:rsidRPr="006C5A12">
              <w:rPr>
                <w:sz w:val="20"/>
                <w:szCs w:val="20"/>
                <w:highlight w:val="green"/>
              </w:rPr>
              <w:t>Application crop directed</w:t>
            </w:r>
          </w:p>
          <w:p w14:paraId="4AFC68E3" w14:textId="2791BDE0" w:rsidR="00D27A7B" w:rsidRPr="006C5A12" w:rsidRDefault="00D27A7B" w:rsidP="00D27A7B">
            <w:pPr>
              <w:jc w:val="center"/>
              <w:rPr>
                <w:sz w:val="20"/>
                <w:szCs w:val="20"/>
                <w:highlight w:val="green"/>
              </w:rPr>
            </w:pPr>
            <w:r w:rsidRPr="006C5A12">
              <w:rPr>
                <w:sz w:val="20"/>
                <w:szCs w:val="20"/>
                <w:highlight w:val="green"/>
              </w:rPr>
              <w:t>BBCH ≥ 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5050B6DD" w14:textId="050FC361" w:rsidR="00D27A7B" w:rsidRPr="006C5A12" w:rsidRDefault="00D27A7B" w:rsidP="00D27A7B">
            <w:pPr>
              <w:jc w:val="center"/>
              <w:rPr>
                <w:sz w:val="20"/>
                <w:szCs w:val="20"/>
                <w:highlight w:val="green"/>
                <w:lang w:val="en-GB"/>
              </w:rPr>
            </w:pPr>
            <w:r w:rsidRPr="006C5A12">
              <w:rPr>
                <w:sz w:val="20"/>
                <w:szCs w:val="20"/>
                <w:highlight w:val="green"/>
                <w:lang w:val="en-GB"/>
              </w:rPr>
              <w:t>Small omnivorous mammal “mouse”</w:t>
            </w:r>
          </w:p>
        </w:tc>
        <w:tc>
          <w:tcPr>
            <w:tcW w:w="528" w:type="pct"/>
            <w:gridSpan w:val="2"/>
            <w:vMerge/>
            <w:tcBorders>
              <w:bottom w:val="single" w:sz="4" w:space="0" w:color="auto"/>
            </w:tcBorders>
            <w:shd w:val="clear" w:color="auto" w:fill="auto"/>
            <w:vAlign w:val="center"/>
          </w:tcPr>
          <w:p w14:paraId="4384136D" w14:textId="4DA38D5A" w:rsidR="00D27A7B" w:rsidRPr="006C5A12" w:rsidRDefault="00D27A7B" w:rsidP="00D27A7B">
            <w:pPr>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A1FF4" w14:textId="0376F166" w:rsidR="00D27A7B" w:rsidRPr="006C5A12" w:rsidRDefault="00D27A7B" w:rsidP="00D27A7B">
            <w:pPr>
              <w:jc w:val="center"/>
              <w:rPr>
                <w:sz w:val="20"/>
                <w:szCs w:val="20"/>
                <w:highlight w:val="green"/>
              </w:rPr>
            </w:pPr>
            <w:r w:rsidRPr="006C5A12">
              <w:rPr>
                <w:sz w:val="20"/>
                <w:szCs w:val="20"/>
                <w:highlight w:val="green"/>
                <w:lang w:val="en-GB"/>
              </w:rPr>
              <w:t>2.3</w:t>
            </w:r>
          </w:p>
        </w:tc>
        <w:tc>
          <w:tcPr>
            <w:tcW w:w="394" w:type="pct"/>
            <w:gridSpan w:val="2"/>
            <w:vMerge/>
            <w:tcBorders>
              <w:bottom w:val="single" w:sz="4" w:space="0" w:color="auto"/>
            </w:tcBorders>
            <w:shd w:val="clear" w:color="auto" w:fill="auto"/>
            <w:vAlign w:val="center"/>
          </w:tcPr>
          <w:p w14:paraId="7CD8A7EE" w14:textId="77777777" w:rsidR="00D27A7B" w:rsidRPr="006C5A12" w:rsidRDefault="00D27A7B" w:rsidP="00D27A7B">
            <w:pPr>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1EAF62EE" w14:textId="7B77ADFF" w:rsidR="00D27A7B" w:rsidRPr="006C5A12" w:rsidRDefault="00D27A7B" w:rsidP="00D27A7B">
            <w:pPr>
              <w:jc w:val="center"/>
              <w:rPr>
                <w:sz w:val="20"/>
                <w:szCs w:val="20"/>
                <w:highlight w:val="green"/>
              </w:rPr>
            </w:pPr>
            <w:r w:rsidRPr="006C5A12">
              <w:rPr>
                <w:sz w:val="20"/>
                <w:szCs w:val="20"/>
                <w:highlight w:val="green"/>
              </w:rPr>
              <w:t>1.77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4972F58A" w14:textId="70CDE12F" w:rsidR="00D27A7B" w:rsidRPr="006C5A12" w:rsidRDefault="00D27A7B" w:rsidP="00D27A7B">
            <w:pPr>
              <w:jc w:val="center"/>
              <w:rPr>
                <w:sz w:val="20"/>
                <w:szCs w:val="20"/>
                <w:highlight w:val="green"/>
              </w:rPr>
            </w:pPr>
            <w:r w:rsidRPr="006C5A12">
              <w:rPr>
                <w:sz w:val="20"/>
                <w:szCs w:val="20"/>
                <w:highlight w:val="green"/>
              </w:rPr>
              <w:t>58.9</w:t>
            </w:r>
          </w:p>
        </w:tc>
      </w:tr>
      <w:tr w:rsidR="00D27A7B" w:rsidRPr="006C5A12" w14:paraId="64ECB5CC" w14:textId="77777777" w:rsidTr="008B64F2">
        <w:trPr>
          <w:gridBefore w:val="1"/>
          <w:wBefore w:w="31" w:type="pct"/>
          <w:cantSplit/>
        </w:trPr>
        <w:tc>
          <w:tcPr>
            <w:tcW w:w="496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3EB4CC3" w14:textId="541F7C68" w:rsidR="00D27A7B" w:rsidRPr="006C5A12" w:rsidRDefault="00D27A7B" w:rsidP="00D27A7B">
            <w:pPr>
              <w:keepNext/>
              <w:keepLines/>
              <w:jc w:val="center"/>
              <w:rPr>
                <w:sz w:val="20"/>
                <w:szCs w:val="20"/>
              </w:rPr>
            </w:pPr>
            <w:r w:rsidRPr="006C5A12">
              <w:rPr>
                <w:b/>
                <w:bCs/>
                <w:sz w:val="20"/>
                <w:szCs w:val="20"/>
                <w:highlight w:val="green"/>
              </w:rPr>
              <w:lastRenderedPageBreak/>
              <w:t xml:space="preserve">Bush and cane fruit </w:t>
            </w:r>
            <w:r w:rsidRPr="006C5A12">
              <w:rPr>
                <w:b/>
                <w:sz w:val="20"/>
                <w:szCs w:val="20"/>
                <w:highlight w:val="green"/>
                <w:lang w:val="en-GB"/>
              </w:rPr>
              <w:t>(2 x 0.902 kg a.s./ha, BBCH 12 - 59)</w:t>
            </w:r>
          </w:p>
        </w:tc>
      </w:tr>
      <w:tr w:rsidR="00D27A7B" w:rsidRPr="006C5A12" w14:paraId="77DF8E03"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072E98" w14:textId="57C3149B" w:rsidR="00D27A7B" w:rsidRPr="006C5A12" w:rsidRDefault="00D27A7B" w:rsidP="00D27A7B">
            <w:pPr>
              <w:keepNext/>
              <w:keepLines/>
              <w:jc w:val="center"/>
              <w:rPr>
                <w:sz w:val="20"/>
                <w:szCs w:val="20"/>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7693751A" w14:textId="71FA7524" w:rsidR="00D27A7B" w:rsidRPr="006C5A12" w:rsidRDefault="00D27A7B" w:rsidP="00D27A7B">
            <w:pPr>
              <w:keepNext/>
              <w:keepLines/>
              <w:jc w:val="center"/>
              <w:rPr>
                <w:sz w:val="20"/>
                <w:szCs w:val="20"/>
                <w:lang w:val="en-GB"/>
              </w:rPr>
            </w:pPr>
            <w:r w:rsidRPr="006C5A12">
              <w:rPr>
                <w:sz w:val="20"/>
                <w:szCs w:val="20"/>
                <w:highlight w:val="green"/>
                <w:lang w:val="en-GB"/>
              </w:rPr>
              <w:t>Small insectivorous mammal “shrew”</w:t>
            </w:r>
          </w:p>
        </w:tc>
        <w:tc>
          <w:tcPr>
            <w:tcW w:w="528" w:type="pct"/>
            <w:gridSpan w:val="2"/>
            <w:vMerge w:val="restart"/>
            <w:tcBorders>
              <w:top w:val="single" w:sz="4" w:space="0" w:color="auto"/>
            </w:tcBorders>
            <w:shd w:val="clear" w:color="auto" w:fill="auto"/>
            <w:vAlign w:val="center"/>
          </w:tcPr>
          <w:p w14:paraId="12005844" w14:textId="3CA30887" w:rsidR="00D27A7B" w:rsidRPr="006C5A12" w:rsidRDefault="00D27A7B" w:rsidP="00D27A7B">
            <w:pPr>
              <w:keepNext/>
              <w:keepLines/>
              <w:jc w:val="center"/>
              <w:rPr>
                <w:sz w:val="20"/>
                <w:szCs w:val="20"/>
                <w:highlight w:val="green"/>
                <w:lang w:val="en-GB"/>
              </w:rPr>
            </w:pPr>
            <w:r w:rsidRPr="006C5A12">
              <w:rPr>
                <w:sz w:val="20"/>
                <w:szCs w:val="20"/>
                <w:highlight w:val="green"/>
                <w:lang w:val="en-GB"/>
              </w:rPr>
              <w:t>0.902</w:t>
            </w: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6D8E2" w14:textId="757666B8" w:rsidR="00D27A7B" w:rsidRPr="006C5A12" w:rsidRDefault="00D27A7B" w:rsidP="00D27A7B">
            <w:pPr>
              <w:keepNext/>
              <w:keepLines/>
              <w:jc w:val="center"/>
              <w:rPr>
                <w:sz w:val="20"/>
                <w:szCs w:val="20"/>
                <w:highlight w:val="green"/>
              </w:rPr>
            </w:pPr>
            <w:r w:rsidRPr="006C5A12">
              <w:rPr>
                <w:sz w:val="20"/>
                <w:szCs w:val="20"/>
                <w:highlight w:val="green"/>
              </w:rPr>
              <w:t>4.2</w:t>
            </w:r>
          </w:p>
        </w:tc>
        <w:tc>
          <w:tcPr>
            <w:tcW w:w="394" w:type="pct"/>
            <w:gridSpan w:val="2"/>
            <w:vMerge w:val="restart"/>
            <w:tcBorders>
              <w:top w:val="single" w:sz="4" w:space="0" w:color="auto"/>
            </w:tcBorders>
            <w:shd w:val="clear" w:color="auto" w:fill="auto"/>
            <w:vAlign w:val="center"/>
          </w:tcPr>
          <w:p w14:paraId="62FB2812" w14:textId="76C0A18C" w:rsidR="00D27A7B" w:rsidRPr="006C5A12" w:rsidRDefault="00D27A7B" w:rsidP="00D27A7B">
            <w:pPr>
              <w:keepNext/>
              <w:keepLines/>
              <w:jc w:val="center"/>
              <w:rPr>
                <w:sz w:val="20"/>
                <w:szCs w:val="20"/>
                <w:highlight w:val="green"/>
                <w:lang w:val="en-GB"/>
              </w:rPr>
            </w:pPr>
            <w:r w:rsidRPr="006C5A12">
              <w:rPr>
                <w:sz w:val="20"/>
                <w:szCs w:val="20"/>
                <w:highlight w:val="green"/>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583D2FCD" w14:textId="1E358D06" w:rsidR="00D27A7B" w:rsidRPr="006C5A12" w:rsidRDefault="00D27A7B" w:rsidP="00D27A7B">
            <w:pPr>
              <w:keepNext/>
              <w:keepLines/>
              <w:jc w:val="center"/>
              <w:rPr>
                <w:sz w:val="20"/>
                <w:szCs w:val="20"/>
                <w:highlight w:val="green"/>
              </w:rPr>
            </w:pPr>
            <w:r w:rsidRPr="006C5A12">
              <w:rPr>
                <w:sz w:val="20"/>
                <w:szCs w:val="20"/>
                <w:highlight w:val="green"/>
              </w:rPr>
              <w:t>3.22</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3E5FAF94" w14:textId="5FD62D8A" w:rsidR="00D27A7B" w:rsidRPr="006C5A12" w:rsidRDefault="00D27A7B" w:rsidP="00D27A7B">
            <w:pPr>
              <w:keepNext/>
              <w:keepLines/>
              <w:jc w:val="center"/>
              <w:rPr>
                <w:sz w:val="20"/>
                <w:szCs w:val="20"/>
                <w:highlight w:val="green"/>
              </w:rPr>
            </w:pPr>
            <w:r w:rsidRPr="006C5A12">
              <w:rPr>
                <w:sz w:val="20"/>
                <w:szCs w:val="20"/>
                <w:highlight w:val="green"/>
              </w:rPr>
              <w:t>32.3</w:t>
            </w:r>
          </w:p>
        </w:tc>
      </w:tr>
      <w:tr w:rsidR="00D27A7B" w:rsidRPr="006C5A12" w14:paraId="57DFFFB9"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BC691" w14:textId="5D43E478" w:rsidR="00D27A7B" w:rsidRPr="006C5A12" w:rsidRDefault="00D27A7B" w:rsidP="00D27A7B">
            <w:pPr>
              <w:keepNext/>
              <w:keepLines/>
              <w:jc w:val="center"/>
              <w:rPr>
                <w:sz w:val="20"/>
                <w:szCs w:val="20"/>
              </w:rPr>
            </w:pPr>
            <w:r w:rsidRPr="006C5A12">
              <w:rPr>
                <w:sz w:val="20"/>
                <w:szCs w:val="20"/>
                <w:highlight w:val="green"/>
              </w:rPr>
              <w:t>BBCH ≥ 20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360D7EEB" w14:textId="10A0C2B0" w:rsidR="00D27A7B" w:rsidRPr="006C5A12" w:rsidRDefault="00D27A7B" w:rsidP="00D27A7B">
            <w:pPr>
              <w:keepNext/>
              <w:keepLines/>
              <w:jc w:val="center"/>
              <w:rPr>
                <w:sz w:val="20"/>
                <w:szCs w:val="20"/>
                <w:lang w:val="en-GB"/>
              </w:rPr>
            </w:pPr>
            <w:r w:rsidRPr="006C5A12">
              <w:rPr>
                <w:sz w:val="20"/>
                <w:szCs w:val="20"/>
                <w:highlight w:val="green"/>
                <w:lang w:val="en-GB"/>
              </w:rPr>
              <w:t>Small insectivorous mammal “shrew”</w:t>
            </w:r>
          </w:p>
        </w:tc>
        <w:tc>
          <w:tcPr>
            <w:tcW w:w="528" w:type="pct"/>
            <w:gridSpan w:val="2"/>
            <w:vMerge/>
            <w:shd w:val="clear" w:color="auto" w:fill="auto"/>
            <w:vAlign w:val="center"/>
          </w:tcPr>
          <w:p w14:paraId="3ECAD9D5"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39FC4" w14:textId="76435D03" w:rsidR="00D27A7B" w:rsidRPr="006C5A12" w:rsidRDefault="00D27A7B" w:rsidP="00D27A7B">
            <w:pPr>
              <w:keepNext/>
              <w:keepLines/>
              <w:jc w:val="center"/>
              <w:rPr>
                <w:sz w:val="20"/>
                <w:szCs w:val="20"/>
                <w:highlight w:val="green"/>
              </w:rPr>
            </w:pPr>
            <w:r w:rsidRPr="006C5A12">
              <w:rPr>
                <w:sz w:val="20"/>
                <w:szCs w:val="20"/>
                <w:highlight w:val="green"/>
              </w:rPr>
              <w:t>1.9</w:t>
            </w:r>
          </w:p>
        </w:tc>
        <w:tc>
          <w:tcPr>
            <w:tcW w:w="394" w:type="pct"/>
            <w:gridSpan w:val="2"/>
            <w:vMerge/>
            <w:shd w:val="clear" w:color="auto" w:fill="auto"/>
            <w:vAlign w:val="center"/>
          </w:tcPr>
          <w:p w14:paraId="16E4DE73"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53696C0" w14:textId="6CA67957" w:rsidR="00D27A7B" w:rsidRPr="006C5A12" w:rsidRDefault="00D27A7B" w:rsidP="00D27A7B">
            <w:pPr>
              <w:keepNext/>
              <w:keepLines/>
              <w:jc w:val="center"/>
              <w:rPr>
                <w:sz w:val="20"/>
                <w:szCs w:val="20"/>
                <w:highlight w:val="green"/>
              </w:rPr>
            </w:pPr>
            <w:r w:rsidRPr="006C5A12">
              <w:rPr>
                <w:sz w:val="20"/>
                <w:szCs w:val="20"/>
                <w:highlight w:val="green"/>
              </w:rPr>
              <w:t>1.46</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7A422DB2" w14:textId="13E792B3" w:rsidR="00D27A7B" w:rsidRPr="006C5A12" w:rsidRDefault="00D27A7B" w:rsidP="00D27A7B">
            <w:pPr>
              <w:keepNext/>
              <w:keepLines/>
              <w:jc w:val="center"/>
              <w:rPr>
                <w:sz w:val="20"/>
                <w:szCs w:val="20"/>
                <w:highlight w:val="green"/>
              </w:rPr>
            </w:pPr>
            <w:r w:rsidRPr="006C5A12">
              <w:rPr>
                <w:sz w:val="20"/>
                <w:szCs w:val="20"/>
                <w:highlight w:val="green"/>
              </w:rPr>
              <w:t>71.3</w:t>
            </w:r>
          </w:p>
        </w:tc>
      </w:tr>
      <w:tr w:rsidR="00D27A7B" w:rsidRPr="006C5A12" w14:paraId="71071B46"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F2500F" w14:textId="4092ED2E" w:rsidR="00D27A7B" w:rsidRPr="006C5A12" w:rsidRDefault="00D27A7B" w:rsidP="00D27A7B">
            <w:pPr>
              <w:keepNext/>
              <w:keepLines/>
              <w:jc w:val="center"/>
              <w:rPr>
                <w:sz w:val="20"/>
                <w:szCs w:val="20"/>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5FF63B32" w14:textId="5FA1D71A" w:rsidR="00D27A7B" w:rsidRPr="006C5A12" w:rsidRDefault="00D27A7B" w:rsidP="00D27A7B">
            <w:pPr>
              <w:keepNext/>
              <w:keepLines/>
              <w:jc w:val="center"/>
              <w:rPr>
                <w:sz w:val="20"/>
                <w:szCs w:val="20"/>
                <w:lang w:val="en-GB"/>
              </w:rPr>
            </w:pPr>
            <w:r w:rsidRPr="006C5A12">
              <w:rPr>
                <w:sz w:val="20"/>
                <w:szCs w:val="20"/>
                <w:highlight w:val="green"/>
                <w:lang w:val="en-GB"/>
              </w:rPr>
              <w:t>Small herbivorous mammal “vole”</w:t>
            </w:r>
          </w:p>
        </w:tc>
        <w:tc>
          <w:tcPr>
            <w:tcW w:w="528" w:type="pct"/>
            <w:gridSpan w:val="2"/>
            <w:vMerge/>
            <w:shd w:val="clear" w:color="auto" w:fill="auto"/>
            <w:vAlign w:val="center"/>
          </w:tcPr>
          <w:p w14:paraId="0449CECD"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F3596" w14:textId="11542631" w:rsidR="00D27A7B" w:rsidRPr="006C5A12" w:rsidRDefault="00D27A7B" w:rsidP="00D27A7B">
            <w:pPr>
              <w:keepNext/>
              <w:keepLines/>
              <w:jc w:val="center"/>
              <w:rPr>
                <w:sz w:val="20"/>
                <w:szCs w:val="20"/>
                <w:highlight w:val="green"/>
              </w:rPr>
            </w:pPr>
            <w:r w:rsidRPr="006C5A12">
              <w:rPr>
                <w:sz w:val="20"/>
                <w:szCs w:val="20"/>
                <w:highlight w:val="green"/>
              </w:rPr>
              <w:t>43.4</w:t>
            </w:r>
          </w:p>
        </w:tc>
        <w:tc>
          <w:tcPr>
            <w:tcW w:w="394" w:type="pct"/>
            <w:gridSpan w:val="2"/>
            <w:vMerge/>
            <w:shd w:val="clear" w:color="auto" w:fill="auto"/>
            <w:vAlign w:val="center"/>
          </w:tcPr>
          <w:p w14:paraId="77078E49"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77EA7BB4" w14:textId="4ED72A3E" w:rsidR="00D27A7B" w:rsidRPr="006C5A12" w:rsidRDefault="00D27A7B" w:rsidP="00D27A7B">
            <w:pPr>
              <w:keepNext/>
              <w:keepLines/>
              <w:jc w:val="center"/>
              <w:rPr>
                <w:sz w:val="20"/>
                <w:szCs w:val="20"/>
                <w:highlight w:val="green"/>
              </w:rPr>
            </w:pPr>
            <w:r w:rsidRPr="006C5A12">
              <w:rPr>
                <w:sz w:val="20"/>
                <w:szCs w:val="20"/>
                <w:highlight w:val="green"/>
              </w:rPr>
              <w:t>33.31</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7998ABE3" w14:textId="0877554D" w:rsidR="00D27A7B" w:rsidRPr="006C5A12" w:rsidRDefault="00D27A7B" w:rsidP="00D27A7B">
            <w:pPr>
              <w:keepNext/>
              <w:keepLines/>
              <w:jc w:val="center"/>
              <w:rPr>
                <w:b/>
                <w:bCs/>
                <w:sz w:val="20"/>
                <w:szCs w:val="20"/>
                <w:highlight w:val="green"/>
              </w:rPr>
            </w:pPr>
            <w:r w:rsidRPr="006C5A12">
              <w:rPr>
                <w:b/>
                <w:bCs/>
                <w:sz w:val="20"/>
                <w:szCs w:val="20"/>
                <w:highlight w:val="green"/>
              </w:rPr>
              <w:t>3.1</w:t>
            </w:r>
          </w:p>
        </w:tc>
      </w:tr>
      <w:tr w:rsidR="00D27A7B" w:rsidRPr="006C5A12" w14:paraId="44E40075"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1A32F" w14:textId="6908E088" w:rsidR="00D27A7B" w:rsidRPr="006C5A12" w:rsidRDefault="00D27A7B" w:rsidP="00D27A7B">
            <w:pPr>
              <w:keepNext/>
              <w:keepLines/>
              <w:jc w:val="center"/>
              <w:rPr>
                <w:sz w:val="20"/>
                <w:szCs w:val="20"/>
              </w:rPr>
            </w:pPr>
            <w:r w:rsidRPr="006C5A12">
              <w:rPr>
                <w:sz w:val="20"/>
                <w:szCs w:val="20"/>
                <w:highlight w:val="green"/>
              </w:rPr>
              <w:t>BBCH 20-39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132E41D4" w14:textId="149AB493" w:rsidR="00D27A7B" w:rsidRPr="006C5A12" w:rsidRDefault="00D27A7B" w:rsidP="00D27A7B">
            <w:pPr>
              <w:keepNext/>
              <w:keepLines/>
              <w:jc w:val="center"/>
              <w:rPr>
                <w:sz w:val="20"/>
                <w:szCs w:val="20"/>
                <w:lang w:val="en-GB"/>
              </w:rPr>
            </w:pPr>
            <w:r w:rsidRPr="006C5A12">
              <w:rPr>
                <w:sz w:val="20"/>
                <w:szCs w:val="20"/>
                <w:highlight w:val="green"/>
                <w:lang w:val="en-GB"/>
              </w:rPr>
              <w:t>Small herbivorous mammal “vole”</w:t>
            </w:r>
          </w:p>
        </w:tc>
        <w:tc>
          <w:tcPr>
            <w:tcW w:w="528" w:type="pct"/>
            <w:gridSpan w:val="2"/>
            <w:vMerge/>
            <w:shd w:val="clear" w:color="auto" w:fill="auto"/>
            <w:vAlign w:val="center"/>
          </w:tcPr>
          <w:p w14:paraId="70A0303D"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678647" w14:textId="26FB81F2" w:rsidR="00D27A7B" w:rsidRPr="006C5A12" w:rsidRDefault="00D27A7B" w:rsidP="00D27A7B">
            <w:pPr>
              <w:keepNext/>
              <w:keepLines/>
              <w:jc w:val="center"/>
              <w:rPr>
                <w:sz w:val="20"/>
                <w:szCs w:val="20"/>
                <w:highlight w:val="green"/>
              </w:rPr>
            </w:pPr>
            <w:r w:rsidRPr="006C5A12">
              <w:rPr>
                <w:sz w:val="20"/>
                <w:szCs w:val="20"/>
                <w:highlight w:val="green"/>
              </w:rPr>
              <w:t>36.1</w:t>
            </w:r>
          </w:p>
        </w:tc>
        <w:tc>
          <w:tcPr>
            <w:tcW w:w="394" w:type="pct"/>
            <w:gridSpan w:val="2"/>
            <w:vMerge/>
            <w:shd w:val="clear" w:color="auto" w:fill="auto"/>
            <w:vAlign w:val="center"/>
          </w:tcPr>
          <w:p w14:paraId="3A971DD9"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5260CF52" w14:textId="26434FB1" w:rsidR="00D27A7B" w:rsidRPr="006C5A12" w:rsidRDefault="00D27A7B" w:rsidP="00D27A7B">
            <w:pPr>
              <w:keepNext/>
              <w:keepLines/>
              <w:jc w:val="center"/>
              <w:rPr>
                <w:sz w:val="20"/>
                <w:szCs w:val="20"/>
                <w:highlight w:val="green"/>
              </w:rPr>
            </w:pPr>
            <w:r w:rsidRPr="006C5A12">
              <w:rPr>
                <w:sz w:val="20"/>
                <w:szCs w:val="20"/>
                <w:highlight w:val="green"/>
              </w:rPr>
              <w:t>27.71</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66FE4D2F" w14:textId="424E75D1" w:rsidR="00D27A7B" w:rsidRPr="006C5A12" w:rsidRDefault="00D27A7B" w:rsidP="00D27A7B">
            <w:pPr>
              <w:keepNext/>
              <w:keepLines/>
              <w:jc w:val="center"/>
              <w:rPr>
                <w:b/>
                <w:bCs/>
                <w:sz w:val="20"/>
                <w:szCs w:val="20"/>
                <w:highlight w:val="green"/>
              </w:rPr>
            </w:pPr>
            <w:r w:rsidRPr="006C5A12">
              <w:rPr>
                <w:b/>
                <w:bCs/>
                <w:sz w:val="20"/>
                <w:szCs w:val="20"/>
                <w:highlight w:val="green"/>
              </w:rPr>
              <w:t>3.8</w:t>
            </w:r>
          </w:p>
        </w:tc>
      </w:tr>
      <w:tr w:rsidR="00D27A7B" w:rsidRPr="006C5A12" w14:paraId="014F5EFA"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22E3A" w14:textId="4FCEC362" w:rsidR="00D27A7B" w:rsidRPr="006C5A12" w:rsidRDefault="00D27A7B" w:rsidP="00D27A7B">
            <w:pPr>
              <w:keepNext/>
              <w:keepLines/>
              <w:jc w:val="center"/>
              <w:rPr>
                <w:sz w:val="20"/>
                <w:szCs w:val="20"/>
              </w:rPr>
            </w:pPr>
            <w:r w:rsidRPr="006C5A12">
              <w:rPr>
                <w:sz w:val="20"/>
                <w:szCs w:val="20"/>
                <w:highlight w:val="green"/>
              </w:rPr>
              <w:t>BBCH ≥ 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6C644182" w14:textId="4A2A605E" w:rsidR="00D27A7B" w:rsidRPr="006C5A12" w:rsidRDefault="00D27A7B" w:rsidP="00D27A7B">
            <w:pPr>
              <w:keepNext/>
              <w:keepLines/>
              <w:jc w:val="center"/>
              <w:rPr>
                <w:sz w:val="20"/>
                <w:szCs w:val="20"/>
                <w:lang w:val="en-GB"/>
              </w:rPr>
            </w:pPr>
            <w:r w:rsidRPr="006C5A12">
              <w:rPr>
                <w:sz w:val="20"/>
                <w:szCs w:val="20"/>
                <w:highlight w:val="green"/>
                <w:lang w:val="en-GB"/>
              </w:rPr>
              <w:t>Small herbivorous mammal “vole”</w:t>
            </w:r>
          </w:p>
        </w:tc>
        <w:tc>
          <w:tcPr>
            <w:tcW w:w="528" w:type="pct"/>
            <w:gridSpan w:val="2"/>
            <w:vMerge/>
            <w:shd w:val="clear" w:color="auto" w:fill="auto"/>
            <w:vAlign w:val="center"/>
          </w:tcPr>
          <w:p w14:paraId="5D31FB48"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81D817" w14:textId="667EA88E" w:rsidR="00D27A7B" w:rsidRPr="006C5A12" w:rsidRDefault="00D27A7B" w:rsidP="00D27A7B">
            <w:pPr>
              <w:keepNext/>
              <w:keepLines/>
              <w:jc w:val="center"/>
              <w:rPr>
                <w:sz w:val="20"/>
                <w:szCs w:val="20"/>
                <w:highlight w:val="green"/>
              </w:rPr>
            </w:pPr>
            <w:r w:rsidRPr="006C5A12">
              <w:rPr>
                <w:sz w:val="20"/>
                <w:szCs w:val="20"/>
                <w:highlight w:val="green"/>
              </w:rPr>
              <w:t>21.7</w:t>
            </w:r>
          </w:p>
        </w:tc>
        <w:tc>
          <w:tcPr>
            <w:tcW w:w="394" w:type="pct"/>
            <w:gridSpan w:val="2"/>
            <w:vMerge/>
            <w:shd w:val="clear" w:color="auto" w:fill="auto"/>
            <w:vAlign w:val="center"/>
          </w:tcPr>
          <w:p w14:paraId="4D4BC984"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F7E9AA7" w14:textId="411C5533" w:rsidR="00D27A7B" w:rsidRPr="006C5A12" w:rsidRDefault="00D27A7B" w:rsidP="00D27A7B">
            <w:pPr>
              <w:keepNext/>
              <w:keepLines/>
              <w:jc w:val="center"/>
              <w:rPr>
                <w:sz w:val="20"/>
                <w:szCs w:val="20"/>
                <w:highlight w:val="green"/>
              </w:rPr>
            </w:pPr>
            <w:r w:rsidRPr="006C5A12">
              <w:rPr>
                <w:sz w:val="20"/>
                <w:szCs w:val="20"/>
                <w:highlight w:val="green"/>
              </w:rPr>
              <w:t>16.66</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66FFE05E" w14:textId="29B6D9FF" w:rsidR="00D27A7B" w:rsidRPr="006C5A12" w:rsidRDefault="00D27A7B" w:rsidP="00D27A7B">
            <w:pPr>
              <w:keepNext/>
              <w:keepLines/>
              <w:jc w:val="center"/>
              <w:rPr>
                <w:sz w:val="20"/>
                <w:szCs w:val="20"/>
                <w:highlight w:val="green"/>
              </w:rPr>
            </w:pPr>
            <w:r w:rsidRPr="006C5A12">
              <w:rPr>
                <w:sz w:val="20"/>
                <w:szCs w:val="20"/>
                <w:highlight w:val="green"/>
              </w:rPr>
              <w:t>6.2</w:t>
            </w:r>
          </w:p>
        </w:tc>
      </w:tr>
      <w:tr w:rsidR="00D27A7B" w:rsidRPr="006C5A12" w14:paraId="6DC7DB00"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FB54B7" w14:textId="155648B5" w:rsidR="00D27A7B" w:rsidRPr="006C5A12" w:rsidRDefault="00D27A7B" w:rsidP="00D27A7B">
            <w:pPr>
              <w:keepNext/>
              <w:keepLines/>
              <w:jc w:val="center"/>
              <w:rPr>
                <w:sz w:val="20"/>
                <w:szCs w:val="20"/>
              </w:rPr>
            </w:pPr>
            <w:r w:rsidRPr="006C5A12">
              <w:rPr>
                <w:sz w:val="20"/>
                <w:szCs w:val="20"/>
                <w:highlight w:val="green"/>
              </w:rPr>
              <w:t>BBCH 10-19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30EDDDA7" w14:textId="2A30159B" w:rsidR="00D27A7B" w:rsidRPr="006C5A12" w:rsidRDefault="00D27A7B" w:rsidP="00D27A7B">
            <w:pPr>
              <w:keepNext/>
              <w:keepLines/>
              <w:jc w:val="center"/>
              <w:rPr>
                <w:sz w:val="20"/>
                <w:szCs w:val="20"/>
                <w:lang w:val="en-GB"/>
              </w:rPr>
            </w:pPr>
            <w:r w:rsidRPr="006C5A12">
              <w:rPr>
                <w:sz w:val="20"/>
                <w:szCs w:val="20"/>
                <w:highlight w:val="green"/>
                <w:lang w:val="en-GB"/>
              </w:rPr>
              <w:t>Small omnivorous mammal “mouse”</w:t>
            </w:r>
          </w:p>
        </w:tc>
        <w:tc>
          <w:tcPr>
            <w:tcW w:w="528" w:type="pct"/>
            <w:gridSpan w:val="2"/>
            <w:vMerge/>
            <w:shd w:val="clear" w:color="auto" w:fill="auto"/>
            <w:vAlign w:val="center"/>
          </w:tcPr>
          <w:p w14:paraId="305D278F"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C37544" w14:textId="602E5479" w:rsidR="00D27A7B" w:rsidRPr="006C5A12" w:rsidRDefault="00D27A7B" w:rsidP="00D27A7B">
            <w:pPr>
              <w:keepNext/>
              <w:keepLines/>
              <w:jc w:val="center"/>
              <w:rPr>
                <w:sz w:val="20"/>
                <w:szCs w:val="20"/>
                <w:highlight w:val="green"/>
              </w:rPr>
            </w:pPr>
            <w:r w:rsidRPr="006C5A12">
              <w:rPr>
                <w:sz w:val="20"/>
                <w:szCs w:val="20"/>
                <w:highlight w:val="green"/>
              </w:rPr>
              <w:t>4.7</w:t>
            </w:r>
          </w:p>
        </w:tc>
        <w:tc>
          <w:tcPr>
            <w:tcW w:w="394" w:type="pct"/>
            <w:gridSpan w:val="2"/>
            <w:vMerge/>
            <w:shd w:val="clear" w:color="auto" w:fill="auto"/>
            <w:vAlign w:val="center"/>
          </w:tcPr>
          <w:p w14:paraId="65765CC9"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8D275DF" w14:textId="31E569BB" w:rsidR="00D27A7B" w:rsidRPr="006C5A12" w:rsidRDefault="00D27A7B" w:rsidP="00D27A7B">
            <w:pPr>
              <w:keepNext/>
              <w:keepLines/>
              <w:jc w:val="center"/>
              <w:rPr>
                <w:sz w:val="20"/>
                <w:szCs w:val="20"/>
                <w:highlight w:val="green"/>
              </w:rPr>
            </w:pPr>
            <w:r w:rsidRPr="006C5A12">
              <w:rPr>
                <w:sz w:val="20"/>
                <w:szCs w:val="20"/>
                <w:highlight w:val="green"/>
              </w:rPr>
              <w:t>3.61</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0D00ABB4" w14:textId="1D4254B3" w:rsidR="00D27A7B" w:rsidRPr="006C5A12" w:rsidRDefault="00D27A7B" w:rsidP="00D27A7B">
            <w:pPr>
              <w:keepNext/>
              <w:keepLines/>
              <w:jc w:val="center"/>
              <w:rPr>
                <w:sz w:val="20"/>
                <w:szCs w:val="20"/>
                <w:highlight w:val="green"/>
              </w:rPr>
            </w:pPr>
            <w:r w:rsidRPr="006C5A12">
              <w:rPr>
                <w:sz w:val="20"/>
                <w:szCs w:val="20"/>
                <w:highlight w:val="green"/>
              </w:rPr>
              <w:t>28.8</w:t>
            </w:r>
          </w:p>
        </w:tc>
      </w:tr>
      <w:tr w:rsidR="00D27A7B" w:rsidRPr="006C5A12" w14:paraId="15724CF2"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297B33" w14:textId="1AD1F6B7" w:rsidR="00D27A7B" w:rsidRPr="006C5A12" w:rsidRDefault="00D27A7B" w:rsidP="00D27A7B">
            <w:pPr>
              <w:keepNext/>
              <w:keepLines/>
              <w:jc w:val="center"/>
              <w:rPr>
                <w:sz w:val="20"/>
                <w:szCs w:val="20"/>
              </w:rPr>
            </w:pPr>
            <w:r w:rsidRPr="006C5A12">
              <w:rPr>
                <w:sz w:val="20"/>
                <w:szCs w:val="20"/>
                <w:highlight w:val="green"/>
              </w:rPr>
              <w:t>BBCH 20-39</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7D681217" w14:textId="03F28321" w:rsidR="00D27A7B" w:rsidRPr="006C5A12" w:rsidRDefault="00D27A7B" w:rsidP="00D27A7B">
            <w:pPr>
              <w:keepNext/>
              <w:keepLines/>
              <w:jc w:val="center"/>
              <w:rPr>
                <w:sz w:val="20"/>
                <w:szCs w:val="20"/>
                <w:lang w:val="en-GB"/>
              </w:rPr>
            </w:pPr>
            <w:r w:rsidRPr="006C5A12">
              <w:rPr>
                <w:sz w:val="20"/>
                <w:szCs w:val="20"/>
                <w:highlight w:val="green"/>
                <w:lang w:val="en-GB"/>
              </w:rPr>
              <w:t>Small omnivorous mammal “mouse”</w:t>
            </w:r>
          </w:p>
        </w:tc>
        <w:tc>
          <w:tcPr>
            <w:tcW w:w="528" w:type="pct"/>
            <w:gridSpan w:val="2"/>
            <w:vMerge/>
            <w:shd w:val="clear" w:color="auto" w:fill="auto"/>
            <w:vAlign w:val="center"/>
          </w:tcPr>
          <w:p w14:paraId="1C8AEFE6"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201A1" w14:textId="70FB2B16" w:rsidR="00D27A7B" w:rsidRPr="006C5A12" w:rsidRDefault="00D27A7B" w:rsidP="00D27A7B">
            <w:pPr>
              <w:keepNext/>
              <w:keepLines/>
              <w:jc w:val="center"/>
              <w:rPr>
                <w:sz w:val="20"/>
                <w:szCs w:val="20"/>
                <w:highlight w:val="green"/>
              </w:rPr>
            </w:pPr>
            <w:r w:rsidRPr="006C5A12">
              <w:rPr>
                <w:sz w:val="20"/>
                <w:szCs w:val="20"/>
                <w:highlight w:val="green"/>
              </w:rPr>
              <w:t>3.9</w:t>
            </w:r>
          </w:p>
        </w:tc>
        <w:tc>
          <w:tcPr>
            <w:tcW w:w="394" w:type="pct"/>
            <w:gridSpan w:val="2"/>
            <w:vMerge/>
            <w:shd w:val="clear" w:color="auto" w:fill="auto"/>
            <w:vAlign w:val="center"/>
          </w:tcPr>
          <w:p w14:paraId="48A5445F"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073CC3E9" w14:textId="5325E706" w:rsidR="00D27A7B" w:rsidRPr="006C5A12" w:rsidRDefault="00D27A7B" w:rsidP="00D27A7B">
            <w:pPr>
              <w:keepNext/>
              <w:keepLines/>
              <w:jc w:val="center"/>
              <w:rPr>
                <w:sz w:val="20"/>
                <w:szCs w:val="20"/>
                <w:highlight w:val="green"/>
              </w:rPr>
            </w:pPr>
            <w:r w:rsidRPr="006C5A12">
              <w:rPr>
                <w:sz w:val="20"/>
                <w:szCs w:val="20"/>
                <w:highlight w:val="green"/>
              </w:rPr>
              <w:t>2.99</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41347B7D" w14:textId="5B1D218F" w:rsidR="00D27A7B" w:rsidRPr="006C5A12" w:rsidRDefault="00D27A7B" w:rsidP="00D27A7B">
            <w:pPr>
              <w:keepNext/>
              <w:keepLines/>
              <w:jc w:val="center"/>
              <w:rPr>
                <w:sz w:val="20"/>
                <w:szCs w:val="20"/>
                <w:highlight w:val="green"/>
              </w:rPr>
            </w:pPr>
            <w:r w:rsidRPr="006C5A12">
              <w:rPr>
                <w:sz w:val="20"/>
                <w:szCs w:val="20"/>
                <w:highlight w:val="green"/>
              </w:rPr>
              <w:t>34.7</w:t>
            </w:r>
          </w:p>
        </w:tc>
      </w:tr>
      <w:tr w:rsidR="00D27A7B" w:rsidRPr="006C5A12" w14:paraId="670156F7" w14:textId="77777777" w:rsidTr="00B23596">
        <w:trPr>
          <w:gridBefore w:val="1"/>
          <w:wBefore w:w="31" w:type="pct"/>
          <w:cantSplit/>
        </w:trPr>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935EB0" w14:textId="71FCDDB1" w:rsidR="00D27A7B" w:rsidRPr="006C5A12" w:rsidRDefault="00D27A7B" w:rsidP="00D27A7B">
            <w:pPr>
              <w:keepNext/>
              <w:keepLines/>
              <w:jc w:val="center"/>
              <w:rPr>
                <w:sz w:val="20"/>
                <w:szCs w:val="20"/>
              </w:rPr>
            </w:pPr>
            <w:r w:rsidRPr="006C5A12">
              <w:rPr>
                <w:sz w:val="20"/>
                <w:szCs w:val="20"/>
                <w:highlight w:val="green"/>
              </w:rPr>
              <w:t>BBCH ≥ 40</w:t>
            </w:r>
          </w:p>
        </w:tc>
        <w:tc>
          <w:tcPr>
            <w:tcW w:w="1696" w:type="pct"/>
            <w:gridSpan w:val="2"/>
            <w:tcBorders>
              <w:top w:val="single" w:sz="4" w:space="0" w:color="auto"/>
              <w:left w:val="nil"/>
              <w:bottom w:val="single" w:sz="4" w:space="0" w:color="auto"/>
              <w:right w:val="single" w:sz="4" w:space="0" w:color="auto"/>
            </w:tcBorders>
            <w:shd w:val="clear" w:color="auto" w:fill="auto"/>
            <w:vAlign w:val="center"/>
          </w:tcPr>
          <w:p w14:paraId="2AA464B9" w14:textId="0CD1B761" w:rsidR="00D27A7B" w:rsidRPr="006C5A12" w:rsidRDefault="00D27A7B" w:rsidP="00D27A7B">
            <w:pPr>
              <w:keepNext/>
              <w:keepLines/>
              <w:jc w:val="center"/>
              <w:rPr>
                <w:sz w:val="20"/>
                <w:szCs w:val="20"/>
                <w:lang w:val="en-GB"/>
              </w:rPr>
            </w:pPr>
            <w:r w:rsidRPr="006C5A12">
              <w:rPr>
                <w:sz w:val="20"/>
                <w:szCs w:val="20"/>
                <w:highlight w:val="green"/>
                <w:lang w:val="en-GB"/>
              </w:rPr>
              <w:t>Small omnivorous mammal “mouse”</w:t>
            </w:r>
          </w:p>
        </w:tc>
        <w:tc>
          <w:tcPr>
            <w:tcW w:w="528" w:type="pct"/>
            <w:gridSpan w:val="2"/>
            <w:vMerge/>
            <w:shd w:val="clear" w:color="auto" w:fill="auto"/>
            <w:vAlign w:val="center"/>
          </w:tcPr>
          <w:p w14:paraId="7FB8DE6D" w14:textId="77777777" w:rsidR="00D27A7B" w:rsidRPr="006C5A12" w:rsidRDefault="00D27A7B" w:rsidP="00D27A7B">
            <w:pPr>
              <w:keepNext/>
              <w:keepLines/>
              <w:jc w:val="center"/>
              <w:rPr>
                <w:sz w:val="20"/>
                <w:szCs w:val="20"/>
                <w:highlight w:val="green"/>
                <w:lang w:val="en-GB"/>
              </w:rPr>
            </w:pPr>
          </w:p>
        </w:tc>
        <w:tc>
          <w:tcPr>
            <w:tcW w:w="3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39F7E7" w14:textId="3F93FC81" w:rsidR="00D27A7B" w:rsidRPr="006C5A12" w:rsidRDefault="00D27A7B" w:rsidP="00D27A7B">
            <w:pPr>
              <w:keepNext/>
              <w:keepLines/>
              <w:jc w:val="center"/>
              <w:rPr>
                <w:sz w:val="20"/>
                <w:szCs w:val="20"/>
                <w:highlight w:val="green"/>
              </w:rPr>
            </w:pPr>
            <w:r w:rsidRPr="006C5A12">
              <w:rPr>
                <w:sz w:val="20"/>
                <w:szCs w:val="20"/>
                <w:highlight w:val="green"/>
              </w:rPr>
              <w:t>2.3</w:t>
            </w:r>
          </w:p>
        </w:tc>
        <w:tc>
          <w:tcPr>
            <w:tcW w:w="394" w:type="pct"/>
            <w:gridSpan w:val="2"/>
            <w:vMerge/>
            <w:shd w:val="clear" w:color="auto" w:fill="auto"/>
            <w:vAlign w:val="center"/>
          </w:tcPr>
          <w:p w14:paraId="34E83FF2" w14:textId="77777777" w:rsidR="00D27A7B" w:rsidRPr="006C5A12" w:rsidRDefault="00D27A7B" w:rsidP="00D27A7B">
            <w:pPr>
              <w:keepNext/>
              <w:keepLines/>
              <w:jc w:val="center"/>
              <w:rPr>
                <w:sz w:val="20"/>
                <w:szCs w:val="20"/>
                <w:highlight w:val="green"/>
                <w:lang w:val="en-GB"/>
              </w:rPr>
            </w:pP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4CE9F776" w14:textId="71930012" w:rsidR="00D27A7B" w:rsidRPr="006C5A12" w:rsidRDefault="00D27A7B" w:rsidP="00D27A7B">
            <w:pPr>
              <w:keepNext/>
              <w:keepLines/>
              <w:jc w:val="center"/>
              <w:rPr>
                <w:sz w:val="20"/>
                <w:szCs w:val="20"/>
                <w:highlight w:val="green"/>
              </w:rPr>
            </w:pPr>
            <w:r w:rsidRPr="006C5A12">
              <w:rPr>
                <w:sz w:val="20"/>
                <w:szCs w:val="20"/>
                <w:highlight w:val="green"/>
              </w:rPr>
              <w:t>1.77</w:t>
            </w:r>
          </w:p>
        </w:tc>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14:paraId="46C74DD2" w14:textId="18E57CAC" w:rsidR="00D27A7B" w:rsidRPr="006C5A12" w:rsidRDefault="00D27A7B" w:rsidP="00D27A7B">
            <w:pPr>
              <w:keepNext/>
              <w:keepLines/>
              <w:jc w:val="center"/>
              <w:rPr>
                <w:sz w:val="20"/>
                <w:szCs w:val="20"/>
                <w:highlight w:val="green"/>
              </w:rPr>
            </w:pPr>
            <w:r w:rsidRPr="006C5A12">
              <w:rPr>
                <w:sz w:val="20"/>
                <w:szCs w:val="20"/>
                <w:highlight w:val="green"/>
              </w:rPr>
              <w:t>58.9</w:t>
            </w:r>
          </w:p>
        </w:tc>
      </w:tr>
    </w:tbl>
    <w:p w14:paraId="4C53D6E3" w14:textId="3CD06A43"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4767A179"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 </w:t>
      </w:r>
      <w:r w:rsidRPr="00A34F10">
        <w:rPr>
          <w:bCs/>
          <w:sz w:val="18"/>
          <w:szCs w:val="18"/>
          <w:lang w:val="en-GB"/>
        </w:rPr>
        <w:t>Covers use in bulb and onion like crops at lower application rate</w:t>
      </w:r>
    </w:p>
    <w:p w14:paraId="4E5BA7ED" w14:textId="77777777" w:rsidR="00802A8C" w:rsidRPr="00A34F10" w:rsidRDefault="00802A8C" w:rsidP="00DC5685">
      <w:pPr>
        <w:widowControl w:val="0"/>
        <w:tabs>
          <w:tab w:val="left" w:pos="720"/>
        </w:tabs>
        <w:suppressAutoHyphens/>
        <w:jc w:val="both"/>
        <w:rPr>
          <w:lang w:val="en-GB"/>
        </w:rPr>
      </w:pPr>
    </w:p>
    <w:p w14:paraId="6A96811A" w14:textId="77777777" w:rsidR="00EE3ACD" w:rsidRPr="00A34F10" w:rsidRDefault="00EE3ACD" w:rsidP="00DC5685">
      <w:pPr>
        <w:widowControl w:val="0"/>
        <w:tabs>
          <w:tab w:val="left" w:pos="720"/>
        </w:tabs>
        <w:suppressAutoHyphens/>
        <w:jc w:val="both"/>
        <w:rPr>
          <w:lang w:val="en-GB"/>
        </w:rPr>
      </w:pPr>
    </w:p>
    <w:p w14:paraId="41C06692" w14:textId="77777777" w:rsidR="00DC5685" w:rsidRPr="00A34F10" w:rsidRDefault="00DC5685" w:rsidP="00DC5685">
      <w:pPr>
        <w:widowControl w:val="0"/>
        <w:suppressAutoHyphens/>
        <w:jc w:val="both"/>
        <w:rPr>
          <w:lang w:val="en-GB"/>
        </w:rPr>
      </w:pPr>
      <w:bookmarkStart w:id="367" w:name="_Hlk129304064"/>
      <w:r w:rsidRPr="00A34F10">
        <w:rPr>
          <w:lang w:val="en-GB"/>
        </w:rPr>
        <w:t>The first-tier risk assessment demonstrates and acceptable long-term risk for mammals exposed to Propamocarb-HCl from the use of BAS 743 03 F except for the following scenarios:</w:t>
      </w:r>
    </w:p>
    <w:p w14:paraId="65EE1894" w14:textId="12208363" w:rsidR="00DC5685" w:rsidRPr="008C50A8" w:rsidRDefault="00DC5685" w:rsidP="00E05ECD">
      <w:pPr>
        <w:pStyle w:val="Akapitzlist"/>
        <w:widowControl w:val="0"/>
        <w:numPr>
          <w:ilvl w:val="0"/>
          <w:numId w:val="20"/>
        </w:numPr>
        <w:suppressAutoHyphens/>
        <w:jc w:val="both"/>
        <w:rPr>
          <w:lang w:val="en-GB"/>
        </w:rPr>
      </w:pPr>
      <w:bookmarkStart w:id="368" w:name="_Hlk135134969"/>
      <w:r w:rsidRPr="00A34F10">
        <w:rPr>
          <w:lang w:val="en-GB"/>
        </w:rPr>
        <w:t xml:space="preserve">Potatoes (3 x 0.902 kg a.s./ha): </w:t>
      </w:r>
      <w:bookmarkStart w:id="369" w:name="_Hlk135006202"/>
      <w:r w:rsidRPr="00A34F10">
        <w:rPr>
          <w:lang w:val="en-GB"/>
        </w:rPr>
        <w:t>BBCH ≥40</w:t>
      </w:r>
      <w:bookmarkEnd w:id="369"/>
      <w:r w:rsidRPr="00A34F10">
        <w:rPr>
          <w:lang w:val="en-GB"/>
        </w:rPr>
        <w:t>, small herbivorous mammal “vole”</w:t>
      </w:r>
    </w:p>
    <w:p w14:paraId="7A31CD8A" w14:textId="77777777" w:rsidR="00DC5685" w:rsidRPr="00A34F10" w:rsidRDefault="00DC5685" w:rsidP="00E05ECD">
      <w:pPr>
        <w:pStyle w:val="Akapitzlist"/>
        <w:widowControl w:val="0"/>
        <w:numPr>
          <w:ilvl w:val="0"/>
          <w:numId w:val="20"/>
        </w:numPr>
        <w:suppressAutoHyphens/>
        <w:jc w:val="both"/>
        <w:rPr>
          <w:lang w:val="en-GB"/>
        </w:rPr>
      </w:pPr>
      <w:r w:rsidRPr="00A34F10">
        <w:rPr>
          <w:lang w:val="en-GB"/>
        </w:rPr>
        <w:t>Fruiting vegetables: BBCH 10-49, small herbivorous mammal “vole”</w:t>
      </w:r>
    </w:p>
    <w:p w14:paraId="63A716ED" w14:textId="77777777" w:rsidR="00DC5685" w:rsidRPr="00A34F10" w:rsidRDefault="00DC5685" w:rsidP="00E05ECD">
      <w:pPr>
        <w:pStyle w:val="Akapitzlist"/>
        <w:widowControl w:val="0"/>
        <w:numPr>
          <w:ilvl w:val="0"/>
          <w:numId w:val="20"/>
        </w:numPr>
        <w:suppressAutoHyphens/>
        <w:jc w:val="both"/>
        <w:rPr>
          <w:lang w:val="en-GB"/>
        </w:rPr>
      </w:pPr>
      <w:r w:rsidRPr="00A34F10">
        <w:rPr>
          <w:lang w:val="en-GB"/>
        </w:rPr>
        <w:t>Bulbs and onion like crops: BBCH ≥40, small herbivorous mammal “vole”</w:t>
      </w:r>
    </w:p>
    <w:p w14:paraId="1C275C3D" w14:textId="77777777" w:rsidR="00DC5685" w:rsidRPr="00A34F10" w:rsidRDefault="00DC5685" w:rsidP="00E05ECD">
      <w:pPr>
        <w:pStyle w:val="Akapitzlist"/>
        <w:widowControl w:val="0"/>
        <w:numPr>
          <w:ilvl w:val="0"/>
          <w:numId w:val="20"/>
        </w:numPr>
        <w:suppressAutoHyphens/>
        <w:jc w:val="both"/>
        <w:rPr>
          <w:lang w:val="en-GB"/>
        </w:rPr>
      </w:pPr>
      <w:r w:rsidRPr="00A34F10">
        <w:rPr>
          <w:lang w:val="en-GB"/>
        </w:rPr>
        <w:t xml:space="preserve">Ornamentals </w:t>
      </w:r>
      <w:r w:rsidRPr="00A34F10">
        <w:t xml:space="preserve">BBCH 40-49 </w:t>
      </w:r>
      <w:r w:rsidRPr="00A34F10">
        <w:rPr>
          <w:lang w:val="en-GB"/>
        </w:rPr>
        <w:t>small herbivorous mammal “vole”</w:t>
      </w:r>
    </w:p>
    <w:p w14:paraId="2D0A5758" w14:textId="36EC9938" w:rsidR="00DC5685" w:rsidRDefault="00DC5685" w:rsidP="00E05ECD">
      <w:pPr>
        <w:pStyle w:val="Akapitzlist"/>
        <w:widowControl w:val="0"/>
        <w:numPr>
          <w:ilvl w:val="0"/>
          <w:numId w:val="20"/>
        </w:numPr>
        <w:suppressAutoHyphens/>
        <w:jc w:val="both"/>
        <w:rPr>
          <w:lang w:val="en-GB"/>
        </w:rPr>
      </w:pPr>
      <w:r w:rsidRPr="00A34F10">
        <w:rPr>
          <w:lang w:val="en-GB"/>
        </w:rPr>
        <w:t xml:space="preserve">Ornamentals </w:t>
      </w:r>
      <w:r w:rsidRPr="00A34F10">
        <w:t xml:space="preserve">BBCH ≥50 </w:t>
      </w:r>
      <w:r w:rsidRPr="00A34F10">
        <w:rPr>
          <w:lang w:val="en-GB"/>
        </w:rPr>
        <w:t>small herbivorous mammal “vole”</w:t>
      </w:r>
      <w:bookmarkEnd w:id="368"/>
    </w:p>
    <w:p w14:paraId="2DBEBECE" w14:textId="2D428D5E" w:rsidR="00E42233" w:rsidRPr="00E42233" w:rsidRDefault="00E42233" w:rsidP="00E05ECD">
      <w:pPr>
        <w:pStyle w:val="Akapitzlist"/>
        <w:widowControl w:val="0"/>
        <w:numPr>
          <w:ilvl w:val="0"/>
          <w:numId w:val="20"/>
        </w:numPr>
        <w:suppressAutoHyphens/>
        <w:jc w:val="both"/>
        <w:rPr>
          <w:highlight w:val="green"/>
          <w:lang w:val="en-GB"/>
        </w:rPr>
      </w:pPr>
      <w:r w:rsidRPr="00E42233">
        <w:rPr>
          <w:highlight w:val="green"/>
          <w:lang w:val="en-GB"/>
        </w:rPr>
        <w:t>Orchards BBCH 10-19 small herbivorous mammal “vole”</w:t>
      </w:r>
      <w:r w:rsidR="00ED20AC">
        <w:rPr>
          <w:highlight w:val="green"/>
          <w:lang w:val="en-GB"/>
        </w:rPr>
        <w:t xml:space="preserve"> </w:t>
      </w:r>
      <w:r w:rsidR="00ED20AC" w:rsidRPr="00ED20AC">
        <w:rPr>
          <w:shd w:val="clear" w:color="auto" w:fill="D9D9D9" w:themeFill="background1" w:themeFillShade="D9"/>
          <w:lang w:val="en-GB"/>
        </w:rPr>
        <w:t>(acute and chronic)</w:t>
      </w:r>
    </w:p>
    <w:p w14:paraId="5888D3B0" w14:textId="38D5B973" w:rsidR="00E42233" w:rsidRPr="00E42233" w:rsidRDefault="00E42233" w:rsidP="00E05ECD">
      <w:pPr>
        <w:pStyle w:val="Akapitzlist"/>
        <w:widowControl w:val="0"/>
        <w:numPr>
          <w:ilvl w:val="0"/>
          <w:numId w:val="20"/>
        </w:numPr>
        <w:suppressAutoHyphens/>
        <w:jc w:val="both"/>
        <w:rPr>
          <w:highlight w:val="green"/>
          <w:lang w:val="en-GB"/>
        </w:rPr>
      </w:pPr>
      <w:r w:rsidRPr="00E42233">
        <w:rPr>
          <w:highlight w:val="green"/>
          <w:lang w:val="en-GB"/>
        </w:rPr>
        <w:t>Orchards BBCH 20-40 small herbivorous mammal “vole”</w:t>
      </w:r>
    </w:p>
    <w:p w14:paraId="7A3844FE" w14:textId="238E69C5" w:rsidR="00E42233" w:rsidRPr="00E42233" w:rsidRDefault="00E42233" w:rsidP="00E05ECD">
      <w:pPr>
        <w:pStyle w:val="Akapitzlist"/>
        <w:widowControl w:val="0"/>
        <w:numPr>
          <w:ilvl w:val="0"/>
          <w:numId w:val="20"/>
        </w:numPr>
        <w:suppressAutoHyphens/>
        <w:jc w:val="both"/>
        <w:rPr>
          <w:highlight w:val="green"/>
          <w:lang w:val="en-GB"/>
        </w:rPr>
      </w:pPr>
      <w:r w:rsidRPr="00E42233">
        <w:rPr>
          <w:highlight w:val="green"/>
          <w:lang w:val="en-GB"/>
        </w:rPr>
        <w:t>Bush and cane fruit BBCH 10-19 small herbivorous mammal “vole”</w:t>
      </w:r>
    </w:p>
    <w:p w14:paraId="66B81D61" w14:textId="5E97C69B" w:rsidR="00E42233" w:rsidRPr="00E42233" w:rsidRDefault="00E42233" w:rsidP="00E42233">
      <w:pPr>
        <w:pStyle w:val="Akapitzlist"/>
        <w:widowControl w:val="0"/>
        <w:numPr>
          <w:ilvl w:val="0"/>
          <w:numId w:val="20"/>
        </w:numPr>
        <w:suppressAutoHyphens/>
        <w:jc w:val="both"/>
        <w:rPr>
          <w:highlight w:val="green"/>
          <w:lang w:val="en-GB"/>
        </w:rPr>
      </w:pPr>
      <w:r w:rsidRPr="00E42233">
        <w:rPr>
          <w:highlight w:val="green"/>
          <w:lang w:val="en-GB"/>
        </w:rPr>
        <w:t>Bush and cane fruit BBCH 20-39 small herbivorous mammal “vole”</w:t>
      </w:r>
    </w:p>
    <w:p w14:paraId="297C647D" w14:textId="77777777" w:rsidR="00E42233" w:rsidRPr="00A34F10" w:rsidRDefault="00E42233" w:rsidP="00E42233">
      <w:pPr>
        <w:pStyle w:val="Akapitzlist"/>
        <w:widowControl w:val="0"/>
        <w:suppressAutoHyphens/>
        <w:ind w:left="720"/>
        <w:jc w:val="both"/>
        <w:rPr>
          <w:lang w:val="en-GB"/>
        </w:rPr>
      </w:pPr>
    </w:p>
    <w:p w14:paraId="36C6C819" w14:textId="77777777" w:rsidR="00DC5685" w:rsidRPr="00A34F10" w:rsidRDefault="00DC5685" w:rsidP="00DC5685">
      <w:pPr>
        <w:widowControl w:val="0"/>
        <w:suppressAutoHyphens/>
        <w:jc w:val="both"/>
        <w:rPr>
          <w:rFonts w:eastAsia="Batang"/>
          <w:lang w:val="en-GB" w:eastAsia="zh-CN"/>
        </w:rPr>
      </w:pPr>
      <w:r w:rsidRPr="00A34F10">
        <w:rPr>
          <w:lang w:val="en-GB"/>
        </w:rPr>
        <w:t>For these scenarios, further refinements are required.</w:t>
      </w:r>
    </w:p>
    <w:bookmarkEnd w:id="367"/>
    <w:p w14:paraId="231BCD7F" w14:textId="77777777" w:rsidR="00EE3ACD" w:rsidRPr="00A34F10" w:rsidRDefault="00EE3ACD" w:rsidP="00DC5685">
      <w:pPr>
        <w:widowControl w:val="0"/>
        <w:suppressAutoHyphens/>
        <w:jc w:val="both"/>
        <w:rPr>
          <w:rFonts w:eastAsia="Batang"/>
          <w:lang w:val="en-GB" w:eastAsia="zh-CN"/>
        </w:rPr>
      </w:pPr>
    </w:p>
    <w:p w14:paraId="64096948" w14:textId="3DF415DB" w:rsidR="00DC5685" w:rsidRPr="00A34F10" w:rsidRDefault="00DC5685" w:rsidP="00DC5685">
      <w:pPr>
        <w:keepNext/>
        <w:keepLines/>
        <w:widowControl w:val="0"/>
        <w:tabs>
          <w:tab w:val="left" w:pos="1985"/>
        </w:tabs>
        <w:spacing w:before="200" w:after="120"/>
        <w:ind w:left="1985" w:hanging="1985"/>
        <w:rPr>
          <w:b/>
          <w:bCs/>
          <w:lang w:val="en-GB"/>
        </w:rPr>
      </w:pPr>
      <w:r w:rsidRPr="00A34F10">
        <w:rPr>
          <w:b/>
          <w:bCs/>
          <w:lang w:val="en-GB"/>
        </w:rPr>
        <w:t xml:space="preserve">Table </w:t>
      </w:r>
      <w:r w:rsidRPr="00A34F10">
        <w:rPr>
          <w:b/>
          <w:bCs/>
          <w:lang w:val="en-GB"/>
        </w:rPr>
        <w:fldChar w:fldCharType="begin"/>
      </w:r>
      <w:r w:rsidRPr="00A34F10">
        <w:rPr>
          <w:b/>
          <w:bCs/>
          <w:lang w:val="en-GB"/>
        </w:rPr>
        <w:instrText xml:space="preserve"> STYLEREF 2 \s </w:instrText>
      </w:r>
      <w:r w:rsidRPr="00A34F10">
        <w:rPr>
          <w:b/>
          <w:bCs/>
          <w:lang w:val="en-GB"/>
        </w:rPr>
        <w:fldChar w:fldCharType="separate"/>
      </w:r>
      <w:r w:rsidR="006F0F3B">
        <w:rPr>
          <w:b/>
          <w:bCs/>
          <w:noProof/>
          <w:lang w:val="en-GB"/>
        </w:rPr>
        <w:t>9.3</w:t>
      </w:r>
      <w:r w:rsidRPr="00A34F10">
        <w:rPr>
          <w:b/>
          <w:bCs/>
          <w:lang w:val="en-GB"/>
        </w:rPr>
        <w:fldChar w:fldCharType="end"/>
      </w:r>
      <w:r w:rsidRPr="00A34F10">
        <w:rPr>
          <w:b/>
          <w:bCs/>
          <w:lang w:val="en-GB"/>
        </w:rPr>
        <w:noBreakHyphen/>
      </w:r>
      <w:r w:rsidR="008A3AA0" w:rsidRPr="008A3AA0">
        <w:rPr>
          <w:b/>
          <w:bCs/>
          <w:highlight w:val="green"/>
          <w:lang w:val="en-GB"/>
        </w:rPr>
        <w:t>13</w:t>
      </w:r>
      <w:r w:rsidRPr="00A34F10">
        <w:rPr>
          <w:b/>
          <w:bCs/>
          <w:lang w:val="en-GB"/>
        </w:rPr>
        <w:t xml:space="preserve">: </w:t>
      </w:r>
      <w:r w:rsidRPr="00A34F10">
        <w:rPr>
          <w:b/>
          <w:bCs/>
          <w:lang w:val="en-GB"/>
        </w:rPr>
        <w:tab/>
        <w:t xml:space="preserve">BAS 743 03 F: Screening assessment of the acute risk for mammals due to the worst-case use of BAS 743 03 F in potatoes (3 × 2.0 L product/ha)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69"/>
        <w:gridCol w:w="929"/>
        <w:gridCol w:w="1875"/>
        <w:gridCol w:w="1168"/>
        <w:gridCol w:w="1168"/>
        <w:gridCol w:w="1168"/>
        <w:gridCol w:w="1170"/>
      </w:tblGrid>
      <w:tr w:rsidR="00DC5685" w:rsidRPr="00A34F10" w14:paraId="3C5014E0" w14:textId="77777777" w:rsidTr="000470C3">
        <w:tc>
          <w:tcPr>
            <w:tcW w:w="1496" w:type="pct"/>
            <w:gridSpan w:val="2"/>
            <w:tcBorders>
              <w:bottom w:val="nil"/>
            </w:tcBorders>
          </w:tcPr>
          <w:p w14:paraId="5818CF84" w14:textId="77777777" w:rsidR="00DC5685" w:rsidRPr="00A34F10" w:rsidRDefault="00DC5685" w:rsidP="000470C3">
            <w:pPr>
              <w:keepNext/>
              <w:keepLines/>
              <w:widowControl w:val="0"/>
              <w:rPr>
                <w:b/>
                <w:bCs/>
                <w:sz w:val="20"/>
                <w:szCs w:val="20"/>
                <w:lang w:val="en-GB"/>
              </w:rPr>
            </w:pPr>
            <w:r w:rsidRPr="00A34F10">
              <w:rPr>
                <w:b/>
                <w:bCs/>
                <w:sz w:val="20"/>
                <w:szCs w:val="20"/>
                <w:lang w:val="en-GB"/>
              </w:rPr>
              <w:t>Intended use</w:t>
            </w:r>
          </w:p>
        </w:tc>
        <w:tc>
          <w:tcPr>
            <w:tcW w:w="3504" w:type="pct"/>
            <w:gridSpan w:val="5"/>
            <w:tcBorders>
              <w:bottom w:val="nil"/>
            </w:tcBorders>
          </w:tcPr>
          <w:p w14:paraId="4ADDDC0F" w14:textId="77777777" w:rsidR="00DC5685" w:rsidRPr="00A34F10" w:rsidRDefault="00DC5685" w:rsidP="000470C3">
            <w:pPr>
              <w:keepNext/>
              <w:keepLines/>
              <w:widowControl w:val="0"/>
              <w:rPr>
                <w:sz w:val="20"/>
                <w:lang w:val="en-GB"/>
              </w:rPr>
            </w:pPr>
            <w:r w:rsidRPr="00A34F10">
              <w:rPr>
                <w:bCs/>
                <w:sz w:val="20"/>
                <w:szCs w:val="20"/>
                <w:lang w:val="en-GB"/>
              </w:rPr>
              <w:t>Potatoes</w:t>
            </w:r>
          </w:p>
        </w:tc>
      </w:tr>
      <w:tr w:rsidR="00DC5685" w:rsidRPr="00A34F10" w14:paraId="09DE5039" w14:textId="77777777" w:rsidTr="000470C3">
        <w:tc>
          <w:tcPr>
            <w:tcW w:w="1496" w:type="pct"/>
            <w:gridSpan w:val="2"/>
            <w:tcBorders>
              <w:top w:val="nil"/>
              <w:bottom w:val="nil"/>
            </w:tcBorders>
          </w:tcPr>
          <w:p w14:paraId="673D9EA7" w14:textId="77777777" w:rsidR="00DC5685" w:rsidRPr="00A34F10" w:rsidRDefault="00DC5685" w:rsidP="000470C3">
            <w:pPr>
              <w:keepNext/>
              <w:keepLines/>
              <w:widowControl w:val="0"/>
              <w:rPr>
                <w:b/>
                <w:bCs/>
                <w:sz w:val="20"/>
                <w:szCs w:val="20"/>
                <w:lang w:val="en-GB"/>
              </w:rPr>
            </w:pPr>
            <w:r w:rsidRPr="00A34F10">
              <w:rPr>
                <w:b/>
                <w:bCs/>
                <w:sz w:val="20"/>
                <w:szCs w:val="20"/>
                <w:lang w:val="en-GB"/>
              </w:rPr>
              <w:t>Formulation</w:t>
            </w:r>
          </w:p>
        </w:tc>
        <w:tc>
          <w:tcPr>
            <w:tcW w:w="3504" w:type="pct"/>
            <w:gridSpan w:val="5"/>
            <w:tcBorders>
              <w:top w:val="nil"/>
              <w:bottom w:val="nil"/>
            </w:tcBorders>
          </w:tcPr>
          <w:p w14:paraId="41FC5F3C" w14:textId="77777777" w:rsidR="00DC5685" w:rsidRPr="00A34F10" w:rsidRDefault="00DC5685" w:rsidP="000470C3">
            <w:pPr>
              <w:keepNext/>
              <w:keepLines/>
              <w:widowControl w:val="0"/>
              <w:rPr>
                <w:sz w:val="20"/>
                <w:lang w:val="en-GB"/>
              </w:rPr>
            </w:pPr>
            <w:r w:rsidRPr="00A34F10">
              <w:rPr>
                <w:sz w:val="20"/>
                <w:lang w:val="en-GB"/>
              </w:rPr>
              <w:t>BAS 743 02 F</w:t>
            </w:r>
          </w:p>
        </w:tc>
      </w:tr>
      <w:tr w:rsidR="00DC5685" w:rsidRPr="00A34F10" w14:paraId="4C3DCC99" w14:textId="77777777" w:rsidTr="000470C3">
        <w:tc>
          <w:tcPr>
            <w:tcW w:w="1496" w:type="pct"/>
            <w:gridSpan w:val="2"/>
            <w:tcBorders>
              <w:top w:val="nil"/>
              <w:bottom w:val="single" w:sz="4" w:space="0" w:color="auto"/>
            </w:tcBorders>
          </w:tcPr>
          <w:p w14:paraId="30B862DD" w14:textId="77777777" w:rsidR="00DC5685" w:rsidRPr="00A34F10" w:rsidRDefault="00DC5685" w:rsidP="000470C3">
            <w:pPr>
              <w:keepNext/>
              <w:keepLines/>
              <w:widowControl w:val="0"/>
              <w:rPr>
                <w:b/>
                <w:bCs/>
                <w:sz w:val="20"/>
                <w:szCs w:val="20"/>
                <w:lang w:val="en-GB"/>
              </w:rPr>
            </w:pPr>
            <w:r w:rsidRPr="00A34F10">
              <w:rPr>
                <w:b/>
                <w:bCs/>
                <w:sz w:val="20"/>
                <w:szCs w:val="20"/>
                <w:lang w:val="en-GB"/>
              </w:rPr>
              <w:t>Application rate (g/ha)</w:t>
            </w:r>
          </w:p>
        </w:tc>
        <w:tc>
          <w:tcPr>
            <w:tcW w:w="3504" w:type="pct"/>
            <w:gridSpan w:val="5"/>
            <w:tcBorders>
              <w:top w:val="nil"/>
              <w:bottom w:val="single" w:sz="4" w:space="0" w:color="auto"/>
            </w:tcBorders>
          </w:tcPr>
          <w:p w14:paraId="2CB58F0E" w14:textId="77777777" w:rsidR="00DC5685" w:rsidRPr="00A34F10" w:rsidRDefault="00DC5685" w:rsidP="000470C3">
            <w:pPr>
              <w:keepNext/>
              <w:keepLines/>
              <w:widowControl w:val="0"/>
              <w:rPr>
                <w:sz w:val="20"/>
                <w:lang w:val="en-GB"/>
              </w:rPr>
            </w:pPr>
            <w:r w:rsidRPr="00A34F10">
              <w:rPr>
                <w:sz w:val="20"/>
                <w:lang w:val="en-GB"/>
              </w:rPr>
              <w:t>3 × ∑ 902 + 240</w:t>
            </w:r>
          </w:p>
        </w:tc>
      </w:tr>
      <w:tr w:rsidR="00DC5685" w:rsidRPr="00A34F10" w14:paraId="7298FCC4" w14:textId="77777777" w:rsidTr="000470C3">
        <w:tc>
          <w:tcPr>
            <w:tcW w:w="1496" w:type="pct"/>
            <w:gridSpan w:val="2"/>
            <w:tcBorders>
              <w:bottom w:val="nil"/>
            </w:tcBorders>
          </w:tcPr>
          <w:p w14:paraId="79DEF27A" w14:textId="77777777" w:rsidR="00DC5685" w:rsidRPr="00A34F10" w:rsidRDefault="00DC5685" w:rsidP="000470C3">
            <w:pPr>
              <w:keepNext/>
              <w:keepLines/>
              <w:widowControl w:val="0"/>
              <w:rPr>
                <w:b/>
                <w:bCs/>
                <w:sz w:val="20"/>
                <w:szCs w:val="20"/>
                <w:lang w:val="en-GB"/>
              </w:rPr>
            </w:pPr>
            <w:r w:rsidRPr="00A34F10">
              <w:rPr>
                <w:b/>
                <w:bCs/>
                <w:sz w:val="20"/>
                <w:szCs w:val="20"/>
                <w:lang w:val="en-GB"/>
              </w:rPr>
              <w:t>Acute toxicity (mg/kg bw)</w:t>
            </w:r>
          </w:p>
        </w:tc>
        <w:tc>
          <w:tcPr>
            <w:tcW w:w="3504" w:type="pct"/>
            <w:gridSpan w:val="5"/>
            <w:tcBorders>
              <w:bottom w:val="nil"/>
            </w:tcBorders>
          </w:tcPr>
          <w:p w14:paraId="79093DE9" w14:textId="7F88DACC" w:rsidR="00DC5685" w:rsidRPr="00A34F10" w:rsidRDefault="00E72A5B" w:rsidP="000470C3">
            <w:pPr>
              <w:keepNext/>
              <w:keepLines/>
              <w:widowControl w:val="0"/>
              <w:rPr>
                <w:sz w:val="20"/>
                <w:lang w:val="en-GB"/>
              </w:rPr>
            </w:pPr>
            <w:r>
              <w:rPr>
                <w:sz w:val="20"/>
                <w:highlight w:val="green"/>
                <w:lang w:val="en-GB"/>
              </w:rPr>
              <w:t xml:space="preserve">&gt; </w:t>
            </w:r>
            <w:r w:rsidR="008A3AA0" w:rsidRPr="00A34F10">
              <w:rPr>
                <w:sz w:val="20"/>
                <w:lang w:val="en-GB"/>
              </w:rPr>
              <w:t xml:space="preserve">1208.3 </w:t>
            </w:r>
            <w:r w:rsidR="00DC5685" w:rsidRPr="00A34F10">
              <w:rPr>
                <w:sz w:val="20"/>
                <w:lang w:val="en-GB"/>
              </w:rPr>
              <w:t xml:space="preserve">(based on </w:t>
            </w:r>
            <w:r w:rsidR="00565585" w:rsidRPr="00565585">
              <w:rPr>
                <w:sz w:val="20"/>
                <w:highlight w:val="green"/>
                <w:lang w:val="en-GB"/>
              </w:rPr>
              <w:t>measured LD</w:t>
            </w:r>
            <w:r w:rsidR="00565585" w:rsidRPr="00565585">
              <w:rPr>
                <w:sz w:val="20"/>
                <w:highlight w:val="green"/>
                <w:vertAlign w:val="subscript"/>
                <w:lang w:val="en-GB"/>
              </w:rPr>
              <w:t>50</w:t>
            </w:r>
            <w:r w:rsidR="00DC5685" w:rsidRPr="00A34F10">
              <w:rPr>
                <w:sz w:val="20"/>
                <w:lang w:val="en-GB"/>
              </w:rPr>
              <w:t>)</w:t>
            </w:r>
          </w:p>
        </w:tc>
      </w:tr>
      <w:tr w:rsidR="00DC5685" w:rsidRPr="00A34F10" w14:paraId="28FFF239" w14:textId="77777777" w:rsidTr="000470C3">
        <w:tc>
          <w:tcPr>
            <w:tcW w:w="1496" w:type="pct"/>
            <w:gridSpan w:val="2"/>
            <w:tcBorders>
              <w:top w:val="nil"/>
            </w:tcBorders>
          </w:tcPr>
          <w:p w14:paraId="7225E569" w14:textId="77777777" w:rsidR="00DC5685" w:rsidRPr="00A34F10" w:rsidRDefault="00DC5685" w:rsidP="000470C3">
            <w:pPr>
              <w:keepNext/>
              <w:keepLines/>
              <w:widowControl w:val="0"/>
              <w:rPr>
                <w:b/>
                <w:bCs/>
                <w:sz w:val="20"/>
                <w:szCs w:val="20"/>
                <w:lang w:val="en-GB"/>
              </w:rPr>
            </w:pPr>
            <w:r w:rsidRPr="00A34F10">
              <w:rPr>
                <w:b/>
                <w:bCs/>
                <w:sz w:val="20"/>
                <w:szCs w:val="20"/>
                <w:lang w:val="en-GB"/>
              </w:rPr>
              <w:t>TER criterion</w:t>
            </w:r>
          </w:p>
        </w:tc>
        <w:tc>
          <w:tcPr>
            <w:tcW w:w="3504" w:type="pct"/>
            <w:gridSpan w:val="5"/>
            <w:tcBorders>
              <w:top w:val="nil"/>
            </w:tcBorders>
          </w:tcPr>
          <w:p w14:paraId="32DED0E0" w14:textId="77777777" w:rsidR="00DC5685" w:rsidRPr="00A34F10" w:rsidRDefault="00DC5685" w:rsidP="000470C3">
            <w:pPr>
              <w:keepNext/>
              <w:keepLines/>
              <w:widowControl w:val="0"/>
              <w:rPr>
                <w:sz w:val="20"/>
                <w:lang w:val="en-GB"/>
              </w:rPr>
            </w:pPr>
            <w:r w:rsidRPr="00A34F10">
              <w:rPr>
                <w:sz w:val="20"/>
                <w:lang w:val="en-GB"/>
              </w:rPr>
              <w:t>10</w:t>
            </w:r>
          </w:p>
        </w:tc>
      </w:tr>
      <w:tr w:rsidR="00DC5685" w:rsidRPr="00A34F10" w14:paraId="0EF7B52F" w14:textId="77777777" w:rsidTr="000470C3">
        <w:tc>
          <w:tcPr>
            <w:tcW w:w="999" w:type="pct"/>
          </w:tcPr>
          <w:p w14:paraId="7DFC4E2B" w14:textId="77777777" w:rsidR="00DC5685" w:rsidRPr="00A34F10" w:rsidRDefault="00DC5685" w:rsidP="000470C3">
            <w:pPr>
              <w:keepNext/>
              <w:keepLines/>
              <w:widowControl w:val="0"/>
              <w:rPr>
                <w:b/>
                <w:bCs/>
                <w:sz w:val="20"/>
                <w:szCs w:val="20"/>
                <w:lang w:val="en-GB"/>
              </w:rPr>
            </w:pPr>
            <w:r w:rsidRPr="00A34F10">
              <w:rPr>
                <w:b/>
                <w:bCs/>
                <w:sz w:val="20"/>
                <w:szCs w:val="20"/>
                <w:lang w:val="en-GB"/>
              </w:rPr>
              <w:t>Crop scenario</w:t>
            </w:r>
          </w:p>
        </w:tc>
        <w:tc>
          <w:tcPr>
            <w:tcW w:w="1500" w:type="pct"/>
            <w:gridSpan w:val="2"/>
          </w:tcPr>
          <w:p w14:paraId="534FC32D" w14:textId="77777777" w:rsidR="00DC5685" w:rsidRPr="00A34F10" w:rsidRDefault="00DC5685" w:rsidP="000470C3">
            <w:pPr>
              <w:keepNext/>
              <w:keepLines/>
              <w:widowControl w:val="0"/>
              <w:rPr>
                <w:b/>
                <w:bCs/>
                <w:sz w:val="20"/>
                <w:szCs w:val="20"/>
                <w:lang w:val="en-GB"/>
              </w:rPr>
            </w:pPr>
            <w:r w:rsidRPr="00A34F10">
              <w:rPr>
                <w:b/>
                <w:bCs/>
                <w:sz w:val="20"/>
                <w:szCs w:val="20"/>
                <w:lang w:val="en-GB"/>
              </w:rPr>
              <w:t>Indicator species</w:t>
            </w:r>
          </w:p>
        </w:tc>
        <w:tc>
          <w:tcPr>
            <w:tcW w:w="625" w:type="pct"/>
          </w:tcPr>
          <w:p w14:paraId="35FF836B" w14:textId="77777777" w:rsidR="00DC5685" w:rsidRPr="00A34F10" w:rsidRDefault="00DC5685" w:rsidP="000470C3">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90</w:t>
            </w:r>
          </w:p>
        </w:tc>
        <w:tc>
          <w:tcPr>
            <w:tcW w:w="625" w:type="pct"/>
          </w:tcPr>
          <w:p w14:paraId="26617331" w14:textId="77777777" w:rsidR="00DC5685" w:rsidRPr="00A34F10" w:rsidRDefault="00DC5685" w:rsidP="000470C3">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90</w:t>
            </w:r>
          </w:p>
        </w:tc>
        <w:tc>
          <w:tcPr>
            <w:tcW w:w="625" w:type="pct"/>
          </w:tcPr>
          <w:p w14:paraId="038CF80B" w14:textId="77777777" w:rsidR="00DC5685" w:rsidRPr="00A34F10" w:rsidRDefault="00DC5685" w:rsidP="000470C3">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90</w:t>
            </w:r>
          </w:p>
          <w:p w14:paraId="52147E49" w14:textId="77777777" w:rsidR="00DC5685" w:rsidRPr="00A34F10" w:rsidRDefault="00DC5685" w:rsidP="000470C3">
            <w:pPr>
              <w:keepNext/>
              <w:keepLines/>
              <w:widowControl w:val="0"/>
              <w:rPr>
                <w:b/>
                <w:bCs/>
                <w:sz w:val="16"/>
                <w:szCs w:val="16"/>
                <w:lang w:val="de-DE"/>
              </w:rPr>
            </w:pPr>
            <w:r w:rsidRPr="00A34F10">
              <w:rPr>
                <w:b/>
                <w:bCs/>
                <w:sz w:val="16"/>
                <w:szCs w:val="16"/>
                <w:lang w:val="de-DE"/>
              </w:rPr>
              <w:t>(mg/kg bw/d)</w:t>
            </w:r>
          </w:p>
        </w:tc>
        <w:tc>
          <w:tcPr>
            <w:tcW w:w="627" w:type="pct"/>
          </w:tcPr>
          <w:p w14:paraId="773D8A83" w14:textId="77777777" w:rsidR="00DC5685" w:rsidRPr="00A34F10" w:rsidRDefault="00DC5685" w:rsidP="000470C3">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453E2A0E" w14:textId="77777777" w:rsidTr="000470C3">
        <w:tc>
          <w:tcPr>
            <w:tcW w:w="999" w:type="pct"/>
          </w:tcPr>
          <w:p w14:paraId="4FEE8DA3" w14:textId="28DD8796" w:rsidR="00DC5685" w:rsidRPr="008A3AA0" w:rsidRDefault="00DC5685" w:rsidP="000470C3">
            <w:pPr>
              <w:keepNext/>
              <w:keepLines/>
              <w:widowControl w:val="0"/>
              <w:rPr>
                <w:strike/>
                <w:sz w:val="20"/>
                <w:lang w:val="en-GB"/>
              </w:rPr>
            </w:pPr>
            <w:r w:rsidRPr="008A3AA0">
              <w:rPr>
                <w:bCs/>
                <w:strike/>
                <w:sz w:val="20"/>
                <w:szCs w:val="20"/>
                <w:highlight w:val="green"/>
                <w:lang w:val="en-GB"/>
              </w:rPr>
              <w:t>Fruiting vegetables</w:t>
            </w:r>
            <w:r w:rsidR="00241167" w:rsidRPr="008A3AA0">
              <w:rPr>
                <w:bCs/>
                <w:strike/>
                <w:sz w:val="20"/>
                <w:szCs w:val="20"/>
                <w:highlight w:val="green"/>
                <w:lang w:val="en-GB"/>
              </w:rPr>
              <w:t xml:space="preserve"> </w:t>
            </w:r>
            <w:r w:rsidR="00241167" w:rsidRPr="008A3AA0">
              <w:rPr>
                <w:bCs/>
                <w:sz w:val="20"/>
                <w:szCs w:val="20"/>
                <w:highlight w:val="green"/>
                <w:lang w:val="en-GB"/>
              </w:rPr>
              <w:t>Potato</w:t>
            </w:r>
          </w:p>
        </w:tc>
        <w:tc>
          <w:tcPr>
            <w:tcW w:w="1500" w:type="pct"/>
            <w:gridSpan w:val="2"/>
          </w:tcPr>
          <w:p w14:paraId="0DBC7D96" w14:textId="77777777" w:rsidR="00DC5685" w:rsidRPr="00A34F10" w:rsidRDefault="00DC5685" w:rsidP="000470C3">
            <w:pPr>
              <w:keepNext/>
              <w:keepLines/>
              <w:autoSpaceDE w:val="0"/>
              <w:autoSpaceDN w:val="0"/>
              <w:adjustRightInd w:val="0"/>
              <w:rPr>
                <w:color w:val="000000"/>
                <w:sz w:val="20"/>
                <w:szCs w:val="20"/>
                <w:lang w:val="en-GB"/>
              </w:rPr>
            </w:pPr>
            <w:r w:rsidRPr="00A34F10">
              <w:rPr>
                <w:sz w:val="20"/>
                <w:lang w:val="en-GB"/>
              </w:rPr>
              <w:t>Small herbivorous mammal</w:t>
            </w:r>
            <w:r w:rsidRPr="00A34F10">
              <w:rPr>
                <w:color w:val="000000"/>
                <w:sz w:val="20"/>
                <w:szCs w:val="20"/>
                <w:lang w:val="en-GB"/>
              </w:rPr>
              <w:t xml:space="preserve"> </w:t>
            </w:r>
          </w:p>
        </w:tc>
        <w:tc>
          <w:tcPr>
            <w:tcW w:w="625" w:type="pct"/>
          </w:tcPr>
          <w:p w14:paraId="132A8F07" w14:textId="77777777" w:rsidR="00DC5685" w:rsidRPr="00A34F10" w:rsidRDefault="00DC5685" w:rsidP="000470C3">
            <w:pPr>
              <w:keepNext/>
              <w:keepLines/>
              <w:widowControl w:val="0"/>
              <w:rPr>
                <w:sz w:val="20"/>
                <w:lang w:val="en-GB"/>
              </w:rPr>
            </w:pPr>
            <w:r w:rsidRPr="00A34F10">
              <w:rPr>
                <w:sz w:val="20"/>
                <w:lang w:val="en-GB"/>
              </w:rPr>
              <w:t>118.4</w:t>
            </w:r>
          </w:p>
        </w:tc>
        <w:tc>
          <w:tcPr>
            <w:tcW w:w="625" w:type="pct"/>
          </w:tcPr>
          <w:p w14:paraId="62BDC779" w14:textId="77777777" w:rsidR="00DC5685" w:rsidRPr="00A34F10" w:rsidRDefault="00DC5685" w:rsidP="000470C3">
            <w:pPr>
              <w:keepNext/>
              <w:keepLines/>
              <w:widowControl w:val="0"/>
              <w:rPr>
                <w:sz w:val="20"/>
                <w:lang w:val="en-GB"/>
              </w:rPr>
            </w:pPr>
            <w:r w:rsidRPr="00A34F10">
              <w:rPr>
                <w:sz w:val="20"/>
                <w:lang w:val="en-GB"/>
              </w:rPr>
              <w:t>1.79</w:t>
            </w:r>
          </w:p>
        </w:tc>
        <w:tc>
          <w:tcPr>
            <w:tcW w:w="625" w:type="pct"/>
          </w:tcPr>
          <w:p w14:paraId="259A552F" w14:textId="77777777" w:rsidR="00DC5685" w:rsidRPr="00A34F10" w:rsidRDefault="00DC5685" w:rsidP="000470C3">
            <w:pPr>
              <w:keepNext/>
              <w:keepLines/>
              <w:widowControl w:val="0"/>
              <w:rPr>
                <w:sz w:val="20"/>
                <w:lang w:val="en-GB"/>
              </w:rPr>
            </w:pPr>
            <w:r w:rsidRPr="00A34F10">
              <w:rPr>
                <w:sz w:val="20"/>
                <w:lang w:val="en-GB"/>
              </w:rPr>
              <w:t>242.36</w:t>
            </w:r>
          </w:p>
        </w:tc>
        <w:tc>
          <w:tcPr>
            <w:tcW w:w="627" w:type="pct"/>
          </w:tcPr>
          <w:p w14:paraId="2CC2B8F4" w14:textId="163D851F" w:rsidR="00DC5685" w:rsidRPr="00565585" w:rsidRDefault="00E72A5B" w:rsidP="000470C3">
            <w:pPr>
              <w:keepNext/>
              <w:keepLines/>
              <w:widowControl w:val="0"/>
              <w:rPr>
                <w:b/>
                <w:bCs/>
                <w:color w:val="4472C4" w:themeColor="accent1"/>
                <w:sz w:val="20"/>
                <w:lang w:val="en-GB"/>
              </w:rPr>
            </w:pPr>
            <w:r>
              <w:rPr>
                <w:b/>
                <w:bCs/>
                <w:sz w:val="20"/>
                <w:highlight w:val="green"/>
                <w:lang w:val="en-GB"/>
              </w:rPr>
              <w:t xml:space="preserve">&lt; </w:t>
            </w:r>
            <w:r w:rsidR="008A3AA0" w:rsidRPr="00A34F10">
              <w:rPr>
                <w:b/>
                <w:bCs/>
                <w:sz w:val="20"/>
                <w:lang w:val="en-GB"/>
              </w:rPr>
              <w:t>5.0</w:t>
            </w:r>
          </w:p>
        </w:tc>
      </w:tr>
    </w:tbl>
    <w:p w14:paraId="7CE02483"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3DE5B618" w14:textId="01DA8FFC" w:rsidR="00DC5685" w:rsidRDefault="00DC5685" w:rsidP="00D841CC">
      <w:pPr>
        <w:widowControl w:val="0"/>
        <w:tabs>
          <w:tab w:val="left" w:pos="0"/>
        </w:tabs>
        <w:rPr>
          <w:bCs/>
          <w:sz w:val="18"/>
          <w:szCs w:val="18"/>
          <w:lang w:val="en-GB"/>
        </w:rPr>
      </w:pPr>
    </w:p>
    <w:p w14:paraId="3576FFC7" w14:textId="41C55E8F" w:rsidR="008A3AA0" w:rsidRPr="00A34F10" w:rsidRDefault="008A3AA0" w:rsidP="008A3AA0">
      <w:pPr>
        <w:keepNext/>
        <w:keepLines/>
        <w:widowControl w:val="0"/>
        <w:tabs>
          <w:tab w:val="left" w:pos="1985"/>
        </w:tabs>
        <w:spacing w:before="200" w:after="120"/>
        <w:ind w:left="1985" w:hanging="1985"/>
        <w:rPr>
          <w:b/>
          <w:bCs/>
          <w:lang w:val="en-GB"/>
        </w:rPr>
      </w:pPr>
      <w:r w:rsidRPr="00D841CC">
        <w:rPr>
          <w:b/>
          <w:bCs/>
          <w:highlight w:val="green"/>
          <w:lang w:val="en-GB"/>
        </w:rPr>
        <w:lastRenderedPageBreak/>
        <w:t xml:space="preserve">Table </w:t>
      </w:r>
      <w:r w:rsidRPr="00D841CC">
        <w:rPr>
          <w:b/>
          <w:bCs/>
          <w:highlight w:val="green"/>
          <w:lang w:val="en-GB"/>
        </w:rPr>
        <w:fldChar w:fldCharType="begin"/>
      </w:r>
      <w:r w:rsidRPr="00D841CC">
        <w:rPr>
          <w:b/>
          <w:bCs/>
          <w:highlight w:val="green"/>
          <w:lang w:val="en-GB"/>
        </w:rPr>
        <w:instrText xml:space="preserve"> STYLEREF 2 \s </w:instrText>
      </w:r>
      <w:r w:rsidRPr="00D841CC">
        <w:rPr>
          <w:b/>
          <w:bCs/>
          <w:highlight w:val="green"/>
          <w:lang w:val="en-GB"/>
        </w:rPr>
        <w:fldChar w:fldCharType="separate"/>
      </w:r>
      <w:r w:rsidR="006F0F3B">
        <w:rPr>
          <w:b/>
          <w:bCs/>
          <w:noProof/>
          <w:highlight w:val="green"/>
          <w:lang w:val="en-GB"/>
        </w:rPr>
        <w:t>9.3</w:t>
      </w:r>
      <w:r w:rsidRPr="00D841CC">
        <w:rPr>
          <w:b/>
          <w:bCs/>
          <w:highlight w:val="green"/>
          <w:lang w:val="en-GB"/>
        </w:rPr>
        <w:fldChar w:fldCharType="end"/>
      </w:r>
      <w:r w:rsidRPr="00D841CC">
        <w:rPr>
          <w:b/>
          <w:bCs/>
          <w:highlight w:val="green"/>
          <w:lang w:val="en-GB"/>
        </w:rPr>
        <w:noBreakHyphen/>
        <w:t xml:space="preserve">14: </w:t>
      </w:r>
      <w:r w:rsidRPr="00D841CC">
        <w:rPr>
          <w:b/>
          <w:bCs/>
          <w:highlight w:val="green"/>
          <w:lang w:val="en-GB"/>
        </w:rPr>
        <w:tab/>
        <w:t xml:space="preserve">BAS 743 03 F: Screening assessment of the acute risk for mammals due to the worst-case use of BAS 743 03 F in </w:t>
      </w:r>
      <w:r w:rsidR="00D841CC" w:rsidRPr="00D841CC">
        <w:rPr>
          <w:b/>
          <w:bCs/>
          <w:highlight w:val="green"/>
          <w:lang w:val="en-GB"/>
        </w:rPr>
        <w:t xml:space="preserve">minor uses </w:t>
      </w:r>
      <w:r w:rsidRPr="00D841CC">
        <w:rPr>
          <w:b/>
          <w:bCs/>
          <w:highlight w:val="green"/>
          <w:lang w:val="en-GB"/>
        </w:rPr>
        <w:t>(</w:t>
      </w:r>
      <w:r w:rsidR="00D841CC" w:rsidRPr="00D841CC">
        <w:rPr>
          <w:b/>
          <w:bCs/>
          <w:highlight w:val="green"/>
          <w:lang w:val="en-GB"/>
        </w:rPr>
        <w:t>2</w:t>
      </w:r>
      <w:r w:rsidRPr="00D841CC">
        <w:rPr>
          <w:b/>
          <w:bCs/>
          <w:highlight w:val="green"/>
          <w:lang w:val="en-GB"/>
        </w:rPr>
        <w:t xml:space="preserve"> × 2.0 L product/ha)</w:t>
      </w:r>
      <w:r w:rsidRPr="00A34F10">
        <w:rPr>
          <w:b/>
          <w:bCs/>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870"/>
        <w:gridCol w:w="930"/>
        <w:gridCol w:w="1875"/>
        <w:gridCol w:w="1168"/>
        <w:gridCol w:w="1168"/>
        <w:gridCol w:w="1168"/>
        <w:gridCol w:w="1168"/>
      </w:tblGrid>
      <w:tr w:rsidR="008A3AA0" w:rsidRPr="00A34F10" w14:paraId="76BD223A" w14:textId="77777777" w:rsidTr="00D841CC">
        <w:tc>
          <w:tcPr>
            <w:tcW w:w="1497" w:type="pct"/>
            <w:gridSpan w:val="2"/>
            <w:tcBorders>
              <w:bottom w:val="nil"/>
            </w:tcBorders>
          </w:tcPr>
          <w:p w14:paraId="313F3C2D"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Intended use</w:t>
            </w:r>
          </w:p>
        </w:tc>
        <w:tc>
          <w:tcPr>
            <w:tcW w:w="3503" w:type="pct"/>
            <w:gridSpan w:val="5"/>
            <w:tcBorders>
              <w:bottom w:val="nil"/>
            </w:tcBorders>
          </w:tcPr>
          <w:p w14:paraId="61F45DBE" w14:textId="77572A41" w:rsidR="008A3AA0" w:rsidRPr="00D841CC" w:rsidRDefault="00D841CC" w:rsidP="00062954">
            <w:pPr>
              <w:keepNext/>
              <w:keepLines/>
              <w:widowControl w:val="0"/>
              <w:rPr>
                <w:sz w:val="20"/>
                <w:highlight w:val="green"/>
                <w:lang w:val="en-GB"/>
              </w:rPr>
            </w:pPr>
            <w:r w:rsidRPr="00D841CC">
              <w:rPr>
                <w:bCs/>
                <w:sz w:val="20"/>
                <w:szCs w:val="20"/>
                <w:highlight w:val="green"/>
                <w:lang w:val="en-GB"/>
              </w:rPr>
              <w:t>Ornamentals and orchards</w:t>
            </w:r>
          </w:p>
        </w:tc>
      </w:tr>
      <w:tr w:rsidR="008A3AA0" w:rsidRPr="00A34F10" w14:paraId="5123F006" w14:textId="77777777" w:rsidTr="00D841CC">
        <w:tc>
          <w:tcPr>
            <w:tcW w:w="1497" w:type="pct"/>
            <w:gridSpan w:val="2"/>
            <w:tcBorders>
              <w:top w:val="nil"/>
              <w:bottom w:val="nil"/>
            </w:tcBorders>
          </w:tcPr>
          <w:p w14:paraId="50D713F7"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Formulation</w:t>
            </w:r>
          </w:p>
        </w:tc>
        <w:tc>
          <w:tcPr>
            <w:tcW w:w="3503" w:type="pct"/>
            <w:gridSpan w:val="5"/>
            <w:tcBorders>
              <w:top w:val="nil"/>
              <w:bottom w:val="nil"/>
            </w:tcBorders>
          </w:tcPr>
          <w:p w14:paraId="6625BF2C" w14:textId="77777777" w:rsidR="008A3AA0" w:rsidRPr="00D841CC" w:rsidRDefault="008A3AA0" w:rsidP="00062954">
            <w:pPr>
              <w:keepNext/>
              <w:keepLines/>
              <w:widowControl w:val="0"/>
              <w:rPr>
                <w:sz w:val="20"/>
                <w:highlight w:val="green"/>
                <w:lang w:val="en-GB"/>
              </w:rPr>
            </w:pPr>
            <w:r w:rsidRPr="00D841CC">
              <w:rPr>
                <w:sz w:val="20"/>
                <w:highlight w:val="green"/>
                <w:lang w:val="en-GB"/>
              </w:rPr>
              <w:t>BAS 743 02 F</w:t>
            </w:r>
          </w:p>
        </w:tc>
      </w:tr>
      <w:tr w:rsidR="008A3AA0" w:rsidRPr="00A34F10" w14:paraId="6543F553" w14:textId="77777777" w:rsidTr="00D841CC">
        <w:tc>
          <w:tcPr>
            <w:tcW w:w="1497" w:type="pct"/>
            <w:gridSpan w:val="2"/>
            <w:tcBorders>
              <w:top w:val="nil"/>
              <w:bottom w:val="single" w:sz="4" w:space="0" w:color="auto"/>
            </w:tcBorders>
          </w:tcPr>
          <w:p w14:paraId="6ABBE560"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Application rate (g/ha)</w:t>
            </w:r>
          </w:p>
        </w:tc>
        <w:tc>
          <w:tcPr>
            <w:tcW w:w="3503" w:type="pct"/>
            <w:gridSpan w:val="5"/>
            <w:tcBorders>
              <w:top w:val="nil"/>
              <w:bottom w:val="single" w:sz="4" w:space="0" w:color="auto"/>
            </w:tcBorders>
          </w:tcPr>
          <w:p w14:paraId="455B93DA" w14:textId="6663D3FA" w:rsidR="008A3AA0" w:rsidRPr="00D841CC" w:rsidRDefault="00D841CC" w:rsidP="00062954">
            <w:pPr>
              <w:keepNext/>
              <w:keepLines/>
              <w:widowControl w:val="0"/>
              <w:rPr>
                <w:sz w:val="20"/>
                <w:highlight w:val="green"/>
                <w:lang w:val="en-GB"/>
              </w:rPr>
            </w:pPr>
            <w:r w:rsidRPr="00D841CC">
              <w:rPr>
                <w:sz w:val="20"/>
                <w:highlight w:val="green"/>
                <w:lang w:val="en-GB"/>
              </w:rPr>
              <w:t>2</w:t>
            </w:r>
            <w:r w:rsidR="008A3AA0" w:rsidRPr="00D841CC">
              <w:rPr>
                <w:sz w:val="20"/>
                <w:highlight w:val="green"/>
                <w:lang w:val="en-GB"/>
              </w:rPr>
              <w:t xml:space="preserve"> × ∑ 902 + 240</w:t>
            </w:r>
          </w:p>
        </w:tc>
      </w:tr>
      <w:tr w:rsidR="008A3AA0" w:rsidRPr="00A34F10" w14:paraId="7149B8FE" w14:textId="77777777" w:rsidTr="00D841CC">
        <w:tc>
          <w:tcPr>
            <w:tcW w:w="1497" w:type="pct"/>
            <w:gridSpan w:val="2"/>
            <w:tcBorders>
              <w:bottom w:val="nil"/>
            </w:tcBorders>
          </w:tcPr>
          <w:p w14:paraId="7B2756E7"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Acute toxicity (mg/kg bw)</w:t>
            </w:r>
          </w:p>
        </w:tc>
        <w:tc>
          <w:tcPr>
            <w:tcW w:w="3503" w:type="pct"/>
            <w:gridSpan w:val="5"/>
            <w:tcBorders>
              <w:bottom w:val="nil"/>
            </w:tcBorders>
          </w:tcPr>
          <w:p w14:paraId="2F3DCF62" w14:textId="77777777" w:rsidR="008A3AA0" w:rsidRPr="00D841CC" w:rsidRDefault="008A3AA0" w:rsidP="00062954">
            <w:pPr>
              <w:keepNext/>
              <w:keepLines/>
              <w:widowControl w:val="0"/>
              <w:rPr>
                <w:sz w:val="20"/>
                <w:highlight w:val="green"/>
                <w:lang w:val="en-GB"/>
              </w:rPr>
            </w:pPr>
            <w:r w:rsidRPr="00D841CC">
              <w:rPr>
                <w:sz w:val="20"/>
                <w:highlight w:val="green"/>
                <w:lang w:val="en-GB"/>
              </w:rPr>
              <w:t>&gt; 1208.3 (based on measured LD</w:t>
            </w:r>
            <w:r w:rsidRPr="00D841CC">
              <w:rPr>
                <w:sz w:val="20"/>
                <w:highlight w:val="green"/>
                <w:vertAlign w:val="subscript"/>
                <w:lang w:val="en-GB"/>
              </w:rPr>
              <w:t>50</w:t>
            </w:r>
            <w:r w:rsidRPr="00D841CC">
              <w:rPr>
                <w:sz w:val="20"/>
                <w:highlight w:val="green"/>
                <w:lang w:val="en-GB"/>
              </w:rPr>
              <w:t>)</w:t>
            </w:r>
          </w:p>
        </w:tc>
      </w:tr>
      <w:tr w:rsidR="008A3AA0" w:rsidRPr="00A34F10" w14:paraId="2D42C87B" w14:textId="77777777" w:rsidTr="00D841CC">
        <w:tc>
          <w:tcPr>
            <w:tcW w:w="1497" w:type="pct"/>
            <w:gridSpan w:val="2"/>
            <w:tcBorders>
              <w:top w:val="nil"/>
            </w:tcBorders>
          </w:tcPr>
          <w:p w14:paraId="344AD2AC"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TER criterion</w:t>
            </w:r>
          </w:p>
        </w:tc>
        <w:tc>
          <w:tcPr>
            <w:tcW w:w="3503" w:type="pct"/>
            <w:gridSpan w:val="5"/>
            <w:tcBorders>
              <w:top w:val="nil"/>
            </w:tcBorders>
          </w:tcPr>
          <w:p w14:paraId="3580E7A0" w14:textId="77777777" w:rsidR="008A3AA0" w:rsidRPr="00D841CC" w:rsidRDefault="008A3AA0" w:rsidP="00062954">
            <w:pPr>
              <w:keepNext/>
              <w:keepLines/>
              <w:widowControl w:val="0"/>
              <w:rPr>
                <w:sz w:val="20"/>
                <w:highlight w:val="green"/>
                <w:lang w:val="en-GB"/>
              </w:rPr>
            </w:pPr>
            <w:r w:rsidRPr="00D841CC">
              <w:rPr>
                <w:sz w:val="20"/>
                <w:highlight w:val="green"/>
                <w:lang w:val="en-GB"/>
              </w:rPr>
              <w:t>10</w:t>
            </w:r>
          </w:p>
        </w:tc>
      </w:tr>
      <w:tr w:rsidR="008A3AA0" w:rsidRPr="00D841CC" w14:paraId="1FB2E692" w14:textId="77777777" w:rsidTr="00D841CC">
        <w:tc>
          <w:tcPr>
            <w:tcW w:w="1000" w:type="pct"/>
          </w:tcPr>
          <w:p w14:paraId="7611EAFA"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Crop scenario</w:t>
            </w:r>
          </w:p>
        </w:tc>
        <w:tc>
          <w:tcPr>
            <w:tcW w:w="1500" w:type="pct"/>
            <w:gridSpan w:val="2"/>
          </w:tcPr>
          <w:p w14:paraId="28705FEC"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Indicator species</w:t>
            </w:r>
          </w:p>
        </w:tc>
        <w:tc>
          <w:tcPr>
            <w:tcW w:w="625" w:type="pct"/>
          </w:tcPr>
          <w:p w14:paraId="7A1CB82C"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SV</w:t>
            </w:r>
            <w:r w:rsidRPr="00D841CC">
              <w:rPr>
                <w:b/>
                <w:bCs/>
                <w:sz w:val="20"/>
                <w:szCs w:val="20"/>
                <w:highlight w:val="green"/>
                <w:vertAlign w:val="subscript"/>
                <w:lang w:val="en-GB"/>
              </w:rPr>
              <w:t>90</w:t>
            </w:r>
          </w:p>
        </w:tc>
        <w:tc>
          <w:tcPr>
            <w:tcW w:w="625" w:type="pct"/>
          </w:tcPr>
          <w:p w14:paraId="3AD26F37"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MAF</w:t>
            </w:r>
            <w:r w:rsidRPr="00D841CC">
              <w:rPr>
                <w:b/>
                <w:bCs/>
                <w:sz w:val="20"/>
                <w:szCs w:val="20"/>
                <w:highlight w:val="green"/>
                <w:vertAlign w:val="subscript"/>
                <w:lang w:val="en-GB"/>
              </w:rPr>
              <w:t>90</w:t>
            </w:r>
          </w:p>
        </w:tc>
        <w:tc>
          <w:tcPr>
            <w:tcW w:w="625" w:type="pct"/>
          </w:tcPr>
          <w:p w14:paraId="360154F1" w14:textId="77777777" w:rsidR="008A3AA0" w:rsidRPr="00D841CC" w:rsidRDefault="008A3AA0" w:rsidP="00062954">
            <w:pPr>
              <w:keepNext/>
              <w:keepLines/>
              <w:widowControl w:val="0"/>
              <w:rPr>
                <w:b/>
                <w:bCs/>
                <w:sz w:val="20"/>
                <w:szCs w:val="20"/>
                <w:highlight w:val="green"/>
                <w:lang w:val="de-DE"/>
              </w:rPr>
            </w:pPr>
            <w:r w:rsidRPr="00D841CC">
              <w:rPr>
                <w:b/>
                <w:bCs/>
                <w:sz w:val="20"/>
                <w:szCs w:val="20"/>
                <w:highlight w:val="green"/>
                <w:lang w:val="de-DE"/>
              </w:rPr>
              <w:t>DDD</w:t>
            </w:r>
            <w:r w:rsidRPr="00D841CC">
              <w:rPr>
                <w:b/>
                <w:bCs/>
                <w:sz w:val="20"/>
                <w:szCs w:val="20"/>
                <w:highlight w:val="green"/>
                <w:vertAlign w:val="subscript"/>
                <w:lang w:val="de-DE"/>
              </w:rPr>
              <w:t>90</w:t>
            </w:r>
          </w:p>
          <w:p w14:paraId="6C2471B9" w14:textId="77777777" w:rsidR="008A3AA0" w:rsidRPr="00D841CC" w:rsidRDefault="008A3AA0" w:rsidP="00062954">
            <w:pPr>
              <w:keepNext/>
              <w:keepLines/>
              <w:widowControl w:val="0"/>
              <w:rPr>
                <w:b/>
                <w:bCs/>
                <w:sz w:val="16"/>
                <w:szCs w:val="16"/>
                <w:highlight w:val="green"/>
                <w:lang w:val="de-DE"/>
              </w:rPr>
            </w:pPr>
            <w:r w:rsidRPr="00D841CC">
              <w:rPr>
                <w:b/>
                <w:bCs/>
                <w:sz w:val="16"/>
                <w:szCs w:val="16"/>
                <w:highlight w:val="green"/>
                <w:lang w:val="de-DE"/>
              </w:rPr>
              <w:t>(mg/kg bw/d)</w:t>
            </w:r>
          </w:p>
        </w:tc>
        <w:tc>
          <w:tcPr>
            <w:tcW w:w="626" w:type="pct"/>
          </w:tcPr>
          <w:p w14:paraId="4D2BADAF" w14:textId="77777777" w:rsidR="008A3AA0" w:rsidRPr="00D841CC" w:rsidRDefault="008A3AA0" w:rsidP="00062954">
            <w:pPr>
              <w:keepNext/>
              <w:keepLines/>
              <w:widowControl w:val="0"/>
              <w:rPr>
                <w:b/>
                <w:bCs/>
                <w:sz w:val="20"/>
                <w:szCs w:val="20"/>
                <w:highlight w:val="green"/>
                <w:lang w:val="en-GB"/>
              </w:rPr>
            </w:pPr>
            <w:r w:rsidRPr="00D841CC">
              <w:rPr>
                <w:b/>
                <w:bCs/>
                <w:sz w:val="20"/>
                <w:szCs w:val="20"/>
                <w:highlight w:val="green"/>
                <w:lang w:val="en-GB"/>
              </w:rPr>
              <w:t>TER</w:t>
            </w:r>
            <w:r w:rsidRPr="00D841CC">
              <w:rPr>
                <w:b/>
                <w:bCs/>
                <w:sz w:val="20"/>
                <w:szCs w:val="20"/>
                <w:highlight w:val="green"/>
                <w:vertAlign w:val="subscript"/>
                <w:lang w:val="en-GB"/>
              </w:rPr>
              <w:t>a</w:t>
            </w:r>
          </w:p>
        </w:tc>
      </w:tr>
      <w:tr w:rsidR="00D841CC" w:rsidRPr="00D841CC" w14:paraId="7ACB9819" w14:textId="77777777" w:rsidTr="00D841CC">
        <w:tc>
          <w:tcPr>
            <w:tcW w:w="1000" w:type="pct"/>
          </w:tcPr>
          <w:p w14:paraId="2D443A45" w14:textId="4DFAA2EA" w:rsidR="00D841CC" w:rsidRPr="00D841CC" w:rsidRDefault="00D841CC" w:rsidP="00D841CC">
            <w:pPr>
              <w:keepNext/>
              <w:keepLines/>
              <w:widowControl w:val="0"/>
              <w:rPr>
                <w:strike/>
                <w:sz w:val="20"/>
                <w:highlight w:val="green"/>
                <w:lang w:val="en-GB"/>
              </w:rPr>
            </w:pPr>
            <w:r w:rsidRPr="00D841CC">
              <w:rPr>
                <w:bCs/>
                <w:sz w:val="20"/>
                <w:szCs w:val="20"/>
                <w:highlight w:val="green"/>
                <w:lang w:val="en-GB"/>
              </w:rPr>
              <w:t>Ornamentals and orchards</w:t>
            </w:r>
          </w:p>
        </w:tc>
        <w:tc>
          <w:tcPr>
            <w:tcW w:w="1500" w:type="pct"/>
            <w:gridSpan w:val="2"/>
          </w:tcPr>
          <w:p w14:paraId="2D7C2AA1" w14:textId="77777777" w:rsidR="00D841CC" w:rsidRPr="00D841CC" w:rsidRDefault="00D841CC" w:rsidP="00D841CC">
            <w:pPr>
              <w:keepNext/>
              <w:keepLines/>
              <w:autoSpaceDE w:val="0"/>
              <w:autoSpaceDN w:val="0"/>
              <w:adjustRightInd w:val="0"/>
              <w:rPr>
                <w:color w:val="000000"/>
                <w:sz w:val="20"/>
                <w:szCs w:val="20"/>
                <w:highlight w:val="green"/>
                <w:lang w:val="en-GB"/>
              </w:rPr>
            </w:pPr>
            <w:r w:rsidRPr="00D841CC">
              <w:rPr>
                <w:sz w:val="20"/>
                <w:highlight w:val="green"/>
                <w:lang w:val="en-GB"/>
              </w:rPr>
              <w:t>Small herbivorous mammal</w:t>
            </w:r>
            <w:r w:rsidRPr="00D841CC">
              <w:rPr>
                <w:color w:val="000000"/>
                <w:sz w:val="20"/>
                <w:szCs w:val="20"/>
                <w:highlight w:val="green"/>
                <w:lang w:val="en-GB"/>
              </w:rPr>
              <w:t xml:space="preserve"> </w:t>
            </w:r>
          </w:p>
        </w:tc>
        <w:tc>
          <w:tcPr>
            <w:tcW w:w="625" w:type="pct"/>
          </w:tcPr>
          <w:p w14:paraId="0F7C39DC" w14:textId="5CF2B7C3" w:rsidR="00D841CC" w:rsidRPr="00D841CC" w:rsidRDefault="00D841CC" w:rsidP="00D841CC">
            <w:pPr>
              <w:keepNext/>
              <w:keepLines/>
              <w:widowControl w:val="0"/>
              <w:rPr>
                <w:sz w:val="20"/>
                <w:highlight w:val="green"/>
                <w:lang w:val="en-GB"/>
              </w:rPr>
            </w:pPr>
            <w:r w:rsidRPr="00D841CC">
              <w:rPr>
                <w:sz w:val="20"/>
                <w:szCs w:val="20"/>
                <w:highlight w:val="green"/>
                <w:lang w:val="en-GB"/>
              </w:rPr>
              <w:t>136.4</w:t>
            </w:r>
          </w:p>
        </w:tc>
        <w:tc>
          <w:tcPr>
            <w:tcW w:w="625" w:type="pct"/>
          </w:tcPr>
          <w:p w14:paraId="2BC45875" w14:textId="7065B43D" w:rsidR="00D841CC" w:rsidRPr="00D841CC" w:rsidRDefault="00D841CC" w:rsidP="00D841CC">
            <w:pPr>
              <w:keepNext/>
              <w:keepLines/>
              <w:widowControl w:val="0"/>
              <w:rPr>
                <w:sz w:val="20"/>
                <w:highlight w:val="green"/>
                <w:lang w:val="en-GB"/>
              </w:rPr>
            </w:pPr>
            <w:r w:rsidRPr="00D841CC">
              <w:rPr>
                <w:sz w:val="20"/>
                <w:szCs w:val="20"/>
                <w:highlight w:val="green"/>
                <w:lang w:val="en-GB"/>
              </w:rPr>
              <w:t>1.41</w:t>
            </w:r>
          </w:p>
        </w:tc>
        <w:tc>
          <w:tcPr>
            <w:tcW w:w="625" w:type="pct"/>
          </w:tcPr>
          <w:p w14:paraId="26824870" w14:textId="1854AB14" w:rsidR="00D841CC" w:rsidRPr="00D841CC" w:rsidRDefault="00D841CC" w:rsidP="00D841CC">
            <w:pPr>
              <w:keepNext/>
              <w:keepLines/>
              <w:widowControl w:val="0"/>
              <w:rPr>
                <w:sz w:val="20"/>
                <w:highlight w:val="green"/>
                <w:lang w:val="en-GB"/>
              </w:rPr>
            </w:pPr>
            <w:r w:rsidRPr="00D841CC">
              <w:rPr>
                <w:sz w:val="20"/>
                <w:highlight w:val="green"/>
                <w:lang w:val="en-GB"/>
              </w:rPr>
              <w:t>219.39</w:t>
            </w:r>
          </w:p>
        </w:tc>
        <w:tc>
          <w:tcPr>
            <w:tcW w:w="626" w:type="pct"/>
          </w:tcPr>
          <w:p w14:paraId="6F21B28C" w14:textId="77777777" w:rsidR="00D841CC" w:rsidRPr="00D841CC" w:rsidRDefault="00D841CC" w:rsidP="00D841CC">
            <w:pPr>
              <w:keepNext/>
              <w:keepLines/>
              <w:widowControl w:val="0"/>
              <w:rPr>
                <w:b/>
                <w:bCs/>
                <w:color w:val="4472C4" w:themeColor="accent1"/>
                <w:sz w:val="20"/>
                <w:highlight w:val="green"/>
                <w:lang w:val="en-GB"/>
              </w:rPr>
            </w:pPr>
            <w:r w:rsidRPr="00D841CC">
              <w:rPr>
                <w:b/>
                <w:bCs/>
                <w:sz w:val="20"/>
                <w:highlight w:val="green"/>
                <w:lang w:val="en-GB"/>
              </w:rPr>
              <w:t>&lt; 5.0</w:t>
            </w:r>
          </w:p>
        </w:tc>
      </w:tr>
    </w:tbl>
    <w:p w14:paraId="6F96DF01" w14:textId="77777777" w:rsidR="008A3AA0" w:rsidRPr="00A34F10" w:rsidRDefault="008A3AA0" w:rsidP="008A3AA0">
      <w:pPr>
        <w:keepNext/>
        <w:keepLines/>
        <w:widowControl w:val="0"/>
        <w:tabs>
          <w:tab w:val="left" w:pos="0"/>
        </w:tabs>
        <w:rPr>
          <w:sz w:val="18"/>
          <w:szCs w:val="18"/>
          <w:lang w:val="en-GB"/>
        </w:rPr>
      </w:pPr>
      <w:r w:rsidRPr="00D841CC">
        <w:rPr>
          <w:sz w:val="18"/>
          <w:szCs w:val="18"/>
          <w:highlight w:val="green"/>
          <w:lang w:val="en-GB"/>
        </w:rPr>
        <w:t>SV: shortcut value; MAF: multiple application factor; TWA: time-weighted average factor; DDD: daily dietary dose; TER: toxicity to exposure ratio.</w:t>
      </w:r>
      <w:r w:rsidRPr="00A34F10">
        <w:rPr>
          <w:sz w:val="18"/>
          <w:szCs w:val="18"/>
          <w:lang w:val="en-GB"/>
        </w:rPr>
        <w:t xml:space="preserve"> </w:t>
      </w:r>
    </w:p>
    <w:p w14:paraId="716D40E5" w14:textId="77777777" w:rsidR="00802A8C" w:rsidRDefault="00802A8C">
      <w:pPr>
        <w:rPr>
          <w:bCs/>
          <w:sz w:val="18"/>
          <w:szCs w:val="18"/>
          <w:lang w:val="en-GB"/>
        </w:rPr>
      </w:pPr>
    </w:p>
    <w:p w14:paraId="38D27ACF" w14:textId="075F76DF" w:rsidR="009B71DE" w:rsidRDefault="009B71DE">
      <w:pPr>
        <w:rPr>
          <w:bCs/>
          <w:sz w:val="18"/>
          <w:szCs w:val="18"/>
          <w:lang w:val="en-GB"/>
        </w:rPr>
      </w:pPr>
    </w:p>
    <w:p w14:paraId="30877DFA" w14:textId="09F2EB25" w:rsidR="00DC5685" w:rsidRPr="00A34F10" w:rsidRDefault="00DC5685" w:rsidP="008A3AA0">
      <w:pPr>
        <w:keepNext/>
        <w:keepLines/>
        <w:tabs>
          <w:tab w:val="left" w:pos="1985"/>
        </w:tabs>
        <w:spacing w:before="200" w:after="120"/>
        <w:ind w:left="1985" w:hanging="1985"/>
        <w:jc w:val="both"/>
        <w:rPr>
          <w:b/>
          <w:bCs/>
          <w:lang w:val="en-GB"/>
        </w:rPr>
      </w:pPr>
      <w:r w:rsidRPr="00A34F10">
        <w:rPr>
          <w:b/>
          <w:bCs/>
          <w:lang w:val="en-GB"/>
        </w:rPr>
        <w:t xml:space="preserve">Table </w:t>
      </w:r>
      <w:r w:rsidRPr="00A34F10">
        <w:rPr>
          <w:b/>
          <w:bCs/>
          <w:lang w:val="en-GB"/>
        </w:rPr>
        <w:fldChar w:fldCharType="begin"/>
      </w:r>
      <w:r w:rsidRPr="00A34F10">
        <w:rPr>
          <w:b/>
          <w:bCs/>
          <w:lang w:val="en-GB"/>
        </w:rPr>
        <w:instrText xml:space="preserve"> STYLEREF 2 \s </w:instrText>
      </w:r>
      <w:r w:rsidRPr="00A34F10">
        <w:rPr>
          <w:b/>
          <w:bCs/>
          <w:lang w:val="en-GB"/>
        </w:rPr>
        <w:fldChar w:fldCharType="separate"/>
      </w:r>
      <w:r w:rsidR="006F0F3B">
        <w:rPr>
          <w:b/>
          <w:bCs/>
          <w:noProof/>
          <w:lang w:val="en-GB"/>
        </w:rPr>
        <w:t>9.3</w:t>
      </w:r>
      <w:r w:rsidRPr="00A34F10">
        <w:rPr>
          <w:b/>
          <w:bCs/>
          <w:lang w:val="en-GB"/>
        </w:rPr>
        <w:fldChar w:fldCharType="end"/>
      </w:r>
      <w:r w:rsidRPr="00A34F10">
        <w:rPr>
          <w:b/>
          <w:bCs/>
          <w:lang w:val="en-GB"/>
        </w:rPr>
        <w:noBreakHyphen/>
      </w:r>
      <w:r w:rsidR="00B021FC" w:rsidRPr="00B021FC">
        <w:rPr>
          <w:b/>
          <w:bCs/>
          <w:highlight w:val="green"/>
          <w:lang w:val="en-GB"/>
        </w:rPr>
        <w:t>15</w:t>
      </w:r>
      <w:r w:rsidRPr="00A34F10">
        <w:rPr>
          <w:b/>
          <w:bCs/>
          <w:lang w:val="en-GB"/>
        </w:rPr>
        <w:t xml:space="preserve">: </w:t>
      </w:r>
      <w:r w:rsidRPr="00A34F10">
        <w:rPr>
          <w:b/>
          <w:bCs/>
          <w:lang w:val="en-GB"/>
        </w:rPr>
        <w:tab/>
        <w:t>BAS 743 03 F: First-tier assessment of the acute risk for mammals due to the use of BAS 743 03 F (1-3 × 2.0 L product/ha)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11"/>
        <w:gridCol w:w="3447"/>
        <w:gridCol w:w="856"/>
        <w:gridCol w:w="617"/>
        <w:gridCol w:w="768"/>
        <w:gridCol w:w="1254"/>
        <w:gridCol w:w="894"/>
      </w:tblGrid>
      <w:tr w:rsidR="00DC5685" w:rsidRPr="00A34F10" w14:paraId="59B2141B" w14:textId="77777777" w:rsidTr="00592A10">
        <w:trPr>
          <w:cantSplit/>
          <w:tblHeader/>
        </w:trPr>
        <w:tc>
          <w:tcPr>
            <w:tcW w:w="808" w:type="pct"/>
            <w:tcBorders>
              <w:right w:val="single" w:sz="4" w:space="0" w:color="auto"/>
            </w:tcBorders>
            <w:shd w:val="clear" w:color="auto" w:fill="auto"/>
            <w:vAlign w:val="center"/>
          </w:tcPr>
          <w:p w14:paraId="58F8AFB1" w14:textId="77777777" w:rsidR="00DC5685" w:rsidRPr="00A34F10" w:rsidRDefault="00DC5685" w:rsidP="008A3AA0">
            <w:pPr>
              <w:keepNext/>
              <w:keepLines/>
              <w:widowControl w:val="0"/>
              <w:jc w:val="both"/>
              <w:rPr>
                <w:b/>
                <w:bCs/>
                <w:sz w:val="20"/>
                <w:szCs w:val="20"/>
                <w:lang w:val="en-GB"/>
              </w:rPr>
            </w:pPr>
            <w:r w:rsidRPr="00A34F10">
              <w:rPr>
                <w:b/>
                <w:bCs/>
                <w:sz w:val="20"/>
                <w:szCs w:val="20"/>
                <w:lang w:val="en-GB"/>
              </w:rPr>
              <w:t>Product</w:t>
            </w:r>
          </w:p>
        </w:tc>
        <w:tc>
          <w:tcPr>
            <w:tcW w:w="4192" w:type="pct"/>
            <w:gridSpan w:val="6"/>
            <w:tcBorders>
              <w:right w:val="single" w:sz="4" w:space="0" w:color="auto"/>
            </w:tcBorders>
            <w:shd w:val="clear" w:color="auto" w:fill="auto"/>
            <w:vAlign w:val="center"/>
          </w:tcPr>
          <w:p w14:paraId="57790B44" w14:textId="77777777" w:rsidR="00DC5685" w:rsidRPr="00A34F10" w:rsidRDefault="00DC5685" w:rsidP="008A3AA0">
            <w:pPr>
              <w:keepNext/>
              <w:keepLines/>
              <w:widowControl w:val="0"/>
              <w:jc w:val="both"/>
              <w:rPr>
                <w:sz w:val="20"/>
                <w:szCs w:val="20"/>
                <w:lang w:val="en-GB"/>
              </w:rPr>
            </w:pPr>
            <w:r w:rsidRPr="00A34F10">
              <w:rPr>
                <w:sz w:val="20"/>
                <w:szCs w:val="20"/>
                <w:lang w:val="en-GB"/>
              </w:rPr>
              <w:t>BAS 743 03 F</w:t>
            </w:r>
          </w:p>
        </w:tc>
      </w:tr>
      <w:tr w:rsidR="00DC5685" w:rsidRPr="00A34F10" w14:paraId="60B52FE7" w14:textId="77777777" w:rsidTr="00592A10">
        <w:trPr>
          <w:cantSplit/>
          <w:tblHeader/>
        </w:trPr>
        <w:tc>
          <w:tcPr>
            <w:tcW w:w="808" w:type="pct"/>
            <w:tcBorders>
              <w:right w:val="single" w:sz="4" w:space="0" w:color="auto"/>
            </w:tcBorders>
            <w:shd w:val="clear" w:color="auto" w:fill="auto"/>
            <w:vAlign w:val="center"/>
          </w:tcPr>
          <w:p w14:paraId="1FBA38EF" w14:textId="77777777" w:rsidR="00DC5685" w:rsidRPr="00A34F10" w:rsidRDefault="00DC5685" w:rsidP="008A3AA0">
            <w:pPr>
              <w:keepNext/>
              <w:keepLines/>
              <w:widowControl w:val="0"/>
              <w:rPr>
                <w:b/>
                <w:bCs/>
                <w:sz w:val="20"/>
                <w:szCs w:val="20"/>
                <w:lang w:val="en-GB"/>
              </w:rPr>
            </w:pPr>
            <w:r w:rsidRPr="00A34F10">
              <w:rPr>
                <w:b/>
                <w:bCs/>
                <w:sz w:val="20"/>
                <w:szCs w:val="20"/>
                <w:lang w:val="en-GB"/>
              </w:rPr>
              <w:t xml:space="preserve">Acute toxicity </w:t>
            </w:r>
            <w:r w:rsidRPr="00A34F10">
              <w:rPr>
                <w:b/>
                <w:bCs/>
                <w:sz w:val="20"/>
                <w:szCs w:val="20"/>
                <w:lang w:val="en-GB"/>
              </w:rPr>
              <w:br/>
              <w:t>(mg/kg bw/d)</w:t>
            </w:r>
          </w:p>
        </w:tc>
        <w:tc>
          <w:tcPr>
            <w:tcW w:w="4192" w:type="pct"/>
            <w:gridSpan w:val="6"/>
            <w:tcBorders>
              <w:right w:val="single" w:sz="4" w:space="0" w:color="auto"/>
            </w:tcBorders>
            <w:shd w:val="clear" w:color="auto" w:fill="auto"/>
            <w:vAlign w:val="center"/>
          </w:tcPr>
          <w:p w14:paraId="4626FC98" w14:textId="376BC28F" w:rsidR="00DC5685" w:rsidRPr="00A34F10" w:rsidRDefault="00E72A5B" w:rsidP="008A3AA0">
            <w:pPr>
              <w:keepNext/>
              <w:keepLines/>
              <w:widowControl w:val="0"/>
              <w:jc w:val="both"/>
              <w:rPr>
                <w:sz w:val="20"/>
                <w:szCs w:val="20"/>
                <w:lang w:val="en-GB"/>
              </w:rPr>
            </w:pPr>
            <w:r>
              <w:rPr>
                <w:sz w:val="20"/>
                <w:highlight w:val="green"/>
                <w:lang w:val="en-GB"/>
              </w:rPr>
              <w:t xml:space="preserve">&gt; </w:t>
            </w:r>
            <w:r w:rsidR="00B021FC" w:rsidRPr="00A34F10">
              <w:rPr>
                <w:sz w:val="20"/>
                <w:szCs w:val="20"/>
                <w:lang w:val="en-GB"/>
              </w:rPr>
              <w:t>1208.3</w:t>
            </w:r>
            <w:r w:rsidR="00565585" w:rsidRPr="00A34F10">
              <w:rPr>
                <w:sz w:val="20"/>
                <w:lang w:val="en-GB"/>
              </w:rPr>
              <w:t xml:space="preserve"> (based on </w:t>
            </w:r>
            <w:r w:rsidR="00565585" w:rsidRPr="00565585">
              <w:rPr>
                <w:sz w:val="20"/>
                <w:highlight w:val="green"/>
                <w:lang w:val="en-GB"/>
              </w:rPr>
              <w:t>measured LD</w:t>
            </w:r>
            <w:r w:rsidR="00565585" w:rsidRPr="00565585">
              <w:rPr>
                <w:sz w:val="20"/>
                <w:highlight w:val="green"/>
                <w:vertAlign w:val="subscript"/>
                <w:lang w:val="en-GB"/>
              </w:rPr>
              <w:t>50</w:t>
            </w:r>
            <w:r w:rsidR="00565585" w:rsidRPr="00A34F10">
              <w:rPr>
                <w:sz w:val="20"/>
                <w:lang w:val="en-GB"/>
              </w:rPr>
              <w:t>)</w:t>
            </w:r>
          </w:p>
        </w:tc>
      </w:tr>
      <w:tr w:rsidR="00DC5685" w:rsidRPr="00A34F10" w14:paraId="199BBC9A" w14:textId="77777777" w:rsidTr="00592A10">
        <w:trPr>
          <w:cantSplit/>
          <w:tblHeader/>
        </w:trPr>
        <w:tc>
          <w:tcPr>
            <w:tcW w:w="808" w:type="pct"/>
            <w:tcBorders>
              <w:right w:val="single" w:sz="4" w:space="0" w:color="auto"/>
            </w:tcBorders>
            <w:shd w:val="clear" w:color="auto" w:fill="auto"/>
            <w:vAlign w:val="center"/>
          </w:tcPr>
          <w:p w14:paraId="21FBA535" w14:textId="77777777" w:rsidR="00DC5685" w:rsidRPr="00A34F10" w:rsidRDefault="00DC5685" w:rsidP="008A3AA0">
            <w:pPr>
              <w:keepNext/>
              <w:keepLines/>
              <w:widowControl w:val="0"/>
              <w:rPr>
                <w:b/>
                <w:bCs/>
                <w:sz w:val="20"/>
                <w:szCs w:val="20"/>
                <w:lang w:val="en-GB"/>
              </w:rPr>
            </w:pPr>
            <w:r w:rsidRPr="00A34F10">
              <w:rPr>
                <w:b/>
                <w:bCs/>
                <w:sz w:val="20"/>
                <w:szCs w:val="20"/>
                <w:lang w:val="en-GB"/>
              </w:rPr>
              <w:t>TER criterion</w:t>
            </w:r>
          </w:p>
        </w:tc>
        <w:tc>
          <w:tcPr>
            <w:tcW w:w="4192" w:type="pct"/>
            <w:gridSpan w:val="6"/>
            <w:tcBorders>
              <w:right w:val="single" w:sz="4" w:space="0" w:color="auto"/>
            </w:tcBorders>
            <w:shd w:val="clear" w:color="auto" w:fill="auto"/>
            <w:vAlign w:val="center"/>
          </w:tcPr>
          <w:p w14:paraId="4DFDB87F" w14:textId="77777777" w:rsidR="00DC5685" w:rsidRPr="00A34F10" w:rsidRDefault="00DC5685" w:rsidP="008A3AA0">
            <w:pPr>
              <w:keepNext/>
              <w:keepLines/>
              <w:widowControl w:val="0"/>
              <w:jc w:val="both"/>
              <w:rPr>
                <w:sz w:val="20"/>
                <w:szCs w:val="20"/>
                <w:lang w:val="en-GB"/>
              </w:rPr>
            </w:pPr>
            <w:r w:rsidRPr="00A34F10">
              <w:rPr>
                <w:sz w:val="20"/>
                <w:szCs w:val="20"/>
                <w:lang w:val="en-GB"/>
              </w:rPr>
              <w:t>10</w:t>
            </w:r>
          </w:p>
        </w:tc>
      </w:tr>
      <w:tr w:rsidR="00DC5685" w:rsidRPr="00A34F10" w14:paraId="3E4C9167" w14:textId="77777777" w:rsidTr="00592A10">
        <w:trPr>
          <w:cantSplit/>
          <w:tblHeader/>
        </w:trPr>
        <w:tc>
          <w:tcPr>
            <w:tcW w:w="808" w:type="pct"/>
            <w:tcBorders>
              <w:bottom w:val="single" w:sz="12" w:space="0" w:color="auto"/>
            </w:tcBorders>
            <w:shd w:val="clear" w:color="auto" w:fill="auto"/>
            <w:vAlign w:val="center"/>
          </w:tcPr>
          <w:p w14:paraId="069F18F8" w14:textId="77777777" w:rsidR="00DC5685" w:rsidRPr="00A34F10" w:rsidRDefault="00DC5685" w:rsidP="008A3AA0">
            <w:pPr>
              <w:keepNext/>
              <w:keepLines/>
              <w:widowControl w:val="0"/>
              <w:rPr>
                <w:b/>
                <w:bCs/>
                <w:sz w:val="20"/>
                <w:szCs w:val="20"/>
                <w:lang w:val="en-GB"/>
              </w:rPr>
            </w:pPr>
            <w:r w:rsidRPr="00A34F10">
              <w:rPr>
                <w:b/>
                <w:bCs/>
                <w:sz w:val="20"/>
                <w:szCs w:val="20"/>
                <w:lang w:val="en-GB"/>
              </w:rPr>
              <w:t>Growth stage</w:t>
            </w:r>
          </w:p>
        </w:tc>
        <w:tc>
          <w:tcPr>
            <w:tcW w:w="1844" w:type="pct"/>
            <w:tcBorders>
              <w:bottom w:val="single" w:sz="12" w:space="0" w:color="auto"/>
            </w:tcBorders>
            <w:shd w:val="clear" w:color="auto" w:fill="auto"/>
            <w:vAlign w:val="center"/>
          </w:tcPr>
          <w:p w14:paraId="208D9E57" w14:textId="77777777" w:rsidR="00DC5685" w:rsidRPr="00A34F10" w:rsidRDefault="00DC5685" w:rsidP="008A3AA0">
            <w:pPr>
              <w:keepNext/>
              <w:keepLines/>
              <w:widowControl w:val="0"/>
              <w:rPr>
                <w:b/>
                <w:bCs/>
                <w:sz w:val="20"/>
                <w:szCs w:val="20"/>
                <w:lang w:val="en-GB"/>
              </w:rPr>
            </w:pPr>
            <w:r w:rsidRPr="00A34F10">
              <w:rPr>
                <w:b/>
                <w:bCs/>
                <w:sz w:val="20"/>
                <w:szCs w:val="20"/>
                <w:lang w:val="en-GB"/>
              </w:rPr>
              <w:t>Generic focal species</w:t>
            </w:r>
          </w:p>
        </w:tc>
        <w:tc>
          <w:tcPr>
            <w:tcW w:w="458" w:type="pct"/>
            <w:tcBorders>
              <w:bottom w:val="single" w:sz="12" w:space="0" w:color="auto"/>
            </w:tcBorders>
            <w:shd w:val="clear" w:color="auto" w:fill="auto"/>
            <w:vAlign w:val="center"/>
          </w:tcPr>
          <w:p w14:paraId="74002494" w14:textId="77777777" w:rsidR="00DC5685" w:rsidRPr="00A34F10" w:rsidRDefault="00DC5685" w:rsidP="008A3AA0">
            <w:pPr>
              <w:keepNext/>
              <w:keepLines/>
              <w:widowControl w:val="0"/>
              <w:rPr>
                <w:b/>
                <w:bCs/>
                <w:sz w:val="20"/>
                <w:szCs w:val="20"/>
                <w:lang w:val="en-GB"/>
              </w:rPr>
            </w:pPr>
            <w:r w:rsidRPr="00A34F10">
              <w:rPr>
                <w:b/>
                <w:bCs/>
                <w:sz w:val="20"/>
                <w:szCs w:val="20"/>
                <w:lang w:val="en-GB"/>
              </w:rPr>
              <w:t>App. Rate</w:t>
            </w:r>
          </w:p>
          <w:p w14:paraId="44882BB7" w14:textId="77777777" w:rsidR="00DC5685" w:rsidRPr="00A34F10" w:rsidRDefault="00DC5685" w:rsidP="008A3AA0">
            <w:pPr>
              <w:keepNext/>
              <w:keepLines/>
              <w:widowControl w:val="0"/>
              <w:rPr>
                <w:b/>
                <w:bCs/>
                <w:sz w:val="20"/>
                <w:szCs w:val="20"/>
                <w:lang w:val="en-GB"/>
              </w:rPr>
            </w:pPr>
            <w:r w:rsidRPr="00A34F10">
              <w:rPr>
                <w:b/>
                <w:bCs/>
                <w:sz w:val="20"/>
                <w:szCs w:val="20"/>
                <w:lang w:val="en-GB"/>
              </w:rPr>
              <w:t>(kg a.s./ha)</w:t>
            </w:r>
          </w:p>
        </w:tc>
        <w:tc>
          <w:tcPr>
            <w:tcW w:w="330" w:type="pct"/>
            <w:tcBorders>
              <w:bottom w:val="single" w:sz="12" w:space="0" w:color="auto"/>
            </w:tcBorders>
            <w:shd w:val="clear" w:color="auto" w:fill="auto"/>
            <w:vAlign w:val="center"/>
          </w:tcPr>
          <w:p w14:paraId="3701DF53" w14:textId="77777777" w:rsidR="00DC5685" w:rsidRPr="00A34F10" w:rsidRDefault="00DC5685" w:rsidP="008A3AA0">
            <w:pPr>
              <w:keepNext/>
              <w:keepLines/>
              <w:widowControl w:val="0"/>
              <w:rPr>
                <w:b/>
                <w:bCs/>
                <w:sz w:val="20"/>
                <w:szCs w:val="20"/>
                <w:lang w:val="en-GB"/>
              </w:rPr>
            </w:pPr>
            <w:r w:rsidRPr="00A34F10">
              <w:rPr>
                <w:b/>
                <w:bCs/>
                <w:sz w:val="20"/>
                <w:szCs w:val="20"/>
                <w:lang w:val="en-GB"/>
              </w:rPr>
              <w:t>SV</w:t>
            </w:r>
            <w:r w:rsidRPr="00A34F10">
              <w:rPr>
                <w:b/>
                <w:bCs/>
                <w:sz w:val="20"/>
                <w:szCs w:val="20"/>
                <w:vertAlign w:val="subscript"/>
                <w:lang w:val="en-GB"/>
              </w:rPr>
              <w:t>90th</w:t>
            </w:r>
          </w:p>
        </w:tc>
        <w:tc>
          <w:tcPr>
            <w:tcW w:w="411" w:type="pct"/>
            <w:tcBorders>
              <w:bottom w:val="single" w:sz="12" w:space="0" w:color="auto"/>
            </w:tcBorders>
            <w:shd w:val="clear" w:color="auto" w:fill="auto"/>
            <w:vAlign w:val="center"/>
          </w:tcPr>
          <w:p w14:paraId="5DE156CE" w14:textId="77777777" w:rsidR="00DC5685" w:rsidRPr="00A34F10" w:rsidRDefault="00DC5685" w:rsidP="008A3AA0">
            <w:pPr>
              <w:keepNext/>
              <w:keepLines/>
              <w:widowControl w:val="0"/>
              <w:rPr>
                <w:b/>
                <w:bCs/>
                <w:sz w:val="20"/>
                <w:szCs w:val="20"/>
                <w:lang w:val="en-GB"/>
              </w:rPr>
            </w:pPr>
            <w:r w:rsidRPr="00A34F10">
              <w:rPr>
                <w:b/>
                <w:bCs/>
                <w:sz w:val="20"/>
                <w:szCs w:val="20"/>
                <w:lang w:val="en-GB"/>
              </w:rPr>
              <w:t>MAF</w:t>
            </w:r>
            <w:r w:rsidRPr="00A34F10">
              <w:rPr>
                <w:b/>
                <w:bCs/>
                <w:sz w:val="20"/>
                <w:szCs w:val="20"/>
                <w:vertAlign w:val="subscript"/>
                <w:lang w:val="en-GB"/>
              </w:rPr>
              <w:t>90</w:t>
            </w:r>
            <w:r w:rsidRPr="00A34F10">
              <w:rPr>
                <w:b/>
                <w:bCs/>
                <w:sz w:val="20"/>
                <w:szCs w:val="20"/>
                <w:lang w:val="en-GB"/>
              </w:rPr>
              <w:t xml:space="preserve"> × TWA</w:t>
            </w:r>
          </w:p>
        </w:tc>
        <w:tc>
          <w:tcPr>
            <w:tcW w:w="671" w:type="pct"/>
            <w:tcBorders>
              <w:bottom w:val="single" w:sz="12" w:space="0" w:color="auto"/>
            </w:tcBorders>
            <w:shd w:val="clear" w:color="auto" w:fill="auto"/>
            <w:vAlign w:val="center"/>
          </w:tcPr>
          <w:p w14:paraId="28CC0D01" w14:textId="77777777" w:rsidR="00DC5685" w:rsidRPr="00A34F10" w:rsidRDefault="00DC5685" w:rsidP="008A3AA0">
            <w:pPr>
              <w:keepNext/>
              <w:keepLines/>
              <w:widowControl w:val="0"/>
              <w:rPr>
                <w:b/>
                <w:bCs/>
                <w:sz w:val="20"/>
                <w:szCs w:val="20"/>
                <w:lang w:val="de-DE"/>
              </w:rPr>
            </w:pPr>
            <w:r w:rsidRPr="00A34F10">
              <w:rPr>
                <w:b/>
                <w:bCs/>
                <w:sz w:val="20"/>
                <w:szCs w:val="20"/>
                <w:lang w:val="de-DE"/>
              </w:rPr>
              <w:t>DDD</w:t>
            </w:r>
            <w:r w:rsidRPr="00A34F10">
              <w:rPr>
                <w:b/>
                <w:bCs/>
                <w:sz w:val="20"/>
                <w:szCs w:val="20"/>
                <w:vertAlign w:val="subscript"/>
                <w:lang w:val="de-DE"/>
              </w:rPr>
              <w:t>m</w:t>
            </w:r>
          </w:p>
          <w:p w14:paraId="371BB5FB" w14:textId="77777777" w:rsidR="00DC5685" w:rsidRPr="00A34F10" w:rsidRDefault="00DC5685" w:rsidP="008A3AA0">
            <w:pPr>
              <w:keepNext/>
              <w:keepLines/>
              <w:widowControl w:val="0"/>
              <w:rPr>
                <w:b/>
                <w:bCs/>
                <w:sz w:val="20"/>
                <w:szCs w:val="20"/>
                <w:lang w:val="de-DE"/>
              </w:rPr>
            </w:pPr>
            <w:r w:rsidRPr="00A34F10">
              <w:rPr>
                <w:b/>
                <w:bCs/>
                <w:sz w:val="20"/>
                <w:szCs w:val="20"/>
                <w:lang w:val="de-DE"/>
              </w:rPr>
              <w:t>(mg/kg bw/d)</w:t>
            </w:r>
          </w:p>
        </w:tc>
        <w:tc>
          <w:tcPr>
            <w:tcW w:w="478" w:type="pct"/>
            <w:tcBorders>
              <w:bottom w:val="single" w:sz="12" w:space="0" w:color="auto"/>
            </w:tcBorders>
            <w:shd w:val="clear" w:color="auto" w:fill="auto"/>
            <w:vAlign w:val="center"/>
          </w:tcPr>
          <w:p w14:paraId="3D213720" w14:textId="77777777" w:rsidR="00DC5685" w:rsidRPr="00A34F10" w:rsidRDefault="00DC5685" w:rsidP="008A3AA0">
            <w:pPr>
              <w:keepNext/>
              <w:keepLines/>
              <w:widowControl w:val="0"/>
              <w:rPr>
                <w:b/>
                <w:bCs/>
                <w:sz w:val="20"/>
                <w:szCs w:val="20"/>
                <w:lang w:val="en-GB"/>
              </w:rPr>
            </w:pPr>
            <w:r w:rsidRPr="00A34F10">
              <w:rPr>
                <w:b/>
                <w:bCs/>
                <w:sz w:val="20"/>
                <w:szCs w:val="20"/>
                <w:lang w:val="en-GB"/>
              </w:rPr>
              <w:t>TER</w:t>
            </w:r>
            <w:r w:rsidRPr="00A34F10">
              <w:rPr>
                <w:b/>
                <w:bCs/>
                <w:sz w:val="20"/>
                <w:szCs w:val="20"/>
                <w:vertAlign w:val="subscript"/>
                <w:lang w:val="en-GB"/>
              </w:rPr>
              <w:t>a</w:t>
            </w:r>
          </w:p>
        </w:tc>
      </w:tr>
      <w:tr w:rsidR="00DC5685" w:rsidRPr="00A34F10" w14:paraId="48F64149" w14:textId="77777777" w:rsidTr="000470C3">
        <w:trPr>
          <w:cantSplit/>
        </w:trPr>
        <w:tc>
          <w:tcPr>
            <w:tcW w:w="5000" w:type="pct"/>
            <w:gridSpan w:val="7"/>
            <w:tcBorders>
              <w:top w:val="single" w:sz="12" w:space="0" w:color="auto"/>
              <w:bottom w:val="single" w:sz="4" w:space="0" w:color="auto"/>
              <w:right w:val="single" w:sz="4" w:space="0" w:color="auto"/>
            </w:tcBorders>
            <w:shd w:val="clear" w:color="auto" w:fill="auto"/>
            <w:vAlign w:val="center"/>
          </w:tcPr>
          <w:p w14:paraId="1A7300E6" w14:textId="77777777" w:rsidR="00DC5685" w:rsidRPr="00A34F10" w:rsidRDefault="00DC5685" w:rsidP="002F6515">
            <w:pPr>
              <w:jc w:val="center"/>
              <w:rPr>
                <w:sz w:val="20"/>
                <w:szCs w:val="20"/>
                <w:lang w:val="en-GB"/>
              </w:rPr>
            </w:pPr>
            <w:r w:rsidRPr="00A34F10">
              <w:rPr>
                <w:b/>
                <w:sz w:val="20"/>
                <w:szCs w:val="20"/>
                <w:lang w:val="en-GB"/>
              </w:rPr>
              <w:t>Potatoes (</w:t>
            </w:r>
            <w:r w:rsidRPr="00A34F10">
              <w:rPr>
                <w:b/>
                <w:sz w:val="20"/>
                <w:szCs w:val="20"/>
              </w:rPr>
              <w:t>3</w:t>
            </w:r>
            <w:r w:rsidRPr="00A34F10">
              <w:rPr>
                <w:b/>
                <w:bCs/>
                <w:sz w:val="20"/>
                <w:szCs w:val="20"/>
              </w:rPr>
              <w:t xml:space="preserve"> × (∑ 0.240 + 0.902) </w:t>
            </w:r>
            <w:r w:rsidRPr="00A34F10">
              <w:rPr>
                <w:b/>
                <w:bCs/>
                <w:sz w:val="20"/>
                <w:szCs w:val="20"/>
                <w:vertAlign w:val="superscript"/>
              </w:rPr>
              <w:t>1)</w:t>
            </w:r>
            <w:r w:rsidRPr="00A34F10">
              <w:rPr>
                <w:b/>
                <w:bCs/>
                <w:sz w:val="20"/>
                <w:szCs w:val="20"/>
                <w:lang w:val="en-GB"/>
              </w:rPr>
              <w:t>,</w:t>
            </w:r>
            <w:r w:rsidRPr="00A34F10">
              <w:rPr>
                <w:b/>
                <w:sz w:val="20"/>
                <w:szCs w:val="20"/>
                <w:lang w:val="en-GB"/>
              </w:rPr>
              <w:t xml:space="preserve"> BBCH 21-89)</w:t>
            </w:r>
          </w:p>
        </w:tc>
      </w:tr>
      <w:tr w:rsidR="005A5621" w:rsidRPr="00A34F10" w14:paraId="36BEEE27" w14:textId="77777777" w:rsidTr="00592A10">
        <w:trPr>
          <w:cantSplit/>
        </w:trPr>
        <w:tc>
          <w:tcPr>
            <w:tcW w:w="808" w:type="pct"/>
            <w:tcBorders>
              <w:top w:val="single" w:sz="4" w:space="0" w:color="auto"/>
            </w:tcBorders>
            <w:shd w:val="clear" w:color="auto" w:fill="auto"/>
            <w:vAlign w:val="center"/>
          </w:tcPr>
          <w:p w14:paraId="2A335D2C" w14:textId="77777777" w:rsidR="005A5621" w:rsidRPr="00A34F10" w:rsidRDefault="005A5621" w:rsidP="005A5621">
            <w:pPr>
              <w:jc w:val="center"/>
              <w:rPr>
                <w:sz w:val="20"/>
                <w:szCs w:val="20"/>
                <w:lang w:val="en-GB"/>
              </w:rPr>
            </w:pPr>
            <w:r w:rsidRPr="00A34F10">
              <w:rPr>
                <w:sz w:val="20"/>
                <w:szCs w:val="20"/>
              </w:rPr>
              <w:t>BBCH ≥20</w:t>
            </w:r>
          </w:p>
        </w:tc>
        <w:tc>
          <w:tcPr>
            <w:tcW w:w="1844" w:type="pct"/>
            <w:tcBorders>
              <w:top w:val="single" w:sz="4" w:space="0" w:color="auto"/>
            </w:tcBorders>
            <w:shd w:val="clear" w:color="auto" w:fill="auto"/>
            <w:vAlign w:val="center"/>
          </w:tcPr>
          <w:p w14:paraId="0F8A17AF" w14:textId="77777777" w:rsidR="005A5621" w:rsidRPr="00A34F10" w:rsidRDefault="005A5621" w:rsidP="005A5621">
            <w:pPr>
              <w:jc w:val="center"/>
              <w:rPr>
                <w:sz w:val="20"/>
                <w:szCs w:val="20"/>
                <w:lang w:val="en-GB"/>
              </w:rPr>
            </w:pPr>
            <w:r w:rsidRPr="00A34F10">
              <w:rPr>
                <w:sz w:val="20"/>
                <w:szCs w:val="20"/>
                <w:lang w:val="en-GB"/>
              </w:rPr>
              <w:t>Small insectivorous mammal “shrew”</w:t>
            </w:r>
          </w:p>
        </w:tc>
        <w:tc>
          <w:tcPr>
            <w:tcW w:w="458" w:type="pct"/>
            <w:vMerge w:val="restart"/>
            <w:tcBorders>
              <w:top w:val="single" w:sz="4" w:space="0" w:color="auto"/>
            </w:tcBorders>
            <w:shd w:val="clear" w:color="auto" w:fill="auto"/>
            <w:vAlign w:val="center"/>
          </w:tcPr>
          <w:p w14:paraId="3FBB5EFA" w14:textId="77777777" w:rsidR="005A5621" w:rsidRPr="00A34F10" w:rsidRDefault="005A5621" w:rsidP="005A5621">
            <w:pPr>
              <w:jc w:val="center"/>
              <w:rPr>
                <w:sz w:val="20"/>
                <w:szCs w:val="20"/>
                <w:lang w:val="en-GB"/>
              </w:rPr>
            </w:pPr>
            <w:r w:rsidRPr="00A34F10">
              <w:rPr>
                <w:sz w:val="20"/>
                <w:szCs w:val="20"/>
                <w:lang w:val="en-GB"/>
              </w:rPr>
              <w:t>1.142</w:t>
            </w:r>
          </w:p>
        </w:tc>
        <w:tc>
          <w:tcPr>
            <w:tcW w:w="330" w:type="pct"/>
            <w:tcBorders>
              <w:top w:val="single" w:sz="4" w:space="0" w:color="auto"/>
            </w:tcBorders>
            <w:shd w:val="clear" w:color="auto" w:fill="auto"/>
            <w:vAlign w:val="center"/>
          </w:tcPr>
          <w:p w14:paraId="123784D3" w14:textId="77777777" w:rsidR="005A5621" w:rsidRPr="00A34F10" w:rsidRDefault="005A5621" w:rsidP="005A5621">
            <w:pPr>
              <w:jc w:val="center"/>
              <w:rPr>
                <w:sz w:val="20"/>
                <w:szCs w:val="20"/>
                <w:lang w:val="en-GB"/>
              </w:rPr>
            </w:pPr>
            <w:r w:rsidRPr="00A34F10">
              <w:rPr>
                <w:sz w:val="20"/>
                <w:szCs w:val="20"/>
              </w:rPr>
              <w:t>5.4</w:t>
            </w:r>
          </w:p>
        </w:tc>
        <w:tc>
          <w:tcPr>
            <w:tcW w:w="411" w:type="pct"/>
            <w:vMerge w:val="restart"/>
            <w:tcBorders>
              <w:top w:val="single" w:sz="4" w:space="0" w:color="auto"/>
            </w:tcBorders>
            <w:shd w:val="clear" w:color="auto" w:fill="auto"/>
            <w:vAlign w:val="center"/>
          </w:tcPr>
          <w:p w14:paraId="76EF4A9F" w14:textId="77777777" w:rsidR="005A5621" w:rsidRPr="00A34F10" w:rsidRDefault="005A5621" w:rsidP="005A5621">
            <w:pPr>
              <w:jc w:val="center"/>
              <w:rPr>
                <w:sz w:val="20"/>
                <w:szCs w:val="20"/>
                <w:lang w:val="en-GB"/>
              </w:rPr>
            </w:pPr>
            <w:r w:rsidRPr="00A34F10">
              <w:rPr>
                <w:sz w:val="20"/>
                <w:szCs w:val="20"/>
                <w:lang w:val="en-GB"/>
              </w:rPr>
              <w:t xml:space="preserve">1.79 </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50EA9E6" w14:textId="77777777" w:rsidR="005A5621" w:rsidRPr="00A34F10" w:rsidRDefault="005A5621" w:rsidP="005A5621">
            <w:pPr>
              <w:jc w:val="center"/>
              <w:rPr>
                <w:sz w:val="20"/>
                <w:szCs w:val="20"/>
                <w:highlight w:val="yellow"/>
                <w:lang w:val="en-GB"/>
              </w:rPr>
            </w:pPr>
            <w:r w:rsidRPr="00A34F10">
              <w:rPr>
                <w:sz w:val="20"/>
                <w:szCs w:val="20"/>
              </w:rPr>
              <w:t>11.05</w:t>
            </w:r>
          </w:p>
        </w:tc>
        <w:tc>
          <w:tcPr>
            <w:tcW w:w="478" w:type="pct"/>
            <w:tcBorders>
              <w:top w:val="single" w:sz="4" w:space="0" w:color="auto"/>
              <w:left w:val="nil"/>
              <w:bottom w:val="single" w:sz="4" w:space="0" w:color="auto"/>
              <w:right w:val="single" w:sz="4" w:space="0" w:color="auto"/>
            </w:tcBorders>
            <w:shd w:val="clear" w:color="auto" w:fill="auto"/>
            <w:vAlign w:val="center"/>
          </w:tcPr>
          <w:p w14:paraId="2E98CB60" w14:textId="6AA8804B"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109.3</w:t>
            </w:r>
          </w:p>
        </w:tc>
      </w:tr>
      <w:tr w:rsidR="005A5621" w:rsidRPr="00A34F10" w14:paraId="60C06AFF" w14:textId="77777777" w:rsidTr="00592A10">
        <w:trPr>
          <w:cantSplit/>
        </w:trPr>
        <w:tc>
          <w:tcPr>
            <w:tcW w:w="808" w:type="pct"/>
            <w:tcBorders>
              <w:bottom w:val="single" w:sz="4" w:space="0" w:color="auto"/>
            </w:tcBorders>
            <w:shd w:val="clear" w:color="auto" w:fill="auto"/>
            <w:vAlign w:val="center"/>
          </w:tcPr>
          <w:p w14:paraId="55C3248F" w14:textId="77777777" w:rsidR="005A5621" w:rsidRPr="00A34F10" w:rsidRDefault="005A5621" w:rsidP="005A5621">
            <w:pPr>
              <w:jc w:val="center"/>
              <w:rPr>
                <w:sz w:val="20"/>
                <w:szCs w:val="20"/>
                <w:lang w:val="en-GB"/>
              </w:rPr>
            </w:pPr>
            <w:r w:rsidRPr="00A34F10">
              <w:rPr>
                <w:sz w:val="20"/>
                <w:szCs w:val="20"/>
              </w:rPr>
              <w:t>BBCH ≥40</w:t>
            </w:r>
          </w:p>
        </w:tc>
        <w:tc>
          <w:tcPr>
            <w:tcW w:w="1844" w:type="pct"/>
            <w:tcBorders>
              <w:bottom w:val="single" w:sz="4" w:space="0" w:color="auto"/>
            </w:tcBorders>
            <w:shd w:val="clear" w:color="auto" w:fill="auto"/>
            <w:vAlign w:val="center"/>
          </w:tcPr>
          <w:p w14:paraId="3A5E6C59" w14:textId="77777777" w:rsidR="005A5621" w:rsidRPr="00A34F10" w:rsidRDefault="005A5621" w:rsidP="005A5621">
            <w:pPr>
              <w:jc w:val="center"/>
              <w:rPr>
                <w:sz w:val="20"/>
                <w:szCs w:val="20"/>
                <w:lang w:val="en-GB"/>
              </w:rPr>
            </w:pPr>
            <w:r w:rsidRPr="00A34F10">
              <w:rPr>
                <w:sz w:val="20"/>
                <w:szCs w:val="20"/>
                <w:lang w:val="en-GB"/>
              </w:rPr>
              <w:t>Small herbivorous mammal “vole”</w:t>
            </w:r>
          </w:p>
        </w:tc>
        <w:tc>
          <w:tcPr>
            <w:tcW w:w="458" w:type="pct"/>
            <w:vMerge/>
            <w:shd w:val="clear" w:color="auto" w:fill="auto"/>
            <w:vAlign w:val="center"/>
          </w:tcPr>
          <w:p w14:paraId="536F6979" w14:textId="77777777" w:rsidR="005A5621" w:rsidRPr="00A34F10" w:rsidRDefault="005A5621" w:rsidP="005A5621">
            <w:pPr>
              <w:jc w:val="center"/>
              <w:rPr>
                <w:sz w:val="20"/>
                <w:szCs w:val="20"/>
                <w:lang w:val="en-GB"/>
              </w:rPr>
            </w:pPr>
          </w:p>
        </w:tc>
        <w:tc>
          <w:tcPr>
            <w:tcW w:w="330" w:type="pct"/>
            <w:tcBorders>
              <w:bottom w:val="single" w:sz="4" w:space="0" w:color="auto"/>
            </w:tcBorders>
            <w:shd w:val="clear" w:color="auto" w:fill="auto"/>
            <w:vAlign w:val="center"/>
          </w:tcPr>
          <w:p w14:paraId="742E2A4F" w14:textId="77777777" w:rsidR="005A5621" w:rsidRPr="00A34F10" w:rsidRDefault="005A5621" w:rsidP="005A5621">
            <w:pPr>
              <w:jc w:val="center"/>
              <w:rPr>
                <w:sz w:val="20"/>
                <w:szCs w:val="20"/>
                <w:lang w:val="en-GB"/>
              </w:rPr>
            </w:pPr>
            <w:r w:rsidRPr="00A34F10">
              <w:rPr>
                <w:sz w:val="20"/>
                <w:szCs w:val="20"/>
              </w:rPr>
              <w:t>40.9</w:t>
            </w:r>
          </w:p>
        </w:tc>
        <w:tc>
          <w:tcPr>
            <w:tcW w:w="411" w:type="pct"/>
            <w:vMerge/>
            <w:shd w:val="clear" w:color="auto" w:fill="auto"/>
            <w:vAlign w:val="center"/>
          </w:tcPr>
          <w:p w14:paraId="2A1A135C" w14:textId="77777777" w:rsidR="005A5621" w:rsidRPr="00A34F10" w:rsidRDefault="005A5621" w:rsidP="005A5621">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565713C" w14:textId="77777777" w:rsidR="005A5621" w:rsidRPr="00A34F10" w:rsidRDefault="005A5621" w:rsidP="005A5621">
            <w:pPr>
              <w:jc w:val="center"/>
              <w:rPr>
                <w:sz w:val="20"/>
                <w:szCs w:val="20"/>
                <w:highlight w:val="yellow"/>
                <w:lang w:val="en-GB"/>
              </w:rPr>
            </w:pPr>
            <w:r w:rsidRPr="00A34F10">
              <w:rPr>
                <w:sz w:val="20"/>
                <w:szCs w:val="20"/>
              </w:rPr>
              <w:t>83.72</w:t>
            </w:r>
          </w:p>
        </w:tc>
        <w:tc>
          <w:tcPr>
            <w:tcW w:w="478" w:type="pct"/>
            <w:tcBorders>
              <w:top w:val="single" w:sz="4" w:space="0" w:color="auto"/>
              <w:left w:val="nil"/>
              <w:bottom w:val="single" w:sz="4" w:space="0" w:color="auto"/>
              <w:right w:val="single" w:sz="4" w:space="0" w:color="auto"/>
            </w:tcBorders>
            <w:shd w:val="clear" w:color="auto" w:fill="auto"/>
            <w:vAlign w:val="center"/>
          </w:tcPr>
          <w:p w14:paraId="5FB5E934" w14:textId="2FFAB6A3"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14.4</w:t>
            </w:r>
          </w:p>
        </w:tc>
      </w:tr>
      <w:tr w:rsidR="005A5621" w:rsidRPr="00A34F10" w14:paraId="0D507945" w14:textId="77777777" w:rsidTr="00592A10">
        <w:trPr>
          <w:cantSplit/>
        </w:trPr>
        <w:tc>
          <w:tcPr>
            <w:tcW w:w="808" w:type="pct"/>
            <w:tcBorders>
              <w:bottom w:val="single" w:sz="4" w:space="0" w:color="auto"/>
            </w:tcBorders>
            <w:shd w:val="clear" w:color="auto" w:fill="auto"/>
            <w:vAlign w:val="center"/>
          </w:tcPr>
          <w:p w14:paraId="50D5A32F" w14:textId="77777777" w:rsidR="005A5621" w:rsidRPr="00A34F10" w:rsidRDefault="005A5621" w:rsidP="005A5621">
            <w:pPr>
              <w:jc w:val="center"/>
              <w:rPr>
                <w:sz w:val="20"/>
                <w:szCs w:val="20"/>
                <w:lang w:val="en-GB"/>
              </w:rPr>
            </w:pPr>
            <w:r w:rsidRPr="00A34F10">
              <w:rPr>
                <w:sz w:val="20"/>
                <w:szCs w:val="20"/>
              </w:rPr>
              <w:t>BBCH 10-40</w:t>
            </w:r>
          </w:p>
        </w:tc>
        <w:tc>
          <w:tcPr>
            <w:tcW w:w="1844" w:type="pct"/>
            <w:tcBorders>
              <w:bottom w:val="single" w:sz="4" w:space="0" w:color="auto"/>
            </w:tcBorders>
            <w:shd w:val="clear" w:color="auto" w:fill="auto"/>
            <w:vAlign w:val="center"/>
          </w:tcPr>
          <w:p w14:paraId="2EE22727" w14:textId="77777777" w:rsidR="005A5621" w:rsidRPr="00A34F10" w:rsidRDefault="005A5621" w:rsidP="005A5621">
            <w:pPr>
              <w:jc w:val="center"/>
              <w:rPr>
                <w:sz w:val="20"/>
                <w:szCs w:val="20"/>
                <w:lang w:val="en-GB"/>
              </w:rPr>
            </w:pPr>
            <w:r w:rsidRPr="00A34F10">
              <w:rPr>
                <w:sz w:val="20"/>
                <w:szCs w:val="20"/>
                <w:lang w:val="en-GB"/>
              </w:rPr>
              <w:t>Large herbivorous mammal “lagomorph”</w:t>
            </w:r>
          </w:p>
        </w:tc>
        <w:tc>
          <w:tcPr>
            <w:tcW w:w="458" w:type="pct"/>
            <w:vMerge/>
            <w:shd w:val="clear" w:color="auto" w:fill="auto"/>
            <w:vAlign w:val="center"/>
          </w:tcPr>
          <w:p w14:paraId="3504DE48" w14:textId="77777777" w:rsidR="005A5621" w:rsidRPr="00A34F10" w:rsidRDefault="005A5621" w:rsidP="005A5621">
            <w:pPr>
              <w:jc w:val="center"/>
              <w:rPr>
                <w:sz w:val="20"/>
                <w:szCs w:val="20"/>
                <w:lang w:val="en-GB"/>
              </w:rPr>
            </w:pPr>
          </w:p>
        </w:tc>
        <w:tc>
          <w:tcPr>
            <w:tcW w:w="330" w:type="pct"/>
            <w:tcBorders>
              <w:bottom w:val="single" w:sz="4" w:space="0" w:color="auto"/>
            </w:tcBorders>
            <w:shd w:val="clear" w:color="auto" w:fill="auto"/>
            <w:vAlign w:val="center"/>
          </w:tcPr>
          <w:p w14:paraId="16D04534" w14:textId="77777777" w:rsidR="005A5621" w:rsidRPr="00A34F10" w:rsidRDefault="005A5621" w:rsidP="005A5621">
            <w:pPr>
              <w:jc w:val="center"/>
              <w:rPr>
                <w:sz w:val="20"/>
                <w:szCs w:val="20"/>
                <w:lang w:val="en-GB"/>
              </w:rPr>
            </w:pPr>
            <w:r w:rsidRPr="00A34F10">
              <w:rPr>
                <w:sz w:val="20"/>
                <w:szCs w:val="20"/>
              </w:rPr>
              <w:t>35.1</w:t>
            </w:r>
          </w:p>
        </w:tc>
        <w:tc>
          <w:tcPr>
            <w:tcW w:w="411" w:type="pct"/>
            <w:vMerge/>
            <w:shd w:val="clear" w:color="auto" w:fill="auto"/>
            <w:vAlign w:val="center"/>
          </w:tcPr>
          <w:p w14:paraId="4EFB9596" w14:textId="77777777" w:rsidR="005A5621" w:rsidRPr="00A34F10" w:rsidRDefault="005A5621" w:rsidP="005A5621">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4A67017" w14:textId="77777777" w:rsidR="005A5621" w:rsidRPr="00A34F10" w:rsidRDefault="005A5621" w:rsidP="005A5621">
            <w:pPr>
              <w:jc w:val="center"/>
              <w:rPr>
                <w:sz w:val="20"/>
                <w:szCs w:val="20"/>
                <w:highlight w:val="yellow"/>
                <w:lang w:val="en-GB"/>
              </w:rPr>
            </w:pPr>
            <w:r w:rsidRPr="00A34F10">
              <w:rPr>
                <w:sz w:val="20"/>
                <w:szCs w:val="20"/>
              </w:rPr>
              <w:t>71.85</w:t>
            </w:r>
          </w:p>
        </w:tc>
        <w:tc>
          <w:tcPr>
            <w:tcW w:w="478" w:type="pct"/>
            <w:tcBorders>
              <w:top w:val="single" w:sz="4" w:space="0" w:color="auto"/>
              <w:left w:val="nil"/>
              <w:bottom w:val="single" w:sz="4" w:space="0" w:color="auto"/>
              <w:right w:val="single" w:sz="4" w:space="0" w:color="auto"/>
            </w:tcBorders>
            <w:shd w:val="clear" w:color="auto" w:fill="auto"/>
            <w:vAlign w:val="center"/>
          </w:tcPr>
          <w:p w14:paraId="2026D89B" w14:textId="0AC884E3"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16.8</w:t>
            </w:r>
          </w:p>
        </w:tc>
      </w:tr>
      <w:tr w:rsidR="005A5621" w:rsidRPr="00A34F10" w14:paraId="103AF186" w14:textId="77777777" w:rsidTr="00592A10">
        <w:trPr>
          <w:cantSplit/>
        </w:trPr>
        <w:tc>
          <w:tcPr>
            <w:tcW w:w="808" w:type="pct"/>
            <w:tcBorders>
              <w:bottom w:val="single" w:sz="4" w:space="0" w:color="auto"/>
            </w:tcBorders>
            <w:shd w:val="clear" w:color="auto" w:fill="auto"/>
            <w:vAlign w:val="center"/>
          </w:tcPr>
          <w:p w14:paraId="63490011" w14:textId="77777777" w:rsidR="005A5621" w:rsidRPr="00A34F10" w:rsidRDefault="005A5621" w:rsidP="005A5621">
            <w:pPr>
              <w:jc w:val="center"/>
              <w:rPr>
                <w:sz w:val="20"/>
                <w:szCs w:val="20"/>
                <w:lang w:val="en-GB"/>
              </w:rPr>
            </w:pPr>
            <w:r w:rsidRPr="00A34F10">
              <w:rPr>
                <w:sz w:val="20"/>
                <w:szCs w:val="20"/>
              </w:rPr>
              <w:t>BBCH ≥40</w:t>
            </w:r>
          </w:p>
        </w:tc>
        <w:tc>
          <w:tcPr>
            <w:tcW w:w="1844" w:type="pct"/>
            <w:tcBorders>
              <w:bottom w:val="single" w:sz="4" w:space="0" w:color="auto"/>
            </w:tcBorders>
            <w:shd w:val="clear" w:color="auto" w:fill="auto"/>
            <w:vAlign w:val="center"/>
          </w:tcPr>
          <w:p w14:paraId="02946844" w14:textId="77777777" w:rsidR="005A5621" w:rsidRPr="00A34F10" w:rsidRDefault="005A5621" w:rsidP="005A5621">
            <w:pPr>
              <w:jc w:val="center"/>
              <w:rPr>
                <w:sz w:val="20"/>
                <w:szCs w:val="20"/>
                <w:lang w:val="en-GB"/>
              </w:rPr>
            </w:pPr>
            <w:r w:rsidRPr="00A34F10">
              <w:rPr>
                <w:sz w:val="20"/>
                <w:szCs w:val="20"/>
                <w:lang w:val="en-GB"/>
              </w:rPr>
              <w:t>Large herbivorous mammal “lagomorph”</w:t>
            </w:r>
          </w:p>
        </w:tc>
        <w:tc>
          <w:tcPr>
            <w:tcW w:w="458" w:type="pct"/>
            <w:vMerge/>
            <w:shd w:val="clear" w:color="auto" w:fill="auto"/>
            <w:vAlign w:val="center"/>
          </w:tcPr>
          <w:p w14:paraId="1270B540" w14:textId="77777777" w:rsidR="005A5621" w:rsidRPr="00A34F10" w:rsidRDefault="005A5621" w:rsidP="005A5621">
            <w:pPr>
              <w:jc w:val="center"/>
              <w:rPr>
                <w:sz w:val="20"/>
                <w:szCs w:val="20"/>
                <w:lang w:val="en-GB"/>
              </w:rPr>
            </w:pPr>
          </w:p>
        </w:tc>
        <w:tc>
          <w:tcPr>
            <w:tcW w:w="330" w:type="pct"/>
            <w:tcBorders>
              <w:bottom w:val="single" w:sz="4" w:space="0" w:color="auto"/>
            </w:tcBorders>
            <w:shd w:val="clear" w:color="auto" w:fill="auto"/>
            <w:vAlign w:val="center"/>
          </w:tcPr>
          <w:p w14:paraId="08E602BE" w14:textId="77777777" w:rsidR="005A5621" w:rsidRPr="00A34F10" w:rsidRDefault="005A5621" w:rsidP="005A5621">
            <w:pPr>
              <w:jc w:val="center"/>
              <w:rPr>
                <w:sz w:val="20"/>
                <w:szCs w:val="20"/>
                <w:lang w:val="en-GB"/>
              </w:rPr>
            </w:pPr>
            <w:r w:rsidRPr="00A34F10">
              <w:rPr>
                <w:sz w:val="20"/>
                <w:szCs w:val="20"/>
              </w:rPr>
              <w:t>10.5</w:t>
            </w:r>
          </w:p>
        </w:tc>
        <w:tc>
          <w:tcPr>
            <w:tcW w:w="411" w:type="pct"/>
            <w:vMerge/>
            <w:shd w:val="clear" w:color="auto" w:fill="auto"/>
            <w:vAlign w:val="center"/>
          </w:tcPr>
          <w:p w14:paraId="7B03D6C3" w14:textId="77777777" w:rsidR="005A5621" w:rsidRPr="00A34F10" w:rsidRDefault="005A5621" w:rsidP="005A5621">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D52E954" w14:textId="77777777" w:rsidR="005A5621" w:rsidRPr="00A34F10" w:rsidRDefault="005A5621" w:rsidP="005A5621">
            <w:pPr>
              <w:jc w:val="center"/>
              <w:rPr>
                <w:sz w:val="20"/>
                <w:szCs w:val="20"/>
                <w:highlight w:val="yellow"/>
                <w:lang w:val="en-GB"/>
              </w:rPr>
            </w:pPr>
            <w:r w:rsidRPr="00A34F10">
              <w:rPr>
                <w:sz w:val="20"/>
                <w:szCs w:val="20"/>
              </w:rPr>
              <w:t>21.49</w:t>
            </w:r>
          </w:p>
        </w:tc>
        <w:tc>
          <w:tcPr>
            <w:tcW w:w="478" w:type="pct"/>
            <w:tcBorders>
              <w:top w:val="single" w:sz="4" w:space="0" w:color="auto"/>
              <w:left w:val="nil"/>
              <w:bottom w:val="single" w:sz="4" w:space="0" w:color="auto"/>
              <w:right w:val="single" w:sz="4" w:space="0" w:color="auto"/>
            </w:tcBorders>
            <w:shd w:val="clear" w:color="auto" w:fill="auto"/>
            <w:vAlign w:val="center"/>
          </w:tcPr>
          <w:p w14:paraId="50CE2A55" w14:textId="68118464"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56.2</w:t>
            </w:r>
          </w:p>
        </w:tc>
      </w:tr>
      <w:tr w:rsidR="005A5621" w:rsidRPr="00A34F10" w14:paraId="69FD6F4C" w14:textId="77777777" w:rsidTr="00592A10">
        <w:trPr>
          <w:cantSplit/>
        </w:trPr>
        <w:tc>
          <w:tcPr>
            <w:tcW w:w="808" w:type="pct"/>
            <w:tcBorders>
              <w:bottom w:val="single" w:sz="4" w:space="0" w:color="auto"/>
            </w:tcBorders>
            <w:shd w:val="clear" w:color="auto" w:fill="auto"/>
            <w:vAlign w:val="center"/>
          </w:tcPr>
          <w:p w14:paraId="405051B6" w14:textId="77777777" w:rsidR="005A5621" w:rsidRPr="00A34F10" w:rsidRDefault="005A5621" w:rsidP="005A5621">
            <w:pPr>
              <w:jc w:val="center"/>
              <w:rPr>
                <w:sz w:val="20"/>
                <w:szCs w:val="20"/>
                <w:lang w:val="en-GB"/>
              </w:rPr>
            </w:pPr>
            <w:r w:rsidRPr="00A34F10">
              <w:rPr>
                <w:sz w:val="20"/>
                <w:szCs w:val="20"/>
              </w:rPr>
              <w:t>BBCH 10-39</w:t>
            </w:r>
          </w:p>
        </w:tc>
        <w:tc>
          <w:tcPr>
            <w:tcW w:w="1844" w:type="pct"/>
            <w:tcBorders>
              <w:bottom w:val="single" w:sz="4" w:space="0" w:color="auto"/>
            </w:tcBorders>
            <w:shd w:val="clear" w:color="auto" w:fill="auto"/>
            <w:vAlign w:val="center"/>
          </w:tcPr>
          <w:p w14:paraId="645B7726" w14:textId="77777777" w:rsidR="005A5621" w:rsidRPr="00A34F10" w:rsidRDefault="005A5621" w:rsidP="005A5621">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23F6EA50" w14:textId="77777777" w:rsidR="005A5621" w:rsidRPr="00A34F10" w:rsidRDefault="005A5621" w:rsidP="005A5621">
            <w:pPr>
              <w:jc w:val="center"/>
              <w:rPr>
                <w:sz w:val="20"/>
                <w:szCs w:val="20"/>
                <w:lang w:val="en-GB"/>
              </w:rPr>
            </w:pPr>
          </w:p>
        </w:tc>
        <w:tc>
          <w:tcPr>
            <w:tcW w:w="330" w:type="pct"/>
            <w:tcBorders>
              <w:bottom w:val="single" w:sz="4" w:space="0" w:color="auto"/>
            </w:tcBorders>
            <w:shd w:val="clear" w:color="auto" w:fill="auto"/>
            <w:vAlign w:val="center"/>
          </w:tcPr>
          <w:p w14:paraId="5287BC0E" w14:textId="77777777" w:rsidR="005A5621" w:rsidRPr="00A34F10" w:rsidRDefault="005A5621" w:rsidP="005A5621">
            <w:pPr>
              <w:jc w:val="center"/>
              <w:rPr>
                <w:sz w:val="20"/>
                <w:szCs w:val="20"/>
                <w:lang w:val="en-GB"/>
              </w:rPr>
            </w:pPr>
            <w:r w:rsidRPr="00A34F10">
              <w:rPr>
                <w:sz w:val="20"/>
                <w:szCs w:val="20"/>
              </w:rPr>
              <w:t>17.2</w:t>
            </w:r>
          </w:p>
        </w:tc>
        <w:tc>
          <w:tcPr>
            <w:tcW w:w="411" w:type="pct"/>
            <w:vMerge/>
            <w:shd w:val="clear" w:color="auto" w:fill="auto"/>
            <w:vAlign w:val="center"/>
          </w:tcPr>
          <w:p w14:paraId="3C463961" w14:textId="77777777" w:rsidR="005A5621" w:rsidRPr="00A34F10" w:rsidRDefault="005A5621" w:rsidP="005A5621">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D142556" w14:textId="77777777" w:rsidR="005A5621" w:rsidRPr="00A34F10" w:rsidRDefault="005A5621" w:rsidP="005A5621">
            <w:pPr>
              <w:jc w:val="center"/>
              <w:rPr>
                <w:sz w:val="20"/>
                <w:szCs w:val="20"/>
                <w:highlight w:val="yellow"/>
                <w:lang w:val="en-GB"/>
              </w:rPr>
            </w:pPr>
            <w:r w:rsidRPr="00A34F10">
              <w:rPr>
                <w:sz w:val="20"/>
                <w:szCs w:val="20"/>
              </w:rPr>
              <w:t>35.21</w:t>
            </w:r>
          </w:p>
        </w:tc>
        <w:tc>
          <w:tcPr>
            <w:tcW w:w="478" w:type="pct"/>
            <w:tcBorders>
              <w:top w:val="single" w:sz="4" w:space="0" w:color="auto"/>
              <w:left w:val="nil"/>
              <w:bottom w:val="single" w:sz="4" w:space="0" w:color="auto"/>
              <w:right w:val="single" w:sz="4" w:space="0" w:color="auto"/>
            </w:tcBorders>
            <w:shd w:val="clear" w:color="auto" w:fill="auto"/>
            <w:vAlign w:val="center"/>
          </w:tcPr>
          <w:p w14:paraId="38E9520C" w14:textId="3AE5AEB8"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34.3</w:t>
            </w:r>
          </w:p>
        </w:tc>
      </w:tr>
      <w:tr w:rsidR="005A5621" w:rsidRPr="00A34F10" w14:paraId="777C76CB" w14:textId="77777777" w:rsidTr="00592A10">
        <w:trPr>
          <w:cantSplit/>
        </w:trPr>
        <w:tc>
          <w:tcPr>
            <w:tcW w:w="808" w:type="pct"/>
            <w:tcBorders>
              <w:bottom w:val="single" w:sz="12" w:space="0" w:color="auto"/>
            </w:tcBorders>
            <w:shd w:val="clear" w:color="auto" w:fill="auto"/>
            <w:vAlign w:val="center"/>
          </w:tcPr>
          <w:p w14:paraId="3AA3A7C0" w14:textId="77777777" w:rsidR="005A5621" w:rsidRPr="00A34F10" w:rsidRDefault="005A5621" w:rsidP="005A5621">
            <w:pPr>
              <w:jc w:val="center"/>
              <w:rPr>
                <w:sz w:val="20"/>
                <w:szCs w:val="20"/>
                <w:lang w:val="en-GB"/>
              </w:rPr>
            </w:pPr>
            <w:r w:rsidRPr="00A34F10">
              <w:rPr>
                <w:sz w:val="20"/>
                <w:szCs w:val="20"/>
              </w:rPr>
              <w:t>BBCH ≥40</w:t>
            </w:r>
          </w:p>
        </w:tc>
        <w:tc>
          <w:tcPr>
            <w:tcW w:w="1844" w:type="pct"/>
            <w:tcBorders>
              <w:bottom w:val="single" w:sz="12" w:space="0" w:color="auto"/>
            </w:tcBorders>
            <w:shd w:val="clear" w:color="auto" w:fill="auto"/>
            <w:vAlign w:val="center"/>
          </w:tcPr>
          <w:p w14:paraId="3367553B" w14:textId="77777777" w:rsidR="005A5621" w:rsidRPr="00A34F10" w:rsidRDefault="005A5621" w:rsidP="005A5621">
            <w:pPr>
              <w:jc w:val="center"/>
              <w:rPr>
                <w:sz w:val="20"/>
                <w:szCs w:val="20"/>
                <w:lang w:val="en-GB"/>
              </w:rPr>
            </w:pPr>
            <w:r w:rsidRPr="00A34F10">
              <w:rPr>
                <w:sz w:val="20"/>
                <w:szCs w:val="20"/>
                <w:lang w:val="en-GB"/>
              </w:rPr>
              <w:t>Small omnivorous mammal “mouse”</w:t>
            </w:r>
          </w:p>
        </w:tc>
        <w:tc>
          <w:tcPr>
            <w:tcW w:w="458" w:type="pct"/>
            <w:vMerge/>
            <w:tcBorders>
              <w:bottom w:val="single" w:sz="12" w:space="0" w:color="auto"/>
            </w:tcBorders>
            <w:shd w:val="clear" w:color="auto" w:fill="auto"/>
            <w:vAlign w:val="center"/>
          </w:tcPr>
          <w:p w14:paraId="1E3D822A" w14:textId="77777777" w:rsidR="005A5621" w:rsidRPr="00A34F10" w:rsidRDefault="005A5621" w:rsidP="005A5621">
            <w:pPr>
              <w:jc w:val="center"/>
              <w:rPr>
                <w:sz w:val="20"/>
                <w:szCs w:val="20"/>
                <w:lang w:val="en-GB"/>
              </w:rPr>
            </w:pPr>
          </w:p>
        </w:tc>
        <w:tc>
          <w:tcPr>
            <w:tcW w:w="330" w:type="pct"/>
            <w:tcBorders>
              <w:bottom w:val="single" w:sz="12" w:space="0" w:color="auto"/>
            </w:tcBorders>
            <w:shd w:val="clear" w:color="auto" w:fill="auto"/>
            <w:vAlign w:val="center"/>
          </w:tcPr>
          <w:p w14:paraId="38B754E8" w14:textId="77777777" w:rsidR="005A5621" w:rsidRPr="00A34F10" w:rsidRDefault="005A5621" w:rsidP="005A5621">
            <w:pPr>
              <w:jc w:val="center"/>
              <w:rPr>
                <w:sz w:val="20"/>
                <w:szCs w:val="20"/>
                <w:lang w:val="en-GB"/>
              </w:rPr>
            </w:pPr>
            <w:r w:rsidRPr="00A34F10">
              <w:rPr>
                <w:sz w:val="20"/>
                <w:szCs w:val="20"/>
              </w:rPr>
              <w:t>5.2</w:t>
            </w:r>
          </w:p>
        </w:tc>
        <w:tc>
          <w:tcPr>
            <w:tcW w:w="411" w:type="pct"/>
            <w:vMerge/>
            <w:tcBorders>
              <w:bottom w:val="single" w:sz="12" w:space="0" w:color="auto"/>
            </w:tcBorders>
            <w:shd w:val="clear" w:color="auto" w:fill="auto"/>
            <w:vAlign w:val="center"/>
          </w:tcPr>
          <w:p w14:paraId="6C412557" w14:textId="77777777" w:rsidR="005A5621" w:rsidRPr="00A34F10" w:rsidRDefault="005A5621" w:rsidP="005A5621">
            <w:pPr>
              <w:jc w:val="center"/>
              <w:rPr>
                <w:sz w:val="20"/>
                <w:szCs w:val="20"/>
                <w:lang w:val="en-GB"/>
              </w:rPr>
            </w:pPr>
          </w:p>
        </w:tc>
        <w:tc>
          <w:tcPr>
            <w:tcW w:w="671" w:type="pct"/>
            <w:tcBorders>
              <w:top w:val="single" w:sz="4" w:space="0" w:color="auto"/>
              <w:left w:val="single" w:sz="4" w:space="0" w:color="auto"/>
              <w:bottom w:val="single" w:sz="12" w:space="0" w:color="auto"/>
              <w:right w:val="single" w:sz="4" w:space="0" w:color="auto"/>
            </w:tcBorders>
            <w:shd w:val="clear" w:color="auto" w:fill="auto"/>
            <w:vAlign w:val="center"/>
          </w:tcPr>
          <w:p w14:paraId="1A426B60" w14:textId="77777777" w:rsidR="005A5621" w:rsidRPr="00A34F10" w:rsidRDefault="005A5621" w:rsidP="005A5621">
            <w:pPr>
              <w:jc w:val="center"/>
              <w:rPr>
                <w:sz w:val="20"/>
                <w:szCs w:val="20"/>
                <w:highlight w:val="yellow"/>
                <w:lang w:val="en-GB"/>
              </w:rPr>
            </w:pPr>
            <w:r w:rsidRPr="00A34F10">
              <w:rPr>
                <w:sz w:val="20"/>
                <w:szCs w:val="20"/>
              </w:rPr>
              <w:t>10.64</w:t>
            </w:r>
          </w:p>
        </w:tc>
        <w:tc>
          <w:tcPr>
            <w:tcW w:w="478" w:type="pct"/>
            <w:tcBorders>
              <w:top w:val="single" w:sz="4" w:space="0" w:color="auto"/>
              <w:left w:val="nil"/>
              <w:bottom w:val="single" w:sz="12" w:space="0" w:color="auto"/>
              <w:right w:val="single" w:sz="4" w:space="0" w:color="auto"/>
            </w:tcBorders>
            <w:shd w:val="clear" w:color="auto" w:fill="auto"/>
            <w:vAlign w:val="center"/>
          </w:tcPr>
          <w:p w14:paraId="011E0397" w14:textId="18B01303" w:rsidR="005A5621" w:rsidRPr="0040045F" w:rsidRDefault="00660E58" w:rsidP="005A5621">
            <w:pPr>
              <w:jc w:val="center"/>
              <w:rPr>
                <w:sz w:val="20"/>
                <w:szCs w:val="20"/>
                <w:highlight w:val="green"/>
                <w:lang w:val="en-GB"/>
              </w:rPr>
            </w:pPr>
            <w:r>
              <w:rPr>
                <w:sz w:val="20"/>
                <w:szCs w:val="20"/>
                <w:highlight w:val="green"/>
              </w:rPr>
              <w:t>&gt;</w:t>
            </w:r>
            <w:r w:rsidR="005A5621">
              <w:rPr>
                <w:sz w:val="20"/>
                <w:szCs w:val="20"/>
              </w:rPr>
              <w:t xml:space="preserve"> </w:t>
            </w:r>
            <w:r w:rsidR="005A5621" w:rsidRPr="00A34F10">
              <w:rPr>
                <w:sz w:val="20"/>
                <w:szCs w:val="20"/>
              </w:rPr>
              <w:t>113.5</w:t>
            </w:r>
          </w:p>
        </w:tc>
      </w:tr>
      <w:tr w:rsidR="00DC5685" w:rsidRPr="00A34F10" w14:paraId="2742E880" w14:textId="77777777" w:rsidTr="000470C3">
        <w:trPr>
          <w:cantSplit/>
        </w:trPr>
        <w:tc>
          <w:tcPr>
            <w:tcW w:w="5000" w:type="pct"/>
            <w:gridSpan w:val="7"/>
            <w:tcBorders>
              <w:top w:val="single" w:sz="12" w:space="0" w:color="auto"/>
              <w:left w:val="single" w:sz="12" w:space="0" w:color="auto"/>
              <w:bottom w:val="single" w:sz="12" w:space="0" w:color="auto"/>
              <w:right w:val="single" w:sz="12" w:space="0" w:color="auto"/>
            </w:tcBorders>
            <w:shd w:val="clear" w:color="auto" w:fill="auto"/>
            <w:vAlign w:val="center"/>
          </w:tcPr>
          <w:p w14:paraId="7CE639C3" w14:textId="77777777" w:rsidR="00DC5685" w:rsidRPr="00A34F10" w:rsidRDefault="00DC5685" w:rsidP="000470C3">
            <w:pPr>
              <w:jc w:val="center"/>
              <w:rPr>
                <w:sz w:val="20"/>
                <w:szCs w:val="20"/>
              </w:rPr>
            </w:pPr>
            <w:r w:rsidRPr="00A34F10">
              <w:rPr>
                <w:b/>
                <w:sz w:val="20"/>
                <w:szCs w:val="20"/>
                <w:lang w:val="en-GB"/>
              </w:rPr>
              <w:t>Potatoes (</w:t>
            </w:r>
            <w:r w:rsidRPr="00A34F10">
              <w:rPr>
                <w:b/>
                <w:sz w:val="20"/>
                <w:szCs w:val="20"/>
              </w:rPr>
              <w:t>2</w:t>
            </w:r>
            <w:r w:rsidRPr="00A34F10">
              <w:rPr>
                <w:b/>
                <w:bCs/>
                <w:sz w:val="20"/>
                <w:szCs w:val="20"/>
              </w:rPr>
              <w:t xml:space="preserve"> × (∑ 0.240 + 0.902) </w:t>
            </w:r>
            <w:r w:rsidRPr="00A34F10">
              <w:rPr>
                <w:b/>
                <w:bCs/>
                <w:sz w:val="20"/>
                <w:szCs w:val="20"/>
                <w:vertAlign w:val="superscript"/>
              </w:rPr>
              <w:t>1)</w:t>
            </w:r>
            <w:r w:rsidRPr="00A34F10">
              <w:rPr>
                <w:b/>
                <w:bCs/>
                <w:sz w:val="20"/>
                <w:szCs w:val="20"/>
                <w:lang w:val="en-GB"/>
              </w:rPr>
              <w:t>,</w:t>
            </w:r>
            <w:r w:rsidRPr="00A34F10">
              <w:rPr>
                <w:b/>
                <w:sz w:val="20"/>
                <w:szCs w:val="20"/>
                <w:lang w:val="en-GB"/>
              </w:rPr>
              <w:t xml:space="preserve"> BBCH 21-89)</w:t>
            </w:r>
          </w:p>
        </w:tc>
      </w:tr>
      <w:tr w:rsidR="00592A10" w:rsidRPr="00A34F10" w14:paraId="6F040139" w14:textId="77777777" w:rsidTr="00592A10">
        <w:trPr>
          <w:cantSplit/>
        </w:trPr>
        <w:tc>
          <w:tcPr>
            <w:tcW w:w="808" w:type="pct"/>
            <w:tcBorders>
              <w:top w:val="single" w:sz="12" w:space="0" w:color="auto"/>
              <w:bottom w:val="single" w:sz="4" w:space="0" w:color="auto"/>
            </w:tcBorders>
            <w:shd w:val="clear" w:color="auto" w:fill="auto"/>
            <w:vAlign w:val="center"/>
          </w:tcPr>
          <w:p w14:paraId="4CDE3750" w14:textId="77777777" w:rsidR="00592A10" w:rsidRPr="00A34F10" w:rsidRDefault="00592A10" w:rsidP="00592A10">
            <w:pPr>
              <w:jc w:val="center"/>
              <w:rPr>
                <w:sz w:val="20"/>
                <w:szCs w:val="20"/>
              </w:rPr>
            </w:pPr>
            <w:r w:rsidRPr="00A34F10">
              <w:rPr>
                <w:sz w:val="20"/>
                <w:szCs w:val="20"/>
              </w:rPr>
              <w:t>BBCH ≥20</w:t>
            </w:r>
          </w:p>
        </w:tc>
        <w:tc>
          <w:tcPr>
            <w:tcW w:w="1844" w:type="pct"/>
            <w:tcBorders>
              <w:top w:val="single" w:sz="12" w:space="0" w:color="auto"/>
              <w:bottom w:val="single" w:sz="4" w:space="0" w:color="auto"/>
            </w:tcBorders>
            <w:shd w:val="clear" w:color="auto" w:fill="auto"/>
            <w:vAlign w:val="center"/>
          </w:tcPr>
          <w:p w14:paraId="03FCD67A" w14:textId="77777777" w:rsidR="00592A10" w:rsidRPr="00A34F10" w:rsidRDefault="00592A10" w:rsidP="00592A10">
            <w:pPr>
              <w:jc w:val="center"/>
              <w:rPr>
                <w:sz w:val="20"/>
                <w:szCs w:val="20"/>
                <w:lang w:val="en-GB"/>
              </w:rPr>
            </w:pPr>
            <w:r w:rsidRPr="00A34F10">
              <w:rPr>
                <w:sz w:val="20"/>
                <w:szCs w:val="20"/>
                <w:lang w:val="en-GB"/>
              </w:rPr>
              <w:t>Small insectivorous mammal “shrew”</w:t>
            </w:r>
          </w:p>
        </w:tc>
        <w:tc>
          <w:tcPr>
            <w:tcW w:w="458" w:type="pct"/>
            <w:vMerge w:val="restart"/>
            <w:tcBorders>
              <w:top w:val="single" w:sz="12" w:space="0" w:color="auto"/>
            </w:tcBorders>
            <w:shd w:val="clear" w:color="auto" w:fill="auto"/>
            <w:vAlign w:val="center"/>
          </w:tcPr>
          <w:p w14:paraId="15BCB4B4" w14:textId="77777777" w:rsidR="00592A10" w:rsidRPr="00A34F10" w:rsidRDefault="00592A10" w:rsidP="00592A10">
            <w:pPr>
              <w:jc w:val="center"/>
              <w:rPr>
                <w:sz w:val="20"/>
                <w:szCs w:val="20"/>
                <w:lang w:val="en-GB"/>
              </w:rPr>
            </w:pPr>
            <w:r w:rsidRPr="00A34F10">
              <w:rPr>
                <w:sz w:val="20"/>
                <w:szCs w:val="20"/>
                <w:lang w:val="en-GB"/>
              </w:rPr>
              <w:t>1.142</w:t>
            </w:r>
          </w:p>
        </w:tc>
        <w:tc>
          <w:tcPr>
            <w:tcW w:w="330" w:type="pct"/>
            <w:tcBorders>
              <w:top w:val="single" w:sz="12" w:space="0" w:color="auto"/>
              <w:bottom w:val="single" w:sz="4" w:space="0" w:color="auto"/>
            </w:tcBorders>
            <w:shd w:val="clear" w:color="auto" w:fill="auto"/>
            <w:vAlign w:val="center"/>
          </w:tcPr>
          <w:p w14:paraId="036D2194" w14:textId="77777777" w:rsidR="00592A10" w:rsidRPr="00A34F10" w:rsidRDefault="00592A10" w:rsidP="00592A10">
            <w:pPr>
              <w:jc w:val="center"/>
              <w:rPr>
                <w:sz w:val="20"/>
                <w:szCs w:val="20"/>
              </w:rPr>
            </w:pPr>
            <w:r w:rsidRPr="00A34F10">
              <w:rPr>
                <w:sz w:val="20"/>
                <w:szCs w:val="20"/>
              </w:rPr>
              <w:t>5.4</w:t>
            </w:r>
          </w:p>
        </w:tc>
        <w:tc>
          <w:tcPr>
            <w:tcW w:w="411" w:type="pct"/>
            <w:vMerge w:val="restart"/>
            <w:tcBorders>
              <w:top w:val="single" w:sz="12" w:space="0" w:color="auto"/>
            </w:tcBorders>
            <w:shd w:val="clear" w:color="auto" w:fill="auto"/>
            <w:vAlign w:val="center"/>
          </w:tcPr>
          <w:p w14:paraId="0CADE97C" w14:textId="77777777" w:rsidR="00592A10" w:rsidRPr="00A34F10" w:rsidRDefault="00592A10" w:rsidP="00592A10">
            <w:pPr>
              <w:jc w:val="center"/>
              <w:rPr>
                <w:sz w:val="20"/>
                <w:szCs w:val="20"/>
                <w:lang w:val="en-GB"/>
              </w:rPr>
            </w:pPr>
            <w:r w:rsidRPr="00A34F10">
              <w:rPr>
                <w:sz w:val="20"/>
                <w:szCs w:val="20"/>
                <w:lang w:val="en-GB"/>
              </w:rPr>
              <w:t xml:space="preserve">1.48 </w:t>
            </w:r>
          </w:p>
        </w:tc>
        <w:tc>
          <w:tcPr>
            <w:tcW w:w="671" w:type="pct"/>
            <w:tcBorders>
              <w:top w:val="single" w:sz="12" w:space="0" w:color="auto"/>
              <w:left w:val="single" w:sz="4" w:space="0" w:color="auto"/>
              <w:bottom w:val="single" w:sz="4" w:space="0" w:color="auto"/>
              <w:right w:val="single" w:sz="4" w:space="0" w:color="auto"/>
            </w:tcBorders>
            <w:shd w:val="clear" w:color="auto" w:fill="auto"/>
            <w:vAlign w:val="center"/>
          </w:tcPr>
          <w:p w14:paraId="06E2EECD" w14:textId="77777777" w:rsidR="00592A10" w:rsidRPr="00A34F10" w:rsidRDefault="00592A10" w:rsidP="00592A10">
            <w:pPr>
              <w:jc w:val="center"/>
              <w:rPr>
                <w:sz w:val="20"/>
                <w:szCs w:val="20"/>
              </w:rPr>
            </w:pPr>
            <w:r w:rsidRPr="00A34F10">
              <w:rPr>
                <w:sz w:val="20"/>
                <w:szCs w:val="20"/>
              </w:rPr>
              <w:t>9.13</w:t>
            </w:r>
          </w:p>
        </w:tc>
        <w:tc>
          <w:tcPr>
            <w:tcW w:w="478" w:type="pct"/>
            <w:tcBorders>
              <w:top w:val="single" w:sz="12" w:space="0" w:color="auto"/>
              <w:left w:val="nil"/>
              <w:bottom w:val="single" w:sz="4" w:space="0" w:color="auto"/>
              <w:right w:val="single" w:sz="4" w:space="0" w:color="auto"/>
            </w:tcBorders>
            <w:shd w:val="clear" w:color="auto" w:fill="auto"/>
            <w:vAlign w:val="center"/>
          </w:tcPr>
          <w:p w14:paraId="4AEFDD27" w14:textId="739BF9C3" w:rsidR="00592A10" w:rsidRPr="0040045F" w:rsidRDefault="00660E58" w:rsidP="00592A10">
            <w:pPr>
              <w:jc w:val="center"/>
              <w:rPr>
                <w:sz w:val="20"/>
                <w:szCs w:val="20"/>
                <w:highlight w:val="green"/>
              </w:rPr>
            </w:pPr>
            <w:r>
              <w:rPr>
                <w:sz w:val="20"/>
                <w:szCs w:val="20"/>
                <w:highlight w:val="green"/>
              </w:rPr>
              <w:t>&gt;</w:t>
            </w:r>
            <w:r w:rsidR="00592A10">
              <w:rPr>
                <w:sz w:val="20"/>
                <w:szCs w:val="20"/>
              </w:rPr>
              <w:t xml:space="preserve"> </w:t>
            </w:r>
            <w:r w:rsidR="00592A10" w:rsidRPr="00A34F10">
              <w:rPr>
                <w:sz w:val="20"/>
                <w:szCs w:val="20"/>
              </w:rPr>
              <w:t>132.3</w:t>
            </w:r>
          </w:p>
        </w:tc>
      </w:tr>
      <w:tr w:rsidR="00592A10" w:rsidRPr="00A34F10" w14:paraId="3BEF217A" w14:textId="77777777" w:rsidTr="00592A10">
        <w:trPr>
          <w:cantSplit/>
        </w:trPr>
        <w:tc>
          <w:tcPr>
            <w:tcW w:w="808" w:type="pct"/>
            <w:tcBorders>
              <w:bottom w:val="single" w:sz="4" w:space="0" w:color="auto"/>
            </w:tcBorders>
            <w:shd w:val="clear" w:color="auto" w:fill="auto"/>
            <w:vAlign w:val="center"/>
          </w:tcPr>
          <w:p w14:paraId="07AFE2AB" w14:textId="77777777" w:rsidR="00592A10" w:rsidRPr="00A34F10" w:rsidRDefault="00592A10" w:rsidP="00592A10">
            <w:pPr>
              <w:jc w:val="center"/>
              <w:rPr>
                <w:sz w:val="20"/>
                <w:szCs w:val="20"/>
              </w:rPr>
            </w:pPr>
            <w:r w:rsidRPr="00A34F10">
              <w:rPr>
                <w:sz w:val="20"/>
                <w:szCs w:val="20"/>
              </w:rPr>
              <w:t>BBCH ≥40</w:t>
            </w:r>
          </w:p>
        </w:tc>
        <w:tc>
          <w:tcPr>
            <w:tcW w:w="1844" w:type="pct"/>
            <w:tcBorders>
              <w:bottom w:val="single" w:sz="4" w:space="0" w:color="auto"/>
            </w:tcBorders>
            <w:shd w:val="clear" w:color="auto" w:fill="auto"/>
            <w:vAlign w:val="center"/>
          </w:tcPr>
          <w:p w14:paraId="01977073" w14:textId="77777777" w:rsidR="00592A10" w:rsidRPr="00A34F10" w:rsidRDefault="00592A10" w:rsidP="00592A10">
            <w:pPr>
              <w:jc w:val="center"/>
              <w:rPr>
                <w:sz w:val="20"/>
                <w:szCs w:val="20"/>
                <w:lang w:val="en-GB"/>
              </w:rPr>
            </w:pPr>
            <w:r w:rsidRPr="00A34F10">
              <w:rPr>
                <w:sz w:val="20"/>
                <w:szCs w:val="20"/>
                <w:lang w:val="en-GB"/>
              </w:rPr>
              <w:t>Small herbivorous mammal “vole”</w:t>
            </w:r>
          </w:p>
        </w:tc>
        <w:tc>
          <w:tcPr>
            <w:tcW w:w="458" w:type="pct"/>
            <w:vMerge/>
            <w:shd w:val="clear" w:color="auto" w:fill="auto"/>
            <w:vAlign w:val="center"/>
          </w:tcPr>
          <w:p w14:paraId="29C19357" w14:textId="77777777" w:rsidR="00592A10" w:rsidRPr="00A34F10" w:rsidRDefault="00592A10" w:rsidP="00592A10">
            <w:pPr>
              <w:jc w:val="center"/>
              <w:rPr>
                <w:sz w:val="20"/>
                <w:szCs w:val="20"/>
                <w:lang w:val="en-GB"/>
              </w:rPr>
            </w:pPr>
          </w:p>
        </w:tc>
        <w:tc>
          <w:tcPr>
            <w:tcW w:w="330" w:type="pct"/>
            <w:tcBorders>
              <w:bottom w:val="single" w:sz="4" w:space="0" w:color="auto"/>
            </w:tcBorders>
            <w:shd w:val="clear" w:color="auto" w:fill="auto"/>
            <w:vAlign w:val="center"/>
          </w:tcPr>
          <w:p w14:paraId="023E46DA" w14:textId="77777777" w:rsidR="00592A10" w:rsidRPr="00A34F10" w:rsidRDefault="00592A10" w:rsidP="00592A10">
            <w:pPr>
              <w:jc w:val="center"/>
              <w:rPr>
                <w:sz w:val="20"/>
                <w:szCs w:val="20"/>
              </w:rPr>
            </w:pPr>
            <w:r w:rsidRPr="00A34F10">
              <w:rPr>
                <w:sz w:val="20"/>
                <w:szCs w:val="20"/>
              </w:rPr>
              <w:t>40.9</w:t>
            </w:r>
          </w:p>
        </w:tc>
        <w:tc>
          <w:tcPr>
            <w:tcW w:w="411" w:type="pct"/>
            <w:vMerge/>
            <w:shd w:val="clear" w:color="auto" w:fill="auto"/>
            <w:vAlign w:val="center"/>
          </w:tcPr>
          <w:p w14:paraId="2A30DACC" w14:textId="77777777" w:rsidR="00592A10" w:rsidRPr="00A34F10" w:rsidRDefault="00592A10" w:rsidP="00592A10">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F468BC8" w14:textId="77777777" w:rsidR="00592A10" w:rsidRPr="00A34F10" w:rsidRDefault="00592A10" w:rsidP="00592A10">
            <w:pPr>
              <w:jc w:val="center"/>
              <w:rPr>
                <w:sz w:val="20"/>
                <w:szCs w:val="20"/>
              </w:rPr>
            </w:pPr>
            <w:r w:rsidRPr="00A34F10">
              <w:rPr>
                <w:sz w:val="20"/>
                <w:szCs w:val="20"/>
              </w:rPr>
              <w:t>69.16</w:t>
            </w:r>
          </w:p>
        </w:tc>
        <w:tc>
          <w:tcPr>
            <w:tcW w:w="478" w:type="pct"/>
            <w:tcBorders>
              <w:top w:val="single" w:sz="4" w:space="0" w:color="auto"/>
              <w:left w:val="nil"/>
              <w:bottom w:val="single" w:sz="4" w:space="0" w:color="auto"/>
              <w:right w:val="single" w:sz="4" w:space="0" w:color="auto"/>
            </w:tcBorders>
            <w:shd w:val="clear" w:color="auto" w:fill="auto"/>
            <w:vAlign w:val="center"/>
          </w:tcPr>
          <w:p w14:paraId="406D4B50" w14:textId="6FED5BE9" w:rsidR="00592A10" w:rsidRPr="0040045F" w:rsidRDefault="00660E58" w:rsidP="00592A10">
            <w:pPr>
              <w:jc w:val="center"/>
              <w:rPr>
                <w:sz w:val="20"/>
                <w:szCs w:val="20"/>
                <w:highlight w:val="green"/>
              </w:rPr>
            </w:pPr>
            <w:r>
              <w:rPr>
                <w:sz w:val="20"/>
                <w:szCs w:val="20"/>
                <w:highlight w:val="green"/>
              </w:rPr>
              <w:t>&gt;</w:t>
            </w:r>
            <w:r w:rsidR="00592A10">
              <w:rPr>
                <w:sz w:val="20"/>
                <w:szCs w:val="20"/>
              </w:rPr>
              <w:t xml:space="preserve"> </w:t>
            </w:r>
            <w:r w:rsidR="00592A10" w:rsidRPr="00A34F10">
              <w:rPr>
                <w:sz w:val="20"/>
                <w:szCs w:val="20"/>
              </w:rPr>
              <w:t>17.5</w:t>
            </w:r>
          </w:p>
        </w:tc>
      </w:tr>
      <w:tr w:rsidR="00592A10" w:rsidRPr="00A34F10" w14:paraId="3EBA4C01" w14:textId="77777777" w:rsidTr="00592A10">
        <w:trPr>
          <w:cantSplit/>
        </w:trPr>
        <w:tc>
          <w:tcPr>
            <w:tcW w:w="808" w:type="pct"/>
            <w:tcBorders>
              <w:bottom w:val="single" w:sz="4" w:space="0" w:color="auto"/>
            </w:tcBorders>
            <w:shd w:val="clear" w:color="auto" w:fill="auto"/>
            <w:vAlign w:val="center"/>
          </w:tcPr>
          <w:p w14:paraId="5FE42C92" w14:textId="77777777" w:rsidR="00592A10" w:rsidRPr="00A34F10" w:rsidRDefault="00592A10" w:rsidP="00592A10">
            <w:pPr>
              <w:jc w:val="center"/>
              <w:rPr>
                <w:sz w:val="20"/>
                <w:szCs w:val="20"/>
              </w:rPr>
            </w:pPr>
            <w:r w:rsidRPr="00A34F10">
              <w:rPr>
                <w:sz w:val="20"/>
                <w:szCs w:val="20"/>
              </w:rPr>
              <w:t>BBCH 10-40</w:t>
            </w:r>
          </w:p>
        </w:tc>
        <w:tc>
          <w:tcPr>
            <w:tcW w:w="1844" w:type="pct"/>
            <w:tcBorders>
              <w:bottom w:val="single" w:sz="4" w:space="0" w:color="auto"/>
            </w:tcBorders>
            <w:shd w:val="clear" w:color="auto" w:fill="auto"/>
            <w:vAlign w:val="center"/>
          </w:tcPr>
          <w:p w14:paraId="4F8EC26B" w14:textId="77777777" w:rsidR="00592A10" w:rsidRPr="00A34F10" w:rsidRDefault="00592A10" w:rsidP="00592A10">
            <w:pPr>
              <w:jc w:val="center"/>
              <w:rPr>
                <w:sz w:val="20"/>
                <w:szCs w:val="20"/>
                <w:lang w:val="en-GB"/>
              </w:rPr>
            </w:pPr>
            <w:r w:rsidRPr="00A34F10">
              <w:rPr>
                <w:sz w:val="20"/>
                <w:szCs w:val="20"/>
                <w:lang w:val="en-GB"/>
              </w:rPr>
              <w:t>Large herbivorous mammal “lagomorph”</w:t>
            </w:r>
          </w:p>
        </w:tc>
        <w:tc>
          <w:tcPr>
            <w:tcW w:w="458" w:type="pct"/>
            <w:vMerge/>
            <w:shd w:val="clear" w:color="auto" w:fill="auto"/>
            <w:vAlign w:val="center"/>
          </w:tcPr>
          <w:p w14:paraId="32C5537F" w14:textId="77777777" w:rsidR="00592A10" w:rsidRPr="00A34F10" w:rsidRDefault="00592A10" w:rsidP="00592A10">
            <w:pPr>
              <w:jc w:val="center"/>
              <w:rPr>
                <w:sz w:val="20"/>
                <w:szCs w:val="20"/>
                <w:lang w:val="en-GB"/>
              </w:rPr>
            </w:pPr>
          </w:p>
        </w:tc>
        <w:tc>
          <w:tcPr>
            <w:tcW w:w="330" w:type="pct"/>
            <w:tcBorders>
              <w:bottom w:val="single" w:sz="4" w:space="0" w:color="auto"/>
            </w:tcBorders>
            <w:shd w:val="clear" w:color="auto" w:fill="auto"/>
            <w:vAlign w:val="center"/>
          </w:tcPr>
          <w:p w14:paraId="5720F3B2" w14:textId="77777777" w:rsidR="00592A10" w:rsidRPr="00A34F10" w:rsidRDefault="00592A10" w:rsidP="00592A10">
            <w:pPr>
              <w:jc w:val="center"/>
              <w:rPr>
                <w:sz w:val="20"/>
                <w:szCs w:val="20"/>
              </w:rPr>
            </w:pPr>
            <w:r w:rsidRPr="00A34F10">
              <w:rPr>
                <w:sz w:val="20"/>
                <w:szCs w:val="20"/>
              </w:rPr>
              <w:t>35.1</w:t>
            </w:r>
          </w:p>
        </w:tc>
        <w:tc>
          <w:tcPr>
            <w:tcW w:w="411" w:type="pct"/>
            <w:vMerge/>
            <w:shd w:val="clear" w:color="auto" w:fill="auto"/>
            <w:vAlign w:val="center"/>
          </w:tcPr>
          <w:p w14:paraId="2631D539" w14:textId="77777777" w:rsidR="00592A10" w:rsidRPr="00A34F10" w:rsidRDefault="00592A10" w:rsidP="00592A10">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0CDB236" w14:textId="77777777" w:rsidR="00592A10" w:rsidRPr="00A34F10" w:rsidRDefault="00592A10" w:rsidP="00592A10">
            <w:pPr>
              <w:jc w:val="center"/>
              <w:rPr>
                <w:sz w:val="20"/>
                <w:szCs w:val="20"/>
              </w:rPr>
            </w:pPr>
            <w:r w:rsidRPr="00A34F10">
              <w:rPr>
                <w:sz w:val="20"/>
                <w:szCs w:val="20"/>
              </w:rPr>
              <w:t>59.35</w:t>
            </w:r>
          </w:p>
        </w:tc>
        <w:tc>
          <w:tcPr>
            <w:tcW w:w="478" w:type="pct"/>
            <w:tcBorders>
              <w:top w:val="single" w:sz="4" w:space="0" w:color="auto"/>
              <w:left w:val="nil"/>
              <w:bottom w:val="single" w:sz="4" w:space="0" w:color="auto"/>
              <w:right w:val="single" w:sz="4" w:space="0" w:color="auto"/>
            </w:tcBorders>
            <w:shd w:val="clear" w:color="auto" w:fill="auto"/>
            <w:vAlign w:val="center"/>
          </w:tcPr>
          <w:p w14:paraId="4E3ABEE6" w14:textId="1B35E7A6" w:rsidR="00592A10" w:rsidRPr="0040045F" w:rsidRDefault="00660E58" w:rsidP="00592A10">
            <w:pPr>
              <w:jc w:val="center"/>
              <w:rPr>
                <w:sz w:val="20"/>
                <w:szCs w:val="20"/>
                <w:highlight w:val="green"/>
              </w:rPr>
            </w:pPr>
            <w:r>
              <w:rPr>
                <w:sz w:val="20"/>
                <w:szCs w:val="20"/>
                <w:highlight w:val="green"/>
              </w:rPr>
              <w:t>&gt;</w:t>
            </w:r>
            <w:r w:rsidR="00592A10">
              <w:rPr>
                <w:sz w:val="20"/>
                <w:szCs w:val="20"/>
              </w:rPr>
              <w:t xml:space="preserve"> </w:t>
            </w:r>
            <w:r w:rsidR="00592A10" w:rsidRPr="00A34F10">
              <w:rPr>
                <w:sz w:val="20"/>
                <w:szCs w:val="20"/>
              </w:rPr>
              <w:t>20.4</w:t>
            </w:r>
          </w:p>
        </w:tc>
      </w:tr>
      <w:tr w:rsidR="00592A10" w:rsidRPr="00A34F10" w14:paraId="32803BC5" w14:textId="77777777" w:rsidTr="00592A10">
        <w:trPr>
          <w:cantSplit/>
        </w:trPr>
        <w:tc>
          <w:tcPr>
            <w:tcW w:w="808" w:type="pct"/>
            <w:tcBorders>
              <w:bottom w:val="single" w:sz="4" w:space="0" w:color="auto"/>
            </w:tcBorders>
            <w:shd w:val="clear" w:color="auto" w:fill="auto"/>
            <w:vAlign w:val="center"/>
          </w:tcPr>
          <w:p w14:paraId="0C02A306" w14:textId="77777777" w:rsidR="00592A10" w:rsidRPr="00A34F10" w:rsidRDefault="00592A10" w:rsidP="00592A10">
            <w:pPr>
              <w:jc w:val="center"/>
              <w:rPr>
                <w:sz w:val="20"/>
                <w:szCs w:val="20"/>
              </w:rPr>
            </w:pPr>
            <w:r w:rsidRPr="00A34F10">
              <w:rPr>
                <w:sz w:val="20"/>
                <w:szCs w:val="20"/>
              </w:rPr>
              <w:t>BBCH ≥40</w:t>
            </w:r>
          </w:p>
        </w:tc>
        <w:tc>
          <w:tcPr>
            <w:tcW w:w="1844" w:type="pct"/>
            <w:tcBorders>
              <w:bottom w:val="single" w:sz="4" w:space="0" w:color="auto"/>
            </w:tcBorders>
            <w:shd w:val="clear" w:color="auto" w:fill="auto"/>
            <w:vAlign w:val="center"/>
          </w:tcPr>
          <w:p w14:paraId="5C34DCCB" w14:textId="77777777" w:rsidR="00592A10" w:rsidRPr="00A34F10" w:rsidRDefault="00592A10" w:rsidP="00592A10">
            <w:pPr>
              <w:jc w:val="center"/>
              <w:rPr>
                <w:sz w:val="20"/>
                <w:szCs w:val="20"/>
                <w:lang w:val="en-GB"/>
              </w:rPr>
            </w:pPr>
            <w:r w:rsidRPr="00A34F10">
              <w:rPr>
                <w:sz w:val="20"/>
                <w:szCs w:val="20"/>
                <w:lang w:val="en-GB"/>
              </w:rPr>
              <w:t>Large herbivorous mammal “lagomorph”</w:t>
            </w:r>
          </w:p>
        </w:tc>
        <w:tc>
          <w:tcPr>
            <w:tcW w:w="458" w:type="pct"/>
            <w:vMerge/>
            <w:shd w:val="clear" w:color="auto" w:fill="auto"/>
            <w:vAlign w:val="center"/>
          </w:tcPr>
          <w:p w14:paraId="730739C0" w14:textId="77777777" w:rsidR="00592A10" w:rsidRPr="00A34F10" w:rsidRDefault="00592A10" w:rsidP="00592A10">
            <w:pPr>
              <w:jc w:val="center"/>
              <w:rPr>
                <w:sz w:val="20"/>
                <w:szCs w:val="20"/>
                <w:lang w:val="en-GB"/>
              </w:rPr>
            </w:pPr>
          </w:p>
        </w:tc>
        <w:tc>
          <w:tcPr>
            <w:tcW w:w="330" w:type="pct"/>
            <w:tcBorders>
              <w:bottom w:val="single" w:sz="4" w:space="0" w:color="auto"/>
            </w:tcBorders>
            <w:shd w:val="clear" w:color="auto" w:fill="auto"/>
            <w:vAlign w:val="center"/>
          </w:tcPr>
          <w:p w14:paraId="773F6B11" w14:textId="77777777" w:rsidR="00592A10" w:rsidRPr="00A34F10" w:rsidRDefault="00592A10" w:rsidP="00592A10">
            <w:pPr>
              <w:jc w:val="center"/>
              <w:rPr>
                <w:sz w:val="20"/>
                <w:szCs w:val="20"/>
              </w:rPr>
            </w:pPr>
            <w:r w:rsidRPr="00A34F10">
              <w:rPr>
                <w:sz w:val="20"/>
                <w:szCs w:val="20"/>
              </w:rPr>
              <w:t>10.5</w:t>
            </w:r>
          </w:p>
        </w:tc>
        <w:tc>
          <w:tcPr>
            <w:tcW w:w="411" w:type="pct"/>
            <w:vMerge/>
            <w:shd w:val="clear" w:color="auto" w:fill="auto"/>
            <w:vAlign w:val="center"/>
          </w:tcPr>
          <w:p w14:paraId="56FB4FCE" w14:textId="77777777" w:rsidR="00592A10" w:rsidRPr="00A34F10" w:rsidRDefault="00592A10" w:rsidP="00592A10">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2316995" w14:textId="77777777" w:rsidR="00592A10" w:rsidRPr="00A34F10" w:rsidRDefault="00592A10" w:rsidP="00592A10">
            <w:pPr>
              <w:jc w:val="center"/>
              <w:rPr>
                <w:sz w:val="20"/>
                <w:szCs w:val="20"/>
              </w:rPr>
            </w:pPr>
            <w:r w:rsidRPr="00A34F10">
              <w:rPr>
                <w:sz w:val="20"/>
                <w:szCs w:val="20"/>
              </w:rPr>
              <w:t>17.76</w:t>
            </w:r>
          </w:p>
        </w:tc>
        <w:tc>
          <w:tcPr>
            <w:tcW w:w="478" w:type="pct"/>
            <w:tcBorders>
              <w:top w:val="single" w:sz="4" w:space="0" w:color="auto"/>
              <w:left w:val="nil"/>
              <w:bottom w:val="single" w:sz="4" w:space="0" w:color="auto"/>
              <w:right w:val="single" w:sz="4" w:space="0" w:color="auto"/>
            </w:tcBorders>
            <w:shd w:val="clear" w:color="auto" w:fill="auto"/>
            <w:vAlign w:val="center"/>
          </w:tcPr>
          <w:p w14:paraId="3CAC2124" w14:textId="0DA30EC8" w:rsidR="00592A10" w:rsidRPr="0040045F" w:rsidRDefault="00660E58" w:rsidP="00592A10">
            <w:pPr>
              <w:jc w:val="center"/>
              <w:rPr>
                <w:sz w:val="20"/>
                <w:szCs w:val="20"/>
                <w:highlight w:val="green"/>
              </w:rPr>
            </w:pPr>
            <w:r>
              <w:rPr>
                <w:sz w:val="20"/>
                <w:szCs w:val="20"/>
                <w:highlight w:val="green"/>
              </w:rPr>
              <w:t>&gt;</w:t>
            </w:r>
            <w:r w:rsidR="00592A10">
              <w:rPr>
                <w:sz w:val="20"/>
                <w:szCs w:val="20"/>
              </w:rPr>
              <w:t xml:space="preserve"> </w:t>
            </w:r>
            <w:r w:rsidR="00592A10" w:rsidRPr="00A34F10">
              <w:rPr>
                <w:sz w:val="20"/>
                <w:szCs w:val="20"/>
              </w:rPr>
              <w:t>68.1</w:t>
            </w:r>
          </w:p>
        </w:tc>
      </w:tr>
      <w:tr w:rsidR="00592A10" w:rsidRPr="00A34F10" w14:paraId="10D0D4D5" w14:textId="77777777" w:rsidTr="00592A10">
        <w:trPr>
          <w:cantSplit/>
        </w:trPr>
        <w:tc>
          <w:tcPr>
            <w:tcW w:w="808" w:type="pct"/>
            <w:tcBorders>
              <w:bottom w:val="single" w:sz="4" w:space="0" w:color="auto"/>
            </w:tcBorders>
            <w:shd w:val="clear" w:color="auto" w:fill="auto"/>
            <w:vAlign w:val="center"/>
          </w:tcPr>
          <w:p w14:paraId="7C81CF4D" w14:textId="77777777" w:rsidR="00592A10" w:rsidRPr="00A34F10" w:rsidRDefault="00592A10" w:rsidP="00592A10">
            <w:pPr>
              <w:jc w:val="center"/>
              <w:rPr>
                <w:sz w:val="20"/>
                <w:szCs w:val="20"/>
              </w:rPr>
            </w:pPr>
            <w:r w:rsidRPr="00A34F10">
              <w:rPr>
                <w:sz w:val="20"/>
                <w:szCs w:val="20"/>
              </w:rPr>
              <w:t>BBCH 10-39</w:t>
            </w:r>
          </w:p>
        </w:tc>
        <w:tc>
          <w:tcPr>
            <w:tcW w:w="1844" w:type="pct"/>
            <w:tcBorders>
              <w:bottom w:val="single" w:sz="4" w:space="0" w:color="auto"/>
            </w:tcBorders>
            <w:shd w:val="clear" w:color="auto" w:fill="auto"/>
            <w:vAlign w:val="center"/>
          </w:tcPr>
          <w:p w14:paraId="1AFABBE7" w14:textId="77777777" w:rsidR="00592A10" w:rsidRPr="00A34F10" w:rsidRDefault="00592A10" w:rsidP="00592A10">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20075B5F" w14:textId="77777777" w:rsidR="00592A10" w:rsidRPr="00A34F10" w:rsidRDefault="00592A10" w:rsidP="00592A10">
            <w:pPr>
              <w:jc w:val="center"/>
              <w:rPr>
                <w:sz w:val="20"/>
                <w:szCs w:val="20"/>
                <w:lang w:val="en-GB"/>
              </w:rPr>
            </w:pPr>
          </w:p>
        </w:tc>
        <w:tc>
          <w:tcPr>
            <w:tcW w:w="330" w:type="pct"/>
            <w:tcBorders>
              <w:bottom w:val="single" w:sz="4" w:space="0" w:color="auto"/>
            </w:tcBorders>
            <w:shd w:val="clear" w:color="auto" w:fill="auto"/>
            <w:vAlign w:val="center"/>
          </w:tcPr>
          <w:p w14:paraId="554905CE" w14:textId="77777777" w:rsidR="00592A10" w:rsidRPr="00A34F10" w:rsidRDefault="00592A10" w:rsidP="00592A10">
            <w:pPr>
              <w:jc w:val="center"/>
              <w:rPr>
                <w:sz w:val="20"/>
                <w:szCs w:val="20"/>
              </w:rPr>
            </w:pPr>
            <w:r w:rsidRPr="00A34F10">
              <w:rPr>
                <w:sz w:val="20"/>
                <w:szCs w:val="20"/>
              </w:rPr>
              <w:t>17.2</w:t>
            </w:r>
          </w:p>
        </w:tc>
        <w:tc>
          <w:tcPr>
            <w:tcW w:w="411" w:type="pct"/>
            <w:vMerge/>
            <w:shd w:val="clear" w:color="auto" w:fill="auto"/>
            <w:vAlign w:val="center"/>
          </w:tcPr>
          <w:p w14:paraId="6D7095D0" w14:textId="77777777" w:rsidR="00592A10" w:rsidRPr="00A34F10" w:rsidRDefault="00592A10" w:rsidP="00592A10">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3302E92" w14:textId="77777777" w:rsidR="00592A10" w:rsidRPr="00A34F10" w:rsidRDefault="00592A10" w:rsidP="00592A10">
            <w:pPr>
              <w:jc w:val="center"/>
              <w:rPr>
                <w:sz w:val="20"/>
                <w:szCs w:val="20"/>
              </w:rPr>
            </w:pPr>
            <w:r w:rsidRPr="00A34F10">
              <w:rPr>
                <w:sz w:val="20"/>
                <w:szCs w:val="20"/>
              </w:rPr>
              <w:t>29.09</w:t>
            </w:r>
          </w:p>
        </w:tc>
        <w:tc>
          <w:tcPr>
            <w:tcW w:w="478" w:type="pct"/>
            <w:tcBorders>
              <w:top w:val="single" w:sz="4" w:space="0" w:color="auto"/>
              <w:left w:val="nil"/>
              <w:bottom w:val="single" w:sz="4" w:space="0" w:color="auto"/>
              <w:right w:val="single" w:sz="4" w:space="0" w:color="auto"/>
            </w:tcBorders>
            <w:shd w:val="clear" w:color="auto" w:fill="auto"/>
            <w:vAlign w:val="center"/>
          </w:tcPr>
          <w:p w14:paraId="3A7760FE" w14:textId="55C177AE" w:rsidR="00592A10" w:rsidRPr="0040045F" w:rsidRDefault="00660E58" w:rsidP="00592A10">
            <w:pPr>
              <w:jc w:val="center"/>
              <w:rPr>
                <w:sz w:val="20"/>
                <w:szCs w:val="20"/>
                <w:highlight w:val="green"/>
              </w:rPr>
            </w:pPr>
            <w:r>
              <w:rPr>
                <w:sz w:val="20"/>
                <w:szCs w:val="20"/>
                <w:highlight w:val="green"/>
              </w:rPr>
              <w:t>&gt;</w:t>
            </w:r>
            <w:r w:rsidR="00592A10">
              <w:rPr>
                <w:sz w:val="20"/>
                <w:szCs w:val="20"/>
              </w:rPr>
              <w:t xml:space="preserve"> </w:t>
            </w:r>
            <w:r w:rsidR="00592A10" w:rsidRPr="00A34F10">
              <w:rPr>
                <w:sz w:val="20"/>
                <w:szCs w:val="20"/>
              </w:rPr>
              <w:t>41.5</w:t>
            </w:r>
          </w:p>
        </w:tc>
      </w:tr>
      <w:tr w:rsidR="00592A10" w:rsidRPr="00A34F10" w14:paraId="0EDBB5C1" w14:textId="77777777" w:rsidTr="00592A10">
        <w:trPr>
          <w:cantSplit/>
        </w:trPr>
        <w:tc>
          <w:tcPr>
            <w:tcW w:w="808" w:type="pct"/>
            <w:tcBorders>
              <w:bottom w:val="single" w:sz="4" w:space="0" w:color="auto"/>
            </w:tcBorders>
            <w:shd w:val="clear" w:color="auto" w:fill="auto"/>
            <w:vAlign w:val="center"/>
          </w:tcPr>
          <w:p w14:paraId="368199B7" w14:textId="77777777" w:rsidR="00592A10" w:rsidRPr="00A34F10" w:rsidRDefault="00592A10" w:rsidP="00592A10">
            <w:pPr>
              <w:jc w:val="center"/>
              <w:rPr>
                <w:sz w:val="20"/>
                <w:szCs w:val="20"/>
              </w:rPr>
            </w:pPr>
            <w:r w:rsidRPr="00A34F10">
              <w:rPr>
                <w:sz w:val="20"/>
                <w:szCs w:val="20"/>
              </w:rPr>
              <w:t>BBCH ≥40</w:t>
            </w:r>
          </w:p>
        </w:tc>
        <w:tc>
          <w:tcPr>
            <w:tcW w:w="1844" w:type="pct"/>
            <w:tcBorders>
              <w:bottom w:val="single" w:sz="4" w:space="0" w:color="auto"/>
            </w:tcBorders>
            <w:shd w:val="clear" w:color="auto" w:fill="auto"/>
            <w:vAlign w:val="center"/>
          </w:tcPr>
          <w:p w14:paraId="24F2CD03" w14:textId="77777777" w:rsidR="00592A10" w:rsidRPr="00A34F10" w:rsidRDefault="00592A10" w:rsidP="00592A10">
            <w:pPr>
              <w:jc w:val="center"/>
              <w:rPr>
                <w:sz w:val="20"/>
                <w:szCs w:val="20"/>
                <w:lang w:val="en-GB"/>
              </w:rPr>
            </w:pPr>
            <w:r w:rsidRPr="00A34F10">
              <w:rPr>
                <w:sz w:val="20"/>
                <w:szCs w:val="20"/>
                <w:lang w:val="en-GB"/>
              </w:rPr>
              <w:t>Small omnivorous mammal “mouse”</w:t>
            </w:r>
          </w:p>
        </w:tc>
        <w:tc>
          <w:tcPr>
            <w:tcW w:w="458" w:type="pct"/>
            <w:vMerge/>
            <w:tcBorders>
              <w:bottom w:val="single" w:sz="4" w:space="0" w:color="auto"/>
            </w:tcBorders>
            <w:shd w:val="clear" w:color="auto" w:fill="auto"/>
            <w:vAlign w:val="center"/>
          </w:tcPr>
          <w:p w14:paraId="11AFA32A" w14:textId="77777777" w:rsidR="00592A10" w:rsidRPr="00A34F10" w:rsidRDefault="00592A10" w:rsidP="00592A10">
            <w:pPr>
              <w:jc w:val="center"/>
              <w:rPr>
                <w:sz w:val="20"/>
                <w:szCs w:val="20"/>
                <w:lang w:val="en-GB"/>
              </w:rPr>
            </w:pPr>
          </w:p>
        </w:tc>
        <w:tc>
          <w:tcPr>
            <w:tcW w:w="330" w:type="pct"/>
            <w:tcBorders>
              <w:bottom w:val="single" w:sz="4" w:space="0" w:color="auto"/>
            </w:tcBorders>
            <w:shd w:val="clear" w:color="auto" w:fill="auto"/>
            <w:vAlign w:val="center"/>
          </w:tcPr>
          <w:p w14:paraId="1A134925" w14:textId="77777777" w:rsidR="00592A10" w:rsidRPr="00A34F10" w:rsidRDefault="00592A10" w:rsidP="00592A10">
            <w:pPr>
              <w:jc w:val="center"/>
              <w:rPr>
                <w:sz w:val="20"/>
                <w:szCs w:val="20"/>
              </w:rPr>
            </w:pPr>
            <w:r w:rsidRPr="00A34F10">
              <w:rPr>
                <w:sz w:val="20"/>
                <w:szCs w:val="20"/>
              </w:rPr>
              <w:t>5.2</w:t>
            </w:r>
          </w:p>
        </w:tc>
        <w:tc>
          <w:tcPr>
            <w:tcW w:w="411" w:type="pct"/>
            <w:vMerge/>
            <w:tcBorders>
              <w:bottom w:val="single" w:sz="4" w:space="0" w:color="auto"/>
            </w:tcBorders>
            <w:shd w:val="clear" w:color="auto" w:fill="auto"/>
            <w:vAlign w:val="center"/>
          </w:tcPr>
          <w:p w14:paraId="70E9BD78" w14:textId="77777777" w:rsidR="00592A10" w:rsidRPr="00A34F10" w:rsidRDefault="00592A10" w:rsidP="00592A10">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216AB2A" w14:textId="77777777" w:rsidR="00592A10" w:rsidRPr="00A34F10" w:rsidRDefault="00592A10" w:rsidP="00592A10">
            <w:pPr>
              <w:jc w:val="center"/>
              <w:rPr>
                <w:sz w:val="20"/>
                <w:szCs w:val="20"/>
              </w:rPr>
            </w:pPr>
            <w:r w:rsidRPr="00A34F10">
              <w:rPr>
                <w:sz w:val="20"/>
                <w:szCs w:val="20"/>
              </w:rPr>
              <w:t>8.79</w:t>
            </w:r>
          </w:p>
        </w:tc>
        <w:tc>
          <w:tcPr>
            <w:tcW w:w="478" w:type="pct"/>
            <w:tcBorders>
              <w:top w:val="single" w:sz="4" w:space="0" w:color="auto"/>
              <w:left w:val="nil"/>
              <w:bottom w:val="single" w:sz="4" w:space="0" w:color="auto"/>
              <w:right w:val="single" w:sz="4" w:space="0" w:color="auto"/>
            </w:tcBorders>
            <w:shd w:val="clear" w:color="auto" w:fill="auto"/>
            <w:vAlign w:val="center"/>
          </w:tcPr>
          <w:p w14:paraId="4AB14CCA" w14:textId="33F3F772" w:rsidR="00592A10" w:rsidRPr="0040045F" w:rsidRDefault="00660E58" w:rsidP="00592A10">
            <w:pPr>
              <w:jc w:val="center"/>
              <w:rPr>
                <w:sz w:val="20"/>
                <w:szCs w:val="20"/>
                <w:highlight w:val="green"/>
              </w:rPr>
            </w:pPr>
            <w:r>
              <w:rPr>
                <w:sz w:val="20"/>
                <w:szCs w:val="20"/>
                <w:highlight w:val="green"/>
              </w:rPr>
              <w:t>&gt;</w:t>
            </w:r>
            <w:r w:rsidR="00592A10">
              <w:rPr>
                <w:sz w:val="20"/>
                <w:szCs w:val="20"/>
                <w:highlight w:val="green"/>
              </w:rPr>
              <w:t xml:space="preserve"> </w:t>
            </w:r>
            <w:r w:rsidR="00592A10" w:rsidRPr="00A34F10">
              <w:rPr>
                <w:sz w:val="20"/>
                <w:szCs w:val="20"/>
              </w:rPr>
              <w:t>137.4</w:t>
            </w:r>
          </w:p>
        </w:tc>
      </w:tr>
      <w:tr w:rsidR="00DC5685" w:rsidRPr="00A34F10" w14:paraId="1A670D97" w14:textId="77777777" w:rsidTr="000470C3">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27C70DBF" w14:textId="77777777" w:rsidR="00DC5685" w:rsidRPr="00A34F10" w:rsidRDefault="00DC5685" w:rsidP="000470C3">
            <w:pPr>
              <w:jc w:val="center"/>
              <w:rPr>
                <w:b/>
                <w:color w:val="000000"/>
                <w:sz w:val="20"/>
                <w:szCs w:val="20"/>
                <w:lang w:val="en-GB"/>
              </w:rPr>
            </w:pPr>
            <w:r w:rsidRPr="00A34F10">
              <w:rPr>
                <w:b/>
                <w:sz w:val="20"/>
                <w:szCs w:val="20"/>
                <w:lang w:val="en-GB"/>
              </w:rPr>
              <w:t xml:space="preserve">Bulbs and onion like crops (2 x </w:t>
            </w:r>
            <w:r w:rsidRPr="00A34F10">
              <w:rPr>
                <w:b/>
                <w:bCs/>
                <w:sz w:val="20"/>
                <w:szCs w:val="20"/>
              </w:rPr>
              <w:t xml:space="preserve">(∑ 0.240 + 0.902) </w:t>
            </w:r>
            <w:r w:rsidRPr="00A34F10">
              <w:rPr>
                <w:b/>
                <w:sz w:val="20"/>
                <w:szCs w:val="20"/>
                <w:lang w:val="en-GB"/>
              </w:rPr>
              <w:t>kg a.s./ha, BBCH 14–49)</w:t>
            </w:r>
          </w:p>
        </w:tc>
      </w:tr>
      <w:tr w:rsidR="00592A10" w:rsidRPr="00A34F10" w14:paraId="0E0957C4" w14:textId="77777777" w:rsidTr="00592A10">
        <w:trPr>
          <w:cantSplit/>
        </w:trPr>
        <w:tc>
          <w:tcPr>
            <w:tcW w:w="808" w:type="pct"/>
            <w:tcBorders>
              <w:top w:val="single" w:sz="4" w:space="0" w:color="auto"/>
              <w:left w:val="single" w:sz="4" w:space="0" w:color="auto"/>
              <w:bottom w:val="single" w:sz="2" w:space="0" w:color="auto"/>
              <w:right w:val="single" w:sz="4" w:space="0" w:color="auto"/>
            </w:tcBorders>
            <w:shd w:val="clear" w:color="auto" w:fill="auto"/>
            <w:vAlign w:val="center"/>
          </w:tcPr>
          <w:p w14:paraId="7E810BFB" w14:textId="77777777" w:rsidR="00592A10" w:rsidRPr="00A34F10" w:rsidRDefault="00592A10" w:rsidP="00592A10">
            <w:pPr>
              <w:jc w:val="center"/>
              <w:rPr>
                <w:color w:val="000000"/>
                <w:sz w:val="20"/>
                <w:szCs w:val="20"/>
                <w:lang w:val="en-GB" w:eastAsia="en-GB"/>
              </w:rPr>
            </w:pPr>
            <w:r w:rsidRPr="00A34F10">
              <w:rPr>
                <w:sz w:val="20"/>
                <w:szCs w:val="20"/>
              </w:rPr>
              <w:t>BBCH 10-19</w:t>
            </w:r>
          </w:p>
        </w:tc>
        <w:tc>
          <w:tcPr>
            <w:tcW w:w="1844" w:type="pct"/>
            <w:tcBorders>
              <w:top w:val="single" w:sz="4" w:space="0" w:color="auto"/>
              <w:left w:val="nil"/>
              <w:bottom w:val="single" w:sz="2" w:space="0" w:color="auto"/>
              <w:right w:val="single" w:sz="4" w:space="0" w:color="auto"/>
            </w:tcBorders>
            <w:shd w:val="clear" w:color="auto" w:fill="auto"/>
            <w:vAlign w:val="center"/>
          </w:tcPr>
          <w:p w14:paraId="37B589E1" w14:textId="77777777" w:rsidR="00592A10" w:rsidRPr="00A34F10" w:rsidRDefault="00592A10" w:rsidP="00592A10">
            <w:pPr>
              <w:jc w:val="center"/>
              <w:rPr>
                <w:color w:val="000000"/>
                <w:sz w:val="20"/>
                <w:szCs w:val="20"/>
                <w:lang w:val="en-GB"/>
              </w:rPr>
            </w:pPr>
            <w:r w:rsidRPr="00A34F10">
              <w:rPr>
                <w:sz w:val="20"/>
                <w:szCs w:val="20"/>
                <w:lang w:val="en-GB"/>
              </w:rPr>
              <w:t>Small insectivorous mammal “shrew”</w:t>
            </w:r>
          </w:p>
        </w:tc>
        <w:tc>
          <w:tcPr>
            <w:tcW w:w="458" w:type="pct"/>
            <w:vMerge w:val="restart"/>
            <w:shd w:val="clear" w:color="auto" w:fill="auto"/>
            <w:vAlign w:val="center"/>
          </w:tcPr>
          <w:p w14:paraId="4A775394" w14:textId="77777777" w:rsidR="00592A10" w:rsidRPr="00A34F10" w:rsidRDefault="00592A10" w:rsidP="00592A10">
            <w:pPr>
              <w:jc w:val="center"/>
              <w:rPr>
                <w:sz w:val="20"/>
                <w:szCs w:val="20"/>
                <w:lang w:val="en-GB"/>
              </w:rPr>
            </w:pPr>
            <w:r w:rsidRPr="00A34F10">
              <w:rPr>
                <w:sz w:val="20"/>
                <w:szCs w:val="20"/>
                <w:lang w:val="en-GB"/>
              </w:rPr>
              <w:t>1.142</w:t>
            </w:r>
          </w:p>
        </w:tc>
        <w:tc>
          <w:tcPr>
            <w:tcW w:w="330" w:type="pct"/>
            <w:tcBorders>
              <w:top w:val="single" w:sz="4" w:space="0" w:color="auto"/>
              <w:left w:val="single" w:sz="4" w:space="0" w:color="auto"/>
              <w:bottom w:val="single" w:sz="2" w:space="0" w:color="auto"/>
              <w:right w:val="single" w:sz="4" w:space="0" w:color="auto"/>
            </w:tcBorders>
            <w:shd w:val="clear" w:color="auto" w:fill="auto"/>
            <w:vAlign w:val="center"/>
          </w:tcPr>
          <w:p w14:paraId="5ECE429C" w14:textId="77777777" w:rsidR="00592A10" w:rsidRPr="00A34F10" w:rsidRDefault="00592A10" w:rsidP="00592A10">
            <w:pPr>
              <w:jc w:val="center"/>
              <w:rPr>
                <w:color w:val="000000"/>
                <w:sz w:val="20"/>
                <w:szCs w:val="20"/>
                <w:lang w:val="en-GB" w:eastAsia="en-GB"/>
              </w:rPr>
            </w:pPr>
            <w:r w:rsidRPr="00A34F10">
              <w:rPr>
                <w:sz w:val="20"/>
                <w:szCs w:val="20"/>
              </w:rPr>
              <w:t>7.6</w:t>
            </w:r>
          </w:p>
        </w:tc>
        <w:tc>
          <w:tcPr>
            <w:tcW w:w="411" w:type="pct"/>
            <w:vMerge w:val="restart"/>
            <w:shd w:val="clear" w:color="auto" w:fill="auto"/>
            <w:vAlign w:val="center"/>
          </w:tcPr>
          <w:p w14:paraId="646E098C" w14:textId="6C7129F5" w:rsidR="00592A10" w:rsidRPr="00592A10" w:rsidRDefault="00592A10" w:rsidP="00592A10">
            <w:pPr>
              <w:jc w:val="center"/>
              <w:rPr>
                <w:strike/>
                <w:sz w:val="20"/>
                <w:szCs w:val="20"/>
                <w:highlight w:val="green"/>
                <w:lang w:val="en-GB"/>
              </w:rPr>
            </w:pPr>
            <w:r w:rsidRPr="00592A10">
              <w:rPr>
                <w:strike/>
                <w:sz w:val="20"/>
                <w:szCs w:val="20"/>
                <w:highlight w:val="green"/>
                <w:lang w:val="en-GB"/>
              </w:rPr>
              <w:t>1.71</w:t>
            </w:r>
          </w:p>
          <w:p w14:paraId="29DE3F74" w14:textId="04AFB98D" w:rsidR="00592A10" w:rsidRPr="00A34F10" w:rsidRDefault="00592A10" w:rsidP="00592A10">
            <w:pPr>
              <w:jc w:val="center"/>
              <w:rPr>
                <w:sz w:val="20"/>
                <w:szCs w:val="20"/>
                <w:lang w:val="en-GB"/>
              </w:rPr>
            </w:pPr>
            <w:r w:rsidRPr="00691DF8">
              <w:rPr>
                <w:sz w:val="20"/>
                <w:szCs w:val="20"/>
                <w:highlight w:val="green"/>
                <w:lang w:val="en-GB"/>
              </w:rPr>
              <w:t>1.48</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4E350461" w14:textId="77777777" w:rsidR="00592A10" w:rsidRPr="00A34F10" w:rsidRDefault="00592A10" w:rsidP="00592A10">
            <w:pPr>
              <w:jc w:val="center"/>
              <w:rPr>
                <w:color w:val="000000"/>
                <w:sz w:val="20"/>
                <w:szCs w:val="20"/>
                <w:highlight w:val="yellow"/>
                <w:lang w:val="en-GB" w:eastAsia="en-GB"/>
              </w:rPr>
            </w:pPr>
            <w:r w:rsidRPr="00A34F10">
              <w:rPr>
                <w:sz w:val="20"/>
                <w:szCs w:val="20"/>
              </w:rPr>
              <w:t>12.85</w:t>
            </w:r>
          </w:p>
        </w:tc>
        <w:tc>
          <w:tcPr>
            <w:tcW w:w="478" w:type="pct"/>
            <w:tcBorders>
              <w:top w:val="single" w:sz="4" w:space="0" w:color="auto"/>
              <w:left w:val="single" w:sz="4" w:space="0" w:color="auto"/>
              <w:bottom w:val="single" w:sz="2" w:space="0" w:color="auto"/>
              <w:right w:val="single" w:sz="4" w:space="0" w:color="auto"/>
            </w:tcBorders>
            <w:shd w:val="clear" w:color="auto" w:fill="auto"/>
            <w:vAlign w:val="center"/>
          </w:tcPr>
          <w:p w14:paraId="62F5E2C4" w14:textId="14F6ECB5" w:rsidR="00592A10" w:rsidRPr="0040045F" w:rsidRDefault="00660E58" w:rsidP="00592A10">
            <w:pPr>
              <w:jc w:val="center"/>
              <w:rPr>
                <w:sz w:val="20"/>
                <w:szCs w:val="20"/>
                <w:highlight w:val="green"/>
                <w:lang w:val="en-GB" w:eastAsia="en-GB"/>
              </w:rPr>
            </w:pPr>
            <w:r>
              <w:rPr>
                <w:sz w:val="20"/>
                <w:szCs w:val="20"/>
                <w:highlight w:val="green"/>
              </w:rPr>
              <w:t>&gt;</w:t>
            </w:r>
            <w:r w:rsidR="00592A10">
              <w:rPr>
                <w:sz w:val="20"/>
                <w:szCs w:val="20"/>
                <w:highlight w:val="green"/>
              </w:rPr>
              <w:t xml:space="preserve"> </w:t>
            </w:r>
            <w:r w:rsidR="00592A10" w:rsidRPr="00A34F10">
              <w:rPr>
                <w:sz w:val="20"/>
                <w:szCs w:val="20"/>
              </w:rPr>
              <w:t>94.0</w:t>
            </w:r>
          </w:p>
        </w:tc>
      </w:tr>
      <w:tr w:rsidR="00592A10" w:rsidRPr="00A34F10" w14:paraId="52A8D39B" w14:textId="77777777" w:rsidTr="00592A10">
        <w:trPr>
          <w:cantSplit/>
        </w:trPr>
        <w:tc>
          <w:tcPr>
            <w:tcW w:w="808" w:type="pct"/>
            <w:tcBorders>
              <w:top w:val="single" w:sz="2" w:space="0" w:color="auto"/>
              <w:left w:val="single" w:sz="4" w:space="0" w:color="auto"/>
              <w:bottom w:val="single" w:sz="4" w:space="0" w:color="auto"/>
              <w:right w:val="single" w:sz="4" w:space="0" w:color="auto"/>
            </w:tcBorders>
            <w:shd w:val="clear" w:color="auto" w:fill="auto"/>
            <w:vAlign w:val="center"/>
          </w:tcPr>
          <w:p w14:paraId="1778B686" w14:textId="77777777" w:rsidR="00592A10" w:rsidRPr="00A34F10" w:rsidRDefault="00592A10" w:rsidP="00592A10">
            <w:pPr>
              <w:jc w:val="center"/>
              <w:rPr>
                <w:color w:val="000000"/>
                <w:sz w:val="20"/>
                <w:szCs w:val="20"/>
                <w:lang w:val="en-GB"/>
              </w:rPr>
            </w:pPr>
            <w:r w:rsidRPr="00A34F10">
              <w:rPr>
                <w:sz w:val="20"/>
                <w:szCs w:val="20"/>
              </w:rPr>
              <w:t>BBCH ≥20</w:t>
            </w:r>
          </w:p>
        </w:tc>
        <w:tc>
          <w:tcPr>
            <w:tcW w:w="1844" w:type="pct"/>
            <w:tcBorders>
              <w:top w:val="single" w:sz="2" w:space="0" w:color="auto"/>
              <w:left w:val="nil"/>
              <w:bottom w:val="single" w:sz="4" w:space="0" w:color="auto"/>
              <w:right w:val="single" w:sz="4" w:space="0" w:color="auto"/>
            </w:tcBorders>
            <w:shd w:val="clear" w:color="auto" w:fill="auto"/>
            <w:vAlign w:val="center"/>
          </w:tcPr>
          <w:p w14:paraId="0CFEEEA0" w14:textId="77777777" w:rsidR="00592A10" w:rsidRPr="00A34F10" w:rsidRDefault="00592A10" w:rsidP="00592A10">
            <w:pPr>
              <w:jc w:val="center"/>
              <w:rPr>
                <w:color w:val="000000"/>
                <w:sz w:val="20"/>
                <w:szCs w:val="20"/>
                <w:lang w:val="en-GB"/>
              </w:rPr>
            </w:pPr>
            <w:r w:rsidRPr="00A34F10">
              <w:rPr>
                <w:sz w:val="20"/>
                <w:szCs w:val="20"/>
                <w:lang w:val="en-GB"/>
              </w:rPr>
              <w:t>Small insectivorous mammal “shrew”</w:t>
            </w:r>
          </w:p>
        </w:tc>
        <w:tc>
          <w:tcPr>
            <w:tcW w:w="458" w:type="pct"/>
            <w:vMerge/>
            <w:shd w:val="clear" w:color="auto" w:fill="auto"/>
            <w:vAlign w:val="center"/>
          </w:tcPr>
          <w:p w14:paraId="2B152F97" w14:textId="77777777" w:rsidR="00592A10" w:rsidRPr="00A34F10" w:rsidRDefault="00592A10" w:rsidP="00592A10">
            <w:pPr>
              <w:jc w:val="center"/>
              <w:rPr>
                <w:sz w:val="20"/>
                <w:szCs w:val="20"/>
                <w:lang w:val="en-GB"/>
              </w:rPr>
            </w:pPr>
          </w:p>
        </w:tc>
        <w:tc>
          <w:tcPr>
            <w:tcW w:w="330" w:type="pct"/>
            <w:tcBorders>
              <w:top w:val="single" w:sz="2" w:space="0" w:color="auto"/>
              <w:left w:val="single" w:sz="4" w:space="0" w:color="auto"/>
              <w:bottom w:val="single" w:sz="4" w:space="0" w:color="auto"/>
              <w:right w:val="single" w:sz="4" w:space="0" w:color="auto"/>
            </w:tcBorders>
            <w:shd w:val="clear" w:color="auto" w:fill="auto"/>
            <w:vAlign w:val="center"/>
          </w:tcPr>
          <w:p w14:paraId="66CF87EC" w14:textId="77777777" w:rsidR="00592A10" w:rsidRPr="00A34F10" w:rsidRDefault="00592A10" w:rsidP="00592A10">
            <w:pPr>
              <w:jc w:val="center"/>
              <w:rPr>
                <w:color w:val="000000"/>
                <w:sz w:val="20"/>
                <w:szCs w:val="20"/>
                <w:lang w:val="en-GB"/>
              </w:rPr>
            </w:pPr>
            <w:r w:rsidRPr="00A34F10">
              <w:rPr>
                <w:sz w:val="20"/>
                <w:szCs w:val="20"/>
              </w:rPr>
              <w:t>5.4</w:t>
            </w:r>
          </w:p>
        </w:tc>
        <w:tc>
          <w:tcPr>
            <w:tcW w:w="411" w:type="pct"/>
            <w:vMerge/>
            <w:shd w:val="clear" w:color="auto" w:fill="auto"/>
            <w:vAlign w:val="center"/>
          </w:tcPr>
          <w:p w14:paraId="429E614B" w14:textId="77777777" w:rsidR="00592A10" w:rsidRPr="00A34F10" w:rsidRDefault="00592A10" w:rsidP="00592A10">
            <w:pPr>
              <w:jc w:val="center"/>
              <w:rPr>
                <w:sz w:val="20"/>
                <w:szCs w:val="20"/>
                <w:highlight w:val="yellow"/>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51075E0D" w14:textId="77777777" w:rsidR="00592A10" w:rsidRPr="00A34F10" w:rsidRDefault="00592A10" w:rsidP="00592A10">
            <w:pPr>
              <w:jc w:val="center"/>
              <w:rPr>
                <w:color w:val="000000"/>
                <w:sz w:val="20"/>
                <w:szCs w:val="20"/>
                <w:highlight w:val="yellow"/>
                <w:lang w:val="en-GB"/>
              </w:rPr>
            </w:pPr>
            <w:r w:rsidRPr="00A34F10">
              <w:rPr>
                <w:sz w:val="20"/>
                <w:szCs w:val="20"/>
              </w:rPr>
              <w:t>9.13</w:t>
            </w:r>
          </w:p>
        </w:tc>
        <w:tc>
          <w:tcPr>
            <w:tcW w:w="478" w:type="pct"/>
            <w:tcBorders>
              <w:top w:val="single" w:sz="2" w:space="0" w:color="auto"/>
              <w:left w:val="single" w:sz="4" w:space="0" w:color="auto"/>
              <w:bottom w:val="single" w:sz="4" w:space="0" w:color="auto"/>
              <w:right w:val="single" w:sz="4" w:space="0" w:color="auto"/>
            </w:tcBorders>
            <w:shd w:val="clear" w:color="auto" w:fill="auto"/>
            <w:vAlign w:val="center"/>
          </w:tcPr>
          <w:p w14:paraId="22AFF077" w14:textId="369BEBE2" w:rsidR="00592A10" w:rsidRPr="0040045F" w:rsidRDefault="00660E58" w:rsidP="00592A10">
            <w:pPr>
              <w:jc w:val="center"/>
              <w:rPr>
                <w:sz w:val="20"/>
                <w:szCs w:val="20"/>
                <w:highlight w:val="green"/>
                <w:lang w:val="en-GB"/>
              </w:rPr>
            </w:pPr>
            <w:r>
              <w:rPr>
                <w:sz w:val="20"/>
                <w:szCs w:val="20"/>
                <w:highlight w:val="green"/>
              </w:rPr>
              <w:t>&gt;</w:t>
            </w:r>
            <w:r w:rsidR="00592A10">
              <w:rPr>
                <w:sz w:val="20"/>
                <w:szCs w:val="20"/>
                <w:highlight w:val="green"/>
              </w:rPr>
              <w:t xml:space="preserve"> </w:t>
            </w:r>
            <w:r w:rsidR="00592A10" w:rsidRPr="00A34F10">
              <w:rPr>
                <w:sz w:val="20"/>
                <w:szCs w:val="20"/>
              </w:rPr>
              <w:t>132.3</w:t>
            </w:r>
          </w:p>
        </w:tc>
      </w:tr>
      <w:tr w:rsidR="00592A10" w:rsidRPr="00A34F10" w14:paraId="1232E7AE"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31CABB00" w14:textId="77777777" w:rsidR="00592A10" w:rsidRPr="00A34F10" w:rsidRDefault="00592A10" w:rsidP="00592A10">
            <w:pPr>
              <w:jc w:val="center"/>
              <w:rPr>
                <w:color w:val="000000"/>
                <w:sz w:val="20"/>
                <w:szCs w:val="20"/>
                <w:lang w:val="en-GB"/>
              </w:rPr>
            </w:pPr>
            <w:r w:rsidRPr="00A34F10">
              <w:rPr>
                <w:sz w:val="20"/>
                <w:szCs w:val="20"/>
              </w:rPr>
              <w:lastRenderedPageBreak/>
              <w:t>BBCH ≥40</w:t>
            </w:r>
          </w:p>
        </w:tc>
        <w:tc>
          <w:tcPr>
            <w:tcW w:w="1844" w:type="pct"/>
            <w:tcBorders>
              <w:top w:val="nil"/>
              <w:left w:val="nil"/>
              <w:bottom w:val="single" w:sz="4" w:space="0" w:color="auto"/>
              <w:right w:val="single" w:sz="4" w:space="0" w:color="auto"/>
            </w:tcBorders>
            <w:shd w:val="clear" w:color="auto" w:fill="auto"/>
            <w:vAlign w:val="center"/>
          </w:tcPr>
          <w:p w14:paraId="4974B2BC" w14:textId="77777777" w:rsidR="00592A10" w:rsidRPr="00A34F10" w:rsidRDefault="00592A10" w:rsidP="00592A10">
            <w:pPr>
              <w:jc w:val="center"/>
              <w:rPr>
                <w:color w:val="000000"/>
                <w:sz w:val="20"/>
                <w:szCs w:val="20"/>
                <w:lang w:val="en-GB"/>
              </w:rPr>
            </w:pPr>
            <w:r w:rsidRPr="00A34F10">
              <w:rPr>
                <w:sz w:val="20"/>
                <w:szCs w:val="20"/>
                <w:lang w:val="en-GB"/>
              </w:rPr>
              <w:t>Small herbivorous mammal “vole”</w:t>
            </w:r>
          </w:p>
        </w:tc>
        <w:tc>
          <w:tcPr>
            <w:tcW w:w="458" w:type="pct"/>
            <w:vMerge/>
            <w:shd w:val="clear" w:color="auto" w:fill="auto"/>
            <w:vAlign w:val="center"/>
          </w:tcPr>
          <w:p w14:paraId="1CF9B7EE" w14:textId="77777777" w:rsidR="00592A10" w:rsidRPr="00A34F10" w:rsidRDefault="00592A10" w:rsidP="00592A10">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3311F2F0" w14:textId="77777777" w:rsidR="00592A10" w:rsidRPr="00A34F10" w:rsidRDefault="00592A10" w:rsidP="00592A10">
            <w:pPr>
              <w:jc w:val="center"/>
              <w:rPr>
                <w:color w:val="000000"/>
                <w:sz w:val="20"/>
                <w:szCs w:val="20"/>
                <w:lang w:val="en-GB"/>
              </w:rPr>
            </w:pPr>
            <w:r w:rsidRPr="00A34F10">
              <w:rPr>
                <w:sz w:val="20"/>
                <w:szCs w:val="20"/>
              </w:rPr>
              <w:t>81.9</w:t>
            </w:r>
          </w:p>
        </w:tc>
        <w:tc>
          <w:tcPr>
            <w:tcW w:w="411" w:type="pct"/>
            <w:vMerge/>
            <w:shd w:val="clear" w:color="auto" w:fill="auto"/>
            <w:vAlign w:val="center"/>
          </w:tcPr>
          <w:p w14:paraId="52A1B3FC" w14:textId="77777777" w:rsidR="00592A10" w:rsidRPr="00A34F10" w:rsidRDefault="00592A10" w:rsidP="00592A10">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9A8EF74" w14:textId="77777777" w:rsidR="00592A10" w:rsidRDefault="00592A10" w:rsidP="00592A10">
            <w:pPr>
              <w:jc w:val="center"/>
              <w:rPr>
                <w:sz w:val="20"/>
                <w:szCs w:val="20"/>
              </w:rPr>
            </w:pPr>
            <w:r w:rsidRPr="00A34F10">
              <w:rPr>
                <w:sz w:val="20"/>
                <w:szCs w:val="20"/>
              </w:rPr>
              <w:t>138.49</w:t>
            </w:r>
          </w:p>
          <w:p w14:paraId="20829960" w14:textId="33440B0A" w:rsidR="00BC503C" w:rsidRPr="00A34F10" w:rsidRDefault="00BC503C" w:rsidP="00592A10">
            <w:pPr>
              <w:jc w:val="center"/>
              <w:rPr>
                <w:color w:val="000000"/>
                <w:sz w:val="20"/>
                <w:szCs w:val="20"/>
                <w:highlight w:val="yellow"/>
                <w:lang w:val="en-GB"/>
              </w:rPr>
            </w:pPr>
            <w:r>
              <w:rPr>
                <w:color w:val="000000"/>
                <w:sz w:val="20"/>
                <w:szCs w:val="20"/>
                <w:highlight w:val="yellow"/>
              </w:rPr>
              <w:t>93.</w:t>
            </w:r>
            <w:r w:rsidR="00A54781">
              <w:rPr>
                <w:color w:val="000000"/>
                <w:sz w:val="20"/>
                <w:szCs w:val="20"/>
                <w:highlight w:val="yellow"/>
              </w:rPr>
              <w:t>53 (1 app.)</w:t>
            </w:r>
          </w:p>
        </w:tc>
        <w:tc>
          <w:tcPr>
            <w:tcW w:w="478" w:type="pct"/>
            <w:tcBorders>
              <w:top w:val="nil"/>
              <w:left w:val="single" w:sz="4" w:space="0" w:color="auto"/>
              <w:bottom w:val="single" w:sz="4" w:space="0" w:color="auto"/>
              <w:right w:val="single" w:sz="4" w:space="0" w:color="auto"/>
            </w:tcBorders>
            <w:shd w:val="clear" w:color="auto" w:fill="auto"/>
            <w:vAlign w:val="center"/>
          </w:tcPr>
          <w:p w14:paraId="3DDB3C63" w14:textId="77777777" w:rsidR="00A54781" w:rsidRDefault="00660E58" w:rsidP="00592A10">
            <w:pPr>
              <w:jc w:val="center"/>
              <w:rPr>
                <w:b/>
                <w:bCs/>
                <w:sz w:val="20"/>
                <w:szCs w:val="20"/>
              </w:rPr>
            </w:pPr>
            <w:r>
              <w:rPr>
                <w:sz w:val="20"/>
                <w:szCs w:val="20"/>
                <w:highlight w:val="green"/>
              </w:rPr>
              <w:t>&gt;</w:t>
            </w:r>
            <w:r w:rsidR="00592A10">
              <w:rPr>
                <w:sz w:val="20"/>
                <w:szCs w:val="20"/>
                <w:highlight w:val="green"/>
              </w:rPr>
              <w:t xml:space="preserve"> </w:t>
            </w:r>
            <w:r w:rsidR="00592A10" w:rsidRPr="00A34F10">
              <w:rPr>
                <w:b/>
                <w:bCs/>
                <w:sz w:val="20"/>
                <w:szCs w:val="20"/>
              </w:rPr>
              <w:t>8.7</w:t>
            </w:r>
            <w:r>
              <w:rPr>
                <w:b/>
                <w:bCs/>
                <w:sz w:val="20"/>
                <w:szCs w:val="20"/>
              </w:rPr>
              <w:t xml:space="preserve"> </w:t>
            </w:r>
          </w:p>
          <w:p w14:paraId="4D42AEA6" w14:textId="7D74F97A" w:rsidR="00592A10" w:rsidRPr="00122081" w:rsidRDefault="00122081" w:rsidP="00592A10">
            <w:pPr>
              <w:jc w:val="center"/>
              <w:rPr>
                <w:sz w:val="20"/>
                <w:szCs w:val="20"/>
                <w:highlight w:val="green"/>
                <w:lang w:val="en-GB"/>
              </w:rPr>
            </w:pPr>
            <w:r w:rsidRPr="00122081">
              <w:rPr>
                <w:sz w:val="20"/>
                <w:szCs w:val="20"/>
                <w:highlight w:val="yellow"/>
                <w:lang w:val="en-GB"/>
              </w:rPr>
              <w:t>12.9</w:t>
            </w:r>
          </w:p>
        </w:tc>
      </w:tr>
      <w:tr w:rsidR="00592A10" w:rsidRPr="00A34F10" w14:paraId="182F6BE9"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45EEBBBA" w14:textId="77777777" w:rsidR="00592A10" w:rsidRPr="00A34F10" w:rsidRDefault="00592A10" w:rsidP="00592A10">
            <w:pPr>
              <w:jc w:val="center"/>
              <w:rPr>
                <w:sz w:val="20"/>
                <w:szCs w:val="20"/>
                <w:lang w:val="en-GB"/>
              </w:rPr>
            </w:pPr>
            <w:r w:rsidRPr="00A34F10">
              <w:rPr>
                <w:sz w:val="20"/>
                <w:szCs w:val="20"/>
              </w:rPr>
              <w:t>BBCH 10-39</w:t>
            </w:r>
          </w:p>
        </w:tc>
        <w:tc>
          <w:tcPr>
            <w:tcW w:w="1844" w:type="pct"/>
            <w:tcBorders>
              <w:top w:val="single" w:sz="2" w:space="0" w:color="auto"/>
              <w:left w:val="nil"/>
              <w:bottom w:val="single" w:sz="4" w:space="0" w:color="auto"/>
              <w:right w:val="single" w:sz="4" w:space="0" w:color="auto"/>
            </w:tcBorders>
            <w:shd w:val="clear" w:color="auto" w:fill="auto"/>
            <w:vAlign w:val="center"/>
          </w:tcPr>
          <w:p w14:paraId="72A4AD47" w14:textId="77777777" w:rsidR="00592A10" w:rsidRPr="00A34F10" w:rsidRDefault="00592A10" w:rsidP="00592A10">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32986D69" w14:textId="77777777" w:rsidR="00592A10" w:rsidRPr="00A34F10" w:rsidRDefault="00592A10" w:rsidP="00592A10">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1CAA2F49" w14:textId="77777777" w:rsidR="00592A10" w:rsidRPr="00A34F10" w:rsidRDefault="00592A10" w:rsidP="00592A10">
            <w:pPr>
              <w:jc w:val="center"/>
              <w:rPr>
                <w:sz w:val="20"/>
                <w:szCs w:val="20"/>
                <w:lang w:val="en-GB"/>
              </w:rPr>
            </w:pPr>
            <w:r w:rsidRPr="00A34F10">
              <w:rPr>
                <w:sz w:val="20"/>
                <w:szCs w:val="20"/>
              </w:rPr>
              <w:t>17.2</w:t>
            </w:r>
          </w:p>
        </w:tc>
        <w:tc>
          <w:tcPr>
            <w:tcW w:w="411" w:type="pct"/>
            <w:vMerge/>
            <w:shd w:val="clear" w:color="auto" w:fill="auto"/>
            <w:vAlign w:val="center"/>
          </w:tcPr>
          <w:p w14:paraId="47E4CAB4" w14:textId="77777777" w:rsidR="00592A10" w:rsidRPr="00A34F10" w:rsidRDefault="00592A10" w:rsidP="00592A10">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F41244C" w14:textId="77777777" w:rsidR="00592A10" w:rsidRPr="00A34F10" w:rsidRDefault="00592A10" w:rsidP="00592A10">
            <w:pPr>
              <w:jc w:val="center"/>
              <w:rPr>
                <w:sz w:val="20"/>
                <w:szCs w:val="20"/>
                <w:highlight w:val="yellow"/>
                <w:lang w:val="en-GB"/>
              </w:rPr>
            </w:pPr>
            <w:r w:rsidRPr="00A34F10">
              <w:rPr>
                <w:sz w:val="20"/>
                <w:szCs w:val="20"/>
              </w:rPr>
              <w:t>29.09</w:t>
            </w:r>
          </w:p>
        </w:tc>
        <w:tc>
          <w:tcPr>
            <w:tcW w:w="478" w:type="pct"/>
            <w:tcBorders>
              <w:top w:val="nil"/>
              <w:left w:val="single" w:sz="4" w:space="0" w:color="auto"/>
              <w:bottom w:val="single" w:sz="4" w:space="0" w:color="auto"/>
              <w:right w:val="single" w:sz="4" w:space="0" w:color="auto"/>
            </w:tcBorders>
            <w:shd w:val="clear" w:color="auto" w:fill="auto"/>
            <w:vAlign w:val="center"/>
          </w:tcPr>
          <w:p w14:paraId="711A4755" w14:textId="1495000B" w:rsidR="00592A10" w:rsidRPr="0040045F" w:rsidRDefault="00660E58" w:rsidP="00592A10">
            <w:pPr>
              <w:jc w:val="center"/>
              <w:rPr>
                <w:sz w:val="20"/>
                <w:szCs w:val="20"/>
                <w:highlight w:val="green"/>
                <w:lang w:val="en-GB"/>
              </w:rPr>
            </w:pPr>
            <w:r>
              <w:rPr>
                <w:sz w:val="20"/>
                <w:szCs w:val="20"/>
                <w:highlight w:val="green"/>
              </w:rPr>
              <w:t>&gt;</w:t>
            </w:r>
            <w:r w:rsidR="00592A10">
              <w:rPr>
                <w:sz w:val="20"/>
                <w:szCs w:val="20"/>
                <w:highlight w:val="green"/>
              </w:rPr>
              <w:t xml:space="preserve"> </w:t>
            </w:r>
            <w:r w:rsidR="00592A10" w:rsidRPr="00A34F10">
              <w:rPr>
                <w:sz w:val="20"/>
                <w:szCs w:val="20"/>
              </w:rPr>
              <w:t>41.5</w:t>
            </w:r>
          </w:p>
        </w:tc>
      </w:tr>
      <w:tr w:rsidR="00592A10" w:rsidRPr="00A34F10" w14:paraId="2C78C063"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6E4B9000" w14:textId="77777777" w:rsidR="00592A10" w:rsidRPr="00A34F10" w:rsidRDefault="00592A10" w:rsidP="00592A10">
            <w:pPr>
              <w:jc w:val="center"/>
              <w:rPr>
                <w:sz w:val="20"/>
                <w:szCs w:val="20"/>
                <w:lang w:val="en-GB"/>
              </w:rPr>
            </w:pPr>
            <w:r w:rsidRPr="00A34F10">
              <w:rPr>
                <w:sz w:val="20"/>
                <w:szCs w:val="20"/>
              </w:rPr>
              <w:t>BBCH ≥40</w:t>
            </w:r>
          </w:p>
        </w:tc>
        <w:tc>
          <w:tcPr>
            <w:tcW w:w="1844" w:type="pct"/>
            <w:tcBorders>
              <w:top w:val="nil"/>
              <w:left w:val="nil"/>
              <w:bottom w:val="single" w:sz="4" w:space="0" w:color="auto"/>
              <w:right w:val="single" w:sz="4" w:space="0" w:color="auto"/>
            </w:tcBorders>
            <w:shd w:val="clear" w:color="auto" w:fill="auto"/>
            <w:vAlign w:val="center"/>
          </w:tcPr>
          <w:p w14:paraId="63E03F57" w14:textId="77777777" w:rsidR="00592A10" w:rsidRPr="00A34F10" w:rsidRDefault="00592A10" w:rsidP="00592A10">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2CEAE9D0" w14:textId="77777777" w:rsidR="00592A10" w:rsidRPr="00A34F10" w:rsidRDefault="00592A10" w:rsidP="00592A10">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4B18980B" w14:textId="77777777" w:rsidR="00592A10" w:rsidRPr="00A34F10" w:rsidRDefault="00592A10" w:rsidP="00592A10">
            <w:pPr>
              <w:jc w:val="center"/>
              <w:rPr>
                <w:sz w:val="20"/>
                <w:szCs w:val="20"/>
                <w:lang w:val="en-GB"/>
              </w:rPr>
            </w:pPr>
            <w:r w:rsidRPr="00A34F10">
              <w:rPr>
                <w:sz w:val="20"/>
                <w:szCs w:val="20"/>
              </w:rPr>
              <w:t>10.3</w:t>
            </w:r>
          </w:p>
        </w:tc>
        <w:tc>
          <w:tcPr>
            <w:tcW w:w="411" w:type="pct"/>
            <w:vMerge/>
            <w:shd w:val="clear" w:color="auto" w:fill="auto"/>
            <w:vAlign w:val="center"/>
          </w:tcPr>
          <w:p w14:paraId="098DC2C7" w14:textId="77777777" w:rsidR="00592A10" w:rsidRPr="00A34F10" w:rsidRDefault="00592A10" w:rsidP="00592A10">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1E760B89" w14:textId="77777777" w:rsidR="00592A10" w:rsidRPr="00A34F10" w:rsidRDefault="00592A10" w:rsidP="00592A10">
            <w:pPr>
              <w:jc w:val="center"/>
              <w:rPr>
                <w:sz w:val="20"/>
                <w:szCs w:val="20"/>
                <w:highlight w:val="yellow"/>
                <w:lang w:val="en-GB"/>
              </w:rPr>
            </w:pPr>
            <w:r w:rsidRPr="00A34F10">
              <w:rPr>
                <w:sz w:val="20"/>
                <w:szCs w:val="20"/>
              </w:rPr>
              <w:t>17.42</w:t>
            </w:r>
          </w:p>
        </w:tc>
        <w:tc>
          <w:tcPr>
            <w:tcW w:w="478" w:type="pct"/>
            <w:tcBorders>
              <w:top w:val="nil"/>
              <w:left w:val="single" w:sz="4" w:space="0" w:color="auto"/>
              <w:bottom w:val="single" w:sz="4" w:space="0" w:color="auto"/>
              <w:right w:val="single" w:sz="4" w:space="0" w:color="auto"/>
            </w:tcBorders>
            <w:shd w:val="clear" w:color="auto" w:fill="auto"/>
            <w:vAlign w:val="center"/>
          </w:tcPr>
          <w:p w14:paraId="31A545EF" w14:textId="3BD5B9A1" w:rsidR="00592A10" w:rsidRPr="0040045F" w:rsidRDefault="00660E58" w:rsidP="00592A10">
            <w:pPr>
              <w:jc w:val="center"/>
              <w:rPr>
                <w:sz w:val="20"/>
                <w:szCs w:val="20"/>
                <w:highlight w:val="green"/>
                <w:lang w:val="en-GB"/>
              </w:rPr>
            </w:pPr>
            <w:r>
              <w:rPr>
                <w:sz w:val="20"/>
                <w:szCs w:val="20"/>
                <w:highlight w:val="green"/>
              </w:rPr>
              <w:t>&gt;</w:t>
            </w:r>
            <w:r w:rsidR="00592A10">
              <w:rPr>
                <w:sz w:val="20"/>
                <w:szCs w:val="20"/>
                <w:highlight w:val="green"/>
              </w:rPr>
              <w:t xml:space="preserve"> </w:t>
            </w:r>
            <w:r w:rsidR="00592A10" w:rsidRPr="00A34F10">
              <w:rPr>
                <w:sz w:val="20"/>
                <w:szCs w:val="20"/>
              </w:rPr>
              <w:t>69.4</w:t>
            </w:r>
          </w:p>
        </w:tc>
      </w:tr>
      <w:tr w:rsidR="00592A10" w:rsidRPr="00A34F10" w14:paraId="718DC9BC"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5393A23F" w14:textId="32F8B55D" w:rsidR="00592A10" w:rsidRPr="00592A10" w:rsidRDefault="00592A10" w:rsidP="00592A10">
            <w:pPr>
              <w:jc w:val="center"/>
              <w:rPr>
                <w:strike/>
                <w:sz w:val="20"/>
                <w:szCs w:val="20"/>
                <w:highlight w:val="green"/>
              </w:rPr>
            </w:pPr>
            <w:r w:rsidRPr="00592A10">
              <w:rPr>
                <w:strike/>
                <w:sz w:val="20"/>
                <w:szCs w:val="20"/>
                <w:highlight w:val="green"/>
              </w:rPr>
              <w:t>BBCH ≥50</w:t>
            </w:r>
          </w:p>
        </w:tc>
        <w:tc>
          <w:tcPr>
            <w:tcW w:w="1844" w:type="pct"/>
            <w:tcBorders>
              <w:top w:val="nil"/>
              <w:left w:val="nil"/>
              <w:bottom w:val="single" w:sz="4" w:space="0" w:color="auto"/>
              <w:right w:val="single" w:sz="4" w:space="0" w:color="auto"/>
            </w:tcBorders>
            <w:shd w:val="clear" w:color="auto" w:fill="auto"/>
            <w:vAlign w:val="center"/>
          </w:tcPr>
          <w:p w14:paraId="61C42A58" w14:textId="0A528F80" w:rsidR="00592A10" w:rsidRPr="00592A10" w:rsidRDefault="00592A10" w:rsidP="00592A10">
            <w:pPr>
              <w:jc w:val="center"/>
              <w:rPr>
                <w:strike/>
                <w:sz w:val="20"/>
                <w:szCs w:val="20"/>
                <w:highlight w:val="green"/>
                <w:lang w:val="en-GB"/>
              </w:rPr>
            </w:pPr>
            <w:r w:rsidRPr="00592A10">
              <w:rPr>
                <w:strike/>
                <w:sz w:val="20"/>
                <w:szCs w:val="20"/>
                <w:highlight w:val="green"/>
                <w:lang w:val="en-GB"/>
              </w:rPr>
              <w:t>Small omnivorous mammal “mouse”</w:t>
            </w:r>
          </w:p>
        </w:tc>
        <w:tc>
          <w:tcPr>
            <w:tcW w:w="458" w:type="pct"/>
            <w:vMerge/>
            <w:shd w:val="clear" w:color="auto" w:fill="auto"/>
            <w:vAlign w:val="center"/>
          </w:tcPr>
          <w:p w14:paraId="3D995B8B" w14:textId="77777777" w:rsidR="00592A10" w:rsidRPr="00A34F10" w:rsidRDefault="00592A10" w:rsidP="00592A10">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3F59BAB7" w14:textId="6E3C6764" w:rsidR="00592A10" w:rsidRPr="00592A10" w:rsidRDefault="00592A10" w:rsidP="00592A10">
            <w:pPr>
              <w:jc w:val="center"/>
              <w:rPr>
                <w:strike/>
                <w:sz w:val="20"/>
                <w:szCs w:val="20"/>
              </w:rPr>
            </w:pPr>
            <w:r w:rsidRPr="00592A10">
              <w:rPr>
                <w:strike/>
                <w:sz w:val="20"/>
                <w:szCs w:val="20"/>
                <w:highlight w:val="green"/>
              </w:rPr>
              <w:t>5.2</w:t>
            </w:r>
          </w:p>
        </w:tc>
        <w:tc>
          <w:tcPr>
            <w:tcW w:w="411" w:type="pct"/>
            <w:vMerge/>
            <w:shd w:val="clear" w:color="auto" w:fill="auto"/>
            <w:vAlign w:val="center"/>
          </w:tcPr>
          <w:p w14:paraId="705CC270" w14:textId="77777777" w:rsidR="00592A10" w:rsidRPr="00A34F10" w:rsidRDefault="00592A10" w:rsidP="00592A10">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19C393A" w14:textId="75381659" w:rsidR="00592A10" w:rsidRPr="00592A10" w:rsidRDefault="00592A10" w:rsidP="00592A10">
            <w:pPr>
              <w:jc w:val="center"/>
              <w:rPr>
                <w:strike/>
                <w:sz w:val="20"/>
                <w:szCs w:val="20"/>
                <w:highlight w:val="green"/>
              </w:rPr>
            </w:pPr>
            <w:r w:rsidRPr="00592A10">
              <w:rPr>
                <w:strike/>
                <w:sz w:val="20"/>
                <w:szCs w:val="20"/>
                <w:highlight w:val="green"/>
              </w:rPr>
              <w:t>12.85</w:t>
            </w:r>
          </w:p>
        </w:tc>
        <w:tc>
          <w:tcPr>
            <w:tcW w:w="478" w:type="pct"/>
            <w:tcBorders>
              <w:top w:val="nil"/>
              <w:left w:val="single" w:sz="4" w:space="0" w:color="auto"/>
              <w:bottom w:val="single" w:sz="4" w:space="0" w:color="auto"/>
              <w:right w:val="single" w:sz="4" w:space="0" w:color="auto"/>
            </w:tcBorders>
            <w:shd w:val="clear" w:color="auto" w:fill="auto"/>
            <w:vAlign w:val="center"/>
          </w:tcPr>
          <w:p w14:paraId="514C2755" w14:textId="03BE38F7" w:rsidR="00592A10" w:rsidRPr="00592A10" w:rsidRDefault="00592A10" w:rsidP="00592A10">
            <w:pPr>
              <w:jc w:val="center"/>
              <w:rPr>
                <w:strike/>
                <w:sz w:val="20"/>
                <w:szCs w:val="20"/>
                <w:highlight w:val="green"/>
              </w:rPr>
            </w:pPr>
            <w:r w:rsidRPr="00592A10">
              <w:rPr>
                <w:strike/>
                <w:sz w:val="20"/>
                <w:szCs w:val="20"/>
                <w:highlight w:val="green"/>
              </w:rPr>
              <w:t>94.0</w:t>
            </w:r>
          </w:p>
        </w:tc>
      </w:tr>
      <w:tr w:rsidR="00DC5685" w:rsidRPr="00A34F10" w14:paraId="5DAA0EC3" w14:textId="77777777" w:rsidTr="000470C3">
        <w:trPr>
          <w:cantSplit/>
        </w:trPr>
        <w:tc>
          <w:tcPr>
            <w:tcW w:w="5000" w:type="pct"/>
            <w:gridSpan w:val="7"/>
            <w:tcBorders>
              <w:top w:val="single" w:sz="12" w:space="0" w:color="auto"/>
              <w:bottom w:val="single" w:sz="12" w:space="0" w:color="auto"/>
            </w:tcBorders>
            <w:shd w:val="clear" w:color="auto" w:fill="auto"/>
            <w:vAlign w:val="center"/>
          </w:tcPr>
          <w:p w14:paraId="1EA5E760" w14:textId="77777777" w:rsidR="00DC5685" w:rsidRPr="00A34F10" w:rsidRDefault="00DC5685" w:rsidP="000470C3">
            <w:pPr>
              <w:jc w:val="center"/>
              <w:rPr>
                <w:sz w:val="20"/>
                <w:szCs w:val="20"/>
                <w:lang w:val="en-GB"/>
              </w:rPr>
            </w:pPr>
            <w:r w:rsidRPr="00A34F10">
              <w:rPr>
                <w:b/>
                <w:sz w:val="20"/>
                <w:szCs w:val="20"/>
                <w:lang w:val="en-GB"/>
              </w:rPr>
              <w:t xml:space="preserve">Fruiting vegetables (2 x </w:t>
            </w:r>
            <w:r w:rsidRPr="00A34F10">
              <w:rPr>
                <w:b/>
                <w:bCs/>
                <w:sz w:val="20"/>
                <w:szCs w:val="20"/>
              </w:rPr>
              <w:t xml:space="preserve">(∑ 0.240 + 0.902) </w:t>
            </w:r>
            <w:r w:rsidRPr="00A34F10">
              <w:rPr>
                <w:b/>
                <w:sz w:val="20"/>
                <w:szCs w:val="20"/>
                <w:lang w:val="en-GB"/>
              </w:rPr>
              <w:t>kg a.s./ha, BBCH 14 - 89)</w:t>
            </w:r>
          </w:p>
        </w:tc>
      </w:tr>
      <w:tr w:rsidR="00605F72" w:rsidRPr="00A34F10" w14:paraId="2E583BEA" w14:textId="77777777" w:rsidTr="00592A10">
        <w:trPr>
          <w:cantSplit/>
        </w:trPr>
        <w:tc>
          <w:tcPr>
            <w:tcW w:w="808" w:type="pct"/>
            <w:tcBorders>
              <w:bottom w:val="single" w:sz="4" w:space="0" w:color="auto"/>
            </w:tcBorders>
            <w:shd w:val="clear" w:color="auto" w:fill="auto"/>
            <w:vAlign w:val="center"/>
          </w:tcPr>
          <w:p w14:paraId="60053437" w14:textId="77777777" w:rsidR="00605F72" w:rsidRPr="00A34F10" w:rsidRDefault="00605F72" w:rsidP="00605F72">
            <w:pPr>
              <w:jc w:val="center"/>
              <w:rPr>
                <w:sz w:val="20"/>
                <w:szCs w:val="20"/>
                <w:lang w:val="en-GB"/>
              </w:rPr>
            </w:pPr>
            <w:r w:rsidRPr="00A34F10">
              <w:rPr>
                <w:sz w:val="20"/>
                <w:szCs w:val="20"/>
              </w:rPr>
              <w:t>BBCH 71-89</w:t>
            </w:r>
          </w:p>
        </w:tc>
        <w:tc>
          <w:tcPr>
            <w:tcW w:w="1844" w:type="pct"/>
            <w:tcBorders>
              <w:bottom w:val="single" w:sz="4" w:space="0" w:color="auto"/>
            </w:tcBorders>
            <w:shd w:val="clear" w:color="auto" w:fill="auto"/>
            <w:vAlign w:val="center"/>
          </w:tcPr>
          <w:p w14:paraId="42B118F7" w14:textId="77777777" w:rsidR="00605F72" w:rsidRPr="00A34F10" w:rsidRDefault="00605F72" w:rsidP="00605F72">
            <w:pPr>
              <w:jc w:val="center"/>
              <w:rPr>
                <w:sz w:val="20"/>
                <w:szCs w:val="20"/>
                <w:lang w:val="en-GB"/>
              </w:rPr>
            </w:pPr>
            <w:r w:rsidRPr="00A34F10">
              <w:rPr>
                <w:sz w:val="20"/>
                <w:szCs w:val="20"/>
              </w:rPr>
              <w:t>Frugivorous mammal “rat”</w:t>
            </w:r>
          </w:p>
        </w:tc>
        <w:tc>
          <w:tcPr>
            <w:tcW w:w="458" w:type="pct"/>
            <w:vMerge w:val="restart"/>
            <w:tcBorders>
              <w:bottom w:val="single" w:sz="4" w:space="0" w:color="auto"/>
            </w:tcBorders>
            <w:shd w:val="clear" w:color="auto" w:fill="auto"/>
            <w:vAlign w:val="center"/>
          </w:tcPr>
          <w:p w14:paraId="1F17A6A8" w14:textId="77777777" w:rsidR="00605F72" w:rsidRPr="00A34F10" w:rsidRDefault="00605F72" w:rsidP="00605F72">
            <w:pPr>
              <w:jc w:val="center"/>
              <w:rPr>
                <w:sz w:val="20"/>
                <w:szCs w:val="20"/>
                <w:lang w:val="en-GB"/>
              </w:rPr>
            </w:pPr>
            <w:r w:rsidRPr="00A34F10">
              <w:rPr>
                <w:sz w:val="20"/>
                <w:szCs w:val="20"/>
                <w:lang w:val="en-GB"/>
              </w:rPr>
              <w:t>1.142</w:t>
            </w:r>
          </w:p>
        </w:tc>
        <w:tc>
          <w:tcPr>
            <w:tcW w:w="330" w:type="pct"/>
            <w:tcBorders>
              <w:bottom w:val="single" w:sz="4" w:space="0" w:color="auto"/>
            </w:tcBorders>
            <w:shd w:val="clear" w:color="auto" w:fill="auto"/>
            <w:vAlign w:val="center"/>
          </w:tcPr>
          <w:p w14:paraId="69613639" w14:textId="77777777" w:rsidR="00605F72" w:rsidRPr="00A34F10" w:rsidRDefault="00605F72" w:rsidP="00605F72">
            <w:pPr>
              <w:jc w:val="center"/>
              <w:rPr>
                <w:sz w:val="20"/>
                <w:szCs w:val="20"/>
                <w:lang w:val="en-GB"/>
              </w:rPr>
            </w:pPr>
            <w:r w:rsidRPr="00A34F10">
              <w:rPr>
                <w:sz w:val="20"/>
                <w:szCs w:val="20"/>
              </w:rPr>
              <w:t>45.2</w:t>
            </w:r>
          </w:p>
        </w:tc>
        <w:tc>
          <w:tcPr>
            <w:tcW w:w="411" w:type="pct"/>
            <w:vMerge w:val="restart"/>
            <w:tcBorders>
              <w:bottom w:val="single" w:sz="4" w:space="0" w:color="auto"/>
            </w:tcBorders>
            <w:shd w:val="clear" w:color="auto" w:fill="auto"/>
            <w:vAlign w:val="center"/>
          </w:tcPr>
          <w:p w14:paraId="516A1594" w14:textId="77777777" w:rsidR="00605F72" w:rsidRPr="00A34F10" w:rsidRDefault="00605F72" w:rsidP="00605F72">
            <w:pPr>
              <w:jc w:val="center"/>
              <w:rPr>
                <w:sz w:val="20"/>
                <w:szCs w:val="20"/>
                <w:lang w:val="en-GB"/>
              </w:rPr>
            </w:pPr>
            <w:r w:rsidRPr="00A34F10">
              <w:rPr>
                <w:sz w:val="20"/>
                <w:szCs w:val="20"/>
                <w:lang w:val="en-GB"/>
              </w:rPr>
              <w:t>1.41</w:t>
            </w:r>
          </w:p>
        </w:tc>
        <w:tc>
          <w:tcPr>
            <w:tcW w:w="671" w:type="pct"/>
            <w:tcBorders>
              <w:top w:val="nil"/>
              <w:left w:val="single" w:sz="4" w:space="0" w:color="auto"/>
              <w:bottom w:val="single" w:sz="4" w:space="0" w:color="auto"/>
              <w:right w:val="single" w:sz="4" w:space="0" w:color="auto"/>
            </w:tcBorders>
            <w:shd w:val="clear" w:color="auto" w:fill="auto"/>
            <w:vAlign w:val="center"/>
          </w:tcPr>
          <w:p w14:paraId="6DCAA5AE" w14:textId="77777777" w:rsidR="00605F72" w:rsidRPr="00A34F10" w:rsidRDefault="00605F72" w:rsidP="00605F72">
            <w:pPr>
              <w:jc w:val="center"/>
              <w:rPr>
                <w:sz w:val="20"/>
                <w:szCs w:val="20"/>
                <w:highlight w:val="yellow"/>
                <w:lang w:val="en-GB"/>
              </w:rPr>
            </w:pPr>
            <w:r w:rsidRPr="00A34F10">
              <w:rPr>
                <w:sz w:val="20"/>
                <w:szCs w:val="20"/>
              </w:rPr>
              <w:t>72.70</w:t>
            </w:r>
          </w:p>
        </w:tc>
        <w:tc>
          <w:tcPr>
            <w:tcW w:w="478" w:type="pct"/>
            <w:tcBorders>
              <w:top w:val="nil"/>
              <w:left w:val="nil"/>
              <w:bottom w:val="single" w:sz="4" w:space="0" w:color="auto"/>
              <w:right w:val="single" w:sz="4" w:space="0" w:color="auto"/>
            </w:tcBorders>
            <w:shd w:val="clear" w:color="auto" w:fill="auto"/>
            <w:vAlign w:val="center"/>
          </w:tcPr>
          <w:p w14:paraId="1242F907" w14:textId="3D4FDA7C"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16.6</w:t>
            </w:r>
          </w:p>
        </w:tc>
      </w:tr>
      <w:tr w:rsidR="00605F72" w:rsidRPr="00A34F10" w14:paraId="27ECBDC1" w14:textId="77777777" w:rsidTr="00592A10">
        <w:trPr>
          <w:cantSplit/>
        </w:trPr>
        <w:tc>
          <w:tcPr>
            <w:tcW w:w="808" w:type="pct"/>
            <w:tcBorders>
              <w:bottom w:val="single" w:sz="4" w:space="0" w:color="auto"/>
            </w:tcBorders>
            <w:shd w:val="clear" w:color="auto" w:fill="auto"/>
            <w:vAlign w:val="center"/>
          </w:tcPr>
          <w:p w14:paraId="09FF4698" w14:textId="77777777" w:rsidR="00605F72" w:rsidRPr="00A34F10" w:rsidRDefault="00605F72" w:rsidP="00605F72">
            <w:pPr>
              <w:jc w:val="center"/>
              <w:rPr>
                <w:sz w:val="20"/>
                <w:szCs w:val="20"/>
                <w:lang w:val="en-GB"/>
              </w:rPr>
            </w:pPr>
            <w:r w:rsidRPr="00A34F10">
              <w:rPr>
                <w:sz w:val="20"/>
                <w:szCs w:val="20"/>
              </w:rPr>
              <w:t>BBCH 10-19</w:t>
            </w:r>
          </w:p>
        </w:tc>
        <w:tc>
          <w:tcPr>
            <w:tcW w:w="1844" w:type="pct"/>
            <w:tcBorders>
              <w:bottom w:val="single" w:sz="4" w:space="0" w:color="auto"/>
            </w:tcBorders>
            <w:shd w:val="clear" w:color="auto" w:fill="auto"/>
            <w:vAlign w:val="center"/>
          </w:tcPr>
          <w:p w14:paraId="2143ECBE" w14:textId="77777777" w:rsidR="00605F72" w:rsidRPr="00A34F10" w:rsidRDefault="00605F72" w:rsidP="00605F72">
            <w:pPr>
              <w:jc w:val="center"/>
              <w:rPr>
                <w:sz w:val="20"/>
                <w:szCs w:val="20"/>
                <w:lang w:val="en-GB"/>
              </w:rPr>
            </w:pPr>
            <w:r w:rsidRPr="00A34F10">
              <w:rPr>
                <w:sz w:val="20"/>
                <w:szCs w:val="20"/>
                <w:lang w:val="en-GB"/>
              </w:rPr>
              <w:t>Small insectivorous mammal “shrew”</w:t>
            </w:r>
          </w:p>
        </w:tc>
        <w:tc>
          <w:tcPr>
            <w:tcW w:w="458" w:type="pct"/>
            <w:vMerge/>
            <w:tcBorders>
              <w:bottom w:val="single" w:sz="4" w:space="0" w:color="auto"/>
            </w:tcBorders>
            <w:shd w:val="clear" w:color="auto" w:fill="auto"/>
            <w:vAlign w:val="center"/>
          </w:tcPr>
          <w:p w14:paraId="45DDFF5A" w14:textId="77777777" w:rsidR="00605F72" w:rsidRPr="00A34F10" w:rsidRDefault="00605F72" w:rsidP="00605F72">
            <w:pPr>
              <w:jc w:val="center"/>
              <w:rPr>
                <w:sz w:val="20"/>
                <w:szCs w:val="20"/>
                <w:lang w:val="en-GB"/>
              </w:rPr>
            </w:pPr>
          </w:p>
        </w:tc>
        <w:tc>
          <w:tcPr>
            <w:tcW w:w="330" w:type="pct"/>
            <w:tcBorders>
              <w:bottom w:val="single" w:sz="4" w:space="0" w:color="auto"/>
            </w:tcBorders>
            <w:shd w:val="clear" w:color="auto" w:fill="auto"/>
            <w:vAlign w:val="center"/>
          </w:tcPr>
          <w:p w14:paraId="709A00BA" w14:textId="77777777" w:rsidR="00605F72" w:rsidRPr="00A34F10" w:rsidRDefault="00605F72" w:rsidP="00605F72">
            <w:pPr>
              <w:jc w:val="center"/>
              <w:rPr>
                <w:sz w:val="20"/>
                <w:szCs w:val="20"/>
                <w:lang w:val="en-GB"/>
              </w:rPr>
            </w:pPr>
            <w:r w:rsidRPr="00A34F10">
              <w:rPr>
                <w:sz w:val="20"/>
                <w:szCs w:val="20"/>
              </w:rPr>
              <w:t>7.6</w:t>
            </w:r>
          </w:p>
        </w:tc>
        <w:tc>
          <w:tcPr>
            <w:tcW w:w="411" w:type="pct"/>
            <w:vMerge/>
            <w:tcBorders>
              <w:bottom w:val="single" w:sz="4" w:space="0" w:color="auto"/>
            </w:tcBorders>
            <w:shd w:val="clear" w:color="auto" w:fill="auto"/>
            <w:vAlign w:val="center"/>
          </w:tcPr>
          <w:p w14:paraId="5F1AC206" w14:textId="77777777" w:rsidR="00605F72" w:rsidRPr="00A34F10" w:rsidRDefault="00605F72" w:rsidP="00605F72">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0925419" w14:textId="77777777" w:rsidR="00605F72" w:rsidRPr="00A34F10" w:rsidRDefault="00605F72" w:rsidP="00605F72">
            <w:pPr>
              <w:jc w:val="center"/>
              <w:rPr>
                <w:sz w:val="20"/>
                <w:szCs w:val="20"/>
                <w:highlight w:val="yellow"/>
                <w:lang w:val="en-GB"/>
              </w:rPr>
            </w:pPr>
            <w:r w:rsidRPr="00A34F10">
              <w:rPr>
                <w:sz w:val="20"/>
                <w:szCs w:val="20"/>
              </w:rPr>
              <w:t>12.22</w:t>
            </w:r>
          </w:p>
        </w:tc>
        <w:tc>
          <w:tcPr>
            <w:tcW w:w="478" w:type="pct"/>
            <w:tcBorders>
              <w:top w:val="nil"/>
              <w:left w:val="nil"/>
              <w:bottom w:val="single" w:sz="4" w:space="0" w:color="auto"/>
              <w:right w:val="single" w:sz="4" w:space="0" w:color="auto"/>
            </w:tcBorders>
            <w:shd w:val="clear" w:color="auto" w:fill="auto"/>
            <w:vAlign w:val="center"/>
          </w:tcPr>
          <w:p w14:paraId="28B0F67C" w14:textId="5D7AF72B"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98.8</w:t>
            </w:r>
          </w:p>
        </w:tc>
      </w:tr>
      <w:tr w:rsidR="00605F72" w:rsidRPr="00A34F10" w14:paraId="5577B3E5" w14:textId="77777777" w:rsidTr="00592A10">
        <w:trPr>
          <w:cantSplit/>
        </w:trPr>
        <w:tc>
          <w:tcPr>
            <w:tcW w:w="808" w:type="pct"/>
            <w:tcBorders>
              <w:bottom w:val="single" w:sz="4" w:space="0" w:color="auto"/>
            </w:tcBorders>
            <w:shd w:val="clear" w:color="auto" w:fill="auto"/>
            <w:vAlign w:val="center"/>
          </w:tcPr>
          <w:p w14:paraId="40384C43" w14:textId="77777777" w:rsidR="00605F72" w:rsidRPr="00A34F10" w:rsidRDefault="00605F72" w:rsidP="00605F72">
            <w:pPr>
              <w:jc w:val="center"/>
              <w:rPr>
                <w:sz w:val="20"/>
                <w:szCs w:val="20"/>
                <w:lang w:val="en-GB"/>
              </w:rPr>
            </w:pPr>
            <w:r w:rsidRPr="00A34F10">
              <w:rPr>
                <w:sz w:val="20"/>
                <w:szCs w:val="20"/>
              </w:rPr>
              <w:t>BBCH ≥20</w:t>
            </w:r>
          </w:p>
        </w:tc>
        <w:tc>
          <w:tcPr>
            <w:tcW w:w="1844" w:type="pct"/>
            <w:tcBorders>
              <w:bottom w:val="single" w:sz="4" w:space="0" w:color="auto"/>
            </w:tcBorders>
            <w:shd w:val="clear" w:color="auto" w:fill="auto"/>
            <w:vAlign w:val="center"/>
          </w:tcPr>
          <w:p w14:paraId="4AD27431" w14:textId="77777777" w:rsidR="00605F72" w:rsidRPr="00A34F10" w:rsidRDefault="00605F72" w:rsidP="00605F72">
            <w:pPr>
              <w:jc w:val="center"/>
              <w:rPr>
                <w:sz w:val="20"/>
                <w:szCs w:val="20"/>
                <w:lang w:val="en-GB"/>
              </w:rPr>
            </w:pPr>
            <w:r w:rsidRPr="00A34F10">
              <w:rPr>
                <w:sz w:val="20"/>
                <w:szCs w:val="20"/>
                <w:lang w:val="en-GB"/>
              </w:rPr>
              <w:t>Small insectivorous mammal “shrew”</w:t>
            </w:r>
          </w:p>
        </w:tc>
        <w:tc>
          <w:tcPr>
            <w:tcW w:w="458" w:type="pct"/>
            <w:vMerge/>
            <w:tcBorders>
              <w:bottom w:val="single" w:sz="4" w:space="0" w:color="auto"/>
            </w:tcBorders>
            <w:shd w:val="clear" w:color="auto" w:fill="auto"/>
            <w:vAlign w:val="center"/>
          </w:tcPr>
          <w:p w14:paraId="06C04B14" w14:textId="77777777" w:rsidR="00605F72" w:rsidRPr="00A34F10" w:rsidRDefault="00605F72" w:rsidP="00605F72">
            <w:pPr>
              <w:jc w:val="center"/>
              <w:rPr>
                <w:sz w:val="20"/>
                <w:szCs w:val="20"/>
                <w:lang w:val="en-GB"/>
              </w:rPr>
            </w:pPr>
          </w:p>
        </w:tc>
        <w:tc>
          <w:tcPr>
            <w:tcW w:w="330" w:type="pct"/>
            <w:tcBorders>
              <w:bottom w:val="single" w:sz="4" w:space="0" w:color="auto"/>
            </w:tcBorders>
            <w:shd w:val="clear" w:color="auto" w:fill="auto"/>
            <w:vAlign w:val="center"/>
          </w:tcPr>
          <w:p w14:paraId="1A0CF87D" w14:textId="77777777" w:rsidR="00605F72" w:rsidRPr="00A34F10" w:rsidRDefault="00605F72" w:rsidP="00605F72">
            <w:pPr>
              <w:jc w:val="center"/>
              <w:rPr>
                <w:sz w:val="20"/>
                <w:szCs w:val="20"/>
                <w:lang w:val="en-GB"/>
              </w:rPr>
            </w:pPr>
            <w:r w:rsidRPr="00A34F10">
              <w:rPr>
                <w:sz w:val="20"/>
                <w:szCs w:val="20"/>
              </w:rPr>
              <w:t>5.4</w:t>
            </w:r>
          </w:p>
        </w:tc>
        <w:tc>
          <w:tcPr>
            <w:tcW w:w="411" w:type="pct"/>
            <w:vMerge/>
            <w:tcBorders>
              <w:bottom w:val="single" w:sz="4" w:space="0" w:color="auto"/>
            </w:tcBorders>
            <w:shd w:val="clear" w:color="auto" w:fill="auto"/>
            <w:vAlign w:val="center"/>
          </w:tcPr>
          <w:p w14:paraId="7EA58C0D" w14:textId="77777777" w:rsidR="00605F72" w:rsidRPr="00A34F10" w:rsidRDefault="00605F72" w:rsidP="00605F72">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FFADB37" w14:textId="77777777" w:rsidR="00605F72" w:rsidRPr="00A34F10" w:rsidRDefault="00605F72" w:rsidP="00605F72">
            <w:pPr>
              <w:jc w:val="center"/>
              <w:rPr>
                <w:sz w:val="20"/>
                <w:szCs w:val="20"/>
                <w:highlight w:val="yellow"/>
                <w:lang w:val="en-GB"/>
              </w:rPr>
            </w:pPr>
            <w:r w:rsidRPr="00A34F10">
              <w:rPr>
                <w:sz w:val="20"/>
                <w:szCs w:val="20"/>
              </w:rPr>
              <w:t>8.69</w:t>
            </w:r>
          </w:p>
        </w:tc>
        <w:tc>
          <w:tcPr>
            <w:tcW w:w="478" w:type="pct"/>
            <w:tcBorders>
              <w:top w:val="nil"/>
              <w:left w:val="nil"/>
              <w:bottom w:val="single" w:sz="4" w:space="0" w:color="auto"/>
              <w:right w:val="single" w:sz="4" w:space="0" w:color="auto"/>
            </w:tcBorders>
            <w:shd w:val="clear" w:color="auto" w:fill="auto"/>
            <w:vAlign w:val="center"/>
          </w:tcPr>
          <w:p w14:paraId="45B896A3" w14:textId="4A093669"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139.1</w:t>
            </w:r>
          </w:p>
        </w:tc>
      </w:tr>
      <w:tr w:rsidR="00605F72" w:rsidRPr="00A34F10" w14:paraId="2565F287" w14:textId="77777777" w:rsidTr="00592A10">
        <w:trPr>
          <w:cantSplit/>
        </w:trPr>
        <w:tc>
          <w:tcPr>
            <w:tcW w:w="808" w:type="pct"/>
            <w:tcBorders>
              <w:bottom w:val="single" w:sz="4" w:space="0" w:color="auto"/>
            </w:tcBorders>
            <w:shd w:val="clear" w:color="auto" w:fill="auto"/>
            <w:vAlign w:val="center"/>
          </w:tcPr>
          <w:p w14:paraId="6C3D395F" w14:textId="77777777" w:rsidR="00605F72" w:rsidRPr="00A34F10" w:rsidRDefault="00605F72" w:rsidP="00605F72">
            <w:pPr>
              <w:jc w:val="center"/>
              <w:rPr>
                <w:sz w:val="20"/>
                <w:szCs w:val="20"/>
                <w:lang w:val="en-GB"/>
              </w:rPr>
            </w:pPr>
            <w:r w:rsidRPr="00A34F10">
              <w:rPr>
                <w:sz w:val="20"/>
                <w:szCs w:val="20"/>
              </w:rPr>
              <w:t>BBCH 10-49</w:t>
            </w:r>
          </w:p>
        </w:tc>
        <w:tc>
          <w:tcPr>
            <w:tcW w:w="1844" w:type="pct"/>
            <w:tcBorders>
              <w:bottom w:val="single" w:sz="4" w:space="0" w:color="auto"/>
            </w:tcBorders>
            <w:shd w:val="clear" w:color="auto" w:fill="auto"/>
            <w:vAlign w:val="center"/>
          </w:tcPr>
          <w:p w14:paraId="03CEE1E8" w14:textId="77777777" w:rsidR="00605F72" w:rsidRPr="00A34F10" w:rsidRDefault="00605F72" w:rsidP="00605F72">
            <w:pPr>
              <w:jc w:val="center"/>
              <w:rPr>
                <w:sz w:val="20"/>
                <w:szCs w:val="20"/>
                <w:lang w:val="en-GB"/>
              </w:rPr>
            </w:pPr>
            <w:r w:rsidRPr="00A34F10">
              <w:rPr>
                <w:sz w:val="20"/>
                <w:szCs w:val="20"/>
                <w:lang w:val="en-GB"/>
              </w:rPr>
              <w:t>Small herbivorous mammal “vole”</w:t>
            </w:r>
          </w:p>
        </w:tc>
        <w:tc>
          <w:tcPr>
            <w:tcW w:w="458" w:type="pct"/>
            <w:vMerge/>
            <w:tcBorders>
              <w:bottom w:val="single" w:sz="4" w:space="0" w:color="auto"/>
            </w:tcBorders>
            <w:shd w:val="clear" w:color="auto" w:fill="auto"/>
            <w:vAlign w:val="center"/>
          </w:tcPr>
          <w:p w14:paraId="32BD4671" w14:textId="77777777" w:rsidR="00605F72" w:rsidRPr="00A34F10" w:rsidRDefault="00605F72" w:rsidP="00605F72">
            <w:pPr>
              <w:jc w:val="center"/>
              <w:rPr>
                <w:sz w:val="20"/>
                <w:szCs w:val="20"/>
                <w:lang w:val="en-GB"/>
              </w:rPr>
            </w:pPr>
          </w:p>
        </w:tc>
        <w:tc>
          <w:tcPr>
            <w:tcW w:w="330" w:type="pct"/>
            <w:tcBorders>
              <w:bottom w:val="single" w:sz="4" w:space="0" w:color="auto"/>
            </w:tcBorders>
            <w:shd w:val="clear" w:color="auto" w:fill="auto"/>
            <w:vAlign w:val="center"/>
          </w:tcPr>
          <w:p w14:paraId="224429A1" w14:textId="77777777" w:rsidR="00605F72" w:rsidRPr="00A34F10" w:rsidRDefault="00605F72" w:rsidP="00605F72">
            <w:pPr>
              <w:jc w:val="center"/>
              <w:rPr>
                <w:sz w:val="20"/>
                <w:szCs w:val="20"/>
                <w:lang w:val="en-GB"/>
              </w:rPr>
            </w:pPr>
            <w:r w:rsidRPr="00A34F10">
              <w:rPr>
                <w:sz w:val="20"/>
                <w:szCs w:val="20"/>
              </w:rPr>
              <w:t>136.4</w:t>
            </w:r>
          </w:p>
        </w:tc>
        <w:tc>
          <w:tcPr>
            <w:tcW w:w="411" w:type="pct"/>
            <w:vMerge/>
            <w:tcBorders>
              <w:bottom w:val="single" w:sz="4" w:space="0" w:color="auto"/>
            </w:tcBorders>
            <w:shd w:val="clear" w:color="auto" w:fill="auto"/>
            <w:vAlign w:val="center"/>
          </w:tcPr>
          <w:p w14:paraId="2BFDD164" w14:textId="77777777" w:rsidR="00605F72" w:rsidRPr="00A34F10" w:rsidRDefault="00605F72" w:rsidP="00605F72">
            <w:pPr>
              <w:jc w:val="center"/>
              <w:rPr>
                <w:sz w:val="20"/>
                <w:szCs w:val="20"/>
                <w:highlight w:val="yellow"/>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4356C33E" w14:textId="77777777" w:rsidR="00605F72" w:rsidRPr="00A34F10" w:rsidRDefault="00605F72" w:rsidP="00605F72">
            <w:pPr>
              <w:jc w:val="center"/>
              <w:rPr>
                <w:sz w:val="20"/>
                <w:szCs w:val="20"/>
                <w:highlight w:val="yellow"/>
                <w:lang w:val="en-GB"/>
              </w:rPr>
            </w:pPr>
            <w:r w:rsidRPr="00A34F10">
              <w:rPr>
                <w:sz w:val="20"/>
                <w:szCs w:val="20"/>
              </w:rPr>
              <w:t>219.39</w:t>
            </w:r>
          </w:p>
        </w:tc>
        <w:tc>
          <w:tcPr>
            <w:tcW w:w="478" w:type="pct"/>
            <w:tcBorders>
              <w:top w:val="nil"/>
              <w:left w:val="nil"/>
              <w:bottom w:val="single" w:sz="4" w:space="0" w:color="auto"/>
              <w:right w:val="single" w:sz="4" w:space="0" w:color="auto"/>
            </w:tcBorders>
            <w:shd w:val="clear" w:color="auto" w:fill="auto"/>
            <w:vAlign w:val="center"/>
          </w:tcPr>
          <w:p w14:paraId="728CFA29" w14:textId="6CE883E7" w:rsidR="00605F72" w:rsidRPr="004B4A1B" w:rsidRDefault="00660E58" w:rsidP="00605F72">
            <w:pPr>
              <w:jc w:val="center"/>
              <w:rPr>
                <w:b/>
                <w:bCs/>
                <w:sz w:val="20"/>
                <w:szCs w:val="20"/>
                <w:highlight w:val="green"/>
                <w:lang w:val="en-GB"/>
              </w:rPr>
            </w:pPr>
            <w:r>
              <w:rPr>
                <w:sz w:val="20"/>
                <w:szCs w:val="20"/>
                <w:highlight w:val="green"/>
              </w:rPr>
              <w:t>&gt;</w:t>
            </w:r>
            <w:r w:rsidR="00605F72">
              <w:rPr>
                <w:sz w:val="20"/>
                <w:szCs w:val="20"/>
                <w:highlight w:val="green"/>
              </w:rPr>
              <w:t xml:space="preserve"> </w:t>
            </w:r>
            <w:r w:rsidR="00605F72" w:rsidRPr="00A34F10">
              <w:rPr>
                <w:b/>
                <w:bCs/>
                <w:sz w:val="20"/>
                <w:szCs w:val="20"/>
              </w:rPr>
              <w:t>5.5</w:t>
            </w:r>
          </w:p>
        </w:tc>
      </w:tr>
      <w:tr w:rsidR="00605F72" w:rsidRPr="00A34F10" w14:paraId="325B9B11" w14:textId="77777777" w:rsidTr="00592A10">
        <w:trPr>
          <w:cantSplit/>
        </w:trPr>
        <w:tc>
          <w:tcPr>
            <w:tcW w:w="808" w:type="pct"/>
            <w:tcBorders>
              <w:top w:val="single" w:sz="4" w:space="0" w:color="auto"/>
              <w:bottom w:val="single" w:sz="4" w:space="0" w:color="auto"/>
            </w:tcBorders>
            <w:shd w:val="clear" w:color="auto" w:fill="auto"/>
            <w:vAlign w:val="center"/>
          </w:tcPr>
          <w:p w14:paraId="5315F3CB" w14:textId="77777777" w:rsidR="00605F72" w:rsidRPr="00A34F10" w:rsidRDefault="00605F72" w:rsidP="00605F72">
            <w:pPr>
              <w:jc w:val="center"/>
              <w:rPr>
                <w:sz w:val="20"/>
                <w:szCs w:val="20"/>
                <w:lang w:val="en-GB"/>
              </w:rPr>
            </w:pPr>
            <w:r w:rsidRPr="00A34F10">
              <w:rPr>
                <w:sz w:val="20"/>
                <w:szCs w:val="20"/>
              </w:rPr>
              <w:t>BBCH ≥50</w:t>
            </w:r>
          </w:p>
        </w:tc>
        <w:tc>
          <w:tcPr>
            <w:tcW w:w="1844" w:type="pct"/>
            <w:tcBorders>
              <w:top w:val="single" w:sz="4" w:space="0" w:color="auto"/>
              <w:bottom w:val="single" w:sz="4" w:space="0" w:color="auto"/>
            </w:tcBorders>
            <w:shd w:val="clear" w:color="auto" w:fill="auto"/>
            <w:vAlign w:val="center"/>
          </w:tcPr>
          <w:p w14:paraId="0C3688EB" w14:textId="77777777" w:rsidR="00605F72" w:rsidRPr="00A34F10" w:rsidRDefault="00605F72" w:rsidP="00605F72">
            <w:pPr>
              <w:jc w:val="center"/>
              <w:rPr>
                <w:sz w:val="20"/>
                <w:szCs w:val="20"/>
                <w:lang w:val="en-GB"/>
              </w:rPr>
            </w:pPr>
            <w:r w:rsidRPr="00A34F10">
              <w:rPr>
                <w:sz w:val="20"/>
                <w:szCs w:val="20"/>
                <w:lang w:val="en-GB"/>
              </w:rPr>
              <w:t>Small herbivorous mammal “vole”</w:t>
            </w:r>
          </w:p>
        </w:tc>
        <w:tc>
          <w:tcPr>
            <w:tcW w:w="458" w:type="pct"/>
            <w:vMerge/>
            <w:tcBorders>
              <w:top w:val="single" w:sz="4" w:space="0" w:color="auto"/>
              <w:bottom w:val="single" w:sz="4" w:space="0" w:color="auto"/>
            </w:tcBorders>
            <w:shd w:val="clear" w:color="auto" w:fill="auto"/>
            <w:vAlign w:val="center"/>
          </w:tcPr>
          <w:p w14:paraId="232F4E81" w14:textId="77777777" w:rsidR="00605F72" w:rsidRPr="00A34F10" w:rsidRDefault="00605F72" w:rsidP="00605F72">
            <w:pPr>
              <w:jc w:val="center"/>
              <w:rPr>
                <w:sz w:val="20"/>
                <w:szCs w:val="20"/>
                <w:lang w:val="en-GB"/>
              </w:rPr>
            </w:pPr>
          </w:p>
        </w:tc>
        <w:tc>
          <w:tcPr>
            <w:tcW w:w="330" w:type="pct"/>
            <w:tcBorders>
              <w:top w:val="single" w:sz="4" w:space="0" w:color="auto"/>
              <w:bottom w:val="single" w:sz="4" w:space="0" w:color="auto"/>
            </w:tcBorders>
            <w:shd w:val="clear" w:color="auto" w:fill="auto"/>
            <w:vAlign w:val="center"/>
          </w:tcPr>
          <w:p w14:paraId="68E36801" w14:textId="77777777" w:rsidR="00605F72" w:rsidRPr="00A34F10" w:rsidRDefault="00605F72" w:rsidP="00605F72">
            <w:pPr>
              <w:jc w:val="center"/>
              <w:rPr>
                <w:sz w:val="20"/>
                <w:szCs w:val="20"/>
                <w:lang w:val="en-GB"/>
              </w:rPr>
            </w:pPr>
            <w:r w:rsidRPr="00A34F10">
              <w:rPr>
                <w:sz w:val="20"/>
                <w:szCs w:val="20"/>
              </w:rPr>
              <w:t>40.9</w:t>
            </w:r>
          </w:p>
        </w:tc>
        <w:tc>
          <w:tcPr>
            <w:tcW w:w="411" w:type="pct"/>
            <w:vMerge/>
            <w:tcBorders>
              <w:top w:val="single" w:sz="4" w:space="0" w:color="auto"/>
              <w:bottom w:val="single" w:sz="4" w:space="0" w:color="auto"/>
            </w:tcBorders>
            <w:shd w:val="clear" w:color="auto" w:fill="auto"/>
            <w:vAlign w:val="center"/>
          </w:tcPr>
          <w:p w14:paraId="7719D097" w14:textId="77777777" w:rsidR="00605F72" w:rsidRPr="00A34F10" w:rsidRDefault="00605F72" w:rsidP="00605F72">
            <w:pPr>
              <w:jc w:val="center"/>
              <w:rPr>
                <w:sz w:val="20"/>
                <w:szCs w:val="20"/>
                <w:highlight w:val="yellow"/>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4643614" w14:textId="77777777" w:rsidR="00605F72" w:rsidRPr="00A34F10" w:rsidRDefault="00605F72" w:rsidP="00605F72">
            <w:pPr>
              <w:jc w:val="center"/>
              <w:rPr>
                <w:sz w:val="20"/>
                <w:szCs w:val="20"/>
                <w:highlight w:val="yellow"/>
                <w:lang w:val="en-GB"/>
              </w:rPr>
            </w:pPr>
            <w:r w:rsidRPr="00A34F10">
              <w:rPr>
                <w:sz w:val="20"/>
                <w:szCs w:val="20"/>
              </w:rPr>
              <w:t>65.79</w:t>
            </w:r>
          </w:p>
        </w:tc>
        <w:tc>
          <w:tcPr>
            <w:tcW w:w="478" w:type="pct"/>
            <w:tcBorders>
              <w:top w:val="single" w:sz="4" w:space="0" w:color="auto"/>
              <w:left w:val="nil"/>
              <w:bottom w:val="single" w:sz="4" w:space="0" w:color="auto"/>
              <w:right w:val="single" w:sz="4" w:space="0" w:color="auto"/>
            </w:tcBorders>
            <w:shd w:val="clear" w:color="auto" w:fill="auto"/>
            <w:vAlign w:val="center"/>
          </w:tcPr>
          <w:p w14:paraId="037B759C" w14:textId="73E705B7"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18.4</w:t>
            </w:r>
          </w:p>
        </w:tc>
      </w:tr>
      <w:tr w:rsidR="00605F72" w:rsidRPr="00A34F10" w14:paraId="585C8B5A" w14:textId="77777777" w:rsidTr="00592A10">
        <w:trPr>
          <w:cantSplit/>
        </w:trPr>
        <w:tc>
          <w:tcPr>
            <w:tcW w:w="808" w:type="pct"/>
            <w:tcBorders>
              <w:bottom w:val="single" w:sz="4" w:space="0" w:color="auto"/>
            </w:tcBorders>
            <w:shd w:val="clear" w:color="auto" w:fill="auto"/>
            <w:vAlign w:val="center"/>
          </w:tcPr>
          <w:p w14:paraId="7F58BA42" w14:textId="77777777" w:rsidR="00605F72" w:rsidRPr="00A34F10" w:rsidRDefault="00605F72" w:rsidP="00605F72">
            <w:pPr>
              <w:jc w:val="center"/>
              <w:rPr>
                <w:sz w:val="20"/>
                <w:szCs w:val="20"/>
                <w:lang w:val="en-GB"/>
              </w:rPr>
            </w:pPr>
            <w:r w:rsidRPr="00A34F10">
              <w:rPr>
                <w:sz w:val="20"/>
                <w:szCs w:val="20"/>
              </w:rPr>
              <w:t>BBCH 10-49</w:t>
            </w:r>
          </w:p>
        </w:tc>
        <w:tc>
          <w:tcPr>
            <w:tcW w:w="1844" w:type="pct"/>
            <w:tcBorders>
              <w:bottom w:val="single" w:sz="4" w:space="0" w:color="auto"/>
            </w:tcBorders>
            <w:shd w:val="clear" w:color="auto" w:fill="auto"/>
            <w:vAlign w:val="center"/>
          </w:tcPr>
          <w:p w14:paraId="09EE6313" w14:textId="77777777" w:rsidR="00605F72" w:rsidRPr="00A34F10" w:rsidRDefault="00605F72" w:rsidP="00605F72">
            <w:pPr>
              <w:jc w:val="center"/>
              <w:rPr>
                <w:sz w:val="20"/>
                <w:szCs w:val="20"/>
                <w:lang w:val="en-GB"/>
              </w:rPr>
            </w:pPr>
            <w:r w:rsidRPr="00A34F10">
              <w:rPr>
                <w:sz w:val="20"/>
                <w:szCs w:val="20"/>
                <w:lang w:val="en-GB"/>
              </w:rPr>
              <w:t>Small omnivorous mammal “mouse”</w:t>
            </w:r>
          </w:p>
        </w:tc>
        <w:tc>
          <w:tcPr>
            <w:tcW w:w="458" w:type="pct"/>
            <w:vMerge/>
            <w:tcBorders>
              <w:bottom w:val="single" w:sz="4" w:space="0" w:color="auto"/>
            </w:tcBorders>
            <w:shd w:val="clear" w:color="auto" w:fill="auto"/>
            <w:vAlign w:val="center"/>
          </w:tcPr>
          <w:p w14:paraId="195B955D" w14:textId="77777777" w:rsidR="00605F72" w:rsidRPr="00A34F10" w:rsidRDefault="00605F72" w:rsidP="00605F72">
            <w:pPr>
              <w:jc w:val="center"/>
              <w:rPr>
                <w:sz w:val="20"/>
                <w:szCs w:val="20"/>
                <w:lang w:val="en-GB"/>
              </w:rPr>
            </w:pPr>
          </w:p>
        </w:tc>
        <w:tc>
          <w:tcPr>
            <w:tcW w:w="330" w:type="pct"/>
            <w:tcBorders>
              <w:bottom w:val="single" w:sz="4" w:space="0" w:color="auto"/>
            </w:tcBorders>
            <w:shd w:val="clear" w:color="auto" w:fill="auto"/>
            <w:vAlign w:val="center"/>
          </w:tcPr>
          <w:p w14:paraId="697DD2DF" w14:textId="77777777" w:rsidR="00605F72" w:rsidRPr="00A34F10" w:rsidRDefault="00605F72" w:rsidP="00605F72">
            <w:pPr>
              <w:jc w:val="center"/>
              <w:rPr>
                <w:sz w:val="20"/>
                <w:szCs w:val="20"/>
                <w:lang w:val="en-GB"/>
              </w:rPr>
            </w:pPr>
            <w:r w:rsidRPr="00A34F10">
              <w:rPr>
                <w:sz w:val="20"/>
                <w:szCs w:val="20"/>
              </w:rPr>
              <w:t>17.2</w:t>
            </w:r>
          </w:p>
        </w:tc>
        <w:tc>
          <w:tcPr>
            <w:tcW w:w="411" w:type="pct"/>
            <w:vMerge/>
            <w:tcBorders>
              <w:bottom w:val="single" w:sz="4" w:space="0" w:color="auto"/>
            </w:tcBorders>
            <w:shd w:val="clear" w:color="auto" w:fill="auto"/>
            <w:vAlign w:val="center"/>
          </w:tcPr>
          <w:p w14:paraId="1B0F96CC" w14:textId="77777777" w:rsidR="00605F72" w:rsidRPr="00A34F10" w:rsidRDefault="00605F72" w:rsidP="00605F72">
            <w:pPr>
              <w:jc w:val="center"/>
              <w:rPr>
                <w:sz w:val="20"/>
                <w:szCs w:val="20"/>
                <w:highlight w:val="yellow"/>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018C529" w14:textId="77777777" w:rsidR="00605F72" w:rsidRPr="00A34F10" w:rsidRDefault="00605F72" w:rsidP="00605F72">
            <w:pPr>
              <w:jc w:val="center"/>
              <w:rPr>
                <w:sz w:val="20"/>
                <w:szCs w:val="20"/>
                <w:highlight w:val="yellow"/>
                <w:lang w:val="en-GB"/>
              </w:rPr>
            </w:pPr>
            <w:r w:rsidRPr="00A34F10">
              <w:rPr>
                <w:sz w:val="20"/>
                <w:szCs w:val="20"/>
              </w:rPr>
              <w:t>27.67</w:t>
            </w:r>
          </w:p>
        </w:tc>
        <w:tc>
          <w:tcPr>
            <w:tcW w:w="478" w:type="pct"/>
            <w:tcBorders>
              <w:top w:val="single" w:sz="4" w:space="0" w:color="auto"/>
              <w:left w:val="nil"/>
              <w:bottom w:val="single" w:sz="4" w:space="0" w:color="auto"/>
              <w:right w:val="single" w:sz="4" w:space="0" w:color="auto"/>
            </w:tcBorders>
            <w:shd w:val="clear" w:color="auto" w:fill="auto"/>
            <w:vAlign w:val="center"/>
          </w:tcPr>
          <w:p w14:paraId="11508074" w14:textId="4065B19A"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43.7</w:t>
            </w:r>
          </w:p>
        </w:tc>
      </w:tr>
      <w:tr w:rsidR="00605F72" w:rsidRPr="00A34F10" w14:paraId="3AB9327D" w14:textId="77777777" w:rsidTr="00592A10">
        <w:trPr>
          <w:cantSplit/>
        </w:trPr>
        <w:tc>
          <w:tcPr>
            <w:tcW w:w="808" w:type="pct"/>
            <w:tcBorders>
              <w:top w:val="single" w:sz="4" w:space="0" w:color="auto"/>
              <w:bottom w:val="single" w:sz="12" w:space="0" w:color="auto"/>
            </w:tcBorders>
            <w:shd w:val="clear" w:color="auto" w:fill="auto"/>
            <w:vAlign w:val="center"/>
          </w:tcPr>
          <w:p w14:paraId="715AD1C9" w14:textId="77777777" w:rsidR="00605F72" w:rsidRPr="00A34F10" w:rsidRDefault="00605F72" w:rsidP="00605F72">
            <w:pPr>
              <w:jc w:val="center"/>
              <w:rPr>
                <w:sz w:val="20"/>
                <w:szCs w:val="20"/>
                <w:lang w:val="en-GB"/>
              </w:rPr>
            </w:pPr>
            <w:r w:rsidRPr="00A34F10">
              <w:rPr>
                <w:sz w:val="20"/>
                <w:szCs w:val="20"/>
              </w:rPr>
              <w:t>BBCH ≥50</w:t>
            </w:r>
          </w:p>
        </w:tc>
        <w:tc>
          <w:tcPr>
            <w:tcW w:w="1844" w:type="pct"/>
            <w:tcBorders>
              <w:top w:val="single" w:sz="4" w:space="0" w:color="auto"/>
              <w:bottom w:val="single" w:sz="12" w:space="0" w:color="auto"/>
            </w:tcBorders>
            <w:shd w:val="clear" w:color="auto" w:fill="auto"/>
            <w:vAlign w:val="center"/>
          </w:tcPr>
          <w:p w14:paraId="442F00E8" w14:textId="77777777" w:rsidR="00605F72" w:rsidRPr="00A34F10" w:rsidRDefault="00605F72" w:rsidP="00605F72">
            <w:pPr>
              <w:jc w:val="center"/>
              <w:rPr>
                <w:sz w:val="20"/>
                <w:szCs w:val="20"/>
                <w:lang w:val="en-GB"/>
              </w:rPr>
            </w:pPr>
            <w:r w:rsidRPr="00A34F10">
              <w:rPr>
                <w:sz w:val="20"/>
                <w:szCs w:val="20"/>
                <w:lang w:val="en-GB"/>
              </w:rPr>
              <w:t>Small omnivorous mammal “mouse”</w:t>
            </w:r>
          </w:p>
        </w:tc>
        <w:tc>
          <w:tcPr>
            <w:tcW w:w="458" w:type="pct"/>
            <w:vMerge/>
            <w:tcBorders>
              <w:top w:val="single" w:sz="4" w:space="0" w:color="auto"/>
              <w:bottom w:val="single" w:sz="12" w:space="0" w:color="auto"/>
            </w:tcBorders>
            <w:shd w:val="clear" w:color="auto" w:fill="auto"/>
            <w:vAlign w:val="center"/>
          </w:tcPr>
          <w:p w14:paraId="5A42ABE8" w14:textId="77777777" w:rsidR="00605F72" w:rsidRPr="00A34F10" w:rsidRDefault="00605F72" w:rsidP="00605F72">
            <w:pPr>
              <w:jc w:val="center"/>
              <w:rPr>
                <w:sz w:val="20"/>
                <w:szCs w:val="20"/>
                <w:lang w:val="en-GB"/>
              </w:rPr>
            </w:pPr>
          </w:p>
        </w:tc>
        <w:tc>
          <w:tcPr>
            <w:tcW w:w="330" w:type="pct"/>
            <w:tcBorders>
              <w:top w:val="single" w:sz="4" w:space="0" w:color="auto"/>
              <w:bottom w:val="single" w:sz="12" w:space="0" w:color="auto"/>
            </w:tcBorders>
            <w:shd w:val="clear" w:color="auto" w:fill="auto"/>
            <w:vAlign w:val="center"/>
          </w:tcPr>
          <w:p w14:paraId="4AC9C523" w14:textId="77777777" w:rsidR="00605F72" w:rsidRPr="00A34F10" w:rsidRDefault="00605F72" w:rsidP="00605F72">
            <w:pPr>
              <w:jc w:val="center"/>
              <w:rPr>
                <w:sz w:val="20"/>
                <w:szCs w:val="20"/>
                <w:lang w:val="en-GB"/>
              </w:rPr>
            </w:pPr>
            <w:r w:rsidRPr="00A34F10">
              <w:rPr>
                <w:sz w:val="20"/>
                <w:szCs w:val="20"/>
              </w:rPr>
              <w:t>5.2</w:t>
            </w:r>
          </w:p>
        </w:tc>
        <w:tc>
          <w:tcPr>
            <w:tcW w:w="411" w:type="pct"/>
            <w:vMerge/>
            <w:tcBorders>
              <w:top w:val="single" w:sz="4" w:space="0" w:color="auto"/>
              <w:bottom w:val="single" w:sz="12" w:space="0" w:color="auto"/>
            </w:tcBorders>
            <w:shd w:val="clear" w:color="auto" w:fill="auto"/>
            <w:vAlign w:val="center"/>
          </w:tcPr>
          <w:p w14:paraId="399CB219" w14:textId="77777777" w:rsidR="00605F72" w:rsidRPr="00A34F10" w:rsidRDefault="00605F72" w:rsidP="00605F72">
            <w:pPr>
              <w:jc w:val="center"/>
              <w:rPr>
                <w:sz w:val="20"/>
                <w:szCs w:val="20"/>
                <w:highlight w:val="yellow"/>
                <w:lang w:val="en-GB"/>
              </w:rPr>
            </w:pPr>
          </w:p>
        </w:tc>
        <w:tc>
          <w:tcPr>
            <w:tcW w:w="671" w:type="pct"/>
            <w:tcBorders>
              <w:top w:val="single" w:sz="4" w:space="0" w:color="auto"/>
              <w:left w:val="single" w:sz="4" w:space="0" w:color="auto"/>
              <w:bottom w:val="single" w:sz="12" w:space="0" w:color="auto"/>
              <w:right w:val="single" w:sz="4" w:space="0" w:color="auto"/>
            </w:tcBorders>
            <w:shd w:val="clear" w:color="auto" w:fill="auto"/>
            <w:vAlign w:val="center"/>
          </w:tcPr>
          <w:p w14:paraId="4B692F84" w14:textId="77777777" w:rsidR="00605F72" w:rsidRPr="00A34F10" w:rsidRDefault="00605F72" w:rsidP="00605F72">
            <w:pPr>
              <w:jc w:val="center"/>
              <w:rPr>
                <w:sz w:val="20"/>
                <w:szCs w:val="20"/>
                <w:highlight w:val="yellow"/>
                <w:lang w:val="en-GB"/>
              </w:rPr>
            </w:pPr>
            <w:r w:rsidRPr="00A34F10">
              <w:rPr>
                <w:sz w:val="20"/>
                <w:szCs w:val="20"/>
              </w:rPr>
              <w:t>8.36</w:t>
            </w:r>
          </w:p>
        </w:tc>
        <w:tc>
          <w:tcPr>
            <w:tcW w:w="478" w:type="pct"/>
            <w:tcBorders>
              <w:top w:val="single" w:sz="4" w:space="0" w:color="auto"/>
              <w:left w:val="nil"/>
              <w:bottom w:val="single" w:sz="12" w:space="0" w:color="auto"/>
              <w:right w:val="single" w:sz="4" w:space="0" w:color="auto"/>
            </w:tcBorders>
            <w:shd w:val="clear" w:color="auto" w:fill="auto"/>
            <w:vAlign w:val="center"/>
          </w:tcPr>
          <w:p w14:paraId="1D50AAE7" w14:textId="01101575"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144.5</w:t>
            </w:r>
          </w:p>
        </w:tc>
      </w:tr>
      <w:tr w:rsidR="00DC5685" w:rsidRPr="00E805DA" w14:paraId="49F700CD" w14:textId="77777777" w:rsidTr="000470C3">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6DD2C5B1" w14:textId="77777777" w:rsidR="00DC5685" w:rsidRPr="001D51C3" w:rsidRDefault="00DC5685" w:rsidP="002F6515">
            <w:pPr>
              <w:keepNext/>
              <w:jc w:val="center"/>
              <w:rPr>
                <w:b/>
                <w:color w:val="000000"/>
                <w:sz w:val="20"/>
                <w:szCs w:val="20"/>
                <w:highlight w:val="yellow"/>
                <w:lang w:val="es-ES"/>
              </w:rPr>
            </w:pPr>
            <w:r w:rsidRPr="001D51C3">
              <w:rPr>
                <w:b/>
                <w:sz w:val="20"/>
                <w:szCs w:val="20"/>
                <w:lang w:val="es-ES"/>
              </w:rPr>
              <w:t xml:space="preserve">Ornamentals (2 x </w:t>
            </w:r>
            <w:r w:rsidRPr="001D51C3">
              <w:rPr>
                <w:b/>
                <w:bCs/>
                <w:sz w:val="20"/>
                <w:szCs w:val="20"/>
                <w:lang w:val="es-ES"/>
              </w:rPr>
              <w:t xml:space="preserve">(∑ 0.240 + 0.902) </w:t>
            </w:r>
            <w:r w:rsidRPr="001D51C3">
              <w:rPr>
                <w:b/>
                <w:sz w:val="20"/>
                <w:szCs w:val="20"/>
                <w:lang w:val="es-ES"/>
              </w:rPr>
              <w:t>kg a.s./ha, BBCH 12–59)</w:t>
            </w:r>
          </w:p>
        </w:tc>
      </w:tr>
      <w:tr w:rsidR="00605F72" w:rsidRPr="00A34F10" w14:paraId="632A67E2" w14:textId="77777777" w:rsidTr="00592A10">
        <w:trPr>
          <w:cantSplit/>
        </w:trPr>
        <w:tc>
          <w:tcPr>
            <w:tcW w:w="808" w:type="pct"/>
            <w:tcBorders>
              <w:top w:val="single" w:sz="4" w:space="0" w:color="auto"/>
              <w:left w:val="single" w:sz="4" w:space="0" w:color="auto"/>
              <w:bottom w:val="single" w:sz="2" w:space="0" w:color="auto"/>
              <w:right w:val="single" w:sz="4" w:space="0" w:color="auto"/>
            </w:tcBorders>
            <w:shd w:val="clear" w:color="auto" w:fill="auto"/>
            <w:vAlign w:val="center"/>
          </w:tcPr>
          <w:p w14:paraId="23E688B9" w14:textId="77777777" w:rsidR="00605F72" w:rsidRPr="00A34F10" w:rsidRDefault="00605F72" w:rsidP="00605F72">
            <w:pPr>
              <w:keepNext/>
              <w:jc w:val="center"/>
              <w:rPr>
                <w:color w:val="000000"/>
                <w:sz w:val="20"/>
                <w:szCs w:val="20"/>
                <w:lang w:val="en-GB" w:eastAsia="en-GB"/>
              </w:rPr>
            </w:pPr>
            <w:r w:rsidRPr="00A34F10">
              <w:rPr>
                <w:sz w:val="20"/>
                <w:szCs w:val="20"/>
              </w:rPr>
              <w:t>Application to plant - exposure to underlying ground</w:t>
            </w:r>
          </w:p>
        </w:tc>
        <w:tc>
          <w:tcPr>
            <w:tcW w:w="1844" w:type="pct"/>
            <w:tcBorders>
              <w:top w:val="single" w:sz="4" w:space="0" w:color="auto"/>
              <w:left w:val="nil"/>
              <w:bottom w:val="single" w:sz="2" w:space="0" w:color="auto"/>
              <w:right w:val="single" w:sz="4" w:space="0" w:color="auto"/>
            </w:tcBorders>
            <w:shd w:val="clear" w:color="auto" w:fill="auto"/>
            <w:vAlign w:val="center"/>
          </w:tcPr>
          <w:p w14:paraId="5E17E949" w14:textId="77777777" w:rsidR="00605F72" w:rsidRPr="00A34F10" w:rsidRDefault="00605F72" w:rsidP="00605F72">
            <w:pPr>
              <w:keepNext/>
              <w:jc w:val="center"/>
              <w:rPr>
                <w:color w:val="000000"/>
                <w:sz w:val="20"/>
                <w:szCs w:val="20"/>
                <w:lang w:val="en-GB"/>
              </w:rPr>
            </w:pPr>
            <w:r w:rsidRPr="00A34F10">
              <w:rPr>
                <w:sz w:val="20"/>
                <w:szCs w:val="20"/>
                <w:lang w:val="en-GB"/>
              </w:rPr>
              <w:t>Small insectivorous mammal “shrew”</w:t>
            </w:r>
          </w:p>
        </w:tc>
        <w:tc>
          <w:tcPr>
            <w:tcW w:w="458" w:type="pct"/>
            <w:vMerge w:val="restart"/>
            <w:shd w:val="clear" w:color="auto" w:fill="auto"/>
            <w:vAlign w:val="center"/>
          </w:tcPr>
          <w:p w14:paraId="565D8BAE" w14:textId="63897EDD" w:rsidR="00605F72" w:rsidRPr="00A34F10" w:rsidRDefault="00605F72" w:rsidP="00605F72">
            <w:pPr>
              <w:keepNext/>
              <w:jc w:val="center"/>
              <w:rPr>
                <w:sz w:val="20"/>
                <w:szCs w:val="20"/>
                <w:lang w:val="en-GB"/>
              </w:rPr>
            </w:pPr>
            <w:r>
              <w:rPr>
                <w:sz w:val="20"/>
                <w:szCs w:val="20"/>
                <w:lang w:val="en-GB"/>
              </w:rPr>
              <w:t>1.142</w:t>
            </w:r>
          </w:p>
        </w:tc>
        <w:tc>
          <w:tcPr>
            <w:tcW w:w="330" w:type="pct"/>
            <w:tcBorders>
              <w:top w:val="single" w:sz="4" w:space="0" w:color="auto"/>
              <w:left w:val="single" w:sz="4" w:space="0" w:color="auto"/>
              <w:bottom w:val="single" w:sz="2" w:space="0" w:color="auto"/>
              <w:right w:val="single" w:sz="4" w:space="0" w:color="auto"/>
            </w:tcBorders>
            <w:shd w:val="clear" w:color="auto" w:fill="auto"/>
            <w:vAlign w:val="center"/>
          </w:tcPr>
          <w:p w14:paraId="5DC47D35" w14:textId="77777777" w:rsidR="00605F72" w:rsidRPr="00A34F10" w:rsidRDefault="00605F72" w:rsidP="00605F72">
            <w:pPr>
              <w:keepNext/>
              <w:jc w:val="center"/>
              <w:rPr>
                <w:color w:val="000000"/>
                <w:sz w:val="20"/>
                <w:szCs w:val="20"/>
                <w:lang w:val="en-GB" w:eastAsia="en-GB"/>
              </w:rPr>
            </w:pPr>
            <w:r w:rsidRPr="00A34F10">
              <w:rPr>
                <w:sz w:val="20"/>
                <w:szCs w:val="20"/>
              </w:rPr>
              <w:t>5.4</w:t>
            </w:r>
          </w:p>
        </w:tc>
        <w:tc>
          <w:tcPr>
            <w:tcW w:w="411" w:type="pct"/>
            <w:vMerge w:val="restart"/>
            <w:shd w:val="clear" w:color="auto" w:fill="auto"/>
            <w:vAlign w:val="center"/>
          </w:tcPr>
          <w:p w14:paraId="560442C7" w14:textId="77777777" w:rsidR="00605F72" w:rsidRPr="00A34F10" w:rsidRDefault="00605F72" w:rsidP="00605F72">
            <w:pPr>
              <w:keepNext/>
              <w:jc w:val="center"/>
              <w:rPr>
                <w:sz w:val="20"/>
                <w:szCs w:val="20"/>
                <w:lang w:val="en-GB"/>
              </w:rPr>
            </w:pPr>
            <w:r w:rsidRPr="00A34F10">
              <w:rPr>
                <w:sz w:val="20"/>
                <w:szCs w:val="20"/>
                <w:lang w:val="en-GB"/>
              </w:rPr>
              <w:t>1.41</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7C82B50A" w14:textId="77777777" w:rsidR="00605F72" w:rsidRPr="00A34F10" w:rsidRDefault="00605F72" w:rsidP="00605F72">
            <w:pPr>
              <w:keepNext/>
              <w:jc w:val="center"/>
              <w:rPr>
                <w:color w:val="000000"/>
                <w:sz w:val="20"/>
                <w:szCs w:val="20"/>
                <w:lang w:val="en-GB" w:eastAsia="en-GB"/>
              </w:rPr>
            </w:pPr>
            <w:r w:rsidRPr="00A34F10">
              <w:rPr>
                <w:sz w:val="20"/>
                <w:szCs w:val="20"/>
              </w:rPr>
              <w:t>8.69</w:t>
            </w:r>
          </w:p>
        </w:tc>
        <w:tc>
          <w:tcPr>
            <w:tcW w:w="478" w:type="pct"/>
            <w:tcBorders>
              <w:top w:val="single" w:sz="4" w:space="0" w:color="auto"/>
              <w:left w:val="single" w:sz="4" w:space="0" w:color="auto"/>
              <w:bottom w:val="single" w:sz="2" w:space="0" w:color="auto"/>
              <w:right w:val="single" w:sz="4" w:space="0" w:color="auto"/>
            </w:tcBorders>
            <w:shd w:val="clear" w:color="auto" w:fill="auto"/>
            <w:vAlign w:val="center"/>
          </w:tcPr>
          <w:p w14:paraId="3D683E4A" w14:textId="53928987" w:rsidR="00605F72" w:rsidRPr="004B4A1B" w:rsidRDefault="00660E58" w:rsidP="00605F72">
            <w:pPr>
              <w:keepNext/>
              <w:jc w:val="center"/>
              <w:rPr>
                <w:sz w:val="20"/>
                <w:szCs w:val="20"/>
                <w:highlight w:val="green"/>
                <w:lang w:val="en-GB" w:eastAsia="en-GB"/>
              </w:rPr>
            </w:pPr>
            <w:r>
              <w:rPr>
                <w:sz w:val="20"/>
                <w:szCs w:val="20"/>
                <w:highlight w:val="green"/>
              </w:rPr>
              <w:t>&gt;</w:t>
            </w:r>
            <w:r w:rsidR="00605F72">
              <w:rPr>
                <w:sz w:val="20"/>
                <w:szCs w:val="20"/>
                <w:highlight w:val="green"/>
              </w:rPr>
              <w:t xml:space="preserve"> </w:t>
            </w:r>
            <w:r w:rsidR="00605F72" w:rsidRPr="00A34F10">
              <w:rPr>
                <w:sz w:val="20"/>
                <w:szCs w:val="20"/>
              </w:rPr>
              <w:t>139.1</w:t>
            </w:r>
          </w:p>
        </w:tc>
      </w:tr>
      <w:tr w:rsidR="00605F72" w:rsidRPr="00A34F10" w14:paraId="47BBF505" w14:textId="77777777" w:rsidTr="00592A10">
        <w:trPr>
          <w:cantSplit/>
        </w:trPr>
        <w:tc>
          <w:tcPr>
            <w:tcW w:w="808" w:type="pct"/>
            <w:tcBorders>
              <w:top w:val="single" w:sz="2" w:space="0" w:color="auto"/>
              <w:left w:val="single" w:sz="4" w:space="0" w:color="auto"/>
              <w:bottom w:val="single" w:sz="4" w:space="0" w:color="auto"/>
              <w:right w:val="single" w:sz="4" w:space="0" w:color="auto"/>
            </w:tcBorders>
            <w:shd w:val="clear" w:color="auto" w:fill="auto"/>
            <w:vAlign w:val="center"/>
          </w:tcPr>
          <w:p w14:paraId="6CE0427C" w14:textId="77777777" w:rsidR="00605F72" w:rsidRPr="00A34F10" w:rsidRDefault="00605F72" w:rsidP="00605F72">
            <w:pPr>
              <w:keepNext/>
              <w:jc w:val="center"/>
              <w:rPr>
                <w:color w:val="000000"/>
                <w:sz w:val="20"/>
                <w:szCs w:val="20"/>
                <w:lang w:val="en-GB"/>
              </w:rPr>
            </w:pPr>
            <w:r w:rsidRPr="00A34F10">
              <w:rPr>
                <w:sz w:val="20"/>
                <w:szCs w:val="20"/>
              </w:rPr>
              <w:t>BBCH 40-49</w:t>
            </w:r>
          </w:p>
        </w:tc>
        <w:tc>
          <w:tcPr>
            <w:tcW w:w="1844" w:type="pct"/>
            <w:tcBorders>
              <w:top w:val="single" w:sz="2" w:space="0" w:color="auto"/>
              <w:left w:val="nil"/>
              <w:bottom w:val="single" w:sz="4" w:space="0" w:color="auto"/>
              <w:right w:val="single" w:sz="4" w:space="0" w:color="auto"/>
            </w:tcBorders>
            <w:shd w:val="clear" w:color="auto" w:fill="auto"/>
            <w:vAlign w:val="center"/>
          </w:tcPr>
          <w:p w14:paraId="726372C6" w14:textId="77777777" w:rsidR="00605F72" w:rsidRPr="00A34F10" w:rsidRDefault="00605F72" w:rsidP="00605F72">
            <w:pPr>
              <w:keepNext/>
              <w:jc w:val="center"/>
              <w:rPr>
                <w:color w:val="000000"/>
                <w:sz w:val="20"/>
                <w:szCs w:val="20"/>
                <w:lang w:val="en-GB"/>
              </w:rPr>
            </w:pPr>
            <w:r w:rsidRPr="00A34F10">
              <w:rPr>
                <w:sz w:val="20"/>
                <w:szCs w:val="20"/>
                <w:lang w:val="en-GB"/>
              </w:rPr>
              <w:t>Small herbivorous mammal “vole”</w:t>
            </w:r>
          </w:p>
        </w:tc>
        <w:tc>
          <w:tcPr>
            <w:tcW w:w="458" w:type="pct"/>
            <w:vMerge/>
            <w:shd w:val="clear" w:color="auto" w:fill="auto"/>
            <w:vAlign w:val="center"/>
          </w:tcPr>
          <w:p w14:paraId="6C370D23" w14:textId="77777777" w:rsidR="00605F72" w:rsidRPr="00A34F10" w:rsidRDefault="00605F72" w:rsidP="00605F72">
            <w:pPr>
              <w:keepNext/>
              <w:jc w:val="center"/>
              <w:rPr>
                <w:sz w:val="20"/>
                <w:szCs w:val="20"/>
                <w:lang w:val="en-GB"/>
              </w:rPr>
            </w:pPr>
          </w:p>
        </w:tc>
        <w:tc>
          <w:tcPr>
            <w:tcW w:w="330" w:type="pct"/>
            <w:tcBorders>
              <w:top w:val="single" w:sz="2" w:space="0" w:color="auto"/>
              <w:left w:val="single" w:sz="4" w:space="0" w:color="auto"/>
              <w:bottom w:val="single" w:sz="4" w:space="0" w:color="auto"/>
              <w:right w:val="single" w:sz="4" w:space="0" w:color="auto"/>
            </w:tcBorders>
            <w:shd w:val="clear" w:color="auto" w:fill="auto"/>
            <w:vAlign w:val="center"/>
          </w:tcPr>
          <w:p w14:paraId="16FFF79F" w14:textId="77777777" w:rsidR="00605F72" w:rsidRPr="00A34F10" w:rsidRDefault="00605F72" w:rsidP="00605F72">
            <w:pPr>
              <w:keepNext/>
              <w:jc w:val="center"/>
              <w:rPr>
                <w:color w:val="000000"/>
                <w:sz w:val="20"/>
                <w:szCs w:val="20"/>
                <w:lang w:val="en-GB"/>
              </w:rPr>
            </w:pPr>
            <w:r w:rsidRPr="00A34F10">
              <w:rPr>
                <w:sz w:val="20"/>
                <w:szCs w:val="20"/>
              </w:rPr>
              <w:t>136.4</w:t>
            </w:r>
          </w:p>
        </w:tc>
        <w:tc>
          <w:tcPr>
            <w:tcW w:w="411" w:type="pct"/>
            <w:vMerge/>
            <w:shd w:val="clear" w:color="auto" w:fill="auto"/>
            <w:vAlign w:val="center"/>
          </w:tcPr>
          <w:p w14:paraId="74CB44A2" w14:textId="77777777" w:rsidR="00605F72" w:rsidRPr="00A34F10" w:rsidRDefault="00605F72" w:rsidP="00605F72">
            <w:pPr>
              <w:keepNext/>
              <w:jc w:val="center"/>
              <w:rPr>
                <w:sz w:val="20"/>
                <w:szCs w:val="20"/>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3514EBB2" w14:textId="77777777" w:rsidR="00605F72" w:rsidRPr="00A34F10" w:rsidRDefault="00605F72" w:rsidP="00605F72">
            <w:pPr>
              <w:keepNext/>
              <w:jc w:val="center"/>
              <w:rPr>
                <w:color w:val="000000"/>
                <w:sz w:val="20"/>
                <w:szCs w:val="20"/>
                <w:lang w:val="en-GB"/>
              </w:rPr>
            </w:pPr>
            <w:r w:rsidRPr="00A34F10">
              <w:rPr>
                <w:sz w:val="20"/>
                <w:szCs w:val="20"/>
              </w:rPr>
              <w:t>219.39</w:t>
            </w:r>
          </w:p>
        </w:tc>
        <w:tc>
          <w:tcPr>
            <w:tcW w:w="478" w:type="pct"/>
            <w:tcBorders>
              <w:top w:val="single" w:sz="2" w:space="0" w:color="auto"/>
              <w:left w:val="single" w:sz="4" w:space="0" w:color="auto"/>
              <w:bottom w:val="single" w:sz="4" w:space="0" w:color="auto"/>
              <w:right w:val="single" w:sz="4" w:space="0" w:color="auto"/>
            </w:tcBorders>
            <w:shd w:val="clear" w:color="auto" w:fill="auto"/>
            <w:vAlign w:val="center"/>
          </w:tcPr>
          <w:p w14:paraId="7EA2D46A" w14:textId="62BF6BE2" w:rsidR="00605F72" w:rsidRPr="004B4A1B" w:rsidRDefault="00660E58" w:rsidP="00605F72">
            <w:pPr>
              <w:keepNext/>
              <w:jc w:val="center"/>
              <w:rPr>
                <w:b/>
                <w:bCs/>
                <w:sz w:val="20"/>
                <w:szCs w:val="20"/>
                <w:highlight w:val="green"/>
                <w:lang w:val="en-GB"/>
              </w:rPr>
            </w:pPr>
            <w:r>
              <w:rPr>
                <w:sz w:val="20"/>
                <w:szCs w:val="20"/>
                <w:highlight w:val="green"/>
              </w:rPr>
              <w:t>&gt;</w:t>
            </w:r>
            <w:r w:rsidR="00605F72">
              <w:rPr>
                <w:sz w:val="20"/>
                <w:szCs w:val="20"/>
                <w:highlight w:val="green"/>
              </w:rPr>
              <w:t xml:space="preserve"> </w:t>
            </w:r>
            <w:r w:rsidR="00605F72" w:rsidRPr="00A34F10">
              <w:rPr>
                <w:b/>
                <w:bCs/>
                <w:sz w:val="20"/>
                <w:szCs w:val="20"/>
              </w:rPr>
              <w:t>5.5</w:t>
            </w:r>
          </w:p>
        </w:tc>
      </w:tr>
      <w:tr w:rsidR="00605F72" w:rsidRPr="00A34F10" w14:paraId="18953A1F"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10B3AD3E" w14:textId="77777777" w:rsidR="00605F72" w:rsidRPr="00A34F10" w:rsidRDefault="00605F72" w:rsidP="00605F72">
            <w:pPr>
              <w:keepNext/>
              <w:jc w:val="center"/>
              <w:rPr>
                <w:color w:val="000000"/>
                <w:sz w:val="20"/>
                <w:szCs w:val="20"/>
                <w:lang w:val="en-GB"/>
              </w:rPr>
            </w:pPr>
            <w:r w:rsidRPr="00A34F10">
              <w:rPr>
                <w:sz w:val="20"/>
                <w:szCs w:val="20"/>
              </w:rPr>
              <w:t>BBCH ≥50</w:t>
            </w:r>
          </w:p>
        </w:tc>
        <w:tc>
          <w:tcPr>
            <w:tcW w:w="1844" w:type="pct"/>
            <w:tcBorders>
              <w:top w:val="nil"/>
              <w:left w:val="nil"/>
              <w:bottom w:val="single" w:sz="4" w:space="0" w:color="auto"/>
              <w:right w:val="single" w:sz="4" w:space="0" w:color="auto"/>
            </w:tcBorders>
            <w:shd w:val="clear" w:color="auto" w:fill="auto"/>
            <w:vAlign w:val="center"/>
          </w:tcPr>
          <w:p w14:paraId="5809D0A1" w14:textId="77777777" w:rsidR="00605F72" w:rsidRPr="00A34F10" w:rsidRDefault="00605F72" w:rsidP="00605F72">
            <w:pPr>
              <w:keepNext/>
              <w:jc w:val="center"/>
              <w:rPr>
                <w:color w:val="000000"/>
                <w:sz w:val="20"/>
                <w:szCs w:val="20"/>
                <w:lang w:val="en-GB"/>
              </w:rPr>
            </w:pPr>
            <w:r w:rsidRPr="00A34F10">
              <w:rPr>
                <w:sz w:val="20"/>
                <w:szCs w:val="20"/>
                <w:lang w:val="en-GB"/>
              </w:rPr>
              <w:t>Small herbivorous mammal “vole”</w:t>
            </w:r>
          </w:p>
        </w:tc>
        <w:tc>
          <w:tcPr>
            <w:tcW w:w="458" w:type="pct"/>
            <w:vMerge/>
            <w:shd w:val="clear" w:color="auto" w:fill="auto"/>
            <w:vAlign w:val="center"/>
          </w:tcPr>
          <w:p w14:paraId="0B9597AB" w14:textId="77777777" w:rsidR="00605F72" w:rsidRPr="00A34F10" w:rsidRDefault="00605F72" w:rsidP="00605F72">
            <w:pPr>
              <w:keepNext/>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04E8332C" w14:textId="77777777" w:rsidR="00605F72" w:rsidRPr="00A34F10" w:rsidRDefault="00605F72" w:rsidP="00605F72">
            <w:pPr>
              <w:keepNext/>
              <w:jc w:val="center"/>
              <w:rPr>
                <w:color w:val="000000"/>
                <w:sz w:val="20"/>
                <w:szCs w:val="20"/>
                <w:lang w:val="en-GB"/>
              </w:rPr>
            </w:pPr>
            <w:r w:rsidRPr="00A34F10">
              <w:rPr>
                <w:sz w:val="20"/>
                <w:szCs w:val="20"/>
              </w:rPr>
              <w:t>68.2</w:t>
            </w:r>
          </w:p>
        </w:tc>
        <w:tc>
          <w:tcPr>
            <w:tcW w:w="411" w:type="pct"/>
            <w:vMerge/>
            <w:shd w:val="clear" w:color="auto" w:fill="auto"/>
            <w:vAlign w:val="center"/>
          </w:tcPr>
          <w:p w14:paraId="5AFFCD5D" w14:textId="77777777" w:rsidR="00605F72" w:rsidRPr="00A34F10" w:rsidRDefault="00605F72" w:rsidP="00605F72">
            <w:pPr>
              <w:keepNext/>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2765356" w14:textId="77777777" w:rsidR="00605F72" w:rsidRPr="00A34F10" w:rsidRDefault="00605F72" w:rsidP="00605F72">
            <w:pPr>
              <w:keepNext/>
              <w:jc w:val="center"/>
              <w:rPr>
                <w:color w:val="000000"/>
                <w:sz w:val="20"/>
                <w:szCs w:val="20"/>
                <w:lang w:val="en-GB"/>
              </w:rPr>
            </w:pPr>
            <w:r w:rsidRPr="00A34F10">
              <w:rPr>
                <w:sz w:val="20"/>
                <w:szCs w:val="20"/>
              </w:rPr>
              <w:t>109.70</w:t>
            </w:r>
          </w:p>
        </w:tc>
        <w:tc>
          <w:tcPr>
            <w:tcW w:w="478" w:type="pct"/>
            <w:tcBorders>
              <w:top w:val="nil"/>
              <w:left w:val="single" w:sz="4" w:space="0" w:color="auto"/>
              <w:bottom w:val="single" w:sz="4" w:space="0" w:color="auto"/>
              <w:right w:val="single" w:sz="4" w:space="0" w:color="auto"/>
            </w:tcBorders>
            <w:shd w:val="clear" w:color="auto" w:fill="auto"/>
            <w:vAlign w:val="center"/>
          </w:tcPr>
          <w:p w14:paraId="3067C8F5" w14:textId="1EC4D1DD" w:rsidR="00605F72" w:rsidRPr="004B4A1B" w:rsidRDefault="00660E58" w:rsidP="00605F72">
            <w:pPr>
              <w:keepNext/>
              <w:jc w:val="center"/>
              <w:rPr>
                <w:b/>
                <w:bCs/>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11.0</w:t>
            </w:r>
          </w:p>
        </w:tc>
      </w:tr>
      <w:tr w:rsidR="00605F72" w:rsidRPr="00A34F10" w14:paraId="43665098"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2FE365F1" w14:textId="77777777" w:rsidR="00605F72" w:rsidRPr="00A34F10" w:rsidRDefault="00605F72" w:rsidP="00605F72">
            <w:pPr>
              <w:jc w:val="center"/>
              <w:rPr>
                <w:sz w:val="20"/>
                <w:szCs w:val="20"/>
                <w:lang w:val="en-GB"/>
              </w:rPr>
            </w:pPr>
            <w:r w:rsidRPr="00A34F10">
              <w:rPr>
                <w:sz w:val="20"/>
                <w:szCs w:val="20"/>
              </w:rPr>
              <w:t>Application crop directed BBCH 10-49</w:t>
            </w:r>
          </w:p>
        </w:tc>
        <w:tc>
          <w:tcPr>
            <w:tcW w:w="1844" w:type="pct"/>
            <w:tcBorders>
              <w:top w:val="single" w:sz="2" w:space="0" w:color="auto"/>
              <w:left w:val="nil"/>
              <w:bottom w:val="single" w:sz="4" w:space="0" w:color="auto"/>
              <w:right w:val="single" w:sz="4" w:space="0" w:color="auto"/>
            </w:tcBorders>
            <w:shd w:val="clear" w:color="auto" w:fill="auto"/>
            <w:vAlign w:val="center"/>
          </w:tcPr>
          <w:p w14:paraId="41CAAE9C" w14:textId="77777777" w:rsidR="00605F72" w:rsidRPr="00A34F10" w:rsidRDefault="00605F72" w:rsidP="00605F72">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17996B45" w14:textId="77777777" w:rsidR="00605F72" w:rsidRPr="00A34F10" w:rsidRDefault="00605F72" w:rsidP="00605F72">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73B4EC50" w14:textId="77777777" w:rsidR="00605F72" w:rsidRPr="00A34F10" w:rsidRDefault="00605F72" w:rsidP="00605F72">
            <w:pPr>
              <w:jc w:val="center"/>
              <w:rPr>
                <w:sz w:val="20"/>
                <w:szCs w:val="20"/>
                <w:lang w:val="en-GB"/>
              </w:rPr>
            </w:pPr>
            <w:r w:rsidRPr="00A34F10">
              <w:rPr>
                <w:sz w:val="20"/>
                <w:szCs w:val="20"/>
              </w:rPr>
              <w:t>17.2</w:t>
            </w:r>
          </w:p>
        </w:tc>
        <w:tc>
          <w:tcPr>
            <w:tcW w:w="411" w:type="pct"/>
            <w:vMerge/>
            <w:shd w:val="clear" w:color="auto" w:fill="auto"/>
            <w:vAlign w:val="center"/>
          </w:tcPr>
          <w:p w14:paraId="7EDAA661" w14:textId="77777777" w:rsidR="00605F72" w:rsidRPr="00A34F10" w:rsidRDefault="00605F72" w:rsidP="00605F72">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252DD80B" w14:textId="77777777" w:rsidR="00605F72" w:rsidRPr="00A34F10" w:rsidRDefault="00605F72" w:rsidP="00605F72">
            <w:pPr>
              <w:jc w:val="center"/>
              <w:rPr>
                <w:sz w:val="20"/>
                <w:szCs w:val="20"/>
                <w:lang w:val="en-GB"/>
              </w:rPr>
            </w:pPr>
            <w:r w:rsidRPr="00A34F10">
              <w:rPr>
                <w:sz w:val="20"/>
                <w:szCs w:val="20"/>
              </w:rPr>
              <w:t>27.67</w:t>
            </w:r>
          </w:p>
        </w:tc>
        <w:tc>
          <w:tcPr>
            <w:tcW w:w="478" w:type="pct"/>
            <w:tcBorders>
              <w:top w:val="nil"/>
              <w:left w:val="single" w:sz="4" w:space="0" w:color="auto"/>
              <w:bottom w:val="single" w:sz="4" w:space="0" w:color="auto"/>
              <w:right w:val="single" w:sz="4" w:space="0" w:color="auto"/>
            </w:tcBorders>
            <w:shd w:val="clear" w:color="auto" w:fill="auto"/>
            <w:vAlign w:val="center"/>
          </w:tcPr>
          <w:p w14:paraId="6AC5DAC3" w14:textId="31954361"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43.7</w:t>
            </w:r>
          </w:p>
        </w:tc>
      </w:tr>
      <w:tr w:rsidR="00605F72" w:rsidRPr="00A34F10" w14:paraId="459ED98E"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472EA478" w14:textId="77777777" w:rsidR="00605F72" w:rsidRPr="00A34F10" w:rsidRDefault="00605F72" w:rsidP="00605F72">
            <w:pPr>
              <w:jc w:val="center"/>
              <w:rPr>
                <w:sz w:val="20"/>
                <w:szCs w:val="20"/>
                <w:lang w:val="en-GB"/>
              </w:rPr>
            </w:pPr>
            <w:r w:rsidRPr="00A34F10">
              <w:rPr>
                <w:sz w:val="20"/>
                <w:szCs w:val="20"/>
              </w:rPr>
              <w:t>Application crop directed BBCH ≥50</w:t>
            </w:r>
          </w:p>
        </w:tc>
        <w:tc>
          <w:tcPr>
            <w:tcW w:w="1844" w:type="pct"/>
            <w:tcBorders>
              <w:top w:val="nil"/>
              <w:left w:val="nil"/>
              <w:bottom w:val="single" w:sz="4" w:space="0" w:color="auto"/>
              <w:right w:val="single" w:sz="4" w:space="0" w:color="auto"/>
            </w:tcBorders>
            <w:shd w:val="clear" w:color="auto" w:fill="auto"/>
            <w:vAlign w:val="center"/>
          </w:tcPr>
          <w:p w14:paraId="636873D9" w14:textId="77777777" w:rsidR="00605F72" w:rsidRPr="00A34F10" w:rsidRDefault="00605F72" w:rsidP="00605F72">
            <w:pPr>
              <w:jc w:val="center"/>
              <w:rPr>
                <w:sz w:val="20"/>
                <w:szCs w:val="20"/>
                <w:lang w:val="en-GB"/>
              </w:rPr>
            </w:pPr>
            <w:r w:rsidRPr="00A34F10">
              <w:rPr>
                <w:sz w:val="20"/>
                <w:szCs w:val="20"/>
                <w:lang w:val="en-GB"/>
              </w:rPr>
              <w:t>Small omnivorous mammal “mouse”</w:t>
            </w:r>
          </w:p>
        </w:tc>
        <w:tc>
          <w:tcPr>
            <w:tcW w:w="458" w:type="pct"/>
            <w:vMerge/>
            <w:shd w:val="clear" w:color="auto" w:fill="auto"/>
            <w:vAlign w:val="center"/>
          </w:tcPr>
          <w:p w14:paraId="39312705" w14:textId="77777777" w:rsidR="00605F72" w:rsidRPr="00A34F10" w:rsidRDefault="00605F72" w:rsidP="00605F72">
            <w:pPr>
              <w:jc w:val="center"/>
              <w:rPr>
                <w:sz w:val="20"/>
                <w:szCs w:val="20"/>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2DB2C6D4" w14:textId="77777777" w:rsidR="00605F72" w:rsidRPr="00A34F10" w:rsidRDefault="00605F72" w:rsidP="00605F72">
            <w:pPr>
              <w:jc w:val="center"/>
              <w:rPr>
                <w:sz w:val="20"/>
                <w:szCs w:val="20"/>
                <w:lang w:val="en-GB"/>
              </w:rPr>
            </w:pPr>
            <w:r w:rsidRPr="00A34F10">
              <w:rPr>
                <w:sz w:val="20"/>
                <w:szCs w:val="20"/>
              </w:rPr>
              <w:t>8.6</w:t>
            </w:r>
          </w:p>
        </w:tc>
        <w:tc>
          <w:tcPr>
            <w:tcW w:w="411" w:type="pct"/>
            <w:vMerge/>
            <w:shd w:val="clear" w:color="auto" w:fill="auto"/>
            <w:vAlign w:val="center"/>
          </w:tcPr>
          <w:p w14:paraId="3E828EF4" w14:textId="77777777" w:rsidR="00605F72" w:rsidRPr="00A34F10" w:rsidRDefault="00605F72" w:rsidP="00605F72">
            <w:pPr>
              <w:jc w:val="center"/>
              <w:rPr>
                <w:sz w:val="20"/>
                <w:szCs w:val="20"/>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1B2FB9C" w14:textId="77777777" w:rsidR="00605F72" w:rsidRPr="00A34F10" w:rsidRDefault="00605F72" w:rsidP="00605F72">
            <w:pPr>
              <w:jc w:val="center"/>
              <w:rPr>
                <w:sz w:val="20"/>
                <w:szCs w:val="20"/>
                <w:lang w:val="en-GB"/>
              </w:rPr>
            </w:pPr>
            <w:r w:rsidRPr="00A34F10">
              <w:rPr>
                <w:sz w:val="20"/>
                <w:szCs w:val="20"/>
              </w:rPr>
              <w:t>13.83</w:t>
            </w:r>
          </w:p>
        </w:tc>
        <w:tc>
          <w:tcPr>
            <w:tcW w:w="478" w:type="pct"/>
            <w:tcBorders>
              <w:top w:val="nil"/>
              <w:left w:val="single" w:sz="4" w:space="0" w:color="auto"/>
              <w:bottom w:val="single" w:sz="4" w:space="0" w:color="auto"/>
              <w:right w:val="single" w:sz="4" w:space="0" w:color="auto"/>
            </w:tcBorders>
            <w:shd w:val="clear" w:color="auto" w:fill="auto"/>
            <w:vAlign w:val="center"/>
          </w:tcPr>
          <w:p w14:paraId="3A6B68C3" w14:textId="1F7D840C" w:rsidR="00605F72" w:rsidRPr="004B4A1B" w:rsidRDefault="00660E58" w:rsidP="00605F72">
            <w:pPr>
              <w:jc w:val="center"/>
              <w:rPr>
                <w:sz w:val="20"/>
                <w:szCs w:val="20"/>
                <w:highlight w:val="green"/>
                <w:lang w:val="en-GB"/>
              </w:rPr>
            </w:pPr>
            <w:r>
              <w:rPr>
                <w:sz w:val="20"/>
                <w:szCs w:val="20"/>
                <w:highlight w:val="green"/>
              </w:rPr>
              <w:t>&gt;</w:t>
            </w:r>
            <w:r w:rsidR="00605F72">
              <w:rPr>
                <w:sz w:val="20"/>
                <w:szCs w:val="20"/>
                <w:highlight w:val="green"/>
              </w:rPr>
              <w:t xml:space="preserve"> </w:t>
            </w:r>
            <w:r w:rsidR="00605F72" w:rsidRPr="00A34F10">
              <w:rPr>
                <w:sz w:val="20"/>
                <w:szCs w:val="20"/>
              </w:rPr>
              <w:t>87.4</w:t>
            </w:r>
          </w:p>
        </w:tc>
      </w:tr>
      <w:tr w:rsidR="00DC5685" w:rsidRPr="00E805DA" w14:paraId="5EB28121" w14:textId="77777777" w:rsidTr="000470C3">
        <w:trPr>
          <w:cantSplit/>
        </w:trPr>
        <w:tc>
          <w:tcPr>
            <w:tcW w:w="5000" w:type="pct"/>
            <w:gridSpan w:val="7"/>
            <w:tcBorders>
              <w:top w:val="single" w:sz="12" w:space="0" w:color="auto"/>
              <w:bottom w:val="single" w:sz="12" w:space="0" w:color="auto"/>
              <w:right w:val="single" w:sz="4" w:space="0" w:color="auto"/>
            </w:tcBorders>
            <w:shd w:val="clear" w:color="auto" w:fill="auto"/>
            <w:vAlign w:val="center"/>
          </w:tcPr>
          <w:p w14:paraId="7A0CF8D2" w14:textId="77777777" w:rsidR="00DC5685" w:rsidRPr="00A81B79" w:rsidRDefault="00DC5685" w:rsidP="000470C3">
            <w:pPr>
              <w:jc w:val="center"/>
              <w:rPr>
                <w:b/>
                <w:strike/>
                <w:color w:val="000000"/>
                <w:sz w:val="20"/>
                <w:szCs w:val="20"/>
                <w:highlight w:val="yellow"/>
                <w:lang w:val="es-ES"/>
              </w:rPr>
            </w:pPr>
            <w:r w:rsidRPr="00A81B79">
              <w:rPr>
                <w:b/>
                <w:strike/>
                <w:sz w:val="20"/>
                <w:szCs w:val="20"/>
                <w:highlight w:val="green"/>
                <w:lang w:val="es-ES"/>
              </w:rPr>
              <w:t xml:space="preserve">Ornamentals (1 x </w:t>
            </w:r>
            <w:r w:rsidRPr="00A81B79">
              <w:rPr>
                <w:b/>
                <w:bCs/>
                <w:strike/>
                <w:sz w:val="20"/>
                <w:szCs w:val="20"/>
                <w:highlight w:val="green"/>
                <w:lang w:val="es-ES"/>
              </w:rPr>
              <w:t xml:space="preserve">(∑ 0.240 + 0.902) </w:t>
            </w:r>
            <w:r w:rsidRPr="00A81B79">
              <w:rPr>
                <w:b/>
                <w:strike/>
                <w:sz w:val="20"/>
                <w:szCs w:val="20"/>
                <w:highlight w:val="green"/>
                <w:lang w:val="es-ES"/>
              </w:rPr>
              <w:t>kg a.s./ha, BBCH 12–59)</w:t>
            </w:r>
          </w:p>
        </w:tc>
      </w:tr>
      <w:tr w:rsidR="00DC5685" w:rsidRPr="00A34F10" w14:paraId="3B308F06" w14:textId="77777777" w:rsidTr="00592A10">
        <w:trPr>
          <w:cantSplit/>
        </w:trPr>
        <w:tc>
          <w:tcPr>
            <w:tcW w:w="808" w:type="pct"/>
            <w:tcBorders>
              <w:top w:val="single" w:sz="4" w:space="0" w:color="auto"/>
              <w:left w:val="single" w:sz="4" w:space="0" w:color="auto"/>
              <w:bottom w:val="single" w:sz="2" w:space="0" w:color="auto"/>
              <w:right w:val="single" w:sz="4" w:space="0" w:color="auto"/>
            </w:tcBorders>
            <w:shd w:val="clear" w:color="auto" w:fill="auto"/>
            <w:vAlign w:val="center"/>
          </w:tcPr>
          <w:p w14:paraId="0110BE1C" w14:textId="77777777" w:rsidR="00DC5685" w:rsidRPr="00A81B79" w:rsidRDefault="00DC5685" w:rsidP="000470C3">
            <w:pPr>
              <w:jc w:val="center"/>
              <w:rPr>
                <w:strike/>
                <w:color w:val="000000"/>
                <w:sz w:val="20"/>
                <w:szCs w:val="20"/>
                <w:highlight w:val="green"/>
                <w:lang w:val="en-GB" w:eastAsia="en-GB"/>
              </w:rPr>
            </w:pPr>
            <w:r w:rsidRPr="00A81B79">
              <w:rPr>
                <w:strike/>
                <w:sz w:val="20"/>
                <w:szCs w:val="20"/>
                <w:highlight w:val="green"/>
              </w:rPr>
              <w:t>Application to plant - exposure to underlying ground</w:t>
            </w:r>
          </w:p>
        </w:tc>
        <w:tc>
          <w:tcPr>
            <w:tcW w:w="1844" w:type="pct"/>
            <w:tcBorders>
              <w:top w:val="single" w:sz="4" w:space="0" w:color="auto"/>
              <w:left w:val="nil"/>
              <w:bottom w:val="single" w:sz="2" w:space="0" w:color="auto"/>
              <w:right w:val="single" w:sz="4" w:space="0" w:color="auto"/>
            </w:tcBorders>
            <w:shd w:val="clear" w:color="auto" w:fill="auto"/>
            <w:vAlign w:val="center"/>
          </w:tcPr>
          <w:p w14:paraId="7A59F9F5"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lang w:val="en-GB"/>
              </w:rPr>
              <w:t>Small insectivorous mammal “shrew”</w:t>
            </w:r>
          </w:p>
        </w:tc>
        <w:tc>
          <w:tcPr>
            <w:tcW w:w="458" w:type="pct"/>
            <w:vMerge w:val="restart"/>
            <w:shd w:val="clear" w:color="auto" w:fill="auto"/>
            <w:vAlign w:val="center"/>
          </w:tcPr>
          <w:p w14:paraId="68D71846" w14:textId="063B85F1" w:rsidR="00DC5685" w:rsidRPr="00A81B79" w:rsidRDefault="004B4A1B" w:rsidP="000470C3">
            <w:pPr>
              <w:jc w:val="center"/>
              <w:rPr>
                <w:strike/>
                <w:sz w:val="20"/>
                <w:szCs w:val="20"/>
                <w:highlight w:val="green"/>
                <w:lang w:val="en-GB"/>
              </w:rPr>
            </w:pPr>
            <w:r w:rsidRPr="00A81B79">
              <w:rPr>
                <w:strike/>
                <w:sz w:val="20"/>
                <w:szCs w:val="20"/>
                <w:highlight w:val="green"/>
                <w:lang w:val="en-GB"/>
              </w:rPr>
              <w:t>1.142</w:t>
            </w:r>
          </w:p>
        </w:tc>
        <w:tc>
          <w:tcPr>
            <w:tcW w:w="330" w:type="pct"/>
            <w:tcBorders>
              <w:top w:val="single" w:sz="4" w:space="0" w:color="auto"/>
              <w:left w:val="single" w:sz="4" w:space="0" w:color="auto"/>
              <w:bottom w:val="single" w:sz="2" w:space="0" w:color="auto"/>
              <w:right w:val="single" w:sz="4" w:space="0" w:color="auto"/>
            </w:tcBorders>
            <w:shd w:val="clear" w:color="auto" w:fill="auto"/>
            <w:vAlign w:val="center"/>
          </w:tcPr>
          <w:p w14:paraId="1ECB2CF1" w14:textId="77777777" w:rsidR="00DC5685" w:rsidRPr="00A81B79" w:rsidRDefault="00DC5685" w:rsidP="000470C3">
            <w:pPr>
              <w:jc w:val="center"/>
              <w:rPr>
                <w:strike/>
                <w:color w:val="000000"/>
                <w:sz w:val="20"/>
                <w:szCs w:val="20"/>
                <w:highlight w:val="green"/>
                <w:lang w:val="en-GB" w:eastAsia="en-GB"/>
              </w:rPr>
            </w:pPr>
            <w:r w:rsidRPr="00A81B79">
              <w:rPr>
                <w:strike/>
                <w:sz w:val="20"/>
                <w:szCs w:val="20"/>
                <w:highlight w:val="green"/>
              </w:rPr>
              <w:t>5.4</w:t>
            </w:r>
          </w:p>
        </w:tc>
        <w:tc>
          <w:tcPr>
            <w:tcW w:w="411" w:type="pct"/>
            <w:vMerge w:val="restart"/>
            <w:shd w:val="clear" w:color="auto" w:fill="auto"/>
            <w:vAlign w:val="center"/>
          </w:tcPr>
          <w:p w14:paraId="7387E886" w14:textId="77777777" w:rsidR="00DC5685" w:rsidRPr="00A81B79" w:rsidRDefault="00DC5685" w:rsidP="000470C3">
            <w:pPr>
              <w:jc w:val="center"/>
              <w:rPr>
                <w:strike/>
                <w:sz w:val="20"/>
                <w:szCs w:val="20"/>
                <w:highlight w:val="green"/>
                <w:lang w:val="en-GB"/>
              </w:rPr>
            </w:pPr>
            <w:r w:rsidRPr="00A81B79">
              <w:rPr>
                <w:strike/>
                <w:sz w:val="20"/>
                <w:szCs w:val="20"/>
                <w:highlight w:val="green"/>
                <w:lang w:val="en-GB"/>
              </w:rPr>
              <w:t>1.0</w:t>
            </w:r>
          </w:p>
        </w:tc>
        <w:tc>
          <w:tcPr>
            <w:tcW w:w="671" w:type="pct"/>
            <w:tcBorders>
              <w:top w:val="single" w:sz="4" w:space="0" w:color="auto"/>
              <w:left w:val="single" w:sz="4" w:space="0" w:color="auto"/>
              <w:bottom w:val="single" w:sz="2" w:space="0" w:color="auto"/>
              <w:right w:val="single" w:sz="4" w:space="0" w:color="auto"/>
            </w:tcBorders>
            <w:shd w:val="clear" w:color="auto" w:fill="auto"/>
            <w:vAlign w:val="center"/>
          </w:tcPr>
          <w:p w14:paraId="3FF047C1" w14:textId="77777777" w:rsidR="00DC5685" w:rsidRPr="00A81B79" w:rsidRDefault="00DC5685" w:rsidP="000470C3">
            <w:pPr>
              <w:jc w:val="center"/>
              <w:rPr>
                <w:strike/>
                <w:color w:val="000000"/>
                <w:sz w:val="20"/>
                <w:szCs w:val="20"/>
                <w:highlight w:val="green"/>
                <w:lang w:val="en-GB" w:eastAsia="en-GB"/>
              </w:rPr>
            </w:pPr>
            <w:r w:rsidRPr="00A81B79">
              <w:rPr>
                <w:strike/>
                <w:sz w:val="20"/>
                <w:szCs w:val="20"/>
                <w:highlight w:val="green"/>
              </w:rPr>
              <w:t>6.16</w:t>
            </w:r>
          </w:p>
        </w:tc>
        <w:tc>
          <w:tcPr>
            <w:tcW w:w="478" w:type="pct"/>
            <w:tcBorders>
              <w:top w:val="single" w:sz="4" w:space="0" w:color="auto"/>
              <w:left w:val="single" w:sz="4" w:space="0" w:color="auto"/>
              <w:bottom w:val="single" w:sz="2" w:space="0" w:color="auto"/>
              <w:right w:val="single" w:sz="4" w:space="0" w:color="auto"/>
            </w:tcBorders>
            <w:shd w:val="clear" w:color="auto" w:fill="auto"/>
            <w:vAlign w:val="center"/>
          </w:tcPr>
          <w:p w14:paraId="7FFD8051" w14:textId="73F2F680" w:rsidR="00DC5685" w:rsidRPr="00A81B79" w:rsidRDefault="004B4A1B" w:rsidP="000470C3">
            <w:pPr>
              <w:jc w:val="center"/>
              <w:rPr>
                <w:strike/>
                <w:sz w:val="20"/>
                <w:szCs w:val="20"/>
                <w:highlight w:val="green"/>
                <w:lang w:val="en-GB" w:eastAsia="en-GB"/>
              </w:rPr>
            </w:pPr>
            <w:r w:rsidRPr="00A81B79">
              <w:rPr>
                <w:strike/>
                <w:sz w:val="20"/>
                <w:szCs w:val="20"/>
                <w:highlight w:val="green"/>
              </w:rPr>
              <w:t>177.9</w:t>
            </w:r>
          </w:p>
        </w:tc>
      </w:tr>
      <w:tr w:rsidR="00DC5685" w:rsidRPr="00A34F10" w14:paraId="6E8081CB" w14:textId="77777777" w:rsidTr="00592A10">
        <w:trPr>
          <w:cantSplit/>
        </w:trPr>
        <w:tc>
          <w:tcPr>
            <w:tcW w:w="808" w:type="pct"/>
            <w:tcBorders>
              <w:top w:val="single" w:sz="2" w:space="0" w:color="auto"/>
              <w:left w:val="single" w:sz="4" w:space="0" w:color="auto"/>
              <w:bottom w:val="single" w:sz="4" w:space="0" w:color="auto"/>
              <w:right w:val="single" w:sz="4" w:space="0" w:color="auto"/>
            </w:tcBorders>
            <w:shd w:val="clear" w:color="auto" w:fill="auto"/>
            <w:vAlign w:val="center"/>
          </w:tcPr>
          <w:p w14:paraId="50EBACB9"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BBCH 40-49</w:t>
            </w:r>
          </w:p>
        </w:tc>
        <w:tc>
          <w:tcPr>
            <w:tcW w:w="1844" w:type="pct"/>
            <w:tcBorders>
              <w:top w:val="single" w:sz="2" w:space="0" w:color="auto"/>
              <w:left w:val="nil"/>
              <w:bottom w:val="single" w:sz="4" w:space="0" w:color="auto"/>
              <w:right w:val="single" w:sz="4" w:space="0" w:color="auto"/>
            </w:tcBorders>
            <w:shd w:val="clear" w:color="auto" w:fill="auto"/>
            <w:vAlign w:val="center"/>
          </w:tcPr>
          <w:p w14:paraId="7C4E2359"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lang w:val="en-GB"/>
              </w:rPr>
              <w:t>Small herbivorous mammal “vole”</w:t>
            </w:r>
          </w:p>
        </w:tc>
        <w:tc>
          <w:tcPr>
            <w:tcW w:w="458" w:type="pct"/>
            <w:vMerge/>
            <w:shd w:val="clear" w:color="auto" w:fill="auto"/>
            <w:vAlign w:val="center"/>
          </w:tcPr>
          <w:p w14:paraId="5CAF0DFC" w14:textId="77777777" w:rsidR="00DC5685" w:rsidRPr="00A81B79" w:rsidRDefault="00DC5685" w:rsidP="000470C3">
            <w:pPr>
              <w:jc w:val="center"/>
              <w:rPr>
                <w:strike/>
                <w:sz w:val="20"/>
                <w:szCs w:val="20"/>
                <w:highlight w:val="green"/>
                <w:lang w:val="en-GB"/>
              </w:rPr>
            </w:pPr>
          </w:p>
        </w:tc>
        <w:tc>
          <w:tcPr>
            <w:tcW w:w="330" w:type="pct"/>
            <w:tcBorders>
              <w:top w:val="single" w:sz="2" w:space="0" w:color="auto"/>
              <w:left w:val="single" w:sz="4" w:space="0" w:color="auto"/>
              <w:bottom w:val="single" w:sz="4" w:space="0" w:color="auto"/>
              <w:right w:val="single" w:sz="4" w:space="0" w:color="auto"/>
            </w:tcBorders>
            <w:shd w:val="clear" w:color="auto" w:fill="auto"/>
            <w:vAlign w:val="center"/>
          </w:tcPr>
          <w:p w14:paraId="42B851BE"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136.4</w:t>
            </w:r>
          </w:p>
        </w:tc>
        <w:tc>
          <w:tcPr>
            <w:tcW w:w="411" w:type="pct"/>
            <w:vMerge/>
            <w:shd w:val="clear" w:color="auto" w:fill="auto"/>
            <w:vAlign w:val="center"/>
          </w:tcPr>
          <w:p w14:paraId="3424ADA8" w14:textId="77777777" w:rsidR="00DC5685" w:rsidRPr="00A81B79" w:rsidRDefault="00DC5685" w:rsidP="000470C3">
            <w:pPr>
              <w:jc w:val="center"/>
              <w:rPr>
                <w:strike/>
                <w:sz w:val="20"/>
                <w:szCs w:val="20"/>
                <w:highlight w:val="green"/>
                <w:lang w:val="en-GB"/>
              </w:rPr>
            </w:pPr>
          </w:p>
        </w:tc>
        <w:tc>
          <w:tcPr>
            <w:tcW w:w="671" w:type="pct"/>
            <w:tcBorders>
              <w:top w:val="single" w:sz="2" w:space="0" w:color="auto"/>
              <w:left w:val="single" w:sz="4" w:space="0" w:color="auto"/>
              <w:bottom w:val="single" w:sz="4" w:space="0" w:color="auto"/>
              <w:right w:val="single" w:sz="4" w:space="0" w:color="auto"/>
            </w:tcBorders>
            <w:shd w:val="clear" w:color="auto" w:fill="auto"/>
            <w:vAlign w:val="center"/>
          </w:tcPr>
          <w:p w14:paraId="7E26D261"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155.72</w:t>
            </w:r>
          </w:p>
        </w:tc>
        <w:tc>
          <w:tcPr>
            <w:tcW w:w="478" w:type="pct"/>
            <w:tcBorders>
              <w:top w:val="single" w:sz="2" w:space="0" w:color="auto"/>
              <w:left w:val="single" w:sz="4" w:space="0" w:color="auto"/>
              <w:bottom w:val="single" w:sz="4" w:space="0" w:color="auto"/>
              <w:right w:val="single" w:sz="4" w:space="0" w:color="auto"/>
            </w:tcBorders>
            <w:shd w:val="clear" w:color="auto" w:fill="auto"/>
            <w:vAlign w:val="center"/>
          </w:tcPr>
          <w:p w14:paraId="3261D6F7" w14:textId="4AE78C54" w:rsidR="00DC5685" w:rsidRPr="00A81B79" w:rsidRDefault="00DC5685" w:rsidP="000470C3">
            <w:pPr>
              <w:jc w:val="center"/>
              <w:rPr>
                <w:b/>
                <w:bCs/>
                <w:strike/>
                <w:sz w:val="20"/>
                <w:szCs w:val="20"/>
                <w:highlight w:val="green"/>
                <w:lang w:val="en-GB"/>
              </w:rPr>
            </w:pPr>
            <w:r w:rsidRPr="00A81B79">
              <w:rPr>
                <w:b/>
                <w:bCs/>
                <w:strike/>
                <w:sz w:val="20"/>
                <w:szCs w:val="20"/>
                <w:highlight w:val="green"/>
              </w:rPr>
              <w:t>7.</w:t>
            </w:r>
            <w:r w:rsidR="004B4A1B" w:rsidRPr="00A81B79">
              <w:rPr>
                <w:b/>
                <w:bCs/>
                <w:strike/>
                <w:sz w:val="20"/>
                <w:szCs w:val="20"/>
                <w:highlight w:val="green"/>
              </w:rPr>
              <w:t>0</w:t>
            </w:r>
          </w:p>
        </w:tc>
      </w:tr>
      <w:tr w:rsidR="00DC5685" w:rsidRPr="00A34F10" w14:paraId="6D468119"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53002E33"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BBCH ≥50</w:t>
            </w:r>
          </w:p>
        </w:tc>
        <w:tc>
          <w:tcPr>
            <w:tcW w:w="1844" w:type="pct"/>
            <w:tcBorders>
              <w:top w:val="nil"/>
              <w:left w:val="nil"/>
              <w:bottom w:val="single" w:sz="4" w:space="0" w:color="auto"/>
              <w:right w:val="single" w:sz="4" w:space="0" w:color="auto"/>
            </w:tcBorders>
            <w:shd w:val="clear" w:color="auto" w:fill="auto"/>
            <w:vAlign w:val="center"/>
          </w:tcPr>
          <w:p w14:paraId="48F93245"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lang w:val="en-GB"/>
              </w:rPr>
              <w:t>Small herbivorous mammal “vole”</w:t>
            </w:r>
          </w:p>
        </w:tc>
        <w:tc>
          <w:tcPr>
            <w:tcW w:w="458" w:type="pct"/>
            <w:vMerge/>
            <w:shd w:val="clear" w:color="auto" w:fill="auto"/>
            <w:vAlign w:val="center"/>
          </w:tcPr>
          <w:p w14:paraId="1B0A4F72" w14:textId="77777777" w:rsidR="00DC5685" w:rsidRPr="00A81B79" w:rsidRDefault="00DC5685" w:rsidP="000470C3">
            <w:pPr>
              <w:jc w:val="center"/>
              <w:rPr>
                <w:strike/>
                <w:sz w:val="20"/>
                <w:szCs w:val="20"/>
                <w:highlight w:val="green"/>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75967BBD"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68.2</w:t>
            </w:r>
          </w:p>
        </w:tc>
        <w:tc>
          <w:tcPr>
            <w:tcW w:w="411" w:type="pct"/>
            <w:vMerge/>
            <w:shd w:val="clear" w:color="auto" w:fill="auto"/>
            <w:vAlign w:val="center"/>
          </w:tcPr>
          <w:p w14:paraId="2915EBC3" w14:textId="77777777" w:rsidR="00DC5685" w:rsidRPr="00A81B79" w:rsidRDefault="00DC5685" w:rsidP="000470C3">
            <w:pPr>
              <w:jc w:val="center"/>
              <w:rPr>
                <w:strike/>
                <w:sz w:val="20"/>
                <w:szCs w:val="20"/>
                <w:highlight w:val="green"/>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4902531C" w14:textId="77777777" w:rsidR="00DC5685" w:rsidRPr="00A81B79" w:rsidRDefault="00DC5685" w:rsidP="000470C3">
            <w:pPr>
              <w:jc w:val="center"/>
              <w:rPr>
                <w:strike/>
                <w:color w:val="000000"/>
                <w:sz w:val="20"/>
                <w:szCs w:val="20"/>
                <w:highlight w:val="green"/>
                <w:lang w:val="en-GB"/>
              </w:rPr>
            </w:pPr>
            <w:r w:rsidRPr="00A81B79">
              <w:rPr>
                <w:strike/>
                <w:sz w:val="20"/>
                <w:szCs w:val="20"/>
                <w:highlight w:val="green"/>
              </w:rPr>
              <w:t>77.86</w:t>
            </w:r>
          </w:p>
        </w:tc>
        <w:tc>
          <w:tcPr>
            <w:tcW w:w="478" w:type="pct"/>
            <w:tcBorders>
              <w:top w:val="nil"/>
              <w:left w:val="single" w:sz="4" w:space="0" w:color="auto"/>
              <w:bottom w:val="single" w:sz="4" w:space="0" w:color="auto"/>
              <w:right w:val="single" w:sz="4" w:space="0" w:color="auto"/>
            </w:tcBorders>
            <w:shd w:val="clear" w:color="auto" w:fill="auto"/>
            <w:vAlign w:val="center"/>
          </w:tcPr>
          <w:p w14:paraId="793B26A5" w14:textId="2FFF47DC" w:rsidR="00DC5685" w:rsidRPr="00A81B79" w:rsidRDefault="004B4A1B" w:rsidP="000470C3">
            <w:pPr>
              <w:jc w:val="center"/>
              <w:rPr>
                <w:b/>
                <w:bCs/>
                <w:strike/>
                <w:sz w:val="20"/>
                <w:szCs w:val="20"/>
                <w:highlight w:val="green"/>
                <w:lang w:val="en-GB"/>
              </w:rPr>
            </w:pPr>
            <w:r w:rsidRPr="00A81B79">
              <w:rPr>
                <w:strike/>
                <w:sz w:val="20"/>
                <w:szCs w:val="20"/>
                <w:highlight w:val="green"/>
              </w:rPr>
              <w:t>14.1</w:t>
            </w:r>
          </w:p>
        </w:tc>
      </w:tr>
      <w:tr w:rsidR="00DC5685" w:rsidRPr="00A34F10" w14:paraId="4E2AA7C6"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44D39158" w14:textId="77777777" w:rsidR="00DC5685" w:rsidRPr="00A81B79" w:rsidRDefault="00DC5685" w:rsidP="000470C3">
            <w:pPr>
              <w:jc w:val="center"/>
              <w:rPr>
                <w:strike/>
                <w:sz w:val="20"/>
                <w:szCs w:val="20"/>
                <w:highlight w:val="green"/>
                <w:lang w:val="en-GB"/>
              </w:rPr>
            </w:pPr>
            <w:r w:rsidRPr="00A81B79">
              <w:rPr>
                <w:strike/>
                <w:sz w:val="20"/>
                <w:szCs w:val="20"/>
                <w:highlight w:val="green"/>
              </w:rPr>
              <w:t>Application crop directed BBCH 10-49</w:t>
            </w:r>
          </w:p>
        </w:tc>
        <w:tc>
          <w:tcPr>
            <w:tcW w:w="1844" w:type="pct"/>
            <w:tcBorders>
              <w:top w:val="single" w:sz="2" w:space="0" w:color="auto"/>
              <w:left w:val="nil"/>
              <w:bottom w:val="single" w:sz="4" w:space="0" w:color="auto"/>
              <w:right w:val="single" w:sz="4" w:space="0" w:color="auto"/>
            </w:tcBorders>
            <w:shd w:val="clear" w:color="auto" w:fill="auto"/>
            <w:vAlign w:val="center"/>
          </w:tcPr>
          <w:p w14:paraId="037BC127" w14:textId="77777777" w:rsidR="00DC5685" w:rsidRPr="00A81B79" w:rsidRDefault="00DC5685" w:rsidP="000470C3">
            <w:pPr>
              <w:jc w:val="center"/>
              <w:rPr>
                <w:strike/>
                <w:sz w:val="20"/>
                <w:szCs w:val="20"/>
                <w:highlight w:val="green"/>
                <w:lang w:val="en-GB"/>
              </w:rPr>
            </w:pPr>
            <w:r w:rsidRPr="00A81B79">
              <w:rPr>
                <w:strike/>
                <w:sz w:val="20"/>
                <w:szCs w:val="20"/>
                <w:highlight w:val="green"/>
                <w:lang w:val="en-GB"/>
              </w:rPr>
              <w:t>Small omnivorous mammal “mouse”</w:t>
            </w:r>
          </w:p>
        </w:tc>
        <w:tc>
          <w:tcPr>
            <w:tcW w:w="458" w:type="pct"/>
            <w:vMerge/>
            <w:shd w:val="clear" w:color="auto" w:fill="auto"/>
            <w:vAlign w:val="center"/>
          </w:tcPr>
          <w:p w14:paraId="3DADA306" w14:textId="77777777" w:rsidR="00DC5685" w:rsidRPr="00A81B79" w:rsidRDefault="00DC5685" w:rsidP="000470C3">
            <w:pPr>
              <w:jc w:val="center"/>
              <w:rPr>
                <w:strike/>
                <w:sz w:val="20"/>
                <w:szCs w:val="20"/>
                <w:highlight w:val="green"/>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4953FD50" w14:textId="77777777" w:rsidR="00DC5685" w:rsidRPr="00A81B79" w:rsidRDefault="00DC5685" w:rsidP="000470C3">
            <w:pPr>
              <w:jc w:val="center"/>
              <w:rPr>
                <w:strike/>
                <w:sz w:val="20"/>
                <w:szCs w:val="20"/>
                <w:highlight w:val="green"/>
                <w:lang w:val="en-GB"/>
              </w:rPr>
            </w:pPr>
            <w:r w:rsidRPr="00A81B79">
              <w:rPr>
                <w:strike/>
                <w:sz w:val="20"/>
                <w:szCs w:val="20"/>
                <w:highlight w:val="green"/>
              </w:rPr>
              <w:t>17.2</w:t>
            </w:r>
          </w:p>
        </w:tc>
        <w:tc>
          <w:tcPr>
            <w:tcW w:w="411" w:type="pct"/>
            <w:vMerge/>
            <w:shd w:val="clear" w:color="auto" w:fill="auto"/>
            <w:vAlign w:val="center"/>
          </w:tcPr>
          <w:p w14:paraId="3629C1A0" w14:textId="77777777" w:rsidR="00DC5685" w:rsidRPr="00A81B79" w:rsidRDefault="00DC5685" w:rsidP="000470C3">
            <w:pPr>
              <w:jc w:val="center"/>
              <w:rPr>
                <w:strike/>
                <w:sz w:val="20"/>
                <w:szCs w:val="20"/>
                <w:highlight w:val="green"/>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7AF5EF9D" w14:textId="77777777" w:rsidR="00DC5685" w:rsidRPr="00A81B79" w:rsidRDefault="00DC5685" w:rsidP="000470C3">
            <w:pPr>
              <w:jc w:val="center"/>
              <w:rPr>
                <w:strike/>
                <w:sz w:val="20"/>
                <w:szCs w:val="20"/>
                <w:highlight w:val="green"/>
                <w:lang w:val="en-GB"/>
              </w:rPr>
            </w:pPr>
            <w:r w:rsidRPr="00A81B79">
              <w:rPr>
                <w:strike/>
                <w:sz w:val="20"/>
                <w:szCs w:val="20"/>
                <w:highlight w:val="green"/>
              </w:rPr>
              <w:t>19.64</w:t>
            </w:r>
          </w:p>
        </w:tc>
        <w:tc>
          <w:tcPr>
            <w:tcW w:w="478" w:type="pct"/>
            <w:tcBorders>
              <w:top w:val="nil"/>
              <w:left w:val="single" w:sz="4" w:space="0" w:color="auto"/>
              <w:bottom w:val="single" w:sz="4" w:space="0" w:color="auto"/>
              <w:right w:val="single" w:sz="4" w:space="0" w:color="auto"/>
            </w:tcBorders>
            <w:shd w:val="clear" w:color="auto" w:fill="auto"/>
            <w:vAlign w:val="center"/>
          </w:tcPr>
          <w:p w14:paraId="47F647BB" w14:textId="6F74987D" w:rsidR="00DC5685" w:rsidRPr="00A81B79" w:rsidRDefault="004B4A1B" w:rsidP="000470C3">
            <w:pPr>
              <w:jc w:val="center"/>
              <w:rPr>
                <w:strike/>
                <w:sz w:val="20"/>
                <w:szCs w:val="20"/>
                <w:highlight w:val="green"/>
                <w:lang w:val="en-GB"/>
              </w:rPr>
            </w:pPr>
            <w:r w:rsidRPr="00A81B79">
              <w:rPr>
                <w:strike/>
                <w:sz w:val="20"/>
                <w:szCs w:val="20"/>
                <w:highlight w:val="green"/>
              </w:rPr>
              <w:t>55.9</w:t>
            </w:r>
          </w:p>
        </w:tc>
      </w:tr>
      <w:tr w:rsidR="00DC5685" w:rsidRPr="00A34F10" w14:paraId="21495309" w14:textId="77777777" w:rsidTr="00592A10">
        <w:trPr>
          <w:cantSplit/>
        </w:trPr>
        <w:tc>
          <w:tcPr>
            <w:tcW w:w="808" w:type="pct"/>
            <w:tcBorders>
              <w:top w:val="nil"/>
              <w:left w:val="single" w:sz="4" w:space="0" w:color="auto"/>
              <w:bottom w:val="single" w:sz="4" w:space="0" w:color="auto"/>
              <w:right w:val="single" w:sz="4" w:space="0" w:color="auto"/>
            </w:tcBorders>
            <w:shd w:val="clear" w:color="auto" w:fill="auto"/>
            <w:vAlign w:val="center"/>
          </w:tcPr>
          <w:p w14:paraId="557344C6" w14:textId="77777777" w:rsidR="00DC5685" w:rsidRPr="00A81B79" w:rsidRDefault="00DC5685" w:rsidP="00A81B79">
            <w:pPr>
              <w:keepNext/>
              <w:keepLines/>
              <w:jc w:val="center"/>
              <w:rPr>
                <w:strike/>
                <w:sz w:val="20"/>
                <w:szCs w:val="20"/>
                <w:highlight w:val="green"/>
                <w:lang w:val="en-GB"/>
              </w:rPr>
            </w:pPr>
            <w:r w:rsidRPr="00A81B79">
              <w:rPr>
                <w:strike/>
                <w:sz w:val="20"/>
                <w:szCs w:val="20"/>
                <w:highlight w:val="green"/>
              </w:rPr>
              <w:lastRenderedPageBreak/>
              <w:t>Application crop directed BBCH ≥50</w:t>
            </w:r>
          </w:p>
        </w:tc>
        <w:tc>
          <w:tcPr>
            <w:tcW w:w="1844" w:type="pct"/>
            <w:tcBorders>
              <w:top w:val="nil"/>
              <w:left w:val="nil"/>
              <w:bottom w:val="single" w:sz="4" w:space="0" w:color="auto"/>
              <w:right w:val="single" w:sz="4" w:space="0" w:color="auto"/>
            </w:tcBorders>
            <w:shd w:val="clear" w:color="auto" w:fill="auto"/>
            <w:vAlign w:val="center"/>
          </w:tcPr>
          <w:p w14:paraId="422244B5" w14:textId="77777777" w:rsidR="00DC5685" w:rsidRPr="00A81B79" w:rsidRDefault="00DC5685" w:rsidP="00A81B79">
            <w:pPr>
              <w:keepNext/>
              <w:keepLines/>
              <w:jc w:val="center"/>
              <w:rPr>
                <w:strike/>
                <w:sz w:val="20"/>
                <w:szCs w:val="20"/>
                <w:highlight w:val="green"/>
                <w:lang w:val="en-GB"/>
              </w:rPr>
            </w:pPr>
            <w:r w:rsidRPr="00A81B79">
              <w:rPr>
                <w:strike/>
                <w:sz w:val="20"/>
                <w:szCs w:val="20"/>
                <w:highlight w:val="green"/>
                <w:lang w:val="en-GB"/>
              </w:rPr>
              <w:t>Small omnivorous mammal “mouse”</w:t>
            </w:r>
          </w:p>
        </w:tc>
        <w:tc>
          <w:tcPr>
            <w:tcW w:w="458" w:type="pct"/>
            <w:vMerge/>
            <w:tcBorders>
              <w:bottom w:val="single" w:sz="4" w:space="0" w:color="auto"/>
            </w:tcBorders>
            <w:shd w:val="clear" w:color="auto" w:fill="auto"/>
            <w:vAlign w:val="center"/>
          </w:tcPr>
          <w:p w14:paraId="37B2B95C" w14:textId="77777777" w:rsidR="00DC5685" w:rsidRPr="00A81B79" w:rsidRDefault="00DC5685" w:rsidP="000470C3">
            <w:pPr>
              <w:jc w:val="center"/>
              <w:rPr>
                <w:strike/>
                <w:sz w:val="20"/>
                <w:szCs w:val="20"/>
                <w:highlight w:val="green"/>
                <w:lang w:val="en-GB"/>
              </w:rPr>
            </w:pPr>
          </w:p>
        </w:tc>
        <w:tc>
          <w:tcPr>
            <w:tcW w:w="330" w:type="pct"/>
            <w:tcBorders>
              <w:top w:val="nil"/>
              <w:left w:val="single" w:sz="4" w:space="0" w:color="auto"/>
              <w:bottom w:val="single" w:sz="4" w:space="0" w:color="auto"/>
              <w:right w:val="single" w:sz="4" w:space="0" w:color="auto"/>
            </w:tcBorders>
            <w:shd w:val="clear" w:color="auto" w:fill="auto"/>
            <w:vAlign w:val="center"/>
          </w:tcPr>
          <w:p w14:paraId="5E7DBD96" w14:textId="77777777" w:rsidR="00DC5685" w:rsidRPr="00A81B79" w:rsidRDefault="00DC5685" w:rsidP="000470C3">
            <w:pPr>
              <w:jc w:val="center"/>
              <w:rPr>
                <w:strike/>
                <w:sz w:val="20"/>
                <w:szCs w:val="20"/>
                <w:highlight w:val="green"/>
                <w:lang w:val="en-GB"/>
              </w:rPr>
            </w:pPr>
            <w:r w:rsidRPr="00A81B79">
              <w:rPr>
                <w:strike/>
                <w:sz w:val="20"/>
                <w:szCs w:val="20"/>
                <w:highlight w:val="green"/>
              </w:rPr>
              <w:t>8.6</w:t>
            </w:r>
          </w:p>
        </w:tc>
        <w:tc>
          <w:tcPr>
            <w:tcW w:w="411" w:type="pct"/>
            <w:vMerge/>
            <w:tcBorders>
              <w:bottom w:val="single" w:sz="4" w:space="0" w:color="auto"/>
            </w:tcBorders>
            <w:shd w:val="clear" w:color="auto" w:fill="auto"/>
            <w:vAlign w:val="center"/>
          </w:tcPr>
          <w:p w14:paraId="18DF020E" w14:textId="77777777" w:rsidR="00DC5685" w:rsidRPr="00A81B79" w:rsidRDefault="00DC5685" w:rsidP="000470C3">
            <w:pPr>
              <w:jc w:val="center"/>
              <w:rPr>
                <w:strike/>
                <w:sz w:val="20"/>
                <w:szCs w:val="20"/>
                <w:highlight w:val="green"/>
                <w:lang w:val="en-GB"/>
              </w:rPr>
            </w:pPr>
          </w:p>
        </w:tc>
        <w:tc>
          <w:tcPr>
            <w:tcW w:w="671" w:type="pct"/>
            <w:tcBorders>
              <w:top w:val="nil"/>
              <w:left w:val="single" w:sz="4" w:space="0" w:color="auto"/>
              <w:bottom w:val="single" w:sz="4" w:space="0" w:color="auto"/>
              <w:right w:val="single" w:sz="4" w:space="0" w:color="auto"/>
            </w:tcBorders>
            <w:shd w:val="clear" w:color="auto" w:fill="auto"/>
            <w:vAlign w:val="center"/>
          </w:tcPr>
          <w:p w14:paraId="3E5E8F67" w14:textId="77777777" w:rsidR="00DC5685" w:rsidRPr="00A81B79" w:rsidRDefault="00DC5685" w:rsidP="000470C3">
            <w:pPr>
              <w:jc w:val="center"/>
              <w:rPr>
                <w:strike/>
                <w:sz w:val="20"/>
                <w:szCs w:val="20"/>
                <w:highlight w:val="green"/>
                <w:lang w:val="en-GB"/>
              </w:rPr>
            </w:pPr>
            <w:r w:rsidRPr="00A81B79">
              <w:rPr>
                <w:strike/>
                <w:sz w:val="20"/>
                <w:szCs w:val="20"/>
                <w:highlight w:val="green"/>
              </w:rPr>
              <w:t>9.82</w:t>
            </w:r>
          </w:p>
        </w:tc>
        <w:tc>
          <w:tcPr>
            <w:tcW w:w="478" w:type="pct"/>
            <w:tcBorders>
              <w:top w:val="nil"/>
              <w:left w:val="single" w:sz="4" w:space="0" w:color="auto"/>
              <w:bottom w:val="single" w:sz="4" w:space="0" w:color="auto"/>
              <w:right w:val="single" w:sz="4" w:space="0" w:color="auto"/>
            </w:tcBorders>
            <w:shd w:val="clear" w:color="auto" w:fill="auto"/>
            <w:vAlign w:val="center"/>
          </w:tcPr>
          <w:p w14:paraId="4CB044B9" w14:textId="670ADDE2" w:rsidR="00DC5685" w:rsidRPr="00A81B79" w:rsidRDefault="004B4A1B" w:rsidP="000470C3">
            <w:pPr>
              <w:jc w:val="center"/>
              <w:rPr>
                <w:strike/>
                <w:sz w:val="20"/>
                <w:szCs w:val="20"/>
                <w:highlight w:val="green"/>
                <w:lang w:val="en-GB"/>
              </w:rPr>
            </w:pPr>
            <w:r w:rsidRPr="00A81B79">
              <w:rPr>
                <w:strike/>
                <w:sz w:val="20"/>
                <w:szCs w:val="20"/>
                <w:highlight w:val="green"/>
              </w:rPr>
              <w:t>111.7</w:t>
            </w:r>
          </w:p>
        </w:tc>
      </w:tr>
      <w:tr w:rsidR="004B4A1B" w:rsidRPr="00A34F10" w14:paraId="7ACE31E7" w14:textId="77777777" w:rsidTr="004B4A1B">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138B28" w14:textId="5E6FDD51" w:rsidR="004B4A1B" w:rsidRPr="004B4A1B" w:rsidRDefault="004B4A1B" w:rsidP="00A81B79">
            <w:pPr>
              <w:keepNext/>
              <w:keepLines/>
              <w:jc w:val="center"/>
              <w:rPr>
                <w:sz w:val="20"/>
                <w:szCs w:val="20"/>
                <w:highlight w:val="green"/>
              </w:rPr>
            </w:pPr>
            <w:r w:rsidRPr="00512D4C">
              <w:rPr>
                <w:b/>
                <w:bCs/>
                <w:sz w:val="20"/>
                <w:szCs w:val="20"/>
                <w:highlight w:val="green"/>
              </w:rPr>
              <w:t xml:space="preserve">Orchards </w:t>
            </w:r>
            <w:r w:rsidRPr="00B875EA">
              <w:rPr>
                <w:b/>
                <w:sz w:val="20"/>
                <w:szCs w:val="20"/>
                <w:highlight w:val="green"/>
                <w:lang w:val="en-GB"/>
              </w:rPr>
              <w:t xml:space="preserve">(2 x </w:t>
            </w:r>
            <w:r w:rsidR="005F5B25" w:rsidRPr="00B875EA">
              <w:rPr>
                <w:b/>
                <w:bCs/>
                <w:sz w:val="20"/>
                <w:szCs w:val="20"/>
                <w:highlight w:val="green"/>
                <w:lang w:val="en-GB"/>
              </w:rPr>
              <w:t xml:space="preserve">(∑ 0.240 + 0.902) </w:t>
            </w:r>
            <w:r w:rsidRPr="00B875EA">
              <w:rPr>
                <w:b/>
                <w:sz w:val="20"/>
                <w:szCs w:val="20"/>
                <w:highlight w:val="green"/>
                <w:lang w:val="en-GB"/>
              </w:rPr>
              <w:t>kg a.s./ha, BBCH 12 - 59)</w:t>
            </w:r>
          </w:p>
        </w:tc>
      </w:tr>
      <w:tr w:rsidR="004B4A1B" w:rsidRPr="00A34F10" w14:paraId="0893DCC5"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7045CC07" w14:textId="77777777" w:rsidR="004B4A1B" w:rsidRPr="00DB71B3" w:rsidRDefault="004B4A1B" w:rsidP="00A81B79">
            <w:pPr>
              <w:keepNext/>
              <w:keepLines/>
              <w:jc w:val="center"/>
              <w:rPr>
                <w:sz w:val="20"/>
                <w:szCs w:val="20"/>
                <w:highlight w:val="green"/>
              </w:rPr>
            </w:pPr>
            <w:r w:rsidRPr="00DB71B3">
              <w:rPr>
                <w:sz w:val="20"/>
                <w:szCs w:val="20"/>
                <w:highlight w:val="green"/>
              </w:rPr>
              <w:t>Application crop directed</w:t>
            </w:r>
          </w:p>
          <w:p w14:paraId="535D69D8" w14:textId="40B11E41" w:rsidR="004B4A1B" w:rsidRPr="00A34F10" w:rsidRDefault="004B4A1B" w:rsidP="00A81B79">
            <w:pPr>
              <w:keepNext/>
              <w:keepLines/>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41B27848" w14:textId="65E28B3D" w:rsidR="004B4A1B" w:rsidRPr="00A34F10" w:rsidRDefault="004B4A1B" w:rsidP="00A81B79">
            <w:pPr>
              <w:keepNext/>
              <w:keepLines/>
              <w:jc w:val="center"/>
              <w:rPr>
                <w:sz w:val="20"/>
                <w:szCs w:val="20"/>
                <w:lang w:val="en-GB"/>
              </w:rPr>
            </w:pPr>
            <w:r w:rsidRPr="00DB71B3">
              <w:rPr>
                <w:sz w:val="20"/>
                <w:szCs w:val="20"/>
                <w:highlight w:val="green"/>
                <w:lang w:val="en-GB"/>
              </w:rPr>
              <w:t>Small herbivorous mammal “vole”</w:t>
            </w:r>
          </w:p>
        </w:tc>
        <w:tc>
          <w:tcPr>
            <w:tcW w:w="458" w:type="pct"/>
            <w:vMerge w:val="restart"/>
            <w:tcBorders>
              <w:top w:val="single" w:sz="4" w:space="0" w:color="auto"/>
            </w:tcBorders>
            <w:shd w:val="clear" w:color="auto" w:fill="auto"/>
            <w:vAlign w:val="center"/>
          </w:tcPr>
          <w:p w14:paraId="76BD42D0" w14:textId="594F3422" w:rsidR="004B4A1B" w:rsidRPr="00A81B79" w:rsidRDefault="004B4A1B" w:rsidP="004B4A1B">
            <w:pPr>
              <w:jc w:val="center"/>
              <w:rPr>
                <w:sz w:val="20"/>
                <w:szCs w:val="20"/>
                <w:highlight w:val="green"/>
                <w:lang w:val="en-GB"/>
              </w:rPr>
            </w:pPr>
            <w:r w:rsidRPr="00A81B79">
              <w:rPr>
                <w:sz w:val="20"/>
                <w:szCs w:val="20"/>
                <w:highlight w:val="green"/>
                <w:lang w:val="en-GB"/>
              </w:rPr>
              <w:t>1.142</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5B90B8A" w14:textId="503229F4" w:rsidR="004B4A1B" w:rsidRPr="00A81B79" w:rsidRDefault="005F5B25" w:rsidP="004B4A1B">
            <w:pPr>
              <w:jc w:val="center"/>
              <w:rPr>
                <w:sz w:val="20"/>
                <w:szCs w:val="20"/>
                <w:highlight w:val="green"/>
              </w:rPr>
            </w:pPr>
            <w:r w:rsidRPr="00A81B79">
              <w:rPr>
                <w:sz w:val="20"/>
                <w:szCs w:val="20"/>
                <w:highlight w:val="green"/>
              </w:rPr>
              <w:t>109.2</w:t>
            </w:r>
          </w:p>
        </w:tc>
        <w:tc>
          <w:tcPr>
            <w:tcW w:w="411" w:type="pct"/>
            <w:vMerge w:val="restart"/>
            <w:tcBorders>
              <w:top w:val="single" w:sz="4" w:space="0" w:color="auto"/>
            </w:tcBorders>
            <w:shd w:val="clear" w:color="auto" w:fill="auto"/>
            <w:vAlign w:val="center"/>
          </w:tcPr>
          <w:p w14:paraId="36FC8F37" w14:textId="1138A3C0" w:rsidR="004B4A1B" w:rsidRPr="00A81B79" w:rsidRDefault="004B4A1B" w:rsidP="004B4A1B">
            <w:pPr>
              <w:jc w:val="center"/>
              <w:rPr>
                <w:sz w:val="20"/>
                <w:szCs w:val="20"/>
                <w:highlight w:val="green"/>
                <w:lang w:val="en-GB"/>
              </w:rPr>
            </w:pPr>
            <w:r w:rsidRPr="00A81B79">
              <w:rPr>
                <w:sz w:val="20"/>
                <w:szCs w:val="20"/>
                <w:highlight w:val="green"/>
                <w:lang w:val="en-GB"/>
              </w:rPr>
              <w:t>1.41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120F01E8" w14:textId="6A307CB7" w:rsidR="004B4A1B" w:rsidRPr="005F5B25" w:rsidRDefault="005F5B25" w:rsidP="004B4A1B">
            <w:pPr>
              <w:jc w:val="center"/>
              <w:rPr>
                <w:sz w:val="20"/>
                <w:szCs w:val="20"/>
                <w:highlight w:val="green"/>
              </w:rPr>
            </w:pPr>
            <w:r w:rsidRPr="005F5B25">
              <w:rPr>
                <w:sz w:val="20"/>
                <w:szCs w:val="20"/>
                <w:highlight w:val="green"/>
              </w:rPr>
              <w:t>175.64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64C8DB59" w14:textId="791A4A14" w:rsidR="004B4A1B" w:rsidRPr="005F5B25" w:rsidRDefault="00660E58" w:rsidP="004B4A1B">
            <w:pPr>
              <w:jc w:val="center"/>
              <w:rPr>
                <w:b/>
                <w:bCs/>
                <w:sz w:val="20"/>
                <w:szCs w:val="20"/>
                <w:highlight w:val="green"/>
              </w:rPr>
            </w:pPr>
            <w:r>
              <w:rPr>
                <w:sz w:val="20"/>
                <w:szCs w:val="20"/>
                <w:highlight w:val="green"/>
              </w:rPr>
              <w:t>&gt;</w:t>
            </w:r>
            <w:r w:rsidR="00E72A5B">
              <w:rPr>
                <w:sz w:val="20"/>
                <w:szCs w:val="20"/>
                <w:highlight w:val="green"/>
              </w:rPr>
              <w:t xml:space="preserve"> </w:t>
            </w:r>
            <w:r w:rsidR="005F5B25" w:rsidRPr="005F5B25">
              <w:rPr>
                <w:b/>
                <w:bCs/>
                <w:sz w:val="20"/>
                <w:szCs w:val="20"/>
                <w:highlight w:val="green"/>
              </w:rPr>
              <w:t>6.</w:t>
            </w:r>
            <w:r w:rsidR="00A81B79">
              <w:rPr>
                <w:b/>
                <w:bCs/>
                <w:sz w:val="20"/>
                <w:szCs w:val="20"/>
                <w:highlight w:val="green"/>
              </w:rPr>
              <w:t>9</w:t>
            </w:r>
          </w:p>
        </w:tc>
      </w:tr>
      <w:tr w:rsidR="004B4A1B" w:rsidRPr="00A34F10" w14:paraId="5DE5B13D"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3F048504" w14:textId="77777777" w:rsidR="004B4A1B" w:rsidRPr="00DB71B3" w:rsidRDefault="004B4A1B" w:rsidP="00A81B79">
            <w:pPr>
              <w:keepNext/>
              <w:keepLines/>
              <w:jc w:val="center"/>
              <w:rPr>
                <w:sz w:val="20"/>
                <w:szCs w:val="20"/>
                <w:highlight w:val="green"/>
              </w:rPr>
            </w:pPr>
            <w:r w:rsidRPr="00DB71B3">
              <w:rPr>
                <w:sz w:val="20"/>
                <w:szCs w:val="20"/>
                <w:highlight w:val="green"/>
              </w:rPr>
              <w:t>Application crop directed</w:t>
            </w:r>
          </w:p>
          <w:p w14:paraId="2B893993" w14:textId="2B6FCCD6" w:rsidR="004B4A1B" w:rsidRPr="00A34F10" w:rsidRDefault="004B4A1B" w:rsidP="00A81B79">
            <w:pPr>
              <w:keepNext/>
              <w:keepLines/>
              <w:jc w:val="center"/>
              <w:rPr>
                <w:sz w:val="20"/>
                <w:szCs w:val="20"/>
              </w:rPr>
            </w:pPr>
            <w:r w:rsidRPr="00DB71B3">
              <w:rPr>
                <w:sz w:val="20"/>
                <w:szCs w:val="20"/>
                <w:highlight w:val="green"/>
              </w:rPr>
              <w:t>BBCH 20-</w:t>
            </w:r>
            <w:r>
              <w:rPr>
                <w:sz w:val="20"/>
                <w:szCs w:val="20"/>
                <w:highlight w:val="green"/>
              </w:rPr>
              <w:t>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4A72853B" w14:textId="7B11F42C" w:rsidR="004B4A1B" w:rsidRPr="00A34F10" w:rsidRDefault="004B4A1B" w:rsidP="00A81B79">
            <w:pPr>
              <w:keepNext/>
              <w:keepLines/>
              <w:jc w:val="center"/>
              <w:rPr>
                <w:sz w:val="20"/>
                <w:szCs w:val="20"/>
                <w:lang w:val="en-GB"/>
              </w:rPr>
            </w:pPr>
            <w:r w:rsidRPr="00DB71B3">
              <w:rPr>
                <w:sz w:val="20"/>
                <w:szCs w:val="20"/>
                <w:highlight w:val="green"/>
                <w:lang w:val="en-GB"/>
              </w:rPr>
              <w:t>Small herbivorous mammal “vole”</w:t>
            </w:r>
          </w:p>
        </w:tc>
        <w:tc>
          <w:tcPr>
            <w:tcW w:w="458" w:type="pct"/>
            <w:vMerge/>
            <w:shd w:val="clear" w:color="auto" w:fill="auto"/>
            <w:vAlign w:val="center"/>
          </w:tcPr>
          <w:p w14:paraId="266E178E"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88A645F" w14:textId="0FEB54E5" w:rsidR="004B4A1B" w:rsidRPr="005F5B25" w:rsidRDefault="005F5B25" w:rsidP="004B4A1B">
            <w:pPr>
              <w:jc w:val="center"/>
              <w:rPr>
                <w:sz w:val="20"/>
                <w:szCs w:val="20"/>
                <w:highlight w:val="green"/>
              </w:rPr>
            </w:pPr>
            <w:r w:rsidRPr="005F5B25">
              <w:rPr>
                <w:sz w:val="20"/>
                <w:szCs w:val="20"/>
                <w:highlight w:val="green"/>
              </w:rPr>
              <w:t>81.9</w:t>
            </w:r>
          </w:p>
        </w:tc>
        <w:tc>
          <w:tcPr>
            <w:tcW w:w="411" w:type="pct"/>
            <w:vMerge/>
            <w:shd w:val="clear" w:color="auto" w:fill="auto"/>
            <w:vAlign w:val="center"/>
          </w:tcPr>
          <w:p w14:paraId="20397CC9"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874F08D" w14:textId="3FD3B8E8" w:rsidR="004B4A1B" w:rsidRPr="005F5B25" w:rsidRDefault="005F5B25" w:rsidP="004B4A1B">
            <w:pPr>
              <w:jc w:val="center"/>
              <w:rPr>
                <w:sz w:val="20"/>
                <w:szCs w:val="20"/>
                <w:highlight w:val="green"/>
              </w:rPr>
            </w:pPr>
            <w:r w:rsidRPr="005F5B25">
              <w:rPr>
                <w:sz w:val="20"/>
                <w:szCs w:val="20"/>
                <w:highlight w:val="green"/>
              </w:rPr>
              <w:t>131.73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193D40A5" w14:textId="04D2018D" w:rsidR="004B4A1B" w:rsidRPr="005F5B25" w:rsidRDefault="00660E58" w:rsidP="004B4A1B">
            <w:pPr>
              <w:jc w:val="center"/>
              <w:rPr>
                <w:b/>
                <w:bCs/>
                <w:sz w:val="20"/>
                <w:szCs w:val="20"/>
                <w:highlight w:val="green"/>
              </w:rPr>
            </w:pPr>
            <w:r>
              <w:rPr>
                <w:sz w:val="20"/>
                <w:szCs w:val="20"/>
                <w:highlight w:val="green"/>
              </w:rPr>
              <w:t>&gt;</w:t>
            </w:r>
            <w:r w:rsidR="00E72A5B">
              <w:rPr>
                <w:sz w:val="20"/>
                <w:szCs w:val="20"/>
                <w:highlight w:val="green"/>
              </w:rPr>
              <w:t xml:space="preserve"> </w:t>
            </w:r>
            <w:r w:rsidR="00A81B79">
              <w:rPr>
                <w:b/>
                <w:bCs/>
                <w:sz w:val="20"/>
                <w:szCs w:val="20"/>
                <w:highlight w:val="green"/>
              </w:rPr>
              <w:t>9.2</w:t>
            </w:r>
          </w:p>
        </w:tc>
      </w:tr>
      <w:tr w:rsidR="004B4A1B" w:rsidRPr="00A34F10" w14:paraId="0DAED8FE"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7AD1324B"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5B4BB9FB" w14:textId="46836041" w:rsidR="004B4A1B" w:rsidRPr="00A34F10" w:rsidRDefault="004B4A1B" w:rsidP="00A81B79">
            <w:pPr>
              <w:jc w:val="center"/>
              <w:rPr>
                <w:sz w:val="20"/>
                <w:szCs w:val="20"/>
              </w:rPr>
            </w:pPr>
            <w:r w:rsidRPr="00DB71B3">
              <w:rPr>
                <w:sz w:val="20"/>
                <w:szCs w:val="20"/>
                <w:highlight w:val="green"/>
              </w:rPr>
              <w:t>BBCH ≥ 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032AC62D" w14:textId="391084F1" w:rsidR="004B4A1B" w:rsidRPr="00A34F10" w:rsidRDefault="004B4A1B" w:rsidP="004B4A1B">
            <w:pPr>
              <w:jc w:val="center"/>
              <w:rPr>
                <w:sz w:val="20"/>
                <w:szCs w:val="20"/>
                <w:lang w:val="en-GB"/>
              </w:rPr>
            </w:pPr>
            <w:r w:rsidRPr="00DB71B3">
              <w:rPr>
                <w:sz w:val="20"/>
                <w:szCs w:val="20"/>
                <w:highlight w:val="green"/>
                <w:lang w:val="en-GB"/>
              </w:rPr>
              <w:t>Small herbivorous mammal “vole”</w:t>
            </w:r>
          </w:p>
        </w:tc>
        <w:tc>
          <w:tcPr>
            <w:tcW w:w="458" w:type="pct"/>
            <w:vMerge/>
            <w:shd w:val="clear" w:color="auto" w:fill="auto"/>
            <w:vAlign w:val="center"/>
          </w:tcPr>
          <w:p w14:paraId="1B0166B8"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1FCE676E" w14:textId="2E5436E3" w:rsidR="004B4A1B" w:rsidRPr="005F5B25" w:rsidRDefault="005F5B25" w:rsidP="004B4A1B">
            <w:pPr>
              <w:jc w:val="center"/>
              <w:rPr>
                <w:sz w:val="20"/>
                <w:szCs w:val="20"/>
                <w:highlight w:val="green"/>
              </w:rPr>
            </w:pPr>
            <w:r w:rsidRPr="005F5B25">
              <w:rPr>
                <w:sz w:val="20"/>
                <w:szCs w:val="20"/>
                <w:highlight w:val="green"/>
              </w:rPr>
              <w:t>40.9</w:t>
            </w:r>
          </w:p>
        </w:tc>
        <w:tc>
          <w:tcPr>
            <w:tcW w:w="411" w:type="pct"/>
            <w:vMerge/>
            <w:shd w:val="clear" w:color="auto" w:fill="auto"/>
            <w:vAlign w:val="center"/>
          </w:tcPr>
          <w:p w14:paraId="4C62B57C"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1D93DAD" w14:textId="398CDC89" w:rsidR="004B4A1B" w:rsidRPr="005F5B25" w:rsidRDefault="005F5B25" w:rsidP="004B4A1B">
            <w:pPr>
              <w:jc w:val="center"/>
              <w:rPr>
                <w:sz w:val="20"/>
                <w:szCs w:val="20"/>
                <w:highlight w:val="green"/>
              </w:rPr>
            </w:pPr>
            <w:r w:rsidRPr="005F5B25">
              <w:rPr>
                <w:sz w:val="20"/>
                <w:szCs w:val="20"/>
                <w:highlight w:val="green"/>
              </w:rPr>
              <w:t>65.79</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61FD158" w14:textId="0DC3261F"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1</w:t>
            </w:r>
            <w:r w:rsidR="00A81B79">
              <w:rPr>
                <w:sz w:val="20"/>
                <w:szCs w:val="20"/>
                <w:highlight w:val="green"/>
              </w:rPr>
              <w:t>8.4</w:t>
            </w:r>
          </w:p>
        </w:tc>
      </w:tr>
      <w:tr w:rsidR="004B4A1B" w:rsidRPr="00A34F10" w14:paraId="37D3B938"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9C8D789"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07C73F57" w14:textId="39016F46" w:rsidR="004B4A1B" w:rsidRPr="00A34F10" w:rsidRDefault="004B4A1B" w:rsidP="00A81B79">
            <w:pPr>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01D5A43E" w14:textId="0716955E" w:rsidR="004B4A1B" w:rsidRPr="00A34F10" w:rsidRDefault="004B4A1B" w:rsidP="004B4A1B">
            <w:pPr>
              <w:jc w:val="center"/>
              <w:rPr>
                <w:sz w:val="20"/>
                <w:szCs w:val="20"/>
                <w:lang w:val="en-GB"/>
              </w:rPr>
            </w:pPr>
            <w:r>
              <w:rPr>
                <w:sz w:val="20"/>
                <w:szCs w:val="20"/>
                <w:highlight w:val="green"/>
                <w:lang w:val="en-GB"/>
              </w:rPr>
              <w:t>Large</w:t>
            </w:r>
            <w:r w:rsidRPr="00DB71B3">
              <w:rPr>
                <w:sz w:val="20"/>
                <w:szCs w:val="20"/>
                <w:highlight w:val="green"/>
                <w:lang w:val="en-GB"/>
              </w:rPr>
              <w:t xml:space="preserve"> herbivorous mammal “</w:t>
            </w:r>
            <w:r>
              <w:rPr>
                <w:sz w:val="20"/>
                <w:szCs w:val="20"/>
                <w:highlight w:val="green"/>
                <w:lang w:val="en-GB"/>
              </w:rPr>
              <w:t>lagomorph</w:t>
            </w:r>
            <w:r w:rsidRPr="00DB71B3">
              <w:rPr>
                <w:sz w:val="20"/>
                <w:szCs w:val="20"/>
                <w:highlight w:val="green"/>
                <w:lang w:val="en-GB"/>
              </w:rPr>
              <w:t>”</w:t>
            </w:r>
          </w:p>
        </w:tc>
        <w:tc>
          <w:tcPr>
            <w:tcW w:w="458" w:type="pct"/>
            <w:vMerge/>
            <w:shd w:val="clear" w:color="auto" w:fill="auto"/>
            <w:vAlign w:val="center"/>
          </w:tcPr>
          <w:p w14:paraId="7C0AA01F"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EADB34C" w14:textId="5BF88A7C" w:rsidR="004B4A1B" w:rsidRPr="005F5B25" w:rsidRDefault="005F5B25" w:rsidP="004B4A1B">
            <w:pPr>
              <w:jc w:val="center"/>
              <w:rPr>
                <w:sz w:val="20"/>
                <w:szCs w:val="20"/>
                <w:highlight w:val="green"/>
              </w:rPr>
            </w:pPr>
            <w:r w:rsidRPr="005F5B25">
              <w:rPr>
                <w:sz w:val="20"/>
                <w:szCs w:val="20"/>
                <w:highlight w:val="green"/>
              </w:rPr>
              <w:t>28.1</w:t>
            </w:r>
          </w:p>
        </w:tc>
        <w:tc>
          <w:tcPr>
            <w:tcW w:w="411" w:type="pct"/>
            <w:vMerge/>
            <w:shd w:val="clear" w:color="auto" w:fill="auto"/>
            <w:vAlign w:val="center"/>
          </w:tcPr>
          <w:p w14:paraId="28C43E4E"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0B970C0F" w14:textId="40C496DB" w:rsidR="004B4A1B" w:rsidRPr="005F5B25" w:rsidRDefault="005F5B25" w:rsidP="004B4A1B">
            <w:pPr>
              <w:jc w:val="center"/>
              <w:rPr>
                <w:sz w:val="20"/>
                <w:szCs w:val="20"/>
                <w:highlight w:val="green"/>
              </w:rPr>
            </w:pPr>
            <w:r w:rsidRPr="005F5B25">
              <w:rPr>
                <w:sz w:val="20"/>
                <w:szCs w:val="20"/>
                <w:highlight w:val="green"/>
              </w:rPr>
              <w:t>45.20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CB64722" w14:textId="4227B3B2"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2</w:t>
            </w:r>
            <w:r w:rsidR="00A81B79">
              <w:rPr>
                <w:sz w:val="20"/>
                <w:szCs w:val="20"/>
                <w:highlight w:val="green"/>
              </w:rPr>
              <w:t>6</w:t>
            </w:r>
            <w:r w:rsidR="005F5B25">
              <w:rPr>
                <w:sz w:val="20"/>
                <w:szCs w:val="20"/>
                <w:highlight w:val="green"/>
              </w:rPr>
              <w:t>.</w:t>
            </w:r>
            <w:r w:rsidR="00A81B79">
              <w:rPr>
                <w:sz w:val="20"/>
                <w:szCs w:val="20"/>
                <w:highlight w:val="green"/>
              </w:rPr>
              <w:t>7</w:t>
            </w:r>
          </w:p>
        </w:tc>
      </w:tr>
      <w:tr w:rsidR="004B4A1B" w:rsidRPr="00A34F10" w14:paraId="4DCD2E2B"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086CEED3"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4FCD4CF2" w14:textId="5612C68E" w:rsidR="004B4A1B" w:rsidRPr="00A34F10" w:rsidRDefault="004B4A1B" w:rsidP="00A81B79">
            <w:pPr>
              <w:jc w:val="center"/>
              <w:rPr>
                <w:sz w:val="20"/>
                <w:szCs w:val="20"/>
              </w:rPr>
            </w:pPr>
            <w:r w:rsidRPr="00DB71B3">
              <w:rPr>
                <w:sz w:val="20"/>
                <w:szCs w:val="20"/>
                <w:highlight w:val="green"/>
              </w:rPr>
              <w:t>BBCH 20-</w:t>
            </w:r>
            <w:r>
              <w:rPr>
                <w:sz w:val="20"/>
                <w:szCs w:val="20"/>
                <w:highlight w:val="green"/>
              </w:rPr>
              <w:t>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120DCD50" w14:textId="29580E61" w:rsidR="004B4A1B" w:rsidRPr="00A34F10" w:rsidRDefault="004B4A1B" w:rsidP="004B4A1B">
            <w:pPr>
              <w:jc w:val="center"/>
              <w:rPr>
                <w:sz w:val="20"/>
                <w:szCs w:val="20"/>
                <w:lang w:val="en-GB"/>
              </w:rPr>
            </w:pPr>
            <w:r>
              <w:rPr>
                <w:sz w:val="20"/>
                <w:szCs w:val="20"/>
                <w:highlight w:val="green"/>
                <w:lang w:val="en-GB"/>
              </w:rPr>
              <w:t>Large</w:t>
            </w:r>
            <w:r w:rsidRPr="00DB71B3">
              <w:rPr>
                <w:sz w:val="20"/>
                <w:szCs w:val="20"/>
                <w:highlight w:val="green"/>
                <w:lang w:val="en-GB"/>
              </w:rPr>
              <w:t xml:space="preserve"> herbivorous mammal “</w:t>
            </w:r>
            <w:r>
              <w:rPr>
                <w:sz w:val="20"/>
                <w:szCs w:val="20"/>
                <w:highlight w:val="green"/>
                <w:lang w:val="en-GB"/>
              </w:rPr>
              <w:t>lagomorph</w:t>
            </w:r>
            <w:r w:rsidRPr="00DB71B3">
              <w:rPr>
                <w:sz w:val="20"/>
                <w:szCs w:val="20"/>
                <w:highlight w:val="green"/>
                <w:lang w:val="en-GB"/>
              </w:rPr>
              <w:t>”</w:t>
            </w:r>
          </w:p>
        </w:tc>
        <w:tc>
          <w:tcPr>
            <w:tcW w:w="458" w:type="pct"/>
            <w:vMerge/>
            <w:shd w:val="clear" w:color="auto" w:fill="auto"/>
            <w:vAlign w:val="center"/>
          </w:tcPr>
          <w:p w14:paraId="368A3108"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E87D7DF" w14:textId="36D3157E" w:rsidR="004B4A1B" w:rsidRPr="005F5B25" w:rsidRDefault="005F5B25" w:rsidP="004B4A1B">
            <w:pPr>
              <w:jc w:val="center"/>
              <w:rPr>
                <w:sz w:val="20"/>
                <w:szCs w:val="20"/>
                <w:highlight w:val="green"/>
              </w:rPr>
            </w:pPr>
            <w:r w:rsidRPr="005F5B25">
              <w:rPr>
                <w:sz w:val="20"/>
                <w:szCs w:val="20"/>
                <w:highlight w:val="green"/>
              </w:rPr>
              <w:t>21.1</w:t>
            </w:r>
          </w:p>
        </w:tc>
        <w:tc>
          <w:tcPr>
            <w:tcW w:w="411" w:type="pct"/>
            <w:vMerge/>
            <w:shd w:val="clear" w:color="auto" w:fill="auto"/>
            <w:vAlign w:val="center"/>
          </w:tcPr>
          <w:p w14:paraId="6C71694A"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5E12FA5" w14:textId="5750D3F4" w:rsidR="004B4A1B" w:rsidRPr="005F5B25" w:rsidRDefault="005F5B25" w:rsidP="004B4A1B">
            <w:pPr>
              <w:jc w:val="center"/>
              <w:rPr>
                <w:sz w:val="20"/>
                <w:szCs w:val="20"/>
                <w:highlight w:val="green"/>
              </w:rPr>
            </w:pPr>
            <w:r w:rsidRPr="005F5B25">
              <w:rPr>
                <w:sz w:val="20"/>
                <w:szCs w:val="20"/>
                <w:highlight w:val="green"/>
              </w:rPr>
              <w:t>33.94</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AEDBF35" w14:textId="430ED967" w:rsidR="004B4A1B" w:rsidRPr="004B4A1B" w:rsidRDefault="00E72A5B" w:rsidP="004B4A1B">
            <w:pPr>
              <w:jc w:val="center"/>
              <w:rPr>
                <w:sz w:val="20"/>
                <w:szCs w:val="20"/>
                <w:highlight w:val="green"/>
              </w:rPr>
            </w:pPr>
            <w:r>
              <w:rPr>
                <w:sz w:val="20"/>
                <w:szCs w:val="20"/>
                <w:highlight w:val="green"/>
              </w:rPr>
              <w:t xml:space="preserve">&lt; </w:t>
            </w:r>
            <w:r w:rsidR="005F5B25">
              <w:rPr>
                <w:sz w:val="20"/>
                <w:szCs w:val="20"/>
                <w:highlight w:val="green"/>
              </w:rPr>
              <w:t>3</w:t>
            </w:r>
            <w:r w:rsidR="00A81B79">
              <w:rPr>
                <w:sz w:val="20"/>
                <w:szCs w:val="20"/>
                <w:highlight w:val="green"/>
              </w:rPr>
              <w:t>5</w:t>
            </w:r>
            <w:r w:rsidR="005F5B25">
              <w:rPr>
                <w:sz w:val="20"/>
                <w:szCs w:val="20"/>
                <w:highlight w:val="green"/>
              </w:rPr>
              <w:t>.</w:t>
            </w:r>
            <w:r w:rsidR="00A81B79">
              <w:rPr>
                <w:sz w:val="20"/>
                <w:szCs w:val="20"/>
                <w:highlight w:val="green"/>
              </w:rPr>
              <w:t>6</w:t>
            </w:r>
          </w:p>
        </w:tc>
      </w:tr>
      <w:tr w:rsidR="004B4A1B" w:rsidRPr="00A34F10" w14:paraId="0291BD49"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322C5C15"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2159603C" w14:textId="6AD557FC" w:rsidR="004B4A1B" w:rsidRPr="00A34F10" w:rsidRDefault="004B4A1B" w:rsidP="00A81B79">
            <w:pPr>
              <w:jc w:val="center"/>
              <w:rPr>
                <w:sz w:val="20"/>
                <w:szCs w:val="20"/>
              </w:rPr>
            </w:pPr>
            <w:r w:rsidRPr="00DB71B3">
              <w:rPr>
                <w:sz w:val="20"/>
                <w:szCs w:val="20"/>
                <w:highlight w:val="green"/>
              </w:rPr>
              <w:t>BBCH ≥ 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7CCDAF2A" w14:textId="159D4DE5" w:rsidR="004B4A1B" w:rsidRPr="00A34F10" w:rsidRDefault="004B4A1B" w:rsidP="004B4A1B">
            <w:pPr>
              <w:jc w:val="center"/>
              <w:rPr>
                <w:sz w:val="20"/>
                <w:szCs w:val="20"/>
                <w:lang w:val="en-GB"/>
              </w:rPr>
            </w:pPr>
            <w:r>
              <w:rPr>
                <w:sz w:val="20"/>
                <w:szCs w:val="20"/>
                <w:highlight w:val="green"/>
                <w:lang w:val="en-GB"/>
              </w:rPr>
              <w:t>Large</w:t>
            </w:r>
            <w:r w:rsidRPr="00DB71B3">
              <w:rPr>
                <w:sz w:val="20"/>
                <w:szCs w:val="20"/>
                <w:highlight w:val="green"/>
                <w:lang w:val="en-GB"/>
              </w:rPr>
              <w:t xml:space="preserve"> herbivorous mammal “</w:t>
            </w:r>
            <w:r>
              <w:rPr>
                <w:sz w:val="20"/>
                <w:szCs w:val="20"/>
                <w:highlight w:val="green"/>
                <w:lang w:val="en-GB"/>
              </w:rPr>
              <w:t>lagomorph</w:t>
            </w:r>
            <w:r w:rsidRPr="00DB71B3">
              <w:rPr>
                <w:sz w:val="20"/>
                <w:szCs w:val="20"/>
                <w:highlight w:val="green"/>
                <w:lang w:val="en-GB"/>
              </w:rPr>
              <w:t>”</w:t>
            </w:r>
          </w:p>
        </w:tc>
        <w:tc>
          <w:tcPr>
            <w:tcW w:w="458" w:type="pct"/>
            <w:vMerge/>
            <w:shd w:val="clear" w:color="auto" w:fill="auto"/>
            <w:vAlign w:val="center"/>
          </w:tcPr>
          <w:p w14:paraId="79C5E87F"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8755549" w14:textId="1A5F25A8" w:rsidR="004B4A1B" w:rsidRPr="005F5B25" w:rsidRDefault="005F5B25" w:rsidP="004B4A1B">
            <w:pPr>
              <w:jc w:val="center"/>
              <w:rPr>
                <w:sz w:val="20"/>
                <w:szCs w:val="20"/>
                <w:highlight w:val="green"/>
              </w:rPr>
            </w:pPr>
            <w:r w:rsidRPr="005F5B25">
              <w:rPr>
                <w:sz w:val="20"/>
                <w:szCs w:val="20"/>
                <w:highlight w:val="green"/>
              </w:rPr>
              <w:t>10.5</w:t>
            </w:r>
          </w:p>
        </w:tc>
        <w:tc>
          <w:tcPr>
            <w:tcW w:w="411" w:type="pct"/>
            <w:vMerge/>
            <w:shd w:val="clear" w:color="auto" w:fill="auto"/>
            <w:vAlign w:val="center"/>
          </w:tcPr>
          <w:p w14:paraId="0855A2D2"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85408D6" w14:textId="06E6E642" w:rsidR="004B4A1B" w:rsidRPr="005F5B25" w:rsidRDefault="005F5B25" w:rsidP="004B4A1B">
            <w:pPr>
              <w:jc w:val="center"/>
              <w:rPr>
                <w:sz w:val="20"/>
                <w:szCs w:val="20"/>
                <w:highlight w:val="green"/>
              </w:rPr>
            </w:pPr>
            <w:r w:rsidRPr="005F5B25">
              <w:rPr>
                <w:sz w:val="20"/>
                <w:szCs w:val="20"/>
                <w:highlight w:val="green"/>
              </w:rPr>
              <w:t>16.98</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2AE3DC93" w14:textId="24893DE4"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71.5</w:t>
            </w:r>
          </w:p>
        </w:tc>
      </w:tr>
      <w:tr w:rsidR="004B4A1B" w:rsidRPr="00A34F10" w14:paraId="44A38F49"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EC1FAAB"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62EF388D" w14:textId="02BA5FF8" w:rsidR="004B4A1B" w:rsidRPr="00A34F10" w:rsidRDefault="004B4A1B" w:rsidP="00A81B79">
            <w:pPr>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0E5967AC" w14:textId="43006B82" w:rsidR="004B4A1B" w:rsidRPr="00A34F10" w:rsidRDefault="004B4A1B" w:rsidP="004B4A1B">
            <w:pPr>
              <w:jc w:val="center"/>
              <w:rPr>
                <w:sz w:val="20"/>
                <w:szCs w:val="20"/>
                <w:lang w:val="en-GB"/>
              </w:rPr>
            </w:pPr>
            <w:r w:rsidRPr="00DB71B3">
              <w:rPr>
                <w:sz w:val="20"/>
                <w:szCs w:val="20"/>
                <w:highlight w:val="green"/>
                <w:lang w:val="en-GB"/>
              </w:rPr>
              <w:t>Small omnivorous mammal “mouse”</w:t>
            </w:r>
          </w:p>
        </w:tc>
        <w:tc>
          <w:tcPr>
            <w:tcW w:w="458" w:type="pct"/>
            <w:vMerge/>
            <w:shd w:val="clear" w:color="auto" w:fill="auto"/>
            <w:vAlign w:val="center"/>
          </w:tcPr>
          <w:p w14:paraId="16EADAEC"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4ADD545E" w14:textId="1BD0445C" w:rsidR="004B4A1B" w:rsidRPr="005F5B25" w:rsidRDefault="005F5B25" w:rsidP="004B4A1B">
            <w:pPr>
              <w:jc w:val="center"/>
              <w:rPr>
                <w:sz w:val="20"/>
                <w:szCs w:val="20"/>
                <w:highlight w:val="green"/>
              </w:rPr>
            </w:pPr>
            <w:r w:rsidRPr="005F5B25">
              <w:rPr>
                <w:sz w:val="20"/>
                <w:szCs w:val="20"/>
                <w:highlight w:val="green"/>
              </w:rPr>
              <w:t>13.8</w:t>
            </w:r>
          </w:p>
        </w:tc>
        <w:tc>
          <w:tcPr>
            <w:tcW w:w="411" w:type="pct"/>
            <w:vMerge/>
            <w:shd w:val="clear" w:color="auto" w:fill="auto"/>
            <w:vAlign w:val="center"/>
          </w:tcPr>
          <w:p w14:paraId="27FA82AD"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073E93C" w14:textId="05EAC6BF" w:rsidR="004B4A1B" w:rsidRPr="005F5B25" w:rsidRDefault="005F5B25" w:rsidP="004B4A1B">
            <w:pPr>
              <w:jc w:val="center"/>
              <w:rPr>
                <w:sz w:val="20"/>
                <w:szCs w:val="20"/>
                <w:highlight w:val="green"/>
              </w:rPr>
            </w:pPr>
            <w:r w:rsidRPr="005F5B25">
              <w:rPr>
                <w:sz w:val="20"/>
                <w:szCs w:val="20"/>
                <w:highlight w:val="green"/>
              </w:rPr>
              <w:t>22.20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9C77A18" w14:textId="74E2CCBF"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54</w:t>
            </w:r>
            <w:r w:rsidR="005F5B25">
              <w:rPr>
                <w:sz w:val="20"/>
                <w:szCs w:val="20"/>
                <w:highlight w:val="green"/>
              </w:rPr>
              <w:t>.4</w:t>
            </w:r>
          </w:p>
        </w:tc>
      </w:tr>
      <w:tr w:rsidR="004B4A1B" w:rsidRPr="00A34F10" w14:paraId="4396DB9A"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02293FD6"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51BCAF92" w14:textId="0382A48D" w:rsidR="004B4A1B" w:rsidRPr="00A34F10" w:rsidRDefault="004B4A1B" w:rsidP="00A81B79">
            <w:pPr>
              <w:jc w:val="center"/>
              <w:rPr>
                <w:sz w:val="20"/>
                <w:szCs w:val="20"/>
              </w:rPr>
            </w:pPr>
            <w:r w:rsidRPr="00DB71B3">
              <w:rPr>
                <w:sz w:val="20"/>
                <w:szCs w:val="20"/>
                <w:highlight w:val="green"/>
              </w:rPr>
              <w:t>BBCH 20-</w:t>
            </w:r>
            <w:r>
              <w:rPr>
                <w:sz w:val="20"/>
                <w:szCs w:val="20"/>
                <w:highlight w:val="green"/>
              </w:rPr>
              <w:t>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4EA85BE4" w14:textId="45EF645B" w:rsidR="004B4A1B" w:rsidRPr="00A34F10" w:rsidRDefault="004B4A1B" w:rsidP="004B4A1B">
            <w:pPr>
              <w:jc w:val="center"/>
              <w:rPr>
                <w:sz w:val="20"/>
                <w:szCs w:val="20"/>
                <w:lang w:val="en-GB"/>
              </w:rPr>
            </w:pPr>
            <w:r w:rsidRPr="00DB71B3">
              <w:rPr>
                <w:sz w:val="20"/>
                <w:szCs w:val="20"/>
                <w:highlight w:val="green"/>
                <w:lang w:val="en-GB"/>
              </w:rPr>
              <w:t>Small omnivorous mammal “mouse”</w:t>
            </w:r>
          </w:p>
        </w:tc>
        <w:tc>
          <w:tcPr>
            <w:tcW w:w="458" w:type="pct"/>
            <w:vMerge/>
            <w:shd w:val="clear" w:color="auto" w:fill="auto"/>
            <w:vAlign w:val="center"/>
          </w:tcPr>
          <w:p w14:paraId="2BDA0A3A"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6C72916" w14:textId="53C0089C" w:rsidR="004B4A1B" w:rsidRPr="005F5B25" w:rsidRDefault="005F5B25" w:rsidP="004B4A1B">
            <w:pPr>
              <w:jc w:val="center"/>
              <w:rPr>
                <w:sz w:val="20"/>
                <w:szCs w:val="20"/>
                <w:highlight w:val="green"/>
              </w:rPr>
            </w:pPr>
            <w:r w:rsidRPr="005F5B25">
              <w:rPr>
                <w:sz w:val="20"/>
                <w:szCs w:val="20"/>
                <w:highlight w:val="green"/>
              </w:rPr>
              <w:t>10.3</w:t>
            </w:r>
          </w:p>
        </w:tc>
        <w:tc>
          <w:tcPr>
            <w:tcW w:w="411" w:type="pct"/>
            <w:vMerge/>
            <w:shd w:val="clear" w:color="auto" w:fill="auto"/>
            <w:vAlign w:val="center"/>
          </w:tcPr>
          <w:p w14:paraId="01801EEB"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B2EBC65" w14:textId="33E1ABD6" w:rsidR="004B4A1B" w:rsidRPr="005F5B25" w:rsidRDefault="005F5B25" w:rsidP="004B4A1B">
            <w:pPr>
              <w:jc w:val="center"/>
              <w:rPr>
                <w:sz w:val="20"/>
                <w:szCs w:val="20"/>
                <w:highlight w:val="green"/>
              </w:rPr>
            </w:pPr>
            <w:r w:rsidRPr="005F5B25">
              <w:rPr>
                <w:sz w:val="20"/>
                <w:szCs w:val="20"/>
                <w:highlight w:val="green"/>
              </w:rPr>
              <w:t>16.57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AFE29D0" w14:textId="103CF09B"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72.9</w:t>
            </w:r>
          </w:p>
        </w:tc>
      </w:tr>
      <w:tr w:rsidR="004B4A1B" w:rsidRPr="00A34F10" w14:paraId="0B56F7AC"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0BE9CB32" w14:textId="77777777" w:rsidR="004B4A1B" w:rsidRPr="00DB71B3" w:rsidRDefault="004B4A1B" w:rsidP="00A81B79">
            <w:pPr>
              <w:jc w:val="center"/>
              <w:rPr>
                <w:sz w:val="20"/>
                <w:szCs w:val="20"/>
                <w:highlight w:val="green"/>
              </w:rPr>
            </w:pPr>
            <w:r w:rsidRPr="00DB71B3">
              <w:rPr>
                <w:sz w:val="20"/>
                <w:szCs w:val="20"/>
                <w:highlight w:val="green"/>
              </w:rPr>
              <w:t>Application crop directed</w:t>
            </w:r>
          </w:p>
          <w:p w14:paraId="0D738C99" w14:textId="2325070C" w:rsidR="004B4A1B" w:rsidRPr="00A34F10" w:rsidRDefault="004B4A1B" w:rsidP="00A81B79">
            <w:pPr>
              <w:jc w:val="center"/>
              <w:rPr>
                <w:sz w:val="20"/>
                <w:szCs w:val="20"/>
              </w:rPr>
            </w:pPr>
            <w:r w:rsidRPr="00DB71B3">
              <w:rPr>
                <w:sz w:val="20"/>
                <w:szCs w:val="20"/>
                <w:highlight w:val="green"/>
              </w:rPr>
              <w:t>BBCH ≥ 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24E58168" w14:textId="5E8C0E94" w:rsidR="004B4A1B" w:rsidRPr="00A34F10" w:rsidRDefault="004B4A1B" w:rsidP="004B4A1B">
            <w:pPr>
              <w:jc w:val="center"/>
              <w:rPr>
                <w:sz w:val="20"/>
                <w:szCs w:val="20"/>
                <w:lang w:val="en-GB"/>
              </w:rPr>
            </w:pPr>
            <w:r w:rsidRPr="00DB71B3">
              <w:rPr>
                <w:sz w:val="20"/>
                <w:szCs w:val="20"/>
                <w:highlight w:val="green"/>
                <w:lang w:val="en-GB"/>
              </w:rPr>
              <w:t>Small omnivorous mammal “mouse”</w:t>
            </w:r>
          </w:p>
        </w:tc>
        <w:tc>
          <w:tcPr>
            <w:tcW w:w="458" w:type="pct"/>
            <w:vMerge/>
            <w:tcBorders>
              <w:bottom w:val="single" w:sz="4" w:space="0" w:color="auto"/>
            </w:tcBorders>
            <w:shd w:val="clear" w:color="auto" w:fill="auto"/>
            <w:vAlign w:val="center"/>
          </w:tcPr>
          <w:p w14:paraId="13A232A0" w14:textId="77777777" w:rsidR="004B4A1B" w:rsidRPr="00A34F10" w:rsidRDefault="004B4A1B" w:rsidP="004B4A1B">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07CCE4F" w14:textId="40DB3532" w:rsidR="004B4A1B" w:rsidRPr="005F5B25" w:rsidRDefault="005F5B25" w:rsidP="004B4A1B">
            <w:pPr>
              <w:jc w:val="center"/>
              <w:rPr>
                <w:sz w:val="20"/>
                <w:szCs w:val="20"/>
                <w:highlight w:val="green"/>
              </w:rPr>
            </w:pPr>
            <w:r w:rsidRPr="005F5B25">
              <w:rPr>
                <w:sz w:val="20"/>
                <w:szCs w:val="20"/>
                <w:highlight w:val="green"/>
              </w:rPr>
              <w:t>5.2</w:t>
            </w:r>
          </w:p>
        </w:tc>
        <w:tc>
          <w:tcPr>
            <w:tcW w:w="411" w:type="pct"/>
            <w:vMerge/>
            <w:tcBorders>
              <w:bottom w:val="single" w:sz="4" w:space="0" w:color="auto"/>
            </w:tcBorders>
            <w:shd w:val="clear" w:color="auto" w:fill="auto"/>
            <w:vAlign w:val="center"/>
          </w:tcPr>
          <w:p w14:paraId="5F0390A7" w14:textId="77777777" w:rsidR="004B4A1B" w:rsidRPr="00A34F10" w:rsidRDefault="004B4A1B" w:rsidP="004B4A1B">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6D13C59" w14:textId="2DC571D7" w:rsidR="004B4A1B" w:rsidRPr="005F5B25" w:rsidRDefault="005F5B25" w:rsidP="004B4A1B">
            <w:pPr>
              <w:jc w:val="center"/>
              <w:rPr>
                <w:sz w:val="20"/>
                <w:szCs w:val="20"/>
                <w:highlight w:val="green"/>
              </w:rPr>
            </w:pPr>
            <w:r w:rsidRPr="005F5B25">
              <w:rPr>
                <w:sz w:val="20"/>
                <w:szCs w:val="20"/>
                <w:highlight w:val="green"/>
              </w:rPr>
              <w:t>8.36</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4404E877" w14:textId="1D0EEFEC" w:rsidR="004B4A1B" w:rsidRPr="004B4A1B" w:rsidRDefault="00660E58" w:rsidP="004B4A1B">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1</w:t>
            </w:r>
            <w:r w:rsidR="00BE0C3A">
              <w:rPr>
                <w:sz w:val="20"/>
                <w:szCs w:val="20"/>
                <w:highlight w:val="green"/>
              </w:rPr>
              <w:t>44.5</w:t>
            </w:r>
          </w:p>
        </w:tc>
      </w:tr>
      <w:tr w:rsidR="004B4A1B" w:rsidRPr="00A34F10" w14:paraId="364728A6" w14:textId="77777777" w:rsidTr="004B4A1B">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A83D5F" w14:textId="621DC255" w:rsidR="004B4A1B" w:rsidRPr="004B4A1B" w:rsidRDefault="004B4A1B" w:rsidP="00A81B79">
            <w:pPr>
              <w:jc w:val="center"/>
              <w:rPr>
                <w:sz w:val="20"/>
                <w:szCs w:val="20"/>
                <w:highlight w:val="green"/>
              </w:rPr>
            </w:pPr>
            <w:r>
              <w:rPr>
                <w:b/>
                <w:bCs/>
                <w:sz w:val="20"/>
                <w:szCs w:val="20"/>
                <w:highlight w:val="green"/>
              </w:rPr>
              <w:t>Bush and cane fruit</w:t>
            </w:r>
            <w:r w:rsidRPr="00512D4C">
              <w:rPr>
                <w:b/>
                <w:bCs/>
                <w:sz w:val="20"/>
                <w:szCs w:val="20"/>
                <w:highlight w:val="green"/>
              </w:rPr>
              <w:t xml:space="preserve"> </w:t>
            </w:r>
            <w:r w:rsidRPr="00B875EA">
              <w:rPr>
                <w:b/>
                <w:sz w:val="20"/>
                <w:szCs w:val="20"/>
                <w:highlight w:val="green"/>
                <w:lang w:val="en-GB"/>
              </w:rPr>
              <w:t xml:space="preserve">(2 x </w:t>
            </w:r>
            <w:r w:rsidR="005F5B25" w:rsidRPr="00B875EA">
              <w:rPr>
                <w:b/>
                <w:bCs/>
                <w:sz w:val="20"/>
                <w:szCs w:val="20"/>
                <w:highlight w:val="green"/>
                <w:lang w:val="en-GB"/>
              </w:rPr>
              <w:t xml:space="preserve">(∑ 0.240 + 0.902) </w:t>
            </w:r>
            <w:r w:rsidRPr="00B875EA">
              <w:rPr>
                <w:b/>
                <w:sz w:val="20"/>
                <w:szCs w:val="20"/>
                <w:highlight w:val="green"/>
                <w:lang w:val="en-GB"/>
              </w:rPr>
              <w:t>kg a.s./ha, BBCH 12 - 59)</w:t>
            </w:r>
          </w:p>
        </w:tc>
      </w:tr>
      <w:tr w:rsidR="005F5B25" w:rsidRPr="00A34F10" w14:paraId="2464092B"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6B646110" w14:textId="3EFA78D0" w:rsidR="005F5B25" w:rsidRPr="00A34F10" w:rsidRDefault="005F5B25" w:rsidP="00A81B79">
            <w:pPr>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04EC89EB" w14:textId="29F98773" w:rsidR="005F5B25" w:rsidRPr="00A34F10" w:rsidRDefault="005F5B25" w:rsidP="005F5B25">
            <w:pPr>
              <w:jc w:val="center"/>
              <w:rPr>
                <w:sz w:val="20"/>
                <w:szCs w:val="20"/>
                <w:lang w:val="en-GB"/>
              </w:rPr>
            </w:pPr>
            <w:r w:rsidRPr="00DB71B3">
              <w:rPr>
                <w:sz w:val="20"/>
                <w:szCs w:val="20"/>
                <w:highlight w:val="green"/>
                <w:lang w:val="en-GB"/>
              </w:rPr>
              <w:t>Small insectivorous mammal “shrew”</w:t>
            </w:r>
          </w:p>
        </w:tc>
        <w:tc>
          <w:tcPr>
            <w:tcW w:w="458" w:type="pct"/>
            <w:vMerge w:val="restart"/>
            <w:tcBorders>
              <w:top w:val="single" w:sz="4" w:space="0" w:color="auto"/>
            </w:tcBorders>
            <w:shd w:val="clear" w:color="auto" w:fill="auto"/>
            <w:vAlign w:val="center"/>
          </w:tcPr>
          <w:p w14:paraId="0173AD74" w14:textId="51EFA869" w:rsidR="005F5B25" w:rsidRPr="005F5B25" w:rsidRDefault="005F5B25" w:rsidP="005F5B25">
            <w:pPr>
              <w:jc w:val="center"/>
              <w:rPr>
                <w:sz w:val="20"/>
                <w:szCs w:val="20"/>
                <w:highlight w:val="green"/>
                <w:lang w:val="en-GB"/>
              </w:rPr>
            </w:pPr>
            <w:r w:rsidRPr="005F5B25">
              <w:rPr>
                <w:sz w:val="20"/>
                <w:szCs w:val="20"/>
                <w:highlight w:val="green"/>
                <w:lang w:val="en-GB"/>
              </w:rPr>
              <w:t>1.142</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4DD1EDA4" w14:textId="3F9F50F3" w:rsidR="005F5B25" w:rsidRPr="005F5B25" w:rsidRDefault="005F5B25" w:rsidP="005F5B25">
            <w:pPr>
              <w:jc w:val="center"/>
              <w:rPr>
                <w:sz w:val="20"/>
                <w:szCs w:val="20"/>
                <w:highlight w:val="green"/>
              </w:rPr>
            </w:pPr>
            <w:r>
              <w:rPr>
                <w:sz w:val="20"/>
                <w:szCs w:val="20"/>
                <w:highlight w:val="green"/>
              </w:rPr>
              <w:t>7.6</w:t>
            </w:r>
          </w:p>
        </w:tc>
        <w:tc>
          <w:tcPr>
            <w:tcW w:w="411" w:type="pct"/>
            <w:vMerge w:val="restart"/>
            <w:tcBorders>
              <w:top w:val="single" w:sz="4" w:space="0" w:color="auto"/>
            </w:tcBorders>
            <w:shd w:val="clear" w:color="auto" w:fill="auto"/>
            <w:vAlign w:val="center"/>
          </w:tcPr>
          <w:p w14:paraId="099696C2" w14:textId="239E4CF0" w:rsidR="005F5B25" w:rsidRPr="005F5B25" w:rsidRDefault="005F5B25" w:rsidP="005F5B25">
            <w:pPr>
              <w:jc w:val="center"/>
              <w:rPr>
                <w:sz w:val="20"/>
                <w:szCs w:val="20"/>
                <w:highlight w:val="green"/>
                <w:lang w:val="en-GB"/>
              </w:rPr>
            </w:pPr>
            <w:r w:rsidRPr="005F5B25">
              <w:rPr>
                <w:sz w:val="20"/>
                <w:szCs w:val="20"/>
                <w:highlight w:val="green"/>
                <w:lang w:val="en-GB"/>
              </w:rPr>
              <w:t>1.41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12237D0" w14:textId="2B0D6CAC" w:rsidR="005F5B25" w:rsidRPr="005F5B25" w:rsidRDefault="005F5B25" w:rsidP="005F5B25">
            <w:pPr>
              <w:jc w:val="center"/>
              <w:rPr>
                <w:sz w:val="20"/>
                <w:szCs w:val="20"/>
                <w:highlight w:val="green"/>
              </w:rPr>
            </w:pPr>
            <w:r w:rsidRPr="005F5B25">
              <w:rPr>
                <w:sz w:val="20"/>
                <w:szCs w:val="20"/>
                <w:highlight w:val="green"/>
              </w:rPr>
              <w:t>12.22</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48C40E43" w14:textId="47EA0A05"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98.8</w:t>
            </w:r>
          </w:p>
        </w:tc>
      </w:tr>
      <w:tr w:rsidR="005F5B25" w:rsidRPr="00A34F10" w14:paraId="409372EC"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2CC06E85" w14:textId="64CE0FFB" w:rsidR="005F5B25" w:rsidRPr="00A34F10" w:rsidRDefault="005F5B25" w:rsidP="00A81B79">
            <w:pPr>
              <w:jc w:val="center"/>
              <w:rPr>
                <w:sz w:val="20"/>
                <w:szCs w:val="20"/>
              </w:rPr>
            </w:pPr>
            <w:r w:rsidRPr="00DB71B3">
              <w:rPr>
                <w:sz w:val="20"/>
                <w:szCs w:val="20"/>
                <w:highlight w:val="green"/>
              </w:rPr>
              <w:t>BBCH ≥ 20</w:t>
            </w:r>
          </w:p>
        </w:tc>
        <w:tc>
          <w:tcPr>
            <w:tcW w:w="1844" w:type="pct"/>
            <w:tcBorders>
              <w:top w:val="single" w:sz="4" w:space="0" w:color="auto"/>
              <w:left w:val="nil"/>
              <w:bottom w:val="single" w:sz="4" w:space="0" w:color="auto"/>
              <w:right w:val="single" w:sz="4" w:space="0" w:color="auto"/>
            </w:tcBorders>
            <w:shd w:val="clear" w:color="auto" w:fill="auto"/>
            <w:vAlign w:val="center"/>
          </w:tcPr>
          <w:p w14:paraId="6D5CAB1F" w14:textId="5047FBC8" w:rsidR="005F5B25" w:rsidRPr="00A34F10" w:rsidRDefault="005F5B25" w:rsidP="005F5B25">
            <w:pPr>
              <w:jc w:val="center"/>
              <w:rPr>
                <w:sz w:val="20"/>
                <w:szCs w:val="20"/>
                <w:lang w:val="en-GB"/>
              </w:rPr>
            </w:pPr>
            <w:r w:rsidRPr="00DB71B3">
              <w:rPr>
                <w:sz w:val="20"/>
                <w:szCs w:val="20"/>
                <w:highlight w:val="green"/>
                <w:lang w:val="en-GB"/>
              </w:rPr>
              <w:t>Small insectivorous mammal “shrew”</w:t>
            </w:r>
          </w:p>
        </w:tc>
        <w:tc>
          <w:tcPr>
            <w:tcW w:w="458" w:type="pct"/>
            <w:vMerge/>
            <w:shd w:val="clear" w:color="auto" w:fill="auto"/>
            <w:vAlign w:val="center"/>
          </w:tcPr>
          <w:p w14:paraId="171DB70E"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A04520D" w14:textId="2DE2ABDC" w:rsidR="005F5B25" w:rsidRPr="005F5B25" w:rsidRDefault="005F5B25" w:rsidP="005F5B25">
            <w:pPr>
              <w:jc w:val="center"/>
              <w:rPr>
                <w:sz w:val="20"/>
                <w:szCs w:val="20"/>
                <w:highlight w:val="green"/>
              </w:rPr>
            </w:pPr>
            <w:r w:rsidRPr="005F5B25">
              <w:rPr>
                <w:sz w:val="20"/>
                <w:szCs w:val="20"/>
                <w:highlight w:val="green"/>
              </w:rPr>
              <w:t>5.4</w:t>
            </w:r>
          </w:p>
        </w:tc>
        <w:tc>
          <w:tcPr>
            <w:tcW w:w="411" w:type="pct"/>
            <w:vMerge/>
            <w:shd w:val="clear" w:color="auto" w:fill="auto"/>
            <w:vAlign w:val="center"/>
          </w:tcPr>
          <w:p w14:paraId="42CC9EE1"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3EF7F5A1" w14:textId="394EABC4" w:rsidR="005F5B25" w:rsidRPr="005F5B25" w:rsidRDefault="005F5B25" w:rsidP="005F5B25">
            <w:pPr>
              <w:jc w:val="center"/>
              <w:rPr>
                <w:sz w:val="20"/>
                <w:szCs w:val="20"/>
                <w:highlight w:val="green"/>
              </w:rPr>
            </w:pPr>
            <w:r w:rsidRPr="005F5B25">
              <w:rPr>
                <w:sz w:val="20"/>
                <w:szCs w:val="20"/>
                <w:highlight w:val="green"/>
              </w:rPr>
              <w:t>8.69</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4996FDCD" w14:textId="29D68EDE"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139.1</w:t>
            </w:r>
          </w:p>
        </w:tc>
      </w:tr>
      <w:tr w:rsidR="005F5B25" w:rsidRPr="00A34F10" w14:paraId="29688B4A"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73AC8C37" w14:textId="7492FB33" w:rsidR="005F5B25" w:rsidRPr="00A34F10" w:rsidRDefault="005F5B25" w:rsidP="00A81B79">
            <w:pPr>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3D8C1AEF" w14:textId="45BBC1AC" w:rsidR="005F5B25" w:rsidRPr="00A34F10" w:rsidRDefault="005F5B25" w:rsidP="005F5B25">
            <w:pPr>
              <w:jc w:val="center"/>
              <w:rPr>
                <w:sz w:val="20"/>
                <w:szCs w:val="20"/>
                <w:lang w:val="en-GB"/>
              </w:rPr>
            </w:pPr>
            <w:r w:rsidRPr="00DB71B3">
              <w:rPr>
                <w:sz w:val="20"/>
                <w:szCs w:val="20"/>
                <w:highlight w:val="green"/>
                <w:lang w:val="en-GB"/>
              </w:rPr>
              <w:t>Small herbivorous mammal “vole”</w:t>
            </w:r>
          </w:p>
        </w:tc>
        <w:tc>
          <w:tcPr>
            <w:tcW w:w="458" w:type="pct"/>
            <w:vMerge/>
            <w:shd w:val="clear" w:color="auto" w:fill="auto"/>
            <w:vAlign w:val="center"/>
          </w:tcPr>
          <w:p w14:paraId="42F20D87"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AFDD18D" w14:textId="4C7260C6" w:rsidR="005F5B25" w:rsidRPr="005F5B25" w:rsidRDefault="005F5B25" w:rsidP="005F5B25">
            <w:pPr>
              <w:jc w:val="center"/>
              <w:rPr>
                <w:sz w:val="20"/>
                <w:szCs w:val="20"/>
                <w:highlight w:val="green"/>
              </w:rPr>
            </w:pPr>
            <w:r w:rsidRPr="005F5B25">
              <w:rPr>
                <w:sz w:val="20"/>
                <w:szCs w:val="20"/>
                <w:highlight w:val="green"/>
              </w:rPr>
              <w:t>81.9</w:t>
            </w:r>
          </w:p>
        </w:tc>
        <w:tc>
          <w:tcPr>
            <w:tcW w:w="411" w:type="pct"/>
            <w:vMerge/>
            <w:shd w:val="clear" w:color="auto" w:fill="auto"/>
            <w:vAlign w:val="center"/>
          </w:tcPr>
          <w:p w14:paraId="565D026F"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493351F6" w14:textId="026C13DA" w:rsidR="005F5B25" w:rsidRPr="005F5B25" w:rsidRDefault="005F5B25" w:rsidP="005F5B25">
            <w:pPr>
              <w:jc w:val="center"/>
              <w:rPr>
                <w:sz w:val="20"/>
                <w:szCs w:val="20"/>
                <w:highlight w:val="green"/>
              </w:rPr>
            </w:pPr>
            <w:r w:rsidRPr="005F5B25">
              <w:rPr>
                <w:sz w:val="20"/>
                <w:szCs w:val="20"/>
                <w:highlight w:val="green"/>
              </w:rPr>
              <w:t>131.73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50DC2AF3" w14:textId="0560B3EE" w:rsidR="005F5B25" w:rsidRPr="005F5B25" w:rsidRDefault="00660E58" w:rsidP="005F5B25">
            <w:pPr>
              <w:jc w:val="center"/>
              <w:rPr>
                <w:b/>
                <w:bCs/>
                <w:sz w:val="20"/>
                <w:szCs w:val="20"/>
                <w:highlight w:val="green"/>
              </w:rPr>
            </w:pPr>
            <w:r>
              <w:rPr>
                <w:sz w:val="20"/>
                <w:szCs w:val="20"/>
                <w:highlight w:val="green"/>
              </w:rPr>
              <w:t>&gt;</w:t>
            </w:r>
            <w:r w:rsidR="00E72A5B">
              <w:rPr>
                <w:sz w:val="20"/>
                <w:szCs w:val="20"/>
                <w:highlight w:val="green"/>
              </w:rPr>
              <w:t xml:space="preserve"> </w:t>
            </w:r>
            <w:r w:rsidR="00BE0C3A" w:rsidRPr="00BE0C3A">
              <w:rPr>
                <w:b/>
                <w:bCs/>
                <w:sz w:val="20"/>
                <w:szCs w:val="20"/>
                <w:highlight w:val="green"/>
              </w:rPr>
              <w:t>9</w:t>
            </w:r>
            <w:r w:rsidR="005F5B25" w:rsidRPr="00BE0C3A">
              <w:rPr>
                <w:b/>
                <w:bCs/>
                <w:sz w:val="20"/>
                <w:szCs w:val="20"/>
                <w:highlight w:val="green"/>
              </w:rPr>
              <w:t>.</w:t>
            </w:r>
            <w:r w:rsidR="00BE0C3A" w:rsidRPr="00BE0C3A">
              <w:rPr>
                <w:b/>
                <w:bCs/>
                <w:sz w:val="20"/>
                <w:szCs w:val="20"/>
                <w:highlight w:val="green"/>
              </w:rPr>
              <w:t>2</w:t>
            </w:r>
          </w:p>
        </w:tc>
      </w:tr>
      <w:tr w:rsidR="005F5B25" w:rsidRPr="00A34F10" w14:paraId="7D685D57"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2AB455A6" w14:textId="4F01BDEC" w:rsidR="005F5B25" w:rsidRPr="00A34F10" w:rsidRDefault="005F5B25" w:rsidP="005F5B25">
            <w:pPr>
              <w:jc w:val="center"/>
              <w:rPr>
                <w:sz w:val="20"/>
                <w:szCs w:val="20"/>
              </w:rPr>
            </w:pPr>
            <w:r w:rsidRPr="00DB71B3">
              <w:rPr>
                <w:sz w:val="20"/>
                <w:szCs w:val="20"/>
                <w:highlight w:val="green"/>
              </w:rPr>
              <w:t>BBCH 20-39</w:t>
            </w:r>
          </w:p>
        </w:tc>
        <w:tc>
          <w:tcPr>
            <w:tcW w:w="1844" w:type="pct"/>
            <w:tcBorders>
              <w:top w:val="single" w:sz="4" w:space="0" w:color="auto"/>
              <w:left w:val="nil"/>
              <w:bottom w:val="single" w:sz="4" w:space="0" w:color="auto"/>
              <w:right w:val="single" w:sz="4" w:space="0" w:color="auto"/>
            </w:tcBorders>
            <w:shd w:val="clear" w:color="auto" w:fill="auto"/>
            <w:vAlign w:val="center"/>
          </w:tcPr>
          <w:p w14:paraId="63468AE2" w14:textId="10DFE9CB" w:rsidR="005F5B25" w:rsidRPr="00A34F10" w:rsidRDefault="005F5B25" w:rsidP="005F5B25">
            <w:pPr>
              <w:jc w:val="center"/>
              <w:rPr>
                <w:sz w:val="20"/>
                <w:szCs w:val="20"/>
                <w:lang w:val="en-GB"/>
              </w:rPr>
            </w:pPr>
            <w:r w:rsidRPr="00DB71B3">
              <w:rPr>
                <w:sz w:val="20"/>
                <w:szCs w:val="20"/>
                <w:highlight w:val="green"/>
                <w:lang w:val="en-GB"/>
              </w:rPr>
              <w:t>Small herbivorous mammal “vole”</w:t>
            </w:r>
          </w:p>
        </w:tc>
        <w:tc>
          <w:tcPr>
            <w:tcW w:w="458" w:type="pct"/>
            <w:vMerge/>
            <w:shd w:val="clear" w:color="auto" w:fill="auto"/>
            <w:vAlign w:val="center"/>
          </w:tcPr>
          <w:p w14:paraId="244AE82E"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8B9EBA6" w14:textId="3A8235DB" w:rsidR="005F5B25" w:rsidRPr="005F5B25" w:rsidRDefault="005F5B25" w:rsidP="005F5B25">
            <w:pPr>
              <w:jc w:val="center"/>
              <w:rPr>
                <w:sz w:val="20"/>
                <w:szCs w:val="20"/>
                <w:highlight w:val="green"/>
              </w:rPr>
            </w:pPr>
            <w:r w:rsidRPr="005F5B25">
              <w:rPr>
                <w:sz w:val="20"/>
                <w:szCs w:val="20"/>
                <w:highlight w:val="green"/>
              </w:rPr>
              <w:t>68.2</w:t>
            </w:r>
          </w:p>
        </w:tc>
        <w:tc>
          <w:tcPr>
            <w:tcW w:w="411" w:type="pct"/>
            <w:vMerge/>
            <w:shd w:val="clear" w:color="auto" w:fill="auto"/>
            <w:vAlign w:val="center"/>
          </w:tcPr>
          <w:p w14:paraId="3F922F53"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662E4BD5" w14:textId="0460A038" w:rsidR="005F5B25" w:rsidRPr="005F5B25" w:rsidRDefault="005F5B25" w:rsidP="005F5B25">
            <w:pPr>
              <w:jc w:val="center"/>
              <w:rPr>
                <w:sz w:val="20"/>
                <w:szCs w:val="20"/>
                <w:highlight w:val="green"/>
              </w:rPr>
            </w:pPr>
            <w:r w:rsidRPr="005F5B25">
              <w:rPr>
                <w:sz w:val="20"/>
                <w:szCs w:val="20"/>
                <w:highlight w:val="green"/>
              </w:rPr>
              <w:t>109.70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19200B90" w14:textId="55A98594"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1</w:t>
            </w:r>
            <w:r w:rsidR="00BE0C3A">
              <w:rPr>
                <w:sz w:val="20"/>
                <w:szCs w:val="20"/>
                <w:highlight w:val="green"/>
              </w:rPr>
              <w:t>1</w:t>
            </w:r>
            <w:r w:rsidR="005F5B25">
              <w:rPr>
                <w:sz w:val="20"/>
                <w:szCs w:val="20"/>
                <w:highlight w:val="green"/>
              </w:rPr>
              <w:t>.0</w:t>
            </w:r>
          </w:p>
        </w:tc>
      </w:tr>
      <w:tr w:rsidR="005F5B25" w:rsidRPr="00A34F10" w14:paraId="7E2EFAF7"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27D1BE21" w14:textId="7918C92A" w:rsidR="005F5B25" w:rsidRPr="00A34F10" w:rsidRDefault="005F5B25" w:rsidP="005F5B25">
            <w:pPr>
              <w:jc w:val="center"/>
              <w:rPr>
                <w:sz w:val="20"/>
                <w:szCs w:val="20"/>
              </w:rPr>
            </w:pPr>
            <w:r w:rsidRPr="00DB71B3">
              <w:rPr>
                <w:sz w:val="20"/>
                <w:szCs w:val="20"/>
                <w:highlight w:val="green"/>
              </w:rPr>
              <w:t>BBCH ≥ 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3477C4A4" w14:textId="46EA47D8" w:rsidR="005F5B25" w:rsidRPr="00A34F10" w:rsidRDefault="005F5B25" w:rsidP="005F5B25">
            <w:pPr>
              <w:jc w:val="center"/>
              <w:rPr>
                <w:sz w:val="20"/>
                <w:szCs w:val="20"/>
                <w:lang w:val="en-GB"/>
              </w:rPr>
            </w:pPr>
            <w:r w:rsidRPr="00DB71B3">
              <w:rPr>
                <w:sz w:val="20"/>
                <w:szCs w:val="20"/>
                <w:highlight w:val="green"/>
                <w:lang w:val="en-GB"/>
              </w:rPr>
              <w:t>Small herbivorous mammal “vole”</w:t>
            </w:r>
          </w:p>
        </w:tc>
        <w:tc>
          <w:tcPr>
            <w:tcW w:w="458" w:type="pct"/>
            <w:vMerge/>
            <w:shd w:val="clear" w:color="auto" w:fill="auto"/>
            <w:vAlign w:val="center"/>
          </w:tcPr>
          <w:p w14:paraId="71BF9A72"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E950392" w14:textId="61EBF968" w:rsidR="005F5B25" w:rsidRPr="005F5B25" w:rsidRDefault="005F5B25" w:rsidP="005F5B25">
            <w:pPr>
              <w:jc w:val="center"/>
              <w:rPr>
                <w:sz w:val="20"/>
                <w:szCs w:val="20"/>
                <w:highlight w:val="green"/>
              </w:rPr>
            </w:pPr>
            <w:r w:rsidRPr="005F5B25">
              <w:rPr>
                <w:sz w:val="20"/>
                <w:szCs w:val="20"/>
                <w:highlight w:val="green"/>
              </w:rPr>
              <w:t>40.9</w:t>
            </w:r>
          </w:p>
        </w:tc>
        <w:tc>
          <w:tcPr>
            <w:tcW w:w="411" w:type="pct"/>
            <w:vMerge/>
            <w:shd w:val="clear" w:color="auto" w:fill="auto"/>
            <w:vAlign w:val="center"/>
          </w:tcPr>
          <w:p w14:paraId="15B6D122"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181B7B5" w14:textId="58FD41FC" w:rsidR="005F5B25" w:rsidRPr="005F5B25" w:rsidRDefault="005F5B25" w:rsidP="005F5B25">
            <w:pPr>
              <w:jc w:val="center"/>
              <w:rPr>
                <w:sz w:val="20"/>
                <w:szCs w:val="20"/>
                <w:highlight w:val="green"/>
              </w:rPr>
            </w:pPr>
            <w:r w:rsidRPr="005F5B25">
              <w:rPr>
                <w:sz w:val="20"/>
                <w:szCs w:val="20"/>
                <w:highlight w:val="green"/>
              </w:rPr>
              <w:t>65.79</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87150A2" w14:textId="51F218C9"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1</w:t>
            </w:r>
            <w:r w:rsidR="00BE0C3A">
              <w:rPr>
                <w:sz w:val="20"/>
                <w:szCs w:val="20"/>
                <w:highlight w:val="green"/>
              </w:rPr>
              <w:t>8</w:t>
            </w:r>
            <w:r w:rsidR="005F5B25">
              <w:rPr>
                <w:sz w:val="20"/>
                <w:szCs w:val="20"/>
                <w:highlight w:val="green"/>
              </w:rPr>
              <w:t>.</w:t>
            </w:r>
            <w:r w:rsidR="00BE0C3A">
              <w:rPr>
                <w:sz w:val="20"/>
                <w:szCs w:val="20"/>
                <w:highlight w:val="green"/>
              </w:rPr>
              <w:t>4</w:t>
            </w:r>
          </w:p>
        </w:tc>
      </w:tr>
      <w:tr w:rsidR="005F5B25" w:rsidRPr="00A34F10" w14:paraId="7EA221D4"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6B5EC4B2" w14:textId="24D2FF6A" w:rsidR="005F5B25" w:rsidRPr="00A34F10" w:rsidRDefault="005F5B25" w:rsidP="005F5B25">
            <w:pPr>
              <w:jc w:val="center"/>
              <w:rPr>
                <w:sz w:val="20"/>
                <w:szCs w:val="20"/>
              </w:rPr>
            </w:pPr>
            <w:r w:rsidRPr="00DB71B3">
              <w:rPr>
                <w:sz w:val="20"/>
                <w:szCs w:val="20"/>
                <w:highlight w:val="green"/>
              </w:rPr>
              <w:t>BBCH 10-19</w:t>
            </w:r>
          </w:p>
        </w:tc>
        <w:tc>
          <w:tcPr>
            <w:tcW w:w="1844" w:type="pct"/>
            <w:tcBorders>
              <w:top w:val="single" w:sz="4" w:space="0" w:color="auto"/>
              <w:left w:val="nil"/>
              <w:bottom w:val="single" w:sz="4" w:space="0" w:color="auto"/>
              <w:right w:val="single" w:sz="4" w:space="0" w:color="auto"/>
            </w:tcBorders>
            <w:shd w:val="clear" w:color="auto" w:fill="auto"/>
            <w:vAlign w:val="center"/>
          </w:tcPr>
          <w:p w14:paraId="2DACE151" w14:textId="4D9D4618" w:rsidR="005F5B25" w:rsidRPr="00A34F10" w:rsidRDefault="005F5B25" w:rsidP="005F5B25">
            <w:pPr>
              <w:jc w:val="center"/>
              <w:rPr>
                <w:sz w:val="20"/>
                <w:szCs w:val="20"/>
                <w:lang w:val="en-GB"/>
              </w:rPr>
            </w:pPr>
            <w:r w:rsidRPr="00DB71B3">
              <w:rPr>
                <w:sz w:val="20"/>
                <w:szCs w:val="20"/>
                <w:highlight w:val="green"/>
                <w:lang w:val="en-GB"/>
              </w:rPr>
              <w:t>Small omnivorous mammal “mouse”</w:t>
            </w:r>
          </w:p>
        </w:tc>
        <w:tc>
          <w:tcPr>
            <w:tcW w:w="458" w:type="pct"/>
            <w:vMerge/>
            <w:shd w:val="clear" w:color="auto" w:fill="auto"/>
            <w:vAlign w:val="center"/>
          </w:tcPr>
          <w:p w14:paraId="5C4CB59E"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05E05C66" w14:textId="29F5BBC7" w:rsidR="005F5B25" w:rsidRPr="005F5B25" w:rsidRDefault="005F5B25" w:rsidP="005F5B25">
            <w:pPr>
              <w:jc w:val="center"/>
              <w:rPr>
                <w:sz w:val="20"/>
                <w:szCs w:val="20"/>
                <w:highlight w:val="green"/>
              </w:rPr>
            </w:pPr>
            <w:r w:rsidRPr="005F5B25">
              <w:rPr>
                <w:sz w:val="20"/>
                <w:szCs w:val="20"/>
                <w:highlight w:val="green"/>
              </w:rPr>
              <w:t>10.3</w:t>
            </w:r>
          </w:p>
        </w:tc>
        <w:tc>
          <w:tcPr>
            <w:tcW w:w="411" w:type="pct"/>
            <w:vMerge/>
            <w:shd w:val="clear" w:color="auto" w:fill="auto"/>
            <w:vAlign w:val="center"/>
          </w:tcPr>
          <w:p w14:paraId="0B455B0C"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7EC2925A" w14:textId="1EF4BF10" w:rsidR="005F5B25" w:rsidRPr="005F5B25" w:rsidRDefault="005F5B25" w:rsidP="005F5B25">
            <w:pPr>
              <w:jc w:val="center"/>
              <w:rPr>
                <w:sz w:val="20"/>
                <w:szCs w:val="20"/>
                <w:highlight w:val="green"/>
              </w:rPr>
            </w:pPr>
            <w:r w:rsidRPr="005F5B25">
              <w:rPr>
                <w:sz w:val="20"/>
                <w:szCs w:val="20"/>
                <w:highlight w:val="green"/>
              </w:rPr>
              <w:t>16.57</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9759357" w14:textId="5607B25A"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72.9</w:t>
            </w:r>
          </w:p>
        </w:tc>
      </w:tr>
      <w:tr w:rsidR="005F5B25" w:rsidRPr="00A34F10" w14:paraId="1BDF3FB3"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2CF8CF2F" w14:textId="2596F697" w:rsidR="005F5B25" w:rsidRPr="00A34F10" w:rsidRDefault="005F5B25" w:rsidP="005F5B25">
            <w:pPr>
              <w:jc w:val="center"/>
              <w:rPr>
                <w:sz w:val="20"/>
                <w:szCs w:val="20"/>
              </w:rPr>
            </w:pPr>
            <w:r w:rsidRPr="00DB71B3">
              <w:rPr>
                <w:sz w:val="20"/>
                <w:szCs w:val="20"/>
                <w:highlight w:val="green"/>
              </w:rPr>
              <w:t>BBCH 20-39</w:t>
            </w:r>
          </w:p>
        </w:tc>
        <w:tc>
          <w:tcPr>
            <w:tcW w:w="1844" w:type="pct"/>
            <w:tcBorders>
              <w:top w:val="single" w:sz="4" w:space="0" w:color="auto"/>
              <w:left w:val="nil"/>
              <w:bottom w:val="single" w:sz="4" w:space="0" w:color="auto"/>
              <w:right w:val="single" w:sz="4" w:space="0" w:color="auto"/>
            </w:tcBorders>
            <w:shd w:val="clear" w:color="auto" w:fill="auto"/>
            <w:vAlign w:val="center"/>
          </w:tcPr>
          <w:p w14:paraId="6030F9A4" w14:textId="2B7EB99A" w:rsidR="005F5B25" w:rsidRPr="00A34F10" w:rsidRDefault="005F5B25" w:rsidP="005F5B25">
            <w:pPr>
              <w:jc w:val="center"/>
              <w:rPr>
                <w:sz w:val="20"/>
                <w:szCs w:val="20"/>
                <w:lang w:val="en-GB"/>
              </w:rPr>
            </w:pPr>
            <w:r w:rsidRPr="00DB71B3">
              <w:rPr>
                <w:sz w:val="20"/>
                <w:szCs w:val="20"/>
                <w:highlight w:val="green"/>
                <w:lang w:val="en-GB"/>
              </w:rPr>
              <w:t>Small omnivorous mammal “mouse”</w:t>
            </w:r>
          </w:p>
        </w:tc>
        <w:tc>
          <w:tcPr>
            <w:tcW w:w="458" w:type="pct"/>
            <w:vMerge/>
            <w:shd w:val="clear" w:color="auto" w:fill="auto"/>
            <w:vAlign w:val="center"/>
          </w:tcPr>
          <w:p w14:paraId="51E5F1ED"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D7EF9C5" w14:textId="51B63127" w:rsidR="005F5B25" w:rsidRPr="005F5B25" w:rsidRDefault="005F5B25" w:rsidP="005F5B25">
            <w:pPr>
              <w:jc w:val="center"/>
              <w:rPr>
                <w:sz w:val="20"/>
                <w:szCs w:val="20"/>
                <w:highlight w:val="green"/>
              </w:rPr>
            </w:pPr>
            <w:r w:rsidRPr="005F5B25">
              <w:rPr>
                <w:sz w:val="20"/>
                <w:szCs w:val="20"/>
                <w:highlight w:val="green"/>
              </w:rPr>
              <w:t>8.6</w:t>
            </w:r>
          </w:p>
        </w:tc>
        <w:tc>
          <w:tcPr>
            <w:tcW w:w="411" w:type="pct"/>
            <w:vMerge/>
            <w:shd w:val="clear" w:color="auto" w:fill="auto"/>
            <w:vAlign w:val="center"/>
          </w:tcPr>
          <w:p w14:paraId="0B40F142"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557419A9" w14:textId="23CAF70D" w:rsidR="005F5B25" w:rsidRPr="005F5B25" w:rsidRDefault="005F5B25" w:rsidP="005F5B25">
            <w:pPr>
              <w:jc w:val="center"/>
              <w:rPr>
                <w:sz w:val="20"/>
                <w:szCs w:val="20"/>
                <w:highlight w:val="green"/>
              </w:rPr>
            </w:pPr>
            <w:r w:rsidRPr="005F5B25">
              <w:rPr>
                <w:sz w:val="20"/>
                <w:szCs w:val="20"/>
                <w:highlight w:val="green"/>
              </w:rPr>
              <w:t>13.83</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62095A6F" w14:textId="64C31B40"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BE0C3A">
              <w:rPr>
                <w:sz w:val="20"/>
                <w:szCs w:val="20"/>
                <w:highlight w:val="green"/>
              </w:rPr>
              <w:t>87.4</w:t>
            </w:r>
          </w:p>
        </w:tc>
      </w:tr>
      <w:tr w:rsidR="005F5B25" w:rsidRPr="00A34F10" w14:paraId="1074C98A" w14:textId="77777777" w:rsidTr="00592A10">
        <w:trPr>
          <w:cantSplit/>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tcPr>
          <w:p w14:paraId="465F6513" w14:textId="37A30C02" w:rsidR="005F5B25" w:rsidRPr="00A34F10" w:rsidRDefault="005F5B25" w:rsidP="005F5B25">
            <w:pPr>
              <w:jc w:val="center"/>
              <w:rPr>
                <w:sz w:val="20"/>
                <w:szCs w:val="20"/>
              </w:rPr>
            </w:pPr>
            <w:r w:rsidRPr="00DB71B3">
              <w:rPr>
                <w:sz w:val="20"/>
                <w:szCs w:val="20"/>
                <w:highlight w:val="green"/>
              </w:rPr>
              <w:t>BBCH ≥ 40</w:t>
            </w:r>
          </w:p>
        </w:tc>
        <w:tc>
          <w:tcPr>
            <w:tcW w:w="1844" w:type="pct"/>
            <w:tcBorders>
              <w:top w:val="single" w:sz="4" w:space="0" w:color="auto"/>
              <w:left w:val="nil"/>
              <w:bottom w:val="single" w:sz="4" w:space="0" w:color="auto"/>
              <w:right w:val="single" w:sz="4" w:space="0" w:color="auto"/>
            </w:tcBorders>
            <w:shd w:val="clear" w:color="auto" w:fill="auto"/>
            <w:vAlign w:val="center"/>
          </w:tcPr>
          <w:p w14:paraId="54B55607" w14:textId="05107203" w:rsidR="005F5B25" w:rsidRPr="00A34F10" w:rsidRDefault="005F5B25" w:rsidP="005F5B25">
            <w:pPr>
              <w:jc w:val="center"/>
              <w:rPr>
                <w:sz w:val="20"/>
                <w:szCs w:val="20"/>
                <w:lang w:val="en-GB"/>
              </w:rPr>
            </w:pPr>
            <w:r w:rsidRPr="00DB71B3">
              <w:rPr>
                <w:sz w:val="20"/>
                <w:szCs w:val="20"/>
                <w:highlight w:val="green"/>
                <w:lang w:val="en-GB"/>
              </w:rPr>
              <w:t>Small omnivorous mammal “mouse”</w:t>
            </w:r>
          </w:p>
        </w:tc>
        <w:tc>
          <w:tcPr>
            <w:tcW w:w="458" w:type="pct"/>
            <w:vMerge/>
            <w:shd w:val="clear" w:color="auto" w:fill="auto"/>
            <w:vAlign w:val="center"/>
          </w:tcPr>
          <w:p w14:paraId="4BB2395D" w14:textId="77777777" w:rsidR="005F5B25" w:rsidRPr="00A34F10" w:rsidRDefault="005F5B25" w:rsidP="005F5B25">
            <w:pPr>
              <w:jc w:val="center"/>
              <w:rPr>
                <w:sz w:val="20"/>
                <w:szCs w:val="20"/>
                <w:lang w:val="en-GB"/>
              </w:rPr>
            </w:pP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0F4F7111" w14:textId="1C47A95D" w:rsidR="005F5B25" w:rsidRPr="005F5B25" w:rsidRDefault="005F5B25" w:rsidP="005F5B25">
            <w:pPr>
              <w:jc w:val="center"/>
              <w:rPr>
                <w:sz w:val="20"/>
                <w:szCs w:val="20"/>
                <w:highlight w:val="green"/>
              </w:rPr>
            </w:pPr>
            <w:r w:rsidRPr="005F5B25">
              <w:rPr>
                <w:sz w:val="20"/>
                <w:szCs w:val="20"/>
                <w:highlight w:val="green"/>
              </w:rPr>
              <w:t>5.2</w:t>
            </w:r>
          </w:p>
        </w:tc>
        <w:tc>
          <w:tcPr>
            <w:tcW w:w="411" w:type="pct"/>
            <w:vMerge/>
            <w:shd w:val="clear" w:color="auto" w:fill="auto"/>
            <w:vAlign w:val="center"/>
          </w:tcPr>
          <w:p w14:paraId="75B14934" w14:textId="77777777" w:rsidR="005F5B25" w:rsidRPr="00A34F10" w:rsidRDefault="005F5B25" w:rsidP="005F5B25">
            <w:pPr>
              <w:jc w:val="center"/>
              <w:rPr>
                <w:sz w:val="20"/>
                <w:szCs w:val="20"/>
                <w:lang w:val="en-GB"/>
              </w:rPr>
            </w:pP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14:paraId="2D523A4A" w14:textId="4700E634" w:rsidR="005F5B25" w:rsidRPr="005F5B25" w:rsidRDefault="005F5B25" w:rsidP="005F5B25">
            <w:pPr>
              <w:jc w:val="center"/>
              <w:rPr>
                <w:sz w:val="20"/>
                <w:szCs w:val="20"/>
                <w:highlight w:val="green"/>
              </w:rPr>
            </w:pPr>
            <w:r w:rsidRPr="005F5B25">
              <w:rPr>
                <w:sz w:val="20"/>
                <w:szCs w:val="20"/>
                <w:highlight w:val="green"/>
              </w:rPr>
              <w:t>8.36</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46930006" w14:textId="16F0F1D4" w:rsidR="005F5B25" w:rsidRPr="004B4A1B" w:rsidRDefault="00660E58" w:rsidP="005F5B25">
            <w:pPr>
              <w:jc w:val="center"/>
              <w:rPr>
                <w:sz w:val="20"/>
                <w:szCs w:val="20"/>
                <w:highlight w:val="green"/>
              </w:rPr>
            </w:pPr>
            <w:r>
              <w:rPr>
                <w:sz w:val="20"/>
                <w:szCs w:val="20"/>
                <w:highlight w:val="green"/>
              </w:rPr>
              <w:t>&gt;</w:t>
            </w:r>
            <w:r w:rsidR="00E72A5B">
              <w:rPr>
                <w:sz w:val="20"/>
                <w:szCs w:val="20"/>
                <w:highlight w:val="green"/>
              </w:rPr>
              <w:t xml:space="preserve"> </w:t>
            </w:r>
            <w:r w:rsidR="005F5B25">
              <w:rPr>
                <w:sz w:val="20"/>
                <w:szCs w:val="20"/>
                <w:highlight w:val="green"/>
              </w:rPr>
              <w:t>1</w:t>
            </w:r>
            <w:r w:rsidR="00BE0C3A">
              <w:rPr>
                <w:sz w:val="20"/>
                <w:szCs w:val="20"/>
                <w:highlight w:val="green"/>
              </w:rPr>
              <w:t>44.5</w:t>
            </w:r>
          </w:p>
        </w:tc>
      </w:tr>
    </w:tbl>
    <w:p w14:paraId="15035458" w14:textId="77777777" w:rsidR="00DC5685" w:rsidRPr="00A34F10" w:rsidRDefault="00DC5685" w:rsidP="00DC5685">
      <w:pPr>
        <w:keepNext/>
        <w:keepLines/>
        <w:widowControl w:val="0"/>
        <w:tabs>
          <w:tab w:val="left" w:pos="0"/>
        </w:tabs>
        <w:rPr>
          <w:sz w:val="18"/>
          <w:szCs w:val="18"/>
          <w:lang w:val="en-GB"/>
        </w:rPr>
      </w:pPr>
      <w:r w:rsidRPr="00A34F10">
        <w:rPr>
          <w:sz w:val="18"/>
          <w:szCs w:val="18"/>
          <w:lang w:val="en-GB"/>
        </w:rPr>
        <w:lastRenderedPageBreak/>
        <w:t xml:space="preserve">SV: shortcut value; MAF: multiple application factor; TWA: time-weighted average factor; DDD: daily dietary dose; TER: toxicity to exposure ratio. </w:t>
      </w:r>
    </w:p>
    <w:p w14:paraId="3BC75FCD" w14:textId="77777777" w:rsidR="00DC5685" w:rsidRPr="00A34F10" w:rsidRDefault="00DC5685" w:rsidP="00DC5685">
      <w:pPr>
        <w:keepNext/>
        <w:keepLines/>
        <w:widowControl w:val="0"/>
        <w:ind w:left="284" w:hanging="284"/>
        <w:rPr>
          <w:sz w:val="18"/>
          <w:szCs w:val="18"/>
          <w:lang w:val="en-GB"/>
        </w:rPr>
      </w:pPr>
      <w:r w:rsidRPr="00A34F10">
        <w:rPr>
          <w:sz w:val="18"/>
          <w:vertAlign w:val="superscript"/>
        </w:rPr>
        <w:t>1)</w:t>
      </w:r>
      <w:r w:rsidRPr="00A34F10">
        <w:rPr>
          <w:sz w:val="18"/>
        </w:rPr>
        <w:tab/>
        <w:t>S</w:t>
      </w:r>
      <w:r w:rsidRPr="00A34F10">
        <w:rPr>
          <w:sz w:val="18"/>
          <w:szCs w:val="18"/>
        </w:rPr>
        <w:t>um of the application rates of the individual active substances</w:t>
      </w:r>
      <w:r w:rsidRPr="00A34F10">
        <w:rPr>
          <w:i/>
          <w:iCs/>
          <w:sz w:val="18"/>
          <w:szCs w:val="18"/>
        </w:rPr>
        <w:t>, i.e</w:t>
      </w:r>
      <w:r w:rsidRPr="00A34F10">
        <w:rPr>
          <w:sz w:val="18"/>
          <w:szCs w:val="18"/>
        </w:rPr>
        <w:t>. Ametoctradin (0.240 kg a.s./ha) and Propamocarb (</w:t>
      </w:r>
      <w:r w:rsidRPr="00A34F10">
        <w:rPr>
          <w:i/>
          <w:iCs/>
          <w:sz w:val="18"/>
          <w:szCs w:val="18"/>
        </w:rPr>
        <w:t>i.e</w:t>
      </w:r>
      <w:r w:rsidRPr="00A34F10">
        <w:rPr>
          <w:sz w:val="18"/>
          <w:szCs w:val="18"/>
        </w:rPr>
        <w:t>. 0.902 kg Propamocarb/ha)</w:t>
      </w:r>
    </w:p>
    <w:p w14:paraId="6AB31F46" w14:textId="77777777" w:rsidR="00DC5685" w:rsidRPr="00A34F10" w:rsidRDefault="00DC5685" w:rsidP="00DC5685">
      <w:pPr>
        <w:keepNext/>
        <w:keepLines/>
        <w:widowControl w:val="0"/>
        <w:ind w:left="284" w:hanging="284"/>
        <w:rPr>
          <w:sz w:val="18"/>
          <w:szCs w:val="18"/>
          <w:lang w:val="en-GB"/>
        </w:rPr>
      </w:pPr>
      <w:r w:rsidRPr="00A34F10">
        <w:rPr>
          <w:sz w:val="18"/>
          <w:vertAlign w:val="superscript"/>
        </w:rPr>
        <w:t>2)</w:t>
      </w:r>
      <w:r w:rsidRPr="00A34F10">
        <w:rPr>
          <w:sz w:val="18"/>
        </w:rPr>
        <w:tab/>
        <w:t>Measured LD</w:t>
      </w:r>
      <w:r w:rsidRPr="00A34F10">
        <w:rPr>
          <w:sz w:val="18"/>
          <w:vertAlign w:val="subscript"/>
        </w:rPr>
        <w:t>50</w:t>
      </w:r>
      <w:r w:rsidRPr="00A34F10">
        <w:rPr>
          <w:sz w:val="18"/>
        </w:rPr>
        <w:t xml:space="preserve"> (mix) corrected for density of the product and content of total active substance</w:t>
      </w:r>
    </w:p>
    <w:p w14:paraId="74C3BE88" w14:textId="3C0DBB38" w:rsidR="00DC5685" w:rsidRPr="00A34F10" w:rsidRDefault="00DC5685" w:rsidP="00DC5685">
      <w:pPr>
        <w:widowControl w:val="0"/>
        <w:suppressAutoHyphens/>
        <w:jc w:val="both"/>
        <w:rPr>
          <w:highlight w:val="yellow"/>
          <w:lang w:val="en-GB"/>
        </w:rPr>
      </w:pPr>
    </w:p>
    <w:p w14:paraId="2434B8C1" w14:textId="77777777" w:rsidR="00802A8C" w:rsidRDefault="00802A8C" w:rsidP="00746A24">
      <w:pPr>
        <w:widowControl w:val="0"/>
        <w:suppressAutoHyphens/>
        <w:jc w:val="both"/>
        <w:rPr>
          <w:lang w:val="en-GB"/>
        </w:rPr>
      </w:pPr>
    </w:p>
    <w:p w14:paraId="5BE8D147" w14:textId="74600F37" w:rsidR="00DC5685" w:rsidRPr="00A34F10" w:rsidRDefault="00DC5685" w:rsidP="00746A24">
      <w:pPr>
        <w:widowControl w:val="0"/>
        <w:suppressAutoHyphens/>
        <w:jc w:val="both"/>
        <w:rPr>
          <w:lang w:val="en-GB"/>
        </w:rPr>
      </w:pPr>
      <w:r w:rsidRPr="00A34F10">
        <w:rPr>
          <w:lang w:val="en-GB"/>
        </w:rPr>
        <w:t>The first-tier risk assessment demonstrates and acceptable acute risk for mammals exposed to BAS 743 03 F for all intended uses except for the following scenarios:</w:t>
      </w:r>
    </w:p>
    <w:p w14:paraId="42F9707E" w14:textId="77777777" w:rsidR="004B4A1B" w:rsidRPr="00A34F10" w:rsidRDefault="004B4A1B" w:rsidP="004B4A1B">
      <w:pPr>
        <w:pStyle w:val="Akapitzlist"/>
        <w:widowControl w:val="0"/>
        <w:numPr>
          <w:ilvl w:val="0"/>
          <w:numId w:val="20"/>
        </w:numPr>
        <w:suppressAutoHyphens/>
        <w:jc w:val="both"/>
        <w:rPr>
          <w:lang w:val="en-GB"/>
        </w:rPr>
      </w:pPr>
      <w:r w:rsidRPr="00A34F10">
        <w:rPr>
          <w:lang w:val="en-GB"/>
        </w:rPr>
        <w:t>Bulbs and onion like crops: BBCH ≥40, small herbivorous mammal “vole”</w:t>
      </w:r>
    </w:p>
    <w:p w14:paraId="0DB188D5" w14:textId="77777777" w:rsidR="00DC5685" w:rsidRPr="00A34F10" w:rsidRDefault="00DC5685" w:rsidP="00E05ECD">
      <w:pPr>
        <w:pStyle w:val="Akapitzlist"/>
        <w:widowControl w:val="0"/>
        <w:numPr>
          <w:ilvl w:val="0"/>
          <w:numId w:val="20"/>
        </w:numPr>
        <w:suppressAutoHyphens/>
        <w:jc w:val="both"/>
        <w:rPr>
          <w:lang w:val="en-GB"/>
        </w:rPr>
      </w:pPr>
      <w:r w:rsidRPr="00A34F10">
        <w:rPr>
          <w:lang w:val="en-GB"/>
        </w:rPr>
        <w:t>Fruiting vegetables: BBCH 10-49, small herbivorous mammal “vole”</w:t>
      </w:r>
    </w:p>
    <w:p w14:paraId="63919201" w14:textId="715111E3" w:rsidR="00DC5685" w:rsidRDefault="00DC5685" w:rsidP="00E05ECD">
      <w:pPr>
        <w:pStyle w:val="Akapitzlist"/>
        <w:widowControl w:val="0"/>
        <w:numPr>
          <w:ilvl w:val="0"/>
          <w:numId w:val="20"/>
        </w:numPr>
        <w:suppressAutoHyphens/>
        <w:jc w:val="both"/>
        <w:rPr>
          <w:lang w:val="en-GB"/>
        </w:rPr>
      </w:pPr>
      <w:r w:rsidRPr="00A34F10">
        <w:rPr>
          <w:lang w:val="en-GB"/>
        </w:rPr>
        <w:t xml:space="preserve">Ornamentals </w:t>
      </w:r>
      <w:r w:rsidRPr="00A34F10">
        <w:t xml:space="preserve">BBCH 40-49 </w:t>
      </w:r>
      <w:r w:rsidRPr="00A34F10">
        <w:rPr>
          <w:lang w:val="en-GB"/>
        </w:rPr>
        <w:t>small herbivorous mammal “vole”</w:t>
      </w:r>
    </w:p>
    <w:p w14:paraId="4E283530" w14:textId="037FEC50" w:rsidR="004B4A1B" w:rsidRPr="00BE0C3A" w:rsidRDefault="005F5B25" w:rsidP="00E05ECD">
      <w:pPr>
        <w:pStyle w:val="Akapitzlist"/>
        <w:widowControl w:val="0"/>
        <w:numPr>
          <w:ilvl w:val="0"/>
          <w:numId w:val="20"/>
        </w:numPr>
        <w:suppressAutoHyphens/>
        <w:jc w:val="both"/>
        <w:rPr>
          <w:highlight w:val="green"/>
          <w:lang w:val="en-GB"/>
        </w:rPr>
      </w:pPr>
      <w:r w:rsidRPr="00BE0C3A">
        <w:rPr>
          <w:highlight w:val="green"/>
          <w:lang w:val="en-GB"/>
        </w:rPr>
        <w:t>Orchards BBCH 10-19 small herbivorous mammal “vole”</w:t>
      </w:r>
    </w:p>
    <w:p w14:paraId="4EF8D007" w14:textId="77777777" w:rsidR="005F5B25" w:rsidRPr="00BE0C3A" w:rsidRDefault="005F5B25" w:rsidP="005F5B25">
      <w:pPr>
        <w:pStyle w:val="Akapitzlist"/>
        <w:widowControl w:val="0"/>
        <w:numPr>
          <w:ilvl w:val="0"/>
          <w:numId w:val="20"/>
        </w:numPr>
        <w:suppressAutoHyphens/>
        <w:jc w:val="both"/>
        <w:rPr>
          <w:highlight w:val="green"/>
          <w:lang w:val="en-GB"/>
        </w:rPr>
      </w:pPr>
      <w:r w:rsidRPr="00BE0C3A">
        <w:rPr>
          <w:highlight w:val="green"/>
          <w:lang w:val="en-GB"/>
        </w:rPr>
        <w:t>Orchards BBCH 20-40 small herbivorous mammal “vole”</w:t>
      </w:r>
    </w:p>
    <w:p w14:paraId="4810C7B0" w14:textId="6E6314E8" w:rsidR="005F5B25" w:rsidRPr="00BE0C3A" w:rsidRDefault="005F5B25" w:rsidP="00E05ECD">
      <w:pPr>
        <w:pStyle w:val="Akapitzlist"/>
        <w:widowControl w:val="0"/>
        <w:numPr>
          <w:ilvl w:val="0"/>
          <w:numId w:val="20"/>
        </w:numPr>
        <w:suppressAutoHyphens/>
        <w:jc w:val="both"/>
        <w:rPr>
          <w:highlight w:val="green"/>
          <w:lang w:val="en-GB"/>
        </w:rPr>
      </w:pPr>
      <w:r w:rsidRPr="00BE0C3A">
        <w:rPr>
          <w:highlight w:val="green"/>
          <w:lang w:val="en-GB"/>
        </w:rPr>
        <w:t>Bush and cane fruit BBCH 10-19 small herbivorous mammal “vole”</w:t>
      </w:r>
    </w:p>
    <w:p w14:paraId="2577D757" w14:textId="77777777" w:rsidR="00802A8C" w:rsidRDefault="00802A8C">
      <w:pPr>
        <w:rPr>
          <w:lang w:val="en-GB"/>
        </w:rPr>
      </w:pPr>
    </w:p>
    <w:p w14:paraId="3FCB158F" w14:textId="77777777" w:rsidR="00DC5685" w:rsidRPr="00A34F10" w:rsidRDefault="00DC5685" w:rsidP="00DC5685">
      <w:pPr>
        <w:pStyle w:val="Akapitzlist"/>
        <w:widowControl w:val="0"/>
        <w:suppressAutoHyphens/>
        <w:ind w:left="720"/>
        <w:jc w:val="both"/>
        <w:rPr>
          <w:lang w:val="en-GB"/>
        </w:rPr>
      </w:pPr>
    </w:p>
    <w:p w14:paraId="748694A8" w14:textId="62915C34" w:rsidR="00EE3ACD" w:rsidRDefault="00DC5685" w:rsidP="00DC5685">
      <w:pPr>
        <w:widowControl w:val="0"/>
        <w:suppressAutoHyphens/>
        <w:jc w:val="both"/>
        <w:rPr>
          <w:lang w:val="en-GB"/>
        </w:rPr>
      </w:pPr>
      <w:r w:rsidRPr="00A34F10">
        <w:rPr>
          <w:lang w:val="en-GB"/>
        </w:rPr>
        <w:t>However, it needs to be considered that the risk assessment for the formulation BAS 743 03 F is conducted based on the measured toxicity endpoint of LD</w:t>
      </w:r>
      <w:r w:rsidRPr="00A34F10">
        <w:rPr>
          <w:vertAlign w:val="subscript"/>
          <w:lang w:val="en-GB"/>
        </w:rPr>
        <w:t>50</w:t>
      </w:r>
      <w:r w:rsidRPr="00A34F10">
        <w:rPr>
          <w:lang w:val="en-GB"/>
        </w:rPr>
        <w:t xml:space="preserve"> &gt; 2000 mg product/kg bw/d corrected for the total amount of active substance and the product density resulting in a LD</w:t>
      </w:r>
      <w:r w:rsidRPr="00A34F10">
        <w:rPr>
          <w:vertAlign w:val="subscript"/>
          <w:lang w:val="en-GB"/>
        </w:rPr>
        <w:t>50</w:t>
      </w:r>
      <w:r w:rsidRPr="00A34F10">
        <w:rPr>
          <w:lang w:val="en-GB"/>
        </w:rPr>
        <w:t xml:space="preserve"> </w:t>
      </w:r>
      <w:r w:rsidR="00BE0C3A" w:rsidRPr="00A34F10">
        <w:rPr>
          <w:lang w:val="en-GB"/>
        </w:rPr>
        <w:t xml:space="preserve">&gt; 1208.3 </w:t>
      </w:r>
      <w:r w:rsidRPr="00A34F10">
        <w:rPr>
          <w:lang w:val="en-GB"/>
        </w:rPr>
        <w:t>mg total a.s./kg bw/d. Since this endpoint is higher than the highest dose tested and no effects (</w:t>
      </w:r>
      <w:r w:rsidRPr="00A34F10">
        <w:rPr>
          <w:i/>
          <w:iCs/>
          <w:lang w:val="en-GB"/>
        </w:rPr>
        <w:t>i.e.,</w:t>
      </w:r>
      <w:r w:rsidRPr="00A34F10">
        <w:rPr>
          <w:lang w:val="en-GB"/>
        </w:rPr>
        <w:t xml:space="preserve"> no mortality, no effects on weight gained and no macroscopic pathological findings in any animal sacrificed at the end of the observation period) were observed, it can be concluded that the formulation BAS 74303 F is non-toxic by oral route in rats. In addition, both active substances, Ametoctradin and Propamocarb-HCl, show low toxicity to rats </w:t>
      </w:r>
      <w:r w:rsidRPr="00546E6C">
        <w:rPr>
          <w:strike/>
          <w:color w:val="D9D9D9" w:themeColor="background1" w:themeShade="D9"/>
          <w:lang w:val="en-GB"/>
        </w:rPr>
        <w:t>with both LD</w:t>
      </w:r>
      <w:r w:rsidRPr="00546E6C">
        <w:rPr>
          <w:strike/>
          <w:color w:val="D9D9D9" w:themeColor="background1" w:themeShade="D9"/>
          <w:vertAlign w:val="subscript"/>
          <w:lang w:val="en-GB"/>
        </w:rPr>
        <w:t>50</w:t>
      </w:r>
      <w:r w:rsidRPr="00546E6C">
        <w:rPr>
          <w:strike/>
          <w:color w:val="D9D9D9" w:themeColor="background1" w:themeShade="D9"/>
          <w:lang w:val="en-GB"/>
        </w:rPr>
        <w:t xml:space="preserve"> = 2000 mg/kg bw/d.</w:t>
      </w:r>
      <w:r w:rsidRPr="00A34F10">
        <w:rPr>
          <w:lang w:val="en-GB"/>
        </w:rPr>
        <w:t xml:space="preserve"> Therefore, an acceptable acute risk to mammals exposed to BAS 743 03 F is demonstrated without the need for a higher tier risk assessment. </w:t>
      </w:r>
      <w:r w:rsidRPr="00B44D4E">
        <w:rPr>
          <w:strike/>
          <w:color w:val="D9D9D9" w:themeColor="background1" w:themeShade="D9"/>
          <w:lang w:val="en-GB"/>
        </w:rPr>
        <w:t>However, as a conservative approach, an acute higher tier risk assessment is presented below based on refined deposition factors.</w:t>
      </w:r>
    </w:p>
    <w:p w14:paraId="6A01F846" w14:textId="77777777" w:rsidR="00DC5685" w:rsidRPr="00A34F10" w:rsidRDefault="00DC5685" w:rsidP="00DC5685">
      <w:pPr>
        <w:pStyle w:val="Nagwek4"/>
        <w:suppressAutoHyphens/>
        <w:rPr>
          <w:noProof w:val="0"/>
          <w:lang w:val="en-GB"/>
        </w:rPr>
      </w:pPr>
      <w:bookmarkStart w:id="370" w:name="_Toc181624961"/>
      <w:r w:rsidRPr="00A34F10">
        <w:rPr>
          <w:noProof w:val="0"/>
          <w:lang w:val="en-GB"/>
        </w:rPr>
        <w:t>Higher-tier risk assessment</w:t>
      </w:r>
      <w:bookmarkEnd w:id="354"/>
      <w:bookmarkEnd w:id="355"/>
      <w:bookmarkEnd w:id="356"/>
      <w:bookmarkEnd w:id="357"/>
      <w:bookmarkEnd w:id="358"/>
      <w:bookmarkEnd w:id="359"/>
      <w:bookmarkEnd w:id="360"/>
      <w:bookmarkEnd w:id="361"/>
      <w:bookmarkEnd w:id="362"/>
      <w:bookmarkEnd w:id="370"/>
    </w:p>
    <w:p w14:paraId="689E9063" w14:textId="7C903111" w:rsidR="00DC5685" w:rsidRPr="00A34F10" w:rsidRDefault="00DC5685" w:rsidP="00DC5685">
      <w:pPr>
        <w:pStyle w:val="RepStandard"/>
        <w:suppressAutoHyphens/>
      </w:pPr>
      <w:bookmarkStart w:id="371" w:name="_Hlk133255786"/>
      <w:bookmarkStart w:id="372" w:name="_Toc412643988"/>
      <w:bookmarkStart w:id="373" w:name="_Toc413916834"/>
      <w:bookmarkStart w:id="374" w:name="_Toc413916976"/>
      <w:bookmarkStart w:id="375" w:name="_Toc413922037"/>
      <w:bookmarkStart w:id="376" w:name="_Toc413922526"/>
      <w:bookmarkStart w:id="377" w:name="_Toc413922630"/>
      <w:bookmarkStart w:id="378" w:name="_Toc414955267"/>
      <w:bookmarkStart w:id="379" w:name="_Toc415214574"/>
      <w:bookmarkStart w:id="380" w:name="_Toc425512595"/>
      <w:r w:rsidRPr="00A34F10">
        <w:t xml:space="preserve">According to the above first-tier risk assessment, a long-term higher-tier risk assessments is required for Propamocarb-HCl for small herbivorous mammals (vole) in potatoes at 3 x 0.902 kg a.s./ha, BBCH ≥40, BBCH 40 – 49, fruiting vegetables, BBCH 10-49, ornamentals BBCH 40-49 </w:t>
      </w:r>
      <w:r w:rsidRPr="00E72A5B">
        <w:t>and BBCH &gt;50</w:t>
      </w:r>
      <w:r w:rsidRPr="00A34F10">
        <w:t>, bulbs and onion like crops at 2 x 0.902 kg a.s./ha, BBCH ≥40</w:t>
      </w:r>
      <w:r w:rsidR="00415360">
        <w:t xml:space="preserve">, </w:t>
      </w:r>
      <w:r w:rsidR="00415360" w:rsidRPr="00415360">
        <w:rPr>
          <w:highlight w:val="green"/>
        </w:rPr>
        <w:t>orchards at 2 x 0.902 kg a.s./ha, BBCH 10-19 and BBCH 20-40 as well as in bush and cane fruit at 2 x 0.902 kg a.s./ha, BBCH 10-19</w:t>
      </w:r>
      <w:r w:rsidRPr="00415360">
        <w:rPr>
          <w:highlight w:val="green"/>
        </w:rPr>
        <w:t>.</w:t>
      </w:r>
    </w:p>
    <w:p w14:paraId="26160294" w14:textId="77777777" w:rsidR="00DC5685" w:rsidRPr="00A34F10" w:rsidRDefault="00DC5685" w:rsidP="00DC5685">
      <w:pPr>
        <w:pStyle w:val="RepStandard"/>
        <w:suppressAutoHyphens/>
      </w:pPr>
    </w:p>
    <w:p w14:paraId="356DAEB9" w14:textId="77777777" w:rsidR="00DC5685" w:rsidRPr="00A34F10" w:rsidRDefault="00DC5685" w:rsidP="00DC5685">
      <w:pPr>
        <w:keepNext/>
        <w:keepLines/>
        <w:rPr>
          <w:rFonts w:eastAsia="MS Mincho"/>
          <w:b/>
          <w:u w:val="single"/>
          <w:lang w:val="en-GB"/>
        </w:rPr>
      </w:pPr>
      <w:r w:rsidRPr="00A34F10">
        <w:rPr>
          <w:rFonts w:eastAsia="MS Mincho"/>
          <w:b/>
          <w:u w:val="single"/>
          <w:lang w:val="en-GB"/>
        </w:rPr>
        <w:t>Small herbivorous mammal “vole”</w:t>
      </w:r>
    </w:p>
    <w:p w14:paraId="4BD4C992" w14:textId="77777777" w:rsidR="00DC5685" w:rsidRPr="00A34F10" w:rsidRDefault="00DC5685" w:rsidP="00DC5685">
      <w:pPr>
        <w:keepNext/>
        <w:keepLines/>
        <w:rPr>
          <w:rFonts w:eastAsia="MS Mincho"/>
          <w:b/>
          <w:u w:val="single"/>
          <w:lang w:val="en-GB"/>
        </w:rPr>
      </w:pPr>
    </w:p>
    <w:p w14:paraId="3D45C220" w14:textId="77777777" w:rsidR="00DC5685" w:rsidRPr="00A34F10" w:rsidRDefault="00DC5685" w:rsidP="00DC5685">
      <w:pPr>
        <w:keepNext/>
        <w:jc w:val="both"/>
        <w:rPr>
          <w:rFonts w:eastAsia="MS Mincho"/>
          <w:b/>
          <w:i/>
          <w:lang w:val="en-GB"/>
        </w:rPr>
      </w:pPr>
      <w:bookmarkStart w:id="381" w:name="_Hlk133261683"/>
      <w:r w:rsidRPr="00A34F10">
        <w:rPr>
          <w:rFonts w:eastAsia="MS Mincho"/>
          <w:b/>
          <w:i/>
          <w:lang w:val="en-GB"/>
        </w:rPr>
        <w:t>Focal species</w:t>
      </w:r>
    </w:p>
    <w:bookmarkEnd w:id="371"/>
    <w:p w14:paraId="38352888" w14:textId="77777777" w:rsidR="00DC5685" w:rsidRPr="00A34F10" w:rsidRDefault="00DC5685" w:rsidP="00DC5685">
      <w:pPr>
        <w:jc w:val="both"/>
        <w:rPr>
          <w:rFonts w:eastAsia="MS Mincho"/>
          <w:lang w:val="en-GB"/>
        </w:rPr>
      </w:pPr>
      <w:r w:rsidRPr="00A34F10">
        <w:rPr>
          <w:rFonts w:eastAsia="MS Mincho"/>
          <w:lang w:val="en-GB"/>
        </w:rPr>
        <w:t xml:space="preserve">Although </w:t>
      </w:r>
      <w:bookmarkStart w:id="382" w:name="_Hlk132315022"/>
      <w:r w:rsidRPr="00A34F10">
        <w:rPr>
          <w:rFonts w:eastAsia="MS Mincho"/>
          <w:lang w:val="en-GB"/>
        </w:rPr>
        <w:t>small herbivorous mammals</w:t>
      </w:r>
      <w:bookmarkEnd w:id="382"/>
      <w:r w:rsidRPr="00A34F10">
        <w:rPr>
          <w:rFonts w:eastAsia="MS Mincho"/>
          <w:lang w:val="en-GB"/>
        </w:rPr>
        <w:t>, represented by the “vole”, are listed as a potentially relevant generic focal species in EFSA/2009/1438, it is widely acknowledged that voles are not relevant (</w:t>
      </w:r>
      <w:r w:rsidRPr="00A34F10">
        <w:rPr>
          <w:rFonts w:eastAsia="MS Mincho"/>
          <w:i/>
          <w:iCs/>
          <w:lang w:val="en-GB"/>
        </w:rPr>
        <w:t>i.e</w:t>
      </w:r>
      <w:r w:rsidRPr="00A34F10">
        <w:rPr>
          <w:rFonts w:eastAsia="MS Mincho"/>
          <w:lang w:val="en-GB"/>
        </w:rPr>
        <w:t>. no actual ´focal species´) for field crops for the following reasons:</w:t>
      </w:r>
    </w:p>
    <w:p w14:paraId="6A60BA40" w14:textId="77777777" w:rsidR="00DC5685" w:rsidRPr="00A34F10" w:rsidRDefault="00DC5685" w:rsidP="00DC5685">
      <w:pPr>
        <w:jc w:val="both"/>
        <w:rPr>
          <w:rFonts w:eastAsia="MS Mincho"/>
          <w:lang w:val="en-GB"/>
        </w:rPr>
      </w:pPr>
    </w:p>
    <w:p w14:paraId="1BD62915" w14:textId="77777777" w:rsidR="00DC5685" w:rsidRPr="00A34F10" w:rsidRDefault="00DC5685" w:rsidP="00DC5685">
      <w:pPr>
        <w:jc w:val="both"/>
        <w:rPr>
          <w:rFonts w:eastAsia="MS Mincho"/>
          <w:lang w:val="en-GB"/>
        </w:rPr>
      </w:pPr>
      <w:r w:rsidRPr="00A34F10">
        <w:rPr>
          <w:rFonts w:eastAsia="MS Mincho"/>
          <w:lang w:val="en-GB"/>
        </w:rPr>
        <w:t>•</w:t>
      </w:r>
      <w:r w:rsidRPr="00A34F10">
        <w:rPr>
          <w:rFonts w:eastAsia="MS Mincho"/>
          <w:lang w:val="en-GB"/>
        </w:rPr>
        <w:tab/>
        <w:t xml:space="preserve">High fecundity and population recuperation </w:t>
      </w:r>
    </w:p>
    <w:p w14:paraId="01F2B977" w14:textId="77777777" w:rsidR="00DC5685" w:rsidRPr="00A34F10" w:rsidRDefault="00DC5685" w:rsidP="00DC5685">
      <w:pPr>
        <w:jc w:val="both"/>
        <w:rPr>
          <w:rFonts w:eastAsia="MS Mincho"/>
          <w:lang w:val="en-GB"/>
        </w:rPr>
      </w:pPr>
      <w:r w:rsidRPr="00A34F10">
        <w:rPr>
          <w:rFonts w:eastAsia="MS Mincho"/>
          <w:lang w:val="en-GB"/>
        </w:rPr>
        <w:t>•</w:t>
      </w:r>
      <w:r w:rsidRPr="00A34F10">
        <w:rPr>
          <w:rFonts w:eastAsia="MS Mincho"/>
          <w:lang w:val="en-GB"/>
        </w:rPr>
        <w:tab/>
        <w:t xml:space="preserve">Forage for their primary source of food outside crop fields </w:t>
      </w:r>
    </w:p>
    <w:p w14:paraId="57C1AB7F" w14:textId="77777777" w:rsidR="00DC5685" w:rsidRPr="00A34F10" w:rsidRDefault="00DC5685" w:rsidP="00E05ECD">
      <w:pPr>
        <w:pStyle w:val="Akapitzlist"/>
        <w:numPr>
          <w:ilvl w:val="0"/>
          <w:numId w:val="18"/>
        </w:numPr>
        <w:jc w:val="both"/>
        <w:rPr>
          <w:rFonts w:eastAsia="MS Mincho"/>
          <w:lang w:val="en-GB"/>
        </w:rPr>
      </w:pPr>
      <w:r w:rsidRPr="00A34F10">
        <w:rPr>
          <w:rFonts w:eastAsia="MS Mincho"/>
          <w:lang w:val="en-GB"/>
        </w:rPr>
        <w:t xml:space="preserve">Necessity of population control measures since the vole is considered a crop pest when high population levels are reached </w:t>
      </w:r>
    </w:p>
    <w:p w14:paraId="3BDD19DB" w14:textId="77777777" w:rsidR="00DC5685" w:rsidRPr="00A34F10" w:rsidRDefault="00DC5685" w:rsidP="00DC5685">
      <w:pPr>
        <w:jc w:val="both"/>
        <w:rPr>
          <w:rFonts w:eastAsia="MS Mincho"/>
          <w:lang w:val="en-GB"/>
        </w:rPr>
      </w:pPr>
    </w:p>
    <w:p w14:paraId="2C35B48F" w14:textId="77777777" w:rsidR="00DC5685" w:rsidRPr="00A34F10" w:rsidRDefault="00DC5685" w:rsidP="00DC5685">
      <w:pPr>
        <w:jc w:val="both"/>
        <w:rPr>
          <w:rFonts w:eastAsia="MS Mincho"/>
          <w:lang w:val="en-GB"/>
        </w:rPr>
      </w:pPr>
      <w:r w:rsidRPr="00A34F10">
        <w:rPr>
          <w:rFonts w:eastAsia="MS Mincho"/>
          <w:lang w:val="en-GB"/>
        </w:rPr>
        <w:t>Accordingly, the risk to small mammals is considered to be covered by small omnivorous mammals (“wood mouse”), for which an acceptable risk was demonstrated with a large margin of safety in the first-tier risk assessment.</w:t>
      </w:r>
    </w:p>
    <w:p w14:paraId="235CAF29" w14:textId="77777777" w:rsidR="00DC5685" w:rsidRPr="00A34F10" w:rsidRDefault="00DC5685" w:rsidP="00DC5685">
      <w:pPr>
        <w:jc w:val="both"/>
        <w:rPr>
          <w:rFonts w:eastAsia="MS Mincho"/>
          <w:lang w:val="en-GB"/>
        </w:rPr>
      </w:pPr>
    </w:p>
    <w:p w14:paraId="15895570" w14:textId="77777777" w:rsidR="00802A8C" w:rsidRDefault="00DC5685" w:rsidP="009B71DE">
      <w:pPr>
        <w:jc w:val="both"/>
        <w:rPr>
          <w:rFonts w:eastAsia="MS Mincho"/>
          <w:lang w:val="en-GB"/>
        </w:rPr>
      </w:pPr>
      <w:bookmarkStart w:id="383" w:name="_Hlk135073890"/>
      <w:r w:rsidRPr="00A34F10">
        <w:rPr>
          <w:rFonts w:eastAsia="MS Mincho"/>
          <w:lang w:val="en-GB"/>
        </w:rPr>
        <w:t xml:space="preserve">In addition, the common vole as a realistic representative of the small herbivorous feeding guild, while occurring in agricultural field is confined to habitats with significant crop coverage. The optimum or prime habitat includes undisturbed grassland with a short vegetation cover consisting of a wide variety of </w:t>
      </w:r>
      <w:r w:rsidRPr="00A34F10">
        <w:rPr>
          <w:rFonts w:eastAsia="MS Mincho"/>
          <w:lang w:val="en-GB"/>
        </w:rPr>
        <w:lastRenderedPageBreak/>
        <w:t xml:space="preserve">dicotyledonous and monocotyledonous plant species (Meunier et al. 1994). However, in the cropping of potatoes, onions, ornamentals and fruiting vegetables, weed control is an important component of production. This will significantly limit the presence of grasses in the field. Thus, it can be assumed that the relevant source populations of voles predominantly inhabit off-crop habitats such as meadows or grassy areas which represented relevant foraging areas and habitats for these small mammals. Two focal species studies are available in the </w:t>
      </w:r>
      <w:bookmarkStart w:id="384" w:name="_Hlk135002900"/>
      <w:r w:rsidRPr="00A34F10">
        <w:rPr>
          <w:rFonts w:eastAsia="MS Mincho"/>
          <w:lang w:val="en-GB"/>
        </w:rPr>
        <w:t>RAR for Propamocarb (2017</w:t>
      </w:r>
      <w:bookmarkEnd w:id="384"/>
      <w:r w:rsidRPr="00A34F10">
        <w:rPr>
          <w:rFonts w:eastAsia="MS Mincho"/>
          <w:lang w:val="en-GB"/>
        </w:rPr>
        <w:t>). One study was conducted to study the attractiveness of arable fields cropped with leafy vegetables (RAR Propamocarb, Vol. 3 – CP B9, June 2017). The study was performed in spring and early summer in major cabbage growing areas in Germany and The Netherlands and it was confirmed that vegetable fields do not constitute a primary habitat for voles since voles were trapped early and more frequently in the surroundings than in cropped fields. The second field study performed on cereals (RAR Propamocarb, Vol. 3 – CP B9, June 2017) confirmed that these annual crops do not constitute primary habitats but may be secondary habitats for the Common vole. This and the low recapture rates determined for cereal fields indicate that voles immigrating into arable fields are not able to establish stable populations. Indeed, the regular harvesting of annual crops necessarily limits this phenomenon, voles looking for food and stable habitat.</w:t>
      </w:r>
    </w:p>
    <w:p w14:paraId="0FAB9011" w14:textId="77777777" w:rsidR="00802A8C" w:rsidRDefault="00802A8C" w:rsidP="009B71DE">
      <w:pPr>
        <w:jc w:val="both"/>
        <w:rPr>
          <w:rFonts w:eastAsia="MS Mincho"/>
          <w:lang w:val="en-GB"/>
        </w:rPr>
      </w:pPr>
    </w:p>
    <w:bookmarkEnd w:id="383"/>
    <w:p w14:paraId="111A7FAC" w14:textId="77777777" w:rsidR="00DC5685" w:rsidRPr="00A34F10" w:rsidRDefault="00DC5685" w:rsidP="00DC5685">
      <w:pPr>
        <w:jc w:val="both"/>
        <w:rPr>
          <w:rFonts w:eastAsia="MS Mincho"/>
          <w:lang w:val="en-GB"/>
        </w:rPr>
      </w:pPr>
      <w:r w:rsidRPr="00A34F10">
        <w:rPr>
          <w:rFonts w:eastAsia="MS Mincho"/>
          <w:lang w:val="en-GB"/>
        </w:rPr>
        <w:t>However, as a conservative approach a refined risk assessment for small herbivorous mammals (represented by the vole) is presented below considering refined exposure and a refined portion of diet (PD).</w:t>
      </w:r>
      <w:bookmarkEnd w:id="381"/>
      <w:r w:rsidRPr="00A34F10">
        <w:rPr>
          <w:rFonts w:eastAsia="MS Mincho"/>
          <w:lang w:val="en-GB"/>
        </w:rPr>
        <w:t xml:space="preserve"> </w:t>
      </w:r>
    </w:p>
    <w:p w14:paraId="6001CDEE" w14:textId="77777777" w:rsidR="002F6515" w:rsidRDefault="002F6515" w:rsidP="00DC5685">
      <w:pPr>
        <w:spacing w:before="120" w:after="120"/>
        <w:jc w:val="both"/>
        <w:rPr>
          <w:rFonts w:eastAsia="MS Mincho"/>
          <w:b/>
          <w:bCs/>
          <w:color w:val="4472C4" w:themeColor="accent1"/>
          <w:lang w:val="en-GB"/>
        </w:rPr>
      </w:pPr>
    </w:p>
    <w:p w14:paraId="6F9519CD" w14:textId="0CC0EAF1" w:rsidR="00DC5685" w:rsidRPr="00324D1D" w:rsidRDefault="00DC5685" w:rsidP="00DC5685">
      <w:pPr>
        <w:spacing w:before="120" w:after="120"/>
        <w:jc w:val="both"/>
        <w:rPr>
          <w:rFonts w:eastAsia="MS Mincho"/>
          <w:b/>
          <w:bCs/>
          <w:lang w:val="en-GB"/>
        </w:rPr>
      </w:pPr>
      <w:r w:rsidRPr="00324D1D">
        <w:rPr>
          <w:rFonts w:eastAsia="MS Mincho"/>
          <w:b/>
          <w:bCs/>
          <w:lang w:val="en-GB"/>
        </w:rPr>
        <w:t>Refinement: Deposition factor</w:t>
      </w:r>
    </w:p>
    <w:p w14:paraId="460BB5EC" w14:textId="42B75EB3" w:rsidR="00DC5685" w:rsidRPr="00324D1D" w:rsidRDefault="00DC5685" w:rsidP="00DC5685">
      <w:pPr>
        <w:jc w:val="both"/>
        <w:rPr>
          <w:rFonts w:eastAsia="MS Mincho"/>
          <w:lang w:val="en-GB"/>
        </w:rPr>
      </w:pPr>
      <w:r w:rsidRPr="00324D1D">
        <w:rPr>
          <w:rFonts w:eastAsia="MS Mincho"/>
          <w:lang w:val="en-GB"/>
        </w:rPr>
        <w:t xml:space="preserve">According to Appendix A of the EFSA Guidance Document on Risk Assessment for Birds and Mammals (2009) it is assumed that small herbivorous mammals (vole) are feeding on 100% grass in treated fields. It is not assumed that voles will feed on the treated crops (potatoes, </w:t>
      </w:r>
      <w:r w:rsidR="008C50A8" w:rsidRPr="00324D1D">
        <w:rPr>
          <w:rFonts w:eastAsia="MS Mincho"/>
          <w:lang w:val="en-GB"/>
        </w:rPr>
        <w:t>fruiting</w:t>
      </w:r>
      <w:r w:rsidRPr="00324D1D">
        <w:rPr>
          <w:rFonts w:eastAsia="MS Mincho"/>
          <w:lang w:val="en-GB"/>
        </w:rPr>
        <w:t xml:space="preserve"> vegetables</w:t>
      </w:r>
      <w:r w:rsidR="008C50A8" w:rsidRPr="00324D1D">
        <w:rPr>
          <w:rFonts w:eastAsia="MS Mincho"/>
          <w:lang w:val="en-GB"/>
        </w:rPr>
        <w:t>, ornamentals</w:t>
      </w:r>
      <w:r w:rsidRPr="00324D1D">
        <w:rPr>
          <w:rFonts w:eastAsia="MS Mincho"/>
          <w:lang w:val="en-GB"/>
        </w:rPr>
        <w:t xml:space="preserve"> and onions), but on any weeds present below the treated plants. Since the food item is at ground level, it is possible to refine the default deposition factor of 1. Within Appendix E of the EFSA Guidance on Bird and Mammal Risk Assessment on ‘Impact of crop interception on residues on plant food items’, in referring to deposition estimates for Tier I, states that ‘The deposition factors provided for the different crops and growth stages are likely to reflect conservative estimates. In the context of a higher-tier assessment, the more detailed values of FOCUS Ground Water Guidance Assessment (Version 2.2; May 2014) may therefore also be used’. Therefore, this risk assessment will be refined</w:t>
      </w:r>
      <w:r w:rsidR="00242947" w:rsidRPr="00324D1D">
        <w:rPr>
          <w:rFonts w:eastAsia="MS Mincho"/>
          <w:lang w:val="en-GB"/>
        </w:rPr>
        <w:t xml:space="preserve"> </w:t>
      </w:r>
      <w:r w:rsidR="00242947" w:rsidRPr="00324D1D">
        <w:rPr>
          <w:rFonts w:eastAsia="MS Mincho"/>
          <w:highlight w:val="green"/>
          <w:lang w:val="en-GB"/>
        </w:rPr>
        <w:t>as applicable</w:t>
      </w:r>
      <w:r w:rsidRPr="00324D1D">
        <w:rPr>
          <w:rFonts w:eastAsia="MS Mincho"/>
          <w:lang w:val="en-GB"/>
        </w:rPr>
        <w:t xml:space="preserve"> using FOCUS Groundwater guidance interception values (EFSA 2014). At BBCH ≥40, the leaf cover in the treated crop is estimated to intercept approximately 70% of residues for leafy vegetables (which can also be used as a surrogate for ornamentals), 40% of residues for onions</w:t>
      </w:r>
      <w:r w:rsidR="00242947" w:rsidRPr="00324D1D">
        <w:rPr>
          <w:rFonts w:eastAsia="MS Mincho"/>
          <w:lang w:val="en-GB"/>
        </w:rPr>
        <w:t xml:space="preserve"> </w:t>
      </w:r>
      <w:r w:rsidR="00242947" w:rsidRPr="00324D1D">
        <w:rPr>
          <w:rFonts w:eastAsia="MS Mincho"/>
          <w:highlight w:val="green"/>
          <w:lang w:val="en-GB"/>
        </w:rPr>
        <w:t>(in line with Tier 1 assumptions)</w:t>
      </w:r>
      <w:r w:rsidRPr="00324D1D">
        <w:rPr>
          <w:rFonts w:eastAsia="MS Mincho"/>
          <w:lang w:val="en-GB"/>
        </w:rPr>
        <w:t xml:space="preserve">, </w:t>
      </w:r>
      <w:r w:rsidR="00242947" w:rsidRPr="00324D1D">
        <w:rPr>
          <w:rFonts w:eastAsia="MS Mincho"/>
          <w:highlight w:val="green"/>
          <w:lang w:val="en-GB"/>
        </w:rPr>
        <w:t>8</w:t>
      </w:r>
      <w:r w:rsidRPr="00324D1D">
        <w:rPr>
          <w:rFonts w:eastAsia="MS Mincho"/>
          <w:lang w:val="en-GB"/>
        </w:rPr>
        <w:t xml:space="preserve">0% of residues for fruiting vegetables and 85% of residues for potatoes. Thus, the deposition factor (DF) </w:t>
      </w:r>
      <w:r w:rsidR="00242947" w:rsidRPr="00324D1D">
        <w:rPr>
          <w:rFonts w:eastAsia="MS Mincho"/>
          <w:highlight w:val="green"/>
          <w:lang w:val="en-GB"/>
        </w:rPr>
        <w:t>for use</w:t>
      </w:r>
      <w:r w:rsidRPr="00324D1D">
        <w:rPr>
          <w:rFonts w:eastAsia="MS Mincho"/>
          <w:highlight w:val="green"/>
          <w:lang w:val="en-GB"/>
        </w:rPr>
        <w:t xml:space="preserve"> in</w:t>
      </w:r>
      <w:r w:rsidRPr="00324D1D">
        <w:rPr>
          <w:rFonts w:eastAsia="MS Mincho"/>
          <w:lang w:val="en-GB"/>
        </w:rPr>
        <w:t xml:space="preserve"> the higher tier assessment calculation </w:t>
      </w:r>
      <w:r w:rsidR="00324D1D" w:rsidRPr="00324D1D">
        <w:rPr>
          <w:rFonts w:eastAsia="MS Mincho"/>
          <w:highlight w:val="green"/>
          <w:lang w:val="en-GB"/>
        </w:rPr>
        <w:t>is</w:t>
      </w:r>
      <w:r w:rsidRPr="00324D1D">
        <w:rPr>
          <w:rFonts w:eastAsia="MS Mincho"/>
          <w:lang w:val="en-GB"/>
        </w:rPr>
        <w:t xml:space="preserve"> 0.30, 0.60, </w:t>
      </w:r>
      <w:r w:rsidRPr="00324D1D">
        <w:rPr>
          <w:rFonts w:eastAsia="MS Mincho"/>
          <w:highlight w:val="green"/>
          <w:lang w:val="en-GB"/>
        </w:rPr>
        <w:t>0.</w:t>
      </w:r>
      <w:r w:rsidR="00324D1D" w:rsidRPr="00324D1D">
        <w:rPr>
          <w:rFonts w:eastAsia="MS Mincho"/>
          <w:highlight w:val="green"/>
          <w:lang w:val="en-GB"/>
        </w:rPr>
        <w:t>2</w:t>
      </w:r>
      <w:r w:rsidRPr="00324D1D">
        <w:rPr>
          <w:rFonts w:eastAsia="MS Mincho"/>
          <w:lang w:val="en-GB"/>
        </w:rPr>
        <w:t xml:space="preserve"> and 0.15 for ornamentals, onions, fruiting vegetables and potatoes, respectively </w:t>
      </w:r>
      <w:r w:rsidR="00324D1D" w:rsidRPr="00324D1D">
        <w:rPr>
          <w:rFonts w:eastAsia="MS Mincho"/>
          <w:highlight w:val="green"/>
          <w:lang w:val="en-GB"/>
        </w:rPr>
        <w:t>at BBCH ≥ 40</w:t>
      </w:r>
      <w:r w:rsidR="00324D1D" w:rsidRPr="00324D1D">
        <w:rPr>
          <w:rFonts w:eastAsia="MS Mincho"/>
          <w:lang w:val="en-GB"/>
        </w:rPr>
        <w:t xml:space="preserve"> </w:t>
      </w:r>
      <w:r w:rsidRPr="00324D1D">
        <w:rPr>
          <w:rFonts w:eastAsia="MS Mincho"/>
          <w:lang w:val="en-GB"/>
        </w:rPr>
        <w:t>(see Part B, Section 8).</w:t>
      </w:r>
      <w:r w:rsidR="00025D8F">
        <w:rPr>
          <w:rFonts w:eastAsia="MS Mincho"/>
          <w:lang w:val="en-GB"/>
        </w:rPr>
        <w:t xml:space="preserve"> </w:t>
      </w:r>
      <w:r w:rsidR="00025D8F" w:rsidRPr="0023547F">
        <w:rPr>
          <w:rFonts w:eastAsia="MS Mincho"/>
          <w:highlight w:val="green"/>
          <w:lang w:val="en-GB"/>
        </w:rPr>
        <w:t xml:space="preserve">In fruiting vegetables, the minimum interception </w:t>
      </w:r>
      <w:r w:rsidR="0023547F" w:rsidRPr="0023547F">
        <w:rPr>
          <w:rFonts w:eastAsia="MS Mincho"/>
          <w:highlight w:val="green"/>
          <w:lang w:val="en-GB"/>
        </w:rPr>
        <w:t>to be assumed for BBCH 10-19 is 50% resulting in a deposition factor of 0.5.</w:t>
      </w:r>
      <w:r w:rsidRPr="0023547F">
        <w:rPr>
          <w:rFonts w:eastAsia="MS Mincho"/>
          <w:highlight w:val="green"/>
          <w:lang w:val="en-GB"/>
        </w:rPr>
        <w:t xml:space="preserve"> </w:t>
      </w:r>
      <w:r w:rsidR="00324D1D" w:rsidRPr="0023547F">
        <w:rPr>
          <w:rFonts w:eastAsia="MS Mincho"/>
          <w:highlight w:val="green"/>
          <w:lang w:val="en-GB"/>
        </w:rPr>
        <w:t xml:space="preserve">In </w:t>
      </w:r>
      <w:r w:rsidR="00324D1D" w:rsidRPr="00324D1D">
        <w:rPr>
          <w:rFonts w:eastAsia="MS Mincho"/>
          <w:highlight w:val="green"/>
          <w:lang w:val="en-GB"/>
        </w:rPr>
        <w:t>orchards and bush and cane fruit as surrogate crops for the intended minor uses, the ´crop´ interception according to FOCUS Ground Water Guidance for the intended crop growth stages is 60% resulting in a deposition factor of 0.4 (as compared to factors of 0.8 for BBCH 10-19 in orchards, 0.6 at BBCH 20-40 in orchards and at BBCH 10-19 in bush and cane fruit, respectively).</w:t>
      </w:r>
    </w:p>
    <w:p w14:paraId="4A4F00AA" w14:textId="77777777" w:rsidR="00DC5685" w:rsidRDefault="00DC5685" w:rsidP="00DC5685">
      <w:pPr>
        <w:jc w:val="both"/>
        <w:rPr>
          <w:rFonts w:eastAsia="MS Mincho"/>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F7387D" w:rsidRPr="00DD5DB0" w14:paraId="383AE1E5" w14:textId="77777777" w:rsidTr="00B85AE5">
        <w:trPr>
          <w:trHeight w:val="1541"/>
        </w:trPr>
        <w:tc>
          <w:tcPr>
            <w:tcW w:w="5000" w:type="pct"/>
            <w:shd w:val="clear" w:color="auto" w:fill="D9D9D9"/>
          </w:tcPr>
          <w:p w14:paraId="139EC78B" w14:textId="77777777" w:rsidR="00F7387D" w:rsidRPr="00254CED" w:rsidRDefault="00F7387D" w:rsidP="001639E2">
            <w:pPr>
              <w:pStyle w:val="TableText1"/>
              <w:spacing w:after="120"/>
              <w:jc w:val="both"/>
              <w:rPr>
                <w:b/>
                <w:bCs w:val="0"/>
                <w:sz w:val="22"/>
                <w:szCs w:val="22"/>
                <w:lang w:eastAsia="en-US"/>
              </w:rPr>
            </w:pPr>
            <w:r w:rsidRPr="00254CED">
              <w:rPr>
                <w:b/>
                <w:sz w:val="22"/>
                <w:szCs w:val="22"/>
                <w:lang w:eastAsia="en-US"/>
              </w:rPr>
              <w:lastRenderedPageBreak/>
              <w:t>Review Comments:</w:t>
            </w:r>
          </w:p>
          <w:p w14:paraId="4D59D54B" w14:textId="77777777" w:rsidR="00F7387D" w:rsidRPr="00254CED" w:rsidRDefault="00F7387D" w:rsidP="001639E2">
            <w:pPr>
              <w:shd w:val="clear" w:color="auto" w:fill="D9D9D9"/>
              <w:spacing w:after="120"/>
              <w:jc w:val="both"/>
              <w:rPr>
                <w:lang w:val="en-GB"/>
              </w:rPr>
            </w:pPr>
            <w:r w:rsidRPr="00254CED">
              <w:rPr>
                <w:lang w:val="en-GB"/>
              </w:rPr>
              <w:t xml:space="preserve">According to “Working document on Risk Assessment of Plant Protection Products in the Central Zone – Ecotoxicology” (May 2021), point 3.2.15, the interception values following EFSA Guidance Document to obtain DegT50 values (EFSA Journal 2014;12(5):3662), can be use in the Tier 2 risk assessment. It should be noted that this rule applies </w:t>
            </w:r>
            <w:r w:rsidRPr="00544CE8">
              <w:rPr>
                <w:u w:val="single"/>
                <w:lang w:val="en-GB"/>
              </w:rPr>
              <w:t>only to the later stages of crop growth.</w:t>
            </w:r>
          </w:p>
          <w:p w14:paraId="0A588820" w14:textId="77777777" w:rsidR="00F7387D" w:rsidRPr="00254CED" w:rsidRDefault="00F7387D" w:rsidP="001639E2">
            <w:pPr>
              <w:shd w:val="clear" w:color="auto" w:fill="D9D9D9"/>
              <w:spacing w:after="120"/>
              <w:jc w:val="both"/>
              <w:rPr>
                <w:lang w:val="en-GB"/>
              </w:rPr>
            </w:pPr>
            <w:r w:rsidRPr="00254CED">
              <w:rPr>
                <w:lang w:val="en-GB"/>
              </w:rPr>
              <w:t>In Appendix E of EFSA B&amp;M guidance the following recommendation is given:</w:t>
            </w:r>
          </w:p>
          <w:p w14:paraId="016AD9FE" w14:textId="77777777" w:rsidR="00F7387D" w:rsidRPr="00254CED" w:rsidRDefault="00F7387D" w:rsidP="001639E2">
            <w:pPr>
              <w:autoSpaceDE w:val="0"/>
              <w:autoSpaceDN w:val="0"/>
              <w:adjustRightInd w:val="0"/>
              <w:spacing w:after="120"/>
              <w:jc w:val="both"/>
              <w:rPr>
                <w:i/>
                <w:iCs/>
                <w:lang w:val="en-GB"/>
              </w:rPr>
            </w:pPr>
            <w:r w:rsidRPr="00254CED">
              <w:rPr>
                <w:i/>
                <w:iCs/>
                <w:lang w:val="en-GB"/>
              </w:rPr>
              <w:t>“It was concluded that estimation of residues on undergrowth vegetation using FOCUS interception factors would become increasingly uncertain with decreasing soil cover of the crop and increasing height of weeds in relation to the crop. Thus reliable predictions are only deemed possible where the largest part of the soil surface is actually covered by the crop from a bird’s eye view and undergrowth vegetation is clearly smaller than the crop plants. Weeds or grasses overgrowing the crop at those stages are deemed unlikely to occur in intensive agriculture, but would anyway not form a part of the diet of small to medium herbivores.”</w:t>
            </w:r>
          </w:p>
          <w:p w14:paraId="53134729" w14:textId="77777777" w:rsidR="00F7387D" w:rsidRPr="00254CED" w:rsidRDefault="00F7387D" w:rsidP="00FD6ADC">
            <w:pPr>
              <w:shd w:val="clear" w:color="auto" w:fill="D9D9D9"/>
              <w:spacing w:after="120"/>
              <w:jc w:val="both"/>
              <w:rPr>
                <w:lang w:val="en-GB"/>
              </w:rPr>
            </w:pPr>
            <w:r w:rsidRPr="00254CED">
              <w:t>In Table 1 Appendix E for s</w:t>
            </w:r>
            <w:r w:rsidRPr="00254CED">
              <w:rPr>
                <w:lang w:val="en-GB"/>
              </w:rPr>
              <w:t>olanaceous fruit and cucurbits BBCH ≥ 51 growth stages are recognized satisfactorily high soil coverage by crop plants.</w:t>
            </w:r>
          </w:p>
          <w:p w14:paraId="259DE383" w14:textId="223D86A0" w:rsidR="00F7387D" w:rsidRPr="00254CED" w:rsidRDefault="00F7387D" w:rsidP="001639E2">
            <w:pPr>
              <w:shd w:val="clear" w:color="auto" w:fill="D9D9D9"/>
              <w:spacing w:after="120"/>
              <w:jc w:val="both"/>
              <w:rPr>
                <w:lang w:val="en-GB"/>
              </w:rPr>
            </w:pPr>
            <w:r w:rsidRPr="00254CED">
              <w:rPr>
                <w:lang w:val="en-GB"/>
              </w:rPr>
              <w:t xml:space="preserve">In Table 1.5 of EFSA Guidance Document to obtain DegT50 values for BBCH 40-89 growth stages of tomatoes the interception is 80%. It is the highest percentage of ground cover for fruiting vegetables. </w:t>
            </w:r>
          </w:p>
          <w:p w14:paraId="7838DB1D" w14:textId="1FC7791F" w:rsidR="00F7387D" w:rsidRPr="001639E2" w:rsidRDefault="00F7387D" w:rsidP="001639E2">
            <w:pPr>
              <w:shd w:val="clear" w:color="auto" w:fill="D9D9D9"/>
              <w:spacing w:after="120"/>
              <w:jc w:val="both"/>
              <w:rPr>
                <w:lang w:val="en-GB"/>
              </w:rPr>
            </w:pPr>
            <w:r w:rsidRPr="00254CED">
              <w:rPr>
                <w:lang w:val="en-GB"/>
              </w:rPr>
              <w:t>There is no justification for the different approach to IF for BBCH stages ≥ 40 and ≥51. Therefore, in zRMS opinion, for BBCH growth stages of tomatoes ≥ 40, the DF of 0.2 can be used in the risk assessment.</w:t>
            </w:r>
          </w:p>
        </w:tc>
      </w:tr>
    </w:tbl>
    <w:p w14:paraId="45F8D97F" w14:textId="77777777" w:rsidR="00F7387D" w:rsidRPr="006D2218" w:rsidRDefault="00F7387D" w:rsidP="00F7387D">
      <w:pPr>
        <w:pStyle w:val="RepStandard"/>
      </w:pPr>
    </w:p>
    <w:p w14:paraId="1B750ED7" w14:textId="77777777" w:rsidR="00AB256E" w:rsidRPr="00F7387D" w:rsidRDefault="00AB256E" w:rsidP="00DC5685">
      <w:pPr>
        <w:jc w:val="both"/>
        <w:rPr>
          <w:rFonts w:eastAsia="MS Mincho"/>
        </w:rPr>
      </w:pPr>
    </w:p>
    <w:p w14:paraId="53D9631B" w14:textId="77777777" w:rsidR="00DC5685" w:rsidRPr="00A34F10" w:rsidRDefault="00DC5685" w:rsidP="00DC5685">
      <w:pPr>
        <w:keepNext/>
        <w:spacing w:before="120" w:after="120"/>
        <w:rPr>
          <w:b/>
          <w:szCs w:val="24"/>
          <w:lang w:val="en-GB" w:eastAsia="en-GB"/>
        </w:rPr>
      </w:pPr>
      <w:bookmarkStart w:id="385" w:name="_Hlk132315751"/>
      <w:r w:rsidRPr="00A34F10">
        <w:rPr>
          <w:b/>
          <w:szCs w:val="24"/>
          <w:lang w:val="en-GB" w:eastAsia="en-GB"/>
        </w:rPr>
        <w:t>Refinement: DT</w:t>
      </w:r>
      <w:r w:rsidRPr="00A34F10">
        <w:rPr>
          <w:b/>
          <w:szCs w:val="24"/>
          <w:vertAlign w:val="subscript"/>
          <w:lang w:val="en-GB" w:eastAsia="en-GB"/>
        </w:rPr>
        <w:t>50</w:t>
      </w:r>
      <w:r w:rsidRPr="00A34F10">
        <w:rPr>
          <w:b/>
          <w:szCs w:val="24"/>
          <w:lang w:val="en-GB" w:eastAsia="en-GB"/>
        </w:rPr>
        <w:t xml:space="preserve"> of Propamocarb-HCl</w:t>
      </w:r>
    </w:p>
    <w:bookmarkEnd w:id="385"/>
    <w:p w14:paraId="55BBEB7B" w14:textId="29F8F90F" w:rsidR="00DC5685" w:rsidRPr="00A34F10" w:rsidRDefault="00DC5685" w:rsidP="00DC5685">
      <w:pPr>
        <w:tabs>
          <w:tab w:val="left" w:pos="720"/>
        </w:tabs>
        <w:spacing w:line="280" w:lineRule="exact"/>
        <w:jc w:val="both"/>
        <w:rPr>
          <w:rFonts w:eastAsia="MS Mincho"/>
          <w:lang w:val="en-GB"/>
        </w:rPr>
      </w:pPr>
      <w:r w:rsidRPr="00A34F10">
        <w:rPr>
          <w:rFonts w:eastAsia="MS Mincho"/>
          <w:lang w:val="en-GB"/>
        </w:rPr>
        <w:t>The first-tier risk assessment is based on a default foliar DT</w:t>
      </w:r>
      <w:r w:rsidRPr="00A34F10">
        <w:rPr>
          <w:rFonts w:eastAsia="MS Mincho"/>
          <w:vertAlign w:val="subscript"/>
          <w:lang w:val="en-GB"/>
        </w:rPr>
        <w:t>50</w:t>
      </w:r>
      <w:r w:rsidRPr="00A34F10">
        <w:rPr>
          <w:rFonts w:eastAsia="MS Mincho"/>
          <w:lang w:val="en-GB"/>
        </w:rPr>
        <w:t xml:space="preserve"> of 10 days. However, residue field data are available which demonstrate that Propamocarb-HCl degrades rapidly in foliage. In order to determine DT</w:t>
      </w:r>
      <w:r w:rsidRPr="00A34F10">
        <w:rPr>
          <w:rFonts w:eastAsia="MS Mincho"/>
          <w:vertAlign w:val="subscript"/>
          <w:lang w:val="en-GB"/>
        </w:rPr>
        <w:t>50</w:t>
      </w:r>
      <w:r w:rsidRPr="00A34F10">
        <w:rPr>
          <w:rFonts w:eastAsia="MS Mincho"/>
          <w:lang w:val="en-GB"/>
        </w:rPr>
        <w:t xml:space="preserve"> values, residues trials with sufficiently short sampling intervals are required (e.g. Day 0, 3, 7 and 14). Such data are available, submitted to support the EU review (</w:t>
      </w:r>
      <w:r w:rsidRPr="00A34F10">
        <w:t>RAR Propamocarb, Vol. 3 – CP B9, June 2017</w:t>
      </w:r>
      <w:r w:rsidRPr="00A34F10">
        <w:rPr>
          <w:rFonts w:eastAsia="MS Mincho"/>
          <w:lang w:val="en-GB"/>
        </w:rPr>
        <w:t xml:space="preserve">). </w:t>
      </w:r>
      <w:r w:rsidRPr="00A34F10">
        <w:rPr>
          <w:lang w:val="en-GB"/>
        </w:rPr>
        <w:t xml:space="preserve">These are considered typical of the vegetation of the intended uses of BAS 743 03 F and thus the data derived from this study will be applicable to other crop types such as fruiting vegetables (tomatoes, aubergine and cucurbits) and </w:t>
      </w:r>
      <w:r w:rsidR="00746A24">
        <w:rPr>
          <w:lang w:val="en-GB"/>
        </w:rPr>
        <w:t>ornamentals</w:t>
      </w:r>
      <w:r w:rsidRPr="00A34F10">
        <w:rPr>
          <w:lang w:val="en-GB"/>
        </w:rPr>
        <w:t xml:space="preserve">. </w:t>
      </w:r>
    </w:p>
    <w:p w14:paraId="2545C45F" w14:textId="32CF50B7" w:rsidR="00DC5685" w:rsidRPr="00A34F10" w:rsidRDefault="00DC5685" w:rsidP="00DC5685">
      <w:pPr>
        <w:pStyle w:val="RepStandard"/>
        <w:suppressAutoHyphens/>
      </w:pPr>
      <w:r w:rsidRPr="00A34F10">
        <w:t xml:space="preserve">Given the extensive care dedicated to the ground cultivation in potato, onion and </w:t>
      </w:r>
      <w:r w:rsidR="00746A24">
        <w:t>ornamental</w:t>
      </w:r>
      <w:r w:rsidRPr="00A34F10">
        <w:t xml:space="preserve"> fields, it is unlikely that tall grasses represented by mature cereals would typically be found. Therefore, the DT</w:t>
      </w:r>
      <w:r w:rsidRPr="00A34F10">
        <w:rPr>
          <w:vertAlign w:val="subscript"/>
        </w:rPr>
        <w:t>50</w:t>
      </w:r>
      <w:r w:rsidRPr="00A34F10">
        <w:t xml:space="preserve"> value for residue dissipation of Propamocarb-HCl determined on young and small cereals is considered relevant for the exposure scenario of voles feeding on short grass in potato, onion and </w:t>
      </w:r>
      <w:r w:rsidR="008C50A8">
        <w:t>fruiting</w:t>
      </w:r>
      <w:r w:rsidRPr="00A34F10">
        <w:t xml:space="preserve"> vegetable fields (if available). Based on residue data in/on wheat at early growth stages (BBCH 25-33), a DT</w:t>
      </w:r>
      <w:r w:rsidRPr="00A34F10">
        <w:rPr>
          <w:vertAlign w:val="subscript"/>
        </w:rPr>
        <w:t>50</w:t>
      </w:r>
      <w:r w:rsidRPr="00A34F10">
        <w:t xml:space="preserve"> for residue dissipation of Propamocarb-HCl of 3.32 days (RAR Propamocarb, Vol. 3 – CP B9, June 2017) was determined.</w:t>
      </w:r>
    </w:p>
    <w:p w14:paraId="008B3F91" w14:textId="56583A38" w:rsidR="00DC5685" w:rsidRDefault="00DC5685" w:rsidP="00DC5685">
      <w:pPr>
        <w:pStyle w:val="RepStandard"/>
        <w:suppressAutoHyphens/>
      </w:pPr>
      <w:bookmarkStart w:id="386" w:name="_Hlk135074348"/>
      <w:r w:rsidRPr="00A34F10">
        <w:t>With the refined DT</w:t>
      </w:r>
      <w:r w:rsidRPr="00A34F10">
        <w:rPr>
          <w:vertAlign w:val="subscript"/>
        </w:rPr>
        <w:t xml:space="preserve">50 </w:t>
      </w:r>
      <w:r w:rsidRPr="00A34F10">
        <w:t xml:space="preserve">value of 3.32 days instead of the default value of 10 days, new MAF×twa values for Propamocarb-HCl for the intended use in potatoes, fruiting vegetables, ornamentals and onions, respectively were calculated with the moving-time window approach for 3 applications and 5-day interval according to the formula detailed in Appendix H of the EFSA Guidance Document (2009). This MAF×twa value can be used for refined TER calculation (see Table 9.3 - 14). </w:t>
      </w:r>
      <w:bookmarkEnd w:id="386"/>
    </w:p>
    <w:p w14:paraId="072F6DDC" w14:textId="77777777" w:rsidR="00230E5D" w:rsidRDefault="00230E5D" w:rsidP="00DC5685">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230E5D" w:rsidRPr="00DD5DB0" w14:paraId="5BF1E8D5" w14:textId="77777777" w:rsidTr="00495B0C">
        <w:trPr>
          <w:trHeight w:val="840"/>
        </w:trPr>
        <w:tc>
          <w:tcPr>
            <w:tcW w:w="5000" w:type="pct"/>
            <w:shd w:val="clear" w:color="auto" w:fill="D9D9D9"/>
          </w:tcPr>
          <w:p w14:paraId="25A5D919" w14:textId="77777777" w:rsidR="00230E5D" w:rsidRPr="00254CED" w:rsidRDefault="00230E5D" w:rsidP="00B85AE5">
            <w:pPr>
              <w:pStyle w:val="TableText1"/>
              <w:spacing w:after="120"/>
              <w:jc w:val="both"/>
              <w:rPr>
                <w:b/>
                <w:bCs w:val="0"/>
                <w:sz w:val="22"/>
                <w:szCs w:val="22"/>
                <w:lang w:eastAsia="en-US"/>
              </w:rPr>
            </w:pPr>
            <w:r w:rsidRPr="00254CED">
              <w:rPr>
                <w:b/>
                <w:sz w:val="22"/>
                <w:szCs w:val="22"/>
                <w:lang w:eastAsia="en-US"/>
              </w:rPr>
              <w:lastRenderedPageBreak/>
              <w:t>Review Comments:</w:t>
            </w:r>
          </w:p>
          <w:p w14:paraId="73D200C8" w14:textId="77777777" w:rsidR="00230E5D" w:rsidRPr="006C550F" w:rsidRDefault="00495B0C" w:rsidP="006C550F">
            <w:pPr>
              <w:shd w:val="clear" w:color="auto" w:fill="BDD6EE" w:themeFill="accent5" w:themeFillTint="66"/>
              <w:spacing w:after="120"/>
              <w:jc w:val="both"/>
              <w:rPr>
                <w:strike/>
                <w:color w:val="808080" w:themeColor="background1" w:themeShade="80"/>
                <w:lang w:val="en-GB"/>
              </w:rPr>
            </w:pPr>
            <w:r w:rsidRPr="006C550F">
              <w:rPr>
                <w:strike/>
                <w:color w:val="808080" w:themeColor="background1" w:themeShade="80"/>
                <w:lang w:val="en-GB"/>
              </w:rPr>
              <w:t xml:space="preserve">The Applicant's proposal for the use of </w:t>
            </w:r>
            <w:r w:rsidRPr="006C550F">
              <w:rPr>
                <w:strike/>
                <w:color w:val="808080" w:themeColor="background1" w:themeShade="80"/>
              </w:rPr>
              <w:t>DT</w:t>
            </w:r>
            <w:r w:rsidRPr="006C550F">
              <w:rPr>
                <w:strike/>
                <w:color w:val="808080" w:themeColor="background1" w:themeShade="80"/>
                <w:vertAlign w:val="subscript"/>
              </w:rPr>
              <w:t xml:space="preserve">50 </w:t>
            </w:r>
            <w:r w:rsidRPr="006C550F">
              <w:rPr>
                <w:strike/>
                <w:color w:val="808080" w:themeColor="background1" w:themeShade="80"/>
              </w:rPr>
              <w:t>value of 3.32 days</w:t>
            </w:r>
            <w:r w:rsidRPr="006C550F">
              <w:rPr>
                <w:strike/>
                <w:color w:val="808080" w:themeColor="background1" w:themeShade="80"/>
                <w:lang w:val="en-GB"/>
              </w:rPr>
              <w:t xml:space="preserve"> </w:t>
            </w:r>
            <w:r w:rsidR="00E24416" w:rsidRPr="006C550F">
              <w:rPr>
                <w:strike/>
                <w:color w:val="808080" w:themeColor="background1" w:themeShade="80"/>
                <w:lang w:val="en-GB"/>
              </w:rPr>
              <w:t xml:space="preserve">for </w:t>
            </w:r>
            <w:r w:rsidR="008C7DAA" w:rsidRPr="006C550F">
              <w:rPr>
                <w:strike/>
                <w:color w:val="808080" w:themeColor="background1" w:themeShade="80"/>
                <w:lang w:val="en-GB"/>
              </w:rPr>
              <w:t xml:space="preserve">monocots </w:t>
            </w:r>
            <w:r w:rsidRPr="006C550F">
              <w:rPr>
                <w:strike/>
                <w:color w:val="808080" w:themeColor="background1" w:themeShade="80"/>
                <w:lang w:val="en-GB"/>
              </w:rPr>
              <w:t>was accepted.</w:t>
            </w:r>
          </w:p>
          <w:p w14:paraId="172E07E7" w14:textId="5D06717C" w:rsidR="00400FC2" w:rsidRPr="001639E2" w:rsidRDefault="00400FC2" w:rsidP="006C550F">
            <w:pPr>
              <w:shd w:val="clear" w:color="auto" w:fill="BDD6EE" w:themeFill="accent5" w:themeFillTint="66"/>
              <w:jc w:val="both"/>
              <w:rPr>
                <w:lang w:val="en-GB"/>
              </w:rPr>
            </w:pPr>
            <w:r w:rsidRPr="006C550F">
              <w:rPr>
                <w:lang w:val="en-GB"/>
              </w:rPr>
              <w:t>According to RAR 12.2022 the study of residue dissipation of Propamocarb-HCl in wheat plants, in which a DT50 value in wheat was determined in four trials, was stated by experts at Pesticide Peer Review Meeting PREV 03 (March 2019) as being not sufficient to support the refinement of the long-term risk assessment for mammals based on residue decline in wheat used as surrogate for grass/weeds since the number of trials is too low to cover all EU zones. Thus, the TER calculation with refined DT50 were deleted.</w:t>
            </w:r>
          </w:p>
        </w:tc>
      </w:tr>
    </w:tbl>
    <w:p w14:paraId="67B626F2" w14:textId="77777777" w:rsidR="00315B52" w:rsidRDefault="00315B52" w:rsidP="00DC5685">
      <w:pPr>
        <w:pStyle w:val="RepStandard"/>
        <w:suppressAutoHyphens/>
      </w:pPr>
    </w:p>
    <w:p w14:paraId="09A5EE2D" w14:textId="77777777" w:rsidR="00315B52" w:rsidRPr="00A34F10" w:rsidRDefault="00315B52" w:rsidP="00DC5685">
      <w:pPr>
        <w:pStyle w:val="RepStandard"/>
        <w:suppressAutoHyphens/>
      </w:pPr>
    </w:p>
    <w:tbl>
      <w:tblPr>
        <w:tblW w:w="503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1634"/>
        <w:gridCol w:w="3212"/>
        <w:gridCol w:w="999"/>
        <w:gridCol w:w="670"/>
        <w:gridCol w:w="745"/>
        <w:gridCol w:w="1261"/>
        <w:gridCol w:w="888"/>
      </w:tblGrid>
      <w:tr w:rsidR="00797E23" w:rsidRPr="006C5A12" w14:paraId="70021A92" w14:textId="77777777" w:rsidTr="006C550F">
        <w:trPr>
          <w:cantSplit/>
          <w:tblHeader/>
        </w:trPr>
        <w:tc>
          <w:tcPr>
            <w:tcW w:w="868" w:type="pct"/>
            <w:tcBorders>
              <w:right w:val="single" w:sz="4" w:space="0" w:color="auto"/>
            </w:tcBorders>
            <w:shd w:val="clear" w:color="auto" w:fill="BDD6EE" w:themeFill="accent5" w:themeFillTint="66"/>
            <w:vAlign w:val="center"/>
          </w:tcPr>
          <w:p w14:paraId="3B9E7F2E" w14:textId="77777777" w:rsidR="00797E23" w:rsidRPr="006C550F" w:rsidRDefault="00797E23" w:rsidP="00B85AE5">
            <w:pPr>
              <w:keepNext/>
              <w:widowControl w:val="0"/>
              <w:jc w:val="both"/>
              <w:rPr>
                <w:b/>
                <w:bCs/>
                <w:strike/>
                <w:color w:val="808080" w:themeColor="background1" w:themeShade="80"/>
                <w:sz w:val="20"/>
                <w:szCs w:val="20"/>
                <w:lang w:val="en-GB"/>
              </w:rPr>
            </w:pPr>
            <w:r w:rsidRPr="006C550F">
              <w:rPr>
                <w:b/>
                <w:bCs/>
                <w:strike/>
                <w:color w:val="808080" w:themeColor="background1" w:themeShade="80"/>
                <w:sz w:val="20"/>
                <w:szCs w:val="20"/>
                <w:lang w:val="en-GB"/>
              </w:rPr>
              <w:t>Active substance</w:t>
            </w:r>
          </w:p>
        </w:tc>
        <w:tc>
          <w:tcPr>
            <w:tcW w:w="4132" w:type="pct"/>
            <w:gridSpan w:val="6"/>
            <w:tcBorders>
              <w:right w:val="single" w:sz="4" w:space="0" w:color="auto"/>
            </w:tcBorders>
            <w:shd w:val="clear" w:color="auto" w:fill="BDD6EE" w:themeFill="accent5" w:themeFillTint="66"/>
            <w:vAlign w:val="center"/>
          </w:tcPr>
          <w:p w14:paraId="4A81C8D3" w14:textId="77777777" w:rsidR="00797E23" w:rsidRPr="006C550F" w:rsidRDefault="00797E23" w:rsidP="00B85AE5">
            <w:pPr>
              <w:keepNext/>
              <w:widowControl w:val="0"/>
              <w:jc w:val="both"/>
              <w:rPr>
                <w:strike/>
                <w:color w:val="808080" w:themeColor="background1" w:themeShade="80"/>
                <w:sz w:val="20"/>
                <w:szCs w:val="20"/>
                <w:lang w:val="en-GB"/>
              </w:rPr>
            </w:pPr>
            <w:r w:rsidRPr="006C550F">
              <w:rPr>
                <w:strike/>
                <w:color w:val="808080" w:themeColor="background1" w:themeShade="80"/>
                <w:sz w:val="20"/>
                <w:szCs w:val="20"/>
                <w:lang w:val="en-GB"/>
              </w:rPr>
              <w:t>Propamocarb</w:t>
            </w:r>
          </w:p>
        </w:tc>
      </w:tr>
      <w:tr w:rsidR="00797E23" w:rsidRPr="006C5A12" w14:paraId="5AEA6DE9" w14:textId="77777777" w:rsidTr="006C550F">
        <w:trPr>
          <w:cantSplit/>
          <w:tblHeader/>
        </w:trPr>
        <w:tc>
          <w:tcPr>
            <w:tcW w:w="868" w:type="pct"/>
            <w:tcBorders>
              <w:right w:val="single" w:sz="4" w:space="0" w:color="auto"/>
            </w:tcBorders>
            <w:shd w:val="clear" w:color="auto" w:fill="BDD6EE" w:themeFill="accent5" w:themeFillTint="66"/>
            <w:vAlign w:val="center"/>
          </w:tcPr>
          <w:p w14:paraId="1BC23DAA"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 xml:space="preserve">Reprod. toxicity </w:t>
            </w:r>
            <w:r w:rsidRPr="006C550F">
              <w:rPr>
                <w:b/>
                <w:bCs/>
                <w:strike/>
                <w:color w:val="808080" w:themeColor="background1" w:themeShade="80"/>
                <w:sz w:val="20"/>
                <w:szCs w:val="20"/>
                <w:lang w:val="en-GB"/>
              </w:rPr>
              <w:br/>
              <w:t>(mg/kg bw/d)</w:t>
            </w:r>
          </w:p>
        </w:tc>
        <w:tc>
          <w:tcPr>
            <w:tcW w:w="4132" w:type="pct"/>
            <w:gridSpan w:val="6"/>
            <w:tcBorders>
              <w:right w:val="single" w:sz="4" w:space="0" w:color="auto"/>
            </w:tcBorders>
            <w:shd w:val="clear" w:color="auto" w:fill="BDD6EE" w:themeFill="accent5" w:themeFillTint="66"/>
            <w:vAlign w:val="center"/>
          </w:tcPr>
          <w:p w14:paraId="05C46885" w14:textId="77777777" w:rsidR="00797E23" w:rsidRPr="006C550F" w:rsidRDefault="00797E23" w:rsidP="00B85AE5">
            <w:pPr>
              <w:keepNext/>
              <w:widowControl w:val="0"/>
              <w:jc w:val="both"/>
              <w:rPr>
                <w:strike/>
                <w:color w:val="808080" w:themeColor="background1" w:themeShade="80"/>
                <w:sz w:val="20"/>
                <w:szCs w:val="20"/>
                <w:lang w:val="en-GB"/>
              </w:rPr>
            </w:pPr>
            <w:r w:rsidRPr="006C550F">
              <w:rPr>
                <w:strike/>
                <w:color w:val="808080" w:themeColor="background1" w:themeShade="80"/>
                <w:sz w:val="20"/>
                <w:szCs w:val="20"/>
                <w:lang w:val="en-GB"/>
              </w:rPr>
              <w:t>104</w:t>
            </w:r>
          </w:p>
        </w:tc>
      </w:tr>
      <w:tr w:rsidR="00797E23" w:rsidRPr="006C5A12" w14:paraId="2B1E1FB8" w14:textId="77777777" w:rsidTr="006C550F">
        <w:trPr>
          <w:cantSplit/>
          <w:tblHeader/>
        </w:trPr>
        <w:tc>
          <w:tcPr>
            <w:tcW w:w="868" w:type="pct"/>
            <w:tcBorders>
              <w:right w:val="single" w:sz="4" w:space="0" w:color="auto"/>
            </w:tcBorders>
            <w:shd w:val="clear" w:color="auto" w:fill="BDD6EE" w:themeFill="accent5" w:themeFillTint="66"/>
            <w:vAlign w:val="center"/>
          </w:tcPr>
          <w:p w14:paraId="6E877B4D"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TER criterion</w:t>
            </w:r>
          </w:p>
        </w:tc>
        <w:tc>
          <w:tcPr>
            <w:tcW w:w="4132" w:type="pct"/>
            <w:gridSpan w:val="6"/>
            <w:tcBorders>
              <w:right w:val="single" w:sz="4" w:space="0" w:color="auto"/>
            </w:tcBorders>
            <w:shd w:val="clear" w:color="auto" w:fill="BDD6EE" w:themeFill="accent5" w:themeFillTint="66"/>
            <w:vAlign w:val="center"/>
          </w:tcPr>
          <w:p w14:paraId="5E923C3F" w14:textId="77777777" w:rsidR="00797E23" w:rsidRPr="006C550F" w:rsidRDefault="00797E23" w:rsidP="00B85AE5">
            <w:pPr>
              <w:keepNext/>
              <w:widowControl w:val="0"/>
              <w:jc w:val="both"/>
              <w:rPr>
                <w:strike/>
                <w:color w:val="808080" w:themeColor="background1" w:themeShade="80"/>
                <w:sz w:val="20"/>
                <w:szCs w:val="20"/>
                <w:lang w:val="en-GB"/>
              </w:rPr>
            </w:pPr>
            <w:r w:rsidRPr="006C550F">
              <w:rPr>
                <w:strike/>
                <w:color w:val="808080" w:themeColor="background1" w:themeShade="80"/>
                <w:sz w:val="20"/>
                <w:szCs w:val="20"/>
                <w:lang w:val="en-GB"/>
              </w:rPr>
              <w:t>5</w:t>
            </w:r>
          </w:p>
        </w:tc>
      </w:tr>
      <w:tr w:rsidR="00DE4882" w:rsidRPr="006C5A12" w14:paraId="735B4B11" w14:textId="77777777" w:rsidTr="006C550F">
        <w:trPr>
          <w:cantSplit/>
          <w:tblHeader/>
        </w:trPr>
        <w:tc>
          <w:tcPr>
            <w:tcW w:w="868" w:type="pct"/>
            <w:tcBorders>
              <w:bottom w:val="single" w:sz="12" w:space="0" w:color="auto"/>
            </w:tcBorders>
            <w:shd w:val="clear" w:color="auto" w:fill="BDD6EE" w:themeFill="accent5" w:themeFillTint="66"/>
            <w:vAlign w:val="center"/>
          </w:tcPr>
          <w:p w14:paraId="3DB39FB9"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Growth stage</w:t>
            </w:r>
          </w:p>
        </w:tc>
        <w:tc>
          <w:tcPr>
            <w:tcW w:w="1707" w:type="pct"/>
            <w:tcBorders>
              <w:bottom w:val="single" w:sz="12" w:space="0" w:color="auto"/>
            </w:tcBorders>
            <w:shd w:val="clear" w:color="auto" w:fill="BDD6EE" w:themeFill="accent5" w:themeFillTint="66"/>
            <w:vAlign w:val="center"/>
          </w:tcPr>
          <w:p w14:paraId="2F0359CB"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Generic focal species</w:t>
            </w:r>
          </w:p>
        </w:tc>
        <w:tc>
          <w:tcPr>
            <w:tcW w:w="531" w:type="pct"/>
            <w:tcBorders>
              <w:bottom w:val="single" w:sz="12" w:space="0" w:color="auto"/>
            </w:tcBorders>
            <w:shd w:val="clear" w:color="auto" w:fill="BDD6EE" w:themeFill="accent5" w:themeFillTint="66"/>
            <w:vAlign w:val="center"/>
          </w:tcPr>
          <w:p w14:paraId="2E989591"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App. Rate</w:t>
            </w:r>
          </w:p>
          <w:p w14:paraId="2EAEA6D5"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(kg a.s./ha)</w:t>
            </w:r>
          </w:p>
        </w:tc>
        <w:tc>
          <w:tcPr>
            <w:tcW w:w="356" w:type="pct"/>
            <w:tcBorders>
              <w:bottom w:val="single" w:sz="12" w:space="0" w:color="auto"/>
            </w:tcBorders>
            <w:shd w:val="clear" w:color="auto" w:fill="BDD6EE" w:themeFill="accent5" w:themeFillTint="66"/>
            <w:vAlign w:val="center"/>
          </w:tcPr>
          <w:p w14:paraId="7D42F3F8"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SV</w:t>
            </w:r>
            <w:r w:rsidRPr="006C550F">
              <w:rPr>
                <w:b/>
                <w:bCs/>
                <w:strike/>
                <w:color w:val="808080" w:themeColor="background1" w:themeShade="80"/>
                <w:sz w:val="20"/>
                <w:szCs w:val="20"/>
                <w:vertAlign w:val="subscript"/>
                <w:lang w:val="en-GB"/>
              </w:rPr>
              <w:t>m</w:t>
            </w:r>
          </w:p>
        </w:tc>
        <w:tc>
          <w:tcPr>
            <w:tcW w:w="396" w:type="pct"/>
            <w:tcBorders>
              <w:bottom w:val="single" w:sz="12" w:space="0" w:color="auto"/>
            </w:tcBorders>
            <w:shd w:val="clear" w:color="auto" w:fill="BDD6EE" w:themeFill="accent5" w:themeFillTint="66"/>
            <w:vAlign w:val="center"/>
          </w:tcPr>
          <w:p w14:paraId="0C9672F3"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MAF</w:t>
            </w:r>
            <w:r w:rsidRPr="006C550F">
              <w:rPr>
                <w:b/>
                <w:bCs/>
                <w:strike/>
                <w:color w:val="808080" w:themeColor="background1" w:themeShade="80"/>
                <w:sz w:val="20"/>
                <w:szCs w:val="20"/>
                <w:vertAlign w:val="subscript"/>
                <w:lang w:val="en-GB"/>
              </w:rPr>
              <w:t>m</w:t>
            </w:r>
            <w:r w:rsidRPr="006C550F">
              <w:rPr>
                <w:b/>
                <w:bCs/>
                <w:strike/>
                <w:color w:val="808080" w:themeColor="background1" w:themeShade="80"/>
                <w:sz w:val="20"/>
                <w:szCs w:val="20"/>
                <w:lang w:val="en-GB"/>
              </w:rPr>
              <w:t xml:space="preserve"> × TWA</w:t>
            </w:r>
          </w:p>
        </w:tc>
        <w:tc>
          <w:tcPr>
            <w:tcW w:w="670" w:type="pct"/>
            <w:tcBorders>
              <w:bottom w:val="single" w:sz="12" w:space="0" w:color="auto"/>
            </w:tcBorders>
            <w:shd w:val="clear" w:color="auto" w:fill="BDD6EE" w:themeFill="accent5" w:themeFillTint="66"/>
            <w:vAlign w:val="center"/>
          </w:tcPr>
          <w:p w14:paraId="02C47F84" w14:textId="77777777" w:rsidR="00797E23" w:rsidRPr="006C550F" w:rsidRDefault="00797E23" w:rsidP="00B85AE5">
            <w:pPr>
              <w:keepNext/>
              <w:widowControl w:val="0"/>
              <w:rPr>
                <w:b/>
                <w:bCs/>
                <w:strike/>
                <w:color w:val="808080" w:themeColor="background1" w:themeShade="80"/>
                <w:sz w:val="20"/>
                <w:szCs w:val="20"/>
                <w:lang w:val="de-DE"/>
              </w:rPr>
            </w:pPr>
            <w:r w:rsidRPr="006C550F">
              <w:rPr>
                <w:b/>
                <w:bCs/>
                <w:strike/>
                <w:color w:val="808080" w:themeColor="background1" w:themeShade="80"/>
                <w:sz w:val="20"/>
                <w:szCs w:val="20"/>
                <w:lang w:val="de-DE"/>
              </w:rPr>
              <w:t>DDD</w:t>
            </w:r>
            <w:r w:rsidRPr="006C550F">
              <w:rPr>
                <w:b/>
                <w:bCs/>
                <w:strike/>
                <w:color w:val="808080" w:themeColor="background1" w:themeShade="80"/>
                <w:sz w:val="20"/>
                <w:szCs w:val="20"/>
                <w:vertAlign w:val="subscript"/>
                <w:lang w:val="de-DE"/>
              </w:rPr>
              <w:t>m</w:t>
            </w:r>
          </w:p>
          <w:p w14:paraId="475C9703" w14:textId="77777777" w:rsidR="00797E23" w:rsidRPr="006C550F" w:rsidRDefault="00797E23" w:rsidP="00B85AE5">
            <w:pPr>
              <w:keepNext/>
              <w:widowControl w:val="0"/>
              <w:rPr>
                <w:b/>
                <w:bCs/>
                <w:strike/>
                <w:color w:val="808080" w:themeColor="background1" w:themeShade="80"/>
                <w:sz w:val="20"/>
                <w:szCs w:val="20"/>
                <w:lang w:val="de-DE"/>
              </w:rPr>
            </w:pPr>
            <w:r w:rsidRPr="006C550F">
              <w:rPr>
                <w:b/>
                <w:bCs/>
                <w:strike/>
                <w:color w:val="808080" w:themeColor="background1" w:themeShade="80"/>
                <w:sz w:val="20"/>
                <w:szCs w:val="20"/>
                <w:lang w:val="de-DE"/>
              </w:rPr>
              <w:t>(mg/kg bw/d)</w:t>
            </w:r>
          </w:p>
        </w:tc>
        <w:tc>
          <w:tcPr>
            <w:tcW w:w="472" w:type="pct"/>
            <w:tcBorders>
              <w:bottom w:val="single" w:sz="12" w:space="0" w:color="auto"/>
            </w:tcBorders>
            <w:shd w:val="clear" w:color="auto" w:fill="BDD6EE" w:themeFill="accent5" w:themeFillTint="66"/>
            <w:vAlign w:val="center"/>
          </w:tcPr>
          <w:p w14:paraId="461A2070" w14:textId="77777777" w:rsidR="00797E23" w:rsidRPr="006C550F" w:rsidRDefault="00797E23" w:rsidP="00B85AE5">
            <w:pPr>
              <w:keepNext/>
              <w:widowControl w:val="0"/>
              <w:rPr>
                <w:b/>
                <w:bCs/>
                <w:strike/>
                <w:color w:val="808080" w:themeColor="background1" w:themeShade="80"/>
                <w:sz w:val="20"/>
                <w:szCs w:val="20"/>
                <w:lang w:val="en-GB"/>
              </w:rPr>
            </w:pPr>
            <w:r w:rsidRPr="006C550F">
              <w:rPr>
                <w:b/>
                <w:bCs/>
                <w:strike/>
                <w:color w:val="808080" w:themeColor="background1" w:themeShade="80"/>
                <w:sz w:val="20"/>
                <w:szCs w:val="20"/>
                <w:lang w:val="en-GB"/>
              </w:rPr>
              <w:t>TER</w:t>
            </w:r>
            <w:r w:rsidRPr="006C550F">
              <w:rPr>
                <w:b/>
                <w:bCs/>
                <w:strike/>
                <w:color w:val="808080" w:themeColor="background1" w:themeShade="80"/>
                <w:sz w:val="20"/>
                <w:szCs w:val="20"/>
                <w:vertAlign w:val="subscript"/>
                <w:lang w:val="en-GB"/>
              </w:rPr>
              <w:t>lt</w:t>
            </w:r>
          </w:p>
        </w:tc>
      </w:tr>
      <w:tr w:rsidR="00797E23" w:rsidRPr="006C5A12" w14:paraId="29AD9B68" w14:textId="77777777" w:rsidTr="006C550F">
        <w:trPr>
          <w:cantSplit/>
        </w:trPr>
        <w:tc>
          <w:tcPr>
            <w:tcW w:w="5000" w:type="pct"/>
            <w:gridSpan w:val="7"/>
            <w:tcBorders>
              <w:top w:val="single" w:sz="12" w:space="0" w:color="auto"/>
              <w:left w:val="single" w:sz="12" w:space="0" w:color="auto"/>
              <w:bottom w:val="single" w:sz="12" w:space="0" w:color="auto"/>
              <w:right w:val="single" w:sz="12" w:space="0" w:color="auto"/>
            </w:tcBorders>
            <w:shd w:val="clear" w:color="auto" w:fill="BDD6EE" w:themeFill="accent5" w:themeFillTint="66"/>
            <w:vAlign w:val="center"/>
          </w:tcPr>
          <w:p w14:paraId="105BB7FA" w14:textId="77777777" w:rsidR="00797E23" w:rsidRPr="006C550F" w:rsidRDefault="00797E23" w:rsidP="00B85AE5">
            <w:pPr>
              <w:jc w:val="center"/>
              <w:rPr>
                <w:strike/>
                <w:color w:val="808080" w:themeColor="background1" w:themeShade="80"/>
                <w:sz w:val="20"/>
                <w:szCs w:val="20"/>
                <w:lang w:val="en-GB"/>
              </w:rPr>
            </w:pPr>
            <w:r w:rsidRPr="006C550F">
              <w:rPr>
                <w:b/>
                <w:strike/>
                <w:color w:val="808080" w:themeColor="background1" w:themeShade="80"/>
                <w:sz w:val="20"/>
                <w:szCs w:val="20"/>
                <w:lang w:val="en-GB"/>
              </w:rPr>
              <w:t>Potatoes (3 x 0.902 kg a.s./ha, BBCH 21-89)</w:t>
            </w:r>
          </w:p>
        </w:tc>
      </w:tr>
      <w:tr w:rsidR="00797E23" w:rsidRPr="006C5A12" w14:paraId="433D5BE8" w14:textId="77777777" w:rsidTr="006C550F">
        <w:trPr>
          <w:cantSplit/>
          <w:trHeight w:val="604"/>
        </w:trPr>
        <w:tc>
          <w:tcPr>
            <w:tcW w:w="868" w:type="pct"/>
            <w:tcBorders>
              <w:top w:val="single" w:sz="12" w:space="0" w:color="auto"/>
            </w:tcBorders>
            <w:shd w:val="clear" w:color="auto" w:fill="BDD6EE" w:themeFill="accent5" w:themeFillTint="66"/>
            <w:vAlign w:val="center"/>
          </w:tcPr>
          <w:p w14:paraId="042FB75B" w14:textId="622B91B5"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rPr>
              <w:t>BBCH ≥40</w:t>
            </w:r>
          </w:p>
        </w:tc>
        <w:tc>
          <w:tcPr>
            <w:tcW w:w="1707" w:type="pct"/>
            <w:tcBorders>
              <w:top w:val="single" w:sz="12" w:space="0" w:color="auto"/>
            </w:tcBorders>
            <w:shd w:val="clear" w:color="auto" w:fill="BDD6EE" w:themeFill="accent5" w:themeFillTint="66"/>
            <w:vAlign w:val="center"/>
          </w:tcPr>
          <w:p w14:paraId="3599D7FB" w14:textId="40F63858"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tcBorders>
              <w:top w:val="single" w:sz="12" w:space="0" w:color="auto"/>
            </w:tcBorders>
            <w:shd w:val="clear" w:color="auto" w:fill="BDD6EE" w:themeFill="accent5" w:themeFillTint="66"/>
            <w:vAlign w:val="center"/>
          </w:tcPr>
          <w:p w14:paraId="69FF7B51" w14:textId="77777777"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tcBorders>
              <w:top w:val="single" w:sz="12" w:space="0" w:color="auto"/>
            </w:tcBorders>
            <w:shd w:val="clear" w:color="auto" w:fill="BDD6EE" w:themeFill="accent5" w:themeFillTint="66"/>
            <w:vAlign w:val="center"/>
          </w:tcPr>
          <w:p w14:paraId="092AC90A" w14:textId="663F2B6D"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rPr>
              <w:t>21.7</w:t>
            </w:r>
          </w:p>
        </w:tc>
        <w:tc>
          <w:tcPr>
            <w:tcW w:w="396" w:type="pct"/>
            <w:tcBorders>
              <w:top w:val="single" w:sz="12" w:space="0" w:color="auto"/>
            </w:tcBorders>
            <w:shd w:val="clear" w:color="auto" w:fill="BDD6EE" w:themeFill="accent5" w:themeFillTint="66"/>
            <w:vAlign w:val="center"/>
          </w:tcPr>
          <w:p w14:paraId="496F4CB7" w14:textId="1B862AAD" w:rsidR="00797E23" w:rsidRPr="006C550F" w:rsidRDefault="006A1F46"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0.65</w:t>
            </w:r>
          </w:p>
        </w:tc>
        <w:tc>
          <w:tcPr>
            <w:tcW w:w="670" w:type="pct"/>
            <w:tcBorders>
              <w:top w:val="single" w:sz="12" w:space="0" w:color="auto"/>
              <w:left w:val="single" w:sz="4" w:space="0" w:color="auto"/>
              <w:right w:val="single" w:sz="4" w:space="0" w:color="auto"/>
            </w:tcBorders>
            <w:shd w:val="clear" w:color="auto" w:fill="BDD6EE" w:themeFill="accent5" w:themeFillTint="66"/>
            <w:vAlign w:val="center"/>
          </w:tcPr>
          <w:p w14:paraId="4DDED847" w14:textId="733FFB5B" w:rsidR="00797E23" w:rsidRPr="006C550F" w:rsidRDefault="000105F9"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12.72</w:t>
            </w:r>
          </w:p>
        </w:tc>
        <w:tc>
          <w:tcPr>
            <w:tcW w:w="472" w:type="pct"/>
            <w:tcBorders>
              <w:top w:val="single" w:sz="12" w:space="0" w:color="auto"/>
              <w:left w:val="nil"/>
              <w:right w:val="single" w:sz="4" w:space="0" w:color="auto"/>
            </w:tcBorders>
            <w:shd w:val="clear" w:color="auto" w:fill="BDD6EE" w:themeFill="accent5" w:themeFillTint="66"/>
            <w:vAlign w:val="center"/>
          </w:tcPr>
          <w:p w14:paraId="791C06CA" w14:textId="11FD0C1C" w:rsidR="00797E23" w:rsidRPr="006C550F" w:rsidRDefault="000F04CA"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8.18</w:t>
            </w:r>
          </w:p>
        </w:tc>
      </w:tr>
      <w:tr w:rsidR="00797E23" w:rsidRPr="006C5A12" w14:paraId="1DC93D80" w14:textId="77777777" w:rsidTr="006C550F">
        <w:trPr>
          <w:cantSplit/>
        </w:trPr>
        <w:tc>
          <w:tcPr>
            <w:tcW w:w="5000" w:type="pct"/>
            <w:gridSpan w:val="7"/>
            <w:tcBorders>
              <w:top w:val="single" w:sz="12" w:space="0" w:color="auto"/>
              <w:bottom w:val="single" w:sz="12" w:space="0" w:color="auto"/>
              <w:right w:val="single" w:sz="4" w:space="0" w:color="auto"/>
            </w:tcBorders>
            <w:shd w:val="clear" w:color="auto" w:fill="BDD6EE" w:themeFill="accent5" w:themeFillTint="66"/>
            <w:vAlign w:val="center"/>
          </w:tcPr>
          <w:p w14:paraId="4C16B276" w14:textId="77777777" w:rsidR="00797E23" w:rsidRPr="006C550F" w:rsidRDefault="00797E23" w:rsidP="00B85AE5">
            <w:pPr>
              <w:jc w:val="center"/>
              <w:rPr>
                <w:b/>
                <w:strike/>
                <w:color w:val="808080" w:themeColor="background1" w:themeShade="80"/>
                <w:sz w:val="20"/>
                <w:szCs w:val="20"/>
                <w:lang w:val="en-GB"/>
              </w:rPr>
            </w:pPr>
            <w:r w:rsidRPr="006C550F">
              <w:rPr>
                <w:b/>
                <w:strike/>
                <w:color w:val="808080" w:themeColor="background1" w:themeShade="80"/>
                <w:sz w:val="20"/>
                <w:szCs w:val="20"/>
                <w:lang w:val="en-GB"/>
              </w:rPr>
              <w:t>Bulbs and onion like crops (2 x 0.902 kg a.s./ha, BBCH 14–49)</w:t>
            </w:r>
          </w:p>
        </w:tc>
      </w:tr>
      <w:tr w:rsidR="00797E23" w:rsidRPr="006C5A12" w14:paraId="2C8AA325" w14:textId="77777777" w:rsidTr="006C550F">
        <w:trPr>
          <w:cantSplit/>
          <w:trHeight w:val="938"/>
        </w:trPr>
        <w:tc>
          <w:tcPr>
            <w:tcW w:w="868" w:type="pct"/>
            <w:tcBorders>
              <w:top w:val="single" w:sz="4" w:space="0" w:color="auto"/>
              <w:left w:val="single" w:sz="4" w:space="0" w:color="auto"/>
              <w:right w:val="single" w:sz="4" w:space="0" w:color="auto"/>
            </w:tcBorders>
            <w:shd w:val="clear" w:color="auto" w:fill="BDD6EE" w:themeFill="accent5" w:themeFillTint="66"/>
            <w:vAlign w:val="center"/>
          </w:tcPr>
          <w:p w14:paraId="4C4908CD" w14:textId="28345549" w:rsidR="00797E23" w:rsidRPr="006C550F" w:rsidRDefault="00797E23"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rPr>
              <w:t>BBCH ≥40</w:t>
            </w:r>
          </w:p>
        </w:tc>
        <w:tc>
          <w:tcPr>
            <w:tcW w:w="1707" w:type="pct"/>
            <w:tcBorders>
              <w:top w:val="single" w:sz="4" w:space="0" w:color="auto"/>
              <w:left w:val="nil"/>
              <w:right w:val="single" w:sz="4" w:space="0" w:color="auto"/>
            </w:tcBorders>
            <w:shd w:val="clear" w:color="auto" w:fill="BDD6EE" w:themeFill="accent5" w:themeFillTint="66"/>
            <w:vAlign w:val="center"/>
          </w:tcPr>
          <w:p w14:paraId="28E38E3F" w14:textId="581E6D8A"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shd w:val="clear" w:color="auto" w:fill="BDD6EE" w:themeFill="accent5" w:themeFillTint="66"/>
            <w:vAlign w:val="center"/>
          </w:tcPr>
          <w:p w14:paraId="3CD4BE56" w14:textId="77777777"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tcBorders>
              <w:top w:val="single" w:sz="4" w:space="0" w:color="auto"/>
              <w:left w:val="single" w:sz="4" w:space="0" w:color="auto"/>
              <w:right w:val="single" w:sz="4" w:space="0" w:color="auto"/>
            </w:tcBorders>
            <w:shd w:val="clear" w:color="auto" w:fill="BDD6EE" w:themeFill="accent5" w:themeFillTint="66"/>
            <w:vAlign w:val="center"/>
          </w:tcPr>
          <w:p w14:paraId="4896AC9A" w14:textId="7EA679BE" w:rsidR="00797E23" w:rsidRPr="006C550F" w:rsidRDefault="00797E23"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rPr>
              <w:t>43.4</w:t>
            </w:r>
          </w:p>
        </w:tc>
        <w:tc>
          <w:tcPr>
            <w:tcW w:w="396" w:type="pct"/>
            <w:shd w:val="clear" w:color="auto" w:fill="BDD6EE" w:themeFill="accent5" w:themeFillTint="66"/>
            <w:vAlign w:val="center"/>
          </w:tcPr>
          <w:p w14:paraId="57687519" w14:textId="72BD3429" w:rsidR="00797E23" w:rsidRPr="006C550F" w:rsidRDefault="006A1F46"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0.45</w:t>
            </w:r>
          </w:p>
        </w:tc>
        <w:tc>
          <w:tcPr>
            <w:tcW w:w="670" w:type="pct"/>
            <w:tcBorders>
              <w:top w:val="single" w:sz="4" w:space="0" w:color="auto"/>
              <w:left w:val="single" w:sz="4" w:space="0" w:color="auto"/>
              <w:right w:val="single" w:sz="4" w:space="0" w:color="auto"/>
            </w:tcBorders>
            <w:shd w:val="clear" w:color="auto" w:fill="BDD6EE" w:themeFill="accent5" w:themeFillTint="66"/>
            <w:vAlign w:val="center"/>
          </w:tcPr>
          <w:p w14:paraId="5D612229" w14:textId="78707029" w:rsidR="00797E23" w:rsidRPr="006C550F" w:rsidRDefault="000F04CA"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lang w:val="en-GB" w:eastAsia="en-GB"/>
              </w:rPr>
              <w:t>17.62</w:t>
            </w:r>
          </w:p>
        </w:tc>
        <w:tc>
          <w:tcPr>
            <w:tcW w:w="472" w:type="pct"/>
            <w:tcBorders>
              <w:top w:val="single" w:sz="4" w:space="0" w:color="auto"/>
              <w:left w:val="single" w:sz="4" w:space="0" w:color="auto"/>
              <w:right w:val="single" w:sz="4" w:space="0" w:color="auto"/>
            </w:tcBorders>
            <w:shd w:val="clear" w:color="auto" w:fill="BDD6EE" w:themeFill="accent5" w:themeFillTint="66"/>
            <w:vAlign w:val="center"/>
          </w:tcPr>
          <w:p w14:paraId="7268762D" w14:textId="4974F2DF" w:rsidR="00797E23" w:rsidRPr="006C550F" w:rsidRDefault="005165AB"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lang w:val="en-GB" w:eastAsia="en-GB"/>
              </w:rPr>
              <w:t>5.90</w:t>
            </w:r>
          </w:p>
        </w:tc>
      </w:tr>
      <w:tr w:rsidR="00797E23" w:rsidRPr="006C5A12" w14:paraId="1EC70A16" w14:textId="77777777" w:rsidTr="006C550F">
        <w:trPr>
          <w:cantSplit/>
        </w:trPr>
        <w:tc>
          <w:tcPr>
            <w:tcW w:w="5000" w:type="pct"/>
            <w:gridSpan w:val="7"/>
            <w:tcBorders>
              <w:top w:val="single" w:sz="12" w:space="0" w:color="auto"/>
              <w:bottom w:val="single" w:sz="12" w:space="0" w:color="auto"/>
            </w:tcBorders>
            <w:shd w:val="clear" w:color="auto" w:fill="BDD6EE" w:themeFill="accent5" w:themeFillTint="66"/>
            <w:vAlign w:val="center"/>
          </w:tcPr>
          <w:p w14:paraId="3F0ADCD7" w14:textId="708A1450" w:rsidR="00797E23" w:rsidRPr="006C550F" w:rsidRDefault="00797E23" w:rsidP="00B85AE5">
            <w:pPr>
              <w:jc w:val="center"/>
              <w:rPr>
                <w:strike/>
                <w:color w:val="808080" w:themeColor="background1" w:themeShade="80"/>
                <w:sz w:val="20"/>
                <w:szCs w:val="20"/>
                <w:lang w:val="en-GB"/>
              </w:rPr>
            </w:pPr>
            <w:r w:rsidRPr="006C550F">
              <w:rPr>
                <w:b/>
                <w:strike/>
                <w:color w:val="808080" w:themeColor="background1" w:themeShade="80"/>
                <w:sz w:val="20"/>
                <w:szCs w:val="20"/>
                <w:lang w:val="en-GB"/>
              </w:rPr>
              <w:t>Fruiting vegetables (2 x 0.902 kg a.s./ha, BBCH 21 - 89)</w:t>
            </w:r>
          </w:p>
        </w:tc>
      </w:tr>
      <w:tr w:rsidR="005654C9" w:rsidRPr="006C5A12" w14:paraId="316014DE" w14:textId="77777777" w:rsidTr="006C550F">
        <w:trPr>
          <w:cantSplit/>
          <w:trHeight w:val="1292"/>
        </w:trPr>
        <w:tc>
          <w:tcPr>
            <w:tcW w:w="868" w:type="pct"/>
            <w:shd w:val="clear" w:color="auto" w:fill="BDD6EE" w:themeFill="accent5" w:themeFillTint="66"/>
            <w:vAlign w:val="center"/>
          </w:tcPr>
          <w:p w14:paraId="54DAA9A2" w14:textId="2A9D761B" w:rsidR="005654C9" w:rsidRPr="006C550F" w:rsidRDefault="005654C9" w:rsidP="00B85AE5">
            <w:pPr>
              <w:jc w:val="center"/>
              <w:rPr>
                <w:strike/>
                <w:color w:val="808080" w:themeColor="background1" w:themeShade="80"/>
                <w:sz w:val="20"/>
                <w:szCs w:val="20"/>
                <w:lang w:val="en-GB"/>
              </w:rPr>
            </w:pPr>
            <w:r w:rsidRPr="006C550F">
              <w:rPr>
                <w:strike/>
                <w:color w:val="808080" w:themeColor="background1" w:themeShade="80"/>
                <w:sz w:val="20"/>
                <w:szCs w:val="20"/>
              </w:rPr>
              <w:t>BBCH 10-49</w:t>
            </w:r>
          </w:p>
        </w:tc>
        <w:tc>
          <w:tcPr>
            <w:tcW w:w="1707" w:type="pct"/>
            <w:shd w:val="clear" w:color="auto" w:fill="BDD6EE" w:themeFill="accent5" w:themeFillTint="66"/>
            <w:vAlign w:val="center"/>
          </w:tcPr>
          <w:p w14:paraId="63AA9C2B" w14:textId="6F280770" w:rsidR="005654C9" w:rsidRPr="006C550F" w:rsidRDefault="005654C9"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tcBorders>
              <w:bottom w:val="single" w:sz="4" w:space="0" w:color="auto"/>
            </w:tcBorders>
            <w:shd w:val="clear" w:color="auto" w:fill="BDD6EE" w:themeFill="accent5" w:themeFillTint="66"/>
            <w:vAlign w:val="center"/>
          </w:tcPr>
          <w:p w14:paraId="2336022D" w14:textId="77777777" w:rsidR="005654C9" w:rsidRPr="006C550F" w:rsidRDefault="005654C9"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shd w:val="clear" w:color="auto" w:fill="BDD6EE" w:themeFill="accent5" w:themeFillTint="66"/>
            <w:vAlign w:val="center"/>
          </w:tcPr>
          <w:p w14:paraId="69FE490B" w14:textId="4BB80ACA" w:rsidR="005654C9" w:rsidRPr="006C550F" w:rsidRDefault="005654C9" w:rsidP="00B85AE5">
            <w:pPr>
              <w:jc w:val="center"/>
              <w:rPr>
                <w:strike/>
                <w:color w:val="808080" w:themeColor="background1" w:themeShade="80"/>
                <w:sz w:val="20"/>
                <w:szCs w:val="20"/>
                <w:lang w:val="en-GB"/>
              </w:rPr>
            </w:pPr>
            <w:r w:rsidRPr="006C550F">
              <w:rPr>
                <w:strike/>
                <w:color w:val="808080" w:themeColor="background1" w:themeShade="80"/>
                <w:sz w:val="20"/>
                <w:szCs w:val="20"/>
              </w:rPr>
              <w:t>72.3</w:t>
            </w:r>
          </w:p>
        </w:tc>
        <w:tc>
          <w:tcPr>
            <w:tcW w:w="396" w:type="pct"/>
            <w:tcBorders>
              <w:bottom w:val="single" w:sz="4" w:space="0" w:color="auto"/>
            </w:tcBorders>
            <w:shd w:val="clear" w:color="auto" w:fill="BDD6EE" w:themeFill="accent5" w:themeFillTint="66"/>
            <w:vAlign w:val="center"/>
          </w:tcPr>
          <w:p w14:paraId="5B451CE3" w14:textId="2E40271F" w:rsidR="005654C9" w:rsidRPr="006C550F" w:rsidRDefault="0048258D"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0.44</w:t>
            </w:r>
          </w:p>
        </w:tc>
        <w:tc>
          <w:tcPr>
            <w:tcW w:w="670" w:type="pct"/>
            <w:tcBorders>
              <w:top w:val="nil"/>
              <w:left w:val="single" w:sz="4" w:space="0" w:color="auto"/>
              <w:right w:val="single" w:sz="4" w:space="0" w:color="auto"/>
            </w:tcBorders>
            <w:shd w:val="clear" w:color="auto" w:fill="BDD6EE" w:themeFill="accent5" w:themeFillTint="66"/>
            <w:vAlign w:val="center"/>
          </w:tcPr>
          <w:p w14:paraId="05720DE8" w14:textId="117734FF" w:rsidR="005654C9" w:rsidRPr="006C550F" w:rsidRDefault="005165AB"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28.69</w:t>
            </w:r>
          </w:p>
        </w:tc>
        <w:tc>
          <w:tcPr>
            <w:tcW w:w="472" w:type="pct"/>
            <w:tcBorders>
              <w:top w:val="nil"/>
              <w:left w:val="nil"/>
              <w:right w:val="single" w:sz="4" w:space="0" w:color="auto"/>
            </w:tcBorders>
            <w:shd w:val="clear" w:color="auto" w:fill="BDD6EE" w:themeFill="accent5" w:themeFillTint="66"/>
            <w:vAlign w:val="center"/>
          </w:tcPr>
          <w:p w14:paraId="038C1DCE" w14:textId="52422A34" w:rsidR="005654C9" w:rsidRPr="006C550F" w:rsidRDefault="00895946" w:rsidP="00B85AE5">
            <w:pPr>
              <w:jc w:val="center"/>
              <w:rPr>
                <w:b/>
                <w:bCs/>
                <w:strike/>
                <w:color w:val="808080" w:themeColor="background1" w:themeShade="80"/>
                <w:sz w:val="20"/>
                <w:szCs w:val="20"/>
                <w:lang w:val="en-GB"/>
              </w:rPr>
            </w:pPr>
            <w:r w:rsidRPr="006C550F">
              <w:rPr>
                <w:b/>
                <w:bCs/>
                <w:strike/>
                <w:color w:val="808080" w:themeColor="background1" w:themeShade="80"/>
                <w:sz w:val="20"/>
                <w:szCs w:val="20"/>
                <w:lang w:val="en-GB"/>
              </w:rPr>
              <w:t>3.62</w:t>
            </w:r>
          </w:p>
        </w:tc>
      </w:tr>
      <w:tr w:rsidR="00797E23" w:rsidRPr="00DD6E50" w14:paraId="740B7F7C" w14:textId="77777777" w:rsidTr="006C550F">
        <w:trPr>
          <w:cantSplit/>
        </w:trPr>
        <w:tc>
          <w:tcPr>
            <w:tcW w:w="5000" w:type="pct"/>
            <w:gridSpan w:val="7"/>
            <w:tcBorders>
              <w:top w:val="single" w:sz="12" w:space="0" w:color="auto"/>
              <w:bottom w:val="single" w:sz="12" w:space="0" w:color="auto"/>
              <w:right w:val="single" w:sz="4" w:space="0" w:color="auto"/>
            </w:tcBorders>
            <w:shd w:val="clear" w:color="auto" w:fill="BDD6EE" w:themeFill="accent5" w:themeFillTint="66"/>
            <w:vAlign w:val="center"/>
          </w:tcPr>
          <w:p w14:paraId="086DB6D3" w14:textId="77777777" w:rsidR="00797E23" w:rsidRPr="006C550F" w:rsidRDefault="00797E23" w:rsidP="00B85AE5">
            <w:pPr>
              <w:keepNext/>
              <w:keepLines/>
              <w:jc w:val="center"/>
              <w:rPr>
                <w:b/>
                <w:strike/>
                <w:color w:val="808080" w:themeColor="background1" w:themeShade="80"/>
                <w:sz w:val="20"/>
                <w:szCs w:val="20"/>
                <w:lang w:val="es-ES"/>
              </w:rPr>
            </w:pPr>
            <w:r w:rsidRPr="006C550F">
              <w:rPr>
                <w:b/>
                <w:strike/>
                <w:color w:val="808080" w:themeColor="background1" w:themeShade="80"/>
                <w:sz w:val="20"/>
                <w:szCs w:val="20"/>
                <w:lang w:val="es-ES"/>
              </w:rPr>
              <w:t>Ornamentals (2 x 0.902 kg a.s./ha, BBCH 12–59)</w:t>
            </w:r>
          </w:p>
        </w:tc>
      </w:tr>
      <w:tr w:rsidR="005654C9" w:rsidRPr="006C5A12" w14:paraId="419574F0" w14:textId="77777777" w:rsidTr="006C550F">
        <w:trPr>
          <w:cantSplit/>
          <w:trHeight w:val="584"/>
        </w:trPr>
        <w:tc>
          <w:tcPr>
            <w:tcW w:w="868" w:type="pct"/>
            <w:tcBorders>
              <w:top w:val="single" w:sz="4" w:space="0" w:color="auto"/>
              <w:left w:val="single" w:sz="4" w:space="0" w:color="auto"/>
              <w:right w:val="single" w:sz="4" w:space="0" w:color="auto"/>
            </w:tcBorders>
            <w:shd w:val="clear" w:color="auto" w:fill="BDD6EE" w:themeFill="accent5" w:themeFillTint="66"/>
            <w:vAlign w:val="center"/>
          </w:tcPr>
          <w:p w14:paraId="7826B925" w14:textId="55950875" w:rsidR="005654C9" w:rsidRPr="006C550F" w:rsidRDefault="005654C9"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rPr>
              <w:t>BBCH 40-49</w:t>
            </w:r>
          </w:p>
        </w:tc>
        <w:tc>
          <w:tcPr>
            <w:tcW w:w="1707" w:type="pct"/>
            <w:tcBorders>
              <w:top w:val="single" w:sz="4" w:space="0" w:color="auto"/>
              <w:left w:val="nil"/>
              <w:right w:val="single" w:sz="4" w:space="0" w:color="auto"/>
            </w:tcBorders>
            <w:shd w:val="clear" w:color="auto" w:fill="BDD6EE" w:themeFill="accent5" w:themeFillTint="66"/>
            <w:vAlign w:val="center"/>
          </w:tcPr>
          <w:p w14:paraId="0099BF73" w14:textId="2C47C8C1" w:rsidR="005654C9" w:rsidRPr="006C550F" w:rsidRDefault="005654C9" w:rsidP="00B85AE5">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val="restart"/>
            <w:shd w:val="clear" w:color="auto" w:fill="BDD6EE" w:themeFill="accent5" w:themeFillTint="66"/>
            <w:vAlign w:val="center"/>
          </w:tcPr>
          <w:p w14:paraId="25524DC2" w14:textId="77777777" w:rsidR="005654C9" w:rsidRPr="006C550F" w:rsidRDefault="005654C9"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tcBorders>
              <w:top w:val="single" w:sz="4" w:space="0" w:color="auto"/>
              <w:left w:val="single" w:sz="4" w:space="0" w:color="auto"/>
              <w:right w:val="single" w:sz="4" w:space="0" w:color="auto"/>
            </w:tcBorders>
            <w:shd w:val="clear" w:color="auto" w:fill="BDD6EE" w:themeFill="accent5" w:themeFillTint="66"/>
            <w:vAlign w:val="center"/>
          </w:tcPr>
          <w:p w14:paraId="617DE10B" w14:textId="24E9F892" w:rsidR="005654C9" w:rsidRPr="006C550F" w:rsidRDefault="005654C9"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rPr>
              <w:t>72.3</w:t>
            </w:r>
          </w:p>
        </w:tc>
        <w:tc>
          <w:tcPr>
            <w:tcW w:w="396" w:type="pct"/>
            <w:vMerge w:val="restart"/>
            <w:shd w:val="clear" w:color="auto" w:fill="BDD6EE" w:themeFill="accent5" w:themeFillTint="66"/>
            <w:vAlign w:val="center"/>
          </w:tcPr>
          <w:p w14:paraId="352F58F9" w14:textId="00F8EEDC" w:rsidR="005654C9" w:rsidRPr="006C550F" w:rsidRDefault="0048258D"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0.44</w:t>
            </w:r>
          </w:p>
        </w:tc>
        <w:tc>
          <w:tcPr>
            <w:tcW w:w="670" w:type="pct"/>
            <w:tcBorders>
              <w:top w:val="single" w:sz="4" w:space="0" w:color="auto"/>
              <w:left w:val="single" w:sz="4" w:space="0" w:color="auto"/>
              <w:right w:val="single" w:sz="4" w:space="0" w:color="auto"/>
            </w:tcBorders>
            <w:shd w:val="clear" w:color="auto" w:fill="BDD6EE" w:themeFill="accent5" w:themeFillTint="66"/>
            <w:vAlign w:val="center"/>
          </w:tcPr>
          <w:p w14:paraId="74750EE3" w14:textId="484D439B" w:rsidR="005654C9" w:rsidRPr="006C550F" w:rsidRDefault="00895946" w:rsidP="00B85AE5">
            <w:pPr>
              <w:jc w:val="center"/>
              <w:rPr>
                <w:strike/>
                <w:color w:val="808080" w:themeColor="background1" w:themeShade="80"/>
                <w:sz w:val="20"/>
                <w:szCs w:val="20"/>
                <w:lang w:val="en-GB" w:eastAsia="en-GB"/>
              </w:rPr>
            </w:pPr>
            <w:r w:rsidRPr="006C550F">
              <w:rPr>
                <w:strike/>
                <w:color w:val="808080" w:themeColor="background1" w:themeShade="80"/>
                <w:sz w:val="20"/>
                <w:szCs w:val="20"/>
                <w:lang w:val="en-GB" w:eastAsia="en-GB"/>
              </w:rPr>
              <w:t>28.62</w:t>
            </w:r>
          </w:p>
        </w:tc>
        <w:tc>
          <w:tcPr>
            <w:tcW w:w="472" w:type="pct"/>
            <w:tcBorders>
              <w:top w:val="single" w:sz="4" w:space="0" w:color="auto"/>
              <w:left w:val="single" w:sz="4" w:space="0" w:color="auto"/>
              <w:right w:val="single" w:sz="4" w:space="0" w:color="auto"/>
            </w:tcBorders>
            <w:shd w:val="clear" w:color="auto" w:fill="BDD6EE" w:themeFill="accent5" w:themeFillTint="66"/>
            <w:vAlign w:val="center"/>
          </w:tcPr>
          <w:p w14:paraId="49C910C7" w14:textId="3DC1C01E" w:rsidR="005654C9" w:rsidRPr="006C550F" w:rsidRDefault="00895946" w:rsidP="00B85AE5">
            <w:pPr>
              <w:jc w:val="center"/>
              <w:rPr>
                <w:b/>
                <w:bCs/>
                <w:strike/>
                <w:color w:val="808080" w:themeColor="background1" w:themeShade="80"/>
                <w:sz w:val="20"/>
                <w:szCs w:val="20"/>
                <w:lang w:val="en-GB" w:eastAsia="en-GB"/>
              </w:rPr>
            </w:pPr>
            <w:r w:rsidRPr="006C550F">
              <w:rPr>
                <w:b/>
                <w:bCs/>
                <w:strike/>
                <w:color w:val="808080" w:themeColor="background1" w:themeShade="80"/>
                <w:sz w:val="20"/>
                <w:szCs w:val="20"/>
                <w:lang w:val="en-GB" w:eastAsia="en-GB"/>
              </w:rPr>
              <w:t>3.62</w:t>
            </w:r>
          </w:p>
        </w:tc>
      </w:tr>
      <w:tr w:rsidR="00DE4882" w:rsidRPr="006C5A12" w14:paraId="0AD88FAF" w14:textId="77777777" w:rsidTr="006C550F">
        <w:trPr>
          <w:cantSplit/>
        </w:trPr>
        <w:tc>
          <w:tcPr>
            <w:tcW w:w="868" w:type="pct"/>
            <w:tcBorders>
              <w:top w:val="nil"/>
              <w:left w:val="single" w:sz="4" w:space="0" w:color="auto"/>
              <w:bottom w:val="single" w:sz="4" w:space="0" w:color="auto"/>
              <w:right w:val="single" w:sz="4" w:space="0" w:color="auto"/>
            </w:tcBorders>
            <w:shd w:val="clear" w:color="auto" w:fill="BDD6EE" w:themeFill="accent5" w:themeFillTint="66"/>
            <w:vAlign w:val="center"/>
          </w:tcPr>
          <w:p w14:paraId="045973A4" w14:textId="77777777"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rPr>
              <w:t>BBCH ≥50</w:t>
            </w:r>
          </w:p>
        </w:tc>
        <w:tc>
          <w:tcPr>
            <w:tcW w:w="1707" w:type="pct"/>
            <w:tcBorders>
              <w:top w:val="nil"/>
              <w:left w:val="nil"/>
              <w:bottom w:val="single" w:sz="4" w:space="0" w:color="auto"/>
              <w:right w:val="single" w:sz="4" w:space="0" w:color="auto"/>
            </w:tcBorders>
            <w:shd w:val="clear" w:color="auto" w:fill="BDD6EE" w:themeFill="accent5" w:themeFillTint="66"/>
            <w:vAlign w:val="center"/>
          </w:tcPr>
          <w:p w14:paraId="76B61A57" w14:textId="77777777" w:rsidR="00797E23" w:rsidRPr="006C550F" w:rsidRDefault="00797E23" w:rsidP="00B85AE5">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shd w:val="clear" w:color="auto" w:fill="BDD6EE" w:themeFill="accent5" w:themeFillTint="66"/>
            <w:vAlign w:val="center"/>
          </w:tcPr>
          <w:p w14:paraId="431D6B8C" w14:textId="77777777" w:rsidR="00797E23" w:rsidRPr="006C550F" w:rsidRDefault="00797E23" w:rsidP="00B85AE5">
            <w:pPr>
              <w:jc w:val="center"/>
              <w:rPr>
                <w:strike/>
                <w:color w:val="808080" w:themeColor="background1" w:themeShade="80"/>
                <w:sz w:val="20"/>
                <w:szCs w:val="20"/>
                <w:lang w:val="en-GB"/>
              </w:rPr>
            </w:pPr>
          </w:p>
        </w:tc>
        <w:tc>
          <w:tcPr>
            <w:tcW w:w="356" w:type="pct"/>
            <w:tcBorders>
              <w:top w:val="nil"/>
              <w:left w:val="single" w:sz="4" w:space="0" w:color="auto"/>
              <w:bottom w:val="single" w:sz="4" w:space="0" w:color="auto"/>
              <w:right w:val="single" w:sz="4" w:space="0" w:color="auto"/>
            </w:tcBorders>
            <w:shd w:val="clear" w:color="auto" w:fill="BDD6EE" w:themeFill="accent5" w:themeFillTint="66"/>
            <w:vAlign w:val="center"/>
          </w:tcPr>
          <w:p w14:paraId="5AB3C215" w14:textId="77777777" w:rsidR="00797E23" w:rsidRPr="006C550F" w:rsidRDefault="00797E23" w:rsidP="00B85AE5">
            <w:pPr>
              <w:jc w:val="center"/>
              <w:rPr>
                <w:strike/>
                <w:color w:val="808080" w:themeColor="background1" w:themeShade="80"/>
                <w:sz w:val="20"/>
                <w:szCs w:val="20"/>
                <w:lang w:val="en-GB"/>
              </w:rPr>
            </w:pPr>
            <w:r w:rsidRPr="006C550F">
              <w:rPr>
                <w:strike/>
                <w:color w:val="808080" w:themeColor="background1" w:themeShade="80"/>
                <w:sz w:val="20"/>
                <w:szCs w:val="20"/>
              </w:rPr>
              <w:t>36.1</w:t>
            </w:r>
          </w:p>
        </w:tc>
        <w:tc>
          <w:tcPr>
            <w:tcW w:w="396" w:type="pct"/>
            <w:vMerge/>
            <w:shd w:val="clear" w:color="auto" w:fill="BDD6EE" w:themeFill="accent5" w:themeFillTint="66"/>
            <w:vAlign w:val="center"/>
          </w:tcPr>
          <w:p w14:paraId="3D2992DE" w14:textId="77777777" w:rsidR="00797E23" w:rsidRPr="006C550F" w:rsidRDefault="00797E23" w:rsidP="00B85AE5">
            <w:pPr>
              <w:jc w:val="center"/>
              <w:rPr>
                <w:strike/>
                <w:color w:val="808080" w:themeColor="background1" w:themeShade="80"/>
                <w:sz w:val="20"/>
                <w:szCs w:val="20"/>
                <w:lang w:val="en-GB"/>
              </w:rPr>
            </w:pPr>
          </w:p>
        </w:tc>
        <w:tc>
          <w:tcPr>
            <w:tcW w:w="670" w:type="pct"/>
            <w:tcBorders>
              <w:top w:val="nil"/>
              <w:left w:val="single" w:sz="4" w:space="0" w:color="auto"/>
              <w:bottom w:val="single" w:sz="4" w:space="0" w:color="auto"/>
              <w:right w:val="single" w:sz="4" w:space="0" w:color="auto"/>
            </w:tcBorders>
            <w:shd w:val="clear" w:color="auto" w:fill="BDD6EE" w:themeFill="accent5" w:themeFillTint="66"/>
            <w:vAlign w:val="center"/>
          </w:tcPr>
          <w:p w14:paraId="7EF4366C" w14:textId="6A526031" w:rsidR="00797E23" w:rsidRPr="006C550F" w:rsidRDefault="00C054DB"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14.33</w:t>
            </w:r>
          </w:p>
        </w:tc>
        <w:tc>
          <w:tcPr>
            <w:tcW w:w="472" w:type="pct"/>
            <w:tcBorders>
              <w:top w:val="nil"/>
              <w:left w:val="single" w:sz="4" w:space="0" w:color="auto"/>
              <w:bottom w:val="single" w:sz="4" w:space="0" w:color="auto"/>
              <w:right w:val="single" w:sz="4" w:space="0" w:color="auto"/>
            </w:tcBorders>
            <w:shd w:val="clear" w:color="auto" w:fill="BDD6EE" w:themeFill="accent5" w:themeFillTint="66"/>
            <w:vAlign w:val="center"/>
          </w:tcPr>
          <w:p w14:paraId="79D8BD06" w14:textId="3C320BE1" w:rsidR="00797E23" w:rsidRPr="006C550F" w:rsidRDefault="00C054DB" w:rsidP="00B85AE5">
            <w:pPr>
              <w:jc w:val="center"/>
              <w:rPr>
                <w:strike/>
                <w:color w:val="808080" w:themeColor="background1" w:themeShade="80"/>
                <w:sz w:val="20"/>
                <w:szCs w:val="20"/>
                <w:lang w:val="en-GB"/>
              </w:rPr>
            </w:pPr>
            <w:r w:rsidRPr="006C550F">
              <w:rPr>
                <w:strike/>
                <w:color w:val="808080" w:themeColor="background1" w:themeShade="80"/>
                <w:sz w:val="20"/>
                <w:szCs w:val="20"/>
                <w:lang w:val="en-GB"/>
              </w:rPr>
              <w:t>7.26</w:t>
            </w:r>
          </w:p>
        </w:tc>
      </w:tr>
      <w:tr w:rsidR="00797E23" w:rsidRPr="006C5A12" w14:paraId="7DD57EFA" w14:textId="77777777" w:rsidTr="006C550F">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B887AA2" w14:textId="77777777" w:rsidR="00797E23" w:rsidRPr="006C550F" w:rsidRDefault="00797E23" w:rsidP="00B85AE5">
            <w:pPr>
              <w:keepNext/>
              <w:jc w:val="center"/>
              <w:rPr>
                <w:strike/>
                <w:color w:val="808080" w:themeColor="background1" w:themeShade="80"/>
                <w:sz w:val="20"/>
                <w:szCs w:val="20"/>
              </w:rPr>
            </w:pPr>
            <w:r w:rsidRPr="006C550F">
              <w:rPr>
                <w:b/>
                <w:bCs/>
                <w:strike/>
                <w:color w:val="808080" w:themeColor="background1" w:themeShade="80"/>
                <w:sz w:val="20"/>
                <w:szCs w:val="20"/>
              </w:rPr>
              <w:lastRenderedPageBreak/>
              <w:t xml:space="preserve">Orchards </w:t>
            </w:r>
            <w:r w:rsidRPr="006C550F">
              <w:rPr>
                <w:b/>
                <w:strike/>
                <w:color w:val="808080" w:themeColor="background1" w:themeShade="80"/>
                <w:sz w:val="20"/>
                <w:szCs w:val="20"/>
                <w:lang w:val="en-GB"/>
              </w:rPr>
              <w:t>(2 x 0.902 kg a.s./ha, BBCH 12 - 59)</w:t>
            </w:r>
          </w:p>
        </w:tc>
      </w:tr>
      <w:tr w:rsidR="00DE4882" w:rsidRPr="006C5A12" w14:paraId="74E8D4F9" w14:textId="77777777" w:rsidTr="006C550F">
        <w:trPr>
          <w:cantSplit/>
        </w:trPr>
        <w:tc>
          <w:tcPr>
            <w:tcW w:w="868"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02752CC4"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rPr>
              <w:t>Application crop directed</w:t>
            </w:r>
          </w:p>
          <w:p w14:paraId="64431D10"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rPr>
              <w:t>BBCH 10-19</w:t>
            </w:r>
          </w:p>
        </w:tc>
        <w:tc>
          <w:tcPr>
            <w:tcW w:w="1707"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7DBEE20D" w14:textId="77777777" w:rsidR="00797E23" w:rsidRPr="006C550F" w:rsidRDefault="00797E23" w:rsidP="00B85AE5">
            <w:pPr>
              <w:keepNext/>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val="restart"/>
            <w:tcBorders>
              <w:top w:val="single" w:sz="4" w:space="0" w:color="auto"/>
            </w:tcBorders>
            <w:shd w:val="clear" w:color="auto" w:fill="BDD6EE" w:themeFill="accent5" w:themeFillTint="66"/>
            <w:vAlign w:val="center"/>
          </w:tcPr>
          <w:p w14:paraId="1EF30B81" w14:textId="77777777" w:rsidR="00797E23" w:rsidRPr="006C550F" w:rsidRDefault="00797E23" w:rsidP="00B85AE5">
            <w:pPr>
              <w:keepNext/>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6D0D1439"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lang w:val="en-GB"/>
              </w:rPr>
              <w:t>57.8</w:t>
            </w:r>
          </w:p>
        </w:tc>
        <w:tc>
          <w:tcPr>
            <w:tcW w:w="396" w:type="pct"/>
            <w:vMerge w:val="restart"/>
            <w:tcBorders>
              <w:top w:val="single" w:sz="4" w:space="0" w:color="auto"/>
            </w:tcBorders>
            <w:shd w:val="clear" w:color="auto" w:fill="BDD6EE" w:themeFill="accent5" w:themeFillTint="66"/>
            <w:vAlign w:val="center"/>
          </w:tcPr>
          <w:p w14:paraId="29CDD009" w14:textId="53B28FDE" w:rsidR="00797E23" w:rsidRPr="006C550F" w:rsidRDefault="00E10511" w:rsidP="00B85AE5">
            <w:pPr>
              <w:keepNext/>
              <w:jc w:val="center"/>
              <w:rPr>
                <w:strike/>
                <w:color w:val="808080" w:themeColor="background1" w:themeShade="80"/>
                <w:sz w:val="20"/>
                <w:szCs w:val="20"/>
                <w:lang w:val="en-GB"/>
              </w:rPr>
            </w:pPr>
            <w:r w:rsidRPr="006C550F">
              <w:rPr>
                <w:strike/>
                <w:color w:val="808080" w:themeColor="background1" w:themeShade="80"/>
                <w:sz w:val="20"/>
                <w:szCs w:val="20"/>
                <w:lang w:val="en-GB"/>
              </w:rPr>
              <w:t>0.44</w:t>
            </w:r>
          </w:p>
        </w:tc>
        <w:tc>
          <w:tcPr>
            <w:tcW w:w="670"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7B2B086" w14:textId="5CA6BA2F" w:rsidR="00797E23" w:rsidRPr="006C550F" w:rsidRDefault="00640C34" w:rsidP="00B85AE5">
            <w:pPr>
              <w:keepNext/>
              <w:jc w:val="center"/>
              <w:rPr>
                <w:strike/>
                <w:color w:val="808080" w:themeColor="background1" w:themeShade="80"/>
                <w:sz w:val="20"/>
                <w:szCs w:val="20"/>
              </w:rPr>
            </w:pPr>
            <w:r w:rsidRPr="006C550F">
              <w:rPr>
                <w:strike/>
                <w:color w:val="808080" w:themeColor="background1" w:themeShade="80"/>
                <w:sz w:val="20"/>
                <w:szCs w:val="20"/>
              </w:rPr>
              <w:t>22.94</w:t>
            </w:r>
          </w:p>
        </w:tc>
        <w:tc>
          <w:tcPr>
            <w:tcW w:w="472"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D2AFAEA" w14:textId="7978A69D" w:rsidR="00797E23" w:rsidRPr="006C550F" w:rsidRDefault="00676BC9" w:rsidP="00B85AE5">
            <w:pPr>
              <w:keepNext/>
              <w:jc w:val="center"/>
              <w:rPr>
                <w:b/>
                <w:bCs/>
                <w:strike/>
                <w:color w:val="808080" w:themeColor="background1" w:themeShade="80"/>
                <w:sz w:val="20"/>
                <w:szCs w:val="20"/>
              </w:rPr>
            </w:pPr>
            <w:r w:rsidRPr="006C550F">
              <w:rPr>
                <w:b/>
                <w:bCs/>
                <w:strike/>
                <w:color w:val="808080" w:themeColor="background1" w:themeShade="80"/>
                <w:sz w:val="20"/>
                <w:szCs w:val="20"/>
              </w:rPr>
              <w:t>4.53</w:t>
            </w:r>
          </w:p>
        </w:tc>
      </w:tr>
      <w:tr w:rsidR="00DE4882" w:rsidRPr="006C5A12" w14:paraId="02DA2671" w14:textId="77777777" w:rsidTr="006C550F">
        <w:trPr>
          <w:cantSplit/>
        </w:trPr>
        <w:tc>
          <w:tcPr>
            <w:tcW w:w="868"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33F38F0"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rPr>
              <w:t>Application crop directed</w:t>
            </w:r>
          </w:p>
          <w:p w14:paraId="4B7818FE"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rPr>
              <w:t>BBCH 20-40</w:t>
            </w:r>
          </w:p>
        </w:tc>
        <w:tc>
          <w:tcPr>
            <w:tcW w:w="1707"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59639EE4" w14:textId="77777777" w:rsidR="00797E23" w:rsidRPr="006C550F" w:rsidRDefault="00797E23" w:rsidP="00B85AE5">
            <w:pPr>
              <w:keepNext/>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shd w:val="clear" w:color="auto" w:fill="BDD6EE" w:themeFill="accent5" w:themeFillTint="66"/>
            <w:vAlign w:val="center"/>
          </w:tcPr>
          <w:p w14:paraId="5DD369C4" w14:textId="77777777" w:rsidR="00797E23" w:rsidRPr="006C550F" w:rsidRDefault="00797E23" w:rsidP="00B85AE5">
            <w:pPr>
              <w:keepNext/>
              <w:jc w:val="center"/>
              <w:rPr>
                <w:strike/>
                <w:color w:val="808080" w:themeColor="background1" w:themeShade="80"/>
                <w:sz w:val="20"/>
                <w:szCs w:val="20"/>
                <w:lang w:val="en-GB"/>
              </w:rPr>
            </w:pPr>
          </w:p>
        </w:tc>
        <w:tc>
          <w:tcPr>
            <w:tcW w:w="35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28D7559" w14:textId="77777777" w:rsidR="00797E23" w:rsidRPr="006C550F" w:rsidRDefault="00797E23" w:rsidP="00B85AE5">
            <w:pPr>
              <w:keepNext/>
              <w:jc w:val="center"/>
              <w:rPr>
                <w:strike/>
                <w:color w:val="808080" w:themeColor="background1" w:themeShade="80"/>
                <w:sz w:val="20"/>
                <w:szCs w:val="20"/>
              </w:rPr>
            </w:pPr>
            <w:r w:rsidRPr="006C550F">
              <w:rPr>
                <w:strike/>
                <w:color w:val="808080" w:themeColor="background1" w:themeShade="80"/>
                <w:sz w:val="20"/>
                <w:szCs w:val="20"/>
                <w:lang w:val="en-GB"/>
              </w:rPr>
              <w:t>43.4</w:t>
            </w:r>
          </w:p>
        </w:tc>
        <w:tc>
          <w:tcPr>
            <w:tcW w:w="396" w:type="pct"/>
            <w:vMerge/>
            <w:shd w:val="clear" w:color="auto" w:fill="BDD6EE" w:themeFill="accent5" w:themeFillTint="66"/>
            <w:vAlign w:val="center"/>
          </w:tcPr>
          <w:p w14:paraId="57DB9572" w14:textId="77777777" w:rsidR="00797E23" w:rsidRPr="006C550F" w:rsidRDefault="00797E23" w:rsidP="00B85AE5">
            <w:pPr>
              <w:keepNext/>
              <w:jc w:val="center"/>
              <w:rPr>
                <w:strike/>
                <w:color w:val="808080" w:themeColor="background1" w:themeShade="80"/>
                <w:sz w:val="20"/>
                <w:szCs w:val="20"/>
                <w:lang w:val="en-GB"/>
              </w:rPr>
            </w:pPr>
          </w:p>
        </w:tc>
        <w:tc>
          <w:tcPr>
            <w:tcW w:w="670"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E012682" w14:textId="79B2F8B1" w:rsidR="00797E23" w:rsidRPr="006C550F" w:rsidRDefault="00A27DB1" w:rsidP="00B85AE5">
            <w:pPr>
              <w:keepNext/>
              <w:jc w:val="center"/>
              <w:rPr>
                <w:strike/>
                <w:color w:val="808080" w:themeColor="background1" w:themeShade="80"/>
                <w:sz w:val="20"/>
                <w:szCs w:val="20"/>
              </w:rPr>
            </w:pPr>
            <w:r w:rsidRPr="006C550F">
              <w:rPr>
                <w:strike/>
                <w:color w:val="808080" w:themeColor="background1" w:themeShade="80"/>
                <w:sz w:val="20"/>
                <w:szCs w:val="20"/>
              </w:rPr>
              <w:t>17.22</w:t>
            </w:r>
          </w:p>
        </w:tc>
        <w:tc>
          <w:tcPr>
            <w:tcW w:w="472"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D2F18E0" w14:textId="3F5763E9" w:rsidR="00797E23" w:rsidRPr="006C550F" w:rsidRDefault="00A27DB1" w:rsidP="00B85AE5">
            <w:pPr>
              <w:keepNext/>
              <w:jc w:val="center"/>
              <w:rPr>
                <w:strike/>
                <w:color w:val="808080" w:themeColor="background1" w:themeShade="80"/>
                <w:sz w:val="20"/>
                <w:szCs w:val="20"/>
              </w:rPr>
            </w:pPr>
            <w:r w:rsidRPr="006C550F">
              <w:rPr>
                <w:strike/>
                <w:color w:val="808080" w:themeColor="background1" w:themeShade="80"/>
                <w:sz w:val="20"/>
                <w:szCs w:val="20"/>
              </w:rPr>
              <w:t>6.04</w:t>
            </w:r>
          </w:p>
        </w:tc>
      </w:tr>
      <w:tr w:rsidR="00797E23" w:rsidRPr="006C5A12" w14:paraId="655DCE67" w14:textId="77777777" w:rsidTr="006C550F">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86A697E" w14:textId="77777777" w:rsidR="00797E23" w:rsidRPr="006C550F" w:rsidRDefault="00797E23" w:rsidP="00B85AE5">
            <w:pPr>
              <w:keepNext/>
              <w:keepLines/>
              <w:jc w:val="center"/>
              <w:rPr>
                <w:strike/>
                <w:color w:val="808080" w:themeColor="background1" w:themeShade="80"/>
                <w:sz w:val="20"/>
                <w:szCs w:val="20"/>
              </w:rPr>
            </w:pPr>
            <w:r w:rsidRPr="006C550F">
              <w:rPr>
                <w:b/>
                <w:bCs/>
                <w:strike/>
                <w:color w:val="808080" w:themeColor="background1" w:themeShade="80"/>
                <w:sz w:val="20"/>
                <w:szCs w:val="20"/>
              </w:rPr>
              <w:t xml:space="preserve">Bush and cane fruit </w:t>
            </w:r>
            <w:r w:rsidRPr="006C550F">
              <w:rPr>
                <w:b/>
                <w:strike/>
                <w:color w:val="808080" w:themeColor="background1" w:themeShade="80"/>
                <w:sz w:val="20"/>
                <w:szCs w:val="20"/>
                <w:lang w:val="en-GB"/>
              </w:rPr>
              <w:t>(2 x 0.902 kg a.s./ha, BBCH 12 - 59)</w:t>
            </w:r>
          </w:p>
        </w:tc>
      </w:tr>
      <w:tr w:rsidR="00CE7234" w:rsidRPr="006C5A12" w14:paraId="4B49A80D" w14:textId="77777777" w:rsidTr="006C550F">
        <w:trPr>
          <w:cantSplit/>
          <w:trHeight w:val="938"/>
        </w:trPr>
        <w:tc>
          <w:tcPr>
            <w:tcW w:w="868" w:type="pct"/>
            <w:tcBorders>
              <w:top w:val="single" w:sz="4" w:space="0" w:color="auto"/>
              <w:left w:val="single" w:sz="4" w:space="0" w:color="auto"/>
              <w:right w:val="single" w:sz="4" w:space="0" w:color="auto"/>
            </w:tcBorders>
            <w:shd w:val="clear" w:color="auto" w:fill="BDD6EE" w:themeFill="accent5" w:themeFillTint="66"/>
            <w:vAlign w:val="center"/>
          </w:tcPr>
          <w:p w14:paraId="5AC43822" w14:textId="3A75E651"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BBCH 10-19</w:t>
            </w:r>
          </w:p>
        </w:tc>
        <w:tc>
          <w:tcPr>
            <w:tcW w:w="1707" w:type="pct"/>
            <w:tcBorders>
              <w:top w:val="single" w:sz="4" w:space="0" w:color="auto"/>
              <w:left w:val="nil"/>
              <w:right w:val="single" w:sz="4" w:space="0" w:color="auto"/>
            </w:tcBorders>
            <w:shd w:val="clear" w:color="auto" w:fill="BDD6EE" w:themeFill="accent5" w:themeFillTint="66"/>
            <w:vAlign w:val="center"/>
          </w:tcPr>
          <w:p w14:paraId="34AA4DB7" w14:textId="5014066C" w:rsidR="00CE7234" w:rsidRPr="006C550F" w:rsidRDefault="00CE7234" w:rsidP="00CE7234">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val="restart"/>
            <w:tcBorders>
              <w:top w:val="single" w:sz="4" w:space="0" w:color="auto"/>
            </w:tcBorders>
            <w:shd w:val="clear" w:color="auto" w:fill="BDD6EE" w:themeFill="accent5" w:themeFillTint="66"/>
            <w:vAlign w:val="center"/>
          </w:tcPr>
          <w:p w14:paraId="04742566" w14:textId="77777777" w:rsidR="00CE7234" w:rsidRPr="006C550F" w:rsidRDefault="00CE7234" w:rsidP="00CE7234">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0.902</w:t>
            </w:r>
          </w:p>
        </w:tc>
        <w:tc>
          <w:tcPr>
            <w:tcW w:w="356" w:type="pct"/>
            <w:tcBorders>
              <w:top w:val="single" w:sz="4" w:space="0" w:color="auto"/>
              <w:left w:val="single" w:sz="4" w:space="0" w:color="auto"/>
              <w:right w:val="single" w:sz="4" w:space="0" w:color="auto"/>
            </w:tcBorders>
            <w:shd w:val="clear" w:color="auto" w:fill="BDD6EE" w:themeFill="accent5" w:themeFillTint="66"/>
            <w:vAlign w:val="center"/>
          </w:tcPr>
          <w:p w14:paraId="76CB6B34" w14:textId="2428D74E"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43.4</w:t>
            </w:r>
          </w:p>
        </w:tc>
        <w:tc>
          <w:tcPr>
            <w:tcW w:w="396" w:type="pct"/>
            <w:vMerge w:val="restart"/>
            <w:tcBorders>
              <w:top w:val="single" w:sz="4" w:space="0" w:color="auto"/>
            </w:tcBorders>
            <w:shd w:val="clear" w:color="auto" w:fill="BDD6EE" w:themeFill="accent5" w:themeFillTint="66"/>
            <w:vAlign w:val="center"/>
          </w:tcPr>
          <w:p w14:paraId="74DCB016" w14:textId="2307768B" w:rsidR="00CE7234" w:rsidRPr="006C550F" w:rsidRDefault="00CE7234" w:rsidP="00CE7234">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0.44</w:t>
            </w:r>
          </w:p>
        </w:tc>
        <w:tc>
          <w:tcPr>
            <w:tcW w:w="670" w:type="pct"/>
            <w:tcBorders>
              <w:top w:val="single" w:sz="4" w:space="0" w:color="auto"/>
              <w:left w:val="single" w:sz="4" w:space="0" w:color="auto"/>
              <w:right w:val="single" w:sz="4" w:space="0" w:color="auto"/>
            </w:tcBorders>
            <w:shd w:val="clear" w:color="auto" w:fill="BDD6EE" w:themeFill="accent5" w:themeFillTint="66"/>
            <w:vAlign w:val="center"/>
          </w:tcPr>
          <w:p w14:paraId="515C221E" w14:textId="360532F1"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17.22</w:t>
            </w:r>
          </w:p>
        </w:tc>
        <w:tc>
          <w:tcPr>
            <w:tcW w:w="472" w:type="pct"/>
            <w:tcBorders>
              <w:top w:val="single" w:sz="4" w:space="0" w:color="auto"/>
              <w:left w:val="single" w:sz="4" w:space="0" w:color="auto"/>
              <w:right w:val="single" w:sz="4" w:space="0" w:color="auto"/>
            </w:tcBorders>
            <w:shd w:val="clear" w:color="auto" w:fill="BDD6EE" w:themeFill="accent5" w:themeFillTint="66"/>
            <w:vAlign w:val="center"/>
          </w:tcPr>
          <w:p w14:paraId="5695C8EA" w14:textId="00800D63"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6.04</w:t>
            </w:r>
          </w:p>
        </w:tc>
      </w:tr>
      <w:tr w:rsidR="00DE4882" w:rsidRPr="006C5A12" w14:paraId="5941F25A" w14:textId="77777777" w:rsidTr="006C550F">
        <w:trPr>
          <w:cantSplit/>
        </w:trPr>
        <w:tc>
          <w:tcPr>
            <w:tcW w:w="868"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4AB9CBA7" w14:textId="77777777"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BBCH 20-39</w:t>
            </w:r>
          </w:p>
        </w:tc>
        <w:tc>
          <w:tcPr>
            <w:tcW w:w="1707" w:type="pct"/>
            <w:tcBorders>
              <w:top w:val="single" w:sz="4" w:space="0" w:color="auto"/>
              <w:left w:val="nil"/>
              <w:bottom w:val="single" w:sz="4" w:space="0" w:color="auto"/>
              <w:right w:val="single" w:sz="4" w:space="0" w:color="auto"/>
            </w:tcBorders>
            <w:shd w:val="clear" w:color="auto" w:fill="BDD6EE" w:themeFill="accent5" w:themeFillTint="66"/>
            <w:vAlign w:val="center"/>
          </w:tcPr>
          <w:p w14:paraId="54C68FB2" w14:textId="77777777" w:rsidR="00CE7234" w:rsidRPr="006C550F" w:rsidRDefault="00CE7234" w:rsidP="00CE7234">
            <w:pPr>
              <w:keepNext/>
              <w:keepLines/>
              <w:jc w:val="center"/>
              <w:rPr>
                <w:strike/>
                <w:color w:val="808080" w:themeColor="background1" w:themeShade="80"/>
                <w:sz w:val="20"/>
                <w:szCs w:val="20"/>
                <w:lang w:val="en-GB"/>
              </w:rPr>
            </w:pPr>
            <w:r w:rsidRPr="006C550F">
              <w:rPr>
                <w:strike/>
                <w:color w:val="808080" w:themeColor="background1" w:themeShade="80"/>
                <w:sz w:val="20"/>
                <w:szCs w:val="20"/>
                <w:lang w:val="en-GB"/>
              </w:rPr>
              <w:t>Small herbivorous mammal “vole”</w:t>
            </w:r>
          </w:p>
        </w:tc>
        <w:tc>
          <w:tcPr>
            <w:tcW w:w="531" w:type="pct"/>
            <w:vMerge/>
            <w:shd w:val="clear" w:color="auto" w:fill="BDD6EE" w:themeFill="accent5" w:themeFillTint="66"/>
            <w:vAlign w:val="center"/>
          </w:tcPr>
          <w:p w14:paraId="60838B2F" w14:textId="77777777" w:rsidR="00CE7234" w:rsidRPr="006C550F" w:rsidRDefault="00CE7234" w:rsidP="00CE7234">
            <w:pPr>
              <w:keepNext/>
              <w:keepLines/>
              <w:jc w:val="center"/>
              <w:rPr>
                <w:strike/>
                <w:color w:val="808080" w:themeColor="background1" w:themeShade="80"/>
                <w:sz w:val="20"/>
                <w:szCs w:val="20"/>
                <w:lang w:val="en-GB"/>
              </w:rPr>
            </w:pPr>
          </w:p>
        </w:tc>
        <w:tc>
          <w:tcPr>
            <w:tcW w:w="356"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317F7D04" w14:textId="77777777" w:rsidR="00CE7234" w:rsidRPr="006C550F" w:rsidRDefault="00CE7234" w:rsidP="00CE7234">
            <w:pPr>
              <w:keepNext/>
              <w:keepLines/>
              <w:jc w:val="center"/>
              <w:rPr>
                <w:strike/>
                <w:color w:val="808080" w:themeColor="background1" w:themeShade="80"/>
                <w:sz w:val="20"/>
                <w:szCs w:val="20"/>
              </w:rPr>
            </w:pPr>
            <w:r w:rsidRPr="006C550F">
              <w:rPr>
                <w:strike/>
                <w:color w:val="808080" w:themeColor="background1" w:themeShade="80"/>
                <w:sz w:val="20"/>
                <w:szCs w:val="20"/>
              </w:rPr>
              <w:t>36.1</w:t>
            </w:r>
          </w:p>
        </w:tc>
        <w:tc>
          <w:tcPr>
            <w:tcW w:w="396" w:type="pct"/>
            <w:vMerge/>
            <w:shd w:val="clear" w:color="auto" w:fill="BDD6EE" w:themeFill="accent5" w:themeFillTint="66"/>
            <w:vAlign w:val="center"/>
          </w:tcPr>
          <w:p w14:paraId="02EBCE5C" w14:textId="77777777" w:rsidR="00CE7234" w:rsidRPr="006C550F" w:rsidRDefault="00CE7234" w:rsidP="00CE7234">
            <w:pPr>
              <w:keepNext/>
              <w:keepLines/>
              <w:jc w:val="center"/>
              <w:rPr>
                <w:strike/>
                <w:color w:val="808080" w:themeColor="background1" w:themeShade="80"/>
                <w:sz w:val="20"/>
                <w:szCs w:val="20"/>
                <w:lang w:val="en-GB"/>
              </w:rPr>
            </w:pPr>
          </w:p>
        </w:tc>
        <w:tc>
          <w:tcPr>
            <w:tcW w:w="670"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2B5852F9" w14:textId="288A49FD" w:rsidR="00CE7234" w:rsidRPr="006C550F" w:rsidRDefault="00DE4882" w:rsidP="00CE7234">
            <w:pPr>
              <w:keepNext/>
              <w:keepLines/>
              <w:jc w:val="center"/>
              <w:rPr>
                <w:strike/>
                <w:color w:val="808080" w:themeColor="background1" w:themeShade="80"/>
                <w:sz w:val="20"/>
                <w:szCs w:val="20"/>
              </w:rPr>
            </w:pPr>
            <w:r w:rsidRPr="006C550F">
              <w:rPr>
                <w:strike/>
                <w:color w:val="808080" w:themeColor="background1" w:themeShade="80"/>
                <w:sz w:val="20"/>
                <w:szCs w:val="20"/>
              </w:rPr>
              <w:t>14.33</w:t>
            </w:r>
          </w:p>
        </w:tc>
        <w:tc>
          <w:tcPr>
            <w:tcW w:w="472"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7673F319" w14:textId="203B25BB" w:rsidR="00CE7234" w:rsidRPr="006C550F" w:rsidRDefault="00DE4882" w:rsidP="00CE7234">
            <w:pPr>
              <w:keepNext/>
              <w:keepLines/>
              <w:jc w:val="center"/>
              <w:rPr>
                <w:strike/>
                <w:color w:val="808080" w:themeColor="background1" w:themeShade="80"/>
                <w:sz w:val="20"/>
                <w:szCs w:val="20"/>
              </w:rPr>
            </w:pPr>
            <w:r w:rsidRPr="006C550F">
              <w:rPr>
                <w:strike/>
                <w:color w:val="808080" w:themeColor="background1" w:themeShade="80"/>
                <w:sz w:val="20"/>
                <w:szCs w:val="20"/>
              </w:rPr>
              <w:t>7.26</w:t>
            </w:r>
          </w:p>
        </w:tc>
      </w:tr>
    </w:tbl>
    <w:p w14:paraId="745A1006" w14:textId="77777777" w:rsidR="00797E23" w:rsidRPr="00A34F10" w:rsidRDefault="00797E23" w:rsidP="00797E23">
      <w:pPr>
        <w:keepNext/>
        <w:keepLines/>
        <w:widowControl w:val="0"/>
        <w:tabs>
          <w:tab w:val="left" w:pos="0"/>
        </w:tabs>
        <w:rPr>
          <w:sz w:val="18"/>
          <w:szCs w:val="18"/>
          <w:lang w:val="en-GB"/>
        </w:rPr>
      </w:pPr>
      <w:r w:rsidRPr="00A34F10">
        <w:rPr>
          <w:sz w:val="18"/>
          <w:szCs w:val="18"/>
          <w:lang w:val="en-GB"/>
        </w:rPr>
        <w:t xml:space="preserve">SV: shortcut value; MAF: multiple application factor; TWA: time-weighted average factor; DDD: daily dietary dose; TER: toxicity to exposure ratio. </w:t>
      </w:r>
    </w:p>
    <w:p w14:paraId="3E25AD2B" w14:textId="77777777" w:rsidR="00797E23" w:rsidRPr="00A34F10" w:rsidRDefault="00797E23" w:rsidP="00797E23">
      <w:pPr>
        <w:keepNext/>
        <w:keepLines/>
        <w:widowControl w:val="0"/>
        <w:tabs>
          <w:tab w:val="left" w:pos="0"/>
        </w:tabs>
        <w:rPr>
          <w:sz w:val="18"/>
          <w:szCs w:val="18"/>
          <w:lang w:val="en-GB"/>
        </w:rPr>
      </w:pPr>
      <w:r w:rsidRPr="00A34F10">
        <w:rPr>
          <w:sz w:val="18"/>
          <w:szCs w:val="18"/>
          <w:lang w:val="en-GB"/>
        </w:rPr>
        <w:t xml:space="preserve">* </w:t>
      </w:r>
      <w:r w:rsidRPr="00A34F10">
        <w:rPr>
          <w:bCs/>
          <w:sz w:val="18"/>
          <w:szCs w:val="18"/>
          <w:lang w:val="en-GB"/>
        </w:rPr>
        <w:t>Covers use in bulb and onion like crops at lower application rate</w:t>
      </w:r>
    </w:p>
    <w:p w14:paraId="791242FD" w14:textId="11A03584" w:rsidR="009B71DE" w:rsidRDefault="009B71DE"/>
    <w:p w14:paraId="4CA0CF48" w14:textId="77777777" w:rsidR="00DC5685" w:rsidRPr="00A34F10" w:rsidRDefault="00DC5685" w:rsidP="00DC5685">
      <w:pPr>
        <w:keepNext/>
        <w:spacing w:before="120" w:after="120"/>
        <w:rPr>
          <w:b/>
          <w:szCs w:val="24"/>
          <w:lang w:val="en-GB" w:eastAsia="en-GB"/>
        </w:rPr>
      </w:pPr>
      <w:r w:rsidRPr="00A34F10">
        <w:rPr>
          <w:b/>
          <w:szCs w:val="24"/>
          <w:lang w:val="en-GB" w:eastAsia="en-GB"/>
        </w:rPr>
        <w:t xml:space="preserve">Refinement: PD </w:t>
      </w:r>
    </w:p>
    <w:p w14:paraId="503CEDC6" w14:textId="77777777" w:rsidR="00DC5685" w:rsidRPr="00A34F10" w:rsidRDefault="00DC5685" w:rsidP="00E05ECD">
      <w:pPr>
        <w:pStyle w:val="RepStandard"/>
        <w:keepNext/>
        <w:numPr>
          <w:ilvl w:val="0"/>
          <w:numId w:val="21"/>
        </w:numPr>
        <w:suppressAutoHyphens/>
        <w:rPr>
          <w:b/>
          <w:bCs/>
        </w:rPr>
      </w:pPr>
      <w:r w:rsidRPr="00A34F10">
        <w:rPr>
          <w:b/>
          <w:bCs/>
        </w:rPr>
        <w:t>Composition of food items in the diet (PD)</w:t>
      </w:r>
    </w:p>
    <w:p w14:paraId="79C1C4F9" w14:textId="40460E02" w:rsidR="00EE3ACD" w:rsidRDefault="00DC5685" w:rsidP="00DC5685">
      <w:pPr>
        <w:pStyle w:val="RepStandard"/>
        <w:suppressAutoHyphens/>
      </w:pPr>
      <w:r w:rsidRPr="00A34F10">
        <w:t>The diet of the vole in the Tier 1 assessment according to the EFSA Bird and Mammal Guidance Document (2009) is 100 % grasses (</w:t>
      </w:r>
      <w:r w:rsidRPr="00A34F10">
        <w:rPr>
          <w:i/>
          <w:iCs/>
        </w:rPr>
        <w:t>i.e.</w:t>
      </w:r>
      <w:r w:rsidRPr="00A34F10">
        <w:t xml:space="preserve"> monocots). However, this is an unrealistic worst-case assumption. Studies have demonstrated that common voles (</w:t>
      </w:r>
      <w:r w:rsidRPr="00A34F10">
        <w:rPr>
          <w:i/>
          <w:iCs/>
        </w:rPr>
        <w:t>Microtus arvalis</w:t>
      </w:r>
      <w:r w:rsidRPr="00A34F10">
        <w:t>) prefer to consume dicotyledons (broad leaf weeds) rather than monocotyledonous grasses. Leutert (1983)</w:t>
      </w:r>
      <w:r w:rsidRPr="00A34F10">
        <w:rPr>
          <w:rStyle w:val="Odwoanieprzypisudolnego"/>
        </w:rPr>
        <w:footnoteReference w:id="3"/>
      </w:r>
      <w:r w:rsidRPr="00A34F10">
        <w:t xml:space="preserve"> investigated the food piles of voles and taking the average of the preferences in the two meadow types investigated (fertilized and unfertilized meadows) resulted in a vole diet of 44.5% mono- and 55.5% dicotyledonous plants. </w:t>
      </w:r>
    </w:p>
    <w:p w14:paraId="109DB0DA" w14:textId="77777777" w:rsidR="002F6515" w:rsidRDefault="002F6515" w:rsidP="00AB6DD5">
      <w:pPr>
        <w:jc w:val="both"/>
      </w:pPr>
    </w:p>
    <w:p w14:paraId="4C7A9EFE" w14:textId="07603353" w:rsidR="00DC5685" w:rsidRPr="00A34F10" w:rsidRDefault="00DC5685" w:rsidP="00AB6DD5">
      <w:pPr>
        <w:jc w:val="both"/>
      </w:pPr>
      <w:r w:rsidRPr="00A34F10">
        <w:t>This is similar to data obtained from grassland in Germany (Rinke, 1990 and 1991)</w:t>
      </w:r>
      <w:r w:rsidRPr="00A34F10">
        <w:rPr>
          <w:vertAlign w:val="superscript"/>
        </w:rPr>
        <w:t xml:space="preserve"> </w:t>
      </w:r>
      <w:r w:rsidRPr="00A34F10">
        <w:rPr>
          <w:vertAlign w:val="superscript"/>
        </w:rPr>
        <w:footnoteReference w:id="4"/>
      </w:r>
      <w:r w:rsidRPr="00A34F10">
        <w:rPr>
          <w:rStyle w:val="Odwoanieprzypisudolnego"/>
        </w:rPr>
        <w:footnoteReference w:id="5"/>
      </w:r>
      <w:r w:rsidRPr="00A34F10">
        <w:t xml:space="preserve">, where </w:t>
      </w:r>
      <w:r w:rsidRPr="00A34F10">
        <w:rPr>
          <w:vertAlign w:val="superscript"/>
        </w:rPr>
        <w:t xml:space="preserve"> </w:t>
      </w:r>
      <w:r w:rsidRPr="00A34F10">
        <w:t xml:space="preserve">the diet of 363 individuals caught by snap-trapping was examined through analysis of stomach contents. The results showed that dicotyledons, such as </w:t>
      </w:r>
      <w:r w:rsidRPr="00A34F10">
        <w:rPr>
          <w:i/>
          <w:iCs/>
        </w:rPr>
        <w:t>Taraxacum officinale</w:t>
      </w:r>
      <w:r w:rsidRPr="00A34F10">
        <w:t xml:space="preserve"> and </w:t>
      </w:r>
      <w:r w:rsidRPr="00A34F10">
        <w:rPr>
          <w:i/>
          <w:iCs/>
        </w:rPr>
        <w:t>Trifolium pratense</w:t>
      </w:r>
      <w:r w:rsidRPr="00A34F10">
        <w:t xml:space="preserve">, were preferred and were eaten at a higher frequency than would be expected from their relative occurrence in the grassland habitat in question. Overall, it was reported that dicotyledons comprised a mean volume percentage of 63.5% of stomach contents of common vole. Therefore, the risk assessment can be still conservatively refined by considering a common vole consuming a diet comprising 60% dicotyledons (non-grass herbs) and 40% grasses. </w:t>
      </w:r>
    </w:p>
    <w:p w14:paraId="17325CDA" w14:textId="77777777" w:rsidR="00DC5685" w:rsidRPr="00A34F10" w:rsidRDefault="00DC5685" w:rsidP="00DC5685">
      <w:pPr>
        <w:pStyle w:val="RepStandard"/>
        <w:suppressAutoHyphens/>
      </w:pPr>
    </w:p>
    <w:p w14:paraId="0220E43A" w14:textId="77777777" w:rsidR="00DC5685" w:rsidRPr="00A34F10" w:rsidRDefault="00DC5685" w:rsidP="00DC5685">
      <w:pPr>
        <w:pStyle w:val="RepStandard"/>
        <w:suppressAutoHyphens/>
      </w:pPr>
      <w:r w:rsidRPr="00A34F10">
        <w:t>Based on a diet of 60% dicotyledons (non-grass herbs) and 40% grasses the food intake rate for a common vole (body weight 25 g) was calculated.</w:t>
      </w:r>
    </w:p>
    <w:p w14:paraId="5F93B32E" w14:textId="77777777" w:rsidR="00DC5685" w:rsidRDefault="00DC5685" w:rsidP="00DC5685">
      <w:pPr>
        <w:pStyle w:val="RepStandard"/>
        <w:suppressAutoHyphens/>
        <w:rPr>
          <w:highlight w:val="yellow"/>
        </w:rPr>
      </w:pPr>
      <w:r w:rsidRPr="00A34F10">
        <w:rPr>
          <w:highlight w:val="yellow"/>
        </w:rPr>
        <w:t xml:space="preserve"> </w:t>
      </w:r>
    </w:p>
    <w:tbl>
      <w:tblPr>
        <w:tblW w:w="503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1"/>
        <w:gridCol w:w="1472"/>
        <w:gridCol w:w="3110"/>
        <w:gridCol w:w="759"/>
        <w:gridCol w:w="12"/>
        <w:gridCol w:w="30"/>
        <w:gridCol w:w="437"/>
        <w:gridCol w:w="870"/>
        <w:gridCol w:w="681"/>
        <w:gridCol w:w="1254"/>
        <w:gridCol w:w="723"/>
      </w:tblGrid>
      <w:tr w:rsidR="00C841C8" w:rsidRPr="00DD5DB0" w14:paraId="59BCD05E" w14:textId="77777777" w:rsidTr="00596F6A">
        <w:trPr>
          <w:gridBefore w:val="1"/>
          <w:wBefore w:w="33" w:type="pct"/>
          <w:trHeight w:val="3863"/>
        </w:trPr>
        <w:tc>
          <w:tcPr>
            <w:tcW w:w="4967" w:type="pct"/>
            <w:gridSpan w:val="10"/>
            <w:shd w:val="clear" w:color="auto" w:fill="D9D9D9"/>
          </w:tcPr>
          <w:p w14:paraId="68DE3F4B" w14:textId="77777777" w:rsidR="00787E57" w:rsidRPr="00CC7A56" w:rsidRDefault="00787E57" w:rsidP="00787E57">
            <w:pPr>
              <w:pStyle w:val="TableText1"/>
              <w:spacing w:before="120" w:after="120"/>
              <w:jc w:val="both"/>
              <w:rPr>
                <w:b/>
                <w:bCs w:val="0"/>
                <w:sz w:val="22"/>
                <w:szCs w:val="22"/>
                <w:lang w:eastAsia="en-US"/>
              </w:rPr>
            </w:pPr>
            <w:r w:rsidRPr="00CC7A56">
              <w:rPr>
                <w:b/>
                <w:sz w:val="22"/>
                <w:szCs w:val="22"/>
                <w:lang w:eastAsia="en-US"/>
              </w:rPr>
              <w:lastRenderedPageBreak/>
              <w:t>Review Comments:</w:t>
            </w:r>
          </w:p>
          <w:p w14:paraId="312F20E6" w14:textId="77777777" w:rsidR="00787E57" w:rsidRPr="006C550F" w:rsidRDefault="00787E57" w:rsidP="006C550F">
            <w:pPr>
              <w:shd w:val="clear" w:color="auto" w:fill="BDD6EE" w:themeFill="accent5" w:themeFillTint="66"/>
              <w:spacing w:before="120" w:after="120"/>
              <w:jc w:val="both"/>
              <w:rPr>
                <w:strike/>
                <w:color w:val="808080" w:themeColor="background1" w:themeShade="80"/>
                <w:lang w:val="en-GB"/>
              </w:rPr>
            </w:pPr>
            <w:r w:rsidRPr="006C550F">
              <w:rPr>
                <w:strike/>
                <w:color w:val="808080" w:themeColor="background1" w:themeShade="80"/>
                <w:lang w:val="en-GB"/>
              </w:rPr>
              <w:t xml:space="preserve">For the purposes of this assessment, the ecological data on PD and FIR/bw for common vole are not taken to consideration, due to the lack of a harmonised approach to </w:t>
            </w:r>
            <w:r w:rsidRPr="006C550F">
              <w:rPr>
                <w:strike/>
                <w:color w:val="808080" w:themeColor="background1" w:themeShade="80"/>
              </w:rPr>
              <w:t>Rinke</w:t>
            </w:r>
            <w:r w:rsidRPr="006C550F">
              <w:rPr>
                <w:iCs/>
                <w:strike/>
                <w:color w:val="808080" w:themeColor="background1" w:themeShade="80"/>
              </w:rPr>
              <w:t xml:space="preserve">, </w:t>
            </w:r>
            <w:r w:rsidRPr="006C550F">
              <w:rPr>
                <w:strike/>
                <w:color w:val="808080" w:themeColor="background1" w:themeShade="80"/>
              </w:rPr>
              <w:t>1990.</w:t>
            </w:r>
          </w:p>
          <w:p w14:paraId="7969253D" w14:textId="77777777" w:rsidR="00E25C09" w:rsidRPr="006C550F" w:rsidRDefault="00787E57" w:rsidP="006C550F">
            <w:pPr>
              <w:shd w:val="clear" w:color="auto" w:fill="BDD6EE" w:themeFill="accent5" w:themeFillTint="66"/>
              <w:spacing w:after="120"/>
              <w:jc w:val="both"/>
              <w:rPr>
                <w:strike/>
                <w:color w:val="808080" w:themeColor="background1" w:themeShade="80"/>
                <w:lang w:val="en-GB"/>
              </w:rPr>
            </w:pPr>
            <w:r w:rsidRPr="006C550F">
              <w:rPr>
                <w:strike/>
                <w:color w:val="808080" w:themeColor="background1" w:themeShade="80"/>
                <w:lang w:val="en-GB"/>
              </w:rPr>
              <w:t xml:space="preserve">Therefore, new TER calculations without changed of this factor were performed.   </w:t>
            </w:r>
          </w:p>
          <w:p w14:paraId="1EF31CEA" w14:textId="65FB5187" w:rsidR="00B320C5" w:rsidRPr="006C550F" w:rsidRDefault="00E25C09" w:rsidP="006C550F">
            <w:pPr>
              <w:shd w:val="clear" w:color="auto" w:fill="BDD6EE" w:themeFill="accent5" w:themeFillTint="66"/>
              <w:spacing w:after="120"/>
              <w:jc w:val="both"/>
              <w:rPr>
                <w:lang w:val="en-GB"/>
              </w:rPr>
            </w:pPr>
            <w:r w:rsidRPr="006C550F">
              <w:rPr>
                <w:rFonts w:eastAsia="MS Mincho"/>
              </w:rPr>
              <w:t xml:space="preserve">At the harmonization meeting of the central zone in December 2023, it was agreed that for </w:t>
            </w:r>
            <w:r w:rsidR="002C6457" w:rsidRPr="006C550F">
              <w:rPr>
                <w:rFonts w:eastAsia="MS Mincho"/>
              </w:rPr>
              <w:t xml:space="preserve">crops other than </w:t>
            </w:r>
            <w:r w:rsidRPr="006C550F">
              <w:t>orchards, vines, hops, grassland and cereals, the PD of 0.</w:t>
            </w:r>
            <w:r w:rsidR="00916098" w:rsidRPr="006C550F">
              <w:t>50</w:t>
            </w:r>
            <w:r w:rsidRPr="006C550F">
              <w:t xml:space="preserve"> and 0.</w:t>
            </w:r>
            <w:r w:rsidR="00916098" w:rsidRPr="006C550F">
              <w:t>50</w:t>
            </w:r>
            <w:r w:rsidRPr="006C550F">
              <w:t xml:space="preserve"> for monocots and dicots, respectively, can be accepted in refined risk assessment for voles. </w:t>
            </w:r>
            <w:r w:rsidR="003E5ECE" w:rsidRPr="006C550F">
              <w:t>The new FIR/bw is 1.46.</w:t>
            </w:r>
          </w:p>
          <w:p w14:paraId="4D78AB5D" w14:textId="77777777" w:rsidR="00435423" w:rsidRPr="006C550F" w:rsidRDefault="00435423" w:rsidP="006C550F">
            <w:pPr>
              <w:widowControl w:val="0"/>
              <w:shd w:val="clear" w:color="auto" w:fill="BDD6EE" w:themeFill="accent5" w:themeFillTint="66"/>
              <w:spacing w:after="120"/>
              <w:ind w:left="2124" w:hanging="2124"/>
              <w:jc w:val="both"/>
              <w:rPr>
                <w:b/>
                <w:bCs/>
                <w:noProof/>
                <w:lang w:val="en-GB"/>
              </w:rPr>
            </w:pPr>
            <w:r w:rsidRPr="006C550F">
              <w:rPr>
                <w:b/>
                <w:bCs/>
                <w:noProof/>
                <w:lang w:val="en-GB"/>
              </w:rPr>
              <w:t>Calculations of new shortcut value based on data from EFSA B&amp;M guidance (i.e. bw and RUDs)</w:t>
            </w:r>
          </w:p>
          <w:tbl>
            <w:tblPr>
              <w:tblW w:w="42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7"/>
              <w:gridCol w:w="1735"/>
              <w:gridCol w:w="1486"/>
              <w:gridCol w:w="704"/>
              <w:gridCol w:w="798"/>
            </w:tblGrid>
            <w:tr w:rsidR="003E5ECE" w:rsidRPr="00A054F8" w14:paraId="04CD6B50" w14:textId="77777777" w:rsidTr="006C550F">
              <w:tc>
                <w:tcPr>
                  <w:tcW w:w="1921" w:type="pct"/>
                  <w:shd w:val="clear" w:color="auto" w:fill="BDD6EE" w:themeFill="accent5" w:themeFillTint="66"/>
                </w:tcPr>
                <w:p w14:paraId="2952F5F7" w14:textId="77777777" w:rsidR="003E5ECE" w:rsidRPr="006C550F" w:rsidRDefault="003E5ECE" w:rsidP="00435423">
                  <w:pPr>
                    <w:widowControl w:val="0"/>
                    <w:jc w:val="both"/>
                    <w:rPr>
                      <w:b/>
                      <w:sz w:val="20"/>
                      <w:szCs w:val="20"/>
                      <w:lang w:val="en-GB"/>
                    </w:rPr>
                  </w:pPr>
                  <w:r w:rsidRPr="006C550F">
                    <w:rPr>
                      <w:b/>
                      <w:sz w:val="20"/>
                      <w:szCs w:val="20"/>
                      <w:lang w:val="en-GB"/>
                    </w:rPr>
                    <w:t>Indicator/generic focal species</w:t>
                  </w:r>
                </w:p>
              </w:tc>
              <w:tc>
                <w:tcPr>
                  <w:tcW w:w="1131" w:type="pct"/>
                  <w:shd w:val="clear" w:color="auto" w:fill="BDD6EE" w:themeFill="accent5" w:themeFillTint="66"/>
                </w:tcPr>
                <w:p w14:paraId="6EB2BCC6" w14:textId="77777777" w:rsidR="003E5ECE" w:rsidRPr="006C550F" w:rsidRDefault="003E5ECE" w:rsidP="00435423">
                  <w:pPr>
                    <w:widowControl w:val="0"/>
                    <w:jc w:val="both"/>
                    <w:rPr>
                      <w:b/>
                      <w:bCs/>
                      <w:sz w:val="20"/>
                      <w:szCs w:val="20"/>
                      <w:lang w:val="en-GB"/>
                    </w:rPr>
                  </w:pPr>
                  <w:r w:rsidRPr="006C550F">
                    <w:rPr>
                      <w:b/>
                      <w:bCs/>
                      <w:sz w:val="20"/>
                      <w:szCs w:val="20"/>
                      <w:lang w:val="en-GB"/>
                    </w:rPr>
                    <w:t>Typ of food</w:t>
                  </w:r>
                </w:p>
              </w:tc>
              <w:tc>
                <w:tcPr>
                  <w:tcW w:w="968" w:type="pct"/>
                  <w:shd w:val="clear" w:color="auto" w:fill="BDD6EE" w:themeFill="accent5" w:themeFillTint="66"/>
                </w:tcPr>
                <w:p w14:paraId="71788AE4" w14:textId="77777777" w:rsidR="003E5ECE" w:rsidRPr="006C550F" w:rsidRDefault="003E5ECE" w:rsidP="00435423">
                  <w:pPr>
                    <w:widowControl w:val="0"/>
                    <w:jc w:val="both"/>
                    <w:rPr>
                      <w:b/>
                      <w:sz w:val="20"/>
                      <w:szCs w:val="20"/>
                      <w:lang w:val="en-GB"/>
                    </w:rPr>
                  </w:pPr>
                  <w:r w:rsidRPr="006C550F">
                    <w:rPr>
                      <w:b/>
                      <w:sz w:val="20"/>
                      <w:szCs w:val="20"/>
                      <w:lang w:val="en-GB"/>
                    </w:rPr>
                    <w:t>RUD</w:t>
                  </w:r>
                  <w:r w:rsidRPr="006C550F">
                    <w:rPr>
                      <w:b/>
                      <w:sz w:val="20"/>
                      <w:szCs w:val="20"/>
                      <w:vertAlign w:val="subscript"/>
                      <w:lang w:val="en-GB"/>
                    </w:rPr>
                    <w:t>mean</w:t>
                  </w:r>
                </w:p>
              </w:tc>
              <w:tc>
                <w:tcPr>
                  <w:tcW w:w="459" w:type="pct"/>
                  <w:shd w:val="clear" w:color="auto" w:fill="BDD6EE" w:themeFill="accent5" w:themeFillTint="66"/>
                </w:tcPr>
                <w:p w14:paraId="387538E0" w14:textId="77777777" w:rsidR="003E5ECE" w:rsidRPr="006C550F" w:rsidRDefault="003E5ECE" w:rsidP="00435423">
                  <w:pPr>
                    <w:widowControl w:val="0"/>
                    <w:jc w:val="both"/>
                    <w:rPr>
                      <w:b/>
                      <w:sz w:val="20"/>
                      <w:szCs w:val="20"/>
                      <w:lang w:val="en-GB"/>
                    </w:rPr>
                  </w:pPr>
                  <w:r w:rsidRPr="006C550F">
                    <w:rPr>
                      <w:b/>
                      <w:sz w:val="20"/>
                      <w:szCs w:val="20"/>
                      <w:lang w:val="en-GB"/>
                    </w:rPr>
                    <w:t>PD</w:t>
                  </w:r>
                </w:p>
              </w:tc>
              <w:tc>
                <w:tcPr>
                  <w:tcW w:w="520" w:type="pct"/>
                  <w:shd w:val="clear" w:color="auto" w:fill="BDD6EE" w:themeFill="accent5" w:themeFillTint="66"/>
                </w:tcPr>
                <w:p w14:paraId="0413C085" w14:textId="3C7E5C6B" w:rsidR="003E5ECE" w:rsidRPr="006C550F" w:rsidRDefault="003E5ECE" w:rsidP="00435423">
                  <w:pPr>
                    <w:widowControl w:val="0"/>
                    <w:jc w:val="both"/>
                    <w:rPr>
                      <w:b/>
                      <w:sz w:val="20"/>
                      <w:szCs w:val="20"/>
                      <w:lang w:val="en-GB"/>
                    </w:rPr>
                  </w:pPr>
                  <w:r w:rsidRPr="006C550F">
                    <w:rPr>
                      <w:b/>
                      <w:sz w:val="20"/>
                      <w:szCs w:val="20"/>
                      <w:lang w:val="en-GB"/>
                    </w:rPr>
                    <w:t>SV</w:t>
                  </w:r>
                  <w:r w:rsidRPr="006C550F">
                    <w:rPr>
                      <w:b/>
                      <w:sz w:val="20"/>
                      <w:szCs w:val="20"/>
                      <w:vertAlign w:val="subscript"/>
                      <w:lang w:val="en-GB"/>
                    </w:rPr>
                    <w:t>m</w:t>
                  </w:r>
                  <w:r w:rsidR="000C706E" w:rsidRPr="006C550F">
                    <w:rPr>
                      <w:b/>
                      <w:sz w:val="20"/>
                      <w:szCs w:val="20"/>
                      <w:vertAlign w:val="subscript"/>
                      <w:lang w:val="en-GB"/>
                    </w:rPr>
                    <w:t>ix</w:t>
                  </w:r>
                </w:p>
              </w:tc>
            </w:tr>
            <w:tr w:rsidR="003E5ECE" w:rsidRPr="00A054F8" w14:paraId="453DA14B" w14:textId="77777777" w:rsidTr="006C550F">
              <w:trPr>
                <w:trHeight w:val="193"/>
              </w:trPr>
              <w:tc>
                <w:tcPr>
                  <w:tcW w:w="1921" w:type="pct"/>
                  <w:vMerge w:val="restart"/>
                  <w:shd w:val="clear" w:color="auto" w:fill="BDD6EE" w:themeFill="accent5" w:themeFillTint="66"/>
                </w:tcPr>
                <w:p w14:paraId="579A89FE" w14:textId="77777777" w:rsidR="003E5ECE" w:rsidRPr="006C550F" w:rsidRDefault="003E5ECE" w:rsidP="00A054F8">
                  <w:pPr>
                    <w:widowControl w:val="0"/>
                    <w:rPr>
                      <w:sz w:val="20"/>
                      <w:szCs w:val="20"/>
                      <w:lang w:val="en-GB"/>
                    </w:rPr>
                  </w:pPr>
                  <w:r w:rsidRPr="006C550F">
                    <w:rPr>
                      <w:sz w:val="20"/>
                      <w:szCs w:val="20"/>
                      <w:lang w:val="en-GB"/>
                    </w:rPr>
                    <w:t>Small herbivorous mammal "vole”</w:t>
                  </w:r>
                </w:p>
              </w:tc>
              <w:tc>
                <w:tcPr>
                  <w:tcW w:w="1131" w:type="pct"/>
                  <w:shd w:val="clear" w:color="auto" w:fill="BDD6EE" w:themeFill="accent5" w:themeFillTint="66"/>
                </w:tcPr>
                <w:p w14:paraId="5EACBC60" w14:textId="77777777" w:rsidR="003E5ECE" w:rsidRPr="006C550F" w:rsidRDefault="003E5ECE" w:rsidP="00435423">
                  <w:pPr>
                    <w:widowControl w:val="0"/>
                    <w:jc w:val="both"/>
                    <w:rPr>
                      <w:sz w:val="20"/>
                      <w:szCs w:val="20"/>
                      <w:lang w:val="en-GB"/>
                    </w:rPr>
                  </w:pPr>
                  <w:r w:rsidRPr="006C550F">
                    <w:rPr>
                      <w:sz w:val="20"/>
                      <w:szCs w:val="20"/>
                      <w:lang w:val="en-GB"/>
                    </w:rPr>
                    <w:t>Monocotyledons</w:t>
                  </w:r>
                </w:p>
              </w:tc>
              <w:tc>
                <w:tcPr>
                  <w:tcW w:w="968" w:type="pct"/>
                  <w:shd w:val="clear" w:color="auto" w:fill="BDD6EE" w:themeFill="accent5" w:themeFillTint="66"/>
                </w:tcPr>
                <w:p w14:paraId="1F04AA4B" w14:textId="77777777" w:rsidR="003E5ECE" w:rsidRPr="006C550F" w:rsidRDefault="003E5ECE" w:rsidP="00435423">
                  <w:pPr>
                    <w:widowControl w:val="0"/>
                    <w:jc w:val="both"/>
                    <w:rPr>
                      <w:sz w:val="20"/>
                      <w:szCs w:val="20"/>
                      <w:lang w:val="en-GB"/>
                    </w:rPr>
                  </w:pPr>
                  <w:r w:rsidRPr="006C550F">
                    <w:rPr>
                      <w:sz w:val="20"/>
                      <w:szCs w:val="20"/>
                      <w:lang w:val="en-GB"/>
                    </w:rPr>
                    <w:t>54.2</w:t>
                  </w:r>
                </w:p>
              </w:tc>
              <w:tc>
                <w:tcPr>
                  <w:tcW w:w="459" w:type="pct"/>
                  <w:shd w:val="clear" w:color="auto" w:fill="BDD6EE" w:themeFill="accent5" w:themeFillTint="66"/>
                </w:tcPr>
                <w:p w14:paraId="1105C30F" w14:textId="1C195C45" w:rsidR="003E5ECE" w:rsidRPr="006C550F" w:rsidRDefault="003E5ECE" w:rsidP="00435423">
                  <w:pPr>
                    <w:widowControl w:val="0"/>
                    <w:jc w:val="both"/>
                    <w:rPr>
                      <w:sz w:val="20"/>
                      <w:szCs w:val="20"/>
                      <w:lang w:val="en-GB"/>
                    </w:rPr>
                  </w:pPr>
                  <w:r w:rsidRPr="006C550F">
                    <w:rPr>
                      <w:sz w:val="20"/>
                      <w:szCs w:val="20"/>
                      <w:lang w:val="en-GB"/>
                    </w:rPr>
                    <w:t>0.50</w:t>
                  </w:r>
                </w:p>
              </w:tc>
              <w:tc>
                <w:tcPr>
                  <w:tcW w:w="520" w:type="pct"/>
                  <w:shd w:val="clear" w:color="auto" w:fill="BDD6EE" w:themeFill="accent5" w:themeFillTint="66"/>
                </w:tcPr>
                <w:p w14:paraId="2518D8B0" w14:textId="1B723609" w:rsidR="003E5ECE" w:rsidRPr="006C550F" w:rsidRDefault="00802C2A" w:rsidP="00435423">
                  <w:pPr>
                    <w:widowControl w:val="0"/>
                    <w:jc w:val="both"/>
                    <w:rPr>
                      <w:sz w:val="20"/>
                      <w:szCs w:val="20"/>
                      <w:lang w:val="en-GB"/>
                    </w:rPr>
                  </w:pPr>
                  <w:r w:rsidRPr="006C550F">
                    <w:rPr>
                      <w:sz w:val="20"/>
                      <w:szCs w:val="20"/>
                      <w:lang w:val="en-GB"/>
                    </w:rPr>
                    <w:t>27.1</w:t>
                  </w:r>
                </w:p>
              </w:tc>
            </w:tr>
            <w:tr w:rsidR="003E5ECE" w:rsidRPr="00A054F8" w14:paraId="3AF8D9EB" w14:textId="77777777" w:rsidTr="006C550F">
              <w:trPr>
                <w:trHeight w:val="193"/>
              </w:trPr>
              <w:tc>
                <w:tcPr>
                  <w:tcW w:w="1921" w:type="pct"/>
                  <w:vMerge/>
                  <w:shd w:val="clear" w:color="auto" w:fill="BDD6EE" w:themeFill="accent5" w:themeFillTint="66"/>
                </w:tcPr>
                <w:p w14:paraId="68618D6A" w14:textId="77777777" w:rsidR="003E5ECE" w:rsidRPr="006C550F" w:rsidRDefault="003E5ECE" w:rsidP="00435423">
                  <w:pPr>
                    <w:widowControl w:val="0"/>
                    <w:jc w:val="both"/>
                    <w:rPr>
                      <w:sz w:val="20"/>
                      <w:szCs w:val="20"/>
                      <w:lang w:val="en-GB"/>
                    </w:rPr>
                  </w:pPr>
                </w:p>
              </w:tc>
              <w:tc>
                <w:tcPr>
                  <w:tcW w:w="1131" w:type="pct"/>
                  <w:shd w:val="clear" w:color="auto" w:fill="BDD6EE" w:themeFill="accent5" w:themeFillTint="66"/>
                </w:tcPr>
                <w:p w14:paraId="017B0D2E" w14:textId="77777777" w:rsidR="003E5ECE" w:rsidRPr="006C550F" w:rsidRDefault="003E5ECE" w:rsidP="00435423">
                  <w:pPr>
                    <w:widowControl w:val="0"/>
                    <w:jc w:val="both"/>
                    <w:rPr>
                      <w:sz w:val="20"/>
                      <w:szCs w:val="20"/>
                      <w:lang w:val="en-GB"/>
                    </w:rPr>
                  </w:pPr>
                  <w:r w:rsidRPr="006C550F">
                    <w:rPr>
                      <w:sz w:val="20"/>
                      <w:szCs w:val="20"/>
                      <w:lang w:val="en-GB"/>
                    </w:rPr>
                    <w:t>Dicotyledonos</w:t>
                  </w:r>
                </w:p>
              </w:tc>
              <w:tc>
                <w:tcPr>
                  <w:tcW w:w="968" w:type="pct"/>
                  <w:shd w:val="clear" w:color="auto" w:fill="BDD6EE" w:themeFill="accent5" w:themeFillTint="66"/>
                </w:tcPr>
                <w:p w14:paraId="0C606DFD" w14:textId="77777777" w:rsidR="003E5ECE" w:rsidRPr="006C550F" w:rsidRDefault="003E5ECE" w:rsidP="00435423">
                  <w:pPr>
                    <w:widowControl w:val="0"/>
                    <w:jc w:val="both"/>
                    <w:rPr>
                      <w:sz w:val="20"/>
                      <w:szCs w:val="20"/>
                      <w:lang w:val="en-GB"/>
                    </w:rPr>
                  </w:pPr>
                  <w:r w:rsidRPr="006C550F">
                    <w:rPr>
                      <w:sz w:val="20"/>
                      <w:szCs w:val="20"/>
                      <w:lang w:val="en-GB"/>
                    </w:rPr>
                    <w:t>28.7</w:t>
                  </w:r>
                </w:p>
              </w:tc>
              <w:tc>
                <w:tcPr>
                  <w:tcW w:w="459" w:type="pct"/>
                  <w:shd w:val="clear" w:color="auto" w:fill="BDD6EE" w:themeFill="accent5" w:themeFillTint="66"/>
                </w:tcPr>
                <w:p w14:paraId="6A683A48" w14:textId="3E088B4D" w:rsidR="003E5ECE" w:rsidRPr="006C550F" w:rsidRDefault="003E5ECE" w:rsidP="00435423">
                  <w:pPr>
                    <w:widowControl w:val="0"/>
                    <w:jc w:val="both"/>
                    <w:rPr>
                      <w:sz w:val="20"/>
                      <w:szCs w:val="20"/>
                      <w:lang w:val="en-GB"/>
                    </w:rPr>
                  </w:pPr>
                  <w:r w:rsidRPr="006C550F">
                    <w:rPr>
                      <w:sz w:val="20"/>
                      <w:szCs w:val="20"/>
                      <w:lang w:val="en-GB"/>
                    </w:rPr>
                    <w:t>0.50</w:t>
                  </w:r>
                </w:p>
              </w:tc>
              <w:tc>
                <w:tcPr>
                  <w:tcW w:w="520" w:type="pct"/>
                  <w:shd w:val="clear" w:color="auto" w:fill="BDD6EE" w:themeFill="accent5" w:themeFillTint="66"/>
                </w:tcPr>
                <w:p w14:paraId="3B90BEEA" w14:textId="7B3C5589" w:rsidR="003E5ECE" w:rsidRPr="006C550F" w:rsidRDefault="00802C2A" w:rsidP="00435423">
                  <w:pPr>
                    <w:widowControl w:val="0"/>
                    <w:jc w:val="both"/>
                    <w:rPr>
                      <w:sz w:val="20"/>
                      <w:szCs w:val="20"/>
                      <w:lang w:val="en-GB"/>
                    </w:rPr>
                  </w:pPr>
                  <w:r w:rsidRPr="006C550F">
                    <w:rPr>
                      <w:sz w:val="20"/>
                      <w:szCs w:val="20"/>
                      <w:lang w:val="en-GB"/>
                    </w:rPr>
                    <w:t>14.35</w:t>
                  </w:r>
                </w:p>
              </w:tc>
            </w:tr>
            <w:tr w:rsidR="000C706E" w:rsidRPr="00A054F8" w14:paraId="6F535537" w14:textId="77777777" w:rsidTr="006C550F">
              <w:trPr>
                <w:trHeight w:val="193"/>
              </w:trPr>
              <w:tc>
                <w:tcPr>
                  <w:tcW w:w="4021" w:type="pct"/>
                  <w:gridSpan w:val="3"/>
                  <w:shd w:val="clear" w:color="auto" w:fill="BDD6EE" w:themeFill="accent5" w:themeFillTint="66"/>
                </w:tcPr>
                <w:p w14:paraId="385F51DE" w14:textId="77777777" w:rsidR="000C706E" w:rsidRPr="006C550F" w:rsidRDefault="000C706E" w:rsidP="00435423">
                  <w:pPr>
                    <w:widowControl w:val="0"/>
                    <w:jc w:val="both"/>
                    <w:rPr>
                      <w:sz w:val="20"/>
                      <w:szCs w:val="20"/>
                      <w:lang w:val="en-GB"/>
                    </w:rPr>
                  </w:pPr>
                </w:p>
              </w:tc>
              <w:tc>
                <w:tcPr>
                  <w:tcW w:w="459" w:type="pct"/>
                  <w:shd w:val="clear" w:color="auto" w:fill="BDD6EE" w:themeFill="accent5" w:themeFillTint="66"/>
                </w:tcPr>
                <w:p w14:paraId="3BD485DE" w14:textId="7AFF3355" w:rsidR="000C706E" w:rsidRPr="006C550F" w:rsidRDefault="000C706E" w:rsidP="00435423">
                  <w:pPr>
                    <w:widowControl w:val="0"/>
                    <w:jc w:val="both"/>
                    <w:rPr>
                      <w:sz w:val="20"/>
                      <w:szCs w:val="20"/>
                      <w:lang w:val="en-GB"/>
                    </w:rPr>
                  </w:pPr>
                  <w:r w:rsidRPr="006C550F">
                    <w:rPr>
                      <w:sz w:val="20"/>
                      <w:szCs w:val="20"/>
                      <w:lang w:val="en-GB"/>
                    </w:rPr>
                    <w:t>1.0</w:t>
                  </w:r>
                </w:p>
              </w:tc>
              <w:tc>
                <w:tcPr>
                  <w:tcW w:w="520" w:type="pct"/>
                  <w:shd w:val="clear" w:color="auto" w:fill="BDD6EE" w:themeFill="accent5" w:themeFillTint="66"/>
                </w:tcPr>
                <w:p w14:paraId="632075C8" w14:textId="24ED126A" w:rsidR="000C706E" w:rsidRPr="006C550F" w:rsidRDefault="00F66501" w:rsidP="00435423">
                  <w:pPr>
                    <w:widowControl w:val="0"/>
                    <w:jc w:val="both"/>
                    <w:rPr>
                      <w:sz w:val="20"/>
                      <w:szCs w:val="20"/>
                      <w:lang w:val="en-GB"/>
                    </w:rPr>
                  </w:pPr>
                  <w:r w:rsidRPr="006C550F">
                    <w:rPr>
                      <w:sz w:val="20"/>
                      <w:szCs w:val="20"/>
                      <w:lang w:val="en-GB"/>
                    </w:rPr>
                    <w:t>41.45</w:t>
                  </w:r>
                </w:p>
              </w:tc>
            </w:tr>
          </w:tbl>
          <w:p w14:paraId="0A50D30A" w14:textId="780DECAC" w:rsidR="009D58A5" w:rsidRPr="001639E2" w:rsidRDefault="009D58A5" w:rsidP="00787E57">
            <w:pPr>
              <w:shd w:val="clear" w:color="auto" w:fill="D9D9D9"/>
              <w:spacing w:after="120"/>
              <w:jc w:val="both"/>
              <w:rPr>
                <w:lang w:val="en-GB"/>
              </w:rPr>
            </w:pPr>
          </w:p>
        </w:tc>
      </w:tr>
      <w:tr w:rsidR="007024C5" w:rsidRPr="006C550F" w14:paraId="2686262F"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blHeader/>
        </w:trPr>
        <w:tc>
          <w:tcPr>
            <w:tcW w:w="816" w:type="pct"/>
            <w:gridSpan w:val="2"/>
            <w:tcBorders>
              <w:right w:val="single" w:sz="4" w:space="0" w:color="auto"/>
            </w:tcBorders>
            <w:shd w:val="clear" w:color="auto" w:fill="D9D9D9" w:themeFill="background1" w:themeFillShade="D9"/>
            <w:vAlign w:val="center"/>
          </w:tcPr>
          <w:p w14:paraId="12B0CE29" w14:textId="77777777" w:rsidR="00B90A4C" w:rsidRPr="006C550F" w:rsidRDefault="00B90A4C" w:rsidP="006C550F">
            <w:pPr>
              <w:keepNext/>
              <w:widowControl w:val="0"/>
              <w:shd w:val="clear" w:color="auto" w:fill="BDD6EE" w:themeFill="accent5" w:themeFillTint="66"/>
              <w:jc w:val="both"/>
              <w:rPr>
                <w:b/>
                <w:bCs/>
                <w:sz w:val="20"/>
                <w:szCs w:val="20"/>
                <w:lang w:val="en-GB"/>
              </w:rPr>
            </w:pPr>
            <w:r w:rsidRPr="006C550F">
              <w:rPr>
                <w:b/>
                <w:bCs/>
                <w:sz w:val="20"/>
                <w:szCs w:val="20"/>
                <w:lang w:val="en-GB"/>
              </w:rPr>
              <w:t>Active substance</w:t>
            </w:r>
          </w:p>
        </w:tc>
        <w:tc>
          <w:tcPr>
            <w:tcW w:w="4184" w:type="pct"/>
            <w:gridSpan w:val="9"/>
            <w:tcBorders>
              <w:right w:val="single" w:sz="4" w:space="0" w:color="auto"/>
            </w:tcBorders>
            <w:shd w:val="clear" w:color="auto" w:fill="D9D9D9" w:themeFill="background1" w:themeFillShade="D9"/>
            <w:vAlign w:val="center"/>
          </w:tcPr>
          <w:p w14:paraId="23E1BFC1" w14:textId="77777777" w:rsidR="00B90A4C" w:rsidRPr="006C550F" w:rsidRDefault="00B90A4C" w:rsidP="006C550F">
            <w:pPr>
              <w:keepNext/>
              <w:widowControl w:val="0"/>
              <w:shd w:val="clear" w:color="auto" w:fill="BDD6EE" w:themeFill="accent5" w:themeFillTint="66"/>
              <w:jc w:val="both"/>
              <w:rPr>
                <w:sz w:val="20"/>
                <w:szCs w:val="20"/>
                <w:lang w:val="en-GB"/>
              </w:rPr>
            </w:pPr>
            <w:r w:rsidRPr="006C550F">
              <w:rPr>
                <w:sz w:val="20"/>
                <w:szCs w:val="20"/>
                <w:lang w:val="en-GB"/>
              </w:rPr>
              <w:t>Propamocarb</w:t>
            </w:r>
          </w:p>
        </w:tc>
      </w:tr>
      <w:tr w:rsidR="007024C5" w:rsidRPr="006C550F" w14:paraId="1DDF10DE"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blHeader/>
        </w:trPr>
        <w:tc>
          <w:tcPr>
            <w:tcW w:w="816" w:type="pct"/>
            <w:gridSpan w:val="2"/>
            <w:tcBorders>
              <w:right w:val="single" w:sz="4" w:space="0" w:color="auto"/>
            </w:tcBorders>
            <w:shd w:val="clear" w:color="auto" w:fill="D9D9D9" w:themeFill="background1" w:themeFillShade="D9"/>
            <w:vAlign w:val="center"/>
          </w:tcPr>
          <w:p w14:paraId="03738F1A" w14:textId="77777777" w:rsidR="00B90A4C" w:rsidRPr="006C550F" w:rsidRDefault="00B90A4C" w:rsidP="006C550F">
            <w:pPr>
              <w:keepNext/>
              <w:widowControl w:val="0"/>
              <w:shd w:val="clear" w:color="auto" w:fill="BDD6EE" w:themeFill="accent5" w:themeFillTint="66"/>
              <w:rPr>
                <w:b/>
                <w:bCs/>
                <w:sz w:val="20"/>
                <w:szCs w:val="20"/>
                <w:lang w:val="en-GB"/>
              </w:rPr>
            </w:pPr>
            <w:r w:rsidRPr="006C550F">
              <w:rPr>
                <w:b/>
                <w:bCs/>
                <w:sz w:val="20"/>
                <w:szCs w:val="20"/>
                <w:lang w:val="en-GB"/>
              </w:rPr>
              <w:t xml:space="preserve">Reprod. toxicity </w:t>
            </w:r>
            <w:r w:rsidRPr="006C550F">
              <w:rPr>
                <w:b/>
                <w:bCs/>
                <w:sz w:val="20"/>
                <w:szCs w:val="20"/>
                <w:lang w:val="en-GB"/>
              </w:rPr>
              <w:br/>
              <w:t>(mg/kg bw/d)</w:t>
            </w:r>
          </w:p>
        </w:tc>
        <w:tc>
          <w:tcPr>
            <w:tcW w:w="4184" w:type="pct"/>
            <w:gridSpan w:val="9"/>
            <w:tcBorders>
              <w:right w:val="single" w:sz="4" w:space="0" w:color="auto"/>
            </w:tcBorders>
            <w:shd w:val="clear" w:color="auto" w:fill="D9D9D9" w:themeFill="background1" w:themeFillShade="D9"/>
            <w:vAlign w:val="center"/>
          </w:tcPr>
          <w:p w14:paraId="03458A80" w14:textId="77777777" w:rsidR="00B90A4C" w:rsidRPr="006C550F" w:rsidRDefault="00B90A4C" w:rsidP="006C550F">
            <w:pPr>
              <w:keepNext/>
              <w:widowControl w:val="0"/>
              <w:shd w:val="clear" w:color="auto" w:fill="BDD6EE" w:themeFill="accent5" w:themeFillTint="66"/>
              <w:jc w:val="both"/>
              <w:rPr>
                <w:sz w:val="20"/>
                <w:szCs w:val="20"/>
                <w:lang w:val="en-GB"/>
              </w:rPr>
            </w:pPr>
            <w:r w:rsidRPr="006C550F">
              <w:rPr>
                <w:sz w:val="20"/>
                <w:szCs w:val="20"/>
                <w:lang w:val="en-GB"/>
              </w:rPr>
              <w:t>104</w:t>
            </w:r>
          </w:p>
        </w:tc>
      </w:tr>
      <w:tr w:rsidR="007024C5" w:rsidRPr="006C550F" w14:paraId="6069FAA7"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blHeader/>
        </w:trPr>
        <w:tc>
          <w:tcPr>
            <w:tcW w:w="816" w:type="pct"/>
            <w:gridSpan w:val="2"/>
            <w:tcBorders>
              <w:right w:val="single" w:sz="4" w:space="0" w:color="auto"/>
            </w:tcBorders>
            <w:shd w:val="clear" w:color="auto" w:fill="D9D9D9" w:themeFill="background1" w:themeFillShade="D9"/>
            <w:vAlign w:val="center"/>
          </w:tcPr>
          <w:p w14:paraId="1196C941" w14:textId="77777777" w:rsidR="00B90A4C" w:rsidRPr="006C550F" w:rsidRDefault="00B90A4C" w:rsidP="006C550F">
            <w:pPr>
              <w:keepNext/>
              <w:widowControl w:val="0"/>
              <w:shd w:val="clear" w:color="auto" w:fill="BDD6EE" w:themeFill="accent5" w:themeFillTint="66"/>
              <w:rPr>
                <w:b/>
                <w:bCs/>
                <w:sz w:val="20"/>
                <w:szCs w:val="20"/>
                <w:lang w:val="en-GB"/>
              </w:rPr>
            </w:pPr>
            <w:r w:rsidRPr="006C550F">
              <w:rPr>
                <w:b/>
                <w:bCs/>
                <w:sz w:val="20"/>
                <w:szCs w:val="20"/>
                <w:lang w:val="en-GB"/>
              </w:rPr>
              <w:t>TER criterion</w:t>
            </w:r>
          </w:p>
        </w:tc>
        <w:tc>
          <w:tcPr>
            <w:tcW w:w="4184" w:type="pct"/>
            <w:gridSpan w:val="9"/>
            <w:tcBorders>
              <w:right w:val="single" w:sz="4" w:space="0" w:color="auto"/>
            </w:tcBorders>
            <w:shd w:val="clear" w:color="auto" w:fill="D9D9D9" w:themeFill="background1" w:themeFillShade="D9"/>
            <w:vAlign w:val="center"/>
          </w:tcPr>
          <w:p w14:paraId="60B37A5C" w14:textId="77777777" w:rsidR="00B90A4C" w:rsidRPr="006C550F" w:rsidRDefault="00B90A4C" w:rsidP="006C550F">
            <w:pPr>
              <w:keepNext/>
              <w:widowControl w:val="0"/>
              <w:shd w:val="clear" w:color="auto" w:fill="BDD6EE" w:themeFill="accent5" w:themeFillTint="66"/>
              <w:jc w:val="both"/>
              <w:rPr>
                <w:sz w:val="20"/>
                <w:szCs w:val="20"/>
                <w:lang w:val="en-GB"/>
              </w:rPr>
            </w:pPr>
            <w:r w:rsidRPr="006C550F">
              <w:rPr>
                <w:sz w:val="20"/>
                <w:szCs w:val="20"/>
                <w:lang w:val="en-GB"/>
              </w:rPr>
              <w:t>5</w:t>
            </w:r>
          </w:p>
        </w:tc>
      </w:tr>
      <w:tr w:rsidR="00981A01" w:rsidRPr="006C550F" w14:paraId="60636A1F"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blHeader/>
        </w:trPr>
        <w:tc>
          <w:tcPr>
            <w:tcW w:w="816" w:type="pct"/>
            <w:gridSpan w:val="2"/>
            <w:tcBorders>
              <w:right w:val="single" w:sz="4" w:space="0" w:color="auto"/>
            </w:tcBorders>
            <w:shd w:val="clear" w:color="auto" w:fill="D9D9D9" w:themeFill="background1" w:themeFillShade="D9"/>
            <w:vAlign w:val="center"/>
          </w:tcPr>
          <w:p w14:paraId="1A5D2083"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App. Rate</w:t>
            </w:r>
          </w:p>
          <w:p w14:paraId="57FD77E0" w14:textId="01B4FAC4" w:rsidR="00981A01"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(kg a.s./ha)</w:t>
            </w:r>
          </w:p>
        </w:tc>
        <w:tc>
          <w:tcPr>
            <w:tcW w:w="4184" w:type="pct"/>
            <w:gridSpan w:val="9"/>
            <w:tcBorders>
              <w:right w:val="single" w:sz="4" w:space="0" w:color="auto"/>
            </w:tcBorders>
            <w:shd w:val="clear" w:color="auto" w:fill="D9D9D9" w:themeFill="background1" w:themeFillShade="D9"/>
            <w:vAlign w:val="center"/>
          </w:tcPr>
          <w:p w14:paraId="31ECB188" w14:textId="55E49B9C" w:rsidR="00981A01" w:rsidRPr="006C550F" w:rsidRDefault="003B79D8" w:rsidP="006C550F">
            <w:pPr>
              <w:keepNext/>
              <w:widowControl w:val="0"/>
              <w:shd w:val="clear" w:color="auto" w:fill="BDD6EE" w:themeFill="accent5" w:themeFillTint="66"/>
              <w:jc w:val="both"/>
              <w:rPr>
                <w:sz w:val="20"/>
                <w:szCs w:val="20"/>
                <w:lang w:val="en-GB"/>
              </w:rPr>
            </w:pPr>
            <w:r w:rsidRPr="006C550F">
              <w:rPr>
                <w:sz w:val="20"/>
                <w:szCs w:val="20"/>
                <w:lang w:val="en-GB"/>
              </w:rPr>
              <w:t>0.902</w:t>
            </w:r>
          </w:p>
        </w:tc>
      </w:tr>
      <w:tr w:rsidR="000907D5" w:rsidRPr="006C550F" w14:paraId="459740EF"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blHeader/>
        </w:trPr>
        <w:tc>
          <w:tcPr>
            <w:tcW w:w="816" w:type="pct"/>
            <w:gridSpan w:val="2"/>
            <w:tcBorders>
              <w:bottom w:val="single" w:sz="12" w:space="0" w:color="auto"/>
            </w:tcBorders>
            <w:shd w:val="clear" w:color="auto" w:fill="D9D9D9" w:themeFill="background1" w:themeFillShade="D9"/>
            <w:vAlign w:val="center"/>
          </w:tcPr>
          <w:p w14:paraId="5CC1D3B3"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Growth stage</w:t>
            </w:r>
          </w:p>
        </w:tc>
        <w:tc>
          <w:tcPr>
            <w:tcW w:w="1653" w:type="pct"/>
            <w:tcBorders>
              <w:bottom w:val="single" w:sz="12" w:space="0" w:color="auto"/>
            </w:tcBorders>
            <w:shd w:val="clear" w:color="auto" w:fill="D9D9D9" w:themeFill="background1" w:themeFillShade="D9"/>
            <w:vAlign w:val="center"/>
          </w:tcPr>
          <w:p w14:paraId="12E35D9C"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Generic focal species</w:t>
            </w:r>
          </w:p>
        </w:tc>
        <w:tc>
          <w:tcPr>
            <w:tcW w:w="409" w:type="pct"/>
            <w:gridSpan w:val="2"/>
            <w:tcBorders>
              <w:bottom w:val="single" w:sz="12" w:space="0" w:color="auto"/>
            </w:tcBorders>
            <w:shd w:val="clear" w:color="auto" w:fill="D9D9D9" w:themeFill="background1" w:themeFillShade="D9"/>
            <w:vAlign w:val="center"/>
          </w:tcPr>
          <w:p w14:paraId="027C0549"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FIR/bw</w:t>
            </w:r>
          </w:p>
        </w:tc>
        <w:tc>
          <w:tcPr>
            <w:tcW w:w="249" w:type="pct"/>
            <w:gridSpan w:val="2"/>
            <w:tcBorders>
              <w:bottom w:val="single" w:sz="12" w:space="0" w:color="auto"/>
            </w:tcBorders>
            <w:shd w:val="clear" w:color="auto" w:fill="D9D9D9" w:themeFill="background1" w:themeFillShade="D9"/>
            <w:vAlign w:val="center"/>
          </w:tcPr>
          <w:p w14:paraId="67A011F6" w14:textId="581909F2"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DF</w:t>
            </w:r>
          </w:p>
        </w:tc>
        <w:tc>
          <w:tcPr>
            <w:tcW w:w="462" w:type="pct"/>
            <w:tcBorders>
              <w:bottom w:val="single" w:sz="12" w:space="0" w:color="auto"/>
            </w:tcBorders>
            <w:shd w:val="clear" w:color="auto" w:fill="D9D9D9" w:themeFill="background1" w:themeFillShade="D9"/>
            <w:vAlign w:val="center"/>
          </w:tcPr>
          <w:p w14:paraId="02DE094D" w14:textId="781C7A0E" w:rsidR="003B79D8" w:rsidRPr="006C550F" w:rsidRDefault="00CC087B" w:rsidP="006C550F">
            <w:pPr>
              <w:keepNext/>
              <w:widowControl w:val="0"/>
              <w:shd w:val="clear" w:color="auto" w:fill="BDD6EE" w:themeFill="accent5" w:themeFillTint="66"/>
              <w:rPr>
                <w:b/>
                <w:bCs/>
                <w:sz w:val="20"/>
                <w:szCs w:val="20"/>
                <w:lang w:val="en-GB"/>
              </w:rPr>
            </w:pPr>
            <w:r w:rsidRPr="006C550F">
              <w:rPr>
                <w:b/>
                <w:bCs/>
                <w:sz w:val="20"/>
                <w:szCs w:val="20"/>
                <w:lang w:val="en-GB"/>
              </w:rPr>
              <w:t>RUDmix</w:t>
            </w:r>
          </w:p>
        </w:tc>
        <w:tc>
          <w:tcPr>
            <w:tcW w:w="360" w:type="pct"/>
            <w:tcBorders>
              <w:bottom w:val="single" w:sz="12" w:space="0" w:color="auto"/>
            </w:tcBorders>
            <w:shd w:val="clear" w:color="auto" w:fill="D9D9D9" w:themeFill="background1" w:themeFillShade="D9"/>
            <w:vAlign w:val="center"/>
          </w:tcPr>
          <w:p w14:paraId="1B1776E9"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MAF</w:t>
            </w:r>
            <w:r w:rsidRPr="006C550F">
              <w:rPr>
                <w:b/>
                <w:bCs/>
                <w:sz w:val="20"/>
                <w:szCs w:val="20"/>
                <w:vertAlign w:val="subscript"/>
                <w:lang w:val="en-GB"/>
              </w:rPr>
              <w:t>m</w:t>
            </w:r>
            <w:r w:rsidRPr="006C550F">
              <w:rPr>
                <w:b/>
                <w:bCs/>
                <w:sz w:val="20"/>
                <w:szCs w:val="20"/>
                <w:lang w:val="en-GB"/>
              </w:rPr>
              <w:t xml:space="preserve"> × TWA</w:t>
            </w:r>
          </w:p>
        </w:tc>
        <w:tc>
          <w:tcPr>
            <w:tcW w:w="666" w:type="pct"/>
            <w:tcBorders>
              <w:bottom w:val="single" w:sz="12" w:space="0" w:color="auto"/>
            </w:tcBorders>
            <w:shd w:val="clear" w:color="auto" w:fill="D9D9D9" w:themeFill="background1" w:themeFillShade="D9"/>
            <w:vAlign w:val="center"/>
          </w:tcPr>
          <w:p w14:paraId="6E399B5D" w14:textId="77777777" w:rsidR="003B79D8" w:rsidRPr="006C550F" w:rsidRDefault="003B79D8" w:rsidP="006C550F">
            <w:pPr>
              <w:keepNext/>
              <w:widowControl w:val="0"/>
              <w:shd w:val="clear" w:color="auto" w:fill="BDD6EE" w:themeFill="accent5" w:themeFillTint="66"/>
              <w:rPr>
                <w:b/>
                <w:bCs/>
                <w:sz w:val="20"/>
                <w:szCs w:val="20"/>
                <w:lang w:val="de-DE"/>
              </w:rPr>
            </w:pPr>
            <w:r w:rsidRPr="006C550F">
              <w:rPr>
                <w:b/>
                <w:bCs/>
                <w:sz w:val="20"/>
                <w:szCs w:val="20"/>
                <w:lang w:val="de-DE"/>
              </w:rPr>
              <w:t>DDD</w:t>
            </w:r>
            <w:r w:rsidRPr="006C550F">
              <w:rPr>
                <w:b/>
                <w:bCs/>
                <w:sz w:val="20"/>
                <w:szCs w:val="20"/>
                <w:vertAlign w:val="subscript"/>
                <w:lang w:val="de-DE"/>
              </w:rPr>
              <w:t>m</w:t>
            </w:r>
          </w:p>
          <w:p w14:paraId="330A4402" w14:textId="77777777" w:rsidR="003B79D8" w:rsidRPr="006C550F" w:rsidRDefault="003B79D8" w:rsidP="006C550F">
            <w:pPr>
              <w:keepNext/>
              <w:widowControl w:val="0"/>
              <w:shd w:val="clear" w:color="auto" w:fill="BDD6EE" w:themeFill="accent5" w:themeFillTint="66"/>
              <w:rPr>
                <w:b/>
                <w:bCs/>
                <w:sz w:val="20"/>
                <w:szCs w:val="20"/>
                <w:lang w:val="de-DE"/>
              </w:rPr>
            </w:pPr>
            <w:r w:rsidRPr="006C550F">
              <w:rPr>
                <w:b/>
                <w:bCs/>
                <w:sz w:val="20"/>
                <w:szCs w:val="20"/>
                <w:lang w:val="de-DE"/>
              </w:rPr>
              <w:t>(mg/kg bw/d)</w:t>
            </w:r>
          </w:p>
        </w:tc>
        <w:tc>
          <w:tcPr>
            <w:tcW w:w="385" w:type="pct"/>
            <w:tcBorders>
              <w:bottom w:val="single" w:sz="12" w:space="0" w:color="auto"/>
            </w:tcBorders>
            <w:shd w:val="clear" w:color="auto" w:fill="D9D9D9" w:themeFill="background1" w:themeFillShade="D9"/>
            <w:vAlign w:val="center"/>
          </w:tcPr>
          <w:p w14:paraId="2BDFD912" w14:textId="77777777" w:rsidR="003B79D8" w:rsidRPr="006C550F" w:rsidRDefault="003B79D8" w:rsidP="006C550F">
            <w:pPr>
              <w:keepNext/>
              <w:widowControl w:val="0"/>
              <w:shd w:val="clear" w:color="auto" w:fill="BDD6EE" w:themeFill="accent5" w:themeFillTint="66"/>
              <w:rPr>
                <w:b/>
                <w:bCs/>
                <w:sz w:val="20"/>
                <w:szCs w:val="20"/>
                <w:lang w:val="en-GB"/>
              </w:rPr>
            </w:pPr>
            <w:r w:rsidRPr="006C550F">
              <w:rPr>
                <w:b/>
                <w:bCs/>
                <w:sz w:val="20"/>
                <w:szCs w:val="20"/>
                <w:lang w:val="en-GB"/>
              </w:rPr>
              <w:t>TER</w:t>
            </w:r>
            <w:r w:rsidRPr="006C550F">
              <w:rPr>
                <w:b/>
                <w:bCs/>
                <w:sz w:val="20"/>
                <w:szCs w:val="20"/>
                <w:vertAlign w:val="subscript"/>
                <w:lang w:val="en-GB"/>
              </w:rPr>
              <w:t>lt</w:t>
            </w:r>
          </w:p>
        </w:tc>
      </w:tr>
      <w:tr w:rsidR="00B90A4C" w:rsidRPr="006C550F" w14:paraId="43DA8460"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6A2EFE8" w14:textId="77777777" w:rsidR="00B90A4C" w:rsidRPr="006C550F" w:rsidRDefault="00B90A4C" w:rsidP="006C550F">
            <w:pPr>
              <w:shd w:val="clear" w:color="auto" w:fill="BDD6EE" w:themeFill="accent5" w:themeFillTint="66"/>
              <w:jc w:val="center"/>
              <w:rPr>
                <w:sz w:val="20"/>
                <w:szCs w:val="20"/>
                <w:lang w:val="en-GB"/>
              </w:rPr>
            </w:pPr>
            <w:r w:rsidRPr="006C550F">
              <w:rPr>
                <w:b/>
                <w:sz w:val="20"/>
                <w:szCs w:val="20"/>
                <w:lang w:val="en-GB"/>
              </w:rPr>
              <w:t>Potatoes (3 x 0.902 kg a.s./ha, BBCH 21-89)</w:t>
            </w:r>
          </w:p>
        </w:tc>
      </w:tr>
      <w:tr w:rsidR="002F453A" w:rsidRPr="006C550F" w14:paraId="73E7C2F6"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12" w:space="0" w:color="auto"/>
            </w:tcBorders>
            <w:shd w:val="clear" w:color="auto" w:fill="D9D9D9" w:themeFill="background1" w:themeFillShade="D9"/>
            <w:vAlign w:val="center"/>
          </w:tcPr>
          <w:p w14:paraId="311542B3" w14:textId="06D39C2A" w:rsidR="00CA628D" w:rsidRPr="006C550F" w:rsidRDefault="00CA628D" w:rsidP="006C550F">
            <w:pPr>
              <w:shd w:val="clear" w:color="auto" w:fill="BDD6EE" w:themeFill="accent5" w:themeFillTint="66"/>
              <w:jc w:val="center"/>
              <w:rPr>
                <w:sz w:val="20"/>
                <w:szCs w:val="20"/>
                <w:lang w:val="en-GB"/>
              </w:rPr>
            </w:pPr>
            <w:r w:rsidRPr="006C550F">
              <w:rPr>
                <w:sz w:val="20"/>
                <w:szCs w:val="20"/>
              </w:rPr>
              <w:t>BBCH ≥40</w:t>
            </w:r>
          </w:p>
        </w:tc>
        <w:tc>
          <w:tcPr>
            <w:tcW w:w="1653" w:type="pct"/>
            <w:tcBorders>
              <w:top w:val="single" w:sz="12" w:space="0" w:color="auto"/>
            </w:tcBorders>
            <w:shd w:val="clear" w:color="auto" w:fill="D9D9D9" w:themeFill="background1" w:themeFillShade="D9"/>
            <w:vAlign w:val="center"/>
          </w:tcPr>
          <w:p w14:paraId="17AC8F1E" w14:textId="7F1AB7EB" w:rsidR="00CA628D" w:rsidRPr="006C550F" w:rsidRDefault="00CA628D" w:rsidP="006C550F">
            <w:pPr>
              <w:shd w:val="clear" w:color="auto" w:fill="BDD6EE" w:themeFill="accent5" w:themeFillTint="66"/>
              <w:jc w:val="center"/>
              <w:rPr>
                <w:sz w:val="20"/>
                <w:szCs w:val="20"/>
                <w:lang w:val="en-GB"/>
              </w:rPr>
            </w:pPr>
            <w:r w:rsidRPr="006C550F">
              <w:rPr>
                <w:sz w:val="20"/>
                <w:szCs w:val="20"/>
                <w:lang w:val="en-GB"/>
              </w:rPr>
              <w:t>Small herbivorous mammal “vole”</w:t>
            </w:r>
          </w:p>
        </w:tc>
        <w:tc>
          <w:tcPr>
            <w:tcW w:w="403" w:type="pct"/>
            <w:tcBorders>
              <w:top w:val="single" w:sz="12" w:space="0" w:color="auto"/>
            </w:tcBorders>
            <w:shd w:val="clear" w:color="auto" w:fill="D9D9D9" w:themeFill="background1" w:themeFillShade="D9"/>
            <w:vAlign w:val="center"/>
          </w:tcPr>
          <w:p w14:paraId="0EAE94C6" w14:textId="7034B4BA" w:rsidR="00CA628D" w:rsidRPr="006C550F" w:rsidRDefault="00CA628D" w:rsidP="006C550F">
            <w:pPr>
              <w:shd w:val="clear" w:color="auto" w:fill="BDD6EE" w:themeFill="accent5" w:themeFillTint="66"/>
              <w:jc w:val="center"/>
              <w:rPr>
                <w:sz w:val="20"/>
                <w:szCs w:val="20"/>
                <w:lang w:val="en-GB"/>
              </w:rPr>
            </w:pPr>
            <w:r w:rsidRPr="006C550F">
              <w:rPr>
                <w:sz w:val="20"/>
                <w:szCs w:val="20"/>
                <w:lang w:val="en-GB"/>
              </w:rPr>
              <w:t>1.46</w:t>
            </w:r>
          </w:p>
        </w:tc>
        <w:tc>
          <w:tcPr>
            <w:tcW w:w="255" w:type="pct"/>
            <w:gridSpan w:val="3"/>
            <w:tcBorders>
              <w:top w:val="single" w:sz="12" w:space="0" w:color="auto"/>
            </w:tcBorders>
            <w:shd w:val="clear" w:color="auto" w:fill="D9D9D9" w:themeFill="background1" w:themeFillShade="D9"/>
            <w:vAlign w:val="center"/>
          </w:tcPr>
          <w:p w14:paraId="51FB2D51" w14:textId="3753FBAF" w:rsidR="00CA628D" w:rsidRPr="006C550F" w:rsidRDefault="00344B26" w:rsidP="006C550F">
            <w:pPr>
              <w:shd w:val="clear" w:color="auto" w:fill="BDD6EE" w:themeFill="accent5" w:themeFillTint="66"/>
              <w:jc w:val="center"/>
              <w:rPr>
                <w:sz w:val="20"/>
                <w:szCs w:val="20"/>
                <w:lang w:val="en-GB"/>
              </w:rPr>
            </w:pPr>
            <w:r w:rsidRPr="006C550F">
              <w:rPr>
                <w:sz w:val="20"/>
                <w:szCs w:val="20"/>
                <w:lang w:val="en-GB"/>
              </w:rPr>
              <w:t>0.3</w:t>
            </w:r>
          </w:p>
        </w:tc>
        <w:tc>
          <w:tcPr>
            <w:tcW w:w="462" w:type="pct"/>
            <w:tcBorders>
              <w:top w:val="single" w:sz="12" w:space="0" w:color="auto"/>
            </w:tcBorders>
            <w:shd w:val="clear" w:color="auto" w:fill="D9D9D9" w:themeFill="background1" w:themeFillShade="D9"/>
            <w:vAlign w:val="center"/>
          </w:tcPr>
          <w:p w14:paraId="2C0657D7" w14:textId="173DCA7A" w:rsidR="00CA628D" w:rsidRPr="006C550F" w:rsidRDefault="00A245A8" w:rsidP="006C550F">
            <w:pPr>
              <w:shd w:val="clear" w:color="auto" w:fill="BDD6EE" w:themeFill="accent5" w:themeFillTint="66"/>
              <w:jc w:val="center"/>
              <w:rPr>
                <w:sz w:val="20"/>
                <w:szCs w:val="20"/>
                <w:lang w:val="en-GB"/>
              </w:rPr>
            </w:pPr>
            <w:r w:rsidRPr="006C550F">
              <w:rPr>
                <w:sz w:val="20"/>
                <w:szCs w:val="20"/>
                <w:lang w:val="en-GB"/>
              </w:rPr>
              <w:t>41.45</w:t>
            </w:r>
          </w:p>
        </w:tc>
        <w:tc>
          <w:tcPr>
            <w:tcW w:w="360" w:type="pct"/>
            <w:tcBorders>
              <w:top w:val="single" w:sz="12" w:space="0" w:color="auto"/>
            </w:tcBorders>
            <w:shd w:val="clear" w:color="auto" w:fill="D9D9D9" w:themeFill="background1" w:themeFillShade="D9"/>
            <w:vAlign w:val="center"/>
          </w:tcPr>
          <w:p w14:paraId="0A649DAA" w14:textId="230664C4" w:rsidR="00CA628D" w:rsidRPr="006C550F" w:rsidRDefault="00A245A8" w:rsidP="006C550F">
            <w:pPr>
              <w:shd w:val="clear" w:color="auto" w:fill="BDD6EE" w:themeFill="accent5" w:themeFillTint="66"/>
              <w:jc w:val="center"/>
              <w:rPr>
                <w:sz w:val="20"/>
                <w:szCs w:val="20"/>
                <w:lang w:val="en-GB"/>
              </w:rPr>
            </w:pPr>
            <w:r w:rsidRPr="006C550F">
              <w:rPr>
                <w:sz w:val="20"/>
                <w:szCs w:val="20"/>
                <w:lang w:val="en-GB"/>
              </w:rPr>
              <w:t>2.21 x 0.53</w:t>
            </w:r>
          </w:p>
        </w:tc>
        <w:tc>
          <w:tcPr>
            <w:tcW w:w="666" w:type="pct"/>
            <w:tcBorders>
              <w:top w:val="single" w:sz="12" w:space="0" w:color="auto"/>
              <w:left w:val="single" w:sz="4" w:space="0" w:color="auto"/>
              <w:bottom w:val="single" w:sz="4" w:space="0" w:color="auto"/>
              <w:right w:val="single" w:sz="4" w:space="0" w:color="auto"/>
            </w:tcBorders>
            <w:shd w:val="clear" w:color="auto" w:fill="D9D9D9" w:themeFill="background1" w:themeFillShade="D9"/>
            <w:vAlign w:val="center"/>
          </w:tcPr>
          <w:p w14:paraId="51012BF8" w14:textId="69162324" w:rsidR="00CA628D" w:rsidRPr="006C550F" w:rsidRDefault="008A64D9" w:rsidP="006C550F">
            <w:pPr>
              <w:shd w:val="clear" w:color="auto" w:fill="BDD6EE" w:themeFill="accent5" w:themeFillTint="66"/>
              <w:jc w:val="center"/>
              <w:rPr>
                <w:sz w:val="20"/>
                <w:szCs w:val="20"/>
                <w:lang w:val="en-GB"/>
              </w:rPr>
            </w:pPr>
            <w:r w:rsidRPr="006C550F">
              <w:rPr>
                <w:sz w:val="20"/>
                <w:szCs w:val="20"/>
                <w:lang w:val="en-GB"/>
              </w:rPr>
              <w:t>19.18</w:t>
            </w:r>
          </w:p>
        </w:tc>
        <w:tc>
          <w:tcPr>
            <w:tcW w:w="385" w:type="pct"/>
            <w:tcBorders>
              <w:top w:val="single" w:sz="12" w:space="0" w:color="auto"/>
              <w:left w:val="nil"/>
              <w:bottom w:val="single" w:sz="4" w:space="0" w:color="auto"/>
              <w:right w:val="single" w:sz="4" w:space="0" w:color="auto"/>
            </w:tcBorders>
            <w:shd w:val="clear" w:color="auto" w:fill="D9D9D9" w:themeFill="background1" w:themeFillShade="D9"/>
            <w:vAlign w:val="center"/>
          </w:tcPr>
          <w:p w14:paraId="35009F30" w14:textId="061371E8" w:rsidR="00CA628D" w:rsidRPr="006C550F" w:rsidRDefault="00B20F6B" w:rsidP="006C550F">
            <w:pPr>
              <w:shd w:val="clear" w:color="auto" w:fill="BDD6EE" w:themeFill="accent5" w:themeFillTint="66"/>
              <w:jc w:val="center"/>
              <w:rPr>
                <w:sz w:val="20"/>
                <w:szCs w:val="20"/>
                <w:lang w:val="en-GB"/>
              </w:rPr>
            </w:pPr>
            <w:r w:rsidRPr="006C550F">
              <w:rPr>
                <w:sz w:val="20"/>
                <w:szCs w:val="20"/>
                <w:lang w:val="en-GB"/>
              </w:rPr>
              <w:t>5.4</w:t>
            </w:r>
          </w:p>
        </w:tc>
      </w:tr>
      <w:tr w:rsidR="00CA628D" w:rsidRPr="006C550F" w14:paraId="2CFDAFA5"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12" w:space="0" w:color="auto"/>
              <w:bottom w:val="single" w:sz="12" w:space="0" w:color="auto"/>
              <w:right w:val="single" w:sz="4" w:space="0" w:color="auto"/>
            </w:tcBorders>
            <w:shd w:val="clear" w:color="auto" w:fill="D9D9D9" w:themeFill="background1" w:themeFillShade="D9"/>
            <w:vAlign w:val="center"/>
          </w:tcPr>
          <w:p w14:paraId="15C4765E" w14:textId="77777777" w:rsidR="00CA628D" w:rsidRPr="006C550F" w:rsidRDefault="00CA628D" w:rsidP="006C550F">
            <w:pPr>
              <w:shd w:val="clear" w:color="auto" w:fill="BDD6EE" w:themeFill="accent5" w:themeFillTint="66"/>
              <w:jc w:val="center"/>
              <w:rPr>
                <w:b/>
                <w:color w:val="000000"/>
                <w:sz w:val="20"/>
                <w:szCs w:val="20"/>
                <w:lang w:val="en-GB"/>
              </w:rPr>
            </w:pPr>
            <w:r w:rsidRPr="006C550F">
              <w:rPr>
                <w:b/>
                <w:sz w:val="20"/>
                <w:szCs w:val="20"/>
                <w:lang w:val="en-GB"/>
              </w:rPr>
              <w:t>Bulbs and onion like crops (2 x 0.902 kg a.s./ha, BBCH 14–49)</w:t>
            </w:r>
          </w:p>
        </w:tc>
      </w:tr>
      <w:tr w:rsidR="007024C5" w:rsidRPr="006C550F" w14:paraId="68EF6E47"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074657C9" w14:textId="77777777" w:rsidR="00B20F6B" w:rsidRPr="006C550F" w:rsidRDefault="00B20F6B" w:rsidP="006C550F">
            <w:pPr>
              <w:shd w:val="clear" w:color="auto" w:fill="BDD6EE" w:themeFill="accent5" w:themeFillTint="66"/>
              <w:jc w:val="center"/>
              <w:rPr>
                <w:color w:val="000000"/>
                <w:sz w:val="20"/>
                <w:szCs w:val="20"/>
                <w:lang w:val="en-GB"/>
              </w:rPr>
            </w:pPr>
            <w:r w:rsidRPr="006C550F">
              <w:rPr>
                <w:sz w:val="20"/>
                <w:szCs w:val="20"/>
              </w:rPr>
              <w:t>BBCH ≥40</w:t>
            </w:r>
          </w:p>
        </w:tc>
        <w:tc>
          <w:tcPr>
            <w:tcW w:w="1653" w:type="pct"/>
            <w:tcBorders>
              <w:top w:val="nil"/>
              <w:left w:val="nil"/>
              <w:bottom w:val="single" w:sz="4" w:space="0" w:color="auto"/>
              <w:right w:val="single" w:sz="4" w:space="0" w:color="auto"/>
            </w:tcBorders>
            <w:shd w:val="clear" w:color="auto" w:fill="D9D9D9" w:themeFill="background1" w:themeFillShade="D9"/>
            <w:vAlign w:val="center"/>
          </w:tcPr>
          <w:p w14:paraId="30A27F54" w14:textId="77777777" w:rsidR="00B20F6B" w:rsidRPr="006C550F" w:rsidRDefault="00B20F6B" w:rsidP="006C550F">
            <w:pPr>
              <w:shd w:val="clear" w:color="auto" w:fill="BDD6EE" w:themeFill="accent5" w:themeFillTint="66"/>
              <w:jc w:val="center"/>
              <w:rPr>
                <w:color w:val="000000"/>
                <w:sz w:val="20"/>
                <w:szCs w:val="20"/>
                <w:lang w:val="en-GB"/>
              </w:rPr>
            </w:pPr>
            <w:r w:rsidRPr="006C550F">
              <w:rPr>
                <w:sz w:val="20"/>
                <w:szCs w:val="20"/>
                <w:lang w:val="en-GB"/>
              </w:rPr>
              <w:t>Small herbivorous mammal “vole”</w:t>
            </w:r>
          </w:p>
        </w:tc>
        <w:tc>
          <w:tcPr>
            <w:tcW w:w="409" w:type="pct"/>
            <w:gridSpan w:val="2"/>
            <w:shd w:val="clear" w:color="auto" w:fill="D9D9D9" w:themeFill="background1" w:themeFillShade="D9"/>
            <w:vAlign w:val="center"/>
          </w:tcPr>
          <w:p w14:paraId="787E7F8C" w14:textId="05902846" w:rsidR="00B20F6B" w:rsidRPr="006C550F" w:rsidRDefault="005A7378" w:rsidP="006C550F">
            <w:pPr>
              <w:shd w:val="clear" w:color="auto" w:fill="BDD6EE" w:themeFill="accent5" w:themeFillTint="66"/>
              <w:jc w:val="center"/>
              <w:rPr>
                <w:sz w:val="20"/>
                <w:szCs w:val="20"/>
                <w:lang w:val="en-GB"/>
              </w:rPr>
            </w:pPr>
            <w:r w:rsidRPr="006C550F">
              <w:rPr>
                <w:sz w:val="20"/>
                <w:szCs w:val="20"/>
                <w:lang w:val="en-GB"/>
              </w:rPr>
              <w:t>1.46</w:t>
            </w:r>
          </w:p>
        </w:tc>
        <w:tc>
          <w:tcPr>
            <w:tcW w:w="249" w:type="pct"/>
            <w:gridSpan w:val="2"/>
            <w:shd w:val="clear" w:color="auto" w:fill="D9D9D9" w:themeFill="background1" w:themeFillShade="D9"/>
            <w:vAlign w:val="center"/>
          </w:tcPr>
          <w:p w14:paraId="64FB9407" w14:textId="7B32168D" w:rsidR="00B20F6B" w:rsidRPr="006C550F" w:rsidRDefault="003E268B" w:rsidP="006C550F">
            <w:pPr>
              <w:shd w:val="clear" w:color="auto" w:fill="BDD6EE" w:themeFill="accent5" w:themeFillTint="66"/>
              <w:jc w:val="center"/>
              <w:rPr>
                <w:sz w:val="20"/>
                <w:szCs w:val="20"/>
                <w:lang w:val="en-GB"/>
              </w:rPr>
            </w:pPr>
            <w:r w:rsidRPr="006C550F">
              <w:rPr>
                <w:sz w:val="20"/>
                <w:szCs w:val="20"/>
                <w:lang w:val="en-GB"/>
              </w:rPr>
              <w:t>0.6</w:t>
            </w:r>
          </w:p>
        </w:tc>
        <w:tc>
          <w:tcPr>
            <w:tcW w:w="462"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26ABA92" w14:textId="60A839B6" w:rsidR="00B20F6B" w:rsidRPr="006C550F" w:rsidRDefault="005A7378" w:rsidP="006C550F">
            <w:pPr>
              <w:shd w:val="clear" w:color="auto" w:fill="BDD6EE" w:themeFill="accent5" w:themeFillTint="66"/>
              <w:jc w:val="center"/>
              <w:rPr>
                <w:color w:val="000000"/>
                <w:sz w:val="20"/>
                <w:szCs w:val="20"/>
                <w:lang w:val="en-GB"/>
              </w:rPr>
            </w:pPr>
            <w:r w:rsidRPr="006C550F">
              <w:rPr>
                <w:color w:val="000000"/>
                <w:sz w:val="20"/>
                <w:szCs w:val="20"/>
                <w:lang w:val="en-GB"/>
              </w:rPr>
              <w:t>41.45</w:t>
            </w:r>
          </w:p>
        </w:tc>
        <w:tc>
          <w:tcPr>
            <w:tcW w:w="360" w:type="pct"/>
            <w:shd w:val="clear" w:color="auto" w:fill="D9D9D9" w:themeFill="background1" w:themeFillShade="D9"/>
            <w:vAlign w:val="center"/>
          </w:tcPr>
          <w:p w14:paraId="73842756" w14:textId="22E015D3" w:rsidR="00B20F6B" w:rsidRPr="006C550F" w:rsidRDefault="00B20F6B" w:rsidP="006C550F">
            <w:pPr>
              <w:shd w:val="clear" w:color="auto" w:fill="BDD6EE" w:themeFill="accent5" w:themeFillTint="66"/>
              <w:jc w:val="center"/>
              <w:rPr>
                <w:sz w:val="20"/>
                <w:szCs w:val="20"/>
                <w:lang w:val="en-GB"/>
              </w:rPr>
            </w:pPr>
            <w:r w:rsidRPr="006C550F">
              <w:rPr>
                <w:sz w:val="20"/>
                <w:szCs w:val="20"/>
                <w:lang w:val="en-GB"/>
              </w:rPr>
              <w:t>1.71 × 0.53</w:t>
            </w:r>
          </w:p>
        </w:tc>
        <w:tc>
          <w:tcPr>
            <w:tcW w:w="666"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FE60634" w14:textId="65D8B4E5" w:rsidR="00B20F6B" w:rsidRPr="006C550F" w:rsidRDefault="003F49AC" w:rsidP="006C550F">
            <w:pPr>
              <w:shd w:val="clear" w:color="auto" w:fill="BDD6EE" w:themeFill="accent5" w:themeFillTint="66"/>
              <w:jc w:val="center"/>
              <w:rPr>
                <w:color w:val="000000"/>
                <w:sz w:val="20"/>
                <w:szCs w:val="20"/>
                <w:lang w:val="en-GB"/>
              </w:rPr>
            </w:pPr>
            <w:r w:rsidRPr="006C550F">
              <w:rPr>
                <w:color w:val="000000"/>
                <w:sz w:val="20"/>
                <w:szCs w:val="20"/>
                <w:lang w:val="en-GB"/>
              </w:rPr>
              <w:t>29.68</w:t>
            </w:r>
          </w:p>
        </w:tc>
        <w:tc>
          <w:tcPr>
            <w:tcW w:w="385"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688CB63" w14:textId="1B0FD025" w:rsidR="00B20F6B" w:rsidRPr="006C550F" w:rsidRDefault="002E53E9" w:rsidP="006C550F">
            <w:pPr>
              <w:shd w:val="clear" w:color="auto" w:fill="BDD6EE" w:themeFill="accent5" w:themeFillTint="66"/>
              <w:jc w:val="center"/>
              <w:rPr>
                <w:b/>
                <w:bCs/>
                <w:color w:val="000000"/>
                <w:sz w:val="20"/>
                <w:szCs w:val="20"/>
                <w:lang w:val="en-GB"/>
              </w:rPr>
            </w:pPr>
            <w:r w:rsidRPr="006C550F">
              <w:rPr>
                <w:b/>
                <w:bCs/>
                <w:color w:val="000000"/>
                <w:sz w:val="20"/>
                <w:szCs w:val="20"/>
                <w:lang w:val="en-GB"/>
              </w:rPr>
              <w:t>3.5</w:t>
            </w:r>
          </w:p>
        </w:tc>
      </w:tr>
      <w:tr w:rsidR="00D21E2A" w:rsidRPr="006C550F" w14:paraId="77FDE353"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nil"/>
              <w:left w:val="single" w:sz="4" w:space="0" w:color="auto"/>
              <w:bottom w:val="single" w:sz="4" w:space="0" w:color="auto"/>
              <w:right w:val="single" w:sz="4" w:space="0" w:color="auto"/>
            </w:tcBorders>
            <w:shd w:val="clear" w:color="auto" w:fill="D9D9D9" w:themeFill="background1" w:themeFillShade="D9"/>
            <w:vAlign w:val="center"/>
          </w:tcPr>
          <w:p w14:paraId="551A961E" w14:textId="2D3ECB22" w:rsidR="00D21E2A" w:rsidRPr="006C550F" w:rsidRDefault="00D21E2A" w:rsidP="006C550F">
            <w:pPr>
              <w:shd w:val="clear" w:color="auto" w:fill="BDD6EE" w:themeFill="accent5" w:themeFillTint="66"/>
              <w:jc w:val="center"/>
              <w:rPr>
                <w:b/>
                <w:bCs/>
                <w:color w:val="000000"/>
                <w:sz w:val="20"/>
                <w:szCs w:val="20"/>
                <w:lang w:val="en-GB"/>
              </w:rPr>
            </w:pPr>
            <w:r w:rsidRPr="006C550F">
              <w:rPr>
                <w:b/>
                <w:sz w:val="20"/>
                <w:szCs w:val="20"/>
                <w:lang w:val="en-GB"/>
              </w:rPr>
              <w:t>Bulbs and onion like crops (1 x 0.902 kg a.s./ha, BBCH 14–49)</w:t>
            </w:r>
          </w:p>
        </w:tc>
      </w:tr>
      <w:tr w:rsidR="007024C5" w:rsidRPr="006C550F" w14:paraId="06C4E716"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5C5B1619" w14:textId="188FFD21" w:rsidR="00D21E2A" w:rsidRPr="006C550F" w:rsidRDefault="00D21E2A" w:rsidP="006C550F">
            <w:pPr>
              <w:shd w:val="clear" w:color="auto" w:fill="BDD6EE" w:themeFill="accent5" w:themeFillTint="66"/>
              <w:jc w:val="center"/>
              <w:rPr>
                <w:sz w:val="20"/>
                <w:szCs w:val="20"/>
              </w:rPr>
            </w:pPr>
            <w:r w:rsidRPr="006C550F">
              <w:rPr>
                <w:sz w:val="20"/>
                <w:szCs w:val="20"/>
              </w:rPr>
              <w:t>BBCH ≥40</w:t>
            </w:r>
          </w:p>
        </w:tc>
        <w:tc>
          <w:tcPr>
            <w:tcW w:w="1653" w:type="pct"/>
            <w:tcBorders>
              <w:top w:val="nil"/>
              <w:left w:val="nil"/>
              <w:bottom w:val="single" w:sz="4" w:space="0" w:color="auto"/>
              <w:right w:val="single" w:sz="4" w:space="0" w:color="auto"/>
            </w:tcBorders>
            <w:shd w:val="clear" w:color="auto" w:fill="D9D9D9" w:themeFill="background1" w:themeFillShade="D9"/>
            <w:vAlign w:val="center"/>
          </w:tcPr>
          <w:p w14:paraId="2D6BB4D2" w14:textId="66EE920F" w:rsidR="00D21E2A" w:rsidRPr="006C550F" w:rsidRDefault="00D21E2A" w:rsidP="006C550F">
            <w:pPr>
              <w:shd w:val="clear" w:color="auto" w:fill="BDD6EE" w:themeFill="accent5" w:themeFillTint="66"/>
              <w:jc w:val="center"/>
              <w:rPr>
                <w:sz w:val="20"/>
                <w:szCs w:val="20"/>
                <w:lang w:val="en-GB"/>
              </w:rPr>
            </w:pPr>
            <w:r w:rsidRPr="006C550F">
              <w:rPr>
                <w:sz w:val="20"/>
                <w:szCs w:val="20"/>
                <w:lang w:val="en-GB"/>
              </w:rPr>
              <w:t>Small herbivorous mammal “vole”</w:t>
            </w:r>
          </w:p>
        </w:tc>
        <w:tc>
          <w:tcPr>
            <w:tcW w:w="409" w:type="pct"/>
            <w:gridSpan w:val="2"/>
            <w:shd w:val="clear" w:color="auto" w:fill="D9D9D9" w:themeFill="background1" w:themeFillShade="D9"/>
            <w:vAlign w:val="center"/>
          </w:tcPr>
          <w:p w14:paraId="180499CF" w14:textId="696636B1" w:rsidR="00D21E2A" w:rsidRPr="006C550F" w:rsidRDefault="00D21E2A" w:rsidP="006C550F">
            <w:pPr>
              <w:shd w:val="clear" w:color="auto" w:fill="BDD6EE" w:themeFill="accent5" w:themeFillTint="66"/>
              <w:jc w:val="center"/>
              <w:rPr>
                <w:sz w:val="20"/>
                <w:szCs w:val="20"/>
                <w:lang w:val="en-GB"/>
              </w:rPr>
            </w:pPr>
            <w:r w:rsidRPr="006C550F">
              <w:rPr>
                <w:sz w:val="20"/>
                <w:szCs w:val="20"/>
                <w:lang w:val="en-GB"/>
              </w:rPr>
              <w:t>1.46</w:t>
            </w:r>
          </w:p>
        </w:tc>
        <w:tc>
          <w:tcPr>
            <w:tcW w:w="249" w:type="pct"/>
            <w:gridSpan w:val="2"/>
            <w:shd w:val="clear" w:color="auto" w:fill="D9D9D9" w:themeFill="background1" w:themeFillShade="D9"/>
            <w:vAlign w:val="center"/>
          </w:tcPr>
          <w:p w14:paraId="038D528D" w14:textId="114D1E10" w:rsidR="00D21E2A" w:rsidRPr="006C550F" w:rsidRDefault="00D21E2A" w:rsidP="006C550F">
            <w:pPr>
              <w:shd w:val="clear" w:color="auto" w:fill="BDD6EE" w:themeFill="accent5" w:themeFillTint="66"/>
              <w:jc w:val="center"/>
              <w:rPr>
                <w:sz w:val="20"/>
                <w:szCs w:val="20"/>
                <w:lang w:val="en-GB"/>
              </w:rPr>
            </w:pPr>
            <w:r w:rsidRPr="006C550F">
              <w:rPr>
                <w:sz w:val="20"/>
                <w:szCs w:val="20"/>
                <w:lang w:val="en-GB"/>
              </w:rPr>
              <w:t>0.6</w:t>
            </w:r>
          </w:p>
        </w:tc>
        <w:tc>
          <w:tcPr>
            <w:tcW w:w="462"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5FA48F1D" w14:textId="568705A8" w:rsidR="00D21E2A" w:rsidRPr="006C550F" w:rsidRDefault="00D21E2A" w:rsidP="006C550F">
            <w:pPr>
              <w:shd w:val="clear" w:color="auto" w:fill="BDD6EE" w:themeFill="accent5" w:themeFillTint="66"/>
              <w:jc w:val="center"/>
              <w:rPr>
                <w:color w:val="000000"/>
                <w:sz w:val="20"/>
                <w:szCs w:val="20"/>
                <w:lang w:val="en-GB"/>
              </w:rPr>
            </w:pPr>
            <w:r w:rsidRPr="006C550F">
              <w:rPr>
                <w:color w:val="000000"/>
                <w:sz w:val="20"/>
                <w:szCs w:val="20"/>
                <w:lang w:val="en-GB"/>
              </w:rPr>
              <w:t>41.45</w:t>
            </w:r>
          </w:p>
        </w:tc>
        <w:tc>
          <w:tcPr>
            <w:tcW w:w="360" w:type="pct"/>
            <w:shd w:val="clear" w:color="auto" w:fill="D9D9D9" w:themeFill="background1" w:themeFillShade="D9"/>
            <w:vAlign w:val="center"/>
          </w:tcPr>
          <w:p w14:paraId="47132599" w14:textId="4C373BFB" w:rsidR="00D21E2A" w:rsidRPr="006C550F" w:rsidRDefault="00D21E2A" w:rsidP="006C550F">
            <w:pPr>
              <w:shd w:val="clear" w:color="auto" w:fill="BDD6EE" w:themeFill="accent5" w:themeFillTint="66"/>
              <w:jc w:val="center"/>
              <w:rPr>
                <w:sz w:val="20"/>
                <w:szCs w:val="20"/>
                <w:lang w:val="en-GB"/>
              </w:rPr>
            </w:pPr>
            <w:r w:rsidRPr="006C550F">
              <w:rPr>
                <w:sz w:val="20"/>
                <w:szCs w:val="20"/>
                <w:lang w:val="en-GB"/>
              </w:rPr>
              <w:t>0.53</w:t>
            </w:r>
          </w:p>
        </w:tc>
        <w:tc>
          <w:tcPr>
            <w:tcW w:w="666"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44964529" w14:textId="5922BAC7" w:rsidR="00D21E2A" w:rsidRPr="006C550F" w:rsidRDefault="00FC2077" w:rsidP="006C550F">
            <w:pPr>
              <w:shd w:val="clear" w:color="auto" w:fill="BDD6EE" w:themeFill="accent5" w:themeFillTint="66"/>
              <w:jc w:val="center"/>
              <w:rPr>
                <w:color w:val="000000"/>
                <w:sz w:val="20"/>
                <w:szCs w:val="20"/>
                <w:lang w:val="en-GB"/>
              </w:rPr>
            </w:pPr>
            <w:r w:rsidRPr="006C550F">
              <w:rPr>
                <w:color w:val="000000"/>
                <w:sz w:val="20"/>
                <w:szCs w:val="20"/>
                <w:lang w:val="en-GB"/>
              </w:rPr>
              <w:t>17.36</w:t>
            </w:r>
          </w:p>
        </w:tc>
        <w:tc>
          <w:tcPr>
            <w:tcW w:w="385"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53E802EC" w14:textId="122E8797" w:rsidR="00D21E2A" w:rsidRPr="006C550F" w:rsidRDefault="00C47310" w:rsidP="006C550F">
            <w:pPr>
              <w:shd w:val="clear" w:color="auto" w:fill="BDD6EE" w:themeFill="accent5" w:themeFillTint="66"/>
              <w:jc w:val="center"/>
              <w:rPr>
                <w:color w:val="000000"/>
                <w:sz w:val="20"/>
                <w:szCs w:val="20"/>
                <w:lang w:val="en-GB"/>
              </w:rPr>
            </w:pPr>
            <w:r w:rsidRPr="006C550F">
              <w:rPr>
                <w:color w:val="000000"/>
                <w:sz w:val="20"/>
                <w:szCs w:val="20"/>
                <w:lang w:val="en-GB"/>
              </w:rPr>
              <w:t>6.0</w:t>
            </w:r>
          </w:p>
        </w:tc>
      </w:tr>
      <w:tr w:rsidR="00D21E2A" w:rsidRPr="006C550F" w14:paraId="026E21E7"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12" w:space="0" w:color="auto"/>
              <w:bottom w:val="single" w:sz="12" w:space="0" w:color="auto"/>
            </w:tcBorders>
            <w:shd w:val="clear" w:color="auto" w:fill="D9D9D9" w:themeFill="background1" w:themeFillShade="D9"/>
            <w:vAlign w:val="center"/>
          </w:tcPr>
          <w:p w14:paraId="10ED80AD" w14:textId="4867172A" w:rsidR="00D21E2A" w:rsidRPr="006C550F" w:rsidRDefault="00D21E2A" w:rsidP="006C550F">
            <w:pPr>
              <w:shd w:val="clear" w:color="auto" w:fill="BDD6EE" w:themeFill="accent5" w:themeFillTint="66"/>
              <w:jc w:val="center"/>
              <w:rPr>
                <w:sz w:val="20"/>
                <w:szCs w:val="20"/>
                <w:lang w:val="en-GB"/>
              </w:rPr>
            </w:pPr>
            <w:r w:rsidRPr="006C550F">
              <w:rPr>
                <w:b/>
                <w:sz w:val="20"/>
                <w:szCs w:val="20"/>
                <w:lang w:val="en-GB"/>
              </w:rPr>
              <w:t>Fruiting vegetables (2 x 0.902 kg a.s./ha, BBCH 21 - 89)</w:t>
            </w:r>
          </w:p>
        </w:tc>
      </w:tr>
      <w:tr w:rsidR="007024C5" w:rsidRPr="006C550F" w14:paraId="0C4DA41D"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bottom w:val="single" w:sz="4" w:space="0" w:color="auto"/>
            </w:tcBorders>
            <w:shd w:val="clear" w:color="auto" w:fill="D9D9D9" w:themeFill="background1" w:themeFillShade="D9"/>
            <w:vAlign w:val="center"/>
          </w:tcPr>
          <w:p w14:paraId="4B81BDE0" w14:textId="77777777" w:rsidR="009537C9" w:rsidRPr="006C550F" w:rsidRDefault="009537C9" w:rsidP="006C550F">
            <w:pPr>
              <w:shd w:val="clear" w:color="auto" w:fill="BDD6EE" w:themeFill="accent5" w:themeFillTint="66"/>
              <w:jc w:val="center"/>
              <w:rPr>
                <w:sz w:val="20"/>
                <w:szCs w:val="20"/>
                <w:lang w:val="en-GB"/>
              </w:rPr>
            </w:pPr>
            <w:r w:rsidRPr="006C550F">
              <w:rPr>
                <w:sz w:val="20"/>
                <w:szCs w:val="20"/>
              </w:rPr>
              <w:t>BBCH 10-49</w:t>
            </w:r>
          </w:p>
        </w:tc>
        <w:tc>
          <w:tcPr>
            <w:tcW w:w="1653" w:type="pct"/>
            <w:tcBorders>
              <w:bottom w:val="single" w:sz="4" w:space="0" w:color="auto"/>
            </w:tcBorders>
            <w:shd w:val="clear" w:color="auto" w:fill="D9D9D9" w:themeFill="background1" w:themeFillShade="D9"/>
            <w:vAlign w:val="center"/>
          </w:tcPr>
          <w:p w14:paraId="4B5E24D9" w14:textId="77777777" w:rsidR="009537C9" w:rsidRPr="006C550F" w:rsidRDefault="009537C9" w:rsidP="006C550F">
            <w:pPr>
              <w:shd w:val="clear" w:color="auto" w:fill="BDD6EE" w:themeFill="accent5" w:themeFillTint="66"/>
              <w:jc w:val="center"/>
              <w:rPr>
                <w:sz w:val="20"/>
                <w:szCs w:val="20"/>
                <w:lang w:val="en-GB"/>
              </w:rPr>
            </w:pPr>
            <w:r w:rsidRPr="006C550F">
              <w:rPr>
                <w:sz w:val="20"/>
                <w:szCs w:val="20"/>
                <w:lang w:val="en-GB"/>
              </w:rPr>
              <w:t>Small herbivorous mammal “vole”</w:t>
            </w:r>
          </w:p>
        </w:tc>
        <w:tc>
          <w:tcPr>
            <w:tcW w:w="409" w:type="pct"/>
            <w:gridSpan w:val="2"/>
            <w:shd w:val="clear" w:color="auto" w:fill="D9D9D9" w:themeFill="background1" w:themeFillShade="D9"/>
            <w:vAlign w:val="center"/>
          </w:tcPr>
          <w:p w14:paraId="6791F95B" w14:textId="0B91145E" w:rsidR="009537C9" w:rsidRPr="006C550F" w:rsidRDefault="009537C9" w:rsidP="006C550F">
            <w:pPr>
              <w:shd w:val="clear" w:color="auto" w:fill="BDD6EE" w:themeFill="accent5" w:themeFillTint="66"/>
              <w:jc w:val="center"/>
              <w:rPr>
                <w:sz w:val="20"/>
                <w:szCs w:val="20"/>
                <w:lang w:val="en-GB"/>
              </w:rPr>
            </w:pPr>
            <w:r w:rsidRPr="006C550F">
              <w:rPr>
                <w:sz w:val="20"/>
                <w:szCs w:val="20"/>
                <w:lang w:val="en-GB"/>
              </w:rPr>
              <w:t>1.46</w:t>
            </w:r>
          </w:p>
        </w:tc>
        <w:tc>
          <w:tcPr>
            <w:tcW w:w="249" w:type="pct"/>
            <w:gridSpan w:val="2"/>
            <w:shd w:val="clear" w:color="auto" w:fill="D9D9D9" w:themeFill="background1" w:themeFillShade="D9"/>
            <w:vAlign w:val="center"/>
          </w:tcPr>
          <w:p w14:paraId="75B876F0" w14:textId="2B763331" w:rsidR="009537C9" w:rsidRPr="006C550F" w:rsidRDefault="00661B12" w:rsidP="006C550F">
            <w:pPr>
              <w:shd w:val="clear" w:color="auto" w:fill="BDD6EE" w:themeFill="accent5" w:themeFillTint="66"/>
              <w:jc w:val="center"/>
              <w:rPr>
                <w:sz w:val="20"/>
                <w:szCs w:val="20"/>
                <w:lang w:val="en-GB"/>
              </w:rPr>
            </w:pPr>
            <w:r w:rsidRPr="006C550F">
              <w:rPr>
                <w:sz w:val="20"/>
                <w:szCs w:val="20"/>
                <w:lang w:val="en-GB"/>
              </w:rPr>
              <w:t>1</w:t>
            </w:r>
          </w:p>
        </w:tc>
        <w:tc>
          <w:tcPr>
            <w:tcW w:w="462" w:type="pct"/>
            <w:tcBorders>
              <w:bottom w:val="single" w:sz="4" w:space="0" w:color="auto"/>
            </w:tcBorders>
            <w:shd w:val="clear" w:color="auto" w:fill="D9D9D9" w:themeFill="background1" w:themeFillShade="D9"/>
            <w:vAlign w:val="center"/>
          </w:tcPr>
          <w:p w14:paraId="40B7DAC9" w14:textId="5C8289C4" w:rsidR="009537C9" w:rsidRPr="006C550F" w:rsidRDefault="009537C9" w:rsidP="006C550F">
            <w:pPr>
              <w:shd w:val="clear" w:color="auto" w:fill="BDD6EE" w:themeFill="accent5" w:themeFillTint="66"/>
              <w:jc w:val="center"/>
              <w:rPr>
                <w:sz w:val="20"/>
                <w:szCs w:val="20"/>
                <w:lang w:val="en-GB"/>
              </w:rPr>
            </w:pPr>
            <w:r w:rsidRPr="006C550F">
              <w:rPr>
                <w:sz w:val="20"/>
                <w:szCs w:val="20"/>
                <w:lang w:val="en-GB"/>
              </w:rPr>
              <w:t>41.45</w:t>
            </w:r>
          </w:p>
        </w:tc>
        <w:tc>
          <w:tcPr>
            <w:tcW w:w="360" w:type="pct"/>
            <w:shd w:val="clear" w:color="auto" w:fill="D9D9D9" w:themeFill="background1" w:themeFillShade="D9"/>
            <w:vAlign w:val="center"/>
          </w:tcPr>
          <w:p w14:paraId="685125C3" w14:textId="05A1A82A" w:rsidR="009537C9" w:rsidRPr="006C550F" w:rsidRDefault="009537C9" w:rsidP="006C550F">
            <w:pPr>
              <w:shd w:val="clear" w:color="auto" w:fill="BDD6EE" w:themeFill="accent5" w:themeFillTint="66"/>
              <w:jc w:val="center"/>
              <w:rPr>
                <w:sz w:val="20"/>
                <w:szCs w:val="20"/>
                <w:lang w:val="en-GB"/>
              </w:rPr>
            </w:pPr>
            <w:r w:rsidRPr="006C550F">
              <w:rPr>
                <w:sz w:val="20"/>
                <w:szCs w:val="20"/>
                <w:lang w:val="en-GB"/>
              </w:rPr>
              <w:t>1.62 × 0.53</w:t>
            </w:r>
          </w:p>
        </w:tc>
        <w:tc>
          <w:tcPr>
            <w:tcW w:w="666"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0C229464" w14:textId="4695C830" w:rsidR="009537C9" w:rsidRPr="006C550F" w:rsidRDefault="00C0775F" w:rsidP="006C550F">
            <w:pPr>
              <w:shd w:val="clear" w:color="auto" w:fill="BDD6EE" w:themeFill="accent5" w:themeFillTint="66"/>
              <w:jc w:val="center"/>
              <w:rPr>
                <w:sz w:val="20"/>
                <w:szCs w:val="20"/>
                <w:lang w:val="en-GB"/>
              </w:rPr>
            </w:pPr>
            <w:r w:rsidRPr="006C550F">
              <w:rPr>
                <w:sz w:val="20"/>
                <w:szCs w:val="20"/>
                <w:lang w:val="en-GB"/>
              </w:rPr>
              <w:t>46.87</w:t>
            </w:r>
          </w:p>
        </w:tc>
        <w:tc>
          <w:tcPr>
            <w:tcW w:w="385" w:type="pct"/>
            <w:tcBorders>
              <w:top w:val="nil"/>
              <w:left w:val="nil"/>
              <w:bottom w:val="single" w:sz="4" w:space="0" w:color="auto"/>
              <w:right w:val="single" w:sz="4" w:space="0" w:color="auto"/>
            </w:tcBorders>
            <w:shd w:val="clear" w:color="auto" w:fill="D9D9D9" w:themeFill="background1" w:themeFillShade="D9"/>
            <w:vAlign w:val="center"/>
          </w:tcPr>
          <w:p w14:paraId="25A37F0C" w14:textId="3B5289C3" w:rsidR="009537C9" w:rsidRPr="006C550F" w:rsidRDefault="00E845C6" w:rsidP="006C550F">
            <w:pPr>
              <w:shd w:val="clear" w:color="auto" w:fill="BDD6EE" w:themeFill="accent5" w:themeFillTint="66"/>
              <w:jc w:val="center"/>
              <w:rPr>
                <w:b/>
                <w:bCs/>
                <w:sz w:val="20"/>
                <w:szCs w:val="20"/>
                <w:lang w:val="en-GB"/>
              </w:rPr>
            </w:pPr>
            <w:r w:rsidRPr="006C550F">
              <w:rPr>
                <w:b/>
                <w:bCs/>
                <w:sz w:val="20"/>
                <w:szCs w:val="20"/>
                <w:lang w:val="en-GB"/>
              </w:rPr>
              <w:t>2.2</w:t>
            </w:r>
          </w:p>
        </w:tc>
      </w:tr>
      <w:tr w:rsidR="00D21E2A" w:rsidRPr="006C550F" w14:paraId="30036732"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12" w:space="0" w:color="auto"/>
              <w:bottom w:val="single" w:sz="12" w:space="0" w:color="auto"/>
              <w:right w:val="single" w:sz="4" w:space="0" w:color="auto"/>
            </w:tcBorders>
            <w:shd w:val="clear" w:color="auto" w:fill="D9D9D9" w:themeFill="background1" w:themeFillShade="D9"/>
            <w:vAlign w:val="center"/>
          </w:tcPr>
          <w:p w14:paraId="383A4F5D" w14:textId="77777777" w:rsidR="00D21E2A" w:rsidRPr="006C550F" w:rsidRDefault="00D21E2A" w:rsidP="006C550F">
            <w:pPr>
              <w:keepNext/>
              <w:keepLines/>
              <w:shd w:val="clear" w:color="auto" w:fill="BDD6EE" w:themeFill="accent5" w:themeFillTint="66"/>
              <w:jc w:val="center"/>
              <w:rPr>
                <w:b/>
                <w:color w:val="000000"/>
                <w:sz w:val="20"/>
                <w:szCs w:val="20"/>
                <w:lang w:val="es-ES"/>
              </w:rPr>
            </w:pPr>
            <w:r w:rsidRPr="006C550F">
              <w:rPr>
                <w:b/>
                <w:sz w:val="20"/>
                <w:szCs w:val="20"/>
                <w:lang w:val="es-ES"/>
              </w:rPr>
              <w:t>Ornamentals (2 x 0.902 kg a.s./ha, BBCH 12–59)</w:t>
            </w:r>
          </w:p>
        </w:tc>
      </w:tr>
      <w:tr w:rsidR="007024C5" w:rsidRPr="006C550F" w14:paraId="4463F51C"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15287EA7" w14:textId="77777777" w:rsidR="00775392" w:rsidRPr="006C550F" w:rsidRDefault="00775392" w:rsidP="006C550F">
            <w:pPr>
              <w:shd w:val="clear" w:color="auto" w:fill="BDD6EE" w:themeFill="accent5" w:themeFillTint="66"/>
              <w:jc w:val="center"/>
              <w:rPr>
                <w:color w:val="000000"/>
                <w:sz w:val="20"/>
                <w:szCs w:val="20"/>
                <w:lang w:val="en-GB"/>
              </w:rPr>
            </w:pPr>
            <w:r w:rsidRPr="006C550F">
              <w:rPr>
                <w:sz w:val="20"/>
                <w:szCs w:val="20"/>
              </w:rPr>
              <w:t>BBCH 40-49</w:t>
            </w:r>
          </w:p>
        </w:tc>
        <w:tc>
          <w:tcPr>
            <w:tcW w:w="1653" w:type="pct"/>
            <w:tcBorders>
              <w:top w:val="single" w:sz="2" w:space="0" w:color="auto"/>
              <w:left w:val="nil"/>
              <w:bottom w:val="single" w:sz="4" w:space="0" w:color="auto"/>
              <w:right w:val="single" w:sz="4" w:space="0" w:color="auto"/>
            </w:tcBorders>
            <w:shd w:val="clear" w:color="auto" w:fill="D9D9D9" w:themeFill="background1" w:themeFillShade="D9"/>
            <w:vAlign w:val="center"/>
          </w:tcPr>
          <w:p w14:paraId="4D8F8C5B" w14:textId="77777777" w:rsidR="00775392" w:rsidRPr="006C550F" w:rsidRDefault="00775392" w:rsidP="006C550F">
            <w:pPr>
              <w:keepNext/>
              <w:keepLines/>
              <w:shd w:val="clear" w:color="auto" w:fill="BDD6EE" w:themeFill="accent5" w:themeFillTint="66"/>
              <w:jc w:val="center"/>
              <w:rPr>
                <w:color w:val="000000"/>
                <w:sz w:val="20"/>
                <w:szCs w:val="20"/>
                <w:lang w:val="en-GB"/>
              </w:rPr>
            </w:pPr>
            <w:r w:rsidRPr="006C550F">
              <w:rPr>
                <w:sz w:val="20"/>
                <w:szCs w:val="20"/>
                <w:lang w:val="en-GB"/>
              </w:rPr>
              <w:t>Small herbivorous mammal “vole”</w:t>
            </w:r>
          </w:p>
        </w:tc>
        <w:tc>
          <w:tcPr>
            <w:tcW w:w="409" w:type="pct"/>
            <w:gridSpan w:val="2"/>
            <w:shd w:val="clear" w:color="auto" w:fill="D9D9D9" w:themeFill="background1" w:themeFillShade="D9"/>
            <w:vAlign w:val="center"/>
          </w:tcPr>
          <w:p w14:paraId="5A61194D" w14:textId="21439BB2" w:rsidR="00775392" w:rsidRPr="006C550F" w:rsidRDefault="0007598E" w:rsidP="006C550F">
            <w:pPr>
              <w:shd w:val="clear" w:color="auto" w:fill="BDD6EE" w:themeFill="accent5" w:themeFillTint="66"/>
              <w:jc w:val="center"/>
              <w:rPr>
                <w:sz w:val="20"/>
                <w:szCs w:val="20"/>
                <w:lang w:val="en-GB"/>
              </w:rPr>
            </w:pPr>
            <w:r w:rsidRPr="006C550F">
              <w:rPr>
                <w:sz w:val="20"/>
                <w:szCs w:val="20"/>
                <w:lang w:val="en-GB"/>
              </w:rPr>
              <w:t>1.46</w:t>
            </w:r>
          </w:p>
        </w:tc>
        <w:tc>
          <w:tcPr>
            <w:tcW w:w="249" w:type="pct"/>
            <w:gridSpan w:val="2"/>
            <w:shd w:val="clear" w:color="auto" w:fill="D9D9D9" w:themeFill="background1" w:themeFillShade="D9"/>
            <w:vAlign w:val="center"/>
          </w:tcPr>
          <w:p w14:paraId="17086809" w14:textId="7FCA6D1D" w:rsidR="00775392" w:rsidRPr="006C550F" w:rsidRDefault="00775392" w:rsidP="006C550F">
            <w:pPr>
              <w:shd w:val="clear" w:color="auto" w:fill="BDD6EE" w:themeFill="accent5" w:themeFillTint="66"/>
              <w:jc w:val="center"/>
              <w:rPr>
                <w:sz w:val="20"/>
                <w:szCs w:val="20"/>
                <w:lang w:val="en-GB"/>
              </w:rPr>
            </w:pPr>
            <w:r w:rsidRPr="006C550F">
              <w:rPr>
                <w:sz w:val="20"/>
                <w:szCs w:val="20"/>
                <w:lang w:val="en-GB"/>
              </w:rPr>
              <w:t>1</w:t>
            </w:r>
          </w:p>
        </w:tc>
        <w:tc>
          <w:tcPr>
            <w:tcW w:w="462" w:type="pct"/>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388BE71A" w14:textId="4A877D5E" w:rsidR="00775392" w:rsidRPr="006C550F" w:rsidRDefault="0007598E" w:rsidP="006C550F">
            <w:pPr>
              <w:shd w:val="clear" w:color="auto" w:fill="BDD6EE" w:themeFill="accent5" w:themeFillTint="66"/>
              <w:jc w:val="center"/>
              <w:rPr>
                <w:color w:val="000000"/>
                <w:sz w:val="20"/>
                <w:szCs w:val="20"/>
                <w:lang w:val="en-GB"/>
              </w:rPr>
            </w:pPr>
            <w:r w:rsidRPr="006C550F">
              <w:rPr>
                <w:color w:val="000000"/>
                <w:sz w:val="20"/>
                <w:szCs w:val="20"/>
                <w:lang w:val="en-GB"/>
              </w:rPr>
              <w:t>41.45</w:t>
            </w:r>
          </w:p>
        </w:tc>
        <w:tc>
          <w:tcPr>
            <w:tcW w:w="360" w:type="pct"/>
            <w:shd w:val="clear" w:color="auto" w:fill="D9D9D9" w:themeFill="background1" w:themeFillShade="D9"/>
            <w:vAlign w:val="center"/>
          </w:tcPr>
          <w:p w14:paraId="6A2DB55F" w14:textId="3BBB2D56" w:rsidR="00775392" w:rsidRPr="006C550F" w:rsidRDefault="00775392" w:rsidP="006C550F">
            <w:pPr>
              <w:shd w:val="clear" w:color="auto" w:fill="BDD6EE" w:themeFill="accent5" w:themeFillTint="66"/>
              <w:jc w:val="center"/>
              <w:rPr>
                <w:sz w:val="20"/>
                <w:szCs w:val="20"/>
                <w:lang w:val="en-GB"/>
              </w:rPr>
            </w:pPr>
            <w:r w:rsidRPr="006C550F">
              <w:rPr>
                <w:sz w:val="20"/>
                <w:szCs w:val="20"/>
                <w:lang w:val="en-GB"/>
              </w:rPr>
              <w:t>1.71 × 0.53</w:t>
            </w:r>
          </w:p>
        </w:tc>
        <w:tc>
          <w:tcPr>
            <w:tcW w:w="666" w:type="pct"/>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7693F10C" w14:textId="279486E5" w:rsidR="00775392" w:rsidRPr="006C550F" w:rsidRDefault="00FE5939" w:rsidP="006C550F">
            <w:pPr>
              <w:shd w:val="clear" w:color="auto" w:fill="BDD6EE" w:themeFill="accent5" w:themeFillTint="66"/>
              <w:jc w:val="center"/>
              <w:rPr>
                <w:color w:val="000000"/>
                <w:sz w:val="20"/>
                <w:szCs w:val="20"/>
                <w:lang w:val="en-GB"/>
              </w:rPr>
            </w:pPr>
            <w:r w:rsidRPr="006C550F">
              <w:rPr>
                <w:color w:val="000000"/>
                <w:sz w:val="20"/>
                <w:szCs w:val="20"/>
                <w:lang w:val="en-GB"/>
              </w:rPr>
              <w:t>49.47</w:t>
            </w:r>
          </w:p>
        </w:tc>
        <w:tc>
          <w:tcPr>
            <w:tcW w:w="385" w:type="pct"/>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14:paraId="24935D03" w14:textId="1A2DC4E2" w:rsidR="00775392" w:rsidRPr="006C550F" w:rsidRDefault="006622AA" w:rsidP="006C550F">
            <w:pPr>
              <w:shd w:val="clear" w:color="auto" w:fill="BDD6EE" w:themeFill="accent5" w:themeFillTint="66"/>
              <w:jc w:val="center"/>
              <w:rPr>
                <w:b/>
                <w:bCs/>
                <w:color w:val="000000"/>
                <w:sz w:val="20"/>
                <w:szCs w:val="20"/>
                <w:lang w:val="en-GB"/>
              </w:rPr>
            </w:pPr>
            <w:r w:rsidRPr="006C550F">
              <w:rPr>
                <w:b/>
                <w:bCs/>
                <w:color w:val="000000"/>
                <w:sz w:val="20"/>
                <w:szCs w:val="20"/>
                <w:lang w:val="en-GB"/>
              </w:rPr>
              <w:t>2.1</w:t>
            </w:r>
          </w:p>
        </w:tc>
      </w:tr>
      <w:tr w:rsidR="007024C5" w:rsidRPr="006C550F" w14:paraId="299683DC"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49BF15C7" w14:textId="77777777" w:rsidR="00775392" w:rsidRPr="006C550F" w:rsidRDefault="00775392" w:rsidP="006C550F">
            <w:pPr>
              <w:shd w:val="clear" w:color="auto" w:fill="BDD6EE" w:themeFill="accent5" w:themeFillTint="66"/>
              <w:jc w:val="center"/>
              <w:rPr>
                <w:color w:val="000000"/>
                <w:sz w:val="20"/>
                <w:szCs w:val="20"/>
                <w:lang w:val="en-GB"/>
              </w:rPr>
            </w:pPr>
            <w:r w:rsidRPr="006C550F">
              <w:rPr>
                <w:sz w:val="20"/>
                <w:szCs w:val="20"/>
              </w:rPr>
              <w:t>BBCH ≥50</w:t>
            </w:r>
          </w:p>
        </w:tc>
        <w:tc>
          <w:tcPr>
            <w:tcW w:w="1653" w:type="pct"/>
            <w:tcBorders>
              <w:top w:val="nil"/>
              <w:left w:val="nil"/>
              <w:bottom w:val="single" w:sz="4" w:space="0" w:color="auto"/>
              <w:right w:val="single" w:sz="4" w:space="0" w:color="auto"/>
            </w:tcBorders>
            <w:shd w:val="clear" w:color="auto" w:fill="D9D9D9" w:themeFill="background1" w:themeFillShade="D9"/>
            <w:vAlign w:val="center"/>
          </w:tcPr>
          <w:p w14:paraId="42B34EA1" w14:textId="77777777" w:rsidR="00775392" w:rsidRPr="006C550F" w:rsidRDefault="00775392" w:rsidP="006C550F">
            <w:pPr>
              <w:keepNext/>
              <w:keepLines/>
              <w:shd w:val="clear" w:color="auto" w:fill="BDD6EE" w:themeFill="accent5" w:themeFillTint="66"/>
              <w:jc w:val="center"/>
              <w:rPr>
                <w:color w:val="000000"/>
                <w:sz w:val="20"/>
                <w:szCs w:val="20"/>
                <w:lang w:val="en-GB"/>
              </w:rPr>
            </w:pPr>
            <w:r w:rsidRPr="006C550F">
              <w:rPr>
                <w:sz w:val="20"/>
                <w:szCs w:val="20"/>
                <w:lang w:val="en-GB"/>
              </w:rPr>
              <w:t>Small herbivorous mammal “vole”</w:t>
            </w:r>
          </w:p>
        </w:tc>
        <w:tc>
          <w:tcPr>
            <w:tcW w:w="409" w:type="pct"/>
            <w:gridSpan w:val="2"/>
            <w:shd w:val="clear" w:color="auto" w:fill="D9D9D9" w:themeFill="background1" w:themeFillShade="D9"/>
            <w:vAlign w:val="center"/>
          </w:tcPr>
          <w:p w14:paraId="42E0BF15" w14:textId="42B97DAA" w:rsidR="00775392" w:rsidRPr="006C550F" w:rsidRDefault="0007598E" w:rsidP="006C550F">
            <w:pPr>
              <w:shd w:val="clear" w:color="auto" w:fill="BDD6EE" w:themeFill="accent5" w:themeFillTint="66"/>
              <w:jc w:val="center"/>
              <w:rPr>
                <w:sz w:val="20"/>
                <w:szCs w:val="20"/>
                <w:lang w:val="en-GB"/>
              </w:rPr>
            </w:pPr>
            <w:r w:rsidRPr="006C550F">
              <w:rPr>
                <w:sz w:val="20"/>
                <w:szCs w:val="20"/>
                <w:lang w:val="en-GB"/>
              </w:rPr>
              <w:t>1.46</w:t>
            </w:r>
          </w:p>
        </w:tc>
        <w:tc>
          <w:tcPr>
            <w:tcW w:w="249" w:type="pct"/>
            <w:gridSpan w:val="2"/>
            <w:shd w:val="clear" w:color="auto" w:fill="D9D9D9" w:themeFill="background1" w:themeFillShade="D9"/>
            <w:vAlign w:val="center"/>
          </w:tcPr>
          <w:p w14:paraId="73DC606F" w14:textId="16C5186A" w:rsidR="00775392" w:rsidRPr="006C550F" w:rsidRDefault="0007598E" w:rsidP="006C550F">
            <w:pPr>
              <w:shd w:val="clear" w:color="auto" w:fill="BDD6EE" w:themeFill="accent5" w:themeFillTint="66"/>
              <w:jc w:val="center"/>
              <w:rPr>
                <w:sz w:val="20"/>
                <w:szCs w:val="20"/>
                <w:lang w:val="en-GB"/>
              </w:rPr>
            </w:pPr>
            <w:r w:rsidRPr="006C550F">
              <w:rPr>
                <w:sz w:val="20"/>
                <w:szCs w:val="20"/>
                <w:lang w:val="en-GB"/>
              </w:rPr>
              <w:t>0.</w:t>
            </w:r>
            <w:r w:rsidR="00603178" w:rsidRPr="006C550F">
              <w:rPr>
                <w:sz w:val="20"/>
                <w:szCs w:val="20"/>
                <w:lang w:val="en-GB"/>
              </w:rPr>
              <w:t>3</w:t>
            </w:r>
            <w:r w:rsidR="00EA752F" w:rsidRPr="006C550F">
              <w:rPr>
                <w:sz w:val="20"/>
                <w:szCs w:val="20"/>
                <w:lang w:val="en-GB"/>
              </w:rPr>
              <w:t>#</w:t>
            </w:r>
          </w:p>
        </w:tc>
        <w:tc>
          <w:tcPr>
            <w:tcW w:w="462"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686C7C61" w14:textId="4EDE3666" w:rsidR="00775392" w:rsidRPr="006C550F" w:rsidRDefault="0007598E" w:rsidP="006C550F">
            <w:pPr>
              <w:shd w:val="clear" w:color="auto" w:fill="BDD6EE" w:themeFill="accent5" w:themeFillTint="66"/>
              <w:jc w:val="center"/>
              <w:rPr>
                <w:color w:val="000000"/>
                <w:sz w:val="20"/>
                <w:szCs w:val="20"/>
                <w:lang w:val="en-GB"/>
              </w:rPr>
            </w:pPr>
            <w:r w:rsidRPr="006C550F">
              <w:rPr>
                <w:color w:val="000000"/>
                <w:sz w:val="20"/>
                <w:szCs w:val="20"/>
                <w:lang w:val="en-GB"/>
              </w:rPr>
              <w:t>41.45</w:t>
            </w:r>
          </w:p>
        </w:tc>
        <w:tc>
          <w:tcPr>
            <w:tcW w:w="360" w:type="pct"/>
            <w:shd w:val="clear" w:color="auto" w:fill="D9D9D9" w:themeFill="background1" w:themeFillShade="D9"/>
            <w:vAlign w:val="center"/>
          </w:tcPr>
          <w:p w14:paraId="24EC9165" w14:textId="16C7169C" w:rsidR="00775392" w:rsidRPr="006C550F" w:rsidRDefault="00775392" w:rsidP="006C550F">
            <w:pPr>
              <w:shd w:val="clear" w:color="auto" w:fill="BDD6EE" w:themeFill="accent5" w:themeFillTint="66"/>
              <w:jc w:val="center"/>
              <w:rPr>
                <w:sz w:val="20"/>
                <w:szCs w:val="20"/>
                <w:lang w:val="en-GB"/>
              </w:rPr>
            </w:pPr>
            <w:r w:rsidRPr="006C550F">
              <w:rPr>
                <w:sz w:val="20"/>
                <w:szCs w:val="20"/>
                <w:lang w:val="en-GB"/>
              </w:rPr>
              <w:t>1.71 × 0.53</w:t>
            </w:r>
          </w:p>
        </w:tc>
        <w:tc>
          <w:tcPr>
            <w:tcW w:w="666"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2292A8B5" w14:textId="639FBF17" w:rsidR="00775392" w:rsidRPr="006C550F" w:rsidRDefault="005A0F2A" w:rsidP="006C550F">
            <w:pPr>
              <w:shd w:val="clear" w:color="auto" w:fill="BDD6EE" w:themeFill="accent5" w:themeFillTint="66"/>
              <w:jc w:val="center"/>
              <w:rPr>
                <w:color w:val="000000"/>
                <w:sz w:val="20"/>
                <w:szCs w:val="20"/>
                <w:lang w:val="en-GB"/>
              </w:rPr>
            </w:pPr>
            <w:r w:rsidRPr="006C550F">
              <w:rPr>
                <w:color w:val="000000"/>
                <w:sz w:val="20"/>
                <w:szCs w:val="20"/>
                <w:lang w:val="en-GB"/>
              </w:rPr>
              <w:t>14.84</w:t>
            </w:r>
          </w:p>
        </w:tc>
        <w:tc>
          <w:tcPr>
            <w:tcW w:w="385"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6F5EF980" w14:textId="31AECE51" w:rsidR="00775392" w:rsidRPr="006C550F" w:rsidRDefault="000907D5" w:rsidP="006C550F">
            <w:pPr>
              <w:shd w:val="clear" w:color="auto" w:fill="BDD6EE" w:themeFill="accent5" w:themeFillTint="66"/>
              <w:jc w:val="center"/>
              <w:rPr>
                <w:color w:val="000000"/>
                <w:sz w:val="20"/>
                <w:szCs w:val="20"/>
                <w:lang w:val="en-GB"/>
              </w:rPr>
            </w:pPr>
            <w:r w:rsidRPr="006C550F">
              <w:rPr>
                <w:color w:val="000000"/>
                <w:sz w:val="20"/>
                <w:szCs w:val="20"/>
                <w:lang w:val="en-GB"/>
              </w:rPr>
              <w:t>7.0</w:t>
            </w:r>
          </w:p>
        </w:tc>
      </w:tr>
      <w:tr w:rsidR="00D21E2A" w:rsidRPr="006C550F" w14:paraId="0428691A"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884E16" w14:textId="77777777" w:rsidR="00D21E2A" w:rsidRPr="006C550F" w:rsidRDefault="00D21E2A" w:rsidP="006C550F">
            <w:pPr>
              <w:keepNext/>
              <w:shd w:val="clear" w:color="auto" w:fill="BDD6EE" w:themeFill="accent5" w:themeFillTint="66"/>
              <w:jc w:val="center"/>
              <w:rPr>
                <w:sz w:val="20"/>
                <w:szCs w:val="20"/>
              </w:rPr>
            </w:pPr>
            <w:r w:rsidRPr="006C550F">
              <w:rPr>
                <w:b/>
                <w:bCs/>
                <w:sz w:val="20"/>
                <w:szCs w:val="20"/>
              </w:rPr>
              <w:lastRenderedPageBreak/>
              <w:t xml:space="preserve">Orchards </w:t>
            </w:r>
            <w:r w:rsidRPr="006C550F">
              <w:rPr>
                <w:b/>
                <w:sz w:val="20"/>
                <w:szCs w:val="20"/>
                <w:lang w:val="en-GB"/>
              </w:rPr>
              <w:t>(2 x 0.902 kg a.s./ha, BBCH 12 - 59)</w:t>
            </w:r>
          </w:p>
        </w:tc>
      </w:tr>
      <w:tr w:rsidR="000907D5" w:rsidRPr="006C550F" w14:paraId="47F0FEB8"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54CC62" w14:textId="77777777" w:rsidR="000907D5" w:rsidRPr="006C550F" w:rsidRDefault="000907D5" w:rsidP="006C550F">
            <w:pPr>
              <w:keepNext/>
              <w:shd w:val="clear" w:color="auto" w:fill="BDD6EE" w:themeFill="accent5" w:themeFillTint="66"/>
              <w:jc w:val="center"/>
              <w:rPr>
                <w:sz w:val="20"/>
                <w:szCs w:val="20"/>
              </w:rPr>
            </w:pPr>
            <w:r w:rsidRPr="006C550F">
              <w:rPr>
                <w:sz w:val="20"/>
                <w:szCs w:val="20"/>
              </w:rPr>
              <w:t>Application crop directed</w:t>
            </w:r>
          </w:p>
          <w:p w14:paraId="59319F72" w14:textId="77777777" w:rsidR="000907D5" w:rsidRPr="006C550F" w:rsidRDefault="000907D5" w:rsidP="006C550F">
            <w:pPr>
              <w:keepNext/>
              <w:shd w:val="clear" w:color="auto" w:fill="BDD6EE" w:themeFill="accent5" w:themeFillTint="66"/>
              <w:jc w:val="center"/>
              <w:rPr>
                <w:sz w:val="20"/>
                <w:szCs w:val="20"/>
              </w:rPr>
            </w:pPr>
            <w:r w:rsidRPr="006C550F">
              <w:rPr>
                <w:sz w:val="20"/>
                <w:szCs w:val="20"/>
              </w:rPr>
              <w:t>BBCH 10-19</w:t>
            </w:r>
          </w:p>
        </w:tc>
        <w:tc>
          <w:tcPr>
            <w:tcW w:w="165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FBEBC11" w14:textId="77777777"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Small herbivorous mammal “vole”</w:t>
            </w:r>
          </w:p>
        </w:tc>
        <w:tc>
          <w:tcPr>
            <w:tcW w:w="425" w:type="pct"/>
            <w:gridSpan w:val="3"/>
            <w:tcBorders>
              <w:top w:val="single" w:sz="4" w:space="0" w:color="auto"/>
            </w:tcBorders>
            <w:shd w:val="clear" w:color="auto" w:fill="D9D9D9" w:themeFill="background1" w:themeFillShade="D9"/>
            <w:vAlign w:val="center"/>
          </w:tcPr>
          <w:p w14:paraId="54FD9C7E" w14:textId="43A3B00C"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1.46</w:t>
            </w:r>
          </w:p>
        </w:tc>
        <w:tc>
          <w:tcPr>
            <w:tcW w:w="233" w:type="pct"/>
            <w:tcBorders>
              <w:top w:val="single" w:sz="4" w:space="0" w:color="auto"/>
            </w:tcBorders>
            <w:shd w:val="clear" w:color="auto" w:fill="D9D9D9" w:themeFill="background1" w:themeFillShade="D9"/>
            <w:vAlign w:val="center"/>
          </w:tcPr>
          <w:p w14:paraId="3341C858" w14:textId="3B868B1D" w:rsidR="000907D5" w:rsidRPr="006C550F" w:rsidRDefault="00535E8A" w:rsidP="006C550F">
            <w:pPr>
              <w:keepNext/>
              <w:shd w:val="clear" w:color="auto" w:fill="BDD6EE" w:themeFill="accent5" w:themeFillTint="66"/>
              <w:jc w:val="center"/>
              <w:rPr>
                <w:sz w:val="20"/>
                <w:szCs w:val="20"/>
                <w:lang w:val="en-GB"/>
              </w:rPr>
            </w:pPr>
            <w:r w:rsidRPr="006C550F">
              <w:rPr>
                <w:sz w:val="20"/>
                <w:szCs w:val="20"/>
                <w:lang w:val="en-GB"/>
              </w:rPr>
              <w:t>0.8</w:t>
            </w:r>
          </w:p>
        </w:tc>
        <w:tc>
          <w:tcPr>
            <w:tcW w:w="4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AFAE95" w14:textId="56A4A078" w:rsidR="000907D5" w:rsidRPr="006C550F" w:rsidRDefault="000907D5" w:rsidP="006C550F">
            <w:pPr>
              <w:keepNext/>
              <w:shd w:val="clear" w:color="auto" w:fill="BDD6EE" w:themeFill="accent5" w:themeFillTint="66"/>
              <w:jc w:val="center"/>
              <w:rPr>
                <w:sz w:val="20"/>
                <w:szCs w:val="20"/>
              </w:rPr>
            </w:pPr>
            <w:r w:rsidRPr="006C550F">
              <w:rPr>
                <w:sz w:val="20"/>
                <w:szCs w:val="20"/>
              </w:rPr>
              <w:t>41.45</w:t>
            </w:r>
          </w:p>
        </w:tc>
        <w:tc>
          <w:tcPr>
            <w:tcW w:w="360" w:type="pct"/>
            <w:tcBorders>
              <w:top w:val="single" w:sz="4" w:space="0" w:color="auto"/>
            </w:tcBorders>
            <w:shd w:val="clear" w:color="auto" w:fill="D9D9D9" w:themeFill="background1" w:themeFillShade="D9"/>
            <w:vAlign w:val="center"/>
          </w:tcPr>
          <w:p w14:paraId="57C9896E" w14:textId="77777777"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AA322D" w14:textId="62E28A47" w:rsidR="000907D5" w:rsidRPr="006C550F" w:rsidRDefault="005E309D" w:rsidP="006C550F">
            <w:pPr>
              <w:keepNext/>
              <w:shd w:val="clear" w:color="auto" w:fill="BDD6EE" w:themeFill="accent5" w:themeFillTint="66"/>
              <w:jc w:val="center"/>
              <w:rPr>
                <w:sz w:val="20"/>
                <w:szCs w:val="20"/>
              </w:rPr>
            </w:pPr>
            <w:r w:rsidRPr="006C550F">
              <w:rPr>
                <w:sz w:val="20"/>
                <w:szCs w:val="20"/>
              </w:rPr>
              <w:t>37.49</w:t>
            </w:r>
          </w:p>
        </w:tc>
        <w:tc>
          <w:tcPr>
            <w:tcW w:w="3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53D3CC" w14:textId="44769846" w:rsidR="000907D5" w:rsidRPr="006C550F" w:rsidRDefault="009521DF" w:rsidP="006C550F">
            <w:pPr>
              <w:keepNext/>
              <w:shd w:val="clear" w:color="auto" w:fill="BDD6EE" w:themeFill="accent5" w:themeFillTint="66"/>
              <w:jc w:val="center"/>
              <w:rPr>
                <w:b/>
                <w:bCs/>
                <w:sz w:val="20"/>
                <w:szCs w:val="20"/>
              </w:rPr>
            </w:pPr>
            <w:r w:rsidRPr="006C550F">
              <w:rPr>
                <w:b/>
                <w:bCs/>
                <w:sz w:val="20"/>
                <w:szCs w:val="20"/>
              </w:rPr>
              <w:t>2.8</w:t>
            </w:r>
          </w:p>
        </w:tc>
      </w:tr>
      <w:tr w:rsidR="000907D5" w:rsidRPr="006C550F" w14:paraId="41F434F8"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68A8DF" w14:textId="77777777" w:rsidR="000907D5" w:rsidRPr="006C550F" w:rsidRDefault="000907D5" w:rsidP="006C550F">
            <w:pPr>
              <w:keepNext/>
              <w:shd w:val="clear" w:color="auto" w:fill="BDD6EE" w:themeFill="accent5" w:themeFillTint="66"/>
              <w:jc w:val="center"/>
              <w:rPr>
                <w:sz w:val="20"/>
                <w:szCs w:val="20"/>
              </w:rPr>
            </w:pPr>
            <w:r w:rsidRPr="006C550F">
              <w:rPr>
                <w:sz w:val="20"/>
                <w:szCs w:val="20"/>
              </w:rPr>
              <w:t>Application crop directed</w:t>
            </w:r>
          </w:p>
          <w:p w14:paraId="61232630" w14:textId="77777777" w:rsidR="000907D5" w:rsidRPr="006C550F" w:rsidRDefault="000907D5" w:rsidP="006C550F">
            <w:pPr>
              <w:keepNext/>
              <w:shd w:val="clear" w:color="auto" w:fill="BDD6EE" w:themeFill="accent5" w:themeFillTint="66"/>
              <w:jc w:val="center"/>
              <w:rPr>
                <w:sz w:val="20"/>
                <w:szCs w:val="20"/>
              </w:rPr>
            </w:pPr>
            <w:r w:rsidRPr="006C550F">
              <w:rPr>
                <w:sz w:val="20"/>
                <w:szCs w:val="20"/>
              </w:rPr>
              <w:t>BBCH 20-40</w:t>
            </w:r>
          </w:p>
        </w:tc>
        <w:tc>
          <w:tcPr>
            <w:tcW w:w="165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C7CDB9A" w14:textId="77777777"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Small herbivorous mammal “vole”</w:t>
            </w:r>
          </w:p>
        </w:tc>
        <w:tc>
          <w:tcPr>
            <w:tcW w:w="425" w:type="pct"/>
            <w:gridSpan w:val="3"/>
            <w:shd w:val="clear" w:color="auto" w:fill="D9D9D9" w:themeFill="background1" w:themeFillShade="D9"/>
            <w:vAlign w:val="center"/>
          </w:tcPr>
          <w:p w14:paraId="05C1927F" w14:textId="6776FCA8"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1.46</w:t>
            </w:r>
          </w:p>
        </w:tc>
        <w:tc>
          <w:tcPr>
            <w:tcW w:w="233" w:type="pct"/>
            <w:shd w:val="clear" w:color="auto" w:fill="D9D9D9" w:themeFill="background1" w:themeFillShade="D9"/>
            <w:vAlign w:val="center"/>
          </w:tcPr>
          <w:p w14:paraId="7D016674" w14:textId="7B301656" w:rsidR="000907D5" w:rsidRPr="006C550F" w:rsidRDefault="00320D7A" w:rsidP="006C550F">
            <w:pPr>
              <w:keepNext/>
              <w:shd w:val="clear" w:color="auto" w:fill="BDD6EE" w:themeFill="accent5" w:themeFillTint="66"/>
              <w:jc w:val="center"/>
              <w:rPr>
                <w:sz w:val="20"/>
                <w:szCs w:val="20"/>
                <w:lang w:val="en-GB"/>
              </w:rPr>
            </w:pPr>
            <w:r w:rsidRPr="006C550F">
              <w:rPr>
                <w:sz w:val="20"/>
                <w:szCs w:val="20"/>
                <w:lang w:val="en-GB"/>
              </w:rPr>
              <w:t>0.6</w:t>
            </w:r>
          </w:p>
        </w:tc>
        <w:tc>
          <w:tcPr>
            <w:tcW w:w="4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4633B" w14:textId="7F125BDC" w:rsidR="000907D5" w:rsidRPr="006C550F" w:rsidRDefault="000907D5" w:rsidP="006C550F">
            <w:pPr>
              <w:keepNext/>
              <w:shd w:val="clear" w:color="auto" w:fill="BDD6EE" w:themeFill="accent5" w:themeFillTint="66"/>
              <w:jc w:val="center"/>
              <w:rPr>
                <w:sz w:val="20"/>
                <w:szCs w:val="20"/>
              </w:rPr>
            </w:pPr>
            <w:r w:rsidRPr="006C550F">
              <w:rPr>
                <w:sz w:val="20"/>
                <w:szCs w:val="20"/>
              </w:rPr>
              <w:t>41.45</w:t>
            </w:r>
          </w:p>
        </w:tc>
        <w:tc>
          <w:tcPr>
            <w:tcW w:w="360" w:type="pct"/>
            <w:shd w:val="clear" w:color="auto" w:fill="D9D9D9" w:themeFill="background1" w:themeFillShade="D9"/>
            <w:vAlign w:val="center"/>
          </w:tcPr>
          <w:p w14:paraId="3E1FA846" w14:textId="5BABF7B6" w:rsidR="000907D5" w:rsidRPr="006C550F" w:rsidRDefault="000907D5" w:rsidP="006C550F">
            <w:pPr>
              <w:keepNext/>
              <w:shd w:val="clear" w:color="auto" w:fill="BDD6EE" w:themeFill="accent5" w:themeFillTint="66"/>
              <w:jc w:val="center"/>
              <w:rPr>
                <w:sz w:val="20"/>
                <w:szCs w:val="20"/>
                <w:lang w:val="en-GB"/>
              </w:rPr>
            </w:pPr>
            <w:r w:rsidRPr="006C550F">
              <w:rPr>
                <w:sz w:val="20"/>
                <w:szCs w:val="20"/>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7571A" w14:textId="179350F2" w:rsidR="000907D5" w:rsidRPr="006C550F" w:rsidRDefault="00A315AC" w:rsidP="006C550F">
            <w:pPr>
              <w:keepNext/>
              <w:shd w:val="clear" w:color="auto" w:fill="BDD6EE" w:themeFill="accent5" w:themeFillTint="66"/>
              <w:jc w:val="center"/>
              <w:rPr>
                <w:sz w:val="20"/>
                <w:szCs w:val="20"/>
              </w:rPr>
            </w:pPr>
            <w:r w:rsidRPr="006C550F">
              <w:rPr>
                <w:sz w:val="20"/>
                <w:szCs w:val="20"/>
              </w:rPr>
              <w:t>28.12</w:t>
            </w:r>
          </w:p>
        </w:tc>
        <w:tc>
          <w:tcPr>
            <w:tcW w:w="3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2559D5" w14:textId="6168AA2D" w:rsidR="000907D5" w:rsidRPr="006C550F" w:rsidRDefault="002F453A" w:rsidP="006C550F">
            <w:pPr>
              <w:keepNext/>
              <w:shd w:val="clear" w:color="auto" w:fill="BDD6EE" w:themeFill="accent5" w:themeFillTint="66"/>
              <w:jc w:val="center"/>
              <w:rPr>
                <w:b/>
                <w:bCs/>
                <w:sz w:val="20"/>
                <w:szCs w:val="20"/>
              </w:rPr>
            </w:pPr>
            <w:r w:rsidRPr="006C550F">
              <w:rPr>
                <w:b/>
                <w:bCs/>
                <w:sz w:val="20"/>
                <w:szCs w:val="20"/>
              </w:rPr>
              <w:t>3.</w:t>
            </w:r>
            <w:r w:rsidR="009D0E71" w:rsidRPr="006C550F">
              <w:rPr>
                <w:b/>
                <w:bCs/>
                <w:sz w:val="20"/>
                <w:szCs w:val="20"/>
              </w:rPr>
              <w:t>7</w:t>
            </w:r>
          </w:p>
        </w:tc>
      </w:tr>
      <w:tr w:rsidR="00D21E2A" w:rsidRPr="006C550F" w14:paraId="459838AD"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A6C9CB" w14:textId="77777777" w:rsidR="00D21E2A" w:rsidRPr="006C550F" w:rsidRDefault="00D21E2A" w:rsidP="006C550F">
            <w:pPr>
              <w:keepNext/>
              <w:keepLines/>
              <w:shd w:val="clear" w:color="auto" w:fill="BDD6EE" w:themeFill="accent5" w:themeFillTint="66"/>
              <w:jc w:val="center"/>
              <w:rPr>
                <w:sz w:val="20"/>
                <w:szCs w:val="20"/>
              </w:rPr>
            </w:pPr>
            <w:r w:rsidRPr="006C550F">
              <w:rPr>
                <w:b/>
                <w:bCs/>
                <w:sz w:val="20"/>
                <w:szCs w:val="20"/>
              </w:rPr>
              <w:t xml:space="preserve">Bush and cane fruit </w:t>
            </w:r>
            <w:r w:rsidRPr="006C550F">
              <w:rPr>
                <w:b/>
                <w:sz w:val="20"/>
                <w:szCs w:val="20"/>
                <w:lang w:val="en-GB"/>
              </w:rPr>
              <w:t>(2 x 0.902 kg a.s./ha, BBCH 12 - 59)</w:t>
            </w:r>
          </w:p>
        </w:tc>
      </w:tr>
      <w:tr w:rsidR="002F453A" w:rsidRPr="006C550F" w14:paraId="02E07CE8"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F964A3" w14:textId="77777777" w:rsidR="002F453A" w:rsidRPr="006C550F" w:rsidRDefault="002F453A" w:rsidP="006C550F">
            <w:pPr>
              <w:keepNext/>
              <w:keepLines/>
              <w:shd w:val="clear" w:color="auto" w:fill="BDD6EE" w:themeFill="accent5" w:themeFillTint="66"/>
              <w:jc w:val="center"/>
              <w:rPr>
                <w:sz w:val="20"/>
                <w:szCs w:val="20"/>
              </w:rPr>
            </w:pPr>
            <w:r w:rsidRPr="006C550F">
              <w:rPr>
                <w:sz w:val="20"/>
                <w:szCs w:val="20"/>
              </w:rPr>
              <w:t>BBCH 10-19</w:t>
            </w:r>
          </w:p>
        </w:tc>
        <w:tc>
          <w:tcPr>
            <w:tcW w:w="165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C96AFA9" w14:textId="77777777" w:rsidR="002F453A" w:rsidRPr="006C550F" w:rsidRDefault="002F453A" w:rsidP="006C550F">
            <w:pPr>
              <w:keepNext/>
              <w:keepLines/>
              <w:shd w:val="clear" w:color="auto" w:fill="BDD6EE" w:themeFill="accent5" w:themeFillTint="66"/>
              <w:jc w:val="center"/>
              <w:rPr>
                <w:sz w:val="20"/>
                <w:szCs w:val="20"/>
                <w:lang w:val="en-GB"/>
              </w:rPr>
            </w:pPr>
            <w:r w:rsidRPr="006C550F">
              <w:rPr>
                <w:sz w:val="20"/>
                <w:szCs w:val="20"/>
                <w:lang w:val="en-GB"/>
              </w:rPr>
              <w:t>Small herbivorous mammal “vole”</w:t>
            </w:r>
          </w:p>
        </w:tc>
        <w:tc>
          <w:tcPr>
            <w:tcW w:w="425" w:type="pct"/>
            <w:gridSpan w:val="3"/>
            <w:shd w:val="clear" w:color="auto" w:fill="D9D9D9" w:themeFill="background1" w:themeFillShade="D9"/>
            <w:vAlign w:val="center"/>
          </w:tcPr>
          <w:p w14:paraId="005DB6BF" w14:textId="13ED36C7" w:rsidR="002F453A" w:rsidRPr="006C550F" w:rsidRDefault="004B3D60" w:rsidP="006C550F">
            <w:pPr>
              <w:keepNext/>
              <w:keepLines/>
              <w:shd w:val="clear" w:color="auto" w:fill="BDD6EE" w:themeFill="accent5" w:themeFillTint="66"/>
              <w:jc w:val="center"/>
              <w:rPr>
                <w:sz w:val="20"/>
                <w:szCs w:val="20"/>
                <w:lang w:val="en-GB"/>
              </w:rPr>
            </w:pPr>
            <w:r w:rsidRPr="006C550F">
              <w:rPr>
                <w:sz w:val="20"/>
                <w:szCs w:val="20"/>
                <w:lang w:val="en-GB"/>
              </w:rPr>
              <w:t>1.46</w:t>
            </w:r>
          </w:p>
        </w:tc>
        <w:tc>
          <w:tcPr>
            <w:tcW w:w="233" w:type="pct"/>
            <w:shd w:val="clear" w:color="auto" w:fill="D9D9D9" w:themeFill="background1" w:themeFillShade="D9"/>
            <w:vAlign w:val="center"/>
          </w:tcPr>
          <w:p w14:paraId="4BDDB658" w14:textId="5A62825C" w:rsidR="002F453A" w:rsidRPr="006C550F" w:rsidRDefault="00D8098A" w:rsidP="006C550F">
            <w:pPr>
              <w:keepNext/>
              <w:keepLines/>
              <w:shd w:val="clear" w:color="auto" w:fill="BDD6EE" w:themeFill="accent5" w:themeFillTint="66"/>
              <w:jc w:val="center"/>
              <w:rPr>
                <w:sz w:val="20"/>
                <w:szCs w:val="20"/>
                <w:lang w:val="en-GB"/>
              </w:rPr>
            </w:pPr>
            <w:r w:rsidRPr="006C550F">
              <w:rPr>
                <w:sz w:val="20"/>
                <w:szCs w:val="20"/>
                <w:lang w:val="en-GB"/>
              </w:rPr>
              <w:t>0.6</w:t>
            </w:r>
          </w:p>
        </w:tc>
        <w:tc>
          <w:tcPr>
            <w:tcW w:w="4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A9208B" w14:textId="24E4E985" w:rsidR="002F453A" w:rsidRPr="006C550F" w:rsidRDefault="004B3D60" w:rsidP="006C550F">
            <w:pPr>
              <w:keepNext/>
              <w:keepLines/>
              <w:shd w:val="clear" w:color="auto" w:fill="BDD6EE" w:themeFill="accent5" w:themeFillTint="66"/>
              <w:jc w:val="center"/>
              <w:rPr>
                <w:sz w:val="20"/>
                <w:szCs w:val="20"/>
              </w:rPr>
            </w:pPr>
            <w:r w:rsidRPr="006C550F">
              <w:rPr>
                <w:sz w:val="20"/>
                <w:szCs w:val="20"/>
              </w:rPr>
              <w:t>41.45</w:t>
            </w:r>
          </w:p>
        </w:tc>
        <w:tc>
          <w:tcPr>
            <w:tcW w:w="360" w:type="pct"/>
            <w:shd w:val="clear" w:color="auto" w:fill="D9D9D9" w:themeFill="background1" w:themeFillShade="D9"/>
            <w:vAlign w:val="center"/>
          </w:tcPr>
          <w:p w14:paraId="5A522E6A" w14:textId="5EEA8BAF" w:rsidR="002F453A" w:rsidRPr="006C550F" w:rsidRDefault="002F453A" w:rsidP="006C550F">
            <w:pPr>
              <w:keepNext/>
              <w:keepLines/>
              <w:shd w:val="clear" w:color="auto" w:fill="BDD6EE" w:themeFill="accent5" w:themeFillTint="66"/>
              <w:jc w:val="center"/>
              <w:rPr>
                <w:sz w:val="20"/>
                <w:szCs w:val="20"/>
                <w:lang w:val="en-GB"/>
              </w:rPr>
            </w:pPr>
            <w:r w:rsidRPr="006C550F">
              <w:rPr>
                <w:sz w:val="20"/>
                <w:szCs w:val="20"/>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B8202" w14:textId="4C9B2A34" w:rsidR="002F453A" w:rsidRPr="006C550F" w:rsidRDefault="004A5E52" w:rsidP="006C550F">
            <w:pPr>
              <w:keepNext/>
              <w:keepLines/>
              <w:shd w:val="clear" w:color="auto" w:fill="BDD6EE" w:themeFill="accent5" w:themeFillTint="66"/>
              <w:jc w:val="center"/>
              <w:rPr>
                <w:sz w:val="20"/>
                <w:szCs w:val="20"/>
              </w:rPr>
            </w:pPr>
            <w:r w:rsidRPr="006C550F">
              <w:rPr>
                <w:sz w:val="20"/>
                <w:szCs w:val="20"/>
              </w:rPr>
              <w:t>28.12</w:t>
            </w:r>
          </w:p>
        </w:tc>
        <w:tc>
          <w:tcPr>
            <w:tcW w:w="3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4756FA" w14:textId="42AA6AB4" w:rsidR="002F453A" w:rsidRPr="006C550F" w:rsidRDefault="009D0E71" w:rsidP="006C550F">
            <w:pPr>
              <w:keepNext/>
              <w:keepLines/>
              <w:shd w:val="clear" w:color="auto" w:fill="BDD6EE" w:themeFill="accent5" w:themeFillTint="66"/>
              <w:jc w:val="center"/>
              <w:rPr>
                <w:b/>
                <w:bCs/>
                <w:sz w:val="20"/>
                <w:szCs w:val="20"/>
              </w:rPr>
            </w:pPr>
            <w:r w:rsidRPr="006C550F">
              <w:rPr>
                <w:b/>
                <w:bCs/>
                <w:sz w:val="20"/>
                <w:szCs w:val="20"/>
              </w:rPr>
              <w:t>3.7</w:t>
            </w:r>
          </w:p>
        </w:tc>
      </w:tr>
      <w:tr w:rsidR="002F453A" w:rsidRPr="006C550F" w14:paraId="526BD5CF" w14:textId="77777777" w:rsidTr="007024C5">
        <w:tblPrEx>
          <w:shd w:val="clear" w:color="auto" w:fill="auto"/>
          <w:tblCellMar>
            <w:top w:w="57" w:type="dxa"/>
            <w:left w:w="57" w:type="dxa"/>
            <w:bottom w:w="57" w:type="dxa"/>
            <w:right w:w="57" w:type="dxa"/>
          </w:tblCellMar>
          <w:tblLook w:val="01E0" w:firstRow="1" w:lastRow="1" w:firstColumn="1" w:lastColumn="1" w:noHBand="0" w:noVBand="0"/>
        </w:tblPrEx>
        <w:trPr>
          <w:cantSplit/>
        </w:trPr>
        <w:tc>
          <w:tcPr>
            <w:tcW w:w="8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2479B7" w14:textId="77777777" w:rsidR="002F453A" w:rsidRPr="006C550F" w:rsidRDefault="002F453A" w:rsidP="006C550F">
            <w:pPr>
              <w:keepNext/>
              <w:keepLines/>
              <w:shd w:val="clear" w:color="auto" w:fill="BDD6EE" w:themeFill="accent5" w:themeFillTint="66"/>
              <w:jc w:val="center"/>
              <w:rPr>
                <w:sz w:val="20"/>
                <w:szCs w:val="20"/>
              </w:rPr>
            </w:pPr>
            <w:r w:rsidRPr="006C550F">
              <w:rPr>
                <w:sz w:val="20"/>
                <w:szCs w:val="20"/>
              </w:rPr>
              <w:t>BBCH 20-39</w:t>
            </w:r>
          </w:p>
        </w:tc>
        <w:tc>
          <w:tcPr>
            <w:tcW w:w="165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75E4C7C" w14:textId="77777777" w:rsidR="002F453A" w:rsidRPr="006C550F" w:rsidRDefault="002F453A" w:rsidP="006C550F">
            <w:pPr>
              <w:keepNext/>
              <w:keepLines/>
              <w:shd w:val="clear" w:color="auto" w:fill="BDD6EE" w:themeFill="accent5" w:themeFillTint="66"/>
              <w:jc w:val="center"/>
              <w:rPr>
                <w:sz w:val="20"/>
                <w:szCs w:val="20"/>
                <w:lang w:val="en-GB"/>
              </w:rPr>
            </w:pPr>
            <w:r w:rsidRPr="006C550F">
              <w:rPr>
                <w:sz w:val="20"/>
                <w:szCs w:val="20"/>
                <w:lang w:val="en-GB"/>
              </w:rPr>
              <w:t>Small herbivorous mammal “vole”</w:t>
            </w:r>
          </w:p>
        </w:tc>
        <w:tc>
          <w:tcPr>
            <w:tcW w:w="425" w:type="pct"/>
            <w:gridSpan w:val="3"/>
            <w:shd w:val="clear" w:color="auto" w:fill="D9D9D9" w:themeFill="background1" w:themeFillShade="D9"/>
            <w:vAlign w:val="center"/>
          </w:tcPr>
          <w:p w14:paraId="1D8CC8E7" w14:textId="4C185A3C" w:rsidR="002F453A" w:rsidRPr="006C550F" w:rsidRDefault="004B3D60" w:rsidP="006C550F">
            <w:pPr>
              <w:keepNext/>
              <w:keepLines/>
              <w:shd w:val="clear" w:color="auto" w:fill="BDD6EE" w:themeFill="accent5" w:themeFillTint="66"/>
              <w:jc w:val="center"/>
              <w:rPr>
                <w:sz w:val="20"/>
                <w:szCs w:val="20"/>
                <w:lang w:val="en-GB"/>
              </w:rPr>
            </w:pPr>
            <w:r w:rsidRPr="006C550F">
              <w:rPr>
                <w:sz w:val="20"/>
                <w:szCs w:val="20"/>
                <w:lang w:val="en-GB"/>
              </w:rPr>
              <w:t>1.46</w:t>
            </w:r>
          </w:p>
        </w:tc>
        <w:tc>
          <w:tcPr>
            <w:tcW w:w="233" w:type="pct"/>
            <w:shd w:val="clear" w:color="auto" w:fill="D9D9D9" w:themeFill="background1" w:themeFillShade="D9"/>
            <w:vAlign w:val="center"/>
          </w:tcPr>
          <w:p w14:paraId="47A8E3EC" w14:textId="6AD36643" w:rsidR="002F453A" w:rsidRPr="006C550F" w:rsidRDefault="004B3D60" w:rsidP="006C550F">
            <w:pPr>
              <w:keepNext/>
              <w:keepLines/>
              <w:shd w:val="clear" w:color="auto" w:fill="BDD6EE" w:themeFill="accent5" w:themeFillTint="66"/>
              <w:jc w:val="center"/>
              <w:rPr>
                <w:sz w:val="20"/>
                <w:szCs w:val="20"/>
                <w:lang w:val="en-GB"/>
              </w:rPr>
            </w:pPr>
            <w:r w:rsidRPr="006C550F">
              <w:rPr>
                <w:sz w:val="20"/>
                <w:szCs w:val="20"/>
                <w:lang w:val="en-GB"/>
              </w:rPr>
              <w:t>0.5</w:t>
            </w:r>
          </w:p>
        </w:tc>
        <w:tc>
          <w:tcPr>
            <w:tcW w:w="46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CBB63" w14:textId="4178F5FA" w:rsidR="002F453A" w:rsidRPr="006C550F" w:rsidRDefault="004B3D60" w:rsidP="006C550F">
            <w:pPr>
              <w:keepNext/>
              <w:keepLines/>
              <w:shd w:val="clear" w:color="auto" w:fill="BDD6EE" w:themeFill="accent5" w:themeFillTint="66"/>
              <w:jc w:val="center"/>
              <w:rPr>
                <w:sz w:val="20"/>
                <w:szCs w:val="20"/>
              </w:rPr>
            </w:pPr>
            <w:r w:rsidRPr="006C550F">
              <w:rPr>
                <w:sz w:val="20"/>
                <w:szCs w:val="20"/>
              </w:rPr>
              <w:t>41.45</w:t>
            </w:r>
          </w:p>
        </w:tc>
        <w:tc>
          <w:tcPr>
            <w:tcW w:w="360" w:type="pct"/>
            <w:shd w:val="clear" w:color="auto" w:fill="D9D9D9" w:themeFill="background1" w:themeFillShade="D9"/>
            <w:vAlign w:val="center"/>
          </w:tcPr>
          <w:p w14:paraId="75ED98F5" w14:textId="66FDA84A" w:rsidR="002F453A" w:rsidRPr="006C550F" w:rsidRDefault="002F453A" w:rsidP="006C550F">
            <w:pPr>
              <w:keepNext/>
              <w:keepLines/>
              <w:shd w:val="clear" w:color="auto" w:fill="BDD6EE" w:themeFill="accent5" w:themeFillTint="66"/>
              <w:jc w:val="center"/>
              <w:rPr>
                <w:sz w:val="20"/>
                <w:szCs w:val="20"/>
                <w:lang w:val="en-GB"/>
              </w:rPr>
            </w:pPr>
            <w:r w:rsidRPr="006C550F">
              <w:rPr>
                <w:sz w:val="20"/>
                <w:szCs w:val="20"/>
                <w:lang w:val="en-GB"/>
              </w:rPr>
              <w:t>1.62 × 0.53</w:t>
            </w:r>
          </w:p>
        </w:tc>
        <w:tc>
          <w:tcPr>
            <w:tcW w:w="6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11E099" w14:textId="5E120598" w:rsidR="002F453A" w:rsidRPr="006C550F" w:rsidRDefault="0061738B" w:rsidP="006C550F">
            <w:pPr>
              <w:keepNext/>
              <w:keepLines/>
              <w:shd w:val="clear" w:color="auto" w:fill="BDD6EE" w:themeFill="accent5" w:themeFillTint="66"/>
              <w:jc w:val="center"/>
              <w:rPr>
                <w:sz w:val="20"/>
                <w:szCs w:val="20"/>
              </w:rPr>
            </w:pPr>
            <w:r w:rsidRPr="006C550F">
              <w:rPr>
                <w:sz w:val="20"/>
                <w:szCs w:val="20"/>
              </w:rPr>
              <w:t>23.43</w:t>
            </w:r>
          </w:p>
        </w:tc>
        <w:tc>
          <w:tcPr>
            <w:tcW w:w="3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E20F25" w14:textId="123AD6AF" w:rsidR="002F453A" w:rsidRPr="006C550F" w:rsidRDefault="00596F6A" w:rsidP="006C550F">
            <w:pPr>
              <w:keepNext/>
              <w:keepLines/>
              <w:shd w:val="clear" w:color="auto" w:fill="BDD6EE" w:themeFill="accent5" w:themeFillTint="66"/>
              <w:jc w:val="center"/>
              <w:rPr>
                <w:b/>
                <w:bCs/>
                <w:sz w:val="20"/>
                <w:szCs w:val="20"/>
              </w:rPr>
            </w:pPr>
            <w:r w:rsidRPr="006C550F">
              <w:rPr>
                <w:b/>
                <w:bCs/>
                <w:sz w:val="20"/>
                <w:szCs w:val="20"/>
              </w:rPr>
              <w:t>4.4</w:t>
            </w:r>
          </w:p>
        </w:tc>
      </w:tr>
    </w:tbl>
    <w:p w14:paraId="6A107EEB" w14:textId="77777777" w:rsidR="00B90A4C" w:rsidRPr="006C550F" w:rsidRDefault="00B90A4C" w:rsidP="006C550F">
      <w:pPr>
        <w:keepNext/>
        <w:keepLines/>
        <w:widowControl w:val="0"/>
        <w:shd w:val="clear" w:color="auto" w:fill="BDD6EE" w:themeFill="accent5" w:themeFillTint="66"/>
        <w:tabs>
          <w:tab w:val="left" w:pos="0"/>
        </w:tabs>
        <w:rPr>
          <w:sz w:val="18"/>
          <w:szCs w:val="18"/>
          <w:lang w:val="en-GB"/>
        </w:rPr>
      </w:pPr>
      <w:r w:rsidRPr="006C550F">
        <w:rPr>
          <w:sz w:val="18"/>
          <w:szCs w:val="18"/>
          <w:lang w:val="en-GB"/>
        </w:rPr>
        <w:t xml:space="preserve">SV: shortcut value; MAF: multiple application factor; TWA: time-weighted average factor; DDD: daily dietary dose; TER: toxicity to exposure ratio. </w:t>
      </w:r>
    </w:p>
    <w:p w14:paraId="42E02E0E" w14:textId="19681C45" w:rsidR="00EA752F" w:rsidRPr="006C550F" w:rsidRDefault="00D64BD2" w:rsidP="006C550F">
      <w:pPr>
        <w:pStyle w:val="RepStandard"/>
        <w:shd w:val="clear" w:color="auto" w:fill="BDD6EE" w:themeFill="accent5" w:themeFillTint="66"/>
        <w:suppressAutoHyphens/>
        <w:rPr>
          <w:sz w:val="18"/>
          <w:szCs w:val="18"/>
        </w:rPr>
        <w:sectPr w:rsidR="00EA752F" w:rsidRPr="006C550F" w:rsidSect="00E87F45">
          <w:pgSz w:w="11909" w:h="16834" w:code="9"/>
          <w:pgMar w:top="1418" w:right="1134" w:bottom="1134" w:left="1418" w:header="709" w:footer="709" w:gutter="0"/>
          <w:pgNumType w:chapSep="period"/>
          <w:cols w:space="720"/>
          <w:noEndnote/>
          <w:docGrid w:linePitch="299"/>
        </w:sectPr>
      </w:pPr>
      <w:r w:rsidRPr="006C550F">
        <w:rPr>
          <w:sz w:val="18"/>
          <w:szCs w:val="18"/>
        </w:rPr>
        <w:t>#DF for cabbage</w:t>
      </w:r>
    </w:p>
    <w:p w14:paraId="2D53B6A4" w14:textId="77777777" w:rsidR="00DC5685" w:rsidRPr="00A34F10" w:rsidRDefault="00DC5685" w:rsidP="00DC5685">
      <w:pPr>
        <w:pStyle w:val="RepStandard"/>
        <w:suppressAutoHyphens/>
        <w:rPr>
          <w:highlight w:val="yellow"/>
        </w:rPr>
      </w:pPr>
    </w:p>
    <w:p w14:paraId="7F927D1A" w14:textId="21B41841" w:rsidR="00DC5685" w:rsidRPr="00787E57" w:rsidRDefault="00DC5685" w:rsidP="00DC5685">
      <w:pPr>
        <w:pStyle w:val="RepStandard"/>
        <w:suppressAutoHyphens/>
        <w:rPr>
          <w:strike/>
          <w:color w:val="D9D9D9" w:themeColor="background1" w:themeShade="D9"/>
        </w:rPr>
      </w:pPr>
      <w:r w:rsidRPr="00787E57">
        <w:rPr>
          <w:b/>
          <w:bCs/>
          <w:strike/>
          <w:color w:val="D9D9D9" w:themeColor="background1" w:themeShade="D9"/>
        </w:rPr>
        <w:t xml:space="preserve">Table </w:t>
      </w:r>
      <w:r w:rsidRPr="00787E57">
        <w:rPr>
          <w:b/>
          <w:bCs/>
          <w:strike/>
          <w:color w:val="D9D9D9" w:themeColor="background1" w:themeShade="D9"/>
        </w:rPr>
        <w:fldChar w:fldCharType="begin"/>
      </w:r>
      <w:r w:rsidRPr="00787E57">
        <w:rPr>
          <w:b/>
          <w:bCs/>
          <w:strike/>
          <w:color w:val="D9D9D9" w:themeColor="background1" w:themeShade="D9"/>
        </w:rPr>
        <w:instrText xml:space="preserve"> STYLEREF 2 \s </w:instrText>
      </w:r>
      <w:r w:rsidRPr="00787E57">
        <w:rPr>
          <w:b/>
          <w:bCs/>
          <w:strike/>
          <w:color w:val="D9D9D9" w:themeColor="background1" w:themeShade="D9"/>
        </w:rPr>
        <w:fldChar w:fldCharType="separate"/>
      </w:r>
      <w:r w:rsidR="006F0F3B" w:rsidRPr="00787E57">
        <w:rPr>
          <w:b/>
          <w:bCs/>
          <w:strike/>
          <w:noProof/>
          <w:color w:val="D9D9D9" w:themeColor="background1" w:themeShade="D9"/>
        </w:rPr>
        <w:t>9.3</w:t>
      </w:r>
      <w:r w:rsidRPr="00787E57">
        <w:rPr>
          <w:strike/>
          <w:color w:val="D9D9D9" w:themeColor="background1" w:themeShade="D9"/>
        </w:rPr>
        <w:fldChar w:fldCharType="end"/>
      </w:r>
      <w:r w:rsidRPr="00787E57">
        <w:rPr>
          <w:b/>
          <w:bCs/>
          <w:strike/>
          <w:color w:val="D9D9D9" w:themeColor="background1" w:themeShade="D9"/>
        </w:rPr>
        <w:noBreakHyphen/>
      </w:r>
      <w:r w:rsidR="0050533A" w:rsidRPr="00787E57">
        <w:rPr>
          <w:b/>
          <w:bCs/>
          <w:strike/>
          <w:color w:val="D9D9D9" w:themeColor="background1" w:themeShade="D9"/>
          <w:highlight w:val="green"/>
        </w:rPr>
        <w:t>16</w:t>
      </w:r>
      <w:r w:rsidRPr="00787E57">
        <w:rPr>
          <w:b/>
          <w:bCs/>
          <w:strike/>
          <w:color w:val="D9D9D9" w:themeColor="background1" w:themeShade="D9"/>
        </w:rPr>
        <w:t>:  FIR based on refined PD values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7"/>
        <w:gridCol w:w="1193"/>
        <w:gridCol w:w="1270"/>
        <w:gridCol w:w="1283"/>
        <w:gridCol w:w="1607"/>
        <w:gridCol w:w="1161"/>
        <w:gridCol w:w="1427"/>
        <w:gridCol w:w="1142"/>
        <w:gridCol w:w="2081"/>
        <w:gridCol w:w="2001"/>
      </w:tblGrid>
      <w:tr w:rsidR="00787E57" w:rsidRPr="00787E57" w14:paraId="72380246" w14:textId="77777777" w:rsidTr="000470C3">
        <w:tc>
          <w:tcPr>
            <w:tcW w:w="396" w:type="pct"/>
            <w:shd w:val="clear" w:color="auto" w:fill="auto"/>
          </w:tcPr>
          <w:p w14:paraId="31D6523F"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Species</w:t>
            </w:r>
          </w:p>
        </w:tc>
        <w:tc>
          <w:tcPr>
            <w:tcW w:w="426" w:type="pct"/>
            <w:shd w:val="clear" w:color="auto" w:fill="auto"/>
          </w:tcPr>
          <w:p w14:paraId="061E01D9"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Food type</w:t>
            </w:r>
          </w:p>
        </w:tc>
        <w:tc>
          <w:tcPr>
            <w:tcW w:w="453" w:type="pct"/>
            <w:shd w:val="clear" w:color="auto" w:fill="auto"/>
          </w:tcPr>
          <w:p w14:paraId="483995D5"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 xml:space="preserve">Energetic content of food </w:t>
            </w:r>
          </w:p>
          <w:p w14:paraId="6435E877"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(kJ/g wet weight)</w:t>
            </w:r>
          </w:p>
        </w:tc>
        <w:tc>
          <w:tcPr>
            <w:tcW w:w="399" w:type="pct"/>
            <w:shd w:val="clear" w:color="auto" w:fill="auto"/>
          </w:tcPr>
          <w:p w14:paraId="03240024"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Assimilation efficiency (%)</w:t>
            </w:r>
          </w:p>
        </w:tc>
        <w:tc>
          <w:tcPr>
            <w:tcW w:w="571" w:type="pct"/>
            <w:shd w:val="clear" w:color="auto" w:fill="auto"/>
          </w:tcPr>
          <w:p w14:paraId="17260F91"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 xml:space="preserve">Energetic content of food weighed by assimilation efficiency </w:t>
            </w:r>
          </w:p>
          <w:p w14:paraId="2A2FE0C8"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(kJ/g wet weight)</w:t>
            </w:r>
          </w:p>
        </w:tc>
        <w:tc>
          <w:tcPr>
            <w:tcW w:w="393" w:type="pct"/>
            <w:shd w:val="clear" w:color="auto" w:fill="auto"/>
          </w:tcPr>
          <w:p w14:paraId="09CF1E7E"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Proportion of food item in mixed diet (%)</w:t>
            </w:r>
          </w:p>
        </w:tc>
        <w:tc>
          <w:tcPr>
            <w:tcW w:w="508" w:type="pct"/>
            <w:shd w:val="clear" w:color="auto" w:fill="auto"/>
          </w:tcPr>
          <w:p w14:paraId="69D18656"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 xml:space="preserve">Energy uptake per food item in mixed diet </w:t>
            </w:r>
          </w:p>
          <w:p w14:paraId="261B84C9"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(kJ/g wet weight)</w:t>
            </w:r>
          </w:p>
        </w:tc>
        <w:tc>
          <w:tcPr>
            <w:tcW w:w="408" w:type="pct"/>
            <w:shd w:val="clear" w:color="auto" w:fill="auto"/>
          </w:tcPr>
          <w:p w14:paraId="08C1C9F2"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DEE (kJ)</w:t>
            </w:r>
          </w:p>
        </w:tc>
        <w:tc>
          <w:tcPr>
            <w:tcW w:w="737" w:type="pct"/>
            <w:shd w:val="clear" w:color="auto" w:fill="auto"/>
          </w:tcPr>
          <w:p w14:paraId="0D6D01DD"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 xml:space="preserve">Daily consumption per diet item </w:t>
            </w:r>
          </w:p>
          <w:p w14:paraId="29ED3090"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(g wet weight/day)</w:t>
            </w:r>
          </w:p>
        </w:tc>
        <w:tc>
          <w:tcPr>
            <w:tcW w:w="709" w:type="pct"/>
            <w:shd w:val="clear" w:color="auto" w:fill="auto"/>
          </w:tcPr>
          <w:p w14:paraId="0B6CBD69" w14:textId="77777777" w:rsidR="00DC5685" w:rsidRPr="00787E57" w:rsidRDefault="00DC5685" w:rsidP="000470C3">
            <w:pPr>
              <w:widowControl w:val="0"/>
              <w:spacing w:before="40" w:after="40"/>
              <w:rPr>
                <w:b/>
                <w:bCs/>
                <w:strike/>
                <w:color w:val="D9D9D9" w:themeColor="background1" w:themeShade="D9"/>
                <w:sz w:val="20"/>
                <w:szCs w:val="20"/>
                <w:lang w:val="de-DE"/>
              </w:rPr>
            </w:pPr>
            <w:r w:rsidRPr="00787E57">
              <w:rPr>
                <w:b/>
                <w:bCs/>
                <w:strike/>
                <w:color w:val="D9D9D9" w:themeColor="background1" w:themeShade="D9"/>
                <w:sz w:val="20"/>
                <w:szCs w:val="20"/>
                <w:lang w:val="de-DE"/>
              </w:rPr>
              <w:t xml:space="preserve">Relative FIR </w:t>
            </w:r>
          </w:p>
          <w:p w14:paraId="65AB285A" w14:textId="77777777" w:rsidR="00DC5685" w:rsidRPr="00787E57" w:rsidRDefault="00DC5685" w:rsidP="000470C3">
            <w:pPr>
              <w:widowControl w:val="0"/>
              <w:spacing w:before="40" w:after="40"/>
              <w:rPr>
                <w:b/>
                <w:bCs/>
                <w:strike/>
                <w:color w:val="D9D9D9" w:themeColor="background1" w:themeShade="D9"/>
                <w:sz w:val="20"/>
                <w:szCs w:val="20"/>
                <w:lang w:val="de-DE"/>
              </w:rPr>
            </w:pPr>
            <w:r w:rsidRPr="00787E57">
              <w:rPr>
                <w:b/>
                <w:bCs/>
                <w:strike/>
                <w:color w:val="D9D9D9" w:themeColor="background1" w:themeShade="D9"/>
                <w:sz w:val="20"/>
                <w:szCs w:val="20"/>
                <w:lang w:val="de-DE"/>
              </w:rPr>
              <w:t>(g wet weight/bw/d)</w:t>
            </w:r>
          </w:p>
        </w:tc>
      </w:tr>
      <w:tr w:rsidR="00787E57" w:rsidRPr="00787E57" w14:paraId="222D27BA" w14:textId="77777777" w:rsidTr="000470C3">
        <w:tc>
          <w:tcPr>
            <w:tcW w:w="396" w:type="pct"/>
            <w:vMerge w:val="restart"/>
            <w:shd w:val="clear" w:color="auto" w:fill="auto"/>
          </w:tcPr>
          <w:p w14:paraId="69BC21C0"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 xml:space="preserve">Common vole </w:t>
            </w:r>
          </w:p>
          <w:p w14:paraId="7167B95C"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(bw = 25 g)</w:t>
            </w:r>
          </w:p>
        </w:tc>
        <w:tc>
          <w:tcPr>
            <w:tcW w:w="426" w:type="pct"/>
            <w:shd w:val="clear" w:color="auto" w:fill="auto"/>
          </w:tcPr>
          <w:p w14:paraId="333EECDE"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Grasses and cereal shoots</w:t>
            </w:r>
          </w:p>
        </w:tc>
        <w:tc>
          <w:tcPr>
            <w:tcW w:w="453" w:type="pct"/>
            <w:shd w:val="clear" w:color="auto" w:fill="auto"/>
          </w:tcPr>
          <w:p w14:paraId="1011D09A"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4.15</w:t>
            </w:r>
          </w:p>
        </w:tc>
        <w:tc>
          <w:tcPr>
            <w:tcW w:w="399" w:type="pct"/>
            <w:shd w:val="clear" w:color="auto" w:fill="auto"/>
          </w:tcPr>
          <w:p w14:paraId="167C5028"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47</w:t>
            </w:r>
          </w:p>
        </w:tc>
        <w:tc>
          <w:tcPr>
            <w:tcW w:w="571" w:type="pct"/>
            <w:shd w:val="clear" w:color="auto" w:fill="auto"/>
          </w:tcPr>
          <w:p w14:paraId="3A1BC874"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1.95</w:t>
            </w:r>
          </w:p>
        </w:tc>
        <w:tc>
          <w:tcPr>
            <w:tcW w:w="393" w:type="pct"/>
            <w:shd w:val="clear" w:color="auto" w:fill="auto"/>
          </w:tcPr>
          <w:p w14:paraId="56E5CD46"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40</w:t>
            </w:r>
          </w:p>
        </w:tc>
        <w:tc>
          <w:tcPr>
            <w:tcW w:w="508" w:type="pct"/>
            <w:shd w:val="clear" w:color="auto" w:fill="auto"/>
          </w:tcPr>
          <w:p w14:paraId="4900ED0A"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0.78</w:t>
            </w:r>
          </w:p>
        </w:tc>
        <w:tc>
          <w:tcPr>
            <w:tcW w:w="408" w:type="pct"/>
            <w:shd w:val="clear" w:color="auto" w:fill="auto"/>
          </w:tcPr>
          <w:p w14:paraId="43928714" w14:textId="77777777" w:rsidR="00DC5685" w:rsidRPr="00787E57" w:rsidRDefault="00DC5685" w:rsidP="000470C3">
            <w:pPr>
              <w:widowControl w:val="0"/>
              <w:spacing w:before="40" w:after="40"/>
              <w:rPr>
                <w:strike/>
                <w:color w:val="D9D9D9" w:themeColor="background1" w:themeShade="D9"/>
                <w:sz w:val="20"/>
                <w:szCs w:val="20"/>
                <w:lang w:val="en-GB"/>
              </w:rPr>
            </w:pPr>
          </w:p>
        </w:tc>
        <w:tc>
          <w:tcPr>
            <w:tcW w:w="737" w:type="pct"/>
            <w:shd w:val="clear" w:color="auto" w:fill="auto"/>
          </w:tcPr>
          <w:p w14:paraId="6754DA10"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14.91</w:t>
            </w:r>
          </w:p>
        </w:tc>
        <w:tc>
          <w:tcPr>
            <w:tcW w:w="709" w:type="pct"/>
            <w:shd w:val="clear" w:color="auto" w:fill="auto"/>
          </w:tcPr>
          <w:p w14:paraId="3D3E82D0"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0.596</w:t>
            </w:r>
          </w:p>
        </w:tc>
      </w:tr>
      <w:tr w:rsidR="00787E57" w:rsidRPr="00787E57" w14:paraId="75E1D1FA" w14:textId="77777777" w:rsidTr="000470C3">
        <w:tc>
          <w:tcPr>
            <w:tcW w:w="396" w:type="pct"/>
            <w:vMerge/>
            <w:shd w:val="clear" w:color="auto" w:fill="auto"/>
          </w:tcPr>
          <w:p w14:paraId="3959CCF5" w14:textId="77777777" w:rsidR="00DC5685" w:rsidRPr="00787E57" w:rsidRDefault="00DC5685" w:rsidP="000470C3">
            <w:pPr>
              <w:widowControl w:val="0"/>
              <w:spacing w:before="40" w:after="40"/>
              <w:rPr>
                <w:strike/>
                <w:color w:val="D9D9D9" w:themeColor="background1" w:themeShade="D9"/>
                <w:sz w:val="20"/>
                <w:szCs w:val="20"/>
                <w:lang w:val="en-GB"/>
              </w:rPr>
            </w:pPr>
          </w:p>
        </w:tc>
        <w:tc>
          <w:tcPr>
            <w:tcW w:w="426" w:type="pct"/>
            <w:shd w:val="clear" w:color="auto" w:fill="auto"/>
          </w:tcPr>
          <w:p w14:paraId="4518AA4C"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Non-grass herbs</w:t>
            </w:r>
          </w:p>
        </w:tc>
        <w:tc>
          <w:tcPr>
            <w:tcW w:w="453" w:type="pct"/>
            <w:shd w:val="clear" w:color="auto" w:fill="auto"/>
          </w:tcPr>
          <w:p w14:paraId="5E49F089"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2.12</w:t>
            </w:r>
          </w:p>
        </w:tc>
        <w:tc>
          <w:tcPr>
            <w:tcW w:w="399" w:type="pct"/>
            <w:shd w:val="clear" w:color="auto" w:fill="auto"/>
          </w:tcPr>
          <w:p w14:paraId="559DAA2F"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76</w:t>
            </w:r>
          </w:p>
        </w:tc>
        <w:tc>
          <w:tcPr>
            <w:tcW w:w="571" w:type="pct"/>
            <w:shd w:val="clear" w:color="auto" w:fill="auto"/>
          </w:tcPr>
          <w:p w14:paraId="1C96B4ED"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1.61</w:t>
            </w:r>
          </w:p>
        </w:tc>
        <w:tc>
          <w:tcPr>
            <w:tcW w:w="393" w:type="pct"/>
            <w:shd w:val="clear" w:color="auto" w:fill="auto"/>
          </w:tcPr>
          <w:p w14:paraId="5CA7B87F"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60</w:t>
            </w:r>
          </w:p>
        </w:tc>
        <w:tc>
          <w:tcPr>
            <w:tcW w:w="508" w:type="pct"/>
            <w:shd w:val="clear" w:color="auto" w:fill="auto"/>
          </w:tcPr>
          <w:p w14:paraId="295DB628"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0.97</w:t>
            </w:r>
          </w:p>
        </w:tc>
        <w:tc>
          <w:tcPr>
            <w:tcW w:w="408" w:type="pct"/>
            <w:shd w:val="clear" w:color="auto" w:fill="auto"/>
          </w:tcPr>
          <w:p w14:paraId="0B21E417" w14:textId="77777777" w:rsidR="00DC5685" w:rsidRPr="00787E57" w:rsidRDefault="00DC5685" w:rsidP="000470C3">
            <w:pPr>
              <w:widowControl w:val="0"/>
              <w:spacing w:before="40" w:after="40"/>
              <w:rPr>
                <w:strike/>
                <w:color w:val="D9D9D9" w:themeColor="background1" w:themeShade="D9"/>
                <w:sz w:val="20"/>
                <w:szCs w:val="20"/>
                <w:lang w:val="en-GB"/>
              </w:rPr>
            </w:pPr>
          </w:p>
        </w:tc>
        <w:tc>
          <w:tcPr>
            <w:tcW w:w="737" w:type="pct"/>
            <w:shd w:val="clear" w:color="auto" w:fill="auto"/>
          </w:tcPr>
          <w:p w14:paraId="2E380BBE"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22.36</w:t>
            </w:r>
          </w:p>
        </w:tc>
        <w:tc>
          <w:tcPr>
            <w:tcW w:w="709" w:type="pct"/>
            <w:shd w:val="clear" w:color="auto" w:fill="auto"/>
          </w:tcPr>
          <w:p w14:paraId="37273325" w14:textId="77777777" w:rsidR="00DC5685" w:rsidRPr="00787E57" w:rsidRDefault="00DC5685" w:rsidP="000470C3">
            <w:pPr>
              <w:widowControl w:val="0"/>
              <w:spacing w:before="40" w:after="40"/>
              <w:rPr>
                <w:strike/>
                <w:color w:val="D9D9D9" w:themeColor="background1" w:themeShade="D9"/>
                <w:sz w:val="20"/>
                <w:szCs w:val="20"/>
                <w:lang w:val="en-GB"/>
              </w:rPr>
            </w:pPr>
            <w:r w:rsidRPr="00787E57">
              <w:rPr>
                <w:strike/>
                <w:color w:val="D9D9D9" w:themeColor="background1" w:themeShade="D9"/>
                <w:sz w:val="20"/>
                <w:szCs w:val="20"/>
                <w:lang w:val="en-GB"/>
              </w:rPr>
              <w:t>0.984</w:t>
            </w:r>
          </w:p>
        </w:tc>
      </w:tr>
      <w:tr w:rsidR="00787E57" w:rsidRPr="00787E57" w14:paraId="116545AC" w14:textId="77777777" w:rsidTr="000470C3">
        <w:tc>
          <w:tcPr>
            <w:tcW w:w="396" w:type="pct"/>
            <w:vMerge/>
            <w:shd w:val="clear" w:color="auto" w:fill="auto"/>
          </w:tcPr>
          <w:p w14:paraId="73416538" w14:textId="77777777" w:rsidR="00DC5685" w:rsidRPr="00787E57" w:rsidRDefault="00DC5685" w:rsidP="000470C3">
            <w:pPr>
              <w:widowControl w:val="0"/>
              <w:spacing w:before="40" w:after="40"/>
              <w:rPr>
                <w:strike/>
                <w:color w:val="D9D9D9" w:themeColor="background1" w:themeShade="D9"/>
                <w:sz w:val="20"/>
                <w:szCs w:val="20"/>
                <w:lang w:val="en-GB"/>
              </w:rPr>
            </w:pPr>
          </w:p>
        </w:tc>
        <w:tc>
          <w:tcPr>
            <w:tcW w:w="426" w:type="pct"/>
            <w:shd w:val="clear" w:color="auto" w:fill="auto"/>
          </w:tcPr>
          <w:p w14:paraId="2ED509DC"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Total</w:t>
            </w:r>
          </w:p>
        </w:tc>
        <w:tc>
          <w:tcPr>
            <w:tcW w:w="453" w:type="pct"/>
            <w:shd w:val="clear" w:color="auto" w:fill="auto"/>
          </w:tcPr>
          <w:p w14:paraId="3DE801C8" w14:textId="77777777" w:rsidR="00DC5685" w:rsidRPr="00787E57" w:rsidRDefault="00DC5685" w:rsidP="000470C3">
            <w:pPr>
              <w:widowControl w:val="0"/>
              <w:spacing w:before="40" w:after="40"/>
              <w:rPr>
                <w:b/>
                <w:bCs/>
                <w:strike/>
                <w:color w:val="D9D9D9" w:themeColor="background1" w:themeShade="D9"/>
                <w:sz w:val="20"/>
                <w:szCs w:val="20"/>
                <w:lang w:val="en-GB"/>
              </w:rPr>
            </w:pPr>
          </w:p>
        </w:tc>
        <w:tc>
          <w:tcPr>
            <w:tcW w:w="399" w:type="pct"/>
            <w:shd w:val="clear" w:color="auto" w:fill="auto"/>
          </w:tcPr>
          <w:p w14:paraId="08992CBA" w14:textId="77777777" w:rsidR="00DC5685" w:rsidRPr="00787E57" w:rsidRDefault="00DC5685" w:rsidP="000470C3">
            <w:pPr>
              <w:widowControl w:val="0"/>
              <w:spacing w:before="40" w:after="40"/>
              <w:rPr>
                <w:b/>
                <w:bCs/>
                <w:strike/>
                <w:color w:val="D9D9D9" w:themeColor="background1" w:themeShade="D9"/>
                <w:sz w:val="20"/>
                <w:szCs w:val="20"/>
                <w:lang w:val="en-GB"/>
              </w:rPr>
            </w:pPr>
          </w:p>
        </w:tc>
        <w:tc>
          <w:tcPr>
            <w:tcW w:w="571" w:type="pct"/>
            <w:shd w:val="clear" w:color="auto" w:fill="auto"/>
          </w:tcPr>
          <w:p w14:paraId="77559197" w14:textId="77777777" w:rsidR="00DC5685" w:rsidRPr="00787E57" w:rsidRDefault="00DC5685" w:rsidP="000470C3">
            <w:pPr>
              <w:widowControl w:val="0"/>
              <w:spacing w:before="40" w:after="40"/>
              <w:rPr>
                <w:b/>
                <w:bCs/>
                <w:strike/>
                <w:color w:val="D9D9D9" w:themeColor="background1" w:themeShade="D9"/>
                <w:sz w:val="20"/>
                <w:szCs w:val="20"/>
                <w:lang w:val="en-GB"/>
              </w:rPr>
            </w:pPr>
          </w:p>
        </w:tc>
        <w:tc>
          <w:tcPr>
            <w:tcW w:w="393" w:type="pct"/>
            <w:shd w:val="clear" w:color="auto" w:fill="auto"/>
          </w:tcPr>
          <w:p w14:paraId="28BF4CA3"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100</w:t>
            </w:r>
          </w:p>
        </w:tc>
        <w:tc>
          <w:tcPr>
            <w:tcW w:w="508" w:type="pct"/>
            <w:shd w:val="clear" w:color="auto" w:fill="auto"/>
          </w:tcPr>
          <w:p w14:paraId="4DEBC994"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1.75</w:t>
            </w:r>
          </w:p>
        </w:tc>
        <w:tc>
          <w:tcPr>
            <w:tcW w:w="408" w:type="pct"/>
            <w:shd w:val="clear" w:color="auto" w:fill="auto"/>
          </w:tcPr>
          <w:p w14:paraId="69A10DBA"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65.09</w:t>
            </w:r>
          </w:p>
        </w:tc>
        <w:tc>
          <w:tcPr>
            <w:tcW w:w="737" w:type="pct"/>
            <w:shd w:val="clear" w:color="auto" w:fill="auto"/>
          </w:tcPr>
          <w:p w14:paraId="6298860A"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37.27</w:t>
            </w:r>
          </w:p>
        </w:tc>
        <w:tc>
          <w:tcPr>
            <w:tcW w:w="709" w:type="pct"/>
            <w:shd w:val="clear" w:color="auto" w:fill="auto"/>
          </w:tcPr>
          <w:p w14:paraId="105B15F0" w14:textId="77777777" w:rsidR="00DC5685" w:rsidRPr="00787E57" w:rsidRDefault="00DC5685" w:rsidP="000470C3">
            <w:pPr>
              <w:widowControl w:val="0"/>
              <w:spacing w:before="40" w:after="40"/>
              <w:rPr>
                <w:b/>
                <w:bCs/>
                <w:strike/>
                <w:color w:val="D9D9D9" w:themeColor="background1" w:themeShade="D9"/>
                <w:sz w:val="20"/>
                <w:szCs w:val="20"/>
                <w:lang w:val="en-GB"/>
              </w:rPr>
            </w:pPr>
            <w:r w:rsidRPr="00787E57">
              <w:rPr>
                <w:b/>
                <w:bCs/>
                <w:strike/>
                <w:color w:val="D9D9D9" w:themeColor="background1" w:themeShade="D9"/>
                <w:sz w:val="20"/>
                <w:szCs w:val="20"/>
                <w:lang w:val="en-GB"/>
              </w:rPr>
              <w:t>1.490</w:t>
            </w:r>
          </w:p>
        </w:tc>
      </w:tr>
    </w:tbl>
    <w:p w14:paraId="752E94C6" w14:textId="77777777" w:rsidR="00DC5685" w:rsidRPr="00787E57" w:rsidRDefault="00DC5685" w:rsidP="00DC5685">
      <w:pPr>
        <w:pStyle w:val="RepStandard"/>
        <w:suppressAutoHyphens/>
        <w:rPr>
          <w:strike/>
          <w:color w:val="D9D9D9" w:themeColor="background1" w:themeShade="D9"/>
          <w:sz w:val="18"/>
          <w:szCs w:val="18"/>
        </w:rPr>
        <w:sectPr w:rsidR="00DC5685" w:rsidRPr="00787E57" w:rsidSect="00052631">
          <w:headerReference w:type="default" r:id="rId36"/>
          <w:pgSz w:w="16834" w:h="11909" w:orient="landscape" w:code="9"/>
          <w:pgMar w:top="1418" w:right="1418" w:bottom="1134" w:left="1134" w:header="709" w:footer="709" w:gutter="0"/>
          <w:pgNumType w:chapSep="period"/>
          <w:cols w:space="720"/>
          <w:noEndnote/>
          <w:docGrid w:linePitch="299"/>
        </w:sectPr>
      </w:pPr>
      <w:r w:rsidRPr="00787E57">
        <w:rPr>
          <w:strike/>
          <w:color w:val="D9D9D9" w:themeColor="background1" w:themeShade="D9"/>
          <w:sz w:val="18"/>
          <w:szCs w:val="18"/>
        </w:rPr>
        <w:t>1) App. A: EFSA Journal 2009; 7(12):1438, mammal tier 1 tables; 2) calculated according to app. G: EFSA Journal 2009; 7(12):1438; 3) See App. G: EFSA Journal 2009; 7(12):1438, Table 3; 4) See App. G EFSA Journal 2009; 7(12):1438, Table 4</w:t>
      </w:r>
    </w:p>
    <w:p w14:paraId="33CBA567" w14:textId="1BF0DF76" w:rsidR="00111231" w:rsidRPr="006C550F" w:rsidRDefault="00111231" w:rsidP="006C550F">
      <w:pPr>
        <w:keepNext/>
        <w:keepLines/>
        <w:shd w:val="clear" w:color="auto" w:fill="BDD6EE" w:themeFill="accent5" w:themeFillTint="66"/>
        <w:tabs>
          <w:tab w:val="left" w:pos="1985"/>
        </w:tabs>
        <w:spacing w:before="200" w:after="120"/>
        <w:ind w:left="1985" w:hanging="1985"/>
        <w:jc w:val="both"/>
        <w:rPr>
          <w:b/>
          <w:bCs/>
          <w:strike/>
          <w:color w:val="808080" w:themeColor="background1" w:themeShade="80"/>
          <w:lang w:val="en-GB"/>
        </w:rPr>
      </w:pPr>
      <w:r w:rsidRPr="006C550F">
        <w:rPr>
          <w:b/>
          <w:bCs/>
          <w:strike/>
          <w:color w:val="808080" w:themeColor="background1" w:themeShade="80"/>
          <w:lang w:val="en-GB"/>
        </w:rPr>
        <w:lastRenderedPageBreak/>
        <w:t xml:space="preserve">Table </w:t>
      </w:r>
      <w:r w:rsidRPr="006C550F">
        <w:rPr>
          <w:b/>
          <w:bCs/>
          <w:strike/>
          <w:color w:val="808080" w:themeColor="background1" w:themeShade="80"/>
          <w:lang w:val="en-GB"/>
        </w:rPr>
        <w:fldChar w:fldCharType="begin"/>
      </w:r>
      <w:r w:rsidRPr="006C550F">
        <w:rPr>
          <w:b/>
          <w:bCs/>
          <w:strike/>
          <w:color w:val="808080" w:themeColor="background1" w:themeShade="80"/>
          <w:lang w:val="en-GB"/>
        </w:rPr>
        <w:instrText xml:space="preserve"> STYLEREF 2 \s </w:instrText>
      </w:r>
      <w:r w:rsidRPr="006C550F">
        <w:rPr>
          <w:b/>
          <w:bCs/>
          <w:strike/>
          <w:color w:val="808080" w:themeColor="background1" w:themeShade="80"/>
          <w:lang w:val="en-GB"/>
        </w:rPr>
        <w:fldChar w:fldCharType="separate"/>
      </w:r>
      <w:r w:rsidR="006F0F3B" w:rsidRPr="006C550F">
        <w:rPr>
          <w:b/>
          <w:bCs/>
          <w:strike/>
          <w:noProof/>
          <w:color w:val="808080" w:themeColor="background1" w:themeShade="80"/>
          <w:lang w:val="en-GB"/>
        </w:rPr>
        <w:t>9.3</w:t>
      </w:r>
      <w:r w:rsidRPr="006C550F">
        <w:rPr>
          <w:b/>
          <w:bCs/>
          <w:strike/>
          <w:color w:val="808080" w:themeColor="background1" w:themeShade="80"/>
          <w:lang w:val="en-GB"/>
        </w:rPr>
        <w:fldChar w:fldCharType="end"/>
      </w:r>
      <w:r w:rsidRPr="006C550F">
        <w:rPr>
          <w:b/>
          <w:bCs/>
          <w:strike/>
          <w:color w:val="808080" w:themeColor="background1" w:themeShade="80"/>
          <w:lang w:val="en-GB"/>
        </w:rPr>
        <w:noBreakHyphen/>
      </w:r>
      <w:r w:rsidR="0002587D" w:rsidRPr="006C550F">
        <w:rPr>
          <w:b/>
          <w:bCs/>
          <w:strike/>
          <w:color w:val="808080" w:themeColor="background1" w:themeShade="80"/>
          <w:lang w:val="en-GB"/>
        </w:rPr>
        <w:t>17</w:t>
      </w:r>
      <w:r w:rsidRPr="006C550F">
        <w:rPr>
          <w:b/>
          <w:bCs/>
          <w:strike/>
          <w:color w:val="808080" w:themeColor="background1" w:themeShade="80"/>
          <w:lang w:val="en-GB"/>
        </w:rPr>
        <w:t>:</w:t>
      </w:r>
      <w:r w:rsidRPr="006C550F">
        <w:rPr>
          <w:b/>
          <w:bCs/>
          <w:strike/>
          <w:color w:val="808080" w:themeColor="background1" w:themeShade="80"/>
          <w:lang w:val="en-GB"/>
        </w:rPr>
        <w:tab/>
        <w:t>Higher-tier assessment of the long-term/reproductive risk for mammals due to the use of BAS 743 03 F – refined parameters (*) are further described and justified in the text</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88"/>
        <w:gridCol w:w="992"/>
        <w:gridCol w:w="851"/>
        <w:gridCol w:w="995"/>
        <w:gridCol w:w="566"/>
        <w:gridCol w:w="851"/>
        <w:gridCol w:w="709"/>
        <w:gridCol w:w="566"/>
        <w:gridCol w:w="566"/>
        <w:gridCol w:w="703"/>
        <w:gridCol w:w="851"/>
        <w:gridCol w:w="709"/>
      </w:tblGrid>
      <w:tr w:rsidR="006C550F" w:rsidRPr="006C550F" w14:paraId="5ADB0952" w14:textId="77777777" w:rsidTr="0048174C">
        <w:trPr>
          <w:trHeight w:val="144"/>
          <w:tblHeader/>
        </w:trPr>
        <w:tc>
          <w:tcPr>
            <w:tcW w:w="1059" w:type="pct"/>
            <w:gridSpan w:val="2"/>
            <w:shd w:val="clear" w:color="auto" w:fill="auto"/>
          </w:tcPr>
          <w:p w14:paraId="2695420D" w14:textId="77777777" w:rsidR="00111231" w:rsidRPr="006C550F" w:rsidRDefault="00111231" w:rsidP="006C550F">
            <w:pPr>
              <w:shd w:val="clear" w:color="auto" w:fill="BDD6EE" w:themeFill="accent5" w:themeFillTint="66"/>
              <w:rPr>
                <w:b/>
                <w:strike/>
                <w:noProof/>
                <w:color w:val="808080" w:themeColor="background1" w:themeShade="80"/>
                <w:sz w:val="20"/>
                <w:lang w:val="en-GB"/>
              </w:rPr>
            </w:pPr>
            <w:r w:rsidRPr="006C550F">
              <w:rPr>
                <w:b/>
                <w:strike/>
                <w:noProof/>
                <w:color w:val="808080" w:themeColor="background1" w:themeShade="80"/>
                <w:sz w:val="20"/>
                <w:lang w:val="en-GB"/>
              </w:rPr>
              <w:t>Active substance</w:t>
            </w:r>
          </w:p>
        </w:tc>
        <w:tc>
          <w:tcPr>
            <w:tcW w:w="3941" w:type="pct"/>
            <w:gridSpan w:val="10"/>
          </w:tcPr>
          <w:p w14:paraId="4713BA33"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Propamocarb-HCl</w:t>
            </w:r>
          </w:p>
        </w:tc>
      </w:tr>
      <w:tr w:rsidR="006C550F" w:rsidRPr="006C550F" w14:paraId="70B28A60" w14:textId="77777777" w:rsidTr="0048174C">
        <w:trPr>
          <w:trHeight w:val="144"/>
          <w:tblHeader/>
        </w:trPr>
        <w:tc>
          <w:tcPr>
            <w:tcW w:w="1059" w:type="pct"/>
            <w:gridSpan w:val="2"/>
            <w:shd w:val="clear" w:color="auto" w:fill="auto"/>
          </w:tcPr>
          <w:p w14:paraId="200183FB" w14:textId="52250A5B" w:rsidR="00111231" w:rsidRPr="006C550F" w:rsidRDefault="00111231" w:rsidP="006C550F">
            <w:pPr>
              <w:shd w:val="clear" w:color="auto" w:fill="BDD6EE" w:themeFill="accent5" w:themeFillTint="66"/>
              <w:rPr>
                <w:b/>
                <w:strike/>
                <w:noProof/>
                <w:color w:val="808080" w:themeColor="background1" w:themeShade="80"/>
                <w:sz w:val="20"/>
                <w:lang w:val="en-GB"/>
              </w:rPr>
            </w:pPr>
            <w:r w:rsidRPr="006C550F">
              <w:rPr>
                <w:b/>
                <w:strike/>
                <w:noProof/>
                <w:color w:val="808080" w:themeColor="background1" w:themeShade="80"/>
                <w:sz w:val="20"/>
                <w:lang w:val="en-GB"/>
              </w:rPr>
              <w:t>Reproductive toxicity              (mg/kg bw/d)</w:t>
            </w:r>
          </w:p>
        </w:tc>
        <w:tc>
          <w:tcPr>
            <w:tcW w:w="3941" w:type="pct"/>
            <w:gridSpan w:val="10"/>
          </w:tcPr>
          <w:p w14:paraId="7530EAF4"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104</w:t>
            </w:r>
          </w:p>
        </w:tc>
      </w:tr>
      <w:tr w:rsidR="006C550F" w:rsidRPr="006C550F" w14:paraId="1C4B2690" w14:textId="77777777" w:rsidTr="0048174C">
        <w:trPr>
          <w:trHeight w:val="144"/>
          <w:tblHeader/>
        </w:trPr>
        <w:tc>
          <w:tcPr>
            <w:tcW w:w="1059" w:type="pct"/>
            <w:gridSpan w:val="2"/>
            <w:shd w:val="clear" w:color="auto" w:fill="auto"/>
          </w:tcPr>
          <w:p w14:paraId="0C7368E8" w14:textId="77777777" w:rsidR="00111231" w:rsidRPr="006C550F" w:rsidRDefault="00111231" w:rsidP="006C550F">
            <w:pPr>
              <w:shd w:val="clear" w:color="auto" w:fill="BDD6EE" w:themeFill="accent5" w:themeFillTint="66"/>
              <w:rPr>
                <w:b/>
                <w:strike/>
                <w:noProof/>
                <w:color w:val="808080" w:themeColor="background1" w:themeShade="80"/>
                <w:sz w:val="20"/>
                <w:lang w:val="en-GB"/>
              </w:rPr>
            </w:pPr>
            <w:r w:rsidRPr="006C550F">
              <w:rPr>
                <w:b/>
                <w:strike/>
                <w:noProof/>
                <w:color w:val="808080" w:themeColor="background1" w:themeShade="80"/>
                <w:sz w:val="20"/>
                <w:lang w:val="en-GB"/>
              </w:rPr>
              <w:t>TER criterion</w:t>
            </w:r>
          </w:p>
        </w:tc>
        <w:tc>
          <w:tcPr>
            <w:tcW w:w="3941" w:type="pct"/>
            <w:gridSpan w:val="10"/>
          </w:tcPr>
          <w:p w14:paraId="428C52A4"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w:t>
            </w:r>
          </w:p>
        </w:tc>
      </w:tr>
      <w:tr w:rsidR="006C550F" w:rsidRPr="006C550F" w14:paraId="7A266E3D" w14:textId="77777777" w:rsidTr="0048174C">
        <w:trPr>
          <w:trHeight w:val="144"/>
          <w:tblHeader/>
        </w:trPr>
        <w:tc>
          <w:tcPr>
            <w:tcW w:w="529" w:type="pct"/>
            <w:shd w:val="clear" w:color="auto" w:fill="auto"/>
          </w:tcPr>
          <w:p w14:paraId="0A1312A5"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GAP crop</w:t>
            </w:r>
          </w:p>
        </w:tc>
        <w:tc>
          <w:tcPr>
            <w:tcW w:w="531" w:type="pct"/>
          </w:tcPr>
          <w:p w14:paraId="18BEFD7D"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Application rate</w:t>
            </w:r>
          </w:p>
          <w:p w14:paraId="720F6B11"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(g a.s./ha)</w:t>
            </w:r>
          </w:p>
        </w:tc>
        <w:tc>
          <w:tcPr>
            <w:tcW w:w="455" w:type="pct"/>
          </w:tcPr>
          <w:p w14:paraId="548B5007"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 xml:space="preserve">Crop </w:t>
            </w:r>
          </w:p>
          <w:p w14:paraId="7F8A0943"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scenario</w:t>
            </w:r>
          </w:p>
          <w:p w14:paraId="6D923EAE"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Growth stage</w:t>
            </w:r>
          </w:p>
          <w:p w14:paraId="1E7B966B"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(BBCH)</w:t>
            </w:r>
          </w:p>
        </w:tc>
        <w:tc>
          <w:tcPr>
            <w:tcW w:w="532" w:type="pct"/>
            <w:shd w:val="clear" w:color="auto" w:fill="auto"/>
          </w:tcPr>
          <w:p w14:paraId="06464E6E"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Generic Focal species</w:t>
            </w:r>
          </w:p>
        </w:tc>
        <w:tc>
          <w:tcPr>
            <w:tcW w:w="303" w:type="pct"/>
            <w:shd w:val="clear" w:color="auto" w:fill="auto"/>
          </w:tcPr>
          <w:p w14:paraId="523B9758" w14:textId="3DF85C92" w:rsidR="00111231" w:rsidRPr="006C550F" w:rsidRDefault="00D92234"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FIR/ bw</w:t>
            </w:r>
          </w:p>
        </w:tc>
        <w:tc>
          <w:tcPr>
            <w:tcW w:w="455" w:type="pct"/>
            <w:shd w:val="clear" w:color="auto" w:fill="auto"/>
          </w:tcPr>
          <w:p w14:paraId="5329EC73" w14:textId="77777777" w:rsidR="00111231" w:rsidRPr="006C550F" w:rsidRDefault="00111231" w:rsidP="006C550F">
            <w:pPr>
              <w:shd w:val="clear" w:color="auto" w:fill="BDD6EE" w:themeFill="accent5" w:themeFillTint="66"/>
              <w:rPr>
                <w:b/>
                <w:strike/>
                <w:noProof/>
                <w:color w:val="808080" w:themeColor="background1" w:themeShade="80"/>
                <w:sz w:val="20"/>
                <w:vertAlign w:val="subscript"/>
                <w:lang w:val="en-GB"/>
              </w:rPr>
            </w:pPr>
            <w:r w:rsidRPr="006C550F">
              <w:rPr>
                <w:b/>
                <w:strike/>
                <w:noProof/>
                <w:color w:val="808080" w:themeColor="background1" w:themeShade="80"/>
                <w:sz w:val="20"/>
                <w:lang w:val="en-GB"/>
              </w:rPr>
              <w:t xml:space="preserve">Diet item  </w:t>
            </w:r>
          </w:p>
        </w:tc>
        <w:tc>
          <w:tcPr>
            <w:tcW w:w="379" w:type="pct"/>
            <w:shd w:val="clear" w:color="auto" w:fill="auto"/>
          </w:tcPr>
          <w:p w14:paraId="0A60DDAF"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b/>
                <w:strike/>
                <w:noProof/>
                <w:color w:val="808080" w:themeColor="background1" w:themeShade="80"/>
                <w:sz w:val="20"/>
                <w:lang w:val="en-GB"/>
              </w:rPr>
              <w:t>RUD</w:t>
            </w:r>
            <w:r w:rsidRPr="006C550F">
              <w:rPr>
                <w:b/>
                <w:strike/>
                <w:noProof/>
                <w:color w:val="808080" w:themeColor="background1" w:themeShade="80"/>
                <w:sz w:val="20"/>
                <w:vertAlign w:val="subscript"/>
                <w:lang w:val="en-GB"/>
              </w:rPr>
              <w:t>m</w:t>
            </w:r>
          </w:p>
        </w:tc>
        <w:tc>
          <w:tcPr>
            <w:tcW w:w="303" w:type="pct"/>
            <w:shd w:val="clear" w:color="auto" w:fill="auto"/>
          </w:tcPr>
          <w:p w14:paraId="41253740" w14:textId="77777777" w:rsidR="00111231" w:rsidRPr="006C550F" w:rsidRDefault="00111231" w:rsidP="006C550F">
            <w:pPr>
              <w:shd w:val="clear" w:color="auto" w:fill="BDD6EE" w:themeFill="accent5" w:themeFillTint="66"/>
              <w:rPr>
                <w:b/>
                <w:strike/>
                <w:noProof/>
                <w:color w:val="808080" w:themeColor="background1" w:themeShade="80"/>
                <w:sz w:val="20"/>
                <w:vertAlign w:val="subscript"/>
                <w:lang w:val="en-GB"/>
              </w:rPr>
            </w:pPr>
            <w:r w:rsidRPr="006C550F">
              <w:rPr>
                <w:b/>
                <w:strike/>
                <w:noProof/>
                <w:color w:val="808080" w:themeColor="background1" w:themeShade="80"/>
                <w:sz w:val="20"/>
                <w:lang w:val="en-GB"/>
              </w:rPr>
              <w:t>PD</w:t>
            </w:r>
          </w:p>
        </w:tc>
        <w:tc>
          <w:tcPr>
            <w:tcW w:w="303" w:type="pct"/>
            <w:shd w:val="clear" w:color="auto" w:fill="auto"/>
          </w:tcPr>
          <w:p w14:paraId="4BC56053"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DF</w:t>
            </w:r>
          </w:p>
        </w:tc>
        <w:tc>
          <w:tcPr>
            <w:tcW w:w="376" w:type="pct"/>
            <w:shd w:val="clear" w:color="auto" w:fill="auto"/>
          </w:tcPr>
          <w:p w14:paraId="6E0D3454" w14:textId="77777777" w:rsidR="00111231" w:rsidRPr="006C550F" w:rsidRDefault="00111231" w:rsidP="006C550F">
            <w:pPr>
              <w:shd w:val="clear" w:color="auto" w:fill="BDD6EE" w:themeFill="accent5" w:themeFillTint="66"/>
              <w:rPr>
                <w:b/>
                <w:bCs/>
                <w:strike/>
                <w:noProof/>
                <w:color w:val="808080" w:themeColor="background1" w:themeShade="80"/>
                <w:sz w:val="20"/>
                <w:lang w:val="en-GB"/>
              </w:rPr>
            </w:pPr>
            <w:r w:rsidRPr="006C550F">
              <w:rPr>
                <w:b/>
                <w:bCs/>
                <w:strike/>
                <w:noProof/>
                <w:color w:val="808080" w:themeColor="background1" w:themeShade="80"/>
                <w:sz w:val="20"/>
                <w:lang w:val="en-GB"/>
              </w:rPr>
              <w:t>MAF</w:t>
            </w:r>
            <w:r w:rsidRPr="006C550F">
              <w:rPr>
                <w:b/>
                <w:bCs/>
                <w:strike/>
                <w:noProof/>
                <w:color w:val="808080" w:themeColor="background1" w:themeShade="80"/>
                <w:sz w:val="20"/>
                <w:vertAlign w:val="subscript"/>
                <w:lang w:val="en-GB"/>
              </w:rPr>
              <w:t xml:space="preserve">m </w:t>
            </w:r>
            <w:r w:rsidRPr="006C550F">
              <w:rPr>
                <w:b/>
                <w:bCs/>
                <w:strike/>
                <w:noProof/>
                <w:color w:val="808080" w:themeColor="background1" w:themeShade="80"/>
                <w:sz w:val="20"/>
                <w:lang w:val="en-GB"/>
              </w:rPr>
              <w:t>x TWA</w:t>
            </w:r>
          </w:p>
        </w:tc>
        <w:tc>
          <w:tcPr>
            <w:tcW w:w="455" w:type="pct"/>
            <w:shd w:val="clear" w:color="auto" w:fill="auto"/>
          </w:tcPr>
          <w:p w14:paraId="0B9D751A" w14:textId="77777777" w:rsidR="00111231" w:rsidRPr="006C550F" w:rsidRDefault="00111231" w:rsidP="006C550F">
            <w:pPr>
              <w:shd w:val="clear" w:color="auto" w:fill="BDD6EE" w:themeFill="accent5" w:themeFillTint="66"/>
              <w:rPr>
                <w:b/>
                <w:bCs/>
                <w:strike/>
                <w:color w:val="808080" w:themeColor="background1" w:themeShade="80"/>
                <w:sz w:val="20"/>
                <w:szCs w:val="20"/>
                <w:lang w:val="de-DE"/>
              </w:rPr>
            </w:pPr>
            <w:r w:rsidRPr="006C550F">
              <w:rPr>
                <w:b/>
                <w:bCs/>
                <w:strike/>
                <w:color w:val="808080" w:themeColor="background1" w:themeShade="80"/>
                <w:sz w:val="20"/>
                <w:szCs w:val="20"/>
                <w:lang w:val="de-DE"/>
              </w:rPr>
              <w:t>DDD</w:t>
            </w:r>
            <w:r w:rsidRPr="006C550F">
              <w:rPr>
                <w:b/>
                <w:bCs/>
                <w:strike/>
                <w:color w:val="808080" w:themeColor="background1" w:themeShade="80"/>
                <w:sz w:val="20"/>
                <w:szCs w:val="20"/>
                <w:vertAlign w:val="subscript"/>
                <w:lang w:val="de-DE"/>
              </w:rPr>
              <w:t>m</w:t>
            </w:r>
          </w:p>
          <w:p w14:paraId="32A22037" w14:textId="77777777" w:rsidR="00111231" w:rsidRPr="006C550F" w:rsidRDefault="00111231" w:rsidP="006C550F">
            <w:pPr>
              <w:shd w:val="clear" w:color="auto" w:fill="BDD6EE" w:themeFill="accent5" w:themeFillTint="66"/>
              <w:rPr>
                <w:b/>
                <w:bCs/>
                <w:strike/>
                <w:color w:val="808080" w:themeColor="background1" w:themeShade="80"/>
                <w:sz w:val="20"/>
                <w:szCs w:val="20"/>
                <w:lang w:val="de-DE"/>
              </w:rPr>
            </w:pPr>
            <w:r w:rsidRPr="006C550F">
              <w:rPr>
                <w:b/>
                <w:bCs/>
                <w:strike/>
                <w:color w:val="808080" w:themeColor="background1" w:themeShade="80"/>
                <w:sz w:val="20"/>
                <w:szCs w:val="20"/>
                <w:lang w:val="de-DE"/>
              </w:rPr>
              <w:t>(mg/kg </w:t>
            </w:r>
          </w:p>
          <w:p w14:paraId="10BAB98C" w14:textId="77777777" w:rsidR="00111231" w:rsidRPr="006C550F" w:rsidRDefault="00111231" w:rsidP="006C550F">
            <w:pPr>
              <w:shd w:val="clear" w:color="auto" w:fill="BDD6EE" w:themeFill="accent5" w:themeFillTint="66"/>
              <w:rPr>
                <w:b/>
                <w:bCs/>
                <w:strike/>
                <w:color w:val="808080" w:themeColor="background1" w:themeShade="80"/>
                <w:sz w:val="20"/>
                <w:szCs w:val="20"/>
                <w:lang w:val="de-DE"/>
              </w:rPr>
            </w:pPr>
            <w:r w:rsidRPr="006C550F">
              <w:rPr>
                <w:b/>
                <w:bCs/>
                <w:strike/>
                <w:color w:val="808080" w:themeColor="background1" w:themeShade="80"/>
                <w:sz w:val="20"/>
                <w:szCs w:val="20"/>
                <w:lang w:val="de-DE"/>
              </w:rPr>
              <w:t>bw/d)</w:t>
            </w:r>
          </w:p>
        </w:tc>
        <w:tc>
          <w:tcPr>
            <w:tcW w:w="379" w:type="pct"/>
            <w:shd w:val="clear" w:color="auto" w:fill="auto"/>
          </w:tcPr>
          <w:p w14:paraId="666CE1FC" w14:textId="77777777" w:rsidR="00111231" w:rsidRPr="006C550F" w:rsidRDefault="00111231" w:rsidP="006C550F">
            <w:pPr>
              <w:shd w:val="clear" w:color="auto" w:fill="BDD6EE" w:themeFill="accent5" w:themeFillTint="66"/>
              <w:rPr>
                <w:b/>
                <w:bCs/>
                <w:strike/>
                <w:color w:val="808080" w:themeColor="background1" w:themeShade="80"/>
                <w:sz w:val="20"/>
                <w:szCs w:val="20"/>
                <w:lang w:val="en-GB"/>
              </w:rPr>
            </w:pPr>
            <w:r w:rsidRPr="006C550F">
              <w:rPr>
                <w:b/>
                <w:bCs/>
                <w:strike/>
                <w:color w:val="808080" w:themeColor="background1" w:themeShade="80"/>
                <w:sz w:val="20"/>
                <w:szCs w:val="20"/>
                <w:lang w:val="en-GB"/>
              </w:rPr>
              <w:t>TER</w:t>
            </w:r>
            <w:r w:rsidRPr="006C550F">
              <w:rPr>
                <w:b/>
                <w:bCs/>
                <w:strike/>
                <w:color w:val="808080" w:themeColor="background1" w:themeShade="80"/>
                <w:sz w:val="20"/>
                <w:szCs w:val="20"/>
                <w:vertAlign w:val="subscript"/>
                <w:lang w:val="en-GB"/>
              </w:rPr>
              <w:t>LT</w:t>
            </w:r>
          </w:p>
        </w:tc>
      </w:tr>
      <w:tr w:rsidR="006C550F" w:rsidRPr="006C550F" w14:paraId="65C942A2" w14:textId="77777777" w:rsidTr="0048174C">
        <w:trPr>
          <w:trHeight w:val="690"/>
        </w:trPr>
        <w:tc>
          <w:tcPr>
            <w:tcW w:w="529" w:type="pct"/>
            <w:vMerge w:val="restart"/>
            <w:shd w:val="clear" w:color="auto" w:fill="auto"/>
          </w:tcPr>
          <w:p w14:paraId="2F60175E" w14:textId="77777777" w:rsidR="00111231" w:rsidRPr="006C550F" w:rsidRDefault="00111231"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Potatoes</w:t>
            </w:r>
          </w:p>
        </w:tc>
        <w:tc>
          <w:tcPr>
            <w:tcW w:w="531" w:type="pct"/>
            <w:vMerge w:val="restart"/>
          </w:tcPr>
          <w:p w14:paraId="146D38B5"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3 x 902</w:t>
            </w:r>
          </w:p>
        </w:tc>
        <w:tc>
          <w:tcPr>
            <w:tcW w:w="455" w:type="pct"/>
            <w:vMerge w:val="restart"/>
          </w:tcPr>
          <w:p w14:paraId="3D253D23" w14:textId="17A73E0D" w:rsidR="00111231" w:rsidRPr="006C550F" w:rsidRDefault="007740D4"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w:t>
            </w:r>
            <w:r w:rsidR="00111231" w:rsidRPr="006C550F">
              <w:rPr>
                <w:strike/>
                <w:noProof/>
                <w:color w:val="808080" w:themeColor="background1" w:themeShade="80"/>
                <w:sz w:val="20"/>
                <w:lang w:val="en-GB"/>
              </w:rPr>
              <w:t>40</w:t>
            </w:r>
          </w:p>
        </w:tc>
        <w:tc>
          <w:tcPr>
            <w:tcW w:w="532" w:type="pct"/>
            <w:vMerge w:val="restart"/>
            <w:shd w:val="clear" w:color="auto" w:fill="auto"/>
          </w:tcPr>
          <w:p w14:paraId="24AFE912" w14:textId="060446CD"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vMerge w:val="restart"/>
            <w:shd w:val="clear" w:color="auto" w:fill="auto"/>
          </w:tcPr>
          <w:p w14:paraId="3B0C43A1" w14:textId="77777777" w:rsidR="003057D9" w:rsidRPr="006C550F" w:rsidRDefault="00D92234"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p w14:paraId="0B8D0C38" w14:textId="332616E1"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455" w:type="pct"/>
            <w:shd w:val="clear" w:color="auto" w:fill="auto"/>
          </w:tcPr>
          <w:p w14:paraId="3D1A680E"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3916C544"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32D73E73" w14:textId="77777777" w:rsidR="003057D9"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p w14:paraId="399A95EC" w14:textId="574882FD"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303" w:type="pct"/>
            <w:vMerge w:val="restart"/>
            <w:shd w:val="clear" w:color="auto" w:fill="auto"/>
          </w:tcPr>
          <w:p w14:paraId="7A765EDD"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0.15*</w:t>
            </w:r>
          </w:p>
        </w:tc>
        <w:tc>
          <w:tcPr>
            <w:tcW w:w="376" w:type="pct"/>
            <w:vMerge w:val="restart"/>
            <w:shd w:val="clear" w:color="auto" w:fill="auto"/>
          </w:tcPr>
          <w:p w14:paraId="2A224636"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zCs w:val="20"/>
                <w:lang w:val="en-GB"/>
              </w:rPr>
              <w:t>0.65*</w:t>
            </w:r>
          </w:p>
        </w:tc>
        <w:tc>
          <w:tcPr>
            <w:tcW w:w="455" w:type="pct"/>
            <w:vMerge w:val="restart"/>
            <w:shd w:val="clear" w:color="auto" w:fill="auto"/>
          </w:tcPr>
          <w:p w14:paraId="0938BB48"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5.10</w:t>
            </w:r>
          </w:p>
          <w:p w14:paraId="7FEC5E41" w14:textId="57AB076D" w:rsidR="005F1D08" w:rsidRPr="006C550F" w:rsidRDefault="005F1D08" w:rsidP="006C550F">
            <w:pPr>
              <w:shd w:val="clear" w:color="auto" w:fill="BDD6EE" w:themeFill="accent5" w:themeFillTint="66"/>
              <w:rPr>
                <w:strike/>
                <w:noProof/>
                <w:color w:val="808080" w:themeColor="background1" w:themeShade="80"/>
                <w:sz w:val="20"/>
                <w:lang w:val="en-GB"/>
              </w:rPr>
            </w:pPr>
          </w:p>
        </w:tc>
        <w:tc>
          <w:tcPr>
            <w:tcW w:w="379" w:type="pct"/>
            <w:vMerge w:val="restart"/>
            <w:shd w:val="clear" w:color="auto" w:fill="auto"/>
          </w:tcPr>
          <w:p w14:paraId="61FF175A"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20.39</w:t>
            </w:r>
          </w:p>
          <w:p w14:paraId="29E8DF3F" w14:textId="15040E73" w:rsidR="00354685" w:rsidRPr="006C550F" w:rsidRDefault="00354685" w:rsidP="006C550F">
            <w:pPr>
              <w:shd w:val="clear" w:color="auto" w:fill="BDD6EE" w:themeFill="accent5" w:themeFillTint="66"/>
              <w:rPr>
                <w:strike/>
                <w:noProof/>
                <w:color w:val="808080" w:themeColor="background1" w:themeShade="80"/>
                <w:sz w:val="20"/>
                <w:lang w:val="en-GB"/>
              </w:rPr>
            </w:pPr>
          </w:p>
        </w:tc>
      </w:tr>
      <w:tr w:rsidR="006C550F" w:rsidRPr="006C550F" w14:paraId="388A3D29" w14:textId="77777777" w:rsidTr="0048174C">
        <w:trPr>
          <w:trHeight w:val="690"/>
        </w:trPr>
        <w:tc>
          <w:tcPr>
            <w:tcW w:w="529" w:type="pct"/>
            <w:vMerge/>
            <w:shd w:val="clear" w:color="auto" w:fill="auto"/>
          </w:tcPr>
          <w:p w14:paraId="750E3D61" w14:textId="77777777" w:rsidR="00111231" w:rsidRPr="006C550F" w:rsidRDefault="00111231"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3E55AE18"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p>
        </w:tc>
        <w:tc>
          <w:tcPr>
            <w:tcW w:w="455" w:type="pct"/>
            <w:vMerge/>
          </w:tcPr>
          <w:p w14:paraId="7804B24C" w14:textId="77777777" w:rsidR="00111231" w:rsidRPr="006C550F" w:rsidRDefault="00111231"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6738F6CE"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0F613DF1"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p>
        </w:tc>
        <w:tc>
          <w:tcPr>
            <w:tcW w:w="455" w:type="pct"/>
            <w:shd w:val="clear" w:color="auto" w:fill="auto"/>
          </w:tcPr>
          <w:p w14:paraId="2091F8C1"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1B00D26A"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55788657" w14:textId="77777777" w:rsidR="003057D9"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p w14:paraId="0994FF3B" w14:textId="13D6082B" w:rsidR="00111231" w:rsidRPr="006C550F" w:rsidRDefault="00111231"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303" w:type="pct"/>
            <w:vMerge/>
            <w:shd w:val="clear" w:color="auto" w:fill="auto"/>
          </w:tcPr>
          <w:p w14:paraId="3410424A" w14:textId="77777777" w:rsidR="00111231" w:rsidRPr="006C550F" w:rsidRDefault="00111231" w:rsidP="006C550F">
            <w:pPr>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6ECBF223" w14:textId="77777777" w:rsidR="00111231" w:rsidRPr="006C550F" w:rsidRDefault="00111231" w:rsidP="006C550F">
            <w:pPr>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21152014"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427C6061" w14:textId="77777777" w:rsidR="00111231" w:rsidRPr="006C550F" w:rsidRDefault="00111231" w:rsidP="006C550F">
            <w:pPr>
              <w:shd w:val="clear" w:color="auto" w:fill="BDD6EE" w:themeFill="accent5" w:themeFillTint="66"/>
              <w:rPr>
                <w:strike/>
                <w:noProof/>
                <w:color w:val="808080" w:themeColor="background1" w:themeShade="80"/>
                <w:sz w:val="20"/>
                <w:lang w:val="en-GB"/>
              </w:rPr>
            </w:pPr>
          </w:p>
        </w:tc>
      </w:tr>
      <w:tr w:rsidR="006C550F" w:rsidRPr="006C550F" w14:paraId="0580370E" w14:textId="77777777" w:rsidTr="0048174C">
        <w:trPr>
          <w:trHeight w:val="690"/>
        </w:trPr>
        <w:tc>
          <w:tcPr>
            <w:tcW w:w="529" w:type="pct"/>
            <w:vMerge w:val="restart"/>
            <w:shd w:val="clear" w:color="auto" w:fill="auto"/>
          </w:tcPr>
          <w:p w14:paraId="2A591228"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Onions</w:t>
            </w:r>
          </w:p>
        </w:tc>
        <w:tc>
          <w:tcPr>
            <w:tcW w:w="531" w:type="pct"/>
            <w:vMerge w:val="restart"/>
          </w:tcPr>
          <w:p w14:paraId="361A4E37"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vMerge w:val="restart"/>
          </w:tcPr>
          <w:p w14:paraId="2A376AF9" w14:textId="6D1CE449"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w:t>
            </w:r>
            <w:r w:rsidRPr="006C550F">
              <w:rPr>
                <w:rFonts w:eastAsia="MyriadPro-Regular"/>
                <w:strike/>
                <w:noProof/>
                <w:color w:val="808080" w:themeColor="background1" w:themeShade="80"/>
                <w:sz w:val="20"/>
                <w:szCs w:val="18"/>
                <w:lang w:val="en-GB"/>
              </w:rPr>
              <w:t xml:space="preserve"> 40</w:t>
            </w:r>
          </w:p>
        </w:tc>
        <w:tc>
          <w:tcPr>
            <w:tcW w:w="532" w:type="pct"/>
            <w:vMerge w:val="restart"/>
            <w:shd w:val="clear" w:color="auto" w:fill="auto"/>
          </w:tcPr>
          <w:p w14:paraId="12A818EA" w14:textId="086EBF1B"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vMerge w:val="restart"/>
            <w:shd w:val="clear" w:color="auto" w:fill="auto"/>
          </w:tcPr>
          <w:p w14:paraId="55D088FF" w14:textId="0C8B3CAE"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tc>
        <w:tc>
          <w:tcPr>
            <w:tcW w:w="455" w:type="pct"/>
            <w:shd w:val="clear" w:color="auto" w:fill="auto"/>
          </w:tcPr>
          <w:p w14:paraId="3C247D1F"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5EE0E9F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757CDBE2" w14:textId="27EA2013"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tc>
        <w:tc>
          <w:tcPr>
            <w:tcW w:w="303" w:type="pct"/>
            <w:vMerge w:val="restart"/>
            <w:shd w:val="clear" w:color="auto" w:fill="auto"/>
          </w:tcPr>
          <w:p w14:paraId="520C528E"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0.60*</w:t>
            </w:r>
          </w:p>
        </w:tc>
        <w:tc>
          <w:tcPr>
            <w:tcW w:w="376" w:type="pct"/>
            <w:vMerge w:val="restart"/>
            <w:shd w:val="clear" w:color="auto" w:fill="auto"/>
          </w:tcPr>
          <w:p w14:paraId="3DC7E954"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0.45*</w:t>
            </w:r>
          </w:p>
        </w:tc>
        <w:tc>
          <w:tcPr>
            <w:tcW w:w="455" w:type="pct"/>
            <w:vMerge w:val="restart"/>
            <w:shd w:val="clear" w:color="auto" w:fill="auto"/>
          </w:tcPr>
          <w:p w14:paraId="3D77B160"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14.12</w:t>
            </w:r>
          </w:p>
          <w:p w14:paraId="394F09E4" w14:textId="5748BC89" w:rsidR="00354685" w:rsidRPr="006C550F" w:rsidRDefault="00354685" w:rsidP="006C550F">
            <w:pPr>
              <w:shd w:val="clear" w:color="auto" w:fill="BDD6EE" w:themeFill="accent5" w:themeFillTint="66"/>
              <w:rPr>
                <w:strike/>
                <w:noProof/>
                <w:color w:val="808080" w:themeColor="background1" w:themeShade="80"/>
                <w:sz w:val="20"/>
                <w:lang w:val="en-GB"/>
              </w:rPr>
            </w:pPr>
          </w:p>
        </w:tc>
        <w:tc>
          <w:tcPr>
            <w:tcW w:w="379" w:type="pct"/>
            <w:vMerge w:val="restart"/>
            <w:shd w:val="clear" w:color="auto" w:fill="auto"/>
          </w:tcPr>
          <w:p w14:paraId="6352888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7.36</w:t>
            </w:r>
          </w:p>
          <w:p w14:paraId="283B4985" w14:textId="1C75A8BE" w:rsidR="00354685" w:rsidRPr="006C550F" w:rsidRDefault="00354685" w:rsidP="006C550F">
            <w:pPr>
              <w:shd w:val="clear" w:color="auto" w:fill="BDD6EE" w:themeFill="accent5" w:themeFillTint="66"/>
              <w:rPr>
                <w:strike/>
                <w:noProof/>
                <w:color w:val="808080" w:themeColor="background1" w:themeShade="80"/>
                <w:sz w:val="20"/>
                <w:lang w:val="en-GB"/>
              </w:rPr>
            </w:pPr>
          </w:p>
        </w:tc>
      </w:tr>
      <w:tr w:rsidR="006C550F" w:rsidRPr="006C550F" w14:paraId="5048483E" w14:textId="77777777" w:rsidTr="0048174C">
        <w:trPr>
          <w:trHeight w:val="690"/>
        </w:trPr>
        <w:tc>
          <w:tcPr>
            <w:tcW w:w="529" w:type="pct"/>
            <w:vMerge/>
            <w:shd w:val="clear" w:color="auto" w:fill="auto"/>
          </w:tcPr>
          <w:p w14:paraId="22CCCF5B"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263BA38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vMerge/>
          </w:tcPr>
          <w:p w14:paraId="58FD9190"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12C63681"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5925A9A2"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shd w:val="clear" w:color="auto" w:fill="auto"/>
          </w:tcPr>
          <w:p w14:paraId="14E9A397"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6235955F"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3CB03C39" w14:textId="2E2E3AAD"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tc>
        <w:tc>
          <w:tcPr>
            <w:tcW w:w="303" w:type="pct"/>
            <w:vMerge/>
            <w:shd w:val="clear" w:color="auto" w:fill="auto"/>
          </w:tcPr>
          <w:p w14:paraId="500320F6"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2314576F"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5E6AFD8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498D642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r>
      <w:tr w:rsidR="006C550F" w:rsidRPr="006C550F" w14:paraId="76C9AC45" w14:textId="77777777" w:rsidTr="0048174C">
        <w:trPr>
          <w:trHeight w:val="690"/>
        </w:trPr>
        <w:tc>
          <w:tcPr>
            <w:tcW w:w="529" w:type="pct"/>
            <w:vMerge w:val="restart"/>
            <w:shd w:val="clear" w:color="auto" w:fill="auto"/>
          </w:tcPr>
          <w:p w14:paraId="00085A14"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Fruiting vegetables</w:t>
            </w:r>
          </w:p>
        </w:tc>
        <w:tc>
          <w:tcPr>
            <w:tcW w:w="531" w:type="pct"/>
            <w:vMerge w:val="restart"/>
          </w:tcPr>
          <w:p w14:paraId="5B7465CA"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vMerge w:val="restart"/>
          </w:tcPr>
          <w:p w14:paraId="238DDD43"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10-49</w:t>
            </w:r>
          </w:p>
          <w:p w14:paraId="1B71DCE3" w14:textId="731C559A"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shd w:val="clear" w:color="auto" w:fill="D9D9D9" w:themeFill="background1" w:themeFillShade="D9"/>
                <w:lang w:val="en-GB"/>
              </w:rPr>
              <w:t>≥40</w:t>
            </w:r>
          </w:p>
        </w:tc>
        <w:tc>
          <w:tcPr>
            <w:tcW w:w="532" w:type="pct"/>
            <w:vMerge w:val="restart"/>
            <w:shd w:val="clear" w:color="auto" w:fill="auto"/>
          </w:tcPr>
          <w:p w14:paraId="2EF92E9D" w14:textId="1BA62895"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vMerge w:val="restart"/>
            <w:shd w:val="clear" w:color="auto" w:fill="auto"/>
          </w:tcPr>
          <w:p w14:paraId="7AF97FD2"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p w14:paraId="287E0F15" w14:textId="140B2AFB"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w:t>
            </w:r>
            <w:r w:rsidR="006A7FCD" w:rsidRPr="006C550F">
              <w:rPr>
                <w:strike/>
                <w:noProof/>
                <w:color w:val="808080" w:themeColor="background1" w:themeShade="80"/>
                <w:sz w:val="20"/>
                <w:shd w:val="clear" w:color="auto" w:fill="D9D9D9" w:themeFill="background1" w:themeFillShade="D9"/>
                <w:lang w:val="en-GB"/>
              </w:rPr>
              <w:t>3</w:t>
            </w:r>
            <w:r w:rsidR="004E1350" w:rsidRPr="006C550F">
              <w:rPr>
                <w:strike/>
                <w:noProof/>
                <w:color w:val="808080" w:themeColor="background1" w:themeShade="80"/>
                <w:sz w:val="20"/>
                <w:shd w:val="clear" w:color="auto" w:fill="D9D9D9" w:themeFill="background1" w:themeFillShade="D9"/>
                <w:lang w:val="en-GB"/>
              </w:rPr>
              <w:t>3</w:t>
            </w:r>
          </w:p>
        </w:tc>
        <w:tc>
          <w:tcPr>
            <w:tcW w:w="455" w:type="pct"/>
            <w:shd w:val="clear" w:color="auto" w:fill="auto"/>
          </w:tcPr>
          <w:p w14:paraId="07156E80"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5C3CDE1E"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2EB859A6"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p w14:paraId="262218E4" w14:textId="0B7C8F5E" w:rsidR="00797BF7" w:rsidRPr="006C550F" w:rsidRDefault="00461ED3"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w:t>
            </w:r>
          </w:p>
        </w:tc>
        <w:tc>
          <w:tcPr>
            <w:tcW w:w="303" w:type="pct"/>
            <w:vMerge w:val="restart"/>
            <w:shd w:val="clear" w:color="auto" w:fill="auto"/>
          </w:tcPr>
          <w:p w14:paraId="05219D34" w14:textId="2AC2B145"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 xml:space="preserve">0.5 </w:t>
            </w:r>
            <w:r w:rsidRPr="006C550F">
              <w:rPr>
                <w:strike/>
                <w:noProof/>
                <w:color w:val="808080" w:themeColor="background1" w:themeShade="80"/>
                <w:sz w:val="20"/>
                <w:szCs w:val="20"/>
                <w:shd w:val="clear" w:color="auto" w:fill="D9D9D9" w:themeFill="background1" w:themeFillShade="D9"/>
                <w:lang w:val="en-GB"/>
              </w:rPr>
              <w:t>0.2</w:t>
            </w:r>
            <w:r w:rsidRPr="006C550F">
              <w:rPr>
                <w:strike/>
                <w:noProof/>
                <w:color w:val="808080" w:themeColor="background1" w:themeShade="80"/>
                <w:sz w:val="20"/>
                <w:szCs w:val="20"/>
                <w:lang w:val="en-GB"/>
              </w:rPr>
              <w:t>*</w:t>
            </w:r>
          </w:p>
        </w:tc>
        <w:tc>
          <w:tcPr>
            <w:tcW w:w="376" w:type="pct"/>
            <w:vMerge w:val="restart"/>
            <w:shd w:val="clear" w:color="auto" w:fill="auto"/>
          </w:tcPr>
          <w:p w14:paraId="7598741B"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0.44*</w:t>
            </w:r>
          </w:p>
        </w:tc>
        <w:tc>
          <w:tcPr>
            <w:tcW w:w="455" w:type="pct"/>
            <w:vMerge w:val="restart"/>
            <w:shd w:val="clear" w:color="auto" w:fill="auto"/>
          </w:tcPr>
          <w:p w14:paraId="33FE678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11.51</w:t>
            </w:r>
          </w:p>
          <w:p w14:paraId="74AB340E" w14:textId="75933BA5"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6</w:t>
            </w:r>
            <w:r w:rsidR="00B33C37" w:rsidRPr="006C550F">
              <w:rPr>
                <w:strike/>
                <w:noProof/>
                <w:color w:val="808080" w:themeColor="background1" w:themeShade="80"/>
                <w:sz w:val="20"/>
                <w:shd w:val="clear" w:color="auto" w:fill="D9D9D9" w:themeFill="background1" w:themeFillShade="D9"/>
                <w:lang w:val="en-GB"/>
              </w:rPr>
              <w:t>.34</w:t>
            </w:r>
          </w:p>
        </w:tc>
        <w:tc>
          <w:tcPr>
            <w:tcW w:w="379" w:type="pct"/>
            <w:vMerge w:val="restart"/>
            <w:shd w:val="clear" w:color="auto" w:fill="auto"/>
          </w:tcPr>
          <w:p w14:paraId="12C9CDBA"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9.04</w:t>
            </w:r>
          </w:p>
          <w:p w14:paraId="66F8EDDA" w14:textId="6087D570" w:rsidR="00797BF7" w:rsidRPr="006C550F" w:rsidRDefault="00C25013"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16</w:t>
            </w:r>
            <w:r w:rsidR="00797BF7" w:rsidRPr="006C550F">
              <w:rPr>
                <w:strike/>
                <w:noProof/>
                <w:color w:val="808080" w:themeColor="background1" w:themeShade="80"/>
                <w:sz w:val="20"/>
                <w:shd w:val="clear" w:color="auto" w:fill="D9D9D9" w:themeFill="background1" w:themeFillShade="D9"/>
                <w:lang w:val="en-GB"/>
              </w:rPr>
              <w:t>.</w:t>
            </w:r>
            <w:r w:rsidRPr="006C550F">
              <w:rPr>
                <w:strike/>
                <w:noProof/>
                <w:color w:val="808080" w:themeColor="background1" w:themeShade="80"/>
                <w:sz w:val="20"/>
                <w:shd w:val="clear" w:color="auto" w:fill="D9D9D9" w:themeFill="background1" w:themeFillShade="D9"/>
                <w:lang w:val="en-GB"/>
              </w:rPr>
              <w:t>4</w:t>
            </w:r>
          </w:p>
        </w:tc>
      </w:tr>
      <w:tr w:rsidR="006C550F" w:rsidRPr="006C550F" w14:paraId="3B6D8F33" w14:textId="77777777" w:rsidTr="0048174C">
        <w:trPr>
          <w:trHeight w:val="690"/>
        </w:trPr>
        <w:tc>
          <w:tcPr>
            <w:tcW w:w="529" w:type="pct"/>
            <w:vMerge/>
            <w:shd w:val="clear" w:color="auto" w:fill="auto"/>
          </w:tcPr>
          <w:p w14:paraId="31E2B85F"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61C7DE2A"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vMerge/>
          </w:tcPr>
          <w:p w14:paraId="4BA2E04D"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4283CB2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5515878F"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shd w:val="clear" w:color="auto" w:fill="auto"/>
          </w:tcPr>
          <w:p w14:paraId="35FE647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7B61428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3EDBE6E0"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p w14:paraId="5D424DAC" w14:textId="3A17D965"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303" w:type="pct"/>
            <w:vMerge/>
            <w:shd w:val="clear" w:color="auto" w:fill="auto"/>
          </w:tcPr>
          <w:p w14:paraId="53AA9979"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52CE9691"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5A7309D2"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0A4CB2A1"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r>
      <w:tr w:rsidR="006C550F" w:rsidRPr="006C550F" w14:paraId="26C6E547" w14:textId="77777777" w:rsidTr="0048174C">
        <w:trPr>
          <w:trHeight w:val="690"/>
        </w:trPr>
        <w:tc>
          <w:tcPr>
            <w:tcW w:w="529" w:type="pct"/>
            <w:vMerge w:val="restart"/>
            <w:shd w:val="clear" w:color="auto" w:fill="auto"/>
          </w:tcPr>
          <w:p w14:paraId="751B60A8"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Ornamentals</w:t>
            </w:r>
          </w:p>
        </w:tc>
        <w:tc>
          <w:tcPr>
            <w:tcW w:w="531" w:type="pct"/>
            <w:vMerge w:val="restart"/>
          </w:tcPr>
          <w:p w14:paraId="3657F1A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vMerge w:val="restart"/>
          </w:tcPr>
          <w:p w14:paraId="66DEB822"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40-49 / ≥ 50</w:t>
            </w:r>
          </w:p>
        </w:tc>
        <w:tc>
          <w:tcPr>
            <w:tcW w:w="532" w:type="pct"/>
            <w:vMerge w:val="restart"/>
            <w:shd w:val="clear" w:color="auto" w:fill="auto"/>
          </w:tcPr>
          <w:p w14:paraId="094AE51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vMerge w:val="restart"/>
            <w:shd w:val="clear" w:color="auto" w:fill="auto"/>
          </w:tcPr>
          <w:p w14:paraId="135D9DF1"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p w14:paraId="19437D0C" w14:textId="08FE16FF"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w:t>
            </w:r>
            <w:r w:rsidR="00C25013" w:rsidRPr="006C550F">
              <w:rPr>
                <w:strike/>
                <w:noProof/>
                <w:color w:val="808080" w:themeColor="background1" w:themeShade="80"/>
                <w:sz w:val="20"/>
                <w:shd w:val="clear" w:color="auto" w:fill="D9D9D9" w:themeFill="background1" w:themeFillShade="D9"/>
                <w:lang w:val="en-GB"/>
              </w:rPr>
              <w:t>.33</w:t>
            </w:r>
          </w:p>
        </w:tc>
        <w:tc>
          <w:tcPr>
            <w:tcW w:w="455" w:type="pct"/>
            <w:shd w:val="clear" w:color="auto" w:fill="auto"/>
          </w:tcPr>
          <w:p w14:paraId="4D20F91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0500EF5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3C4E2BA4"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p w14:paraId="0FEB1D2D" w14:textId="65E3B194" w:rsidR="00797BF7" w:rsidRPr="006C550F" w:rsidRDefault="00C25013"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w:t>
            </w:r>
          </w:p>
        </w:tc>
        <w:tc>
          <w:tcPr>
            <w:tcW w:w="303" w:type="pct"/>
            <w:vMerge w:val="restart"/>
            <w:shd w:val="clear" w:color="auto" w:fill="auto"/>
          </w:tcPr>
          <w:p w14:paraId="49CAF3C8"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0.3*</w:t>
            </w:r>
          </w:p>
        </w:tc>
        <w:tc>
          <w:tcPr>
            <w:tcW w:w="376" w:type="pct"/>
            <w:vMerge w:val="restart"/>
            <w:shd w:val="clear" w:color="auto" w:fill="auto"/>
          </w:tcPr>
          <w:p w14:paraId="09F70E7C"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0.44*</w:t>
            </w:r>
          </w:p>
        </w:tc>
        <w:tc>
          <w:tcPr>
            <w:tcW w:w="455" w:type="pct"/>
            <w:vMerge w:val="restart"/>
            <w:shd w:val="clear" w:color="auto" w:fill="auto"/>
          </w:tcPr>
          <w:p w14:paraId="68D6972E"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6.90</w:t>
            </w:r>
          </w:p>
          <w:p w14:paraId="65F361D1" w14:textId="3C14596E" w:rsidR="00CF3E53" w:rsidRPr="006C550F" w:rsidRDefault="000D6EA6"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8.58</w:t>
            </w:r>
          </w:p>
        </w:tc>
        <w:tc>
          <w:tcPr>
            <w:tcW w:w="379" w:type="pct"/>
            <w:vMerge w:val="restart"/>
            <w:shd w:val="clear" w:color="auto" w:fill="auto"/>
          </w:tcPr>
          <w:p w14:paraId="39FD0550"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15.06</w:t>
            </w:r>
          </w:p>
          <w:p w14:paraId="6D883994" w14:textId="301F6ADB" w:rsidR="00E57B10" w:rsidRPr="006C550F" w:rsidRDefault="00E57B10"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w:t>
            </w:r>
            <w:r w:rsidR="00910AE6" w:rsidRPr="006C550F">
              <w:rPr>
                <w:strike/>
                <w:noProof/>
                <w:color w:val="808080" w:themeColor="background1" w:themeShade="80"/>
                <w:sz w:val="20"/>
                <w:lang w:val="en-GB"/>
              </w:rPr>
              <w:t>2.12</w:t>
            </w:r>
          </w:p>
          <w:p w14:paraId="44FC86A9" w14:textId="77777777" w:rsidR="00CF3E53" w:rsidRPr="006C550F" w:rsidRDefault="00CF3E53" w:rsidP="006C550F">
            <w:pPr>
              <w:shd w:val="clear" w:color="auto" w:fill="BDD6EE" w:themeFill="accent5" w:themeFillTint="66"/>
              <w:rPr>
                <w:strike/>
                <w:noProof/>
                <w:color w:val="808080" w:themeColor="background1" w:themeShade="80"/>
                <w:sz w:val="20"/>
                <w:lang w:val="en-GB"/>
              </w:rPr>
            </w:pPr>
          </w:p>
        </w:tc>
      </w:tr>
      <w:tr w:rsidR="006C550F" w:rsidRPr="006C550F" w14:paraId="74BD977A" w14:textId="77777777" w:rsidTr="0048174C">
        <w:trPr>
          <w:trHeight w:val="690"/>
        </w:trPr>
        <w:tc>
          <w:tcPr>
            <w:tcW w:w="529" w:type="pct"/>
            <w:vMerge/>
            <w:shd w:val="clear" w:color="auto" w:fill="auto"/>
          </w:tcPr>
          <w:p w14:paraId="37568D24"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0E716856"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vMerge/>
          </w:tcPr>
          <w:p w14:paraId="2FBC5EF2"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68932A20"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70C40103"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455" w:type="pct"/>
            <w:shd w:val="clear" w:color="auto" w:fill="auto"/>
          </w:tcPr>
          <w:p w14:paraId="2A67C5CE"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6A1C311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276A346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p w14:paraId="56946DF0" w14:textId="6B2074D2"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303" w:type="pct"/>
            <w:vMerge/>
            <w:shd w:val="clear" w:color="auto" w:fill="auto"/>
          </w:tcPr>
          <w:p w14:paraId="174A7292"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1E1A1179"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691D1EE7"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1D377CD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p>
        </w:tc>
      </w:tr>
      <w:tr w:rsidR="006C550F" w:rsidRPr="006C550F" w14:paraId="435DDEBA" w14:textId="77777777" w:rsidTr="0048174C">
        <w:trPr>
          <w:trHeight w:val="690"/>
        </w:trPr>
        <w:tc>
          <w:tcPr>
            <w:tcW w:w="529" w:type="pct"/>
            <w:shd w:val="clear" w:color="auto" w:fill="auto"/>
          </w:tcPr>
          <w:p w14:paraId="28690CD2"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Ornamentals</w:t>
            </w:r>
          </w:p>
        </w:tc>
        <w:tc>
          <w:tcPr>
            <w:tcW w:w="531" w:type="pct"/>
          </w:tcPr>
          <w:p w14:paraId="611DA48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 x 902</w:t>
            </w:r>
          </w:p>
        </w:tc>
        <w:tc>
          <w:tcPr>
            <w:tcW w:w="455" w:type="pct"/>
          </w:tcPr>
          <w:p w14:paraId="493E0A37" w14:textId="77777777" w:rsidR="00797BF7" w:rsidRPr="006C550F" w:rsidRDefault="00797BF7" w:rsidP="006C550F">
            <w:pPr>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40-49</w:t>
            </w:r>
          </w:p>
        </w:tc>
        <w:tc>
          <w:tcPr>
            <w:tcW w:w="532" w:type="pct"/>
            <w:shd w:val="clear" w:color="auto" w:fill="auto"/>
          </w:tcPr>
          <w:p w14:paraId="6C1AAFC7"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shd w:val="clear" w:color="auto" w:fill="auto"/>
          </w:tcPr>
          <w:p w14:paraId="56D6504A" w14:textId="29302DB1"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tc>
        <w:tc>
          <w:tcPr>
            <w:tcW w:w="455" w:type="pct"/>
            <w:shd w:val="clear" w:color="auto" w:fill="auto"/>
          </w:tcPr>
          <w:p w14:paraId="76D30F6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1A02F189"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7DF8C5D8"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tc>
        <w:tc>
          <w:tcPr>
            <w:tcW w:w="303" w:type="pct"/>
            <w:shd w:val="clear" w:color="auto" w:fill="auto"/>
          </w:tcPr>
          <w:p w14:paraId="4BCAEEB2"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0.3*</w:t>
            </w:r>
          </w:p>
        </w:tc>
        <w:tc>
          <w:tcPr>
            <w:tcW w:w="376" w:type="pct"/>
            <w:shd w:val="clear" w:color="auto" w:fill="auto"/>
          </w:tcPr>
          <w:p w14:paraId="43340CFD" w14:textId="77777777" w:rsidR="00797BF7" w:rsidRPr="006C550F" w:rsidRDefault="00797BF7" w:rsidP="006C550F">
            <w:pPr>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0.23*</w:t>
            </w:r>
          </w:p>
        </w:tc>
        <w:tc>
          <w:tcPr>
            <w:tcW w:w="455" w:type="pct"/>
            <w:shd w:val="clear" w:color="auto" w:fill="auto"/>
          </w:tcPr>
          <w:p w14:paraId="3EE31615"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3.61</w:t>
            </w:r>
          </w:p>
        </w:tc>
        <w:tc>
          <w:tcPr>
            <w:tcW w:w="379" w:type="pct"/>
            <w:shd w:val="clear" w:color="auto" w:fill="auto"/>
          </w:tcPr>
          <w:p w14:paraId="28D30B1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28.82</w:t>
            </w:r>
          </w:p>
        </w:tc>
      </w:tr>
      <w:tr w:rsidR="006C550F" w:rsidRPr="006C550F" w14:paraId="1A98B37D" w14:textId="77777777" w:rsidTr="007B6911">
        <w:trPr>
          <w:trHeight w:val="690"/>
        </w:trPr>
        <w:tc>
          <w:tcPr>
            <w:tcW w:w="529" w:type="pct"/>
            <w:shd w:val="clear" w:color="auto" w:fill="D9D9D9" w:themeFill="background1" w:themeFillShade="D9"/>
          </w:tcPr>
          <w:p w14:paraId="23DB7478" w14:textId="77777777"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Orchards</w:t>
            </w:r>
          </w:p>
          <w:p w14:paraId="7914C3E4" w14:textId="450A76D9"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p>
        </w:tc>
        <w:tc>
          <w:tcPr>
            <w:tcW w:w="531" w:type="pct"/>
            <w:shd w:val="clear" w:color="auto" w:fill="D9D9D9" w:themeFill="background1" w:themeFillShade="D9"/>
          </w:tcPr>
          <w:p w14:paraId="2CABFB5D" w14:textId="170BC208"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shd w:val="clear" w:color="auto" w:fill="D9D9D9" w:themeFill="background1" w:themeFillShade="D9"/>
          </w:tcPr>
          <w:p w14:paraId="5CD6EA3D" w14:textId="50DB7BA9"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10</w:t>
            </w:r>
            <w:r w:rsidRPr="006C550F">
              <w:rPr>
                <w:strike/>
                <w:noProof/>
                <w:color w:val="808080" w:themeColor="background1" w:themeShade="80"/>
                <w:sz w:val="20"/>
                <w:lang w:val="en-GB"/>
              </w:rPr>
              <w:t>-19</w:t>
            </w:r>
          </w:p>
        </w:tc>
        <w:tc>
          <w:tcPr>
            <w:tcW w:w="532" w:type="pct"/>
            <w:shd w:val="clear" w:color="auto" w:fill="D9D9D9" w:themeFill="background1" w:themeFillShade="D9"/>
          </w:tcPr>
          <w:p w14:paraId="3BE4FCA1" w14:textId="03C72105"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shd w:val="clear" w:color="auto" w:fill="D9D9D9" w:themeFill="background1" w:themeFillShade="D9"/>
          </w:tcPr>
          <w:p w14:paraId="5ABC777D" w14:textId="177414B0"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w:t>
            </w:r>
            <w:r w:rsidR="00A40820" w:rsidRPr="006C550F">
              <w:rPr>
                <w:strike/>
                <w:noProof/>
                <w:color w:val="808080" w:themeColor="background1" w:themeShade="80"/>
                <w:sz w:val="20"/>
                <w:lang w:val="en-GB"/>
              </w:rPr>
              <w:t>3</w:t>
            </w:r>
            <w:r w:rsidR="005F6093" w:rsidRPr="006C550F">
              <w:rPr>
                <w:strike/>
                <w:noProof/>
                <w:color w:val="808080" w:themeColor="background1" w:themeShade="80"/>
                <w:sz w:val="20"/>
                <w:lang w:val="en-GB"/>
              </w:rPr>
              <w:t>3</w:t>
            </w:r>
          </w:p>
        </w:tc>
        <w:tc>
          <w:tcPr>
            <w:tcW w:w="455" w:type="pct"/>
            <w:shd w:val="clear" w:color="auto" w:fill="D9D9D9" w:themeFill="background1" w:themeFillShade="D9"/>
          </w:tcPr>
          <w:p w14:paraId="0B40EFCC" w14:textId="06754DEC"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D9D9D9" w:themeFill="background1" w:themeFillShade="D9"/>
          </w:tcPr>
          <w:p w14:paraId="553C227A" w14:textId="5D3B1B71"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D9D9D9" w:themeFill="background1" w:themeFillShade="D9"/>
          </w:tcPr>
          <w:p w14:paraId="7F037317" w14:textId="0D3D3A57" w:rsidR="00797BF7" w:rsidRPr="006C550F" w:rsidRDefault="00A40820"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w:t>
            </w:r>
          </w:p>
        </w:tc>
        <w:tc>
          <w:tcPr>
            <w:tcW w:w="303" w:type="pct"/>
            <w:shd w:val="clear" w:color="auto" w:fill="D9D9D9" w:themeFill="background1" w:themeFillShade="D9"/>
          </w:tcPr>
          <w:p w14:paraId="652FDAE9" w14:textId="05763B6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0.8</w:t>
            </w:r>
            <w:r w:rsidR="00CF6824" w:rsidRPr="006C550F">
              <w:rPr>
                <w:strike/>
                <w:noProof/>
                <w:color w:val="808080" w:themeColor="background1" w:themeShade="80"/>
                <w:sz w:val="20"/>
                <w:szCs w:val="20"/>
                <w:lang w:val="en-GB"/>
              </w:rPr>
              <w:t>**</w:t>
            </w:r>
          </w:p>
          <w:p w14:paraId="42633237" w14:textId="4F15C918" w:rsidR="00553447" w:rsidRPr="006C550F" w:rsidRDefault="00553447" w:rsidP="006C550F">
            <w:pPr>
              <w:widowControl w:val="0"/>
              <w:shd w:val="clear" w:color="auto" w:fill="BDD6EE" w:themeFill="accent5" w:themeFillTint="66"/>
              <w:rPr>
                <w:strike/>
                <w:noProof/>
                <w:color w:val="808080" w:themeColor="background1" w:themeShade="80"/>
                <w:sz w:val="20"/>
                <w:szCs w:val="20"/>
                <w:lang w:val="en-GB"/>
              </w:rPr>
            </w:pPr>
          </w:p>
        </w:tc>
        <w:tc>
          <w:tcPr>
            <w:tcW w:w="376" w:type="pct"/>
            <w:shd w:val="clear" w:color="auto" w:fill="D9D9D9" w:themeFill="background1" w:themeFillShade="D9"/>
          </w:tcPr>
          <w:p w14:paraId="728A415E" w14:textId="64E4DDA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0.44*</w:t>
            </w:r>
          </w:p>
        </w:tc>
        <w:tc>
          <w:tcPr>
            <w:tcW w:w="455" w:type="pct"/>
            <w:shd w:val="clear" w:color="auto" w:fill="D9D9D9" w:themeFill="background1" w:themeFillShade="D9"/>
          </w:tcPr>
          <w:p w14:paraId="3CFAA7BD" w14:textId="3477419B" w:rsidR="00797BF7" w:rsidRPr="006C550F" w:rsidRDefault="00DC5994"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22.89</w:t>
            </w:r>
          </w:p>
        </w:tc>
        <w:tc>
          <w:tcPr>
            <w:tcW w:w="379" w:type="pct"/>
            <w:shd w:val="clear" w:color="auto" w:fill="D9D9D9" w:themeFill="background1" w:themeFillShade="D9"/>
          </w:tcPr>
          <w:p w14:paraId="7701C969" w14:textId="41DA8A1F" w:rsidR="00797BF7" w:rsidRPr="006C550F" w:rsidRDefault="00055CAB" w:rsidP="006C550F">
            <w:pPr>
              <w:widowControl w:val="0"/>
              <w:shd w:val="clear" w:color="auto" w:fill="BDD6EE" w:themeFill="accent5" w:themeFillTint="66"/>
              <w:rPr>
                <w:b/>
                <w:bCs/>
                <w:strike/>
                <w:noProof/>
                <w:color w:val="808080" w:themeColor="background1" w:themeShade="80"/>
                <w:sz w:val="20"/>
                <w:lang w:val="en-GB"/>
              </w:rPr>
            </w:pPr>
            <w:r w:rsidRPr="006C550F">
              <w:rPr>
                <w:b/>
                <w:bCs/>
                <w:strike/>
                <w:noProof/>
                <w:color w:val="808080" w:themeColor="background1" w:themeShade="80"/>
                <w:sz w:val="20"/>
                <w:lang w:val="en-GB"/>
              </w:rPr>
              <w:t>4.54</w:t>
            </w:r>
          </w:p>
        </w:tc>
      </w:tr>
      <w:tr w:rsidR="006C550F" w:rsidRPr="006C550F" w14:paraId="66D18219" w14:textId="77777777" w:rsidTr="0048174C">
        <w:trPr>
          <w:trHeight w:val="690"/>
        </w:trPr>
        <w:tc>
          <w:tcPr>
            <w:tcW w:w="529" w:type="pct"/>
            <w:vMerge w:val="restart"/>
            <w:shd w:val="clear" w:color="auto" w:fill="auto"/>
          </w:tcPr>
          <w:p w14:paraId="2F3AE089" w14:textId="77777777"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Orchards</w:t>
            </w:r>
          </w:p>
          <w:p w14:paraId="03367033" w14:textId="3A528EFD" w:rsidR="00EF186F" w:rsidRPr="006C550F" w:rsidRDefault="00EF186F" w:rsidP="006C550F">
            <w:pPr>
              <w:widowControl w:val="0"/>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val="restart"/>
          </w:tcPr>
          <w:p w14:paraId="5A7AF3D9"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vMerge w:val="restart"/>
          </w:tcPr>
          <w:p w14:paraId="39E9A2D4" w14:textId="56D02CE6"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 xml:space="preserve">10 </w:t>
            </w:r>
            <w:r w:rsidRPr="006C550F">
              <w:rPr>
                <w:strike/>
                <w:noProof/>
                <w:color w:val="808080" w:themeColor="background1" w:themeShade="80"/>
                <w:sz w:val="20"/>
                <w:shd w:val="clear" w:color="auto" w:fill="D9D9D9" w:themeFill="background1" w:themeFillShade="D9"/>
                <w:lang w:val="en-GB"/>
              </w:rPr>
              <w:t>20</w:t>
            </w:r>
            <w:r w:rsidRPr="006C550F">
              <w:rPr>
                <w:strike/>
                <w:noProof/>
                <w:color w:val="808080" w:themeColor="background1" w:themeShade="80"/>
                <w:sz w:val="20"/>
                <w:lang w:val="en-GB"/>
              </w:rPr>
              <w:t>-40</w:t>
            </w:r>
          </w:p>
        </w:tc>
        <w:tc>
          <w:tcPr>
            <w:tcW w:w="532" w:type="pct"/>
            <w:vMerge w:val="restart"/>
            <w:shd w:val="clear" w:color="auto" w:fill="auto"/>
          </w:tcPr>
          <w:p w14:paraId="53186513"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 xml:space="preserve">Small herbivorous mammal </w:t>
            </w:r>
            <w:r w:rsidRPr="006C550F">
              <w:rPr>
                <w:strike/>
                <w:noProof/>
                <w:color w:val="808080" w:themeColor="background1" w:themeShade="80"/>
                <w:sz w:val="20"/>
                <w:lang w:val="en-GB"/>
              </w:rPr>
              <w:lastRenderedPageBreak/>
              <w:t>"vole”</w:t>
            </w:r>
          </w:p>
        </w:tc>
        <w:tc>
          <w:tcPr>
            <w:tcW w:w="303" w:type="pct"/>
            <w:vMerge w:val="restart"/>
            <w:shd w:val="clear" w:color="auto" w:fill="auto"/>
          </w:tcPr>
          <w:p w14:paraId="2EE5B3F7"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lastRenderedPageBreak/>
              <w:t>1.49</w:t>
            </w:r>
          </w:p>
          <w:p w14:paraId="69EA5D5F" w14:textId="1FB75FC5"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w:t>
            </w:r>
            <w:r w:rsidR="00055CAB" w:rsidRPr="006C550F">
              <w:rPr>
                <w:strike/>
                <w:noProof/>
                <w:color w:val="808080" w:themeColor="background1" w:themeShade="80"/>
                <w:sz w:val="20"/>
                <w:shd w:val="clear" w:color="auto" w:fill="D9D9D9" w:themeFill="background1" w:themeFillShade="D9"/>
                <w:lang w:val="en-GB"/>
              </w:rPr>
              <w:t>33</w:t>
            </w:r>
          </w:p>
        </w:tc>
        <w:tc>
          <w:tcPr>
            <w:tcW w:w="455" w:type="pct"/>
            <w:shd w:val="clear" w:color="auto" w:fill="auto"/>
          </w:tcPr>
          <w:p w14:paraId="5F0CECB0"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 xml:space="preserve">Grasses and cereal </w:t>
            </w:r>
            <w:r w:rsidRPr="006C550F">
              <w:rPr>
                <w:strike/>
                <w:noProof/>
                <w:color w:val="808080" w:themeColor="background1" w:themeShade="80"/>
                <w:sz w:val="20"/>
                <w:lang w:val="en-GB"/>
              </w:rPr>
              <w:lastRenderedPageBreak/>
              <w:t>shoots</w:t>
            </w:r>
          </w:p>
        </w:tc>
        <w:tc>
          <w:tcPr>
            <w:tcW w:w="379" w:type="pct"/>
            <w:shd w:val="clear" w:color="auto" w:fill="auto"/>
          </w:tcPr>
          <w:p w14:paraId="0DE0FA5A"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lastRenderedPageBreak/>
              <w:t>54.2</w:t>
            </w:r>
          </w:p>
        </w:tc>
        <w:tc>
          <w:tcPr>
            <w:tcW w:w="303" w:type="pct"/>
            <w:shd w:val="clear" w:color="auto" w:fill="auto"/>
          </w:tcPr>
          <w:p w14:paraId="4C159155"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p w14:paraId="0AF0FD14" w14:textId="217D7E1D" w:rsidR="00797BF7" w:rsidRPr="006C550F" w:rsidRDefault="00055CAB"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w:t>
            </w:r>
          </w:p>
        </w:tc>
        <w:tc>
          <w:tcPr>
            <w:tcW w:w="303" w:type="pct"/>
            <w:vMerge w:val="restart"/>
            <w:shd w:val="clear" w:color="auto" w:fill="auto"/>
          </w:tcPr>
          <w:p w14:paraId="659BC6E8" w14:textId="7777777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w:t>
            </w:r>
          </w:p>
          <w:p w14:paraId="5A29AC73" w14:textId="37BA682D"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shd w:val="clear" w:color="auto" w:fill="D9D9D9" w:themeFill="background1" w:themeFillShade="D9"/>
                <w:lang w:val="en-GB"/>
              </w:rPr>
              <w:t>0.6</w:t>
            </w:r>
            <w:r w:rsidR="00CF6824" w:rsidRPr="006C550F">
              <w:rPr>
                <w:strike/>
                <w:noProof/>
                <w:color w:val="808080" w:themeColor="background1" w:themeShade="80"/>
                <w:sz w:val="20"/>
                <w:szCs w:val="20"/>
                <w:shd w:val="clear" w:color="auto" w:fill="D9D9D9" w:themeFill="background1" w:themeFillShade="D9"/>
                <w:lang w:val="en-GB"/>
              </w:rPr>
              <w:t>**</w:t>
            </w:r>
          </w:p>
        </w:tc>
        <w:tc>
          <w:tcPr>
            <w:tcW w:w="376" w:type="pct"/>
            <w:vMerge w:val="restart"/>
            <w:shd w:val="clear" w:color="auto" w:fill="auto"/>
          </w:tcPr>
          <w:p w14:paraId="0BC99CDC" w14:textId="7777777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0.44*</w:t>
            </w:r>
          </w:p>
        </w:tc>
        <w:tc>
          <w:tcPr>
            <w:tcW w:w="455" w:type="pct"/>
            <w:vMerge w:val="restart"/>
            <w:shd w:val="clear" w:color="auto" w:fill="auto"/>
          </w:tcPr>
          <w:p w14:paraId="3AC51636"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9.20</w:t>
            </w:r>
          </w:p>
          <w:p w14:paraId="509358AC" w14:textId="01A7B356"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1</w:t>
            </w:r>
            <w:r w:rsidR="00FA421D" w:rsidRPr="006C550F">
              <w:rPr>
                <w:strike/>
                <w:noProof/>
                <w:color w:val="808080" w:themeColor="background1" w:themeShade="80"/>
                <w:sz w:val="20"/>
                <w:shd w:val="clear" w:color="auto" w:fill="D9D9D9" w:themeFill="background1" w:themeFillShade="D9"/>
                <w:lang w:val="en-GB"/>
              </w:rPr>
              <w:t>7</w:t>
            </w:r>
            <w:r w:rsidRPr="006C550F">
              <w:rPr>
                <w:strike/>
                <w:noProof/>
                <w:color w:val="808080" w:themeColor="background1" w:themeShade="80"/>
                <w:sz w:val="20"/>
                <w:shd w:val="clear" w:color="auto" w:fill="D9D9D9" w:themeFill="background1" w:themeFillShade="D9"/>
                <w:lang w:val="en-GB"/>
              </w:rPr>
              <w:t>.</w:t>
            </w:r>
            <w:r w:rsidR="00FA421D" w:rsidRPr="006C550F">
              <w:rPr>
                <w:strike/>
                <w:noProof/>
                <w:color w:val="808080" w:themeColor="background1" w:themeShade="80"/>
                <w:sz w:val="20"/>
                <w:shd w:val="clear" w:color="auto" w:fill="D9D9D9" w:themeFill="background1" w:themeFillShade="D9"/>
                <w:lang w:val="en-GB"/>
              </w:rPr>
              <w:t>17</w:t>
            </w:r>
          </w:p>
        </w:tc>
        <w:tc>
          <w:tcPr>
            <w:tcW w:w="379" w:type="pct"/>
            <w:vMerge w:val="restart"/>
            <w:shd w:val="clear" w:color="auto" w:fill="auto"/>
          </w:tcPr>
          <w:p w14:paraId="296B318A"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11.30</w:t>
            </w:r>
          </w:p>
          <w:p w14:paraId="3FBD9387" w14:textId="79660E47" w:rsidR="00797BF7" w:rsidRPr="006C550F" w:rsidRDefault="00466A4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shd w:val="clear" w:color="auto" w:fill="D9D9D9" w:themeFill="background1" w:themeFillShade="D9"/>
                <w:lang w:val="en-GB"/>
              </w:rPr>
              <w:t>6</w:t>
            </w:r>
            <w:r w:rsidR="00797BF7" w:rsidRPr="006C550F">
              <w:rPr>
                <w:strike/>
                <w:noProof/>
                <w:color w:val="808080" w:themeColor="background1" w:themeShade="80"/>
                <w:sz w:val="20"/>
                <w:shd w:val="clear" w:color="auto" w:fill="D9D9D9" w:themeFill="background1" w:themeFillShade="D9"/>
                <w:lang w:val="en-GB"/>
              </w:rPr>
              <w:t>.</w:t>
            </w:r>
            <w:r w:rsidR="00C036F8" w:rsidRPr="006C550F">
              <w:rPr>
                <w:strike/>
                <w:noProof/>
                <w:color w:val="808080" w:themeColor="background1" w:themeShade="80"/>
                <w:sz w:val="20"/>
                <w:shd w:val="clear" w:color="auto" w:fill="D9D9D9" w:themeFill="background1" w:themeFillShade="D9"/>
                <w:lang w:val="en-GB"/>
              </w:rPr>
              <w:t>0</w:t>
            </w:r>
            <w:r w:rsidRPr="006C550F">
              <w:rPr>
                <w:strike/>
                <w:noProof/>
                <w:color w:val="808080" w:themeColor="background1" w:themeShade="80"/>
                <w:sz w:val="20"/>
                <w:shd w:val="clear" w:color="auto" w:fill="D9D9D9" w:themeFill="background1" w:themeFillShade="D9"/>
                <w:lang w:val="en-GB"/>
              </w:rPr>
              <w:t>6</w:t>
            </w:r>
          </w:p>
        </w:tc>
      </w:tr>
      <w:tr w:rsidR="006C550F" w:rsidRPr="006C550F" w14:paraId="418DE194" w14:textId="77777777" w:rsidTr="0048174C">
        <w:trPr>
          <w:trHeight w:val="690"/>
        </w:trPr>
        <w:tc>
          <w:tcPr>
            <w:tcW w:w="529" w:type="pct"/>
            <w:vMerge/>
            <w:shd w:val="clear" w:color="auto" w:fill="auto"/>
          </w:tcPr>
          <w:p w14:paraId="0E78F40B" w14:textId="77777777"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5137003E"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c>
          <w:tcPr>
            <w:tcW w:w="455" w:type="pct"/>
            <w:vMerge/>
          </w:tcPr>
          <w:p w14:paraId="461137D8" w14:textId="77777777" w:rsidR="00797BF7" w:rsidRPr="006C550F" w:rsidRDefault="00797BF7" w:rsidP="006C550F">
            <w:pPr>
              <w:widowControl w:val="0"/>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1D9833D6"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73094E77"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c>
          <w:tcPr>
            <w:tcW w:w="455" w:type="pct"/>
            <w:shd w:val="clear" w:color="auto" w:fill="auto"/>
          </w:tcPr>
          <w:p w14:paraId="47140E23"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676F258F"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2FC293E1"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p w14:paraId="2E00DEC7" w14:textId="6CE81D96"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726F4D7C" w14:textId="7777777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32FC7C0B" w14:textId="7777777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1B2F7E5A"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080EF9B2" w14:textId="77777777" w:rsidR="00797BF7" w:rsidRPr="006C550F" w:rsidRDefault="00797BF7" w:rsidP="006C550F">
            <w:pPr>
              <w:widowControl w:val="0"/>
              <w:shd w:val="clear" w:color="auto" w:fill="BDD6EE" w:themeFill="accent5" w:themeFillTint="66"/>
              <w:rPr>
                <w:strike/>
                <w:noProof/>
                <w:color w:val="808080" w:themeColor="background1" w:themeShade="80"/>
                <w:sz w:val="20"/>
                <w:lang w:val="en-GB"/>
              </w:rPr>
            </w:pPr>
          </w:p>
        </w:tc>
      </w:tr>
      <w:tr w:rsidR="006C550F" w:rsidRPr="006C550F" w14:paraId="47C99423" w14:textId="77777777" w:rsidTr="0048174C">
        <w:trPr>
          <w:trHeight w:val="690"/>
        </w:trPr>
        <w:tc>
          <w:tcPr>
            <w:tcW w:w="529" w:type="pct"/>
            <w:vMerge w:val="restart"/>
            <w:shd w:val="clear" w:color="auto" w:fill="auto"/>
          </w:tcPr>
          <w:p w14:paraId="7B13C247" w14:textId="77777777" w:rsidR="00797BF7" w:rsidRPr="006C550F" w:rsidRDefault="00797BF7" w:rsidP="006C550F">
            <w:pPr>
              <w:keepNext/>
              <w:widowControl w:val="0"/>
              <w:shd w:val="clear" w:color="auto" w:fill="BDD6EE" w:themeFill="accent5" w:themeFillTint="66"/>
              <w:rPr>
                <w:rFonts w:eastAsia="MyriadPro-Regular"/>
                <w:strike/>
                <w:noProof/>
                <w:color w:val="808080" w:themeColor="background1" w:themeShade="80"/>
                <w:sz w:val="20"/>
                <w:szCs w:val="18"/>
                <w:lang w:val="en-GB"/>
              </w:rPr>
            </w:pPr>
            <w:r w:rsidRPr="006C550F">
              <w:rPr>
                <w:rFonts w:eastAsia="MyriadPro-Regular"/>
                <w:strike/>
                <w:noProof/>
                <w:color w:val="808080" w:themeColor="background1" w:themeShade="80"/>
                <w:sz w:val="20"/>
                <w:szCs w:val="18"/>
                <w:lang w:val="en-GB"/>
              </w:rPr>
              <w:t>Bush and cane fruit</w:t>
            </w:r>
          </w:p>
        </w:tc>
        <w:tc>
          <w:tcPr>
            <w:tcW w:w="531" w:type="pct"/>
            <w:vMerge w:val="restart"/>
          </w:tcPr>
          <w:p w14:paraId="401123FD"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 x 902</w:t>
            </w:r>
          </w:p>
        </w:tc>
        <w:tc>
          <w:tcPr>
            <w:tcW w:w="455" w:type="pct"/>
            <w:vMerge w:val="restart"/>
          </w:tcPr>
          <w:p w14:paraId="6C9E8709" w14:textId="101C0144" w:rsidR="00797BF7" w:rsidRPr="006C550F" w:rsidRDefault="00797BF7" w:rsidP="006C550F">
            <w:pPr>
              <w:keepNext/>
              <w:widowControl w:val="0"/>
              <w:shd w:val="clear" w:color="auto" w:fill="BDD6EE" w:themeFill="accent5" w:themeFillTint="66"/>
              <w:rPr>
                <w:rFonts w:eastAsia="MyriadPro-Regular"/>
                <w:strike/>
                <w:noProof/>
                <w:color w:val="808080" w:themeColor="background1" w:themeShade="80"/>
                <w:sz w:val="20"/>
                <w:szCs w:val="18"/>
                <w:lang w:val="en-GB"/>
              </w:rPr>
            </w:pPr>
            <w:r w:rsidRPr="006C550F">
              <w:rPr>
                <w:strike/>
                <w:noProof/>
                <w:color w:val="808080" w:themeColor="background1" w:themeShade="80"/>
                <w:sz w:val="20"/>
                <w:lang w:val="en-GB"/>
              </w:rPr>
              <w:t>10-39</w:t>
            </w:r>
          </w:p>
        </w:tc>
        <w:tc>
          <w:tcPr>
            <w:tcW w:w="532" w:type="pct"/>
            <w:vMerge w:val="restart"/>
            <w:shd w:val="clear" w:color="auto" w:fill="auto"/>
          </w:tcPr>
          <w:p w14:paraId="18AF5437"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Small herbivorous mammal "vole”</w:t>
            </w:r>
          </w:p>
        </w:tc>
        <w:tc>
          <w:tcPr>
            <w:tcW w:w="303" w:type="pct"/>
            <w:vMerge w:val="restart"/>
            <w:shd w:val="clear" w:color="auto" w:fill="auto"/>
          </w:tcPr>
          <w:p w14:paraId="5826DFDB"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1.49</w:t>
            </w:r>
          </w:p>
          <w:p w14:paraId="193E83D8" w14:textId="1BFC6A68"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455" w:type="pct"/>
            <w:shd w:val="clear" w:color="auto" w:fill="auto"/>
          </w:tcPr>
          <w:p w14:paraId="0E54C259"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Grasses and cereal shoots</w:t>
            </w:r>
          </w:p>
        </w:tc>
        <w:tc>
          <w:tcPr>
            <w:tcW w:w="379" w:type="pct"/>
            <w:shd w:val="clear" w:color="auto" w:fill="auto"/>
          </w:tcPr>
          <w:p w14:paraId="64B091BE"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54.2</w:t>
            </w:r>
          </w:p>
        </w:tc>
        <w:tc>
          <w:tcPr>
            <w:tcW w:w="303" w:type="pct"/>
            <w:shd w:val="clear" w:color="auto" w:fill="auto"/>
          </w:tcPr>
          <w:p w14:paraId="64D415D1" w14:textId="6FA64FB1"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0.40*</w:t>
            </w:r>
          </w:p>
        </w:tc>
        <w:tc>
          <w:tcPr>
            <w:tcW w:w="303" w:type="pct"/>
            <w:vMerge w:val="restart"/>
            <w:shd w:val="clear" w:color="auto" w:fill="auto"/>
          </w:tcPr>
          <w:p w14:paraId="38A22622" w14:textId="77777777" w:rsidR="00797BF7" w:rsidRPr="006C550F" w:rsidRDefault="00797BF7" w:rsidP="006C550F">
            <w:pPr>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w:t>
            </w:r>
          </w:p>
          <w:p w14:paraId="3755CD11" w14:textId="786FA1E7" w:rsidR="00797BF7" w:rsidRPr="006C550F" w:rsidRDefault="00797BF7" w:rsidP="006C550F">
            <w:pPr>
              <w:keepNext/>
              <w:widowControl w:val="0"/>
              <w:shd w:val="clear" w:color="auto" w:fill="BDD6EE" w:themeFill="accent5" w:themeFillTint="66"/>
              <w:rPr>
                <w:strike/>
                <w:noProof/>
                <w:color w:val="808080" w:themeColor="background1" w:themeShade="80"/>
                <w:sz w:val="20"/>
                <w:szCs w:val="20"/>
                <w:lang w:val="en-GB"/>
              </w:rPr>
            </w:pPr>
          </w:p>
        </w:tc>
        <w:tc>
          <w:tcPr>
            <w:tcW w:w="376" w:type="pct"/>
            <w:vMerge w:val="restart"/>
            <w:shd w:val="clear" w:color="auto" w:fill="auto"/>
          </w:tcPr>
          <w:p w14:paraId="71A8CC5B"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szCs w:val="20"/>
                <w:lang w:val="en-GB"/>
              </w:rPr>
            </w:pPr>
            <w:r w:rsidRPr="006C550F">
              <w:rPr>
                <w:strike/>
                <w:noProof/>
                <w:color w:val="808080" w:themeColor="background1" w:themeShade="80"/>
                <w:sz w:val="20"/>
                <w:szCs w:val="20"/>
                <w:lang w:val="en-GB"/>
              </w:rPr>
              <w:t>0.44*</w:t>
            </w:r>
          </w:p>
        </w:tc>
        <w:tc>
          <w:tcPr>
            <w:tcW w:w="455" w:type="pct"/>
            <w:vMerge w:val="restart"/>
            <w:shd w:val="clear" w:color="auto" w:fill="auto"/>
          </w:tcPr>
          <w:p w14:paraId="1F5C3F88"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9.20</w:t>
            </w:r>
          </w:p>
          <w:p w14:paraId="73B4AE53" w14:textId="5FC55554"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p>
        </w:tc>
        <w:tc>
          <w:tcPr>
            <w:tcW w:w="379" w:type="pct"/>
            <w:vMerge w:val="restart"/>
            <w:shd w:val="clear" w:color="auto" w:fill="auto"/>
          </w:tcPr>
          <w:p w14:paraId="771FB5CC" w14:textId="77777777"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11.30</w:t>
            </w:r>
          </w:p>
          <w:p w14:paraId="75909C50" w14:textId="48C4CA76" w:rsidR="00797BF7" w:rsidRPr="006C550F" w:rsidRDefault="00797BF7" w:rsidP="006C550F">
            <w:pPr>
              <w:keepNext/>
              <w:widowControl w:val="0"/>
              <w:shd w:val="clear" w:color="auto" w:fill="BDD6EE" w:themeFill="accent5" w:themeFillTint="66"/>
              <w:rPr>
                <w:strike/>
                <w:noProof/>
                <w:color w:val="808080" w:themeColor="background1" w:themeShade="80"/>
                <w:sz w:val="20"/>
                <w:lang w:val="en-GB"/>
              </w:rPr>
            </w:pPr>
          </w:p>
        </w:tc>
      </w:tr>
      <w:tr w:rsidR="006C550F" w:rsidRPr="006C550F" w14:paraId="2D847BED" w14:textId="77777777" w:rsidTr="0048174C">
        <w:trPr>
          <w:trHeight w:val="690"/>
        </w:trPr>
        <w:tc>
          <w:tcPr>
            <w:tcW w:w="529" w:type="pct"/>
            <w:vMerge/>
            <w:shd w:val="clear" w:color="auto" w:fill="auto"/>
          </w:tcPr>
          <w:p w14:paraId="1B44CBEC" w14:textId="77777777" w:rsidR="00797BF7" w:rsidRPr="006C550F" w:rsidRDefault="00797BF7" w:rsidP="006C550F">
            <w:pPr>
              <w:keepNext/>
              <w:keepLines/>
              <w:shd w:val="clear" w:color="auto" w:fill="BDD6EE" w:themeFill="accent5" w:themeFillTint="66"/>
              <w:rPr>
                <w:rFonts w:eastAsia="MyriadPro-Regular"/>
                <w:strike/>
                <w:noProof/>
                <w:color w:val="808080" w:themeColor="background1" w:themeShade="80"/>
                <w:sz w:val="20"/>
                <w:szCs w:val="18"/>
                <w:lang w:val="en-GB"/>
              </w:rPr>
            </w:pPr>
          </w:p>
        </w:tc>
        <w:tc>
          <w:tcPr>
            <w:tcW w:w="531" w:type="pct"/>
            <w:vMerge/>
          </w:tcPr>
          <w:p w14:paraId="394FE1F8"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p>
        </w:tc>
        <w:tc>
          <w:tcPr>
            <w:tcW w:w="455" w:type="pct"/>
            <w:vMerge/>
          </w:tcPr>
          <w:p w14:paraId="489CBAA3" w14:textId="77777777" w:rsidR="00797BF7" w:rsidRPr="006C550F" w:rsidRDefault="00797BF7" w:rsidP="006C550F">
            <w:pPr>
              <w:keepNext/>
              <w:keepLines/>
              <w:shd w:val="clear" w:color="auto" w:fill="BDD6EE" w:themeFill="accent5" w:themeFillTint="66"/>
              <w:rPr>
                <w:rFonts w:eastAsia="MyriadPro-Regular"/>
                <w:strike/>
                <w:noProof/>
                <w:color w:val="808080" w:themeColor="background1" w:themeShade="80"/>
                <w:sz w:val="20"/>
                <w:szCs w:val="18"/>
                <w:lang w:val="en-GB"/>
              </w:rPr>
            </w:pPr>
          </w:p>
        </w:tc>
        <w:tc>
          <w:tcPr>
            <w:tcW w:w="532" w:type="pct"/>
            <w:vMerge/>
            <w:shd w:val="clear" w:color="auto" w:fill="auto"/>
          </w:tcPr>
          <w:p w14:paraId="3FB0ED5C"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p>
        </w:tc>
        <w:tc>
          <w:tcPr>
            <w:tcW w:w="303" w:type="pct"/>
            <w:vMerge/>
            <w:shd w:val="clear" w:color="auto" w:fill="auto"/>
          </w:tcPr>
          <w:p w14:paraId="018EBCB7"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p>
        </w:tc>
        <w:tc>
          <w:tcPr>
            <w:tcW w:w="455" w:type="pct"/>
            <w:shd w:val="clear" w:color="auto" w:fill="auto"/>
          </w:tcPr>
          <w:p w14:paraId="5BEA673C"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Non-grass herbs</w:t>
            </w:r>
          </w:p>
        </w:tc>
        <w:tc>
          <w:tcPr>
            <w:tcW w:w="379" w:type="pct"/>
            <w:shd w:val="clear" w:color="auto" w:fill="auto"/>
          </w:tcPr>
          <w:p w14:paraId="4A874FD3"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28.7</w:t>
            </w:r>
          </w:p>
        </w:tc>
        <w:tc>
          <w:tcPr>
            <w:tcW w:w="303" w:type="pct"/>
            <w:shd w:val="clear" w:color="auto" w:fill="auto"/>
          </w:tcPr>
          <w:p w14:paraId="15B71224" w14:textId="77777777" w:rsidR="00797BF7" w:rsidRPr="006C550F" w:rsidRDefault="00797BF7" w:rsidP="006C550F">
            <w:pPr>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0.60</w:t>
            </w:r>
          </w:p>
          <w:p w14:paraId="440E2D97" w14:textId="30402C76"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r w:rsidRPr="006C550F">
              <w:rPr>
                <w:strike/>
                <w:noProof/>
                <w:color w:val="808080" w:themeColor="background1" w:themeShade="80"/>
                <w:sz w:val="20"/>
                <w:lang w:val="en-GB"/>
              </w:rPr>
              <w:t>*</w:t>
            </w:r>
          </w:p>
        </w:tc>
        <w:tc>
          <w:tcPr>
            <w:tcW w:w="303" w:type="pct"/>
            <w:vMerge/>
            <w:shd w:val="clear" w:color="auto" w:fill="auto"/>
          </w:tcPr>
          <w:p w14:paraId="6EF7CED2" w14:textId="77777777" w:rsidR="00797BF7" w:rsidRPr="006C550F" w:rsidRDefault="00797BF7" w:rsidP="006C550F">
            <w:pPr>
              <w:keepNext/>
              <w:keepLines/>
              <w:shd w:val="clear" w:color="auto" w:fill="BDD6EE" w:themeFill="accent5" w:themeFillTint="66"/>
              <w:rPr>
                <w:strike/>
                <w:noProof/>
                <w:color w:val="808080" w:themeColor="background1" w:themeShade="80"/>
                <w:sz w:val="20"/>
                <w:szCs w:val="20"/>
                <w:lang w:val="en-GB"/>
              </w:rPr>
            </w:pPr>
          </w:p>
        </w:tc>
        <w:tc>
          <w:tcPr>
            <w:tcW w:w="376" w:type="pct"/>
            <w:vMerge/>
            <w:shd w:val="clear" w:color="auto" w:fill="auto"/>
          </w:tcPr>
          <w:p w14:paraId="33C64DBE" w14:textId="77777777" w:rsidR="00797BF7" w:rsidRPr="006C550F" w:rsidRDefault="00797BF7" w:rsidP="006C550F">
            <w:pPr>
              <w:keepNext/>
              <w:keepLines/>
              <w:shd w:val="clear" w:color="auto" w:fill="BDD6EE" w:themeFill="accent5" w:themeFillTint="66"/>
              <w:rPr>
                <w:strike/>
                <w:noProof/>
                <w:color w:val="808080" w:themeColor="background1" w:themeShade="80"/>
                <w:sz w:val="20"/>
                <w:szCs w:val="20"/>
                <w:lang w:val="en-GB"/>
              </w:rPr>
            </w:pPr>
          </w:p>
        </w:tc>
        <w:tc>
          <w:tcPr>
            <w:tcW w:w="455" w:type="pct"/>
            <w:vMerge/>
            <w:shd w:val="clear" w:color="auto" w:fill="auto"/>
          </w:tcPr>
          <w:p w14:paraId="59A14AD0"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p>
        </w:tc>
        <w:tc>
          <w:tcPr>
            <w:tcW w:w="379" w:type="pct"/>
            <w:vMerge/>
            <w:shd w:val="clear" w:color="auto" w:fill="auto"/>
          </w:tcPr>
          <w:p w14:paraId="1BBFF0C5" w14:textId="77777777" w:rsidR="00797BF7" w:rsidRPr="006C550F" w:rsidRDefault="00797BF7" w:rsidP="006C550F">
            <w:pPr>
              <w:keepNext/>
              <w:keepLines/>
              <w:shd w:val="clear" w:color="auto" w:fill="BDD6EE" w:themeFill="accent5" w:themeFillTint="66"/>
              <w:rPr>
                <w:strike/>
                <w:noProof/>
                <w:color w:val="808080" w:themeColor="background1" w:themeShade="80"/>
                <w:sz w:val="20"/>
                <w:lang w:val="en-GB"/>
              </w:rPr>
            </w:pPr>
          </w:p>
        </w:tc>
      </w:tr>
    </w:tbl>
    <w:p w14:paraId="456DA021" w14:textId="1F0E0F82" w:rsidR="00DC5685" w:rsidRPr="006C550F" w:rsidRDefault="00DC5685" w:rsidP="006C550F">
      <w:pPr>
        <w:keepNext/>
        <w:keepLines/>
        <w:shd w:val="clear" w:color="auto" w:fill="BDD6EE" w:themeFill="accent5" w:themeFillTint="66"/>
        <w:tabs>
          <w:tab w:val="left" w:pos="0"/>
        </w:tabs>
        <w:jc w:val="both"/>
        <w:rPr>
          <w:strike/>
          <w:noProof/>
          <w:color w:val="808080" w:themeColor="background1" w:themeShade="80"/>
          <w:sz w:val="18"/>
          <w:szCs w:val="18"/>
          <w:lang w:val="en-GB"/>
        </w:rPr>
      </w:pPr>
      <w:r w:rsidRPr="006C550F">
        <w:rPr>
          <w:strike/>
          <w:noProof/>
          <w:color w:val="808080" w:themeColor="background1" w:themeShade="80"/>
          <w:sz w:val="18"/>
          <w:szCs w:val="18"/>
          <w:lang w:val="en-GB"/>
        </w:rPr>
        <w:t>FIR/bw: Food intake rate per body weight; RUD: residue unit dose; DF: deposition factor (considering possible interception by the crop); MAF: multiple application factor; DDD: daily dietary dose; TER: toxicity to exposure ratio. TER values shown in bold fall below the relevant trigger.</w:t>
      </w:r>
    </w:p>
    <w:p w14:paraId="19A4FA71" w14:textId="77777777" w:rsidR="00DC5685" w:rsidRPr="006C550F" w:rsidRDefault="00DC5685" w:rsidP="006C550F">
      <w:pPr>
        <w:widowControl w:val="0"/>
        <w:shd w:val="clear" w:color="auto" w:fill="BDD6EE" w:themeFill="accent5" w:themeFillTint="66"/>
        <w:jc w:val="both"/>
        <w:rPr>
          <w:strike/>
          <w:noProof/>
          <w:color w:val="808080" w:themeColor="background1" w:themeShade="80"/>
          <w:sz w:val="18"/>
          <w:szCs w:val="18"/>
          <w:lang w:val="en-GB"/>
        </w:rPr>
      </w:pPr>
      <w:r w:rsidRPr="006C550F">
        <w:rPr>
          <w:strike/>
          <w:noProof/>
          <w:color w:val="808080" w:themeColor="background1" w:themeShade="80"/>
          <w:sz w:val="18"/>
          <w:szCs w:val="18"/>
          <w:lang w:val="en-GB"/>
        </w:rPr>
        <w:t>* Refined parameters</w:t>
      </w:r>
    </w:p>
    <w:p w14:paraId="11110F9A" w14:textId="53D70A78" w:rsidR="00CF6824" w:rsidRPr="006C550F" w:rsidRDefault="00CF6824" w:rsidP="006C550F">
      <w:pPr>
        <w:widowControl w:val="0"/>
        <w:shd w:val="clear" w:color="auto" w:fill="BDD6EE" w:themeFill="accent5" w:themeFillTint="66"/>
        <w:jc w:val="both"/>
        <w:rPr>
          <w:strike/>
          <w:noProof/>
          <w:color w:val="808080" w:themeColor="background1" w:themeShade="80"/>
          <w:sz w:val="18"/>
          <w:szCs w:val="18"/>
          <w:lang w:val="en-GB"/>
        </w:rPr>
      </w:pPr>
      <w:r w:rsidRPr="006C550F">
        <w:rPr>
          <w:strike/>
          <w:noProof/>
          <w:color w:val="808080" w:themeColor="background1" w:themeShade="80"/>
          <w:sz w:val="18"/>
          <w:szCs w:val="18"/>
          <w:lang w:val="en-GB"/>
        </w:rPr>
        <w:t>**</w:t>
      </w:r>
      <w:r w:rsidR="007F3C9D" w:rsidRPr="006C550F">
        <w:rPr>
          <w:strike/>
          <w:noProof/>
          <w:color w:val="808080" w:themeColor="background1" w:themeShade="80"/>
          <w:sz w:val="18"/>
          <w:szCs w:val="18"/>
          <w:lang w:val="en-GB"/>
        </w:rPr>
        <w:t>DF form EFSA B&amp;M 2009</w:t>
      </w:r>
    </w:p>
    <w:p w14:paraId="69287C77" w14:textId="77777777" w:rsidR="00DC5685" w:rsidRPr="00A34F10" w:rsidRDefault="00DC5685" w:rsidP="00DC5685">
      <w:pPr>
        <w:widowControl w:val="0"/>
        <w:jc w:val="both"/>
        <w:rPr>
          <w:lang w:val="en-GB"/>
        </w:rPr>
      </w:pPr>
    </w:p>
    <w:p w14:paraId="513BE301" w14:textId="7AA2F503" w:rsidR="00EE3ACD" w:rsidRPr="0075735D" w:rsidRDefault="00DC5685" w:rsidP="00DC5685">
      <w:pPr>
        <w:pStyle w:val="RepStandard"/>
        <w:suppressAutoHyphens/>
      </w:pPr>
      <w:r w:rsidRPr="0075735D">
        <w:t>An acceptable risk can be concluded by the refined higher tier assessment for the chronic risks to mammals</w:t>
      </w:r>
      <w:r w:rsidR="00930711" w:rsidRPr="0075735D">
        <w:t xml:space="preserve">, </w:t>
      </w:r>
      <w:r w:rsidR="00930711" w:rsidRPr="0075735D">
        <w:rPr>
          <w:shd w:val="clear" w:color="auto" w:fill="D9D9D9" w:themeFill="background1" w:themeFillShade="D9"/>
        </w:rPr>
        <w:t>except for</w:t>
      </w:r>
      <w:r w:rsidR="00E35654">
        <w:rPr>
          <w:shd w:val="clear" w:color="auto" w:fill="D9D9D9" w:themeFill="background1" w:themeFillShade="D9"/>
        </w:rPr>
        <w:t xml:space="preserve"> </w:t>
      </w:r>
      <w:r w:rsidR="009D2AF2" w:rsidRPr="006C550F">
        <w:rPr>
          <w:shd w:val="clear" w:color="auto" w:fill="BDD6EE" w:themeFill="accent5" w:themeFillTint="66"/>
        </w:rPr>
        <w:t>multiple application</w:t>
      </w:r>
      <w:r w:rsidR="00EE23A0" w:rsidRPr="006C550F">
        <w:rPr>
          <w:shd w:val="clear" w:color="auto" w:fill="BDD6EE" w:themeFill="accent5" w:themeFillTint="66"/>
        </w:rPr>
        <w:t>s</w:t>
      </w:r>
      <w:r w:rsidR="009D2AF2" w:rsidRPr="006C550F">
        <w:rPr>
          <w:shd w:val="clear" w:color="auto" w:fill="BDD6EE" w:themeFill="accent5" w:themeFillTint="66"/>
        </w:rPr>
        <w:t xml:space="preserve"> in</w:t>
      </w:r>
      <w:r w:rsidR="003E2F85" w:rsidRPr="006C550F">
        <w:rPr>
          <w:shd w:val="clear" w:color="auto" w:fill="BDD6EE" w:themeFill="accent5" w:themeFillTint="66"/>
        </w:rPr>
        <w:t xml:space="preserve"> onions BBCH ≥ 40, </w:t>
      </w:r>
      <w:r w:rsidR="00541013" w:rsidRPr="006C550F">
        <w:rPr>
          <w:shd w:val="clear" w:color="auto" w:fill="BDD6EE" w:themeFill="accent5" w:themeFillTint="66"/>
        </w:rPr>
        <w:t xml:space="preserve">ornamentals BBCH 40-49, </w:t>
      </w:r>
      <w:r w:rsidR="00D423BA" w:rsidRPr="006C550F">
        <w:rPr>
          <w:shd w:val="clear" w:color="auto" w:fill="BDD6EE" w:themeFill="accent5" w:themeFillTint="66"/>
        </w:rPr>
        <w:t>orchards BBCH 10-</w:t>
      </w:r>
      <w:r w:rsidR="008B34AB" w:rsidRPr="006C550F">
        <w:rPr>
          <w:shd w:val="clear" w:color="auto" w:fill="BDD6EE" w:themeFill="accent5" w:themeFillTint="66"/>
        </w:rPr>
        <w:t>40</w:t>
      </w:r>
      <w:r w:rsidR="006C7A02" w:rsidRPr="006C550F">
        <w:rPr>
          <w:shd w:val="clear" w:color="auto" w:fill="BDD6EE" w:themeFill="accent5" w:themeFillTint="66"/>
        </w:rPr>
        <w:t xml:space="preserve">, </w:t>
      </w:r>
      <w:r w:rsidR="00A105BF" w:rsidRPr="006C550F">
        <w:rPr>
          <w:shd w:val="clear" w:color="auto" w:fill="BDD6EE" w:themeFill="accent5" w:themeFillTint="66"/>
        </w:rPr>
        <w:t>bush</w:t>
      </w:r>
      <w:r w:rsidR="000F0D67" w:rsidRPr="006C550F">
        <w:rPr>
          <w:shd w:val="clear" w:color="auto" w:fill="BDD6EE" w:themeFill="accent5" w:themeFillTint="66"/>
        </w:rPr>
        <w:t xml:space="preserve"> and cane fruit BBCH 10-39</w:t>
      </w:r>
      <w:r w:rsidR="00D423BA">
        <w:rPr>
          <w:shd w:val="clear" w:color="auto" w:fill="D9D9D9" w:themeFill="background1" w:themeFillShade="D9"/>
        </w:rPr>
        <w:t xml:space="preserve"> and</w:t>
      </w:r>
      <w:r w:rsidR="00930711" w:rsidRPr="0075735D">
        <w:rPr>
          <w:shd w:val="clear" w:color="auto" w:fill="D9D9D9" w:themeFill="background1" w:themeFillShade="D9"/>
        </w:rPr>
        <w:t xml:space="preserve"> fruiting</w:t>
      </w:r>
      <w:r w:rsidR="00A85BC4" w:rsidRPr="0075735D">
        <w:rPr>
          <w:rFonts w:eastAsia="MyriadPro-Regular"/>
          <w:noProof/>
          <w:shd w:val="clear" w:color="auto" w:fill="D9D9D9" w:themeFill="background1" w:themeFillShade="D9"/>
          <w:lang w:val="en-GB"/>
        </w:rPr>
        <w:t xml:space="preserve"> vegetables BBCH </w:t>
      </w:r>
      <w:r w:rsidR="00EE23A0">
        <w:rPr>
          <w:rFonts w:eastAsia="MyriadPro-Regular"/>
          <w:noProof/>
          <w:shd w:val="clear" w:color="auto" w:fill="D9D9D9" w:themeFill="background1" w:themeFillShade="D9"/>
          <w:lang w:val="en-GB"/>
        </w:rPr>
        <w:t>≤</w:t>
      </w:r>
      <w:r w:rsidR="0075735D" w:rsidRPr="0075735D">
        <w:rPr>
          <w:rFonts w:eastAsia="MyriadPro-Regular"/>
          <w:noProof/>
          <w:shd w:val="clear" w:color="auto" w:fill="D9D9D9" w:themeFill="background1" w:themeFillShade="D9"/>
          <w:lang w:val="en-GB"/>
        </w:rPr>
        <w:t xml:space="preserve"> 4</w:t>
      </w:r>
      <w:r w:rsidR="00CF1E1A">
        <w:rPr>
          <w:rFonts w:eastAsia="MyriadPro-Regular"/>
          <w:noProof/>
          <w:shd w:val="clear" w:color="auto" w:fill="D9D9D9" w:themeFill="background1" w:themeFillShade="D9"/>
          <w:lang w:val="en-GB"/>
        </w:rPr>
        <w:t>9</w:t>
      </w:r>
      <w:r w:rsidR="0075735D" w:rsidRPr="0075735D">
        <w:rPr>
          <w:rFonts w:eastAsia="MyriadPro-Regular"/>
          <w:noProof/>
          <w:shd w:val="clear" w:color="auto" w:fill="D9D9D9" w:themeFill="background1" w:themeFillShade="D9"/>
          <w:lang w:val="en-GB"/>
        </w:rPr>
        <w:t>.</w:t>
      </w:r>
    </w:p>
    <w:p w14:paraId="01808E49" w14:textId="1C91C79B" w:rsidR="00DC5685" w:rsidRPr="00A34F10" w:rsidRDefault="00EE3ACD" w:rsidP="00EE3ACD">
      <w:r w:rsidRPr="00A34F10">
        <w:br w:type="page"/>
      </w:r>
    </w:p>
    <w:p w14:paraId="3BDF2FBB" w14:textId="77777777" w:rsidR="00DC5685" w:rsidRPr="004659FA" w:rsidRDefault="00DC5685" w:rsidP="00DC5685">
      <w:pPr>
        <w:pStyle w:val="RepStandard"/>
        <w:keepNext/>
        <w:keepLines/>
        <w:suppressAutoHyphens/>
        <w:rPr>
          <w:b/>
          <w:bCs/>
          <w:strike/>
          <w:color w:val="D9D9D9" w:themeColor="background1" w:themeShade="D9"/>
          <w:u w:val="single"/>
        </w:rPr>
      </w:pPr>
      <w:r w:rsidRPr="004659FA">
        <w:rPr>
          <w:b/>
          <w:bCs/>
          <w:strike/>
          <w:color w:val="D9D9D9" w:themeColor="background1" w:themeShade="D9"/>
          <w:u w:val="single"/>
        </w:rPr>
        <w:lastRenderedPageBreak/>
        <w:t>Formulation BAS 743 03 F:</w:t>
      </w:r>
    </w:p>
    <w:p w14:paraId="7C36EF06" w14:textId="1DAB300E" w:rsidR="00DC5685" w:rsidRPr="004659FA" w:rsidRDefault="00DC5685" w:rsidP="00DC5685">
      <w:pPr>
        <w:keepNext/>
        <w:keepLines/>
        <w:tabs>
          <w:tab w:val="left" w:pos="1985"/>
        </w:tabs>
        <w:spacing w:before="200" w:after="120"/>
        <w:ind w:left="1985" w:hanging="1985"/>
        <w:rPr>
          <w:b/>
          <w:bCs/>
          <w:strike/>
          <w:color w:val="D9D9D9" w:themeColor="background1" w:themeShade="D9"/>
          <w:lang w:val="en-GB"/>
        </w:rPr>
      </w:pPr>
      <w:r w:rsidRPr="004659FA">
        <w:rPr>
          <w:b/>
          <w:bCs/>
          <w:strike/>
          <w:color w:val="D9D9D9" w:themeColor="background1" w:themeShade="D9"/>
          <w:lang w:val="en-GB"/>
        </w:rPr>
        <w:t xml:space="preserve">Table </w:t>
      </w:r>
      <w:r w:rsidRPr="004659FA">
        <w:rPr>
          <w:b/>
          <w:bCs/>
          <w:strike/>
          <w:color w:val="D9D9D9" w:themeColor="background1" w:themeShade="D9"/>
          <w:lang w:val="en-GB"/>
        </w:rPr>
        <w:fldChar w:fldCharType="begin"/>
      </w:r>
      <w:r w:rsidRPr="004659FA">
        <w:rPr>
          <w:b/>
          <w:bCs/>
          <w:strike/>
          <w:color w:val="D9D9D9" w:themeColor="background1" w:themeShade="D9"/>
          <w:lang w:val="en-GB"/>
        </w:rPr>
        <w:instrText xml:space="preserve"> STYLEREF 2 \s </w:instrText>
      </w:r>
      <w:r w:rsidRPr="004659FA">
        <w:rPr>
          <w:b/>
          <w:bCs/>
          <w:strike/>
          <w:color w:val="D9D9D9" w:themeColor="background1" w:themeShade="D9"/>
          <w:lang w:val="en-GB"/>
        </w:rPr>
        <w:fldChar w:fldCharType="separate"/>
      </w:r>
      <w:r w:rsidR="006F0F3B" w:rsidRPr="004659FA">
        <w:rPr>
          <w:b/>
          <w:bCs/>
          <w:strike/>
          <w:noProof/>
          <w:color w:val="D9D9D9" w:themeColor="background1" w:themeShade="D9"/>
          <w:lang w:val="en-GB"/>
        </w:rPr>
        <w:t>9.3</w:t>
      </w:r>
      <w:r w:rsidRPr="004659FA">
        <w:rPr>
          <w:b/>
          <w:bCs/>
          <w:strike/>
          <w:color w:val="D9D9D9" w:themeColor="background1" w:themeShade="D9"/>
          <w:lang w:val="en-GB"/>
        </w:rPr>
        <w:fldChar w:fldCharType="end"/>
      </w:r>
      <w:r w:rsidRPr="004659FA">
        <w:rPr>
          <w:b/>
          <w:bCs/>
          <w:strike/>
          <w:color w:val="D9D9D9" w:themeColor="background1" w:themeShade="D9"/>
          <w:lang w:val="en-GB"/>
        </w:rPr>
        <w:noBreakHyphen/>
      </w:r>
      <w:r w:rsidR="00647B55" w:rsidRPr="004659FA">
        <w:rPr>
          <w:b/>
          <w:bCs/>
          <w:strike/>
          <w:color w:val="D9D9D9" w:themeColor="background1" w:themeShade="D9"/>
          <w:highlight w:val="green"/>
          <w:lang w:val="en-GB"/>
        </w:rPr>
        <w:t>18</w:t>
      </w:r>
      <w:r w:rsidRPr="004659FA">
        <w:rPr>
          <w:b/>
          <w:bCs/>
          <w:strike/>
          <w:color w:val="D9D9D9" w:themeColor="background1" w:themeShade="D9"/>
          <w:lang w:val="en-GB"/>
        </w:rPr>
        <w:t>:</w:t>
      </w:r>
      <w:r w:rsidRPr="004659FA">
        <w:rPr>
          <w:b/>
          <w:bCs/>
          <w:strike/>
          <w:color w:val="D9D9D9" w:themeColor="background1" w:themeShade="D9"/>
          <w:lang w:val="en-GB"/>
        </w:rPr>
        <w:tab/>
        <w:t>Higher-tier assessment of the acute risk for mammals due to the use of BAS 743 03 F – refined parameters (*) are further described and justified in the text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057"/>
        <w:gridCol w:w="1872"/>
        <w:gridCol w:w="790"/>
        <w:gridCol w:w="1214"/>
        <w:gridCol w:w="858"/>
        <w:gridCol w:w="588"/>
        <w:gridCol w:w="1269"/>
        <w:gridCol w:w="693"/>
      </w:tblGrid>
      <w:tr w:rsidR="004659FA" w:rsidRPr="004659FA" w14:paraId="554D2878" w14:textId="77777777" w:rsidTr="002C69A0">
        <w:trPr>
          <w:jc w:val="center"/>
        </w:trPr>
        <w:tc>
          <w:tcPr>
            <w:tcW w:w="1101" w:type="pct"/>
            <w:shd w:val="clear" w:color="auto" w:fill="auto"/>
            <w:vAlign w:val="center"/>
          </w:tcPr>
          <w:p w14:paraId="627CB98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Active substance/product</w:t>
            </w:r>
          </w:p>
        </w:tc>
        <w:tc>
          <w:tcPr>
            <w:tcW w:w="3899" w:type="pct"/>
            <w:gridSpan w:val="7"/>
            <w:vAlign w:val="center"/>
          </w:tcPr>
          <w:p w14:paraId="65E67616" w14:textId="5DB6033A"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BAS 743 03 F</w:t>
            </w:r>
          </w:p>
        </w:tc>
      </w:tr>
      <w:tr w:rsidR="004659FA" w:rsidRPr="004659FA" w14:paraId="1D00E9EA" w14:textId="77777777" w:rsidTr="002C69A0">
        <w:trPr>
          <w:jc w:val="center"/>
        </w:trPr>
        <w:tc>
          <w:tcPr>
            <w:tcW w:w="1101" w:type="pct"/>
            <w:shd w:val="clear" w:color="auto" w:fill="auto"/>
            <w:vAlign w:val="center"/>
          </w:tcPr>
          <w:p w14:paraId="0C1674D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Application rate [kg/ha]</w:t>
            </w:r>
          </w:p>
        </w:tc>
        <w:tc>
          <w:tcPr>
            <w:tcW w:w="3899" w:type="pct"/>
            <w:gridSpan w:val="7"/>
            <w:vAlign w:val="center"/>
          </w:tcPr>
          <w:p w14:paraId="548C14A5" w14:textId="55451D53"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rPr>
              <w:t>2 × ∑ 0. 240 + 0.902</w:t>
            </w:r>
          </w:p>
        </w:tc>
      </w:tr>
      <w:tr w:rsidR="004659FA" w:rsidRPr="004659FA" w14:paraId="67C18393" w14:textId="77777777" w:rsidTr="002C69A0">
        <w:trPr>
          <w:jc w:val="center"/>
        </w:trPr>
        <w:tc>
          <w:tcPr>
            <w:tcW w:w="1101" w:type="pct"/>
            <w:shd w:val="clear" w:color="auto" w:fill="auto"/>
            <w:vAlign w:val="center"/>
          </w:tcPr>
          <w:p w14:paraId="471A860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Acute toxicity [mg/kg bw]</w:t>
            </w:r>
          </w:p>
        </w:tc>
        <w:tc>
          <w:tcPr>
            <w:tcW w:w="3899" w:type="pct"/>
            <w:gridSpan w:val="7"/>
            <w:vAlign w:val="center"/>
          </w:tcPr>
          <w:p w14:paraId="5F94BA72" w14:textId="33CA859D"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 xml:space="preserve">&gt; </w:t>
            </w:r>
            <w:r w:rsidR="00647B55" w:rsidRPr="004659FA">
              <w:rPr>
                <w:strike/>
                <w:color w:val="D9D9D9" w:themeColor="background1" w:themeShade="D9"/>
                <w:sz w:val="20"/>
                <w:szCs w:val="20"/>
                <w:lang w:val="en-GB"/>
              </w:rPr>
              <w:t>1208</w:t>
            </w:r>
            <w:r w:rsidR="00647B55" w:rsidRPr="004659FA">
              <w:rPr>
                <w:strike/>
                <w:color w:val="D9D9D9" w:themeColor="background1" w:themeShade="D9"/>
                <w:sz w:val="20"/>
                <w:szCs w:val="20"/>
                <w:highlight w:val="green"/>
                <w:lang w:val="en-GB"/>
              </w:rPr>
              <w:t>.3</w:t>
            </w:r>
            <w:r w:rsidRPr="004659FA">
              <w:rPr>
                <w:strike/>
                <w:color w:val="D9D9D9" w:themeColor="background1" w:themeShade="D9"/>
                <w:sz w:val="20"/>
                <w:lang w:val="en-GB"/>
              </w:rPr>
              <w:t xml:space="preserve"> (based on </w:t>
            </w:r>
            <w:r w:rsidRPr="004659FA">
              <w:rPr>
                <w:strike/>
                <w:color w:val="D9D9D9" w:themeColor="background1" w:themeShade="D9"/>
                <w:sz w:val="20"/>
                <w:highlight w:val="green"/>
                <w:lang w:val="en-GB"/>
              </w:rPr>
              <w:t>measured LD</w:t>
            </w:r>
            <w:r w:rsidRPr="004659FA">
              <w:rPr>
                <w:strike/>
                <w:color w:val="D9D9D9" w:themeColor="background1" w:themeShade="D9"/>
                <w:sz w:val="20"/>
                <w:highlight w:val="green"/>
                <w:vertAlign w:val="subscript"/>
                <w:lang w:val="en-GB"/>
              </w:rPr>
              <w:t>50</w:t>
            </w:r>
            <w:r w:rsidRPr="004659FA">
              <w:rPr>
                <w:strike/>
                <w:color w:val="D9D9D9" w:themeColor="background1" w:themeShade="D9"/>
                <w:sz w:val="20"/>
                <w:lang w:val="en-GB"/>
              </w:rPr>
              <w:t>)</w:t>
            </w:r>
          </w:p>
        </w:tc>
      </w:tr>
      <w:tr w:rsidR="004659FA" w:rsidRPr="004659FA" w14:paraId="04C04029" w14:textId="77777777" w:rsidTr="002C69A0">
        <w:trPr>
          <w:jc w:val="center"/>
        </w:trPr>
        <w:tc>
          <w:tcPr>
            <w:tcW w:w="1101" w:type="pct"/>
            <w:shd w:val="clear" w:color="auto" w:fill="auto"/>
            <w:vAlign w:val="center"/>
          </w:tcPr>
          <w:p w14:paraId="05E1884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TER criterion</w:t>
            </w:r>
          </w:p>
        </w:tc>
        <w:tc>
          <w:tcPr>
            <w:tcW w:w="3899" w:type="pct"/>
            <w:gridSpan w:val="7"/>
            <w:vAlign w:val="center"/>
          </w:tcPr>
          <w:p w14:paraId="3835D885" w14:textId="2982DB9D"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10</w:t>
            </w:r>
          </w:p>
        </w:tc>
      </w:tr>
      <w:tr w:rsidR="004659FA" w:rsidRPr="004659FA" w14:paraId="25FC7448" w14:textId="77777777" w:rsidTr="002C69A0">
        <w:trPr>
          <w:jc w:val="center"/>
        </w:trPr>
        <w:tc>
          <w:tcPr>
            <w:tcW w:w="5000" w:type="pct"/>
            <w:gridSpan w:val="8"/>
            <w:vAlign w:val="center"/>
          </w:tcPr>
          <w:p w14:paraId="5E6A1034" w14:textId="742C6BE6"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strike/>
                <w:color w:val="D9D9D9" w:themeColor="background1" w:themeShade="D9"/>
                <w:sz w:val="20"/>
                <w:szCs w:val="20"/>
                <w:lang w:val="en-GB"/>
              </w:rPr>
              <w:t xml:space="preserve">Bulbs and onion like crops (2 x </w:t>
            </w:r>
            <w:r w:rsidRPr="004659FA">
              <w:rPr>
                <w:b/>
                <w:bCs/>
                <w:strike/>
                <w:color w:val="D9D9D9" w:themeColor="background1" w:themeShade="D9"/>
                <w:sz w:val="20"/>
                <w:szCs w:val="20"/>
              </w:rPr>
              <w:t xml:space="preserve">(∑ 0.240 + 0.902) </w:t>
            </w:r>
            <w:r w:rsidRPr="004659FA">
              <w:rPr>
                <w:b/>
                <w:strike/>
                <w:color w:val="D9D9D9" w:themeColor="background1" w:themeShade="D9"/>
                <w:sz w:val="20"/>
                <w:szCs w:val="20"/>
                <w:lang w:val="en-GB"/>
              </w:rPr>
              <w:t>kg a.s./ha, BBCH 14 - 89)</w:t>
            </w:r>
          </w:p>
        </w:tc>
      </w:tr>
      <w:tr w:rsidR="004659FA" w:rsidRPr="004659FA" w14:paraId="24D37672" w14:textId="77777777" w:rsidTr="002C69A0">
        <w:trPr>
          <w:jc w:val="center"/>
        </w:trPr>
        <w:tc>
          <w:tcPr>
            <w:tcW w:w="1101" w:type="pct"/>
            <w:shd w:val="clear" w:color="auto" w:fill="auto"/>
            <w:vAlign w:val="center"/>
          </w:tcPr>
          <w:p w14:paraId="6105BC61"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Crop scenario</w:t>
            </w:r>
          </w:p>
          <w:p w14:paraId="3418C75B"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Growth stage</w:t>
            </w:r>
          </w:p>
        </w:tc>
        <w:tc>
          <w:tcPr>
            <w:tcW w:w="1002" w:type="pct"/>
            <w:shd w:val="clear" w:color="auto" w:fill="auto"/>
            <w:vAlign w:val="center"/>
          </w:tcPr>
          <w:p w14:paraId="35A4BA09"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Generic focal species</w:t>
            </w:r>
          </w:p>
        </w:tc>
        <w:tc>
          <w:tcPr>
            <w:tcW w:w="423" w:type="pct"/>
            <w:vAlign w:val="center"/>
          </w:tcPr>
          <w:p w14:paraId="78CC1736" w14:textId="4511CF9A"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55625945" w14:textId="5EC2F8B5"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0B81CC28" w14:textId="2C446662"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0D81C8B1"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MAF</w:t>
            </w:r>
            <w:r w:rsidRPr="004659FA">
              <w:rPr>
                <w:b/>
                <w:bCs/>
                <w:strike/>
                <w:color w:val="D9D9D9" w:themeColor="background1" w:themeShade="D9"/>
                <w:sz w:val="20"/>
                <w:szCs w:val="28"/>
                <w:vertAlign w:val="subscript"/>
                <w:lang w:val="en-GB" w:eastAsia="en-GB"/>
              </w:rPr>
              <w:t>90</w:t>
            </w:r>
          </w:p>
        </w:tc>
        <w:tc>
          <w:tcPr>
            <w:tcW w:w="315" w:type="pct"/>
            <w:vAlign w:val="center"/>
          </w:tcPr>
          <w:p w14:paraId="46FCDD95"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DF</w:t>
            </w:r>
          </w:p>
        </w:tc>
        <w:tc>
          <w:tcPr>
            <w:tcW w:w="679" w:type="pct"/>
            <w:tcBorders>
              <w:bottom w:val="single" w:sz="6" w:space="0" w:color="auto"/>
            </w:tcBorders>
            <w:shd w:val="clear" w:color="auto" w:fill="auto"/>
            <w:vAlign w:val="center"/>
          </w:tcPr>
          <w:p w14:paraId="6DCD683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DDD</w:t>
            </w:r>
            <w:r w:rsidRPr="004659FA">
              <w:rPr>
                <w:b/>
                <w:bCs/>
                <w:strike/>
                <w:color w:val="D9D9D9" w:themeColor="background1" w:themeShade="D9"/>
                <w:sz w:val="20"/>
                <w:szCs w:val="28"/>
                <w:vertAlign w:val="subscript"/>
                <w:lang w:val="de-DE" w:eastAsia="en-GB"/>
              </w:rPr>
              <w:t>90</w:t>
            </w:r>
          </w:p>
          <w:p w14:paraId="7C23933D"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[mg/kg bw/d]</w:t>
            </w:r>
          </w:p>
        </w:tc>
        <w:tc>
          <w:tcPr>
            <w:tcW w:w="371" w:type="pct"/>
            <w:tcBorders>
              <w:bottom w:val="single" w:sz="6" w:space="0" w:color="auto"/>
            </w:tcBorders>
            <w:shd w:val="clear" w:color="auto" w:fill="auto"/>
            <w:vAlign w:val="center"/>
          </w:tcPr>
          <w:p w14:paraId="7BD4913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TER</w:t>
            </w:r>
            <w:r w:rsidRPr="004659FA">
              <w:rPr>
                <w:b/>
                <w:bCs/>
                <w:strike/>
                <w:color w:val="D9D9D9" w:themeColor="background1" w:themeShade="D9"/>
                <w:sz w:val="20"/>
                <w:szCs w:val="28"/>
                <w:vertAlign w:val="subscript"/>
                <w:lang w:val="en-GB" w:eastAsia="en-GB"/>
              </w:rPr>
              <w:t>A</w:t>
            </w:r>
          </w:p>
        </w:tc>
      </w:tr>
      <w:tr w:rsidR="004659FA" w:rsidRPr="004659FA" w14:paraId="666A5042" w14:textId="77777777" w:rsidTr="002C69A0">
        <w:trPr>
          <w:jc w:val="center"/>
        </w:trPr>
        <w:tc>
          <w:tcPr>
            <w:tcW w:w="1101" w:type="pct"/>
            <w:shd w:val="clear" w:color="auto" w:fill="auto"/>
            <w:vAlign w:val="center"/>
          </w:tcPr>
          <w:p w14:paraId="5F73C54F"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Onions BBCH&gt; 40</w:t>
            </w:r>
          </w:p>
        </w:tc>
        <w:tc>
          <w:tcPr>
            <w:tcW w:w="1002" w:type="pct"/>
            <w:shd w:val="clear" w:color="auto" w:fill="auto"/>
            <w:vAlign w:val="center"/>
          </w:tcPr>
          <w:p w14:paraId="776555FE"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Small herbivorous mammal “vole”</w:t>
            </w:r>
          </w:p>
        </w:tc>
        <w:tc>
          <w:tcPr>
            <w:tcW w:w="423" w:type="pct"/>
            <w:vAlign w:val="center"/>
          </w:tcPr>
          <w:p w14:paraId="3E149B18" w14:textId="072231DA"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05A0D981" w14:textId="48A35C31"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06C4D075" w14:textId="298E7C12"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1.48</w:t>
            </w:r>
          </w:p>
        </w:tc>
        <w:tc>
          <w:tcPr>
            <w:tcW w:w="315" w:type="pct"/>
            <w:tcBorders>
              <w:right w:val="single" w:sz="6" w:space="0" w:color="auto"/>
            </w:tcBorders>
            <w:vAlign w:val="center"/>
          </w:tcPr>
          <w:p w14:paraId="477DBA85"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0.6*</w:t>
            </w:r>
          </w:p>
        </w:tc>
        <w:tc>
          <w:tcPr>
            <w:tcW w:w="679" w:type="pct"/>
            <w:tcBorders>
              <w:top w:val="single" w:sz="6" w:space="0" w:color="auto"/>
              <w:left w:val="nil"/>
              <w:bottom w:val="single" w:sz="6" w:space="0" w:color="auto"/>
              <w:right w:val="nil"/>
            </w:tcBorders>
            <w:shd w:val="clear" w:color="auto" w:fill="auto"/>
            <w:vAlign w:val="center"/>
          </w:tcPr>
          <w:p w14:paraId="3D696BFD" w14:textId="5848043F"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138.36</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1060A36D" w14:textId="29BBF9FA" w:rsidR="002C69A0" w:rsidRPr="004659FA" w:rsidRDefault="000D5FB7" w:rsidP="002C69A0">
            <w:pPr>
              <w:spacing w:before="60" w:after="60"/>
              <w:ind w:left="57" w:right="57"/>
              <w:rPr>
                <w:b/>
                <w:bCs/>
                <w:strike/>
                <w:color w:val="D9D9D9" w:themeColor="background1" w:themeShade="D9"/>
                <w:sz w:val="20"/>
                <w:szCs w:val="20"/>
                <w:lang w:val="en-GB"/>
              </w:rPr>
            </w:pPr>
            <w:r w:rsidRPr="004659FA">
              <w:rPr>
                <w:b/>
                <w:bCs/>
                <w:strike/>
                <w:color w:val="D9D9D9" w:themeColor="background1" w:themeShade="D9"/>
                <w:sz w:val="20"/>
                <w:szCs w:val="20"/>
                <w:highlight w:val="green"/>
                <w:lang w:val="en-GB"/>
              </w:rPr>
              <w:t>8.7</w:t>
            </w:r>
          </w:p>
        </w:tc>
      </w:tr>
      <w:tr w:rsidR="004659FA" w:rsidRPr="004659FA" w14:paraId="0BB0C904" w14:textId="77777777" w:rsidTr="002C69A0">
        <w:trPr>
          <w:jc w:val="center"/>
        </w:trPr>
        <w:tc>
          <w:tcPr>
            <w:tcW w:w="5000" w:type="pct"/>
            <w:gridSpan w:val="8"/>
            <w:tcBorders>
              <w:right w:val="single" w:sz="6" w:space="0" w:color="auto"/>
            </w:tcBorders>
            <w:vAlign w:val="center"/>
          </w:tcPr>
          <w:p w14:paraId="493B86D7" w14:textId="6F497771" w:rsidR="002C69A0" w:rsidRPr="004659FA" w:rsidRDefault="002C69A0" w:rsidP="002C69A0">
            <w:pPr>
              <w:spacing w:before="60" w:after="60"/>
              <w:ind w:left="57" w:right="57"/>
              <w:rPr>
                <w:strike/>
                <w:color w:val="D9D9D9" w:themeColor="background1" w:themeShade="D9"/>
                <w:sz w:val="20"/>
                <w:szCs w:val="20"/>
                <w:lang w:val="en-GB"/>
              </w:rPr>
            </w:pPr>
            <w:r w:rsidRPr="004659FA">
              <w:rPr>
                <w:b/>
                <w:strike/>
                <w:color w:val="D9D9D9" w:themeColor="background1" w:themeShade="D9"/>
                <w:sz w:val="20"/>
                <w:szCs w:val="20"/>
                <w:lang w:val="en-GB"/>
              </w:rPr>
              <w:t>Fruiting vegetables (</w:t>
            </w:r>
            <w:r w:rsidRPr="004659FA">
              <w:rPr>
                <w:b/>
                <w:bCs/>
                <w:strike/>
                <w:color w:val="D9D9D9" w:themeColor="background1" w:themeShade="D9"/>
                <w:sz w:val="20"/>
                <w:szCs w:val="20"/>
              </w:rPr>
              <w:t>2 × (∑ 0.240 + 0.902)</w:t>
            </w:r>
            <w:r w:rsidRPr="004659FA">
              <w:rPr>
                <w:b/>
                <w:bCs/>
                <w:strike/>
                <w:color w:val="D9D9D9" w:themeColor="background1" w:themeShade="D9"/>
                <w:sz w:val="20"/>
                <w:szCs w:val="20"/>
                <w:lang w:val="en-GB"/>
              </w:rPr>
              <w:t>,</w:t>
            </w:r>
            <w:r w:rsidRPr="004659FA">
              <w:rPr>
                <w:b/>
                <w:strike/>
                <w:color w:val="D9D9D9" w:themeColor="background1" w:themeShade="D9"/>
                <w:sz w:val="20"/>
                <w:szCs w:val="20"/>
                <w:lang w:val="en-GB"/>
              </w:rPr>
              <w:t xml:space="preserve"> BBCH </w:t>
            </w:r>
            <w:r w:rsidRPr="004659FA">
              <w:rPr>
                <w:b/>
                <w:strike/>
                <w:color w:val="D9D9D9" w:themeColor="background1" w:themeShade="D9"/>
                <w:sz w:val="20"/>
                <w:szCs w:val="20"/>
                <w:highlight w:val="green"/>
                <w:lang w:val="en-GB"/>
              </w:rPr>
              <w:t>14</w:t>
            </w:r>
            <w:r w:rsidR="00ED7B13" w:rsidRPr="004659FA">
              <w:rPr>
                <w:b/>
                <w:strike/>
                <w:color w:val="D9D9D9" w:themeColor="background1" w:themeShade="D9"/>
                <w:sz w:val="20"/>
                <w:szCs w:val="20"/>
                <w:highlight w:val="green"/>
                <w:lang w:val="en-GB"/>
              </w:rPr>
              <w:t xml:space="preserve"> 21</w:t>
            </w:r>
            <w:r w:rsidRPr="004659FA">
              <w:rPr>
                <w:b/>
                <w:strike/>
                <w:color w:val="D9D9D9" w:themeColor="background1" w:themeShade="D9"/>
                <w:sz w:val="20"/>
                <w:szCs w:val="20"/>
                <w:lang w:val="en-GB"/>
              </w:rPr>
              <w:t>-89)</w:t>
            </w:r>
          </w:p>
        </w:tc>
      </w:tr>
      <w:tr w:rsidR="004659FA" w:rsidRPr="004659FA" w14:paraId="6B49CCE9" w14:textId="77777777" w:rsidTr="002C69A0">
        <w:trPr>
          <w:jc w:val="center"/>
        </w:trPr>
        <w:tc>
          <w:tcPr>
            <w:tcW w:w="1101" w:type="pct"/>
            <w:shd w:val="clear" w:color="auto" w:fill="auto"/>
            <w:vAlign w:val="center"/>
          </w:tcPr>
          <w:p w14:paraId="181C48F1"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Crop scenario</w:t>
            </w:r>
          </w:p>
          <w:p w14:paraId="1026F8A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Growth stage</w:t>
            </w:r>
          </w:p>
        </w:tc>
        <w:tc>
          <w:tcPr>
            <w:tcW w:w="1002" w:type="pct"/>
            <w:shd w:val="clear" w:color="auto" w:fill="auto"/>
            <w:vAlign w:val="center"/>
          </w:tcPr>
          <w:p w14:paraId="421DF3DD"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Generic focal species</w:t>
            </w:r>
          </w:p>
        </w:tc>
        <w:tc>
          <w:tcPr>
            <w:tcW w:w="423" w:type="pct"/>
            <w:vAlign w:val="center"/>
          </w:tcPr>
          <w:p w14:paraId="1FB96332" w14:textId="1A8EFEED"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1311F14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12212CEB" w14:textId="32617214"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1DC4FFBA"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MAF</w:t>
            </w:r>
            <w:r w:rsidRPr="004659FA">
              <w:rPr>
                <w:b/>
                <w:bCs/>
                <w:strike/>
                <w:color w:val="D9D9D9" w:themeColor="background1" w:themeShade="D9"/>
                <w:sz w:val="20"/>
                <w:szCs w:val="28"/>
                <w:vertAlign w:val="subscript"/>
                <w:lang w:val="en-GB" w:eastAsia="en-GB"/>
              </w:rPr>
              <w:t>90</w:t>
            </w:r>
          </w:p>
        </w:tc>
        <w:tc>
          <w:tcPr>
            <w:tcW w:w="315" w:type="pct"/>
            <w:vAlign w:val="center"/>
          </w:tcPr>
          <w:p w14:paraId="29933992"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DF</w:t>
            </w:r>
          </w:p>
        </w:tc>
        <w:tc>
          <w:tcPr>
            <w:tcW w:w="679" w:type="pct"/>
            <w:tcBorders>
              <w:bottom w:val="single" w:sz="6" w:space="0" w:color="auto"/>
            </w:tcBorders>
            <w:shd w:val="clear" w:color="auto" w:fill="auto"/>
            <w:vAlign w:val="center"/>
          </w:tcPr>
          <w:p w14:paraId="101455F5"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DDD</w:t>
            </w:r>
            <w:r w:rsidRPr="004659FA">
              <w:rPr>
                <w:b/>
                <w:bCs/>
                <w:strike/>
                <w:color w:val="D9D9D9" w:themeColor="background1" w:themeShade="D9"/>
                <w:sz w:val="20"/>
                <w:szCs w:val="28"/>
                <w:vertAlign w:val="subscript"/>
                <w:lang w:val="de-DE" w:eastAsia="en-GB"/>
              </w:rPr>
              <w:t>90</w:t>
            </w:r>
          </w:p>
          <w:p w14:paraId="77324927"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[mg/kg bw/d]</w:t>
            </w:r>
          </w:p>
        </w:tc>
        <w:tc>
          <w:tcPr>
            <w:tcW w:w="371" w:type="pct"/>
            <w:tcBorders>
              <w:bottom w:val="single" w:sz="6" w:space="0" w:color="auto"/>
            </w:tcBorders>
            <w:shd w:val="clear" w:color="auto" w:fill="auto"/>
            <w:vAlign w:val="center"/>
          </w:tcPr>
          <w:p w14:paraId="5F2D635D"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TER</w:t>
            </w:r>
            <w:r w:rsidRPr="004659FA">
              <w:rPr>
                <w:b/>
                <w:bCs/>
                <w:strike/>
                <w:color w:val="D9D9D9" w:themeColor="background1" w:themeShade="D9"/>
                <w:sz w:val="20"/>
                <w:szCs w:val="28"/>
                <w:vertAlign w:val="subscript"/>
                <w:lang w:val="en-GB" w:eastAsia="en-GB"/>
              </w:rPr>
              <w:t>A</w:t>
            </w:r>
          </w:p>
        </w:tc>
      </w:tr>
      <w:tr w:rsidR="004659FA" w:rsidRPr="004659FA" w14:paraId="7FC4CE73" w14:textId="77777777" w:rsidTr="002C69A0">
        <w:trPr>
          <w:jc w:val="center"/>
        </w:trPr>
        <w:tc>
          <w:tcPr>
            <w:tcW w:w="1101" w:type="pct"/>
            <w:shd w:val="clear" w:color="auto" w:fill="auto"/>
            <w:vAlign w:val="center"/>
          </w:tcPr>
          <w:p w14:paraId="0946F697"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rPr>
              <w:t>Fruiting vegetables BBCH 10-49</w:t>
            </w:r>
          </w:p>
        </w:tc>
        <w:tc>
          <w:tcPr>
            <w:tcW w:w="1002" w:type="pct"/>
            <w:shd w:val="clear" w:color="auto" w:fill="auto"/>
            <w:vAlign w:val="center"/>
          </w:tcPr>
          <w:p w14:paraId="026EC0B9"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Small herbivorous mammal “vole”</w:t>
            </w:r>
          </w:p>
        </w:tc>
        <w:tc>
          <w:tcPr>
            <w:tcW w:w="423" w:type="pct"/>
            <w:vAlign w:val="center"/>
          </w:tcPr>
          <w:p w14:paraId="15EAFBCB" w14:textId="5F6241D4"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6DE41FB8" w14:textId="0AFE23EF"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63A1BD9F"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1.41</w:t>
            </w:r>
          </w:p>
        </w:tc>
        <w:tc>
          <w:tcPr>
            <w:tcW w:w="315" w:type="pct"/>
            <w:tcBorders>
              <w:right w:val="single" w:sz="6" w:space="0" w:color="auto"/>
            </w:tcBorders>
            <w:vAlign w:val="center"/>
          </w:tcPr>
          <w:p w14:paraId="4EF45D32"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0.5*</w:t>
            </w:r>
          </w:p>
        </w:tc>
        <w:tc>
          <w:tcPr>
            <w:tcW w:w="679" w:type="pct"/>
            <w:tcBorders>
              <w:top w:val="single" w:sz="6" w:space="0" w:color="auto"/>
              <w:left w:val="nil"/>
              <w:bottom w:val="single" w:sz="6" w:space="0" w:color="auto"/>
              <w:right w:val="nil"/>
            </w:tcBorders>
            <w:shd w:val="clear" w:color="auto" w:fill="auto"/>
            <w:vAlign w:val="center"/>
          </w:tcPr>
          <w:p w14:paraId="0FA8183D"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109.8</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3EB6A42B" w14:textId="3FBC381A"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w:t>
            </w:r>
            <w:r w:rsidR="001457F5" w:rsidRPr="004659FA">
              <w:rPr>
                <w:strike/>
                <w:color w:val="D9D9D9" w:themeColor="background1" w:themeShade="D9"/>
                <w:sz w:val="20"/>
                <w:szCs w:val="20"/>
                <w:highlight w:val="green"/>
                <w:lang w:val="en-GB"/>
              </w:rPr>
              <w:t>1</w:t>
            </w:r>
            <w:r w:rsidRPr="004659FA">
              <w:rPr>
                <w:strike/>
                <w:color w:val="D9D9D9" w:themeColor="background1" w:themeShade="D9"/>
                <w:sz w:val="20"/>
                <w:szCs w:val="20"/>
                <w:highlight w:val="green"/>
                <w:lang w:val="en-GB"/>
              </w:rPr>
              <w:t>.0</w:t>
            </w:r>
          </w:p>
        </w:tc>
      </w:tr>
      <w:tr w:rsidR="004659FA" w:rsidRPr="004659FA" w14:paraId="3EFC396B" w14:textId="77777777" w:rsidTr="002C69A0">
        <w:trPr>
          <w:jc w:val="center"/>
        </w:trPr>
        <w:tc>
          <w:tcPr>
            <w:tcW w:w="5000" w:type="pct"/>
            <w:gridSpan w:val="8"/>
            <w:tcBorders>
              <w:right w:val="single" w:sz="6" w:space="0" w:color="auto"/>
            </w:tcBorders>
            <w:vAlign w:val="center"/>
          </w:tcPr>
          <w:p w14:paraId="3C3100E6" w14:textId="72CA60E0" w:rsidR="002C69A0" w:rsidRPr="004659FA" w:rsidRDefault="002C69A0" w:rsidP="002C69A0">
            <w:pPr>
              <w:spacing w:before="60" w:after="60"/>
              <w:ind w:left="57" w:right="57"/>
              <w:rPr>
                <w:strike/>
                <w:color w:val="D9D9D9" w:themeColor="background1" w:themeShade="D9"/>
                <w:sz w:val="20"/>
                <w:szCs w:val="20"/>
                <w:lang w:val="en-GB"/>
              </w:rPr>
            </w:pPr>
            <w:r w:rsidRPr="004659FA">
              <w:rPr>
                <w:b/>
                <w:strike/>
                <w:color w:val="D9D9D9" w:themeColor="background1" w:themeShade="D9"/>
                <w:sz w:val="20"/>
                <w:szCs w:val="20"/>
                <w:lang w:val="en-GB"/>
              </w:rPr>
              <w:t>Ornamentals (</w:t>
            </w:r>
            <w:r w:rsidRPr="004659FA">
              <w:rPr>
                <w:b/>
                <w:bCs/>
                <w:strike/>
                <w:color w:val="D9D9D9" w:themeColor="background1" w:themeShade="D9"/>
                <w:sz w:val="20"/>
                <w:szCs w:val="20"/>
              </w:rPr>
              <w:t>2 × (∑ 0.240 + 0.902)</w:t>
            </w:r>
            <w:r w:rsidRPr="004659FA">
              <w:rPr>
                <w:b/>
                <w:bCs/>
                <w:strike/>
                <w:color w:val="D9D9D9" w:themeColor="background1" w:themeShade="D9"/>
                <w:sz w:val="20"/>
                <w:szCs w:val="20"/>
                <w:lang w:val="en-GB"/>
              </w:rPr>
              <w:t>,</w:t>
            </w:r>
            <w:r w:rsidRPr="004659FA">
              <w:rPr>
                <w:b/>
                <w:strike/>
                <w:color w:val="D9D9D9" w:themeColor="background1" w:themeShade="D9"/>
                <w:sz w:val="20"/>
                <w:szCs w:val="20"/>
                <w:lang w:val="en-GB"/>
              </w:rPr>
              <w:t xml:space="preserve"> BBCH 12-59)</w:t>
            </w:r>
          </w:p>
        </w:tc>
      </w:tr>
      <w:tr w:rsidR="004659FA" w:rsidRPr="004659FA" w14:paraId="00539740" w14:textId="77777777" w:rsidTr="002C69A0">
        <w:trPr>
          <w:jc w:val="center"/>
        </w:trPr>
        <w:tc>
          <w:tcPr>
            <w:tcW w:w="1101" w:type="pct"/>
            <w:shd w:val="clear" w:color="auto" w:fill="auto"/>
            <w:vAlign w:val="center"/>
          </w:tcPr>
          <w:p w14:paraId="6D338ABF"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Crop scenario</w:t>
            </w:r>
          </w:p>
          <w:p w14:paraId="6D5EA929"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Growth stage</w:t>
            </w:r>
          </w:p>
        </w:tc>
        <w:tc>
          <w:tcPr>
            <w:tcW w:w="1002" w:type="pct"/>
            <w:shd w:val="clear" w:color="auto" w:fill="auto"/>
            <w:vAlign w:val="center"/>
          </w:tcPr>
          <w:p w14:paraId="638C79C3"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Generic focal species</w:t>
            </w:r>
          </w:p>
        </w:tc>
        <w:tc>
          <w:tcPr>
            <w:tcW w:w="423" w:type="pct"/>
            <w:vAlign w:val="center"/>
          </w:tcPr>
          <w:p w14:paraId="7B752D12" w14:textId="642A87ED"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70C18CC6"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1F280F06" w14:textId="4C4288CE"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5ED52335"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MAF</w:t>
            </w:r>
            <w:r w:rsidRPr="004659FA">
              <w:rPr>
                <w:b/>
                <w:bCs/>
                <w:strike/>
                <w:color w:val="D9D9D9" w:themeColor="background1" w:themeShade="D9"/>
                <w:sz w:val="20"/>
                <w:szCs w:val="28"/>
                <w:vertAlign w:val="subscript"/>
                <w:lang w:val="en-GB" w:eastAsia="en-GB"/>
              </w:rPr>
              <w:t>90</w:t>
            </w:r>
          </w:p>
        </w:tc>
        <w:tc>
          <w:tcPr>
            <w:tcW w:w="315" w:type="pct"/>
            <w:vAlign w:val="center"/>
          </w:tcPr>
          <w:p w14:paraId="31B493C7"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DF</w:t>
            </w:r>
          </w:p>
        </w:tc>
        <w:tc>
          <w:tcPr>
            <w:tcW w:w="679" w:type="pct"/>
            <w:tcBorders>
              <w:bottom w:val="single" w:sz="6" w:space="0" w:color="auto"/>
            </w:tcBorders>
            <w:shd w:val="clear" w:color="auto" w:fill="auto"/>
            <w:vAlign w:val="center"/>
          </w:tcPr>
          <w:p w14:paraId="779605DE"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DDD</w:t>
            </w:r>
            <w:r w:rsidRPr="004659FA">
              <w:rPr>
                <w:b/>
                <w:bCs/>
                <w:strike/>
                <w:color w:val="D9D9D9" w:themeColor="background1" w:themeShade="D9"/>
                <w:sz w:val="20"/>
                <w:szCs w:val="28"/>
                <w:vertAlign w:val="subscript"/>
                <w:lang w:val="de-DE" w:eastAsia="en-GB"/>
              </w:rPr>
              <w:t>90</w:t>
            </w:r>
          </w:p>
          <w:p w14:paraId="516C07EA"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de-DE" w:eastAsia="en-GB"/>
              </w:rPr>
            </w:pPr>
            <w:r w:rsidRPr="004659FA">
              <w:rPr>
                <w:b/>
                <w:bCs/>
                <w:strike/>
                <w:color w:val="D9D9D9" w:themeColor="background1" w:themeShade="D9"/>
                <w:sz w:val="20"/>
                <w:szCs w:val="28"/>
                <w:lang w:val="de-DE" w:eastAsia="en-GB"/>
              </w:rPr>
              <w:t>[mg/kg bw/d]</w:t>
            </w:r>
          </w:p>
        </w:tc>
        <w:tc>
          <w:tcPr>
            <w:tcW w:w="371" w:type="pct"/>
            <w:tcBorders>
              <w:bottom w:val="single" w:sz="6" w:space="0" w:color="auto"/>
            </w:tcBorders>
            <w:shd w:val="clear" w:color="auto" w:fill="auto"/>
            <w:vAlign w:val="center"/>
          </w:tcPr>
          <w:p w14:paraId="387875FF"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lang w:val="en-GB" w:eastAsia="en-GB"/>
              </w:rPr>
            </w:pPr>
            <w:r w:rsidRPr="004659FA">
              <w:rPr>
                <w:b/>
                <w:bCs/>
                <w:strike/>
                <w:color w:val="D9D9D9" w:themeColor="background1" w:themeShade="D9"/>
                <w:sz w:val="20"/>
                <w:szCs w:val="28"/>
                <w:lang w:val="en-GB" w:eastAsia="en-GB"/>
              </w:rPr>
              <w:t>TER</w:t>
            </w:r>
            <w:r w:rsidRPr="004659FA">
              <w:rPr>
                <w:b/>
                <w:bCs/>
                <w:strike/>
                <w:color w:val="D9D9D9" w:themeColor="background1" w:themeShade="D9"/>
                <w:sz w:val="20"/>
                <w:szCs w:val="28"/>
                <w:vertAlign w:val="subscript"/>
                <w:lang w:val="en-GB" w:eastAsia="en-GB"/>
              </w:rPr>
              <w:t>A</w:t>
            </w:r>
          </w:p>
        </w:tc>
      </w:tr>
      <w:tr w:rsidR="004659FA" w:rsidRPr="004659FA" w14:paraId="1F657E9F" w14:textId="77777777" w:rsidTr="002C69A0">
        <w:trPr>
          <w:jc w:val="center"/>
        </w:trPr>
        <w:tc>
          <w:tcPr>
            <w:tcW w:w="1101" w:type="pct"/>
            <w:shd w:val="clear" w:color="auto" w:fill="auto"/>
            <w:vAlign w:val="center"/>
          </w:tcPr>
          <w:p w14:paraId="21DE1D09" w14:textId="77777777" w:rsidR="002C69A0" w:rsidRPr="004659FA" w:rsidRDefault="002C69A0" w:rsidP="002C69A0">
            <w:pPr>
              <w:spacing w:before="60" w:after="60"/>
              <w:ind w:left="57" w:right="57"/>
              <w:rPr>
                <w:strike/>
                <w:color w:val="D9D9D9" w:themeColor="background1" w:themeShade="D9"/>
                <w:sz w:val="20"/>
                <w:szCs w:val="20"/>
              </w:rPr>
            </w:pPr>
            <w:r w:rsidRPr="004659FA">
              <w:rPr>
                <w:strike/>
                <w:color w:val="D9D9D9" w:themeColor="background1" w:themeShade="D9"/>
                <w:sz w:val="20"/>
                <w:szCs w:val="20"/>
              </w:rPr>
              <w:t>Ornamentals BBCH 40-49</w:t>
            </w:r>
          </w:p>
        </w:tc>
        <w:tc>
          <w:tcPr>
            <w:tcW w:w="1002" w:type="pct"/>
            <w:shd w:val="clear" w:color="auto" w:fill="auto"/>
            <w:vAlign w:val="center"/>
          </w:tcPr>
          <w:p w14:paraId="610CB13E"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Small herbivorous mammal “vole”</w:t>
            </w:r>
          </w:p>
        </w:tc>
        <w:tc>
          <w:tcPr>
            <w:tcW w:w="423" w:type="pct"/>
            <w:vAlign w:val="center"/>
          </w:tcPr>
          <w:p w14:paraId="46999FC1" w14:textId="2F8730DC"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3EF890FC" w14:textId="3789461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60DED7E1"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1.41</w:t>
            </w:r>
          </w:p>
        </w:tc>
        <w:tc>
          <w:tcPr>
            <w:tcW w:w="315" w:type="pct"/>
            <w:tcBorders>
              <w:right w:val="single" w:sz="6" w:space="0" w:color="auto"/>
            </w:tcBorders>
            <w:vAlign w:val="center"/>
          </w:tcPr>
          <w:p w14:paraId="600CC5C0"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0.3*</w:t>
            </w:r>
          </w:p>
        </w:tc>
        <w:tc>
          <w:tcPr>
            <w:tcW w:w="679" w:type="pct"/>
            <w:tcBorders>
              <w:top w:val="single" w:sz="6" w:space="0" w:color="auto"/>
              <w:left w:val="nil"/>
              <w:bottom w:val="single" w:sz="6" w:space="0" w:color="auto"/>
              <w:right w:val="nil"/>
            </w:tcBorders>
            <w:shd w:val="clear" w:color="auto" w:fill="auto"/>
            <w:vAlign w:val="center"/>
          </w:tcPr>
          <w:p w14:paraId="650B4FFB" w14:textId="7777777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lang w:val="en-GB"/>
              </w:rPr>
              <w:t>34.93</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7E084C56" w14:textId="0C048C45"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w:t>
            </w:r>
            <w:r w:rsidR="001457F5" w:rsidRPr="004659FA">
              <w:rPr>
                <w:strike/>
                <w:color w:val="D9D9D9" w:themeColor="background1" w:themeShade="D9"/>
                <w:sz w:val="20"/>
                <w:szCs w:val="20"/>
                <w:highlight w:val="green"/>
                <w:lang w:val="en-GB"/>
              </w:rPr>
              <w:t>8</w:t>
            </w:r>
            <w:r w:rsidRPr="004659FA">
              <w:rPr>
                <w:strike/>
                <w:color w:val="D9D9D9" w:themeColor="background1" w:themeShade="D9"/>
                <w:sz w:val="20"/>
                <w:szCs w:val="20"/>
                <w:highlight w:val="green"/>
                <w:lang w:val="en-GB"/>
              </w:rPr>
              <w:t>.</w:t>
            </w:r>
            <w:r w:rsidR="001457F5" w:rsidRPr="004659FA">
              <w:rPr>
                <w:strike/>
                <w:color w:val="D9D9D9" w:themeColor="background1" w:themeShade="D9"/>
                <w:sz w:val="20"/>
                <w:szCs w:val="20"/>
                <w:highlight w:val="green"/>
                <w:lang w:val="en-GB"/>
              </w:rPr>
              <w:t>3</w:t>
            </w:r>
          </w:p>
        </w:tc>
      </w:tr>
      <w:tr w:rsidR="004659FA" w:rsidRPr="004659FA" w14:paraId="7EA43A95" w14:textId="77777777" w:rsidTr="002C69A0">
        <w:trPr>
          <w:jc w:val="center"/>
        </w:trPr>
        <w:tc>
          <w:tcPr>
            <w:tcW w:w="5000" w:type="pct"/>
            <w:gridSpan w:val="8"/>
            <w:tcBorders>
              <w:right w:val="single" w:sz="6" w:space="0" w:color="auto"/>
            </w:tcBorders>
            <w:vAlign w:val="center"/>
          </w:tcPr>
          <w:p w14:paraId="13B76B83" w14:textId="0E929984"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b/>
                <w:strike/>
                <w:color w:val="D9D9D9" w:themeColor="background1" w:themeShade="D9"/>
                <w:sz w:val="20"/>
                <w:szCs w:val="20"/>
                <w:highlight w:val="green"/>
                <w:lang w:val="en-GB"/>
              </w:rPr>
              <w:t>Ornamentals (</w:t>
            </w:r>
            <w:r w:rsidRPr="004659FA">
              <w:rPr>
                <w:b/>
                <w:strike/>
                <w:color w:val="D9D9D9" w:themeColor="background1" w:themeShade="D9"/>
                <w:sz w:val="20"/>
                <w:szCs w:val="20"/>
                <w:highlight w:val="green"/>
              </w:rPr>
              <w:t>1</w:t>
            </w:r>
            <w:r w:rsidRPr="004659FA">
              <w:rPr>
                <w:b/>
                <w:bCs/>
                <w:strike/>
                <w:color w:val="D9D9D9" w:themeColor="background1" w:themeShade="D9"/>
                <w:sz w:val="20"/>
                <w:szCs w:val="20"/>
                <w:highlight w:val="green"/>
              </w:rPr>
              <w:t xml:space="preserve"> × (∑ 0.240 + 0.902)</w:t>
            </w:r>
            <w:r w:rsidRPr="004659FA">
              <w:rPr>
                <w:b/>
                <w:bCs/>
                <w:strike/>
                <w:color w:val="D9D9D9" w:themeColor="background1" w:themeShade="D9"/>
                <w:sz w:val="20"/>
                <w:szCs w:val="20"/>
                <w:highlight w:val="green"/>
                <w:lang w:val="en-GB"/>
              </w:rPr>
              <w:t>,</w:t>
            </w:r>
            <w:r w:rsidRPr="004659FA">
              <w:rPr>
                <w:b/>
                <w:strike/>
                <w:color w:val="D9D9D9" w:themeColor="background1" w:themeShade="D9"/>
                <w:sz w:val="20"/>
                <w:szCs w:val="20"/>
                <w:highlight w:val="green"/>
                <w:lang w:val="en-GB"/>
              </w:rPr>
              <w:t xml:space="preserve"> BBCH 12-59)</w:t>
            </w:r>
          </w:p>
        </w:tc>
      </w:tr>
      <w:tr w:rsidR="004659FA" w:rsidRPr="004659FA" w14:paraId="6742853B" w14:textId="77777777" w:rsidTr="002C69A0">
        <w:trPr>
          <w:jc w:val="center"/>
        </w:trPr>
        <w:tc>
          <w:tcPr>
            <w:tcW w:w="1101" w:type="pct"/>
            <w:shd w:val="clear" w:color="auto" w:fill="auto"/>
            <w:vAlign w:val="center"/>
          </w:tcPr>
          <w:p w14:paraId="7D68569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Crop scenario</w:t>
            </w:r>
          </w:p>
          <w:p w14:paraId="26CEF7C9"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Growth stage</w:t>
            </w:r>
          </w:p>
        </w:tc>
        <w:tc>
          <w:tcPr>
            <w:tcW w:w="1002" w:type="pct"/>
            <w:shd w:val="clear" w:color="auto" w:fill="auto"/>
            <w:vAlign w:val="center"/>
          </w:tcPr>
          <w:p w14:paraId="6D04A98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Generic focal species</w:t>
            </w:r>
          </w:p>
        </w:tc>
        <w:tc>
          <w:tcPr>
            <w:tcW w:w="423" w:type="pct"/>
            <w:vAlign w:val="center"/>
          </w:tcPr>
          <w:p w14:paraId="4405C52D" w14:textId="7916FF9A"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22348A95"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66E82270" w14:textId="54B54481"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727E1BB2"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MAF</w:t>
            </w:r>
            <w:r w:rsidRPr="004659FA">
              <w:rPr>
                <w:b/>
                <w:bCs/>
                <w:strike/>
                <w:color w:val="D9D9D9" w:themeColor="background1" w:themeShade="D9"/>
                <w:sz w:val="20"/>
                <w:szCs w:val="28"/>
                <w:highlight w:val="green"/>
                <w:vertAlign w:val="subscript"/>
                <w:lang w:val="en-GB" w:eastAsia="en-GB"/>
              </w:rPr>
              <w:t>90</w:t>
            </w:r>
          </w:p>
        </w:tc>
        <w:tc>
          <w:tcPr>
            <w:tcW w:w="315" w:type="pct"/>
            <w:vAlign w:val="center"/>
          </w:tcPr>
          <w:p w14:paraId="6AF962EA"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DF</w:t>
            </w:r>
          </w:p>
        </w:tc>
        <w:tc>
          <w:tcPr>
            <w:tcW w:w="679" w:type="pct"/>
            <w:tcBorders>
              <w:bottom w:val="single" w:sz="6" w:space="0" w:color="auto"/>
            </w:tcBorders>
            <w:shd w:val="clear" w:color="auto" w:fill="auto"/>
            <w:vAlign w:val="center"/>
          </w:tcPr>
          <w:p w14:paraId="7C549088"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DDD</w:t>
            </w:r>
            <w:r w:rsidRPr="004659FA">
              <w:rPr>
                <w:b/>
                <w:bCs/>
                <w:strike/>
                <w:color w:val="D9D9D9" w:themeColor="background1" w:themeShade="D9"/>
                <w:sz w:val="20"/>
                <w:szCs w:val="28"/>
                <w:highlight w:val="green"/>
                <w:vertAlign w:val="subscript"/>
                <w:lang w:val="de-DE" w:eastAsia="en-GB"/>
              </w:rPr>
              <w:t>90</w:t>
            </w:r>
          </w:p>
          <w:p w14:paraId="5339B667"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[mg/kg bw/d]</w:t>
            </w:r>
          </w:p>
        </w:tc>
        <w:tc>
          <w:tcPr>
            <w:tcW w:w="371" w:type="pct"/>
            <w:tcBorders>
              <w:bottom w:val="single" w:sz="6" w:space="0" w:color="auto"/>
            </w:tcBorders>
            <w:shd w:val="clear" w:color="auto" w:fill="auto"/>
            <w:vAlign w:val="center"/>
          </w:tcPr>
          <w:p w14:paraId="6817772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TER</w:t>
            </w:r>
            <w:r w:rsidRPr="004659FA">
              <w:rPr>
                <w:b/>
                <w:bCs/>
                <w:strike/>
                <w:color w:val="D9D9D9" w:themeColor="background1" w:themeShade="D9"/>
                <w:sz w:val="20"/>
                <w:szCs w:val="28"/>
                <w:highlight w:val="green"/>
                <w:vertAlign w:val="subscript"/>
                <w:lang w:val="en-GB" w:eastAsia="en-GB"/>
              </w:rPr>
              <w:t>A</w:t>
            </w:r>
          </w:p>
        </w:tc>
      </w:tr>
      <w:tr w:rsidR="004659FA" w:rsidRPr="004659FA" w14:paraId="2C3644C4" w14:textId="77777777" w:rsidTr="002C69A0">
        <w:trPr>
          <w:jc w:val="center"/>
        </w:trPr>
        <w:tc>
          <w:tcPr>
            <w:tcW w:w="1101" w:type="pct"/>
            <w:shd w:val="clear" w:color="auto" w:fill="auto"/>
            <w:vAlign w:val="center"/>
          </w:tcPr>
          <w:p w14:paraId="7DFE0A83" w14:textId="77777777"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rPr>
              <w:t>Ornamentals BBCH 40-49</w:t>
            </w:r>
          </w:p>
        </w:tc>
        <w:tc>
          <w:tcPr>
            <w:tcW w:w="1002" w:type="pct"/>
            <w:shd w:val="clear" w:color="auto" w:fill="auto"/>
            <w:vAlign w:val="center"/>
          </w:tcPr>
          <w:p w14:paraId="15E63AE1" w14:textId="77777777"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Small herbivorous mammal “vole”</w:t>
            </w:r>
          </w:p>
        </w:tc>
        <w:tc>
          <w:tcPr>
            <w:tcW w:w="423" w:type="pct"/>
            <w:vAlign w:val="center"/>
          </w:tcPr>
          <w:p w14:paraId="01B7B139" w14:textId="4911F98E"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3C6D83CF" w14:textId="736E98DA"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50666D45" w14:textId="77777777"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1.0</w:t>
            </w:r>
          </w:p>
        </w:tc>
        <w:tc>
          <w:tcPr>
            <w:tcW w:w="315" w:type="pct"/>
            <w:tcBorders>
              <w:right w:val="single" w:sz="6" w:space="0" w:color="auto"/>
            </w:tcBorders>
            <w:vAlign w:val="center"/>
          </w:tcPr>
          <w:p w14:paraId="047ADE71" w14:textId="77777777"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0.3*</w:t>
            </w:r>
          </w:p>
        </w:tc>
        <w:tc>
          <w:tcPr>
            <w:tcW w:w="679" w:type="pct"/>
            <w:tcBorders>
              <w:top w:val="single" w:sz="6" w:space="0" w:color="auto"/>
              <w:left w:val="nil"/>
              <w:bottom w:val="single" w:sz="6" w:space="0" w:color="auto"/>
              <w:right w:val="nil"/>
            </w:tcBorders>
            <w:shd w:val="clear" w:color="auto" w:fill="auto"/>
            <w:vAlign w:val="center"/>
          </w:tcPr>
          <w:p w14:paraId="78B43784" w14:textId="1E48FDA1"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24.77</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34C2B213" w14:textId="065522F2" w:rsidR="001457F5" w:rsidRPr="004659FA" w:rsidRDefault="001457F5" w:rsidP="001457F5">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48.78</w:t>
            </w:r>
          </w:p>
        </w:tc>
      </w:tr>
      <w:tr w:rsidR="004659FA" w:rsidRPr="004659FA" w14:paraId="7D85A79C" w14:textId="77777777" w:rsidTr="002C69A0">
        <w:trPr>
          <w:jc w:val="center"/>
        </w:trPr>
        <w:tc>
          <w:tcPr>
            <w:tcW w:w="5000" w:type="pct"/>
            <w:gridSpan w:val="8"/>
            <w:tcBorders>
              <w:right w:val="single" w:sz="6" w:space="0" w:color="auto"/>
            </w:tcBorders>
            <w:vAlign w:val="center"/>
          </w:tcPr>
          <w:p w14:paraId="0BF628BE" w14:textId="7F168A35" w:rsidR="002C69A0" w:rsidRPr="004659FA" w:rsidRDefault="002C69A0" w:rsidP="002C69A0">
            <w:pPr>
              <w:spacing w:before="60" w:after="60"/>
              <w:ind w:left="57" w:right="57"/>
              <w:rPr>
                <w:strike/>
                <w:color w:val="D9D9D9" w:themeColor="background1" w:themeShade="D9"/>
                <w:sz w:val="20"/>
                <w:szCs w:val="20"/>
                <w:lang w:val="en-GB"/>
              </w:rPr>
            </w:pPr>
            <w:r w:rsidRPr="004659FA">
              <w:rPr>
                <w:b/>
                <w:bCs/>
                <w:strike/>
                <w:color w:val="D9D9D9" w:themeColor="background1" w:themeShade="D9"/>
                <w:sz w:val="20"/>
                <w:szCs w:val="20"/>
                <w:highlight w:val="green"/>
              </w:rPr>
              <w:t xml:space="preserve">Orchards </w:t>
            </w:r>
            <w:r w:rsidRPr="004659FA">
              <w:rPr>
                <w:b/>
                <w:strike/>
                <w:color w:val="D9D9D9" w:themeColor="background1" w:themeShade="D9"/>
                <w:sz w:val="20"/>
                <w:szCs w:val="20"/>
                <w:highlight w:val="green"/>
                <w:lang w:val="en-GB"/>
              </w:rPr>
              <w:t xml:space="preserve">(2 x </w:t>
            </w:r>
            <w:r w:rsidRPr="004659FA">
              <w:rPr>
                <w:b/>
                <w:bCs/>
                <w:strike/>
                <w:color w:val="D9D9D9" w:themeColor="background1" w:themeShade="D9"/>
                <w:sz w:val="20"/>
                <w:szCs w:val="20"/>
                <w:highlight w:val="green"/>
                <w:lang w:val="en-GB"/>
              </w:rPr>
              <w:t xml:space="preserve">(∑ 0.240 + 0.902) </w:t>
            </w:r>
            <w:r w:rsidRPr="004659FA">
              <w:rPr>
                <w:b/>
                <w:strike/>
                <w:color w:val="D9D9D9" w:themeColor="background1" w:themeShade="D9"/>
                <w:sz w:val="20"/>
                <w:szCs w:val="20"/>
                <w:highlight w:val="green"/>
                <w:lang w:val="en-GB"/>
              </w:rPr>
              <w:t>kg a.s./ha, BBCH 12 - 59)</w:t>
            </w:r>
          </w:p>
        </w:tc>
      </w:tr>
      <w:tr w:rsidR="004659FA" w:rsidRPr="004659FA" w14:paraId="4909D1E0" w14:textId="77777777" w:rsidTr="002C69A0">
        <w:trPr>
          <w:jc w:val="center"/>
        </w:trPr>
        <w:tc>
          <w:tcPr>
            <w:tcW w:w="1101" w:type="pct"/>
            <w:shd w:val="clear" w:color="auto" w:fill="auto"/>
            <w:vAlign w:val="center"/>
          </w:tcPr>
          <w:p w14:paraId="0B7BFA6B"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Crop scenario</w:t>
            </w:r>
          </w:p>
          <w:p w14:paraId="2E42A055"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Growth stage</w:t>
            </w:r>
          </w:p>
        </w:tc>
        <w:tc>
          <w:tcPr>
            <w:tcW w:w="1002" w:type="pct"/>
            <w:shd w:val="clear" w:color="auto" w:fill="auto"/>
            <w:vAlign w:val="center"/>
          </w:tcPr>
          <w:p w14:paraId="4D0D9EF7"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Generic focal species</w:t>
            </w:r>
          </w:p>
        </w:tc>
        <w:tc>
          <w:tcPr>
            <w:tcW w:w="423" w:type="pct"/>
            <w:vAlign w:val="center"/>
          </w:tcPr>
          <w:p w14:paraId="32AA112E" w14:textId="7466B6ED"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33364B94"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1E984B84" w14:textId="44FE416F"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5395BC0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MAF</w:t>
            </w:r>
            <w:r w:rsidRPr="004659FA">
              <w:rPr>
                <w:b/>
                <w:bCs/>
                <w:strike/>
                <w:color w:val="D9D9D9" w:themeColor="background1" w:themeShade="D9"/>
                <w:sz w:val="20"/>
                <w:szCs w:val="28"/>
                <w:highlight w:val="green"/>
                <w:vertAlign w:val="subscript"/>
                <w:lang w:val="en-GB" w:eastAsia="en-GB"/>
              </w:rPr>
              <w:t>90</w:t>
            </w:r>
          </w:p>
        </w:tc>
        <w:tc>
          <w:tcPr>
            <w:tcW w:w="315" w:type="pct"/>
            <w:vAlign w:val="center"/>
          </w:tcPr>
          <w:p w14:paraId="325A3CEB"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DF</w:t>
            </w:r>
          </w:p>
        </w:tc>
        <w:tc>
          <w:tcPr>
            <w:tcW w:w="679" w:type="pct"/>
            <w:tcBorders>
              <w:bottom w:val="single" w:sz="6" w:space="0" w:color="auto"/>
            </w:tcBorders>
            <w:shd w:val="clear" w:color="auto" w:fill="auto"/>
            <w:vAlign w:val="center"/>
          </w:tcPr>
          <w:p w14:paraId="4ADFD2F2"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DDD</w:t>
            </w:r>
            <w:r w:rsidRPr="004659FA">
              <w:rPr>
                <w:b/>
                <w:bCs/>
                <w:strike/>
                <w:color w:val="D9D9D9" w:themeColor="background1" w:themeShade="D9"/>
                <w:sz w:val="20"/>
                <w:szCs w:val="28"/>
                <w:highlight w:val="green"/>
                <w:vertAlign w:val="subscript"/>
                <w:lang w:val="de-DE" w:eastAsia="en-GB"/>
              </w:rPr>
              <w:t>90</w:t>
            </w:r>
          </w:p>
          <w:p w14:paraId="07AC6403"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[mg/kg bw/d]</w:t>
            </w:r>
          </w:p>
        </w:tc>
        <w:tc>
          <w:tcPr>
            <w:tcW w:w="371" w:type="pct"/>
            <w:tcBorders>
              <w:bottom w:val="single" w:sz="6" w:space="0" w:color="auto"/>
            </w:tcBorders>
            <w:shd w:val="clear" w:color="auto" w:fill="auto"/>
            <w:vAlign w:val="center"/>
          </w:tcPr>
          <w:p w14:paraId="7B856F4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TER</w:t>
            </w:r>
            <w:r w:rsidRPr="004659FA">
              <w:rPr>
                <w:b/>
                <w:bCs/>
                <w:strike/>
                <w:color w:val="D9D9D9" w:themeColor="background1" w:themeShade="D9"/>
                <w:sz w:val="20"/>
                <w:szCs w:val="28"/>
                <w:highlight w:val="green"/>
                <w:vertAlign w:val="subscript"/>
                <w:lang w:val="en-GB" w:eastAsia="en-GB"/>
              </w:rPr>
              <w:t>A</w:t>
            </w:r>
          </w:p>
        </w:tc>
      </w:tr>
      <w:tr w:rsidR="004659FA" w:rsidRPr="004659FA" w14:paraId="0A3F6D1F" w14:textId="77777777" w:rsidTr="002C69A0">
        <w:trPr>
          <w:jc w:val="center"/>
        </w:trPr>
        <w:tc>
          <w:tcPr>
            <w:tcW w:w="1101" w:type="pct"/>
            <w:shd w:val="clear" w:color="auto" w:fill="auto"/>
            <w:vAlign w:val="center"/>
          </w:tcPr>
          <w:p w14:paraId="4D76D8CA" w14:textId="169D6D83" w:rsidR="002C69A0" w:rsidRPr="004659FA" w:rsidRDefault="002C69A0" w:rsidP="002C69A0">
            <w:pPr>
              <w:spacing w:before="60" w:after="60"/>
              <w:ind w:left="57" w:right="57"/>
              <w:rPr>
                <w:strike/>
                <w:color w:val="D9D9D9" w:themeColor="background1" w:themeShade="D9"/>
                <w:sz w:val="20"/>
                <w:szCs w:val="20"/>
                <w:highlight w:val="green"/>
              </w:rPr>
            </w:pPr>
            <w:r w:rsidRPr="004659FA">
              <w:rPr>
                <w:strike/>
                <w:color w:val="D9D9D9" w:themeColor="background1" w:themeShade="D9"/>
                <w:sz w:val="20"/>
                <w:szCs w:val="20"/>
                <w:highlight w:val="green"/>
              </w:rPr>
              <w:t>Orchards BBCH 10-40</w:t>
            </w:r>
          </w:p>
        </w:tc>
        <w:tc>
          <w:tcPr>
            <w:tcW w:w="1002" w:type="pct"/>
            <w:shd w:val="clear" w:color="auto" w:fill="auto"/>
            <w:vAlign w:val="center"/>
          </w:tcPr>
          <w:p w14:paraId="6367992B" w14:textId="4854FB01"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Small herbivorous mammal “vole”</w:t>
            </w:r>
          </w:p>
        </w:tc>
        <w:tc>
          <w:tcPr>
            <w:tcW w:w="423" w:type="pct"/>
            <w:vAlign w:val="center"/>
          </w:tcPr>
          <w:p w14:paraId="63BBDBB9" w14:textId="692122E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186BF405" w14:textId="3744E11E"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007D1ECA" w14:textId="11ED9089"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1.41</w:t>
            </w:r>
          </w:p>
        </w:tc>
        <w:tc>
          <w:tcPr>
            <w:tcW w:w="315" w:type="pct"/>
            <w:tcBorders>
              <w:right w:val="single" w:sz="6" w:space="0" w:color="auto"/>
            </w:tcBorders>
            <w:vAlign w:val="center"/>
          </w:tcPr>
          <w:p w14:paraId="5B12DCFC" w14:textId="2D2D30BC"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0.4*</w:t>
            </w:r>
          </w:p>
        </w:tc>
        <w:tc>
          <w:tcPr>
            <w:tcW w:w="679" w:type="pct"/>
            <w:tcBorders>
              <w:top w:val="single" w:sz="6" w:space="0" w:color="auto"/>
              <w:left w:val="nil"/>
              <w:bottom w:val="single" w:sz="6" w:space="0" w:color="auto"/>
              <w:right w:val="nil"/>
            </w:tcBorders>
            <w:shd w:val="clear" w:color="auto" w:fill="auto"/>
            <w:vAlign w:val="center"/>
          </w:tcPr>
          <w:p w14:paraId="7DB492D3" w14:textId="7F4A0033"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87.88</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1371A7CF" w14:textId="2CD246E8"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1</w:t>
            </w:r>
            <w:r w:rsidR="001457F5" w:rsidRPr="004659FA">
              <w:rPr>
                <w:strike/>
                <w:color w:val="D9D9D9" w:themeColor="background1" w:themeShade="D9"/>
                <w:sz w:val="20"/>
                <w:szCs w:val="20"/>
                <w:highlight w:val="green"/>
                <w:lang w:val="en-GB"/>
              </w:rPr>
              <w:t>3</w:t>
            </w:r>
            <w:r w:rsidRPr="004659FA">
              <w:rPr>
                <w:strike/>
                <w:color w:val="D9D9D9" w:themeColor="background1" w:themeShade="D9"/>
                <w:sz w:val="20"/>
                <w:szCs w:val="20"/>
                <w:highlight w:val="green"/>
                <w:lang w:val="en-GB"/>
              </w:rPr>
              <w:t>.</w:t>
            </w:r>
            <w:r w:rsidR="001457F5" w:rsidRPr="004659FA">
              <w:rPr>
                <w:strike/>
                <w:color w:val="D9D9D9" w:themeColor="background1" w:themeShade="D9"/>
                <w:sz w:val="20"/>
                <w:szCs w:val="20"/>
                <w:highlight w:val="green"/>
                <w:lang w:val="en-GB"/>
              </w:rPr>
              <w:t>8</w:t>
            </w:r>
          </w:p>
        </w:tc>
      </w:tr>
      <w:tr w:rsidR="004659FA" w:rsidRPr="004659FA" w14:paraId="463252E0" w14:textId="77777777" w:rsidTr="002C69A0">
        <w:trPr>
          <w:jc w:val="center"/>
        </w:trPr>
        <w:tc>
          <w:tcPr>
            <w:tcW w:w="5000" w:type="pct"/>
            <w:gridSpan w:val="8"/>
            <w:tcBorders>
              <w:right w:val="single" w:sz="6" w:space="0" w:color="auto"/>
            </w:tcBorders>
            <w:vAlign w:val="center"/>
          </w:tcPr>
          <w:p w14:paraId="1FE5992F" w14:textId="38E927E4" w:rsidR="002C69A0" w:rsidRPr="004659FA" w:rsidRDefault="002C69A0" w:rsidP="002C69A0">
            <w:pPr>
              <w:spacing w:before="60" w:after="60"/>
              <w:ind w:left="57" w:right="57"/>
              <w:rPr>
                <w:strike/>
                <w:color w:val="D9D9D9" w:themeColor="background1" w:themeShade="D9"/>
                <w:sz w:val="20"/>
                <w:szCs w:val="20"/>
                <w:lang w:val="en-GB"/>
              </w:rPr>
            </w:pPr>
            <w:r w:rsidRPr="004659FA">
              <w:rPr>
                <w:b/>
                <w:bCs/>
                <w:strike/>
                <w:color w:val="D9D9D9" w:themeColor="background1" w:themeShade="D9"/>
                <w:sz w:val="20"/>
                <w:szCs w:val="20"/>
                <w:highlight w:val="green"/>
              </w:rPr>
              <w:t xml:space="preserve">Bush and cane fruit </w:t>
            </w:r>
            <w:r w:rsidRPr="004659FA">
              <w:rPr>
                <w:b/>
                <w:strike/>
                <w:color w:val="D9D9D9" w:themeColor="background1" w:themeShade="D9"/>
                <w:sz w:val="20"/>
                <w:szCs w:val="20"/>
                <w:highlight w:val="green"/>
                <w:lang w:val="en-GB"/>
              </w:rPr>
              <w:t xml:space="preserve">(2 x </w:t>
            </w:r>
            <w:r w:rsidRPr="004659FA">
              <w:rPr>
                <w:b/>
                <w:bCs/>
                <w:strike/>
                <w:color w:val="D9D9D9" w:themeColor="background1" w:themeShade="D9"/>
                <w:sz w:val="20"/>
                <w:szCs w:val="20"/>
                <w:highlight w:val="green"/>
                <w:lang w:val="en-GB"/>
              </w:rPr>
              <w:t xml:space="preserve">(∑ 0.240 + 0.902) </w:t>
            </w:r>
            <w:r w:rsidRPr="004659FA">
              <w:rPr>
                <w:b/>
                <w:strike/>
                <w:color w:val="D9D9D9" w:themeColor="background1" w:themeShade="D9"/>
                <w:sz w:val="20"/>
                <w:szCs w:val="20"/>
                <w:highlight w:val="green"/>
                <w:lang w:val="en-GB"/>
              </w:rPr>
              <w:t>kg a.s./ha, BBCH 12 - 59)</w:t>
            </w:r>
          </w:p>
        </w:tc>
      </w:tr>
      <w:tr w:rsidR="004659FA" w:rsidRPr="004659FA" w14:paraId="7280459C" w14:textId="77777777" w:rsidTr="002C69A0">
        <w:trPr>
          <w:jc w:val="center"/>
        </w:trPr>
        <w:tc>
          <w:tcPr>
            <w:tcW w:w="1101" w:type="pct"/>
            <w:shd w:val="clear" w:color="auto" w:fill="auto"/>
            <w:vAlign w:val="center"/>
          </w:tcPr>
          <w:p w14:paraId="13A23B1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Crop scenario</w:t>
            </w:r>
          </w:p>
          <w:p w14:paraId="51C0869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Growth stage</w:t>
            </w:r>
          </w:p>
        </w:tc>
        <w:tc>
          <w:tcPr>
            <w:tcW w:w="1002" w:type="pct"/>
            <w:shd w:val="clear" w:color="auto" w:fill="auto"/>
            <w:vAlign w:val="center"/>
          </w:tcPr>
          <w:p w14:paraId="61F73387"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Generic focal species</w:t>
            </w:r>
          </w:p>
        </w:tc>
        <w:tc>
          <w:tcPr>
            <w:tcW w:w="423" w:type="pct"/>
            <w:vAlign w:val="center"/>
          </w:tcPr>
          <w:p w14:paraId="3678B5A7" w14:textId="5FDC316D"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FIR/bw</w:t>
            </w:r>
          </w:p>
        </w:tc>
        <w:tc>
          <w:tcPr>
            <w:tcW w:w="650" w:type="pct"/>
            <w:shd w:val="clear" w:color="auto" w:fill="auto"/>
            <w:vAlign w:val="center"/>
          </w:tcPr>
          <w:p w14:paraId="2DDDB98F"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RUD</w:t>
            </w:r>
          </w:p>
          <w:p w14:paraId="6380AD7D" w14:textId="2E2463FD"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[mg/kg]</w:t>
            </w:r>
          </w:p>
        </w:tc>
        <w:tc>
          <w:tcPr>
            <w:tcW w:w="459" w:type="pct"/>
            <w:shd w:val="clear" w:color="auto" w:fill="auto"/>
            <w:vAlign w:val="center"/>
          </w:tcPr>
          <w:p w14:paraId="5A8C8061"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MAF</w:t>
            </w:r>
            <w:r w:rsidRPr="004659FA">
              <w:rPr>
                <w:b/>
                <w:bCs/>
                <w:strike/>
                <w:color w:val="D9D9D9" w:themeColor="background1" w:themeShade="D9"/>
                <w:sz w:val="20"/>
                <w:szCs w:val="28"/>
                <w:highlight w:val="green"/>
                <w:vertAlign w:val="subscript"/>
                <w:lang w:val="en-GB" w:eastAsia="en-GB"/>
              </w:rPr>
              <w:t>90</w:t>
            </w:r>
          </w:p>
        </w:tc>
        <w:tc>
          <w:tcPr>
            <w:tcW w:w="315" w:type="pct"/>
            <w:vAlign w:val="center"/>
          </w:tcPr>
          <w:p w14:paraId="5B25FFA0"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DF</w:t>
            </w:r>
          </w:p>
        </w:tc>
        <w:tc>
          <w:tcPr>
            <w:tcW w:w="679" w:type="pct"/>
            <w:tcBorders>
              <w:bottom w:val="single" w:sz="6" w:space="0" w:color="auto"/>
            </w:tcBorders>
            <w:shd w:val="clear" w:color="auto" w:fill="auto"/>
            <w:vAlign w:val="center"/>
          </w:tcPr>
          <w:p w14:paraId="5BCC76AA"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DDD</w:t>
            </w:r>
            <w:r w:rsidRPr="004659FA">
              <w:rPr>
                <w:b/>
                <w:bCs/>
                <w:strike/>
                <w:color w:val="D9D9D9" w:themeColor="background1" w:themeShade="D9"/>
                <w:sz w:val="20"/>
                <w:szCs w:val="28"/>
                <w:highlight w:val="green"/>
                <w:vertAlign w:val="subscript"/>
                <w:lang w:val="de-DE" w:eastAsia="en-GB"/>
              </w:rPr>
              <w:t>90</w:t>
            </w:r>
          </w:p>
          <w:p w14:paraId="4DF133EB"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de-DE" w:eastAsia="en-GB"/>
              </w:rPr>
            </w:pPr>
            <w:r w:rsidRPr="004659FA">
              <w:rPr>
                <w:b/>
                <w:bCs/>
                <w:strike/>
                <w:color w:val="D9D9D9" w:themeColor="background1" w:themeShade="D9"/>
                <w:sz w:val="20"/>
                <w:szCs w:val="28"/>
                <w:highlight w:val="green"/>
                <w:lang w:val="de-DE" w:eastAsia="en-GB"/>
              </w:rPr>
              <w:t>[mg/kg bw/d]</w:t>
            </w:r>
          </w:p>
        </w:tc>
        <w:tc>
          <w:tcPr>
            <w:tcW w:w="371" w:type="pct"/>
            <w:tcBorders>
              <w:bottom w:val="single" w:sz="6" w:space="0" w:color="auto"/>
            </w:tcBorders>
            <w:shd w:val="clear" w:color="auto" w:fill="auto"/>
            <w:vAlign w:val="center"/>
          </w:tcPr>
          <w:p w14:paraId="3961A83F" w14:textId="77777777" w:rsidR="002C69A0" w:rsidRPr="004659FA" w:rsidRDefault="002C69A0" w:rsidP="002C69A0">
            <w:pPr>
              <w:autoSpaceDE w:val="0"/>
              <w:autoSpaceDN w:val="0"/>
              <w:spacing w:before="60" w:after="60"/>
              <w:ind w:left="57" w:right="57"/>
              <w:rPr>
                <w:b/>
                <w:bCs/>
                <w:strike/>
                <w:color w:val="D9D9D9" w:themeColor="background1" w:themeShade="D9"/>
                <w:sz w:val="20"/>
                <w:szCs w:val="28"/>
                <w:highlight w:val="green"/>
                <w:lang w:val="en-GB" w:eastAsia="en-GB"/>
              </w:rPr>
            </w:pPr>
            <w:r w:rsidRPr="004659FA">
              <w:rPr>
                <w:b/>
                <w:bCs/>
                <w:strike/>
                <w:color w:val="D9D9D9" w:themeColor="background1" w:themeShade="D9"/>
                <w:sz w:val="20"/>
                <w:szCs w:val="28"/>
                <w:highlight w:val="green"/>
                <w:lang w:val="en-GB" w:eastAsia="en-GB"/>
              </w:rPr>
              <w:t>TER</w:t>
            </w:r>
            <w:r w:rsidRPr="004659FA">
              <w:rPr>
                <w:b/>
                <w:bCs/>
                <w:strike/>
                <w:color w:val="D9D9D9" w:themeColor="background1" w:themeShade="D9"/>
                <w:sz w:val="20"/>
                <w:szCs w:val="28"/>
                <w:highlight w:val="green"/>
                <w:vertAlign w:val="subscript"/>
                <w:lang w:val="en-GB" w:eastAsia="en-GB"/>
              </w:rPr>
              <w:t>A</w:t>
            </w:r>
          </w:p>
        </w:tc>
      </w:tr>
      <w:tr w:rsidR="004659FA" w:rsidRPr="004659FA" w14:paraId="6704C5B6" w14:textId="77777777" w:rsidTr="002C69A0">
        <w:trPr>
          <w:jc w:val="center"/>
        </w:trPr>
        <w:tc>
          <w:tcPr>
            <w:tcW w:w="1101" w:type="pct"/>
            <w:shd w:val="clear" w:color="auto" w:fill="auto"/>
            <w:vAlign w:val="center"/>
          </w:tcPr>
          <w:p w14:paraId="772CD6F4" w14:textId="5ECECD67" w:rsidR="002C69A0" w:rsidRPr="004659FA" w:rsidRDefault="002C69A0" w:rsidP="002C69A0">
            <w:pPr>
              <w:spacing w:before="60" w:after="60"/>
              <w:ind w:left="57" w:right="57"/>
              <w:rPr>
                <w:strike/>
                <w:color w:val="D9D9D9" w:themeColor="background1" w:themeShade="D9"/>
                <w:sz w:val="20"/>
                <w:szCs w:val="20"/>
                <w:highlight w:val="green"/>
              </w:rPr>
            </w:pPr>
            <w:r w:rsidRPr="004659FA">
              <w:rPr>
                <w:strike/>
                <w:color w:val="D9D9D9" w:themeColor="background1" w:themeShade="D9"/>
                <w:sz w:val="20"/>
                <w:szCs w:val="20"/>
                <w:highlight w:val="green"/>
              </w:rPr>
              <w:t>Bush and cane fruit BBCH 10-39</w:t>
            </w:r>
          </w:p>
        </w:tc>
        <w:tc>
          <w:tcPr>
            <w:tcW w:w="1002" w:type="pct"/>
            <w:shd w:val="clear" w:color="auto" w:fill="auto"/>
            <w:vAlign w:val="center"/>
          </w:tcPr>
          <w:p w14:paraId="0E3F336C" w14:textId="4516C01D" w:rsidR="002C69A0" w:rsidRPr="004659FA" w:rsidRDefault="002C69A0" w:rsidP="002C69A0">
            <w:pPr>
              <w:spacing w:before="60" w:after="60"/>
              <w:ind w:left="57" w:right="57"/>
              <w:rPr>
                <w:strike/>
                <w:color w:val="D9D9D9" w:themeColor="background1" w:themeShade="D9"/>
                <w:sz w:val="20"/>
                <w:szCs w:val="20"/>
                <w:highlight w:val="green"/>
                <w:lang w:val="en-GB"/>
              </w:rPr>
            </w:pPr>
            <w:r w:rsidRPr="004659FA">
              <w:rPr>
                <w:strike/>
                <w:color w:val="D9D9D9" w:themeColor="background1" w:themeShade="D9"/>
                <w:sz w:val="20"/>
                <w:szCs w:val="20"/>
                <w:highlight w:val="green"/>
                <w:lang w:val="en-GB"/>
              </w:rPr>
              <w:t>Small herbivorous mammal “vole”</w:t>
            </w:r>
          </w:p>
        </w:tc>
        <w:tc>
          <w:tcPr>
            <w:tcW w:w="423" w:type="pct"/>
            <w:vAlign w:val="center"/>
          </w:tcPr>
          <w:p w14:paraId="0181ACD2" w14:textId="451CADDD"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1.33</w:t>
            </w:r>
          </w:p>
        </w:tc>
        <w:tc>
          <w:tcPr>
            <w:tcW w:w="650" w:type="pct"/>
            <w:shd w:val="clear" w:color="auto" w:fill="auto"/>
            <w:vAlign w:val="center"/>
          </w:tcPr>
          <w:p w14:paraId="29A4758D" w14:textId="7846BFAA"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102.3</w:t>
            </w:r>
          </w:p>
        </w:tc>
        <w:tc>
          <w:tcPr>
            <w:tcW w:w="459" w:type="pct"/>
            <w:shd w:val="clear" w:color="auto" w:fill="auto"/>
            <w:vAlign w:val="center"/>
          </w:tcPr>
          <w:p w14:paraId="253E685C" w14:textId="654118F7"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1.41</w:t>
            </w:r>
          </w:p>
        </w:tc>
        <w:tc>
          <w:tcPr>
            <w:tcW w:w="315" w:type="pct"/>
            <w:tcBorders>
              <w:right w:val="single" w:sz="6" w:space="0" w:color="auto"/>
            </w:tcBorders>
            <w:vAlign w:val="center"/>
          </w:tcPr>
          <w:p w14:paraId="6636457F" w14:textId="0D679DD1"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0.4*</w:t>
            </w:r>
          </w:p>
        </w:tc>
        <w:tc>
          <w:tcPr>
            <w:tcW w:w="679" w:type="pct"/>
            <w:tcBorders>
              <w:top w:val="single" w:sz="6" w:space="0" w:color="auto"/>
              <w:left w:val="nil"/>
              <w:bottom w:val="single" w:sz="6" w:space="0" w:color="auto"/>
              <w:right w:val="nil"/>
            </w:tcBorders>
            <w:shd w:val="clear" w:color="auto" w:fill="auto"/>
            <w:vAlign w:val="center"/>
          </w:tcPr>
          <w:p w14:paraId="4B14FC31" w14:textId="7EA409ED" w:rsidR="002C69A0" w:rsidRPr="004659FA" w:rsidRDefault="002C69A0"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87.88</w:t>
            </w:r>
          </w:p>
        </w:tc>
        <w:tc>
          <w:tcPr>
            <w:tcW w:w="371" w:type="pct"/>
            <w:tcBorders>
              <w:top w:val="single" w:sz="6" w:space="0" w:color="auto"/>
              <w:left w:val="single" w:sz="6" w:space="0" w:color="auto"/>
              <w:bottom w:val="single" w:sz="6" w:space="0" w:color="auto"/>
              <w:right w:val="single" w:sz="6" w:space="0" w:color="auto"/>
            </w:tcBorders>
            <w:shd w:val="clear" w:color="auto" w:fill="auto"/>
            <w:vAlign w:val="center"/>
          </w:tcPr>
          <w:p w14:paraId="7F1BC295" w14:textId="35719AA9" w:rsidR="002C69A0" w:rsidRPr="004659FA" w:rsidRDefault="001457F5" w:rsidP="002C69A0">
            <w:pPr>
              <w:spacing w:before="60" w:after="60"/>
              <w:ind w:left="57" w:right="57"/>
              <w:rPr>
                <w:strike/>
                <w:color w:val="D9D9D9" w:themeColor="background1" w:themeShade="D9"/>
                <w:sz w:val="20"/>
                <w:szCs w:val="20"/>
                <w:lang w:val="en-GB"/>
              </w:rPr>
            </w:pPr>
            <w:r w:rsidRPr="004659FA">
              <w:rPr>
                <w:strike/>
                <w:color w:val="D9D9D9" w:themeColor="background1" w:themeShade="D9"/>
                <w:sz w:val="20"/>
                <w:szCs w:val="20"/>
                <w:highlight w:val="green"/>
                <w:lang w:val="en-GB"/>
              </w:rPr>
              <w:t>13.8</w:t>
            </w:r>
          </w:p>
        </w:tc>
      </w:tr>
    </w:tbl>
    <w:p w14:paraId="38F8E015" w14:textId="3A62158D" w:rsidR="00DC5685" w:rsidRPr="004659FA" w:rsidRDefault="00DC5685" w:rsidP="002C69A0">
      <w:pPr>
        <w:tabs>
          <w:tab w:val="left" w:pos="0"/>
        </w:tabs>
        <w:jc w:val="both"/>
        <w:rPr>
          <w:strike/>
          <w:noProof/>
          <w:color w:val="D9D9D9" w:themeColor="background1" w:themeShade="D9"/>
          <w:sz w:val="18"/>
          <w:szCs w:val="18"/>
          <w:lang w:val="en-GB"/>
        </w:rPr>
      </w:pPr>
      <w:r w:rsidRPr="004659FA">
        <w:rPr>
          <w:strike/>
          <w:noProof/>
          <w:color w:val="D9D9D9" w:themeColor="background1" w:themeShade="D9"/>
          <w:sz w:val="18"/>
          <w:szCs w:val="18"/>
          <w:lang w:val="en-GB"/>
        </w:rPr>
        <w:t>FIR/bw: Food intake rate per body weight; RUD: residue unit dose; DF: deposition factor (considering possible interception by the crop); MAF: multiple application factor; DDD: daily dietary dose; TER: toxicity to exposure ratio. TER values shown in bold fall below the relevant trigger.</w:t>
      </w:r>
    </w:p>
    <w:p w14:paraId="6068A5B4" w14:textId="29A9D551" w:rsidR="009B71DE" w:rsidRPr="004659FA" w:rsidRDefault="00DC5685" w:rsidP="009B71DE">
      <w:pPr>
        <w:widowControl w:val="0"/>
        <w:jc w:val="both"/>
        <w:rPr>
          <w:strike/>
          <w:noProof/>
          <w:color w:val="D9D9D9" w:themeColor="background1" w:themeShade="D9"/>
          <w:sz w:val="18"/>
          <w:szCs w:val="18"/>
          <w:lang w:val="en-GB"/>
        </w:rPr>
      </w:pPr>
      <w:r w:rsidRPr="004659FA">
        <w:rPr>
          <w:strike/>
          <w:noProof/>
          <w:color w:val="D9D9D9" w:themeColor="background1" w:themeShade="D9"/>
          <w:sz w:val="18"/>
          <w:szCs w:val="18"/>
          <w:lang w:val="en-GB"/>
        </w:rPr>
        <w:t>* Refined parameters</w:t>
      </w:r>
      <w:r w:rsidR="009B71DE" w:rsidRPr="004659FA">
        <w:rPr>
          <w:strike/>
          <w:noProof/>
          <w:color w:val="D9D9D9" w:themeColor="background1" w:themeShade="D9"/>
          <w:sz w:val="18"/>
          <w:szCs w:val="18"/>
          <w:lang w:val="en-GB"/>
        </w:rPr>
        <w:br w:type="page"/>
      </w:r>
    </w:p>
    <w:p w14:paraId="555BD018" w14:textId="77777777" w:rsidR="00DC5685" w:rsidRPr="004659FA" w:rsidRDefault="00DC5685" w:rsidP="002C69A0">
      <w:pPr>
        <w:widowControl w:val="0"/>
        <w:jc w:val="both"/>
        <w:rPr>
          <w:strike/>
          <w:noProof/>
          <w:color w:val="D9D9D9" w:themeColor="background1" w:themeShade="D9"/>
          <w:sz w:val="18"/>
          <w:szCs w:val="18"/>
          <w:lang w:val="en-GB"/>
        </w:rPr>
      </w:pPr>
    </w:p>
    <w:p w14:paraId="58247662" w14:textId="77777777" w:rsidR="00EE3ACD" w:rsidRPr="004659FA" w:rsidRDefault="00EE3ACD" w:rsidP="00DC5685">
      <w:pPr>
        <w:pStyle w:val="RepStandard"/>
        <w:suppressAutoHyphens/>
        <w:rPr>
          <w:strike/>
          <w:color w:val="D9D9D9" w:themeColor="background1" w:themeShade="D9"/>
        </w:rPr>
      </w:pPr>
    </w:p>
    <w:p w14:paraId="2EA26DDD" w14:textId="22F7C4C8" w:rsidR="002C69A0" w:rsidRPr="004659FA" w:rsidRDefault="00DC5685" w:rsidP="00DC5685">
      <w:pPr>
        <w:pStyle w:val="RepStandard"/>
        <w:suppressAutoHyphens/>
        <w:rPr>
          <w:strike/>
          <w:color w:val="D9D9D9" w:themeColor="background1" w:themeShade="D9"/>
        </w:rPr>
      </w:pPr>
      <w:r w:rsidRPr="004659FA">
        <w:rPr>
          <w:strike/>
          <w:color w:val="D9D9D9" w:themeColor="background1" w:themeShade="D9"/>
        </w:rPr>
        <w:t>For the formulation BAS 74 03 F, an acceptable risk can be concluded by the refined higher tier assessment for the acute risks to mammals.</w:t>
      </w:r>
      <w:r w:rsidR="002C69A0" w:rsidRPr="004659FA">
        <w:rPr>
          <w:strike/>
          <w:color w:val="D9D9D9" w:themeColor="background1" w:themeShade="D9"/>
        </w:rPr>
        <w:t xml:space="preserve"> </w:t>
      </w:r>
      <w:r w:rsidR="002C69A0" w:rsidRPr="004659FA">
        <w:rPr>
          <w:strike/>
          <w:color w:val="D9D9D9" w:themeColor="background1" w:themeShade="D9"/>
          <w:highlight w:val="green"/>
        </w:rPr>
        <w:t>Only the TER for bulb and onion like crops remains below the trigger of 10. However, with reference to the argumentation provided above concerning the ecology of voles and specifically the preference of more natural habitats, overall</w:t>
      </w:r>
      <w:r w:rsidR="001457F5" w:rsidRPr="004659FA">
        <w:rPr>
          <w:strike/>
          <w:color w:val="D9D9D9" w:themeColor="background1" w:themeShade="D9"/>
          <w:highlight w:val="green"/>
        </w:rPr>
        <w:t>,</w:t>
      </w:r>
      <w:r w:rsidR="002C69A0" w:rsidRPr="004659FA">
        <w:rPr>
          <w:strike/>
          <w:color w:val="D9D9D9" w:themeColor="background1" w:themeShade="D9"/>
          <w:highlight w:val="green"/>
        </w:rPr>
        <w:t xml:space="preserve"> the risk for </w:t>
      </w:r>
      <w:r w:rsidR="00B9058E" w:rsidRPr="004659FA">
        <w:rPr>
          <w:strike/>
          <w:color w:val="D9D9D9" w:themeColor="background1" w:themeShade="D9"/>
          <w:highlight w:val="green"/>
        </w:rPr>
        <w:t>small herbivorous mammals is considered to be acceptable.</w:t>
      </w:r>
    </w:p>
    <w:p w14:paraId="6542455F" w14:textId="77777777" w:rsidR="00DC5685" w:rsidRPr="00A34F10" w:rsidRDefault="00DC5685" w:rsidP="00DC5685">
      <w:pPr>
        <w:pStyle w:val="Nagwek4"/>
        <w:suppressAutoHyphens/>
        <w:rPr>
          <w:noProof w:val="0"/>
          <w:lang w:val="en-GB"/>
        </w:rPr>
      </w:pPr>
      <w:bookmarkStart w:id="387" w:name="_Toc181624962"/>
      <w:r w:rsidRPr="00A34F10">
        <w:rPr>
          <w:noProof w:val="0"/>
          <w:lang w:val="en-GB"/>
        </w:rPr>
        <w:t>Drinking water exposure</w:t>
      </w:r>
      <w:bookmarkEnd w:id="372"/>
      <w:bookmarkEnd w:id="373"/>
      <w:bookmarkEnd w:id="374"/>
      <w:bookmarkEnd w:id="375"/>
      <w:bookmarkEnd w:id="376"/>
      <w:bookmarkEnd w:id="377"/>
      <w:bookmarkEnd w:id="378"/>
      <w:bookmarkEnd w:id="379"/>
      <w:bookmarkEnd w:id="380"/>
      <w:bookmarkEnd w:id="387"/>
      <w:r w:rsidRPr="00A34F10">
        <w:rPr>
          <w:noProof w:val="0"/>
          <w:lang w:val="en-GB"/>
        </w:rPr>
        <w:t xml:space="preserve"> </w:t>
      </w:r>
    </w:p>
    <w:p w14:paraId="3A6C43AD" w14:textId="77777777" w:rsidR="00DC5685" w:rsidRPr="00A34F10" w:rsidRDefault="00DC5685" w:rsidP="00DC5685">
      <w:pPr>
        <w:pStyle w:val="RepNewPart"/>
        <w:suppressAutoHyphens/>
      </w:pPr>
      <w:bookmarkStart w:id="388" w:name="_Toc412643989"/>
      <w:bookmarkStart w:id="389" w:name="_Toc413916835"/>
      <w:bookmarkStart w:id="390" w:name="_Toc413916977"/>
      <w:bookmarkStart w:id="391" w:name="_Toc413922038"/>
      <w:bookmarkStart w:id="392" w:name="_Toc413922527"/>
      <w:bookmarkStart w:id="393" w:name="_Toc413922631"/>
      <w:bookmarkStart w:id="394" w:name="_Toc414955268"/>
      <w:bookmarkStart w:id="395" w:name="_Toc415214575"/>
      <w:bookmarkStart w:id="396" w:name="_Toc425512596"/>
      <w:r w:rsidRPr="00A34F10">
        <w:t>Puddle scenario</w:t>
      </w:r>
    </w:p>
    <w:p w14:paraId="666D087B" w14:textId="77777777" w:rsidR="00DC5685" w:rsidRPr="00A34F10" w:rsidRDefault="00DC5685" w:rsidP="00DC5685">
      <w:pPr>
        <w:pStyle w:val="RepStandard"/>
        <w:suppressAutoHyphens/>
      </w:pPr>
      <w:r w:rsidRPr="00A34F10">
        <w:t>Due to the characteristics of the exposure scenario in connection with the standard assumptions for water uptake by animals, no specific calculations of exposure and TER are necessary when the ratio of effective application rate (in g/ha) to relevant endpoint (in mg/kg bw/d) does not exceed 50 in the case of less sorptive substances (Koc &lt; 500 L/kg) or 3000 in the case of more sorptive substances (Koc ≥ 500 L/kg).</w:t>
      </w:r>
    </w:p>
    <w:p w14:paraId="7FEB3F34" w14:textId="77777777" w:rsidR="00DC5685" w:rsidRPr="00A34F10" w:rsidRDefault="00DC5685" w:rsidP="00DC5685">
      <w:pPr>
        <w:pStyle w:val="RepStandard"/>
        <w:suppressAutoHyphens/>
      </w:pPr>
    </w:p>
    <w:p w14:paraId="7EE4BD00" w14:textId="788EA46F" w:rsidR="00DC5685" w:rsidRPr="00A34F10" w:rsidRDefault="00DC5685" w:rsidP="00DC5685">
      <w:pPr>
        <w:pStyle w:val="RepStandard"/>
        <w:suppressAutoHyphens/>
        <w:rPr>
          <w:rFonts w:eastAsia="SimSun"/>
          <w:lang w:eastAsia="zh-CN"/>
        </w:rPr>
      </w:pPr>
      <w:r w:rsidRPr="00A34F10">
        <w:rPr>
          <w:rFonts w:eastAsia="SimSun"/>
          <w:lang w:eastAsia="zh-CN"/>
        </w:rPr>
        <w:t>With a K</w:t>
      </w:r>
      <w:r w:rsidRPr="00A34F10">
        <w:rPr>
          <w:rFonts w:eastAsia="SimSun"/>
          <w:vertAlign w:val="subscript"/>
          <w:lang w:eastAsia="zh-CN"/>
        </w:rPr>
        <w:t>(f)OC</w:t>
      </w:r>
      <w:r w:rsidRPr="00A34F10">
        <w:rPr>
          <w:rFonts w:eastAsia="SimSun"/>
          <w:lang w:eastAsia="zh-CN"/>
        </w:rPr>
        <w:t xml:space="preserve"> of 3779 L/kg and of 535.56 L/kg for Ametoctradin and Propamocarb, respectively both active substances belong to the group of more sorptive substances. To achieve a concise risk assessment, the risk envelope approach is applied. Here, the assessment for the use group potatoes also covers the risk for mammals from all other intended uses in </w:t>
      </w:r>
      <w:r w:rsidR="008C50A8">
        <w:rPr>
          <w:rFonts w:eastAsia="SimSun"/>
          <w:lang w:eastAsia="zh-CN"/>
        </w:rPr>
        <w:t>fruiting</w:t>
      </w:r>
      <w:r w:rsidRPr="00A34F10">
        <w:rPr>
          <w:rFonts w:eastAsia="SimSun"/>
          <w:lang w:eastAsia="zh-CN"/>
        </w:rPr>
        <w:t xml:space="preserve"> vegetables, and bulbs and onion like crops. The ratio calculations for effective application rate to relevant endpoints are detailed in Table 9.3-15 and Table 9.2-16.</w:t>
      </w:r>
    </w:p>
    <w:p w14:paraId="13DBDFF6" w14:textId="77777777" w:rsidR="00EE3ACD" w:rsidRPr="00A34F10" w:rsidRDefault="00EE3ACD" w:rsidP="00DC5685">
      <w:pPr>
        <w:pStyle w:val="RepStandard"/>
        <w:suppressAutoHyphens/>
      </w:pPr>
    </w:p>
    <w:p w14:paraId="2833A6CE" w14:textId="24775161" w:rsidR="00DC5685" w:rsidRPr="00A34F10" w:rsidRDefault="00DC5685" w:rsidP="00DC5685">
      <w:pPr>
        <w:pStyle w:val="RepLabel"/>
        <w:suppressAutoHyphens/>
        <w:jc w:val="both"/>
      </w:pPr>
      <w:bookmarkStart w:id="397" w:name="_Ref439853144"/>
      <w:r w:rsidRPr="00A34F10">
        <w:t xml:space="preserve">Table </w:t>
      </w:r>
      <w:fldSimple w:instr=" STYLEREF 2 \s ">
        <w:r w:rsidR="006F0F3B">
          <w:rPr>
            <w:noProof/>
          </w:rPr>
          <w:t>9.3</w:t>
        </w:r>
      </w:fldSimple>
      <w:r w:rsidRPr="00A34F10">
        <w:noBreakHyphen/>
      </w:r>
      <w:bookmarkEnd w:id="397"/>
      <w:r w:rsidR="008D2847" w:rsidRPr="008D2847">
        <w:rPr>
          <w:highlight w:val="green"/>
        </w:rPr>
        <w:t>19</w:t>
      </w:r>
      <w:r w:rsidRPr="00A34F10">
        <w:t>:</w:t>
      </w:r>
      <w:r w:rsidRPr="00A34F10">
        <w:tab/>
        <w:t>Assessment of the risk for mammals due to exposure to Ametoctradin via contaminated drinking water in puddles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1"/>
        <w:gridCol w:w="2717"/>
        <w:gridCol w:w="2909"/>
      </w:tblGrid>
      <w:tr w:rsidR="00DC5685" w:rsidRPr="00A34F10" w14:paraId="0B46C28D" w14:textId="77777777" w:rsidTr="000470C3">
        <w:tc>
          <w:tcPr>
            <w:tcW w:w="1990" w:type="pct"/>
            <w:vAlign w:val="center"/>
          </w:tcPr>
          <w:p w14:paraId="609305C6" w14:textId="77777777" w:rsidR="00DC5685" w:rsidRPr="00A34F10" w:rsidRDefault="00DC5685" w:rsidP="000470C3">
            <w:pPr>
              <w:keepNext/>
              <w:keepLines/>
              <w:widowControl w:val="0"/>
              <w:tabs>
                <w:tab w:val="left" w:pos="720"/>
              </w:tabs>
              <w:suppressAutoHyphens/>
              <w:rPr>
                <w:b/>
                <w:bCs/>
                <w:sz w:val="20"/>
                <w:szCs w:val="20"/>
                <w:lang w:val="en-GB"/>
              </w:rPr>
            </w:pPr>
            <w:r w:rsidRPr="00A34F10">
              <w:rPr>
                <w:b/>
                <w:bCs/>
                <w:sz w:val="20"/>
                <w:szCs w:val="20"/>
                <w:lang w:val="en-GB"/>
              </w:rPr>
              <w:t>Parameter</w:t>
            </w:r>
          </w:p>
        </w:tc>
        <w:tc>
          <w:tcPr>
            <w:tcW w:w="1453" w:type="pct"/>
          </w:tcPr>
          <w:p w14:paraId="03516E13" w14:textId="77777777" w:rsidR="00DC5685" w:rsidRPr="00A34F10" w:rsidRDefault="00DC5685" w:rsidP="000470C3">
            <w:pPr>
              <w:keepNext/>
              <w:keepLines/>
              <w:widowControl w:val="0"/>
              <w:suppressAutoHyphens/>
              <w:jc w:val="center"/>
              <w:rPr>
                <w:b/>
                <w:bCs/>
                <w:sz w:val="20"/>
                <w:szCs w:val="20"/>
                <w:lang w:val="en-GB"/>
              </w:rPr>
            </w:pPr>
            <w:r w:rsidRPr="00A34F10">
              <w:rPr>
                <w:b/>
                <w:bCs/>
                <w:sz w:val="20"/>
                <w:szCs w:val="20"/>
                <w:lang w:val="en-GB"/>
              </w:rPr>
              <w:t>Ametoctradin</w:t>
            </w:r>
          </w:p>
        </w:tc>
        <w:tc>
          <w:tcPr>
            <w:tcW w:w="1556" w:type="pct"/>
            <w:shd w:val="clear" w:color="auto" w:fill="auto"/>
            <w:vAlign w:val="center"/>
          </w:tcPr>
          <w:p w14:paraId="65F88D04" w14:textId="77777777" w:rsidR="00DC5685" w:rsidRPr="00A34F10" w:rsidRDefault="00DC5685" w:rsidP="000470C3">
            <w:pPr>
              <w:keepNext/>
              <w:keepLines/>
              <w:widowControl w:val="0"/>
              <w:tabs>
                <w:tab w:val="left" w:pos="720"/>
              </w:tabs>
              <w:suppressAutoHyphens/>
              <w:jc w:val="center"/>
              <w:rPr>
                <w:b/>
                <w:bCs/>
                <w:sz w:val="20"/>
                <w:szCs w:val="20"/>
                <w:lang w:val="en-GB"/>
              </w:rPr>
            </w:pPr>
            <w:r w:rsidRPr="00A34F10">
              <w:rPr>
                <w:b/>
                <w:bCs/>
                <w:sz w:val="20"/>
                <w:szCs w:val="20"/>
                <w:lang w:val="en-GB"/>
              </w:rPr>
              <w:t>Reference</w:t>
            </w:r>
          </w:p>
        </w:tc>
      </w:tr>
      <w:tr w:rsidR="00DC5685" w:rsidRPr="00A34F10" w14:paraId="20572FC6" w14:textId="77777777" w:rsidTr="000470C3">
        <w:tc>
          <w:tcPr>
            <w:tcW w:w="1990" w:type="pct"/>
            <w:vAlign w:val="center"/>
          </w:tcPr>
          <w:p w14:paraId="34A25B83" w14:textId="77777777" w:rsidR="00DC5685" w:rsidRPr="00A34F10" w:rsidRDefault="00DC5685" w:rsidP="000470C3">
            <w:pPr>
              <w:keepNext/>
              <w:keepLines/>
              <w:widowControl w:val="0"/>
              <w:numPr>
                <w:ilvl w:val="12"/>
                <w:numId w:val="0"/>
              </w:numPr>
              <w:tabs>
                <w:tab w:val="left" w:pos="720"/>
              </w:tabs>
              <w:suppressAutoHyphens/>
              <w:rPr>
                <w:sz w:val="20"/>
                <w:szCs w:val="20"/>
                <w:lang w:val="en-GB"/>
              </w:rPr>
            </w:pPr>
            <w:r w:rsidRPr="00A34F10">
              <w:rPr>
                <w:sz w:val="20"/>
                <w:szCs w:val="20"/>
                <w:lang w:val="en-GB"/>
              </w:rPr>
              <w:t>Koc (geometric mean) [L/kg]</w:t>
            </w:r>
          </w:p>
        </w:tc>
        <w:tc>
          <w:tcPr>
            <w:tcW w:w="1453" w:type="pct"/>
            <w:vAlign w:val="center"/>
          </w:tcPr>
          <w:p w14:paraId="539D8495" w14:textId="77777777" w:rsidR="00DC5685" w:rsidRPr="00A34F10" w:rsidRDefault="00DC5685" w:rsidP="000470C3">
            <w:pPr>
              <w:keepNext/>
              <w:keepLines/>
              <w:widowControl w:val="0"/>
              <w:numPr>
                <w:ilvl w:val="12"/>
                <w:numId w:val="0"/>
              </w:numPr>
              <w:suppressAutoHyphens/>
              <w:jc w:val="center"/>
              <w:rPr>
                <w:sz w:val="20"/>
                <w:szCs w:val="20"/>
                <w:lang w:val="en-GB"/>
              </w:rPr>
            </w:pPr>
            <w:r w:rsidRPr="00A34F10">
              <w:rPr>
                <w:sz w:val="20"/>
                <w:szCs w:val="20"/>
                <w:lang w:val="en-GB"/>
              </w:rPr>
              <w:t>3779</w:t>
            </w:r>
          </w:p>
        </w:tc>
        <w:tc>
          <w:tcPr>
            <w:tcW w:w="1556" w:type="pct"/>
            <w:shd w:val="clear" w:color="auto" w:fill="auto"/>
            <w:vAlign w:val="center"/>
          </w:tcPr>
          <w:p w14:paraId="5CF439B8" w14:textId="77777777" w:rsidR="00DC5685" w:rsidRPr="00A34F10" w:rsidRDefault="00DC5685" w:rsidP="000470C3">
            <w:pPr>
              <w:keepNext/>
              <w:keepLines/>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Chapter 8.5.1 and 8.5.2</w:t>
            </w:r>
          </w:p>
        </w:tc>
      </w:tr>
      <w:tr w:rsidR="00DC5685" w:rsidRPr="00A34F10" w14:paraId="698260F0" w14:textId="77777777" w:rsidTr="000470C3">
        <w:tc>
          <w:tcPr>
            <w:tcW w:w="1990" w:type="pct"/>
            <w:vAlign w:val="center"/>
          </w:tcPr>
          <w:p w14:paraId="4BD06FEF"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Number of applications</w:t>
            </w:r>
          </w:p>
        </w:tc>
        <w:tc>
          <w:tcPr>
            <w:tcW w:w="1453" w:type="pct"/>
          </w:tcPr>
          <w:p w14:paraId="1662F5B9"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3</w:t>
            </w:r>
          </w:p>
        </w:tc>
        <w:tc>
          <w:tcPr>
            <w:tcW w:w="1556" w:type="pct"/>
            <w:shd w:val="clear" w:color="auto" w:fill="auto"/>
            <w:vAlign w:val="center"/>
          </w:tcPr>
          <w:p w14:paraId="6D798223" w14:textId="77777777" w:rsidR="00DC5685" w:rsidRPr="00A34F10" w:rsidRDefault="00DC5685" w:rsidP="000470C3">
            <w:pPr>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179EADC1" w14:textId="77777777" w:rsidTr="000470C3">
        <w:tc>
          <w:tcPr>
            <w:tcW w:w="1990" w:type="pct"/>
            <w:vAlign w:val="center"/>
          </w:tcPr>
          <w:p w14:paraId="49CDCA80"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Interval [days]</w:t>
            </w:r>
          </w:p>
        </w:tc>
        <w:tc>
          <w:tcPr>
            <w:tcW w:w="1453" w:type="pct"/>
          </w:tcPr>
          <w:p w14:paraId="76DE7F3E"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5</w:t>
            </w:r>
          </w:p>
        </w:tc>
        <w:tc>
          <w:tcPr>
            <w:tcW w:w="1556" w:type="pct"/>
            <w:shd w:val="clear" w:color="auto" w:fill="auto"/>
            <w:vAlign w:val="center"/>
          </w:tcPr>
          <w:p w14:paraId="50C45932" w14:textId="77777777" w:rsidR="00DC5685" w:rsidRPr="00A34F10" w:rsidRDefault="00DC5685" w:rsidP="000470C3">
            <w:pPr>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3B635D5B" w14:textId="77777777" w:rsidTr="000470C3">
        <w:tc>
          <w:tcPr>
            <w:tcW w:w="1990" w:type="pct"/>
            <w:vAlign w:val="center"/>
          </w:tcPr>
          <w:p w14:paraId="3D7C8FBE"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MAF</w:t>
            </w:r>
            <w:r w:rsidRPr="00A34F10">
              <w:rPr>
                <w:sz w:val="20"/>
                <w:szCs w:val="20"/>
                <w:vertAlign w:val="subscript"/>
                <w:lang w:val="en-GB"/>
              </w:rPr>
              <w:t>m</w:t>
            </w:r>
            <w:r w:rsidRPr="00A34F10">
              <w:rPr>
                <w:sz w:val="20"/>
                <w:szCs w:val="20"/>
                <w:lang w:val="en-GB"/>
              </w:rPr>
              <w:t> </w:t>
            </w:r>
            <w:r w:rsidRPr="00A34F10">
              <w:rPr>
                <w:sz w:val="20"/>
                <w:szCs w:val="20"/>
                <w:vertAlign w:val="superscript"/>
                <w:lang w:val="en-GB"/>
              </w:rPr>
              <w:t>1)</w:t>
            </w:r>
          </w:p>
        </w:tc>
        <w:tc>
          <w:tcPr>
            <w:tcW w:w="1453" w:type="pct"/>
          </w:tcPr>
          <w:p w14:paraId="6EA34290"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2.21</w:t>
            </w:r>
          </w:p>
        </w:tc>
        <w:tc>
          <w:tcPr>
            <w:tcW w:w="1556" w:type="pct"/>
            <w:shd w:val="clear" w:color="auto" w:fill="auto"/>
            <w:vAlign w:val="center"/>
          </w:tcPr>
          <w:p w14:paraId="083D86A7" w14:textId="77777777" w:rsidR="00DC5685" w:rsidRPr="00A34F10" w:rsidRDefault="00DC5685" w:rsidP="000470C3">
            <w:pPr>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w:t>
            </w:r>
          </w:p>
        </w:tc>
      </w:tr>
      <w:tr w:rsidR="00DC5685" w:rsidRPr="00A34F10" w14:paraId="700CF2A3" w14:textId="77777777" w:rsidTr="000470C3">
        <w:tc>
          <w:tcPr>
            <w:tcW w:w="1990" w:type="pct"/>
            <w:vAlign w:val="center"/>
          </w:tcPr>
          <w:p w14:paraId="6E0137BC"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Max use rate [g/ha]</w:t>
            </w:r>
          </w:p>
        </w:tc>
        <w:tc>
          <w:tcPr>
            <w:tcW w:w="1453" w:type="pct"/>
          </w:tcPr>
          <w:p w14:paraId="3FC412AB"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240</w:t>
            </w:r>
          </w:p>
        </w:tc>
        <w:tc>
          <w:tcPr>
            <w:tcW w:w="1556" w:type="pct"/>
            <w:shd w:val="clear" w:color="auto" w:fill="auto"/>
            <w:vAlign w:val="center"/>
          </w:tcPr>
          <w:p w14:paraId="600D0F33"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59B6E59A" w14:textId="77777777" w:rsidTr="000470C3">
        <w:tc>
          <w:tcPr>
            <w:tcW w:w="1990" w:type="pct"/>
            <w:vAlign w:val="center"/>
          </w:tcPr>
          <w:p w14:paraId="3BC5529F"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AR</w:t>
            </w:r>
            <w:r w:rsidRPr="00A34F10">
              <w:rPr>
                <w:sz w:val="20"/>
                <w:szCs w:val="20"/>
                <w:vertAlign w:val="subscript"/>
                <w:lang w:val="en-GB"/>
              </w:rPr>
              <w:t>eff</w:t>
            </w:r>
            <w:r w:rsidRPr="00A34F10">
              <w:rPr>
                <w:sz w:val="20"/>
                <w:szCs w:val="20"/>
                <w:lang w:val="en-GB"/>
              </w:rPr>
              <w:t xml:space="preserve"> [g/ha] </w:t>
            </w:r>
            <w:r w:rsidRPr="00A34F10">
              <w:rPr>
                <w:sz w:val="20"/>
                <w:szCs w:val="20"/>
                <w:vertAlign w:val="superscript"/>
                <w:lang w:val="en-GB"/>
              </w:rPr>
              <w:t>2)</w:t>
            </w:r>
          </w:p>
        </w:tc>
        <w:tc>
          <w:tcPr>
            <w:tcW w:w="1453" w:type="pct"/>
          </w:tcPr>
          <w:p w14:paraId="1BFF7DE6"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530</w:t>
            </w:r>
          </w:p>
        </w:tc>
        <w:tc>
          <w:tcPr>
            <w:tcW w:w="1556" w:type="pct"/>
            <w:shd w:val="clear" w:color="auto" w:fill="auto"/>
            <w:vAlign w:val="center"/>
          </w:tcPr>
          <w:p w14:paraId="338D95C1"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36C3E343" w14:textId="77777777" w:rsidTr="000470C3">
        <w:tc>
          <w:tcPr>
            <w:tcW w:w="1990" w:type="pct"/>
            <w:vAlign w:val="center"/>
          </w:tcPr>
          <w:p w14:paraId="589332A4"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LD</w:t>
            </w:r>
            <w:r w:rsidRPr="00A34F10">
              <w:rPr>
                <w:sz w:val="20"/>
                <w:szCs w:val="20"/>
                <w:vertAlign w:val="subscript"/>
                <w:lang w:val="en-GB"/>
              </w:rPr>
              <w:t>50</w:t>
            </w:r>
            <w:r w:rsidRPr="00A34F10">
              <w:rPr>
                <w:sz w:val="20"/>
                <w:szCs w:val="20"/>
                <w:lang w:val="en-GB"/>
              </w:rPr>
              <w:t xml:space="preserve"> [mg/kg b.w.]</w:t>
            </w:r>
          </w:p>
        </w:tc>
        <w:tc>
          <w:tcPr>
            <w:tcW w:w="1453" w:type="pct"/>
          </w:tcPr>
          <w:p w14:paraId="220A946C"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2000</w:t>
            </w:r>
          </w:p>
        </w:tc>
        <w:tc>
          <w:tcPr>
            <w:tcW w:w="1556" w:type="pct"/>
            <w:shd w:val="clear" w:color="auto" w:fill="auto"/>
            <w:vAlign w:val="center"/>
          </w:tcPr>
          <w:p w14:paraId="0AECBAB8"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4D3BBB84" w14:textId="77777777" w:rsidTr="000470C3">
        <w:tc>
          <w:tcPr>
            <w:tcW w:w="1990" w:type="pct"/>
            <w:vAlign w:val="center"/>
          </w:tcPr>
          <w:p w14:paraId="13F24095"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Ratio (acute) </w:t>
            </w:r>
            <w:r w:rsidRPr="00A34F10">
              <w:rPr>
                <w:sz w:val="20"/>
                <w:szCs w:val="20"/>
                <w:vertAlign w:val="superscript"/>
                <w:lang w:val="en-GB"/>
              </w:rPr>
              <w:t>3)</w:t>
            </w:r>
          </w:p>
        </w:tc>
        <w:tc>
          <w:tcPr>
            <w:tcW w:w="1453" w:type="pct"/>
          </w:tcPr>
          <w:p w14:paraId="4FA4534B"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0.265</w:t>
            </w:r>
          </w:p>
        </w:tc>
        <w:tc>
          <w:tcPr>
            <w:tcW w:w="1556" w:type="pct"/>
            <w:shd w:val="clear" w:color="auto" w:fill="auto"/>
            <w:vAlign w:val="center"/>
          </w:tcPr>
          <w:p w14:paraId="6E1C42CE"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28845EAF" w14:textId="77777777" w:rsidTr="000470C3">
        <w:tc>
          <w:tcPr>
            <w:tcW w:w="1990" w:type="pct"/>
            <w:vAlign w:val="center"/>
          </w:tcPr>
          <w:p w14:paraId="07959956" w14:textId="77777777" w:rsidR="00DC5685" w:rsidRPr="001D51C3" w:rsidRDefault="00DC5685" w:rsidP="000470C3">
            <w:pPr>
              <w:widowControl w:val="0"/>
              <w:numPr>
                <w:ilvl w:val="12"/>
                <w:numId w:val="0"/>
              </w:numPr>
              <w:tabs>
                <w:tab w:val="left" w:pos="720"/>
              </w:tabs>
              <w:suppressAutoHyphens/>
              <w:rPr>
                <w:sz w:val="20"/>
                <w:szCs w:val="20"/>
                <w:lang w:val="es-ES"/>
              </w:rPr>
            </w:pPr>
            <w:r w:rsidRPr="001D51C3">
              <w:rPr>
                <w:sz w:val="20"/>
                <w:szCs w:val="20"/>
                <w:lang w:val="es-ES"/>
              </w:rPr>
              <w:t>NO(A)EL [mg/kg b.w./d]</w:t>
            </w:r>
          </w:p>
        </w:tc>
        <w:tc>
          <w:tcPr>
            <w:tcW w:w="1453" w:type="pct"/>
          </w:tcPr>
          <w:p w14:paraId="11283EAE"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939</w:t>
            </w:r>
          </w:p>
        </w:tc>
        <w:tc>
          <w:tcPr>
            <w:tcW w:w="1556" w:type="pct"/>
            <w:shd w:val="clear" w:color="auto" w:fill="auto"/>
            <w:vAlign w:val="center"/>
          </w:tcPr>
          <w:p w14:paraId="4FF942CC"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765EB45D" w14:textId="77777777" w:rsidTr="000470C3">
        <w:tc>
          <w:tcPr>
            <w:tcW w:w="1990" w:type="pct"/>
            <w:vAlign w:val="center"/>
          </w:tcPr>
          <w:p w14:paraId="7931197E"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Ratio (repro) </w:t>
            </w:r>
            <w:r w:rsidRPr="00A34F10">
              <w:rPr>
                <w:sz w:val="20"/>
                <w:szCs w:val="20"/>
                <w:vertAlign w:val="superscript"/>
                <w:lang w:val="en-GB"/>
              </w:rPr>
              <w:t>3)</w:t>
            </w:r>
          </w:p>
        </w:tc>
        <w:tc>
          <w:tcPr>
            <w:tcW w:w="1453" w:type="pct"/>
          </w:tcPr>
          <w:p w14:paraId="6BABE045"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0.564</w:t>
            </w:r>
          </w:p>
        </w:tc>
        <w:tc>
          <w:tcPr>
            <w:tcW w:w="1556" w:type="pct"/>
            <w:shd w:val="clear" w:color="auto" w:fill="auto"/>
            <w:vAlign w:val="center"/>
          </w:tcPr>
          <w:p w14:paraId="3BC7ADAE"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25C98303" w14:textId="77777777" w:rsidTr="000470C3">
        <w:tc>
          <w:tcPr>
            <w:tcW w:w="1990" w:type="pct"/>
            <w:vAlign w:val="center"/>
          </w:tcPr>
          <w:p w14:paraId="2A3A50EB"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Trigger</w:t>
            </w:r>
          </w:p>
        </w:tc>
        <w:tc>
          <w:tcPr>
            <w:tcW w:w="1453" w:type="pct"/>
          </w:tcPr>
          <w:p w14:paraId="1A3F0809"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3000</w:t>
            </w:r>
          </w:p>
        </w:tc>
        <w:tc>
          <w:tcPr>
            <w:tcW w:w="1556" w:type="pct"/>
            <w:shd w:val="clear" w:color="auto" w:fill="auto"/>
            <w:vAlign w:val="center"/>
          </w:tcPr>
          <w:p w14:paraId="7F2411BD"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3F6B720B" w14:textId="77777777" w:rsidTr="000470C3">
        <w:tc>
          <w:tcPr>
            <w:tcW w:w="1990" w:type="pct"/>
            <w:vAlign w:val="center"/>
          </w:tcPr>
          <w:p w14:paraId="3EB3CD9A"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Drinking water assessment</w:t>
            </w:r>
          </w:p>
          <w:p w14:paraId="12E359AD" w14:textId="77777777" w:rsidR="00DC5685" w:rsidRPr="00A34F10" w:rsidRDefault="00DC5685" w:rsidP="000470C3">
            <w:pPr>
              <w:widowControl w:val="0"/>
              <w:numPr>
                <w:ilvl w:val="12"/>
                <w:numId w:val="0"/>
              </w:numPr>
              <w:tabs>
                <w:tab w:val="left" w:pos="720"/>
              </w:tabs>
              <w:suppressAutoHyphens/>
              <w:rPr>
                <w:sz w:val="20"/>
                <w:szCs w:val="20"/>
                <w:lang w:val="en-GB"/>
              </w:rPr>
            </w:pPr>
            <w:r w:rsidRPr="00A34F10">
              <w:rPr>
                <w:sz w:val="20"/>
                <w:szCs w:val="20"/>
                <w:lang w:val="en-GB"/>
              </w:rPr>
              <w:t>required [Yes/No]</w:t>
            </w:r>
          </w:p>
        </w:tc>
        <w:tc>
          <w:tcPr>
            <w:tcW w:w="1453" w:type="pct"/>
            <w:vAlign w:val="center"/>
          </w:tcPr>
          <w:p w14:paraId="36F3F553"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No</w:t>
            </w:r>
          </w:p>
        </w:tc>
        <w:tc>
          <w:tcPr>
            <w:tcW w:w="1556" w:type="pct"/>
            <w:shd w:val="clear" w:color="auto" w:fill="auto"/>
            <w:vAlign w:val="center"/>
          </w:tcPr>
          <w:p w14:paraId="481742D3" w14:textId="77777777" w:rsidR="00DC5685" w:rsidRPr="00A34F10" w:rsidRDefault="00DC5685" w:rsidP="000470C3">
            <w:pPr>
              <w:widowControl w:val="0"/>
              <w:numPr>
                <w:ilvl w:val="12"/>
                <w:numId w:val="0"/>
              </w:numPr>
              <w:tabs>
                <w:tab w:val="left" w:pos="720"/>
              </w:tabs>
              <w:suppressAutoHyphens/>
              <w:jc w:val="center"/>
              <w:rPr>
                <w:sz w:val="20"/>
                <w:szCs w:val="20"/>
                <w:lang w:val="en-GB"/>
              </w:rPr>
            </w:pPr>
            <w:r w:rsidRPr="00A34F10">
              <w:rPr>
                <w:sz w:val="20"/>
                <w:szCs w:val="20"/>
                <w:lang w:val="en-GB"/>
              </w:rPr>
              <w:t>--</w:t>
            </w:r>
          </w:p>
        </w:tc>
      </w:tr>
    </w:tbl>
    <w:p w14:paraId="1802DE39" w14:textId="77777777" w:rsidR="00DC5685" w:rsidRPr="00A34F10" w:rsidRDefault="00DC5685" w:rsidP="00B9058E">
      <w:pPr>
        <w:tabs>
          <w:tab w:val="left" w:pos="360"/>
          <w:tab w:val="left" w:pos="720"/>
        </w:tabs>
        <w:suppressAutoHyphens/>
        <w:autoSpaceDE w:val="0"/>
        <w:autoSpaceDN w:val="0"/>
        <w:adjustRightInd w:val="0"/>
        <w:ind w:left="360" w:hangingChars="200" w:hanging="360"/>
        <w:rPr>
          <w:sz w:val="18"/>
          <w:szCs w:val="18"/>
          <w:lang w:val="en-GB"/>
        </w:rPr>
      </w:pPr>
      <w:r w:rsidRPr="00A34F10">
        <w:rPr>
          <w:sz w:val="18"/>
          <w:szCs w:val="18"/>
          <w:vertAlign w:val="superscript"/>
          <w:lang w:val="en-GB"/>
        </w:rPr>
        <w:t>1)</w:t>
      </w:r>
      <w:r w:rsidRPr="00A34F10">
        <w:rPr>
          <w:sz w:val="18"/>
          <w:szCs w:val="18"/>
          <w:lang w:val="en-GB"/>
        </w:rPr>
        <w:tab/>
        <w:t>MAFm = (1-e</w:t>
      </w:r>
      <w:r w:rsidRPr="00A34F10">
        <w:rPr>
          <w:sz w:val="18"/>
          <w:szCs w:val="18"/>
          <w:vertAlign w:val="superscript"/>
          <w:lang w:val="en-GB"/>
        </w:rPr>
        <w:t>-nki</w:t>
      </w:r>
      <w:r w:rsidRPr="00A34F10">
        <w:rPr>
          <w:sz w:val="18"/>
          <w:szCs w:val="18"/>
          <w:lang w:val="en-GB"/>
        </w:rPr>
        <w:t>) / (1-e</w:t>
      </w:r>
      <w:r w:rsidRPr="00A34F10">
        <w:rPr>
          <w:sz w:val="18"/>
          <w:szCs w:val="18"/>
          <w:vertAlign w:val="superscript"/>
          <w:lang w:val="en-GB"/>
        </w:rPr>
        <w:t>-ki</w:t>
      </w:r>
      <w:r w:rsidRPr="00A34F10">
        <w:rPr>
          <w:sz w:val="18"/>
          <w:szCs w:val="18"/>
          <w:lang w:val="en-GB"/>
        </w:rPr>
        <w:t>) with k = ln(2)/DT</w:t>
      </w:r>
      <w:r w:rsidRPr="00A34F10">
        <w:rPr>
          <w:sz w:val="18"/>
          <w:szCs w:val="18"/>
          <w:vertAlign w:val="subscript"/>
          <w:lang w:val="en-GB"/>
        </w:rPr>
        <w:t>50</w:t>
      </w:r>
      <w:r w:rsidRPr="00A34F10">
        <w:rPr>
          <w:sz w:val="18"/>
          <w:szCs w:val="18"/>
          <w:lang w:val="en-GB"/>
        </w:rPr>
        <w:t xml:space="preserve"> (rate constant), n = number of applications and i = application interval [d]</w:t>
      </w:r>
    </w:p>
    <w:p w14:paraId="4113FC76" w14:textId="77777777" w:rsidR="00DC5685" w:rsidRPr="00A34F10" w:rsidRDefault="00DC5685" w:rsidP="00B9058E">
      <w:pPr>
        <w:tabs>
          <w:tab w:val="left" w:pos="360"/>
          <w:tab w:val="left" w:pos="720"/>
        </w:tabs>
        <w:suppressAutoHyphens/>
        <w:autoSpaceDE w:val="0"/>
        <w:autoSpaceDN w:val="0"/>
        <w:adjustRightInd w:val="0"/>
        <w:rPr>
          <w:sz w:val="18"/>
          <w:szCs w:val="18"/>
          <w:vertAlign w:val="subscript"/>
          <w:lang w:val="en-GB"/>
        </w:rPr>
      </w:pPr>
      <w:r w:rsidRPr="00A34F10">
        <w:rPr>
          <w:sz w:val="18"/>
          <w:szCs w:val="18"/>
          <w:vertAlign w:val="superscript"/>
          <w:lang w:val="en-GB"/>
        </w:rPr>
        <w:t>2)</w:t>
      </w:r>
      <w:r w:rsidRPr="00A34F10">
        <w:rPr>
          <w:sz w:val="18"/>
          <w:szCs w:val="18"/>
          <w:lang w:val="en-GB"/>
        </w:rPr>
        <w:tab/>
        <w:t>AR</w:t>
      </w:r>
      <w:r w:rsidRPr="00A34F10">
        <w:rPr>
          <w:sz w:val="18"/>
          <w:szCs w:val="18"/>
          <w:vertAlign w:val="subscript"/>
          <w:lang w:val="en-GB"/>
        </w:rPr>
        <w:t>eff</w:t>
      </w:r>
      <w:r w:rsidRPr="00A34F10">
        <w:rPr>
          <w:sz w:val="18"/>
          <w:szCs w:val="18"/>
          <w:lang w:val="en-GB"/>
        </w:rPr>
        <w:t xml:space="preserve"> = Application rate (g/ha) x MAF</w:t>
      </w:r>
      <w:r w:rsidRPr="00A34F10">
        <w:rPr>
          <w:sz w:val="18"/>
          <w:szCs w:val="18"/>
          <w:vertAlign w:val="subscript"/>
          <w:lang w:val="en-GB"/>
        </w:rPr>
        <w:t>mean</w:t>
      </w:r>
    </w:p>
    <w:p w14:paraId="36C906D8" w14:textId="2742BB6F" w:rsidR="009B71DE" w:rsidRDefault="00DC5685" w:rsidP="00B9058E">
      <w:pPr>
        <w:tabs>
          <w:tab w:val="left" w:pos="360"/>
          <w:tab w:val="left" w:pos="720"/>
        </w:tabs>
        <w:suppressAutoHyphens/>
        <w:autoSpaceDE w:val="0"/>
        <w:autoSpaceDN w:val="0"/>
        <w:adjustRightInd w:val="0"/>
        <w:rPr>
          <w:sz w:val="18"/>
          <w:szCs w:val="18"/>
          <w:lang w:val="en-GB"/>
        </w:rPr>
      </w:pPr>
      <w:r w:rsidRPr="00A34F10">
        <w:rPr>
          <w:sz w:val="18"/>
          <w:szCs w:val="18"/>
          <w:vertAlign w:val="superscript"/>
          <w:lang w:val="en-GB"/>
        </w:rPr>
        <w:t>3)</w:t>
      </w:r>
      <w:r w:rsidRPr="00A34F10">
        <w:rPr>
          <w:sz w:val="18"/>
          <w:szCs w:val="18"/>
          <w:lang w:val="en-GB"/>
        </w:rPr>
        <w:tab/>
        <w:t>Ratio of AR</w:t>
      </w:r>
      <w:r w:rsidRPr="00A34F10">
        <w:rPr>
          <w:sz w:val="18"/>
          <w:szCs w:val="18"/>
          <w:vertAlign w:val="subscript"/>
          <w:lang w:val="en-GB"/>
        </w:rPr>
        <w:t>eff</w:t>
      </w:r>
      <w:r w:rsidRPr="00A34F10">
        <w:rPr>
          <w:sz w:val="18"/>
          <w:szCs w:val="18"/>
          <w:lang w:val="en-GB"/>
        </w:rPr>
        <w:t xml:space="preserve"> and relevant toxicity endpoint</w:t>
      </w:r>
    </w:p>
    <w:p w14:paraId="461D470C" w14:textId="77777777" w:rsidR="009B71DE" w:rsidRDefault="009B71DE">
      <w:pPr>
        <w:rPr>
          <w:sz w:val="18"/>
          <w:szCs w:val="18"/>
          <w:lang w:val="en-GB"/>
        </w:rPr>
      </w:pPr>
      <w:r>
        <w:rPr>
          <w:sz w:val="18"/>
          <w:szCs w:val="18"/>
          <w:lang w:val="en-GB"/>
        </w:rPr>
        <w:br w:type="page"/>
      </w:r>
    </w:p>
    <w:p w14:paraId="1927EA38" w14:textId="29A99E0A" w:rsidR="00DC5685" w:rsidRPr="00A34F10" w:rsidRDefault="00DC5685" w:rsidP="00025D8F">
      <w:pPr>
        <w:pStyle w:val="RepLabel"/>
        <w:suppressAutoHyphens/>
        <w:jc w:val="both"/>
      </w:pPr>
      <w:r w:rsidRPr="00A34F10">
        <w:lastRenderedPageBreak/>
        <w:t xml:space="preserve">Table </w:t>
      </w:r>
      <w:fldSimple w:instr=" STYLEREF 2 \s ">
        <w:r w:rsidR="006F0F3B">
          <w:rPr>
            <w:noProof/>
          </w:rPr>
          <w:t>9.3</w:t>
        </w:r>
      </w:fldSimple>
      <w:r w:rsidRPr="00A34F10">
        <w:noBreakHyphen/>
      </w:r>
      <w:r w:rsidR="008D2847" w:rsidRPr="008D2847">
        <w:rPr>
          <w:highlight w:val="green"/>
        </w:rPr>
        <w:t>20</w:t>
      </w:r>
      <w:r w:rsidRPr="00A34F10">
        <w:t>:</w:t>
      </w:r>
      <w:r w:rsidRPr="00A34F10">
        <w:tab/>
        <w:t>Assessment of the risk for mammals due to exposure to Propamocarb-HCl via contaminated drinking water in puddles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1"/>
        <w:gridCol w:w="2717"/>
        <w:gridCol w:w="2909"/>
      </w:tblGrid>
      <w:tr w:rsidR="00DC5685" w:rsidRPr="00A34F10" w14:paraId="72534158" w14:textId="77777777" w:rsidTr="000470C3">
        <w:tc>
          <w:tcPr>
            <w:tcW w:w="1990" w:type="pct"/>
            <w:vAlign w:val="center"/>
          </w:tcPr>
          <w:p w14:paraId="2B5115A0" w14:textId="77777777" w:rsidR="00DC5685" w:rsidRPr="00A34F10" w:rsidRDefault="00DC5685" w:rsidP="00025D8F">
            <w:pPr>
              <w:keepNext/>
              <w:widowControl w:val="0"/>
              <w:tabs>
                <w:tab w:val="left" w:pos="720"/>
              </w:tabs>
              <w:suppressAutoHyphens/>
              <w:rPr>
                <w:b/>
                <w:bCs/>
                <w:sz w:val="20"/>
                <w:szCs w:val="20"/>
                <w:lang w:val="en-GB"/>
              </w:rPr>
            </w:pPr>
            <w:r w:rsidRPr="00A34F10">
              <w:rPr>
                <w:b/>
                <w:bCs/>
                <w:sz w:val="20"/>
                <w:szCs w:val="20"/>
                <w:lang w:val="en-GB"/>
              </w:rPr>
              <w:t>Parameter</w:t>
            </w:r>
          </w:p>
        </w:tc>
        <w:tc>
          <w:tcPr>
            <w:tcW w:w="1453" w:type="pct"/>
          </w:tcPr>
          <w:p w14:paraId="60B76634" w14:textId="77777777" w:rsidR="00DC5685" w:rsidRPr="00A34F10" w:rsidRDefault="00DC5685" w:rsidP="00025D8F">
            <w:pPr>
              <w:keepNext/>
              <w:widowControl w:val="0"/>
              <w:suppressAutoHyphens/>
              <w:jc w:val="center"/>
              <w:rPr>
                <w:b/>
                <w:bCs/>
                <w:sz w:val="20"/>
                <w:szCs w:val="20"/>
                <w:lang w:val="en-GB"/>
              </w:rPr>
            </w:pPr>
            <w:r w:rsidRPr="00A34F10">
              <w:rPr>
                <w:b/>
                <w:bCs/>
                <w:sz w:val="20"/>
                <w:szCs w:val="20"/>
                <w:lang w:val="en-GB"/>
              </w:rPr>
              <w:t>Propamocarb-HCl</w:t>
            </w:r>
          </w:p>
        </w:tc>
        <w:tc>
          <w:tcPr>
            <w:tcW w:w="1556" w:type="pct"/>
            <w:shd w:val="clear" w:color="auto" w:fill="auto"/>
            <w:vAlign w:val="center"/>
          </w:tcPr>
          <w:p w14:paraId="76D8B2E0" w14:textId="77777777" w:rsidR="00DC5685" w:rsidRPr="00A34F10" w:rsidRDefault="00DC5685" w:rsidP="00025D8F">
            <w:pPr>
              <w:keepNext/>
              <w:widowControl w:val="0"/>
              <w:tabs>
                <w:tab w:val="left" w:pos="720"/>
              </w:tabs>
              <w:suppressAutoHyphens/>
              <w:jc w:val="center"/>
              <w:rPr>
                <w:b/>
                <w:bCs/>
                <w:sz w:val="20"/>
                <w:szCs w:val="20"/>
                <w:lang w:val="en-GB"/>
              </w:rPr>
            </w:pPr>
            <w:r w:rsidRPr="00A34F10">
              <w:rPr>
                <w:b/>
                <w:bCs/>
                <w:sz w:val="20"/>
                <w:szCs w:val="20"/>
                <w:lang w:val="en-GB"/>
              </w:rPr>
              <w:t>Reference</w:t>
            </w:r>
          </w:p>
        </w:tc>
      </w:tr>
      <w:tr w:rsidR="00DC5685" w:rsidRPr="00A34F10" w14:paraId="7C6A8FB2" w14:textId="77777777" w:rsidTr="000470C3">
        <w:tc>
          <w:tcPr>
            <w:tcW w:w="1990" w:type="pct"/>
            <w:vAlign w:val="center"/>
          </w:tcPr>
          <w:p w14:paraId="7EFEC47A"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Koc (geometric mean) [L/kg]</w:t>
            </w:r>
          </w:p>
        </w:tc>
        <w:tc>
          <w:tcPr>
            <w:tcW w:w="1453" w:type="pct"/>
            <w:vAlign w:val="center"/>
          </w:tcPr>
          <w:p w14:paraId="0EC471BC"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535.56</w:t>
            </w:r>
          </w:p>
        </w:tc>
        <w:tc>
          <w:tcPr>
            <w:tcW w:w="1556" w:type="pct"/>
            <w:shd w:val="clear" w:color="auto" w:fill="auto"/>
            <w:vAlign w:val="center"/>
          </w:tcPr>
          <w:p w14:paraId="214C050D" w14:textId="77777777" w:rsidR="00DC5685" w:rsidRPr="00A34F10" w:rsidRDefault="00DC5685" w:rsidP="00025D8F">
            <w:pPr>
              <w:keepNext/>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Chapter 8.5.1 and 8.5.2</w:t>
            </w:r>
          </w:p>
        </w:tc>
      </w:tr>
      <w:tr w:rsidR="00DC5685" w:rsidRPr="00A34F10" w14:paraId="36CEA7E3" w14:textId="77777777" w:rsidTr="000470C3">
        <w:tc>
          <w:tcPr>
            <w:tcW w:w="1990" w:type="pct"/>
            <w:vAlign w:val="center"/>
          </w:tcPr>
          <w:p w14:paraId="1F17A6E9"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Number of applications</w:t>
            </w:r>
          </w:p>
        </w:tc>
        <w:tc>
          <w:tcPr>
            <w:tcW w:w="1453" w:type="pct"/>
          </w:tcPr>
          <w:p w14:paraId="696B0D3D"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3</w:t>
            </w:r>
          </w:p>
        </w:tc>
        <w:tc>
          <w:tcPr>
            <w:tcW w:w="1556" w:type="pct"/>
            <w:shd w:val="clear" w:color="auto" w:fill="auto"/>
            <w:vAlign w:val="center"/>
          </w:tcPr>
          <w:p w14:paraId="4AE7B9C5" w14:textId="77777777" w:rsidR="00DC5685" w:rsidRPr="00A34F10" w:rsidRDefault="00DC5685" w:rsidP="00025D8F">
            <w:pPr>
              <w:keepNext/>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390C0B8B" w14:textId="77777777" w:rsidTr="000470C3">
        <w:tc>
          <w:tcPr>
            <w:tcW w:w="1990" w:type="pct"/>
            <w:vAlign w:val="center"/>
          </w:tcPr>
          <w:p w14:paraId="310B89D4"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Interval [days]</w:t>
            </w:r>
          </w:p>
        </w:tc>
        <w:tc>
          <w:tcPr>
            <w:tcW w:w="1453" w:type="pct"/>
          </w:tcPr>
          <w:p w14:paraId="22B3661B"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5</w:t>
            </w:r>
          </w:p>
        </w:tc>
        <w:tc>
          <w:tcPr>
            <w:tcW w:w="1556" w:type="pct"/>
            <w:shd w:val="clear" w:color="auto" w:fill="auto"/>
            <w:vAlign w:val="center"/>
          </w:tcPr>
          <w:p w14:paraId="5760D659" w14:textId="77777777" w:rsidR="00DC5685" w:rsidRPr="00A34F10" w:rsidRDefault="00DC5685" w:rsidP="00025D8F">
            <w:pPr>
              <w:keepNext/>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See above</w:t>
            </w:r>
          </w:p>
        </w:tc>
      </w:tr>
      <w:tr w:rsidR="00DC5685" w:rsidRPr="00A34F10" w14:paraId="21AF3D45" w14:textId="77777777" w:rsidTr="000470C3">
        <w:tc>
          <w:tcPr>
            <w:tcW w:w="1990" w:type="pct"/>
            <w:vAlign w:val="center"/>
          </w:tcPr>
          <w:p w14:paraId="1E23ACF6"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MAF</w:t>
            </w:r>
            <w:r w:rsidRPr="00A34F10">
              <w:rPr>
                <w:sz w:val="20"/>
                <w:szCs w:val="20"/>
                <w:vertAlign w:val="subscript"/>
                <w:lang w:val="en-GB"/>
              </w:rPr>
              <w:t>m</w:t>
            </w:r>
            <w:r w:rsidRPr="00A34F10">
              <w:rPr>
                <w:sz w:val="20"/>
                <w:szCs w:val="20"/>
                <w:lang w:val="en-GB"/>
              </w:rPr>
              <w:t> </w:t>
            </w:r>
            <w:r w:rsidRPr="00A34F10">
              <w:rPr>
                <w:sz w:val="20"/>
                <w:szCs w:val="20"/>
                <w:vertAlign w:val="superscript"/>
                <w:lang w:val="en-GB"/>
              </w:rPr>
              <w:t>1)</w:t>
            </w:r>
          </w:p>
        </w:tc>
        <w:tc>
          <w:tcPr>
            <w:tcW w:w="1453" w:type="pct"/>
          </w:tcPr>
          <w:p w14:paraId="59AF2E8F"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2.21</w:t>
            </w:r>
          </w:p>
        </w:tc>
        <w:tc>
          <w:tcPr>
            <w:tcW w:w="1556" w:type="pct"/>
            <w:shd w:val="clear" w:color="auto" w:fill="auto"/>
            <w:vAlign w:val="center"/>
          </w:tcPr>
          <w:p w14:paraId="309A11F2" w14:textId="77777777" w:rsidR="00DC5685" w:rsidRPr="00A34F10" w:rsidRDefault="00DC5685" w:rsidP="00025D8F">
            <w:pPr>
              <w:keepNext/>
              <w:widowControl w:val="0"/>
              <w:numPr>
                <w:ilvl w:val="12"/>
                <w:numId w:val="0"/>
              </w:numPr>
              <w:tabs>
                <w:tab w:val="left" w:pos="720"/>
              </w:tabs>
              <w:suppressAutoHyphens/>
              <w:autoSpaceDE w:val="0"/>
              <w:autoSpaceDN w:val="0"/>
              <w:adjustRightInd w:val="0"/>
              <w:jc w:val="center"/>
              <w:rPr>
                <w:sz w:val="20"/>
                <w:szCs w:val="20"/>
                <w:lang w:val="en-GB"/>
              </w:rPr>
            </w:pPr>
            <w:r w:rsidRPr="00A34F10">
              <w:rPr>
                <w:sz w:val="20"/>
                <w:szCs w:val="20"/>
                <w:lang w:val="en-GB"/>
              </w:rPr>
              <w:t>--</w:t>
            </w:r>
          </w:p>
        </w:tc>
      </w:tr>
      <w:tr w:rsidR="00DC5685" w:rsidRPr="00A34F10" w14:paraId="4F0C8ED8" w14:textId="77777777" w:rsidTr="000470C3">
        <w:tc>
          <w:tcPr>
            <w:tcW w:w="1990" w:type="pct"/>
            <w:vAlign w:val="center"/>
          </w:tcPr>
          <w:p w14:paraId="5ACE3710"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Max use rate [g/ha]</w:t>
            </w:r>
          </w:p>
        </w:tc>
        <w:tc>
          <w:tcPr>
            <w:tcW w:w="1453" w:type="pct"/>
          </w:tcPr>
          <w:p w14:paraId="34234717"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902</w:t>
            </w:r>
          </w:p>
        </w:tc>
        <w:tc>
          <w:tcPr>
            <w:tcW w:w="1556" w:type="pct"/>
            <w:shd w:val="clear" w:color="auto" w:fill="auto"/>
            <w:vAlign w:val="center"/>
          </w:tcPr>
          <w:p w14:paraId="486B14DF"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3F230C32" w14:textId="77777777" w:rsidTr="000470C3">
        <w:tc>
          <w:tcPr>
            <w:tcW w:w="1990" w:type="pct"/>
            <w:vAlign w:val="center"/>
          </w:tcPr>
          <w:p w14:paraId="2FD0DA86"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AR</w:t>
            </w:r>
            <w:r w:rsidRPr="00A34F10">
              <w:rPr>
                <w:sz w:val="20"/>
                <w:szCs w:val="20"/>
                <w:vertAlign w:val="subscript"/>
                <w:lang w:val="en-GB"/>
              </w:rPr>
              <w:t>eff</w:t>
            </w:r>
            <w:r w:rsidRPr="00A34F10">
              <w:rPr>
                <w:sz w:val="20"/>
                <w:szCs w:val="20"/>
                <w:lang w:val="en-GB"/>
              </w:rPr>
              <w:t xml:space="preserve"> [g/ha] </w:t>
            </w:r>
            <w:r w:rsidRPr="00A34F10">
              <w:rPr>
                <w:sz w:val="20"/>
                <w:szCs w:val="20"/>
                <w:vertAlign w:val="superscript"/>
                <w:lang w:val="en-GB"/>
              </w:rPr>
              <w:t>2)</w:t>
            </w:r>
          </w:p>
        </w:tc>
        <w:tc>
          <w:tcPr>
            <w:tcW w:w="1453" w:type="pct"/>
          </w:tcPr>
          <w:p w14:paraId="7A5C094A"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1991</w:t>
            </w:r>
          </w:p>
        </w:tc>
        <w:tc>
          <w:tcPr>
            <w:tcW w:w="1556" w:type="pct"/>
            <w:shd w:val="clear" w:color="auto" w:fill="auto"/>
            <w:vAlign w:val="center"/>
          </w:tcPr>
          <w:p w14:paraId="37DD4815"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4F36955A" w14:textId="77777777" w:rsidTr="000470C3">
        <w:tc>
          <w:tcPr>
            <w:tcW w:w="1990" w:type="pct"/>
            <w:vAlign w:val="center"/>
          </w:tcPr>
          <w:p w14:paraId="3E97A757"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LD</w:t>
            </w:r>
            <w:r w:rsidRPr="00A34F10">
              <w:rPr>
                <w:sz w:val="20"/>
                <w:szCs w:val="20"/>
                <w:vertAlign w:val="subscript"/>
                <w:lang w:val="en-GB"/>
              </w:rPr>
              <w:t>50</w:t>
            </w:r>
            <w:r w:rsidRPr="00A34F10">
              <w:rPr>
                <w:sz w:val="20"/>
                <w:szCs w:val="20"/>
                <w:lang w:val="en-GB"/>
              </w:rPr>
              <w:t xml:space="preserve"> [mg/kg b.w.]</w:t>
            </w:r>
          </w:p>
        </w:tc>
        <w:tc>
          <w:tcPr>
            <w:tcW w:w="1453" w:type="pct"/>
          </w:tcPr>
          <w:p w14:paraId="5AFB91E4"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2000</w:t>
            </w:r>
          </w:p>
        </w:tc>
        <w:tc>
          <w:tcPr>
            <w:tcW w:w="1556" w:type="pct"/>
            <w:shd w:val="clear" w:color="auto" w:fill="auto"/>
            <w:vAlign w:val="center"/>
          </w:tcPr>
          <w:p w14:paraId="0018B724"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4F274074" w14:textId="77777777" w:rsidTr="000470C3">
        <w:tc>
          <w:tcPr>
            <w:tcW w:w="1990" w:type="pct"/>
            <w:vAlign w:val="center"/>
          </w:tcPr>
          <w:p w14:paraId="7C0C7D27"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Ratio (acute) </w:t>
            </w:r>
            <w:r w:rsidRPr="00A34F10">
              <w:rPr>
                <w:sz w:val="20"/>
                <w:szCs w:val="20"/>
                <w:vertAlign w:val="superscript"/>
                <w:lang w:val="en-GB"/>
              </w:rPr>
              <w:t>3)</w:t>
            </w:r>
          </w:p>
        </w:tc>
        <w:tc>
          <w:tcPr>
            <w:tcW w:w="1453" w:type="pct"/>
          </w:tcPr>
          <w:p w14:paraId="062A3862"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0.995</w:t>
            </w:r>
          </w:p>
        </w:tc>
        <w:tc>
          <w:tcPr>
            <w:tcW w:w="1556" w:type="pct"/>
            <w:shd w:val="clear" w:color="auto" w:fill="auto"/>
            <w:vAlign w:val="center"/>
          </w:tcPr>
          <w:p w14:paraId="1CC1BAC8"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5C17CAE5" w14:textId="77777777" w:rsidTr="000470C3">
        <w:tc>
          <w:tcPr>
            <w:tcW w:w="1990" w:type="pct"/>
            <w:vAlign w:val="center"/>
          </w:tcPr>
          <w:p w14:paraId="2FE08C04" w14:textId="77777777" w:rsidR="00DC5685" w:rsidRPr="001D51C3" w:rsidRDefault="00DC5685" w:rsidP="00025D8F">
            <w:pPr>
              <w:keepNext/>
              <w:widowControl w:val="0"/>
              <w:numPr>
                <w:ilvl w:val="12"/>
                <w:numId w:val="0"/>
              </w:numPr>
              <w:tabs>
                <w:tab w:val="left" w:pos="720"/>
              </w:tabs>
              <w:suppressAutoHyphens/>
              <w:rPr>
                <w:sz w:val="20"/>
                <w:szCs w:val="20"/>
                <w:lang w:val="es-ES"/>
              </w:rPr>
            </w:pPr>
            <w:r w:rsidRPr="001D51C3">
              <w:rPr>
                <w:sz w:val="20"/>
                <w:szCs w:val="20"/>
                <w:lang w:val="es-ES"/>
              </w:rPr>
              <w:t>NO(A)EL [mg/kg b.w./d]</w:t>
            </w:r>
          </w:p>
        </w:tc>
        <w:tc>
          <w:tcPr>
            <w:tcW w:w="1453" w:type="pct"/>
          </w:tcPr>
          <w:p w14:paraId="5468422E"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104</w:t>
            </w:r>
          </w:p>
        </w:tc>
        <w:tc>
          <w:tcPr>
            <w:tcW w:w="1556" w:type="pct"/>
            <w:shd w:val="clear" w:color="auto" w:fill="auto"/>
            <w:vAlign w:val="center"/>
          </w:tcPr>
          <w:p w14:paraId="3EBFB88D"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See above</w:t>
            </w:r>
          </w:p>
        </w:tc>
      </w:tr>
      <w:tr w:rsidR="00DC5685" w:rsidRPr="00A34F10" w14:paraId="7D375B89" w14:textId="77777777" w:rsidTr="000470C3">
        <w:tc>
          <w:tcPr>
            <w:tcW w:w="1990" w:type="pct"/>
            <w:vAlign w:val="center"/>
          </w:tcPr>
          <w:p w14:paraId="17CF8C95"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Ratio (repro) </w:t>
            </w:r>
            <w:r w:rsidRPr="00A34F10">
              <w:rPr>
                <w:sz w:val="20"/>
                <w:szCs w:val="20"/>
                <w:vertAlign w:val="superscript"/>
                <w:lang w:val="en-GB"/>
              </w:rPr>
              <w:t>3)</w:t>
            </w:r>
          </w:p>
        </w:tc>
        <w:tc>
          <w:tcPr>
            <w:tcW w:w="1453" w:type="pct"/>
          </w:tcPr>
          <w:p w14:paraId="1050FE5B"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19.14</w:t>
            </w:r>
          </w:p>
        </w:tc>
        <w:tc>
          <w:tcPr>
            <w:tcW w:w="1556" w:type="pct"/>
            <w:shd w:val="clear" w:color="auto" w:fill="auto"/>
            <w:vAlign w:val="center"/>
          </w:tcPr>
          <w:p w14:paraId="0E3AB4D1"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5264936A" w14:textId="77777777" w:rsidTr="000470C3">
        <w:tc>
          <w:tcPr>
            <w:tcW w:w="1990" w:type="pct"/>
            <w:vAlign w:val="center"/>
          </w:tcPr>
          <w:p w14:paraId="4FBF9E04"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Trigger</w:t>
            </w:r>
          </w:p>
        </w:tc>
        <w:tc>
          <w:tcPr>
            <w:tcW w:w="1453" w:type="pct"/>
          </w:tcPr>
          <w:p w14:paraId="051DD40D"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3000</w:t>
            </w:r>
          </w:p>
        </w:tc>
        <w:tc>
          <w:tcPr>
            <w:tcW w:w="1556" w:type="pct"/>
            <w:shd w:val="clear" w:color="auto" w:fill="auto"/>
            <w:vAlign w:val="center"/>
          </w:tcPr>
          <w:p w14:paraId="645CACF8"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w:t>
            </w:r>
          </w:p>
        </w:tc>
      </w:tr>
      <w:tr w:rsidR="00DC5685" w:rsidRPr="00A34F10" w14:paraId="0BEE46D6" w14:textId="77777777" w:rsidTr="000470C3">
        <w:tc>
          <w:tcPr>
            <w:tcW w:w="1990" w:type="pct"/>
            <w:vAlign w:val="center"/>
          </w:tcPr>
          <w:p w14:paraId="777823DE"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Drinking water assessment</w:t>
            </w:r>
          </w:p>
          <w:p w14:paraId="5704FE19" w14:textId="77777777" w:rsidR="00DC5685" w:rsidRPr="00A34F10" w:rsidRDefault="00DC5685" w:rsidP="00025D8F">
            <w:pPr>
              <w:keepNext/>
              <w:widowControl w:val="0"/>
              <w:numPr>
                <w:ilvl w:val="12"/>
                <w:numId w:val="0"/>
              </w:numPr>
              <w:tabs>
                <w:tab w:val="left" w:pos="720"/>
              </w:tabs>
              <w:suppressAutoHyphens/>
              <w:rPr>
                <w:sz w:val="20"/>
                <w:szCs w:val="20"/>
                <w:lang w:val="en-GB"/>
              </w:rPr>
            </w:pPr>
            <w:r w:rsidRPr="00A34F10">
              <w:rPr>
                <w:sz w:val="20"/>
                <w:szCs w:val="20"/>
                <w:lang w:val="en-GB"/>
              </w:rPr>
              <w:t>required [Yes/No]</w:t>
            </w:r>
          </w:p>
        </w:tc>
        <w:tc>
          <w:tcPr>
            <w:tcW w:w="1453" w:type="pct"/>
            <w:vAlign w:val="center"/>
          </w:tcPr>
          <w:p w14:paraId="7594E80F" w14:textId="77777777" w:rsidR="00DC5685" w:rsidRPr="00A34F10" w:rsidRDefault="00DC5685" w:rsidP="00025D8F">
            <w:pPr>
              <w:keepNext/>
              <w:widowControl w:val="0"/>
              <w:numPr>
                <w:ilvl w:val="12"/>
                <w:numId w:val="0"/>
              </w:numPr>
              <w:suppressAutoHyphens/>
              <w:jc w:val="center"/>
              <w:rPr>
                <w:sz w:val="20"/>
                <w:szCs w:val="20"/>
                <w:lang w:val="en-GB"/>
              </w:rPr>
            </w:pPr>
            <w:r w:rsidRPr="00A34F10">
              <w:rPr>
                <w:sz w:val="20"/>
                <w:szCs w:val="20"/>
                <w:lang w:val="en-GB"/>
              </w:rPr>
              <w:t>No</w:t>
            </w:r>
          </w:p>
        </w:tc>
        <w:tc>
          <w:tcPr>
            <w:tcW w:w="1556" w:type="pct"/>
            <w:shd w:val="clear" w:color="auto" w:fill="auto"/>
            <w:vAlign w:val="center"/>
          </w:tcPr>
          <w:p w14:paraId="6C9785A0" w14:textId="77777777" w:rsidR="00DC5685" w:rsidRPr="00A34F10" w:rsidRDefault="00DC5685" w:rsidP="00025D8F">
            <w:pPr>
              <w:keepNext/>
              <w:widowControl w:val="0"/>
              <w:numPr>
                <w:ilvl w:val="12"/>
                <w:numId w:val="0"/>
              </w:numPr>
              <w:tabs>
                <w:tab w:val="left" w:pos="720"/>
              </w:tabs>
              <w:suppressAutoHyphens/>
              <w:jc w:val="center"/>
              <w:rPr>
                <w:sz w:val="20"/>
                <w:szCs w:val="20"/>
                <w:lang w:val="en-GB"/>
              </w:rPr>
            </w:pPr>
            <w:r w:rsidRPr="00A34F10">
              <w:rPr>
                <w:sz w:val="20"/>
                <w:szCs w:val="20"/>
                <w:lang w:val="en-GB"/>
              </w:rPr>
              <w:t>--</w:t>
            </w:r>
          </w:p>
        </w:tc>
      </w:tr>
    </w:tbl>
    <w:p w14:paraId="4F202F05" w14:textId="77777777" w:rsidR="00DC5685" w:rsidRPr="00A34F10" w:rsidRDefault="00DC5685" w:rsidP="00DC5685">
      <w:pPr>
        <w:keepNext/>
        <w:keepLines/>
        <w:tabs>
          <w:tab w:val="left" w:pos="360"/>
          <w:tab w:val="left" w:pos="720"/>
        </w:tabs>
        <w:suppressAutoHyphens/>
        <w:autoSpaceDE w:val="0"/>
        <w:autoSpaceDN w:val="0"/>
        <w:adjustRightInd w:val="0"/>
        <w:ind w:left="360" w:hangingChars="200" w:hanging="360"/>
        <w:rPr>
          <w:sz w:val="18"/>
          <w:szCs w:val="18"/>
          <w:lang w:val="en-GB"/>
        </w:rPr>
      </w:pPr>
      <w:r w:rsidRPr="00A34F10">
        <w:rPr>
          <w:sz w:val="18"/>
          <w:szCs w:val="18"/>
          <w:vertAlign w:val="superscript"/>
          <w:lang w:val="en-GB"/>
        </w:rPr>
        <w:t>1)</w:t>
      </w:r>
      <w:r w:rsidRPr="00A34F10">
        <w:rPr>
          <w:sz w:val="18"/>
          <w:szCs w:val="18"/>
          <w:lang w:val="en-GB"/>
        </w:rPr>
        <w:tab/>
        <w:t>MAFm = (1-e</w:t>
      </w:r>
      <w:r w:rsidRPr="00A34F10">
        <w:rPr>
          <w:sz w:val="18"/>
          <w:szCs w:val="18"/>
          <w:vertAlign w:val="superscript"/>
          <w:lang w:val="en-GB"/>
        </w:rPr>
        <w:t>-nki</w:t>
      </w:r>
      <w:r w:rsidRPr="00A34F10">
        <w:rPr>
          <w:sz w:val="18"/>
          <w:szCs w:val="18"/>
          <w:lang w:val="en-GB"/>
        </w:rPr>
        <w:t>) / (1-e</w:t>
      </w:r>
      <w:r w:rsidRPr="00A34F10">
        <w:rPr>
          <w:sz w:val="18"/>
          <w:szCs w:val="18"/>
          <w:vertAlign w:val="superscript"/>
          <w:lang w:val="en-GB"/>
        </w:rPr>
        <w:t>-ki</w:t>
      </w:r>
      <w:r w:rsidRPr="00A34F10">
        <w:rPr>
          <w:sz w:val="18"/>
          <w:szCs w:val="18"/>
          <w:lang w:val="en-GB"/>
        </w:rPr>
        <w:t>) with k = ln(2)/DT</w:t>
      </w:r>
      <w:r w:rsidRPr="00A34F10">
        <w:rPr>
          <w:sz w:val="18"/>
          <w:szCs w:val="18"/>
          <w:vertAlign w:val="subscript"/>
          <w:lang w:val="en-GB"/>
        </w:rPr>
        <w:t>50</w:t>
      </w:r>
      <w:r w:rsidRPr="00A34F10">
        <w:rPr>
          <w:sz w:val="18"/>
          <w:szCs w:val="18"/>
          <w:lang w:val="en-GB"/>
        </w:rPr>
        <w:t xml:space="preserve"> (rate constant), n = number of applications and i = application interval [d]</w:t>
      </w:r>
    </w:p>
    <w:p w14:paraId="20B8C443"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vertAlign w:val="subscript"/>
          <w:lang w:val="en-GB"/>
        </w:rPr>
      </w:pPr>
      <w:r w:rsidRPr="00A34F10">
        <w:rPr>
          <w:sz w:val="18"/>
          <w:szCs w:val="18"/>
          <w:vertAlign w:val="superscript"/>
          <w:lang w:val="en-GB"/>
        </w:rPr>
        <w:t>2)</w:t>
      </w:r>
      <w:r w:rsidRPr="00A34F10">
        <w:rPr>
          <w:sz w:val="18"/>
          <w:szCs w:val="18"/>
          <w:lang w:val="en-GB"/>
        </w:rPr>
        <w:tab/>
        <w:t>AR</w:t>
      </w:r>
      <w:r w:rsidRPr="00A34F10">
        <w:rPr>
          <w:sz w:val="18"/>
          <w:szCs w:val="18"/>
          <w:vertAlign w:val="subscript"/>
          <w:lang w:val="en-GB"/>
        </w:rPr>
        <w:t>eff</w:t>
      </w:r>
      <w:r w:rsidRPr="00A34F10">
        <w:rPr>
          <w:sz w:val="18"/>
          <w:szCs w:val="18"/>
          <w:lang w:val="en-GB"/>
        </w:rPr>
        <w:t xml:space="preserve"> = Application rate (g/ha) x MAF</w:t>
      </w:r>
      <w:r w:rsidRPr="00A34F10">
        <w:rPr>
          <w:sz w:val="18"/>
          <w:szCs w:val="18"/>
          <w:vertAlign w:val="subscript"/>
          <w:lang w:val="en-GB"/>
        </w:rPr>
        <w:t>mean</w:t>
      </w:r>
    </w:p>
    <w:p w14:paraId="6B4DF1F7" w14:textId="77777777" w:rsidR="00DC5685" w:rsidRPr="00A34F10" w:rsidRDefault="00DC5685" w:rsidP="00DC5685">
      <w:pPr>
        <w:keepNext/>
        <w:keepLines/>
        <w:tabs>
          <w:tab w:val="left" w:pos="360"/>
          <w:tab w:val="left" w:pos="720"/>
        </w:tabs>
        <w:suppressAutoHyphens/>
        <w:autoSpaceDE w:val="0"/>
        <w:autoSpaceDN w:val="0"/>
        <w:adjustRightInd w:val="0"/>
        <w:rPr>
          <w:sz w:val="18"/>
          <w:szCs w:val="18"/>
          <w:lang w:val="en-GB"/>
        </w:rPr>
      </w:pPr>
      <w:r w:rsidRPr="00A34F10">
        <w:rPr>
          <w:sz w:val="18"/>
          <w:szCs w:val="18"/>
          <w:vertAlign w:val="superscript"/>
          <w:lang w:val="en-GB"/>
        </w:rPr>
        <w:t>3)</w:t>
      </w:r>
      <w:r w:rsidRPr="00A34F10">
        <w:rPr>
          <w:sz w:val="18"/>
          <w:szCs w:val="18"/>
          <w:lang w:val="en-GB"/>
        </w:rPr>
        <w:tab/>
        <w:t>Ratio of AR</w:t>
      </w:r>
      <w:r w:rsidRPr="00A34F10">
        <w:rPr>
          <w:sz w:val="18"/>
          <w:szCs w:val="18"/>
          <w:vertAlign w:val="subscript"/>
          <w:lang w:val="en-GB"/>
        </w:rPr>
        <w:t>eff</w:t>
      </w:r>
      <w:r w:rsidRPr="00A34F10">
        <w:rPr>
          <w:sz w:val="18"/>
          <w:szCs w:val="18"/>
          <w:lang w:val="en-GB"/>
        </w:rPr>
        <w:t xml:space="preserve"> and relevant toxicity endpoint</w:t>
      </w:r>
    </w:p>
    <w:p w14:paraId="28487057" w14:textId="77777777" w:rsidR="00DC5685" w:rsidRPr="00A34F10" w:rsidRDefault="00DC5685" w:rsidP="00DC5685">
      <w:pPr>
        <w:pStyle w:val="RepStandard"/>
        <w:suppressAutoHyphens/>
      </w:pPr>
    </w:p>
    <w:p w14:paraId="7E0A8AC0" w14:textId="77777777" w:rsidR="00DC5685" w:rsidRDefault="00DC5685" w:rsidP="00DC5685">
      <w:pPr>
        <w:widowControl w:val="0"/>
        <w:tabs>
          <w:tab w:val="left" w:pos="720"/>
        </w:tabs>
        <w:suppressAutoHyphens/>
        <w:jc w:val="both"/>
        <w:rPr>
          <w:lang w:val="en-GB"/>
        </w:rPr>
      </w:pPr>
      <w:r w:rsidRPr="00A34F10">
        <w:rPr>
          <w:lang w:val="en-GB"/>
        </w:rPr>
        <w:t>In conclusion, the risk to mammals via drinking water from the intended use of BAS 743 03 F according to the proposed use pattern is acceptable.</w:t>
      </w:r>
    </w:p>
    <w:p w14:paraId="5F238037" w14:textId="77777777" w:rsidR="00DC5685" w:rsidRPr="00A34F10" w:rsidRDefault="00DC5685" w:rsidP="00DC5685">
      <w:pPr>
        <w:pStyle w:val="Nagwek4"/>
        <w:suppressAutoHyphens/>
        <w:rPr>
          <w:noProof w:val="0"/>
          <w:lang w:val="en-GB"/>
        </w:rPr>
      </w:pPr>
      <w:bookmarkStart w:id="398" w:name="_Toc181624963"/>
      <w:r w:rsidRPr="00A34F10">
        <w:rPr>
          <w:noProof w:val="0"/>
          <w:lang w:val="en-GB"/>
        </w:rPr>
        <w:t>Effects of secondary poisoning</w:t>
      </w:r>
      <w:bookmarkEnd w:id="388"/>
      <w:bookmarkEnd w:id="389"/>
      <w:bookmarkEnd w:id="390"/>
      <w:bookmarkEnd w:id="391"/>
      <w:bookmarkEnd w:id="392"/>
      <w:bookmarkEnd w:id="393"/>
      <w:bookmarkEnd w:id="394"/>
      <w:bookmarkEnd w:id="395"/>
      <w:bookmarkEnd w:id="396"/>
      <w:bookmarkEnd w:id="398"/>
    </w:p>
    <w:p w14:paraId="6FFA951F" w14:textId="0F76739A" w:rsidR="00DC5685" w:rsidRPr="00A34F10" w:rsidRDefault="00DC5685" w:rsidP="00DC5685">
      <w:pPr>
        <w:pStyle w:val="RepNewPart"/>
        <w:suppressAutoHyphens/>
        <w:jc w:val="both"/>
        <w:rPr>
          <w:b w:val="0"/>
        </w:rPr>
      </w:pPr>
      <w:bookmarkStart w:id="399" w:name="_Toc412643990"/>
      <w:bookmarkStart w:id="400" w:name="_Toc413916836"/>
      <w:bookmarkStart w:id="401" w:name="_Toc413916978"/>
      <w:bookmarkStart w:id="402" w:name="_Toc413922039"/>
      <w:bookmarkStart w:id="403" w:name="_Toc413922528"/>
      <w:bookmarkStart w:id="404" w:name="_Toc413922632"/>
      <w:bookmarkStart w:id="405" w:name="_Toc414955269"/>
      <w:bookmarkStart w:id="406" w:name="_Toc415214576"/>
      <w:bookmarkStart w:id="407" w:name="_Toc425512597"/>
      <w:r w:rsidRPr="00A34F10">
        <w:rPr>
          <w:b w:val="0"/>
        </w:rPr>
        <w:t>The log P</w:t>
      </w:r>
      <w:r w:rsidRPr="00A34F10">
        <w:rPr>
          <w:b w:val="0"/>
          <w:vertAlign w:val="subscript"/>
        </w:rPr>
        <w:t>ow</w:t>
      </w:r>
      <w:r w:rsidRPr="00A34F10">
        <w:rPr>
          <w:b w:val="0"/>
        </w:rPr>
        <w:t xml:space="preserve"> of the active substance Ametoctradin is 4.4 (</w:t>
      </w:r>
      <w:r w:rsidR="00482794">
        <w:rPr>
          <w:b w:val="0"/>
        </w:rPr>
        <w:t>XXXX</w:t>
      </w:r>
      <w:r w:rsidR="00482794" w:rsidRPr="00A34F10">
        <w:rPr>
          <w:b w:val="0"/>
        </w:rPr>
        <w:t xml:space="preserve"> </w:t>
      </w:r>
      <w:r w:rsidRPr="00A34F10">
        <w:rPr>
          <w:b w:val="0"/>
        </w:rPr>
        <w:t>DocID 2005/1014072), which triggers an assessment of the potential risk from secondary poisoning.</w:t>
      </w:r>
    </w:p>
    <w:p w14:paraId="7B37A99D" w14:textId="77777777" w:rsidR="00DC5685" w:rsidRDefault="00DC5685" w:rsidP="00DC5685">
      <w:pPr>
        <w:jc w:val="both"/>
        <w:rPr>
          <w:lang w:val="en-GB"/>
        </w:rPr>
      </w:pPr>
      <w:bookmarkStart w:id="408" w:name="_Hlk42169554"/>
      <w:r w:rsidRPr="00A34F10">
        <w:rPr>
          <w:lang w:val="en-GB"/>
        </w:rPr>
        <w:t>The log P</w:t>
      </w:r>
      <w:r w:rsidRPr="00A34F10">
        <w:rPr>
          <w:vertAlign w:val="subscript"/>
          <w:lang w:val="en-GB"/>
        </w:rPr>
        <w:t>ow</w:t>
      </w:r>
      <w:r w:rsidRPr="00A34F10">
        <w:rPr>
          <w:lang w:val="en-GB"/>
        </w:rPr>
        <w:t xml:space="preserve"> of Propamocarb-HCl amounts to -1.2 (pH = 7, EFSA Scientific Report (2006)) and thus does not exceed the trigger value of 3. </w:t>
      </w:r>
      <w:bookmarkEnd w:id="408"/>
    </w:p>
    <w:p w14:paraId="23E41201" w14:textId="77777777" w:rsidR="009B71DE" w:rsidRPr="00A34F10" w:rsidRDefault="009B71DE" w:rsidP="00DC5685">
      <w:pPr>
        <w:jc w:val="both"/>
        <w:rPr>
          <w:bCs/>
        </w:rPr>
      </w:pPr>
    </w:p>
    <w:p w14:paraId="2172E6D8" w14:textId="77777777" w:rsidR="00DC5685" w:rsidRPr="00A34F10" w:rsidRDefault="00DC5685" w:rsidP="00DC5685">
      <w:pPr>
        <w:pStyle w:val="RepNewPart"/>
        <w:suppressAutoHyphens/>
      </w:pPr>
      <w:r w:rsidRPr="00A34F10">
        <w:t>Risk assessment for earthworm-eating mammals via secondary poisoning</w:t>
      </w:r>
    </w:p>
    <w:p w14:paraId="500EBB38" w14:textId="77777777" w:rsidR="00DC5685" w:rsidRPr="00A34F10" w:rsidRDefault="00DC5685" w:rsidP="00DC5685">
      <w:pPr>
        <w:pStyle w:val="RepStandard"/>
        <w:suppressAutoHyphens/>
      </w:pPr>
      <w:r w:rsidRPr="00A34F10">
        <w:t>According to EFSA/2009/1438, the risk for vermivorous mammals is assessed for a small mammal of 10 g body weight with a daily food consumption of 12.8 g. Bioaccumulation in earthworms is estimated based on predicted concentrations in soil is based on experimental data.</w:t>
      </w:r>
    </w:p>
    <w:p w14:paraId="60312982" w14:textId="77777777" w:rsidR="00DC5685" w:rsidRPr="00A34F10" w:rsidRDefault="00DC5685" w:rsidP="00DC5685">
      <w:pPr>
        <w:pStyle w:val="RepStandard"/>
        <w:suppressAutoHyphens/>
      </w:pPr>
    </w:p>
    <w:p w14:paraId="59125C15" w14:textId="77777777" w:rsidR="00DC5685" w:rsidRPr="00A34F10" w:rsidRDefault="00DC5685" w:rsidP="00DC5685">
      <w:pPr>
        <w:pStyle w:val="RepStandard"/>
        <w:suppressAutoHyphens/>
      </w:pPr>
      <w:r w:rsidRPr="00A34F10">
        <w:t>As shown in the following table, the TER</w:t>
      </w:r>
      <w:r w:rsidRPr="00A34F10">
        <w:rPr>
          <w:vertAlign w:val="subscript"/>
        </w:rPr>
        <w:t>LT</w:t>
      </w:r>
      <w:r w:rsidRPr="00A34F10">
        <w:t xml:space="preserve"> for ametoctradin exceeds the relevant trigger of 5 for acceptability of effects, indicating an acceptable risk to earthworm-eating birds via secondary poisoning. </w:t>
      </w:r>
    </w:p>
    <w:p w14:paraId="5C154A63" w14:textId="49EC891A" w:rsidR="009B71DE" w:rsidRDefault="009B71DE">
      <w:r>
        <w:br w:type="page"/>
      </w:r>
    </w:p>
    <w:p w14:paraId="72917B94" w14:textId="5D876E5E" w:rsidR="00DC5685" w:rsidRPr="00A34F10" w:rsidRDefault="00DC5685" w:rsidP="00B9058E">
      <w:pPr>
        <w:pStyle w:val="RepLabel"/>
        <w:suppressAutoHyphens/>
        <w:jc w:val="both"/>
      </w:pPr>
      <w:r w:rsidRPr="00A34F10">
        <w:lastRenderedPageBreak/>
        <w:t xml:space="preserve">Table </w:t>
      </w:r>
      <w:fldSimple w:instr=" STYLEREF 2 \s ">
        <w:r w:rsidR="006F0F3B">
          <w:rPr>
            <w:noProof/>
          </w:rPr>
          <w:t>9.3</w:t>
        </w:r>
      </w:fldSimple>
      <w:r w:rsidRPr="00A34F10">
        <w:noBreakHyphen/>
      </w:r>
      <w:r w:rsidR="008D2847" w:rsidRPr="008D2847">
        <w:rPr>
          <w:highlight w:val="green"/>
        </w:rPr>
        <w:t>21</w:t>
      </w:r>
      <w:r w:rsidRPr="00A34F10">
        <w:t>:</w:t>
      </w:r>
      <w:r w:rsidRPr="00A34F10">
        <w:tab/>
        <w:t>Assessment of the risk for earthworm-eating mammals due to exposure to Ametoctradin via bioaccumulation in earthworms (secondary poisoning) for the worst-case intended use in onion like crops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8"/>
        <w:gridCol w:w="1939"/>
        <w:gridCol w:w="4950"/>
      </w:tblGrid>
      <w:tr w:rsidR="00DC5685" w:rsidRPr="00A34F10" w14:paraId="07F71DD0" w14:textId="77777777" w:rsidTr="000470C3">
        <w:trPr>
          <w:cantSplit/>
          <w:trHeight w:val="440"/>
          <w:tblHeader/>
          <w:jc w:val="center"/>
        </w:trPr>
        <w:tc>
          <w:tcPr>
            <w:tcW w:w="1315" w:type="pct"/>
            <w:vAlign w:val="center"/>
          </w:tcPr>
          <w:p w14:paraId="523EE1FD" w14:textId="77777777" w:rsidR="00DC5685" w:rsidRPr="00A34F10" w:rsidRDefault="00DC5685" w:rsidP="00B9058E">
            <w:pPr>
              <w:keepNext/>
              <w:keepLines/>
              <w:widowControl w:val="0"/>
              <w:numPr>
                <w:ilvl w:val="12"/>
                <w:numId w:val="0"/>
              </w:numPr>
              <w:suppressAutoHyphens/>
              <w:jc w:val="center"/>
              <w:rPr>
                <w:b/>
                <w:sz w:val="20"/>
                <w:szCs w:val="20"/>
                <w:lang w:val="en-GB"/>
              </w:rPr>
            </w:pPr>
            <w:r w:rsidRPr="00A34F10">
              <w:rPr>
                <w:b/>
                <w:sz w:val="20"/>
                <w:szCs w:val="20"/>
                <w:lang w:val="en-GB"/>
              </w:rPr>
              <w:t>Parameter</w:t>
            </w:r>
          </w:p>
        </w:tc>
        <w:tc>
          <w:tcPr>
            <w:tcW w:w="1037" w:type="pct"/>
            <w:vAlign w:val="center"/>
          </w:tcPr>
          <w:p w14:paraId="51707F40" w14:textId="77777777" w:rsidR="00DC5685" w:rsidRPr="00A34F10" w:rsidRDefault="00DC5685" w:rsidP="00B9058E">
            <w:pPr>
              <w:pStyle w:val="TableHeader9pt"/>
              <w:keepNext/>
              <w:widowControl w:val="0"/>
              <w:tabs>
                <w:tab w:val="left" w:pos="-720"/>
              </w:tabs>
              <w:suppressAutoHyphens/>
              <w:spacing w:before="0"/>
              <w:jc w:val="center"/>
              <w:rPr>
                <w:sz w:val="20"/>
                <w:lang w:val="en-GB"/>
              </w:rPr>
            </w:pPr>
            <w:r w:rsidRPr="00A34F10">
              <w:rPr>
                <w:sz w:val="20"/>
                <w:lang w:val="en-GB"/>
              </w:rPr>
              <w:t>Ametoctradin</w:t>
            </w:r>
          </w:p>
        </w:tc>
        <w:tc>
          <w:tcPr>
            <w:tcW w:w="2648" w:type="pct"/>
            <w:vAlign w:val="center"/>
          </w:tcPr>
          <w:p w14:paraId="63CE9A02" w14:textId="77777777" w:rsidR="00DC5685" w:rsidRPr="00A34F10" w:rsidRDefault="00DC5685" w:rsidP="00B9058E">
            <w:pPr>
              <w:keepNext/>
              <w:keepLines/>
              <w:widowControl w:val="0"/>
              <w:numPr>
                <w:ilvl w:val="12"/>
                <w:numId w:val="0"/>
              </w:numPr>
              <w:suppressAutoHyphens/>
              <w:ind w:left="-107"/>
              <w:jc w:val="center"/>
              <w:rPr>
                <w:b/>
                <w:bCs/>
                <w:sz w:val="20"/>
                <w:szCs w:val="20"/>
                <w:lang w:val="en-GB"/>
              </w:rPr>
            </w:pPr>
            <w:r w:rsidRPr="00A34F10">
              <w:rPr>
                <w:b/>
                <w:bCs/>
                <w:sz w:val="20"/>
                <w:szCs w:val="20"/>
                <w:lang w:val="en-GB"/>
              </w:rPr>
              <w:t>Reference</w:t>
            </w:r>
          </w:p>
        </w:tc>
      </w:tr>
      <w:tr w:rsidR="00DC5685" w:rsidRPr="00A34F10" w14:paraId="4E8C97E8" w14:textId="77777777" w:rsidTr="000470C3">
        <w:trPr>
          <w:cantSplit/>
          <w:trHeight w:val="510"/>
          <w:jc w:val="center"/>
        </w:trPr>
        <w:tc>
          <w:tcPr>
            <w:tcW w:w="1315" w:type="pct"/>
            <w:vAlign w:val="center"/>
          </w:tcPr>
          <w:p w14:paraId="2E3F7B4C" w14:textId="77777777" w:rsidR="00DC5685" w:rsidRPr="00A34F10" w:rsidRDefault="00DC5685" w:rsidP="00B9058E">
            <w:pPr>
              <w:keepNext/>
              <w:keepLines/>
              <w:widowControl w:val="0"/>
              <w:numPr>
                <w:ilvl w:val="12"/>
                <w:numId w:val="0"/>
              </w:numPr>
              <w:suppressAutoHyphens/>
              <w:ind w:right="-125"/>
              <w:rPr>
                <w:sz w:val="20"/>
                <w:szCs w:val="20"/>
                <w:lang w:val="en-GB"/>
              </w:rPr>
            </w:pPr>
            <w:r w:rsidRPr="00A34F10">
              <w:rPr>
                <w:sz w:val="20"/>
                <w:szCs w:val="20"/>
                <w:lang w:val="en-GB"/>
              </w:rPr>
              <w:t>PEC</w:t>
            </w:r>
            <w:r w:rsidRPr="00A34F10">
              <w:rPr>
                <w:sz w:val="20"/>
                <w:szCs w:val="20"/>
                <w:vertAlign w:val="subscript"/>
                <w:lang w:val="en-GB"/>
              </w:rPr>
              <w:t xml:space="preserve">soil  </w:t>
            </w:r>
            <w:r w:rsidRPr="00A34F10">
              <w:rPr>
                <w:sz w:val="20"/>
                <w:szCs w:val="20"/>
                <w:lang w:val="en-GB"/>
              </w:rPr>
              <w:t>(twa, 21 days)</w:t>
            </w:r>
            <w:r w:rsidRPr="00A34F10">
              <w:rPr>
                <w:sz w:val="20"/>
                <w:szCs w:val="20"/>
                <w:vertAlign w:val="superscript"/>
                <w:lang w:val="en-GB"/>
              </w:rPr>
              <w:br/>
            </w:r>
            <w:r w:rsidRPr="00A34F10">
              <w:rPr>
                <w:sz w:val="20"/>
                <w:szCs w:val="20"/>
                <w:lang w:val="en-GB"/>
              </w:rPr>
              <w:t xml:space="preserve">[mg/kg soil] </w:t>
            </w:r>
            <w:r w:rsidRPr="00A34F10">
              <w:rPr>
                <w:sz w:val="20"/>
                <w:szCs w:val="20"/>
                <w:vertAlign w:val="superscript"/>
                <w:lang w:val="en-GB"/>
              </w:rPr>
              <w:t>1)</w:t>
            </w:r>
          </w:p>
        </w:tc>
        <w:tc>
          <w:tcPr>
            <w:tcW w:w="1037" w:type="pct"/>
            <w:shd w:val="clear" w:color="auto" w:fill="FFFFFF" w:themeFill="background1"/>
            <w:vAlign w:val="center"/>
          </w:tcPr>
          <w:p w14:paraId="5469D811" w14:textId="24DC36C4" w:rsidR="00DC5685" w:rsidRPr="00A34F10" w:rsidRDefault="00DC5685" w:rsidP="00B9058E">
            <w:pPr>
              <w:keepNext/>
              <w:keepLines/>
              <w:widowControl w:val="0"/>
              <w:numPr>
                <w:ilvl w:val="12"/>
                <w:numId w:val="0"/>
              </w:numPr>
              <w:suppressAutoHyphens/>
              <w:ind w:left="170"/>
              <w:jc w:val="center"/>
              <w:rPr>
                <w:sz w:val="20"/>
                <w:szCs w:val="20"/>
                <w:lang w:val="en-GB"/>
              </w:rPr>
            </w:pPr>
            <w:r w:rsidRPr="00347830">
              <w:rPr>
                <w:strike/>
                <w:color w:val="D9D9D9" w:themeColor="background1" w:themeShade="D9"/>
                <w:sz w:val="20"/>
                <w:szCs w:val="20"/>
                <w:lang w:val="en-GB"/>
              </w:rPr>
              <w:t>0.033</w:t>
            </w:r>
            <w:r w:rsidR="00600CEB" w:rsidRPr="00347830">
              <w:rPr>
                <w:color w:val="D9D9D9" w:themeColor="background1" w:themeShade="D9"/>
                <w:sz w:val="20"/>
                <w:szCs w:val="20"/>
                <w:lang w:val="en-GB"/>
              </w:rPr>
              <w:t xml:space="preserve"> </w:t>
            </w:r>
            <w:r w:rsidR="00347830" w:rsidRPr="00347830">
              <w:rPr>
                <w:sz w:val="20"/>
                <w:szCs w:val="20"/>
                <w:shd w:val="clear" w:color="auto" w:fill="D9D9D9" w:themeFill="background1" w:themeFillShade="D9"/>
                <w:lang w:val="en-GB"/>
              </w:rPr>
              <w:t>0.145</w:t>
            </w:r>
          </w:p>
        </w:tc>
        <w:tc>
          <w:tcPr>
            <w:tcW w:w="2648" w:type="pct"/>
            <w:vAlign w:val="center"/>
          </w:tcPr>
          <w:p w14:paraId="7B92EC9F" w14:textId="1211C395" w:rsidR="00DC5685" w:rsidRPr="00A34F10" w:rsidRDefault="00DC5685" w:rsidP="00B9058E">
            <w:pPr>
              <w:pStyle w:val="TableText9pt"/>
              <w:keepNext/>
              <w:widowControl w:val="0"/>
              <w:suppressAutoHyphens/>
              <w:spacing w:before="0"/>
              <w:rPr>
                <w:sz w:val="20"/>
                <w:lang w:val="en-GB"/>
              </w:rPr>
            </w:pPr>
            <w:r w:rsidRPr="00A34F10">
              <w:rPr>
                <w:sz w:val="20"/>
                <w:lang w:val="en-GB"/>
              </w:rPr>
              <w:t>Chapter 8.7</w:t>
            </w:r>
            <w:r w:rsidR="00347830">
              <w:rPr>
                <w:sz w:val="20"/>
                <w:lang w:val="en-GB"/>
              </w:rPr>
              <w:t xml:space="preserve"> </w:t>
            </w:r>
            <w:r w:rsidR="00327A82" w:rsidRPr="005D60C4">
              <w:rPr>
                <w:sz w:val="20"/>
                <w:shd w:val="clear" w:color="auto" w:fill="D9D9D9" w:themeFill="background1" w:themeFillShade="D9"/>
                <w:lang w:val="en-GB"/>
              </w:rPr>
              <w:t>(Table 8.7-6)</w:t>
            </w:r>
          </w:p>
        </w:tc>
      </w:tr>
      <w:tr w:rsidR="00DC5685" w:rsidRPr="00A34F10" w14:paraId="3347CCAC" w14:textId="77777777" w:rsidTr="000470C3">
        <w:trPr>
          <w:cantSplit/>
          <w:trHeight w:val="510"/>
          <w:jc w:val="center"/>
        </w:trPr>
        <w:tc>
          <w:tcPr>
            <w:tcW w:w="1315" w:type="pct"/>
            <w:vAlign w:val="center"/>
          </w:tcPr>
          <w:p w14:paraId="02AC7AC6" w14:textId="77777777" w:rsidR="00DC5685" w:rsidRPr="00A34F10" w:rsidRDefault="00DC5685" w:rsidP="00B9058E">
            <w:pPr>
              <w:keepNext/>
              <w:keepLines/>
              <w:widowControl w:val="0"/>
              <w:numPr>
                <w:ilvl w:val="12"/>
                <w:numId w:val="0"/>
              </w:numPr>
              <w:suppressAutoHyphens/>
              <w:rPr>
                <w:sz w:val="20"/>
                <w:szCs w:val="20"/>
                <w:lang w:val="en-GB"/>
              </w:rPr>
            </w:pPr>
            <w:r w:rsidRPr="00A34F10">
              <w:rPr>
                <w:sz w:val="20"/>
                <w:szCs w:val="20"/>
                <w:lang w:val="en-GB"/>
              </w:rPr>
              <w:t>K</w:t>
            </w:r>
            <w:r w:rsidRPr="00A34F10">
              <w:rPr>
                <w:sz w:val="20"/>
                <w:szCs w:val="20"/>
                <w:vertAlign w:val="subscript"/>
                <w:lang w:val="en-GB"/>
              </w:rPr>
              <w:t>ow</w:t>
            </w:r>
          </w:p>
        </w:tc>
        <w:tc>
          <w:tcPr>
            <w:tcW w:w="1037" w:type="pct"/>
            <w:vAlign w:val="center"/>
          </w:tcPr>
          <w:p w14:paraId="2DEEA917" w14:textId="77777777" w:rsidR="00DC5685" w:rsidRPr="00A34F10" w:rsidRDefault="00DC5685" w:rsidP="00B9058E">
            <w:pPr>
              <w:keepNext/>
              <w:keepLines/>
              <w:widowControl w:val="0"/>
              <w:numPr>
                <w:ilvl w:val="12"/>
                <w:numId w:val="0"/>
              </w:numPr>
              <w:suppressAutoHyphens/>
              <w:jc w:val="center"/>
              <w:rPr>
                <w:sz w:val="20"/>
                <w:szCs w:val="20"/>
                <w:lang w:val="en-GB"/>
              </w:rPr>
            </w:pPr>
            <w:r w:rsidRPr="00A34F10">
              <w:rPr>
                <w:sz w:val="20"/>
                <w:szCs w:val="20"/>
                <w:lang w:val="en-GB"/>
              </w:rPr>
              <w:t>25119</w:t>
            </w:r>
          </w:p>
        </w:tc>
        <w:tc>
          <w:tcPr>
            <w:tcW w:w="2648" w:type="pct"/>
            <w:vAlign w:val="center"/>
          </w:tcPr>
          <w:p w14:paraId="37D9A2D0" w14:textId="6A263679" w:rsidR="00DC5685" w:rsidRPr="00A34F10" w:rsidRDefault="00482794" w:rsidP="00B9058E">
            <w:pPr>
              <w:pStyle w:val="TableText9pt"/>
              <w:keepNext/>
              <w:widowControl w:val="0"/>
              <w:suppressAutoHyphens/>
              <w:spacing w:before="0"/>
              <w:rPr>
                <w:sz w:val="20"/>
                <w:lang w:val="en-GB"/>
              </w:rPr>
            </w:pPr>
            <w:r>
              <w:rPr>
                <w:sz w:val="20"/>
                <w:lang w:val="en-GB"/>
              </w:rPr>
              <w:t>XXXX</w:t>
            </w:r>
            <w:r w:rsidR="00DC5685" w:rsidRPr="00A34F10">
              <w:rPr>
                <w:sz w:val="20"/>
                <w:lang w:val="en-GB"/>
              </w:rPr>
              <w:t xml:space="preserve"> DocID 2005/1014072</w:t>
            </w:r>
          </w:p>
        </w:tc>
      </w:tr>
      <w:tr w:rsidR="00DC5685" w:rsidRPr="00A34F10" w14:paraId="6A1A14BF" w14:textId="77777777" w:rsidTr="000470C3">
        <w:trPr>
          <w:cantSplit/>
          <w:trHeight w:val="510"/>
          <w:jc w:val="center"/>
        </w:trPr>
        <w:tc>
          <w:tcPr>
            <w:tcW w:w="1315" w:type="pct"/>
            <w:vAlign w:val="center"/>
          </w:tcPr>
          <w:p w14:paraId="6483A46B" w14:textId="77777777" w:rsidR="00DC5685" w:rsidRPr="00A34F10" w:rsidRDefault="00DC5685" w:rsidP="00B9058E">
            <w:pPr>
              <w:keepNext/>
              <w:keepLines/>
              <w:widowControl w:val="0"/>
              <w:numPr>
                <w:ilvl w:val="12"/>
                <w:numId w:val="0"/>
              </w:numPr>
              <w:suppressAutoHyphens/>
              <w:rPr>
                <w:sz w:val="20"/>
                <w:szCs w:val="20"/>
                <w:lang w:val="en-GB"/>
              </w:rPr>
            </w:pPr>
            <w:r w:rsidRPr="00A34F10">
              <w:rPr>
                <w:sz w:val="20"/>
                <w:szCs w:val="20"/>
                <w:lang w:val="en-GB"/>
              </w:rPr>
              <w:t>K</w:t>
            </w:r>
            <w:r w:rsidRPr="00A34F10">
              <w:rPr>
                <w:sz w:val="20"/>
                <w:szCs w:val="20"/>
                <w:vertAlign w:val="subscript"/>
                <w:lang w:val="en-GB"/>
              </w:rPr>
              <w:t xml:space="preserve">oc </w:t>
            </w:r>
            <w:r w:rsidRPr="00A34F10">
              <w:rPr>
                <w:sz w:val="20"/>
                <w:szCs w:val="20"/>
                <w:lang w:val="en-GB"/>
              </w:rPr>
              <w:t>(arithmetic mean)</w:t>
            </w:r>
          </w:p>
        </w:tc>
        <w:tc>
          <w:tcPr>
            <w:tcW w:w="1037" w:type="pct"/>
            <w:vAlign w:val="center"/>
          </w:tcPr>
          <w:p w14:paraId="29479715" w14:textId="77777777" w:rsidR="00DC5685" w:rsidRPr="00A34F10" w:rsidRDefault="00DC5685" w:rsidP="00B9058E">
            <w:pPr>
              <w:keepNext/>
              <w:keepLines/>
              <w:widowControl w:val="0"/>
              <w:numPr>
                <w:ilvl w:val="12"/>
                <w:numId w:val="0"/>
              </w:numPr>
              <w:suppressAutoHyphens/>
              <w:jc w:val="center"/>
              <w:rPr>
                <w:sz w:val="20"/>
                <w:szCs w:val="20"/>
                <w:lang w:val="en-GB"/>
              </w:rPr>
            </w:pPr>
            <w:r w:rsidRPr="00A34F10">
              <w:rPr>
                <w:sz w:val="20"/>
                <w:szCs w:val="20"/>
                <w:lang w:val="en-GB"/>
              </w:rPr>
              <w:t>3779</w:t>
            </w:r>
          </w:p>
        </w:tc>
        <w:tc>
          <w:tcPr>
            <w:tcW w:w="2648" w:type="pct"/>
            <w:vAlign w:val="center"/>
          </w:tcPr>
          <w:p w14:paraId="3A7BBDEC" w14:textId="77777777" w:rsidR="00DC5685" w:rsidRPr="00A34F10" w:rsidRDefault="00DC5685" w:rsidP="00B9058E">
            <w:pPr>
              <w:keepNext/>
              <w:keepLines/>
              <w:widowControl w:val="0"/>
              <w:suppressAutoHyphens/>
              <w:ind w:right="72"/>
              <w:jc w:val="both"/>
              <w:rPr>
                <w:sz w:val="20"/>
                <w:szCs w:val="20"/>
                <w:lang w:val="en-GB"/>
              </w:rPr>
            </w:pPr>
            <w:r w:rsidRPr="00A34F10">
              <w:rPr>
                <w:sz w:val="20"/>
                <w:szCs w:val="20"/>
                <w:lang w:val="en-GB"/>
              </w:rPr>
              <w:t>EFSA Journal 2012, 10(11): 2921;</w:t>
            </w:r>
          </w:p>
          <w:p w14:paraId="3831D08A" w14:textId="69924DB4" w:rsidR="00DC5685" w:rsidRPr="00A34F10" w:rsidRDefault="00482794" w:rsidP="00B9058E">
            <w:pPr>
              <w:keepNext/>
              <w:keepLines/>
              <w:widowControl w:val="0"/>
              <w:suppressAutoHyphens/>
              <w:ind w:right="72"/>
              <w:jc w:val="both"/>
              <w:rPr>
                <w:sz w:val="20"/>
                <w:szCs w:val="20"/>
                <w:lang w:val="en-GB"/>
              </w:rPr>
            </w:pPr>
            <w:r>
              <w:rPr>
                <w:sz w:val="20"/>
                <w:szCs w:val="20"/>
                <w:lang w:val="en-GB"/>
              </w:rPr>
              <w:t>XXXX</w:t>
            </w:r>
            <w:r w:rsidR="00DC5685" w:rsidRPr="00A34F10">
              <w:rPr>
                <w:sz w:val="20"/>
                <w:szCs w:val="20"/>
                <w:lang w:val="en-GB"/>
              </w:rPr>
              <w:t xml:space="preserve"> DocID 2008/1017000 and 2008/1046556</w:t>
            </w:r>
          </w:p>
        </w:tc>
      </w:tr>
      <w:tr w:rsidR="00DC5685" w:rsidRPr="00A34F10" w14:paraId="75E2E31D" w14:textId="77777777" w:rsidTr="000470C3">
        <w:trPr>
          <w:cantSplit/>
          <w:trHeight w:val="397"/>
          <w:jc w:val="center"/>
        </w:trPr>
        <w:tc>
          <w:tcPr>
            <w:tcW w:w="1315" w:type="pct"/>
            <w:vAlign w:val="center"/>
          </w:tcPr>
          <w:p w14:paraId="059AE2B2" w14:textId="77777777" w:rsidR="00DC5685" w:rsidRPr="00A34F10" w:rsidRDefault="00DC5685" w:rsidP="00B9058E">
            <w:pPr>
              <w:keepNext/>
              <w:keepLines/>
              <w:widowControl w:val="0"/>
              <w:numPr>
                <w:ilvl w:val="12"/>
                <w:numId w:val="0"/>
              </w:numPr>
              <w:suppressAutoHyphens/>
              <w:rPr>
                <w:sz w:val="20"/>
                <w:szCs w:val="20"/>
                <w:lang w:val="en-GB"/>
              </w:rPr>
            </w:pPr>
            <w:r w:rsidRPr="00A34F10">
              <w:rPr>
                <w:sz w:val="20"/>
                <w:szCs w:val="20"/>
                <w:lang w:val="en-GB"/>
              </w:rPr>
              <w:t>f</w:t>
            </w:r>
            <w:r w:rsidRPr="00A34F10">
              <w:rPr>
                <w:sz w:val="20"/>
                <w:szCs w:val="20"/>
                <w:vertAlign w:val="subscript"/>
                <w:lang w:val="en-GB"/>
              </w:rPr>
              <w:t>oc</w:t>
            </w:r>
            <w:r w:rsidRPr="00A34F10">
              <w:rPr>
                <w:sz w:val="20"/>
                <w:szCs w:val="20"/>
                <w:lang w:val="en-GB"/>
              </w:rPr>
              <w:t xml:space="preserve"> (default)</w:t>
            </w:r>
          </w:p>
        </w:tc>
        <w:tc>
          <w:tcPr>
            <w:tcW w:w="1037" w:type="pct"/>
            <w:vAlign w:val="center"/>
          </w:tcPr>
          <w:p w14:paraId="21F76B15" w14:textId="77777777" w:rsidR="00DC5685" w:rsidRPr="00A34F10" w:rsidRDefault="00DC5685" w:rsidP="00B9058E">
            <w:pPr>
              <w:keepNext/>
              <w:keepLines/>
              <w:widowControl w:val="0"/>
              <w:numPr>
                <w:ilvl w:val="12"/>
                <w:numId w:val="0"/>
              </w:numPr>
              <w:suppressAutoHyphens/>
              <w:jc w:val="center"/>
              <w:rPr>
                <w:sz w:val="20"/>
                <w:szCs w:val="20"/>
                <w:lang w:val="en-GB"/>
              </w:rPr>
            </w:pPr>
            <w:r w:rsidRPr="00A34F10">
              <w:rPr>
                <w:sz w:val="20"/>
                <w:szCs w:val="20"/>
                <w:lang w:val="en-GB"/>
              </w:rPr>
              <w:t>0.02</w:t>
            </w:r>
          </w:p>
        </w:tc>
        <w:tc>
          <w:tcPr>
            <w:tcW w:w="2648" w:type="pct"/>
            <w:vAlign w:val="center"/>
          </w:tcPr>
          <w:p w14:paraId="2BD3C2BF" w14:textId="77777777" w:rsidR="00DC5685" w:rsidRPr="00A34F10" w:rsidRDefault="00DC5685" w:rsidP="00B9058E">
            <w:pPr>
              <w:pStyle w:val="TableText9pt"/>
              <w:keepNext/>
              <w:widowControl w:val="0"/>
              <w:suppressAutoHyphens/>
              <w:spacing w:before="0"/>
              <w:rPr>
                <w:sz w:val="20"/>
                <w:lang w:val="en-GB"/>
              </w:rPr>
            </w:pPr>
            <w:r w:rsidRPr="00A34F10">
              <w:rPr>
                <w:sz w:val="20"/>
                <w:lang w:val="en-GB"/>
              </w:rPr>
              <w:t>EFSA/2009/1438</w:t>
            </w:r>
          </w:p>
        </w:tc>
      </w:tr>
      <w:tr w:rsidR="00DC5685" w:rsidRPr="00A34F10" w14:paraId="7FEAC0C1" w14:textId="77777777" w:rsidTr="000470C3">
        <w:trPr>
          <w:cantSplit/>
          <w:trHeight w:val="397"/>
          <w:jc w:val="center"/>
        </w:trPr>
        <w:tc>
          <w:tcPr>
            <w:tcW w:w="1315" w:type="pct"/>
            <w:vAlign w:val="center"/>
          </w:tcPr>
          <w:p w14:paraId="1C2FC58D" w14:textId="77777777" w:rsidR="00DC5685" w:rsidRPr="00A34F10" w:rsidRDefault="00DC5685" w:rsidP="00B9058E">
            <w:pPr>
              <w:keepNext/>
              <w:keepLines/>
              <w:widowControl w:val="0"/>
              <w:numPr>
                <w:ilvl w:val="12"/>
                <w:numId w:val="0"/>
              </w:numPr>
              <w:suppressAutoHyphens/>
              <w:rPr>
                <w:sz w:val="20"/>
                <w:szCs w:val="20"/>
                <w:lang w:val="en-GB"/>
              </w:rPr>
            </w:pPr>
            <w:r w:rsidRPr="00A34F10">
              <w:rPr>
                <w:sz w:val="20"/>
                <w:szCs w:val="20"/>
                <w:lang w:val="en-GB"/>
              </w:rPr>
              <w:t>BCF</w:t>
            </w:r>
            <w:r w:rsidRPr="00A34F10">
              <w:rPr>
                <w:sz w:val="20"/>
                <w:szCs w:val="20"/>
                <w:vertAlign w:val="subscript"/>
                <w:lang w:val="en-GB"/>
              </w:rPr>
              <w:t>earthworm</w:t>
            </w:r>
          </w:p>
        </w:tc>
        <w:tc>
          <w:tcPr>
            <w:tcW w:w="1037" w:type="pct"/>
            <w:vAlign w:val="center"/>
          </w:tcPr>
          <w:p w14:paraId="6FBA68FE" w14:textId="77777777" w:rsidR="00DC5685" w:rsidRPr="00A34F10" w:rsidRDefault="00DC5685" w:rsidP="00B9058E">
            <w:pPr>
              <w:keepNext/>
              <w:keepLines/>
              <w:widowControl w:val="0"/>
              <w:numPr>
                <w:ilvl w:val="12"/>
                <w:numId w:val="0"/>
              </w:numPr>
              <w:suppressAutoHyphens/>
              <w:jc w:val="center"/>
              <w:rPr>
                <w:sz w:val="20"/>
                <w:szCs w:val="20"/>
                <w:lang w:val="en-GB"/>
              </w:rPr>
            </w:pPr>
            <w:r w:rsidRPr="00A34F10">
              <w:rPr>
                <w:sz w:val="20"/>
                <w:szCs w:val="20"/>
                <w:lang w:val="en-GB"/>
              </w:rPr>
              <w:t>4.013</w:t>
            </w:r>
          </w:p>
        </w:tc>
        <w:tc>
          <w:tcPr>
            <w:tcW w:w="2648" w:type="pct"/>
            <w:vAlign w:val="center"/>
          </w:tcPr>
          <w:p w14:paraId="5D5AD002" w14:textId="77777777" w:rsidR="00DC5685" w:rsidRPr="00A34F10" w:rsidRDefault="00DC5685" w:rsidP="00B9058E">
            <w:pPr>
              <w:pStyle w:val="TableText9pt"/>
              <w:keepNext/>
              <w:suppressAutoHyphens/>
              <w:spacing w:before="0"/>
              <w:rPr>
                <w:sz w:val="20"/>
                <w:lang w:val="en-GB"/>
              </w:rPr>
            </w:pPr>
            <w:r w:rsidRPr="00A34F10">
              <w:rPr>
                <w:sz w:val="20"/>
                <w:lang w:val="en-GB"/>
              </w:rPr>
              <w:t xml:space="preserve">-- </w:t>
            </w:r>
          </w:p>
        </w:tc>
      </w:tr>
      <w:tr w:rsidR="00DC5685" w:rsidRPr="00A34F10" w14:paraId="1309CFEA" w14:textId="77777777" w:rsidTr="000470C3">
        <w:trPr>
          <w:cantSplit/>
          <w:trHeight w:val="397"/>
          <w:jc w:val="center"/>
        </w:trPr>
        <w:tc>
          <w:tcPr>
            <w:tcW w:w="1315" w:type="pct"/>
            <w:vAlign w:val="center"/>
          </w:tcPr>
          <w:p w14:paraId="6BF198C2"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PEC</w:t>
            </w:r>
            <w:r w:rsidRPr="00A34F10">
              <w:rPr>
                <w:sz w:val="20"/>
                <w:szCs w:val="20"/>
                <w:vertAlign w:val="subscript"/>
                <w:lang w:val="en-GB"/>
              </w:rPr>
              <w:t>worm</w:t>
            </w:r>
            <w:r w:rsidRPr="00A34F10">
              <w:rPr>
                <w:sz w:val="20"/>
                <w:szCs w:val="20"/>
                <w:lang w:val="en-GB"/>
              </w:rPr>
              <w:t xml:space="preserve"> [mg/kg]</w:t>
            </w:r>
          </w:p>
        </w:tc>
        <w:tc>
          <w:tcPr>
            <w:tcW w:w="1037" w:type="pct"/>
            <w:vAlign w:val="center"/>
          </w:tcPr>
          <w:p w14:paraId="2E7E3301" w14:textId="589B4D16" w:rsidR="00DC5685" w:rsidRPr="00A34F10" w:rsidRDefault="00DC5685" w:rsidP="000470C3">
            <w:pPr>
              <w:widowControl w:val="0"/>
              <w:numPr>
                <w:ilvl w:val="12"/>
                <w:numId w:val="0"/>
              </w:numPr>
              <w:suppressAutoHyphens/>
              <w:ind w:left="-29"/>
              <w:jc w:val="center"/>
              <w:rPr>
                <w:sz w:val="20"/>
                <w:szCs w:val="20"/>
                <w:lang w:val="en-GB"/>
              </w:rPr>
            </w:pPr>
            <w:r w:rsidRPr="00872CF9">
              <w:rPr>
                <w:strike/>
                <w:color w:val="D9D9D9" w:themeColor="background1" w:themeShade="D9"/>
                <w:sz w:val="20"/>
                <w:szCs w:val="20"/>
                <w:lang w:val="en-GB"/>
              </w:rPr>
              <w:t>0.132</w:t>
            </w:r>
            <w:r w:rsidR="00872CF9" w:rsidRPr="00872CF9">
              <w:rPr>
                <w:color w:val="D9D9D9" w:themeColor="background1" w:themeShade="D9"/>
                <w:sz w:val="20"/>
                <w:szCs w:val="20"/>
                <w:lang w:val="en-GB"/>
              </w:rPr>
              <w:t xml:space="preserve"> </w:t>
            </w:r>
            <w:r w:rsidR="00872CF9" w:rsidRPr="00872CF9">
              <w:rPr>
                <w:sz w:val="20"/>
                <w:szCs w:val="20"/>
                <w:shd w:val="clear" w:color="auto" w:fill="D9D9D9" w:themeFill="background1" w:themeFillShade="D9"/>
                <w:lang w:val="en-GB"/>
              </w:rPr>
              <w:t>0.582</w:t>
            </w:r>
          </w:p>
        </w:tc>
        <w:tc>
          <w:tcPr>
            <w:tcW w:w="2648" w:type="pct"/>
            <w:vAlign w:val="center"/>
          </w:tcPr>
          <w:p w14:paraId="3A776FD3" w14:textId="77777777" w:rsidR="00DC5685" w:rsidRPr="00A34F10" w:rsidRDefault="00DC5685" w:rsidP="000470C3">
            <w:pPr>
              <w:pStyle w:val="TableText9pt"/>
              <w:keepNext/>
              <w:suppressAutoHyphens/>
              <w:spacing w:before="0"/>
              <w:rPr>
                <w:sz w:val="20"/>
                <w:lang w:val="en-GB"/>
              </w:rPr>
            </w:pPr>
            <w:r w:rsidRPr="00A34F10">
              <w:rPr>
                <w:sz w:val="20"/>
                <w:lang w:val="en-GB"/>
              </w:rPr>
              <w:t>PEC</w:t>
            </w:r>
            <w:r w:rsidRPr="00A34F10">
              <w:rPr>
                <w:sz w:val="20"/>
                <w:vertAlign w:val="subscript"/>
                <w:lang w:val="en-GB"/>
              </w:rPr>
              <w:t>worm</w:t>
            </w:r>
            <w:r w:rsidRPr="00A34F10">
              <w:rPr>
                <w:sz w:val="20"/>
                <w:lang w:val="en-GB"/>
              </w:rPr>
              <w:t xml:space="preserve"> = PEC</w:t>
            </w:r>
            <w:r w:rsidRPr="00A34F10">
              <w:rPr>
                <w:sz w:val="20"/>
                <w:vertAlign w:val="subscript"/>
                <w:lang w:val="en-GB"/>
              </w:rPr>
              <w:t>soil</w:t>
            </w:r>
            <w:r w:rsidRPr="00A34F10">
              <w:rPr>
                <w:sz w:val="20"/>
                <w:lang w:val="en-GB"/>
              </w:rPr>
              <w:t xml:space="preserve"> x BCF</w:t>
            </w:r>
            <w:r w:rsidRPr="00A34F10">
              <w:rPr>
                <w:sz w:val="20"/>
                <w:vertAlign w:val="subscript"/>
                <w:lang w:val="en-GB"/>
              </w:rPr>
              <w:t>earthworm</w:t>
            </w:r>
          </w:p>
        </w:tc>
      </w:tr>
      <w:tr w:rsidR="00DC5685" w:rsidRPr="00A34F10" w14:paraId="2204C557" w14:textId="77777777" w:rsidTr="000470C3">
        <w:trPr>
          <w:cantSplit/>
          <w:trHeight w:val="397"/>
          <w:jc w:val="center"/>
        </w:trPr>
        <w:tc>
          <w:tcPr>
            <w:tcW w:w="1315" w:type="pct"/>
            <w:vAlign w:val="center"/>
          </w:tcPr>
          <w:p w14:paraId="7A7A0AD0" w14:textId="77777777" w:rsidR="00DC5685" w:rsidRPr="00A34F10" w:rsidRDefault="00DC5685" w:rsidP="000470C3">
            <w:pPr>
              <w:widowControl w:val="0"/>
              <w:numPr>
                <w:ilvl w:val="12"/>
                <w:numId w:val="0"/>
              </w:numPr>
              <w:suppressAutoHyphens/>
              <w:ind w:right="-70"/>
              <w:rPr>
                <w:sz w:val="20"/>
                <w:szCs w:val="20"/>
                <w:lang w:val="en-GB"/>
              </w:rPr>
            </w:pPr>
            <w:r w:rsidRPr="00A34F10">
              <w:rPr>
                <w:sz w:val="20"/>
                <w:szCs w:val="20"/>
                <w:lang w:val="en-GB"/>
              </w:rPr>
              <w:t>Daily dose [mg/kg b.w./d]</w:t>
            </w:r>
          </w:p>
        </w:tc>
        <w:tc>
          <w:tcPr>
            <w:tcW w:w="1037" w:type="pct"/>
            <w:shd w:val="clear" w:color="auto" w:fill="FFFFFF" w:themeFill="background1"/>
            <w:vAlign w:val="center"/>
          </w:tcPr>
          <w:p w14:paraId="36FDC05B" w14:textId="0C6D3873" w:rsidR="00DC5685" w:rsidRPr="00A34F10" w:rsidRDefault="00DC5685" w:rsidP="000470C3">
            <w:pPr>
              <w:widowControl w:val="0"/>
              <w:numPr>
                <w:ilvl w:val="12"/>
                <w:numId w:val="0"/>
              </w:numPr>
              <w:suppressAutoHyphens/>
              <w:ind w:left="-29"/>
              <w:jc w:val="center"/>
              <w:rPr>
                <w:sz w:val="20"/>
                <w:szCs w:val="20"/>
                <w:lang w:val="en-GB"/>
              </w:rPr>
            </w:pPr>
            <w:r w:rsidRPr="000A1E98">
              <w:rPr>
                <w:strike/>
                <w:color w:val="D9D9D9" w:themeColor="background1" w:themeShade="D9"/>
                <w:sz w:val="20"/>
                <w:szCs w:val="20"/>
                <w:lang w:val="en-GB"/>
              </w:rPr>
              <w:t>0.170</w:t>
            </w:r>
            <w:r w:rsidR="00872CF9" w:rsidRPr="000A1E98">
              <w:rPr>
                <w:color w:val="D9D9D9" w:themeColor="background1" w:themeShade="D9"/>
                <w:sz w:val="20"/>
                <w:szCs w:val="20"/>
                <w:lang w:val="en-GB"/>
              </w:rPr>
              <w:t xml:space="preserve"> </w:t>
            </w:r>
            <w:r w:rsidR="000A1E98" w:rsidRPr="000A1E98">
              <w:rPr>
                <w:sz w:val="20"/>
                <w:szCs w:val="20"/>
                <w:shd w:val="clear" w:color="auto" w:fill="D9D9D9" w:themeFill="background1" w:themeFillShade="D9"/>
                <w:lang w:val="en-GB"/>
              </w:rPr>
              <w:t>0.745</w:t>
            </w:r>
          </w:p>
        </w:tc>
        <w:tc>
          <w:tcPr>
            <w:tcW w:w="2648" w:type="pct"/>
            <w:vAlign w:val="center"/>
          </w:tcPr>
          <w:p w14:paraId="3FC92106"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Daily dose = PEC</w:t>
            </w:r>
            <w:r w:rsidRPr="00A34F10">
              <w:rPr>
                <w:sz w:val="20"/>
                <w:vertAlign w:val="subscript"/>
                <w:lang w:val="en-GB"/>
              </w:rPr>
              <w:t xml:space="preserve">worm </w:t>
            </w:r>
            <w:r w:rsidRPr="00A34F10">
              <w:rPr>
                <w:sz w:val="20"/>
                <w:lang w:val="en-GB"/>
              </w:rPr>
              <w:t>x 1.28</w:t>
            </w:r>
          </w:p>
        </w:tc>
      </w:tr>
      <w:tr w:rsidR="00DC5685" w:rsidRPr="00A34F10" w14:paraId="491D04D0" w14:textId="77777777" w:rsidTr="000470C3">
        <w:trPr>
          <w:cantSplit/>
          <w:trHeight w:val="716"/>
          <w:jc w:val="center"/>
        </w:trPr>
        <w:tc>
          <w:tcPr>
            <w:tcW w:w="1315" w:type="pct"/>
            <w:vAlign w:val="center"/>
          </w:tcPr>
          <w:p w14:paraId="2C134C22" w14:textId="77777777" w:rsidR="00DC5685" w:rsidRPr="001D51C3" w:rsidRDefault="00DC5685" w:rsidP="000470C3">
            <w:pPr>
              <w:widowControl w:val="0"/>
              <w:numPr>
                <w:ilvl w:val="12"/>
                <w:numId w:val="0"/>
              </w:numPr>
              <w:suppressAutoHyphens/>
              <w:rPr>
                <w:sz w:val="20"/>
                <w:szCs w:val="20"/>
                <w:lang w:val="es-ES"/>
              </w:rPr>
            </w:pPr>
            <w:r w:rsidRPr="001D51C3">
              <w:rPr>
                <w:sz w:val="20"/>
                <w:szCs w:val="20"/>
                <w:lang w:val="es-ES"/>
              </w:rPr>
              <w:t>NO(A)EL [mg/kg b.w./d]</w:t>
            </w:r>
          </w:p>
        </w:tc>
        <w:tc>
          <w:tcPr>
            <w:tcW w:w="1037" w:type="pct"/>
            <w:vAlign w:val="center"/>
          </w:tcPr>
          <w:p w14:paraId="7B5C90A9"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939.0</w:t>
            </w:r>
          </w:p>
        </w:tc>
        <w:tc>
          <w:tcPr>
            <w:tcW w:w="2648" w:type="pct"/>
            <w:vAlign w:val="center"/>
          </w:tcPr>
          <w:p w14:paraId="29269B35" w14:textId="77777777" w:rsidR="00DC5685" w:rsidRPr="00A34F10" w:rsidRDefault="00DC5685" w:rsidP="000470C3">
            <w:pPr>
              <w:pStyle w:val="Stopka"/>
              <w:widowControl w:val="0"/>
              <w:suppressAutoHyphens/>
              <w:rPr>
                <w:sz w:val="20"/>
                <w:szCs w:val="20"/>
                <w:lang w:val="en-GB"/>
              </w:rPr>
            </w:pPr>
            <w:r w:rsidRPr="00A34F10">
              <w:rPr>
                <w:sz w:val="20"/>
                <w:szCs w:val="20"/>
                <w:lang w:val="en-GB"/>
              </w:rPr>
              <w:t>See above</w:t>
            </w:r>
          </w:p>
        </w:tc>
      </w:tr>
      <w:tr w:rsidR="00DC5685" w:rsidRPr="00A34F10" w14:paraId="3B2A375E" w14:textId="77777777" w:rsidTr="000470C3">
        <w:trPr>
          <w:cantSplit/>
          <w:trHeight w:val="397"/>
          <w:jc w:val="center"/>
        </w:trPr>
        <w:tc>
          <w:tcPr>
            <w:tcW w:w="1315" w:type="pct"/>
            <w:vAlign w:val="center"/>
          </w:tcPr>
          <w:p w14:paraId="794E811E" w14:textId="77777777" w:rsidR="00DC5685" w:rsidRPr="00A34F10" w:rsidRDefault="00DC5685" w:rsidP="000470C3">
            <w:pPr>
              <w:widowControl w:val="0"/>
              <w:numPr>
                <w:ilvl w:val="12"/>
                <w:numId w:val="0"/>
              </w:numPr>
              <w:suppressAutoHyphens/>
              <w:rPr>
                <w:sz w:val="20"/>
                <w:szCs w:val="20"/>
                <w:vertAlign w:val="superscript"/>
                <w:lang w:val="en-GB"/>
              </w:rPr>
            </w:pPr>
            <w:r w:rsidRPr="00A34F10">
              <w:rPr>
                <w:sz w:val="20"/>
                <w:szCs w:val="20"/>
                <w:lang w:val="en-GB"/>
              </w:rPr>
              <w:t>TER</w:t>
            </w:r>
            <w:r w:rsidRPr="00A34F10">
              <w:rPr>
                <w:caps/>
                <w:sz w:val="20"/>
                <w:szCs w:val="20"/>
                <w:vertAlign w:val="subscript"/>
                <w:lang w:val="en-GB"/>
              </w:rPr>
              <w:t>lt</w:t>
            </w:r>
          </w:p>
        </w:tc>
        <w:tc>
          <w:tcPr>
            <w:tcW w:w="1037" w:type="pct"/>
            <w:vAlign w:val="center"/>
          </w:tcPr>
          <w:p w14:paraId="53BC48C5" w14:textId="0ACB1736" w:rsidR="00DC5685" w:rsidRPr="00A34F10" w:rsidRDefault="00DC5685" w:rsidP="000470C3">
            <w:pPr>
              <w:widowControl w:val="0"/>
              <w:numPr>
                <w:ilvl w:val="12"/>
                <w:numId w:val="0"/>
              </w:numPr>
              <w:suppressAutoHyphens/>
              <w:ind w:left="-29"/>
              <w:jc w:val="center"/>
              <w:rPr>
                <w:sz w:val="20"/>
                <w:szCs w:val="20"/>
                <w:lang w:val="en-GB"/>
              </w:rPr>
            </w:pPr>
            <w:r w:rsidRPr="00B91954">
              <w:rPr>
                <w:strike/>
                <w:color w:val="D9D9D9" w:themeColor="background1" w:themeShade="D9"/>
                <w:sz w:val="20"/>
                <w:szCs w:val="20"/>
                <w:lang w:val="en-GB"/>
              </w:rPr>
              <w:t>5539.1</w:t>
            </w:r>
            <w:r w:rsidR="000A1E98" w:rsidRPr="00B91954">
              <w:rPr>
                <w:color w:val="D9D9D9" w:themeColor="background1" w:themeShade="D9"/>
                <w:sz w:val="20"/>
                <w:szCs w:val="20"/>
                <w:lang w:val="en-GB"/>
              </w:rPr>
              <w:t xml:space="preserve"> </w:t>
            </w:r>
            <w:r w:rsidR="00B91954" w:rsidRPr="00B91954">
              <w:rPr>
                <w:sz w:val="20"/>
                <w:szCs w:val="20"/>
                <w:shd w:val="clear" w:color="auto" w:fill="D9D9D9" w:themeFill="background1" w:themeFillShade="D9"/>
                <w:lang w:val="en-GB"/>
              </w:rPr>
              <w:t>1260</w:t>
            </w:r>
          </w:p>
        </w:tc>
        <w:tc>
          <w:tcPr>
            <w:tcW w:w="2648" w:type="pct"/>
            <w:vAlign w:val="center"/>
          </w:tcPr>
          <w:p w14:paraId="7940848E" w14:textId="77777777" w:rsidR="00DC5685" w:rsidRPr="00A34F10" w:rsidRDefault="00DC5685" w:rsidP="000470C3">
            <w:pPr>
              <w:widowControl w:val="0"/>
              <w:numPr>
                <w:ilvl w:val="12"/>
                <w:numId w:val="0"/>
              </w:numPr>
              <w:suppressAutoHyphens/>
              <w:ind w:left="170"/>
              <w:rPr>
                <w:sz w:val="20"/>
                <w:szCs w:val="20"/>
                <w:lang w:val="en-GB"/>
              </w:rPr>
            </w:pPr>
            <w:r w:rsidRPr="00A34F10">
              <w:rPr>
                <w:sz w:val="20"/>
                <w:szCs w:val="20"/>
                <w:lang w:val="en-GB"/>
              </w:rPr>
              <w:t>--</w:t>
            </w:r>
          </w:p>
        </w:tc>
      </w:tr>
    </w:tbl>
    <w:p w14:paraId="5D9AEDAF" w14:textId="77777777" w:rsidR="00DC5685" w:rsidRPr="00A34F10" w:rsidRDefault="00DC5685" w:rsidP="00DC5685">
      <w:pPr>
        <w:pStyle w:val="RepNewPart"/>
        <w:keepNext w:val="0"/>
        <w:keepLines w:val="0"/>
        <w:suppressAutoHyphens/>
        <w:spacing w:before="0" w:after="0"/>
        <w:ind w:left="284" w:hanging="284"/>
        <w:rPr>
          <w:b w:val="0"/>
          <w:sz w:val="18"/>
          <w:szCs w:val="18"/>
        </w:rPr>
      </w:pPr>
      <w:r w:rsidRPr="00A34F10">
        <w:rPr>
          <w:b w:val="0"/>
          <w:sz w:val="18"/>
          <w:szCs w:val="18"/>
          <w:vertAlign w:val="superscript"/>
        </w:rPr>
        <w:t>1)</w:t>
      </w:r>
      <w:r w:rsidRPr="00A34F10">
        <w:rPr>
          <w:b w:val="0"/>
          <w:sz w:val="18"/>
          <w:szCs w:val="18"/>
        </w:rPr>
        <w:tab/>
        <w:t>Highest PEC</w:t>
      </w:r>
      <w:r w:rsidRPr="00A34F10">
        <w:rPr>
          <w:b w:val="0"/>
          <w:sz w:val="18"/>
          <w:szCs w:val="18"/>
          <w:vertAlign w:val="subscript"/>
        </w:rPr>
        <w:t>soil</w:t>
      </w:r>
      <w:r w:rsidRPr="00A34F10">
        <w:rPr>
          <w:b w:val="0"/>
          <w:sz w:val="18"/>
          <w:szCs w:val="18"/>
        </w:rPr>
        <w:t xml:space="preserve"> (21-d, twa) as worst-case, selected from 1 application in onion as a risk envelope.</w:t>
      </w:r>
    </w:p>
    <w:p w14:paraId="799DBA94" w14:textId="77777777" w:rsidR="00DC5685" w:rsidRPr="00A34F10" w:rsidRDefault="00DC5685" w:rsidP="00DC5685">
      <w:pPr>
        <w:pStyle w:val="RepNewPart"/>
        <w:suppressAutoHyphens/>
      </w:pPr>
      <w:r w:rsidRPr="00A34F10">
        <w:t>Risk assessment for fish-eating mammals via secondary poisoning</w:t>
      </w:r>
    </w:p>
    <w:p w14:paraId="330BC1D8" w14:textId="77777777" w:rsidR="00DC5685" w:rsidRPr="00A34F10" w:rsidRDefault="00DC5685" w:rsidP="00DC5685">
      <w:pPr>
        <w:pStyle w:val="RepStandard"/>
        <w:suppressAutoHyphens/>
      </w:pPr>
      <w:r w:rsidRPr="00A34F10">
        <w:t>According to EFSA/2009/1438, the risk for piscivorous mammals is assessed for a mammal of 3000 g body weight with a daily food consumption of 425 g. Bioaccumulation in fish is estimated based on predicted concentrations in surface water.</w:t>
      </w:r>
    </w:p>
    <w:p w14:paraId="65183B88" w14:textId="77777777" w:rsidR="00DC5685" w:rsidRPr="00A34F10" w:rsidRDefault="00DC5685" w:rsidP="00DC5685">
      <w:pPr>
        <w:pStyle w:val="RepStandard"/>
        <w:suppressAutoHyphens/>
      </w:pPr>
    </w:p>
    <w:p w14:paraId="6DB0B5DB" w14:textId="77777777" w:rsidR="00DC5685" w:rsidRPr="00A34F10" w:rsidRDefault="00DC5685" w:rsidP="00DC5685">
      <w:pPr>
        <w:pStyle w:val="RepStandard"/>
        <w:suppressAutoHyphens/>
      </w:pPr>
      <w:r w:rsidRPr="00A34F10">
        <w:t>As shown in the following table, the TER</w:t>
      </w:r>
      <w:r w:rsidRPr="00A34F10">
        <w:rPr>
          <w:vertAlign w:val="subscript"/>
        </w:rPr>
        <w:t>LT</w:t>
      </w:r>
      <w:r w:rsidRPr="00A34F10">
        <w:t xml:space="preserve"> for ametoctradin exceeds the relevant trigger of 5 for acceptability of effects, indicating an acceptable risk to fish-eating mammals via secondary poisoning.</w:t>
      </w:r>
    </w:p>
    <w:p w14:paraId="2F3D9084" w14:textId="37D39434" w:rsidR="00DC5685" w:rsidRPr="00A34F10" w:rsidRDefault="00DC5685" w:rsidP="00DC5685">
      <w:pPr>
        <w:pStyle w:val="RepStandard"/>
        <w:suppressAutoHyphens/>
        <w:rPr>
          <w:highlight w:val="yellow"/>
        </w:rPr>
      </w:pPr>
    </w:p>
    <w:p w14:paraId="67DDD877" w14:textId="72AA5970" w:rsidR="00DC5685" w:rsidRPr="00A34F10" w:rsidRDefault="00DC5685" w:rsidP="00DC5685">
      <w:pPr>
        <w:pStyle w:val="RepLabel"/>
        <w:suppressAutoHyphens/>
      </w:pPr>
      <w:r w:rsidRPr="00A34F10">
        <w:t xml:space="preserve">Table </w:t>
      </w:r>
      <w:fldSimple w:instr=" STYLEREF 2 \s ">
        <w:r w:rsidR="006F0F3B">
          <w:rPr>
            <w:noProof/>
          </w:rPr>
          <w:t>9.3</w:t>
        </w:r>
      </w:fldSimple>
      <w:r w:rsidRPr="00A34F10">
        <w:noBreakHyphen/>
      </w:r>
      <w:r w:rsidR="008D2847" w:rsidRPr="008D2847">
        <w:rPr>
          <w:highlight w:val="green"/>
        </w:rPr>
        <w:t>22</w:t>
      </w:r>
      <w:r w:rsidRPr="00A34F10">
        <w:t>:</w:t>
      </w:r>
      <w:r w:rsidRPr="00A34F10">
        <w:tab/>
        <w:t>Assessment of the risk for fish-eating birds due to exposure to Ametoctradin via bioaccumulation in fish (secondary poisoning) for the worst-case intended use in potato</w:t>
      </w:r>
    </w:p>
    <w:tbl>
      <w:tblPr>
        <w:tblW w:w="494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4"/>
        <w:gridCol w:w="2756"/>
        <w:gridCol w:w="4702"/>
      </w:tblGrid>
      <w:tr w:rsidR="00DC5685" w:rsidRPr="00A34F10" w14:paraId="1F5307B6" w14:textId="77777777" w:rsidTr="000470C3">
        <w:trPr>
          <w:cantSplit/>
          <w:trHeight w:val="366"/>
          <w:tblHeader/>
        </w:trPr>
        <w:tc>
          <w:tcPr>
            <w:tcW w:w="965" w:type="pct"/>
            <w:vAlign w:val="center"/>
          </w:tcPr>
          <w:p w14:paraId="44C63621" w14:textId="77777777" w:rsidR="00DC5685" w:rsidRPr="00A34F10" w:rsidRDefault="00DC5685" w:rsidP="000470C3">
            <w:pPr>
              <w:widowControl w:val="0"/>
              <w:numPr>
                <w:ilvl w:val="12"/>
                <w:numId w:val="0"/>
              </w:numPr>
              <w:suppressAutoHyphens/>
              <w:jc w:val="center"/>
              <w:rPr>
                <w:b/>
                <w:sz w:val="20"/>
                <w:szCs w:val="20"/>
                <w:lang w:val="en-GB"/>
              </w:rPr>
            </w:pPr>
            <w:r w:rsidRPr="00A34F10">
              <w:rPr>
                <w:b/>
                <w:sz w:val="20"/>
                <w:szCs w:val="20"/>
                <w:lang w:val="en-GB"/>
              </w:rPr>
              <w:t>Parameter</w:t>
            </w:r>
          </w:p>
        </w:tc>
        <w:tc>
          <w:tcPr>
            <w:tcW w:w="1491" w:type="pct"/>
            <w:vAlign w:val="center"/>
          </w:tcPr>
          <w:p w14:paraId="03177538" w14:textId="77777777" w:rsidR="00DC5685" w:rsidRPr="00A34F10" w:rsidRDefault="00DC5685" w:rsidP="000470C3">
            <w:pPr>
              <w:widowControl w:val="0"/>
              <w:numPr>
                <w:ilvl w:val="12"/>
                <w:numId w:val="0"/>
              </w:numPr>
              <w:suppressAutoHyphens/>
              <w:jc w:val="center"/>
              <w:rPr>
                <w:b/>
                <w:bCs/>
                <w:sz w:val="20"/>
                <w:szCs w:val="20"/>
                <w:lang w:val="en-GB"/>
              </w:rPr>
            </w:pPr>
            <w:r w:rsidRPr="00A34F10">
              <w:rPr>
                <w:b/>
                <w:bCs/>
                <w:sz w:val="20"/>
                <w:szCs w:val="20"/>
                <w:lang w:val="en-GB"/>
              </w:rPr>
              <w:t>Ametoctradin</w:t>
            </w:r>
          </w:p>
        </w:tc>
        <w:tc>
          <w:tcPr>
            <w:tcW w:w="2544" w:type="pct"/>
            <w:vAlign w:val="center"/>
          </w:tcPr>
          <w:p w14:paraId="35F8A808" w14:textId="77777777" w:rsidR="00DC5685" w:rsidRPr="00A34F10" w:rsidRDefault="00DC5685" w:rsidP="000470C3">
            <w:pPr>
              <w:widowControl w:val="0"/>
              <w:numPr>
                <w:ilvl w:val="12"/>
                <w:numId w:val="0"/>
              </w:numPr>
              <w:suppressAutoHyphens/>
              <w:jc w:val="center"/>
              <w:rPr>
                <w:b/>
                <w:bCs/>
                <w:sz w:val="20"/>
                <w:szCs w:val="20"/>
                <w:lang w:val="en-GB"/>
              </w:rPr>
            </w:pPr>
            <w:r w:rsidRPr="00A34F10">
              <w:rPr>
                <w:b/>
                <w:bCs/>
                <w:sz w:val="20"/>
                <w:szCs w:val="20"/>
                <w:lang w:val="en-GB"/>
              </w:rPr>
              <w:t>Reference</w:t>
            </w:r>
          </w:p>
        </w:tc>
      </w:tr>
      <w:tr w:rsidR="00DC5685" w:rsidRPr="00A34F10" w14:paraId="7312E3AC" w14:textId="77777777" w:rsidTr="000470C3">
        <w:trPr>
          <w:cantSplit/>
          <w:trHeight w:val="530"/>
        </w:trPr>
        <w:tc>
          <w:tcPr>
            <w:tcW w:w="965" w:type="pct"/>
            <w:vAlign w:val="center"/>
          </w:tcPr>
          <w:p w14:paraId="4F5BA290"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PEC</w:t>
            </w:r>
            <w:r w:rsidRPr="00A34F10">
              <w:rPr>
                <w:sz w:val="20"/>
                <w:szCs w:val="20"/>
                <w:vertAlign w:val="subscript"/>
                <w:lang w:val="en-GB"/>
              </w:rPr>
              <w:t>sw,</w:t>
            </w:r>
            <w:r w:rsidRPr="00A34F10">
              <w:rPr>
                <w:sz w:val="20"/>
                <w:szCs w:val="20"/>
                <w:lang w:val="en-GB"/>
              </w:rPr>
              <w:t xml:space="preserve"> (initial) [mg/L] </w:t>
            </w:r>
            <w:r w:rsidRPr="00A34F10">
              <w:rPr>
                <w:sz w:val="20"/>
                <w:szCs w:val="20"/>
                <w:vertAlign w:val="superscript"/>
                <w:lang w:val="en-GB"/>
              </w:rPr>
              <w:t>1)</w:t>
            </w:r>
          </w:p>
        </w:tc>
        <w:tc>
          <w:tcPr>
            <w:tcW w:w="1491" w:type="pct"/>
            <w:shd w:val="clear" w:color="auto" w:fill="FFFFFF" w:themeFill="background1"/>
            <w:vAlign w:val="center"/>
          </w:tcPr>
          <w:p w14:paraId="0978592A"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0.1645</w:t>
            </w:r>
          </w:p>
        </w:tc>
        <w:tc>
          <w:tcPr>
            <w:tcW w:w="2544" w:type="pct"/>
            <w:vAlign w:val="center"/>
          </w:tcPr>
          <w:p w14:paraId="6901547B" w14:textId="48F60ED5" w:rsidR="00DC5685" w:rsidRPr="00A34F10" w:rsidRDefault="00DC5685" w:rsidP="000470C3">
            <w:pPr>
              <w:pStyle w:val="TableText9pt"/>
              <w:keepLines w:val="0"/>
              <w:widowControl w:val="0"/>
              <w:suppressAutoHyphens/>
              <w:spacing w:before="0"/>
              <w:rPr>
                <w:strike/>
                <w:sz w:val="20"/>
                <w:lang w:val="en-GB"/>
              </w:rPr>
            </w:pPr>
            <w:r w:rsidRPr="00A34F10">
              <w:rPr>
                <w:sz w:val="20"/>
                <w:lang w:val="en-GB"/>
              </w:rPr>
              <w:t>Chapter 8.9</w:t>
            </w:r>
            <w:r w:rsidR="00790A2F">
              <w:rPr>
                <w:sz w:val="20"/>
                <w:lang w:val="en-GB"/>
              </w:rPr>
              <w:t xml:space="preserve"> </w:t>
            </w:r>
            <w:r w:rsidR="00790A2F" w:rsidRPr="00720421">
              <w:rPr>
                <w:sz w:val="20"/>
                <w:shd w:val="clear" w:color="auto" w:fill="D9D9D9" w:themeFill="background1" w:themeFillShade="D9"/>
                <w:lang w:val="en-GB"/>
              </w:rPr>
              <w:t>(Step 1)</w:t>
            </w:r>
          </w:p>
        </w:tc>
      </w:tr>
      <w:tr w:rsidR="00DC5685" w:rsidRPr="00A34F10" w14:paraId="75219101" w14:textId="77777777" w:rsidTr="000470C3">
        <w:trPr>
          <w:cantSplit/>
          <w:trHeight w:val="547"/>
        </w:trPr>
        <w:tc>
          <w:tcPr>
            <w:tcW w:w="965" w:type="pct"/>
            <w:vAlign w:val="center"/>
          </w:tcPr>
          <w:p w14:paraId="36B53A64" w14:textId="77777777" w:rsidR="00DC5685" w:rsidRPr="00A34F10" w:rsidRDefault="00DC5685" w:rsidP="000470C3">
            <w:pPr>
              <w:widowControl w:val="0"/>
              <w:numPr>
                <w:ilvl w:val="12"/>
                <w:numId w:val="0"/>
              </w:numPr>
              <w:suppressAutoHyphens/>
              <w:rPr>
                <w:sz w:val="20"/>
                <w:szCs w:val="20"/>
                <w:lang w:val="en-GB"/>
              </w:rPr>
            </w:pPr>
            <w:r w:rsidRPr="00A34F10">
              <w:rPr>
                <w:sz w:val="20"/>
                <w:szCs w:val="20"/>
                <w:lang w:val="en-GB"/>
              </w:rPr>
              <w:t>BCF fish (max. worst case)</w:t>
            </w:r>
          </w:p>
        </w:tc>
        <w:tc>
          <w:tcPr>
            <w:tcW w:w="1491" w:type="pct"/>
            <w:vAlign w:val="center"/>
          </w:tcPr>
          <w:p w14:paraId="618DE05F"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 xml:space="preserve">219 </w:t>
            </w:r>
          </w:p>
        </w:tc>
        <w:tc>
          <w:tcPr>
            <w:tcW w:w="2544" w:type="pct"/>
            <w:vAlign w:val="center"/>
          </w:tcPr>
          <w:p w14:paraId="1AE598BF" w14:textId="77777777" w:rsidR="00DC5685" w:rsidRPr="00A34F10" w:rsidRDefault="00DC5685" w:rsidP="000470C3">
            <w:pPr>
              <w:widowControl w:val="0"/>
              <w:suppressAutoHyphens/>
              <w:ind w:right="72"/>
              <w:rPr>
                <w:sz w:val="20"/>
                <w:szCs w:val="20"/>
                <w:lang w:val="en-GB"/>
              </w:rPr>
            </w:pPr>
            <w:r w:rsidRPr="00A34F10">
              <w:rPr>
                <w:sz w:val="20"/>
                <w:szCs w:val="20"/>
                <w:lang w:val="en-GB"/>
              </w:rPr>
              <w:t xml:space="preserve">EFSA Journal 2012, 10(11): 2921 </w:t>
            </w:r>
          </w:p>
        </w:tc>
      </w:tr>
      <w:tr w:rsidR="00DC5685" w:rsidRPr="00A34F10" w14:paraId="613A9461" w14:textId="77777777" w:rsidTr="000470C3">
        <w:trPr>
          <w:cantSplit/>
          <w:trHeight w:val="397"/>
        </w:trPr>
        <w:tc>
          <w:tcPr>
            <w:tcW w:w="965" w:type="pct"/>
            <w:vAlign w:val="center"/>
          </w:tcPr>
          <w:p w14:paraId="23C4C75B" w14:textId="77777777" w:rsidR="00DC5685" w:rsidRPr="00A34F10" w:rsidRDefault="00DC5685" w:rsidP="000470C3">
            <w:pPr>
              <w:widowControl w:val="0"/>
              <w:numPr>
                <w:ilvl w:val="12"/>
                <w:numId w:val="0"/>
              </w:numPr>
              <w:suppressAutoHyphens/>
              <w:rPr>
                <w:sz w:val="20"/>
                <w:szCs w:val="20"/>
                <w:lang w:val="en-GB"/>
              </w:rPr>
            </w:pPr>
            <w:r w:rsidRPr="00A34F10">
              <w:rPr>
                <w:sz w:val="20"/>
                <w:lang w:val="en-GB"/>
              </w:rPr>
              <w:t>PEC</w:t>
            </w:r>
            <w:r w:rsidRPr="00A34F10">
              <w:rPr>
                <w:sz w:val="20"/>
                <w:vertAlign w:val="subscript"/>
                <w:lang w:val="en-GB"/>
              </w:rPr>
              <w:t>fish</w:t>
            </w:r>
            <w:r w:rsidRPr="00A34F10">
              <w:rPr>
                <w:sz w:val="20"/>
                <w:lang w:val="en-GB"/>
              </w:rPr>
              <w:t xml:space="preserve"> [mg/kg]</w:t>
            </w:r>
          </w:p>
        </w:tc>
        <w:tc>
          <w:tcPr>
            <w:tcW w:w="1491" w:type="pct"/>
            <w:vAlign w:val="center"/>
          </w:tcPr>
          <w:p w14:paraId="4F20A86D"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lang w:val="en-GB"/>
              </w:rPr>
              <w:t>36.026</w:t>
            </w:r>
          </w:p>
        </w:tc>
        <w:tc>
          <w:tcPr>
            <w:tcW w:w="2544" w:type="pct"/>
            <w:vAlign w:val="center"/>
          </w:tcPr>
          <w:p w14:paraId="32EA4A8B"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PEC</w:t>
            </w:r>
            <w:r w:rsidRPr="00A34F10">
              <w:rPr>
                <w:sz w:val="20"/>
                <w:vertAlign w:val="subscript"/>
                <w:lang w:val="en-GB"/>
              </w:rPr>
              <w:t xml:space="preserve">fish </w:t>
            </w:r>
            <w:r w:rsidRPr="00A34F10">
              <w:rPr>
                <w:sz w:val="20"/>
                <w:lang w:val="en-GB"/>
              </w:rPr>
              <w:t>= PEC</w:t>
            </w:r>
            <w:r w:rsidRPr="00A34F10">
              <w:rPr>
                <w:sz w:val="20"/>
                <w:vertAlign w:val="subscript"/>
                <w:lang w:val="en-GB"/>
              </w:rPr>
              <w:t>water</w:t>
            </w:r>
            <w:r w:rsidRPr="00A34F10">
              <w:rPr>
                <w:sz w:val="20"/>
                <w:lang w:val="en-GB"/>
              </w:rPr>
              <w:t xml:space="preserve"> x TWA x BCF</w:t>
            </w:r>
          </w:p>
        </w:tc>
      </w:tr>
      <w:tr w:rsidR="00DC5685" w:rsidRPr="00A34F10" w14:paraId="3CE42CD6" w14:textId="77777777" w:rsidTr="000470C3">
        <w:trPr>
          <w:cantSplit/>
          <w:trHeight w:val="397"/>
        </w:trPr>
        <w:tc>
          <w:tcPr>
            <w:tcW w:w="965" w:type="pct"/>
            <w:vAlign w:val="center"/>
          </w:tcPr>
          <w:p w14:paraId="1F5B3DEF" w14:textId="77777777" w:rsidR="00DC5685" w:rsidRPr="00A34F10" w:rsidRDefault="00DC5685" w:rsidP="000470C3">
            <w:pPr>
              <w:widowControl w:val="0"/>
              <w:numPr>
                <w:ilvl w:val="12"/>
                <w:numId w:val="0"/>
              </w:numPr>
              <w:suppressAutoHyphens/>
              <w:rPr>
                <w:sz w:val="20"/>
                <w:szCs w:val="20"/>
                <w:lang w:val="en-GB"/>
              </w:rPr>
            </w:pPr>
            <w:r w:rsidRPr="00A34F10">
              <w:rPr>
                <w:sz w:val="20"/>
                <w:lang w:val="en-GB"/>
              </w:rPr>
              <w:t>Daily dose [mg/kg b.w./d]</w:t>
            </w:r>
          </w:p>
        </w:tc>
        <w:tc>
          <w:tcPr>
            <w:tcW w:w="1491" w:type="pct"/>
            <w:vAlign w:val="center"/>
          </w:tcPr>
          <w:p w14:paraId="0A63B47F"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lang w:val="en-GB"/>
              </w:rPr>
              <w:t>5.116</w:t>
            </w:r>
          </w:p>
        </w:tc>
        <w:tc>
          <w:tcPr>
            <w:tcW w:w="2544" w:type="pct"/>
            <w:vAlign w:val="center"/>
          </w:tcPr>
          <w:p w14:paraId="2E10283B"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Daily dose = PEC</w:t>
            </w:r>
            <w:r w:rsidRPr="00A34F10">
              <w:rPr>
                <w:sz w:val="20"/>
                <w:vertAlign w:val="subscript"/>
                <w:lang w:val="en-GB"/>
              </w:rPr>
              <w:t xml:space="preserve">fish </w:t>
            </w:r>
            <w:r w:rsidRPr="00A34F10">
              <w:rPr>
                <w:sz w:val="20"/>
                <w:lang w:val="en-GB"/>
              </w:rPr>
              <w:t>x 0.142</w:t>
            </w:r>
          </w:p>
        </w:tc>
      </w:tr>
      <w:tr w:rsidR="00DC5685" w:rsidRPr="00A34F10" w14:paraId="39269398" w14:textId="77777777" w:rsidTr="000470C3">
        <w:trPr>
          <w:cantSplit/>
          <w:trHeight w:val="592"/>
        </w:trPr>
        <w:tc>
          <w:tcPr>
            <w:tcW w:w="965" w:type="pct"/>
            <w:vAlign w:val="center"/>
          </w:tcPr>
          <w:p w14:paraId="1898D993" w14:textId="77777777" w:rsidR="00DC5685" w:rsidRPr="001D51C3" w:rsidRDefault="00DC5685" w:rsidP="000470C3">
            <w:pPr>
              <w:widowControl w:val="0"/>
              <w:numPr>
                <w:ilvl w:val="12"/>
                <w:numId w:val="0"/>
              </w:numPr>
              <w:suppressAutoHyphens/>
              <w:rPr>
                <w:sz w:val="20"/>
                <w:szCs w:val="20"/>
                <w:lang w:val="es-ES"/>
              </w:rPr>
            </w:pPr>
            <w:r w:rsidRPr="001D51C3">
              <w:rPr>
                <w:sz w:val="20"/>
                <w:szCs w:val="20"/>
                <w:lang w:val="es-ES"/>
              </w:rPr>
              <w:t>NO(A)EL [mg/kg b.w./d]</w:t>
            </w:r>
          </w:p>
        </w:tc>
        <w:tc>
          <w:tcPr>
            <w:tcW w:w="1491" w:type="pct"/>
            <w:vAlign w:val="center"/>
          </w:tcPr>
          <w:p w14:paraId="3ADF88FC"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939.0</w:t>
            </w:r>
          </w:p>
        </w:tc>
        <w:tc>
          <w:tcPr>
            <w:tcW w:w="2544" w:type="pct"/>
            <w:vAlign w:val="center"/>
          </w:tcPr>
          <w:p w14:paraId="2C97084F"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See above</w:t>
            </w:r>
          </w:p>
        </w:tc>
      </w:tr>
      <w:tr w:rsidR="00DC5685" w:rsidRPr="00A34F10" w14:paraId="60FED702" w14:textId="77777777" w:rsidTr="000470C3">
        <w:trPr>
          <w:cantSplit/>
          <w:trHeight w:val="397"/>
        </w:trPr>
        <w:tc>
          <w:tcPr>
            <w:tcW w:w="965" w:type="pct"/>
            <w:vAlign w:val="center"/>
          </w:tcPr>
          <w:p w14:paraId="17F90058" w14:textId="77777777" w:rsidR="00DC5685" w:rsidRPr="00A34F10" w:rsidRDefault="00DC5685" w:rsidP="000470C3">
            <w:pPr>
              <w:widowControl w:val="0"/>
              <w:numPr>
                <w:ilvl w:val="12"/>
                <w:numId w:val="0"/>
              </w:numPr>
              <w:suppressAutoHyphens/>
              <w:rPr>
                <w:sz w:val="20"/>
                <w:szCs w:val="20"/>
                <w:vertAlign w:val="superscript"/>
                <w:lang w:val="en-GB"/>
              </w:rPr>
            </w:pPr>
            <w:r w:rsidRPr="00A34F10">
              <w:rPr>
                <w:sz w:val="20"/>
                <w:szCs w:val="20"/>
                <w:lang w:val="en-GB"/>
              </w:rPr>
              <w:t>TER</w:t>
            </w:r>
            <w:r w:rsidRPr="00A34F10">
              <w:rPr>
                <w:caps/>
                <w:sz w:val="20"/>
                <w:szCs w:val="20"/>
                <w:vertAlign w:val="subscript"/>
                <w:lang w:val="en-GB"/>
              </w:rPr>
              <w:t>lt</w:t>
            </w:r>
          </w:p>
        </w:tc>
        <w:tc>
          <w:tcPr>
            <w:tcW w:w="1491" w:type="pct"/>
            <w:vAlign w:val="center"/>
          </w:tcPr>
          <w:p w14:paraId="468EE671" w14:textId="77777777" w:rsidR="00DC5685" w:rsidRPr="00A34F10" w:rsidRDefault="00DC5685" w:rsidP="000470C3">
            <w:pPr>
              <w:widowControl w:val="0"/>
              <w:numPr>
                <w:ilvl w:val="12"/>
                <w:numId w:val="0"/>
              </w:numPr>
              <w:suppressAutoHyphens/>
              <w:jc w:val="center"/>
              <w:rPr>
                <w:sz w:val="20"/>
                <w:szCs w:val="20"/>
                <w:lang w:val="en-GB"/>
              </w:rPr>
            </w:pPr>
            <w:r w:rsidRPr="00A34F10">
              <w:rPr>
                <w:sz w:val="20"/>
                <w:szCs w:val="20"/>
                <w:lang w:val="en-GB"/>
              </w:rPr>
              <w:t>183.6</w:t>
            </w:r>
          </w:p>
        </w:tc>
        <w:tc>
          <w:tcPr>
            <w:tcW w:w="2544" w:type="pct"/>
            <w:vAlign w:val="center"/>
          </w:tcPr>
          <w:p w14:paraId="732B58E9" w14:textId="77777777" w:rsidR="00DC5685" w:rsidRPr="00A34F10" w:rsidRDefault="00DC5685" w:rsidP="000470C3">
            <w:pPr>
              <w:pStyle w:val="TableText9pt"/>
              <w:keepLines w:val="0"/>
              <w:widowControl w:val="0"/>
              <w:suppressAutoHyphens/>
              <w:spacing w:before="0"/>
              <w:rPr>
                <w:sz w:val="20"/>
                <w:lang w:val="en-GB"/>
              </w:rPr>
            </w:pPr>
            <w:r w:rsidRPr="00A34F10">
              <w:rPr>
                <w:sz w:val="20"/>
                <w:lang w:val="en-GB"/>
              </w:rPr>
              <w:t>--</w:t>
            </w:r>
          </w:p>
        </w:tc>
      </w:tr>
    </w:tbl>
    <w:p w14:paraId="2B8B4504" w14:textId="77777777" w:rsidR="00DC5685" w:rsidRPr="00A34F10" w:rsidRDefault="00DC5685" w:rsidP="00DC5685">
      <w:pPr>
        <w:pStyle w:val="RepNewPart"/>
        <w:keepNext w:val="0"/>
        <w:keepLines w:val="0"/>
        <w:suppressAutoHyphens/>
        <w:spacing w:before="0" w:after="0"/>
        <w:ind w:left="284" w:hanging="284"/>
        <w:rPr>
          <w:b w:val="0"/>
          <w:sz w:val="18"/>
          <w:szCs w:val="18"/>
        </w:rPr>
      </w:pPr>
      <w:r w:rsidRPr="00A34F10">
        <w:rPr>
          <w:b w:val="0"/>
          <w:sz w:val="18"/>
          <w:szCs w:val="18"/>
          <w:vertAlign w:val="superscript"/>
        </w:rPr>
        <w:t>1</w:t>
      </w:r>
      <w:bookmarkStart w:id="409" w:name="_Hlk133237933"/>
      <w:r w:rsidRPr="00A34F10">
        <w:rPr>
          <w:b w:val="0"/>
          <w:sz w:val="18"/>
          <w:szCs w:val="18"/>
          <w:vertAlign w:val="superscript"/>
        </w:rPr>
        <w:t>)</w:t>
      </w:r>
      <w:r w:rsidRPr="00A34F10">
        <w:rPr>
          <w:b w:val="0"/>
          <w:sz w:val="18"/>
          <w:szCs w:val="18"/>
        </w:rPr>
        <w:tab/>
        <w:t>Highest PEC</w:t>
      </w:r>
      <w:r w:rsidRPr="00A34F10">
        <w:rPr>
          <w:b w:val="0"/>
          <w:sz w:val="18"/>
          <w:szCs w:val="18"/>
          <w:vertAlign w:val="subscript"/>
        </w:rPr>
        <w:t>sw</w:t>
      </w:r>
      <w:r w:rsidRPr="00A34F10">
        <w:rPr>
          <w:b w:val="0"/>
          <w:sz w:val="18"/>
          <w:szCs w:val="18"/>
        </w:rPr>
        <w:t xml:space="preserve"> (initial) as worst-case, selected from twofold application scenario in potatoes (FOCUS Step 1). For details please refer to chapter 8.9.</w:t>
      </w:r>
      <w:bookmarkEnd w:id="409"/>
    </w:p>
    <w:p w14:paraId="18E36367" w14:textId="2660952A" w:rsidR="009B71DE" w:rsidRDefault="009B71DE">
      <w:r>
        <w:br w:type="page"/>
      </w:r>
    </w:p>
    <w:p w14:paraId="66691BB1" w14:textId="77777777" w:rsidR="00DC5685" w:rsidRPr="00A34F10" w:rsidRDefault="00DC5685" w:rsidP="00DC5685">
      <w:pPr>
        <w:pStyle w:val="Nagwek4"/>
        <w:suppressAutoHyphens/>
        <w:rPr>
          <w:noProof w:val="0"/>
          <w:lang w:val="en-GB"/>
        </w:rPr>
      </w:pPr>
      <w:bookmarkStart w:id="410" w:name="_Toc181624964"/>
      <w:r w:rsidRPr="00A34F10">
        <w:rPr>
          <w:noProof w:val="0"/>
          <w:lang w:val="en-GB"/>
        </w:rPr>
        <w:lastRenderedPageBreak/>
        <w:t>Biomagnification in terrestrial food chains</w:t>
      </w:r>
      <w:bookmarkEnd w:id="399"/>
      <w:bookmarkEnd w:id="400"/>
      <w:bookmarkEnd w:id="401"/>
      <w:bookmarkEnd w:id="402"/>
      <w:bookmarkEnd w:id="403"/>
      <w:bookmarkEnd w:id="404"/>
      <w:bookmarkEnd w:id="405"/>
      <w:bookmarkEnd w:id="406"/>
      <w:bookmarkEnd w:id="407"/>
      <w:bookmarkEnd w:id="410"/>
    </w:p>
    <w:p w14:paraId="695834C2" w14:textId="77777777" w:rsidR="00DC5685" w:rsidRPr="00A34F10" w:rsidRDefault="00DC5685" w:rsidP="00DC5685">
      <w:pPr>
        <w:widowControl w:val="0"/>
        <w:tabs>
          <w:tab w:val="left" w:pos="120"/>
        </w:tabs>
        <w:suppressAutoHyphens/>
        <w:jc w:val="both"/>
        <w:rPr>
          <w:lang w:val="en-GB"/>
        </w:rPr>
      </w:pPr>
      <w:bookmarkStart w:id="411" w:name="_Hlk133238293"/>
      <w:r w:rsidRPr="00A34F10">
        <w:rPr>
          <w:rFonts w:eastAsia="SimSun"/>
          <w:lang w:val="en-GB" w:eastAsia="zh-CN"/>
        </w:rPr>
        <w:t xml:space="preserve">Low potential for accumulation in animal tissue was concluded in the EU reviews of </w:t>
      </w:r>
      <w:r w:rsidRPr="00A34F10">
        <w:rPr>
          <w:lang w:val="en-GB"/>
        </w:rPr>
        <w:t>Ametoctradin</w:t>
      </w:r>
      <w:r w:rsidRPr="00A34F10">
        <w:rPr>
          <w:rFonts w:eastAsia="SimSun"/>
          <w:lang w:val="en-GB" w:eastAsia="zh-CN"/>
        </w:rPr>
        <w:t xml:space="preserve"> </w:t>
      </w:r>
      <w:r w:rsidRPr="00A34F10">
        <w:rPr>
          <w:rFonts w:eastAsia="SimSun"/>
          <w:szCs w:val="24"/>
          <w:lang w:val="en-GB" w:eastAsia="zh-CN"/>
        </w:rPr>
        <w:t>(</w:t>
      </w:r>
      <w:r w:rsidRPr="00A34F10">
        <w:rPr>
          <w:szCs w:val="24"/>
          <w:lang w:val="en-GB"/>
        </w:rPr>
        <w:t xml:space="preserve">EFSA Scientific Report (2012) 10(11): 2921) </w:t>
      </w:r>
      <w:r w:rsidRPr="00A34F10">
        <w:rPr>
          <w:rFonts w:eastAsia="SimSun"/>
          <w:lang w:val="en-GB" w:eastAsia="zh-CN"/>
        </w:rPr>
        <w:t>and Propamocarb-HCl (</w:t>
      </w:r>
      <w:r w:rsidRPr="00A34F10">
        <w:rPr>
          <w:szCs w:val="24"/>
          <w:lang w:val="en-GB"/>
        </w:rPr>
        <w:t xml:space="preserve">EFSA Scientific Report (2006)) </w:t>
      </w:r>
      <w:r w:rsidRPr="00A34F10">
        <w:rPr>
          <w:rFonts w:eastAsia="SimSun"/>
          <w:lang w:val="en-GB" w:eastAsia="zh-CN"/>
        </w:rPr>
        <w:t xml:space="preserve">from </w:t>
      </w:r>
      <w:r w:rsidRPr="00A34F10">
        <w:rPr>
          <w:rFonts w:eastAsia="SimSun"/>
          <w:szCs w:val="24"/>
          <w:lang w:val="en-GB" w:eastAsia="zh-CN"/>
        </w:rPr>
        <w:t>toxicokinetics studies</w:t>
      </w:r>
      <w:r w:rsidRPr="00A34F10">
        <w:rPr>
          <w:lang w:val="en-GB"/>
        </w:rPr>
        <w:t>.</w:t>
      </w:r>
    </w:p>
    <w:p w14:paraId="77ECE00C" w14:textId="77777777" w:rsidR="00DC5685" w:rsidRPr="00A34F10" w:rsidRDefault="00DC5685" w:rsidP="00DC5685">
      <w:pPr>
        <w:widowControl w:val="0"/>
        <w:tabs>
          <w:tab w:val="left" w:pos="120"/>
        </w:tabs>
        <w:suppressAutoHyphens/>
        <w:jc w:val="both"/>
        <w:rPr>
          <w:lang w:val="en-GB"/>
        </w:rPr>
      </w:pPr>
    </w:p>
    <w:p w14:paraId="555C29F0" w14:textId="77777777" w:rsidR="00DC5685" w:rsidRPr="00A34F10" w:rsidRDefault="00DC5685" w:rsidP="00DC5685">
      <w:pPr>
        <w:jc w:val="both"/>
        <w:rPr>
          <w:lang w:val="en-GB"/>
        </w:rPr>
      </w:pPr>
      <w:r w:rsidRPr="00A34F10">
        <w:rPr>
          <w:lang w:val="en-GB"/>
        </w:rPr>
        <w:t>Since the bioaccumulation potential of Ametoctradin and Propamocarb is low, no further assessment on biomagnification along the food chain is required</w:t>
      </w:r>
      <w:bookmarkEnd w:id="411"/>
      <w:r w:rsidRPr="00A34F10">
        <w:rPr>
          <w:lang w:val="en-GB"/>
        </w:rPr>
        <w:t>.</w:t>
      </w:r>
    </w:p>
    <w:p w14:paraId="0B0BA352" w14:textId="77777777" w:rsidR="00DC5685" w:rsidRPr="00A34F10" w:rsidRDefault="00DC5685" w:rsidP="00DC5685">
      <w:pPr>
        <w:pStyle w:val="Nagwek3"/>
        <w:rPr>
          <w:rFonts w:cs="Times New Roman"/>
        </w:rPr>
      </w:pPr>
      <w:bookmarkStart w:id="412" w:name="_Toc412643991"/>
      <w:bookmarkStart w:id="413" w:name="_Toc413916837"/>
      <w:bookmarkStart w:id="414" w:name="_Toc413916979"/>
      <w:bookmarkStart w:id="415" w:name="_Toc413922040"/>
      <w:bookmarkStart w:id="416" w:name="_Toc413922529"/>
      <w:bookmarkStart w:id="417" w:name="_Toc413922633"/>
      <w:bookmarkStart w:id="418" w:name="_Toc414955270"/>
      <w:bookmarkStart w:id="419" w:name="_Toc415214577"/>
      <w:bookmarkStart w:id="420" w:name="_Toc425512598"/>
      <w:bookmarkStart w:id="421" w:name="_Toc181624965"/>
      <w:r w:rsidRPr="00A34F10">
        <w:rPr>
          <w:rFonts w:cs="Times New Roman"/>
        </w:rPr>
        <w:t>Risk assessment for baits, pellets, granules, prills or treated seed</w:t>
      </w:r>
      <w:bookmarkEnd w:id="412"/>
      <w:bookmarkEnd w:id="413"/>
      <w:bookmarkEnd w:id="414"/>
      <w:bookmarkEnd w:id="415"/>
      <w:bookmarkEnd w:id="416"/>
      <w:bookmarkEnd w:id="417"/>
      <w:bookmarkEnd w:id="418"/>
      <w:bookmarkEnd w:id="419"/>
      <w:bookmarkEnd w:id="420"/>
      <w:bookmarkEnd w:id="421"/>
    </w:p>
    <w:p w14:paraId="58852E58" w14:textId="77777777" w:rsidR="00DC5685" w:rsidRPr="00A34F10" w:rsidRDefault="00DC5685" w:rsidP="00DC5685">
      <w:pPr>
        <w:pStyle w:val="RepStandard"/>
        <w:suppressAutoHyphens/>
      </w:pPr>
      <w:r w:rsidRPr="00A34F10">
        <w:t>Not relevant.</w:t>
      </w:r>
    </w:p>
    <w:p w14:paraId="79021CE6" w14:textId="77777777" w:rsidR="00DC5685" w:rsidRPr="00A34F10" w:rsidRDefault="00DC5685" w:rsidP="00DC5685">
      <w:pPr>
        <w:pStyle w:val="Nagwek3"/>
        <w:rPr>
          <w:rFonts w:cs="Times New Roman"/>
        </w:rPr>
      </w:pPr>
      <w:bookmarkStart w:id="422" w:name="_Toc412643992"/>
      <w:bookmarkStart w:id="423" w:name="_Toc413916838"/>
      <w:bookmarkStart w:id="424" w:name="_Toc413916980"/>
      <w:bookmarkStart w:id="425" w:name="_Toc413922041"/>
      <w:bookmarkStart w:id="426" w:name="_Toc413922530"/>
      <w:bookmarkStart w:id="427" w:name="_Toc413922634"/>
      <w:bookmarkStart w:id="428" w:name="_Toc414955271"/>
      <w:bookmarkStart w:id="429" w:name="_Toc415214578"/>
      <w:bookmarkStart w:id="430" w:name="_Toc425512599"/>
      <w:bookmarkStart w:id="431" w:name="_Toc181624966"/>
      <w:r w:rsidRPr="00A34F10">
        <w:rPr>
          <w:rFonts w:cs="Times New Roman"/>
        </w:rPr>
        <w:t>Overall conclusions</w:t>
      </w:r>
      <w:bookmarkEnd w:id="422"/>
      <w:bookmarkEnd w:id="423"/>
      <w:bookmarkEnd w:id="424"/>
      <w:bookmarkEnd w:id="425"/>
      <w:bookmarkEnd w:id="426"/>
      <w:bookmarkEnd w:id="427"/>
      <w:bookmarkEnd w:id="428"/>
      <w:bookmarkEnd w:id="429"/>
      <w:bookmarkEnd w:id="430"/>
      <w:bookmarkEnd w:id="431"/>
    </w:p>
    <w:p w14:paraId="611BA0E8" w14:textId="77777777" w:rsidR="00DC5685" w:rsidRDefault="00DC5685" w:rsidP="00DC5685">
      <w:pPr>
        <w:pStyle w:val="RepStandard"/>
      </w:pPr>
      <w:r w:rsidRPr="00A34F10">
        <w:t>It can be concluded that the risk to mammals from the application of BAS 743 03 F according to good agricultural practice is acceptable.</w:t>
      </w:r>
    </w:p>
    <w:p w14:paraId="04FBEBD5" w14:textId="77777777" w:rsidR="008B065D" w:rsidRDefault="008B065D" w:rsidP="00DC5685">
      <w:pPr>
        <w:pStyle w:val="RepStandard"/>
      </w:pPr>
    </w:p>
    <w:p w14:paraId="0B15BDC9" w14:textId="77777777" w:rsidR="00B30D0F" w:rsidRDefault="00B30D0F" w:rsidP="00B30D0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B30D0F" w:rsidRPr="00DD5DB0" w14:paraId="33D99478" w14:textId="77777777" w:rsidTr="00B85AE5">
        <w:trPr>
          <w:trHeight w:val="2477"/>
        </w:trPr>
        <w:tc>
          <w:tcPr>
            <w:tcW w:w="5000" w:type="pct"/>
            <w:shd w:val="clear" w:color="auto" w:fill="D9D9D9"/>
          </w:tcPr>
          <w:p w14:paraId="5C1E81B7" w14:textId="77777777" w:rsidR="00B30D0F" w:rsidRPr="007E43E8" w:rsidRDefault="00B30D0F" w:rsidP="00FD6309">
            <w:pPr>
              <w:pStyle w:val="TableText1"/>
              <w:spacing w:after="120"/>
              <w:jc w:val="both"/>
              <w:rPr>
                <w:b/>
                <w:bCs w:val="0"/>
                <w:sz w:val="22"/>
                <w:szCs w:val="22"/>
                <w:lang w:eastAsia="en-US"/>
              </w:rPr>
            </w:pPr>
            <w:r w:rsidRPr="007E43E8">
              <w:rPr>
                <w:b/>
                <w:sz w:val="22"/>
                <w:szCs w:val="22"/>
                <w:lang w:eastAsia="en-US"/>
              </w:rPr>
              <w:t>Review Comments:</w:t>
            </w:r>
          </w:p>
          <w:p w14:paraId="19631E14" w14:textId="7694D2B8" w:rsidR="00B30D0F" w:rsidRPr="007E43E8" w:rsidRDefault="00B30D0F" w:rsidP="00FD6309">
            <w:pPr>
              <w:pStyle w:val="TableText9pt"/>
              <w:spacing w:before="0" w:after="120"/>
              <w:jc w:val="both"/>
              <w:rPr>
                <w:sz w:val="22"/>
                <w:szCs w:val="22"/>
                <w:lang w:val="en-GB"/>
              </w:rPr>
            </w:pPr>
            <w:r w:rsidRPr="007E43E8">
              <w:rPr>
                <w:sz w:val="22"/>
                <w:szCs w:val="22"/>
                <w:lang w:val="en-GB"/>
              </w:rPr>
              <w:t>The acute and chronic risks of</w:t>
            </w:r>
            <w:r w:rsidRPr="007E43E8">
              <w:rPr>
                <w:sz w:val="22"/>
                <w:szCs w:val="22"/>
                <w:lang w:val="en-GB" w:eastAsia="en-US"/>
              </w:rPr>
              <w:t xml:space="preserve"> </w:t>
            </w:r>
            <w:r w:rsidRPr="007E43E8">
              <w:rPr>
                <w:sz w:val="22"/>
                <w:szCs w:val="22"/>
                <w:lang w:val="en-GB"/>
              </w:rPr>
              <w:t>BAS 743 03 F to mammals were assessed from toxicity exposure ratios between toxicity endpoints, estimated from study with active ingredients and maximum residues occurring on food items. A</w:t>
            </w:r>
            <w:r w:rsidRPr="007E43E8">
              <w:rPr>
                <w:rFonts w:eastAsia="Calibri"/>
                <w:sz w:val="22"/>
                <w:szCs w:val="22"/>
                <w:lang w:val="en-GB" w:eastAsia="zh-CN"/>
              </w:rPr>
              <w:t xml:space="preserve">n acute oral toxicity study with </w:t>
            </w:r>
            <w:r w:rsidRPr="007E43E8">
              <w:rPr>
                <w:sz w:val="22"/>
                <w:szCs w:val="22"/>
                <w:lang w:val="en-GB"/>
              </w:rPr>
              <w:t>BAS 743 02 F</w:t>
            </w:r>
            <w:r w:rsidRPr="007E43E8">
              <w:rPr>
                <w:rFonts w:eastAsia="Calibri"/>
                <w:sz w:val="22"/>
                <w:szCs w:val="22"/>
                <w:lang w:val="en-GB" w:eastAsia="zh-CN"/>
              </w:rPr>
              <w:t xml:space="preserve"> in rats was taken to consideration in the evaluation.</w:t>
            </w:r>
          </w:p>
          <w:p w14:paraId="4639C545" w14:textId="77777777" w:rsidR="008E5764" w:rsidRPr="007E43E8" w:rsidRDefault="00B30D0F" w:rsidP="00FD6309">
            <w:pPr>
              <w:widowControl w:val="0"/>
              <w:suppressAutoHyphens/>
              <w:spacing w:after="120"/>
              <w:jc w:val="both"/>
              <w:rPr>
                <w:lang w:val="en-GB"/>
              </w:rPr>
            </w:pPr>
            <w:r w:rsidRPr="007E43E8">
              <w:rPr>
                <w:lang w:val="en-GB"/>
              </w:rPr>
              <w:t xml:space="preserve">All TER values exceed the relevant triggers in the screening step risk assessment for </w:t>
            </w:r>
            <w:r w:rsidR="00E061AE" w:rsidRPr="007E43E8">
              <w:rPr>
                <w:lang w:val="en-GB"/>
              </w:rPr>
              <w:t>ametoctradin</w:t>
            </w:r>
            <w:r w:rsidRPr="007E43E8">
              <w:rPr>
                <w:lang w:val="en-GB"/>
              </w:rPr>
              <w:t xml:space="preserve"> (acute and chronic)</w:t>
            </w:r>
            <w:r w:rsidR="00A74798" w:rsidRPr="007E43E8">
              <w:rPr>
                <w:lang w:val="en-GB"/>
              </w:rPr>
              <w:t xml:space="preserve">. </w:t>
            </w:r>
            <w:r w:rsidRPr="007E43E8">
              <w:rPr>
                <w:lang w:val="en-GB"/>
              </w:rPr>
              <w:t xml:space="preserve"> </w:t>
            </w:r>
          </w:p>
          <w:p w14:paraId="72881D5A" w14:textId="1D2C7D73" w:rsidR="00D90839" w:rsidRPr="007E43E8" w:rsidRDefault="00D90839" w:rsidP="00FD6309">
            <w:pPr>
              <w:widowControl w:val="0"/>
              <w:suppressAutoHyphens/>
              <w:spacing w:after="120"/>
              <w:jc w:val="both"/>
              <w:rPr>
                <w:lang w:val="en-GB"/>
              </w:rPr>
            </w:pPr>
            <w:r w:rsidRPr="007E43E8">
              <w:rPr>
                <w:lang w:val="en-GB"/>
              </w:rPr>
              <w:t xml:space="preserve">All acute TER values exceed the relevant triggers in the Tier 1 risk assessment for </w:t>
            </w:r>
            <w:r w:rsidRPr="007E43E8">
              <w:rPr>
                <w:iCs/>
                <w:lang w:val="en-GB"/>
              </w:rPr>
              <w:t>p</w:t>
            </w:r>
            <w:r w:rsidRPr="007E43E8">
              <w:rPr>
                <w:noProof/>
                <w:lang w:val="en-GB"/>
              </w:rPr>
              <w:t>ropamocarb-HCl</w:t>
            </w:r>
            <w:r w:rsidR="0004371F" w:rsidRPr="007E43E8">
              <w:rPr>
                <w:noProof/>
                <w:lang w:val="en-GB"/>
              </w:rPr>
              <w:t xml:space="preserve"> </w:t>
            </w:r>
            <w:r w:rsidR="0004371F" w:rsidRPr="007E43E8">
              <w:rPr>
                <w:lang w:val="en-GB"/>
              </w:rPr>
              <w:t xml:space="preserve">except for uses in </w:t>
            </w:r>
            <w:r w:rsidR="007A0219">
              <w:rPr>
                <w:lang w:val="en-GB"/>
              </w:rPr>
              <w:t xml:space="preserve">surrogate crop scenario: </w:t>
            </w:r>
            <w:r w:rsidR="0004371F" w:rsidRPr="007E43E8">
              <w:rPr>
                <w:shd w:val="clear" w:color="auto" w:fill="D9D9D9" w:themeFill="background1" w:themeFillShade="D9"/>
                <w:lang w:val="en-GB"/>
              </w:rPr>
              <w:t>orchards BBCH 10-19.</w:t>
            </w:r>
            <w:r w:rsidR="0004371F" w:rsidRPr="007E43E8">
              <w:rPr>
                <w:noProof/>
                <w:lang w:val="en-GB"/>
              </w:rPr>
              <w:t xml:space="preserve"> </w:t>
            </w:r>
          </w:p>
          <w:p w14:paraId="0A859B84" w14:textId="3B8A738B" w:rsidR="00B30D0F" w:rsidRPr="007E43E8" w:rsidRDefault="00B30D0F" w:rsidP="00FD6309">
            <w:pPr>
              <w:widowControl w:val="0"/>
              <w:suppressAutoHyphens/>
              <w:spacing w:after="120"/>
              <w:jc w:val="both"/>
              <w:rPr>
                <w:lang w:val="en-GB"/>
              </w:rPr>
            </w:pPr>
            <w:r w:rsidRPr="007E43E8">
              <w:rPr>
                <w:lang w:val="en-GB"/>
              </w:rPr>
              <w:t xml:space="preserve">Based on </w:t>
            </w:r>
            <w:r w:rsidRPr="007E43E8">
              <w:rPr>
                <w:iCs/>
                <w:lang w:val="en-GB"/>
              </w:rPr>
              <w:t xml:space="preserve">the higher tier </w:t>
            </w:r>
            <w:r w:rsidR="00664637" w:rsidRPr="007E43E8">
              <w:rPr>
                <w:iCs/>
                <w:lang w:val="en-GB"/>
              </w:rPr>
              <w:t xml:space="preserve">chronic </w:t>
            </w:r>
            <w:r w:rsidRPr="007E43E8">
              <w:rPr>
                <w:iCs/>
                <w:lang w:val="en-GB"/>
              </w:rPr>
              <w:t xml:space="preserve">risk assessment for </w:t>
            </w:r>
            <w:r w:rsidR="00A74798" w:rsidRPr="007E43E8">
              <w:rPr>
                <w:iCs/>
                <w:lang w:val="en-GB"/>
              </w:rPr>
              <w:t>p</w:t>
            </w:r>
            <w:r w:rsidR="00A74798" w:rsidRPr="007E43E8">
              <w:rPr>
                <w:noProof/>
                <w:lang w:val="en-GB"/>
              </w:rPr>
              <w:t>ropamocarb-HCl</w:t>
            </w:r>
            <w:r w:rsidR="00664637" w:rsidRPr="007E43E8">
              <w:rPr>
                <w:noProof/>
                <w:lang w:val="en-GB"/>
              </w:rPr>
              <w:t xml:space="preserve">, </w:t>
            </w:r>
            <w:r w:rsidRPr="007E43E8">
              <w:rPr>
                <w:iCs/>
                <w:lang w:val="en-GB"/>
              </w:rPr>
              <w:t xml:space="preserve">where the deposition factor and </w:t>
            </w:r>
            <w:r w:rsidR="00704C32" w:rsidRPr="006C550F">
              <w:rPr>
                <w:iCs/>
                <w:strike/>
                <w:color w:val="808080" w:themeColor="background1" w:themeShade="80"/>
                <w:shd w:val="clear" w:color="auto" w:fill="BDD6EE" w:themeFill="accent5" w:themeFillTint="66"/>
                <w:lang w:val="en-GB"/>
              </w:rPr>
              <w:t>DT</w:t>
            </w:r>
            <w:r w:rsidR="00704C32" w:rsidRPr="006C550F">
              <w:rPr>
                <w:iCs/>
                <w:strike/>
                <w:color w:val="808080" w:themeColor="background1" w:themeShade="80"/>
                <w:shd w:val="clear" w:color="auto" w:fill="BDD6EE" w:themeFill="accent5" w:themeFillTint="66"/>
                <w:vertAlign w:val="subscript"/>
                <w:lang w:val="en-GB"/>
              </w:rPr>
              <w:t>50</w:t>
            </w:r>
            <w:r w:rsidR="00704C32" w:rsidRPr="006C550F">
              <w:rPr>
                <w:iCs/>
                <w:strike/>
                <w:color w:val="808080" w:themeColor="background1" w:themeShade="80"/>
                <w:shd w:val="clear" w:color="auto" w:fill="BDD6EE" w:themeFill="accent5" w:themeFillTint="66"/>
              </w:rPr>
              <w:t xml:space="preserve"> in plants</w:t>
            </w:r>
            <w:r w:rsidR="00704C32" w:rsidRPr="006C550F">
              <w:rPr>
                <w:iCs/>
                <w:shd w:val="clear" w:color="auto" w:fill="BDD6EE" w:themeFill="accent5" w:themeFillTint="66"/>
              </w:rPr>
              <w:t xml:space="preserve"> PD for voles</w:t>
            </w:r>
            <w:r w:rsidR="00704C32">
              <w:rPr>
                <w:iCs/>
              </w:rPr>
              <w:t xml:space="preserve"> </w:t>
            </w:r>
            <w:r w:rsidRPr="007E43E8">
              <w:rPr>
                <w:iCs/>
                <w:lang w:val="en-GB"/>
              </w:rPr>
              <w:t xml:space="preserve">were modified, </w:t>
            </w:r>
            <w:r w:rsidRPr="007E43E8">
              <w:rPr>
                <w:lang w:val="en-GB"/>
              </w:rPr>
              <w:t>the TERs exceed the trigger values set by Commission regulation (EU) 546/2011 for acceptability of effects except for uses in fruiting vegetables at BBCH 11-39</w:t>
            </w:r>
            <w:r w:rsidR="00EE65C6">
              <w:rPr>
                <w:lang w:val="en-GB"/>
              </w:rPr>
              <w:t xml:space="preserve">, </w:t>
            </w:r>
            <w:r w:rsidR="00F970EF" w:rsidRPr="006C550F">
              <w:rPr>
                <w:shd w:val="clear" w:color="auto" w:fill="BDD6EE" w:themeFill="accent5" w:themeFillTint="66"/>
              </w:rPr>
              <w:t>multiple applications in onions BBCH ≥ 40, ornamentals BBCH 40-49,</w:t>
            </w:r>
            <w:r w:rsidR="008E5764" w:rsidRPr="007E43E8">
              <w:rPr>
                <w:lang w:val="en-GB"/>
              </w:rPr>
              <w:t xml:space="preserve"> </w:t>
            </w:r>
            <w:r w:rsidR="00135464" w:rsidRPr="007E43E8">
              <w:rPr>
                <w:lang w:val="en-GB"/>
              </w:rPr>
              <w:t xml:space="preserve">and </w:t>
            </w:r>
            <w:r w:rsidR="008E5764" w:rsidRPr="007E43E8">
              <w:rPr>
                <w:shd w:val="clear" w:color="auto" w:fill="D9D9D9" w:themeFill="background1" w:themeFillShade="D9"/>
                <w:lang w:val="en-GB"/>
              </w:rPr>
              <w:t xml:space="preserve">for </w:t>
            </w:r>
            <w:r w:rsidR="00466301">
              <w:rPr>
                <w:lang w:val="en-GB"/>
              </w:rPr>
              <w:t>surrogate crop</w:t>
            </w:r>
            <w:r w:rsidR="00A46F2F">
              <w:rPr>
                <w:lang w:val="en-GB"/>
              </w:rPr>
              <w:t>s</w:t>
            </w:r>
            <w:r w:rsidR="00466301">
              <w:rPr>
                <w:lang w:val="en-GB"/>
              </w:rPr>
              <w:t xml:space="preserve"> scenario</w:t>
            </w:r>
            <w:r w:rsidR="00A46F2F">
              <w:rPr>
                <w:lang w:val="en-GB"/>
              </w:rPr>
              <w:t>s</w:t>
            </w:r>
            <w:r w:rsidR="00466301">
              <w:rPr>
                <w:lang w:val="en-GB"/>
              </w:rPr>
              <w:t xml:space="preserve">: </w:t>
            </w:r>
            <w:r w:rsidR="008E5764" w:rsidRPr="007E43E8">
              <w:rPr>
                <w:shd w:val="clear" w:color="auto" w:fill="D9D9D9" w:themeFill="background1" w:themeFillShade="D9"/>
                <w:lang w:val="en-GB"/>
              </w:rPr>
              <w:t>orchards BBCH 10-</w:t>
            </w:r>
            <w:r w:rsidR="00FA2D3F" w:rsidRPr="006C550F">
              <w:rPr>
                <w:shd w:val="clear" w:color="auto" w:fill="BDD6EE" w:themeFill="accent5" w:themeFillTint="66"/>
                <w:lang w:val="en-GB"/>
              </w:rPr>
              <w:t>40</w:t>
            </w:r>
            <w:r w:rsidR="00A46F2F" w:rsidRPr="006C550F">
              <w:rPr>
                <w:shd w:val="clear" w:color="auto" w:fill="BDD6EE" w:themeFill="accent5" w:themeFillTint="66"/>
                <w:lang w:val="en-GB"/>
              </w:rPr>
              <w:t xml:space="preserve"> and </w:t>
            </w:r>
            <w:r w:rsidR="00A46F2F" w:rsidRPr="006C550F">
              <w:rPr>
                <w:shd w:val="clear" w:color="auto" w:fill="BDD6EE" w:themeFill="accent5" w:themeFillTint="66"/>
              </w:rPr>
              <w:t>bush and cane fruit BBCH 10-39</w:t>
            </w:r>
            <w:r w:rsidR="00EF2630">
              <w:rPr>
                <w:shd w:val="clear" w:color="auto" w:fill="D9D9D9" w:themeFill="background1" w:themeFillShade="D9"/>
              </w:rPr>
              <w:t>.</w:t>
            </w:r>
            <w:r w:rsidR="00A46F2F">
              <w:rPr>
                <w:shd w:val="clear" w:color="auto" w:fill="D9D9D9" w:themeFill="background1" w:themeFillShade="D9"/>
              </w:rPr>
              <w:t xml:space="preserve"> </w:t>
            </w:r>
            <w:r w:rsidRPr="007E43E8">
              <w:rPr>
                <w:lang w:val="en-GB"/>
              </w:rPr>
              <w:t xml:space="preserve"> </w:t>
            </w:r>
          </w:p>
          <w:p w14:paraId="30BF3ED1" w14:textId="77777777" w:rsidR="00B30D0F" w:rsidRPr="007E43E8" w:rsidRDefault="00B30D0F" w:rsidP="00FD6309">
            <w:pPr>
              <w:shd w:val="clear" w:color="auto" w:fill="D9D9D9"/>
              <w:spacing w:after="120"/>
              <w:jc w:val="both"/>
              <w:rPr>
                <w:lang w:val="en-GB"/>
              </w:rPr>
            </w:pPr>
            <w:r w:rsidRPr="007E43E8">
              <w:rPr>
                <w:lang w:val="en-GB"/>
              </w:rPr>
              <w:t>Evaluation of exposing to mammals through the drinking water demonstrated the acceptable risk. Th</w:t>
            </w:r>
            <w:r w:rsidRPr="007E43E8">
              <w:rPr>
                <w:rFonts w:cs="Arial"/>
                <w:lang w:val="en-GB"/>
              </w:rPr>
              <w:t xml:space="preserve">e potential risk of secondary poisoning is low. </w:t>
            </w:r>
          </w:p>
        </w:tc>
      </w:tr>
    </w:tbl>
    <w:p w14:paraId="2512E378" w14:textId="77777777" w:rsidR="008B065D" w:rsidRPr="00A34F10" w:rsidRDefault="008B065D" w:rsidP="00DC5685">
      <w:pPr>
        <w:pStyle w:val="RepStandard"/>
      </w:pPr>
    </w:p>
    <w:bookmarkEnd w:id="322"/>
    <w:bookmarkEnd w:id="323"/>
    <w:p w14:paraId="7BF8E022" w14:textId="77777777" w:rsidR="00DC5685" w:rsidRPr="00A34F10" w:rsidRDefault="00DC5685" w:rsidP="00DC5685">
      <w:pPr>
        <w:pStyle w:val="StyleOECD-BASIS-TEXTLeft"/>
        <w:rPr>
          <w:sz w:val="22"/>
          <w:lang w:val="en-US"/>
        </w:rPr>
      </w:pPr>
    </w:p>
    <w:p w14:paraId="03046D13" w14:textId="77777777" w:rsidR="00DC5685" w:rsidRPr="00A34F10" w:rsidRDefault="00DC5685" w:rsidP="002E7F42">
      <w:pPr>
        <w:pStyle w:val="StyleOECD-BASIS-TEXTLeft"/>
        <w:rPr>
          <w:sz w:val="22"/>
          <w:lang w:val="en-US"/>
        </w:rPr>
        <w:sectPr w:rsidR="00DC5685" w:rsidRPr="00A34F10" w:rsidSect="00D125D2">
          <w:headerReference w:type="default" r:id="rId37"/>
          <w:footerReference w:type="even" r:id="rId38"/>
          <w:footerReference w:type="default" r:id="rId39"/>
          <w:footerReference w:type="first" r:id="rId40"/>
          <w:pgSz w:w="11909" w:h="16834" w:code="9"/>
          <w:pgMar w:top="1418" w:right="1134" w:bottom="1134" w:left="1418" w:header="709" w:footer="709" w:gutter="0"/>
          <w:pgNumType w:chapSep="period"/>
          <w:cols w:space="720"/>
          <w:noEndnote/>
          <w:docGrid w:linePitch="299"/>
        </w:sectPr>
      </w:pPr>
    </w:p>
    <w:p w14:paraId="36471A02" w14:textId="77777777" w:rsidR="00DC5685" w:rsidRPr="00A34F10" w:rsidRDefault="00DC5685" w:rsidP="00DC5685">
      <w:pPr>
        <w:pStyle w:val="Nagwek2"/>
      </w:pPr>
      <w:bookmarkStart w:id="432" w:name="_Ref405923370"/>
      <w:bookmarkStart w:id="433" w:name="_Toc412643993"/>
      <w:bookmarkStart w:id="434" w:name="_Toc413916839"/>
      <w:bookmarkStart w:id="435" w:name="_Toc413916981"/>
      <w:bookmarkStart w:id="436" w:name="_Toc413922042"/>
      <w:bookmarkStart w:id="437" w:name="_Toc413922531"/>
      <w:bookmarkStart w:id="438" w:name="_Toc413922635"/>
      <w:bookmarkStart w:id="439" w:name="_Toc414955272"/>
      <w:bookmarkStart w:id="440" w:name="_Toc415214579"/>
      <w:bookmarkStart w:id="441" w:name="_Toc181624967"/>
      <w:r w:rsidRPr="00A34F10">
        <w:lastRenderedPageBreak/>
        <w:t>Effects on other terrestrial vertebrate wildlife (reptiles and amphibians) (KCP 10.1.3)</w:t>
      </w:r>
      <w:bookmarkEnd w:id="432"/>
      <w:bookmarkEnd w:id="433"/>
      <w:bookmarkEnd w:id="434"/>
      <w:bookmarkEnd w:id="435"/>
      <w:bookmarkEnd w:id="436"/>
      <w:bookmarkEnd w:id="437"/>
      <w:bookmarkEnd w:id="438"/>
      <w:bookmarkEnd w:id="439"/>
      <w:bookmarkEnd w:id="440"/>
      <w:bookmarkEnd w:id="441"/>
    </w:p>
    <w:p w14:paraId="60BD9FAF" w14:textId="77777777" w:rsidR="00DC5685" w:rsidRPr="00A34F10" w:rsidRDefault="00DC5685" w:rsidP="00DC5685">
      <w:pPr>
        <w:suppressAutoHyphens/>
        <w:jc w:val="both"/>
      </w:pPr>
      <w:r w:rsidRPr="00A34F10">
        <w:t>According to regulations (EU) 283/2013 and 284/2013, the risk to amphibians and reptiles shall be addressed. However, in the EU there are no guidance documents by EFSA on how to conduct risk assessments for amphibians and reptiles. Nevertheless, there are some specific recommendations in an EU regulatory document (EFSA aquatic guidance), which are taking here in consideration to address the requirements under point 9.4.</w:t>
      </w:r>
    </w:p>
    <w:p w14:paraId="65A3D80F" w14:textId="77777777" w:rsidR="00DC5685" w:rsidRPr="00A34F10" w:rsidRDefault="00DC5685" w:rsidP="00DC5685">
      <w:pPr>
        <w:suppressAutoHyphens/>
        <w:jc w:val="both"/>
      </w:pPr>
    </w:p>
    <w:p w14:paraId="59A4AF55" w14:textId="77777777" w:rsidR="00DC5685" w:rsidRPr="00A34F10" w:rsidRDefault="00DC5685" w:rsidP="00DC5685">
      <w:pPr>
        <w:suppressAutoHyphens/>
        <w:jc w:val="both"/>
      </w:pPr>
      <w:r w:rsidRPr="00A34F10">
        <w:t>The aquatic guidance document (EFSA, 2013) states: “</w:t>
      </w:r>
      <w:r w:rsidRPr="00A34F10">
        <w:rPr>
          <w:i/>
          <w:iCs/>
        </w:rPr>
        <w:t>Even if the revised data requirements (Commission Regulation (EU) 283/2013) do not request toxicity tests for amphibian species, amphibians should be included in the aquatic and terrestrial RA of PPPs. Assessment of the risk to amphibians should be based on any existing relevant information. Available relevant data, including data from the open literature, for the substance under consideration should be presented and taken into account in the RA…</w:t>
      </w:r>
      <w:r w:rsidRPr="00A34F10">
        <w:t>”.  Therefore, the availability of studies on the toxicity of the active substances should be considered.</w:t>
      </w:r>
    </w:p>
    <w:p w14:paraId="1DE741B3" w14:textId="77777777" w:rsidR="00DC5685" w:rsidRPr="00A34F10" w:rsidRDefault="00DC5685" w:rsidP="00DC5685">
      <w:pPr>
        <w:suppressAutoHyphens/>
        <w:jc w:val="both"/>
      </w:pPr>
    </w:p>
    <w:p w14:paraId="4BD02022" w14:textId="77777777" w:rsidR="00DC5685" w:rsidRPr="00A34F10" w:rsidRDefault="00DC5685" w:rsidP="00DC5685">
      <w:pPr>
        <w:pStyle w:val="StyleOECD-BASIS-TEXTLeft"/>
        <w:rPr>
          <w:sz w:val="22"/>
          <w:lang w:val="en-US"/>
        </w:rPr>
      </w:pPr>
      <w:r w:rsidRPr="00A34F10">
        <w:rPr>
          <w:sz w:val="22"/>
        </w:rPr>
        <w:t>For both active substances contained in the formulation BAS 743 03 F, i.e. Ametoctradin and Propamocarb-HCl, there are no studies available, neither in the literature nor unpublished reports by the notifier, on their toxicity to amphibians or reptiles. Therefore, due to the lack of a standard risk assessment and of data on the toxicity of the active substances to amphibian and reptiles, a regulatory risk assessment for these organisms is not applicable at this time.</w:t>
      </w:r>
    </w:p>
    <w:p w14:paraId="52D897B4" w14:textId="77777777" w:rsidR="00DC5685" w:rsidRPr="00A34F10" w:rsidRDefault="00DC5685" w:rsidP="002E7F42">
      <w:pPr>
        <w:pStyle w:val="StyleOECD-BASIS-TEXTLeft"/>
        <w:rPr>
          <w:sz w:val="22"/>
          <w:lang w:val="en-US"/>
        </w:rPr>
        <w:sectPr w:rsidR="00DC5685" w:rsidRPr="00A34F10" w:rsidSect="00A40361">
          <w:pgSz w:w="11909" w:h="16834" w:code="9"/>
          <w:pgMar w:top="1418" w:right="1134" w:bottom="1134" w:left="1418" w:header="709" w:footer="709" w:gutter="0"/>
          <w:pgNumType w:chapSep="period"/>
          <w:cols w:space="720"/>
          <w:noEndnote/>
          <w:docGrid w:linePitch="299"/>
        </w:sectPr>
      </w:pPr>
    </w:p>
    <w:p w14:paraId="21F4F779" w14:textId="77777777" w:rsidR="00DC5685" w:rsidRPr="00A34F10" w:rsidRDefault="00DC5685" w:rsidP="006C0A4B">
      <w:pPr>
        <w:pStyle w:val="Nagwek2"/>
      </w:pPr>
      <w:bookmarkStart w:id="442" w:name="_Toc399487271"/>
      <w:bookmarkStart w:id="443" w:name="_Ref405399214"/>
      <w:bookmarkStart w:id="444" w:name="_Toc412643994"/>
      <w:bookmarkStart w:id="445" w:name="_Toc413916840"/>
      <w:bookmarkStart w:id="446" w:name="_Toc413916982"/>
      <w:bookmarkStart w:id="447" w:name="_Toc413922043"/>
      <w:bookmarkStart w:id="448" w:name="_Toc413922532"/>
      <w:bookmarkStart w:id="449" w:name="_Toc413922636"/>
      <w:bookmarkStart w:id="450" w:name="_Toc414955273"/>
      <w:bookmarkStart w:id="451" w:name="_Toc415214580"/>
      <w:bookmarkStart w:id="452" w:name="_Toc181624968"/>
      <w:r w:rsidRPr="00A34F10">
        <w:lastRenderedPageBreak/>
        <w:t>Effects on aquatic organisms (KCP 10.2)</w:t>
      </w:r>
      <w:bookmarkEnd w:id="442"/>
      <w:bookmarkEnd w:id="443"/>
      <w:bookmarkEnd w:id="444"/>
      <w:bookmarkEnd w:id="445"/>
      <w:bookmarkEnd w:id="446"/>
      <w:bookmarkEnd w:id="447"/>
      <w:bookmarkEnd w:id="448"/>
      <w:bookmarkEnd w:id="449"/>
      <w:bookmarkEnd w:id="450"/>
      <w:bookmarkEnd w:id="451"/>
      <w:bookmarkEnd w:id="452"/>
    </w:p>
    <w:p w14:paraId="4DC6A603" w14:textId="77777777" w:rsidR="00DC5685" w:rsidRPr="00A34F10" w:rsidRDefault="00DC5685" w:rsidP="006C0A4B">
      <w:pPr>
        <w:pStyle w:val="Nagwek3"/>
        <w:rPr>
          <w:rFonts w:cs="Times New Roman"/>
        </w:rPr>
      </w:pPr>
      <w:bookmarkStart w:id="453" w:name="_Toc412643995"/>
      <w:bookmarkStart w:id="454" w:name="_Toc413916841"/>
      <w:bookmarkStart w:id="455" w:name="_Toc413916983"/>
      <w:bookmarkStart w:id="456" w:name="_Toc413922044"/>
      <w:bookmarkStart w:id="457" w:name="_Toc413922533"/>
      <w:bookmarkStart w:id="458" w:name="_Toc413922637"/>
      <w:bookmarkStart w:id="459" w:name="_Toc414955274"/>
      <w:bookmarkStart w:id="460" w:name="_Toc415214581"/>
      <w:bookmarkStart w:id="461" w:name="_Toc181624969"/>
      <w:r w:rsidRPr="00A34F10">
        <w:rPr>
          <w:rFonts w:cs="Times New Roman"/>
        </w:rPr>
        <w:t>Toxicity data</w:t>
      </w:r>
      <w:bookmarkEnd w:id="453"/>
      <w:bookmarkEnd w:id="454"/>
      <w:bookmarkEnd w:id="455"/>
      <w:bookmarkEnd w:id="456"/>
      <w:bookmarkEnd w:id="457"/>
      <w:bookmarkEnd w:id="458"/>
      <w:bookmarkEnd w:id="459"/>
      <w:bookmarkEnd w:id="460"/>
      <w:bookmarkEnd w:id="461"/>
    </w:p>
    <w:p w14:paraId="58DB9EC0" w14:textId="77777777" w:rsidR="00DC5685" w:rsidRPr="00A34F10" w:rsidRDefault="00DC5685" w:rsidP="00DC5685">
      <w:pPr>
        <w:widowControl w:val="0"/>
        <w:suppressAutoHyphens/>
        <w:jc w:val="both"/>
      </w:pPr>
      <w:bookmarkStart w:id="462" w:name="_Toc399487275"/>
      <w:bookmarkStart w:id="463" w:name="_Ref405399229"/>
      <w:r w:rsidRPr="00A34F10">
        <w:t xml:space="preserve">Studies on the toxicity to aquatic organisms have been carried out with the active substances Ametoctradin and Propamocarb. In addition, aquatic studies were performed with the Ametoctradin metabolites M650F01, M650F03 and M650F04. Full details of these studies are provided in the respective EU DAR and related documents. M650F02 was not tested because it is an intermediate metabolite with similar chemical structure as M650F01 and/or M650F03. </w:t>
      </w:r>
    </w:p>
    <w:p w14:paraId="7C660789" w14:textId="77777777" w:rsidR="00DC5685" w:rsidRPr="00A34F10" w:rsidRDefault="00DC5685" w:rsidP="00DC5685">
      <w:pPr>
        <w:widowControl w:val="0"/>
        <w:suppressAutoHyphens/>
        <w:jc w:val="both"/>
      </w:pPr>
    </w:p>
    <w:p w14:paraId="713C002A" w14:textId="77777777" w:rsidR="00DC5685" w:rsidRPr="00A34F10" w:rsidRDefault="00DC5685" w:rsidP="00DC5685">
      <w:pPr>
        <w:widowControl w:val="0"/>
        <w:suppressAutoHyphens/>
        <w:jc w:val="both"/>
      </w:pPr>
      <w:bookmarkStart w:id="464" w:name="_Hlk42678047"/>
      <w:r w:rsidRPr="00A34F10">
        <w:t>A new life-cycle study with the Mysid shrimp (</w:t>
      </w:r>
      <w:r w:rsidRPr="00A34F10">
        <w:rPr>
          <w:i/>
          <w:iCs/>
        </w:rPr>
        <w:t>Americamysis bahia</w:t>
      </w:r>
      <w:r w:rsidRPr="00A34F10">
        <w:t>) with Ametoctradin has been submitted. This is listed in Appendix 1 and summarised in Appendix 2.</w:t>
      </w:r>
    </w:p>
    <w:bookmarkEnd w:id="464"/>
    <w:p w14:paraId="25DF2C97" w14:textId="77777777" w:rsidR="00DC5685" w:rsidRPr="00A34F10" w:rsidRDefault="00DC5685" w:rsidP="00DC5685">
      <w:pPr>
        <w:widowControl w:val="0"/>
        <w:suppressAutoHyphens/>
        <w:jc w:val="both"/>
      </w:pPr>
    </w:p>
    <w:p w14:paraId="7DBE74E5" w14:textId="77777777" w:rsidR="00DC5685" w:rsidRPr="00A34F10" w:rsidRDefault="00DC5685" w:rsidP="00DC5685">
      <w:pPr>
        <w:widowControl w:val="0"/>
        <w:suppressAutoHyphens/>
        <w:jc w:val="both"/>
      </w:pPr>
      <w:r w:rsidRPr="00A34F10">
        <w:t xml:space="preserve">Effects on aquatic organisms of BAS 743 03 F were not evaluated as part of the EU assessment of the active substances Ametoctradin and Propamocarb. New data submitted with this application are listed in Appendix 1 and summarised in Appendix 2. </w:t>
      </w:r>
    </w:p>
    <w:p w14:paraId="0E975F71" w14:textId="77777777" w:rsidR="00DC5685" w:rsidRPr="00A34F10" w:rsidRDefault="00DC5685" w:rsidP="00DC5685">
      <w:pPr>
        <w:widowControl w:val="0"/>
        <w:suppressAutoHyphens/>
        <w:jc w:val="both"/>
      </w:pPr>
    </w:p>
    <w:p w14:paraId="60353B67" w14:textId="77777777" w:rsidR="00DC5685" w:rsidRPr="00A34F10" w:rsidRDefault="00DC5685" w:rsidP="00DC5685">
      <w:pPr>
        <w:widowControl w:val="0"/>
        <w:suppressAutoHyphens/>
        <w:jc w:val="both"/>
      </w:pPr>
      <w:bookmarkStart w:id="465" w:name="_Hlk134912269"/>
      <w:r w:rsidRPr="00A34F10">
        <w:t xml:space="preserve">Toxicity testing of BAS 743 03 F has been performed with the similar formulation BAS 743 02 F (containing 137.1 g/L Ametoctradin and 515.4 g/L Propamocarb-HCl) on one species from each three groups of aquatic organisms, </w:t>
      </w:r>
      <w:r w:rsidRPr="00A34F10">
        <w:rPr>
          <w:i/>
          <w:iCs/>
        </w:rPr>
        <w:t>i.e.</w:t>
      </w:r>
      <w:r w:rsidRPr="00A34F10">
        <w:t xml:space="preserve"> fish (</w:t>
      </w:r>
      <w:r w:rsidRPr="00A34F10">
        <w:rPr>
          <w:i/>
          <w:iCs/>
        </w:rPr>
        <w:t>Oncorhynchus mykiss</w:t>
      </w:r>
      <w:r w:rsidRPr="00A34F10">
        <w:t>), aquatic invertebrates (</w:t>
      </w:r>
      <w:r w:rsidRPr="00A34F10">
        <w:rPr>
          <w:i/>
          <w:iCs/>
        </w:rPr>
        <w:t>Daphnia magna</w:t>
      </w:r>
      <w:r w:rsidRPr="00A34F10">
        <w:t xml:space="preserve">) </w:t>
      </w:r>
      <w:bookmarkEnd w:id="465"/>
      <w:r w:rsidRPr="00A34F10">
        <w:t>and algae (</w:t>
      </w:r>
      <w:r w:rsidRPr="00A34F10">
        <w:rPr>
          <w:i/>
          <w:iCs/>
        </w:rPr>
        <w:t>Pseudokirchneriella subcapitata</w:t>
      </w:r>
      <w:r w:rsidRPr="00A34F10">
        <w:t>). Since differences in co-formulants and/or their concentration between both formulations are considered minimal, it is assumed that bridging from BAS 743 02 F to BAS 743 03 F is acceptable. For details on the formulation compositions please refer to Part C of this submission. In addition, toxicity testing of BAS 743 03 F has been performed on aquatic invertebrates (</w:t>
      </w:r>
      <w:r w:rsidRPr="00A34F10">
        <w:rPr>
          <w:i/>
          <w:iCs/>
        </w:rPr>
        <w:t>Daphnia magna</w:t>
      </w:r>
      <w:r w:rsidRPr="00A34F10">
        <w:t xml:space="preserve">, BAS Doc ID </w:t>
      </w:r>
      <w:r w:rsidRPr="00A34F10">
        <w:rPr>
          <w:szCs w:val="20"/>
        </w:rPr>
        <w:t>2022/2033730</w:t>
      </w:r>
      <w:r w:rsidRPr="00A34F10">
        <w:t xml:space="preserve">) indicating no increased toxicity of BAS 743 03 F compared to BAS 743 02 F based on the content of active substance. </w:t>
      </w:r>
    </w:p>
    <w:p w14:paraId="7534D7F3" w14:textId="77777777" w:rsidR="00DC5685" w:rsidRPr="00A34F10" w:rsidRDefault="00DC5685" w:rsidP="00DC5685">
      <w:pPr>
        <w:widowControl w:val="0"/>
        <w:suppressAutoHyphens/>
        <w:jc w:val="both"/>
      </w:pPr>
      <w:r w:rsidRPr="00A34F10">
        <w:t xml:space="preserve"> </w:t>
      </w:r>
    </w:p>
    <w:p w14:paraId="074D76F3" w14:textId="77777777" w:rsidR="00DC5685" w:rsidRPr="00A34F10" w:rsidRDefault="00DC5685" w:rsidP="00DC5685">
      <w:pPr>
        <w:widowControl w:val="0"/>
        <w:suppressAutoHyphens/>
        <w:jc w:val="both"/>
      </w:pPr>
      <w:r w:rsidRPr="00A34F10">
        <w:t xml:space="preserve">Chronic studies on fish and invertebrates for the formulation were not conducted, since there is no indication that the formulation is more acutely toxic than the two active substances by a factor of 10. Thus, it is possible to extrapolate from chronic toxicity data obtained in the corresponding studies on the active substances. </w:t>
      </w:r>
    </w:p>
    <w:p w14:paraId="41D8EA85" w14:textId="77777777" w:rsidR="00DC5685" w:rsidRPr="00A34F10" w:rsidRDefault="00DC5685" w:rsidP="00DC5685">
      <w:pPr>
        <w:widowControl w:val="0"/>
        <w:jc w:val="both"/>
      </w:pPr>
    </w:p>
    <w:p w14:paraId="39A9CA88" w14:textId="77777777" w:rsidR="00DC5685" w:rsidRPr="00A34F10" w:rsidRDefault="00DC5685" w:rsidP="00DC5685">
      <w:pPr>
        <w:widowControl w:val="0"/>
        <w:jc w:val="both"/>
      </w:pPr>
      <w:r w:rsidRPr="00A34F10">
        <w:t>The selection of studies and endpoints for the risk assessment for both Ametoctradin and Propamocarb-HCl is in line with the results of the EU review process, except for the consideration of the new Mysid study.</w:t>
      </w:r>
    </w:p>
    <w:p w14:paraId="41CB918F" w14:textId="43E72AA2" w:rsidR="00DC5685" w:rsidRPr="00A34F10" w:rsidRDefault="00B543BC" w:rsidP="00DC5685">
      <w:pPr>
        <w:widowControl w:val="0"/>
        <w:suppressAutoHyphens/>
        <w:jc w:val="both"/>
      </w:pPr>
      <w:r w:rsidRPr="00A34F10">
        <w:br w:type="page"/>
      </w:r>
    </w:p>
    <w:p w14:paraId="399BDFBC" w14:textId="1D30FA8F" w:rsidR="00DC5685" w:rsidRPr="00A34F10" w:rsidRDefault="00DC5685" w:rsidP="00DC5685">
      <w:pPr>
        <w:keepNext/>
        <w:keepLines/>
        <w:widowControl w:val="0"/>
        <w:tabs>
          <w:tab w:val="left" w:pos="1985"/>
        </w:tabs>
        <w:suppressAutoHyphens/>
        <w:spacing w:before="200" w:after="120"/>
        <w:ind w:left="1985" w:hanging="1985"/>
        <w:jc w:val="both"/>
        <w:rPr>
          <w:b/>
          <w:bCs/>
        </w:rPr>
      </w:pPr>
      <w:r w:rsidRPr="00A34F10">
        <w:rPr>
          <w:b/>
          <w:bCs/>
        </w:rPr>
        <w:lastRenderedPageBreak/>
        <w:t xml:space="preserve">Table </w:t>
      </w:r>
      <w:r w:rsidR="007E7467">
        <w:rPr>
          <w:b/>
          <w:bCs/>
        </w:rPr>
        <w:fldChar w:fldCharType="begin"/>
      </w:r>
      <w:r w:rsidR="007E7467">
        <w:rPr>
          <w:b/>
          <w:bCs/>
        </w:rPr>
        <w:instrText xml:space="preserve"> STYLEREF 2 \s </w:instrText>
      </w:r>
      <w:r w:rsidR="007E7467">
        <w:rPr>
          <w:b/>
          <w:bCs/>
        </w:rPr>
        <w:fldChar w:fldCharType="separate"/>
      </w:r>
      <w:r w:rsidR="006F0F3B">
        <w:rPr>
          <w:b/>
          <w:bCs/>
          <w:noProof/>
        </w:rPr>
        <w:t>9.5</w:t>
      </w:r>
      <w:r w:rsidR="007E7467">
        <w:rPr>
          <w:b/>
          <w:bCs/>
        </w:rPr>
        <w:fldChar w:fldCharType="end"/>
      </w:r>
      <w:r w:rsidR="007E7467">
        <w:rPr>
          <w:b/>
          <w:bCs/>
        </w:rPr>
        <w:noBreakHyphen/>
      </w:r>
      <w:r w:rsidR="007E7467">
        <w:rPr>
          <w:b/>
          <w:bCs/>
        </w:rPr>
        <w:fldChar w:fldCharType="begin"/>
      </w:r>
      <w:r w:rsidR="007E7467">
        <w:rPr>
          <w:b/>
          <w:bCs/>
        </w:rPr>
        <w:instrText xml:space="preserve"> SEQ Table \* ARABIC \s 2 </w:instrText>
      </w:r>
      <w:r w:rsidR="007E7467">
        <w:rPr>
          <w:b/>
          <w:bCs/>
        </w:rPr>
        <w:fldChar w:fldCharType="separate"/>
      </w:r>
      <w:r w:rsidR="006F0F3B">
        <w:rPr>
          <w:b/>
          <w:bCs/>
          <w:noProof/>
        </w:rPr>
        <w:t>1</w:t>
      </w:r>
      <w:r w:rsidR="007E7467">
        <w:rPr>
          <w:b/>
          <w:bCs/>
        </w:rPr>
        <w:fldChar w:fldCharType="end"/>
      </w:r>
      <w:r w:rsidRPr="00A34F10">
        <w:rPr>
          <w:b/>
          <w:bCs/>
        </w:rPr>
        <w:t>:</w:t>
      </w:r>
      <w:r w:rsidRPr="00A34F10">
        <w:rPr>
          <w:b/>
          <w:bCs/>
        </w:rPr>
        <w:tab/>
        <w:t>Endpoints and effect values relevant for the risk assessment for aquatic organisms – Ametoctradin and relevant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84"/>
        <w:gridCol w:w="1802"/>
        <w:gridCol w:w="935"/>
        <w:gridCol w:w="2361"/>
        <w:gridCol w:w="2063"/>
      </w:tblGrid>
      <w:tr w:rsidR="00DC5685" w:rsidRPr="00A34F10" w14:paraId="0F10C896" w14:textId="77777777" w:rsidTr="000470C3">
        <w:trPr>
          <w:trHeight w:val="490"/>
          <w:tblHeader/>
        </w:trPr>
        <w:tc>
          <w:tcPr>
            <w:tcW w:w="1169" w:type="pct"/>
            <w:shd w:val="clear" w:color="auto" w:fill="auto"/>
            <w:vAlign w:val="center"/>
          </w:tcPr>
          <w:p w14:paraId="2BE2FF66" w14:textId="77777777" w:rsidR="00DC5685" w:rsidRPr="00A34F10" w:rsidRDefault="00DC5685" w:rsidP="00DC5685">
            <w:pPr>
              <w:keepNext/>
              <w:keepLines/>
              <w:widowControl w:val="0"/>
              <w:suppressAutoHyphens/>
              <w:jc w:val="center"/>
              <w:rPr>
                <w:b/>
                <w:sz w:val="20"/>
                <w:szCs w:val="20"/>
              </w:rPr>
            </w:pPr>
            <w:r w:rsidRPr="00A34F10">
              <w:rPr>
                <w:b/>
                <w:sz w:val="20"/>
                <w:szCs w:val="20"/>
              </w:rPr>
              <w:t>Species</w:t>
            </w:r>
          </w:p>
        </w:tc>
        <w:tc>
          <w:tcPr>
            <w:tcW w:w="964" w:type="pct"/>
            <w:shd w:val="clear" w:color="auto" w:fill="auto"/>
            <w:vAlign w:val="center"/>
          </w:tcPr>
          <w:p w14:paraId="3E6CA633" w14:textId="77777777" w:rsidR="00DC5685" w:rsidRPr="00A34F10" w:rsidRDefault="00DC5685" w:rsidP="00DC5685">
            <w:pPr>
              <w:keepNext/>
              <w:keepLines/>
              <w:widowControl w:val="0"/>
              <w:suppressAutoHyphens/>
              <w:jc w:val="center"/>
              <w:rPr>
                <w:b/>
                <w:sz w:val="20"/>
                <w:szCs w:val="20"/>
              </w:rPr>
            </w:pPr>
            <w:r w:rsidRPr="00A34F10">
              <w:rPr>
                <w:b/>
                <w:sz w:val="20"/>
                <w:szCs w:val="20"/>
              </w:rPr>
              <w:t>Substance</w:t>
            </w:r>
          </w:p>
        </w:tc>
        <w:tc>
          <w:tcPr>
            <w:tcW w:w="500" w:type="pct"/>
            <w:shd w:val="clear" w:color="auto" w:fill="auto"/>
            <w:vAlign w:val="center"/>
          </w:tcPr>
          <w:p w14:paraId="6930CA91" w14:textId="77777777" w:rsidR="00DC5685" w:rsidRPr="00A34F10" w:rsidRDefault="00DC5685" w:rsidP="00DC5685">
            <w:pPr>
              <w:keepNext/>
              <w:keepLines/>
              <w:widowControl w:val="0"/>
              <w:suppressAutoHyphens/>
              <w:jc w:val="center"/>
              <w:rPr>
                <w:b/>
                <w:sz w:val="20"/>
                <w:szCs w:val="20"/>
              </w:rPr>
            </w:pPr>
            <w:r w:rsidRPr="00A34F10">
              <w:rPr>
                <w:b/>
                <w:sz w:val="20"/>
                <w:szCs w:val="20"/>
              </w:rPr>
              <w:t>Exposure</w:t>
            </w:r>
          </w:p>
          <w:p w14:paraId="0FD806ED" w14:textId="77777777" w:rsidR="00DC5685" w:rsidRPr="00A34F10" w:rsidRDefault="00DC5685" w:rsidP="00DC5685">
            <w:pPr>
              <w:keepNext/>
              <w:keepLines/>
              <w:widowControl w:val="0"/>
              <w:suppressAutoHyphens/>
              <w:jc w:val="center"/>
              <w:rPr>
                <w:b/>
                <w:sz w:val="20"/>
                <w:szCs w:val="20"/>
              </w:rPr>
            </w:pPr>
            <w:r w:rsidRPr="00A34F10">
              <w:rPr>
                <w:b/>
                <w:sz w:val="20"/>
                <w:szCs w:val="20"/>
              </w:rPr>
              <w:t>System</w:t>
            </w:r>
          </w:p>
        </w:tc>
        <w:tc>
          <w:tcPr>
            <w:tcW w:w="1263" w:type="pct"/>
            <w:shd w:val="clear" w:color="auto" w:fill="auto"/>
            <w:vAlign w:val="center"/>
          </w:tcPr>
          <w:p w14:paraId="6D8E7B4D" w14:textId="77777777" w:rsidR="00DC5685" w:rsidRPr="00A34F10" w:rsidRDefault="00DC5685" w:rsidP="00DC5685">
            <w:pPr>
              <w:keepNext/>
              <w:keepLines/>
              <w:widowControl w:val="0"/>
              <w:suppressAutoHyphens/>
              <w:jc w:val="center"/>
              <w:rPr>
                <w:b/>
                <w:sz w:val="20"/>
                <w:szCs w:val="20"/>
              </w:rPr>
            </w:pPr>
            <w:r w:rsidRPr="00A34F10">
              <w:rPr>
                <w:b/>
                <w:sz w:val="20"/>
                <w:szCs w:val="20"/>
              </w:rPr>
              <w:t>Results</w:t>
            </w:r>
          </w:p>
        </w:tc>
        <w:tc>
          <w:tcPr>
            <w:tcW w:w="1104" w:type="pct"/>
            <w:shd w:val="clear" w:color="auto" w:fill="auto"/>
            <w:vAlign w:val="center"/>
          </w:tcPr>
          <w:p w14:paraId="0E1D2493" w14:textId="18EC7BD5" w:rsidR="00DC5685" w:rsidRPr="00A34F10" w:rsidRDefault="00DC5685" w:rsidP="00DC5685">
            <w:pPr>
              <w:keepNext/>
              <w:keepLines/>
              <w:widowControl w:val="0"/>
              <w:suppressAutoHyphens/>
              <w:jc w:val="center"/>
              <w:rPr>
                <w:b/>
                <w:sz w:val="20"/>
                <w:szCs w:val="20"/>
              </w:rPr>
            </w:pPr>
            <w:r w:rsidRPr="00A34F10">
              <w:rPr>
                <w:b/>
                <w:sz w:val="20"/>
                <w:szCs w:val="20"/>
              </w:rPr>
              <w:t xml:space="preserve">Reference / </w:t>
            </w:r>
            <w:r w:rsidR="00482794">
              <w:rPr>
                <w:b/>
                <w:sz w:val="20"/>
                <w:szCs w:val="20"/>
              </w:rPr>
              <w:t>XXXX</w:t>
            </w:r>
            <w:r w:rsidRPr="00A34F10">
              <w:rPr>
                <w:b/>
                <w:sz w:val="20"/>
                <w:szCs w:val="20"/>
              </w:rPr>
              <w:t xml:space="preserve"> DocID</w:t>
            </w:r>
          </w:p>
        </w:tc>
      </w:tr>
      <w:tr w:rsidR="00DC5685" w:rsidRPr="00A34F10" w14:paraId="1E83D753" w14:textId="77777777" w:rsidTr="000470C3">
        <w:trPr>
          <w:trHeight w:val="20"/>
        </w:trPr>
        <w:tc>
          <w:tcPr>
            <w:tcW w:w="1169" w:type="pct"/>
            <w:shd w:val="clear" w:color="auto" w:fill="auto"/>
            <w:vAlign w:val="center"/>
          </w:tcPr>
          <w:p w14:paraId="11EBEA47"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Oncorhynchus mykiss</w:t>
            </w:r>
          </w:p>
        </w:tc>
        <w:tc>
          <w:tcPr>
            <w:tcW w:w="964" w:type="pct"/>
            <w:shd w:val="clear" w:color="auto" w:fill="auto"/>
            <w:vAlign w:val="center"/>
          </w:tcPr>
          <w:p w14:paraId="228759B8"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3D89BCF6" w14:textId="77777777" w:rsidR="00DC5685" w:rsidRPr="00A34F10" w:rsidRDefault="00DC5685" w:rsidP="00DC5685">
            <w:pPr>
              <w:widowControl w:val="0"/>
              <w:suppressAutoHyphens/>
              <w:spacing w:line="216" w:lineRule="auto"/>
              <w:rPr>
                <w:sz w:val="20"/>
                <w:szCs w:val="20"/>
              </w:rPr>
            </w:pPr>
            <w:r w:rsidRPr="00A34F10">
              <w:rPr>
                <w:sz w:val="20"/>
                <w:szCs w:val="20"/>
              </w:rPr>
              <w:t>96 h, f</w:t>
            </w:r>
          </w:p>
        </w:tc>
        <w:tc>
          <w:tcPr>
            <w:tcW w:w="1263" w:type="pct"/>
            <w:shd w:val="clear" w:color="auto" w:fill="auto"/>
            <w:vAlign w:val="center"/>
          </w:tcPr>
          <w:p w14:paraId="68231064" w14:textId="77777777" w:rsidR="00DC5685" w:rsidRPr="00A34F10" w:rsidRDefault="00DC5685" w:rsidP="00DC5685">
            <w:pPr>
              <w:widowControl w:val="0"/>
              <w:suppressAutoHyphens/>
              <w:spacing w:line="216" w:lineRule="auto"/>
              <w:jc w:val="center"/>
              <w:rPr>
                <w:sz w:val="20"/>
                <w:szCs w:val="20"/>
              </w:rPr>
            </w:pPr>
            <w:r w:rsidRPr="00A34F10">
              <w:rPr>
                <w:sz w:val="20"/>
                <w:szCs w:val="20"/>
              </w:rPr>
              <w:t>LC</w:t>
            </w:r>
            <w:r w:rsidRPr="00A34F10">
              <w:rPr>
                <w:sz w:val="20"/>
                <w:szCs w:val="20"/>
                <w:vertAlign w:val="subscript"/>
              </w:rPr>
              <w:t>50</w:t>
            </w:r>
            <w:r w:rsidRPr="00A34F10">
              <w:rPr>
                <w:sz w:val="20"/>
                <w:szCs w:val="20"/>
              </w:rPr>
              <w:t xml:space="preserve"> </w:t>
            </w:r>
            <w:r w:rsidRPr="00A34F10">
              <w:rPr>
                <w:bCs/>
                <w:sz w:val="20"/>
                <w:szCs w:val="20"/>
              </w:rPr>
              <w:t>&gt; 0.0646</w:t>
            </w:r>
            <w:r w:rsidRPr="00A34F10">
              <w:rPr>
                <w:sz w:val="20"/>
                <w:szCs w:val="20"/>
              </w:rPr>
              <w:t xml:space="preserve"> mg a.s./L</w:t>
            </w:r>
          </w:p>
          <w:p w14:paraId="2438C32B" w14:textId="77777777" w:rsidR="00DC5685" w:rsidRPr="00A34F10" w:rsidRDefault="00DC5685" w:rsidP="00DC5685">
            <w:pPr>
              <w:widowControl w:val="0"/>
              <w:suppressAutoHyphens/>
              <w:spacing w:line="216" w:lineRule="auto"/>
              <w:jc w:val="center"/>
              <w:rPr>
                <w:bCs/>
                <w:sz w:val="20"/>
                <w:szCs w:val="20"/>
                <w:vertAlign w:val="subscript"/>
              </w:rPr>
            </w:pPr>
            <w:r w:rsidRPr="00A34F10">
              <w:rPr>
                <w:sz w:val="20"/>
                <w:szCs w:val="20"/>
              </w:rPr>
              <w:t>mean measured</w:t>
            </w:r>
          </w:p>
        </w:tc>
        <w:tc>
          <w:tcPr>
            <w:tcW w:w="1104" w:type="pct"/>
            <w:shd w:val="clear" w:color="auto" w:fill="auto"/>
            <w:vAlign w:val="center"/>
          </w:tcPr>
          <w:p w14:paraId="30A3FF3F" w14:textId="77777777" w:rsidR="00DC5685" w:rsidRPr="00A34F10" w:rsidRDefault="00DC5685" w:rsidP="00DC5685">
            <w:pPr>
              <w:widowControl w:val="0"/>
              <w:suppressAutoHyphens/>
              <w:spacing w:line="216" w:lineRule="auto"/>
              <w:rPr>
                <w:sz w:val="20"/>
                <w:szCs w:val="20"/>
              </w:rPr>
            </w:pPr>
            <w:r w:rsidRPr="00A34F10">
              <w:rPr>
                <w:bCs/>
                <w:sz w:val="20"/>
                <w:szCs w:val="20"/>
              </w:rPr>
              <w:t>EFSA Conclusion 2012</w:t>
            </w:r>
            <w:r w:rsidRPr="00A34F10">
              <w:rPr>
                <w:sz w:val="20"/>
                <w:szCs w:val="20"/>
              </w:rPr>
              <w:br/>
              <w:t>2007/1004041</w:t>
            </w:r>
          </w:p>
        </w:tc>
      </w:tr>
      <w:tr w:rsidR="00DC5685" w:rsidRPr="00A34F10" w14:paraId="26C1D0DA" w14:textId="77777777" w:rsidTr="000470C3">
        <w:trPr>
          <w:trHeight w:val="20"/>
        </w:trPr>
        <w:tc>
          <w:tcPr>
            <w:tcW w:w="1169" w:type="pct"/>
            <w:shd w:val="clear" w:color="auto" w:fill="auto"/>
            <w:vAlign w:val="center"/>
          </w:tcPr>
          <w:p w14:paraId="42E850E9"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Oncorhynchus mykiss</w:t>
            </w:r>
          </w:p>
        </w:tc>
        <w:tc>
          <w:tcPr>
            <w:tcW w:w="964" w:type="pct"/>
            <w:shd w:val="clear" w:color="auto" w:fill="auto"/>
            <w:vAlign w:val="center"/>
          </w:tcPr>
          <w:p w14:paraId="6574D89A" w14:textId="77777777" w:rsidR="00DC5685" w:rsidRPr="00A34F10" w:rsidRDefault="00DC5685" w:rsidP="00DC5685">
            <w:pPr>
              <w:widowControl w:val="0"/>
              <w:suppressAutoHyphens/>
              <w:spacing w:line="216" w:lineRule="auto"/>
              <w:rPr>
                <w:b/>
                <w:iCs/>
                <w:sz w:val="20"/>
                <w:szCs w:val="20"/>
              </w:rPr>
            </w:pPr>
            <w:r w:rsidRPr="00A34F10">
              <w:rPr>
                <w:sz w:val="20"/>
                <w:szCs w:val="20"/>
              </w:rPr>
              <w:t xml:space="preserve">Ametoctradin </w:t>
            </w:r>
            <w:r w:rsidRPr="00A34F10">
              <w:rPr>
                <w:b/>
                <w:iCs/>
                <w:sz w:val="20"/>
                <w:szCs w:val="20"/>
              </w:rPr>
              <w:t>*</w:t>
            </w:r>
          </w:p>
          <w:p w14:paraId="4EA6839B" w14:textId="77777777" w:rsidR="00DC5685" w:rsidRPr="00A34F10" w:rsidRDefault="00DC5685" w:rsidP="00DC5685">
            <w:pPr>
              <w:widowControl w:val="0"/>
              <w:suppressAutoHyphens/>
              <w:spacing w:line="216" w:lineRule="auto"/>
              <w:rPr>
                <w:bCs/>
                <w:sz w:val="20"/>
                <w:szCs w:val="20"/>
              </w:rPr>
            </w:pPr>
            <w:r w:rsidRPr="00A34F10">
              <w:rPr>
                <w:bCs/>
                <w:iCs/>
                <w:sz w:val="20"/>
                <w:szCs w:val="20"/>
              </w:rPr>
              <w:t>(tested as BAS 650 00 F)</w:t>
            </w:r>
          </w:p>
        </w:tc>
        <w:tc>
          <w:tcPr>
            <w:tcW w:w="500" w:type="pct"/>
            <w:shd w:val="clear" w:color="auto" w:fill="auto"/>
            <w:vAlign w:val="center"/>
          </w:tcPr>
          <w:p w14:paraId="6513AE38" w14:textId="77777777" w:rsidR="00DC5685" w:rsidRPr="00A34F10" w:rsidRDefault="00DC5685" w:rsidP="00DC5685">
            <w:pPr>
              <w:widowControl w:val="0"/>
              <w:suppressAutoHyphens/>
              <w:spacing w:line="216" w:lineRule="auto"/>
              <w:rPr>
                <w:sz w:val="20"/>
                <w:szCs w:val="20"/>
              </w:rPr>
            </w:pPr>
            <w:r w:rsidRPr="00A34F10">
              <w:rPr>
                <w:sz w:val="20"/>
                <w:szCs w:val="20"/>
              </w:rPr>
              <w:t>96 h, s</w:t>
            </w:r>
          </w:p>
        </w:tc>
        <w:tc>
          <w:tcPr>
            <w:tcW w:w="1263" w:type="pct"/>
            <w:shd w:val="clear" w:color="auto" w:fill="auto"/>
            <w:vAlign w:val="center"/>
          </w:tcPr>
          <w:p w14:paraId="3F0F7D2D" w14:textId="77777777" w:rsidR="00DC5685" w:rsidRPr="00A34F10" w:rsidRDefault="00DC5685" w:rsidP="00DC5685">
            <w:pPr>
              <w:widowControl w:val="0"/>
              <w:suppressAutoHyphens/>
              <w:spacing w:line="216" w:lineRule="auto"/>
              <w:jc w:val="center"/>
              <w:rPr>
                <w:b/>
                <w:sz w:val="20"/>
                <w:szCs w:val="20"/>
              </w:rPr>
            </w:pPr>
            <w:r w:rsidRPr="00A34F10">
              <w:rPr>
                <w:b/>
                <w:sz w:val="20"/>
                <w:szCs w:val="20"/>
              </w:rPr>
              <w:t>LC</w:t>
            </w:r>
            <w:r w:rsidRPr="00A34F10">
              <w:rPr>
                <w:b/>
                <w:sz w:val="20"/>
                <w:szCs w:val="20"/>
                <w:vertAlign w:val="subscript"/>
              </w:rPr>
              <w:t>50</w:t>
            </w:r>
            <w:r w:rsidRPr="00A34F10">
              <w:rPr>
                <w:b/>
                <w:sz w:val="20"/>
                <w:szCs w:val="20"/>
              </w:rPr>
              <w:t xml:space="preserve"> &gt; 19.0 mg a.s./L</w:t>
            </w:r>
          </w:p>
          <w:p w14:paraId="5041F13A"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0CD01BA9"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2007/1057733</w:t>
            </w:r>
          </w:p>
        </w:tc>
      </w:tr>
      <w:tr w:rsidR="00DC5685" w:rsidRPr="00A34F10" w14:paraId="6ACA46DD" w14:textId="77777777" w:rsidTr="000470C3">
        <w:trPr>
          <w:trHeight w:val="20"/>
        </w:trPr>
        <w:tc>
          <w:tcPr>
            <w:tcW w:w="1169" w:type="pct"/>
            <w:shd w:val="clear" w:color="auto" w:fill="auto"/>
            <w:vAlign w:val="center"/>
          </w:tcPr>
          <w:p w14:paraId="74760658"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Cyprinus carpio</w:t>
            </w:r>
          </w:p>
        </w:tc>
        <w:tc>
          <w:tcPr>
            <w:tcW w:w="964" w:type="pct"/>
            <w:shd w:val="clear" w:color="auto" w:fill="auto"/>
            <w:vAlign w:val="center"/>
          </w:tcPr>
          <w:p w14:paraId="6EDE6549"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64E0A385" w14:textId="77777777" w:rsidR="00DC5685" w:rsidRPr="00A34F10" w:rsidRDefault="00DC5685" w:rsidP="00DC5685">
            <w:pPr>
              <w:widowControl w:val="0"/>
              <w:suppressAutoHyphens/>
              <w:spacing w:line="216" w:lineRule="auto"/>
              <w:rPr>
                <w:sz w:val="20"/>
                <w:szCs w:val="20"/>
              </w:rPr>
            </w:pPr>
            <w:r w:rsidRPr="00A34F10">
              <w:rPr>
                <w:sz w:val="20"/>
                <w:szCs w:val="20"/>
              </w:rPr>
              <w:t>96 h, f</w:t>
            </w:r>
          </w:p>
        </w:tc>
        <w:tc>
          <w:tcPr>
            <w:tcW w:w="1263" w:type="pct"/>
            <w:shd w:val="clear" w:color="auto" w:fill="auto"/>
            <w:vAlign w:val="center"/>
          </w:tcPr>
          <w:p w14:paraId="18EE04DA" w14:textId="77777777" w:rsidR="00DC5685" w:rsidRPr="00A34F10" w:rsidRDefault="00DC5685" w:rsidP="00DC5685">
            <w:pPr>
              <w:widowControl w:val="0"/>
              <w:suppressAutoHyphens/>
              <w:spacing w:line="216" w:lineRule="auto"/>
              <w:jc w:val="center"/>
              <w:rPr>
                <w:sz w:val="20"/>
                <w:szCs w:val="20"/>
              </w:rPr>
            </w:pPr>
            <w:r w:rsidRPr="00A34F10">
              <w:rPr>
                <w:sz w:val="20"/>
                <w:szCs w:val="20"/>
              </w:rPr>
              <w:t>LC</w:t>
            </w:r>
            <w:r w:rsidRPr="00A34F10">
              <w:rPr>
                <w:sz w:val="20"/>
                <w:szCs w:val="20"/>
                <w:vertAlign w:val="subscript"/>
              </w:rPr>
              <w:t>50</w:t>
            </w:r>
            <w:r w:rsidRPr="00A34F10">
              <w:rPr>
                <w:sz w:val="20"/>
                <w:szCs w:val="20"/>
              </w:rPr>
              <w:t xml:space="preserve"> &gt; 0.110 mg a.s./L</w:t>
            </w:r>
          </w:p>
          <w:p w14:paraId="7E3CE95F"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01D1DAF9"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2007/1039553</w:t>
            </w:r>
          </w:p>
        </w:tc>
      </w:tr>
      <w:tr w:rsidR="00DC5685" w:rsidRPr="00A34F10" w14:paraId="03B82DF9" w14:textId="77777777" w:rsidTr="000470C3">
        <w:trPr>
          <w:trHeight w:val="20"/>
        </w:trPr>
        <w:tc>
          <w:tcPr>
            <w:tcW w:w="1169" w:type="pct"/>
            <w:shd w:val="clear" w:color="auto" w:fill="auto"/>
            <w:vAlign w:val="center"/>
          </w:tcPr>
          <w:p w14:paraId="6D0D8645"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iCs/>
                <w:sz w:val="20"/>
                <w:szCs w:val="20"/>
              </w:rPr>
              <w:t>Lepomis macrochirus</w:t>
            </w:r>
          </w:p>
        </w:tc>
        <w:tc>
          <w:tcPr>
            <w:tcW w:w="964" w:type="pct"/>
            <w:shd w:val="clear" w:color="auto" w:fill="auto"/>
            <w:vAlign w:val="center"/>
          </w:tcPr>
          <w:p w14:paraId="3AE4EAE5"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7B142755" w14:textId="77777777" w:rsidR="00DC5685" w:rsidRPr="00A34F10" w:rsidRDefault="00DC5685" w:rsidP="00DC5685">
            <w:pPr>
              <w:widowControl w:val="0"/>
              <w:suppressAutoHyphens/>
              <w:spacing w:line="216" w:lineRule="auto"/>
              <w:rPr>
                <w:sz w:val="20"/>
                <w:szCs w:val="20"/>
              </w:rPr>
            </w:pPr>
            <w:r w:rsidRPr="00A34F10">
              <w:rPr>
                <w:sz w:val="20"/>
                <w:szCs w:val="20"/>
              </w:rPr>
              <w:t>96 h, f</w:t>
            </w:r>
          </w:p>
        </w:tc>
        <w:tc>
          <w:tcPr>
            <w:tcW w:w="1263" w:type="pct"/>
            <w:shd w:val="clear" w:color="auto" w:fill="auto"/>
            <w:vAlign w:val="center"/>
          </w:tcPr>
          <w:p w14:paraId="4F35E768" w14:textId="77777777" w:rsidR="00DC5685" w:rsidRPr="00A34F10" w:rsidRDefault="00DC5685" w:rsidP="00DC5685">
            <w:pPr>
              <w:widowControl w:val="0"/>
              <w:suppressAutoHyphens/>
              <w:spacing w:line="216" w:lineRule="auto"/>
              <w:jc w:val="center"/>
              <w:rPr>
                <w:sz w:val="20"/>
                <w:szCs w:val="20"/>
              </w:rPr>
            </w:pPr>
            <w:r w:rsidRPr="00A34F10">
              <w:rPr>
                <w:sz w:val="20"/>
                <w:szCs w:val="20"/>
              </w:rPr>
              <w:t>LC</w:t>
            </w:r>
            <w:r w:rsidRPr="00A34F10">
              <w:rPr>
                <w:sz w:val="20"/>
                <w:szCs w:val="20"/>
                <w:vertAlign w:val="subscript"/>
              </w:rPr>
              <w:t>50</w:t>
            </w:r>
            <w:r w:rsidRPr="00A34F10">
              <w:rPr>
                <w:sz w:val="20"/>
                <w:szCs w:val="20"/>
              </w:rPr>
              <w:t xml:space="preserve"> &gt; 0.129 mg a.s./L</w:t>
            </w:r>
          </w:p>
          <w:p w14:paraId="61FB609D" w14:textId="77777777" w:rsidR="00DC5685" w:rsidRPr="00A34F10" w:rsidRDefault="00DC5685" w:rsidP="00DC5685">
            <w:pPr>
              <w:widowControl w:val="0"/>
              <w:suppressAutoHyphens/>
              <w:spacing w:line="216" w:lineRule="auto"/>
              <w:jc w:val="center"/>
              <w:rPr>
                <w:b/>
                <w:sz w:val="20"/>
                <w:szCs w:val="20"/>
              </w:rPr>
            </w:pPr>
            <w:r w:rsidRPr="00A34F10">
              <w:rPr>
                <w:sz w:val="20"/>
                <w:szCs w:val="20"/>
              </w:rPr>
              <w:t>mean measured</w:t>
            </w:r>
          </w:p>
        </w:tc>
        <w:tc>
          <w:tcPr>
            <w:tcW w:w="1104" w:type="pct"/>
            <w:shd w:val="clear" w:color="auto" w:fill="auto"/>
            <w:vAlign w:val="center"/>
          </w:tcPr>
          <w:p w14:paraId="03B64D17"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2006/1031686</w:t>
            </w:r>
          </w:p>
        </w:tc>
      </w:tr>
      <w:tr w:rsidR="00DC5685" w:rsidRPr="00A34F10" w14:paraId="3B6CE259" w14:textId="77777777" w:rsidTr="000470C3">
        <w:trPr>
          <w:trHeight w:val="20"/>
        </w:trPr>
        <w:tc>
          <w:tcPr>
            <w:tcW w:w="1169" w:type="pct"/>
            <w:shd w:val="clear" w:color="auto" w:fill="auto"/>
            <w:vAlign w:val="center"/>
          </w:tcPr>
          <w:p w14:paraId="4BC848ED"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Pimephales promelas</w:t>
            </w:r>
          </w:p>
        </w:tc>
        <w:tc>
          <w:tcPr>
            <w:tcW w:w="964" w:type="pct"/>
            <w:shd w:val="clear" w:color="auto" w:fill="auto"/>
            <w:vAlign w:val="center"/>
          </w:tcPr>
          <w:p w14:paraId="5DA29106"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40A286B8" w14:textId="77777777" w:rsidR="00DC5685" w:rsidRPr="00A34F10" w:rsidRDefault="00DC5685" w:rsidP="00DC5685">
            <w:pPr>
              <w:widowControl w:val="0"/>
              <w:suppressAutoHyphens/>
              <w:spacing w:line="216" w:lineRule="auto"/>
              <w:rPr>
                <w:sz w:val="20"/>
                <w:szCs w:val="20"/>
              </w:rPr>
            </w:pPr>
            <w:r w:rsidRPr="00A34F10">
              <w:rPr>
                <w:sz w:val="20"/>
                <w:szCs w:val="20"/>
              </w:rPr>
              <w:t>33 d, f</w:t>
            </w:r>
          </w:p>
        </w:tc>
        <w:tc>
          <w:tcPr>
            <w:tcW w:w="1263" w:type="pct"/>
            <w:shd w:val="clear" w:color="auto" w:fill="auto"/>
            <w:vAlign w:val="center"/>
          </w:tcPr>
          <w:p w14:paraId="36171E21" w14:textId="77777777" w:rsidR="00DC5685" w:rsidRPr="00A34F10" w:rsidRDefault="00DC5685" w:rsidP="00DC5685">
            <w:pPr>
              <w:widowControl w:val="0"/>
              <w:suppressAutoHyphens/>
              <w:spacing w:line="216" w:lineRule="auto"/>
              <w:jc w:val="center"/>
              <w:rPr>
                <w:b/>
                <w:sz w:val="20"/>
                <w:szCs w:val="20"/>
                <w:vertAlign w:val="subscript"/>
              </w:rPr>
            </w:pPr>
            <w:r w:rsidRPr="00A34F10">
              <w:rPr>
                <w:b/>
                <w:sz w:val="20"/>
                <w:szCs w:val="20"/>
              </w:rPr>
              <w:t xml:space="preserve">NOEC = </w:t>
            </w:r>
            <w:r w:rsidRPr="00A34F10">
              <w:rPr>
                <w:b/>
                <w:bCs/>
                <w:sz w:val="20"/>
                <w:szCs w:val="20"/>
              </w:rPr>
              <w:t>0.048</w:t>
            </w:r>
            <w:r w:rsidRPr="00A34F10">
              <w:rPr>
                <w:b/>
                <w:sz w:val="20"/>
                <w:szCs w:val="20"/>
              </w:rPr>
              <w:t xml:space="preserve"> mg a.s./L</w:t>
            </w:r>
          </w:p>
          <w:p w14:paraId="2FEBB74C"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00E3BA40"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2006/1024627</w:t>
            </w:r>
          </w:p>
        </w:tc>
      </w:tr>
      <w:tr w:rsidR="00DC5685" w:rsidRPr="00A34F10" w14:paraId="3BB15495" w14:textId="77777777" w:rsidTr="000470C3">
        <w:trPr>
          <w:trHeight w:val="20"/>
        </w:trPr>
        <w:tc>
          <w:tcPr>
            <w:tcW w:w="1169" w:type="pct"/>
            <w:shd w:val="clear" w:color="auto" w:fill="auto"/>
            <w:vAlign w:val="center"/>
          </w:tcPr>
          <w:p w14:paraId="5B34338B"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Daphnia magna</w:t>
            </w:r>
          </w:p>
        </w:tc>
        <w:tc>
          <w:tcPr>
            <w:tcW w:w="964" w:type="pct"/>
            <w:shd w:val="clear" w:color="auto" w:fill="auto"/>
            <w:vAlign w:val="center"/>
          </w:tcPr>
          <w:p w14:paraId="7CAA3E2C"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2A2026A8" w14:textId="77777777" w:rsidR="00DC5685" w:rsidRPr="00A34F10" w:rsidRDefault="00DC5685" w:rsidP="00DC5685">
            <w:pPr>
              <w:widowControl w:val="0"/>
              <w:suppressAutoHyphens/>
              <w:spacing w:line="216" w:lineRule="auto"/>
              <w:rPr>
                <w:sz w:val="20"/>
                <w:szCs w:val="20"/>
              </w:rPr>
            </w:pPr>
            <w:r w:rsidRPr="00A34F10">
              <w:rPr>
                <w:sz w:val="20"/>
                <w:szCs w:val="20"/>
              </w:rPr>
              <w:t>48 h, s</w:t>
            </w:r>
          </w:p>
        </w:tc>
        <w:tc>
          <w:tcPr>
            <w:tcW w:w="1263" w:type="pct"/>
            <w:shd w:val="clear" w:color="auto" w:fill="auto"/>
            <w:vAlign w:val="center"/>
          </w:tcPr>
          <w:p w14:paraId="2E77BA7F" w14:textId="77777777" w:rsidR="00DC5685" w:rsidRPr="00A34F10" w:rsidRDefault="00DC5685" w:rsidP="00DC5685">
            <w:pPr>
              <w:widowControl w:val="0"/>
              <w:suppressAutoHyphens/>
              <w:spacing w:line="216" w:lineRule="auto"/>
              <w:jc w:val="center"/>
              <w:rPr>
                <w:sz w:val="20"/>
                <w:szCs w:val="20"/>
              </w:rPr>
            </w:pPr>
            <w:r w:rsidRPr="00A34F10">
              <w:rPr>
                <w:sz w:val="20"/>
                <w:szCs w:val="20"/>
              </w:rPr>
              <w:t>EC</w:t>
            </w:r>
            <w:r w:rsidRPr="00A34F10">
              <w:rPr>
                <w:sz w:val="20"/>
                <w:szCs w:val="20"/>
                <w:vertAlign w:val="subscript"/>
              </w:rPr>
              <w:t>50</w:t>
            </w:r>
            <w:r w:rsidRPr="00A34F10">
              <w:rPr>
                <w:sz w:val="20"/>
                <w:szCs w:val="20"/>
              </w:rPr>
              <w:t xml:space="preserve"> &gt; 0.590 mg/L</w:t>
            </w:r>
          </w:p>
          <w:p w14:paraId="423A6E35"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56A2B973"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2006/1037557</w:t>
            </w:r>
          </w:p>
        </w:tc>
      </w:tr>
      <w:tr w:rsidR="00DC5685" w:rsidRPr="00A34F10" w14:paraId="4AB164E7" w14:textId="77777777" w:rsidTr="000470C3">
        <w:trPr>
          <w:trHeight w:val="20"/>
        </w:trPr>
        <w:tc>
          <w:tcPr>
            <w:tcW w:w="1169" w:type="pct"/>
            <w:shd w:val="clear" w:color="auto" w:fill="auto"/>
            <w:vAlign w:val="center"/>
          </w:tcPr>
          <w:p w14:paraId="1D06AFDF" w14:textId="77777777" w:rsidR="00DC5685" w:rsidRPr="00A34F10" w:rsidRDefault="00DC5685" w:rsidP="00DC5685">
            <w:pPr>
              <w:keepNext/>
              <w:widowControl w:val="0"/>
              <w:suppressAutoHyphens/>
              <w:spacing w:before="40" w:after="40" w:line="216" w:lineRule="auto"/>
              <w:rPr>
                <w:rFonts w:eastAsia="PMingLiU"/>
                <w:i/>
                <w:sz w:val="20"/>
                <w:szCs w:val="20"/>
              </w:rPr>
            </w:pPr>
            <w:r w:rsidRPr="00A34F10">
              <w:rPr>
                <w:rFonts w:eastAsia="PMingLiU"/>
                <w:i/>
                <w:sz w:val="20"/>
                <w:szCs w:val="20"/>
              </w:rPr>
              <w:t>Daphnia magna</w:t>
            </w:r>
          </w:p>
        </w:tc>
        <w:tc>
          <w:tcPr>
            <w:tcW w:w="964" w:type="pct"/>
            <w:shd w:val="clear" w:color="auto" w:fill="auto"/>
            <w:vAlign w:val="center"/>
          </w:tcPr>
          <w:p w14:paraId="2495CC64" w14:textId="77777777" w:rsidR="00DC5685" w:rsidRPr="00A34F10" w:rsidRDefault="00DC5685" w:rsidP="00DC5685">
            <w:pPr>
              <w:keepNext/>
              <w:widowControl w:val="0"/>
              <w:suppressAutoHyphens/>
              <w:spacing w:line="216" w:lineRule="auto"/>
              <w:rPr>
                <w:b/>
                <w:iCs/>
                <w:sz w:val="20"/>
                <w:szCs w:val="20"/>
              </w:rPr>
            </w:pPr>
            <w:r w:rsidRPr="00A34F10">
              <w:rPr>
                <w:sz w:val="20"/>
                <w:szCs w:val="20"/>
              </w:rPr>
              <w:t xml:space="preserve">Ametoctradin </w:t>
            </w:r>
            <w:r w:rsidRPr="00A34F10">
              <w:rPr>
                <w:b/>
                <w:iCs/>
                <w:sz w:val="20"/>
                <w:szCs w:val="20"/>
              </w:rPr>
              <w:t>*</w:t>
            </w:r>
          </w:p>
          <w:p w14:paraId="21CECBA8" w14:textId="77777777" w:rsidR="00DC5685" w:rsidRPr="00A34F10" w:rsidRDefault="00DC5685" w:rsidP="00DC5685">
            <w:pPr>
              <w:keepNext/>
              <w:widowControl w:val="0"/>
              <w:suppressAutoHyphens/>
              <w:spacing w:line="216" w:lineRule="auto"/>
              <w:rPr>
                <w:sz w:val="20"/>
                <w:szCs w:val="20"/>
              </w:rPr>
            </w:pPr>
            <w:r w:rsidRPr="00A34F10">
              <w:rPr>
                <w:bCs/>
                <w:iCs/>
                <w:sz w:val="20"/>
                <w:szCs w:val="20"/>
              </w:rPr>
              <w:t>(tested as BAS 650 00 F)</w:t>
            </w:r>
          </w:p>
        </w:tc>
        <w:tc>
          <w:tcPr>
            <w:tcW w:w="500" w:type="pct"/>
            <w:shd w:val="clear" w:color="auto" w:fill="auto"/>
            <w:vAlign w:val="center"/>
          </w:tcPr>
          <w:p w14:paraId="1567AFC5" w14:textId="77777777" w:rsidR="00DC5685" w:rsidRPr="00A34F10" w:rsidRDefault="00DC5685" w:rsidP="00DC5685">
            <w:pPr>
              <w:keepNext/>
              <w:widowControl w:val="0"/>
              <w:suppressAutoHyphens/>
              <w:spacing w:line="216" w:lineRule="auto"/>
              <w:rPr>
                <w:sz w:val="20"/>
                <w:szCs w:val="20"/>
              </w:rPr>
            </w:pPr>
            <w:r w:rsidRPr="00A34F10">
              <w:rPr>
                <w:sz w:val="20"/>
                <w:szCs w:val="20"/>
              </w:rPr>
              <w:t>48 h, s</w:t>
            </w:r>
          </w:p>
        </w:tc>
        <w:tc>
          <w:tcPr>
            <w:tcW w:w="1263" w:type="pct"/>
            <w:shd w:val="clear" w:color="auto" w:fill="auto"/>
            <w:vAlign w:val="center"/>
          </w:tcPr>
          <w:p w14:paraId="45CED3D6" w14:textId="77777777" w:rsidR="00DC5685" w:rsidRPr="00A34F10" w:rsidRDefault="00DC5685" w:rsidP="00DC5685">
            <w:pPr>
              <w:keepNext/>
              <w:widowControl w:val="0"/>
              <w:suppressAutoHyphens/>
              <w:spacing w:line="216" w:lineRule="auto"/>
              <w:jc w:val="center"/>
              <w:rPr>
                <w:b/>
                <w:sz w:val="20"/>
                <w:szCs w:val="20"/>
              </w:rPr>
            </w:pPr>
            <w:r w:rsidRPr="00A34F10">
              <w:rPr>
                <w:b/>
                <w:sz w:val="20"/>
                <w:szCs w:val="20"/>
              </w:rPr>
              <w:t>EC</w:t>
            </w:r>
            <w:r w:rsidRPr="00A34F10">
              <w:rPr>
                <w:b/>
                <w:sz w:val="20"/>
                <w:szCs w:val="20"/>
                <w:vertAlign w:val="subscript"/>
              </w:rPr>
              <w:t>50</w:t>
            </w:r>
            <w:r w:rsidRPr="00A34F10">
              <w:rPr>
                <w:b/>
                <w:sz w:val="20"/>
                <w:szCs w:val="20"/>
              </w:rPr>
              <w:t xml:space="preserve"> &gt; 19.4 mg/L</w:t>
            </w:r>
          </w:p>
          <w:p w14:paraId="2AA18638" w14:textId="77777777" w:rsidR="00DC5685" w:rsidRPr="00A34F10" w:rsidRDefault="00DC5685" w:rsidP="00DC5685">
            <w:pPr>
              <w:keepNext/>
              <w:widowControl w:val="0"/>
              <w:suppressAutoHyphens/>
              <w:spacing w:line="216" w:lineRule="auto"/>
              <w:jc w:val="center"/>
              <w:rPr>
                <w:b/>
                <w:sz w:val="20"/>
                <w:szCs w:val="20"/>
              </w:rPr>
            </w:pPr>
            <w:r w:rsidRPr="00A34F10">
              <w:rPr>
                <w:sz w:val="20"/>
                <w:szCs w:val="20"/>
              </w:rPr>
              <w:t>mean measured</w:t>
            </w:r>
          </w:p>
        </w:tc>
        <w:tc>
          <w:tcPr>
            <w:tcW w:w="1104" w:type="pct"/>
            <w:shd w:val="clear" w:color="auto" w:fill="auto"/>
            <w:vAlign w:val="center"/>
          </w:tcPr>
          <w:p w14:paraId="11A6E525" w14:textId="77777777" w:rsidR="00DC5685" w:rsidRPr="00A34F10" w:rsidRDefault="00DC5685" w:rsidP="00DC5685">
            <w:pPr>
              <w:keepNext/>
              <w:widowControl w:val="0"/>
              <w:suppressAutoHyphens/>
              <w:spacing w:line="216" w:lineRule="auto"/>
              <w:rPr>
                <w:bCs/>
                <w:sz w:val="20"/>
                <w:szCs w:val="20"/>
              </w:rPr>
            </w:pPr>
            <w:r w:rsidRPr="00A34F10">
              <w:rPr>
                <w:bCs/>
                <w:sz w:val="20"/>
                <w:szCs w:val="20"/>
              </w:rPr>
              <w:t>EFSA Conclusion 2012</w:t>
            </w:r>
            <w:r w:rsidRPr="00A34F10">
              <w:rPr>
                <w:sz w:val="20"/>
                <w:szCs w:val="20"/>
              </w:rPr>
              <w:br/>
              <w:t>2007/1018762</w:t>
            </w:r>
          </w:p>
        </w:tc>
      </w:tr>
      <w:tr w:rsidR="00DC5685" w:rsidRPr="00A34F10" w14:paraId="3A879523" w14:textId="77777777" w:rsidTr="000470C3">
        <w:trPr>
          <w:trHeight w:val="20"/>
        </w:trPr>
        <w:tc>
          <w:tcPr>
            <w:tcW w:w="1169" w:type="pct"/>
            <w:shd w:val="clear" w:color="auto" w:fill="auto"/>
            <w:vAlign w:val="center"/>
          </w:tcPr>
          <w:p w14:paraId="1278CF0F"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Daphnia magna</w:t>
            </w:r>
          </w:p>
        </w:tc>
        <w:tc>
          <w:tcPr>
            <w:tcW w:w="964" w:type="pct"/>
            <w:shd w:val="clear" w:color="auto" w:fill="auto"/>
            <w:vAlign w:val="center"/>
          </w:tcPr>
          <w:p w14:paraId="3FAC1D75"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48F2F562" w14:textId="77777777" w:rsidR="00DC5685" w:rsidRPr="00A34F10" w:rsidRDefault="00DC5685" w:rsidP="00DC5685">
            <w:pPr>
              <w:widowControl w:val="0"/>
              <w:suppressAutoHyphens/>
              <w:spacing w:line="216" w:lineRule="auto"/>
              <w:rPr>
                <w:sz w:val="20"/>
                <w:szCs w:val="20"/>
              </w:rPr>
            </w:pPr>
            <w:r w:rsidRPr="00A34F10">
              <w:rPr>
                <w:sz w:val="20"/>
                <w:szCs w:val="20"/>
              </w:rPr>
              <w:t>21 d, ss</w:t>
            </w:r>
          </w:p>
        </w:tc>
        <w:tc>
          <w:tcPr>
            <w:tcW w:w="1263" w:type="pct"/>
            <w:shd w:val="clear" w:color="auto" w:fill="auto"/>
            <w:vAlign w:val="center"/>
          </w:tcPr>
          <w:p w14:paraId="2BBC8F50" w14:textId="77777777" w:rsidR="00DC5685" w:rsidRPr="00A34F10" w:rsidRDefault="00DC5685" w:rsidP="00DC5685">
            <w:pPr>
              <w:widowControl w:val="0"/>
              <w:suppressAutoHyphens/>
              <w:spacing w:line="216" w:lineRule="auto"/>
              <w:jc w:val="center"/>
              <w:rPr>
                <w:bCs/>
                <w:sz w:val="20"/>
                <w:szCs w:val="20"/>
              </w:rPr>
            </w:pPr>
            <w:r w:rsidRPr="00A34F10">
              <w:rPr>
                <w:bCs/>
                <w:sz w:val="20"/>
                <w:szCs w:val="20"/>
              </w:rPr>
              <w:t>NOEC = 0.044 mg/L</w:t>
            </w:r>
          </w:p>
          <w:p w14:paraId="7BD2BA50"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5E428F7D"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2007/1057496</w:t>
            </w:r>
          </w:p>
        </w:tc>
      </w:tr>
      <w:tr w:rsidR="00DC5685" w:rsidRPr="00A34F10" w14:paraId="5D4E1CCF" w14:textId="77777777" w:rsidTr="000470C3">
        <w:trPr>
          <w:trHeight w:val="20"/>
        </w:trPr>
        <w:tc>
          <w:tcPr>
            <w:tcW w:w="1169" w:type="pct"/>
            <w:shd w:val="clear" w:color="auto" w:fill="auto"/>
            <w:vAlign w:val="center"/>
          </w:tcPr>
          <w:p w14:paraId="7E713AAD" w14:textId="77777777" w:rsidR="00DC5685" w:rsidRPr="00A34F10" w:rsidRDefault="00DC5685" w:rsidP="00DC5685">
            <w:pPr>
              <w:widowControl w:val="0"/>
              <w:suppressAutoHyphens/>
              <w:spacing w:before="40" w:after="40" w:line="216" w:lineRule="auto"/>
              <w:rPr>
                <w:rFonts w:eastAsia="PMingLiU"/>
                <w:i/>
                <w:sz w:val="20"/>
                <w:szCs w:val="20"/>
              </w:rPr>
            </w:pPr>
            <w:bookmarkStart w:id="466" w:name="_Hlk42676893"/>
            <w:r w:rsidRPr="00A34F10">
              <w:rPr>
                <w:rFonts w:eastAsia="PMingLiU"/>
                <w:i/>
                <w:sz w:val="20"/>
                <w:szCs w:val="20"/>
              </w:rPr>
              <w:t>Americamysis bahia</w:t>
            </w:r>
            <w:bookmarkEnd w:id="466"/>
          </w:p>
        </w:tc>
        <w:tc>
          <w:tcPr>
            <w:tcW w:w="964" w:type="pct"/>
            <w:shd w:val="clear" w:color="auto" w:fill="auto"/>
            <w:vAlign w:val="center"/>
          </w:tcPr>
          <w:p w14:paraId="58E4EC51"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614AC7CD" w14:textId="77777777" w:rsidR="00DC5685" w:rsidRPr="00A34F10" w:rsidRDefault="00DC5685" w:rsidP="00DC5685">
            <w:pPr>
              <w:widowControl w:val="0"/>
              <w:suppressAutoHyphens/>
              <w:spacing w:line="216" w:lineRule="auto"/>
              <w:rPr>
                <w:sz w:val="20"/>
                <w:szCs w:val="20"/>
              </w:rPr>
            </w:pPr>
            <w:r w:rsidRPr="00A34F10">
              <w:rPr>
                <w:sz w:val="20"/>
                <w:szCs w:val="20"/>
              </w:rPr>
              <w:t>28 d, f</w:t>
            </w:r>
          </w:p>
        </w:tc>
        <w:tc>
          <w:tcPr>
            <w:tcW w:w="1263" w:type="pct"/>
            <w:shd w:val="clear" w:color="auto" w:fill="auto"/>
            <w:vAlign w:val="center"/>
          </w:tcPr>
          <w:p w14:paraId="0CDFDE4A" w14:textId="77777777" w:rsidR="00DC5685" w:rsidRPr="00A34F10" w:rsidRDefault="00DC5685" w:rsidP="00DC5685">
            <w:pPr>
              <w:widowControl w:val="0"/>
              <w:suppressAutoHyphens/>
              <w:spacing w:line="216" w:lineRule="auto"/>
              <w:jc w:val="center"/>
              <w:rPr>
                <w:b/>
                <w:sz w:val="20"/>
                <w:szCs w:val="20"/>
              </w:rPr>
            </w:pPr>
            <w:r w:rsidRPr="00A34F10">
              <w:rPr>
                <w:b/>
                <w:sz w:val="20"/>
                <w:szCs w:val="20"/>
              </w:rPr>
              <w:t>NOEC = 0.018 mg/L</w:t>
            </w:r>
          </w:p>
          <w:p w14:paraId="035F760F" w14:textId="77777777" w:rsidR="00DC5685" w:rsidRPr="00A34F10" w:rsidRDefault="00DC5685" w:rsidP="00DC5685">
            <w:pPr>
              <w:widowControl w:val="0"/>
              <w:suppressAutoHyphens/>
              <w:spacing w:line="216" w:lineRule="auto"/>
              <w:jc w:val="center"/>
              <w:rPr>
                <w:b/>
                <w:sz w:val="20"/>
                <w:szCs w:val="20"/>
              </w:rPr>
            </w:pPr>
            <w:r w:rsidRPr="00A34F10">
              <w:rPr>
                <w:sz w:val="20"/>
                <w:szCs w:val="20"/>
              </w:rPr>
              <w:t>mean measured</w:t>
            </w:r>
          </w:p>
        </w:tc>
        <w:tc>
          <w:tcPr>
            <w:tcW w:w="1104" w:type="pct"/>
            <w:shd w:val="clear" w:color="auto" w:fill="auto"/>
            <w:vAlign w:val="center"/>
          </w:tcPr>
          <w:p w14:paraId="0040C145" w14:textId="77777777" w:rsidR="00DC5685" w:rsidRPr="00A34F10" w:rsidRDefault="00DC5685" w:rsidP="00DC5685">
            <w:pPr>
              <w:widowControl w:val="0"/>
              <w:suppressAutoHyphens/>
              <w:spacing w:line="216" w:lineRule="auto"/>
              <w:rPr>
                <w:bCs/>
                <w:sz w:val="20"/>
                <w:szCs w:val="20"/>
              </w:rPr>
            </w:pPr>
            <w:r w:rsidRPr="00A34F10">
              <w:rPr>
                <w:bCs/>
                <w:sz w:val="20"/>
                <w:szCs w:val="20"/>
              </w:rPr>
              <w:t>New study</w:t>
            </w:r>
          </w:p>
          <w:p w14:paraId="4F4320CC" w14:textId="77777777" w:rsidR="00DC5685" w:rsidRPr="00A34F10" w:rsidRDefault="00DC5685" w:rsidP="00DC5685">
            <w:pPr>
              <w:widowControl w:val="0"/>
              <w:suppressAutoHyphens/>
              <w:spacing w:line="216" w:lineRule="auto"/>
              <w:rPr>
                <w:bCs/>
                <w:sz w:val="20"/>
                <w:szCs w:val="20"/>
              </w:rPr>
            </w:pPr>
            <w:r w:rsidRPr="00A34F10">
              <w:rPr>
                <w:bCs/>
                <w:sz w:val="20"/>
                <w:szCs w:val="20"/>
              </w:rPr>
              <w:t>2013/7000443</w:t>
            </w:r>
          </w:p>
        </w:tc>
      </w:tr>
      <w:tr w:rsidR="00DC5685" w:rsidRPr="00A34F10" w14:paraId="401DB9BD" w14:textId="77777777" w:rsidTr="000470C3">
        <w:trPr>
          <w:trHeight w:val="20"/>
        </w:trPr>
        <w:tc>
          <w:tcPr>
            <w:tcW w:w="1169" w:type="pct"/>
            <w:shd w:val="clear" w:color="auto" w:fill="auto"/>
            <w:vAlign w:val="center"/>
          </w:tcPr>
          <w:p w14:paraId="18B40C3D"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Chironomus riparius</w:t>
            </w:r>
          </w:p>
        </w:tc>
        <w:tc>
          <w:tcPr>
            <w:tcW w:w="964" w:type="pct"/>
            <w:shd w:val="clear" w:color="auto" w:fill="auto"/>
            <w:vAlign w:val="center"/>
          </w:tcPr>
          <w:p w14:paraId="4E464E3C" w14:textId="77777777" w:rsidR="00DC5685" w:rsidRPr="00A34F10" w:rsidRDefault="00DC5685" w:rsidP="00DC5685">
            <w:pPr>
              <w:widowControl w:val="0"/>
              <w:suppressAutoHyphens/>
              <w:spacing w:line="216" w:lineRule="auto"/>
              <w:rPr>
                <w:b/>
                <w:iCs/>
                <w:sz w:val="20"/>
                <w:szCs w:val="20"/>
              </w:rPr>
            </w:pPr>
            <w:r w:rsidRPr="00A34F10">
              <w:rPr>
                <w:sz w:val="20"/>
                <w:szCs w:val="20"/>
              </w:rPr>
              <w:t xml:space="preserve">Ametoctradin </w:t>
            </w:r>
            <w:r w:rsidRPr="00A34F10">
              <w:rPr>
                <w:b/>
                <w:iCs/>
                <w:sz w:val="20"/>
                <w:szCs w:val="20"/>
              </w:rPr>
              <w:t>*</w:t>
            </w:r>
          </w:p>
          <w:p w14:paraId="7A3437F9" w14:textId="77777777" w:rsidR="00DC5685" w:rsidRPr="00A34F10" w:rsidRDefault="00DC5685" w:rsidP="00DC5685">
            <w:pPr>
              <w:widowControl w:val="0"/>
              <w:suppressAutoHyphens/>
              <w:spacing w:line="216" w:lineRule="auto"/>
              <w:rPr>
                <w:sz w:val="20"/>
                <w:szCs w:val="20"/>
              </w:rPr>
            </w:pPr>
            <w:r w:rsidRPr="00A34F10">
              <w:rPr>
                <w:bCs/>
                <w:iCs/>
                <w:sz w:val="20"/>
                <w:szCs w:val="20"/>
              </w:rPr>
              <w:t>(tested as BAS 650 00 F)</w:t>
            </w:r>
          </w:p>
        </w:tc>
        <w:tc>
          <w:tcPr>
            <w:tcW w:w="500" w:type="pct"/>
            <w:shd w:val="clear" w:color="auto" w:fill="auto"/>
            <w:vAlign w:val="center"/>
          </w:tcPr>
          <w:p w14:paraId="4054460A" w14:textId="77777777" w:rsidR="00DC5685" w:rsidRPr="00A34F10" w:rsidRDefault="00DC5685" w:rsidP="00DC5685">
            <w:pPr>
              <w:widowControl w:val="0"/>
              <w:suppressAutoHyphens/>
              <w:spacing w:line="216" w:lineRule="auto"/>
              <w:rPr>
                <w:sz w:val="20"/>
                <w:szCs w:val="20"/>
              </w:rPr>
            </w:pPr>
            <w:r w:rsidRPr="00A34F10">
              <w:rPr>
                <w:sz w:val="20"/>
                <w:szCs w:val="20"/>
              </w:rPr>
              <w:t>28 d, spiked sediment</w:t>
            </w:r>
          </w:p>
        </w:tc>
        <w:tc>
          <w:tcPr>
            <w:tcW w:w="1263" w:type="pct"/>
            <w:shd w:val="clear" w:color="auto" w:fill="auto"/>
            <w:vAlign w:val="center"/>
          </w:tcPr>
          <w:p w14:paraId="7C0FCDC3" w14:textId="77777777" w:rsidR="00DC5685" w:rsidRPr="00A34F10" w:rsidRDefault="00DC5685" w:rsidP="00DC5685">
            <w:pPr>
              <w:widowControl w:val="0"/>
              <w:suppressAutoHyphens/>
              <w:spacing w:line="216" w:lineRule="auto"/>
              <w:jc w:val="center"/>
              <w:rPr>
                <w:b/>
                <w:sz w:val="20"/>
                <w:szCs w:val="20"/>
              </w:rPr>
            </w:pPr>
            <w:r w:rsidRPr="00A34F10">
              <w:rPr>
                <w:b/>
                <w:sz w:val="20"/>
                <w:szCs w:val="20"/>
              </w:rPr>
              <w:t>NOEC = 221.56 mg a.s./kg sed. (dw)</w:t>
            </w:r>
          </w:p>
          <w:p w14:paraId="0555B3C5" w14:textId="77777777" w:rsidR="00DC5685" w:rsidRPr="00A34F10" w:rsidRDefault="00DC5685" w:rsidP="00DC5685">
            <w:pPr>
              <w:widowControl w:val="0"/>
              <w:suppressAutoHyphens/>
              <w:spacing w:line="216" w:lineRule="auto"/>
              <w:jc w:val="center"/>
              <w:rPr>
                <w:sz w:val="20"/>
                <w:szCs w:val="20"/>
              </w:rPr>
            </w:pPr>
            <w:r w:rsidRPr="00A34F10">
              <w:rPr>
                <w:sz w:val="20"/>
                <w:szCs w:val="20"/>
              </w:rPr>
              <w:t>initial measured</w:t>
            </w:r>
          </w:p>
        </w:tc>
        <w:tc>
          <w:tcPr>
            <w:tcW w:w="1104" w:type="pct"/>
            <w:shd w:val="clear" w:color="auto" w:fill="auto"/>
            <w:vAlign w:val="center"/>
          </w:tcPr>
          <w:p w14:paraId="43DE3ED8"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2007/1057455</w:t>
            </w:r>
          </w:p>
        </w:tc>
      </w:tr>
      <w:tr w:rsidR="00DC5685" w:rsidRPr="00A34F10" w14:paraId="35DEF694" w14:textId="77777777" w:rsidTr="000470C3">
        <w:trPr>
          <w:trHeight w:val="20"/>
        </w:trPr>
        <w:tc>
          <w:tcPr>
            <w:tcW w:w="1169" w:type="pct"/>
            <w:shd w:val="clear" w:color="auto" w:fill="auto"/>
            <w:vAlign w:val="center"/>
          </w:tcPr>
          <w:p w14:paraId="4F6B5642"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Pseudokirchneriella subcapitata</w:t>
            </w:r>
          </w:p>
        </w:tc>
        <w:tc>
          <w:tcPr>
            <w:tcW w:w="964" w:type="pct"/>
            <w:shd w:val="clear" w:color="auto" w:fill="auto"/>
            <w:vAlign w:val="center"/>
          </w:tcPr>
          <w:p w14:paraId="63D91092" w14:textId="77777777" w:rsidR="00DC5685" w:rsidRPr="00A34F10" w:rsidRDefault="00DC5685" w:rsidP="00DC5685">
            <w:pPr>
              <w:widowControl w:val="0"/>
              <w:suppressAutoHyphens/>
              <w:spacing w:line="216" w:lineRule="auto"/>
              <w:rPr>
                <w:sz w:val="20"/>
                <w:szCs w:val="20"/>
              </w:rPr>
            </w:pPr>
            <w:r w:rsidRPr="00A34F10">
              <w:rPr>
                <w:sz w:val="20"/>
                <w:szCs w:val="20"/>
              </w:rPr>
              <w:t>Ametoctradin</w:t>
            </w:r>
          </w:p>
        </w:tc>
        <w:tc>
          <w:tcPr>
            <w:tcW w:w="500" w:type="pct"/>
            <w:shd w:val="clear" w:color="auto" w:fill="auto"/>
            <w:vAlign w:val="center"/>
          </w:tcPr>
          <w:p w14:paraId="195D8EC7" w14:textId="77777777" w:rsidR="00DC5685" w:rsidRPr="00A34F10" w:rsidRDefault="00DC5685" w:rsidP="00DC5685">
            <w:pPr>
              <w:widowControl w:val="0"/>
              <w:suppressAutoHyphens/>
              <w:spacing w:line="216" w:lineRule="auto"/>
              <w:rPr>
                <w:sz w:val="20"/>
                <w:szCs w:val="20"/>
              </w:rPr>
            </w:pPr>
            <w:r w:rsidRPr="00A34F10">
              <w:rPr>
                <w:sz w:val="20"/>
                <w:szCs w:val="20"/>
              </w:rPr>
              <w:t>72 h, s</w:t>
            </w:r>
          </w:p>
        </w:tc>
        <w:tc>
          <w:tcPr>
            <w:tcW w:w="1263" w:type="pct"/>
            <w:shd w:val="clear" w:color="auto" w:fill="auto"/>
            <w:vAlign w:val="center"/>
          </w:tcPr>
          <w:p w14:paraId="353B24B0" w14:textId="77777777" w:rsidR="00DC5685" w:rsidRPr="00A34F10" w:rsidRDefault="00DC5685" w:rsidP="00DC5685">
            <w:pPr>
              <w:suppressAutoHyphens/>
              <w:spacing w:line="216" w:lineRule="auto"/>
              <w:jc w:val="center"/>
              <w:rPr>
                <w:b/>
                <w:sz w:val="20"/>
                <w:szCs w:val="20"/>
              </w:rPr>
            </w:pPr>
            <w:r w:rsidRPr="00A34F10">
              <w:rPr>
                <w:b/>
                <w:sz w:val="20"/>
                <w:szCs w:val="20"/>
              </w:rPr>
              <w:t>E</w:t>
            </w:r>
            <w:r w:rsidRPr="00A34F10">
              <w:rPr>
                <w:b/>
                <w:sz w:val="20"/>
                <w:szCs w:val="20"/>
                <w:vertAlign w:val="subscript"/>
              </w:rPr>
              <w:t>r</w:t>
            </w:r>
            <w:r w:rsidRPr="00A34F10">
              <w:rPr>
                <w:b/>
                <w:sz w:val="20"/>
                <w:szCs w:val="20"/>
              </w:rPr>
              <w:t>C</w:t>
            </w:r>
            <w:r w:rsidRPr="00A34F10">
              <w:rPr>
                <w:b/>
                <w:sz w:val="20"/>
                <w:szCs w:val="20"/>
                <w:vertAlign w:val="subscript"/>
              </w:rPr>
              <w:t>50</w:t>
            </w:r>
            <w:r w:rsidRPr="00A34F10">
              <w:rPr>
                <w:b/>
                <w:sz w:val="20"/>
                <w:szCs w:val="20"/>
              </w:rPr>
              <w:t>/E</w:t>
            </w:r>
            <w:r w:rsidRPr="00A34F10">
              <w:rPr>
                <w:b/>
                <w:sz w:val="20"/>
                <w:szCs w:val="20"/>
                <w:vertAlign w:val="subscript"/>
              </w:rPr>
              <w:t>y</w:t>
            </w:r>
            <w:r w:rsidRPr="00A34F10">
              <w:rPr>
                <w:b/>
                <w:sz w:val="20"/>
                <w:szCs w:val="20"/>
              </w:rPr>
              <w:t>C</w:t>
            </w:r>
            <w:r w:rsidRPr="00A34F10">
              <w:rPr>
                <w:b/>
                <w:sz w:val="20"/>
                <w:szCs w:val="20"/>
                <w:vertAlign w:val="subscript"/>
              </w:rPr>
              <w:t>50</w:t>
            </w:r>
            <w:r w:rsidRPr="00A34F10">
              <w:rPr>
                <w:b/>
                <w:sz w:val="20"/>
                <w:szCs w:val="20"/>
              </w:rPr>
              <w:t xml:space="preserve"> </w:t>
            </w:r>
            <w:r w:rsidRPr="00A34F10">
              <w:rPr>
                <w:b/>
                <w:bCs/>
                <w:sz w:val="20"/>
                <w:szCs w:val="20"/>
              </w:rPr>
              <w:t>&gt; 0.118</w:t>
            </w:r>
            <w:r w:rsidRPr="00A34F10">
              <w:rPr>
                <w:b/>
                <w:sz w:val="20"/>
                <w:szCs w:val="20"/>
              </w:rPr>
              <w:t xml:space="preserve"> mg a.s./L</w:t>
            </w:r>
          </w:p>
          <w:p w14:paraId="38FB36D9" w14:textId="77777777" w:rsidR="00DC5685" w:rsidRPr="00A34F10" w:rsidRDefault="00DC5685" w:rsidP="00DC5685">
            <w:pPr>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1874048B"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2008/1034458</w:t>
            </w:r>
          </w:p>
        </w:tc>
      </w:tr>
      <w:tr w:rsidR="00DC5685" w:rsidRPr="00A34F10" w14:paraId="5A51B294" w14:textId="77777777" w:rsidTr="000470C3">
        <w:trPr>
          <w:trHeight w:val="20"/>
        </w:trPr>
        <w:tc>
          <w:tcPr>
            <w:tcW w:w="1169" w:type="pct"/>
            <w:shd w:val="clear" w:color="auto" w:fill="auto"/>
            <w:vAlign w:val="center"/>
          </w:tcPr>
          <w:p w14:paraId="45A65A71"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Pseudokirchneriella subcapitata</w:t>
            </w:r>
          </w:p>
        </w:tc>
        <w:tc>
          <w:tcPr>
            <w:tcW w:w="964" w:type="pct"/>
            <w:shd w:val="clear" w:color="auto" w:fill="auto"/>
            <w:vAlign w:val="center"/>
          </w:tcPr>
          <w:p w14:paraId="19E87041" w14:textId="77777777" w:rsidR="00DC5685" w:rsidRPr="00A34F10" w:rsidRDefault="00DC5685" w:rsidP="00DC5685">
            <w:pPr>
              <w:widowControl w:val="0"/>
              <w:suppressAutoHyphens/>
              <w:spacing w:line="216" w:lineRule="auto"/>
              <w:rPr>
                <w:b/>
                <w:iCs/>
                <w:sz w:val="20"/>
                <w:szCs w:val="20"/>
              </w:rPr>
            </w:pPr>
            <w:r w:rsidRPr="00A34F10">
              <w:rPr>
                <w:sz w:val="20"/>
                <w:szCs w:val="20"/>
              </w:rPr>
              <w:t>Ametoctradin</w:t>
            </w:r>
            <w:r w:rsidRPr="00A34F10">
              <w:rPr>
                <w:b/>
                <w:iCs/>
                <w:sz w:val="20"/>
                <w:szCs w:val="20"/>
              </w:rPr>
              <w:t xml:space="preserve"> *</w:t>
            </w:r>
          </w:p>
          <w:p w14:paraId="052720DE" w14:textId="77777777" w:rsidR="00DC5685" w:rsidRPr="00A34F10" w:rsidRDefault="00DC5685" w:rsidP="00DC5685">
            <w:pPr>
              <w:widowControl w:val="0"/>
              <w:suppressAutoHyphens/>
              <w:spacing w:line="216" w:lineRule="auto"/>
              <w:rPr>
                <w:sz w:val="20"/>
                <w:szCs w:val="20"/>
              </w:rPr>
            </w:pPr>
            <w:r w:rsidRPr="00A34F10">
              <w:rPr>
                <w:bCs/>
                <w:iCs/>
                <w:sz w:val="20"/>
                <w:szCs w:val="20"/>
              </w:rPr>
              <w:t>(tested as BAS 650 00 F)</w:t>
            </w:r>
          </w:p>
        </w:tc>
        <w:tc>
          <w:tcPr>
            <w:tcW w:w="500" w:type="pct"/>
            <w:shd w:val="clear" w:color="auto" w:fill="auto"/>
            <w:vAlign w:val="center"/>
          </w:tcPr>
          <w:p w14:paraId="4924A16A" w14:textId="77777777" w:rsidR="00DC5685" w:rsidRPr="00A34F10" w:rsidRDefault="00DC5685" w:rsidP="00DC5685">
            <w:pPr>
              <w:widowControl w:val="0"/>
              <w:suppressAutoHyphens/>
              <w:spacing w:line="216" w:lineRule="auto"/>
              <w:rPr>
                <w:sz w:val="20"/>
                <w:szCs w:val="20"/>
              </w:rPr>
            </w:pPr>
            <w:r w:rsidRPr="00A34F10">
              <w:rPr>
                <w:sz w:val="20"/>
                <w:szCs w:val="20"/>
              </w:rPr>
              <w:t>72 h, s</w:t>
            </w:r>
          </w:p>
        </w:tc>
        <w:tc>
          <w:tcPr>
            <w:tcW w:w="1263" w:type="pct"/>
            <w:shd w:val="clear" w:color="auto" w:fill="auto"/>
            <w:vAlign w:val="center"/>
          </w:tcPr>
          <w:p w14:paraId="1D514543" w14:textId="77777777" w:rsidR="00DC5685" w:rsidRPr="00A34F10" w:rsidRDefault="00DC5685" w:rsidP="00DC5685">
            <w:pPr>
              <w:widowControl w:val="0"/>
              <w:suppressAutoHyphens/>
              <w:spacing w:line="216" w:lineRule="auto"/>
              <w:jc w:val="center"/>
              <w:rPr>
                <w:b/>
                <w:sz w:val="20"/>
                <w:szCs w:val="20"/>
              </w:rPr>
            </w:pPr>
            <w:r w:rsidRPr="00A34F10">
              <w:rPr>
                <w:b/>
                <w:sz w:val="20"/>
                <w:szCs w:val="20"/>
              </w:rPr>
              <w:t>E</w:t>
            </w:r>
            <w:r w:rsidRPr="00A34F10">
              <w:rPr>
                <w:b/>
                <w:sz w:val="20"/>
                <w:szCs w:val="20"/>
                <w:vertAlign w:val="subscript"/>
              </w:rPr>
              <w:t>r</w:t>
            </w:r>
            <w:r w:rsidRPr="00A34F10">
              <w:rPr>
                <w:b/>
                <w:sz w:val="20"/>
                <w:szCs w:val="20"/>
              </w:rPr>
              <w:t>C</w:t>
            </w:r>
            <w:r w:rsidRPr="00A34F10">
              <w:rPr>
                <w:b/>
                <w:sz w:val="20"/>
                <w:szCs w:val="20"/>
                <w:vertAlign w:val="subscript"/>
              </w:rPr>
              <w:t>50</w:t>
            </w:r>
            <w:r w:rsidRPr="00A34F10">
              <w:rPr>
                <w:b/>
                <w:sz w:val="20"/>
                <w:szCs w:val="20"/>
              </w:rPr>
              <w:t>/E</w:t>
            </w:r>
            <w:r w:rsidRPr="00A34F10">
              <w:rPr>
                <w:b/>
                <w:sz w:val="20"/>
                <w:szCs w:val="20"/>
                <w:vertAlign w:val="subscript"/>
              </w:rPr>
              <w:t>y</w:t>
            </w:r>
            <w:r w:rsidRPr="00A34F10">
              <w:rPr>
                <w:b/>
                <w:sz w:val="20"/>
                <w:szCs w:val="20"/>
              </w:rPr>
              <w:t>C</w:t>
            </w:r>
            <w:r w:rsidRPr="00A34F10">
              <w:rPr>
                <w:b/>
                <w:sz w:val="20"/>
                <w:szCs w:val="20"/>
                <w:vertAlign w:val="subscript"/>
              </w:rPr>
              <w:t>50</w:t>
            </w:r>
            <w:r w:rsidRPr="00A34F10">
              <w:rPr>
                <w:b/>
                <w:sz w:val="20"/>
                <w:szCs w:val="20"/>
              </w:rPr>
              <w:t xml:space="preserve"> </w:t>
            </w:r>
            <w:r w:rsidRPr="00A34F10">
              <w:rPr>
                <w:b/>
                <w:bCs/>
                <w:sz w:val="20"/>
                <w:szCs w:val="20"/>
              </w:rPr>
              <w:t xml:space="preserve">&gt; 18.4 </w:t>
            </w:r>
            <w:r w:rsidRPr="00A34F10">
              <w:rPr>
                <w:b/>
                <w:sz w:val="20"/>
                <w:szCs w:val="20"/>
              </w:rPr>
              <w:t>mg a.s./L</w:t>
            </w:r>
          </w:p>
          <w:p w14:paraId="51DAE871" w14:textId="77777777" w:rsidR="00DC5685" w:rsidRPr="00A34F10" w:rsidRDefault="00DC5685" w:rsidP="00DC5685">
            <w:pPr>
              <w:widowControl w:val="0"/>
              <w:suppressAutoHyphens/>
              <w:spacing w:line="216" w:lineRule="auto"/>
              <w:jc w:val="center"/>
              <w:rPr>
                <w:b/>
                <w:sz w:val="20"/>
                <w:szCs w:val="20"/>
              </w:rPr>
            </w:pPr>
            <w:r w:rsidRPr="00A34F10">
              <w:rPr>
                <w:sz w:val="20"/>
                <w:szCs w:val="20"/>
              </w:rPr>
              <w:t>nominal</w:t>
            </w:r>
          </w:p>
        </w:tc>
        <w:tc>
          <w:tcPr>
            <w:tcW w:w="1104" w:type="pct"/>
            <w:shd w:val="clear" w:color="auto" w:fill="auto"/>
            <w:vAlign w:val="center"/>
          </w:tcPr>
          <w:p w14:paraId="56140D5E" w14:textId="77777777" w:rsidR="00DC5685" w:rsidRPr="00A34F10" w:rsidRDefault="00DC5685" w:rsidP="00DC5685">
            <w:pPr>
              <w:widowControl w:val="0"/>
              <w:suppressAutoHyphens/>
              <w:spacing w:line="216" w:lineRule="auto"/>
              <w:rPr>
                <w:bCs/>
                <w:sz w:val="20"/>
                <w:szCs w:val="20"/>
              </w:rPr>
            </w:pPr>
            <w:r w:rsidRPr="00A34F10">
              <w:rPr>
                <w:bCs/>
                <w:sz w:val="20"/>
                <w:szCs w:val="20"/>
              </w:rPr>
              <w:t>EFSA Conclusion 2012</w:t>
            </w:r>
            <w:r w:rsidRPr="00A34F10">
              <w:rPr>
                <w:sz w:val="20"/>
                <w:szCs w:val="20"/>
              </w:rPr>
              <w:br/>
              <w:t>2007/1017586</w:t>
            </w:r>
          </w:p>
        </w:tc>
      </w:tr>
      <w:tr w:rsidR="00DC5685" w:rsidRPr="00A34F10" w14:paraId="011F9352" w14:textId="77777777" w:rsidTr="000470C3">
        <w:trPr>
          <w:trHeight w:val="20"/>
        </w:trPr>
        <w:tc>
          <w:tcPr>
            <w:tcW w:w="1169" w:type="pct"/>
            <w:tcBorders>
              <w:top w:val="single" w:sz="4" w:space="0" w:color="auto"/>
            </w:tcBorders>
            <w:shd w:val="clear" w:color="auto" w:fill="auto"/>
            <w:vAlign w:val="center"/>
          </w:tcPr>
          <w:p w14:paraId="0B3CB308" w14:textId="77777777" w:rsidR="00DC5685" w:rsidRPr="00A34F10" w:rsidRDefault="00DC5685" w:rsidP="00DC5685">
            <w:pPr>
              <w:suppressAutoHyphens/>
              <w:spacing w:line="216" w:lineRule="auto"/>
              <w:rPr>
                <w:bCs/>
                <w:i/>
                <w:iCs/>
                <w:sz w:val="20"/>
                <w:szCs w:val="20"/>
              </w:rPr>
            </w:pPr>
            <w:r w:rsidRPr="00A34F10">
              <w:rPr>
                <w:bCs/>
                <w:i/>
                <w:sz w:val="20"/>
              </w:rPr>
              <w:t>Daphnia magna</w:t>
            </w:r>
          </w:p>
        </w:tc>
        <w:tc>
          <w:tcPr>
            <w:tcW w:w="964" w:type="pct"/>
            <w:tcBorders>
              <w:top w:val="single" w:sz="4" w:space="0" w:color="auto"/>
            </w:tcBorders>
            <w:shd w:val="clear" w:color="auto" w:fill="auto"/>
            <w:vAlign w:val="center"/>
          </w:tcPr>
          <w:p w14:paraId="32ACF686" w14:textId="77777777" w:rsidR="00DC5685" w:rsidRPr="00A34F10" w:rsidRDefault="00DC5685" w:rsidP="00DC5685">
            <w:pPr>
              <w:suppressAutoHyphens/>
              <w:spacing w:line="216" w:lineRule="auto"/>
              <w:rPr>
                <w:bCs/>
                <w:sz w:val="20"/>
                <w:szCs w:val="20"/>
              </w:rPr>
            </w:pPr>
            <w:r w:rsidRPr="00A34F10">
              <w:rPr>
                <w:bCs/>
                <w:sz w:val="20"/>
                <w:szCs w:val="20"/>
              </w:rPr>
              <w:t>Metabolite: M650F01</w:t>
            </w:r>
          </w:p>
        </w:tc>
        <w:tc>
          <w:tcPr>
            <w:tcW w:w="500" w:type="pct"/>
            <w:tcBorders>
              <w:top w:val="single" w:sz="4" w:space="0" w:color="auto"/>
            </w:tcBorders>
            <w:shd w:val="clear" w:color="auto" w:fill="auto"/>
            <w:vAlign w:val="center"/>
          </w:tcPr>
          <w:p w14:paraId="307A4A7F" w14:textId="77777777" w:rsidR="00DC5685" w:rsidRPr="00A34F10" w:rsidRDefault="00DC5685" w:rsidP="00DC5685">
            <w:pPr>
              <w:suppressAutoHyphens/>
              <w:spacing w:line="216" w:lineRule="auto"/>
              <w:rPr>
                <w:sz w:val="20"/>
                <w:szCs w:val="20"/>
              </w:rPr>
            </w:pPr>
            <w:r w:rsidRPr="00A34F10">
              <w:rPr>
                <w:sz w:val="20"/>
                <w:szCs w:val="20"/>
              </w:rPr>
              <w:t>48 h, s</w:t>
            </w:r>
          </w:p>
        </w:tc>
        <w:tc>
          <w:tcPr>
            <w:tcW w:w="1263" w:type="pct"/>
            <w:tcBorders>
              <w:top w:val="single" w:sz="4" w:space="0" w:color="auto"/>
              <w:bottom w:val="single" w:sz="4" w:space="0" w:color="auto"/>
            </w:tcBorders>
            <w:shd w:val="clear" w:color="auto" w:fill="auto"/>
            <w:vAlign w:val="center"/>
          </w:tcPr>
          <w:p w14:paraId="5E88BF7A"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EC</w:t>
            </w:r>
            <w:r w:rsidRPr="00A34F10">
              <w:rPr>
                <w:b/>
                <w:sz w:val="20"/>
                <w:szCs w:val="20"/>
                <w:vertAlign w:val="subscript"/>
              </w:rPr>
              <w:t xml:space="preserve">50 </w:t>
            </w:r>
            <w:r w:rsidRPr="00A34F10">
              <w:rPr>
                <w:b/>
                <w:sz w:val="20"/>
                <w:szCs w:val="20"/>
              </w:rPr>
              <w:t>&gt; 100 mg a.s./L</w:t>
            </w:r>
          </w:p>
          <w:p w14:paraId="3F26A741" w14:textId="77777777" w:rsidR="00DC5685" w:rsidRPr="00A34F10" w:rsidRDefault="00DC5685" w:rsidP="00DC5685">
            <w:pPr>
              <w:suppressAutoHyphens/>
              <w:spacing w:line="216" w:lineRule="auto"/>
              <w:jc w:val="center"/>
              <w:rPr>
                <w:b/>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48EB2CB9"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sz w:val="20"/>
                <w:szCs w:val="20"/>
              </w:rPr>
              <w:t>2008/1034472</w:t>
            </w:r>
          </w:p>
        </w:tc>
      </w:tr>
      <w:tr w:rsidR="00DC5685" w:rsidRPr="00A34F10" w14:paraId="19770C35" w14:textId="77777777" w:rsidTr="000470C3">
        <w:trPr>
          <w:trHeight w:val="20"/>
        </w:trPr>
        <w:tc>
          <w:tcPr>
            <w:tcW w:w="1169" w:type="pct"/>
            <w:tcBorders>
              <w:top w:val="single" w:sz="4" w:space="0" w:color="auto"/>
            </w:tcBorders>
            <w:shd w:val="clear" w:color="auto" w:fill="auto"/>
            <w:vAlign w:val="center"/>
          </w:tcPr>
          <w:p w14:paraId="336369A9" w14:textId="77777777" w:rsidR="00DC5685" w:rsidRPr="00A34F10" w:rsidRDefault="00DC5685" w:rsidP="00DC5685">
            <w:pPr>
              <w:suppressAutoHyphens/>
              <w:spacing w:line="216" w:lineRule="auto"/>
              <w:rPr>
                <w:bCs/>
                <w:i/>
                <w:iCs/>
                <w:sz w:val="20"/>
                <w:szCs w:val="20"/>
              </w:rPr>
            </w:pPr>
            <w:r w:rsidRPr="00A34F10">
              <w:rPr>
                <w:bCs/>
                <w:i/>
                <w:sz w:val="20"/>
              </w:rPr>
              <w:t>Oncorhynchus mykiss</w:t>
            </w:r>
          </w:p>
        </w:tc>
        <w:tc>
          <w:tcPr>
            <w:tcW w:w="964" w:type="pct"/>
            <w:tcBorders>
              <w:top w:val="single" w:sz="4" w:space="0" w:color="auto"/>
            </w:tcBorders>
            <w:shd w:val="clear" w:color="auto" w:fill="auto"/>
            <w:vAlign w:val="center"/>
          </w:tcPr>
          <w:p w14:paraId="07D94D12" w14:textId="77777777" w:rsidR="00DC5685" w:rsidRPr="00A34F10" w:rsidRDefault="00DC5685" w:rsidP="00DC5685">
            <w:pPr>
              <w:suppressAutoHyphens/>
              <w:spacing w:line="216" w:lineRule="auto"/>
              <w:rPr>
                <w:bCs/>
                <w:sz w:val="20"/>
                <w:szCs w:val="20"/>
              </w:rPr>
            </w:pPr>
            <w:r w:rsidRPr="00A34F10">
              <w:rPr>
                <w:bCs/>
                <w:sz w:val="20"/>
                <w:szCs w:val="20"/>
              </w:rPr>
              <w:t>Metabolite: M650F03</w:t>
            </w:r>
          </w:p>
        </w:tc>
        <w:tc>
          <w:tcPr>
            <w:tcW w:w="500" w:type="pct"/>
            <w:tcBorders>
              <w:top w:val="single" w:sz="4" w:space="0" w:color="auto"/>
            </w:tcBorders>
            <w:shd w:val="clear" w:color="auto" w:fill="auto"/>
            <w:vAlign w:val="center"/>
          </w:tcPr>
          <w:p w14:paraId="366E4DE5" w14:textId="77777777" w:rsidR="00DC5685" w:rsidRPr="00A34F10" w:rsidRDefault="00DC5685" w:rsidP="00DC5685">
            <w:pPr>
              <w:suppressAutoHyphens/>
              <w:spacing w:line="216" w:lineRule="auto"/>
              <w:rPr>
                <w:sz w:val="20"/>
                <w:szCs w:val="20"/>
              </w:rPr>
            </w:pPr>
            <w:r w:rsidRPr="00A34F10">
              <w:rPr>
                <w:sz w:val="20"/>
                <w:szCs w:val="20"/>
              </w:rPr>
              <w:t>96 h, s</w:t>
            </w:r>
          </w:p>
        </w:tc>
        <w:tc>
          <w:tcPr>
            <w:tcW w:w="1263" w:type="pct"/>
            <w:tcBorders>
              <w:top w:val="single" w:sz="4" w:space="0" w:color="auto"/>
              <w:bottom w:val="single" w:sz="4" w:space="0" w:color="auto"/>
            </w:tcBorders>
            <w:shd w:val="clear" w:color="auto" w:fill="auto"/>
            <w:vAlign w:val="center"/>
          </w:tcPr>
          <w:p w14:paraId="40AF1BAD"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LC</w:t>
            </w:r>
            <w:r w:rsidRPr="00A34F10">
              <w:rPr>
                <w:b/>
                <w:sz w:val="20"/>
                <w:szCs w:val="20"/>
                <w:vertAlign w:val="subscript"/>
              </w:rPr>
              <w:t xml:space="preserve">50 </w:t>
            </w:r>
            <w:r w:rsidRPr="00A34F10">
              <w:rPr>
                <w:b/>
                <w:sz w:val="20"/>
                <w:szCs w:val="20"/>
              </w:rPr>
              <w:t>&gt; 82.60 mg a.s./L</w:t>
            </w:r>
          </w:p>
          <w:p w14:paraId="18C596F7" w14:textId="77777777" w:rsidR="00DC5685" w:rsidRPr="00A34F10" w:rsidRDefault="00DC5685" w:rsidP="00DC5685">
            <w:pPr>
              <w:suppressAutoHyphens/>
              <w:spacing w:line="216" w:lineRule="auto"/>
              <w:jc w:val="center"/>
              <w:rPr>
                <w:b/>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6F3D3069"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sz w:val="20"/>
                <w:szCs w:val="20"/>
              </w:rPr>
              <w:t>2007/1035788</w:t>
            </w:r>
          </w:p>
        </w:tc>
      </w:tr>
      <w:tr w:rsidR="00DC5685" w:rsidRPr="00A34F10" w14:paraId="51CB0027" w14:textId="77777777" w:rsidTr="000470C3">
        <w:trPr>
          <w:trHeight w:val="20"/>
        </w:trPr>
        <w:tc>
          <w:tcPr>
            <w:tcW w:w="1169" w:type="pct"/>
            <w:tcBorders>
              <w:top w:val="single" w:sz="4" w:space="0" w:color="auto"/>
            </w:tcBorders>
            <w:shd w:val="clear" w:color="auto" w:fill="auto"/>
            <w:vAlign w:val="center"/>
          </w:tcPr>
          <w:p w14:paraId="071BFBA3" w14:textId="77777777" w:rsidR="00DC5685" w:rsidRPr="00A34F10" w:rsidRDefault="00DC5685" w:rsidP="00DC5685">
            <w:pPr>
              <w:suppressAutoHyphens/>
              <w:spacing w:line="216" w:lineRule="auto"/>
              <w:rPr>
                <w:bCs/>
                <w:i/>
                <w:iCs/>
                <w:sz w:val="20"/>
                <w:szCs w:val="20"/>
              </w:rPr>
            </w:pPr>
            <w:r w:rsidRPr="00A34F10">
              <w:rPr>
                <w:bCs/>
                <w:i/>
                <w:sz w:val="20"/>
              </w:rPr>
              <w:t>Daphnia magna</w:t>
            </w:r>
          </w:p>
        </w:tc>
        <w:tc>
          <w:tcPr>
            <w:tcW w:w="964" w:type="pct"/>
            <w:tcBorders>
              <w:top w:val="single" w:sz="4" w:space="0" w:color="auto"/>
            </w:tcBorders>
            <w:shd w:val="clear" w:color="auto" w:fill="auto"/>
            <w:vAlign w:val="center"/>
          </w:tcPr>
          <w:p w14:paraId="57916066" w14:textId="77777777" w:rsidR="00DC5685" w:rsidRPr="00A34F10" w:rsidRDefault="00DC5685" w:rsidP="00DC5685">
            <w:pPr>
              <w:suppressAutoHyphens/>
              <w:spacing w:line="216" w:lineRule="auto"/>
              <w:rPr>
                <w:bCs/>
                <w:sz w:val="20"/>
                <w:szCs w:val="20"/>
              </w:rPr>
            </w:pPr>
            <w:r w:rsidRPr="00A34F10">
              <w:rPr>
                <w:bCs/>
                <w:sz w:val="20"/>
                <w:szCs w:val="20"/>
              </w:rPr>
              <w:t>Metabolite: M650F03</w:t>
            </w:r>
          </w:p>
        </w:tc>
        <w:tc>
          <w:tcPr>
            <w:tcW w:w="500" w:type="pct"/>
            <w:tcBorders>
              <w:top w:val="single" w:sz="4" w:space="0" w:color="auto"/>
            </w:tcBorders>
            <w:shd w:val="clear" w:color="auto" w:fill="auto"/>
            <w:vAlign w:val="center"/>
          </w:tcPr>
          <w:p w14:paraId="7F2C0E21" w14:textId="77777777" w:rsidR="00DC5685" w:rsidRPr="00A34F10" w:rsidRDefault="00DC5685" w:rsidP="00DC5685">
            <w:pPr>
              <w:suppressAutoHyphens/>
              <w:spacing w:line="216" w:lineRule="auto"/>
              <w:rPr>
                <w:sz w:val="20"/>
                <w:szCs w:val="20"/>
              </w:rPr>
            </w:pPr>
            <w:r w:rsidRPr="00A34F10">
              <w:rPr>
                <w:sz w:val="20"/>
                <w:szCs w:val="20"/>
              </w:rPr>
              <w:t>48 h, s</w:t>
            </w:r>
          </w:p>
        </w:tc>
        <w:tc>
          <w:tcPr>
            <w:tcW w:w="1263" w:type="pct"/>
            <w:tcBorders>
              <w:top w:val="single" w:sz="4" w:space="0" w:color="auto"/>
              <w:bottom w:val="single" w:sz="4" w:space="0" w:color="auto"/>
            </w:tcBorders>
            <w:shd w:val="clear" w:color="auto" w:fill="auto"/>
            <w:vAlign w:val="center"/>
          </w:tcPr>
          <w:p w14:paraId="58270977" w14:textId="77777777" w:rsidR="00DC5685" w:rsidRPr="00A34F10" w:rsidRDefault="00DC5685" w:rsidP="00DC5685">
            <w:pPr>
              <w:suppressAutoHyphens/>
              <w:spacing w:line="216" w:lineRule="auto"/>
              <w:jc w:val="center"/>
              <w:rPr>
                <w:sz w:val="20"/>
                <w:szCs w:val="20"/>
                <w:vertAlign w:val="subscript"/>
              </w:rPr>
            </w:pPr>
            <w:r w:rsidRPr="00A34F10">
              <w:rPr>
                <w:b/>
                <w:sz w:val="20"/>
                <w:szCs w:val="20"/>
              </w:rPr>
              <w:t>EC</w:t>
            </w:r>
            <w:r w:rsidRPr="00A34F10">
              <w:rPr>
                <w:b/>
                <w:sz w:val="20"/>
                <w:szCs w:val="20"/>
                <w:vertAlign w:val="subscript"/>
              </w:rPr>
              <w:t xml:space="preserve">50 </w:t>
            </w:r>
            <w:r w:rsidRPr="00A34F10">
              <w:rPr>
                <w:b/>
                <w:sz w:val="20"/>
                <w:szCs w:val="20"/>
              </w:rPr>
              <w:t>&gt; 82.60 mg a.s./L</w:t>
            </w:r>
          </w:p>
          <w:p w14:paraId="6CA2EF46" w14:textId="77777777" w:rsidR="00DC5685" w:rsidRPr="00A34F10" w:rsidRDefault="00DC5685" w:rsidP="00DC5685">
            <w:pPr>
              <w:suppressAutoHyphens/>
              <w:spacing w:line="216" w:lineRule="auto"/>
              <w:jc w:val="center"/>
              <w:rPr>
                <w:b/>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41C2307D"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sz w:val="20"/>
                <w:szCs w:val="20"/>
              </w:rPr>
              <w:t>2007/1035785</w:t>
            </w:r>
          </w:p>
        </w:tc>
      </w:tr>
      <w:tr w:rsidR="00DC5685" w:rsidRPr="00A34F10" w14:paraId="2CAD4441" w14:textId="77777777" w:rsidTr="000470C3">
        <w:trPr>
          <w:trHeight w:val="20"/>
        </w:trPr>
        <w:tc>
          <w:tcPr>
            <w:tcW w:w="1169" w:type="pct"/>
            <w:tcBorders>
              <w:top w:val="single" w:sz="4" w:space="0" w:color="auto"/>
            </w:tcBorders>
            <w:shd w:val="clear" w:color="auto" w:fill="auto"/>
            <w:vAlign w:val="center"/>
          </w:tcPr>
          <w:p w14:paraId="73D1C2B7" w14:textId="77777777" w:rsidR="00DC5685" w:rsidRPr="00A34F10" w:rsidRDefault="00DC5685" w:rsidP="00DC5685">
            <w:pPr>
              <w:suppressAutoHyphens/>
              <w:spacing w:line="216" w:lineRule="auto"/>
              <w:rPr>
                <w:bCs/>
                <w:i/>
                <w:iCs/>
                <w:sz w:val="20"/>
                <w:szCs w:val="20"/>
              </w:rPr>
            </w:pPr>
            <w:r w:rsidRPr="00A34F10">
              <w:rPr>
                <w:bCs/>
                <w:i/>
                <w:sz w:val="20"/>
              </w:rPr>
              <w:t>Daphnia magna</w:t>
            </w:r>
          </w:p>
        </w:tc>
        <w:tc>
          <w:tcPr>
            <w:tcW w:w="964" w:type="pct"/>
            <w:tcBorders>
              <w:top w:val="single" w:sz="4" w:space="0" w:color="auto"/>
            </w:tcBorders>
            <w:shd w:val="clear" w:color="auto" w:fill="auto"/>
            <w:vAlign w:val="center"/>
          </w:tcPr>
          <w:p w14:paraId="5127CB8F" w14:textId="77777777" w:rsidR="00DC5685" w:rsidRPr="00A34F10" w:rsidRDefault="00DC5685" w:rsidP="00DC5685">
            <w:pPr>
              <w:suppressAutoHyphens/>
              <w:spacing w:line="216" w:lineRule="auto"/>
              <w:rPr>
                <w:bCs/>
                <w:sz w:val="20"/>
                <w:szCs w:val="20"/>
              </w:rPr>
            </w:pPr>
            <w:r w:rsidRPr="00A34F10">
              <w:rPr>
                <w:bCs/>
                <w:sz w:val="20"/>
                <w:szCs w:val="20"/>
              </w:rPr>
              <w:t>Metabolite: M650F03</w:t>
            </w:r>
          </w:p>
        </w:tc>
        <w:tc>
          <w:tcPr>
            <w:tcW w:w="500" w:type="pct"/>
            <w:tcBorders>
              <w:top w:val="single" w:sz="4" w:space="0" w:color="auto"/>
            </w:tcBorders>
            <w:shd w:val="clear" w:color="auto" w:fill="auto"/>
            <w:vAlign w:val="center"/>
          </w:tcPr>
          <w:p w14:paraId="7EB90822" w14:textId="77777777" w:rsidR="00DC5685" w:rsidRPr="00A34F10" w:rsidRDefault="00DC5685" w:rsidP="00DC5685">
            <w:pPr>
              <w:suppressAutoHyphens/>
              <w:spacing w:line="216" w:lineRule="auto"/>
              <w:rPr>
                <w:sz w:val="20"/>
                <w:szCs w:val="20"/>
              </w:rPr>
            </w:pPr>
            <w:r w:rsidRPr="00A34F10">
              <w:rPr>
                <w:sz w:val="20"/>
                <w:szCs w:val="20"/>
              </w:rPr>
              <w:t>21 d, ss</w:t>
            </w:r>
          </w:p>
        </w:tc>
        <w:tc>
          <w:tcPr>
            <w:tcW w:w="1263" w:type="pct"/>
            <w:tcBorders>
              <w:top w:val="single" w:sz="4" w:space="0" w:color="auto"/>
              <w:bottom w:val="single" w:sz="4" w:space="0" w:color="auto"/>
            </w:tcBorders>
            <w:shd w:val="clear" w:color="auto" w:fill="auto"/>
            <w:vAlign w:val="center"/>
          </w:tcPr>
          <w:p w14:paraId="1B7A02BB"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NOEC = 41.75 mg a.s./L</w:t>
            </w:r>
          </w:p>
          <w:p w14:paraId="32C77582" w14:textId="77777777" w:rsidR="00DC5685" w:rsidRPr="00A34F10" w:rsidRDefault="00DC5685" w:rsidP="00DC5685">
            <w:pPr>
              <w:suppressAutoHyphens/>
              <w:spacing w:line="216" w:lineRule="auto"/>
              <w:jc w:val="center"/>
              <w:rPr>
                <w:b/>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28F3D132"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rFonts w:eastAsia="SimSun"/>
                <w:sz w:val="20"/>
                <w:szCs w:val="20"/>
                <w:lang w:eastAsia="zh-CN"/>
              </w:rPr>
              <w:t>2008/1043909</w:t>
            </w:r>
          </w:p>
        </w:tc>
      </w:tr>
      <w:tr w:rsidR="00DC5685" w:rsidRPr="00A34F10" w14:paraId="37556442" w14:textId="77777777" w:rsidTr="000470C3">
        <w:trPr>
          <w:trHeight w:val="20"/>
        </w:trPr>
        <w:tc>
          <w:tcPr>
            <w:tcW w:w="1169" w:type="pct"/>
            <w:tcBorders>
              <w:top w:val="single" w:sz="4" w:space="0" w:color="auto"/>
            </w:tcBorders>
            <w:shd w:val="clear" w:color="auto" w:fill="auto"/>
            <w:vAlign w:val="center"/>
          </w:tcPr>
          <w:p w14:paraId="0E204A55" w14:textId="77777777" w:rsidR="00DC5685" w:rsidRPr="00A34F10" w:rsidRDefault="00DC5685" w:rsidP="00DC5685">
            <w:pPr>
              <w:suppressAutoHyphens/>
              <w:spacing w:line="216" w:lineRule="auto"/>
              <w:rPr>
                <w:bCs/>
                <w:i/>
                <w:sz w:val="20"/>
                <w:szCs w:val="20"/>
              </w:rPr>
            </w:pPr>
            <w:r w:rsidRPr="00A34F10">
              <w:rPr>
                <w:bCs/>
                <w:i/>
                <w:sz w:val="20"/>
              </w:rPr>
              <w:t>Pseudokirchneriella subcapitata</w:t>
            </w:r>
          </w:p>
        </w:tc>
        <w:tc>
          <w:tcPr>
            <w:tcW w:w="964" w:type="pct"/>
            <w:tcBorders>
              <w:top w:val="single" w:sz="4" w:space="0" w:color="auto"/>
            </w:tcBorders>
            <w:shd w:val="clear" w:color="auto" w:fill="auto"/>
            <w:vAlign w:val="center"/>
          </w:tcPr>
          <w:p w14:paraId="07D054C2" w14:textId="77777777" w:rsidR="00DC5685" w:rsidRPr="00A34F10" w:rsidRDefault="00DC5685" w:rsidP="00DC5685">
            <w:pPr>
              <w:suppressAutoHyphens/>
              <w:spacing w:line="216" w:lineRule="auto"/>
              <w:rPr>
                <w:bCs/>
                <w:sz w:val="20"/>
                <w:szCs w:val="20"/>
              </w:rPr>
            </w:pPr>
            <w:r w:rsidRPr="00A34F10">
              <w:rPr>
                <w:bCs/>
                <w:sz w:val="20"/>
                <w:szCs w:val="20"/>
              </w:rPr>
              <w:t>Metabolite: M650F03</w:t>
            </w:r>
          </w:p>
        </w:tc>
        <w:tc>
          <w:tcPr>
            <w:tcW w:w="500" w:type="pct"/>
            <w:tcBorders>
              <w:top w:val="single" w:sz="4" w:space="0" w:color="auto"/>
            </w:tcBorders>
            <w:shd w:val="clear" w:color="auto" w:fill="auto"/>
            <w:vAlign w:val="center"/>
          </w:tcPr>
          <w:p w14:paraId="5E503A97" w14:textId="77777777" w:rsidR="00DC5685" w:rsidRPr="00A34F10" w:rsidRDefault="00DC5685" w:rsidP="00DC5685">
            <w:pPr>
              <w:suppressAutoHyphens/>
              <w:spacing w:line="216" w:lineRule="auto"/>
              <w:rPr>
                <w:sz w:val="20"/>
                <w:szCs w:val="20"/>
              </w:rPr>
            </w:pPr>
            <w:r w:rsidRPr="00A34F10">
              <w:rPr>
                <w:sz w:val="20"/>
                <w:szCs w:val="20"/>
              </w:rPr>
              <w:t>72 h, s</w:t>
            </w:r>
          </w:p>
        </w:tc>
        <w:tc>
          <w:tcPr>
            <w:tcW w:w="1263" w:type="pct"/>
            <w:tcBorders>
              <w:top w:val="single" w:sz="4" w:space="0" w:color="auto"/>
              <w:bottom w:val="single" w:sz="4" w:space="0" w:color="auto"/>
            </w:tcBorders>
            <w:shd w:val="clear" w:color="auto" w:fill="auto"/>
            <w:vAlign w:val="center"/>
          </w:tcPr>
          <w:p w14:paraId="46E4A1D3"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E</w:t>
            </w:r>
            <w:r w:rsidRPr="00A34F10">
              <w:rPr>
                <w:b/>
                <w:sz w:val="20"/>
                <w:szCs w:val="20"/>
                <w:vertAlign w:val="subscript"/>
              </w:rPr>
              <w:t>r</w:t>
            </w:r>
            <w:r w:rsidRPr="00A34F10">
              <w:rPr>
                <w:b/>
                <w:sz w:val="20"/>
                <w:szCs w:val="20"/>
              </w:rPr>
              <w:t>C</w:t>
            </w:r>
            <w:r w:rsidRPr="00A34F10">
              <w:rPr>
                <w:b/>
                <w:sz w:val="20"/>
                <w:szCs w:val="20"/>
                <w:vertAlign w:val="subscript"/>
              </w:rPr>
              <w:t>50</w:t>
            </w:r>
            <w:r w:rsidRPr="00A34F10">
              <w:rPr>
                <w:b/>
                <w:sz w:val="20"/>
                <w:szCs w:val="20"/>
              </w:rPr>
              <w:t>/E</w:t>
            </w:r>
            <w:r w:rsidRPr="00A34F10">
              <w:rPr>
                <w:b/>
                <w:sz w:val="20"/>
                <w:szCs w:val="20"/>
                <w:vertAlign w:val="subscript"/>
              </w:rPr>
              <w:t>y</w:t>
            </w:r>
            <w:r w:rsidRPr="00A34F10">
              <w:rPr>
                <w:b/>
                <w:sz w:val="20"/>
                <w:szCs w:val="20"/>
              </w:rPr>
              <w:t>C</w:t>
            </w:r>
            <w:r w:rsidRPr="00A34F10">
              <w:rPr>
                <w:b/>
                <w:sz w:val="20"/>
                <w:szCs w:val="20"/>
                <w:vertAlign w:val="subscript"/>
              </w:rPr>
              <w:t xml:space="preserve">50 </w:t>
            </w:r>
            <w:r w:rsidRPr="00A34F10">
              <w:rPr>
                <w:b/>
                <w:sz w:val="20"/>
                <w:szCs w:val="20"/>
              </w:rPr>
              <w:t>&gt; 82.60 mg a.s./L</w:t>
            </w:r>
          </w:p>
          <w:p w14:paraId="4C20F5DE" w14:textId="77777777" w:rsidR="00DC5685" w:rsidRPr="00A34F10" w:rsidRDefault="00DC5685" w:rsidP="00DC5685">
            <w:pPr>
              <w:suppressAutoHyphens/>
              <w:spacing w:line="216" w:lineRule="auto"/>
              <w:jc w:val="center"/>
              <w:rPr>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278513CD" w14:textId="77777777" w:rsidR="00DC5685" w:rsidRPr="00A34F10" w:rsidRDefault="00DC5685" w:rsidP="00DC5685">
            <w:pPr>
              <w:suppressAutoHyphens/>
              <w:spacing w:line="216" w:lineRule="auto"/>
              <w:rPr>
                <w:sz w:val="20"/>
                <w:szCs w:val="20"/>
              </w:rPr>
            </w:pPr>
            <w:r w:rsidRPr="00A34F10">
              <w:rPr>
                <w:bCs/>
                <w:sz w:val="20"/>
                <w:szCs w:val="20"/>
              </w:rPr>
              <w:t>EFSA Conclusion 2012</w:t>
            </w:r>
            <w:r w:rsidRPr="00A34F10">
              <w:rPr>
                <w:bCs/>
                <w:sz w:val="20"/>
                <w:szCs w:val="20"/>
              </w:rPr>
              <w:br/>
            </w:r>
            <w:r w:rsidRPr="00A34F10">
              <w:rPr>
                <w:sz w:val="20"/>
                <w:szCs w:val="20"/>
              </w:rPr>
              <w:t>2007/1035786</w:t>
            </w:r>
          </w:p>
        </w:tc>
      </w:tr>
      <w:tr w:rsidR="00DC5685" w:rsidRPr="00A34F10" w14:paraId="582E0193" w14:textId="77777777" w:rsidTr="000470C3">
        <w:trPr>
          <w:trHeight w:val="449"/>
        </w:trPr>
        <w:tc>
          <w:tcPr>
            <w:tcW w:w="1169" w:type="pct"/>
            <w:tcBorders>
              <w:top w:val="single" w:sz="4" w:space="0" w:color="auto"/>
            </w:tcBorders>
            <w:shd w:val="clear" w:color="auto" w:fill="auto"/>
            <w:vAlign w:val="center"/>
          </w:tcPr>
          <w:p w14:paraId="61F40813" w14:textId="77777777" w:rsidR="00DC5685" w:rsidRPr="00A34F10" w:rsidRDefault="00DC5685" w:rsidP="00DC5685">
            <w:pPr>
              <w:suppressAutoHyphens/>
              <w:spacing w:line="216" w:lineRule="auto"/>
              <w:rPr>
                <w:bCs/>
                <w:i/>
                <w:sz w:val="20"/>
                <w:szCs w:val="20"/>
              </w:rPr>
            </w:pPr>
            <w:r w:rsidRPr="00A34F10">
              <w:rPr>
                <w:bCs/>
                <w:i/>
                <w:sz w:val="20"/>
              </w:rPr>
              <w:t>Oncorhynchus mykiss</w:t>
            </w:r>
          </w:p>
        </w:tc>
        <w:tc>
          <w:tcPr>
            <w:tcW w:w="964" w:type="pct"/>
            <w:tcBorders>
              <w:top w:val="single" w:sz="4" w:space="0" w:color="auto"/>
            </w:tcBorders>
            <w:shd w:val="clear" w:color="auto" w:fill="auto"/>
            <w:vAlign w:val="center"/>
          </w:tcPr>
          <w:p w14:paraId="69E6A168" w14:textId="77777777" w:rsidR="00DC5685" w:rsidRPr="00A34F10" w:rsidRDefault="00DC5685" w:rsidP="00DC5685">
            <w:pPr>
              <w:suppressAutoHyphens/>
              <w:spacing w:line="216" w:lineRule="auto"/>
              <w:rPr>
                <w:bCs/>
                <w:sz w:val="20"/>
                <w:szCs w:val="20"/>
              </w:rPr>
            </w:pPr>
            <w:r w:rsidRPr="00A34F10">
              <w:rPr>
                <w:bCs/>
                <w:sz w:val="20"/>
                <w:szCs w:val="20"/>
              </w:rPr>
              <w:t>Metabolite: M650F04</w:t>
            </w:r>
          </w:p>
        </w:tc>
        <w:tc>
          <w:tcPr>
            <w:tcW w:w="500" w:type="pct"/>
            <w:tcBorders>
              <w:top w:val="single" w:sz="4" w:space="0" w:color="auto"/>
              <w:right w:val="single" w:sz="4" w:space="0" w:color="auto"/>
            </w:tcBorders>
            <w:shd w:val="clear" w:color="auto" w:fill="auto"/>
            <w:vAlign w:val="center"/>
          </w:tcPr>
          <w:p w14:paraId="4FCB112F" w14:textId="77777777" w:rsidR="00DC5685" w:rsidRPr="00A34F10" w:rsidRDefault="00DC5685" w:rsidP="00DC5685">
            <w:pPr>
              <w:suppressAutoHyphens/>
              <w:spacing w:line="216" w:lineRule="auto"/>
              <w:rPr>
                <w:sz w:val="20"/>
                <w:szCs w:val="20"/>
              </w:rPr>
            </w:pPr>
            <w:r w:rsidRPr="00A34F10">
              <w:rPr>
                <w:sz w:val="20"/>
                <w:szCs w:val="20"/>
              </w:rPr>
              <w:t>96 h, s</w:t>
            </w:r>
          </w:p>
        </w:tc>
        <w:tc>
          <w:tcPr>
            <w:tcW w:w="1263" w:type="pct"/>
            <w:tcBorders>
              <w:top w:val="single" w:sz="4" w:space="0" w:color="auto"/>
              <w:left w:val="single" w:sz="4" w:space="0" w:color="auto"/>
              <w:right w:val="single" w:sz="4" w:space="0" w:color="auto"/>
            </w:tcBorders>
            <w:shd w:val="clear" w:color="auto" w:fill="auto"/>
            <w:vAlign w:val="center"/>
          </w:tcPr>
          <w:p w14:paraId="3C5F2253"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LC</w:t>
            </w:r>
            <w:r w:rsidRPr="00A34F10">
              <w:rPr>
                <w:b/>
                <w:sz w:val="20"/>
                <w:szCs w:val="20"/>
                <w:vertAlign w:val="subscript"/>
              </w:rPr>
              <w:t xml:space="preserve">50 </w:t>
            </w:r>
            <w:r w:rsidRPr="00A34F10">
              <w:rPr>
                <w:b/>
                <w:sz w:val="20"/>
                <w:szCs w:val="20"/>
              </w:rPr>
              <w:t>&gt; 100 mg a.s./L</w:t>
            </w:r>
          </w:p>
          <w:p w14:paraId="28B4935C" w14:textId="77777777" w:rsidR="00DC5685" w:rsidRPr="00A34F10" w:rsidRDefault="00DC5685" w:rsidP="00DC5685">
            <w:pPr>
              <w:suppressAutoHyphens/>
              <w:spacing w:line="216" w:lineRule="auto"/>
              <w:jc w:val="center"/>
              <w:rPr>
                <w:sz w:val="20"/>
                <w:szCs w:val="20"/>
              </w:rPr>
            </w:pPr>
            <w:r w:rsidRPr="00A34F10">
              <w:rPr>
                <w:bCs/>
                <w:sz w:val="20"/>
                <w:szCs w:val="20"/>
              </w:rPr>
              <w:t>nominal</w:t>
            </w:r>
          </w:p>
        </w:tc>
        <w:tc>
          <w:tcPr>
            <w:tcW w:w="1104" w:type="pct"/>
            <w:tcBorders>
              <w:top w:val="single" w:sz="4" w:space="0" w:color="auto"/>
              <w:left w:val="single" w:sz="4" w:space="0" w:color="auto"/>
            </w:tcBorders>
            <w:shd w:val="clear" w:color="auto" w:fill="auto"/>
            <w:vAlign w:val="center"/>
          </w:tcPr>
          <w:p w14:paraId="3285F5A8"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sz w:val="20"/>
                <w:szCs w:val="20"/>
              </w:rPr>
              <w:t>2007/1035789</w:t>
            </w:r>
          </w:p>
        </w:tc>
      </w:tr>
      <w:tr w:rsidR="00DC5685" w:rsidRPr="00A34F10" w14:paraId="5620BDAD" w14:textId="77777777" w:rsidTr="000470C3">
        <w:trPr>
          <w:trHeight w:val="20"/>
        </w:trPr>
        <w:tc>
          <w:tcPr>
            <w:tcW w:w="1169" w:type="pct"/>
            <w:tcBorders>
              <w:top w:val="single" w:sz="4" w:space="0" w:color="auto"/>
              <w:bottom w:val="single" w:sz="4" w:space="0" w:color="auto"/>
            </w:tcBorders>
            <w:shd w:val="clear" w:color="auto" w:fill="auto"/>
            <w:vAlign w:val="center"/>
          </w:tcPr>
          <w:p w14:paraId="77FF528B" w14:textId="77777777" w:rsidR="00DC5685" w:rsidRPr="00A34F10" w:rsidRDefault="00DC5685" w:rsidP="00DC5685">
            <w:pPr>
              <w:suppressAutoHyphens/>
              <w:spacing w:line="216" w:lineRule="auto"/>
              <w:rPr>
                <w:bCs/>
                <w:i/>
                <w:iCs/>
                <w:sz w:val="20"/>
                <w:szCs w:val="20"/>
              </w:rPr>
            </w:pPr>
            <w:r w:rsidRPr="00A34F10">
              <w:rPr>
                <w:bCs/>
                <w:i/>
                <w:sz w:val="20"/>
              </w:rPr>
              <w:t>Daphnia magna</w:t>
            </w:r>
          </w:p>
        </w:tc>
        <w:tc>
          <w:tcPr>
            <w:tcW w:w="964" w:type="pct"/>
            <w:tcBorders>
              <w:top w:val="single" w:sz="4" w:space="0" w:color="auto"/>
              <w:bottom w:val="single" w:sz="4" w:space="0" w:color="auto"/>
            </w:tcBorders>
            <w:shd w:val="clear" w:color="auto" w:fill="auto"/>
            <w:vAlign w:val="center"/>
          </w:tcPr>
          <w:p w14:paraId="190E9F27" w14:textId="77777777" w:rsidR="00DC5685" w:rsidRPr="00A34F10" w:rsidRDefault="00DC5685" w:rsidP="00DC5685">
            <w:pPr>
              <w:suppressAutoHyphens/>
              <w:spacing w:line="216" w:lineRule="auto"/>
              <w:rPr>
                <w:bCs/>
                <w:sz w:val="20"/>
                <w:szCs w:val="20"/>
              </w:rPr>
            </w:pPr>
            <w:r w:rsidRPr="00A34F10">
              <w:rPr>
                <w:bCs/>
                <w:sz w:val="20"/>
                <w:szCs w:val="20"/>
              </w:rPr>
              <w:t>Metabolite: M650F04</w:t>
            </w:r>
          </w:p>
        </w:tc>
        <w:tc>
          <w:tcPr>
            <w:tcW w:w="500" w:type="pct"/>
            <w:tcBorders>
              <w:top w:val="single" w:sz="4" w:space="0" w:color="auto"/>
              <w:bottom w:val="single" w:sz="4" w:space="0" w:color="auto"/>
            </w:tcBorders>
            <w:shd w:val="clear" w:color="auto" w:fill="auto"/>
            <w:vAlign w:val="center"/>
          </w:tcPr>
          <w:p w14:paraId="60FC49FF" w14:textId="77777777" w:rsidR="00DC5685" w:rsidRPr="00A34F10" w:rsidRDefault="00DC5685" w:rsidP="00DC5685">
            <w:pPr>
              <w:suppressAutoHyphens/>
              <w:spacing w:line="216" w:lineRule="auto"/>
              <w:rPr>
                <w:sz w:val="20"/>
                <w:szCs w:val="20"/>
              </w:rPr>
            </w:pPr>
            <w:r w:rsidRPr="00A34F10">
              <w:rPr>
                <w:sz w:val="20"/>
                <w:szCs w:val="20"/>
              </w:rPr>
              <w:t>48 h, s</w:t>
            </w:r>
          </w:p>
        </w:tc>
        <w:tc>
          <w:tcPr>
            <w:tcW w:w="1263" w:type="pct"/>
            <w:tcBorders>
              <w:top w:val="single" w:sz="4" w:space="0" w:color="auto"/>
              <w:bottom w:val="single" w:sz="4" w:space="0" w:color="auto"/>
            </w:tcBorders>
            <w:shd w:val="clear" w:color="auto" w:fill="auto"/>
            <w:vAlign w:val="center"/>
          </w:tcPr>
          <w:p w14:paraId="49AFA9A2"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EC</w:t>
            </w:r>
            <w:r w:rsidRPr="00A34F10">
              <w:rPr>
                <w:b/>
                <w:sz w:val="20"/>
                <w:szCs w:val="20"/>
                <w:vertAlign w:val="subscript"/>
              </w:rPr>
              <w:t xml:space="preserve">50 </w:t>
            </w:r>
            <w:r w:rsidRPr="00A34F10">
              <w:rPr>
                <w:b/>
                <w:sz w:val="20"/>
                <w:szCs w:val="20"/>
              </w:rPr>
              <w:t>&gt; 100 mg a.s./L</w:t>
            </w:r>
          </w:p>
          <w:p w14:paraId="730B7833" w14:textId="77777777" w:rsidR="00DC5685" w:rsidRPr="00A34F10" w:rsidRDefault="00DC5685" w:rsidP="00DC5685">
            <w:pPr>
              <w:suppressAutoHyphens/>
              <w:spacing w:line="216" w:lineRule="auto"/>
              <w:jc w:val="center"/>
              <w:rPr>
                <w:sz w:val="20"/>
                <w:szCs w:val="20"/>
              </w:rPr>
            </w:pPr>
            <w:r w:rsidRPr="00A34F10">
              <w:rPr>
                <w:bCs/>
                <w:sz w:val="20"/>
                <w:szCs w:val="20"/>
              </w:rPr>
              <w:t>nominal</w:t>
            </w:r>
          </w:p>
        </w:tc>
        <w:tc>
          <w:tcPr>
            <w:tcW w:w="1104" w:type="pct"/>
            <w:tcBorders>
              <w:top w:val="single" w:sz="4" w:space="0" w:color="auto"/>
              <w:bottom w:val="single" w:sz="4" w:space="0" w:color="auto"/>
            </w:tcBorders>
            <w:shd w:val="clear" w:color="auto" w:fill="auto"/>
            <w:vAlign w:val="center"/>
          </w:tcPr>
          <w:p w14:paraId="1A0F4041" w14:textId="77777777" w:rsidR="00DC5685" w:rsidRPr="00A34F10" w:rsidRDefault="00DC5685" w:rsidP="00DC5685">
            <w:pPr>
              <w:suppressAutoHyphens/>
              <w:spacing w:line="216" w:lineRule="auto"/>
              <w:rPr>
                <w:sz w:val="20"/>
                <w:szCs w:val="20"/>
              </w:rPr>
            </w:pPr>
            <w:r w:rsidRPr="00A34F10">
              <w:rPr>
                <w:bCs/>
                <w:sz w:val="20"/>
                <w:szCs w:val="20"/>
              </w:rPr>
              <w:t>EFSA Conclusion 2012</w:t>
            </w:r>
            <w:r w:rsidRPr="00A34F10">
              <w:rPr>
                <w:bCs/>
                <w:sz w:val="20"/>
                <w:szCs w:val="20"/>
              </w:rPr>
              <w:br/>
            </w:r>
            <w:r w:rsidRPr="00A34F10">
              <w:rPr>
                <w:sz w:val="20"/>
                <w:szCs w:val="20"/>
              </w:rPr>
              <w:t>2007/1035784</w:t>
            </w:r>
          </w:p>
        </w:tc>
      </w:tr>
      <w:tr w:rsidR="00DC5685" w:rsidRPr="00A34F10" w14:paraId="7E0E485F" w14:textId="77777777" w:rsidTr="000470C3">
        <w:trPr>
          <w:trHeight w:val="20"/>
        </w:trPr>
        <w:tc>
          <w:tcPr>
            <w:tcW w:w="1169" w:type="pct"/>
            <w:tcBorders>
              <w:top w:val="single" w:sz="4" w:space="0" w:color="auto"/>
              <w:bottom w:val="single" w:sz="4" w:space="0" w:color="auto"/>
            </w:tcBorders>
            <w:shd w:val="clear" w:color="auto" w:fill="auto"/>
            <w:vAlign w:val="center"/>
          </w:tcPr>
          <w:p w14:paraId="41197B4D" w14:textId="77777777" w:rsidR="00DC5685" w:rsidRPr="00A34F10" w:rsidRDefault="00DC5685" w:rsidP="00DC5685">
            <w:pPr>
              <w:suppressAutoHyphens/>
              <w:spacing w:line="216" w:lineRule="auto"/>
              <w:rPr>
                <w:bCs/>
                <w:i/>
                <w:iCs/>
                <w:sz w:val="20"/>
                <w:szCs w:val="20"/>
              </w:rPr>
            </w:pPr>
            <w:r w:rsidRPr="00A34F10">
              <w:rPr>
                <w:bCs/>
                <w:i/>
                <w:sz w:val="20"/>
              </w:rPr>
              <w:t>Pseudokirchneriella subcapitata</w:t>
            </w:r>
          </w:p>
        </w:tc>
        <w:tc>
          <w:tcPr>
            <w:tcW w:w="964" w:type="pct"/>
            <w:tcBorders>
              <w:top w:val="single" w:sz="4" w:space="0" w:color="auto"/>
              <w:bottom w:val="single" w:sz="4" w:space="0" w:color="auto"/>
            </w:tcBorders>
            <w:shd w:val="clear" w:color="auto" w:fill="auto"/>
            <w:vAlign w:val="center"/>
          </w:tcPr>
          <w:p w14:paraId="099C1091" w14:textId="77777777" w:rsidR="00DC5685" w:rsidRPr="00A34F10" w:rsidRDefault="00DC5685" w:rsidP="00DC5685">
            <w:pPr>
              <w:suppressAutoHyphens/>
              <w:spacing w:line="216" w:lineRule="auto"/>
              <w:rPr>
                <w:bCs/>
                <w:sz w:val="20"/>
                <w:szCs w:val="20"/>
              </w:rPr>
            </w:pPr>
            <w:r w:rsidRPr="00A34F10">
              <w:rPr>
                <w:bCs/>
                <w:sz w:val="20"/>
                <w:szCs w:val="20"/>
              </w:rPr>
              <w:t>Metabolite: M650F04</w:t>
            </w:r>
          </w:p>
        </w:tc>
        <w:tc>
          <w:tcPr>
            <w:tcW w:w="500" w:type="pct"/>
            <w:tcBorders>
              <w:top w:val="single" w:sz="4" w:space="0" w:color="auto"/>
              <w:bottom w:val="single" w:sz="4" w:space="0" w:color="auto"/>
            </w:tcBorders>
            <w:shd w:val="clear" w:color="auto" w:fill="auto"/>
            <w:vAlign w:val="center"/>
          </w:tcPr>
          <w:p w14:paraId="43344B1D" w14:textId="77777777" w:rsidR="00DC5685" w:rsidRPr="00A34F10" w:rsidRDefault="00DC5685" w:rsidP="00DC5685">
            <w:pPr>
              <w:suppressAutoHyphens/>
              <w:spacing w:line="216" w:lineRule="auto"/>
              <w:rPr>
                <w:sz w:val="20"/>
                <w:szCs w:val="20"/>
              </w:rPr>
            </w:pPr>
            <w:r w:rsidRPr="00A34F10">
              <w:rPr>
                <w:sz w:val="20"/>
                <w:szCs w:val="20"/>
              </w:rPr>
              <w:t>72 h, s</w:t>
            </w:r>
          </w:p>
        </w:tc>
        <w:tc>
          <w:tcPr>
            <w:tcW w:w="1263" w:type="pct"/>
            <w:tcBorders>
              <w:top w:val="single" w:sz="4" w:space="0" w:color="auto"/>
              <w:bottom w:val="single" w:sz="4" w:space="0" w:color="auto"/>
            </w:tcBorders>
            <w:shd w:val="clear" w:color="auto" w:fill="auto"/>
            <w:vAlign w:val="center"/>
          </w:tcPr>
          <w:p w14:paraId="48327977"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E</w:t>
            </w:r>
            <w:r w:rsidRPr="00A34F10">
              <w:rPr>
                <w:b/>
                <w:sz w:val="20"/>
                <w:szCs w:val="20"/>
                <w:vertAlign w:val="subscript"/>
              </w:rPr>
              <w:t>r</w:t>
            </w:r>
            <w:r w:rsidRPr="00A34F10">
              <w:rPr>
                <w:b/>
                <w:sz w:val="20"/>
                <w:szCs w:val="20"/>
              </w:rPr>
              <w:t>C</w:t>
            </w:r>
            <w:r w:rsidRPr="00A34F10">
              <w:rPr>
                <w:b/>
                <w:sz w:val="20"/>
                <w:szCs w:val="20"/>
                <w:vertAlign w:val="subscript"/>
              </w:rPr>
              <w:t>50</w:t>
            </w:r>
            <w:r w:rsidRPr="00A34F10">
              <w:rPr>
                <w:b/>
                <w:sz w:val="20"/>
                <w:szCs w:val="20"/>
              </w:rPr>
              <w:t>/E</w:t>
            </w:r>
            <w:r w:rsidRPr="00A34F10">
              <w:rPr>
                <w:b/>
                <w:sz w:val="20"/>
                <w:szCs w:val="20"/>
                <w:vertAlign w:val="subscript"/>
              </w:rPr>
              <w:t>y</w:t>
            </w:r>
            <w:r w:rsidRPr="00A34F10">
              <w:rPr>
                <w:b/>
                <w:sz w:val="20"/>
                <w:szCs w:val="20"/>
              </w:rPr>
              <w:t>C</w:t>
            </w:r>
            <w:r w:rsidRPr="00A34F10">
              <w:rPr>
                <w:b/>
                <w:sz w:val="20"/>
                <w:szCs w:val="20"/>
                <w:vertAlign w:val="subscript"/>
              </w:rPr>
              <w:t>50</w:t>
            </w:r>
            <w:r w:rsidRPr="00A34F10">
              <w:rPr>
                <w:b/>
                <w:sz w:val="20"/>
                <w:szCs w:val="20"/>
              </w:rPr>
              <w:t xml:space="preserve"> &gt; 100 mg a.s./L</w:t>
            </w:r>
          </w:p>
          <w:p w14:paraId="536AB394" w14:textId="77777777" w:rsidR="00DC5685" w:rsidRPr="00A34F10" w:rsidRDefault="00DC5685" w:rsidP="00DC5685">
            <w:pPr>
              <w:suppressAutoHyphens/>
              <w:spacing w:line="216" w:lineRule="auto"/>
              <w:jc w:val="center"/>
              <w:rPr>
                <w:sz w:val="20"/>
                <w:szCs w:val="20"/>
              </w:rPr>
            </w:pPr>
            <w:r w:rsidRPr="00A34F10">
              <w:rPr>
                <w:bCs/>
                <w:sz w:val="20"/>
                <w:szCs w:val="20"/>
              </w:rPr>
              <w:t>nominal</w:t>
            </w:r>
          </w:p>
        </w:tc>
        <w:tc>
          <w:tcPr>
            <w:tcW w:w="1104" w:type="pct"/>
            <w:tcBorders>
              <w:top w:val="single" w:sz="4" w:space="0" w:color="auto"/>
              <w:bottom w:val="single" w:sz="4" w:space="0" w:color="auto"/>
            </w:tcBorders>
            <w:shd w:val="clear" w:color="auto" w:fill="auto"/>
            <w:vAlign w:val="center"/>
          </w:tcPr>
          <w:p w14:paraId="3F781D71" w14:textId="77777777" w:rsidR="00DC5685" w:rsidRPr="00A34F10" w:rsidRDefault="00DC5685" w:rsidP="00DC5685">
            <w:pPr>
              <w:suppressAutoHyphens/>
              <w:spacing w:line="216" w:lineRule="auto"/>
              <w:rPr>
                <w:bCs/>
                <w:sz w:val="20"/>
                <w:szCs w:val="20"/>
              </w:rPr>
            </w:pPr>
            <w:r w:rsidRPr="00A34F10">
              <w:rPr>
                <w:bCs/>
                <w:sz w:val="20"/>
                <w:szCs w:val="20"/>
              </w:rPr>
              <w:t>EFSA Conclusion 2012</w:t>
            </w:r>
            <w:r w:rsidRPr="00A34F10">
              <w:rPr>
                <w:bCs/>
                <w:sz w:val="20"/>
                <w:szCs w:val="20"/>
              </w:rPr>
              <w:br/>
            </w:r>
            <w:r w:rsidRPr="00A34F10">
              <w:rPr>
                <w:sz w:val="20"/>
                <w:szCs w:val="20"/>
              </w:rPr>
              <w:t>2007/1035787</w:t>
            </w:r>
          </w:p>
        </w:tc>
      </w:tr>
    </w:tbl>
    <w:p w14:paraId="04FB59EE" w14:textId="39957A83" w:rsidR="00E23E00" w:rsidRPr="00A34F10" w:rsidRDefault="00DC5685" w:rsidP="00DC5685">
      <w:pPr>
        <w:widowControl w:val="0"/>
        <w:tabs>
          <w:tab w:val="left" w:pos="0"/>
        </w:tabs>
        <w:suppressAutoHyphens/>
        <w:ind w:left="284" w:hanging="284"/>
        <w:jc w:val="both"/>
        <w:rPr>
          <w:sz w:val="18"/>
          <w:szCs w:val="18"/>
        </w:rPr>
      </w:pPr>
      <w:r w:rsidRPr="00A34F10">
        <w:rPr>
          <w:sz w:val="18"/>
          <w:szCs w:val="18"/>
        </w:rPr>
        <w:t>s: static; ss: semi-static; f: flow-through</w:t>
      </w:r>
    </w:p>
    <w:p w14:paraId="172D229C" w14:textId="77777777" w:rsidR="00DC5685" w:rsidRPr="00A34F10" w:rsidRDefault="00E23E00" w:rsidP="00DC5685">
      <w:pPr>
        <w:widowControl w:val="0"/>
        <w:tabs>
          <w:tab w:val="left" w:pos="0"/>
        </w:tabs>
        <w:suppressAutoHyphens/>
        <w:ind w:left="284" w:hanging="284"/>
        <w:jc w:val="both"/>
        <w:rPr>
          <w:sz w:val="18"/>
          <w:szCs w:val="18"/>
        </w:rPr>
      </w:pPr>
      <w:r w:rsidRPr="00A34F10">
        <w:rPr>
          <w:sz w:val="18"/>
          <w:szCs w:val="18"/>
        </w:rPr>
        <w:br w:type="page"/>
      </w:r>
    </w:p>
    <w:p w14:paraId="39B5A4DA" w14:textId="77777777" w:rsidR="00DC5685" w:rsidRPr="00A34F10" w:rsidRDefault="00DC5685" w:rsidP="00DC5685">
      <w:pPr>
        <w:widowControl w:val="0"/>
        <w:suppressAutoHyphens/>
        <w:ind w:left="284" w:hanging="284"/>
        <w:jc w:val="both"/>
        <w:rPr>
          <w:rFonts w:eastAsiaTheme="minorHAnsi"/>
          <w:sz w:val="18"/>
          <w:szCs w:val="18"/>
        </w:rPr>
      </w:pPr>
      <w:r w:rsidRPr="00A34F10">
        <w:rPr>
          <w:rFonts w:eastAsiaTheme="minorHAnsi"/>
          <w:b/>
          <w:bCs/>
          <w:sz w:val="18"/>
          <w:szCs w:val="18"/>
        </w:rPr>
        <w:lastRenderedPageBreak/>
        <w:t>Bold</w:t>
      </w:r>
      <w:r w:rsidRPr="00A34F10">
        <w:rPr>
          <w:rFonts w:eastAsiaTheme="minorHAnsi"/>
          <w:sz w:val="18"/>
          <w:szCs w:val="18"/>
        </w:rPr>
        <w:t xml:space="preserve"> figures: Endpoint used in aquatic risk assessment.</w:t>
      </w:r>
    </w:p>
    <w:p w14:paraId="08820B2D" w14:textId="77777777" w:rsidR="00DC5685" w:rsidRPr="00A34F10" w:rsidRDefault="00DC5685" w:rsidP="00DC5685">
      <w:pPr>
        <w:suppressAutoHyphens/>
        <w:ind w:left="284" w:hanging="284"/>
        <w:jc w:val="both"/>
        <w:rPr>
          <w:sz w:val="18"/>
        </w:rPr>
      </w:pPr>
      <w:r w:rsidRPr="00A34F10">
        <w:rPr>
          <w:sz w:val="18"/>
        </w:rPr>
        <w:t>*</w:t>
      </w:r>
      <w:r w:rsidRPr="00A34F10">
        <w:rPr>
          <w:sz w:val="18"/>
        </w:rPr>
        <w:tab/>
        <w:t xml:space="preserve">Study was conducted with the solo-formulation BAS 650 00 F; the endpoints obtained for the solo-formulation BAS 650 00 F have been converted to active substance ametoctradin (considering the analysed contents of the a.s., (i.e. 192 g a.s./L for the fish, </w:t>
      </w:r>
      <w:r w:rsidRPr="00A34F10">
        <w:rPr>
          <w:i/>
          <w:sz w:val="18"/>
        </w:rPr>
        <w:t>Daphnia</w:t>
      </w:r>
      <w:r w:rsidRPr="00A34F10">
        <w:rPr>
          <w:sz w:val="18"/>
        </w:rPr>
        <w:t xml:space="preserve"> and alga study; 204.4 g a.s./L for the </w:t>
      </w:r>
      <w:r w:rsidRPr="00A34F10">
        <w:rPr>
          <w:i/>
          <w:sz w:val="18"/>
        </w:rPr>
        <w:t xml:space="preserve">Chironomus </w:t>
      </w:r>
      <w:r w:rsidRPr="00A34F10">
        <w:rPr>
          <w:sz w:val="18"/>
        </w:rPr>
        <w:t>study) and the formulation density of 1.041 g/cm</w:t>
      </w:r>
      <w:r w:rsidRPr="00A34F10">
        <w:rPr>
          <w:sz w:val="18"/>
          <w:vertAlign w:val="superscript"/>
        </w:rPr>
        <w:t>3</w:t>
      </w:r>
      <w:r w:rsidRPr="00A34F10">
        <w:rPr>
          <w:sz w:val="18"/>
        </w:rPr>
        <w:t xml:space="preserve">) and are used in the following risk assessment of the a.s.; for details please refer to the updated </w:t>
      </w:r>
      <w:r w:rsidRPr="00A34F10">
        <w:rPr>
          <w:sz w:val="18"/>
          <w:szCs w:val="20"/>
        </w:rPr>
        <w:t>DAR of ametoctradin (Vol. 3, Annex B.9, December 2010</w:t>
      </w:r>
      <w:r w:rsidRPr="00A34F10">
        <w:rPr>
          <w:sz w:val="18"/>
        </w:rPr>
        <w:t>).</w:t>
      </w:r>
    </w:p>
    <w:p w14:paraId="7FF377DD" w14:textId="165B5B47" w:rsidR="00DC5685" w:rsidRPr="00A34F10" w:rsidRDefault="00DC5685" w:rsidP="00DC5685">
      <w:pPr>
        <w:suppressAutoHyphens/>
        <w:ind w:left="284" w:hanging="284"/>
        <w:jc w:val="both"/>
        <w:rPr>
          <w:sz w:val="18"/>
        </w:rPr>
      </w:pPr>
    </w:p>
    <w:p w14:paraId="49C95EC7" w14:textId="77777777" w:rsidR="00B543BC" w:rsidRPr="00A34F10" w:rsidRDefault="00B543BC" w:rsidP="00DC5685">
      <w:pPr>
        <w:suppressAutoHyphens/>
        <w:ind w:left="284" w:hanging="284"/>
        <w:jc w:val="both"/>
        <w:rPr>
          <w:sz w:val="18"/>
        </w:rPr>
      </w:pPr>
    </w:p>
    <w:p w14:paraId="3A4A542B" w14:textId="249729EE" w:rsidR="00DC5685" w:rsidRPr="00A34F10" w:rsidRDefault="00DC5685" w:rsidP="00DC5685">
      <w:pPr>
        <w:keepNext/>
        <w:keepLines/>
        <w:widowControl w:val="0"/>
        <w:tabs>
          <w:tab w:val="left" w:pos="1985"/>
        </w:tabs>
        <w:suppressAutoHyphens/>
        <w:spacing w:before="200" w:after="120"/>
        <w:ind w:left="1985" w:hanging="1985"/>
        <w:jc w:val="both"/>
        <w:rPr>
          <w:b/>
          <w:bCs/>
        </w:rPr>
      </w:pPr>
      <w:r w:rsidRPr="00A34F10">
        <w:rPr>
          <w:b/>
          <w:bCs/>
        </w:rPr>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9.5</w:t>
      </w:r>
      <w:r w:rsidRPr="00A34F10">
        <w:rPr>
          <w:b/>
          <w:bCs/>
          <w:noProof/>
        </w:rPr>
        <w:fldChar w:fldCharType="end"/>
      </w:r>
      <w:r w:rsidRPr="00A34F10">
        <w:rPr>
          <w:b/>
          <w:bCs/>
        </w:rPr>
        <w:noBreakHyphen/>
        <w:t>2:</w:t>
      </w:r>
      <w:r w:rsidRPr="00A34F10">
        <w:rPr>
          <w:b/>
          <w:bCs/>
        </w:rPr>
        <w:tab/>
        <w:t>Endpoints and effect values relevant for the risk assessment for aquatic organisms – Propamocarb-HCl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84"/>
        <w:gridCol w:w="1802"/>
        <w:gridCol w:w="935"/>
        <w:gridCol w:w="2361"/>
        <w:gridCol w:w="2063"/>
      </w:tblGrid>
      <w:tr w:rsidR="00DC5685" w:rsidRPr="00A34F10" w14:paraId="05D101FE" w14:textId="77777777" w:rsidTr="000470C3">
        <w:trPr>
          <w:trHeight w:val="490"/>
          <w:tblHeader/>
        </w:trPr>
        <w:tc>
          <w:tcPr>
            <w:tcW w:w="1169" w:type="pct"/>
            <w:shd w:val="clear" w:color="auto" w:fill="auto"/>
            <w:vAlign w:val="center"/>
          </w:tcPr>
          <w:p w14:paraId="508BCB43" w14:textId="77777777" w:rsidR="00DC5685" w:rsidRPr="00A34F10" w:rsidRDefault="00DC5685" w:rsidP="00DC5685">
            <w:pPr>
              <w:keepNext/>
              <w:keepLines/>
              <w:widowControl w:val="0"/>
              <w:suppressAutoHyphens/>
              <w:jc w:val="center"/>
              <w:rPr>
                <w:b/>
                <w:sz w:val="20"/>
                <w:szCs w:val="20"/>
              </w:rPr>
            </w:pPr>
            <w:r w:rsidRPr="00A34F10">
              <w:rPr>
                <w:b/>
                <w:sz w:val="20"/>
                <w:szCs w:val="20"/>
              </w:rPr>
              <w:t>Species</w:t>
            </w:r>
          </w:p>
        </w:tc>
        <w:tc>
          <w:tcPr>
            <w:tcW w:w="964" w:type="pct"/>
            <w:shd w:val="clear" w:color="auto" w:fill="auto"/>
            <w:vAlign w:val="center"/>
          </w:tcPr>
          <w:p w14:paraId="1E01BAC9" w14:textId="77777777" w:rsidR="00DC5685" w:rsidRPr="00A34F10" w:rsidRDefault="00DC5685" w:rsidP="00DC5685">
            <w:pPr>
              <w:keepNext/>
              <w:keepLines/>
              <w:widowControl w:val="0"/>
              <w:suppressAutoHyphens/>
              <w:jc w:val="center"/>
              <w:rPr>
                <w:b/>
                <w:sz w:val="20"/>
                <w:szCs w:val="20"/>
              </w:rPr>
            </w:pPr>
            <w:r w:rsidRPr="00A34F10">
              <w:rPr>
                <w:b/>
                <w:sz w:val="20"/>
                <w:szCs w:val="20"/>
              </w:rPr>
              <w:t>Substance</w:t>
            </w:r>
          </w:p>
        </w:tc>
        <w:tc>
          <w:tcPr>
            <w:tcW w:w="500" w:type="pct"/>
            <w:shd w:val="clear" w:color="auto" w:fill="auto"/>
            <w:vAlign w:val="center"/>
          </w:tcPr>
          <w:p w14:paraId="436764A5" w14:textId="77777777" w:rsidR="00DC5685" w:rsidRPr="00A34F10" w:rsidRDefault="00DC5685" w:rsidP="00DC5685">
            <w:pPr>
              <w:keepNext/>
              <w:keepLines/>
              <w:widowControl w:val="0"/>
              <w:suppressAutoHyphens/>
              <w:jc w:val="center"/>
              <w:rPr>
                <w:b/>
                <w:sz w:val="20"/>
                <w:szCs w:val="20"/>
              </w:rPr>
            </w:pPr>
            <w:r w:rsidRPr="00A34F10">
              <w:rPr>
                <w:b/>
                <w:sz w:val="20"/>
                <w:szCs w:val="20"/>
              </w:rPr>
              <w:t>Exposure</w:t>
            </w:r>
          </w:p>
          <w:p w14:paraId="708CED8C" w14:textId="77777777" w:rsidR="00DC5685" w:rsidRPr="00A34F10" w:rsidRDefault="00DC5685" w:rsidP="00DC5685">
            <w:pPr>
              <w:keepNext/>
              <w:keepLines/>
              <w:widowControl w:val="0"/>
              <w:suppressAutoHyphens/>
              <w:jc w:val="center"/>
              <w:rPr>
                <w:b/>
                <w:sz w:val="20"/>
                <w:szCs w:val="20"/>
              </w:rPr>
            </w:pPr>
            <w:r w:rsidRPr="00A34F10">
              <w:rPr>
                <w:b/>
                <w:sz w:val="20"/>
                <w:szCs w:val="20"/>
              </w:rPr>
              <w:t>System</w:t>
            </w:r>
          </w:p>
        </w:tc>
        <w:tc>
          <w:tcPr>
            <w:tcW w:w="1263" w:type="pct"/>
            <w:shd w:val="clear" w:color="auto" w:fill="auto"/>
            <w:vAlign w:val="center"/>
          </w:tcPr>
          <w:p w14:paraId="69820B5E" w14:textId="77777777" w:rsidR="00DC5685" w:rsidRPr="00A34F10" w:rsidRDefault="00DC5685" w:rsidP="00DC5685">
            <w:pPr>
              <w:keepNext/>
              <w:keepLines/>
              <w:widowControl w:val="0"/>
              <w:suppressAutoHyphens/>
              <w:jc w:val="center"/>
              <w:rPr>
                <w:b/>
                <w:sz w:val="20"/>
                <w:szCs w:val="20"/>
              </w:rPr>
            </w:pPr>
            <w:r w:rsidRPr="00A34F10">
              <w:rPr>
                <w:b/>
                <w:sz w:val="20"/>
                <w:szCs w:val="20"/>
              </w:rPr>
              <w:t>Results</w:t>
            </w:r>
          </w:p>
        </w:tc>
        <w:tc>
          <w:tcPr>
            <w:tcW w:w="1104" w:type="pct"/>
            <w:shd w:val="clear" w:color="auto" w:fill="auto"/>
            <w:vAlign w:val="center"/>
          </w:tcPr>
          <w:p w14:paraId="3CFB0A90" w14:textId="557F4FA1" w:rsidR="00DC5685" w:rsidRPr="00A34F10" w:rsidRDefault="00DC5685" w:rsidP="00DC5685">
            <w:pPr>
              <w:keepNext/>
              <w:keepLines/>
              <w:widowControl w:val="0"/>
              <w:suppressAutoHyphens/>
              <w:jc w:val="center"/>
              <w:rPr>
                <w:b/>
                <w:sz w:val="20"/>
                <w:szCs w:val="20"/>
              </w:rPr>
            </w:pPr>
            <w:r w:rsidRPr="00A34F10">
              <w:rPr>
                <w:b/>
                <w:sz w:val="20"/>
                <w:szCs w:val="20"/>
              </w:rPr>
              <w:t xml:space="preserve">Reference / </w:t>
            </w:r>
            <w:r w:rsidR="00482794">
              <w:rPr>
                <w:b/>
                <w:sz w:val="20"/>
                <w:szCs w:val="20"/>
              </w:rPr>
              <w:t>XXXX</w:t>
            </w:r>
            <w:r w:rsidRPr="00A34F10">
              <w:rPr>
                <w:b/>
                <w:sz w:val="20"/>
                <w:szCs w:val="20"/>
              </w:rPr>
              <w:t xml:space="preserve"> DocID</w:t>
            </w:r>
          </w:p>
        </w:tc>
      </w:tr>
      <w:tr w:rsidR="00DC5685" w:rsidRPr="00A34F10" w14:paraId="1C8CB2EC" w14:textId="77777777" w:rsidTr="000470C3">
        <w:trPr>
          <w:trHeight w:val="20"/>
        </w:trPr>
        <w:tc>
          <w:tcPr>
            <w:tcW w:w="1169" w:type="pct"/>
            <w:shd w:val="clear" w:color="auto" w:fill="auto"/>
            <w:vAlign w:val="center"/>
          </w:tcPr>
          <w:p w14:paraId="3E463248"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Oncorhynchus mykiss</w:t>
            </w:r>
          </w:p>
        </w:tc>
        <w:tc>
          <w:tcPr>
            <w:tcW w:w="964" w:type="pct"/>
            <w:shd w:val="clear" w:color="auto" w:fill="auto"/>
            <w:vAlign w:val="center"/>
          </w:tcPr>
          <w:p w14:paraId="2603D929" w14:textId="77777777" w:rsidR="00DC5685" w:rsidRPr="00A34F10" w:rsidRDefault="00DC5685" w:rsidP="00DC5685">
            <w:pPr>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7CAECE09" w14:textId="77777777" w:rsidR="00DC5685" w:rsidRPr="00A34F10" w:rsidRDefault="00DC5685" w:rsidP="00DC5685">
            <w:pPr>
              <w:widowControl w:val="0"/>
              <w:suppressAutoHyphens/>
              <w:spacing w:line="216" w:lineRule="auto"/>
              <w:rPr>
                <w:sz w:val="20"/>
                <w:szCs w:val="20"/>
              </w:rPr>
            </w:pPr>
            <w:r w:rsidRPr="00A34F10">
              <w:rPr>
                <w:sz w:val="20"/>
                <w:szCs w:val="20"/>
              </w:rPr>
              <w:t>96 h, f</w:t>
            </w:r>
          </w:p>
        </w:tc>
        <w:tc>
          <w:tcPr>
            <w:tcW w:w="1263" w:type="pct"/>
            <w:shd w:val="clear" w:color="auto" w:fill="auto"/>
            <w:vAlign w:val="center"/>
          </w:tcPr>
          <w:p w14:paraId="59232ECC" w14:textId="77777777" w:rsidR="00DC5685" w:rsidRPr="00A34F10" w:rsidRDefault="00DC5685" w:rsidP="00DC5685">
            <w:pPr>
              <w:widowControl w:val="0"/>
              <w:suppressAutoHyphens/>
              <w:spacing w:line="216" w:lineRule="auto"/>
              <w:jc w:val="center"/>
              <w:rPr>
                <w:sz w:val="20"/>
                <w:szCs w:val="20"/>
              </w:rPr>
            </w:pPr>
            <w:r w:rsidRPr="00A34F10">
              <w:rPr>
                <w:sz w:val="20"/>
                <w:szCs w:val="20"/>
              </w:rPr>
              <w:t>LC</w:t>
            </w:r>
            <w:r w:rsidRPr="00A34F10">
              <w:rPr>
                <w:sz w:val="20"/>
                <w:szCs w:val="20"/>
                <w:vertAlign w:val="subscript"/>
              </w:rPr>
              <w:t>50</w:t>
            </w:r>
            <w:r w:rsidRPr="00A34F10">
              <w:rPr>
                <w:sz w:val="20"/>
                <w:szCs w:val="20"/>
              </w:rPr>
              <w:t xml:space="preserve"> </w:t>
            </w:r>
            <w:r w:rsidRPr="00A34F10">
              <w:rPr>
                <w:bCs/>
                <w:sz w:val="20"/>
                <w:szCs w:val="20"/>
              </w:rPr>
              <w:t>&gt; 99</w:t>
            </w:r>
            <w:r w:rsidRPr="00A34F10">
              <w:rPr>
                <w:sz w:val="20"/>
                <w:szCs w:val="20"/>
              </w:rPr>
              <w:t xml:space="preserve"> mg a.s./L</w:t>
            </w:r>
          </w:p>
          <w:p w14:paraId="35C727F2" w14:textId="77777777" w:rsidR="00DC5685" w:rsidRPr="00A34F10" w:rsidRDefault="00DC5685" w:rsidP="00DC5685">
            <w:pPr>
              <w:widowControl w:val="0"/>
              <w:suppressAutoHyphens/>
              <w:spacing w:line="216" w:lineRule="auto"/>
              <w:jc w:val="center"/>
              <w:rPr>
                <w:bCs/>
                <w:sz w:val="20"/>
                <w:szCs w:val="20"/>
                <w:vertAlign w:val="subscript"/>
              </w:rPr>
            </w:pPr>
            <w:r w:rsidRPr="00A34F10">
              <w:rPr>
                <w:sz w:val="20"/>
                <w:szCs w:val="20"/>
              </w:rPr>
              <w:t>mean measured</w:t>
            </w:r>
          </w:p>
        </w:tc>
        <w:tc>
          <w:tcPr>
            <w:tcW w:w="1104" w:type="pct"/>
            <w:shd w:val="clear" w:color="auto" w:fill="auto"/>
            <w:vAlign w:val="center"/>
          </w:tcPr>
          <w:p w14:paraId="34542E9B" w14:textId="77777777" w:rsidR="00DC5685" w:rsidRPr="00A34F10" w:rsidRDefault="00DC5685" w:rsidP="00DC5685">
            <w:pPr>
              <w:widowControl w:val="0"/>
              <w:suppressAutoHyphens/>
              <w:spacing w:line="216" w:lineRule="auto"/>
              <w:rPr>
                <w:sz w:val="20"/>
                <w:szCs w:val="20"/>
              </w:rPr>
            </w:pPr>
            <w:r w:rsidRPr="00A34F10">
              <w:rPr>
                <w:bCs/>
                <w:sz w:val="20"/>
                <w:szCs w:val="20"/>
              </w:rPr>
              <w:t>EFSA Scientific Report (2006)</w:t>
            </w:r>
          </w:p>
        </w:tc>
      </w:tr>
      <w:tr w:rsidR="00DC5685" w:rsidRPr="00A34F10" w14:paraId="67E3165C" w14:textId="77777777" w:rsidTr="000470C3">
        <w:trPr>
          <w:trHeight w:val="20"/>
        </w:trPr>
        <w:tc>
          <w:tcPr>
            <w:tcW w:w="1169" w:type="pct"/>
            <w:shd w:val="clear" w:color="auto" w:fill="auto"/>
            <w:vAlign w:val="center"/>
          </w:tcPr>
          <w:p w14:paraId="5CB8CD91" w14:textId="77777777" w:rsidR="00DC5685" w:rsidRPr="00A34F10" w:rsidRDefault="00DC5685" w:rsidP="00DC5685">
            <w:pPr>
              <w:widowControl w:val="0"/>
              <w:suppressAutoHyphens/>
              <w:spacing w:before="40" w:after="40" w:line="216" w:lineRule="auto"/>
              <w:rPr>
                <w:rFonts w:eastAsia="PMingLiU"/>
                <w:i/>
                <w:sz w:val="20"/>
                <w:szCs w:val="20"/>
              </w:rPr>
            </w:pPr>
            <w:bookmarkStart w:id="467" w:name="_Hlk133197204"/>
            <w:r w:rsidRPr="00A34F10">
              <w:rPr>
                <w:rFonts w:eastAsia="PMingLiU"/>
                <w:i/>
                <w:iCs/>
                <w:sz w:val="20"/>
                <w:szCs w:val="20"/>
              </w:rPr>
              <w:t>Lepomis macrochirus</w:t>
            </w:r>
            <w:bookmarkEnd w:id="467"/>
          </w:p>
        </w:tc>
        <w:tc>
          <w:tcPr>
            <w:tcW w:w="964" w:type="pct"/>
            <w:shd w:val="clear" w:color="auto" w:fill="auto"/>
            <w:vAlign w:val="center"/>
          </w:tcPr>
          <w:p w14:paraId="38B3189B" w14:textId="77777777" w:rsidR="00DC5685" w:rsidRPr="00A34F10" w:rsidRDefault="00DC5685" w:rsidP="00DC5685">
            <w:pPr>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49C3BF7C" w14:textId="77777777" w:rsidR="00DC5685" w:rsidRPr="00A34F10" w:rsidRDefault="00DC5685" w:rsidP="00DC5685">
            <w:pPr>
              <w:widowControl w:val="0"/>
              <w:suppressAutoHyphens/>
              <w:spacing w:line="216" w:lineRule="auto"/>
              <w:rPr>
                <w:sz w:val="20"/>
                <w:szCs w:val="20"/>
              </w:rPr>
            </w:pPr>
            <w:r w:rsidRPr="00A34F10">
              <w:rPr>
                <w:sz w:val="20"/>
                <w:szCs w:val="20"/>
              </w:rPr>
              <w:t>96 h, f</w:t>
            </w:r>
          </w:p>
        </w:tc>
        <w:tc>
          <w:tcPr>
            <w:tcW w:w="1263" w:type="pct"/>
            <w:shd w:val="clear" w:color="auto" w:fill="auto"/>
            <w:vAlign w:val="center"/>
          </w:tcPr>
          <w:p w14:paraId="7595D554" w14:textId="77777777" w:rsidR="00DC5685" w:rsidRPr="00A34F10" w:rsidRDefault="00DC5685" w:rsidP="00DC5685">
            <w:pPr>
              <w:widowControl w:val="0"/>
              <w:suppressAutoHyphens/>
              <w:spacing w:line="216" w:lineRule="auto"/>
              <w:jc w:val="center"/>
              <w:rPr>
                <w:b/>
                <w:bCs/>
                <w:sz w:val="20"/>
                <w:szCs w:val="20"/>
              </w:rPr>
            </w:pPr>
            <w:r w:rsidRPr="00A34F10">
              <w:rPr>
                <w:b/>
                <w:bCs/>
                <w:sz w:val="20"/>
                <w:szCs w:val="20"/>
              </w:rPr>
              <w:t>LC</w:t>
            </w:r>
            <w:r w:rsidRPr="00A34F10">
              <w:rPr>
                <w:b/>
                <w:bCs/>
                <w:sz w:val="20"/>
                <w:szCs w:val="20"/>
                <w:vertAlign w:val="subscript"/>
              </w:rPr>
              <w:t>50</w:t>
            </w:r>
            <w:r w:rsidRPr="00A34F10">
              <w:rPr>
                <w:b/>
                <w:bCs/>
                <w:sz w:val="20"/>
                <w:szCs w:val="20"/>
              </w:rPr>
              <w:t xml:space="preserve"> &gt; 92 mg a.s./L</w:t>
            </w:r>
          </w:p>
          <w:p w14:paraId="1025FD31" w14:textId="77777777" w:rsidR="00DC5685" w:rsidRPr="00A34F10" w:rsidRDefault="00DC5685" w:rsidP="00DC5685">
            <w:pPr>
              <w:widowControl w:val="0"/>
              <w:suppressAutoHyphens/>
              <w:spacing w:line="216" w:lineRule="auto"/>
              <w:jc w:val="center"/>
              <w:rPr>
                <w:b/>
                <w:sz w:val="20"/>
                <w:szCs w:val="20"/>
              </w:rPr>
            </w:pPr>
            <w:r w:rsidRPr="00A34F10">
              <w:rPr>
                <w:b/>
                <w:bCs/>
                <w:sz w:val="20"/>
                <w:szCs w:val="20"/>
              </w:rPr>
              <w:t>mean measured</w:t>
            </w:r>
          </w:p>
        </w:tc>
        <w:tc>
          <w:tcPr>
            <w:tcW w:w="1104" w:type="pct"/>
            <w:shd w:val="clear" w:color="auto" w:fill="auto"/>
            <w:vAlign w:val="center"/>
          </w:tcPr>
          <w:p w14:paraId="1C6EF614" w14:textId="77777777" w:rsidR="00DC5685" w:rsidRPr="00A34F10" w:rsidRDefault="00DC5685" w:rsidP="00DC5685">
            <w:pPr>
              <w:widowControl w:val="0"/>
              <w:suppressAutoHyphens/>
              <w:spacing w:line="216" w:lineRule="auto"/>
              <w:rPr>
                <w:bCs/>
                <w:sz w:val="20"/>
                <w:szCs w:val="20"/>
              </w:rPr>
            </w:pPr>
            <w:r w:rsidRPr="00A34F10">
              <w:rPr>
                <w:bCs/>
                <w:sz w:val="20"/>
                <w:szCs w:val="20"/>
              </w:rPr>
              <w:t>EFSA Scientific Report (2006)</w:t>
            </w:r>
          </w:p>
        </w:tc>
      </w:tr>
      <w:tr w:rsidR="00DC5685" w:rsidRPr="00A34F10" w14:paraId="18DFAC02" w14:textId="77777777" w:rsidTr="000470C3">
        <w:trPr>
          <w:trHeight w:val="20"/>
        </w:trPr>
        <w:tc>
          <w:tcPr>
            <w:tcW w:w="1169" w:type="pct"/>
            <w:shd w:val="clear" w:color="auto" w:fill="auto"/>
            <w:vAlign w:val="center"/>
          </w:tcPr>
          <w:p w14:paraId="0DDDB100" w14:textId="77777777" w:rsidR="00DC5685" w:rsidRPr="00A34F10" w:rsidRDefault="00DC5685" w:rsidP="00DC5685">
            <w:pPr>
              <w:keepNext/>
              <w:widowControl w:val="0"/>
              <w:suppressAutoHyphens/>
              <w:spacing w:before="40" w:after="40" w:line="216" w:lineRule="auto"/>
              <w:rPr>
                <w:rFonts w:eastAsia="PMingLiU"/>
                <w:i/>
                <w:sz w:val="20"/>
                <w:szCs w:val="20"/>
              </w:rPr>
            </w:pPr>
            <w:r w:rsidRPr="00A34F10">
              <w:rPr>
                <w:rFonts w:eastAsia="PMingLiU"/>
                <w:i/>
                <w:iCs/>
                <w:sz w:val="20"/>
                <w:szCs w:val="20"/>
              </w:rPr>
              <w:t>Lepomis macrochirus</w:t>
            </w:r>
          </w:p>
        </w:tc>
        <w:tc>
          <w:tcPr>
            <w:tcW w:w="964" w:type="pct"/>
            <w:shd w:val="clear" w:color="auto" w:fill="auto"/>
            <w:vAlign w:val="center"/>
          </w:tcPr>
          <w:p w14:paraId="0CDBFDDB" w14:textId="77777777" w:rsidR="00DC5685" w:rsidRPr="00A34F10" w:rsidRDefault="00DC5685" w:rsidP="00DC5685">
            <w:pPr>
              <w:keepNext/>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6EA67E84" w14:textId="77777777" w:rsidR="00DC5685" w:rsidRPr="00A34F10" w:rsidRDefault="00DC5685" w:rsidP="00DC5685">
            <w:pPr>
              <w:keepNext/>
              <w:widowControl w:val="0"/>
              <w:suppressAutoHyphens/>
              <w:spacing w:line="216" w:lineRule="auto"/>
              <w:rPr>
                <w:sz w:val="20"/>
                <w:szCs w:val="20"/>
              </w:rPr>
            </w:pPr>
            <w:r w:rsidRPr="00A34F10">
              <w:rPr>
                <w:sz w:val="20"/>
                <w:szCs w:val="20"/>
              </w:rPr>
              <w:t>32 d, f</w:t>
            </w:r>
          </w:p>
        </w:tc>
        <w:tc>
          <w:tcPr>
            <w:tcW w:w="1263" w:type="pct"/>
            <w:shd w:val="clear" w:color="auto" w:fill="auto"/>
            <w:vAlign w:val="center"/>
          </w:tcPr>
          <w:p w14:paraId="0450847E" w14:textId="77777777" w:rsidR="00DC5685" w:rsidRPr="00A34F10" w:rsidRDefault="00DC5685" w:rsidP="00DC5685">
            <w:pPr>
              <w:keepNext/>
              <w:widowControl w:val="0"/>
              <w:suppressAutoHyphens/>
              <w:spacing w:line="216" w:lineRule="auto"/>
              <w:jc w:val="center"/>
              <w:rPr>
                <w:b/>
                <w:sz w:val="20"/>
                <w:szCs w:val="20"/>
                <w:vertAlign w:val="subscript"/>
              </w:rPr>
            </w:pPr>
            <w:r w:rsidRPr="00A34F10">
              <w:rPr>
                <w:b/>
                <w:sz w:val="20"/>
                <w:szCs w:val="20"/>
              </w:rPr>
              <w:t>NOEC &gt;6.3 mg a.s./L</w:t>
            </w:r>
          </w:p>
          <w:p w14:paraId="1FF7970A" w14:textId="77777777" w:rsidR="00DC5685" w:rsidRPr="00A34F10" w:rsidRDefault="00DC5685" w:rsidP="00DC5685">
            <w:pPr>
              <w:keepNext/>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786A161F" w14:textId="77777777" w:rsidR="00DC5685" w:rsidRPr="00A34F10" w:rsidRDefault="00DC5685" w:rsidP="00DC5685">
            <w:pPr>
              <w:keepNext/>
              <w:widowControl w:val="0"/>
              <w:suppressAutoHyphens/>
              <w:spacing w:line="216" w:lineRule="auto"/>
              <w:rPr>
                <w:bCs/>
                <w:sz w:val="20"/>
                <w:szCs w:val="20"/>
              </w:rPr>
            </w:pPr>
            <w:r w:rsidRPr="00A34F10">
              <w:rPr>
                <w:bCs/>
                <w:sz w:val="20"/>
                <w:szCs w:val="20"/>
              </w:rPr>
              <w:t>EFSA Scientific Report (2006)</w:t>
            </w:r>
          </w:p>
        </w:tc>
      </w:tr>
      <w:tr w:rsidR="00DC5685" w:rsidRPr="00A34F10" w14:paraId="1A4A108F" w14:textId="77777777" w:rsidTr="000470C3">
        <w:trPr>
          <w:trHeight w:val="20"/>
        </w:trPr>
        <w:tc>
          <w:tcPr>
            <w:tcW w:w="1169" w:type="pct"/>
            <w:shd w:val="clear" w:color="auto" w:fill="auto"/>
            <w:vAlign w:val="center"/>
          </w:tcPr>
          <w:p w14:paraId="57D68F3C"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Daphnia magna</w:t>
            </w:r>
          </w:p>
        </w:tc>
        <w:tc>
          <w:tcPr>
            <w:tcW w:w="964" w:type="pct"/>
            <w:shd w:val="clear" w:color="auto" w:fill="auto"/>
            <w:vAlign w:val="center"/>
          </w:tcPr>
          <w:p w14:paraId="5D41C7B6" w14:textId="77777777" w:rsidR="00DC5685" w:rsidRPr="00A34F10" w:rsidRDefault="00DC5685" w:rsidP="00DC5685">
            <w:pPr>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3F9785EE" w14:textId="77777777" w:rsidR="00DC5685" w:rsidRPr="00A34F10" w:rsidRDefault="00DC5685" w:rsidP="00DC5685">
            <w:pPr>
              <w:widowControl w:val="0"/>
              <w:suppressAutoHyphens/>
              <w:spacing w:line="216" w:lineRule="auto"/>
              <w:rPr>
                <w:sz w:val="20"/>
                <w:szCs w:val="20"/>
              </w:rPr>
            </w:pPr>
            <w:r w:rsidRPr="00A34F10">
              <w:rPr>
                <w:sz w:val="20"/>
                <w:szCs w:val="20"/>
              </w:rPr>
              <w:t>48 h, s</w:t>
            </w:r>
          </w:p>
        </w:tc>
        <w:tc>
          <w:tcPr>
            <w:tcW w:w="1263" w:type="pct"/>
            <w:shd w:val="clear" w:color="auto" w:fill="auto"/>
            <w:vAlign w:val="center"/>
          </w:tcPr>
          <w:p w14:paraId="32F9DC1F" w14:textId="77777777" w:rsidR="00DC5685" w:rsidRPr="00A34F10" w:rsidRDefault="00DC5685" w:rsidP="00DC5685">
            <w:pPr>
              <w:widowControl w:val="0"/>
              <w:suppressAutoHyphens/>
              <w:spacing w:line="216" w:lineRule="auto"/>
              <w:jc w:val="center"/>
              <w:rPr>
                <w:b/>
                <w:bCs/>
                <w:sz w:val="20"/>
                <w:szCs w:val="20"/>
              </w:rPr>
            </w:pPr>
            <w:r w:rsidRPr="00A34F10">
              <w:rPr>
                <w:b/>
                <w:bCs/>
                <w:sz w:val="20"/>
                <w:szCs w:val="20"/>
              </w:rPr>
              <w:t>EC</w:t>
            </w:r>
            <w:r w:rsidRPr="00A34F10">
              <w:rPr>
                <w:b/>
                <w:bCs/>
                <w:sz w:val="20"/>
                <w:szCs w:val="20"/>
                <w:vertAlign w:val="subscript"/>
              </w:rPr>
              <w:t>50</w:t>
            </w:r>
            <w:r w:rsidRPr="00A34F10">
              <w:rPr>
                <w:b/>
                <w:bCs/>
                <w:sz w:val="20"/>
                <w:szCs w:val="20"/>
              </w:rPr>
              <w:t xml:space="preserve"> &gt; 100 mg/L</w:t>
            </w:r>
          </w:p>
          <w:p w14:paraId="367E50E0" w14:textId="77777777" w:rsidR="00DC5685" w:rsidRPr="00A34F10" w:rsidRDefault="00DC5685" w:rsidP="00DC5685">
            <w:pPr>
              <w:widowControl w:val="0"/>
              <w:suppressAutoHyphens/>
              <w:spacing w:line="216" w:lineRule="auto"/>
              <w:jc w:val="center"/>
              <w:rPr>
                <w:sz w:val="20"/>
                <w:szCs w:val="20"/>
              </w:rPr>
            </w:pPr>
            <w:r w:rsidRPr="00A34F10">
              <w:rPr>
                <w:b/>
                <w:bCs/>
                <w:sz w:val="20"/>
                <w:szCs w:val="20"/>
              </w:rPr>
              <w:t>mean measured</w:t>
            </w:r>
          </w:p>
        </w:tc>
        <w:tc>
          <w:tcPr>
            <w:tcW w:w="1104" w:type="pct"/>
            <w:shd w:val="clear" w:color="auto" w:fill="auto"/>
            <w:vAlign w:val="center"/>
          </w:tcPr>
          <w:p w14:paraId="26F18362" w14:textId="77777777" w:rsidR="00DC5685" w:rsidRPr="00A34F10" w:rsidRDefault="00DC5685" w:rsidP="00DC5685">
            <w:pPr>
              <w:widowControl w:val="0"/>
              <w:suppressAutoHyphens/>
              <w:spacing w:line="216" w:lineRule="auto"/>
              <w:rPr>
                <w:bCs/>
                <w:sz w:val="20"/>
                <w:szCs w:val="20"/>
              </w:rPr>
            </w:pPr>
            <w:r w:rsidRPr="00A34F10">
              <w:rPr>
                <w:bCs/>
                <w:sz w:val="20"/>
                <w:szCs w:val="20"/>
              </w:rPr>
              <w:t>EFSA Scientific Report (2006)</w:t>
            </w:r>
          </w:p>
        </w:tc>
      </w:tr>
      <w:tr w:rsidR="00DC5685" w:rsidRPr="00A34F10" w14:paraId="0A8C820E" w14:textId="77777777" w:rsidTr="000470C3">
        <w:trPr>
          <w:trHeight w:val="20"/>
        </w:trPr>
        <w:tc>
          <w:tcPr>
            <w:tcW w:w="1169" w:type="pct"/>
            <w:shd w:val="clear" w:color="auto" w:fill="auto"/>
            <w:vAlign w:val="center"/>
          </w:tcPr>
          <w:p w14:paraId="2669FC24"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Daphnia magna</w:t>
            </w:r>
          </w:p>
        </w:tc>
        <w:tc>
          <w:tcPr>
            <w:tcW w:w="964" w:type="pct"/>
            <w:shd w:val="clear" w:color="auto" w:fill="auto"/>
            <w:vAlign w:val="center"/>
          </w:tcPr>
          <w:p w14:paraId="4AFAC1C7" w14:textId="77777777" w:rsidR="00DC5685" w:rsidRPr="00A34F10" w:rsidRDefault="00DC5685" w:rsidP="00DC5685">
            <w:pPr>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10E8BAD3" w14:textId="77777777" w:rsidR="00DC5685" w:rsidRPr="00A34F10" w:rsidRDefault="00DC5685" w:rsidP="00DC5685">
            <w:pPr>
              <w:widowControl w:val="0"/>
              <w:suppressAutoHyphens/>
              <w:spacing w:line="216" w:lineRule="auto"/>
              <w:rPr>
                <w:sz w:val="20"/>
                <w:szCs w:val="20"/>
              </w:rPr>
            </w:pPr>
            <w:r w:rsidRPr="00A34F10">
              <w:rPr>
                <w:sz w:val="20"/>
                <w:szCs w:val="20"/>
              </w:rPr>
              <w:t>21 d, ss</w:t>
            </w:r>
          </w:p>
        </w:tc>
        <w:tc>
          <w:tcPr>
            <w:tcW w:w="1263" w:type="pct"/>
            <w:shd w:val="clear" w:color="auto" w:fill="auto"/>
            <w:vAlign w:val="center"/>
          </w:tcPr>
          <w:p w14:paraId="4B53E7B9" w14:textId="77777777" w:rsidR="00DC5685" w:rsidRPr="00A34F10" w:rsidRDefault="00DC5685" w:rsidP="00DC5685">
            <w:pPr>
              <w:widowControl w:val="0"/>
              <w:suppressAutoHyphens/>
              <w:spacing w:line="216" w:lineRule="auto"/>
              <w:jc w:val="center"/>
              <w:rPr>
                <w:b/>
                <w:sz w:val="20"/>
                <w:szCs w:val="20"/>
              </w:rPr>
            </w:pPr>
            <w:r w:rsidRPr="00A34F10">
              <w:rPr>
                <w:b/>
                <w:sz w:val="20"/>
                <w:szCs w:val="20"/>
              </w:rPr>
              <w:t>NOEC = 12.3 mg/L</w:t>
            </w:r>
          </w:p>
          <w:p w14:paraId="6CED9173" w14:textId="77777777" w:rsidR="00DC5685" w:rsidRPr="00A34F10" w:rsidRDefault="00DC5685" w:rsidP="00DC5685">
            <w:pPr>
              <w:widowControl w:val="0"/>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70F1E288" w14:textId="77777777" w:rsidR="00DC5685" w:rsidRPr="00A34F10" w:rsidRDefault="00DC5685" w:rsidP="00DC5685">
            <w:pPr>
              <w:widowControl w:val="0"/>
              <w:suppressAutoHyphens/>
              <w:spacing w:line="216" w:lineRule="auto"/>
              <w:rPr>
                <w:bCs/>
                <w:sz w:val="20"/>
                <w:szCs w:val="20"/>
              </w:rPr>
            </w:pPr>
            <w:r w:rsidRPr="00A34F10">
              <w:rPr>
                <w:bCs/>
                <w:sz w:val="20"/>
                <w:szCs w:val="20"/>
              </w:rPr>
              <w:t>EFSA Scientific Report (2006)</w:t>
            </w:r>
          </w:p>
        </w:tc>
      </w:tr>
      <w:tr w:rsidR="00DC5685" w:rsidRPr="00A34F10" w14:paraId="0DF44CBF" w14:textId="77777777" w:rsidTr="000470C3">
        <w:trPr>
          <w:trHeight w:val="20"/>
        </w:trPr>
        <w:tc>
          <w:tcPr>
            <w:tcW w:w="1169" w:type="pct"/>
            <w:shd w:val="clear" w:color="auto" w:fill="auto"/>
            <w:vAlign w:val="center"/>
          </w:tcPr>
          <w:p w14:paraId="4B66164C" w14:textId="77777777" w:rsidR="00DC5685" w:rsidRPr="00A34F10" w:rsidRDefault="00DC5685" w:rsidP="00DC5685">
            <w:pPr>
              <w:widowControl w:val="0"/>
              <w:suppressAutoHyphens/>
              <w:spacing w:before="40" w:after="40" w:line="216" w:lineRule="auto"/>
              <w:rPr>
                <w:rFonts w:eastAsia="PMingLiU"/>
                <w:i/>
                <w:sz w:val="20"/>
                <w:szCs w:val="20"/>
              </w:rPr>
            </w:pPr>
            <w:r w:rsidRPr="00A34F10">
              <w:rPr>
                <w:rFonts w:eastAsia="PMingLiU"/>
                <w:i/>
                <w:sz w:val="20"/>
                <w:szCs w:val="20"/>
              </w:rPr>
              <w:t>Pseudokirchneriella subcapitata</w:t>
            </w:r>
          </w:p>
        </w:tc>
        <w:tc>
          <w:tcPr>
            <w:tcW w:w="964" w:type="pct"/>
            <w:shd w:val="clear" w:color="auto" w:fill="auto"/>
            <w:vAlign w:val="center"/>
          </w:tcPr>
          <w:p w14:paraId="267238D4" w14:textId="77777777" w:rsidR="00DC5685" w:rsidRPr="00A34F10" w:rsidRDefault="00DC5685" w:rsidP="00DC5685">
            <w:pPr>
              <w:widowControl w:val="0"/>
              <w:suppressAutoHyphens/>
              <w:spacing w:line="216" w:lineRule="auto"/>
              <w:rPr>
                <w:sz w:val="20"/>
                <w:szCs w:val="20"/>
              </w:rPr>
            </w:pPr>
            <w:r w:rsidRPr="00A34F10">
              <w:rPr>
                <w:sz w:val="20"/>
                <w:szCs w:val="20"/>
              </w:rPr>
              <w:t>Propamocarb-HCl</w:t>
            </w:r>
          </w:p>
        </w:tc>
        <w:tc>
          <w:tcPr>
            <w:tcW w:w="500" w:type="pct"/>
            <w:shd w:val="clear" w:color="auto" w:fill="auto"/>
            <w:vAlign w:val="center"/>
          </w:tcPr>
          <w:p w14:paraId="06FAE0FB" w14:textId="77777777" w:rsidR="00DC5685" w:rsidRPr="00A34F10" w:rsidRDefault="00DC5685" w:rsidP="00DC5685">
            <w:pPr>
              <w:widowControl w:val="0"/>
              <w:suppressAutoHyphens/>
              <w:spacing w:line="216" w:lineRule="auto"/>
              <w:rPr>
                <w:sz w:val="20"/>
                <w:szCs w:val="20"/>
              </w:rPr>
            </w:pPr>
            <w:r w:rsidRPr="00A34F10">
              <w:rPr>
                <w:sz w:val="20"/>
                <w:szCs w:val="20"/>
              </w:rPr>
              <w:t>72 h, s</w:t>
            </w:r>
          </w:p>
        </w:tc>
        <w:tc>
          <w:tcPr>
            <w:tcW w:w="1263" w:type="pct"/>
            <w:shd w:val="clear" w:color="auto" w:fill="auto"/>
            <w:vAlign w:val="center"/>
          </w:tcPr>
          <w:p w14:paraId="6195A6FE" w14:textId="77777777" w:rsidR="00DC5685" w:rsidRPr="00A34F10" w:rsidRDefault="00DC5685" w:rsidP="00DC5685">
            <w:pPr>
              <w:suppressAutoHyphens/>
              <w:spacing w:line="216" w:lineRule="auto"/>
              <w:jc w:val="center"/>
              <w:rPr>
                <w:b/>
                <w:sz w:val="20"/>
                <w:szCs w:val="20"/>
              </w:rPr>
            </w:pPr>
            <w:r w:rsidRPr="00A34F10">
              <w:rPr>
                <w:b/>
                <w:sz w:val="20"/>
                <w:szCs w:val="20"/>
              </w:rPr>
              <w:t>E</w:t>
            </w:r>
            <w:r w:rsidRPr="00A34F10">
              <w:rPr>
                <w:b/>
                <w:sz w:val="20"/>
                <w:szCs w:val="20"/>
                <w:vertAlign w:val="subscript"/>
              </w:rPr>
              <w:t>r</w:t>
            </w:r>
            <w:r w:rsidRPr="00A34F10">
              <w:rPr>
                <w:b/>
                <w:sz w:val="20"/>
                <w:szCs w:val="20"/>
              </w:rPr>
              <w:t>C</w:t>
            </w:r>
            <w:r w:rsidRPr="00A34F10">
              <w:rPr>
                <w:b/>
                <w:sz w:val="20"/>
                <w:szCs w:val="20"/>
                <w:vertAlign w:val="subscript"/>
              </w:rPr>
              <w:t>50</w:t>
            </w:r>
            <w:r w:rsidRPr="00A34F10">
              <w:rPr>
                <w:b/>
                <w:sz w:val="20"/>
                <w:szCs w:val="20"/>
              </w:rPr>
              <w:t xml:space="preserve"> </w:t>
            </w:r>
            <w:r w:rsidRPr="00A34F10">
              <w:rPr>
                <w:b/>
                <w:bCs/>
                <w:sz w:val="20"/>
                <w:szCs w:val="20"/>
              </w:rPr>
              <w:t>&gt; 85</w:t>
            </w:r>
            <w:r w:rsidRPr="00A34F10">
              <w:rPr>
                <w:b/>
                <w:sz w:val="20"/>
                <w:szCs w:val="20"/>
              </w:rPr>
              <w:t xml:space="preserve"> mg a.s./L</w:t>
            </w:r>
          </w:p>
          <w:p w14:paraId="453445C0" w14:textId="77777777" w:rsidR="00DC5685" w:rsidRPr="00A34F10" w:rsidRDefault="00DC5685" w:rsidP="00DC5685">
            <w:pPr>
              <w:suppressAutoHyphens/>
              <w:spacing w:line="216" w:lineRule="auto"/>
              <w:jc w:val="center"/>
              <w:rPr>
                <w:sz w:val="20"/>
                <w:szCs w:val="20"/>
              </w:rPr>
            </w:pPr>
            <w:r w:rsidRPr="00A34F10">
              <w:rPr>
                <w:sz w:val="20"/>
                <w:szCs w:val="20"/>
              </w:rPr>
              <w:t>mean measured</w:t>
            </w:r>
          </w:p>
        </w:tc>
        <w:tc>
          <w:tcPr>
            <w:tcW w:w="1104" w:type="pct"/>
            <w:shd w:val="clear" w:color="auto" w:fill="auto"/>
            <w:vAlign w:val="center"/>
          </w:tcPr>
          <w:p w14:paraId="0164AAAD" w14:textId="77777777" w:rsidR="00DC5685" w:rsidRPr="00A34F10" w:rsidRDefault="00DC5685" w:rsidP="00DC5685">
            <w:pPr>
              <w:widowControl w:val="0"/>
              <w:suppressAutoHyphens/>
              <w:spacing w:line="216" w:lineRule="auto"/>
              <w:rPr>
                <w:bCs/>
                <w:sz w:val="20"/>
                <w:szCs w:val="20"/>
              </w:rPr>
            </w:pPr>
            <w:r w:rsidRPr="00A34F10">
              <w:rPr>
                <w:bCs/>
                <w:sz w:val="20"/>
                <w:szCs w:val="20"/>
              </w:rPr>
              <w:t>EFSA Scientific Report (2006)</w:t>
            </w:r>
          </w:p>
        </w:tc>
      </w:tr>
      <w:tr w:rsidR="00DC5685" w:rsidRPr="00A34F10" w14:paraId="5F73B28D" w14:textId="77777777" w:rsidTr="000470C3">
        <w:trPr>
          <w:trHeight w:val="20"/>
        </w:trPr>
        <w:tc>
          <w:tcPr>
            <w:tcW w:w="1169" w:type="pct"/>
            <w:tcBorders>
              <w:top w:val="single" w:sz="4" w:space="0" w:color="auto"/>
            </w:tcBorders>
            <w:shd w:val="clear" w:color="auto" w:fill="auto"/>
            <w:vAlign w:val="center"/>
          </w:tcPr>
          <w:p w14:paraId="70310112" w14:textId="77777777" w:rsidR="00DC5685" w:rsidRPr="00A34F10" w:rsidRDefault="00DC5685" w:rsidP="00DC5685">
            <w:pPr>
              <w:suppressAutoHyphens/>
              <w:spacing w:line="216" w:lineRule="auto"/>
              <w:rPr>
                <w:bCs/>
                <w:i/>
                <w:iCs/>
                <w:sz w:val="20"/>
                <w:szCs w:val="20"/>
              </w:rPr>
            </w:pPr>
            <w:r w:rsidRPr="00A34F10">
              <w:rPr>
                <w:bCs/>
                <w:i/>
                <w:sz w:val="20"/>
              </w:rPr>
              <w:t>Lemna gibba</w:t>
            </w:r>
          </w:p>
        </w:tc>
        <w:tc>
          <w:tcPr>
            <w:tcW w:w="964" w:type="pct"/>
            <w:tcBorders>
              <w:top w:val="single" w:sz="4" w:space="0" w:color="auto"/>
            </w:tcBorders>
            <w:shd w:val="clear" w:color="auto" w:fill="auto"/>
            <w:vAlign w:val="center"/>
          </w:tcPr>
          <w:p w14:paraId="2302F209" w14:textId="77777777" w:rsidR="00DC5685" w:rsidRPr="00A34F10" w:rsidRDefault="00DC5685" w:rsidP="00DC5685">
            <w:pPr>
              <w:suppressAutoHyphens/>
              <w:spacing w:line="216" w:lineRule="auto"/>
              <w:rPr>
                <w:bCs/>
                <w:sz w:val="20"/>
                <w:szCs w:val="20"/>
              </w:rPr>
            </w:pPr>
            <w:r w:rsidRPr="00A34F10">
              <w:rPr>
                <w:sz w:val="20"/>
                <w:szCs w:val="20"/>
              </w:rPr>
              <w:t>Propamocarb-HCl</w:t>
            </w:r>
          </w:p>
        </w:tc>
        <w:tc>
          <w:tcPr>
            <w:tcW w:w="500" w:type="pct"/>
            <w:tcBorders>
              <w:top w:val="single" w:sz="4" w:space="0" w:color="auto"/>
            </w:tcBorders>
            <w:shd w:val="clear" w:color="auto" w:fill="auto"/>
            <w:vAlign w:val="center"/>
          </w:tcPr>
          <w:p w14:paraId="430C0116" w14:textId="77777777" w:rsidR="00DC5685" w:rsidRPr="00A34F10" w:rsidRDefault="00DC5685" w:rsidP="00DC5685">
            <w:pPr>
              <w:suppressAutoHyphens/>
              <w:spacing w:line="216" w:lineRule="auto"/>
              <w:rPr>
                <w:sz w:val="20"/>
                <w:szCs w:val="20"/>
              </w:rPr>
            </w:pPr>
            <w:r w:rsidRPr="00A34F10">
              <w:rPr>
                <w:sz w:val="20"/>
                <w:szCs w:val="20"/>
              </w:rPr>
              <w:t>14 d, s</w:t>
            </w:r>
          </w:p>
        </w:tc>
        <w:tc>
          <w:tcPr>
            <w:tcW w:w="1263" w:type="pct"/>
            <w:tcBorders>
              <w:top w:val="single" w:sz="4" w:space="0" w:color="auto"/>
              <w:bottom w:val="single" w:sz="4" w:space="0" w:color="auto"/>
            </w:tcBorders>
            <w:shd w:val="clear" w:color="auto" w:fill="auto"/>
            <w:vAlign w:val="center"/>
          </w:tcPr>
          <w:p w14:paraId="3E927D36" w14:textId="77777777" w:rsidR="00DC5685" w:rsidRPr="00A34F10" w:rsidRDefault="00DC5685" w:rsidP="00DC5685">
            <w:pPr>
              <w:suppressAutoHyphens/>
              <w:spacing w:line="216" w:lineRule="auto"/>
              <w:jc w:val="center"/>
              <w:rPr>
                <w:b/>
                <w:sz w:val="20"/>
                <w:szCs w:val="20"/>
                <w:vertAlign w:val="subscript"/>
              </w:rPr>
            </w:pPr>
            <w:r w:rsidRPr="00A34F10">
              <w:rPr>
                <w:b/>
                <w:sz w:val="20"/>
                <w:szCs w:val="20"/>
              </w:rPr>
              <w:t>EC</w:t>
            </w:r>
            <w:r w:rsidRPr="00A34F10">
              <w:rPr>
                <w:b/>
                <w:sz w:val="20"/>
                <w:szCs w:val="20"/>
                <w:vertAlign w:val="subscript"/>
              </w:rPr>
              <w:t xml:space="preserve">50 </w:t>
            </w:r>
            <w:r w:rsidRPr="00A34F10">
              <w:rPr>
                <w:b/>
                <w:sz w:val="20"/>
                <w:szCs w:val="20"/>
              </w:rPr>
              <w:t>&gt; 18 mg a.s./L</w:t>
            </w:r>
          </w:p>
          <w:p w14:paraId="14DA60C1" w14:textId="77777777" w:rsidR="00DC5685" w:rsidRPr="00A34F10" w:rsidRDefault="00DC5685" w:rsidP="00DC5685">
            <w:pPr>
              <w:suppressAutoHyphens/>
              <w:spacing w:line="216" w:lineRule="auto"/>
              <w:jc w:val="center"/>
              <w:rPr>
                <w:b/>
                <w:sz w:val="20"/>
                <w:szCs w:val="20"/>
              </w:rPr>
            </w:pPr>
            <w:r w:rsidRPr="00A34F10">
              <w:rPr>
                <w:bCs/>
                <w:sz w:val="20"/>
                <w:szCs w:val="20"/>
              </w:rPr>
              <w:t>nominal</w:t>
            </w:r>
          </w:p>
        </w:tc>
        <w:tc>
          <w:tcPr>
            <w:tcW w:w="1104" w:type="pct"/>
            <w:tcBorders>
              <w:top w:val="single" w:sz="4" w:space="0" w:color="auto"/>
            </w:tcBorders>
            <w:shd w:val="clear" w:color="auto" w:fill="auto"/>
            <w:vAlign w:val="center"/>
          </w:tcPr>
          <w:p w14:paraId="18BE8151" w14:textId="77777777" w:rsidR="00DC5685" w:rsidRPr="00A34F10" w:rsidRDefault="00DC5685" w:rsidP="00DC5685">
            <w:pPr>
              <w:suppressAutoHyphens/>
              <w:spacing w:line="216" w:lineRule="auto"/>
              <w:rPr>
                <w:bCs/>
                <w:sz w:val="20"/>
                <w:szCs w:val="20"/>
              </w:rPr>
            </w:pPr>
            <w:r w:rsidRPr="00A34F10">
              <w:rPr>
                <w:bCs/>
                <w:sz w:val="20"/>
                <w:szCs w:val="20"/>
              </w:rPr>
              <w:t>EFSA Scientific Report (2006)</w:t>
            </w:r>
          </w:p>
        </w:tc>
      </w:tr>
    </w:tbl>
    <w:p w14:paraId="7495B8EA" w14:textId="77777777" w:rsidR="00DC5685" w:rsidRPr="00A34F10" w:rsidRDefault="00DC5685" w:rsidP="00DC5685">
      <w:pPr>
        <w:widowControl w:val="0"/>
        <w:tabs>
          <w:tab w:val="left" w:pos="0"/>
        </w:tabs>
        <w:suppressAutoHyphens/>
        <w:ind w:left="284" w:hanging="284"/>
        <w:jc w:val="both"/>
        <w:rPr>
          <w:sz w:val="18"/>
          <w:szCs w:val="18"/>
        </w:rPr>
      </w:pPr>
      <w:r w:rsidRPr="00A34F10">
        <w:rPr>
          <w:sz w:val="18"/>
          <w:szCs w:val="18"/>
        </w:rPr>
        <w:t>s: static; ss: semi-static; f: flow-through</w:t>
      </w:r>
    </w:p>
    <w:p w14:paraId="2EE3E637" w14:textId="77777777" w:rsidR="00DC5685" w:rsidRPr="00A34F10" w:rsidRDefault="00DC5685" w:rsidP="00DC5685">
      <w:pPr>
        <w:widowControl w:val="0"/>
        <w:suppressAutoHyphens/>
        <w:ind w:left="284" w:hanging="284"/>
        <w:jc w:val="both"/>
        <w:rPr>
          <w:rFonts w:eastAsiaTheme="minorHAnsi"/>
          <w:sz w:val="18"/>
          <w:szCs w:val="18"/>
        </w:rPr>
      </w:pPr>
      <w:r w:rsidRPr="00A34F10">
        <w:rPr>
          <w:rFonts w:eastAsiaTheme="minorHAnsi"/>
          <w:b/>
          <w:bCs/>
          <w:sz w:val="18"/>
          <w:szCs w:val="18"/>
        </w:rPr>
        <w:t>Bold</w:t>
      </w:r>
      <w:r w:rsidRPr="00A34F10">
        <w:rPr>
          <w:rFonts w:eastAsiaTheme="minorHAnsi"/>
          <w:sz w:val="18"/>
          <w:szCs w:val="18"/>
        </w:rPr>
        <w:t xml:space="preserve"> figures: Endpoint used in aquatic risk assessment.</w:t>
      </w:r>
    </w:p>
    <w:p w14:paraId="78039389" w14:textId="4D45C3AC" w:rsidR="00DC5685" w:rsidRPr="00A34F10" w:rsidRDefault="00DC5685" w:rsidP="00DC5685">
      <w:pPr>
        <w:suppressAutoHyphens/>
        <w:ind w:left="284" w:hanging="284"/>
      </w:pPr>
    </w:p>
    <w:p w14:paraId="3C3FDA84" w14:textId="19250D94" w:rsidR="00DC5685" w:rsidRPr="00A34F10" w:rsidRDefault="00DC5685" w:rsidP="00DC5685">
      <w:pPr>
        <w:keepNext/>
        <w:keepLines/>
        <w:widowControl w:val="0"/>
        <w:tabs>
          <w:tab w:val="left" w:pos="1985"/>
        </w:tabs>
        <w:suppressAutoHyphens/>
        <w:spacing w:before="200" w:after="120"/>
        <w:ind w:left="1985" w:hanging="1985"/>
        <w:jc w:val="both"/>
        <w:rPr>
          <w:b/>
          <w:bCs/>
        </w:rPr>
      </w:pPr>
      <w:bookmarkStart w:id="468" w:name="_Ref438625156"/>
      <w:r w:rsidRPr="00A34F10">
        <w:rPr>
          <w:b/>
          <w:bCs/>
        </w:rPr>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9.5</w:t>
      </w:r>
      <w:r w:rsidRPr="00A34F10">
        <w:rPr>
          <w:b/>
          <w:bCs/>
          <w:noProof/>
        </w:rPr>
        <w:fldChar w:fldCharType="end"/>
      </w:r>
      <w:r w:rsidRPr="00A34F10">
        <w:rPr>
          <w:b/>
          <w:bCs/>
        </w:rPr>
        <w:noBreakHyphen/>
      </w:r>
      <w:bookmarkEnd w:id="468"/>
      <w:r w:rsidRPr="00A34F10">
        <w:rPr>
          <w:b/>
          <w:bCs/>
        </w:rPr>
        <w:t>3:</w:t>
      </w:r>
      <w:r w:rsidRPr="00A34F10">
        <w:rPr>
          <w:b/>
          <w:bCs/>
        </w:rPr>
        <w:tab/>
        <w:t>Endpoints and effect values relevant for the risk assessment for aquatic organisms –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1"/>
        <w:gridCol w:w="1869"/>
        <w:gridCol w:w="1213"/>
        <w:gridCol w:w="2521"/>
        <w:gridCol w:w="1871"/>
      </w:tblGrid>
      <w:tr w:rsidR="00DC5685" w:rsidRPr="00A34F10" w14:paraId="37AE39CE" w14:textId="77777777" w:rsidTr="000470C3">
        <w:trPr>
          <w:tblHeader/>
        </w:trPr>
        <w:tc>
          <w:tcPr>
            <w:tcW w:w="1001" w:type="pct"/>
            <w:shd w:val="clear" w:color="auto" w:fill="auto"/>
            <w:vAlign w:val="center"/>
          </w:tcPr>
          <w:p w14:paraId="78AEDB95" w14:textId="77777777"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Species</w:t>
            </w:r>
          </w:p>
        </w:tc>
        <w:tc>
          <w:tcPr>
            <w:tcW w:w="1000" w:type="pct"/>
            <w:shd w:val="clear" w:color="auto" w:fill="auto"/>
            <w:vAlign w:val="center"/>
          </w:tcPr>
          <w:p w14:paraId="672AD6F7" w14:textId="77777777"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Substance</w:t>
            </w:r>
          </w:p>
        </w:tc>
        <w:tc>
          <w:tcPr>
            <w:tcW w:w="649" w:type="pct"/>
            <w:shd w:val="clear" w:color="auto" w:fill="auto"/>
            <w:vAlign w:val="center"/>
          </w:tcPr>
          <w:p w14:paraId="7185BB09" w14:textId="77777777"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Exposure</w:t>
            </w:r>
          </w:p>
          <w:p w14:paraId="32654B65" w14:textId="77777777"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System</w:t>
            </w:r>
          </w:p>
        </w:tc>
        <w:tc>
          <w:tcPr>
            <w:tcW w:w="1349" w:type="pct"/>
            <w:shd w:val="clear" w:color="auto" w:fill="auto"/>
            <w:vAlign w:val="center"/>
          </w:tcPr>
          <w:p w14:paraId="730A36BB" w14:textId="77777777"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Results</w:t>
            </w:r>
          </w:p>
        </w:tc>
        <w:tc>
          <w:tcPr>
            <w:tcW w:w="1001" w:type="pct"/>
            <w:shd w:val="clear" w:color="auto" w:fill="auto"/>
            <w:vAlign w:val="center"/>
          </w:tcPr>
          <w:p w14:paraId="69E2AA5A" w14:textId="69324C00" w:rsidR="00DC5685" w:rsidRPr="00A34F10" w:rsidRDefault="00DC5685" w:rsidP="00DC5685">
            <w:pPr>
              <w:keepNext/>
              <w:keepLines/>
              <w:widowControl w:val="0"/>
              <w:suppressAutoHyphens/>
              <w:spacing w:before="60" w:after="60"/>
              <w:jc w:val="center"/>
              <w:rPr>
                <w:b/>
                <w:sz w:val="20"/>
                <w:szCs w:val="20"/>
              </w:rPr>
            </w:pPr>
            <w:r w:rsidRPr="00A34F10">
              <w:rPr>
                <w:b/>
                <w:sz w:val="20"/>
                <w:szCs w:val="20"/>
              </w:rPr>
              <w:t xml:space="preserve">Reference / </w:t>
            </w:r>
            <w:r w:rsidR="00482794">
              <w:rPr>
                <w:b/>
                <w:sz w:val="20"/>
                <w:szCs w:val="20"/>
              </w:rPr>
              <w:t>XXXX</w:t>
            </w:r>
            <w:r w:rsidRPr="00A34F10">
              <w:rPr>
                <w:b/>
                <w:sz w:val="20"/>
                <w:szCs w:val="20"/>
              </w:rPr>
              <w:t xml:space="preserve"> DocID</w:t>
            </w:r>
          </w:p>
        </w:tc>
      </w:tr>
      <w:tr w:rsidR="00DC5685" w:rsidRPr="00A34F10" w14:paraId="71BBC4C1" w14:textId="77777777" w:rsidTr="000470C3">
        <w:tc>
          <w:tcPr>
            <w:tcW w:w="1001" w:type="pct"/>
            <w:shd w:val="clear" w:color="auto" w:fill="auto"/>
            <w:vAlign w:val="center"/>
          </w:tcPr>
          <w:p w14:paraId="31EC5806" w14:textId="77777777" w:rsidR="00DC5685" w:rsidRPr="00A34F10" w:rsidRDefault="00DC5685" w:rsidP="00DC5685">
            <w:pPr>
              <w:widowControl w:val="0"/>
              <w:suppressAutoHyphens/>
              <w:rPr>
                <w:i/>
                <w:sz w:val="20"/>
                <w:szCs w:val="20"/>
              </w:rPr>
            </w:pPr>
            <w:r w:rsidRPr="00A34F10">
              <w:rPr>
                <w:bCs/>
                <w:i/>
                <w:noProof/>
                <w:sz w:val="20"/>
              </w:rPr>
              <w:t>Oncorhynchus mykiss</w:t>
            </w:r>
          </w:p>
        </w:tc>
        <w:tc>
          <w:tcPr>
            <w:tcW w:w="1000" w:type="pct"/>
            <w:shd w:val="clear" w:color="auto" w:fill="auto"/>
            <w:vAlign w:val="center"/>
          </w:tcPr>
          <w:p w14:paraId="52F99CE5" w14:textId="77777777" w:rsidR="00DC5685" w:rsidRPr="00A34F10" w:rsidRDefault="00DC5685" w:rsidP="00DC5685">
            <w:pPr>
              <w:widowControl w:val="0"/>
              <w:suppressAutoHyphens/>
              <w:rPr>
                <w:sz w:val="20"/>
                <w:szCs w:val="20"/>
              </w:rPr>
            </w:pPr>
            <w:r w:rsidRPr="00A34F10">
              <w:rPr>
                <w:sz w:val="20"/>
                <w:szCs w:val="20"/>
              </w:rPr>
              <w:t>BAS 743 02 F*</w:t>
            </w:r>
          </w:p>
        </w:tc>
        <w:tc>
          <w:tcPr>
            <w:tcW w:w="649" w:type="pct"/>
            <w:shd w:val="clear" w:color="auto" w:fill="auto"/>
            <w:vAlign w:val="center"/>
          </w:tcPr>
          <w:p w14:paraId="4D04D84E" w14:textId="77777777" w:rsidR="00DC5685" w:rsidRPr="00A34F10" w:rsidRDefault="00DC5685" w:rsidP="00DC5685">
            <w:pPr>
              <w:widowControl w:val="0"/>
              <w:suppressAutoHyphens/>
              <w:rPr>
                <w:sz w:val="20"/>
                <w:szCs w:val="20"/>
              </w:rPr>
            </w:pPr>
            <w:r w:rsidRPr="00A34F10">
              <w:rPr>
                <w:sz w:val="20"/>
                <w:szCs w:val="20"/>
              </w:rPr>
              <w:t>96 h, s</w:t>
            </w:r>
          </w:p>
        </w:tc>
        <w:tc>
          <w:tcPr>
            <w:tcW w:w="1349" w:type="pct"/>
            <w:shd w:val="clear" w:color="auto" w:fill="auto"/>
            <w:vAlign w:val="center"/>
          </w:tcPr>
          <w:p w14:paraId="4DEAFD61" w14:textId="77777777" w:rsidR="00DC5685" w:rsidRPr="00604E47" w:rsidRDefault="00DC5685" w:rsidP="00DC5685">
            <w:pPr>
              <w:widowControl w:val="0"/>
              <w:suppressAutoHyphens/>
              <w:jc w:val="center"/>
              <w:rPr>
                <w:b/>
                <w:bCs/>
                <w:sz w:val="20"/>
                <w:szCs w:val="20"/>
                <w:lang w:val="fr-FR"/>
              </w:rPr>
            </w:pPr>
            <w:r w:rsidRPr="00604E47">
              <w:rPr>
                <w:b/>
                <w:bCs/>
                <w:sz w:val="20"/>
                <w:szCs w:val="20"/>
                <w:lang w:val="fr-FR"/>
              </w:rPr>
              <w:t>LC</w:t>
            </w:r>
            <w:r w:rsidRPr="00604E47">
              <w:rPr>
                <w:b/>
                <w:bCs/>
                <w:sz w:val="20"/>
                <w:szCs w:val="20"/>
                <w:vertAlign w:val="subscript"/>
                <w:lang w:val="fr-FR"/>
              </w:rPr>
              <w:t>50</w:t>
            </w:r>
            <w:r w:rsidRPr="00604E47">
              <w:rPr>
                <w:b/>
                <w:bCs/>
                <w:sz w:val="20"/>
                <w:szCs w:val="20"/>
                <w:lang w:val="fr-FR"/>
              </w:rPr>
              <w:t> &gt; 100 mg/L</w:t>
            </w:r>
          </w:p>
          <w:p w14:paraId="4B07524C" w14:textId="77777777" w:rsidR="00DC5685" w:rsidRPr="00604E47" w:rsidRDefault="00DC5685" w:rsidP="00DC5685">
            <w:pPr>
              <w:widowControl w:val="0"/>
              <w:suppressAutoHyphens/>
              <w:jc w:val="center"/>
              <w:rPr>
                <w:sz w:val="20"/>
                <w:szCs w:val="20"/>
                <w:lang w:val="fr-FR"/>
              </w:rPr>
            </w:pPr>
            <w:r w:rsidRPr="00604E47">
              <w:rPr>
                <w:b/>
                <w:bCs/>
                <w:sz w:val="20"/>
                <w:szCs w:val="20"/>
                <w:lang w:val="fr-FR"/>
              </w:rPr>
              <w:t>nominal</w:t>
            </w:r>
          </w:p>
          <w:p w14:paraId="72ED0233" w14:textId="77777777" w:rsidR="00DC5685" w:rsidRPr="00604E47" w:rsidRDefault="00DC5685" w:rsidP="00DC5685">
            <w:pPr>
              <w:keepNext/>
              <w:spacing w:before="60" w:after="60"/>
              <w:ind w:left="57" w:right="57"/>
              <w:rPr>
                <w:sz w:val="20"/>
                <w:szCs w:val="20"/>
                <w:lang w:val="fr-FR"/>
              </w:rPr>
            </w:pPr>
            <w:r w:rsidRPr="00604E47">
              <w:rPr>
                <w:sz w:val="20"/>
                <w:szCs w:val="20"/>
                <w:lang w:val="fr-FR"/>
              </w:rPr>
              <w:t xml:space="preserve">&gt; 60.42 mg </w:t>
            </w:r>
            <w:r w:rsidRPr="00A34F10">
              <w:rPr>
                <w:sz w:val="20"/>
                <w:szCs w:val="20"/>
              </w:rPr>
              <w:t>Σ</w:t>
            </w:r>
            <w:r w:rsidRPr="00604E47">
              <w:rPr>
                <w:sz w:val="20"/>
                <w:szCs w:val="20"/>
                <w:lang w:val="fr-FR"/>
              </w:rPr>
              <w:t xml:space="preserve"> a.s./L </w:t>
            </w:r>
            <w:r w:rsidRPr="00604E47">
              <w:rPr>
                <w:sz w:val="20"/>
                <w:szCs w:val="20"/>
                <w:vertAlign w:val="subscript"/>
                <w:lang w:val="fr-FR"/>
              </w:rPr>
              <w:t>nom</w:t>
            </w:r>
            <w:r w:rsidRPr="00604E47">
              <w:rPr>
                <w:sz w:val="20"/>
                <w:szCs w:val="20"/>
                <w:lang w:val="fr-FR"/>
              </w:rPr>
              <w:t xml:space="preserve"> </w:t>
            </w:r>
            <w:r w:rsidRPr="00604E47">
              <w:rPr>
                <w:sz w:val="20"/>
                <w:szCs w:val="20"/>
                <w:vertAlign w:val="superscript"/>
                <w:lang w:val="fr-FR"/>
              </w:rPr>
              <w:t>1)</w:t>
            </w:r>
          </w:p>
          <w:p w14:paraId="097A6181" w14:textId="77777777" w:rsidR="00DC5685" w:rsidRPr="00A34F10" w:rsidRDefault="00DC5685" w:rsidP="00DC5685">
            <w:pPr>
              <w:widowControl w:val="0"/>
              <w:suppressAutoHyphens/>
              <w:jc w:val="center"/>
              <w:rPr>
                <w:sz w:val="20"/>
                <w:szCs w:val="20"/>
              </w:rPr>
            </w:pPr>
            <w:r w:rsidRPr="00A34F10">
              <w:rPr>
                <w:noProof/>
                <w:sz w:val="20"/>
                <w:szCs w:val="20"/>
              </w:rPr>
              <w:t xml:space="preserve">&gt; 68.58 mg Σ a.s./L </w:t>
            </w:r>
            <w:r w:rsidRPr="00A34F10">
              <w:rPr>
                <w:noProof/>
                <w:sz w:val="20"/>
                <w:szCs w:val="20"/>
                <w:vertAlign w:val="subscript"/>
              </w:rPr>
              <w:t xml:space="preserve">mm </w:t>
            </w:r>
            <w:r w:rsidRPr="00A34F10">
              <w:rPr>
                <w:noProof/>
                <w:sz w:val="20"/>
                <w:szCs w:val="20"/>
                <w:vertAlign w:val="superscript"/>
              </w:rPr>
              <w:t>2)</w:t>
            </w:r>
          </w:p>
        </w:tc>
        <w:tc>
          <w:tcPr>
            <w:tcW w:w="1001" w:type="pct"/>
            <w:shd w:val="clear" w:color="auto" w:fill="auto"/>
            <w:vAlign w:val="center"/>
          </w:tcPr>
          <w:p w14:paraId="36FB58D2" w14:textId="77777777" w:rsidR="00DC5685" w:rsidRPr="00A34F10" w:rsidRDefault="00DC5685" w:rsidP="00DC5685">
            <w:pPr>
              <w:widowControl w:val="0"/>
              <w:suppressAutoHyphens/>
              <w:rPr>
                <w:sz w:val="20"/>
                <w:szCs w:val="20"/>
              </w:rPr>
            </w:pPr>
            <w:r w:rsidRPr="00A34F10">
              <w:rPr>
                <w:sz w:val="20"/>
                <w:szCs w:val="20"/>
              </w:rPr>
              <w:t>New study</w:t>
            </w:r>
          </w:p>
          <w:p w14:paraId="638B4AA7" w14:textId="77777777" w:rsidR="00DC5685" w:rsidRPr="00A34F10" w:rsidRDefault="00DC5685" w:rsidP="00DC5685">
            <w:pPr>
              <w:widowControl w:val="0"/>
              <w:suppressAutoHyphens/>
              <w:rPr>
                <w:sz w:val="20"/>
                <w:szCs w:val="20"/>
              </w:rPr>
            </w:pPr>
            <w:r w:rsidRPr="00A34F10">
              <w:rPr>
                <w:sz w:val="20"/>
                <w:szCs w:val="20"/>
              </w:rPr>
              <w:t>2022/2033714</w:t>
            </w:r>
          </w:p>
        </w:tc>
      </w:tr>
      <w:tr w:rsidR="00DC5685" w:rsidRPr="00A34F10" w14:paraId="3F7EC636" w14:textId="77777777" w:rsidTr="000470C3">
        <w:tc>
          <w:tcPr>
            <w:tcW w:w="1001" w:type="pct"/>
            <w:shd w:val="clear" w:color="auto" w:fill="auto"/>
            <w:vAlign w:val="center"/>
          </w:tcPr>
          <w:p w14:paraId="4B780305" w14:textId="77777777" w:rsidR="00DC5685" w:rsidRPr="00A34F10" w:rsidRDefault="00DC5685" w:rsidP="00DC5685">
            <w:pPr>
              <w:widowControl w:val="0"/>
              <w:suppressAutoHyphens/>
              <w:rPr>
                <w:bCs/>
                <w:i/>
                <w:sz w:val="20"/>
                <w:szCs w:val="20"/>
              </w:rPr>
            </w:pPr>
            <w:r w:rsidRPr="00A34F10">
              <w:rPr>
                <w:bCs/>
                <w:i/>
                <w:noProof/>
                <w:sz w:val="20"/>
              </w:rPr>
              <w:t>Daphnia magna</w:t>
            </w:r>
          </w:p>
        </w:tc>
        <w:tc>
          <w:tcPr>
            <w:tcW w:w="1000" w:type="pct"/>
            <w:shd w:val="clear" w:color="auto" w:fill="auto"/>
            <w:vAlign w:val="center"/>
          </w:tcPr>
          <w:p w14:paraId="5618A7AA" w14:textId="77777777" w:rsidR="00DC5685" w:rsidRPr="00A34F10" w:rsidRDefault="00DC5685" w:rsidP="00DC5685">
            <w:pPr>
              <w:widowControl w:val="0"/>
              <w:suppressAutoHyphens/>
              <w:rPr>
                <w:sz w:val="20"/>
                <w:szCs w:val="20"/>
              </w:rPr>
            </w:pPr>
            <w:r w:rsidRPr="00A34F10">
              <w:rPr>
                <w:sz w:val="20"/>
                <w:szCs w:val="20"/>
              </w:rPr>
              <w:t>BAS 743 02 F*</w:t>
            </w:r>
          </w:p>
        </w:tc>
        <w:tc>
          <w:tcPr>
            <w:tcW w:w="649" w:type="pct"/>
            <w:shd w:val="clear" w:color="auto" w:fill="auto"/>
            <w:vAlign w:val="center"/>
          </w:tcPr>
          <w:p w14:paraId="0AE4FE3A" w14:textId="77777777" w:rsidR="00DC5685" w:rsidRPr="00A34F10" w:rsidRDefault="00DC5685" w:rsidP="00DC5685">
            <w:pPr>
              <w:widowControl w:val="0"/>
              <w:suppressAutoHyphens/>
              <w:rPr>
                <w:sz w:val="20"/>
                <w:szCs w:val="20"/>
              </w:rPr>
            </w:pPr>
            <w:r w:rsidRPr="00A34F10">
              <w:rPr>
                <w:sz w:val="20"/>
                <w:szCs w:val="20"/>
              </w:rPr>
              <w:t>48 h, s</w:t>
            </w:r>
          </w:p>
        </w:tc>
        <w:tc>
          <w:tcPr>
            <w:tcW w:w="1349" w:type="pct"/>
            <w:shd w:val="clear" w:color="auto" w:fill="auto"/>
            <w:vAlign w:val="center"/>
          </w:tcPr>
          <w:p w14:paraId="0DF9A5E7" w14:textId="77777777" w:rsidR="00DC5685" w:rsidRPr="00604E47" w:rsidRDefault="00DC5685" w:rsidP="00DC5685">
            <w:pPr>
              <w:widowControl w:val="0"/>
              <w:suppressAutoHyphens/>
              <w:jc w:val="center"/>
              <w:rPr>
                <w:sz w:val="20"/>
                <w:szCs w:val="20"/>
                <w:lang w:val="fr-FR"/>
              </w:rPr>
            </w:pPr>
            <w:r w:rsidRPr="00604E47">
              <w:rPr>
                <w:sz w:val="20"/>
                <w:szCs w:val="20"/>
                <w:lang w:val="fr-FR"/>
              </w:rPr>
              <w:t>EC</w:t>
            </w:r>
            <w:r w:rsidRPr="00604E47">
              <w:rPr>
                <w:sz w:val="20"/>
                <w:szCs w:val="20"/>
                <w:vertAlign w:val="subscript"/>
                <w:lang w:val="fr-FR"/>
              </w:rPr>
              <w:t>50</w:t>
            </w:r>
            <w:r w:rsidRPr="00604E47">
              <w:rPr>
                <w:sz w:val="20"/>
                <w:szCs w:val="20"/>
                <w:lang w:val="fr-FR"/>
              </w:rPr>
              <w:t xml:space="preserve"> &gt; 100 mg/L</w:t>
            </w:r>
          </w:p>
          <w:p w14:paraId="3D5E568D" w14:textId="77777777" w:rsidR="00DC5685" w:rsidRPr="00604E47" w:rsidRDefault="00DC5685" w:rsidP="00DC5685">
            <w:pPr>
              <w:widowControl w:val="0"/>
              <w:suppressAutoHyphens/>
              <w:jc w:val="center"/>
              <w:rPr>
                <w:sz w:val="20"/>
                <w:szCs w:val="20"/>
                <w:lang w:val="fr-FR"/>
              </w:rPr>
            </w:pPr>
            <w:r w:rsidRPr="00604E47">
              <w:rPr>
                <w:sz w:val="20"/>
                <w:szCs w:val="20"/>
                <w:lang w:val="fr-FR"/>
              </w:rPr>
              <w:t>nominal</w:t>
            </w:r>
          </w:p>
          <w:p w14:paraId="672B2B93" w14:textId="77777777" w:rsidR="00DC5685" w:rsidRPr="00604E47" w:rsidRDefault="00DC5685" w:rsidP="00DC5685">
            <w:pPr>
              <w:keepNext/>
              <w:spacing w:before="60" w:after="60"/>
              <w:ind w:left="57" w:right="57"/>
              <w:rPr>
                <w:sz w:val="20"/>
                <w:szCs w:val="20"/>
                <w:lang w:val="fr-FR"/>
              </w:rPr>
            </w:pPr>
            <w:r w:rsidRPr="00604E47">
              <w:rPr>
                <w:sz w:val="20"/>
                <w:szCs w:val="20"/>
                <w:lang w:val="fr-FR"/>
              </w:rPr>
              <w:t xml:space="preserve">&gt; 60.42 mg </w:t>
            </w:r>
            <w:r w:rsidRPr="00A34F10">
              <w:rPr>
                <w:sz w:val="20"/>
                <w:szCs w:val="20"/>
              </w:rPr>
              <w:t>Σ</w:t>
            </w:r>
            <w:r w:rsidRPr="00604E47">
              <w:rPr>
                <w:sz w:val="20"/>
                <w:szCs w:val="20"/>
                <w:lang w:val="fr-FR"/>
              </w:rPr>
              <w:t xml:space="preserve"> a.s./L </w:t>
            </w:r>
            <w:r w:rsidRPr="00604E47">
              <w:rPr>
                <w:sz w:val="20"/>
                <w:szCs w:val="20"/>
                <w:vertAlign w:val="subscript"/>
                <w:lang w:val="fr-FR"/>
              </w:rPr>
              <w:t>nom</w:t>
            </w:r>
            <w:r w:rsidRPr="00604E47">
              <w:rPr>
                <w:sz w:val="20"/>
                <w:szCs w:val="20"/>
                <w:lang w:val="fr-FR"/>
              </w:rPr>
              <w:t xml:space="preserve"> </w:t>
            </w:r>
            <w:r w:rsidRPr="00604E47">
              <w:rPr>
                <w:sz w:val="20"/>
                <w:szCs w:val="20"/>
                <w:vertAlign w:val="superscript"/>
                <w:lang w:val="fr-FR"/>
              </w:rPr>
              <w:t>1)</w:t>
            </w:r>
          </w:p>
          <w:p w14:paraId="7E3383C2" w14:textId="77777777" w:rsidR="00DC5685" w:rsidRPr="00A34F10" w:rsidRDefault="00DC5685" w:rsidP="00DC5685">
            <w:pPr>
              <w:widowControl w:val="0"/>
              <w:suppressAutoHyphens/>
              <w:jc w:val="center"/>
              <w:rPr>
                <w:sz w:val="20"/>
                <w:szCs w:val="20"/>
              </w:rPr>
            </w:pPr>
            <w:r w:rsidRPr="00A34F10">
              <w:rPr>
                <w:noProof/>
                <w:sz w:val="20"/>
                <w:szCs w:val="20"/>
              </w:rPr>
              <w:t xml:space="preserve">&gt; 59.53 mg Σ a.s./L </w:t>
            </w:r>
            <w:r w:rsidRPr="00A34F10">
              <w:rPr>
                <w:noProof/>
                <w:sz w:val="20"/>
                <w:szCs w:val="20"/>
                <w:vertAlign w:val="subscript"/>
              </w:rPr>
              <w:t xml:space="preserve">mm </w:t>
            </w:r>
            <w:r w:rsidRPr="00A34F10">
              <w:rPr>
                <w:noProof/>
                <w:sz w:val="20"/>
                <w:szCs w:val="20"/>
                <w:vertAlign w:val="superscript"/>
              </w:rPr>
              <w:t>3)</w:t>
            </w:r>
          </w:p>
        </w:tc>
        <w:tc>
          <w:tcPr>
            <w:tcW w:w="1001" w:type="pct"/>
            <w:shd w:val="clear" w:color="auto" w:fill="auto"/>
            <w:vAlign w:val="center"/>
          </w:tcPr>
          <w:p w14:paraId="1952B61F" w14:textId="77777777" w:rsidR="00DC5685" w:rsidRPr="00A34F10" w:rsidRDefault="00DC5685" w:rsidP="00DC5685">
            <w:pPr>
              <w:widowControl w:val="0"/>
              <w:suppressAutoHyphens/>
              <w:rPr>
                <w:sz w:val="20"/>
                <w:szCs w:val="20"/>
              </w:rPr>
            </w:pPr>
            <w:r w:rsidRPr="00A34F10">
              <w:rPr>
                <w:sz w:val="20"/>
                <w:szCs w:val="20"/>
              </w:rPr>
              <w:t>New study</w:t>
            </w:r>
          </w:p>
          <w:p w14:paraId="1521747E" w14:textId="77777777" w:rsidR="00DC5685" w:rsidRPr="00A34F10" w:rsidRDefault="00DC5685" w:rsidP="00DC5685">
            <w:pPr>
              <w:widowControl w:val="0"/>
              <w:suppressAutoHyphens/>
              <w:rPr>
                <w:sz w:val="20"/>
                <w:szCs w:val="20"/>
              </w:rPr>
            </w:pPr>
            <w:r w:rsidRPr="00A34F10">
              <w:rPr>
                <w:sz w:val="20"/>
                <w:szCs w:val="20"/>
              </w:rPr>
              <w:t>2022/2033712</w:t>
            </w:r>
          </w:p>
        </w:tc>
      </w:tr>
      <w:tr w:rsidR="00DC5685" w:rsidRPr="00A34F10" w14:paraId="14140BE3" w14:textId="77777777" w:rsidTr="000470C3">
        <w:tc>
          <w:tcPr>
            <w:tcW w:w="1001" w:type="pct"/>
            <w:shd w:val="clear" w:color="auto" w:fill="auto"/>
            <w:vAlign w:val="center"/>
          </w:tcPr>
          <w:p w14:paraId="7D86E78C" w14:textId="77777777" w:rsidR="00DC5685" w:rsidRPr="00A34F10" w:rsidRDefault="00DC5685" w:rsidP="00DC5685">
            <w:pPr>
              <w:widowControl w:val="0"/>
              <w:suppressAutoHyphens/>
              <w:rPr>
                <w:bCs/>
                <w:i/>
                <w:noProof/>
                <w:sz w:val="20"/>
              </w:rPr>
            </w:pPr>
            <w:r w:rsidRPr="00A34F10">
              <w:rPr>
                <w:bCs/>
                <w:i/>
                <w:noProof/>
                <w:sz w:val="20"/>
              </w:rPr>
              <w:t>Daphnia magna</w:t>
            </w:r>
          </w:p>
        </w:tc>
        <w:tc>
          <w:tcPr>
            <w:tcW w:w="1000" w:type="pct"/>
            <w:shd w:val="clear" w:color="auto" w:fill="auto"/>
            <w:vAlign w:val="center"/>
          </w:tcPr>
          <w:p w14:paraId="3B6DCF36" w14:textId="77777777" w:rsidR="00DC5685" w:rsidRPr="00A34F10" w:rsidRDefault="00DC5685" w:rsidP="00DC5685">
            <w:pPr>
              <w:widowControl w:val="0"/>
              <w:suppressAutoHyphens/>
              <w:rPr>
                <w:sz w:val="20"/>
                <w:szCs w:val="20"/>
              </w:rPr>
            </w:pPr>
            <w:r w:rsidRPr="00A34F10">
              <w:rPr>
                <w:sz w:val="20"/>
                <w:szCs w:val="20"/>
              </w:rPr>
              <w:t>BAS 743 03 F</w:t>
            </w:r>
          </w:p>
        </w:tc>
        <w:tc>
          <w:tcPr>
            <w:tcW w:w="649" w:type="pct"/>
            <w:shd w:val="clear" w:color="auto" w:fill="auto"/>
            <w:vAlign w:val="center"/>
          </w:tcPr>
          <w:p w14:paraId="7EB30D13" w14:textId="77777777" w:rsidR="00DC5685" w:rsidRPr="00A34F10" w:rsidRDefault="00DC5685" w:rsidP="00DC5685">
            <w:pPr>
              <w:widowControl w:val="0"/>
              <w:suppressAutoHyphens/>
              <w:rPr>
                <w:sz w:val="20"/>
                <w:szCs w:val="20"/>
              </w:rPr>
            </w:pPr>
            <w:r w:rsidRPr="00A34F10">
              <w:rPr>
                <w:sz w:val="20"/>
                <w:szCs w:val="20"/>
              </w:rPr>
              <w:t>48 h, ss</w:t>
            </w:r>
          </w:p>
        </w:tc>
        <w:tc>
          <w:tcPr>
            <w:tcW w:w="1349" w:type="pct"/>
            <w:shd w:val="clear" w:color="auto" w:fill="auto"/>
            <w:vAlign w:val="center"/>
          </w:tcPr>
          <w:p w14:paraId="36099687" w14:textId="77777777" w:rsidR="00DC5685" w:rsidRPr="00604E47" w:rsidRDefault="00DC5685" w:rsidP="00DC5685">
            <w:pPr>
              <w:widowControl w:val="0"/>
              <w:suppressAutoHyphens/>
              <w:jc w:val="center"/>
              <w:rPr>
                <w:b/>
                <w:bCs/>
                <w:sz w:val="20"/>
                <w:szCs w:val="20"/>
                <w:lang w:val="fr-FR"/>
              </w:rPr>
            </w:pPr>
            <w:r w:rsidRPr="00604E47">
              <w:rPr>
                <w:b/>
                <w:bCs/>
                <w:sz w:val="20"/>
                <w:szCs w:val="20"/>
                <w:lang w:val="fr-FR"/>
              </w:rPr>
              <w:t>EC</w:t>
            </w:r>
            <w:r w:rsidRPr="00604E47">
              <w:rPr>
                <w:b/>
                <w:bCs/>
                <w:sz w:val="20"/>
                <w:szCs w:val="20"/>
                <w:vertAlign w:val="subscript"/>
                <w:lang w:val="fr-FR"/>
              </w:rPr>
              <w:t>50</w:t>
            </w:r>
            <w:r w:rsidRPr="00604E47">
              <w:rPr>
                <w:b/>
                <w:bCs/>
                <w:sz w:val="20"/>
                <w:szCs w:val="20"/>
                <w:lang w:val="fr-FR"/>
              </w:rPr>
              <w:t xml:space="preserve"> &gt; 100 mg/L</w:t>
            </w:r>
          </w:p>
          <w:p w14:paraId="28E08000" w14:textId="77777777" w:rsidR="00DC5685" w:rsidRPr="00604E47" w:rsidRDefault="00DC5685" w:rsidP="00DC5685">
            <w:pPr>
              <w:widowControl w:val="0"/>
              <w:suppressAutoHyphens/>
              <w:jc w:val="center"/>
              <w:rPr>
                <w:sz w:val="20"/>
                <w:szCs w:val="20"/>
                <w:lang w:val="fr-FR"/>
              </w:rPr>
            </w:pPr>
            <w:r w:rsidRPr="00604E47">
              <w:rPr>
                <w:b/>
                <w:bCs/>
                <w:sz w:val="20"/>
                <w:szCs w:val="20"/>
                <w:lang w:val="fr-FR"/>
              </w:rPr>
              <w:t>nominal</w:t>
            </w:r>
          </w:p>
          <w:p w14:paraId="479B5A5D" w14:textId="77777777" w:rsidR="00DC5685" w:rsidRPr="00604E47" w:rsidRDefault="00DC5685" w:rsidP="00DC5685">
            <w:pPr>
              <w:keepNext/>
              <w:spacing w:before="60" w:after="60"/>
              <w:ind w:left="57" w:right="57"/>
              <w:rPr>
                <w:sz w:val="20"/>
                <w:szCs w:val="20"/>
                <w:lang w:val="fr-FR"/>
              </w:rPr>
            </w:pPr>
            <w:r w:rsidRPr="00604E47">
              <w:rPr>
                <w:sz w:val="20"/>
                <w:szCs w:val="20"/>
                <w:lang w:val="fr-FR"/>
              </w:rPr>
              <w:t xml:space="preserve">&gt; 53.3 </w:t>
            </w:r>
            <w:r w:rsidRPr="00A34F10">
              <w:rPr>
                <w:sz w:val="20"/>
                <w:szCs w:val="20"/>
              </w:rPr>
              <w:t>Σ</w:t>
            </w:r>
            <w:r w:rsidRPr="00604E47">
              <w:rPr>
                <w:sz w:val="20"/>
                <w:szCs w:val="20"/>
                <w:lang w:val="fr-FR"/>
              </w:rPr>
              <w:t xml:space="preserve"> mg a.s./L </w:t>
            </w:r>
            <w:r w:rsidRPr="00604E47">
              <w:rPr>
                <w:sz w:val="20"/>
                <w:szCs w:val="20"/>
                <w:vertAlign w:val="subscript"/>
                <w:lang w:val="fr-FR"/>
              </w:rPr>
              <w:t>nom</w:t>
            </w:r>
            <w:r w:rsidRPr="00604E47">
              <w:rPr>
                <w:sz w:val="20"/>
                <w:szCs w:val="20"/>
                <w:lang w:val="fr-FR"/>
              </w:rPr>
              <w:t xml:space="preserve"> </w:t>
            </w:r>
            <w:r w:rsidRPr="00604E47">
              <w:rPr>
                <w:sz w:val="20"/>
                <w:szCs w:val="20"/>
                <w:vertAlign w:val="superscript"/>
                <w:lang w:val="fr-FR"/>
              </w:rPr>
              <w:t>2)</w:t>
            </w:r>
          </w:p>
          <w:p w14:paraId="2DE67DE0" w14:textId="77777777" w:rsidR="00DC5685" w:rsidRPr="00A34F10" w:rsidRDefault="00DC5685" w:rsidP="00DC5685">
            <w:pPr>
              <w:widowControl w:val="0"/>
              <w:suppressAutoHyphens/>
              <w:jc w:val="center"/>
              <w:rPr>
                <w:sz w:val="20"/>
                <w:szCs w:val="20"/>
              </w:rPr>
            </w:pPr>
            <w:r w:rsidRPr="00A34F10">
              <w:rPr>
                <w:noProof/>
                <w:sz w:val="20"/>
                <w:szCs w:val="20"/>
              </w:rPr>
              <w:t xml:space="preserve">&gt; 55.31 Σ mg a.s./L </w:t>
            </w:r>
            <w:r w:rsidRPr="00A34F10">
              <w:rPr>
                <w:noProof/>
                <w:sz w:val="20"/>
                <w:szCs w:val="20"/>
                <w:vertAlign w:val="subscript"/>
              </w:rPr>
              <w:t xml:space="preserve">mm </w:t>
            </w:r>
            <w:r w:rsidRPr="00A34F10">
              <w:rPr>
                <w:noProof/>
                <w:sz w:val="20"/>
                <w:szCs w:val="20"/>
                <w:vertAlign w:val="superscript"/>
              </w:rPr>
              <w:t>3)</w:t>
            </w:r>
          </w:p>
        </w:tc>
        <w:tc>
          <w:tcPr>
            <w:tcW w:w="1001" w:type="pct"/>
            <w:shd w:val="clear" w:color="auto" w:fill="auto"/>
            <w:vAlign w:val="center"/>
          </w:tcPr>
          <w:p w14:paraId="7E77B6EA" w14:textId="77777777" w:rsidR="00DC5685" w:rsidRPr="00A34F10" w:rsidRDefault="00DC5685" w:rsidP="00DC5685">
            <w:pPr>
              <w:widowControl w:val="0"/>
              <w:suppressAutoHyphens/>
              <w:rPr>
                <w:sz w:val="20"/>
                <w:szCs w:val="20"/>
              </w:rPr>
            </w:pPr>
            <w:r w:rsidRPr="00A34F10">
              <w:rPr>
                <w:sz w:val="20"/>
                <w:szCs w:val="20"/>
              </w:rPr>
              <w:t>New study</w:t>
            </w:r>
          </w:p>
          <w:p w14:paraId="51B12638" w14:textId="77777777" w:rsidR="00DC5685" w:rsidRPr="00A34F10" w:rsidRDefault="00DC5685" w:rsidP="00DC5685">
            <w:pPr>
              <w:widowControl w:val="0"/>
              <w:suppressAutoHyphens/>
              <w:rPr>
                <w:sz w:val="20"/>
                <w:szCs w:val="20"/>
              </w:rPr>
            </w:pPr>
            <w:r w:rsidRPr="00A34F10">
              <w:rPr>
                <w:sz w:val="20"/>
                <w:szCs w:val="20"/>
              </w:rPr>
              <w:t>2022/2033730</w:t>
            </w:r>
          </w:p>
        </w:tc>
      </w:tr>
      <w:tr w:rsidR="00DC5685" w:rsidRPr="00A34F10" w14:paraId="5123721D" w14:textId="77777777" w:rsidTr="000470C3">
        <w:tc>
          <w:tcPr>
            <w:tcW w:w="1001" w:type="pct"/>
            <w:shd w:val="clear" w:color="auto" w:fill="auto"/>
            <w:vAlign w:val="center"/>
          </w:tcPr>
          <w:p w14:paraId="6018B943" w14:textId="77777777" w:rsidR="00DC5685" w:rsidRPr="00A34F10" w:rsidRDefault="00DC5685" w:rsidP="00DC5685">
            <w:pPr>
              <w:widowControl w:val="0"/>
              <w:suppressAutoHyphens/>
              <w:rPr>
                <w:bCs/>
                <w:i/>
                <w:sz w:val="20"/>
                <w:szCs w:val="20"/>
              </w:rPr>
            </w:pPr>
            <w:r w:rsidRPr="00A34F10">
              <w:rPr>
                <w:bCs/>
                <w:i/>
                <w:noProof/>
                <w:sz w:val="20"/>
              </w:rPr>
              <w:t>Pseudokirchneriella subcapitata</w:t>
            </w:r>
          </w:p>
        </w:tc>
        <w:tc>
          <w:tcPr>
            <w:tcW w:w="1000" w:type="pct"/>
            <w:shd w:val="clear" w:color="auto" w:fill="auto"/>
            <w:vAlign w:val="center"/>
          </w:tcPr>
          <w:p w14:paraId="2F882937" w14:textId="77777777" w:rsidR="00DC5685" w:rsidRPr="00A34F10" w:rsidRDefault="00DC5685" w:rsidP="00DC5685">
            <w:pPr>
              <w:suppressAutoHyphens/>
              <w:rPr>
                <w:sz w:val="20"/>
                <w:szCs w:val="20"/>
              </w:rPr>
            </w:pPr>
            <w:r w:rsidRPr="00A34F10">
              <w:rPr>
                <w:sz w:val="20"/>
                <w:szCs w:val="20"/>
              </w:rPr>
              <w:t>BAS 743 02 F*</w:t>
            </w:r>
          </w:p>
        </w:tc>
        <w:tc>
          <w:tcPr>
            <w:tcW w:w="649" w:type="pct"/>
            <w:shd w:val="clear" w:color="auto" w:fill="auto"/>
            <w:vAlign w:val="center"/>
          </w:tcPr>
          <w:p w14:paraId="15A1EFB6" w14:textId="77777777" w:rsidR="00DC5685" w:rsidRPr="00A34F10" w:rsidRDefault="00DC5685" w:rsidP="00DC5685">
            <w:pPr>
              <w:widowControl w:val="0"/>
              <w:suppressAutoHyphens/>
              <w:rPr>
                <w:sz w:val="20"/>
                <w:szCs w:val="20"/>
              </w:rPr>
            </w:pPr>
            <w:r w:rsidRPr="00A34F10">
              <w:rPr>
                <w:sz w:val="20"/>
                <w:szCs w:val="20"/>
              </w:rPr>
              <w:t>72 h, s</w:t>
            </w:r>
          </w:p>
        </w:tc>
        <w:tc>
          <w:tcPr>
            <w:tcW w:w="1349" w:type="pct"/>
            <w:shd w:val="clear" w:color="auto" w:fill="auto"/>
            <w:vAlign w:val="center"/>
          </w:tcPr>
          <w:p w14:paraId="0075CC99" w14:textId="77777777" w:rsidR="00DC5685" w:rsidRPr="00604E47" w:rsidRDefault="00DC5685" w:rsidP="00DC5685">
            <w:pPr>
              <w:suppressAutoHyphens/>
              <w:jc w:val="center"/>
              <w:rPr>
                <w:b/>
                <w:bCs/>
                <w:sz w:val="20"/>
                <w:szCs w:val="20"/>
                <w:lang w:val="fr-FR"/>
              </w:rPr>
            </w:pPr>
            <w:r w:rsidRPr="00604E47">
              <w:rPr>
                <w:b/>
                <w:bCs/>
                <w:sz w:val="20"/>
                <w:szCs w:val="20"/>
                <w:lang w:val="fr-FR"/>
              </w:rPr>
              <w:t>E</w:t>
            </w:r>
            <w:r w:rsidRPr="00604E47">
              <w:rPr>
                <w:b/>
                <w:bCs/>
                <w:sz w:val="20"/>
                <w:szCs w:val="20"/>
                <w:vertAlign w:val="subscript"/>
                <w:lang w:val="fr-FR"/>
              </w:rPr>
              <w:t>r</w:t>
            </w:r>
            <w:r w:rsidRPr="00604E47">
              <w:rPr>
                <w:b/>
                <w:bCs/>
                <w:sz w:val="20"/>
                <w:szCs w:val="20"/>
                <w:lang w:val="fr-FR"/>
              </w:rPr>
              <w:t>C</w:t>
            </w:r>
            <w:r w:rsidRPr="00604E47">
              <w:rPr>
                <w:b/>
                <w:bCs/>
                <w:sz w:val="20"/>
                <w:szCs w:val="20"/>
                <w:vertAlign w:val="subscript"/>
                <w:lang w:val="fr-FR"/>
              </w:rPr>
              <w:t>50</w:t>
            </w:r>
            <w:r w:rsidRPr="00604E47">
              <w:rPr>
                <w:b/>
                <w:bCs/>
                <w:sz w:val="20"/>
                <w:szCs w:val="20"/>
                <w:lang w:val="fr-FR"/>
              </w:rPr>
              <w:t xml:space="preserve"> &gt; 100 mg/L</w:t>
            </w:r>
          </w:p>
          <w:p w14:paraId="4236B4E4" w14:textId="77777777" w:rsidR="00DC5685" w:rsidRPr="00604E47" w:rsidRDefault="00DC5685" w:rsidP="00DC5685">
            <w:pPr>
              <w:suppressAutoHyphens/>
              <w:jc w:val="center"/>
              <w:rPr>
                <w:sz w:val="20"/>
                <w:szCs w:val="20"/>
                <w:lang w:val="fr-FR"/>
              </w:rPr>
            </w:pPr>
            <w:r w:rsidRPr="00604E47">
              <w:rPr>
                <w:b/>
                <w:bCs/>
                <w:sz w:val="20"/>
                <w:szCs w:val="20"/>
                <w:lang w:val="fr-FR"/>
              </w:rPr>
              <w:t>nominal</w:t>
            </w:r>
          </w:p>
          <w:p w14:paraId="47C66838" w14:textId="77777777" w:rsidR="00DC5685" w:rsidRPr="00604E47" w:rsidRDefault="00DC5685" w:rsidP="00DC5685">
            <w:pPr>
              <w:keepNext/>
              <w:spacing w:before="60" w:after="60"/>
              <w:ind w:left="57" w:right="57"/>
              <w:rPr>
                <w:sz w:val="20"/>
                <w:szCs w:val="20"/>
                <w:lang w:val="fr-FR"/>
              </w:rPr>
            </w:pPr>
            <w:r w:rsidRPr="00604E47">
              <w:rPr>
                <w:sz w:val="20"/>
                <w:szCs w:val="20"/>
                <w:lang w:val="fr-FR"/>
              </w:rPr>
              <w:t xml:space="preserve">&gt; 60.42 mg </w:t>
            </w:r>
            <w:r w:rsidRPr="00A34F10">
              <w:rPr>
                <w:sz w:val="20"/>
                <w:szCs w:val="20"/>
              </w:rPr>
              <w:t>Σ</w:t>
            </w:r>
            <w:r w:rsidRPr="00604E47">
              <w:rPr>
                <w:sz w:val="20"/>
                <w:szCs w:val="20"/>
                <w:lang w:val="fr-FR"/>
              </w:rPr>
              <w:t xml:space="preserve"> a.s./L </w:t>
            </w:r>
            <w:r w:rsidRPr="00604E47">
              <w:rPr>
                <w:sz w:val="20"/>
                <w:szCs w:val="20"/>
                <w:vertAlign w:val="subscript"/>
                <w:lang w:val="fr-FR"/>
              </w:rPr>
              <w:t>nom</w:t>
            </w:r>
            <w:r w:rsidRPr="00604E47">
              <w:rPr>
                <w:sz w:val="20"/>
                <w:szCs w:val="20"/>
                <w:lang w:val="fr-FR"/>
              </w:rPr>
              <w:t xml:space="preserve"> </w:t>
            </w:r>
            <w:r w:rsidRPr="00604E47">
              <w:rPr>
                <w:sz w:val="20"/>
                <w:szCs w:val="20"/>
                <w:vertAlign w:val="superscript"/>
                <w:lang w:val="fr-FR"/>
              </w:rPr>
              <w:t>1)</w:t>
            </w:r>
          </w:p>
          <w:p w14:paraId="21990609" w14:textId="77777777" w:rsidR="00DC5685" w:rsidRPr="00A34F10" w:rsidRDefault="00DC5685" w:rsidP="00DC5685">
            <w:pPr>
              <w:suppressAutoHyphens/>
              <w:jc w:val="center"/>
              <w:rPr>
                <w:sz w:val="20"/>
                <w:szCs w:val="20"/>
              </w:rPr>
            </w:pPr>
            <w:r w:rsidRPr="00A34F10">
              <w:rPr>
                <w:noProof/>
                <w:sz w:val="20"/>
                <w:szCs w:val="20"/>
                <w:lang w:val="en-GB"/>
              </w:rPr>
              <w:t xml:space="preserve">&gt; 60.54 mg Σ a.s./L </w:t>
            </w:r>
            <w:r w:rsidRPr="00A34F10">
              <w:rPr>
                <w:noProof/>
                <w:sz w:val="20"/>
                <w:szCs w:val="20"/>
                <w:vertAlign w:val="subscript"/>
                <w:lang w:val="en-GB"/>
              </w:rPr>
              <w:t xml:space="preserve">mm </w:t>
            </w:r>
            <w:r w:rsidRPr="00A34F10">
              <w:rPr>
                <w:noProof/>
                <w:sz w:val="20"/>
                <w:szCs w:val="20"/>
                <w:vertAlign w:val="superscript"/>
                <w:lang w:val="en-GB"/>
              </w:rPr>
              <w:t>2)</w:t>
            </w:r>
          </w:p>
        </w:tc>
        <w:tc>
          <w:tcPr>
            <w:tcW w:w="1001" w:type="pct"/>
            <w:shd w:val="clear" w:color="auto" w:fill="auto"/>
            <w:vAlign w:val="center"/>
          </w:tcPr>
          <w:p w14:paraId="06894B02" w14:textId="77777777" w:rsidR="00DC5685" w:rsidRPr="00A34F10" w:rsidRDefault="00DC5685" w:rsidP="00DC5685">
            <w:pPr>
              <w:widowControl w:val="0"/>
              <w:suppressAutoHyphens/>
              <w:rPr>
                <w:sz w:val="20"/>
                <w:szCs w:val="20"/>
              </w:rPr>
            </w:pPr>
            <w:r w:rsidRPr="00A34F10">
              <w:rPr>
                <w:sz w:val="20"/>
                <w:szCs w:val="20"/>
              </w:rPr>
              <w:t>New study</w:t>
            </w:r>
          </w:p>
          <w:p w14:paraId="5C0F46FE" w14:textId="77777777" w:rsidR="00DC5685" w:rsidRPr="00A34F10" w:rsidRDefault="00DC5685" w:rsidP="00DC5685">
            <w:pPr>
              <w:widowControl w:val="0"/>
              <w:suppressAutoHyphens/>
              <w:rPr>
                <w:sz w:val="20"/>
                <w:szCs w:val="20"/>
                <w:lang w:val="de-DE"/>
              </w:rPr>
            </w:pPr>
            <w:r w:rsidRPr="00A34F10">
              <w:rPr>
                <w:sz w:val="20"/>
                <w:szCs w:val="20"/>
              </w:rPr>
              <w:t>2022/2033713</w:t>
            </w:r>
          </w:p>
        </w:tc>
      </w:tr>
    </w:tbl>
    <w:p w14:paraId="57DD9554" w14:textId="77777777" w:rsidR="00DC5685" w:rsidRPr="00A34F10" w:rsidRDefault="00DC5685" w:rsidP="00DC5685">
      <w:pPr>
        <w:widowControl w:val="0"/>
        <w:tabs>
          <w:tab w:val="left" w:pos="425"/>
        </w:tabs>
        <w:suppressAutoHyphens/>
        <w:ind w:left="284" w:hanging="284"/>
        <w:jc w:val="both"/>
        <w:rPr>
          <w:sz w:val="18"/>
          <w:szCs w:val="18"/>
        </w:rPr>
      </w:pPr>
      <w:r w:rsidRPr="00A34F10">
        <w:rPr>
          <w:b/>
          <w:bCs/>
          <w:noProof/>
          <w:sz w:val="18"/>
          <w:szCs w:val="18"/>
        </w:rPr>
        <w:t>Bold</w:t>
      </w:r>
      <w:r w:rsidRPr="00A34F10">
        <w:rPr>
          <w:noProof/>
          <w:sz w:val="18"/>
          <w:szCs w:val="18"/>
        </w:rPr>
        <w:t xml:space="preserve"> figures: Endpoint used in aquatic risk assessment.</w:t>
      </w:r>
    </w:p>
    <w:p w14:paraId="6AB6ACB4"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lastRenderedPageBreak/>
        <w:t>s: static, ss: semi-static</w:t>
      </w:r>
    </w:p>
    <w:p w14:paraId="7D0C5286" w14:textId="77777777" w:rsidR="00DC5685" w:rsidRPr="00A34F10" w:rsidRDefault="00DC5685" w:rsidP="00DC5685">
      <w:pPr>
        <w:widowControl w:val="0"/>
        <w:ind w:left="284" w:hanging="284"/>
        <w:jc w:val="both"/>
        <w:rPr>
          <w:sz w:val="18"/>
          <w:szCs w:val="18"/>
        </w:rPr>
      </w:pPr>
      <w:r w:rsidRPr="00A34F10">
        <w:rPr>
          <w:sz w:val="18"/>
          <w:szCs w:val="18"/>
        </w:rPr>
        <w:t>*</w:t>
      </w:r>
      <w:r w:rsidRPr="00A34F10">
        <w:rPr>
          <w:sz w:val="18"/>
          <w:szCs w:val="18"/>
        </w:rPr>
        <w:tab/>
        <w:t>Studies were conducted with the similar formulation BAS 743 02 F containing 137.1 g/L Ametoctradin and 515.4 g/L Propamocarb-HCl</w:t>
      </w:r>
    </w:p>
    <w:p w14:paraId="5CC6D66A" w14:textId="77777777" w:rsidR="00DC5685" w:rsidRPr="00A34F10" w:rsidRDefault="00DC5685" w:rsidP="00DC5685">
      <w:pPr>
        <w:ind w:left="284" w:hanging="284"/>
        <w:rPr>
          <w:iCs/>
          <w:sz w:val="18"/>
          <w:szCs w:val="18"/>
        </w:rPr>
      </w:pPr>
      <w:r w:rsidRPr="00A34F10">
        <w:rPr>
          <w:sz w:val="18"/>
          <w:vertAlign w:val="superscript"/>
        </w:rPr>
        <w:t>1)</w:t>
      </w:r>
      <w:r w:rsidRPr="00A34F10">
        <w:rPr>
          <w:sz w:val="18"/>
        </w:rPr>
        <w:tab/>
      </w:r>
      <w:r w:rsidRPr="00A34F10">
        <w:rPr>
          <w:iCs/>
          <w:sz w:val="18"/>
          <w:szCs w:val="18"/>
        </w:rPr>
        <w:t>Calculated based on the total content of active substances in the product (652.5</w:t>
      </w:r>
      <w:r w:rsidRPr="00A34F10">
        <w:rPr>
          <w:iCs/>
          <w:sz w:val="18"/>
          <w:szCs w:val="18"/>
          <w:lang w:val="x-none"/>
        </w:rPr>
        <w:t xml:space="preserve"> g</w:t>
      </w:r>
      <w:r w:rsidRPr="00A34F10">
        <w:rPr>
          <w:iCs/>
          <w:sz w:val="18"/>
          <w:szCs w:val="18"/>
        </w:rPr>
        <w:t>/L) and the product density of 1.080 g/cm</w:t>
      </w:r>
      <w:r w:rsidRPr="00A34F10">
        <w:rPr>
          <w:iCs/>
          <w:sz w:val="18"/>
          <w:szCs w:val="18"/>
          <w:vertAlign w:val="superscript"/>
        </w:rPr>
        <w:t>3</w:t>
      </w:r>
    </w:p>
    <w:p w14:paraId="531C8489" w14:textId="77777777" w:rsidR="00DC5685" w:rsidRPr="00A34F10" w:rsidRDefault="00DC5685" w:rsidP="00DC5685">
      <w:pPr>
        <w:ind w:left="284" w:hanging="284"/>
        <w:rPr>
          <w:iCs/>
          <w:sz w:val="18"/>
          <w:szCs w:val="18"/>
        </w:rPr>
      </w:pPr>
      <w:r w:rsidRPr="00A34F10">
        <w:rPr>
          <w:sz w:val="18"/>
          <w:vertAlign w:val="superscript"/>
        </w:rPr>
        <w:t>2)</w:t>
      </w:r>
      <w:r w:rsidRPr="00A34F10">
        <w:rPr>
          <w:sz w:val="18"/>
          <w:vertAlign w:val="superscript"/>
        </w:rPr>
        <w:tab/>
      </w:r>
      <w:r w:rsidRPr="00A34F10">
        <w:rPr>
          <w:iCs/>
          <w:sz w:val="18"/>
          <w:szCs w:val="18"/>
        </w:rPr>
        <w:t>Calculated based on the total content of active substances in the product (571</w:t>
      </w:r>
      <w:r w:rsidRPr="00A34F10">
        <w:rPr>
          <w:iCs/>
          <w:sz w:val="18"/>
          <w:szCs w:val="18"/>
          <w:lang w:val="x-none"/>
        </w:rPr>
        <w:t xml:space="preserve"> g</w:t>
      </w:r>
      <w:r w:rsidRPr="00A34F10">
        <w:rPr>
          <w:iCs/>
          <w:sz w:val="18"/>
          <w:szCs w:val="18"/>
        </w:rPr>
        <w:t>/L) and the product density of 1.071 g/cm</w:t>
      </w:r>
      <w:r w:rsidRPr="00A34F10">
        <w:rPr>
          <w:iCs/>
          <w:sz w:val="18"/>
          <w:szCs w:val="18"/>
          <w:vertAlign w:val="superscript"/>
        </w:rPr>
        <w:t>3</w:t>
      </w:r>
    </w:p>
    <w:p w14:paraId="0815686B" w14:textId="77777777" w:rsidR="00DC5685" w:rsidRPr="00A34F10" w:rsidRDefault="00DC5685" w:rsidP="00DC5685">
      <w:pPr>
        <w:widowControl w:val="0"/>
        <w:suppressAutoHyphens/>
        <w:ind w:left="284" w:hanging="284"/>
        <w:jc w:val="both"/>
        <w:rPr>
          <w:sz w:val="24"/>
          <w:szCs w:val="24"/>
        </w:rPr>
      </w:pPr>
      <w:r w:rsidRPr="00A34F10">
        <w:rPr>
          <w:sz w:val="18"/>
          <w:vertAlign w:val="superscript"/>
        </w:rPr>
        <w:t>3)</w:t>
      </w:r>
      <w:r w:rsidRPr="00A34F10">
        <w:rPr>
          <w:sz w:val="18"/>
        </w:rPr>
        <w:tab/>
      </w:r>
      <w:r w:rsidRPr="00A34F10">
        <w:rPr>
          <w:iCs/>
          <w:sz w:val="18"/>
        </w:rPr>
        <w:t xml:space="preserve">Calculated following EFSA (2019); endpoint based on </w:t>
      </w:r>
      <w:r w:rsidRPr="00A34F10">
        <w:rPr>
          <w:iCs/>
          <w:sz w:val="18"/>
          <w:lang w:val="x-none"/>
        </w:rPr>
        <w:t xml:space="preserve">the </w:t>
      </w:r>
      <w:r w:rsidRPr="00A34F10">
        <w:rPr>
          <w:iCs/>
          <w:sz w:val="18"/>
        </w:rPr>
        <w:t>“</w:t>
      </w:r>
      <w:r w:rsidRPr="00A34F10">
        <w:rPr>
          <w:iCs/>
          <w:sz w:val="18"/>
          <w:lang w:val="x-none"/>
        </w:rPr>
        <w:t>sum of active substances</w:t>
      </w:r>
      <w:r w:rsidRPr="00A34F10">
        <w:rPr>
          <w:iCs/>
          <w:sz w:val="18"/>
        </w:rPr>
        <w:t xml:space="preserve">” </w:t>
      </w:r>
      <w:r w:rsidRPr="00A34F10">
        <w:rPr>
          <w:iCs/>
          <w:sz w:val="18"/>
          <w:lang w:val="x-none"/>
        </w:rPr>
        <w:t>geomean concentration levels</w:t>
      </w:r>
    </w:p>
    <w:p w14:paraId="385392E2" w14:textId="3689C423" w:rsidR="00DC5685" w:rsidRPr="00A34F10" w:rsidRDefault="00DC5685" w:rsidP="00DC5685">
      <w:pPr>
        <w:widowControl w:val="0"/>
        <w:suppressAutoHyphens/>
        <w:jc w:val="both"/>
      </w:pPr>
    </w:p>
    <w:p w14:paraId="5E3656AB" w14:textId="77777777" w:rsidR="00E23E00" w:rsidRPr="00A34F10" w:rsidRDefault="00E23E00" w:rsidP="00DC5685">
      <w:pPr>
        <w:widowControl w:val="0"/>
        <w:suppressAutoHyphens/>
        <w:jc w:val="both"/>
      </w:pPr>
    </w:p>
    <w:p w14:paraId="7936C2E9" w14:textId="77777777" w:rsidR="00DC5685" w:rsidRPr="00A34F10" w:rsidRDefault="00DC5685" w:rsidP="00DC5685">
      <w:pPr>
        <w:autoSpaceDE w:val="0"/>
        <w:autoSpaceDN w:val="0"/>
        <w:adjustRightInd w:val="0"/>
        <w:jc w:val="both"/>
        <w:rPr>
          <w:b/>
          <w:bCs/>
          <w:u w:val="single"/>
          <w:lang w:val="en-GB"/>
        </w:rPr>
      </w:pPr>
      <w:r w:rsidRPr="00A34F10">
        <w:rPr>
          <w:b/>
          <w:bCs/>
          <w:u w:val="single"/>
          <w:lang w:val="en-GB"/>
        </w:rPr>
        <w:t>Mixture toxicity</w:t>
      </w:r>
    </w:p>
    <w:p w14:paraId="44E06A8B" w14:textId="77777777" w:rsidR="00DC5685" w:rsidRPr="00A34F10" w:rsidRDefault="00DC5685" w:rsidP="00DC5685">
      <w:pPr>
        <w:jc w:val="both"/>
        <w:rPr>
          <w:iCs/>
          <w:lang w:val="en-GB"/>
        </w:rPr>
      </w:pPr>
    </w:p>
    <w:p w14:paraId="706420BF" w14:textId="77777777" w:rsidR="00DC5685" w:rsidRPr="00A34F10" w:rsidRDefault="00DC5685" w:rsidP="00DC5685">
      <w:pPr>
        <w:jc w:val="both"/>
        <w:rPr>
          <w:iCs/>
          <w:lang w:val="en-GB"/>
        </w:rPr>
      </w:pPr>
      <w:r w:rsidRPr="00A34F10">
        <w:rPr>
          <w:iCs/>
          <w:lang w:val="en-GB"/>
        </w:rPr>
        <w:t>In line with EFSA (2013), in addition to measured toxicity data, mixture toxicity is assessed on the basis of the Concentration Addition (CA) model.</w:t>
      </w:r>
      <w:r w:rsidRPr="00A34F10">
        <w:rPr>
          <w:lang w:val="en-GB"/>
        </w:rPr>
        <w:t xml:space="preserve"> A surrogate endpoint for CA is calculated using the following equation:</w:t>
      </w:r>
    </w:p>
    <w:p w14:paraId="4C493FD0" w14:textId="77777777" w:rsidR="00DC5685" w:rsidRPr="00A34F10" w:rsidRDefault="00DC5685" w:rsidP="00DC5685">
      <w:pPr>
        <w:jc w:val="both"/>
        <w:rPr>
          <w:iCs/>
          <w:lang w:val="en-GB"/>
        </w:rPr>
      </w:pPr>
    </w:p>
    <w:p w14:paraId="3121F54A" w14:textId="77777777" w:rsidR="00DC5685" w:rsidRPr="00A34F10" w:rsidRDefault="00DC5685" w:rsidP="00DC5685">
      <w:pPr>
        <w:jc w:val="both"/>
        <w:rPr>
          <w:iCs/>
          <w:lang w:val="en-GB"/>
        </w:rPr>
      </w:pPr>
      <w:r w:rsidRPr="00A34F10">
        <w:rPr>
          <w:iCs/>
          <w:lang w:val="en-GB"/>
        </w:rPr>
        <w:object w:dxaOrig="2299" w:dyaOrig="740" w14:anchorId="3CEA8DBD">
          <v:shape id="_x0000_i1030" type="#_x0000_t75" style="width:116pt;height:36pt" o:ole="">
            <v:imagedata r:id="rId41" o:title=""/>
          </v:shape>
          <o:OLEObject Type="Embed" ProgID="Equation.3" ShapeID="_x0000_i1030" DrawAspect="Content" ObjectID="_1792489420" r:id="rId42"/>
        </w:object>
      </w:r>
      <w:r w:rsidRPr="00A34F10">
        <w:rPr>
          <w:iCs/>
          <w:lang w:val="en-GB"/>
        </w:rPr>
        <w:t xml:space="preserve"> </w:t>
      </w:r>
    </w:p>
    <w:p w14:paraId="7ECBF2D8" w14:textId="77777777" w:rsidR="00DC5685" w:rsidRPr="00A34F10" w:rsidRDefault="00DC5685" w:rsidP="00DC5685">
      <w:pPr>
        <w:spacing w:after="40"/>
        <w:jc w:val="both"/>
        <w:rPr>
          <w:iCs/>
          <w:lang w:val="en-GB"/>
        </w:rPr>
      </w:pPr>
      <w:r w:rsidRPr="00A34F10">
        <w:rPr>
          <w:iCs/>
          <w:lang w:val="en-GB"/>
        </w:rPr>
        <w:t>where:</w:t>
      </w:r>
    </w:p>
    <w:p w14:paraId="713035F0" w14:textId="77777777" w:rsidR="00DC5685" w:rsidRPr="00A34F10" w:rsidRDefault="00DC5685" w:rsidP="00DC5685">
      <w:pPr>
        <w:spacing w:after="40"/>
        <w:ind w:left="630"/>
        <w:jc w:val="both"/>
        <w:rPr>
          <w:iCs/>
          <w:lang w:val="en-GB"/>
        </w:rPr>
      </w:pPr>
      <w:r w:rsidRPr="00A34F10">
        <w:rPr>
          <w:iCs/>
          <w:lang w:val="en-GB"/>
        </w:rPr>
        <w:t>n = number of mixture components</w:t>
      </w:r>
    </w:p>
    <w:p w14:paraId="61922090" w14:textId="77777777" w:rsidR="00DC5685" w:rsidRPr="00A34F10" w:rsidRDefault="00DC5685" w:rsidP="00DC5685">
      <w:pPr>
        <w:spacing w:after="40"/>
        <w:ind w:left="630"/>
        <w:jc w:val="both"/>
        <w:rPr>
          <w:iCs/>
          <w:lang w:val="en-GB"/>
        </w:rPr>
      </w:pPr>
      <w:r w:rsidRPr="00A34F10">
        <w:rPr>
          <w:iCs/>
          <w:lang w:val="en-GB"/>
        </w:rPr>
        <w:t>p</w:t>
      </w:r>
      <w:r w:rsidRPr="00A34F10">
        <w:rPr>
          <w:iCs/>
          <w:vertAlign w:val="subscript"/>
          <w:lang w:val="en-GB"/>
        </w:rPr>
        <w:t>i</w:t>
      </w:r>
      <w:r w:rsidRPr="00A34F10">
        <w:rPr>
          <w:iCs/>
          <w:lang w:val="en-GB"/>
        </w:rPr>
        <w:t xml:space="preserve"> = the i</w:t>
      </w:r>
      <w:r w:rsidRPr="00A34F10">
        <w:rPr>
          <w:iCs/>
          <w:vertAlign w:val="superscript"/>
          <w:lang w:val="en-GB"/>
        </w:rPr>
        <w:t>th</w:t>
      </w:r>
      <w:r w:rsidRPr="00A34F10">
        <w:rPr>
          <w:iCs/>
          <w:lang w:val="en-GB"/>
        </w:rPr>
        <w:t xml:space="preserve"> component as a relative fraction of the mixture composition (∑ p</w:t>
      </w:r>
      <w:r w:rsidRPr="00A34F10">
        <w:rPr>
          <w:iCs/>
          <w:vertAlign w:val="subscript"/>
          <w:lang w:val="en-GB"/>
        </w:rPr>
        <w:t>i</w:t>
      </w:r>
      <w:r w:rsidRPr="00A34F10">
        <w:rPr>
          <w:iCs/>
          <w:lang w:val="en-GB"/>
        </w:rPr>
        <w:t xml:space="preserve"> must be 1)</w:t>
      </w:r>
    </w:p>
    <w:p w14:paraId="3DF80F33" w14:textId="77777777" w:rsidR="00DC5685" w:rsidRPr="00A34F10" w:rsidRDefault="00DC5685" w:rsidP="00DC5685">
      <w:pPr>
        <w:spacing w:after="40"/>
        <w:ind w:left="630"/>
        <w:jc w:val="both"/>
        <w:rPr>
          <w:iCs/>
          <w:lang w:val="en-GB"/>
        </w:rPr>
      </w:pPr>
      <w:r w:rsidRPr="00A34F10">
        <w:rPr>
          <w:iCs/>
          <w:lang w:val="en-GB"/>
        </w:rPr>
        <w:t>ECx</w:t>
      </w:r>
      <w:r w:rsidRPr="00A34F10">
        <w:rPr>
          <w:iCs/>
          <w:vertAlign w:val="subscript"/>
          <w:lang w:val="en-GB"/>
        </w:rPr>
        <w:t>i</w:t>
      </w:r>
      <w:r w:rsidRPr="00A34F10">
        <w:rPr>
          <w:iCs/>
          <w:lang w:val="en-GB"/>
        </w:rPr>
        <w:t xml:space="preserve"> = concentration of component i provoking x% effect </w:t>
      </w:r>
    </w:p>
    <w:p w14:paraId="706BFE07" w14:textId="77777777" w:rsidR="00DC5685" w:rsidRPr="00A34F10" w:rsidRDefault="00DC5685" w:rsidP="00DC5685">
      <w:pPr>
        <w:spacing w:after="40"/>
        <w:ind w:left="630"/>
        <w:jc w:val="both"/>
        <w:rPr>
          <w:iCs/>
          <w:lang w:val="en-GB"/>
        </w:rPr>
      </w:pPr>
    </w:p>
    <w:p w14:paraId="79FD3EF6" w14:textId="77777777" w:rsidR="00DC5685" w:rsidRPr="00A34F10" w:rsidRDefault="00DC5685" w:rsidP="00DC5685">
      <w:pPr>
        <w:tabs>
          <w:tab w:val="left" w:pos="720"/>
        </w:tabs>
        <w:jc w:val="both"/>
        <w:rPr>
          <w:lang w:val="en-GB"/>
        </w:rPr>
      </w:pPr>
      <w:r w:rsidRPr="00A34F10">
        <w:t>In order to determine if the a.s. may act more (</w:t>
      </w:r>
      <w:r w:rsidRPr="00A34F10">
        <w:rPr>
          <w:i/>
          <w:iCs/>
        </w:rPr>
        <w:t>i.e</w:t>
      </w:r>
      <w:r w:rsidRPr="00A34F10">
        <w:t>. synergistically) or less (</w:t>
      </w:r>
      <w:r w:rsidRPr="00A34F10">
        <w:rPr>
          <w:i/>
          <w:iCs/>
        </w:rPr>
        <w:t>i.e.</w:t>
      </w:r>
      <w:r w:rsidRPr="00A34F10">
        <w:t xml:space="preserve"> antagonistically) than expected by concentration addition (CA), a comparison of the calculated EC</w:t>
      </w:r>
      <w:r w:rsidRPr="00A34F10">
        <w:rPr>
          <w:vertAlign w:val="subscript"/>
        </w:rPr>
        <w:t xml:space="preserve">xmix-CA </w:t>
      </w:r>
      <w:r w:rsidRPr="00A34F10">
        <w:t>for the mixture composition of a.s. in the formulation versus measured EC</w:t>
      </w:r>
      <w:r w:rsidRPr="00A34F10">
        <w:rPr>
          <w:vertAlign w:val="subscript"/>
        </w:rPr>
        <w:t>xPPP</w:t>
      </w:r>
      <w:r w:rsidRPr="00A34F10">
        <w:t xml:space="preserve"> endpoints has been conducted.  </w:t>
      </w:r>
    </w:p>
    <w:p w14:paraId="5677C84D" w14:textId="77777777" w:rsidR="00DC5685" w:rsidRPr="00A34F10" w:rsidRDefault="00DC5685" w:rsidP="00DC5685">
      <w:pPr>
        <w:spacing w:after="40"/>
        <w:jc w:val="both"/>
        <w:rPr>
          <w:iCs/>
          <w:lang w:val="en-GB"/>
        </w:rPr>
      </w:pPr>
    </w:p>
    <w:p w14:paraId="62B834A6" w14:textId="77777777" w:rsidR="00DC5685" w:rsidRPr="00A34F10" w:rsidRDefault="00DC5685" w:rsidP="00DC5685">
      <w:pPr>
        <w:jc w:val="both"/>
        <w:rPr>
          <w:iCs/>
          <w:lang w:val="en-GB"/>
        </w:rPr>
      </w:pPr>
      <w:r w:rsidRPr="00A34F10">
        <w:rPr>
          <w:iCs/>
          <w:lang w:val="en-GB"/>
        </w:rPr>
        <w:t>In addition, to determine if the active substances may act more (</w:t>
      </w:r>
      <w:r w:rsidRPr="00A34F10">
        <w:rPr>
          <w:i/>
          <w:iCs/>
          <w:lang w:val="en-GB"/>
        </w:rPr>
        <w:t>i.e.</w:t>
      </w:r>
      <w:r w:rsidRPr="00A34F10">
        <w:rPr>
          <w:iCs/>
          <w:lang w:val="en-GB"/>
        </w:rPr>
        <w:t xml:space="preserve"> synergistically) or less (</w:t>
      </w:r>
      <w:r w:rsidRPr="00A34F10">
        <w:rPr>
          <w:i/>
          <w:iCs/>
          <w:lang w:val="en-GB"/>
        </w:rPr>
        <w:t>i.e.</w:t>
      </w:r>
      <w:r w:rsidRPr="00A34F10">
        <w:rPr>
          <w:iCs/>
          <w:lang w:val="en-GB"/>
        </w:rPr>
        <w:t xml:space="preserve"> antagonistically) than expected by CA, the measured formulation toxicity (ECx</w:t>
      </w:r>
      <w:r w:rsidRPr="00A34F10">
        <w:rPr>
          <w:iCs/>
          <w:vertAlign w:val="subscript"/>
          <w:lang w:val="en-GB"/>
        </w:rPr>
        <w:t>PPP</w:t>
      </w:r>
      <w:r w:rsidRPr="00A34F10">
        <w:rPr>
          <w:iCs/>
          <w:lang w:val="en-GB"/>
        </w:rPr>
        <w:t>) is compared against the calculated mixture toxicity ECx</w:t>
      </w:r>
      <w:r w:rsidRPr="00A34F10">
        <w:rPr>
          <w:iCs/>
          <w:vertAlign w:val="subscript"/>
          <w:lang w:val="en-GB"/>
        </w:rPr>
        <w:t xml:space="preserve">mix-CA </w:t>
      </w:r>
      <w:r w:rsidRPr="00A34F10">
        <w:rPr>
          <w:iCs/>
          <w:lang w:val="en-GB"/>
        </w:rPr>
        <w:t>for exactly the mixture composition of the active substances in the formulation (ECx</w:t>
      </w:r>
      <w:r w:rsidRPr="00A34F10">
        <w:rPr>
          <w:iCs/>
          <w:vertAlign w:val="subscript"/>
          <w:lang w:val="en-GB"/>
        </w:rPr>
        <w:t>PPP</w:t>
      </w:r>
      <w:r w:rsidRPr="00A34F10">
        <w:rPr>
          <w:iCs/>
          <w:lang w:val="en-GB"/>
        </w:rPr>
        <w:t xml:space="preserve">) by means of the Model Deviation Ratio (MDR): </w:t>
      </w:r>
    </w:p>
    <w:p w14:paraId="4FC8A590" w14:textId="77777777" w:rsidR="00DC5685" w:rsidRPr="00A34F10" w:rsidRDefault="00DC5685" w:rsidP="00DC5685">
      <w:pPr>
        <w:jc w:val="both"/>
        <w:rPr>
          <w:iCs/>
          <w:lang w:val="en-GB"/>
        </w:rPr>
      </w:pPr>
    </w:p>
    <w:p w14:paraId="5F84564F" w14:textId="77777777" w:rsidR="00DC5685" w:rsidRPr="00A34F10" w:rsidRDefault="00DC5685" w:rsidP="00DC5685">
      <w:pPr>
        <w:spacing w:after="120"/>
        <w:jc w:val="both"/>
        <w:rPr>
          <w:iCs/>
          <w:noProof/>
          <w:sz w:val="20"/>
          <w:szCs w:val="24"/>
          <w:lang w:val="en-GB"/>
        </w:rPr>
      </w:pPr>
      <w:r w:rsidRPr="00A34F10">
        <w:rPr>
          <w:iCs/>
          <w:noProof/>
          <w:sz w:val="20"/>
          <w:szCs w:val="24"/>
          <w:lang w:val="en-GB"/>
        </w:rPr>
        <w:drawing>
          <wp:inline distT="0" distB="0" distL="0" distR="0" wp14:anchorId="79D91B56" wp14:editId="18FA991F">
            <wp:extent cx="2596515" cy="387985"/>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96515" cy="387985"/>
                    </a:xfrm>
                    <a:prstGeom prst="rect">
                      <a:avLst/>
                    </a:prstGeom>
                    <a:noFill/>
                    <a:ln>
                      <a:noFill/>
                    </a:ln>
                  </pic:spPr>
                </pic:pic>
              </a:graphicData>
            </a:graphic>
          </wp:inline>
        </w:drawing>
      </w:r>
    </w:p>
    <w:p w14:paraId="72EFFC19" w14:textId="77777777" w:rsidR="00DC5685" w:rsidRPr="00A34F10" w:rsidRDefault="00DC5685" w:rsidP="00DC5685">
      <w:pPr>
        <w:spacing w:after="120"/>
        <w:jc w:val="both"/>
        <w:rPr>
          <w:iCs/>
          <w:noProof/>
          <w:sz w:val="20"/>
          <w:szCs w:val="24"/>
          <w:lang w:val="en-GB"/>
        </w:rPr>
      </w:pPr>
    </w:p>
    <w:p w14:paraId="7BA73E65" w14:textId="77777777" w:rsidR="00DC5685" w:rsidRPr="00A34F10" w:rsidRDefault="00DC5685" w:rsidP="00DC5685">
      <w:pPr>
        <w:spacing w:after="120"/>
        <w:jc w:val="both"/>
        <w:rPr>
          <w:iCs/>
          <w:noProof/>
          <w:sz w:val="20"/>
          <w:szCs w:val="24"/>
          <w:lang w:val="en-GB"/>
        </w:rPr>
      </w:pPr>
      <w:r w:rsidRPr="00A34F10">
        <w:t>The deviations between calculated and measured mixture toxicity, in terms of the model deviation ratio (MDR) are presented in the following table.</w:t>
      </w:r>
    </w:p>
    <w:p w14:paraId="5A119782" w14:textId="77777777" w:rsidR="00DC5685" w:rsidRPr="00A34F10" w:rsidRDefault="00DC5685" w:rsidP="00DC5685">
      <w:pPr>
        <w:spacing w:after="120"/>
        <w:jc w:val="both"/>
        <w:rPr>
          <w:iCs/>
          <w:noProof/>
          <w:sz w:val="20"/>
          <w:szCs w:val="24"/>
          <w:lang w:val="en-GB"/>
        </w:rPr>
      </w:pPr>
      <w:r w:rsidRPr="00A34F10">
        <w:rPr>
          <w:color w:val="000000"/>
          <w:lang w:val="en-GB" w:eastAsia="en-GB"/>
        </w:rPr>
        <w:t>The observed and calculated mixture toxicity is considered in agreement if the MDR is between 0.2 and 5.  More-than additive (i.e. synergistic) mixture toxicity is indicated if the MDR is &gt; 5. Less-than additive (</w:t>
      </w:r>
      <w:r w:rsidRPr="00A34F10">
        <w:rPr>
          <w:i/>
          <w:iCs/>
          <w:color w:val="000000"/>
          <w:lang w:val="en-GB" w:eastAsia="en-GB"/>
        </w:rPr>
        <w:t>i.e</w:t>
      </w:r>
      <w:r w:rsidRPr="00A34F10">
        <w:rPr>
          <w:color w:val="000000"/>
          <w:lang w:val="en-GB" w:eastAsia="en-GB"/>
        </w:rPr>
        <w:t>. antagonistic) mixture toxicity is indicated if the MDR is below 0.2.</w:t>
      </w:r>
    </w:p>
    <w:p w14:paraId="6FEE48F0" w14:textId="77777777" w:rsidR="00DC5685" w:rsidRPr="00A34F10" w:rsidRDefault="00DC5685" w:rsidP="00DC5685">
      <w:pPr>
        <w:spacing w:after="120"/>
        <w:jc w:val="both"/>
        <w:rPr>
          <w:iCs/>
          <w:sz w:val="20"/>
          <w:szCs w:val="24"/>
          <w:lang w:val="en-GB"/>
        </w:rPr>
        <w:sectPr w:rsidR="00DC5685" w:rsidRPr="00A34F10" w:rsidSect="00876422">
          <w:pgSz w:w="11907" w:h="16840" w:code="9"/>
          <w:pgMar w:top="1418" w:right="1134" w:bottom="1134" w:left="1418" w:header="709" w:footer="709" w:gutter="0"/>
          <w:cols w:space="720"/>
        </w:sectPr>
      </w:pPr>
    </w:p>
    <w:p w14:paraId="237122EA" w14:textId="77777777" w:rsidR="00DC5685" w:rsidRPr="00A34F10" w:rsidRDefault="00DC5685" w:rsidP="00DC5685">
      <w:pPr>
        <w:spacing w:after="120"/>
        <w:jc w:val="both"/>
        <w:rPr>
          <w:iCs/>
          <w:sz w:val="20"/>
          <w:szCs w:val="24"/>
          <w:lang w:val="en-GB"/>
        </w:rPr>
      </w:pPr>
    </w:p>
    <w:p w14:paraId="46552B12" w14:textId="740B1DD3" w:rsidR="00DC5685" w:rsidRPr="00A34F10" w:rsidRDefault="00DC5685" w:rsidP="00DC5685">
      <w:pPr>
        <w:keepNext/>
        <w:keepLines/>
        <w:widowControl w:val="0"/>
        <w:tabs>
          <w:tab w:val="left" w:pos="1985"/>
        </w:tabs>
        <w:spacing w:before="200" w:after="120"/>
        <w:ind w:left="1985" w:hanging="1985"/>
        <w:rPr>
          <w:b/>
          <w:bCs/>
        </w:rPr>
      </w:pPr>
      <w:r w:rsidRPr="00A34F10">
        <w:rPr>
          <w:b/>
          <w:bCs/>
        </w:rPr>
        <w:t xml:space="preserve">Table </w:t>
      </w:r>
      <w:r w:rsidR="00370EAA" w:rsidRPr="00A34F10">
        <w:rPr>
          <w:b/>
          <w:bCs/>
        </w:rPr>
        <w:fldChar w:fldCharType="begin"/>
      </w:r>
      <w:r w:rsidR="00370EAA" w:rsidRPr="00A34F10">
        <w:rPr>
          <w:b/>
          <w:bCs/>
        </w:rPr>
        <w:instrText xml:space="preserve"> STYLEREF 2 \s </w:instrText>
      </w:r>
      <w:r w:rsidR="00370EAA" w:rsidRPr="00A34F10">
        <w:rPr>
          <w:b/>
          <w:bCs/>
        </w:rPr>
        <w:fldChar w:fldCharType="separate"/>
      </w:r>
      <w:r w:rsidR="006F0F3B">
        <w:rPr>
          <w:b/>
          <w:bCs/>
          <w:noProof/>
        </w:rPr>
        <w:t>9.5</w:t>
      </w:r>
      <w:r w:rsidR="00370EAA" w:rsidRPr="00A34F10">
        <w:rPr>
          <w:b/>
          <w:bCs/>
        </w:rPr>
        <w:fldChar w:fldCharType="end"/>
      </w:r>
      <w:r w:rsidR="00370EAA" w:rsidRPr="00A34F10">
        <w:rPr>
          <w:b/>
          <w:bCs/>
        </w:rPr>
        <w:noBreakHyphen/>
      </w:r>
      <w:r w:rsidR="00E23E00" w:rsidRPr="00A34F10">
        <w:rPr>
          <w:b/>
          <w:bCs/>
        </w:rPr>
        <w:t>4</w:t>
      </w:r>
      <w:r w:rsidRPr="00A34F10">
        <w:rPr>
          <w:b/>
          <w:bCs/>
        </w:rPr>
        <w:t>:</w:t>
      </w:r>
      <w:r w:rsidRPr="00A34F10">
        <w:rPr>
          <w:b/>
          <w:bCs/>
        </w:rPr>
        <w:tab/>
        <w:t>Estimation of mixture L(E)C</w:t>
      </w:r>
      <w:r w:rsidRPr="00A34F10">
        <w:rPr>
          <w:b/>
          <w:bCs/>
          <w:vertAlign w:val="subscript"/>
        </w:rPr>
        <w:t xml:space="preserve">50, </w:t>
      </w:r>
      <w:r w:rsidRPr="00A34F10">
        <w:rPr>
          <w:b/>
          <w:bCs/>
        </w:rPr>
        <w:t>contribution to overall toxicity and MDR for fish, invertebrates and algae assuming concentration additivity (proportion of active substances in the formulation)</w:t>
      </w:r>
    </w:p>
    <w:tbl>
      <w:tblPr>
        <w:tblStyle w:val="Tabela-Siatka"/>
        <w:tblW w:w="5000" w:type="pct"/>
        <w:tblLook w:val="04A0" w:firstRow="1" w:lastRow="0" w:firstColumn="1" w:lastColumn="0" w:noHBand="0" w:noVBand="1"/>
      </w:tblPr>
      <w:tblGrid>
        <w:gridCol w:w="1557"/>
        <w:gridCol w:w="1274"/>
        <w:gridCol w:w="1496"/>
        <w:gridCol w:w="1910"/>
        <w:gridCol w:w="1496"/>
        <w:gridCol w:w="1902"/>
        <w:gridCol w:w="2059"/>
        <w:gridCol w:w="1516"/>
        <w:gridCol w:w="1068"/>
      </w:tblGrid>
      <w:tr w:rsidR="00DC5685" w:rsidRPr="00A34F10" w14:paraId="044DCF07" w14:textId="77777777" w:rsidTr="000470C3">
        <w:trPr>
          <w:trHeight w:val="585"/>
        </w:trPr>
        <w:tc>
          <w:tcPr>
            <w:tcW w:w="545" w:type="pct"/>
            <w:vAlign w:val="center"/>
            <w:hideMark/>
          </w:tcPr>
          <w:p w14:paraId="4C6236FE" w14:textId="77777777" w:rsidR="00DC5685" w:rsidRPr="00A34F10" w:rsidRDefault="00DC5685" w:rsidP="00DC5685">
            <w:pPr>
              <w:rPr>
                <w:b/>
                <w:bCs/>
                <w:sz w:val="20"/>
                <w:szCs w:val="20"/>
              </w:rPr>
            </w:pPr>
            <w:r w:rsidRPr="00A34F10">
              <w:rPr>
                <w:b/>
                <w:bCs/>
                <w:sz w:val="20"/>
                <w:szCs w:val="20"/>
              </w:rPr>
              <w:t>Organism</w:t>
            </w:r>
          </w:p>
        </w:tc>
        <w:tc>
          <w:tcPr>
            <w:tcW w:w="446" w:type="pct"/>
            <w:vAlign w:val="center"/>
            <w:hideMark/>
          </w:tcPr>
          <w:p w14:paraId="6EE485DD" w14:textId="77777777" w:rsidR="00DC5685" w:rsidRPr="00A34F10" w:rsidRDefault="00DC5685" w:rsidP="00DC5685">
            <w:pPr>
              <w:rPr>
                <w:b/>
                <w:bCs/>
                <w:sz w:val="20"/>
                <w:szCs w:val="20"/>
              </w:rPr>
            </w:pPr>
            <w:r w:rsidRPr="00A34F10">
              <w:rPr>
                <w:b/>
                <w:bCs/>
                <w:sz w:val="20"/>
                <w:szCs w:val="20"/>
              </w:rPr>
              <w:t>Time scale</w:t>
            </w:r>
          </w:p>
        </w:tc>
        <w:tc>
          <w:tcPr>
            <w:tcW w:w="524" w:type="pct"/>
            <w:vAlign w:val="center"/>
            <w:hideMark/>
          </w:tcPr>
          <w:p w14:paraId="4FF05616" w14:textId="77777777" w:rsidR="00DC5685" w:rsidRPr="00A34F10" w:rsidRDefault="00DC5685" w:rsidP="00DC5685">
            <w:pPr>
              <w:rPr>
                <w:b/>
                <w:bCs/>
                <w:sz w:val="20"/>
                <w:szCs w:val="20"/>
              </w:rPr>
            </w:pPr>
            <w:r w:rsidRPr="00A34F10">
              <w:rPr>
                <w:b/>
                <w:bCs/>
                <w:sz w:val="20"/>
                <w:szCs w:val="20"/>
              </w:rPr>
              <w:t>Toxicity endpoint</w:t>
            </w:r>
          </w:p>
        </w:tc>
        <w:tc>
          <w:tcPr>
            <w:tcW w:w="669" w:type="pct"/>
            <w:vAlign w:val="center"/>
            <w:hideMark/>
          </w:tcPr>
          <w:p w14:paraId="52236BEC" w14:textId="77777777" w:rsidR="00DC5685" w:rsidRPr="00A34F10" w:rsidRDefault="00DC5685" w:rsidP="00DC5685">
            <w:pPr>
              <w:rPr>
                <w:b/>
                <w:bCs/>
                <w:sz w:val="20"/>
                <w:szCs w:val="20"/>
              </w:rPr>
            </w:pPr>
            <w:r w:rsidRPr="00A34F10">
              <w:rPr>
                <w:b/>
                <w:bCs/>
                <w:sz w:val="20"/>
                <w:szCs w:val="20"/>
              </w:rPr>
              <w:t>Test substance</w:t>
            </w:r>
          </w:p>
        </w:tc>
        <w:tc>
          <w:tcPr>
            <w:tcW w:w="524" w:type="pct"/>
            <w:vAlign w:val="center"/>
            <w:hideMark/>
          </w:tcPr>
          <w:p w14:paraId="33F02616" w14:textId="77777777" w:rsidR="00DC5685" w:rsidRPr="00A34F10" w:rsidRDefault="00DC5685" w:rsidP="00DC5685">
            <w:pPr>
              <w:rPr>
                <w:b/>
                <w:bCs/>
                <w:sz w:val="20"/>
                <w:szCs w:val="20"/>
              </w:rPr>
            </w:pPr>
            <w:r w:rsidRPr="00A34F10">
              <w:rPr>
                <w:b/>
                <w:bCs/>
                <w:sz w:val="20"/>
                <w:szCs w:val="20"/>
              </w:rPr>
              <w:t>Toxicity endpoint</w:t>
            </w:r>
          </w:p>
          <w:p w14:paraId="1EF1DC4E" w14:textId="77777777" w:rsidR="00DC5685" w:rsidRPr="00A34F10" w:rsidRDefault="00DC5685" w:rsidP="00DC5685">
            <w:pPr>
              <w:rPr>
                <w:b/>
                <w:bCs/>
                <w:sz w:val="20"/>
                <w:szCs w:val="20"/>
              </w:rPr>
            </w:pPr>
            <w:r w:rsidRPr="00A34F10">
              <w:rPr>
                <w:b/>
                <w:bCs/>
                <w:sz w:val="20"/>
                <w:szCs w:val="20"/>
              </w:rPr>
              <w:t>[µg a.s./L]</w:t>
            </w:r>
          </w:p>
        </w:tc>
        <w:tc>
          <w:tcPr>
            <w:tcW w:w="666" w:type="pct"/>
            <w:vAlign w:val="center"/>
            <w:hideMark/>
          </w:tcPr>
          <w:p w14:paraId="3F9D6CA9" w14:textId="77777777" w:rsidR="00DC5685" w:rsidRPr="00A34F10" w:rsidRDefault="00DC5685" w:rsidP="00DC5685">
            <w:pPr>
              <w:rPr>
                <w:b/>
                <w:bCs/>
                <w:sz w:val="20"/>
                <w:szCs w:val="20"/>
              </w:rPr>
            </w:pPr>
            <w:r w:rsidRPr="00A34F10">
              <w:rPr>
                <w:b/>
                <w:bCs/>
                <w:sz w:val="20"/>
                <w:szCs w:val="20"/>
              </w:rPr>
              <w:t>Toxicity per fraction for CA/Surrogate endpoint</w:t>
            </w:r>
          </w:p>
          <w:p w14:paraId="155E5E72" w14:textId="77777777" w:rsidR="00DC5685" w:rsidRPr="00A34F10" w:rsidRDefault="00DC5685" w:rsidP="00DC5685">
            <w:pPr>
              <w:rPr>
                <w:b/>
                <w:bCs/>
                <w:sz w:val="20"/>
                <w:szCs w:val="20"/>
              </w:rPr>
            </w:pPr>
            <w:r w:rsidRPr="00A34F10">
              <w:rPr>
                <w:b/>
                <w:bCs/>
                <w:sz w:val="20"/>
                <w:szCs w:val="20"/>
              </w:rPr>
              <w:t>[µg a.s./L]</w:t>
            </w:r>
          </w:p>
        </w:tc>
        <w:tc>
          <w:tcPr>
            <w:tcW w:w="721" w:type="pct"/>
            <w:vAlign w:val="center"/>
            <w:hideMark/>
          </w:tcPr>
          <w:p w14:paraId="605A0717" w14:textId="77777777" w:rsidR="00DC5685" w:rsidRPr="00A34F10" w:rsidRDefault="00DC5685" w:rsidP="00DC5685">
            <w:pPr>
              <w:rPr>
                <w:b/>
                <w:bCs/>
                <w:sz w:val="20"/>
                <w:szCs w:val="20"/>
              </w:rPr>
            </w:pPr>
            <w:r w:rsidRPr="00A34F10">
              <w:rPr>
                <w:b/>
                <w:bCs/>
                <w:sz w:val="20"/>
                <w:szCs w:val="20"/>
              </w:rPr>
              <w:t>Product endpoint corrected for active substance content and density</w:t>
            </w:r>
          </w:p>
          <w:p w14:paraId="78CEE8B9" w14:textId="77777777" w:rsidR="00DC5685" w:rsidRPr="00A34F10" w:rsidRDefault="00DC5685" w:rsidP="00DC5685">
            <w:pPr>
              <w:rPr>
                <w:b/>
                <w:bCs/>
                <w:sz w:val="20"/>
                <w:szCs w:val="20"/>
              </w:rPr>
            </w:pPr>
            <w:r w:rsidRPr="00A34F10">
              <w:rPr>
                <w:b/>
                <w:bCs/>
                <w:sz w:val="20"/>
                <w:szCs w:val="20"/>
              </w:rPr>
              <w:t>[µg a.s./L]</w:t>
            </w:r>
            <w:r w:rsidRPr="00A34F10">
              <w:rPr>
                <w:b/>
                <w:bCs/>
                <w:sz w:val="20"/>
                <w:szCs w:val="20"/>
                <w:vertAlign w:val="superscript"/>
              </w:rPr>
              <w:t>1)</w:t>
            </w:r>
          </w:p>
        </w:tc>
        <w:tc>
          <w:tcPr>
            <w:tcW w:w="531" w:type="pct"/>
            <w:vAlign w:val="center"/>
            <w:hideMark/>
          </w:tcPr>
          <w:p w14:paraId="34C30C93" w14:textId="77777777" w:rsidR="00DC5685" w:rsidRPr="00A34F10" w:rsidRDefault="00DC5685" w:rsidP="00DC5685">
            <w:pPr>
              <w:rPr>
                <w:b/>
                <w:bCs/>
                <w:sz w:val="20"/>
                <w:szCs w:val="20"/>
              </w:rPr>
            </w:pPr>
            <w:r w:rsidRPr="00A34F10">
              <w:rPr>
                <w:b/>
                <w:bCs/>
                <w:sz w:val="20"/>
                <w:szCs w:val="20"/>
              </w:rPr>
              <w:t>Contribution to overall toxicity [%]</w:t>
            </w:r>
          </w:p>
        </w:tc>
        <w:tc>
          <w:tcPr>
            <w:tcW w:w="374" w:type="pct"/>
            <w:vAlign w:val="center"/>
            <w:hideMark/>
          </w:tcPr>
          <w:p w14:paraId="39C6378C" w14:textId="77777777" w:rsidR="00DC5685" w:rsidRPr="00A34F10" w:rsidRDefault="00DC5685" w:rsidP="00DC5685">
            <w:pPr>
              <w:rPr>
                <w:b/>
                <w:bCs/>
                <w:sz w:val="20"/>
                <w:szCs w:val="20"/>
              </w:rPr>
            </w:pPr>
            <w:r w:rsidRPr="00A34F10">
              <w:rPr>
                <w:b/>
                <w:bCs/>
                <w:sz w:val="20"/>
                <w:szCs w:val="20"/>
              </w:rPr>
              <w:t>MDR</w:t>
            </w:r>
          </w:p>
        </w:tc>
      </w:tr>
      <w:tr w:rsidR="00DC5685" w:rsidRPr="00A34F10" w14:paraId="632E4333" w14:textId="77777777" w:rsidTr="000470C3">
        <w:trPr>
          <w:trHeight w:val="300"/>
        </w:trPr>
        <w:tc>
          <w:tcPr>
            <w:tcW w:w="545" w:type="pct"/>
            <w:vMerge w:val="restart"/>
            <w:vAlign w:val="center"/>
            <w:hideMark/>
          </w:tcPr>
          <w:p w14:paraId="380BF8DD" w14:textId="77777777" w:rsidR="00DC5685" w:rsidRPr="00A34F10" w:rsidRDefault="00DC5685" w:rsidP="00DC5685">
            <w:pPr>
              <w:rPr>
                <w:sz w:val="20"/>
                <w:szCs w:val="20"/>
              </w:rPr>
            </w:pPr>
            <w:r w:rsidRPr="00A34F10">
              <w:rPr>
                <w:sz w:val="20"/>
                <w:szCs w:val="20"/>
              </w:rPr>
              <w:t>Fish</w:t>
            </w:r>
          </w:p>
        </w:tc>
        <w:tc>
          <w:tcPr>
            <w:tcW w:w="446" w:type="pct"/>
            <w:vMerge w:val="restart"/>
            <w:vAlign w:val="center"/>
            <w:hideMark/>
          </w:tcPr>
          <w:p w14:paraId="3E570E67" w14:textId="77777777" w:rsidR="00DC5685" w:rsidRPr="00A34F10" w:rsidRDefault="00DC5685" w:rsidP="00DC5685">
            <w:pPr>
              <w:rPr>
                <w:sz w:val="20"/>
                <w:szCs w:val="20"/>
              </w:rPr>
            </w:pPr>
            <w:r w:rsidRPr="00A34F10">
              <w:rPr>
                <w:sz w:val="20"/>
                <w:szCs w:val="20"/>
              </w:rPr>
              <w:t>acute</w:t>
            </w:r>
          </w:p>
        </w:tc>
        <w:tc>
          <w:tcPr>
            <w:tcW w:w="524" w:type="pct"/>
            <w:vMerge w:val="restart"/>
            <w:vAlign w:val="center"/>
            <w:hideMark/>
          </w:tcPr>
          <w:p w14:paraId="2CD05046" w14:textId="77777777" w:rsidR="00DC5685" w:rsidRPr="00A34F10" w:rsidRDefault="00DC5685" w:rsidP="00DC5685">
            <w:pPr>
              <w:rPr>
                <w:sz w:val="20"/>
                <w:szCs w:val="20"/>
              </w:rPr>
            </w:pPr>
            <w:r w:rsidRPr="00A34F10">
              <w:rPr>
                <w:sz w:val="20"/>
                <w:szCs w:val="20"/>
              </w:rPr>
              <w:t>LC</w:t>
            </w:r>
            <w:r w:rsidRPr="00A34F10">
              <w:rPr>
                <w:sz w:val="20"/>
                <w:szCs w:val="20"/>
                <w:vertAlign w:val="subscript"/>
              </w:rPr>
              <w:t>50</w:t>
            </w:r>
          </w:p>
        </w:tc>
        <w:tc>
          <w:tcPr>
            <w:tcW w:w="669" w:type="pct"/>
            <w:vAlign w:val="center"/>
            <w:hideMark/>
          </w:tcPr>
          <w:p w14:paraId="4EA45283" w14:textId="77777777" w:rsidR="00DC5685" w:rsidRPr="00A34F10" w:rsidRDefault="00DC5685" w:rsidP="00DC5685">
            <w:pPr>
              <w:rPr>
                <w:sz w:val="20"/>
                <w:szCs w:val="20"/>
              </w:rPr>
            </w:pPr>
            <w:r w:rsidRPr="00A34F10">
              <w:rPr>
                <w:sz w:val="20"/>
                <w:szCs w:val="20"/>
              </w:rPr>
              <w:t>Ametoctradin</w:t>
            </w:r>
          </w:p>
        </w:tc>
        <w:tc>
          <w:tcPr>
            <w:tcW w:w="524" w:type="pct"/>
            <w:vAlign w:val="center"/>
            <w:hideMark/>
          </w:tcPr>
          <w:p w14:paraId="10FE5791" w14:textId="77777777" w:rsidR="00DC5685" w:rsidRPr="00A34F10" w:rsidRDefault="00DC5685" w:rsidP="00DC5685">
            <w:pPr>
              <w:rPr>
                <w:sz w:val="20"/>
                <w:szCs w:val="20"/>
              </w:rPr>
            </w:pPr>
            <w:r w:rsidRPr="00A34F10">
              <w:rPr>
                <w:sz w:val="20"/>
                <w:szCs w:val="20"/>
              </w:rPr>
              <w:t>19000</w:t>
            </w:r>
          </w:p>
        </w:tc>
        <w:tc>
          <w:tcPr>
            <w:tcW w:w="666" w:type="pct"/>
            <w:hideMark/>
          </w:tcPr>
          <w:p w14:paraId="0871FF57" w14:textId="77777777" w:rsidR="00DC5685" w:rsidRPr="00A34F10" w:rsidRDefault="00DC5685" w:rsidP="00DC5685">
            <w:pPr>
              <w:rPr>
                <w:sz w:val="20"/>
                <w:szCs w:val="20"/>
              </w:rPr>
            </w:pPr>
            <w:r w:rsidRPr="00A34F10">
              <w:rPr>
                <w:sz w:val="20"/>
                <w:szCs w:val="20"/>
              </w:rPr>
              <w:t>90426.7</w:t>
            </w:r>
          </w:p>
        </w:tc>
        <w:tc>
          <w:tcPr>
            <w:tcW w:w="721" w:type="pct"/>
            <w:vMerge w:val="restart"/>
            <w:vAlign w:val="center"/>
            <w:hideMark/>
          </w:tcPr>
          <w:p w14:paraId="185D5FC9" w14:textId="77777777" w:rsidR="00DC5685" w:rsidRPr="00A34F10" w:rsidRDefault="00DC5685" w:rsidP="00DC5685">
            <w:pPr>
              <w:rPr>
                <w:sz w:val="20"/>
                <w:szCs w:val="20"/>
              </w:rPr>
            </w:pPr>
            <w:r w:rsidRPr="00A34F10">
              <w:rPr>
                <w:sz w:val="20"/>
                <w:szCs w:val="20"/>
              </w:rPr>
              <w:t>60416.7</w:t>
            </w:r>
            <w:r w:rsidRPr="00A34F10">
              <w:rPr>
                <w:b/>
                <w:bCs/>
                <w:sz w:val="20"/>
                <w:szCs w:val="20"/>
                <w:vertAlign w:val="superscript"/>
              </w:rPr>
              <w:t>1)</w:t>
            </w:r>
          </w:p>
        </w:tc>
        <w:tc>
          <w:tcPr>
            <w:tcW w:w="531" w:type="pct"/>
            <w:vAlign w:val="center"/>
            <w:hideMark/>
          </w:tcPr>
          <w:p w14:paraId="513057D1" w14:textId="77777777" w:rsidR="00DC5685" w:rsidRPr="00A34F10" w:rsidRDefault="00DC5685" w:rsidP="00DC5685">
            <w:pPr>
              <w:rPr>
                <w:sz w:val="20"/>
                <w:szCs w:val="20"/>
              </w:rPr>
            </w:pPr>
            <w:r w:rsidRPr="00A34F10">
              <w:rPr>
                <w:sz w:val="20"/>
                <w:szCs w:val="20"/>
              </w:rPr>
              <w:t>56.3</w:t>
            </w:r>
          </w:p>
        </w:tc>
        <w:tc>
          <w:tcPr>
            <w:tcW w:w="374" w:type="pct"/>
            <w:vMerge w:val="restart"/>
            <w:vAlign w:val="center"/>
            <w:hideMark/>
          </w:tcPr>
          <w:p w14:paraId="46A5D6CD" w14:textId="77777777" w:rsidR="00DC5685" w:rsidRPr="00A34F10" w:rsidRDefault="00DC5685" w:rsidP="00DC5685">
            <w:pPr>
              <w:rPr>
                <w:sz w:val="20"/>
                <w:szCs w:val="20"/>
              </w:rPr>
            </w:pPr>
            <w:r w:rsidRPr="00A34F10">
              <w:rPr>
                <w:sz w:val="20"/>
                <w:szCs w:val="20"/>
              </w:rPr>
              <w:t>0.843</w:t>
            </w:r>
          </w:p>
        </w:tc>
      </w:tr>
      <w:tr w:rsidR="00DC5685" w:rsidRPr="00A34F10" w14:paraId="33BFB8DE" w14:textId="77777777" w:rsidTr="000470C3">
        <w:trPr>
          <w:trHeight w:val="300"/>
        </w:trPr>
        <w:tc>
          <w:tcPr>
            <w:tcW w:w="545" w:type="pct"/>
            <w:vMerge/>
            <w:vAlign w:val="center"/>
            <w:hideMark/>
          </w:tcPr>
          <w:p w14:paraId="00D4D55F" w14:textId="77777777" w:rsidR="00DC5685" w:rsidRPr="00A34F10" w:rsidRDefault="00DC5685" w:rsidP="00DC5685">
            <w:pPr>
              <w:rPr>
                <w:sz w:val="20"/>
                <w:szCs w:val="20"/>
              </w:rPr>
            </w:pPr>
          </w:p>
        </w:tc>
        <w:tc>
          <w:tcPr>
            <w:tcW w:w="446" w:type="pct"/>
            <w:vMerge/>
            <w:vAlign w:val="center"/>
            <w:hideMark/>
          </w:tcPr>
          <w:p w14:paraId="000A48D3" w14:textId="77777777" w:rsidR="00DC5685" w:rsidRPr="00A34F10" w:rsidRDefault="00DC5685" w:rsidP="00DC5685">
            <w:pPr>
              <w:rPr>
                <w:sz w:val="20"/>
                <w:szCs w:val="20"/>
              </w:rPr>
            </w:pPr>
          </w:p>
        </w:tc>
        <w:tc>
          <w:tcPr>
            <w:tcW w:w="524" w:type="pct"/>
            <w:vMerge/>
            <w:vAlign w:val="center"/>
            <w:hideMark/>
          </w:tcPr>
          <w:p w14:paraId="259879AE" w14:textId="77777777" w:rsidR="00DC5685" w:rsidRPr="00A34F10" w:rsidRDefault="00DC5685" w:rsidP="00DC5685">
            <w:pPr>
              <w:rPr>
                <w:sz w:val="20"/>
                <w:szCs w:val="20"/>
              </w:rPr>
            </w:pPr>
          </w:p>
        </w:tc>
        <w:tc>
          <w:tcPr>
            <w:tcW w:w="669" w:type="pct"/>
            <w:vAlign w:val="center"/>
            <w:hideMark/>
          </w:tcPr>
          <w:p w14:paraId="6580E1EF" w14:textId="77777777" w:rsidR="00DC5685" w:rsidRPr="00A34F10" w:rsidRDefault="00DC5685" w:rsidP="00DC5685">
            <w:pPr>
              <w:rPr>
                <w:sz w:val="20"/>
                <w:szCs w:val="20"/>
              </w:rPr>
            </w:pPr>
            <w:r w:rsidRPr="00A34F10">
              <w:rPr>
                <w:sz w:val="20"/>
                <w:szCs w:val="20"/>
              </w:rPr>
              <w:t>Propamocarb-HCl</w:t>
            </w:r>
          </w:p>
        </w:tc>
        <w:tc>
          <w:tcPr>
            <w:tcW w:w="524" w:type="pct"/>
            <w:vAlign w:val="center"/>
            <w:hideMark/>
          </w:tcPr>
          <w:p w14:paraId="1C6879C3" w14:textId="77777777" w:rsidR="00DC5685" w:rsidRPr="00A34F10" w:rsidRDefault="00DC5685" w:rsidP="00DC5685">
            <w:pPr>
              <w:rPr>
                <w:sz w:val="20"/>
                <w:szCs w:val="20"/>
              </w:rPr>
            </w:pPr>
            <w:r w:rsidRPr="00A34F10">
              <w:rPr>
                <w:sz w:val="20"/>
                <w:szCs w:val="20"/>
              </w:rPr>
              <w:t>92000</w:t>
            </w:r>
          </w:p>
        </w:tc>
        <w:tc>
          <w:tcPr>
            <w:tcW w:w="666" w:type="pct"/>
            <w:hideMark/>
          </w:tcPr>
          <w:p w14:paraId="6F13E73B" w14:textId="77777777" w:rsidR="00DC5685" w:rsidRPr="00A34F10" w:rsidRDefault="00DC5685" w:rsidP="00DC5685">
            <w:pPr>
              <w:rPr>
                <w:sz w:val="20"/>
                <w:szCs w:val="20"/>
              </w:rPr>
            </w:pPr>
            <w:r w:rsidRPr="00A34F10">
              <w:rPr>
                <w:sz w:val="20"/>
                <w:szCs w:val="20"/>
              </w:rPr>
              <w:t>116472.6</w:t>
            </w:r>
          </w:p>
        </w:tc>
        <w:tc>
          <w:tcPr>
            <w:tcW w:w="721" w:type="pct"/>
            <w:vMerge/>
            <w:vAlign w:val="center"/>
            <w:hideMark/>
          </w:tcPr>
          <w:p w14:paraId="699AC7E1" w14:textId="77777777" w:rsidR="00DC5685" w:rsidRPr="00A34F10" w:rsidRDefault="00DC5685" w:rsidP="00DC5685">
            <w:pPr>
              <w:rPr>
                <w:sz w:val="20"/>
                <w:szCs w:val="20"/>
              </w:rPr>
            </w:pPr>
          </w:p>
        </w:tc>
        <w:tc>
          <w:tcPr>
            <w:tcW w:w="531" w:type="pct"/>
            <w:vAlign w:val="center"/>
            <w:hideMark/>
          </w:tcPr>
          <w:p w14:paraId="71F2EFE8" w14:textId="77777777" w:rsidR="00DC5685" w:rsidRPr="00A34F10" w:rsidRDefault="00DC5685" w:rsidP="00DC5685">
            <w:pPr>
              <w:rPr>
                <w:sz w:val="20"/>
                <w:szCs w:val="20"/>
              </w:rPr>
            </w:pPr>
            <w:r w:rsidRPr="00A34F10">
              <w:rPr>
                <w:sz w:val="20"/>
                <w:szCs w:val="20"/>
              </w:rPr>
              <w:t>43.7</w:t>
            </w:r>
          </w:p>
        </w:tc>
        <w:tc>
          <w:tcPr>
            <w:tcW w:w="374" w:type="pct"/>
            <w:vMerge/>
            <w:vAlign w:val="center"/>
            <w:hideMark/>
          </w:tcPr>
          <w:p w14:paraId="0FEA8A13" w14:textId="77777777" w:rsidR="00DC5685" w:rsidRPr="00A34F10" w:rsidRDefault="00DC5685" w:rsidP="00DC5685">
            <w:pPr>
              <w:rPr>
                <w:sz w:val="20"/>
                <w:szCs w:val="20"/>
              </w:rPr>
            </w:pPr>
          </w:p>
        </w:tc>
      </w:tr>
      <w:tr w:rsidR="00DC5685" w:rsidRPr="00A34F10" w14:paraId="5974907B" w14:textId="77777777" w:rsidTr="000470C3">
        <w:trPr>
          <w:trHeight w:val="300"/>
        </w:trPr>
        <w:tc>
          <w:tcPr>
            <w:tcW w:w="545" w:type="pct"/>
            <w:vMerge/>
            <w:vAlign w:val="center"/>
            <w:hideMark/>
          </w:tcPr>
          <w:p w14:paraId="5D23FECE" w14:textId="77777777" w:rsidR="00DC5685" w:rsidRPr="00A34F10" w:rsidRDefault="00DC5685" w:rsidP="00DC5685">
            <w:pPr>
              <w:rPr>
                <w:sz w:val="20"/>
                <w:szCs w:val="20"/>
              </w:rPr>
            </w:pPr>
          </w:p>
        </w:tc>
        <w:tc>
          <w:tcPr>
            <w:tcW w:w="446" w:type="pct"/>
            <w:vMerge/>
            <w:vAlign w:val="center"/>
            <w:hideMark/>
          </w:tcPr>
          <w:p w14:paraId="48F2FCBA" w14:textId="77777777" w:rsidR="00DC5685" w:rsidRPr="00A34F10" w:rsidRDefault="00DC5685" w:rsidP="00DC5685">
            <w:pPr>
              <w:rPr>
                <w:sz w:val="20"/>
                <w:szCs w:val="20"/>
              </w:rPr>
            </w:pPr>
          </w:p>
        </w:tc>
        <w:tc>
          <w:tcPr>
            <w:tcW w:w="524" w:type="pct"/>
            <w:vMerge/>
            <w:vAlign w:val="center"/>
            <w:hideMark/>
          </w:tcPr>
          <w:p w14:paraId="2CD647E2" w14:textId="77777777" w:rsidR="00DC5685" w:rsidRPr="00A34F10" w:rsidRDefault="00DC5685" w:rsidP="00DC5685">
            <w:pPr>
              <w:rPr>
                <w:sz w:val="20"/>
                <w:szCs w:val="20"/>
              </w:rPr>
            </w:pPr>
          </w:p>
        </w:tc>
        <w:tc>
          <w:tcPr>
            <w:tcW w:w="669" w:type="pct"/>
            <w:vAlign w:val="center"/>
            <w:hideMark/>
          </w:tcPr>
          <w:p w14:paraId="33907A8D" w14:textId="77777777" w:rsidR="00DC5685" w:rsidRPr="00A34F10" w:rsidRDefault="00DC5685" w:rsidP="00DC5685">
            <w:pPr>
              <w:rPr>
                <w:sz w:val="20"/>
                <w:szCs w:val="20"/>
              </w:rPr>
            </w:pPr>
            <w:r w:rsidRPr="00A34F10">
              <w:rPr>
                <w:sz w:val="20"/>
                <w:szCs w:val="20"/>
              </w:rPr>
              <w:t>BAS 743 02 F</w:t>
            </w:r>
          </w:p>
        </w:tc>
        <w:tc>
          <w:tcPr>
            <w:tcW w:w="524" w:type="pct"/>
            <w:vAlign w:val="center"/>
            <w:hideMark/>
          </w:tcPr>
          <w:p w14:paraId="48BA37B5" w14:textId="77777777" w:rsidR="00DC5685" w:rsidRPr="00A34F10" w:rsidRDefault="00DC5685" w:rsidP="00DC5685">
            <w:pPr>
              <w:rPr>
                <w:sz w:val="20"/>
                <w:szCs w:val="20"/>
              </w:rPr>
            </w:pPr>
            <w:r w:rsidRPr="00A34F10">
              <w:rPr>
                <w:sz w:val="20"/>
                <w:szCs w:val="20"/>
              </w:rPr>
              <w:t>100000</w:t>
            </w:r>
          </w:p>
        </w:tc>
        <w:tc>
          <w:tcPr>
            <w:tcW w:w="666" w:type="pct"/>
            <w:hideMark/>
          </w:tcPr>
          <w:p w14:paraId="2AF7F558" w14:textId="77777777" w:rsidR="00DC5685" w:rsidRPr="00A34F10" w:rsidRDefault="00DC5685" w:rsidP="00DC5685">
            <w:pPr>
              <w:rPr>
                <w:b/>
                <w:bCs/>
                <w:sz w:val="20"/>
                <w:szCs w:val="20"/>
              </w:rPr>
            </w:pPr>
            <w:r w:rsidRPr="00A34F10">
              <w:rPr>
                <w:b/>
                <w:bCs/>
                <w:sz w:val="20"/>
                <w:szCs w:val="20"/>
              </w:rPr>
              <w:t>50905.1</w:t>
            </w:r>
          </w:p>
        </w:tc>
        <w:tc>
          <w:tcPr>
            <w:tcW w:w="721" w:type="pct"/>
            <w:vMerge/>
            <w:vAlign w:val="center"/>
            <w:hideMark/>
          </w:tcPr>
          <w:p w14:paraId="058BFB9A" w14:textId="77777777" w:rsidR="00DC5685" w:rsidRPr="00A34F10" w:rsidRDefault="00DC5685" w:rsidP="00DC5685">
            <w:pPr>
              <w:rPr>
                <w:sz w:val="20"/>
                <w:szCs w:val="20"/>
              </w:rPr>
            </w:pPr>
          </w:p>
        </w:tc>
        <w:tc>
          <w:tcPr>
            <w:tcW w:w="531" w:type="pct"/>
            <w:vAlign w:val="center"/>
            <w:hideMark/>
          </w:tcPr>
          <w:p w14:paraId="663FF31F" w14:textId="77777777" w:rsidR="00DC5685" w:rsidRPr="00A34F10" w:rsidRDefault="00DC5685" w:rsidP="00DC5685">
            <w:pPr>
              <w:rPr>
                <w:sz w:val="20"/>
                <w:szCs w:val="20"/>
              </w:rPr>
            </w:pPr>
            <w:r w:rsidRPr="00A34F10">
              <w:rPr>
                <w:sz w:val="20"/>
                <w:szCs w:val="20"/>
              </w:rPr>
              <w:t>n.a.</w:t>
            </w:r>
          </w:p>
        </w:tc>
        <w:tc>
          <w:tcPr>
            <w:tcW w:w="374" w:type="pct"/>
            <w:vMerge/>
            <w:vAlign w:val="center"/>
            <w:hideMark/>
          </w:tcPr>
          <w:p w14:paraId="3E5EE499" w14:textId="77777777" w:rsidR="00DC5685" w:rsidRPr="00A34F10" w:rsidRDefault="00DC5685" w:rsidP="00DC5685">
            <w:pPr>
              <w:rPr>
                <w:sz w:val="20"/>
                <w:szCs w:val="20"/>
              </w:rPr>
            </w:pPr>
          </w:p>
        </w:tc>
      </w:tr>
      <w:tr w:rsidR="00DC5685" w:rsidRPr="00A34F10" w14:paraId="263C0E25" w14:textId="77777777" w:rsidTr="000470C3">
        <w:trPr>
          <w:trHeight w:val="285"/>
        </w:trPr>
        <w:tc>
          <w:tcPr>
            <w:tcW w:w="545" w:type="pct"/>
            <w:vMerge/>
            <w:vAlign w:val="center"/>
            <w:hideMark/>
          </w:tcPr>
          <w:p w14:paraId="67D7A2C9" w14:textId="77777777" w:rsidR="00DC5685" w:rsidRPr="00A34F10" w:rsidRDefault="00DC5685" w:rsidP="00DC5685">
            <w:pPr>
              <w:rPr>
                <w:sz w:val="20"/>
                <w:szCs w:val="20"/>
              </w:rPr>
            </w:pPr>
          </w:p>
        </w:tc>
        <w:tc>
          <w:tcPr>
            <w:tcW w:w="446" w:type="pct"/>
            <w:vMerge w:val="restart"/>
            <w:vAlign w:val="center"/>
            <w:hideMark/>
          </w:tcPr>
          <w:p w14:paraId="568CECA2" w14:textId="77777777" w:rsidR="00DC5685" w:rsidRPr="00A34F10" w:rsidRDefault="00DC5685" w:rsidP="00DC5685">
            <w:pPr>
              <w:rPr>
                <w:sz w:val="20"/>
                <w:szCs w:val="20"/>
              </w:rPr>
            </w:pPr>
            <w:r w:rsidRPr="00A34F10">
              <w:rPr>
                <w:sz w:val="20"/>
                <w:szCs w:val="20"/>
              </w:rPr>
              <w:t>chronic</w:t>
            </w:r>
          </w:p>
        </w:tc>
        <w:tc>
          <w:tcPr>
            <w:tcW w:w="524" w:type="pct"/>
            <w:vMerge w:val="restart"/>
            <w:vAlign w:val="center"/>
            <w:hideMark/>
          </w:tcPr>
          <w:p w14:paraId="775EE71A" w14:textId="77777777" w:rsidR="00DC5685" w:rsidRPr="00A34F10" w:rsidRDefault="00DC5685" w:rsidP="00DC5685">
            <w:pPr>
              <w:rPr>
                <w:sz w:val="20"/>
                <w:szCs w:val="20"/>
              </w:rPr>
            </w:pPr>
            <w:r w:rsidRPr="00A34F10">
              <w:rPr>
                <w:sz w:val="20"/>
                <w:szCs w:val="20"/>
              </w:rPr>
              <w:t>NOEC</w:t>
            </w:r>
          </w:p>
        </w:tc>
        <w:tc>
          <w:tcPr>
            <w:tcW w:w="669" w:type="pct"/>
            <w:vAlign w:val="center"/>
            <w:hideMark/>
          </w:tcPr>
          <w:p w14:paraId="0ED4D200" w14:textId="77777777" w:rsidR="00DC5685" w:rsidRPr="00A34F10" w:rsidRDefault="00DC5685" w:rsidP="00DC5685">
            <w:pPr>
              <w:rPr>
                <w:sz w:val="20"/>
                <w:szCs w:val="20"/>
              </w:rPr>
            </w:pPr>
            <w:r w:rsidRPr="00A34F10">
              <w:rPr>
                <w:sz w:val="20"/>
                <w:szCs w:val="20"/>
              </w:rPr>
              <w:t>Ametoctradin</w:t>
            </w:r>
          </w:p>
        </w:tc>
        <w:tc>
          <w:tcPr>
            <w:tcW w:w="524" w:type="pct"/>
            <w:vAlign w:val="center"/>
            <w:hideMark/>
          </w:tcPr>
          <w:p w14:paraId="1588FFBA" w14:textId="77777777" w:rsidR="00DC5685" w:rsidRPr="00A34F10" w:rsidRDefault="00DC5685" w:rsidP="00DC5685">
            <w:pPr>
              <w:rPr>
                <w:sz w:val="20"/>
                <w:szCs w:val="20"/>
              </w:rPr>
            </w:pPr>
            <w:r w:rsidRPr="00A34F10">
              <w:rPr>
                <w:sz w:val="20"/>
                <w:szCs w:val="20"/>
              </w:rPr>
              <w:t>48</w:t>
            </w:r>
          </w:p>
        </w:tc>
        <w:tc>
          <w:tcPr>
            <w:tcW w:w="666" w:type="pct"/>
            <w:vAlign w:val="center"/>
            <w:hideMark/>
          </w:tcPr>
          <w:p w14:paraId="43C73F1D" w14:textId="77777777" w:rsidR="00DC5685" w:rsidRPr="00A34F10" w:rsidRDefault="00DC5685" w:rsidP="00DC5685">
            <w:pPr>
              <w:rPr>
                <w:sz w:val="20"/>
                <w:szCs w:val="20"/>
              </w:rPr>
            </w:pPr>
            <w:r w:rsidRPr="00A34F10">
              <w:rPr>
                <w:sz w:val="20"/>
                <w:szCs w:val="20"/>
              </w:rPr>
              <w:t>228.6</w:t>
            </w:r>
          </w:p>
        </w:tc>
        <w:tc>
          <w:tcPr>
            <w:tcW w:w="721" w:type="pct"/>
            <w:vMerge w:val="restart"/>
            <w:vAlign w:val="center"/>
            <w:hideMark/>
          </w:tcPr>
          <w:p w14:paraId="4DCD0C62" w14:textId="77777777" w:rsidR="00DC5685" w:rsidRPr="00A34F10" w:rsidRDefault="00DC5685" w:rsidP="00DC5685">
            <w:pPr>
              <w:rPr>
                <w:sz w:val="20"/>
                <w:szCs w:val="20"/>
              </w:rPr>
            </w:pPr>
            <w:r w:rsidRPr="00A34F10">
              <w:rPr>
                <w:sz w:val="20"/>
                <w:szCs w:val="20"/>
              </w:rPr>
              <w:t>--</w:t>
            </w:r>
          </w:p>
        </w:tc>
        <w:tc>
          <w:tcPr>
            <w:tcW w:w="531" w:type="pct"/>
            <w:vAlign w:val="center"/>
            <w:hideMark/>
          </w:tcPr>
          <w:p w14:paraId="4E60E511" w14:textId="77777777" w:rsidR="00DC5685" w:rsidRPr="00A34F10" w:rsidRDefault="00DC5685" w:rsidP="00DC5685">
            <w:pPr>
              <w:rPr>
                <w:b/>
                <w:bCs/>
                <w:sz w:val="20"/>
                <w:szCs w:val="20"/>
              </w:rPr>
            </w:pPr>
            <w:r w:rsidRPr="00A34F10">
              <w:rPr>
                <w:b/>
                <w:bCs/>
                <w:sz w:val="20"/>
                <w:szCs w:val="20"/>
              </w:rPr>
              <w:t>97.21</w:t>
            </w:r>
          </w:p>
        </w:tc>
        <w:tc>
          <w:tcPr>
            <w:tcW w:w="374" w:type="pct"/>
            <w:vMerge w:val="restart"/>
            <w:vAlign w:val="center"/>
            <w:hideMark/>
          </w:tcPr>
          <w:p w14:paraId="7640925E" w14:textId="77777777" w:rsidR="00DC5685" w:rsidRPr="00A34F10" w:rsidRDefault="00DC5685" w:rsidP="00DC5685">
            <w:pPr>
              <w:rPr>
                <w:sz w:val="20"/>
                <w:szCs w:val="20"/>
              </w:rPr>
            </w:pPr>
            <w:r w:rsidRPr="00A34F10">
              <w:rPr>
                <w:sz w:val="20"/>
                <w:szCs w:val="20"/>
              </w:rPr>
              <w:t>--</w:t>
            </w:r>
          </w:p>
        </w:tc>
      </w:tr>
      <w:tr w:rsidR="00DC5685" w:rsidRPr="00A34F10" w14:paraId="6EC94169" w14:textId="77777777" w:rsidTr="000470C3">
        <w:trPr>
          <w:trHeight w:val="285"/>
        </w:trPr>
        <w:tc>
          <w:tcPr>
            <w:tcW w:w="545" w:type="pct"/>
            <w:vMerge/>
            <w:vAlign w:val="center"/>
            <w:hideMark/>
          </w:tcPr>
          <w:p w14:paraId="68F76DCB" w14:textId="77777777" w:rsidR="00DC5685" w:rsidRPr="00A34F10" w:rsidRDefault="00DC5685" w:rsidP="00DC5685">
            <w:pPr>
              <w:rPr>
                <w:sz w:val="20"/>
                <w:szCs w:val="20"/>
              </w:rPr>
            </w:pPr>
          </w:p>
        </w:tc>
        <w:tc>
          <w:tcPr>
            <w:tcW w:w="446" w:type="pct"/>
            <w:vMerge/>
            <w:vAlign w:val="center"/>
            <w:hideMark/>
          </w:tcPr>
          <w:p w14:paraId="773BE21B" w14:textId="77777777" w:rsidR="00DC5685" w:rsidRPr="00A34F10" w:rsidRDefault="00DC5685" w:rsidP="00DC5685">
            <w:pPr>
              <w:rPr>
                <w:sz w:val="20"/>
                <w:szCs w:val="20"/>
              </w:rPr>
            </w:pPr>
          </w:p>
        </w:tc>
        <w:tc>
          <w:tcPr>
            <w:tcW w:w="524" w:type="pct"/>
            <w:vMerge/>
            <w:vAlign w:val="center"/>
            <w:hideMark/>
          </w:tcPr>
          <w:p w14:paraId="4F5E0C16" w14:textId="77777777" w:rsidR="00DC5685" w:rsidRPr="00A34F10" w:rsidRDefault="00DC5685" w:rsidP="00DC5685">
            <w:pPr>
              <w:rPr>
                <w:sz w:val="20"/>
                <w:szCs w:val="20"/>
              </w:rPr>
            </w:pPr>
          </w:p>
        </w:tc>
        <w:tc>
          <w:tcPr>
            <w:tcW w:w="669" w:type="pct"/>
            <w:vAlign w:val="center"/>
            <w:hideMark/>
          </w:tcPr>
          <w:p w14:paraId="66027F95" w14:textId="77777777" w:rsidR="00DC5685" w:rsidRPr="00A34F10" w:rsidRDefault="00DC5685" w:rsidP="00DC5685">
            <w:pPr>
              <w:rPr>
                <w:sz w:val="20"/>
                <w:szCs w:val="20"/>
              </w:rPr>
            </w:pPr>
            <w:r w:rsidRPr="00A34F10">
              <w:rPr>
                <w:sz w:val="20"/>
                <w:szCs w:val="20"/>
              </w:rPr>
              <w:t>Propamocarb-HCl</w:t>
            </w:r>
          </w:p>
        </w:tc>
        <w:tc>
          <w:tcPr>
            <w:tcW w:w="524" w:type="pct"/>
            <w:vAlign w:val="center"/>
            <w:hideMark/>
          </w:tcPr>
          <w:p w14:paraId="08E55DEF" w14:textId="77777777" w:rsidR="00DC5685" w:rsidRPr="00A34F10" w:rsidRDefault="00DC5685" w:rsidP="00DC5685">
            <w:pPr>
              <w:rPr>
                <w:sz w:val="20"/>
                <w:szCs w:val="20"/>
              </w:rPr>
            </w:pPr>
            <w:r w:rsidRPr="00A34F10">
              <w:rPr>
                <w:sz w:val="20"/>
                <w:szCs w:val="20"/>
              </w:rPr>
              <w:t>6300</w:t>
            </w:r>
          </w:p>
        </w:tc>
        <w:tc>
          <w:tcPr>
            <w:tcW w:w="666" w:type="pct"/>
            <w:vAlign w:val="center"/>
            <w:hideMark/>
          </w:tcPr>
          <w:p w14:paraId="62515564" w14:textId="77777777" w:rsidR="00DC5685" w:rsidRPr="00A34F10" w:rsidRDefault="00DC5685" w:rsidP="00DC5685">
            <w:pPr>
              <w:rPr>
                <w:sz w:val="20"/>
                <w:szCs w:val="20"/>
              </w:rPr>
            </w:pPr>
            <w:r w:rsidRPr="00A34F10">
              <w:rPr>
                <w:sz w:val="20"/>
                <w:szCs w:val="20"/>
              </w:rPr>
              <w:t>7974.7</w:t>
            </w:r>
          </w:p>
        </w:tc>
        <w:tc>
          <w:tcPr>
            <w:tcW w:w="721" w:type="pct"/>
            <w:vMerge/>
            <w:vAlign w:val="center"/>
            <w:hideMark/>
          </w:tcPr>
          <w:p w14:paraId="6545C6AD" w14:textId="77777777" w:rsidR="00DC5685" w:rsidRPr="00A34F10" w:rsidRDefault="00DC5685" w:rsidP="00DC5685">
            <w:pPr>
              <w:rPr>
                <w:sz w:val="20"/>
                <w:szCs w:val="20"/>
              </w:rPr>
            </w:pPr>
          </w:p>
        </w:tc>
        <w:tc>
          <w:tcPr>
            <w:tcW w:w="531" w:type="pct"/>
            <w:vAlign w:val="center"/>
            <w:hideMark/>
          </w:tcPr>
          <w:p w14:paraId="40E3C386" w14:textId="77777777" w:rsidR="00DC5685" w:rsidRPr="00A34F10" w:rsidRDefault="00DC5685" w:rsidP="00DC5685">
            <w:pPr>
              <w:rPr>
                <w:sz w:val="20"/>
                <w:szCs w:val="20"/>
              </w:rPr>
            </w:pPr>
            <w:r w:rsidRPr="00A34F10">
              <w:rPr>
                <w:sz w:val="20"/>
                <w:szCs w:val="20"/>
              </w:rPr>
              <w:t>2.786</w:t>
            </w:r>
          </w:p>
        </w:tc>
        <w:tc>
          <w:tcPr>
            <w:tcW w:w="374" w:type="pct"/>
            <w:vMerge/>
            <w:vAlign w:val="center"/>
            <w:hideMark/>
          </w:tcPr>
          <w:p w14:paraId="7CD0BC00" w14:textId="77777777" w:rsidR="00DC5685" w:rsidRPr="00A34F10" w:rsidRDefault="00DC5685" w:rsidP="00DC5685">
            <w:pPr>
              <w:rPr>
                <w:sz w:val="20"/>
                <w:szCs w:val="20"/>
              </w:rPr>
            </w:pPr>
          </w:p>
        </w:tc>
      </w:tr>
      <w:tr w:rsidR="00DC5685" w:rsidRPr="00A34F10" w14:paraId="7ABF898D" w14:textId="77777777" w:rsidTr="000470C3">
        <w:trPr>
          <w:trHeight w:val="300"/>
        </w:trPr>
        <w:tc>
          <w:tcPr>
            <w:tcW w:w="545" w:type="pct"/>
            <w:vMerge/>
            <w:vAlign w:val="center"/>
            <w:hideMark/>
          </w:tcPr>
          <w:p w14:paraId="39DF4B43" w14:textId="77777777" w:rsidR="00DC5685" w:rsidRPr="00A34F10" w:rsidRDefault="00DC5685" w:rsidP="00DC5685">
            <w:pPr>
              <w:rPr>
                <w:sz w:val="20"/>
                <w:szCs w:val="20"/>
              </w:rPr>
            </w:pPr>
          </w:p>
        </w:tc>
        <w:tc>
          <w:tcPr>
            <w:tcW w:w="446" w:type="pct"/>
            <w:vMerge/>
            <w:vAlign w:val="center"/>
            <w:hideMark/>
          </w:tcPr>
          <w:p w14:paraId="46571564" w14:textId="77777777" w:rsidR="00DC5685" w:rsidRPr="00A34F10" w:rsidRDefault="00DC5685" w:rsidP="00DC5685">
            <w:pPr>
              <w:rPr>
                <w:sz w:val="20"/>
                <w:szCs w:val="20"/>
              </w:rPr>
            </w:pPr>
          </w:p>
        </w:tc>
        <w:tc>
          <w:tcPr>
            <w:tcW w:w="524" w:type="pct"/>
            <w:vMerge/>
            <w:vAlign w:val="center"/>
            <w:hideMark/>
          </w:tcPr>
          <w:p w14:paraId="15DC852E" w14:textId="77777777" w:rsidR="00DC5685" w:rsidRPr="00A34F10" w:rsidRDefault="00DC5685" w:rsidP="00DC5685">
            <w:pPr>
              <w:rPr>
                <w:sz w:val="20"/>
                <w:szCs w:val="20"/>
              </w:rPr>
            </w:pPr>
          </w:p>
        </w:tc>
        <w:tc>
          <w:tcPr>
            <w:tcW w:w="669" w:type="pct"/>
            <w:vAlign w:val="center"/>
            <w:hideMark/>
          </w:tcPr>
          <w:p w14:paraId="47EE061C" w14:textId="77777777" w:rsidR="00DC5685" w:rsidRPr="00A34F10" w:rsidRDefault="00DC5685" w:rsidP="00DC5685">
            <w:pPr>
              <w:rPr>
                <w:sz w:val="20"/>
                <w:szCs w:val="20"/>
              </w:rPr>
            </w:pPr>
            <w:r w:rsidRPr="00A34F10">
              <w:rPr>
                <w:sz w:val="20"/>
                <w:szCs w:val="20"/>
              </w:rPr>
              <w:t>BAS 743 02 F</w:t>
            </w:r>
          </w:p>
        </w:tc>
        <w:tc>
          <w:tcPr>
            <w:tcW w:w="524" w:type="pct"/>
            <w:vAlign w:val="center"/>
            <w:hideMark/>
          </w:tcPr>
          <w:p w14:paraId="116D3631" w14:textId="77777777" w:rsidR="00DC5685" w:rsidRPr="00A34F10" w:rsidRDefault="00DC5685" w:rsidP="00DC5685">
            <w:pPr>
              <w:rPr>
                <w:sz w:val="20"/>
                <w:szCs w:val="20"/>
              </w:rPr>
            </w:pPr>
            <w:r w:rsidRPr="00A34F10">
              <w:rPr>
                <w:sz w:val="20"/>
                <w:szCs w:val="20"/>
              </w:rPr>
              <w:t>n.a.</w:t>
            </w:r>
          </w:p>
        </w:tc>
        <w:tc>
          <w:tcPr>
            <w:tcW w:w="666" w:type="pct"/>
            <w:vAlign w:val="center"/>
            <w:hideMark/>
          </w:tcPr>
          <w:p w14:paraId="25C4BD5C" w14:textId="77777777" w:rsidR="00DC5685" w:rsidRPr="00A34F10" w:rsidRDefault="00DC5685" w:rsidP="00DC5685">
            <w:pPr>
              <w:rPr>
                <w:b/>
                <w:bCs/>
                <w:sz w:val="20"/>
                <w:szCs w:val="20"/>
              </w:rPr>
            </w:pPr>
            <w:r w:rsidRPr="00A34F10">
              <w:rPr>
                <w:b/>
                <w:bCs/>
                <w:sz w:val="20"/>
                <w:szCs w:val="20"/>
              </w:rPr>
              <w:t>222.2</w:t>
            </w:r>
          </w:p>
        </w:tc>
        <w:tc>
          <w:tcPr>
            <w:tcW w:w="721" w:type="pct"/>
            <w:vMerge/>
            <w:vAlign w:val="center"/>
            <w:hideMark/>
          </w:tcPr>
          <w:p w14:paraId="07A137CF" w14:textId="77777777" w:rsidR="00DC5685" w:rsidRPr="00A34F10" w:rsidRDefault="00DC5685" w:rsidP="00DC5685">
            <w:pPr>
              <w:rPr>
                <w:sz w:val="20"/>
                <w:szCs w:val="20"/>
              </w:rPr>
            </w:pPr>
          </w:p>
        </w:tc>
        <w:tc>
          <w:tcPr>
            <w:tcW w:w="531" w:type="pct"/>
            <w:vAlign w:val="center"/>
            <w:hideMark/>
          </w:tcPr>
          <w:p w14:paraId="4EE6BB51" w14:textId="77777777" w:rsidR="00DC5685" w:rsidRPr="00A34F10" w:rsidRDefault="00DC5685" w:rsidP="00DC5685">
            <w:pPr>
              <w:rPr>
                <w:sz w:val="20"/>
                <w:szCs w:val="20"/>
              </w:rPr>
            </w:pPr>
            <w:r w:rsidRPr="00A34F10">
              <w:rPr>
                <w:sz w:val="20"/>
                <w:szCs w:val="20"/>
              </w:rPr>
              <w:t>n.a.</w:t>
            </w:r>
          </w:p>
        </w:tc>
        <w:tc>
          <w:tcPr>
            <w:tcW w:w="374" w:type="pct"/>
            <w:vMerge/>
            <w:vAlign w:val="center"/>
            <w:hideMark/>
          </w:tcPr>
          <w:p w14:paraId="04ACF855" w14:textId="77777777" w:rsidR="00DC5685" w:rsidRPr="00A34F10" w:rsidRDefault="00DC5685" w:rsidP="00DC5685">
            <w:pPr>
              <w:rPr>
                <w:sz w:val="20"/>
                <w:szCs w:val="20"/>
              </w:rPr>
            </w:pPr>
          </w:p>
        </w:tc>
      </w:tr>
      <w:tr w:rsidR="00DC5685" w:rsidRPr="00A34F10" w14:paraId="2DE4450F" w14:textId="77777777" w:rsidTr="000470C3">
        <w:trPr>
          <w:trHeight w:val="285"/>
        </w:trPr>
        <w:tc>
          <w:tcPr>
            <w:tcW w:w="545" w:type="pct"/>
            <w:vMerge w:val="restart"/>
            <w:vAlign w:val="center"/>
            <w:hideMark/>
          </w:tcPr>
          <w:p w14:paraId="210CDAAA" w14:textId="77777777" w:rsidR="00DC5685" w:rsidRPr="00A34F10" w:rsidRDefault="00DC5685" w:rsidP="00DC5685">
            <w:pPr>
              <w:rPr>
                <w:sz w:val="20"/>
                <w:szCs w:val="20"/>
              </w:rPr>
            </w:pPr>
            <w:r w:rsidRPr="00A34F10">
              <w:rPr>
                <w:sz w:val="20"/>
                <w:szCs w:val="20"/>
              </w:rPr>
              <w:t>Aquatic invertebrates</w:t>
            </w:r>
          </w:p>
        </w:tc>
        <w:tc>
          <w:tcPr>
            <w:tcW w:w="446" w:type="pct"/>
            <w:vMerge w:val="restart"/>
            <w:vAlign w:val="center"/>
            <w:hideMark/>
          </w:tcPr>
          <w:p w14:paraId="052D69BA" w14:textId="77777777" w:rsidR="00DC5685" w:rsidRPr="00A34F10" w:rsidRDefault="00DC5685" w:rsidP="00DC5685">
            <w:pPr>
              <w:rPr>
                <w:sz w:val="20"/>
                <w:szCs w:val="20"/>
              </w:rPr>
            </w:pPr>
            <w:r w:rsidRPr="00A34F10">
              <w:rPr>
                <w:sz w:val="20"/>
                <w:szCs w:val="20"/>
              </w:rPr>
              <w:t>acute</w:t>
            </w:r>
          </w:p>
        </w:tc>
        <w:tc>
          <w:tcPr>
            <w:tcW w:w="524" w:type="pct"/>
            <w:vMerge w:val="restart"/>
            <w:vAlign w:val="center"/>
            <w:hideMark/>
          </w:tcPr>
          <w:p w14:paraId="3A3DC05D" w14:textId="77777777" w:rsidR="00DC5685" w:rsidRPr="00A34F10" w:rsidRDefault="00DC5685" w:rsidP="00DC5685">
            <w:pPr>
              <w:rPr>
                <w:sz w:val="20"/>
                <w:szCs w:val="20"/>
              </w:rPr>
            </w:pPr>
            <w:r w:rsidRPr="00A34F10">
              <w:rPr>
                <w:sz w:val="20"/>
                <w:szCs w:val="20"/>
              </w:rPr>
              <w:t>EC</w:t>
            </w:r>
            <w:r w:rsidRPr="00A34F10">
              <w:rPr>
                <w:sz w:val="20"/>
                <w:szCs w:val="20"/>
                <w:vertAlign w:val="subscript"/>
              </w:rPr>
              <w:t>50</w:t>
            </w:r>
          </w:p>
        </w:tc>
        <w:tc>
          <w:tcPr>
            <w:tcW w:w="669" w:type="pct"/>
            <w:vAlign w:val="center"/>
            <w:hideMark/>
          </w:tcPr>
          <w:p w14:paraId="6E0987AC" w14:textId="77777777" w:rsidR="00DC5685" w:rsidRPr="00A34F10" w:rsidRDefault="00DC5685" w:rsidP="00DC5685">
            <w:pPr>
              <w:rPr>
                <w:sz w:val="20"/>
                <w:szCs w:val="20"/>
              </w:rPr>
            </w:pPr>
            <w:r w:rsidRPr="00A34F10">
              <w:rPr>
                <w:sz w:val="20"/>
                <w:szCs w:val="20"/>
              </w:rPr>
              <w:t>Ametoctradin</w:t>
            </w:r>
          </w:p>
        </w:tc>
        <w:tc>
          <w:tcPr>
            <w:tcW w:w="524" w:type="pct"/>
            <w:vAlign w:val="center"/>
            <w:hideMark/>
          </w:tcPr>
          <w:p w14:paraId="7EA6D428" w14:textId="77777777" w:rsidR="00DC5685" w:rsidRPr="00A34F10" w:rsidRDefault="00DC5685" w:rsidP="00DC5685">
            <w:pPr>
              <w:rPr>
                <w:sz w:val="20"/>
                <w:szCs w:val="20"/>
              </w:rPr>
            </w:pPr>
            <w:r w:rsidRPr="00A34F10">
              <w:rPr>
                <w:sz w:val="20"/>
                <w:szCs w:val="20"/>
              </w:rPr>
              <w:t>19400</w:t>
            </w:r>
          </w:p>
        </w:tc>
        <w:tc>
          <w:tcPr>
            <w:tcW w:w="666" w:type="pct"/>
            <w:hideMark/>
          </w:tcPr>
          <w:p w14:paraId="6125FA57" w14:textId="77777777" w:rsidR="00DC5685" w:rsidRPr="00A34F10" w:rsidRDefault="00DC5685" w:rsidP="00DC5685">
            <w:pPr>
              <w:rPr>
                <w:sz w:val="20"/>
                <w:szCs w:val="20"/>
              </w:rPr>
            </w:pPr>
            <w:r w:rsidRPr="00A34F10">
              <w:rPr>
                <w:sz w:val="20"/>
                <w:szCs w:val="20"/>
              </w:rPr>
              <w:t>92330.4</w:t>
            </w:r>
          </w:p>
        </w:tc>
        <w:tc>
          <w:tcPr>
            <w:tcW w:w="721" w:type="pct"/>
            <w:vMerge w:val="restart"/>
            <w:vAlign w:val="center"/>
            <w:hideMark/>
          </w:tcPr>
          <w:p w14:paraId="0901C688" w14:textId="77777777" w:rsidR="00DC5685" w:rsidRPr="00A34F10" w:rsidRDefault="00DC5685" w:rsidP="00DC5685">
            <w:pPr>
              <w:rPr>
                <w:sz w:val="20"/>
                <w:szCs w:val="20"/>
              </w:rPr>
            </w:pPr>
            <w:r w:rsidRPr="00A34F10">
              <w:rPr>
                <w:sz w:val="20"/>
                <w:szCs w:val="20"/>
              </w:rPr>
              <w:t>53314.7</w:t>
            </w:r>
            <w:r w:rsidRPr="00A34F10">
              <w:rPr>
                <w:b/>
                <w:bCs/>
                <w:sz w:val="20"/>
                <w:szCs w:val="20"/>
                <w:vertAlign w:val="superscript"/>
              </w:rPr>
              <w:t>2)</w:t>
            </w:r>
          </w:p>
        </w:tc>
        <w:tc>
          <w:tcPr>
            <w:tcW w:w="531" w:type="pct"/>
            <w:vAlign w:val="center"/>
            <w:hideMark/>
          </w:tcPr>
          <w:p w14:paraId="242A0A9A" w14:textId="77777777" w:rsidR="00DC5685" w:rsidRPr="00A34F10" w:rsidRDefault="00DC5685" w:rsidP="00DC5685">
            <w:pPr>
              <w:rPr>
                <w:sz w:val="20"/>
                <w:szCs w:val="20"/>
              </w:rPr>
            </w:pPr>
            <w:r w:rsidRPr="00A34F10">
              <w:rPr>
                <w:sz w:val="20"/>
                <w:szCs w:val="20"/>
              </w:rPr>
              <w:t>57.83</w:t>
            </w:r>
          </w:p>
        </w:tc>
        <w:tc>
          <w:tcPr>
            <w:tcW w:w="374" w:type="pct"/>
            <w:vMerge w:val="restart"/>
            <w:vAlign w:val="center"/>
            <w:hideMark/>
          </w:tcPr>
          <w:p w14:paraId="7BE57C73" w14:textId="77777777" w:rsidR="00DC5685" w:rsidRPr="00A34F10" w:rsidRDefault="00DC5685" w:rsidP="00DC5685">
            <w:pPr>
              <w:rPr>
                <w:sz w:val="20"/>
                <w:szCs w:val="20"/>
              </w:rPr>
            </w:pPr>
            <w:r w:rsidRPr="00A34F10">
              <w:rPr>
                <w:sz w:val="20"/>
                <w:szCs w:val="20"/>
              </w:rPr>
              <w:t>1.0</w:t>
            </w:r>
          </w:p>
        </w:tc>
      </w:tr>
      <w:tr w:rsidR="00DC5685" w:rsidRPr="00A34F10" w14:paraId="176E59EB" w14:textId="77777777" w:rsidTr="000470C3">
        <w:trPr>
          <w:trHeight w:val="285"/>
        </w:trPr>
        <w:tc>
          <w:tcPr>
            <w:tcW w:w="545" w:type="pct"/>
            <w:vMerge/>
            <w:vAlign w:val="center"/>
            <w:hideMark/>
          </w:tcPr>
          <w:p w14:paraId="293A1EE7" w14:textId="77777777" w:rsidR="00DC5685" w:rsidRPr="00A34F10" w:rsidRDefault="00DC5685" w:rsidP="00DC5685">
            <w:pPr>
              <w:rPr>
                <w:sz w:val="20"/>
                <w:szCs w:val="20"/>
              </w:rPr>
            </w:pPr>
          </w:p>
        </w:tc>
        <w:tc>
          <w:tcPr>
            <w:tcW w:w="446" w:type="pct"/>
            <w:vMerge/>
            <w:vAlign w:val="center"/>
            <w:hideMark/>
          </w:tcPr>
          <w:p w14:paraId="35C03E37" w14:textId="77777777" w:rsidR="00DC5685" w:rsidRPr="00A34F10" w:rsidRDefault="00DC5685" w:rsidP="00DC5685">
            <w:pPr>
              <w:rPr>
                <w:sz w:val="20"/>
                <w:szCs w:val="20"/>
              </w:rPr>
            </w:pPr>
          </w:p>
        </w:tc>
        <w:tc>
          <w:tcPr>
            <w:tcW w:w="524" w:type="pct"/>
            <w:vMerge/>
            <w:vAlign w:val="center"/>
            <w:hideMark/>
          </w:tcPr>
          <w:p w14:paraId="2B1F8399" w14:textId="77777777" w:rsidR="00DC5685" w:rsidRPr="00A34F10" w:rsidRDefault="00DC5685" w:rsidP="00DC5685">
            <w:pPr>
              <w:rPr>
                <w:sz w:val="20"/>
                <w:szCs w:val="20"/>
              </w:rPr>
            </w:pPr>
          </w:p>
        </w:tc>
        <w:tc>
          <w:tcPr>
            <w:tcW w:w="669" w:type="pct"/>
            <w:vAlign w:val="center"/>
            <w:hideMark/>
          </w:tcPr>
          <w:p w14:paraId="73084039" w14:textId="77777777" w:rsidR="00DC5685" w:rsidRPr="00A34F10" w:rsidRDefault="00DC5685" w:rsidP="00DC5685">
            <w:pPr>
              <w:rPr>
                <w:sz w:val="20"/>
                <w:szCs w:val="20"/>
              </w:rPr>
            </w:pPr>
            <w:r w:rsidRPr="00A34F10">
              <w:rPr>
                <w:sz w:val="20"/>
                <w:szCs w:val="20"/>
              </w:rPr>
              <w:t>Propamocarb-HCl</w:t>
            </w:r>
          </w:p>
        </w:tc>
        <w:tc>
          <w:tcPr>
            <w:tcW w:w="524" w:type="pct"/>
            <w:vAlign w:val="center"/>
            <w:hideMark/>
          </w:tcPr>
          <w:p w14:paraId="1E94BB07" w14:textId="77777777" w:rsidR="00DC5685" w:rsidRPr="00A34F10" w:rsidRDefault="00DC5685" w:rsidP="00DC5685">
            <w:pPr>
              <w:rPr>
                <w:sz w:val="20"/>
                <w:szCs w:val="20"/>
              </w:rPr>
            </w:pPr>
            <w:r w:rsidRPr="00A34F10">
              <w:rPr>
                <w:sz w:val="20"/>
                <w:szCs w:val="20"/>
              </w:rPr>
              <w:t>100000</w:t>
            </w:r>
          </w:p>
        </w:tc>
        <w:tc>
          <w:tcPr>
            <w:tcW w:w="666" w:type="pct"/>
            <w:hideMark/>
          </w:tcPr>
          <w:p w14:paraId="4AD7B9CF" w14:textId="77777777" w:rsidR="00DC5685" w:rsidRPr="00A34F10" w:rsidRDefault="00DC5685" w:rsidP="00DC5685">
            <w:pPr>
              <w:rPr>
                <w:sz w:val="20"/>
                <w:szCs w:val="20"/>
              </w:rPr>
            </w:pPr>
            <w:r w:rsidRPr="00A34F10">
              <w:rPr>
                <w:sz w:val="20"/>
                <w:szCs w:val="20"/>
              </w:rPr>
              <w:t>126600.7</w:t>
            </w:r>
          </w:p>
        </w:tc>
        <w:tc>
          <w:tcPr>
            <w:tcW w:w="721" w:type="pct"/>
            <w:vMerge/>
            <w:vAlign w:val="center"/>
            <w:hideMark/>
          </w:tcPr>
          <w:p w14:paraId="510011DD" w14:textId="77777777" w:rsidR="00DC5685" w:rsidRPr="00A34F10" w:rsidRDefault="00DC5685" w:rsidP="00DC5685">
            <w:pPr>
              <w:rPr>
                <w:sz w:val="20"/>
                <w:szCs w:val="20"/>
              </w:rPr>
            </w:pPr>
          </w:p>
        </w:tc>
        <w:tc>
          <w:tcPr>
            <w:tcW w:w="531" w:type="pct"/>
            <w:vAlign w:val="center"/>
            <w:hideMark/>
          </w:tcPr>
          <w:p w14:paraId="0ABA390F" w14:textId="77777777" w:rsidR="00DC5685" w:rsidRPr="00A34F10" w:rsidRDefault="00DC5685" w:rsidP="00DC5685">
            <w:pPr>
              <w:rPr>
                <w:sz w:val="20"/>
                <w:szCs w:val="20"/>
              </w:rPr>
            </w:pPr>
            <w:r w:rsidRPr="00A34F10">
              <w:rPr>
                <w:sz w:val="20"/>
                <w:szCs w:val="20"/>
              </w:rPr>
              <w:t>42.17</w:t>
            </w:r>
          </w:p>
        </w:tc>
        <w:tc>
          <w:tcPr>
            <w:tcW w:w="374" w:type="pct"/>
            <w:vMerge/>
            <w:vAlign w:val="center"/>
            <w:hideMark/>
          </w:tcPr>
          <w:p w14:paraId="252BABE6" w14:textId="77777777" w:rsidR="00DC5685" w:rsidRPr="00A34F10" w:rsidRDefault="00DC5685" w:rsidP="00DC5685">
            <w:pPr>
              <w:rPr>
                <w:sz w:val="20"/>
                <w:szCs w:val="20"/>
              </w:rPr>
            </w:pPr>
          </w:p>
        </w:tc>
      </w:tr>
      <w:tr w:rsidR="00DC5685" w:rsidRPr="00A34F10" w14:paraId="177AA259" w14:textId="77777777" w:rsidTr="000470C3">
        <w:trPr>
          <w:trHeight w:val="285"/>
        </w:trPr>
        <w:tc>
          <w:tcPr>
            <w:tcW w:w="545" w:type="pct"/>
            <w:vMerge/>
            <w:vAlign w:val="center"/>
            <w:hideMark/>
          </w:tcPr>
          <w:p w14:paraId="7F7C4B28" w14:textId="77777777" w:rsidR="00DC5685" w:rsidRPr="00A34F10" w:rsidRDefault="00DC5685" w:rsidP="00DC5685">
            <w:pPr>
              <w:rPr>
                <w:sz w:val="20"/>
                <w:szCs w:val="20"/>
              </w:rPr>
            </w:pPr>
          </w:p>
        </w:tc>
        <w:tc>
          <w:tcPr>
            <w:tcW w:w="446" w:type="pct"/>
            <w:vMerge/>
            <w:vAlign w:val="center"/>
            <w:hideMark/>
          </w:tcPr>
          <w:p w14:paraId="5E5C45F9" w14:textId="77777777" w:rsidR="00DC5685" w:rsidRPr="00A34F10" w:rsidRDefault="00DC5685" w:rsidP="00DC5685">
            <w:pPr>
              <w:rPr>
                <w:sz w:val="20"/>
                <w:szCs w:val="20"/>
              </w:rPr>
            </w:pPr>
          </w:p>
        </w:tc>
        <w:tc>
          <w:tcPr>
            <w:tcW w:w="524" w:type="pct"/>
            <w:vMerge/>
            <w:vAlign w:val="center"/>
            <w:hideMark/>
          </w:tcPr>
          <w:p w14:paraId="14F558D2" w14:textId="77777777" w:rsidR="00DC5685" w:rsidRPr="00A34F10" w:rsidRDefault="00DC5685" w:rsidP="00DC5685">
            <w:pPr>
              <w:rPr>
                <w:sz w:val="20"/>
                <w:szCs w:val="20"/>
              </w:rPr>
            </w:pPr>
          </w:p>
        </w:tc>
        <w:tc>
          <w:tcPr>
            <w:tcW w:w="669" w:type="pct"/>
            <w:vAlign w:val="center"/>
            <w:hideMark/>
          </w:tcPr>
          <w:p w14:paraId="235D3154" w14:textId="77777777" w:rsidR="00DC5685" w:rsidRPr="00A34F10" w:rsidRDefault="00DC5685" w:rsidP="00DC5685">
            <w:pPr>
              <w:rPr>
                <w:sz w:val="20"/>
                <w:szCs w:val="20"/>
              </w:rPr>
            </w:pPr>
            <w:r w:rsidRPr="00A34F10">
              <w:rPr>
                <w:sz w:val="20"/>
                <w:szCs w:val="20"/>
              </w:rPr>
              <w:t>BAS 743 03 F</w:t>
            </w:r>
          </w:p>
        </w:tc>
        <w:tc>
          <w:tcPr>
            <w:tcW w:w="524" w:type="pct"/>
            <w:vAlign w:val="center"/>
            <w:hideMark/>
          </w:tcPr>
          <w:p w14:paraId="493A3077" w14:textId="77777777" w:rsidR="00DC5685" w:rsidRPr="00A34F10" w:rsidRDefault="00DC5685" w:rsidP="00DC5685">
            <w:pPr>
              <w:rPr>
                <w:sz w:val="20"/>
                <w:szCs w:val="20"/>
              </w:rPr>
            </w:pPr>
            <w:r w:rsidRPr="00A34F10">
              <w:rPr>
                <w:sz w:val="20"/>
                <w:szCs w:val="20"/>
              </w:rPr>
              <w:t>100000</w:t>
            </w:r>
          </w:p>
        </w:tc>
        <w:tc>
          <w:tcPr>
            <w:tcW w:w="666" w:type="pct"/>
            <w:hideMark/>
          </w:tcPr>
          <w:p w14:paraId="586233F9" w14:textId="77777777" w:rsidR="00DC5685" w:rsidRPr="00A34F10" w:rsidRDefault="00DC5685" w:rsidP="00DC5685">
            <w:pPr>
              <w:rPr>
                <w:b/>
                <w:bCs/>
                <w:sz w:val="20"/>
                <w:szCs w:val="20"/>
              </w:rPr>
            </w:pPr>
            <w:r w:rsidRPr="00A34F10">
              <w:rPr>
                <w:b/>
                <w:bCs/>
                <w:sz w:val="20"/>
                <w:szCs w:val="20"/>
              </w:rPr>
              <w:t>53391.7</w:t>
            </w:r>
          </w:p>
        </w:tc>
        <w:tc>
          <w:tcPr>
            <w:tcW w:w="721" w:type="pct"/>
            <w:vMerge/>
            <w:vAlign w:val="center"/>
            <w:hideMark/>
          </w:tcPr>
          <w:p w14:paraId="4A70C321" w14:textId="77777777" w:rsidR="00DC5685" w:rsidRPr="00A34F10" w:rsidRDefault="00DC5685" w:rsidP="00DC5685">
            <w:pPr>
              <w:rPr>
                <w:sz w:val="20"/>
                <w:szCs w:val="20"/>
              </w:rPr>
            </w:pPr>
          </w:p>
        </w:tc>
        <w:tc>
          <w:tcPr>
            <w:tcW w:w="531" w:type="pct"/>
            <w:vAlign w:val="center"/>
            <w:hideMark/>
          </w:tcPr>
          <w:p w14:paraId="62FAA380" w14:textId="77777777" w:rsidR="00DC5685" w:rsidRPr="00A34F10" w:rsidRDefault="00DC5685" w:rsidP="00DC5685">
            <w:pPr>
              <w:rPr>
                <w:sz w:val="20"/>
                <w:szCs w:val="20"/>
              </w:rPr>
            </w:pPr>
            <w:r w:rsidRPr="00A34F10">
              <w:rPr>
                <w:sz w:val="20"/>
                <w:szCs w:val="20"/>
              </w:rPr>
              <w:t>n.a.</w:t>
            </w:r>
          </w:p>
        </w:tc>
        <w:tc>
          <w:tcPr>
            <w:tcW w:w="374" w:type="pct"/>
            <w:vMerge/>
            <w:vAlign w:val="center"/>
            <w:hideMark/>
          </w:tcPr>
          <w:p w14:paraId="445F4F86" w14:textId="77777777" w:rsidR="00DC5685" w:rsidRPr="00A34F10" w:rsidRDefault="00DC5685" w:rsidP="00DC5685">
            <w:pPr>
              <w:rPr>
                <w:sz w:val="20"/>
                <w:szCs w:val="20"/>
              </w:rPr>
            </w:pPr>
          </w:p>
        </w:tc>
      </w:tr>
      <w:tr w:rsidR="00DC5685" w:rsidRPr="00A34F10" w14:paraId="0E6D9C88" w14:textId="77777777" w:rsidTr="000470C3">
        <w:trPr>
          <w:trHeight w:val="285"/>
        </w:trPr>
        <w:tc>
          <w:tcPr>
            <w:tcW w:w="545" w:type="pct"/>
            <w:vMerge/>
            <w:vAlign w:val="center"/>
            <w:hideMark/>
          </w:tcPr>
          <w:p w14:paraId="56B2DB91" w14:textId="77777777" w:rsidR="00DC5685" w:rsidRPr="00A34F10" w:rsidRDefault="00DC5685" w:rsidP="00DC5685">
            <w:pPr>
              <w:rPr>
                <w:sz w:val="20"/>
                <w:szCs w:val="20"/>
              </w:rPr>
            </w:pPr>
          </w:p>
        </w:tc>
        <w:tc>
          <w:tcPr>
            <w:tcW w:w="446" w:type="pct"/>
            <w:vMerge w:val="restart"/>
            <w:vAlign w:val="center"/>
            <w:hideMark/>
          </w:tcPr>
          <w:p w14:paraId="269E1C19" w14:textId="77777777" w:rsidR="00DC5685" w:rsidRPr="00A34F10" w:rsidRDefault="00DC5685" w:rsidP="00DC5685">
            <w:pPr>
              <w:rPr>
                <w:sz w:val="20"/>
                <w:szCs w:val="20"/>
              </w:rPr>
            </w:pPr>
            <w:r w:rsidRPr="00A34F10">
              <w:rPr>
                <w:sz w:val="20"/>
                <w:szCs w:val="20"/>
              </w:rPr>
              <w:t>chronic</w:t>
            </w:r>
          </w:p>
        </w:tc>
        <w:tc>
          <w:tcPr>
            <w:tcW w:w="524" w:type="pct"/>
            <w:vMerge w:val="restart"/>
            <w:vAlign w:val="center"/>
            <w:hideMark/>
          </w:tcPr>
          <w:p w14:paraId="1AA8BD6E" w14:textId="77777777" w:rsidR="00DC5685" w:rsidRPr="00A34F10" w:rsidRDefault="00DC5685" w:rsidP="00DC5685">
            <w:pPr>
              <w:rPr>
                <w:sz w:val="20"/>
                <w:szCs w:val="20"/>
              </w:rPr>
            </w:pPr>
            <w:r w:rsidRPr="00A34F10">
              <w:rPr>
                <w:sz w:val="20"/>
                <w:szCs w:val="20"/>
              </w:rPr>
              <w:t>NOEC</w:t>
            </w:r>
          </w:p>
        </w:tc>
        <w:tc>
          <w:tcPr>
            <w:tcW w:w="669" w:type="pct"/>
            <w:vAlign w:val="center"/>
            <w:hideMark/>
          </w:tcPr>
          <w:p w14:paraId="5677F056" w14:textId="77777777" w:rsidR="00DC5685" w:rsidRPr="00A34F10" w:rsidRDefault="00DC5685" w:rsidP="00DC5685">
            <w:pPr>
              <w:rPr>
                <w:sz w:val="20"/>
                <w:szCs w:val="20"/>
              </w:rPr>
            </w:pPr>
            <w:r w:rsidRPr="00A34F10">
              <w:rPr>
                <w:sz w:val="20"/>
                <w:szCs w:val="20"/>
              </w:rPr>
              <w:t>Ametoctradin</w:t>
            </w:r>
          </w:p>
        </w:tc>
        <w:tc>
          <w:tcPr>
            <w:tcW w:w="524" w:type="pct"/>
            <w:vAlign w:val="center"/>
            <w:hideMark/>
          </w:tcPr>
          <w:p w14:paraId="524C091B" w14:textId="77777777" w:rsidR="00DC5685" w:rsidRPr="00A34F10" w:rsidRDefault="00DC5685" w:rsidP="00DC5685">
            <w:pPr>
              <w:rPr>
                <w:sz w:val="20"/>
                <w:szCs w:val="20"/>
              </w:rPr>
            </w:pPr>
            <w:r w:rsidRPr="00A34F10">
              <w:rPr>
                <w:sz w:val="20"/>
                <w:szCs w:val="20"/>
              </w:rPr>
              <w:t>18</w:t>
            </w:r>
          </w:p>
        </w:tc>
        <w:tc>
          <w:tcPr>
            <w:tcW w:w="666" w:type="pct"/>
            <w:vAlign w:val="center"/>
            <w:hideMark/>
          </w:tcPr>
          <w:p w14:paraId="4A061FEF" w14:textId="77777777" w:rsidR="00DC5685" w:rsidRPr="00A34F10" w:rsidRDefault="00DC5685" w:rsidP="00DC5685">
            <w:pPr>
              <w:rPr>
                <w:sz w:val="20"/>
                <w:szCs w:val="20"/>
              </w:rPr>
            </w:pPr>
            <w:r w:rsidRPr="00A34F10">
              <w:rPr>
                <w:sz w:val="20"/>
                <w:szCs w:val="20"/>
              </w:rPr>
              <w:t>85.7</w:t>
            </w:r>
          </w:p>
        </w:tc>
        <w:tc>
          <w:tcPr>
            <w:tcW w:w="721" w:type="pct"/>
            <w:vMerge w:val="restart"/>
            <w:vAlign w:val="center"/>
            <w:hideMark/>
          </w:tcPr>
          <w:p w14:paraId="6803E678" w14:textId="77777777" w:rsidR="00DC5685" w:rsidRPr="00A34F10" w:rsidRDefault="00DC5685" w:rsidP="00DC5685">
            <w:pPr>
              <w:rPr>
                <w:sz w:val="20"/>
                <w:szCs w:val="20"/>
              </w:rPr>
            </w:pPr>
            <w:r w:rsidRPr="00A34F10">
              <w:rPr>
                <w:sz w:val="20"/>
                <w:szCs w:val="20"/>
              </w:rPr>
              <w:t>--</w:t>
            </w:r>
          </w:p>
        </w:tc>
        <w:tc>
          <w:tcPr>
            <w:tcW w:w="531" w:type="pct"/>
            <w:vAlign w:val="center"/>
            <w:hideMark/>
          </w:tcPr>
          <w:p w14:paraId="78AD70D8" w14:textId="77777777" w:rsidR="00DC5685" w:rsidRPr="00A34F10" w:rsidRDefault="00DC5685" w:rsidP="00DC5685">
            <w:pPr>
              <w:rPr>
                <w:b/>
                <w:bCs/>
                <w:sz w:val="20"/>
                <w:szCs w:val="20"/>
              </w:rPr>
            </w:pPr>
            <w:r w:rsidRPr="00A34F10">
              <w:rPr>
                <w:b/>
                <w:bCs/>
                <w:sz w:val="20"/>
                <w:szCs w:val="20"/>
              </w:rPr>
              <w:t>99.45</w:t>
            </w:r>
          </w:p>
        </w:tc>
        <w:tc>
          <w:tcPr>
            <w:tcW w:w="374" w:type="pct"/>
            <w:vMerge w:val="restart"/>
            <w:vAlign w:val="center"/>
            <w:hideMark/>
          </w:tcPr>
          <w:p w14:paraId="30CEF3D9" w14:textId="77777777" w:rsidR="00DC5685" w:rsidRPr="00A34F10" w:rsidRDefault="00DC5685" w:rsidP="00DC5685">
            <w:pPr>
              <w:rPr>
                <w:sz w:val="20"/>
                <w:szCs w:val="20"/>
              </w:rPr>
            </w:pPr>
            <w:r w:rsidRPr="00A34F10">
              <w:rPr>
                <w:sz w:val="20"/>
                <w:szCs w:val="20"/>
              </w:rPr>
              <w:t>--</w:t>
            </w:r>
          </w:p>
        </w:tc>
      </w:tr>
      <w:tr w:rsidR="00DC5685" w:rsidRPr="00A34F10" w14:paraId="7F88F780" w14:textId="77777777" w:rsidTr="000470C3">
        <w:trPr>
          <w:trHeight w:val="285"/>
        </w:trPr>
        <w:tc>
          <w:tcPr>
            <w:tcW w:w="545" w:type="pct"/>
            <w:vMerge/>
            <w:vAlign w:val="center"/>
            <w:hideMark/>
          </w:tcPr>
          <w:p w14:paraId="1E1AD8F0" w14:textId="77777777" w:rsidR="00DC5685" w:rsidRPr="00A34F10" w:rsidRDefault="00DC5685" w:rsidP="00DC5685">
            <w:pPr>
              <w:rPr>
                <w:sz w:val="20"/>
                <w:szCs w:val="20"/>
              </w:rPr>
            </w:pPr>
          </w:p>
        </w:tc>
        <w:tc>
          <w:tcPr>
            <w:tcW w:w="446" w:type="pct"/>
            <w:vMerge/>
            <w:vAlign w:val="center"/>
            <w:hideMark/>
          </w:tcPr>
          <w:p w14:paraId="07012643" w14:textId="77777777" w:rsidR="00DC5685" w:rsidRPr="00A34F10" w:rsidRDefault="00DC5685" w:rsidP="00DC5685">
            <w:pPr>
              <w:rPr>
                <w:sz w:val="20"/>
                <w:szCs w:val="20"/>
              </w:rPr>
            </w:pPr>
          </w:p>
        </w:tc>
        <w:tc>
          <w:tcPr>
            <w:tcW w:w="524" w:type="pct"/>
            <w:vMerge/>
            <w:vAlign w:val="center"/>
            <w:hideMark/>
          </w:tcPr>
          <w:p w14:paraId="52259F39" w14:textId="77777777" w:rsidR="00DC5685" w:rsidRPr="00A34F10" w:rsidRDefault="00DC5685" w:rsidP="00DC5685">
            <w:pPr>
              <w:rPr>
                <w:sz w:val="20"/>
                <w:szCs w:val="20"/>
              </w:rPr>
            </w:pPr>
          </w:p>
        </w:tc>
        <w:tc>
          <w:tcPr>
            <w:tcW w:w="669" w:type="pct"/>
            <w:vAlign w:val="center"/>
            <w:hideMark/>
          </w:tcPr>
          <w:p w14:paraId="085A211B" w14:textId="77777777" w:rsidR="00DC5685" w:rsidRPr="00A34F10" w:rsidRDefault="00DC5685" w:rsidP="00DC5685">
            <w:pPr>
              <w:rPr>
                <w:sz w:val="20"/>
                <w:szCs w:val="20"/>
              </w:rPr>
            </w:pPr>
            <w:r w:rsidRPr="00A34F10">
              <w:rPr>
                <w:sz w:val="20"/>
                <w:szCs w:val="20"/>
              </w:rPr>
              <w:t>Propamocarb-HCl</w:t>
            </w:r>
          </w:p>
        </w:tc>
        <w:tc>
          <w:tcPr>
            <w:tcW w:w="524" w:type="pct"/>
            <w:vAlign w:val="center"/>
            <w:hideMark/>
          </w:tcPr>
          <w:p w14:paraId="04B4C2A8" w14:textId="77777777" w:rsidR="00DC5685" w:rsidRPr="00A34F10" w:rsidRDefault="00DC5685" w:rsidP="00DC5685">
            <w:pPr>
              <w:rPr>
                <w:sz w:val="20"/>
                <w:szCs w:val="20"/>
              </w:rPr>
            </w:pPr>
            <w:r w:rsidRPr="00A34F10">
              <w:rPr>
                <w:sz w:val="20"/>
                <w:szCs w:val="20"/>
              </w:rPr>
              <w:t>12300</w:t>
            </w:r>
          </w:p>
        </w:tc>
        <w:tc>
          <w:tcPr>
            <w:tcW w:w="666" w:type="pct"/>
            <w:vAlign w:val="center"/>
            <w:hideMark/>
          </w:tcPr>
          <w:p w14:paraId="259C6333" w14:textId="77777777" w:rsidR="00DC5685" w:rsidRPr="00A34F10" w:rsidRDefault="00DC5685" w:rsidP="00DC5685">
            <w:pPr>
              <w:rPr>
                <w:sz w:val="20"/>
                <w:szCs w:val="20"/>
              </w:rPr>
            </w:pPr>
            <w:r w:rsidRPr="00A34F10">
              <w:rPr>
                <w:sz w:val="20"/>
                <w:szCs w:val="20"/>
              </w:rPr>
              <w:t>15569.6</w:t>
            </w:r>
          </w:p>
        </w:tc>
        <w:tc>
          <w:tcPr>
            <w:tcW w:w="721" w:type="pct"/>
            <w:vMerge/>
            <w:vAlign w:val="center"/>
            <w:hideMark/>
          </w:tcPr>
          <w:p w14:paraId="7B966FE5" w14:textId="77777777" w:rsidR="00DC5685" w:rsidRPr="00A34F10" w:rsidRDefault="00DC5685" w:rsidP="00DC5685">
            <w:pPr>
              <w:rPr>
                <w:sz w:val="20"/>
                <w:szCs w:val="20"/>
              </w:rPr>
            </w:pPr>
          </w:p>
        </w:tc>
        <w:tc>
          <w:tcPr>
            <w:tcW w:w="531" w:type="pct"/>
            <w:vAlign w:val="center"/>
            <w:hideMark/>
          </w:tcPr>
          <w:p w14:paraId="554F9243" w14:textId="77777777" w:rsidR="00DC5685" w:rsidRPr="00A34F10" w:rsidRDefault="00DC5685" w:rsidP="00DC5685">
            <w:pPr>
              <w:rPr>
                <w:sz w:val="20"/>
                <w:szCs w:val="20"/>
              </w:rPr>
            </w:pPr>
            <w:r w:rsidRPr="00A34F10">
              <w:rPr>
                <w:sz w:val="20"/>
                <w:szCs w:val="20"/>
              </w:rPr>
              <w:t>0.548</w:t>
            </w:r>
          </w:p>
        </w:tc>
        <w:tc>
          <w:tcPr>
            <w:tcW w:w="374" w:type="pct"/>
            <w:vMerge/>
            <w:vAlign w:val="center"/>
            <w:hideMark/>
          </w:tcPr>
          <w:p w14:paraId="68AAE7BC" w14:textId="77777777" w:rsidR="00DC5685" w:rsidRPr="00A34F10" w:rsidRDefault="00DC5685" w:rsidP="00DC5685">
            <w:pPr>
              <w:rPr>
                <w:sz w:val="20"/>
                <w:szCs w:val="20"/>
              </w:rPr>
            </w:pPr>
          </w:p>
        </w:tc>
      </w:tr>
      <w:tr w:rsidR="00DC5685" w:rsidRPr="00A34F10" w14:paraId="5373922A" w14:textId="77777777" w:rsidTr="000470C3">
        <w:trPr>
          <w:trHeight w:val="285"/>
        </w:trPr>
        <w:tc>
          <w:tcPr>
            <w:tcW w:w="545" w:type="pct"/>
            <w:vMerge/>
            <w:vAlign w:val="center"/>
            <w:hideMark/>
          </w:tcPr>
          <w:p w14:paraId="448BF265" w14:textId="77777777" w:rsidR="00DC5685" w:rsidRPr="00A34F10" w:rsidRDefault="00DC5685" w:rsidP="00DC5685">
            <w:pPr>
              <w:rPr>
                <w:sz w:val="20"/>
                <w:szCs w:val="20"/>
              </w:rPr>
            </w:pPr>
          </w:p>
        </w:tc>
        <w:tc>
          <w:tcPr>
            <w:tcW w:w="446" w:type="pct"/>
            <w:vMerge/>
            <w:vAlign w:val="center"/>
            <w:hideMark/>
          </w:tcPr>
          <w:p w14:paraId="47DEE123" w14:textId="77777777" w:rsidR="00DC5685" w:rsidRPr="00A34F10" w:rsidRDefault="00DC5685" w:rsidP="00DC5685">
            <w:pPr>
              <w:rPr>
                <w:sz w:val="20"/>
                <w:szCs w:val="20"/>
              </w:rPr>
            </w:pPr>
          </w:p>
        </w:tc>
        <w:tc>
          <w:tcPr>
            <w:tcW w:w="524" w:type="pct"/>
            <w:vMerge/>
            <w:vAlign w:val="center"/>
            <w:hideMark/>
          </w:tcPr>
          <w:p w14:paraId="4C6FCA64" w14:textId="77777777" w:rsidR="00DC5685" w:rsidRPr="00A34F10" w:rsidRDefault="00DC5685" w:rsidP="00DC5685">
            <w:pPr>
              <w:rPr>
                <w:sz w:val="20"/>
                <w:szCs w:val="20"/>
              </w:rPr>
            </w:pPr>
          </w:p>
        </w:tc>
        <w:tc>
          <w:tcPr>
            <w:tcW w:w="669" w:type="pct"/>
            <w:vAlign w:val="center"/>
            <w:hideMark/>
          </w:tcPr>
          <w:p w14:paraId="77B42D86" w14:textId="77777777" w:rsidR="00DC5685" w:rsidRPr="00A34F10" w:rsidRDefault="00DC5685" w:rsidP="00DC5685">
            <w:pPr>
              <w:rPr>
                <w:sz w:val="20"/>
                <w:szCs w:val="20"/>
              </w:rPr>
            </w:pPr>
            <w:r w:rsidRPr="00A34F10">
              <w:rPr>
                <w:sz w:val="20"/>
                <w:szCs w:val="20"/>
              </w:rPr>
              <w:t>BAS 743 02 F</w:t>
            </w:r>
          </w:p>
        </w:tc>
        <w:tc>
          <w:tcPr>
            <w:tcW w:w="524" w:type="pct"/>
            <w:vAlign w:val="center"/>
            <w:hideMark/>
          </w:tcPr>
          <w:p w14:paraId="56436DA8" w14:textId="77777777" w:rsidR="00DC5685" w:rsidRPr="00A34F10" w:rsidRDefault="00DC5685" w:rsidP="00DC5685">
            <w:pPr>
              <w:rPr>
                <w:sz w:val="20"/>
                <w:szCs w:val="20"/>
              </w:rPr>
            </w:pPr>
            <w:r w:rsidRPr="00A34F10">
              <w:rPr>
                <w:sz w:val="20"/>
                <w:szCs w:val="20"/>
              </w:rPr>
              <w:t>n.a.</w:t>
            </w:r>
          </w:p>
        </w:tc>
        <w:tc>
          <w:tcPr>
            <w:tcW w:w="666" w:type="pct"/>
            <w:vAlign w:val="center"/>
            <w:hideMark/>
          </w:tcPr>
          <w:p w14:paraId="73D2A929" w14:textId="77777777" w:rsidR="00DC5685" w:rsidRPr="00A34F10" w:rsidRDefault="00DC5685" w:rsidP="00DC5685">
            <w:pPr>
              <w:rPr>
                <w:b/>
                <w:bCs/>
                <w:sz w:val="20"/>
                <w:szCs w:val="20"/>
              </w:rPr>
            </w:pPr>
            <w:r w:rsidRPr="00A34F10">
              <w:rPr>
                <w:b/>
                <w:bCs/>
                <w:sz w:val="20"/>
                <w:szCs w:val="20"/>
              </w:rPr>
              <w:t>85.2</w:t>
            </w:r>
          </w:p>
        </w:tc>
        <w:tc>
          <w:tcPr>
            <w:tcW w:w="721" w:type="pct"/>
            <w:vMerge/>
            <w:vAlign w:val="center"/>
            <w:hideMark/>
          </w:tcPr>
          <w:p w14:paraId="73B06FA5" w14:textId="77777777" w:rsidR="00DC5685" w:rsidRPr="00A34F10" w:rsidRDefault="00DC5685" w:rsidP="00DC5685">
            <w:pPr>
              <w:rPr>
                <w:sz w:val="20"/>
                <w:szCs w:val="20"/>
              </w:rPr>
            </w:pPr>
          </w:p>
        </w:tc>
        <w:tc>
          <w:tcPr>
            <w:tcW w:w="531" w:type="pct"/>
            <w:vAlign w:val="center"/>
            <w:hideMark/>
          </w:tcPr>
          <w:p w14:paraId="52B8008E" w14:textId="77777777" w:rsidR="00DC5685" w:rsidRPr="00A34F10" w:rsidRDefault="00DC5685" w:rsidP="00DC5685">
            <w:pPr>
              <w:rPr>
                <w:sz w:val="20"/>
                <w:szCs w:val="20"/>
              </w:rPr>
            </w:pPr>
            <w:r w:rsidRPr="00A34F10">
              <w:rPr>
                <w:sz w:val="20"/>
                <w:szCs w:val="20"/>
              </w:rPr>
              <w:t>n.a.</w:t>
            </w:r>
          </w:p>
        </w:tc>
        <w:tc>
          <w:tcPr>
            <w:tcW w:w="374" w:type="pct"/>
            <w:vMerge/>
            <w:vAlign w:val="center"/>
            <w:hideMark/>
          </w:tcPr>
          <w:p w14:paraId="77FA2BE9" w14:textId="77777777" w:rsidR="00DC5685" w:rsidRPr="00A34F10" w:rsidRDefault="00DC5685" w:rsidP="00DC5685">
            <w:pPr>
              <w:rPr>
                <w:sz w:val="20"/>
                <w:szCs w:val="20"/>
              </w:rPr>
            </w:pPr>
          </w:p>
        </w:tc>
      </w:tr>
      <w:tr w:rsidR="00DC5685" w:rsidRPr="00A34F10" w14:paraId="01B3007A" w14:textId="77777777" w:rsidTr="000470C3">
        <w:trPr>
          <w:trHeight w:val="285"/>
        </w:trPr>
        <w:tc>
          <w:tcPr>
            <w:tcW w:w="545" w:type="pct"/>
            <w:vMerge w:val="restart"/>
            <w:vAlign w:val="center"/>
            <w:hideMark/>
          </w:tcPr>
          <w:p w14:paraId="13BB2D4D" w14:textId="77777777" w:rsidR="00DC5685" w:rsidRPr="00A34F10" w:rsidRDefault="00DC5685" w:rsidP="00DC5685">
            <w:pPr>
              <w:rPr>
                <w:sz w:val="20"/>
                <w:szCs w:val="20"/>
              </w:rPr>
            </w:pPr>
            <w:r w:rsidRPr="00A34F10">
              <w:rPr>
                <w:sz w:val="20"/>
                <w:szCs w:val="20"/>
              </w:rPr>
              <w:t>Algae</w:t>
            </w:r>
          </w:p>
        </w:tc>
        <w:tc>
          <w:tcPr>
            <w:tcW w:w="446" w:type="pct"/>
            <w:vMerge w:val="restart"/>
            <w:vAlign w:val="center"/>
            <w:hideMark/>
          </w:tcPr>
          <w:p w14:paraId="0EC5A6DC" w14:textId="77777777" w:rsidR="00DC5685" w:rsidRPr="00A34F10" w:rsidRDefault="00DC5685" w:rsidP="00DC5685">
            <w:pPr>
              <w:rPr>
                <w:sz w:val="20"/>
                <w:szCs w:val="20"/>
              </w:rPr>
            </w:pPr>
            <w:r w:rsidRPr="00A34F10">
              <w:rPr>
                <w:sz w:val="20"/>
                <w:szCs w:val="20"/>
              </w:rPr>
              <w:t>chronic</w:t>
            </w:r>
          </w:p>
        </w:tc>
        <w:tc>
          <w:tcPr>
            <w:tcW w:w="524" w:type="pct"/>
            <w:vMerge w:val="restart"/>
            <w:vAlign w:val="center"/>
            <w:hideMark/>
          </w:tcPr>
          <w:p w14:paraId="4F9F0F20" w14:textId="77777777" w:rsidR="00DC5685" w:rsidRPr="00A34F10" w:rsidRDefault="00DC5685" w:rsidP="00DC5685">
            <w:pPr>
              <w:rPr>
                <w:sz w:val="20"/>
                <w:szCs w:val="20"/>
              </w:rPr>
            </w:pPr>
            <w:r w:rsidRPr="00A34F10">
              <w:rPr>
                <w:sz w:val="20"/>
                <w:szCs w:val="20"/>
              </w:rPr>
              <w:t>EC</w:t>
            </w:r>
            <w:r w:rsidRPr="00A34F10">
              <w:rPr>
                <w:sz w:val="20"/>
                <w:szCs w:val="20"/>
                <w:vertAlign w:val="subscript"/>
              </w:rPr>
              <w:t>50</w:t>
            </w:r>
          </w:p>
        </w:tc>
        <w:tc>
          <w:tcPr>
            <w:tcW w:w="669" w:type="pct"/>
            <w:vAlign w:val="center"/>
            <w:hideMark/>
          </w:tcPr>
          <w:p w14:paraId="24142A39" w14:textId="77777777" w:rsidR="00DC5685" w:rsidRPr="00A34F10" w:rsidRDefault="00DC5685" w:rsidP="00DC5685">
            <w:pPr>
              <w:rPr>
                <w:sz w:val="20"/>
                <w:szCs w:val="20"/>
              </w:rPr>
            </w:pPr>
            <w:r w:rsidRPr="00A34F10">
              <w:rPr>
                <w:sz w:val="20"/>
                <w:szCs w:val="20"/>
              </w:rPr>
              <w:t>Ametoctradin</w:t>
            </w:r>
          </w:p>
        </w:tc>
        <w:tc>
          <w:tcPr>
            <w:tcW w:w="524" w:type="pct"/>
            <w:vAlign w:val="center"/>
            <w:hideMark/>
          </w:tcPr>
          <w:p w14:paraId="34A4A041" w14:textId="77777777" w:rsidR="00DC5685" w:rsidRPr="00A34F10" w:rsidRDefault="00DC5685" w:rsidP="00DC5685">
            <w:pPr>
              <w:rPr>
                <w:sz w:val="20"/>
                <w:szCs w:val="20"/>
              </w:rPr>
            </w:pPr>
            <w:r w:rsidRPr="00A34F10">
              <w:rPr>
                <w:sz w:val="20"/>
                <w:szCs w:val="20"/>
              </w:rPr>
              <w:t>18400</w:t>
            </w:r>
          </w:p>
        </w:tc>
        <w:tc>
          <w:tcPr>
            <w:tcW w:w="666" w:type="pct"/>
            <w:hideMark/>
          </w:tcPr>
          <w:p w14:paraId="2AA4A565" w14:textId="77777777" w:rsidR="00DC5685" w:rsidRPr="00A34F10" w:rsidRDefault="00DC5685" w:rsidP="00DC5685">
            <w:pPr>
              <w:rPr>
                <w:sz w:val="20"/>
                <w:szCs w:val="20"/>
              </w:rPr>
            </w:pPr>
            <w:r w:rsidRPr="00A34F10">
              <w:rPr>
                <w:sz w:val="20"/>
                <w:szCs w:val="20"/>
              </w:rPr>
              <w:t>87571.1</w:t>
            </w:r>
          </w:p>
        </w:tc>
        <w:tc>
          <w:tcPr>
            <w:tcW w:w="721" w:type="pct"/>
            <w:vMerge w:val="restart"/>
            <w:vAlign w:val="center"/>
            <w:hideMark/>
          </w:tcPr>
          <w:p w14:paraId="0969EDFC" w14:textId="77777777" w:rsidR="00DC5685" w:rsidRPr="00A34F10" w:rsidRDefault="00DC5685" w:rsidP="00DC5685">
            <w:pPr>
              <w:rPr>
                <w:sz w:val="20"/>
                <w:szCs w:val="20"/>
              </w:rPr>
            </w:pPr>
            <w:r w:rsidRPr="00A34F10">
              <w:rPr>
                <w:sz w:val="20"/>
                <w:szCs w:val="20"/>
              </w:rPr>
              <w:t>60416.7</w:t>
            </w:r>
            <w:r w:rsidRPr="00A34F10">
              <w:rPr>
                <w:b/>
                <w:bCs/>
                <w:sz w:val="20"/>
                <w:szCs w:val="20"/>
                <w:vertAlign w:val="superscript"/>
              </w:rPr>
              <w:t>1)</w:t>
            </w:r>
          </w:p>
        </w:tc>
        <w:tc>
          <w:tcPr>
            <w:tcW w:w="531" w:type="pct"/>
            <w:vAlign w:val="center"/>
            <w:hideMark/>
          </w:tcPr>
          <w:p w14:paraId="3FDB8B4D" w14:textId="77777777" w:rsidR="00DC5685" w:rsidRPr="00A34F10" w:rsidRDefault="00DC5685" w:rsidP="00DC5685">
            <w:pPr>
              <w:rPr>
                <w:sz w:val="20"/>
                <w:szCs w:val="20"/>
              </w:rPr>
            </w:pPr>
            <w:r w:rsidRPr="00A34F10">
              <w:rPr>
                <w:sz w:val="20"/>
                <w:szCs w:val="20"/>
              </w:rPr>
              <w:t>55.12</w:t>
            </w:r>
          </w:p>
        </w:tc>
        <w:tc>
          <w:tcPr>
            <w:tcW w:w="374" w:type="pct"/>
            <w:vMerge w:val="restart"/>
            <w:vAlign w:val="center"/>
            <w:hideMark/>
          </w:tcPr>
          <w:p w14:paraId="647BEFFF" w14:textId="77777777" w:rsidR="00DC5685" w:rsidRPr="00A34F10" w:rsidRDefault="00DC5685" w:rsidP="00DC5685">
            <w:pPr>
              <w:rPr>
                <w:sz w:val="20"/>
                <w:szCs w:val="20"/>
              </w:rPr>
            </w:pPr>
            <w:r w:rsidRPr="00A34F10">
              <w:rPr>
                <w:sz w:val="20"/>
                <w:szCs w:val="20"/>
              </w:rPr>
              <w:t>0.80</w:t>
            </w:r>
          </w:p>
        </w:tc>
      </w:tr>
      <w:tr w:rsidR="00DC5685" w:rsidRPr="00A34F10" w14:paraId="69CB52A5" w14:textId="77777777" w:rsidTr="000470C3">
        <w:trPr>
          <w:trHeight w:val="285"/>
        </w:trPr>
        <w:tc>
          <w:tcPr>
            <w:tcW w:w="545" w:type="pct"/>
            <w:vMerge/>
            <w:vAlign w:val="center"/>
            <w:hideMark/>
          </w:tcPr>
          <w:p w14:paraId="4B25FEF1" w14:textId="77777777" w:rsidR="00DC5685" w:rsidRPr="00A34F10" w:rsidRDefault="00DC5685" w:rsidP="00DC5685">
            <w:pPr>
              <w:rPr>
                <w:sz w:val="20"/>
                <w:szCs w:val="20"/>
              </w:rPr>
            </w:pPr>
          </w:p>
        </w:tc>
        <w:tc>
          <w:tcPr>
            <w:tcW w:w="446" w:type="pct"/>
            <w:vMerge/>
            <w:vAlign w:val="center"/>
            <w:hideMark/>
          </w:tcPr>
          <w:p w14:paraId="0BB24D5B" w14:textId="77777777" w:rsidR="00DC5685" w:rsidRPr="00A34F10" w:rsidRDefault="00DC5685" w:rsidP="00DC5685">
            <w:pPr>
              <w:rPr>
                <w:sz w:val="20"/>
                <w:szCs w:val="20"/>
              </w:rPr>
            </w:pPr>
          </w:p>
        </w:tc>
        <w:tc>
          <w:tcPr>
            <w:tcW w:w="524" w:type="pct"/>
            <w:vMerge/>
            <w:vAlign w:val="center"/>
            <w:hideMark/>
          </w:tcPr>
          <w:p w14:paraId="524E5275" w14:textId="77777777" w:rsidR="00DC5685" w:rsidRPr="00A34F10" w:rsidRDefault="00DC5685" w:rsidP="00DC5685">
            <w:pPr>
              <w:rPr>
                <w:sz w:val="20"/>
                <w:szCs w:val="20"/>
              </w:rPr>
            </w:pPr>
          </w:p>
        </w:tc>
        <w:tc>
          <w:tcPr>
            <w:tcW w:w="669" w:type="pct"/>
            <w:vAlign w:val="center"/>
            <w:hideMark/>
          </w:tcPr>
          <w:p w14:paraId="21BE2766" w14:textId="77777777" w:rsidR="00DC5685" w:rsidRPr="00A34F10" w:rsidRDefault="00DC5685" w:rsidP="00DC5685">
            <w:pPr>
              <w:rPr>
                <w:sz w:val="20"/>
                <w:szCs w:val="20"/>
              </w:rPr>
            </w:pPr>
            <w:r w:rsidRPr="00A34F10">
              <w:rPr>
                <w:sz w:val="20"/>
                <w:szCs w:val="20"/>
              </w:rPr>
              <w:t>Propamocarb-HCl</w:t>
            </w:r>
          </w:p>
        </w:tc>
        <w:tc>
          <w:tcPr>
            <w:tcW w:w="524" w:type="pct"/>
            <w:vAlign w:val="center"/>
            <w:hideMark/>
          </w:tcPr>
          <w:p w14:paraId="16FA462E" w14:textId="77777777" w:rsidR="00DC5685" w:rsidRPr="00A34F10" w:rsidRDefault="00DC5685" w:rsidP="00DC5685">
            <w:pPr>
              <w:rPr>
                <w:sz w:val="20"/>
                <w:szCs w:val="20"/>
              </w:rPr>
            </w:pPr>
            <w:r w:rsidRPr="00A34F10">
              <w:rPr>
                <w:sz w:val="20"/>
                <w:szCs w:val="20"/>
              </w:rPr>
              <w:t>85000</w:t>
            </w:r>
          </w:p>
        </w:tc>
        <w:tc>
          <w:tcPr>
            <w:tcW w:w="666" w:type="pct"/>
            <w:hideMark/>
          </w:tcPr>
          <w:p w14:paraId="1A630930" w14:textId="77777777" w:rsidR="00DC5685" w:rsidRPr="00A34F10" w:rsidRDefault="00DC5685" w:rsidP="00DC5685">
            <w:pPr>
              <w:rPr>
                <w:sz w:val="20"/>
                <w:szCs w:val="20"/>
              </w:rPr>
            </w:pPr>
            <w:r w:rsidRPr="00A34F10">
              <w:rPr>
                <w:sz w:val="20"/>
                <w:szCs w:val="20"/>
              </w:rPr>
              <w:t>107610.6</w:t>
            </w:r>
          </w:p>
        </w:tc>
        <w:tc>
          <w:tcPr>
            <w:tcW w:w="721" w:type="pct"/>
            <w:vMerge/>
            <w:vAlign w:val="center"/>
            <w:hideMark/>
          </w:tcPr>
          <w:p w14:paraId="64642BEF" w14:textId="77777777" w:rsidR="00DC5685" w:rsidRPr="00A34F10" w:rsidRDefault="00DC5685" w:rsidP="00DC5685">
            <w:pPr>
              <w:rPr>
                <w:sz w:val="20"/>
                <w:szCs w:val="20"/>
              </w:rPr>
            </w:pPr>
          </w:p>
        </w:tc>
        <w:tc>
          <w:tcPr>
            <w:tcW w:w="531" w:type="pct"/>
            <w:vAlign w:val="center"/>
            <w:hideMark/>
          </w:tcPr>
          <w:p w14:paraId="71F6642F" w14:textId="77777777" w:rsidR="00DC5685" w:rsidRPr="00A34F10" w:rsidRDefault="00DC5685" w:rsidP="00DC5685">
            <w:pPr>
              <w:rPr>
                <w:sz w:val="20"/>
                <w:szCs w:val="20"/>
              </w:rPr>
            </w:pPr>
            <w:r w:rsidRPr="00A34F10">
              <w:rPr>
                <w:sz w:val="20"/>
                <w:szCs w:val="20"/>
              </w:rPr>
              <w:t>44.88</w:t>
            </w:r>
          </w:p>
        </w:tc>
        <w:tc>
          <w:tcPr>
            <w:tcW w:w="374" w:type="pct"/>
            <w:vMerge/>
            <w:vAlign w:val="center"/>
            <w:hideMark/>
          </w:tcPr>
          <w:p w14:paraId="146E62A7" w14:textId="77777777" w:rsidR="00DC5685" w:rsidRPr="00A34F10" w:rsidRDefault="00DC5685" w:rsidP="00DC5685">
            <w:pPr>
              <w:rPr>
                <w:b/>
                <w:bCs/>
                <w:sz w:val="20"/>
                <w:szCs w:val="20"/>
              </w:rPr>
            </w:pPr>
          </w:p>
        </w:tc>
      </w:tr>
      <w:tr w:rsidR="00DC5685" w:rsidRPr="00A34F10" w14:paraId="1ADCF8E4" w14:textId="77777777" w:rsidTr="000470C3">
        <w:trPr>
          <w:trHeight w:val="300"/>
        </w:trPr>
        <w:tc>
          <w:tcPr>
            <w:tcW w:w="545" w:type="pct"/>
            <w:vMerge/>
            <w:vAlign w:val="center"/>
            <w:hideMark/>
          </w:tcPr>
          <w:p w14:paraId="382E63B3" w14:textId="77777777" w:rsidR="00DC5685" w:rsidRPr="00A34F10" w:rsidRDefault="00DC5685" w:rsidP="00DC5685">
            <w:pPr>
              <w:rPr>
                <w:sz w:val="20"/>
                <w:szCs w:val="20"/>
              </w:rPr>
            </w:pPr>
          </w:p>
        </w:tc>
        <w:tc>
          <w:tcPr>
            <w:tcW w:w="446" w:type="pct"/>
            <w:vMerge/>
            <w:vAlign w:val="center"/>
            <w:hideMark/>
          </w:tcPr>
          <w:p w14:paraId="66B3A91C" w14:textId="77777777" w:rsidR="00DC5685" w:rsidRPr="00A34F10" w:rsidRDefault="00DC5685" w:rsidP="00DC5685">
            <w:pPr>
              <w:rPr>
                <w:sz w:val="20"/>
                <w:szCs w:val="20"/>
              </w:rPr>
            </w:pPr>
          </w:p>
        </w:tc>
        <w:tc>
          <w:tcPr>
            <w:tcW w:w="524" w:type="pct"/>
            <w:vMerge/>
            <w:vAlign w:val="center"/>
            <w:hideMark/>
          </w:tcPr>
          <w:p w14:paraId="156B8445" w14:textId="77777777" w:rsidR="00DC5685" w:rsidRPr="00A34F10" w:rsidRDefault="00DC5685" w:rsidP="00DC5685">
            <w:pPr>
              <w:rPr>
                <w:sz w:val="20"/>
                <w:szCs w:val="20"/>
              </w:rPr>
            </w:pPr>
          </w:p>
        </w:tc>
        <w:tc>
          <w:tcPr>
            <w:tcW w:w="669" w:type="pct"/>
            <w:vAlign w:val="center"/>
            <w:hideMark/>
          </w:tcPr>
          <w:p w14:paraId="58BE1086" w14:textId="77777777" w:rsidR="00DC5685" w:rsidRPr="00A34F10" w:rsidRDefault="00DC5685" w:rsidP="00DC5685">
            <w:pPr>
              <w:rPr>
                <w:sz w:val="20"/>
                <w:szCs w:val="20"/>
              </w:rPr>
            </w:pPr>
            <w:r w:rsidRPr="00A34F10">
              <w:rPr>
                <w:sz w:val="20"/>
                <w:szCs w:val="20"/>
              </w:rPr>
              <w:t>BAS 743 02 F</w:t>
            </w:r>
          </w:p>
        </w:tc>
        <w:tc>
          <w:tcPr>
            <w:tcW w:w="524" w:type="pct"/>
            <w:vAlign w:val="center"/>
            <w:hideMark/>
          </w:tcPr>
          <w:p w14:paraId="0E8CCD22" w14:textId="77777777" w:rsidR="00DC5685" w:rsidRPr="00A34F10" w:rsidRDefault="00DC5685" w:rsidP="00DC5685">
            <w:pPr>
              <w:rPr>
                <w:sz w:val="20"/>
                <w:szCs w:val="20"/>
              </w:rPr>
            </w:pPr>
            <w:r w:rsidRPr="00A34F10">
              <w:rPr>
                <w:sz w:val="20"/>
                <w:szCs w:val="20"/>
              </w:rPr>
              <w:t>100000</w:t>
            </w:r>
          </w:p>
        </w:tc>
        <w:tc>
          <w:tcPr>
            <w:tcW w:w="666" w:type="pct"/>
            <w:hideMark/>
          </w:tcPr>
          <w:p w14:paraId="4AA64CC5" w14:textId="77777777" w:rsidR="00DC5685" w:rsidRPr="00A34F10" w:rsidRDefault="00DC5685" w:rsidP="00DC5685">
            <w:pPr>
              <w:rPr>
                <w:b/>
                <w:bCs/>
                <w:sz w:val="20"/>
                <w:szCs w:val="20"/>
              </w:rPr>
            </w:pPr>
            <w:r w:rsidRPr="00A34F10">
              <w:rPr>
                <w:b/>
                <w:bCs/>
                <w:sz w:val="20"/>
                <w:szCs w:val="20"/>
              </w:rPr>
              <w:t>48281.1</w:t>
            </w:r>
          </w:p>
        </w:tc>
        <w:tc>
          <w:tcPr>
            <w:tcW w:w="721" w:type="pct"/>
            <w:vMerge/>
            <w:vAlign w:val="center"/>
            <w:hideMark/>
          </w:tcPr>
          <w:p w14:paraId="68DBFCFA" w14:textId="77777777" w:rsidR="00DC5685" w:rsidRPr="00A34F10" w:rsidRDefault="00DC5685" w:rsidP="00DC5685">
            <w:pPr>
              <w:rPr>
                <w:sz w:val="20"/>
                <w:szCs w:val="20"/>
              </w:rPr>
            </w:pPr>
          </w:p>
        </w:tc>
        <w:tc>
          <w:tcPr>
            <w:tcW w:w="531" w:type="pct"/>
            <w:vAlign w:val="center"/>
            <w:hideMark/>
          </w:tcPr>
          <w:p w14:paraId="5A84F3BC" w14:textId="77777777" w:rsidR="00DC5685" w:rsidRPr="00A34F10" w:rsidRDefault="00DC5685" w:rsidP="00DC5685">
            <w:pPr>
              <w:rPr>
                <w:sz w:val="20"/>
                <w:szCs w:val="20"/>
              </w:rPr>
            </w:pPr>
            <w:r w:rsidRPr="00A34F10">
              <w:rPr>
                <w:sz w:val="20"/>
                <w:szCs w:val="20"/>
              </w:rPr>
              <w:t>n.a.</w:t>
            </w:r>
          </w:p>
        </w:tc>
        <w:tc>
          <w:tcPr>
            <w:tcW w:w="374" w:type="pct"/>
            <w:vMerge/>
            <w:vAlign w:val="center"/>
            <w:hideMark/>
          </w:tcPr>
          <w:p w14:paraId="3987693C" w14:textId="77777777" w:rsidR="00DC5685" w:rsidRPr="00A34F10" w:rsidRDefault="00DC5685" w:rsidP="00DC5685">
            <w:pPr>
              <w:rPr>
                <w:b/>
                <w:bCs/>
                <w:sz w:val="20"/>
                <w:szCs w:val="20"/>
              </w:rPr>
            </w:pPr>
          </w:p>
        </w:tc>
      </w:tr>
    </w:tbl>
    <w:p w14:paraId="2A45115B" w14:textId="77777777" w:rsidR="00DC5685" w:rsidRPr="00A34F10" w:rsidRDefault="00DC5685" w:rsidP="00DC5685">
      <w:pPr>
        <w:ind w:right="142"/>
        <w:jc w:val="both"/>
        <w:rPr>
          <w:sz w:val="18"/>
          <w:szCs w:val="18"/>
        </w:rPr>
      </w:pPr>
      <w:r w:rsidRPr="00A34F10">
        <w:rPr>
          <w:sz w:val="18"/>
          <w:szCs w:val="18"/>
        </w:rPr>
        <w:t>MDR: Model deviation ratio; n.a. not applicable/available</w:t>
      </w:r>
    </w:p>
    <w:p w14:paraId="36B79152" w14:textId="77777777" w:rsidR="00DC5685" w:rsidRPr="00A34F10" w:rsidRDefault="00DC5685" w:rsidP="00E05ECD">
      <w:pPr>
        <w:numPr>
          <w:ilvl w:val="0"/>
          <w:numId w:val="23"/>
        </w:numPr>
        <w:ind w:right="142"/>
        <w:jc w:val="both"/>
        <w:rPr>
          <w:sz w:val="18"/>
          <w:szCs w:val="18"/>
          <w:vertAlign w:val="superscript"/>
        </w:rPr>
      </w:pPr>
      <w:r w:rsidRPr="00A34F10">
        <w:rPr>
          <w:sz w:val="18"/>
          <w:szCs w:val="18"/>
        </w:rPr>
        <w:t>Based on an active substance content of 137.1 g/L Ametoctradin and 515.4 g/L Propamocarb-HCl and a product density of 1.080 g/cm</w:t>
      </w:r>
      <w:r w:rsidRPr="00A34F10">
        <w:rPr>
          <w:sz w:val="18"/>
          <w:szCs w:val="18"/>
          <w:vertAlign w:val="superscript"/>
        </w:rPr>
        <w:t>3</w:t>
      </w:r>
    </w:p>
    <w:p w14:paraId="3B4ED8A5" w14:textId="77777777" w:rsidR="00DC5685" w:rsidRPr="00A34F10" w:rsidRDefault="00DC5685" w:rsidP="00E05ECD">
      <w:pPr>
        <w:numPr>
          <w:ilvl w:val="0"/>
          <w:numId w:val="23"/>
        </w:numPr>
        <w:ind w:right="142"/>
        <w:jc w:val="both"/>
        <w:rPr>
          <w:sz w:val="18"/>
          <w:szCs w:val="18"/>
        </w:rPr>
      </w:pPr>
      <w:r w:rsidRPr="00A34F10">
        <w:rPr>
          <w:sz w:val="18"/>
          <w:szCs w:val="18"/>
          <w:vertAlign w:val="superscript"/>
        </w:rPr>
        <w:t xml:space="preserve">1) </w:t>
      </w:r>
      <w:r w:rsidRPr="00A34F10">
        <w:rPr>
          <w:sz w:val="18"/>
          <w:szCs w:val="18"/>
        </w:rPr>
        <w:t>Based on an active substance content of 120 g/L Ametoctradin and 451 g/L Propamocarb-HCl and a product density of 1.071 g/cm</w:t>
      </w:r>
      <w:r w:rsidRPr="00A34F10">
        <w:rPr>
          <w:sz w:val="18"/>
          <w:szCs w:val="18"/>
          <w:vertAlign w:val="superscript"/>
        </w:rPr>
        <w:t>3</w:t>
      </w:r>
    </w:p>
    <w:p w14:paraId="5ADA1452" w14:textId="77777777" w:rsidR="00DC5685" w:rsidRPr="00A34F10" w:rsidRDefault="00DC5685" w:rsidP="00DC5685">
      <w:pPr>
        <w:ind w:right="142"/>
        <w:jc w:val="both"/>
      </w:pPr>
    </w:p>
    <w:p w14:paraId="7B4A7A95" w14:textId="77777777" w:rsidR="00DC5685" w:rsidRPr="00A34F10" w:rsidRDefault="00DC5685" w:rsidP="00DC5685">
      <w:pPr>
        <w:jc w:val="both"/>
        <w:sectPr w:rsidR="00DC5685" w:rsidRPr="00A34F10" w:rsidSect="00EE5944">
          <w:headerReference w:type="default" r:id="rId44"/>
          <w:pgSz w:w="16840" w:h="11907" w:orient="landscape" w:code="9"/>
          <w:pgMar w:top="1418" w:right="1418" w:bottom="1134" w:left="1134" w:header="709" w:footer="709" w:gutter="0"/>
          <w:cols w:space="720"/>
          <w:docGrid w:linePitch="299"/>
        </w:sectPr>
      </w:pPr>
    </w:p>
    <w:p w14:paraId="734D9C70" w14:textId="77777777" w:rsidR="00DC5685" w:rsidRPr="00A34F10" w:rsidRDefault="00DC5685" w:rsidP="00DC5685">
      <w:pPr>
        <w:widowControl w:val="0"/>
        <w:jc w:val="both"/>
        <w:rPr>
          <w:lang w:val="en-GB"/>
        </w:rPr>
      </w:pPr>
      <w:r w:rsidRPr="00A34F10">
        <w:rPr>
          <w:lang w:val="en-GB"/>
        </w:rPr>
        <w:lastRenderedPageBreak/>
        <w:t>The resulting MDRs presented above are all between 0.2 and 5, indicating that the observed and calculated mixture toxicities are considered to be in agreement. Thus, the measured mixture toxicity endpoints have been used in the following risk assessment for drift entry for the formulated product.</w:t>
      </w:r>
    </w:p>
    <w:p w14:paraId="03776DB3" w14:textId="77777777" w:rsidR="00DC5685" w:rsidRPr="00A34F10" w:rsidRDefault="00DC5685" w:rsidP="00DC5685">
      <w:pPr>
        <w:jc w:val="both"/>
      </w:pPr>
    </w:p>
    <w:p w14:paraId="17B82CFE" w14:textId="77777777" w:rsidR="00DC5685" w:rsidRPr="00A34F10" w:rsidRDefault="00DC5685" w:rsidP="00DC5685">
      <w:pPr>
        <w:jc w:val="both"/>
      </w:pPr>
      <w:r w:rsidRPr="00A34F10">
        <w:t>The active substance Ametoctradin in case of the ratio of active substances as in the formulated product contributes by more than 90% to the chronic toxicity of the formulation BAS 743 03 F to fish and aquatic invertebrates; thus the risk assessment for these trophic level is based on the single-substance toxicity data of Ametoctradin. No “driver” of acute mixture toxicity is identified for fish, aquatic invertebrates and algae; thus, any potential risk due to the acute toxicity of BAS 743 03 F is addressed in a mixture risk assessment following the Risk Quotient Approach (RQ) using the following equation.</w:t>
      </w:r>
    </w:p>
    <w:p w14:paraId="0FA2D242" w14:textId="77777777" w:rsidR="00DC5685" w:rsidRPr="00A34F10" w:rsidRDefault="00DC5685" w:rsidP="00DC5685">
      <w:pPr>
        <w:jc w:val="both"/>
      </w:pPr>
    </w:p>
    <w:p w14:paraId="7468FA7A" w14:textId="77777777" w:rsidR="00DC5685" w:rsidRPr="00A34F10" w:rsidRDefault="00DC5685" w:rsidP="00DC5685">
      <w:pPr>
        <w:jc w:val="both"/>
      </w:pPr>
      <w:r w:rsidRPr="00A34F10">
        <w:rPr>
          <w:noProof/>
        </w:rPr>
        <w:drawing>
          <wp:inline distT="0" distB="0" distL="0" distR="0" wp14:anchorId="60D0FCDF" wp14:editId="4C81E335">
            <wp:extent cx="1257300" cy="438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57300" cy="438150"/>
                    </a:xfrm>
                    <a:prstGeom prst="rect">
                      <a:avLst/>
                    </a:prstGeom>
                    <a:noFill/>
                  </pic:spPr>
                </pic:pic>
              </a:graphicData>
            </a:graphic>
          </wp:inline>
        </w:drawing>
      </w:r>
    </w:p>
    <w:p w14:paraId="7A5E059D" w14:textId="77777777" w:rsidR="00DC5685" w:rsidRPr="00A34F10" w:rsidRDefault="00DC5685" w:rsidP="00DC5685">
      <w:pPr>
        <w:jc w:val="both"/>
      </w:pPr>
    </w:p>
    <w:p w14:paraId="040A5C70" w14:textId="77777777" w:rsidR="00DC5685" w:rsidRPr="00A34F10" w:rsidRDefault="00DC5685" w:rsidP="00DC5685">
      <w:pPr>
        <w:widowControl w:val="0"/>
        <w:jc w:val="both"/>
        <w:rPr>
          <w:rFonts w:eastAsia="Calibri"/>
          <w:lang w:val="en-GB"/>
        </w:rPr>
      </w:pPr>
      <w:r w:rsidRPr="00A34F10">
        <w:rPr>
          <w:rFonts w:eastAsia="Calibri"/>
          <w:lang w:val="en-GB"/>
        </w:rPr>
        <w:t>The RQ</w:t>
      </w:r>
      <w:r w:rsidRPr="00A34F10">
        <w:rPr>
          <w:rFonts w:eastAsia="Calibri"/>
          <w:vertAlign w:val="subscript"/>
          <w:lang w:val="en-GB"/>
        </w:rPr>
        <w:t>mix</w:t>
      </w:r>
      <w:r w:rsidRPr="00A34F10">
        <w:rPr>
          <w:rFonts w:eastAsia="Calibri"/>
          <w:lang w:val="en-GB"/>
        </w:rPr>
        <w:t xml:space="preserve"> approach is fully compatible with the principal assessment scheme as in accordance with EFSA guidance, </w:t>
      </w:r>
      <w:r w:rsidRPr="00A34F10">
        <w:rPr>
          <w:rFonts w:eastAsia="Calibri"/>
          <w:i/>
          <w:iCs/>
          <w:lang w:val="en-GB"/>
        </w:rPr>
        <w:t>i.e</w:t>
      </w:r>
      <w:r w:rsidRPr="00A34F10">
        <w:rPr>
          <w:rFonts w:eastAsia="Calibri"/>
          <w:lang w:val="en-GB"/>
        </w:rPr>
        <w:t>., the assessments based on ratios of PEC</w:t>
      </w:r>
      <w:r w:rsidRPr="00A34F10">
        <w:rPr>
          <w:rFonts w:eastAsia="Calibri"/>
          <w:vertAlign w:val="subscript"/>
          <w:lang w:val="en-GB"/>
        </w:rPr>
        <w:t>SW</w:t>
      </w:r>
      <w:r w:rsidRPr="00A34F10">
        <w:rPr>
          <w:rFonts w:eastAsia="Calibri"/>
          <w:lang w:val="en-GB"/>
        </w:rPr>
        <w:t xml:space="preserve"> and RAC, whereas EFSA guidance proposes the calculation of ETRs. Furthermore, the RQ approach is also presented in the guidance as an alternative option for the ETR calculation.</w:t>
      </w:r>
    </w:p>
    <w:p w14:paraId="1C88E6AB" w14:textId="77777777" w:rsidR="00DC5685" w:rsidRPr="00A34F10" w:rsidRDefault="00DC5685" w:rsidP="00DC5685">
      <w:pPr>
        <w:widowControl w:val="0"/>
        <w:jc w:val="both"/>
        <w:rPr>
          <w:rFonts w:eastAsia="Calibri"/>
          <w:lang w:val="en-GB"/>
        </w:rPr>
      </w:pPr>
    </w:p>
    <w:p w14:paraId="4B05E784" w14:textId="2AC8A24A" w:rsidR="00DC5685" w:rsidRPr="00A34F10" w:rsidRDefault="00DC5685" w:rsidP="00DC5685">
      <w:pPr>
        <w:widowControl w:val="0"/>
        <w:jc w:val="both"/>
        <w:rPr>
          <w:rFonts w:eastAsia="Calibri"/>
          <w:lang w:val="en-GB"/>
        </w:rPr>
      </w:pPr>
      <w:r w:rsidRPr="00A34F10">
        <w:rPr>
          <w:rFonts w:eastAsia="Calibri"/>
          <w:lang w:val="en-GB"/>
        </w:rPr>
        <w:t>The mixture toxicity assessment is presented in Table 9.5-11 for the intended worst-case use at 2 x 1.75 L/ha in potatoes. The assessment is based on worst-case maximum PEC</w:t>
      </w:r>
      <w:r w:rsidRPr="00A34F10">
        <w:rPr>
          <w:rFonts w:eastAsia="Calibri"/>
          <w:vertAlign w:val="subscript"/>
          <w:lang w:val="en-GB"/>
        </w:rPr>
        <w:t>SW</w:t>
      </w:r>
      <w:r w:rsidRPr="00A34F10">
        <w:rPr>
          <w:rFonts w:eastAsia="Calibri"/>
          <w:lang w:val="en-GB"/>
        </w:rPr>
        <w:t xml:space="preserve"> values at FOCUS Steps 1 and 2.</w:t>
      </w:r>
    </w:p>
    <w:p w14:paraId="3C8F920A" w14:textId="77777777" w:rsidR="00DC5685" w:rsidRPr="00A34F10" w:rsidRDefault="00DC5685" w:rsidP="006C0A4B">
      <w:pPr>
        <w:pStyle w:val="Nagwek4"/>
      </w:pPr>
      <w:bookmarkStart w:id="469" w:name="_Toc412643996"/>
      <w:bookmarkStart w:id="470" w:name="_Toc413916842"/>
      <w:bookmarkStart w:id="471" w:name="_Toc413916984"/>
      <w:bookmarkStart w:id="472" w:name="_Toc413922045"/>
      <w:bookmarkStart w:id="473" w:name="_Toc413922534"/>
      <w:bookmarkStart w:id="474" w:name="_Toc413922638"/>
      <w:bookmarkStart w:id="475" w:name="_Toc414955275"/>
      <w:bookmarkStart w:id="476" w:name="_Toc415214582"/>
      <w:bookmarkStart w:id="477" w:name="_Toc425512603"/>
      <w:bookmarkStart w:id="478" w:name="_Ref439762709"/>
      <w:bookmarkStart w:id="479" w:name="_Toc181624970"/>
      <w:r w:rsidRPr="00A34F10">
        <w:t>Justification for new endpoints</w:t>
      </w:r>
      <w:bookmarkEnd w:id="469"/>
      <w:bookmarkEnd w:id="470"/>
      <w:bookmarkEnd w:id="471"/>
      <w:bookmarkEnd w:id="472"/>
      <w:bookmarkEnd w:id="473"/>
      <w:bookmarkEnd w:id="474"/>
      <w:bookmarkEnd w:id="475"/>
      <w:bookmarkEnd w:id="476"/>
      <w:bookmarkEnd w:id="477"/>
      <w:bookmarkEnd w:id="478"/>
      <w:bookmarkEnd w:id="479"/>
    </w:p>
    <w:p w14:paraId="6AE2505D" w14:textId="77777777" w:rsidR="00DC5685" w:rsidRPr="00A34F10" w:rsidRDefault="00DC5685" w:rsidP="00DC5685">
      <w:pPr>
        <w:widowControl w:val="0"/>
        <w:suppressAutoHyphens/>
        <w:jc w:val="both"/>
      </w:pPr>
      <w:bookmarkStart w:id="480" w:name="_Hlk42678031"/>
      <w:bookmarkStart w:id="481" w:name="_Toc399353271"/>
      <w:r w:rsidRPr="00A34F10">
        <w:t xml:space="preserve">Agreed endpoints for Ametoctradin and its metabolites were taken from the EFSA Conclusion (2012). In addition, a new chronic study on the Mysid shrimp has been submitted, which provides the lowest endpoint (NOEC = 0.018 mg a.s./L) for the chronic risk assessment. </w:t>
      </w:r>
    </w:p>
    <w:p w14:paraId="0731EB9C" w14:textId="77777777" w:rsidR="00DC5685" w:rsidRPr="00A34F10" w:rsidRDefault="00DC5685" w:rsidP="00DC5685">
      <w:pPr>
        <w:widowControl w:val="0"/>
        <w:suppressAutoHyphens/>
        <w:jc w:val="both"/>
      </w:pPr>
    </w:p>
    <w:p w14:paraId="212881D6" w14:textId="72236D2F" w:rsidR="00DC5685" w:rsidRPr="00A34F10" w:rsidRDefault="00DC5685" w:rsidP="00DC5685">
      <w:pPr>
        <w:widowControl w:val="0"/>
        <w:suppressAutoHyphens/>
        <w:jc w:val="both"/>
      </w:pPr>
      <w:r w:rsidRPr="00A34F10">
        <w:t>New endpoints with the formulated product (BAS 743 02 F and BAS 743 03 F) have been presented, as this is a different product to that supported for the EU evaluation.</w:t>
      </w:r>
    </w:p>
    <w:p w14:paraId="2A09B121" w14:textId="77777777" w:rsidR="00DC5685" w:rsidRPr="00A34F10" w:rsidRDefault="00DC5685" w:rsidP="006C0A4B">
      <w:pPr>
        <w:pStyle w:val="Nagwek3"/>
        <w:rPr>
          <w:rFonts w:cs="Times New Roman"/>
        </w:rPr>
      </w:pPr>
      <w:bookmarkStart w:id="482" w:name="_Toc412643997"/>
      <w:bookmarkStart w:id="483" w:name="_Toc413916843"/>
      <w:bookmarkStart w:id="484" w:name="_Toc413916985"/>
      <w:bookmarkStart w:id="485" w:name="_Toc413922046"/>
      <w:bookmarkStart w:id="486" w:name="_Toc413922535"/>
      <w:bookmarkStart w:id="487" w:name="_Toc413922639"/>
      <w:bookmarkStart w:id="488" w:name="_Toc414955276"/>
      <w:bookmarkStart w:id="489" w:name="_Toc415214583"/>
      <w:bookmarkStart w:id="490" w:name="_Toc425512604"/>
      <w:bookmarkStart w:id="491" w:name="_Toc181624971"/>
      <w:bookmarkEnd w:id="480"/>
      <w:r w:rsidRPr="00A34F10">
        <w:rPr>
          <w:rFonts w:cs="Times New Roman"/>
        </w:rPr>
        <w:t>Risk assessment</w:t>
      </w:r>
      <w:bookmarkEnd w:id="481"/>
      <w:bookmarkEnd w:id="482"/>
      <w:bookmarkEnd w:id="483"/>
      <w:bookmarkEnd w:id="484"/>
      <w:bookmarkEnd w:id="485"/>
      <w:bookmarkEnd w:id="486"/>
      <w:bookmarkEnd w:id="487"/>
      <w:bookmarkEnd w:id="488"/>
      <w:bookmarkEnd w:id="489"/>
      <w:bookmarkEnd w:id="490"/>
      <w:bookmarkEnd w:id="491"/>
    </w:p>
    <w:p w14:paraId="50DD1647" w14:textId="77777777" w:rsidR="00DC5685" w:rsidRPr="00A34F10" w:rsidRDefault="00DC5685" w:rsidP="00DC5685">
      <w:pPr>
        <w:widowControl w:val="0"/>
        <w:suppressAutoHyphens/>
        <w:jc w:val="both"/>
      </w:pPr>
      <w:bookmarkStart w:id="492" w:name="_Toc399487274"/>
      <w:bookmarkStart w:id="493" w:name="_Toc412644000"/>
      <w:bookmarkStart w:id="494" w:name="_Toc413916844"/>
      <w:bookmarkStart w:id="495" w:name="_Toc413916986"/>
      <w:bookmarkStart w:id="496" w:name="_Toc413922047"/>
      <w:bookmarkStart w:id="497" w:name="_Toc413922536"/>
      <w:bookmarkStart w:id="498" w:name="_Toc413922640"/>
      <w:bookmarkStart w:id="499" w:name="_Toc414955277"/>
      <w:bookmarkStart w:id="500" w:name="_Toc415214584"/>
      <w:bookmarkStart w:id="501" w:name="_Toc425512605"/>
      <w:r w:rsidRPr="00A34F10">
        <w:t>The evaluation of the risk for aquatic and sediment-dwelling organisms was performed in accordance with the recommendations of the “Guidance document on tiered risk assessment for plant protection products for aquatic organisms in edge-of-field surface waters in the context of Regulation (EC) No 1107/2009”, as provided by the Commission Services (SANTE-2015-00080, 15 January 2015).</w:t>
      </w:r>
    </w:p>
    <w:p w14:paraId="4CAC9316" w14:textId="77777777" w:rsidR="00DC5685" w:rsidRPr="00A34F10" w:rsidRDefault="00DC5685" w:rsidP="00DC5685">
      <w:pPr>
        <w:widowControl w:val="0"/>
        <w:suppressAutoHyphens/>
        <w:jc w:val="both"/>
      </w:pPr>
    </w:p>
    <w:p w14:paraId="13937F0C" w14:textId="77777777" w:rsidR="00DC5685" w:rsidRPr="00A34F10" w:rsidRDefault="00DC5685" w:rsidP="00DC5685">
      <w:pPr>
        <w:tabs>
          <w:tab w:val="left" w:pos="720"/>
        </w:tabs>
        <w:suppressAutoHyphens/>
        <w:jc w:val="both"/>
      </w:pPr>
      <w:r w:rsidRPr="00A34F10">
        <w:rPr>
          <w:lang w:eastAsia="zh-CN"/>
        </w:rPr>
        <w:t>In accordance with the “</w:t>
      </w:r>
      <w:r w:rsidRPr="00A34F10">
        <w:t xml:space="preserve">Guidance document on tiered risk assessment for plant protection products for aquatic organisms in edge-of-field surface waters” (EFSA Aquatic GD), </w:t>
      </w:r>
      <w:r w:rsidRPr="00A34F10">
        <w:rPr>
          <w:lang w:eastAsia="zh-CN"/>
        </w:rPr>
        <w:t xml:space="preserve">risk assessment </w:t>
      </w:r>
      <w:r w:rsidRPr="00A34F10">
        <w:t>for algae was performed considering the more relevant endpoint “growth rate” (E</w:t>
      </w:r>
      <w:r w:rsidRPr="00A34F10">
        <w:rPr>
          <w:vertAlign w:val="subscript"/>
        </w:rPr>
        <w:t>r</w:t>
      </w:r>
      <w:r w:rsidRPr="00A34F10">
        <w:t>C</w:t>
      </w:r>
      <w:r w:rsidRPr="00A34F10">
        <w:rPr>
          <w:vertAlign w:val="subscript"/>
        </w:rPr>
        <w:t>50</w:t>
      </w:r>
      <w:r w:rsidRPr="00A34F10">
        <w:t xml:space="preserve">). </w:t>
      </w:r>
    </w:p>
    <w:p w14:paraId="1C7DB0D9" w14:textId="77777777" w:rsidR="00DC5685" w:rsidRPr="00A34F10" w:rsidRDefault="00DC5685" w:rsidP="00DC5685">
      <w:pPr>
        <w:widowControl w:val="0"/>
        <w:suppressAutoHyphens/>
        <w:jc w:val="both"/>
      </w:pPr>
    </w:p>
    <w:p w14:paraId="1CF6453C" w14:textId="77777777" w:rsidR="00DC5685" w:rsidRPr="00A34F10" w:rsidRDefault="00DC5685" w:rsidP="00DC5685">
      <w:pPr>
        <w:suppressAutoHyphens/>
        <w:jc w:val="both"/>
        <w:rPr>
          <w:b/>
          <w:bCs/>
        </w:rPr>
      </w:pPr>
      <w:r w:rsidRPr="00A34F10">
        <w:rPr>
          <w:b/>
          <w:bCs/>
          <w:u w:val="single"/>
        </w:rPr>
        <w:t xml:space="preserve">Ametoctradin (BAS 650 F) </w:t>
      </w:r>
    </w:p>
    <w:p w14:paraId="2ECABE74" w14:textId="77777777" w:rsidR="00DC5685" w:rsidRPr="00A34F10" w:rsidRDefault="00DC5685" w:rsidP="00DC5685">
      <w:pPr>
        <w:suppressAutoHyphens/>
        <w:jc w:val="both"/>
        <w:rPr>
          <w:b/>
          <w:bCs/>
        </w:rPr>
      </w:pPr>
    </w:p>
    <w:p w14:paraId="32F92FB3" w14:textId="5855302D" w:rsidR="00E23E00" w:rsidRPr="00A34F10" w:rsidRDefault="00DC5685" w:rsidP="00A326E1">
      <w:pPr>
        <w:widowControl w:val="0"/>
        <w:suppressAutoHyphens/>
      </w:pPr>
      <w:r w:rsidRPr="00A34F10">
        <w:t>The relevant global maximum FOCUS PEC</w:t>
      </w:r>
      <w:r w:rsidRPr="00A34F10">
        <w:rPr>
          <w:vertAlign w:val="subscript"/>
        </w:rPr>
        <w:t>sw</w:t>
      </w:r>
      <w:r w:rsidRPr="00A34F10">
        <w:t xml:space="preserve"> and PEC</w:t>
      </w:r>
      <w:r w:rsidRPr="00A34F10">
        <w:rPr>
          <w:vertAlign w:val="subscript"/>
        </w:rPr>
        <w:t>sed</w:t>
      </w:r>
      <w:r w:rsidRPr="00A34F10">
        <w:t xml:space="preserve"> for risk assessments covering the proposed use patterns and the resulting PEC/RAC ratios are presented in the tables below.</w:t>
      </w:r>
    </w:p>
    <w:p w14:paraId="1CA7AB6A" w14:textId="6118392F" w:rsidR="00DC5685" w:rsidRPr="00A34F10" w:rsidRDefault="00E23E00" w:rsidP="00DC5685">
      <w:pPr>
        <w:widowControl w:val="0"/>
        <w:suppressAutoHyphens/>
        <w:jc w:val="both"/>
      </w:pPr>
      <w:r w:rsidRPr="00A34F10">
        <w:br w:type="page"/>
      </w:r>
    </w:p>
    <w:p w14:paraId="6767BCA0" w14:textId="77777777" w:rsidR="00DC5685" w:rsidRPr="00A34F10" w:rsidRDefault="00DC5685" w:rsidP="00DC5685">
      <w:pPr>
        <w:widowControl w:val="0"/>
        <w:suppressAutoHyphens/>
        <w:jc w:val="both"/>
      </w:pPr>
      <w:r w:rsidRPr="00A34F10">
        <w:lastRenderedPageBreak/>
        <w:t xml:space="preserve">For full details of the assumptions used in the exposure calculations please see </w:t>
      </w:r>
      <w:r w:rsidRPr="00A34F10">
        <w:rPr>
          <w:bCs/>
        </w:rPr>
        <w:t xml:space="preserve">Part B, </w:t>
      </w:r>
      <w:r w:rsidRPr="00A34F10">
        <w:t>Section 8. FOCUS PEC</w:t>
      </w:r>
      <w:r w:rsidRPr="00A34F10">
        <w:rPr>
          <w:vertAlign w:val="subscript"/>
        </w:rPr>
        <w:t>SW</w:t>
      </w:r>
      <w:r w:rsidRPr="00A34F10">
        <w:t xml:space="preserve"> and PEC</w:t>
      </w:r>
      <w:r w:rsidRPr="00A34F10">
        <w:rPr>
          <w:vertAlign w:val="subscript"/>
        </w:rPr>
        <w:t xml:space="preserve">SED </w:t>
      </w:r>
      <w:r w:rsidRPr="00A34F10">
        <w:t>for ametoctradin and its relevant metabolites are presented in Section 8, Chapter 8.9.</w:t>
      </w:r>
    </w:p>
    <w:p w14:paraId="11BC2C08" w14:textId="77777777" w:rsidR="00DC5685" w:rsidRPr="00A34F10" w:rsidRDefault="00DC5685" w:rsidP="00DC5685">
      <w:pPr>
        <w:widowControl w:val="0"/>
        <w:suppressAutoHyphens/>
        <w:jc w:val="both"/>
      </w:pPr>
    </w:p>
    <w:p w14:paraId="7AF1E394" w14:textId="60A1A05C" w:rsidR="00DC5685" w:rsidRPr="00A34F10" w:rsidRDefault="00DC5685" w:rsidP="00DC5685">
      <w:pPr>
        <w:widowControl w:val="0"/>
        <w:suppressAutoHyphens/>
        <w:jc w:val="both"/>
        <w:rPr>
          <w:sz w:val="20"/>
        </w:rPr>
      </w:pPr>
      <w:bookmarkStart w:id="502" w:name="_Hlk40897436"/>
      <w:r w:rsidRPr="00A34F10">
        <w:rPr>
          <w:szCs w:val="24"/>
        </w:rPr>
        <w:t>The acute studies conducted with ametoctradin resulted in endpoints which are greater than the water solubility of the compound under test conditions. Solubility of ametoctradin in distilled water is 0.15 mg a.s./L at 20°C and pH 7 (</w:t>
      </w:r>
      <w:r w:rsidR="00482794">
        <w:rPr>
          <w:szCs w:val="24"/>
        </w:rPr>
        <w:t>XXXX</w:t>
      </w:r>
      <w:r w:rsidRPr="00A34F10">
        <w:rPr>
          <w:szCs w:val="24"/>
        </w:rPr>
        <w:t xml:space="preserve"> DocID 2005/1014832). It has to be considered that water solubility in test media may differ from the values derived in distilled water at a certain pH and temperature. Accordingly, the lowest acute endpoint was observed in the study with rainbow trout due to low water temperature and thus lower solubility of the test item. In summary, the acute testing showed no or only slight effects at the saturation concentration of ametoctradin. Therefore, it was decided to include studies with the solo formulated product BAS 650 00 F (</w:t>
      </w:r>
      <w:bookmarkStart w:id="503" w:name="_Hlk39442002"/>
      <w:r w:rsidRPr="00A34F10">
        <w:rPr>
          <w:szCs w:val="24"/>
        </w:rPr>
        <w:t xml:space="preserve">nominal content of </w:t>
      </w:r>
      <w:bookmarkEnd w:id="503"/>
      <w:r w:rsidRPr="00A34F10">
        <w:rPr>
          <w:szCs w:val="24"/>
        </w:rPr>
        <w:t xml:space="preserve">ametoctradin: 200 g a.s./L), indicating an overall low to moderate toxicity. In the following risk assessment, </w:t>
      </w:r>
      <w:r w:rsidRPr="00A34F10">
        <w:t>PEC/RAC ratio</w:t>
      </w:r>
      <w:r w:rsidRPr="00A34F10">
        <w:rPr>
          <w:szCs w:val="24"/>
        </w:rPr>
        <w:t xml:space="preserve"> calculations were based on the endpoints derived with the formulated product (based on the content of the active substance).</w:t>
      </w:r>
    </w:p>
    <w:bookmarkEnd w:id="502"/>
    <w:p w14:paraId="2CB49935" w14:textId="77777777" w:rsidR="00DC5685" w:rsidRPr="00A34F10" w:rsidRDefault="00DC5685" w:rsidP="00DC5685">
      <w:pPr>
        <w:keepNext/>
        <w:keepLines/>
        <w:suppressAutoHyphens/>
        <w:jc w:val="both"/>
        <w:rPr>
          <w:b/>
          <w:bCs/>
          <w:u w:val="single"/>
        </w:rPr>
      </w:pPr>
    </w:p>
    <w:p w14:paraId="27664439" w14:textId="77777777" w:rsidR="00DC5685" w:rsidRPr="00A34F10" w:rsidRDefault="00DC5685" w:rsidP="00DC5685">
      <w:pPr>
        <w:keepNext/>
        <w:keepLines/>
        <w:suppressAutoHyphens/>
        <w:jc w:val="both"/>
        <w:rPr>
          <w:b/>
          <w:bCs/>
        </w:rPr>
      </w:pPr>
      <w:r w:rsidRPr="00A34F10">
        <w:rPr>
          <w:b/>
          <w:bCs/>
          <w:u w:val="single"/>
        </w:rPr>
        <w:t xml:space="preserve">Propamocarb </w:t>
      </w:r>
    </w:p>
    <w:p w14:paraId="1953FA81" w14:textId="77777777" w:rsidR="00DC5685" w:rsidRPr="00A34F10" w:rsidRDefault="00DC5685" w:rsidP="00DC5685">
      <w:pPr>
        <w:keepNext/>
        <w:keepLines/>
        <w:suppressAutoHyphens/>
        <w:jc w:val="both"/>
        <w:rPr>
          <w:b/>
          <w:bCs/>
        </w:rPr>
      </w:pPr>
    </w:p>
    <w:p w14:paraId="740E714D" w14:textId="77777777" w:rsidR="006F0F3B" w:rsidRPr="00A34F10" w:rsidRDefault="00DC5685" w:rsidP="006F0F3B">
      <w:pPr>
        <w:keepLines/>
        <w:widowControl w:val="0"/>
        <w:suppressAutoHyphens/>
      </w:pPr>
      <w:r w:rsidRPr="00A34F10">
        <w:t>The relevant global maximum FOCUS PEC</w:t>
      </w:r>
      <w:r w:rsidRPr="00A34F10">
        <w:rPr>
          <w:vertAlign w:val="subscript"/>
        </w:rPr>
        <w:t>sw</w:t>
      </w:r>
      <w:r w:rsidRPr="00A34F10">
        <w:t xml:space="preserve"> for risk assessments covering the proposed use patterns and the resulting PEC/RAC ratios are presented in the tables below (see </w:t>
      </w:r>
      <w:r w:rsidRPr="00A34F10">
        <w:fldChar w:fldCharType="begin"/>
      </w:r>
      <w:r w:rsidRPr="00A34F10">
        <w:instrText xml:space="preserve"> REF _Ref465682700 \h  \* MERGEFORMAT </w:instrText>
      </w:r>
      <w:r w:rsidRPr="00A34F10">
        <w:fldChar w:fldCharType="separate"/>
      </w:r>
    </w:p>
    <w:p w14:paraId="691D8245" w14:textId="77777777" w:rsidR="006F0F3B" w:rsidRPr="00A34F10" w:rsidRDefault="006F0F3B" w:rsidP="006F0F3B">
      <w:pPr>
        <w:keepNext/>
        <w:keepLines/>
        <w:widowControl w:val="0"/>
        <w:suppressAutoHyphens/>
        <w:jc w:val="both"/>
      </w:pPr>
    </w:p>
    <w:p w14:paraId="45BDD864" w14:textId="338210B6" w:rsidR="00DC5685" w:rsidRPr="00A34F10" w:rsidRDefault="006F0F3B" w:rsidP="00DC5685">
      <w:pPr>
        <w:keepNext/>
        <w:keepLines/>
        <w:widowControl w:val="0"/>
        <w:suppressAutoHyphens/>
        <w:jc w:val="both"/>
      </w:pPr>
      <w:r w:rsidRPr="00A34F10">
        <w:t xml:space="preserve">Table </w:t>
      </w:r>
      <w:r w:rsidR="00DC5685" w:rsidRPr="00A34F10">
        <w:fldChar w:fldCharType="end"/>
      </w:r>
      <w:r w:rsidR="00DC5685" w:rsidRPr="00A34F10">
        <w:t>.</w:t>
      </w:r>
    </w:p>
    <w:p w14:paraId="1F2350A4" w14:textId="77777777" w:rsidR="00DC5685" w:rsidRPr="00A34F10" w:rsidRDefault="00DC5685" w:rsidP="00DC5685">
      <w:pPr>
        <w:widowControl w:val="0"/>
        <w:suppressAutoHyphens/>
        <w:jc w:val="both"/>
      </w:pPr>
    </w:p>
    <w:p w14:paraId="28D97507" w14:textId="77777777" w:rsidR="00DC5685" w:rsidRPr="00A34F10" w:rsidRDefault="00DC5685" w:rsidP="00DC5685">
      <w:pPr>
        <w:widowControl w:val="0"/>
        <w:suppressAutoHyphens/>
        <w:jc w:val="both"/>
      </w:pPr>
      <w:r w:rsidRPr="00A34F10">
        <w:t xml:space="preserve">For full details of the assumptions used in the exposure calculations, please see </w:t>
      </w:r>
      <w:r w:rsidRPr="00A34F10">
        <w:rPr>
          <w:bCs/>
        </w:rPr>
        <w:t xml:space="preserve">Part B, </w:t>
      </w:r>
      <w:r w:rsidRPr="00A34F10">
        <w:t>Section 8. FOCUS PEC</w:t>
      </w:r>
      <w:r w:rsidRPr="00A34F10">
        <w:rPr>
          <w:vertAlign w:val="subscript"/>
        </w:rPr>
        <w:t>SW</w:t>
      </w:r>
      <w:r w:rsidRPr="00A34F10">
        <w:t xml:space="preserve"> for Propamocarb are presented in Section 8, Chapter 8.9.</w:t>
      </w:r>
      <w:bookmarkStart w:id="504" w:name="_Hlk41903445"/>
      <w:r w:rsidRPr="00A34F10">
        <w:t xml:space="preserve"> Only worst-case PEC</w:t>
      </w:r>
      <w:r w:rsidRPr="00A34F10">
        <w:rPr>
          <w:vertAlign w:val="subscript"/>
        </w:rPr>
        <w:t>SW</w:t>
      </w:r>
      <w:r w:rsidRPr="00A34F10">
        <w:t xml:space="preserve"> for each use/crop group are considered for Propamocarb (covering early and late applications during spring, summer or winter).  </w:t>
      </w:r>
    </w:p>
    <w:p w14:paraId="396B5207" w14:textId="77777777" w:rsidR="00DC5685" w:rsidRPr="00A34F10" w:rsidRDefault="00DC5685" w:rsidP="00DC5685">
      <w:pPr>
        <w:widowControl w:val="0"/>
        <w:suppressAutoHyphens/>
        <w:jc w:val="both"/>
      </w:pPr>
    </w:p>
    <w:p w14:paraId="6536B121" w14:textId="77777777" w:rsidR="00DC5685" w:rsidRPr="00A34F10" w:rsidRDefault="00DC5685" w:rsidP="00DC5685">
      <w:pPr>
        <w:suppressAutoHyphens/>
        <w:jc w:val="both"/>
        <w:rPr>
          <w:b/>
          <w:bCs/>
        </w:rPr>
      </w:pPr>
      <w:r w:rsidRPr="00A34F10">
        <w:rPr>
          <w:b/>
          <w:bCs/>
          <w:u w:val="single"/>
        </w:rPr>
        <w:t>BAS 743 03 F</w:t>
      </w:r>
    </w:p>
    <w:p w14:paraId="7E362FFA" w14:textId="77777777" w:rsidR="00DC5685" w:rsidRPr="00A34F10" w:rsidRDefault="00DC5685" w:rsidP="00DC5685">
      <w:pPr>
        <w:widowControl w:val="0"/>
        <w:suppressAutoHyphens/>
        <w:jc w:val="both"/>
      </w:pPr>
    </w:p>
    <w:bookmarkEnd w:id="504"/>
    <w:p w14:paraId="7FDB86B9" w14:textId="450802A8" w:rsidR="00DC5685" w:rsidRPr="00A34F10" w:rsidRDefault="00DC5685" w:rsidP="00DC5685">
      <w:pPr>
        <w:spacing w:after="120"/>
        <w:jc w:val="both"/>
      </w:pPr>
      <w:r w:rsidRPr="00A34F10">
        <w:t>The relevant global maximum FOCUS PEC</w:t>
      </w:r>
      <w:r w:rsidRPr="00A34F10">
        <w:rPr>
          <w:vertAlign w:val="subscript"/>
        </w:rPr>
        <w:t>mix</w:t>
      </w:r>
      <w:r w:rsidRPr="00A34F10">
        <w:t xml:space="preserve"> for risk assessments covering the proposed use patterns and the resulting PEC/ECx</w:t>
      </w:r>
      <w:r w:rsidRPr="00A34F10">
        <w:rPr>
          <w:vertAlign w:val="subscript"/>
        </w:rPr>
        <w:t>mix</w:t>
      </w:r>
      <w:r w:rsidRPr="00A34F10">
        <w:t xml:space="preserve"> ratios are presented in the tables below (see </w:t>
      </w:r>
      <w:r w:rsidR="00370EAA" w:rsidRPr="00A34F10">
        <w:fldChar w:fldCharType="begin"/>
      </w:r>
      <w:r w:rsidR="00370EAA" w:rsidRPr="00A34F10">
        <w:instrText xml:space="preserve"> REF _Ref139348217 \h  \* MERGEFORMAT </w:instrText>
      </w:r>
      <w:r w:rsidR="00370EAA" w:rsidRPr="00A34F10">
        <w:fldChar w:fldCharType="separate"/>
      </w:r>
      <w:r w:rsidR="006F0F3B" w:rsidRPr="00A34F10">
        <w:t xml:space="preserve">Table </w:t>
      </w:r>
      <w:r w:rsidR="006F0F3B">
        <w:rPr>
          <w:noProof/>
        </w:rPr>
        <w:t>9.5</w:t>
      </w:r>
      <w:r w:rsidR="006F0F3B" w:rsidRPr="00A34F10">
        <w:rPr>
          <w:noProof/>
        </w:rPr>
        <w:noBreakHyphen/>
      </w:r>
      <w:r w:rsidR="00370EAA" w:rsidRPr="00A34F10">
        <w:fldChar w:fldCharType="end"/>
      </w:r>
      <w:r w:rsidR="00370EAA" w:rsidRPr="00A34F10">
        <w:t>.5)</w:t>
      </w:r>
    </w:p>
    <w:p w14:paraId="23CC5F9E" w14:textId="77777777" w:rsidR="00DC5685" w:rsidRPr="00A34F10" w:rsidRDefault="00DC5685" w:rsidP="00DC5685">
      <w:pPr>
        <w:jc w:val="both"/>
        <w:rPr>
          <w:lang w:val="en-GB"/>
        </w:rPr>
      </w:pPr>
      <w:r w:rsidRPr="00A34F10">
        <w:rPr>
          <w:lang w:val="en-GB"/>
        </w:rPr>
        <w:t>As indicated in Point 9.5.1, the chronic toxicity of the formulation BAS 743 03 F to aquatic organisms</w:t>
      </w:r>
      <w:r w:rsidRPr="00A34F10">
        <w:rPr>
          <w:i/>
          <w:lang w:val="en-GB"/>
        </w:rPr>
        <w:t xml:space="preserve"> </w:t>
      </w:r>
      <w:r w:rsidRPr="00A34F10">
        <w:rPr>
          <w:lang w:val="en-GB"/>
        </w:rPr>
        <w:t xml:space="preserve">is clearly driven by the toxicity of Ametoctradin. Thus, the chronic risk assessment is based on </w:t>
      </w:r>
      <w:r w:rsidRPr="00A34F10">
        <w:t>single-substance toxicity and exposure data</w:t>
      </w:r>
      <w:r w:rsidRPr="00A34F10">
        <w:rPr>
          <w:lang w:val="en-GB"/>
        </w:rPr>
        <w:t xml:space="preserve"> on this active substance. However, none of the active substances, </w:t>
      </w:r>
      <w:r w:rsidRPr="00A34F10">
        <w:rPr>
          <w:i/>
          <w:iCs/>
          <w:lang w:val="en-GB"/>
        </w:rPr>
        <w:t>i.e</w:t>
      </w:r>
      <w:r w:rsidRPr="00A34F10">
        <w:rPr>
          <w:lang w:val="en-GB"/>
        </w:rPr>
        <w:t>. Ametoctradin or Propamocarb, drives the acute toxicity of the formulation BAS 743 03 F. Therefore, the acute risk assessment is presented based on the RQ</w:t>
      </w:r>
      <w:r w:rsidRPr="00A34F10">
        <w:rPr>
          <w:vertAlign w:val="subscript"/>
          <w:lang w:val="en-GB"/>
        </w:rPr>
        <w:t>mix</w:t>
      </w:r>
      <w:r w:rsidRPr="00A34F10">
        <w:rPr>
          <w:lang w:val="en-GB"/>
        </w:rPr>
        <w:t xml:space="preserve"> approach (EFSA Aquatic Guidance Document, 2013)</w:t>
      </w:r>
    </w:p>
    <w:p w14:paraId="727D0657" w14:textId="77777777" w:rsidR="00DC5685" w:rsidRPr="00A34F10" w:rsidRDefault="00DC5685" w:rsidP="00DC5685">
      <w:pPr>
        <w:widowControl w:val="0"/>
        <w:suppressAutoHyphens/>
        <w:jc w:val="both"/>
      </w:pPr>
    </w:p>
    <w:p w14:paraId="41691E8F" w14:textId="77777777" w:rsidR="00DC5685" w:rsidRPr="00A34F10" w:rsidRDefault="00DC5685" w:rsidP="00DC5685">
      <w:pPr>
        <w:widowControl w:val="0"/>
        <w:suppressAutoHyphens/>
        <w:jc w:val="both"/>
        <w:rPr>
          <w:color w:val="0070C0"/>
        </w:rPr>
        <w:sectPr w:rsidR="00DC5685" w:rsidRPr="00A34F10" w:rsidSect="00876422">
          <w:headerReference w:type="default" r:id="rId46"/>
          <w:pgSz w:w="11907" w:h="16840" w:code="9"/>
          <w:pgMar w:top="1418" w:right="1134" w:bottom="1134" w:left="1418" w:header="709" w:footer="709" w:gutter="0"/>
          <w:cols w:space="720"/>
        </w:sectPr>
      </w:pPr>
    </w:p>
    <w:p w14:paraId="78C61D9A" w14:textId="77777777" w:rsidR="00DC5685" w:rsidRPr="00A34F10" w:rsidRDefault="00DC5685" w:rsidP="00DC5685">
      <w:pPr>
        <w:widowControl w:val="0"/>
        <w:jc w:val="both"/>
        <w:rPr>
          <w:b/>
          <w:bCs/>
          <w:u w:val="single"/>
          <w:lang w:val="en-GB"/>
        </w:rPr>
      </w:pPr>
      <w:bookmarkStart w:id="505" w:name="_Ref430859815"/>
      <w:r w:rsidRPr="00A34F10">
        <w:rPr>
          <w:b/>
          <w:bCs/>
          <w:u w:val="single"/>
          <w:lang w:val="en-GB"/>
        </w:rPr>
        <w:lastRenderedPageBreak/>
        <w:t>Active substance Ametoctradin:</w:t>
      </w:r>
    </w:p>
    <w:p w14:paraId="636A8BFD" w14:textId="77777777" w:rsidR="00DC5685" w:rsidRPr="00A34F10" w:rsidRDefault="00DC5685" w:rsidP="00DC5685">
      <w:pPr>
        <w:widowControl w:val="0"/>
        <w:jc w:val="both"/>
        <w:rPr>
          <w:lang w:val="en-GB"/>
        </w:rPr>
      </w:pPr>
      <w:r w:rsidRPr="00A34F10">
        <w:rPr>
          <w:lang w:val="en-GB"/>
        </w:rPr>
        <w:t>In the following tables, the ratios between predicted environmental concentrations in surface water bodies (</w:t>
      </w:r>
      <w:r w:rsidRPr="00A34F10">
        <w:t>PEC</w:t>
      </w:r>
      <w:r w:rsidRPr="00A34F10">
        <w:rPr>
          <w:vertAlign w:val="subscript"/>
        </w:rPr>
        <w:t>SW</w:t>
      </w:r>
      <w:r w:rsidRPr="00A34F10">
        <w:t>, PEC</w:t>
      </w:r>
      <w:r w:rsidRPr="00A34F10">
        <w:rPr>
          <w:vertAlign w:val="subscript"/>
        </w:rPr>
        <w:t>SED</w:t>
      </w:r>
      <w:r w:rsidRPr="00A34F10">
        <w:rPr>
          <w:lang w:val="en-GB"/>
        </w:rPr>
        <w:t>) and regulatory acceptable concentrations (RAC) for aquatic organisms are given for each FOCUS scenario and each organism group</w:t>
      </w:r>
      <w:r w:rsidRPr="00A34F10">
        <w:t xml:space="preserve"> </w:t>
      </w:r>
      <w:r w:rsidRPr="00A34F10">
        <w:rPr>
          <w:lang w:val="en-GB"/>
        </w:rPr>
        <w:t xml:space="preserve">for the active substance Ametoctradin </w:t>
      </w:r>
      <w:bookmarkStart w:id="506" w:name="_Hlk133194699"/>
      <w:r w:rsidRPr="00A34F10">
        <w:rPr>
          <w:lang w:val="en-GB"/>
        </w:rPr>
        <w:t>for the intended worst-case uses in potatoes, tomatoes, ornamentals and salad crops/herbs at 1-3 x 2.0 L product/ha</w:t>
      </w:r>
      <w:bookmarkEnd w:id="506"/>
      <w:r w:rsidRPr="00A34F10">
        <w:rPr>
          <w:lang w:val="en-GB"/>
        </w:rPr>
        <w:t>.</w:t>
      </w:r>
    </w:p>
    <w:p w14:paraId="4776C66C" w14:textId="77777777" w:rsidR="00E23E00" w:rsidRPr="00A34F10" w:rsidRDefault="00E23E00" w:rsidP="00E23E00">
      <w:bookmarkStart w:id="507" w:name="_Ref465682700"/>
      <w:bookmarkStart w:id="508" w:name="_Hlk39695651"/>
    </w:p>
    <w:p w14:paraId="09894A3F" w14:textId="54251D7C" w:rsidR="00DC5685" w:rsidRPr="00A34F10" w:rsidRDefault="00DC5685" w:rsidP="00BB63B3">
      <w:pPr>
        <w:pStyle w:val="Legenda"/>
      </w:pPr>
      <w:bookmarkStart w:id="509" w:name="_Ref139348217"/>
      <w:r w:rsidRPr="00A34F10">
        <w:t xml:space="preserve">Table </w:t>
      </w:r>
      <w:bookmarkEnd w:id="507"/>
      <w:r w:rsidR="00370EAA" w:rsidRPr="00A34F10">
        <w:fldChar w:fldCharType="begin"/>
      </w:r>
      <w:r w:rsidR="00370EAA" w:rsidRPr="00A34F10">
        <w:instrText xml:space="preserve"> STYLEREF 2 \s </w:instrText>
      </w:r>
      <w:r w:rsidR="00370EAA" w:rsidRPr="00A34F10">
        <w:fldChar w:fldCharType="separate"/>
      </w:r>
      <w:r w:rsidR="006F0F3B">
        <w:rPr>
          <w:noProof/>
        </w:rPr>
        <w:t>9.5</w:t>
      </w:r>
      <w:r w:rsidR="00370EAA" w:rsidRPr="00A34F10">
        <w:fldChar w:fldCharType="end"/>
      </w:r>
      <w:r w:rsidR="00370EAA" w:rsidRPr="00A34F10">
        <w:noBreakHyphen/>
      </w:r>
      <w:bookmarkEnd w:id="509"/>
      <w:r w:rsidR="00E23E00" w:rsidRPr="00A34F10">
        <w:t>5</w:t>
      </w:r>
      <w:r w:rsidRPr="00A34F10">
        <w:tab/>
        <w:t xml:space="preserve">Aquatic organisms: acceptability of risk (PEC/RAC &lt; 1) for Ametoctradin for each organism group based on FOCUS Steps 1, 2 and 3 calculations for the worst-case use </w:t>
      </w:r>
      <w:bookmarkStart w:id="510" w:name="_Hlk133196498"/>
      <w:r w:rsidRPr="00A34F10">
        <w:t>of BAS 743 03 F in potatoes (3 × 2.0 L/ha)</w:t>
      </w:r>
      <w:bookmarkEnd w:id="510"/>
    </w:p>
    <w:tbl>
      <w:tblPr>
        <w:tblW w:w="5000" w:type="pct"/>
        <w:tblCellMar>
          <w:left w:w="70" w:type="dxa"/>
          <w:right w:w="70" w:type="dxa"/>
        </w:tblCellMar>
        <w:tblLook w:val="0000" w:firstRow="0" w:lastRow="0" w:firstColumn="0" w:lastColumn="0" w:noHBand="0" w:noVBand="0"/>
      </w:tblPr>
      <w:tblGrid>
        <w:gridCol w:w="977"/>
        <w:gridCol w:w="1022"/>
        <w:gridCol w:w="1116"/>
        <w:gridCol w:w="1113"/>
        <w:gridCol w:w="1220"/>
        <w:gridCol w:w="1220"/>
        <w:gridCol w:w="1116"/>
        <w:gridCol w:w="1116"/>
        <w:gridCol w:w="1527"/>
        <w:gridCol w:w="1527"/>
        <w:gridCol w:w="806"/>
        <w:gridCol w:w="1228"/>
      </w:tblGrid>
      <w:tr w:rsidR="00FE72E4" w:rsidRPr="00A34F10" w14:paraId="0442DC67" w14:textId="77777777" w:rsidTr="00FE72E4">
        <w:trPr>
          <w:trHeight w:val="494"/>
        </w:trPr>
        <w:tc>
          <w:tcPr>
            <w:tcW w:w="713"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F2047D" w14:textId="77777777" w:rsidR="00FE72E4" w:rsidRPr="00A34F10" w:rsidRDefault="00FE72E4" w:rsidP="00DC5685">
            <w:pPr>
              <w:suppressAutoHyphens/>
              <w:autoSpaceDE w:val="0"/>
              <w:autoSpaceDN w:val="0"/>
              <w:adjustRightInd w:val="0"/>
              <w:rPr>
                <w:b/>
                <w:bCs/>
                <w:sz w:val="20"/>
                <w:szCs w:val="20"/>
              </w:rPr>
            </w:pPr>
            <w:r w:rsidRPr="00A34F10">
              <w:rPr>
                <w:b/>
                <w:bCs/>
                <w:sz w:val="20"/>
                <w:szCs w:val="20"/>
              </w:rPr>
              <w:t>Group</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49A312B1" w14:textId="77777777" w:rsidR="00FE72E4" w:rsidRPr="00A34F10" w:rsidRDefault="00FE72E4" w:rsidP="00DC5685">
            <w:pPr>
              <w:suppressAutoHyphens/>
              <w:autoSpaceDE w:val="0"/>
              <w:autoSpaceDN w:val="0"/>
              <w:adjustRightInd w:val="0"/>
              <w:jc w:val="center"/>
              <w:rPr>
                <w:b/>
                <w:bCs/>
                <w:sz w:val="20"/>
                <w:szCs w:val="20"/>
              </w:rPr>
            </w:pPr>
            <w:r w:rsidRPr="00A34F10">
              <w:rPr>
                <w:b/>
                <w:bCs/>
                <w:sz w:val="20"/>
                <w:szCs w:val="20"/>
              </w:rPr>
              <w:t>Fish acute</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1010DDB4" w14:textId="77777777" w:rsidR="00FE72E4" w:rsidRPr="00A34F10" w:rsidRDefault="00FE72E4" w:rsidP="00DC5685">
            <w:pPr>
              <w:suppressAutoHyphens/>
              <w:autoSpaceDE w:val="0"/>
              <w:autoSpaceDN w:val="0"/>
              <w:adjustRightInd w:val="0"/>
              <w:jc w:val="center"/>
              <w:rPr>
                <w:b/>
                <w:bCs/>
                <w:sz w:val="20"/>
                <w:szCs w:val="20"/>
              </w:rPr>
            </w:pPr>
            <w:r w:rsidRPr="00A34F10">
              <w:rPr>
                <w:b/>
                <w:bCs/>
                <w:sz w:val="20"/>
                <w:szCs w:val="20"/>
              </w:rPr>
              <w:t>Fish chronic</w:t>
            </w:r>
          </w:p>
        </w:tc>
        <w:tc>
          <w:tcPr>
            <w:tcW w:w="872" w:type="pct"/>
            <w:gridSpan w:val="2"/>
            <w:tcBorders>
              <w:top w:val="single" w:sz="6" w:space="0" w:color="auto"/>
              <w:left w:val="single" w:sz="6" w:space="0" w:color="auto"/>
              <w:bottom w:val="single" w:sz="6" w:space="0" w:color="auto"/>
              <w:right w:val="single" w:sz="6" w:space="0" w:color="auto"/>
            </w:tcBorders>
          </w:tcPr>
          <w:p w14:paraId="72160E37" w14:textId="05B80F02" w:rsidR="00FE72E4" w:rsidRPr="00A34F10" w:rsidRDefault="00FE72E4" w:rsidP="00DC5685">
            <w:pPr>
              <w:suppressAutoHyphens/>
              <w:autoSpaceDE w:val="0"/>
              <w:autoSpaceDN w:val="0"/>
              <w:adjustRightInd w:val="0"/>
              <w:jc w:val="center"/>
              <w:rPr>
                <w:b/>
                <w:bCs/>
                <w:sz w:val="20"/>
                <w:szCs w:val="20"/>
              </w:rPr>
            </w:pPr>
            <w:r w:rsidRPr="00A34F10">
              <w:rPr>
                <w:b/>
                <w:bCs/>
                <w:sz w:val="20"/>
                <w:szCs w:val="20"/>
              </w:rPr>
              <w:t>Inverteb. acute</w:t>
            </w:r>
          </w:p>
        </w:tc>
        <w:tc>
          <w:tcPr>
            <w:tcW w:w="798" w:type="pct"/>
            <w:gridSpan w:val="2"/>
            <w:tcBorders>
              <w:top w:val="single" w:sz="6" w:space="0" w:color="auto"/>
              <w:left w:val="single" w:sz="6" w:space="0" w:color="auto"/>
              <w:bottom w:val="single" w:sz="6" w:space="0" w:color="auto"/>
              <w:right w:val="single" w:sz="6" w:space="0" w:color="auto"/>
            </w:tcBorders>
          </w:tcPr>
          <w:p w14:paraId="532C4D4A" w14:textId="4AEA0029" w:rsidR="00FE72E4" w:rsidRPr="00A34F10" w:rsidRDefault="00FE72E4" w:rsidP="00DC5685">
            <w:pPr>
              <w:suppressAutoHyphens/>
              <w:autoSpaceDE w:val="0"/>
              <w:autoSpaceDN w:val="0"/>
              <w:adjustRightInd w:val="0"/>
              <w:jc w:val="center"/>
              <w:rPr>
                <w:b/>
                <w:bCs/>
                <w:sz w:val="20"/>
                <w:szCs w:val="20"/>
              </w:rPr>
            </w:pPr>
            <w:r w:rsidRPr="00A34F10">
              <w:rPr>
                <w:b/>
                <w:bCs/>
                <w:sz w:val="20"/>
                <w:szCs w:val="20"/>
              </w:rPr>
              <w:t>Inverteb. chronic</w:t>
            </w:r>
          </w:p>
        </w:tc>
        <w:tc>
          <w:tcPr>
            <w:tcW w:w="1092" w:type="pct"/>
            <w:gridSpan w:val="2"/>
            <w:tcBorders>
              <w:top w:val="single" w:sz="6" w:space="0" w:color="auto"/>
              <w:left w:val="single" w:sz="6" w:space="0" w:color="auto"/>
              <w:bottom w:val="single" w:sz="6" w:space="0" w:color="auto"/>
              <w:right w:val="single" w:sz="6" w:space="0" w:color="auto"/>
            </w:tcBorders>
          </w:tcPr>
          <w:p w14:paraId="659DECB8" w14:textId="037D5F25" w:rsidR="00FE72E4" w:rsidRPr="00A34F10" w:rsidRDefault="00FE72E4" w:rsidP="00DC5685">
            <w:pPr>
              <w:suppressAutoHyphens/>
              <w:autoSpaceDE w:val="0"/>
              <w:autoSpaceDN w:val="0"/>
              <w:adjustRightInd w:val="0"/>
              <w:jc w:val="center"/>
              <w:rPr>
                <w:sz w:val="20"/>
                <w:szCs w:val="20"/>
              </w:rPr>
            </w:pPr>
            <w:r w:rsidRPr="00A34F10">
              <w:rPr>
                <w:b/>
                <w:bCs/>
                <w:sz w:val="20"/>
                <w:szCs w:val="20"/>
              </w:rPr>
              <w:t>Algae</w:t>
            </w:r>
          </w:p>
        </w:tc>
        <w:tc>
          <w:tcPr>
            <w:tcW w:w="288" w:type="pct"/>
            <w:vMerge w:val="restart"/>
            <w:tcBorders>
              <w:top w:val="single" w:sz="6" w:space="0" w:color="auto"/>
              <w:left w:val="single" w:sz="6" w:space="0" w:color="auto"/>
              <w:right w:val="single" w:sz="6" w:space="0" w:color="auto"/>
            </w:tcBorders>
            <w:shd w:val="clear" w:color="auto" w:fill="auto"/>
            <w:vAlign w:val="center"/>
          </w:tcPr>
          <w:p w14:paraId="768F2AB4" w14:textId="77777777" w:rsidR="00FE72E4" w:rsidRPr="00A34F10" w:rsidRDefault="00FE72E4" w:rsidP="00DC5685">
            <w:pPr>
              <w:suppressAutoHyphens/>
              <w:autoSpaceDE w:val="0"/>
              <w:autoSpaceDN w:val="0"/>
              <w:adjustRightInd w:val="0"/>
              <w:jc w:val="center"/>
              <w:rPr>
                <w:sz w:val="20"/>
                <w:szCs w:val="20"/>
              </w:rPr>
            </w:pP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6D662FC0" w14:textId="77777777" w:rsidR="00FE72E4" w:rsidRPr="00A34F10" w:rsidRDefault="00FE72E4" w:rsidP="00DC5685">
            <w:pPr>
              <w:suppressAutoHyphens/>
              <w:autoSpaceDE w:val="0"/>
              <w:autoSpaceDN w:val="0"/>
              <w:adjustRightInd w:val="0"/>
              <w:jc w:val="center"/>
              <w:rPr>
                <w:b/>
                <w:bCs/>
                <w:sz w:val="20"/>
                <w:szCs w:val="20"/>
              </w:rPr>
            </w:pPr>
            <w:r w:rsidRPr="00A34F10">
              <w:rPr>
                <w:b/>
                <w:bCs/>
                <w:sz w:val="20"/>
                <w:szCs w:val="20"/>
              </w:rPr>
              <w:t>Sed. dwell. chronic</w:t>
            </w:r>
          </w:p>
        </w:tc>
      </w:tr>
      <w:tr w:rsidR="00514FA3" w:rsidRPr="00A34F10" w14:paraId="29F1E1C3" w14:textId="77777777" w:rsidTr="00514FA3">
        <w:trPr>
          <w:trHeight w:val="262"/>
        </w:trPr>
        <w:tc>
          <w:tcPr>
            <w:tcW w:w="713"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40E1471"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Test species</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7B32EF4A" w14:textId="77777777" w:rsidR="00514FA3" w:rsidRPr="00A34F10" w:rsidRDefault="00514FA3" w:rsidP="00514FA3">
            <w:pPr>
              <w:suppressAutoHyphens/>
              <w:autoSpaceDE w:val="0"/>
              <w:autoSpaceDN w:val="0"/>
              <w:adjustRightInd w:val="0"/>
              <w:jc w:val="center"/>
              <w:rPr>
                <w:b/>
                <w:bCs/>
                <w:i/>
                <w:iCs/>
                <w:sz w:val="20"/>
                <w:szCs w:val="20"/>
              </w:rPr>
            </w:pPr>
            <w:r w:rsidRPr="00A34F10">
              <w:rPr>
                <w:b/>
                <w:bCs/>
                <w:i/>
                <w:iCs/>
                <w:sz w:val="20"/>
                <w:szCs w:val="20"/>
              </w:rPr>
              <w:t>O. mykiss *</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6C12EB95" w14:textId="77777777" w:rsidR="00514FA3" w:rsidRPr="00A34F10" w:rsidRDefault="00514FA3" w:rsidP="00514FA3">
            <w:pPr>
              <w:suppressAutoHyphens/>
              <w:autoSpaceDE w:val="0"/>
              <w:autoSpaceDN w:val="0"/>
              <w:adjustRightInd w:val="0"/>
              <w:jc w:val="center"/>
              <w:rPr>
                <w:b/>
                <w:bCs/>
                <w:i/>
                <w:iCs/>
                <w:sz w:val="20"/>
                <w:szCs w:val="20"/>
              </w:rPr>
            </w:pPr>
            <w:r w:rsidRPr="00A34F10">
              <w:rPr>
                <w:b/>
                <w:bCs/>
                <w:i/>
                <w:iCs/>
                <w:sz w:val="20"/>
                <w:szCs w:val="20"/>
              </w:rPr>
              <w:t>P. promelas</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57E85B7" w14:textId="599188E8" w:rsidR="00514FA3" w:rsidRPr="00A34F10" w:rsidRDefault="00514FA3" w:rsidP="00514FA3">
            <w:pPr>
              <w:suppressAutoHyphens/>
              <w:autoSpaceDE w:val="0"/>
              <w:autoSpaceDN w:val="0"/>
              <w:adjustRightInd w:val="0"/>
              <w:jc w:val="center"/>
              <w:rPr>
                <w:b/>
                <w:bCs/>
                <w:i/>
                <w:iCs/>
                <w:sz w:val="20"/>
                <w:szCs w:val="20"/>
              </w:rPr>
            </w:pPr>
            <w:r w:rsidRPr="00C212C1">
              <w:rPr>
                <w:b/>
                <w:bCs/>
                <w:i/>
                <w:iCs/>
                <w:sz w:val="20"/>
                <w:szCs w:val="20"/>
              </w:rPr>
              <w:t>D. magna</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2CE49D27" w14:textId="7F504546" w:rsidR="00514FA3" w:rsidRPr="00A34F10" w:rsidRDefault="00514FA3" w:rsidP="00514FA3">
            <w:pPr>
              <w:suppressAutoHyphens/>
              <w:autoSpaceDE w:val="0"/>
              <w:autoSpaceDN w:val="0"/>
              <w:adjustRightInd w:val="0"/>
              <w:jc w:val="center"/>
              <w:rPr>
                <w:b/>
                <w:bCs/>
                <w:i/>
                <w:iCs/>
                <w:sz w:val="20"/>
                <w:szCs w:val="20"/>
              </w:rPr>
            </w:pPr>
            <w:r w:rsidRPr="00A34F10">
              <w:rPr>
                <w:b/>
                <w:bCs/>
                <w:i/>
                <w:iCs/>
                <w:sz w:val="20"/>
                <w:szCs w:val="20"/>
              </w:rPr>
              <w:t>D. magna *</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B9B0E55" w14:textId="3CB388ED" w:rsidR="00514FA3" w:rsidRPr="00A34F10" w:rsidRDefault="00514FA3" w:rsidP="00514FA3">
            <w:pPr>
              <w:suppressAutoHyphens/>
              <w:autoSpaceDE w:val="0"/>
              <w:autoSpaceDN w:val="0"/>
              <w:adjustRightInd w:val="0"/>
              <w:jc w:val="center"/>
              <w:rPr>
                <w:b/>
                <w:bCs/>
                <w:i/>
                <w:iCs/>
                <w:sz w:val="20"/>
                <w:szCs w:val="20"/>
              </w:rPr>
            </w:pPr>
            <w:r w:rsidRPr="00C212C1">
              <w:rPr>
                <w:b/>
                <w:bCs/>
                <w:i/>
                <w:iCs/>
                <w:sz w:val="20"/>
                <w:szCs w:val="20"/>
              </w:rPr>
              <w:t>D. magna</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596DBBE8" w14:textId="645B3F5F" w:rsidR="00514FA3" w:rsidRPr="00A34F10" w:rsidRDefault="00514FA3" w:rsidP="00514FA3">
            <w:pPr>
              <w:suppressAutoHyphens/>
              <w:autoSpaceDE w:val="0"/>
              <w:autoSpaceDN w:val="0"/>
              <w:adjustRightInd w:val="0"/>
              <w:jc w:val="center"/>
              <w:rPr>
                <w:b/>
                <w:bCs/>
                <w:i/>
                <w:iCs/>
                <w:sz w:val="20"/>
                <w:szCs w:val="20"/>
              </w:rPr>
            </w:pPr>
            <w:bookmarkStart w:id="511" w:name="_Hlk42624065"/>
            <w:r w:rsidRPr="00A34F10">
              <w:rPr>
                <w:b/>
                <w:bCs/>
                <w:i/>
                <w:iCs/>
                <w:sz w:val="20"/>
                <w:szCs w:val="20"/>
              </w:rPr>
              <w:t xml:space="preserve">A. </w:t>
            </w:r>
            <w:r w:rsidRPr="00A34F10">
              <w:rPr>
                <w:b/>
                <w:i/>
                <w:sz w:val="20"/>
              </w:rPr>
              <w:t>bahia</w:t>
            </w:r>
            <w:bookmarkEnd w:id="511"/>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D5F8D9" w14:textId="43DC7BCC" w:rsidR="00514FA3" w:rsidRPr="00A34F10" w:rsidRDefault="00514FA3" w:rsidP="00514FA3">
            <w:pPr>
              <w:suppressAutoHyphens/>
              <w:autoSpaceDE w:val="0"/>
              <w:autoSpaceDN w:val="0"/>
              <w:adjustRightInd w:val="0"/>
              <w:jc w:val="center"/>
              <w:rPr>
                <w:b/>
                <w:bCs/>
                <w:i/>
                <w:iCs/>
                <w:sz w:val="20"/>
                <w:szCs w:val="20"/>
              </w:rPr>
            </w:pPr>
            <w:r w:rsidRPr="00C212C1">
              <w:rPr>
                <w:b/>
                <w:bCs/>
                <w:i/>
                <w:iCs/>
                <w:sz w:val="20"/>
                <w:szCs w:val="20"/>
              </w:rPr>
              <w:t>P. subcapitata</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61CE8BD8" w14:textId="45DDBE2F" w:rsidR="00514FA3" w:rsidRPr="00A34F10" w:rsidRDefault="00514FA3" w:rsidP="00514FA3">
            <w:pPr>
              <w:suppressAutoHyphens/>
              <w:autoSpaceDE w:val="0"/>
              <w:autoSpaceDN w:val="0"/>
              <w:adjustRightInd w:val="0"/>
              <w:jc w:val="center"/>
              <w:rPr>
                <w:sz w:val="20"/>
                <w:szCs w:val="20"/>
                <w:vertAlign w:val="superscript"/>
              </w:rPr>
            </w:pPr>
            <w:r w:rsidRPr="00A34F10">
              <w:rPr>
                <w:b/>
                <w:bCs/>
                <w:i/>
                <w:iCs/>
                <w:sz w:val="20"/>
                <w:szCs w:val="20"/>
              </w:rPr>
              <w:t>P. subcapitata *</w:t>
            </w:r>
          </w:p>
        </w:tc>
        <w:tc>
          <w:tcPr>
            <w:tcW w:w="288" w:type="pct"/>
            <w:vMerge/>
            <w:tcBorders>
              <w:left w:val="single" w:sz="6" w:space="0" w:color="auto"/>
              <w:right w:val="single" w:sz="6" w:space="0" w:color="auto"/>
            </w:tcBorders>
            <w:shd w:val="clear" w:color="auto" w:fill="auto"/>
            <w:vAlign w:val="center"/>
          </w:tcPr>
          <w:p w14:paraId="4BD7D222" w14:textId="77777777" w:rsidR="00514FA3" w:rsidRPr="00A34F10" w:rsidRDefault="00514FA3" w:rsidP="00514FA3">
            <w:pPr>
              <w:suppressAutoHyphens/>
              <w:autoSpaceDE w:val="0"/>
              <w:autoSpaceDN w:val="0"/>
              <w:adjustRightInd w:val="0"/>
              <w:jc w:val="center"/>
              <w:rPr>
                <w:sz w:val="20"/>
                <w:szCs w:val="20"/>
              </w:rPr>
            </w:pP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31A53513" w14:textId="77777777" w:rsidR="00514FA3" w:rsidRPr="00A34F10" w:rsidRDefault="00514FA3" w:rsidP="00514FA3">
            <w:pPr>
              <w:suppressAutoHyphens/>
              <w:autoSpaceDE w:val="0"/>
              <w:autoSpaceDN w:val="0"/>
              <w:adjustRightInd w:val="0"/>
              <w:jc w:val="center"/>
              <w:rPr>
                <w:b/>
                <w:bCs/>
                <w:i/>
                <w:iCs/>
                <w:sz w:val="20"/>
                <w:szCs w:val="20"/>
                <w:vertAlign w:val="superscript"/>
              </w:rPr>
            </w:pPr>
            <w:r w:rsidRPr="00A34F10">
              <w:rPr>
                <w:b/>
                <w:bCs/>
                <w:i/>
                <w:iCs/>
                <w:sz w:val="20"/>
                <w:szCs w:val="20"/>
              </w:rPr>
              <w:t>C. riparius *</w:t>
            </w:r>
          </w:p>
        </w:tc>
      </w:tr>
      <w:tr w:rsidR="00514FA3" w:rsidRPr="00A34F10" w14:paraId="499581D1" w14:textId="77777777" w:rsidTr="00514FA3">
        <w:trPr>
          <w:trHeight w:val="276"/>
        </w:trPr>
        <w:tc>
          <w:tcPr>
            <w:tcW w:w="713" w:type="pct"/>
            <w:gridSpan w:val="2"/>
            <w:vMerge w:val="restart"/>
            <w:tcBorders>
              <w:top w:val="single" w:sz="6" w:space="0" w:color="auto"/>
              <w:left w:val="single" w:sz="6" w:space="0" w:color="auto"/>
              <w:right w:val="single" w:sz="6" w:space="0" w:color="auto"/>
            </w:tcBorders>
            <w:shd w:val="clear" w:color="auto" w:fill="auto"/>
            <w:vAlign w:val="center"/>
          </w:tcPr>
          <w:p w14:paraId="3F6EB0BC"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Endpoint [µg/L]</w:t>
            </w:r>
          </w:p>
        </w:tc>
        <w:tc>
          <w:tcPr>
            <w:tcW w:w="399" w:type="pct"/>
            <w:tcBorders>
              <w:top w:val="single" w:sz="6" w:space="0" w:color="auto"/>
              <w:left w:val="single" w:sz="6" w:space="0" w:color="auto"/>
              <w:bottom w:val="nil"/>
              <w:right w:val="single" w:sz="6" w:space="0" w:color="auto"/>
            </w:tcBorders>
            <w:shd w:val="clear" w:color="auto" w:fill="auto"/>
            <w:vAlign w:val="center"/>
          </w:tcPr>
          <w:p w14:paraId="147EED4C" w14:textId="77777777" w:rsidR="00514FA3" w:rsidRPr="00A34F10" w:rsidRDefault="00514FA3" w:rsidP="00514FA3">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398" w:type="pct"/>
            <w:tcBorders>
              <w:top w:val="single" w:sz="6" w:space="0" w:color="auto"/>
              <w:left w:val="single" w:sz="6" w:space="0" w:color="auto"/>
              <w:bottom w:val="nil"/>
              <w:right w:val="single" w:sz="6" w:space="0" w:color="auto"/>
            </w:tcBorders>
            <w:shd w:val="clear" w:color="auto" w:fill="auto"/>
            <w:vAlign w:val="center"/>
          </w:tcPr>
          <w:p w14:paraId="64623DA5"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NOEC</w:t>
            </w:r>
          </w:p>
        </w:tc>
        <w:tc>
          <w:tcPr>
            <w:tcW w:w="43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0885D20D" w14:textId="3F3E1CF9" w:rsidR="00514FA3" w:rsidRPr="00A34F10" w:rsidRDefault="00514FA3" w:rsidP="00514FA3">
            <w:pPr>
              <w:suppressAutoHyphens/>
              <w:autoSpaceDE w:val="0"/>
              <w:autoSpaceDN w:val="0"/>
              <w:adjustRightInd w:val="0"/>
              <w:jc w:val="center"/>
              <w:rPr>
                <w:sz w:val="20"/>
                <w:szCs w:val="20"/>
              </w:rPr>
            </w:pPr>
            <w:r w:rsidRPr="00C212C1">
              <w:rPr>
                <w:sz w:val="20"/>
                <w:szCs w:val="20"/>
              </w:rPr>
              <w:t>EC</w:t>
            </w:r>
            <w:r w:rsidRPr="00C212C1">
              <w:rPr>
                <w:sz w:val="20"/>
                <w:szCs w:val="20"/>
                <w:vertAlign w:val="subscript"/>
              </w:rPr>
              <w:t>50</w:t>
            </w:r>
          </w:p>
        </w:tc>
        <w:tc>
          <w:tcPr>
            <w:tcW w:w="436" w:type="pct"/>
            <w:tcBorders>
              <w:top w:val="single" w:sz="6" w:space="0" w:color="auto"/>
              <w:left w:val="single" w:sz="6" w:space="0" w:color="auto"/>
              <w:bottom w:val="nil"/>
              <w:right w:val="single" w:sz="6" w:space="0" w:color="auto"/>
            </w:tcBorders>
            <w:shd w:val="clear" w:color="auto" w:fill="auto"/>
            <w:vAlign w:val="center"/>
          </w:tcPr>
          <w:p w14:paraId="27E3D642" w14:textId="30214CA3" w:rsidR="00514FA3" w:rsidRPr="00A34F10" w:rsidRDefault="00514FA3" w:rsidP="00514FA3">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399"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0C58A67F" w14:textId="4E98B05B" w:rsidR="00514FA3" w:rsidRPr="00A34F10" w:rsidRDefault="00514FA3" w:rsidP="00514FA3">
            <w:pPr>
              <w:suppressAutoHyphens/>
              <w:autoSpaceDE w:val="0"/>
              <w:autoSpaceDN w:val="0"/>
              <w:adjustRightInd w:val="0"/>
              <w:jc w:val="center"/>
              <w:rPr>
                <w:sz w:val="20"/>
                <w:szCs w:val="20"/>
              </w:rPr>
            </w:pPr>
            <w:r w:rsidRPr="00C212C1">
              <w:rPr>
                <w:sz w:val="20"/>
                <w:szCs w:val="20"/>
              </w:rPr>
              <w:t>NOEC</w:t>
            </w:r>
          </w:p>
        </w:tc>
        <w:tc>
          <w:tcPr>
            <w:tcW w:w="399" w:type="pct"/>
            <w:tcBorders>
              <w:top w:val="single" w:sz="6" w:space="0" w:color="auto"/>
              <w:left w:val="single" w:sz="6" w:space="0" w:color="auto"/>
              <w:bottom w:val="nil"/>
              <w:right w:val="single" w:sz="6" w:space="0" w:color="auto"/>
            </w:tcBorders>
            <w:shd w:val="clear" w:color="auto" w:fill="auto"/>
            <w:vAlign w:val="center"/>
          </w:tcPr>
          <w:p w14:paraId="6A9F6A5B" w14:textId="4BA82322" w:rsidR="00514FA3" w:rsidRPr="00A34F10" w:rsidRDefault="00514FA3" w:rsidP="00514FA3">
            <w:pPr>
              <w:suppressAutoHyphens/>
              <w:autoSpaceDE w:val="0"/>
              <w:autoSpaceDN w:val="0"/>
              <w:adjustRightInd w:val="0"/>
              <w:jc w:val="center"/>
              <w:rPr>
                <w:sz w:val="20"/>
                <w:szCs w:val="20"/>
              </w:rPr>
            </w:pPr>
            <w:r w:rsidRPr="00A34F10">
              <w:rPr>
                <w:sz w:val="20"/>
                <w:szCs w:val="20"/>
              </w:rPr>
              <w:t>NOEC</w:t>
            </w:r>
          </w:p>
        </w:tc>
        <w:tc>
          <w:tcPr>
            <w:tcW w:w="54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3999B885" w14:textId="7C8611CE" w:rsidR="00514FA3" w:rsidRPr="00A34F10" w:rsidRDefault="00514FA3" w:rsidP="00514FA3">
            <w:pPr>
              <w:suppressAutoHyphens/>
              <w:autoSpaceDE w:val="0"/>
              <w:autoSpaceDN w:val="0"/>
              <w:adjustRightInd w:val="0"/>
              <w:jc w:val="center"/>
              <w:rPr>
                <w:sz w:val="20"/>
                <w:szCs w:val="20"/>
              </w:rPr>
            </w:pPr>
            <w:r w:rsidRPr="00C212C1">
              <w:rPr>
                <w:sz w:val="20"/>
                <w:szCs w:val="20"/>
              </w:rPr>
              <w:t>E</w:t>
            </w:r>
            <w:r w:rsidRPr="00C212C1">
              <w:rPr>
                <w:sz w:val="20"/>
                <w:szCs w:val="20"/>
                <w:vertAlign w:val="subscript"/>
              </w:rPr>
              <w:t>r</w:t>
            </w:r>
            <w:r w:rsidRPr="00C212C1">
              <w:rPr>
                <w:sz w:val="20"/>
                <w:szCs w:val="20"/>
              </w:rPr>
              <w:t>C</w:t>
            </w:r>
            <w:r w:rsidRPr="00C212C1">
              <w:rPr>
                <w:sz w:val="20"/>
                <w:szCs w:val="20"/>
                <w:vertAlign w:val="subscript"/>
              </w:rPr>
              <w:t>50</w:t>
            </w:r>
          </w:p>
        </w:tc>
        <w:tc>
          <w:tcPr>
            <w:tcW w:w="546" w:type="pct"/>
            <w:tcBorders>
              <w:top w:val="single" w:sz="6" w:space="0" w:color="auto"/>
              <w:left w:val="single" w:sz="6" w:space="0" w:color="auto"/>
              <w:bottom w:val="nil"/>
              <w:right w:val="single" w:sz="6" w:space="0" w:color="auto"/>
            </w:tcBorders>
            <w:shd w:val="clear" w:color="auto" w:fill="auto"/>
            <w:vAlign w:val="center"/>
          </w:tcPr>
          <w:p w14:paraId="00C010BC" w14:textId="7431E7E2" w:rsidR="00514FA3" w:rsidRPr="00A34F10" w:rsidRDefault="00514FA3" w:rsidP="00514FA3">
            <w:pPr>
              <w:suppressAutoHyphens/>
              <w:autoSpaceDE w:val="0"/>
              <w:autoSpaceDN w:val="0"/>
              <w:adjustRightInd w:val="0"/>
              <w:jc w:val="center"/>
              <w:rPr>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c>
          <w:tcPr>
            <w:tcW w:w="288" w:type="pct"/>
            <w:vMerge/>
            <w:tcBorders>
              <w:left w:val="single" w:sz="6" w:space="0" w:color="auto"/>
              <w:right w:val="single" w:sz="6" w:space="0" w:color="auto"/>
            </w:tcBorders>
            <w:shd w:val="clear" w:color="auto" w:fill="auto"/>
            <w:vAlign w:val="center"/>
          </w:tcPr>
          <w:p w14:paraId="634EB072" w14:textId="77777777" w:rsidR="00514FA3" w:rsidRPr="00A34F10" w:rsidRDefault="00514FA3" w:rsidP="00514FA3">
            <w:pPr>
              <w:suppressAutoHyphens/>
              <w:autoSpaceDE w:val="0"/>
              <w:autoSpaceDN w:val="0"/>
              <w:adjustRightInd w:val="0"/>
              <w:jc w:val="center"/>
              <w:rPr>
                <w:sz w:val="20"/>
                <w:szCs w:val="20"/>
              </w:rPr>
            </w:pPr>
          </w:p>
        </w:tc>
        <w:tc>
          <w:tcPr>
            <w:tcW w:w="440" w:type="pct"/>
            <w:tcBorders>
              <w:top w:val="single" w:sz="6" w:space="0" w:color="auto"/>
              <w:left w:val="single" w:sz="6" w:space="0" w:color="auto"/>
              <w:bottom w:val="nil"/>
              <w:right w:val="single" w:sz="6" w:space="0" w:color="auto"/>
            </w:tcBorders>
            <w:shd w:val="clear" w:color="auto" w:fill="auto"/>
            <w:vAlign w:val="center"/>
          </w:tcPr>
          <w:p w14:paraId="5CD3EF70"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NOEC</w:t>
            </w:r>
          </w:p>
        </w:tc>
      </w:tr>
      <w:tr w:rsidR="00514FA3" w:rsidRPr="00A34F10" w14:paraId="13BCDDA4" w14:textId="77777777" w:rsidTr="00514FA3">
        <w:trPr>
          <w:trHeight w:val="247"/>
        </w:trPr>
        <w:tc>
          <w:tcPr>
            <w:tcW w:w="713" w:type="pct"/>
            <w:gridSpan w:val="2"/>
            <w:vMerge/>
            <w:tcBorders>
              <w:left w:val="single" w:sz="6" w:space="0" w:color="auto"/>
              <w:bottom w:val="single" w:sz="6" w:space="0" w:color="auto"/>
              <w:right w:val="single" w:sz="6" w:space="0" w:color="auto"/>
            </w:tcBorders>
            <w:shd w:val="clear" w:color="auto" w:fill="auto"/>
            <w:vAlign w:val="center"/>
          </w:tcPr>
          <w:p w14:paraId="07A1F882" w14:textId="77777777" w:rsidR="00514FA3" w:rsidRPr="00A34F10" w:rsidRDefault="00514FA3" w:rsidP="00514FA3">
            <w:pPr>
              <w:suppressAutoHyphens/>
              <w:autoSpaceDE w:val="0"/>
              <w:autoSpaceDN w:val="0"/>
              <w:adjustRightInd w:val="0"/>
              <w:rPr>
                <w:b/>
                <w:bCs/>
                <w:sz w:val="20"/>
                <w:szCs w:val="20"/>
              </w:rPr>
            </w:pPr>
          </w:p>
        </w:tc>
        <w:tc>
          <w:tcPr>
            <w:tcW w:w="399" w:type="pct"/>
            <w:tcBorders>
              <w:top w:val="nil"/>
              <w:left w:val="single" w:sz="6" w:space="0" w:color="auto"/>
              <w:bottom w:val="single" w:sz="6" w:space="0" w:color="auto"/>
              <w:right w:val="single" w:sz="6" w:space="0" w:color="auto"/>
            </w:tcBorders>
            <w:shd w:val="clear" w:color="auto" w:fill="auto"/>
            <w:vAlign w:val="center"/>
          </w:tcPr>
          <w:p w14:paraId="6BC754F0"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&gt; 19000</w:t>
            </w:r>
          </w:p>
        </w:tc>
        <w:tc>
          <w:tcPr>
            <w:tcW w:w="398" w:type="pct"/>
            <w:tcBorders>
              <w:top w:val="nil"/>
              <w:left w:val="single" w:sz="6" w:space="0" w:color="auto"/>
              <w:bottom w:val="single" w:sz="6" w:space="0" w:color="auto"/>
              <w:right w:val="single" w:sz="6" w:space="0" w:color="auto"/>
            </w:tcBorders>
            <w:shd w:val="clear" w:color="auto" w:fill="auto"/>
            <w:vAlign w:val="center"/>
          </w:tcPr>
          <w:p w14:paraId="5912607D"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48</w:t>
            </w:r>
          </w:p>
        </w:tc>
        <w:tc>
          <w:tcPr>
            <w:tcW w:w="43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4C1E565D" w14:textId="4CEA5D7D" w:rsidR="00514FA3" w:rsidRPr="00A34F10" w:rsidRDefault="00514FA3" w:rsidP="00514FA3">
            <w:pPr>
              <w:suppressAutoHyphens/>
              <w:autoSpaceDE w:val="0"/>
              <w:autoSpaceDN w:val="0"/>
              <w:adjustRightInd w:val="0"/>
              <w:jc w:val="center"/>
              <w:rPr>
                <w:sz w:val="20"/>
                <w:szCs w:val="20"/>
              </w:rPr>
            </w:pPr>
            <w:r w:rsidRPr="00C212C1">
              <w:rPr>
                <w:sz w:val="20"/>
                <w:szCs w:val="20"/>
              </w:rPr>
              <w:t>&gt; 590</w:t>
            </w:r>
          </w:p>
        </w:tc>
        <w:tc>
          <w:tcPr>
            <w:tcW w:w="436" w:type="pct"/>
            <w:tcBorders>
              <w:top w:val="nil"/>
              <w:left w:val="single" w:sz="6" w:space="0" w:color="auto"/>
              <w:bottom w:val="single" w:sz="6" w:space="0" w:color="auto"/>
              <w:right w:val="single" w:sz="6" w:space="0" w:color="auto"/>
            </w:tcBorders>
            <w:shd w:val="clear" w:color="auto" w:fill="auto"/>
            <w:vAlign w:val="center"/>
          </w:tcPr>
          <w:p w14:paraId="310C8B6E" w14:textId="7A0C7CD8" w:rsidR="00514FA3" w:rsidRPr="00A34F10" w:rsidRDefault="00514FA3" w:rsidP="00514FA3">
            <w:pPr>
              <w:suppressAutoHyphens/>
              <w:autoSpaceDE w:val="0"/>
              <w:autoSpaceDN w:val="0"/>
              <w:adjustRightInd w:val="0"/>
              <w:jc w:val="center"/>
              <w:rPr>
                <w:sz w:val="20"/>
                <w:szCs w:val="20"/>
              </w:rPr>
            </w:pPr>
            <w:r w:rsidRPr="00A34F10">
              <w:rPr>
                <w:sz w:val="20"/>
                <w:szCs w:val="20"/>
              </w:rPr>
              <w:t>&gt; 19400</w:t>
            </w:r>
          </w:p>
        </w:tc>
        <w:tc>
          <w:tcPr>
            <w:tcW w:w="399"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48CADD6B" w14:textId="52B27F1B" w:rsidR="00514FA3" w:rsidRPr="00A34F10" w:rsidRDefault="00514FA3" w:rsidP="00514FA3">
            <w:pPr>
              <w:suppressAutoHyphens/>
              <w:autoSpaceDE w:val="0"/>
              <w:autoSpaceDN w:val="0"/>
              <w:adjustRightInd w:val="0"/>
              <w:jc w:val="center"/>
              <w:rPr>
                <w:sz w:val="20"/>
                <w:szCs w:val="20"/>
              </w:rPr>
            </w:pPr>
            <w:r w:rsidRPr="00C212C1">
              <w:rPr>
                <w:sz w:val="20"/>
                <w:szCs w:val="20"/>
              </w:rPr>
              <w:t>44</w:t>
            </w:r>
          </w:p>
        </w:tc>
        <w:tc>
          <w:tcPr>
            <w:tcW w:w="399" w:type="pct"/>
            <w:tcBorders>
              <w:top w:val="nil"/>
              <w:left w:val="single" w:sz="6" w:space="0" w:color="auto"/>
              <w:bottom w:val="single" w:sz="6" w:space="0" w:color="auto"/>
              <w:right w:val="single" w:sz="6" w:space="0" w:color="auto"/>
            </w:tcBorders>
            <w:shd w:val="clear" w:color="auto" w:fill="auto"/>
            <w:vAlign w:val="center"/>
          </w:tcPr>
          <w:p w14:paraId="494DC3A4" w14:textId="20BE8A43" w:rsidR="00514FA3" w:rsidRPr="00A34F10" w:rsidRDefault="00514FA3" w:rsidP="00514FA3">
            <w:pPr>
              <w:suppressAutoHyphens/>
              <w:autoSpaceDE w:val="0"/>
              <w:autoSpaceDN w:val="0"/>
              <w:adjustRightInd w:val="0"/>
              <w:jc w:val="center"/>
              <w:rPr>
                <w:sz w:val="20"/>
                <w:szCs w:val="20"/>
              </w:rPr>
            </w:pPr>
            <w:r w:rsidRPr="00A34F10">
              <w:rPr>
                <w:sz w:val="20"/>
                <w:szCs w:val="20"/>
              </w:rPr>
              <w:t>18</w:t>
            </w:r>
          </w:p>
        </w:tc>
        <w:tc>
          <w:tcPr>
            <w:tcW w:w="54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5E2FE6EC" w14:textId="3E65FDBA" w:rsidR="00514FA3" w:rsidRPr="00A34F10" w:rsidRDefault="00514FA3" w:rsidP="00514FA3">
            <w:pPr>
              <w:suppressAutoHyphens/>
              <w:autoSpaceDE w:val="0"/>
              <w:autoSpaceDN w:val="0"/>
              <w:adjustRightInd w:val="0"/>
              <w:jc w:val="center"/>
              <w:rPr>
                <w:sz w:val="20"/>
                <w:szCs w:val="20"/>
              </w:rPr>
            </w:pPr>
            <w:r w:rsidRPr="00C212C1">
              <w:rPr>
                <w:sz w:val="20"/>
                <w:szCs w:val="20"/>
              </w:rPr>
              <w:t>&gt; 118</w:t>
            </w:r>
          </w:p>
        </w:tc>
        <w:tc>
          <w:tcPr>
            <w:tcW w:w="546" w:type="pct"/>
            <w:tcBorders>
              <w:top w:val="nil"/>
              <w:left w:val="single" w:sz="6" w:space="0" w:color="auto"/>
              <w:bottom w:val="single" w:sz="6" w:space="0" w:color="auto"/>
              <w:right w:val="single" w:sz="6" w:space="0" w:color="auto"/>
            </w:tcBorders>
            <w:shd w:val="clear" w:color="auto" w:fill="auto"/>
            <w:vAlign w:val="center"/>
          </w:tcPr>
          <w:p w14:paraId="47574BC3" w14:textId="3A3D5698" w:rsidR="00514FA3" w:rsidRPr="00A34F10" w:rsidRDefault="00514FA3" w:rsidP="00514FA3">
            <w:pPr>
              <w:suppressAutoHyphens/>
              <w:autoSpaceDE w:val="0"/>
              <w:autoSpaceDN w:val="0"/>
              <w:adjustRightInd w:val="0"/>
              <w:jc w:val="center"/>
              <w:rPr>
                <w:sz w:val="20"/>
                <w:szCs w:val="20"/>
              </w:rPr>
            </w:pPr>
            <w:r w:rsidRPr="00A34F10">
              <w:rPr>
                <w:sz w:val="20"/>
                <w:szCs w:val="20"/>
              </w:rPr>
              <w:t>&gt; 18400</w:t>
            </w:r>
          </w:p>
        </w:tc>
        <w:tc>
          <w:tcPr>
            <w:tcW w:w="288" w:type="pct"/>
            <w:vMerge/>
            <w:tcBorders>
              <w:left w:val="single" w:sz="6" w:space="0" w:color="auto"/>
              <w:right w:val="single" w:sz="6" w:space="0" w:color="auto"/>
            </w:tcBorders>
            <w:shd w:val="clear" w:color="auto" w:fill="auto"/>
            <w:vAlign w:val="center"/>
          </w:tcPr>
          <w:p w14:paraId="7B0241DE" w14:textId="77777777" w:rsidR="00514FA3" w:rsidRPr="00A34F10" w:rsidRDefault="00514FA3" w:rsidP="00514FA3">
            <w:pPr>
              <w:suppressAutoHyphens/>
              <w:autoSpaceDE w:val="0"/>
              <w:autoSpaceDN w:val="0"/>
              <w:adjustRightInd w:val="0"/>
              <w:jc w:val="center"/>
              <w:rPr>
                <w:sz w:val="20"/>
                <w:szCs w:val="20"/>
              </w:rPr>
            </w:pPr>
          </w:p>
        </w:tc>
        <w:tc>
          <w:tcPr>
            <w:tcW w:w="440" w:type="pct"/>
            <w:tcBorders>
              <w:top w:val="nil"/>
              <w:left w:val="single" w:sz="6" w:space="0" w:color="auto"/>
              <w:bottom w:val="single" w:sz="6" w:space="0" w:color="auto"/>
              <w:right w:val="single" w:sz="6" w:space="0" w:color="auto"/>
            </w:tcBorders>
            <w:shd w:val="clear" w:color="auto" w:fill="auto"/>
            <w:vAlign w:val="center"/>
          </w:tcPr>
          <w:p w14:paraId="20A5CD2C"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221560</w:t>
            </w:r>
          </w:p>
        </w:tc>
      </w:tr>
      <w:tr w:rsidR="00514FA3" w:rsidRPr="00A34F10" w14:paraId="0C9F8967" w14:textId="77777777" w:rsidTr="00514FA3">
        <w:trPr>
          <w:trHeight w:val="247"/>
        </w:trPr>
        <w:tc>
          <w:tcPr>
            <w:tcW w:w="713"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8F8916"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AF</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508AE6C9"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100</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7BC48608"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10</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9509C1F" w14:textId="561166DD" w:rsidR="00514FA3" w:rsidRPr="00A34F10" w:rsidRDefault="00514FA3" w:rsidP="00514FA3">
            <w:pPr>
              <w:suppressAutoHyphens/>
              <w:autoSpaceDE w:val="0"/>
              <w:autoSpaceDN w:val="0"/>
              <w:adjustRightInd w:val="0"/>
              <w:jc w:val="center"/>
              <w:rPr>
                <w:sz w:val="20"/>
                <w:szCs w:val="20"/>
              </w:rPr>
            </w:pPr>
            <w:r w:rsidRPr="00C212C1">
              <w:rPr>
                <w:sz w:val="20"/>
                <w:szCs w:val="20"/>
              </w:rPr>
              <w:t>100</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D56D904" w14:textId="1416CA03" w:rsidR="00514FA3" w:rsidRPr="00A34F10" w:rsidRDefault="00514FA3" w:rsidP="00514FA3">
            <w:pPr>
              <w:suppressAutoHyphens/>
              <w:autoSpaceDE w:val="0"/>
              <w:autoSpaceDN w:val="0"/>
              <w:adjustRightInd w:val="0"/>
              <w:jc w:val="center"/>
              <w:rPr>
                <w:sz w:val="20"/>
                <w:szCs w:val="20"/>
              </w:rPr>
            </w:pPr>
            <w:r w:rsidRPr="00A34F10">
              <w:rPr>
                <w:sz w:val="20"/>
                <w:szCs w:val="20"/>
              </w:rPr>
              <w:t>100</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4873385" w14:textId="24C305CD" w:rsidR="00514FA3" w:rsidRPr="00A34F10" w:rsidRDefault="00514FA3" w:rsidP="00514FA3">
            <w:pPr>
              <w:suppressAutoHyphens/>
              <w:autoSpaceDE w:val="0"/>
              <w:autoSpaceDN w:val="0"/>
              <w:adjustRightInd w:val="0"/>
              <w:jc w:val="center"/>
              <w:rPr>
                <w:sz w:val="20"/>
                <w:szCs w:val="20"/>
              </w:rPr>
            </w:pPr>
            <w:r w:rsidRPr="00C212C1">
              <w:rPr>
                <w:sz w:val="20"/>
                <w:szCs w:val="20"/>
              </w:rPr>
              <w:t>10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47D04EE3" w14:textId="1CB7DC32" w:rsidR="00514FA3" w:rsidRPr="00A34F10" w:rsidRDefault="00514FA3" w:rsidP="00514FA3">
            <w:pPr>
              <w:suppressAutoHyphens/>
              <w:autoSpaceDE w:val="0"/>
              <w:autoSpaceDN w:val="0"/>
              <w:adjustRightInd w:val="0"/>
              <w:jc w:val="center"/>
              <w:rPr>
                <w:sz w:val="20"/>
                <w:szCs w:val="20"/>
              </w:rPr>
            </w:pPr>
            <w:r w:rsidRPr="00A34F10">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86886E" w14:textId="69C3A601" w:rsidR="00514FA3" w:rsidRPr="00A34F10" w:rsidRDefault="00514FA3" w:rsidP="00514FA3">
            <w:pPr>
              <w:suppressAutoHyphens/>
              <w:autoSpaceDE w:val="0"/>
              <w:autoSpaceDN w:val="0"/>
              <w:adjustRightInd w:val="0"/>
              <w:jc w:val="center"/>
              <w:rPr>
                <w:sz w:val="20"/>
                <w:szCs w:val="20"/>
              </w:rPr>
            </w:pPr>
            <w:r w:rsidRPr="00C212C1">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1D6F2B8A" w14:textId="7B0A3455" w:rsidR="00514FA3" w:rsidRPr="00A34F10" w:rsidRDefault="00514FA3" w:rsidP="00514FA3">
            <w:pPr>
              <w:suppressAutoHyphens/>
              <w:autoSpaceDE w:val="0"/>
              <w:autoSpaceDN w:val="0"/>
              <w:adjustRightInd w:val="0"/>
              <w:jc w:val="center"/>
              <w:rPr>
                <w:sz w:val="20"/>
                <w:szCs w:val="20"/>
              </w:rPr>
            </w:pPr>
            <w:r w:rsidRPr="00A34F10">
              <w:rPr>
                <w:sz w:val="20"/>
                <w:szCs w:val="20"/>
              </w:rPr>
              <w:t>10</w:t>
            </w:r>
          </w:p>
        </w:tc>
        <w:tc>
          <w:tcPr>
            <w:tcW w:w="288" w:type="pct"/>
            <w:vMerge/>
            <w:tcBorders>
              <w:left w:val="single" w:sz="6" w:space="0" w:color="auto"/>
              <w:right w:val="single" w:sz="6" w:space="0" w:color="auto"/>
            </w:tcBorders>
            <w:shd w:val="clear" w:color="auto" w:fill="auto"/>
            <w:vAlign w:val="center"/>
          </w:tcPr>
          <w:p w14:paraId="4CE61523" w14:textId="77777777" w:rsidR="00514FA3" w:rsidRPr="00A34F10" w:rsidRDefault="00514FA3" w:rsidP="00514FA3">
            <w:pPr>
              <w:suppressAutoHyphens/>
              <w:autoSpaceDE w:val="0"/>
              <w:autoSpaceDN w:val="0"/>
              <w:adjustRightInd w:val="0"/>
              <w:jc w:val="center"/>
              <w:rPr>
                <w:sz w:val="20"/>
                <w:szCs w:val="20"/>
              </w:rPr>
            </w:pP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31C5CEE9"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10</w:t>
            </w:r>
          </w:p>
        </w:tc>
      </w:tr>
      <w:tr w:rsidR="00514FA3" w:rsidRPr="00A34F10" w14:paraId="52456E66" w14:textId="77777777" w:rsidTr="00514FA3">
        <w:trPr>
          <w:trHeight w:val="247"/>
        </w:trPr>
        <w:tc>
          <w:tcPr>
            <w:tcW w:w="713"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F66F634"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RAC [µg/L]</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0C00152A"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&gt; 190</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7A38B1CA"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4.8</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6A1B764" w14:textId="74A4200C" w:rsidR="00514FA3" w:rsidRPr="00452202" w:rsidRDefault="00514FA3" w:rsidP="00514FA3">
            <w:pPr>
              <w:suppressAutoHyphens/>
              <w:autoSpaceDE w:val="0"/>
              <w:autoSpaceDN w:val="0"/>
              <w:adjustRightInd w:val="0"/>
              <w:jc w:val="center"/>
              <w:rPr>
                <w:sz w:val="20"/>
                <w:szCs w:val="20"/>
              </w:rPr>
            </w:pPr>
            <w:r w:rsidRPr="00452202">
              <w:rPr>
                <w:sz w:val="20"/>
                <w:szCs w:val="20"/>
              </w:rPr>
              <w:t>&gt; 5.9</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6C0981CC" w14:textId="67C1F35A" w:rsidR="00514FA3" w:rsidRPr="00A34F10" w:rsidRDefault="00514FA3" w:rsidP="00514FA3">
            <w:pPr>
              <w:suppressAutoHyphens/>
              <w:autoSpaceDE w:val="0"/>
              <w:autoSpaceDN w:val="0"/>
              <w:adjustRightInd w:val="0"/>
              <w:jc w:val="center"/>
              <w:rPr>
                <w:sz w:val="20"/>
                <w:szCs w:val="20"/>
              </w:rPr>
            </w:pPr>
            <w:r w:rsidRPr="00A34F10">
              <w:rPr>
                <w:sz w:val="20"/>
                <w:szCs w:val="20"/>
              </w:rPr>
              <w:t>&gt; 194</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5862555" w14:textId="68C25EE4" w:rsidR="00514FA3" w:rsidRPr="00A73AF4" w:rsidRDefault="00514FA3" w:rsidP="00514FA3">
            <w:pPr>
              <w:suppressAutoHyphens/>
              <w:autoSpaceDE w:val="0"/>
              <w:autoSpaceDN w:val="0"/>
              <w:adjustRightInd w:val="0"/>
              <w:jc w:val="center"/>
              <w:rPr>
                <w:sz w:val="20"/>
                <w:szCs w:val="20"/>
              </w:rPr>
            </w:pPr>
            <w:r w:rsidRPr="00A73AF4">
              <w:rPr>
                <w:sz w:val="20"/>
                <w:szCs w:val="20"/>
              </w:rPr>
              <w:t>4.4</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43C57335" w14:textId="6D306B02" w:rsidR="00514FA3" w:rsidRPr="00A34F10" w:rsidRDefault="00514FA3" w:rsidP="00514FA3">
            <w:pPr>
              <w:suppressAutoHyphens/>
              <w:autoSpaceDE w:val="0"/>
              <w:autoSpaceDN w:val="0"/>
              <w:adjustRightInd w:val="0"/>
              <w:jc w:val="center"/>
              <w:rPr>
                <w:sz w:val="20"/>
                <w:szCs w:val="20"/>
                <w:lang w:val="de-DE"/>
              </w:rPr>
            </w:pPr>
            <w:r w:rsidRPr="00A34F10">
              <w:rPr>
                <w:sz w:val="20"/>
                <w:szCs w:val="20"/>
              </w:rPr>
              <w:t>1.8</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1111BDA" w14:textId="11C4619D" w:rsidR="00514FA3" w:rsidRPr="00514FA3" w:rsidRDefault="00514FA3" w:rsidP="00514FA3">
            <w:pPr>
              <w:suppressAutoHyphens/>
              <w:autoSpaceDE w:val="0"/>
              <w:autoSpaceDN w:val="0"/>
              <w:adjustRightInd w:val="0"/>
              <w:jc w:val="center"/>
              <w:rPr>
                <w:sz w:val="20"/>
                <w:szCs w:val="20"/>
              </w:rPr>
            </w:pPr>
            <w:r w:rsidRPr="00514FA3">
              <w:rPr>
                <w:sz w:val="20"/>
                <w:szCs w:val="20"/>
              </w:rPr>
              <w:t>&gt; 11.8</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08E19B17" w14:textId="7B6F8A14" w:rsidR="00514FA3" w:rsidRPr="00A34F10" w:rsidRDefault="00514FA3" w:rsidP="00514FA3">
            <w:pPr>
              <w:suppressAutoHyphens/>
              <w:autoSpaceDE w:val="0"/>
              <w:autoSpaceDN w:val="0"/>
              <w:adjustRightInd w:val="0"/>
              <w:jc w:val="center"/>
              <w:rPr>
                <w:sz w:val="20"/>
                <w:szCs w:val="20"/>
              </w:rPr>
            </w:pPr>
            <w:r w:rsidRPr="00A34F10">
              <w:rPr>
                <w:sz w:val="20"/>
                <w:szCs w:val="20"/>
              </w:rPr>
              <w:t>&gt; 1840</w:t>
            </w:r>
          </w:p>
        </w:tc>
        <w:tc>
          <w:tcPr>
            <w:tcW w:w="288" w:type="pct"/>
            <w:vMerge/>
            <w:tcBorders>
              <w:left w:val="single" w:sz="6" w:space="0" w:color="auto"/>
              <w:bottom w:val="single" w:sz="6" w:space="0" w:color="auto"/>
              <w:right w:val="single" w:sz="6" w:space="0" w:color="auto"/>
            </w:tcBorders>
            <w:shd w:val="clear" w:color="auto" w:fill="auto"/>
            <w:vAlign w:val="center"/>
          </w:tcPr>
          <w:p w14:paraId="520764DF" w14:textId="77777777" w:rsidR="00514FA3" w:rsidRPr="00A34F10" w:rsidRDefault="00514FA3" w:rsidP="00514FA3">
            <w:pPr>
              <w:suppressAutoHyphens/>
              <w:autoSpaceDE w:val="0"/>
              <w:autoSpaceDN w:val="0"/>
              <w:adjustRightInd w:val="0"/>
              <w:jc w:val="center"/>
              <w:rPr>
                <w:sz w:val="20"/>
                <w:szCs w:val="20"/>
              </w:rPr>
            </w:pP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00B59C9A"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22156</w:t>
            </w:r>
          </w:p>
        </w:tc>
      </w:tr>
      <w:tr w:rsidR="00514FA3" w:rsidRPr="00A34F10" w14:paraId="69317AE6" w14:textId="77777777" w:rsidTr="00E6440F">
        <w:trPr>
          <w:trHeight w:val="523"/>
        </w:trPr>
        <w:tc>
          <w:tcPr>
            <w:tcW w:w="349" w:type="pct"/>
            <w:tcBorders>
              <w:top w:val="single" w:sz="6" w:space="0" w:color="auto"/>
              <w:left w:val="single" w:sz="6" w:space="0" w:color="auto"/>
              <w:bottom w:val="single" w:sz="6" w:space="0" w:color="auto"/>
              <w:right w:val="single" w:sz="6" w:space="0" w:color="auto"/>
            </w:tcBorders>
            <w:shd w:val="clear" w:color="auto" w:fill="auto"/>
            <w:vAlign w:val="center"/>
          </w:tcPr>
          <w:p w14:paraId="4CA93092"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FOCUS Scenario</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14:paraId="11B93D77" w14:textId="77777777" w:rsidR="00514FA3" w:rsidRPr="00A34F10" w:rsidRDefault="00514FA3" w:rsidP="00514FA3">
            <w:pPr>
              <w:suppressAutoHyphens/>
              <w:autoSpaceDE w:val="0"/>
              <w:autoSpaceDN w:val="0"/>
              <w:adjustRightInd w:val="0"/>
              <w:jc w:val="center"/>
              <w:rPr>
                <w:b/>
                <w:bCs/>
                <w:sz w:val="20"/>
                <w:szCs w:val="20"/>
                <w:vertAlign w:val="superscript"/>
              </w:rPr>
            </w:pPr>
            <w:r w:rsidRPr="00A34F10">
              <w:rPr>
                <w:b/>
                <w:bCs/>
                <w:sz w:val="20"/>
                <w:szCs w:val="20"/>
              </w:rPr>
              <w:t>PEC</w:t>
            </w:r>
            <w:r w:rsidRPr="00A34F10">
              <w:rPr>
                <w:b/>
                <w:bCs/>
                <w:sz w:val="20"/>
                <w:szCs w:val="20"/>
                <w:vertAlign w:val="subscript"/>
              </w:rPr>
              <w:t>sw</w:t>
            </w:r>
            <w:r w:rsidRPr="00A34F10">
              <w:rPr>
                <w:b/>
                <w:bCs/>
                <w:sz w:val="20"/>
                <w:szCs w:val="20"/>
              </w:rPr>
              <w:t xml:space="preserve"> </w:t>
            </w:r>
            <w:r w:rsidRPr="00A34F10">
              <w:rPr>
                <w:b/>
                <w:bCs/>
                <w:sz w:val="20"/>
                <w:szCs w:val="20"/>
                <w:vertAlign w:val="subscript"/>
              </w:rPr>
              <w:t xml:space="preserve">gl-max </w:t>
            </w:r>
            <w:r w:rsidRPr="00A34F10">
              <w:rPr>
                <w:b/>
                <w:bCs/>
                <w:sz w:val="20"/>
                <w:szCs w:val="20"/>
                <w:vertAlign w:val="superscript"/>
              </w:rPr>
              <w:t>1)</w:t>
            </w:r>
            <w:r w:rsidRPr="00A34F10">
              <w:rPr>
                <w:b/>
                <w:bCs/>
                <w:sz w:val="20"/>
                <w:szCs w:val="20"/>
              </w:rPr>
              <w:br/>
              <w:t xml:space="preserve">[µg/L] </w:t>
            </w:r>
          </w:p>
        </w:tc>
        <w:tc>
          <w:tcPr>
            <w:tcW w:w="3558" w:type="pct"/>
            <w:gridSpan w:val="8"/>
            <w:tcBorders>
              <w:top w:val="single" w:sz="6" w:space="0" w:color="auto"/>
              <w:left w:val="single" w:sz="6" w:space="0" w:color="auto"/>
              <w:bottom w:val="single" w:sz="6" w:space="0" w:color="auto"/>
              <w:right w:val="single" w:sz="6" w:space="0" w:color="auto"/>
            </w:tcBorders>
          </w:tcPr>
          <w:p w14:paraId="0A77AB57" w14:textId="7C352F3C" w:rsidR="00514FA3" w:rsidRPr="00A34F10" w:rsidRDefault="00514FA3" w:rsidP="00514FA3">
            <w:pPr>
              <w:suppressAutoHyphens/>
              <w:autoSpaceDE w:val="0"/>
              <w:autoSpaceDN w:val="0"/>
              <w:adjustRightInd w:val="0"/>
              <w:jc w:val="center"/>
              <w:rPr>
                <w:b/>
                <w:bCs/>
                <w:sz w:val="20"/>
                <w:szCs w:val="20"/>
              </w:rPr>
            </w:pPr>
            <w:r w:rsidRPr="00A34F10">
              <w:rPr>
                <w:b/>
                <w:bCs/>
                <w:sz w:val="20"/>
                <w:szCs w:val="20"/>
              </w:rPr>
              <w:t>PEC/ RAC ratio</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BF4E96C" w14:textId="77777777" w:rsidR="00514FA3" w:rsidRPr="00A34F10" w:rsidRDefault="00514FA3" w:rsidP="00514FA3">
            <w:pPr>
              <w:suppressAutoHyphens/>
              <w:autoSpaceDE w:val="0"/>
              <w:autoSpaceDN w:val="0"/>
              <w:adjustRightInd w:val="0"/>
              <w:jc w:val="center"/>
              <w:rPr>
                <w:b/>
                <w:bCs/>
                <w:sz w:val="20"/>
                <w:szCs w:val="20"/>
              </w:rPr>
            </w:pPr>
            <w:r w:rsidRPr="00A34F10">
              <w:rPr>
                <w:b/>
                <w:bCs/>
                <w:sz w:val="20"/>
                <w:szCs w:val="20"/>
              </w:rPr>
              <w:t>PEC</w:t>
            </w:r>
            <w:r w:rsidRPr="00A34F10">
              <w:rPr>
                <w:b/>
                <w:bCs/>
                <w:sz w:val="20"/>
                <w:szCs w:val="20"/>
                <w:vertAlign w:val="subscript"/>
              </w:rPr>
              <w:t>sed.</w:t>
            </w:r>
            <w:r w:rsidRPr="00A34F10">
              <w:rPr>
                <w:b/>
                <w:bCs/>
                <w:sz w:val="20"/>
                <w:szCs w:val="20"/>
              </w:rPr>
              <w:t xml:space="preserve"> </w:t>
            </w:r>
            <w:r w:rsidRPr="00A34F10">
              <w:rPr>
                <w:b/>
                <w:bCs/>
                <w:sz w:val="20"/>
                <w:szCs w:val="20"/>
                <w:vertAlign w:val="subscript"/>
              </w:rPr>
              <w:t>gl-max</w:t>
            </w:r>
            <w:r w:rsidRPr="00A34F10">
              <w:rPr>
                <w:b/>
                <w:bCs/>
                <w:sz w:val="20"/>
                <w:szCs w:val="20"/>
              </w:rPr>
              <w:t xml:space="preserve"> [µg/kg]</w:t>
            </w:r>
          </w:p>
        </w:tc>
        <w:tc>
          <w:tcPr>
            <w:tcW w:w="440" w:type="pct"/>
            <w:tcBorders>
              <w:top w:val="nil"/>
              <w:left w:val="single" w:sz="6" w:space="0" w:color="auto"/>
              <w:bottom w:val="nil"/>
              <w:right w:val="single" w:sz="6" w:space="0" w:color="auto"/>
            </w:tcBorders>
            <w:shd w:val="clear" w:color="auto" w:fill="auto"/>
            <w:vAlign w:val="center"/>
          </w:tcPr>
          <w:p w14:paraId="6DAB8C47" w14:textId="77777777" w:rsidR="00514FA3" w:rsidRPr="00A34F10" w:rsidRDefault="00514FA3" w:rsidP="00514FA3">
            <w:pPr>
              <w:suppressAutoHyphens/>
              <w:autoSpaceDE w:val="0"/>
              <w:autoSpaceDN w:val="0"/>
              <w:adjustRightInd w:val="0"/>
              <w:jc w:val="center"/>
              <w:rPr>
                <w:b/>
                <w:bCs/>
                <w:sz w:val="20"/>
                <w:szCs w:val="20"/>
              </w:rPr>
            </w:pPr>
            <w:r w:rsidRPr="00A34F10">
              <w:rPr>
                <w:b/>
                <w:bCs/>
                <w:sz w:val="20"/>
                <w:szCs w:val="20"/>
              </w:rPr>
              <w:t>PEC/ RAC ratio</w:t>
            </w:r>
          </w:p>
        </w:tc>
      </w:tr>
      <w:tr w:rsidR="00514FA3" w:rsidRPr="00A34F10" w14:paraId="6F56695F" w14:textId="77777777" w:rsidTr="00E6440F">
        <w:trPr>
          <w:trHeight w:val="247"/>
        </w:trPr>
        <w:tc>
          <w:tcPr>
            <w:tcW w:w="349" w:type="pct"/>
            <w:tcBorders>
              <w:top w:val="single" w:sz="6" w:space="0" w:color="auto"/>
              <w:left w:val="single" w:sz="6" w:space="0" w:color="auto"/>
              <w:bottom w:val="single" w:sz="6" w:space="0" w:color="auto"/>
              <w:right w:val="single" w:sz="6" w:space="0" w:color="auto"/>
            </w:tcBorders>
            <w:shd w:val="clear" w:color="auto" w:fill="auto"/>
            <w:vAlign w:val="center"/>
          </w:tcPr>
          <w:p w14:paraId="2A44B42E" w14:textId="77777777" w:rsidR="00514FA3" w:rsidRPr="00A34F10" w:rsidRDefault="00514FA3" w:rsidP="00514FA3">
            <w:pPr>
              <w:suppressAutoHyphens/>
              <w:autoSpaceDE w:val="0"/>
              <w:autoSpaceDN w:val="0"/>
              <w:adjustRightInd w:val="0"/>
              <w:rPr>
                <w:b/>
                <w:bCs/>
                <w:sz w:val="20"/>
                <w:szCs w:val="20"/>
              </w:rPr>
            </w:pPr>
            <w:r w:rsidRPr="00A34F10">
              <w:rPr>
                <w:b/>
                <w:bCs/>
                <w:sz w:val="20"/>
                <w:szCs w:val="20"/>
              </w:rPr>
              <w:t>Step 1</w:t>
            </w:r>
          </w:p>
        </w:tc>
        <w:tc>
          <w:tcPr>
            <w:tcW w:w="365" w:type="pct"/>
            <w:tcBorders>
              <w:top w:val="single" w:sz="6" w:space="0" w:color="auto"/>
              <w:left w:val="single" w:sz="6" w:space="0" w:color="auto"/>
              <w:bottom w:val="single" w:sz="6" w:space="0" w:color="auto"/>
              <w:right w:val="single" w:sz="6" w:space="0" w:color="auto"/>
            </w:tcBorders>
            <w:shd w:val="clear" w:color="auto" w:fill="auto"/>
          </w:tcPr>
          <w:p w14:paraId="28C10E65" w14:textId="77777777"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16.452</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1520FB0" w14:textId="77777777"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0.09</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143081FF" w14:textId="77777777" w:rsidR="00514FA3" w:rsidRPr="00A34F10" w:rsidRDefault="00514FA3" w:rsidP="00514FA3">
            <w:pPr>
              <w:suppressAutoHyphens/>
              <w:autoSpaceDE w:val="0"/>
              <w:autoSpaceDN w:val="0"/>
              <w:adjustRightInd w:val="0"/>
              <w:jc w:val="center"/>
              <w:rPr>
                <w:b/>
                <w:bCs/>
                <w:sz w:val="20"/>
                <w:szCs w:val="20"/>
              </w:rPr>
            </w:pPr>
            <w:r w:rsidRPr="00A34F10">
              <w:rPr>
                <w:b/>
                <w:bCs/>
                <w:color w:val="000000"/>
                <w:sz w:val="20"/>
                <w:szCs w:val="20"/>
              </w:rPr>
              <w:t>3.43</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85CF6E" w14:textId="016C1447" w:rsidR="00514FA3" w:rsidRPr="00AD7447" w:rsidRDefault="00514FA3" w:rsidP="00514FA3">
            <w:pPr>
              <w:suppressAutoHyphens/>
              <w:autoSpaceDE w:val="0"/>
              <w:autoSpaceDN w:val="0"/>
              <w:adjustRightInd w:val="0"/>
              <w:jc w:val="center"/>
              <w:rPr>
                <w:b/>
                <w:bCs/>
                <w:color w:val="000000"/>
                <w:sz w:val="20"/>
                <w:szCs w:val="20"/>
              </w:rPr>
            </w:pPr>
            <w:r w:rsidRPr="00AD7447">
              <w:rPr>
                <w:b/>
                <w:bCs/>
                <w:color w:val="000000"/>
                <w:sz w:val="20"/>
                <w:szCs w:val="20"/>
              </w:rPr>
              <w:t>2.79</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23F7C9D0" w14:textId="7A98446C"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0.08</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A70A3FA" w14:textId="2B5F3DD7" w:rsidR="00514FA3" w:rsidRPr="00A34F10" w:rsidRDefault="00514FA3" w:rsidP="00514FA3">
            <w:pPr>
              <w:suppressAutoHyphens/>
              <w:autoSpaceDE w:val="0"/>
              <w:autoSpaceDN w:val="0"/>
              <w:adjustRightInd w:val="0"/>
              <w:jc w:val="center"/>
              <w:rPr>
                <w:b/>
                <w:bCs/>
                <w:color w:val="000000"/>
                <w:sz w:val="20"/>
                <w:szCs w:val="20"/>
              </w:rPr>
            </w:pPr>
            <w:r>
              <w:rPr>
                <w:b/>
                <w:bCs/>
                <w:color w:val="000000"/>
                <w:sz w:val="20"/>
                <w:szCs w:val="20"/>
              </w:rPr>
              <w:t>3.74</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7405F08C" w14:textId="7097CBC1" w:rsidR="00514FA3" w:rsidRPr="00A34F10" w:rsidRDefault="00514FA3" w:rsidP="00514FA3">
            <w:pPr>
              <w:suppressAutoHyphens/>
              <w:autoSpaceDE w:val="0"/>
              <w:autoSpaceDN w:val="0"/>
              <w:adjustRightInd w:val="0"/>
              <w:jc w:val="center"/>
              <w:rPr>
                <w:b/>
                <w:bCs/>
                <w:sz w:val="20"/>
                <w:szCs w:val="20"/>
              </w:rPr>
            </w:pPr>
            <w:r w:rsidRPr="00A34F10">
              <w:rPr>
                <w:b/>
                <w:bCs/>
                <w:color w:val="000000"/>
                <w:sz w:val="20"/>
                <w:szCs w:val="20"/>
              </w:rPr>
              <w:t>9.14</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23047E2" w14:textId="1586D68D" w:rsidR="00514FA3" w:rsidRPr="00FD1985" w:rsidRDefault="00FD1985" w:rsidP="00514FA3">
            <w:pPr>
              <w:suppressAutoHyphens/>
              <w:autoSpaceDE w:val="0"/>
              <w:autoSpaceDN w:val="0"/>
              <w:adjustRightInd w:val="0"/>
              <w:jc w:val="center"/>
              <w:rPr>
                <w:b/>
                <w:bCs/>
                <w:color w:val="000000"/>
                <w:sz w:val="20"/>
                <w:szCs w:val="20"/>
              </w:rPr>
            </w:pPr>
            <w:r w:rsidRPr="00FD1985">
              <w:rPr>
                <w:b/>
                <w:bCs/>
                <w:color w:val="000000"/>
                <w:sz w:val="20"/>
                <w:szCs w:val="20"/>
              </w:rPr>
              <w:t>1.39</w:t>
            </w:r>
          </w:p>
        </w:tc>
        <w:tc>
          <w:tcPr>
            <w:tcW w:w="546" w:type="pct"/>
            <w:tcBorders>
              <w:top w:val="single" w:sz="6" w:space="0" w:color="auto"/>
              <w:left w:val="single" w:sz="6" w:space="0" w:color="auto"/>
              <w:bottom w:val="single" w:sz="6" w:space="0" w:color="auto"/>
              <w:right w:val="single" w:sz="6" w:space="0" w:color="auto"/>
            </w:tcBorders>
            <w:shd w:val="clear" w:color="auto" w:fill="auto"/>
          </w:tcPr>
          <w:p w14:paraId="22EA2FB6" w14:textId="6B2B9642"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0.01</w:t>
            </w:r>
          </w:p>
        </w:tc>
        <w:tc>
          <w:tcPr>
            <w:tcW w:w="288" w:type="pct"/>
            <w:tcBorders>
              <w:top w:val="single" w:sz="6" w:space="0" w:color="auto"/>
              <w:left w:val="single" w:sz="6" w:space="0" w:color="auto"/>
              <w:bottom w:val="single" w:sz="6" w:space="0" w:color="auto"/>
              <w:right w:val="single" w:sz="6" w:space="0" w:color="auto"/>
            </w:tcBorders>
            <w:shd w:val="clear" w:color="auto" w:fill="auto"/>
          </w:tcPr>
          <w:p w14:paraId="0D350E8B" w14:textId="77777777"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493.162</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477BB187"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0.02</w:t>
            </w:r>
          </w:p>
        </w:tc>
      </w:tr>
      <w:tr w:rsidR="00514FA3" w:rsidRPr="00A34F10" w14:paraId="0C0A9E8A" w14:textId="77777777" w:rsidTr="00514FA3">
        <w:trPr>
          <w:trHeight w:val="247"/>
        </w:trPr>
        <w:tc>
          <w:tcPr>
            <w:tcW w:w="5000" w:type="pct"/>
            <w:gridSpan w:val="12"/>
            <w:tcBorders>
              <w:top w:val="single" w:sz="6" w:space="0" w:color="auto"/>
              <w:left w:val="single" w:sz="6" w:space="0" w:color="auto"/>
              <w:bottom w:val="single" w:sz="6" w:space="0" w:color="auto"/>
              <w:right w:val="single" w:sz="6" w:space="0" w:color="auto"/>
            </w:tcBorders>
          </w:tcPr>
          <w:p w14:paraId="61155FD7" w14:textId="3C1B3655" w:rsidR="00514FA3" w:rsidRPr="00A34F10" w:rsidRDefault="00514FA3" w:rsidP="00514FA3">
            <w:pPr>
              <w:suppressAutoHyphens/>
              <w:autoSpaceDE w:val="0"/>
              <w:autoSpaceDN w:val="0"/>
              <w:adjustRightInd w:val="0"/>
              <w:rPr>
                <w:sz w:val="20"/>
                <w:szCs w:val="20"/>
              </w:rPr>
            </w:pPr>
            <w:r w:rsidRPr="00A34F10">
              <w:rPr>
                <w:b/>
                <w:bCs/>
                <w:sz w:val="20"/>
                <w:szCs w:val="20"/>
              </w:rPr>
              <w:t>Step 2</w:t>
            </w:r>
          </w:p>
        </w:tc>
      </w:tr>
      <w:tr w:rsidR="00514FA3" w:rsidRPr="00A34F10" w14:paraId="5FB898E1" w14:textId="77777777" w:rsidTr="000D0EE5">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0E70C909" w14:textId="77777777" w:rsidR="00514FA3" w:rsidRPr="00A34F10" w:rsidRDefault="00514FA3" w:rsidP="00514FA3">
            <w:pPr>
              <w:suppressAutoHyphens/>
              <w:autoSpaceDE w:val="0"/>
              <w:autoSpaceDN w:val="0"/>
              <w:adjustRightInd w:val="0"/>
              <w:rPr>
                <w:sz w:val="20"/>
                <w:szCs w:val="20"/>
              </w:rPr>
            </w:pPr>
            <w:r w:rsidRPr="00A34F10">
              <w:rPr>
                <w:sz w:val="20"/>
                <w:szCs w:val="20"/>
              </w:rPr>
              <w:t>N-Europe</w:t>
            </w:r>
          </w:p>
        </w:tc>
        <w:tc>
          <w:tcPr>
            <w:tcW w:w="365" w:type="pct"/>
            <w:tcBorders>
              <w:top w:val="single" w:sz="6" w:space="0" w:color="auto"/>
              <w:left w:val="single" w:sz="4" w:space="0" w:color="auto"/>
              <w:bottom w:val="single" w:sz="6" w:space="0" w:color="auto"/>
              <w:right w:val="single" w:sz="6" w:space="0" w:color="auto"/>
            </w:tcBorders>
            <w:shd w:val="clear" w:color="auto" w:fill="auto"/>
          </w:tcPr>
          <w:p w14:paraId="17DD1AE4" w14:textId="77777777" w:rsidR="00514FA3" w:rsidRPr="00A34F10" w:rsidRDefault="00514FA3" w:rsidP="00514FA3">
            <w:pPr>
              <w:suppressAutoHyphens/>
              <w:autoSpaceDE w:val="0"/>
              <w:autoSpaceDN w:val="0"/>
              <w:adjustRightInd w:val="0"/>
              <w:jc w:val="center"/>
              <w:rPr>
                <w:sz w:val="20"/>
                <w:szCs w:val="20"/>
                <w:lang w:val="en-GB"/>
              </w:rPr>
            </w:pPr>
            <w:r w:rsidRPr="00A34F10">
              <w:rPr>
                <w:color w:val="000000"/>
                <w:sz w:val="20"/>
                <w:szCs w:val="20"/>
              </w:rPr>
              <w:t>2.207</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85D4E49" w14:textId="77777777" w:rsidR="00514FA3" w:rsidRPr="00A34F10" w:rsidRDefault="00514FA3" w:rsidP="00514FA3">
            <w:pPr>
              <w:suppressAutoHyphens/>
              <w:autoSpaceDE w:val="0"/>
              <w:autoSpaceDN w:val="0"/>
              <w:adjustRightInd w:val="0"/>
              <w:jc w:val="center"/>
              <w:rPr>
                <w:b/>
                <w:bCs/>
                <w:sz w:val="20"/>
                <w:szCs w:val="20"/>
              </w:rPr>
            </w:pPr>
            <w:r w:rsidRPr="00A34F10">
              <w:rPr>
                <w:color w:val="000000"/>
                <w:sz w:val="20"/>
                <w:szCs w:val="20"/>
              </w:rPr>
              <w:t>0.01</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4E90F580" w14:textId="77777777" w:rsidR="00514FA3" w:rsidRPr="00A34F10" w:rsidRDefault="00514FA3" w:rsidP="00514FA3">
            <w:pPr>
              <w:suppressAutoHyphens/>
              <w:autoSpaceDE w:val="0"/>
              <w:autoSpaceDN w:val="0"/>
              <w:adjustRightInd w:val="0"/>
              <w:jc w:val="center"/>
              <w:rPr>
                <w:b/>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31A1D7" w14:textId="0CADDBCA" w:rsidR="00514FA3" w:rsidRPr="00A34F10" w:rsidRDefault="00514FA3" w:rsidP="00514FA3">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2A270512" w14:textId="2AC20B20" w:rsidR="00514FA3" w:rsidRPr="00A34F10" w:rsidRDefault="00514FA3" w:rsidP="00514FA3">
            <w:pPr>
              <w:suppressAutoHyphens/>
              <w:autoSpaceDE w:val="0"/>
              <w:autoSpaceDN w:val="0"/>
              <w:adjustRightInd w:val="0"/>
              <w:jc w:val="center"/>
              <w:rPr>
                <w:b/>
                <w:bCs/>
                <w:sz w:val="20"/>
                <w:szCs w:val="20"/>
              </w:rPr>
            </w:pPr>
            <w:r w:rsidRPr="00A34F10">
              <w:rPr>
                <w:color w:val="000000"/>
                <w:sz w:val="20"/>
                <w:szCs w:val="20"/>
              </w:rPr>
              <w:t>0.01</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51B8F2D" w14:textId="0C08CADB" w:rsidR="00514FA3" w:rsidRPr="00FE72E4" w:rsidRDefault="00514FA3" w:rsidP="00514FA3">
            <w:pPr>
              <w:suppressAutoHyphens/>
              <w:autoSpaceDE w:val="0"/>
              <w:autoSpaceDN w:val="0"/>
              <w:adjustRightInd w:val="0"/>
              <w:jc w:val="center"/>
              <w:rPr>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5FA47A6" w14:textId="5AA0C7BD" w:rsidR="00514FA3" w:rsidRPr="00A34F10" w:rsidRDefault="00514FA3" w:rsidP="00514FA3">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D1D5061" w14:textId="0FE85FE2" w:rsidR="00514FA3" w:rsidRPr="00A34F10" w:rsidRDefault="00FD1985" w:rsidP="00514FA3">
            <w:pPr>
              <w:suppressAutoHyphens/>
              <w:autoSpaceDE w:val="0"/>
              <w:autoSpaceDN w:val="0"/>
              <w:adjustRightInd w:val="0"/>
              <w:jc w:val="center"/>
              <w:rPr>
                <w:color w:val="000000"/>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tcPr>
          <w:p w14:paraId="5D9B896A" w14:textId="739E5B31"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0.00</w:t>
            </w:r>
          </w:p>
        </w:tc>
        <w:tc>
          <w:tcPr>
            <w:tcW w:w="288" w:type="pct"/>
            <w:tcBorders>
              <w:top w:val="single" w:sz="6" w:space="0" w:color="auto"/>
              <w:left w:val="single" w:sz="6" w:space="0" w:color="auto"/>
              <w:bottom w:val="single" w:sz="6" w:space="0" w:color="auto"/>
              <w:right w:val="single" w:sz="6" w:space="0" w:color="auto"/>
            </w:tcBorders>
            <w:shd w:val="clear" w:color="auto" w:fill="auto"/>
          </w:tcPr>
          <w:p w14:paraId="32F386BE"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4384FBB1" w14:textId="77777777" w:rsidR="00514FA3" w:rsidRPr="00A34F10" w:rsidRDefault="00514FA3" w:rsidP="00514FA3">
            <w:pPr>
              <w:suppressAutoHyphens/>
              <w:autoSpaceDE w:val="0"/>
              <w:autoSpaceDN w:val="0"/>
              <w:adjustRightInd w:val="0"/>
              <w:jc w:val="center"/>
              <w:rPr>
                <w:bCs/>
                <w:sz w:val="20"/>
                <w:szCs w:val="20"/>
              </w:rPr>
            </w:pPr>
            <w:r w:rsidRPr="00A34F10">
              <w:rPr>
                <w:bCs/>
                <w:sz w:val="20"/>
                <w:szCs w:val="20"/>
              </w:rPr>
              <w:t>--</w:t>
            </w:r>
          </w:p>
        </w:tc>
      </w:tr>
      <w:tr w:rsidR="00514FA3" w:rsidRPr="00A34F10" w14:paraId="70A85F66" w14:textId="77777777" w:rsidTr="000D0EE5">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47CDD8F0" w14:textId="77777777" w:rsidR="00514FA3" w:rsidRPr="00A34F10" w:rsidRDefault="00514FA3" w:rsidP="00514FA3">
            <w:pPr>
              <w:suppressAutoHyphens/>
              <w:autoSpaceDE w:val="0"/>
              <w:autoSpaceDN w:val="0"/>
              <w:adjustRightInd w:val="0"/>
              <w:rPr>
                <w:sz w:val="20"/>
                <w:szCs w:val="20"/>
              </w:rPr>
            </w:pPr>
            <w:r w:rsidRPr="00A34F10">
              <w:rPr>
                <w:sz w:val="20"/>
                <w:szCs w:val="20"/>
              </w:rPr>
              <w:t>S-Europe</w:t>
            </w:r>
          </w:p>
        </w:tc>
        <w:tc>
          <w:tcPr>
            <w:tcW w:w="365" w:type="pct"/>
            <w:tcBorders>
              <w:top w:val="single" w:sz="6" w:space="0" w:color="auto"/>
              <w:left w:val="single" w:sz="4" w:space="0" w:color="auto"/>
              <w:bottom w:val="single" w:sz="6" w:space="0" w:color="auto"/>
              <w:right w:val="single" w:sz="6" w:space="0" w:color="auto"/>
            </w:tcBorders>
            <w:shd w:val="clear" w:color="auto" w:fill="auto"/>
          </w:tcPr>
          <w:p w14:paraId="3F0849ED" w14:textId="77777777"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2.207</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C08E1AA" w14:textId="77777777"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0.01</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3BC6050F" w14:textId="77777777" w:rsidR="00514FA3" w:rsidRPr="00A34F10" w:rsidRDefault="00514FA3" w:rsidP="00514FA3">
            <w:pPr>
              <w:suppressAutoHyphens/>
              <w:autoSpaceDE w:val="0"/>
              <w:autoSpaceDN w:val="0"/>
              <w:adjustRightInd w:val="0"/>
              <w:jc w:val="center"/>
              <w:rPr>
                <w:b/>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B06CD3" w14:textId="35109DA0" w:rsidR="00514FA3" w:rsidRPr="00A34F10" w:rsidRDefault="00514FA3" w:rsidP="00514FA3">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36BCE32C" w14:textId="034B52B4" w:rsidR="00514FA3" w:rsidRPr="00A34F10" w:rsidRDefault="00514FA3" w:rsidP="00514FA3">
            <w:pPr>
              <w:suppressAutoHyphens/>
              <w:autoSpaceDE w:val="0"/>
              <w:autoSpaceDN w:val="0"/>
              <w:adjustRightInd w:val="0"/>
              <w:jc w:val="center"/>
              <w:rPr>
                <w:sz w:val="20"/>
                <w:szCs w:val="20"/>
              </w:rPr>
            </w:pPr>
            <w:r w:rsidRPr="00A34F10">
              <w:rPr>
                <w:color w:val="000000"/>
                <w:sz w:val="20"/>
                <w:szCs w:val="20"/>
              </w:rPr>
              <w:t>0.01</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76216AD" w14:textId="5906DAFF" w:rsidR="00514FA3" w:rsidRPr="00FE72E4" w:rsidRDefault="00514FA3" w:rsidP="00514FA3">
            <w:pPr>
              <w:suppressAutoHyphens/>
              <w:autoSpaceDE w:val="0"/>
              <w:autoSpaceDN w:val="0"/>
              <w:adjustRightInd w:val="0"/>
              <w:jc w:val="center"/>
              <w:rPr>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0763D6D8" w14:textId="55C59140" w:rsidR="00514FA3" w:rsidRPr="00A34F10" w:rsidRDefault="00514FA3" w:rsidP="00514FA3">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3F50C47" w14:textId="3496BA8E" w:rsidR="00514FA3" w:rsidRPr="00A34F10" w:rsidRDefault="00E6440F" w:rsidP="00514FA3">
            <w:pPr>
              <w:suppressAutoHyphens/>
              <w:autoSpaceDE w:val="0"/>
              <w:autoSpaceDN w:val="0"/>
              <w:adjustRightInd w:val="0"/>
              <w:jc w:val="center"/>
              <w:rPr>
                <w:color w:val="000000"/>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tcPr>
          <w:p w14:paraId="1C35D75D" w14:textId="5C4BD346" w:rsidR="00514FA3" w:rsidRPr="00A34F10" w:rsidRDefault="00514FA3" w:rsidP="00514FA3">
            <w:pPr>
              <w:suppressAutoHyphens/>
              <w:autoSpaceDE w:val="0"/>
              <w:autoSpaceDN w:val="0"/>
              <w:adjustRightInd w:val="0"/>
              <w:jc w:val="center"/>
              <w:rPr>
                <w:b/>
                <w:bCs/>
                <w:sz w:val="20"/>
                <w:szCs w:val="20"/>
              </w:rPr>
            </w:pPr>
            <w:r w:rsidRPr="00A34F10">
              <w:rPr>
                <w:color w:val="000000"/>
                <w:sz w:val="20"/>
                <w:szCs w:val="20"/>
              </w:rPr>
              <w:t>0.00</w:t>
            </w:r>
          </w:p>
        </w:tc>
        <w:tc>
          <w:tcPr>
            <w:tcW w:w="288" w:type="pct"/>
            <w:tcBorders>
              <w:top w:val="single" w:sz="6" w:space="0" w:color="auto"/>
              <w:left w:val="single" w:sz="6" w:space="0" w:color="auto"/>
              <w:bottom w:val="single" w:sz="6" w:space="0" w:color="auto"/>
              <w:right w:val="single" w:sz="6" w:space="0" w:color="auto"/>
            </w:tcBorders>
            <w:shd w:val="clear" w:color="auto" w:fill="auto"/>
          </w:tcPr>
          <w:p w14:paraId="5893DBC8" w14:textId="77777777" w:rsidR="00514FA3" w:rsidRPr="00A34F10" w:rsidRDefault="00514FA3" w:rsidP="00514FA3">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3B636F0F" w14:textId="77777777" w:rsidR="00514FA3" w:rsidRPr="00A34F10" w:rsidRDefault="00514FA3" w:rsidP="00514FA3">
            <w:pPr>
              <w:suppressAutoHyphens/>
              <w:autoSpaceDE w:val="0"/>
              <w:autoSpaceDN w:val="0"/>
              <w:adjustRightInd w:val="0"/>
              <w:jc w:val="center"/>
              <w:rPr>
                <w:bCs/>
                <w:sz w:val="20"/>
                <w:szCs w:val="20"/>
              </w:rPr>
            </w:pPr>
            <w:r w:rsidRPr="00A34F10">
              <w:rPr>
                <w:bCs/>
                <w:sz w:val="20"/>
                <w:szCs w:val="20"/>
              </w:rPr>
              <w:t>--</w:t>
            </w:r>
          </w:p>
        </w:tc>
      </w:tr>
      <w:tr w:rsidR="00514FA3" w:rsidRPr="00A34F10" w14:paraId="47EB0FEE" w14:textId="77777777" w:rsidTr="00514FA3">
        <w:trPr>
          <w:trHeight w:val="266"/>
        </w:trPr>
        <w:tc>
          <w:tcPr>
            <w:tcW w:w="5000" w:type="pct"/>
            <w:gridSpan w:val="12"/>
            <w:tcBorders>
              <w:top w:val="single" w:sz="6" w:space="0" w:color="auto"/>
              <w:left w:val="single" w:sz="6" w:space="0" w:color="auto"/>
              <w:bottom w:val="single" w:sz="6" w:space="0" w:color="auto"/>
              <w:right w:val="single" w:sz="6" w:space="0" w:color="auto"/>
            </w:tcBorders>
          </w:tcPr>
          <w:p w14:paraId="0660BACD" w14:textId="6839B0DD" w:rsidR="00514FA3" w:rsidRPr="00A34F10" w:rsidRDefault="00514FA3" w:rsidP="00514FA3">
            <w:pPr>
              <w:suppressAutoHyphens/>
              <w:autoSpaceDE w:val="0"/>
              <w:autoSpaceDN w:val="0"/>
              <w:adjustRightInd w:val="0"/>
              <w:rPr>
                <w:bCs/>
                <w:sz w:val="20"/>
                <w:szCs w:val="20"/>
              </w:rPr>
            </w:pPr>
            <w:r w:rsidRPr="00A34F10">
              <w:rPr>
                <w:b/>
                <w:bCs/>
                <w:sz w:val="20"/>
                <w:szCs w:val="20"/>
              </w:rPr>
              <w:t>Step 3</w:t>
            </w:r>
          </w:p>
        </w:tc>
      </w:tr>
      <w:tr w:rsidR="00E6440F" w:rsidRPr="00A34F10" w14:paraId="287E8E21"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1FCF05EA"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D3/ditch</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64229D6D"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1.245</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1EFE3A03"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1A044FA5" w14:textId="77777777" w:rsidR="00E6440F" w:rsidRPr="00A34F10" w:rsidRDefault="00E6440F" w:rsidP="00E6440F">
            <w:pPr>
              <w:suppressAutoHyphens/>
              <w:autoSpaceDE w:val="0"/>
              <w:autoSpaceDN w:val="0"/>
              <w:adjustRightInd w:val="0"/>
              <w:jc w:val="center"/>
              <w:rPr>
                <w:bCs/>
                <w:sz w:val="20"/>
                <w:szCs w:val="20"/>
              </w:rPr>
            </w:pPr>
            <w:r w:rsidRPr="00A34F10">
              <w:rPr>
                <w:color w:val="000000"/>
                <w:sz w:val="20"/>
                <w:szCs w:val="20"/>
              </w:rPr>
              <w:t>0.26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D5BCB5" w14:textId="647A268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2703C84" w14:textId="41EC6B1B"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353AE8" w14:textId="73912689"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6CE6A0C" w14:textId="3FB5DEE8" w:rsidR="00E6440F" w:rsidRPr="00A34F10" w:rsidRDefault="00E6440F" w:rsidP="00E6440F">
            <w:pPr>
              <w:suppressAutoHyphens/>
              <w:autoSpaceDE w:val="0"/>
              <w:autoSpaceDN w:val="0"/>
              <w:adjustRightInd w:val="0"/>
              <w:jc w:val="center"/>
              <w:rPr>
                <w:bCs/>
                <w:sz w:val="20"/>
                <w:szCs w:val="20"/>
              </w:rPr>
            </w:pPr>
            <w:r w:rsidRPr="00A34F10">
              <w:rPr>
                <w:color w:val="000000"/>
                <w:sz w:val="20"/>
                <w:szCs w:val="20"/>
              </w:rPr>
              <w:t>0.69</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81C217" w14:textId="0877F4CD"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07C71CE3" w14:textId="2B73A4B0"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7CABF1B9"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6B654E6D"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r>
      <w:tr w:rsidR="00E6440F" w:rsidRPr="00A34F10" w14:paraId="3B6D65FC" w14:textId="77777777" w:rsidTr="00E6440F">
        <w:trPr>
          <w:trHeight w:val="348"/>
        </w:trPr>
        <w:tc>
          <w:tcPr>
            <w:tcW w:w="349" w:type="pct"/>
            <w:tcBorders>
              <w:top w:val="single" w:sz="4" w:space="0" w:color="auto"/>
              <w:left w:val="single" w:sz="4" w:space="0" w:color="auto"/>
              <w:bottom w:val="single" w:sz="4" w:space="0" w:color="auto"/>
              <w:right w:val="single" w:sz="4" w:space="0" w:color="auto"/>
            </w:tcBorders>
            <w:shd w:val="clear" w:color="auto" w:fill="auto"/>
          </w:tcPr>
          <w:p w14:paraId="1A1F5C6F"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D4/pond</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4029DD00"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0.049</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21101834"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017D3625" w14:textId="77777777" w:rsidR="00E6440F" w:rsidRPr="00A34F10" w:rsidRDefault="00E6440F" w:rsidP="00E6440F">
            <w:pPr>
              <w:suppressAutoHyphens/>
              <w:autoSpaceDE w:val="0"/>
              <w:autoSpaceDN w:val="0"/>
              <w:adjustRightInd w:val="0"/>
              <w:jc w:val="center"/>
              <w:rPr>
                <w:b/>
                <w:bCs/>
                <w:sz w:val="20"/>
                <w:szCs w:val="20"/>
              </w:rPr>
            </w:pPr>
            <w:r w:rsidRPr="00A34F10">
              <w:rPr>
                <w:color w:val="000000"/>
                <w:sz w:val="20"/>
                <w:szCs w:val="20"/>
              </w:rPr>
              <w:t>0.01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F1F771C" w14:textId="3D25018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B92E635" w14:textId="14348D5A"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557AA5C" w14:textId="22805B4B"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0D966503" w14:textId="33523F6B" w:rsidR="00E6440F" w:rsidRPr="00A34F10" w:rsidRDefault="00E6440F" w:rsidP="00E6440F">
            <w:pPr>
              <w:suppressAutoHyphens/>
              <w:autoSpaceDE w:val="0"/>
              <w:autoSpaceDN w:val="0"/>
              <w:adjustRightInd w:val="0"/>
              <w:jc w:val="center"/>
              <w:rPr>
                <w:b/>
                <w:bCs/>
                <w:sz w:val="20"/>
                <w:szCs w:val="20"/>
              </w:rPr>
            </w:pPr>
            <w:r w:rsidRPr="00A34F10">
              <w:rPr>
                <w:color w:val="000000"/>
                <w:sz w:val="20"/>
                <w:szCs w:val="20"/>
              </w:rPr>
              <w:t>0.03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C752199" w14:textId="7CF71B8F"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5DADD64A" w14:textId="73FDD8DA"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7102C98B"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12FAD295"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r>
      <w:tr w:rsidR="00E6440F" w:rsidRPr="00A34F10" w14:paraId="21DC8CE6" w14:textId="77777777" w:rsidTr="00E6440F">
        <w:trPr>
          <w:trHeight w:val="348"/>
        </w:trPr>
        <w:tc>
          <w:tcPr>
            <w:tcW w:w="349" w:type="pct"/>
            <w:tcBorders>
              <w:top w:val="single" w:sz="4" w:space="0" w:color="auto"/>
              <w:left w:val="single" w:sz="4" w:space="0" w:color="auto"/>
              <w:bottom w:val="single" w:sz="4" w:space="0" w:color="auto"/>
              <w:right w:val="single" w:sz="4" w:space="0" w:color="auto"/>
            </w:tcBorders>
            <w:shd w:val="clear" w:color="auto" w:fill="auto"/>
          </w:tcPr>
          <w:p w14:paraId="6EEE55CD"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D4/stream</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485E90D5"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0.97</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6EE722DA"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3430FF7B"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0.20</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8A65A40" w14:textId="4FB874E1"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56C5D5F1" w14:textId="40AAEF2D"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A3C4A7D" w14:textId="313B1A19"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7EAD6A98" w14:textId="7C90CE03" w:rsidR="00E6440F" w:rsidRPr="00A34F10" w:rsidRDefault="00E6440F" w:rsidP="00E6440F">
            <w:pPr>
              <w:suppressAutoHyphens/>
              <w:autoSpaceDE w:val="0"/>
              <w:autoSpaceDN w:val="0"/>
              <w:adjustRightInd w:val="0"/>
              <w:jc w:val="center"/>
              <w:rPr>
                <w:b/>
                <w:bCs/>
                <w:sz w:val="20"/>
                <w:szCs w:val="20"/>
              </w:rPr>
            </w:pPr>
            <w:r w:rsidRPr="00A34F10">
              <w:rPr>
                <w:color w:val="000000"/>
                <w:sz w:val="20"/>
                <w:szCs w:val="20"/>
              </w:rPr>
              <w:t>0.54</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F72C835" w14:textId="2EE93AE8"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5DDF4693" w14:textId="0C52617E"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9A34AE5"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687D16B2" w14:textId="77777777" w:rsidR="00E6440F" w:rsidRPr="00A34F10" w:rsidRDefault="00E6440F" w:rsidP="00E6440F">
            <w:pPr>
              <w:suppressAutoHyphens/>
              <w:autoSpaceDE w:val="0"/>
              <w:autoSpaceDN w:val="0"/>
              <w:adjustRightInd w:val="0"/>
              <w:jc w:val="center"/>
              <w:rPr>
                <w:bCs/>
                <w:sz w:val="20"/>
                <w:szCs w:val="20"/>
              </w:rPr>
            </w:pPr>
            <w:r w:rsidRPr="00A34F10">
              <w:rPr>
                <w:sz w:val="20"/>
                <w:szCs w:val="20"/>
              </w:rPr>
              <w:t>--</w:t>
            </w:r>
          </w:p>
        </w:tc>
      </w:tr>
      <w:tr w:rsidR="00E6440F" w:rsidRPr="00A34F10" w14:paraId="64514A57"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25160C0D"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D6/ditch</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59D926E9"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1.235</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7AB6B0D4"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4DAA9C57" w14:textId="77777777"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0.26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53FFA5" w14:textId="7268B799"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253CA207" w14:textId="645C05B6"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1431809" w14:textId="4365005B"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2220BA04" w14:textId="4279AF33"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0.69</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F7904F8" w14:textId="448596CB"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5C8CEC44" w14:textId="287B5BAF"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550CB1D"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278CEC48"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r>
      <w:tr w:rsidR="00E6440F" w:rsidRPr="00A34F10" w14:paraId="47933CBA"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1D9DD0B0"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D6/ditch</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4A5BA4B0"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1.237</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38C9C8FB"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3030253E" w14:textId="77777777" w:rsidR="00E6440F" w:rsidRPr="00A34F10" w:rsidRDefault="00E6440F" w:rsidP="00E6440F">
            <w:pPr>
              <w:suppressAutoHyphens/>
              <w:autoSpaceDE w:val="0"/>
              <w:autoSpaceDN w:val="0"/>
              <w:adjustRightInd w:val="0"/>
              <w:jc w:val="center"/>
              <w:rPr>
                <w:b/>
                <w:sz w:val="20"/>
                <w:szCs w:val="20"/>
                <w:highlight w:val="yellow"/>
              </w:rPr>
            </w:pPr>
            <w:r w:rsidRPr="00A34F10">
              <w:rPr>
                <w:color w:val="000000"/>
                <w:sz w:val="20"/>
                <w:szCs w:val="20"/>
              </w:rPr>
              <w:t>0.26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8137E0A" w14:textId="36585CF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4211901E" w14:textId="256CC021"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CBD2E47" w14:textId="14CB83A5"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6D2AB83" w14:textId="300FE47C"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0.69</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46778D6" w14:textId="53F6D2A5"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4B0A878C" w14:textId="5BA497FC"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6DFEE038"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65ECC6CB" w14:textId="77777777" w:rsidR="00E6440F" w:rsidRPr="00A34F10" w:rsidRDefault="00E6440F" w:rsidP="00E6440F">
            <w:pPr>
              <w:suppressAutoHyphens/>
              <w:autoSpaceDE w:val="0"/>
              <w:autoSpaceDN w:val="0"/>
              <w:adjustRightInd w:val="0"/>
              <w:jc w:val="center"/>
              <w:rPr>
                <w:b/>
                <w:bCs/>
                <w:sz w:val="20"/>
                <w:szCs w:val="20"/>
              </w:rPr>
            </w:pPr>
            <w:r w:rsidRPr="00A34F10">
              <w:rPr>
                <w:sz w:val="20"/>
                <w:szCs w:val="20"/>
              </w:rPr>
              <w:t>--</w:t>
            </w:r>
          </w:p>
        </w:tc>
      </w:tr>
      <w:tr w:rsidR="00E6440F" w:rsidRPr="00A34F10" w14:paraId="4692ED08"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768D8362"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R1/pond</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2DF6424F"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0.049</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5B5AA657"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3FAC490C" w14:textId="77777777"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0.01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673D6C0" w14:textId="76F28D3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4F7B2B59" w14:textId="24AEF18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2204E70" w14:textId="5E860996"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33AD4F1" w14:textId="0C429A26"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0.03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E278BC" w14:textId="3EFBE92B"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4307F2B3" w14:textId="43A2CEC0"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2F68C01"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6765C712"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r>
      <w:tr w:rsidR="00E6440F" w:rsidRPr="00A34F10" w14:paraId="22D4D5F2"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0D9C308A"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R1/stream</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3BFECF70"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0.861</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3968C318"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03114D88" w14:textId="77777777"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0.18</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EA5ACDB" w14:textId="521FBCD6"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49D81DC4" w14:textId="0D0D9F51"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EB642F1" w14:textId="572AA59E"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02FACD5D" w14:textId="202A3815"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0.48</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A496579" w14:textId="612CFFAB"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6AA51524" w14:textId="0371A81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A28F44C"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7030FFDE"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r>
      <w:tr w:rsidR="00E6440F" w:rsidRPr="00A34F10" w14:paraId="248A38C9"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5A2066C6"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R2/stream</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2813AD2C"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1.155</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15E73266"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61853C7C" w14:textId="77777777"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0.24</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BC7BDA4" w14:textId="269C396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4F6E3B2F" w14:textId="7F75F869"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33C8810" w14:textId="1A208E58"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52E1679E" w14:textId="444CD963"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0.64</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6AD3E5" w14:textId="1659364A"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2C5107AB" w14:textId="3CDFCA90"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3B9FFAD8"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03671481"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r>
      <w:tr w:rsidR="00E6440F" w:rsidRPr="00A34F10" w14:paraId="2D2170EB" w14:textId="77777777" w:rsidTr="00E6440F">
        <w:trPr>
          <w:trHeight w:val="266"/>
        </w:trPr>
        <w:tc>
          <w:tcPr>
            <w:tcW w:w="349" w:type="pct"/>
            <w:tcBorders>
              <w:top w:val="single" w:sz="4" w:space="0" w:color="auto"/>
              <w:left w:val="single" w:sz="4" w:space="0" w:color="auto"/>
              <w:bottom w:val="single" w:sz="4" w:space="0" w:color="auto"/>
              <w:right w:val="single" w:sz="4" w:space="0" w:color="auto"/>
            </w:tcBorders>
            <w:shd w:val="clear" w:color="auto" w:fill="auto"/>
          </w:tcPr>
          <w:p w14:paraId="65B13908" w14:textId="77777777" w:rsidR="00E6440F" w:rsidRPr="00A34F10" w:rsidRDefault="00E6440F" w:rsidP="00E6440F">
            <w:pPr>
              <w:suppressAutoHyphens/>
              <w:autoSpaceDE w:val="0"/>
              <w:autoSpaceDN w:val="0"/>
              <w:adjustRightInd w:val="0"/>
              <w:rPr>
                <w:sz w:val="20"/>
                <w:szCs w:val="20"/>
              </w:rPr>
            </w:pPr>
            <w:r w:rsidRPr="00A34F10">
              <w:rPr>
                <w:color w:val="000000"/>
                <w:sz w:val="20"/>
                <w:szCs w:val="20"/>
              </w:rPr>
              <w:t>R3/stream</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tcPr>
          <w:p w14:paraId="5AE5C2B8" w14:textId="77777777" w:rsidR="00E6440F" w:rsidRPr="00A34F10" w:rsidRDefault="00E6440F" w:rsidP="00E6440F">
            <w:pPr>
              <w:suppressAutoHyphens/>
              <w:autoSpaceDE w:val="0"/>
              <w:autoSpaceDN w:val="0"/>
              <w:adjustRightInd w:val="0"/>
              <w:jc w:val="center"/>
              <w:rPr>
                <w:sz w:val="20"/>
                <w:szCs w:val="20"/>
              </w:rPr>
            </w:pPr>
            <w:r w:rsidRPr="00A34F10">
              <w:rPr>
                <w:color w:val="000000"/>
                <w:sz w:val="20"/>
                <w:szCs w:val="20"/>
              </w:rPr>
              <w:t>1.215</w:t>
            </w:r>
          </w:p>
        </w:tc>
        <w:tc>
          <w:tcPr>
            <w:tcW w:w="399" w:type="pct"/>
            <w:tcBorders>
              <w:top w:val="single" w:sz="6" w:space="0" w:color="auto"/>
              <w:left w:val="single" w:sz="4" w:space="0" w:color="auto"/>
              <w:bottom w:val="single" w:sz="6" w:space="0" w:color="auto"/>
              <w:right w:val="single" w:sz="6" w:space="0" w:color="auto"/>
            </w:tcBorders>
            <w:shd w:val="clear" w:color="auto" w:fill="auto"/>
            <w:vAlign w:val="center"/>
          </w:tcPr>
          <w:p w14:paraId="3B6BEC61"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36580F6B" w14:textId="77777777"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0.25</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A6FFB72" w14:textId="52521DB2"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6B544EF7" w14:textId="5904DBC5"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0E65D88" w14:textId="6E0187AE" w:rsidR="00E6440F" w:rsidRPr="00A34F10" w:rsidRDefault="00E6440F" w:rsidP="00E6440F">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C66446E" w14:textId="62819963" w:rsidR="00E6440F" w:rsidRPr="00A34F10" w:rsidRDefault="00E6440F" w:rsidP="00E6440F">
            <w:pPr>
              <w:suppressAutoHyphens/>
              <w:autoSpaceDE w:val="0"/>
              <w:autoSpaceDN w:val="0"/>
              <w:adjustRightInd w:val="0"/>
              <w:jc w:val="center"/>
              <w:rPr>
                <w:b/>
                <w:sz w:val="20"/>
                <w:szCs w:val="20"/>
              </w:rPr>
            </w:pPr>
            <w:r w:rsidRPr="00A34F10">
              <w:rPr>
                <w:color w:val="000000"/>
                <w:sz w:val="20"/>
                <w:szCs w:val="20"/>
              </w:rPr>
              <w:t>0.68</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D11FFFC" w14:textId="77846F53"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1A5BFC9D" w14:textId="03EE6E81"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5F6E5E8"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c>
          <w:tcPr>
            <w:tcW w:w="440" w:type="pct"/>
            <w:tcBorders>
              <w:top w:val="single" w:sz="6" w:space="0" w:color="auto"/>
              <w:left w:val="single" w:sz="6" w:space="0" w:color="auto"/>
              <w:bottom w:val="single" w:sz="6" w:space="0" w:color="auto"/>
              <w:right w:val="single" w:sz="6" w:space="0" w:color="auto"/>
            </w:tcBorders>
            <w:shd w:val="clear" w:color="auto" w:fill="auto"/>
            <w:vAlign w:val="center"/>
          </w:tcPr>
          <w:p w14:paraId="7BDECB12" w14:textId="77777777" w:rsidR="00E6440F" w:rsidRPr="00A34F10" w:rsidRDefault="00E6440F" w:rsidP="00E6440F">
            <w:pPr>
              <w:suppressAutoHyphens/>
              <w:autoSpaceDE w:val="0"/>
              <w:autoSpaceDN w:val="0"/>
              <w:adjustRightInd w:val="0"/>
              <w:jc w:val="center"/>
              <w:rPr>
                <w:sz w:val="20"/>
                <w:szCs w:val="20"/>
              </w:rPr>
            </w:pPr>
            <w:r w:rsidRPr="00A34F10">
              <w:rPr>
                <w:sz w:val="20"/>
                <w:szCs w:val="20"/>
              </w:rPr>
              <w:t>--</w:t>
            </w:r>
          </w:p>
        </w:tc>
      </w:tr>
    </w:tbl>
    <w:p w14:paraId="76F5B91D"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t xml:space="preserve">AF: Assessment factor; PEC: Predicted environmental concentration; RAC: Regulatory acceptable concentration; PEC/RAC ratios above the relevant trigger of 1 are shown in </w:t>
      </w:r>
      <w:r w:rsidRPr="00A34F10">
        <w:rPr>
          <w:b/>
          <w:sz w:val="18"/>
          <w:szCs w:val="18"/>
        </w:rPr>
        <w:t>bold</w:t>
      </w:r>
      <w:r w:rsidRPr="00A34F10">
        <w:rPr>
          <w:sz w:val="18"/>
          <w:szCs w:val="18"/>
        </w:rPr>
        <w:t>.</w:t>
      </w:r>
    </w:p>
    <w:p w14:paraId="4BCB9441" w14:textId="77777777" w:rsidR="00DC5685" w:rsidRPr="00A34F10" w:rsidRDefault="00DC5685" w:rsidP="00DC5685">
      <w:pPr>
        <w:widowControl w:val="0"/>
        <w:suppressAutoHyphens/>
        <w:ind w:left="284" w:hanging="284"/>
        <w:jc w:val="both"/>
        <w:rPr>
          <w:sz w:val="18"/>
          <w:szCs w:val="18"/>
        </w:rPr>
      </w:pPr>
      <w:r w:rsidRPr="00A34F10">
        <w:rPr>
          <w:sz w:val="18"/>
          <w:szCs w:val="18"/>
        </w:rPr>
        <w:t>*</w:t>
      </w:r>
      <w:r w:rsidRPr="00A34F10">
        <w:rPr>
          <w:sz w:val="18"/>
          <w:szCs w:val="18"/>
        </w:rPr>
        <w:tab/>
        <w:t>Study was conducted with the solo-formulation BAS 650 00 F; endpoint is given as mean measured concentration of the active substance.</w:t>
      </w:r>
    </w:p>
    <w:p w14:paraId="5C03723B" w14:textId="77777777" w:rsidR="00DC5685" w:rsidRPr="00A34F10" w:rsidRDefault="00DC5685" w:rsidP="00DC5685">
      <w:pPr>
        <w:widowControl w:val="0"/>
        <w:tabs>
          <w:tab w:val="left" w:pos="284"/>
        </w:tabs>
        <w:suppressAutoHyphens/>
        <w:ind w:left="284" w:hanging="284"/>
        <w:jc w:val="both"/>
        <w:rPr>
          <w:sz w:val="18"/>
        </w:rPr>
      </w:pPr>
      <w:r w:rsidRPr="00A34F10">
        <w:rPr>
          <w:sz w:val="18"/>
          <w:vertAlign w:val="superscript"/>
        </w:rPr>
        <w:t>1)</w:t>
      </w:r>
      <w:r w:rsidRPr="00A34F10">
        <w:rPr>
          <w:sz w:val="18"/>
        </w:rPr>
        <w:tab/>
        <w:t>Worst-case</w:t>
      </w:r>
      <w:r w:rsidRPr="00A34F10">
        <w:rPr>
          <w:bCs/>
          <w:sz w:val="18"/>
        </w:rPr>
        <w:t xml:space="preserve"> PEC value resulting from calculations for single or multiple application.</w:t>
      </w:r>
    </w:p>
    <w:bookmarkEnd w:id="508"/>
    <w:p w14:paraId="0B421B80" w14:textId="77777777" w:rsidR="00DC5685" w:rsidRPr="00A34F10" w:rsidRDefault="00DC5685" w:rsidP="00DC5685">
      <w:pPr>
        <w:widowControl w:val="0"/>
        <w:suppressAutoHyphens/>
        <w:jc w:val="both"/>
        <w:rPr>
          <w:highlight w:val="yellow"/>
        </w:rPr>
      </w:pPr>
    </w:p>
    <w:p w14:paraId="0225BDB8" w14:textId="77777777" w:rsidR="00DC5685" w:rsidRPr="00A34F10" w:rsidRDefault="00DC5685" w:rsidP="00DC5685">
      <w:pPr>
        <w:widowControl w:val="0"/>
        <w:suppressAutoHyphens/>
        <w:jc w:val="both"/>
      </w:pPr>
    </w:p>
    <w:p w14:paraId="7CEBE281" w14:textId="77777777" w:rsidR="00DC5685" w:rsidRPr="00A34F10" w:rsidRDefault="00DC5685" w:rsidP="00DC5685">
      <w:pPr>
        <w:widowControl w:val="0"/>
        <w:jc w:val="both"/>
        <w:rPr>
          <w:lang w:val="en-GB"/>
        </w:rPr>
        <w:sectPr w:rsidR="00DC5685" w:rsidRPr="00A34F10" w:rsidSect="00876422">
          <w:headerReference w:type="default" r:id="rId47"/>
          <w:footerReference w:type="even" r:id="rId48"/>
          <w:footerReference w:type="default" r:id="rId49"/>
          <w:footerReference w:type="first" r:id="rId50"/>
          <w:pgSz w:w="16840" w:h="16702" w:orient="landscape" w:code="9"/>
          <w:pgMar w:top="1418" w:right="1418" w:bottom="1418" w:left="1418" w:header="709" w:footer="709" w:gutter="0"/>
          <w:cols w:space="720"/>
        </w:sectPr>
      </w:pPr>
    </w:p>
    <w:p w14:paraId="19E859F5" w14:textId="35C0328A" w:rsidR="00DC5685" w:rsidRPr="00A34F10" w:rsidRDefault="00DC5685" w:rsidP="00370EAA">
      <w:pPr>
        <w:widowControl w:val="0"/>
        <w:suppressAutoHyphens/>
        <w:spacing w:before="200" w:after="120"/>
        <w:ind w:left="1985" w:hanging="1985"/>
        <w:jc w:val="both"/>
      </w:pPr>
      <w:bookmarkStart w:id="512" w:name="_Hlk133193663"/>
      <w:r w:rsidRPr="00A34F10">
        <w:rPr>
          <w:b/>
        </w:rPr>
        <w:lastRenderedPageBreak/>
        <w:t xml:space="preserve">Table </w:t>
      </w:r>
      <w:r w:rsidR="00370EAA" w:rsidRPr="00A34F10">
        <w:rPr>
          <w:b/>
        </w:rPr>
        <w:fldChar w:fldCharType="begin"/>
      </w:r>
      <w:r w:rsidR="00370EAA" w:rsidRPr="00A34F10">
        <w:rPr>
          <w:b/>
        </w:rPr>
        <w:instrText xml:space="preserve"> STYLEREF 2 \s </w:instrText>
      </w:r>
      <w:r w:rsidR="00370EAA" w:rsidRPr="00A34F10">
        <w:rPr>
          <w:b/>
        </w:rPr>
        <w:fldChar w:fldCharType="separate"/>
      </w:r>
      <w:r w:rsidR="006F0F3B">
        <w:rPr>
          <w:b/>
          <w:noProof/>
        </w:rPr>
        <w:t>9.5</w:t>
      </w:r>
      <w:r w:rsidR="00370EAA" w:rsidRPr="00A34F10">
        <w:rPr>
          <w:b/>
        </w:rPr>
        <w:fldChar w:fldCharType="end"/>
      </w:r>
      <w:r w:rsidR="00370EAA" w:rsidRPr="00A34F10">
        <w:rPr>
          <w:b/>
        </w:rPr>
        <w:noBreakHyphen/>
      </w:r>
      <w:r w:rsidR="00E23E00" w:rsidRPr="00A34F10">
        <w:rPr>
          <w:b/>
        </w:rPr>
        <w:t>6</w:t>
      </w:r>
      <w:r w:rsidRPr="00A34F10">
        <w:rPr>
          <w:b/>
        </w:rPr>
        <w:t>:</w:t>
      </w:r>
      <w:r w:rsidRPr="00A34F10">
        <w:rPr>
          <w:b/>
        </w:rPr>
        <w:tab/>
        <w:t>Aquatic organisms: acceptability of risk (PEC/RAC &lt; 1) for Ametoctradin for each organism group based on FOCUS Steps 1, 2 and 3 calculations for the use of BAS 743 03 F in tomatoes and aubergine (2 × 2.0 L/ha)</w:t>
      </w:r>
    </w:p>
    <w:tbl>
      <w:tblPr>
        <w:tblW w:w="5000" w:type="pct"/>
        <w:tblCellMar>
          <w:left w:w="70" w:type="dxa"/>
          <w:right w:w="70" w:type="dxa"/>
        </w:tblCellMar>
        <w:tblLook w:val="0000" w:firstRow="0" w:lastRow="0" w:firstColumn="0" w:lastColumn="0" w:noHBand="0" w:noVBand="0"/>
      </w:tblPr>
      <w:tblGrid>
        <w:gridCol w:w="969"/>
        <w:gridCol w:w="1021"/>
        <w:gridCol w:w="1113"/>
        <w:gridCol w:w="1116"/>
        <w:gridCol w:w="1220"/>
        <w:gridCol w:w="1220"/>
        <w:gridCol w:w="1116"/>
        <w:gridCol w:w="1116"/>
        <w:gridCol w:w="1527"/>
        <w:gridCol w:w="1527"/>
        <w:gridCol w:w="806"/>
        <w:gridCol w:w="1237"/>
      </w:tblGrid>
      <w:tr w:rsidR="00C10979" w:rsidRPr="00A34F10" w14:paraId="33328AD9" w14:textId="77777777" w:rsidTr="00C10979">
        <w:trPr>
          <w:trHeight w:val="494"/>
        </w:trPr>
        <w:tc>
          <w:tcPr>
            <w:tcW w:w="711"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CFDDD5" w14:textId="77777777" w:rsidR="00C10979" w:rsidRPr="00A34F10" w:rsidRDefault="00C10979" w:rsidP="00DC5685">
            <w:pPr>
              <w:suppressAutoHyphens/>
              <w:autoSpaceDE w:val="0"/>
              <w:autoSpaceDN w:val="0"/>
              <w:adjustRightInd w:val="0"/>
              <w:rPr>
                <w:b/>
                <w:bCs/>
                <w:sz w:val="20"/>
                <w:szCs w:val="20"/>
              </w:rPr>
            </w:pPr>
            <w:r w:rsidRPr="00A34F10">
              <w:rPr>
                <w:b/>
                <w:bCs/>
                <w:sz w:val="20"/>
                <w:szCs w:val="20"/>
              </w:rPr>
              <w:t>Group</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1E7DDD59" w14:textId="77777777" w:rsidR="00C10979" w:rsidRPr="00A34F10" w:rsidRDefault="00C10979" w:rsidP="00DC5685">
            <w:pPr>
              <w:suppressAutoHyphens/>
              <w:autoSpaceDE w:val="0"/>
              <w:autoSpaceDN w:val="0"/>
              <w:adjustRightInd w:val="0"/>
              <w:jc w:val="center"/>
              <w:rPr>
                <w:b/>
                <w:bCs/>
                <w:sz w:val="20"/>
                <w:szCs w:val="20"/>
              </w:rPr>
            </w:pPr>
            <w:r w:rsidRPr="00A34F10">
              <w:rPr>
                <w:b/>
                <w:bCs/>
                <w:sz w:val="20"/>
                <w:szCs w:val="20"/>
              </w:rPr>
              <w:t>Fish acute</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5DA1685F" w14:textId="77777777" w:rsidR="00C10979" w:rsidRPr="00A34F10" w:rsidRDefault="00C10979" w:rsidP="00DC5685">
            <w:pPr>
              <w:suppressAutoHyphens/>
              <w:autoSpaceDE w:val="0"/>
              <w:autoSpaceDN w:val="0"/>
              <w:adjustRightInd w:val="0"/>
              <w:jc w:val="center"/>
              <w:rPr>
                <w:b/>
                <w:bCs/>
                <w:sz w:val="20"/>
                <w:szCs w:val="20"/>
              </w:rPr>
            </w:pPr>
            <w:r w:rsidRPr="00A34F10">
              <w:rPr>
                <w:b/>
                <w:bCs/>
                <w:sz w:val="20"/>
                <w:szCs w:val="20"/>
              </w:rPr>
              <w:t>Fish chronic</w:t>
            </w:r>
          </w:p>
        </w:tc>
        <w:tc>
          <w:tcPr>
            <w:tcW w:w="872" w:type="pct"/>
            <w:gridSpan w:val="2"/>
            <w:tcBorders>
              <w:top w:val="single" w:sz="6" w:space="0" w:color="auto"/>
              <w:left w:val="single" w:sz="6" w:space="0" w:color="auto"/>
              <w:bottom w:val="single" w:sz="6" w:space="0" w:color="auto"/>
              <w:right w:val="single" w:sz="6" w:space="0" w:color="auto"/>
            </w:tcBorders>
          </w:tcPr>
          <w:p w14:paraId="142DDAA5" w14:textId="6DEA7F22" w:rsidR="00C10979" w:rsidRPr="00A34F10" w:rsidRDefault="00C10979" w:rsidP="00DC5685">
            <w:pPr>
              <w:suppressAutoHyphens/>
              <w:autoSpaceDE w:val="0"/>
              <w:autoSpaceDN w:val="0"/>
              <w:adjustRightInd w:val="0"/>
              <w:jc w:val="center"/>
              <w:rPr>
                <w:b/>
                <w:bCs/>
                <w:sz w:val="20"/>
                <w:szCs w:val="20"/>
              </w:rPr>
            </w:pPr>
            <w:r w:rsidRPr="00A34F10">
              <w:rPr>
                <w:b/>
                <w:bCs/>
                <w:sz w:val="20"/>
                <w:szCs w:val="20"/>
              </w:rPr>
              <w:t>Inverteb. acute</w:t>
            </w:r>
          </w:p>
        </w:tc>
        <w:tc>
          <w:tcPr>
            <w:tcW w:w="798" w:type="pct"/>
            <w:gridSpan w:val="2"/>
            <w:tcBorders>
              <w:top w:val="single" w:sz="6" w:space="0" w:color="auto"/>
              <w:left w:val="single" w:sz="6" w:space="0" w:color="auto"/>
              <w:bottom w:val="single" w:sz="6" w:space="0" w:color="auto"/>
              <w:right w:val="single" w:sz="6" w:space="0" w:color="auto"/>
            </w:tcBorders>
          </w:tcPr>
          <w:p w14:paraId="3E29AABB" w14:textId="72788F71" w:rsidR="00C10979" w:rsidRPr="00A34F10" w:rsidRDefault="00C10979" w:rsidP="00DC5685">
            <w:pPr>
              <w:suppressAutoHyphens/>
              <w:autoSpaceDE w:val="0"/>
              <w:autoSpaceDN w:val="0"/>
              <w:adjustRightInd w:val="0"/>
              <w:jc w:val="center"/>
              <w:rPr>
                <w:b/>
                <w:bCs/>
                <w:sz w:val="20"/>
                <w:szCs w:val="20"/>
              </w:rPr>
            </w:pPr>
            <w:r w:rsidRPr="00A34F10">
              <w:rPr>
                <w:b/>
                <w:bCs/>
                <w:sz w:val="20"/>
                <w:szCs w:val="20"/>
              </w:rPr>
              <w:t>Inverteb. chronic</w:t>
            </w:r>
          </w:p>
        </w:tc>
        <w:tc>
          <w:tcPr>
            <w:tcW w:w="1092" w:type="pct"/>
            <w:gridSpan w:val="2"/>
            <w:tcBorders>
              <w:top w:val="single" w:sz="6" w:space="0" w:color="auto"/>
              <w:left w:val="single" w:sz="6" w:space="0" w:color="auto"/>
              <w:bottom w:val="single" w:sz="6" w:space="0" w:color="auto"/>
              <w:right w:val="single" w:sz="6" w:space="0" w:color="auto"/>
            </w:tcBorders>
          </w:tcPr>
          <w:p w14:paraId="5F87AA03" w14:textId="61FB12A5" w:rsidR="00C10979" w:rsidRPr="00A34F10" w:rsidRDefault="00C10979" w:rsidP="00DC5685">
            <w:pPr>
              <w:suppressAutoHyphens/>
              <w:autoSpaceDE w:val="0"/>
              <w:autoSpaceDN w:val="0"/>
              <w:adjustRightInd w:val="0"/>
              <w:jc w:val="center"/>
              <w:rPr>
                <w:sz w:val="20"/>
                <w:szCs w:val="20"/>
              </w:rPr>
            </w:pPr>
            <w:r w:rsidRPr="00A34F10">
              <w:rPr>
                <w:b/>
                <w:bCs/>
                <w:sz w:val="20"/>
                <w:szCs w:val="20"/>
              </w:rPr>
              <w:t>Algae</w:t>
            </w:r>
          </w:p>
        </w:tc>
        <w:tc>
          <w:tcPr>
            <w:tcW w:w="288" w:type="pct"/>
            <w:vMerge w:val="restart"/>
            <w:tcBorders>
              <w:top w:val="single" w:sz="6" w:space="0" w:color="auto"/>
              <w:left w:val="single" w:sz="6" w:space="0" w:color="auto"/>
              <w:right w:val="single" w:sz="6" w:space="0" w:color="auto"/>
            </w:tcBorders>
            <w:shd w:val="clear" w:color="auto" w:fill="auto"/>
            <w:vAlign w:val="center"/>
          </w:tcPr>
          <w:p w14:paraId="72922C5F" w14:textId="77777777" w:rsidR="00C10979" w:rsidRPr="00A34F10" w:rsidRDefault="00C10979" w:rsidP="00DC5685">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6CBD3F4E" w14:textId="77777777" w:rsidR="00C10979" w:rsidRPr="00A34F10" w:rsidRDefault="00C10979" w:rsidP="00DC5685">
            <w:pPr>
              <w:suppressAutoHyphens/>
              <w:autoSpaceDE w:val="0"/>
              <w:autoSpaceDN w:val="0"/>
              <w:adjustRightInd w:val="0"/>
              <w:jc w:val="center"/>
              <w:rPr>
                <w:b/>
                <w:bCs/>
                <w:sz w:val="20"/>
                <w:szCs w:val="20"/>
              </w:rPr>
            </w:pPr>
            <w:r w:rsidRPr="00A34F10">
              <w:rPr>
                <w:b/>
                <w:bCs/>
                <w:sz w:val="20"/>
                <w:szCs w:val="20"/>
              </w:rPr>
              <w:t>Sed. dwell. chronic</w:t>
            </w:r>
          </w:p>
        </w:tc>
      </w:tr>
      <w:tr w:rsidR="00C10979" w:rsidRPr="00A34F10" w14:paraId="382F47F4" w14:textId="77777777" w:rsidTr="00C10979">
        <w:trPr>
          <w:trHeight w:val="262"/>
        </w:trPr>
        <w:tc>
          <w:tcPr>
            <w:tcW w:w="711"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0575E2"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Test species</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2D882AC8" w14:textId="77777777" w:rsidR="00C10979" w:rsidRPr="00A34F10" w:rsidRDefault="00C10979" w:rsidP="00C10979">
            <w:pPr>
              <w:suppressAutoHyphens/>
              <w:autoSpaceDE w:val="0"/>
              <w:autoSpaceDN w:val="0"/>
              <w:adjustRightInd w:val="0"/>
              <w:jc w:val="center"/>
              <w:rPr>
                <w:b/>
                <w:bCs/>
                <w:i/>
                <w:iCs/>
                <w:sz w:val="20"/>
                <w:szCs w:val="20"/>
              </w:rPr>
            </w:pPr>
            <w:r w:rsidRPr="00A34F10">
              <w:rPr>
                <w:b/>
                <w:bCs/>
                <w:i/>
                <w:iCs/>
                <w:sz w:val="20"/>
                <w:szCs w:val="20"/>
              </w:rPr>
              <w:t>O. mykiss *</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5BDDFFAA" w14:textId="77777777" w:rsidR="00C10979" w:rsidRPr="00A34F10" w:rsidRDefault="00C10979" w:rsidP="00C10979">
            <w:pPr>
              <w:suppressAutoHyphens/>
              <w:autoSpaceDE w:val="0"/>
              <w:autoSpaceDN w:val="0"/>
              <w:adjustRightInd w:val="0"/>
              <w:jc w:val="center"/>
              <w:rPr>
                <w:b/>
                <w:bCs/>
                <w:i/>
                <w:iCs/>
                <w:sz w:val="20"/>
                <w:szCs w:val="20"/>
              </w:rPr>
            </w:pPr>
            <w:r w:rsidRPr="00A34F10">
              <w:rPr>
                <w:b/>
                <w:bCs/>
                <w:i/>
                <w:iCs/>
                <w:sz w:val="20"/>
                <w:szCs w:val="20"/>
              </w:rPr>
              <w:t>P. promelas</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DCC4CA" w14:textId="1471F447" w:rsidR="00C10979" w:rsidRPr="00A34F10" w:rsidRDefault="00C10979" w:rsidP="00C10979">
            <w:pPr>
              <w:suppressAutoHyphens/>
              <w:autoSpaceDE w:val="0"/>
              <w:autoSpaceDN w:val="0"/>
              <w:adjustRightInd w:val="0"/>
              <w:jc w:val="center"/>
              <w:rPr>
                <w:b/>
                <w:bCs/>
                <w:i/>
                <w:iCs/>
                <w:sz w:val="20"/>
                <w:szCs w:val="20"/>
              </w:rPr>
            </w:pPr>
            <w:r w:rsidRPr="00C212C1">
              <w:rPr>
                <w:b/>
                <w:bCs/>
                <w:i/>
                <w:iCs/>
                <w:sz w:val="20"/>
                <w:szCs w:val="20"/>
              </w:rPr>
              <w:t>D. magna</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6EA601C2" w14:textId="39DF9ED3" w:rsidR="00C10979" w:rsidRPr="00A34F10" w:rsidRDefault="00C10979" w:rsidP="00C10979">
            <w:pPr>
              <w:suppressAutoHyphens/>
              <w:autoSpaceDE w:val="0"/>
              <w:autoSpaceDN w:val="0"/>
              <w:adjustRightInd w:val="0"/>
              <w:jc w:val="center"/>
              <w:rPr>
                <w:b/>
                <w:bCs/>
                <w:i/>
                <w:iCs/>
                <w:sz w:val="20"/>
                <w:szCs w:val="20"/>
              </w:rPr>
            </w:pPr>
            <w:r w:rsidRPr="00A34F10">
              <w:rPr>
                <w:b/>
                <w:bCs/>
                <w:i/>
                <w:iCs/>
                <w:sz w:val="20"/>
                <w:szCs w:val="20"/>
              </w:rPr>
              <w:t>D. magna *</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69D73BD" w14:textId="3934FDA9" w:rsidR="00C10979" w:rsidRPr="00A34F10" w:rsidRDefault="00C10979" w:rsidP="00C10979">
            <w:pPr>
              <w:suppressAutoHyphens/>
              <w:autoSpaceDE w:val="0"/>
              <w:autoSpaceDN w:val="0"/>
              <w:adjustRightInd w:val="0"/>
              <w:jc w:val="center"/>
              <w:rPr>
                <w:b/>
                <w:bCs/>
                <w:i/>
                <w:iCs/>
                <w:sz w:val="20"/>
                <w:szCs w:val="20"/>
              </w:rPr>
            </w:pPr>
            <w:r w:rsidRPr="00C212C1">
              <w:rPr>
                <w:b/>
                <w:bCs/>
                <w:i/>
                <w:iCs/>
                <w:sz w:val="20"/>
                <w:szCs w:val="20"/>
              </w:rPr>
              <w:t>D. magna</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719E69FB" w14:textId="1AD84A0C" w:rsidR="00C10979" w:rsidRPr="00A34F10" w:rsidRDefault="00C10979" w:rsidP="00C10979">
            <w:pPr>
              <w:suppressAutoHyphens/>
              <w:autoSpaceDE w:val="0"/>
              <w:autoSpaceDN w:val="0"/>
              <w:adjustRightInd w:val="0"/>
              <w:jc w:val="center"/>
              <w:rPr>
                <w:b/>
                <w:bCs/>
                <w:i/>
                <w:iCs/>
                <w:sz w:val="20"/>
                <w:szCs w:val="20"/>
              </w:rPr>
            </w:pPr>
            <w:r w:rsidRPr="00A34F10">
              <w:rPr>
                <w:b/>
                <w:bCs/>
                <w:i/>
                <w:iCs/>
                <w:sz w:val="20"/>
                <w:szCs w:val="20"/>
              </w:rPr>
              <w:t xml:space="preserve">A. </w:t>
            </w:r>
            <w:r w:rsidRPr="00A34F10">
              <w:rPr>
                <w:b/>
                <w:i/>
                <w:sz w:val="20"/>
              </w:rPr>
              <w:t>bahia</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B9A692E" w14:textId="005C249E" w:rsidR="00C10979" w:rsidRPr="00A34F10" w:rsidRDefault="00C10979" w:rsidP="00C10979">
            <w:pPr>
              <w:suppressAutoHyphens/>
              <w:autoSpaceDE w:val="0"/>
              <w:autoSpaceDN w:val="0"/>
              <w:adjustRightInd w:val="0"/>
              <w:jc w:val="center"/>
              <w:rPr>
                <w:b/>
                <w:bCs/>
                <w:i/>
                <w:iCs/>
                <w:sz w:val="20"/>
                <w:szCs w:val="20"/>
              </w:rPr>
            </w:pPr>
            <w:r w:rsidRPr="00C212C1">
              <w:rPr>
                <w:b/>
                <w:bCs/>
                <w:i/>
                <w:iCs/>
                <w:sz w:val="20"/>
                <w:szCs w:val="20"/>
              </w:rPr>
              <w:t>P. subcapitata</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6554C1C9" w14:textId="71336444" w:rsidR="00C10979" w:rsidRPr="00A34F10" w:rsidRDefault="00C10979" w:rsidP="00C10979">
            <w:pPr>
              <w:suppressAutoHyphens/>
              <w:autoSpaceDE w:val="0"/>
              <w:autoSpaceDN w:val="0"/>
              <w:adjustRightInd w:val="0"/>
              <w:jc w:val="center"/>
              <w:rPr>
                <w:sz w:val="20"/>
                <w:szCs w:val="20"/>
                <w:vertAlign w:val="superscript"/>
              </w:rPr>
            </w:pPr>
            <w:r w:rsidRPr="00A34F10">
              <w:rPr>
                <w:b/>
                <w:bCs/>
                <w:i/>
                <w:iCs/>
                <w:sz w:val="20"/>
                <w:szCs w:val="20"/>
              </w:rPr>
              <w:t>P. subcapitata *</w:t>
            </w:r>
          </w:p>
        </w:tc>
        <w:tc>
          <w:tcPr>
            <w:tcW w:w="288" w:type="pct"/>
            <w:vMerge/>
            <w:tcBorders>
              <w:left w:val="single" w:sz="6" w:space="0" w:color="auto"/>
              <w:right w:val="single" w:sz="6" w:space="0" w:color="auto"/>
            </w:tcBorders>
            <w:shd w:val="clear" w:color="auto" w:fill="auto"/>
            <w:vAlign w:val="center"/>
          </w:tcPr>
          <w:p w14:paraId="7F9B22BE" w14:textId="77777777" w:rsidR="00C10979" w:rsidRPr="00A34F10" w:rsidRDefault="00C10979" w:rsidP="00C10979">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7D90D459" w14:textId="77777777" w:rsidR="00C10979" w:rsidRPr="00A34F10" w:rsidRDefault="00C10979" w:rsidP="00C10979">
            <w:pPr>
              <w:suppressAutoHyphens/>
              <w:autoSpaceDE w:val="0"/>
              <w:autoSpaceDN w:val="0"/>
              <w:adjustRightInd w:val="0"/>
              <w:jc w:val="center"/>
              <w:rPr>
                <w:b/>
                <w:bCs/>
                <w:i/>
                <w:iCs/>
                <w:sz w:val="20"/>
                <w:szCs w:val="20"/>
                <w:vertAlign w:val="superscript"/>
              </w:rPr>
            </w:pPr>
            <w:r w:rsidRPr="00A34F10">
              <w:rPr>
                <w:b/>
                <w:bCs/>
                <w:i/>
                <w:iCs/>
                <w:sz w:val="20"/>
                <w:szCs w:val="20"/>
              </w:rPr>
              <w:t>C. riparius *</w:t>
            </w:r>
          </w:p>
        </w:tc>
      </w:tr>
      <w:tr w:rsidR="00C10979" w:rsidRPr="00A34F10" w14:paraId="6210B177" w14:textId="77777777" w:rsidTr="00C10979">
        <w:trPr>
          <w:trHeight w:val="276"/>
        </w:trPr>
        <w:tc>
          <w:tcPr>
            <w:tcW w:w="711" w:type="pct"/>
            <w:gridSpan w:val="2"/>
            <w:vMerge w:val="restart"/>
            <w:tcBorders>
              <w:top w:val="single" w:sz="6" w:space="0" w:color="auto"/>
              <w:left w:val="single" w:sz="6" w:space="0" w:color="auto"/>
              <w:right w:val="single" w:sz="6" w:space="0" w:color="auto"/>
            </w:tcBorders>
            <w:shd w:val="clear" w:color="auto" w:fill="auto"/>
            <w:vAlign w:val="center"/>
          </w:tcPr>
          <w:p w14:paraId="08E82B98"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Endpoint [µg/L]</w:t>
            </w:r>
          </w:p>
        </w:tc>
        <w:tc>
          <w:tcPr>
            <w:tcW w:w="398" w:type="pct"/>
            <w:tcBorders>
              <w:top w:val="single" w:sz="6" w:space="0" w:color="auto"/>
              <w:left w:val="single" w:sz="6" w:space="0" w:color="auto"/>
              <w:bottom w:val="nil"/>
              <w:right w:val="single" w:sz="6" w:space="0" w:color="auto"/>
            </w:tcBorders>
            <w:shd w:val="clear" w:color="auto" w:fill="auto"/>
            <w:vAlign w:val="center"/>
          </w:tcPr>
          <w:p w14:paraId="4DDD126D" w14:textId="77777777" w:rsidR="00C10979" w:rsidRPr="00A34F10" w:rsidRDefault="00C10979" w:rsidP="00C10979">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399" w:type="pct"/>
            <w:tcBorders>
              <w:top w:val="single" w:sz="6" w:space="0" w:color="auto"/>
              <w:left w:val="single" w:sz="6" w:space="0" w:color="auto"/>
              <w:bottom w:val="nil"/>
              <w:right w:val="single" w:sz="6" w:space="0" w:color="auto"/>
            </w:tcBorders>
            <w:shd w:val="clear" w:color="auto" w:fill="auto"/>
            <w:vAlign w:val="center"/>
          </w:tcPr>
          <w:p w14:paraId="3518BFE2"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NOEC</w:t>
            </w:r>
          </w:p>
        </w:tc>
        <w:tc>
          <w:tcPr>
            <w:tcW w:w="43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216FD5BE" w14:textId="72B4F7BF" w:rsidR="00C10979" w:rsidRPr="00A34F10" w:rsidRDefault="00C10979" w:rsidP="00C10979">
            <w:pPr>
              <w:suppressAutoHyphens/>
              <w:autoSpaceDE w:val="0"/>
              <w:autoSpaceDN w:val="0"/>
              <w:adjustRightInd w:val="0"/>
              <w:jc w:val="center"/>
              <w:rPr>
                <w:sz w:val="20"/>
                <w:szCs w:val="20"/>
              </w:rPr>
            </w:pPr>
            <w:r w:rsidRPr="00C212C1">
              <w:rPr>
                <w:sz w:val="20"/>
                <w:szCs w:val="20"/>
              </w:rPr>
              <w:t>EC</w:t>
            </w:r>
            <w:r w:rsidRPr="00C212C1">
              <w:rPr>
                <w:sz w:val="20"/>
                <w:szCs w:val="20"/>
                <w:vertAlign w:val="subscript"/>
              </w:rPr>
              <w:t>50</w:t>
            </w:r>
          </w:p>
        </w:tc>
        <w:tc>
          <w:tcPr>
            <w:tcW w:w="436" w:type="pct"/>
            <w:tcBorders>
              <w:top w:val="single" w:sz="6" w:space="0" w:color="auto"/>
              <w:left w:val="single" w:sz="6" w:space="0" w:color="auto"/>
              <w:bottom w:val="nil"/>
              <w:right w:val="single" w:sz="6" w:space="0" w:color="auto"/>
            </w:tcBorders>
            <w:shd w:val="clear" w:color="auto" w:fill="auto"/>
            <w:vAlign w:val="center"/>
          </w:tcPr>
          <w:p w14:paraId="1186043E" w14:textId="60EA8EA9" w:rsidR="00C10979" w:rsidRPr="00A34F10" w:rsidRDefault="00C10979" w:rsidP="00C10979">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399"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1D5DC37E" w14:textId="40F40081" w:rsidR="00C10979" w:rsidRPr="00A34F10" w:rsidRDefault="00C10979" w:rsidP="00C10979">
            <w:pPr>
              <w:suppressAutoHyphens/>
              <w:autoSpaceDE w:val="0"/>
              <w:autoSpaceDN w:val="0"/>
              <w:adjustRightInd w:val="0"/>
              <w:jc w:val="center"/>
              <w:rPr>
                <w:sz w:val="20"/>
                <w:szCs w:val="20"/>
              </w:rPr>
            </w:pPr>
            <w:r w:rsidRPr="00C212C1">
              <w:rPr>
                <w:sz w:val="20"/>
                <w:szCs w:val="20"/>
              </w:rPr>
              <w:t>NOEC</w:t>
            </w:r>
          </w:p>
        </w:tc>
        <w:tc>
          <w:tcPr>
            <w:tcW w:w="399" w:type="pct"/>
            <w:tcBorders>
              <w:top w:val="single" w:sz="6" w:space="0" w:color="auto"/>
              <w:left w:val="single" w:sz="6" w:space="0" w:color="auto"/>
              <w:bottom w:val="nil"/>
              <w:right w:val="single" w:sz="6" w:space="0" w:color="auto"/>
            </w:tcBorders>
            <w:shd w:val="clear" w:color="auto" w:fill="auto"/>
            <w:vAlign w:val="center"/>
          </w:tcPr>
          <w:p w14:paraId="5D5D6868" w14:textId="5B53151C" w:rsidR="00C10979" w:rsidRPr="00A34F10" w:rsidRDefault="00C10979" w:rsidP="00C10979">
            <w:pPr>
              <w:suppressAutoHyphens/>
              <w:autoSpaceDE w:val="0"/>
              <w:autoSpaceDN w:val="0"/>
              <w:adjustRightInd w:val="0"/>
              <w:jc w:val="center"/>
              <w:rPr>
                <w:sz w:val="20"/>
                <w:szCs w:val="20"/>
              </w:rPr>
            </w:pPr>
            <w:r w:rsidRPr="00A34F10">
              <w:rPr>
                <w:sz w:val="20"/>
                <w:szCs w:val="20"/>
              </w:rPr>
              <w:t>NOEC</w:t>
            </w:r>
          </w:p>
        </w:tc>
        <w:tc>
          <w:tcPr>
            <w:tcW w:w="54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54C931C7" w14:textId="69F573AC" w:rsidR="00C10979" w:rsidRPr="00A34F10" w:rsidRDefault="00C10979" w:rsidP="00C10979">
            <w:pPr>
              <w:suppressAutoHyphens/>
              <w:autoSpaceDE w:val="0"/>
              <w:autoSpaceDN w:val="0"/>
              <w:adjustRightInd w:val="0"/>
              <w:jc w:val="center"/>
              <w:rPr>
                <w:sz w:val="20"/>
                <w:szCs w:val="20"/>
              </w:rPr>
            </w:pPr>
            <w:r w:rsidRPr="00C212C1">
              <w:rPr>
                <w:sz w:val="20"/>
                <w:szCs w:val="20"/>
              </w:rPr>
              <w:t>E</w:t>
            </w:r>
            <w:r w:rsidRPr="00C212C1">
              <w:rPr>
                <w:sz w:val="20"/>
                <w:szCs w:val="20"/>
                <w:vertAlign w:val="subscript"/>
              </w:rPr>
              <w:t>r</w:t>
            </w:r>
            <w:r w:rsidRPr="00C212C1">
              <w:rPr>
                <w:sz w:val="20"/>
                <w:szCs w:val="20"/>
              </w:rPr>
              <w:t>C</w:t>
            </w:r>
            <w:r w:rsidRPr="00C212C1">
              <w:rPr>
                <w:sz w:val="20"/>
                <w:szCs w:val="20"/>
                <w:vertAlign w:val="subscript"/>
              </w:rPr>
              <w:t>50</w:t>
            </w:r>
          </w:p>
        </w:tc>
        <w:tc>
          <w:tcPr>
            <w:tcW w:w="546" w:type="pct"/>
            <w:tcBorders>
              <w:top w:val="single" w:sz="6" w:space="0" w:color="auto"/>
              <w:left w:val="single" w:sz="6" w:space="0" w:color="auto"/>
              <w:bottom w:val="nil"/>
              <w:right w:val="single" w:sz="6" w:space="0" w:color="auto"/>
            </w:tcBorders>
            <w:shd w:val="clear" w:color="auto" w:fill="auto"/>
            <w:vAlign w:val="center"/>
          </w:tcPr>
          <w:p w14:paraId="637B4C39" w14:textId="6D3992FF" w:rsidR="00C10979" w:rsidRPr="00A34F10" w:rsidRDefault="00C10979" w:rsidP="00C10979">
            <w:pPr>
              <w:suppressAutoHyphens/>
              <w:autoSpaceDE w:val="0"/>
              <w:autoSpaceDN w:val="0"/>
              <w:adjustRightInd w:val="0"/>
              <w:jc w:val="center"/>
              <w:rPr>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c>
          <w:tcPr>
            <w:tcW w:w="288" w:type="pct"/>
            <w:vMerge/>
            <w:tcBorders>
              <w:left w:val="single" w:sz="6" w:space="0" w:color="auto"/>
              <w:right w:val="single" w:sz="6" w:space="0" w:color="auto"/>
            </w:tcBorders>
            <w:shd w:val="clear" w:color="auto" w:fill="auto"/>
            <w:vAlign w:val="center"/>
          </w:tcPr>
          <w:p w14:paraId="0C281CDF" w14:textId="77777777" w:rsidR="00C10979" w:rsidRPr="00A34F10" w:rsidRDefault="00C10979" w:rsidP="00C10979">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nil"/>
              <w:right w:val="single" w:sz="6" w:space="0" w:color="auto"/>
            </w:tcBorders>
            <w:shd w:val="clear" w:color="auto" w:fill="auto"/>
            <w:vAlign w:val="center"/>
          </w:tcPr>
          <w:p w14:paraId="79E85BA5"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NOEC</w:t>
            </w:r>
          </w:p>
        </w:tc>
      </w:tr>
      <w:tr w:rsidR="00C10979" w:rsidRPr="00A34F10" w14:paraId="1D6E5384" w14:textId="77777777" w:rsidTr="00C10979">
        <w:trPr>
          <w:trHeight w:val="247"/>
        </w:trPr>
        <w:tc>
          <w:tcPr>
            <w:tcW w:w="711" w:type="pct"/>
            <w:gridSpan w:val="2"/>
            <w:vMerge/>
            <w:tcBorders>
              <w:left w:val="single" w:sz="6" w:space="0" w:color="auto"/>
              <w:bottom w:val="single" w:sz="6" w:space="0" w:color="auto"/>
              <w:right w:val="single" w:sz="6" w:space="0" w:color="auto"/>
            </w:tcBorders>
            <w:shd w:val="clear" w:color="auto" w:fill="auto"/>
            <w:vAlign w:val="center"/>
          </w:tcPr>
          <w:p w14:paraId="35750B0E" w14:textId="77777777" w:rsidR="00C10979" w:rsidRPr="00A34F10" w:rsidRDefault="00C10979" w:rsidP="00C10979">
            <w:pPr>
              <w:suppressAutoHyphens/>
              <w:autoSpaceDE w:val="0"/>
              <w:autoSpaceDN w:val="0"/>
              <w:adjustRightInd w:val="0"/>
              <w:rPr>
                <w:b/>
                <w:bCs/>
                <w:sz w:val="20"/>
                <w:szCs w:val="20"/>
              </w:rPr>
            </w:pPr>
          </w:p>
        </w:tc>
        <w:tc>
          <w:tcPr>
            <w:tcW w:w="398" w:type="pct"/>
            <w:tcBorders>
              <w:top w:val="nil"/>
              <w:left w:val="single" w:sz="6" w:space="0" w:color="auto"/>
              <w:bottom w:val="single" w:sz="6" w:space="0" w:color="auto"/>
              <w:right w:val="single" w:sz="6" w:space="0" w:color="auto"/>
            </w:tcBorders>
            <w:shd w:val="clear" w:color="auto" w:fill="auto"/>
            <w:vAlign w:val="center"/>
          </w:tcPr>
          <w:p w14:paraId="6635F658"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&gt; 19000</w:t>
            </w:r>
          </w:p>
        </w:tc>
        <w:tc>
          <w:tcPr>
            <w:tcW w:w="399" w:type="pct"/>
            <w:tcBorders>
              <w:top w:val="nil"/>
              <w:left w:val="single" w:sz="6" w:space="0" w:color="auto"/>
              <w:bottom w:val="single" w:sz="6" w:space="0" w:color="auto"/>
              <w:right w:val="single" w:sz="6" w:space="0" w:color="auto"/>
            </w:tcBorders>
            <w:shd w:val="clear" w:color="auto" w:fill="auto"/>
            <w:vAlign w:val="center"/>
          </w:tcPr>
          <w:p w14:paraId="3F387B24"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48</w:t>
            </w:r>
          </w:p>
        </w:tc>
        <w:tc>
          <w:tcPr>
            <w:tcW w:w="43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6ECFA2D2" w14:textId="23913DD2" w:rsidR="00C10979" w:rsidRPr="00A34F10" w:rsidRDefault="00C10979" w:rsidP="00C10979">
            <w:pPr>
              <w:suppressAutoHyphens/>
              <w:autoSpaceDE w:val="0"/>
              <w:autoSpaceDN w:val="0"/>
              <w:adjustRightInd w:val="0"/>
              <w:jc w:val="center"/>
              <w:rPr>
                <w:sz w:val="20"/>
                <w:szCs w:val="20"/>
              </w:rPr>
            </w:pPr>
            <w:r w:rsidRPr="00C212C1">
              <w:rPr>
                <w:sz w:val="20"/>
                <w:szCs w:val="20"/>
              </w:rPr>
              <w:t>&gt; 590</w:t>
            </w:r>
          </w:p>
        </w:tc>
        <w:tc>
          <w:tcPr>
            <w:tcW w:w="436" w:type="pct"/>
            <w:tcBorders>
              <w:top w:val="nil"/>
              <w:left w:val="single" w:sz="6" w:space="0" w:color="auto"/>
              <w:bottom w:val="single" w:sz="6" w:space="0" w:color="auto"/>
              <w:right w:val="single" w:sz="6" w:space="0" w:color="auto"/>
            </w:tcBorders>
            <w:shd w:val="clear" w:color="auto" w:fill="auto"/>
            <w:vAlign w:val="center"/>
          </w:tcPr>
          <w:p w14:paraId="74D8E081" w14:textId="36F84DDB" w:rsidR="00C10979" w:rsidRPr="00A34F10" w:rsidRDefault="00C10979" w:rsidP="00C10979">
            <w:pPr>
              <w:suppressAutoHyphens/>
              <w:autoSpaceDE w:val="0"/>
              <w:autoSpaceDN w:val="0"/>
              <w:adjustRightInd w:val="0"/>
              <w:jc w:val="center"/>
              <w:rPr>
                <w:sz w:val="20"/>
                <w:szCs w:val="20"/>
              </w:rPr>
            </w:pPr>
            <w:r w:rsidRPr="00A34F10">
              <w:rPr>
                <w:sz w:val="20"/>
                <w:szCs w:val="20"/>
              </w:rPr>
              <w:t>&gt; 19400</w:t>
            </w:r>
          </w:p>
        </w:tc>
        <w:tc>
          <w:tcPr>
            <w:tcW w:w="399"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78C725D8" w14:textId="6BC432F9" w:rsidR="00C10979" w:rsidRPr="00A34F10" w:rsidRDefault="00C10979" w:rsidP="00C10979">
            <w:pPr>
              <w:suppressAutoHyphens/>
              <w:autoSpaceDE w:val="0"/>
              <w:autoSpaceDN w:val="0"/>
              <w:adjustRightInd w:val="0"/>
              <w:jc w:val="center"/>
              <w:rPr>
                <w:sz w:val="20"/>
                <w:szCs w:val="20"/>
              </w:rPr>
            </w:pPr>
            <w:r w:rsidRPr="00C212C1">
              <w:rPr>
                <w:sz w:val="20"/>
                <w:szCs w:val="20"/>
              </w:rPr>
              <w:t>44</w:t>
            </w:r>
          </w:p>
        </w:tc>
        <w:tc>
          <w:tcPr>
            <w:tcW w:w="399" w:type="pct"/>
            <w:tcBorders>
              <w:top w:val="nil"/>
              <w:left w:val="single" w:sz="6" w:space="0" w:color="auto"/>
              <w:bottom w:val="single" w:sz="6" w:space="0" w:color="auto"/>
              <w:right w:val="single" w:sz="6" w:space="0" w:color="auto"/>
            </w:tcBorders>
            <w:shd w:val="clear" w:color="auto" w:fill="auto"/>
            <w:vAlign w:val="center"/>
          </w:tcPr>
          <w:p w14:paraId="3F299931" w14:textId="3312F17D" w:rsidR="00C10979" w:rsidRPr="00A34F10" w:rsidRDefault="00C10979" w:rsidP="00C10979">
            <w:pPr>
              <w:suppressAutoHyphens/>
              <w:autoSpaceDE w:val="0"/>
              <w:autoSpaceDN w:val="0"/>
              <w:adjustRightInd w:val="0"/>
              <w:jc w:val="center"/>
              <w:rPr>
                <w:sz w:val="20"/>
                <w:szCs w:val="20"/>
              </w:rPr>
            </w:pPr>
            <w:r w:rsidRPr="00A34F10">
              <w:rPr>
                <w:sz w:val="20"/>
                <w:szCs w:val="20"/>
              </w:rPr>
              <w:t>18</w:t>
            </w:r>
          </w:p>
        </w:tc>
        <w:tc>
          <w:tcPr>
            <w:tcW w:w="54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52684689" w14:textId="0863891F" w:rsidR="00C10979" w:rsidRPr="00A34F10" w:rsidRDefault="00C10979" w:rsidP="00C10979">
            <w:pPr>
              <w:suppressAutoHyphens/>
              <w:autoSpaceDE w:val="0"/>
              <w:autoSpaceDN w:val="0"/>
              <w:adjustRightInd w:val="0"/>
              <w:jc w:val="center"/>
              <w:rPr>
                <w:sz w:val="20"/>
                <w:szCs w:val="20"/>
              </w:rPr>
            </w:pPr>
            <w:r w:rsidRPr="00C212C1">
              <w:rPr>
                <w:sz w:val="20"/>
                <w:szCs w:val="20"/>
              </w:rPr>
              <w:t>&gt; 118</w:t>
            </w:r>
          </w:p>
        </w:tc>
        <w:tc>
          <w:tcPr>
            <w:tcW w:w="546" w:type="pct"/>
            <w:tcBorders>
              <w:top w:val="nil"/>
              <w:left w:val="single" w:sz="6" w:space="0" w:color="auto"/>
              <w:bottom w:val="single" w:sz="6" w:space="0" w:color="auto"/>
              <w:right w:val="single" w:sz="6" w:space="0" w:color="auto"/>
            </w:tcBorders>
            <w:shd w:val="clear" w:color="auto" w:fill="auto"/>
            <w:vAlign w:val="center"/>
          </w:tcPr>
          <w:p w14:paraId="39E6CF08" w14:textId="039A52D4" w:rsidR="00C10979" w:rsidRPr="00A34F10" w:rsidRDefault="00C10979" w:rsidP="00C10979">
            <w:pPr>
              <w:suppressAutoHyphens/>
              <w:autoSpaceDE w:val="0"/>
              <w:autoSpaceDN w:val="0"/>
              <w:adjustRightInd w:val="0"/>
              <w:jc w:val="center"/>
              <w:rPr>
                <w:sz w:val="20"/>
                <w:szCs w:val="20"/>
              </w:rPr>
            </w:pPr>
            <w:r w:rsidRPr="00A34F10">
              <w:rPr>
                <w:sz w:val="20"/>
                <w:szCs w:val="20"/>
              </w:rPr>
              <w:t>&gt; 18400</w:t>
            </w:r>
          </w:p>
        </w:tc>
        <w:tc>
          <w:tcPr>
            <w:tcW w:w="288" w:type="pct"/>
            <w:vMerge/>
            <w:tcBorders>
              <w:left w:val="single" w:sz="6" w:space="0" w:color="auto"/>
              <w:right w:val="single" w:sz="6" w:space="0" w:color="auto"/>
            </w:tcBorders>
            <w:shd w:val="clear" w:color="auto" w:fill="auto"/>
            <w:vAlign w:val="center"/>
          </w:tcPr>
          <w:p w14:paraId="66A144C3" w14:textId="77777777" w:rsidR="00C10979" w:rsidRPr="00A34F10" w:rsidRDefault="00C10979" w:rsidP="00C10979">
            <w:pPr>
              <w:suppressAutoHyphens/>
              <w:autoSpaceDE w:val="0"/>
              <w:autoSpaceDN w:val="0"/>
              <w:adjustRightInd w:val="0"/>
              <w:jc w:val="center"/>
              <w:rPr>
                <w:sz w:val="20"/>
                <w:szCs w:val="20"/>
              </w:rPr>
            </w:pPr>
          </w:p>
        </w:tc>
        <w:tc>
          <w:tcPr>
            <w:tcW w:w="442" w:type="pct"/>
            <w:tcBorders>
              <w:top w:val="nil"/>
              <w:left w:val="single" w:sz="6" w:space="0" w:color="auto"/>
              <w:bottom w:val="single" w:sz="6" w:space="0" w:color="auto"/>
              <w:right w:val="single" w:sz="6" w:space="0" w:color="auto"/>
            </w:tcBorders>
            <w:shd w:val="clear" w:color="auto" w:fill="auto"/>
            <w:vAlign w:val="center"/>
          </w:tcPr>
          <w:p w14:paraId="53D7EB65"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221560</w:t>
            </w:r>
          </w:p>
        </w:tc>
      </w:tr>
      <w:tr w:rsidR="00C10979" w:rsidRPr="00A34F10" w14:paraId="73534F36" w14:textId="77777777" w:rsidTr="00C10979">
        <w:trPr>
          <w:trHeight w:val="247"/>
        </w:trPr>
        <w:tc>
          <w:tcPr>
            <w:tcW w:w="711"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86AFEB"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AF</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4617905B"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100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1109BF90"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10</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5D34F1D" w14:textId="15FD5644" w:rsidR="00C10979" w:rsidRPr="00A34F10" w:rsidRDefault="00C10979" w:rsidP="00C10979">
            <w:pPr>
              <w:suppressAutoHyphens/>
              <w:autoSpaceDE w:val="0"/>
              <w:autoSpaceDN w:val="0"/>
              <w:adjustRightInd w:val="0"/>
              <w:jc w:val="center"/>
              <w:rPr>
                <w:sz w:val="20"/>
                <w:szCs w:val="20"/>
              </w:rPr>
            </w:pPr>
            <w:r w:rsidRPr="00C212C1">
              <w:rPr>
                <w:sz w:val="20"/>
                <w:szCs w:val="20"/>
              </w:rPr>
              <w:t>100</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E06BC3F" w14:textId="3B7D6D35" w:rsidR="00C10979" w:rsidRPr="00A34F10" w:rsidRDefault="00C10979" w:rsidP="00C10979">
            <w:pPr>
              <w:suppressAutoHyphens/>
              <w:autoSpaceDE w:val="0"/>
              <w:autoSpaceDN w:val="0"/>
              <w:adjustRightInd w:val="0"/>
              <w:jc w:val="center"/>
              <w:rPr>
                <w:sz w:val="20"/>
                <w:szCs w:val="20"/>
              </w:rPr>
            </w:pPr>
            <w:r w:rsidRPr="00A34F10">
              <w:rPr>
                <w:sz w:val="20"/>
                <w:szCs w:val="20"/>
              </w:rPr>
              <w:t>100</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C643A71" w14:textId="60E459B0" w:rsidR="00C10979" w:rsidRPr="00A34F10" w:rsidRDefault="00C10979" w:rsidP="00C10979">
            <w:pPr>
              <w:suppressAutoHyphens/>
              <w:autoSpaceDE w:val="0"/>
              <w:autoSpaceDN w:val="0"/>
              <w:adjustRightInd w:val="0"/>
              <w:jc w:val="center"/>
              <w:rPr>
                <w:sz w:val="20"/>
                <w:szCs w:val="20"/>
              </w:rPr>
            </w:pPr>
            <w:r w:rsidRPr="00C212C1">
              <w:rPr>
                <w:sz w:val="20"/>
                <w:szCs w:val="20"/>
              </w:rPr>
              <w:t>10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23709AEC" w14:textId="1DE7B054" w:rsidR="00C10979" w:rsidRPr="00A34F10" w:rsidRDefault="00C10979" w:rsidP="00C10979">
            <w:pPr>
              <w:suppressAutoHyphens/>
              <w:autoSpaceDE w:val="0"/>
              <w:autoSpaceDN w:val="0"/>
              <w:adjustRightInd w:val="0"/>
              <w:jc w:val="center"/>
              <w:rPr>
                <w:sz w:val="20"/>
                <w:szCs w:val="20"/>
              </w:rPr>
            </w:pPr>
            <w:r w:rsidRPr="00A34F10">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EE0B77E" w14:textId="6D9020E2" w:rsidR="00C10979" w:rsidRPr="00A34F10" w:rsidRDefault="00C10979" w:rsidP="00C10979">
            <w:pPr>
              <w:suppressAutoHyphens/>
              <w:autoSpaceDE w:val="0"/>
              <w:autoSpaceDN w:val="0"/>
              <w:adjustRightInd w:val="0"/>
              <w:jc w:val="center"/>
              <w:rPr>
                <w:sz w:val="20"/>
                <w:szCs w:val="20"/>
              </w:rPr>
            </w:pPr>
            <w:r w:rsidRPr="00C212C1">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31F42800" w14:textId="4E1BE303" w:rsidR="00C10979" w:rsidRPr="00A34F10" w:rsidRDefault="00C10979" w:rsidP="00C10979">
            <w:pPr>
              <w:suppressAutoHyphens/>
              <w:autoSpaceDE w:val="0"/>
              <w:autoSpaceDN w:val="0"/>
              <w:adjustRightInd w:val="0"/>
              <w:jc w:val="center"/>
              <w:rPr>
                <w:sz w:val="20"/>
                <w:szCs w:val="20"/>
              </w:rPr>
            </w:pPr>
            <w:r w:rsidRPr="00A34F10">
              <w:rPr>
                <w:sz w:val="20"/>
                <w:szCs w:val="20"/>
              </w:rPr>
              <w:t>10</w:t>
            </w:r>
          </w:p>
        </w:tc>
        <w:tc>
          <w:tcPr>
            <w:tcW w:w="288" w:type="pct"/>
            <w:vMerge/>
            <w:tcBorders>
              <w:left w:val="single" w:sz="6" w:space="0" w:color="auto"/>
              <w:right w:val="single" w:sz="6" w:space="0" w:color="auto"/>
            </w:tcBorders>
            <w:shd w:val="clear" w:color="auto" w:fill="auto"/>
            <w:vAlign w:val="center"/>
          </w:tcPr>
          <w:p w14:paraId="7EAF60C9" w14:textId="77777777" w:rsidR="00C10979" w:rsidRPr="00A34F10" w:rsidRDefault="00C10979" w:rsidP="00C10979">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29210897"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10</w:t>
            </w:r>
          </w:p>
        </w:tc>
      </w:tr>
      <w:tr w:rsidR="00C10979" w:rsidRPr="00A34F10" w14:paraId="1078E3D5" w14:textId="77777777" w:rsidTr="00C10979">
        <w:trPr>
          <w:trHeight w:val="247"/>
        </w:trPr>
        <w:tc>
          <w:tcPr>
            <w:tcW w:w="711"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12B9F6"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RAC [µg/L]</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0F74E936"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&gt; 190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1323841A"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4.8</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E431EF9" w14:textId="32E3324A" w:rsidR="00C10979" w:rsidRPr="00A34F10" w:rsidRDefault="00C10979" w:rsidP="00C10979">
            <w:pPr>
              <w:suppressAutoHyphens/>
              <w:autoSpaceDE w:val="0"/>
              <w:autoSpaceDN w:val="0"/>
              <w:adjustRightInd w:val="0"/>
              <w:jc w:val="center"/>
              <w:rPr>
                <w:sz w:val="20"/>
                <w:szCs w:val="20"/>
              </w:rPr>
            </w:pPr>
            <w:r w:rsidRPr="00452202">
              <w:rPr>
                <w:sz w:val="20"/>
                <w:szCs w:val="20"/>
              </w:rPr>
              <w:t>&gt; 5.9</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548F97DC" w14:textId="2DD1374C" w:rsidR="00C10979" w:rsidRPr="00A34F10" w:rsidRDefault="00C10979" w:rsidP="00C10979">
            <w:pPr>
              <w:suppressAutoHyphens/>
              <w:autoSpaceDE w:val="0"/>
              <w:autoSpaceDN w:val="0"/>
              <w:adjustRightInd w:val="0"/>
              <w:jc w:val="center"/>
              <w:rPr>
                <w:sz w:val="20"/>
                <w:szCs w:val="20"/>
              </w:rPr>
            </w:pPr>
            <w:r w:rsidRPr="00A34F10">
              <w:rPr>
                <w:sz w:val="20"/>
                <w:szCs w:val="20"/>
              </w:rPr>
              <w:t>&gt; 194</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801E548" w14:textId="3351B00C" w:rsidR="00C10979" w:rsidRPr="00A34F10" w:rsidRDefault="00C10979" w:rsidP="00C10979">
            <w:pPr>
              <w:suppressAutoHyphens/>
              <w:autoSpaceDE w:val="0"/>
              <w:autoSpaceDN w:val="0"/>
              <w:adjustRightInd w:val="0"/>
              <w:jc w:val="center"/>
              <w:rPr>
                <w:sz w:val="20"/>
                <w:szCs w:val="20"/>
              </w:rPr>
            </w:pPr>
            <w:r w:rsidRPr="00A73AF4">
              <w:rPr>
                <w:sz w:val="20"/>
                <w:szCs w:val="20"/>
              </w:rPr>
              <w:t>4.4</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23C1B887" w14:textId="3994AEC7" w:rsidR="00C10979" w:rsidRPr="00A34F10" w:rsidRDefault="00C10979" w:rsidP="00C10979">
            <w:pPr>
              <w:suppressAutoHyphens/>
              <w:autoSpaceDE w:val="0"/>
              <w:autoSpaceDN w:val="0"/>
              <w:adjustRightInd w:val="0"/>
              <w:jc w:val="center"/>
              <w:rPr>
                <w:sz w:val="20"/>
                <w:szCs w:val="20"/>
                <w:lang w:val="de-DE"/>
              </w:rPr>
            </w:pPr>
            <w:r w:rsidRPr="00A34F10">
              <w:rPr>
                <w:sz w:val="20"/>
                <w:szCs w:val="20"/>
              </w:rPr>
              <w:t>1.8</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D1D5EC0" w14:textId="4D4A67E6" w:rsidR="00C10979" w:rsidRPr="00A34F10" w:rsidRDefault="00C10979" w:rsidP="00C10979">
            <w:pPr>
              <w:suppressAutoHyphens/>
              <w:autoSpaceDE w:val="0"/>
              <w:autoSpaceDN w:val="0"/>
              <w:adjustRightInd w:val="0"/>
              <w:jc w:val="center"/>
              <w:rPr>
                <w:sz w:val="20"/>
                <w:szCs w:val="20"/>
              </w:rPr>
            </w:pPr>
            <w:r w:rsidRPr="00514FA3">
              <w:rPr>
                <w:sz w:val="20"/>
                <w:szCs w:val="20"/>
              </w:rPr>
              <w:t>&gt; 11.8</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59D0D235" w14:textId="0B50FD98" w:rsidR="00C10979" w:rsidRPr="00A34F10" w:rsidRDefault="00C10979" w:rsidP="00C10979">
            <w:pPr>
              <w:suppressAutoHyphens/>
              <w:autoSpaceDE w:val="0"/>
              <w:autoSpaceDN w:val="0"/>
              <w:adjustRightInd w:val="0"/>
              <w:jc w:val="center"/>
              <w:rPr>
                <w:sz w:val="20"/>
                <w:szCs w:val="20"/>
              </w:rPr>
            </w:pPr>
            <w:r w:rsidRPr="00A34F10">
              <w:rPr>
                <w:sz w:val="20"/>
                <w:szCs w:val="20"/>
              </w:rPr>
              <w:t>&gt; 1840</w:t>
            </w:r>
          </w:p>
        </w:tc>
        <w:tc>
          <w:tcPr>
            <w:tcW w:w="288" w:type="pct"/>
            <w:vMerge/>
            <w:tcBorders>
              <w:left w:val="single" w:sz="6" w:space="0" w:color="auto"/>
              <w:bottom w:val="single" w:sz="6" w:space="0" w:color="auto"/>
              <w:right w:val="single" w:sz="6" w:space="0" w:color="auto"/>
            </w:tcBorders>
            <w:shd w:val="clear" w:color="auto" w:fill="auto"/>
            <w:vAlign w:val="center"/>
          </w:tcPr>
          <w:p w14:paraId="3B1D19D0" w14:textId="77777777" w:rsidR="00C10979" w:rsidRPr="00A34F10" w:rsidRDefault="00C10979" w:rsidP="00C10979">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6674233E"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22156</w:t>
            </w:r>
          </w:p>
        </w:tc>
      </w:tr>
      <w:tr w:rsidR="00C10979" w:rsidRPr="00A34F10" w14:paraId="6155D5DB" w14:textId="77777777" w:rsidTr="00C10979">
        <w:trPr>
          <w:trHeight w:val="523"/>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08C921D9"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FOCUS Scenario</w:t>
            </w:r>
          </w:p>
        </w:tc>
        <w:tc>
          <w:tcPr>
            <w:tcW w:w="365" w:type="pct"/>
            <w:tcBorders>
              <w:top w:val="single" w:sz="6" w:space="0" w:color="auto"/>
              <w:left w:val="single" w:sz="6" w:space="0" w:color="auto"/>
              <w:bottom w:val="single" w:sz="6" w:space="0" w:color="auto"/>
              <w:right w:val="single" w:sz="6" w:space="0" w:color="auto"/>
            </w:tcBorders>
            <w:shd w:val="clear" w:color="auto" w:fill="auto"/>
            <w:vAlign w:val="center"/>
          </w:tcPr>
          <w:p w14:paraId="27242F8A" w14:textId="77777777" w:rsidR="00C10979" w:rsidRPr="00A34F10" w:rsidRDefault="00C10979" w:rsidP="00C10979">
            <w:pPr>
              <w:suppressAutoHyphens/>
              <w:autoSpaceDE w:val="0"/>
              <w:autoSpaceDN w:val="0"/>
              <w:adjustRightInd w:val="0"/>
              <w:jc w:val="center"/>
              <w:rPr>
                <w:b/>
                <w:bCs/>
                <w:sz w:val="20"/>
                <w:szCs w:val="20"/>
                <w:vertAlign w:val="superscript"/>
              </w:rPr>
            </w:pPr>
            <w:r w:rsidRPr="00A34F10">
              <w:rPr>
                <w:b/>
                <w:bCs/>
                <w:sz w:val="20"/>
                <w:szCs w:val="20"/>
              </w:rPr>
              <w:t>PEC</w:t>
            </w:r>
            <w:r w:rsidRPr="00A34F10">
              <w:rPr>
                <w:b/>
                <w:bCs/>
                <w:sz w:val="20"/>
                <w:szCs w:val="20"/>
                <w:vertAlign w:val="subscript"/>
              </w:rPr>
              <w:t>sw</w:t>
            </w:r>
            <w:r w:rsidRPr="00A34F10">
              <w:rPr>
                <w:b/>
                <w:bCs/>
                <w:sz w:val="20"/>
                <w:szCs w:val="20"/>
              </w:rPr>
              <w:t xml:space="preserve"> </w:t>
            </w:r>
            <w:r w:rsidRPr="00A34F10">
              <w:rPr>
                <w:b/>
                <w:bCs/>
                <w:sz w:val="20"/>
                <w:szCs w:val="20"/>
                <w:vertAlign w:val="subscript"/>
              </w:rPr>
              <w:t xml:space="preserve">gl-max </w:t>
            </w:r>
            <w:r w:rsidRPr="00A34F10">
              <w:rPr>
                <w:b/>
                <w:bCs/>
                <w:sz w:val="20"/>
                <w:szCs w:val="20"/>
                <w:vertAlign w:val="superscript"/>
              </w:rPr>
              <w:t>1)</w:t>
            </w:r>
            <w:r w:rsidRPr="00A34F10">
              <w:rPr>
                <w:b/>
                <w:bCs/>
                <w:sz w:val="20"/>
                <w:szCs w:val="20"/>
              </w:rPr>
              <w:br/>
              <w:t xml:space="preserve">[µg/L] </w:t>
            </w:r>
          </w:p>
        </w:tc>
        <w:tc>
          <w:tcPr>
            <w:tcW w:w="3558" w:type="pct"/>
            <w:gridSpan w:val="8"/>
            <w:tcBorders>
              <w:top w:val="single" w:sz="6" w:space="0" w:color="auto"/>
              <w:left w:val="single" w:sz="6" w:space="0" w:color="auto"/>
              <w:bottom w:val="single" w:sz="6" w:space="0" w:color="auto"/>
              <w:right w:val="single" w:sz="6" w:space="0" w:color="auto"/>
            </w:tcBorders>
          </w:tcPr>
          <w:p w14:paraId="32409355" w14:textId="27AC90B2" w:rsidR="00C10979" w:rsidRPr="00A34F10" w:rsidRDefault="00C10979" w:rsidP="00C10979">
            <w:pPr>
              <w:suppressAutoHyphens/>
              <w:autoSpaceDE w:val="0"/>
              <w:autoSpaceDN w:val="0"/>
              <w:adjustRightInd w:val="0"/>
              <w:jc w:val="center"/>
              <w:rPr>
                <w:b/>
                <w:bCs/>
                <w:sz w:val="20"/>
                <w:szCs w:val="20"/>
              </w:rPr>
            </w:pPr>
            <w:r w:rsidRPr="00A34F10">
              <w:rPr>
                <w:b/>
                <w:bCs/>
                <w:sz w:val="20"/>
                <w:szCs w:val="20"/>
              </w:rPr>
              <w:t>PEC/ RAC ratio</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7260E151" w14:textId="77777777" w:rsidR="00C10979" w:rsidRPr="00A34F10" w:rsidRDefault="00C10979" w:rsidP="00C10979">
            <w:pPr>
              <w:suppressAutoHyphens/>
              <w:autoSpaceDE w:val="0"/>
              <w:autoSpaceDN w:val="0"/>
              <w:adjustRightInd w:val="0"/>
              <w:jc w:val="center"/>
              <w:rPr>
                <w:b/>
                <w:bCs/>
                <w:sz w:val="20"/>
                <w:szCs w:val="20"/>
              </w:rPr>
            </w:pPr>
            <w:r w:rsidRPr="00A34F10">
              <w:rPr>
                <w:b/>
                <w:bCs/>
                <w:sz w:val="20"/>
                <w:szCs w:val="20"/>
              </w:rPr>
              <w:t>PEC</w:t>
            </w:r>
            <w:r w:rsidRPr="00A34F10">
              <w:rPr>
                <w:b/>
                <w:bCs/>
                <w:sz w:val="20"/>
                <w:szCs w:val="20"/>
                <w:vertAlign w:val="subscript"/>
              </w:rPr>
              <w:t>sed.</w:t>
            </w:r>
            <w:r w:rsidRPr="00A34F10">
              <w:rPr>
                <w:b/>
                <w:bCs/>
                <w:sz w:val="20"/>
                <w:szCs w:val="20"/>
              </w:rPr>
              <w:t xml:space="preserve"> </w:t>
            </w:r>
            <w:r w:rsidRPr="00A34F10">
              <w:rPr>
                <w:b/>
                <w:bCs/>
                <w:sz w:val="20"/>
                <w:szCs w:val="20"/>
                <w:vertAlign w:val="subscript"/>
              </w:rPr>
              <w:t>gl-max</w:t>
            </w:r>
            <w:r w:rsidRPr="00A34F10">
              <w:rPr>
                <w:b/>
                <w:bCs/>
                <w:sz w:val="20"/>
                <w:szCs w:val="20"/>
              </w:rPr>
              <w:t xml:space="preserve"> [µg/kg]</w:t>
            </w:r>
          </w:p>
        </w:tc>
        <w:tc>
          <w:tcPr>
            <w:tcW w:w="442" w:type="pct"/>
            <w:tcBorders>
              <w:top w:val="nil"/>
              <w:left w:val="single" w:sz="6" w:space="0" w:color="auto"/>
              <w:bottom w:val="nil"/>
              <w:right w:val="single" w:sz="6" w:space="0" w:color="auto"/>
            </w:tcBorders>
            <w:shd w:val="clear" w:color="auto" w:fill="auto"/>
            <w:vAlign w:val="center"/>
          </w:tcPr>
          <w:p w14:paraId="09B0DE89" w14:textId="77777777" w:rsidR="00C10979" w:rsidRPr="00A34F10" w:rsidRDefault="00C10979" w:rsidP="00C10979">
            <w:pPr>
              <w:suppressAutoHyphens/>
              <w:autoSpaceDE w:val="0"/>
              <w:autoSpaceDN w:val="0"/>
              <w:adjustRightInd w:val="0"/>
              <w:jc w:val="center"/>
              <w:rPr>
                <w:b/>
                <w:bCs/>
                <w:sz w:val="20"/>
                <w:szCs w:val="20"/>
              </w:rPr>
            </w:pPr>
            <w:r w:rsidRPr="00A34F10">
              <w:rPr>
                <w:b/>
                <w:bCs/>
                <w:sz w:val="20"/>
                <w:szCs w:val="20"/>
              </w:rPr>
              <w:t>PEC/ RAC ratio</w:t>
            </w:r>
          </w:p>
        </w:tc>
      </w:tr>
      <w:tr w:rsidR="00C10979" w:rsidRPr="00A34F10" w14:paraId="15FCE4A7" w14:textId="77777777" w:rsidTr="00C10979">
        <w:trPr>
          <w:trHeight w:val="247"/>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34FA1338" w14:textId="77777777" w:rsidR="00C10979" w:rsidRPr="00A34F10" w:rsidRDefault="00C10979" w:rsidP="00C10979">
            <w:pPr>
              <w:suppressAutoHyphens/>
              <w:autoSpaceDE w:val="0"/>
              <w:autoSpaceDN w:val="0"/>
              <w:adjustRightInd w:val="0"/>
              <w:rPr>
                <w:b/>
                <w:bCs/>
                <w:sz w:val="20"/>
                <w:szCs w:val="20"/>
              </w:rPr>
            </w:pPr>
            <w:r w:rsidRPr="00A34F10">
              <w:rPr>
                <w:b/>
                <w:bCs/>
                <w:sz w:val="20"/>
                <w:szCs w:val="20"/>
              </w:rPr>
              <w:t>Step 1</w:t>
            </w:r>
          </w:p>
        </w:tc>
        <w:tc>
          <w:tcPr>
            <w:tcW w:w="365" w:type="pct"/>
            <w:tcBorders>
              <w:top w:val="single" w:sz="6" w:space="0" w:color="auto"/>
              <w:left w:val="single" w:sz="6" w:space="0" w:color="auto"/>
              <w:bottom w:val="single" w:sz="6" w:space="0" w:color="auto"/>
              <w:right w:val="single" w:sz="6" w:space="0" w:color="auto"/>
            </w:tcBorders>
            <w:shd w:val="clear" w:color="auto" w:fill="auto"/>
          </w:tcPr>
          <w:p w14:paraId="78C00AF4" w14:textId="77777777" w:rsidR="00C10979" w:rsidRPr="00A34F10" w:rsidRDefault="00C10979" w:rsidP="00C10979">
            <w:pPr>
              <w:suppressAutoHyphens/>
              <w:autoSpaceDE w:val="0"/>
              <w:autoSpaceDN w:val="0"/>
              <w:adjustRightInd w:val="0"/>
              <w:jc w:val="center"/>
              <w:rPr>
                <w:sz w:val="20"/>
                <w:szCs w:val="20"/>
              </w:rPr>
            </w:pPr>
            <w:r w:rsidRPr="00A34F10">
              <w:rPr>
                <w:color w:val="000000"/>
                <w:sz w:val="20"/>
                <w:szCs w:val="20"/>
              </w:rPr>
              <w:t>16.452</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7A713B02" w14:textId="77777777" w:rsidR="00C10979" w:rsidRPr="00A34F10" w:rsidRDefault="00C10979" w:rsidP="00C10979">
            <w:pPr>
              <w:suppressAutoHyphens/>
              <w:autoSpaceDE w:val="0"/>
              <w:autoSpaceDN w:val="0"/>
              <w:adjustRightInd w:val="0"/>
              <w:jc w:val="center"/>
              <w:rPr>
                <w:sz w:val="20"/>
                <w:szCs w:val="20"/>
              </w:rPr>
            </w:pPr>
            <w:r w:rsidRPr="00A34F10">
              <w:rPr>
                <w:color w:val="000000"/>
                <w:sz w:val="20"/>
                <w:szCs w:val="20"/>
              </w:rPr>
              <w:t>0.09</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64F1AC0B" w14:textId="77777777" w:rsidR="00C10979" w:rsidRPr="00A34F10" w:rsidRDefault="00C10979" w:rsidP="00C10979">
            <w:pPr>
              <w:suppressAutoHyphens/>
              <w:autoSpaceDE w:val="0"/>
              <w:autoSpaceDN w:val="0"/>
              <w:adjustRightInd w:val="0"/>
              <w:jc w:val="center"/>
              <w:rPr>
                <w:b/>
                <w:bCs/>
                <w:sz w:val="20"/>
                <w:szCs w:val="20"/>
              </w:rPr>
            </w:pPr>
            <w:r w:rsidRPr="00A34F10">
              <w:rPr>
                <w:b/>
                <w:bCs/>
                <w:color w:val="000000"/>
                <w:sz w:val="20"/>
                <w:szCs w:val="20"/>
              </w:rPr>
              <w:t>3.43</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93186D9" w14:textId="4656AC2D" w:rsidR="00C10979" w:rsidRPr="00A34F10" w:rsidRDefault="000D0EE5" w:rsidP="00C10979">
            <w:pPr>
              <w:suppressAutoHyphens/>
              <w:autoSpaceDE w:val="0"/>
              <w:autoSpaceDN w:val="0"/>
              <w:adjustRightInd w:val="0"/>
              <w:jc w:val="center"/>
              <w:rPr>
                <w:color w:val="000000"/>
                <w:sz w:val="20"/>
                <w:szCs w:val="20"/>
              </w:rPr>
            </w:pPr>
            <w:r w:rsidRPr="00AD7447">
              <w:rPr>
                <w:b/>
                <w:bCs/>
                <w:color w:val="000000"/>
                <w:sz w:val="20"/>
                <w:szCs w:val="20"/>
              </w:rPr>
              <w:t>2.79</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266206A0" w14:textId="3E1510C7" w:rsidR="00C10979" w:rsidRPr="00A34F10" w:rsidRDefault="00C10979" w:rsidP="00C10979">
            <w:pPr>
              <w:suppressAutoHyphens/>
              <w:autoSpaceDE w:val="0"/>
              <w:autoSpaceDN w:val="0"/>
              <w:adjustRightInd w:val="0"/>
              <w:jc w:val="center"/>
              <w:rPr>
                <w:sz w:val="20"/>
                <w:szCs w:val="20"/>
              </w:rPr>
            </w:pPr>
            <w:r w:rsidRPr="00A34F10">
              <w:rPr>
                <w:color w:val="000000"/>
                <w:sz w:val="20"/>
                <w:szCs w:val="20"/>
              </w:rPr>
              <w:t>0.08</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9165F51" w14:textId="128F9306" w:rsidR="00C10979" w:rsidRPr="00A34F10" w:rsidRDefault="000D0EE5" w:rsidP="00C10979">
            <w:pPr>
              <w:suppressAutoHyphens/>
              <w:autoSpaceDE w:val="0"/>
              <w:autoSpaceDN w:val="0"/>
              <w:adjustRightInd w:val="0"/>
              <w:jc w:val="center"/>
              <w:rPr>
                <w:b/>
                <w:bCs/>
                <w:color w:val="000000"/>
                <w:sz w:val="20"/>
                <w:szCs w:val="20"/>
              </w:rPr>
            </w:pPr>
            <w:r>
              <w:rPr>
                <w:b/>
                <w:bCs/>
                <w:color w:val="000000"/>
                <w:sz w:val="20"/>
                <w:szCs w:val="20"/>
              </w:rPr>
              <w:t>3.74</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9A4FFCB" w14:textId="3A7296F7" w:rsidR="00C10979" w:rsidRPr="00A34F10" w:rsidRDefault="00C10979" w:rsidP="00C10979">
            <w:pPr>
              <w:suppressAutoHyphens/>
              <w:autoSpaceDE w:val="0"/>
              <w:autoSpaceDN w:val="0"/>
              <w:adjustRightInd w:val="0"/>
              <w:jc w:val="center"/>
              <w:rPr>
                <w:b/>
                <w:bCs/>
                <w:sz w:val="20"/>
                <w:szCs w:val="20"/>
              </w:rPr>
            </w:pPr>
            <w:r w:rsidRPr="00A34F10">
              <w:rPr>
                <w:b/>
                <w:bCs/>
                <w:color w:val="000000"/>
                <w:sz w:val="20"/>
                <w:szCs w:val="20"/>
              </w:rPr>
              <w:t>9.14</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5D51774" w14:textId="62C243F7" w:rsidR="00C10979" w:rsidRPr="00A34F10" w:rsidRDefault="000D0EE5" w:rsidP="00C10979">
            <w:pPr>
              <w:suppressAutoHyphens/>
              <w:autoSpaceDE w:val="0"/>
              <w:autoSpaceDN w:val="0"/>
              <w:adjustRightInd w:val="0"/>
              <w:jc w:val="center"/>
              <w:rPr>
                <w:color w:val="000000"/>
                <w:sz w:val="20"/>
                <w:szCs w:val="20"/>
              </w:rPr>
            </w:pPr>
            <w:r w:rsidRPr="00FD1985">
              <w:rPr>
                <w:b/>
                <w:bCs/>
                <w:color w:val="000000"/>
                <w:sz w:val="20"/>
                <w:szCs w:val="20"/>
              </w:rPr>
              <w:t>1.39</w:t>
            </w:r>
          </w:p>
        </w:tc>
        <w:tc>
          <w:tcPr>
            <w:tcW w:w="546" w:type="pct"/>
            <w:tcBorders>
              <w:top w:val="single" w:sz="6" w:space="0" w:color="auto"/>
              <w:left w:val="single" w:sz="6" w:space="0" w:color="auto"/>
              <w:bottom w:val="single" w:sz="6" w:space="0" w:color="auto"/>
              <w:right w:val="single" w:sz="6" w:space="0" w:color="auto"/>
            </w:tcBorders>
            <w:shd w:val="clear" w:color="auto" w:fill="auto"/>
          </w:tcPr>
          <w:p w14:paraId="69F5D627" w14:textId="76AB547C" w:rsidR="00C10979" w:rsidRPr="00A34F10" w:rsidRDefault="00C10979" w:rsidP="00C10979">
            <w:pPr>
              <w:suppressAutoHyphens/>
              <w:autoSpaceDE w:val="0"/>
              <w:autoSpaceDN w:val="0"/>
              <w:adjustRightInd w:val="0"/>
              <w:jc w:val="center"/>
              <w:rPr>
                <w:sz w:val="20"/>
                <w:szCs w:val="20"/>
              </w:rPr>
            </w:pPr>
            <w:r w:rsidRPr="00A34F10">
              <w:rPr>
                <w:color w:val="000000"/>
                <w:sz w:val="20"/>
                <w:szCs w:val="20"/>
              </w:rPr>
              <w:t>0.01</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172573FB"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493.162</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12DF278C" w14:textId="77777777" w:rsidR="00C10979" w:rsidRPr="00A34F10" w:rsidRDefault="00C10979" w:rsidP="00C10979">
            <w:pPr>
              <w:suppressAutoHyphens/>
              <w:autoSpaceDE w:val="0"/>
              <w:autoSpaceDN w:val="0"/>
              <w:adjustRightInd w:val="0"/>
              <w:jc w:val="center"/>
              <w:rPr>
                <w:sz w:val="20"/>
                <w:szCs w:val="20"/>
              </w:rPr>
            </w:pPr>
            <w:r w:rsidRPr="00A34F10">
              <w:rPr>
                <w:sz w:val="20"/>
                <w:szCs w:val="20"/>
              </w:rPr>
              <w:t>0.02</w:t>
            </w:r>
          </w:p>
        </w:tc>
      </w:tr>
      <w:tr w:rsidR="00C10979" w:rsidRPr="00A34F10" w14:paraId="268224E4" w14:textId="77777777" w:rsidTr="00C10979">
        <w:trPr>
          <w:trHeight w:val="247"/>
        </w:trPr>
        <w:tc>
          <w:tcPr>
            <w:tcW w:w="5000" w:type="pct"/>
            <w:gridSpan w:val="12"/>
            <w:tcBorders>
              <w:top w:val="single" w:sz="6" w:space="0" w:color="auto"/>
              <w:left w:val="single" w:sz="6" w:space="0" w:color="auto"/>
              <w:bottom w:val="single" w:sz="6" w:space="0" w:color="auto"/>
              <w:right w:val="single" w:sz="6" w:space="0" w:color="auto"/>
            </w:tcBorders>
          </w:tcPr>
          <w:p w14:paraId="21DC9663" w14:textId="7DEF9F05" w:rsidR="00C10979" w:rsidRPr="00A34F10" w:rsidRDefault="00C10979" w:rsidP="00C10979">
            <w:pPr>
              <w:suppressAutoHyphens/>
              <w:autoSpaceDE w:val="0"/>
              <w:autoSpaceDN w:val="0"/>
              <w:adjustRightInd w:val="0"/>
              <w:rPr>
                <w:sz w:val="20"/>
                <w:szCs w:val="20"/>
              </w:rPr>
            </w:pPr>
            <w:r w:rsidRPr="00A34F10">
              <w:rPr>
                <w:b/>
                <w:bCs/>
                <w:sz w:val="20"/>
                <w:szCs w:val="20"/>
              </w:rPr>
              <w:t>Step 2</w:t>
            </w:r>
          </w:p>
        </w:tc>
      </w:tr>
      <w:tr w:rsidR="000D0EE5" w:rsidRPr="00A34F10" w14:paraId="633AA87D" w14:textId="77777777" w:rsidTr="00C10979">
        <w:trPr>
          <w:trHeight w:val="266"/>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69CDF8E5" w14:textId="77777777" w:rsidR="000D0EE5" w:rsidRPr="00A34F10" w:rsidRDefault="000D0EE5" w:rsidP="000D0EE5">
            <w:pPr>
              <w:suppressAutoHyphens/>
              <w:autoSpaceDE w:val="0"/>
              <w:autoSpaceDN w:val="0"/>
              <w:adjustRightInd w:val="0"/>
              <w:rPr>
                <w:sz w:val="20"/>
                <w:szCs w:val="20"/>
              </w:rPr>
            </w:pPr>
            <w:r w:rsidRPr="00A34F10">
              <w:rPr>
                <w:sz w:val="20"/>
                <w:szCs w:val="20"/>
              </w:rPr>
              <w:t>N-Europe</w:t>
            </w:r>
          </w:p>
        </w:tc>
        <w:tc>
          <w:tcPr>
            <w:tcW w:w="365" w:type="pct"/>
            <w:tcBorders>
              <w:top w:val="single" w:sz="6" w:space="0" w:color="auto"/>
              <w:left w:val="single" w:sz="4" w:space="0" w:color="auto"/>
              <w:bottom w:val="single" w:sz="6" w:space="0" w:color="auto"/>
              <w:right w:val="single" w:sz="6" w:space="0" w:color="auto"/>
            </w:tcBorders>
            <w:shd w:val="clear" w:color="auto" w:fill="auto"/>
          </w:tcPr>
          <w:p w14:paraId="1DD260A1" w14:textId="77777777" w:rsidR="000D0EE5" w:rsidRPr="00A34F10" w:rsidRDefault="000D0EE5" w:rsidP="000D0EE5">
            <w:pPr>
              <w:suppressAutoHyphens/>
              <w:autoSpaceDE w:val="0"/>
              <w:autoSpaceDN w:val="0"/>
              <w:adjustRightInd w:val="0"/>
              <w:jc w:val="center"/>
              <w:rPr>
                <w:sz w:val="20"/>
                <w:szCs w:val="20"/>
                <w:lang w:val="en-GB"/>
              </w:rPr>
            </w:pPr>
            <w:r w:rsidRPr="00A34F10">
              <w:rPr>
                <w:color w:val="000000"/>
                <w:sz w:val="20"/>
                <w:szCs w:val="20"/>
              </w:rPr>
              <w:t>2.207</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2AD1C87F" w14:textId="77777777" w:rsidR="000D0EE5" w:rsidRPr="00A34F10" w:rsidRDefault="000D0EE5" w:rsidP="000D0EE5">
            <w:pPr>
              <w:suppressAutoHyphens/>
              <w:autoSpaceDE w:val="0"/>
              <w:autoSpaceDN w:val="0"/>
              <w:adjustRightInd w:val="0"/>
              <w:jc w:val="center"/>
              <w:rPr>
                <w:b/>
                <w:bCs/>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D0578F7"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89CE2E6" w14:textId="4A196688" w:rsidR="000D0EE5" w:rsidRPr="00A34F10" w:rsidRDefault="000D0EE5" w:rsidP="000D0EE5">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65FE8AD9" w14:textId="110F7234" w:rsidR="000D0EE5" w:rsidRPr="00A34F10" w:rsidRDefault="000D0EE5" w:rsidP="000D0EE5">
            <w:pPr>
              <w:suppressAutoHyphens/>
              <w:autoSpaceDE w:val="0"/>
              <w:autoSpaceDN w:val="0"/>
              <w:adjustRightInd w:val="0"/>
              <w:jc w:val="center"/>
              <w:rPr>
                <w:b/>
                <w:bCs/>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4C00A07" w14:textId="7991FC78" w:rsidR="000D0EE5" w:rsidRPr="00A34F10" w:rsidRDefault="000D0EE5" w:rsidP="000D0EE5">
            <w:pPr>
              <w:suppressAutoHyphens/>
              <w:autoSpaceDE w:val="0"/>
              <w:autoSpaceDN w:val="0"/>
              <w:adjustRightInd w:val="0"/>
              <w:jc w:val="center"/>
              <w:rPr>
                <w:b/>
                <w:bCs/>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71218EFB" w14:textId="6B696120" w:rsidR="000D0EE5" w:rsidRPr="00A34F10" w:rsidRDefault="000D0EE5" w:rsidP="000D0EE5">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5A35790" w14:textId="0868E58B" w:rsidR="000D0EE5" w:rsidRPr="00A34F10" w:rsidRDefault="000D0EE5" w:rsidP="000D0EE5">
            <w:pPr>
              <w:suppressAutoHyphens/>
              <w:autoSpaceDE w:val="0"/>
              <w:autoSpaceDN w:val="0"/>
              <w:adjustRightInd w:val="0"/>
              <w:jc w:val="center"/>
              <w:rPr>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2F771F75" w14:textId="72A3EC0B"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07FE911E"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4C11D58F" w14:textId="77777777" w:rsidR="000D0EE5" w:rsidRPr="00A34F10" w:rsidRDefault="000D0EE5" w:rsidP="000D0EE5">
            <w:pPr>
              <w:suppressAutoHyphens/>
              <w:autoSpaceDE w:val="0"/>
              <w:autoSpaceDN w:val="0"/>
              <w:adjustRightInd w:val="0"/>
              <w:jc w:val="center"/>
              <w:rPr>
                <w:bCs/>
                <w:sz w:val="20"/>
                <w:szCs w:val="20"/>
              </w:rPr>
            </w:pPr>
            <w:r w:rsidRPr="00A34F10">
              <w:rPr>
                <w:bCs/>
                <w:sz w:val="20"/>
                <w:szCs w:val="20"/>
              </w:rPr>
              <w:t>--</w:t>
            </w:r>
          </w:p>
        </w:tc>
      </w:tr>
      <w:tr w:rsidR="000D0EE5" w:rsidRPr="00A34F10" w14:paraId="3F0CDFAA" w14:textId="77777777" w:rsidTr="00C10979">
        <w:trPr>
          <w:trHeight w:val="266"/>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5C5E9F92" w14:textId="77777777" w:rsidR="000D0EE5" w:rsidRPr="00A34F10" w:rsidRDefault="000D0EE5" w:rsidP="000D0EE5">
            <w:pPr>
              <w:suppressAutoHyphens/>
              <w:autoSpaceDE w:val="0"/>
              <w:autoSpaceDN w:val="0"/>
              <w:adjustRightInd w:val="0"/>
              <w:rPr>
                <w:sz w:val="20"/>
                <w:szCs w:val="20"/>
              </w:rPr>
            </w:pPr>
            <w:r w:rsidRPr="00A34F10">
              <w:rPr>
                <w:sz w:val="20"/>
                <w:szCs w:val="20"/>
              </w:rPr>
              <w:t>S-Europe</w:t>
            </w:r>
          </w:p>
        </w:tc>
        <w:tc>
          <w:tcPr>
            <w:tcW w:w="365" w:type="pct"/>
            <w:tcBorders>
              <w:top w:val="single" w:sz="6" w:space="0" w:color="auto"/>
              <w:left w:val="single" w:sz="4" w:space="0" w:color="auto"/>
              <w:bottom w:val="single" w:sz="6" w:space="0" w:color="auto"/>
              <w:right w:val="single" w:sz="6" w:space="0" w:color="auto"/>
            </w:tcBorders>
            <w:shd w:val="clear" w:color="auto" w:fill="auto"/>
          </w:tcPr>
          <w:p w14:paraId="351C8DEA"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2.207</w:t>
            </w:r>
          </w:p>
        </w:tc>
        <w:tc>
          <w:tcPr>
            <w:tcW w:w="398" w:type="pct"/>
            <w:tcBorders>
              <w:top w:val="single" w:sz="6" w:space="0" w:color="auto"/>
              <w:left w:val="single" w:sz="6" w:space="0" w:color="auto"/>
              <w:bottom w:val="single" w:sz="6" w:space="0" w:color="auto"/>
              <w:right w:val="single" w:sz="6" w:space="0" w:color="auto"/>
            </w:tcBorders>
            <w:shd w:val="clear" w:color="auto" w:fill="auto"/>
          </w:tcPr>
          <w:p w14:paraId="237D16BD"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0DE0424"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0CE6B82" w14:textId="4B7F54DC" w:rsidR="000D0EE5" w:rsidRPr="00A34F10" w:rsidRDefault="000D0EE5" w:rsidP="000D0EE5">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30518463" w14:textId="637E56A2"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68295E2" w14:textId="708F8FA9" w:rsidR="000D0EE5" w:rsidRPr="00A34F10" w:rsidRDefault="000D0EE5" w:rsidP="000D0EE5">
            <w:pPr>
              <w:suppressAutoHyphens/>
              <w:autoSpaceDE w:val="0"/>
              <w:autoSpaceDN w:val="0"/>
              <w:adjustRightInd w:val="0"/>
              <w:jc w:val="center"/>
              <w:rPr>
                <w:b/>
                <w:bCs/>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250A35B" w14:textId="0E9A74E1" w:rsidR="000D0EE5" w:rsidRPr="00A34F10" w:rsidRDefault="000D0EE5" w:rsidP="000D0EE5">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52ED925" w14:textId="3B3AB91F" w:rsidR="000D0EE5" w:rsidRPr="00A34F10" w:rsidRDefault="000D0EE5" w:rsidP="000D0EE5">
            <w:pPr>
              <w:suppressAutoHyphens/>
              <w:autoSpaceDE w:val="0"/>
              <w:autoSpaceDN w:val="0"/>
              <w:adjustRightInd w:val="0"/>
              <w:jc w:val="center"/>
              <w:rPr>
                <w:b/>
                <w:bCs/>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2A97A849" w14:textId="5510EBB1" w:rsidR="000D0EE5" w:rsidRPr="00A34F10" w:rsidRDefault="000D0EE5" w:rsidP="000D0EE5">
            <w:pPr>
              <w:suppressAutoHyphens/>
              <w:autoSpaceDE w:val="0"/>
              <w:autoSpaceDN w:val="0"/>
              <w:adjustRightInd w:val="0"/>
              <w:jc w:val="center"/>
              <w:rPr>
                <w:b/>
                <w:bCs/>
                <w:sz w:val="20"/>
                <w:szCs w:val="20"/>
              </w:rPr>
            </w:pPr>
            <w:r w:rsidRPr="00A34F10">
              <w:rPr>
                <w:b/>
                <w:bCs/>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171FC446"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8B97D68" w14:textId="77777777" w:rsidR="000D0EE5" w:rsidRPr="00A34F10" w:rsidRDefault="000D0EE5" w:rsidP="000D0EE5">
            <w:pPr>
              <w:suppressAutoHyphens/>
              <w:autoSpaceDE w:val="0"/>
              <w:autoSpaceDN w:val="0"/>
              <w:adjustRightInd w:val="0"/>
              <w:jc w:val="center"/>
              <w:rPr>
                <w:bCs/>
                <w:sz w:val="20"/>
                <w:szCs w:val="20"/>
              </w:rPr>
            </w:pPr>
            <w:r w:rsidRPr="00A34F10">
              <w:rPr>
                <w:bCs/>
                <w:sz w:val="20"/>
                <w:szCs w:val="20"/>
              </w:rPr>
              <w:t>--</w:t>
            </w:r>
          </w:p>
        </w:tc>
      </w:tr>
      <w:tr w:rsidR="000D0EE5" w:rsidRPr="00A34F10" w14:paraId="0A53E671" w14:textId="77777777" w:rsidTr="00C10979">
        <w:trPr>
          <w:trHeight w:val="266"/>
        </w:trPr>
        <w:tc>
          <w:tcPr>
            <w:tcW w:w="5000" w:type="pct"/>
            <w:gridSpan w:val="12"/>
            <w:tcBorders>
              <w:top w:val="single" w:sz="6" w:space="0" w:color="auto"/>
              <w:left w:val="single" w:sz="6" w:space="0" w:color="auto"/>
              <w:bottom w:val="single" w:sz="6" w:space="0" w:color="auto"/>
              <w:right w:val="single" w:sz="6" w:space="0" w:color="auto"/>
            </w:tcBorders>
          </w:tcPr>
          <w:p w14:paraId="6BED5146" w14:textId="2887CDAA" w:rsidR="000D0EE5" w:rsidRPr="00A34F10" w:rsidRDefault="000D0EE5" w:rsidP="000D0EE5">
            <w:pPr>
              <w:suppressAutoHyphens/>
              <w:autoSpaceDE w:val="0"/>
              <w:autoSpaceDN w:val="0"/>
              <w:adjustRightInd w:val="0"/>
              <w:rPr>
                <w:bCs/>
                <w:sz w:val="20"/>
                <w:szCs w:val="20"/>
              </w:rPr>
            </w:pPr>
            <w:r w:rsidRPr="00A34F10">
              <w:rPr>
                <w:b/>
                <w:bCs/>
                <w:sz w:val="20"/>
                <w:szCs w:val="20"/>
              </w:rPr>
              <w:t>Step 3</w:t>
            </w:r>
          </w:p>
        </w:tc>
      </w:tr>
      <w:tr w:rsidR="000D0EE5" w:rsidRPr="00A34F10" w14:paraId="6AAE4170" w14:textId="77777777" w:rsidTr="0066107E">
        <w:trPr>
          <w:trHeight w:val="266"/>
        </w:trPr>
        <w:tc>
          <w:tcPr>
            <w:tcW w:w="346" w:type="pct"/>
            <w:tcBorders>
              <w:top w:val="single" w:sz="6" w:space="0" w:color="auto"/>
              <w:left w:val="single" w:sz="6" w:space="0" w:color="auto"/>
              <w:bottom w:val="single" w:sz="6" w:space="0" w:color="auto"/>
              <w:right w:val="single" w:sz="6" w:space="0" w:color="auto"/>
            </w:tcBorders>
            <w:shd w:val="clear" w:color="auto" w:fill="auto"/>
          </w:tcPr>
          <w:p w14:paraId="4FBC21D7" w14:textId="77777777" w:rsidR="000D0EE5" w:rsidRPr="00A34F10" w:rsidRDefault="000D0EE5" w:rsidP="000D0EE5">
            <w:pPr>
              <w:suppressAutoHyphens/>
              <w:autoSpaceDE w:val="0"/>
              <w:autoSpaceDN w:val="0"/>
              <w:adjustRightInd w:val="0"/>
              <w:rPr>
                <w:sz w:val="20"/>
                <w:szCs w:val="20"/>
              </w:rPr>
            </w:pPr>
            <w:r w:rsidRPr="00A34F10">
              <w:rPr>
                <w:color w:val="000000"/>
                <w:sz w:val="20"/>
                <w:szCs w:val="20"/>
              </w:rPr>
              <w:t>D6/ditch</w:t>
            </w:r>
          </w:p>
        </w:tc>
        <w:tc>
          <w:tcPr>
            <w:tcW w:w="365" w:type="pct"/>
            <w:tcBorders>
              <w:top w:val="single" w:sz="6" w:space="0" w:color="auto"/>
              <w:left w:val="single" w:sz="4" w:space="0" w:color="auto"/>
              <w:bottom w:val="single" w:sz="6" w:space="0" w:color="auto"/>
              <w:right w:val="single" w:sz="6" w:space="0" w:color="auto"/>
            </w:tcBorders>
            <w:shd w:val="clear" w:color="auto" w:fill="auto"/>
            <w:vAlign w:val="center"/>
          </w:tcPr>
          <w:p w14:paraId="7F6B160F"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1.486</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4A3A3F4D"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79B3E92"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0.31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9A2B73F" w14:textId="7FED2BF5"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59BC3975" w14:textId="688035F4"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82205" w14:textId="142E711A" w:rsidR="000D0EE5" w:rsidRPr="00A34F10" w:rsidRDefault="000D0EE5" w:rsidP="000D0EE5">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24F53637" w14:textId="3FCB0413"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0.83</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656D3FCD" w14:textId="739A5D23"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6E2DA75B" w14:textId="48043B8C" w:rsidR="000D0EE5" w:rsidRPr="00A34F10" w:rsidRDefault="000D0EE5" w:rsidP="000D0EE5">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687A43EB"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58C83EF" w14:textId="77777777" w:rsidR="000D0EE5" w:rsidRPr="00A34F10" w:rsidRDefault="000D0EE5" w:rsidP="000D0EE5">
            <w:pPr>
              <w:suppressAutoHyphens/>
              <w:autoSpaceDE w:val="0"/>
              <w:autoSpaceDN w:val="0"/>
              <w:adjustRightInd w:val="0"/>
              <w:jc w:val="center"/>
              <w:rPr>
                <w:bCs/>
                <w:sz w:val="20"/>
                <w:szCs w:val="20"/>
              </w:rPr>
            </w:pPr>
            <w:r w:rsidRPr="00A34F10">
              <w:rPr>
                <w:sz w:val="20"/>
                <w:szCs w:val="20"/>
              </w:rPr>
              <w:t>--</w:t>
            </w:r>
          </w:p>
        </w:tc>
      </w:tr>
      <w:tr w:rsidR="000D0EE5" w:rsidRPr="00A34F10" w14:paraId="13C68C8C" w14:textId="77777777" w:rsidTr="0066107E">
        <w:trPr>
          <w:trHeight w:val="266"/>
        </w:trPr>
        <w:tc>
          <w:tcPr>
            <w:tcW w:w="346" w:type="pct"/>
            <w:tcBorders>
              <w:top w:val="single" w:sz="6" w:space="0" w:color="auto"/>
              <w:left w:val="single" w:sz="6" w:space="0" w:color="auto"/>
              <w:bottom w:val="single" w:sz="6" w:space="0" w:color="auto"/>
              <w:right w:val="single" w:sz="6" w:space="0" w:color="auto"/>
            </w:tcBorders>
            <w:shd w:val="clear" w:color="auto" w:fill="auto"/>
          </w:tcPr>
          <w:p w14:paraId="3A1148D1" w14:textId="77777777" w:rsidR="000D0EE5" w:rsidRPr="00A34F10" w:rsidRDefault="000D0EE5" w:rsidP="000D0EE5">
            <w:pPr>
              <w:suppressAutoHyphens/>
              <w:autoSpaceDE w:val="0"/>
              <w:autoSpaceDN w:val="0"/>
              <w:adjustRightInd w:val="0"/>
              <w:rPr>
                <w:sz w:val="20"/>
                <w:szCs w:val="20"/>
              </w:rPr>
            </w:pPr>
            <w:r w:rsidRPr="00A34F10">
              <w:rPr>
                <w:color w:val="000000"/>
                <w:sz w:val="20"/>
                <w:szCs w:val="20"/>
              </w:rPr>
              <w:t>R2/stream</w:t>
            </w:r>
          </w:p>
        </w:tc>
        <w:tc>
          <w:tcPr>
            <w:tcW w:w="365" w:type="pct"/>
            <w:tcBorders>
              <w:top w:val="single" w:sz="6" w:space="0" w:color="auto"/>
              <w:left w:val="single" w:sz="4" w:space="0" w:color="auto"/>
              <w:bottom w:val="single" w:sz="6" w:space="0" w:color="auto"/>
              <w:right w:val="single" w:sz="6" w:space="0" w:color="auto"/>
            </w:tcBorders>
            <w:shd w:val="clear" w:color="auto" w:fill="auto"/>
            <w:vAlign w:val="center"/>
          </w:tcPr>
          <w:p w14:paraId="44235FAE"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1.332</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1C1A6351"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B60CA61"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0.28</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6A4E00C" w14:textId="48BC5A41"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0B40CEAC" w14:textId="0C80DCD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1D6191" w14:textId="54B5A2A0" w:rsidR="000D0EE5" w:rsidRPr="00A34F10" w:rsidRDefault="000D0EE5" w:rsidP="000D0EE5">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0455162" w14:textId="4F4CB089"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0.74</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3F9D9A6" w14:textId="03F4078C"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0E4FFF96" w14:textId="333C1B8E" w:rsidR="000D0EE5" w:rsidRPr="00A34F10" w:rsidRDefault="000D0EE5" w:rsidP="000D0EE5">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E0CCEF2"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C6BEF42" w14:textId="77777777" w:rsidR="000D0EE5" w:rsidRPr="00A34F10" w:rsidRDefault="000D0EE5" w:rsidP="000D0EE5">
            <w:pPr>
              <w:suppressAutoHyphens/>
              <w:autoSpaceDE w:val="0"/>
              <w:autoSpaceDN w:val="0"/>
              <w:adjustRightInd w:val="0"/>
              <w:jc w:val="center"/>
              <w:rPr>
                <w:bCs/>
                <w:sz w:val="20"/>
                <w:szCs w:val="20"/>
              </w:rPr>
            </w:pPr>
            <w:r w:rsidRPr="00A34F10">
              <w:rPr>
                <w:sz w:val="20"/>
                <w:szCs w:val="20"/>
              </w:rPr>
              <w:t>--</w:t>
            </w:r>
          </w:p>
        </w:tc>
      </w:tr>
      <w:tr w:rsidR="000D0EE5" w:rsidRPr="00A34F10" w14:paraId="1D3A01F4" w14:textId="77777777" w:rsidTr="0066107E">
        <w:trPr>
          <w:trHeight w:val="266"/>
        </w:trPr>
        <w:tc>
          <w:tcPr>
            <w:tcW w:w="346" w:type="pct"/>
            <w:tcBorders>
              <w:top w:val="single" w:sz="6" w:space="0" w:color="auto"/>
              <w:left w:val="single" w:sz="6" w:space="0" w:color="auto"/>
              <w:bottom w:val="single" w:sz="6" w:space="0" w:color="auto"/>
              <w:right w:val="single" w:sz="6" w:space="0" w:color="auto"/>
            </w:tcBorders>
            <w:shd w:val="clear" w:color="auto" w:fill="auto"/>
          </w:tcPr>
          <w:p w14:paraId="430A9AF8" w14:textId="77777777" w:rsidR="000D0EE5" w:rsidRPr="00A34F10" w:rsidRDefault="000D0EE5" w:rsidP="000D0EE5">
            <w:pPr>
              <w:suppressAutoHyphens/>
              <w:autoSpaceDE w:val="0"/>
              <w:autoSpaceDN w:val="0"/>
              <w:adjustRightInd w:val="0"/>
              <w:rPr>
                <w:sz w:val="20"/>
                <w:szCs w:val="20"/>
              </w:rPr>
            </w:pPr>
            <w:r w:rsidRPr="00A34F10">
              <w:rPr>
                <w:color w:val="000000"/>
                <w:sz w:val="20"/>
                <w:szCs w:val="20"/>
              </w:rPr>
              <w:t>R3/stream</w:t>
            </w:r>
          </w:p>
        </w:tc>
        <w:tc>
          <w:tcPr>
            <w:tcW w:w="365" w:type="pct"/>
            <w:tcBorders>
              <w:top w:val="single" w:sz="6" w:space="0" w:color="auto"/>
              <w:left w:val="single" w:sz="4" w:space="0" w:color="auto"/>
              <w:bottom w:val="single" w:sz="6" w:space="0" w:color="auto"/>
              <w:right w:val="single" w:sz="6" w:space="0" w:color="auto"/>
            </w:tcBorders>
            <w:shd w:val="clear" w:color="auto" w:fill="auto"/>
            <w:vAlign w:val="center"/>
          </w:tcPr>
          <w:p w14:paraId="08E7FA35"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1.401</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46767C20"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A84AC4B"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0.29</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1C4531D" w14:textId="7CDF3A04"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5ED29CD3" w14:textId="2050406D"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6CE4BB" w14:textId="572CA618" w:rsidR="000D0EE5" w:rsidRPr="00A34F10" w:rsidRDefault="000D0EE5" w:rsidP="000D0EE5">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0D733DA" w14:textId="0C946ED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0.78</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C3DB283" w14:textId="43D234D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6AED0CEE" w14:textId="291BD817" w:rsidR="000D0EE5" w:rsidRPr="00A34F10" w:rsidRDefault="000D0EE5" w:rsidP="000D0EE5">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3160564"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1ED99BC8" w14:textId="77777777" w:rsidR="000D0EE5" w:rsidRPr="00A34F10" w:rsidRDefault="000D0EE5" w:rsidP="000D0EE5">
            <w:pPr>
              <w:suppressAutoHyphens/>
              <w:autoSpaceDE w:val="0"/>
              <w:autoSpaceDN w:val="0"/>
              <w:adjustRightInd w:val="0"/>
              <w:jc w:val="center"/>
              <w:rPr>
                <w:bCs/>
                <w:sz w:val="20"/>
                <w:szCs w:val="20"/>
              </w:rPr>
            </w:pPr>
            <w:r w:rsidRPr="00A34F10">
              <w:rPr>
                <w:sz w:val="20"/>
                <w:szCs w:val="20"/>
              </w:rPr>
              <w:t>--</w:t>
            </w:r>
          </w:p>
        </w:tc>
      </w:tr>
      <w:tr w:rsidR="000D0EE5" w:rsidRPr="00A34F10" w14:paraId="3B50250B" w14:textId="77777777" w:rsidTr="0066107E">
        <w:trPr>
          <w:trHeight w:val="266"/>
        </w:trPr>
        <w:tc>
          <w:tcPr>
            <w:tcW w:w="346" w:type="pct"/>
            <w:tcBorders>
              <w:top w:val="single" w:sz="6" w:space="0" w:color="auto"/>
              <w:left w:val="single" w:sz="6" w:space="0" w:color="auto"/>
              <w:bottom w:val="single" w:sz="6" w:space="0" w:color="auto"/>
              <w:right w:val="single" w:sz="6" w:space="0" w:color="auto"/>
            </w:tcBorders>
            <w:shd w:val="clear" w:color="auto" w:fill="auto"/>
          </w:tcPr>
          <w:p w14:paraId="5569AD41" w14:textId="77777777" w:rsidR="000D0EE5" w:rsidRPr="00A34F10" w:rsidRDefault="000D0EE5" w:rsidP="000D0EE5">
            <w:pPr>
              <w:suppressAutoHyphens/>
              <w:autoSpaceDE w:val="0"/>
              <w:autoSpaceDN w:val="0"/>
              <w:adjustRightInd w:val="0"/>
              <w:rPr>
                <w:sz w:val="20"/>
                <w:szCs w:val="20"/>
              </w:rPr>
            </w:pPr>
            <w:r w:rsidRPr="00A34F10">
              <w:rPr>
                <w:color w:val="000000"/>
                <w:sz w:val="20"/>
                <w:szCs w:val="20"/>
              </w:rPr>
              <w:t>R4/stream</w:t>
            </w:r>
          </w:p>
        </w:tc>
        <w:tc>
          <w:tcPr>
            <w:tcW w:w="365" w:type="pct"/>
            <w:tcBorders>
              <w:top w:val="single" w:sz="6" w:space="0" w:color="auto"/>
              <w:left w:val="single" w:sz="4" w:space="0" w:color="auto"/>
              <w:bottom w:val="single" w:sz="6" w:space="0" w:color="auto"/>
              <w:right w:val="single" w:sz="6" w:space="0" w:color="auto"/>
            </w:tcBorders>
            <w:shd w:val="clear" w:color="auto" w:fill="auto"/>
          </w:tcPr>
          <w:p w14:paraId="5228789E" w14:textId="77777777" w:rsidR="000D0EE5" w:rsidRPr="00A34F10" w:rsidRDefault="000D0EE5" w:rsidP="000D0EE5">
            <w:pPr>
              <w:suppressAutoHyphens/>
              <w:autoSpaceDE w:val="0"/>
              <w:autoSpaceDN w:val="0"/>
              <w:adjustRightInd w:val="0"/>
              <w:jc w:val="center"/>
              <w:rPr>
                <w:sz w:val="20"/>
                <w:szCs w:val="20"/>
              </w:rPr>
            </w:pPr>
            <w:r w:rsidRPr="00A34F10">
              <w:rPr>
                <w:color w:val="000000"/>
                <w:sz w:val="20"/>
                <w:szCs w:val="20"/>
              </w:rPr>
              <w:t>0.993</w:t>
            </w:r>
          </w:p>
        </w:tc>
        <w:tc>
          <w:tcPr>
            <w:tcW w:w="398" w:type="pct"/>
            <w:tcBorders>
              <w:top w:val="single" w:sz="6" w:space="0" w:color="auto"/>
              <w:left w:val="single" w:sz="6" w:space="0" w:color="auto"/>
              <w:bottom w:val="single" w:sz="6" w:space="0" w:color="auto"/>
              <w:right w:val="single" w:sz="6" w:space="0" w:color="auto"/>
            </w:tcBorders>
            <w:shd w:val="clear" w:color="auto" w:fill="auto"/>
            <w:vAlign w:val="center"/>
          </w:tcPr>
          <w:p w14:paraId="75A835B7"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51219209" w14:textId="77777777"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0.21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70B57CE" w14:textId="1AC19375"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0FEC341F" w14:textId="50B47C24"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7EC1FE" w14:textId="66ECDBFB" w:rsidR="000D0EE5" w:rsidRPr="00A34F10" w:rsidRDefault="000D0EE5" w:rsidP="000D0EE5">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3983C5C" w14:textId="65DE3406" w:rsidR="000D0EE5" w:rsidRPr="00A34F10" w:rsidRDefault="000D0EE5" w:rsidP="000D0EE5">
            <w:pPr>
              <w:suppressAutoHyphens/>
              <w:autoSpaceDE w:val="0"/>
              <w:autoSpaceDN w:val="0"/>
              <w:adjustRightInd w:val="0"/>
              <w:jc w:val="center"/>
              <w:rPr>
                <w:bCs/>
                <w:sz w:val="20"/>
                <w:szCs w:val="20"/>
              </w:rPr>
            </w:pPr>
            <w:r w:rsidRPr="00A34F10">
              <w:rPr>
                <w:color w:val="000000"/>
                <w:sz w:val="20"/>
                <w:szCs w:val="20"/>
              </w:rPr>
              <w:t>0.55</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4BAB0E6F" w14:textId="7241F1AC"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325090FB" w14:textId="778530B9" w:rsidR="000D0EE5" w:rsidRPr="00A34F10" w:rsidRDefault="000D0EE5" w:rsidP="000D0EE5">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7D6B4E4" w14:textId="77777777" w:rsidR="000D0EE5" w:rsidRPr="00A34F10" w:rsidRDefault="000D0EE5" w:rsidP="000D0EE5">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62E66226" w14:textId="77777777" w:rsidR="000D0EE5" w:rsidRPr="00A34F10" w:rsidRDefault="000D0EE5" w:rsidP="000D0EE5">
            <w:pPr>
              <w:suppressAutoHyphens/>
              <w:autoSpaceDE w:val="0"/>
              <w:autoSpaceDN w:val="0"/>
              <w:adjustRightInd w:val="0"/>
              <w:jc w:val="center"/>
              <w:rPr>
                <w:bCs/>
                <w:sz w:val="20"/>
                <w:szCs w:val="20"/>
              </w:rPr>
            </w:pPr>
            <w:r w:rsidRPr="00A34F10">
              <w:rPr>
                <w:sz w:val="20"/>
                <w:szCs w:val="20"/>
              </w:rPr>
              <w:t>--</w:t>
            </w:r>
          </w:p>
        </w:tc>
      </w:tr>
    </w:tbl>
    <w:p w14:paraId="0CA9FDA7"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t xml:space="preserve">AF: Assessment factor; PEC: Predicted environmental concentration; RAC: Regulatory acceptable concentration; PEC/RAC ratios above the relevant trigger of 1 are shown in </w:t>
      </w:r>
      <w:r w:rsidRPr="00A34F10">
        <w:rPr>
          <w:b/>
          <w:sz w:val="18"/>
          <w:szCs w:val="18"/>
        </w:rPr>
        <w:t>bold</w:t>
      </w:r>
      <w:r w:rsidRPr="00A34F10">
        <w:rPr>
          <w:sz w:val="18"/>
          <w:szCs w:val="18"/>
        </w:rPr>
        <w:t>.</w:t>
      </w:r>
    </w:p>
    <w:p w14:paraId="70749D4C" w14:textId="77777777" w:rsidR="00DC5685" w:rsidRPr="00A34F10" w:rsidRDefault="00DC5685" w:rsidP="00DC5685">
      <w:pPr>
        <w:widowControl w:val="0"/>
        <w:suppressAutoHyphens/>
        <w:ind w:left="284" w:hanging="284"/>
        <w:jc w:val="both"/>
        <w:rPr>
          <w:sz w:val="18"/>
          <w:szCs w:val="18"/>
        </w:rPr>
      </w:pPr>
      <w:r w:rsidRPr="00A34F10">
        <w:rPr>
          <w:sz w:val="18"/>
          <w:szCs w:val="18"/>
        </w:rPr>
        <w:t>*</w:t>
      </w:r>
      <w:r w:rsidRPr="00A34F10">
        <w:rPr>
          <w:sz w:val="18"/>
          <w:szCs w:val="18"/>
        </w:rPr>
        <w:tab/>
        <w:t>Study was conducted with the solo-formulation BAS 650 00 F; endpoint is given as mean measured concentration of the active substance.</w:t>
      </w:r>
    </w:p>
    <w:p w14:paraId="44C35E33" w14:textId="77777777" w:rsidR="00DC5685" w:rsidRPr="00A34F10" w:rsidRDefault="00DC5685" w:rsidP="00DC5685">
      <w:pPr>
        <w:widowControl w:val="0"/>
        <w:tabs>
          <w:tab w:val="left" w:pos="284"/>
        </w:tabs>
        <w:suppressAutoHyphens/>
        <w:ind w:left="284" w:hanging="284"/>
        <w:jc w:val="both"/>
        <w:rPr>
          <w:sz w:val="18"/>
        </w:rPr>
      </w:pPr>
      <w:r w:rsidRPr="00A34F10">
        <w:rPr>
          <w:sz w:val="18"/>
          <w:vertAlign w:val="superscript"/>
        </w:rPr>
        <w:t>1)</w:t>
      </w:r>
      <w:r w:rsidRPr="00A34F10">
        <w:rPr>
          <w:sz w:val="18"/>
        </w:rPr>
        <w:tab/>
        <w:t>Worst-case</w:t>
      </w:r>
      <w:r w:rsidRPr="00A34F10">
        <w:rPr>
          <w:bCs/>
          <w:sz w:val="18"/>
        </w:rPr>
        <w:t xml:space="preserve"> PEC value resulting from calculations for single or multiple application in tomatoes and aubergine.</w:t>
      </w:r>
    </w:p>
    <w:bookmarkEnd w:id="512"/>
    <w:p w14:paraId="1601B275" w14:textId="7B91D9E4" w:rsidR="00DC5685" w:rsidRPr="00A34F10" w:rsidRDefault="00DC5685" w:rsidP="00DC5685">
      <w:pPr>
        <w:widowControl w:val="0"/>
        <w:suppressAutoHyphens/>
        <w:jc w:val="both"/>
        <w:rPr>
          <w:highlight w:val="yellow"/>
        </w:rPr>
      </w:pPr>
    </w:p>
    <w:p w14:paraId="3E46B716" w14:textId="77777777" w:rsidR="00DC5685" w:rsidRPr="00A34F10" w:rsidRDefault="00DC5685" w:rsidP="00DC5685">
      <w:pPr>
        <w:widowControl w:val="0"/>
        <w:suppressAutoHyphens/>
        <w:jc w:val="both"/>
        <w:rPr>
          <w:highlight w:val="yellow"/>
        </w:rPr>
      </w:pPr>
    </w:p>
    <w:p w14:paraId="39EAA1F5" w14:textId="77777777" w:rsidR="00DC5685" w:rsidRPr="00A34F10" w:rsidRDefault="00DC5685" w:rsidP="00DC5685">
      <w:pPr>
        <w:widowControl w:val="0"/>
        <w:suppressAutoHyphens/>
        <w:spacing w:before="200" w:after="120"/>
        <w:ind w:left="1985" w:hanging="1985"/>
        <w:jc w:val="both"/>
        <w:rPr>
          <w:b/>
        </w:rPr>
        <w:sectPr w:rsidR="00DC5685" w:rsidRPr="00A34F10" w:rsidSect="00876422">
          <w:pgSz w:w="16840" w:h="16702" w:orient="landscape" w:code="9"/>
          <w:pgMar w:top="1418" w:right="1418" w:bottom="1418" w:left="1418" w:header="709" w:footer="709" w:gutter="0"/>
          <w:cols w:space="720"/>
        </w:sectPr>
      </w:pPr>
    </w:p>
    <w:p w14:paraId="7953FB1C" w14:textId="580D45B0" w:rsidR="00DC5685" w:rsidRPr="00A34F10" w:rsidRDefault="00370EAA" w:rsidP="00BB63B3">
      <w:pPr>
        <w:pStyle w:val="Legenda"/>
      </w:pPr>
      <w:r w:rsidRPr="00A34F10">
        <w:lastRenderedPageBreak/>
        <w:t xml:space="preserve">Table </w:t>
      </w:r>
      <w:r w:rsidRPr="00A34F10">
        <w:fldChar w:fldCharType="begin"/>
      </w:r>
      <w:r w:rsidRPr="00A34F10">
        <w:instrText xml:space="preserve"> STYLEREF 2 \s </w:instrText>
      </w:r>
      <w:r w:rsidRPr="00A34F10">
        <w:fldChar w:fldCharType="separate"/>
      </w:r>
      <w:r w:rsidR="006F0F3B">
        <w:rPr>
          <w:noProof/>
        </w:rPr>
        <w:t>9.5</w:t>
      </w:r>
      <w:r w:rsidRPr="00A34F10">
        <w:fldChar w:fldCharType="end"/>
      </w:r>
      <w:r w:rsidRPr="00A34F10">
        <w:noBreakHyphen/>
      </w:r>
      <w:r w:rsidR="00746A24">
        <w:t>7</w:t>
      </w:r>
      <w:r w:rsidR="00DC5685" w:rsidRPr="00A34F10">
        <w:t>:</w:t>
      </w:r>
      <w:r w:rsidR="00DC5685" w:rsidRPr="00A34F10">
        <w:tab/>
        <w:t>Aquatic organisms: acceptability of risk (PEC/RAC &lt; 1) for Ametoctradin for each organism group based on FOCUS Steps 1, 2 and 3 calculations for the use of BAS 743 03 F in onions (2 × 2.0 L/ha)</w:t>
      </w:r>
    </w:p>
    <w:tbl>
      <w:tblPr>
        <w:tblW w:w="5000" w:type="pct"/>
        <w:tblCellMar>
          <w:left w:w="70" w:type="dxa"/>
          <w:right w:w="70" w:type="dxa"/>
        </w:tblCellMar>
        <w:tblLook w:val="0000" w:firstRow="0" w:lastRow="0" w:firstColumn="0" w:lastColumn="0" w:noHBand="0" w:noVBand="0"/>
      </w:tblPr>
      <w:tblGrid>
        <w:gridCol w:w="974"/>
        <w:gridCol w:w="1018"/>
        <w:gridCol w:w="1111"/>
        <w:gridCol w:w="1116"/>
        <w:gridCol w:w="1220"/>
        <w:gridCol w:w="1220"/>
        <w:gridCol w:w="1116"/>
        <w:gridCol w:w="1116"/>
        <w:gridCol w:w="1527"/>
        <w:gridCol w:w="1527"/>
        <w:gridCol w:w="806"/>
        <w:gridCol w:w="1237"/>
      </w:tblGrid>
      <w:tr w:rsidR="00197E8F" w:rsidRPr="00A34F10" w14:paraId="467B888A" w14:textId="77777777" w:rsidTr="00197E8F">
        <w:trPr>
          <w:trHeight w:val="494"/>
        </w:trPr>
        <w:tc>
          <w:tcPr>
            <w:tcW w:w="71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D54979" w14:textId="77777777" w:rsidR="00197E8F" w:rsidRPr="00A34F10" w:rsidRDefault="00197E8F" w:rsidP="00DC5685">
            <w:pPr>
              <w:suppressAutoHyphens/>
              <w:autoSpaceDE w:val="0"/>
              <w:autoSpaceDN w:val="0"/>
              <w:adjustRightInd w:val="0"/>
              <w:rPr>
                <w:b/>
                <w:bCs/>
                <w:sz w:val="20"/>
                <w:szCs w:val="20"/>
              </w:rPr>
            </w:pPr>
            <w:r w:rsidRPr="00A34F10">
              <w:rPr>
                <w:b/>
                <w:bCs/>
                <w:sz w:val="20"/>
                <w:szCs w:val="20"/>
              </w:rPr>
              <w:t>Group</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02707ACE" w14:textId="77777777" w:rsidR="00197E8F" w:rsidRPr="00A34F10" w:rsidRDefault="00197E8F" w:rsidP="00DC5685">
            <w:pPr>
              <w:suppressAutoHyphens/>
              <w:autoSpaceDE w:val="0"/>
              <w:autoSpaceDN w:val="0"/>
              <w:adjustRightInd w:val="0"/>
              <w:jc w:val="center"/>
              <w:rPr>
                <w:b/>
                <w:bCs/>
                <w:sz w:val="20"/>
                <w:szCs w:val="20"/>
              </w:rPr>
            </w:pPr>
            <w:r w:rsidRPr="00A34F10">
              <w:rPr>
                <w:b/>
                <w:bCs/>
                <w:sz w:val="20"/>
                <w:szCs w:val="20"/>
              </w:rPr>
              <w:t>Fish acute</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3023EE21" w14:textId="77777777" w:rsidR="00197E8F" w:rsidRPr="00A34F10" w:rsidRDefault="00197E8F" w:rsidP="00DC5685">
            <w:pPr>
              <w:suppressAutoHyphens/>
              <w:autoSpaceDE w:val="0"/>
              <w:autoSpaceDN w:val="0"/>
              <w:adjustRightInd w:val="0"/>
              <w:jc w:val="center"/>
              <w:rPr>
                <w:b/>
                <w:bCs/>
                <w:sz w:val="20"/>
                <w:szCs w:val="20"/>
              </w:rPr>
            </w:pPr>
            <w:r w:rsidRPr="00A34F10">
              <w:rPr>
                <w:b/>
                <w:bCs/>
                <w:sz w:val="20"/>
                <w:szCs w:val="20"/>
              </w:rPr>
              <w:t>Fish chronic</w:t>
            </w:r>
          </w:p>
        </w:tc>
        <w:tc>
          <w:tcPr>
            <w:tcW w:w="872" w:type="pct"/>
            <w:gridSpan w:val="2"/>
            <w:tcBorders>
              <w:top w:val="single" w:sz="6" w:space="0" w:color="auto"/>
              <w:left w:val="single" w:sz="6" w:space="0" w:color="auto"/>
              <w:bottom w:val="single" w:sz="6" w:space="0" w:color="auto"/>
              <w:right w:val="single" w:sz="6" w:space="0" w:color="auto"/>
            </w:tcBorders>
          </w:tcPr>
          <w:p w14:paraId="6D7331CB" w14:textId="48E86652" w:rsidR="00197E8F" w:rsidRPr="00A34F10" w:rsidRDefault="00197E8F" w:rsidP="00DC5685">
            <w:pPr>
              <w:suppressAutoHyphens/>
              <w:autoSpaceDE w:val="0"/>
              <w:autoSpaceDN w:val="0"/>
              <w:adjustRightInd w:val="0"/>
              <w:jc w:val="center"/>
              <w:rPr>
                <w:b/>
                <w:bCs/>
                <w:sz w:val="20"/>
                <w:szCs w:val="20"/>
              </w:rPr>
            </w:pPr>
            <w:r w:rsidRPr="00A34F10">
              <w:rPr>
                <w:b/>
                <w:bCs/>
                <w:sz w:val="20"/>
                <w:szCs w:val="20"/>
              </w:rPr>
              <w:t>Inverteb. acute</w:t>
            </w:r>
          </w:p>
        </w:tc>
        <w:tc>
          <w:tcPr>
            <w:tcW w:w="798" w:type="pct"/>
            <w:gridSpan w:val="2"/>
            <w:tcBorders>
              <w:top w:val="single" w:sz="6" w:space="0" w:color="auto"/>
              <w:left w:val="single" w:sz="6" w:space="0" w:color="auto"/>
              <w:bottom w:val="single" w:sz="6" w:space="0" w:color="auto"/>
              <w:right w:val="single" w:sz="6" w:space="0" w:color="auto"/>
            </w:tcBorders>
          </w:tcPr>
          <w:p w14:paraId="774A265D" w14:textId="5F9623BC" w:rsidR="00197E8F" w:rsidRPr="00A34F10" w:rsidRDefault="00197E8F" w:rsidP="00DC5685">
            <w:pPr>
              <w:suppressAutoHyphens/>
              <w:autoSpaceDE w:val="0"/>
              <w:autoSpaceDN w:val="0"/>
              <w:adjustRightInd w:val="0"/>
              <w:jc w:val="center"/>
              <w:rPr>
                <w:b/>
                <w:bCs/>
                <w:sz w:val="20"/>
                <w:szCs w:val="20"/>
              </w:rPr>
            </w:pPr>
            <w:r w:rsidRPr="00A34F10">
              <w:rPr>
                <w:b/>
                <w:bCs/>
                <w:sz w:val="20"/>
                <w:szCs w:val="20"/>
              </w:rPr>
              <w:t>Inverteb. chronic</w:t>
            </w:r>
          </w:p>
        </w:tc>
        <w:tc>
          <w:tcPr>
            <w:tcW w:w="1092" w:type="pct"/>
            <w:gridSpan w:val="2"/>
            <w:tcBorders>
              <w:top w:val="single" w:sz="6" w:space="0" w:color="auto"/>
              <w:left w:val="single" w:sz="6" w:space="0" w:color="auto"/>
              <w:bottom w:val="single" w:sz="6" w:space="0" w:color="auto"/>
              <w:right w:val="single" w:sz="6" w:space="0" w:color="auto"/>
            </w:tcBorders>
          </w:tcPr>
          <w:p w14:paraId="72AEB418" w14:textId="31D661A2" w:rsidR="00197E8F" w:rsidRPr="00A34F10" w:rsidRDefault="00197E8F" w:rsidP="00DC5685">
            <w:pPr>
              <w:suppressAutoHyphens/>
              <w:autoSpaceDE w:val="0"/>
              <w:autoSpaceDN w:val="0"/>
              <w:adjustRightInd w:val="0"/>
              <w:jc w:val="center"/>
              <w:rPr>
                <w:sz w:val="20"/>
                <w:szCs w:val="20"/>
              </w:rPr>
            </w:pPr>
            <w:r w:rsidRPr="00A34F10">
              <w:rPr>
                <w:b/>
                <w:bCs/>
                <w:sz w:val="20"/>
                <w:szCs w:val="20"/>
              </w:rPr>
              <w:t>Algae</w:t>
            </w:r>
          </w:p>
        </w:tc>
        <w:tc>
          <w:tcPr>
            <w:tcW w:w="288" w:type="pct"/>
            <w:vMerge w:val="restart"/>
            <w:tcBorders>
              <w:top w:val="single" w:sz="6" w:space="0" w:color="auto"/>
              <w:left w:val="single" w:sz="6" w:space="0" w:color="auto"/>
              <w:right w:val="single" w:sz="6" w:space="0" w:color="auto"/>
            </w:tcBorders>
            <w:shd w:val="clear" w:color="auto" w:fill="auto"/>
            <w:vAlign w:val="center"/>
          </w:tcPr>
          <w:p w14:paraId="333FF5BB" w14:textId="77777777" w:rsidR="00197E8F" w:rsidRPr="00A34F10" w:rsidRDefault="00197E8F" w:rsidP="00DC5685">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7C2C7E6" w14:textId="77777777" w:rsidR="00197E8F" w:rsidRPr="00A34F10" w:rsidRDefault="00197E8F" w:rsidP="00DC5685">
            <w:pPr>
              <w:suppressAutoHyphens/>
              <w:autoSpaceDE w:val="0"/>
              <w:autoSpaceDN w:val="0"/>
              <w:adjustRightInd w:val="0"/>
              <w:jc w:val="center"/>
              <w:rPr>
                <w:b/>
                <w:bCs/>
                <w:sz w:val="20"/>
                <w:szCs w:val="20"/>
              </w:rPr>
            </w:pPr>
            <w:r w:rsidRPr="00A34F10">
              <w:rPr>
                <w:b/>
                <w:bCs/>
                <w:sz w:val="20"/>
                <w:szCs w:val="20"/>
              </w:rPr>
              <w:t>Sed. dwell. chronic</w:t>
            </w:r>
          </w:p>
        </w:tc>
      </w:tr>
      <w:tr w:rsidR="005C2CED" w:rsidRPr="00A34F10" w14:paraId="1CD07151" w14:textId="77777777" w:rsidTr="005C2CED">
        <w:trPr>
          <w:trHeight w:val="262"/>
        </w:trPr>
        <w:tc>
          <w:tcPr>
            <w:tcW w:w="71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C31E2A3"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Test species</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70D04C25" w14:textId="77777777" w:rsidR="005C2CED" w:rsidRPr="00A34F10" w:rsidRDefault="005C2CED" w:rsidP="005C2CED">
            <w:pPr>
              <w:suppressAutoHyphens/>
              <w:autoSpaceDE w:val="0"/>
              <w:autoSpaceDN w:val="0"/>
              <w:adjustRightInd w:val="0"/>
              <w:jc w:val="center"/>
              <w:rPr>
                <w:b/>
                <w:bCs/>
                <w:i/>
                <w:iCs/>
                <w:sz w:val="20"/>
                <w:szCs w:val="20"/>
              </w:rPr>
            </w:pPr>
            <w:r w:rsidRPr="00A34F10">
              <w:rPr>
                <w:b/>
                <w:bCs/>
                <w:i/>
                <w:iCs/>
                <w:sz w:val="20"/>
                <w:szCs w:val="20"/>
              </w:rPr>
              <w:t>O. mykiss *</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02062BD8" w14:textId="77777777" w:rsidR="005C2CED" w:rsidRPr="00A34F10" w:rsidRDefault="005C2CED" w:rsidP="005C2CED">
            <w:pPr>
              <w:suppressAutoHyphens/>
              <w:autoSpaceDE w:val="0"/>
              <w:autoSpaceDN w:val="0"/>
              <w:adjustRightInd w:val="0"/>
              <w:jc w:val="center"/>
              <w:rPr>
                <w:b/>
                <w:bCs/>
                <w:i/>
                <w:iCs/>
                <w:sz w:val="20"/>
                <w:szCs w:val="20"/>
              </w:rPr>
            </w:pPr>
            <w:r w:rsidRPr="00A34F10">
              <w:rPr>
                <w:b/>
                <w:bCs/>
                <w:i/>
                <w:iCs/>
                <w:sz w:val="20"/>
                <w:szCs w:val="20"/>
              </w:rPr>
              <w:t>P. promelas</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2EAE16" w14:textId="3EFC8A89" w:rsidR="005C2CED" w:rsidRPr="00A34F10" w:rsidRDefault="005C2CED" w:rsidP="005C2CED">
            <w:pPr>
              <w:suppressAutoHyphens/>
              <w:autoSpaceDE w:val="0"/>
              <w:autoSpaceDN w:val="0"/>
              <w:adjustRightInd w:val="0"/>
              <w:jc w:val="center"/>
              <w:rPr>
                <w:b/>
                <w:bCs/>
                <w:i/>
                <w:iCs/>
                <w:sz w:val="20"/>
                <w:szCs w:val="20"/>
              </w:rPr>
            </w:pPr>
            <w:r w:rsidRPr="00C212C1">
              <w:rPr>
                <w:b/>
                <w:bCs/>
                <w:i/>
                <w:iCs/>
                <w:sz w:val="20"/>
                <w:szCs w:val="20"/>
              </w:rPr>
              <w:t>D. magna</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41CCAF72" w14:textId="78A7387B" w:rsidR="005C2CED" w:rsidRPr="00A34F10" w:rsidRDefault="005C2CED" w:rsidP="005C2CED">
            <w:pPr>
              <w:suppressAutoHyphens/>
              <w:autoSpaceDE w:val="0"/>
              <w:autoSpaceDN w:val="0"/>
              <w:adjustRightInd w:val="0"/>
              <w:jc w:val="center"/>
              <w:rPr>
                <w:b/>
                <w:bCs/>
                <w:i/>
                <w:iCs/>
                <w:sz w:val="20"/>
                <w:szCs w:val="20"/>
              </w:rPr>
            </w:pPr>
            <w:r w:rsidRPr="00A34F10">
              <w:rPr>
                <w:b/>
                <w:bCs/>
                <w:i/>
                <w:iCs/>
                <w:sz w:val="20"/>
                <w:szCs w:val="20"/>
              </w:rPr>
              <w:t>D. magna *</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E5B31C2" w14:textId="578D4943" w:rsidR="005C2CED" w:rsidRPr="00A34F10" w:rsidRDefault="005C2CED" w:rsidP="005C2CED">
            <w:pPr>
              <w:suppressAutoHyphens/>
              <w:autoSpaceDE w:val="0"/>
              <w:autoSpaceDN w:val="0"/>
              <w:adjustRightInd w:val="0"/>
              <w:jc w:val="center"/>
              <w:rPr>
                <w:b/>
                <w:bCs/>
                <w:i/>
                <w:iCs/>
                <w:sz w:val="20"/>
                <w:szCs w:val="20"/>
              </w:rPr>
            </w:pPr>
            <w:r w:rsidRPr="00C212C1">
              <w:rPr>
                <w:b/>
                <w:bCs/>
                <w:i/>
                <w:iCs/>
                <w:sz w:val="20"/>
                <w:szCs w:val="20"/>
              </w:rPr>
              <w:t>D. magna</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6473882C" w14:textId="43988CB7" w:rsidR="005C2CED" w:rsidRPr="00A34F10" w:rsidRDefault="005C2CED" w:rsidP="005C2CED">
            <w:pPr>
              <w:suppressAutoHyphens/>
              <w:autoSpaceDE w:val="0"/>
              <w:autoSpaceDN w:val="0"/>
              <w:adjustRightInd w:val="0"/>
              <w:jc w:val="center"/>
              <w:rPr>
                <w:b/>
                <w:bCs/>
                <w:i/>
                <w:iCs/>
                <w:sz w:val="20"/>
                <w:szCs w:val="20"/>
              </w:rPr>
            </w:pPr>
            <w:r w:rsidRPr="00A34F10">
              <w:rPr>
                <w:b/>
                <w:bCs/>
                <w:i/>
                <w:iCs/>
                <w:sz w:val="20"/>
                <w:szCs w:val="20"/>
              </w:rPr>
              <w:t xml:space="preserve">A. </w:t>
            </w:r>
            <w:r w:rsidRPr="00A34F10">
              <w:rPr>
                <w:b/>
                <w:i/>
                <w:sz w:val="20"/>
              </w:rPr>
              <w:t>bahia</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EB0A32" w14:textId="3CCC7DCD" w:rsidR="005C2CED" w:rsidRPr="00A34F10" w:rsidRDefault="005C2CED" w:rsidP="005C2CED">
            <w:pPr>
              <w:suppressAutoHyphens/>
              <w:autoSpaceDE w:val="0"/>
              <w:autoSpaceDN w:val="0"/>
              <w:adjustRightInd w:val="0"/>
              <w:jc w:val="center"/>
              <w:rPr>
                <w:b/>
                <w:bCs/>
                <w:i/>
                <w:iCs/>
                <w:sz w:val="20"/>
                <w:szCs w:val="20"/>
              </w:rPr>
            </w:pPr>
            <w:r w:rsidRPr="00C212C1">
              <w:rPr>
                <w:b/>
                <w:bCs/>
                <w:i/>
                <w:iCs/>
                <w:sz w:val="20"/>
                <w:szCs w:val="20"/>
              </w:rPr>
              <w:t>P. subcapitata</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3F3BF612" w14:textId="71ED7D41" w:rsidR="005C2CED" w:rsidRPr="00A34F10" w:rsidRDefault="005C2CED" w:rsidP="005C2CED">
            <w:pPr>
              <w:suppressAutoHyphens/>
              <w:autoSpaceDE w:val="0"/>
              <w:autoSpaceDN w:val="0"/>
              <w:adjustRightInd w:val="0"/>
              <w:jc w:val="center"/>
              <w:rPr>
                <w:sz w:val="20"/>
                <w:szCs w:val="20"/>
                <w:vertAlign w:val="superscript"/>
              </w:rPr>
            </w:pPr>
            <w:r w:rsidRPr="00A34F10">
              <w:rPr>
                <w:b/>
                <w:bCs/>
                <w:i/>
                <w:iCs/>
                <w:sz w:val="20"/>
                <w:szCs w:val="20"/>
              </w:rPr>
              <w:t>P. subcapitata *</w:t>
            </w:r>
          </w:p>
        </w:tc>
        <w:tc>
          <w:tcPr>
            <w:tcW w:w="288" w:type="pct"/>
            <w:vMerge/>
            <w:tcBorders>
              <w:left w:val="single" w:sz="6" w:space="0" w:color="auto"/>
              <w:right w:val="single" w:sz="6" w:space="0" w:color="auto"/>
            </w:tcBorders>
            <w:shd w:val="clear" w:color="auto" w:fill="auto"/>
            <w:vAlign w:val="center"/>
          </w:tcPr>
          <w:p w14:paraId="7A5BF491" w14:textId="77777777" w:rsidR="005C2CED" w:rsidRPr="00A34F10" w:rsidRDefault="005C2CED" w:rsidP="005C2CED">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4C24B53" w14:textId="77777777" w:rsidR="005C2CED" w:rsidRPr="00A34F10" w:rsidRDefault="005C2CED" w:rsidP="005C2CED">
            <w:pPr>
              <w:suppressAutoHyphens/>
              <w:autoSpaceDE w:val="0"/>
              <w:autoSpaceDN w:val="0"/>
              <w:adjustRightInd w:val="0"/>
              <w:jc w:val="center"/>
              <w:rPr>
                <w:b/>
                <w:bCs/>
                <w:i/>
                <w:iCs/>
                <w:sz w:val="20"/>
                <w:szCs w:val="20"/>
                <w:vertAlign w:val="superscript"/>
              </w:rPr>
            </w:pPr>
            <w:r w:rsidRPr="00A34F10">
              <w:rPr>
                <w:b/>
                <w:bCs/>
                <w:i/>
                <w:iCs/>
                <w:sz w:val="20"/>
                <w:szCs w:val="20"/>
              </w:rPr>
              <w:t>C. riparius *</w:t>
            </w:r>
          </w:p>
        </w:tc>
      </w:tr>
      <w:tr w:rsidR="005C2CED" w:rsidRPr="00A34F10" w14:paraId="6BA80C5C" w14:textId="77777777" w:rsidTr="005C2CED">
        <w:trPr>
          <w:trHeight w:val="276"/>
        </w:trPr>
        <w:tc>
          <w:tcPr>
            <w:tcW w:w="712" w:type="pct"/>
            <w:gridSpan w:val="2"/>
            <w:vMerge w:val="restart"/>
            <w:tcBorders>
              <w:top w:val="single" w:sz="6" w:space="0" w:color="auto"/>
              <w:left w:val="single" w:sz="6" w:space="0" w:color="auto"/>
              <w:right w:val="single" w:sz="6" w:space="0" w:color="auto"/>
            </w:tcBorders>
            <w:shd w:val="clear" w:color="auto" w:fill="auto"/>
            <w:vAlign w:val="center"/>
          </w:tcPr>
          <w:p w14:paraId="0397F2D1"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Endpoint [µg/L]</w:t>
            </w:r>
          </w:p>
        </w:tc>
        <w:tc>
          <w:tcPr>
            <w:tcW w:w="397" w:type="pct"/>
            <w:tcBorders>
              <w:top w:val="single" w:sz="6" w:space="0" w:color="auto"/>
              <w:left w:val="single" w:sz="6" w:space="0" w:color="auto"/>
              <w:bottom w:val="nil"/>
              <w:right w:val="single" w:sz="6" w:space="0" w:color="auto"/>
            </w:tcBorders>
            <w:shd w:val="clear" w:color="auto" w:fill="auto"/>
            <w:vAlign w:val="center"/>
          </w:tcPr>
          <w:p w14:paraId="774AECDA" w14:textId="77777777" w:rsidR="005C2CED" w:rsidRPr="00A34F10" w:rsidRDefault="005C2CED" w:rsidP="005C2CED">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399" w:type="pct"/>
            <w:tcBorders>
              <w:top w:val="single" w:sz="6" w:space="0" w:color="auto"/>
              <w:left w:val="single" w:sz="6" w:space="0" w:color="auto"/>
              <w:bottom w:val="nil"/>
              <w:right w:val="single" w:sz="6" w:space="0" w:color="auto"/>
            </w:tcBorders>
            <w:shd w:val="clear" w:color="auto" w:fill="auto"/>
            <w:vAlign w:val="center"/>
          </w:tcPr>
          <w:p w14:paraId="106D587D"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NOEC</w:t>
            </w:r>
          </w:p>
        </w:tc>
        <w:tc>
          <w:tcPr>
            <w:tcW w:w="43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7E738BE2" w14:textId="795B7332" w:rsidR="005C2CED" w:rsidRPr="00A34F10" w:rsidRDefault="005C2CED" w:rsidP="005C2CED">
            <w:pPr>
              <w:suppressAutoHyphens/>
              <w:autoSpaceDE w:val="0"/>
              <w:autoSpaceDN w:val="0"/>
              <w:adjustRightInd w:val="0"/>
              <w:jc w:val="center"/>
              <w:rPr>
                <w:sz w:val="20"/>
                <w:szCs w:val="20"/>
              </w:rPr>
            </w:pPr>
            <w:r w:rsidRPr="00C212C1">
              <w:rPr>
                <w:sz w:val="20"/>
                <w:szCs w:val="20"/>
              </w:rPr>
              <w:t>EC</w:t>
            </w:r>
            <w:r w:rsidRPr="00C212C1">
              <w:rPr>
                <w:sz w:val="20"/>
                <w:szCs w:val="20"/>
                <w:vertAlign w:val="subscript"/>
              </w:rPr>
              <w:t>50</w:t>
            </w:r>
          </w:p>
        </w:tc>
        <w:tc>
          <w:tcPr>
            <w:tcW w:w="436" w:type="pct"/>
            <w:tcBorders>
              <w:top w:val="single" w:sz="6" w:space="0" w:color="auto"/>
              <w:left w:val="single" w:sz="6" w:space="0" w:color="auto"/>
              <w:bottom w:val="nil"/>
              <w:right w:val="single" w:sz="6" w:space="0" w:color="auto"/>
            </w:tcBorders>
            <w:shd w:val="clear" w:color="auto" w:fill="auto"/>
            <w:vAlign w:val="center"/>
          </w:tcPr>
          <w:p w14:paraId="4DE87F76" w14:textId="79E5C2EA" w:rsidR="005C2CED" w:rsidRPr="00A34F10" w:rsidRDefault="005C2CED" w:rsidP="005C2CED">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399"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30BBCDE8" w14:textId="62408042" w:rsidR="005C2CED" w:rsidRPr="00A34F10" w:rsidRDefault="005C2CED" w:rsidP="005C2CED">
            <w:pPr>
              <w:suppressAutoHyphens/>
              <w:autoSpaceDE w:val="0"/>
              <w:autoSpaceDN w:val="0"/>
              <w:adjustRightInd w:val="0"/>
              <w:jc w:val="center"/>
              <w:rPr>
                <w:sz w:val="20"/>
                <w:szCs w:val="20"/>
              </w:rPr>
            </w:pPr>
            <w:r w:rsidRPr="00C212C1">
              <w:rPr>
                <w:sz w:val="20"/>
                <w:szCs w:val="20"/>
              </w:rPr>
              <w:t>NOEC</w:t>
            </w:r>
          </w:p>
        </w:tc>
        <w:tc>
          <w:tcPr>
            <w:tcW w:w="399" w:type="pct"/>
            <w:tcBorders>
              <w:top w:val="single" w:sz="6" w:space="0" w:color="auto"/>
              <w:left w:val="single" w:sz="6" w:space="0" w:color="auto"/>
              <w:bottom w:val="nil"/>
              <w:right w:val="single" w:sz="6" w:space="0" w:color="auto"/>
            </w:tcBorders>
            <w:shd w:val="clear" w:color="auto" w:fill="auto"/>
            <w:vAlign w:val="center"/>
          </w:tcPr>
          <w:p w14:paraId="6B6EB9B7" w14:textId="18347D68" w:rsidR="005C2CED" w:rsidRPr="00A34F10" w:rsidRDefault="005C2CED" w:rsidP="005C2CED">
            <w:pPr>
              <w:suppressAutoHyphens/>
              <w:autoSpaceDE w:val="0"/>
              <w:autoSpaceDN w:val="0"/>
              <w:adjustRightInd w:val="0"/>
              <w:jc w:val="center"/>
              <w:rPr>
                <w:sz w:val="20"/>
                <w:szCs w:val="20"/>
              </w:rPr>
            </w:pPr>
            <w:r w:rsidRPr="00A34F10">
              <w:rPr>
                <w:sz w:val="20"/>
                <w:szCs w:val="20"/>
              </w:rPr>
              <w:t>NOEC</w:t>
            </w:r>
          </w:p>
        </w:tc>
        <w:tc>
          <w:tcPr>
            <w:tcW w:w="546" w:type="pct"/>
            <w:tcBorders>
              <w:top w:val="single" w:sz="6" w:space="0" w:color="auto"/>
              <w:left w:val="single" w:sz="6" w:space="0" w:color="auto"/>
              <w:bottom w:val="nil"/>
              <w:right w:val="single" w:sz="6" w:space="0" w:color="auto"/>
            </w:tcBorders>
            <w:shd w:val="clear" w:color="auto" w:fill="D9D9D9" w:themeFill="background1" w:themeFillShade="D9"/>
            <w:vAlign w:val="center"/>
          </w:tcPr>
          <w:p w14:paraId="14D80793" w14:textId="0C0303EF" w:rsidR="005C2CED" w:rsidRPr="00A34F10" w:rsidRDefault="005C2CED" w:rsidP="005C2CED">
            <w:pPr>
              <w:suppressAutoHyphens/>
              <w:autoSpaceDE w:val="0"/>
              <w:autoSpaceDN w:val="0"/>
              <w:adjustRightInd w:val="0"/>
              <w:jc w:val="center"/>
              <w:rPr>
                <w:sz w:val="20"/>
                <w:szCs w:val="20"/>
              </w:rPr>
            </w:pPr>
            <w:r w:rsidRPr="00C212C1">
              <w:rPr>
                <w:sz w:val="20"/>
                <w:szCs w:val="20"/>
              </w:rPr>
              <w:t>E</w:t>
            </w:r>
            <w:r w:rsidRPr="00C212C1">
              <w:rPr>
                <w:sz w:val="20"/>
                <w:szCs w:val="20"/>
                <w:vertAlign w:val="subscript"/>
              </w:rPr>
              <w:t>r</w:t>
            </w:r>
            <w:r w:rsidRPr="00C212C1">
              <w:rPr>
                <w:sz w:val="20"/>
                <w:szCs w:val="20"/>
              </w:rPr>
              <w:t>C</w:t>
            </w:r>
            <w:r w:rsidRPr="00C212C1">
              <w:rPr>
                <w:sz w:val="20"/>
                <w:szCs w:val="20"/>
                <w:vertAlign w:val="subscript"/>
              </w:rPr>
              <w:t>50</w:t>
            </w:r>
          </w:p>
        </w:tc>
        <w:tc>
          <w:tcPr>
            <w:tcW w:w="546" w:type="pct"/>
            <w:tcBorders>
              <w:top w:val="single" w:sz="6" w:space="0" w:color="auto"/>
              <w:left w:val="single" w:sz="6" w:space="0" w:color="auto"/>
              <w:bottom w:val="nil"/>
              <w:right w:val="single" w:sz="6" w:space="0" w:color="auto"/>
            </w:tcBorders>
            <w:shd w:val="clear" w:color="auto" w:fill="auto"/>
            <w:vAlign w:val="center"/>
          </w:tcPr>
          <w:p w14:paraId="11D7983F" w14:textId="13C2021E" w:rsidR="005C2CED" w:rsidRPr="00A34F10" w:rsidRDefault="005C2CED" w:rsidP="005C2CED">
            <w:pPr>
              <w:suppressAutoHyphens/>
              <w:autoSpaceDE w:val="0"/>
              <w:autoSpaceDN w:val="0"/>
              <w:adjustRightInd w:val="0"/>
              <w:jc w:val="center"/>
              <w:rPr>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c>
          <w:tcPr>
            <w:tcW w:w="288" w:type="pct"/>
            <w:vMerge/>
            <w:tcBorders>
              <w:left w:val="single" w:sz="6" w:space="0" w:color="auto"/>
              <w:right w:val="single" w:sz="6" w:space="0" w:color="auto"/>
            </w:tcBorders>
            <w:shd w:val="clear" w:color="auto" w:fill="auto"/>
            <w:vAlign w:val="center"/>
          </w:tcPr>
          <w:p w14:paraId="16F8589E" w14:textId="77777777" w:rsidR="005C2CED" w:rsidRPr="00A34F10" w:rsidRDefault="005C2CED" w:rsidP="005C2CED">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nil"/>
              <w:right w:val="single" w:sz="6" w:space="0" w:color="auto"/>
            </w:tcBorders>
            <w:shd w:val="clear" w:color="auto" w:fill="auto"/>
            <w:vAlign w:val="center"/>
          </w:tcPr>
          <w:p w14:paraId="506C73EC"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NOEC</w:t>
            </w:r>
          </w:p>
        </w:tc>
      </w:tr>
      <w:tr w:rsidR="005C2CED" w:rsidRPr="00A34F10" w14:paraId="04C4C197" w14:textId="77777777" w:rsidTr="005C2CED">
        <w:trPr>
          <w:trHeight w:val="247"/>
        </w:trPr>
        <w:tc>
          <w:tcPr>
            <w:tcW w:w="712" w:type="pct"/>
            <w:gridSpan w:val="2"/>
            <w:vMerge/>
            <w:tcBorders>
              <w:left w:val="single" w:sz="6" w:space="0" w:color="auto"/>
              <w:bottom w:val="single" w:sz="6" w:space="0" w:color="auto"/>
              <w:right w:val="single" w:sz="6" w:space="0" w:color="auto"/>
            </w:tcBorders>
            <w:shd w:val="clear" w:color="auto" w:fill="auto"/>
            <w:vAlign w:val="center"/>
          </w:tcPr>
          <w:p w14:paraId="28EF0748" w14:textId="77777777" w:rsidR="005C2CED" w:rsidRPr="00A34F10" w:rsidRDefault="005C2CED" w:rsidP="005C2CED">
            <w:pPr>
              <w:suppressAutoHyphens/>
              <w:autoSpaceDE w:val="0"/>
              <w:autoSpaceDN w:val="0"/>
              <w:adjustRightInd w:val="0"/>
              <w:rPr>
                <w:b/>
                <w:bCs/>
                <w:sz w:val="20"/>
                <w:szCs w:val="20"/>
              </w:rPr>
            </w:pPr>
          </w:p>
        </w:tc>
        <w:tc>
          <w:tcPr>
            <w:tcW w:w="397" w:type="pct"/>
            <w:tcBorders>
              <w:top w:val="nil"/>
              <w:left w:val="single" w:sz="6" w:space="0" w:color="auto"/>
              <w:bottom w:val="single" w:sz="6" w:space="0" w:color="auto"/>
              <w:right w:val="single" w:sz="6" w:space="0" w:color="auto"/>
            </w:tcBorders>
            <w:shd w:val="clear" w:color="auto" w:fill="auto"/>
            <w:vAlign w:val="center"/>
          </w:tcPr>
          <w:p w14:paraId="74F71152"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&gt; 19000</w:t>
            </w:r>
          </w:p>
        </w:tc>
        <w:tc>
          <w:tcPr>
            <w:tcW w:w="399" w:type="pct"/>
            <w:tcBorders>
              <w:top w:val="nil"/>
              <w:left w:val="single" w:sz="6" w:space="0" w:color="auto"/>
              <w:bottom w:val="single" w:sz="6" w:space="0" w:color="auto"/>
              <w:right w:val="single" w:sz="6" w:space="0" w:color="auto"/>
            </w:tcBorders>
            <w:shd w:val="clear" w:color="auto" w:fill="auto"/>
            <w:vAlign w:val="center"/>
          </w:tcPr>
          <w:p w14:paraId="45607186"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48</w:t>
            </w:r>
          </w:p>
        </w:tc>
        <w:tc>
          <w:tcPr>
            <w:tcW w:w="43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1559AC00" w14:textId="445F45AB" w:rsidR="005C2CED" w:rsidRPr="00A34F10" w:rsidRDefault="005C2CED" w:rsidP="005C2CED">
            <w:pPr>
              <w:suppressAutoHyphens/>
              <w:autoSpaceDE w:val="0"/>
              <w:autoSpaceDN w:val="0"/>
              <w:adjustRightInd w:val="0"/>
              <w:jc w:val="center"/>
              <w:rPr>
                <w:sz w:val="20"/>
                <w:szCs w:val="20"/>
              </w:rPr>
            </w:pPr>
            <w:r w:rsidRPr="00C212C1">
              <w:rPr>
                <w:sz w:val="20"/>
                <w:szCs w:val="20"/>
              </w:rPr>
              <w:t>&gt; 590</w:t>
            </w:r>
          </w:p>
        </w:tc>
        <w:tc>
          <w:tcPr>
            <w:tcW w:w="436" w:type="pct"/>
            <w:tcBorders>
              <w:top w:val="nil"/>
              <w:left w:val="single" w:sz="6" w:space="0" w:color="auto"/>
              <w:bottom w:val="single" w:sz="6" w:space="0" w:color="auto"/>
              <w:right w:val="single" w:sz="6" w:space="0" w:color="auto"/>
            </w:tcBorders>
            <w:shd w:val="clear" w:color="auto" w:fill="auto"/>
            <w:vAlign w:val="center"/>
          </w:tcPr>
          <w:p w14:paraId="1FEFE98A" w14:textId="7664D559" w:rsidR="005C2CED" w:rsidRPr="00A34F10" w:rsidRDefault="005C2CED" w:rsidP="005C2CED">
            <w:pPr>
              <w:suppressAutoHyphens/>
              <w:autoSpaceDE w:val="0"/>
              <w:autoSpaceDN w:val="0"/>
              <w:adjustRightInd w:val="0"/>
              <w:jc w:val="center"/>
              <w:rPr>
                <w:sz w:val="20"/>
                <w:szCs w:val="20"/>
              </w:rPr>
            </w:pPr>
            <w:r w:rsidRPr="00A34F10">
              <w:rPr>
                <w:sz w:val="20"/>
                <w:szCs w:val="20"/>
              </w:rPr>
              <w:t>&gt; 19400</w:t>
            </w:r>
          </w:p>
        </w:tc>
        <w:tc>
          <w:tcPr>
            <w:tcW w:w="399"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155FD3BE" w14:textId="5F8541EF" w:rsidR="005C2CED" w:rsidRPr="00A34F10" w:rsidRDefault="005C2CED" w:rsidP="005C2CED">
            <w:pPr>
              <w:suppressAutoHyphens/>
              <w:autoSpaceDE w:val="0"/>
              <w:autoSpaceDN w:val="0"/>
              <w:adjustRightInd w:val="0"/>
              <w:jc w:val="center"/>
              <w:rPr>
                <w:sz w:val="20"/>
                <w:szCs w:val="20"/>
              </w:rPr>
            </w:pPr>
            <w:r w:rsidRPr="00C212C1">
              <w:rPr>
                <w:sz w:val="20"/>
                <w:szCs w:val="20"/>
              </w:rPr>
              <w:t>44</w:t>
            </w:r>
          </w:p>
        </w:tc>
        <w:tc>
          <w:tcPr>
            <w:tcW w:w="399" w:type="pct"/>
            <w:tcBorders>
              <w:top w:val="nil"/>
              <w:left w:val="single" w:sz="6" w:space="0" w:color="auto"/>
              <w:bottom w:val="single" w:sz="6" w:space="0" w:color="auto"/>
              <w:right w:val="single" w:sz="6" w:space="0" w:color="auto"/>
            </w:tcBorders>
            <w:shd w:val="clear" w:color="auto" w:fill="auto"/>
            <w:vAlign w:val="center"/>
          </w:tcPr>
          <w:p w14:paraId="51DF0E07" w14:textId="3280E1B6" w:rsidR="005C2CED" w:rsidRPr="00A34F10" w:rsidRDefault="005C2CED" w:rsidP="005C2CED">
            <w:pPr>
              <w:suppressAutoHyphens/>
              <w:autoSpaceDE w:val="0"/>
              <w:autoSpaceDN w:val="0"/>
              <w:adjustRightInd w:val="0"/>
              <w:jc w:val="center"/>
              <w:rPr>
                <w:sz w:val="20"/>
                <w:szCs w:val="20"/>
              </w:rPr>
            </w:pPr>
            <w:r w:rsidRPr="00A34F10">
              <w:rPr>
                <w:sz w:val="20"/>
                <w:szCs w:val="20"/>
              </w:rPr>
              <w:t>18</w:t>
            </w:r>
          </w:p>
        </w:tc>
        <w:tc>
          <w:tcPr>
            <w:tcW w:w="546" w:type="pct"/>
            <w:tcBorders>
              <w:top w:val="nil"/>
              <w:left w:val="single" w:sz="6" w:space="0" w:color="auto"/>
              <w:bottom w:val="single" w:sz="6" w:space="0" w:color="auto"/>
              <w:right w:val="single" w:sz="6" w:space="0" w:color="auto"/>
            </w:tcBorders>
            <w:shd w:val="clear" w:color="auto" w:fill="D9D9D9" w:themeFill="background1" w:themeFillShade="D9"/>
            <w:vAlign w:val="center"/>
          </w:tcPr>
          <w:p w14:paraId="26C84C05" w14:textId="6ABA8EDC" w:rsidR="005C2CED" w:rsidRPr="00A34F10" w:rsidRDefault="005C2CED" w:rsidP="005C2CED">
            <w:pPr>
              <w:suppressAutoHyphens/>
              <w:autoSpaceDE w:val="0"/>
              <w:autoSpaceDN w:val="0"/>
              <w:adjustRightInd w:val="0"/>
              <w:jc w:val="center"/>
              <w:rPr>
                <w:sz w:val="20"/>
                <w:szCs w:val="20"/>
              </w:rPr>
            </w:pPr>
            <w:r w:rsidRPr="00C212C1">
              <w:rPr>
                <w:sz w:val="20"/>
                <w:szCs w:val="20"/>
              </w:rPr>
              <w:t>&gt; 118</w:t>
            </w:r>
          </w:p>
        </w:tc>
        <w:tc>
          <w:tcPr>
            <w:tcW w:w="546" w:type="pct"/>
            <w:tcBorders>
              <w:top w:val="nil"/>
              <w:left w:val="single" w:sz="6" w:space="0" w:color="auto"/>
              <w:bottom w:val="single" w:sz="6" w:space="0" w:color="auto"/>
              <w:right w:val="single" w:sz="6" w:space="0" w:color="auto"/>
            </w:tcBorders>
            <w:shd w:val="clear" w:color="auto" w:fill="auto"/>
            <w:vAlign w:val="center"/>
          </w:tcPr>
          <w:p w14:paraId="7529F38A" w14:textId="6F659314" w:rsidR="005C2CED" w:rsidRPr="00A34F10" w:rsidRDefault="005C2CED" w:rsidP="005C2CED">
            <w:pPr>
              <w:suppressAutoHyphens/>
              <w:autoSpaceDE w:val="0"/>
              <w:autoSpaceDN w:val="0"/>
              <w:adjustRightInd w:val="0"/>
              <w:jc w:val="center"/>
              <w:rPr>
                <w:sz w:val="20"/>
                <w:szCs w:val="20"/>
              </w:rPr>
            </w:pPr>
            <w:r w:rsidRPr="00A34F10">
              <w:rPr>
                <w:sz w:val="20"/>
                <w:szCs w:val="20"/>
              </w:rPr>
              <w:t>&gt; 18400</w:t>
            </w:r>
          </w:p>
        </w:tc>
        <w:tc>
          <w:tcPr>
            <w:tcW w:w="288" w:type="pct"/>
            <w:vMerge/>
            <w:tcBorders>
              <w:left w:val="single" w:sz="6" w:space="0" w:color="auto"/>
              <w:right w:val="single" w:sz="6" w:space="0" w:color="auto"/>
            </w:tcBorders>
            <w:shd w:val="clear" w:color="auto" w:fill="auto"/>
            <w:vAlign w:val="center"/>
          </w:tcPr>
          <w:p w14:paraId="6570DC88" w14:textId="77777777" w:rsidR="005C2CED" w:rsidRPr="00A34F10" w:rsidRDefault="005C2CED" w:rsidP="005C2CED">
            <w:pPr>
              <w:suppressAutoHyphens/>
              <w:autoSpaceDE w:val="0"/>
              <w:autoSpaceDN w:val="0"/>
              <w:adjustRightInd w:val="0"/>
              <w:jc w:val="center"/>
              <w:rPr>
                <w:sz w:val="20"/>
                <w:szCs w:val="20"/>
              </w:rPr>
            </w:pPr>
          </w:p>
        </w:tc>
        <w:tc>
          <w:tcPr>
            <w:tcW w:w="442" w:type="pct"/>
            <w:tcBorders>
              <w:top w:val="nil"/>
              <w:left w:val="single" w:sz="6" w:space="0" w:color="auto"/>
              <w:bottom w:val="single" w:sz="6" w:space="0" w:color="auto"/>
              <w:right w:val="single" w:sz="6" w:space="0" w:color="auto"/>
            </w:tcBorders>
            <w:shd w:val="clear" w:color="auto" w:fill="auto"/>
            <w:vAlign w:val="center"/>
          </w:tcPr>
          <w:p w14:paraId="35C940B9"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221560</w:t>
            </w:r>
          </w:p>
        </w:tc>
      </w:tr>
      <w:tr w:rsidR="005C2CED" w:rsidRPr="00A34F10" w14:paraId="42FF66C4" w14:textId="77777777" w:rsidTr="005C2CED">
        <w:trPr>
          <w:trHeight w:val="247"/>
        </w:trPr>
        <w:tc>
          <w:tcPr>
            <w:tcW w:w="71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43832B"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AF</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380BBCC6"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100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3555BB97"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10</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B9605EC" w14:textId="16007861" w:rsidR="005C2CED" w:rsidRPr="00A34F10" w:rsidRDefault="005C2CED" w:rsidP="005C2CED">
            <w:pPr>
              <w:suppressAutoHyphens/>
              <w:autoSpaceDE w:val="0"/>
              <w:autoSpaceDN w:val="0"/>
              <w:adjustRightInd w:val="0"/>
              <w:jc w:val="center"/>
              <w:rPr>
                <w:sz w:val="20"/>
                <w:szCs w:val="20"/>
              </w:rPr>
            </w:pPr>
            <w:r w:rsidRPr="00C212C1">
              <w:rPr>
                <w:sz w:val="20"/>
                <w:szCs w:val="20"/>
              </w:rPr>
              <w:t>100</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50A6A85" w14:textId="7C9A03F0" w:rsidR="005C2CED" w:rsidRPr="00A34F10" w:rsidRDefault="005C2CED" w:rsidP="005C2CED">
            <w:pPr>
              <w:suppressAutoHyphens/>
              <w:autoSpaceDE w:val="0"/>
              <w:autoSpaceDN w:val="0"/>
              <w:adjustRightInd w:val="0"/>
              <w:jc w:val="center"/>
              <w:rPr>
                <w:sz w:val="20"/>
                <w:szCs w:val="20"/>
              </w:rPr>
            </w:pPr>
            <w:r w:rsidRPr="00A34F10">
              <w:rPr>
                <w:sz w:val="20"/>
                <w:szCs w:val="20"/>
              </w:rPr>
              <w:t>100</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756CB56" w14:textId="163F657D" w:rsidR="005C2CED" w:rsidRPr="00A34F10" w:rsidRDefault="005C2CED" w:rsidP="005C2CED">
            <w:pPr>
              <w:suppressAutoHyphens/>
              <w:autoSpaceDE w:val="0"/>
              <w:autoSpaceDN w:val="0"/>
              <w:adjustRightInd w:val="0"/>
              <w:jc w:val="center"/>
              <w:rPr>
                <w:sz w:val="20"/>
                <w:szCs w:val="20"/>
              </w:rPr>
            </w:pPr>
            <w:r w:rsidRPr="00C212C1">
              <w:rPr>
                <w:sz w:val="20"/>
                <w:szCs w:val="20"/>
              </w:rPr>
              <w:t>10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6BA541E9" w14:textId="29F06B72" w:rsidR="005C2CED" w:rsidRPr="00A34F10" w:rsidRDefault="005C2CED" w:rsidP="005C2CED">
            <w:pPr>
              <w:suppressAutoHyphens/>
              <w:autoSpaceDE w:val="0"/>
              <w:autoSpaceDN w:val="0"/>
              <w:adjustRightInd w:val="0"/>
              <w:jc w:val="center"/>
              <w:rPr>
                <w:sz w:val="20"/>
                <w:szCs w:val="20"/>
              </w:rPr>
            </w:pPr>
            <w:r w:rsidRPr="00A34F10">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8FFA5A3" w14:textId="1207801E" w:rsidR="005C2CED" w:rsidRPr="00A34F10" w:rsidRDefault="005C2CED" w:rsidP="005C2CED">
            <w:pPr>
              <w:suppressAutoHyphens/>
              <w:autoSpaceDE w:val="0"/>
              <w:autoSpaceDN w:val="0"/>
              <w:adjustRightInd w:val="0"/>
              <w:jc w:val="center"/>
              <w:rPr>
                <w:sz w:val="20"/>
                <w:szCs w:val="20"/>
              </w:rPr>
            </w:pPr>
            <w:r w:rsidRPr="00C212C1">
              <w:rPr>
                <w:sz w:val="20"/>
                <w:szCs w:val="20"/>
              </w:rPr>
              <w:t>10</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3DDE806E" w14:textId="0D5F384D" w:rsidR="005C2CED" w:rsidRPr="00A34F10" w:rsidRDefault="005C2CED" w:rsidP="005C2CED">
            <w:pPr>
              <w:suppressAutoHyphens/>
              <w:autoSpaceDE w:val="0"/>
              <w:autoSpaceDN w:val="0"/>
              <w:adjustRightInd w:val="0"/>
              <w:jc w:val="center"/>
              <w:rPr>
                <w:sz w:val="20"/>
                <w:szCs w:val="20"/>
              </w:rPr>
            </w:pPr>
            <w:r w:rsidRPr="00A34F10">
              <w:rPr>
                <w:sz w:val="20"/>
                <w:szCs w:val="20"/>
              </w:rPr>
              <w:t>10</w:t>
            </w:r>
          </w:p>
        </w:tc>
        <w:tc>
          <w:tcPr>
            <w:tcW w:w="288" w:type="pct"/>
            <w:vMerge/>
            <w:tcBorders>
              <w:left w:val="single" w:sz="6" w:space="0" w:color="auto"/>
              <w:right w:val="single" w:sz="6" w:space="0" w:color="auto"/>
            </w:tcBorders>
            <w:shd w:val="clear" w:color="auto" w:fill="auto"/>
            <w:vAlign w:val="center"/>
          </w:tcPr>
          <w:p w14:paraId="1BF1CE4F" w14:textId="77777777" w:rsidR="005C2CED" w:rsidRPr="00A34F10" w:rsidRDefault="005C2CED" w:rsidP="005C2CED">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26847814"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10</w:t>
            </w:r>
          </w:p>
        </w:tc>
      </w:tr>
      <w:tr w:rsidR="005C2CED" w:rsidRPr="00A34F10" w14:paraId="065ABA70" w14:textId="77777777" w:rsidTr="005C2CED">
        <w:trPr>
          <w:trHeight w:val="247"/>
        </w:trPr>
        <w:tc>
          <w:tcPr>
            <w:tcW w:w="712"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B163C53"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RAC [µg/L]</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7F15352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&gt; 190</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6BA54D25"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4.8</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DB9DA20" w14:textId="2B16F11D" w:rsidR="005C2CED" w:rsidRPr="00A34F10" w:rsidRDefault="005C2CED" w:rsidP="005C2CED">
            <w:pPr>
              <w:suppressAutoHyphens/>
              <w:autoSpaceDE w:val="0"/>
              <w:autoSpaceDN w:val="0"/>
              <w:adjustRightInd w:val="0"/>
              <w:jc w:val="center"/>
              <w:rPr>
                <w:sz w:val="20"/>
                <w:szCs w:val="20"/>
              </w:rPr>
            </w:pPr>
            <w:r w:rsidRPr="00452202">
              <w:rPr>
                <w:sz w:val="20"/>
                <w:szCs w:val="20"/>
              </w:rPr>
              <w:t>&gt; 5.9</w:t>
            </w:r>
          </w:p>
        </w:tc>
        <w:tc>
          <w:tcPr>
            <w:tcW w:w="436" w:type="pct"/>
            <w:tcBorders>
              <w:top w:val="single" w:sz="6" w:space="0" w:color="auto"/>
              <w:left w:val="single" w:sz="6" w:space="0" w:color="auto"/>
              <w:bottom w:val="single" w:sz="6" w:space="0" w:color="auto"/>
              <w:right w:val="single" w:sz="6" w:space="0" w:color="auto"/>
            </w:tcBorders>
            <w:shd w:val="clear" w:color="auto" w:fill="auto"/>
            <w:vAlign w:val="center"/>
          </w:tcPr>
          <w:p w14:paraId="3F8D69F8" w14:textId="2FA3106C" w:rsidR="005C2CED" w:rsidRPr="00A34F10" w:rsidRDefault="005C2CED" w:rsidP="005C2CED">
            <w:pPr>
              <w:suppressAutoHyphens/>
              <w:autoSpaceDE w:val="0"/>
              <w:autoSpaceDN w:val="0"/>
              <w:adjustRightInd w:val="0"/>
              <w:jc w:val="center"/>
              <w:rPr>
                <w:sz w:val="20"/>
                <w:szCs w:val="20"/>
              </w:rPr>
            </w:pPr>
            <w:r w:rsidRPr="00A34F10">
              <w:rPr>
                <w:sz w:val="20"/>
                <w:szCs w:val="20"/>
              </w:rPr>
              <w:t>&gt; 194</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94E0961" w14:textId="192522F6" w:rsidR="005C2CED" w:rsidRPr="00A34F10" w:rsidRDefault="005C2CED" w:rsidP="005C2CED">
            <w:pPr>
              <w:suppressAutoHyphens/>
              <w:autoSpaceDE w:val="0"/>
              <w:autoSpaceDN w:val="0"/>
              <w:adjustRightInd w:val="0"/>
              <w:jc w:val="center"/>
              <w:rPr>
                <w:sz w:val="20"/>
                <w:szCs w:val="20"/>
              </w:rPr>
            </w:pPr>
            <w:r w:rsidRPr="00A73AF4">
              <w:rPr>
                <w:sz w:val="20"/>
                <w:szCs w:val="20"/>
              </w:rPr>
              <w:t>4.4</w:t>
            </w:r>
          </w:p>
        </w:tc>
        <w:tc>
          <w:tcPr>
            <w:tcW w:w="399" w:type="pct"/>
            <w:tcBorders>
              <w:top w:val="single" w:sz="6" w:space="0" w:color="auto"/>
              <w:left w:val="single" w:sz="6" w:space="0" w:color="auto"/>
              <w:bottom w:val="single" w:sz="6" w:space="0" w:color="auto"/>
              <w:right w:val="single" w:sz="6" w:space="0" w:color="auto"/>
            </w:tcBorders>
            <w:shd w:val="clear" w:color="auto" w:fill="auto"/>
            <w:vAlign w:val="center"/>
          </w:tcPr>
          <w:p w14:paraId="2F272DBB" w14:textId="56F4D2F6" w:rsidR="005C2CED" w:rsidRPr="00A34F10" w:rsidRDefault="005C2CED" w:rsidP="005C2CED">
            <w:pPr>
              <w:suppressAutoHyphens/>
              <w:autoSpaceDE w:val="0"/>
              <w:autoSpaceDN w:val="0"/>
              <w:adjustRightInd w:val="0"/>
              <w:jc w:val="center"/>
              <w:rPr>
                <w:sz w:val="20"/>
                <w:szCs w:val="20"/>
                <w:lang w:val="de-DE"/>
              </w:rPr>
            </w:pPr>
            <w:r w:rsidRPr="00A34F10">
              <w:rPr>
                <w:sz w:val="20"/>
                <w:szCs w:val="20"/>
              </w:rPr>
              <w:t>1.8</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5B44E4A" w14:textId="44CAAB7B" w:rsidR="005C2CED" w:rsidRPr="00A34F10" w:rsidRDefault="005C2CED" w:rsidP="005C2CED">
            <w:pPr>
              <w:suppressAutoHyphens/>
              <w:autoSpaceDE w:val="0"/>
              <w:autoSpaceDN w:val="0"/>
              <w:adjustRightInd w:val="0"/>
              <w:jc w:val="center"/>
              <w:rPr>
                <w:sz w:val="20"/>
                <w:szCs w:val="20"/>
              </w:rPr>
            </w:pPr>
            <w:r w:rsidRPr="00514FA3">
              <w:rPr>
                <w:sz w:val="20"/>
                <w:szCs w:val="20"/>
              </w:rPr>
              <w:t>&gt; 11.8</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0D122239" w14:textId="5A19AAA4" w:rsidR="005C2CED" w:rsidRPr="00A34F10" w:rsidRDefault="005C2CED" w:rsidP="005C2CED">
            <w:pPr>
              <w:suppressAutoHyphens/>
              <w:autoSpaceDE w:val="0"/>
              <w:autoSpaceDN w:val="0"/>
              <w:adjustRightInd w:val="0"/>
              <w:jc w:val="center"/>
              <w:rPr>
                <w:sz w:val="20"/>
                <w:szCs w:val="20"/>
              </w:rPr>
            </w:pPr>
            <w:r w:rsidRPr="00A34F10">
              <w:rPr>
                <w:sz w:val="20"/>
                <w:szCs w:val="20"/>
              </w:rPr>
              <w:t>&gt; 1840</w:t>
            </w:r>
          </w:p>
        </w:tc>
        <w:tc>
          <w:tcPr>
            <w:tcW w:w="288" w:type="pct"/>
            <w:vMerge/>
            <w:tcBorders>
              <w:left w:val="single" w:sz="6" w:space="0" w:color="auto"/>
              <w:bottom w:val="single" w:sz="6" w:space="0" w:color="auto"/>
              <w:right w:val="single" w:sz="6" w:space="0" w:color="auto"/>
            </w:tcBorders>
            <w:shd w:val="clear" w:color="auto" w:fill="auto"/>
            <w:vAlign w:val="center"/>
          </w:tcPr>
          <w:p w14:paraId="0BB79C88" w14:textId="77777777" w:rsidR="005C2CED" w:rsidRPr="00A34F10" w:rsidRDefault="005C2CED" w:rsidP="005C2CED">
            <w:pPr>
              <w:suppressAutoHyphens/>
              <w:autoSpaceDE w:val="0"/>
              <w:autoSpaceDN w:val="0"/>
              <w:adjustRightInd w:val="0"/>
              <w:jc w:val="center"/>
              <w:rPr>
                <w:sz w:val="20"/>
                <w:szCs w:val="20"/>
              </w:rPr>
            </w:pP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1DFCCD3F"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22156</w:t>
            </w:r>
          </w:p>
        </w:tc>
      </w:tr>
      <w:tr w:rsidR="005C2CED" w:rsidRPr="00A34F10" w14:paraId="534C3242" w14:textId="77777777" w:rsidTr="00197E8F">
        <w:trPr>
          <w:trHeight w:val="523"/>
        </w:trPr>
        <w:tc>
          <w:tcPr>
            <w:tcW w:w="348" w:type="pct"/>
            <w:tcBorders>
              <w:top w:val="single" w:sz="6" w:space="0" w:color="auto"/>
              <w:left w:val="single" w:sz="6" w:space="0" w:color="auto"/>
              <w:bottom w:val="single" w:sz="6" w:space="0" w:color="auto"/>
              <w:right w:val="single" w:sz="6" w:space="0" w:color="auto"/>
            </w:tcBorders>
            <w:shd w:val="clear" w:color="auto" w:fill="auto"/>
            <w:vAlign w:val="center"/>
          </w:tcPr>
          <w:p w14:paraId="61AF1847"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FOCUS Scenario</w:t>
            </w:r>
          </w:p>
        </w:tc>
        <w:tc>
          <w:tcPr>
            <w:tcW w:w="364" w:type="pct"/>
            <w:tcBorders>
              <w:top w:val="single" w:sz="6" w:space="0" w:color="auto"/>
              <w:left w:val="single" w:sz="6" w:space="0" w:color="auto"/>
              <w:bottom w:val="single" w:sz="6" w:space="0" w:color="auto"/>
              <w:right w:val="single" w:sz="6" w:space="0" w:color="auto"/>
            </w:tcBorders>
            <w:shd w:val="clear" w:color="auto" w:fill="auto"/>
            <w:vAlign w:val="center"/>
          </w:tcPr>
          <w:p w14:paraId="15434179" w14:textId="77777777" w:rsidR="005C2CED" w:rsidRPr="00A34F10" w:rsidRDefault="005C2CED" w:rsidP="005C2CED">
            <w:pPr>
              <w:suppressAutoHyphens/>
              <w:autoSpaceDE w:val="0"/>
              <w:autoSpaceDN w:val="0"/>
              <w:adjustRightInd w:val="0"/>
              <w:jc w:val="center"/>
              <w:rPr>
                <w:b/>
                <w:bCs/>
                <w:sz w:val="20"/>
                <w:szCs w:val="20"/>
                <w:vertAlign w:val="superscript"/>
              </w:rPr>
            </w:pPr>
            <w:r w:rsidRPr="00A34F10">
              <w:rPr>
                <w:b/>
                <w:bCs/>
                <w:sz w:val="20"/>
                <w:szCs w:val="20"/>
              </w:rPr>
              <w:t>PEC</w:t>
            </w:r>
            <w:r w:rsidRPr="00A34F10">
              <w:rPr>
                <w:b/>
                <w:bCs/>
                <w:sz w:val="20"/>
                <w:szCs w:val="20"/>
                <w:vertAlign w:val="subscript"/>
              </w:rPr>
              <w:t>sw</w:t>
            </w:r>
            <w:r w:rsidRPr="00A34F10">
              <w:rPr>
                <w:b/>
                <w:bCs/>
                <w:sz w:val="20"/>
                <w:szCs w:val="20"/>
              </w:rPr>
              <w:t xml:space="preserve"> </w:t>
            </w:r>
            <w:r w:rsidRPr="00A34F10">
              <w:rPr>
                <w:b/>
                <w:bCs/>
                <w:sz w:val="20"/>
                <w:szCs w:val="20"/>
                <w:vertAlign w:val="subscript"/>
              </w:rPr>
              <w:t xml:space="preserve">gl-max </w:t>
            </w:r>
            <w:r w:rsidRPr="00A34F10">
              <w:rPr>
                <w:b/>
                <w:bCs/>
                <w:sz w:val="20"/>
                <w:szCs w:val="20"/>
                <w:vertAlign w:val="superscript"/>
              </w:rPr>
              <w:t>1)</w:t>
            </w:r>
            <w:r w:rsidRPr="00A34F10">
              <w:rPr>
                <w:b/>
                <w:bCs/>
                <w:sz w:val="20"/>
                <w:szCs w:val="20"/>
              </w:rPr>
              <w:br/>
              <w:t xml:space="preserve">[µg/L] </w:t>
            </w:r>
          </w:p>
        </w:tc>
        <w:tc>
          <w:tcPr>
            <w:tcW w:w="3558" w:type="pct"/>
            <w:gridSpan w:val="8"/>
            <w:tcBorders>
              <w:top w:val="single" w:sz="6" w:space="0" w:color="auto"/>
              <w:left w:val="single" w:sz="6" w:space="0" w:color="auto"/>
              <w:bottom w:val="single" w:sz="6" w:space="0" w:color="auto"/>
              <w:right w:val="single" w:sz="6" w:space="0" w:color="auto"/>
            </w:tcBorders>
          </w:tcPr>
          <w:p w14:paraId="50338517" w14:textId="3FBFD43B" w:rsidR="005C2CED" w:rsidRPr="00A34F10" w:rsidRDefault="005C2CED" w:rsidP="005C2CED">
            <w:pPr>
              <w:suppressAutoHyphens/>
              <w:autoSpaceDE w:val="0"/>
              <w:autoSpaceDN w:val="0"/>
              <w:adjustRightInd w:val="0"/>
              <w:jc w:val="center"/>
              <w:rPr>
                <w:b/>
                <w:bCs/>
                <w:sz w:val="20"/>
                <w:szCs w:val="20"/>
              </w:rPr>
            </w:pPr>
            <w:r w:rsidRPr="00A34F10">
              <w:rPr>
                <w:b/>
                <w:bCs/>
                <w:sz w:val="20"/>
                <w:szCs w:val="20"/>
              </w:rPr>
              <w:t>PEC/ RAC ratio</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63859DCB" w14:textId="77777777" w:rsidR="005C2CED" w:rsidRPr="00A34F10" w:rsidRDefault="005C2CED" w:rsidP="005C2CED">
            <w:pPr>
              <w:suppressAutoHyphens/>
              <w:autoSpaceDE w:val="0"/>
              <w:autoSpaceDN w:val="0"/>
              <w:adjustRightInd w:val="0"/>
              <w:jc w:val="center"/>
              <w:rPr>
                <w:b/>
                <w:bCs/>
                <w:sz w:val="20"/>
                <w:szCs w:val="20"/>
              </w:rPr>
            </w:pPr>
            <w:r w:rsidRPr="00A34F10">
              <w:rPr>
                <w:b/>
                <w:bCs/>
                <w:sz w:val="20"/>
                <w:szCs w:val="20"/>
              </w:rPr>
              <w:t>PEC</w:t>
            </w:r>
            <w:r w:rsidRPr="00A34F10">
              <w:rPr>
                <w:b/>
                <w:bCs/>
                <w:sz w:val="20"/>
                <w:szCs w:val="20"/>
                <w:vertAlign w:val="subscript"/>
              </w:rPr>
              <w:t>sed.</w:t>
            </w:r>
            <w:r w:rsidRPr="00A34F10">
              <w:rPr>
                <w:b/>
                <w:bCs/>
                <w:sz w:val="20"/>
                <w:szCs w:val="20"/>
              </w:rPr>
              <w:t xml:space="preserve"> </w:t>
            </w:r>
            <w:r w:rsidRPr="00A34F10">
              <w:rPr>
                <w:b/>
                <w:bCs/>
                <w:sz w:val="20"/>
                <w:szCs w:val="20"/>
                <w:vertAlign w:val="subscript"/>
              </w:rPr>
              <w:t>gl-max</w:t>
            </w:r>
            <w:r w:rsidRPr="00A34F10">
              <w:rPr>
                <w:b/>
                <w:bCs/>
                <w:sz w:val="20"/>
                <w:szCs w:val="20"/>
              </w:rPr>
              <w:t xml:space="preserve"> [µg/kg]</w:t>
            </w:r>
          </w:p>
        </w:tc>
        <w:tc>
          <w:tcPr>
            <w:tcW w:w="442" w:type="pct"/>
            <w:tcBorders>
              <w:top w:val="nil"/>
              <w:left w:val="single" w:sz="6" w:space="0" w:color="auto"/>
              <w:bottom w:val="nil"/>
              <w:right w:val="single" w:sz="6" w:space="0" w:color="auto"/>
            </w:tcBorders>
            <w:shd w:val="clear" w:color="auto" w:fill="auto"/>
            <w:vAlign w:val="center"/>
          </w:tcPr>
          <w:p w14:paraId="180357CE" w14:textId="77777777" w:rsidR="005C2CED" w:rsidRPr="00A34F10" w:rsidRDefault="005C2CED" w:rsidP="005C2CED">
            <w:pPr>
              <w:suppressAutoHyphens/>
              <w:autoSpaceDE w:val="0"/>
              <w:autoSpaceDN w:val="0"/>
              <w:adjustRightInd w:val="0"/>
              <w:jc w:val="center"/>
              <w:rPr>
                <w:b/>
                <w:bCs/>
                <w:sz w:val="20"/>
                <w:szCs w:val="20"/>
              </w:rPr>
            </w:pPr>
            <w:r w:rsidRPr="00A34F10">
              <w:rPr>
                <w:b/>
                <w:bCs/>
                <w:sz w:val="20"/>
                <w:szCs w:val="20"/>
              </w:rPr>
              <w:t>PEC/ RAC ratio</w:t>
            </w:r>
          </w:p>
        </w:tc>
      </w:tr>
      <w:tr w:rsidR="005C2CED" w:rsidRPr="00A34F10" w14:paraId="510DC5B4" w14:textId="77777777" w:rsidTr="005C2CED">
        <w:trPr>
          <w:trHeight w:val="247"/>
        </w:trPr>
        <w:tc>
          <w:tcPr>
            <w:tcW w:w="348" w:type="pct"/>
            <w:tcBorders>
              <w:top w:val="single" w:sz="6" w:space="0" w:color="auto"/>
              <w:left w:val="single" w:sz="6" w:space="0" w:color="auto"/>
              <w:bottom w:val="single" w:sz="6" w:space="0" w:color="auto"/>
              <w:right w:val="single" w:sz="6" w:space="0" w:color="auto"/>
            </w:tcBorders>
            <w:shd w:val="clear" w:color="auto" w:fill="auto"/>
            <w:vAlign w:val="center"/>
          </w:tcPr>
          <w:p w14:paraId="2D30DF33" w14:textId="77777777" w:rsidR="005C2CED" w:rsidRPr="00A34F10" w:rsidRDefault="005C2CED" w:rsidP="005C2CED">
            <w:pPr>
              <w:suppressAutoHyphens/>
              <w:autoSpaceDE w:val="0"/>
              <w:autoSpaceDN w:val="0"/>
              <w:adjustRightInd w:val="0"/>
              <w:rPr>
                <w:b/>
                <w:bCs/>
                <w:sz w:val="20"/>
                <w:szCs w:val="20"/>
              </w:rPr>
            </w:pPr>
            <w:r w:rsidRPr="00A34F10">
              <w:rPr>
                <w:b/>
                <w:bCs/>
                <w:sz w:val="20"/>
                <w:szCs w:val="20"/>
              </w:rPr>
              <w:t>Step 1</w:t>
            </w:r>
          </w:p>
        </w:tc>
        <w:tc>
          <w:tcPr>
            <w:tcW w:w="364" w:type="pct"/>
            <w:tcBorders>
              <w:top w:val="single" w:sz="6" w:space="0" w:color="auto"/>
              <w:left w:val="single" w:sz="6" w:space="0" w:color="auto"/>
              <w:bottom w:val="single" w:sz="6" w:space="0" w:color="auto"/>
              <w:right w:val="single" w:sz="6" w:space="0" w:color="auto"/>
            </w:tcBorders>
            <w:shd w:val="clear" w:color="auto" w:fill="auto"/>
          </w:tcPr>
          <w:p w14:paraId="46EF7D78"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16.452</w:t>
            </w:r>
          </w:p>
        </w:tc>
        <w:tc>
          <w:tcPr>
            <w:tcW w:w="397" w:type="pct"/>
            <w:tcBorders>
              <w:top w:val="single" w:sz="6" w:space="0" w:color="auto"/>
              <w:left w:val="single" w:sz="6" w:space="0" w:color="auto"/>
              <w:bottom w:val="single" w:sz="6" w:space="0" w:color="auto"/>
              <w:right w:val="single" w:sz="6" w:space="0" w:color="auto"/>
            </w:tcBorders>
            <w:shd w:val="clear" w:color="auto" w:fill="auto"/>
          </w:tcPr>
          <w:p w14:paraId="6CAD4B8B"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0.09</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F38035D" w14:textId="77777777" w:rsidR="005C2CED" w:rsidRPr="00A34F10" w:rsidRDefault="005C2CED" w:rsidP="005C2CED">
            <w:pPr>
              <w:suppressAutoHyphens/>
              <w:autoSpaceDE w:val="0"/>
              <w:autoSpaceDN w:val="0"/>
              <w:adjustRightInd w:val="0"/>
              <w:jc w:val="center"/>
              <w:rPr>
                <w:b/>
                <w:bCs/>
                <w:sz w:val="20"/>
                <w:szCs w:val="20"/>
              </w:rPr>
            </w:pPr>
            <w:r w:rsidRPr="00A34F10">
              <w:rPr>
                <w:b/>
                <w:bCs/>
                <w:color w:val="000000"/>
                <w:sz w:val="20"/>
                <w:szCs w:val="20"/>
              </w:rPr>
              <w:t>3.43</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F708F57" w14:textId="2C976AF8" w:rsidR="005C2CED" w:rsidRPr="00A34F10" w:rsidRDefault="005C2CED" w:rsidP="005C2CED">
            <w:pPr>
              <w:suppressAutoHyphens/>
              <w:autoSpaceDE w:val="0"/>
              <w:autoSpaceDN w:val="0"/>
              <w:adjustRightInd w:val="0"/>
              <w:jc w:val="center"/>
              <w:rPr>
                <w:color w:val="000000"/>
                <w:sz w:val="20"/>
                <w:szCs w:val="20"/>
              </w:rPr>
            </w:pPr>
            <w:r w:rsidRPr="00AD7447">
              <w:rPr>
                <w:b/>
                <w:bCs/>
                <w:color w:val="000000"/>
                <w:sz w:val="20"/>
                <w:szCs w:val="20"/>
              </w:rPr>
              <w:t>2.79</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32E5E7F8" w14:textId="5A2B0520"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0.08</w:t>
            </w:r>
          </w:p>
        </w:tc>
        <w:tc>
          <w:tcPr>
            <w:tcW w:w="399"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1916B8" w14:textId="59055618" w:rsidR="005C2CED" w:rsidRPr="00A34F10" w:rsidRDefault="005C2CED" w:rsidP="005C2CED">
            <w:pPr>
              <w:suppressAutoHyphens/>
              <w:autoSpaceDE w:val="0"/>
              <w:autoSpaceDN w:val="0"/>
              <w:adjustRightInd w:val="0"/>
              <w:jc w:val="center"/>
              <w:rPr>
                <w:b/>
                <w:bCs/>
                <w:color w:val="000000"/>
                <w:sz w:val="20"/>
                <w:szCs w:val="20"/>
              </w:rPr>
            </w:pPr>
            <w:r>
              <w:rPr>
                <w:b/>
                <w:bCs/>
                <w:color w:val="000000"/>
                <w:sz w:val="20"/>
                <w:szCs w:val="20"/>
              </w:rPr>
              <w:t>3.74</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900DF20" w14:textId="3CE2425F" w:rsidR="005C2CED" w:rsidRPr="00A34F10" w:rsidRDefault="005C2CED" w:rsidP="005C2CED">
            <w:pPr>
              <w:suppressAutoHyphens/>
              <w:autoSpaceDE w:val="0"/>
              <w:autoSpaceDN w:val="0"/>
              <w:adjustRightInd w:val="0"/>
              <w:jc w:val="center"/>
              <w:rPr>
                <w:b/>
                <w:bCs/>
                <w:sz w:val="20"/>
                <w:szCs w:val="20"/>
              </w:rPr>
            </w:pPr>
            <w:r w:rsidRPr="00A34F10">
              <w:rPr>
                <w:b/>
                <w:bCs/>
                <w:color w:val="000000"/>
                <w:sz w:val="20"/>
                <w:szCs w:val="20"/>
              </w:rPr>
              <w:t>9.14</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313CA6D" w14:textId="7D44678D" w:rsidR="005C2CED" w:rsidRPr="00A34F10" w:rsidRDefault="005C2CED" w:rsidP="005C2CED">
            <w:pPr>
              <w:suppressAutoHyphens/>
              <w:autoSpaceDE w:val="0"/>
              <w:autoSpaceDN w:val="0"/>
              <w:adjustRightInd w:val="0"/>
              <w:jc w:val="center"/>
              <w:rPr>
                <w:color w:val="000000"/>
                <w:sz w:val="20"/>
                <w:szCs w:val="20"/>
              </w:rPr>
            </w:pPr>
            <w:r w:rsidRPr="00FD1985">
              <w:rPr>
                <w:b/>
                <w:bCs/>
                <w:color w:val="000000"/>
                <w:sz w:val="20"/>
                <w:szCs w:val="20"/>
              </w:rPr>
              <w:t>1.39</w:t>
            </w:r>
          </w:p>
        </w:tc>
        <w:tc>
          <w:tcPr>
            <w:tcW w:w="546" w:type="pct"/>
            <w:tcBorders>
              <w:top w:val="single" w:sz="6" w:space="0" w:color="auto"/>
              <w:left w:val="single" w:sz="6" w:space="0" w:color="auto"/>
              <w:bottom w:val="single" w:sz="6" w:space="0" w:color="auto"/>
              <w:right w:val="single" w:sz="6" w:space="0" w:color="auto"/>
            </w:tcBorders>
            <w:shd w:val="clear" w:color="auto" w:fill="auto"/>
          </w:tcPr>
          <w:p w14:paraId="717C93C8" w14:textId="32146281"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0.01</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33E529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493.162</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18F383A3"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0.02</w:t>
            </w:r>
          </w:p>
        </w:tc>
      </w:tr>
      <w:tr w:rsidR="005C2CED" w:rsidRPr="00A34F10" w14:paraId="29B5CD67" w14:textId="77777777" w:rsidTr="00197E8F">
        <w:trPr>
          <w:trHeight w:val="247"/>
        </w:trPr>
        <w:tc>
          <w:tcPr>
            <w:tcW w:w="5000" w:type="pct"/>
            <w:gridSpan w:val="12"/>
            <w:tcBorders>
              <w:top w:val="single" w:sz="6" w:space="0" w:color="auto"/>
              <w:left w:val="single" w:sz="6" w:space="0" w:color="auto"/>
              <w:bottom w:val="single" w:sz="6" w:space="0" w:color="auto"/>
              <w:right w:val="single" w:sz="6" w:space="0" w:color="auto"/>
            </w:tcBorders>
          </w:tcPr>
          <w:p w14:paraId="18665ACB" w14:textId="1293FBC8" w:rsidR="005C2CED" w:rsidRPr="00A34F10" w:rsidRDefault="005C2CED" w:rsidP="005C2CED">
            <w:pPr>
              <w:suppressAutoHyphens/>
              <w:autoSpaceDE w:val="0"/>
              <w:autoSpaceDN w:val="0"/>
              <w:adjustRightInd w:val="0"/>
              <w:rPr>
                <w:sz w:val="20"/>
                <w:szCs w:val="20"/>
              </w:rPr>
            </w:pPr>
            <w:r w:rsidRPr="00A34F10">
              <w:rPr>
                <w:b/>
                <w:bCs/>
                <w:sz w:val="20"/>
                <w:szCs w:val="20"/>
              </w:rPr>
              <w:t>Step 2</w:t>
            </w:r>
          </w:p>
        </w:tc>
      </w:tr>
      <w:tr w:rsidR="005C2CED" w:rsidRPr="00A34F10" w14:paraId="376C7AE7" w14:textId="77777777" w:rsidTr="005C2CED">
        <w:trPr>
          <w:trHeight w:val="266"/>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3E95AFFA" w14:textId="77777777" w:rsidR="005C2CED" w:rsidRPr="00A34F10" w:rsidRDefault="005C2CED" w:rsidP="005C2CED">
            <w:pPr>
              <w:suppressAutoHyphens/>
              <w:autoSpaceDE w:val="0"/>
              <w:autoSpaceDN w:val="0"/>
              <w:adjustRightInd w:val="0"/>
              <w:rPr>
                <w:sz w:val="20"/>
                <w:szCs w:val="20"/>
              </w:rPr>
            </w:pPr>
            <w:r w:rsidRPr="00A34F10">
              <w:rPr>
                <w:sz w:val="20"/>
                <w:szCs w:val="20"/>
              </w:rPr>
              <w:t>N-Europe</w:t>
            </w:r>
          </w:p>
        </w:tc>
        <w:tc>
          <w:tcPr>
            <w:tcW w:w="364" w:type="pct"/>
            <w:tcBorders>
              <w:top w:val="single" w:sz="6" w:space="0" w:color="auto"/>
              <w:left w:val="single" w:sz="4" w:space="0" w:color="auto"/>
              <w:bottom w:val="single" w:sz="6" w:space="0" w:color="auto"/>
              <w:right w:val="single" w:sz="6" w:space="0" w:color="auto"/>
            </w:tcBorders>
            <w:shd w:val="clear" w:color="auto" w:fill="auto"/>
          </w:tcPr>
          <w:p w14:paraId="0F8CCF35" w14:textId="77777777" w:rsidR="005C2CED" w:rsidRPr="00A34F10" w:rsidRDefault="005C2CED" w:rsidP="005C2CED">
            <w:pPr>
              <w:suppressAutoHyphens/>
              <w:autoSpaceDE w:val="0"/>
              <w:autoSpaceDN w:val="0"/>
              <w:adjustRightInd w:val="0"/>
              <w:jc w:val="center"/>
              <w:rPr>
                <w:sz w:val="20"/>
                <w:szCs w:val="20"/>
                <w:lang w:val="en-GB"/>
              </w:rPr>
            </w:pPr>
            <w:r w:rsidRPr="00A34F10">
              <w:rPr>
                <w:color w:val="000000"/>
                <w:sz w:val="20"/>
                <w:szCs w:val="20"/>
              </w:rPr>
              <w:t>2.207</w:t>
            </w:r>
          </w:p>
        </w:tc>
        <w:tc>
          <w:tcPr>
            <w:tcW w:w="397" w:type="pct"/>
            <w:tcBorders>
              <w:top w:val="single" w:sz="6" w:space="0" w:color="auto"/>
              <w:left w:val="single" w:sz="6" w:space="0" w:color="auto"/>
              <w:bottom w:val="single" w:sz="6" w:space="0" w:color="auto"/>
              <w:right w:val="single" w:sz="6" w:space="0" w:color="auto"/>
            </w:tcBorders>
            <w:shd w:val="clear" w:color="auto" w:fill="auto"/>
          </w:tcPr>
          <w:p w14:paraId="27F5DF60" w14:textId="77777777" w:rsidR="005C2CED" w:rsidRPr="00A34F10" w:rsidRDefault="005C2CED" w:rsidP="005C2CED">
            <w:pPr>
              <w:suppressAutoHyphens/>
              <w:autoSpaceDE w:val="0"/>
              <w:autoSpaceDN w:val="0"/>
              <w:adjustRightInd w:val="0"/>
              <w:jc w:val="center"/>
              <w:rPr>
                <w:b/>
                <w:bCs/>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E87256B"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256C3C" w14:textId="64032F4A" w:rsidR="005C2CED" w:rsidRPr="00A34F10" w:rsidRDefault="005C2CED" w:rsidP="005C2CED">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41B32E8C" w14:textId="53D62A66" w:rsidR="005C2CED" w:rsidRPr="00A34F10" w:rsidRDefault="005C2CED" w:rsidP="005C2CED">
            <w:pPr>
              <w:suppressAutoHyphens/>
              <w:autoSpaceDE w:val="0"/>
              <w:autoSpaceDN w:val="0"/>
              <w:adjustRightInd w:val="0"/>
              <w:jc w:val="center"/>
              <w:rPr>
                <w:b/>
                <w:bCs/>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tcPr>
          <w:p w14:paraId="7EBC554D" w14:textId="741C11DF" w:rsidR="005C2CED" w:rsidRPr="00A34F10" w:rsidRDefault="005C2CED" w:rsidP="005C2CED">
            <w:pPr>
              <w:suppressAutoHyphens/>
              <w:autoSpaceDE w:val="0"/>
              <w:autoSpaceDN w:val="0"/>
              <w:adjustRightInd w:val="0"/>
              <w:jc w:val="center"/>
              <w:rPr>
                <w:b/>
                <w:bCs/>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120D7EF0" w14:textId="163EB542" w:rsidR="005C2CED" w:rsidRPr="00A34F10" w:rsidRDefault="005C2CED" w:rsidP="005C2CED">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1C082FB" w14:textId="555262E2" w:rsidR="005C2CED" w:rsidRPr="00A34F10" w:rsidRDefault="005C2CED" w:rsidP="00575BB0">
            <w:pPr>
              <w:suppressAutoHyphens/>
              <w:autoSpaceDE w:val="0"/>
              <w:autoSpaceDN w:val="0"/>
              <w:adjustRightInd w:val="0"/>
              <w:jc w:val="both"/>
              <w:rPr>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2ACB7B01" w14:textId="31E7B96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B3AA995"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74889942" w14:textId="77777777" w:rsidR="005C2CED" w:rsidRPr="00A34F10" w:rsidRDefault="005C2CED" w:rsidP="005C2CED">
            <w:pPr>
              <w:suppressAutoHyphens/>
              <w:autoSpaceDE w:val="0"/>
              <w:autoSpaceDN w:val="0"/>
              <w:adjustRightInd w:val="0"/>
              <w:jc w:val="center"/>
              <w:rPr>
                <w:bCs/>
                <w:sz w:val="20"/>
                <w:szCs w:val="20"/>
              </w:rPr>
            </w:pPr>
            <w:r w:rsidRPr="00A34F10">
              <w:rPr>
                <w:bCs/>
                <w:sz w:val="20"/>
                <w:szCs w:val="20"/>
              </w:rPr>
              <w:t>--</w:t>
            </w:r>
          </w:p>
        </w:tc>
      </w:tr>
      <w:tr w:rsidR="005C2CED" w:rsidRPr="00A34F10" w14:paraId="26AB4B18" w14:textId="77777777" w:rsidTr="005C2CED">
        <w:trPr>
          <w:trHeight w:val="266"/>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57B3C88F" w14:textId="77777777" w:rsidR="005C2CED" w:rsidRPr="00A34F10" w:rsidRDefault="005C2CED" w:rsidP="005C2CED">
            <w:pPr>
              <w:suppressAutoHyphens/>
              <w:autoSpaceDE w:val="0"/>
              <w:autoSpaceDN w:val="0"/>
              <w:adjustRightInd w:val="0"/>
              <w:rPr>
                <w:sz w:val="20"/>
                <w:szCs w:val="20"/>
              </w:rPr>
            </w:pPr>
            <w:r w:rsidRPr="00A34F10">
              <w:rPr>
                <w:sz w:val="20"/>
                <w:szCs w:val="20"/>
              </w:rPr>
              <w:t>S-Europe</w:t>
            </w:r>
          </w:p>
        </w:tc>
        <w:tc>
          <w:tcPr>
            <w:tcW w:w="364" w:type="pct"/>
            <w:tcBorders>
              <w:top w:val="single" w:sz="6" w:space="0" w:color="auto"/>
              <w:left w:val="single" w:sz="4" w:space="0" w:color="auto"/>
              <w:bottom w:val="single" w:sz="6" w:space="0" w:color="auto"/>
              <w:right w:val="single" w:sz="6" w:space="0" w:color="auto"/>
            </w:tcBorders>
            <w:shd w:val="clear" w:color="auto" w:fill="auto"/>
          </w:tcPr>
          <w:p w14:paraId="2721EB38"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2.207</w:t>
            </w:r>
          </w:p>
        </w:tc>
        <w:tc>
          <w:tcPr>
            <w:tcW w:w="397" w:type="pct"/>
            <w:tcBorders>
              <w:top w:val="single" w:sz="6" w:space="0" w:color="auto"/>
              <w:left w:val="single" w:sz="6" w:space="0" w:color="auto"/>
              <w:bottom w:val="single" w:sz="6" w:space="0" w:color="auto"/>
              <w:right w:val="single" w:sz="6" w:space="0" w:color="auto"/>
            </w:tcBorders>
            <w:shd w:val="clear" w:color="auto" w:fill="auto"/>
          </w:tcPr>
          <w:p w14:paraId="5B4991F1"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3070B925"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0.46</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903FDEA" w14:textId="693A2750" w:rsidR="005C2CED" w:rsidRPr="00A34F10" w:rsidRDefault="005C2CED" w:rsidP="005C2CED">
            <w:pPr>
              <w:suppressAutoHyphens/>
              <w:autoSpaceDE w:val="0"/>
              <w:autoSpaceDN w:val="0"/>
              <w:adjustRightInd w:val="0"/>
              <w:jc w:val="center"/>
              <w:rPr>
                <w:color w:val="000000"/>
                <w:sz w:val="20"/>
                <w:szCs w:val="20"/>
              </w:rPr>
            </w:pPr>
            <w:r>
              <w:rPr>
                <w:color w:val="000000"/>
                <w:sz w:val="20"/>
                <w:szCs w:val="20"/>
              </w:rPr>
              <w:t>0.37</w:t>
            </w:r>
          </w:p>
        </w:tc>
        <w:tc>
          <w:tcPr>
            <w:tcW w:w="436" w:type="pct"/>
            <w:tcBorders>
              <w:top w:val="single" w:sz="6" w:space="0" w:color="auto"/>
              <w:left w:val="single" w:sz="6" w:space="0" w:color="auto"/>
              <w:bottom w:val="single" w:sz="6" w:space="0" w:color="auto"/>
              <w:right w:val="single" w:sz="6" w:space="0" w:color="auto"/>
            </w:tcBorders>
            <w:shd w:val="clear" w:color="auto" w:fill="auto"/>
          </w:tcPr>
          <w:p w14:paraId="6F7B9E2D" w14:textId="0885330C"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w:t>
            </w:r>
          </w:p>
        </w:tc>
        <w:tc>
          <w:tcPr>
            <w:tcW w:w="399" w:type="pct"/>
            <w:tcBorders>
              <w:top w:val="single" w:sz="6" w:space="0" w:color="auto"/>
              <w:left w:val="single" w:sz="6" w:space="0" w:color="auto"/>
              <w:bottom w:val="single" w:sz="6" w:space="0" w:color="auto"/>
              <w:right w:val="single" w:sz="6" w:space="0" w:color="auto"/>
            </w:tcBorders>
          </w:tcPr>
          <w:p w14:paraId="71CBDBE7" w14:textId="73E6875A" w:rsidR="005C2CED" w:rsidRPr="00A34F10" w:rsidRDefault="005C2CED" w:rsidP="005C2CED">
            <w:pPr>
              <w:suppressAutoHyphens/>
              <w:autoSpaceDE w:val="0"/>
              <w:autoSpaceDN w:val="0"/>
              <w:adjustRightInd w:val="0"/>
              <w:jc w:val="center"/>
              <w:rPr>
                <w:b/>
                <w:bCs/>
                <w:color w:val="000000"/>
                <w:sz w:val="20"/>
                <w:szCs w:val="20"/>
              </w:rPr>
            </w:pPr>
            <w:r w:rsidRPr="00FE72E4">
              <w:rPr>
                <w:color w:val="000000"/>
                <w:sz w:val="20"/>
                <w:szCs w:val="20"/>
              </w:rPr>
              <w:t>0.50</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7470071A" w14:textId="420C6D5A" w:rsidR="005C2CED" w:rsidRPr="00A34F10" w:rsidRDefault="005C2CED" w:rsidP="005C2CED">
            <w:pPr>
              <w:suppressAutoHyphens/>
              <w:autoSpaceDE w:val="0"/>
              <w:autoSpaceDN w:val="0"/>
              <w:adjustRightInd w:val="0"/>
              <w:jc w:val="center"/>
              <w:rPr>
                <w:b/>
                <w:sz w:val="20"/>
                <w:szCs w:val="20"/>
              </w:rPr>
            </w:pPr>
            <w:r w:rsidRPr="00A34F10">
              <w:rPr>
                <w:b/>
                <w:bCs/>
                <w:color w:val="000000"/>
                <w:sz w:val="20"/>
                <w:szCs w:val="20"/>
              </w:rPr>
              <w:t>1.23</w:t>
            </w:r>
          </w:p>
        </w:tc>
        <w:tc>
          <w:tcPr>
            <w:tcW w:w="54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C1CF0D3" w14:textId="54A85D1B" w:rsidR="005C2CED" w:rsidRPr="00A34F10" w:rsidRDefault="005C2CED" w:rsidP="00575BB0">
            <w:pPr>
              <w:suppressAutoHyphens/>
              <w:autoSpaceDE w:val="0"/>
              <w:autoSpaceDN w:val="0"/>
              <w:adjustRightInd w:val="0"/>
              <w:jc w:val="both"/>
              <w:rPr>
                <w:b/>
                <w:bCs/>
                <w:sz w:val="20"/>
                <w:szCs w:val="20"/>
              </w:rPr>
            </w:pPr>
            <w:r>
              <w:rPr>
                <w:color w:val="000000"/>
                <w:sz w:val="20"/>
                <w:szCs w:val="20"/>
              </w:rPr>
              <w:t>0.19</w:t>
            </w:r>
          </w:p>
        </w:tc>
        <w:tc>
          <w:tcPr>
            <w:tcW w:w="546" w:type="pct"/>
            <w:tcBorders>
              <w:top w:val="single" w:sz="6" w:space="0" w:color="auto"/>
              <w:left w:val="single" w:sz="6" w:space="0" w:color="auto"/>
              <w:bottom w:val="single" w:sz="6" w:space="0" w:color="auto"/>
              <w:right w:val="single" w:sz="6" w:space="0" w:color="auto"/>
            </w:tcBorders>
            <w:shd w:val="clear" w:color="auto" w:fill="auto"/>
            <w:vAlign w:val="center"/>
          </w:tcPr>
          <w:p w14:paraId="08CD59E0" w14:textId="59C0FFAA" w:rsidR="005C2CED" w:rsidRPr="00A34F10" w:rsidRDefault="005C2CED" w:rsidP="005C2CED">
            <w:pPr>
              <w:suppressAutoHyphens/>
              <w:autoSpaceDE w:val="0"/>
              <w:autoSpaceDN w:val="0"/>
              <w:adjustRightInd w:val="0"/>
              <w:jc w:val="center"/>
              <w:rPr>
                <w:b/>
                <w:bCs/>
                <w:sz w:val="20"/>
                <w:szCs w:val="20"/>
              </w:rPr>
            </w:pPr>
            <w:r w:rsidRPr="00A34F10">
              <w:rPr>
                <w:b/>
                <w:bCs/>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48FD895E"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418BAE52" w14:textId="77777777" w:rsidR="005C2CED" w:rsidRPr="00A34F10" w:rsidRDefault="005C2CED" w:rsidP="005C2CED">
            <w:pPr>
              <w:suppressAutoHyphens/>
              <w:autoSpaceDE w:val="0"/>
              <w:autoSpaceDN w:val="0"/>
              <w:adjustRightInd w:val="0"/>
              <w:jc w:val="center"/>
              <w:rPr>
                <w:bCs/>
                <w:sz w:val="20"/>
                <w:szCs w:val="20"/>
              </w:rPr>
            </w:pPr>
            <w:r w:rsidRPr="00A34F10">
              <w:rPr>
                <w:bCs/>
                <w:sz w:val="20"/>
                <w:szCs w:val="20"/>
              </w:rPr>
              <w:t>--</w:t>
            </w:r>
          </w:p>
        </w:tc>
      </w:tr>
      <w:tr w:rsidR="005C2CED" w:rsidRPr="00A34F10" w14:paraId="264C8A7F" w14:textId="77777777" w:rsidTr="00197E8F">
        <w:trPr>
          <w:trHeight w:val="266"/>
        </w:trPr>
        <w:tc>
          <w:tcPr>
            <w:tcW w:w="5000" w:type="pct"/>
            <w:gridSpan w:val="12"/>
            <w:tcBorders>
              <w:top w:val="single" w:sz="6" w:space="0" w:color="auto"/>
              <w:left w:val="single" w:sz="6" w:space="0" w:color="auto"/>
              <w:bottom w:val="single" w:sz="6" w:space="0" w:color="auto"/>
              <w:right w:val="single" w:sz="6" w:space="0" w:color="auto"/>
            </w:tcBorders>
          </w:tcPr>
          <w:p w14:paraId="146CA041" w14:textId="318C74FA" w:rsidR="005C2CED" w:rsidRPr="00A34F10" w:rsidRDefault="005C2CED" w:rsidP="005C2CED">
            <w:pPr>
              <w:suppressAutoHyphens/>
              <w:autoSpaceDE w:val="0"/>
              <w:autoSpaceDN w:val="0"/>
              <w:adjustRightInd w:val="0"/>
              <w:rPr>
                <w:bCs/>
                <w:sz w:val="20"/>
                <w:szCs w:val="20"/>
              </w:rPr>
            </w:pPr>
            <w:r w:rsidRPr="00A34F10">
              <w:rPr>
                <w:b/>
                <w:bCs/>
                <w:sz w:val="20"/>
                <w:szCs w:val="20"/>
              </w:rPr>
              <w:t>Step 3</w:t>
            </w:r>
          </w:p>
        </w:tc>
      </w:tr>
      <w:tr w:rsidR="005C2CED" w:rsidRPr="00A34F10" w14:paraId="252B4CB7"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6169FC68" w14:textId="77777777" w:rsidR="005C2CED" w:rsidRPr="00A34F10" w:rsidRDefault="005C2CED" w:rsidP="005C2CED">
            <w:pPr>
              <w:suppressAutoHyphens/>
              <w:autoSpaceDE w:val="0"/>
              <w:autoSpaceDN w:val="0"/>
              <w:adjustRightInd w:val="0"/>
              <w:rPr>
                <w:sz w:val="20"/>
                <w:szCs w:val="20"/>
              </w:rPr>
            </w:pPr>
            <w:r w:rsidRPr="00A34F10">
              <w:rPr>
                <w:color w:val="000000"/>
                <w:sz w:val="20"/>
                <w:szCs w:val="20"/>
              </w:rPr>
              <w:t>D3/ditch</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3A050C8E"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1.504</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6EBF7734"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24CFB01"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0.31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4EFDF6D" w14:textId="5DCB9D3B"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1E462B9C" w14:textId="08C411E9"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F8B26C" w14:textId="0B606B65"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503B5C6" w14:textId="020B20DF"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0.31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8D93E1B" w14:textId="5F7A53ED"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7A6125F2" w14:textId="12357BC0" w:rsidR="005C2CED" w:rsidRPr="00A34F10" w:rsidRDefault="005C2CED" w:rsidP="005C2CED">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7BF9BDE1"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6F66271" w14:textId="77777777" w:rsidR="005C2CED" w:rsidRPr="00A34F10" w:rsidRDefault="005C2CED" w:rsidP="005C2CED">
            <w:pPr>
              <w:suppressAutoHyphens/>
              <w:autoSpaceDE w:val="0"/>
              <w:autoSpaceDN w:val="0"/>
              <w:adjustRightInd w:val="0"/>
              <w:jc w:val="center"/>
              <w:rPr>
                <w:bCs/>
                <w:sz w:val="20"/>
                <w:szCs w:val="20"/>
              </w:rPr>
            </w:pPr>
            <w:r w:rsidRPr="00A34F10">
              <w:rPr>
                <w:sz w:val="20"/>
                <w:szCs w:val="20"/>
              </w:rPr>
              <w:t>--</w:t>
            </w:r>
          </w:p>
        </w:tc>
      </w:tr>
      <w:tr w:rsidR="005C2CED" w:rsidRPr="00A34F10" w14:paraId="3792EB25"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092ABCC9" w14:textId="77777777" w:rsidR="005C2CED" w:rsidRPr="00A34F10" w:rsidRDefault="005C2CED" w:rsidP="005C2CED">
            <w:pPr>
              <w:suppressAutoHyphens/>
              <w:autoSpaceDE w:val="0"/>
              <w:autoSpaceDN w:val="0"/>
              <w:adjustRightInd w:val="0"/>
              <w:rPr>
                <w:sz w:val="20"/>
                <w:szCs w:val="20"/>
              </w:rPr>
            </w:pPr>
            <w:r w:rsidRPr="00A34F10">
              <w:rPr>
                <w:color w:val="000000"/>
                <w:sz w:val="20"/>
                <w:szCs w:val="20"/>
              </w:rPr>
              <w:t>D4/pond</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47991641"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0.051</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56F78E09"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7210C19D"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0.01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2769901" w14:textId="675BBC85"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07E095C8" w14:textId="01E25229"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75BEC8" w14:textId="0D04B76B"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4DDEC2F1" w14:textId="7855A3B1"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0.01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7C8323CB" w14:textId="72F29F02"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75E9749C" w14:textId="6CB1CFF0" w:rsidR="005C2CED" w:rsidRPr="00A34F10" w:rsidRDefault="005C2CED" w:rsidP="005C2CED">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182B7571"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564531C3" w14:textId="77777777" w:rsidR="005C2CED" w:rsidRPr="00A34F10" w:rsidRDefault="005C2CED" w:rsidP="005C2CED">
            <w:pPr>
              <w:suppressAutoHyphens/>
              <w:autoSpaceDE w:val="0"/>
              <w:autoSpaceDN w:val="0"/>
              <w:adjustRightInd w:val="0"/>
              <w:jc w:val="center"/>
              <w:rPr>
                <w:bCs/>
                <w:sz w:val="20"/>
                <w:szCs w:val="20"/>
              </w:rPr>
            </w:pPr>
            <w:r w:rsidRPr="00A34F10">
              <w:rPr>
                <w:sz w:val="20"/>
                <w:szCs w:val="20"/>
              </w:rPr>
              <w:t>--</w:t>
            </w:r>
          </w:p>
        </w:tc>
      </w:tr>
      <w:tr w:rsidR="005C2CED" w:rsidRPr="00A34F10" w14:paraId="31336525"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1A53B419" w14:textId="77777777" w:rsidR="005C2CED" w:rsidRPr="00A34F10" w:rsidRDefault="005C2CED" w:rsidP="005C2CED">
            <w:pPr>
              <w:suppressAutoHyphens/>
              <w:autoSpaceDE w:val="0"/>
              <w:autoSpaceDN w:val="0"/>
              <w:adjustRightInd w:val="0"/>
              <w:rPr>
                <w:sz w:val="20"/>
                <w:szCs w:val="20"/>
              </w:rPr>
            </w:pPr>
            <w:r w:rsidRPr="00A34F10">
              <w:rPr>
                <w:color w:val="000000"/>
                <w:sz w:val="20"/>
                <w:szCs w:val="20"/>
              </w:rPr>
              <w:t>D4/stream</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1830EBC4"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1.147</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27D17906"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2A1CA536"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0.24</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CFF0362" w14:textId="455C1D39"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27FACDC7" w14:textId="54EE8206"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13949" w14:textId="08FD406B"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5BB517DE" w14:textId="71EB0A90"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0.24</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1640D7F7" w14:textId="60CB0FDA"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4D6191EA" w14:textId="2A54E779" w:rsidR="005C2CED" w:rsidRPr="00A34F10" w:rsidRDefault="005C2CED" w:rsidP="005C2CED">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332797EC"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10FC1161" w14:textId="77777777" w:rsidR="005C2CED" w:rsidRPr="00A34F10" w:rsidRDefault="005C2CED" w:rsidP="005C2CED">
            <w:pPr>
              <w:suppressAutoHyphens/>
              <w:autoSpaceDE w:val="0"/>
              <w:autoSpaceDN w:val="0"/>
              <w:adjustRightInd w:val="0"/>
              <w:jc w:val="center"/>
              <w:rPr>
                <w:bCs/>
                <w:sz w:val="20"/>
                <w:szCs w:val="20"/>
              </w:rPr>
            </w:pPr>
            <w:r w:rsidRPr="00A34F10">
              <w:rPr>
                <w:sz w:val="20"/>
                <w:szCs w:val="20"/>
              </w:rPr>
              <w:t>--</w:t>
            </w:r>
          </w:p>
        </w:tc>
      </w:tr>
      <w:tr w:rsidR="005C2CED" w:rsidRPr="00A34F10" w14:paraId="167E2686"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1BBC0B0B" w14:textId="77777777" w:rsidR="005C2CED" w:rsidRPr="00A34F10" w:rsidRDefault="005C2CED" w:rsidP="005C2CED">
            <w:pPr>
              <w:suppressAutoHyphens/>
              <w:autoSpaceDE w:val="0"/>
              <w:autoSpaceDN w:val="0"/>
              <w:adjustRightInd w:val="0"/>
              <w:rPr>
                <w:sz w:val="20"/>
                <w:szCs w:val="20"/>
              </w:rPr>
            </w:pPr>
            <w:r w:rsidRPr="00A34F10">
              <w:rPr>
                <w:color w:val="000000"/>
                <w:sz w:val="20"/>
                <w:szCs w:val="20"/>
              </w:rPr>
              <w:t>D6/ditch</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18006D3B" w14:textId="77777777" w:rsidR="005C2CED" w:rsidRPr="00A34F10" w:rsidRDefault="005C2CED" w:rsidP="005C2CED">
            <w:pPr>
              <w:suppressAutoHyphens/>
              <w:autoSpaceDE w:val="0"/>
              <w:autoSpaceDN w:val="0"/>
              <w:adjustRightInd w:val="0"/>
              <w:jc w:val="center"/>
              <w:rPr>
                <w:sz w:val="20"/>
                <w:szCs w:val="20"/>
              </w:rPr>
            </w:pPr>
            <w:r w:rsidRPr="00A34F10">
              <w:rPr>
                <w:color w:val="000000"/>
                <w:sz w:val="20"/>
                <w:szCs w:val="20"/>
              </w:rPr>
              <w:t>1.516</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636B27CE"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20E2EC98" w14:textId="77777777"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0.32</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ABF98E8" w14:textId="79D9E48D"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3C9B4621" w14:textId="44DE2F0B"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000D1E" w14:textId="769CF35A"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2BDE41B2" w14:textId="469E03AE" w:rsidR="005C2CED" w:rsidRPr="00A34F10" w:rsidRDefault="005C2CED" w:rsidP="005C2CED">
            <w:pPr>
              <w:suppressAutoHyphens/>
              <w:autoSpaceDE w:val="0"/>
              <w:autoSpaceDN w:val="0"/>
              <w:adjustRightInd w:val="0"/>
              <w:jc w:val="center"/>
              <w:rPr>
                <w:bCs/>
                <w:sz w:val="20"/>
                <w:szCs w:val="20"/>
              </w:rPr>
            </w:pPr>
            <w:r w:rsidRPr="00A34F10">
              <w:rPr>
                <w:color w:val="000000"/>
                <w:sz w:val="20"/>
                <w:szCs w:val="20"/>
              </w:rPr>
              <w:t>0.32</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7463C2F" w14:textId="692C0F69"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088B1E1D" w14:textId="36DF1570" w:rsidR="005C2CED" w:rsidRPr="00A34F10" w:rsidRDefault="005C2CED" w:rsidP="005C2CED">
            <w:pPr>
              <w:suppressAutoHyphens/>
              <w:autoSpaceDE w:val="0"/>
              <w:autoSpaceDN w:val="0"/>
              <w:adjustRightInd w:val="0"/>
              <w:jc w:val="center"/>
              <w:rPr>
                <w:b/>
                <w:bCs/>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C0EE6D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42BAE208" w14:textId="77777777" w:rsidR="005C2CED" w:rsidRPr="00A34F10" w:rsidRDefault="005C2CED" w:rsidP="005C2CED">
            <w:pPr>
              <w:suppressAutoHyphens/>
              <w:autoSpaceDE w:val="0"/>
              <w:autoSpaceDN w:val="0"/>
              <w:adjustRightInd w:val="0"/>
              <w:jc w:val="center"/>
              <w:rPr>
                <w:bCs/>
                <w:sz w:val="20"/>
                <w:szCs w:val="20"/>
              </w:rPr>
            </w:pPr>
            <w:r w:rsidRPr="00A34F10">
              <w:rPr>
                <w:sz w:val="20"/>
                <w:szCs w:val="20"/>
              </w:rPr>
              <w:t>--</w:t>
            </w:r>
          </w:p>
        </w:tc>
      </w:tr>
      <w:tr w:rsidR="005C2CED" w:rsidRPr="00A34F10" w14:paraId="6F86C919"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00989F73"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D6/ditch</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7A29BE2A"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1.501</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2E7144BA"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A664F23"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0.31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9736E4B" w14:textId="3721F50D"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51F6DB10" w14:textId="2029AA35"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1EA408" w14:textId="7E30C385"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63EDD7E" w14:textId="6E206063"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0.31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48AA4EC0" w14:textId="5A581A9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34C3D4BC" w14:textId="385C515E"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57C4FF5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B84C503"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r w:rsidR="005C2CED" w:rsidRPr="00A34F10" w14:paraId="6B541434"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20DDA916"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R1/pond</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72AC8522"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0.051</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5F7C68E1"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42D05F92"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0.01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E7BCC86" w14:textId="2CC2C911"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4EEF4A17" w14:textId="1AEFD99B"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19779B" w14:textId="2FC9C106"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4CFA3D54" w14:textId="65AEDB21"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0.01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69942C23" w14:textId="0100FED5"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370FABB7" w14:textId="680A2E04"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6F3B4A0B"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50947B89"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r w:rsidR="005C2CED" w:rsidRPr="00A34F10" w14:paraId="1C28FAEB"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1397FC24"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R1/stream</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48B09E42"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0.992</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3AB4381F"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2ED9D78D"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20D71A3" w14:textId="47A866BE"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762F1157" w14:textId="2330CBF6"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63D7E2" w14:textId="69FED8D2"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06B91DA3" w14:textId="64D5FD50"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41AA09D2" w14:textId="1E3CDB0B"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06B2A067" w14:textId="307989D9"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0DC04D03"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25572B6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r w:rsidR="005C2CED" w:rsidRPr="00A34F10" w14:paraId="0536E071"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6B2EBD72"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R2/stream</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7B26A177"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1.311</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140D5788"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5EE3B546"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0.27</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CADD189" w14:textId="227A7180"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60AE3976" w14:textId="2549D645"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8E5095" w14:textId="70D0E1BA"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6DF4773" w14:textId="64D5C25D"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0.27</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D5363D1" w14:textId="1FABE82D"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0EC4C99E" w14:textId="0F4A3802"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2E7766C6"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35AE927F"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r w:rsidR="005C2CED" w:rsidRPr="00A34F10" w14:paraId="5FB4D76E"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254CFB69"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R3/stream</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1555B301"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1.399</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13C0E843"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6A9AFCF9"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0.29</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29E975" w14:textId="4E60F33F"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56E7C3DB" w14:textId="049556A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A6D90D" w14:textId="18709CED" w:rsidR="005C2CED" w:rsidRPr="00A34F10" w:rsidRDefault="005C2CED" w:rsidP="005C2CED">
            <w:pPr>
              <w:suppressAutoHyphens/>
              <w:autoSpaceDE w:val="0"/>
              <w:autoSpaceDN w:val="0"/>
              <w:adjustRightInd w:val="0"/>
              <w:jc w:val="center"/>
              <w:rPr>
                <w:color w:val="000000"/>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14519BE0" w14:textId="483EA0AD"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0.29</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vAlign w:val="center"/>
          </w:tcPr>
          <w:p w14:paraId="2DBEA359" w14:textId="20F6C7A6"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19D5A8C2" w14:textId="77C7240B"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34B7DFC9"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0D10FC89"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r w:rsidR="005C2CED" w:rsidRPr="00A34F10" w14:paraId="20A4EA01" w14:textId="77777777" w:rsidTr="005C2CED">
        <w:trPr>
          <w:trHeight w:val="266"/>
        </w:trPr>
        <w:tc>
          <w:tcPr>
            <w:tcW w:w="348" w:type="pct"/>
            <w:tcBorders>
              <w:top w:val="single" w:sz="6" w:space="0" w:color="auto"/>
              <w:left w:val="single" w:sz="6" w:space="0" w:color="auto"/>
              <w:bottom w:val="single" w:sz="6" w:space="0" w:color="auto"/>
              <w:right w:val="single" w:sz="6" w:space="0" w:color="auto"/>
            </w:tcBorders>
            <w:shd w:val="clear" w:color="auto" w:fill="auto"/>
          </w:tcPr>
          <w:p w14:paraId="37B971A0" w14:textId="77777777" w:rsidR="005C2CED" w:rsidRPr="00A34F10" w:rsidRDefault="005C2CED" w:rsidP="005C2CED">
            <w:pPr>
              <w:suppressAutoHyphens/>
              <w:autoSpaceDE w:val="0"/>
              <w:autoSpaceDN w:val="0"/>
              <w:adjustRightInd w:val="0"/>
              <w:rPr>
                <w:color w:val="000000"/>
                <w:sz w:val="20"/>
                <w:szCs w:val="20"/>
              </w:rPr>
            </w:pPr>
            <w:r w:rsidRPr="00A34F10">
              <w:rPr>
                <w:color w:val="000000"/>
                <w:sz w:val="20"/>
                <w:szCs w:val="20"/>
              </w:rPr>
              <w:t>R4/stream</w:t>
            </w:r>
          </w:p>
        </w:tc>
        <w:tc>
          <w:tcPr>
            <w:tcW w:w="364" w:type="pct"/>
            <w:tcBorders>
              <w:top w:val="single" w:sz="6" w:space="0" w:color="auto"/>
              <w:left w:val="single" w:sz="4" w:space="0" w:color="auto"/>
              <w:bottom w:val="single" w:sz="6" w:space="0" w:color="auto"/>
              <w:right w:val="single" w:sz="6" w:space="0" w:color="auto"/>
            </w:tcBorders>
            <w:shd w:val="clear" w:color="auto" w:fill="auto"/>
            <w:vAlign w:val="center"/>
          </w:tcPr>
          <w:p w14:paraId="6048D8B8"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0.984</w:t>
            </w:r>
          </w:p>
        </w:tc>
        <w:tc>
          <w:tcPr>
            <w:tcW w:w="397" w:type="pct"/>
            <w:tcBorders>
              <w:top w:val="single" w:sz="6" w:space="0" w:color="auto"/>
              <w:left w:val="single" w:sz="6" w:space="0" w:color="auto"/>
              <w:bottom w:val="single" w:sz="6" w:space="0" w:color="auto"/>
              <w:right w:val="single" w:sz="6" w:space="0" w:color="auto"/>
            </w:tcBorders>
            <w:shd w:val="clear" w:color="auto" w:fill="auto"/>
            <w:vAlign w:val="center"/>
          </w:tcPr>
          <w:p w14:paraId="65AF03A0"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6" w:space="0" w:color="auto"/>
              <w:left w:val="single" w:sz="6" w:space="0" w:color="auto"/>
              <w:bottom w:val="single" w:sz="6" w:space="0" w:color="auto"/>
              <w:right w:val="single" w:sz="6" w:space="0" w:color="auto"/>
            </w:tcBorders>
            <w:shd w:val="clear" w:color="auto" w:fill="auto"/>
          </w:tcPr>
          <w:p w14:paraId="062B09D7" w14:textId="77777777"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0.21</w:t>
            </w:r>
          </w:p>
        </w:tc>
        <w:tc>
          <w:tcPr>
            <w:tcW w:w="4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DF6B75C" w14:textId="13023DE2" w:rsidR="005C2CED" w:rsidRPr="00A34F10" w:rsidRDefault="005C2CED" w:rsidP="005C2CED">
            <w:pPr>
              <w:suppressAutoHyphens/>
              <w:autoSpaceDE w:val="0"/>
              <w:autoSpaceDN w:val="0"/>
              <w:adjustRightInd w:val="0"/>
              <w:jc w:val="center"/>
              <w:rPr>
                <w:sz w:val="20"/>
                <w:szCs w:val="20"/>
              </w:rPr>
            </w:pPr>
            <w:r>
              <w:rPr>
                <w:sz w:val="20"/>
                <w:szCs w:val="20"/>
              </w:rPr>
              <w:t>--</w:t>
            </w:r>
          </w:p>
        </w:tc>
        <w:tc>
          <w:tcPr>
            <w:tcW w:w="436" w:type="pct"/>
            <w:tcBorders>
              <w:top w:val="single" w:sz="6" w:space="0" w:color="auto"/>
              <w:left w:val="single" w:sz="6" w:space="0" w:color="auto"/>
              <w:bottom w:val="single" w:sz="6" w:space="0" w:color="auto"/>
              <w:right w:val="single" w:sz="4" w:space="0" w:color="auto"/>
            </w:tcBorders>
            <w:shd w:val="clear" w:color="auto" w:fill="auto"/>
            <w:vAlign w:val="center"/>
          </w:tcPr>
          <w:p w14:paraId="3C25221F" w14:textId="0CF35453"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E573A" w14:textId="3340E96B" w:rsidR="005C2CED" w:rsidRPr="00A34F10" w:rsidRDefault="005C2CED" w:rsidP="005C2CED">
            <w:pPr>
              <w:suppressAutoHyphens/>
              <w:autoSpaceDE w:val="0"/>
              <w:autoSpaceDN w:val="0"/>
              <w:adjustRightInd w:val="0"/>
              <w:jc w:val="center"/>
              <w:rPr>
                <w:color w:val="000000"/>
                <w:sz w:val="20"/>
                <w:szCs w:val="20"/>
              </w:rPr>
            </w:pPr>
            <w:r>
              <w:rPr>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auto"/>
          </w:tcPr>
          <w:p w14:paraId="779ACEC2" w14:textId="01783823" w:rsidR="005C2CED" w:rsidRPr="00A34F10" w:rsidRDefault="005C2CED" w:rsidP="005C2CED">
            <w:pPr>
              <w:suppressAutoHyphens/>
              <w:autoSpaceDE w:val="0"/>
              <w:autoSpaceDN w:val="0"/>
              <w:adjustRightInd w:val="0"/>
              <w:jc w:val="center"/>
              <w:rPr>
                <w:color w:val="000000"/>
                <w:sz w:val="20"/>
                <w:szCs w:val="20"/>
              </w:rPr>
            </w:pPr>
            <w:r w:rsidRPr="00A34F10">
              <w:rPr>
                <w:color w:val="000000"/>
                <w:sz w:val="20"/>
                <w:szCs w:val="20"/>
              </w:rPr>
              <w:t>0.21</w:t>
            </w:r>
          </w:p>
        </w:tc>
        <w:tc>
          <w:tcPr>
            <w:tcW w:w="546" w:type="pct"/>
            <w:tcBorders>
              <w:top w:val="single" w:sz="6" w:space="0" w:color="auto"/>
              <w:left w:val="single" w:sz="4" w:space="0" w:color="auto"/>
              <w:bottom w:val="single" w:sz="6" w:space="0" w:color="auto"/>
              <w:right w:val="single" w:sz="4" w:space="0" w:color="auto"/>
            </w:tcBorders>
            <w:shd w:val="clear" w:color="auto" w:fill="D9D9D9" w:themeFill="background1" w:themeFillShade="D9"/>
          </w:tcPr>
          <w:p w14:paraId="7ECCE031" w14:textId="3655FD77" w:rsidR="005C2CED" w:rsidRPr="00A34F10" w:rsidRDefault="005C2CED" w:rsidP="005C2CED">
            <w:pPr>
              <w:suppressAutoHyphens/>
              <w:autoSpaceDE w:val="0"/>
              <w:autoSpaceDN w:val="0"/>
              <w:adjustRightInd w:val="0"/>
              <w:jc w:val="center"/>
              <w:rPr>
                <w:sz w:val="20"/>
                <w:szCs w:val="20"/>
              </w:rPr>
            </w:pPr>
            <w:r>
              <w:rPr>
                <w:sz w:val="20"/>
                <w:szCs w:val="20"/>
              </w:rPr>
              <w:t>--</w:t>
            </w:r>
          </w:p>
        </w:tc>
        <w:tc>
          <w:tcPr>
            <w:tcW w:w="546" w:type="pct"/>
            <w:tcBorders>
              <w:top w:val="single" w:sz="6" w:space="0" w:color="auto"/>
              <w:left w:val="single" w:sz="4" w:space="0" w:color="auto"/>
              <w:bottom w:val="single" w:sz="6" w:space="0" w:color="auto"/>
              <w:right w:val="single" w:sz="6" w:space="0" w:color="auto"/>
            </w:tcBorders>
            <w:shd w:val="clear" w:color="auto" w:fill="auto"/>
            <w:vAlign w:val="center"/>
          </w:tcPr>
          <w:p w14:paraId="08FADDF8" w14:textId="0708FC8A"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288" w:type="pct"/>
            <w:tcBorders>
              <w:top w:val="single" w:sz="6" w:space="0" w:color="auto"/>
              <w:left w:val="single" w:sz="6" w:space="0" w:color="auto"/>
              <w:bottom w:val="single" w:sz="6" w:space="0" w:color="auto"/>
              <w:right w:val="single" w:sz="6" w:space="0" w:color="auto"/>
            </w:tcBorders>
            <w:shd w:val="clear" w:color="auto" w:fill="auto"/>
            <w:vAlign w:val="center"/>
          </w:tcPr>
          <w:p w14:paraId="1B221F61"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c>
          <w:tcPr>
            <w:tcW w:w="442" w:type="pct"/>
            <w:tcBorders>
              <w:top w:val="single" w:sz="6" w:space="0" w:color="auto"/>
              <w:left w:val="single" w:sz="6" w:space="0" w:color="auto"/>
              <w:bottom w:val="single" w:sz="6" w:space="0" w:color="auto"/>
              <w:right w:val="single" w:sz="6" w:space="0" w:color="auto"/>
            </w:tcBorders>
            <w:shd w:val="clear" w:color="auto" w:fill="auto"/>
            <w:vAlign w:val="center"/>
          </w:tcPr>
          <w:p w14:paraId="071A8D21" w14:textId="77777777" w:rsidR="005C2CED" w:rsidRPr="00A34F10" w:rsidRDefault="005C2CED" w:rsidP="005C2CED">
            <w:pPr>
              <w:suppressAutoHyphens/>
              <w:autoSpaceDE w:val="0"/>
              <w:autoSpaceDN w:val="0"/>
              <w:adjustRightInd w:val="0"/>
              <w:jc w:val="center"/>
              <w:rPr>
                <w:sz w:val="20"/>
                <w:szCs w:val="20"/>
              </w:rPr>
            </w:pPr>
            <w:r w:rsidRPr="00A34F10">
              <w:rPr>
                <w:sz w:val="20"/>
                <w:szCs w:val="20"/>
              </w:rPr>
              <w:t>--</w:t>
            </w:r>
          </w:p>
        </w:tc>
      </w:tr>
    </w:tbl>
    <w:p w14:paraId="71B1F8FC"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t xml:space="preserve">AF: Assessment factor; PEC: Predicted environmental concentration; RAC: Regulatory acceptable concentration; PEC/RAC ratios above the relevant trigger of 1 are shown in </w:t>
      </w:r>
      <w:r w:rsidRPr="00A34F10">
        <w:rPr>
          <w:b/>
          <w:sz w:val="18"/>
          <w:szCs w:val="18"/>
        </w:rPr>
        <w:t>bold</w:t>
      </w:r>
      <w:r w:rsidRPr="00A34F10">
        <w:rPr>
          <w:sz w:val="18"/>
          <w:szCs w:val="18"/>
        </w:rPr>
        <w:t>.</w:t>
      </w:r>
    </w:p>
    <w:p w14:paraId="53A9C678" w14:textId="77777777" w:rsidR="00DC5685" w:rsidRPr="00A34F10" w:rsidRDefault="00DC5685" w:rsidP="00DC5685">
      <w:pPr>
        <w:widowControl w:val="0"/>
        <w:suppressAutoHyphens/>
        <w:ind w:left="284" w:hanging="284"/>
        <w:jc w:val="both"/>
        <w:rPr>
          <w:sz w:val="18"/>
          <w:szCs w:val="18"/>
        </w:rPr>
      </w:pPr>
      <w:r w:rsidRPr="00A34F10">
        <w:rPr>
          <w:sz w:val="18"/>
          <w:szCs w:val="18"/>
        </w:rPr>
        <w:t>*</w:t>
      </w:r>
      <w:r w:rsidRPr="00A34F10">
        <w:rPr>
          <w:sz w:val="18"/>
          <w:szCs w:val="18"/>
        </w:rPr>
        <w:tab/>
        <w:t>Study was conducted with the solo-formulation BAS 650 00 F; endpoint is given as mean measured concentration of the active substance.</w:t>
      </w:r>
    </w:p>
    <w:p w14:paraId="332FCB3A" w14:textId="77777777" w:rsidR="00DC5685" w:rsidRPr="00A34F10" w:rsidRDefault="00DC5685" w:rsidP="00DC5685">
      <w:pPr>
        <w:widowControl w:val="0"/>
        <w:tabs>
          <w:tab w:val="left" w:pos="284"/>
        </w:tabs>
        <w:suppressAutoHyphens/>
        <w:ind w:left="284" w:hanging="284"/>
        <w:jc w:val="both"/>
        <w:rPr>
          <w:sz w:val="18"/>
        </w:rPr>
      </w:pPr>
      <w:r w:rsidRPr="00A34F10">
        <w:rPr>
          <w:sz w:val="18"/>
          <w:vertAlign w:val="superscript"/>
        </w:rPr>
        <w:t>1)</w:t>
      </w:r>
      <w:r w:rsidRPr="00A34F10">
        <w:rPr>
          <w:sz w:val="18"/>
        </w:rPr>
        <w:tab/>
        <w:t>Worst-case</w:t>
      </w:r>
      <w:r w:rsidRPr="00A34F10">
        <w:rPr>
          <w:bCs/>
          <w:sz w:val="18"/>
        </w:rPr>
        <w:t xml:space="preserve"> PEC value resulting from calculations for single or multiple application in onion.</w:t>
      </w:r>
    </w:p>
    <w:p w14:paraId="4B943D8C" w14:textId="77777777" w:rsidR="00DC5685" w:rsidRPr="00A34F10" w:rsidRDefault="00DC5685" w:rsidP="00DC5685">
      <w:pPr>
        <w:widowControl w:val="0"/>
        <w:suppressAutoHyphens/>
        <w:jc w:val="both"/>
        <w:rPr>
          <w:highlight w:val="yellow"/>
        </w:rPr>
      </w:pPr>
    </w:p>
    <w:p w14:paraId="1109F6A9" w14:textId="77777777" w:rsidR="00DC5685" w:rsidRPr="00A34F10" w:rsidRDefault="00DC5685" w:rsidP="00DC5685">
      <w:pPr>
        <w:widowControl w:val="0"/>
        <w:suppressAutoHyphens/>
        <w:jc w:val="both"/>
      </w:pPr>
      <w:r w:rsidRPr="00A34F10">
        <w:t xml:space="preserve">For the intended use in potatoes, tomatoes, salad crops, herbs and onions at 1 - 2 × 1.75 L/ha, calculated PEC/RAC ratios indicate an acceptable risk for the most sensitive group of aquatic organisms (chronic risk for invertebrates as characterised by a NOEC for </w:t>
      </w:r>
      <w:r w:rsidRPr="00A34F10">
        <w:rPr>
          <w:i/>
        </w:rPr>
        <w:t xml:space="preserve">A. bahia </w:t>
      </w:r>
      <w:r w:rsidRPr="00A34F10">
        <w:t>in connection with an assessment factor of 10) based on the FOCUS Step 3 PEC</w:t>
      </w:r>
      <w:r w:rsidRPr="00A34F10">
        <w:rPr>
          <w:vertAlign w:val="subscript"/>
        </w:rPr>
        <w:t>SW</w:t>
      </w:r>
      <w:r w:rsidRPr="00A34F10">
        <w:t xml:space="preserve"> values. Therefore, no further assessment is necessary.</w:t>
      </w:r>
    </w:p>
    <w:p w14:paraId="464859DB" w14:textId="77777777" w:rsidR="00DC5685" w:rsidRPr="00A34F10" w:rsidRDefault="00DC5685" w:rsidP="00DC5685">
      <w:pPr>
        <w:widowControl w:val="0"/>
        <w:suppressAutoHyphens/>
        <w:jc w:val="both"/>
      </w:pPr>
      <w:r w:rsidRPr="00A34F10">
        <w:t xml:space="preserve"> </w:t>
      </w:r>
    </w:p>
    <w:p w14:paraId="60AC03B1" w14:textId="77777777" w:rsidR="00DC5685" w:rsidRPr="00A34F10" w:rsidRDefault="00DC5685" w:rsidP="00DC5685">
      <w:pPr>
        <w:widowControl w:val="0"/>
        <w:suppressAutoHyphens/>
        <w:jc w:val="both"/>
      </w:pPr>
    </w:p>
    <w:p w14:paraId="42169509" w14:textId="77777777" w:rsidR="00DC5685" w:rsidRPr="00A34F10" w:rsidRDefault="00DC5685" w:rsidP="00DC5685">
      <w:pPr>
        <w:widowControl w:val="0"/>
        <w:suppressAutoHyphens/>
        <w:jc w:val="both"/>
        <w:rPr>
          <w:b/>
          <w:bCs/>
          <w:u w:val="single"/>
        </w:rPr>
      </w:pPr>
      <w:r w:rsidRPr="00A34F10">
        <w:rPr>
          <w:b/>
          <w:bCs/>
          <w:u w:val="single"/>
        </w:rPr>
        <w:t>Active substance Propamocarb-HCl:</w:t>
      </w:r>
    </w:p>
    <w:p w14:paraId="77605E25" w14:textId="68BA2E6D" w:rsidR="00370EAA" w:rsidRPr="00A34F10" w:rsidRDefault="00DC5685" w:rsidP="00DC5685">
      <w:pPr>
        <w:widowControl w:val="0"/>
        <w:suppressAutoHyphens/>
        <w:jc w:val="both"/>
      </w:pPr>
      <w:r w:rsidRPr="00A34F10">
        <w:t>In the following tables, the ratios between predicted environmental concentrations in surface water bodies (</w:t>
      </w:r>
      <w:bookmarkStart w:id="513" w:name="_Hlk39682325"/>
      <w:r w:rsidRPr="00A34F10">
        <w:t>PEC</w:t>
      </w:r>
      <w:r w:rsidRPr="00A34F10">
        <w:rPr>
          <w:vertAlign w:val="subscript"/>
        </w:rPr>
        <w:t>SW</w:t>
      </w:r>
      <w:r w:rsidRPr="00A34F10">
        <w:t>, PEC</w:t>
      </w:r>
      <w:r w:rsidRPr="00A34F10">
        <w:rPr>
          <w:vertAlign w:val="subscript"/>
        </w:rPr>
        <w:t>SED</w:t>
      </w:r>
      <w:bookmarkEnd w:id="513"/>
      <w:r w:rsidRPr="00A34F10">
        <w:t>) and regulatory acceptable concentrations (RAC) for aquatic organisms are given for each FOCUS scenario and each organism group for the active substance Propamocarb-HCl for the intended worst-case uses in potatoes, cucurbits, tomatoes and salad crops/herbs at 2 x 1.75 L product/ha.</w:t>
      </w:r>
    </w:p>
    <w:p w14:paraId="0A834351" w14:textId="77777777" w:rsidR="00DC5685" w:rsidRPr="00A34F10" w:rsidRDefault="00370EAA" w:rsidP="00370EAA">
      <w:r w:rsidRPr="00A34F10">
        <w:br w:type="page"/>
      </w:r>
    </w:p>
    <w:p w14:paraId="4708B684" w14:textId="35141C44" w:rsidR="00DC5685" w:rsidRPr="00A34F10" w:rsidRDefault="00370EAA" w:rsidP="00BB63B3">
      <w:pPr>
        <w:pStyle w:val="Legenda"/>
      </w:pPr>
      <w:bookmarkStart w:id="514" w:name="_Ref439842404"/>
      <w:r w:rsidRPr="00A34F10">
        <w:lastRenderedPageBreak/>
        <w:t xml:space="preserve">Table </w:t>
      </w:r>
      <w:r w:rsidRPr="00A34F10">
        <w:fldChar w:fldCharType="begin"/>
      </w:r>
      <w:r w:rsidRPr="00A34F10">
        <w:instrText xml:space="preserve"> STYLEREF 2 \s </w:instrText>
      </w:r>
      <w:r w:rsidRPr="00A34F10">
        <w:fldChar w:fldCharType="separate"/>
      </w:r>
      <w:r w:rsidR="006F0F3B">
        <w:rPr>
          <w:noProof/>
        </w:rPr>
        <w:t>9.5</w:t>
      </w:r>
      <w:r w:rsidRPr="00A34F10">
        <w:fldChar w:fldCharType="end"/>
      </w:r>
      <w:r w:rsidRPr="00A34F10">
        <w:noBreakHyphen/>
      </w:r>
      <w:bookmarkEnd w:id="505"/>
      <w:bookmarkEnd w:id="514"/>
      <w:r w:rsidR="00A326E1">
        <w:t>8</w:t>
      </w:r>
      <w:r w:rsidR="00DC5685" w:rsidRPr="00A34F10">
        <w:t>:</w:t>
      </w:r>
      <w:r w:rsidR="00DC5685" w:rsidRPr="00A34F10">
        <w:tab/>
        <w:t>Aquatic organisms: acceptability of risk (PEC/RAC &lt; 1) for Propamocarb-HCl for each organism group based on FOCUS Steps 1 and 2 calculations for the worst-case use of BAS 743 03 F in potatoes (3 × 2.0 L/ha)</w:t>
      </w:r>
    </w:p>
    <w:tbl>
      <w:tblPr>
        <w:tblW w:w="5000" w:type="pct"/>
        <w:tblCellMar>
          <w:left w:w="70" w:type="dxa"/>
          <w:right w:w="70" w:type="dxa"/>
        </w:tblCellMar>
        <w:tblLook w:val="0000" w:firstRow="0" w:lastRow="0" w:firstColumn="0" w:lastColumn="0" w:noHBand="0" w:noVBand="0"/>
      </w:tblPr>
      <w:tblGrid>
        <w:gridCol w:w="1417"/>
        <w:gridCol w:w="1382"/>
        <w:gridCol w:w="1808"/>
        <w:gridCol w:w="1673"/>
        <w:gridCol w:w="1827"/>
        <w:gridCol w:w="1673"/>
        <w:gridCol w:w="2303"/>
        <w:gridCol w:w="1908"/>
      </w:tblGrid>
      <w:tr w:rsidR="00DC5685" w:rsidRPr="00A34F10" w14:paraId="456E5753" w14:textId="77777777" w:rsidTr="000470C3">
        <w:trPr>
          <w:trHeight w:val="494"/>
        </w:trPr>
        <w:tc>
          <w:tcPr>
            <w:tcW w:w="100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4EB035"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Group</w:t>
            </w:r>
          </w:p>
        </w:tc>
        <w:tc>
          <w:tcPr>
            <w:tcW w:w="646" w:type="pct"/>
            <w:tcBorders>
              <w:top w:val="single" w:sz="6" w:space="0" w:color="auto"/>
              <w:left w:val="single" w:sz="6" w:space="0" w:color="auto"/>
              <w:bottom w:val="single" w:sz="6" w:space="0" w:color="auto"/>
              <w:right w:val="single" w:sz="6" w:space="0" w:color="auto"/>
            </w:tcBorders>
            <w:shd w:val="clear" w:color="auto" w:fill="auto"/>
            <w:vAlign w:val="center"/>
          </w:tcPr>
          <w:p w14:paraId="49CABB51"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Fish acute</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0180F902"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Fish prolonged</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tcPr>
          <w:p w14:paraId="4BDD6864"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Inverteb. acute</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07FA93AF"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Inverteb. prolonged</w:t>
            </w:r>
          </w:p>
        </w:tc>
        <w:tc>
          <w:tcPr>
            <w:tcW w:w="823" w:type="pct"/>
            <w:tcBorders>
              <w:top w:val="single" w:sz="6" w:space="0" w:color="auto"/>
              <w:left w:val="single" w:sz="6" w:space="0" w:color="auto"/>
              <w:bottom w:val="single" w:sz="6" w:space="0" w:color="auto"/>
              <w:right w:val="single" w:sz="4" w:space="0" w:color="auto"/>
            </w:tcBorders>
            <w:shd w:val="clear" w:color="auto" w:fill="auto"/>
            <w:vAlign w:val="center"/>
          </w:tcPr>
          <w:p w14:paraId="330046DD" w14:textId="77777777" w:rsidR="00DC5685" w:rsidRPr="00A34F10" w:rsidRDefault="00DC5685" w:rsidP="00DC5685">
            <w:pPr>
              <w:suppressAutoHyphens/>
              <w:autoSpaceDE w:val="0"/>
              <w:autoSpaceDN w:val="0"/>
              <w:adjustRightInd w:val="0"/>
              <w:jc w:val="center"/>
              <w:rPr>
                <w:sz w:val="20"/>
                <w:szCs w:val="20"/>
              </w:rPr>
            </w:pPr>
            <w:r w:rsidRPr="00A34F10">
              <w:rPr>
                <w:b/>
                <w:bCs/>
                <w:sz w:val="20"/>
                <w:szCs w:val="20"/>
              </w:rPr>
              <w:t>Algae</w:t>
            </w:r>
          </w:p>
        </w:tc>
        <w:tc>
          <w:tcPr>
            <w:tcW w:w="682" w:type="pct"/>
            <w:tcBorders>
              <w:top w:val="single" w:sz="4" w:space="0" w:color="auto"/>
              <w:left w:val="single" w:sz="4" w:space="0" w:color="auto"/>
              <w:bottom w:val="single" w:sz="4" w:space="0" w:color="auto"/>
              <w:right w:val="single" w:sz="4" w:space="0" w:color="auto"/>
            </w:tcBorders>
          </w:tcPr>
          <w:p w14:paraId="2CAB5F28"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Aquatic macrophytes</w:t>
            </w:r>
          </w:p>
        </w:tc>
      </w:tr>
      <w:tr w:rsidR="00DC5685" w:rsidRPr="00A34F10" w14:paraId="5A453A4A" w14:textId="77777777" w:rsidTr="000470C3">
        <w:trPr>
          <w:trHeight w:val="262"/>
        </w:trPr>
        <w:tc>
          <w:tcPr>
            <w:tcW w:w="100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18E42B"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Test species</w:t>
            </w:r>
          </w:p>
        </w:tc>
        <w:tc>
          <w:tcPr>
            <w:tcW w:w="646" w:type="pct"/>
            <w:tcBorders>
              <w:top w:val="single" w:sz="6" w:space="0" w:color="auto"/>
              <w:left w:val="single" w:sz="6" w:space="0" w:color="auto"/>
              <w:bottom w:val="single" w:sz="6" w:space="0" w:color="auto"/>
              <w:right w:val="single" w:sz="6" w:space="0" w:color="auto"/>
            </w:tcBorders>
            <w:shd w:val="clear" w:color="auto" w:fill="auto"/>
            <w:vAlign w:val="center"/>
          </w:tcPr>
          <w:p w14:paraId="16F6175F"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L. macrochirus</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79EB5181"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L. macrochirus</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tcPr>
          <w:p w14:paraId="53A2B254"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 xml:space="preserve">D. magna </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23A03315"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 xml:space="preserve">A. </w:t>
            </w:r>
            <w:r w:rsidRPr="00A34F10">
              <w:rPr>
                <w:b/>
                <w:i/>
                <w:sz w:val="20"/>
              </w:rPr>
              <w:t>bahia</w:t>
            </w:r>
          </w:p>
        </w:tc>
        <w:tc>
          <w:tcPr>
            <w:tcW w:w="823" w:type="pct"/>
            <w:tcBorders>
              <w:top w:val="single" w:sz="6" w:space="0" w:color="auto"/>
              <w:left w:val="single" w:sz="6" w:space="0" w:color="auto"/>
              <w:bottom w:val="single" w:sz="6" w:space="0" w:color="auto"/>
              <w:right w:val="single" w:sz="4" w:space="0" w:color="auto"/>
            </w:tcBorders>
            <w:shd w:val="clear" w:color="auto" w:fill="auto"/>
            <w:vAlign w:val="center"/>
          </w:tcPr>
          <w:p w14:paraId="53D47C0D" w14:textId="77777777" w:rsidR="00DC5685" w:rsidRPr="00A34F10" w:rsidRDefault="00DC5685" w:rsidP="00DC5685">
            <w:pPr>
              <w:suppressAutoHyphens/>
              <w:autoSpaceDE w:val="0"/>
              <w:autoSpaceDN w:val="0"/>
              <w:adjustRightInd w:val="0"/>
              <w:jc w:val="center"/>
              <w:rPr>
                <w:sz w:val="20"/>
                <w:szCs w:val="20"/>
                <w:vertAlign w:val="superscript"/>
              </w:rPr>
            </w:pPr>
            <w:r w:rsidRPr="00A34F10">
              <w:rPr>
                <w:b/>
                <w:bCs/>
                <w:i/>
                <w:iCs/>
                <w:sz w:val="20"/>
                <w:szCs w:val="20"/>
              </w:rPr>
              <w:t>P. subcapitata</w:t>
            </w:r>
          </w:p>
        </w:tc>
        <w:tc>
          <w:tcPr>
            <w:tcW w:w="682" w:type="pct"/>
            <w:tcBorders>
              <w:top w:val="single" w:sz="4" w:space="0" w:color="auto"/>
              <w:left w:val="single" w:sz="4" w:space="0" w:color="auto"/>
              <w:bottom w:val="single" w:sz="4" w:space="0" w:color="auto"/>
              <w:right w:val="single" w:sz="4" w:space="0" w:color="auto"/>
            </w:tcBorders>
          </w:tcPr>
          <w:p w14:paraId="19A7ED3F" w14:textId="77777777" w:rsidR="00DC5685" w:rsidRPr="00A34F10" w:rsidRDefault="00DC5685" w:rsidP="00DC5685">
            <w:pPr>
              <w:suppressAutoHyphens/>
              <w:autoSpaceDE w:val="0"/>
              <w:autoSpaceDN w:val="0"/>
              <w:adjustRightInd w:val="0"/>
              <w:jc w:val="center"/>
              <w:rPr>
                <w:i/>
                <w:iCs/>
                <w:sz w:val="20"/>
                <w:szCs w:val="20"/>
              </w:rPr>
            </w:pPr>
            <w:r w:rsidRPr="00A34F10">
              <w:rPr>
                <w:i/>
                <w:iCs/>
                <w:sz w:val="20"/>
                <w:szCs w:val="20"/>
              </w:rPr>
              <w:t>Lemna gibba</w:t>
            </w:r>
          </w:p>
        </w:tc>
      </w:tr>
      <w:tr w:rsidR="00DC5685" w:rsidRPr="00A34F10" w14:paraId="0159DFEC" w14:textId="77777777" w:rsidTr="000470C3">
        <w:trPr>
          <w:trHeight w:val="276"/>
        </w:trPr>
        <w:tc>
          <w:tcPr>
            <w:tcW w:w="1000" w:type="pct"/>
            <w:gridSpan w:val="2"/>
            <w:vMerge w:val="restart"/>
            <w:tcBorders>
              <w:top w:val="single" w:sz="6" w:space="0" w:color="auto"/>
              <w:left w:val="single" w:sz="6" w:space="0" w:color="auto"/>
              <w:right w:val="single" w:sz="6" w:space="0" w:color="auto"/>
            </w:tcBorders>
            <w:shd w:val="clear" w:color="auto" w:fill="auto"/>
            <w:vAlign w:val="center"/>
          </w:tcPr>
          <w:p w14:paraId="2CDA0FC3"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Endpoint [µg/L]</w:t>
            </w:r>
          </w:p>
        </w:tc>
        <w:tc>
          <w:tcPr>
            <w:tcW w:w="646" w:type="pct"/>
            <w:tcBorders>
              <w:top w:val="single" w:sz="6" w:space="0" w:color="auto"/>
              <w:left w:val="single" w:sz="6" w:space="0" w:color="auto"/>
              <w:bottom w:val="nil"/>
              <w:right w:val="single" w:sz="6" w:space="0" w:color="auto"/>
            </w:tcBorders>
            <w:shd w:val="clear" w:color="auto" w:fill="auto"/>
            <w:vAlign w:val="center"/>
          </w:tcPr>
          <w:p w14:paraId="449B6E60"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598" w:type="pct"/>
            <w:tcBorders>
              <w:top w:val="single" w:sz="6" w:space="0" w:color="auto"/>
              <w:left w:val="single" w:sz="6" w:space="0" w:color="auto"/>
              <w:bottom w:val="nil"/>
              <w:right w:val="single" w:sz="6" w:space="0" w:color="auto"/>
            </w:tcBorders>
            <w:shd w:val="clear" w:color="auto" w:fill="auto"/>
            <w:vAlign w:val="center"/>
          </w:tcPr>
          <w:p w14:paraId="19E63E1B"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NOEC</w:t>
            </w:r>
          </w:p>
        </w:tc>
        <w:tc>
          <w:tcPr>
            <w:tcW w:w="653" w:type="pct"/>
            <w:tcBorders>
              <w:top w:val="single" w:sz="6" w:space="0" w:color="auto"/>
              <w:left w:val="single" w:sz="6" w:space="0" w:color="auto"/>
              <w:bottom w:val="nil"/>
              <w:right w:val="single" w:sz="6" w:space="0" w:color="auto"/>
            </w:tcBorders>
            <w:shd w:val="clear" w:color="auto" w:fill="auto"/>
            <w:vAlign w:val="center"/>
          </w:tcPr>
          <w:p w14:paraId="30E9547F"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598" w:type="pct"/>
            <w:tcBorders>
              <w:top w:val="single" w:sz="6" w:space="0" w:color="auto"/>
              <w:left w:val="single" w:sz="6" w:space="0" w:color="auto"/>
              <w:bottom w:val="nil"/>
              <w:right w:val="single" w:sz="6" w:space="0" w:color="auto"/>
            </w:tcBorders>
            <w:shd w:val="clear" w:color="auto" w:fill="auto"/>
            <w:vAlign w:val="center"/>
          </w:tcPr>
          <w:p w14:paraId="025B58F1"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NOEC</w:t>
            </w:r>
          </w:p>
        </w:tc>
        <w:tc>
          <w:tcPr>
            <w:tcW w:w="823" w:type="pct"/>
            <w:tcBorders>
              <w:top w:val="single" w:sz="6" w:space="0" w:color="auto"/>
              <w:left w:val="single" w:sz="6" w:space="0" w:color="auto"/>
              <w:bottom w:val="nil"/>
              <w:right w:val="single" w:sz="4" w:space="0" w:color="auto"/>
            </w:tcBorders>
            <w:shd w:val="clear" w:color="auto" w:fill="auto"/>
            <w:vAlign w:val="center"/>
          </w:tcPr>
          <w:p w14:paraId="056FD000"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c>
          <w:tcPr>
            <w:tcW w:w="682" w:type="pct"/>
            <w:vMerge w:val="restart"/>
            <w:tcBorders>
              <w:top w:val="single" w:sz="4" w:space="0" w:color="auto"/>
              <w:left w:val="single" w:sz="4" w:space="0" w:color="auto"/>
              <w:right w:val="single" w:sz="4" w:space="0" w:color="auto"/>
            </w:tcBorders>
            <w:vAlign w:val="center"/>
          </w:tcPr>
          <w:p w14:paraId="2D8B3731"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p w14:paraId="50D11D32"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18000</w:t>
            </w:r>
          </w:p>
        </w:tc>
      </w:tr>
      <w:tr w:rsidR="00DC5685" w:rsidRPr="00A34F10" w14:paraId="521A5A1D" w14:textId="77777777" w:rsidTr="000470C3">
        <w:trPr>
          <w:trHeight w:val="247"/>
        </w:trPr>
        <w:tc>
          <w:tcPr>
            <w:tcW w:w="1000" w:type="pct"/>
            <w:gridSpan w:val="2"/>
            <w:vMerge/>
            <w:tcBorders>
              <w:left w:val="single" w:sz="6" w:space="0" w:color="auto"/>
              <w:bottom w:val="single" w:sz="6" w:space="0" w:color="auto"/>
              <w:right w:val="single" w:sz="6" w:space="0" w:color="auto"/>
            </w:tcBorders>
            <w:shd w:val="clear" w:color="auto" w:fill="auto"/>
            <w:vAlign w:val="center"/>
          </w:tcPr>
          <w:p w14:paraId="6FF006F2" w14:textId="77777777" w:rsidR="00DC5685" w:rsidRPr="00A34F10" w:rsidRDefault="00DC5685" w:rsidP="00DC5685">
            <w:pPr>
              <w:suppressAutoHyphens/>
              <w:autoSpaceDE w:val="0"/>
              <w:autoSpaceDN w:val="0"/>
              <w:adjustRightInd w:val="0"/>
              <w:rPr>
                <w:b/>
                <w:bCs/>
                <w:sz w:val="20"/>
                <w:szCs w:val="20"/>
              </w:rPr>
            </w:pPr>
          </w:p>
        </w:tc>
        <w:tc>
          <w:tcPr>
            <w:tcW w:w="646" w:type="pct"/>
            <w:tcBorders>
              <w:top w:val="nil"/>
              <w:left w:val="single" w:sz="6" w:space="0" w:color="auto"/>
              <w:bottom w:val="single" w:sz="6" w:space="0" w:color="auto"/>
              <w:right w:val="single" w:sz="6" w:space="0" w:color="auto"/>
            </w:tcBorders>
            <w:shd w:val="clear" w:color="auto" w:fill="auto"/>
            <w:vAlign w:val="center"/>
          </w:tcPr>
          <w:p w14:paraId="6647642E"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92000</w:t>
            </w:r>
          </w:p>
        </w:tc>
        <w:tc>
          <w:tcPr>
            <w:tcW w:w="598" w:type="pct"/>
            <w:tcBorders>
              <w:top w:val="nil"/>
              <w:left w:val="single" w:sz="6" w:space="0" w:color="auto"/>
              <w:bottom w:val="single" w:sz="6" w:space="0" w:color="auto"/>
              <w:right w:val="single" w:sz="6" w:space="0" w:color="auto"/>
            </w:tcBorders>
            <w:shd w:val="clear" w:color="auto" w:fill="auto"/>
            <w:vAlign w:val="center"/>
          </w:tcPr>
          <w:p w14:paraId="5BDB1E3D"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6300</w:t>
            </w:r>
          </w:p>
        </w:tc>
        <w:tc>
          <w:tcPr>
            <w:tcW w:w="653" w:type="pct"/>
            <w:tcBorders>
              <w:top w:val="nil"/>
              <w:left w:val="single" w:sz="6" w:space="0" w:color="auto"/>
              <w:bottom w:val="single" w:sz="6" w:space="0" w:color="auto"/>
              <w:right w:val="single" w:sz="6" w:space="0" w:color="auto"/>
            </w:tcBorders>
            <w:shd w:val="clear" w:color="auto" w:fill="auto"/>
            <w:vAlign w:val="center"/>
          </w:tcPr>
          <w:p w14:paraId="0023E8B9"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598" w:type="pct"/>
            <w:tcBorders>
              <w:top w:val="nil"/>
              <w:left w:val="single" w:sz="6" w:space="0" w:color="auto"/>
              <w:bottom w:val="single" w:sz="6" w:space="0" w:color="auto"/>
              <w:right w:val="single" w:sz="6" w:space="0" w:color="auto"/>
            </w:tcBorders>
            <w:shd w:val="clear" w:color="auto" w:fill="auto"/>
            <w:vAlign w:val="center"/>
          </w:tcPr>
          <w:p w14:paraId="7CA3BD8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12300</w:t>
            </w:r>
          </w:p>
        </w:tc>
        <w:tc>
          <w:tcPr>
            <w:tcW w:w="823" w:type="pct"/>
            <w:tcBorders>
              <w:top w:val="nil"/>
              <w:left w:val="single" w:sz="6" w:space="0" w:color="auto"/>
              <w:bottom w:val="single" w:sz="6" w:space="0" w:color="auto"/>
              <w:right w:val="single" w:sz="4" w:space="0" w:color="auto"/>
            </w:tcBorders>
            <w:shd w:val="clear" w:color="auto" w:fill="auto"/>
            <w:vAlign w:val="center"/>
          </w:tcPr>
          <w:p w14:paraId="30AA9FFD"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85000</w:t>
            </w:r>
          </w:p>
        </w:tc>
        <w:tc>
          <w:tcPr>
            <w:tcW w:w="682" w:type="pct"/>
            <w:vMerge/>
            <w:tcBorders>
              <w:left w:val="single" w:sz="4" w:space="0" w:color="auto"/>
              <w:bottom w:val="single" w:sz="4" w:space="0" w:color="auto"/>
              <w:right w:val="single" w:sz="4" w:space="0" w:color="auto"/>
            </w:tcBorders>
            <w:vAlign w:val="center"/>
          </w:tcPr>
          <w:p w14:paraId="1CC87AC3" w14:textId="77777777" w:rsidR="00DC5685" w:rsidRPr="00A34F10" w:rsidRDefault="00DC5685" w:rsidP="00DC5685">
            <w:pPr>
              <w:suppressAutoHyphens/>
              <w:autoSpaceDE w:val="0"/>
              <w:autoSpaceDN w:val="0"/>
              <w:adjustRightInd w:val="0"/>
              <w:jc w:val="center"/>
              <w:rPr>
                <w:sz w:val="20"/>
                <w:szCs w:val="20"/>
              </w:rPr>
            </w:pPr>
          </w:p>
        </w:tc>
      </w:tr>
      <w:tr w:rsidR="00DC5685" w:rsidRPr="00A34F10" w14:paraId="7CEA545B" w14:textId="77777777" w:rsidTr="000470C3">
        <w:trPr>
          <w:trHeight w:val="247"/>
        </w:trPr>
        <w:tc>
          <w:tcPr>
            <w:tcW w:w="100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57FFEB1E"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AF</w:t>
            </w:r>
          </w:p>
        </w:tc>
        <w:tc>
          <w:tcPr>
            <w:tcW w:w="646" w:type="pct"/>
            <w:tcBorders>
              <w:top w:val="single" w:sz="6" w:space="0" w:color="auto"/>
              <w:left w:val="single" w:sz="6" w:space="0" w:color="auto"/>
              <w:bottom w:val="single" w:sz="6" w:space="0" w:color="auto"/>
              <w:right w:val="single" w:sz="6" w:space="0" w:color="auto"/>
            </w:tcBorders>
            <w:shd w:val="clear" w:color="auto" w:fill="auto"/>
            <w:vAlign w:val="center"/>
          </w:tcPr>
          <w:p w14:paraId="0FEBBCE9"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61BAF668"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tcPr>
          <w:p w14:paraId="5C8BE3B9"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7DAC1847"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c>
          <w:tcPr>
            <w:tcW w:w="823" w:type="pct"/>
            <w:tcBorders>
              <w:top w:val="single" w:sz="6" w:space="0" w:color="auto"/>
              <w:left w:val="single" w:sz="6" w:space="0" w:color="auto"/>
              <w:bottom w:val="single" w:sz="6" w:space="0" w:color="auto"/>
              <w:right w:val="single" w:sz="4" w:space="0" w:color="auto"/>
            </w:tcBorders>
            <w:shd w:val="clear" w:color="auto" w:fill="auto"/>
            <w:vAlign w:val="center"/>
          </w:tcPr>
          <w:p w14:paraId="4E2C677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c>
          <w:tcPr>
            <w:tcW w:w="682" w:type="pct"/>
            <w:tcBorders>
              <w:top w:val="single" w:sz="4" w:space="0" w:color="auto"/>
              <w:left w:val="single" w:sz="4" w:space="0" w:color="auto"/>
              <w:bottom w:val="single" w:sz="4" w:space="0" w:color="auto"/>
              <w:right w:val="single" w:sz="4" w:space="0" w:color="auto"/>
            </w:tcBorders>
            <w:vAlign w:val="center"/>
          </w:tcPr>
          <w:p w14:paraId="1889E38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r>
      <w:tr w:rsidR="00DC5685" w:rsidRPr="00A34F10" w14:paraId="59550585" w14:textId="77777777" w:rsidTr="000470C3">
        <w:trPr>
          <w:trHeight w:val="247"/>
        </w:trPr>
        <w:tc>
          <w:tcPr>
            <w:tcW w:w="1000"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44B32E9B"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RAC [µg/L]</w:t>
            </w:r>
          </w:p>
        </w:tc>
        <w:tc>
          <w:tcPr>
            <w:tcW w:w="646" w:type="pct"/>
            <w:tcBorders>
              <w:top w:val="single" w:sz="6" w:space="0" w:color="auto"/>
              <w:left w:val="single" w:sz="6" w:space="0" w:color="auto"/>
              <w:bottom w:val="single" w:sz="6" w:space="0" w:color="auto"/>
              <w:right w:val="single" w:sz="6" w:space="0" w:color="auto"/>
            </w:tcBorders>
            <w:shd w:val="clear" w:color="auto" w:fill="auto"/>
            <w:vAlign w:val="center"/>
          </w:tcPr>
          <w:p w14:paraId="290FBA6A"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920.0</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5B6F40A2"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630.0</w:t>
            </w:r>
          </w:p>
        </w:tc>
        <w:tc>
          <w:tcPr>
            <w:tcW w:w="653" w:type="pct"/>
            <w:tcBorders>
              <w:top w:val="single" w:sz="6" w:space="0" w:color="auto"/>
              <w:left w:val="single" w:sz="6" w:space="0" w:color="auto"/>
              <w:bottom w:val="single" w:sz="6" w:space="0" w:color="auto"/>
              <w:right w:val="single" w:sz="6" w:space="0" w:color="auto"/>
            </w:tcBorders>
            <w:shd w:val="clear" w:color="auto" w:fill="auto"/>
            <w:vAlign w:val="center"/>
          </w:tcPr>
          <w:p w14:paraId="560F75AB"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w:t>
            </w:r>
          </w:p>
        </w:tc>
        <w:tc>
          <w:tcPr>
            <w:tcW w:w="598" w:type="pct"/>
            <w:tcBorders>
              <w:top w:val="single" w:sz="6" w:space="0" w:color="auto"/>
              <w:left w:val="single" w:sz="6" w:space="0" w:color="auto"/>
              <w:bottom w:val="single" w:sz="6" w:space="0" w:color="auto"/>
              <w:right w:val="single" w:sz="6" w:space="0" w:color="auto"/>
            </w:tcBorders>
            <w:shd w:val="clear" w:color="auto" w:fill="auto"/>
            <w:vAlign w:val="center"/>
          </w:tcPr>
          <w:p w14:paraId="2A2213C3" w14:textId="77777777" w:rsidR="00DC5685" w:rsidRPr="00A34F10" w:rsidRDefault="00DC5685" w:rsidP="00DC5685">
            <w:pPr>
              <w:suppressAutoHyphens/>
              <w:autoSpaceDE w:val="0"/>
              <w:autoSpaceDN w:val="0"/>
              <w:adjustRightInd w:val="0"/>
              <w:jc w:val="center"/>
              <w:rPr>
                <w:sz w:val="20"/>
                <w:szCs w:val="20"/>
                <w:lang w:val="de-DE"/>
              </w:rPr>
            </w:pPr>
            <w:r w:rsidRPr="00A34F10">
              <w:rPr>
                <w:sz w:val="20"/>
                <w:szCs w:val="20"/>
              </w:rPr>
              <w:t>1230</w:t>
            </w:r>
          </w:p>
        </w:tc>
        <w:tc>
          <w:tcPr>
            <w:tcW w:w="823" w:type="pct"/>
            <w:tcBorders>
              <w:top w:val="single" w:sz="6" w:space="0" w:color="auto"/>
              <w:left w:val="single" w:sz="6" w:space="0" w:color="auto"/>
              <w:bottom w:val="single" w:sz="6" w:space="0" w:color="auto"/>
              <w:right w:val="single" w:sz="4" w:space="0" w:color="auto"/>
            </w:tcBorders>
            <w:shd w:val="clear" w:color="auto" w:fill="auto"/>
            <w:vAlign w:val="center"/>
          </w:tcPr>
          <w:p w14:paraId="785CF63B"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8500</w:t>
            </w:r>
          </w:p>
        </w:tc>
        <w:tc>
          <w:tcPr>
            <w:tcW w:w="682" w:type="pct"/>
            <w:tcBorders>
              <w:top w:val="single" w:sz="4" w:space="0" w:color="auto"/>
              <w:left w:val="single" w:sz="4" w:space="0" w:color="auto"/>
              <w:bottom w:val="single" w:sz="4" w:space="0" w:color="auto"/>
              <w:right w:val="single" w:sz="4" w:space="0" w:color="auto"/>
            </w:tcBorders>
            <w:vAlign w:val="center"/>
          </w:tcPr>
          <w:p w14:paraId="215F1FD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1800</w:t>
            </w:r>
          </w:p>
        </w:tc>
      </w:tr>
      <w:tr w:rsidR="00DC5685" w:rsidRPr="00A34F10" w14:paraId="39704322" w14:textId="77777777" w:rsidTr="000470C3">
        <w:trPr>
          <w:trHeight w:val="523"/>
        </w:trPr>
        <w:tc>
          <w:tcPr>
            <w:tcW w:w="506" w:type="pct"/>
            <w:tcBorders>
              <w:top w:val="single" w:sz="6" w:space="0" w:color="auto"/>
              <w:left w:val="single" w:sz="6" w:space="0" w:color="auto"/>
              <w:bottom w:val="single" w:sz="6" w:space="0" w:color="auto"/>
              <w:right w:val="single" w:sz="6" w:space="0" w:color="auto"/>
            </w:tcBorders>
            <w:shd w:val="clear" w:color="auto" w:fill="auto"/>
            <w:vAlign w:val="center"/>
          </w:tcPr>
          <w:p w14:paraId="2DC1A2AC"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FOCUS Scenario</w:t>
            </w:r>
          </w:p>
        </w:tc>
        <w:tc>
          <w:tcPr>
            <w:tcW w:w="494" w:type="pct"/>
            <w:tcBorders>
              <w:top w:val="single" w:sz="6" w:space="0" w:color="auto"/>
              <w:left w:val="single" w:sz="6" w:space="0" w:color="auto"/>
              <w:bottom w:val="single" w:sz="6" w:space="0" w:color="auto"/>
              <w:right w:val="single" w:sz="6" w:space="0" w:color="auto"/>
            </w:tcBorders>
            <w:shd w:val="clear" w:color="auto" w:fill="auto"/>
            <w:vAlign w:val="center"/>
          </w:tcPr>
          <w:p w14:paraId="788A74C7" w14:textId="77777777" w:rsidR="00DC5685" w:rsidRPr="00A34F10" w:rsidRDefault="00DC5685" w:rsidP="00DC5685">
            <w:pPr>
              <w:suppressAutoHyphens/>
              <w:autoSpaceDE w:val="0"/>
              <w:autoSpaceDN w:val="0"/>
              <w:adjustRightInd w:val="0"/>
              <w:jc w:val="center"/>
              <w:rPr>
                <w:b/>
                <w:bCs/>
                <w:sz w:val="20"/>
                <w:szCs w:val="20"/>
                <w:vertAlign w:val="superscript"/>
              </w:rPr>
            </w:pPr>
            <w:r w:rsidRPr="00A34F10">
              <w:rPr>
                <w:b/>
                <w:bCs/>
                <w:sz w:val="20"/>
                <w:szCs w:val="20"/>
              </w:rPr>
              <w:t xml:space="preserve">PEC </w:t>
            </w:r>
            <w:r w:rsidRPr="00A34F10">
              <w:rPr>
                <w:b/>
                <w:bCs/>
                <w:sz w:val="20"/>
                <w:szCs w:val="20"/>
                <w:vertAlign w:val="subscript"/>
              </w:rPr>
              <w:t xml:space="preserve">gl-max </w:t>
            </w:r>
            <w:r w:rsidRPr="00A34F10">
              <w:rPr>
                <w:b/>
                <w:bCs/>
                <w:sz w:val="20"/>
                <w:szCs w:val="20"/>
                <w:vertAlign w:val="superscript"/>
              </w:rPr>
              <w:t>1)</w:t>
            </w:r>
            <w:r w:rsidRPr="00A34F10">
              <w:rPr>
                <w:b/>
                <w:bCs/>
                <w:sz w:val="20"/>
                <w:szCs w:val="20"/>
              </w:rPr>
              <w:br/>
              <w:t xml:space="preserve">[µg/L] </w:t>
            </w:r>
          </w:p>
        </w:tc>
        <w:tc>
          <w:tcPr>
            <w:tcW w:w="4000" w:type="pct"/>
            <w:gridSpan w:val="6"/>
            <w:tcBorders>
              <w:top w:val="single" w:sz="6" w:space="0" w:color="auto"/>
              <w:left w:val="single" w:sz="6" w:space="0" w:color="auto"/>
              <w:bottom w:val="single" w:sz="6" w:space="0" w:color="auto"/>
              <w:right w:val="single" w:sz="6" w:space="0" w:color="auto"/>
            </w:tcBorders>
            <w:shd w:val="clear" w:color="auto" w:fill="auto"/>
            <w:vAlign w:val="center"/>
          </w:tcPr>
          <w:p w14:paraId="72AEDD64"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PEC/ RAC ratio</w:t>
            </w:r>
          </w:p>
        </w:tc>
      </w:tr>
      <w:tr w:rsidR="00DC5685" w:rsidRPr="00A34F10" w14:paraId="6AF45EAA" w14:textId="77777777" w:rsidTr="000470C3">
        <w:trPr>
          <w:trHeight w:val="247"/>
        </w:trPr>
        <w:tc>
          <w:tcPr>
            <w:tcW w:w="506" w:type="pct"/>
            <w:tcBorders>
              <w:top w:val="single" w:sz="6" w:space="0" w:color="auto"/>
              <w:left w:val="single" w:sz="6" w:space="0" w:color="auto"/>
              <w:bottom w:val="single" w:sz="6" w:space="0" w:color="auto"/>
              <w:right w:val="single" w:sz="6" w:space="0" w:color="auto"/>
            </w:tcBorders>
            <w:shd w:val="clear" w:color="auto" w:fill="auto"/>
            <w:vAlign w:val="center"/>
          </w:tcPr>
          <w:p w14:paraId="22CC484B"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Step 1</w:t>
            </w:r>
          </w:p>
        </w:tc>
        <w:tc>
          <w:tcPr>
            <w:tcW w:w="494" w:type="pct"/>
            <w:tcBorders>
              <w:top w:val="single" w:sz="6" w:space="0" w:color="auto"/>
              <w:left w:val="single" w:sz="6" w:space="0" w:color="auto"/>
              <w:bottom w:val="single" w:sz="6" w:space="0" w:color="auto"/>
              <w:right w:val="single" w:sz="6" w:space="0" w:color="auto"/>
            </w:tcBorders>
            <w:shd w:val="clear" w:color="auto" w:fill="auto"/>
          </w:tcPr>
          <w:p w14:paraId="11FE3007"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692.309</w:t>
            </w:r>
          </w:p>
        </w:tc>
        <w:tc>
          <w:tcPr>
            <w:tcW w:w="646" w:type="pct"/>
            <w:tcBorders>
              <w:top w:val="single" w:sz="4" w:space="0" w:color="auto"/>
              <w:left w:val="single" w:sz="4" w:space="0" w:color="auto"/>
              <w:bottom w:val="single" w:sz="4" w:space="0" w:color="auto"/>
              <w:right w:val="single" w:sz="4" w:space="0" w:color="auto"/>
            </w:tcBorders>
            <w:shd w:val="clear" w:color="auto" w:fill="auto"/>
          </w:tcPr>
          <w:p w14:paraId="5F853AA8"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0.75</w:t>
            </w: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15282F20" w14:textId="77777777" w:rsidR="00DC5685" w:rsidRPr="00A34F10" w:rsidRDefault="00DC5685" w:rsidP="00DC5685">
            <w:pPr>
              <w:suppressAutoHyphens/>
              <w:autoSpaceDE w:val="0"/>
              <w:autoSpaceDN w:val="0"/>
              <w:adjustRightInd w:val="0"/>
              <w:jc w:val="center"/>
              <w:rPr>
                <w:b/>
                <w:bCs/>
                <w:sz w:val="20"/>
                <w:szCs w:val="20"/>
              </w:rPr>
            </w:pPr>
            <w:r w:rsidRPr="00A34F10">
              <w:rPr>
                <w:b/>
                <w:bCs/>
                <w:color w:val="000000"/>
                <w:sz w:val="20"/>
                <w:szCs w:val="20"/>
              </w:rPr>
              <w:t>1.10</w:t>
            </w:r>
          </w:p>
        </w:tc>
        <w:tc>
          <w:tcPr>
            <w:tcW w:w="653" w:type="pct"/>
            <w:tcBorders>
              <w:top w:val="single" w:sz="4" w:space="0" w:color="auto"/>
              <w:left w:val="nil"/>
              <w:bottom w:val="single" w:sz="4" w:space="0" w:color="auto"/>
              <w:right w:val="single" w:sz="4" w:space="0" w:color="auto"/>
            </w:tcBorders>
            <w:shd w:val="clear" w:color="auto" w:fill="auto"/>
          </w:tcPr>
          <w:p w14:paraId="41A4AE46"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0.69</w:t>
            </w:r>
          </w:p>
        </w:tc>
        <w:tc>
          <w:tcPr>
            <w:tcW w:w="598" w:type="pct"/>
            <w:tcBorders>
              <w:top w:val="single" w:sz="4" w:space="0" w:color="auto"/>
              <w:left w:val="nil"/>
              <w:bottom w:val="single" w:sz="4" w:space="0" w:color="auto"/>
              <w:right w:val="single" w:sz="4" w:space="0" w:color="auto"/>
            </w:tcBorders>
            <w:shd w:val="clear" w:color="auto" w:fill="auto"/>
          </w:tcPr>
          <w:p w14:paraId="65BE907D" w14:textId="77777777" w:rsidR="00DC5685" w:rsidRPr="00A34F10" w:rsidRDefault="00DC5685" w:rsidP="00DC5685">
            <w:pPr>
              <w:suppressAutoHyphens/>
              <w:autoSpaceDE w:val="0"/>
              <w:autoSpaceDN w:val="0"/>
              <w:adjustRightInd w:val="0"/>
              <w:jc w:val="center"/>
              <w:rPr>
                <w:b/>
                <w:bCs/>
                <w:sz w:val="20"/>
                <w:szCs w:val="20"/>
              </w:rPr>
            </w:pPr>
            <w:r w:rsidRPr="00A34F10">
              <w:rPr>
                <w:color w:val="000000"/>
                <w:sz w:val="20"/>
                <w:szCs w:val="20"/>
              </w:rPr>
              <w:t>0.56</w:t>
            </w:r>
          </w:p>
        </w:tc>
        <w:tc>
          <w:tcPr>
            <w:tcW w:w="823" w:type="pct"/>
            <w:tcBorders>
              <w:top w:val="single" w:sz="4" w:space="0" w:color="auto"/>
              <w:left w:val="nil"/>
              <w:bottom w:val="single" w:sz="4" w:space="0" w:color="auto"/>
              <w:right w:val="single" w:sz="4" w:space="0" w:color="auto"/>
            </w:tcBorders>
            <w:shd w:val="clear" w:color="auto" w:fill="auto"/>
          </w:tcPr>
          <w:p w14:paraId="5AB9FC2D"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0.08</w:t>
            </w:r>
          </w:p>
        </w:tc>
        <w:tc>
          <w:tcPr>
            <w:tcW w:w="682" w:type="pct"/>
            <w:tcBorders>
              <w:top w:val="single" w:sz="4" w:space="0" w:color="auto"/>
              <w:left w:val="nil"/>
              <w:bottom w:val="single" w:sz="4" w:space="0" w:color="auto"/>
              <w:right w:val="single" w:sz="4" w:space="0" w:color="auto"/>
            </w:tcBorders>
            <w:shd w:val="clear" w:color="auto" w:fill="auto"/>
          </w:tcPr>
          <w:p w14:paraId="2C0C325A"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0.38</w:t>
            </w:r>
          </w:p>
        </w:tc>
      </w:tr>
      <w:tr w:rsidR="00DC5685" w:rsidRPr="00A34F10" w14:paraId="3196A703" w14:textId="77777777" w:rsidTr="000470C3">
        <w:trPr>
          <w:trHeight w:val="247"/>
        </w:trPr>
        <w:tc>
          <w:tcPr>
            <w:tcW w:w="5000" w:type="pct"/>
            <w:gridSpan w:val="8"/>
            <w:tcBorders>
              <w:top w:val="single" w:sz="6" w:space="0" w:color="auto"/>
              <w:left w:val="single" w:sz="6" w:space="0" w:color="auto"/>
              <w:bottom w:val="single" w:sz="6" w:space="0" w:color="auto"/>
              <w:right w:val="single" w:sz="6" w:space="0" w:color="auto"/>
            </w:tcBorders>
          </w:tcPr>
          <w:p w14:paraId="3BE093E6" w14:textId="77777777" w:rsidR="00DC5685" w:rsidRPr="00A34F10" w:rsidRDefault="00DC5685" w:rsidP="00DC5685">
            <w:pPr>
              <w:suppressAutoHyphens/>
              <w:autoSpaceDE w:val="0"/>
              <w:autoSpaceDN w:val="0"/>
              <w:adjustRightInd w:val="0"/>
              <w:rPr>
                <w:sz w:val="20"/>
                <w:szCs w:val="20"/>
              </w:rPr>
            </w:pPr>
            <w:r w:rsidRPr="00A34F10">
              <w:rPr>
                <w:b/>
                <w:bCs/>
                <w:sz w:val="20"/>
                <w:szCs w:val="20"/>
              </w:rPr>
              <w:t>Step 2</w:t>
            </w:r>
          </w:p>
        </w:tc>
      </w:tr>
      <w:tr w:rsidR="00DC5685" w:rsidRPr="00A34F10" w14:paraId="1679180F" w14:textId="77777777" w:rsidTr="000470C3">
        <w:trPr>
          <w:trHeight w:val="266"/>
        </w:trPr>
        <w:tc>
          <w:tcPr>
            <w:tcW w:w="506" w:type="pct"/>
            <w:tcBorders>
              <w:top w:val="single" w:sz="6" w:space="0" w:color="auto"/>
              <w:left w:val="single" w:sz="6" w:space="0" w:color="auto"/>
              <w:bottom w:val="single" w:sz="6" w:space="0" w:color="auto"/>
              <w:right w:val="single" w:sz="6" w:space="0" w:color="auto"/>
            </w:tcBorders>
            <w:shd w:val="clear" w:color="auto" w:fill="auto"/>
            <w:vAlign w:val="center"/>
          </w:tcPr>
          <w:p w14:paraId="7B91EA5D" w14:textId="77777777" w:rsidR="00DC5685" w:rsidRPr="00A34F10" w:rsidRDefault="00DC5685" w:rsidP="00DC5685">
            <w:pPr>
              <w:suppressAutoHyphens/>
              <w:autoSpaceDE w:val="0"/>
              <w:autoSpaceDN w:val="0"/>
              <w:adjustRightInd w:val="0"/>
              <w:rPr>
                <w:sz w:val="20"/>
                <w:szCs w:val="20"/>
              </w:rPr>
            </w:pPr>
            <w:r w:rsidRPr="00A34F10">
              <w:rPr>
                <w:sz w:val="20"/>
                <w:szCs w:val="20"/>
              </w:rPr>
              <w:t>N-Europe</w:t>
            </w:r>
          </w:p>
        </w:tc>
        <w:tc>
          <w:tcPr>
            <w:tcW w:w="494" w:type="pct"/>
            <w:tcBorders>
              <w:top w:val="single" w:sz="4" w:space="0" w:color="auto"/>
              <w:left w:val="single" w:sz="4" w:space="0" w:color="auto"/>
              <w:bottom w:val="single" w:sz="4" w:space="0" w:color="auto"/>
              <w:right w:val="single" w:sz="4" w:space="0" w:color="auto"/>
            </w:tcBorders>
            <w:shd w:val="clear" w:color="auto" w:fill="auto"/>
          </w:tcPr>
          <w:p w14:paraId="27D8EE8B" w14:textId="77777777" w:rsidR="00DC5685" w:rsidRPr="00A34F10" w:rsidRDefault="00DC5685" w:rsidP="00DC5685">
            <w:pPr>
              <w:suppressAutoHyphens/>
              <w:autoSpaceDE w:val="0"/>
              <w:autoSpaceDN w:val="0"/>
              <w:adjustRightInd w:val="0"/>
              <w:jc w:val="center"/>
              <w:rPr>
                <w:sz w:val="20"/>
                <w:szCs w:val="20"/>
                <w:lang w:val="en-GB"/>
              </w:rPr>
            </w:pPr>
            <w:r w:rsidRPr="00A34F10">
              <w:rPr>
                <w:color w:val="000000"/>
                <w:sz w:val="20"/>
                <w:szCs w:val="20"/>
              </w:rPr>
              <w:t>119.108</w:t>
            </w:r>
          </w:p>
        </w:tc>
        <w:tc>
          <w:tcPr>
            <w:tcW w:w="646" w:type="pct"/>
            <w:tcBorders>
              <w:top w:val="nil"/>
              <w:left w:val="single" w:sz="4" w:space="0" w:color="auto"/>
              <w:bottom w:val="single" w:sz="4" w:space="0" w:color="auto"/>
              <w:right w:val="single" w:sz="4" w:space="0" w:color="auto"/>
            </w:tcBorders>
            <w:shd w:val="clear" w:color="auto" w:fill="auto"/>
          </w:tcPr>
          <w:p w14:paraId="48440E9B" w14:textId="77777777" w:rsidR="00DC5685" w:rsidRPr="00A34F10" w:rsidRDefault="00DC5685" w:rsidP="00DC5685">
            <w:pPr>
              <w:suppressAutoHyphens/>
              <w:autoSpaceDE w:val="0"/>
              <w:autoSpaceDN w:val="0"/>
              <w:adjustRightInd w:val="0"/>
              <w:jc w:val="center"/>
              <w:rPr>
                <w:b/>
                <w:bCs/>
                <w:sz w:val="20"/>
                <w:szCs w:val="20"/>
              </w:rPr>
            </w:pPr>
            <w:r w:rsidRPr="00A34F10">
              <w:rPr>
                <w:color w:val="000000"/>
                <w:sz w:val="20"/>
                <w:szCs w:val="20"/>
              </w:rPr>
              <w:t>0.13</w:t>
            </w:r>
          </w:p>
        </w:tc>
        <w:tc>
          <w:tcPr>
            <w:tcW w:w="598" w:type="pct"/>
            <w:tcBorders>
              <w:top w:val="nil"/>
              <w:left w:val="nil"/>
              <w:bottom w:val="single" w:sz="4" w:space="0" w:color="auto"/>
              <w:right w:val="single" w:sz="4" w:space="0" w:color="auto"/>
            </w:tcBorders>
            <w:shd w:val="clear" w:color="auto" w:fill="auto"/>
          </w:tcPr>
          <w:p w14:paraId="75F12E6A" w14:textId="77777777" w:rsidR="00DC5685" w:rsidRPr="00A34F10" w:rsidRDefault="00DC5685" w:rsidP="00DC5685">
            <w:pPr>
              <w:suppressAutoHyphens/>
              <w:autoSpaceDE w:val="0"/>
              <w:autoSpaceDN w:val="0"/>
              <w:adjustRightInd w:val="0"/>
              <w:jc w:val="center"/>
              <w:rPr>
                <w:bCs/>
                <w:sz w:val="20"/>
                <w:szCs w:val="20"/>
              </w:rPr>
            </w:pPr>
            <w:r w:rsidRPr="00A34F10">
              <w:rPr>
                <w:color w:val="000000"/>
                <w:sz w:val="20"/>
                <w:szCs w:val="20"/>
              </w:rPr>
              <w:t>0.19</w:t>
            </w:r>
          </w:p>
        </w:tc>
        <w:tc>
          <w:tcPr>
            <w:tcW w:w="653" w:type="pct"/>
            <w:tcBorders>
              <w:top w:val="nil"/>
              <w:left w:val="nil"/>
              <w:bottom w:val="single" w:sz="4" w:space="0" w:color="auto"/>
              <w:right w:val="single" w:sz="4" w:space="0" w:color="auto"/>
            </w:tcBorders>
            <w:shd w:val="clear" w:color="auto" w:fill="auto"/>
          </w:tcPr>
          <w:p w14:paraId="408E9E1B" w14:textId="77777777" w:rsidR="00DC5685" w:rsidRPr="00A34F10" w:rsidRDefault="00DC5685" w:rsidP="00DC5685">
            <w:pPr>
              <w:suppressAutoHyphens/>
              <w:autoSpaceDE w:val="0"/>
              <w:autoSpaceDN w:val="0"/>
              <w:adjustRightInd w:val="0"/>
              <w:jc w:val="center"/>
              <w:rPr>
                <w:b/>
                <w:bCs/>
                <w:sz w:val="20"/>
                <w:szCs w:val="20"/>
              </w:rPr>
            </w:pPr>
            <w:r w:rsidRPr="00A34F10">
              <w:rPr>
                <w:color w:val="000000"/>
                <w:sz w:val="20"/>
                <w:szCs w:val="20"/>
              </w:rPr>
              <w:t>0.12</w:t>
            </w:r>
          </w:p>
        </w:tc>
        <w:tc>
          <w:tcPr>
            <w:tcW w:w="598" w:type="pct"/>
            <w:tcBorders>
              <w:top w:val="nil"/>
              <w:left w:val="nil"/>
              <w:bottom w:val="single" w:sz="4" w:space="0" w:color="auto"/>
              <w:right w:val="single" w:sz="4" w:space="0" w:color="auto"/>
            </w:tcBorders>
            <w:shd w:val="clear" w:color="auto" w:fill="auto"/>
          </w:tcPr>
          <w:p w14:paraId="3A54468E" w14:textId="77777777" w:rsidR="00DC5685" w:rsidRPr="00A34F10" w:rsidRDefault="00DC5685" w:rsidP="00DC5685">
            <w:pPr>
              <w:suppressAutoHyphens/>
              <w:autoSpaceDE w:val="0"/>
              <w:autoSpaceDN w:val="0"/>
              <w:adjustRightInd w:val="0"/>
              <w:jc w:val="center"/>
              <w:rPr>
                <w:b/>
                <w:sz w:val="20"/>
                <w:szCs w:val="20"/>
              </w:rPr>
            </w:pPr>
            <w:r w:rsidRPr="00A34F10">
              <w:rPr>
                <w:color w:val="000000"/>
                <w:sz w:val="20"/>
                <w:szCs w:val="20"/>
              </w:rPr>
              <w:t>0.10</w:t>
            </w:r>
          </w:p>
        </w:tc>
        <w:tc>
          <w:tcPr>
            <w:tcW w:w="823" w:type="pct"/>
            <w:tcBorders>
              <w:top w:val="nil"/>
              <w:left w:val="nil"/>
              <w:bottom w:val="single" w:sz="4" w:space="0" w:color="auto"/>
              <w:right w:val="single" w:sz="4" w:space="0" w:color="auto"/>
            </w:tcBorders>
            <w:shd w:val="clear" w:color="auto" w:fill="auto"/>
          </w:tcPr>
          <w:p w14:paraId="4E2379C5"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0.01</w:t>
            </w:r>
          </w:p>
        </w:tc>
        <w:tc>
          <w:tcPr>
            <w:tcW w:w="682" w:type="pct"/>
            <w:tcBorders>
              <w:top w:val="nil"/>
              <w:left w:val="nil"/>
              <w:bottom w:val="single" w:sz="4" w:space="0" w:color="auto"/>
              <w:right w:val="single" w:sz="4" w:space="0" w:color="auto"/>
            </w:tcBorders>
            <w:shd w:val="clear" w:color="auto" w:fill="auto"/>
          </w:tcPr>
          <w:p w14:paraId="42035FA5"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0.07</w:t>
            </w:r>
          </w:p>
        </w:tc>
      </w:tr>
      <w:tr w:rsidR="00DC5685" w:rsidRPr="00A34F10" w14:paraId="06F5C86B" w14:textId="77777777" w:rsidTr="000470C3">
        <w:trPr>
          <w:trHeight w:val="266"/>
        </w:trPr>
        <w:tc>
          <w:tcPr>
            <w:tcW w:w="506" w:type="pct"/>
            <w:tcBorders>
              <w:top w:val="single" w:sz="6" w:space="0" w:color="auto"/>
              <w:left w:val="single" w:sz="6" w:space="0" w:color="auto"/>
              <w:bottom w:val="single" w:sz="6" w:space="0" w:color="auto"/>
              <w:right w:val="single" w:sz="6" w:space="0" w:color="auto"/>
            </w:tcBorders>
            <w:shd w:val="clear" w:color="auto" w:fill="auto"/>
            <w:vAlign w:val="center"/>
          </w:tcPr>
          <w:p w14:paraId="3E9CA621" w14:textId="77777777" w:rsidR="00DC5685" w:rsidRPr="00A34F10" w:rsidRDefault="00DC5685" w:rsidP="00DC5685">
            <w:pPr>
              <w:suppressAutoHyphens/>
              <w:autoSpaceDE w:val="0"/>
              <w:autoSpaceDN w:val="0"/>
              <w:adjustRightInd w:val="0"/>
              <w:rPr>
                <w:sz w:val="20"/>
                <w:szCs w:val="20"/>
              </w:rPr>
            </w:pPr>
            <w:r w:rsidRPr="00A34F10">
              <w:rPr>
                <w:sz w:val="20"/>
                <w:szCs w:val="20"/>
              </w:rPr>
              <w:t>S-Europe</w:t>
            </w:r>
          </w:p>
        </w:tc>
        <w:tc>
          <w:tcPr>
            <w:tcW w:w="494" w:type="pct"/>
            <w:tcBorders>
              <w:top w:val="nil"/>
              <w:left w:val="single" w:sz="4" w:space="0" w:color="auto"/>
              <w:bottom w:val="single" w:sz="4" w:space="0" w:color="auto"/>
              <w:right w:val="single" w:sz="4" w:space="0" w:color="auto"/>
            </w:tcBorders>
            <w:shd w:val="clear" w:color="auto" w:fill="auto"/>
          </w:tcPr>
          <w:p w14:paraId="1A9E200D"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97.360</w:t>
            </w:r>
          </w:p>
        </w:tc>
        <w:tc>
          <w:tcPr>
            <w:tcW w:w="646" w:type="pct"/>
            <w:tcBorders>
              <w:top w:val="nil"/>
              <w:left w:val="single" w:sz="4" w:space="0" w:color="auto"/>
              <w:bottom w:val="single" w:sz="4" w:space="0" w:color="auto"/>
              <w:right w:val="single" w:sz="4" w:space="0" w:color="auto"/>
            </w:tcBorders>
            <w:shd w:val="clear" w:color="auto" w:fill="auto"/>
          </w:tcPr>
          <w:p w14:paraId="3F4040F4"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0.11</w:t>
            </w:r>
          </w:p>
        </w:tc>
        <w:tc>
          <w:tcPr>
            <w:tcW w:w="598" w:type="pct"/>
            <w:tcBorders>
              <w:top w:val="nil"/>
              <w:left w:val="nil"/>
              <w:bottom w:val="single" w:sz="4" w:space="0" w:color="auto"/>
              <w:right w:val="single" w:sz="4" w:space="0" w:color="auto"/>
            </w:tcBorders>
            <w:shd w:val="clear" w:color="auto" w:fill="auto"/>
          </w:tcPr>
          <w:p w14:paraId="1F08AD41" w14:textId="77777777" w:rsidR="00DC5685" w:rsidRPr="00A34F10" w:rsidRDefault="00DC5685" w:rsidP="00DC5685">
            <w:pPr>
              <w:suppressAutoHyphens/>
              <w:autoSpaceDE w:val="0"/>
              <w:autoSpaceDN w:val="0"/>
              <w:adjustRightInd w:val="0"/>
              <w:jc w:val="center"/>
              <w:rPr>
                <w:bCs/>
                <w:sz w:val="20"/>
                <w:szCs w:val="20"/>
              </w:rPr>
            </w:pPr>
            <w:r w:rsidRPr="00A34F10">
              <w:rPr>
                <w:color w:val="000000"/>
                <w:sz w:val="20"/>
                <w:szCs w:val="20"/>
              </w:rPr>
              <w:t>0.15</w:t>
            </w:r>
          </w:p>
        </w:tc>
        <w:tc>
          <w:tcPr>
            <w:tcW w:w="653" w:type="pct"/>
            <w:tcBorders>
              <w:top w:val="nil"/>
              <w:left w:val="nil"/>
              <w:bottom w:val="single" w:sz="4" w:space="0" w:color="auto"/>
              <w:right w:val="single" w:sz="4" w:space="0" w:color="auto"/>
            </w:tcBorders>
            <w:shd w:val="clear" w:color="auto" w:fill="auto"/>
          </w:tcPr>
          <w:p w14:paraId="2AEB5D92"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0.10</w:t>
            </w:r>
          </w:p>
        </w:tc>
        <w:tc>
          <w:tcPr>
            <w:tcW w:w="598" w:type="pct"/>
            <w:tcBorders>
              <w:top w:val="nil"/>
              <w:left w:val="nil"/>
              <w:bottom w:val="single" w:sz="4" w:space="0" w:color="auto"/>
              <w:right w:val="single" w:sz="4" w:space="0" w:color="auto"/>
            </w:tcBorders>
            <w:shd w:val="clear" w:color="auto" w:fill="auto"/>
          </w:tcPr>
          <w:p w14:paraId="22718468" w14:textId="77777777" w:rsidR="00DC5685" w:rsidRPr="00A34F10" w:rsidRDefault="00DC5685" w:rsidP="00DC5685">
            <w:pPr>
              <w:suppressAutoHyphens/>
              <w:autoSpaceDE w:val="0"/>
              <w:autoSpaceDN w:val="0"/>
              <w:adjustRightInd w:val="0"/>
              <w:jc w:val="center"/>
              <w:rPr>
                <w:b/>
                <w:sz w:val="20"/>
                <w:szCs w:val="20"/>
              </w:rPr>
            </w:pPr>
            <w:r w:rsidRPr="00A34F10">
              <w:rPr>
                <w:color w:val="000000"/>
                <w:sz w:val="20"/>
                <w:szCs w:val="20"/>
              </w:rPr>
              <w:t>0.08</w:t>
            </w:r>
          </w:p>
        </w:tc>
        <w:tc>
          <w:tcPr>
            <w:tcW w:w="823" w:type="pct"/>
            <w:tcBorders>
              <w:top w:val="nil"/>
              <w:left w:val="nil"/>
              <w:bottom w:val="single" w:sz="4" w:space="0" w:color="auto"/>
              <w:right w:val="single" w:sz="4" w:space="0" w:color="auto"/>
            </w:tcBorders>
            <w:shd w:val="clear" w:color="auto" w:fill="auto"/>
          </w:tcPr>
          <w:p w14:paraId="77F13F80" w14:textId="77777777" w:rsidR="00DC5685" w:rsidRPr="00A34F10" w:rsidRDefault="00DC5685" w:rsidP="00DC5685">
            <w:pPr>
              <w:suppressAutoHyphens/>
              <w:autoSpaceDE w:val="0"/>
              <w:autoSpaceDN w:val="0"/>
              <w:adjustRightInd w:val="0"/>
              <w:jc w:val="center"/>
              <w:rPr>
                <w:b/>
                <w:bCs/>
                <w:sz w:val="20"/>
                <w:szCs w:val="20"/>
              </w:rPr>
            </w:pPr>
            <w:r w:rsidRPr="00A34F10">
              <w:rPr>
                <w:color w:val="000000"/>
                <w:sz w:val="20"/>
                <w:szCs w:val="20"/>
              </w:rPr>
              <w:t>0.01</w:t>
            </w:r>
          </w:p>
        </w:tc>
        <w:tc>
          <w:tcPr>
            <w:tcW w:w="682" w:type="pct"/>
            <w:tcBorders>
              <w:top w:val="nil"/>
              <w:left w:val="nil"/>
              <w:bottom w:val="single" w:sz="4" w:space="0" w:color="auto"/>
              <w:right w:val="single" w:sz="4" w:space="0" w:color="auto"/>
            </w:tcBorders>
            <w:shd w:val="clear" w:color="auto" w:fill="auto"/>
          </w:tcPr>
          <w:p w14:paraId="7D1E1AC4"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0.05</w:t>
            </w:r>
          </w:p>
        </w:tc>
      </w:tr>
    </w:tbl>
    <w:p w14:paraId="1E16640D"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t xml:space="preserve">AF: Assessment factor; PEC: Predicted environmental concentration; RAC: Regulatory acceptable concentration; PEC/RAC ratios above the relevant trigger of 1 are shown in </w:t>
      </w:r>
      <w:r w:rsidRPr="00A34F10">
        <w:rPr>
          <w:b/>
          <w:sz w:val="18"/>
          <w:szCs w:val="18"/>
        </w:rPr>
        <w:t>bold</w:t>
      </w:r>
      <w:r w:rsidRPr="00A34F10">
        <w:rPr>
          <w:sz w:val="18"/>
          <w:szCs w:val="18"/>
        </w:rPr>
        <w:t>.</w:t>
      </w:r>
    </w:p>
    <w:p w14:paraId="5C08FC85" w14:textId="36B770EA" w:rsidR="00DC5685" w:rsidRPr="00A34F10" w:rsidRDefault="00DC5685" w:rsidP="00DC5685">
      <w:pPr>
        <w:widowControl w:val="0"/>
        <w:suppressAutoHyphens/>
        <w:jc w:val="both"/>
      </w:pPr>
    </w:p>
    <w:p w14:paraId="3673A2A4" w14:textId="77777777" w:rsidR="00E23E00" w:rsidRPr="00A34F10" w:rsidRDefault="00E23E00" w:rsidP="00DC5685">
      <w:pPr>
        <w:widowControl w:val="0"/>
        <w:suppressAutoHyphens/>
        <w:jc w:val="both"/>
      </w:pPr>
    </w:p>
    <w:p w14:paraId="5FCC6430" w14:textId="77777777" w:rsidR="00DC5685" w:rsidRPr="00A34F10" w:rsidRDefault="00DC5685" w:rsidP="00DC5685">
      <w:pPr>
        <w:widowControl w:val="0"/>
        <w:suppressAutoHyphens/>
        <w:jc w:val="both"/>
      </w:pPr>
      <w:r w:rsidRPr="00A34F10">
        <w:t xml:space="preserve">For the intended worst-case uses in </w:t>
      </w:r>
      <w:bookmarkStart w:id="515" w:name="_Hlk40897382"/>
      <w:r w:rsidRPr="00A34F10">
        <w:t>potatoes</w:t>
      </w:r>
      <w:bookmarkEnd w:id="515"/>
      <w:r w:rsidRPr="00A34F10">
        <w:t xml:space="preserve"> (covering the other uses), calculated PEC/RAC ratios indicate an acceptable risk for the most sensitive group of aquatic organisms (risk for chronic fish as characterised by a NOEC of 6.3 mg a.s./L for </w:t>
      </w:r>
      <w:r w:rsidRPr="00A34F10">
        <w:rPr>
          <w:i/>
        </w:rPr>
        <w:t xml:space="preserve">Lepomis macrochirus </w:t>
      </w:r>
      <w:r w:rsidRPr="00A34F10">
        <w:t>in connection with an assessment factor of 10) based on the FOCUS Step 1 PEC</w:t>
      </w:r>
      <w:r w:rsidRPr="00A34F10">
        <w:rPr>
          <w:vertAlign w:val="subscript"/>
        </w:rPr>
        <w:t>SW</w:t>
      </w:r>
      <w:r w:rsidRPr="00A34F10">
        <w:t xml:space="preserve"> values. Therefore, no further assessment is necessary.</w:t>
      </w:r>
    </w:p>
    <w:p w14:paraId="3F2C7887" w14:textId="77777777" w:rsidR="00DC5685" w:rsidRPr="00A34F10" w:rsidRDefault="00DC5685" w:rsidP="00DC5685">
      <w:pPr>
        <w:widowControl w:val="0"/>
        <w:suppressAutoHyphens/>
        <w:jc w:val="both"/>
      </w:pPr>
    </w:p>
    <w:p w14:paraId="2818ACE2" w14:textId="77777777" w:rsidR="00DC5685" w:rsidRPr="00A34F10" w:rsidRDefault="00DC5685" w:rsidP="00DC5685">
      <w:pPr>
        <w:widowControl w:val="0"/>
        <w:suppressAutoHyphens/>
        <w:jc w:val="both"/>
        <w:rPr>
          <w:color w:val="0070C0"/>
        </w:rPr>
        <w:sectPr w:rsidR="00DC5685" w:rsidRPr="00A34F10" w:rsidSect="00876422">
          <w:pgSz w:w="16840" w:h="16702" w:orient="landscape" w:code="9"/>
          <w:pgMar w:top="1418" w:right="1418" w:bottom="1418" w:left="1418" w:header="709" w:footer="709" w:gutter="0"/>
          <w:cols w:space="720"/>
        </w:sectPr>
      </w:pPr>
    </w:p>
    <w:p w14:paraId="55AD2BC6" w14:textId="77777777" w:rsidR="00DC5685" w:rsidRPr="00A34F10" w:rsidRDefault="00DC5685" w:rsidP="00DC5685">
      <w:pPr>
        <w:suppressAutoHyphens/>
        <w:jc w:val="both"/>
        <w:rPr>
          <w:b/>
          <w:bCs/>
          <w:u w:val="single"/>
        </w:rPr>
      </w:pPr>
      <w:r w:rsidRPr="00A34F10">
        <w:rPr>
          <w:b/>
          <w:bCs/>
          <w:u w:val="single"/>
        </w:rPr>
        <w:lastRenderedPageBreak/>
        <w:t>Metabolites of Ametoctradin</w:t>
      </w:r>
    </w:p>
    <w:p w14:paraId="6F752451" w14:textId="77777777" w:rsidR="00DC5685" w:rsidRPr="00A34F10" w:rsidRDefault="00DC5685" w:rsidP="00DC5685">
      <w:pPr>
        <w:suppressAutoHyphens/>
        <w:jc w:val="both"/>
        <w:rPr>
          <w:b/>
          <w:bCs/>
          <w:u w:val="single"/>
        </w:rPr>
      </w:pPr>
    </w:p>
    <w:p w14:paraId="7BFF2C03" w14:textId="77777777" w:rsidR="00DC5685" w:rsidRPr="00A34F10" w:rsidRDefault="00DC5685" w:rsidP="00DC5685">
      <w:pPr>
        <w:widowControl w:val="0"/>
        <w:suppressAutoHyphens/>
        <w:jc w:val="both"/>
      </w:pPr>
      <w:r w:rsidRPr="00A34F10">
        <w:t>Ecotoxicological studies were performed with the metabolites M650F01, M650F03 and M650F04. M650F02 was not tested because it is an intermediate metabolite with similar chemical structure as M650F01 and/or M650F03. Hence, M650F02 is not included in the following aquatic risk assessment calculations, though PEC values are available in chapter Section 8, Chapter 8.9.</w:t>
      </w:r>
    </w:p>
    <w:p w14:paraId="07486136" w14:textId="77777777" w:rsidR="00DC5685" w:rsidRPr="00A34F10" w:rsidRDefault="00DC5685" w:rsidP="00DC5685">
      <w:pPr>
        <w:widowControl w:val="0"/>
        <w:suppressAutoHyphens/>
        <w:jc w:val="both"/>
      </w:pPr>
    </w:p>
    <w:p w14:paraId="7EC5FA4D" w14:textId="77777777" w:rsidR="00DC5685" w:rsidRPr="00A34F10" w:rsidRDefault="00DC5685" w:rsidP="00DC5685">
      <w:pPr>
        <w:widowControl w:val="0"/>
        <w:suppressAutoHyphens/>
        <w:jc w:val="both"/>
      </w:pPr>
      <w:r w:rsidRPr="00A34F10">
        <w:t>In the following tables, the ratios between predicted environmental concentrations in surface water bodies (PEC</w:t>
      </w:r>
      <w:r w:rsidRPr="00A34F10">
        <w:rPr>
          <w:vertAlign w:val="subscript"/>
        </w:rPr>
        <w:t>SW</w:t>
      </w:r>
      <w:r w:rsidRPr="00A34F10">
        <w:t xml:space="preserve">) and regulatory acceptable concentrations (RAC) for aquatic organisms are given. </w:t>
      </w:r>
    </w:p>
    <w:p w14:paraId="0C206A31" w14:textId="4BD053B7" w:rsidR="00DC5685" w:rsidRPr="00A34F10" w:rsidRDefault="00DC5685" w:rsidP="00DC5685">
      <w:pPr>
        <w:suppressAutoHyphens/>
        <w:jc w:val="both"/>
        <w:rPr>
          <w:b/>
          <w:bCs/>
          <w:u w:val="single"/>
        </w:rPr>
      </w:pPr>
    </w:p>
    <w:p w14:paraId="122861A2" w14:textId="77777777" w:rsidR="00E23E00" w:rsidRPr="00A34F10" w:rsidRDefault="00E23E00" w:rsidP="00DC5685">
      <w:pPr>
        <w:suppressAutoHyphens/>
        <w:jc w:val="both"/>
        <w:rPr>
          <w:b/>
          <w:bCs/>
          <w:u w:val="single"/>
        </w:rPr>
      </w:pPr>
    </w:p>
    <w:p w14:paraId="529683FC" w14:textId="470DA8B2" w:rsidR="00DC5685" w:rsidRPr="00A326E1" w:rsidRDefault="00370EAA" w:rsidP="00BB63B3">
      <w:pPr>
        <w:pStyle w:val="Legenda"/>
      </w:pPr>
      <w:bookmarkStart w:id="516" w:name="_Ref430864515"/>
      <w:r w:rsidRPr="00A326E1">
        <w:t xml:space="preserve">Table </w:t>
      </w:r>
      <w:r w:rsidR="000975B8" w:rsidRPr="00A326E1">
        <w:fldChar w:fldCharType="begin"/>
      </w:r>
      <w:r w:rsidR="000975B8" w:rsidRPr="00A326E1">
        <w:instrText xml:space="preserve"> STYLEREF 2 \s </w:instrText>
      </w:r>
      <w:r w:rsidR="000975B8" w:rsidRPr="00A326E1">
        <w:fldChar w:fldCharType="separate"/>
      </w:r>
      <w:r w:rsidR="006F0F3B">
        <w:rPr>
          <w:noProof/>
        </w:rPr>
        <w:t>9.5</w:t>
      </w:r>
      <w:r w:rsidR="000975B8" w:rsidRPr="00A326E1">
        <w:fldChar w:fldCharType="end"/>
      </w:r>
      <w:r w:rsidRPr="00A326E1">
        <w:noBreakHyphen/>
      </w:r>
      <w:bookmarkEnd w:id="516"/>
      <w:r w:rsidR="00A326E1" w:rsidRPr="00A326E1">
        <w:t>9</w:t>
      </w:r>
      <w:r w:rsidR="00DC5685" w:rsidRPr="00A326E1">
        <w:t>:</w:t>
      </w:r>
      <w:r w:rsidR="00DC5685" w:rsidRPr="00A326E1">
        <w:tab/>
        <w:t>Aquatic organisms: acceptability of risk (PEC/RAC &lt; 1) for metabolites of ametoctradin for each organism group based on FOCUS Step 1 calculations for the worst-case use of BAS 743 03 F in potatoes, fruiting vegetables and onions (1 - 3 x 2.0 L/ha)</w:t>
      </w:r>
    </w:p>
    <w:tbl>
      <w:tblPr>
        <w:tblW w:w="0" w:type="auto"/>
        <w:tblInd w:w="40" w:type="dxa"/>
        <w:tblLayout w:type="fixed"/>
        <w:tblCellMar>
          <w:left w:w="70" w:type="dxa"/>
          <w:right w:w="70" w:type="dxa"/>
        </w:tblCellMar>
        <w:tblLook w:val="0000" w:firstRow="0" w:lastRow="0" w:firstColumn="0" w:lastColumn="0" w:noHBand="0" w:noVBand="0"/>
      </w:tblPr>
      <w:tblGrid>
        <w:gridCol w:w="1342"/>
        <w:gridCol w:w="1665"/>
        <w:gridCol w:w="1594"/>
        <w:gridCol w:w="1595"/>
        <w:gridCol w:w="1595"/>
        <w:gridCol w:w="1595"/>
      </w:tblGrid>
      <w:tr w:rsidR="00DC5685" w:rsidRPr="00A34F10" w14:paraId="58710D6B" w14:textId="77777777" w:rsidTr="000470C3">
        <w:trPr>
          <w:trHeight w:val="262"/>
        </w:trPr>
        <w:tc>
          <w:tcPr>
            <w:tcW w:w="3007" w:type="dxa"/>
            <w:gridSpan w:val="2"/>
            <w:tcBorders>
              <w:top w:val="single" w:sz="6" w:space="0" w:color="auto"/>
              <w:left w:val="single" w:sz="6" w:space="0" w:color="auto"/>
              <w:bottom w:val="single" w:sz="4" w:space="0" w:color="auto"/>
              <w:right w:val="single" w:sz="6" w:space="0" w:color="auto"/>
            </w:tcBorders>
            <w:shd w:val="clear" w:color="auto" w:fill="auto"/>
            <w:vAlign w:val="center"/>
          </w:tcPr>
          <w:p w14:paraId="73523E80"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Test species</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35349A2E"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O. mykiss</w:t>
            </w:r>
          </w:p>
          <w:p w14:paraId="3E0B9CEB"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(acute)</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5E8FC4C7"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D. magna</w:t>
            </w:r>
          </w:p>
          <w:p w14:paraId="4C7CE53A" w14:textId="77777777" w:rsidR="00DC5685" w:rsidRPr="00A34F10" w:rsidRDefault="00DC5685" w:rsidP="00DC5685">
            <w:pPr>
              <w:suppressAutoHyphens/>
              <w:autoSpaceDE w:val="0"/>
              <w:autoSpaceDN w:val="0"/>
              <w:adjustRightInd w:val="0"/>
              <w:jc w:val="center"/>
              <w:rPr>
                <w:b/>
                <w:bCs/>
                <w:i/>
                <w:iCs/>
                <w:sz w:val="20"/>
                <w:szCs w:val="20"/>
              </w:rPr>
            </w:pPr>
            <w:r w:rsidRPr="00A34F10">
              <w:rPr>
                <w:b/>
                <w:bCs/>
                <w:sz w:val="20"/>
                <w:szCs w:val="20"/>
              </w:rPr>
              <w:t>(acute)</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6E72C13A"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D. magna</w:t>
            </w:r>
          </w:p>
          <w:p w14:paraId="436BC222"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(long-term)</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18037A21"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P. subcapitata</w:t>
            </w:r>
          </w:p>
        </w:tc>
      </w:tr>
      <w:tr w:rsidR="00DC5685" w:rsidRPr="00A34F10" w14:paraId="5B7ED01F" w14:textId="77777777" w:rsidTr="000470C3">
        <w:trPr>
          <w:trHeight w:val="262"/>
        </w:trPr>
        <w:tc>
          <w:tcPr>
            <w:tcW w:w="3007" w:type="dxa"/>
            <w:gridSpan w:val="2"/>
            <w:tcBorders>
              <w:top w:val="single" w:sz="4" w:space="0" w:color="auto"/>
              <w:left w:val="single" w:sz="6" w:space="0" w:color="auto"/>
              <w:bottom w:val="single" w:sz="6" w:space="0" w:color="auto"/>
              <w:right w:val="single" w:sz="6" w:space="0" w:color="auto"/>
            </w:tcBorders>
            <w:shd w:val="clear" w:color="auto" w:fill="auto"/>
            <w:vAlign w:val="center"/>
          </w:tcPr>
          <w:p w14:paraId="041C9C04"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AF</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5899E64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2323D45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3095B6F8"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7A9905C2"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r>
      <w:tr w:rsidR="00DC5685" w:rsidRPr="00A34F10" w14:paraId="11B0ACDC" w14:textId="77777777" w:rsidTr="000470C3">
        <w:trPr>
          <w:trHeight w:val="262"/>
        </w:trPr>
        <w:tc>
          <w:tcPr>
            <w:tcW w:w="3007" w:type="dxa"/>
            <w:gridSpan w:val="2"/>
            <w:tcBorders>
              <w:top w:val="single" w:sz="6" w:space="0" w:color="auto"/>
              <w:left w:val="single" w:sz="6" w:space="0" w:color="auto"/>
              <w:bottom w:val="single" w:sz="6" w:space="0" w:color="auto"/>
            </w:tcBorders>
            <w:shd w:val="clear" w:color="auto" w:fill="D9D9D9" w:themeFill="background1" w:themeFillShade="D9"/>
            <w:vAlign w:val="center"/>
          </w:tcPr>
          <w:p w14:paraId="2B031DCA" w14:textId="77777777" w:rsidR="00DC5685" w:rsidRPr="00A34F10" w:rsidRDefault="00DC5685" w:rsidP="00DC5685">
            <w:pPr>
              <w:suppressAutoHyphens/>
              <w:autoSpaceDE w:val="0"/>
              <w:autoSpaceDN w:val="0"/>
              <w:adjustRightInd w:val="0"/>
              <w:jc w:val="center"/>
              <w:rPr>
                <w:b/>
                <w:bCs/>
                <w:sz w:val="20"/>
                <w:szCs w:val="20"/>
              </w:rPr>
            </w:pPr>
          </w:p>
        </w:tc>
        <w:tc>
          <w:tcPr>
            <w:tcW w:w="6379" w:type="dxa"/>
            <w:gridSpan w:val="4"/>
            <w:tcBorders>
              <w:top w:val="single" w:sz="6" w:space="0" w:color="auto"/>
              <w:bottom w:val="single" w:sz="6" w:space="0" w:color="auto"/>
              <w:right w:val="single" w:sz="6" w:space="0" w:color="auto"/>
            </w:tcBorders>
            <w:shd w:val="clear" w:color="auto" w:fill="D9D9D9" w:themeFill="background1" w:themeFillShade="D9"/>
            <w:vAlign w:val="center"/>
          </w:tcPr>
          <w:p w14:paraId="319A90C5"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M650F01</w:t>
            </w:r>
          </w:p>
        </w:tc>
      </w:tr>
      <w:tr w:rsidR="00DC5685" w:rsidRPr="00A34F10" w14:paraId="796BF7EE" w14:textId="77777777" w:rsidTr="000470C3">
        <w:trPr>
          <w:trHeight w:val="276"/>
        </w:trPr>
        <w:tc>
          <w:tcPr>
            <w:tcW w:w="3007" w:type="dxa"/>
            <w:gridSpan w:val="2"/>
            <w:vMerge w:val="restart"/>
            <w:tcBorders>
              <w:top w:val="single" w:sz="6" w:space="0" w:color="auto"/>
              <w:left w:val="single" w:sz="6" w:space="0" w:color="auto"/>
              <w:right w:val="single" w:sz="6" w:space="0" w:color="auto"/>
            </w:tcBorders>
            <w:shd w:val="clear" w:color="auto" w:fill="auto"/>
            <w:vAlign w:val="center"/>
          </w:tcPr>
          <w:p w14:paraId="41E43EDA" w14:textId="77777777" w:rsidR="00DC5685" w:rsidRPr="00A34F10" w:rsidRDefault="00DC5685" w:rsidP="00DC5685">
            <w:pPr>
              <w:suppressAutoHyphens/>
              <w:autoSpaceDE w:val="0"/>
              <w:autoSpaceDN w:val="0"/>
              <w:adjustRightInd w:val="0"/>
              <w:rPr>
                <w:bCs/>
                <w:sz w:val="20"/>
                <w:szCs w:val="20"/>
              </w:rPr>
            </w:pPr>
            <w:r w:rsidRPr="00A34F10">
              <w:rPr>
                <w:bCs/>
                <w:sz w:val="20"/>
                <w:szCs w:val="20"/>
              </w:rPr>
              <w:t>Endpoint (µg/L)</w:t>
            </w:r>
          </w:p>
        </w:tc>
        <w:tc>
          <w:tcPr>
            <w:tcW w:w="1594" w:type="dxa"/>
            <w:tcBorders>
              <w:top w:val="single" w:sz="6" w:space="0" w:color="auto"/>
              <w:left w:val="single" w:sz="6" w:space="0" w:color="auto"/>
              <w:right w:val="single" w:sz="6" w:space="0" w:color="auto"/>
            </w:tcBorders>
            <w:shd w:val="clear" w:color="auto" w:fill="auto"/>
            <w:vAlign w:val="center"/>
          </w:tcPr>
          <w:p w14:paraId="6C4BFD3F"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3A3F41BD"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27C9C03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NOEC</w:t>
            </w:r>
          </w:p>
        </w:tc>
        <w:tc>
          <w:tcPr>
            <w:tcW w:w="1595" w:type="dxa"/>
            <w:tcBorders>
              <w:top w:val="single" w:sz="6" w:space="0" w:color="auto"/>
              <w:left w:val="single" w:sz="6" w:space="0" w:color="auto"/>
              <w:right w:val="single" w:sz="6" w:space="0" w:color="auto"/>
            </w:tcBorders>
            <w:shd w:val="clear" w:color="auto" w:fill="auto"/>
            <w:vAlign w:val="center"/>
          </w:tcPr>
          <w:p w14:paraId="01DF9536"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r>
      <w:tr w:rsidR="00DC5685" w:rsidRPr="00A34F10" w14:paraId="6FFA4CA4" w14:textId="77777777" w:rsidTr="000470C3">
        <w:trPr>
          <w:trHeight w:val="276"/>
        </w:trPr>
        <w:tc>
          <w:tcPr>
            <w:tcW w:w="3007" w:type="dxa"/>
            <w:gridSpan w:val="2"/>
            <w:vMerge/>
            <w:tcBorders>
              <w:left w:val="single" w:sz="6" w:space="0" w:color="auto"/>
              <w:bottom w:val="single" w:sz="6" w:space="0" w:color="auto"/>
              <w:right w:val="single" w:sz="6" w:space="0" w:color="auto"/>
            </w:tcBorders>
            <w:shd w:val="clear" w:color="auto" w:fill="auto"/>
            <w:vAlign w:val="center"/>
          </w:tcPr>
          <w:p w14:paraId="3E1351F6" w14:textId="77777777" w:rsidR="00DC5685" w:rsidRPr="00A34F10" w:rsidRDefault="00DC5685" w:rsidP="00DC5685">
            <w:pPr>
              <w:suppressAutoHyphens/>
              <w:autoSpaceDE w:val="0"/>
              <w:autoSpaceDN w:val="0"/>
              <w:adjustRightInd w:val="0"/>
              <w:rPr>
                <w:bCs/>
                <w:sz w:val="20"/>
                <w:szCs w:val="20"/>
              </w:rPr>
            </w:pPr>
          </w:p>
        </w:tc>
        <w:tc>
          <w:tcPr>
            <w:tcW w:w="1594" w:type="dxa"/>
            <w:tcBorders>
              <w:left w:val="single" w:sz="6" w:space="0" w:color="auto"/>
              <w:bottom w:val="single" w:sz="6" w:space="0" w:color="auto"/>
              <w:right w:val="single" w:sz="6" w:space="0" w:color="auto"/>
            </w:tcBorders>
            <w:shd w:val="clear" w:color="auto" w:fill="auto"/>
            <w:vAlign w:val="center"/>
          </w:tcPr>
          <w:p w14:paraId="063C158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w:t>
            </w:r>
          </w:p>
        </w:tc>
        <w:tc>
          <w:tcPr>
            <w:tcW w:w="1595" w:type="dxa"/>
            <w:tcBorders>
              <w:left w:val="single" w:sz="6" w:space="0" w:color="auto"/>
              <w:bottom w:val="single" w:sz="6" w:space="0" w:color="auto"/>
              <w:right w:val="single" w:sz="6" w:space="0" w:color="auto"/>
            </w:tcBorders>
            <w:shd w:val="clear" w:color="auto" w:fill="auto"/>
            <w:vAlign w:val="center"/>
          </w:tcPr>
          <w:p w14:paraId="4A12704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1595" w:type="dxa"/>
            <w:tcBorders>
              <w:left w:val="single" w:sz="6" w:space="0" w:color="auto"/>
              <w:bottom w:val="single" w:sz="6" w:space="0" w:color="auto"/>
              <w:right w:val="single" w:sz="6" w:space="0" w:color="auto"/>
            </w:tcBorders>
            <w:shd w:val="clear" w:color="auto" w:fill="auto"/>
            <w:vAlign w:val="center"/>
          </w:tcPr>
          <w:p w14:paraId="406A08EB"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w:t>
            </w:r>
          </w:p>
        </w:tc>
        <w:tc>
          <w:tcPr>
            <w:tcW w:w="1595" w:type="dxa"/>
            <w:tcBorders>
              <w:left w:val="single" w:sz="6" w:space="0" w:color="auto"/>
              <w:bottom w:val="single" w:sz="6" w:space="0" w:color="auto"/>
              <w:right w:val="single" w:sz="6" w:space="0" w:color="auto"/>
            </w:tcBorders>
            <w:shd w:val="clear" w:color="auto" w:fill="auto"/>
            <w:vAlign w:val="center"/>
          </w:tcPr>
          <w:p w14:paraId="3EE4F0E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w:t>
            </w:r>
          </w:p>
        </w:tc>
      </w:tr>
      <w:tr w:rsidR="00DC5685" w:rsidRPr="00A34F10" w14:paraId="5FA8B733" w14:textId="77777777" w:rsidTr="000470C3">
        <w:trPr>
          <w:trHeight w:val="262"/>
        </w:trPr>
        <w:tc>
          <w:tcPr>
            <w:tcW w:w="300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5B2C68" w14:textId="77777777" w:rsidR="00DC5685" w:rsidRPr="00A34F10" w:rsidRDefault="00DC5685" w:rsidP="00DC5685">
            <w:pPr>
              <w:suppressAutoHyphens/>
              <w:autoSpaceDE w:val="0"/>
              <w:autoSpaceDN w:val="0"/>
              <w:adjustRightInd w:val="0"/>
              <w:rPr>
                <w:bCs/>
                <w:sz w:val="20"/>
                <w:szCs w:val="20"/>
              </w:rPr>
            </w:pPr>
            <w:r w:rsidRPr="00A34F10">
              <w:rPr>
                <w:bCs/>
                <w:sz w:val="20"/>
                <w:szCs w:val="20"/>
              </w:rPr>
              <w:t>RAC (µg/L)</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74C3834B"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0B90DBA5"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1000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4F47051C"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729BD78A"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r>
      <w:tr w:rsidR="00DC5685" w:rsidRPr="00A34F10" w14:paraId="472300D1" w14:textId="77777777" w:rsidTr="000470C3">
        <w:trPr>
          <w:trHeight w:val="464"/>
        </w:trPr>
        <w:tc>
          <w:tcPr>
            <w:tcW w:w="1342" w:type="dxa"/>
            <w:tcBorders>
              <w:top w:val="single" w:sz="6" w:space="0" w:color="auto"/>
              <w:left w:val="single" w:sz="6" w:space="0" w:color="auto"/>
              <w:bottom w:val="single" w:sz="6" w:space="0" w:color="auto"/>
            </w:tcBorders>
            <w:shd w:val="clear" w:color="auto" w:fill="auto"/>
            <w:vAlign w:val="center"/>
          </w:tcPr>
          <w:p w14:paraId="66891949" w14:textId="77777777" w:rsidR="00DC5685" w:rsidRPr="00A34F10" w:rsidRDefault="00DC5685" w:rsidP="00DC5685">
            <w:pPr>
              <w:suppressAutoHyphens/>
              <w:autoSpaceDE w:val="0"/>
              <w:autoSpaceDN w:val="0"/>
              <w:adjustRightInd w:val="0"/>
              <w:rPr>
                <w:bCs/>
                <w:sz w:val="20"/>
                <w:szCs w:val="20"/>
              </w:rPr>
            </w:pPr>
            <w:r w:rsidRPr="00A34F10">
              <w:rPr>
                <w:bCs/>
                <w:sz w:val="20"/>
                <w:szCs w:val="20"/>
              </w:rPr>
              <w:t>FOCUS</w:t>
            </w:r>
          </w:p>
        </w:tc>
        <w:tc>
          <w:tcPr>
            <w:tcW w:w="1665" w:type="dxa"/>
            <w:tcBorders>
              <w:top w:val="single" w:sz="6" w:space="0" w:color="auto"/>
              <w:bottom w:val="single" w:sz="6" w:space="0" w:color="auto"/>
              <w:right w:val="nil"/>
            </w:tcBorders>
            <w:shd w:val="clear" w:color="auto" w:fill="auto"/>
            <w:vAlign w:val="center"/>
          </w:tcPr>
          <w:p w14:paraId="349BE5BA" w14:textId="77777777" w:rsidR="00DC5685" w:rsidRPr="00A34F10" w:rsidRDefault="00DC5685" w:rsidP="00DC5685">
            <w:pPr>
              <w:suppressAutoHyphens/>
              <w:autoSpaceDE w:val="0"/>
              <w:autoSpaceDN w:val="0"/>
              <w:adjustRightInd w:val="0"/>
              <w:rPr>
                <w:bCs/>
                <w:sz w:val="20"/>
                <w:szCs w:val="20"/>
              </w:rPr>
            </w:pPr>
            <w:r w:rsidRPr="00A34F10">
              <w:rPr>
                <w:bCs/>
                <w:sz w:val="20"/>
                <w:szCs w:val="20"/>
              </w:rPr>
              <w:t xml:space="preserve">PEC </w:t>
            </w:r>
            <w:r w:rsidRPr="00A34F10">
              <w:rPr>
                <w:bCs/>
                <w:sz w:val="20"/>
                <w:szCs w:val="20"/>
                <w:vertAlign w:val="subscript"/>
              </w:rPr>
              <w:t>gl-max</w:t>
            </w:r>
            <w:r w:rsidRPr="00A34F10">
              <w:rPr>
                <w:bCs/>
                <w:sz w:val="20"/>
                <w:szCs w:val="20"/>
              </w:rPr>
              <w:t xml:space="preserve"> (µg/L) </w:t>
            </w:r>
            <w:r w:rsidRPr="00A34F10">
              <w:rPr>
                <w:bCs/>
                <w:sz w:val="20"/>
                <w:szCs w:val="20"/>
                <w:vertAlign w:val="superscript"/>
              </w:rPr>
              <w:t>1)</w:t>
            </w:r>
            <w:r w:rsidRPr="00A34F10">
              <w:rPr>
                <w:bCs/>
                <w:sz w:val="20"/>
                <w:szCs w:val="20"/>
              </w:rPr>
              <w:t xml:space="preserve"> </w:t>
            </w:r>
          </w:p>
        </w:tc>
        <w:tc>
          <w:tcPr>
            <w:tcW w:w="637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5BC8F31A"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PEC/RAC ratio</w:t>
            </w:r>
          </w:p>
        </w:tc>
      </w:tr>
      <w:tr w:rsidR="00DC5685" w:rsidRPr="00A34F10" w14:paraId="6CC7E901" w14:textId="77777777" w:rsidTr="000470C3">
        <w:trPr>
          <w:trHeight w:val="262"/>
        </w:trPr>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24E319A2" w14:textId="77777777" w:rsidR="00DC5685" w:rsidRPr="00A34F10" w:rsidRDefault="00DC5685" w:rsidP="00DC5685">
            <w:pPr>
              <w:suppressAutoHyphens/>
              <w:autoSpaceDE w:val="0"/>
              <w:autoSpaceDN w:val="0"/>
              <w:adjustRightInd w:val="0"/>
              <w:rPr>
                <w:sz w:val="20"/>
                <w:szCs w:val="20"/>
              </w:rPr>
            </w:pPr>
            <w:r w:rsidRPr="00A34F10">
              <w:rPr>
                <w:sz w:val="20"/>
                <w:szCs w:val="20"/>
              </w:rPr>
              <w:t>Step 1</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14:paraId="375B2F2C" w14:textId="77777777" w:rsidR="00DC5685" w:rsidRPr="00A34F10" w:rsidRDefault="00DC5685" w:rsidP="00DC5685">
            <w:pPr>
              <w:suppressAutoHyphens/>
              <w:autoSpaceDE w:val="0"/>
              <w:autoSpaceDN w:val="0"/>
              <w:adjustRightInd w:val="0"/>
              <w:rPr>
                <w:sz w:val="20"/>
                <w:szCs w:val="20"/>
              </w:rPr>
            </w:pPr>
            <w:r w:rsidRPr="00A34F10">
              <w:rPr>
                <w:sz w:val="20"/>
                <w:szCs w:val="20"/>
              </w:rPr>
              <w:t>156.424</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402D8439"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2D36655C"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0.16</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1ADB4E6B"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6A5C2A19"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r>
      <w:tr w:rsidR="00DC5685" w:rsidRPr="00A34F10" w14:paraId="05B18813" w14:textId="77777777" w:rsidTr="000470C3">
        <w:trPr>
          <w:trHeight w:val="262"/>
        </w:trPr>
        <w:tc>
          <w:tcPr>
            <w:tcW w:w="3007" w:type="dxa"/>
            <w:gridSpan w:val="2"/>
            <w:tcBorders>
              <w:top w:val="single" w:sz="6" w:space="0" w:color="auto"/>
              <w:left w:val="single" w:sz="6" w:space="0" w:color="auto"/>
              <w:bottom w:val="single" w:sz="6" w:space="0" w:color="auto"/>
            </w:tcBorders>
            <w:shd w:val="clear" w:color="auto" w:fill="D9D9D9" w:themeFill="background1" w:themeFillShade="D9"/>
          </w:tcPr>
          <w:p w14:paraId="4C42C918" w14:textId="77777777" w:rsidR="00DC5685" w:rsidRPr="00A34F10" w:rsidRDefault="00DC5685" w:rsidP="00DC5685">
            <w:pPr>
              <w:suppressAutoHyphens/>
              <w:autoSpaceDE w:val="0"/>
              <w:autoSpaceDN w:val="0"/>
              <w:adjustRightInd w:val="0"/>
              <w:jc w:val="center"/>
              <w:rPr>
                <w:b/>
                <w:bCs/>
                <w:sz w:val="20"/>
                <w:szCs w:val="20"/>
              </w:rPr>
            </w:pPr>
          </w:p>
        </w:tc>
        <w:tc>
          <w:tcPr>
            <w:tcW w:w="6379" w:type="dxa"/>
            <w:gridSpan w:val="4"/>
            <w:tcBorders>
              <w:top w:val="single" w:sz="6" w:space="0" w:color="auto"/>
              <w:bottom w:val="single" w:sz="6" w:space="0" w:color="auto"/>
              <w:right w:val="single" w:sz="6" w:space="0" w:color="auto"/>
            </w:tcBorders>
            <w:shd w:val="clear" w:color="auto" w:fill="D9D9D9" w:themeFill="background1" w:themeFillShade="D9"/>
            <w:vAlign w:val="center"/>
          </w:tcPr>
          <w:p w14:paraId="39296FC4"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M650F03</w:t>
            </w:r>
          </w:p>
        </w:tc>
      </w:tr>
      <w:tr w:rsidR="00DC5685" w:rsidRPr="00A34F10" w14:paraId="065DDD23" w14:textId="77777777" w:rsidTr="000470C3">
        <w:trPr>
          <w:trHeight w:val="262"/>
        </w:trPr>
        <w:tc>
          <w:tcPr>
            <w:tcW w:w="3007"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6BDFA87" w14:textId="77777777" w:rsidR="00DC5685" w:rsidRPr="00A34F10" w:rsidRDefault="00DC5685" w:rsidP="00DC5685">
            <w:pPr>
              <w:suppressAutoHyphens/>
              <w:autoSpaceDE w:val="0"/>
              <w:autoSpaceDN w:val="0"/>
              <w:adjustRightInd w:val="0"/>
              <w:rPr>
                <w:bCs/>
                <w:sz w:val="20"/>
                <w:szCs w:val="20"/>
              </w:rPr>
            </w:pPr>
            <w:r w:rsidRPr="00A34F10">
              <w:rPr>
                <w:bCs/>
                <w:sz w:val="20"/>
                <w:szCs w:val="20"/>
              </w:rPr>
              <w:t>Endpoint (µg/L)</w:t>
            </w:r>
          </w:p>
        </w:tc>
        <w:tc>
          <w:tcPr>
            <w:tcW w:w="1594" w:type="dxa"/>
            <w:tcBorders>
              <w:top w:val="single" w:sz="6" w:space="0" w:color="auto"/>
              <w:left w:val="single" w:sz="6" w:space="0" w:color="auto"/>
              <w:right w:val="single" w:sz="6" w:space="0" w:color="auto"/>
            </w:tcBorders>
            <w:shd w:val="clear" w:color="auto" w:fill="auto"/>
            <w:vAlign w:val="center"/>
          </w:tcPr>
          <w:p w14:paraId="4140B44E"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6A51F511"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65337A1F"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NOEC</w:t>
            </w:r>
          </w:p>
        </w:tc>
        <w:tc>
          <w:tcPr>
            <w:tcW w:w="1595" w:type="dxa"/>
            <w:tcBorders>
              <w:top w:val="single" w:sz="6" w:space="0" w:color="auto"/>
              <w:left w:val="single" w:sz="6" w:space="0" w:color="auto"/>
              <w:right w:val="single" w:sz="6" w:space="0" w:color="auto"/>
            </w:tcBorders>
            <w:shd w:val="clear" w:color="auto" w:fill="auto"/>
            <w:vAlign w:val="center"/>
          </w:tcPr>
          <w:p w14:paraId="02E0D527"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r>
      <w:tr w:rsidR="00DC5685" w:rsidRPr="00A34F10" w14:paraId="240B418B" w14:textId="77777777" w:rsidTr="000470C3">
        <w:trPr>
          <w:trHeight w:val="262"/>
        </w:trPr>
        <w:tc>
          <w:tcPr>
            <w:tcW w:w="3007" w:type="dxa"/>
            <w:gridSpan w:val="2"/>
            <w:vMerge/>
            <w:tcBorders>
              <w:left w:val="single" w:sz="6" w:space="0" w:color="auto"/>
              <w:bottom w:val="single" w:sz="6" w:space="0" w:color="auto"/>
              <w:right w:val="single" w:sz="6" w:space="0" w:color="auto"/>
            </w:tcBorders>
            <w:shd w:val="clear" w:color="auto" w:fill="auto"/>
            <w:vAlign w:val="center"/>
          </w:tcPr>
          <w:p w14:paraId="59F94263" w14:textId="77777777" w:rsidR="00DC5685" w:rsidRPr="00A34F10" w:rsidRDefault="00DC5685" w:rsidP="00DC5685">
            <w:pPr>
              <w:suppressAutoHyphens/>
              <w:autoSpaceDE w:val="0"/>
              <w:autoSpaceDN w:val="0"/>
              <w:adjustRightInd w:val="0"/>
              <w:rPr>
                <w:bCs/>
                <w:sz w:val="20"/>
                <w:szCs w:val="20"/>
              </w:rPr>
            </w:pPr>
          </w:p>
        </w:tc>
        <w:tc>
          <w:tcPr>
            <w:tcW w:w="1594" w:type="dxa"/>
            <w:tcBorders>
              <w:left w:val="single" w:sz="6" w:space="0" w:color="auto"/>
              <w:bottom w:val="single" w:sz="6" w:space="0" w:color="auto"/>
              <w:right w:val="single" w:sz="6" w:space="0" w:color="auto"/>
            </w:tcBorders>
            <w:shd w:val="clear" w:color="auto" w:fill="auto"/>
            <w:vAlign w:val="center"/>
          </w:tcPr>
          <w:p w14:paraId="4A74A30D"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82600</w:t>
            </w:r>
          </w:p>
        </w:tc>
        <w:tc>
          <w:tcPr>
            <w:tcW w:w="1595" w:type="dxa"/>
            <w:tcBorders>
              <w:left w:val="single" w:sz="6" w:space="0" w:color="auto"/>
              <w:bottom w:val="single" w:sz="6" w:space="0" w:color="auto"/>
              <w:right w:val="single" w:sz="6" w:space="0" w:color="auto"/>
            </w:tcBorders>
            <w:shd w:val="clear" w:color="auto" w:fill="auto"/>
            <w:vAlign w:val="center"/>
          </w:tcPr>
          <w:p w14:paraId="77A00522"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82600</w:t>
            </w:r>
          </w:p>
        </w:tc>
        <w:tc>
          <w:tcPr>
            <w:tcW w:w="1595" w:type="dxa"/>
            <w:tcBorders>
              <w:left w:val="single" w:sz="6" w:space="0" w:color="auto"/>
              <w:bottom w:val="single" w:sz="6" w:space="0" w:color="auto"/>
              <w:right w:val="single" w:sz="6" w:space="0" w:color="auto"/>
            </w:tcBorders>
            <w:shd w:val="clear" w:color="auto" w:fill="auto"/>
            <w:vAlign w:val="center"/>
          </w:tcPr>
          <w:p w14:paraId="50F1DA45"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41750</w:t>
            </w:r>
          </w:p>
        </w:tc>
        <w:tc>
          <w:tcPr>
            <w:tcW w:w="1595" w:type="dxa"/>
            <w:tcBorders>
              <w:left w:val="single" w:sz="6" w:space="0" w:color="auto"/>
              <w:bottom w:val="single" w:sz="6" w:space="0" w:color="auto"/>
              <w:right w:val="single" w:sz="6" w:space="0" w:color="auto"/>
            </w:tcBorders>
            <w:shd w:val="clear" w:color="auto" w:fill="auto"/>
            <w:vAlign w:val="center"/>
          </w:tcPr>
          <w:p w14:paraId="694F58B7"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82600</w:t>
            </w:r>
          </w:p>
        </w:tc>
      </w:tr>
      <w:tr w:rsidR="00DC5685" w:rsidRPr="00A34F10" w14:paraId="38A504E5" w14:textId="77777777" w:rsidTr="000470C3">
        <w:trPr>
          <w:trHeight w:val="262"/>
        </w:trPr>
        <w:tc>
          <w:tcPr>
            <w:tcW w:w="300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DE3BE6" w14:textId="77777777" w:rsidR="00DC5685" w:rsidRPr="00A34F10" w:rsidRDefault="00DC5685" w:rsidP="00DC5685">
            <w:pPr>
              <w:suppressAutoHyphens/>
              <w:autoSpaceDE w:val="0"/>
              <w:autoSpaceDN w:val="0"/>
              <w:adjustRightInd w:val="0"/>
              <w:rPr>
                <w:bCs/>
                <w:sz w:val="20"/>
                <w:szCs w:val="20"/>
              </w:rPr>
            </w:pPr>
            <w:r w:rsidRPr="00A34F10">
              <w:rPr>
                <w:bCs/>
                <w:sz w:val="20"/>
                <w:szCs w:val="20"/>
              </w:rPr>
              <w:t>RAC (µg/L)</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0EACCE8F"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826</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167CFBEC"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826</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53D95A82"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4175</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54721BE5"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8260</w:t>
            </w:r>
          </w:p>
        </w:tc>
      </w:tr>
      <w:tr w:rsidR="00DC5685" w:rsidRPr="00A34F10" w14:paraId="05B7A3BD" w14:textId="77777777" w:rsidTr="000470C3">
        <w:trPr>
          <w:trHeight w:val="448"/>
        </w:trPr>
        <w:tc>
          <w:tcPr>
            <w:tcW w:w="1342" w:type="dxa"/>
            <w:tcBorders>
              <w:top w:val="single" w:sz="6" w:space="0" w:color="auto"/>
              <w:left w:val="single" w:sz="6" w:space="0" w:color="auto"/>
              <w:bottom w:val="single" w:sz="6" w:space="0" w:color="auto"/>
            </w:tcBorders>
            <w:shd w:val="clear" w:color="auto" w:fill="auto"/>
            <w:vAlign w:val="center"/>
          </w:tcPr>
          <w:p w14:paraId="2DB9A3D4" w14:textId="77777777" w:rsidR="00DC5685" w:rsidRPr="00A34F10" w:rsidRDefault="00DC5685" w:rsidP="00DC5685">
            <w:pPr>
              <w:suppressAutoHyphens/>
              <w:autoSpaceDE w:val="0"/>
              <w:autoSpaceDN w:val="0"/>
              <w:adjustRightInd w:val="0"/>
              <w:rPr>
                <w:bCs/>
                <w:sz w:val="20"/>
                <w:szCs w:val="20"/>
              </w:rPr>
            </w:pPr>
            <w:r w:rsidRPr="00A34F10">
              <w:rPr>
                <w:bCs/>
                <w:sz w:val="20"/>
                <w:szCs w:val="20"/>
              </w:rPr>
              <w:t>FOCUS</w:t>
            </w:r>
          </w:p>
        </w:tc>
        <w:tc>
          <w:tcPr>
            <w:tcW w:w="1665" w:type="dxa"/>
            <w:tcBorders>
              <w:top w:val="single" w:sz="6" w:space="0" w:color="auto"/>
              <w:bottom w:val="single" w:sz="6" w:space="0" w:color="auto"/>
              <w:right w:val="nil"/>
            </w:tcBorders>
            <w:shd w:val="clear" w:color="auto" w:fill="auto"/>
            <w:vAlign w:val="center"/>
          </w:tcPr>
          <w:p w14:paraId="45CEBF4D" w14:textId="77777777" w:rsidR="00DC5685" w:rsidRPr="00A34F10" w:rsidRDefault="00DC5685" w:rsidP="00DC5685">
            <w:pPr>
              <w:suppressAutoHyphens/>
              <w:autoSpaceDE w:val="0"/>
              <w:autoSpaceDN w:val="0"/>
              <w:adjustRightInd w:val="0"/>
              <w:rPr>
                <w:bCs/>
                <w:sz w:val="20"/>
                <w:szCs w:val="20"/>
                <w:vertAlign w:val="superscript"/>
              </w:rPr>
            </w:pPr>
            <w:r w:rsidRPr="00A34F10">
              <w:rPr>
                <w:bCs/>
                <w:sz w:val="20"/>
                <w:szCs w:val="20"/>
              </w:rPr>
              <w:t xml:space="preserve">PEC </w:t>
            </w:r>
            <w:r w:rsidRPr="00A34F10">
              <w:rPr>
                <w:bCs/>
                <w:sz w:val="20"/>
                <w:szCs w:val="20"/>
                <w:vertAlign w:val="subscript"/>
              </w:rPr>
              <w:t>gl-max</w:t>
            </w:r>
            <w:r w:rsidRPr="00A34F10">
              <w:rPr>
                <w:bCs/>
                <w:sz w:val="20"/>
                <w:szCs w:val="20"/>
              </w:rPr>
              <w:t xml:space="preserve"> (µg/L) </w:t>
            </w:r>
            <w:r w:rsidRPr="00A34F10">
              <w:rPr>
                <w:bCs/>
                <w:sz w:val="20"/>
                <w:szCs w:val="20"/>
                <w:vertAlign w:val="superscript"/>
              </w:rPr>
              <w:t>1)</w:t>
            </w:r>
          </w:p>
        </w:tc>
        <w:tc>
          <w:tcPr>
            <w:tcW w:w="637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78DCB29"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PEC/RAC ratio</w:t>
            </w:r>
          </w:p>
        </w:tc>
      </w:tr>
      <w:tr w:rsidR="00DC5685" w:rsidRPr="00A34F10" w14:paraId="4E94EC1E" w14:textId="77777777" w:rsidTr="000470C3">
        <w:trPr>
          <w:trHeight w:val="262"/>
        </w:trPr>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711133D8" w14:textId="77777777" w:rsidR="00DC5685" w:rsidRPr="00A34F10" w:rsidRDefault="00DC5685" w:rsidP="00DC5685">
            <w:pPr>
              <w:suppressAutoHyphens/>
              <w:autoSpaceDE w:val="0"/>
              <w:autoSpaceDN w:val="0"/>
              <w:adjustRightInd w:val="0"/>
              <w:rPr>
                <w:sz w:val="20"/>
                <w:szCs w:val="20"/>
              </w:rPr>
            </w:pPr>
            <w:r w:rsidRPr="00A34F10">
              <w:rPr>
                <w:sz w:val="20"/>
                <w:szCs w:val="20"/>
              </w:rPr>
              <w:t>Step 1</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14:paraId="3BFEC96C" w14:textId="77777777" w:rsidR="00DC5685" w:rsidRPr="00A34F10" w:rsidRDefault="00DC5685" w:rsidP="00DC5685">
            <w:pPr>
              <w:suppressAutoHyphens/>
              <w:autoSpaceDE w:val="0"/>
              <w:autoSpaceDN w:val="0"/>
              <w:adjustRightInd w:val="0"/>
              <w:rPr>
                <w:sz w:val="20"/>
                <w:szCs w:val="20"/>
              </w:rPr>
            </w:pPr>
            <w:r w:rsidRPr="00A34F10">
              <w:rPr>
                <w:sz w:val="20"/>
                <w:szCs w:val="20"/>
              </w:rPr>
              <w:t>156.827</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38821A10"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0.19</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722EABE1"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0.19</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0384CF4D"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0.04</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19117A7E"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0.02</w:t>
            </w:r>
          </w:p>
        </w:tc>
      </w:tr>
      <w:tr w:rsidR="00DC5685" w:rsidRPr="00A34F10" w14:paraId="23E01D08" w14:textId="77777777" w:rsidTr="000470C3">
        <w:trPr>
          <w:trHeight w:val="262"/>
        </w:trPr>
        <w:tc>
          <w:tcPr>
            <w:tcW w:w="3007" w:type="dxa"/>
            <w:gridSpan w:val="2"/>
            <w:tcBorders>
              <w:top w:val="single" w:sz="6" w:space="0" w:color="auto"/>
              <w:left w:val="single" w:sz="6" w:space="0" w:color="auto"/>
              <w:bottom w:val="single" w:sz="6" w:space="0" w:color="auto"/>
            </w:tcBorders>
            <w:shd w:val="clear" w:color="auto" w:fill="D9D9D9" w:themeFill="background1" w:themeFillShade="D9"/>
          </w:tcPr>
          <w:p w14:paraId="42332B84" w14:textId="77777777" w:rsidR="00DC5685" w:rsidRPr="00A34F10" w:rsidRDefault="00DC5685" w:rsidP="00DC5685">
            <w:pPr>
              <w:suppressAutoHyphens/>
              <w:autoSpaceDE w:val="0"/>
              <w:autoSpaceDN w:val="0"/>
              <w:adjustRightInd w:val="0"/>
              <w:jc w:val="center"/>
              <w:rPr>
                <w:sz w:val="20"/>
                <w:szCs w:val="20"/>
              </w:rPr>
            </w:pPr>
          </w:p>
        </w:tc>
        <w:tc>
          <w:tcPr>
            <w:tcW w:w="6379" w:type="dxa"/>
            <w:gridSpan w:val="4"/>
            <w:tcBorders>
              <w:top w:val="single" w:sz="6" w:space="0" w:color="auto"/>
              <w:bottom w:val="single" w:sz="6" w:space="0" w:color="auto"/>
              <w:right w:val="single" w:sz="6" w:space="0" w:color="auto"/>
            </w:tcBorders>
            <w:shd w:val="clear" w:color="auto" w:fill="D9D9D9" w:themeFill="background1" w:themeFillShade="D9"/>
            <w:vAlign w:val="center"/>
          </w:tcPr>
          <w:p w14:paraId="40194104" w14:textId="77777777" w:rsidR="00DC5685" w:rsidRPr="00A34F10" w:rsidRDefault="00DC5685" w:rsidP="00DC5685">
            <w:pPr>
              <w:suppressAutoHyphens/>
              <w:autoSpaceDE w:val="0"/>
              <w:autoSpaceDN w:val="0"/>
              <w:adjustRightInd w:val="0"/>
              <w:jc w:val="center"/>
              <w:rPr>
                <w:sz w:val="20"/>
                <w:szCs w:val="20"/>
              </w:rPr>
            </w:pPr>
            <w:r w:rsidRPr="00A34F10">
              <w:rPr>
                <w:b/>
                <w:bCs/>
                <w:sz w:val="20"/>
                <w:szCs w:val="20"/>
              </w:rPr>
              <w:t>M650F04</w:t>
            </w:r>
          </w:p>
        </w:tc>
      </w:tr>
      <w:tr w:rsidR="00DC5685" w:rsidRPr="00A34F10" w14:paraId="30B029D4" w14:textId="77777777" w:rsidTr="000470C3">
        <w:trPr>
          <w:trHeight w:val="262"/>
        </w:trPr>
        <w:tc>
          <w:tcPr>
            <w:tcW w:w="3007"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7C688EE" w14:textId="77777777" w:rsidR="00DC5685" w:rsidRPr="00A34F10" w:rsidRDefault="00DC5685" w:rsidP="00DC5685">
            <w:pPr>
              <w:suppressAutoHyphens/>
              <w:autoSpaceDE w:val="0"/>
              <w:autoSpaceDN w:val="0"/>
              <w:adjustRightInd w:val="0"/>
              <w:rPr>
                <w:bCs/>
                <w:sz w:val="20"/>
                <w:szCs w:val="20"/>
              </w:rPr>
            </w:pPr>
            <w:r w:rsidRPr="00A34F10">
              <w:rPr>
                <w:bCs/>
                <w:sz w:val="20"/>
                <w:szCs w:val="20"/>
              </w:rPr>
              <w:t>Endpoint (µg/L)</w:t>
            </w:r>
          </w:p>
        </w:tc>
        <w:tc>
          <w:tcPr>
            <w:tcW w:w="1594" w:type="dxa"/>
            <w:tcBorders>
              <w:top w:val="single" w:sz="6" w:space="0" w:color="auto"/>
              <w:left w:val="single" w:sz="6" w:space="0" w:color="auto"/>
              <w:right w:val="single" w:sz="6" w:space="0" w:color="auto"/>
            </w:tcBorders>
            <w:shd w:val="clear" w:color="auto" w:fill="auto"/>
            <w:vAlign w:val="center"/>
          </w:tcPr>
          <w:p w14:paraId="4680082C"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38C66789"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EC</w:t>
            </w:r>
            <w:r w:rsidRPr="00A34F10">
              <w:rPr>
                <w:sz w:val="20"/>
                <w:szCs w:val="20"/>
                <w:vertAlign w:val="subscript"/>
              </w:rPr>
              <w:t>50</w:t>
            </w:r>
          </w:p>
        </w:tc>
        <w:tc>
          <w:tcPr>
            <w:tcW w:w="1595" w:type="dxa"/>
            <w:tcBorders>
              <w:top w:val="single" w:sz="6" w:space="0" w:color="auto"/>
              <w:left w:val="single" w:sz="6" w:space="0" w:color="auto"/>
              <w:right w:val="single" w:sz="6" w:space="0" w:color="auto"/>
            </w:tcBorders>
            <w:shd w:val="clear" w:color="auto" w:fill="auto"/>
            <w:vAlign w:val="center"/>
          </w:tcPr>
          <w:p w14:paraId="2E7ECDA9"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NOEC</w:t>
            </w:r>
          </w:p>
        </w:tc>
        <w:tc>
          <w:tcPr>
            <w:tcW w:w="1595" w:type="dxa"/>
            <w:tcBorders>
              <w:top w:val="single" w:sz="6" w:space="0" w:color="auto"/>
              <w:left w:val="single" w:sz="6" w:space="0" w:color="auto"/>
              <w:right w:val="single" w:sz="6" w:space="0" w:color="auto"/>
            </w:tcBorders>
            <w:shd w:val="clear" w:color="auto" w:fill="auto"/>
            <w:vAlign w:val="center"/>
          </w:tcPr>
          <w:p w14:paraId="51A48C88"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r>
      <w:tr w:rsidR="00DC5685" w:rsidRPr="00A34F10" w14:paraId="75505DCB" w14:textId="77777777" w:rsidTr="000470C3">
        <w:trPr>
          <w:trHeight w:val="262"/>
        </w:trPr>
        <w:tc>
          <w:tcPr>
            <w:tcW w:w="3007" w:type="dxa"/>
            <w:gridSpan w:val="2"/>
            <w:vMerge/>
            <w:tcBorders>
              <w:left w:val="single" w:sz="6" w:space="0" w:color="auto"/>
              <w:bottom w:val="single" w:sz="6" w:space="0" w:color="auto"/>
              <w:right w:val="single" w:sz="6" w:space="0" w:color="auto"/>
            </w:tcBorders>
            <w:shd w:val="clear" w:color="auto" w:fill="auto"/>
            <w:vAlign w:val="center"/>
          </w:tcPr>
          <w:p w14:paraId="71417D7C" w14:textId="77777777" w:rsidR="00DC5685" w:rsidRPr="00A34F10" w:rsidRDefault="00DC5685" w:rsidP="00DC5685">
            <w:pPr>
              <w:suppressAutoHyphens/>
              <w:autoSpaceDE w:val="0"/>
              <w:autoSpaceDN w:val="0"/>
              <w:adjustRightInd w:val="0"/>
              <w:rPr>
                <w:bCs/>
                <w:sz w:val="20"/>
                <w:szCs w:val="20"/>
              </w:rPr>
            </w:pPr>
          </w:p>
        </w:tc>
        <w:tc>
          <w:tcPr>
            <w:tcW w:w="1594" w:type="dxa"/>
            <w:tcBorders>
              <w:left w:val="single" w:sz="6" w:space="0" w:color="auto"/>
              <w:bottom w:val="single" w:sz="6" w:space="0" w:color="auto"/>
              <w:right w:val="single" w:sz="6" w:space="0" w:color="auto"/>
            </w:tcBorders>
            <w:shd w:val="clear" w:color="auto" w:fill="auto"/>
            <w:vAlign w:val="center"/>
          </w:tcPr>
          <w:p w14:paraId="7877E538"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1595" w:type="dxa"/>
            <w:tcBorders>
              <w:left w:val="single" w:sz="6" w:space="0" w:color="auto"/>
              <w:bottom w:val="single" w:sz="6" w:space="0" w:color="auto"/>
              <w:right w:val="single" w:sz="6" w:space="0" w:color="auto"/>
            </w:tcBorders>
            <w:shd w:val="clear" w:color="auto" w:fill="auto"/>
            <w:vAlign w:val="center"/>
          </w:tcPr>
          <w:p w14:paraId="2AA19A31"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1595" w:type="dxa"/>
            <w:tcBorders>
              <w:left w:val="single" w:sz="6" w:space="0" w:color="auto"/>
              <w:bottom w:val="single" w:sz="6" w:space="0" w:color="auto"/>
              <w:right w:val="single" w:sz="6" w:space="0" w:color="auto"/>
            </w:tcBorders>
            <w:shd w:val="clear" w:color="auto" w:fill="auto"/>
            <w:vAlign w:val="center"/>
          </w:tcPr>
          <w:p w14:paraId="14A52597"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w:t>
            </w:r>
          </w:p>
        </w:tc>
        <w:tc>
          <w:tcPr>
            <w:tcW w:w="1595" w:type="dxa"/>
            <w:tcBorders>
              <w:left w:val="single" w:sz="6" w:space="0" w:color="auto"/>
              <w:bottom w:val="single" w:sz="6" w:space="0" w:color="auto"/>
              <w:right w:val="single" w:sz="6" w:space="0" w:color="auto"/>
            </w:tcBorders>
            <w:shd w:val="clear" w:color="auto" w:fill="auto"/>
            <w:vAlign w:val="center"/>
          </w:tcPr>
          <w:p w14:paraId="1E9FD8E4"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r>
      <w:tr w:rsidR="00DC5685" w:rsidRPr="00A34F10" w14:paraId="06B073FF" w14:textId="77777777" w:rsidTr="000470C3">
        <w:trPr>
          <w:trHeight w:val="262"/>
        </w:trPr>
        <w:tc>
          <w:tcPr>
            <w:tcW w:w="300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2B3314" w14:textId="77777777" w:rsidR="00DC5685" w:rsidRPr="00A34F10" w:rsidRDefault="00DC5685" w:rsidP="00DC5685">
            <w:pPr>
              <w:suppressAutoHyphens/>
              <w:autoSpaceDE w:val="0"/>
              <w:autoSpaceDN w:val="0"/>
              <w:adjustRightInd w:val="0"/>
              <w:rPr>
                <w:bCs/>
                <w:sz w:val="20"/>
                <w:szCs w:val="20"/>
              </w:rPr>
            </w:pPr>
            <w:r w:rsidRPr="00A34F10">
              <w:rPr>
                <w:bCs/>
                <w:sz w:val="20"/>
                <w:szCs w:val="20"/>
              </w:rPr>
              <w:t>RAC (µg/L)</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3F534355"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1000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784AEF23"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1000</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6DC51B0E"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3DABE657"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&gt; 10000</w:t>
            </w:r>
          </w:p>
        </w:tc>
      </w:tr>
      <w:tr w:rsidR="00DC5685" w:rsidRPr="00A34F10" w14:paraId="0CA26551" w14:textId="77777777" w:rsidTr="000470C3">
        <w:trPr>
          <w:trHeight w:val="460"/>
        </w:trPr>
        <w:tc>
          <w:tcPr>
            <w:tcW w:w="1342" w:type="dxa"/>
            <w:tcBorders>
              <w:top w:val="single" w:sz="6" w:space="0" w:color="auto"/>
              <w:left w:val="single" w:sz="6" w:space="0" w:color="auto"/>
              <w:bottom w:val="single" w:sz="6" w:space="0" w:color="auto"/>
            </w:tcBorders>
            <w:shd w:val="clear" w:color="auto" w:fill="auto"/>
            <w:vAlign w:val="center"/>
          </w:tcPr>
          <w:p w14:paraId="3A5EAFB1" w14:textId="77777777" w:rsidR="00DC5685" w:rsidRPr="00A34F10" w:rsidRDefault="00DC5685" w:rsidP="00DC5685">
            <w:pPr>
              <w:suppressAutoHyphens/>
              <w:autoSpaceDE w:val="0"/>
              <w:autoSpaceDN w:val="0"/>
              <w:adjustRightInd w:val="0"/>
              <w:rPr>
                <w:bCs/>
                <w:sz w:val="20"/>
                <w:szCs w:val="20"/>
              </w:rPr>
            </w:pPr>
            <w:r w:rsidRPr="00A34F10">
              <w:rPr>
                <w:bCs/>
                <w:sz w:val="20"/>
                <w:szCs w:val="20"/>
              </w:rPr>
              <w:t>FOCUS</w:t>
            </w:r>
          </w:p>
        </w:tc>
        <w:tc>
          <w:tcPr>
            <w:tcW w:w="1665" w:type="dxa"/>
            <w:tcBorders>
              <w:top w:val="single" w:sz="6" w:space="0" w:color="auto"/>
              <w:bottom w:val="single" w:sz="6" w:space="0" w:color="auto"/>
              <w:right w:val="nil"/>
            </w:tcBorders>
            <w:shd w:val="clear" w:color="auto" w:fill="auto"/>
            <w:vAlign w:val="center"/>
          </w:tcPr>
          <w:p w14:paraId="5D86D9AA" w14:textId="77777777" w:rsidR="00DC5685" w:rsidRPr="00A34F10" w:rsidRDefault="00DC5685" w:rsidP="00DC5685">
            <w:pPr>
              <w:suppressAutoHyphens/>
              <w:autoSpaceDE w:val="0"/>
              <w:autoSpaceDN w:val="0"/>
              <w:adjustRightInd w:val="0"/>
              <w:rPr>
                <w:bCs/>
                <w:sz w:val="20"/>
                <w:szCs w:val="20"/>
              </w:rPr>
            </w:pPr>
            <w:r w:rsidRPr="00A34F10">
              <w:rPr>
                <w:bCs/>
                <w:sz w:val="20"/>
                <w:szCs w:val="20"/>
              </w:rPr>
              <w:t xml:space="preserve">PEC </w:t>
            </w:r>
            <w:r w:rsidRPr="00A34F10">
              <w:rPr>
                <w:bCs/>
                <w:sz w:val="20"/>
                <w:szCs w:val="20"/>
                <w:vertAlign w:val="subscript"/>
              </w:rPr>
              <w:t>gl-max</w:t>
            </w:r>
            <w:r w:rsidRPr="00A34F10">
              <w:rPr>
                <w:bCs/>
                <w:sz w:val="20"/>
                <w:szCs w:val="20"/>
              </w:rPr>
              <w:t xml:space="preserve"> (µg/L) </w:t>
            </w:r>
            <w:r w:rsidRPr="00A34F10">
              <w:rPr>
                <w:bCs/>
                <w:sz w:val="20"/>
                <w:szCs w:val="20"/>
                <w:vertAlign w:val="superscript"/>
              </w:rPr>
              <w:t>1)</w:t>
            </w:r>
          </w:p>
        </w:tc>
        <w:tc>
          <w:tcPr>
            <w:tcW w:w="6379"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195929B9" w14:textId="77777777" w:rsidR="00DC5685" w:rsidRPr="00A34F10" w:rsidRDefault="00DC5685" w:rsidP="00DC5685">
            <w:pPr>
              <w:suppressAutoHyphens/>
              <w:autoSpaceDE w:val="0"/>
              <w:autoSpaceDN w:val="0"/>
              <w:adjustRightInd w:val="0"/>
              <w:jc w:val="center"/>
              <w:rPr>
                <w:bCs/>
                <w:sz w:val="20"/>
                <w:szCs w:val="20"/>
              </w:rPr>
            </w:pPr>
            <w:r w:rsidRPr="00A34F10">
              <w:rPr>
                <w:bCs/>
                <w:sz w:val="20"/>
                <w:szCs w:val="20"/>
              </w:rPr>
              <w:t>PEC/RAC ratio</w:t>
            </w:r>
          </w:p>
        </w:tc>
      </w:tr>
      <w:tr w:rsidR="00DC5685" w:rsidRPr="00A34F10" w14:paraId="2B00DB9E" w14:textId="77777777" w:rsidTr="000470C3">
        <w:trPr>
          <w:trHeight w:val="262"/>
        </w:trPr>
        <w:tc>
          <w:tcPr>
            <w:tcW w:w="1342" w:type="dxa"/>
            <w:tcBorders>
              <w:top w:val="single" w:sz="6" w:space="0" w:color="auto"/>
              <w:left w:val="single" w:sz="6" w:space="0" w:color="auto"/>
              <w:bottom w:val="single" w:sz="6" w:space="0" w:color="auto"/>
              <w:right w:val="single" w:sz="6" w:space="0" w:color="auto"/>
            </w:tcBorders>
            <w:shd w:val="clear" w:color="auto" w:fill="auto"/>
            <w:vAlign w:val="center"/>
          </w:tcPr>
          <w:p w14:paraId="4D15965D" w14:textId="77777777" w:rsidR="00DC5685" w:rsidRPr="00A34F10" w:rsidRDefault="00DC5685" w:rsidP="00DC5685">
            <w:pPr>
              <w:suppressAutoHyphens/>
              <w:autoSpaceDE w:val="0"/>
              <w:autoSpaceDN w:val="0"/>
              <w:adjustRightInd w:val="0"/>
              <w:rPr>
                <w:sz w:val="20"/>
                <w:szCs w:val="20"/>
              </w:rPr>
            </w:pPr>
            <w:r w:rsidRPr="00A34F10">
              <w:rPr>
                <w:sz w:val="20"/>
                <w:szCs w:val="20"/>
              </w:rPr>
              <w:t>Step 1</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tcPr>
          <w:p w14:paraId="503641A1" w14:textId="77777777" w:rsidR="00DC5685" w:rsidRPr="00A34F10" w:rsidRDefault="00DC5685" w:rsidP="00DC5685">
            <w:pPr>
              <w:suppressAutoHyphens/>
              <w:autoSpaceDE w:val="0"/>
              <w:autoSpaceDN w:val="0"/>
              <w:adjustRightInd w:val="0"/>
              <w:rPr>
                <w:sz w:val="20"/>
                <w:szCs w:val="20"/>
              </w:rPr>
            </w:pPr>
            <w:r w:rsidRPr="00A34F10">
              <w:rPr>
                <w:sz w:val="20"/>
                <w:szCs w:val="20"/>
              </w:rPr>
              <w:t>87.86</w:t>
            </w:r>
          </w:p>
        </w:tc>
        <w:tc>
          <w:tcPr>
            <w:tcW w:w="1594" w:type="dxa"/>
            <w:tcBorders>
              <w:top w:val="single" w:sz="6" w:space="0" w:color="auto"/>
              <w:left w:val="single" w:sz="6" w:space="0" w:color="auto"/>
              <w:bottom w:val="single" w:sz="6" w:space="0" w:color="auto"/>
              <w:right w:val="single" w:sz="6" w:space="0" w:color="auto"/>
            </w:tcBorders>
            <w:shd w:val="clear" w:color="auto" w:fill="auto"/>
            <w:vAlign w:val="center"/>
          </w:tcPr>
          <w:p w14:paraId="4C80A124"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0.09</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7DB2D23E"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0.09</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50389181" w14:textId="77777777" w:rsidR="00DC5685" w:rsidRPr="00A34F10" w:rsidRDefault="00DC5685" w:rsidP="00DC5685">
            <w:pPr>
              <w:suppressAutoHyphens/>
              <w:autoSpaceDE w:val="0"/>
              <w:autoSpaceDN w:val="0"/>
              <w:adjustRightInd w:val="0"/>
              <w:jc w:val="center"/>
              <w:rPr>
                <w:bCs/>
                <w:sz w:val="20"/>
                <w:szCs w:val="20"/>
              </w:rPr>
            </w:pPr>
            <w:r w:rsidRPr="00A34F10">
              <w:rPr>
                <w:sz w:val="20"/>
                <w:szCs w:val="20"/>
              </w:rPr>
              <w:t>-</w:t>
            </w:r>
          </w:p>
        </w:tc>
        <w:tc>
          <w:tcPr>
            <w:tcW w:w="1595" w:type="dxa"/>
            <w:tcBorders>
              <w:top w:val="single" w:sz="6" w:space="0" w:color="auto"/>
              <w:left w:val="single" w:sz="6" w:space="0" w:color="auto"/>
              <w:bottom w:val="single" w:sz="6" w:space="0" w:color="auto"/>
              <w:right w:val="single" w:sz="6" w:space="0" w:color="auto"/>
            </w:tcBorders>
            <w:shd w:val="clear" w:color="auto" w:fill="auto"/>
            <w:vAlign w:val="center"/>
          </w:tcPr>
          <w:p w14:paraId="2532DACE"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&lt; 0.01</w:t>
            </w:r>
          </w:p>
        </w:tc>
      </w:tr>
    </w:tbl>
    <w:p w14:paraId="5AF5FA83" w14:textId="77777777" w:rsidR="00DC5685" w:rsidRPr="00A34F10" w:rsidRDefault="00DC5685" w:rsidP="00DC5685">
      <w:pPr>
        <w:widowControl w:val="0"/>
        <w:tabs>
          <w:tab w:val="left" w:pos="425"/>
        </w:tabs>
        <w:suppressAutoHyphens/>
        <w:ind w:left="284" w:hanging="284"/>
        <w:jc w:val="both"/>
        <w:rPr>
          <w:sz w:val="18"/>
          <w:szCs w:val="18"/>
        </w:rPr>
      </w:pPr>
      <w:r w:rsidRPr="00A34F10">
        <w:rPr>
          <w:sz w:val="18"/>
          <w:szCs w:val="18"/>
        </w:rPr>
        <w:t>AF: Assessment factor; PEC: Predicted environmental concentration; RAC: Regulatory acceptable concentration</w:t>
      </w:r>
    </w:p>
    <w:p w14:paraId="299863AF" w14:textId="77777777" w:rsidR="00DC5685" w:rsidRPr="00A34F10" w:rsidRDefault="00DC5685" w:rsidP="00DC5685">
      <w:pPr>
        <w:widowControl w:val="0"/>
        <w:tabs>
          <w:tab w:val="left" w:pos="284"/>
          <w:tab w:val="left" w:pos="567"/>
        </w:tabs>
        <w:suppressAutoHyphens/>
        <w:ind w:left="284" w:hanging="284"/>
        <w:jc w:val="both"/>
      </w:pPr>
      <w:r w:rsidRPr="00A34F10">
        <w:rPr>
          <w:sz w:val="18"/>
          <w:vertAlign w:val="superscript"/>
        </w:rPr>
        <w:t>1)</w:t>
      </w:r>
      <w:r w:rsidRPr="00A34F10">
        <w:rPr>
          <w:sz w:val="18"/>
        </w:rPr>
        <w:tab/>
        <w:t>Worst-case</w:t>
      </w:r>
      <w:r w:rsidRPr="00A34F10">
        <w:rPr>
          <w:bCs/>
          <w:sz w:val="18"/>
        </w:rPr>
        <w:t xml:space="preserve"> PEC value resulting from calculations for two-fold application.</w:t>
      </w:r>
    </w:p>
    <w:p w14:paraId="56350039" w14:textId="323648A3" w:rsidR="00DC5685" w:rsidRPr="00A34F10" w:rsidRDefault="00DC5685" w:rsidP="00DC5685">
      <w:pPr>
        <w:widowControl w:val="0"/>
        <w:suppressAutoHyphens/>
        <w:jc w:val="both"/>
      </w:pPr>
    </w:p>
    <w:p w14:paraId="678D6550" w14:textId="77777777" w:rsidR="00E23E00" w:rsidRPr="00A34F10" w:rsidRDefault="00E23E00" w:rsidP="00DC5685">
      <w:pPr>
        <w:widowControl w:val="0"/>
        <w:suppressAutoHyphens/>
        <w:jc w:val="both"/>
      </w:pPr>
    </w:p>
    <w:p w14:paraId="4A5667C5" w14:textId="2BB66561" w:rsidR="00DC5685" w:rsidRPr="00A34F10" w:rsidRDefault="00DC5685" w:rsidP="00DC5685">
      <w:pPr>
        <w:widowControl w:val="0"/>
        <w:suppressAutoHyphens/>
        <w:jc w:val="both"/>
      </w:pPr>
      <w:r w:rsidRPr="00A34F10">
        <w:t xml:space="preserve">For the intended uses in </w:t>
      </w:r>
      <w:bookmarkStart w:id="517" w:name="_Hlk133196043"/>
      <w:r w:rsidRPr="00A34F10">
        <w:t>potatoes, fruiting vegetables and onions</w:t>
      </w:r>
      <w:bookmarkEnd w:id="517"/>
      <w:r w:rsidRPr="00A34F10">
        <w:t>, calculated PEC/RAC ratios for the relevant metabolites of Ametoctradin indicate an acceptable risk for all groups of aquatic organisms based on FOCUS Step 1 PEC</w:t>
      </w:r>
      <w:r w:rsidRPr="00A34F10">
        <w:rPr>
          <w:vertAlign w:val="subscript"/>
        </w:rPr>
        <w:t>SW</w:t>
      </w:r>
      <w:r w:rsidRPr="00A34F10">
        <w:t xml:space="preserve"> calculations. Therefore, no further assessment is necessary for the relevant metabolites of Ametoctradin.</w:t>
      </w:r>
    </w:p>
    <w:p w14:paraId="6FD7BAF8" w14:textId="77777777" w:rsidR="00DC5685" w:rsidRPr="00A34F10" w:rsidRDefault="00DC5685" w:rsidP="00DC5685">
      <w:pPr>
        <w:widowControl w:val="0"/>
        <w:suppressAutoHyphens/>
        <w:jc w:val="both"/>
      </w:pPr>
      <w:r w:rsidRPr="00A34F10">
        <w:br w:type="page"/>
      </w:r>
    </w:p>
    <w:p w14:paraId="422CA418" w14:textId="77777777" w:rsidR="00DC5685" w:rsidRPr="00A34F10" w:rsidRDefault="00DC5685" w:rsidP="00DC5685">
      <w:pPr>
        <w:widowControl w:val="0"/>
        <w:suppressAutoHyphens/>
        <w:jc w:val="both"/>
        <w:rPr>
          <w:b/>
          <w:bCs/>
          <w:u w:val="single"/>
        </w:rPr>
      </w:pPr>
      <w:r w:rsidRPr="00A34F10">
        <w:rPr>
          <w:b/>
          <w:bCs/>
          <w:u w:val="single"/>
        </w:rPr>
        <w:lastRenderedPageBreak/>
        <w:t>Formulated product BAS 743 03 F</w:t>
      </w:r>
    </w:p>
    <w:p w14:paraId="45A00B0E" w14:textId="77777777" w:rsidR="00DC5685" w:rsidRPr="00A34F10" w:rsidRDefault="00DC5685" w:rsidP="00DC5685">
      <w:pPr>
        <w:widowControl w:val="0"/>
        <w:suppressAutoHyphens/>
        <w:jc w:val="both"/>
        <w:rPr>
          <w:u w:val="single"/>
        </w:rPr>
      </w:pPr>
    </w:p>
    <w:p w14:paraId="27D4E5DD" w14:textId="0BADED39" w:rsidR="00DC5685" w:rsidRPr="00A34F10" w:rsidRDefault="00DC5685" w:rsidP="00DC5685">
      <w:pPr>
        <w:keepNext/>
        <w:keepLines/>
        <w:widowControl w:val="0"/>
        <w:tabs>
          <w:tab w:val="left" w:pos="1985"/>
        </w:tabs>
        <w:suppressAutoHyphens/>
        <w:spacing w:before="200" w:after="120"/>
        <w:ind w:left="1985" w:hanging="1985"/>
        <w:rPr>
          <w:b/>
          <w:bCs/>
        </w:rPr>
      </w:pPr>
      <w:r w:rsidRPr="00A34F10">
        <w:rPr>
          <w:b/>
          <w:bCs/>
        </w:rPr>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9.5</w:t>
      </w:r>
      <w:r w:rsidRPr="00A34F10">
        <w:rPr>
          <w:b/>
          <w:bCs/>
          <w:noProof/>
        </w:rPr>
        <w:fldChar w:fldCharType="end"/>
      </w:r>
      <w:r w:rsidRPr="00A34F10">
        <w:rPr>
          <w:b/>
          <w:bCs/>
        </w:rPr>
        <w:noBreakHyphen/>
        <w:t>1</w:t>
      </w:r>
      <w:r w:rsidR="00A326E1">
        <w:rPr>
          <w:b/>
          <w:bCs/>
        </w:rPr>
        <w:t>0</w:t>
      </w:r>
      <w:r w:rsidRPr="00A34F10">
        <w:rPr>
          <w:b/>
          <w:bCs/>
        </w:rPr>
        <w:t>:</w:t>
      </w:r>
      <w:r w:rsidRPr="00A34F10">
        <w:rPr>
          <w:b/>
          <w:bCs/>
        </w:rPr>
        <w:tab/>
        <w:t>Aquatic organisms: Maximum RQ</w:t>
      </w:r>
      <w:r w:rsidRPr="00A34F10">
        <w:rPr>
          <w:b/>
          <w:bCs/>
          <w:vertAlign w:val="subscript"/>
        </w:rPr>
        <w:t>mix</w:t>
      </w:r>
      <w:r w:rsidRPr="00A34F10">
        <w:rPr>
          <w:b/>
          <w:bCs/>
        </w:rPr>
        <w:t xml:space="preserve"> for fish, aquatic invertebrates and algae based on the risk assessment of individual active substances </w:t>
      </w:r>
    </w:p>
    <w:tbl>
      <w:tblPr>
        <w:tblStyle w:val="Tabela-Siatka"/>
        <w:tblW w:w="5000" w:type="pct"/>
        <w:tblLook w:val="04A0" w:firstRow="1" w:lastRow="0" w:firstColumn="1" w:lastColumn="0" w:noHBand="0" w:noVBand="1"/>
      </w:tblPr>
      <w:tblGrid>
        <w:gridCol w:w="1895"/>
        <w:gridCol w:w="2845"/>
        <w:gridCol w:w="2772"/>
        <w:gridCol w:w="1833"/>
      </w:tblGrid>
      <w:tr w:rsidR="00DC5685" w:rsidRPr="00A34F10" w14:paraId="32EFE57B" w14:textId="77777777" w:rsidTr="000470C3">
        <w:tc>
          <w:tcPr>
            <w:tcW w:w="1014" w:type="pct"/>
          </w:tcPr>
          <w:p w14:paraId="2D831798" w14:textId="77777777" w:rsidR="00DC5685" w:rsidRPr="00A34F10" w:rsidRDefault="00DC5685" w:rsidP="00DC5685">
            <w:pPr>
              <w:widowControl w:val="0"/>
              <w:suppressAutoHyphens/>
              <w:jc w:val="both"/>
              <w:rPr>
                <w:b/>
                <w:bCs/>
                <w:sz w:val="20"/>
                <w:szCs w:val="20"/>
              </w:rPr>
            </w:pPr>
            <w:r w:rsidRPr="00A34F10">
              <w:rPr>
                <w:b/>
                <w:bCs/>
                <w:sz w:val="20"/>
                <w:szCs w:val="20"/>
              </w:rPr>
              <w:t>Focus scenario</w:t>
            </w:r>
          </w:p>
        </w:tc>
        <w:tc>
          <w:tcPr>
            <w:tcW w:w="1522" w:type="pct"/>
          </w:tcPr>
          <w:p w14:paraId="192CE090" w14:textId="77777777" w:rsidR="00DC5685" w:rsidRPr="00A34F10" w:rsidRDefault="00DC5685" w:rsidP="00DC5685">
            <w:pPr>
              <w:widowControl w:val="0"/>
              <w:suppressAutoHyphens/>
              <w:jc w:val="both"/>
              <w:rPr>
                <w:b/>
                <w:bCs/>
                <w:sz w:val="20"/>
                <w:szCs w:val="20"/>
              </w:rPr>
            </w:pPr>
            <w:r w:rsidRPr="00A34F10">
              <w:rPr>
                <w:b/>
                <w:bCs/>
                <w:sz w:val="20"/>
                <w:szCs w:val="20"/>
              </w:rPr>
              <w:t>RQ Ametoctradin</w:t>
            </w:r>
          </w:p>
        </w:tc>
        <w:tc>
          <w:tcPr>
            <w:tcW w:w="1483" w:type="pct"/>
          </w:tcPr>
          <w:p w14:paraId="69AFAC95" w14:textId="77777777" w:rsidR="00DC5685" w:rsidRPr="00A34F10" w:rsidRDefault="00DC5685" w:rsidP="00DC5685">
            <w:pPr>
              <w:widowControl w:val="0"/>
              <w:suppressAutoHyphens/>
              <w:jc w:val="both"/>
              <w:rPr>
                <w:b/>
                <w:bCs/>
                <w:sz w:val="20"/>
                <w:szCs w:val="20"/>
              </w:rPr>
            </w:pPr>
            <w:r w:rsidRPr="00A34F10">
              <w:rPr>
                <w:b/>
                <w:bCs/>
                <w:sz w:val="20"/>
                <w:szCs w:val="20"/>
              </w:rPr>
              <w:t>RQ Propamocarb</w:t>
            </w:r>
          </w:p>
        </w:tc>
        <w:tc>
          <w:tcPr>
            <w:tcW w:w="981" w:type="pct"/>
          </w:tcPr>
          <w:p w14:paraId="137CB9C8" w14:textId="77777777" w:rsidR="00DC5685" w:rsidRPr="00A34F10" w:rsidRDefault="00DC5685" w:rsidP="00DC5685">
            <w:pPr>
              <w:widowControl w:val="0"/>
              <w:suppressAutoHyphens/>
              <w:jc w:val="both"/>
              <w:rPr>
                <w:b/>
                <w:bCs/>
                <w:sz w:val="20"/>
                <w:szCs w:val="20"/>
              </w:rPr>
            </w:pPr>
            <w:r w:rsidRPr="00A34F10">
              <w:rPr>
                <w:b/>
                <w:bCs/>
                <w:sz w:val="20"/>
                <w:szCs w:val="20"/>
              </w:rPr>
              <w:t>RQ</w:t>
            </w:r>
            <w:r w:rsidRPr="00A34F10">
              <w:rPr>
                <w:b/>
                <w:bCs/>
                <w:sz w:val="20"/>
                <w:szCs w:val="20"/>
                <w:vertAlign w:val="subscript"/>
              </w:rPr>
              <w:t>mix</w:t>
            </w:r>
          </w:p>
        </w:tc>
      </w:tr>
      <w:tr w:rsidR="00DC5685" w:rsidRPr="00A34F10" w14:paraId="0BB4683B" w14:textId="77777777" w:rsidTr="000470C3">
        <w:tc>
          <w:tcPr>
            <w:tcW w:w="5000" w:type="pct"/>
            <w:gridSpan w:val="4"/>
          </w:tcPr>
          <w:p w14:paraId="38435F86" w14:textId="77777777" w:rsidR="00DC5685" w:rsidRPr="00A34F10" w:rsidRDefault="00DC5685" w:rsidP="00DC5685">
            <w:pPr>
              <w:widowControl w:val="0"/>
              <w:suppressAutoHyphens/>
              <w:rPr>
                <w:b/>
                <w:bCs/>
                <w:sz w:val="20"/>
                <w:szCs w:val="20"/>
              </w:rPr>
            </w:pPr>
            <w:r w:rsidRPr="00A34F10">
              <w:rPr>
                <w:b/>
                <w:bCs/>
                <w:sz w:val="20"/>
                <w:szCs w:val="20"/>
              </w:rPr>
              <w:t>Acute fish</w:t>
            </w:r>
          </w:p>
        </w:tc>
      </w:tr>
      <w:tr w:rsidR="00DC5685" w:rsidRPr="00A34F10" w14:paraId="12A450BD" w14:textId="77777777" w:rsidTr="000470C3">
        <w:tc>
          <w:tcPr>
            <w:tcW w:w="1014" w:type="pct"/>
          </w:tcPr>
          <w:p w14:paraId="230F5D07" w14:textId="77777777" w:rsidR="00DC5685" w:rsidRPr="00A34F10" w:rsidRDefault="00DC5685" w:rsidP="00DC5685">
            <w:pPr>
              <w:widowControl w:val="0"/>
              <w:suppressAutoHyphens/>
              <w:jc w:val="both"/>
              <w:rPr>
                <w:b/>
                <w:bCs/>
                <w:sz w:val="20"/>
                <w:szCs w:val="20"/>
              </w:rPr>
            </w:pPr>
            <w:r w:rsidRPr="00A34F10">
              <w:rPr>
                <w:b/>
                <w:bCs/>
                <w:sz w:val="20"/>
                <w:szCs w:val="20"/>
              </w:rPr>
              <w:t>FOCUS Step 1</w:t>
            </w:r>
          </w:p>
        </w:tc>
        <w:tc>
          <w:tcPr>
            <w:tcW w:w="1522" w:type="pct"/>
            <w:vAlign w:val="center"/>
          </w:tcPr>
          <w:p w14:paraId="1F7094DC" w14:textId="77777777" w:rsidR="00DC5685" w:rsidRPr="00A34F10" w:rsidRDefault="00DC5685" w:rsidP="00DC5685">
            <w:pPr>
              <w:widowControl w:val="0"/>
              <w:suppressAutoHyphens/>
              <w:jc w:val="both"/>
              <w:rPr>
                <w:sz w:val="20"/>
                <w:szCs w:val="20"/>
              </w:rPr>
            </w:pPr>
            <w:r w:rsidRPr="00A34F10">
              <w:rPr>
                <w:color w:val="000000"/>
                <w:sz w:val="20"/>
                <w:szCs w:val="20"/>
              </w:rPr>
              <w:t>0.09</w:t>
            </w:r>
          </w:p>
        </w:tc>
        <w:tc>
          <w:tcPr>
            <w:tcW w:w="1483" w:type="pct"/>
            <w:vAlign w:val="center"/>
          </w:tcPr>
          <w:p w14:paraId="3D0B820E" w14:textId="77777777" w:rsidR="00DC5685" w:rsidRPr="00A34F10" w:rsidRDefault="00DC5685" w:rsidP="00DC5685">
            <w:pPr>
              <w:widowControl w:val="0"/>
              <w:suppressAutoHyphens/>
              <w:jc w:val="both"/>
              <w:rPr>
                <w:sz w:val="20"/>
                <w:szCs w:val="20"/>
              </w:rPr>
            </w:pPr>
            <w:r w:rsidRPr="00A34F10">
              <w:rPr>
                <w:color w:val="000000"/>
                <w:sz w:val="20"/>
                <w:szCs w:val="20"/>
              </w:rPr>
              <w:t>0.50</w:t>
            </w:r>
          </w:p>
        </w:tc>
        <w:tc>
          <w:tcPr>
            <w:tcW w:w="981" w:type="pct"/>
            <w:vAlign w:val="center"/>
          </w:tcPr>
          <w:p w14:paraId="7D892D85" w14:textId="77777777" w:rsidR="00DC5685" w:rsidRPr="00A34F10" w:rsidRDefault="00DC5685" w:rsidP="00DC5685">
            <w:pPr>
              <w:widowControl w:val="0"/>
              <w:suppressAutoHyphens/>
              <w:jc w:val="both"/>
              <w:rPr>
                <w:sz w:val="20"/>
                <w:szCs w:val="20"/>
              </w:rPr>
            </w:pPr>
            <w:r w:rsidRPr="00A34F10">
              <w:rPr>
                <w:color w:val="000000"/>
                <w:sz w:val="20"/>
                <w:szCs w:val="20"/>
              </w:rPr>
              <w:t>0.59</w:t>
            </w:r>
          </w:p>
        </w:tc>
      </w:tr>
      <w:tr w:rsidR="00DC5685" w:rsidRPr="00A34F10" w14:paraId="7BC1AB5C" w14:textId="77777777" w:rsidTr="000470C3">
        <w:tc>
          <w:tcPr>
            <w:tcW w:w="1014" w:type="pct"/>
          </w:tcPr>
          <w:p w14:paraId="44BA1B3B" w14:textId="77777777" w:rsidR="00DC5685" w:rsidRPr="00A34F10" w:rsidRDefault="00DC5685" w:rsidP="00DC5685">
            <w:pPr>
              <w:widowControl w:val="0"/>
              <w:suppressAutoHyphens/>
              <w:jc w:val="both"/>
              <w:rPr>
                <w:b/>
                <w:bCs/>
                <w:sz w:val="20"/>
                <w:szCs w:val="20"/>
              </w:rPr>
            </w:pPr>
            <w:r w:rsidRPr="00A34F10">
              <w:rPr>
                <w:b/>
                <w:bCs/>
                <w:sz w:val="20"/>
                <w:szCs w:val="20"/>
              </w:rPr>
              <w:t>FOCUS Step 2</w:t>
            </w:r>
          </w:p>
        </w:tc>
        <w:tc>
          <w:tcPr>
            <w:tcW w:w="1522" w:type="pct"/>
            <w:vAlign w:val="center"/>
          </w:tcPr>
          <w:p w14:paraId="32B38598" w14:textId="77777777" w:rsidR="00DC5685" w:rsidRPr="00A34F10" w:rsidRDefault="00DC5685" w:rsidP="00DC5685">
            <w:pPr>
              <w:widowControl w:val="0"/>
              <w:suppressAutoHyphens/>
              <w:jc w:val="both"/>
              <w:rPr>
                <w:sz w:val="20"/>
                <w:szCs w:val="20"/>
              </w:rPr>
            </w:pPr>
            <w:r w:rsidRPr="00A34F10">
              <w:rPr>
                <w:color w:val="000000"/>
                <w:sz w:val="20"/>
                <w:szCs w:val="20"/>
              </w:rPr>
              <w:t>0.01</w:t>
            </w:r>
          </w:p>
        </w:tc>
        <w:tc>
          <w:tcPr>
            <w:tcW w:w="1483" w:type="pct"/>
            <w:vAlign w:val="center"/>
          </w:tcPr>
          <w:p w14:paraId="2C18E5EC" w14:textId="77777777" w:rsidR="00DC5685" w:rsidRPr="00A34F10" w:rsidRDefault="00DC5685" w:rsidP="00DC5685">
            <w:pPr>
              <w:widowControl w:val="0"/>
              <w:suppressAutoHyphens/>
              <w:jc w:val="both"/>
              <w:rPr>
                <w:sz w:val="20"/>
                <w:szCs w:val="20"/>
              </w:rPr>
            </w:pPr>
            <w:r w:rsidRPr="00A34F10">
              <w:rPr>
                <w:color w:val="000000"/>
                <w:sz w:val="20"/>
                <w:szCs w:val="20"/>
              </w:rPr>
              <w:t>0.10</w:t>
            </w:r>
          </w:p>
        </w:tc>
        <w:tc>
          <w:tcPr>
            <w:tcW w:w="981" w:type="pct"/>
            <w:vAlign w:val="center"/>
          </w:tcPr>
          <w:p w14:paraId="52395012" w14:textId="77777777" w:rsidR="00DC5685" w:rsidRPr="00A34F10" w:rsidRDefault="00DC5685" w:rsidP="00DC5685">
            <w:pPr>
              <w:widowControl w:val="0"/>
              <w:suppressAutoHyphens/>
              <w:jc w:val="both"/>
              <w:rPr>
                <w:sz w:val="20"/>
                <w:szCs w:val="20"/>
              </w:rPr>
            </w:pPr>
            <w:r w:rsidRPr="00A34F10">
              <w:rPr>
                <w:color w:val="000000"/>
                <w:sz w:val="20"/>
                <w:szCs w:val="20"/>
              </w:rPr>
              <w:t>0.11</w:t>
            </w:r>
          </w:p>
        </w:tc>
      </w:tr>
      <w:tr w:rsidR="00DC5685" w:rsidRPr="00A34F10" w14:paraId="29ADAC51" w14:textId="77777777" w:rsidTr="000470C3">
        <w:tc>
          <w:tcPr>
            <w:tcW w:w="5000" w:type="pct"/>
            <w:gridSpan w:val="4"/>
          </w:tcPr>
          <w:p w14:paraId="4FD7ED0B" w14:textId="77777777" w:rsidR="00DC5685" w:rsidRPr="00A34F10" w:rsidRDefault="00DC5685" w:rsidP="00DC5685">
            <w:pPr>
              <w:widowControl w:val="0"/>
              <w:suppressAutoHyphens/>
              <w:rPr>
                <w:b/>
                <w:bCs/>
                <w:sz w:val="20"/>
                <w:szCs w:val="20"/>
              </w:rPr>
            </w:pPr>
            <w:r w:rsidRPr="00A34F10">
              <w:rPr>
                <w:b/>
                <w:bCs/>
                <w:sz w:val="20"/>
                <w:szCs w:val="20"/>
              </w:rPr>
              <w:t>Acute aquatic invertebrates</w:t>
            </w:r>
          </w:p>
        </w:tc>
      </w:tr>
      <w:tr w:rsidR="00DC5685" w:rsidRPr="00A34F10" w14:paraId="2E9F8ECC" w14:textId="77777777" w:rsidTr="000470C3">
        <w:tc>
          <w:tcPr>
            <w:tcW w:w="1014" w:type="pct"/>
          </w:tcPr>
          <w:p w14:paraId="06B879CB" w14:textId="77777777" w:rsidR="00DC5685" w:rsidRPr="00A34F10" w:rsidRDefault="00DC5685" w:rsidP="00DC5685">
            <w:pPr>
              <w:widowControl w:val="0"/>
              <w:suppressAutoHyphens/>
              <w:jc w:val="both"/>
              <w:rPr>
                <w:b/>
                <w:bCs/>
                <w:sz w:val="20"/>
                <w:szCs w:val="20"/>
              </w:rPr>
            </w:pPr>
            <w:r w:rsidRPr="00A34F10">
              <w:rPr>
                <w:b/>
                <w:bCs/>
                <w:sz w:val="20"/>
                <w:szCs w:val="20"/>
              </w:rPr>
              <w:t>FOCUS Step 1</w:t>
            </w:r>
          </w:p>
        </w:tc>
        <w:tc>
          <w:tcPr>
            <w:tcW w:w="1522" w:type="pct"/>
            <w:vAlign w:val="center"/>
          </w:tcPr>
          <w:p w14:paraId="6E251678" w14:textId="77777777" w:rsidR="00DC5685" w:rsidRPr="00A34F10" w:rsidRDefault="00DC5685" w:rsidP="00DC5685">
            <w:pPr>
              <w:widowControl w:val="0"/>
              <w:suppressAutoHyphens/>
              <w:jc w:val="both"/>
              <w:rPr>
                <w:sz w:val="20"/>
                <w:szCs w:val="20"/>
              </w:rPr>
            </w:pPr>
            <w:r w:rsidRPr="00A34F10">
              <w:rPr>
                <w:color w:val="000000"/>
                <w:sz w:val="20"/>
                <w:szCs w:val="20"/>
              </w:rPr>
              <w:t>0.08</w:t>
            </w:r>
          </w:p>
        </w:tc>
        <w:tc>
          <w:tcPr>
            <w:tcW w:w="1483" w:type="pct"/>
            <w:vAlign w:val="center"/>
          </w:tcPr>
          <w:p w14:paraId="1FDBDC80" w14:textId="77777777" w:rsidR="00DC5685" w:rsidRPr="00A34F10" w:rsidRDefault="00DC5685" w:rsidP="00DC5685">
            <w:pPr>
              <w:widowControl w:val="0"/>
              <w:suppressAutoHyphens/>
              <w:jc w:val="both"/>
              <w:rPr>
                <w:sz w:val="20"/>
                <w:szCs w:val="20"/>
              </w:rPr>
            </w:pPr>
            <w:r w:rsidRPr="00A34F10">
              <w:rPr>
                <w:color w:val="000000"/>
                <w:sz w:val="20"/>
                <w:szCs w:val="20"/>
              </w:rPr>
              <w:t>0.46</w:t>
            </w:r>
          </w:p>
        </w:tc>
        <w:tc>
          <w:tcPr>
            <w:tcW w:w="981" w:type="pct"/>
            <w:vAlign w:val="center"/>
          </w:tcPr>
          <w:p w14:paraId="50A6EB59" w14:textId="77777777" w:rsidR="00DC5685" w:rsidRPr="00A34F10" w:rsidRDefault="00DC5685" w:rsidP="00DC5685">
            <w:pPr>
              <w:widowControl w:val="0"/>
              <w:suppressAutoHyphens/>
              <w:jc w:val="both"/>
              <w:rPr>
                <w:sz w:val="20"/>
                <w:szCs w:val="20"/>
              </w:rPr>
            </w:pPr>
            <w:r w:rsidRPr="00A34F10">
              <w:rPr>
                <w:color w:val="000000"/>
                <w:sz w:val="20"/>
                <w:szCs w:val="20"/>
              </w:rPr>
              <w:t>0.54</w:t>
            </w:r>
          </w:p>
        </w:tc>
      </w:tr>
      <w:tr w:rsidR="00DC5685" w:rsidRPr="00A34F10" w14:paraId="46208235" w14:textId="77777777" w:rsidTr="000470C3">
        <w:tc>
          <w:tcPr>
            <w:tcW w:w="1014" w:type="pct"/>
          </w:tcPr>
          <w:p w14:paraId="3A35FD4E" w14:textId="77777777" w:rsidR="00DC5685" w:rsidRPr="00A34F10" w:rsidRDefault="00DC5685" w:rsidP="00DC5685">
            <w:pPr>
              <w:widowControl w:val="0"/>
              <w:suppressAutoHyphens/>
              <w:jc w:val="both"/>
              <w:rPr>
                <w:b/>
                <w:bCs/>
                <w:sz w:val="20"/>
                <w:szCs w:val="20"/>
              </w:rPr>
            </w:pPr>
            <w:r w:rsidRPr="00A34F10">
              <w:rPr>
                <w:b/>
                <w:bCs/>
                <w:sz w:val="20"/>
                <w:szCs w:val="20"/>
              </w:rPr>
              <w:t>FOCUS Step 2</w:t>
            </w:r>
          </w:p>
        </w:tc>
        <w:tc>
          <w:tcPr>
            <w:tcW w:w="1522" w:type="pct"/>
            <w:vAlign w:val="center"/>
          </w:tcPr>
          <w:p w14:paraId="444360F8" w14:textId="77777777" w:rsidR="00DC5685" w:rsidRPr="00A34F10" w:rsidRDefault="00DC5685" w:rsidP="00DC5685">
            <w:pPr>
              <w:widowControl w:val="0"/>
              <w:suppressAutoHyphens/>
              <w:jc w:val="both"/>
              <w:rPr>
                <w:sz w:val="20"/>
                <w:szCs w:val="20"/>
              </w:rPr>
            </w:pPr>
            <w:r w:rsidRPr="00A34F10">
              <w:rPr>
                <w:color w:val="000000"/>
                <w:sz w:val="20"/>
                <w:szCs w:val="20"/>
              </w:rPr>
              <w:t>0.01</w:t>
            </w:r>
          </w:p>
        </w:tc>
        <w:tc>
          <w:tcPr>
            <w:tcW w:w="1483" w:type="pct"/>
            <w:vAlign w:val="center"/>
          </w:tcPr>
          <w:p w14:paraId="67EBD672" w14:textId="77777777" w:rsidR="00DC5685" w:rsidRPr="00A34F10" w:rsidRDefault="00DC5685" w:rsidP="00DC5685">
            <w:pPr>
              <w:widowControl w:val="0"/>
              <w:suppressAutoHyphens/>
              <w:jc w:val="both"/>
              <w:rPr>
                <w:sz w:val="20"/>
                <w:szCs w:val="20"/>
              </w:rPr>
            </w:pPr>
            <w:r w:rsidRPr="00A34F10">
              <w:rPr>
                <w:color w:val="000000"/>
                <w:sz w:val="20"/>
                <w:szCs w:val="20"/>
              </w:rPr>
              <w:t>0.09</w:t>
            </w:r>
          </w:p>
        </w:tc>
        <w:tc>
          <w:tcPr>
            <w:tcW w:w="981" w:type="pct"/>
            <w:vAlign w:val="center"/>
          </w:tcPr>
          <w:p w14:paraId="5D8EB0C6" w14:textId="77777777" w:rsidR="00DC5685" w:rsidRPr="00A34F10" w:rsidRDefault="00DC5685" w:rsidP="00DC5685">
            <w:pPr>
              <w:widowControl w:val="0"/>
              <w:suppressAutoHyphens/>
              <w:jc w:val="both"/>
              <w:rPr>
                <w:sz w:val="20"/>
                <w:szCs w:val="20"/>
              </w:rPr>
            </w:pPr>
            <w:r w:rsidRPr="00A34F10">
              <w:rPr>
                <w:color w:val="000000"/>
                <w:sz w:val="20"/>
                <w:szCs w:val="20"/>
              </w:rPr>
              <w:t>0.10</w:t>
            </w:r>
          </w:p>
        </w:tc>
      </w:tr>
      <w:tr w:rsidR="00DC5685" w:rsidRPr="00A34F10" w14:paraId="14E71F67" w14:textId="77777777" w:rsidTr="000470C3">
        <w:tc>
          <w:tcPr>
            <w:tcW w:w="5000" w:type="pct"/>
            <w:gridSpan w:val="4"/>
          </w:tcPr>
          <w:p w14:paraId="683002C5" w14:textId="77777777" w:rsidR="00DC5685" w:rsidRPr="00A34F10" w:rsidRDefault="00DC5685" w:rsidP="00DC5685">
            <w:pPr>
              <w:widowControl w:val="0"/>
              <w:suppressAutoHyphens/>
              <w:rPr>
                <w:b/>
                <w:bCs/>
                <w:sz w:val="20"/>
                <w:szCs w:val="20"/>
              </w:rPr>
            </w:pPr>
            <w:r w:rsidRPr="00A34F10">
              <w:rPr>
                <w:b/>
                <w:bCs/>
                <w:sz w:val="20"/>
                <w:szCs w:val="20"/>
              </w:rPr>
              <w:t>Algae</w:t>
            </w:r>
          </w:p>
        </w:tc>
      </w:tr>
      <w:tr w:rsidR="00DC5685" w:rsidRPr="00A34F10" w14:paraId="3E0E3B19" w14:textId="77777777" w:rsidTr="000470C3">
        <w:tc>
          <w:tcPr>
            <w:tcW w:w="1014" w:type="pct"/>
          </w:tcPr>
          <w:p w14:paraId="01AC721C" w14:textId="77777777" w:rsidR="00DC5685" w:rsidRPr="00A34F10" w:rsidRDefault="00DC5685" w:rsidP="00DC5685">
            <w:pPr>
              <w:widowControl w:val="0"/>
              <w:suppressAutoHyphens/>
              <w:jc w:val="both"/>
              <w:rPr>
                <w:b/>
                <w:bCs/>
                <w:sz w:val="20"/>
                <w:szCs w:val="20"/>
              </w:rPr>
            </w:pPr>
            <w:r w:rsidRPr="00A34F10">
              <w:rPr>
                <w:b/>
                <w:bCs/>
                <w:sz w:val="20"/>
                <w:szCs w:val="20"/>
              </w:rPr>
              <w:t>FOCUS Step 1</w:t>
            </w:r>
          </w:p>
        </w:tc>
        <w:tc>
          <w:tcPr>
            <w:tcW w:w="1522" w:type="pct"/>
            <w:vAlign w:val="center"/>
          </w:tcPr>
          <w:p w14:paraId="4FA25EC8" w14:textId="77777777" w:rsidR="00DC5685" w:rsidRPr="00A34F10" w:rsidRDefault="00DC5685" w:rsidP="00DC5685">
            <w:pPr>
              <w:widowControl w:val="0"/>
              <w:suppressAutoHyphens/>
              <w:jc w:val="both"/>
              <w:rPr>
                <w:sz w:val="20"/>
                <w:szCs w:val="20"/>
              </w:rPr>
            </w:pPr>
            <w:r w:rsidRPr="00A34F10">
              <w:rPr>
                <w:color w:val="000000"/>
                <w:sz w:val="20"/>
                <w:szCs w:val="20"/>
              </w:rPr>
              <w:t>0.01</w:t>
            </w:r>
          </w:p>
        </w:tc>
        <w:tc>
          <w:tcPr>
            <w:tcW w:w="1483" w:type="pct"/>
            <w:vAlign w:val="center"/>
          </w:tcPr>
          <w:p w14:paraId="231B0ADB" w14:textId="77777777" w:rsidR="00DC5685" w:rsidRPr="00A34F10" w:rsidRDefault="00DC5685" w:rsidP="00DC5685">
            <w:pPr>
              <w:widowControl w:val="0"/>
              <w:suppressAutoHyphens/>
              <w:jc w:val="both"/>
              <w:rPr>
                <w:sz w:val="20"/>
                <w:szCs w:val="20"/>
              </w:rPr>
            </w:pPr>
            <w:r w:rsidRPr="00A34F10">
              <w:rPr>
                <w:color w:val="000000"/>
                <w:sz w:val="20"/>
                <w:szCs w:val="20"/>
              </w:rPr>
              <w:t>0.05</w:t>
            </w:r>
          </w:p>
        </w:tc>
        <w:tc>
          <w:tcPr>
            <w:tcW w:w="981" w:type="pct"/>
            <w:vAlign w:val="center"/>
          </w:tcPr>
          <w:p w14:paraId="5F7C4920" w14:textId="77777777" w:rsidR="00DC5685" w:rsidRPr="00A34F10" w:rsidRDefault="00DC5685" w:rsidP="00DC5685">
            <w:pPr>
              <w:widowControl w:val="0"/>
              <w:suppressAutoHyphens/>
              <w:jc w:val="both"/>
              <w:rPr>
                <w:sz w:val="20"/>
                <w:szCs w:val="20"/>
              </w:rPr>
            </w:pPr>
            <w:r w:rsidRPr="00A34F10">
              <w:rPr>
                <w:color w:val="000000"/>
                <w:sz w:val="20"/>
                <w:szCs w:val="20"/>
              </w:rPr>
              <w:t>0.06</w:t>
            </w:r>
          </w:p>
        </w:tc>
      </w:tr>
      <w:tr w:rsidR="00DC5685" w:rsidRPr="00A34F10" w14:paraId="1438AE68" w14:textId="77777777" w:rsidTr="000470C3">
        <w:tc>
          <w:tcPr>
            <w:tcW w:w="1014" w:type="pct"/>
          </w:tcPr>
          <w:p w14:paraId="42FE0C31" w14:textId="77777777" w:rsidR="00DC5685" w:rsidRPr="00A34F10" w:rsidRDefault="00DC5685" w:rsidP="00DC5685">
            <w:pPr>
              <w:widowControl w:val="0"/>
              <w:suppressAutoHyphens/>
              <w:jc w:val="both"/>
              <w:rPr>
                <w:b/>
                <w:bCs/>
                <w:sz w:val="20"/>
                <w:szCs w:val="20"/>
              </w:rPr>
            </w:pPr>
            <w:r w:rsidRPr="00A34F10">
              <w:rPr>
                <w:b/>
                <w:bCs/>
                <w:sz w:val="20"/>
                <w:szCs w:val="20"/>
              </w:rPr>
              <w:t>FOCUS Step 2</w:t>
            </w:r>
          </w:p>
        </w:tc>
        <w:tc>
          <w:tcPr>
            <w:tcW w:w="1522" w:type="pct"/>
            <w:vAlign w:val="center"/>
          </w:tcPr>
          <w:p w14:paraId="27269309" w14:textId="77777777" w:rsidR="00DC5685" w:rsidRPr="00A34F10" w:rsidRDefault="00DC5685" w:rsidP="00DC5685">
            <w:pPr>
              <w:widowControl w:val="0"/>
              <w:suppressAutoHyphens/>
              <w:jc w:val="both"/>
              <w:rPr>
                <w:sz w:val="20"/>
                <w:szCs w:val="20"/>
              </w:rPr>
            </w:pPr>
            <w:r w:rsidRPr="00A34F10">
              <w:rPr>
                <w:color w:val="000000"/>
                <w:sz w:val="20"/>
                <w:szCs w:val="20"/>
              </w:rPr>
              <w:t>0.00</w:t>
            </w:r>
          </w:p>
        </w:tc>
        <w:tc>
          <w:tcPr>
            <w:tcW w:w="1483" w:type="pct"/>
            <w:vAlign w:val="center"/>
          </w:tcPr>
          <w:p w14:paraId="0DE394F1" w14:textId="77777777" w:rsidR="00DC5685" w:rsidRPr="00A34F10" w:rsidRDefault="00DC5685" w:rsidP="00DC5685">
            <w:pPr>
              <w:widowControl w:val="0"/>
              <w:suppressAutoHyphens/>
              <w:jc w:val="both"/>
              <w:rPr>
                <w:sz w:val="20"/>
                <w:szCs w:val="20"/>
              </w:rPr>
            </w:pPr>
            <w:r w:rsidRPr="00A34F10">
              <w:rPr>
                <w:color w:val="000000"/>
                <w:sz w:val="20"/>
                <w:szCs w:val="20"/>
              </w:rPr>
              <w:t>0.01</w:t>
            </w:r>
          </w:p>
        </w:tc>
        <w:tc>
          <w:tcPr>
            <w:tcW w:w="981" w:type="pct"/>
            <w:vAlign w:val="center"/>
          </w:tcPr>
          <w:p w14:paraId="6ED59EC4" w14:textId="77777777" w:rsidR="00DC5685" w:rsidRPr="00A34F10" w:rsidRDefault="00DC5685" w:rsidP="00DC5685">
            <w:pPr>
              <w:widowControl w:val="0"/>
              <w:suppressAutoHyphens/>
              <w:jc w:val="both"/>
              <w:rPr>
                <w:sz w:val="20"/>
                <w:szCs w:val="20"/>
              </w:rPr>
            </w:pPr>
            <w:r w:rsidRPr="00A34F10">
              <w:rPr>
                <w:color w:val="000000"/>
                <w:sz w:val="20"/>
                <w:szCs w:val="20"/>
              </w:rPr>
              <w:t>0.01</w:t>
            </w:r>
          </w:p>
        </w:tc>
      </w:tr>
    </w:tbl>
    <w:p w14:paraId="5D878028" w14:textId="5E7C9C83" w:rsidR="00DC5685" w:rsidRPr="00A34F10" w:rsidRDefault="00DC5685" w:rsidP="00DC5685">
      <w:pPr>
        <w:widowControl w:val="0"/>
        <w:suppressAutoHyphens/>
        <w:jc w:val="both"/>
        <w:rPr>
          <w:highlight w:val="yellow"/>
          <w:u w:val="single"/>
        </w:rPr>
      </w:pPr>
    </w:p>
    <w:p w14:paraId="6D8D3D28" w14:textId="77777777" w:rsidR="00E23E00" w:rsidRPr="00A34F10" w:rsidRDefault="00E23E00" w:rsidP="00DC5685">
      <w:pPr>
        <w:widowControl w:val="0"/>
        <w:suppressAutoHyphens/>
        <w:jc w:val="both"/>
        <w:rPr>
          <w:highlight w:val="yellow"/>
          <w:u w:val="single"/>
        </w:rPr>
      </w:pPr>
    </w:p>
    <w:p w14:paraId="324C5719" w14:textId="77777777" w:rsidR="00DC5685" w:rsidRPr="00A34F10" w:rsidRDefault="00DC5685" w:rsidP="00DC5685">
      <w:pPr>
        <w:widowControl w:val="0"/>
        <w:rPr>
          <w:bCs/>
          <w:lang w:val="en-GB"/>
        </w:rPr>
      </w:pPr>
      <w:r w:rsidRPr="00A34F10">
        <w:rPr>
          <w:bCs/>
          <w:lang w:val="en-GB"/>
        </w:rPr>
        <w:t>RQ</w:t>
      </w:r>
      <w:r w:rsidRPr="00A34F10">
        <w:rPr>
          <w:bCs/>
          <w:vertAlign w:val="subscript"/>
          <w:lang w:val="en-GB"/>
        </w:rPr>
        <w:t>mix</w:t>
      </w:r>
      <w:r w:rsidRPr="00A34F10">
        <w:rPr>
          <w:bCs/>
          <w:lang w:val="en-GB"/>
        </w:rPr>
        <w:t xml:space="preserve"> values below 1 for the worst-case FOCUS scenarios </w:t>
      </w:r>
      <w:bookmarkStart w:id="518" w:name="_Hlk112932817"/>
      <w:r w:rsidRPr="00A34F10">
        <w:rPr>
          <w:bCs/>
          <w:lang w:val="en-GB"/>
        </w:rPr>
        <w:t xml:space="preserve">indicate an acceptable risk from combined exposure to </w:t>
      </w:r>
      <w:bookmarkEnd w:id="518"/>
      <w:r w:rsidRPr="00A34F10">
        <w:rPr>
          <w:lang w:val="en-GB"/>
        </w:rPr>
        <w:t>Ametoctradin and Propamocarb</w:t>
      </w:r>
      <w:r w:rsidRPr="00A34F10">
        <w:rPr>
          <w:bCs/>
          <w:lang w:val="en-GB"/>
        </w:rPr>
        <w:t>.</w:t>
      </w:r>
    </w:p>
    <w:p w14:paraId="35B62862" w14:textId="5E701320" w:rsidR="00DC5685" w:rsidRPr="00A34F10" w:rsidRDefault="00DC5685" w:rsidP="00DC5685">
      <w:pPr>
        <w:widowControl w:val="0"/>
        <w:suppressAutoHyphens/>
        <w:jc w:val="both"/>
        <w:rPr>
          <w:highlight w:val="yellow"/>
          <w:u w:val="single"/>
        </w:rPr>
      </w:pPr>
    </w:p>
    <w:p w14:paraId="28380A53" w14:textId="7EA741D4" w:rsidR="00DC5685" w:rsidRPr="00A34F10" w:rsidRDefault="00DC5685" w:rsidP="00DC5685">
      <w:pPr>
        <w:widowControl w:val="0"/>
        <w:suppressAutoHyphens/>
        <w:spacing w:before="200" w:after="120"/>
        <w:ind w:left="1985" w:hanging="1985"/>
        <w:jc w:val="both"/>
      </w:pPr>
      <w:r w:rsidRPr="00A34F10">
        <w:rPr>
          <w:b/>
        </w:rPr>
        <w:t xml:space="preserve">Table </w:t>
      </w:r>
      <w:r w:rsidRPr="00A34F10">
        <w:rPr>
          <w:b/>
        </w:rPr>
        <w:fldChar w:fldCharType="begin"/>
      </w:r>
      <w:r w:rsidRPr="00A34F10">
        <w:rPr>
          <w:b/>
        </w:rPr>
        <w:instrText xml:space="preserve"> STYLEREF 2 \s </w:instrText>
      </w:r>
      <w:r w:rsidRPr="00A34F10">
        <w:rPr>
          <w:b/>
        </w:rPr>
        <w:fldChar w:fldCharType="separate"/>
      </w:r>
      <w:r w:rsidR="006F0F3B">
        <w:rPr>
          <w:b/>
          <w:noProof/>
        </w:rPr>
        <w:t>9.5</w:t>
      </w:r>
      <w:r w:rsidRPr="00A34F10">
        <w:rPr>
          <w:b/>
        </w:rPr>
        <w:fldChar w:fldCharType="end"/>
      </w:r>
      <w:r w:rsidRPr="00A34F10">
        <w:rPr>
          <w:b/>
        </w:rPr>
        <w:noBreakHyphen/>
        <w:t>1</w:t>
      </w:r>
      <w:r w:rsidR="00A326E1">
        <w:rPr>
          <w:b/>
        </w:rPr>
        <w:t>1</w:t>
      </w:r>
      <w:r w:rsidRPr="00A34F10">
        <w:rPr>
          <w:b/>
        </w:rPr>
        <w:t>:</w:t>
      </w:r>
      <w:r w:rsidRPr="00A34F10">
        <w:rPr>
          <w:b/>
        </w:rPr>
        <w:tab/>
        <w:t>Aquatic organisms: acceptability of risk (PEC/RAC &lt; 1) for BAS 743 03 F for each organism group based on drift entry for the use of BAS 743 03 F at 2 × 2.0 L/ha</w:t>
      </w:r>
    </w:p>
    <w:tbl>
      <w:tblPr>
        <w:tblW w:w="5000" w:type="pct"/>
        <w:tblCellMar>
          <w:left w:w="70" w:type="dxa"/>
          <w:right w:w="70" w:type="dxa"/>
        </w:tblCellMar>
        <w:tblLook w:val="0000" w:firstRow="0" w:lastRow="0" w:firstColumn="0" w:lastColumn="0" w:noHBand="0" w:noVBand="0"/>
      </w:tblPr>
      <w:tblGrid>
        <w:gridCol w:w="1319"/>
        <w:gridCol w:w="2088"/>
        <w:gridCol w:w="1916"/>
        <w:gridCol w:w="1920"/>
        <w:gridCol w:w="2096"/>
      </w:tblGrid>
      <w:tr w:rsidR="00DC5685" w:rsidRPr="00A34F10" w14:paraId="73EE4281" w14:textId="77777777" w:rsidTr="000470C3">
        <w:trPr>
          <w:trHeight w:val="494"/>
        </w:trPr>
        <w:tc>
          <w:tcPr>
            <w:tcW w:w="182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F0DA03"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Group</w:t>
            </w:r>
          </w:p>
        </w:tc>
        <w:tc>
          <w:tcPr>
            <w:tcW w:w="1026" w:type="pct"/>
            <w:tcBorders>
              <w:top w:val="single" w:sz="6" w:space="0" w:color="auto"/>
              <w:left w:val="single" w:sz="6" w:space="0" w:color="auto"/>
              <w:bottom w:val="single" w:sz="6" w:space="0" w:color="auto"/>
              <w:right w:val="single" w:sz="6" w:space="0" w:color="auto"/>
            </w:tcBorders>
            <w:shd w:val="clear" w:color="auto" w:fill="auto"/>
            <w:vAlign w:val="center"/>
          </w:tcPr>
          <w:p w14:paraId="1AE85FFC"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Fish acute</w:t>
            </w:r>
          </w:p>
        </w:tc>
        <w:tc>
          <w:tcPr>
            <w:tcW w:w="1028" w:type="pct"/>
            <w:tcBorders>
              <w:top w:val="single" w:sz="6" w:space="0" w:color="auto"/>
              <w:left w:val="single" w:sz="6" w:space="0" w:color="auto"/>
              <w:bottom w:val="single" w:sz="6" w:space="0" w:color="auto"/>
              <w:right w:val="single" w:sz="6" w:space="0" w:color="auto"/>
            </w:tcBorders>
            <w:shd w:val="clear" w:color="auto" w:fill="auto"/>
            <w:vAlign w:val="center"/>
          </w:tcPr>
          <w:p w14:paraId="5FB7178B"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Inverteb. acute</w:t>
            </w:r>
          </w:p>
        </w:tc>
        <w:tc>
          <w:tcPr>
            <w:tcW w:w="1122" w:type="pct"/>
            <w:tcBorders>
              <w:top w:val="single" w:sz="6" w:space="0" w:color="auto"/>
              <w:left w:val="single" w:sz="6" w:space="0" w:color="auto"/>
              <w:bottom w:val="single" w:sz="6" w:space="0" w:color="auto"/>
              <w:right w:val="single" w:sz="6" w:space="0" w:color="auto"/>
            </w:tcBorders>
            <w:shd w:val="clear" w:color="auto" w:fill="auto"/>
            <w:vAlign w:val="center"/>
          </w:tcPr>
          <w:p w14:paraId="0E0F16E7"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Algae</w:t>
            </w:r>
          </w:p>
        </w:tc>
      </w:tr>
      <w:tr w:rsidR="00DC5685" w:rsidRPr="00A34F10" w14:paraId="30D34E02" w14:textId="77777777" w:rsidTr="000470C3">
        <w:trPr>
          <w:trHeight w:val="262"/>
        </w:trPr>
        <w:tc>
          <w:tcPr>
            <w:tcW w:w="182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7A3D9C"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Test species</w:t>
            </w:r>
          </w:p>
        </w:tc>
        <w:tc>
          <w:tcPr>
            <w:tcW w:w="1026" w:type="pct"/>
            <w:tcBorders>
              <w:top w:val="single" w:sz="6" w:space="0" w:color="auto"/>
              <w:left w:val="single" w:sz="6" w:space="0" w:color="auto"/>
              <w:bottom w:val="single" w:sz="6" w:space="0" w:color="auto"/>
              <w:right w:val="single" w:sz="6" w:space="0" w:color="auto"/>
            </w:tcBorders>
            <w:shd w:val="clear" w:color="auto" w:fill="auto"/>
            <w:vAlign w:val="center"/>
          </w:tcPr>
          <w:p w14:paraId="6A9A4F21"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O. mykiss *</w:t>
            </w:r>
          </w:p>
        </w:tc>
        <w:tc>
          <w:tcPr>
            <w:tcW w:w="1028" w:type="pct"/>
            <w:tcBorders>
              <w:top w:val="single" w:sz="6" w:space="0" w:color="auto"/>
              <w:left w:val="single" w:sz="6" w:space="0" w:color="auto"/>
              <w:bottom w:val="single" w:sz="6" w:space="0" w:color="auto"/>
              <w:right w:val="single" w:sz="6" w:space="0" w:color="auto"/>
            </w:tcBorders>
            <w:shd w:val="clear" w:color="auto" w:fill="auto"/>
            <w:vAlign w:val="center"/>
          </w:tcPr>
          <w:p w14:paraId="3CDA8D70"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D. magna *</w:t>
            </w:r>
          </w:p>
        </w:tc>
        <w:tc>
          <w:tcPr>
            <w:tcW w:w="1122" w:type="pct"/>
            <w:tcBorders>
              <w:top w:val="single" w:sz="6" w:space="0" w:color="auto"/>
              <w:left w:val="single" w:sz="6" w:space="0" w:color="auto"/>
              <w:bottom w:val="single" w:sz="6" w:space="0" w:color="auto"/>
              <w:right w:val="single" w:sz="6" w:space="0" w:color="auto"/>
            </w:tcBorders>
            <w:shd w:val="clear" w:color="auto" w:fill="auto"/>
            <w:vAlign w:val="center"/>
          </w:tcPr>
          <w:p w14:paraId="2770E379" w14:textId="77777777" w:rsidR="00DC5685" w:rsidRPr="00A34F10" w:rsidRDefault="00DC5685" w:rsidP="00DC5685">
            <w:pPr>
              <w:suppressAutoHyphens/>
              <w:autoSpaceDE w:val="0"/>
              <w:autoSpaceDN w:val="0"/>
              <w:adjustRightInd w:val="0"/>
              <w:jc w:val="center"/>
              <w:rPr>
                <w:b/>
                <w:bCs/>
                <w:i/>
                <w:iCs/>
                <w:sz w:val="20"/>
                <w:szCs w:val="20"/>
              </w:rPr>
            </w:pPr>
            <w:r w:rsidRPr="00A34F10">
              <w:rPr>
                <w:b/>
                <w:bCs/>
                <w:i/>
                <w:iCs/>
                <w:sz w:val="20"/>
                <w:szCs w:val="20"/>
              </w:rPr>
              <w:t xml:space="preserve">P. subcapitata </w:t>
            </w:r>
          </w:p>
        </w:tc>
      </w:tr>
      <w:tr w:rsidR="00DC5685" w:rsidRPr="00A34F10" w14:paraId="4FF0B8CD" w14:textId="77777777" w:rsidTr="000470C3">
        <w:trPr>
          <w:trHeight w:val="276"/>
        </w:trPr>
        <w:tc>
          <w:tcPr>
            <w:tcW w:w="1824" w:type="pct"/>
            <w:gridSpan w:val="2"/>
            <w:vMerge w:val="restart"/>
            <w:tcBorders>
              <w:top w:val="single" w:sz="6" w:space="0" w:color="auto"/>
              <w:left w:val="single" w:sz="6" w:space="0" w:color="auto"/>
              <w:right w:val="single" w:sz="6" w:space="0" w:color="auto"/>
            </w:tcBorders>
            <w:shd w:val="clear" w:color="auto" w:fill="auto"/>
            <w:vAlign w:val="center"/>
          </w:tcPr>
          <w:p w14:paraId="35646D48"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Endpoint [µg/L]</w:t>
            </w:r>
          </w:p>
        </w:tc>
        <w:tc>
          <w:tcPr>
            <w:tcW w:w="1026" w:type="pct"/>
            <w:tcBorders>
              <w:top w:val="single" w:sz="6" w:space="0" w:color="auto"/>
              <w:left w:val="single" w:sz="6" w:space="0" w:color="auto"/>
              <w:bottom w:val="nil"/>
              <w:right w:val="single" w:sz="6" w:space="0" w:color="auto"/>
            </w:tcBorders>
            <w:shd w:val="clear" w:color="auto" w:fill="auto"/>
            <w:vAlign w:val="center"/>
          </w:tcPr>
          <w:p w14:paraId="68C132BA"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LC</w:t>
            </w:r>
            <w:r w:rsidRPr="00A34F10">
              <w:rPr>
                <w:sz w:val="20"/>
                <w:szCs w:val="20"/>
                <w:vertAlign w:val="subscript"/>
              </w:rPr>
              <w:t>50</w:t>
            </w:r>
          </w:p>
        </w:tc>
        <w:tc>
          <w:tcPr>
            <w:tcW w:w="1028" w:type="pct"/>
            <w:tcBorders>
              <w:top w:val="single" w:sz="6" w:space="0" w:color="auto"/>
              <w:left w:val="single" w:sz="6" w:space="0" w:color="auto"/>
              <w:bottom w:val="nil"/>
              <w:right w:val="single" w:sz="6" w:space="0" w:color="auto"/>
            </w:tcBorders>
            <w:shd w:val="clear" w:color="auto" w:fill="auto"/>
            <w:vAlign w:val="center"/>
          </w:tcPr>
          <w:p w14:paraId="56C4060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EC</w:t>
            </w:r>
            <w:r w:rsidRPr="00A34F10">
              <w:rPr>
                <w:sz w:val="20"/>
                <w:szCs w:val="20"/>
                <w:vertAlign w:val="subscript"/>
              </w:rPr>
              <w:t>50</w:t>
            </w:r>
          </w:p>
        </w:tc>
        <w:tc>
          <w:tcPr>
            <w:tcW w:w="1122" w:type="pct"/>
            <w:tcBorders>
              <w:top w:val="single" w:sz="6" w:space="0" w:color="auto"/>
              <w:left w:val="single" w:sz="6" w:space="0" w:color="auto"/>
              <w:bottom w:val="nil"/>
              <w:right w:val="single" w:sz="6" w:space="0" w:color="auto"/>
            </w:tcBorders>
            <w:shd w:val="clear" w:color="auto" w:fill="auto"/>
            <w:vAlign w:val="center"/>
          </w:tcPr>
          <w:p w14:paraId="39280912" w14:textId="77777777" w:rsidR="00DC5685" w:rsidRPr="00A34F10" w:rsidRDefault="00DC5685" w:rsidP="00DC5685">
            <w:pPr>
              <w:suppressAutoHyphens/>
              <w:autoSpaceDE w:val="0"/>
              <w:autoSpaceDN w:val="0"/>
              <w:adjustRightInd w:val="0"/>
              <w:jc w:val="center"/>
              <w:rPr>
                <w:sz w:val="20"/>
                <w:szCs w:val="20"/>
                <w:vertAlign w:val="subscript"/>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p>
        </w:tc>
      </w:tr>
      <w:tr w:rsidR="00DC5685" w:rsidRPr="00A34F10" w14:paraId="66F94E91" w14:textId="77777777" w:rsidTr="000470C3">
        <w:trPr>
          <w:trHeight w:val="247"/>
        </w:trPr>
        <w:tc>
          <w:tcPr>
            <w:tcW w:w="1824" w:type="pct"/>
            <w:gridSpan w:val="2"/>
            <w:vMerge/>
            <w:tcBorders>
              <w:left w:val="single" w:sz="6" w:space="0" w:color="auto"/>
              <w:bottom w:val="single" w:sz="6" w:space="0" w:color="auto"/>
              <w:right w:val="single" w:sz="6" w:space="0" w:color="auto"/>
            </w:tcBorders>
            <w:shd w:val="clear" w:color="auto" w:fill="auto"/>
            <w:vAlign w:val="center"/>
          </w:tcPr>
          <w:p w14:paraId="60EE7254" w14:textId="77777777" w:rsidR="00DC5685" w:rsidRPr="00A34F10" w:rsidRDefault="00DC5685" w:rsidP="00DC5685">
            <w:pPr>
              <w:suppressAutoHyphens/>
              <w:autoSpaceDE w:val="0"/>
              <w:autoSpaceDN w:val="0"/>
              <w:adjustRightInd w:val="0"/>
              <w:rPr>
                <w:b/>
                <w:bCs/>
                <w:sz w:val="20"/>
                <w:szCs w:val="20"/>
              </w:rPr>
            </w:pPr>
          </w:p>
        </w:tc>
        <w:tc>
          <w:tcPr>
            <w:tcW w:w="1026" w:type="pct"/>
            <w:tcBorders>
              <w:top w:val="nil"/>
              <w:left w:val="single" w:sz="6" w:space="0" w:color="auto"/>
              <w:bottom w:val="single" w:sz="6" w:space="0" w:color="auto"/>
              <w:right w:val="single" w:sz="6" w:space="0" w:color="auto"/>
            </w:tcBorders>
            <w:shd w:val="clear" w:color="auto" w:fill="auto"/>
            <w:vAlign w:val="center"/>
          </w:tcPr>
          <w:p w14:paraId="36A4E2E6"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1028" w:type="pct"/>
            <w:tcBorders>
              <w:top w:val="nil"/>
              <w:left w:val="single" w:sz="6" w:space="0" w:color="auto"/>
              <w:bottom w:val="single" w:sz="6" w:space="0" w:color="auto"/>
              <w:right w:val="single" w:sz="6" w:space="0" w:color="auto"/>
            </w:tcBorders>
            <w:shd w:val="clear" w:color="auto" w:fill="auto"/>
            <w:vAlign w:val="center"/>
          </w:tcPr>
          <w:p w14:paraId="6EA157FC"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c>
          <w:tcPr>
            <w:tcW w:w="1122" w:type="pct"/>
            <w:tcBorders>
              <w:top w:val="nil"/>
              <w:left w:val="single" w:sz="6" w:space="0" w:color="auto"/>
              <w:bottom w:val="single" w:sz="6" w:space="0" w:color="auto"/>
              <w:right w:val="single" w:sz="6" w:space="0" w:color="auto"/>
            </w:tcBorders>
            <w:shd w:val="clear" w:color="auto" w:fill="auto"/>
            <w:vAlign w:val="center"/>
          </w:tcPr>
          <w:p w14:paraId="3EB954DC"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100000</w:t>
            </w:r>
          </w:p>
        </w:tc>
      </w:tr>
      <w:tr w:rsidR="00DC5685" w:rsidRPr="00A34F10" w14:paraId="745C7783" w14:textId="77777777" w:rsidTr="000470C3">
        <w:trPr>
          <w:trHeight w:val="247"/>
        </w:trPr>
        <w:tc>
          <w:tcPr>
            <w:tcW w:w="182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0547F7EE"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AF</w:t>
            </w:r>
          </w:p>
        </w:tc>
        <w:tc>
          <w:tcPr>
            <w:tcW w:w="1026" w:type="pct"/>
            <w:tcBorders>
              <w:top w:val="single" w:sz="6" w:space="0" w:color="auto"/>
              <w:left w:val="single" w:sz="6" w:space="0" w:color="auto"/>
              <w:bottom w:val="single" w:sz="6" w:space="0" w:color="auto"/>
              <w:right w:val="single" w:sz="6" w:space="0" w:color="auto"/>
            </w:tcBorders>
            <w:shd w:val="clear" w:color="auto" w:fill="auto"/>
            <w:vAlign w:val="center"/>
          </w:tcPr>
          <w:p w14:paraId="34FF247A"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1028" w:type="pct"/>
            <w:tcBorders>
              <w:top w:val="single" w:sz="6" w:space="0" w:color="auto"/>
              <w:left w:val="single" w:sz="6" w:space="0" w:color="auto"/>
              <w:bottom w:val="single" w:sz="6" w:space="0" w:color="auto"/>
              <w:right w:val="single" w:sz="6" w:space="0" w:color="auto"/>
            </w:tcBorders>
            <w:shd w:val="clear" w:color="auto" w:fill="auto"/>
            <w:vAlign w:val="center"/>
          </w:tcPr>
          <w:p w14:paraId="3B272CF2"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100</w:t>
            </w:r>
          </w:p>
        </w:tc>
        <w:tc>
          <w:tcPr>
            <w:tcW w:w="1122" w:type="pct"/>
            <w:tcBorders>
              <w:top w:val="single" w:sz="6" w:space="0" w:color="auto"/>
              <w:left w:val="single" w:sz="6" w:space="0" w:color="auto"/>
              <w:bottom w:val="single" w:sz="6" w:space="0" w:color="auto"/>
              <w:right w:val="single" w:sz="6" w:space="0" w:color="auto"/>
            </w:tcBorders>
            <w:shd w:val="clear" w:color="auto" w:fill="auto"/>
            <w:vAlign w:val="center"/>
          </w:tcPr>
          <w:p w14:paraId="68F40479"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10</w:t>
            </w:r>
          </w:p>
        </w:tc>
      </w:tr>
      <w:tr w:rsidR="00DC5685" w:rsidRPr="00A34F10" w14:paraId="6622806E" w14:textId="77777777" w:rsidTr="000470C3">
        <w:trPr>
          <w:trHeight w:val="247"/>
        </w:trPr>
        <w:tc>
          <w:tcPr>
            <w:tcW w:w="1824" w:type="pct"/>
            <w:gridSpan w:val="2"/>
            <w:tcBorders>
              <w:top w:val="single" w:sz="6" w:space="0" w:color="auto"/>
              <w:left w:val="single" w:sz="6" w:space="0" w:color="auto"/>
              <w:bottom w:val="single" w:sz="6" w:space="0" w:color="auto"/>
              <w:right w:val="single" w:sz="6" w:space="0" w:color="auto"/>
            </w:tcBorders>
            <w:shd w:val="clear" w:color="auto" w:fill="auto"/>
            <w:vAlign w:val="center"/>
          </w:tcPr>
          <w:p w14:paraId="1A61C977" w14:textId="77777777" w:rsidR="00DC5685" w:rsidRPr="00A34F10" w:rsidRDefault="00DC5685" w:rsidP="00DC5685">
            <w:pPr>
              <w:suppressAutoHyphens/>
              <w:autoSpaceDE w:val="0"/>
              <w:autoSpaceDN w:val="0"/>
              <w:adjustRightInd w:val="0"/>
              <w:rPr>
                <w:b/>
                <w:bCs/>
                <w:sz w:val="20"/>
                <w:szCs w:val="20"/>
              </w:rPr>
            </w:pPr>
            <w:r w:rsidRPr="00A34F10">
              <w:rPr>
                <w:b/>
                <w:bCs/>
                <w:sz w:val="20"/>
                <w:szCs w:val="20"/>
              </w:rPr>
              <w:t>RAC [µg/L]</w:t>
            </w:r>
          </w:p>
        </w:tc>
        <w:tc>
          <w:tcPr>
            <w:tcW w:w="1026" w:type="pct"/>
            <w:tcBorders>
              <w:top w:val="single" w:sz="6" w:space="0" w:color="auto"/>
              <w:left w:val="single" w:sz="6" w:space="0" w:color="auto"/>
              <w:bottom w:val="single" w:sz="6" w:space="0" w:color="auto"/>
              <w:right w:val="single" w:sz="6" w:space="0" w:color="auto"/>
            </w:tcBorders>
            <w:shd w:val="clear" w:color="auto" w:fill="auto"/>
            <w:vAlign w:val="center"/>
          </w:tcPr>
          <w:p w14:paraId="347A8ADC"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w:t>
            </w:r>
          </w:p>
        </w:tc>
        <w:tc>
          <w:tcPr>
            <w:tcW w:w="1028" w:type="pct"/>
            <w:tcBorders>
              <w:top w:val="single" w:sz="6" w:space="0" w:color="auto"/>
              <w:left w:val="single" w:sz="6" w:space="0" w:color="auto"/>
              <w:bottom w:val="single" w:sz="6" w:space="0" w:color="auto"/>
              <w:right w:val="single" w:sz="6" w:space="0" w:color="auto"/>
            </w:tcBorders>
            <w:shd w:val="clear" w:color="auto" w:fill="auto"/>
            <w:vAlign w:val="center"/>
          </w:tcPr>
          <w:p w14:paraId="5C2DEF57"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w:t>
            </w:r>
          </w:p>
        </w:tc>
        <w:tc>
          <w:tcPr>
            <w:tcW w:w="1122" w:type="pct"/>
            <w:tcBorders>
              <w:top w:val="single" w:sz="6" w:space="0" w:color="auto"/>
              <w:left w:val="single" w:sz="6" w:space="0" w:color="auto"/>
              <w:bottom w:val="single" w:sz="6" w:space="0" w:color="auto"/>
              <w:right w:val="single" w:sz="6" w:space="0" w:color="auto"/>
            </w:tcBorders>
            <w:shd w:val="clear" w:color="auto" w:fill="auto"/>
            <w:vAlign w:val="center"/>
          </w:tcPr>
          <w:p w14:paraId="6943B924" w14:textId="77777777" w:rsidR="00DC5685" w:rsidRPr="00A34F10" w:rsidRDefault="00DC5685" w:rsidP="00DC5685">
            <w:pPr>
              <w:suppressAutoHyphens/>
              <w:autoSpaceDE w:val="0"/>
              <w:autoSpaceDN w:val="0"/>
              <w:adjustRightInd w:val="0"/>
              <w:jc w:val="center"/>
              <w:rPr>
                <w:sz w:val="20"/>
                <w:szCs w:val="20"/>
              </w:rPr>
            </w:pPr>
            <w:r w:rsidRPr="00A34F10">
              <w:rPr>
                <w:sz w:val="20"/>
                <w:szCs w:val="20"/>
              </w:rPr>
              <w:t>&gt; 10000</w:t>
            </w:r>
          </w:p>
        </w:tc>
      </w:tr>
      <w:tr w:rsidR="00DC5685" w:rsidRPr="00A34F10" w14:paraId="2CE4FD41" w14:textId="77777777" w:rsidTr="000470C3">
        <w:trPr>
          <w:trHeight w:val="523"/>
        </w:trPr>
        <w:tc>
          <w:tcPr>
            <w:tcW w:w="706" w:type="pct"/>
            <w:tcBorders>
              <w:top w:val="single" w:sz="6" w:space="0" w:color="auto"/>
              <w:left w:val="single" w:sz="6" w:space="0" w:color="auto"/>
              <w:bottom w:val="single" w:sz="4" w:space="0" w:color="auto"/>
              <w:right w:val="single" w:sz="6" w:space="0" w:color="auto"/>
            </w:tcBorders>
            <w:shd w:val="clear" w:color="auto" w:fill="auto"/>
            <w:vAlign w:val="center"/>
          </w:tcPr>
          <w:p w14:paraId="54A5DA72" w14:textId="77777777" w:rsidR="00DC5685" w:rsidRPr="00A34F10" w:rsidRDefault="00DC5685" w:rsidP="00DC5685">
            <w:pPr>
              <w:suppressAutoHyphens/>
              <w:autoSpaceDE w:val="0"/>
              <w:autoSpaceDN w:val="0"/>
              <w:adjustRightInd w:val="0"/>
              <w:rPr>
                <w:b/>
                <w:bCs/>
                <w:sz w:val="20"/>
                <w:szCs w:val="20"/>
              </w:rPr>
            </w:pPr>
          </w:p>
        </w:tc>
        <w:tc>
          <w:tcPr>
            <w:tcW w:w="1118" w:type="pct"/>
            <w:tcBorders>
              <w:top w:val="single" w:sz="6" w:space="0" w:color="auto"/>
              <w:left w:val="single" w:sz="6" w:space="0" w:color="auto"/>
              <w:bottom w:val="single" w:sz="6" w:space="0" w:color="auto"/>
              <w:right w:val="single" w:sz="6" w:space="0" w:color="auto"/>
            </w:tcBorders>
            <w:shd w:val="clear" w:color="auto" w:fill="auto"/>
            <w:vAlign w:val="center"/>
          </w:tcPr>
          <w:p w14:paraId="79BA2320" w14:textId="77777777" w:rsidR="00DC5685" w:rsidRPr="00A34F10" w:rsidRDefault="00DC5685" w:rsidP="00DC5685">
            <w:pPr>
              <w:suppressAutoHyphens/>
              <w:autoSpaceDE w:val="0"/>
              <w:autoSpaceDN w:val="0"/>
              <w:adjustRightInd w:val="0"/>
              <w:jc w:val="center"/>
              <w:rPr>
                <w:b/>
                <w:bCs/>
                <w:sz w:val="20"/>
                <w:szCs w:val="20"/>
                <w:vertAlign w:val="superscript"/>
              </w:rPr>
            </w:pPr>
            <w:r w:rsidRPr="00A34F10">
              <w:rPr>
                <w:b/>
                <w:bCs/>
                <w:sz w:val="20"/>
                <w:szCs w:val="20"/>
              </w:rPr>
              <w:t>PEC</w:t>
            </w:r>
            <w:r w:rsidRPr="00A34F10">
              <w:rPr>
                <w:b/>
                <w:bCs/>
                <w:sz w:val="20"/>
                <w:szCs w:val="20"/>
                <w:vertAlign w:val="subscript"/>
              </w:rPr>
              <w:t>sw</w:t>
            </w:r>
            <w:r w:rsidRPr="00A34F10">
              <w:rPr>
                <w:b/>
                <w:bCs/>
                <w:sz w:val="20"/>
                <w:szCs w:val="20"/>
              </w:rPr>
              <w:t xml:space="preserve"> </w:t>
            </w:r>
            <w:r w:rsidRPr="00A34F10">
              <w:rPr>
                <w:b/>
                <w:bCs/>
                <w:sz w:val="20"/>
                <w:szCs w:val="20"/>
                <w:vertAlign w:val="subscript"/>
              </w:rPr>
              <w:t xml:space="preserve">gl-max </w:t>
            </w:r>
            <w:r w:rsidRPr="00A34F10">
              <w:rPr>
                <w:b/>
                <w:bCs/>
                <w:sz w:val="20"/>
                <w:szCs w:val="20"/>
              </w:rPr>
              <w:t xml:space="preserve">[µg/L] </w:t>
            </w:r>
          </w:p>
        </w:tc>
        <w:tc>
          <w:tcPr>
            <w:tcW w:w="3176" w:type="pct"/>
            <w:gridSpan w:val="3"/>
            <w:tcBorders>
              <w:top w:val="single" w:sz="6" w:space="0" w:color="auto"/>
              <w:left w:val="single" w:sz="6" w:space="0" w:color="auto"/>
              <w:bottom w:val="single" w:sz="4" w:space="0" w:color="auto"/>
              <w:right w:val="single" w:sz="6" w:space="0" w:color="auto"/>
            </w:tcBorders>
            <w:shd w:val="clear" w:color="auto" w:fill="auto"/>
            <w:vAlign w:val="center"/>
          </w:tcPr>
          <w:p w14:paraId="74E2690D" w14:textId="77777777" w:rsidR="00DC5685" w:rsidRPr="00A34F10" w:rsidRDefault="00DC5685" w:rsidP="00DC5685">
            <w:pPr>
              <w:suppressAutoHyphens/>
              <w:autoSpaceDE w:val="0"/>
              <w:autoSpaceDN w:val="0"/>
              <w:adjustRightInd w:val="0"/>
              <w:jc w:val="center"/>
              <w:rPr>
                <w:b/>
                <w:bCs/>
                <w:sz w:val="20"/>
                <w:szCs w:val="20"/>
              </w:rPr>
            </w:pPr>
            <w:r w:rsidRPr="00A34F10">
              <w:rPr>
                <w:b/>
                <w:bCs/>
                <w:sz w:val="20"/>
                <w:szCs w:val="20"/>
              </w:rPr>
              <w:t>PEC/ RAC ratio</w:t>
            </w:r>
          </w:p>
        </w:tc>
      </w:tr>
      <w:tr w:rsidR="00DC5685" w:rsidRPr="00A34F10" w14:paraId="3FE86E53" w14:textId="77777777" w:rsidTr="000470C3">
        <w:trPr>
          <w:trHeight w:val="266"/>
        </w:trPr>
        <w:tc>
          <w:tcPr>
            <w:tcW w:w="706" w:type="pct"/>
            <w:vMerge w:val="restart"/>
            <w:tcBorders>
              <w:top w:val="single" w:sz="4" w:space="0" w:color="auto"/>
              <w:left w:val="single" w:sz="4" w:space="0" w:color="auto"/>
              <w:bottom w:val="single" w:sz="4" w:space="0" w:color="auto"/>
            </w:tcBorders>
            <w:shd w:val="clear" w:color="auto" w:fill="auto"/>
            <w:vAlign w:val="center"/>
          </w:tcPr>
          <w:p w14:paraId="67D45EE2" w14:textId="77777777" w:rsidR="00DC5685" w:rsidRPr="00A34F10" w:rsidRDefault="00DC5685" w:rsidP="00DC5685">
            <w:pPr>
              <w:suppressAutoHyphens/>
              <w:autoSpaceDE w:val="0"/>
              <w:autoSpaceDN w:val="0"/>
              <w:adjustRightInd w:val="0"/>
              <w:rPr>
                <w:sz w:val="20"/>
                <w:szCs w:val="20"/>
              </w:rPr>
            </w:pPr>
            <w:r w:rsidRPr="00A34F10">
              <w:rPr>
                <w:sz w:val="20"/>
                <w:szCs w:val="20"/>
              </w:rPr>
              <w:t>Drift (1 m)</w:t>
            </w:r>
          </w:p>
        </w:tc>
        <w:tc>
          <w:tcPr>
            <w:tcW w:w="1118" w:type="pct"/>
            <w:tcBorders>
              <w:top w:val="single" w:sz="6" w:space="0" w:color="auto"/>
              <w:left w:val="single" w:sz="4" w:space="0" w:color="auto"/>
              <w:bottom w:val="single" w:sz="6" w:space="0" w:color="auto"/>
              <w:right w:val="single" w:sz="4" w:space="0" w:color="auto"/>
            </w:tcBorders>
            <w:shd w:val="clear" w:color="auto" w:fill="auto"/>
            <w:vAlign w:val="center"/>
          </w:tcPr>
          <w:p w14:paraId="5948EDC0"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13.762</w:t>
            </w:r>
          </w:p>
          <w:p w14:paraId="5DD5BCEF"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(Ditch)</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6BBE0306"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&lt;0.0138</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14:paraId="7386F417"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&lt;0.0138</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14:paraId="1B4EFA63"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&lt;0.00138</w:t>
            </w:r>
          </w:p>
        </w:tc>
      </w:tr>
      <w:tr w:rsidR="00DC5685" w:rsidRPr="00A34F10" w14:paraId="0125C54D" w14:textId="77777777" w:rsidTr="000470C3">
        <w:trPr>
          <w:trHeight w:val="266"/>
        </w:trPr>
        <w:tc>
          <w:tcPr>
            <w:tcW w:w="706" w:type="pct"/>
            <w:vMerge/>
            <w:tcBorders>
              <w:left w:val="single" w:sz="4" w:space="0" w:color="auto"/>
              <w:bottom w:val="single" w:sz="4" w:space="0" w:color="auto"/>
            </w:tcBorders>
            <w:shd w:val="clear" w:color="auto" w:fill="auto"/>
            <w:vAlign w:val="center"/>
          </w:tcPr>
          <w:p w14:paraId="52DD2F22" w14:textId="77777777" w:rsidR="00DC5685" w:rsidRPr="00A34F10" w:rsidRDefault="00DC5685" w:rsidP="00DC5685">
            <w:pPr>
              <w:suppressAutoHyphens/>
              <w:autoSpaceDE w:val="0"/>
              <w:autoSpaceDN w:val="0"/>
              <w:adjustRightInd w:val="0"/>
              <w:rPr>
                <w:sz w:val="20"/>
                <w:szCs w:val="20"/>
              </w:rPr>
            </w:pPr>
          </w:p>
        </w:tc>
        <w:tc>
          <w:tcPr>
            <w:tcW w:w="1118" w:type="pct"/>
            <w:tcBorders>
              <w:top w:val="single" w:sz="6" w:space="0" w:color="auto"/>
              <w:left w:val="single" w:sz="4" w:space="0" w:color="auto"/>
              <w:bottom w:val="single" w:sz="6" w:space="0" w:color="auto"/>
              <w:right w:val="single" w:sz="4" w:space="0" w:color="auto"/>
            </w:tcBorders>
            <w:shd w:val="clear" w:color="auto" w:fill="auto"/>
            <w:vAlign w:val="center"/>
          </w:tcPr>
          <w:p w14:paraId="0A66020C"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 xml:space="preserve">0.469 </w:t>
            </w:r>
          </w:p>
          <w:p w14:paraId="06693FE8"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(Pond)</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0EC56DF1"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&lt;0.0005</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14:paraId="4717750A" w14:textId="77777777" w:rsidR="00DC5685" w:rsidRPr="00A34F10" w:rsidRDefault="00DC5685" w:rsidP="00DC5685">
            <w:pPr>
              <w:suppressAutoHyphens/>
              <w:autoSpaceDE w:val="0"/>
              <w:autoSpaceDN w:val="0"/>
              <w:adjustRightInd w:val="0"/>
              <w:jc w:val="center"/>
              <w:rPr>
                <w:b/>
                <w:bCs/>
                <w:sz w:val="20"/>
                <w:szCs w:val="20"/>
              </w:rPr>
            </w:pPr>
            <w:r w:rsidRPr="00A34F10">
              <w:rPr>
                <w:color w:val="000000"/>
                <w:sz w:val="20"/>
                <w:szCs w:val="20"/>
              </w:rPr>
              <w:t>&lt;0.0005</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14:paraId="69F1ED34"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&lt;0.00005</w:t>
            </w:r>
          </w:p>
        </w:tc>
      </w:tr>
      <w:tr w:rsidR="00DC5685" w:rsidRPr="00A34F10" w14:paraId="405ED718" w14:textId="77777777" w:rsidTr="000470C3">
        <w:trPr>
          <w:trHeight w:val="266"/>
        </w:trPr>
        <w:tc>
          <w:tcPr>
            <w:tcW w:w="706" w:type="pct"/>
            <w:vMerge/>
            <w:tcBorders>
              <w:left w:val="single" w:sz="4" w:space="0" w:color="auto"/>
              <w:bottom w:val="single" w:sz="4" w:space="0" w:color="auto"/>
            </w:tcBorders>
            <w:shd w:val="clear" w:color="auto" w:fill="auto"/>
            <w:vAlign w:val="center"/>
          </w:tcPr>
          <w:p w14:paraId="210ED38C" w14:textId="77777777" w:rsidR="00DC5685" w:rsidRPr="00A34F10" w:rsidRDefault="00DC5685" w:rsidP="00DC5685">
            <w:pPr>
              <w:suppressAutoHyphens/>
              <w:autoSpaceDE w:val="0"/>
              <w:autoSpaceDN w:val="0"/>
              <w:adjustRightInd w:val="0"/>
              <w:rPr>
                <w:sz w:val="20"/>
                <w:szCs w:val="20"/>
              </w:rPr>
            </w:pPr>
          </w:p>
        </w:tc>
        <w:tc>
          <w:tcPr>
            <w:tcW w:w="1118" w:type="pct"/>
            <w:tcBorders>
              <w:top w:val="single" w:sz="6" w:space="0" w:color="auto"/>
              <w:left w:val="single" w:sz="4" w:space="0" w:color="auto"/>
              <w:bottom w:val="single" w:sz="6" w:space="0" w:color="auto"/>
              <w:right w:val="single" w:sz="4" w:space="0" w:color="auto"/>
            </w:tcBorders>
            <w:shd w:val="clear" w:color="auto" w:fill="auto"/>
            <w:vAlign w:val="center"/>
          </w:tcPr>
          <w:p w14:paraId="50D65AA8"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 xml:space="preserve">10.213 </w:t>
            </w:r>
          </w:p>
          <w:p w14:paraId="4A60B83C" w14:textId="77777777" w:rsidR="00DC5685" w:rsidRPr="00A34F10" w:rsidRDefault="00DC5685" w:rsidP="00DC5685">
            <w:pPr>
              <w:suppressAutoHyphens/>
              <w:autoSpaceDE w:val="0"/>
              <w:autoSpaceDN w:val="0"/>
              <w:adjustRightInd w:val="0"/>
              <w:jc w:val="center"/>
              <w:rPr>
                <w:sz w:val="20"/>
                <w:szCs w:val="20"/>
                <w:lang w:val="en-GB"/>
              </w:rPr>
            </w:pPr>
            <w:r w:rsidRPr="00A34F10">
              <w:rPr>
                <w:sz w:val="20"/>
                <w:szCs w:val="20"/>
                <w:lang w:val="en-GB"/>
              </w:rPr>
              <w:t>(Stream)</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7B88A5D1"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&lt;0.0102</w:t>
            </w:r>
          </w:p>
        </w:tc>
        <w:tc>
          <w:tcPr>
            <w:tcW w:w="1028" w:type="pct"/>
            <w:tcBorders>
              <w:top w:val="single" w:sz="4" w:space="0" w:color="auto"/>
              <w:left w:val="single" w:sz="4" w:space="0" w:color="auto"/>
              <w:bottom w:val="single" w:sz="4" w:space="0" w:color="auto"/>
              <w:right w:val="single" w:sz="4" w:space="0" w:color="auto"/>
            </w:tcBorders>
            <w:shd w:val="clear" w:color="auto" w:fill="auto"/>
            <w:vAlign w:val="center"/>
          </w:tcPr>
          <w:p w14:paraId="444E42D4"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&lt;0.0102</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tcPr>
          <w:p w14:paraId="09669B42" w14:textId="77777777" w:rsidR="00DC5685" w:rsidRPr="00A34F10" w:rsidRDefault="00DC5685" w:rsidP="00DC5685">
            <w:pPr>
              <w:suppressAutoHyphens/>
              <w:autoSpaceDE w:val="0"/>
              <w:autoSpaceDN w:val="0"/>
              <w:adjustRightInd w:val="0"/>
              <w:jc w:val="center"/>
              <w:rPr>
                <w:sz w:val="20"/>
                <w:szCs w:val="20"/>
              </w:rPr>
            </w:pPr>
            <w:r w:rsidRPr="00A34F10">
              <w:rPr>
                <w:color w:val="000000"/>
                <w:sz w:val="20"/>
                <w:szCs w:val="20"/>
              </w:rPr>
              <w:t>&lt;0.0010213</w:t>
            </w:r>
          </w:p>
        </w:tc>
      </w:tr>
    </w:tbl>
    <w:p w14:paraId="116E7C54" w14:textId="24D9CB8E" w:rsidR="00DC5685" w:rsidRPr="00A34F10" w:rsidRDefault="00DC5685" w:rsidP="00DC5685">
      <w:pPr>
        <w:widowControl w:val="0"/>
        <w:suppressAutoHyphens/>
        <w:jc w:val="both"/>
        <w:rPr>
          <w:highlight w:val="yellow"/>
          <w:u w:val="single"/>
        </w:rPr>
      </w:pPr>
    </w:p>
    <w:p w14:paraId="5262BA83" w14:textId="77777777" w:rsidR="00E23E00" w:rsidRPr="00A34F10" w:rsidRDefault="00E23E00" w:rsidP="00DC5685">
      <w:pPr>
        <w:widowControl w:val="0"/>
        <w:suppressAutoHyphens/>
        <w:jc w:val="both"/>
        <w:rPr>
          <w:highlight w:val="yellow"/>
          <w:u w:val="single"/>
        </w:rPr>
      </w:pPr>
    </w:p>
    <w:p w14:paraId="56A4565D" w14:textId="43F57628" w:rsidR="00DC5685" w:rsidRPr="00A34F10" w:rsidRDefault="00DC5685" w:rsidP="00DC5685">
      <w:pPr>
        <w:widowControl w:val="0"/>
        <w:suppressAutoHyphens/>
        <w:jc w:val="both"/>
      </w:pPr>
      <w:r w:rsidRPr="00A34F10">
        <w:t xml:space="preserve">For the intended worst-case use in field crops (covering use in potato, tomato, </w:t>
      </w:r>
      <w:r w:rsidRPr="00A326E1">
        <w:rPr>
          <w:lang w:val="en-GB"/>
        </w:rPr>
        <w:t>aubergine</w:t>
      </w:r>
      <w:r w:rsidR="00A326E1">
        <w:t xml:space="preserve"> </w:t>
      </w:r>
      <w:r w:rsidRPr="00A34F10">
        <w:t>and onion), calculated PEC/RAC ratios indicated an acceptable risk for all groups of aquatic organisms based on drift PEC</w:t>
      </w:r>
      <w:r w:rsidRPr="00A34F10">
        <w:rPr>
          <w:vertAlign w:val="subscript"/>
        </w:rPr>
        <w:t>SW</w:t>
      </w:r>
      <w:r w:rsidRPr="00A34F10">
        <w:t xml:space="preserve"> values without the need for mitigation measures.</w:t>
      </w:r>
    </w:p>
    <w:p w14:paraId="7992224C" w14:textId="77777777" w:rsidR="00DC5685" w:rsidRPr="00A34F10" w:rsidRDefault="00DC5685" w:rsidP="00DC5685">
      <w:pPr>
        <w:widowControl w:val="0"/>
        <w:suppressAutoHyphens/>
        <w:jc w:val="both"/>
        <w:rPr>
          <w:highlight w:val="yellow"/>
          <w:u w:val="single"/>
        </w:rPr>
      </w:pPr>
    </w:p>
    <w:p w14:paraId="763AA8C1" w14:textId="77777777" w:rsidR="00DC5685" w:rsidRPr="00A34F10" w:rsidRDefault="00DC5685" w:rsidP="00DC5685">
      <w:pPr>
        <w:suppressAutoHyphens/>
        <w:jc w:val="both"/>
        <w:rPr>
          <w:rFonts w:eastAsiaTheme="minorHAnsi"/>
        </w:rPr>
      </w:pPr>
      <w:r w:rsidRPr="00A34F10">
        <w:rPr>
          <w:rFonts w:eastAsia="Batang"/>
          <w:color w:val="0070C0"/>
        </w:rPr>
        <w:br w:type="page"/>
      </w:r>
    </w:p>
    <w:p w14:paraId="4368EABA" w14:textId="77777777" w:rsidR="00DC5685" w:rsidRPr="00A34F10" w:rsidRDefault="00DC5685" w:rsidP="006C0A4B">
      <w:pPr>
        <w:pStyle w:val="Nagwek3"/>
        <w:rPr>
          <w:rFonts w:cs="Times New Roman"/>
        </w:rPr>
      </w:pPr>
      <w:bookmarkStart w:id="519" w:name="_Toc181624972"/>
      <w:r w:rsidRPr="00A34F10">
        <w:rPr>
          <w:rFonts w:cs="Times New Roman"/>
        </w:rPr>
        <w:lastRenderedPageBreak/>
        <w:t>Overall conclusions</w:t>
      </w:r>
      <w:bookmarkEnd w:id="492"/>
      <w:bookmarkEnd w:id="493"/>
      <w:bookmarkEnd w:id="494"/>
      <w:bookmarkEnd w:id="495"/>
      <w:bookmarkEnd w:id="496"/>
      <w:bookmarkEnd w:id="497"/>
      <w:bookmarkEnd w:id="498"/>
      <w:bookmarkEnd w:id="499"/>
      <w:bookmarkEnd w:id="500"/>
      <w:bookmarkEnd w:id="501"/>
      <w:bookmarkEnd w:id="519"/>
    </w:p>
    <w:p w14:paraId="5CDDBFAA" w14:textId="03298A63" w:rsidR="006E6FBE" w:rsidRPr="0030458C" w:rsidRDefault="00DC5685" w:rsidP="00342242">
      <w:pPr>
        <w:jc w:val="both"/>
        <w:rPr>
          <w:color w:val="000000"/>
        </w:rPr>
      </w:pPr>
      <w:r w:rsidRPr="0030458C">
        <w:rPr>
          <w:color w:val="000000"/>
          <w:lang w:val="en-GB"/>
        </w:rPr>
        <w:t>Overall, an acceptable risk to aquatic organisms is demonstrated for all intended uses of BAS 743 03 F without the need of mitigation measures.</w:t>
      </w:r>
      <w:bookmarkEnd w:id="462"/>
      <w:bookmarkEnd w:id="463"/>
    </w:p>
    <w:p w14:paraId="365288BD" w14:textId="77777777" w:rsidR="00342242" w:rsidRDefault="00342242" w:rsidP="00342242">
      <w:pPr>
        <w:keepNext/>
        <w:keepLines/>
        <w:contextualSpacing/>
        <w:rPr>
          <w:sz w:val="20"/>
          <w:szCs w:val="20"/>
          <w:lang w:val="en-CA"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45"/>
      </w:tblGrid>
      <w:tr w:rsidR="00342242" w:rsidRPr="00AF4CF1" w14:paraId="77C0F369" w14:textId="77777777" w:rsidTr="00F53FC3">
        <w:tc>
          <w:tcPr>
            <w:tcW w:w="5000" w:type="pct"/>
            <w:shd w:val="pct15" w:color="auto" w:fill="auto"/>
          </w:tcPr>
          <w:p w14:paraId="17549D0B" w14:textId="77777777" w:rsidR="00342242" w:rsidRPr="00B7025F" w:rsidRDefault="00342242" w:rsidP="00F53FC3">
            <w:pPr>
              <w:overflowPunct w:val="0"/>
              <w:autoSpaceDE w:val="0"/>
              <w:autoSpaceDN w:val="0"/>
              <w:adjustRightInd w:val="0"/>
              <w:spacing w:after="120"/>
              <w:textAlignment w:val="baseline"/>
            </w:pPr>
            <w:r w:rsidRPr="00B7025F">
              <w:rPr>
                <w:b/>
                <w:bCs/>
              </w:rPr>
              <w:t>Review Comments</w:t>
            </w:r>
            <w:r w:rsidRPr="00B7025F">
              <w:t>:</w:t>
            </w:r>
          </w:p>
          <w:p w14:paraId="2419756E" w14:textId="77777777" w:rsidR="00342242" w:rsidRPr="00B7025F" w:rsidRDefault="00342242" w:rsidP="00F53FC3">
            <w:pPr>
              <w:spacing w:after="120"/>
            </w:pPr>
            <w:bookmarkStart w:id="520" w:name="_Hlk61972751"/>
            <w:r w:rsidRPr="00B7025F">
              <w:t xml:space="preserve">The submitted risk assessment has been accepted. </w:t>
            </w:r>
          </w:p>
          <w:p w14:paraId="7FBACCE8" w14:textId="500C6CF9" w:rsidR="00342242" w:rsidRPr="00B7025F" w:rsidRDefault="00342242" w:rsidP="00342242">
            <w:pPr>
              <w:spacing w:after="120"/>
              <w:jc w:val="both"/>
            </w:pPr>
            <w:r w:rsidRPr="00B7025F">
              <w:t>The relevant predicted environmental concentrations in water (PEC</w:t>
            </w:r>
            <w:r w:rsidRPr="00B7025F">
              <w:rPr>
                <w:vertAlign w:val="subscript"/>
              </w:rPr>
              <w:t>sw</w:t>
            </w:r>
            <w:r w:rsidRPr="00B7025F">
              <w:t>) for risk assessments covering the proposed use pattern are taken from Part B Section 8 (Environmental Fate).</w:t>
            </w:r>
            <w:r w:rsidRPr="00B7025F">
              <w:rPr>
                <w:rFonts w:eastAsia="Calibri"/>
              </w:rPr>
              <w:t xml:space="preserve"> </w:t>
            </w:r>
            <w:r w:rsidRPr="00B7025F">
              <w:t xml:space="preserve">The initial risk assessment was based on the worst case PECsw values and the results of laboratory toxicity testing. </w:t>
            </w:r>
            <w:r w:rsidRPr="00B7025F">
              <w:rPr>
                <w:rFonts w:eastAsia="Calibri"/>
              </w:rPr>
              <w:t>The PEC</w:t>
            </w:r>
            <w:r w:rsidRPr="00B7025F">
              <w:rPr>
                <w:rFonts w:eastAsia="Calibri"/>
                <w:vertAlign w:val="subscript"/>
              </w:rPr>
              <w:t>sw</w:t>
            </w:r>
            <w:r w:rsidRPr="00B7025F">
              <w:rPr>
                <w:rFonts w:eastAsia="Calibri"/>
              </w:rPr>
              <w:t xml:space="preserve"> Step 1-2 (for</w:t>
            </w:r>
            <w:r w:rsidR="001A3B93" w:rsidRPr="00B7025F">
              <w:rPr>
                <w:lang w:val="en-GB"/>
              </w:rPr>
              <w:t xml:space="preserve"> ametoctradin, its metabolites and </w:t>
            </w:r>
            <w:r w:rsidR="00CE069E" w:rsidRPr="00B7025F">
              <w:rPr>
                <w:lang w:val="en-GB"/>
              </w:rPr>
              <w:t>p</w:t>
            </w:r>
            <w:r w:rsidR="001A3B93" w:rsidRPr="00B7025F">
              <w:rPr>
                <w:lang w:val="en-GB"/>
              </w:rPr>
              <w:t>ropamocarb</w:t>
            </w:r>
            <w:r w:rsidRPr="00B7025F">
              <w:rPr>
                <w:lang w:val="en-CA"/>
              </w:rPr>
              <w:t xml:space="preserve">) </w:t>
            </w:r>
            <w:r w:rsidRPr="00B7025F">
              <w:rPr>
                <w:rFonts w:eastAsia="Calibri"/>
              </w:rPr>
              <w:t>and Step 3 (</w:t>
            </w:r>
            <w:r w:rsidR="00CE069E" w:rsidRPr="00B7025F">
              <w:rPr>
                <w:rFonts w:eastAsia="Calibri"/>
              </w:rPr>
              <w:t>for</w:t>
            </w:r>
            <w:r w:rsidR="00CE069E" w:rsidRPr="00B7025F">
              <w:rPr>
                <w:lang w:val="en-GB"/>
              </w:rPr>
              <w:t xml:space="preserve"> ametoctradin)</w:t>
            </w:r>
            <w:r w:rsidR="00CE069E" w:rsidRPr="00B7025F">
              <w:rPr>
                <w:rFonts w:eastAsia="Calibri"/>
              </w:rPr>
              <w:t xml:space="preserve"> </w:t>
            </w:r>
            <w:r w:rsidRPr="00B7025F">
              <w:rPr>
                <w:rFonts w:eastAsia="Calibri"/>
              </w:rPr>
              <w:t xml:space="preserve">were used. </w:t>
            </w:r>
          </w:p>
          <w:p w14:paraId="3C53D937" w14:textId="45AAB048" w:rsidR="00342242" w:rsidRPr="009E5BF6" w:rsidRDefault="00CE069E" w:rsidP="00CE069E">
            <w:pPr>
              <w:spacing w:after="120"/>
              <w:jc w:val="both"/>
            </w:pPr>
            <w:bookmarkStart w:id="521" w:name="_Hlk61897476"/>
            <w:r w:rsidRPr="00B7025F">
              <w:rPr>
                <w:color w:val="000000"/>
                <w:lang w:val="en-GB"/>
              </w:rPr>
              <w:t>BAS 743 03 F</w:t>
            </w:r>
            <w:r w:rsidRPr="00B7025F">
              <w:t xml:space="preserve"> </w:t>
            </w:r>
            <w:r w:rsidR="00342242" w:rsidRPr="00B7025F">
              <w:t>applications close to surface water pose acceptable risk to aquatic organisms with</w:t>
            </w:r>
            <w:r w:rsidR="00B7025F" w:rsidRPr="00B7025F">
              <w:t>out any</w:t>
            </w:r>
            <w:r w:rsidR="00342242" w:rsidRPr="00B7025F">
              <w:t xml:space="preserve"> mitigation measures.</w:t>
            </w:r>
            <w:r w:rsidR="00342242" w:rsidRPr="005E2BA6">
              <w:t xml:space="preserve"> </w:t>
            </w:r>
            <w:bookmarkEnd w:id="520"/>
            <w:bookmarkEnd w:id="521"/>
          </w:p>
        </w:tc>
      </w:tr>
    </w:tbl>
    <w:p w14:paraId="4CC9C923" w14:textId="77777777" w:rsidR="006E6FBE" w:rsidRPr="00A34F10" w:rsidRDefault="006E6FBE" w:rsidP="002E7F42">
      <w:pPr>
        <w:pStyle w:val="StyleOECD-BASIS-TEXTLeft"/>
        <w:rPr>
          <w:sz w:val="22"/>
          <w:lang w:val="en-US"/>
        </w:rPr>
        <w:sectPr w:rsidR="006E6FBE" w:rsidRPr="00A34F10" w:rsidSect="00814589">
          <w:headerReference w:type="default" r:id="rId51"/>
          <w:footerReference w:type="even" r:id="rId52"/>
          <w:footerReference w:type="default" r:id="rId53"/>
          <w:footerReference w:type="first" r:id="rId54"/>
          <w:pgSz w:w="11907" w:h="16840" w:code="9"/>
          <w:pgMar w:top="1418" w:right="1134" w:bottom="1418" w:left="1418" w:header="709" w:footer="709" w:gutter="0"/>
          <w:cols w:space="720"/>
        </w:sectPr>
      </w:pPr>
    </w:p>
    <w:p w14:paraId="0B796DA6" w14:textId="77777777" w:rsidR="00DC5685" w:rsidRPr="00A34F10" w:rsidRDefault="00DC5685" w:rsidP="00DC5685">
      <w:pPr>
        <w:pStyle w:val="Nagwek2"/>
      </w:pPr>
      <w:bookmarkStart w:id="522" w:name="_Ref405923442"/>
      <w:bookmarkStart w:id="523" w:name="_Toc412644001"/>
      <w:bookmarkStart w:id="524" w:name="_Toc413916845"/>
      <w:bookmarkStart w:id="525" w:name="_Toc413916987"/>
      <w:bookmarkStart w:id="526" w:name="_Toc413922048"/>
      <w:bookmarkStart w:id="527" w:name="_Toc413922537"/>
      <w:bookmarkStart w:id="528" w:name="_Toc413922641"/>
      <w:bookmarkStart w:id="529" w:name="_Toc414955278"/>
      <w:bookmarkStart w:id="530" w:name="_Toc415214585"/>
      <w:bookmarkStart w:id="531" w:name="_Toc181624973"/>
      <w:r w:rsidRPr="00A34F10">
        <w:lastRenderedPageBreak/>
        <w:t>Effects on bees (KCP 10.3.1)</w:t>
      </w:r>
      <w:bookmarkEnd w:id="522"/>
      <w:bookmarkEnd w:id="523"/>
      <w:bookmarkEnd w:id="524"/>
      <w:bookmarkEnd w:id="525"/>
      <w:bookmarkEnd w:id="526"/>
      <w:bookmarkEnd w:id="527"/>
      <w:bookmarkEnd w:id="528"/>
      <w:bookmarkEnd w:id="529"/>
      <w:bookmarkEnd w:id="530"/>
      <w:bookmarkEnd w:id="531"/>
    </w:p>
    <w:p w14:paraId="4C703C24" w14:textId="343B785A" w:rsidR="00DC5685" w:rsidRDefault="00DC5685" w:rsidP="00DC5685">
      <w:pPr>
        <w:suppressAutoHyphens/>
        <w:jc w:val="both"/>
      </w:pPr>
      <w:bookmarkStart w:id="532" w:name="_Toc412644003"/>
      <w:bookmarkStart w:id="533" w:name="_Toc413916847"/>
      <w:bookmarkStart w:id="534" w:name="_Toc413916989"/>
      <w:bookmarkStart w:id="535" w:name="_Toc413922050"/>
      <w:bookmarkStart w:id="536" w:name="_Toc413922539"/>
      <w:bookmarkStart w:id="537" w:name="_Toc413922643"/>
      <w:bookmarkStart w:id="538" w:name="_Toc414955280"/>
      <w:bookmarkStart w:id="539" w:name="_Toc415214587"/>
      <w:bookmarkStart w:id="540" w:name="_Toc425512608"/>
      <w:bookmarkStart w:id="541" w:name="_Toc399487282"/>
      <w:bookmarkStart w:id="542" w:name="_Ref405399529"/>
      <w:r w:rsidRPr="00A34F10">
        <w:t>Acute contact and oral toxicity studies on honeybees have been carried out with the active substances Ametoctradin (BAS 650 F) and Propamocarb. Full details of these studies are provided in the respective EU documents and the EU agreed endpoints are used for the risk assessment on honeybees.</w:t>
      </w:r>
    </w:p>
    <w:p w14:paraId="6884E65D" w14:textId="4D867D8A" w:rsidR="00843C45" w:rsidRDefault="00843C45" w:rsidP="00DC5685">
      <w:pPr>
        <w:suppressAutoHyphens/>
        <w:jc w:val="both"/>
      </w:pPr>
    </w:p>
    <w:p w14:paraId="5A8DC62C" w14:textId="77777777" w:rsidR="00843C45" w:rsidRDefault="00843C45" w:rsidP="00843C45">
      <w:pPr>
        <w:suppressAutoHyphens/>
        <w:jc w:val="both"/>
        <w:rPr>
          <w:lang w:val="en-GB"/>
        </w:rPr>
      </w:pPr>
      <w:r w:rsidRPr="008848C3">
        <w:rPr>
          <w:lang w:val="en-GB"/>
        </w:rPr>
        <w:t>Studies on the</w:t>
      </w:r>
      <w:r w:rsidRPr="00905ADD">
        <w:rPr>
          <w:lang w:val="en-GB"/>
        </w:rPr>
        <w:t xml:space="preserve"> </w:t>
      </w:r>
      <w:r>
        <w:rPr>
          <w:lang w:val="en-GB"/>
        </w:rPr>
        <w:t xml:space="preserve">chronic </w:t>
      </w:r>
      <w:r w:rsidRPr="00905ADD">
        <w:rPr>
          <w:lang w:val="en-GB"/>
        </w:rPr>
        <w:t xml:space="preserve">toxicity to </w:t>
      </w:r>
      <w:r w:rsidRPr="00CF27CA">
        <w:rPr>
          <w:lang w:val="en-GB"/>
        </w:rPr>
        <w:t>honeybees</w:t>
      </w:r>
      <w:r w:rsidRPr="008848C3">
        <w:rPr>
          <w:lang w:val="en-GB"/>
        </w:rPr>
        <w:t xml:space="preserve"> with Ametoctradin (tested with the solo-formulation BAS 650 00 F containing 200 g Ametoctradin/L, nominal) are available and have been previously submitted in support of the solo-formulation</w:t>
      </w:r>
      <w:r>
        <w:rPr>
          <w:lang w:val="en-GB"/>
        </w:rPr>
        <w:t xml:space="preserve"> </w:t>
      </w:r>
      <w:r w:rsidRPr="008848C3">
        <w:rPr>
          <w:lang w:val="en-GB"/>
        </w:rPr>
        <w:t xml:space="preserve">BAS 650 00 F. For details on these studies please refer to </w:t>
      </w:r>
      <w:r>
        <w:rPr>
          <w:lang w:val="en-GB"/>
        </w:rPr>
        <w:t xml:space="preserve">Appendix 2 and </w:t>
      </w:r>
      <w:r w:rsidRPr="008848C3">
        <w:rPr>
          <w:lang w:val="en-GB"/>
        </w:rPr>
        <w:t xml:space="preserve">the Registration Report for BAS 650 00 F (Registration Report BAS 650 00 F, Part B Section 9, Core Assessment Central Zone prepared by the Netherlands, September 2018). </w:t>
      </w:r>
    </w:p>
    <w:p w14:paraId="3B8AE55C" w14:textId="32476507" w:rsidR="00843C45" w:rsidRPr="00843C45" w:rsidRDefault="00843C45" w:rsidP="00DC5685">
      <w:pPr>
        <w:suppressAutoHyphens/>
        <w:jc w:val="both"/>
        <w:rPr>
          <w:lang w:val="en-GB"/>
        </w:rPr>
      </w:pPr>
      <w:r w:rsidRPr="00905ADD">
        <w:rPr>
          <w:lang w:val="en-GB"/>
        </w:rPr>
        <w:t xml:space="preserve">Studies on the </w:t>
      </w:r>
      <w:r>
        <w:rPr>
          <w:lang w:val="en-GB"/>
        </w:rPr>
        <w:t xml:space="preserve">chronic </w:t>
      </w:r>
      <w:r w:rsidRPr="00905ADD">
        <w:rPr>
          <w:lang w:val="en-GB"/>
        </w:rPr>
        <w:t xml:space="preserve">toxicity to </w:t>
      </w:r>
      <w:r w:rsidRPr="00CF27CA">
        <w:rPr>
          <w:lang w:val="en-GB"/>
        </w:rPr>
        <w:t>honeybees</w:t>
      </w:r>
      <w:r w:rsidRPr="00905ADD">
        <w:rPr>
          <w:lang w:val="en-GB"/>
        </w:rPr>
        <w:t xml:space="preserve"> with </w:t>
      </w:r>
      <w:r w:rsidRPr="008848C3">
        <w:rPr>
          <w:lang w:val="en-GB"/>
        </w:rPr>
        <w:t>Propamocarb-HCl</w:t>
      </w:r>
      <w:r w:rsidRPr="00905ADD">
        <w:rPr>
          <w:lang w:val="en-GB"/>
        </w:rPr>
        <w:t xml:space="preserve"> are available and have been previously submitted </w:t>
      </w:r>
      <w:r>
        <w:rPr>
          <w:lang w:val="en-GB"/>
        </w:rPr>
        <w:t xml:space="preserve">to support the renewal of </w:t>
      </w:r>
      <w:r w:rsidRPr="008848C3">
        <w:rPr>
          <w:lang w:val="en-GB"/>
        </w:rPr>
        <w:t>Propamocarb-HCl</w:t>
      </w:r>
      <w:r>
        <w:rPr>
          <w:lang w:val="en-GB"/>
        </w:rPr>
        <w:t xml:space="preserve"> </w:t>
      </w:r>
      <w:r w:rsidRPr="00905ADD">
        <w:rPr>
          <w:lang w:val="en-GB"/>
        </w:rPr>
        <w:t>(RAR Propamocarb, Vol. 3 – CP B9, June 2017)</w:t>
      </w:r>
      <w:r>
        <w:rPr>
          <w:lang w:val="en-GB"/>
        </w:rPr>
        <w:t>.</w:t>
      </w:r>
    </w:p>
    <w:p w14:paraId="08C00BD2" w14:textId="77777777" w:rsidR="00DC5685" w:rsidRPr="00A34F10" w:rsidRDefault="00DC5685" w:rsidP="00DC5685">
      <w:pPr>
        <w:suppressAutoHyphens/>
        <w:jc w:val="both"/>
      </w:pPr>
    </w:p>
    <w:p w14:paraId="4A92297E" w14:textId="17C60422" w:rsidR="00DC5685" w:rsidRPr="00A34F10" w:rsidRDefault="00DC5685" w:rsidP="00DC5685">
      <w:pPr>
        <w:pStyle w:val="RepStandard"/>
        <w:suppressAutoHyphens/>
      </w:pPr>
      <w:r w:rsidRPr="00A34F10">
        <w:t>Effects on bees of BAS 743 03 F were not evaluated as part of the EU assessment of Ametoctradin and Propamocarb. Therefore, new data on the similar formulation BAS 743 02 F (containing 137.1 g/L Ametoctradin and 515.4 g/L Propamocarb-HCl) submitted with this application are listed in Appendix 1 and summarised in Appendix 2. Since differences in co-formulants and/or their concentration between both formulations are considered minimal and both formulations are SC (suspension concentrates), it is assumed that bridging from BAS 743 02 F to BAS 743 03 F is acceptable. For details on the formulation compositions please refer to Part C of this submission. In addition, several ecotoxicological bridging studies have been performed with the formulation BAS 743 03 F on aquatic invertebrates (</w:t>
      </w:r>
      <w:r w:rsidRPr="00A34F10">
        <w:rPr>
          <w:i/>
          <w:iCs/>
        </w:rPr>
        <w:t>Daphnia magna</w:t>
      </w:r>
      <w:r w:rsidRPr="00A34F10">
        <w:t>, BAS Doc ID 2022/2033730), adult honey bees (</w:t>
      </w:r>
      <w:r w:rsidRPr="00A34F10">
        <w:rPr>
          <w:i/>
        </w:rPr>
        <w:t>Apis mellifera</w:t>
      </w:r>
      <w:r w:rsidRPr="00A34F10">
        <w:t xml:space="preserve">, acute oral and contact, </w:t>
      </w:r>
      <w:r w:rsidR="00482794">
        <w:t>XXXX</w:t>
      </w:r>
      <w:r w:rsidRPr="00A34F10">
        <w:t xml:space="preserve"> Doc ID 2022/2033729), non-target terrestrial arthropods (</w:t>
      </w:r>
      <w:r w:rsidRPr="00A34F10">
        <w:rPr>
          <w:i/>
        </w:rPr>
        <w:t xml:space="preserve">Aphidius rhopalosiphi, </w:t>
      </w:r>
      <w:r w:rsidR="00482794">
        <w:t>XXXX</w:t>
      </w:r>
      <w:r w:rsidRPr="00A34F10">
        <w:t xml:space="preserve"> Doc ID 2022/2033732) and chronic earthworms (</w:t>
      </w:r>
      <w:r w:rsidRPr="00A34F10">
        <w:rPr>
          <w:i/>
          <w:iCs/>
        </w:rPr>
        <w:t>Eisenia fetida</w:t>
      </w:r>
      <w:r w:rsidRPr="00A34F10">
        <w:t xml:space="preserve">, </w:t>
      </w:r>
      <w:r w:rsidR="00482794">
        <w:t>XXXX</w:t>
      </w:r>
      <w:r w:rsidRPr="00A34F10">
        <w:t xml:space="preserve"> Doc ID 2022/2033731) indicating no increased toxicity of BAS 743 03 F compared to BAS 743 02 F based on the content of active substance.</w:t>
      </w:r>
    </w:p>
    <w:p w14:paraId="644E9512" w14:textId="77777777" w:rsidR="00DC5685" w:rsidRPr="00A34F10" w:rsidRDefault="00DC5685" w:rsidP="00DC5685">
      <w:pPr>
        <w:pStyle w:val="RepStandard"/>
        <w:suppressAutoHyphens/>
      </w:pPr>
    </w:p>
    <w:p w14:paraId="35B9CCA0" w14:textId="77777777" w:rsidR="00DC5685" w:rsidRPr="00A34F10" w:rsidRDefault="00DC5685" w:rsidP="00DC5685">
      <w:pPr>
        <w:pStyle w:val="RepStandard"/>
      </w:pPr>
      <w:r w:rsidRPr="00A34F10">
        <w:t>The selection of studies and endpoints for the risk assessment is in line with the results of the EU review process, plus the endpoints for the formulation have been taken into account.</w:t>
      </w:r>
    </w:p>
    <w:p w14:paraId="33EBDDFB" w14:textId="309A08B6" w:rsidR="00DC5685" w:rsidRPr="00A34F10" w:rsidRDefault="00DC5685" w:rsidP="00DC5685">
      <w:pPr>
        <w:pStyle w:val="RepStandard"/>
        <w:suppressAutoHyphens/>
      </w:pPr>
    </w:p>
    <w:p w14:paraId="7AAFC770" w14:textId="7BCE1F3B" w:rsidR="00DC5685" w:rsidRPr="00A34F10" w:rsidRDefault="00DC5685" w:rsidP="00DC5685">
      <w:pPr>
        <w:pStyle w:val="RepLabel"/>
        <w:tabs>
          <w:tab w:val="clear" w:pos="1985"/>
          <w:tab w:val="left" w:pos="1134"/>
        </w:tabs>
        <w:suppressAutoHyphens/>
        <w:rPr>
          <w:b w:val="0"/>
        </w:rPr>
      </w:pPr>
      <w:bookmarkStart w:id="543" w:name="_Ref441746022"/>
      <w:bookmarkStart w:id="544" w:name="_Hlk130732632"/>
      <w:r w:rsidRPr="00A34F10">
        <w:t xml:space="preserve">Table </w:t>
      </w:r>
      <w:fldSimple w:instr=" STYLEREF 2 \s ">
        <w:r w:rsidR="006F0F3B">
          <w:rPr>
            <w:noProof/>
          </w:rPr>
          <w:t>9.6</w:t>
        </w:r>
      </w:fldSimple>
      <w:r w:rsidR="007E7467">
        <w:noBreakHyphen/>
      </w:r>
      <w:fldSimple w:instr=" SEQ Table \* ARABIC \s 2 ">
        <w:r w:rsidR="006F0F3B">
          <w:rPr>
            <w:noProof/>
          </w:rPr>
          <w:t>1</w:t>
        </w:r>
      </w:fldSimple>
      <w:bookmarkEnd w:id="543"/>
      <w:r w:rsidRPr="00A34F10">
        <w:tab/>
        <w:t>Endpoints and effect values for Ametoctradin relevant for the risk assessment for bees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671"/>
        <w:gridCol w:w="1703"/>
        <w:gridCol w:w="2235"/>
        <w:gridCol w:w="1867"/>
      </w:tblGrid>
      <w:tr w:rsidR="00DC5685" w:rsidRPr="00A34F10" w14:paraId="1DC6CF7F" w14:textId="77777777" w:rsidTr="000470C3">
        <w:trPr>
          <w:tblHeader/>
        </w:trPr>
        <w:tc>
          <w:tcPr>
            <w:tcW w:w="1000" w:type="pct"/>
            <w:shd w:val="clear" w:color="auto" w:fill="auto"/>
          </w:tcPr>
          <w:p w14:paraId="44830B0C" w14:textId="77777777" w:rsidR="00DC5685" w:rsidRPr="00A34F10" w:rsidRDefault="00DC5685" w:rsidP="000470C3">
            <w:pPr>
              <w:pStyle w:val="RepTableHeader"/>
              <w:suppressAutoHyphens/>
              <w:jc w:val="center"/>
            </w:pPr>
            <w:r w:rsidRPr="00A34F10">
              <w:t>Species</w:t>
            </w:r>
          </w:p>
        </w:tc>
        <w:tc>
          <w:tcPr>
            <w:tcW w:w="894" w:type="pct"/>
            <w:shd w:val="clear" w:color="auto" w:fill="auto"/>
          </w:tcPr>
          <w:p w14:paraId="724BB2D5" w14:textId="77777777" w:rsidR="00DC5685" w:rsidRPr="00A34F10" w:rsidRDefault="00DC5685" w:rsidP="000470C3">
            <w:pPr>
              <w:pStyle w:val="RepTableHeader"/>
              <w:suppressAutoHyphens/>
              <w:jc w:val="center"/>
            </w:pPr>
            <w:r w:rsidRPr="00A34F10">
              <w:t>Substance</w:t>
            </w:r>
          </w:p>
        </w:tc>
        <w:tc>
          <w:tcPr>
            <w:tcW w:w="911" w:type="pct"/>
            <w:shd w:val="clear" w:color="auto" w:fill="auto"/>
          </w:tcPr>
          <w:p w14:paraId="5D188FA9" w14:textId="77777777" w:rsidR="00DC5685" w:rsidRPr="00A34F10" w:rsidRDefault="00DC5685" w:rsidP="000470C3">
            <w:pPr>
              <w:pStyle w:val="RepTableHeader"/>
              <w:suppressAutoHyphens/>
              <w:jc w:val="center"/>
            </w:pPr>
            <w:r w:rsidRPr="00A34F10">
              <w:t>Exposure</w:t>
            </w:r>
            <w:r w:rsidRPr="00A34F10">
              <w:br/>
              <w:t>System</w:t>
            </w:r>
          </w:p>
        </w:tc>
        <w:tc>
          <w:tcPr>
            <w:tcW w:w="1196" w:type="pct"/>
            <w:shd w:val="clear" w:color="auto" w:fill="auto"/>
          </w:tcPr>
          <w:p w14:paraId="124C3105" w14:textId="77777777" w:rsidR="00DC5685" w:rsidRPr="00A34F10" w:rsidRDefault="00DC5685" w:rsidP="000470C3">
            <w:pPr>
              <w:pStyle w:val="RepTableHeader"/>
              <w:suppressAutoHyphens/>
              <w:jc w:val="center"/>
            </w:pPr>
            <w:r w:rsidRPr="00A34F10">
              <w:t>Results</w:t>
            </w:r>
          </w:p>
        </w:tc>
        <w:tc>
          <w:tcPr>
            <w:tcW w:w="1000" w:type="pct"/>
            <w:shd w:val="clear" w:color="auto" w:fill="auto"/>
          </w:tcPr>
          <w:p w14:paraId="10015281" w14:textId="77777777" w:rsidR="00DC5685" w:rsidRPr="00A34F10" w:rsidRDefault="00DC5685" w:rsidP="000470C3">
            <w:pPr>
              <w:pStyle w:val="RepTableHeader"/>
              <w:suppressAutoHyphens/>
              <w:jc w:val="center"/>
            </w:pPr>
            <w:r w:rsidRPr="00A34F10">
              <w:t>Reference</w:t>
            </w:r>
          </w:p>
        </w:tc>
      </w:tr>
      <w:tr w:rsidR="00DC5685" w:rsidRPr="00A34F10" w14:paraId="788F0D12" w14:textId="77777777" w:rsidTr="000470C3">
        <w:tc>
          <w:tcPr>
            <w:tcW w:w="1000" w:type="pct"/>
            <w:shd w:val="clear" w:color="auto" w:fill="auto"/>
          </w:tcPr>
          <w:p w14:paraId="6F12EA30" w14:textId="77777777" w:rsidR="00DC5685" w:rsidRPr="00A34F10" w:rsidRDefault="00DC5685" w:rsidP="000470C3">
            <w:pPr>
              <w:pStyle w:val="RepTable"/>
              <w:suppressAutoHyphens/>
              <w:rPr>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43AF3656" w14:textId="77777777" w:rsidR="00DC5685" w:rsidRPr="00A34F10" w:rsidRDefault="00DC5685" w:rsidP="000470C3">
            <w:pPr>
              <w:pStyle w:val="RepTable"/>
              <w:suppressAutoHyphens/>
              <w:rPr>
                <w:noProof w:val="0"/>
              </w:rPr>
            </w:pPr>
            <w:r w:rsidRPr="00A34F10">
              <w:rPr>
                <w:noProof w:val="0"/>
              </w:rPr>
              <w:t>Ametoctradin</w:t>
            </w:r>
          </w:p>
        </w:tc>
        <w:tc>
          <w:tcPr>
            <w:tcW w:w="911" w:type="pct"/>
            <w:shd w:val="clear" w:color="auto" w:fill="auto"/>
          </w:tcPr>
          <w:p w14:paraId="33C467AC" w14:textId="77777777" w:rsidR="00DC5685" w:rsidRPr="00A34F10" w:rsidRDefault="00DC5685" w:rsidP="000470C3">
            <w:pPr>
              <w:pStyle w:val="RepTable"/>
              <w:suppressAutoHyphens/>
              <w:rPr>
                <w:noProof w:val="0"/>
              </w:rPr>
            </w:pPr>
            <w:r w:rsidRPr="00A34F10">
              <w:rPr>
                <w:noProof w:val="0"/>
              </w:rPr>
              <w:t>acute oral, 48 h</w:t>
            </w:r>
          </w:p>
        </w:tc>
        <w:tc>
          <w:tcPr>
            <w:tcW w:w="1196" w:type="pct"/>
            <w:shd w:val="clear" w:color="auto" w:fill="auto"/>
          </w:tcPr>
          <w:p w14:paraId="10C9F094" w14:textId="77777777" w:rsidR="00DC5685" w:rsidRPr="00A34F10" w:rsidRDefault="00DC5685" w:rsidP="000470C3">
            <w:pPr>
              <w:pStyle w:val="RepTable"/>
              <w:suppressAutoHyphens/>
              <w:rPr>
                <w:b/>
                <w:bCs/>
                <w:noProof w:val="0"/>
              </w:rPr>
            </w:pPr>
            <w:r w:rsidRPr="00A34F10">
              <w:rPr>
                <w:b/>
                <w:bCs/>
                <w:noProof w:val="0"/>
              </w:rPr>
              <w:t>LD</w:t>
            </w:r>
            <w:r w:rsidRPr="00A34F10">
              <w:rPr>
                <w:b/>
                <w:bCs/>
                <w:noProof w:val="0"/>
                <w:vertAlign w:val="subscript"/>
              </w:rPr>
              <w:t>50</w:t>
            </w:r>
            <w:r w:rsidRPr="00A34F10">
              <w:rPr>
                <w:b/>
                <w:bCs/>
                <w:noProof w:val="0"/>
              </w:rPr>
              <w:t xml:space="preserve"> (48 h) &gt; 111.5 µg/bee</w:t>
            </w:r>
          </w:p>
        </w:tc>
        <w:tc>
          <w:tcPr>
            <w:tcW w:w="1000" w:type="pct"/>
            <w:shd w:val="clear" w:color="auto" w:fill="auto"/>
          </w:tcPr>
          <w:p w14:paraId="2E1F0EFF" w14:textId="77777777" w:rsidR="00DC5685" w:rsidRPr="00A34F10" w:rsidRDefault="00DC5685" w:rsidP="000470C3">
            <w:pPr>
              <w:pStyle w:val="RepTable"/>
              <w:suppressAutoHyphens/>
              <w:rPr>
                <w:noProof w:val="0"/>
              </w:rPr>
            </w:pPr>
            <w:r w:rsidRPr="00A34F10">
              <w:rPr>
                <w:bCs/>
                <w:iCs/>
                <w:noProof w:val="0"/>
              </w:rPr>
              <w:t>EFSA Journal 2012; 10(11):2921</w:t>
            </w:r>
            <w:r w:rsidRPr="00A34F10">
              <w:rPr>
                <w:bCs/>
                <w:iCs/>
                <w:noProof w:val="0"/>
              </w:rPr>
              <w:br/>
            </w:r>
            <w:r w:rsidRPr="00A34F10">
              <w:rPr>
                <w:noProof w:val="0"/>
              </w:rPr>
              <w:t>2006/1012047</w:t>
            </w:r>
          </w:p>
        </w:tc>
      </w:tr>
      <w:tr w:rsidR="00DC5685" w:rsidRPr="00A34F10" w14:paraId="00994D2C" w14:textId="77777777" w:rsidTr="000470C3">
        <w:tc>
          <w:tcPr>
            <w:tcW w:w="1000" w:type="pct"/>
            <w:shd w:val="clear" w:color="auto" w:fill="auto"/>
          </w:tcPr>
          <w:p w14:paraId="22F573D6" w14:textId="77777777" w:rsidR="00DC5685" w:rsidRPr="00A34F10" w:rsidRDefault="00DC5685" w:rsidP="000470C3">
            <w:pPr>
              <w:pStyle w:val="RepTable"/>
              <w:suppressAutoHyphens/>
              <w:rPr>
                <w:i/>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3D699BCE" w14:textId="77777777" w:rsidR="00DC5685" w:rsidRPr="00A34F10" w:rsidRDefault="00DC5685" w:rsidP="000470C3">
            <w:pPr>
              <w:pStyle w:val="RepTable"/>
              <w:suppressAutoHyphens/>
              <w:rPr>
                <w:noProof w:val="0"/>
              </w:rPr>
            </w:pPr>
            <w:r w:rsidRPr="00A34F10">
              <w:rPr>
                <w:noProof w:val="0"/>
              </w:rPr>
              <w:t>Ametoctradin</w:t>
            </w:r>
          </w:p>
        </w:tc>
        <w:tc>
          <w:tcPr>
            <w:tcW w:w="911" w:type="pct"/>
            <w:shd w:val="clear" w:color="auto" w:fill="auto"/>
          </w:tcPr>
          <w:p w14:paraId="178AF71E" w14:textId="77777777" w:rsidR="00DC5685" w:rsidRPr="00A34F10" w:rsidRDefault="00DC5685" w:rsidP="000470C3">
            <w:pPr>
              <w:pStyle w:val="RepTable"/>
              <w:suppressAutoHyphens/>
              <w:rPr>
                <w:noProof w:val="0"/>
              </w:rPr>
            </w:pPr>
            <w:r w:rsidRPr="00A34F10">
              <w:rPr>
                <w:noProof w:val="0"/>
              </w:rPr>
              <w:t>acute contact, 48 h</w:t>
            </w:r>
          </w:p>
        </w:tc>
        <w:tc>
          <w:tcPr>
            <w:tcW w:w="1196" w:type="pct"/>
            <w:shd w:val="clear" w:color="auto" w:fill="auto"/>
          </w:tcPr>
          <w:p w14:paraId="4937061A" w14:textId="77777777" w:rsidR="00DC5685" w:rsidRPr="00A34F10" w:rsidRDefault="00DC5685" w:rsidP="000470C3">
            <w:pPr>
              <w:pStyle w:val="RepTable"/>
              <w:suppressAutoHyphens/>
              <w:rPr>
                <w:b/>
                <w:bCs/>
                <w:noProof w:val="0"/>
              </w:rPr>
            </w:pPr>
            <w:r w:rsidRPr="00A34F10">
              <w:rPr>
                <w:b/>
                <w:bCs/>
                <w:noProof w:val="0"/>
              </w:rPr>
              <w:t>LD</w:t>
            </w:r>
            <w:r w:rsidRPr="00A34F10">
              <w:rPr>
                <w:b/>
                <w:bCs/>
                <w:noProof w:val="0"/>
                <w:vertAlign w:val="subscript"/>
              </w:rPr>
              <w:t>50</w:t>
            </w:r>
            <w:r w:rsidRPr="00A34F10">
              <w:rPr>
                <w:b/>
                <w:bCs/>
                <w:noProof w:val="0"/>
              </w:rPr>
              <w:t xml:space="preserve"> (48 h) &gt; 100.0 µg/bee</w:t>
            </w:r>
          </w:p>
        </w:tc>
        <w:tc>
          <w:tcPr>
            <w:tcW w:w="1000" w:type="pct"/>
            <w:shd w:val="clear" w:color="auto" w:fill="auto"/>
          </w:tcPr>
          <w:p w14:paraId="5EF1E2DE" w14:textId="77777777" w:rsidR="00DC5685" w:rsidRPr="00A34F10" w:rsidRDefault="00DC5685" w:rsidP="000470C3">
            <w:pPr>
              <w:pStyle w:val="RepTable"/>
              <w:suppressAutoHyphens/>
              <w:rPr>
                <w:noProof w:val="0"/>
              </w:rPr>
            </w:pPr>
            <w:r w:rsidRPr="00A34F10">
              <w:rPr>
                <w:bCs/>
                <w:iCs/>
                <w:noProof w:val="0"/>
              </w:rPr>
              <w:t>EFSA Journal 2012; 10(11):2921</w:t>
            </w:r>
            <w:r w:rsidRPr="00A34F10">
              <w:rPr>
                <w:bCs/>
                <w:iCs/>
                <w:noProof w:val="0"/>
              </w:rPr>
              <w:br/>
            </w:r>
            <w:r w:rsidRPr="00A34F10">
              <w:rPr>
                <w:noProof w:val="0"/>
              </w:rPr>
              <w:t>2006/1012047</w:t>
            </w:r>
          </w:p>
        </w:tc>
      </w:tr>
      <w:tr w:rsidR="00DC5685" w:rsidRPr="00A34F10" w14:paraId="631E2956" w14:textId="77777777" w:rsidTr="000470C3">
        <w:tc>
          <w:tcPr>
            <w:tcW w:w="1000" w:type="pct"/>
            <w:shd w:val="clear" w:color="auto" w:fill="auto"/>
          </w:tcPr>
          <w:p w14:paraId="14324164" w14:textId="77777777" w:rsidR="00DC5685" w:rsidRPr="00A34F10" w:rsidRDefault="00DC5685" w:rsidP="000470C3">
            <w:pPr>
              <w:pStyle w:val="RepTable"/>
              <w:suppressAutoHyphens/>
              <w:rPr>
                <w:i/>
                <w:noProof w:val="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670359D7" w14:textId="77777777" w:rsidR="00DC5685" w:rsidRPr="00A34F10" w:rsidRDefault="00DC5685" w:rsidP="000470C3">
            <w:pPr>
              <w:pStyle w:val="RepTable"/>
              <w:suppressAutoHyphens/>
              <w:rPr>
                <w:noProof w:val="0"/>
              </w:rPr>
            </w:pPr>
            <w:r w:rsidRPr="00A34F10">
              <w:rPr>
                <w:szCs w:val="20"/>
              </w:rPr>
              <w:t>Ametoctradin (conducted with BAS 650 00 F)</w:t>
            </w:r>
          </w:p>
        </w:tc>
        <w:tc>
          <w:tcPr>
            <w:tcW w:w="911" w:type="pct"/>
            <w:shd w:val="clear" w:color="auto" w:fill="auto"/>
          </w:tcPr>
          <w:p w14:paraId="069A8183" w14:textId="77777777" w:rsidR="00DC5685" w:rsidRPr="00A34F10" w:rsidRDefault="00DC5685" w:rsidP="000470C3">
            <w:pPr>
              <w:pStyle w:val="RepTable"/>
              <w:suppressAutoHyphens/>
              <w:rPr>
                <w:noProof w:val="0"/>
              </w:rPr>
            </w:pPr>
            <w:r w:rsidRPr="00A34F10">
              <w:rPr>
                <w:noProof w:val="0"/>
                <w:szCs w:val="20"/>
              </w:rPr>
              <w:t>chronic, 10 d</w:t>
            </w:r>
          </w:p>
        </w:tc>
        <w:tc>
          <w:tcPr>
            <w:tcW w:w="1196" w:type="pct"/>
            <w:shd w:val="clear" w:color="auto" w:fill="auto"/>
          </w:tcPr>
          <w:p w14:paraId="706725B3" w14:textId="77777777" w:rsidR="00DC5685" w:rsidRPr="00A34F10" w:rsidRDefault="00DC5685" w:rsidP="000470C3">
            <w:pPr>
              <w:pStyle w:val="RepTable"/>
              <w:suppressAutoHyphens/>
              <w:rPr>
                <w:noProof w:val="0"/>
                <w:szCs w:val="20"/>
              </w:rPr>
            </w:pPr>
            <w:r w:rsidRPr="007676F3">
              <w:rPr>
                <w:noProof w:val="0"/>
                <w:szCs w:val="20"/>
              </w:rPr>
              <w:t>LDD</w:t>
            </w:r>
            <w:r w:rsidRPr="007676F3">
              <w:rPr>
                <w:noProof w:val="0"/>
                <w:szCs w:val="20"/>
                <w:vertAlign w:val="subscript"/>
              </w:rPr>
              <w:t>50</w:t>
            </w:r>
            <w:r w:rsidRPr="007676F3">
              <w:rPr>
                <w:noProof w:val="0"/>
                <w:szCs w:val="20"/>
              </w:rPr>
              <w:t xml:space="preserve"> (10 d) = 10.2 µg a.s./bee/day</w:t>
            </w:r>
            <w:r w:rsidRPr="00BE69FD">
              <w:rPr>
                <w:b/>
                <w:bCs/>
                <w:noProof w:val="0"/>
                <w:szCs w:val="20"/>
              </w:rPr>
              <w:br/>
            </w:r>
            <w:r w:rsidRPr="00A34F10">
              <w:rPr>
                <w:noProof w:val="0"/>
                <w:szCs w:val="20"/>
              </w:rPr>
              <w:t>LC</w:t>
            </w:r>
            <w:r w:rsidRPr="00A34F10">
              <w:rPr>
                <w:noProof w:val="0"/>
                <w:szCs w:val="20"/>
                <w:vertAlign w:val="subscript"/>
              </w:rPr>
              <w:t>50</w:t>
            </w:r>
            <w:r w:rsidRPr="00A34F10">
              <w:rPr>
                <w:noProof w:val="0"/>
                <w:szCs w:val="20"/>
              </w:rPr>
              <w:t xml:space="preserve"> (10 d) = 0.254 g a.s./kg food</w:t>
            </w:r>
          </w:p>
        </w:tc>
        <w:tc>
          <w:tcPr>
            <w:tcW w:w="1000" w:type="pct"/>
            <w:shd w:val="clear" w:color="auto" w:fill="auto"/>
          </w:tcPr>
          <w:p w14:paraId="17699F82" w14:textId="77777777" w:rsidR="00DC5685" w:rsidRDefault="00DC5685" w:rsidP="000470C3">
            <w:pPr>
              <w:pStyle w:val="RepTable"/>
              <w:suppressAutoHyphens/>
              <w:rPr>
                <w:noProof w:val="0"/>
                <w:szCs w:val="20"/>
              </w:rPr>
            </w:pPr>
            <w:r w:rsidRPr="00A34F10">
              <w:rPr>
                <w:noProof w:val="0"/>
                <w:szCs w:val="20"/>
              </w:rPr>
              <w:t>new study</w:t>
            </w:r>
            <w:r w:rsidRPr="00A34F10">
              <w:rPr>
                <w:noProof w:val="0"/>
                <w:szCs w:val="20"/>
              </w:rPr>
              <w:br/>
              <w:t>2014/1111114</w:t>
            </w:r>
          </w:p>
          <w:p w14:paraId="401E3D30" w14:textId="1E946DC9" w:rsidR="002D3DC1" w:rsidRPr="00A34F10" w:rsidRDefault="00291906" w:rsidP="000470C3">
            <w:pPr>
              <w:pStyle w:val="RepTable"/>
              <w:suppressAutoHyphens/>
              <w:rPr>
                <w:bCs/>
                <w:iCs/>
                <w:noProof w:val="0"/>
              </w:rPr>
            </w:pPr>
            <w:r w:rsidRPr="00291906">
              <w:rPr>
                <w:bCs/>
                <w:iCs/>
                <w:noProof w:val="0"/>
                <w:shd w:val="clear" w:color="auto" w:fill="D9D9D9" w:themeFill="background1" w:themeFillShade="D9"/>
              </w:rPr>
              <w:t>N</w:t>
            </w:r>
            <w:r w:rsidR="002D3DC1" w:rsidRPr="00291906">
              <w:rPr>
                <w:bCs/>
                <w:iCs/>
                <w:noProof w:val="0"/>
                <w:shd w:val="clear" w:color="auto" w:fill="D9D9D9" w:themeFill="background1" w:themeFillShade="D9"/>
              </w:rPr>
              <w:t xml:space="preserve">ot </w:t>
            </w:r>
            <w:r w:rsidRPr="00291906">
              <w:rPr>
                <w:bCs/>
                <w:iCs/>
                <w:noProof w:val="0"/>
                <w:shd w:val="clear" w:color="auto" w:fill="D9D9D9" w:themeFill="background1" w:themeFillShade="D9"/>
              </w:rPr>
              <w:t>evaluated</w:t>
            </w:r>
          </w:p>
        </w:tc>
      </w:tr>
      <w:tr w:rsidR="00DC5685" w:rsidRPr="00A34F10" w14:paraId="07B461DE" w14:textId="77777777" w:rsidTr="000470C3">
        <w:tc>
          <w:tcPr>
            <w:tcW w:w="1000" w:type="pct"/>
            <w:shd w:val="clear" w:color="auto" w:fill="auto"/>
          </w:tcPr>
          <w:p w14:paraId="1724AC59" w14:textId="77777777" w:rsidR="00DC5685" w:rsidRPr="00A34F10" w:rsidRDefault="00DC5685" w:rsidP="000470C3">
            <w:pPr>
              <w:pStyle w:val="RepTable"/>
              <w:suppressAutoHyphens/>
              <w:rPr>
                <w:i/>
                <w:noProof w:val="0"/>
              </w:rPr>
            </w:pPr>
            <w:r w:rsidRPr="00A34F10">
              <w:rPr>
                <w:i/>
                <w:noProof w:val="0"/>
                <w:szCs w:val="20"/>
              </w:rPr>
              <w:t>Apis mellifera</w:t>
            </w:r>
            <w:r w:rsidRPr="00A34F10">
              <w:rPr>
                <w:i/>
                <w:noProof w:val="0"/>
                <w:szCs w:val="20"/>
              </w:rPr>
              <w:br/>
            </w:r>
            <w:r w:rsidRPr="00A34F10">
              <w:rPr>
                <w:noProof w:val="0"/>
                <w:szCs w:val="20"/>
              </w:rPr>
              <w:t>(larvae)</w:t>
            </w:r>
          </w:p>
        </w:tc>
        <w:tc>
          <w:tcPr>
            <w:tcW w:w="894" w:type="pct"/>
            <w:shd w:val="clear" w:color="auto" w:fill="auto"/>
          </w:tcPr>
          <w:p w14:paraId="74F49F95" w14:textId="77777777" w:rsidR="00DC5685" w:rsidRPr="00A34F10" w:rsidRDefault="00DC5685" w:rsidP="000470C3">
            <w:pPr>
              <w:pStyle w:val="RepTable"/>
              <w:suppressAutoHyphens/>
              <w:rPr>
                <w:noProof w:val="0"/>
              </w:rPr>
            </w:pPr>
            <w:r w:rsidRPr="00A34F10">
              <w:rPr>
                <w:szCs w:val="20"/>
              </w:rPr>
              <w:t>Ametoctradin (conducted with BAS 650 00 F)</w:t>
            </w:r>
          </w:p>
        </w:tc>
        <w:tc>
          <w:tcPr>
            <w:tcW w:w="911" w:type="pct"/>
            <w:shd w:val="clear" w:color="auto" w:fill="auto"/>
          </w:tcPr>
          <w:p w14:paraId="679AFB62" w14:textId="77777777" w:rsidR="00DC5685" w:rsidRPr="00A34F10" w:rsidRDefault="00DC5685" w:rsidP="000470C3">
            <w:pPr>
              <w:pStyle w:val="RepTable"/>
              <w:suppressAutoHyphens/>
              <w:rPr>
                <w:noProof w:val="0"/>
              </w:rPr>
            </w:pPr>
            <w:r w:rsidRPr="00A34F10">
              <w:rPr>
                <w:noProof w:val="0"/>
                <w:szCs w:val="20"/>
              </w:rPr>
              <w:t>repeated exposure, 22 d</w:t>
            </w:r>
          </w:p>
        </w:tc>
        <w:tc>
          <w:tcPr>
            <w:tcW w:w="1196" w:type="pct"/>
            <w:shd w:val="clear" w:color="auto" w:fill="auto"/>
          </w:tcPr>
          <w:p w14:paraId="3FAAB9F1" w14:textId="77777777" w:rsidR="00DC5685" w:rsidRPr="00A34F10" w:rsidRDefault="00DC5685" w:rsidP="000470C3">
            <w:pPr>
              <w:pStyle w:val="RepTable"/>
              <w:suppressAutoHyphens/>
              <w:rPr>
                <w:noProof w:val="0"/>
                <w:szCs w:val="20"/>
              </w:rPr>
            </w:pPr>
            <w:r w:rsidRPr="00A34F10">
              <w:rPr>
                <w:noProof w:val="0"/>
                <w:szCs w:val="20"/>
              </w:rPr>
              <w:t>LD</w:t>
            </w:r>
            <w:r w:rsidRPr="00A34F10">
              <w:rPr>
                <w:noProof w:val="0"/>
                <w:szCs w:val="20"/>
                <w:vertAlign w:val="subscript"/>
              </w:rPr>
              <w:t>50</w:t>
            </w:r>
            <w:r w:rsidRPr="00A34F10">
              <w:rPr>
                <w:noProof w:val="0"/>
                <w:szCs w:val="20"/>
              </w:rPr>
              <w:t xml:space="preserve"> (22 d) = 23.1 µg a.s./larva</w:t>
            </w:r>
          </w:p>
          <w:p w14:paraId="13AC1624" w14:textId="77777777" w:rsidR="00DC5685" w:rsidRPr="007676F3" w:rsidRDefault="00DC5685" w:rsidP="000470C3">
            <w:pPr>
              <w:pStyle w:val="RepTable"/>
              <w:suppressAutoHyphens/>
              <w:rPr>
                <w:noProof w:val="0"/>
                <w:color w:val="000000"/>
              </w:rPr>
            </w:pPr>
            <w:r w:rsidRPr="007676F3">
              <w:rPr>
                <w:noProof w:val="0"/>
                <w:szCs w:val="20"/>
              </w:rPr>
              <w:t>NOED (22d) = 7.1 µg a.s./larva</w:t>
            </w:r>
          </w:p>
        </w:tc>
        <w:tc>
          <w:tcPr>
            <w:tcW w:w="1000" w:type="pct"/>
            <w:shd w:val="clear" w:color="auto" w:fill="auto"/>
          </w:tcPr>
          <w:p w14:paraId="2A38CF4B" w14:textId="77777777" w:rsidR="00DC5685" w:rsidRDefault="00DC5685" w:rsidP="000470C3">
            <w:pPr>
              <w:pStyle w:val="RepTable"/>
              <w:suppressAutoHyphens/>
              <w:rPr>
                <w:noProof w:val="0"/>
                <w:szCs w:val="20"/>
              </w:rPr>
            </w:pPr>
            <w:r w:rsidRPr="00A34F10">
              <w:rPr>
                <w:noProof w:val="0"/>
                <w:szCs w:val="20"/>
              </w:rPr>
              <w:t>new study</w:t>
            </w:r>
            <w:r w:rsidRPr="00A34F10">
              <w:rPr>
                <w:noProof w:val="0"/>
                <w:szCs w:val="20"/>
              </w:rPr>
              <w:br/>
              <w:t>2014/1111115</w:t>
            </w:r>
          </w:p>
          <w:p w14:paraId="4BDA1069" w14:textId="607537E0" w:rsidR="00291906" w:rsidRPr="00A34F10" w:rsidRDefault="00291906" w:rsidP="000470C3">
            <w:pPr>
              <w:pStyle w:val="RepTable"/>
              <w:suppressAutoHyphens/>
              <w:rPr>
                <w:bCs/>
                <w:iCs/>
                <w:noProof w:val="0"/>
              </w:rPr>
            </w:pPr>
            <w:r w:rsidRPr="00291906">
              <w:rPr>
                <w:bCs/>
                <w:iCs/>
                <w:noProof w:val="0"/>
                <w:shd w:val="clear" w:color="auto" w:fill="D9D9D9" w:themeFill="background1" w:themeFillShade="D9"/>
              </w:rPr>
              <w:t>Not evaluated</w:t>
            </w:r>
          </w:p>
        </w:tc>
      </w:tr>
    </w:tbl>
    <w:bookmarkEnd w:id="544"/>
    <w:p w14:paraId="2E1B2D55" w14:textId="77777777" w:rsidR="00DC5685" w:rsidRPr="00A34F10" w:rsidRDefault="00DC5685" w:rsidP="00DC5685">
      <w:pPr>
        <w:tabs>
          <w:tab w:val="left" w:pos="426"/>
        </w:tabs>
        <w:suppressAutoHyphens/>
        <w:spacing w:before="40"/>
        <w:ind w:left="284" w:hanging="284"/>
        <w:jc w:val="both"/>
        <w:rPr>
          <w:sz w:val="18"/>
          <w:szCs w:val="18"/>
        </w:rPr>
      </w:pPr>
      <w:r w:rsidRPr="00A34F10">
        <w:rPr>
          <w:b/>
          <w:bCs/>
          <w:sz w:val="18"/>
          <w:szCs w:val="18"/>
        </w:rPr>
        <w:t>Bold</w:t>
      </w:r>
      <w:r w:rsidRPr="00A34F10">
        <w:rPr>
          <w:sz w:val="18"/>
          <w:szCs w:val="18"/>
        </w:rPr>
        <w:t xml:space="preserve"> values are used in the risk assessment</w:t>
      </w:r>
    </w:p>
    <w:p w14:paraId="63A6EBBF" w14:textId="42713F21" w:rsidR="00DC5685" w:rsidRPr="00A34F10" w:rsidRDefault="00E23E00" w:rsidP="00DC5685">
      <w:pPr>
        <w:tabs>
          <w:tab w:val="left" w:pos="426"/>
        </w:tabs>
        <w:suppressAutoHyphens/>
        <w:spacing w:before="40"/>
        <w:ind w:left="284" w:hanging="284"/>
        <w:jc w:val="both"/>
        <w:rPr>
          <w:szCs w:val="18"/>
        </w:rPr>
      </w:pPr>
      <w:r w:rsidRPr="00A34F10">
        <w:rPr>
          <w:szCs w:val="18"/>
        </w:rPr>
        <w:br w:type="page"/>
      </w:r>
    </w:p>
    <w:p w14:paraId="15AEDE5F" w14:textId="2F3C990E" w:rsidR="00DC5685" w:rsidRPr="00A34F10" w:rsidRDefault="00DC5685" w:rsidP="00DC5685">
      <w:pPr>
        <w:pStyle w:val="RepLabel"/>
        <w:tabs>
          <w:tab w:val="clear" w:pos="1985"/>
          <w:tab w:val="left" w:pos="993"/>
        </w:tabs>
        <w:suppressAutoHyphens/>
        <w:ind w:left="1276" w:hanging="1276"/>
        <w:rPr>
          <w:b w:val="0"/>
        </w:rPr>
      </w:pPr>
      <w:r w:rsidRPr="00A34F10">
        <w:lastRenderedPageBreak/>
        <w:t xml:space="preserve">Table </w:t>
      </w:r>
      <w:fldSimple w:instr=" STYLEREF 2 \s ">
        <w:r w:rsidR="006F0F3B">
          <w:rPr>
            <w:noProof/>
          </w:rPr>
          <w:t>9.6</w:t>
        </w:r>
      </w:fldSimple>
      <w:r w:rsidRPr="00A34F10">
        <w:noBreakHyphen/>
        <w:t>2</w:t>
      </w:r>
      <w:r w:rsidRPr="00A34F10">
        <w:tab/>
        <w:t>Endpoints and effect values for Propamocarb relevant for the risk assessment for bees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671"/>
        <w:gridCol w:w="1703"/>
        <w:gridCol w:w="2235"/>
        <w:gridCol w:w="1867"/>
      </w:tblGrid>
      <w:tr w:rsidR="00DC5685" w:rsidRPr="00A34F10" w14:paraId="57A922C7" w14:textId="77777777" w:rsidTr="000470C3">
        <w:trPr>
          <w:tblHeader/>
        </w:trPr>
        <w:tc>
          <w:tcPr>
            <w:tcW w:w="1000" w:type="pct"/>
            <w:shd w:val="clear" w:color="auto" w:fill="auto"/>
          </w:tcPr>
          <w:p w14:paraId="7095B023" w14:textId="77777777" w:rsidR="00DC5685" w:rsidRPr="00A34F10" w:rsidRDefault="00DC5685" w:rsidP="000470C3">
            <w:pPr>
              <w:pStyle w:val="RepTableHeader"/>
              <w:suppressAutoHyphens/>
              <w:jc w:val="center"/>
            </w:pPr>
            <w:r w:rsidRPr="00A34F10">
              <w:t>Species</w:t>
            </w:r>
          </w:p>
        </w:tc>
        <w:tc>
          <w:tcPr>
            <w:tcW w:w="894" w:type="pct"/>
            <w:shd w:val="clear" w:color="auto" w:fill="auto"/>
          </w:tcPr>
          <w:p w14:paraId="39930F73" w14:textId="77777777" w:rsidR="00DC5685" w:rsidRPr="00A34F10" w:rsidRDefault="00DC5685" w:rsidP="000470C3">
            <w:pPr>
              <w:pStyle w:val="RepTableHeader"/>
              <w:suppressAutoHyphens/>
              <w:jc w:val="center"/>
            </w:pPr>
            <w:r w:rsidRPr="00A34F10">
              <w:t>Substance</w:t>
            </w:r>
          </w:p>
        </w:tc>
        <w:tc>
          <w:tcPr>
            <w:tcW w:w="911" w:type="pct"/>
            <w:shd w:val="clear" w:color="auto" w:fill="auto"/>
          </w:tcPr>
          <w:p w14:paraId="59C4756F" w14:textId="77777777" w:rsidR="00DC5685" w:rsidRPr="00A34F10" w:rsidRDefault="00DC5685" w:rsidP="000470C3">
            <w:pPr>
              <w:pStyle w:val="RepTableHeader"/>
              <w:suppressAutoHyphens/>
              <w:jc w:val="center"/>
            </w:pPr>
            <w:r w:rsidRPr="00A34F10">
              <w:t>Exposure</w:t>
            </w:r>
            <w:r w:rsidRPr="00A34F10">
              <w:br/>
              <w:t>System</w:t>
            </w:r>
          </w:p>
        </w:tc>
        <w:tc>
          <w:tcPr>
            <w:tcW w:w="1196" w:type="pct"/>
            <w:shd w:val="clear" w:color="auto" w:fill="auto"/>
          </w:tcPr>
          <w:p w14:paraId="60DA082D" w14:textId="77777777" w:rsidR="00DC5685" w:rsidRPr="00A34F10" w:rsidRDefault="00DC5685" w:rsidP="000470C3">
            <w:pPr>
              <w:pStyle w:val="RepTableHeader"/>
              <w:suppressAutoHyphens/>
              <w:jc w:val="center"/>
            </w:pPr>
            <w:r w:rsidRPr="00A34F10">
              <w:t>Results</w:t>
            </w:r>
          </w:p>
        </w:tc>
        <w:tc>
          <w:tcPr>
            <w:tcW w:w="999" w:type="pct"/>
            <w:shd w:val="clear" w:color="auto" w:fill="auto"/>
          </w:tcPr>
          <w:p w14:paraId="277892EC" w14:textId="77777777" w:rsidR="00DC5685" w:rsidRPr="00A34F10" w:rsidRDefault="00DC5685" w:rsidP="000470C3">
            <w:pPr>
              <w:pStyle w:val="RepTableHeader"/>
              <w:suppressAutoHyphens/>
              <w:jc w:val="center"/>
            </w:pPr>
            <w:r w:rsidRPr="00A34F10">
              <w:t>Reference</w:t>
            </w:r>
          </w:p>
        </w:tc>
      </w:tr>
      <w:tr w:rsidR="00DC5685" w:rsidRPr="00A34F10" w14:paraId="5BB0601E" w14:textId="77777777" w:rsidTr="000470C3">
        <w:tc>
          <w:tcPr>
            <w:tcW w:w="1000" w:type="pct"/>
            <w:shd w:val="clear" w:color="auto" w:fill="auto"/>
          </w:tcPr>
          <w:p w14:paraId="0EA80B3B" w14:textId="77777777" w:rsidR="00DC5685" w:rsidRPr="00A34F10" w:rsidRDefault="00DC5685" w:rsidP="000470C3">
            <w:pPr>
              <w:pStyle w:val="RepTable"/>
              <w:suppressAutoHyphens/>
              <w:rPr>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5FC38F3A" w14:textId="77777777" w:rsidR="00DC5685" w:rsidRPr="00A34F10" w:rsidRDefault="00DC5685" w:rsidP="000470C3">
            <w:pPr>
              <w:pStyle w:val="RepTable"/>
              <w:suppressAutoHyphens/>
              <w:rPr>
                <w:noProof w:val="0"/>
              </w:rPr>
            </w:pPr>
            <w:r w:rsidRPr="00A34F10">
              <w:rPr>
                <w:noProof w:val="0"/>
              </w:rPr>
              <w:t>Propamocarb-HCL</w:t>
            </w:r>
          </w:p>
        </w:tc>
        <w:tc>
          <w:tcPr>
            <w:tcW w:w="911" w:type="pct"/>
            <w:shd w:val="clear" w:color="auto" w:fill="auto"/>
          </w:tcPr>
          <w:p w14:paraId="6C5A9822" w14:textId="77777777" w:rsidR="00DC5685" w:rsidRPr="00A34F10" w:rsidRDefault="00DC5685" w:rsidP="000470C3">
            <w:pPr>
              <w:pStyle w:val="RepTable"/>
              <w:suppressAutoHyphens/>
              <w:rPr>
                <w:noProof w:val="0"/>
              </w:rPr>
            </w:pPr>
            <w:r w:rsidRPr="00A34F10">
              <w:rPr>
                <w:noProof w:val="0"/>
              </w:rPr>
              <w:t>acute oral, 48 h</w:t>
            </w:r>
          </w:p>
        </w:tc>
        <w:tc>
          <w:tcPr>
            <w:tcW w:w="1196" w:type="pct"/>
            <w:shd w:val="clear" w:color="auto" w:fill="auto"/>
          </w:tcPr>
          <w:p w14:paraId="6A8B380D" w14:textId="77777777" w:rsidR="00DC5685" w:rsidRPr="00A34F10" w:rsidRDefault="00DC5685" w:rsidP="000470C3">
            <w:pPr>
              <w:pStyle w:val="RepTable"/>
              <w:suppressAutoHyphens/>
              <w:rPr>
                <w:b/>
                <w:bCs/>
                <w:noProof w:val="0"/>
              </w:rPr>
            </w:pPr>
            <w:r w:rsidRPr="00A34F10">
              <w:rPr>
                <w:b/>
                <w:bCs/>
                <w:noProof w:val="0"/>
              </w:rPr>
              <w:t>LD</w:t>
            </w:r>
            <w:r w:rsidRPr="00A34F10">
              <w:rPr>
                <w:b/>
                <w:bCs/>
                <w:noProof w:val="0"/>
                <w:vertAlign w:val="subscript"/>
              </w:rPr>
              <w:t>50</w:t>
            </w:r>
            <w:r w:rsidRPr="00A34F10">
              <w:rPr>
                <w:b/>
                <w:bCs/>
                <w:noProof w:val="0"/>
              </w:rPr>
              <w:t xml:space="preserve"> (48 h) &gt; 84 µg/bee</w:t>
            </w:r>
          </w:p>
        </w:tc>
        <w:tc>
          <w:tcPr>
            <w:tcW w:w="999" w:type="pct"/>
            <w:shd w:val="clear" w:color="auto" w:fill="auto"/>
          </w:tcPr>
          <w:p w14:paraId="79F2338B" w14:textId="77777777" w:rsidR="00DC5685" w:rsidRPr="00A34F10" w:rsidRDefault="00DC5685" w:rsidP="000470C3">
            <w:pPr>
              <w:pStyle w:val="RepTable"/>
              <w:suppressAutoHyphens/>
              <w:rPr>
                <w:noProof w:val="0"/>
              </w:rPr>
            </w:pPr>
            <w:r w:rsidRPr="00A34F10">
              <w:rPr>
                <w:bCs/>
                <w:iCs/>
                <w:noProof w:val="0"/>
              </w:rPr>
              <w:t>EFSA Journal 2006; 78, 1-80</w:t>
            </w:r>
          </w:p>
        </w:tc>
      </w:tr>
      <w:tr w:rsidR="00DC5685" w:rsidRPr="00A34F10" w14:paraId="21213BA7" w14:textId="77777777" w:rsidTr="000470C3">
        <w:tc>
          <w:tcPr>
            <w:tcW w:w="1000" w:type="pct"/>
            <w:shd w:val="clear" w:color="auto" w:fill="auto"/>
          </w:tcPr>
          <w:p w14:paraId="18644C39" w14:textId="77777777" w:rsidR="00DC5685" w:rsidRPr="00A34F10" w:rsidRDefault="00DC5685" w:rsidP="000470C3">
            <w:pPr>
              <w:pStyle w:val="RepTable"/>
              <w:suppressAutoHyphens/>
              <w:rPr>
                <w:i/>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5ACCDAB5" w14:textId="77777777" w:rsidR="00DC5685" w:rsidRPr="00A34F10" w:rsidRDefault="00DC5685" w:rsidP="000470C3">
            <w:pPr>
              <w:pStyle w:val="RepTable"/>
              <w:suppressAutoHyphens/>
              <w:rPr>
                <w:noProof w:val="0"/>
              </w:rPr>
            </w:pPr>
            <w:r w:rsidRPr="00A34F10">
              <w:rPr>
                <w:noProof w:val="0"/>
              </w:rPr>
              <w:t>Propamocarb-HCL</w:t>
            </w:r>
          </w:p>
        </w:tc>
        <w:tc>
          <w:tcPr>
            <w:tcW w:w="911" w:type="pct"/>
            <w:shd w:val="clear" w:color="auto" w:fill="auto"/>
          </w:tcPr>
          <w:p w14:paraId="7FEF2DD6" w14:textId="77777777" w:rsidR="00DC5685" w:rsidRPr="00A34F10" w:rsidRDefault="00DC5685" w:rsidP="000470C3">
            <w:pPr>
              <w:pStyle w:val="RepTable"/>
              <w:suppressAutoHyphens/>
              <w:rPr>
                <w:noProof w:val="0"/>
              </w:rPr>
            </w:pPr>
            <w:r w:rsidRPr="00A34F10">
              <w:rPr>
                <w:noProof w:val="0"/>
              </w:rPr>
              <w:t>acute contact, 48 h</w:t>
            </w:r>
          </w:p>
        </w:tc>
        <w:tc>
          <w:tcPr>
            <w:tcW w:w="1196" w:type="pct"/>
            <w:shd w:val="clear" w:color="auto" w:fill="auto"/>
          </w:tcPr>
          <w:p w14:paraId="15BE7404" w14:textId="77777777" w:rsidR="00DC5685" w:rsidRPr="00A34F10" w:rsidRDefault="00DC5685" w:rsidP="000470C3">
            <w:pPr>
              <w:pStyle w:val="RepTable"/>
              <w:suppressAutoHyphens/>
              <w:rPr>
                <w:b/>
                <w:bCs/>
                <w:noProof w:val="0"/>
              </w:rPr>
            </w:pPr>
            <w:r w:rsidRPr="00A34F10">
              <w:rPr>
                <w:b/>
                <w:bCs/>
                <w:noProof w:val="0"/>
              </w:rPr>
              <w:t>LD</w:t>
            </w:r>
            <w:r w:rsidRPr="00A34F10">
              <w:rPr>
                <w:b/>
                <w:bCs/>
                <w:noProof w:val="0"/>
                <w:vertAlign w:val="subscript"/>
              </w:rPr>
              <w:t>50</w:t>
            </w:r>
            <w:r w:rsidRPr="00A34F10">
              <w:rPr>
                <w:b/>
                <w:bCs/>
                <w:noProof w:val="0"/>
              </w:rPr>
              <w:t xml:space="preserve"> (48 h) &gt; 100.0 µg/bee</w:t>
            </w:r>
          </w:p>
        </w:tc>
        <w:tc>
          <w:tcPr>
            <w:tcW w:w="999" w:type="pct"/>
            <w:shd w:val="clear" w:color="auto" w:fill="auto"/>
          </w:tcPr>
          <w:p w14:paraId="467567F0" w14:textId="77777777" w:rsidR="00DC5685" w:rsidRPr="00A34F10" w:rsidRDefault="00DC5685" w:rsidP="000470C3">
            <w:pPr>
              <w:pStyle w:val="RepTable"/>
              <w:suppressAutoHyphens/>
              <w:rPr>
                <w:noProof w:val="0"/>
              </w:rPr>
            </w:pPr>
            <w:r w:rsidRPr="00A34F10">
              <w:rPr>
                <w:bCs/>
                <w:iCs/>
                <w:noProof w:val="0"/>
              </w:rPr>
              <w:t>EFSA Journal 2006; 78, 1-80</w:t>
            </w:r>
          </w:p>
        </w:tc>
      </w:tr>
      <w:tr w:rsidR="00DC5685" w:rsidRPr="007676F3" w14:paraId="7E61E25C" w14:textId="77777777" w:rsidTr="000470C3">
        <w:tc>
          <w:tcPr>
            <w:tcW w:w="1000" w:type="pct"/>
            <w:shd w:val="clear" w:color="auto" w:fill="auto"/>
          </w:tcPr>
          <w:p w14:paraId="12FA4ADD" w14:textId="77777777" w:rsidR="00DC5685" w:rsidRPr="00A34F10" w:rsidRDefault="00DC5685" w:rsidP="000470C3">
            <w:pPr>
              <w:pStyle w:val="RepTable"/>
              <w:suppressAutoHyphens/>
              <w:rPr>
                <w:i/>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2716C7EB" w14:textId="77777777" w:rsidR="00DC5685" w:rsidRPr="00A34F10" w:rsidRDefault="00DC5685" w:rsidP="000470C3">
            <w:pPr>
              <w:pStyle w:val="RepTable"/>
              <w:suppressAutoHyphens/>
              <w:rPr>
                <w:noProof w:val="0"/>
              </w:rPr>
            </w:pPr>
            <w:r w:rsidRPr="00A34F10">
              <w:rPr>
                <w:noProof w:val="0"/>
              </w:rPr>
              <w:t>Propamocarb-HCL</w:t>
            </w:r>
          </w:p>
        </w:tc>
        <w:tc>
          <w:tcPr>
            <w:tcW w:w="911" w:type="pct"/>
            <w:shd w:val="clear" w:color="auto" w:fill="auto"/>
          </w:tcPr>
          <w:p w14:paraId="30004EB9" w14:textId="77777777" w:rsidR="00DC5685" w:rsidRPr="00A34F10" w:rsidRDefault="00DC5685" w:rsidP="000470C3">
            <w:pPr>
              <w:pStyle w:val="RepTable"/>
              <w:suppressAutoHyphens/>
              <w:rPr>
                <w:noProof w:val="0"/>
              </w:rPr>
            </w:pPr>
            <w:r w:rsidRPr="00A34F10">
              <w:rPr>
                <w:noProof w:val="0"/>
              </w:rPr>
              <w:t>acute oral, 48 h</w:t>
            </w:r>
          </w:p>
        </w:tc>
        <w:tc>
          <w:tcPr>
            <w:tcW w:w="1196" w:type="pct"/>
            <w:shd w:val="clear" w:color="auto" w:fill="auto"/>
          </w:tcPr>
          <w:p w14:paraId="16D8EC92" w14:textId="77777777" w:rsidR="00DC5685" w:rsidRPr="00A34F10" w:rsidRDefault="00DC5685" w:rsidP="000470C3">
            <w:pPr>
              <w:pStyle w:val="RepTable"/>
              <w:suppressAutoHyphens/>
              <w:rPr>
                <w:noProof w:val="0"/>
              </w:rPr>
            </w:pPr>
            <w:r w:rsidRPr="00A34F10">
              <w:rPr>
                <w:noProof w:val="0"/>
              </w:rPr>
              <w:t>LD</w:t>
            </w:r>
            <w:r w:rsidRPr="00A34F10">
              <w:rPr>
                <w:noProof w:val="0"/>
                <w:vertAlign w:val="subscript"/>
              </w:rPr>
              <w:t>50</w:t>
            </w:r>
            <w:r w:rsidRPr="00A34F10">
              <w:rPr>
                <w:noProof w:val="0"/>
              </w:rPr>
              <w:t xml:space="preserve"> (48 h) &gt; 122.1 µg/bee</w:t>
            </w:r>
          </w:p>
        </w:tc>
        <w:tc>
          <w:tcPr>
            <w:tcW w:w="999" w:type="pct"/>
            <w:shd w:val="clear" w:color="auto" w:fill="auto"/>
          </w:tcPr>
          <w:p w14:paraId="645ED7FC" w14:textId="77777777" w:rsidR="00DC5685" w:rsidRDefault="00D10BD5" w:rsidP="000470C3">
            <w:pPr>
              <w:pStyle w:val="RepTable"/>
              <w:suppressAutoHyphens/>
              <w:rPr>
                <w:rFonts w:eastAsia="MS Mincho"/>
                <w:szCs w:val="20"/>
                <w:lang w:val="es-ES"/>
              </w:rPr>
            </w:pPr>
            <w:r w:rsidRPr="001D51C3">
              <w:rPr>
                <w:rFonts w:eastAsia="MS Mincho"/>
                <w:szCs w:val="20"/>
                <w:lang w:val="es-ES"/>
              </w:rPr>
              <w:t>RAR Propamocarb, Vol. 3 – CP B9, June 2017</w:t>
            </w:r>
          </w:p>
          <w:p w14:paraId="4512D428" w14:textId="2590C653" w:rsidR="00E63E0E" w:rsidRPr="001D51C3" w:rsidRDefault="00E63E0E" w:rsidP="000470C3">
            <w:pPr>
              <w:pStyle w:val="RepTable"/>
              <w:suppressAutoHyphens/>
              <w:rPr>
                <w:bCs/>
                <w:iCs/>
                <w:noProof w:val="0"/>
                <w:lang w:val="es-ES"/>
              </w:rPr>
            </w:pPr>
            <w:r w:rsidRPr="00291906">
              <w:rPr>
                <w:bCs/>
                <w:iCs/>
                <w:noProof w:val="0"/>
                <w:shd w:val="clear" w:color="auto" w:fill="D9D9D9" w:themeFill="background1" w:themeFillShade="D9"/>
              </w:rPr>
              <w:t>Not evaluated</w:t>
            </w:r>
          </w:p>
        </w:tc>
      </w:tr>
      <w:tr w:rsidR="00DC5685" w:rsidRPr="007676F3" w14:paraId="572B21DC" w14:textId="77777777" w:rsidTr="000470C3">
        <w:tc>
          <w:tcPr>
            <w:tcW w:w="1000" w:type="pct"/>
            <w:shd w:val="clear" w:color="auto" w:fill="auto"/>
          </w:tcPr>
          <w:p w14:paraId="0C35EFD7" w14:textId="77777777" w:rsidR="00DC5685" w:rsidRPr="00A34F10" w:rsidRDefault="00DC5685" w:rsidP="000470C3">
            <w:pPr>
              <w:pStyle w:val="RepTable"/>
              <w:keepNext/>
              <w:suppressAutoHyphens/>
              <w:rPr>
                <w:i/>
                <w:noProof w:val="0"/>
              </w:rPr>
            </w:pPr>
            <w:r w:rsidRPr="00A34F10">
              <w:rPr>
                <w:i/>
                <w:noProof w:val="0"/>
              </w:rPr>
              <w:t>Apis mellifera</w:t>
            </w:r>
            <w:r w:rsidRPr="00A34F10">
              <w:rPr>
                <w:i/>
                <w:noProof w:val="0"/>
              </w:rPr>
              <w:br/>
            </w:r>
            <w:r w:rsidRPr="00A34F10">
              <w:rPr>
                <w:noProof w:val="0"/>
              </w:rPr>
              <w:t>(adults)</w:t>
            </w:r>
          </w:p>
        </w:tc>
        <w:tc>
          <w:tcPr>
            <w:tcW w:w="894" w:type="pct"/>
            <w:shd w:val="clear" w:color="auto" w:fill="auto"/>
          </w:tcPr>
          <w:p w14:paraId="0C3ECDDF" w14:textId="77777777" w:rsidR="00DC5685" w:rsidRPr="00A34F10" w:rsidRDefault="00DC5685" w:rsidP="000470C3">
            <w:pPr>
              <w:pStyle w:val="RepTable"/>
              <w:keepNext/>
              <w:suppressAutoHyphens/>
              <w:rPr>
                <w:noProof w:val="0"/>
              </w:rPr>
            </w:pPr>
            <w:r w:rsidRPr="00A34F10">
              <w:rPr>
                <w:noProof w:val="0"/>
              </w:rPr>
              <w:t>Propamocarb-HCL</w:t>
            </w:r>
          </w:p>
        </w:tc>
        <w:tc>
          <w:tcPr>
            <w:tcW w:w="911" w:type="pct"/>
            <w:shd w:val="clear" w:color="auto" w:fill="auto"/>
          </w:tcPr>
          <w:p w14:paraId="606C916B" w14:textId="77777777" w:rsidR="00DC5685" w:rsidRPr="00A34F10" w:rsidRDefault="00DC5685" w:rsidP="000470C3">
            <w:pPr>
              <w:pStyle w:val="RepTable"/>
              <w:keepNext/>
              <w:suppressAutoHyphens/>
              <w:rPr>
                <w:noProof w:val="0"/>
              </w:rPr>
            </w:pPr>
            <w:r w:rsidRPr="00A34F10">
              <w:rPr>
                <w:noProof w:val="0"/>
              </w:rPr>
              <w:t>acute contact, 48 h</w:t>
            </w:r>
          </w:p>
        </w:tc>
        <w:tc>
          <w:tcPr>
            <w:tcW w:w="1196" w:type="pct"/>
            <w:shd w:val="clear" w:color="auto" w:fill="auto"/>
          </w:tcPr>
          <w:p w14:paraId="4013928F" w14:textId="77777777" w:rsidR="00DC5685" w:rsidRPr="00A34F10" w:rsidRDefault="00DC5685" w:rsidP="000470C3">
            <w:pPr>
              <w:pStyle w:val="RepTable"/>
              <w:keepNext/>
              <w:suppressAutoHyphens/>
              <w:rPr>
                <w:noProof w:val="0"/>
              </w:rPr>
            </w:pPr>
            <w:r w:rsidRPr="00A34F10">
              <w:rPr>
                <w:noProof w:val="0"/>
              </w:rPr>
              <w:t>LD</w:t>
            </w:r>
            <w:r w:rsidRPr="00A34F10">
              <w:rPr>
                <w:noProof w:val="0"/>
                <w:vertAlign w:val="subscript"/>
              </w:rPr>
              <w:t>50</w:t>
            </w:r>
            <w:r w:rsidRPr="00A34F10">
              <w:rPr>
                <w:noProof w:val="0"/>
              </w:rPr>
              <w:t xml:space="preserve"> (48 h) &gt; 109.0 µg/bee</w:t>
            </w:r>
          </w:p>
        </w:tc>
        <w:tc>
          <w:tcPr>
            <w:tcW w:w="999" w:type="pct"/>
            <w:shd w:val="clear" w:color="auto" w:fill="auto"/>
          </w:tcPr>
          <w:p w14:paraId="4C9C5944" w14:textId="77777777" w:rsidR="00DC5685" w:rsidRDefault="00D10BD5" w:rsidP="000470C3">
            <w:pPr>
              <w:pStyle w:val="RepTable"/>
              <w:keepNext/>
              <w:suppressAutoHyphens/>
              <w:rPr>
                <w:rFonts w:eastAsia="MS Mincho"/>
                <w:szCs w:val="20"/>
                <w:lang w:val="es-ES"/>
              </w:rPr>
            </w:pPr>
            <w:r w:rsidRPr="001D51C3">
              <w:rPr>
                <w:rFonts w:eastAsia="MS Mincho"/>
                <w:szCs w:val="20"/>
                <w:lang w:val="es-ES"/>
              </w:rPr>
              <w:t>RAR Propamocarb, Vol. 3 – CP B9, June 2017</w:t>
            </w:r>
          </w:p>
          <w:p w14:paraId="3B87789E" w14:textId="25197340" w:rsidR="00E63E0E" w:rsidRPr="001D51C3" w:rsidRDefault="00E63E0E" w:rsidP="000470C3">
            <w:pPr>
              <w:pStyle w:val="RepTable"/>
              <w:keepNext/>
              <w:suppressAutoHyphens/>
              <w:rPr>
                <w:bCs/>
                <w:iCs/>
                <w:noProof w:val="0"/>
                <w:lang w:val="es-ES"/>
              </w:rPr>
            </w:pPr>
            <w:r w:rsidRPr="00291906">
              <w:rPr>
                <w:bCs/>
                <w:iCs/>
                <w:noProof w:val="0"/>
                <w:shd w:val="clear" w:color="auto" w:fill="D9D9D9" w:themeFill="background1" w:themeFillShade="D9"/>
              </w:rPr>
              <w:t>Not evaluated</w:t>
            </w:r>
          </w:p>
        </w:tc>
      </w:tr>
      <w:tr w:rsidR="00DC5685" w:rsidRPr="007676F3" w14:paraId="75C234B7" w14:textId="77777777" w:rsidTr="000470C3">
        <w:tc>
          <w:tcPr>
            <w:tcW w:w="1000" w:type="pct"/>
            <w:shd w:val="clear" w:color="auto" w:fill="auto"/>
          </w:tcPr>
          <w:p w14:paraId="2CBED44F" w14:textId="77777777" w:rsidR="00DC5685" w:rsidRPr="00A34F10" w:rsidRDefault="00DC5685" w:rsidP="000470C3">
            <w:pPr>
              <w:pStyle w:val="RepTable"/>
              <w:keepNext/>
              <w:suppressAutoHyphens/>
              <w:rPr>
                <w:i/>
                <w:noProof w:val="0"/>
              </w:rPr>
            </w:pPr>
            <w:r w:rsidRPr="00A34F10">
              <w:rPr>
                <w:i/>
                <w:noProof w:val="0"/>
                <w:szCs w:val="20"/>
              </w:rPr>
              <w:t xml:space="preserve">Bombus terrestris </w:t>
            </w:r>
            <w:r w:rsidRPr="00A34F10">
              <w:rPr>
                <w:iCs/>
                <w:noProof w:val="0"/>
                <w:szCs w:val="20"/>
              </w:rPr>
              <w:t>(adults)</w:t>
            </w:r>
          </w:p>
        </w:tc>
        <w:tc>
          <w:tcPr>
            <w:tcW w:w="894" w:type="pct"/>
            <w:shd w:val="clear" w:color="auto" w:fill="auto"/>
          </w:tcPr>
          <w:p w14:paraId="2FE396F1" w14:textId="77777777" w:rsidR="00DC5685" w:rsidRPr="00A34F10" w:rsidRDefault="00DC5685" w:rsidP="000470C3">
            <w:pPr>
              <w:pStyle w:val="RepTable"/>
              <w:keepNext/>
              <w:suppressAutoHyphens/>
              <w:rPr>
                <w:noProof w:val="0"/>
              </w:rPr>
            </w:pPr>
            <w:r w:rsidRPr="00A34F10">
              <w:rPr>
                <w:szCs w:val="20"/>
              </w:rPr>
              <w:t>Propamocarb-HCL</w:t>
            </w:r>
          </w:p>
        </w:tc>
        <w:tc>
          <w:tcPr>
            <w:tcW w:w="911" w:type="pct"/>
            <w:shd w:val="clear" w:color="auto" w:fill="auto"/>
          </w:tcPr>
          <w:p w14:paraId="492276E3" w14:textId="77777777" w:rsidR="00DC5685" w:rsidRPr="00A34F10" w:rsidRDefault="00DC5685" w:rsidP="000470C3">
            <w:pPr>
              <w:pStyle w:val="RepTable"/>
              <w:keepNext/>
              <w:suppressAutoHyphens/>
              <w:rPr>
                <w:noProof w:val="0"/>
              </w:rPr>
            </w:pPr>
            <w:r w:rsidRPr="00A34F10">
              <w:rPr>
                <w:noProof w:val="0"/>
                <w:szCs w:val="20"/>
              </w:rPr>
              <w:t>acute oral, 48 h</w:t>
            </w:r>
          </w:p>
        </w:tc>
        <w:tc>
          <w:tcPr>
            <w:tcW w:w="1196" w:type="pct"/>
            <w:shd w:val="clear" w:color="auto" w:fill="auto"/>
          </w:tcPr>
          <w:p w14:paraId="4A37CC6A" w14:textId="77777777" w:rsidR="00DC5685" w:rsidRPr="00A34F10" w:rsidRDefault="00DC5685" w:rsidP="000470C3">
            <w:pPr>
              <w:pStyle w:val="RepTable"/>
              <w:keepNext/>
              <w:suppressAutoHyphens/>
              <w:rPr>
                <w:noProof w:val="0"/>
              </w:rPr>
            </w:pPr>
            <w:r w:rsidRPr="00A34F10">
              <w:rPr>
                <w:noProof w:val="0"/>
              </w:rPr>
              <w:t>LD</w:t>
            </w:r>
            <w:r w:rsidRPr="00A34F10">
              <w:rPr>
                <w:noProof w:val="0"/>
                <w:vertAlign w:val="subscript"/>
              </w:rPr>
              <w:t>50</w:t>
            </w:r>
            <w:r w:rsidRPr="00A34F10">
              <w:rPr>
                <w:noProof w:val="0"/>
              </w:rPr>
              <w:t xml:space="preserve"> (48 h) &gt; 198.7µg/bee</w:t>
            </w:r>
          </w:p>
        </w:tc>
        <w:tc>
          <w:tcPr>
            <w:tcW w:w="999" w:type="pct"/>
            <w:shd w:val="clear" w:color="auto" w:fill="auto"/>
          </w:tcPr>
          <w:p w14:paraId="7C55F940" w14:textId="77777777" w:rsidR="00DC5685" w:rsidRDefault="00D10BD5" w:rsidP="000470C3">
            <w:pPr>
              <w:pStyle w:val="RepTable"/>
              <w:keepNext/>
              <w:suppressAutoHyphens/>
              <w:rPr>
                <w:rFonts w:eastAsia="MS Mincho"/>
                <w:szCs w:val="20"/>
                <w:lang w:val="es-ES"/>
              </w:rPr>
            </w:pPr>
            <w:r w:rsidRPr="001D51C3">
              <w:rPr>
                <w:rFonts w:eastAsia="MS Mincho"/>
                <w:szCs w:val="20"/>
                <w:lang w:val="es-ES"/>
              </w:rPr>
              <w:t>RAR Propamocarb, Vol. 3 – CP B9, June 2017</w:t>
            </w:r>
          </w:p>
          <w:p w14:paraId="62F1EA9B" w14:textId="094816A5" w:rsidR="00E63E0E" w:rsidRPr="001D51C3" w:rsidRDefault="00E63E0E" w:rsidP="000470C3">
            <w:pPr>
              <w:pStyle w:val="RepTable"/>
              <w:keepNext/>
              <w:suppressAutoHyphens/>
              <w:rPr>
                <w:bCs/>
                <w:iCs/>
                <w:noProof w:val="0"/>
                <w:lang w:val="es-ES"/>
              </w:rPr>
            </w:pPr>
            <w:r w:rsidRPr="00291906">
              <w:rPr>
                <w:bCs/>
                <w:iCs/>
                <w:noProof w:val="0"/>
                <w:shd w:val="clear" w:color="auto" w:fill="D9D9D9" w:themeFill="background1" w:themeFillShade="D9"/>
              </w:rPr>
              <w:t>Not evaluated</w:t>
            </w:r>
          </w:p>
        </w:tc>
      </w:tr>
      <w:tr w:rsidR="00DC5685" w:rsidRPr="007676F3" w14:paraId="5DD7FFB6" w14:textId="77777777" w:rsidTr="000470C3">
        <w:tc>
          <w:tcPr>
            <w:tcW w:w="1000" w:type="pct"/>
            <w:shd w:val="clear" w:color="auto" w:fill="auto"/>
          </w:tcPr>
          <w:p w14:paraId="366D4CB6" w14:textId="77777777" w:rsidR="00DC5685" w:rsidRPr="00A34F10" w:rsidRDefault="00DC5685" w:rsidP="000470C3">
            <w:pPr>
              <w:pStyle w:val="RepTable"/>
              <w:suppressAutoHyphens/>
              <w:rPr>
                <w:i/>
                <w:noProof w:val="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1A24C241" w14:textId="77777777" w:rsidR="00DC5685" w:rsidRPr="00A34F10" w:rsidRDefault="00DC5685" w:rsidP="000470C3">
            <w:pPr>
              <w:pStyle w:val="RepTable"/>
              <w:suppressAutoHyphens/>
              <w:rPr>
                <w:noProof w:val="0"/>
              </w:rPr>
            </w:pPr>
            <w:r w:rsidRPr="00A34F10">
              <w:rPr>
                <w:szCs w:val="20"/>
              </w:rPr>
              <w:t>Propamocarb-HCl</w:t>
            </w:r>
          </w:p>
        </w:tc>
        <w:tc>
          <w:tcPr>
            <w:tcW w:w="911" w:type="pct"/>
            <w:shd w:val="clear" w:color="auto" w:fill="auto"/>
          </w:tcPr>
          <w:p w14:paraId="0F3CECD1" w14:textId="77777777" w:rsidR="00DC5685" w:rsidRPr="00A34F10" w:rsidRDefault="00DC5685" w:rsidP="000470C3">
            <w:pPr>
              <w:pStyle w:val="RepTable"/>
              <w:suppressAutoHyphens/>
              <w:rPr>
                <w:noProof w:val="0"/>
              </w:rPr>
            </w:pPr>
            <w:r w:rsidRPr="00A34F10">
              <w:rPr>
                <w:noProof w:val="0"/>
                <w:szCs w:val="20"/>
              </w:rPr>
              <w:t>chronic, 10 d</w:t>
            </w:r>
          </w:p>
        </w:tc>
        <w:tc>
          <w:tcPr>
            <w:tcW w:w="1196" w:type="pct"/>
            <w:shd w:val="clear" w:color="auto" w:fill="auto"/>
          </w:tcPr>
          <w:p w14:paraId="2F55C00E" w14:textId="77777777" w:rsidR="00DC5685" w:rsidRPr="007676F3" w:rsidRDefault="00DC5685" w:rsidP="000470C3">
            <w:pPr>
              <w:pStyle w:val="RepTable"/>
              <w:suppressAutoHyphens/>
              <w:rPr>
                <w:noProof w:val="0"/>
                <w:szCs w:val="20"/>
              </w:rPr>
            </w:pPr>
            <w:r w:rsidRPr="007676F3">
              <w:rPr>
                <w:noProof w:val="0"/>
                <w:szCs w:val="20"/>
              </w:rPr>
              <w:t>LDD</w:t>
            </w:r>
            <w:r w:rsidRPr="007676F3">
              <w:rPr>
                <w:noProof w:val="0"/>
                <w:szCs w:val="20"/>
                <w:vertAlign w:val="subscript"/>
              </w:rPr>
              <w:t>50</w:t>
            </w:r>
            <w:r w:rsidRPr="007676F3">
              <w:rPr>
                <w:noProof w:val="0"/>
                <w:szCs w:val="20"/>
              </w:rPr>
              <w:t xml:space="preserve"> (10 d) &gt; 85.68 µg a.s./bee/day</w:t>
            </w:r>
          </w:p>
        </w:tc>
        <w:tc>
          <w:tcPr>
            <w:tcW w:w="999" w:type="pct"/>
            <w:shd w:val="clear" w:color="auto" w:fill="auto"/>
          </w:tcPr>
          <w:p w14:paraId="748F18F3" w14:textId="77777777" w:rsidR="00DC5685" w:rsidRDefault="00D10BD5" w:rsidP="000470C3">
            <w:pPr>
              <w:pStyle w:val="RepTable"/>
              <w:suppressAutoHyphens/>
              <w:rPr>
                <w:rFonts w:eastAsia="MS Mincho"/>
                <w:szCs w:val="20"/>
                <w:lang w:val="es-ES"/>
              </w:rPr>
            </w:pPr>
            <w:r w:rsidRPr="001D51C3">
              <w:rPr>
                <w:rFonts w:eastAsia="MS Mincho"/>
                <w:szCs w:val="20"/>
                <w:lang w:val="es-ES"/>
              </w:rPr>
              <w:t>RAR Propamocarb, Vol. 3 – CP B9, June 2017</w:t>
            </w:r>
          </w:p>
          <w:p w14:paraId="07B5A06C" w14:textId="30BD1F55" w:rsidR="00E63E0E" w:rsidRPr="001D51C3" w:rsidRDefault="00E63E0E" w:rsidP="000470C3">
            <w:pPr>
              <w:pStyle w:val="RepTable"/>
              <w:suppressAutoHyphens/>
              <w:rPr>
                <w:bCs/>
                <w:iCs/>
                <w:noProof w:val="0"/>
                <w:lang w:val="es-ES"/>
              </w:rPr>
            </w:pPr>
            <w:r w:rsidRPr="00291906">
              <w:rPr>
                <w:bCs/>
                <w:iCs/>
                <w:noProof w:val="0"/>
                <w:shd w:val="clear" w:color="auto" w:fill="D9D9D9" w:themeFill="background1" w:themeFillShade="D9"/>
              </w:rPr>
              <w:t>Not evaluated</w:t>
            </w:r>
          </w:p>
        </w:tc>
      </w:tr>
    </w:tbl>
    <w:p w14:paraId="4279D6F6" w14:textId="77777777" w:rsidR="00DC5685" w:rsidRPr="00A34F10" w:rsidRDefault="00DC5685" w:rsidP="00DC5685">
      <w:pPr>
        <w:tabs>
          <w:tab w:val="left" w:pos="426"/>
        </w:tabs>
        <w:suppressAutoHyphens/>
        <w:spacing w:before="40"/>
        <w:ind w:left="284" w:hanging="284"/>
        <w:jc w:val="both"/>
        <w:rPr>
          <w:sz w:val="18"/>
          <w:szCs w:val="18"/>
        </w:rPr>
      </w:pPr>
      <w:r w:rsidRPr="00A34F10">
        <w:rPr>
          <w:b/>
          <w:bCs/>
          <w:sz w:val="18"/>
          <w:szCs w:val="18"/>
        </w:rPr>
        <w:t>Bold</w:t>
      </w:r>
      <w:r w:rsidRPr="00A34F10">
        <w:rPr>
          <w:sz w:val="18"/>
          <w:szCs w:val="18"/>
        </w:rPr>
        <w:t xml:space="preserve"> values are used in the risk assessment</w:t>
      </w:r>
    </w:p>
    <w:p w14:paraId="5CAB8741" w14:textId="77777777" w:rsidR="00E23E00" w:rsidRPr="00A34F10" w:rsidRDefault="00E23E00" w:rsidP="00DC5685">
      <w:pPr>
        <w:tabs>
          <w:tab w:val="left" w:pos="426"/>
        </w:tabs>
        <w:suppressAutoHyphens/>
        <w:spacing w:before="40"/>
        <w:ind w:left="284" w:hanging="284"/>
        <w:jc w:val="both"/>
        <w:rPr>
          <w:szCs w:val="18"/>
        </w:rPr>
      </w:pPr>
    </w:p>
    <w:p w14:paraId="2D98F10C" w14:textId="1F0863D2" w:rsidR="00DC5685" w:rsidRPr="00A34F10" w:rsidRDefault="00DC5685" w:rsidP="00DC5685">
      <w:pPr>
        <w:pStyle w:val="RepLabel"/>
        <w:tabs>
          <w:tab w:val="clear" w:pos="1985"/>
          <w:tab w:val="left" w:pos="1134"/>
        </w:tabs>
        <w:suppressAutoHyphens/>
      </w:pPr>
      <w:bookmarkStart w:id="545" w:name="_Ref440448229"/>
      <w:r w:rsidRPr="00A34F10">
        <w:t xml:space="preserve">Table </w:t>
      </w:r>
      <w:fldSimple w:instr=" STYLEREF 2 \s ">
        <w:r w:rsidR="006F0F3B">
          <w:rPr>
            <w:noProof/>
          </w:rPr>
          <w:t>9.6</w:t>
        </w:r>
      </w:fldSimple>
      <w:r w:rsidRPr="00A34F10">
        <w:noBreakHyphen/>
      </w:r>
      <w:bookmarkEnd w:id="545"/>
      <w:r w:rsidRPr="00A34F10">
        <w:t>3</w:t>
      </w:r>
      <w:r w:rsidRPr="00A34F10">
        <w:tab/>
        <w:t>Endpoints and effect values for BAS 743 03 F relevant for the risk assessment for bees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8"/>
        <w:gridCol w:w="1671"/>
        <w:gridCol w:w="1703"/>
        <w:gridCol w:w="2370"/>
        <w:gridCol w:w="1733"/>
      </w:tblGrid>
      <w:tr w:rsidR="00DC5685" w:rsidRPr="00A34F10" w14:paraId="542DC49A" w14:textId="77777777" w:rsidTr="000470C3">
        <w:trPr>
          <w:tblHeader/>
        </w:trPr>
        <w:tc>
          <w:tcPr>
            <w:tcW w:w="1000" w:type="pct"/>
            <w:shd w:val="clear" w:color="auto" w:fill="auto"/>
          </w:tcPr>
          <w:p w14:paraId="5F641886" w14:textId="77777777" w:rsidR="00DC5685" w:rsidRPr="00A34F10" w:rsidRDefault="00DC5685" w:rsidP="000470C3">
            <w:pPr>
              <w:pStyle w:val="RepTableHeader"/>
              <w:suppressAutoHyphens/>
              <w:jc w:val="center"/>
            </w:pPr>
            <w:r w:rsidRPr="00A34F10">
              <w:t>Species</w:t>
            </w:r>
          </w:p>
        </w:tc>
        <w:tc>
          <w:tcPr>
            <w:tcW w:w="894" w:type="pct"/>
            <w:shd w:val="clear" w:color="auto" w:fill="auto"/>
          </w:tcPr>
          <w:p w14:paraId="1E0DAB3E" w14:textId="77777777" w:rsidR="00DC5685" w:rsidRPr="00A34F10" w:rsidRDefault="00DC5685" w:rsidP="000470C3">
            <w:pPr>
              <w:pStyle w:val="RepTableHeader"/>
              <w:suppressAutoHyphens/>
              <w:jc w:val="center"/>
            </w:pPr>
            <w:r w:rsidRPr="00A34F10">
              <w:t>Substance</w:t>
            </w:r>
          </w:p>
        </w:tc>
        <w:tc>
          <w:tcPr>
            <w:tcW w:w="911" w:type="pct"/>
            <w:shd w:val="clear" w:color="auto" w:fill="auto"/>
          </w:tcPr>
          <w:p w14:paraId="0D6F25D8" w14:textId="77777777" w:rsidR="00DC5685" w:rsidRPr="00A34F10" w:rsidRDefault="00DC5685" w:rsidP="000470C3">
            <w:pPr>
              <w:pStyle w:val="RepTableHeader"/>
              <w:suppressAutoHyphens/>
              <w:jc w:val="center"/>
            </w:pPr>
            <w:r w:rsidRPr="00A34F10">
              <w:t>Exposure</w:t>
            </w:r>
            <w:r w:rsidRPr="00A34F10">
              <w:br/>
              <w:t>System</w:t>
            </w:r>
          </w:p>
        </w:tc>
        <w:tc>
          <w:tcPr>
            <w:tcW w:w="1268" w:type="pct"/>
            <w:shd w:val="clear" w:color="auto" w:fill="auto"/>
          </w:tcPr>
          <w:p w14:paraId="7C0B8B68" w14:textId="77777777" w:rsidR="00DC5685" w:rsidRPr="00A34F10" w:rsidRDefault="00DC5685" w:rsidP="000470C3">
            <w:pPr>
              <w:pStyle w:val="RepTableHeader"/>
              <w:suppressAutoHyphens/>
              <w:jc w:val="center"/>
            </w:pPr>
            <w:r w:rsidRPr="00A34F10">
              <w:t>Results</w:t>
            </w:r>
          </w:p>
        </w:tc>
        <w:tc>
          <w:tcPr>
            <w:tcW w:w="928" w:type="pct"/>
            <w:shd w:val="clear" w:color="auto" w:fill="auto"/>
          </w:tcPr>
          <w:p w14:paraId="61F020F8" w14:textId="77777777" w:rsidR="00DC5685" w:rsidRPr="00A34F10" w:rsidRDefault="00DC5685" w:rsidP="000470C3">
            <w:pPr>
              <w:pStyle w:val="RepTableHeader"/>
              <w:suppressAutoHyphens/>
              <w:jc w:val="center"/>
            </w:pPr>
            <w:r w:rsidRPr="00A34F10">
              <w:t>Reference</w:t>
            </w:r>
          </w:p>
        </w:tc>
      </w:tr>
      <w:tr w:rsidR="00DC5685" w:rsidRPr="00A34F10" w14:paraId="7318BADA" w14:textId="77777777" w:rsidTr="000470C3">
        <w:trPr>
          <w:trHeight w:val="833"/>
        </w:trPr>
        <w:tc>
          <w:tcPr>
            <w:tcW w:w="1000" w:type="pct"/>
            <w:shd w:val="clear" w:color="auto" w:fill="auto"/>
          </w:tcPr>
          <w:p w14:paraId="7ADC211B" w14:textId="77777777" w:rsidR="00DC5685" w:rsidRPr="00A34F10" w:rsidRDefault="00DC5685" w:rsidP="000470C3">
            <w:pPr>
              <w:pStyle w:val="RepTable"/>
              <w:suppressAutoHyphens/>
              <w:rPr>
                <w:i/>
                <w:noProof w:val="0"/>
                <w:szCs w:val="2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69EF0EDA" w14:textId="77777777" w:rsidR="00DC5685" w:rsidRPr="00A34F10" w:rsidRDefault="00DC5685" w:rsidP="000470C3">
            <w:pPr>
              <w:pStyle w:val="RepTable"/>
              <w:suppressAutoHyphens/>
              <w:rPr>
                <w:noProof w:val="0"/>
                <w:szCs w:val="20"/>
              </w:rPr>
            </w:pPr>
            <w:r w:rsidRPr="00A34F10">
              <w:rPr>
                <w:noProof w:val="0"/>
                <w:szCs w:val="20"/>
              </w:rPr>
              <w:t>BAS 743 02 F*</w:t>
            </w:r>
          </w:p>
        </w:tc>
        <w:tc>
          <w:tcPr>
            <w:tcW w:w="911" w:type="pct"/>
            <w:shd w:val="clear" w:color="auto" w:fill="auto"/>
          </w:tcPr>
          <w:p w14:paraId="1319BFC1" w14:textId="77777777" w:rsidR="00DC5685" w:rsidRPr="00A34F10" w:rsidRDefault="00DC5685" w:rsidP="000470C3">
            <w:pPr>
              <w:pStyle w:val="RepTable"/>
              <w:suppressAutoHyphens/>
              <w:rPr>
                <w:noProof w:val="0"/>
                <w:szCs w:val="20"/>
              </w:rPr>
            </w:pPr>
            <w:r w:rsidRPr="00A34F10">
              <w:rPr>
                <w:noProof w:val="0"/>
                <w:szCs w:val="20"/>
              </w:rPr>
              <w:t>acute contact, 48 h</w:t>
            </w:r>
          </w:p>
        </w:tc>
        <w:tc>
          <w:tcPr>
            <w:tcW w:w="1268" w:type="pct"/>
            <w:shd w:val="clear" w:color="auto" w:fill="auto"/>
          </w:tcPr>
          <w:p w14:paraId="5DDDFA92" w14:textId="77777777" w:rsidR="00DC5685" w:rsidRPr="00A34F10" w:rsidRDefault="00DC5685" w:rsidP="000470C3">
            <w:pPr>
              <w:pStyle w:val="RepTable"/>
              <w:suppressAutoHyphens/>
              <w:rPr>
                <w:b/>
                <w:bCs/>
                <w:noProof w:val="0"/>
                <w:szCs w:val="20"/>
              </w:rPr>
            </w:pPr>
            <w:r w:rsidRPr="00A34F10">
              <w:rPr>
                <w:b/>
                <w:bCs/>
                <w:noProof w:val="0"/>
                <w:szCs w:val="20"/>
              </w:rPr>
              <w:t>LD</w:t>
            </w:r>
            <w:r w:rsidRPr="00A34F10">
              <w:rPr>
                <w:b/>
                <w:bCs/>
                <w:noProof w:val="0"/>
                <w:szCs w:val="20"/>
                <w:vertAlign w:val="subscript"/>
              </w:rPr>
              <w:t>50</w:t>
            </w:r>
            <w:r w:rsidRPr="00A34F10">
              <w:rPr>
                <w:b/>
                <w:bCs/>
                <w:noProof w:val="0"/>
                <w:szCs w:val="20"/>
              </w:rPr>
              <w:t xml:space="preserve"> (48 h) &gt; 1000 µg/bee</w:t>
            </w:r>
          </w:p>
        </w:tc>
        <w:tc>
          <w:tcPr>
            <w:tcW w:w="928" w:type="pct"/>
            <w:shd w:val="clear" w:color="auto" w:fill="auto"/>
          </w:tcPr>
          <w:p w14:paraId="27E29A5E" w14:textId="77777777" w:rsidR="00DC5685" w:rsidRPr="00A34F10" w:rsidRDefault="00DC5685" w:rsidP="000470C3">
            <w:pPr>
              <w:pStyle w:val="RepTable"/>
              <w:suppressAutoHyphens/>
              <w:rPr>
                <w:noProof w:val="0"/>
                <w:szCs w:val="20"/>
              </w:rPr>
            </w:pPr>
            <w:r w:rsidRPr="00A34F10">
              <w:rPr>
                <w:noProof w:val="0"/>
                <w:szCs w:val="20"/>
              </w:rPr>
              <w:t>new study</w:t>
            </w:r>
          </w:p>
          <w:p w14:paraId="3B48CE22" w14:textId="77777777" w:rsidR="00DC5685" w:rsidRPr="00A34F10" w:rsidRDefault="00DC5685" w:rsidP="000470C3">
            <w:pPr>
              <w:rPr>
                <w:sz w:val="20"/>
                <w:szCs w:val="20"/>
              </w:rPr>
            </w:pPr>
            <w:r w:rsidRPr="00A34F10">
              <w:rPr>
                <w:sz w:val="20"/>
                <w:szCs w:val="20"/>
              </w:rPr>
              <w:t>2022/2033708</w:t>
            </w:r>
          </w:p>
        </w:tc>
      </w:tr>
      <w:tr w:rsidR="00DC5685" w:rsidRPr="00A34F10" w14:paraId="1F9FE602" w14:textId="77777777" w:rsidTr="000470C3">
        <w:trPr>
          <w:trHeight w:val="833"/>
        </w:trPr>
        <w:tc>
          <w:tcPr>
            <w:tcW w:w="1000" w:type="pct"/>
            <w:shd w:val="clear" w:color="auto" w:fill="auto"/>
          </w:tcPr>
          <w:p w14:paraId="16C5287F" w14:textId="77777777" w:rsidR="00DC5685" w:rsidRPr="00A34F10" w:rsidRDefault="00DC5685" w:rsidP="000470C3">
            <w:pPr>
              <w:pStyle w:val="RepTable"/>
              <w:suppressAutoHyphens/>
              <w:rPr>
                <w:i/>
                <w:noProof w:val="0"/>
                <w:szCs w:val="2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24AF47CF" w14:textId="77777777" w:rsidR="00DC5685" w:rsidRPr="00A34F10" w:rsidRDefault="00DC5685" w:rsidP="000470C3">
            <w:pPr>
              <w:suppressAutoHyphens/>
              <w:rPr>
                <w:sz w:val="20"/>
                <w:szCs w:val="20"/>
              </w:rPr>
            </w:pPr>
            <w:r w:rsidRPr="00A34F10">
              <w:rPr>
                <w:sz w:val="20"/>
                <w:szCs w:val="20"/>
              </w:rPr>
              <w:t>BAS 743 02 F*</w:t>
            </w:r>
          </w:p>
        </w:tc>
        <w:tc>
          <w:tcPr>
            <w:tcW w:w="911" w:type="pct"/>
            <w:shd w:val="clear" w:color="auto" w:fill="auto"/>
          </w:tcPr>
          <w:p w14:paraId="7362A876" w14:textId="77777777" w:rsidR="00DC5685" w:rsidRPr="00A34F10" w:rsidRDefault="00DC5685" w:rsidP="000470C3">
            <w:pPr>
              <w:pStyle w:val="RepTable"/>
              <w:suppressAutoHyphens/>
              <w:rPr>
                <w:noProof w:val="0"/>
                <w:szCs w:val="20"/>
              </w:rPr>
            </w:pPr>
            <w:r w:rsidRPr="00A34F10">
              <w:rPr>
                <w:noProof w:val="0"/>
                <w:szCs w:val="20"/>
              </w:rPr>
              <w:t>acute oral, 48 h</w:t>
            </w:r>
          </w:p>
        </w:tc>
        <w:tc>
          <w:tcPr>
            <w:tcW w:w="1268" w:type="pct"/>
            <w:shd w:val="clear" w:color="auto" w:fill="auto"/>
          </w:tcPr>
          <w:p w14:paraId="2AE5B606" w14:textId="77777777" w:rsidR="00DC5685" w:rsidRPr="00A34F10" w:rsidRDefault="00DC5685" w:rsidP="000470C3">
            <w:pPr>
              <w:pStyle w:val="RepTable"/>
              <w:suppressAutoHyphens/>
              <w:rPr>
                <w:noProof w:val="0"/>
                <w:szCs w:val="20"/>
              </w:rPr>
            </w:pPr>
            <w:r w:rsidRPr="00A34F10">
              <w:rPr>
                <w:noProof w:val="0"/>
                <w:szCs w:val="20"/>
              </w:rPr>
              <w:t>LD</w:t>
            </w:r>
            <w:r w:rsidRPr="00A34F10">
              <w:rPr>
                <w:noProof w:val="0"/>
                <w:szCs w:val="20"/>
                <w:vertAlign w:val="subscript"/>
              </w:rPr>
              <w:t>50</w:t>
            </w:r>
            <w:r w:rsidRPr="00A34F10">
              <w:rPr>
                <w:noProof w:val="0"/>
                <w:szCs w:val="20"/>
              </w:rPr>
              <w:t xml:space="preserve"> (48 h) &gt; 840 µg/bee</w:t>
            </w:r>
          </w:p>
        </w:tc>
        <w:tc>
          <w:tcPr>
            <w:tcW w:w="928" w:type="pct"/>
            <w:shd w:val="clear" w:color="auto" w:fill="auto"/>
          </w:tcPr>
          <w:p w14:paraId="4984C119" w14:textId="77777777" w:rsidR="00DC5685" w:rsidRPr="00A34F10" w:rsidRDefault="00DC5685" w:rsidP="000470C3">
            <w:pPr>
              <w:pStyle w:val="RepTable"/>
              <w:suppressAutoHyphens/>
              <w:rPr>
                <w:noProof w:val="0"/>
                <w:szCs w:val="20"/>
              </w:rPr>
            </w:pPr>
            <w:r w:rsidRPr="00A34F10">
              <w:rPr>
                <w:noProof w:val="0"/>
                <w:szCs w:val="20"/>
              </w:rPr>
              <w:t>new study</w:t>
            </w:r>
          </w:p>
          <w:p w14:paraId="04F0A969" w14:textId="77777777" w:rsidR="00DC5685" w:rsidRPr="00A34F10" w:rsidRDefault="00DC5685" w:rsidP="000470C3">
            <w:pPr>
              <w:rPr>
                <w:sz w:val="20"/>
                <w:szCs w:val="20"/>
              </w:rPr>
            </w:pPr>
            <w:r w:rsidRPr="00A34F10">
              <w:rPr>
                <w:sz w:val="20"/>
                <w:szCs w:val="20"/>
              </w:rPr>
              <w:t>2022/2033708</w:t>
            </w:r>
          </w:p>
        </w:tc>
      </w:tr>
      <w:tr w:rsidR="00DC5685" w:rsidRPr="00A34F10" w14:paraId="14D0DDE9" w14:textId="77777777" w:rsidTr="000470C3">
        <w:trPr>
          <w:trHeight w:val="833"/>
        </w:trPr>
        <w:tc>
          <w:tcPr>
            <w:tcW w:w="1000" w:type="pct"/>
            <w:shd w:val="clear" w:color="auto" w:fill="auto"/>
          </w:tcPr>
          <w:p w14:paraId="54478B6E" w14:textId="77777777" w:rsidR="00DC5685" w:rsidRPr="00A34F10" w:rsidRDefault="00DC5685" w:rsidP="000470C3">
            <w:pPr>
              <w:pStyle w:val="RepTable"/>
              <w:suppressAutoHyphens/>
              <w:rPr>
                <w:i/>
                <w:noProof w:val="0"/>
                <w:szCs w:val="2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57BCD759" w14:textId="77777777" w:rsidR="00DC5685" w:rsidRPr="00A34F10" w:rsidRDefault="00DC5685" w:rsidP="000470C3">
            <w:pPr>
              <w:suppressAutoHyphens/>
              <w:rPr>
                <w:sz w:val="20"/>
                <w:szCs w:val="20"/>
              </w:rPr>
            </w:pPr>
            <w:r w:rsidRPr="00A34F10">
              <w:rPr>
                <w:sz w:val="20"/>
                <w:szCs w:val="20"/>
              </w:rPr>
              <w:t>BAS 743 03 F</w:t>
            </w:r>
          </w:p>
        </w:tc>
        <w:tc>
          <w:tcPr>
            <w:tcW w:w="911" w:type="pct"/>
            <w:shd w:val="clear" w:color="auto" w:fill="auto"/>
          </w:tcPr>
          <w:p w14:paraId="029E49C0" w14:textId="77777777" w:rsidR="00DC5685" w:rsidRPr="00A34F10" w:rsidRDefault="00DC5685" w:rsidP="000470C3">
            <w:pPr>
              <w:pStyle w:val="RepTable"/>
              <w:suppressAutoHyphens/>
              <w:rPr>
                <w:noProof w:val="0"/>
                <w:szCs w:val="20"/>
              </w:rPr>
            </w:pPr>
            <w:r w:rsidRPr="00A34F10">
              <w:rPr>
                <w:noProof w:val="0"/>
                <w:szCs w:val="20"/>
              </w:rPr>
              <w:t>acute contact, 48 h</w:t>
            </w:r>
          </w:p>
        </w:tc>
        <w:tc>
          <w:tcPr>
            <w:tcW w:w="1268" w:type="pct"/>
            <w:shd w:val="clear" w:color="auto" w:fill="auto"/>
          </w:tcPr>
          <w:p w14:paraId="0D800B1E" w14:textId="77777777" w:rsidR="00DC5685" w:rsidRPr="00A34F10" w:rsidRDefault="00DC5685" w:rsidP="000470C3">
            <w:pPr>
              <w:pStyle w:val="RepTable"/>
              <w:suppressAutoHyphens/>
              <w:rPr>
                <w:b/>
                <w:bCs/>
                <w:noProof w:val="0"/>
                <w:szCs w:val="20"/>
              </w:rPr>
            </w:pPr>
            <w:r w:rsidRPr="00A34F10">
              <w:rPr>
                <w:noProof w:val="0"/>
                <w:szCs w:val="20"/>
              </w:rPr>
              <w:t>LD</w:t>
            </w:r>
            <w:r w:rsidRPr="00A34F10">
              <w:rPr>
                <w:noProof w:val="0"/>
                <w:szCs w:val="20"/>
                <w:vertAlign w:val="subscript"/>
              </w:rPr>
              <w:t>50</w:t>
            </w:r>
            <w:r w:rsidRPr="00A34F10">
              <w:rPr>
                <w:noProof w:val="0"/>
                <w:szCs w:val="20"/>
              </w:rPr>
              <w:t xml:space="preserve"> (48 h) &gt; 1000 µg/bee</w:t>
            </w:r>
          </w:p>
        </w:tc>
        <w:tc>
          <w:tcPr>
            <w:tcW w:w="928" w:type="pct"/>
            <w:shd w:val="clear" w:color="auto" w:fill="auto"/>
          </w:tcPr>
          <w:p w14:paraId="04373281" w14:textId="77777777" w:rsidR="00DC5685" w:rsidRPr="00A34F10" w:rsidRDefault="00DC5685" w:rsidP="000470C3">
            <w:pPr>
              <w:pStyle w:val="RepTable"/>
              <w:suppressAutoHyphens/>
              <w:rPr>
                <w:noProof w:val="0"/>
                <w:szCs w:val="20"/>
              </w:rPr>
            </w:pPr>
            <w:r w:rsidRPr="00A34F10">
              <w:rPr>
                <w:noProof w:val="0"/>
                <w:szCs w:val="20"/>
              </w:rPr>
              <w:t>new study</w:t>
            </w:r>
          </w:p>
          <w:p w14:paraId="5499369C" w14:textId="77777777" w:rsidR="00DC5685" w:rsidRPr="00A34F10" w:rsidRDefault="00DC5685" w:rsidP="000470C3">
            <w:pPr>
              <w:pStyle w:val="RepTable"/>
              <w:suppressAutoHyphens/>
              <w:rPr>
                <w:noProof w:val="0"/>
                <w:szCs w:val="20"/>
              </w:rPr>
            </w:pPr>
            <w:r w:rsidRPr="00A34F10">
              <w:rPr>
                <w:color w:val="303030"/>
                <w:szCs w:val="20"/>
                <w:shd w:val="clear" w:color="auto" w:fill="FFFFFF"/>
              </w:rPr>
              <w:t>2022/2033729</w:t>
            </w:r>
          </w:p>
        </w:tc>
      </w:tr>
      <w:tr w:rsidR="00DC5685" w:rsidRPr="00A34F10" w14:paraId="49116981" w14:textId="77777777" w:rsidTr="000470C3">
        <w:trPr>
          <w:trHeight w:val="833"/>
        </w:trPr>
        <w:tc>
          <w:tcPr>
            <w:tcW w:w="1000" w:type="pct"/>
            <w:shd w:val="clear" w:color="auto" w:fill="auto"/>
          </w:tcPr>
          <w:p w14:paraId="2BDDE1F4" w14:textId="77777777" w:rsidR="00DC5685" w:rsidRPr="00A34F10" w:rsidRDefault="00DC5685" w:rsidP="000470C3">
            <w:pPr>
              <w:pStyle w:val="RepTable"/>
              <w:suppressAutoHyphens/>
              <w:rPr>
                <w:i/>
                <w:noProof w:val="0"/>
                <w:szCs w:val="2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7A320ADB" w14:textId="77777777" w:rsidR="00DC5685" w:rsidRPr="00A34F10" w:rsidRDefault="00DC5685" w:rsidP="000470C3">
            <w:pPr>
              <w:suppressAutoHyphens/>
              <w:rPr>
                <w:sz w:val="20"/>
                <w:szCs w:val="20"/>
              </w:rPr>
            </w:pPr>
            <w:r w:rsidRPr="00A34F10">
              <w:rPr>
                <w:sz w:val="20"/>
                <w:szCs w:val="20"/>
              </w:rPr>
              <w:t>BAS 743 03 F</w:t>
            </w:r>
          </w:p>
        </w:tc>
        <w:tc>
          <w:tcPr>
            <w:tcW w:w="911" w:type="pct"/>
            <w:shd w:val="clear" w:color="auto" w:fill="auto"/>
          </w:tcPr>
          <w:p w14:paraId="6CD75CC1" w14:textId="77777777" w:rsidR="00DC5685" w:rsidRPr="00A34F10" w:rsidRDefault="00DC5685" w:rsidP="000470C3">
            <w:pPr>
              <w:pStyle w:val="RepTable"/>
              <w:suppressAutoHyphens/>
              <w:rPr>
                <w:noProof w:val="0"/>
                <w:szCs w:val="20"/>
              </w:rPr>
            </w:pPr>
            <w:r w:rsidRPr="00A34F10">
              <w:rPr>
                <w:noProof w:val="0"/>
                <w:szCs w:val="20"/>
              </w:rPr>
              <w:t>acute oral, 48 h</w:t>
            </w:r>
          </w:p>
        </w:tc>
        <w:tc>
          <w:tcPr>
            <w:tcW w:w="1268" w:type="pct"/>
            <w:shd w:val="clear" w:color="auto" w:fill="auto"/>
          </w:tcPr>
          <w:p w14:paraId="1D0E5938" w14:textId="77777777" w:rsidR="00DC5685" w:rsidRPr="00A34F10" w:rsidRDefault="00DC5685" w:rsidP="000470C3">
            <w:pPr>
              <w:pStyle w:val="RepTable"/>
              <w:suppressAutoHyphens/>
              <w:rPr>
                <w:b/>
                <w:bCs/>
                <w:noProof w:val="0"/>
                <w:szCs w:val="20"/>
              </w:rPr>
            </w:pPr>
            <w:r w:rsidRPr="00A34F10">
              <w:rPr>
                <w:b/>
                <w:bCs/>
                <w:noProof w:val="0"/>
                <w:szCs w:val="20"/>
              </w:rPr>
              <w:t>LD</w:t>
            </w:r>
            <w:r w:rsidRPr="00A34F10">
              <w:rPr>
                <w:b/>
                <w:bCs/>
                <w:noProof w:val="0"/>
                <w:szCs w:val="20"/>
                <w:vertAlign w:val="subscript"/>
              </w:rPr>
              <w:t>50</w:t>
            </w:r>
            <w:r w:rsidRPr="00A34F10">
              <w:rPr>
                <w:b/>
                <w:bCs/>
                <w:noProof w:val="0"/>
                <w:szCs w:val="20"/>
              </w:rPr>
              <w:t xml:space="preserve"> (48 h) &gt; 816 µg/bee</w:t>
            </w:r>
          </w:p>
        </w:tc>
        <w:tc>
          <w:tcPr>
            <w:tcW w:w="928" w:type="pct"/>
            <w:shd w:val="clear" w:color="auto" w:fill="auto"/>
          </w:tcPr>
          <w:p w14:paraId="4A816B9F" w14:textId="77777777" w:rsidR="00DC5685" w:rsidRPr="00A34F10" w:rsidRDefault="00DC5685" w:rsidP="000470C3">
            <w:pPr>
              <w:pStyle w:val="RepTable"/>
              <w:suppressAutoHyphens/>
              <w:rPr>
                <w:noProof w:val="0"/>
                <w:szCs w:val="20"/>
              </w:rPr>
            </w:pPr>
            <w:r w:rsidRPr="00A34F10">
              <w:rPr>
                <w:noProof w:val="0"/>
                <w:szCs w:val="20"/>
              </w:rPr>
              <w:t>new study</w:t>
            </w:r>
          </w:p>
          <w:p w14:paraId="620A8807" w14:textId="77777777" w:rsidR="00DC5685" w:rsidRPr="00A34F10" w:rsidRDefault="00DC5685" w:rsidP="000470C3">
            <w:pPr>
              <w:pStyle w:val="RepTable"/>
              <w:suppressAutoHyphens/>
              <w:rPr>
                <w:noProof w:val="0"/>
                <w:szCs w:val="20"/>
              </w:rPr>
            </w:pPr>
            <w:r w:rsidRPr="00A34F10">
              <w:rPr>
                <w:color w:val="303030"/>
                <w:szCs w:val="20"/>
                <w:shd w:val="clear" w:color="auto" w:fill="FFFFFF"/>
              </w:rPr>
              <w:t>2022/2033729</w:t>
            </w:r>
          </w:p>
        </w:tc>
      </w:tr>
      <w:tr w:rsidR="00DC5685" w:rsidRPr="00A34F10" w14:paraId="36B65F9C" w14:textId="77777777" w:rsidTr="000470C3">
        <w:trPr>
          <w:trHeight w:val="833"/>
        </w:trPr>
        <w:tc>
          <w:tcPr>
            <w:tcW w:w="1000" w:type="pct"/>
            <w:shd w:val="clear" w:color="auto" w:fill="auto"/>
          </w:tcPr>
          <w:p w14:paraId="3C096875" w14:textId="77777777" w:rsidR="00DC5685" w:rsidRPr="00A34F10" w:rsidRDefault="00DC5685" w:rsidP="000470C3">
            <w:pPr>
              <w:pStyle w:val="RepTable"/>
              <w:suppressAutoHyphens/>
              <w:rPr>
                <w:i/>
                <w:noProof w:val="0"/>
                <w:szCs w:val="20"/>
              </w:rPr>
            </w:pPr>
            <w:r w:rsidRPr="00A34F10">
              <w:rPr>
                <w:i/>
                <w:noProof w:val="0"/>
                <w:szCs w:val="20"/>
              </w:rPr>
              <w:t xml:space="preserve">Bombus terrestris </w:t>
            </w:r>
            <w:r w:rsidRPr="00A34F10">
              <w:rPr>
                <w:iCs/>
                <w:noProof w:val="0"/>
                <w:szCs w:val="20"/>
              </w:rPr>
              <w:t>(adults)</w:t>
            </w:r>
          </w:p>
        </w:tc>
        <w:tc>
          <w:tcPr>
            <w:tcW w:w="894" w:type="pct"/>
            <w:shd w:val="clear" w:color="auto" w:fill="auto"/>
          </w:tcPr>
          <w:p w14:paraId="4FF92E3D" w14:textId="77777777" w:rsidR="00DC5685" w:rsidRPr="00A34F10" w:rsidRDefault="00DC5685" w:rsidP="000470C3">
            <w:pPr>
              <w:suppressAutoHyphens/>
              <w:rPr>
                <w:sz w:val="20"/>
                <w:szCs w:val="20"/>
              </w:rPr>
            </w:pPr>
            <w:r w:rsidRPr="00A34F10">
              <w:rPr>
                <w:sz w:val="20"/>
                <w:szCs w:val="20"/>
              </w:rPr>
              <w:t>BAS 743 02 F*</w:t>
            </w:r>
          </w:p>
        </w:tc>
        <w:tc>
          <w:tcPr>
            <w:tcW w:w="911" w:type="pct"/>
            <w:shd w:val="clear" w:color="auto" w:fill="auto"/>
          </w:tcPr>
          <w:p w14:paraId="256FBCEB" w14:textId="77777777" w:rsidR="00DC5685" w:rsidRPr="00A34F10" w:rsidRDefault="00DC5685" w:rsidP="000470C3">
            <w:pPr>
              <w:pStyle w:val="RepTable"/>
              <w:suppressAutoHyphens/>
              <w:rPr>
                <w:noProof w:val="0"/>
                <w:szCs w:val="20"/>
              </w:rPr>
            </w:pPr>
            <w:r w:rsidRPr="00A34F10">
              <w:rPr>
                <w:noProof w:val="0"/>
                <w:szCs w:val="20"/>
              </w:rPr>
              <w:t>acute contact, 48 h</w:t>
            </w:r>
          </w:p>
        </w:tc>
        <w:tc>
          <w:tcPr>
            <w:tcW w:w="1268" w:type="pct"/>
            <w:shd w:val="clear" w:color="auto" w:fill="auto"/>
          </w:tcPr>
          <w:p w14:paraId="4AAF4648" w14:textId="77777777" w:rsidR="00DC5685" w:rsidRPr="00A34F10" w:rsidRDefault="00DC5685" w:rsidP="000470C3">
            <w:pPr>
              <w:pStyle w:val="RepTable"/>
              <w:suppressAutoHyphens/>
              <w:rPr>
                <w:noProof w:val="0"/>
                <w:szCs w:val="20"/>
              </w:rPr>
            </w:pPr>
            <w:r w:rsidRPr="00A34F10">
              <w:rPr>
                <w:noProof w:val="0"/>
              </w:rPr>
              <w:t>LD</w:t>
            </w:r>
            <w:r w:rsidRPr="00A34F10">
              <w:rPr>
                <w:noProof w:val="0"/>
                <w:vertAlign w:val="subscript"/>
              </w:rPr>
              <w:t>50</w:t>
            </w:r>
            <w:r w:rsidRPr="00A34F10">
              <w:rPr>
                <w:noProof w:val="0"/>
              </w:rPr>
              <w:t xml:space="preserve"> (48 h) &gt; 1000 µg/bee</w:t>
            </w:r>
          </w:p>
        </w:tc>
        <w:tc>
          <w:tcPr>
            <w:tcW w:w="928" w:type="pct"/>
            <w:shd w:val="clear" w:color="auto" w:fill="auto"/>
          </w:tcPr>
          <w:p w14:paraId="412819DD" w14:textId="77777777" w:rsidR="00DC5685" w:rsidRPr="00A34F10" w:rsidRDefault="00DC5685" w:rsidP="000470C3">
            <w:pPr>
              <w:pStyle w:val="RepTable"/>
              <w:suppressAutoHyphens/>
              <w:rPr>
                <w:noProof w:val="0"/>
              </w:rPr>
            </w:pPr>
            <w:r w:rsidRPr="00A34F10">
              <w:rPr>
                <w:noProof w:val="0"/>
              </w:rPr>
              <w:t>new study</w:t>
            </w:r>
          </w:p>
          <w:p w14:paraId="3A7507BB" w14:textId="77777777" w:rsidR="00DC5685" w:rsidRPr="00A34F10" w:rsidRDefault="00DC5685" w:rsidP="000470C3">
            <w:pPr>
              <w:pStyle w:val="RepTable"/>
              <w:suppressAutoHyphens/>
              <w:rPr>
                <w:noProof w:val="0"/>
                <w:szCs w:val="20"/>
              </w:rPr>
            </w:pPr>
            <w:r w:rsidRPr="00A34F10">
              <w:rPr>
                <w:noProof w:val="0"/>
              </w:rPr>
              <w:t>2022/2033711</w:t>
            </w:r>
          </w:p>
        </w:tc>
      </w:tr>
      <w:tr w:rsidR="00DC5685" w:rsidRPr="00A34F10" w14:paraId="0ABA641C" w14:textId="77777777" w:rsidTr="000470C3">
        <w:trPr>
          <w:trHeight w:val="833"/>
        </w:trPr>
        <w:tc>
          <w:tcPr>
            <w:tcW w:w="1000" w:type="pct"/>
            <w:shd w:val="clear" w:color="auto" w:fill="auto"/>
          </w:tcPr>
          <w:p w14:paraId="0D7EB2E0" w14:textId="77777777" w:rsidR="00DC5685" w:rsidRPr="00A34F10" w:rsidRDefault="00DC5685" w:rsidP="000470C3">
            <w:pPr>
              <w:pStyle w:val="RepTable"/>
              <w:suppressAutoHyphens/>
              <w:rPr>
                <w:i/>
                <w:noProof w:val="0"/>
                <w:szCs w:val="20"/>
              </w:rPr>
            </w:pPr>
            <w:r w:rsidRPr="00A34F10">
              <w:rPr>
                <w:i/>
                <w:noProof w:val="0"/>
                <w:szCs w:val="20"/>
              </w:rPr>
              <w:lastRenderedPageBreak/>
              <w:t xml:space="preserve">Bombus terrestris </w:t>
            </w:r>
            <w:r w:rsidRPr="00A34F10">
              <w:rPr>
                <w:iCs/>
                <w:noProof w:val="0"/>
                <w:szCs w:val="20"/>
              </w:rPr>
              <w:t>(adults)</w:t>
            </w:r>
          </w:p>
        </w:tc>
        <w:tc>
          <w:tcPr>
            <w:tcW w:w="894" w:type="pct"/>
            <w:shd w:val="clear" w:color="auto" w:fill="auto"/>
          </w:tcPr>
          <w:p w14:paraId="50A0EEA0" w14:textId="77777777" w:rsidR="00DC5685" w:rsidRPr="00A34F10" w:rsidRDefault="00DC5685" w:rsidP="000470C3">
            <w:pPr>
              <w:suppressAutoHyphens/>
              <w:rPr>
                <w:sz w:val="20"/>
                <w:szCs w:val="20"/>
              </w:rPr>
            </w:pPr>
            <w:r w:rsidRPr="00A34F10">
              <w:rPr>
                <w:sz w:val="20"/>
                <w:szCs w:val="20"/>
              </w:rPr>
              <w:t>BAS 743 02 F*</w:t>
            </w:r>
          </w:p>
        </w:tc>
        <w:tc>
          <w:tcPr>
            <w:tcW w:w="911" w:type="pct"/>
            <w:shd w:val="clear" w:color="auto" w:fill="auto"/>
          </w:tcPr>
          <w:p w14:paraId="48EF5341" w14:textId="77777777" w:rsidR="00DC5685" w:rsidRPr="00A34F10" w:rsidRDefault="00DC5685" w:rsidP="000470C3">
            <w:pPr>
              <w:pStyle w:val="RepTable"/>
              <w:suppressAutoHyphens/>
              <w:rPr>
                <w:noProof w:val="0"/>
                <w:szCs w:val="20"/>
              </w:rPr>
            </w:pPr>
            <w:r w:rsidRPr="00A34F10">
              <w:rPr>
                <w:noProof w:val="0"/>
                <w:szCs w:val="20"/>
              </w:rPr>
              <w:t>acute oral, 48 h</w:t>
            </w:r>
          </w:p>
        </w:tc>
        <w:tc>
          <w:tcPr>
            <w:tcW w:w="1268" w:type="pct"/>
            <w:shd w:val="clear" w:color="auto" w:fill="auto"/>
          </w:tcPr>
          <w:p w14:paraId="2059CA5E" w14:textId="77777777" w:rsidR="00DC5685" w:rsidRPr="00A34F10" w:rsidRDefault="00DC5685" w:rsidP="000470C3">
            <w:pPr>
              <w:pStyle w:val="RepTable"/>
              <w:suppressAutoHyphens/>
              <w:rPr>
                <w:noProof w:val="0"/>
                <w:szCs w:val="20"/>
              </w:rPr>
            </w:pPr>
            <w:r w:rsidRPr="00A34F10">
              <w:rPr>
                <w:noProof w:val="0"/>
              </w:rPr>
              <w:t>LD</w:t>
            </w:r>
            <w:r w:rsidRPr="00A34F10">
              <w:rPr>
                <w:noProof w:val="0"/>
                <w:vertAlign w:val="subscript"/>
              </w:rPr>
              <w:t>50</w:t>
            </w:r>
            <w:r w:rsidRPr="00A34F10">
              <w:rPr>
                <w:noProof w:val="0"/>
              </w:rPr>
              <w:t xml:space="preserve"> (48 h) &gt; 271.2 µg/bee</w:t>
            </w:r>
          </w:p>
        </w:tc>
        <w:tc>
          <w:tcPr>
            <w:tcW w:w="928" w:type="pct"/>
            <w:shd w:val="clear" w:color="auto" w:fill="auto"/>
          </w:tcPr>
          <w:p w14:paraId="2FB54540" w14:textId="77777777" w:rsidR="00DC5685" w:rsidRPr="00A34F10" w:rsidRDefault="00DC5685" w:rsidP="000470C3">
            <w:pPr>
              <w:pStyle w:val="RepTable"/>
              <w:suppressAutoHyphens/>
              <w:rPr>
                <w:noProof w:val="0"/>
              </w:rPr>
            </w:pPr>
            <w:r w:rsidRPr="00A34F10">
              <w:rPr>
                <w:noProof w:val="0"/>
              </w:rPr>
              <w:t>new study</w:t>
            </w:r>
          </w:p>
          <w:p w14:paraId="582E7E91" w14:textId="77777777" w:rsidR="00DC5685" w:rsidRPr="00A34F10" w:rsidRDefault="00DC5685" w:rsidP="000470C3">
            <w:pPr>
              <w:pStyle w:val="RepTable"/>
              <w:suppressAutoHyphens/>
              <w:rPr>
                <w:noProof w:val="0"/>
                <w:szCs w:val="20"/>
              </w:rPr>
            </w:pPr>
            <w:r w:rsidRPr="00A34F10">
              <w:rPr>
                <w:noProof w:val="0"/>
              </w:rPr>
              <w:t>2022/2033711</w:t>
            </w:r>
          </w:p>
        </w:tc>
      </w:tr>
      <w:tr w:rsidR="00DC5685" w:rsidRPr="00A34F10" w14:paraId="0BF3F791" w14:textId="77777777" w:rsidTr="000470C3">
        <w:tc>
          <w:tcPr>
            <w:tcW w:w="1000" w:type="pct"/>
            <w:shd w:val="clear" w:color="auto" w:fill="auto"/>
          </w:tcPr>
          <w:p w14:paraId="2B9F3B13" w14:textId="77777777" w:rsidR="00DC5685" w:rsidRPr="00A34F10" w:rsidRDefault="00DC5685" w:rsidP="00C3521D">
            <w:pPr>
              <w:pStyle w:val="RepTable"/>
              <w:keepNext/>
              <w:keepLines/>
              <w:suppressAutoHyphens/>
              <w:rPr>
                <w:i/>
                <w:noProof w:val="0"/>
                <w:szCs w:val="20"/>
              </w:rPr>
            </w:pPr>
            <w:r w:rsidRPr="00A34F10">
              <w:rPr>
                <w:i/>
                <w:noProof w:val="0"/>
                <w:szCs w:val="20"/>
              </w:rPr>
              <w:t>Apis mellifera</w:t>
            </w:r>
            <w:r w:rsidRPr="00A34F10">
              <w:rPr>
                <w:i/>
                <w:noProof w:val="0"/>
                <w:szCs w:val="20"/>
              </w:rPr>
              <w:br/>
            </w:r>
            <w:r w:rsidRPr="00A34F10">
              <w:rPr>
                <w:noProof w:val="0"/>
                <w:szCs w:val="20"/>
              </w:rPr>
              <w:t>(adults)</w:t>
            </w:r>
          </w:p>
        </w:tc>
        <w:tc>
          <w:tcPr>
            <w:tcW w:w="894" w:type="pct"/>
            <w:shd w:val="clear" w:color="auto" w:fill="auto"/>
          </w:tcPr>
          <w:p w14:paraId="16AA0486" w14:textId="77777777" w:rsidR="00DC5685" w:rsidRPr="00A34F10" w:rsidRDefault="00DC5685" w:rsidP="00C3521D">
            <w:pPr>
              <w:keepNext/>
              <w:keepLines/>
              <w:widowControl w:val="0"/>
              <w:suppressAutoHyphens/>
              <w:rPr>
                <w:sz w:val="20"/>
                <w:szCs w:val="20"/>
              </w:rPr>
            </w:pPr>
            <w:r w:rsidRPr="00A34F10">
              <w:rPr>
                <w:sz w:val="20"/>
                <w:szCs w:val="20"/>
              </w:rPr>
              <w:t>BAS 743 02 F*</w:t>
            </w:r>
          </w:p>
        </w:tc>
        <w:tc>
          <w:tcPr>
            <w:tcW w:w="911" w:type="pct"/>
            <w:shd w:val="clear" w:color="auto" w:fill="auto"/>
          </w:tcPr>
          <w:p w14:paraId="137C3A23" w14:textId="77777777" w:rsidR="00DC5685" w:rsidRPr="00A34F10" w:rsidRDefault="00DC5685" w:rsidP="00C3521D">
            <w:pPr>
              <w:pStyle w:val="RepTable"/>
              <w:keepNext/>
              <w:keepLines/>
              <w:suppressAutoHyphens/>
              <w:rPr>
                <w:noProof w:val="0"/>
                <w:szCs w:val="20"/>
              </w:rPr>
            </w:pPr>
            <w:r w:rsidRPr="00A34F10">
              <w:rPr>
                <w:noProof w:val="0"/>
                <w:szCs w:val="20"/>
              </w:rPr>
              <w:t>chronic, 10 d</w:t>
            </w:r>
          </w:p>
        </w:tc>
        <w:tc>
          <w:tcPr>
            <w:tcW w:w="1268" w:type="pct"/>
            <w:shd w:val="clear" w:color="auto" w:fill="auto"/>
          </w:tcPr>
          <w:p w14:paraId="1FCEFFB2" w14:textId="77777777" w:rsidR="00DC5685" w:rsidRPr="00A34F10" w:rsidRDefault="00DC5685" w:rsidP="00C3521D">
            <w:pPr>
              <w:pStyle w:val="RepTable"/>
              <w:keepNext/>
              <w:keepLines/>
              <w:suppressAutoHyphens/>
              <w:rPr>
                <w:b/>
                <w:bCs/>
                <w:noProof w:val="0"/>
                <w:szCs w:val="20"/>
              </w:rPr>
            </w:pPr>
            <w:r w:rsidRPr="00A34F10">
              <w:rPr>
                <w:b/>
                <w:bCs/>
                <w:noProof w:val="0"/>
                <w:szCs w:val="20"/>
              </w:rPr>
              <w:t>LDD</w:t>
            </w:r>
            <w:r w:rsidRPr="00A34F10">
              <w:rPr>
                <w:b/>
                <w:bCs/>
                <w:noProof w:val="0"/>
                <w:szCs w:val="20"/>
                <w:vertAlign w:val="subscript"/>
              </w:rPr>
              <w:t>50</w:t>
            </w:r>
            <w:r w:rsidRPr="00A34F10">
              <w:rPr>
                <w:b/>
                <w:bCs/>
                <w:noProof w:val="0"/>
                <w:szCs w:val="20"/>
              </w:rPr>
              <w:t xml:space="preserve"> (10 d) = 78.6 µg product/bee/day</w:t>
            </w:r>
          </w:p>
          <w:p w14:paraId="6334253B" w14:textId="77777777" w:rsidR="00DC5685" w:rsidRPr="00A34F10" w:rsidRDefault="00DC5685" w:rsidP="00C3521D">
            <w:pPr>
              <w:pStyle w:val="RepTable"/>
              <w:keepNext/>
              <w:keepLines/>
              <w:suppressAutoHyphens/>
              <w:rPr>
                <w:noProof w:val="0"/>
                <w:szCs w:val="20"/>
              </w:rPr>
            </w:pPr>
            <w:r w:rsidRPr="00A34F10">
              <w:rPr>
                <w:noProof w:val="0"/>
                <w:szCs w:val="20"/>
              </w:rPr>
              <w:t>NOEDD = 41.7 µg product/bee/day</w:t>
            </w:r>
          </w:p>
        </w:tc>
        <w:tc>
          <w:tcPr>
            <w:tcW w:w="928" w:type="pct"/>
            <w:shd w:val="clear" w:color="auto" w:fill="auto"/>
          </w:tcPr>
          <w:p w14:paraId="628532E8" w14:textId="77777777" w:rsidR="00DC5685" w:rsidRPr="00A34F10" w:rsidRDefault="00DC5685" w:rsidP="00C3521D">
            <w:pPr>
              <w:pStyle w:val="RepTable"/>
              <w:keepNext/>
              <w:keepLines/>
              <w:suppressAutoHyphens/>
              <w:rPr>
                <w:noProof w:val="0"/>
                <w:szCs w:val="20"/>
              </w:rPr>
            </w:pPr>
            <w:r w:rsidRPr="00A34F10">
              <w:rPr>
                <w:noProof w:val="0"/>
                <w:szCs w:val="20"/>
              </w:rPr>
              <w:t>new study</w:t>
            </w:r>
          </w:p>
          <w:p w14:paraId="2AFECC65" w14:textId="77777777" w:rsidR="00DC5685" w:rsidRPr="00A34F10" w:rsidRDefault="00DC5685" w:rsidP="00C3521D">
            <w:pPr>
              <w:keepNext/>
              <w:keepLines/>
              <w:widowControl w:val="0"/>
              <w:rPr>
                <w:color w:val="000000"/>
                <w:sz w:val="20"/>
                <w:szCs w:val="20"/>
              </w:rPr>
            </w:pPr>
            <w:r w:rsidRPr="00A34F10">
              <w:rPr>
                <w:sz w:val="20"/>
                <w:szCs w:val="20"/>
              </w:rPr>
              <w:t>2022/2033709</w:t>
            </w:r>
          </w:p>
        </w:tc>
      </w:tr>
      <w:tr w:rsidR="00DC5685" w:rsidRPr="00A34F10" w14:paraId="06E0DAC9" w14:textId="77777777" w:rsidTr="000470C3">
        <w:tc>
          <w:tcPr>
            <w:tcW w:w="1000" w:type="pct"/>
            <w:shd w:val="clear" w:color="auto" w:fill="auto"/>
          </w:tcPr>
          <w:p w14:paraId="296D23FC" w14:textId="77777777" w:rsidR="00DC5685" w:rsidRPr="00A34F10" w:rsidRDefault="00DC5685" w:rsidP="000470C3">
            <w:pPr>
              <w:pStyle w:val="RepTable"/>
              <w:keepNext/>
              <w:suppressAutoHyphens/>
              <w:rPr>
                <w:i/>
                <w:noProof w:val="0"/>
                <w:szCs w:val="20"/>
              </w:rPr>
            </w:pPr>
            <w:r w:rsidRPr="00A34F10">
              <w:rPr>
                <w:i/>
                <w:noProof w:val="0"/>
                <w:szCs w:val="20"/>
              </w:rPr>
              <w:t>Apis mellifera</w:t>
            </w:r>
            <w:r w:rsidRPr="00A34F10">
              <w:rPr>
                <w:i/>
                <w:noProof w:val="0"/>
                <w:szCs w:val="20"/>
              </w:rPr>
              <w:br/>
            </w:r>
            <w:r w:rsidRPr="00A34F10">
              <w:rPr>
                <w:noProof w:val="0"/>
                <w:szCs w:val="20"/>
              </w:rPr>
              <w:t>(larvae)</w:t>
            </w:r>
          </w:p>
        </w:tc>
        <w:tc>
          <w:tcPr>
            <w:tcW w:w="894" w:type="pct"/>
            <w:shd w:val="clear" w:color="auto" w:fill="auto"/>
          </w:tcPr>
          <w:p w14:paraId="5B0A37C3" w14:textId="77777777" w:rsidR="00DC5685" w:rsidRPr="00A34F10" w:rsidRDefault="00DC5685" w:rsidP="000470C3">
            <w:pPr>
              <w:keepNext/>
              <w:suppressAutoHyphens/>
              <w:rPr>
                <w:sz w:val="20"/>
                <w:szCs w:val="20"/>
              </w:rPr>
            </w:pPr>
            <w:r w:rsidRPr="00A34F10">
              <w:rPr>
                <w:sz w:val="20"/>
                <w:szCs w:val="20"/>
              </w:rPr>
              <w:t>BAS 743 02 F*</w:t>
            </w:r>
          </w:p>
        </w:tc>
        <w:tc>
          <w:tcPr>
            <w:tcW w:w="911" w:type="pct"/>
            <w:shd w:val="clear" w:color="auto" w:fill="auto"/>
          </w:tcPr>
          <w:p w14:paraId="320A1D0A" w14:textId="77777777" w:rsidR="00DC5685" w:rsidRPr="00A34F10" w:rsidRDefault="00DC5685" w:rsidP="000470C3">
            <w:pPr>
              <w:pStyle w:val="RepTable"/>
              <w:keepNext/>
              <w:suppressAutoHyphens/>
              <w:rPr>
                <w:noProof w:val="0"/>
                <w:szCs w:val="20"/>
              </w:rPr>
            </w:pPr>
            <w:r w:rsidRPr="00A34F10">
              <w:rPr>
                <w:noProof w:val="0"/>
                <w:szCs w:val="20"/>
              </w:rPr>
              <w:t>repeated exposure, 22 d</w:t>
            </w:r>
          </w:p>
        </w:tc>
        <w:tc>
          <w:tcPr>
            <w:tcW w:w="1268" w:type="pct"/>
            <w:shd w:val="clear" w:color="auto" w:fill="auto"/>
          </w:tcPr>
          <w:p w14:paraId="4908E35F" w14:textId="77777777" w:rsidR="00DC5685" w:rsidRPr="00A34F10" w:rsidRDefault="00DC5685" w:rsidP="000470C3">
            <w:pPr>
              <w:pStyle w:val="RepTable"/>
              <w:keepNext/>
              <w:suppressAutoHyphens/>
              <w:rPr>
                <w:b/>
                <w:bCs/>
                <w:noProof w:val="0"/>
                <w:szCs w:val="20"/>
              </w:rPr>
            </w:pPr>
            <w:r w:rsidRPr="00A34F10">
              <w:rPr>
                <w:b/>
                <w:bCs/>
                <w:noProof w:val="0"/>
                <w:szCs w:val="20"/>
              </w:rPr>
              <w:t>NOED (22 d) = 39.1 µg product/larva/day</w:t>
            </w:r>
          </w:p>
          <w:p w14:paraId="75078C13" w14:textId="77777777" w:rsidR="00DC5685" w:rsidRPr="00A34F10" w:rsidRDefault="00DC5685" w:rsidP="000470C3">
            <w:pPr>
              <w:pStyle w:val="RepTable"/>
              <w:keepNext/>
              <w:suppressAutoHyphens/>
              <w:rPr>
                <w:noProof w:val="0"/>
                <w:szCs w:val="20"/>
              </w:rPr>
            </w:pPr>
            <w:r w:rsidRPr="00A34F10">
              <w:rPr>
                <w:noProof w:val="0"/>
                <w:szCs w:val="20"/>
              </w:rPr>
              <w:t>ED</w:t>
            </w:r>
            <w:r w:rsidRPr="00A34F10">
              <w:rPr>
                <w:noProof w:val="0"/>
                <w:szCs w:val="20"/>
                <w:vertAlign w:val="subscript"/>
              </w:rPr>
              <w:t>10</w:t>
            </w:r>
            <w:r w:rsidRPr="00A34F10">
              <w:rPr>
                <w:noProof w:val="0"/>
                <w:szCs w:val="20"/>
              </w:rPr>
              <w:t xml:space="preserve"> (22 d) = 44.5 µg/larva/day</w:t>
            </w:r>
          </w:p>
        </w:tc>
        <w:tc>
          <w:tcPr>
            <w:tcW w:w="928" w:type="pct"/>
            <w:shd w:val="clear" w:color="auto" w:fill="auto"/>
          </w:tcPr>
          <w:p w14:paraId="3D95A991" w14:textId="77777777" w:rsidR="00DC5685" w:rsidRPr="00A34F10" w:rsidRDefault="00DC5685" w:rsidP="000470C3">
            <w:pPr>
              <w:pStyle w:val="RepTable"/>
              <w:keepNext/>
              <w:suppressAutoHyphens/>
              <w:rPr>
                <w:noProof w:val="0"/>
                <w:szCs w:val="20"/>
              </w:rPr>
            </w:pPr>
            <w:r w:rsidRPr="00A34F10">
              <w:rPr>
                <w:noProof w:val="0"/>
                <w:szCs w:val="20"/>
              </w:rPr>
              <w:t>new study</w:t>
            </w:r>
          </w:p>
          <w:p w14:paraId="3196F279" w14:textId="77777777" w:rsidR="00DC5685" w:rsidRPr="00A34F10" w:rsidRDefault="00DC5685" w:rsidP="000470C3">
            <w:pPr>
              <w:rPr>
                <w:color w:val="000000"/>
                <w:sz w:val="20"/>
                <w:szCs w:val="20"/>
              </w:rPr>
            </w:pPr>
            <w:r w:rsidRPr="00A34F10">
              <w:rPr>
                <w:sz w:val="20"/>
                <w:szCs w:val="20"/>
              </w:rPr>
              <w:t>2022/2033710</w:t>
            </w:r>
          </w:p>
        </w:tc>
      </w:tr>
    </w:tbl>
    <w:p w14:paraId="7B3607CA" w14:textId="77777777" w:rsidR="00DC5685" w:rsidRPr="00A34F10" w:rsidRDefault="00DC5685" w:rsidP="00DC5685">
      <w:pPr>
        <w:tabs>
          <w:tab w:val="left" w:pos="426"/>
        </w:tabs>
        <w:suppressAutoHyphens/>
        <w:spacing w:before="40"/>
        <w:ind w:left="284" w:hanging="284"/>
        <w:jc w:val="both"/>
        <w:rPr>
          <w:sz w:val="18"/>
          <w:szCs w:val="18"/>
        </w:rPr>
      </w:pPr>
      <w:r w:rsidRPr="00A34F10">
        <w:rPr>
          <w:b/>
          <w:bCs/>
          <w:sz w:val="18"/>
          <w:szCs w:val="18"/>
        </w:rPr>
        <w:t>Bold</w:t>
      </w:r>
      <w:r w:rsidRPr="00A34F10">
        <w:rPr>
          <w:sz w:val="18"/>
          <w:szCs w:val="18"/>
        </w:rPr>
        <w:t xml:space="preserve"> values are used in the risk assessment</w:t>
      </w:r>
    </w:p>
    <w:p w14:paraId="62D5C81E" w14:textId="77777777" w:rsidR="00DC5685" w:rsidRPr="00A34F10" w:rsidRDefault="00DC5685" w:rsidP="00DC5685">
      <w:pPr>
        <w:keepNext/>
        <w:keepLines/>
        <w:suppressAutoHyphens/>
        <w:autoSpaceDE w:val="0"/>
        <w:autoSpaceDN w:val="0"/>
        <w:adjustRightInd w:val="0"/>
        <w:ind w:left="284" w:hanging="284"/>
        <w:jc w:val="both"/>
        <w:rPr>
          <w:sz w:val="18"/>
          <w:szCs w:val="18"/>
          <w:lang w:val="en-GB"/>
        </w:rPr>
      </w:pPr>
      <w:r w:rsidRPr="00A34F10">
        <w:rPr>
          <w:sz w:val="18"/>
          <w:szCs w:val="18"/>
        </w:rPr>
        <w:t>*</w:t>
      </w:r>
      <w:r w:rsidRPr="00A34F10">
        <w:rPr>
          <w:sz w:val="18"/>
          <w:szCs w:val="18"/>
        </w:rPr>
        <w:tab/>
        <w:t>Study was conducted with the similar formulation BAS 743 02 F containing 137.1 g/L Ametoctradin and 515.4 g/L Propamocarb-HCl</w:t>
      </w:r>
    </w:p>
    <w:p w14:paraId="2B8F12BF" w14:textId="68EA79E1" w:rsidR="00DC5685" w:rsidRPr="00A34F10" w:rsidRDefault="00DC5685" w:rsidP="00E355DA">
      <w:pPr>
        <w:pStyle w:val="Nagwek3"/>
      </w:pPr>
      <w:bookmarkStart w:id="546" w:name="_Toc181624974"/>
      <w:r w:rsidRPr="00A34F10">
        <w:t>Justification for new endpoints</w:t>
      </w:r>
      <w:bookmarkEnd w:id="532"/>
      <w:bookmarkEnd w:id="533"/>
      <w:bookmarkEnd w:id="534"/>
      <w:bookmarkEnd w:id="535"/>
      <w:bookmarkEnd w:id="536"/>
      <w:bookmarkEnd w:id="537"/>
      <w:bookmarkEnd w:id="538"/>
      <w:bookmarkEnd w:id="539"/>
      <w:bookmarkEnd w:id="540"/>
      <w:bookmarkEnd w:id="546"/>
    </w:p>
    <w:p w14:paraId="2ACEEB66" w14:textId="77777777" w:rsidR="00DC5685" w:rsidRDefault="00DC5685" w:rsidP="00DC5685">
      <w:pPr>
        <w:pStyle w:val="RepStandard"/>
        <w:suppressAutoHyphens/>
      </w:pPr>
      <w:r w:rsidRPr="00A34F10">
        <w:t xml:space="preserve">The selection of studies and endpoints for the risk assessment is in line with the results of the EU review process, plus the endpoints for the formulation have been taken into account. </w:t>
      </w:r>
    </w:p>
    <w:p w14:paraId="5F2982DE" w14:textId="77777777" w:rsidR="00DC5685" w:rsidRPr="00A34F10" w:rsidRDefault="00DC5685" w:rsidP="00DC5685">
      <w:pPr>
        <w:pStyle w:val="Nagwek3"/>
        <w:keepNext w:val="0"/>
        <w:rPr>
          <w:rFonts w:cs="Times New Roman"/>
        </w:rPr>
      </w:pPr>
      <w:bookmarkStart w:id="547" w:name="_Toc412644004"/>
      <w:bookmarkStart w:id="548" w:name="_Toc413916848"/>
      <w:bookmarkStart w:id="549" w:name="_Toc413916990"/>
      <w:bookmarkStart w:id="550" w:name="_Toc413922051"/>
      <w:bookmarkStart w:id="551" w:name="_Toc413922540"/>
      <w:bookmarkStart w:id="552" w:name="_Toc413922644"/>
      <w:bookmarkStart w:id="553" w:name="_Toc414955281"/>
      <w:bookmarkStart w:id="554" w:name="_Toc415214588"/>
      <w:bookmarkStart w:id="555" w:name="_Toc425512609"/>
      <w:bookmarkStart w:id="556" w:name="_Toc181624975"/>
      <w:r w:rsidRPr="00A34F10">
        <w:rPr>
          <w:rFonts w:cs="Times New Roman"/>
        </w:rPr>
        <w:t>Risk assessment</w:t>
      </w:r>
      <w:bookmarkEnd w:id="547"/>
      <w:bookmarkEnd w:id="548"/>
      <w:bookmarkEnd w:id="549"/>
      <w:bookmarkEnd w:id="550"/>
      <w:bookmarkEnd w:id="551"/>
      <w:bookmarkEnd w:id="552"/>
      <w:bookmarkEnd w:id="553"/>
      <w:bookmarkEnd w:id="554"/>
      <w:bookmarkEnd w:id="555"/>
      <w:bookmarkEnd w:id="556"/>
    </w:p>
    <w:p w14:paraId="568E5E2E" w14:textId="294512CE" w:rsidR="00DC5685" w:rsidRPr="007676F3" w:rsidRDefault="005E1708" w:rsidP="00DC5685">
      <w:pPr>
        <w:pStyle w:val="LoEtextChar"/>
        <w:suppressAutoHyphens/>
        <w:jc w:val="both"/>
        <w:rPr>
          <w:sz w:val="22"/>
          <w:szCs w:val="22"/>
          <w:lang w:val="en-US" w:eastAsia="de-DE"/>
        </w:rPr>
      </w:pPr>
      <w:bookmarkStart w:id="557" w:name="_Toc412644005"/>
      <w:bookmarkStart w:id="558" w:name="_Toc413916849"/>
      <w:bookmarkStart w:id="559" w:name="_Toc413916991"/>
      <w:bookmarkStart w:id="560" w:name="_Toc413922052"/>
      <w:bookmarkStart w:id="561" w:name="_Toc413922541"/>
      <w:bookmarkStart w:id="562" w:name="_Toc413922645"/>
      <w:bookmarkStart w:id="563" w:name="_Toc414955282"/>
      <w:bookmarkStart w:id="564" w:name="_Toc415214589"/>
      <w:bookmarkStart w:id="565" w:name="_Toc425512610"/>
      <w:r w:rsidRPr="007676F3">
        <w:rPr>
          <w:sz w:val="22"/>
          <w:szCs w:val="22"/>
          <w:lang w:val="en-US" w:eastAsia="de-DE"/>
        </w:rPr>
        <w:t xml:space="preserve">The risk assessment has been performed according to SANCO/10329/2002 rev 2 final, since </w:t>
      </w:r>
      <w:r w:rsidRPr="007676F3">
        <w:rPr>
          <w:sz w:val="22"/>
          <w:szCs w:val="22"/>
          <w:lang w:val="en-US"/>
        </w:rPr>
        <w:t xml:space="preserve">the new EFSA GD </w:t>
      </w:r>
      <w:r w:rsidRPr="007676F3">
        <w:rPr>
          <w:i/>
          <w:sz w:val="22"/>
          <w:szCs w:val="22"/>
          <w:lang w:val="en-US"/>
        </w:rPr>
        <w:t>“Guidance on the risk assessment of plant protection products on bees (</w:t>
      </w:r>
      <w:r w:rsidRPr="007676F3">
        <w:rPr>
          <w:i/>
          <w:iCs/>
          <w:sz w:val="22"/>
          <w:szCs w:val="22"/>
          <w:lang w:val="en-US"/>
        </w:rPr>
        <w:t>Apis mellifera</w:t>
      </w:r>
      <w:r w:rsidRPr="007676F3">
        <w:rPr>
          <w:i/>
          <w:sz w:val="22"/>
          <w:szCs w:val="22"/>
          <w:lang w:val="en-US"/>
        </w:rPr>
        <w:t xml:space="preserve">, </w:t>
      </w:r>
      <w:r w:rsidRPr="007676F3">
        <w:rPr>
          <w:i/>
          <w:iCs/>
          <w:sz w:val="22"/>
          <w:szCs w:val="22"/>
          <w:lang w:val="en-US"/>
        </w:rPr>
        <w:t>Bombus</w:t>
      </w:r>
      <w:r w:rsidRPr="007676F3">
        <w:rPr>
          <w:i/>
          <w:sz w:val="22"/>
          <w:szCs w:val="22"/>
          <w:lang w:val="en-US"/>
        </w:rPr>
        <w:t xml:space="preserve"> spp. and solitary bees)”</w:t>
      </w:r>
      <w:r w:rsidRPr="007676F3">
        <w:rPr>
          <w:sz w:val="22"/>
          <w:szCs w:val="22"/>
          <w:lang w:val="en-US"/>
        </w:rPr>
        <w:t xml:space="preserve"> (EFSA Journal 2013; 1187):3295) has not yet been adopted by the Standing Committee on Plants, Animals, Food and Feed.</w:t>
      </w:r>
    </w:p>
    <w:p w14:paraId="2EBFFB41" w14:textId="77777777" w:rsidR="00DC5685" w:rsidRPr="00A34F10" w:rsidRDefault="00DC5685" w:rsidP="00DC5685">
      <w:pPr>
        <w:pStyle w:val="LoEtextChar"/>
        <w:suppressAutoHyphens/>
        <w:jc w:val="both"/>
        <w:rPr>
          <w:i/>
          <w:sz w:val="22"/>
          <w:szCs w:val="22"/>
          <w:lang w:val="en-US"/>
        </w:rPr>
      </w:pPr>
    </w:p>
    <w:p w14:paraId="1616BFB6" w14:textId="5FA608CA" w:rsidR="00DC5685" w:rsidRDefault="00DC5685" w:rsidP="00DC5685">
      <w:pPr>
        <w:pStyle w:val="RepStandard"/>
        <w:suppressAutoHyphens/>
      </w:pPr>
      <w:r w:rsidRPr="00A34F10">
        <w:t xml:space="preserve">The application of BAS 743 03 F is intended in potato, fruiting vegetables, </w:t>
      </w:r>
      <w:r w:rsidR="007676F3" w:rsidRPr="007676F3">
        <w:rPr>
          <w:highlight w:val="green"/>
        </w:rPr>
        <w:t>minor crops</w:t>
      </w:r>
      <w:r w:rsidR="007676F3">
        <w:t xml:space="preserve"> </w:t>
      </w:r>
      <w:r w:rsidRPr="005E1708">
        <w:rPr>
          <w:strike/>
          <w:highlight w:val="green"/>
        </w:rPr>
        <w:t>ornamentals</w:t>
      </w:r>
      <w:r w:rsidRPr="00A34F10">
        <w:t xml:space="preserve"> and onions. The risk assessment is based on the maximum single application rate </w:t>
      </w:r>
      <w:r w:rsidRPr="00FD4A8D">
        <w:rPr>
          <w:strike/>
          <w:highlight w:val="green"/>
        </w:rPr>
        <w:t>in potatoes</w:t>
      </w:r>
      <w:r w:rsidR="00A832E7">
        <w:t xml:space="preserve"> </w:t>
      </w:r>
      <w:r w:rsidRPr="00A34F10">
        <w:t>of 2.0 L/ha</w:t>
      </w:r>
      <w:r w:rsidR="00A832E7" w:rsidRPr="009C6B82">
        <w:t>.</w:t>
      </w:r>
      <w:r w:rsidRPr="009C6B82">
        <w:t xml:space="preserve">, as </w:t>
      </w:r>
      <w:r w:rsidR="00A832E7" w:rsidRPr="009C6B82">
        <w:t xml:space="preserve">this use represents a worst-case </w:t>
      </w:r>
      <w:r w:rsidRPr="00A34F10">
        <w:t>(see Section 9 Chapter 9.1 for details).</w:t>
      </w:r>
    </w:p>
    <w:p w14:paraId="0E04C7CC" w14:textId="77777777" w:rsidR="00DC5685" w:rsidRPr="00A34F10" w:rsidRDefault="00DC5685" w:rsidP="00DC5685">
      <w:pPr>
        <w:pStyle w:val="Nagwek4"/>
        <w:suppressAutoHyphens/>
        <w:rPr>
          <w:noProof w:val="0"/>
          <w:lang w:val="en-US"/>
        </w:rPr>
      </w:pPr>
      <w:bookmarkStart w:id="566" w:name="_Toc181624976"/>
      <w:r w:rsidRPr="00A34F10">
        <w:rPr>
          <w:noProof w:val="0"/>
          <w:lang w:val="en-US"/>
        </w:rPr>
        <w:t>Hazard quotients for bees</w:t>
      </w:r>
      <w:bookmarkEnd w:id="557"/>
      <w:bookmarkEnd w:id="558"/>
      <w:bookmarkEnd w:id="559"/>
      <w:bookmarkEnd w:id="560"/>
      <w:bookmarkEnd w:id="561"/>
      <w:bookmarkEnd w:id="562"/>
      <w:bookmarkEnd w:id="563"/>
      <w:bookmarkEnd w:id="564"/>
      <w:bookmarkEnd w:id="565"/>
      <w:bookmarkEnd w:id="566"/>
    </w:p>
    <w:p w14:paraId="6871899E" w14:textId="1096FD93" w:rsidR="00DC5685" w:rsidRPr="00A34F10" w:rsidRDefault="00DC5685" w:rsidP="00DC5685">
      <w:pPr>
        <w:widowControl w:val="0"/>
        <w:suppressAutoHyphens/>
        <w:jc w:val="both"/>
      </w:pPr>
      <w:r w:rsidRPr="00A34F10">
        <w:t>The risk to honeybees was assessed using the maximum single application rate and the LD</w:t>
      </w:r>
      <w:r w:rsidRPr="00A34F10">
        <w:rPr>
          <w:vertAlign w:val="subscript"/>
        </w:rPr>
        <w:t>50</w:t>
      </w:r>
      <w:r w:rsidRPr="00A34F10">
        <w:t xml:space="preserve"> values to calculate hazard quotients (HQ) for oral exposure (Q</w:t>
      </w:r>
      <w:r w:rsidRPr="00A34F10">
        <w:rPr>
          <w:vertAlign w:val="subscript"/>
        </w:rPr>
        <w:t>HO</w:t>
      </w:r>
      <w:r w:rsidRPr="00A34F10">
        <w:t>) and contact exposure (Q</w:t>
      </w:r>
      <w:r w:rsidRPr="00A34F10">
        <w:rPr>
          <w:vertAlign w:val="subscript"/>
        </w:rPr>
        <w:t>HC</w:t>
      </w:r>
      <w:r w:rsidRPr="00A34F10">
        <w:t>).</w:t>
      </w:r>
    </w:p>
    <w:p w14:paraId="0B8AAF7F" w14:textId="7D91C66C" w:rsidR="00E23E00" w:rsidRPr="00A34F10" w:rsidRDefault="00E23E00" w:rsidP="00DC5685">
      <w:pPr>
        <w:widowControl w:val="0"/>
        <w:suppressAutoHyphens/>
        <w:jc w:val="both"/>
      </w:pPr>
    </w:p>
    <w:p w14:paraId="5C760695" w14:textId="36E76AF4" w:rsidR="00E23E00" w:rsidRPr="00A34F10" w:rsidRDefault="00E23E00" w:rsidP="00DC5685">
      <w:pPr>
        <w:widowControl w:val="0"/>
        <w:suppressAutoHyphens/>
        <w:jc w:val="both"/>
      </w:pPr>
      <w:r w:rsidRPr="00A34F10">
        <w:br w:type="page"/>
      </w:r>
    </w:p>
    <w:p w14:paraId="66B95F31" w14:textId="74D72447" w:rsidR="00DC5685" w:rsidRPr="00A34F10" w:rsidRDefault="00DC5685" w:rsidP="00DC5685">
      <w:pPr>
        <w:pStyle w:val="RepLabel"/>
        <w:suppressAutoHyphens/>
      </w:pPr>
      <w:r w:rsidRPr="00A34F10">
        <w:lastRenderedPageBreak/>
        <w:t xml:space="preserve">Table </w:t>
      </w:r>
      <w:fldSimple w:instr=" STYLEREF 2 \s ">
        <w:r w:rsidR="006F0F3B">
          <w:rPr>
            <w:noProof/>
          </w:rPr>
          <w:t>9.6</w:t>
        </w:r>
      </w:fldSimple>
      <w:r w:rsidRPr="00A34F10">
        <w:noBreakHyphen/>
        <w:t>4</w:t>
      </w:r>
      <w:r w:rsidRPr="00A34F10">
        <w:tab/>
        <w:t xml:space="preserve">First-tier assessment of the risk for bees due to the use of Ametoctradin as contained in BAS 743 03 F according to the proposed </w:t>
      </w:r>
      <w:r w:rsidRPr="007E1C43">
        <w:rPr>
          <w:strike/>
          <w:highlight w:val="green"/>
        </w:rPr>
        <w:t>worst-case</w:t>
      </w:r>
      <w:r w:rsidRPr="00A34F10">
        <w:t xml:space="preserve"> use</w:t>
      </w:r>
      <w:r w:rsidR="007E1C43" w:rsidRPr="007E1C43">
        <w:rPr>
          <w:strike/>
          <w:highlight w:val="green"/>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DC5685" w:rsidRPr="00A34F10" w14:paraId="100DA43F" w14:textId="77777777" w:rsidTr="000470C3">
        <w:trPr>
          <w:cantSplit/>
        </w:trPr>
        <w:tc>
          <w:tcPr>
            <w:tcW w:w="1250" w:type="pct"/>
            <w:tcBorders>
              <w:bottom w:val="nil"/>
            </w:tcBorders>
          </w:tcPr>
          <w:p w14:paraId="7085D11C" w14:textId="77777777" w:rsidR="00DC5685" w:rsidRPr="00A34F10" w:rsidRDefault="00DC5685" w:rsidP="000470C3">
            <w:pPr>
              <w:pStyle w:val="RepTableBold"/>
              <w:suppressAutoHyphens/>
            </w:pPr>
            <w:r w:rsidRPr="00A34F10">
              <w:t>Intended use</w:t>
            </w:r>
          </w:p>
        </w:tc>
        <w:tc>
          <w:tcPr>
            <w:tcW w:w="3750" w:type="pct"/>
            <w:gridSpan w:val="3"/>
            <w:tcBorders>
              <w:bottom w:val="single" w:sz="4" w:space="0" w:color="auto"/>
            </w:tcBorders>
          </w:tcPr>
          <w:p w14:paraId="58B4181B" w14:textId="7BC9F77A" w:rsidR="00DC5685" w:rsidRPr="00A34F10" w:rsidRDefault="00DC5685" w:rsidP="000470C3">
            <w:pPr>
              <w:pStyle w:val="RepTable"/>
              <w:suppressAutoHyphens/>
              <w:rPr>
                <w:noProof w:val="0"/>
              </w:rPr>
            </w:pPr>
            <w:r w:rsidRPr="00A34F10">
              <w:rPr>
                <w:noProof w:val="0"/>
              </w:rPr>
              <w:t>Potatoes</w:t>
            </w:r>
            <w:r w:rsidR="007E1C43">
              <w:rPr>
                <w:noProof w:val="0"/>
              </w:rPr>
              <w:t xml:space="preserve">, </w:t>
            </w:r>
            <w:r w:rsidR="007E1C43" w:rsidRPr="005E1708">
              <w:rPr>
                <w:highlight w:val="green"/>
              </w:rPr>
              <w:t>onions</w:t>
            </w:r>
            <w:r w:rsidR="007E1C43">
              <w:rPr>
                <w:highlight w:val="green"/>
              </w:rPr>
              <w:t xml:space="preserve">, </w:t>
            </w:r>
            <w:r w:rsidR="007E1C43" w:rsidRPr="005E1708">
              <w:rPr>
                <w:highlight w:val="green"/>
              </w:rPr>
              <w:t xml:space="preserve">fruiting </w:t>
            </w:r>
            <w:r w:rsidR="007E1C43" w:rsidRPr="007E1C43">
              <w:rPr>
                <w:highlight w:val="green"/>
              </w:rPr>
              <w:t>vegetables and minor crops</w:t>
            </w:r>
          </w:p>
        </w:tc>
      </w:tr>
      <w:tr w:rsidR="00DC5685" w:rsidRPr="00A34F10" w14:paraId="23A891C3" w14:textId="77777777" w:rsidTr="000470C3">
        <w:trPr>
          <w:cantSplit/>
        </w:trPr>
        <w:tc>
          <w:tcPr>
            <w:tcW w:w="1250" w:type="pct"/>
            <w:tcBorders>
              <w:top w:val="nil"/>
              <w:bottom w:val="nil"/>
            </w:tcBorders>
          </w:tcPr>
          <w:p w14:paraId="7662AF98" w14:textId="77777777" w:rsidR="00DC5685" w:rsidRPr="00A34F10" w:rsidRDefault="00DC5685" w:rsidP="000470C3">
            <w:pPr>
              <w:pStyle w:val="RepTableBold"/>
              <w:suppressAutoHyphens/>
            </w:pPr>
            <w:r w:rsidRPr="00A34F10">
              <w:t>Active substance</w:t>
            </w:r>
          </w:p>
        </w:tc>
        <w:tc>
          <w:tcPr>
            <w:tcW w:w="3750" w:type="pct"/>
            <w:gridSpan w:val="3"/>
            <w:tcBorders>
              <w:top w:val="single" w:sz="4" w:space="0" w:color="auto"/>
              <w:bottom w:val="single" w:sz="4" w:space="0" w:color="auto"/>
            </w:tcBorders>
          </w:tcPr>
          <w:p w14:paraId="42F74897" w14:textId="77777777" w:rsidR="00DC5685" w:rsidRPr="00A34F10" w:rsidRDefault="00DC5685" w:rsidP="000470C3">
            <w:pPr>
              <w:pStyle w:val="RepTable"/>
              <w:suppressAutoHyphens/>
              <w:rPr>
                <w:noProof w:val="0"/>
              </w:rPr>
            </w:pPr>
            <w:r w:rsidRPr="00A34F10">
              <w:rPr>
                <w:noProof w:val="0"/>
              </w:rPr>
              <w:t>Ametoctradin</w:t>
            </w:r>
          </w:p>
        </w:tc>
      </w:tr>
      <w:tr w:rsidR="00DC5685" w:rsidRPr="00A34F10" w14:paraId="4EEAAB40" w14:textId="77777777" w:rsidTr="000470C3">
        <w:trPr>
          <w:cantSplit/>
        </w:trPr>
        <w:tc>
          <w:tcPr>
            <w:tcW w:w="1250" w:type="pct"/>
            <w:tcBorders>
              <w:top w:val="nil"/>
            </w:tcBorders>
          </w:tcPr>
          <w:p w14:paraId="14ECB591" w14:textId="77777777" w:rsidR="00DC5685" w:rsidRPr="00A34F10" w:rsidRDefault="00DC5685" w:rsidP="000470C3">
            <w:pPr>
              <w:pStyle w:val="RepTableBold"/>
              <w:suppressAutoHyphens/>
            </w:pPr>
            <w:r w:rsidRPr="00A34F10">
              <w:t>Application rate (g a.s./ha)</w:t>
            </w:r>
          </w:p>
        </w:tc>
        <w:tc>
          <w:tcPr>
            <w:tcW w:w="3750" w:type="pct"/>
            <w:gridSpan w:val="3"/>
            <w:tcBorders>
              <w:top w:val="single" w:sz="4" w:space="0" w:color="auto"/>
            </w:tcBorders>
          </w:tcPr>
          <w:p w14:paraId="57FE3957" w14:textId="77777777" w:rsidR="00DC5685" w:rsidRPr="00A34F10" w:rsidRDefault="00DC5685" w:rsidP="000470C3">
            <w:pPr>
              <w:pStyle w:val="RepTable"/>
              <w:suppressAutoHyphens/>
              <w:rPr>
                <w:noProof w:val="0"/>
              </w:rPr>
            </w:pPr>
            <w:r w:rsidRPr="00A34F10">
              <w:rPr>
                <w:noProof w:val="0"/>
              </w:rPr>
              <w:t>240</w:t>
            </w:r>
          </w:p>
        </w:tc>
      </w:tr>
      <w:tr w:rsidR="00DC5685" w:rsidRPr="00A34F10" w14:paraId="403E6810" w14:textId="77777777" w:rsidTr="000470C3">
        <w:tblPrEx>
          <w:tblLook w:val="01E0" w:firstRow="1" w:lastRow="1" w:firstColumn="1" w:lastColumn="1" w:noHBand="0" w:noVBand="0"/>
        </w:tblPrEx>
        <w:trPr>
          <w:cantSplit/>
        </w:trPr>
        <w:tc>
          <w:tcPr>
            <w:tcW w:w="1250" w:type="pct"/>
          </w:tcPr>
          <w:p w14:paraId="1BB89EA1" w14:textId="77777777" w:rsidR="00DC5685" w:rsidRPr="00A34F10" w:rsidRDefault="00DC5685" w:rsidP="000470C3">
            <w:pPr>
              <w:pStyle w:val="RepTableBold"/>
              <w:suppressAutoHyphens/>
            </w:pPr>
            <w:r w:rsidRPr="00A34F10">
              <w:t>Test design</w:t>
            </w:r>
          </w:p>
        </w:tc>
        <w:tc>
          <w:tcPr>
            <w:tcW w:w="1250" w:type="pct"/>
          </w:tcPr>
          <w:p w14:paraId="14AA3AF1" w14:textId="77777777" w:rsidR="00DC5685" w:rsidRPr="00A34F10" w:rsidRDefault="00DC5685" w:rsidP="000470C3">
            <w:pPr>
              <w:pStyle w:val="RepTableBold"/>
              <w:suppressAutoHyphens/>
            </w:pPr>
            <w:r w:rsidRPr="00A34F10">
              <w:t>LD</w:t>
            </w:r>
            <w:r w:rsidRPr="00A34F10">
              <w:rPr>
                <w:vertAlign w:val="subscript"/>
              </w:rPr>
              <w:t>50</w:t>
            </w:r>
            <w:r w:rsidRPr="00A34F10">
              <w:t xml:space="preserve"> (lab.)</w:t>
            </w:r>
            <w:r w:rsidRPr="00A34F10">
              <w:br/>
              <w:t>(µg a.s./bee)</w:t>
            </w:r>
          </w:p>
        </w:tc>
        <w:tc>
          <w:tcPr>
            <w:tcW w:w="1250" w:type="pct"/>
          </w:tcPr>
          <w:p w14:paraId="61A3E8B8" w14:textId="77777777" w:rsidR="00DC5685" w:rsidRPr="00A34F10" w:rsidRDefault="00DC5685" w:rsidP="000470C3">
            <w:pPr>
              <w:pStyle w:val="RepTableBold"/>
              <w:suppressAutoHyphens/>
            </w:pPr>
            <w:r w:rsidRPr="00A34F10">
              <w:t>Single application rate</w:t>
            </w:r>
            <w:r w:rsidRPr="00A34F10">
              <w:br/>
              <w:t>(g a.s./ha)</w:t>
            </w:r>
          </w:p>
        </w:tc>
        <w:tc>
          <w:tcPr>
            <w:tcW w:w="1250" w:type="pct"/>
          </w:tcPr>
          <w:p w14:paraId="6823CB62" w14:textId="77777777" w:rsidR="00DC5685" w:rsidRPr="00A34F10" w:rsidRDefault="00DC5685" w:rsidP="000470C3">
            <w:pPr>
              <w:pStyle w:val="RepTableBold"/>
              <w:suppressAutoHyphens/>
            </w:pPr>
            <w:r w:rsidRPr="00A34F10">
              <w:t>Q</w:t>
            </w:r>
            <w:r w:rsidRPr="00A34F10">
              <w:rPr>
                <w:vertAlign w:val="subscript"/>
              </w:rPr>
              <w:t>HO</w:t>
            </w:r>
            <w:r w:rsidRPr="00A34F10">
              <w:t>, Q</w:t>
            </w:r>
            <w:r w:rsidRPr="00A34F10">
              <w:rPr>
                <w:vertAlign w:val="subscript"/>
              </w:rPr>
              <w:t>HC</w:t>
            </w:r>
            <w:r w:rsidRPr="00A34F10">
              <w:rPr>
                <w:vertAlign w:val="subscript"/>
              </w:rPr>
              <w:br/>
            </w:r>
            <w:r w:rsidRPr="00A34F10">
              <w:t>criterion: Q</w:t>
            </w:r>
            <w:r w:rsidRPr="00A34F10">
              <w:rPr>
                <w:vertAlign w:val="subscript"/>
              </w:rPr>
              <w:t>H</w:t>
            </w:r>
            <w:r w:rsidRPr="00A34F10">
              <w:t xml:space="preserve"> ≤ 50</w:t>
            </w:r>
          </w:p>
        </w:tc>
      </w:tr>
      <w:tr w:rsidR="00DC5685" w:rsidRPr="00A34F10" w14:paraId="5A984C22" w14:textId="77777777" w:rsidTr="000470C3">
        <w:tblPrEx>
          <w:tblLook w:val="01E0" w:firstRow="1" w:lastRow="1" w:firstColumn="1" w:lastColumn="1" w:noHBand="0" w:noVBand="0"/>
        </w:tblPrEx>
        <w:trPr>
          <w:cantSplit/>
        </w:trPr>
        <w:tc>
          <w:tcPr>
            <w:tcW w:w="1250" w:type="pct"/>
            <w:vAlign w:val="center"/>
          </w:tcPr>
          <w:p w14:paraId="352AF226" w14:textId="77777777" w:rsidR="00DC5685" w:rsidRPr="00A34F10" w:rsidRDefault="00DC5685" w:rsidP="000470C3">
            <w:pPr>
              <w:pStyle w:val="RepTable"/>
              <w:suppressAutoHyphens/>
              <w:rPr>
                <w:noProof w:val="0"/>
              </w:rPr>
            </w:pPr>
            <w:r w:rsidRPr="00A34F10">
              <w:rPr>
                <w:noProof w:val="0"/>
              </w:rPr>
              <w:t>Oral toxicity</w:t>
            </w:r>
          </w:p>
        </w:tc>
        <w:tc>
          <w:tcPr>
            <w:tcW w:w="1250" w:type="pct"/>
            <w:vAlign w:val="center"/>
          </w:tcPr>
          <w:p w14:paraId="4B986875" w14:textId="77777777" w:rsidR="00DC5685" w:rsidRPr="00A34F10" w:rsidRDefault="00DC5685" w:rsidP="000470C3">
            <w:pPr>
              <w:pStyle w:val="RepTable"/>
              <w:suppressAutoHyphens/>
              <w:rPr>
                <w:noProof w:val="0"/>
                <w:szCs w:val="20"/>
              </w:rPr>
            </w:pPr>
            <w:r w:rsidRPr="00A34F10">
              <w:rPr>
                <w:noProof w:val="0"/>
                <w:szCs w:val="20"/>
              </w:rPr>
              <w:t>&gt; 111.5</w:t>
            </w:r>
          </w:p>
        </w:tc>
        <w:tc>
          <w:tcPr>
            <w:tcW w:w="1250" w:type="pct"/>
            <w:vMerge w:val="restart"/>
            <w:vAlign w:val="center"/>
          </w:tcPr>
          <w:p w14:paraId="30EC2360" w14:textId="77777777" w:rsidR="00DC5685" w:rsidRPr="00A34F10" w:rsidRDefault="00DC5685" w:rsidP="000470C3">
            <w:pPr>
              <w:pStyle w:val="RepTable"/>
              <w:suppressAutoHyphens/>
              <w:rPr>
                <w:noProof w:val="0"/>
                <w:szCs w:val="20"/>
              </w:rPr>
            </w:pPr>
            <w:r w:rsidRPr="00A34F10">
              <w:rPr>
                <w:noProof w:val="0"/>
                <w:szCs w:val="20"/>
              </w:rPr>
              <w:t>240</w:t>
            </w:r>
          </w:p>
        </w:tc>
        <w:tc>
          <w:tcPr>
            <w:tcW w:w="1250" w:type="pct"/>
            <w:vAlign w:val="center"/>
          </w:tcPr>
          <w:p w14:paraId="6E15EFAA" w14:textId="77777777" w:rsidR="00DC5685" w:rsidRPr="00A34F10" w:rsidRDefault="00DC5685" w:rsidP="000470C3">
            <w:pPr>
              <w:pStyle w:val="RepTable"/>
              <w:suppressAutoHyphens/>
              <w:rPr>
                <w:noProof w:val="0"/>
              </w:rPr>
            </w:pPr>
            <w:r w:rsidRPr="00A34F10">
              <w:rPr>
                <w:noProof w:val="0"/>
              </w:rPr>
              <w:t>&lt; 2.15</w:t>
            </w:r>
          </w:p>
        </w:tc>
      </w:tr>
      <w:tr w:rsidR="00DC5685" w:rsidRPr="00A34F10" w14:paraId="3DAEFCC7" w14:textId="77777777" w:rsidTr="000470C3">
        <w:tblPrEx>
          <w:tblLook w:val="01E0" w:firstRow="1" w:lastRow="1" w:firstColumn="1" w:lastColumn="1" w:noHBand="0" w:noVBand="0"/>
        </w:tblPrEx>
        <w:trPr>
          <w:cantSplit/>
        </w:trPr>
        <w:tc>
          <w:tcPr>
            <w:tcW w:w="1250" w:type="pct"/>
            <w:vAlign w:val="center"/>
          </w:tcPr>
          <w:p w14:paraId="1FADAC77" w14:textId="77777777" w:rsidR="00DC5685" w:rsidRPr="00A34F10" w:rsidRDefault="00DC5685" w:rsidP="000470C3">
            <w:pPr>
              <w:pStyle w:val="RepTable"/>
              <w:suppressAutoHyphens/>
              <w:rPr>
                <w:noProof w:val="0"/>
              </w:rPr>
            </w:pPr>
            <w:r w:rsidRPr="00A34F10">
              <w:rPr>
                <w:noProof w:val="0"/>
              </w:rPr>
              <w:t>Contact toxicity</w:t>
            </w:r>
          </w:p>
        </w:tc>
        <w:tc>
          <w:tcPr>
            <w:tcW w:w="1250" w:type="pct"/>
            <w:vAlign w:val="center"/>
          </w:tcPr>
          <w:p w14:paraId="64BE0B39" w14:textId="77777777" w:rsidR="00DC5685" w:rsidRPr="00A34F10" w:rsidRDefault="00DC5685" w:rsidP="000470C3">
            <w:pPr>
              <w:pStyle w:val="RepTable"/>
              <w:suppressAutoHyphens/>
              <w:rPr>
                <w:noProof w:val="0"/>
                <w:szCs w:val="20"/>
              </w:rPr>
            </w:pPr>
            <w:r w:rsidRPr="00A34F10">
              <w:rPr>
                <w:noProof w:val="0"/>
                <w:szCs w:val="20"/>
              </w:rPr>
              <w:t>&gt; 100.0</w:t>
            </w:r>
          </w:p>
        </w:tc>
        <w:tc>
          <w:tcPr>
            <w:tcW w:w="1250" w:type="pct"/>
            <w:vMerge/>
            <w:vAlign w:val="center"/>
          </w:tcPr>
          <w:p w14:paraId="69C17A2C" w14:textId="77777777" w:rsidR="00DC5685" w:rsidRPr="00A34F10" w:rsidRDefault="00DC5685" w:rsidP="000470C3">
            <w:pPr>
              <w:pStyle w:val="RepTable"/>
              <w:suppressAutoHyphens/>
              <w:rPr>
                <w:noProof w:val="0"/>
                <w:szCs w:val="20"/>
              </w:rPr>
            </w:pPr>
          </w:p>
        </w:tc>
        <w:tc>
          <w:tcPr>
            <w:tcW w:w="1250" w:type="pct"/>
            <w:vAlign w:val="center"/>
          </w:tcPr>
          <w:p w14:paraId="3E78DC7A" w14:textId="77777777" w:rsidR="00DC5685" w:rsidRPr="00A34F10" w:rsidRDefault="00DC5685" w:rsidP="000470C3">
            <w:pPr>
              <w:pStyle w:val="RepTable"/>
              <w:suppressAutoHyphens/>
              <w:rPr>
                <w:noProof w:val="0"/>
              </w:rPr>
            </w:pPr>
            <w:r w:rsidRPr="00A34F10">
              <w:rPr>
                <w:noProof w:val="0"/>
              </w:rPr>
              <w:t>&lt; 2.4</w:t>
            </w:r>
          </w:p>
        </w:tc>
      </w:tr>
    </w:tbl>
    <w:p w14:paraId="7D242A91" w14:textId="77777777" w:rsidR="00DC5685" w:rsidRPr="00A34F10" w:rsidRDefault="00DC5685" w:rsidP="00DC5685">
      <w:pPr>
        <w:pStyle w:val="RepTableFootnote"/>
        <w:suppressAutoHyphens/>
        <w:rPr>
          <w:noProof w:val="0"/>
          <w:lang w:val="en-US"/>
        </w:rPr>
      </w:pPr>
      <w:r w:rsidRPr="00A34F10">
        <w:rPr>
          <w:noProof w:val="0"/>
          <w:lang w:val="en-US"/>
        </w:rPr>
        <w:t>Q</w:t>
      </w:r>
      <w:r w:rsidRPr="00A34F10">
        <w:rPr>
          <w:noProof w:val="0"/>
          <w:vertAlign w:val="subscript"/>
          <w:lang w:val="en-US"/>
        </w:rPr>
        <w:t>HO</w:t>
      </w:r>
      <w:r w:rsidRPr="00A34F10">
        <w:rPr>
          <w:noProof w:val="0"/>
          <w:lang w:val="en-US"/>
        </w:rPr>
        <w:t>, Q</w:t>
      </w:r>
      <w:r w:rsidRPr="00A34F10">
        <w:rPr>
          <w:noProof w:val="0"/>
          <w:vertAlign w:val="subscript"/>
          <w:lang w:val="en-US"/>
        </w:rPr>
        <w:t>HC</w:t>
      </w:r>
      <w:r w:rsidRPr="00A34F10">
        <w:rPr>
          <w:noProof w:val="0"/>
          <w:lang w:val="en-US"/>
        </w:rPr>
        <w:t>: Hazard quotients for oral and contact exposure.</w:t>
      </w:r>
    </w:p>
    <w:p w14:paraId="6F81F96E" w14:textId="66FEF0E6" w:rsidR="00DC5685" w:rsidRPr="00A34F10" w:rsidRDefault="00DC5685" w:rsidP="00DC5685">
      <w:pPr>
        <w:pStyle w:val="RepStandard"/>
        <w:suppressAutoHyphens/>
      </w:pPr>
    </w:p>
    <w:p w14:paraId="2B5E264F" w14:textId="60A903C5" w:rsidR="007E1C43" w:rsidRPr="00A34F10" w:rsidRDefault="00DC5685" w:rsidP="007E1C43">
      <w:pPr>
        <w:pStyle w:val="RepLabel"/>
        <w:suppressAutoHyphens/>
      </w:pPr>
      <w:r w:rsidRPr="00A34F10">
        <w:t xml:space="preserve">Table </w:t>
      </w:r>
      <w:fldSimple w:instr=" STYLEREF 2 \s ">
        <w:r w:rsidR="006F0F3B">
          <w:rPr>
            <w:noProof/>
          </w:rPr>
          <w:t>9.6</w:t>
        </w:r>
      </w:fldSimple>
      <w:r w:rsidRPr="00A34F10">
        <w:noBreakHyphen/>
        <w:t>5</w:t>
      </w:r>
      <w:r w:rsidRPr="00A34F10">
        <w:tab/>
        <w:t xml:space="preserve">First-tier assessment of the risk for bees due to the use of Propamocarb as contained BAS 743 03 F according to the </w:t>
      </w:r>
      <w:r w:rsidR="007E1C43" w:rsidRPr="00A34F10">
        <w:t xml:space="preserve">proposed </w:t>
      </w:r>
      <w:r w:rsidR="007E1C43" w:rsidRPr="007E1C43">
        <w:rPr>
          <w:strike/>
          <w:highlight w:val="green"/>
        </w:rPr>
        <w:t>worst-case</w:t>
      </w:r>
      <w:r w:rsidR="007E1C43" w:rsidRPr="00A34F10">
        <w:t xml:space="preserve"> use</w:t>
      </w:r>
      <w:r w:rsidR="007E1C43" w:rsidRPr="007E1C43">
        <w:rPr>
          <w:strike/>
          <w:highlight w:val="green"/>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DC5685" w:rsidRPr="00A34F10" w14:paraId="5B7E5082" w14:textId="77777777" w:rsidTr="000470C3">
        <w:trPr>
          <w:cantSplit/>
        </w:trPr>
        <w:tc>
          <w:tcPr>
            <w:tcW w:w="1250" w:type="pct"/>
            <w:tcBorders>
              <w:bottom w:val="nil"/>
            </w:tcBorders>
          </w:tcPr>
          <w:p w14:paraId="1AD10F83" w14:textId="77777777" w:rsidR="00DC5685" w:rsidRPr="00A34F10" w:rsidRDefault="00DC5685" w:rsidP="000470C3">
            <w:pPr>
              <w:pStyle w:val="RepTableBold"/>
              <w:suppressAutoHyphens/>
            </w:pPr>
            <w:r w:rsidRPr="00A34F10">
              <w:t>Intended use</w:t>
            </w:r>
          </w:p>
        </w:tc>
        <w:tc>
          <w:tcPr>
            <w:tcW w:w="3750" w:type="pct"/>
            <w:gridSpan w:val="3"/>
            <w:tcBorders>
              <w:bottom w:val="single" w:sz="4" w:space="0" w:color="auto"/>
            </w:tcBorders>
          </w:tcPr>
          <w:p w14:paraId="614CD46D" w14:textId="3CCE36B6" w:rsidR="00DC5685" w:rsidRPr="00A34F10" w:rsidRDefault="00DC5685" w:rsidP="000470C3">
            <w:pPr>
              <w:pStyle w:val="RepTable"/>
              <w:suppressAutoHyphens/>
              <w:rPr>
                <w:noProof w:val="0"/>
              </w:rPr>
            </w:pPr>
            <w:r w:rsidRPr="00A34F10">
              <w:rPr>
                <w:noProof w:val="0"/>
              </w:rPr>
              <w:t xml:space="preserve">Potatoes </w:t>
            </w:r>
            <w:r w:rsidR="007E1C43" w:rsidRPr="005E1708">
              <w:rPr>
                <w:highlight w:val="green"/>
              </w:rPr>
              <w:t>onions</w:t>
            </w:r>
            <w:r w:rsidR="007E1C43">
              <w:rPr>
                <w:highlight w:val="green"/>
              </w:rPr>
              <w:t xml:space="preserve">, </w:t>
            </w:r>
            <w:r w:rsidR="007E1C43" w:rsidRPr="005E1708">
              <w:rPr>
                <w:highlight w:val="green"/>
              </w:rPr>
              <w:t xml:space="preserve">fruiting </w:t>
            </w:r>
            <w:r w:rsidR="007E1C43" w:rsidRPr="007E1C43">
              <w:rPr>
                <w:highlight w:val="green"/>
              </w:rPr>
              <w:t>vegetables and minor crops</w:t>
            </w:r>
          </w:p>
        </w:tc>
      </w:tr>
      <w:tr w:rsidR="00DC5685" w:rsidRPr="00A34F10" w14:paraId="5CCD4B76" w14:textId="77777777" w:rsidTr="000470C3">
        <w:trPr>
          <w:cantSplit/>
        </w:trPr>
        <w:tc>
          <w:tcPr>
            <w:tcW w:w="1250" w:type="pct"/>
            <w:tcBorders>
              <w:top w:val="nil"/>
              <w:bottom w:val="nil"/>
            </w:tcBorders>
          </w:tcPr>
          <w:p w14:paraId="17E36F2F" w14:textId="77777777" w:rsidR="00DC5685" w:rsidRPr="00A34F10" w:rsidRDefault="00DC5685" w:rsidP="000470C3">
            <w:pPr>
              <w:pStyle w:val="RepTableBold"/>
              <w:suppressAutoHyphens/>
            </w:pPr>
            <w:r w:rsidRPr="00A34F10">
              <w:t>Active substance</w:t>
            </w:r>
          </w:p>
        </w:tc>
        <w:tc>
          <w:tcPr>
            <w:tcW w:w="3750" w:type="pct"/>
            <w:gridSpan w:val="3"/>
            <w:tcBorders>
              <w:top w:val="single" w:sz="4" w:space="0" w:color="auto"/>
              <w:bottom w:val="single" w:sz="4" w:space="0" w:color="auto"/>
            </w:tcBorders>
          </w:tcPr>
          <w:p w14:paraId="0B2D1D64" w14:textId="77777777" w:rsidR="00DC5685" w:rsidRPr="00A34F10" w:rsidRDefault="00DC5685" w:rsidP="000470C3">
            <w:pPr>
              <w:pStyle w:val="RepTable"/>
              <w:suppressAutoHyphens/>
              <w:rPr>
                <w:noProof w:val="0"/>
              </w:rPr>
            </w:pPr>
            <w:r w:rsidRPr="00A34F10">
              <w:t>Propamocarb-HCL</w:t>
            </w:r>
          </w:p>
        </w:tc>
      </w:tr>
      <w:tr w:rsidR="00DC5685" w:rsidRPr="00A34F10" w14:paraId="29944A1D" w14:textId="77777777" w:rsidTr="000470C3">
        <w:trPr>
          <w:cantSplit/>
        </w:trPr>
        <w:tc>
          <w:tcPr>
            <w:tcW w:w="1250" w:type="pct"/>
            <w:tcBorders>
              <w:top w:val="nil"/>
            </w:tcBorders>
          </w:tcPr>
          <w:p w14:paraId="4AD4C84E" w14:textId="77777777" w:rsidR="00DC5685" w:rsidRPr="00A34F10" w:rsidRDefault="00DC5685" w:rsidP="000470C3">
            <w:pPr>
              <w:pStyle w:val="RepTableBold"/>
              <w:suppressAutoHyphens/>
            </w:pPr>
            <w:r w:rsidRPr="00A34F10">
              <w:t>Application rate (g a.s./ha)</w:t>
            </w:r>
          </w:p>
        </w:tc>
        <w:tc>
          <w:tcPr>
            <w:tcW w:w="3750" w:type="pct"/>
            <w:gridSpan w:val="3"/>
            <w:tcBorders>
              <w:top w:val="single" w:sz="4" w:space="0" w:color="auto"/>
            </w:tcBorders>
          </w:tcPr>
          <w:p w14:paraId="60153B64" w14:textId="77777777" w:rsidR="00DC5685" w:rsidRPr="00A34F10" w:rsidRDefault="00DC5685" w:rsidP="000470C3">
            <w:pPr>
              <w:pStyle w:val="RepTable"/>
              <w:suppressAutoHyphens/>
              <w:rPr>
                <w:noProof w:val="0"/>
              </w:rPr>
            </w:pPr>
            <w:r w:rsidRPr="00A34F10">
              <w:rPr>
                <w:noProof w:val="0"/>
              </w:rPr>
              <w:t>902</w:t>
            </w:r>
          </w:p>
        </w:tc>
      </w:tr>
      <w:tr w:rsidR="00DC5685" w:rsidRPr="00A34F10" w14:paraId="5702D1A3" w14:textId="77777777" w:rsidTr="000470C3">
        <w:tblPrEx>
          <w:tblLook w:val="01E0" w:firstRow="1" w:lastRow="1" w:firstColumn="1" w:lastColumn="1" w:noHBand="0" w:noVBand="0"/>
        </w:tblPrEx>
        <w:trPr>
          <w:cantSplit/>
        </w:trPr>
        <w:tc>
          <w:tcPr>
            <w:tcW w:w="1250" w:type="pct"/>
          </w:tcPr>
          <w:p w14:paraId="38EC0BC2" w14:textId="77777777" w:rsidR="00DC5685" w:rsidRPr="00A34F10" w:rsidRDefault="00DC5685" w:rsidP="000470C3">
            <w:pPr>
              <w:pStyle w:val="RepTableBold"/>
              <w:suppressAutoHyphens/>
            </w:pPr>
            <w:r w:rsidRPr="00A34F10">
              <w:t>Test design</w:t>
            </w:r>
          </w:p>
        </w:tc>
        <w:tc>
          <w:tcPr>
            <w:tcW w:w="1250" w:type="pct"/>
          </w:tcPr>
          <w:p w14:paraId="528BE76B" w14:textId="77777777" w:rsidR="00DC5685" w:rsidRPr="00A34F10" w:rsidRDefault="00DC5685" w:rsidP="000470C3">
            <w:pPr>
              <w:pStyle w:val="RepTableBold"/>
              <w:suppressAutoHyphens/>
            </w:pPr>
            <w:r w:rsidRPr="00A34F10">
              <w:t>LD</w:t>
            </w:r>
            <w:r w:rsidRPr="00A34F10">
              <w:rPr>
                <w:vertAlign w:val="subscript"/>
              </w:rPr>
              <w:t>50</w:t>
            </w:r>
            <w:r w:rsidRPr="00A34F10">
              <w:t xml:space="preserve"> (lab.)</w:t>
            </w:r>
            <w:r w:rsidRPr="00A34F10">
              <w:br/>
              <w:t>(µg a.s./bee)</w:t>
            </w:r>
          </w:p>
        </w:tc>
        <w:tc>
          <w:tcPr>
            <w:tcW w:w="1250" w:type="pct"/>
          </w:tcPr>
          <w:p w14:paraId="5C39DAD2" w14:textId="77777777" w:rsidR="00DC5685" w:rsidRPr="00A34F10" w:rsidRDefault="00DC5685" w:rsidP="000470C3">
            <w:pPr>
              <w:pStyle w:val="RepTableBold"/>
              <w:suppressAutoHyphens/>
            </w:pPr>
            <w:r w:rsidRPr="00A34F10">
              <w:t>Single application rate</w:t>
            </w:r>
            <w:r w:rsidRPr="00A34F10">
              <w:br/>
              <w:t>(g a.s./ha)</w:t>
            </w:r>
          </w:p>
        </w:tc>
        <w:tc>
          <w:tcPr>
            <w:tcW w:w="1250" w:type="pct"/>
          </w:tcPr>
          <w:p w14:paraId="328C9A28" w14:textId="77777777" w:rsidR="00DC5685" w:rsidRPr="00A34F10" w:rsidRDefault="00DC5685" w:rsidP="000470C3">
            <w:pPr>
              <w:pStyle w:val="RepTableBold"/>
              <w:suppressAutoHyphens/>
            </w:pPr>
            <w:r w:rsidRPr="00A34F10">
              <w:t>Q</w:t>
            </w:r>
            <w:r w:rsidRPr="00A34F10">
              <w:rPr>
                <w:vertAlign w:val="subscript"/>
              </w:rPr>
              <w:t>HO</w:t>
            </w:r>
            <w:r w:rsidRPr="00A34F10">
              <w:t>, Q</w:t>
            </w:r>
            <w:r w:rsidRPr="00A34F10">
              <w:rPr>
                <w:vertAlign w:val="subscript"/>
              </w:rPr>
              <w:t>HC</w:t>
            </w:r>
            <w:r w:rsidRPr="00A34F10">
              <w:rPr>
                <w:vertAlign w:val="subscript"/>
              </w:rPr>
              <w:br/>
            </w:r>
            <w:r w:rsidRPr="00A34F10">
              <w:t>criterion: Q</w:t>
            </w:r>
            <w:r w:rsidRPr="00A34F10">
              <w:rPr>
                <w:vertAlign w:val="subscript"/>
              </w:rPr>
              <w:t>H</w:t>
            </w:r>
            <w:r w:rsidRPr="00A34F10">
              <w:t xml:space="preserve"> ≤ 50</w:t>
            </w:r>
          </w:p>
        </w:tc>
      </w:tr>
      <w:tr w:rsidR="00DC5685" w:rsidRPr="00A34F10" w14:paraId="11E06CE2" w14:textId="77777777" w:rsidTr="000470C3">
        <w:tblPrEx>
          <w:tblLook w:val="01E0" w:firstRow="1" w:lastRow="1" w:firstColumn="1" w:lastColumn="1" w:noHBand="0" w:noVBand="0"/>
        </w:tblPrEx>
        <w:trPr>
          <w:cantSplit/>
        </w:trPr>
        <w:tc>
          <w:tcPr>
            <w:tcW w:w="1250" w:type="pct"/>
            <w:vAlign w:val="center"/>
          </w:tcPr>
          <w:p w14:paraId="223143A4" w14:textId="77777777" w:rsidR="00DC5685" w:rsidRPr="00A34F10" w:rsidRDefault="00DC5685" w:rsidP="000470C3">
            <w:pPr>
              <w:pStyle w:val="RepTable"/>
              <w:suppressAutoHyphens/>
              <w:rPr>
                <w:noProof w:val="0"/>
              </w:rPr>
            </w:pPr>
            <w:r w:rsidRPr="00A34F10">
              <w:rPr>
                <w:noProof w:val="0"/>
              </w:rPr>
              <w:t>Oral toxicity</w:t>
            </w:r>
          </w:p>
        </w:tc>
        <w:tc>
          <w:tcPr>
            <w:tcW w:w="1250" w:type="pct"/>
            <w:vAlign w:val="center"/>
          </w:tcPr>
          <w:p w14:paraId="56FCB3DB" w14:textId="77777777" w:rsidR="00DC5685" w:rsidRPr="00A34F10" w:rsidRDefault="00DC5685" w:rsidP="000470C3">
            <w:pPr>
              <w:pStyle w:val="RepTable"/>
              <w:suppressAutoHyphens/>
              <w:rPr>
                <w:noProof w:val="0"/>
                <w:szCs w:val="20"/>
              </w:rPr>
            </w:pPr>
            <w:r w:rsidRPr="00A34F10">
              <w:rPr>
                <w:noProof w:val="0"/>
                <w:szCs w:val="20"/>
              </w:rPr>
              <w:t>&gt; 84</w:t>
            </w:r>
          </w:p>
        </w:tc>
        <w:tc>
          <w:tcPr>
            <w:tcW w:w="1250" w:type="pct"/>
            <w:vMerge w:val="restart"/>
            <w:vAlign w:val="center"/>
          </w:tcPr>
          <w:p w14:paraId="378CCB20" w14:textId="77777777" w:rsidR="00DC5685" w:rsidRPr="00A34F10" w:rsidRDefault="00DC5685" w:rsidP="000470C3">
            <w:pPr>
              <w:pStyle w:val="RepTable"/>
              <w:suppressAutoHyphens/>
              <w:rPr>
                <w:noProof w:val="0"/>
                <w:szCs w:val="20"/>
              </w:rPr>
            </w:pPr>
            <w:r w:rsidRPr="00A34F10">
              <w:rPr>
                <w:noProof w:val="0"/>
                <w:szCs w:val="20"/>
              </w:rPr>
              <w:t>902</w:t>
            </w:r>
          </w:p>
        </w:tc>
        <w:tc>
          <w:tcPr>
            <w:tcW w:w="1250" w:type="pct"/>
            <w:vAlign w:val="center"/>
          </w:tcPr>
          <w:p w14:paraId="2F595A0D" w14:textId="77777777" w:rsidR="00DC5685" w:rsidRPr="00A34F10" w:rsidRDefault="00DC5685" w:rsidP="000470C3">
            <w:pPr>
              <w:pStyle w:val="RepTable"/>
              <w:suppressAutoHyphens/>
              <w:rPr>
                <w:noProof w:val="0"/>
              </w:rPr>
            </w:pPr>
            <w:r w:rsidRPr="00A34F10">
              <w:rPr>
                <w:noProof w:val="0"/>
              </w:rPr>
              <w:t>&lt; 10.7</w:t>
            </w:r>
          </w:p>
        </w:tc>
      </w:tr>
      <w:tr w:rsidR="00DC5685" w:rsidRPr="00A34F10" w14:paraId="1EBD3266" w14:textId="77777777" w:rsidTr="000470C3">
        <w:tblPrEx>
          <w:tblLook w:val="01E0" w:firstRow="1" w:lastRow="1" w:firstColumn="1" w:lastColumn="1" w:noHBand="0" w:noVBand="0"/>
        </w:tblPrEx>
        <w:trPr>
          <w:cantSplit/>
        </w:trPr>
        <w:tc>
          <w:tcPr>
            <w:tcW w:w="1250" w:type="pct"/>
            <w:vAlign w:val="center"/>
          </w:tcPr>
          <w:p w14:paraId="69BDCA81" w14:textId="77777777" w:rsidR="00DC5685" w:rsidRPr="00A34F10" w:rsidRDefault="00DC5685" w:rsidP="000470C3">
            <w:pPr>
              <w:pStyle w:val="RepTable"/>
              <w:suppressAutoHyphens/>
              <w:rPr>
                <w:noProof w:val="0"/>
              </w:rPr>
            </w:pPr>
            <w:r w:rsidRPr="00A34F10">
              <w:rPr>
                <w:noProof w:val="0"/>
              </w:rPr>
              <w:t>Contact toxicity</w:t>
            </w:r>
          </w:p>
        </w:tc>
        <w:tc>
          <w:tcPr>
            <w:tcW w:w="1250" w:type="pct"/>
            <w:vAlign w:val="center"/>
          </w:tcPr>
          <w:p w14:paraId="310E9DBE" w14:textId="77777777" w:rsidR="00DC5685" w:rsidRPr="00A34F10" w:rsidRDefault="00DC5685" w:rsidP="000470C3">
            <w:pPr>
              <w:pStyle w:val="RepTable"/>
              <w:suppressAutoHyphens/>
              <w:rPr>
                <w:noProof w:val="0"/>
                <w:szCs w:val="20"/>
              </w:rPr>
            </w:pPr>
            <w:r w:rsidRPr="00A34F10">
              <w:rPr>
                <w:noProof w:val="0"/>
                <w:szCs w:val="20"/>
              </w:rPr>
              <w:t>&gt; 100.0</w:t>
            </w:r>
          </w:p>
        </w:tc>
        <w:tc>
          <w:tcPr>
            <w:tcW w:w="1250" w:type="pct"/>
            <w:vMerge/>
            <w:vAlign w:val="center"/>
          </w:tcPr>
          <w:p w14:paraId="18C64490" w14:textId="77777777" w:rsidR="00DC5685" w:rsidRPr="00A34F10" w:rsidRDefault="00DC5685" w:rsidP="000470C3">
            <w:pPr>
              <w:pStyle w:val="RepTable"/>
              <w:suppressAutoHyphens/>
              <w:rPr>
                <w:noProof w:val="0"/>
                <w:szCs w:val="20"/>
              </w:rPr>
            </w:pPr>
          </w:p>
        </w:tc>
        <w:tc>
          <w:tcPr>
            <w:tcW w:w="1250" w:type="pct"/>
            <w:vAlign w:val="center"/>
          </w:tcPr>
          <w:p w14:paraId="0941072E" w14:textId="77777777" w:rsidR="00DC5685" w:rsidRPr="00A34F10" w:rsidRDefault="00DC5685" w:rsidP="000470C3">
            <w:pPr>
              <w:pStyle w:val="RepTable"/>
              <w:suppressAutoHyphens/>
              <w:rPr>
                <w:noProof w:val="0"/>
              </w:rPr>
            </w:pPr>
            <w:r w:rsidRPr="00A34F10">
              <w:rPr>
                <w:noProof w:val="0"/>
              </w:rPr>
              <w:t>&lt; 9.02</w:t>
            </w:r>
          </w:p>
        </w:tc>
      </w:tr>
    </w:tbl>
    <w:p w14:paraId="5B433FDB" w14:textId="77777777" w:rsidR="00DC5685" w:rsidRPr="00A34F10" w:rsidRDefault="00DC5685" w:rsidP="00DC5685">
      <w:pPr>
        <w:pStyle w:val="RepTableFootnote"/>
        <w:suppressAutoHyphens/>
        <w:rPr>
          <w:noProof w:val="0"/>
          <w:lang w:val="en-US"/>
        </w:rPr>
      </w:pPr>
      <w:r w:rsidRPr="00A34F10">
        <w:rPr>
          <w:noProof w:val="0"/>
          <w:lang w:val="en-US"/>
        </w:rPr>
        <w:t>Q</w:t>
      </w:r>
      <w:r w:rsidRPr="00A34F10">
        <w:rPr>
          <w:noProof w:val="0"/>
          <w:vertAlign w:val="subscript"/>
          <w:lang w:val="en-US"/>
        </w:rPr>
        <w:t>HO</w:t>
      </w:r>
      <w:r w:rsidRPr="00A34F10">
        <w:rPr>
          <w:noProof w:val="0"/>
          <w:lang w:val="en-US"/>
        </w:rPr>
        <w:t>, Q</w:t>
      </w:r>
      <w:r w:rsidRPr="00A34F10">
        <w:rPr>
          <w:noProof w:val="0"/>
          <w:vertAlign w:val="subscript"/>
          <w:lang w:val="en-US"/>
        </w:rPr>
        <w:t>HC</w:t>
      </w:r>
      <w:r w:rsidRPr="00A34F10">
        <w:rPr>
          <w:noProof w:val="0"/>
          <w:lang w:val="en-US"/>
        </w:rPr>
        <w:t>: Hazard quotients for oral and contact exposure.</w:t>
      </w:r>
    </w:p>
    <w:p w14:paraId="71DF6DF7" w14:textId="77777777" w:rsidR="00E23E00" w:rsidRPr="00A34F10" w:rsidRDefault="00E23E00" w:rsidP="00DC5685">
      <w:pPr>
        <w:pStyle w:val="RepStandard"/>
        <w:suppressAutoHyphens/>
      </w:pPr>
    </w:p>
    <w:p w14:paraId="117004B4" w14:textId="2C40488F" w:rsidR="00DC5685" w:rsidRPr="00A34F10" w:rsidRDefault="00DC5685" w:rsidP="007E1C43">
      <w:pPr>
        <w:pStyle w:val="RepLabel"/>
        <w:suppressAutoHyphens/>
      </w:pPr>
      <w:r w:rsidRPr="00A34F10">
        <w:t xml:space="preserve">Table </w:t>
      </w:r>
      <w:fldSimple w:instr=" STYLEREF 2 \s ">
        <w:r w:rsidR="006F0F3B">
          <w:rPr>
            <w:noProof/>
          </w:rPr>
          <w:t>9.6</w:t>
        </w:r>
      </w:fldSimple>
      <w:r w:rsidRPr="00A34F10">
        <w:noBreakHyphen/>
        <w:t>6</w:t>
      </w:r>
      <w:r w:rsidRPr="00A34F10">
        <w:rPr>
          <w:b w:val="0"/>
        </w:rPr>
        <w:tab/>
      </w:r>
      <w:r w:rsidRPr="00A34F10">
        <w:t xml:space="preserve">First-tier assessment of the risk for bees due to the use of BAS 743 03 F according to the </w:t>
      </w:r>
      <w:r w:rsidR="007E1C43" w:rsidRPr="00A34F10">
        <w:t xml:space="preserve">proposed </w:t>
      </w:r>
      <w:r w:rsidR="007E1C43" w:rsidRPr="007E1C43">
        <w:rPr>
          <w:strike/>
          <w:highlight w:val="green"/>
        </w:rPr>
        <w:t>worst-case</w:t>
      </w:r>
      <w:r w:rsidR="007E1C43" w:rsidRPr="00A34F10">
        <w:t xml:space="preserve"> use</w:t>
      </w:r>
      <w:r w:rsidR="007E1C43" w:rsidRPr="007E1C43">
        <w:rPr>
          <w:strike/>
          <w:highlight w:val="green"/>
        </w:rPr>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DC5685" w:rsidRPr="00A34F10" w14:paraId="7A46D749" w14:textId="77777777" w:rsidTr="000470C3">
        <w:trPr>
          <w:cantSplit/>
        </w:trPr>
        <w:tc>
          <w:tcPr>
            <w:tcW w:w="1250" w:type="pct"/>
            <w:tcBorders>
              <w:bottom w:val="nil"/>
            </w:tcBorders>
          </w:tcPr>
          <w:p w14:paraId="117120CB" w14:textId="77777777" w:rsidR="00DC5685" w:rsidRPr="00A34F10" w:rsidRDefault="00DC5685" w:rsidP="000470C3">
            <w:pPr>
              <w:pStyle w:val="RepTableBold"/>
              <w:keepNext/>
              <w:suppressAutoHyphens/>
            </w:pPr>
            <w:r w:rsidRPr="00A34F10">
              <w:t>Intended use</w:t>
            </w:r>
          </w:p>
        </w:tc>
        <w:tc>
          <w:tcPr>
            <w:tcW w:w="3750" w:type="pct"/>
            <w:gridSpan w:val="3"/>
            <w:tcBorders>
              <w:bottom w:val="single" w:sz="4" w:space="0" w:color="auto"/>
            </w:tcBorders>
          </w:tcPr>
          <w:p w14:paraId="3C03D673" w14:textId="351E0077" w:rsidR="00DC5685" w:rsidRPr="00A34F10" w:rsidRDefault="007E1C43" w:rsidP="000470C3">
            <w:pPr>
              <w:pStyle w:val="RepTable"/>
              <w:keepNext/>
              <w:suppressAutoHyphens/>
              <w:rPr>
                <w:noProof w:val="0"/>
              </w:rPr>
            </w:pPr>
            <w:r w:rsidRPr="00A34F10">
              <w:rPr>
                <w:noProof w:val="0"/>
              </w:rPr>
              <w:t xml:space="preserve">Potatoes </w:t>
            </w:r>
            <w:r w:rsidRPr="005E1708">
              <w:rPr>
                <w:highlight w:val="green"/>
              </w:rPr>
              <w:t>onions</w:t>
            </w:r>
            <w:r>
              <w:rPr>
                <w:highlight w:val="green"/>
              </w:rPr>
              <w:t xml:space="preserve">, </w:t>
            </w:r>
            <w:r w:rsidRPr="005E1708">
              <w:rPr>
                <w:highlight w:val="green"/>
              </w:rPr>
              <w:t xml:space="preserve">fruiting </w:t>
            </w:r>
            <w:r w:rsidRPr="007E1C43">
              <w:rPr>
                <w:highlight w:val="green"/>
              </w:rPr>
              <w:t>vegetables and minor crops</w:t>
            </w:r>
          </w:p>
        </w:tc>
      </w:tr>
      <w:tr w:rsidR="00DC5685" w:rsidRPr="00A34F10" w14:paraId="03BB077F" w14:textId="77777777" w:rsidTr="000470C3">
        <w:trPr>
          <w:cantSplit/>
        </w:trPr>
        <w:tc>
          <w:tcPr>
            <w:tcW w:w="1250" w:type="pct"/>
            <w:tcBorders>
              <w:top w:val="nil"/>
              <w:bottom w:val="nil"/>
            </w:tcBorders>
          </w:tcPr>
          <w:p w14:paraId="0ABDFFBD" w14:textId="77777777" w:rsidR="00DC5685" w:rsidRPr="00A34F10" w:rsidRDefault="00DC5685" w:rsidP="000470C3">
            <w:pPr>
              <w:pStyle w:val="RepTableBold"/>
              <w:keepNext/>
              <w:suppressAutoHyphens/>
            </w:pPr>
            <w:r w:rsidRPr="00A34F10">
              <w:t>Product</w:t>
            </w:r>
          </w:p>
        </w:tc>
        <w:tc>
          <w:tcPr>
            <w:tcW w:w="3750" w:type="pct"/>
            <w:gridSpan w:val="3"/>
            <w:tcBorders>
              <w:top w:val="single" w:sz="4" w:space="0" w:color="auto"/>
              <w:bottom w:val="single" w:sz="4" w:space="0" w:color="auto"/>
            </w:tcBorders>
          </w:tcPr>
          <w:p w14:paraId="36089EA6" w14:textId="77777777" w:rsidR="00DC5685" w:rsidRPr="00A34F10" w:rsidRDefault="00DC5685" w:rsidP="000470C3">
            <w:pPr>
              <w:pStyle w:val="RepTable"/>
              <w:keepNext/>
              <w:suppressAutoHyphens/>
              <w:rPr>
                <w:noProof w:val="0"/>
              </w:rPr>
            </w:pPr>
            <w:r w:rsidRPr="00A34F10">
              <w:rPr>
                <w:noProof w:val="0"/>
              </w:rPr>
              <w:t>BAS 743 03 F</w:t>
            </w:r>
          </w:p>
        </w:tc>
      </w:tr>
      <w:tr w:rsidR="00DC5685" w:rsidRPr="00A34F10" w14:paraId="175DB19E" w14:textId="77777777" w:rsidTr="000470C3">
        <w:trPr>
          <w:cantSplit/>
        </w:trPr>
        <w:tc>
          <w:tcPr>
            <w:tcW w:w="1250" w:type="pct"/>
            <w:tcBorders>
              <w:top w:val="nil"/>
            </w:tcBorders>
          </w:tcPr>
          <w:p w14:paraId="391B47AA" w14:textId="77777777" w:rsidR="00DC5685" w:rsidRPr="00A34F10" w:rsidRDefault="00DC5685" w:rsidP="000470C3">
            <w:pPr>
              <w:pStyle w:val="RepTableBold"/>
              <w:keepNext/>
              <w:suppressAutoHyphens/>
            </w:pPr>
            <w:r w:rsidRPr="00A34F10">
              <w:t>Application rate (g/ha)</w:t>
            </w:r>
          </w:p>
        </w:tc>
        <w:tc>
          <w:tcPr>
            <w:tcW w:w="3750" w:type="pct"/>
            <w:gridSpan w:val="3"/>
            <w:tcBorders>
              <w:top w:val="single" w:sz="4" w:space="0" w:color="auto"/>
            </w:tcBorders>
          </w:tcPr>
          <w:p w14:paraId="669904E5" w14:textId="77777777" w:rsidR="00DC5685" w:rsidRPr="00A34F10" w:rsidRDefault="00DC5685" w:rsidP="000470C3">
            <w:pPr>
              <w:pStyle w:val="RepTable"/>
              <w:keepNext/>
              <w:suppressAutoHyphens/>
              <w:rPr>
                <w:noProof w:val="0"/>
              </w:rPr>
            </w:pPr>
            <w:r w:rsidRPr="00A34F10">
              <w:rPr>
                <w:noProof w:val="0"/>
                <w:szCs w:val="20"/>
              </w:rPr>
              <w:t xml:space="preserve">2142 </w:t>
            </w:r>
            <w:r w:rsidRPr="00A34F10">
              <w:rPr>
                <w:noProof w:val="0"/>
                <w:szCs w:val="20"/>
                <w:vertAlign w:val="superscript"/>
              </w:rPr>
              <w:t>1)</w:t>
            </w:r>
          </w:p>
        </w:tc>
      </w:tr>
      <w:tr w:rsidR="00DC5685" w:rsidRPr="00A34F10" w14:paraId="040D8C4C" w14:textId="77777777" w:rsidTr="000470C3">
        <w:tblPrEx>
          <w:tblLook w:val="01E0" w:firstRow="1" w:lastRow="1" w:firstColumn="1" w:lastColumn="1" w:noHBand="0" w:noVBand="0"/>
        </w:tblPrEx>
        <w:trPr>
          <w:cantSplit/>
        </w:trPr>
        <w:tc>
          <w:tcPr>
            <w:tcW w:w="1250" w:type="pct"/>
          </w:tcPr>
          <w:p w14:paraId="0073A782" w14:textId="77777777" w:rsidR="00DC5685" w:rsidRPr="00A34F10" w:rsidRDefault="00DC5685" w:rsidP="000470C3">
            <w:pPr>
              <w:pStyle w:val="RepTableBold"/>
              <w:keepNext/>
              <w:suppressAutoHyphens/>
            </w:pPr>
            <w:r w:rsidRPr="00A34F10">
              <w:t>Test design</w:t>
            </w:r>
          </w:p>
        </w:tc>
        <w:tc>
          <w:tcPr>
            <w:tcW w:w="1250" w:type="pct"/>
          </w:tcPr>
          <w:p w14:paraId="6FEDE709" w14:textId="77777777" w:rsidR="00DC5685" w:rsidRPr="00A34F10" w:rsidRDefault="00DC5685" w:rsidP="000470C3">
            <w:pPr>
              <w:pStyle w:val="RepTableBold"/>
              <w:keepNext/>
              <w:suppressAutoHyphens/>
            </w:pPr>
            <w:r w:rsidRPr="00A34F10">
              <w:t>LD</w:t>
            </w:r>
            <w:r w:rsidRPr="00A34F10">
              <w:rPr>
                <w:vertAlign w:val="subscript"/>
              </w:rPr>
              <w:t>50</w:t>
            </w:r>
            <w:r w:rsidRPr="00A34F10">
              <w:t xml:space="preserve"> (lab.)</w:t>
            </w:r>
            <w:r w:rsidRPr="00A34F10">
              <w:br/>
              <w:t>(µg/bee)</w:t>
            </w:r>
          </w:p>
        </w:tc>
        <w:tc>
          <w:tcPr>
            <w:tcW w:w="1250" w:type="pct"/>
          </w:tcPr>
          <w:p w14:paraId="14C5490C" w14:textId="77777777" w:rsidR="00DC5685" w:rsidRPr="00A34F10" w:rsidRDefault="00DC5685" w:rsidP="000470C3">
            <w:pPr>
              <w:pStyle w:val="RepTableBold"/>
              <w:keepNext/>
              <w:suppressAutoHyphens/>
            </w:pPr>
            <w:r w:rsidRPr="00A34F10">
              <w:t>Single application rate</w:t>
            </w:r>
            <w:r w:rsidRPr="00A34F10">
              <w:br/>
              <w:t>(g/ha)</w:t>
            </w:r>
          </w:p>
        </w:tc>
        <w:tc>
          <w:tcPr>
            <w:tcW w:w="1250" w:type="pct"/>
          </w:tcPr>
          <w:p w14:paraId="6F900B47" w14:textId="77777777" w:rsidR="00DC5685" w:rsidRPr="00A34F10" w:rsidRDefault="00DC5685" w:rsidP="000470C3">
            <w:pPr>
              <w:pStyle w:val="RepTableBold"/>
              <w:keepNext/>
              <w:suppressAutoHyphens/>
            </w:pPr>
            <w:r w:rsidRPr="00A34F10">
              <w:t>Q</w:t>
            </w:r>
            <w:r w:rsidRPr="00A34F10">
              <w:rPr>
                <w:vertAlign w:val="subscript"/>
              </w:rPr>
              <w:t>HO</w:t>
            </w:r>
            <w:r w:rsidRPr="00A34F10">
              <w:t>, Q</w:t>
            </w:r>
            <w:r w:rsidRPr="00A34F10">
              <w:rPr>
                <w:vertAlign w:val="subscript"/>
              </w:rPr>
              <w:t>HC</w:t>
            </w:r>
            <w:r w:rsidRPr="00A34F10">
              <w:rPr>
                <w:vertAlign w:val="subscript"/>
              </w:rPr>
              <w:br/>
            </w:r>
            <w:r w:rsidRPr="00A34F10">
              <w:t>criterion: Q</w:t>
            </w:r>
            <w:r w:rsidRPr="00A34F10">
              <w:rPr>
                <w:vertAlign w:val="subscript"/>
              </w:rPr>
              <w:t>H</w:t>
            </w:r>
            <w:r w:rsidRPr="00A34F10">
              <w:t xml:space="preserve"> ≤ 50</w:t>
            </w:r>
          </w:p>
        </w:tc>
      </w:tr>
      <w:tr w:rsidR="00DC5685" w:rsidRPr="00A34F10" w14:paraId="78F7EE6D" w14:textId="77777777" w:rsidTr="000470C3">
        <w:tblPrEx>
          <w:tblLook w:val="01E0" w:firstRow="1" w:lastRow="1" w:firstColumn="1" w:lastColumn="1" w:noHBand="0" w:noVBand="0"/>
        </w:tblPrEx>
        <w:trPr>
          <w:cantSplit/>
        </w:trPr>
        <w:tc>
          <w:tcPr>
            <w:tcW w:w="1250" w:type="pct"/>
            <w:vAlign w:val="center"/>
          </w:tcPr>
          <w:p w14:paraId="16CBE97F" w14:textId="77777777" w:rsidR="00DC5685" w:rsidRPr="00A34F10" w:rsidRDefault="00DC5685" w:rsidP="000470C3">
            <w:pPr>
              <w:pStyle w:val="RepTable"/>
              <w:keepNext/>
              <w:suppressAutoHyphens/>
              <w:rPr>
                <w:noProof w:val="0"/>
              </w:rPr>
            </w:pPr>
            <w:r w:rsidRPr="00A34F10">
              <w:rPr>
                <w:noProof w:val="0"/>
              </w:rPr>
              <w:t>Oral toxicity</w:t>
            </w:r>
          </w:p>
        </w:tc>
        <w:tc>
          <w:tcPr>
            <w:tcW w:w="1250" w:type="pct"/>
            <w:vAlign w:val="center"/>
          </w:tcPr>
          <w:p w14:paraId="27C97538" w14:textId="77777777" w:rsidR="00DC5685" w:rsidRPr="00A34F10" w:rsidRDefault="00DC5685" w:rsidP="000470C3">
            <w:pPr>
              <w:pStyle w:val="RepTable"/>
              <w:keepNext/>
              <w:suppressAutoHyphens/>
              <w:rPr>
                <w:noProof w:val="0"/>
                <w:szCs w:val="20"/>
              </w:rPr>
            </w:pPr>
            <w:r w:rsidRPr="00A34F10">
              <w:rPr>
                <w:noProof w:val="0"/>
                <w:szCs w:val="20"/>
              </w:rPr>
              <w:t>&gt; 816</w:t>
            </w:r>
          </w:p>
        </w:tc>
        <w:tc>
          <w:tcPr>
            <w:tcW w:w="1250" w:type="pct"/>
            <w:vMerge w:val="restart"/>
            <w:vAlign w:val="center"/>
          </w:tcPr>
          <w:p w14:paraId="76A2B524" w14:textId="77777777" w:rsidR="00DC5685" w:rsidRPr="00A34F10" w:rsidRDefault="00DC5685" w:rsidP="000470C3">
            <w:pPr>
              <w:pStyle w:val="RepTable"/>
              <w:keepNext/>
              <w:suppressAutoHyphens/>
              <w:rPr>
                <w:noProof w:val="0"/>
                <w:szCs w:val="20"/>
              </w:rPr>
            </w:pPr>
            <w:r w:rsidRPr="00A34F10">
              <w:rPr>
                <w:noProof w:val="0"/>
                <w:szCs w:val="20"/>
              </w:rPr>
              <w:t>2142</w:t>
            </w:r>
          </w:p>
        </w:tc>
        <w:tc>
          <w:tcPr>
            <w:tcW w:w="1250" w:type="pct"/>
            <w:vAlign w:val="center"/>
          </w:tcPr>
          <w:p w14:paraId="5B0C1113" w14:textId="77777777" w:rsidR="00DC5685" w:rsidRPr="00A34F10" w:rsidRDefault="00DC5685" w:rsidP="000470C3">
            <w:pPr>
              <w:pStyle w:val="RepTable"/>
              <w:keepNext/>
              <w:suppressAutoHyphens/>
              <w:rPr>
                <w:noProof w:val="0"/>
              </w:rPr>
            </w:pPr>
            <w:r w:rsidRPr="00A34F10">
              <w:rPr>
                <w:noProof w:val="0"/>
              </w:rPr>
              <w:t>&lt; 2.63</w:t>
            </w:r>
          </w:p>
        </w:tc>
      </w:tr>
      <w:tr w:rsidR="00DC5685" w:rsidRPr="00A34F10" w14:paraId="292D79F9" w14:textId="77777777" w:rsidTr="000470C3">
        <w:tblPrEx>
          <w:tblLook w:val="01E0" w:firstRow="1" w:lastRow="1" w:firstColumn="1" w:lastColumn="1" w:noHBand="0" w:noVBand="0"/>
        </w:tblPrEx>
        <w:trPr>
          <w:cantSplit/>
        </w:trPr>
        <w:tc>
          <w:tcPr>
            <w:tcW w:w="1250" w:type="pct"/>
            <w:vAlign w:val="center"/>
          </w:tcPr>
          <w:p w14:paraId="5A82B459" w14:textId="77777777" w:rsidR="00DC5685" w:rsidRPr="00A34F10" w:rsidRDefault="00DC5685" w:rsidP="000470C3">
            <w:pPr>
              <w:pStyle w:val="RepTable"/>
              <w:keepNext/>
              <w:suppressAutoHyphens/>
              <w:rPr>
                <w:noProof w:val="0"/>
              </w:rPr>
            </w:pPr>
            <w:r w:rsidRPr="00A34F10">
              <w:rPr>
                <w:noProof w:val="0"/>
              </w:rPr>
              <w:t>Contact toxicity</w:t>
            </w:r>
          </w:p>
        </w:tc>
        <w:tc>
          <w:tcPr>
            <w:tcW w:w="1250" w:type="pct"/>
            <w:vAlign w:val="center"/>
          </w:tcPr>
          <w:p w14:paraId="634D91C6" w14:textId="77777777" w:rsidR="00DC5685" w:rsidRPr="00A34F10" w:rsidRDefault="00DC5685" w:rsidP="000470C3">
            <w:pPr>
              <w:pStyle w:val="RepTable"/>
              <w:keepNext/>
              <w:suppressAutoHyphens/>
              <w:rPr>
                <w:noProof w:val="0"/>
                <w:szCs w:val="20"/>
              </w:rPr>
            </w:pPr>
            <w:r w:rsidRPr="00A34F10">
              <w:rPr>
                <w:noProof w:val="0"/>
                <w:szCs w:val="20"/>
              </w:rPr>
              <w:t>&gt; 1000</w:t>
            </w:r>
          </w:p>
        </w:tc>
        <w:tc>
          <w:tcPr>
            <w:tcW w:w="1250" w:type="pct"/>
            <w:vMerge/>
            <w:vAlign w:val="center"/>
          </w:tcPr>
          <w:p w14:paraId="31DE31CC" w14:textId="77777777" w:rsidR="00DC5685" w:rsidRPr="00A34F10" w:rsidRDefault="00DC5685" w:rsidP="000470C3">
            <w:pPr>
              <w:pStyle w:val="RepTable"/>
              <w:keepNext/>
              <w:suppressAutoHyphens/>
              <w:rPr>
                <w:noProof w:val="0"/>
                <w:szCs w:val="20"/>
              </w:rPr>
            </w:pPr>
          </w:p>
        </w:tc>
        <w:tc>
          <w:tcPr>
            <w:tcW w:w="1250" w:type="pct"/>
            <w:vAlign w:val="center"/>
          </w:tcPr>
          <w:p w14:paraId="342922EC" w14:textId="77777777" w:rsidR="00DC5685" w:rsidRPr="00A34F10" w:rsidRDefault="00DC5685" w:rsidP="000470C3">
            <w:pPr>
              <w:pStyle w:val="RepTable"/>
              <w:keepNext/>
              <w:suppressAutoHyphens/>
              <w:rPr>
                <w:noProof w:val="0"/>
              </w:rPr>
            </w:pPr>
            <w:r w:rsidRPr="00A34F10">
              <w:rPr>
                <w:noProof w:val="0"/>
              </w:rPr>
              <w:t>&lt; 2.14</w:t>
            </w:r>
          </w:p>
        </w:tc>
      </w:tr>
    </w:tbl>
    <w:p w14:paraId="50AD0ED0" w14:textId="77777777" w:rsidR="00DC5685" w:rsidRPr="00A34F10" w:rsidRDefault="00DC5685" w:rsidP="00DC5685">
      <w:pPr>
        <w:pStyle w:val="RepTableFootnote"/>
        <w:keepNext/>
        <w:suppressAutoHyphens/>
        <w:jc w:val="both"/>
        <w:rPr>
          <w:noProof w:val="0"/>
          <w:lang w:val="en-US"/>
        </w:rPr>
      </w:pPr>
      <w:r w:rsidRPr="00A34F10">
        <w:rPr>
          <w:noProof w:val="0"/>
          <w:lang w:val="en-US"/>
        </w:rPr>
        <w:t>Q</w:t>
      </w:r>
      <w:r w:rsidRPr="00A34F10">
        <w:rPr>
          <w:noProof w:val="0"/>
          <w:vertAlign w:val="subscript"/>
          <w:lang w:val="en-US"/>
        </w:rPr>
        <w:t>HO</w:t>
      </w:r>
      <w:r w:rsidRPr="00A34F10">
        <w:rPr>
          <w:noProof w:val="0"/>
          <w:lang w:val="en-US"/>
        </w:rPr>
        <w:t>, Q</w:t>
      </w:r>
      <w:r w:rsidRPr="00A34F10">
        <w:rPr>
          <w:noProof w:val="0"/>
          <w:vertAlign w:val="subscript"/>
          <w:lang w:val="en-US"/>
        </w:rPr>
        <w:t>HC</w:t>
      </w:r>
      <w:r w:rsidRPr="00A34F10">
        <w:rPr>
          <w:noProof w:val="0"/>
          <w:lang w:val="en-US"/>
        </w:rPr>
        <w:t>: Hazard quotients for oral and contact exposure.</w:t>
      </w:r>
    </w:p>
    <w:p w14:paraId="1A1E14BC" w14:textId="77777777" w:rsidR="00DC5685" w:rsidRPr="00A34F10" w:rsidRDefault="00DC5685" w:rsidP="00DC5685">
      <w:pPr>
        <w:pStyle w:val="RepTableFootnote"/>
        <w:keepNext/>
        <w:suppressAutoHyphens/>
        <w:jc w:val="both"/>
        <w:rPr>
          <w:noProof w:val="0"/>
          <w:lang w:val="en-US"/>
        </w:rPr>
      </w:pPr>
      <w:r w:rsidRPr="00A34F10">
        <w:rPr>
          <w:noProof w:val="0"/>
          <w:vertAlign w:val="superscript"/>
          <w:lang w:val="en-US"/>
        </w:rPr>
        <w:t>1)</w:t>
      </w:r>
      <w:r w:rsidRPr="00A34F10">
        <w:rPr>
          <w:noProof w:val="0"/>
          <w:vertAlign w:val="superscript"/>
          <w:lang w:val="en-US"/>
        </w:rPr>
        <w:tab/>
      </w:r>
      <w:r w:rsidRPr="00A34F10">
        <w:rPr>
          <w:noProof w:val="0"/>
          <w:lang w:val="en-US"/>
        </w:rPr>
        <w:t>Taking into account a single application of 2.0 L product/ha and the density of BAS 743 03 F of 1.071 g/cm</w:t>
      </w:r>
      <w:r w:rsidRPr="00A34F10">
        <w:rPr>
          <w:noProof w:val="0"/>
          <w:vertAlign w:val="superscript"/>
          <w:lang w:val="en-US"/>
        </w:rPr>
        <w:t>3</w:t>
      </w:r>
      <w:r w:rsidRPr="00A34F10">
        <w:rPr>
          <w:noProof w:val="0"/>
          <w:lang w:val="en-US"/>
        </w:rPr>
        <w:t>.</w:t>
      </w:r>
    </w:p>
    <w:p w14:paraId="0F0E3B9A" w14:textId="1332A282" w:rsidR="00DC5685" w:rsidRPr="00A34F10" w:rsidRDefault="00DC5685" w:rsidP="00DC5685">
      <w:pPr>
        <w:pStyle w:val="RepStandard"/>
        <w:suppressAutoHyphens/>
      </w:pPr>
    </w:p>
    <w:p w14:paraId="1891191D" w14:textId="77777777" w:rsidR="00E23E00" w:rsidRPr="00A34F10" w:rsidRDefault="00E23E00" w:rsidP="00DC5685">
      <w:pPr>
        <w:pStyle w:val="RepStandard"/>
        <w:suppressAutoHyphens/>
      </w:pPr>
    </w:p>
    <w:p w14:paraId="30114B7A" w14:textId="77777777" w:rsidR="00DC5685" w:rsidRPr="00A34F10" w:rsidRDefault="00DC5685" w:rsidP="00DC5685">
      <w:pPr>
        <w:pStyle w:val="RepStandard"/>
        <w:suppressAutoHyphens/>
      </w:pPr>
      <w:r w:rsidRPr="00A34F10">
        <w:t>The calculated hazard quotients for acute oral and acute contact exposure are below the trigger value of 50, hence the risk to bees from the proposed applications of BAS 743 03 F is acceptable.</w:t>
      </w:r>
    </w:p>
    <w:p w14:paraId="22895A91" w14:textId="203AEB2C" w:rsidR="00DC5685" w:rsidRPr="00A34F10" w:rsidRDefault="00DC5685" w:rsidP="00DC5685">
      <w:pPr>
        <w:pStyle w:val="RepStandard"/>
        <w:suppressAutoHyphens/>
      </w:pPr>
    </w:p>
    <w:p w14:paraId="0A643EF3" w14:textId="7EEC958C" w:rsidR="00DC5685" w:rsidRDefault="0098238A" w:rsidP="00DC5685">
      <w:pPr>
        <w:pStyle w:val="RepStandard"/>
        <w:suppressAutoHyphens/>
        <w:rPr>
          <w:lang w:eastAsia="de-DE"/>
        </w:rPr>
      </w:pPr>
      <w:r w:rsidRPr="00B628AA">
        <w:rPr>
          <w:lang w:eastAsia="de-DE"/>
        </w:rPr>
        <w:t>In addition, data on chronic oral toxicity to adult honeybees and on oral toxicity to honeybee larvae for a similar formulation BAS 743 02 F (</w:t>
      </w:r>
      <w:r w:rsidRPr="00B628AA">
        <w:rPr>
          <w:lang w:val="en-GB" w:eastAsia="de-DE"/>
        </w:rPr>
        <w:t>containing 137.1 g/L Ametoctradin and 515.4 g/L Propamocarb-HCl</w:t>
      </w:r>
      <w:r w:rsidRPr="00B628AA">
        <w:rPr>
          <w:sz w:val="18"/>
          <w:szCs w:val="18"/>
          <w:lang w:val="en-GB" w:eastAsia="de-DE"/>
        </w:rPr>
        <w:t xml:space="preserve">) </w:t>
      </w:r>
      <w:r w:rsidRPr="00B628AA">
        <w:rPr>
          <w:lang w:eastAsia="de-DE"/>
        </w:rPr>
        <w:t xml:space="preserve">are available. These studies indicate low toxicity to bees and meet the current data requirements (Commission Regulation (EU) No. 283/2013 and 284/2013). </w:t>
      </w:r>
      <w:r w:rsidR="00B628AA" w:rsidRPr="00B628AA">
        <w:t>However, u</w:t>
      </w:r>
      <w:r w:rsidRPr="00B628AA">
        <w:rPr>
          <w:lang w:eastAsia="de-DE"/>
        </w:rPr>
        <w:t xml:space="preserve">nder the current risk assessment scheme (SANCO/10329/2002) there is no requirement to conduct a risk assessment with these endpoints. </w:t>
      </w:r>
    </w:p>
    <w:p w14:paraId="649905F8" w14:textId="55254126" w:rsidR="00185541" w:rsidRPr="006C550F" w:rsidRDefault="002B3BB4" w:rsidP="006C550F">
      <w:pPr>
        <w:pStyle w:val="RepStandard"/>
        <w:shd w:val="clear" w:color="auto" w:fill="BDD6EE" w:themeFill="accent5" w:themeFillTint="66"/>
        <w:suppressAutoHyphens/>
        <w:rPr>
          <w:b/>
          <w:bCs/>
          <w:color w:val="000000" w:themeColor="text1"/>
        </w:rPr>
      </w:pPr>
      <w:r w:rsidRPr="006C550F">
        <w:rPr>
          <w:b/>
          <w:bCs/>
          <w:color w:val="000000" w:themeColor="text1"/>
        </w:rPr>
        <w:lastRenderedPageBreak/>
        <w:t>The following is an assessment of the chronic risk to bees made by the Applicant</w:t>
      </w:r>
    </w:p>
    <w:p w14:paraId="2F8BE823" w14:textId="77777777" w:rsidR="002B3BB4" w:rsidRPr="006C550F" w:rsidRDefault="002B3BB4" w:rsidP="006C550F">
      <w:pPr>
        <w:pStyle w:val="RepStandard"/>
        <w:shd w:val="clear" w:color="auto" w:fill="BDD6EE" w:themeFill="accent5" w:themeFillTint="66"/>
        <w:suppressAutoHyphens/>
        <w:rPr>
          <w:b/>
          <w:bCs/>
          <w:color w:val="000000" w:themeColor="text1"/>
        </w:rPr>
      </w:pPr>
    </w:p>
    <w:p w14:paraId="3E1FA625" w14:textId="21CA2FD0" w:rsidR="00FC6519" w:rsidRPr="006C550F" w:rsidRDefault="00FC6519" w:rsidP="006C550F">
      <w:pPr>
        <w:pStyle w:val="RepStandard"/>
        <w:shd w:val="clear" w:color="auto" w:fill="BDD6EE" w:themeFill="accent5" w:themeFillTint="66"/>
        <w:suppressAutoHyphens/>
        <w:rPr>
          <w:b/>
          <w:bCs/>
          <w:color w:val="000000" w:themeColor="text1"/>
        </w:rPr>
      </w:pPr>
      <w:r w:rsidRPr="006C550F">
        <w:rPr>
          <w:b/>
          <w:bCs/>
          <w:color w:val="000000" w:themeColor="text1"/>
        </w:rPr>
        <w:t>EFSA Guidance (2013, updated 2014)</w:t>
      </w:r>
    </w:p>
    <w:p w14:paraId="5F35A498" w14:textId="77777777" w:rsidR="00FC6519" w:rsidRPr="006C550F" w:rsidRDefault="00FC6519" w:rsidP="006C550F">
      <w:pPr>
        <w:shd w:val="clear" w:color="auto" w:fill="BDD6EE" w:themeFill="accent5" w:themeFillTint="66"/>
        <w:rPr>
          <w:color w:val="000000" w:themeColor="text1"/>
        </w:rPr>
      </w:pPr>
    </w:p>
    <w:p w14:paraId="27F83C2E" w14:textId="77777777" w:rsidR="00FC6519" w:rsidRPr="006C550F" w:rsidRDefault="00FC6519" w:rsidP="006C550F">
      <w:pPr>
        <w:shd w:val="clear" w:color="auto" w:fill="BDD6EE" w:themeFill="accent5" w:themeFillTint="66"/>
        <w:jc w:val="both"/>
        <w:rPr>
          <w:color w:val="000000" w:themeColor="text1"/>
          <w:lang w:val="en-GB"/>
        </w:rPr>
      </w:pPr>
      <w:r w:rsidRPr="006C550F">
        <w:rPr>
          <w:color w:val="000000" w:themeColor="text1"/>
        </w:rPr>
        <w:t>Upon zRMS request, the Applicant in the following provides risk assessments based on EFSA Guidance (2013, updated 2014</w:t>
      </w:r>
      <w:r w:rsidRPr="006C550F">
        <w:rPr>
          <w:color w:val="000000" w:themeColor="text1"/>
          <w:vertAlign w:val="superscript"/>
        </w:rPr>
        <w:footnoteReference w:id="6"/>
      </w:r>
      <w:r w:rsidRPr="006C550F">
        <w:rPr>
          <w:color w:val="000000" w:themeColor="text1"/>
        </w:rPr>
        <w:t>). The Applicant would like to point out that the risk assessment methodology based on EFSA Guidance (2013) is not agreed at EU level. The Guidance is not noted (and never will, since a revised version of the guidance has been published in 2023) and should therefore, not be applied for decision-making. The Applicant is aware that regardless of the status of implementation of EFSA bee guidance, some Member States request assessments following EFSA Guidance (2013). However, this can be dealt with at national level, thus, there should not be a formal requirement to present EFSA (2013) in the Core document. The Applicant has included the assessment in the Core dossier in a comprehensive approach and as requested by the zRMS, but it should not be considered for decision-making at zonal level.</w:t>
      </w:r>
    </w:p>
    <w:p w14:paraId="792965D5" w14:textId="77777777" w:rsidR="00FC6519" w:rsidRPr="006C550F" w:rsidRDefault="00FC6519" w:rsidP="006C550F">
      <w:pPr>
        <w:shd w:val="clear" w:color="auto" w:fill="BDD6EE" w:themeFill="accent5" w:themeFillTint="66"/>
        <w:jc w:val="both"/>
        <w:rPr>
          <w:color w:val="000000" w:themeColor="text1"/>
        </w:rPr>
      </w:pPr>
    </w:p>
    <w:p w14:paraId="44349444" w14:textId="77777777" w:rsidR="00FC6519" w:rsidRPr="006C550F" w:rsidRDefault="00FC6519" w:rsidP="006C550F">
      <w:pPr>
        <w:shd w:val="clear" w:color="auto" w:fill="BDD6EE" w:themeFill="accent5" w:themeFillTint="66"/>
        <w:jc w:val="both"/>
        <w:rPr>
          <w:color w:val="000000" w:themeColor="text1"/>
        </w:rPr>
      </w:pPr>
      <w:r w:rsidRPr="006C550F">
        <w:rPr>
          <w:color w:val="000000" w:themeColor="text1"/>
        </w:rPr>
        <w:t xml:space="preserve">Risk assessments were conducted using the EFSA calculator tool (Bee-Tool, Version 3, </w:t>
      </w:r>
      <w:r w:rsidRPr="006C550F">
        <w:rPr>
          <w:rFonts w:eastAsia="MS Mincho"/>
          <w:color w:val="000000" w:themeColor="text1"/>
        </w:rPr>
        <w:t>2020</w:t>
      </w:r>
      <w:r w:rsidRPr="006C550F">
        <w:rPr>
          <w:rFonts w:eastAsia="MS Mincho"/>
          <w:color w:val="000000" w:themeColor="text1"/>
          <w:vertAlign w:val="superscript"/>
        </w:rPr>
        <w:footnoteReference w:id="7"/>
      </w:r>
      <w:r w:rsidRPr="006C550F">
        <w:rPr>
          <w:rFonts w:eastAsia="MS Mincho"/>
          <w:color w:val="000000" w:themeColor="text1"/>
        </w:rPr>
        <w:t>)</w:t>
      </w:r>
      <w:r w:rsidRPr="006C550F">
        <w:rPr>
          <w:color w:val="000000" w:themeColor="text1"/>
        </w:rPr>
        <w:t xml:space="preserve">. Acute and chronic risk assessments are most appropriately presented based on the most relevant data from testing the representative formulation </w:t>
      </w:r>
      <w:r w:rsidRPr="006C550F">
        <w:rPr>
          <w:color w:val="000000" w:themeColor="text1"/>
          <w:lang w:eastAsia="de-DE"/>
        </w:rPr>
        <w:t>BAS 743 03 F and a similar formulation BAS 743 02 F (</w:t>
      </w:r>
      <w:r w:rsidRPr="006C550F">
        <w:rPr>
          <w:color w:val="000000" w:themeColor="text1"/>
          <w:lang w:val="en-GB" w:eastAsia="de-DE"/>
        </w:rPr>
        <w:t xml:space="preserve">containing 137.1 g/L Ametoctradin and 515.4 g/L Propamocarb-HCl) </w:t>
      </w:r>
      <w:r w:rsidRPr="006C550F">
        <w:rPr>
          <w:color w:val="000000" w:themeColor="text1"/>
        </w:rPr>
        <w:t>covering the combined exposure to the active substances. Acute risk assessments are also presented based on the available data for the active substances.</w:t>
      </w:r>
    </w:p>
    <w:p w14:paraId="3028C028" w14:textId="77777777" w:rsidR="00FC6519" w:rsidRPr="006C550F" w:rsidRDefault="00FC6519" w:rsidP="006C550F">
      <w:pPr>
        <w:shd w:val="clear" w:color="auto" w:fill="BDD6EE" w:themeFill="accent5" w:themeFillTint="66"/>
        <w:rPr>
          <w:color w:val="000000" w:themeColor="text1"/>
        </w:rPr>
      </w:pPr>
    </w:p>
    <w:p w14:paraId="26609500" w14:textId="77777777" w:rsidR="00FC6519" w:rsidRPr="006C550F" w:rsidRDefault="00FC6519" w:rsidP="006C550F">
      <w:pPr>
        <w:shd w:val="clear" w:color="auto" w:fill="BDD6EE" w:themeFill="accent5" w:themeFillTint="66"/>
        <w:rPr>
          <w:color w:val="000000" w:themeColor="text1"/>
        </w:rPr>
      </w:pPr>
      <w:r w:rsidRPr="006C550F">
        <w:rPr>
          <w:color w:val="000000" w:themeColor="text1"/>
        </w:rPr>
        <w:t>Acute and chronic assessments are presented for the major crops considered in the Core Assessment (i.e. potato, onion, tomato and aubergine) at the maximum single use rate of 2 L product/ha.</w:t>
      </w:r>
    </w:p>
    <w:p w14:paraId="6240EC00" w14:textId="77777777" w:rsidR="00FC6519" w:rsidRPr="006C550F" w:rsidRDefault="00FC6519" w:rsidP="006C550F">
      <w:pPr>
        <w:shd w:val="clear" w:color="auto" w:fill="BDD6EE" w:themeFill="accent5" w:themeFillTint="66"/>
        <w:rPr>
          <w:color w:val="000000" w:themeColor="text1"/>
        </w:rPr>
      </w:pPr>
    </w:p>
    <w:p w14:paraId="6FAAB562" w14:textId="77777777" w:rsidR="00FC6519" w:rsidRPr="006C550F" w:rsidRDefault="00FC6519" w:rsidP="006C550F">
      <w:pPr>
        <w:shd w:val="clear" w:color="auto" w:fill="BDD6EE" w:themeFill="accent5" w:themeFillTint="66"/>
        <w:rPr>
          <w:color w:val="000000" w:themeColor="text1"/>
          <w:u w:val="single"/>
        </w:rPr>
      </w:pPr>
      <w:r w:rsidRPr="006C550F">
        <w:rPr>
          <w:color w:val="000000" w:themeColor="text1"/>
          <w:u w:val="single"/>
        </w:rPr>
        <w:t>Screening Step assessments</w:t>
      </w:r>
    </w:p>
    <w:p w14:paraId="02FD5456" w14:textId="77777777" w:rsidR="00FC6519" w:rsidRPr="006C550F" w:rsidRDefault="00FC6519" w:rsidP="006C550F">
      <w:pPr>
        <w:shd w:val="clear" w:color="auto" w:fill="BDD6EE" w:themeFill="accent5" w:themeFillTint="66"/>
        <w:rPr>
          <w:color w:val="000000" w:themeColor="text1"/>
        </w:rPr>
      </w:pPr>
    </w:p>
    <w:p w14:paraId="4B9911BA" w14:textId="77777777" w:rsidR="00FC6519" w:rsidRPr="006C550F" w:rsidRDefault="00FC6519" w:rsidP="006C550F">
      <w:pPr>
        <w:shd w:val="clear" w:color="auto" w:fill="BDD6EE" w:themeFill="accent5" w:themeFillTint="66"/>
        <w:jc w:val="both"/>
        <w:rPr>
          <w:color w:val="000000" w:themeColor="text1"/>
        </w:rPr>
      </w:pPr>
      <w:r w:rsidRPr="006C550F">
        <w:rPr>
          <w:b/>
          <w:bCs/>
          <w:color w:val="000000" w:themeColor="text1"/>
        </w:rPr>
        <w:t xml:space="preserve">Table </w:t>
      </w:r>
      <w:r w:rsidRPr="006C550F">
        <w:rPr>
          <w:b/>
          <w:bCs/>
          <w:color w:val="000000" w:themeColor="text1"/>
        </w:rPr>
        <w:fldChar w:fldCharType="begin"/>
      </w:r>
      <w:r w:rsidRPr="006C550F">
        <w:rPr>
          <w:b/>
          <w:bCs/>
          <w:color w:val="000000" w:themeColor="text1"/>
        </w:rPr>
        <w:instrText xml:space="preserve"> STYLEREF 2 \s </w:instrText>
      </w:r>
      <w:r w:rsidRPr="006C550F">
        <w:rPr>
          <w:b/>
          <w:bCs/>
          <w:color w:val="000000" w:themeColor="text1"/>
        </w:rPr>
        <w:fldChar w:fldCharType="separate"/>
      </w:r>
      <w:r w:rsidRPr="006C550F">
        <w:rPr>
          <w:b/>
          <w:bCs/>
          <w:noProof/>
          <w:color w:val="000000" w:themeColor="text1"/>
        </w:rPr>
        <w:t>9.6</w:t>
      </w:r>
      <w:r w:rsidRPr="006C550F">
        <w:rPr>
          <w:b/>
          <w:bCs/>
          <w:noProof/>
          <w:color w:val="000000" w:themeColor="text1"/>
        </w:rPr>
        <w:fldChar w:fldCharType="end"/>
      </w:r>
      <w:r w:rsidRPr="006C550F">
        <w:rPr>
          <w:b/>
          <w:bCs/>
          <w:color w:val="000000" w:themeColor="text1"/>
        </w:rPr>
        <w:noBreakHyphen/>
        <w:t>7:</w:t>
      </w:r>
      <w:r w:rsidRPr="006C550F">
        <w:rPr>
          <w:b/>
          <w:bCs/>
          <w:color w:val="000000" w:themeColor="text1"/>
        </w:rPr>
        <w:tab/>
        <w:t xml:space="preserve">Screening Step assessment of the acute and chronic risk for bees due to the use of </w:t>
      </w:r>
      <w:r w:rsidRPr="006C550F">
        <w:rPr>
          <w:b/>
          <w:bCs/>
          <w:color w:val="000000" w:themeColor="text1"/>
        </w:rPr>
        <w:tab/>
      </w:r>
      <w:r w:rsidRPr="006C550F">
        <w:rPr>
          <w:b/>
          <w:bCs/>
          <w:color w:val="000000" w:themeColor="text1"/>
        </w:rPr>
        <w:tab/>
      </w:r>
      <w:r w:rsidRPr="006C550F">
        <w:rPr>
          <w:b/>
          <w:bCs/>
          <w:color w:val="000000" w:themeColor="text1"/>
        </w:rPr>
        <w:tab/>
        <w:t>BAS 743 03 F in field crops (2 L/ha)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5" w:themeFillTint="66"/>
        <w:tblCellMar>
          <w:left w:w="28" w:type="dxa"/>
          <w:right w:w="28" w:type="dxa"/>
        </w:tblCellMar>
        <w:tblLook w:val="04A0" w:firstRow="1" w:lastRow="0" w:firstColumn="1" w:lastColumn="0" w:noHBand="0" w:noVBand="1"/>
      </w:tblPr>
      <w:tblGrid>
        <w:gridCol w:w="919"/>
        <w:gridCol w:w="1151"/>
        <w:gridCol w:w="679"/>
        <w:gridCol w:w="1890"/>
        <w:gridCol w:w="858"/>
        <w:gridCol w:w="1220"/>
        <w:gridCol w:w="1192"/>
        <w:gridCol w:w="602"/>
        <w:gridCol w:w="834"/>
      </w:tblGrid>
      <w:tr w:rsidR="00FC6519" w:rsidRPr="006C550F" w14:paraId="3ED30300" w14:textId="77777777" w:rsidTr="00802A8C">
        <w:trPr>
          <w:tblHeader/>
        </w:trPr>
        <w:tc>
          <w:tcPr>
            <w:tcW w:w="492" w:type="pct"/>
            <w:shd w:val="clear" w:color="auto" w:fill="BDD6EE" w:themeFill="accent5" w:themeFillTint="66"/>
            <w:vAlign w:val="center"/>
          </w:tcPr>
          <w:p w14:paraId="4A49E609"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Crop(s)</w:t>
            </w:r>
          </w:p>
        </w:tc>
        <w:tc>
          <w:tcPr>
            <w:tcW w:w="616" w:type="pct"/>
            <w:shd w:val="clear" w:color="auto" w:fill="BDD6EE" w:themeFill="accent5" w:themeFillTint="66"/>
            <w:vAlign w:val="center"/>
          </w:tcPr>
          <w:p w14:paraId="100AD378"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Maximum single use rate</w:t>
            </w:r>
          </w:p>
          <w:p w14:paraId="0A5F612A"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[g/ha]</w:t>
            </w:r>
          </w:p>
        </w:tc>
        <w:tc>
          <w:tcPr>
            <w:tcW w:w="363" w:type="pct"/>
            <w:shd w:val="clear" w:color="auto" w:fill="BDD6EE" w:themeFill="accent5" w:themeFillTint="66"/>
            <w:vAlign w:val="center"/>
          </w:tcPr>
          <w:p w14:paraId="081F2F13"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Species</w:t>
            </w:r>
          </w:p>
        </w:tc>
        <w:tc>
          <w:tcPr>
            <w:tcW w:w="1011" w:type="pct"/>
            <w:shd w:val="clear" w:color="auto" w:fill="BDD6EE" w:themeFill="accent5" w:themeFillTint="66"/>
            <w:vAlign w:val="center"/>
          </w:tcPr>
          <w:p w14:paraId="2F5DA2D3"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Test item</w:t>
            </w:r>
          </w:p>
        </w:tc>
        <w:tc>
          <w:tcPr>
            <w:tcW w:w="459" w:type="pct"/>
            <w:shd w:val="clear" w:color="auto" w:fill="BDD6EE" w:themeFill="accent5" w:themeFillTint="66"/>
            <w:vAlign w:val="center"/>
          </w:tcPr>
          <w:p w14:paraId="363C57F6"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Endpoint</w:t>
            </w:r>
          </w:p>
          <w:p w14:paraId="44075401"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[µg/bee]</w:t>
            </w:r>
          </w:p>
        </w:tc>
        <w:tc>
          <w:tcPr>
            <w:tcW w:w="653" w:type="pct"/>
            <w:shd w:val="clear" w:color="auto" w:fill="BDD6EE" w:themeFill="accent5" w:themeFillTint="66"/>
            <w:tcMar>
              <w:left w:w="28" w:type="dxa"/>
              <w:right w:w="28" w:type="dxa"/>
            </w:tcMar>
            <w:vAlign w:val="center"/>
          </w:tcPr>
          <w:p w14:paraId="682E89D2"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Assessment</w:t>
            </w:r>
          </w:p>
        </w:tc>
        <w:tc>
          <w:tcPr>
            <w:tcW w:w="638" w:type="pct"/>
            <w:shd w:val="clear" w:color="auto" w:fill="BDD6EE" w:themeFill="accent5" w:themeFillTint="66"/>
            <w:tcMar>
              <w:left w:w="28" w:type="dxa"/>
              <w:right w:w="28" w:type="dxa"/>
            </w:tcMar>
            <w:vAlign w:val="center"/>
          </w:tcPr>
          <w:p w14:paraId="5C6A26DD"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Calculation factor</w:t>
            </w:r>
          </w:p>
          <w:p w14:paraId="6F61C380"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(Ef × SV)</w:t>
            </w:r>
          </w:p>
        </w:tc>
        <w:tc>
          <w:tcPr>
            <w:tcW w:w="322" w:type="pct"/>
            <w:shd w:val="clear" w:color="auto" w:fill="BDD6EE" w:themeFill="accent5" w:themeFillTint="66"/>
            <w:tcMar>
              <w:left w:w="28" w:type="dxa"/>
              <w:right w:w="28" w:type="dxa"/>
            </w:tcMar>
            <w:vAlign w:val="center"/>
          </w:tcPr>
          <w:p w14:paraId="1495EFD4"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HQ / ETR</w:t>
            </w:r>
          </w:p>
        </w:tc>
        <w:tc>
          <w:tcPr>
            <w:tcW w:w="446" w:type="pct"/>
            <w:shd w:val="clear" w:color="auto" w:fill="BDD6EE" w:themeFill="accent5" w:themeFillTint="66"/>
            <w:tcMar>
              <w:left w:w="28" w:type="dxa"/>
              <w:right w:w="28" w:type="dxa"/>
            </w:tcMar>
            <w:vAlign w:val="center"/>
          </w:tcPr>
          <w:p w14:paraId="571E41E6"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HQ / ETR trigger</w:t>
            </w:r>
          </w:p>
        </w:tc>
      </w:tr>
      <w:tr w:rsidR="00FC6519" w:rsidRPr="006C550F" w14:paraId="34918DF4" w14:textId="77777777" w:rsidTr="00802A8C">
        <w:tc>
          <w:tcPr>
            <w:tcW w:w="492" w:type="pct"/>
            <w:vMerge w:val="restart"/>
            <w:tcBorders>
              <w:left w:val="single" w:sz="4" w:space="0" w:color="auto"/>
              <w:right w:val="single" w:sz="4" w:space="0" w:color="auto"/>
            </w:tcBorders>
            <w:shd w:val="clear" w:color="auto" w:fill="BDD6EE" w:themeFill="accent5" w:themeFillTint="66"/>
            <w:vAlign w:val="center"/>
          </w:tcPr>
          <w:p w14:paraId="4026E6C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xml:space="preserve">Field crops </w:t>
            </w:r>
            <w:r w:rsidRPr="006C550F">
              <w:rPr>
                <w:rFonts w:eastAsia="MS Mincho"/>
                <w:color w:val="000000" w:themeColor="text1"/>
                <w:sz w:val="20"/>
                <w:szCs w:val="20"/>
                <w:vertAlign w:val="superscript"/>
              </w:rPr>
              <w:t>a)</w:t>
            </w:r>
          </w:p>
        </w:tc>
        <w:tc>
          <w:tcPr>
            <w:tcW w:w="616" w:type="pct"/>
            <w:tcBorders>
              <w:left w:val="single" w:sz="4" w:space="0" w:color="auto"/>
              <w:right w:val="single" w:sz="4" w:space="0" w:color="auto"/>
            </w:tcBorders>
            <w:shd w:val="clear" w:color="auto" w:fill="BDD6EE" w:themeFill="accent5" w:themeFillTint="66"/>
            <w:vAlign w:val="center"/>
          </w:tcPr>
          <w:p w14:paraId="2F710B1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240</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1EC3F35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5E5AECA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Ametoctradin</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6134B3C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100.0</w:t>
            </w:r>
          </w:p>
        </w:tc>
        <w:tc>
          <w:tcPr>
            <w:tcW w:w="653"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3DE1CA9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Acute contact toxicity</w:t>
            </w:r>
          </w:p>
        </w:tc>
        <w:tc>
          <w:tcPr>
            <w:tcW w:w="638"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1A25A88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n.a.</w:t>
            </w: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31BFC45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&lt; 2.4</w:t>
            </w:r>
          </w:p>
        </w:tc>
        <w:tc>
          <w:tcPr>
            <w:tcW w:w="446"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24DC5AB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42</w:t>
            </w:r>
          </w:p>
        </w:tc>
      </w:tr>
      <w:tr w:rsidR="00FC6519" w:rsidRPr="006C550F" w14:paraId="68AD231A"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4EFF913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tcBorders>
              <w:left w:val="single" w:sz="4" w:space="0" w:color="auto"/>
              <w:right w:val="single" w:sz="4" w:space="0" w:color="auto"/>
            </w:tcBorders>
            <w:shd w:val="clear" w:color="auto" w:fill="BDD6EE" w:themeFill="accent5" w:themeFillTint="66"/>
            <w:vAlign w:val="center"/>
          </w:tcPr>
          <w:p w14:paraId="3D7216E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902</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5CE5CA2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7688138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color w:val="000000" w:themeColor="text1"/>
                <w:sz w:val="20"/>
                <w:szCs w:val="20"/>
              </w:rPr>
              <w:t>Propamocarb-HCl</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5D61FD1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100</w:t>
            </w:r>
          </w:p>
        </w:tc>
        <w:tc>
          <w:tcPr>
            <w:tcW w:w="653"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1336DCC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38"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3AC0A97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0C31242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&lt; 9.0</w:t>
            </w:r>
          </w:p>
        </w:tc>
        <w:tc>
          <w:tcPr>
            <w:tcW w:w="446"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5444A65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3065A70"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552886B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tcBorders>
              <w:left w:val="single" w:sz="4" w:space="0" w:color="auto"/>
              <w:right w:val="single" w:sz="4" w:space="0" w:color="auto"/>
            </w:tcBorders>
            <w:shd w:val="clear" w:color="auto" w:fill="BDD6EE" w:themeFill="accent5" w:themeFillTint="66"/>
            <w:vAlign w:val="center"/>
          </w:tcPr>
          <w:p w14:paraId="0EC423D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b)</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15A0E74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58D42F6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03 F</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5F2C7D1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1000</w:t>
            </w:r>
          </w:p>
        </w:tc>
        <w:tc>
          <w:tcPr>
            <w:tcW w:w="653"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48C84F1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38"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478F473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5EAB568D" w14:textId="77777777" w:rsidR="00FC6519" w:rsidRPr="006C550F" w:rsidRDefault="00FC6519" w:rsidP="006C550F">
            <w:pPr>
              <w:shd w:val="clear" w:color="auto" w:fill="BDD6EE" w:themeFill="accent5" w:themeFillTint="66"/>
              <w:rPr>
                <w:rFonts w:eastAsia="MS Mincho"/>
                <w:color w:val="4472C4" w:themeColor="accent1"/>
                <w:sz w:val="20"/>
                <w:szCs w:val="20"/>
              </w:rPr>
            </w:pPr>
            <w:r w:rsidRPr="006C550F">
              <w:rPr>
                <w:rFonts w:eastAsia="MS Mincho"/>
                <w:color w:val="000000" w:themeColor="text1"/>
                <w:sz w:val="20"/>
                <w:szCs w:val="20"/>
              </w:rPr>
              <w:t>&lt; 2.1</w:t>
            </w:r>
          </w:p>
        </w:tc>
        <w:tc>
          <w:tcPr>
            <w:tcW w:w="446"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6E24560E" w14:textId="77777777" w:rsidR="00FC6519" w:rsidRPr="006C550F" w:rsidRDefault="00FC6519" w:rsidP="006C550F">
            <w:pPr>
              <w:shd w:val="clear" w:color="auto" w:fill="BDD6EE" w:themeFill="accent5" w:themeFillTint="66"/>
              <w:rPr>
                <w:rFonts w:eastAsia="MS Mincho"/>
                <w:color w:val="4472C4" w:themeColor="accent1"/>
                <w:sz w:val="20"/>
                <w:szCs w:val="20"/>
              </w:rPr>
            </w:pPr>
          </w:p>
        </w:tc>
      </w:tr>
      <w:tr w:rsidR="00FC6519" w:rsidRPr="006C550F" w14:paraId="6F1D1C50"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25C83E3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tcBorders>
              <w:left w:val="single" w:sz="4" w:space="0" w:color="auto"/>
              <w:right w:val="single" w:sz="4" w:space="0" w:color="auto"/>
            </w:tcBorders>
            <w:shd w:val="clear" w:color="auto" w:fill="BDD6EE" w:themeFill="accent5" w:themeFillTint="66"/>
            <w:vAlign w:val="center"/>
          </w:tcPr>
          <w:p w14:paraId="0E06F74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240</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3C48697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4102761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Ametoctradin</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1679EA6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111.5</w:t>
            </w:r>
          </w:p>
        </w:tc>
        <w:tc>
          <w:tcPr>
            <w:tcW w:w="653"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5E21A61D" w14:textId="77777777" w:rsidR="00FC6519" w:rsidRPr="006C550F" w:rsidRDefault="00FC6519" w:rsidP="006C550F">
            <w:pPr>
              <w:shd w:val="clear" w:color="auto" w:fill="BDD6EE" w:themeFill="accent5" w:themeFillTint="66"/>
              <w:rPr>
                <w:rFonts w:eastAsia="MS Mincho"/>
                <w:color w:val="4472C4" w:themeColor="accent1"/>
                <w:sz w:val="20"/>
                <w:szCs w:val="20"/>
              </w:rPr>
            </w:pPr>
            <w:r w:rsidRPr="006C550F">
              <w:rPr>
                <w:rFonts w:eastAsia="MS Mincho"/>
                <w:color w:val="000000" w:themeColor="text1"/>
                <w:sz w:val="20"/>
                <w:szCs w:val="20"/>
              </w:rPr>
              <w:t>Acute oral toxicity</w:t>
            </w:r>
          </w:p>
        </w:tc>
        <w:tc>
          <w:tcPr>
            <w:tcW w:w="638"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4BEE91AF" w14:textId="77777777" w:rsidR="00FC6519" w:rsidRPr="006C550F" w:rsidRDefault="00FC6519" w:rsidP="006C550F">
            <w:pPr>
              <w:shd w:val="clear" w:color="auto" w:fill="BDD6EE" w:themeFill="accent5" w:themeFillTint="66"/>
              <w:rPr>
                <w:rFonts w:eastAsia="MS Mincho"/>
                <w:color w:val="4472C4" w:themeColor="accent1"/>
                <w:sz w:val="20"/>
                <w:szCs w:val="20"/>
              </w:rPr>
            </w:pPr>
            <w:r w:rsidRPr="006C550F">
              <w:rPr>
                <w:rFonts w:eastAsia="MS Mincho"/>
                <w:color w:val="000000" w:themeColor="text1"/>
                <w:sz w:val="20"/>
                <w:szCs w:val="20"/>
              </w:rPr>
              <w:t>7.6</w:t>
            </w: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1A57B6A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&lt; 0.02</w:t>
            </w:r>
          </w:p>
        </w:tc>
        <w:tc>
          <w:tcPr>
            <w:tcW w:w="446" w:type="pct"/>
            <w:vMerge w:val="restar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3207C4F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0.2</w:t>
            </w:r>
          </w:p>
        </w:tc>
      </w:tr>
      <w:tr w:rsidR="00FC6519" w:rsidRPr="006C550F" w14:paraId="0FD872F7"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4AD4134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tcBorders>
              <w:left w:val="single" w:sz="4" w:space="0" w:color="auto"/>
              <w:right w:val="single" w:sz="4" w:space="0" w:color="auto"/>
            </w:tcBorders>
            <w:shd w:val="clear" w:color="auto" w:fill="BDD6EE" w:themeFill="accent5" w:themeFillTint="66"/>
            <w:vAlign w:val="center"/>
          </w:tcPr>
          <w:p w14:paraId="44F5AD6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902</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200AB50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55D0324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color w:val="000000" w:themeColor="text1"/>
                <w:sz w:val="20"/>
                <w:szCs w:val="20"/>
              </w:rPr>
              <w:t>Propamocarb-HCl</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2F267C8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84</w:t>
            </w:r>
          </w:p>
        </w:tc>
        <w:tc>
          <w:tcPr>
            <w:tcW w:w="653"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7283341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38"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2E72E87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094C21F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&lt; 0.08</w:t>
            </w:r>
          </w:p>
        </w:tc>
        <w:tc>
          <w:tcPr>
            <w:tcW w:w="446"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48C02F03" w14:textId="77777777" w:rsidR="00FC6519" w:rsidRPr="006C550F" w:rsidRDefault="00FC6519" w:rsidP="006C550F">
            <w:pPr>
              <w:shd w:val="clear" w:color="auto" w:fill="BDD6EE" w:themeFill="accent5" w:themeFillTint="66"/>
              <w:rPr>
                <w:rFonts w:eastAsia="MS Mincho"/>
                <w:color w:val="4472C4" w:themeColor="accent1"/>
                <w:sz w:val="20"/>
                <w:szCs w:val="20"/>
              </w:rPr>
            </w:pPr>
          </w:p>
        </w:tc>
      </w:tr>
      <w:tr w:rsidR="00FC6519" w:rsidRPr="006C550F" w14:paraId="0D646CCE"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7DBF1E4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vMerge w:val="restart"/>
            <w:tcBorders>
              <w:left w:val="single" w:sz="4" w:space="0" w:color="auto"/>
              <w:right w:val="single" w:sz="4" w:space="0" w:color="auto"/>
            </w:tcBorders>
            <w:shd w:val="clear" w:color="auto" w:fill="BDD6EE" w:themeFill="accent5" w:themeFillTint="66"/>
            <w:vAlign w:val="center"/>
          </w:tcPr>
          <w:p w14:paraId="27F9A4F9" w14:textId="77777777" w:rsidR="00FC6519" w:rsidRPr="006C550F" w:rsidRDefault="00FC6519" w:rsidP="006C550F">
            <w:pPr>
              <w:shd w:val="clear" w:color="auto" w:fill="BDD6EE" w:themeFill="accent5" w:themeFillTint="66"/>
              <w:rPr>
                <w:rFonts w:eastAsia="MS Mincho"/>
                <w:color w:val="4472C4" w:themeColor="accen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b)</w:t>
            </w: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2F3A9ED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76EBF19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03 F</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54A0587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&gt; 816</w:t>
            </w:r>
          </w:p>
        </w:tc>
        <w:tc>
          <w:tcPr>
            <w:tcW w:w="653"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266EBE00"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38"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017BC7A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04A6968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&lt; 0.02</w:t>
            </w:r>
          </w:p>
        </w:tc>
        <w:tc>
          <w:tcPr>
            <w:tcW w:w="446" w:type="pct"/>
            <w:vMerge/>
            <w:tcBorders>
              <w:left w:val="single" w:sz="4" w:space="0" w:color="auto"/>
              <w:right w:val="single" w:sz="4" w:space="0" w:color="auto"/>
            </w:tcBorders>
            <w:shd w:val="clear" w:color="auto" w:fill="BDD6EE" w:themeFill="accent5" w:themeFillTint="66"/>
            <w:tcMar>
              <w:left w:w="28" w:type="dxa"/>
              <w:right w:w="28" w:type="dxa"/>
            </w:tcMar>
            <w:vAlign w:val="center"/>
          </w:tcPr>
          <w:p w14:paraId="05EA6D01" w14:textId="77777777" w:rsidR="00FC6519" w:rsidRPr="006C550F" w:rsidRDefault="00FC6519" w:rsidP="006C550F">
            <w:pPr>
              <w:shd w:val="clear" w:color="auto" w:fill="BDD6EE" w:themeFill="accent5" w:themeFillTint="66"/>
              <w:rPr>
                <w:rFonts w:eastAsia="MS Mincho"/>
                <w:color w:val="4472C4" w:themeColor="accent1"/>
                <w:sz w:val="20"/>
                <w:szCs w:val="20"/>
              </w:rPr>
            </w:pPr>
          </w:p>
        </w:tc>
      </w:tr>
      <w:tr w:rsidR="00FC6519" w:rsidRPr="006C550F" w14:paraId="7FED95D2"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60AEE03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vMerge/>
            <w:tcBorders>
              <w:left w:val="single" w:sz="4" w:space="0" w:color="auto"/>
              <w:right w:val="single" w:sz="4" w:space="0" w:color="auto"/>
            </w:tcBorders>
            <w:shd w:val="clear" w:color="auto" w:fill="BDD6EE" w:themeFill="accent5" w:themeFillTint="66"/>
            <w:vAlign w:val="center"/>
          </w:tcPr>
          <w:p w14:paraId="2FDBBFD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63" w:type="pct"/>
            <w:tcBorders>
              <w:top w:val="single" w:sz="4" w:space="0" w:color="auto"/>
              <w:left w:val="single" w:sz="4" w:space="0" w:color="auto"/>
              <w:right w:val="single" w:sz="4" w:space="0" w:color="auto"/>
            </w:tcBorders>
            <w:shd w:val="clear" w:color="auto" w:fill="BDD6EE" w:themeFill="accent5" w:themeFillTint="66"/>
            <w:vAlign w:val="center"/>
          </w:tcPr>
          <w:p w14:paraId="1C5CA27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right w:val="single" w:sz="4" w:space="0" w:color="auto"/>
            </w:tcBorders>
            <w:shd w:val="clear" w:color="auto" w:fill="BDD6EE" w:themeFill="accent5" w:themeFillTint="66"/>
            <w:vAlign w:val="center"/>
          </w:tcPr>
          <w:p w14:paraId="28D1312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02 F*</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7C5880E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78.6</w:t>
            </w:r>
          </w:p>
        </w:tc>
        <w:tc>
          <w:tcPr>
            <w:tcW w:w="653" w:type="pc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6A56444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Chronic toxicity</w:t>
            </w:r>
          </w:p>
        </w:tc>
        <w:tc>
          <w:tcPr>
            <w:tcW w:w="638" w:type="pc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0A857B1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7.6</w:t>
            </w: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3DD0A090"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0.207</w:t>
            </w:r>
          </w:p>
        </w:tc>
        <w:tc>
          <w:tcPr>
            <w:tcW w:w="446" w:type="pct"/>
            <w:tcBorders>
              <w:top w:val="single" w:sz="4" w:space="0" w:color="auto"/>
              <w:left w:val="single" w:sz="4" w:space="0" w:color="auto"/>
              <w:right w:val="single" w:sz="4" w:space="0" w:color="auto"/>
            </w:tcBorders>
            <w:shd w:val="clear" w:color="auto" w:fill="BDD6EE" w:themeFill="accent5" w:themeFillTint="66"/>
            <w:tcMar>
              <w:left w:w="28" w:type="dxa"/>
              <w:right w:w="28" w:type="dxa"/>
            </w:tcMar>
            <w:vAlign w:val="center"/>
          </w:tcPr>
          <w:p w14:paraId="07AC816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0.03</w:t>
            </w:r>
          </w:p>
        </w:tc>
      </w:tr>
      <w:tr w:rsidR="00FC6519" w:rsidRPr="006C550F" w14:paraId="37D47CD5" w14:textId="77777777" w:rsidTr="00802A8C">
        <w:tc>
          <w:tcPr>
            <w:tcW w:w="492" w:type="pct"/>
            <w:vMerge/>
            <w:tcBorders>
              <w:left w:val="single" w:sz="4" w:space="0" w:color="auto"/>
              <w:right w:val="single" w:sz="4" w:space="0" w:color="auto"/>
            </w:tcBorders>
            <w:shd w:val="clear" w:color="auto" w:fill="BDD6EE" w:themeFill="accent5" w:themeFillTint="66"/>
            <w:vAlign w:val="center"/>
          </w:tcPr>
          <w:p w14:paraId="5899A31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616" w:type="pct"/>
            <w:vMerge/>
            <w:tcBorders>
              <w:left w:val="single" w:sz="4" w:space="0" w:color="auto"/>
              <w:right w:val="single" w:sz="4" w:space="0" w:color="auto"/>
            </w:tcBorders>
            <w:shd w:val="clear" w:color="auto" w:fill="BDD6EE" w:themeFill="accent5" w:themeFillTint="66"/>
            <w:vAlign w:val="center"/>
          </w:tcPr>
          <w:p w14:paraId="191237F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63"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6AF9E8A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HB</w:t>
            </w:r>
          </w:p>
        </w:tc>
        <w:tc>
          <w:tcPr>
            <w:tcW w:w="1011"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10602EE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02 F*</w:t>
            </w:r>
          </w:p>
        </w:tc>
        <w:tc>
          <w:tcPr>
            <w:tcW w:w="459" w:type="pct"/>
            <w:tcBorders>
              <w:top w:val="single" w:sz="4" w:space="0" w:color="auto"/>
              <w:left w:val="single" w:sz="4" w:space="0" w:color="auto"/>
              <w:right w:val="single" w:sz="4" w:space="0" w:color="auto"/>
            </w:tcBorders>
            <w:shd w:val="clear" w:color="auto" w:fill="BDD6EE" w:themeFill="accent5" w:themeFillTint="66"/>
            <w:vAlign w:val="center"/>
          </w:tcPr>
          <w:p w14:paraId="54F4501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39.1</w:t>
            </w:r>
          </w:p>
        </w:tc>
        <w:tc>
          <w:tcPr>
            <w:tcW w:w="653"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3BB0C1E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Bee larval toxicity</w:t>
            </w:r>
          </w:p>
        </w:tc>
        <w:tc>
          <w:tcPr>
            <w:tcW w:w="638"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070C261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322"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781F2D41"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0.24</w:t>
            </w:r>
          </w:p>
        </w:tc>
        <w:tc>
          <w:tcPr>
            <w:tcW w:w="446" w:type="pct"/>
            <w:tcBorders>
              <w:top w:val="single" w:sz="4" w:space="0" w:color="auto"/>
              <w:left w:val="single" w:sz="4" w:space="0" w:color="auto"/>
              <w:bottom w:val="single" w:sz="4" w:space="0" w:color="auto"/>
              <w:right w:val="single" w:sz="4" w:space="0" w:color="auto"/>
            </w:tcBorders>
            <w:shd w:val="clear" w:color="auto" w:fill="BDD6EE" w:themeFill="accent5" w:themeFillTint="66"/>
            <w:tcMar>
              <w:left w:w="28" w:type="dxa"/>
              <w:right w:w="28" w:type="dxa"/>
            </w:tcMar>
            <w:vAlign w:val="center"/>
          </w:tcPr>
          <w:p w14:paraId="5F18071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0.2</w:t>
            </w:r>
          </w:p>
        </w:tc>
      </w:tr>
    </w:tbl>
    <w:p w14:paraId="6DC5C6CD" w14:textId="77777777" w:rsidR="00FC6519" w:rsidRPr="006C550F" w:rsidRDefault="00FC6519" w:rsidP="006C550F">
      <w:pPr>
        <w:shd w:val="clear" w:color="auto" w:fill="BDD6EE" w:themeFill="accent5" w:themeFillTint="66"/>
        <w:jc w:val="both"/>
        <w:rPr>
          <w:rFonts w:eastAsia="MS Mincho"/>
          <w:color w:val="000000" w:themeColor="text1"/>
          <w:sz w:val="18"/>
          <w:szCs w:val="18"/>
        </w:rPr>
      </w:pPr>
      <w:r w:rsidRPr="006C550F">
        <w:rPr>
          <w:rFonts w:eastAsia="MS Mincho"/>
          <w:color w:val="000000" w:themeColor="text1"/>
          <w:sz w:val="18"/>
          <w:szCs w:val="18"/>
        </w:rPr>
        <w:t xml:space="preserve">HB: Honey bees; Ef: Exposure factor (= 1 for Screening Step for worst-case treated crop); SV: Shortcut Value; </w:t>
      </w:r>
      <w:r w:rsidRPr="006C550F">
        <w:rPr>
          <w:rFonts w:eastAsia="MS Mincho"/>
          <w:b/>
          <w:bCs/>
          <w:color w:val="000000" w:themeColor="text1"/>
          <w:sz w:val="18"/>
          <w:szCs w:val="18"/>
        </w:rPr>
        <w:t>bold</w:t>
      </w:r>
      <w:r w:rsidRPr="006C550F">
        <w:rPr>
          <w:rFonts w:eastAsia="MS Mincho"/>
          <w:color w:val="000000" w:themeColor="text1"/>
          <w:sz w:val="18"/>
          <w:szCs w:val="18"/>
        </w:rPr>
        <w:t>: HQ/ETR failing the assessment trigger for acceptability of risk.</w:t>
      </w:r>
    </w:p>
    <w:p w14:paraId="576894FE" w14:textId="77777777" w:rsidR="00FC6519" w:rsidRPr="006C550F" w:rsidRDefault="00FC6519" w:rsidP="006C550F">
      <w:pPr>
        <w:shd w:val="clear" w:color="auto" w:fill="BDD6EE" w:themeFill="accent5" w:themeFillTint="66"/>
        <w:jc w:val="both"/>
        <w:rPr>
          <w:rFonts w:eastAsia="MS Mincho"/>
          <w:color w:val="4472C4" w:themeColor="accent1"/>
          <w:sz w:val="18"/>
          <w:szCs w:val="18"/>
        </w:rPr>
      </w:pPr>
      <w:r w:rsidRPr="006C550F">
        <w:rPr>
          <w:rFonts w:eastAsia="MS Mincho"/>
          <w:color w:val="000000" w:themeColor="text1"/>
          <w:sz w:val="18"/>
          <w:szCs w:val="18"/>
          <w:vertAlign w:val="superscript"/>
        </w:rPr>
        <w:t>a)</w:t>
      </w:r>
      <w:r w:rsidRPr="006C550F">
        <w:rPr>
          <w:rFonts w:eastAsia="MS Mincho"/>
          <w:color w:val="000000" w:themeColor="text1"/>
          <w:sz w:val="18"/>
          <w:szCs w:val="18"/>
        </w:rPr>
        <w:t xml:space="preserve"> Covering the intended worst-case uses in potatoes, onions and fruiting vegetables</w:t>
      </w:r>
      <w:r w:rsidRPr="006C550F">
        <w:rPr>
          <w:rFonts w:eastAsia="MS Mincho"/>
          <w:color w:val="4472C4" w:themeColor="accent1"/>
          <w:sz w:val="18"/>
          <w:szCs w:val="18"/>
        </w:rPr>
        <w:t>.</w:t>
      </w:r>
    </w:p>
    <w:p w14:paraId="6228AB1D" w14:textId="77777777" w:rsidR="00FC6519" w:rsidRPr="006C550F" w:rsidRDefault="00FC6519" w:rsidP="006C550F">
      <w:pPr>
        <w:shd w:val="clear" w:color="auto" w:fill="BDD6EE" w:themeFill="accent5" w:themeFillTint="66"/>
        <w:jc w:val="both"/>
        <w:rPr>
          <w:color w:val="000000" w:themeColor="text1"/>
          <w:sz w:val="18"/>
          <w:szCs w:val="18"/>
        </w:rPr>
      </w:pPr>
      <w:r w:rsidRPr="006C550F">
        <w:rPr>
          <w:rFonts w:eastAsia="MS Mincho"/>
          <w:color w:val="000000" w:themeColor="text1"/>
          <w:sz w:val="18"/>
          <w:szCs w:val="18"/>
          <w:vertAlign w:val="superscript"/>
        </w:rPr>
        <w:t>b)</w:t>
      </w:r>
      <w:r w:rsidRPr="006C550F">
        <w:rPr>
          <w:rFonts w:eastAsia="MS Mincho"/>
          <w:color w:val="000000" w:themeColor="text1"/>
          <w:sz w:val="18"/>
          <w:szCs w:val="18"/>
        </w:rPr>
        <w:t xml:space="preserve"> Based on an application rate of 2 L product/L and </w:t>
      </w:r>
      <w:r w:rsidRPr="006C550F">
        <w:rPr>
          <w:color w:val="000000" w:themeColor="text1"/>
          <w:sz w:val="18"/>
          <w:szCs w:val="18"/>
        </w:rPr>
        <w:t>the density of BAS 743 03 F of 1.071 g/cm</w:t>
      </w:r>
      <w:r w:rsidRPr="006C550F">
        <w:rPr>
          <w:color w:val="000000" w:themeColor="text1"/>
          <w:sz w:val="18"/>
          <w:szCs w:val="18"/>
          <w:vertAlign w:val="superscript"/>
        </w:rPr>
        <w:t>3</w:t>
      </w:r>
      <w:r w:rsidRPr="006C550F">
        <w:rPr>
          <w:color w:val="000000" w:themeColor="text1"/>
          <w:sz w:val="18"/>
          <w:szCs w:val="18"/>
        </w:rPr>
        <w:t>.</w:t>
      </w:r>
    </w:p>
    <w:p w14:paraId="4D396561" w14:textId="77777777" w:rsidR="00FC6519" w:rsidRPr="006C550F" w:rsidRDefault="00FC6519" w:rsidP="006C550F">
      <w:pPr>
        <w:keepNext/>
        <w:keepLines/>
        <w:shd w:val="clear" w:color="auto" w:fill="BDD6EE" w:themeFill="accent5" w:themeFillTint="66"/>
        <w:suppressAutoHyphens/>
        <w:autoSpaceDE w:val="0"/>
        <w:autoSpaceDN w:val="0"/>
        <w:adjustRightInd w:val="0"/>
        <w:ind w:left="284" w:hanging="284"/>
        <w:jc w:val="both"/>
        <w:rPr>
          <w:color w:val="000000" w:themeColor="text1"/>
          <w:sz w:val="18"/>
          <w:szCs w:val="18"/>
          <w:lang w:val="en-GB"/>
        </w:rPr>
      </w:pPr>
      <w:r w:rsidRPr="006C550F">
        <w:rPr>
          <w:color w:val="000000" w:themeColor="text1"/>
          <w:sz w:val="18"/>
          <w:szCs w:val="18"/>
        </w:rPr>
        <w:t>*</w:t>
      </w:r>
      <w:r w:rsidRPr="006C550F">
        <w:rPr>
          <w:color w:val="000000" w:themeColor="text1"/>
          <w:sz w:val="18"/>
          <w:szCs w:val="18"/>
        </w:rPr>
        <w:tab/>
        <w:t>Study was conducted with the similar formulation BAS 743 02 F containing 137.1 g/L Ametoctradin and 515.4 g/L Propamocarb-HCl.</w:t>
      </w:r>
    </w:p>
    <w:p w14:paraId="2DF31F05" w14:textId="77777777" w:rsidR="00FC6519" w:rsidRPr="006C550F" w:rsidRDefault="00FC6519" w:rsidP="006C550F">
      <w:pPr>
        <w:shd w:val="clear" w:color="auto" w:fill="BDD6EE" w:themeFill="accent5" w:themeFillTint="66"/>
        <w:jc w:val="both"/>
        <w:rPr>
          <w:rFonts w:eastAsia="MS Mincho"/>
          <w:color w:val="000000" w:themeColor="text1"/>
          <w:lang w:val="en-GB"/>
        </w:rPr>
      </w:pPr>
    </w:p>
    <w:p w14:paraId="62F9C20E" w14:textId="77777777" w:rsidR="00FC6519" w:rsidRPr="006C550F" w:rsidRDefault="00FC6519" w:rsidP="006C550F">
      <w:pPr>
        <w:shd w:val="clear" w:color="auto" w:fill="BDD6EE" w:themeFill="accent5" w:themeFillTint="66"/>
        <w:rPr>
          <w:color w:val="000000" w:themeColor="text1"/>
        </w:rPr>
      </w:pPr>
    </w:p>
    <w:p w14:paraId="2296789E" w14:textId="77777777" w:rsidR="00FC6519" w:rsidRPr="006C550F" w:rsidRDefault="00FC6519" w:rsidP="006C550F">
      <w:pPr>
        <w:shd w:val="clear" w:color="auto" w:fill="BDD6EE" w:themeFill="accent5" w:themeFillTint="66"/>
        <w:jc w:val="both"/>
        <w:rPr>
          <w:color w:val="000000" w:themeColor="text1"/>
        </w:rPr>
      </w:pPr>
      <w:r w:rsidRPr="006C550F">
        <w:rPr>
          <w:color w:val="000000" w:themeColor="text1"/>
        </w:rPr>
        <w:t>Accordingly, based on Screening Step assessments, an acceptable acute risk is indicated for the intended uses.</w:t>
      </w:r>
    </w:p>
    <w:p w14:paraId="019DFD99" w14:textId="77777777" w:rsidR="00FC6519" w:rsidRPr="006C550F" w:rsidRDefault="00FC6519" w:rsidP="006C550F">
      <w:pPr>
        <w:shd w:val="clear" w:color="auto" w:fill="BDD6EE" w:themeFill="accent5" w:themeFillTint="66"/>
        <w:rPr>
          <w:color w:val="000000" w:themeColor="text1"/>
        </w:rPr>
      </w:pPr>
    </w:p>
    <w:p w14:paraId="251692E7" w14:textId="77777777" w:rsidR="00FC6519" w:rsidRPr="006C550F" w:rsidRDefault="00FC6519" w:rsidP="006C550F">
      <w:pPr>
        <w:shd w:val="clear" w:color="auto" w:fill="BDD6EE" w:themeFill="accent5" w:themeFillTint="66"/>
        <w:jc w:val="both"/>
        <w:rPr>
          <w:color w:val="000000" w:themeColor="text1"/>
        </w:rPr>
      </w:pPr>
      <w:r w:rsidRPr="006C550F">
        <w:rPr>
          <w:color w:val="000000" w:themeColor="text1"/>
        </w:rPr>
        <w:lastRenderedPageBreak/>
        <w:t>Based on the data for the formulated product, potential chronic risk for adult honeybees and honeybee larvae cannot be excluded based on Screening Step assessments. In the following table, Tier 1 level chronic risk assessments are presented.</w:t>
      </w:r>
    </w:p>
    <w:p w14:paraId="6E0E63DC" w14:textId="77777777" w:rsidR="00FC6519" w:rsidRPr="006C550F" w:rsidRDefault="00FC6519" w:rsidP="006C550F">
      <w:pPr>
        <w:shd w:val="clear" w:color="auto" w:fill="BDD6EE" w:themeFill="accent5" w:themeFillTint="66"/>
        <w:rPr>
          <w:color w:val="000000" w:themeColor="text1"/>
        </w:rPr>
      </w:pPr>
    </w:p>
    <w:p w14:paraId="3919E040" w14:textId="77777777" w:rsidR="00FC6519" w:rsidRPr="006C550F" w:rsidRDefault="00FC6519" w:rsidP="006C550F">
      <w:pPr>
        <w:shd w:val="clear" w:color="auto" w:fill="BDD6EE" w:themeFill="accent5" w:themeFillTint="66"/>
        <w:rPr>
          <w:rFonts w:eastAsia="MS Mincho"/>
          <w:b/>
          <w:bCs/>
          <w:color w:val="000000" w:themeColor="text1"/>
        </w:rPr>
      </w:pPr>
      <w:r w:rsidRPr="006C550F">
        <w:rPr>
          <w:b/>
          <w:bCs/>
          <w:color w:val="000000" w:themeColor="text1"/>
        </w:rPr>
        <w:t xml:space="preserve">Table </w:t>
      </w:r>
      <w:r w:rsidRPr="006C550F">
        <w:rPr>
          <w:b/>
          <w:bCs/>
          <w:color w:val="000000" w:themeColor="text1"/>
        </w:rPr>
        <w:fldChar w:fldCharType="begin"/>
      </w:r>
      <w:r w:rsidRPr="006C550F">
        <w:rPr>
          <w:b/>
          <w:bCs/>
          <w:color w:val="000000" w:themeColor="text1"/>
        </w:rPr>
        <w:instrText xml:space="preserve"> STYLEREF 2 \s </w:instrText>
      </w:r>
      <w:r w:rsidRPr="006C550F">
        <w:rPr>
          <w:b/>
          <w:bCs/>
          <w:color w:val="000000" w:themeColor="text1"/>
        </w:rPr>
        <w:fldChar w:fldCharType="separate"/>
      </w:r>
      <w:r w:rsidRPr="006C550F">
        <w:rPr>
          <w:b/>
          <w:bCs/>
          <w:noProof/>
          <w:color w:val="000000" w:themeColor="text1"/>
        </w:rPr>
        <w:t>9.6</w:t>
      </w:r>
      <w:r w:rsidRPr="006C550F">
        <w:rPr>
          <w:b/>
          <w:bCs/>
          <w:noProof/>
          <w:color w:val="000000" w:themeColor="text1"/>
        </w:rPr>
        <w:fldChar w:fldCharType="end"/>
      </w:r>
      <w:r w:rsidRPr="006C550F">
        <w:rPr>
          <w:b/>
          <w:bCs/>
          <w:color w:val="000000" w:themeColor="text1"/>
        </w:rPr>
        <w:noBreakHyphen/>
        <w:t>8:</w:t>
      </w:r>
      <w:r w:rsidRPr="006C550F">
        <w:rPr>
          <w:b/>
          <w:bCs/>
          <w:color w:val="000000" w:themeColor="text1"/>
        </w:rPr>
        <w:tab/>
        <w:t>Tier 1 assessment of the chronic risk for honey bees due to the uses of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hemeFill="accent5" w:themeFillTint="66"/>
        <w:tblCellMar>
          <w:left w:w="28" w:type="dxa"/>
          <w:right w:w="28" w:type="dxa"/>
        </w:tblCellMar>
        <w:tblLook w:val="04A0" w:firstRow="1" w:lastRow="0" w:firstColumn="1" w:lastColumn="0" w:noHBand="0" w:noVBand="1"/>
      </w:tblPr>
      <w:tblGrid>
        <w:gridCol w:w="1050"/>
        <w:gridCol w:w="1038"/>
        <w:gridCol w:w="948"/>
        <w:gridCol w:w="1004"/>
        <w:gridCol w:w="1034"/>
        <w:gridCol w:w="838"/>
        <w:gridCol w:w="640"/>
        <w:gridCol w:w="647"/>
        <w:gridCol w:w="421"/>
        <w:gridCol w:w="543"/>
        <w:gridCol w:w="537"/>
        <w:gridCol w:w="645"/>
      </w:tblGrid>
      <w:tr w:rsidR="00FC6519" w:rsidRPr="006C550F" w14:paraId="71C54CFA" w14:textId="77777777" w:rsidTr="00802A8C">
        <w:trPr>
          <w:tblHeader/>
        </w:trPr>
        <w:tc>
          <w:tcPr>
            <w:tcW w:w="571" w:type="pct"/>
            <w:shd w:val="clear" w:color="auto" w:fill="BDD6EE" w:themeFill="accent5" w:themeFillTint="66"/>
            <w:vAlign w:val="center"/>
          </w:tcPr>
          <w:p w14:paraId="30BCDA15"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Crop(s)</w:t>
            </w:r>
          </w:p>
        </w:tc>
        <w:tc>
          <w:tcPr>
            <w:tcW w:w="564" w:type="pct"/>
            <w:shd w:val="clear" w:color="auto" w:fill="BDD6EE" w:themeFill="accent5" w:themeFillTint="66"/>
            <w:tcMar>
              <w:left w:w="28" w:type="dxa"/>
              <w:right w:w="28" w:type="dxa"/>
            </w:tcMar>
            <w:vAlign w:val="center"/>
          </w:tcPr>
          <w:p w14:paraId="58072182"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Maximum single use rate</w:t>
            </w:r>
          </w:p>
          <w:p w14:paraId="249D55D0"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[g/ha]</w:t>
            </w:r>
          </w:p>
        </w:tc>
        <w:tc>
          <w:tcPr>
            <w:tcW w:w="516" w:type="pct"/>
            <w:shd w:val="clear" w:color="auto" w:fill="BDD6EE" w:themeFill="accent5" w:themeFillTint="66"/>
            <w:vAlign w:val="center"/>
          </w:tcPr>
          <w:p w14:paraId="42F1E162"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Test item</w:t>
            </w:r>
          </w:p>
        </w:tc>
        <w:tc>
          <w:tcPr>
            <w:tcW w:w="546" w:type="pct"/>
            <w:shd w:val="clear" w:color="auto" w:fill="BDD6EE" w:themeFill="accent5" w:themeFillTint="66"/>
            <w:tcMar>
              <w:left w:w="28" w:type="dxa"/>
              <w:right w:w="28" w:type="dxa"/>
            </w:tcMar>
            <w:vAlign w:val="center"/>
          </w:tcPr>
          <w:p w14:paraId="546037C1"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Endpoint</w:t>
            </w:r>
          </w:p>
          <w:p w14:paraId="0A47C813"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[µg a.s./bee]</w:t>
            </w:r>
          </w:p>
        </w:tc>
        <w:tc>
          <w:tcPr>
            <w:tcW w:w="467" w:type="pct"/>
            <w:shd w:val="clear" w:color="auto" w:fill="BDD6EE" w:themeFill="accent5" w:themeFillTint="66"/>
            <w:tcMar>
              <w:left w:w="28" w:type="dxa"/>
              <w:right w:w="28" w:type="dxa"/>
            </w:tcMar>
            <w:vAlign w:val="center"/>
          </w:tcPr>
          <w:p w14:paraId="7ED33606"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Assessment</w:t>
            </w:r>
          </w:p>
        </w:tc>
        <w:tc>
          <w:tcPr>
            <w:tcW w:w="457" w:type="pct"/>
            <w:shd w:val="clear" w:color="auto" w:fill="BDD6EE" w:themeFill="accent5" w:themeFillTint="66"/>
            <w:vAlign w:val="center"/>
          </w:tcPr>
          <w:p w14:paraId="07CC7C12"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Scenario</w:t>
            </w:r>
          </w:p>
        </w:tc>
        <w:tc>
          <w:tcPr>
            <w:tcW w:w="351" w:type="pct"/>
            <w:shd w:val="clear" w:color="auto" w:fill="BDD6EE" w:themeFill="accent5" w:themeFillTint="66"/>
            <w:vAlign w:val="center"/>
          </w:tcPr>
          <w:p w14:paraId="4AC063A1"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BBCH</w:t>
            </w:r>
          </w:p>
        </w:tc>
        <w:tc>
          <w:tcPr>
            <w:tcW w:w="355" w:type="pct"/>
            <w:shd w:val="clear" w:color="auto" w:fill="BDD6EE" w:themeFill="accent5" w:themeFillTint="66"/>
            <w:vAlign w:val="center"/>
          </w:tcPr>
          <w:p w14:paraId="51BAEDF4"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Ef</w:t>
            </w:r>
          </w:p>
        </w:tc>
        <w:tc>
          <w:tcPr>
            <w:tcW w:w="234" w:type="pct"/>
            <w:shd w:val="clear" w:color="auto" w:fill="BDD6EE" w:themeFill="accent5" w:themeFillTint="66"/>
            <w:vAlign w:val="center"/>
          </w:tcPr>
          <w:p w14:paraId="0B479B03"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SV</w:t>
            </w:r>
          </w:p>
        </w:tc>
        <w:tc>
          <w:tcPr>
            <w:tcW w:w="299" w:type="pct"/>
            <w:shd w:val="clear" w:color="auto" w:fill="BDD6EE" w:themeFill="accent5" w:themeFillTint="66"/>
            <w:tcMar>
              <w:left w:w="28" w:type="dxa"/>
              <w:right w:w="28" w:type="dxa"/>
            </w:tcMar>
            <w:vAlign w:val="center"/>
          </w:tcPr>
          <w:p w14:paraId="55126EBF"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TWA</w:t>
            </w:r>
          </w:p>
        </w:tc>
        <w:tc>
          <w:tcPr>
            <w:tcW w:w="296" w:type="pct"/>
            <w:shd w:val="clear" w:color="auto" w:fill="BDD6EE" w:themeFill="accent5" w:themeFillTint="66"/>
            <w:tcMar>
              <w:left w:w="28" w:type="dxa"/>
              <w:right w:w="28" w:type="dxa"/>
            </w:tcMar>
            <w:vAlign w:val="center"/>
          </w:tcPr>
          <w:p w14:paraId="3F2F791E"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ETR</w:t>
            </w:r>
          </w:p>
        </w:tc>
        <w:tc>
          <w:tcPr>
            <w:tcW w:w="345" w:type="pct"/>
            <w:shd w:val="clear" w:color="auto" w:fill="BDD6EE" w:themeFill="accent5" w:themeFillTint="66"/>
            <w:tcMar>
              <w:left w:w="28" w:type="dxa"/>
              <w:right w:w="28" w:type="dxa"/>
            </w:tcMar>
            <w:vAlign w:val="center"/>
          </w:tcPr>
          <w:p w14:paraId="1B4644AC"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ETR trigger</w:t>
            </w:r>
          </w:p>
        </w:tc>
      </w:tr>
      <w:tr w:rsidR="00FC6519" w:rsidRPr="006C550F" w14:paraId="337DBE22" w14:textId="77777777" w:rsidTr="00802A8C">
        <w:tc>
          <w:tcPr>
            <w:tcW w:w="571" w:type="pct"/>
            <w:vMerge w:val="restart"/>
            <w:shd w:val="clear" w:color="auto" w:fill="BDD6EE" w:themeFill="accent5" w:themeFillTint="66"/>
            <w:vAlign w:val="center"/>
          </w:tcPr>
          <w:p w14:paraId="39271280" w14:textId="77777777" w:rsidR="00FC6519" w:rsidRPr="006C550F" w:rsidRDefault="00FC6519" w:rsidP="006C550F">
            <w:pPr>
              <w:shd w:val="clear" w:color="auto" w:fill="BDD6EE" w:themeFill="accent5" w:themeFillTint="66"/>
              <w:rPr>
                <w:rFonts w:eastAsia="MS Mincho"/>
                <w:color w:val="000000" w:themeColor="text1"/>
                <w:sz w:val="20"/>
                <w:szCs w:val="20"/>
              </w:rPr>
            </w:pPr>
            <w:bookmarkStart w:id="567" w:name="_Hlk159416917"/>
            <w:r w:rsidRPr="006C550F">
              <w:rPr>
                <w:rFonts w:eastAsia="MS Mincho"/>
                <w:color w:val="000000" w:themeColor="text1"/>
                <w:sz w:val="20"/>
                <w:szCs w:val="20"/>
              </w:rPr>
              <w:t>Potatoes</w:t>
            </w:r>
          </w:p>
        </w:tc>
        <w:tc>
          <w:tcPr>
            <w:tcW w:w="564" w:type="pct"/>
            <w:vMerge w:val="restart"/>
            <w:shd w:val="clear" w:color="auto" w:fill="BDD6EE" w:themeFill="accent5" w:themeFillTint="66"/>
            <w:vAlign w:val="center"/>
          </w:tcPr>
          <w:p w14:paraId="2AFD7FC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a)</w:t>
            </w:r>
          </w:p>
        </w:tc>
        <w:tc>
          <w:tcPr>
            <w:tcW w:w="516" w:type="pct"/>
            <w:vMerge w:val="restart"/>
            <w:shd w:val="clear" w:color="auto" w:fill="BDD6EE" w:themeFill="accent5" w:themeFillTint="66"/>
            <w:vAlign w:val="center"/>
          </w:tcPr>
          <w:p w14:paraId="5A1B055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02 F*</w:t>
            </w:r>
          </w:p>
        </w:tc>
        <w:tc>
          <w:tcPr>
            <w:tcW w:w="546" w:type="pct"/>
            <w:vMerge w:val="restart"/>
            <w:shd w:val="clear" w:color="auto" w:fill="BDD6EE" w:themeFill="accent5" w:themeFillTint="66"/>
            <w:tcMar>
              <w:left w:w="28" w:type="dxa"/>
              <w:right w:w="28" w:type="dxa"/>
            </w:tcMar>
            <w:vAlign w:val="center"/>
          </w:tcPr>
          <w:p w14:paraId="59A9194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78.6</w:t>
            </w:r>
          </w:p>
        </w:tc>
        <w:tc>
          <w:tcPr>
            <w:tcW w:w="467" w:type="pct"/>
            <w:vMerge w:val="restart"/>
            <w:shd w:val="clear" w:color="auto" w:fill="BDD6EE" w:themeFill="accent5" w:themeFillTint="66"/>
            <w:tcMar>
              <w:left w:w="28" w:type="dxa"/>
              <w:right w:w="28" w:type="dxa"/>
            </w:tcMar>
            <w:vAlign w:val="center"/>
          </w:tcPr>
          <w:p w14:paraId="473C5D0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Chronic toxicity</w:t>
            </w:r>
          </w:p>
        </w:tc>
        <w:tc>
          <w:tcPr>
            <w:tcW w:w="457" w:type="pct"/>
            <w:vMerge w:val="restart"/>
            <w:shd w:val="clear" w:color="auto" w:fill="BDD6EE" w:themeFill="accent5" w:themeFillTint="66"/>
            <w:vAlign w:val="center"/>
          </w:tcPr>
          <w:p w14:paraId="71C9253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4CA582C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0495DC9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043C425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0.92</w:t>
            </w:r>
          </w:p>
        </w:tc>
        <w:tc>
          <w:tcPr>
            <w:tcW w:w="299" w:type="pct"/>
            <w:vMerge w:val="restart"/>
            <w:shd w:val="clear" w:color="auto" w:fill="BDD6EE" w:themeFill="accent5" w:themeFillTint="66"/>
            <w:tcMar>
              <w:left w:w="28" w:type="dxa"/>
              <w:right w:w="28" w:type="dxa"/>
            </w:tcMar>
            <w:vAlign w:val="center"/>
          </w:tcPr>
          <w:p w14:paraId="16CA6B1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0.72</w:t>
            </w:r>
          </w:p>
        </w:tc>
        <w:tc>
          <w:tcPr>
            <w:tcW w:w="296" w:type="pct"/>
            <w:shd w:val="clear" w:color="auto" w:fill="BDD6EE" w:themeFill="accent5" w:themeFillTint="66"/>
            <w:tcMar>
              <w:left w:w="28" w:type="dxa"/>
              <w:right w:w="28" w:type="dxa"/>
            </w:tcMar>
            <w:vAlign w:val="center"/>
          </w:tcPr>
          <w:p w14:paraId="6E79FBA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0.018</w:t>
            </w:r>
          </w:p>
        </w:tc>
        <w:tc>
          <w:tcPr>
            <w:tcW w:w="345" w:type="pct"/>
            <w:vMerge w:val="restart"/>
            <w:shd w:val="clear" w:color="auto" w:fill="BDD6EE" w:themeFill="accent5" w:themeFillTint="66"/>
            <w:tcMar>
              <w:left w:w="28" w:type="dxa"/>
              <w:right w:w="28" w:type="dxa"/>
            </w:tcMar>
            <w:vAlign w:val="center"/>
          </w:tcPr>
          <w:p w14:paraId="58B85AB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0.03</w:t>
            </w:r>
          </w:p>
        </w:tc>
      </w:tr>
      <w:tr w:rsidR="00FC6519" w:rsidRPr="006C550F" w14:paraId="52D05F7A" w14:textId="77777777" w:rsidTr="00802A8C">
        <w:tc>
          <w:tcPr>
            <w:tcW w:w="571" w:type="pct"/>
            <w:vMerge/>
            <w:shd w:val="clear" w:color="auto" w:fill="BDD6EE" w:themeFill="accent5" w:themeFillTint="66"/>
            <w:vAlign w:val="center"/>
          </w:tcPr>
          <w:p w14:paraId="79F3DE0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B9A0E9C"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02F3C9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F33E5A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4FE73D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0ADDE9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941DDD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EE757E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C24A6A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0.92</w:t>
            </w:r>
          </w:p>
        </w:tc>
        <w:tc>
          <w:tcPr>
            <w:tcW w:w="299" w:type="pct"/>
            <w:vMerge/>
            <w:shd w:val="clear" w:color="auto" w:fill="BDD6EE" w:themeFill="accent5" w:themeFillTint="66"/>
            <w:tcMar>
              <w:left w:w="28" w:type="dxa"/>
              <w:right w:w="28" w:type="dxa"/>
            </w:tcMar>
            <w:vAlign w:val="center"/>
          </w:tcPr>
          <w:p w14:paraId="351AAED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BB3055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0.018</w:t>
            </w:r>
          </w:p>
        </w:tc>
        <w:tc>
          <w:tcPr>
            <w:tcW w:w="345" w:type="pct"/>
            <w:vMerge/>
            <w:shd w:val="clear" w:color="auto" w:fill="BDD6EE" w:themeFill="accent5" w:themeFillTint="66"/>
            <w:tcMar>
              <w:left w:w="28" w:type="dxa"/>
              <w:right w:w="28" w:type="dxa"/>
            </w:tcMar>
            <w:vAlign w:val="center"/>
          </w:tcPr>
          <w:p w14:paraId="7DE199A6"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9468EB1" w14:textId="77777777" w:rsidTr="00802A8C">
        <w:tc>
          <w:tcPr>
            <w:tcW w:w="571" w:type="pct"/>
            <w:vMerge/>
            <w:shd w:val="clear" w:color="auto" w:fill="BDD6EE" w:themeFill="accent5" w:themeFillTint="66"/>
            <w:vAlign w:val="center"/>
          </w:tcPr>
          <w:p w14:paraId="1EEBB3F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53650DF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66D5656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3A0858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030373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4C3B77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36117D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4EDC1F8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DB2F72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w:t>
            </w:r>
          </w:p>
        </w:tc>
        <w:tc>
          <w:tcPr>
            <w:tcW w:w="299" w:type="pct"/>
            <w:vMerge/>
            <w:shd w:val="clear" w:color="auto" w:fill="BDD6EE" w:themeFill="accent5" w:themeFillTint="66"/>
            <w:tcMar>
              <w:left w:w="28" w:type="dxa"/>
              <w:right w:w="28" w:type="dxa"/>
            </w:tcMar>
            <w:vAlign w:val="center"/>
          </w:tcPr>
          <w:p w14:paraId="05C177D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6A1ECAD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3A599219"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C160942" w14:textId="77777777" w:rsidTr="00802A8C">
        <w:tc>
          <w:tcPr>
            <w:tcW w:w="571" w:type="pct"/>
            <w:vMerge/>
            <w:shd w:val="clear" w:color="auto" w:fill="BDD6EE" w:themeFill="accent5" w:themeFillTint="66"/>
            <w:vAlign w:val="center"/>
          </w:tcPr>
          <w:p w14:paraId="42DCEC5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306305B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61DE337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4691FB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FF388B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6CD2079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5079FD9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7302DD6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FF3A34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50CCFC3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62F4C71C"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0.057</w:t>
            </w:r>
          </w:p>
        </w:tc>
        <w:tc>
          <w:tcPr>
            <w:tcW w:w="345" w:type="pct"/>
            <w:vMerge/>
            <w:shd w:val="clear" w:color="auto" w:fill="BDD6EE" w:themeFill="accent5" w:themeFillTint="66"/>
            <w:tcMar>
              <w:left w:w="28" w:type="dxa"/>
              <w:right w:w="28" w:type="dxa"/>
            </w:tcMar>
            <w:vAlign w:val="center"/>
          </w:tcPr>
          <w:p w14:paraId="6387640C"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05DDBC3" w14:textId="77777777" w:rsidTr="00802A8C">
        <w:tc>
          <w:tcPr>
            <w:tcW w:w="571" w:type="pct"/>
            <w:vMerge/>
            <w:shd w:val="clear" w:color="auto" w:fill="BDD6EE" w:themeFill="accent5" w:themeFillTint="66"/>
            <w:vAlign w:val="center"/>
          </w:tcPr>
          <w:p w14:paraId="546E0E3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D23C9F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106EF5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219308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B66926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490BD1C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57B5B4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486999B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163BFDE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1687F4F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8CC5E3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0.017</w:t>
            </w:r>
          </w:p>
        </w:tc>
        <w:tc>
          <w:tcPr>
            <w:tcW w:w="345" w:type="pct"/>
            <w:vMerge/>
            <w:shd w:val="clear" w:color="auto" w:fill="BDD6EE" w:themeFill="accent5" w:themeFillTint="66"/>
            <w:tcMar>
              <w:left w:w="28" w:type="dxa"/>
              <w:right w:w="28" w:type="dxa"/>
            </w:tcMar>
            <w:vAlign w:val="center"/>
          </w:tcPr>
          <w:p w14:paraId="53488687"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69551FC" w14:textId="77777777" w:rsidTr="00802A8C">
        <w:tc>
          <w:tcPr>
            <w:tcW w:w="571" w:type="pct"/>
            <w:vMerge/>
            <w:shd w:val="clear" w:color="auto" w:fill="BDD6EE" w:themeFill="accent5" w:themeFillTint="66"/>
            <w:vAlign w:val="center"/>
          </w:tcPr>
          <w:p w14:paraId="4BC47ED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4C42BE0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7809D5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5C20A5B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B821D2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9A5E39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C192A7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1C7FE96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722924B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2F71C78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B00AAD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0.017</w:t>
            </w:r>
          </w:p>
        </w:tc>
        <w:tc>
          <w:tcPr>
            <w:tcW w:w="345" w:type="pct"/>
            <w:vMerge/>
            <w:shd w:val="clear" w:color="auto" w:fill="BDD6EE" w:themeFill="accent5" w:themeFillTint="66"/>
            <w:tcMar>
              <w:left w:w="28" w:type="dxa"/>
              <w:right w:w="28" w:type="dxa"/>
            </w:tcMar>
            <w:vAlign w:val="center"/>
          </w:tcPr>
          <w:p w14:paraId="23A5B173"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7203178" w14:textId="77777777" w:rsidTr="00802A8C">
        <w:tc>
          <w:tcPr>
            <w:tcW w:w="571" w:type="pct"/>
            <w:vMerge/>
            <w:shd w:val="clear" w:color="auto" w:fill="BDD6EE" w:themeFill="accent5" w:themeFillTint="66"/>
            <w:vAlign w:val="center"/>
          </w:tcPr>
          <w:p w14:paraId="4976F5C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73BFCD3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20300BA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6E3C9FE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6D003C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52E3B5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29A6719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7160553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17B1208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0138B75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7DDC96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1284AE52"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AC61788" w14:textId="77777777" w:rsidTr="00802A8C">
        <w:tc>
          <w:tcPr>
            <w:tcW w:w="571" w:type="pct"/>
            <w:vMerge/>
            <w:shd w:val="clear" w:color="auto" w:fill="BDD6EE" w:themeFill="accent5" w:themeFillTint="66"/>
            <w:vAlign w:val="center"/>
          </w:tcPr>
          <w:p w14:paraId="79168C7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711813E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3BFD72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1AD344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CBC5EF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4194004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5DB4F6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981F15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7913948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7F35F2A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3AAFB5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6179DAA7"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77EE0829" w14:textId="77777777" w:rsidTr="00802A8C">
        <w:tc>
          <w:tcPr>
            <w:tcW w:w="571" w:type="pct"/>
            <w:vMerge/>
            <w:shd w:val="clear" w:color="auto" w:fill="BDD6EE" w:themeFill="accent5" w:themeFillTint="66"/>
            <w:vAlign w:val="center"/>
          </w:tcPr>
          <w:p w14:paraId="3C816E3C"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4C6EC59E"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50A025B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AD4168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572121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242CC14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40011E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71BC3CA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5D6F120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091293A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8B6EE4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0CDF91E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A296E4F" w14:textId="77777777" w:rsidTr="00802A8C">
        <w:tc>
          <w:tcPr>
            <w:tcW w:w="571" w:type="pct"/>
            <w:vMerge/>
            <w:shd w:val="clear" w:color="auto" w:fill="BDD6EE" w:themeFill="accent5" w:themeFillTint="66"/>
            <w:vAlign w:val="center"/>
          </w:tcPr>
          <w:p w14:paraId="01BC0FA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6B1056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702A3AA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1F192CE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3DB724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34BCE78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4E0A69E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008C95B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2C57363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28C7951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BAEEEF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5112D2A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DE79B15" w14:textId="77777777" w:rsidTr="00802A8C">
        <w:tc>
          <w:tcPr>
            <w:tcW w:w="571" w:type="pct"/>
            <w:vMerge/>
            <w:shd w:val="clear" w:color="auto" w:fill="BDD6EE" w:themeFill="accent5" w:themeFillTint="66"/>
            <w:vAlign w:val="center"/>
          </w:tcPr>
          <w:p w14:paraId="0279B00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163DD6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F30B95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B432D0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B241B8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340A85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4285ED9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6F87C3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25C32DD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4BC175D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7D31E9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594A2E85"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7196F31F" w14:textId="77777777" w:rsidTr="00802A8C">
        <w:tc>
          <w:tcPr>
            <w:tcW w:w="571" w:type="pct"/>
            <w:vMerge/>
            <w:shd w:val="clear" w:color="auto" w:fill="BDD6EE" w:themeFill="accent5" w:themeFillTint="66"/>
            <w:vAlign w:val="center"/>
          </w:tcPr>
          <w:p w14:paraId="0935244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56BDCC1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A4AE0A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59921C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4EB201E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E0095C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177E9B0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6F0D598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6E30FDB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6882359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664FA3A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1846DCF2"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BC3822D" w14:textId="77777777" w:rsidTr="00802A8C">
        <w:tc>
          <w:tcPr>
            <w:tcW w:w="571" w:type="pct"/>
            <w:vMerge/>
            <w:shd w:val="clear" w:color="auto" w:fill="BDD6EE" w:themeFill="accent5" w:themeFillTint="66"/>
            <w:vAlign w:val="center"/>
          </w:tcPr>
          <w:p w14:paraId="46F9E9D7"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7C8CC76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FCB972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071DAF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AEA8AA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02D6F13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0AF1365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62BF92B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A6D935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08BB31E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076199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1DC0E2A4"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B9B633F" w14:textId="77777777" w:rsidTr="00802A8C">
        <w:tc>
          <w:tcPr>
            <w:tcW w:w="571" w:type="pct"/>
            <w:vMerge/>
            <w:shd w:val="clear" w:color="auto" w:fill="BDD6EE" w:themeFill="accent5" w:themeFillTint="66"/>
            <w:vAlign w:val="center"/>
          </w:tcPr>
          <w:p w14:paraId="6665AE9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65E7EA8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D1D8A80"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157063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42969B9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26DCA6E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51" w:type="pct"/>
            <w:shd w:val="clear" w:color="auto" w:fill="BDD6EE" w:themeFill="accent5" w:themeFillTint="66"/>
            <w:vAlign w:val="center"/>
          </w:tcPr>
          <w:p w14:paraId="79FB059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E1160D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BBE12B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75E0F02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16A547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773872DC"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BD6579C" w14:textId="77777777" w:rsidTr="00802A8C">
        <w:tc>
          <w:tcPr>
            <w:tcW w:w="571" w:type="pct"/>
            <w:vMerge/>
            <w:shd w:val="clear" w:color="auto" w:fill="BDD6EE" w:themeFill="accent5" w:themeFillTint="66"/>
            <w:vAlign w:val="center"/>
          </w:tcPr>
          <w:p w14:paraId="233B558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364C2C1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2344AD0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1CAF89C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1544E6F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0F5D658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51" w:type="pct"/>
            <w:shd w:val="clear" w:color="auto" w:fill="BDD6EE" w:themeFill="accent5" w:themeFillTint="66"/>
            <w:vAlign w:val="center"/>
          </w:tcPr>
          <w:p w14:paraId="0D0BBC3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163F4B5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153B050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143CBA0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8B897B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5CA25CF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CF641AC" w14:textId="77777777" w:rsidTr="00802A8C">
        <w:tc>
          <w:tcPr>
            <w:tcW w:w="571" w:type="pct"/>
            <w:vMerge/>
            <w:shd w:val="clear" w:color="auto" w:fill="BDD6EE" w:themeFill="accent5" w:themeFillTint="66"/>
            <w:vAlign w:val="center"/>
          </w:tcPr>
          <w:p w14:paraId="48EBE59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CD4D87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2C80D63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val="restart"/>
            <w:shd w:val="clear" w:color="auto" w:fill="BDD6EE" w:themeFill="accent5" w:themeFillTint="66"/>
            <w:tcMar>
              <w:left w:w="28" w:type="dxa"/>
              <w:right w:w="28" w:type="dxa"/>
            </w:tcMar>
            <w:vAlign w:val="center"/>
          </w:tcPr>
          <w:p w14:paraId="65A71AC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39.1</w:t>
            </w:r>
          </w:p>
        </w:tc>
        <w:tc>
          <w:tcPr>
            <w:tcW w:w="467" w:type="pct"/>
            <w:vMerge w:val="restart"/>
            <w:shd w:val="clear" w:color="auto" w:fill="BDD6EE" w:themeFill="accent5" w:themeFillTint="66"/>
            <w:tcMar>
              <w:left w:w="28" w:type="dxa"/>
              <w:right w:w="28" w:type="dxa"/>
            </w:tcMar>
            <w:vAlign w:val="center"/>
          </w:tcPr>
          <w:p w14:paraId="56BA33F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Bee larval toxicity</w:t>
            </w:r>
          </w:p>
        </w:tc>
        <w:tc>
          <w:tcPr>
            <w:tcW w:w="457" w:type="pct"/>
            <w:vMerge w:val="restart"/>
            <w:shd w:val="clear" w:color="auto" w:fill="BDD6EE" w:themeFill="accent5" w:themeFillTint="66"/>
            <w:vAlign w:val="center"/>
          </w:tcPr>
          <w:p w14:paraId="4069042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17D1B34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62D6589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5412925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0.15</w:t>
            </w:r>
          </w:p>
        </w:tc>
        <w:tc>
          <w:tcPr>
            <w:tcW w:w="299" w:type="pct"/>
            <w:vMerge w:val="restart"/>
            <w:shd w:val="clear" w:color="auto" w:fill="BDD6EE" w:themeFill="accent5" w:themeFillTint="66"/>
            <w:tcMar>
              <w:left w:w="28" w:type="dxa"/>
              <w:right w:w="28" w:type="dxa"/>
            </w:tcMar>
            <w:vAlign w:val="center"/>
          </w:tcPr>
          <w:p w14:paraId="678517D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0.85</w:t>
            </w:r>
          </w:p>
        </w:tc>
        <w:tc>
          <w:tcPr>
            <w:tcW w:w="296" w:type="pct"/>
            <w:shd w:val="clear" w:color="auto" w:fill="BDD6EE" w:themeFill="accent5" w:themeFillTint="66"/>
            <w:tcMar>
              <w:left w:w="28" w:type="dxa"/>
              <w:right w:w="28" w:type="dxa"/>
            </w:tcMar>
            <w:vAlign w:val="center"/>
          </w:tcPr>
          <w:p w14:paraId="77F0F6E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w:t>
            </w:r>
          </w:p>
        </w:tc>
        <w:tc>
          <w:tcPr>
            <w:tcW w:w="345" w:type="pct"/>
            <w:vMerge w:val="restart"/>
            <w:shd w:val="clear" w:color="auto" w:fill="BDD6EE" w:themeFill="accent5" w:themeFillTint="66"/>
            <w:tcMar>
              <w:left w:w="28" w:type="dxa"/>
              <w:right w:w="28" w:type="dxa"/>
            </w:tcMar>
            <w:vAlign w:val="center"/>
          </w:tcPr>
          <w:p w14:paraId="723C437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0.2</w:t>
            </w:r>
          </w:p>
        </w:tc>
      </w:tr>
      <w:tr w:rsidR="00FC6519" w:rsidRPr="006C550F" w14:paraId="4DF5C328" w14:textId="77777777" w:rsidTr="00802A8C">
        <w:tc>
          <w:tcPr>
            <w:tcW w:w="571" w:type="pct"/>
            <w:vMerge/>
            <w:shd w:val="clear" w:color="auto" w:fill="BDD6EE" w:themeFill="accent5" w:themeFillTint="66"/>
            <w:vAlign w:val="center"/>
          </w:tcPr>
          <w:p w14:paraId="5E421190"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7A8B65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E6869E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56B34FC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80974F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5DD90D7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AE71B2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F09571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46023B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0.15</w:t>
            </w:r>
          </w:p>
        </w:tc>
        <w:tc>
          <w:tcPr>
            <w:tcW w:w="299" w:type="pct"/>
            <w:vMerge/>
            <w:shd w:val="clear" w:color="auto" w:fill="BDD6EE" w:themeFill="accent5" w:themeFillTint="66"/>
            <w:tcMar>
              <w:left w:w="28" w:type="dxa"/>
              <w:right w:w="28" w:type="dxa"/>
            </w:tcMar>
            <w:vAlign w:val="center"/>
          </w:tcPr>
          <w:p w14:paraId="5746189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7292F4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w:t>
            </w:r>
          </w:p>
        </w:tc>
        <w:tc>
          <w:tcPr>
            <w:tcW w:w="345" w:type="pct"/>
            <w:vMerge/>
            <w:shd w:val="clear" w:color="auto" w:fill="BDD6EE" w:themeFill="accent5" w:themeFillTint="66"/>
            <w:tcMar>
              <w:left w:w="28" w:type="dxa"/>
              <w:right w:w="28" w:type="dxa"/>
            </w:tcMar>
            <w:vAlign w:val="center"/>
          </w:tcPr>
          <w:p w14:paraId="4208281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C5448A0" w14:textId="77777777" w:rsidTr="00802A8C">
        <w:tc>
          <w:tcPr>
            <w:tcW w:w="571" w:type="pct"/>
            <w:vMerge/>
            <w:shd w:val="clear" w:color="auto" w:fill="BDD6EE" w:themeFill="accent5" w:themeFillTint="66"/>
            <w:vAlign w:val="center"/>
          </w:tcPr>
          <w:p w14:paraId="684CAB1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604CC88E"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7CB6CDB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BFE04E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B0EC04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FF40E2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0CFF99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45A7B0D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D38C3E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w:t>
            </w:r>
          </w:p>
        </w:tc>
        <w:tc>
          <w:tcPr>
            <w:tcW w:w="299" w:type="pct"/>
            <w:vMerge/>
            <w:shd w:val="clear" w:color="auto" w:fill="BDD6EE" w:themeFill="accent5" w:themeFillTint="66"/>
            <w:tcMar>
              <w:left w:w="28" w:type="dxa"/>
              <w:right w:w="28" w:type="dxa"/>
            </w:tcMar>
            <w:vAlign w:val="center"/>
          </w:tcPr>
          <w:p w14:paraId="15C18F3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DA0710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4F1CBB8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68E951ED" w14:textId="77777777" w:rsidTr="00802A8C">
        <w:tc>
          <w:tcPr>
            <w:tcW w:w="571" w:type="pct"/>
            <w:vMerge/>
            <w:shd w:val="clear" w:color="auto" w:fill="BDD6EE" w:themeFill="accent5" w:themeFillTint="66"/>
            <w:vAlign w:val="center"/>
          </w:tcPr>
          <w:p w14:paraId="6872D64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893257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6010ADC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7AE8896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45ED39B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38CD26B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3153C5A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75D34D5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64B1E7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4ADC412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EBC360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0.10</w:t>
            </w:r>
          </w:p>
        </w:tc>
        <w:tc>
          <w:tcPr>
            <w:tcW w:w="345" w:type="pct"/>
            <w:vMerge/>
            <w:shd w:val="clear" w:color="auto" w:fill="BDD6EE" w:themeFill="accent5" w:themeFillTint="66"/>
            <w:tcMar>
              <w:left w:w="28" w:type="dxa"/>
              <w:right w:w="28" w:type="dxa"/>
            </w:tcMar>
            <w:vAlign w:val="center"/>
          </w:tcPr>
          <w:p w14:paraId="15729C78"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5075F54" w14:textId="77777777" w:rsidTr="00802A8C">
        <w:tc>
          <w:tcPr>
            <w:tcW w:w="571" w:type="pct"/>
            <w:vMerge/>
            <w:shd w:val="clear" w:color="auto" w:fill="BDD6EE" w:themeFill="accent5" w:themeFillTint="66"/>
            <w:vAlign w:val="center"/>
          </w:tcPr>
          <w:p w14:paraId="59F8E2F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3C28E15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759DA3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1D15436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3C69A1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0511FA2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1DB6CB4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08A0B76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18A90A7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2803507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232F23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0.03</w:t>
            </w:r>
          </w:p>
        </w:tc>
        <w:tc>
          <w:tcPr>
            <w:tcW w:w="345" w:type="pct"/>
            <w:vMerge/>
            <w:shd w:val="clear" w:color="auto" w:fill="BDD6EE" w:themeFill="accent5" w:themeFillTint="66"/>
            <w:tcMar>
              <w:left w:w="28" w:type="dxa"/>
              <w:right w:w="28" w:type="dxa"/>
            </w:tcMar>
            <w:vAlign w:val="center"/>
          </w:tcPr>
          <w:p w14:paraId="17842EE2"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9850E59" w14:textId="77777777" w:rsidTr="00802A8C">
        <w:tc>
          <w:tcPr>
            <w:tcW w:w="571" w:type="pct"/>
            <w:vMerge/>
            <w:shd w:val="clear" w:color="auto" w:fill="BDD6EE" w:themeFill="accent5" w:themeFillTint="66"/>
            <w:vAlign w:val="center"/>
          </w:tcPr>
          <w:p w14:paraId="46E1017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4101236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63B891C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ABCFA8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EE2C25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5C4736A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3308D95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7585F62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2F412E6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729EF9F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7E867E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0.03</w:t>
            </w:r>
          </w:p>
        </w:tc>
        <w:tc>
          <w:tcPr>
            <w:tcW w:w="345" w:type="pct"/>
            <w:vMerge/>
            <w:shd w:val="clear" w:color="auto" w:fill="BDD6EE" w:themeFill="accent5" w:themeFillTint="66"/>
            <w:tcMar>
              <w:left w:w="28" w:type="dxa"/>
              <w:right w:w="28" w:type="dxa"/>
            </w:tcMar>
            <w:vAlign w:val="center"/>
          </w:tcPr>
          <w:p w14:paraId="09E7B7DB"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6AC467C1" w14:textId="77777777" w:rsidTr="00802A8C">
        <w:tc>
          <w:tcPr>
            <w:tcW w:w="571" w:type="pct"/>
            <w:vMerge/>
            <w:shd w:val="clear" w:color="auto" w:fill="BDD6EE" w:themeFill="accent5" w:themeFillTint="66"/>
            <w:vAlign w:val="center"/>
          </w:tcPr>
          <w:p w14:paraId="2084323E"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0A883A0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27281A8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88DA48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CED847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3EFFB6A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730DF97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7A27D57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6535400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46E6018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0D50EE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08A9879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DA32C9A" w14:textId="77777777" w:rsidTr="00802A8C">
        <w:tc>
          <w:tcPr>
            <w:tcW w:w="571" w:type="pct"/>
            <w:vMerge/>
            <w:shd w:val="clear" w:color="auto" w:fill="BDD6EE" w:themeFill="accent5" w:themeFillTint="66"/>
            <w:vAlign w:val="center"/>
          </w:tcPr>
          <w:p w14:paraId="0BCD34A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5A6A1C0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3C1E9D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134F13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7178EF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DD4A9D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2839C1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E078D5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72C6604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3F677E0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05B638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4D054133"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DFC14E5" w14:textId="77777777" w:rsidTr="00802A8C">
        <w:tc>
          <w:tcPr>
            <w:tcW w:w="571" w:type="pct"/>
            <w:vMerge/>
            <w:shd w:val="clear" w:color="auto" w:fill="BDD6EE" w:themeFill="accent5" w:themeFillTint="66"/>
            <w:vAlign w:val="center"/>
          </w:tcPr>
          <w:p w14:paraId="57F2E77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CA679B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997AE1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AFE1E3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1DAF65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5829E5F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A68E81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059C714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5DB2901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264F111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424F321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73415F9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6E25565D" w14:textId="77777777" w:rsidTr="00802A8C">
        <w:tc>
          <w:tcPr>
            <w:tcW w:w="571" w:type="pct"/>
            <w:vMerge/>
            <w:shd w:val="clear" w:color="auto" w:fill="BDD6EE" w:themeFill="accent5" w:themeFillTint="66"/>
            <w:vAlign w:val="center"/>
          </w:tcPr>
          <w:p w14:paraId="3ABA5927"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9FAFD5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CD5DA1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31C2B8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ABF847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04A4EB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0DBB32E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619D838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72CB3B7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79B610C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8ADE77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2295F6A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813D6E0" w14:textId="77777777" w:rsidTr="00802A8C">
        <w:tc>
          <w:tcPr>
            <w:tcW w:w="571" w:type="pct"/>
            <w:vMerge/>
            <w:shd w:val="clear" w:color="auto" w:fill="BDD6EE" w:themeFill="accent5" w:themeFillTint="66"/>
            <w:vAlign w:val="center"/>
          </w:tcPr>
          <w:p w14:paraId="296F0FDE"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4C088A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947095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53E41E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4073C31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4111B3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F4D9AC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F373B3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74E7FAB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028ACFE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25656B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65487741"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1FDC188" w14:textId="77777777" w:rsidTr="00802A8C">
        <w:tc>
          <w:tcPr>
            <w:tcW w:w="571" w:type="pct"/>
            <w:vMerge/>
            <w:shd w:val="clear" w:color="auto" w:fill="BDD6EE" w:themeFill="accent5" w:themeFillTint="66"/>
            <w:vAlign w:val="center"/>
          </w:tcPr>
          <w:p w14:paraId="1C27162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28AD581"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32D73D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1C16E2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4AC65E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54CD1EB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C1F176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2FD0F57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7E65175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073E3BC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98817D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75073EB6"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89CFD51" w14:textId="77777777" w:rsidTr="00802A8C">
        <w:tc>
          <w:tcPr>
            <w:tcW w:w="571" w:type="pct"/>
            <w:vMerge/>
            <w:shd w:val="clear" w:color="auto" w:fill="BDD6EE" w:themeFill="accent5" w:themeFillTint="66"/>
            <w:vAlign w:val="center"/>
          </w:tcPr>
          <w:p w14:paraId="6EF64A28"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7987D2DE"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6AB1960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9D6068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2C53D6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43D1D33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63A0B84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27CB3B3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3AAB6D4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5D8BC40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5ED650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0F4A189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46DD23C" w14:textId="77777777" w:rsidTr="00802A8C">
        <w:tc>
          <w:tcPr>
            <w:tcW w:w="571" w:type="pct"/>
            <w:vMerge/>
            <w:shd w:val="clear" w:color="auto" w:fill="BDD6EE" w:themeFill="accent5" w:themeFillTint="66"/>
            <w:vAlign w:val="center"/>
          </w:tcPr>
          <w:p w14:paraId="29AEDE5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3493DE16"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27BBB3D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66EFA56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2AA7B1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1415DE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33BB348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FDA732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A7FCE9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4426797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30F6E1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51FEBB8C"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FCF4F59" w14:textId="77777777" w:rsidTr="00802A8C">
        <w:tc>
          <w:tcPr>
            <w:tcW w:w="571" w:type="pct"/>
            <w:vMerge/>
            <w:shd w:val="clear" w:color="auto" w:fill="BDD6EE" w:themeFill="accent5" w:themeFillTint="66"/>
            <w:vAlign w:val="center"/>
          </w:tcPr>
          <w:p w14:paraId="7427229B"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C679A3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D93AD82"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5742E4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4520B37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29182E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3575A8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793947A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257FDF9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35B2583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5EDEE3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63D8D0C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5587E95" w14:textId="77777777" w:rsidTr="00802A8C">
        <w:tc>
          <w:tcPr>
            <w:tcW w:w="571" w:type="pct"/>
            <w:vMerge w:val="restart"/>
            <w:shd w:val="clear" w:color="auto" w:fill="BDD6EE" w:themeFill="accent5" w:themeFillTint="66"/>
            <w:vAlign w:val="center"/>
          </w:tcPr>
          <w:p w14:paraId="1F23BB0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lastRenderedPageBreak/>
              <w:t>Onions</w:t>
            </w:r>
          </w:p>
          <w:p w14:paraId="38CA25F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(bulb vegetables)</w:t>
            </w:r>
          </w:p>
        </w:tc>
        <w:tc>
          <w:tcPr>
            <w:tcW w:w="564" w:type="pct"/>
            <w:vMerge w:val="restart"/>
            <w:shd w:val="clear" w:color="auto" w:fill="BDD6EE" w:themeFill="accent5" w:themeFillTint="66"/>
            <w:vAlign w:val="center"/>
          </w:tcPr>
          <w:p w14:paraId="3E1FB10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a)</w:t>
            </w:r>
          </w:p>
        </w:tc>
        <w:tc>
          <w:tcPr>
            <w:tcW w:w="516" w:type="pct"/>
            <w:vMerge w:val="restart"/>
            <w:shd w:val="clear" w:color="auto" w:fill="BDD6EE" w:themeFill="accent5" w:themeFillTint="66"/>
            <w:vAlign w:val="center"/>
          </w:tcPr>
          <w:p w14:paraId="60D71EC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02 F*</w:t>
            </w:r>
          </w:p>
        </w:tc>
        <w:tc>
          <w:tcPr>
            <w:tcW w:w="546" w:type="pct"/>
            <w:vMerge w:val="restart"/>
            <w:shd w:val="clear" w:color="auto" w:fill="BDD6EE" w:themeFill="accent5" w:themeFillTint="66"/>
            <w:tcMar>
              <w:left w:w="28" w:type="dxa"/>
              <w:right w:w="28" w:type="dxa"/>
            </w:tcMar>
            <w:vAlign w:val="center"/>
          </w:tcPr>
          <w:p w14:paraId="37C48BD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78.6</w:t>
            </w:r>
          </w:p>
        </w:tc>
        <w:tc>
          <w:tcPr>
            <w:tcW w:w="467" w:type="pct"/>
            <w:vMerge w:val="restart"/>
            <w:shd w:val="clear" w:color="auto" w:fill="BDD6EE" w:themeFill="accent5" w:themeFillTint="66"/>
            <w:tcMar>
              <w:left w:w="28" w:type="dxa"/>
              <w:right w:w="28" w:type="dxa"/>
            </w:tcMar>
            <w:vAlign w:val="center"/>
          </w:tcPr>
          <w:p w14:paraId="0A357EE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Chronic toxicity</w:t>
            </w:r>
          </w:p>
        </w:tc>
        <w:tc>
          <w:tcPr>
            <w:tcW w:w="457" w:type="pct"/>
            <w:vMerge w:val="restart"/>
            <w:shd w:val="clear" w:color="auto" w:fill="BDD6EE" w:themeFill="accent5" w:themeFillTint="66"/>
            <w:vAlign w:val="center"/>
          </w:tcPr>
          <w:p w14:paraId="4151A4C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742A553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17149F7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0D36426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val="restart"/>
            <w:shd w:val="clear" w:color="auto" w:fill="BDD6EE" w:themeFill="accent5" w:themeFillTint="66"/>
            <w:tcMar>
              <w:left w:w="28" w:type="dxa"/>
              <w:right w:w="28" w:type="dxa"/>
            </w:tcMar>
            <w:vAlign w:val="center"/>
          </w:tcPr>
          <w:p w14:paraId="759EC07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0.72</w:t>
            </w:r>
          </w:p>
        </w:tc>
        <w:tc>
          <w:tcPr>
            <w:tcW w:w="296" w:type="pct"/>
            <w:shd w:val="clear" w:color="auto" w:fill="BDD6EE" w:themeFill="accent5" w:themeFillTint="66"/>
            <w:tcMar>
              <w:left w:w="28" w:type="dxa"/>
              <w:right w:w="28" w:type="dxa"/>
            </w:tcMar>
            <w:vAlign w:val="center"/>
          </w:tcPr>
          <w:p w14:paraId="664A548B"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0.114</w:t>
            </w:r>
          </w:p>
        </w:tc>
        <w:tc>
          <w:tcPr>
            <w:tcW w:w="345" w:type="pct"/>
            <w:vMerge w:val="restart"/>
            <w:shd w:val="clear" w:color="auto" w:fill="BDD6EE" w:themeFill="accent5" w:themeFillTint="66"/>
            <w:tcMar>
              <w:left w:w="28" w:type="dxa"/>
              <w:right w:w="28" w:type="dxa"/>
            </w:tcMar>
            <w:vAlign w:val="center"/>
          </w:tcPr>
          <w:p w14:paraId="4C9A451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0.03</w:t>
            </w:r>
          </w:p>
        </w:tc>
      </w:tr>
      <w:tr w:rsidR="00FC6519" w:rsidRPr="006C550F" w14:paraId="61A174EB" w14:textId="77777777" w:rsidTr="00802A8C">
        <w:tc>
          <w:tcPr>
            <w:tcW w:w="571" w:type="pct"/>
            <w:vMerge/>
            <w:shd w:val="clear" w:color="auto" w:fill="BDD6EE" w:themeFill="accent5" w:themeFillTint="66"/>
            <w:vAlign w:val="center"/>
          </w:tcPr>
          <w:p w14:paraId="3EFCF91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9EBB9F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334A532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45650D3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0B9794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66DB73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A1B65F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823A79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AE15D8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42CD6EF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E27B82D"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0.114</w:t>
            </w:r>
          </w:p>
        </w:tc>
        <w:tc>
          <w:tcPr>
            <w:tcW w:w="345" w:type="pct"/>
            <w:vMerge/>
            <w:shd w:val="clear" w:color="auto" w:fill="BDD6EE" w:themeFill="accent5" w:themeFillTint="66"/>
            <w:tcMar>
              <w:left w:w="28" w:type="dxa"/>
              <w:right w:w="28" w:type="dxa"/>
            </w:tcMar>
            <w:vAlign w:val="center"/>
          </w:tcPr>
          <w:p w14:paraId="34D16F2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500A5DF9" w14:textId="77777777" w:rsidTr="00802A8C">
        <w:tc>
          <w:tcPr>
            <w:tcW w:w="571" w:type="pct"/>
            <w:vMerge/>
            <w:shd w:val="clear" w:color="auto" w:fill="BDD6EE" w:themeFill="accent5" w:themeFillTint="66"/>
            <w:vAlign w:val="center"/>
          </w:tcPr>
          <w:p w14:paraId="0A0F481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74D89B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4A86EB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CAC68C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4D3B7AC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7DE1BC6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5806417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03096D8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1BBBE05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119911B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84A64BD"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0.057</w:t>
            </w:r>
          </w:p>
        </w:tc>
        <w:tc>
          <w:tcPr>
            <w:tcW w:w="345" w:type="pct"/>
            <w:vMerge/>
            <w:shd w:val="clear" w:color="auto" w:fill="BDD6EE" w:themeFill="accent5" w:themeFillTint="66"/>
            <w:tcMar>
              <w:left w:w="28" w:type="dxa"/>
              <w:right w:w="28" w:type="dxa"/>
            </w:tcMar>
            <w:vAlign w:val="center"/>
          </w:tcPr>
          <w:p w14:paraId="190781C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6DBAC37B" w14:textId="77777777" w:rsidTr="00802A8C">
        <w:tc>
          <w:tcPr>
            <w:tcW w:w="571" w:type="pct"/>
            <w:vMerge/>
            <w:shd w:val="clear" w:color="auto" w:fill="BDD6EE" w:themeFill="accent5" w:themeFillTint="66"/>
            <w:vAlign w:val="center"/>
          </w:tcPr>
          <w:p w14:paraId="38C3F98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5148118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4D6047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1765CE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4D7576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43FB39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4AD9D77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222CA74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0.6</w:t>
            </w:r>
          </w:p>
        </w:tc>
        <w:tc>
          <w:tcPr>
            <w:tcW w:w="234" w:type="pct"/>
            <w:shd w:val="clear" w:color="auto" w:fill="BDD6EE" w:themeFill="accent5" w:themeFillTint="66"/>
            <w:vAlign w:val="center"/>
          </w:tcPr>
          <w:p w14:paraId="2619687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37C88C3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3B91485"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0.034</w:t>
            </w:r>
          </w:p>
        </w:tc>
        <w:tc>
          <w:tcPr>
            <w:tcW w:w="345" w:type="pct"/>
            <w:vMerge/>
            <w:shd w:val="clear" w:color="auto" w:fill="BDD6EE" w:themeFill="accent5" w:themeFillTint="66"/>
            <w:tcMar>
              <w:left w:w="28" w:type="dxa"/>
              <w:right w:w="28" w:type="dxa"/>
            </w:tcMar>
            <w:vAlign w:val="center"/>
          </w:tcPr>
          <w:p w14:paraId="0E54FEA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28670F57" w14:textId="77777777" w:rsidTr="00802A8C">
        <w:tc>
          <w:tcPr>
            <w:tcW w:w="571" w:type="pct"/>
            <w:vMerge/>
            <w:shd w:val="clear" w:color="auto" w:fill="BDD6EE" w:themeFill="accent5" w:themeFillTint="66"/>
            <w:vAlign w:val="center"/>
          </w:tcPr>
          <w:p w14:paraId="30EA2BF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22A553F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3B92C4C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894F4C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57EEC8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0145C5E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6CC5D8E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7D1DFEC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02C462A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430A51D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DF2EB3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6B3697B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7F72745C" w14:textId="77777777" w:rsidTr="00802A8C">
        <w:tc>
          <w:tcPr>
            <w:tcW w:w="571" w:type="pct"/>
            <w:vMerge/>
            <w:shd w:val="clear" w:color="auto" w:fill="BDD6EE" w:themeFill="accent5" w:themeFillTint="66"/>
            <w:vAlign w:val="center"/>
          </w:tcPr>
          <w:p w14:paraId="14C4379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694DA5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78A2B6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6AB0E84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FCC23B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584071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510D9B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527E268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4C985D4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0C3F905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D92074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662DA07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515145B1" w14:textId="77777777" w:rsidTr="00802A8C">
        <w:tc>
          <w:tcPr>
            <w:tcW w:w="571" w:type="pct"/>
            <w:vMerge/>
            <w:shd w:val="clear" w:color="auto" w:fill="BDD6EE" w:themeFill="accent5" w:themeFillTint="66"/>
            <w:vAlign w:val="center"/>
          </w:tcPr>
          <w:p w14:paraId="64E6D9E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742E6D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2C9D764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2FCE7A6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F3A6C4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F58B5B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2940D44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371B64C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30F5213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47084AC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42930D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5B43C10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30FB57E5" w14:textId="77777777" w:rsidTr="00802A8C">
        <w:tc>
          <w:tcPr>
            <w:tcW w:w="571" w:type="pct"/>
            <w:vMerge/>
            <w:shd w:val="clear" w:color="auto" w:fill="BDD6EE" w:themeFill="accent5" w:themeFillTint="66"/>
            <w:vAlign w:val="center"/>
          </w:tcPr>
          <w:p w14:paraId="35EB85D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2779A00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7FFE1FF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531D094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BF95AE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4822458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5D17F6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111002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743F0C4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31C6667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355D47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2EC404D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27BF48F4" w14:textId="77777777" w:rsidTr="00802A8C">
        <w:tc>
          <w:tcPr>
            <w:tcW w:w="571" w:type="pct"/>
            <w:vMerge/>
            <w:shd w:val="clear" w:color="auto" w:fill="BDD6EE" w:themeFill="accent5" w:themeFillTint="66"/>
            <w:vAlign w:val="center"/>
          </w:tcPr>
          <w:p w14:paraId="3567BC3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7AC638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B72C17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5C754F3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B6BFDE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8F7EDA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7A658AC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248A672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CA3780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5640042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0ECFA3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4E477E2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11D3E6C1" w14:textId="77777777" w:rsidTr="00802A8C">
        <w:tc>
          <w:tcPr>
            <w:tcW w:w="571" w:type="pct"/>
            <w:vMerge/>
            <w:shd w:val="clear" w:color="auto" w:fill="BDD6EE" w:themeFill="accent5" w:themeFillTint="66"/>
            <w:vAlign w:val="center"/>
          </w:tcPr>
          <w:p w14:paraId="705E879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75857D1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1D1D646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BA0A28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C88AF6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2BCB98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D26976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7C8C4EE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2DBC863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34765ED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C2092E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48AF8D7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r>
      <w:tr w:rsidR="00FC6519" w:rsidRPr="006C550F" w14:paraId="1D2E5C5A" w14:textId="77777777" w:rsidTr="00802A8C">
        <w:tc>
          <w:tcPr>
            <w:tcW w:w="571" w:type="pct"/>
            <w:vMerge/>
            <w:shd w:val="clear" w:color="auto" w:fill="BDD6EE" w:themeFill="accent5" w:themeFillTint="66"/>
            <w:vAlign w:val="center"/>
          </w:tcPr>
          <w:p w14:paraId="094834A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217FF5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DACB52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546" w:type="pct"/>
            <w:vMerge w:val="restart"/>
            <w:shd w:val="clear" w:color="auto" w:fill="BDD6EE" w:themeFill="accent5" w:themeFillTint="66"/>
            <w:tcMar>
              <w:left w:w="28" w:type="dxa"/>
              <w:right w:w="28" w:type="dxa"/>
            </w:tcMar>
            <w:vAlign w:val="center"/>
          </w:tcPr>
          <w:p w14:paraId="45AE8A9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39.1</w:t>
            </w:r>
          </w:p>
        </w:tc>
        <w:tc>
          <w:tcPr>
            <w:tcW w:w="467" w:type="pct"/>
            <w:vMerge w:val="restart"/>
            <w:shd w:val="clear" w:color="auto" w:fill="BDD6EE" w:themeFill="accent5" w:themeFillTint="66"/>
            <w:tcMar>
              <w:left w:w="28" w:type="dxa"/>
              <w:right w:w="28" w:type="dxa"/>
            </w:tcMar>
            <w:vAlign w:val="center"/>
          </w:tcPr>
          <w:p w14:paraId="54085CA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Bee larval toxicity</w:t>
            </w:r>
          </w:p>
        </w:tc>
        <w:tc>
          <w:tcPr>
            <w:tcW w:w="457" w:type="pct"/>
            <w:vMerge w:val="restart"/>
            <w:shd w:val="clear" w:color="auto" w:fill="BDD6EE" w:themeFill="accent5" w:themeFillTint="66"/>
            <w:vAlign w:val="center"/>
          </w:tcPr>
          <w:p w14:paraId="5FD79F0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6DFBBA8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6D2F029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3F82398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val="restart"/>
            <w:shd w:val="clear" w:color="auto" w:fill="BDD6EE" w:themeFill="accent5" w:themeFillTint="66"/>
            <w:tcMar>
              <w:left w:w="28" w:type="dxa"/>
              <w:right w:w="28" w:type="dxa"/>
            </w:tcMar>
            <w:vAlign w:val="center"/>
          </w:tcPr>
          <w:p w14:paraId="01E613E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0.85</w:t>
            </w:r>
          </w:p>
        </w:tc>
        <w:tc>
          <w:tcPr>
            <w:tcW w:w="296" w:type="pct"/>
            <w:shd w:val="clear" w:color="auto" w:fill="BDD6EE" w:themeFill="accent5" w:themeFillTint="66"/>
            <w:tcMar>
              <w:left w:w="28" w:type="dxa"/>
              <w:right w:w="28" w:type="dxa"/>
            </w:tcMar>
            <w:vAlign w:val="center"/>
          </w:tcPr>
          <w:p w14:paraId="7296B4FF"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0.20</w:t>
            </w:r>
          </w:p>
        </w:tc>
        <w:tc>
          <w:tcPr>
            <w:tcW w:w="345" w:type="pct"/>
            <w:vMerge w:val="restart"/>
            <w:shd w:val="clear" w:color="auto" w:fill="BDD6EE" w:themeFill="accent5" w:themeFillTint="66"/>
            <w:tcMar>
              <w:left w:w="28" w:type="dxa"/>
              <w:right w:w="28" w:type="dxa"/>
            </w:tcMar>
            <w:vAlign w:val="center"/>
          </w:tcPr>
          <w:p w14:paraId="1AAA954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0.2</w:t>
            </w:r>
          </w:p>
        </w:tc>
      </w:tr>
      <w:tr w:rsidR="00FC6519" w:rsidRPr="006C550F" w14:paraId="607317DB" w14:textId="77777777" w:rsidTr="00802A8C">
        <w:tc>
          <w:tcPr>
            <w:tcW w:w="571" w:type="pct"/>
            <w:vMerge/>
            <w:shd w:val="clear" w:color="auto" w:fill="BDD6EE" w:themeFill="accent5" w:themeFillTint="66"/>
            <w:vAlign w:val="center"/>
          </w:tcPr>
          <w:p w14:paraId="1699B71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211073B"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24F262C"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1782141"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68A0881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191C427"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01EF84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F280CEB"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7E846BA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3922336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01A61CF" w14:textId="77777777" w:rsidR="00FC6519" w:rsidRPr="006C550F" w:rsidRDefault="00FC6519" w:rsidP="006C550F">
            <w:pPr>
              <w:keepNext/>
              <w:keepLines/>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0.20</w:t>
            </w:r>
          </w:p>
        </w:tc>
        <w:tc>
          <w:tcPr>
            <w:tcW w:w="345" w:type="pct"/>
            <w:vMerge/>
            <w:shd w:val="clear" w:color="auto" w:fill="BDD6EE" w:themeFill="accent5" w:themeFillTint="66"/>
            <w:tcMar>
              <w:left w:w="28" w:type="dxa"/>
              <w:right w:w="28" w:type="dxa"/>
            </w:tcMar>
            <w:vAlign w:val="center"/>
          </w:tcPr>
          <w:p w14:paraId="3F274446"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6B4E46A2" w14:textId="77777777" w:rsidTr="00802A8C">
        <w:tc>
          <w:tcPr>
            <w:tcW w:w="571" w:type="pct"/>
            <w:vMerge/>
            <w:shd w:val="clear" w:color="auto" w:fill="BDD6EE" w:themeFill="accent5" w:themeFillTint="66"/>
            <w:vAlign w:val="center"/>
          </w:tcPr>
          <w:p w14:paraId="3A67120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F2AD4AF"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492DFE0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4769B06"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5525F82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2CAE4BE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35A3E02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6ADAE0D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9F0FD3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5D2FD25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EA4605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0.10</w:t>
            </w:r>
          </w:p>
        </w:tc>
        <w:tc>
          <w:tcPr>
            <w:tcW w:w="345" w:type="pct"/>
            <w:vMerge/>
            <w:shd w:val="clear" w:color="auto" w:fill="BDD6EE" w:themeFill="accent5" w:themeFillTint="66"/>
            <w:tcMar>
              <w:left w:w="28" w:type="dxa"/>
              <w:right w:w="28" w:type="dxa"/>
            </w:tcMar>
            <w:vAlign w:val="center"/>
          </w:tcPr>
          <w:p w14:paraId="5311C20D"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50D9A47D" w14:textId="77777777" w:rsidTr="00802A8C">
        <w:tc>
          <w:tcPr>
            <w:tcW w:w="571" w:type="pct"/>
            <w:vMerge/>
            <w:shd w:val="clear" w:color="auto" w:fill="BDD6EE" w:themeFill="accent5" w:themeFillTint="66"/>
            <w:vAlign w:val="center"/>
          </w:tcPr>
          <w:p w14:paraId="34F8B3DB"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4418ADE7"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1D44C7D"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48871B8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02379B6F"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2A529AD6"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351" w:type="pct"/>
            <w:shd w:val="clear" w:color="auto" w:fill="BDD6EE" w:themeFill="accent5" w:themeFillTint="66"/>
            <w:vAlign w:val="center"/>
          </w:tcPr>
          <w:p w14:paraId="3E0ACF5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FC15E6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0.6</w:t>
            </w:r>
          </w:p>
        </w:tc>
        <w:tc>
          <w:tcPr>
            <w:tcW w:w="234" w:type="pct"/>
            <w:shd w:val="clear" w:color="auto" w:fill="BDD6EE" w:themeFill="accent5" w:themeFillTint="66"/>
            <w:vAlign w:val="center"/>
          </w:tcPr>
          <w:p w14:paraId="784E68E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731C6D6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49E7E8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0.06</w:t>
            </w:r>
          </w:p>
        </w:tc>
        <w:tc>
          <w:tcPr>
            <w:tcW w:w="345" w:type="pct"/>
            <w:vMerge/>
            <w:shd w:val="clear" w:color="auto" w:fill="BDD6EE" w:themeFill="accent5" w:themeFillTint="66"/>
            <w:tcMar>
              <w:left w:w="28" w:type="dxa"/>
              <w:right w:w="28" w:type="dxa"/>
            </w:tcMar>
            <w:vAlign w:val="center"/>
          </w:tcPr>
          <w:p w14:paraId="6F6A01F2"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0D82B83E" w14:textId="77777777" w:rsidTr="00802A8C">
        <w:tc>
          <w:tcPr>
            <w:tcW w:w="571" w:type="pct"/>
            <w:vMerge/>
            <w:shd w:val="clear" w:color="auto" w:fill="BDD6EE" w:themeFill="accent5" w:themeFillTint="66"/>
            <w:vAlign w:val="center"/>
          </w:tcPr>
          <w:p w14:paraId="488827C0"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2A69D08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870EA50"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5ED9C5CB"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6385E891"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57" w:type="pct"/>
            <w:vMerge w:val="restart"/>
            <w:shd w:val="clear" w:color="auto" w:fill="BDD6EE" w:themeFill="accent5" w:themeFillTint="66"/>
            <w:vAlign w:val="center"/>
          </w:tcPr>
          <w:p w14:paraId="2337EB2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33440C6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549CCD31"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1E78C1B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19AC7F6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9A101F8"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00D52F42"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5BDEBA11" w14:textId="77777777" w:rsidTr="00802A8C">
        <w:tc>
          <w:tcPr>
            <w:tcW w:w="571" w:type="pct"/>
            <w:vMerge/>
            <w:shd w:val="clear" w:color="auto" w:fill="BDD6EE" w:themeFill="accent5" w:themeFillTint="66"/>
            <w:vAlign w:val="center"/>
          </w:tcPr>
          <w:p w14:paraId="6AE2DE04"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C6C2D57"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7D14116F"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05EDBD5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0C84BF2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5BA5A57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CC89FF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7AD9E3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1A9CB6B9"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091A96E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5C1BB82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2E750F7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4703E3AC" w14:textId="77777777" w:rsidTr="00802A8C">
        <w:tc>
          <w:tcPr>
            <w:tcW w:w="571" w:type="pct"/>
            <w:vMerge/>
            <w:shd w:val="clear" w:color="auto" w:fill="BDD6EE" w:themeFill="accent5" w:themeFillTint="66"/>
            <w:vAlign w:val="center"/>
          </w:tcPr>
          <w:p w14:paraId="0A9511B8"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13D576C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7F3A1C82"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7364A939"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77BCF59A"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57" w:type="pct"/>
            <w:vMerge w:val="restart"/>
            <w:shd w:val="clear" w:color="auto" w:fill="BDD6EE" w:themeFill="accent5" w:themeFillTint="66"/>
            <w:vAlign w:val="center"/>
          </w:tcPr>
          <w:p w14:paraId="27270590"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1F0D3F7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5A480C52"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190D950F"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391C302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970EC04"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4C1B1BBC"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7042D1D3" w14:textId="77777777" w:rsidTr="00802A8C">
        <w:tc>
          <w:tcPr>
            <w:tcW w:w="571" w:type="pct"/>
            <w:vMerge/>
            <w:shd w:val="clear" w:color="auto" w:fill="BDD6EE" w:themeFill="accent5" w:themeFillTint="66"/>
            <w:vAlign w:val="center"/>
          </w:tcPr>
          <w:p w14:paraId="7B42184B"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31AAFB2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077184B3"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8FC7ABB"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78FD1825"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209436D5"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10858B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6840BF1E"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16F0E34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324CCF0D"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47AFE38A"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41B8F95A" w14:textId="77777777" w:rsidR="00FC6519" w:rsidRPr="006C550F" w:rsidRDefault="00FC6519" w:rsidP="006C550F">
            <w:pPr>
              <w:keepNext/>
              <w:keepLines/>
              <w:shd w:val="clear" w:color="auto" w:fill="BDD6EE" w:themeFill="accent5" w:themeFillTint="66"/>
              <w:rPr>
                <w:rFonts w:eastAsia="MS Mincho"/>
                <w:color w:val="4472C4" w:themeColor="accent1"/>
                <w:sz w:val="20"/>
                <w:szCs w:val="20"/>
              </w:rPr>
            </w:pPr>
          </w:p>
        </w:tc>
      </w:tr>
      <w:tr w:rsidR="00FC6519" w:rsidRPr="006C550F" w14:paraId="7069598E" w14:textId="77777777" w:rsidTr="00802A8C">
        <w:tc>
          <w:tcPr>
            <w:tcW w:w="571" w:type="pct"/>
            <w:vMerge/>
            <w:shd w:val="clear" w:color="auto" w:fill="BDD6EE" w:themeFill="accent5" w:themeFillTint="66"/>
            <w:vAlign w:val="center"/>
          </w:tcPr>
          <w:p w14:paraId="4E788D94"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01DC3F69"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79794E0C"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3DB4175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40EFAA63"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57" w:type="pct"/>
            <w:vMerge w:val="restart"/>
            <w:shd w:val="clear" w:color="auto" w:fill="BDD6EE" w:themeFill="accent5" w:themeFillTint="66"/>
            <w:vAlign w:val="center"/>
          </w:tcPr>
          <w:p w14:paraId="45686CA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521C666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10-39</w:t>
            </w:r>
          </w:p>
        </w:tc>
        <w:tc>
          <w:tcPr>
            <w:tcW w:w="355" w:type="pct"/>
            <w:shd w:val="clear" w:color="auto" w:fill="BDD6EE" w:themeFill="accent5" w:themeFillTint="66"/>
            <w:vAlign w:val="center"/>
          </w:tcPr>
          <w:p w14:paraId="2692732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5B58C6A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77C90D6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7714902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6AEBBAC7" w14:textId="77777777" w:rsidR="00FC6519" w:rsidRPr="006C550F" w:rsidRDefault="00FC6519" w:rsidP="006C550F">
            <w:pPr>
              <w:shd w:val="clear" w:color="auto" w:fill="BDD6EE" w:themeFill="accent5" w:themeFillTint="66"/>
              <w:rPr>
                <w:rFonts w:eastAsia="MS Mincho"/>
                <w:color w:val="4472C4" w:themeColor="accent1"/>
                <w:sz w:val="20"/>
                <w:szCs w:val="20"/>
              </w:rPr>
            </w:pPr>
          </w:p>
        </w:tc>
      </w:tr>
      <w:tr w:rsidR="00FC6519" w:rsidRPr="006C550F" w14:paraId="635FB176" w14:textId="77777777" w:rsidTr="00802A8C">
        <w:tc>
          <w:tcPr>
            <w:tcW w:w="571" w:type="pct"/>
            <w:vMerge/>
            <w:shd w:val="clear" w:color="auto" w:fill="BDD6EE" w:themeFill="accent5" w:themeFillTint="66"/>
            <w:vAlign w:val="center"/>
          </w:tcPr>
          <w:p w14:paraId="149D80C5"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64" w:type="pct"/>
            <w:vMerge/>
            <w:shd w:val="clear" w:color="auto" w:fill="BDD6EE" w:themeFill="accent5" w:themeFillTint="66"/>
            <w:vAlign w:val="center"/>
          </w:tcPr>
          <w:p w14:paraId="7961B37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16" w:type="pct"/>
            <w:vMerge/>
            <w:shd w:val="clear" w:color="auto" w:fill="BDD6EE" w:themeFill="accent5" w:themeFillTint="66"/>
            <w:vAlign w:val="center"/>
          </w:tcPr>
          <w:p w14:paraId="342FF63D"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546" w:type="pct"/>
            <w:vMerge/>
            <w:shd w:val="clear" w:color="auto" w:fill="BDD6EE" w:themeFill="accent5" w:themeFillTint="66"/>
            <w:tcMar>
              <w:left w:w="28" w:type="dxa"/>
              <w:right w:w="28" w:type="dxa"/>
            </w:tcMar>
            <w:vAlign w:val="center"/>
          </w:tcPr>
          <w:p w14:paraId="2F06599A"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67" w:type="pct"/>
            <w:vMerge/>
            <w:shd w:val="clear" w:color="auto" w:fill="BDD6EE" w:themeFill="accent5" w:themeFillTint="66"/>
            <w:tcMar>
              <w:left w:w="28" w:type="dxa"/>
              <w:right w:w="28" w:type="dxa"/>
            </w:tcMar>
            <w:vAlign w:val="center"/>
          </w:tcPr>
          <w:p w14:paraId="21A841D0"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457" w:type="pct"/>
            <w:vMerge/>
            <w:shd w:val="clear" w:color="auto" w:fill="BDD6EE" w:themeFill="accent5" w:themeFillTint="66"/>
            <w:vAlign w:val="center"/>
          </w:tcPr>
          <w:p w14:paraId="4EF18C5F" w14:textId="77777777" w:rsidR="00FC6519" w:rsidRPr="006C550F" w:rsidRDefault="00FC6519" w:rsidP="006C550F">
            <w:pPr>
              <w:shd w:val="clear" w:color="auto" w:fill="BDD6EE" w:themeFill="accent5" w:themeFillTint="66"/>
              <w:rPr>
                <w:rFonts w:eastAsia="MS Mincho"/>
                <w:color w:val="4472C4" w:themeColor="accent1"/>
                <w:sz w:val="20"/>
                <w:szCs w:val="20"/>
              </w:rPr>
            </w:pPr>
          </w:p>
        </w:tc>
        <w:tc>
          <w:tcPr>
            <w:tcW w:w="351" w:type="pct"/>
            <w:shd w:val="clear" w:color="auto" w:fill="BDD6EE" w:themeFill="accent5" w:themeFillTint="66"/>
            <w:vAlign w:val="center"/>
          </w:tcPr>
          <w:p w14:paraId="23A3011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40-69</w:t>
            </w:r>
          </w:p>
        </w:tc>
        <w:tc>
          <w:tcPr>
            <w:tcW w:w="355" w:type="pct"/>
            <w:shd w:val="clear" w:color="auto" w:fill="BDD6EE" w:themeFill="accent5" w:themeFillTint="66"/>
            <w:vAlign w:val="center"/>
          </w:tcPr>
          <w:p w14:paraId="3F6E7EE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0D06C40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5799FF4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49E41BD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4F0DE6E5" w14:textId="77777777" w:rsidR="00FC6519" w:rsidRPr="006C550F" w:rsidRDefault="00FC6519" w:rsidP="006C550F">
            <w:pPr>
              <w:shd w:val="clear" w:color="auto" w:fill="BDD6EE" w:themeFill="accent5" w:themeFillTint="66"/>
              <w:rPr>
                <w:rFonts w:eastAsia="MS Mincho"/>
                <w:color w:val="4472C4" w:themeColor="accent1"/>
                <w:sz w:val="20"/>
                <w:szCs w:val="20"/>
              </w:rPr>
            </w:pPr>
          </w:p>
        </w:tc>
      </w:tr>
      <w:tr w:rsidR="00FC6519" w:rsidRPr="006C550F" w14:paraId="4D7D52FB" w14:textId="77777777" w:rsidTr="00802A8C">
        <w:tc>
          <w:tcPr>
            <w:tcW w:w="571" w:type="pct"/>
            <w:vMerge w:val="restart"/>
            <w:shd w:val="clear" w:color="auto" w:fill="BDD6EE" w:themeFill="accent5" w:themeFillTint="66"/>
            <w:vAlign w:val="center"/>
          </w:tcPr>
          <w:p w14:paraId="6927E6A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Tomato and aubergine</w:t>
            </w:r>
          </w:p>
          <w:p w14:paraId="3AC7F53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(fruiting vegetables)</w:t>
            </w:r>
          </w:p>
        </w:tc>
        <w:tc>
          <w:tcPr>
            <w:tcW w:w="564" w:type="pct"/>
            <w:vMerge w:val="restart"/>
            <w:shd w:val="clear" w:color="auto" w:fill="BDD6EE" w:themeFill="accent5" w:themeFillTint="66"/>
            <w:vAlign w:val="center"/>
          </w:tcPr>
          <w:p w14:paraId="2416744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a)</w:t>
            </w:r>
          </w:p>
        </w:tc>
        <w:tc>
          <w:tcPr>
            <w:tcW w:w="516" w:type="pct"/>
            <w:vMerge w:val="restart"/>
            <w:shd w:val="clear" w:color="auto" w:fill="BDD6EE" w:themeFill="accent5" w:themeFillTint="66"/>
            <w:vAlign w:val="center"/>
          </w:tcPr>
          <w:p w14:paraId="0C779DF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BAS 743 02 F*</w:t>
            </w:r>
          </w:p>
        </w:tc>
        <w:tc>
          <w:tcPr>
            <w:tcW w:w="546" w:type="pct"/>
            <w:vMerge w:val="restart"/>
            <w:shd w:val="clear" w:color="auto" w:fill="BDD6EE" w:themeFill="accent5" w:themeFillTint="66"/>
            <w:tcMar>
              <w:left w:w="28" w:type="dxa"/>
              <w:right w:w="28" w:type="dxa"/>
            </w:tcMar>
            <w:vAlign w:val="center"/>
          </w:tcPr>
          <w:p w14:paraId="63F3BBD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78.6</w:t>
            </w:r>
          </w:p>
        </w:tc>
        <w:tc>
          <w:tcPr>
            <w:tcW w:w="467" w:type="pct"/>
            <w:vMerge w:val="restart"/>
            <w:shd w:val="clear" w:color="auto" w:fill="BDD6EE" w:themeFill="accent5" w:themeFillTint="66"/>
            <w:tcMar>
              <w:left w:w="28" w:type="dxa"/>
              <w:right w:w="28" w:type="dxa"/>
            </w:tcMar>
            <w:vAlign w:val="center"/>
          </w:tcPr>
          <w:p w14:paraId="187ACA6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Chronic toxicity</w:t>
            </w:r>
          </w:p>
        </w:tc>
        <w:tc>
          <w:tcPr>
            <w:tcW w:w="457" w:type="pct"/>
            <w:vMerge w:val="restart"/>
            <w:shd w:val="clear" w:color="auto" w:fill="BDD6EE" w:themeFill="accent5" w:themeFillTint="66"/>
            <w:vAlign w:val="center"/>
          </w:tcPr>
          <w:p w14:paraId="39B499D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607E38E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6558C19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1906A98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0.92</w:t>
            </w:r>
          </w:p>
        </w:tc>
        <w:tc>
          <w:tcPr>
            <w:tcW w:w="299" w:type="pct"/>
            <w:vMerge w:val="restart"/>
            <w:shd w:val="clear" w:color="auto" w:fill="BDD6EE" w:themeFill="accent5" w:themeFillTint="66"/>
            <w:tcMar>
              <w:left w:w="28" w:type="dxa"/>
              <w:right w:w="28" w:type="dxa"/>
            </w:tcMar>
            <w:vAlign w:val="center"/>
          </w:tcPr>
          <w:p w14:paraId="2FA1547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0.72</w:t>
            </w:r>
          </w:p>
        </w:tc>
        <w:tc>
          <w:tcPr>
            <w:tcW w:w="296" w:type="pct"/>
            <w:shd w:val="clear" w:color="auto" w:fill="BDD6EE" w:themeFill="accent5" w:themeFillTint="66"/>
            <w:tcMar>
              <w:left w:w="28" w:type="dxa"/>
              <w:right w:w="28" w:type="dxa"/>
            </w:tcMar>
          </w:tcPr>
          <w:p w14:paraId="5B321F3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0.018</w:t>
            </w:r>
          </w:p>
        </w:tc>
        <w:tc>
          <w:tcPr>
            <w:tcW w:w="345" w:type="pct"/>
            <w:vMerge w:val="restart"/>
            <w:shd w:val="clear" w:color="auto" w:fill="BDD6EE" w:themeFill="accent5" w:themeFillTint="66"/>
            <w:tcMar>
              <w:left w:w="28" w:type="dxa"/>
              <w:right w:w="28" w:type="dxa"/>
            </w:tcMar>
            <w:vAlign w:val="center"/>
          </w:tcPr>
          <w:p w14:paraId="2CE44D7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0.03</w:t>
            </w:r>
          </w:p>
        </w:tc>
      </w:tr>
      <w:tr w:rsidR="00FC6519" w:rsidRPr="006C550F" w14:paraId="51A5E67B" w14:textId="77777777" w:rsidTr="00802A8C">
        <w:tc>
          <w:tcPr>
            <w:tcW w:w="571" w:type="pct"/>
            <w:vMerge/>
            <w:shd w:val="clear" w:color="auto" w:fill="BDD6EE" w:themeFill="accent5" w:themeFillTint="66"/>
            <w:vAlign w:val="center"/>
          </w:tcPr>
          <w:p w14:paraId="5BE5453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59D4D9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7EB7327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5517BC1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0A96EB4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5ACC325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66B34A7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073D309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517DFDE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0.92</w:t>
            </w:r>
          </w:p>
        </w:tc>
        <w:tc>
          <w:tcPr>
            <w:tcW w:w="299" w:type="pct"/>
            <w:vMerge/>
            <w:shd w:val="clear" w:color="auto" w:fill="BDD6EE" w:themeFill="accent5" w:themeFillTint="66"/>
            <w:tcMar>
              <w:left w:w="28" w:type="dxa"/>
              <w:right w:w="28" w:type="dxa"/>
            </w:tcMar>
            <w:vAlign w:val="center"/>
          </w:tcPr>
          <w:p w14:paraId="69815F3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232F20A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0.018</w:t>
            </w:r>
          </w:p>
        </w:tc>
        <w:tc>
          <w:tcPr>
            <w:tcW w:w="345" w:type="pct"/>
            <w:vMerge/>
            <w:shd w:val="clear" w:color="auto" w:fill="BDD6EE" w:themeFill="accent5" w:themeFillTint="66"/>
            <w:tcMar>
              <w:left w:w="28" w:type="dxa"/>
              <w:right w:w="28" w:type="dxa"/>
            </w:tcMar>
            <w:vAlign w:val="center"/>
          </w:tcPr>
          <w:p w14:paraId="620414FC"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611F337" w14:textId="77777777" w:rsidTr="00802A8C">
        <w:tc>
          <w:tcPr>
            <w:tcW w:w="571" w:type="pct"/>
            <w:vMerge/>
            <w:shd w:val="clear" w:color="auto" w:fill="BDD6EE" w:themeFill="accent5" w:themeFillTint="66"/>
            <w:vAlign w:val="center"/>
          </w:tcPr>
          <w:p w14:paraId="6487DBD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B09BB2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F5E485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6F095A9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4E6174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A18859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39C8E60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6B2DE9B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5B6C1AB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w:t>
            </w:r>
          </w:p>
        </w:tc>
        <w:tc>
          <w:tcPr>
            <w:tcW w:w="299" w:type="pct"/>
            <w:vMerge/>
            <w:shd w:val="clear" w:color="auto" w:fill="BDD6EE" w:themeFill="accent5" w:themeFillTint="66"/>
            <w:tcMar>
              <w:left w:w="28" w:type="dxa"/>
              <w:right w:w="28" w:type="dxa"/>
            </w:tcMar>
            <w:vAlign w:val="center"/>
          </w:tcPr>
          <w:p w14:paraId="5D4B089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2295AF0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6369348D"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7B768FC" w14:textId="77777777" w:rsidTr="00802A8C">
        <w:tc>
          <w:tcPr>
            <w:tcW w:w="571" w:type="pct"/>
            <w:vMerge/>
            <w:shd w:val="clear" w:color="auto" w:fill="BDD6EE" w:themeFill="accent5" w:themeFillTint="66"/>
            <w:vAlign w:val="center"/>
          </w:tcPr>
          <w:p w14:paraId="09AC77B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878C50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C2B5D7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76AD290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C0B84A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0ECBA6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64B8FDF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27F44ED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6282557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3D15A6A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2A60D4A" w14:textId="77777777" w:rsidR="00FC6519" w:rsidRPr="006C550F" w:rsidRDefault="00FC6519" w:rsidP="006C550F">
            <w:pPr>
              <w:shd w:val="clear" w:color="auto" w:fill="BDD6EE" w:themeFill="accent5" w:themeFillTint="66"/>
              <w:rPr>
                <w:rFonts w:eastAsia="MS Mincho"/>
                <w:b/>
                <w:bCs/>
                <w:color w:val="000000" w:themeColor="text1"/>
                <w:sz w:val="20"/>
                <w:szCs w:val="20"/>
              </w:rPr>
            </w:pPr>
            <w:r w:rsidRPr="006C550F">
              <w:rPr>
                <w:rFonts w:eastAsia="MS Mincho"/>
                <w:b/>
                <w:bCs/>
                <w:color w:val="000000" w:themeColor="text1"/>
                <w:sz w:val="20"/>
                <w:szCs w:val="20"/>
              </w:rPr>
              <w:t>0.057</w:t>
            </w:r>
          </w:p>
        </w:tc>
        <w:tc>
          <w:tcPr>
            <w:tcW w:w="345" w:type="pct"/>
            <w:vMerge/>
            <w:shd w:val="clear" w:color="auto" w:fill="BDD6EE" w:themeFill="accent5" w:themeFillTint="66"/>
            <w:tcMar>
              <w:left w:w="28" w:type="dxa"/>
              <w:right w:w="28" w:type="dxa"/>
            </w:tcMar>
            <w:vAlign w:val="center"/>
          </w:tcPr>
          <w:p w14:paraId="37587619"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3B72245" w14:textId="77777777" w:rsidTr="00802A8C">
        <w:tc>
          <w:tcPr>
            <w:tcW w:w="571" w:type="pct"/>
            <w:vMerge/>
            <w:shd w:val="clear" w:color="auto" w:fill="BDD6EE" w:themeFill="accent5" w:themeFillTint="66"/>
            <w:vAlign w:val="center"/>
          </w:tcPr>
          <w:p w14:paraId="32437C7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20AB0C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F2DA4E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251D0CF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688072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0B8804D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C2E8E7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211D17D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tcPr>
          <w:p w14:paraId="7428896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522CA07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513EF7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0.017</w:t>
            </w:r>
          </w:p>
        </w:tc>
        <w:tc>
          <w:tcPr>
            <w:tcW w:w="345" w:type="pct"/>
            <w:vMerge/>
            <w:shd w:val="clear" w:color="auto" w:fill="BDD6EE" w:themeFill="accent5" w:themeFillTint="66"/>
            <w:tcMar>
              <w:left w:w="28" w:type="dxa"/>
              <w:right w:w="28" w:type="dxa"/>
            </w:tcMar>
            <w:vAlign w:val="center"/>
          </w:tcPr>
          <w:p w14:paraId="38D7391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076C5AD" w14:textId="77777777" w:rsidTr="00802A8C">
        <w:tc>
          <w:tcPr>
            <w:tcW w:w="571" w:type="pct"/>
            <w:vMerge/>
            <w:shd w:val="clear" w:color="auto" w:fill="BDD6EE" w:themeFill="accent5" w:themeFillTint="66"/>
            <w:vAlign w:val="center"/>
          </w:tcPr>
          <w:p w14:paraId="13AA79E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E13355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11F0FFD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6594141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CD4155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F439A0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F78B5E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24E7B4D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tcPr>
          <w:p w14:paraId="681165F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7E82522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6895B72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0.017</w:t>
            </w:r>
          </w:p>
        </w:tc>
        <w:tc>
          <w:tcPr>
            <w:tcW w:w="345" w:type="pct"/>
            <w:vMerge/>
            <w:shd w:val="clear" w:color="auto" w:fill="BDD6EE" w:themeFill="accent5" w:themeFillTint="66"/>
            <w:tcMar>
              <w:left w:w="28" w:type="dxa"/>
              <w:right w:w="28" w:type="dxa"/>
            </w:tcMar>
            <w:vAlign w:val="center"/>
          </w:tcPr>
          <w:p w14:paraId="52A0DE23"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89A7FF4" w14:textId="77777777" w:rsidTr="00802A8C">
        <w:tc>
          <w:tcPr>
            <w:tcW w:w="571" w:type="pct"/>
            <w:vMerge/>
            <w:shd w:val="clear" w:color="auto" w:fill="BDD6EE" w:themeFill="accent5" w:themeFillTint="66"/>
            <w:vAlign w:val="center"/>
          </w:tcPr>
          <w:p w14:paraId="678A32F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BD24BF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DB9B31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2818BAE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7C6C3D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7F5441C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5E6D843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2A75AF3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7FCF68C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52F49DE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D5A4C2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5C287EE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AFD4D23" w14:textId="77777777" w:rsidTr="00802A8C">
        <w:tc>
          <w:tcPr>
            <w:tcW w:w="571" w:type="pct"/>
            <w:vMerge/>
            <w:shd w:val="clear" w:color="auto" w:fill="BDD6EE" w:themeFill="accent5" w:themeFillTint="66"/>
            <w:vAlign w:val="center"/>
          </w:tcPr>
          <w:p w14:paraId="7A2B610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D36E60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6E24285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7C2D2EB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C65B52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4E2E26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F141F1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21F8E25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640FCD3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4D3FA35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1D6B53C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397A7C3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EFFA49E" w14:textId="77777777" w:rsidTr="00802A8C">
        <w:tc>
          <w:tcPr>
            <w:tcW w:w="571" w:type="pct"/>
            <w:vMerge/>
            <w:shd w:val="clear" w:color="auto" w:fill="BDD6EE" w:themeFill="accent5" w:themeFillTint="66"/>
            <w:vAlign w:val="center"/>
          </w:tcPr>
          <w:p w14:paraId="5284FFC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535604E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2607234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7AE1435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EE0632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1498CC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DAAFA4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134F2D3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5F8640C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2.9</w:t>
            </w:r>
          </w:p>
        </w:tc>
        <w:tc>
          <w:tcPr>
            <w:tcW w:w="299" w:type="pct"/>
            <w:vMerge/>
            <w:shd w:val="clear" w:color="auto" w:fill="BDD6EE" w:themeFill="accent5" w:themeFillTint="66"/>
            <w:tcMar>
              <w:left w:w="28" w:type="dxa"/>
              <w:right w:w="28" w:type="dxa"/>
            </w:tcMar>
            <w:vAlign w:val="center"/>
          </w:tcPr>
          <w:p w14:paraId="3C706CD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400D07D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0.001</w:t>
            </w:r>
          </w:p>
        </w:tc>
        <w:tc>
          <w:tcPr>
            <w:tcW w:w="345" w:type="pct"/>
            <w:vMerge/>
            <w:shd w:val="clear" w:color="auto" w:fill="BDD6EE" w:themeFill="accent5" w:themeFillTint="66"/>
            <w:tcMar>
              <w:left w:w="28" w:type="dxa"/>
              <w:right w:w="28" w:type="dxa"/>
            </w:tcMar>
            <w:vAlign w:val="center"/>
          </w:tcPr>
          <w:p w14:paraId="4EF2ADBA"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5EC60AC" w14:textId="77777777" w:rsidTr="00802A8C">
        <w:tc>
          <w:tcPr>
            <w:tcW w:w="571" w:type="pct"/>
            <w:vMerge/>
            <w:shd w:val="clear" w:color="auto" w:fill="BDD6EE" w:themeFill="accent5" w:themeFillTint="66"/>
            <w:vAlign w:val="center"/>
          </w:tcPr>
          <w:p w14:paraId="405B186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1C389C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58840E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172F841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4EB357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E6F825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36E7B7C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7281BF9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769F87C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6127BBA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4C57971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574D276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1E4EEC6D" w14:textId="77777777" w:rsidTr="00802A8C">
        <w:tc>
          <w:tcPr>
            <w:tcW w:w="571" w:type="pct"/>
            <w:vMerge/>
            <w:shd w:val="clear" w:color="auto" w:fill="BDD6EE" w:themeFill="accent5" w:themeFillTint="66"/>
            <w:vAlign w:val="center"/>
          </w:tcPr>
          <w:p w14:paraId="1845755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BB234D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3EA1C71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5F60876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537CC3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8A24A9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514A9A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tcPr>
          <w:p w14:paraId="24BD058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02898C5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71D9DB5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4DBF99F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4A82FDC9"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D0ECE56" w14:textId="77777777" w:rsidTr="00802A8C">
        <w:tc>
          <w:tcPr>
            <w:tcW w:w="571" w:type="pct"/>
            <w:vMerge/>
            <w:shd w:val="clear" w:color="auto" w:fill="BDD6EE" w:themeFill="accent5" w:themeFillTint="66"/>
            <w:vAlign w:val="center"/>
          </w:tcPr>
          <w:p w14:paraId="54D0D45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A6FA13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787B17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BB0D65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A1B777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2AC3AC8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FBDD69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tcPr>
          <w:p w14:paraId="20DF014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2640DC2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5.8</w:t>
            </w:r>
          </w:p>
        </w:tc>
        <w:tc>
          <w:tcPr>
            <w:tcW w:w="299" w:type="pct"/>
            <w:vMerge/>
            <w:shd w:val="clear" w:color="auto" w:fill="BDD6EE" w:themeFill="accent5" w:themeFillTint="66"/>
            <w:tcMar>
              <w:left w:w="28" w:type="dxa"/>
              <w:right w:w="28" w:type="dxa"/>
            </w:tcMar>
            <w:vAlign w:val="center"/>
          </w:tcPr>
          <w:p w14:paraId="2149C7F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68815E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0.000</w:t>
            </w:r>
          </w:p>
        </w:tc>
        <w:tc>
          <w:tcPr>
            <w:tcW w:w="345" w:type="pct"/>
            <w:vMerge/>
            <w:shd w:val="clear" w:color="auto" w:fill="BDD6EE" w:themeFill="accent5" w:themeFillTint="66"/>
            <w:tcMar>
              <w:left w:w="28" w:type="dxa"/>
              <w:right w:w="28" w:type="dxa"/>
            </w:tcMar>
            <w:vAlign w:val="center"/>
          </w:tcPr>
          <w:p w14:paraId="4DBC54D2"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4A7E435" w14:textId="77777777" w:rsidTr="00802A8C">
        <w:tc>
          <w:tcPr>
            <w:tcW w:w="571" w:type="pct"/>
            <w:vMerge/>
            <w:shd w:val="clear" w:color="auto" w:fill="BDD6EE" w:themeFill="accent5" w:themeFillTint="66"/>
            <w:vAlign w:val="center"/>
          </w:tcPr>
          <w:p w14:paraId="4C0E8F1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595052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20F39D2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CE0E84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B3B3F4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4AF7B16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1B5DAD1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73C6EC3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3160695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5AB648E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E16DFD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6E971259"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06C9C16" w14:textId="77777777" w:rsidTr="00802A8C">
        <w:tc>
          <w:tcPr>
            <w:tcW w:w="571" w:type="pct"/>
            <w:vMerge/>
            <w:shd w:val="clear" w:color="auto" w:fill="BDD6EE" w:themeFill="accent5" w:themeFillTint="66"/>
            <w:vAlign w:val="center"/>
          </w:tcPr>
          <w:p w14:paraId="27EA931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D1A421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2366003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1B22F6B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75F1E2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0713771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10CC491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081C660D"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483B5C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0BE1377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5A1A5F9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40D32CDB"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69DD6B28" w14:textId="77777777" w:rsidTr="00802A8C">
        <w:tc>
          <w:tcPr>
            <w:tcW w:w="571" w:type="pct"/>
            <w:vMerge/>
            <w:shd w:val="clear" w:color="auto" w:fill="BDD6EE" w:themeFill="accent5" w:themeFillTint="66"/>
            <w:vAlign w:val="center"/>
          </w:tcPr>
          <w:p w14:paraId="61ACB94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A4BD47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A22ED7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78FBC67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DF9A8D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1DCED8E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3641AE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52696CA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317A473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0.54</w:t>
            </w:r>
          </w:p>
        </w:tc>
        <w:tc>
          <w:tcPr>
            <w:tcW w:w="299" w:type="pct"/>
            <w:vMerge/>
            <w:shd w:val="clear" w:color="auto" w:fill="BDD6EE" w:themeFill="accent5" w:themeFillTint="66"/>
            <w:tcMar>
              <w:left w:w="28" w:type="dxa"/>
              <w:right w:w="28" w:type="dxa"/>
            </w:tcMar>
            <w:vAlign w:val="center"/>
          </w:tcPr>
          <w:p w14:paraId="3B0AEF2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2D86AEA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0.011</w:t>
            </w:r>
          </w:p>
        </w:tc>
        <w:tc>
          <w:tcPr>
            <w:tcW w:w="345" w:type="pct"/>
            <w:vMerge/>
            <w:shd w:val="clear" w:color="auto" w:fill="BDD6EE" w:themeFill="accent5" w:themeFillTint="66"/>
            <w:tcMar>
              <w:left w:w="28" w:type="dxa"/>
              <w:right w:w="28" w:type="dxa"/>
            </w:tcMar>
            <w:vAlign w:val="center"/>
          </w:tcPr>
          <w:p w14:paraId="22E5EDB8"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475D75B" w14:textId="77777777" w:rsidTr="00802A8C">
        <w:tc>
          <w:tcPr>
            <w:tcW w:w="571" w:type="pct"/>
            <w:vMerge/>
            <w:shd w:val="clear" w:color="auto" w:fill="BDD6EE" w:themeFill="accent5" w:themeFillTint="66"/>
            <w:vAlign w:val="center"/>
          </w:tcPr>
          <w:p w14:paraId="6E64CA0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2BA748F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BA7A85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val="restart"/>
            <w:shd w:val="clear" w:color="auto" w:fill="BDD6EE" w:themeFill="accent5" w:themeFillTint="66"/>
            <w:tcMar>
              <w:left w:w="28" w:type="dxa"/>
              <w:right w:w="28" w:type="dxa"/>
            </w:tcMar>
            <w:vAlign w:val="center"/>
          </w:tcPr>
          <w:p w14:paraId="79F0EAD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39.1</w:t>
            </w:r>
          </w:p>
        </w:tc>
        <w:tc>
          <w:tcPr>
            <w:tcW w:w="467" w:type="pct"/>
            <w:vMerge w:val="restart"/>
            <w:shd w:val="clear" w:color="auto" w:fill="BDD6EE" w:themeFill="accent5" w:themeFillTint="66"/>
            <w:tcMar>
              <w:left w:w="28" w:type="dxa"/>
              <w:right w:w="28" w:type="dxa"/>
            </w:tcMar>
            <w:vAlign w:val="center"/>
          </w:tcPr>
          <w:p w14:paraId="2A6D210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Bee larval toxicity</w:t>
            </w:r>
          </w:p>
        </w:tc>
        <w:tc>
          <w:tcPr>
            <w:tcW w:w="457" w:type="pct"/>
            <w:vMerge w:val="restart"/>
            <w:shd w:val="clear" w:color="auto" w:fill="BDD6EE" w:themeFill="accent5" w:themeFillTint="66"/>
            <w:vAlign w:val="center"/>
          </w:tcPr>
          <w:p w14:paraId="3798DFF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Treated crop</w:t>
            </w:r>
          </w:p>
        </w:tc>
        <w:tc>
          <w:tcPr>
            <w:tcW w:w="351" w:type="pct"/>
            <w:shd w:val="clear" w:color="auto" w:fill="BDD6EE" w:themeFill="accent5" w:themeFillTint="66"/>
            <w:vAlign w:val="center"/>
          </w:tcPr>
          <w:p w14:paraId="7ED3BE3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1C3567D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7DDD34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0.15</w:t>
            </w:r>
          </w:p>
        </w:tc>
        <w:tc>
          <w:tcPr>
            <w:tcW w:w="299" w:type="pct"/>
            <w:vMerge w:val="restart"/>
            <w:shd w:val="clear" w:color="auto" w:fill="BDD6EE" w:themeFill="accent5" w:themeFillTint="66"/>
            <w:tcMar>
              <w:left w:w="28" w:type="dxa"/>
              <w:right w:w="28" w:type="dxa"/>
            </w:tcMar>
            <w:vAlign w:val="center"/>
          </w:tcPr>
          <w:p w14:paraId="23FE8C9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0.85</w:t>
            </w:r>
          </w:p>
        </w:tc>
        <w:tc>
          <w:tcPr>
            <w:tcW w:w="296" w:type="pct"/>
            <w:shd w:val="clear" w:color="auto" w:fill="BDD6EE" w:themeFill="accent5" w:themeFillTint="66"/>
            <w:tcMar>
              <w:left w:w="28" w:type="dxa"/>
              <w:right w:w="28" w:type="dxa"/>
            </w:tcMar>
            <w:vAlign w:val="center"/>
          </w:tcPr>
          <w:p w14:paraId="7764D2E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w:t>
            </w:r>
          </w:p>
        </w:tc>
        <w:tc>
          <w:tcPr>
            <w:tcW w:w="345" w:type="pct"/>
            <w:vMerge w:val="restart"/>
            <w:shd w:val="clear" w:color="auto" w:fill="BDD6EE" w:themeFill="accent5" w:themeFillTint="66"/>
            <w:tcMar>
              <w:left w:w="28" w:type="dxa"/>
              <w:right w:w="28" w:type="dxa"/>
            </w:tcMar>
            <w:vAlign w:val="center"/>
          </w:tcPr>
          <w:p w14:paraId="71FCA5E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0.2</w:t>
            </w:r>
          </w:p>
        </w:tc>
      </w:tr>
      <w:tr w:rsidR="00FC6519" w:rsidRPr="006C550F" w14:paraId="0459953C" w14:textId="77777777" w:rsidTr="00802A8C">
        <w:tc>
          <w:tcPr>
            <w:tcW w:w="571" w:type="pct"/>
            <w:vMerge/>
            <w:shd w:val="clear" w:color="auto" w:fill="BDD6EE" w:themeFill="accent5" w:themeFillTint="66"/>
            <w:vAlign w:val="center"/>
          </w:tcPr>
          <w:p w14:paraId="37D36D5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5166DA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87AAC9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653AEFE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211301E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13C0A1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75B65F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7863F10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2D225EC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0.15</w:t>
            </w:r>
          </w:p>
        </w:tc>
        <w:tc>
          <w:tcPr>
            <w:tcW w:w="299" w:type="pct"/>
            <w:vMerge/>
            <w:shd w:val="clear" w:color="auto" w:fill="BDD6EE" w:themeFill="accent5" w:themeFillTint="66"/>
            <w:tcMar>
              <w:left w:w="28" w:type="dxa"/>
              <w:right w:w="28" w:type="dxa"/>
            </w:tcMar>
            <w:vAlign w:val="center"/>
          </w:tcPr>
          <w:p w14:paraId="1A9ACBD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F8ABEE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0.01</w:t>
            </w:r>
          </w:p>
        </w:tc>
        <w:tc>
          <w:tcPr>
            <w:tcW w:w="345" w:type="pct"/>
            <w:vMerge/>
            <w:shd w:val="clear" w:color="auto" w:fill="BDD6EE" w:themeFill="accent5" w:themeFillTint="66"/>
            <w:tcMar>
              <w:left w:w="28" w:type="dxa"/>
              <w:right w:w="28" w:type="dxa"/>
            </w:tcMar>
            <w:vAlign w:val="center"/>
          </w:tcPr>
          <w:p w14:paraId="48C9E4C1"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2F3FCAA" w14:textId="77777777" w:rsidTr="00802A8C">
        <w:tc>
          <w:tcPr>
            <w:tcW w:w="571" w:type="pct"/>
            <w:vMerge/>
            <w:shd w:val="clear" w:color="auto" w:fill="BDD6EE" w:themeFill="accent5" w:themeFillTint="66"/>
            <w:vAlign w:val="center"/>
          </w:tcPr>
          <w:p w14:paraId="7BBEDF7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48F825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708820B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15CEA6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49908B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0DF0677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ABF0EC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6EA70FD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1A173DE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w:t>
            </w:r>
          </w:p>
        </w:tc>
        <w:tc>
          <w:tcPr>
            <w:tcW w:w="299" w:type="pct"/>
            <w:vMerge/>
            <w:shd w:val="clear" w:color="auto" w:fill="BDD6EE" w:themeFill="accent5" w:themeFillTint="66"/>
            <w:tcMar>
              <w:left w:w="28" w:type="dxa"/>
              <w:right w:w="28" w:type="dxa"/>
            </w:tcMar>
            <w:vAlign w:val="center"/>
          </w:tcPr>
          <w:p w14:paraId="08AF044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3D43586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5BA34DF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0ED5CB6" w14:textId="77777777" w:rsidTr="00802A8C">
        <w:tc>
          <w:tcPr>
            <w:tcW w:w="571" w:type="pct"/>
            <w:vMerge/>
            <w:shd w:val="clear" w:color="auto" w:fill="BDD6EE" w:themeFill="accent5" w:themeFillTint="66"/>
            <w:vAlign w:val="center"/>
          </w:tcPr>
          <w:p w14:paraId="0530D51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D6C545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7FED284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4830453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EDBA1F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4AE0BAB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Weeds</w:t>
            </w:r>
          </w:p>
        </w:tc>
        <w:tc>
          <w:tcPr>
            <w:tcW w:w="351" w:type="pct"/>
            <w:shd w:val="clear" w:color="auto" w:fill="BDD6EE" w:themeFill="accent5" w:themeFillTint="66"/>
            <w:vAlign w:val="center"/>
          </w:tcPr>
          <w:p w14:paraId="2A6918B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1CE5EA7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3B60A3B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0576283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0F23D7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0.10</w:t>
            </w:r>
          </w:p>
        </w:tc>
        <w:tc>
          <w:tcPr>
            <w:tcW w:w="345" w:type="pct"/>
            <w:vMerge/>
            <w:shd w:val="clear" w:color="auto" w:fill="BDD6EE" w:themeFill="accent5" w:themeFillTint="66"/>
            <w:tcMar>
              <w:left w:w="28" w:type="dxa"/>
              <w:right w:w="28" w:type="dxa"/>
            </w:tcMar>
            <w:vAlign w:val="center"/>
          </w:tcPr>
          <w:p w14:paraId="082CFCDD"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AB1E35B" w14:textId="77777777" w:rsidTr="00802A8C">
        <w:tc>
          <w:tcPr>
            <w:tcW w:w="571" w:type="pct"/>
            <w:vMerge/>
            <w:shd w:val="clear" w:color="auto" w:fill="BDD6EE" w:themeFill="accent5" w:themeFillTint="66"/>
            <w:vAlign w:val="center"/>
          </w:tcPr>
          <w:p w14:paraId="6D0A955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A0F578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99D05A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27EE689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002FB7B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41A86E5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59D6DD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338C042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1D895DB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39DCD26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6780979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0.03</w:t>
            </w:r>
          </w:p>
        </w:tc>
        <w:tc>
          <w:tcPr>
            <w:tcW w:w="345" w:type="pct"/>
            <w:vMerge/>
            <w:shd w:val="clear" w:color="auto" w:fill="BDD6EE" w:themeFill="accent5" w:themeFillTint="66"/>
            <w:tcMar>
              <w:left w:w="28" w:type="dxa"/>
              <w:right w:w="28" w:type="dxa"/>
            </w:tcMar>
            <w:vAlign w:val="center"/>
          </w:tcPr>
          <w:p w14:paraId="4B44D526"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A3EC0D5" w14:textId="77777777" w:rsidTr="00802A8C">
        <w:tc>
          <w:tcPr>
            <w:tcW w:w="571" w:type="pct"/>
            <w:vMerge/>
            <w:shd w:val="clear" w:color="auto" w:fill="BDD6EE" w:themeFill="accent5" w:themeFillTint="66"/>
            <w:vAlign w:val="center"/>
          </w:tcPr>
          <w:p w14:paraId="056BD7A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153CE0F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B8FE9AE"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B0492A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97ACD5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725213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2677BF7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5AF9814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0.3</w:t>
            </w:r>
          </w:p>
        </w:tc>
        <w:tc>
          <w:tcPr>
            <w:tcW w:w="234" w:type="pct"/>
            <w:shd w:val="clear" w:color="auto" w:fill="BDD6EE" w:themeFill="accent5" w:themeFillTint="66"/>
            <w:vAlign w:val="center"/>
          </w:tcPr>
          <w:p w14:paraId="30E0CE4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3B56DCC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E5F92D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0.03</w:t>
            </w:r>
          </w:p>
        </w:tc>
        <w:tc>
          <w:tcPr>
            <w:tcW w:w="345" w:type="pct"/>
            <w:vMerge/>
            <w:shd w:val="clear" w:color="auto" w:fill="BDD6EE" w:themeFill="accent5" w:themeFillTint="66"/>
            <w:tcMar>
              <w:left w:w="28" w:type="dxa"/>
              <w:right w:w="28" w:type="dxa"/>
            </w:tcMar>
            <w:vAlign w:val="center"/>
          </w:tcPr>
          <w:p w14:paraId="0391C4FD"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58E882F2" w14:textId="77777777" w:rsidTr="00802A8C">
        <w:tc>
          <w:tcPr>
            <w:tcW w:w="571" w:type="pct"/>
            <w:vMerge/>
            <w:shd w:val="clear" w:color="auto" w:fill="BDD6EE" w:themeFill="accent5" w:themeFillTint="66"/>
            <w:vAlign w:val="center"/>
          </w:tcPr>
          <w:p w14:paraId="2478513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6D0A0C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7CB46DB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0E228F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6F4ABF7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21A0C88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Field margin</w:t>
            </w:r>
          </w:p>
        </w:tc>
        <w:tc>
          <w:tcPr>
            <w:tcW w:w="351" w:type="pct"/>
            <w:shd w:val="clear" w:color="auto" w:fill="BDD6EE" w:themeFill="accent5" w:themeFillTint="66"/>
            <w:vAlign w:val="center"/>
          </w:tcPr>
          <w:p w14:paraId="3039737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270EFA8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04AD577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0901754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7FDFB9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05A9A9EC"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7D076E79" w14:textId="77777777" w:rsidTr="00802A8C">
        <w:tc>
          <w:tcPr>
            <w:tcW w:w="571" w:type="pct"/>
            <w:vMerge/>
            <w:shd w:val="clear" w:color="auto" w:fill="BDD6EE" w:themeFill="accent5" w:themeFillTint="66"/>
            <w:vAlign w:val="center"/>
          </w:tcPr>
          <w:p w14:paraId="6AF4714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3EAB8CA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640FD3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163E6F6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443E4FB"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BB45DF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186362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14D78900"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2BAF85E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07B0465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10877D3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38DC787F"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B5457C4" w14:textId="77777777" w:rsidTr="00802A8C">
        <w:tc>
          <w:tcPr>
            <w:tcW w:w="571" w:type="pct"/>
            <w:vMerge/>
            <w:shd w:val="clear" w:color="auto" w:fill="BDD6EE" w:themeFill="accent5" w:themeFillTint="66"/>
            <w:vAlign w:val="center"/>
          </w:tcPr>
          <w:p w14:paraId="2126014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A0CF62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6E4C612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338025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16BE901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27AB471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70D3CBD8"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0840130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0.0092</w:t>
            </w:r>
          </w:p>
        </w:tc>
        <w:tc>
          <w:tcPr>
            <w:tcW w:w="234" w:type="pct"/>
            <w:shd w:val="clear" w:color="auto" w:fill="BDD6EE" w:themeFill="accent5" w:themeFillTint="66"/>
            <w:vAlign w:val="center"/>
          </w:tcPr>
          <w:p w14:paraId="1D26F399"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2.2</w:t>
            </w:r>
          </w:p>
        </w:tc>
        <w:tc>
          <w:tcPr>
            <w:tcW w:w="299" w:type="pct"/>
            <w:vMerge/>
            <w:shd w:val="clear" w:color="auto" w:fill="BDD6EE" w:themeFill="accent5" w:themeFillTint="66"/>
            <w:tcMar>
              <w:left w:w="28" w:type="dxa"/>
              <w:right w:w="28" w:type="dxa"/>
            </w:tcMar>
            <w:vAlign w:val="center"/>
          </w:tcPr>
          <w:p w14:paraId="7A5BF85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35521D0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2A31960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4FE63079" w14:textId="77777777" w:rsidTr="00802A8C">
        <w:tc>
          <w:tcPr>
            <w:tcW w:w="571" w:type="pct"/>
            <w:vMerge/>
            <w:shd w:val="clear" w:color="auto" w:fill="BDD6EE" w:themeFill="accent5" w:themeFillTint="66"/>
            <w:vAlign w:val="center"/>
          </w:tcPr>
          <w:p w14:paraId="7DB7C4E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E09D5C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2A5B9A9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1746AED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0DAEE82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0A0C8C1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Adjacent crop</w:t>
            </w:r>
          </w:p>
        </w:tc>
        <w:tc>
          <w:tcPr>
            <w:tcW w:w="351" w:type="pct"/>
            <w:shd w:val="clear" w:color="auto" w:fill="BDD6EE" w:themeFill="accent5" w:themeFillTint="66"/>
            <w:vAlign w:val="center"/>
          </w:tcPr>
          <w:p w14:paraId="1E670E1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729584D7"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6D16142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03110E1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4056590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4BA3399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A78D010" w14:textId="77777777" w:rsidTr="00802A8C">
        <w:tc>
          <w:tcPr>
            <w:tcW w:w="571" w:type="pct"/>
            <w:vMerge/>
            <w:shd w:val="clear" w:color="auto" w:fill="BDD6EE" w:themeFill="accent5" w:themeFillTint="66"/>
            <w:vAlign w:val="center"/>
          </w:tcPr>
          <w:p w14:paraId="4CDE762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0D66F0F0"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4135E0F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4B03F291"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717D7D2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637A1F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4F4CE47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tcPr>
          <w:p w14:paraId="53E6309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40E36FB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7040BAC8"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7E4A708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08CCF8FE"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2515981C" w14:textId="77777777" w:rsidTr="00802A8C">
        <w:tc>
          <w:tcPr>
            <w:tcW w:w="571" w:type="pct"/>
            <w:vMerge/>
            <w:shd w:val="clear" w:color="auto" w:fill="BDD6EE" w:themeFill="accent5" w:themeFillTint="66"/>
            <w:vAlign w:val="center"/>
          </w:tcPr>
          <w:p w14:paraId="47D2BA9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7A4D4FA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2F6A6B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4B66B8E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ECFA05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3E477CE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578F8C7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tcPr>
          <w:p w14:paraId="390BEC2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0.0033</w:t>
            </w:r>
          </w:p>
        </w:tc>
        <w:tc>
          <w:tcPr>
            <w:tcW w:w="234" w:type="pct"/>
            <w:shd w:val="clear" w:color="auto" w:fill="BDD6EE" w:themeFill="accent5" w:themeFillTint="66"/>
            <w:vAlign w:val="center"/>
          </w:tcPr>
          <w:p w14:paraId="196F358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4.4</w:t>
            </w:r>
          </w:p>
        </w:tc>
        <w:tc>
          <w:tcPr>
            <w:tcW w:w="299" w:type="pct"/>
            <w:vMerge/>
            <w:shd w:val="clear" w:color="auto" w:fill="BDD6EE" w:themeFill="accent5" w:themeFillTint="66"/>
            <w:tcMar>
              <w:left w:w="28" w:type="dxa"/>
              <w:right w:w="28" w:type="dxa"/>
            </w:tcMar>
            <w:vAlign w:val="center"/>
          </w:tcPr>
          <w:p w14:paraId="5A64B5E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tcPr>
          <w:p w14:paraId="64A384E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0.00</w:t>
            </w:r>
          </w:p>
        </w:tc>
        <w:tc>
          <w:tcPr>
            <w:tcW w:w="345" w:type="pct"/>
            <w:vMerge/>
            <w:shd w:val="clear" w:color="auto" w:fill="BDD6EE" w:themeFill="accent5" w:themeFillTint="66"/>
            <w:tcMar>
              <w:left w:w="28" w:type="dxa"/>
              <w:right w:w="28" w:type="dxa"/>
            </w:tcMar>
            <w:vAlign w:val="center"/>
          </w:tcPr>
          <w:p w14:paraId="702DB8C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D9D00B3" w14:textId="77777777" w:rsidTr="00802A8C">
        <w:tc>
          <w:tcPr>
            <w:tcW w:w="571" w:type="pct"/>
            <w:vMerge/>
            <w:shd w:val="clear" w:color="auto" w:fill="BDD6EE" w:themeFill="accent5" w:themeFillTint="66"/>
            <w:vAlign w:val="center"/>
          </w:tcPr>
          <w:p w14:paraId="4879357A"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6D0551D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0021EB7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3052206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59B1B46F"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val="restart"/>
            <w:shd w:val="clear" w:color="auto" w:fill="BDD6EE" w:themeFill="accent5" w:themeFillTint="66"/>
            <w:vAlign w:val="center"/>
          </w:tcPr>
          <w:p w14:paraId="1163E43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Next crop</w:t>
            </w:r>
          </w:p>
        </w:tc>
        <w:tc>
          <w:tcPr>
            <w:tcW w:w="351" w:type="pct"/>
            <w:shd w:val="clear" w:color="auto" w:fill="BDD6EE" w:themeFill="accent5" w:themeFillTint="66"/>
            <w:vAlign w:val="center"/>
          </w:tcPr>
          <w:p w14:paraId="4036B5F2"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10-49</w:t>
            </w:r>
          </w:p>
        </w:tc>
        <w:tc>
          <w:tcPr>
            <w:tcW w:w="355" w:type="pct"/>
            <w:shd w:val="clear" w:color="auto" w:fill="BDD6EE" w:themeFill="accent5" w:themeFillTint="66"/>
            <w:vAlign w:val="center"/>
          </w:tcPr>
          <w:p w14:paraId="0DEEE5F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20F8575F"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723CA4E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1B8F70D6"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68E894B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36016096" w14:textId="77777777" w:rsidTr="00802A8C">
        <w:tc>
          <w:tcPr>
            <w:tcW w:w="571" w:type="pct"/>
            <w:vMerge/>
            <w:shd w:val="clear" w:color="auto" w:fill="BDD6EE" w:themeFill="accent5" w:themeFillTint="66"/>
            <w:vAlign w:val="center"/>
          </w:tcPr>
          <w:p w14:paraId="4B30A7E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24A6DADC"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3026E065"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5E7B5E8D"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DE73B9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6AE5C6B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C04BFBC"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50-69</w:t>
            </w:r>
          </w:p>
        </w:tc>
        <w:tc>
          <w:tcPr>
            <w:tcW w:w="355" w:type="pct"/>
            <w:shd w:val="clear" w:color="auto" w:fill="BDD6EE" w:themeFill="accent5" w:themeFillTint="66"/>
            <w:vAlign w:val="center"/>
          </w:tcPr>
          <w:p w14:paraId="2D3C48C5"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7CC06D4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7D2C3F9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259049C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2B6AA9D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r w:rsidR="00FC6519" w:rsidRPr="006C550F" w14:paraId="0F4A69B7" w14:textId="77777777" w:rsidTr="00802A8C">
        <w:tc>
          <w:tcPr>
            <w:tcW w:w="571" w:type="pct"/>
            <w:vMerge/>
            <w:shd w:val="clear" w:color="auto" w:fill="BDD6EE" w:themeFill="accent5" w:themeFillTint="66"/>
            <w:vAlign w:val="center"/>
          </w:tcPr>
          <w:p w14:paraId="6DE33407"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64" w:type="pct"/>
            <w:vMerge/>
            <w:shd w:val="clear" w:color="auto" w:fill="BDD6EE" w:themeFill="accent5" w:themeFillTint="66"/>
            <w:vAlign w:val="center"/>
          </w:tcPr>
          <w:p w14:paraId="404FF31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16" w:type="pct"/>
            <w:vMerge/>
            <w:shd w:val="clear" w:color="auto" w:fill="BDD6EE" w:themeFill="accent5" w:themeFillTint="66"/>
            <w:vAlign w:val="center"/>
          </w:tcPr>
          <w:p w14:paraId="562CBD33"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546" w:type="pct"/>
            <w:vMerge/>
            <w:shd w:val="clear" w:color="auto" w:fill="BDD6EE" w:themeFill="accent5" w:themeFillTint="66"/>
            <w:tcMar>
              <w:left w:w="28" w:type="dxa"/>
              <w:right w:w="28" w:type="dxa"/>
            </w:tcMar>
            <w:vAlign w:val="center"/>
          </w:tcPr>
          <w:p w14:paraId="0D632832"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67" w:type="pct"/>
            <w:vMerge/>
            <w:shd w:val="clear" w:color="auto" w:fill="BDD6EE" w:themeFill="accent5" w:themeFillTint="66"/>
            <w:tcMar>
              <w:left w:w="28" w:type="dxa"/>
              <w:right w:w="28" w:type="dxa"/>
            </w:tcMar>
            <w:vAlign w:val="center"/>
          </w:tcPr>
          <w:p w14:paraId="3009B166"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457" w:type="pct"/>
            <w:vMerge/>
            <w:shd w:val="clear" w:color="auto" w:fill="BDD6EE" w:themeFill="accent5" w:themeFillTint="66"/>
            <w:vAlign w:val="center"/>
          </w:tcPr>
          <w:p w14:paraId="7EE76879"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351" w:type="pct"/>
            <w:shd w:val="clear" w:color="auto" w:fill="BDD6EE" w:themeFill="accent5" w:themeFillTint="66"/>
            <w:vAlign w:val="center"/>
          </w:tcPr>
          <w:p w14:paraId="0E9FE2AB"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 70</w:t>
            </w:r>
          </w:p>
        </w:tc>
        <w:tc>
          <w:tcPr>
            <w:tcW w:w="355" w:type="pct"/>
            <w:shd w:val="clear" w:color="auto" w:fill="BDD6EE" w:themeFill="accent5" w:themeFillTint="66"/>
            <w:vAlign w:val="center"/>
          </w:tcPr>
          <w:p w14:paraId="26C78593"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1</w:t>
            </w:r>
          </w:p>
        </w:tc>
        <w:tc>
          <w:tcPr>
            <w:tcW w:w="234" w:type="pct"/>
            <w:shd w:val="clear" w:color="auto" w:fill="BDD6EE" w:themeFill="accent5" w:themeFillTint="66"/>
            <w:vAlign w:val="center"/>
          </w:tcPr>
          <w:p w14:paraId="4F5C2ED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0.4</w:t>
            </w:r>
          </w:p>
        </w:tc>
        <w:tc>
          <w:tcPr>
            <w:tcW w:w="299" w:type="pct"/>
            <w:vMerge/>
            <w:shd w:val="clear" w:color="auto" w:fill="BDD6EE" w:themeFill="accent5" w:themeFillTint="66"/>
            <w:tcMar>
              <w:left w:w="28" w:type="dxa"/>
              <w:right w:w="28" w:type="dxa"/>
            </w:tcMar>
            <w:vAlign w:val="center"/>
          </w:tcPr>
          <w:p w14:paraId="1E7EEC04" w14:textId="77777777" w:rsidR="00FC6519" w:rsidRPr="006C550F" w:rsidRDefault="00FC6519" w:rsidP="006C550F">
            <w:pPr>
              <w:shd w:val="clear" w:color="auto" w:fill="BDD6EE" w:themeFill="accent5" w:themeFillTint="66"/>
              <w:rPr>
                <w:rFonts w:eastAsia="MS Mincho"/>
                <w:color w:val="000000" w:themeColor="text1"/>
                <w:sz w:val="20"/>
                <w:szCs w:val="20"/>
              </w:rPr>
            </w:pPr>
          </w:p>
        </w:tc>
        <w:tc>
          <w:tcPr>
            <w:tcW w:w="296" w:type="pct"/>
            <w:shd w:val="clear" w:color="auto" w:fill="BDD6EE" w:themeFill="accent5" w:themeFillTint="66"/>
            <w:tcMar>
              <w:left w:w="28" w:type="dxa"/>
              <w:right w:w="28" w:type="dxa"/>
            </w:tcMar>
            <w:vAlign w:val="center"/>
          </w:tcPr>
          <w:p w14:paraId="0631287A"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0.02</w:t>
            </w:r>
          </w:p>
        </w:tc>
        <w:tc>
          <w:tcPr>
            <w:tcW w:w="345" w:type="pct"/>
            <w:vMerge/>
            <w:shd w:val="clear" w:color="auto" w:fill="BDD6EE" w:themeFill="accent5" w:themeFillTint="66"/>
            <w:tcMar>
              <w:left w:w="28" w:type="dxa"/>
              <w:right w:w="28" w:type="dxa"/>
            </w:tcMar>
            <w:vAlign w:val="center"/>
          </w:tcPr>
          <w:p w14:paraId="26EA8DB0" w14:textId="77777777" w:rsidR="00FC6519" w:rsidRPr="006C550F" w:rsidRDefault="00FC6519" w:rsidP="006C550F">
            <w:pPr>
              <w:shd w:val="clear" w:color="auto" w:fill="BDD6EE" w:themeFill="accent5" w:themeFillTint="66"/>
              <w:rPr>
                <w:rFonts w:eastAsia="MS Mincho"/>
                <w:color w:val="000000" w:themeColor="text1"/>
                <w:sz w:val="20"/>
                <w:szCs w:val="20"/>
              </w:rPr>
            </w:pPr>
          </w:p>
        </w:tc>
      </w:tr>
    </w:tbl>
    <w:bookmarkEnd w:id="567"/>
    <w:p w14:paraId="34C63D9D" w14:textId="77777777" w:rsidR="00FC6519" w:rsidRPr="006C550F" w:rsidRDefault="00FC6519" w:rsidP="006C550F">
      <w:pPr>
        <w:shd w:val="clear" w:color="auto" w:fill="BDD6EE" w:themeFill="accent5" w:themeFillTint="66"/>
        <w:jc w:val="both"/>
        <w:rPr>
          <w:rFonts w:eastAsia="MS Mincho"/>
          <w:color w:val="000000" w:themeColor="text1"/>
          <w:sz w:val="18"/>
          <w:szCs w:val="18"/>
        </w:rPr>
      </w:pPr>
      <w:r w:rsidRPr="006C550F">
        <w:rPr>
          <w:rFonts w:eastAsia="MS Mincho"/>
          <w:color w:val="000000" w:themeColor="text1"/>
          <w:sz w:val="18"/>
          <w:szCs w:val="18"/>
        </w:rPr>
        <w:t>SV: Shortcut Value; TWA: time-weighted average factor; Ef: Exposure factor; SV: Shortcut Value;</w:t>
      </w:r>
      <w:r w:rsidRPr="006C550F">
        <w:rPr>
          <w:rFonts w:eastAsia="MS Mincho"/>
          <w:b/>
          <w:bCs/>
          <w:color w:val="000000" w:themeColor="text1"/>
          <w:sz w:val="18"/>
          <w:szCs w:val="18"/>
        </w:rPr>
        <w:t xml:space="preserve"> bold</w:t>
      </w:r>
      <w:r w:rsidRPr="006C550F">
        <w:rPr>
          <w:rFonts w:eastAsia="MS Mincho"/>
          <w:color w:val="000000" w:themeColor="text1"/>
          <w:sz w:val="18"/>
          <w:szCs w:val="18"/>
        </w:rPr>
        <w:t>: ETR failing the assessment trigger for acceptability of risk.</w:t>
      </w:r>
      <w:r w:rsidRPr="006C550F">
        <w:rPr>
          <w:color w:val="000000" w:themeColor="text1"/>
          <w:sz w:val="18"/>
          <w:szCs w:val="18"/>
        </w:rPr>
        <w:t xml:space="preserve"> *</w:t>
      </w:r>
      <w:r w:rsidRPr="006C550F">
        <w:rPr>
          <w:color w:val="000000" w:themeColor="text1"/>
          <w:sz w:val="18"/>
          <w:szCs w:val="18"/>
        </w:rPr>
        <w:tab/>
        <w:t>Study was conducted with the similar formulation BAS 743 02 F containing 137.1 g/L Ametoctradin and 515.4 g/L Propamocarb-HCl.</w:t>
      </w:r>
    </w:p>
    <w:p w14:paraId="3436895A" w14:textId="77777777" w:rsidR="00FC6519" w:rsidRPr="006C550F" w:rsidRDefault="00FC6519" w:rsidP="006C550F">
      <w:pPr>
        <w:shd w:val="clear" w:color="auto" w:fill="BDD6EE" w:themeFill="accent5" w:themeFillTint="66"/>
        <w:jc w:val="both"/>
        <w:rPr>
          <w:color w:val="000000" w:themeColor="text1"/>
          <w:sz w:val="18"/>
          <w:szCs w:val="18"/>
        </w:rPr>
      </w:pPr>
      <w:r w:rsidRPr="006C550F">
        <w:rPr>
          <w:rFonts w:eastAsia="MS Mincho"/>
          <w:color w:val="000000" w:themeColor="text1"/>
          <w:sz w:val="18"/>
          <w:szCs w:val="18"/>
          <w:vertAlign w:val="superscript"/>
        </w:rPr>
        <w:t>a)</w:t>
      </w:r>
      <w:r w:rsidRPr="006C550F">
        <w:rPr>
          <w:rFonts w:eastAsia="MS Mincho"/>
          <w:color w:val="000000" w:themeColor="text1"/>
          <w:sz w:val="18"/>
          <w:szCs w:val="18"/>
        </w:rPr>
        <w:t xml:space="preserve"> Based on an application rate of 2 L product/L and </w:t>
      </w:r>
      <w:r w:rsidRPr="006C550F">
        <w:rPr>
          <w:color w:val="000000" w:themeColor="text1"/>
          <w:sz w:val="18"/>
          <w:szCs w:val="18"/>
        </w:rPr>
        <w:t>the density of BAS 743 03 F of 1.071 g/cm</w:t>
      </w:r>
      <w:r w:rsidRPr="006C550F">
        <w:rPr>
          <w:color w:val="000000" w:themeColor="text1"/>
          <w:sz w:val="18"/>
          <w:szCs w:val="18"/>
          <w:vertAlign w:val="superscript"/>
        </w:rPr>
        <w:t>3</w:t>
      </w:r>
      <w:r w:rsidRPr="006C550F">
        <w:rPr>
          <w:color w:val="000000" w:themeColor="text1"/>
          <w:sz w:val="18"/>
          <w:szCs w:val="18"/>
        </w:rPr>
        <w:t>.</w:t>
      </w:r>
    </w:p>
    <w:p w14:paraId="2B4008F4" w14:textId="77777777" w:rsidR="00FC6519" w:rsidRPr="004B0A91" w:rsidRDefault="00FC6519" w:rsidP="00FC6519">
      <w:pPr>
        <w:keepNext/>
        <w:keepLines/>
        <w:suppressAutoHyphens/>
        <w:autoSpaceDE w:val="0"/>
        <w:autoSpaceDN w:val="0"/>
        <w:adjustRightInd w:val="0"/>
        <w:ind w:left="284" w:hanging="284"/>
        <w:jc w:val="both"/>
        <w:rPr>
          <w:color w:val="000000" w:themeColor="text1"/>
          <w:sz w:val="18"/>
          <w:szCs w:val="18"/>
          <w:lang w:val="en-GB"/>
        </w:rPr>
      </w:pPr>
    </w:p>
    <w:p w14:paraId="52A44883" w14:textId="77777777" w:rsidR="00FC6519" w:rsidRPr="00F9116E" w:rsidRDefault="00FC6519" w:rsidP="00FC6519">
      <w:pPr>
        <w:jc w:val="both"/>
        <w:rPr>
          <w:color w:val="000000" w:themeColor="text1"/>
          <w:highlight w:val="yellow"/>
          <w:lang w:val="en-GB"/>
        </w:rPr>
      </w:pPr>
    </w:p>
    <w:p w14:paraId="037EBB8F" w14:textId="77777777" w:rsidR="00FC6519" w:rsidRPr="006C550F" w:rsidRDefault="00FC6519" w:rsidP="006C550F">
      <w:pPr>
        <w:shd w:val="clear" w:color="auto" w:fill="BDD6EE" w:themeFill="accent5" w:themeFillTint="66"/>
        <w:rPr>
          <w:color w:val="000000" w:themeColor="text1"/>
        </w:rPr>
      </w:pPr>
    </w:p>
    <w:p w14:paraId="2FEE1AFE" w14:textId="77777777" w:rsidR="00FC6519" w:rsidRPr="006C550F" w:rsidRDefault="00FC6519" w:rsidP="006C550F">
      <w:pPr>
        <w:keepNext/>
        <w:keepLines/>
        <w:shd w:val="clear" w:color="auto" w:fill="BDD6EE" w:themeFill="accent5" w:themeFillTint="66"/>
        <w:jc w:val="both"/>
        <w:rPr>
          <w:color w:val="000000" w:themeColor="text1"/>
        </w:rPr>
      </w:pPr>
      <w:r w:rsidRPr="006C550F">
        <w:rPr>
          <w:color w:val="000000" w:themeColor="text1"/>
        </w:rPr>
        <w:t>Based on the risk assessments as in accordance with EFSA (2013), risk can formally not be excluded for the following scenarios:</w:t>
      </w:r>
    </w:p>
    <w:p w14:paraId="5C8E4508" w14:textId="77777777" w:rsidR="00FC6519" w:rsidRPr="006C550F" w:rsidRDefault="00FC6519" w:rsidP="006C550F">
      <w:pPr>
        <w:keepNext/>
        <w:keepLines/>
        <w:shd w:val="clear" w:color="auto" w:fill="BDD6EE" w:themeFill="accent5" w:themeFillTint="66"/>
        <w:rPr>
          <w:color w:val="000000" w:themeColor="text1"/>
        </w:rPr>
      </w:pPr>
    </w:p>
    <w:tbl>
      <w:tblPr>
        <w:tblStyle w:val="TableGrid42"/>
        <w:tblW w:w="0" w:type="auto"/>
        <w:jc w:val="center"/>
        <w:shd w:val="clear" w:color="auto" w:fill="BDD6EE" w:themeFill="accent5" w:themeFillTint="66"/>
        <w:tblLayout w:type="fixed"/>
        <w:tblLook w:val="04A0" w:firstRow="1" w:lastRow="0" w:firstColumn="1" w:lastColumn="0" w:noHBand="0" w:noVBand="1"/>
      </w:tblPr>
      <w:tblGrid>
        <w:gridCol w:w="2122"/>
        <w:gridCol w:w="1134"/>
        <w:gridCol w:w="1559"/>
        <w:gridCol w:w="992"/>
        <w:gridCol w:w="851"/>
        <w:gridCol w:w="708"/>
        <w:gridCol w:w="885"/>
        <w:gridCol w:w="1094"/>
      </w:tblGrid>
      <w:tr w:rsidR="00FC6519" w:rsidRPr="006C550F" w14:paraId="3A33D41E" w14:textId="77777777" w:rsidTr="00802A8C">
        <w:trPr>
          <w:jc w:val="center"/>
        </w:trPr>
        <w:tc>
          <w:tcPr>
            <w:tcW w:w="2122" w:type="dxa"/>
            <w:shd w:val="clear" w:color="auto" w:fill="BDD6EE" w:themeFill="accent5" w:themeFillTint="66"/>
            <w:vAlign w:val="center"/>
          </w:tcPr>
          <w:p w14:paraId="58FB3E0A"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Crop(s)</w:t>
            </w:r>
          </w:p>
        </w:tc>
        <w:tc>
          <w:tcPr>
            <w:tcW w:w="1134" w:type="dxa"/>
            <w:shd w:val="clear" w:color="auto" w:fill="BDD6EE" w:themeFill="accent5" w:themeFillTint="66"/>
            <w:vAlign w:val="center"/>
          </w:tcPr>
          <w:p w14:paraId="3987E252"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Maximum single use rate</w:t>
            </w:r>
          </w:p>
          <w:p w14:paraId="2D0231B7"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[g/ha]</w:t>
            </w:r>
          </w:p>
        </w:tc>
        <w:tc>
          <w:tcPr>
            <w:tcW w:w="1559" w:type="dxa"/>
            <w:shd w:val="clear" w:color="auto" w:fill="BDD6EE" w:themeFill="accent5" w:themeFillTint="66"/>
            <w:vAlign w:val="center"/>
          </w:tcPr>
          <w:p w14:paraId="483A0FB9"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Assessment</w:t>
            </w:r>
          </w:p>
        </w:tc>
        <w:tc>
          <w:tcPr>
            <w:tcW w:w="992" w:type="dxa"/>
            <w:shd w:val="clear" w:color="auto" w:fill="BDD6EE" w:themeFill="accent5" w:themeFillTint="66"/>
            <w:vAlign w:val="center"/>
          </w:tcPr>
          <w:p w14:paraId="767A08AA"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Scenario</w:t>
            </w:r>
          </w:p>
        </w:tc>
        <w:tc>
          <w:tcPr>
            <w:tcW w:w="851" w:type="dxa"/>
            <w:shd w:val="clear" w:color="auto" w:fill="BDD6EE" w:themeFill="accent5" w:themeFillTint="66"/>
            <w:vAlign w:val="center"/>
          </w:tcPr>
          <w:p w14:paraId="42AB6781"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BBCH</w:t>
            </w:r>
          </w:p>
        </w:tc>
        <w:tc>
          <w:tcPr>
            <w:tcW w:w="708" w:type="dxa"/>
            <w:shd w:val="clear" w:color="auto" w:fill="BDD6EE" w:themeFill="accent5" w:themeFillTint="66"/>
            <w:vAlign w:val="center"/>
          </w:tcPr>
          <w:p w14:paraId="44AEA28B"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ETR</w:t>
            </w:r>
          </w:p>
        </w:tc>
        <w:tc>
          <w:tcPr>
            <w:tcW w:w="885" w:type="dxa"/>
            <w:shd w:val="clear" w:color="auto" w:fill="BDD6EE" w:themeFill="accent5" w:themeFillTint="66"/>
            <w:vAlign w:val="center"/>
          </w:tcPr>
          <w:p w14:paraId="7A9E90CC"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ETR trigger</w:t>
            </w:r>
          </w:p>
        </w:tc>
        <w:tc>
          <w:tcPr>
            <w:tcW w:w="1094" w:type="dxa"/>
            <w:shd w:val="clear" w:color="auto" w:fill="BDD6EE" w:themeFill="accent5" w:themeFillTint="66"/>
            <w:vAlign w:val="center"/>
          </w:tcPr>
          <w:p w14:paraId="3025EE4D"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Exceeding factor</w:t>
            </w:r>
          </w:p>
        </w:tc>
      </w:tr>
      <w:tr w:rsidR="00FC6519" w:rsidRPr="006C550F" w14:paraId="40873B43" w14:textId="77777777" w:rsidTr="00802A8C">
        <w:trPr>
          <w:jc w:val="center"/>
        </w:trPr>
        <w:tc>
          <w:tcPr>
            <w:tcW w:w="2122" w:type="dxa"/>
            <w:shd w:val="clear" w:color="auto" w:fill="BDD6EE" w:themeFill="accent5" w:themeFillTint="66"/>
            <w:vAlign w:val="center"/>
          </w:tcPr>
          <w:p w14:paraId="715D5C0F" w14:textId="77777777" w:rsidR="00FC6519" w:rsidRPr="006C550F" w:rsidRDefault="00FC6519" w:rsidP="006C550F">
            <w:pPr>
              <w:keepNext/>
              <w:keepLines/>
              <w:shd w:val="clear" w:color="auto" w:fill="BDD6EE" w:themeFill="accent5" w:themeFillTint="66"/>
              <w:rPr>
                <w:color w:val="000000" w:themeColor="text1"/>
                <w:sz w:val="20"/>
                <w:szCs w:val="20"/>
              </w:rPr>
            </w:pPr>
            <w:r w:rsidRPr="006C550F">
              <w:rPr>
                <w:color w:val="000000" w:themeColor="text1"/>
                <w:sz w:val="20"/>
                <w:szCs w:val="20"/>
              </w:rPr>
              <w:t>Potatoes</w:t>
            </w:r>
          </w:p>
        </w:tc>
        <w:tc>
          <w:tcPr>
            <w:tcW w:w="1134" w:type="dxa"/>
            <w:vMerge w:val="restart"/>
            <w:shd w:val="clear" w:color="auto" w:fill="BDD6EE" w:themeFill="accent5" w:themeFillTint="66"/>
            <w:vAlign w:val="center"/>
          </w:tcPr>
          <w:p w14:paraId="25A1B17F"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a)</w:t>
            </w:r>
          </w:p>
        </w:tc>
        <w:tc>
          <w:tcPr>
            <w:tcW w:w="1559" w:type="dxa"/>
            <w:shd w:val="clear" w:color="auto" w:fill="BDD6EE" w:themeFill="accent5" w:themeFillTint="66"/>
            <w:vAlign w:val="center"/>
          </w:tcPr>
          <w:p w14:paraId="47232D54"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Chronic toxicity</w:t>
            </w:r>
          </w:p>
        </w:tc>
        <w:tc>
          <w:tcPr>
            <w:tcW w:w="992" w:type="dxa"/>
            <w:shd w:val="clear" w:color="auto" w:fill="BDD6EE" w:themeFill="accent5" w:themeFillTint="66"/>
            <w:vAlign w:val="center"/>
          </w:tcPr>
          <w:p w14:paraId="2B8EC157"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Weeds</w:t>
            </w:r>
          </w:p>
        </w:tc>
        <w:tc>
          <w:tcPr>
            <w:tcW w:w="851" w:type="dxa"/>
            <w:shd w:val="clear" w:color="auto" w:fill="BDD6EE" w:themeFill="accent5" w:themeFillTint="66"/>
            <w:vAlign w:val="center"/>
          </w:tcPr>
          <w:p w14:paraId="1E9BE792"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10-39</w:t>
            </w:r>
          </w:p>
        </w:tc>
        <w:tc>
          <w:tcPr>
            <w:tcW w:w="708" w:type="dxa"/>
            <w:shd w:val="clear" w:color="auto" w:fill="BDD6EE" w:themeFill="accent5" w:themeFillTint="66"/>
            <w:vAlign w:val="center"/>
          </w:tcPr>
          <w:p w14:paraId="5E0F9205"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0.057</w:t>
            </w:r>
          </w:p>
        </w:tc>
        <w:tc>
          <w:tcPr>
            <w:tcW w:w="885" w:type="dxa"/>
            <w:shd w:val="clear" w:color="auto" w:fill="BDD6EE" w:themeFill="accent5" w:themeFillTint="66"/>
            <w:vAlign w:val="center"/>
          </w:tcPr>
          <w:p w14:paraId="1661BCAF"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 0.03</w:t>
            </w:r>
          </w:p>
        </w:tc>
        <w:tc>
          <w:tcPr>
            <w:tcW w:w="1094" w:type="dxa"/>
            <w:shd w:val="clear" w:color="auto" w:fill="BDD6EE" w:themeFill="accent5" w:themeFillTint="66"/>
            <w:vAlign w:val="center"/>
          </w:tcPr>
          <w:p w14:paraId="3E904A82"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1.9</w:t>
            </w:r>
          </w:p>
        </w:tc>
      </w:tr>
      <w:tr w:rsidR="00FC6519" w:rsidRPr="006C550F" w14:paraId="1CFDCC5C" w14:textId="77777777" w:rsidTr="00802A8C">
        <w:trPr>
          <w:jc w:val="center"/>
        </w:trPr>
        <w:tc>
          <w:tcPr>
            <w:tcW w:w="2122" w:type="dxa"/>
            <w:vMerge w:val="restart"/>
            <w:shd w:val="clear" w:color="auto" w:fill="BDD6EE" w:themeFill="accent5" w:themeFillTint="66"/>
            <w:vAlign w:val="center"/>
          </w:tcPr>
          <w:p w14:paraId="1EF9519C"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Onions</w:t>
            </w:r>
          </w:p>
          <w:p w14:paraId="5DBC8019" w14:textId="77777777" w:rsidR="00FC6519" w:rsidRPr="006C550F" w:rsidRDefault="00FC6519" w:rsidP="006C550F">
            <w:pPr>
              <w:keepNext/>
              <w:keepLines/>
              <w:shd w:val="clear" w:color="auto" w:fill="BDD6EE" w:themeFill="accent5" w:themeFillTint="66"/>
              <w:rPr>
                <w:color w:val="000000" w:themeColor="text1"/>
                <w:sz w:val="20"/>
                <w:szCs w:val="20"/>
              </w:rPr>
            </w:pPr>
            <w:r w:rsidRPr="006C550F">
              <w:rPr>
                <w:rFonts w:eastAsia="MS Mincho"/>
                <w:color w:val="000000" w:themeColor="text1"/>
                <w:sz w:val="20"/>
                <w:szCs w:val="20"/>
              </w:rPr>
              <w:t>(bulb vegetables)</w:t>
            </w:r>
          </w:p>
        </w:tc>
        <w:tc>
          <w:tcPr>
            <w:tcW w:w="1134" w:type="dxa"/>
            <w:vMerge/>
            <w:shd w:val="clear" w:color="auto" w:fill="BDD6EE" w:themeFill="accent5" w:themeFillTint="66"/>
            <w:vAlign w:val="center"/>
          </w:tcPr>
          <w:p w14:paraId="238B224A"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val="restart"/>
            <w:shd w:val="clear" w:color="auto" w:fill="BDD6EE" w:themeFill="accent5" w:themeFillTint="66"/>
            <w:vAlign w:val="center"/>
          </w:tcPr>
          <w:p w14:paraId="2BAF373E"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color w:val="000000" w:themeColor="text1"/>
                <w:sz w:val="20"/>
                <w:szCs w:val="20"/>
              </w:rPr>
              <w:t>Chronic toxicity</w:t>
            </w:r>
          </w:p>
        </w:tc>
        <w:tc>
          <w:tcPr>
            <w:tcW w:w="992" w:type="dxa"/>
            <w:vMerge w:val="restart"/>
            <w:shd w:val="clear" w:color="auto" w:fill="BDD6EE" w:themeFill="accent5" w:themeFillTint="66"/>
            <w:vAlign w:val="center"/>
          </w:tcPr>
          <w:p w14:paraId="7BE70E80"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Treated crop</w:t>
            </w:r>
          </w:p>
        </w:tc>
        <w:tc>
          <w:tcPr>
            <w:tcW w:w="851" w:type="dxa"/>
            <w:shd w:val="clear" w:color="auto" w:fill="BDD6EE" w:themeFill="accent5" w:themeFillTint="66"/>
            <w:vAlign w:val="center"/>
          </w:tcPr>
          <w:p w14:paraId="6A24418E"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0BF3C493"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0.114</w:t>
            </w:r>
          </w:p>
        </w:tc>
        <w:tc>
          <w:tcPr>
            <w:tcW w:w="885" w:type="dxa"/>
            <w:vMerge w:val="restart"/>
            <w:shd w:val="clear" w:color="auto" w:fill="BDD6EE" w:themeFill="accent5" w:themeFillTint="66"/>
            <w:vAlign w:val="center"/>
          </w:tcPr>
          <w:p w14:paraId="21C8E2AB"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0.03</w:t>
            </w:r>
          </w:p>
        </w:tc>
        <w:tc>
          <w:tcPr>
            <w:tcW w:w="1094" w:type="dxa"/>
            <w:shd w:val="clear" w:color="auto" w:fill="BDD6EE" w:themeFill="accent5" w:themeFillTint="66"/>
            <w:vAlign w:val="center"/>
          </w:tcPr>
          <w:p w14:paraId="32AC747E"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3.8</w:t>
            </w:r>
          </w:p>
        </w:tc>
      </w:tr>
      <w:tr w:rsidR="00FC6519" w:rsidRPr="006C550F" w14:paraId="59B35606" w14:textId="77777777" w:rsidTr="00802A8C">
        <w:trPr>
          <w:jc w:val="center"/>
        </w:trPr>
        <w:tc>
          <w:tcPr>
            <w:tcW w:w="2122" w:type="dxa"/>
            <w:vMerge/>
            <w:shd w:val="clear" w:color="auto" w:fill="BDD6EE" w:themeFill="accent5" w:themeFillTint="66"/>
            <w:vAlign w:val="center"/>
          </w:tcPr>
          <w:p w14:paraId="4F959CF1" w14:textId="77777777" w:rsidR="00FC6519" w:rsidRPr="006C550F" w:rsidRDefault="00FC6519" w:rsidP="006C550F">
            <w:pPr>
              <w:keepNext/>
              <w:keepLines/>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39B2BA3E"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shd w:val="clear" w:color="auto" w:fill="BDD6EE" w:themeFill="accent5" w:themeFillTint="66"/>
            <w:vAlign w:val="center"/>
          </w:tcPr>
          <w:p w14:paraId="189FBD8F"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4337D30B"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851" w:type="dxa"/>
            <w:shd w:val="clear" w:color="auto" w:fill="BDD6EE" w:themeFill="accent5" w:themeFillTint="66"/>
            <w:vAlign w:val="center"/>
          </w:tcPr>
          <w:p w14:paraId="4FA81A65"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7F0986E1"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0.114</w:t>
            </w:r>
          </w:p>
        </w:tc>
        <w:tc>
          <w:tcPr>
            <w:tcW w:w="885" w:type="dxa"/>
            <w:vMerge/>
            <w:shd w:val="clear" w:color="auto" w:fill="BDD6EE" w:themeFill="accent5" w:themeFillTint="66"/>
            <w:vAlign w:val="center"/>
          </w:tcPr>
          <w:p w14:paraId="2B885F0C"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29B32C32"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3.8</w:t>
            </w:r>
          </w:p>
        </w:tc>
      </w:tr>
      <w:tr w:rsidR="00FC6519" w:rsidRPr="006C550F" w14:paraId="5AEEC4E8" w14:textId="77777777" w:rsidTr="00802A8C">
        <w:trPr>
          <w:jc w:val="center"/>
        </w:trPr>
        <w:tc>
          <w:tcPr>
            <w:tcW w:w="2122" w:type="dxa"/>
            <w:vMerge/>
            <w:shd w:val="clear" w:color="auto" w:fill="BDD6EE" w:themeFill="accent5" w:themeFillTint="66"/>
            <w:vAlign w:val="center"/>
          </w:tcPr>
          <w:p w14:paraId="4FF8188B" w14:textId="77777777" w:rsidR="00FC6519" w:rsidRPr="006C550F" w:rsidRDefault="00FC6519" w:rsidP="006C550F">
            <w:pPr>
              <w:keepNext/>
              <w:keepLines/>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7BD269B4"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shd w:val="clear" w:color="auto" w:fill="BDD6EE" w:themeFill="accent5" w:themeFillTint="66"/>
            <w:vAlign w:val="center"/>
          </w:tcPr>
          <w:p w14:paraId="522E1D18"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992" w:type="dxa"/>
            <w:vMerge w:val="restart"/>
            <w:shd w:val="clear" w:color="auto" w:fill="BDD6EE" w:themeFill="accent5" w:themeFillTint="66"/>
            <w:vAlign w:val="center"/>
          </w:tcPr>
          <w:p w14:paraId="4E1F018D"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Weeds</w:t>
            </w:r>
          </w:p>
        </w:tc>
        <w:tc>
          <w:tcPr>
            <w:tcW w:w="851" w:type="dxa"/>
            <w:shd w:val="clear" w:color="auto" w:fill="BDD6EE" w:themeFill="accent5" w:themeFillTint="66"/>
            <w:vAlign w:val="center"/>
          </w:tcPr>
          <w:p w14:paraId="168B6447"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7C92BA67"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0.057</w:t>
            </w:r>
          </w:p>
        </w:tc>
        <w:tc>
          <w:tcPr>
            <w:tcW w:w="885" w:type="dxa"/>
            <w:vMerge/>
            <w:shd w:val="clear" w:color="auto" w:fill="BDD6EE" w:themeFill="accent5" w:themeFillTint="66"/>
            <w:vAlign w:val="center"/>
          </w:tcPr>
          <w:p w14:paraId="2405ED9E"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127984F7"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1.9</w:t>
            </w:r>
          </w:p>
        </w:tc>
      </w:tr>
      <w:tr w:rsidR="00FC6519" w:rsidRPr="006C550F" w14:paraId="2E3B9F87" w14:textId="77777777" w:rsidTr="00802A8C">
        <w:trPr>
          <w:jc w:val="center"/>
        </w:trPr>
        <w:tc>
          <w:tcPr>
            <w:tcW w:w="2122" w:type="dxa"/>
            <w:vMerge/>
            <w:shd w:val="clear" w:color="auto" w:fill="BDD6EE" w:themeFill="accent5" w:themeFillTint="66"/>
            <w:vAlign w:val="center"/>
          </w:tcPr>
          <w:p w14:paraId="1504D592" w14:textId="77777777" w:rsidR="00FC6519" w:rsidRPr="006C550F" w:rsidRDefault="00FC6519" w:rsidP="006C550F">
            <w:pPr>
              <w:keepNext/>
              <w:keepLines/>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7581FAFB"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shd w:val="clear" w:color="auto" w:fill="BDD6EE" w:themeFill="accent5" w:themeFillTint="66"/>
            <w:vAlign w:val="center"/>
          </w:tcPr>
          <w:p w14:paraId="16867130"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3EB0F79C"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851" w:type="dxa"/>
            <w:shd w:val="clear" w:color="auto" w:fill="BDD6EE" w:themeFill="accent5" w:themeFillTint="66"/>
            <w:vAlign w:val="center"/>
          </w:tcPr>
          <w:p w14:paraId="2617E5DA"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7DD9AF4A"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0.034</w:t>
            </w:r>
          </w:p>
        </w:tc>
        <w:tc>
          <w:tcPr>
            <w:tcW w:w="885" w:type="dxa"/>
            <w:vMerge/>
            <w:shd w:val="clear" w:color="auto" w:fill="BDD6EE" w:themeFill="accent5" w:themeFillTint="66"/>
            <w:vAlign w:val="center"/>
          </w:tcPr>
          <w:p w14:paraId="23269495"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1A1EE4C8"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1.1</w:t>
            </w:r>
          </w:p>
        </w:tc>
      </w:tr>
      <w:tr w:rsidR="00FC6519" w:rsidRPr="006C550F" w14:paraId="764210AD" w14:textId="77777777" w:rsidTr="00802A8C">
        <w:trPr>
          <w:jc w:val="center"/>
        </w:trPr>
        <w:tc>
          <w:tcPr>
            <w:tcW w:w="2122" w:type="dxa"/>
            <w:vMerge/>
            <w:shd w:val="clear" w:color="auto" w:fill="BDD6EE" w:themeFill="accent5" w:themeFillTint="66"/>
            <w:vAlign w:val="center"/>
          </w:tcPr>
          <w:p w14:paraId="4063D3D6" w14:textId="77777777" w:rsidR="00FC6519" w:rsidRPr="006C550F" w:rsidRDefault="00FC6519" w:rsidP="006C550F">
            <w:pPr>
              <w:keepNext/>
              <w:keepLines/>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50C291C2"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val="restart"/>
            <w:shd w:val="clear" w:color="auto" w:fill="BDD6EE" w:themeFill="accent5" w:themeFillTint="66"/>
            <w:vAlign w:val="center"/>
          </w:tcPr>
          <w:p w14:paraId="535E9139"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Bee larval toxicity</w:t>
            </w:r>
          </w:p>
        </w:tc>
        <w:tc>
          <w:tcPr>
            <w:tcW w:w="992" w:type="dxa"/>
            <w:vMerge w:val="restart"/>
            <w:shd w:val="clear" w:color="auto" w:fill="BDD6EE" w:themeFill="accent5" w:themeFillTint="66"/>
            <w:vAlign w:val="center"/>
          </w:tcPr>
          <w:p w14:paraId="6DF61810"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Treated crop</w:t>
            </w:r>
          </w:p>
        </w:tc>
        <w:tc>
          <w:tcPr>
            <w:tcW w:w="851" w:type="dxa"/>
            <w:shd w:val="clear" w:color="auto" w:fill="BDD6EE" w:themeFill="accent5" w:themeFillTint="66"/>
            <w:vAlign w:val="center"/>
          </w:tcPr>
          <w:p w14:paraId="15060E48"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245EAC5C"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0.20</w:t>
            </w:r>
          </w:p>
        </w:tc>
        <w:tc>
          <w:tcPr>
            <w:tcW w:w="885" w:type="dxa"/>
            <w:vMerge w:val="restart"/>
            <w:shd w:val="clear" w:color="auto" w:fill="BDD6EE" w:themeFill="accent5" w:themeFillTint="66"/>
            <w:vAlign w:val="center"/>
          </w:tcPr>
          <w:p w14:paraId="5F0714D8"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0.2</w:t>
            </w:r>
          </w:p>
        </w:tc>
        <w:tc>
          <w:tcPr>
            <w:tcW w:w="1094" w:type="dxa"/>
            <w:shd w:val="clear" w:color="auto" w:fill="BDD6EE" w:themeFill="accent5" w:themeFillTint="66"/>
            <w:vAlign w:val="center"/>
          </w:tcPr>
          <w:p w14:paraId="2DB790FD"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w:t>
            </w:r>
          </w:p>
        </w:tc>
      </w:tr>
      <w:tr w:rsidR="00FC6519" w:rsidRPr="006C550F" w14:paraId="1319D107" w14:textId="77777777" w:rsidTr="00802A8C">
        <w:trPr>
          <w:jc w:val="center"/>
        </w:trPr>
        <w:tc>
          <w:tcPr>
            <w:tcW w:w="2122" w:type="dxa"/>
            <w:vMerge/>
            <w:shd w:val="clear" w:color="auto" w:fill="BDD6EE" w:themeFill="accent5" w:themeFillTint="66"/>
            <w:vAlign w:val="center"/>
          </w:tcPr>
          <w:p w14:paraId="5F86A3B9" w14:textId="77777777" w:rsidR="00FC6519" w:rsidRPr="006C550F" w:rsidRDefault="00FC6519" w:rsidP="006C550F">
            <w:pPr>
              <w:keepNext/>
              <w:keepLines/>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4B43D92E"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vMerge/>
            <w:shd w:val="clear" w:color="auto" w:fill="BDD6EE" w:themeFill="accent5" w:themeFillTint="66"/>
            <w:vAlign w:val="center"/>
          </w:tcPr>
          <w:p w14:paraId="04EFA5E9"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78BC9A35"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851" w:type="dxa"/>
            <w:shd w:val="clear" w:color="auto" w:fill="BDD6EE" w:themeFill="accent5" w:themeFillTint="66"/>
            <w:vAlign w:val="center"/>
          </w:tcPr>
          <w:p w14:paraId="7674D6CA"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7B61072E"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0.20</w:t>
            </w:r>
          </w:p>
        </w:tc>
        <w:tc>
          <w:tcPr>
            <w:tcW w:w="885" w:type="dxa"/>
            <w:vMerge/>
            <w:shd w:val="clear" w:color="auto" w:fill="BDD6EE" w:themeFill="accent5" w:themeFillTint="66"/>
            <w:vAlign w:val="center"/>
          </w:tcPr>
          <w:p w14:paraId="545D5D08"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1CC6D659"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w:t>
            </w:r>
          </w:p>
        </w:tc>
      </w:tr>
      <w:tr w:rsidR="00FC6519" w:rsidRPr="006C550F" w14:paraId="178856BB" w14:textId="77777777" w:rsidTr="00802A8C">
        <w:trPr>
          <w:jc w:val="center"/>
        </w:trPr>
        <w:tc>
          <w:tcPr>
            <w:tcW w:w="2122" w:type="dxa"/>
            <w:shd w:val="clear" w:color="auto" w:fill="BDD6EE" w:themeFill="accent5" w:themeFillTint="66"/>
            <w:vAlign w:val="center"/>
          </w:tcPr>
          <w:p w14:paraId="6074B1F6"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Tomato and aubergine</w:t>
            </w:r>
          </w:p>
          <w:p w14:paraId="77DC21F3" w14:textId="77777777" w:rsidR="00FC6519" w:rsidRPr="006C550F" w:rsidRDefault="00FC6519" w:rsidP="006C550F">
            <w:pPr>
              <w:keepNext/>
              <w:keepLines/>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(fruiting vegetables)</w:t>
            </w:r>
          </w:p>
        </w:tc>
        <w:tc>
          <w:tcPr>
            <w:tcW w:w="1134" w:type="dxa"/>
            <w:vMerge/>
            <w:shd w:val="clear" w:color="auto" w:fill="BDD6EE" w:themeFill="accent5" w:themeFillTint="66"/>
            <w:vAlign w:val="center"/>
          </w:tcPr>
          <w:p w14:paraId="530F6395"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559" w:type="dxa"/>
            <w:shd w:val="clear" w:color="auto" w:fill="BDD6EE" w:themeFill="accent5" w:themeFillTint="66"/>
            <w:vAlign w:val="center"/>
          </w:tcPr>
          <w:p w14:paraId="106C3229"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color w:val="000000" w:themeColor="text1"/>
                <w:sz w:val="20"/>
                <w:szCs w:val="20"/>
              </w:rPr>
              <w:t>Chronic toxicity</w:t>
            </w:r>
          </w:p>
        </w:tc>
        <w:tc>
          <w:tcPr>
            <w:tcW w:w="992" w:type="dxa"/>
            <w:shd w:val="clear" w:color="auto" w:fill="BDD6EE" w:themeFill="accent5" w:themeFillTint="66"/>
            <w:vAlign w:val="center"/>
          </w:tcPr>
          <w:p w14:paraId="21CCF902"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rFonts w:eastAsia="MS Mincho"/>
                <w:color w:val="000000" w:themeColor="text1"/>
                <w:sz w:val="20"/>
                <w:szCs w:val="20"/>
              </w:rPr>
              <w:t>Weeds</w:t>
            </w:r>
          </w:p>
        </w:tc>
        <w:tc>
          <w:tcPr>
            <w:tcW w:w="851" w:type="dxa"/>
            <w:shd w:val="clear" w:color="auto" w:fill="BDD6EE" w:themeFill="accent5" w:themeFillTint="66"/>
            <w:vAlign w:val="center"/>
          </w:tcPr>
          <w:p w14:paraId="4F797859"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10-49</w:t>
            </w:r>
          </w:p>
        </w:tc>
        <w:tc>
          <w:tcPr>
            <w:tcW w:w="708" w:type="dxa"/>
            <w:shd w:val="clear" w:color="auto" w:fill="BDD6EE" w:themeFill="accent5" w:themeFillTint="66"/>
            <w:vAlign w:val="center"/>
          </w:tcPr>
          <w:p w14:paraId="020AD823"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0.057</w:t>
            </w:r>
          </w:p>
        </w:tc>
        <w:tc>
          <w:tcPr>
            <w:tcW w:w="885" w:type="dxa"/>
            <w:shd w:val="clear" w:color="auto" w:fill="BDD6EE" w:themeFill="accent5" w:themeFillTint="66"/>
            <w:vAlign w:val="center"/>
          </w:tcPr>
          <w:p w14:paraId="7512561B"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0.03</w:t>
            </w:r>
          </w:p>
        </w:tc>
        <w:tc>
          <w:tcPr>
            <w:tcW w:w="1094" w:type="dxa"/>
            <w:shd w:val="clear" w:color="auto" w:fill="BDD6EE" w:themeFill="accent5" w:themeFillTint="66"/>
            <w:vAlign w:val="center"/>
          </w:tcPr>
          <w:p w14:paraId="5B7E4E22"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1.9</w:t>
            </w:r>
          </w:p>
        </w:tc>
      </w:tr>
    </w:tbl>
    <w:p w14:paraId="6473F862" w14:textId="77777777" w:rsidR="00FC6519" w:rsidRPr="006C550F" w:rsidRDefault="00FC6519" w:rsidP="006C550F">
      <w:pPr>
        <w:keepNext/>
        <w:keepLines/>
        <w:shd w:val="clear" w:color="auto" w:fill="BDD6EE" w:themeFill="accent5" w:themeFillTint="66"/>
        <w:jc w:val="both"/>
        <w:rPr>
          <w:color w:val="000000" w:themeColor="text1"/>
          <w:sz w:val="18"/>
          <w:szCs w:val="18"/>
        </w:rPr>
      </w:pPr>
      <w:r w:rsidRPr="006C550F">
        <w:rPr>
          <w:rFonts w:eastAsia="MS Mincho"/>
          <w:color w:val="000000" w:themeColor="text1"/>
          <w:sz w:val="18"/>
          <w:szCs w:val="18"/>
          <w:vertAlign w:val="superscript"/>
        </w:rPr>
        <w:t>a)</w:t>
      </w:r>
      <w:r w:rsidRPr="006C550F">
        <w:rPr>
          <w:rFonts w:eastAsia="MS Mincho"/>
          <w:color w:val="000000" w:themeColor="text1"/>
          <w:sz w:val="18"/>
          <w:szCs w:val="18"/>
        </w:rPr>
        <w:t xml:space="preserve"> Based on an application rate of 2 L product/L and </w:t>
      </w:r>
      <w:r w:rsidRPr="006C550F">
        <w:rPr>
          <w:color w:val="000000" w:themeColor="text1"/>
          <w:sz w:val="18"/>
          <w:szCs w:val="18"/>
        </w:rPr>
        <w:t>the density of BAS 743 03 F of 1.071 g/cm</w:t>
      </w:r>
      <w:r w:rsidRPr="006C550F">
        <w:rPr>
          <w:color w:val="000000" w:themeColor="text1"/>
          <w:sz w:val="18"/>
          <w:szCs w:val="18"/>
          <w:vertAlign w:val="superscript"/>
        </w:rPr>
        <w:t>3</w:t>
      </w:r>
      <w:r w:rsidRPr="006C550F">
        <w:rPr>
          <w:color w:val="000000" w:themeColor="text1"/>
          <w:sz w:val="18"/>
          <w:szCs w:val="18"/>
        </w:rPr>
        <w:t>.</w:t>
      </w:r>
    </w:p>
    <w:p w14:paraId="500CA722" w14:textId="77777777" w:rsidR="00FC6519" w:rsidRPr="006C550F" w:rsidRDefault="00FC6519" w:rsidP="006C550F">
      <w:pPr>
        <w:shd w:val="clear" w:color="auto" w:fill="BDD6EE" w:themeFill="accent5" w:themeFillTint="66"/>
        <w:rPr>
          <w:color w:val="000000" w:themeColor="text1"/>
        </w:rPr>
      </w:pPr>
    </w:p>
    <w:p w14:paraId="1074B3E6" w14:textId="77777777" w:rsidR="00FC6519" w:rsidRPr="006C550F" w:rsidRDefault="00FC6519" w:rsidP="006C550F">
      <w:pPr>
        <w:shd w:val="clear" w:color="auto" w:fill="BDD6EE" w:themeFill="accent5" w:themeFillTint="66"/>
        <w:jc w:val="both"/>
        <w:rPr>
          <w:color w:val="000000" w:themeColor="text1"/>
        </w:rPr>
      </w:pPr>
    </w:p>
    <w:p w14:paraId="68262B49" w14:textId="77777777" w:rsidR="00FC6519" w:rsidRPr="006C550F" w:rsidRDefault="00FC6519" w:rsidP="006C550F">
      <w:pPr>
        <w:shd w:val="clear" w:color="auto" w:fill="BDD6EE" w:themeFill="accent5" w:themeFillTint="66"/>
        <w:jc w:val="both"/>
        <w:rPr>
          <w:color w:val="000000" w:themeColor="text1"/>
          <w:u w:val="single"/>
        </w:rPr>
      </w:pPr>
      <w:r w:rsidRPr="006C550F">
        <w:rPr>
          <w:color w:val="000000" w:themeColor="text1"/>
          <w:u w:val="single"/>
        </w:rPr>
        <w:t>Refined risk assessment for chronic exposure of adults honey bee and honey bee larvae</w:t>
      </w:r>
    </w:p>
    <w:p w14:paraId="1B577A38" w14:textId="77777777" w:rsidR="00FC6519" w:rsidRPr="006C550F" w:rsidRDefault="00FC6519" w:rsidP="006C550F">
      <w:pPr>
        <w:shd w:val="clear" w:color="auto" w:fill="BDD6EE" w:themeFill="accent5" w:themeFillTint="66"/>
        <w:jc w:val="both"/>
        <w:rPr>
          <w:color w:val="000000" w:themeColor="text1"/>
          <w:u w:val="single"/>
        </w:rPr>
      </w:pPr>
    </w:p>
    <w:p w14:paraId="05F88300" w14:textId="77777777" w:rsidR="00FC6519" w:rsidRPr="006C550F" w:rsidRDefault="00FC6519" w:rsidP="006C550F">
      <w:pPr>
        <w:shd w:val="clear" w:color="auto" w:fill="BDD6EE" w:themeFill="accent5" w:themeFillTint="66"/>
        <w:autoSpaceDE w:val="0"/>
        <w:autoSpaceDN w:val="0"/>
        <w:adjustRightInd w:val="0"/>
        <w:jc w:val="both"/>
        <w:rPr>
          <w:color w:val="000000" w:themeColor="text1"/>
          <w:lang w:val="en-GB" w:eastAsia="de-DE"/>
        </w:rPr>
      </w:pPr>
      <w:r w:rsidRPr="006C550F">
        <w:rPr>
          <w:color w:val="000000" w:themeColor="text1"/>
          <w:lang w:val="en-GB" w:eastAsia="de-DE"/>
        </w:rPr>
        <w:t>In EFSA (2013), the default DT</w:t>
      </w:r>
      <w:r w:rsidRPr="006C550F">
        <w:rPr>
          <w:color w:val="000000" w:themeColor="text1"/>
          <w:vertAlign w:val="subscript"/>
          <w:lang w:val="en-GB" w:eastAsia="de-DE"/>
        </w:rPr>
        <w:t xml:space="preserve">50 </w:t>
      </w:r>
      <w:r w:rsidRPr="006C550F">
        <w:rPr>
          <w:color w:val="000000" w:themeColor="text1"/>
          <w:lang w:val="en-GB" w:eastAsia="de-DE"/>
        </w:rPr>
        <w:t>of 10 days is applied for pollen and nectar. However, in the recently published revised EFSA Guidance document on bee risk assessment (2023), default DT</w:t>
      </w:r>
      <w:r w:rsidRPr="006C550F">
        <w:rPr>
          <w:color w:val="000000" w:themeColor="text1"/>
          <w:vertAlign w:val="subscript"/>
          <w:lang w:val="en-GB" w:eastAsia="de-DE"/>
        </w:rPr>
        <w:t>50</w:t>
      </w:r>
      <w:r w:rsidRPr="006C550F">
        <w:rPr>
          <w:color w:val="000000" w:themeColor="text1"/>
          <w:lang w:val="en-GB" w:eastAsia="de-DE"/>
        </w:rPr>
        <w:t xml:space="preserve"> values of only 2 days for nectar and 3 days for pollen are proposed, based on a large database. Although the guidance is not in force yet, the review of the RUD data carried out to derive the above-mentioned DT</w:t>
      </w:r>
      <w:r w:rsidRPr="006C550F">
        <w:rPr>
          <w:color w:val="000000" w:themeColor="text1"/>
          <w:vertAlign w:val="subscript"/>
          <w:lang w:val="en-GB" w:eastAsia="de-DE"/>
        </w:rPr>
        <w:t>50</w:t>
      </w:r>
      <w:r w:rsidRPr="006C550F">
        <w:rPr>
          <w:color w:val="000000" w:themeColor="text1"/>
          <w:lang w:val="en-GB" w:eastAsia="de-DE"/>
        </w:rPr>
        <w:t xml:space="preserve"> values represents the state-of-the-art scientifically. Furthermore, the database was already published in a separate report in 2017 (</w:t>
      </w:r>
      <w:r w:rsidRPr="006C550F">
        <w:rPr>
          <w:color w:val="000000" w:themeColor="text1"/>
          <w:lang w:eastAsia="de-DE"/>
        </w:rPr>
        <w:t xml:space="preserve">Kyriakopoulou </w:t>
      </w:r>
      <w:r w:rsidRPr="006C550F">
        <w:rPr>
          <w:i/>
          <w:iCs/>
          <w:color w:val="000000" w:themeColor="text1"/>
          <w:lang w:eastAsia="de-DE"/>
        </w:rPr>
        <w:t>et al</w:t>
      </w:r>
      <w:r w:rsidRPr="006C550F">
        <w:rPr>
          <w:color w:val="000000" w:themeColor="text1"/>
          <w:lang w:eastAsia="de-DE"/>
        </w:rPr>
        <w:t>.</w:t>
      </w:r>
      <w:r w:rsidRPr="006C550F">
        <w:rPr>
          <w:rStyle w:val="Odwoanieprzypisudolnego"/>
          <w:color w:val="000000" w:themeColor="text1"/>
          <w:lang w:val="en-GB" w:eastAsia="de-DE"/>
        </w:rPr>
        <w:t xml:space="preserve"> </w:t>
      </w:r>
      <w:r w:rsidRPr="006C550F">
        <w:rPr>
          <w:rStyle w:val="Odwoanieprzypisudolnego"/>
          <w:color w:val="000000" w:themeColor="text1"/>
          <w:lang w:val="en-GB" w:eastAsia="de-DE"/>
        </w:rPr>
        <w:footnoteReference w:id="8"/>
      </w:r>
      <w:r w:rsidRPr="006C550F">
        <w:rPr>
          <w:color w:val="000000" w:themeColor="text1"/>
          <w:lang w:eastAsia="de-DE"/>
        </w:rPr>
        <w:t>) and only supplemented by four additional trials gathered by EFSA during the development of the 2023 guidance document (as stated in EFSA guidance 2023, Annex A of supplementary document).</w:t>
      </w:r>
      <w:r w:rsidRPr="006C550F">
        <w:rPr>
          <w:color w:val="000000" w:themeColor="text1"/>
          <w:lang w:val="en-GB" w:eastAsia="de-DE"/>
        </w:rPr>
        <w:t xml:space="preserve"> Thus, the DT</w:t>
      </w:r>
      <w:r w:rsidRPr="006C550F">
        <w:rPr>
          <w:color w:val="000000" w:themeColor="text1"/>
          <w:vertAlign w:val="subscript"/>
          <w:lang w:val="en-GB" w:eastAsia="de-DE"/>
        </w:rPr>
        <w:t>50</w:t>
      </w:r>
      <w:r w:rsidRPr="006C550F">
        <w:rPr>
          <w:color w:val="000000" w:themeColor="text1"/>
          <w:lang w:val="en-GB" w:eastAsia="de-DE"/>
        </w:rPr>
        <w:t xml:space="preserve"> values are considered applicable to the risk assessment for refinement and more relevant than the worst-case assumptions used in accordance with the obsolete EFSA Guidance of 2013. </w:t>
      </w:r>
    </w:p>
    <w:p w14:paraId="29C64382" w14:textId="77777777" w:rsidR="00FC6519" w:rsidRPr="006C550F" w:rsidRDefault="00FC6519" w:rsidP="006C550F">
      <w:pPr>
        <w:shd w:val="clear" w:color="auto" w:fill="BDD6EE" w:themeFill="accent5" w:themeFillTint="66"/>
        <w:jc w:val="both"/>
        <w:rPr>
          <w:color w:val="000000" w:themeColor="text1"/>
          <w:lang w:val="en-GB"/>
        </w:rPr>
      </w:pPr>
    </w:p>
    <w:p w14:paraId="3618A805" w14:textId="77777777" w:rsidR="00FC6519" w:rsidRPr="006C550F" w:rsidRDefault="00FC6519" w:rsidP="006C550F">
      <w:pPr>
        <w:shd w:val="clear" w:color="auto" w:fill="BDD6EE" w:themeFill="accent5" w:themeFillTint="66"/>
        <w:jc w:val="both"/>
        <w:rPr>
          <w:color w:val="000000" w:themeColor="text1"/>
          <w:lang w:val="en-GB" w:eastAsia="de-DE"/>
        </w:rPr>
      </w:pPr>
      <w:r w:rsidRPr="006C550F">
        <w:rPr>
          <w:color w:val="000000" w:themeColor="text1"/>
          <w:lang w:val="en-GB" w:eastAsia="de-DE"/>
        </w:rPr>
        <w:t>According to EFSA (2013) and EFSA (2023) no pollen uptake is indicated to be relevant for forager bees, thus, f</w:t>
      </w:r>
      <w:r w:rsidRPr="006C550F">
        <w:rPr>
          <w:color w:val="000000" w:themeColor="text1"/>
        </w:rPr>
        <w:t xml:space="preserve">or adult honey bees, a </w:t>
      </w:r>
      <w:r w:rsidRPr="006C550F">
        <w:rPr>
          <w:color w:val="000000" w:themeColor="text1"/>
          <w:lang w:val="en-GB" w:eastAsia="de-DE"/>
        </w:rPr>
        <w:t>f</w:t>
      </w:r>
      <w:r w:rsidRPr="006C550F">
        <w:rPr>
          <w:color w:val="000000" w:themeColor="text1"/>
          <w:vertAlign w:val="subscript"/>
          <w:lang w:val="en-GB" w:eastAsia="de-DE"/>
        </w:rPr>
        <w:t>TWA</w:t>
      </w:r>
      <w:r w:rsidRPr="006C550F">
        <w:rPr>
          <w:color w:val="000000" w:themeColor="text1"/>
          <w:lang w:val="en-GB" w:eastAsia="de-DE"/>
        </w:rPr>
        <w:t xml:space="preserve"> of 0.28 was calculated considering a 10-day time window and a DT</w:t>
      </w:r>
      <w:r w:rsidRPr="006C550F">
        <w:rPr>
          <w:color w:val="000000" w:themeColor="text1"/>
          <w:vertAlign w:val="subscript"/>
          <w:lang w:val="en-GB" w:eastAsia="de-DE"/>
        </w:rPr>
        <w:t>50</w:t>
      </w:r>
      <w:r w:rsidRPr="006C550F">
        <w:rPr>
          <w:color w:val="000000" w:themeColor="text1"/>
          <w:lang w:val="en-GB" w:eastAsia="de-DE"/>
        </w:rPr>
        <w:t xml:space="preserve"> of 2 days due to consumption of nectar only.</w:t>
      </w:r>
    </w:p>
    <w:p w14:paraId="6AF2A0D4" w14:textId="77777777" w:rsidR="00FC6519" w:rsidRPr="006C550F" w:rsidRDefault="00FC6519" w:rsidP="006C550F">
      <w:pPr>
        <w:shd w:val="clear" w:color="auto" w:fill="BDD6EE" w:themeFill="accent5" w:themeFillTint="66"/>
        <w:jc w:val="both"/>
        <w:rPr>
          <w:color w:val="000000" w:themeColor="text1"/>
          <w:lang w:val="en-GB" w:eastAsia="de-DE"/>
        </w:rPr>
      </w:pPr>
    </w:p>
    <w:p w14:paraId="7910DD1F" w14:textId="77777777" w:rsidR="00FC6519" w:rsidRPr="006C550F" w:rsidRDefault="00FC6519" w:rsidP="006C550F">
      <w:pPr>
        <w:shd w:val="clear" w:color="auto" w:fill="BDD6EE" w:themeFill="accent5" w:themeFillTint="66"/>
        <w:jc w:val="both"/>
        <w:rPr>
          <w:rFonts w:cs="Arial"/>
          <w:color w:val="000000" w:themeColor="text1"/>
          <w:lang w:val="en-GB"/>
        </w:rPr>
      </w:pPr>
      <w:r w:rsidRPr="006C550F">
        <w:rPr>
          <w:color w:val="000000" w:themeColor="text1"/>
          <w:lang w:val="en-GB" w:eastAsia="de-DE"/>
        </w:rPr>
        <w:t>In contrast, honeybee larvae consume both, nectar and pollen. In a worst-case approach, the f</w:t>
      </w:r>
      <w:r w:rsidRPr="006C550F">
        <w:rPr>
          <w:color w:val="000000" w:themeColor="text1"/>
          <w:vertAlign w:val="subscript"/>
          <w:lang w:val="en-GB" w:eastAsia="de-DE"/>
        </w:rPr>
        <w:t>TWA</w:t>
      </w:r>
      <w:r w:rsidRPr="006C550F">
        <w:rPr>
          <w:color w:val="000000" w:themeColor="text1"/>
          <w:lang w:val="en-GB" w:eastAsia="de-DE"/>
        </w:rPr>
        <w:t xml:space="preserve"> was calculated assuming only consumption of pollen. This is a highly conservative assumption as EFSA (2013) reports a small consumption of pollen (maximum 2.0 mg/larva) compared to the consumption of nectar (uptake of 59.4 mg sugar/larva with variable sugar content depending on the scenario). </w:t>
      </w:r>
      <w:r w:rsidRPr="006C550F">
        <w:rPr>
          <w:rFonts w:cs="Arial"/>
          <w:color w:val="000000" w:themeColor="text1"/>
          <w:lang w:val="en-GB"/>
        </w:rPr>
        <w:t>For bee larvae, a</w:t>
      </w:r>
      <w:r w:rsidRPr="006C550F">
        <w:rPr>
          <w:color w:val="000000" w:themeColor="text1"/>
          <w:lang w:val="en-GB" w:eastAsia="de-DE"/>
        </w:rPr>
        <w:t xml:space="preserve"> worst-case refined </w:t>
      </w:r>
      <w:r w:rsidRPr="006C550F">
        <w:rPr>
          <w:rFonts w:cs="Arial"/>
          <w:color w:val="000000" w:themeColor="text1"/>
          <w:lang w:val="en-GB"/>
        </w:rPr>
        <w:t>f</w:t>
      </w:r>
      <w:r w:rsidRPr="006C550F">
        <w:rPr>
          <w:rFonts w:cs="Arial"/>
          <w:color w:val="000000" w:themeColor="text1"/>
          <w:vertAlign w:val="subscript"/>
          <w:lang w:val="en-GB"/>
        </w:rPr>
        <w:t>TWA</w:t>
      </w:r>
      <w:r w:rsidRPr="006C550F">
        <w:rPr>
          <w:rFonts w:cs="Arial"/>
          <w:color w:val="000000" w:themeColor="text1"/>
          <w:lang w:val="en-GB"/>
        </w:rPr>
        <w:t xml:space="preserve"> of 0.59 was calculated based on a DT</w:t>
      </w:r>
      <w:r w:rsidRPr="006C550F">
        <w:rPr>
          <w:rFonts w:cs="Arial"/>
          <w:color w:val="000000" w:themeColor="text1"/>
          <w:vertAlign w:val="subscript"/>
          <w:lang w:val="en-GB"/>
        </w:rPr>
        <w:t>50</w:t>
      </w:r>
      <w:r w:rsidRPr="006C550F">
        <w:rPr>
          <w:rFonts w:cs="Arial"/>
          <w:color w:val="000000" w:themeColor="text1"/>
          <w:lang w:val="en-GB"/>
        </w:rPr>
        <w:t xml:space="preserve"> of 3 days for pollen and a 5-day time window.</w:t>
      </w:r>
    </w:p>
    <w:p w14:paraId="16FFF510" w14:textId="77777777" w:rsidR="00FC6519" w:rsidRPr="006C550F" w:rsidRDefault="00FC6519" w:rsidP="006C550F">
      <w:pPr>
        <w:shd w:val="clear" w:color="auto" w:fill="BDD6EE" w:themeFill="accent5" w:themeFillTint="66"/>
        <w:jc w:val="both"/>
        <w:rPr>
          <w:rFonts w:cs="Arial"/>
          <w:color w:val="000000" w:themeColor="text1"/>
          <w:lang w:val="en-GB"/>
        </w:rPr>
      </w:pPr>
    </w:p>
    <w:p w14:paraId="74691198" w14:textId="77777777" w:rsidR="00FC6519" w:rsidRPr="006C550F" w:rsidRDefault="00FC6519" w:rsidP="006C550F">
      <w:pPr>
        <w:shd w:val="clear" w:color="auto" w:fill="BDD6EE" w:themeFill="accent5" w:themeFillTint="66"/>
        <w:jc w:val="both"/>
        <w:rPr>
          <w:color w:val="000000" w:themeColor="text1"/>
          <w:lang w:val="en-GB" w:eastAsia="de-DE"/>
        </w:rPr>
      </w:pPr>
      <w:r w:rsidRPr="006C550F">
        <w:rPr>
          <w:color w:val="000000" w:themeColor="text1"/>
          <w:lang w:val="en-GB" w:eastAsia="de-DE"/>
        </w:rPr>
        <w:t>New ETR values are presented in the Table below applying the newly calculated f</w:t>
      </w:r>
      <w:r w:rsidRPr="006C550F">
        <w:rPr>
          <w:color w:val="000000" w:themeColor="text1"/>
          <w:vertAlign w:val="subscript"/>
          <w:lang w:val="en-GB" w:eastAsia="de-DE"/>
        </w:rPr>
        <w:t>TWA.</w:t>
      </w:r>
    </w:p>
    <w:p w14:paraId="7DD4E98E" w14:textId="77777777" w:rsidR="00FC6519" w:rsidRPr="006C550F" w:rsidRDefault="00FC6519" w:rsidP="006C550F">
      <w:pPr>
        <w:shd w:val="clear" w:color="auto" w:fill="BDD6EE" w:themeFill="accent5" w:themeFillTint="66"/>
        <w:jc w:val="both"/>
        <w:rPr>
          <w:color w:val="000000" w:themeColor="text1"/>
          <w:lang w:val="en-GB" w:eastAsia="de-DE"/>
        </w:rPr>
      </w:pPr>
    </w:p>
    <w:tbl>
      <w:tblPr>
        <w:tblStyle w:val="TableGrid42"/>
        <w:tblW w:w="0" w:type="auto"/>
        <w:jc w:val="center"/>
        <w:shd w:val="clear" w:color="auto" w:fill="BDD6EE" w:themeFill="accent5" w:themeFillTint="66"/>
        <w:tblLayout w:type="fixed"/>
        <w:tblLook w:val="04A0" w:firstRow="1" w:lastRow="0" w:firstColumn="1" w:lastColumn="0" w:noHBand="0" w:noVBand="1"/>
      </w:tblPr>
      <w:tblGrid>
        <w:gridCol w:w="2263"/>
        <w:gridCol w:w="1134"/>
        <w:gridCol w:w="1276"/>
        <w:gridCol w:w="992"/>
        <w:gridCol w:w="993"/>
        <w:gridCol w:w="708"/>
        <w:gridCol w:w="885"/>
        <w:gridCol w:w="1094"/>
      </w:tblGrid>
      <w:tr w:rsidR="00FC6519" w:rsidRPr="006C550F" w14:paraId="56733ACE" w14:textId="77777777" w:rsidTr="00802A8C">
        <w:trPr>
          <w:jc w:val="center"/>
        </w:trPr>
        <w:tc>
          <w:tcPr>
            <w:tcW w:w="2263" w:type="dxa"/>
            <w:shd w:val="clear" w:color="auto" w:fill="BDD6EE" w:themeFill="accent5" w:themeFillTint="66"/>
            <w:vAlign w:val="center"/>
          </w:tcPr>
          <w:p w14:paraId="6C10D7CE"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lastRenderedPageBreak/>
              <w:t>Crop(s)</w:t>
            </w:r>
          </w:p>
        </w:tc>
        <w:tc>
          <w:tcPr>
            <w:tcW w:w="1134" w:type="dxa"/>
            <w:shd w:val="clear" w:color="auto" w:fill="BDD6EE" w:themeFill="accent5" w:themeFillTint="66"/>
            <w:vAlign w:val="center"/>
          </w:tcPr>
          <w:p w14:paraId="5D33F757"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Maximum single use rate</w:t>
            </w:r>
          </w:p>
          <w:p w14:paraId="2DA4A809"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[g/ha]</w:t>
            </w:r>
          </w:p>
        </w:tc>
        <w:tc>
          <w:tcPr>
            <w:tcW w:w="1276" w:type="dxa"/>
            <w:shd w:val="clear" w:color="auto" w:fill="BDD6EE" w:themeFill="accent5" w:themeFillTint="66"/>
            <w:vAlign w:val="center"/>
          </w:tcPr>
          <w:p w14:paraId="20CF3C89"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Assessment</w:t>
            </w:r>
          </w:p>
        </w:tc>
        <w:tc>
          <w:tcPr>
            <w:tcW w:w="992" w:type="dxa"/>
            <w:shd w:val="clear" w:color="auto" w:fill="BDD6EE" w:themeFill="accent5" w:themeFillTint="66"/>
            <w:vAlign w:val="center"/>
          </w:tcPr>
          <w:p w14:paraId="49521063"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Scenario</w:t>
            </w:r>
          </w:p>
        </w:tc>
        <w:tc>
          <w:tcPr>
            <w:tcW w:w="993" w:type="dxa"/>
            <w:shd w:val="clear" w:color="auto" w:fill="BDD6EE" w:themeFill="accent5" w:themeFillTint="66"/>
            <w:vAlign w:val="center"/>
          </w:tcPr>
          <w:p w14:paraId="6C4B7DC7"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BBCH</w:t>
            </w:r>
          </w:p>
        </w:tc>
        <w:tc>
          <w:tcPr>
            <w:tcW w:w="708" w:type="dxa"/>
            <w:shd w:val="clear" w:color="auto" w:fill="BDD6EE" w:themeFill="accent5" w:themeFillTint="66"/>
            <w:vAlign w:val="center"/>
          </w:tcPr>
          <w:p w14:paraId="27253700"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ETR</w:t>
            </w:r>
          </w:p>
        </w:tc>
        <w:tc>
          <w:tcPr>
            <w:tcW w:w="885" w:type="dxa"/>
            <w:shd w:val="clear" w:color="auto" w:fill="BDD6EE" w:themeFill="accent5" w:themeFillTint="66"/>
            <w:vAlign w:val="center"/>
          </w:tcPr>
          <w:p w14:paraId="59BBD0A4" w14:textId="77777777" w:rsidR="00FC6519" w:rsidRPr="006C550F" w:rsidRDefault="00FC6519" w:rsidP="006C550F">
            <w:pPr>
              <w:keepNext/>
              <w:keepLines/>
              <w:shd w:val="clear" w:color="auto" w:fill="BDD6EE" w:themeFill="accent5" w:themeFillTint="66"/>
              <w:rPr>
                <w:b/>
                <w:bCs/>
                <w:color w:val="000000" w:themeColor="text1"/>
                <w:sz w:val="20"/>
                <w:szCs w:val="20"/>
              </w:rPr>
            </w:pPr>
            <w:r w:rsidRPr="006C550F">
              <w:rPr>
                <w:b/>
                <w:bCs/>
                <w:color w:val="000000" w:themeColor="text1"/>
                <w:sz w:val="20"/>
                <w:szCs w:val="20"/>
              </w:rPr>
              <w:t>ETR trigger</w:t>
            </w:r>
          </w:p>
        </w:tc>
        <w:tc>
          <w:tcPr>
            <w:tcW w:w="1094" w:type="dxa"/>
            <w:shd w:val="clear" w:color="auto" w:fill="BDD6EE" w:themeFill="accent5" w:themeFillTint="66"/>
            <w:vAlign w:val="center"/>
          </w:tcPr>
          <w:p w14:paraId="15401506" w14:textId="77777777" w:rsidR="00FC6519" w:rsidRPr="006C550F" w:rsidRDefault="00FC6519" w:rsidP="006C550F">
            <w:pPr>
              <w:keepNext/>
              <w:keepLines/>
              <w:shd w:val="clear" w:color="auto" w:fill="BDD6EE" w:themeFill="accent5" w:themeFillTint="66"/>
              <w:jc w:val="center"/>
              <w:rPr>
                <w:b/>
                <w:bCs/>
                <w:color w:val="000000" w:themeColor="text1"/>
                <w:sz w:val="20"/>
                <w:szCs w:val="20"/>
              </w:rPr>
            </w:pPr>
            <w:r w:rsidRPr="006C550F">
              <w:rPr>
                <w:b/>
                <w:bCs/>
                <w:color w:val="000000" w:themeColor="text1"/>
                <w:sz w:val="20"/>
                <w:szCs w:val="20"/>
              </w:rPr>
              <w:t>Exceeding factor</w:t>
            </w:r>
          </w:p>
        </w:tc>
      </w:tr>
      <w:tr w:rsidR="00FC6519" w:rsidRPr="006C550F" w14:paraId="022551A9" w14:textId="77777777" w:rsidTr="00802A8C">
        <w:trPr>
          <w:jc w:val="center"/>
        </w:trPr>
        <w:tc>
          <w:tcPr>
            <w:tcW w:w="2263" w:type="dxa"/>
            <w:shd w:val="clear" w:color="auto" w:fill="BDD6EE" w:themeFill="accent5" w:themeFillTint="66"/>
            <w:vAlign w:val="center"/>
          </w:tcPr>
          <w:p w14:paraId="1DA3D072" w14:textId="77777777" w:rsidR="00FC6519" w:rsidRPr="006C550F" w:rsidRDefault="00FC6519" w:rsidP="006C550F">
            <w:pPr>
              <w:keepNext/>
              <w:keepLines/>
              <w:shd w:val="clear" w:color="auto" w:fill="BDD6EE" w:themeFill="accent5" w:themeFillTint="66"/>
              <w:rPr>
                <w:color w:val="000000" w:themeColor="text1"/>
                <w:sz w:val="20"/>
                <w:szCs w:val="20"/>
              </w:rPr>
            </w:pPr>
            <w:r w:rsidRPr="006C550F">
              <w:rPr>
                <w:color w:val="000000" w:themeColor="text1"/>
                <w:sz w:val="20"/>
                <w:szCs w:val="20"/>
              </w:rPr>
              <w:t>Potatoes</w:t>
            </w:r>
          </w:p>
        </w:tc>
        <w:tc>
          <w:tcPr>
            <w:tcW w:w="1134" w:type="dxa"/>
            <w:vMerge w:val="restart"/>
            <w:shd w:val="clear" w:color="auto" w:fill="BDD6EE" w:themeFill="accent5" w:themeFillTint="66"/>
            <w:vAlign w:val="center"/>
          </w:tcPr>
          <w:p w14:paraId="30807690"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rFonts w:eastAsia="MS Mincho"/>
                <w:color w:val="000000" w:themeColor="text1"/>
                <w:sz w:val="20"/>
                <w:szCs w:val="20"/>
              </w:rPr>
              <w:t xml:space="preserve">2142 </w:t>
            </w:r>
            <w:r w:rsidRPr="006C550F">
              <w:rPr>
                <w:rFonts w:eastAsia="MS Mincho"/>
                <w:color w:val="000000" w:themeColor="text1"/>
                <w:sz w:val="20"/>
                <w:szCs w:val="20"/>
                <w:vertAlign w:val="superscript"/>
              </w:rPr>
              <w:t>a)</w:t>
            </w:r>
          </w:p>
        </w:tc>
        <w:tc>
          <w:tcPr>
            <w:tcW w:w="1276" w:type="dxa"/>
            <w:shd w:val="clear" w:color="auto" w:fill="BDD6EE" w:themeFill="accent5" w:themeFillTint="66"/>
            <w:vAlign w:val="center"/>
          </w:tcPr>
          <w:p w14:paraId="4B514149"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Chronic toxicity</w:t>
            </w:r>
          </w:p>
        </w:tc>
        <w:tc>
          <w:tcPr>
            <w:tcW w:w="992" w:type="dxa"/>
            <w:shd w:val="clear" w:color="auto" w:fill="BDD6EE" w:themeFill="accent5" w:themeFillTint="66"/>
            <w:vAlign w:val="center"/>
          </w:tcPr>
          <w:p w14:paraId="07427899"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Weeds</w:t>
            </w:r>
          </w:p>
        </w:tc>
        <w:tc>
          <w:tcPr>
            <w:tcW w:w="993" w:type="dxa"/>
            <w:shd w:val="clear" w:color="auto" w:fill="BDD6EE" w:themeFill="accent5" w:themeFillTint="66"/>
            <w:vAlign w:val="center"/>
          </w:tcPr>
          <w:p w14:paraId="1C19285A"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10-39</w:t>
            </w:r>
          </w:p>
        </w:tc>
        <w:tc>
          <w:tcPr>
            <w:tcW w:w="708" w:type="dxa"/>
            <w:shd w:val="clear" w:color="auto" w:fill="BDD6EE" w:themeFill="accent5" w:themeFillTint="66"/>
            <w:vAlign w:val="center"/>
          </w:tcPr>
          <w:p w14:paraId="0C2DC2F7"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0.022</w:t>
            </w:r>
          </w:p>
        </w:tc>
        <w:tc>
          <w:tcPr>
            <w:tcW w:w="885" w:type="dxa"/>
            <w:shd w:val="clear" w:color="auto" w:fill="BDD6EE" w:themeFill="accent5" w:themeFillTint="66"/>
            <w:vAlign w:val="center"/>
          </w:tcPr>
          <w:p w14:paraId="529D2F08"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 0.03</w:t>
            </w:r>
          </w:p>
        </w:tc>
        <w:tc>
          <w:tcPr>
            <w:tcW w:w="1094" w:type="dxa"/>
            <w:shd w:val="clear" w:color="auto" w:fill="BDD6EE" w:themeFill="accent5" w:themeFillTint="66"/>
            <w:vAlign w:val="center"/>
          </w:tcPr>
          <w:p w14:paraId="732233AC"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w:t>
            </w:r>
          </w:p>
        </w:tc>
      </w:tr>
      <w:tr w:rsidR="00FC6519" w:rsidRPr="006C550F" w14:paraId="03ABB1AB" w14:textId="77777777" w:rsidTr="00802A8C">
        <w:trPr>
          <w:jc w:val="center"/>
        </w:trPr>
        <w:tc>
          <w:tcPr>
            <w:tcW w:w="2263" w:type="dxa"/>
            <w:vMerge w:val="restart"/>
            <w:shd w:val="clear" w:color="auto" w:fill="BDD6EE" w:themeFill="accent5" w:themeFillTint="66"/>
            <w:vAlign w:val="center"/>
          </w:tcPr>
          <w:p w14:paraId="6CBA83C1"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Onions</w:t>
            </w:r>
          </w:p>
          <w:p w14:paraId="4A5D6845" w14:textId="77777777" w:rsidR="00FC6519" w:rsidRPr="006C550F" w:rsidRDefault="00FC6519" w:rsidP="006C550F">
            <w:pPr>
              <w:keepNext/>
              <w:keepLines/>
              <w:shd w:val="clear" w:color="auto" w:fill="BDD6EE" w:themeFill="accent5" w:themeFillTint="66"/>
              <w:rPr>
                <w:color w:val="000000" w:themeColor="text1"/>
                <w:sz w:val="20"/>
                <w:szCs w:val="20"/>
              </w:rPr>
            </w:pPr>
            <w:r w:rsidRPr="006C550F">
              <w:rPr>
                <w:rFonts w:eastAsia="MS Mincho"/>
                <w:color w:val="000000" w:themeColor="text1"/>
                <w:sz w:val="20"/>
                <w:szCs w:val="20"/>
              </w:rPr>
              <w:t>(bulb vegetables)</w:t>
            </w:r>
          </w:p>
        </w:tc>
        <w:tc>
          <w:tcPr>
            <w:tcW w:w="1134" w:type="dxa"/>
            <w:vMerge/>
            <w:shd w:val="clear" w:color="auto" w:fill="BDD6EE" w:themeFill="accent5" w:themeFillTint="66"/>
            <w:vAlign w:val="center"/>
          </w:tcPr>
          <w:p w14:paraId="7C75F1DC" w14:textId="77777777" w:rsidR="00FC6519" w:rsidRPr="006C550F" w:rsidRDefault="00FC6519" w:rsidP="006C550F">
            <w:pPr>
              <w:keepNext/>
              <w:keepLines/>
              <w:shd w:val="clear" w:color="auto" w:fill="BDD6EE" w:themeFill="accent5" w:themeFillTint="66"/>
              <w:jc w:val="center"/>
              <w:rPr>
                <w:color w:val="000000" w:themeColor="text1"/>
                <w:sz w:val="20"/>
                <w:szCs w:val="20"/>
              </w:rPr>
            </w:pPr>
          </w:p>
        </w:tc>
        <w:tc>
          <w:tcPr>
            <w:tcW w:w="1276" w:type="dxa"/>
            <w:vMerge w:val="restart"/>
            <w:shd w:val="clear" w:color="auto" w:fill="BDD6EE" w:themeFill="accent5" w:themeFillTint="66"/>
            <w:vAlign w:val="center"/>
          </w:tcPr>
          <w:p w14:paraId="53CC7A1C"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color w:val="000000" w:themeColor="text1"/>
                <w:sz w:val="20"/>
                <w:szCs w:val="20"/>
              </w:rPr>
              <w:t>Chronic toxicity</w:t>
            </w:r>
          </w:p>
        </w:tc>
        <w:tc>
          <w:tcPr>
            <w:tcW w:w="992" w:type="dxa"/>
            <w:vMerge w:val="restart"/>
            <w:shd w:val="clear" w:color="auto" w:fill="BDD6EE" w:themeFill="accent5" w:themeFillTint="66"/>
            <w:vAlign w:val="center"/>
          </w:tcPr>
          <w:p w14:paraId="6675614E" w14:textId="77777777" w:rsidR="00FC6519" w:rsidRPr="006C550F" w:rsidRDefault="00FC6519" w:rsidP="006C550F">
            <w:pPr>
              <w:keepNext/>
              <w:keepLines/>
              <w:shd w:val="clear" w:color="auto" w:fill="BDD6EE" w:themeFill="accent5" w:themeFillTint="66"/>
              <w:jc w:val="center"/>
              <w:rPr>
                <w:color w:val="000000" w:themeColor="text1"/>
                <w:sz w:val="20"/>
                <w:szCs w:val="20"/>
              </w:rPr>
            </w:pPr>
            <w:r w:rsidRPr="006C550F">
              <w:rPr>
                <w:color w:val="000000" w:themeColor="text1"/>
                <w:sz w:val="20"/>
                <w:szCs w:val="20"/>
              </w:rPr>
              <w:t>Treated crop</w:t>
            </w:r>
          </w:p>
        </w:tc>
        <w:tc>
          <w:tcPr>
            <w:tcW w:w="993" w:type="dxa"/>
            <w:shd w:val="clear" w:color="auto" w:fill="BDD6EE" w:themeFill="accent5" w:themeFillTint="66"/>
            <w:vAlign w:val="center"/>
          </w:tcPr>
          <w:p w14:paraId="4022E512"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15BAC76C"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0.044</w:t>
            </w:r>
          </w:p>
        </w:tc>
        <w:tc>
          <w:tcPr>
            <w:tcW w:w="885" w:type="dxa"/>
            <w:vMerge w:val="restart"/>
            <w:shd w:val="clear" w:color="auto" w:fill="BDD6EE" w:themeFill="accent5" w:themeFillTint="66"/>
            <w:vAlign w:val="center"/>
          </w:tcPr>
          <w:p w14:paraId="39813295"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0.03</w:t>
            </w:r>
          </w:p>
        </w:tc>
        <w:tc>
          <w:tcPr>
            <w:tcW w:w="1094" w:type="dxa"/>
            <w:shd w:val="clear" w:color="auto" w:fill="BDD6EE" w:themeFill="accent5" w:themeFillTint="66"/>
            <w:vAlign w:val="center"/>
          </w:tcPr>
          <w:p w14:paraId="2C7E4862"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1.5</w:t>
            </w:r>
          </w:p>
        </w:tc>
      </w:tr>
      <w:tr w:rsidR="00FC6519" w:rsidRPr="006C550F" w14:paraId="337D7647" w14:textId="77777777" w:rsidTr="00802A8C">
        <w:trPr>
          <w:jc w:val="center"/>
        </w:trPr>
        <w:tc>
          <w:tcPr>
            <w:tcW w:w="2263" w:type="dxa"/>
            <w:vMerge/>
            <w:shd w:val="clear" w:color="auto" w:fill="BDD6EE" w:themeFill="accent5" w:themeFillTint="66"/>
            <w:vAlign w:val="center"/>
          </w:tcPr>
          <w:p w14:paraId="6CCBAD55" w14:textId="77777777" w:rsidR="00FC6519" w:rsidRPr="006C550F" w:rsidRDefault="00FC6519" w:rsidP="006C550F">
            <w:pPr>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5CC58944"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vMerge/>
            <w:shd w:val="clear" w:color="auto" w:fill="BDD6EE" w:themeFill="accent5" w:themeFillTint="66"/>
            <w:vAlign w:val="center"/>
          </w:tcPr>
          <w:p w14:paraId="212FEB6B"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4667290F" w14:textId="77777777" w:rsidR="00FC6519" w:rsidRPr="006C550F" w:rsidRDefault="00FC6519" w:rsidP="006C550F">
            <w:pPr>
              <w:shd w:val="clear" w:color="auto" w:fill="BDD6EE" w:themeFill="accent5" w:themeFillTint="66"/>
              <w:jc w:val="center"/>
              <w:rPr>
                <w:color w:val="000000" w:themeColor="text1"/>
                <w:sz w:val="20"/>
                <w:szCs w:val="20"/>
              </w:rPr>
            </w:pPr>
          </w:p>
        </w:tc>
        <w:tc>
          <w:tcPr>
            <w:tcW w:w="993" w:type="dxa"/>
            <w:shd w:val="clear" w:color="auto" w:fill="BDD6EE" w:themeFill="accent5" w:themeFillTint="66"/>
            <w:vAlign w:val="center"/>
          </w:tcPr>
          <w:p w14:paraId="7E9EFF55"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34B66CBF"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0.044</w:t>
            </w:r>
          </w:p>
        </w:tc>
        <w:tc>
          <w:tcPr>
            <w:tcW w:w="885" w:type="dxa"/>
            <w:vMerge/>
            <w:shd w:val="clear" w:color="auto" w:fill="BDD6EE" w:themeFill="accent5" w:themeFillTint="66"/>
            <w:vAlign w:val="center"/>
          </w:tcPr>
          <w:p w14:paraId="5576A172"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431C65E2"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1.5</w:t>
            </w:r>
          </w:p>
        </w:tc>
      </w:tr>
      <w:tr w:rsidR="00FC6519" w:rsidRPr="006C550F" w14:paraId="12AD9722" w14:textId="77777777" w:rsidTr="00802A8C">
        <w:trPr>
          <w:jc w:val="center"/>
        </w:trPr>
        <w:tc>
          <w:tcPr>
            <w:tcW w:w="2263" w:type="dxa"/>
            <w:vMerge/>
            <w:shd w:val="clear" w:color="auto" w:fill="BDD6EE" w:themeFill="accent5" w:themeFillTint="66"/>
            <w:vAlign w:val="center"/>
          </w:tcPr>
          <w:p w14:paraId="6F2F6033" w14:textId="77777777" w:rsidR="00FC6519" w:rsidRPr="006C550F" w:rsidRDefault="00FC6519" w:rsidP="006C550F">
            <w:pPr>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078A7FA3"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vMerge/>
            <w:shd w:val="clear" w:color="auto" w:fill="BDD6EE" w:themeFill="accent5" w:themeFillTint="66"/>
            <w:vAlign w:val="center"/>
          </w:tcPr>
          <w:p w14:paraId="674F5479"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992" w:type="dxa"/>
            <w:vMerge w:val="restart"/>
            <w:shd w:val="clear" w:color="auto" w:fill="BDD6EE" w:themeFill="accent5" w:themeFillTint="66"/>
            <w:vAlign w:val="center"/>
          </w:tcPr>
          <w:p w14:paraId="69689200" w14:textId="77777777" w:rsidR="00FC6519" w:rsidRPr="006C550F" w:rsidRDefault="00FC6519" w:rsidP="006C550F">
            <w:pPr>
              <w:shd w:val="clear" w:color="auto" w:fill="BDD6EE" w:themeFill="accent5" w:themeFillTint="66"/>
              <w:jc w:val="center"/>
              <w:rPr>
                <w:color w:val="000000" w:themeColor="text1"/>
                <w:sz w:val="20"/>
                <w:szCs w:val="20"/>
              </w:rPr>
            </w:pPr>
            <w:r w:rsidRPr="006C550F">
              <w:rPr>
                <w:color w:val="000000" w:themeColor="text1"/>
                <w:sz w:val="20"/>
                <w:szCs w:val="20"/>
              </w:rPr>
              <w:t>Weeds</w:t>
            </w:r>
          </w:p>
        </w:tc>
        <w:tc>
          <w:tcPr>
            <w:tcW w:w="993" w:type="dxa"/>
            <w:shd w:val="clear" w:color="auto" w:fill="BDD6EE" w:themeFill="accent5" w:themeFillTint="66"/>
            <w:vAlign w:val="center"/>
          </w:tcPr>
          <w:p w14:paraId="6BB6075A"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4145037A"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0.022</w:t>
            </w:r>
          </w:p>
        </w:tc>
        <w:tc>
          <w:tcPr>
            <w:tcW w:w="885" w:type="dxa"/>
            <w:vMerge/>
            <w:shd w:val="clear" w:color="auto" w:fill="BDD6EE" w:themeFill="accent5" w:themeFillTint="66"/>
            <w:vAlign w:val="center"/>
          </w:tcPr>
          <w:p w14:paraId="0FA33BDC"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043C26EA"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w:t>
            </w:r>
          </w:p>
        </w:tc>
      </w:tr>
      <w:tr w:rsidR="00FC6519" w:rsidRPr="006C550F" w14:paraId="4F6800B3" w14:textId="77777777" w:rsidTr="00802A8C">
        <w:trPr>
          <w:jc w:val="center"/>
        </w:trPr>
        <w:tc>
          <w:tcPr>
            <w:tcW w:w="2263" w:type="dxa"/>
            <w:vMerge/>
            <w:shd w:val="clear" w:color="auto" w:fill="BDD6EE" w:themeFill="accent5" w:themeFillTint="66"/>
            <w:vAlign w:val="center"/>
          </w:tcPr>
          <w:p w14:paraId="288BA8B4" w14:textId="77777777" w:rsidR="00FC6519" w:rsidRPr="006C550F" w:rsidRDefault="00FC6519" w:rsidP="006C550F">
            <w:pPr>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10D3C175"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vMerge/>
            <w:shd w:val="clear" w:color="auto" w:fill="BDD6EE" w:themeFill="accent5" w:themeFillTint="66"/>
            <w:vAlign w:val="center"/>
          </w:tcPr>
          <w:p w14:paraId="26B16498"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7E6CF2CE" w14:textId="77777777" w:rsidR="00FC6519" w:rsidRPr="006C550F" w:rsidRDefault="00FC6519" w:rsidP="006C550F">
            <w:pPr>
              <w:shd w:val="clear" w:color="auto" w:fill="BDD6EE" w:themeFill="accent5" w:themeFillTint="66"/>
              <w:jc w:val="center"/>
              <w:rPr>
                <w:color w:val="000000" w:themeColor="text1"/>
                <w:sz w:val="20"/>
                <w:szCs w:val="20"/>
              </w:rPr>
            </w:pPr>
          </w:p>
        </w:tc>
        <w:tc>
          <w:tcPr>
            <w:tcW w:w="993" w:type="dxa"/>
            <w:shd w:val="clear" w:color="auto" w:fill="BDD6EE" w:themeFill="accent5" w:themeFillTint="66"/>
            <w:vAlign w:val="center"/>
          </w:tcPr>
          <w:p w14:paraId="34ABD600"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3F3D9FEF"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0.013</w:t>
            </w:r>
          </w:p>
        </w:tc>
        <w:tc>
          <w:tcPr>
            <w:tcW w:w="885" w:type="dxa"/>
            <w:vMerge/>
            <w:shd w:val="clear" w:color="auto" w:fill="BDD6EE" w:themeFill="accent5" w:themeFillTint="66"/>
            <w:vAlign w:val="center"/>
          </w:tcPr>
          <w:p w14:paraId="3A2D56D0"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78682BDF"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w:t>
            </w:r>
          </w:p>
        </w:tc>
      </w:tr>
      <w:tr w:rsidR="00FC6519" w:rsidRPr="006C550F" w14:paraId="10FA8BCE" w14:textId="77777777" w:rsidTr="00802A8C">
        <w:trPr>
          <w:jc w:val="center"/>
        </w:trPr>
        <w:tc>
          <w:tcPr>
            <w:tcW w:w="2263" w:type="dxa"/>
            <w:vMerge/>
            <w:shd w:val="clear" w:color="auto" w:fill="BDD6EE" w:themeFill="accent5" w:themeFillTint="66"/>
            <w:vAlign w:val="center"/>
          </w:tcPr>
          <w:p w14:paraId="63EFA213" w14:textId="77777777" w:rsidR="00FC6519" w:rsidRPr="006C550F" w:rsidRDefault="00FC6519" w:rsidP="006C550F">
            <w:pPr>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7B29A4F1"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vMerge w:val="restart"/>
            <w:shd w:val="clear" w:color="auto" w:fill="BDD6EE" w:themeFill="accent5" w:themeFillTint="66"/>
            <w:vAlign w:val="center"/>
          </w:tcPr>
          <w:p w14:paraId="07A99CED"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Bee larval toxicity</w:t>
            </w:r>
          </w:p>
        </w:tc>
        <w:tc>
          <w:tcPr>
            <w:tcW w:w="992" w:type="dxa"/>
            <w:vMerge w:val="restart"/>
            <w:shd w:val="clear" w:color="auto" w:fill="BDD6EE" w:themeFill="accent5" w:themeFillTint="66"/>
            <w:vAlign w:val="center"/>
          </w:tcPr>
          <w:p w14:paraId="10F5EED1" w14:textId="77777777" w:rsidR="00FC6519" w:rsidRPr="006C550F" w:rsidRDefault="00FC6519" w:rsidP="006C550F">
            <w:pPr>
              <w:shd w:val="clear" w:color="auto" w:fill="BDD6EE" w:themeFill="accent5" w:themeFillTint="66"/>
              <w:jc w:val="center"/>
              <w:rPr>
                <w:color w:val="000000" w:themeColor="text1"/>
                <w:sz w:val="20"/>
                <w:szCs w:val="20"/>
              </w:rPr>
            </w:pPr>
            <w:r w:rsidRPr="006C550F">
              <w:rPr>
                <w:color w:val="000000" w:themeColor="text1"/>
                <w:sz w:val="20"/>
                <w:szCs w:val="20"/>
              </w:rPr>
              <w:t>Treated crop</w:t>
            </w:r>
          </w:p>
        </w:tc>
        <w:tc>
          <w:tcPr>
            <w:tcW w:w="993" w:type="dxa"/>
            <w:shd w:val="clear" w:color="auto" w:fill="BDD6EE" w:themeFill="accent5" w:themeFillTint="66"/>
            <w:vAlign w:val="center"/>
          </w:tcPr>
          <w:p w14:paraId="45D77CAD"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10-39</w:t>
            </w:r>
          </w:p>
        </w:tc>
        <w:tc>
          <w:tcPr>
            <w:tcW w:w="708" w:type="dxa"/>
            <w:shd w:val="clear" w:color="auto" w:fill="BDD6EE" w:themeFill="accent5" w:themeFillTint="66"/>
          </w:tcPr>
          <w:p w14:paraId="76D6CDE3"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0.142</w:t>
            </w:r>
          </w:p>
        </w:tc>
        <w:tc>
          <w:tcPr>
            <w:tcW w:w="885" w:type="dxa"/>
            <w:vMerge w:val="restart"/>
            <w:shd w:val="clear" w:color="auto" w:fill="BDD6EE" w:themeFill="accent5" w:themeFillTint="66"/>
            <w:vAlign w:val="center"/>
          </w:tcPr>
          <w:p w14:paraId="29A583E3"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0.2</w:t>
            </w:r>
          </w:p>
        </w:tc>
        <w:tc>
          <w:tcPr>
            <w:tcW w:w="1094" w:type="dxa"/>
            <w:shd w:val="clear" w:color="auto" w:fill="BDD6EE" w:themeFill="accent5" w:themeFillTint="66"/>
            <w:vAlign w:val="center"/>
          </w:tcPr>
          <w:p w14:paraId="4DC17035"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w:t>
            </w:r>
          </w:p>
        </w:tc>
      </w:tr>
      <w:tr w:rsidR="00FC6519" w:rsidRPr="006C550F" w14:paraId="2A681052" w14:textId="77777777" w:rsidTr="00802A8C">
        <w:trPr>
          <w:jc w:val="center"/>
        </w:trPr>
        <w:tc>
          <w:tcPr>
            <w:tcW w:w="2263" w:type="dxa"/>
            <w:vMerge/>
            <w:shd w:val="clear" w:color="auto" w:fill="BDD6EE" w:themeFill="accent5" w:themeFillTint="66"/>
            <w:vAlign w:val="center"/>
          </w:tcPr>
          <w:p w14:paraId="76D21C8C" w14:textId="77777777" w:rsidR="00FC6519" w:rsidRPr="006C550F" w:rsidRDefault="00FC6519" w:rsidP="006C550F">
            <w:pPr>
              <w:shd w:val="clear" w:color="auto" w:fill="BDD6EE" w:themeFill="accent5" w:themeFillTint="66"/>
              <w:rPr>
                <w:color w:val="000000" w:themeColor="text1"/>
                <w:sz w:val="20"/>
                <w:szCs w:val="20"/>
              </w:rPr>
            </w:pPr>
          </w:p>
        </w:tc>
        <w:tc>
          <w:tcPr>
            <w:tcW w:w="1134" w:type="dxa"/>
            <w:vMerge/>
            <w:shd w:val="clear" w:color="auto" w:fill="BDD6EE" w:themeFill="accent5" w:themeFillTint="66"/>
            <w:vAlign w:val="center"/>
          </w:tcPr>
          <w:p w14:paraId="759E2855"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vMerge/>
            <w:shd w:val="clear" w:color="auto" w:fill="BDD6EE" w:themeFill="accent5" w:themeFillTint="66"/>
            <w:vAlign w:val="center"/>
          </w:tcPr>
          <w:p w14:paraId="4F7E4049"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992" w:type="dxa"/>
            <w:vMerge/>
            <w:shd w:val="clear" w:color="auto" w:fill="BDD6EE" w:themeFill="accent5" w:themeFillTint="66"/>
            <w:vAlign w:val="center"/>
          </w:tcPr>
          <w:p w14:paraId="397510A7" w14:textId="77777777" w:rsidR="00FC6519" w:rsidRPr="006C550F" w:rsidRDefault="00FC6519" w:rsidP="006C550F">
            <w:pPr>
              <w:shd w:val="clear" w:color="auto" w:fill="BDD6EE" w:themeFill="accent5" w:themeFillTint="66"/>
              <w:jc w:val="center"/>
              <w:rPr>
                <w:color w:val="000000" w:themeColor="text1"/>
                <w:sz w:val="20"/>
                <w:szCs w:val="20"/>
              </w:rPr>
            </w:pPr>
          </w:p>
        </w:tc>
        <w:tc>
          <w:tcPr>
            <w:tcW w:w="993" w:type="dxa"/>
            <w:shd w:val="clear" w:color="auto" w:fill="BDD6EE" w:themeFill="accent5" w:themeFillTint="66"/>
            <w:vAlign w:val="center"/>
          </w:tcPr>
          <w:p w14:paraId="5B0CB23B"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40-69</w:t>
            </w:r>
          </w:p>
        </w:tc>
        <w:tc>
          <w:tcPr>
            <w:tcW w:w="708" w:type="dxa"/>
            <w:shd w:val="clear" w:color="auto" w:fill="BDD6EE" w:themeFill="accent5" w:themeFillTint="66"/>
          </w:tcPr>
          <w:p w14:paraId="111E59ED" w14:textId="77777777" w:rsidR="00FC6519" w:rsidRPr="006C550F" w:rsidRDefault="00FC6519" w:rsidP="006C550F">
            <w:pPr>
              <w:keepNext/>
              <w:keepLines/>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0.142</w:t>
            </w:r>
          </w:p>
        </w:tc>
        <w:tc>
          <w:tcPr>
            <w:tcW w:w="885" w:type="dxa"/>
            <w:vMerge/>
            <w:shd w:val="clear" w:color="auto" w:fill="BDD6EE" w:themeFill="accent5" w:themeFillTint="66"/>
            <w:vAlign w:val="center"/>
          </w:tcPr>
          <w:p w14:paraId="546CA06E"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p>
        </w:tc>
        <w:tc>
          <w:tcPr>
            <w:tcW w:w="1094" w:type="dxa"/>
            <w:shd w:val="clear" w:color="auto" w:fill="BDD6EE" w:themeFill="accent5" w:themeFillTint="66"/>
            <w:vAlign w:val="center"/>
          </w:tcPr>
          <w:p w14:paraId="665372CD"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w:t>
            </w:r>
          </w:p>
        </w:tc>
      </w:tr>
      <w:tr w:rsidR="00FC6519" w:rsidRPr="006C550F" w14:paraId="5990C870" w14:textId="77777777" w:rsidTr="00802A8C">
        <w:trPr>
          <w:jc w:val="center"/>
        </w:trPr>
        <w:tc>
          <w:tcPr>
            <w:tcW w:w="2263" w:type="dxa"/>
            <w:shd w:val="clear" w:color="auto" w:fill="BDD6EE" w:themeFill="accent5" w:themeFillTint="66"/>
            <w:vAlign w:val="center"/>
          </w:tcPr>
          <w:p w14:paraId="7546D834"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Tomato and aubergine</w:t>
            </w:r>
          </w:p>
          <w:p w14:paraId="39E1287E" w14:textId="77777777" w:rsidR="00FC6519" w:rsidRPr="006C550F" w:rsidRDefault="00FC6519" w:rsidP="006C550F">
            <w:pPr>
              <w:shd w:val="clear" w:color="auto" w:fill="BDD6EE" w:themeFill="accent5" w:themeFillTint="66"/>
              <w:rPr>
                <w:rFonts w:eastAsia="MS Mincho"/>
                <w:color w:val="000000" w:themeColor="text1"/>
                <w:sz w:val="20"/>
                <w:szCs w:val="20"/>
              </w:rPr>
            </w:pPr>
            <w:r w:rsidRPr="006C550F">
              <w:rPr>
                <w:rFonts w:eastAsia="MS Mincho"/>
                <w:color w:val="000000" w:themeColor="text1"/>
                <w:sz w:val="20"/>
                <w:szCs w:val="20"/>
              </w:rPr>
              <w:t>(fruiting vegetables)</w:t>
            </w:r>
          </w:p>
        </w:tc>
        <w:tc>
          <w:tcPr>
            <w:tcW w:w="1134" w:type="dxa"/>
            <w:vMerge/>
            <w:shd w:val="clear" w:color="auto" w:fill="BDD6EE" w:themeFill="accent5" w:themeFillTint="66"/>
            <w:vAlign w:val="center"/>
          </w:tcPr>
          <w:p w14:paraId="0DDB4F4E" w14:textId="77777777" w:rsidR="00FC6519" w:rsidRPr="006C550F" w:rsidRDefault="00FC6519" w:rsidP="006C550F">
            <w:pPr>
              <w:shd w:val="clear" w:color="auto" w:fill="BDD6EE" w:themeFill="accent5" w:themeFillTint="66"/>
              <w:jc w:val="center"/>
              <w:rPr>
                <w:color w:val="000000" w:themeColor="text1"/>
                <w:sz w:val="20"/>
                <w:szCs w:val="20"/>
              </w:rPr>
            </w:pPr>
          </w:p>
        </w:tc>
        <w:tc>
          <w:tcPr>
            <w:tcW w:w="1276" w:type="dxa"/>
            <w:shd w:val="clear" w:color="auto" w:fill="BDD6EE" w:themeFill="accent5" w:themeFillTint="66"/>
            <w:vAlign w:val="center"/>
          </w:tcPr>
          <w:p w14:paraId="317E1B89"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color w:val="000000" w:themeColor="text1"/>
                <w:sz w:val="20"/>
                <w:szCs w:val="20"/>
              </w:rPr>
              <w:t>Chronic toxicity</w:t>
            </w:r>
          </w:p>
        </w:tc>
        <w:tc>
          <w:tcPr>
            <w:tcW w:w="992" w:type="dxa"/>
            <w:shd w:val="clear" w:color="auto" w:fill="BDD6EE" w:themeFill="accent5" w:themeFillTint="66"/>
            <w:vAlign w:val="center"/>
          </w:tcPr>
          <w:p w14:paraId="4DF31316" w14:textId="77777777" w:rsidR="00FC6519" w:rsidRPr="006C550F" w:rsidRDefault="00FC6519" w:rsidP="006C550F">
            <w:pPr>
              <w:shd w:val="clear" w:color="auto" w:fill="BDD6EE" w:themeFill="accent5" w:themeFillTint="66"/>
              <w:jc w:val="center"/>
              <w:rPr>
                <w:color w:val="000000" w:themeColor="text1"/>
                <w:sz w:val="20"/>
                <w:szCs w:val="20"/>
              </w:rPr>
            </w:pPr>
            <w:r w:rsidRPr="006C550F">
              <w:rPr>
                <w:rFonts w:eastAsia="MS Mincho"/>
                <w:color w:val="000000" w:themeColor="text1"/>
                <w:sz w:val="20"/>
                <w:szCs w:val="20"/>
              </w:rPr>
              <w:t>Weeds</w:t>
            </w:r>
          </w:p>
        </w:tc>
        <w:tc>
          <w:tcPr>
            <w:tcW w:w="993" w:type="dxa"/>
            <w:shd w:val="clear" w:color="auto" w:fill="BDD6EE" w:themeFill="accent5" w:themeFillTint="66"/>
            <w:vAlign w:val="center"/>
          </w:tcPr>
          <w:p w14:paraId="0130154D"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10-49</w:t>
            </w:r>
          </w:p>
        </w:tc>
        <w:tc>
          <w:tcPr>
            <w:tcW w:w="708" w:type="dxa"/>
            <w:shd w:val="clear" w:color="auto" w:fill="BDD6EE" w:themeFill="accent5" w:themeFillTint="66"/>
            <w:vAlign w:val="center"/>
          </w:tcPr>
          <w:p w14:paraId="2CADEA70"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0.022</w:t>
            </w:r>
          </w:p>
        </w:tc>
        <w:tc>
          <w:tcPr>
            <w:tcW w:w="885" w:type="dxa"/>
            <w:shd w:val="clear" w:color="auto" w:fill="BDD6EE" w:themeFill="accent5" w:themeFillTint="66"/>
            <w:vAlign w:val="center"/>
          </w:tcPr>
          <w:p w14:paraId="27079EC3"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 0.03</w:t>
            </w:r>
          </w:p>
        </w:tc>
        <w:tc>
          <w:tcPr>
            <w:tcW w:w="1094" w:type="dxa"/>
            <w:shd w:val="clear" w:color="auto" w:fill="BDD6EE" w:themeFill="accent5" w:themeFillTint="66"/>
            <w:vAlign w:val="center"/>
          </w:tcPr>
          <w:p w14:paraId="6A62562C" w14:textId="77777777" w:rsidR="00FC6519" w:rsidRPr="006C550F" w:rsidRDefault="00FC6519" w:rsidP="006C550F">
            <w:pPr>
              <w:shd w:val="clear" w:color="auto" w:fill="BDD6EE" w:themeFill="accent5" w:themeFillTint="66"/>
              <w:jc w:val="center"/>
              <w:rPr>
                <w:rFonts w:eastAsia="MS Mincho"/>
                <w:color w:val="000000" w:themeColor="text1"/>
                <w:sz w:val="20"/>
                <w:szCs w:val="20"/>
              </w:rPr>
            </w:pPr>
            <w:r w:rsidRPr="006C550F">
              <w:rPr>
                <w:rFonts w:eastAsia="MS Mincho"/>
                <w:color w:val="000000" w:themeColor="text1"/>
                <w:sz w:val="20"/>
                <w:szCs w:val="20"/>
              </w:rPr>
              <w:t>-</w:t>
            </w:r>
          </w:p>
        </w:tc>
      </w:tr>
    </w:tbl>
    <w:p w14:paraId="226648CE" w14:textId="77777777" w:rsidR="00FC6519" w:rsidRPr="006C550F" w:rsidRDefault="00FC6519" w:rsidP="006C550F">
      <w:pPr>
        <w:shd w:val="clear" w:color="auto" w:fill="BDD6EE" w:themeFill="accent5" w:themeFillTint="66"/>
        <w:jc w:val="both"/>
        <w:rPr>
          <w:color w:val="000000" w:themeColor="text1"/>
          <w:sz w:val="18"/>
          <w:szCs w:val="18"/>
        </w:rPr>
      </w:pPr>
      <w:r w:rsidRPr="006C550F">
        <w:rPr>
          <w:rFonts w:eastAsia="MS Mincho"/>
          <w:color w:val="000000" w:themeColor="text1"/>
          <w:sz w:val="18"/>
          <w:szCs w:val="18"/>
          <w:vertAlign w:val="superscript"/>
        </w:rPr>
        <w:t>a)</w:t>
      </w:r>
      <w:r w:rsidRPr="006C550F">
        <w:rPr>
          <w:rFonts w:eastAsia="MS Mincho"/>
          <w:color w:val="000000" w:themeColor="text1"/>
          <w:sz w:val="18"/>
          <w:szCs w:val="18"/>
        </w:rPr>
        <w:t xml:space="preserve"> Based on an application rate of 2 L product/L and </w:t>
      </w:r>
      <w:r w:rsidRPr="006C550F">
        <w:rPr>
          <w:color w:val="000000" w:themeColor="text1"/>
          <w:sz w:val="18"/>
          <w:szCs w:val="18"/>
        </w:rPr>
        <w:t>the density of BAS 743 03 F of 1.071 g/cm</w:t>
      </w:r>
      <w:r w:rsidRPr="006C550F">
        <w:rPr>
          <w:color w:val="000000" w:themeColor="text1"/>
          <w:sz w:val="18"/>
          <w:szCs w:val="18"/>
          <w:vertAlign w:val="superscript"/>
        </w:rPr>
        <w:t>3</w:t>
      </w:r>
      <w:r w:rsidRPr="006C550F">
        <w:rPr>
          <w:color w:val="000000" w:themeColor="text1"/>
          <w:sz w:val="18"/>
          <w:szCs w:val="18"/>
        </w:rPr>
        <w:t>.</w:t>
      </w:r>
    </w:p>
    <w:p w14:paraId="4903D1B0" w14:textId="77777777" w:rsidR="00FC6519" w:rsidRPr="006C550F" w:rsidRDefault="00FC6519" w:rsidP="006C550F">
      <w:pPr>
        <w:shd w:val="clear" w:color="auto" w:fill="BDD6EE" w:themeFill="accent5" w:themeFillTint="66"/>
        <w:jc w:val="both"/>
        <w:rPr>
          <w:color w:val="000000" w:themeColor="text1"/>
        </w:rPr>
      </w:pPr>
    </w:p>
    <w:p w14:paraId="32903863" w14:textId="77777777" w:rsidR="00FC6519" w:rsidRPr="006C550F" w:rsidRDefault="00FC6519" w:rsidP="006C550F">
      <w:pPr>
        <w:shd w:val="clear" w:color="auto" w:fill="BDD6EE" w:themeFill="accent5" w:themeFillTint="66"/>
        <w:autoSpaceDE w:val="0"/>
        <w:autoSpaceDN w:val="0"/>
        <w:adjustRightInd w:val="0"/>
        <w:jc w:val="both"/>
        <w:rPr>
          <w:color w:val="000000" w:themeColor="text1"/>
          <w:lang w:val="en-GB" w:eastAsia="de-DE"/>
        </w:rPr>
      </w:pPr>
      <w:r w:rsidRPr="006C550F">
        <w:rPr>
          <w:color w:val="000000" w:themeColor="text1"/>
          <w:lang w:val="en-GB" w:eastAsia="de-DE"/>
        </w:rPr>
        <w:t xml:space="preserve">ETR values for the chronic risk to honeybee larvae are below the trigger for all relevant exposure scenarios based on the refined </w:t>
      </w:r>
      <w:r w:rsidRPr="006C550F">
        <w:rPr>
          <w:rFonts w:cs="Arial"/>
          <w:color w:val="000000" w:themeColor="text1"/>
          <w:lang w:val="en-GB"/>
        </w:rPr>
        <w:t>f</w:t>
      </w:r>
      <w:r w:rsidRPr="006C550F">
        <w:rPr>
          <w:rFonts w:cs="Arial"/>
          <w:color w:val="000000" w:themeColor="text1"/>
          <w:vertAlign w:val="subscript"/>
          <w:lang w:val="en-GB"/>
        </w:rPr>
        <w:t>TWA</w:t>
      </w:r>
      <w:r w:rsidRPr="006C550F">
        <w:rPr>
          <w:rFonts w:cs="Arial"/>
          <w:color w:val="000000" w:themeColor="text1"/>
          <w:lang w:val="en-GB"/>
        </w:rPr>
        <w:t xml:space="preserve"> (worst-case)</w:t>
      </w:r>
      <w:r w:rsidRPr="006C550F">
        <w:rPr>
          <w:color w:val="000000" w:themeColor="text1"/>
          <w:lang w:val="en-GB" w:eastAsia="de-DE"/>
        </w:rPr>
        <w:t>, indicating an acceptable risk for honeybee larvae. Likewise, ETR values for the chronic risk to adult honeybees are below the trigger except for the treated crop scenario which slightly exceed the trigger for single application of 2 L product/ha in onions. Considering that onion crops are usually harvest before flowering, exposure from foraging on the treated crop can be considered negligible.</w:t>
      </w:r>
    </w:p>
    <w:p w14:paraId="61CFF392" w14:textId="77777777" w:rsidR="00FC6519" w:rsidRPr="006C550F" w:rsidRDefault="00FC6519" w:rsidP="006C550F">
      <w:pPr>
        <w:shd w:val="clear" w:color="auto" w:fill="BDD6EE" w:themeFill="accent5" w:themeFillTint="66"/>
        <w:autoSpaceDE w:val="0"/>
        <w:autoSpaceDN w:val="0"/>
        <w:adjustRightInd w:val="0"/>
        <w:jc w:val="both"/>
        <w:rPr>
          <w:color w:val="000000" w:themeColor="text1"/>
          <w:lang w:val="en-GB" w:eastAsia="de-DE"/>
        </w:rPr>
      </w:pPr>
    </w:p>
    <w:p w14:paraId="01C01E6E" w14:textId="77777777" w:rsidR="00FC6519" w:rsidRPr="00973C49" w:rsidRDefault="00FC6519" w:rsidP="006C550F">
      <w:pPr>
        <w:shd w:val="clear" w:color="auto" w:fill="BDD6EE" w:themeFill="accent5" w:themeFillTint="66"/>
        <w:jc w:val="both"/>
        <w:rPr>
          <w:color w:val="000000" w:themeColor="text1"/>
          <w:lang w:val="en-GB" w:eastAsia="de-DE"/>
        </w:rPr>
      </w:pPr>
      <w:r w:rsidRPr="006C550F">
        <w:rPr>
          <w:color w:val="000000" w:themeColor="text1"/>
          <w:lang w:val="en-GB" w:eastAsia="de-DE"/>
        </w:rPr>
        <w:t>Overall, an acceptable risk is indicated based on the DT</w:t>
      </w:r>
      <w:r w:rsidRPr="006C550F">
        <w:rPr>
          <w:color w:val="000000" w:themeColor="text1"/>
          <w:vertAlign w:val="subscript"/>
          <w:lang w:val="en-GB" w:eastAsia="de-DE"/>
        </w:rPr>
        <w:t>50</w:t>
      </w:r>
      <w:r w:rsidRPr="006C550F">
        <w:rPr>
          <w:color w:val="000000" w:themeColor="text1"/>
          <w:lang w:val="en-GB" w:eastAsia="de-DE"/>
        </w:rPr>
        <w:t xml:space="preserve"> refinements. Even if ETR values for adult honeybees are above the trigger for the treated crop scenario in onions, the exceedance is very small (i.e. factor of 1.5) and exposure is considered negligible due to the common agricultural practise for this crop of harvesting pre-flowering. Therefore, the risk for bees according to the intended uses is acceptable.</w:t>
      </w:r>
    </w:p>
    <w:p w14:paraId="3553978F" w14:textId="1032A25B" w:rsidR="00DC5685" w:rsidRPr="00A34F10" w:rsidRDefault="00DC5685" w:rsidP="00DC5685">
      <w:pPr>
        <w:pStyle w:val="Nagwek4"/>
        <w:suppressAutoHyphens/>
        <w:rPr>
          <w:noProof w:val="0"/>
          <w:lang w:val="en-US"/>
        </w:rPr>
      </w:pPr>
      <w:bookmarkStart w:id="568" w:name="_Toc399353277"/>
      <w:bookmarkStart w:id="569" w:name="_Toc412644006"/>
      <w:bookmarkStart w:id="570" w:name="_Toc413916850"/>
      <w:bookmarkStart w:id="571" w:name="_Toc413916992"/>
      <w:bookmarkStart w:id="572" w:name="_Toc413922053"/>
      <w:bookmarkStart w:id="573" w:name="_Toc413922542"/>
      <w:bookmarkStart w:id="574" w:name="_Toc413922646"/>
      <w:bookmarkStart w:id="575" w:name="_Toc414955283"/>
      <w:bookmarkStart w:id="576" w:name="_Toc415214590"/>
      <w:bookmarkStart w:id="577" w:name="_Toc425512611"/>
      <w:bookmarkStart w:id="578" w:name="_Toc181624977"/>
      <w:r w:rsidRPr="00A34F10">
        <w:rPr>
          <w:noProof w:val="0"/>
          <w:lang w:val="en-US"/>
        </w:rPr>
        <w:t>Higher-tier risk assessment fr bees (tunnel test, field studies)</w:t>
      </w:r>
      <w:bookmarkEnd w:id="568"/>
      <w:bookmarkEnd w:id="569"/>
      <w:bookmarkEnd w:id="570"/>
      <w:bookmarkEnd w:id="571"/>
      <w:bookmarkEnd w:id="572"/>
      <w:bookmarkEnd w:id="573"/>
      <w:bookmarkEnd w:id="574"/>
      <w:bookmarkEnd w:id="575"/>
      <w:bookmarkEnd w:id="576"/>
      <w:bookmarkEnd w:id="577"/>
      <w:bookmarkEnd w:id="578"/>
    </w:p>
    <w:p w14:paraId="62EA17B2" w14:textId="117D36BE" w:rsidR="00DC5685" w:rsidRPr="00A34F10" w:rsidRDefault="00DC5685" w:rsidP="00DC5685">
      <w:pPr>
        <w:pStyle w:val="RepStandard"/>
      </w:pPr>
      <w:r w:rsidRPr="00A34F10">
        <w:t>Not required.</w:t>
      </w:r>
    </w:p>
    <w:p w14:paraId="499C0432" w14:textId="77777777" w:rsidR="00DC5685" w:rsidRPr="00A34F10" w:rsidRDefault="00DC5685" w:rsidP="00DC5685">
      <w:pPr>
        <w:pStyle w:val="Nagwek3"/>
        <w:rPr>
          <w:rFonts w:cs="Times New Roman"/>
        </w:rPr>
      </w:pPr>
      <w:bookmarkStart w:id="579" w:name="_Toc399487279"/>
      <w:bookmarkStart w:id="580" w:name="_Ref405881252"/>
      <w:bookmarkStart w:id="581" w:name="_Toc412644007"/>
      <w:bookmarkStart w:id="582" w:name="_Toc413916851"/>
      <w:bookmarkStart w:id="583" w:name="_Toc413916993"/>
      <w:bookmarkStart w:id="584" w:name="_Toc413922054"/>
      <w:bookmarkStart w:id="585" w:name="_Toc413922543"/>
      <w:bookmarkStart w:id="586" w:name="_Toc413922647"/>
      <w:bookmarkStart w:id="587" w:name="_Toc414955284"/>
      <w:bookmarkStart w:id="588" w:name="_Ref414977823"/>
      <w:bookmarkStart w:id="589" w:name="_Toc415214591"/>
      <w:bookmarkStart w:id="590" w:name="_Toc425512612"/>
      <w:bookmarkStart w:id="591" w:name="_Toc181624978"/>
      <w:r w:rsidRPr="00A34F10">
        <w:rPr>
          <w:rFonts w:cs="Times New Roman"/>
        </w:rPr>
        <w:t>Effects on bumble bees</w:t>
      </w:r>
      <w:bookmarkEnd w:id="579"/>
      <w:bookmarkEnd w:id="580"/>
      <w:bookmarkEnd w:id="581"/>
      <w:bookmarkEnd w:id="582"/>
      <w:bookmarkEnd w:id="583"/>
      <w:bookmarkEnd w:id="584"/>
      <w:bookmarkEnd w:id="585"/>
      <w:bookmarkEnd w:id="586"/>
      <w:bookmarkEnd w:id="587"/>
      <w:bookmarkEnd w:id="588"/>
      <w:bookmarkEnd w:id="589"/>
      <w:bookmarkEnd w:id="590"/>
      <w:bookmarkEnd w:id="591"/>
    </w:p>
    <w:p w14:paraId="0159C7A9" w14:textId="03EE5E56" w:rsidR="00DC5685" w:rsidRDefault="00DC5685" w:rsidP="00DC5685">
      <w:pPr>
        <w:pStyle w:val="RepStandard"/>
        <w:suppressAutoHyphens/>
      </w:pPr>
      <w:r w:rsidRPr="00A34F10">
        <w:t>Effects on bumble bees are not a data requirement under Commission Regulation (EU) No. 283/2013 and 284/2013 and are not included in the current risk assessment scheme under SAN-CO/10329/2002. Furthermore, the EFSA Technical Report on the “Outcome of the pesticide peer review meeting on general recurring issues in ecotoxicology” (EFSA Supporting publication 2015:EN-924) states that it cannot be recommended to routinely perform risk assessments for bumble bees. Therefore, a risk assessment on bumble bees has not been conducted. However, data for bumble bees from testing with the formulated product are available. The limit dose endpoints for the product, as well as the available limit dose endpoints for the active substance Propamocarb-HCl do not suggest higher sensitivities towards the formulated product as compared to honeybees.</w:t>
      </w:r>
    </w:p>
    <w:p w14:paraId="6C4D5B89" w14:textId="77777777" w:rsidR="00DC5685" w:rsidRPr="00A34F10" w:rsidRDefault="00DC5685" w:rsidP="00DC5685">
      <w:pPr>
        <w:pStyle w:val="Nagwek3"/>
        <w:rPr>
          <w:rFonts w:cs="Times New Roman"/>
        </w:rPr>
      </w:pPr>
      <w:bookmarkStart w:id="592" w:name="_Toc399487280"/>
      <w:bookmarkStart w:id="593" w:name="_Ref405881257"/>
      <w:bookmarkStart w:id="594" w:name="_Toc412644008"/>
      <w:bookmarkStart w:id="595" w:name="_Toc413916852"/>
      <w:bookmarkStart w:id="596" w:name="_Toc413916994"/>
      <w:bookmarkStart w:id="597" w:name="_Toc413922055"/>
      <w:bookmarkStart w:id="598" w:name="_Toc413922544"/>
      <w:bookmarkStart w:id="599" w:name="_Toc413922648"/>
      <w:bookmarkStart w:id="600" w:name="_Toc414955285"/>
      <w:bookmarkStart w:id="601" w:name="_Ref414977833"/>
      <w:bookmarkStart w:id="602" w:name="_Toc415214592"/>
      <w:bookmarkStart w:id="603" w:name="_Toc425512613"/>
      <w:bookmarkStart w:id="604" w:name="_Toc181624979"/>
      <w:r w:rsidRPr="00A34F10">
        <w:rPr>
          <w:rFonts w:cs="Times New Roman"/>
        </w:rPr>
        <w:t>Effects on solitary bees</w:t>
      </w:r>
      <w:bookmarkEnd w:id="592"/>
      <w:bookmarkEnd w:id="593"/>
      <w:bookmarkEnd w:id="594"/>
      <w:bookmarkEnd w:id="595"/>
      <w:bookmarkEnd w:id="596"/>
      <w:bookmarkEnd w:id="597"/>
      <w:bookmarkEnd w:id="598"/>
      <w:bookmarkEnd w:id="599"/>
      <w:bookmarkEnd w:id="600"/>
      <w:bookmarkEnd w:id="601"/>
      <w:bookmarkEnd w:id="602"/>
      <w:bookmarkEnd w:id="603"/>
      <w:bookmarkEnd w:id="604"/>
    </w:p>
    <w:p w14:paraId="5F8BE302" w14:textId="16AED423" w:rsidR="00E23E00" w:rsidRPr="00A34F10" w:rsidRDefault="00DC5685" w:rsidP="00DC5685">
      <w:pPr>
        <w:pStyle w:val="RepStandard"/>
        <w:suppressAutoHyphens/>
      </w:pPr>
      <w:r w:rsidRPr="00A34F10">
        <w:t>Effects on solitary bees are not a data requirement under Commission Regulation (EU) No. 283/2013 and 284/2013 and are not included in the current risk assessment scheme under SAN-CO/10329/2002. Furthermore, the EFSA Technical Report on the “Outcome of the pesticide peer review meeting on general recurring issues in ecotoxicology” (EFSA Supporting publication 2015:EN-924) states that it cannot be recommended to routinely perform risk assessments for solitary bees. Therefore, a risk assessment on solitary bees has not been conducted.</w:t>
      </w:r>
    </w:p>
    <w:p w14:paraId="75D7DF78" w14:textId="77777777" w:rsidR="00DC5685" w:rsidRPr="00A34F10" w:rsidRDefault="00DC5685" w:rsidP="00DC5685">
      <w:pPr>
        <w:pStyle w:val="Nagwek3"/>
        <w:rPr>
          <w:rFonts w:cs="Times New Roman"/>
        </w:rPr>
      </w:pPr>
      <w:bookmarkStart w:id="605" w:name="_Toc412644009"/>
      <w:bookmarkStart w:id="606" w:name="_Toc413916853"/>
      <w:bookmarkStart w:id="607" w:name="_Toc413916995"/>
      <w:bookmarkStart w:id="608" w:name="_Toc413922056"/>
      <w:bookmarkStart w:id="609" w:name="_Toc413922545"/>
      <w:bookmarkStart w:id="610" w:name="_Toc413922649"/>
      <w:bookmarkStart w:id="611" w:name="_Toc414955286"/>
      <w:bookmarkStart w:id="612" w:name="_Toc415214593"/>
      <w:bookmarkStart w:id="613" w:name="_Toc425512614"/>
      <w:bookmarkStart w:id="614" w:name="_Toc181624980"/>
      <w:r w:rsidRPr="00A34F10">
        <w:rPr>
          <w:rFonts w:cs="Times New Roman"/>
        </w:rPr>
        <w:lastRenderedPageBreak/>
        <w:t>Overall conclusions</w:t>
      </w:r>
      <w:bookmarkEnd w:id="605"/>
      <w:bookmarkEnd w:id="606"/>
      <w:bookmarkEnd w:id="607"/>
      <w:bookmarkEnd w:id="608"/>
      <w:bookmarkEnd w:id="609"/>
      <w:bookmarkEnd w:id="610"/>
      <w:bookmarkEnd w:id="611"/>
      <w:bookmarkEnd w:id="612"/>
      <w:bookmarkEnd w:id="613"/>
      <w:bookmarkEnd w:id="614"/>
    </w:p>
    <w:p w14:paraId="75A50324" w14:textId="77777777" w:rsidR="00DC5685" w:rsidRDefault="00DC5685" w:rsidP="00DC5685">
      <w:pPr>
        <w:pStyle w:val="StyleOECD-BASIS-TEXTLeft"/>
        <w:rPr>
          <w:sz w:val="22"/>
        </w:rPr>
      </w:pPr>
      <w:r w:rsidRPr="00A34F10">
        <w:rPr>
          <w:sz w:val="22"/>
        </w:rPr>
        <w:t>The hazard quotients for BAS 743 03 F and the active substances Ametoctradin and Propamocarb for acute oral and acute contact exposure of honeybees are considerably below the Commission Regulation (EU) 546/2011 trigger value of 50, indicating an acceptable risk. Based on these results it can be concluded that a low risk to honeybees is expected from applications of BAS 743 03 F according to the proposed uses.</w:t>
      </w:r>
      <w:bookmarkEnd w:id="541"/>
      <w:bookmarkEnd w:id="542"/>
    </w:p>
    <w:p w14:paraId="70CDA4FE" w14:textId="77777777" w:rsidR="0030458C" w:rsidRPr="00A34F10" w:rsidRDefault="0030458C" w:rsidP="00DC5685">
      <w:pPr>
        <w:pStyle w:val="StyleOECD-BASIS-TEXTLeft"/>
        <w:rPr>
          <w:sz w:val="22"/>
          <w:lang w:val="en-US"/>
        </w:rPr>
      </w:pPr>
    </w:p>
    <w:p w14:paraId="6DA686F7" w14:textId="77777777" w:rsidR="00901A60" w:rsidRDefault="00901A60" w:rsidP="00901A60">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5"/>
      </w:tblGrid>
      <w:tr w:rsidR="00901A60" w:rsidRPr="00540D8E" w14:paraId="775B217F" w14:textId="77777777" w:rsidTr="00901A60">
        <w:tc>
          <w:tcPr>
            <w:tcW w:w="5000" w:type="pct"/>
            <w:shd w:val="clear" w:color="auto" w:fill="D9D9D9"/>
          </w:tcPr>
          <w:p w14:paraId="2894AFC3" w14:textId="77777777" w:rsidR="00901A60" w:rsidRPr="00B56F41" w:rsidRDefault="00901A60" w:rsidP="00F53FC3">
            <w:pPr>
              <w:pStyle w:val="RepStandard"/>
              <w:spacing w:after="120"/>
              <w:rPr>
                <w:b/>
                <w:bCs/>
              </w:rPr>
            </w:pPr>
            <w:r w:rsidRPr="00B56F41">
              <w:rPr>
                <w:b/>
                <w:bCs/>
              </w:rPr>
              <w:t>Review Comments:</w:t>
            </w:r>
          </w:p>
          <w:p w14:paraId="6B279365" w14:textId="77777777" w:rsidR="00901A60" w:rsidRPr="00940F0A" w:rsidRDefault="00901A60" w:rsidP="00F53FC3">
            <w:pPr>
              <w:pStyle w:val="RepStandard"/>
              <w:spacing w:after="120"/>
            </w:pPr>
            <w:r w:rsidRPr="00B56F41">
              <w:t>The evaluation of the acute risk for bees was performed in accordance with the recommendations of the “Guidance Document on Terrestrial Ecotoxicology”, as provided by the Commission Services (SANCO/10329/2002 rev.2 (final), October 17, 2002). The submitted risk assessment, based on laborat</w:t>
            </w:r>
            <w:r w:rsidRPr="00940F0A">
              <w:t xml:space="preserve">ory studies, has been accepted. </w:t>
            </w:r>
            <w:r w:rsidRPr="00940F0A">
              <w:rPr>
                <w:bCs/>
              </w:rPr>
              <w:t xml:space="preserve">It can therefore be concluded that there will be negligible acute risk associated with the exposure of </w:t>
            </w:r>
            <w:r w:rsidRPr="00940F0A">
              <w:rPr>
                <w:i/>
              </w:rPr>
              <w:t>Apis mellifera</w:t>
            </w:r>
            <w:r w:rsidRPr="00940F0A">
              <w:t xml:space="preserve"> </w:t>
            </w:r>
            <w:r w:rsidRPr="00940F0A">
              <w:rPr>
                <w:bCs/>
              </w:rPr>
              <w:t xml:space="preserve">to </w:t>
            </w:r>
            <w:r w:rsidRPr="00A34F10">
              <w:t>BAS 743 03 F</w:t>
            </w:r>
            <w:r w:rsidRPr="00940F0A">
              <w:rPr>
                <w:bCs/>
              </w:rPr>
              <w:t>.</w:t>
            </w:r>
          </w:p>
          <w:p w14:paraId="684E7570" w14:textId="77777777" w:rsidR="00901A60" w:rsidRPr="00940F0A" w:rsidRDefault="00901A60" w:rsidP="00F53FC3">
            <w:pPr>
              <w:pStyle w:val="MainText10GAB"/>
              <w:rPr>
                <w:bCs/>
                <w:sz w:val="22"/>
                <w:szCs w:val="22"/>
                <w:lang w:eastAsia="de-DE"/>
              </w:rPr>
            </w:pPr>
            <w:r w:rsidRPr="00940F0A">
              <w:rPr>
                <w:bCs/>
                <w:sz w:val="22"/>
                <w:szCs w:val="22"/>
                <w:lang w:eastAsia="de-DE"/>
              </w:rPr>
              <w:t xml:space="preserve">The data requirements in accordance with Commission Regulation (EU) No 284/2013 for the chronic toxicity to adult honeybees and honeybee larvae are fulfilled. </w:t>
            </w:r>
          </w:p>
          <w:p w14:paraId="7916B643" w14:textId="38BB1905" w:rsidR="00901A60" w:rsidRPr="00AB0F8B" w:rsidRDefault="00901A60" w:rsidP="00F53FC3">
            <w:pPr>
              <w:pStyle w:val="MainText10GAB"/>
              <w:rPr>
                <w:iCs/>
                <w:sz w:val="22"/>
                <w:szCs w:val="22"/>
              </w:rPr>
            </w:pPr>
            <w:r w:rsidRPr="00AE1707">
              <w:rPr>
                <w:iCs/>
                <w:sz w:val="22"/>
                <w:szCs w:val="22"/>
              </w:rPr>
              <w:t>Some CEU</w:t>
            </w:r>
            <w:r w:rsidR="00D73AD6">
              <w:rPr>
                <w:iCs/>
                <w:sz w:val="22"/>
                <w:szCs w:val="22"/>
              </w:rPr>
              <w:t xml:space="preserve"> MSs</w:t>
            </w:r>
            <w:r w:rsidRPr="00AE1707">
              <w:rPr>
                <w:iCs/>
                <w:sz w:val="22"/>
                <w:szCs w:val="22"/>
              </w:rPr>
              <w:t xml:space="preserve"> countries require evaluation according to EFSA 2013. This approach is still not harmonised, but it was discussed at the last meeting of the central zone in the field of ecotoxicology (Warsaw, 12.2023), where it was agreed to present an assessment in the Core in accordance with EFSA 2013. </w:t>
            </w:r>
            <w:r w:rsidR="00E72C62" w:rsidRPr="006C550F">
              <w:rPr>
                <w:iCs/>
                <w:sz w:val="22"/>
                <w:szCs w:val="22"/>
                <w:shd w:val="clear" w:color="auto" w:fill="BDD6EE" w:themeFill="accent5" w:themeFillTint="66"/>
              </w:rPr>
              <w:t xml:space="preserve">Thus, </w:t>
            </w:r>
            <w:r w:rsidR="0047565F" w:rsidRPr="006C550F">
              <w:rPr>
                <w:iCs/>
                <w:sz w:val="22"/>
                <w:szCs w:val="22"/>
                <w:shd w:val="clear" w:color="auto" w:fill="BDD6EE" w:themeFill="accent5" w:themeFillTint="66"/>
              </w:rPr>
              <w:t xml:space="preserve">required chronic risk assessment was provided. </w:t>
            </w:r>
            <w:r w:rsidRPr="006C550F">
              <w:rPr>
                <w:iCs/>
                <w:strike/>
                <w:color w:val="808080" w:themeColor="background1" w:themeShade="80"/>
                <w:sz w:val="22"/>
                <w:szCs w:val="22"/>
                <w:shd w:val="clear" w:color="auto" w:fill="BDD6EE" w:themeFill="accent5" w:themeFillTint="66"/>
              </w:rPr>
              <w:t>Currently, the minutes of the meeting are still in the course of zonal consultations.</w:t>
            </w:r>
            <w:r>
              <w:rPr>
                <w:iCs/>
                <w:sz w:val="22"/>
                <w:szCs w:val="22"/>
              </w:rPr>
              <w:t xml:space="preserve"> </w:t>
            </w:r>
            <w:r w:rsidRPr="00C116B2">
              <w:rPr>
                <w:iCs/>
                <w:sz w:val="22"/>
                <w:szCs w:val="22"/>
              </w:rPr>
              <w:t>For Pol</w:t>
            </w:r>
            <w:r>
              <w:rPr>
                <w:iCs/>
                <w:sz w:val="22"/>
                <w:szCs w:val="22"/>
              </w:rPr>
              <w:t>and</w:t>
            </w:r>
            <w:r w:rsidRPr="00C116B2">
              <w:rPr>
                <w:iCs/>
                <w:sz w:val="22"/>
                <w:szCs w:val="22"/>
              </w:rPr>
              <w:t xml:space="preserve">, a chronic risk assessment is not required. </w:t>
            </w:r>
            <w:r w:rsidRPr="006C550F">
              <w:rPr>
                <w:iCs/>
                <w:strike/>
                <w:color w:val="808080" w:themeColor="background1" w:themeShade="80"/>
                <w:sz w:val="22"/>
                <w:szCs w:val="22"/>
                <w:shd w:val="clear" w:color="auto" w:fill="BDD6EE" w:themeFill="accent5" w:themeFillTint="66"/>
              </w:rPr>
              <w:t>Nevertheless, the Applicant, as a result of commenting process, may be asked to supplement the dossier with a risk assessment for bees in accordance with EFSA 2013.</w:t>
            </w:r>
          </w:p>
        </w:tc>
      </w:tr>
    </w:tbl>
    <w:p w14:paraId="5F670F36" w14:textId="77777777" w:rsidR="00901A60" w:rsidRPr="00A34F10" w:rsidRDefault="00901A60" w:rsidP="002E7F42">
      <w:pPr>
        <w:pStyle w:val="StyleOECD-BASIS-TEXTLeft"/>
        <w:rPr>
          <w:sz w:val="22"/>
          <w:lang w:val="en-US"/>
        </w:rPr>
        <w:sectPr w:rsidR="00901A60" w:rsidRPr="00A34F10" w:rsidSect="00064CA6">
          <w:pgSz w:w="11907" w:h="16840" w:code="9"/>
          <w:pgMar w:top="1418" w:right="1134" w:bottom="1418" w:left="1418" w:header="709" w:footer="709" w:gutter="0"/>
          <w:cols w:space="720"/>
        </w:sectPr>
      </w:pPr>
    </w:p>
    <w:p w14:paraId="006737D7" w14:textId="77777777" w:rsidR="00DC5685" w:rsidRPr="00A34F10" w:rsidRDefault="00DC5685" w:rsidP="00DC5685">
      <w:pPr>
        <w:pStyle w:val="Nagwek2"/>
      </w:pPr>
      <w:bookmarkStart w:id="615" w:name="_Ref405923455"/>
      <w:bookmarkStart w:id="616" w:name="_Toc412644010"/>
      <w:bookmarkStart w:id="617" w:name="_Toc413916854"/>
      <w:bookmarkStart w:id="618" w:name="_Toc413916996"/>
      <w:bookmarkStart w:id="619" w:name="_Toc413922057"/>
      <w:bookmarkStart w:id="620" w:name="_Toc413922546"/>
      <w:bookmarkStart w:id="621" w:name="_Toc413922650"/>
      <w:bookmarkStart w:id="622" w:name="_Toc414955287"/>
      <w:bookmarkStart w:id="623" w:name="_Toc415214594"/>
      <w:bookmarkStart w:id="624" w:name="_Toc181624981"/>
      <w:r w:rsidRPr="00A34F10">
        <w:lastRenderedPageBreak/>
        <w:t>Effects on arthropods other than bees (KCP 10.3.2)</w:t>
      </w:r>
      <w:bookmarkEnd w:id="615"/>
      <w:bookmarkEnd w:id="616"/>
      <w:bookmarkEnd w:id="617"/>
      <w:bookmarkEnd w:id="618"/>
      <w:bookmarkEnd w:id="619"/>
      <w:bookmarkEnd w:id="620"/>
      <w:bookmarkEnd w:id="621"/>
      <w:bookmarkEnd w:id="622"/>
      <w:bookmarkEnd w:id="623"/>
      <w:bookmarkEnd w:id="624"/>
    </w:p>
    <w:p w14:paraId="12D5D5BA" w14:textId="77777777" w:rsidR="00DC5685" w:rsidRPr="00A34F10" w:rsidRDefault="00DC5685" w:rsidP="00DC5685">
      <w:pPr>
        <w:pStyle w:val="Nagwek3"/>
        <w:rPr>
          <w:rFonts w:cs="Times New Roman"/>
        </w:rPr>
      </w:pPr>
      <w:bookmarkStart w:id="625" w:name="_Toc412644011"/>
      <w:bookmarkStart w:id="626" w:name="_Toc413916855"/>
      <w:bookmarkStart w:id="627" w:name="_Toc413916997"/>
      <w:bookmarkStart w:id="628" w:name="_Toc413922058"/>
      <w:bookmarkStart w:id="629" w:name="_Toc413922547"/>
      <w:bookmarkStart w:id="630" w:name="_Toc413922651"/>
      <w:bookmarkStart w:id="631" w:name="_Toc414955288"/>
      <w:bookmarkStart w:id="632" w:name="_Toc415214595"/>
      <w:bookmarkStart w:id="633" w:name="_Toc181624982"/>
      <w:r w:rsidRPr="00A34F10">
        <w:rPr>
          <w:rFonts w:cs="Times New Roman"/>
        </w:rPr>
        <w:t>Toxicity data</w:t>
      </w:r>
      <w:bookmarkEnd w:id="625"/>
      <w:bookmarkEnd w:id="626"/>
      <w:bookmarkEnd w:id="627"/>
      <w:bookmarkEnd w:id="628"/>
      <w:bookmarkEnd w:id="629"/>
      <w:bookmarkEnd w:id="630"/>
      <w:bookmarkEnd w:id="631"/>
      <w:bookmarkEnd w:id="632"/>
      <w:bookmarkEnd w:id="633"/>
    </w:p>
    <w:p w14:paraId="3074F0E7" w14:textId="77777777" w:rsidR="00DC5685" w:rsidRPr="00A34F10" w:rsidRDefault="00DC5685" w:rsidP="00DC5685">
      <w:pPr>
        <w:pStyle w:val="RepStandard"/>
        <w:suppressAutoHyphens/>
      </w:pPr>
      <w:r w:rsidRPr="00A34F10">
        <w:t>Studies on the toxicity to non-target arthropods have not been carried out with technical active substances Ametoctradin and Propamocarb. As standard practice the risk to non-target arthropods is based on formulation specific data.</w:t>
      </w:r>
    </w:p>
    <w:p w14:paraId="114A95D5" w14:textId="77777777" w:rsidR="00DC5685" w:rsidRPr="00A34F10" w:rsidRDefault="00DC5685" w:rsidP="00DC5685">
      <w:pPr>
        <w:pStyle w:val="RepStandard"/>
        <w:suppressAutoHyphens/>
        <w:rPr>
          <w:highlight w:val="yellow"/>
        </w:rPr>
      </w:pPr>
    </w:p>
    <w:p w14:paraId="7562D61B" w14:textId="77777777" w:rsidR="00DC5685" w:rsidRPr="00A34F10" w:rsidRDefault="00DC5685" w:rsidP="00DC5685">
      <w:pPr>
        <w:pStyle w:val="RepStandard"/>
        <w:suppressAutoHyphens/>
      </w:pPr>
      <w:r w:rsidRPr="00A34F10">
        <w:t xml:space="preserve">Effects on non-target arthropods of BAS 743 03 F were not evaluated as part of the EU assessment of the active substances. </w:t>
      </w:r>
    </w:p>
    <w:p w14:paraId="6BBCBFD1" w14:textId="77777777" w:rsidR="00DC5685" w:rsidRPr="00A34F10" w:rsidRDefault="00DC5685" w:rsidP="00DC5685">
      <w:pPr>
        <w:pStyle w:val="RepStandard"/>
        <w:suppressAutoHyphens/>
        <w:rPr>
          <w:highlight w:val="yellow"/>
        </w:rPr>
      </w:pPr>
    </w:p>
    <w:p w14:paraId="4317B86D" w14:textId="1C41D00B" w:rsidR="00DC5685" w:rsidRPr="00A34F10" w:rsidRDefault="00DC5685" w:rsidP="00DC5685">
      <w:pPr>
        <w:pStyle w:val="RepStandard"/>
        <w:suppressAutoHyphens/>
      </w:pPr>
      <w:r w:rsidRPr="00A34F10">
        <w:t xml:space="preserve">The toxicity of BAS 743 03 F to </w:t>
      </w:r>
      <w:r w:rsidRPr="00A34F10">
        <w:rPr>
          <w:bCs/>
        </w:rPr>
        <w:t xml:space="preserve">non-target arthropods has been investigated by carrying out Tier I tests on </w:t>
      </w:r>
      <w:r w:rsidRPr="00A34F10">
        <w:rPr>
          <w:bCs/>
          <w:i/>
          <w:iCs/>
        </w:rPr>
        <w:t>Aphidius rhopalosiphi</w:t>
      </w:r>
      <w:r w:rsidRPr="00A34F10">
        <w:rPr>
          <w:bCs/>
        </w:rPr>
        <w:t xml:space="preserve"> and </w:t>
      </w:r>
      <w:bookmarkStart w:id="634" w:name="_Hlk38825637"/>
      <w:r w:rsidRPr="00A34F10">
        <w:rPr>
          <w:bCs/>
          <w:i/>
        </w:rPr>
        <w:t>Typhlodromus pyri</w:t>
      </w:r>
      <w:bookmarkEnd w:id="634"/>
      <w:r w:rsidRPr="00A34F10">
        <w:rPr>
          <w:bCs/>
        </w:rPr>
        <w:t>.</w:t>
      </w:r>
      <w:r w:rsidRPr="00A34F10">
        <w:t xml:space="preserve"> New data submitted with this application are listed in </w:t>
      </w:r>
      <w:r w:rsidRPr="00A34F10">
        <w:fldChar w:fldCharType="begin"/>
      </w:r>
      <w:r w:rsidRPr="00A34F10">
        <w:instrText xml:space="preserve"> REF _Ref441746053 \h  \* MERGEFORMAT </w:instrText>
      </w:r>
      <w:r w:rsidRPr="00A34F10">
        <w:fldChar w:fldCharType="separate"/>
      </w:r>
      <w:r w:rsidR="006F0F3B" w:rsidRPr="00A34F10">
        <w:t xml:space="preserve">Table </w:t>
      </w:r>
      <w:r w:rsidR="006F0F3B">
        <w:rPr>
          <w:noProof/>
        </w:rPr>
        <w:t>9.7</w:t>
      </w:r>
      <w:r w:rsidR="006F0F3B">
        <w:rPr>
          <w:noProof/>
        </w:rPr>
        <w:noBreakHyphen/>
        <w:t>1</w:t>
      </w:r>
      <w:r w:rsidRPr="00A34F10">
        <w:fldChar w:fldCharType="end"/>
      </w:r>
      <w:r w:rsidRPr="00A34F10">
        <w:t xml:space="preserve">, Appendix 1 and summarized in Appendix 2. Since differences in co-formulants and/or their concentration between both formulations are considered minimal, it is assumed that bridging from BAS 743 02 F to BAS 743 03 F is acceptable. For details on the formulation compositions please refer to Part C of this submission. In addition, the toxicity of BAS 743 03 F has been investigated in a </w:t>
      </w:r>
      <w:r w:rsidRPr="00A34F10">
        <w:rPr>
          <w:bCs/>
        </w:rPr>
        <w:t xml:space="preserve">Tier I test on </w:t>
      </w:r>
      <w:r w:rsidRPr="00A34F10">
        <w:rPr>
          <w:bCs/>
          <w:i/>
          <w:iCs/>
        </w:rPr>
        <w:t xml:space="preserve">Aphidius rhopalosiphi </w:t>
      </w:r>
      <w:r w:rsidRPr="00A34F10">
        <w:rPr>
          <w:bCs/>
        </w:rPr>
        <w:t>(</w:t>
      </w:r>
      <w:r w:rsidRPr="00A34F10">
        <w:t xml:space="preserve">BAS Doc ID 2022/2033732). indicating no increased toxicity of BAS 743 03 F compared to BAS 743 02 F based on the content of active substance. </w:t>
      </w:r>
    </w:p>
    <w:p w14:paraId="000AFF0D" w14:textId="77777777" w:rsidR="00DC5685" w:rsidRPr="00A34F10" w:rsidRDefault="00DC5685" w:rsidP="00DC5685">
      <w:pPr>
        <w:pStyle w:val="RepStandard"/>
        <w:suppressAutoHyphens/>
      </w:pPr>
    </w:p>
    <w:p w14:paraId="00BCC010" w14:textId="77777777" w:rsidR="00DC5685" w:rsidRPr="00A34F10" w:rsidRDefault="00DC5685" w:rsidP="00DC5685">
      <w:pPr>
        <w:pStyle w:val="RepStandard"/>
      </w:pPr>
      <w:r w:rsidRPr="00A34F10">
        <w:t>The selection of studies and endpoints for the risk assessment deviates from the results of the EU review process. Justifications are provided below.</w:t>
      </w:r>
    </w:p>
    <w:p w14:paraId="7F54C005" w14:textId="77777777" w:rsidR="00E23E00" w:rsidRPr="00A34F10" w:rsidRDefault="00E23E00" w:rsidP="00DC5685">
      <w:pPr>
        <w:pStyle w:val="RepStandard"/>
        <w:suppressAutoHyphens/>
        <w:rPr>
          <w:highlight w:val="yellow"/>
        </w:rPr>
      </w:pPr>
    </w:p>
    <w:p w14:paraId="5B006045" w14:textId="055526CC" w:rsidR="00DC5685" w:rsidRPr="00A34F10" w:rsidRDefault="00DC5685" w:rsidP="00DC5685">
      <w:pPr>
        <w:pStyle w:val="RepLabel"/>
      </w:pPr>
      <w:bookmarkStart w:id="635" w:name="_Ref441746053"/>
      <w:r w:rsidRPr="00A34F10">
        <w:t xml:space="preserve">Table </w:t>
      </w:r>
      <w:fldSimple w:instr=" STYLEREF 2 \s ">
        <w:r w:rsidR="006F0F3B">
          <w:rPr>
            <w:noProof/>
          </w:rPr>
          <w:t>9.7</w:t>
        </w:r>
      </w:fldSimple>
      <w:r w:rsidR="007E7467">
        <w:noBreakHyphen/>
      </w:r>
      <w:fldSimple w:instr=" SEQ Table \* ARABIC \s 2 ">
        <w:r w:rsidR="006F0F3B">
          <w:rPr>
            <w:noProof/>
          </w:rPr>
          <w:t>1</w:t>
        </w:r>
      </w:fldSimple>
      <w:bookmarkEnd w:id="635"/>
      <w:r w:rsidRPr="00A34F10">
        <w:tab/>
        <w:t>Endpoints and effect values for BAS 743 03 F relevant for the risk assessment for non-target arthropods</w:t>
      </w:r>
    </w:p>
    <w:tbl>
      <w:tblPr>
        <w:tblStyle w:val="Tabela-Siatka"/>
        <w:tblW w:w="5000" w:type="pct"/>
        <w:tblLook w:val="04A0" w:firstRow="1" w:lastRow="0" w:firstColumn="1" w:lastColumn="0" w:noHBand="0" w:noVBand="1"/>
      </w:tblPr>
      <w:tblGrid>
        <w:gridCol w:w="1869"/>
        <w:gridCol w:w="1559"/>
        <w:gridCol w:w="2179"/>
        <w:gridCol w:w="1869"/>
        <w:gridCol w:w="1869"/>
      </w:tblGrid>
      <w:tr w:rsidR="00DC5685" w:rsidRPr="00A34F10" w14:paraId="4F84A3C7" w14:textId="77777777" w:rsidTr="000470C3">
        <w:trPr>
          <w:tblHeader/>
        </w:trPr>
        <w:tc>
          <w:tcPr>
            <w:tcW w:w="1000" w:type="pct"/>
            <w:vAlign w:val="center"/>
          </w:tcPr>
          <w:p w14:paraId="387A25BC" w14:textId="77777777" w:rsidR="00DC5685" w:rsidRPr="00A34F10" w:rsidRDefault="00DC5685" w:rsidP="000470C3">
            <w:pPr>
              <w:pStyle w:val="RepTableHeader"/>
              <w:keepNext w:val="0"/>
              <w:keepLines w:val="0"/>
              <w:suppressAutoHyphens/>
              <w:jc w:val="left"/>
            </w:pPr>
            <w:r w:rsidRPr="00A34F10">
              <w:t>Species</w:t>
            </w:r>
          </w:p>
        </w:tc>
        <w:tc>
          <w:tcPr>
            <w:tcW w:w="834" w:type="pct"/>
            <w:vAlign w:val="center"/>
          </w:tcPr>
          <w:p w14:paraId="41068200" w14:textId="77777777" w:rsidR="00DC5685" w:rsidRPr="00A34F10" w:rsidRDefault="00DC5685" w:rsidP="000470C3">
            <w:pPr>
              <w:pStyle w:val="RepTableHeader"/>
              <w:keepNext w:val="0"/>
              <w:keepLines w:val="0"/>
              <w:suppressAutoHyphens/>
              <w:jc w:val="left"/>
            </w:pPr>
            <w:r w:rsidRPr="00A34F10">
              <w:t>Product</w:t>
            </w:r>
          </w:p>
        </w:tc>
        <w:tc>
          <w:tcPr>
            <w:tcW w:w="1166" w:type="pct"/>
            <w:vAlign w:val="center"/>
          </w:tcPr>
          <w:p w14:paraId="31B618A3" w14:textId="77777777" w:rsidR="00DC5685" w:rsidRPr="00A34F10" w:rsidRDefault="00DC5685" w:rsidP="000470C3">
            <w:pPr>
              <w:pStyle w:val="RepTableHeader"/>
              <w:keepNext w:val="0"/>
              <w:keepLines w:val="0"/>
              <w:suppressAutoHyphens/>
              <w:jc w:val="left"/>
            </w:pPr>
            <w:r w:rsidRPr="00A34F10">
              <w:t>Exposure</w:t>
            </w:r>
            <w:r w:rsidRPr="00A34F10">
              <w:br/>
              <w:t>System</w:t>
            </w:r>
          </w:p>
        </w:tc>
        <w:tc>
          <w:tcPr>
            <w:tcW w:w="1000" w:type="pct"/>
            <w:vAlign w:val="center"/>
          </w:tcPr>
          <w:p w14:paraId="31DBE880" w14:textId="77777777" w:rsidR="00DC5685" w:rsidRPr="00A34F10" w:rsidRDefault="00DC5685" w:rsidP="000470C3">
            <w:pPr>
              <w:pStyle w:val="RepTableHeader"/>
              <w:keepNext w:val="0"/>
              <w:keepLines w:val="0"/>
              <w:suppressAutoHyphens/>
              <w:jc w:val="left"/>
            </w:pPr>
            <w:r w:rsidRPr="00A34F10">
              <w:t>Results</w:t>
            </w:r>
          </w:p>
        </w:tc>
        <w:tc>
          <w:tcPr>
            <w:tcW w:w="1000" w:type="pct"/>
            <w:vAlign w:val="center"/>
          </w:tcPr>
          <w:p w14:paraId="5C7354AF" w14:textId="77777777" w:rsidR="00DC5685" w:rsidRPr="00A34F10" w:rsidRDefault="00DC5685" w:rsidP="000470C3">
            <w:pPr>
              <w:pStyle w:val="RepTableHeader"/>
              <w:keepNext w:val="0"/>
              <w:keepLines w:val="0"/>
              <w:suppressAutoHyphens/>
              <w:jc w:val="left"/>
            </w:pPr>
            <w:r w:rsidRPr="00A34F10">
              <w:t>Reference</w:t>
            </w:r>
          </w:p>
        </w:tc>
      </w:tr>
      <w:tr w:rsidR="00DC5685" w:rsidRPr="00A34F10" w14:paraId="4630F10F" w14:textId="77777777" w:rsidTr="000470C3">
        <w:trPr>
          <w:trHeight w:val="340"/>
        </w:trPr>
        <w:tc>
          <w:tcPr>
            <w:tcW w:w="5000" w:type="pct"/>
            <w:gridSpan w:val="5"/>
            <w:vAlign w:val="center"/>
          </w:tcPr>
          <w:p w14:paraId="2E8BD9D8" w14:textId="77777777" w:rsidR="00DC5685" w:rsidRPr="00A34F10" w:rsidRDefault="00DC5685" w:rsidP="000470C3">
            <w:pPr>
              <w:pStyle w:val="RepTableHeader"/>
              <w:keepNext w:val="0"/>
              <w:keepLines w:val="0"/>
              <w:suppressAutoHyphens/>
              <w:jc w:val="left"/>
            </w:pPr>
            <w:r w:rsidRPr="00A34F10">
              <w:t>Laboratory tests</w:t>
            </w:r>
          </w:p>
        </w:tc>
      </w:tr>
      <w:tr w:rsidR="00DC5685" w:rsidRPr="00A34F10" w14:paraId="46C76167" w14:textId="77777777" w:rsidTr="000470C3">
        <w:trPr>
          <w:trHeight w:val="690"/>
        </w:trPr>
        <w:tc>
          <w:tcPr>
            <w:tcW w:w="1000" w:type="pct"/>
            <w:vAlign w:val="center"/>
          </w:tcPr>
          <w:p w14:paraId="5E9CB220" w14:textId="77777777" w:rsidR="00DC5685" w:rsidRPr="00A34F10" w:rsidRDefault="00DC5685" w:rsidP="000470C3">
            <w:pPr>
              <w:pStyle w:val="RepTable"/>
              <w:suppressAutoHyphens/>
              <w:rPr>
                <w:i/>
                <w:noProof w:val="0"/>
                <w:szCs w:val="20"/>
              </w:rPr>
            </w:pPr>
            <w:r w:rsidRPr="00A34F10">
              <w:rPr>
                <w:i/>
                <w:noProof w:val="0"/>
                <w:szCs w:val="20"/>
              </w:rPr>
              <w:t>Aphidius rhopalosiphi</w:t>
            </w:r>
            <w:r w:rsidRPr="00A34F10">
              <w:rPr>
                <w:i/>
                <w:noProof w:val="0"/>
                <w:szCs w:val="20"/>
              </w:rPr>
              <w:br/>
            </w:r>
            <w:r w:rsidRPr="00A34F10">
              <w:rPr>
                <w:noProof w:val="0"/>
                <w:szCs w:val="20"/>
              </w:rPr>
              <w:t>(adults)</w:t>
            </w:r>
          </w:p>
        </w:tc>
        <w:tc>
          <w:tcPr>
            <w:tcW w:w="834" w:type="pct"/>
            <w:vAlign w:val="center"/>
          </w:tcPr>
          <w:p w14:paraId="3C6A621F" w14:textId="77777777" w:rsidR="00DC5685" w:rsidRPr="00A34F10" w:rsidRDefault="00DC5685" w:rsidP="000470C3">
            <w:pPr>
              <w:widowControl w:val="0"/>
              <w:suppressAutoHyphens/>
              <w:jc w:val="left"/>
              <w:rPr>
                <w:sz w:val="20"/>
                <w:szCs w:val="20"/>
              </w:rPr>
            </w:pPr>
            <w:r w:rsidRPr="00A34F10">
              <w:rPr>
                <w:sz w:val="20"/>
                <w:szCs w:val="20"/>
              </w:rPr>
              <w:t>BAS 743 02 F</w:t>
            </w:r>
          </w:p>
        </w:tc>
        <w:tc>
          <w:tcPr>
            <w:tcW w:w="1166" w:type="pct"/>
            <w:vAlign w:val="center"/>
          </w:tcPr>
          <w:p w14:paraId="584319B3" w14:textId="77777777" w:rsidR="00DC5685" w:rsidRPr="00A34F10" w:rsidRDefault="00DC5685" w:rsidP="000470C3">
            <w:pPr>
              <w:pStyle w:val="RepTable"/>
              <w:suppressAutoHyphens/>
              <w:rPr>
                <w:noProof w:val="0"/>
                <w:szCs w:val="20"/>
              </w:rPr>
            </w:pPr>
            <w:r w:rsidRPr="00A34F10">
              <w:rPr>
                <w:noProof w:val="0"/>
                <w:szCs w:val="20"/>
              </w:rPr>
              <w:t>Laboratory test</w:t>
            </w:r>
            <w:r w:rsidRPr="00A34F10">
              <w:rPr>
                <w:noProof w:val="0"/>
                <w:szCs w:val="20"/>
              </w:rPr>
              <w:br/>
              <w:t>glass plates</w:t>
            </w:r>
            <w:r w:rsidRPr="00A34F10">
              <w:rPr>
                <w:noProof w:val="0"/>
                <w:szCs w:val="20"/>
              </w:rPr>
              <w:br/>
              <w:t>2D exposure</w:t>
            </w:r>
          </w:p>
        </w:tc>
        <w:tc>
          <w:tcPr>
            <w:tcW w:w="1000" w:type="pct"/>
            <w:vAlign w:val="center"/>
          </w:tcPr>
          <w:p w14:paraId="213DCB16" w14:textId="77777777" w:rsidR="00DC5685" w:rsidRPr="001D51C3" w:rsidRDefault="00DC5685" w:rsidP="000470C3">
            <w:pPr>
              <w:pStyle w:val="RepTable"/>
              <w:suppressAutoHyphens/>
              <w:rPr>
                <w:szCs w:val="24"/>
                <w:lang w:val="es-ES"/>
              </w:rPr>
            </w:pPr>
            <w:r w:rsidRPr="001D51C3">
              <w:rPr>
                <w:szCs w:val="24"/>
                <w:lang w:val="es-ES"/>
              </w:rPr>
              <w:t>LR</w:t>
            </w:r>
            <w:r w:rsidRPr="001D51C3">
              <w:rPr>
                <w:szCs w:val="24"/>
                <w:vertAlign w:val="subscript"/>
                <w:lang w:val="es-ES"/>
              </w:rPr>
              <w:t>50</w:t>
            </w:r>
            <w:r w:rsidRPr="001D51C3">
              <w:rPr>
                <w:szCs w:val="24"/>
                <w:lang w:val="es-ES"/>
              </w:rPr>
              <w:t xml:space="preserve"> &gt; 3 L/ha</w:t>
            </w:r>
          </w:p>
          <w:p w14:paraId="5AA4C369" w14:textId="77777777" w:rsidR="00DC5685" w:rsidRPr="001D51C3" w:rsidRDefault="00DC5685" w:rsidP="000470C3">
            <w:pPr>
              <w:pStyle w:val="RepTable"/>
              <w:suppressAutoHyphens/>
              <w:rPr>
                <w:noProof w:val="0"/>
                <w:szCs w:val="20"/>
                <w:lang w:val="es-ES"/>
              </w:rPr>
            </w:pPr>
            <w:r w:rsidRPr="001D51C3">
              <w:rPr>
                <w:szCs w:val="24"/>
                <w:lang w:val="es-ES"/>
              </w:rPr>
              <w:t>ER</w:t>
            </w:r>
            <w:r w:rsidRPr="001D51C3">
              <w:rPr>
                <w:szCs w:val="24"/>
                <w:vertAlign w:val="subscript"/>
                <w:lang w:val="es-ES"/>
              </w:rPr>
              <w:t>50</w:t>
            </w:r>
            <w:r w:rsidRPr="001D51C3">
              <w:rPr>
                <w:szCs w:val="24"/>
                <w:lang w:val="es-ES"/>
              </w:rPr>
              <w:t xml:space="preserve"> &gt; 3 L/ha</w:t>
            </w:r>
          </w:p>
        </w:tc>
        <w:tc>
          <w:tcPr>
            <w:tcW w:w="1000" w:type="pct"/>
            <w:vAlign w:val="center"/>
          </w:tcPr>
          <w:p w14:paraId="7DE98ABA" w14:textId="77777777" w:rsidR="00DC5685" w:rsidRPr="00A34F10" w:rsidRDefault="00DC5685" w:rsidP="000470C3">
            <w:pPr>
              <w:pStyle w:val="RepTable"/>
              <w:suppressAutoHyphens/>
              <w:rPr>
                <w:noProof w:val="0"/>
                <w:szCs w:val="20"/>
              </w:rPr>
            </w:pPr>
            <w:r w:rsidRPr="00A34F10">
              <w:rPr>
                <w:noProof w:val="0"/>
                <w:szCs w:val="20"/>
              </w:rPr>
              <w:t>new study</w:t>
            </w:r>
          </w:p>
          <w:p w14:paraId="037BFDE1" w14:textId="77777777" w:rsidR="00DC5685" w:rsidRPr="00A34F10" w:rsidRDefault="00DC5685" w:rsidP="000470C3">
            <w:pPr>
              <w:pStyle w:val="RepTable"/>
              <w:suppressAutoHyphens/>
              <w:rPr>
                <w:noProof w:val="0"/>
                <w:szCs w:val="20"/>
              </w:rPr>
            </w:pPr>
            <w:r w:rsidRPr="00A34F10">
              <w:rPr>
                <w:szCs w:val="20"/>
              </w:rPr>
              <w:t>2022/2033728</w:t>
            </w:r>
          </w:p>
        </w:tc>
      </w:tr>
      <w:tr w:rsidR="00DC5685" w:rsidRPr="00A34F10" w14:paraId="2CFEF337" w14:textId="77777777" w:rsidTr="000470C3">
        <w:trPr>
          <w:trHeight w:val="690"/>
        </w:trPr>
        <w:tc>
          <w:tcPr>
            <w:tcW w:w="1000" w:type="pct"/>
            <w:vAlign w:val="center"/>
          </w:tcPr>
          <w:p w14:paraId="69F07CE4" w14:textId="77777777" w:rsidR="00DC5685" w:rsidRPr="00A34F10" w:rsidRDefault="00DC5685" w:rsidP="000470C3">
            <w:pPr>
              <w:pStyle w:val="RepTable"/>
              <w:suppressAutoHyphens/>
              <w:rPr>
                <w:i/>
                <w:noProof w:val="0"/>
                <w:szCs w:val="20"/>
              </w:rPr>
            </w:pPr>
            <w:r w:rsidRPr="00A34F10">
              <w:rPr>
                <w:i/>
                <w:noProof w:val="0"/>
                <w:szCs w:val="20"/>
              </w:rPr>
              <w:t>Typhlodromus pyri</w:t>
            </w:r>
          </w:p>
          <w:p w14:paraId="49F413D0" w14:textId="77777777" w:rsidR="00DC5685" w:rsidRPr="00A34F10" w:rsidRDefault="00DC5685" w:rsidP="000470C3">
            <w:pPr>
              <w:pStyle w:val="RepTable"/>
              <w:suppressAutoHyphens/>
              <w:rPr>
                <w:iCs/>
                <w:noProof w:val="0"/>
                <w:szCs w:val="20"/>
              </w:rPr>
            </w:pPr>
            <w:r w:rsidRPr="00A34F10">
              <w:rPr>
                <w:iCs/>
                <w:noProof w:val="0"/>
                <w:szCs w:val="20"/>
              </w:rPr>
              <w:t>(protonymphs)</w:t>
            </w:r>
          </w:p>
        </w:tc>
        <w:tc>
          <w:tcPr>
            <w:tcW w:w="834" w:type="pct"/>
            <w:vAlign w:val="center"/>
          </w:tcPr>
          <w:p w14:paraId="33A8FC5D" w14:textId="77777777" w:rsidR="00DC5685" w:rsidRPr="00A34F10" w:rsidRDefault="00DC5685" w:rsidP="000470C3">
            <w:pPr>
              <w:widowControl w:val="0"/>
              <w:suppressAutoHyphens/>
              <w:jc w:val="left"/>
              <w:rPr>
                <w:sz w:val="20"/>
                <w:szCs w:val="20"/>
              </w:rPr>
            </w:pPr>
            <w:r w:rsidRPr="00A34F10">
              <w:rPr>
                <w:sz w:val="20"/>
                <w:szCs w:val="20"/>
              </w:rPr>
              <w:t>BAS 743 02 F</w:t>
            </w:r>
          </w:p>
        </w:tc>
        <w:tc>
          <w:tcPr>
            <w:tcW w:w="1166" w:type="pct"/>
            <w:vAlign w:val="center"/>
          </w:tcPr>
          <w:p w14:paraId="74E6418A" w14:textId="77777777" w:rsidR="00DC5685" w:rsidRPr="00A34F10" w:rsidRDefault="00DC5685" w:rsidP="000470C3">
            <w:pPr>
              <w:pStyle w:val="RepTable"/>
              <w:suppressAutoHyphens/>
              <w:rPr>
                <w:noProof w:val="0"/>
                <w:szCs w:val="20"/>
              </w:rPr>
            </w:pPr>
            <w:r w:rsidRPr="006C550F">
              <w:rPr>
                <w:strike/>
                <w:color w:val="808080" w:themeColor="background1" w:themeShade="80"/>
                <w:szCs w:val="20"/>
                <w:shd w:val="clear" w:color="auto" w:fill="BDD6EE" w:themeFill="accent5" w:themeFillTint="66"/>
              </w:rPr>
              <w:t>Extended</w:t>
            </w:r>
            <w:r w:rsidRPr="00A34F10">
              <w:rPr>
                <w:szCs w:val="20"/>
              </w:rPr>
              <w:t xml:space="preserve"> laboratory test </w:t>
            </w:r>
            <w:r w:rsidRPr="006C550F">
              <w:rPr>
                <w:strike/>
                <w:color w:val="808080" w:themeColor="background1" w:themeShade="80"/>
                <w:szCs w:val="20"/>
                <w:shd w:val="clear" w:color="auto" w:fill="BDD6EE" w:themeFill="accent5" w:themeFillTint="66"/>
              </w:rPr>
              <w:t>bean leaf discs,</w:t>
            </w:r>
            <w:r w:rsidRPr="00A34F10">
              <w:rPr>
                <w:szCs w:val="20"/>
              </w:rPr>
              <w:br/>
              <w:t>2D exposure</w:t>
            </w:r>
          </w:p>
        </w:tc>
        <w:tc>
          <w:tcPr>
            <w:tcW w:w="1000" w:type="pct"/>
            <w:vAlign w:val="center"/>
          </w:tcPr>
          <w:p w14:paraId="406D4F75" w14:textId="77777777" w:rsidR="00DC5685" w:rsidRPr="001D51C3" w:rsidRDefault="00DC5685" w:rsidP="000470C3">
            <w:pPr>
              <w:pStyle w:val="RepTable"/>
              <w:suppressAutoHyphens/>
              <w:rPr>
                <w:szCs w:val="24"/>
                <w:lang w:val="es-ES"/>
              </w:rPr>
            </w:pPr>
            <w:r w:rsidRPr="001D51C3">
              <w:rPr>
                <w:szCs w:val="24"/>
                <w:lang w:val="es-ES"/>
              </w:rPr>
              <w:t>LR</w:t>
            </w:r>
            <w:r w:rsidRPr="001D51C3">
              <w:rPr>
                <w:szCs w:val="24"/>
                <w:vertAlign w:val="subscript"/>
                <w:lang w:val="es-ES"/>
              </w:rPr>
              <w:t>50</w:t>
            </w:r>
            <w:r w:rsidRPr="001D51C3">
              <w:rPr>
                <w:szCs w:val="24"/>
                <w:lang w:val="es-ES"/>
              </w:rPr>
              <w:t xml:space="preserve"> &gt; 3 L/ha</w:t>
            </w:r>
          </w:p>
          <w:p w14:paraId="3C8E0CF4" w14:textId="77777777" w:rsidR="00DC5685" w:rsidRPr="001D51C3" w:rsidRDefault="00DC5685" w:rsidP="000470C3">
            <w:pPr>
              <w:pStyle w:val="RepTable"/>
              <w:suppressAutoHyphens/>
              <w:rPr>
                <w:szCs w:val="24"/>
                <w:lang w:val="es-ES"/>
              </w:rPr>
            </w:pPr>
            <w:r w:rsidRPr="001D51C3">
              <w:rPr>
                <w:szCs w:val="24"/>
                <w:lang w:val="es-ES"/>
              </w:rPr>
              <w:t>ER</w:t>
            </w:r>
            <w:r w:rsidRPr="001D51C3">
              <w:rPr>
                <w:szCs w:val="24"/>
                <w:vertAlign w:val="subscript"/>
                <w:lang w:val="es-ES"/>
              </w:rPr>
              <w:t>50</w:t>
            </w:r>
            <w:r w:rsidRPr="001D51C3">
              <w:rPr>
                <w:szCs w:val="24"/>
                <w:lang w:val="es-ES"/>
              </w:rPr>
              <w:t xml:space="preserve"> &gt; 3 L/ha</w:t>
            </w:r>
          </w:p>
        </w:tc>
        <w:tc>
          <w:tcPr>
            <w:tcW w:w="1000" w:type="pct"/>
            <w:vAlign w:val="center"/>
          </w:tcPr>
          <w:p w14:paraId="3093B120" w14:textId="77777777" w:rsidR="00DC5685" w:rsidRPr="00A34F10" w:rsidRDefault="00DC5685" w:rsidP="000470C3">
            <w:pPr>
              <w:pStyle w:val="RepTable"/>
              <w:suppressAutoHyphens/>
              <w:rPr>
                <w:noProof w:val="0"/>
                <w:szCs w:val="20"/>
              </w:rPr>
            </w:pPr>
            <w:r w:rsidRPr="00A34F10">
              <w:rPr>
                <w:noProof w:val="0"/>
                <w:szCs w:val="20"/>
              </w:rPr>
              <w:t>2022/2033725</w:t>
            </w:r>
          </w:p>
        </w:tc>
      </w:tr>
      <w:tr w:rsidR="00DC5685" w:rsidRPr="00A34F10" w14:paraId="0F83A230" w14:textId="77777777" w:rsidTr="000470C3">
        <w:trPr>
          <w:trHeight w:val="690"/>
        </w:trPr>
        <w:tc>
          <w:tcPr>
            <w:tcW w:w="1000" w:type="pct"/>
            <w:vAlign w:val="center"/>
          </w:tcPr>
          <w:p w14:paraId="4BC54F9C" w14:textId="77777777" w:rsidR="00DC5685" w:rsidRPr="00A34F10" w:rsidRDefault="00DC5685" w:rsidP="000470C3">
            <w:pPr>
              <w:pStyle w:val="RepTable"/>
              <w:suppressAutoHyphens/>
              <w:rPr>
                <w:i/>
                <w:noProof w:val="0"/>
                <w:szCs w:val="20"/>
              </w:rPr>
            </w:pPr>
            <w:r w:rsidRPr="00A34F10">
              <w:rPr>
                <w:i/>
                <w:noProof w:val="0"/>
                <w:szCs w:val="20"/>
              </w:rPr>
              <w:t>Aphidius rhopalosiphi</w:t>
            </w:r>
            <w:r w:rsidRPr="00A34F10">
              <w:rPr>
                <w:i/>
                <w:noProof w:val="0"/>
                <w:szCs w:val="20"/>
              </w:rPr>
              <w:br/>
            </w:r>
            <w:r w:rsidRPr="00A34F10">
              <w:rPr>
                <w:noProof w:val="0"/>
                <w:szCs w:val="20"/>
              </w:rPr>
              <w:t>(adults)</w:t>
            </w:r>
          </w:p>
        </w:tc>
        <w:tc>
          <w:tcPr>
            <w:tcW w:w="834" w:type="pct"/>
            <w:vAlign w:val="center"/>
          </w:tcPr>
          <w:p w14:paraId="6B8BEA36" w14:textId="77777777" w:rsidR="00DC5685" w:rsidRPr="00A34F10" w:rsidRDefault="00DC5685" w:rsidP="000470C3">
            <w:pPr>
              <w:widowControl w:val="0"/>
              <w:suppressAutoHyphens/>
              <w:rPr>
                <w:sz w:val="20"/>
                <w:szCs w:val="20"/>
              </w:rPr>
            </w:pPr>
            <w:r w:rsidRPr="00A34F10">
              <w:rPr>
                <w:sz w:val="20"/>
                <w:szCs w:val="20"/>
              </w:rPr>
              <w:t>BAS 743 03 F</w:t>
            </w:r>
          </w:p>
        </w:tc>
        <w:tc>
          <w:tcPr>
            <w:tcW w:w="1166" w:type="pct"/>
            <w:vAlign w:val="center"/>
          </w:tcPr>
          <w:p w14:paraId="71A511F3" w14:textId="0DDC9C4C" w:rsidR="00DC5685" w:rsidRPr="00A34F10" w:rsidRDefault="00DC5685" w:rsidP="000470C3">
            <w:pPr>
              <w:pStyle w:val="RepTable"/>
              <w:suppressAutoHyphens/>
              <w:rPr>
                <w:szCs w:val="20"/>
              </w:rPr>
            </w:pPr>
            <w:r w:rsidRPr="00A34F10">
              <w:rPr>
                <w:noProof w:val="0"/>
                <w:szCs w:val="20"/>
              </w:rPr>
              <w:t>Laboratory test</w:t>
            </w:r>
            <w:r w:rsidRPr="00A34F10">
              <w:rPr>
                <w:noProof w:val="0"/>
                <w:szCs w:val="20"/>
              </w:rPr>
              <w:br/>
              <w:t>glass plates</w:t>
            </w:r>
            <w:r w:rsidRPr="00A34F10">
              <w:rPr>
                <w:noProof w:val="0"/>
                <w:szCs w:val="20"/>
              </w:rPr>
              <w:br/>
              <w:t>2D exposure</w:t>
            </w:r>
          </w:p>
        </w:tc>
        <w:tc>
          <w:tcPr>
            <w:tcW w:w="1000" w:type="pct"/>
            <w:vAlign w:val="center"/>
          </w:tcPr>
          <w:p w14:paraId="64AE8CB0" w14:textId="77777777" w:rsidR="00DC5685" w:rsidRPr="001D51C3" w:rsidRDefault="00DC5685" w:rsidP="000470C3">
            <w:pPr>
              <w:pStyle w:val="RepTable"/>
              <w:suppressAutoHyphens/>
              <w:rPr>
                <w:szCs w:val="24"/>
                <w:lang w:val="es-ES"/>
              </w:rPr>
            </w:pPr>
            <w:r w:rsidRPr="001D51C3">
              <w:rPr>
                <w:szCs w:val="24"/>
                <w:lang w:val="es-ES"/>
              </w:rPr>
              <w:t>LR</w:t>
            </w:r>
            <w:r w:rsidRPr="001D51C3">
              <w:rPr>
                <w:szCs w:val="24"/>
                <w:vertAlign w:val="subscript"/>
                <w:lang w:val="es-ES"/>
              </w:rPr>
              <w:t>50</w:t>
            </w:r>
            <w:r w:rsidRPr="001D51C3">
              <w:rPr>
                <w:szCs w:val="24"/>
                <w:lang w:val="es-ES"/>
              </w:rPr>
              <w:t xml:space="preserve"> &gt; 4.6 L/ha</w:t>
            </w:r>
          </w:p>
          <w:p w14:paraId="17582E0E" w14:textId="77777777" w:rsidR="00DC5685" w:rsidRPr="001D51C3" w:rsidRDefault="00DC5685" w:rsidP="000470C3">
            <w:pPr>
              <w:pStyle w:val="RepTable"/>
              <w:suppressAutoHyphens/>
              <w:rPr>
                <w:szCs w:val="24"/>
                <w:lang w:val="es-ES"/>
              </w:rPr>
            </w:pPr>
            <w:r w:rsidRPr="001D51C3">
              <w:rPr>
                <w:szCs w:val="24"/>
                <w:lang w:val="es-ES"/>
              </w:rPr>
              <w:t>ER</w:t>
            </w:r>
            <w:r w:rsidRPr="001D51C3">
              <w:rPr>
                <w:szCs w:val="24"/>
                <w:vertAlign w:val="subscript"/>
                <w:lang w:val="es-ES"/>
              </w:rPr>
              <w:t>50</w:t>
            </w:r>
            <w:r w:rsidRPr="001D51C3">
              <w:rPr>
                <w:szCs w:val="24"/>
                <w:lang w:val="es-ES"/>
              </w:rPr>
              <w:t xml:space="preserve"> &gt; 4.6 L/ha</w:t>
            </w:r>
          </w:p>
        </w:tc>
        <w:tc>
          <w:tcPr>
            <w:tcW w:w="1000" w:type="pct"/>
            <w:vAlign w:val="center"/>
          </w:tcPr>
          <w:p w14:paraId="2CEB9B11" w14:textId="77777777" w:rsidR="00DC5685" w:rsidRPr="00A34F10" w:rsidRDefault="00DC5685" w:rsidP="000470C3">
            <w:pPr>
              <w:pStyle w:val="RepTable"/>
              <w:suppressAutoHyphens/>
              <w:rPr>
                <w:noProof w:val="0"/>
                <w:szCs w:val="20"/>
              </w:rPr>
            </w:pPr>
            <w:r w:rsidRPr="00A34F10">
              <w:rPr>
                <w:noProof w:val="0"/>
                <w:szCs w:val="20"/>
              </w:rPr>
              <w:t xml:space="preserve">new study </w:t>
            </w:r>
          </w:p>
          <w:p w14:paraId="65A895B1" w14:textId="77777777" w:rsidR="00DC5685" w:rsidRPr="00A34F10" w:rsidRDefault="00DC5685" w:rsidP="000470C3">
            <w:pPr>
              <w:pStyle w:val="RepTable"/>
              <w:suppressAutoHyphens/>
              <w:rPr>
                <w:noProof w:val="0"/>
                <w:szCs w:val="20"/>
              </w:rPr>
            </w:pPr>
            <w:r w:rsidRPr="00A34F10">
              <w:rPr>
                <w:szCs w:val="20"/>
              </w:rPr>
              <w:t>2022/2033732</w:t>
            </w:r>
          </w:p>
        </w:tc>
      </w:tr>
    </w:tbl>
    <w:p w14:paraId="1F94EFED" w14:textId="77777777" w:rsidR="00DC5685" w:rsidRPr="00A34F10" w:rsidRDefault="00DC5685" w:rsidP="00DC5685">
      <w:pPr>
        <w:pStyle w:val="Nagwek4"/>
        <w:suppressAutoHyphens/>
        <w:rPr>
          <w:noProof w:val="0"/>
          <w:lang w:val="en-US"/>
        </w:rPr>
      </w:pPr>
      <w:bookmarkStart w:id="636" w:name="_Toc181624983"/>
      <w:r w:rsidRPr="00A34F10">
        <w:rPr>
          <w:noProof w:val="0"/>
          <w:lang w:val="en-US"/>
        </w:rPr>
        <w:t>Justification for new endpoints</w:t>
      </w:r>
      <w:bookmarkEnd w:id="636"/>
    </w:p>
    <w:p w14:paraId="35393AD1" w14:textId="78A5EDF3" w:rsidR="00E23E00" w:rsidRPr="00A34F10" w:rsidRDefault="00DC5685" w:rsidP="00DC5685">
      <w:pPr>
        <w:pStyle w:val="RepStandard"/>
        <w:suppressAutoHyphens/>
      </w:pPr>
      <w:r w:rsidRPr="00A34F10">
        <w:t>Effects of BAS 743 03 F on non-target arthropods other than bees are most appropriately based on data for the formulated product. Hence, all relevant data and assessments considering this formulation are provided here and are considered adequate.</w:t>
      </w:r>
    </w:p>
    <w:p w14:paraId="6F923512" w14:textId="77777777" w:rsidR="00DC5685" w:rsidRPr="00A34F10" w:rsidRDefault="00DC5685" w:rsidP="00DC5685">
      <w:pPr>
        <w:pStyle w:val="Nagwek3"/>
        <w:rPr>
          <w:rFonts w:cs="Times New Roman"/>
        </w:rPr>
      </w:pPr>
      <w:bookmarkStart w:id="637" w:name="_Toc412644013"/>
      <w:bookmarkStart w:id="638" w:name="_Toc413916857"/>
      <w:bookmarkStart w:id="639" w:name="_Toc413916999"/>
      <w:bookmarkStart w:id="640" w:name="_Toc413922060"/>
      <w:bookmarkStart w:id="641" w:name="_Toc413922549"/>
      <w:bookmarkStart w:id="642" w:name="_Toc413922653"/>
      <w:bookmarkStart w:id="643" w:name="_Toc414955290"/>
      <w:bookmarkStart w:id="644" w:name="_Toc415214597"/>
      <w:bookmarkStart w:id="645" w:name="_Toc425512618"/>
      <w:bookmarkStart w:id="646" w:name="_Toc181624984"/>
      <w:r w:rsidRPr="00A34F10">
        <w:rPr>
          <w:rFonts w:cs="Times New Roman"/>
        </w:rPr>
        <w:t>Risk assessment</w:t>
      </w:r>
      <w:bookmarkEnd w:id="637"/>
      <w:bookmarkEnd w:id="638"/>
      <w:bookmarkEnd w:id="639"/>
      <w:bookmarkEnd w:id="640"/>
      <w:bookmarkEnd w:id="641"/>
      <w:bookmarkEnd w:id="642"/>
      <w:bookmarkEnd w:id="643"/>
      <w:bookmarkEnd w:id="644"/>
      <w:bookmarkEnd w:id="645"/>
      <w:bookmarkEnd w:id="646"/>
    </w:p>
    <w:p w14:paraId="570AE8E0" w14:textId="77777777" w:rsidR="00DC5685" w:rsidRPr="00A34F10" w:rsidRDefault="00DC5685" w:rsidP="00DC5685">
      <w:pPr>
        <w:widowControl w:val="0"/>
        <w:suppressAutoHyphens/>
        <w:jc w:val="both"/>
      </w:pPr>
      <w:r w:rsidRPr="00A34F10">
        <w:t xml:space="preserve">The testing and risk assessment strategy used here follow the approaches recommended in the </w:t>
      </w:r>
      <w:r w:rsidRPr="00A34F10">
        <w:rPr>
          <w:iCs/>
        </w:rPr>
        <w:t>ESCORT 2 guidance document</w:t>
      </w:r>
      <w:r w:rsidRPr="00A34F10">
        <w:t xml:space="preserve">, and the EC Guidance Document on Terrestrial Ecotoxicology (SANCO/10329, 17 </w:t>
      </w:r>
      <w:r w:rsidRPr="00A34F10">
        <w:lastRenderedPageBreak/>
        <w:t>October 2002)</w:t>
      </w:r>
      <w:r w:rsidRPr="00A34F10">
        <w:rPr>
          <w:i/>
        </w:rPr>
        <w:t xml:space="preserve">. </w:t>
      </w:r>
      <w:r w:rsidRPr="00A34F10">
        <w:t xml:space="preserve">The risk assessment for BAS 743 03 F is based on tests with the standard test species </w:t>
      </w:r>
      <w:r w:rsidRPr="00A34F10">
        <w:rPr>
          <w:bCs/>
          <w:i/>
        </w:rPr>
        <w:t>Typhlodromus pyri</w:t>
      </w:r>
      <w:r w:rsidRPr="00A34F10">
        <w:rPr>
          <w:bCs/>
        </w:rPr>
        <w:t xml:space="preserve"> and </w:t>
      </w:r>
      <w:r w:rsidRPr="00A34F10">
        <w:rPr>
          <w:i/>
          <w:szCs w:val="20"/>
        </w:rPr>
        <w:t>Aphidius rhopalosiphi.</w:t>
      </w:r>
    </w:p>
    <w:p w14:paraId="5E46F8A6" w14:textId="77777777" w:rsidR="00DC5685" w:rsidRPr="00A34F10" w:rsidRDefault="00DC5685" w:rsidP="00DC5685">
      <w:pPr>
        <w:pStyle w:val="Nagwek4"/>
        <w:suppressAutoHyphens/>
        <w:rPr>
          <w:noProof w:val="0"/>
          <w:lang w:val="en-US"/>
        </w:rPr>
      </w:pPr>
      <w:bookmarkStart w:id="647" w:name="_Toc412644014"/>
      <w:bookmarkStart w:id="648" w:name="_Toc413916858"/>
      <w:bookmarkStart w:id="649" w:name="_Toc413917000"/>
      <w:bookmarkStart w:id="650" w:name="_Toc413922061"/>
      <w:bookmarkStart w:id="651" w:name="_Toc413922550"/>
      <w:bookmarkStart w:id="652" w:name="_Toc413922654"/>
      <w:bookmarkStart w:id="653" w:name="_Toc414955291"/>
      <w:bookmarkStart w:id="654" w:name="_Toc415214598"/>
      <w:bookmarkStart w:id="655" w:name="_Toc425512619"/>
      <w:bookmarkStart w:id="656" w:name="_Toc181624985"/>
      <w:r w:rsidRPr="00A34F10">
        <w:rPr>
          <w:noProof w:val="0"/>
          <w:lang w:val="en-US"/>
        </w:rPr>
        <w:t>Risk assessment for in-field exposure</w:t>
      </w:r>
      <w:bookmarkEnd w:id="647"/>
      <w:bookmarkEnd w:id="648"/>
      <w:bookmarkEnd w:id="649"/>
      <w:bookmarkEnd w:id="650"/>
      <w:bookmarkEnd w:id="651"/>
      <w:bookmarkEnd w:id="652"/>
      <w:bookmarkEnd w:id="653"/>
      <w:bookmarkEnd w:id="654"/>
      <w:bookmarkEnd w:id="655"/>
      <w:bookmarkEnd w:id="656"/>
    </w:p>
    <w:p w14:paraId="63BDD4B0" w14:textId="77777777" w:rsidR="00DC5685" w:rsidRPr="00A34F10" w:rsidRDefault="00DC5685" w:rsidP="00DC5685">
      <w:pPr>
        <w:widowControl w:val="0"/>
        <w:suppressAutoHyphens/>
        <w:jc w:val="both"/>
      </w:pPr>
      <w:r w:rsidRPr="00A34F10">
        <w:t>Non-target arthropods living in the crop can be exposed to residues from direct contact either as a result of overspray or through contact with residues on plants and soil or in food items. The maximum in-field exposure (predicted environmental rate, PER) is calculated according to ESCORT 2. As a pre-emergence or early post-emergence application is not intended for the use of BAS 743 03 F (see Section 9 Chapter 9.1 for details), the PER (soil) will not be considered in the following risk assessment.</w:t>
      </w:r>
    </w:p>
    <w:p w14:paraId="7363394E" w14:textId="77777777" w:rsidR="00E23E00" w:rsidRPr="00A34F10" w:rsidRDefault="00E23E00" w:rsidP="00E23E00">
      <w:pPr>
        <w:pStyle w:val="RepStandard"/>
        <w:rPr>
          <w:highlight w:val="yellow"/>
        </w:rPr>
      </w:pPr>
    </w:p>
    <w:p w14:paraId="71F8ED34" w14:textId="2937C1DD" w:rsidR="00DC5685" w:rsidRPr="00A34F10" w:rsidRDefault="00DC5685" w:rsidP="00DC5685">
      <w:pPr>
        <w:pStyle w:val="RepLabel"/>
        <w:jc w:val="both"/>
      </w:pPr>
      <w:r w:rsidRPr="00A34F10">
        <w:t xml:space="preserve">Table </w:t>
      </w:r>
      <w:fldSimple w:instr=" STYLEREF 2 \s ">
        <w:r w:rsidR="006F0F3B">
          <w:rPr>
            <w:noProof/>
          </w:rPr>
          <w:t>9.7</w:t>
        </w:r>
      </w:fldSimple>
      <w:r w:rsidR="007E7467">
        <w:noBreakHyphen/>
      </w:r>
      <w:fldSimple w:instr=" SEQ Table \* ARABIC \s 2 ">
        <w:r w:rsidR="006F0F3B">
          <w:rPr>
            <w:noProof/>
          </w:rPr>
          <w:t>2</w:t>
        </w:r>
      </w:fldSimple>
      <w:r w:rsidRPr="00A34F10">
        <w:t>:</w:t>
      </w:r>
      <w:r w:rsidRPr="00A34F10">
        <w:tab/>
        <w:t>In-field predicted environmental rates (PER) for BAS 743 03 F</w:t>
      </w:r>
      <w:r w:rsidRPr="00A34F10">
        <w:rPr>
          <w:sz w:val="24"/>
          <w:szCs w:val="24"/>
        </w:rPr>
        <w:t xml:space="preserve"> </w:t>
      </w:r>
      <w:r w:rsidRPr="00A34F10">
        <w:t>for all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5"/>
        <w:gridCol w:w="3046"/>
        <w:gridCol w:w="3964"/>
      </w:tblGrid>
      <w:tr w:rsidR="00DC5685" w:rsidRPr="00A34F10" w14:paraId="02A4D6C4" w14:textId="77777777" w:rsidTr="000470C3">
        <w:trPr>
          <w:trHeight w:val="227"/>
        </w:trPr>
        <w:tc>
          <w:tcPr>
            <w:tcW w:w="1249" w:type="pct"/>
            <w:vAlign w:val="center"/>
          </w:tcPr>
          <w:p w14:paraId="75B0E537" w14:textId="77777777" w:rsidR="00DC5685" w:rsidRPr="00A34F10" w:rsidRDefault="00DC5685" w:rsidP="000470C3">
            <w:pPr>
              <w:widowControl w:val="0"/>
              <w:suppressAutoHyphens/>
              <w:rPr>
                <w:b/>
                <w:bCs/>
                <w:sz w:val="20"/>
                <w:szCs w:val="20"/>
              </w:rPr>
            </w:pPr>
            <w:r w:rsidRPr="00A34F10">
              <w:rPr>
                <w:b/>
                <w:bCs/>
                <w:sz w:val="20"/>
                <w:szCs w:val="20"/>
              </w:rPr>
              <w:t>Substance</w:t>
            </w:r>
          </w:p>
        </w:tc>
        <w:tc>
          <w:tcPr>
            <w:tcW w:w="1630" w:type="pct"/>
            <w:vAlign w:val="center"/>
          </w:tcPr>
          <w:p w14:paraId="1E565C9A" w14:textId="77777777" w:rsidR="00DC5685" w:rsidRPr="00A34F10" w:rsidRDefault="00DC5685" w:rsidP="000470C3">
            <w:pPr>
              <w:widowControl w:val="0"/>
              <w:suppressAutoHyphens/>
              <w:rPr>
                <w:b/>
                <w:bCs/>
                <w:sz w:val="20"/>
                <w:szCs w:val="20"/>
              </w:rPr>
            </w:pPr>
            <w:r w:rsidRPr="00A34F10">
              <w:rPr>
                <w:b/>
                <w:bCs/>
                <w:sz w:val="20"/>
                <w:szCs w:val="20"/>
              </w:rPr>
              <w:t>Application rate</w:t>
            </w:r>
          </w:p>
        </w:tc>
        <w:tc>
          <w:tcPr>
            <w:tcW w:w="2121" w:type="pct"/>
            <w:vAlign w:val="center"/>
          </w:tcPr>
          <w:p w14:paraId="722B4FE4" w14:textId="77777777" w:rsidR="00DC5685" w:rsidRPr="00A34F10" w:rsidRDefault="00DC5685" w:rsidP="000470C3">
            <w:pPr>
              <w:widowControl w:val="0"/>
              <w:suppressAutoHyphens/>
              <w:rPr>
                <w:b/>
                <w:bCs/>
                <w:sz w:val="20"/>
                <w:szCs w:val="20"/>
              </w:rPr>
            </w:pPr>
            <w:r w:rsidRPr="00A34F10">
              <w:rPr>
                <w:b/>
                <w:bCs/>
                <w:sz w:val="20"/>
                <w:szCs w:val="20"/>
              </w:rPr>
              <w:t>in-field PER (foliar)</w:t>
            </w:r>
          </w:p>
        </w:tc>
      </w:tr>
      <w:tr w:rsidR="00DC5685" w:rsidRPr="00A34F10" w14:paraId="28826982" w14:textId="77777777" w:rsidTr="000470C3">
        <w:trPr>
          <w:trHeight w:val="227"/>
        </w:trPr>
        <w:tc>
          <w:tcPr>
            <w:tcW w:w="5000" w:type="pct"/>
            <w:gridSpan w:val="3"/>
            <w:vAlign w:val="center"/>
          </w:tcPr>
          <w:p w14:paraId="08CFD747" w14:textId="3AC2AAC2" w:rsidR="00DC5685" w:rsidRPr="00A34F10" w:rsidRDefault="00DC5685" w:rsidP="000470C3">
            <w:pPr>
              <w:widowControl w:val="0"/>
              <w:suppressAutoHyphens/>
              <w:rPr>
                <w:b/>
                <w:bCs/>
                <w:sz w:val="20"/>
              </w:rPr>
            </w:pPr>
            <w:r w:rsidRPr="00A34F10">
              <w:rPr>
                <w:b/>
                <w:bCs/>
                <w:sz w:val="20"/>
              </w:rPr>
              <w:t>Potato 3 x 2.0 L product/ha (covering uses in other field crops, including, fruiting vegetables)</w:t>
            </w:r>
          </w:p>
        </w:tc>
      </w:tr>
      <w:tr w:rsidR="00DC5685" w:rsidRPr="00A34F10" w14:paraId="25AB8C38" w14:textId="77777777" w:rsidTr="000470C3">
        <w:trPr>
          <w:trHeight w:val="227"/>
        </w:trPr>
        <w:tc>
          <w:tcPr>
            <w:tcW w:w="1249" w:type="pct"/>
            <w:vAlign w:val="center"/>
          </w:tcPr>
          <w:p w14:paraId="2E1658DD" w14:textId="77777777" w:rsidR="00DC5685" w:rsidRPr="00A34F10" w:rsidRDefault="00DC5685" w:rsidP="000470C3">
            <w:pPr>
              <w:widowControl w:val="0"/>
              <w:suppressAutoHyphens/>
              <w:rPr>
                <w:sz w:val="20"/>
              </w:rPr>
            </w:pPr>
            <w:r w:rsidRPr="00A34F10">
              <w:rPr>
                <w:sz w:val="20"/>
                <w:szCs w:val="20"/>
              </w:rPr>
              <w:t>BAS 743 03 F</w:t>
            </w:r>
          </w:p>
        </w:tc>
        <w:tc>
          <w:tcPr>
            <w:tcW w:w="1630" w:type="pct"/>
            <w:vAlign w:val="center"/>
          </w:tcPr>
          <w:p w14:paraId="2A5BED2B" w14:textId="77777777" w:rsidR="00DC5685" w:rsidRPr="00A34F10" w:rsidRDefault="00DC5685" w:rsidP="000470C3">
            <w:pPr>
              <w:widowControl w:val="0"/>
              <w:suppressAutoHyphens/>
              <w:rPr>
                <w:sz w:val="20"/>
                <w:szCs w:val="20"/>
              </w:rPr>
            </w:pPr>
            <w:r w:rsidRPr="00A34F10">
              <w:rPr>
                <w:sz w:val="20"/>
                <w:szCs w:val="20"/>
              </w:rPr>
              <w:t>3 x 2.0 </w:t>
            </w:r>
            <w:r w:rsidRPr="00A34F10">
              <w:rPr>
                <w:sz w:val="20"/>
              </w:rPr>
              <w:t xml:space="preserve">L product/ha </w:t>
            </w:r>
          </w:p>
        </w:tc>
        <w:tc>
          <w:tcPr>
            <w:tcW w:w="2121" w:type="pct"/>
            <w:vAlign w:val="center"/>
          </w:tcPr>
          <w:p w14:paraId="23A64268" w14:textId="77777777" w:rsidR="00DC5685" w:rsidRPr="00A34F10" w:rsidRDefault="00DC5685" w:rsidP="000470C3">
            <w:pPr>
              <w:widowControl w:val="0"/>
              <w:suppressAutoHyphens/>
              <w:rPr>
                <w:sz w:val="20"/>
              </w:rPr>
            </w:pPr>
            <w:r w:rsidRPr="00A34F10">
              <w:rPr>
                <w:sz w:val="20"/>
              </w:rPr>
              <w:t>4.6 L product/ha</w:t>
            </w:r>
          </w:p>
          <w:p w14:paraId="3C4E5F51" w14:textId="77777777" w:rsidR="00DC5685" w:rsidRPr="00A34F10" w:rsidRDefault="00DC5685" w:rsidP="000470C3">
            <w:pPr>
              <w:widowControl w:val="0"/>
              <w:suppressAutoHyphens/>
              <w:rPr>
                <w:sz w:val="20"/>
              </w:rPr>
            </w:pPr>
            <w:r w:rsidRPr="00A34F10">
              <w:rPr>
                <w:sz w:val="20"/>
                <w:szCs w:val="20"/>
              </w:rPr>
              <w:t>(MAF = 2.3)</w:t>
            </w:r>
          </w:p>
        </w:tc>
      </w:tr>
      <w:tr w:rsidR="00DC5685" w:rsidRPr="00A34F10" w14:paraId="42CADFC3" w14:textId="77777777" w:rsidTr="000470C3">
        <w:trPr>
          <w:trHeight w:val="227"/>
        </w:trPr>
        <w:tc>
          <w:tcPr>
            <w:tcW w:w="5000" w:type="pct"/>
            <w:gridSpan w:val="3"/>
            <w:vAlign w:val="center"/>
          </w:tcPr>
          <w:p w14:paraId="412EFDC9" w14:textId="77777777" w:rsidR="00DC5685" w:rsidRPr="00A34F10" w:rsidRDefault="00DC5685" w:rsidP="000470C3">
            <w:pPr>
              <w:widowControl w:val="0"/>
              <w:suppressAutoHyphens/>
              <w:rPr>
                <w:b/>
                <w:sz w:val="20"/>
              </w:rPr>
            </w:pPr>
            <w:r w:rsidRPr="00A34F10">
              <w:rPr>
                <w:b/>
                <w:bCs/>
                <w:sz w:val="20"/>
              </w:rPr>
              <w:t xml:space="preserve">Onion 2 x 2.0 L product/ha </w:t>
            </w:r>
          </w:p>
        </w:tc>
      </w:tr>
      <w:tr w:rsidR="00DC5685" w:rsidRPr="00A34F10" w14:paraId="13ABB631" w14:textId="77777777" w:rsidTr="000470C3">
        <w:trPr>
          <w:trHeight w:val="227"/>
        </w:trPr>
        <w:tc>
          <w:tcPr>
            <w:tcW w:w="1249" w:type="pct"/>
            <w:vAlign w:val="center"/>
          </w:tcPr>
          <w:p w14:paraId="7BF70A36" w14:textId="77777777" w:rsidR="00DC5685" w:rsidRPr="00A34F10" w:rsidRDefault="00DC5685" w:rsidP="000470C3">
            <w:pPr>
              <w:widowControl w:val="0"/>
              <w:suppressAutoHyphens/>
              <w:rPr>
                <w:sz w:val="20"/>
              </w:rPr>
            </w:pPr>
            <w:r w:rsidRPr="00A34F10">
              <w:rPr>
                <w:sz w:val="20"/>
                <w:szCs w:val="20"/>
              </w:rPr>
              <w:t>BAS 743 03 F</w:t>
            </w:r>
          </w:p>
        </w:tc>
        <w:tc>
          <w:tcPr>
            <w:tcW w:w="1630" w:type="pct"/>
            <w:vAlign w:val="center"/>
          </w:tcPr>
          <w:p w14:paraId="4F4FB9AB" w14:textId="77777777" w:rsidR="00DC5685" w:rsidRPr="00A34F10" w:rsidRDefault="00DC5685" w:rsidP="000470C3">
            <w:pPr>
              <w:widowControl w:val="0"/>
              <w:suppressAutoHyphens/>
              <w:rPr>
                <w:sz w:val="20"/>
                <w:szCs w:val="20"/>
                <w:highlight w:val="cyan"/>
              </w:rPr>
            </w:pPr>
            <w:r w:rsidRPr="00A34F10">
              <w:rPr>
                <w:sz w:val="20"/>
                <w:szCs w:val="20"/>
              </w:rPr>
              <w:t>2 x 2.0 </w:t>
            </w:r>
            <w:r w:rsidRPr="00A34F10">
              <w:rPr>
                <w:sz w:val="20"/>
              </w:rPr>
              <w:t xml:space="preserve">L product/ha </w:t>
            </w:r>
          </w:p>
        </w:tc>
        <w:tc>
          <w:tcPr>
            <w:tcW w:w="2121" w:type="pct"/>
            <w:vAlign w:val="center"/>
          </w:tcPr>
          <w:p w14:paraId="4092BF4B" w14:textId="77777777" w:rsidR="00DC5685" w:rsidRPr="00A34F10" w:rsidRDefault="00DC5685" w:rsidP="000470C3">
            <w:pPr>
              <w:widowControl w:val="0"/>
              <w:suppressAutoHyphens/>
              <w:rPr>
                <w:sz w:val="20"/>
              </w:rPr>
            </w:pPr>
            <w:r w:rsidRPr="00A34F10">
              <w:rPr>
                <w:sz w:val="20"/>
              </w:rPr>
              <w:t>3.4 L product/ha</w:t>
            </w:r>
          </w:p>
          <w:p w14:paraId="58C188D8" w14:textId="77777777" w:rsidR="00DC5685" w:rsidRPr="00A34F10" w:rsidRDefault="00DC5685" w:rsidP="000470C3">
            <w:pPr>
              <w:widowControl w:val="0"/>
              <w:suppressAutoHyphens/>
              <w:rPr>
                <w:sz w:val="20"/>
                <w:highlight w:val="cyan"/>
              </w:rPr>
            </w:pPr>
            <w:r w:rsidRPr="00A34F10">
              <w:rPr>
                <w:sz w:val="20"/>
                <w:szCs w:val="20"/>
              </w:rPr>
              <w:t>(MAF = 1.7)</w:t>
            </w:r>
          </w:p>
        </w:tc>
      </w:tr>
    </w:tbl>
    <w:p w14:paraId="3D79229C" w14:textId="77777777" w:rsidR="00DC5685" w:rsidRPr="00A34F10" w:rsidRDefault="00DC5685" w:rsidP="00DC5685">
      <w:pPr>
        <w:pStyle w:val="RepTableFootnote"/>
        <w:keepNext/>
        <w:keepLines/>
        <w:tabs>
          <w:tab w:val="clear" w:pos="425"/>
          <w:tab w:val="left" w:pos="0"/>
        </w:tabs>
        <w:suppressAutoHyphens/>
        <w:ind w:left="0" w:firstLine="0"/>
        <w:jc w:val="both"/>
        <w:rPr>
          <w:noProof w:val="0"/>
          <w:lang w:val="en-US"/>
        </w:rPr>
      </w:pPr>
      <w:r w:rsidRPr="00A34F10">
        <w:rPr>
          <w:noProof w:val="0"/>
          <w:lang w:val="en-US"/>
        </w:rPr>
        <w:t>MAF: Multiple application factor, PER: Predicted environmental</w:t>
      </w:r>
    </w:p>
    <w:p w14:paraId="6B3185F9" w14:textId="409A5DE5" w:rsidR="00DC5685" w:rsidRPr="00A34F10" w:rsidRDefault="00DC5685" w:rsidP="00DC5685">
      <w:pPr>
        <w:pStyle w:val="RepStandard"/>
        <w:rPr>
          <w:highlight w:val="yellow"/>
        </w:rPr>
      </w:pPr>
    </w:p>
    <w:p w14:paraId="65ED9059" w14:textId="77777777" w:rsidR="00DC5685" w:rsidRPr="00A34F10" w:rsidRDefault="00DC5685" w:rsidP="00DC5685">
      <w:pPr>
        <w:suppressAutoHyphens/>
        <w:jc w:val="both"/>
        <w:rPr>
          <w:bCs/>
        </w:rPr>
      </w:pPr>
      <w:r w:rsidRPr="00A34F10">
        <w:rPr>
          <w:bCs/>
        </w:rPr>
        <w:t xml:space="preserve">The details of the first-tier risk assessments for the proposed worst-case crops are presented in the following table. </w:t>
      </w:r>
    </w:p>
    <w:p w14:paraId="364FB2D3" w14:textId="5214C717" w:rsidR="00DC5685" w:rsidRPr="00A34F10" w:rsidRDefault="00DC5685" w:rsidP="00DC5685">
      <w:pPr>
        <w:pStyle w:val="RepLabel"/>
        <w:jc w:val="both"/>
      </w:pPr>
      <w:r w:rsidRPr="00A34F10">
        <w:t xml:space="preserve">Table </w:t>
      </w:r>
      <w:fldSimple w:instr=" STYLEREF 2 \s ">
        <w:r w:rsidR="006F0F3B">
          <w:rPr>
            <w:noProof/>
          </w:rPr>
          <w:t>9.7</w:t>
        </w:r>
      </w:fldSimple>
      <w:r w:rsidRPr="00A34F10">
        <w:noBreakHyphen/>
        <w:t>3:</w:t>
      </w:r>
      <w:r w:rsidRPr="00A34F10">
        <w:tab/>
        <w:t xml:space="preserve">First- and higher-tier assessment of the in-field risk for non-target arthropods due to the worst-case use of BAS 743 03 F in field crops at 3 x 2.0 L/ha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DC5685" w:rsidRPr="00A34F10" w14:paraId="32AA5B13" w14:textId="77777777" w:rsidTr="000470C3">
        <w:trPr>
          <w:cantSplit/>
        </w:trPr>
        <w:tc>
          <w:tcPr>
            <w:tcW w:w="1250" w:type="pct"/>
            <w:tcBorders>
              <w:bottom w:val="nil"/>
            </w:tcBorders>
            <w:vAlign w:val="center"/>
          </w:tcPr>
          <w:p w14:paraId="2A8C0D10" w14:textId="77777777" w:rsidR="00DC5685" w:rsidRPr="00A34F10" w:rsidRDefault="00DC5685" w:rsidP="000470C3">
            <w:pPr>
              <w:pStyle w:val="RepTableBold"/>
              <w:keepNext/>
              <w:keepLines/>
              <w:suppressAutoHyphens/>
            </w:pPr>
            <w:r w:rsidRPr="00A34F10">
              <w:t>Intended use</w:t>
            </w:r>
          </w:p>
        </w:tc>
        <w:tc>
          <w:tcPr>
            <w:tcW w:w="3750" w:type="pct"/>
            <w:gridSpan w:val="3"/>
            <w:tcBorders>
              <w:bottom w:val="single" w:sz="4" w:space="0" w:color="auto"/>
            </w:tcBorders>
            <w:vAlign w:val="center"/>
          </w:tcPr>
          <w:p w14:paraId="59DDF26E" w14:textId="77777777" w:rsidR="00DC5685" w:rsidRPr="00A34F10" w:rsidRDefault="00DC5685" w:rsidP="000470C3">
            <w:pPr>
              <w:pStyle w:val="RepTable"/>
              <w:keepNext/>
              <w:keepLines/>
              <w:suppressAutoHyphens/>
              <w:rPr>
                <w:noProof w:val="0"/>
                <w:szCs w:val="20"/>
              </w:rPr>
            </w:pPr>
            <w:r w:rsidRPr="00A34F10">
              <w:rPr>
                <w:noProof w:val="0"/>
                <w:szCs w:val="20"/>
              </w:rPr>
              <w:t>Field crops</w:t>
            </w:r>
          </w:p>
        </w:tc>
      </w:tr>
      <w:tr w:rsidR="00DC5685" w:rsidRPr="00A34F10" w14:paraId="37D1AC69" w14:textId="77777777" w:rsidTr="000470C3">
        <w:trPr>
          <w:cantSplit/>
        </w:trPr>
        <w:tc>
          <w:tcPr>
            <w:tcW w:w="1250" w:type="pct"/>
            <w:tcBorders>
              <w:top w:val="nil"/>
              <w:bottom w:val="nil"/>
            </w:tcBorders>
            <w:vAlign w:val="center"/>
          </w:tcPr>
          <w:p w14:paraId="4C74BE12" w14:textId="77777777" w:rsidR="00DC5685" w:rsidRPr="00A34F10" w:rsidRDefault="00DC5685" w:rsidP="000470C3">
            <w:pPr>
              <w:pStyle w:val="RepTableBold"/>
              <w:keepNext/>
              <w:keepLines/>
              <w:suppressAutoHyphens/>
            </w:pPr>
            <w:r w:rsidRPr="00A34F10">
              <w:t>Product</w:t>
            </w:r>
          </w:p>
        </w:tc>
        <w:tc>
          <w:tcPr>
            <w:tcW w:w="3750" w:type="pct"/>
            <w:gridSpan w:val="3"/>
            <w:tcBorders>
              <w:top w:val="single" w:sz="4" w:space="0" w:color="auto"/>
              <w:bottom w:val="single" w:sz="4" w:space="0" w:color="auto"/>
            </w:tcBorders>
            <w:vAlign w:val="center"/>
          </w:tcPr>
          <w:p w14:paraId="35AC8E08" w14:textId="77777777" w:rsidR="00DC5685" w:rsidRPr="00A34F10" w:rsidRDefault="00DC5685" w:rsidP="000470C3">
            <w:pPr>
              <w:pStyle w:val="RepTable"/>
              <w:keepNext/>
              <w:keepLines/>
              <w:suppressAutoHyphens/>
              <w:rPr>
                <w:noProof w:val="0"/>
                <w:szCs w:val="20"/>
              </w:rPr>
            </w:pPr>
            <w:r w:rsidRPr="00A34F10">
              <w:rPr>
                <w:szCs w:val="20"/>
              </w:rPr>
              <w:t>BAS 743 03 F</w:t>
            </w:r>
          </w:p>
        </w:tc>
      </w:tr>
      <w:tr w:rsidR="00DC5685" w:rsidRPr="00A34F10" w14:paraId="754C0B7D" w14:textId="77777777" w:rsidTr="000470C3">
        <w:trPr>
          <w:cantSplit/>
        </w:trPr>
        <w:tc>
          <w:tcPr>
            <w:tcW w:w="1250" w:type="pct"/>
            <w:tcBorders>
              <w:top w:val="nil"/>
              <w:bottom w:val="nil"/>
            </w:tcBorders>
            <w:vAlign w:val="center"/>
          </w:tcPr>
          <w:p w14:paraId="01D01A61" w14:textId="77777777" w:rsidR="00DC5685" w:rsidRPr="00A34F10" w:rsidRDefault="00DC5685" w:rsidP="000470C3">
            <w:pPr>
              <w:pStyle w:val="RepTableBold"/>
              <w:keepNext/>
              <w:keepLines/>
              <w:suppressAutoHyphens/>
            </w:pPr>
            <w:r w:rsidRPr="00A34F10">
              <w:t>Application rate (L/ha)</w:t>
            </w:r>
          </w:p>
        </w:tc>
        <w:tc>
          <w:tcPr>
            <w:tcW w:w="3750" w:type="pct"/>
            <w:gridSpan w:val="3"/>
            <w:tcBorders>
              <w:top w:val="single" w:sz="4" w:space="0" w:color="auto"/>
              <w:bottom w:val="single" w:sz="4" w:space="0" w:color="auto"/>
            </w:tcBorders>
            <w:vAlign w:val="center"/>
          </w:tcPr>
          <w:p w14:paraId="2790B3BC" w14:textId="77777777" w:rsidR="00DC5685" w:rsidRPr="00A34F10" w:rsidRDefault="00DC5685" w:rsidP="000470C3">
            <w:pPr>
              <w:pStyle w:val="RepTable"/>
              <w:keepNext/>
              <w:keepLines/>
              <w:suppressAutoHyphens/>
              <w:rPr>
                <w:noProof w:val="0"/>
                <w:szCs w:val="20"/>
              </w:rPr>
            </w:pPr>
            <w:r w:rsidRPr="00A34F10">
              <w:rPr>
                <w:szCs w:val="20"/>
              </w:rPr>
              <w:t>3 x 2.0 </w:t>
            </w:r>
            <w:r w:rsidRPr="00A34F10">
              <w:t>L product/ha</w:t>
            </w:r>
          </w:p>
        </w:tc>
      </w:tr>
      <w:tr w:rsidR="00DC5685" w:rsidRPr="00A34F10" w14:paraId="78AACD20" w14:textId="77777777" w:rsidTr="000470C3">
        <w:trPr>
          <w:cantSplit/>
        </w:trPr>
        <w:tc>
          <w:tcPr>
            <w:tcW w:w="1250" w:type="pct"/>
            <w:tcBorders>
              <w:top w:val="nil"/>
            </w:tcBorders>
            <w:vAlign w:val="center"/>
          </w:tcPr>
          <w:p w14:paraId="0161A33D" w14:textId="77777777" w:rsidR="00DC5685" w:rsidRPr="00A34F10" w:rsidRDefault="00DC5685" w:rsidP="000470C3">
            <w:pPr>
              <w:pStyle w:val="RepTableBold"/>
              <w:keepNext/>
              <w:keepLines/>
              <w:suppressAutoHyphens/>
            </w:pPr>
            <w:r w:rsidRPr="00A34F10">
              <w:t>MAF</w:t>
            </w:r>
          </w:p>
        </w:tc>
        <w:tc>
          <w:tcPr>
            <w:tcW w:w="3750" w:type="pct"/>
            <w:gridSpan w:val="3"/>
            <w:tcBorders>
              <w:top w:val="single" w:sz="4" w:space="0" w:color="auto"/>
            </w:tcBorders>
            <w:vAlign w:val="center"/>
          </w:tcPr>
          <w:p w14:paraId="19C01322" w14:textId="77777777" w:rsidR="00DC5685" w:rsidRPr="00A34F10" w:rsidRDefault="00DC5685" w:rsidP="000470C3">
            <w:pPr>
              <w:pStyle w:val="RepTable"/>
              <w:keepNext/>
              <w:keepLines/>
              <w:suppressAutoHyphens/>
              <w:rPr>
                <w:noProof w:val="0"/>
                <w:szCs w:val="20"/>
              </w:rPr>
            </w:pPr>
            <w:r w:rsidRPr="00A34F10">
              <w:rPr>
                <w:noProof w:val="0"/>
                <w:szCs w:val="20"/>
              </w:rPr>
              <w:t xml:space="preserve">2.3 (vegetation) </w:t>
            </w:r>
          </w:p>
        </w:tc>
      </w:tr>
      <w:tr w:rsidR="00DC5685" w:rsidRPr="00A34F10" w14:paraId="06D31EF0" w14:textId="77777777" w:rsidTr="000470C3">
        <w:trPr>
          <w:cantSplit/>
        </w:trPr>
        <w:tc>
          <w:tcPr>
            <w:tcW w:w="1250" w:type="pct"/>
            <w:vMerge w:val="restart"/>
            <w:tcBorders>
              <w:top w:val="nil"/>
            </w:tcBorders>
            <w:vAlign w:val="center"/>
          </w:tcPr>
          <w:p w14:paraId="4B8C3ECC" w14:textId="77777777" w:rsidR="00DC5685" w:rsidRPr="00A34F10" w:rsidRDefault="00DC5685" w:rsidP="000470C3">
            <w:pPr>
              <w:pStyle w:val="RepTableBold"/>
              <w:keepNext/>
              <w:keepLines/>
              <w:suppressAutoHyphens/>
            </w:pPr>
            <w:r w:rsidRPr="00A34F10">
              <w:t>Test species</w:t>
            </w:r>
          </w:p>
        </w:tc>
        <w:tc>
          <w:tcPr>
            <w:tcW w:w="3750" w:type="pct"/>
            <w:gridSpan w:val="3"/>
            <w:tcBorders>
              <w:top w:val="single" w:sz="4" w:space="0" w:color="auto"/>
            </w:tcBorders>
            <w:vAlign w:val="center"/>
          </w:tcPr>
          <w:p w14:paraId="5E51E536" w14:textId="77777777" w:rsidR="00DC5685" w:rsidRPr="00A34F10" w:rsidRDefault="00DC5685" w:rsidP="000470C3">
            <w:pPr>
              <w:pStyle w:val="RepTable"/>
              <w:keepNext/>
              <w:keepLines/>
              <w:suppressAutoHyphens/>
              <w:rPr>
                <w:b/>
                <w:noProof w:val="0"/>
                <w:szCs w:val="20"/>
              </w:rPr>
            </w:pPr>
            <w:r w:rsidRPr="00A34F10">
              <w:rPr>
                <w:b/>
                <w:noProof w:val="0"/>
                <w:szCs w:val="20"/>
              </w:rPr>
              <w:t>Tier I</w:t>
            </w:r>
          </w:p>
        </w:tc>
      </w:tr>
      <w:tr w:rsidR="00DC5685" w:rsidRPr="00A34F10" w14:paraId="6E6D527F" w14:textId="77777777" w:rsidTr="000470C3">
        <w:tblPrEx>
          <w:tblLook w:val="01E0" w:firstRow="1" w:lastRow="1" w:firstColumn="1" w:lastColumn="1" w:noHBand="0" w:noVBand="0"/>
        </w:tblPrEx>
        <w:trPr>
          <w:cantSplit/>
        </w:trPr>
        <w:tc>
          <w:tcPr>
            <w:tcW w:w="1250" w:type="pct"/>
            <w:vMerge/>
            <w:vAlign w:val="center"/>
          </w:tcPr>
          <w:p w14:paraId="6C569A40" w14:textId="77777777" w:rsidR="00DC5685" w:rsidRPr="00A34F10" w:rsidRDefault="00DC5685" w:rsidP="000470C3">
            <w:pPr>
              <w:pStyle w:val="RepTableBold"/>
              <w:keepNext/>
              <w:keepLines/>
              <w:suppressAutoHyphens/>
            </w:pPr>
          </w:p>
        </w:tc>
        <w:tc>
          <w:tcPr>
            <w:tcW w:w="1250" w:type="pct"/>
            <w:vAlign w:val="center"/>
          </w:tcPr>
          <w:p w14:paraId="51688AE0" w14:textId="77777777" w:rsidR="00DC5685" w:rsidRPr="00A34F10" w:rsidRDefault="00DC5685" w:rsidP="000470C3">
            <w:pPr>
              <w:pStyle w:val="RepTableBold"/>
              <w:keepNext/>
              <w:keepLines/>
              <w:suppressAutoHyphens/>
            </w:pPr>
            <w:r w:rsidRPr="00A34F10">
              <w:t>LR</w:t>
            </w:r>
            <w:r w:rsidRPr="00A34F10">
              <w:rPr>
                <w:vertAlign w:val="subscript"/>
              </w:rPr>
              <w:t>50</w:t>
            </w:r>
            <w:r w:rsidRPr="00A34F10">
              <w:t xml:space="preserve"> (lab.)</w:t>
            </w:r>
            <w:r w:rsidRPr="00A34F10">
              <w:br/>
              <w:t>[L/ha]</w:t>
            </w:r>
          </w:p>
        </w:tc>
        <w:tc>
          <w:tcPr>
            <w:tcW w:w="1250" w:type="pct"/>
            <w:vAlign w:val="center"/>
          </w:tcPr>
          <w:p w14:paraId="32A49682" w14:textId="77777777" w:rsidR="00DC5685" w:rsidRPr="00A34F10" w:rsidRDefault="00DC5685" w:rsidP="000470C3">
            <w:pPr>
              <w:pStyle w:val="RepTableBold"/>
              <w:keepNext/>
              <w:keepLines/>
              <w:suppressAutoHyphens/>
            </w:pPr>
            <w:r w:rsidRPr="00A34F10">
              <w:t>PER</w:t>
            </w:r>
            <w:r w:rsidRPr="00A34F10">
              <w:rPr>
                <w:vertAlign w:val="subscript"/>
              </w:rPr>
              <w:t>in</w:t>
            </w:r>
            <w:r w:rsidRPr="00A34F10">
              <w:rPr>
                <w:vertAlign w:val="subscript"/>
              </w:rPr>
              <w:noBreakHyphen/>
              <w:t>field</w:t>
            </w:r>
            <w:r w:rsidRPr="00A34F10">
              <w:rPr>
                <w:vertAlign w:val="subscript"/>
              </w:rPr>
              <w:br/>
            </w:r>
            <w:r w:rsidRPr="00A34F10">
              <w:t>[L/ha)</w:t>
            </w:r>
          </w:p>
        </w:tc>
        <w:tc>
          <w:tcPr>
            <w:tcW w:w="1250" w:type="pct"/>
            <w:vAlign w:val="center"/>
          </w:tcPr>
          <w:p w14:paraId="6F2EB89D" w14:textId="77777777" w:rsidR="00DC5685" w:rsidRPr="00A34F10" w:rsidRDefault="00DC5685" w:rsidP="000470C3">
            <w:pPr>
              <w:pStyle w:val="RepTableBold"/>
              <w:keepNext/>
              <w:keepLines/>
              <w:suppressAutoHyphens/>
            </w:pPr>
            <w:r w:rsidRPr="00A34F10">
              <w:t>HQ</w:t>
            </w:r>
            <w:r w:rsidRPr="00A34F10">
              <w:rPr>
                <w:vertAlign w:val="subscript"/>
              </w:rPr>
              <w:t>in-field</w:t>
            </w:r>
            <w:r w:rsidRPr="00A34F10">
              <w:rPr>
                <w:vertAlign w:val="subscript"/>
              </w:rPr>
              <w:br/>
            </w:r>
            <w:r w:rsidRPr="00A34F10">
              <w:t>criterion: HQ ≤ 2</w:t>
            </w:r>
          </w:p>
        </w:tc>
      </w:tr>
      <w:tr w:rsidR="00DC5685" w:rsidRPr="00A34F10" w14:paraId="074F0FD9" w14:textId="77777777" w:rsidTr="000470C3">
        <w:tblPrEx>
          <w:tblLook w:val="01E0" w:firstRow="1" w:lastRow="1" w:firstColumn="1" w:lastColumn="1" w:noHBand="0" w:noVBand="0"/>
        </w:tblPrEx>
        <w:trPr>
          <w:cantSplit/>
        </w:trPr>
        <w:tc>
          <w:tcPr>
            <w:tcW w:w="1250" w:type="pct"/>
            <w:vAlign w:val="center"/>
          </w:tcPr>
          <w:p w14:paraId="7302CEE4" w14:textId="77777777" w:rsidR="00DC5685" w:rsidRPr="00A34F10" w:rsidRDefault="00DC5685" w:rsidP="000470C3">
            <w:pPr>
              <w:pStyle w:val="RepTable"/>
              <w:keepNext/>
              <w:keepLines/>
              <w:suppressAutoHyphens/>
              <w:rPr>
                <w:noProof w:val="0"/>
                <w:szCs w:val="20"/>
              </w:rPr>
            </w:pPr>
            <w:r w:rsidRPr="00A34F10">
              <w:rPr>
                <w:i/>
                <w:noProof w:val="0"/>
                <w:szCs w:val="20"/>
              </w:rPr>
              <w:t>Typhlodromus pyri</w:t>
            </w:r>
          </w:p>
        </w:tc>
        <w:tc>
          <w:tcPr>
            <w:tcW w:w="1250" w:type="pct"/>
            <w:vAlign w:val="center"/>
          </w:tcPr>
          <w:p w14:paraId="4DC7EB4D" w14:textId="77777777" w:rsidR="00DC5685" w:rsidRPr="00A34F10" w:rsidRDefault="00DC5685" w:rsidP="000470C3">
            <w:pPr>
              <w:pStyle w:val="RepTable"/>
              <w:keepNext/>
              <w:keepLines/>
              <w:suppressAutoHyphens/>
              <w:rPr>
                <w:noProof w:val="0"/>
                <w:szCs w:val="20"/>
              </w:rPr>
            </w:pPr>
            <w:r w:rsidRPr="00A34F10">
              <w:rPr>
                <w:szCs w:val="20"/>
                <w:lang w:val="de-DE"/>
              </w:rPr>
              <w:t xml:space="preserve">&gt; 3.0 </w:t>
            </w:r>
            <w:r w:rsidRPr="00A34F10">
              <w:rPr>
                <w:szCs w:val="20"/>
                <w:vertAlign w:val="superscript"/>
              </w:rPr>
              <w:t>#</w:t>
            </w:r>
          </w:p>
        </w:tc>
        <w:tc>
          <w:tcPr>
            <w:tcW w:w="1250" w:type="pct"/>
            <w:vMerge w:val="restart"/>
            <w:vAlign w:val="center"/>
          </w:tcPr>
          <w:p w14:paraId="099AC729" w14:textId="77777777" w:rsidR="00DC5685" w:rsidRPr="00A34F10" w:rsidRDefault="00DC5685" w:rsidP="000470C3">
            <w:pPr>
              <w:pStyle w:val="RepTable"/>
              <w:keepNext/>
              <w:keepLines/>
              <w:suppressAutoHyphens/>
              <w:rPr>
                <w:noProof w:val="0"/>
                <w:szCs w:val="20"/>
              </w:rPr>
            </w:pPr>
            <w:r w:rsidRPr="00A34F10">
              <w:rPr>
                <w:noProof w:val="0"/>
                <w:szCs w:val="20"/>
              </w:rPr>
              <w:t>4.6</w:t>
            </w:r>
          </w:p>
        </w:tc>
        <w:tc>
          <w:tcPr>
            <w:tcW w:w="1250" w:type="pct"/>
            <w:vAlign w:val="center"/>
          </w:tcPr>
          <w:p w14:paraId="11D72FBD" w14:textId="77777777" w:rsidR="00DC5685" w:rsidRPr="00A34F10" w:rsidRDefault="00DC5685" w:rsidP="000470C3">
            <w:pPr>
              <w:pStyle w:val="RepTable"/>
              <w:keepNext/>
              <w:keepLines/>
              <w:suppressAutoHyphens/>
              <w:rPr>
                <w:noProof w:val="0"/>
                <w:szCs w:val="20"/>
              </w:rPr>
            </w:pPr>
            <w:r w:rsidRPr="00A34F10">
              <w:rPr>
                <w:noProof w:val="0"/>
                <w:szCs w:val="20"/>
              </w:rPr>
              <w:t>1.5</w:t>
            </w:r>
          </w:p>
        </w:tc>
      </w:tr>
      <w:tr w:rsidR="00DC5685" w:rsidRPr="00A34F10" w14:paraId="0D96CFC6" w14:textId="77777777" w:rsidTr="000470C3">
        <w:tblPrEx>
          <w:tblLook w:val="01E0" w:firstRow="1" w:lastRow="1" w:firstColumn="1" w:lastColumn="1" w:noHBand="0" w:noVBand="0"/>
        </w:tblPrEx>
        <w:trPr>
          <w:cantSplit/>
        </w:trPr>
        <w:tc>
          <w:tcPr>
            <w:tcW w:w="1250" w:type="pct"/>
            <w:vAlign w:val="center"/>
          </w:tcPr>
          <w:p w14:paraId="7F1FB56B" w14:textId="77777777" w:rsidR="00DC5685" w:rsidRPr="00A34F10" w:rsidRDefault="00DC5685" w:rsidP="000470C3">
            <w:pPr>
              <w:pStyle w:val="RepTable"/>
              <w:keepNext/>
              <w:keepLines/>
              <w:suppressAutoHyphens/>
              <w:rPr>
                <w:noProof w:val="0"/>
                <w:szCs w:val="20"/>
              </w:rPr>
            </w:pPr>
            <w:r w:rsidRPr="00A34F10">
              <w:rPr>
                <w:i/>
                <w:noProof w:val="0"/>
                <w:szCs w:val="20"/>
              </w:rPr>
              <w:t>Aphidius rhopalosiphi</w:t>
            </w:r>
          </w:p>
        </w:tc>
        <w:tc>
          <w:tcPr>
            <w:tcW w:w="1250" w:type="pct"/>
            <w:vAlign w:val="center"/>
          </w:tcPr>
          <w:p w14:paraId="7E7FD5E9" w14:textId="77777777" w:rsidR="00DC5685" w:rsidRPr="00A34F10" w:rsidRDefault="00DC5685" w:rsidP="000470C3">
            <w:pPr>
              <w:pStyle w:val="RepTable"/>
              <w:keepNext/>
              <w:keepLines/>
              <w:suppressAutoHyphens/>
              <w:rPr>
                <w:noProof w:val="0"/>
                <w:szCs w:val="20"/>
              </w:rPr>
            </w:pPr>
            <w:r w:rsidRPr="00A34F10">
              <w:rPr>
                <w:szCs w:val="20"/>
                <w:lang w:val="de-DE"/>
              </w:rPr>
              <w:t xml:space="preserve">&gt; 3.0 </w:t>
            </w:r>
            <w:r w:rsidRPr="00A34F10">
              <w:rPr>
                <w:szCs w:val="20"/>
                <w:vertAlign w:val="superscript"/>
              </w:rPr>
              <w:t>#</w:t>
            </w:r>
          </w:p>
        </w:tc>
        <w:tc>
          <w:tcPr>
            <w:tcW w:w="1250" w:type="pct"/>
            <w:vMerge/>
            <w:vAlign w:val="center"/>
          </w:tcPr>
          <w:p w14:paraId="093E3838" w14:textId="77777777" w:rsidR="00DC5685" w:rsidRPr="00A34F10" w:rsidRDefault="00DC5685" w:rsidP="000470C3">
            <w:pPr>
              <w:pStyle w:val="RepTable"/>
              <w:keepNext/>
              <w:keepLines/>
              <w:suppressAutoHyphens/>
              <w:rPr>
                <w:noProof w:val="0"/>
                <w:szCs w:val="20"/>
              </w:rPr>
            </w:pPr>
          </w:p>
        </w:tc>
        <w:tc>
          <w:tcPr>
            <w:tcW w:w="1250" w:type="pct"/>
            <w:vAlign w:val="center"/>
          </w:tcPr>
          <w:p w14:paraId="32FF7777" w14:textId="77777777" w:rsidR="00DC5685" w:rsidRPr="00A34F10" w:rsidRDefault="00DC5685" w:rsidP="000470C3">
            <w:pPr>
              <w:pStyle w:val="RepTable"/>
              <w:keepNext/>
              <w:keepLines/>
              <w:suppressAutoHyphens/>
              <w:rPr>
                <w:bCs/>
                <w:noProof w:val="0"/>
                <w:szCs w:val="20"/>
              </w:rPr>
            </w:pPr>
            <w:r w:rsidRPr="00A34F10">
              <w:rPr>
                <w:bCs/>
                <w:noProof w:val="0"/>
                <w:szCs w:val="20"/>
              </w:rPr>
              <w:t>1.5</w:t>
            </w:r>
          </w:p>
        </w:tc>
      </w:tr>
    </w:tbl>
    <w:p w14:paraId="6DAD939A" w14:textId="77777777" w:rsidR="00DC5685" w:rsidRPr="00A34F10" w:rsidRDefault="00DC5685" w:rsidP="00DC5685">
      <w:pPr>
        <w:pStyle w:val="RepTableFootnote"/>
        <w:keepNext/>
        <w:keepLines/>
        <w:tabs>
          <w:tab w:val="clear" w:pos="425"/>
          <w:tab w:val="left" w:pos="0"/>
        </w:tabs>
        <w:suppressAutoHyphens/>
        <w:ind w:left="0" w:firstLine="0"/>
        <w:jc w:val="both"/>
        <w:rPr>
          <w:noProof w:val="0"/>
          <w:lang w:val="en-US"/>
        </w:rPr>
      </w:pPr>
      <w:r w:rsidRPr="00A34F10">
        <w:rPr>
          <w:noProof w:val="0"/>
          <w:lang w:val="en-US"/>
        </w:rPr>
        <w:t xml:space="preserve">MAF: Multiple application factor; PER: Predicted environmental rate; HQ: Hazard quotient. </w:t>
      </w:r>
    </w:p>
    <w:p w14:paraId="37046F62" w14:textId="77777777" w:rsidR="00DC5685" w:rsidRPr="00A34F10" w:rsidRDefault="00DC5685" w:rsidP="00DC5685">
      <w:pPr>
        <w:pStyle w:val="RepStandard"/>
        <w:keepNext/>
        <w:keepLines/>
        <w:suppressAutoHyphens/>
        <w:rPr>
          <w:sz w:val="18"/>
          <w:szCs w:val="18"/>
        </w:rPr>
      </w:pPr>
      <w:r w:rsidRPr="00A34F10">
        <w:rPr>
          <w:sz w:val="18"/>
          <w:szCs w:val="18"/>
          <w:vertAlign w:val="superscript"/>
        </w:rPr>
        <w:t>#</w:t>
      </w:r>
      <w:r w:rsidRPr="00A34F10">
        <w:rPr>
          <w:sz w:val="18"/>
          <w:szCs w:val="18"/>
        </w:rPr>
        <w:t xml:space="preserve"> Dose rate with 50% effect not determined as no effect was observed at any tested dose rate</w:t>
      </w:r>
    </w:p>
    <w:p w14:paraId="4031E6EE" w14:textId="7F217C80" w:rsidR="00DC5685" w:rsidRPr="00A34F10" w:rsidRDefault="00DC5685" w:rsidP="00DC5685">
      <w:pPr>
        <w:pStyle w:val="RepStandard"/>
        <w:suppressAutoHyphens/>
        <w:rPr>
          <w:highlight w:val="yellow"/>
        </w:rPr>
      </w:pPr>
    </w:p>
    <w:p w14:paraId="42B23AED" w14:textId="77777777" w:rsidR="00E23E00" w:rsidRPr="00A34F10" w:rsidRDefault="00E23E00" w:rsidP="00DC5685">
      <w:pPr>
        <w:pStyle w:val="RepStandard"/>
        <w:suppressAutoHyphens/>
        <w:rPr>
          <w:highlight w:val="yellow"/>
        </w:rPr>
      </w:pPr>
    </w:p>
    <w:p w14:paraId="55751A9E" w14:textId="4A8B7CD3" w:rsidR="00DC5685" w:rsidRPr="00A34F10" w:rsidRDefault="00DC5685" w:rsidP="00DC5685">
      <w:pPr>
        <w:widowControl w:val="0"/>
        <w:jc w:val="both"/>
        <w:rPr>
          <w:lang w:val="en-GB"/>
        </w:rPr>
      </w:pPr>
      <w:r w:rsidRPr="00A34F10">
        <w:rPr>
          <w:lang w:val="en-GB"/>
        </w:rPr>
        <w:t xml:space="preserve">An acceptable in-field risk for </w:t>
      </w:r>
      <w:r w:rsidRPr="00A34F10">
        <w:rPr>
          <w:i/>
          <w:iCs/>
          <w:lang w:val="en-GB"/>
        </w:rPr>
        <w:t xml:space="preserve">Typhlodromus pyri </w:t>
      </w:r>
      <w:r w:rsidRPr="00A34F10">
        <w:rPr>
          <w:lang w:val="en-GB"/>
        </w:rPr>
        <w:t>and</w:t>
      </w:r>
      <w:r w:rsidRPr="00A34F10">
        <w:rPr>
          <w:i/>
          <w:iCs/>
          <w:lang w:val="en-GB"/>
        </w:rPr>
        <w:t xml:space="preserve"> Aphidius rhopalosiphi, </w:t>
      </w:r>
      <w:r w:rsidRPr="00A34F10">
        <w:rPr>
          <w:lang w:val="en-GB"/>
        </w:rPr>
        <w:t xml:space="preserve">is indicated based on glass plate (first tier) laboratory data. Therefore, an overall acceptable risk to non-target arthropods from the intended uses of </w:t>
      </w:r>
      <w:r w:rsidRPr="00A34F10">
        <w:t>BAS 743 03 F</w:t>
      </w:r>
      <w:r w:rsidRPr="00A34F10">
        <w:rPr>
          <w:sz w:val="24"/>
          <w:szCs w:val="24"/>
          <w:lang w:val="en-GB"/>
        </w:rPr>
        <w:t xml:space="preserve"> </w:t>
      </w:r>
      <w:r w:rsidRPr="00A34F10">
        <w:rPr>
          <w:lang w:val="en-GB"/>
        </w:rPr>
        <w:t xml:space="preserve">can be concluded. </w:t>
      </w:r>
    </w:p>
    <w:p w14:paraId="6440859D" w14:textId="1A52C582" w:rsidR="00E23E00" w:rsidRPr="00A34F10" w:rsidRDefault="00E23E00" w:rsidP="00DC5685">
      <w:pPr>
        <w:widowControl w:val="0"/>
        <w:jc w:val="both"/>
        <w:rPr>
          <w:lang w:val="en-GB"/>
        </w:rPr>
      </w:pPr>
    </w:p>
    <w:p w14:paraId="746FCE29" w14:textId="77777777" w:rsidR="00E23E00" w:rsidRPr="00A34F10" w:rsidRDefault="00E23E00" w:rsidP="00DC5685">
      <w:pPr>
        <w:widowControl w:val="0"/>
        <w:jc w:val="both"/>
        <w:rPr>
          <w:lang w:val="en-GB"/>
        </w:rPr>
      </w:pPr>
    </w:p>
    <w:p w14:paraId="088AF74B" w14:textId="77777777" w:rsidR="00DC5685" w:rsidRPr="00A34F10" w:rsidRDefault="00DC5685" w:rsidP="00DC5685">
      <w:pPr>
        <w:pStyle w:val="Nagwek4"/>
        <w:suppressAutoHyphens/>
        <w:rPr>
          <w:noProof w:val="0"/>
          <w:lang w:val="en-US"/>
        </w:rPr>
      </w:pPr>
      <w:bookmarkStart w:id="657" w:name="_Toc412644015"/>
      <w:bookmarkStart w:id="658" w:name="_Toc413916859"/>
      <w:bookmarkStart w:id="659" w:name="_Toc413917001"/>
      <w:bookmarkStart w:id="660" w:name="_Toc413922062"/>
      <w:bookmarkStart w:id="661" w:name="_Toc413922551"/>
      <w:bookmarkStart w:id="662" w:name="_Toc413922655"/>
      <w:bookmarkStart w:id="663" w:name="_Toc414955292"/>
      <w:bookmarkStart w:id="664" w:name="_Toc415214599"/>
      <w:bookmarkStart w:id="665" w:name="_Toc425512620"/>
      <w:bookmarkStart w:id="666" w:name="_Toc181624986"/>
      <w:r w:rsidRPr="00A34F10">
        <w:rPr>
          <w:noProof w:val="0"/>
          <w:lang w:val="en-US"/>
        </w:rPr>
        <w:lastRenderedPageBreak/>
        <w:t>Risk assessment for off-field exposure</w:t>
      </w:r>
      <w:bookmarkEnd w:id="657"/>
      <w:bookmarkEnd w:id="658"/>
      <w:bookmarkEnd w:id="659"/>
      <w:bookmarkEnd w:id="660"/>
      <w:bookmarkEnd w:id="661"/>
      <w:bookmarkEnd w:id="662"/>
      <w:bookmarkEnd w:id="663"/>
      <w:bookmarkEnd w:id="664"/>
      <w:bookmarkEnd w:id="665"/>
      <w:bookmarkEnd w:id="666"/>
    </w:p>
    <w:p w14:paraId="563DAE32" w14:textId="77777777" w:rsidR="00DC5685" w:rsidRPr="00A34F10" w:rsidRDefault="00DC5685" w:rsidP="00DC5685">
      <w:pPr>
        <w:widowControl w:val="0"/>
        <w:suppressAutoHyphens/>
        <w:jc w:val="both"/>
      </w:pPr>
      <w:r w:rsidRPr="00A34F10">
        <w:t>Exposure of non-target arthropods living in off-field areas to BAS 743 03 F</w:t>
      </w:r>
      <w:r w:rsidRPr="00A34F10">
        <w:rPr>
          <w:sz w:val="24"/>
          <w:szCs w:val="24"/>
          <w:lang w:val="en-GB"/>
        </w:rPr>
        <w:t xml:space="preserve"> </w:t>
      </w:r>
      <w:r w:rsidRPr="00A34F10">
        <w:t>will mainly be due to spray drift from field applications. Off-field areas are assumed to be densely vegetated and thus spray drift is unlikely to reach bare ground. Therefore, evaluation of exposure via soil residues in off-field areas was not considered. Off-field foliar PER values were calculated for the worst-case proposed uses, from in-field foliar PER values in conjunction with drift values listed in Appendix IV of the ESCORT 2 guidance document (Table 9.7-5).</w:t>
      </w:r>
    </w:p>
    <w:p w14:paraId="1750859D" w14:textId="77777777" w:rsidR="00DC5685" w:rsidRPr="00A34F10" w:rsidRDefault="00DC5685" w:rsidP="00DC5685">
      <w:pPr>
        <w:widowControl w:val="0"/>
        <w:suppressAutoHyphens/>
        <w:jc w:val="both"/>
        <w:rPr>
          <w:highlight w:val="yellow"/>
        </w:rPr>
      </w:pPr>
    </w:p>
    <w:p w14:paraId="07229C86" w14:textId="77777777" w:rsidR="00DC5685" w:rsidRPr="00A34F10" w:rsidRDefault="00DC5685" w:rsidP="00DC5685">
      <w:pPr>
        <w:suppressAutoHyphens/>
        <w:jc w:val="both"/>
      </w:pPr>
      <w:r w:rsidRPr="00A34F10">
        <w:t>A vegetation distribution or dilution factor is included in the equation when calculating PER values from toxicity endpoints derived from two-dimensional (glass plate or leaf disc) studies. A dilution factor of 5 is conservatively applied in line with the EFSA Technical report on the outcome of the Pesticides Peer Review Meeting on general recurring issues in ecotoxicology (2019).</w:t>
      </w:r>
    </w:p>
    <w:p w14:paraId="43BA1325" w14:textId="77777777" w:rsidR="00E23E00" w:rsidRPr="00A34F10" w:rsidRDefault="00E23E00" w:rsidP="00DC5685">
      <w:pPr>
        <w:suppressAutoHyphens/>
        <w:jc w:val="both"/>
        <w:rPr>
          <w:highlight w:val="yellow"/>
        </w:rPr>
      </w:pPr>
    </w:p>
    <w:p w14:paraId="5F20B2E9" w14:textId="1F325770" w:rsidR="00DC5685" w:rsidRPr="00A34F10" w:rsidRDefault="00DC5685" w:rsidP="00DC5685">
      <w:pPr>
        <w:pStyle w:val="RepLabel"/>
      </w:pPr>
      <w:bookmarkStart w:id="667" w:name="_Ref454371442"/>
      <w:r w:rsidRPr="00A34F10">
        <w:t xml:space="preserve">Table </w:t>
      </w:r>
      <w:fldSimple w:instr=" STYLEREF 2 \s ">
        <w:r w:rsidR="006F0F3B">
          <w:rPr>
            <w:noProof/>
          </w:rPr>
          <w:t>9.7</w:t>
        </w:r>
      </w:fldSimple>
      <w:r w:rsidRPr="00A34F10">
        <w:noBreakHyphen/>
      </w:r>
      <w:bookmarkEnd w:id="667"/>
      <w:r w:rsidRPr="00A34F10">
        <w:t>4:</w:t>
      </w:r>
      <w:r w:rsidRPr="00A34F10">
        <w:tab/>
        <w:t>PER</w:t>
      </w:r>
      <w:r w:rsidRPr="00A34F10">
        <w:rPr>
          <w:vertAlign w:val="subscript"/>
        </w:rPr>
        <w:t xml:space="preserve">off-field </w:t>
      </w:r>
      <w:r w:rsidRPr="00A34F10">
        <w:t>values following worst-case applications of BAS 743 03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5"/>
        <w:gridCol w:w="1871"/>
        <w:gridCol w:w="1869"/>
        <w:gridCol w:w="1869"/>
        <w:gridCol w:w="1871"/>
      </w:tblGrid>
      <w:tr w:rsidR="00DC5685" w:rsidRPr="00A34F10" w14:paraId="0865CDFF" w14:textId="77777777" w:rsidTr="000470C3">
        <w:trPr>
          <w:cantSplit/>
          <w:tblHeader/>
        </w:trPr>
        <w:tc>
          <w:tcPr>
            <w:tcW w:w="998" w:type="pct"/>
            <w:vAlign w:val="center"/>
          </w:tcPr>
          <w:p w14:paraId="047C6B31" w14:textId="77777777" w:rsidR="00DC5685" w:rsidRPr="00A34F10" w:rsidRDefault="00DC5685" w:rsidP="000470C3">
            <w:pPr>
              <w:widowControl w:val="0"/>
              <w:suppressAutoHyphens/>
              <w:spacing w:before="40" w:after="40"/>
              <w:rPr>
                <w:b/>
                <w:bCs/>
                <w:sz w:val="20"/>
              </w:rPr>
            </w:pPr>
            <w:r w:rsidRPr="00A34F10">
              <w:rPr>
                <w:b/>
                <w:sz w:val="20"/>
              </w:rPr>
              <w:t>Study type</w:t>
            </w:r>
            <w:r w:rsidRPr="00A34F10">
              <w:rPr>
                <w:b/>
                <w:sz w:val="20"/>
              </w:rPr>
              <w:br/>
              <w:t>(Exposure scenario)</w:t>
            </w:r>
          </w:p>
        </w:tc>
        <w:tc>
          <w:tcPr>
            <w:tcW w:w="1001" w:type="pct"/>
            <w:vAlign w:val="center"/>
          </w:tcPr>
          <w:p w14:paraId="3428E269" w14:textId="77777777" w:rsidR="00DC5685" w:rsidRPr="00A34F10" w:rsidRDefault="00DC5685" w:rsidP="000470C3">
            <w:pPr>
              <w:widowControl w:val="0"/>
              <w:suppressAutoHyphens/>
              <w:spacing w:before="40" w:after="40"/>
              <w:rPr>
                <w:b/>
                <w:bCs/>
                <w:sz w:val="20"/>
              </w:rPr>
            </w:pPr>
            <w:r w:rsidRPr="00A34F10">
              <w:rPr>
                <w:b/>
                <w:bCs/>
                <w:sz w:val="20"/>
              </w:rPr>
              <w:t>Maximum PER</w:t>
            </w:r>
            <w:r w:rsidRPr="00A34F10">
              <w:rPr>
                <w:b/>
                <w:bCs/>
                <w:sz w:val="20"/>
                <w:vertAlign w:val="subscript"/>
              </w:rPr>
              <w:t>in-field</w:t>
            </w:r>
            <w:r w:rsidRPr="00A34F10">
              <w:rPr>
                <w:b/>
                <w:bCs/>
                <w:sz w:val="20"/>
              </w:rPr>
              <w:br/>
              <w:t>[L/ha]</w:t>
            </w:r>
          </w:p>
        </w:tc>
        <w:tc>
          <w:tcPr>
            <w:tcW w:w="1000" w:type="pct"/>
            <w:vAlign w:val="center"/>
          </w:tcPr>
          <w:p w14:paraId="1F82A50C" w14:textId="77777777" w:rsidR="00DC5685" w:rsidRPr="00A34F10" w:rsidRDefault="00DC5685" w:rsidP="000470C3">
            <w:pPr>
              <w:widowControl w:val="0"/>
              <w:suppressAutoHyphens/>
              <w:spacing w:before="40" w:after="40"/>
              <w:rPr>
                <w:b/>
                <w:bCs/>
                <w:sz w:val="20"/>
              </w:rPr>
            </w:pPr>
            <w:r w:rsidRPr="00A34F10">
              <w:rPr>
                <w:b/>
                <w:bCs/>
                <w:sz w:val="20"/>
              </w:rPr>
              <w:t>Drift factor</w:t>
            </w:r>
            <w:r w:rsidRPr="00A34F10">
              <w:rPr>
                <w:b/>
                <w:bCs/>
                <w:sz w:val="20"/>
              </w:rPr>
              <w:br/>
              <w:t>[% drift/100]</w:t>
            </w:r>
          </w:p>
        </w:tc>
        <w:tc>
          <w:tcPr>
            <w:tcW w:w="1000" w:type="pct"/>
            <w:vAlign w:val="center"/>
          </w:tcPr>
          <w:p w14:paraId="72027B19" w14:textId="77777777" w:rsidR="00DC5685" w:rsidRPr="00A34F10" w:rsidRDefault="00DC5685" w:rsidP="000470C3">
            <w:pPr>
              <w:widowControl w:val="0"/>
              <w:suppressAutoHyphens/>
              <w:spacing w:before="40" w:after="40"/>
              <w:rPr>
                <w:b/>
                <w:bCs/>
                <w:sz w:val="20"/>
              </w:rPr>
            </w:pPr>
            <w:r w:rsidRPr="00A34F10">
              <w:rPr>
                <w:b/>
                <w:bCs/>
                <w:sz w:val="20"/>
              </w:rPr>
              <w:t>Vegetation distribution factor*</w:t>
            </w:r>
          </w:p>
        </w:tc>
        <w:tc>
          <w:tcPr>
            <w:tcW w:w="1001" w:type="pct"/>
            <w:vAlign w:val="center"/>
          </w:tcPr>
          <w:p w14:paraId="643961B2" w14:textId="77777777" w:rsidR="00DC5685" w:rsidRPr="00A34F10" w:rsidRDefault="00DC5685" w:rsidP="000470C3">
            <w:pPr>
              <w:widowControl w:val="0"/>
              <w:suppressAutoHyphens/>
              <w:spacing w:before="40" w:after="40"/>
              <w:rPr>
                <w:b/>
                <w:bCs/>
                <w:sz w:val="20"/>
              </w:rPr>
            </w:pPr>
            <w:r w:rsidRPr="00A34F10">
              <w:rPr>
                <w:b/>
                <w:bCs/>
                <w:sz w:val="20"/>
              </w:rPr>
              <w:t>PER</w:t>
            </w:r>
            <w:r w:rsidRPr="00A34F10">
              <w:rPr>
                <w:b/>
                <w:bCs/>
                <w:sz w:val="20"/>
                <w:vertAlign w:val="subscript"/>
              </w:rPr>
              <w:t>off-field</w:t>
            </w:r>
            <w:r w:rsidRPr="00A34F10">
              <w:rPr>
                <w:b/>
                <w:bCs/>
                <w:sz w:val="20"/>
              </w:rPr>
              <w:br/>
              <w:t>[L/ha]</w:t>
            </w:r>
          </w:p>
        </w:tc>
      </w:tr>
      <w:tr w:rsidR="00DC5685" w:rsidRPr="00A34F10" w14:paraId="3FD232DA" w14:textId="77777777" w:rsidTr="000470C3">
        <w:trPr>
          <w:cantSplit/>
          <w:tblHeader/>
        </w:trPr>
        <w:tc>
          <w:tcPr>
            <w:tcW w:w="5000" w:type="pct"/>
            <w:gridSpan w:val="5"/>
            <w:tcBorders>
              <w:bottom w:val="single" w:sz="4" w:space="0" w:color="auto"/>
            </w:tcBorders>
            <w:vAlign w:val="center"/>
          </w:tcPr>
          <w:p w14:paraId="449C6B6E" w14:textId="77777777" w:rsidR="00DC5685" w:rsidRPr="00A34F10" w:rsidRDefault="00DC5685" w:rsidP="000470C3">
            <w:pPr>
              <w:widowControl w:val="0"/>
              <w:suppressAutoHyphens/>
              <w:spacing w:before="40" w:after="40"/>
              <w:rPr>
                <w:b/>
                <w:bCs/>
                <w:sz w:val="20"/>
              </w:rPr>
            </w:pPr>
            <w:r w:rsidRPr="00A34F10">
              <w:rPr>
                <w:b/>
                <w:sz w:val="20"/>
              </w:rPr>
              <w:t>Potatoes</w:t>
            </w:r>
          </w:p>
        </w:tc>
      </w:tr>
      <w:tr w:rsidR="00DC5685" w:rsidRPr="00A34F10" w14:paraId="7FF28C73" w14:textId="77777777" w:rsidTr="000470C3">
        <w:trPr>
          <w:cantSplit/>
          <w:trHeight w:val="113"/>
          <w:tblHeader/>
        </w:trPr>
        <w:tc>
          <w:tcPr>
            <w:tcW w:w="998" w:type="pct"/>
            <w:tcBorders>
              <w:bottom w:val="single" w:sz="4" w:space="0" w:color="auto"/>
              <w:right w:val="single" w:sz="4" w:space="0" w:color="auto"/>
            </w:tcBorders>
            <w:vAlign w:val="center"/>
          </w:tcPr>
          <w:p w14:paraId="7DF5B181" w14:textId="77777777" w:rsidR="00DC5685" w:rsidRPr="00A34F10" w:rsidRDefault="00DC5685" w:rsidP="000470C3">
            <w:pPr>
              <w:widowControl w:val="0"/>
              <w:suppressAutoHyphens/>
              <w:spacing w:before="40" w:after="40"/>
              <w:rPr>
                <w:sz w:val="20"/>
              </w:rPr>
            </w:pPr>
            <w:r w:rsidRPr="00A34F10">
              <w:rPr>
                <w:sz w:val="20"/>
              </w:rPr>
              <w:t>2D</w:t>
            </w:r>
          </w:p>
        </w:tc>
        <w:tc>
          <w:tcPr>
            <w:tcW w:w="1001" w:type="pct"/>
            <w:tcBorders>
              <w:left w:val="single" w:sz="4" w:space="0" w:color="auto"/>
              <w:bottom w:val="single" w:sz="4" w:space="0" w:color="auto"/>
              <w:right w:val="single" w:sz="4" w:space="0" w:color="auto"/>
            </w:tcBorders>
            <w:vAlign w:val="center"/>
          </w:tcPr>
          <w:p w14:paraId="55A799AC" w14:textId="77777777" w:rsidR="00DC5685" w:rsidRPr="00A34F10" w:rsidRDefault="00DC5685" w:rsidP="000470C3">
            <w:pPr>
              <w:widowControl w:val="0"/>
              <w:suppressAutoHyphens/>
              <w:spacing w:before="40" w:after="40"/>
              <w:rPr>
                <w:sz w:val="20"/>
              </w:rPr>
            </w:pPr>
            <w:r w:rsidRPr="00A34F10">
              <w:rPr>
                <w:sz w:val="20"/>
              </w:rPr>
              <w:t>4.6</w:t>
            </w:r>
          </w:p>
        </w:tc>
        <w:tc>
          <w:tcPr>
            <w:tcW w:w="1000" w:type="pct"/>
            <w:tcBorders>
              <w:left w:val="single" w:sz="4" w:space="0" w:color="auto"/>
              <w:bottom w:val="single" w:sz="4" w:space="0" w:color="auto"/>
              <w:right w:val="single" w:sz="4" w:space="0" w:color="auto"/>
            </w:tcBorders>
            <w:vAlign w:val="center"/>
          </w:tcPr>
          <w:p w14:paraId="19BF4669" w14:textId="77777777" w:rsidR="00DC5685" w:rsidRPr="00A34F10" w:rsidRDefault="00DC5685" w:rsidP="000470C3">
            <w:pPr>
              <w:widowControl w:val="0"/>
              <w:suppressAutoHyphens/>
              <w:spacing w:before="40" w:after="40"/>
              <w:rPr>
                <w:sz w:val="20"/>
              </w:rPr>
            </w:pPr>
            <w:r w:rsidRPr="00A34F10">
              <w:rPr>
                <w:sz w:val="20"/>
              </w:rPr>
              <w:t xml:space="preserve">0.0201 </w:t>
            </w:r>
            <w:r w:rsidRPr="00A34F10">
              <w:rPr>
                <w:sz w:val="20"/>
                <w:vertAlign w:val="superscript"/>
              </w:rPr>
              <w:t>a</w:t>
            </w:r>
          </w:p>
        </w:tc>
        <w:tc>
          <w:tcPr>
            <w:tcW w:w="1000" w:type="pct"/>
            <w:tcBorders>
              <w:left w:val="single" w:sz="4" w:space="0" w:color="auto"/>
              <w:bottom w:val="single" w:sz="4" w:space="0" w:color="auto"/>
              <w:right w:val="single" w:sz="4" w:space="0" w:color="auto"/>
            </w:tcBorders>
            <w:vAlign w:val="center"/>
          </w:tcPr>
          <w:p w14:paraId="59FCE556" w14:textId="77777777" w:rsidR="00DC5685" w:rsidRPr="00A34F10" w:rsidRDefault="00DC5685" w:rsidP="000470C3">
            <w:pPr>
              <w:widowControl w:val="0"/>
              <w:suppressAutoHyphens/>
              <w:spacing w:before="40" w:after="40"/>
              <w:rPr>
                <w:sz w:val="20"/>
              </w:rPr>
            </w:pPr>
            <w:r w:rsidRPr="00A34F10">
              <w:rPr>
                <w:sz w:val="20"/>
              </w:rPr>
              <w:t>5</w:t>
            </w:r>
          </w:p>
        </w:tc>
        <w:tc>
          <w:tcPr>
            <w:tcW w:w="1001" w:type="pct"/>
            <w:tcBorders>
              <w:left w:val="single" w:sz="4" w:space="0" w:color="auto"/>
              <w:bottom w:val="single" w:sz="4" w:space="0" w:color="auto"/>
            </w:tcBorders>
            <w:vAlign w:val="center"/>
          </w:tcPr>
          <w:p w14:paraId="55F7011D" w14:textId="77777777" w:rsidR="00DC5685" w:rsidRPr="00A34F10" w:rsidRDefault="00DC5685" w:rsidP="000470C3">
            <w:pPr>
              <w:widowControl w:val="0"/>
              <w:suppressAutoHyphens/>
              <w:spacing w:before="40" w:after="40"/>
              <w:rPr>
                <w:sz w:val="20"/>
              </w:rPr>
            </w:pPr>
            <w:r w:rsidRPr="00A34F10">
              <w:rPr>
                <w:sz w:val="20"/>
              </w:rPr>
              <w:t>0.018</w:t>
            </w:r>
          </w:p>
        </w:tc>
      </w:tr>
    </w:tbl>
    <w:p w14:paraId="17030C98" w14:textId="77777777" w:rsidR="00DC5685" w:rsidRPr="00A34F10" w:rsidRDefault="00DC5685" w:rsidP="00DC5685">
      <w:pPr>
        <w:suppressAutoHyphens/>
        <w:ind w:left="113" w:hanging="113"/>
        <w:rPr>
          <w:sz w:val="18"/>
          <w:szCs w:val="18"/>
        </w:rPr>
      </w:pPr>
      <w:r w:rsidRPr="00A34F10">
        <w:rPr>
          <w:sz w:val="18"/>
          <w:szCs w:val="18"/>
        </w:rPr>
        <w:t xml:space="preserve">* As recommended in EFSA Technical report on the outcome of the Pesticides Peer Review Meeting on general recurring issues in ecotoxicology (2019). </w:t>
      </w:r>
    </w:p>
    <w:p w14:paraId="6B06DD96" w14:textId="77777777" w:rsidR="00DC5685" w:rsidRPr="00A34F10" w:rsidRDefault="00DC5685" w:rsidP="00DC5685">
      <w:pPr>
        <w:suppressAutoHyphens/>
        <w:ind w:left="113" w:hanging="113"/>
        <w:rPr>
          <w:sz w:val="18"/>
          <w:szCs w:val="18"/>
        </w:rPr>
      </w:pPr>
      <w:r w:rsidRPr="00A34F10">
        <w:rPr>
          <w:sz w:val="18"/>
          <w:szCs w:val="18"/>
          <w:vertAlign w:val="superscript"/>
        </w:rPr>
        <w:t>a</w:t>
      </w:r>
      <w:r w:rsidRPr="00A34F10">
        <w:rPr>
          <w:sz w:val="18"/>
          <w:szCs w:val="18"/>
        </w:rPr>
        <w:t xml:space="preserve"> Drift value for three applications in field crops (82</w:t>
      </w:r>
      <w:r w:rsidRPr="00A34F10">
        <w:rPr>
          <w:sz w:val="18"/>
          <w:szCs w:val="18"/>
          <w:vertAlign w:val="superscript"/>
        </w:rPr>
        <w:t>nd</w:t>
      </w:r>
      <w:r w:rsidRPr="00A34F10">
        <w:rPr>
          <w:sz w:val="18"/>
          <w:szCs w:val="18"/>
        </w:rPr>
        <w:t xml:space="preserve"> percentile)</w:t>
      </w:r>
    </w:p>
    <w:p w14:paraId="25611D2D" w14:textId="77777777" w:rsidR="0030458C" w:rsidRDefault="0030458C" w:rsidP="00DC5685">
      <w:pPr>
        <w:widowControl w:val="0"/>
        <w:suppressAutoHyphens/>
        <w:jc w:val="both"/>
      </w:pPr>
    </w:p>
    <w:p w14:paraId="05998093" w14:textId="77777777" w:rsidR="0030458C" w:rsidRDefault="0030458C" w:rsidP="00DC5685">
      <w:pPr>
        <w:widowControl w:val="0"/>
        <w:suppressAutoHyphens/>
        <w:jc w:val="both"/>
      </w:pPr>
    </w:p>
    <w:p w14:paraId="34D096B9" w14:textId="19A90E62" w:rsidR="00DC5685" w:rsidRPr="00A34F10" w:rsidRDefault="00DC5685" w:rsidP="00DC5685">
      <w:pPr>
        <w:widowControl w:val="0"/>
        <w:suppressAutoHyphens/>
        <w:jc w:val="both"/>
      </w:pPr>
      <w:r w:rsidRPr="00A34F10">
        <w:t>In order to assess the potential risk of BAS 743 03 F</w:t>
      </w:r>
      <w:r w:rsidRPr="00A34F10">
        <w:rPr>
          <w:sz w:val="24"/>
          <w:szCs w:val="24"/>
          <w:lang w:val="en-GB"/>
        </w:rPr>
        <w:t xml:space="preserve"> </w:t>
      </w:r>
      <w:r w:rsidRPr="00A34F10">
        <w:t>to off-field non-target arthropods, the PER</w:t>
      </w:r>
      <w:r w:rsidRPr="00A34F10">
        <w:rPr>
          <w:vertAlign w:val="subscript"/>
        </w:rPr>
        <w:t>off-field</w:t>
      </w:r>
      <w:r w:rsidRPr="00A34F10">
        <w:t xml:space="preserve"> (see </w:t>
      </w:r>
      <w:r w:rsidRPr="00A34F10">
        <w:fldChar w:fldCharType="begin"/>
      </w:r>
      <w:r w:rsidRPr="00A34F10">
        <w:instrText xml:space="preserve"> REF _Ref454371442 \h  \* MERGEFORMAT </w:instrText>
      </w:r>
      <w:r w:rsidRPr="00A34F10">
        <w:fldChar w:fldCharType="separate"/>
      </w:r>
      <w:r w:rsidR="006F0F3B" w:rsidRPr="00A34F10">
        <w:t xml:space="preserve">Table </w:t>
      </w:r>
      <w:r w:rsidR="006F0F3B">
        <w:t>9.7</w:t>
      </w:r>
      <w:r w:rsidR="006F0F3B" w:rsidRPr="00A34F10">
        <w:noBreakHyphen/>
      </w:r>
      <w:r w:rsidRPr="00A34F10">
        <w:fldChar w:fldCharType="end"/>
      </w:r>
      <w:r w:rsidRPr="00A34F10">
        <w:t>) is compared to the toxicity endpoints.</w:t>
      </w:r>
    </w:p>
    <w:p w14:paraId="41330F79" w14:textId="77777777" w:rsidR="00DC5685" w:rsidRPr="00A34F10" w:rsidRDefault="00DC5685" w:rsidP="00DC5685">
      <w:pPr>
        <w:widowControl w:val="0"/>
        <w:suppressAutoHyphens/>
        <w:jc w:val="both"/>
        <w:rPr>
          <w:highlight w:val="yellow"/>
        </w:rPr>
      </w:pPr>
    </w:p>
    <w:p w14:paraId="5EE5793F" w14:textId="3565BA9C" w:rsidR="00DC5685" w:rsidRPr="00A34F10" w:rsidRDefault="00DC5685" w:rsidP="00DC5685">
      <w:pPr>
        <w:pStyle w:val="RepStandard"/>
        <w:suppressAutoHyphens/>
      </w:pPr>
      <w:r w:rsidRPr="00A34F10">
        <w:t>ESCORT 2 recommends a correction factor of 10 for Tier I data in the off-field risk assessment to account for extrapolation from testing just few representative species to the species diversity expected in off-crop areas.</w:t>
      </w:r>
    </w:p>
    <w:p w14:paraId="246957C8" w14:textId="74D40459" w:rsidR="00DC5685" w:rsidRPr="00A34F10" w:rsidRDefault="00DC5685" w:rsidP="00DC5685">
      <w:pPr>
        <w:pStyle w:val="RepLabel"/>
      </w:pPr>
      <w:r w:rsidRPr="00A34F10">
        <w:t xml:space="preserve">Table </w:t>
      </w:r>
      <w:fldSimple w:instr=" STYLEREF 2 \s ">
        <w:r w:rsidR="006F0F3B">
          <w:rPr>
            <w:noProof/>
          </w:rPr>
          <w:t>9.7</w:t>
        </w:r>
      </w:fldSimple>
      <w:r w:rsidRPr="00A34F10">
        <w:noBreakHyphen/>
        <w:t>5:</w:t>
      </w:r>
      <w:r w:rsidRPr="00A34F10">
        <w:tab/>
        <w:t>First- and higher-tier assessment of the off-field risk for non-target arthropods due to the worst-case use of BAS 743 03 F</w:t>
      </w:r>
      <w:r w:rsidRPr="00A34F10">
        <w:rPr>
          <w:sz w:val="24"/>
          <w:szCs w:val="24"/>
        </w:rPr>
        <w:t xml:space="preserve"> </w:t>
      </w:r>
      <w:r w:rsidRPr="00A34F10">
        <w:t xml:space="preserve">at in field crops 2 x 2.0 L a.s./ha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6"/>
        <w:gridCol w:w="1678"/>
        <w:gridCol w:w="1142"/>
        <w:gridCol w:w="1409"/>
        <w:gridCol w:w="1226"/>
        <w:gridCol w:w="1594"/>
      </w:tblGrid>
      <w:tr w:rsidR="00DC5685" w:rsidRPr="00A34F10" w14:paraId="27035B79" w14:textId="77777777" w:rsidTr="000470C3">
        <w:trPr>
          <w:cantSplit/>
        </w:trPr>
        <w:tc>
          <w:tcPr>
            <w:tcW w:w="1228" w:type="pct"/>
            <w:tcBorders>
              <w:bottom w:val="nil"/>
            </w:tcBorders>
            <w:vAlign w:val="center"/>
          </w:tcPr>
          <w:p w14:paraId="78594ABA" w14:textId="77777777" w:rsidR="00DC5685" w:rsidRPr="00A34F10" w:rsidRDefault="00DC5685" w:rsidP="000470C3">
            <w:pPr>
              <w:pStyle w:val="RepTableBold"/>
              <w:keepNext/>
              <w:keepLines/>
              <w:suppressAutoHyphens/>
            </w:pPr>
            <w:r w:rsidRPr="00A34F10">
              <w:t>Intended use</w:t>
            </w:r>
          </w:p>
        </w:tc>
        <w:tc>
          <w:tcPr>
            <w:tcW w:w="3772" w:type="pct"/>
            <w:gridSpan w:val="5"/>
            <w:tcBorders>
              <w:bottom w:val="single" w:sz="4" w:space="0" w:color="auto"/>
            </w:tcBorders>
            <w:vAlign w:val="center"/>
          </w:tcPr>
          <w:p w14:paraId="1494AED2" w14:textId="77777777" w:rsidR="00DC5685" w:rsidRPr="00A34F10" w:rsidRDefault="00DC5685" w:rsidP="000470C3">
            <w:pPr>
              <w:pStyle w:val="RepTable"/>
              <w:keepNext/>
              <w:keepLines/>
              <w:suppressAutoHyphens/>
              <w:rPr>
                <w:noProof w:val="0"/>
                <w:szCs w:val="20"/>
              </w:rPr>
            </w:pPr>
            <w:r w:rsidRPr="00A34F10">
              <w:rPr>
                <w:noProof w:val="0"/>
                <w:szCs w:val="20"/>
              </w:rPr>
              <w:t>Field crops</w:t>
            </w:r>
          </w:p>
        </w:tc>
      </w:tr>
      <w:tr w:rsidR="00DC5685" w:rsidRPr="00A34F10" w14:paraId="6D20F365" w14:textId="77777777" w:rsidTr="000470C3">
        <w:trPr>
          <w:cantSplit/>
        </w:trPr>
        <w:tc>
          <w:tcPr>
            <w:tcW w:w="1228" w:type="pct"/>
            <w:tcBorders>
              <w:top w:val="nil"/>
              <w:bottom w:val="nil"/>
            </w:tcBorders>
            <w:vAlign w:val="center"/>
          </w:tcPr>
          <w:p w14:paraId="46D8F8BD" w14:textId="77777777" w:rsidR="00DC5685" w:rsidRPr="00A34F10" w:rsidRDefault="00DC5685" w:rsidP="000470C3">
            <w:pPr>
              <w:pStyle w:val="RepTableBold"/>
              <w:keepNext/>
              <w:keepLines/>
              <w:suppressAutoHyphens/>
            </w:pPr>
            <w:r w:rsidRPr="00A34F10">
              <w:t>Product</w:t>
            </w:r>
          </w:p>
        </w:tc>
        <w:tc>
          <w:tcPr>
            <w:tcW w:w="3772" w:type="pct"/>
            <w:gridSpan w:val="5"/>
            <w:tcBorders>
              <w:top w:val="single" w:sz="4" w:space="0" w:color="auto"/>
              <w:bottom w:val="single" w:sz="4" w:space="0" w:color="auto"/>
            </w:tcBorders>
            <w:vAlign w:val="center"/>
          </w:tcPr>
          <w:p w14:paraId="0CCB44F4" w14:textId="77777777" w:rsidR="00DC5685" w:rsidRPr="00A34F10" w:rsidRDefault="00DC5685" w:rsidP="000470C3">
            <w:pPr>
              <w:pStyle w:val="RepTable"/>
              <w:keepNext/>
              <w:keepLines/>
              <w:suppressAutoHyphens/>
              <w:rPr>
                <w:noProof w:val="0"/>
                <w:szCs w:val="20"/>
              </w:rPr>
            </w:pPr>
            <w:r w:rsidRPr="00A34F10">
              <w:t>BAS 743 03 F</w:t>
            </w:r>
          </w:p>
        </w:tc>
      </w:tr>
      <w:tr w:rsidR="00DC5685" w:rsidRPr="00A34F10" w14:paraId="529EA748" w14:textId="77777777" w:rsidTr="000470C3">
        <w:trPr>
          <w:cantSplit/>
        </w:trPr>
        <w:tc>
          <w:tcPr>
            <w:tcW w:w="1228" w:type="pct"/>
            <w:tcBorders>
              <w:top w:val="nil"/>
              <w:bottom w:val="nil"/>
            </w:tcBorders>
            <w:vAlign w:val="center"/>
          </w:tcPr>
          <w:p w14:paraId="242650B8" w14:textId="77777777" w:rsidR="00DC5685" w:rsidRPr="00A34F10" w:rsidRDefault="00DC5685" w:rsidP="000470C3">
            <w:pPr>
              <w:pStyle w:val="RepTableBold"/>
              <w:keepNext/>
              <w:keepLines/>
              <w:suppressAutoHyphens/>
            </w:pPr>
            <w:r w:rsidRPr="00A34F10">
              <w:t>Application rate (L/ha)</w:t>
            </w:r>
          </w:p>
        </w:tc>
        <w:tc>
          <w:tcPr>
            <w:tcW w:w="3772" w:type="pct"/>
            <w:gridSpan w:val="5"/>
            <w:tcBorders>
              <w:top w:val="single" w:sz="4" w:space="0" w:color="auto"/>
              <w:bottom w:val="single" w:sz="4" w:space="0" w:color="auto"/>
            </w:tcBorders>
            <w:vAlign w:val="center"/>
          </w:tcPr>
          <w:p w14:paraId="6CF37364" w14:textId="77777777" w:rsidR="00DC5685" w:rsidRPr="00A34F10" w:rsidRDefault="00DC5685" w:rsidP="000470C3">
            <w:pPr>
              <w:pStyle w:val="RepTable"/>
              <w:keepNext/>
              <w:keepLines/>
              <w:suppressAutoHyphens/>
              <w:rPr>
                <w:noProof w:val="0"/>
                <w:szCs w:val="20"/>
              </w:rPr>
            </w:pPr>
            <w:r w:rsidRPr="00A34F10">
              <w:rPr>
                <w:szCs w:val="20"/>
              </w:rPr>
              <w:t>3 x 2.0 </w:t>
            </w:r>
            <w:r w:rsidRPr="00A34F10">
              <w:t>L product/ha</w:t>
            </w:r>
          </w:p>
        </w:tc>
      </w:tr>
      <w:tr w:rsidR="00DC5685" w:rsidRPr="00A34F10" w14:paraId="064C0499" w14:textId="77777777" w:rsidTr="000470C3">
        <w:trPr>
          <w:cantSplit/>
        </w:trPr>
        <w:tc>
          <w:tcPr>
            <w:tcW w:w="1228" w:type="pct"/>
            <w:tcBorders>
              <w:top w:val="nil"/>
              <w:bottom w:val="nil"/>
            </w:tcBorders>
            <w:vAlign w:val="center"/>
          </w:tcPr>
          <w:p w14:paraId="2B845AFC" w14:textId="77777777" w:rsidR="00DC5685" w:rsidRPr="00A34F10" w:rsidRDefault="00DC5685" w:rsidP="000470C3">
            <w:pPr>
              <w:pStyle w:val="RepTableBold"/>
              <w:keepNext/>
              <w:keepLines/>
              <w:suppressAutoHyphens/>
            </w:pPr>
            <w:r w:rsidRPr="00A34F10">
              <w:t>MAF</w:t>
            </w:r>
          </w:p>
        </w:tc>
        <w:tc>
          <w:tcPr>
            <w:tcW w:w="3772" w:type="pct"/>
            <w:gridSpan w:val="5"/>
            <w:tcBorders>
              <w:top w:val="single" w:sz="4" w:space="0" w:color="auto"/>
              <w:bottom w:val="single" w:sz="4" w:space="0" w:color="auto"/>
            </w:tcBorders>
            <w:vAlign w:val="center"/>
          </w:tcPr>
          <w:p w14:paraId="0FA3499F" w14:textId="77777777" w:rsidR="00DC5685" w:rsidRPr="00A34F10" w:rsidRDefault="00DC5685" w:rsidP="000470C3">
            <w:pPr>
              <w:pStyle w:val="RepTable"/>
              <w:keepNext/>
              <w:keepLines/>
              <w:suppressAutoHyphens/>
              <w:rPr>
                <w:noProof w:val="0"/>
                <w:szCs w:val="20"/>
              </w:rPr>
            </w:pPr>
            <w:r w:rsidRPr="00A34F10">
              <w:rPr>
                <w:noProof w:val="0"/>
                <w:szCs w:val="20"/>
              </w:rPr>
              <w:t>2.3 (vegetation)</w:t>
            </w:r>
          </w:p>
        </w:tc>
      </w:tr>
      <w:tr w:rsidR="00DC5685" w:rsidRPr="00A34F10" w14:paraId="01182C1D" w14:textId="77777777" w:rsidTr="000470C3">
        <w:trPr>
          <w:cantSplit/>
        </w:trPr>
        <w:tc>
          <w:tcPr>
            <w:tcW w:w="1228" w:type="pct"/>
            <w:tcBorders>
              <w:top w:val="nil"/>
            </w:tcBorders>
            <w:vAlign w:val="center"/>
          </w:tcPr>
          <w:p w14:paraId="2D591F06" w14:textId="77777777" w:rsidR="00DC5685" w:rsidRPr="00A34F10" w:rsidRDefault="00DC5685" w:rsidP="000470C3">
            <w:pPr>
              <w:pStyle w:val="RepTableBold"/>
              <w:keepNext/>
              <w:keepLines/>
              <w:suppressAutoHyphens/>
            </w:pPr>
            <w:r w:rsidRPr="00A34F10">
              <w:t>vdf</w:t>
            </w:r>
          </w:p>
        </w:tc>
        <w:tc>
          <w:tcPr>
            <w:tcW w:w="3772" w:type="pct"/>
            <w:gridSpan w:val="5"/>
            <w:tcBorders>
              <w:top w:val="single" w:sz="4" w:space="0" w:color="auto"/>
            </w:tcBorders>
            <w:vAlign w:val="center"/>
          </w:tcPr>
          <w:p w14:paraId="4F0800EC" w14:textId="77777777" w:rsidR="00DC5685" w:rsidRPr="00A34F10" w:rsidRDefault="00DC5685" w:rsidP="000470C3">
            <w:pPr>
              <w:pStyle w:val="RepTable"/>
              <w:keepNext/>
              <w:keepLines/>
              <w:suppressAutoHyphens/>
              <w:rPr>
                <w:noProof w:val="0"/>
                <w:szCs w:val="20"/>
              </w:rPr>
            </w:pPr>
            <w:r w:rsidRPr="00A34F10">
              <w:rPr>
                <w:noProof w:val="0"/>
                <w:szCs w:val="20"/>
              </w:rPr>
              <w:t>5 (2D exposure) / - (3D exposure)</w:t>
            </w:r>
          </w:p>
        </w:tc>
      </w:tr>
      <w:tr w:rsidR="00DC5685" w:rsidRPr="00A34F10" w14:paraId="009E45F4" w14:textId="77777777" w:rsidTr="000470C3">
        <w:trPr>
          <w:cantSplit/>
        </w:trPr>
        <w:tc>
          <w:tcPr>
            <w:tcW w:w="1228" w:type="pct"/>
            <w:vMerge w:val="restart"/>
            <w:tcBorders>
              <w:top w:val="nil"/>
            </w:tcBorders>
            <w:vAlign w:val="center"/>
          </w:tcPr>
          <w:p w14:paraId="176107DD" w14:textId="77777777" w:rsidR="00DC5685" w:rsidRPr="00A34F10" w:rsidRDefault="00DC5685" w:rsidP="000470C3">
            <w:pPr>
              <w:pStyle w:val="RepTableBold"/>
              <w:keepNext/>
              <w:keepLines/>
              <w:suppressAutoHyphens/>
            </w:pPr>
            <w:r w:rsidRPr="00A34F10">
              <w:t>Test species</w:t>
            </w:r>
          </w:p>
        </w:tc>
        <w:tc>
          <w:tcPr>
            <w:tcW w:w="3772" w:type="pct"/>
            <w:gridSpan w:val="5"/>
            <w:tcBorders>
              <w:top w:val="single" w:sz="4" w:space="0" w:color="auto"/>
            </w:tcBorders>
            <w:vAlign w:val="center"/>
          </w:tcPr>
          <w:p w14:paraId="00776D07" w14:textId="77777777" w:rsidR="00DC5685" w:rsidRPr="00A34F10" w:rsidRDefault="00DC5685" w:rsidP="000470C3">
            <w:pPr>
              <w:pStyle w:val="RepTable"/>
              <w:keepNext/>
              <w:keepLines/>
              <w:suppressAutoHyphens/>
              <w:rPr>
                <w:b/>
                <w:noProof w:val="0"/>
                <w:szCs w:val="20"/>
              </w:rPr>
            </w:pPr>
            <w:r w:rsidRPr="00A34F10">
              <w:rPr>
                <w:b/>
                <w:noProof w:val="0"/>
                <w:szCs w:val="20"/>
              </w:rPr>
              <w:t>Tier I</w:t>
            </w:r>
          </w:p>
        </w:tc>
      </w:tr>
      <w:tr w:rsidR="00DC5685" w:rsidRPr="00A34F10" w14:paraId="18FB6B3E" w14:textId="77777777" w:rsidTr="000470C3">
        <w:tblPrEx>
          <w:tblLook w:val="01E0" w:firstRow="1" w:lastRow="1" w:firstColumn="1" w:lastColumn="1" w:noHBand="0" w:noVBand="0"/>
        </w:tblPrEx>
        <w:trPr>
          <w:cantSplit/>
        </w:trPr>
        <w:tc>
          <w:tcPr>
            <w:tcW w:w="1228" w:type="pct"/>
            <w:vMerge/>
            <w:vAlign w:val="center"/>
          </w:tcPr>
          <w:p w14:paraId="52EE5767" w14:textId="77777777" w:rsidR="00DC5685" w:rsidRPr="00A34F10" w:rsidRDefault="00DC5685" w:rsidP="000470C3">
            <w:pPr>
              <w:pStyle w:val="RepTableBold"/>
              <w:keepNext/>
              <w:keepLines/>
              <w:suppressAutoHyphens/>
            </w:pPr>
          </w:p>
        </w:tc>
        <w:tc>
          <w:tcPr>
            <w:tcW w:w="898" w:type="pct"/>
            <w:vAlign w:val="center"/>
          </w:tcPr>
          <w:p w14:paraId="1C9BE921" w14:textId="77777777" w:rsidR="00DC5685" w:rsidRPr="00A34F10" w:rsidRDefault="00DC5685" w:rsidP="000470C3">
            <w:pPr>
              <w:pStyle w:val="RepTableBold"/>
              <w:keepNext/>
              <w:keepLines/>
              <w:suppressAutoHyphens/>
            </w:pPr>
            <w:r w:rsidRPr="00A34F10">
              <w:t>LR</w:t>
            </w:r>
            <w:r w:rsidRPr="00A34F10">
              <w:rPr>
                <w:vertAlign w:val="subscript"/>
              </w:rPr>
              <w:t>50</w:t>
            </w:r>
            <w:r w:rsidRPr="00A34F10">
              <w:t xml:space="preserve"> (lab.)</w:t>
            </w:r>
            <w:r w:rsidRPr="00A34F10">
              <w:br/>
              <w:t>[L/ha]</w:t>
            </w:r>
          </w:p>
        </w:tc>
        <w:tc>
          <w:tcPr>
            <w:tcW w:w="611" w:type="pct"/>
            <w:vAlign w:val="center"/>
          </w:tcPr>
          <w:p w14:paraId="244B4A3E" w14:textId="77777777" w:rsidR="00DC5685" w:rsidRPr="00A34F10" w:rsidRDefault="00DC5685" w:rsidP="000470C3">
            <w:pPr>
              <w:pStyle w:val="RepTableBold"/>
              <w:keepNext/>
              <w:keepLines/>
              <w:suppressAutoHyphens/>
            </w:pPr>
            <w:r w:rsidRPr="00A34F10">
              <w:t>Drift rate</w:t>
            </w:r>
            <w:r w:rsidRPr="00A34F10">
              <w:br/>
              <w:t>(%)</w:t>
            </w:r>
          </w:p>
        </w:tc>
        <w:tc>
          <w:tcPr>
            <w:tcW w:w="754" w:type="pct"/>
            <w:vAlign w:val="center"/>
          </w:tcPr>
          <w:p w14:paraId="776BE94A" w14:textId="77777777" w:rsidR="00DC5685" w:rsidRPr="00A34F10" w:rsidRDefault="00DC5685" w:rsidP="000470C3">
            <w:pPr>
              <w:pStyle w:val="RepTableBold"/>
              <w:keepNext/>
              <w:keepLines/>
              <w:suppressAutoHyphens/>
            </w:pPr>
            <w:r w:rsidRPr="00A34F10">
              <w:t>PER</w:t>
            </w:r>
            <w:r w:rsidRPr="00A34F10">
              <w:rPr>
                <w:vertAlign w:val="subscript"/>
              </w:rPr>
              <w:t>off</w:t>
            </w:r>
            <w:r w:rsidRPr="00A34F10">
              <w:rPr>
                <w:vertAlign w:val="subscript"/>
              </w:rPr>
              <w:noBreakHyphen/>
              <w:t>field</w:t>
            </w:r>
            <w:r w:rsidRPr="00A34F10">
              <w:rPr>
                <w:vertAlign w:val="subscript"/>
              </w:rPr>
              <w:br/>
            </w:r>
            <w:r w:rsidRPr="00A34F10">
              <w:t>[L/ha]</w:t>
            </w:r>
          </w:p>
        </w:tc>
        <w:tc>
          <w:tcPr>
            <w:tcW w:w="656" w:type="pct"/>
            <w:vAlign w:val="center"/>
          </w:tcPr>
          <w:p w14:paraId="01E1A1A4" w14:textId="77777777" w:rsidR="00DC5685" w:rsidRPr="00A34F10" w:rsidRDefault="00DC5685" w:rsidP="000470C3">
            <w:pPr>
              <w:pStyle w:val="RepTableBold"/>
              <w:keepNext/>
              <w:keepLines/>
              <w:suppressAutoHyphens/>
            </w:pPr>
            <w:r w:rsidRPr="00A34F10">
              <w:t>CF</w:t>
            </w:r>
          </w:p>
        </w:tc>
        <w:tc>
          <w:tcPr>
            <w:tcW w:w="853" w:type="pct"/>
            <w:vAlign w:val="center"/>
          </w:tcPr>
          <w:p w14:paraId="4802B777" w14:textId="77777777" w:rsidR="00DC5685" w:rsidRPr="00A34F10" w:rsidRDefault="00DC5685" w:rsidP="000470C3">
            <w:pPr>
              <w:pStyle w:val="RepTableBold"/>
              <w:keepNext/>
              <w:keepLines/>
              <w:suppressAutoHyphens/>
            </w:pPr>
            <w:r w:rsidRPr="00A34F10">
              <w:t>HQ</w:t>
            </w:r>
            <w:r w:rsidRPr="00A34F10">
              <w:rPr>
                <w:vertAlign w:val="subscript"/>
              </w:rPr>
              <w:t>off-field</w:t>
            </w:r>
            <w:r w:rsidRPr="00A34F10">
              <w:rPr>
                <w:vertAlign w:val="subscript"/>
              </w:rPr>
              <w:br/>
            </w:r>
            <w:r w:rsidRPr="00A34F10">
              <w:t xml:space="preserve">criterion: </w:t>
            </w:r>
          </w:p>
          <w:p w14:paraId="2B45347D" w14:textId="77777777" w:rsidR="00DC5685" w:rsidRPr="00A34F10" w:rsidRDefault="00DC5685" w:rsidP="000470C3">
            <w:pPr>
              <w:pStyle w:val="RepTableBold"/>
              <w:keepNext/>
              <w:keepLines/>
              <w:suppressAutoHyphens/>
            </w:pPr>
            <w:r w:rsidRPr="00A34F10">
              <w:t>HQ ≤ 2</w:t>
            </w:r>
          </w:p>
        </w:tc>
      </w:tr>
      <w:tr w:rsidR="00DC5685" w:rsidRPr="00A34F10" w14:paraId="05C4B61F" w14:textId="77777777" w:rsidTr="000470C3">
        <w:tblPrEx>
          <w:tblLook w:val="01E0" w:firstRow="1" w:lastRow="1" w:firstColumn="1" w:lastColumn="1" w:noHBand="0" w:noVBand="0"/>
        </w:tblPrEx>
        <w:trPr>
          <w:cantSplit/>
        </w:trPr>
        <w:tc>
          <w:tcPr>
            <w:tcW w:w="1228" w:type="pct"/>
            <w:vAlign w:val="center"/>
          </w:tcPr>
          <w:p w14:paraId="004DD61C" w14:textId="77777777" w:rsidR="00DC5685" w:rsidRPr="00A34F10" w:rsidRDefault="00DC5685" w:rsidP="000470C3">
            <w:pPr>
              <w:pStyle w:val="RepTable"/>
              <w:keepNext/>
              <w:keepLines/>
              <w:suppressAutoHyphens/>
              <w:rPr>
                <w:noProof w:val="0"/>
                <w:szCs w:val="20"/>
              </w:rPr>
            </w:pPr>
            <w:r w:rsidRPr="00A34F10">
              <w:rPr>
                <w:i/>
                <w:noProof w:val="0"/>
                <w:szCs w:val="20"/>
              </w:rPr>
              <w:t>Typhlodromus pyri</w:t>
            </w:r>
          </w:p>
        </w:tc>
        <w:tc>
          <w:tcPr>
            <w:tcW w:w="898" w:type="pct"/>
            <w:vAlign w:val="center"/>
          </w:tcPr>
          <w:p w14:paraId="451BA692" w14:textId="77777777" w:rsidR="00DC5685" w:rsidRPr="00A34F10" w:rsidRDefault="00DC5685" w:rsidP="000470C3">
            <w:pPr>
              <w:pStyle w:val="RepTable"/>
              <w:keepNext/>
              <w:keepLines/>
              <w:suppressAutoHyphens/>
              <w:rPr>
                <w:noProof w:val="0"/>
                <w:szCs w:val="20"/>
              </w:rPr>
            </w:pPr>
            <w:r w:rsidRPr="00A34F10">
              <w:rPr>
                <w:szCs w:val="20"/>
                <w:lang w:val="de-DE"/>
              </w:rPr>
              <w:t>&gt; 3.0</w:t>
            </w:r>
          </w:p>
        </w:tc>
        <w:tc>
          <w:tcPr>
            <w:tcW w:w="611" w:type="pct"/>
            <w:vMerge w:val="restart"/>
            <w:vAlign w:val="center"/>
          </w:tcPr>
          <w:p w14:paraId="50D203EF" w14:textId="77777777" w:rsidR="00DC5685" w:rsidRPr="00A34F10" w:rsidRDefault="00DC5685" w:rsidP="000470C3">
            <w:pPr>
              <w:pStyle w:val="RepTable"/>
              <w:keepNext/>
              <w:keepLines/>
              <w:suppressAutoHyphens/>
              <w:rPr>
                <w:noProof w:val="0"/>
                <w:szCs w:val="20"/>
              </w:rPr>
            </w:pPr>
            <w:r w:rsidRPr="00A34F10">
              <w:t>2.01</w:t>
            </w:r>
          </w:p>
        </w:tc>
        <w:tc>
          <w:tcPr>
            <w:tcW w:w="754" w:type="pct"/>
            <w:vMerge w:val="restart"/>
            <w:vAlign w:val="center"/>
          </w:tcPr>
          <w:p w14:paraId="23EDC855" w14:textId="77777777" w:rsidR="00DC5685" w:rsidRPr="00A34F10" w:rsidRDefault="00DC5685" w:rsidP="000470C3">
            <w:pPr>
              <w:pStyle w:val="RepTable"/>
              <w:keepNext/>
              <w:keepLines/>
              <w:suppressAutoHyphens/>
              <w:rPr>
                <w:noProof w:val="0"/>
                <w:szCs w:val="20"/>
              </w:rPr>
            </w:pPr>
            <w:r w:rsidRPr="00A34F10">
              <w:t>0.018</w:t>
            </w:r>
          </w:p>
        </w:tc>
        <w:tc>
          <w:tcPr>
            <w:tcW w:w="656" w:type="pct"/>
            <w:vMerge w:val="restart"/>
            <w:vAlign w:val="center"/>
          </w:tcPr>
          <w:p w14:paraId="742B3CEB" w14:textId="77777777" w:rsidR="00DC5685" w:rsidRPr="00A34F10" w:rsidRDefault="00DC5685" w:rsidP="000470C3">
            <w:pPr>
              <w:pStyle w:val="RepTable"/>
              <w:keepNext/>
              <w:keepLines/>
              <w:suppressAutoHyphens/>
              <w:rPr>
                <w:noProof w:val="0"/>
                <w:szCs w:val="20"/>
              </w:rPr>
            </w:pPr>
            <w:r w:rsidRPr="00A34F10">
              <w:rPr>
                <w:noProof w:val="0"/>
                <w:szCs w:val="20"/>
              </w:rPr>
              <w:t>10</w:t>
            </w:r>
          </w:p>
        </w:tc>
        <w:tc>
          <w:tcPr>
            <w:tcW w:w="853" w:type="pct"/>
            <w:vAlign w:val="center"/>
          </w:tcPr>
          <w:p w14:paraId="39CCED9F" w14:textId="77777777" w:rsidR="00DC5685" w:rsidRPr="00A34F10" w:rsidRDefault="00DC5685" w:rsidP="000470C3">
            <w:pPr>
              <w:pStyle w:val="RepTable"/>
              <w:keepNext/>
              <w:keepLines/>
              <w:suppressAutoHyphens/>
              <w:rPr>
                <w:noProof w:val="0"/>
                <w:szCs w:val="20"/>
              </w:rPr>
            </w:pPr>
            <w:r w:rsidRPr="00A34F10">
              <w:rPr>
                <w:noProof w:val="0"/>
                <w:szCs w:val="20"/>
              </w:rPr>
              <w:t>0.06</w:t>
            </w:r>
          </w:p>
        </w:tc>
      </w:tr>
      <w:tr w:rsidR="00DC5685" w:rsidRPr="00A34F10" w14:paraId="01E562F6" w14:textId="77777777" w:rsidTr="000470C3">
        <w:tblPrEx>
          <w:tblLook w:val="01E0" w:firstRow="1" w:lastRow="1" w:firstColumn="1" w:lastColumn="1" w:noHBand="0" w:noVBand="0"/>
        </w:tblPrEx>
        <w:trPr>
          <w:cantSplit/>
        </w:trPr>
        <w:tc>
          <w:tcPr>
            <w:tcW w:w="1228" w:type="pct"/>
            <w:vAlign w:val="center"/>
          </w:tcPr>
          <w:p w14:paraId="668B7011" w14:textId="77777777" w:rsidR="00DC5685" w:rsidRPr="00A34F10" w:rsidRDefault="00DC5685" w:rsidP="000470C3">
            <w:pPr>
              <w:pStyle w:val="RepTable"/>
              <w:keepNext/>
              <w:keepLines/>
              <w:suppressAutoHyphens/>
              <w:rPr>
                <w:noProof w:val="0"/>
                <w:szCs w:val="20"/>
              </w:rPr>
            </w:pPr>
            <w:r w:rsidRPr="00A34F10">
              <w:rPr>
                <w:i/>
                <w:noProof w:val="0"/>
                <w:szCs w:val="20"/>
              </w:rPr>
              <w:t>Aphidius rhopalosiphi</w:t>
            </w:r>
          </w:p>
        </w:tc>
        <w:tc>
          <w:tcPr>
            <w:tcW w:w="898" w:type="pct"/>
            <w:vAlign w:val="center"/>
          </w:tcPr>
          <w:p w14:paraId="0E572DD8" w14:textId="77777777" w:rsidR="00DC5685" w:rsidRPr="00A34F10" w:rsidRDefault="00DC5685" w:rsidP="000470C3">
            <w:pPr>
              <w:pStyle w:val="RepTable"/>
              <w:keepNext/>
              <w:keepLines/>
              <w:suppressAutoHyphens/>
              <w:rPr>
                <w:noProof w:val="0"/>
                <w:szCs w:val="20"/>
              </w:rPr>
            </w:pPr>
            <w:r w:rsidRPr="00A34F10">
              <w:rPr>
                <w:szCs w:val="20"/>
                <w:lang w:val="de-DE"/>
              </w:rPr>
              <w:t>&gt; 3.0</w:t>
            </w:r>
          </w:p>
        </w:tc>
        <w:tc>
          <w:tcPr>
            <w:tcW w:w="611" w:type="pct"/>
            <w:vMerge/>
            <w:vAlign w:val="center"/>
          </w:tcPr>
          <w:p w14:paraId="41868000" w14:textId="77777777" w:rsidR="00DC5685" w:rsidRPr="00A34F10" w:rsidRDefault="00DC5685" w:rsidP="000470C3">
            <w:pPr>
              <w:pStyle w:val="RepTable"/>
              <w:keepNext/>
              <w:keepLines/>
              <w:suppressAutoHyphens/>
              <w:rPr>
                <w:noProof w:val="0"/>
                <w:szCs w:val="20"/>
              </w:rPr>
            </w:pPr>
          </w:p>
        </w:tc>
        <w:tc>
          <w:tcPr>
            <w:tcW w:w="754" w:type="pct"/>
            <w:vMerge/>
            <w:vAlign w:val="center"/>
          </w:tcPr>
          <w:p w14:paraId="5FE9533E" w14:textId="77777777" w:rsidR="00DC5685" w:rsidRPr="00A34F10" w:rsidRDefault="00DC5685" w:rsidP="000470C3">
            <w:pPr>
              <w:pStyle w:val="RepTable"/>
              <w:keepNext/>
              <w:keepLines/>
              <w:suppressAutoHyphens/>
              <w:rPr>
                <w:noProof w:val="0"/>
                <w:szCs w:val="20"/>
              </w:rPr>
            </w:pPr>
          </w:p>
        </w:tc>
        <w:tc>
          <w:tcPr>
            <w:tcW w:w="656" w:type="pct"/>
            <w:vMerge/>
            <w:vAlign w:val="center"/>
          </w:tcPr>
          <w:p w14:paraId="152B6A29" w14:textId="77777777" w:rsidR="00DC5685" w:rsidRPr="00A34F10" w:rsidRDefault="00DC5685" w:rsidP="000470C3">
            <w:pPr>
              <w:pStyle w:val="RepTable"/>
              <w:keepNext/>
              <w:keepLines/>
              <w:suppressAutoHyphens/>
              <w:rPr>
                <w:noProof w:val="0"/>
                <w:szCs w:val="20"/>
              </w:rPr>
            </w:pPr>
          </w:p>
        </w:tc>
        <w:tc>
          <w:tcPr>
            <w:tcW w:w="853" w:type="pct"/>
            <w:vAlign w:val="center"/>
          </w:tcPr>
          <w:p w14:paraId="3D946B4E" w14:textId="77777777" w:rsidR="00DC5685" w:rsidRPr="00A34F10" w:rsidRDefault="00DC5685" w:rsidP="000470C3">
            <w:pPr>
              <w:pStyle w:val="RepTable"/>
              <w:keepNext/>
              <w:keepLines/>
              <w:suppressAutoHyphens/>
              <w:rPr>
                <w:noProof w:val="0"/>
                <w:szCs w:val="20"/>
              </w:rPr>
            </w:pPr>
            <w:r w:rsidRPr="00A34F10">
              <w:rPr>
                <w:noProof w:val="0"/>
                <w:szCs w:val="20"/>
              </w:rPr>
              <w:t>0.06</w:t>
            </w:r>
          </w:p>
        </w:tc>
      </w:tr>
    </w:tbl>
    <w:p w14:paraId="58121FC1" w14:textId="77777777" w:rsidR="00DC5685" w:rsidRPr="00A34F10" w:rsidRDefault="00DC5685" w:rsidP="00DC5685">
      <w:pPr>
        <w:pStyle w:val="RepTableFootnote"/>
        <w:keepNext/>
        <w:keepLines/>
        <w:tabs>
          <w:tab w:val="clear" w:pos="425"/>
          <w:tab w:val="left" w:pos="0"/>
        </w:tabs>
        <w:suppressAutoHyphens/>
        <w:spacing w:before="40"/>
        <w:ind w:left="0" w:firstLine="0"/>
        <w:jc w:val="both"/>
        <w:rPr>
          <w:noProof w:val="0"/>
          <w:lang w:val="en-US"/>
        </w:rPr>
      </w:pPr>
      <w:r w:rsidRPr="00A34F10">
        <w:rPr>
          <w:noProof w:val="0"/>
          <w:lang w:val="en-US"/>
        </w:rPr>
        <w:t xml:space="preserve">MAF: Multiple application factor; vdf: Vegetation distribution factor; (corr.) PER: (corrected) Predicted environmental rate; CF: Correction factor; HQ: Hazard quotient. </w:t>
      </w:r>
    </w:p>
    <w:p w14:paraId="4A590548" w14:textId="77777777" w:rsidR="00DC5685" w:rsidRPr="00A34F10" w:rsidRDefault="00DC5685" w:rsidP="00DC5685">
      <w:pPr>
        <w:pStyle w:val="RepStandard"/>
        <w:rPr>
          <w:highlight w:val="yellow"/>
        </w:rPr>
      </w:pPr>
    </w:p>
    <w:p w14:paraId="10CA093F" w14:textId="35584131" w:rsidR="00E23E00" w:rsidRPr="00A34F10" w:rsidRDefault="00DC5685" w:rsidP="00DC5685">
      <w:pPr>
        <w:pStyle w:val="RepStandard"/>
        <w:suppressAutoHyphens/>
      </w:pPr>
      <w:r w:rsidRPr="00A34F10">
        <w:lastRenderedPageBreak/>
        <w:t xml:space="preserve">An acceptable off-field risk for </w:t>
      </w:r>
      <w:r w:rsidRPr="00A34F10">
        <w:rPr>
          <w:i/>
          <w:iCs/>
        </w:rPr>
        <w:t>Typhlodromus pyri</w:t>
      </w:r>
      <w:r w:rsidRPr="00A34F10">
        <w:t xml:space="preserve"> and </w:t>
      </w:r>
      <w:r w:rsidRPr="00A34F10">
        <w:rPr>
          <w:i/>
          <w:iCs/>
        </w:rPr>
        <w:t>Aphidius rhopalosiphi</w:t>
      </w:r>
      <w:r w:rsidRPr="00A34F10">
        <w:t xml:space="preserve"> was found based on glass plate laboratory data. Therefore, an overall acceptable risk to non-target arthropods from the intended uses of BAS 743 03 F</w:t>
      </w:r>
      <w:r w:rsidRPr="00A34F10">
        <w:rPr>
          <w:sz w:val="24"/>
          <w:szCs w:val="24"/>
        </w:rPr>
        <w:t xml:space="preserve"> </w:t>
      </w:r>
      <w:r w:rsidRPr="00A34F10">
        <w:t>can be concluded.</w:t>
      </w:r>
    </w:p>
    <w:p w14:paraId="4B5CEC1B" w14:textId="77777777" w:rsidR="00DC5685" w:rsidRPr="00A34F10" w:rsidRDefault="00DC5685" w:rsidP="00DC5685">
      <w:pPr>
        <w:pStyle w:val="Nagwek4"/>
        <w:suppressAutoHyphens/>
        <w:rPr>
          <w:noProof w:val="0"/>
          <w:lang w:val="en-US"/>
        </w:rPr>
      </w:pPr>
      <w:bookmarkStart w:id="668" w:name="_Toc412644016"/>
      <w:bookmarkStart w:id="669" w:name="_Toc413916860"/>
      <w:bookmarkStart w:id="670" w:name="_Toc413917002"/>
      <w:bookmarkStart w:id="671" w:name="_Toc413922063"/>
      <w:bookmarkStart w:id="672" w:name="_Toc413922552"/>
      <w:bookmarkStart w:id="673" w:name="_Toc413922656"/>
      <w:bookmarkStart w:id="674" w:name="_Toc414955293"/>
      <w:bookmarkStart w:id="675" w:name="_Toc415214600"/>
      <w:bookmarkStart w:id="676" w:name="_Toc425512621"/>
      <w:bookmarkStart w:id="677" w:name="_Toc181624987"/>
      <w:r w:rsidRPr="00A34F10">
        <w:rPr>
          <w:noProof w:val="0"/>
          <w:lang w:val="en-US"/>
        </w:rPr>
        <w:t>Additional higher-tier risk assessment</w:t>
      </w:r>
      <w:bookmarkEnd w:id="668"/>
      <w:bookmarkEnd w:id="669"/>
      <w:bookmarkEnd w:id="670"/>
      <w:bookmarkEnd w:id="671"/>
      <w:bookmarkEnd w:id="672"/>
      <w:bookmarkEnd w:id="673"/>
      <w:bookmarkEnd w:id="674"/>
      <w:bookmarkEnd w:id="675"/>
      <w:bookmarkEnd w:id="676"/>
      <w:bookmarkEnd w:id="677"/>
    </w:p>
    <w:p w14:paraId="46DAAADD" w14:textId="4DBCA0B7" w:rsidR="00DC5685" w:rsidRPr="00A34F10" w:rsidRDefault="00DC5685" w:rsidP="00DC5685">
      <w:pPr>
        <w:pStyle w:val="RepStandard"/>
      </w:pPr>
      <w:r w:rsidRPr="00A34F10">
        <w:t>Not required.</w:t>
      </w:r>
    </w:p>
    <w:p w14:paraId="4DD9BF12" w14:textId="77777777" w:rsidR="00DC5685" w:rsidRPr="00A34F10" w:rsidRDefault="00DC5685" w:rsidP="00DC5685">
      <w:pPr>
        <w:pStyle w:val="Nagwek4"/>
        <w:suppressAutoHyphens/>
        <w:rPr>
          <w:noProof w:val="0"/>
          <w:lang w:val="en-US"/>
        </w:rPr>
      </w:pPr>
      <w:bookmarkStart w:id="678" w:name="_Toc412644017"/>
      <w:bookmarkStart w:id="679" w:name="_Toc413916861"/>
      <w:bookmarkStart w:id="680" w:name="_Toc413917003"/>
      <w:bookmarkStart w:id="681" w:name="_Toc413922064"/>
      <w:bookmarkStart w:id="682" w:name="_Toc413922553"/>
      <w:bookmarkStart w:id="683" w:name="_Toc413922657"/>
      <w:bookmarkStart w:id="684" w:name="_Toc414955294"/>
      <w:bookmarkStart w:id="685" w:name="_Toc415214601"/>
      <w:bookmarkStart w:id="686" w:name="_Toc425512622"/>
      <w:bookmarkStart w:id="687" w:name="_Toc181624988"/>
      <w:r w:rsidRPr="00A34F10">
        <w:rPr>
          <w:noProof w:val="0"/>
          <w:lang w:val="en-US"/>
        </w:rPr>
        <w:t>Risk mitigation measures</w:t>
      </w:r>
      <w:bookmarkEnd w:id="678"/>
      <w:bookmarkEnd w:id="679"/>
      <w:bookmarkEnd w:id="680"/>
      <w:bookmarkEnd w:id="681"/>
      <w:bookmarkEnd w:id="682"/>
      <w:bookmarkEnd w:id="683"/>
      <w:bookmarkEnd w:id="684"/>
      <w:bookmarkEnd w:id="685"/>
      <w:bookmarkEnd w:id="686"/>
      <w:bookmarkEnd w:id="687"/>
    </w:p>
    <w:p w14:paraId="3583E6C3" w14:textId="71A8086A" w:rsidR="00E23E00" w:rsidRPr="00A34F10" w:rsidRDefault="00DC5685" w:rsidP="00DC5685">
      <w:pPr>
        <w:pStyle w:val="RepStandard"/>
        <w:suppressAutoHyphens/>
      </w:pPr>
      <w:r w:rsidRPr="00A34F10">
        <w:t>No risk mitigation needed.</w:t>
      </w:r>
    </w:p>
    <w:p w14:paraId="36E38B9C" w14:textId="77777777" w:rsidR="00DC5685" w:rsidRPr="00A34F10" w:rsidRDefault="00DC5685" w:rsidP="00DC5685">
      <w:pPr>
        <w:pStyle w:val="Nagwek3"/>
        <w:rPr>
          <w:rFonts w:cs="Times New Roman"/>
        </w:rPr>
      </w:pPr>
      <w:bookmarkStart w:id="688" w:name="_Toc360726623"/>
      <w:bookmarkStart w:id="689" w:name="_Toc362541756"/>
      <w:bookmarkStart w:id="690" w:name="_Toc362542665"/>
      <w:bookmarkStart w:id="691" w:name="_Toc360726633"/>
      <w:bookmarkStart w:id="692" w:name="_Toc362541766"/>
      <w:bookmarkStart w:id="693" w:name="_Toc362542675"/>
      <w:bookmarkStart w:id="694" w:name="_Toc360726643"/>
      <w:bookmarkStart w:id="695" w:name="_Toc362541776"/>
      <w:bookmarkStart w:id="696" w:name="_Toc362542685"/>
      <w:bookmarkStart w:id="697" w:name="_Toc360726653"/>
      <w:bookmarkStart w:id="698" w:name="_Toc362541786"/>
      <w:bookmarkStart w:id="699" w:name="_Toc362542695"/>
      <w:bookmarkStart w:id="700" w:name="_Toc360726663"/>
      <w:bookmarkStart w:id="701" w:name="_Toc362541796"/>
      <w:bookmarkStart w:id="702" w:name="_Toc362542705"/>
      <w:bookmarkStart w:id="703" w:name="_Toc360726673"/>
      <w:bookmarkStart w:id="704" w:name="_Toc362541806"/>
      <w:bookmarkStart w:id="705" w:name="_Toc362542715"/>
      <w:bookmarkStart w:id="706" w:name="_Toc399353284"/>
      <w:bookmarkStart w:id="707" w:name="_Toc412644018"/>
      <w:bookmarkStart w:id="708" w:name="_Toc413916862"/>
      <w:bookmarkStart w:id="709" w:name="_Toc413917004"/>
      <w:bookmarkStart w:id="710" w:name="_Toc413922065"/>
      <w:bookmarkStart w:id="711" w:name="_Toc413922554"/>
      <w:bookmarkStart w:id="712" w:name="_Toc413922658"/>
      <w:bookmarkStart w:id="713" w:name="_Toc414955295"/>
      <w:bookmarkStart w:id="714" w:name="_Toc415214602"/>
      <w:bookmarkStart w:id="715" w:name="_Toc425512623"/>
      <w:bookmarkStart w:id="716" w:name="_Toc181624989"/>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r w:rsidRPr="00A34F10">
        <w:rPr>
          <w:rFonts w:cs="Times New Roman"/>
        </w:rPr>
        <w:t>Overall conclusions</w:t>
      </w:r>
      <w:bookmarkEnd w:id="706"/>
      <w:bookmarkEnd w:id="707"/>
      <w:bookmarkEnd w:id="708"/>
      <w:bookmarkEnd w:id="709"/>
      <w:bookmarkEnd w:id="710"/>
      <w:bookmarkEnd w:id="711"/>
      <w:bookmarkEnd w:id="712"/>
      <w:bookmarkEnd w:id="713"/>
      <w:bookmarkEnd w:id="714"/>
      <w:bookmarkEnd w:id="715"/>
      <w:bookmarkEnd w:id="716"/>
    </w:p>
    <w:p w14:paraId="20BA0475" w14:textId="584318E5" w:rsidR="00DC5685" w:rsidRDefault="00DC5685" w:rsidP="00E23E00">
      <w:pPr>
        <w:pStyle w:val="RepStandard"/>
      </w:pPr>
      <w:r w:rsidRPr="00A34F10">
        <w:t>Based on the results of the conducted first and higher tier risk assessment it can be concluded that a low risk for non-target arthropods is expected from the use of BAS 743 03 F</w:t>
      </w:r>
      <w:r w:rsidRPr="00A34F10">
        <w:rPr>
          <w:sz w:val="24"/>
          <w:szCs w:val="24"/>
          <w:lang w:val="en-GB"/>
        </w:rPr>
        <w:t xml:space="preserve"> </w:t>
      </w:r>
      <w:r w:rsidRPr="00A34F10">
        <w:t>according to the proposed use pattern. No unacceptable effects on non-target arthropods are expected in in-field and off-field habitats.</w:t>
      </w:r>
    </w:p>
    <w:p w14:paraId="5725BEA4" w14:textId="77777777" w:rsidR="0030458C" w:rsidRPr="00A34F10" w:rsidRDefault="0030458C" w:rsidP="00E23E00">
      <w:pPr>
        <w:pStyle w:val="RepStandard"/>
      </w:pPr>
    </w:p>
    <w:p w14:paraId="57C758C0" w14:textId="77777777" w:rsidR="00F1322D" w:rsidRDefault="00F1322D" w:rsidP="00F1322D">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F1322D" w:rsidRPr="00DD5DB0" w14:paraId="0C738C64" w14:textId="77777777" w:rsidTr="00F53FC3">
        <w:tc>
          <w:tcPr>
            <w:tcW w:w="5000" w:type="pct"/>
            <w:shd w:val="clear" w:color="auto" w:fill="D9D9D9"/>
          </w:tcPr>
          <w:p w14:paraId="15A498A4" w14:textId="77777777" w:rsidR="00F1322D" w:rsidRPr="00340A8D" w:rsidRDefault="00F1322D" w:rsidP="00F53FC3">
            <w:pPr>
              <w:pStyle w:val="TableText1"/>
              <w:spacing w:after="120" w:line="280" w:lineRule="exact"/>
              <w:jc w:val="left"/>
              <w:rPr>
                <w:b/>
                <w:bCs w:val="0"/>
                <w:sz w:val="22"/>
                <w:szCs w:val="22"/>
                <w:lang w:eastAsia="en-US"/>
              </w:rPr>
            </w:pPr>
            <w:r w:rsidRPr="00340A8D">
              <w:rPr>
                <w:b/>
                <w:sz w:val="22"/>
                <w:szCs w:val="22"/>
                <w:lang w:eastAsia="en-US"/>
              </w:rPr>
              <w:t>Review Comments:</w:t>
            </w:r>
          </w:p>
          <w:p w14:paraId="66808BB7" w14:textId="77777777" w:rsidR="00F1322D" w:rsidRPr="00340A8D" w:rsidRDefault="00F1322D" w:rsidP="00F53FC3">
            <w:pPr>
              <w:spacing w:after="120"/>
            </w:pPr>
            <w:r w:rsidRPr="00340A8D">
              <w:t xml:space="preserve">The submitted risk assessment for  applications in field crops has been accepted. </w:t>
            </w:r>
          </w:p>
          <w:p w14:paraId="6C7CD7E6" w14:textId="77777777" w:rsidR="00F1322D" w:rsidRPr="00A304EE" w:rsidRDefault="00F1322D" w:rsidP="00F53FC3">
            <w:pPr>
              <w:pStyle w:val="Default"/>
              <w:spacing w:after="120" w:line="280" w:lineRule="exact"/>
              <w:jc w:val="both"/>
              <w:rPr>
                <w:rFonts w:ascii="Times New Roman" w:hAnsi="Times New Roman" w:cs="Times New Roman"/>
                <w:sz w:val="22"/>
                <w:szCs w:val="22"/>
              </w:rPr>
            </w:pPr>
            <w:r w:rsidRPr="00340A8D">
              <w:rPr>
                <w:rFonts w:ascii="Times New Roman" w:hAnsi="Times New Roman" w:cs="Times New Roman"/>
                <w:sz w:val="22"/>
                <w:szCs w:val="22"/>
              </w:rPr>
              <w:t>Based on the results of the conducted risk assessment it can be concluded that no in-field and off-field risk for non-target arthropods is expected from use of BAS 743 03 F. No mitigation measures are required.</w:t>
            </w:r>
            <w:r>
              <w:rPr>
                <w:rFonts w:ascii="Times New Roman" w:hAnsi="Times New Roman" w:cs="Times New Roman"/>
                <w:sz w:val="22"/>
                <w:szCs w:val="22"/>
              </w:rPr>
              <w:t xml:space="preserve"> </w:t>
            </w:r>
          </w:p>
        </w:tc>
      </w:tr>
    </w:tbl>
    <w:p w14:paraId="75D06BE0" w14:textId="77777777" w:rsidR="00F1322D" w:rsidRDefault="00F1322D" w:rsidP="002E7F42">
      <w:pPr>
        <w:pStyle w:val="StyleOECD-BASIS-TEXTLeft"/>
        <w:rPr>
          <w:sz w:val="22"/>
          <w:lang w:val="en-US"/>
        </w:rPr>
      </w:pPr>
    </w:p>
    <w:p w14:paraId="2639A4BD" w14:textId="77777777" w:rsidR="00A23AE9" w:rsidRDefault="00A23AE9" w:rsidP="002E7F42">
      <w:pPr>
        <w:pStyle w:val="StyleOECD-BASIS-TEXTLeft"/>
        <w:rPr>
          <w:sz w:val="22"/>
          <w:lang w:val="en-US"/>
        </w:rPr>
      </w:pPr>
    </w:p>
    <w:p w14:paraId="6D725AEE" w14:textId="77777777" w:rsidR="00A23AE9" w:rsidRPr="00A34F10" w:rsidRDefault="00A23AE9" w:rsidP="002E7F42">
      <w:pPr>
        <w:pStyle w:val="StyleOECD-BASIS-TEXTLeft"/>
        <w:rPr>
          <w:sz w:val="22"/>
          <w:lang w:val="en-US"/>
        </w:rPr>
        <w:sectPr w:rsidR="00A23AE9" w:rsidRPr="00A34F10" w:rsidSect="00DA6F06">
          <w:pgSz w:w="11907" w:h="16840" w:code="9"/>
          <w:pgMar w:top="1418" w:right="1134" w:bottom="1418" w:left="1418" w:header="709" w:footer="709" w:gutter="0"/>
          <w:cols w:space="720"/>
        </w:sectPr>
      </w:pPr>
    </w:p>
    <w:p w14:paraId="30608493" w14:textId="77777777" w:rsidR="00DC5685" w:rsidRPr="00A34F10" w:rsidRDefault="00DC5685" w:rsidP="0075532B">
      <w:pPr>
        <w:pStyle w:val="Nagwek2"/>
      </w:pPr>
      <w:bookmarkStart w:id="717" w:name="_Toc399487285"/>
      <w:bookmarkStart w:id="718" w:name="_Ref405399802"/>
      <w:bookmarkStart w:id="719" w:name="_Toc412644019"/>
      <w:bookmarkStart w:id="720" w:name="_Toc413916863"/>
      <w:bookmarkStart w:id="721" w:name="_Toc413917005"/>
      <w:bookmarkStart w:id="722" w:name="_Toc413922066"/>
      <w:bookmarkStart w:id="723" w:name="_Toc413922555"/>
      <w:bookmarkStart w:id="724" w:name="_Toc413922659"/>
      <w:bookmarkStart w:id="725" w:name="_Toc414955296"/>
      <w:bookmarkStart w:id="726" w:name="_Ref414978868"/>
      <w:bookmarkStart w:id="727" w:name="_Toc415214603"/>
      <w:bookmarkStart w:id="728" w:name="_Toc181624990"/>
      <w:r w:rsidRPr="00A34F10">
        <w:lastRenderedPageBreak/>
        <w:t>Effects on non-target soil meso- and macrofauna (KCP 10.4)</w:t>
      </w:r>
      <w:bookmarkEnd w:id="717"/>
      <w:bookmarkEnd w:id="718"/>
      <w:bookmarkEnd w:id="719"/>
      <w:bookmarkEnd w:id="720"/>
      <w:bookmarkEnd w:id="721"/>
      <w:bookmarkEnd w:id="722"/>
      <w:bookmarkEnd w:id="723"/>
      <w:bookmarkEnd w:id="724"/>
      <w:bookmarkEnd w:id="725"/>
      <w:bookmarkEnd w:id="726"/>
      <w:bookmarkEnd w:id="727"/>
      <w:bookmarkEnd w:id="728"/>
    </w:p>
    <w:p w14:paraId="01CABD1E" w14:textId="77777777" w:rsidR="00DC5685" w:rsidRPr="00A34F10" w:rsidRDefault="00DC5685" w:rsidP="0075532B">
      <w:pPr>
        <w:pStyle w:val="Nagwek3"/>
        <w:rPr>
          <w:rFonts w:cs="Times New Roman"/>
        </w:rPr>
      </w:pPr>
      <w:bookmarkStart w:id="729" w:name="_Toc412644020"/>
      <w:bookmarkStart w:id="730" w:name="_Toc413916864"/>
      <w:bookmarkStart w:id="731" w:name="_Toc413917006"/>
      <w:bookmarkStart w:id="732" w:name="_Toc413922067"/>
      <w:bookmarkStart w:id="733" w:name="_Toc413922556"/>
      <w:bookmarkStart w:id="734" w:name="_Toc413922660"/>
      <w:bookmarkStart w:id="735" w:name="_Toc414955297"/>
      <w:bookmarkStart w:id="736" w:name="_Toc415214604"/>
      <w:bookmarkStart w:id="737" w:name="_Toc181624991"/>
      <w:r w:rsidRPr="00A34F10">
        <w:rPr>
          <w:rFonts w:cs="Times New Roman"/>
        </w:rPr>
        <w:t>Toxicity data</w:t>
      </w:r>
      <w:bookmarkEnd w:id="729"/>
      <w:bookmarkEnd w:id="730"/>
      <w:bookmarkEnd w:id="731"/>
      <w:bookmarkEnd w:id="732"/>
      <w:bookmarkEnd w:id="733"/>
      <w:bookmarkEnd w:id="734"/>
      <w:bookmarkEnd w:id="735"/>
      <w:bookmarkEnd w:id="736"/>
      <w:bookmarkEnd w:id="737"/>
    </w:p>
    <w:p w14:paraId="18358FC4" w14:textId="4D0A1F99" w:rsidR="00DC5685" w:rsidRPr="00A34F10" w:rsidRDefault="00DC5685" w:rsidP="00DC5685">
      <w:pPr>
        <w:widowControl w:val="0"/>
        <w:suppressAutoHyphens/>
        <w:jc w:val="both"/>
      </w:pPr>
      <w:bookmarkStart w:id="738" w:name="_Toc412644021"/>
      <w:bookmarkStart w:id="739" w:name="_Toc413916865"/>
      <w:bookmarkStart w:id="740" w:name="_Toc413917007"/>
      <w:bookmarkStart w:id="741" w:name="_Toc413922068"/>
      <w:bookmarkStart w:id="742" w:name="_Toc413922557"/>
      <w:bookmarkStart w:id="743" w:name="_Toc413922661"/>
      <w:bookmarkStart w:id="744" w:name="_Toc414955298"/>
      <w:bookmarkStart w:id="745" w:name="_Toc415214605"/>
      <w:bookmarkStart w:id="746" w:name="_Toc425512626"/>
      <w:r w:rsidRPr="00A34F10">
        <w:t xml:space="preserve">Studies on the toxicity to earthworms and other non-target soil organisms (meso- and macrofauna) with Ametoctradin (tested with the solo-formulation BAS 650 00 F containing 200 g Ametoctradin/L, nominal) are available and have been previously submitted in support of the solo-formulation </w:t>
      </w:r>
      <w:r w:rsidRPr="00A34F10">
        <w:br/>
        <w:t>BAS 650 00 F. For details on these studies please refer to</w:t>
      </w:r>
      <w:r w:rsidR="00505ED3" w:rsidRPr="00505ED3">
        <w:t xml:space="preserve"> Appendix 2 and </w:t>
      </w:r>
      <w:r w:rsidRPr="00A34F10">
        <w:t xml:space="preserve">the Registration Report for BAS 650 00 F (Registration Report BAS 650 00 F, Part B Section 9, Core Assessment Central Zone prepared by the Netherlands, September 2018). </w:t>
      </w:r>
      <w:bookmarkStart w:id="747" w:name="_Hlk39491016"/>
      <w:r w:rsidRPr="00A34F10">
        <w:t>Studies on the chronic toxicity to earthworms and other non-target soil organisms (meso- and macrofauna) have been carried out with r</w:t>
      </w:r>
      <w:bookmarkEnd w:id="747"/>
      <w:r w:rsidRPr="00A34F10">
        <w:t>elevant Ametoctradin soil metabolites M650F03 and M650F04. Full details of these studies are provided in the respective EU DARs and related documents.</w:t>
      </w:r>
    </w:p>
    <w:p w14:paraId="59D90B86" w14:textId="77777777" w:rsidR="00DC5685" w:rsidRPr="00A34F10" w:rsidRDefault="00DC5685" w:rsidP="00DC5685">
      <w:pPr>
        <w:widowControl w:val="0"/>
        <w:suppressAutoHyphens/>
        <w:jc w:val="both"/>
      </w:pPr>
    </w:p>
    <w:p w14:paraId="769BEBCB" w14:textId="7482C079" w:rsidR="00DC5685" w:rsidRPr="00A34F10" w:rsidRDefault="00D10BD5" w:rsidP="00DC5685">
      <w:pPr>
        <w:jc w:val="both"/>
        <w:rPr>
          <w:lang w:val="en-GB"/>
        </w:rPr>
      </w:pPr>
      <w:r w:rsidRPr="00D10BD5">
        <w:rPr>
          <w:lang w:val="en-GB"/>
        </w:rPr>
        <w:t>No chronic studies on the toxicity of Propamocarb-HCl to earthworms and other non-target soil organisms (meso- and macrofauna) were carried out during the EU peer review of the active substance. For the first Annex I approval of Propamocarb a study on the long-term toxicity to earthworms was conducted with the representative product Propamocarb-HCl SL722 (analysed content of Propamocarb: 727 g/L) and it was accepted at EU level that effects of the active substance on non-target organisms could be adequately assessed on the basis of the available data on the representative product</w:t>
      </w:r>
      <w:r w:rsidRPr="00D10BD5">
        <w:rPr>
          <w:lang w:val="en-GB" w:eastAsia="de-DE"/>
        </w:rPr>
        <w:t xml:space="preserve"> (</w:t>
      </w:r>
      <w:r w:rsidRPr="00D10BD5">
        <w:rPr>
          <w:lang w:val="en-GB"/>
        </w:rPr>
        <w:t>EFSA Scientific Report (2006) 78, 1-8). Studies on the toxicity to other non-target soil organisms (meso- and macrofauna) with Propamocarb-HCl are available and have been previously submitted to support the renewal of Propamocarb-HCl (RAR Propamocarb, Vol. 3 – CP B9, June 2017).</w:t>
      </w:r>
    </w:p>
    <w:p w14:paraId="56B1BBF6" w14:textId="77777777" w:rsidR="00DC5685" w:rsidRPr="00A34F10" w:rsidRDefault="00DC5685" w:rsidP="00DC5685">
      <w:pPr>
        <w:widowControl w:val="0"/>
        <w:suppressAutoHyphens/>
        <w:jc w:val="both"/>
      </w:pPr>
    </w:p>
    <w:p w14:paraId="7B84B7E3" w14:textId="4E2D736F" w:rsidR="00DC5685" w:rsidRPr="00A34F10" w:rsidRDefault="00DC5685" w:rsidP="00DC5685">
      <w:pPr>
        <w:widowControl w:val="0"/>
        <w:suppressAutoHyphens/>
        <w:jc w:val="both"/>
      </w:pPr>
      <w:r w:rsidRPr="00A34F10">
        <w:t xml:space="preserve">An overview of the toxicity endpoints for both active substances and their relevant soil metabolites are presented below (see </w:t>
      </w:r>
      <w:r w:rsidR="0075532B" w:rsidRPr="00A34F10">
        <w:t>Table</w:t>
      </w:r>
      <w:r w:rsidR="001D51C3">
        <w:t>s</w:t>
      </w:r>
      <w:r w:rsidR="0075532B" w:rsidRPr="00A34F10">
        <w:t xml:space="preserve"> </w:t>
      </w:r>
      <w:r w:rsidR="0075532B" w:rsidRPr="00A34F10">
        <w:rPr>
          <w:noProof/>
        </w:rPr>
        <w:t>9.8</w:t>
      </w:r>
      <w:r w:rsidR="0075532B" w:rsidRPr="00A34F10">
        <w:noBreakHyphen/>
      </w:r>
      <w:r w:rsidR="0075532B" w:rsidRPr="00A34F10">
        <w:rPr>
          <w:noProof/>
        </w:rPr>
        <w:t>1</w:t>
      </w:r>
      <w:r w:rsidRPr="00A34F10">
        <w:t xml:space="preserve"> and 9.8-2).</w:t>
      </w:r>
    </w:p>
    <w:p w14:paraId="2D8F7268" w14:textId="77777777" w:rsidR="00DC5685" w:rsidRPr="00A34F10" w:rsidRDefault="00DC5685" w:rsidP="00DC5685">
      <w:pPr>
        <w:widowControl w:val="0"/>
        <w:suppressAutoHyphens/>
        <w:jc w:val="both"/>
      </w:pPr>
    </w:p>
    <w:p w14:paraId="7324CBD5" w14:textId="5A2439C6" w:rsidR="00DC5685" w:rsidRPr="00A34F10" w:rsidRDefault="00DC5685" w:rsidP="00DC5685">
      <w:pPr>
        <w:widowControl w:val="0"/>
        <w:suppressAutoHyphens/>
        <w:jc w:val="both"/>
      </w:pPr>
      <w:r w:rsidRPr="00A34F10">
        <w:t>Effects on earthworms and other non-target soil organisms (meso- and macrofauna) of the new formulation BAS 743 03 F were not evaluated as part of the EU assessment of Ametoctradin or Propamocarb. New data are listed in Table 9.8-3 and Appendix 1 and are summarized in Appendix 2. Chronic toxicity testing of BAS 743 03 F has been performed with the similar formulation BAS 743 02 F (containing 137.1 g/L Ametoctradin and 515.4 g/L Propamocarb-HCl) on earthworms (</w:t>
      </w:r>
      <w:r w:rsidRPr="00A34F10">
        <w:rPr>
          <w:i/>
          <w:iCs/>
        </w:rPr>
        <w:t>Eisenia fetida</w:t>
      </w:r>
      <w:r w:rsidRPr="00A34F10">
        <w:t xml:space="preserve">, </w:t>
      </w:r>
      <w:r w:rsidR="00482794">
        <w:t>XXXX</w:t>
      </w:r>
      <w:r w:rsidRPr="00A34F10">
        <w:t xml:space="preserve"> Doc ID 2022/2033719) and other non-target soil marco-organisms (</w:t>
      </w:r>
      <w:r w:rsidRPr="00A34F10">
        <w:rPr>
          <w:i/>
        </w:rPr>
        <w:t>Folsomia candida,</w:t>
      </w:r>
      <w:r w:rsidRPr="00A34F10">
        <w:t xml:space="preserve"> </w:t>
      </w:r>
      <w:r w:rsidR="00482794">
        <w:t>XXXX</w:t>
      </w:r>
      <w:r w:rsidRPr="00A34F10">
        <w:t xml:space="preserve"> Doc ID 2022/2033720 and </w:t>
      </w:r>
      <w:r w:rsidRPr="00A34F10">
        <w:rPr>
          <w:i/>
        </w:rPr>
        <w:t>Hypoaspis aculeifer</w:t>
      </w:r>
      <w:r w:rsidRPr="00A34F10">
        <w:t xml:space="preserve">, </w:t>
      </w:r>
      <w:r w:rsidR="00482794">
        <w:t>XXXX</w:t>
      </w:r>
      <w:r w:rsidRPr="00A34F10">
        <w:t xml:space="preserve"> Doc ID 2022/2033721). Since differences in co-formulants and/or their concentration between both formulations are considered minimal, it is assumed that bridging from BAS 743 02 F to BAS 743 03 F is acceptable. For details on the formulation compositions please refer to Part C of this submission. In addition, a chronic study on earthworms (</w:t>
      </w:r>
      <w:r w:rsidRPr="00A34F10">
        <w:rPr>
          <w:i/>
          <w:iCs/>
        </w:rPr>
        <w:t>Eisenia fetida</w:t>
      </w:r>
      <w:r w:rsidRPr="00A34F10">
        <w:t xml:space="preserve">, </w:t>
      </w:r>
      <w:r w:rsidR="00482794">
        <w:t>XXXX</w:t>
      </w:r>
      <w:r w:rsidRPr="00A34F10">
        <w:t xml:space="preserve"> Doc ID 2022/2033731) has been conducted with BAS 743 03 F indicating no increased toxicity of BAS 743 03 F compared to BAS 743 02 F based on the content of active substance.</w:t>
      </w:r>
    </w:p>
    <w:p w14:paraId="65AC923A" w14:textId="04A25FD6" w:rsidR="00DC5685" w:rsidRPr="00A34F10" w:rsidRDefault="0075532B" w:rsidP="00DC5685">
      <w:pPr>
        <w:widowControl w:val="0"/>
        <w:suppressAutoHyphens/>
        <w:jc w:val="both"/>
      </w:pPr>
      <w:r w:rsidRPr="00A34F10">
        <w:br w:type="page"/>
      </w:r>
    </w:p>
    <w:p w14:paraId="2872B1FC" w14:textId="02A0A989" w:rsidR="00DC5685" w:rsidRPr="00A34F10" w:rsidRDefault="0075532B" w:rsidP="00BB63B3">
      <w:pPr>
        <w:pStyle w:val="Legenda"/>
      </w:pPr>
      <w:bookmarkStart w:id="748" w:name="_Ref139350593"/>
      <w:r w:rsidRPr="00A34F10">
        <w:lastRenderedPageBreak/>
        <w:t xml:space="preserve">Table </w:t>
      </w:r>
      <w:r w:rsidR="007E7467">
        <w:fldChar w:fldCharType="begin"/>
      </w:r>
      <w:r w:rsidR="007E7467">
        <w:instrText xml:space="preserve"> STYLEREF 2 \s </w:instrText>
      </w:r>
      <w:r w:rsidR="007E7467">
        <w:fldChar w:fldCharType="separate"/>
      </w:r>
      <w:r w:rsidR="006F0F3B">
        <w:rPr>
          <w:noProof/>
        </w:rPr>
        <w:t>9.8</w:t>
      </w:r>
      <w:r w:rsidR="007E7467">
        <w:fldChar w:fldCharType="end"/>
      </w:r>
      <w:r w:rsidR="007E7467">
        <w:noBreakHyphen/>
      </w:r>
      <w:r w:rsidR="007E7467">
        <w:fldChar w:fldCharType="begin"/>
      </w:r>
      <w:r w:rsidR="007E7467">
        <w:instrText xml:space="preserve"> SEQ Table \* ARABIC \s 2 </w:instrText>
      </w:r>
      <w:r w:rsidR="007E7467">
        <w:fldChar w:fldCharType="separate"/>
      </w:r>
      <w:r w:rsidR="006F0F3B">
        <w:rPr>
          <w:noProof/>
        </w:rPr>
        <w:t>1</w:t>
      </w:r>
      <w:r w:rsidR="007E7467">
        <w:fldChar w:fldCharType="end"/>
      </w:r>
      <w:bookmarkEnd w:id="748"/>
      <w:r w:rsidR="00DC5685" w:rsidRPr="00A34F10">
        <w:tab/>
        <w:t>Ametoctradin: Endpoints and effect values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2043"/>
        <w:gridCol w:w="1695"/>
      </w:tblGrid>
      <w:tr w:rsidR="00DC5685" w:rsidRPr="00A34F10" w14:paraId="4C811EEE" w14:textId="77777777" w:rsidTr="000470C3">
        <w:trPr>
          <w:tblHeader/>
        </w:trPr>
        <w:tc>
          <w:tcPr>
            <w:tcW w:w="1000" w:type="pct"/>
            <w:shd w:val="clear" w:color="auto" w:fill="auto"/>
            <w:vAlign w:val="center"/>
          </w:tcPr>
          <w:p w14:paraId="5322CE23"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Species</w:t>
            </w:r>
          </w:p>
        </w:tc>
        <w:tc>
          <w:tcPr>
            <w:tcW w:w="1000" w:type="pct"/>
            <w:shd w:val="clear" w:color="auto" w:fill="auto"/>
            <w:vAlign w:val="center"/>
          </w:tcPr>
          <w:p w14:paraId="794AFA64"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Substance</w:t>
            </w:r>
          </w:p>
        </w:tc>
        <w:tc>
          <w:tcPr>
            <w:tcW w:w="1000" w:type="pct"/>
            <w:shd w:val="clear" w:color="auto" w:fill="auto"/>
            <w:vAlign w:val="center"/>
          </w:tcPr>
          <w:p w14:paraId="4C74BAD3"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Exposure System</w:t>
            </w:r>
          </w:p>
        </w:tc>
        <w:tc>
          <w:tcPr>
            <w:tcW w:w="1093" w:type="pct"/>
            <w:shd w:val="clear" w:color="auto" w:fill="auto"/>
            <w:vAlign w:val="center"/>
          </w:tcPr>
          <w:p w14:paraId="35300B17"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Results</w:t>
            </w:r>
          </w:p>
        </w:tc>
        <w:tc>
          <w:tcPr>
            <w:tcW w:w="907" w:type="pct"/>
            <w:shd w:val="clear" w:color="auto" w:fill="auto"/>
            <w:vAlign w:val="center"/>
          </w:tcPr>
          <w:p w14:paraId="0F26546A"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Reference</w:t>
            </w:r>
          </w:p>
        </w:tc>
      </w:tr>
      <w:tr w:rsidR="00DC5685" w:rsidRPr="00A34F10" w14:paraId="748C4C84" w14:textId="77777777" w:rsidTr="000470C3">
        <w:tc>
          <w:tcPr>
            <w:tcW w:w="5000" w:type="pct"/>
            <w:gridSpan w:val="5"/>
            <w:shd w:val="clear" w:color="auto" w:fill="auto"/>
            <w:vAlign w:val="center"/>
          </w:tcPr>
          <w:p w14:paraId="108C61B0" w14:textId="77777777" w:rsidR="00DC5685" w:rsidRPr="00A34F10" w:rsidRDefault="00DC5685" w:rsidP="00DC5685">
            <w:pPr>
              <w:widowControl w:val="0"/>
              <w:suppressAutoHyphens/>
              <w:rPr>
                <w:b/>
                <w:bCs/>
                <w:iCs/>
                <w:sz w:val="20"/>
              </w:rPr>
            </w:pPr>
            <w:r w:rsidRPr="00A34F10">
              <w:rPr>
                <w:b/>
                <w:bCs/>
                <w:sz w:val="20"/>
              </w:rPr>
              <w:t>Earthworms</w:t>
            </w:r>
          </w:p>
        </w:tc>
      </w:tr>
      <w:tr w:rsidR="00DC5685" w:rsidRPr="00A34F10" w14:paraId="36E0E1EA" w14:textId="77777777" w:rsidTr="000470C3">
        <w:tc>
          <w:tcPr>
            <w:tcW w:w="1000" w:type="pct"/>
            <w:shd w:val="clear" w:color="auto" w:fill="auto"/>
            <w:vAlign w:val="center"/>
          </w:tcPr>
          <w:p w14:paraId="45604AE8" w14:textId="77777777" w:rsidR="00DC5685" w:rsidRPr="00A34F10" w:rsidRDefault="00DC5685" w:rsidP="00DC5685">
            <w:pPr>
              <w:widowControl w:val="0"/>
              <w:suppressAutoHyphens/>
              <w:rPr>
                <w:i/>
                <w:sz w:val="20"/>
              </w:rPr>
            </w:pPr>
            <w:r w:rsidRPr="00A34F10">
              <w:rPr>
                <w:i/>
                <w:sz w:val="20"/>
              </w:rPr>
              <w:t>Eisenia fetida</w:t>
            </w:r>
          </w:p>
        </w:tc>
        <w:tc>
          <w:tcPr>
            <w:tcW w:w="1000" w:type="pct"/>
            <w:shd w:val="clear" w:color="auto" w:fill="auto"/>
            <w:vAlign w:val="center"/>
          </w:tcPr>
          <w:p w14:paraId="1A266FF0" w14:textId="77777777" w:rsidR="00DC5685" w:rsidRPr="00A34F10" w:rsidRDefault="00DC5685" w:rsidP="00DC5685">
            <w:pPr>
              <w:widowControl w:val="0"/>
              <w:suppressAutoHyphens/>
              <w:rPr>
                <w:sz w:val="20"/>
              </w:rPr>
            </w:pPr>
            <w:r w:rsidRPr="00A34F10">
              <w:rPr>
                <w:sz w:val="20"/>
              </w:rPr>
              <w:t>Ametoctradin (tested as BAS 650 00 F)</w:t>
            </w:r>
          </w:p>
        </w:tc>
        <w:tc>
          <w:tcPr>
            <w:tcW w:w="1000" w:type="pct"/>
            <w:shd w:val="clear" w:color="auto" w:fill="auto"/>
            <w:vAlign w:val="center"/>
          </w:tcPr>
          <w:p w14:paraId="4FA112DE" w14:textId="77777777" w:rsidR="00DC5685" w:rsidRPr="00A34F10" w:rsidRDefault="00DC5685" w:rsidP="00DC5685">
            <w:pPr>
              <w:widowControl w:val="0"/>
              <w:suppressAutoHyphens/>
              <w:rPr>
                <w:sz w:val="20"/>
              </w:rPr>
            </w:pPr>
            <w:r w:rsidRPr="00A34F10">
              <w:rPr>
                <w:sz w:val="20"/>
              </w:rPr>
              <w:t>Mixed into substrate 56 d, chronic</w:t>
            </w:r>
            <w:r w:rsidRPr="00A34F10">
              <w:rPr>
                <w:sz w:val="20"/>
              </w:rPr>
              <w:br/>
              <w:t>5% peat content</w:t>
            </w:r>
          </w:p>
        </w:tc>
        <w:tc>
          <w:tcPr>
            <w:tcW w:w="1093" w:type="pct"/>
            <w:shd w:val="clear" w:color="auto" w:fill="auto"/>
            <w:vAlign w:val="center"/>
          </w:tcPr>
          <w:p w14:paraId="715DAFD4" w14:textId="77777777" w:rsidR="00DC5685" w:rsidRPr="00A34F10" w:rsidRDefault="00DC5685" w:rsidP="00DC5685">
            <w:pPr>
              <w:widowControl w:val="0"/>
              <w:suppressAutoHyphens/>
              <w:rPr>
                <w:sz w:val="20"/>
              </w:rPr>
            </w:pPr>
            <w:r w:rsidRPr="00A34F10">
              <w:rPr>
                <w:sz w:val="20"/>
              </w:rPr>
              <w:t>NOEC ≥ 20.5 mg a.s./kg dry soil</w:t>
            </w:r>
          </w:p>
          <w:p w14:paraId="322F4869" w14:textId="77777777" w:rsidR="00DC5685" w:rsidRPr="00A34F10" w:rsidRDefault="00DC5685" w:rsidP="00DC5685">
            <w:pPr>
              <w:widowControl w:val="0"/>
              <w:suppressAutoHyphens/>
              <w:rPr>
                <w:b/>
                <w:bCs/>
                <w:sz w:val="20"/>
              </w:rPr>
            </w:pPr>
            <w:r w:rsidRPr="00A34F10">
              <w:rPr>
                <w:b/>
                <w:bCs/>
                <w:sz w:val="20"/>
              </w:rPr>
              <w:t>NOEC</w:t>
            </w:r>
            <w:r w:rsidRPr="00A34F10">
              <w:rPr>
                <w:b/>
                <w:bCs/>
                <w:sz w:val="20"/>
                <w:vertAlign w:val="subscript"/>
              </w:rPr>
              <w:t xml:space="preserve">CORR </w:t>
            </w:r>
            <w:r w:rsidRPr="00A34F10">
              <w:rPr>
                <w:b/>
                <w:bCs/>
                <w:sz w:val="20"/>
              </w:rPr>
              <w:t>≥ 10.25 mg a.s./kg dry soil</w:t>
            </w:r>
          </w:p>
        </w:tc>
        <w:tc>
          <w:tcPr>
            <w:tcW w:w="907" w:type="pct"/>
            <w:shd w:val="clear" w:color="auto" w:fill="auto"/>
            <w:vAlign w:val="center"/>
          </w:tcPr>
          <w:p w14:paraId="33B14D63" w14:textId="77777777" w:rsidR="00DC5685" w:rsidRDefault="00DC5685" w:rsidP="00DC5685">
            <w:pPr>
              <w:widowControl w:val="0"/>
              <w:suppressAutoHyphens/>
              <w:rPr>
                <w:bCs/>
                <w:iCs/>
                <w:sz w:val="20"/>
                <w:szCs w:val="20"/>
              </w:rPr>
            </w:pPr>
            <w:r w:rsidRPr="00A34F10">
              <w:rPr>
                <w:bCs/>
                <w:iCs/>
                <w:sz w:val="20"/>
                <w:szCs w:val="20"/>
              </w:rPr>
              <w:t>new study</w:t>
            </w:r>
            <w:r w:rsidRPr="00A34F10">
              <w:rPr>
                <w:bCs/>
                <w:iCs/>
                <w:sz w:val="20"/>
                <w:szCs w:val="20"/>
              </w:rPr>
              <w:br/>
              <w:t>2007/1037733</w:t>
            </w:r>
          </w:p>
          <w:p w14:paraId="5AF9A94D" w14:textId="33F29C5E" w:rsidR="00B534D6" w:rsidRPr="00A34F10" w:rsidRDefault="00B534D6" w:rsidP="00DC5685">
            <w:pPr>
              <w:widowControl w:val="0"/>
              <w:suppressAutoHyphens/>
              <w:rPr>
                <w:bCs/>
                <w:iCs/>
                <w:sz w:val="20"/>
              </w:rPr>
            </w:pPr>
            <w:r w:rsidRPr="004D4861">
              <w:rPr>
                <w:bCs/>
                <w:iCs/>
                <w:sz w:val="20"/>
                <w:szCs w:val="20"/>
                <w:shd w:val="clear" w:color="auto" w:fill="D9D9D9" w:themeFill="background1" w:themeFillShade="D9"/>
              </w:rPr>
              <w:t>Not evaluated</w:t>
            </w:r>
          </w:p>
        </w:tc>
      </w:tr>
      <w:tr w:rsidR="00DC5685" w:rsidRPr="00A34F10" w14:paraId="4F27184D" w14:textId="77777777" w:rsidTr="000470C3">
        <w:tc>
          <w:tcPr>
            <w:tcW w:w="1000" w:type="pct"/>
            <w:shd w:val="clear" w:color="auto" w:fill="auto"/>
            <w:vAlign w:val="center"/>
          </w:tcPr>
          <w:p w14:paraId="6C4799E8" w14:textId="77777777" w:rsidR="00DC5685" w:rsidRPr="00A34F10" w:rsidRDefault="00DC5685" w:rsidP="00DC5685">
            <w:pPr>
              <w:widowControl w:val="0"/>
              <w:suppressAutoHyphens/>
              <w:rPr>
                <w:sz w:val="20"/>
              </w:rPr>
            </w:pPr>
            <w:r w:rsidRPr="00A34F10">
              <w:rPr>
                <w:i/>
                <w:sz w:val="20"/>
              </w:rPr>
              <w:t>Eisenia fetida</w:t>
            </w:r>
          </w:p>
        </w:tc>
        <w:tc>
          <w:tcPr>
            <w:tcW w:w="1000" w:type="pct"/>
            <w:shd w:val="clear" w:color="auto" w:fill="auto"/>
            <w:vAlign w:val="center"/>
          </w:tcPr>
          <w:p w14:paraId="11E85990" w14:textId="77777777" w:rsidR="00DC5685" w:rsidRPr="00A34F10" w:rsidRDefault="00DC5685" w:rsidP="00DC5685">
            <w:pPr>
              <w:widowControl w:val="0"/>
              <w:suppressAutoHyphens/>
              <w:rPr>
                <w:sz w:val="20"/>
              </w:rPr>
            </w:pPr>
            <w:r w:rsidRPr="00A34F10">
              <w:rPr>
                <w:sz w:val="20"/>
              </w:rPr>
              <w:t>M650F03</w:t>
            </w:r>
          </w:p>
        </w:tc>
        <w:tc>
          <w:tcPr>
            <w:tcW w:w="1000" w:type="pct"/>
            <w:shd w:val="clear" w:color="auto" w:fill="auto"/>
            <w:vAlign w:val="center"/>
          </w:tcPr>
          <w:p w14:paraId="19C09B98" w14:textId="77777777" w:rsidR="00DC5685" w:rsidRPr="00A34F10" w:rsidRDefault="00DC5685" w:rsidP="00DC5685">
            <w:pPr>
              <w:widowControl w:val="0"/>
              <w:suppressAutoHyphens/>
              <w:rPr>
                <w:sz w:val="20"/>
                <w:highlight w:val="yellow"/>
              </w:rPr>
            </w:pPr>
            <w:r w:rsidRPr="00A34F10">
              <w:rPr>
                <w:sz w:val="20"/>
              </w:rPr>
              <w:t>Mixed into substrate 56 d, chronic</w:t>
            </w:r>
            <w:r w:rsidRPr="00A34F10">
              <w:rPr>
                <w:sz w:val="20"/>
              </w:rPr>
              <w:br/>
              <w:t>10% peat content</w:t>
            </w:r>
          </w:p>
        </w:tc>
        <w:tc>
          <w:tcPr>
            <w:tcW w:w="1093" w:type="pct"/>
            <w:shd w:val="clear" w:color="auto" w:fill="auto"/>
            <w:vAlign w:val="center"/>
          </w:tcPr>
          <w:p w14:paraId="0D1DC521" w14:textId="77777777" w:rsidR="00DC5685" w:rsidRPr="00A34F10" w:rsidRDefault="00DC5685" w:rsidP="00DC5685">
            <w:pPr>
              <w:widowControl w:val="0"/>
              <w:suppressAutoHyphens/>
              <w:rPr>
                <w:b/>
                <w:bCs/>
                <w:sz w:val="20"/>
              </w:rPr>
            </w:pPr>
            <w:r w:rsidRPr="00A34F10">
              <w:rPr>
                <w:b/>
                <w:bCs/>
                <w:sz w:val="20"/>
              </w:rPr>
              <w:t xml:space="preserve">NOEC ≥ 83.5 mg/kg dry soil </w:t>
            </w:r>
          </w:p>
        </w:tc>
        <w:tc>
          <w:tcPr>
            <w:tcW w:w="907" w:type="pct"/>
            <w:shd w:val="clear" w:color="auto" w:fill="auto"/>
            <w:vAlign w:val="center"/>
          </w:tcPr>
          <w:p w14:paraId="4A202B39" w14:textId="77777777" w:rsidR="00DC5685" w:rsidRPr="00A34F10" w:rsidRDefault="00DC5685" w:rsidP="00DC5685">
            <w:pPr>
              <w:widowControl w:val="0"/>
              <w:suppressAutoHyphens/>
              <w:rPr>
                <w:sz w:val="20"/>
                <w:highlight w:val="yellow"/>
              </w:rPr>
            </w:pPr>
            <w:r w:rsidRPr="00A34F10">
              <w:rPr>
                <w:bCs/>
                <w:iCs/>
                <w:sz w:val="20"/>
              </w:rPr>
              <w:t>EFSA Journal 2012; 10(11):2921</w:t>
            </w:r>
            <w:r w:rsidRPr="00A34F10">
              <w:rPr>
                <w:bCs/>
                <w:iCs/>
                <w:sz w:val="20"/>
              </w:rPr>
              <w:br/>
            </w:r>
            <w:r w:rsidRPr="00A34F10">
              <w:rPr>
                <w:sz w:val="20"/>
              </w:rPr>
              <w:t>2008/1010610</w:t>
            </w:r>
          </w:p>
        </w:tc>
      </w:tr>
      <w:tr w:rsidR="00DC5685" w:rsidRPr="00A34F10" w14:paraId="1CFA7598" w14:textId="77777777" w:rsidTr="000470C3">
        <w:tc>
          <w:tcPr>
            <w:tcW w:w="1000" w:type="pct"/>
            <w:shd w:val="clear" w:color="auto" w:fill="auto"/>
            <w:vAlign w:val="center"/>
          </w:tcPr>
          <w:p w14:paraId="29DC1FB6" w14:textId="77777777" w:rsidR="00DC5685" w:rsidRPr="00A34F10" w:rsidRDefault="00DC5685" w:rsidP="00DC5685">
            <w:pPr>
              <w:widowControl w:val="0"/>
              <w:suppressAutoHyphens/>
              <w:rPr>
                <w:sz w:val="20"/>
              </w:rPr>
            </w:pPr>
            <w:r w:rsidRPr="00A34F10">
              <w:rPr>
                <w:i/>
                <w:sz w:val="20"/>
              </w:rPr>
              <w:t>Eisenia fetida</w:t>
            </w:r>
          </w:p>
        </w:tc>
        <w:tc>
          <w:tcPr>
            <w:tcW w:w="1000" w:type="pct"/>
            <w:shd w:val="clear" w:color="auto" w:fill="auto"/>
            <w:vAlign w:val="center"/>
          </w:tcPr>
          <w:p w14:paraId="7CB94582" w14:textId="77777777" w:rsidR="00DC5685" w:rsidRPr="00A34F10" w:rsidRDefault="00DC5685" w:rsidP="00DC5685">
            <w:pPr>
              <w:widowControl w:val="0"/>
              <w:suppressAutoHyphens/>
              <w:rPr>
                <w:sz w:val="20"/>
              </w:rPr>
            </w:pPr>
            <w:r w:rsidRPr="00A34F10">
              <w:rPr>
                <w:sz w:val="20"/>
              </w:rPr>
              <w:t>M650F04</w:t>
            </w:r>
          </w:p>
        </w:tc>
        <w:tc>
          <w:tcPr>
            <w:tcW w:w="1000" w:type="pct"/>
            <w:shd w:val="clear" w:color="auto" w:fill="auto"/>
            <w:vAlign w:val="center"/>
          </w:tcPr>
          <w:p w14:paraId="6AAC7580" w14:textId="77777777" w:rsidR="00DC5685" w:rsidRPr="00A34F10" w:rsidRDefault="00DC5685" w:rsidP="00DC5685">
            <w:pPr>
              <w:widowControl w:val="0"/>
              <w:suppressAutoHyphens/>
              <w:rPr>
                <w:sz w:val="20"/>
                <w:highlight w:val="yellow"/>
              </w:rPr>
            </w:pPr>
            <w:r w:rsidRPr="00A34F10">
              <w:rPr>
                <w:sz w:val="20"/>
              </w:rPr>
              <w:t>Mixed into substrate 56 d, chronic</w:t>
            </w:r>
            <w:r w:rsidRPr="00A34F10">
              <w:rPr>
                <w:sz w:val="20"/>
              </w:rPr>
              <w:br/>
              <w:t>10% peat content</w:t>
            </w:r>
          </w:p>
        </w:tc>
        <w:tc>
          <w:tcPr>
            <w:tcW w:w="1093" w:type="pct"/>
            <w:shd w:val="clear" w:color="auto" w:fill="auto"/>
            <w:vAlign w:val="center"/>
          </w:tcPr>
          <w:p w14:paraId="75249147" w14:textId="77777777" w:rsidR="00DC5685" w:rsidRPr="00A34F10" w:rsidRDefault="00DC5685" w:rsidP="00DC5685">
            <w:pPr>
              <w:widowControl w:val="0"/>
              <w:suppressAutoHyphens/>
              <w:rPr>
                <w:b/>
                <w:bCs/>
                <w:sz w:val="20"/>
                <w:vertAlign w:val="superscript"/>
              </w:rPr>
            </w:pPr>
            <w:r w:rsidRPr="00A34F10">
              <w:rPr>
                <w:b/>
                <w:bCs/>
                <w:sz w:val="20"/>
              </w:rPr>
              <w:t>NOEC ≥ 100 mg/kg dry soil</w:t>
            </w:r>
          </w:p>
        </w:tc>
        <w:tc>
          <w:tcPr>
            <w:tcW w:w="907" w:type="pct"/>
            <w:shd w:val="clear" w:color="auto" w:fill="auto"/>
            <w:vAlign w:val="center"/>
          </w:tcPr>
          <w:p w14:paraId="16E65292" w14:textId="77777777" w:rsidR="00DC5685" w:rsidRPr="00A34F10" w:rsidRDefault="00DC5685" w:rsidP="00DC5685">
            <w:pPr>
              <w:widowControl w:val="0"/>
              <w:suppressAutoHyphens/>
              <w:rPr>
                <w:sz w:val="20"/>
                <w:highlight w:val="yellow"/>
              </w:rPr>
            </w:pPr>
            <w:r w:rsidRPr="00A34F10">
              <w:rPr>
                <w:bCs/>
                <w:iCs/>
                <w:sz w:val="20"/>
              </w:rPr>
              <w:t>EFSA Journal 2012; 10(11):2921</w:t>
            </w:r>
            <w:r w:rsidRPr="00A34F10">
              <w:rPr>
                <w:bCs/>
                <w:iCs/>
                <w:sz w:val="20"/>
              </w:rPr>
              <w:br/>
            </w:r>
            <w:r w:rsidRPr="00A34F10">
              <w:rPr>
                <w:sz w:val="20"/>
              </w:rPr>
              <w:t>2008/1010609</w:t>
            </w:r>
          </w:p>
        </w:tc>
      </w:tr>
      <w:tr w:rsidR="00DC5685" w:rsidRPr="00A34F10" w14:paraId="33639CD7" w14:textId="77777777" w:rsidTr="000470C3">
        <w:tc>
          <w:tcPr>
            <w:tcW w:w="5000" w:type="pct"/>
            <w:gridSpan w:val="5"/>
            <w:shd w:val="clear" w:color="auto" w:fill="auto"/>
            <w:vAlign w:val="center"/>
          </w:tcPr>
          <w:p w14:paraId="4F7E17CB" w14:textId="77777777" w:rsidR="00DC5685" w:rsidRPr="00A34F10" w:rsidRDefault="00DC5685" w:rsidP="00DC5685">
            <w:pPr>
              <w:keepNext/>
              <w:widowControl w:val="0"/>
              <w:suppressAutoHyphens/>
              <w:rPr>
                <w:bCs/>
                <w:iCs/>
                <w:sz w:val="20"/>
                <w:szCs w:val="20"/>
              </w:rPr>
            </w:pPr>
            <w:r w:rsidRPr="00A34F10">
              <w:rPr>
                <w:b/>
                <w:bCs/>
                <w:sz w:val="20"/>
                <w:szCs w:val="20"/>
              </w:rPr>
              <w:t>Other soil macro-organisms</w:t>
            </w:r>
          </w:p>
        </w:tc>
      </w:tr>
      <w:tr w:rsidR="00DC5685" w:rsidRPr="00A34F10" w14:paraId="6C79E7D9" w14:textId="77777777" w:rsidTr="000470C3">
        <w:tc>
          <w:tcPr>
            <w:tcW w:w="1000" w:type="pct"/>
            <w:shd w:val="clear" w:color="auto" w:fill="auto"/>
            <w:vAlign w:val="center"/>
          </w:tcPr>
          <w:p w14:paraId="0F84B2A2" w14:textId="77777777" w:rsidR="00DC5685" w:rsidRPr="00A34F10" w:rsidRDefault="00DC5685" w:rsidP="00DC5685">
            <w:pPr>
              <w:keepNext/>
              <w:widowControl w:val="0"/>
              <w:suppressAutoHyphens/>
              <w:rPr>
                <w:i/>
                <w:iCs/>
                <w:sz w:val="20"/>
              </w:rPr>
            </w:pPr>
            <w:r w:rsidRPr="00A34F10">
              <w:rPr>
                <w:i/>
                <w:sz w:val="20"/>
              </w:rPr>
              <w:t>Folsomia candida</w:t>
            </w:r>
          </w:p>
        </w:tc>
        <w:tc>
          <w:tcPr>
            <w:tcW w:w="1000" w:type="pct"/>
            <w:shd w:val="clear" w:color="auto" w:fill="auto"/>
            <w:vAlign w:val="center"/>
          </w:tcPr>
          <w:p w14:paraId="70C5B21D" w14:textId="77777777" w:rsidR="00DC5685" w:rsidRPr="00A34F10" w:rsidRDefault="00DC5685" w:rsidP="00DC5685">
            <w:pPr>
              <w:keepNext/>
              <w:widowControl w:val="0"/>
              <w:suppressAutoHyphens/>
              <w:rPr>
                <w:sz w:val="20"/>
              </w:rPr>
            </w:pPr>
            <w:r w:rsidRPr="00A34F10">
              <w:rPr>
                <w:sz w:val="20"/>
              </w:rPr>
              <w:t>Ametoctradin (tested as BAS 650 00 F)</w:t>
            </w:r>
          </w:p>
        </w:tc>
        <w:tc>
          <w:tcPr>
            <w:tcW w:w="1000" w:type="pct"/>
            <w:shd w:val="clear" w:color="auto" w:fill="auto"/>
            <w:vAlign w:val="center"/>
          </w:tcPr>
          <w:p w14:paraId="6B4EE464" w14:textId="77777777" w:rsidR="00DC5685" w:rsidRPr="00A34F10" w:rsidRDefault="00DC5685" w:rsidP="00DC5685">
            <w:pPr>
              <w:keepNext/>
              <w:widowControl w:val="0"/>
              <w:suppressAutoHyphens/>
              <w:rPr>
                <w:sz w:val="20"/>
              </w:rPr>
            </w:pPr>
            <w:r w:rsidRPr="00A34F10">
              <w:rPr>
                <w:sz w:val="20"/>
              </w:rPr>
              <w:t>Mixed into substrate 28 d, chronic</w:t>
            </w:r>
            <w:r w:rsidRPr="00A34F10">
              <w:rPr>
                <w:sz w:val="20"/>
              </w:rPr>
              <w:br/>
              <w:t>5% peat content</w:t>
            </w:r>
          </w:p>
        </w:tc>
        <w:tc>
          <w:tcPr>
            <w:tcW w:w="1093" w:type="pct"/>
            <w:shd w:val="clear" w:color="auto" w:fill="auto"/>
            <w:vAlign w:val="center"/>
          </w:tcPr>
          <w:p w14:paraId="4C9CB2DC" w14:textId="77777777" w:rsidR="00DC5685" w:rsidRPr="00A34F10" w:rsidRDefault="00DC5685" w:rsidP="00DC5685">
            <w:pPr>
              <w:keepNext/>
              <w:widowControl w:val="0"/>
              <w:suppressAutoHyphens/>
              <w:rPr>
                <w:sz w:val="20"/>
              </w:rPr>
            </w:pPr>
            <w:r w:rsidRPr="00A34F10">
              <w:rPr>
                <w:sz w:val="20"/>
              </w:rPr>
              <w:t xml:space="preserve">NOEC ≥ 190.7 mg a.s./kg dry, </w:t>
            </w:r>
          </w:p>
          <w:p w14:paraId="3286765E" w14:textId="77777777" w:rsidR="00DC5685" w:rsidRPr="00A34F10" w:rsidRDefault="00DC5685" w:rsidP="00DC5685">
            <w:pPr>
              <w:keepNext/>
              <w:widowControl w:val="0"/>
              <w:suppressAutoHyphens/>
              <w:rPr>
                <w:b/>
                <w:bCs/>
                <w:sz w:val="20"/>
              </w:rPr>
            </w:pPr>
            <w:r w:rsidRPr="00A34F10">
              <w:rPr>
                <w:b/>
                <w:bCs/>
                <w:sz w:val="20"/>
              </w:rPr>
              <w:t>NOEC</w:t>
            </w:r>
            <w:r w:rsidRPr="00A34F10">
              <w:rPr>
                <w:b/>
                <w:bCs/>
                <w:sz w:val="20"/>
                <w:vertAlign w:val="subscript"/>
              </w:rPr>
              <w:t>CORR</w:t>
            </w:r>
            <w:r w:rsidRPr="00A34F10">
              <w:rPr>
                <w:b/>
                <w:bCs/>
                <w:sz w:val="20"/>
              </w:rPr>
              <w:t xml:space="preserve"> </w:t>
            </w:r>
            <w:r w:rsidRPr="00A34F10">
              <w:rPr>
                <w:b/>
                <w:bCs/>
                <w:sz w:val="20"/>
                <w:u w:val="single"/>
              </w:rPr>
              <w:t>&gt;</w:t>
            </w:r>
            <w:r w:rsidRPr="00A34F10">
              <w:rPr>
                <w:b/>
                <w:bCs/>
                <w:sz w:val="20"/>
              </w:rPr>
              <w:t xml:space="preserve"> 95.3 mg a.s./kg dry soil</w:t>
            </w:r>
          </w:p>
        </w:tc>
        <w:tc>
          <w:tcPr>
            <w:tcW w:w="907" w:type="pct"/>
            <w:shd w:val="clear" w:color="auto" w:fill="auto"/>
            <w:vAlign w:val="center"/>
          </w:tcPr>
          <w:p w14:paraId="431D57BF" w14:textId="77777777" w:rsidR="00DC5685" w:rsidRDefault="00DC5685" w:rsidP="00DC5685">
            <w:pPr>
              <w:keepNext/>
              <w:widowControl w:val="0"/>
              <w:suppressAutoHyphens/>
              <w:rPr>
                <w:bCs/>
                <w:iCs/>
                <w:sz w:val="20"/>
                <w:szCs w:val="20"/>
              </w:rPr>
            </w:pPr>
            <w:r w:rsidRPr="00A34F10">
              <w:rPr>
                <w:bCs/>
                <w:iCs/>
                <w:sz w:val="20"/>
                <w:szCs w:val="20"/>
              </w:rPr>
              <w:t>new study</w:t>
            </w:r>
            <w:r w:rsidRPr="00A34F10">
              <w:rPr>
                <w:bCs/>
                <w:iCs/>
                <w:sz w:val="20"/>
                <w:szCs w:val="20"/>
              </w:rPr>
              <w:br/>
              <w:t>2007/1037734</w:t>
            </w:r>
          </w:p>
          <w:p w14:paraId="6B77C2D2" w14:textId="0832EC9A" w:rsidR="004D4861" w:rsidRPr="00A34F10" w:rsidRDefault="004D4861" w:rsidP="00DC5685">
            <w:pPr>
              <w:keepNext/>
              <w:widowControl w:val="0"/>
              <w:suppressAutoHyphens/>
              <w:rPr>
                <w:sz w:val="20"/>
                <w:szCs w:val="20"/>
              </w:rPr>
            </w:pPr>
            <w:r w:rsidRPr="004D4861">
              <w:rPr>
                <w:bCs/>
                <w:iCs/>
                <w:sz w:val="20"/>
                <w:szCs w:val="20"/>
                <w:shd w:val="clear" w:color="auto" w:fill="D9D9D9" w:themeFill="background1" w:themeFillShade="D9"/>
              </w:rPr>
              <w:t xml:space="preserve">Not </w:t>
            </w:r>
            <w:r w:rsidR="00B01DC6" w:rsidRPr="004D4861">
              <w:rPr>
                <w:bCs/>
                <w:iCs/>
                <w:sz w:val="20"/>
                <w:szCs w:val="20"/>
                <w:shd w:val="clear" w:color="auto" w:fill="D9D9D9" w:themeFill="background1" w:themeFillShade="D9"/>
              </w:rPr>
              <w:t>evaluated</w:t>
            </w:r>
          </w:p>
        </w:tc>
      </w:tr>
      <w:tr w:rsidR="00DC5685" w:rsidRPr="00A34F10" w14:paraId="650FB37C" w14:textId="77777777" w:rsidTr="000470C3">
        <w:tc>
          <w:tcPr>
            <w:tcW w:w="1000" w:type="pct"/>
            <w:shd w:val="clear" w:color="auto" w:fill="auto"/>
            <w:vAlign w:val="center"/>
          </w:tcPr>
          <w:p w14:paraId="1BC06FE3" w14:textId="77777777" w:rsidR="00DC5685" w:rsidRPr="00A34F10" w:rsidRDefault="00DC5685" w:rsidP="00DC5685">
            <w:pPr>
              <w:widowControl w:val="0"/>
              <w:suppressAutoHyphens/>
              <w:rPr>
                <w:i/>
                <w:iCs/>
                <w:sz w:val="20"/>
              </w:rPr>
            </w:pPr>
            <w:r w:rsidRPr="00A34F10">
              <w:rPr>
                <w:i/>
                <w:sz w:val="20"/>
              </w:rPr>
              <w:t>Hypoaspis aculeifer</w:t>
            </w:r>
          </w:p>
        </w:tc>
        <w:tc>
          <w:tcPr>
            <w:tcW w:w="1000" w:type="pct"/>
            <w:shd w:val="clear" w:color="auto" w:fill="auto"/>
            <w:vAlign w:val="center"/>
          </w:tcPr>
          <w:p w14:paraId="40911B46" w14:textId="77777777" w:rsidR="00DC5685" w:rsidRPr="00A34F10" w:rsidRDefault="00DC5685" w:rsidP="00DC5685">
            <w:pPr>
              <w:widowControl w:val="0"/>
              <w:suppressAutoHyphens/>
              <w:rPr>
                <w:sz w:val="20"/>
              </w:rPr>
            </w:pPr>
            <w:r w:rsidRPr="00A34F10">
              <w:rPr>
                <w:sz w:val="20"/>
              </w:rPr>
              <w:t>Ametoctradin (tested as BAS 650 00 F)</w:t>
            </w:r>
          </w:p>
        </w:tc>
        <w:tc>
          <w:tcPr>
            <w:tcW w:w="1000" w:type="pct"/>
            <w:shd w:val="clear" w:color="auto" w:fill="auto"/>
            <w:vAlign w:val="center"/>
          </w:tcPr>
          <w:p w14:paraId="19D03508" w14:textId="77777777" w:rsidR="00DC5685" w:rsidRPr="00A34F10" w:rsidRDefault="00DC5685" w:rsidP="00DC5685">
            <w:pPr>
              <w:widowControl w:val="0"/>
              <w:suppressAutoHyphens/>
              <w:rPr>
                <w:sz w:val="20"/>
              </w:rPr>
            </w:pPr>
            <w:r w:rsidRPr="00A34F10">
              <w:rPr>
                <w:sz w:val="20"/>
              </w:rPr>
              <w:t>Mixed into substrate 14 d, chronic</w:t>
            </w:r>
            <w:r w:rsidRPr="00A34F10">
              <w:rPr>
                <w:sz w:val="20"/>
              </w:rPr>
              <w:br/>
              <w:t>5% peat content</w:t>
            </w:r>
          </w:p>
        </w:tc>
        <w:tc>
          <w:tcPr>
            <w:tcW w:w="1093" w:type="pct"/>
            <w:shd w:val="clear" w:color="auto" w:fill="auto"/>
            <w:vAlign w:val="center"/>
          </w:tcPr>
          <w:p w14:paraId="638F3D42" w14:textId="77777777" w:rsidR="00DC5685" w:rsidRPr="00A34F10" w:rsidRDefault="00DC5685" w:rsidP="00DC5685">
            <w:pPr>
              <w:widowControl w:val="0"/>
              <w:suppressAutoHyphens/>
              <w:rPr>
                <w:sz w:val="20"/>
              </w:rPr>
            </w:pPr>
            <w:r w:rsidRPr="00A34F10">
              <w:rPr>
                <w:sz w:val="20"/>
              </w:rPr>
              <w:t xml:space="preserve">NOEC ≥ 190.7 mg a.s./kg dry soil, </w:t>
            </w:r>
          </w:p>
          <w:p w14:paraId="092E0684" w14:textId="77777777" w:rsidR="00DC5685" w:rsidRPr="00A34F10" w:rsidRDefault="00DC5685" w:rsidP="00DC5685">
            <w:pPr>
              <w:widowControl w:val="0"/>
              <w:suppressAutoHyphens/>
              <w:rPr>
                <w:sz w:val="20"/>
              </w:rPr>
            </w:pPr>
            <w:r w:rsidRPr="00A34F10">
              <w:rPr>
                <w:sz w:val="20"/>
              </w:rPr>
              <w:t>EC</w:t>
            </w:r>
            <w:r w:rsidRPr="00A34F10">
              <w:rPr>
                <w:sz w:val="20"/>
                <w:vertAlign w:val="subscript"/>
              </w:rPr>
              <w:t>10</w:t>
            </w:r>
            <w:r w:rsidRPr="00A34F10">
              <w:rPr>
                <w:sz w:val="20"/>
              </w:rPr>
              <w:t xml:space="preserve"> &gt; 190.7 mg a.s./kg dry soil</w:t>
            </w:r>
          </w:p>
          <w:p w14:paraId="45BC9AE5" w14:textId="77777777" w:rsidR="00DC5685" w:rsidRPr="00A34F10" w:rsidRDefault="00DC5685" w:rsidP="00DC5685">
            <w:pPr>
              <w:widowControl w:val="0"/>
              <w:suppressAutoHyphens/>
              <w:rPr>
                <w:b/>
                <w:bCs/>
                <w:sz w:val="20"/>
              </w:rPr>
            </w:pPr>
            <w:r w:rsidRPr="00A34F10">
              <w:rPr>
                <w:b/>
                <w:bCs/>
                <w:sz w:val="20"/>
              </w:rPr>
              <w:t>NOEC</w:t>
            </w:r>
            <w:r w:rsidRPr="00A34F10">
              <w:rPr>
                <w:b/>
                <w:bCs/>
                <w:sz w:val="20"/>
                <w:vertAlign w:val="subscript"/>
              </w:rPr>
              <w:t>CORR</w:t>
            </w:r>
            <w:r w:rsidRPr="00A34F10">
              <w:rPr>
                <w:b/>
                <w:bCs/>
                <w:sz w:val="20"/>
              </w:rPr>
              <w:t xml:space="preserve"> </w:t>
            </w:r>
            <w:r w:rsidRPr="00A34F10">
              <w:rPr>
                <w:b/>
                <w:bCs/>
                <w:sz w:val="20"/>
                <w:u w:val="single"/>
              </w:rPr>
              <w:t>&gt;</w:t>
            </w:r>
            <w:r w:rsidRPr="00A34F10">
              <w:rPr>
                <w:b/>
                <w:bCs/>
                <w:sz w:val="20"/>
              </w:rPr>
              <w:t xml:space="preserve"> 95.3 mg a.s./kg dry soil</w:t>
            </w:r>
          </w:p>
          <w:p w14:paraId="6F8F0BB8" w14:textId="77777777" w:rsidR="00DC5685" w:rsidRPr="00A34F10" w:rsidRDefault="00DC5685" w:rsidP="00DC5685">
            <w:pPr>
              <w:widowControl w:val="0"/>
              <w:suppressAutoHyphens/>
              <w:rPr>
                <w:sz w:val="20"/>
              </w:rPr>
            </w:pPr>
            <w:r w:rsidRPr="00A34F10">
              <w:rPr>
                <w:sz w:val="20"/>
              </w:rPr>
              <w:t>EC</w:t>
            </w:r>
            <w:r w:rsidRPr="00A34F10">
              <w:rPr>
                <w:sz w:val="20"/>
                <w:vertAlign w:val="subscript"/>
              </w:rPr>
              <w:t>10 CORR</w:t>
            </w:r>
            <w:r w:rsidRPr="00A34F10">
              <w:rPr>
                <w:sz w:val="20"/>
              </w:rPr>
              <w:t xml:space="preserve"> &gt; 95.3 mg a.s./kg dry soil</w:t>
            </w:r>
          </w:p>
        </w:tc>
        <w:tc>
          <w:tcPr>
            <w:tcW w:w="907" w:type="pct"/>
            <w:shd w:val="clear" w:color="auto" w:fill="auto"/>
            <w:vAlign w:val="center"/>
          </w:tcPr>
          <w:p w14:paraId="66FE5465" w14:textId="77777777" w:rsidR="00DC5685" w:rsidRDefault="00DC5685" w:rsidP="00DC5685">
            <w:pPr>
              <w:widowControl w:val="0"/>
              <w:suppressAutoHyphens/>
              <w:rPr>
                <w:bCs/>
                <w:iCs/>
                <w:caps/>
                <w:sz w:val="20"/>
                <w:szCs w:val="20"/>
              </w:rPr>
            </w:pPr>
            <w:r w:rsidRPr="00A34F10">
              <w:rPr>
                <w:bCs/>
                <w:iCs/>
                <w:sz w:val="20"/>
                <w:szCs w:val="20"/>
              </w:rPr>
              <w:t>new study</w:t>
            </w:r>
            <w:r w:rsidRPr="00A34F10">
              <w:rPr>
                <w:bCs/>
                <w:iCs/>
                <w:sz w:val="20"/>
                <w:szCs w:val="20"/>
              </w:rPr>
              <w:br/>
            </w:r>
            <w:r w:rsidRPr="00A34F10">
              <w:rPr>
                <w:bCs/>
                <w:iCs/>
                <w:caps/>
                <w:sz w:val="20"/>
                <w:szCs w:val="20"/>
              </w:rPr>
              <w:t>2016/1193035</w:t>
            </w:r>
          </w:p>
          <w:p w14:paraId="5DC18B73" w14:textId="45F88FBE" w:rsidR="00B01DC6" w:rsidRPr="00A34F10" w:rsidRDefault="00B01DC6" w:rsidP="00DC5685">
            <w:pPr>
              <w:widowControl w:val="0"/>
              <w:suppressAutoHyphens/>
              <w:rPr>
                <w:sz w:val="20"/>
                <w:szCs w:val="20"/>
              </w:rPr>
            </w:pPr>
            <w:r w:rsidRPr="004D4861">
              <w:rPr>
                <w:bCs/>
                <w:iCs/>
                <w:sz w:val="20"/>
                <w:szCs w:val="20"/>
                <w:shd w:val="clear" w:color="auto" w:fill="D9D9D9" w:themeFill="background1" w:themeFillShade="D9"/>
              </w:rPr>
              <w:t>Not evaluated</w:t>
            </w:r>
          </w:p>
        </w:tc>
      </w:tr>
      <w:tr w:rsidR="00DC5685" w:rsidRPr="00A34F10" w14:paraId="66942B4F" w14:textId="77777777" w:rsidTr="000470C3">
        <w:tc>
          <w:tcPr>
            <w:tcW w:w="1000" w:type="pct"/>
            <w:shd w:val="clear" w:color="auto" w:fill="auto"/>
            <w:vAlign w:val="center"/>
          </w:tcPr>
          <w:p w14:paraId="26658DCA" w14:textId="77777777" w:rsidR="00DC5685" w:rsidRPr="00A34F10" w:rsidRDefault="00DC5685" w:rsidP="00DC5685">
            <w:pPr>
              <w:widowControl w:val="0"/>
              <w:suppressAutoHyphens/>
              <w:rPr>
                <w:i/>
                <w:iCs/>
                <w:sz w:val="20"/>
              </w:rPr>
            </w:pPr>
            <w:r w:rsidRPr="00A34F10">
              <w:rPr>
                <w:i/>
                <w:sz w:val="20"/>
              </w:rPr>
              <w:t>Folsomia candida</w:t>
            </w:r>
          </w:p>
        </w:tc>
        <w:tc>
          <w:tcPr>
            <w:tcW w:w="1000" w:type="pct"/>
            <w:shd w:val="clear" w:color="auto" w:fill="auto"/>
            <w:vAlign w:val="center"/>
          </w:tcPr>
          <w:p w14:paraId="20FD4DE2" w14:textId="77777777" w:rsidR="00DC5685" w:rsidRPr="00A34F10" w:rsidRDefault="00DC5685" w:rsidP="00DC5685">
            <w:pPr>
              <w:widowControl w:val="0"/>
              <w:suppressAutoHyphens/>
              <w:rPr>
                <w:sz w:val="20"/>
              </w:rPr>
            </w:pPr>
            <w:r w:rsidRPr="00A34F10">
              <w:rPr>
                <w:sz w:val="20"/>
              </w:rPr>
              <w:t>M650F03</w:t>
            </w:r>
          </w:p>
        </w:tc>
        <w:tc>
          <w:tcPr>
            <w:tcW w:w="1000" w:type="pct"/>
            <w:shd w:val="clear" w:color="auto" w:fill="auto"/>
            <w:vAlign w:val="center"/>
          </w:tcPr>
          <w:p w14:paraId="30A1A63A" w14:textId="77777777" w:rsidR="00DC5685" w:rsidRPr="00A34F10" w:rsidRDefault="00DC5685" w:rsidP="00DC5685">
            <w:pPr>
              <w:widowControl w:val="0"/>
              <w:suppressAutoHyphens/>
              <w:rPr>
                <w:sz w:val="20"/>
              </w:rPr>
            </w:pPr>
            <w:r w:rsidRPr="00A34F10">
              <w:rPr>
                <w:sz w:val="20"/>
              </w:rPr>
              <w:t>Mixed into substrate 28 d, chronic</w:t>
            </w:r>
            <w:r w:rsidRPr="00A34F10">
              <w:rPr>
                <w:sz w:val="20"/>
              </w:rPr>
              <w:br/>
              <w:t>10% peat content</w:t>
            </w:r>
          </w:p>
        </w:tc>
        <w:tc>
          <w:tcPr>
            <w:tcW w:w="1093" w:type="pct"/>
            <w:shd w:val="clear" w:color="auto" w:fill="auto"/>
            <w:vAlign w:val="center"/>
          </w:tcPr>
          <w:p w14:paraId="4472D1B7" w14:textId="77777777" w:rsidR="00DC5685" w:rsidRPr="00A34F10" w:rsidRDefault="00DC5685" w:rsidP="00DC5685">
            <w:pPr>
              <w:widowControl w:val="0"/>
              <w:suppressAutoHyphens/>
              <w:rPr>
                <w:b/>
                <w:bCs/>
                <w:sz w:val="20"/>
              </w:rPr>
            </w:pPr>
            <w:r w:rsidRPr="00A34F10">
              <w:rPr>
                <w:b/>
                <w:bCs/>
                <w:sz w:val="20"/>
              </w:rPr>
              <w:t>NOEC = 50.0 mg/kg dry soil</w:t>
            </w:r>
            <w:r w:rsidRPr="00A34F10">
              <w:rPr>
                <w:b/>
                <w:bCs/>
                <w:sz w:val="20"/>
                <w:vertAlign w:val="superscript"/>
              </w:rPr>
              <w:t xml:space="preserve"> </w:t>
            </w:r>
          </w:p>
        </w:tc>
        <w:tc>
          <w:tcPr>
            <w:tcW w:w="907" w:type="pct"/>
            <w:shd w:val="clear" w:color="auto" w:fill="auto"/>
            <w:vAlign w:val="center"/>
          </w:tcPr>
          <w:p w14:paraId="03E440BC" w14:textId="77777777" w:rsidR="00DC5685" w:rsidRPr="00A34F10" w:rsidRDefault="00DC5685" w:rsidP="00DC5685">
            <w:pPr>
              <w:widowControl w:val="0"/>
              <w:suppressAutoHyphens/>
              <w:rPr>
                <w:bCs/>
                <w:iCs/>
                <w:sz w:val="20"/>
              </w:rPr>
            </w:pPr>
            <w:r w:rsidRPr="00A34F10">
              <w:rPr>
                <w:bCs/>
                <w:iCs/>
                <w:sz w:val="20"/>
              </w:rPr>
              <w:t>EFSA Journal 2012; 10(11):2921</w:t>
            </w:r>
            <w:r w:rsidRPr="00A34F10">
              <w:rPr>
                <w:bCs/>
                <w:iCs/>
                <w:sz w:val="20"/>
              </w:rPr>
              <w:br/>
            </w:r>
            <w:r w:rsidRPr="00A34F10">
              <w:rPr>
                <w:sz w:val="20"/>
              </w:rPr>
              <w:t>2008/1032646</w:t>
            </w:r>
          </w:p>
        </w:tc>
      </w:tr>
      <w:tr w:rsidR="00DC5685" w:rsidRPr="00A34F10" w14:paraId="5E749A5E" w14:textId="77777777" w:rsidTr="000470C3">
        <w:tc>
          <w:tcPr>
            <w:tcW w:w="1000" w:type="pct"/>
            <w:shd w:val="clear" w:color="auto" w:fill="auto"/>
            <w:vAlign w:val="center"/>
          </w:tcPr>
          <w:p w14:paraId="5D4E6CAF" w14:textId="77777777" w:rsidR="00DC5685" w:rsidRPr="00A34F10" w:rsidRDefault="00DC5685" w:rsidP="00DC5685">
            <w:pPr>
              <w:widowControl w:val="0"/>
              <w:suppressAutoHyphens/>
              <w:rPr>
                <w:i/>
                <w:iCs/>
                <w:sz w:val="20"/>
              </w:rPr>
            </w:pPr>
            <w:r w:rsidRPr="00A34F10">
              <w:rPr>
                <w:i/>
                <w:sz w:val="20"/>
              </w:rPr>
              <w:t>Folsomia candida</w:t>
            </w:r>
          </w:p>
        </w:tc>
        <w:tc>
          <w:tcPr>
            <w:tcW w:w="1000" w:type="pct"/>
            <w:shd w:val="clear" w:color="auto" w:fill="auto"/>
            <w:vAlign w:val="center"/>
          </w:tcPr>
          <w:p w14:paraId="24AC6080" w14:textId="77777777" w:rsidR="00DC5685" w:rsidRPr="00A34F10" w:rsidRDefault="00DC5685" w:rsidP="00DC5685">
            <w:pPr>
              <w:widowControl w:val="0"/>
              <w:suppressAutoHyphens/>
              <w:rPr>
                <w:sz w:val="20"/>
              </w:rPr>
            </w:pPr>
            <w:r w:rsidRPr="00A34F10">
              <w:rPr>
                <w:sz w:val="20"/>
              </w:rPr>
              <w:t>M650F04</w:t>
            </w:r>
          </w:p>
        </w:tc>
        <w:tc>
          <w:tcPr>
            <w:tcW w:w="1000" w:type="pct"/>
            <w:shd w:val="clear" w:color="auto" w:fill="auto"/>
            <w:vAlign w:val="center"/>
          </w:tcPr>
          <w:p w14:paraId="03FEC9B3" w14:textId="77777777" w:rsidR="00DC5685" w:rsidRPr="00A34F10" w:rsidRDefault="00DC5685" w:rsidP="00DC5685">
            <w:pPr>
              <w:widowControl w:val="0"/>
              <w:suppressAutoHyphens/>
              <w:rPr>
                <w:sz w:val="20"/>
              </w:rPr>
            </w:pPr>
            <w:r w:rsidRPr="00A34F10">
              <w:rPr>
                <w:sz w:val="20"/>
              </w:rPr>
              <w:t>Mixed into substrate 28 d, chronic</w:t>
            </w:r>
            <w:r w:rsidRPr="00A34F10">
              <w:rPr>
                <w:sz w:val="20"/>
              </w:rPr>
              <w:br/>
              <w:t>10% peat content</w:t>
            </w:r>
          </w:p>
        </w:tc>
        <w:tc>
          <w:tcPr>
            <w:tcW w:w="1093" w:type="pct"/>
            <w:shd w:val="clear" w:color="auto" w:fill="auto"/>
            <w:vAlign w:val="center"/>
          </w:tcPr>
          <w:p w14:paraId="608C782C" w14:textId="77777777" w:rsidR="00DC5685" w:rsidRPr="00A34F10" w:rsidRDefault="00DC5685" w:rsidP="00DC5685">
            <w:pPr>
              <w:widowControl w:val="0"/>
              <w:suppressAutoHyphens/>
              <w:rPr>
                <w:b/>
                <w:bCs/>
                <w:sz w:val="20"/>
              </w:rPr>
            </w:pPr>
            <w:r w:rsidRPr="00A34F10">
              <w:rPr>
                <w:b/>
                <w:bCs/>
                <w:sz w:val="20"/>
              </w:rPr>
              <w:t>NOEC ≥ 100 mg/kg dry soil</w:t>
            </w:r>
          </w:p>
        </w:tc>
        <w:tc>
          <w:tcPr>
            <w:tcW w:w="907" w:type="pct"/>
            <w:shd w:val="clear" w:color="auto" w:fill="auto"/>
            <w:vAlign w:val="center"/>
          </w:tcPr>
          <w:p w14:paraId="07EB06E8" w14:textId="77777777" w:rsidR="00DC5685" w:rsidRPr="00A34F10" w:rsidRDefault="00DC5685" w:rsidP="00DC5685">
            <w:pPr>
              <w:widowControl w:val="0"/>
              <w:suppressAutoHyphens/>
              <w:rPr>
                <w:bCs/>
                <w:iCs/>
                <w:sz w:val="20"/>
              </w:rPr>
            </w:pPr>
            <w:r w:rsidRPr="00A34F10">
              <w:rPr>
                <w:bCs/>
                <w:iCs/>
                <w:sz w:val="20"/>
              </w:rPr>
              <w:t>EFSA Journal 2012; 10(11):2921</w:t>
            </w:r>
            <w:r w:rsidRPr="00A34F10">
              <w:rPr>
                <w:bCs/>
                <w:iCs/>
                <w:sz w:val="20"/>
              </w:rPr>
              <w:br/>
            </w:r>
            <w:r w:rsidRPr="00A34F10">
              <w:rPr>
                <w:sz w:val="20"/>
              </w:rPr>
              <w:t>2008/1032647</w:t>
            </w:r>
          </w:p>
        </w:tc>
      </w:tr>
      <w:tr w:rsidR="00DC5685" w:rsidRPr="00A34F10" w14:paraId="4D5CC0B7" w14:textId="77777777" w:rsidTr="000470C3">
        <w:tc>
          <w:tcPr>
            <w:tcW w:w="1000" w:type="pct"/>
            <w:shd w:val="clear" w:color="auto" w:fill="auto"/>
            <w:vAlign w:val="center"/>
          </w:tcPr>
          <w:p w14:paraId="3A52E8CE" w14:textId="77777777" w:rsidR="00DC5685" w:rsidRPr="00A34F10" w:rsidRDefault="00DC5685" w:rsidP="00DC5685">
            <w:pPr>
              <w:widowControl w:val="0"/>
              <w:suppressAutoHyphens/>
              <w:rPr>
                <w:i/>
                <w:iCs/>
                <w:sz w:val="20"/>
              </w:rPr>
            </w:pPr>
            <w:r w:rsidRPr="00A34F10">
              <w:rPr>
                <w:i/>
                <w:iCs/>
                <w:sz w:val="20"/>
              </w:rPr>
              <w:t>Hypoaspis aculeifer</w:t>
            </w:r>
          </w:p>
        </w:tc>
        <w:tc>
          <w:tcPr>
            <w:tcW w:w="1000" w:type="pct"/>
            <w:shd w:val="clear" w:color="auto" w:fill="auto"/>
            <w:vAlign w:val="center"/>
          </w:tcPr>
          <w:p w14:paraId="19BA0CD1" w14:textId="77777777" w:rsidR="00DC5685" w:rsidRPr="00A34F10" w:rsidRDefault="00DC5685" w:rsidP="00DC5685">
            <w:pPr>
              <w:widowControl w:val="0"/>
              <w:suppressAutoHyphens/>
              <w:rPr>
                <w:sz w:val="20"/>
              </w:rPr>
            </w:pPr>
            <w:r w:rsidRPr="00A34F10">
              <w:rPr>
                <w:sz w:val="20"/>
              </w:rPr>
              <w:t>M650F03</w:t>
            </w:r>
          </w:p>
        </w:tc>
        <w:tc>
          <w:tcPr>
            <w:tcW w:w="1000" w:type="pct"/>
            <w:shd w:val="clear" w:color="auto" w:fill="auto"/>
            <w:vAlign w:val="center"/>
          </w:tcPr>
          <w:p w14:paraId="118A6992" w14:textId="77777777" w:rsidR="00DC5685" w:rsidRPr="00A34F10" w:rsidRDefault="00DC5685" w:rsidP="00DC5685">
            <w:pPr>
              <w:widowControl w:val="0"/>
              <w:suppressAutoHyphens/>
              <w:rPr>
                <w:sz w:val="20"/>
              </w:rPr>
            </w:pPr>
            <w:r w:rsidRPr="00A34F10">
              <w:rPr>
                <w:sz w:val="20"/>
              </w:rPr>
              <w:t>Mixed into substrate 14 d, chronic</w:t>
            </w:r>
            <w:r w:rsidRPr="00A34F10">
              <w:rPr>
                <w:sz w:val="20"/>
              </w:rPr>
              <w:br/>
              <w:t>5% peat content</w:t>
            </w:r>
          </w:p>
        </w:tc>
        <w:tc>
          <w:tcPr>
            <w:tcW w:w="1093" w:type="pct"/>
            <w:shd w:val="clear" w:color="auto" w:fill="auto"/>
            <w:vAlign w:val="center"/>
          </w:tcPr>
          <w:p w14:paraId="0600CFFF" w14:textId="77777777" w:rsidR="00DC5685" w:rsidRPr="00A34F10" w:rsidRDefault="00DC5685" w:rsidP="00DC5685">
            <w:pPr>
              <w:widowControl w:val="0"/>
              <w:suppressAutoHyphens/>
              <w:rPr>
                <w:b/>
                <w:bCs/>
                <w:sz w:val="20"/>
              </w:rPr>
            </w:pPr>
            <w:r w:rsidRPr="00A34F10">
              <w:rPr>
                <w:b/>
                <w:bCs/>
                <w:sz w:val="20"/>
              </w:rPr>
              <w:t>NOEC ≥ 100 mg/kg dry soil</w:t>
            </w:r>
            <w:r w:rsidRPr="00A34F10">
              <w:rPr>
                <w:b/>
                <w:bCs/>
                <w:sz w:val="20"/>
                <w:vertAlign w:val="superscript"/>
              </w:rPr>
              <w:t xml:space="preserve"> </w:t>
            </w:r>
          </w:p>
        </w:tc>
        <w:tc>
          <w:tcPr>
            <w:tcW w:w="907" w:type="pct"/>
            <w:shd w:val="clear" w:color="auto" w:fill="auto"/>
            <w:vAlign w:val="center"/>
          </w:tcPr>
          <w:p w14:paraId="683827D3" w14:textId="77777777" w:rsidR="00DC5685" w:rsidRPr="00A34F10" w:rsidRDefault="00DC5685" w:rsidP="00DC5685">
            <w:pPr>
              <w:widowControl w:val="0"/>
              <w:suppressAutoHyphens/>
              <w:rPr>
                <w:bCs/>
                <w:iCs/>
                <w:sz w:val="20"/>
              </w:rPr>
            </w:pPr>
            <w:r w:rsidRPr="00A34F10">
              <w:rPr>
                <w:bCs/>
                <w:iCs/>
                <w:sz w:val="20"/>
              </w:rPr>
              <w:t>EFSA Journal 2012; 10(11):2921</w:t>
            </w:r>
            <w:r w:rsidRPr="00A34F10">
              <w:rPr>
                <w:bCs/>
                <w:iCs/>
                <w:sz w:val="20"/>
              </w:rPr>
              <w:br/>
            </w:r>
            <w:r w:rsidRPr="00A34F10">
              <w:rPr>
                <w:sz w:val="20"/>
              </w:rPr>
              <w:t>2008/1031478</w:t>
            </w:r>
          </w:p>
        </w:tc>
      </w:tr>
      <w:tr w:rsidR="00DC5685" w:rsidRPr="00A34F10" w14:paraId="5C146BFD" w14:textId="77777777" w:rsidTr="000470C3">
        <w:tc>
          <w:tcPr>
            <w:tcW w:w="1000" w:type="pct"/>
            <w:shd w:val="clear" w:color="auto" w:fill="auto"/>
            <w:vAlign w:val="center"/>
          </w:tcPr>
          <w:p w14:paraId="7A59F801" w14:textId="77777777" w:rsidR="00DC5685" w:rsidRPr="00A34F10" w:rsidRDefault="00DC5685" w:rsidP="00DC5685">
            <w:pPr>
              <w:widowControl w:val="0"/>
              <w:suppressAutoHyphens/>
              <w:rPr>
                <w:i/>
                <w:iCs/>
                <w:sz w:val="20"/>
              </w:rPr>
            </w:pPr>
            <w:r w:rsidRPr="00A34F10">
              <w:rPr>
                <w:i/>
                <w:iCs/>
                <w:sz w:val="20"/>
              </w:rPr>
              <w:t>Hypoaspis aculeifer</w:t>
            </w:r>
          </w:p>
        </w:tc>
        <w:tc>
          <w:tcPr>
            <w:tcW w:w="1000" w:type="pct"/>
            <w:shd w:val="clear" w:color="auto" w:fill="auto"/>
            <w:vAlign w:val="center"/>
          </w:tcPr>
          <w:p w14:paraId="688C4229" w14:textId="77777777" w:rsidR="00DC5685" w:rsidRPr="00A34F10" w:rsidRDefault="00DC5685" w:rsidP="00DC5685">
            <w:pPr>
              <w:widowControl w:val="0"/>
              <w:suppressAutoHyphens/>
              <w:rPr>
                <w:sz w:val="20"/>
              </w:rPr>
            </w:pPr>
            <w:r w:rsidRPr="00A34F10">
              <w:rPr>
                <w:sz w:val="20"/>
              </w:rPr>
              <w:t>M650F04</w:t>
            </w:r>
          </w:p>
        </w:tc>
        <w:tc>
          <w:tcPr>
            <w:tcW w:w="1000" w:type="pct"/>
            <w:shd w:val="clear" w:color="auto" w:fill="auto"/>
            <w:vAlign w:val="center"/>
          </w:tcPr>
          <w:p w14:paraId="67D30C36" w14:textId="77777777" w:rsidR="00DC5685" w:rsidRPr="00A34F10" w:rsidRDefault="00DC5685" w:rsidP="00DC5685">
            <w:pPr>
              <w:widowControl w:val="0"/>
              <w:suppressAutoHyphens/>
              <w:rPr>
                <w:sz w:val="20"/>
              </w:rPr>
            </w:pPr>
            <w:r w:rsidRPr="00A34F10">
              <w:rPr>
                <w:sz w:val="20"/>
              </w:rPr>
              <w:t>Mixed into substrate 14 d, chronic</w:t>
            </w:r>
            <w:r w:rsidRPr="00A34F10">
              <w:rPr>
                <w:sz w:val="20"/>
              </w:rPr>
              <w:br/>
              <w:t>5% peat content</w:t>
            </w:r>
          </w:p>
        </w:tc>
        <w:tc>
          <w:tcPr>
            <w:tcW w:w="1093" w:type="pct"/>
            <w:shd w:val="clear" w:color="auto" w:fill="auto"/>
            <w:vAlign w:val="center"/>
          </w:tcPr>
          <w:p w14:paraId="26887459" w14:textId="77777777" w:rsidR="00DC5685" w:rsidRPr="00A34F10" w:rsidRDefault="00DC5685" w:rsidP="00DC5685">
            <w:pPr>
              <w:widowControl w:val="0"/>
              <w:suppressAutoHyphens/>
              <w:rPr>
                <w:b/>
                <w:bCs/>
                <w:sz w:val="20"/>
              </w:rPr>
            </w:pPr>
            <w:r w:rsidRPr="00A34F10">
              <w:rPr>
                <w:b/>
                <w:bCs/>
                <w:sz w:val="20"/>
              </w:rPr>
              <w:t>NOEC ≥ 100 mg/kg dry soil</w:t>
            </w:r>
          </w:p>
        </w:tc>
        <w:tc>
          <w:tcPr>
            <w:tcW w:w="907" w:type="pct"/>
            <w:shd w:val="clear" w:color="auto" w:fill="auto"/>
            <w:vAlign w:val="center"/>
          </w:tcPr>
          <w:p w14:paraId="5BE4300E" w14:textId="77777777" w:rsidR="00DC5685" w:rsidRPr="00A34F10" w:rsidRDefault="00DC5685" w:rsidP="00DC5685">
            <w:pPr>
              <w:widowControl w:val="0"/>
              <w:suppressAutoHyphens/>
              <w:rPr>
                <w:bCs/>
                <w:iCs/>
                <w:sz w:val="20"/>
              </w:rPr>
            </w:pPr>
            <w:r w:rsidRPr="00A34F10">
              <w:rPr>
                <w:bCs/>
                <w:iCs/>
                <w:sz w:val="20"/>
              </w:rPr>
              <w:t>EFSA Journal 2012; 10(11):2921</w:t>
            </w:r>
            <w:r w:rsidRPr="00A34F10">
              <w:rPr>
                <w:bCs/>
                <w:iCs/>
                <w:sz w:val="20"/>
              </w:rPr>
              <w:br/>
            </w:r>
            <w:r w:rsidRPr="00A34F10">
              <w:rPr>
                <w:sz w:val="20"/>
              </w:rPr>
              <w:t>2008/1031479</w:t>
            </w:r>
          </w:p>
        </w:tc>
      </w:tr>
    </w:tbl>
    <w:p w14:paraId="167FC020" w14:textId="77777777" w:rsidR="00DC5685" w:rsidRPr="00A34F10" w:rsidRDefault="00DC5685" w:rsidP="00DC5685">
      <w:pPr>
        <w:keepNext/>
        <w:keepLines/>
        <w:widowControl w:val="0"/>
        <w:ind w:left="397" w:hanging="397"/>
        <w:jc w:val="both"/>
        <w:outlineLvl w:val="3"/>
        <w:rPr>
          <w:bCs/>
          <w:sz w:val="18"/>
          <w:szCs w:val="18"/>
          <w:lang w:val="en-GB"/>
        </w:rPr>
      </w:pPr>
      <w:bookmarkStart w:id="749" w:name="_Hlk39447217"/>
      <w:r w:rsidRPr="00A34F10">
        <w:rPr>
          <w:bCs/>
          <w:sz w:val="18"/>
          <w:szCs w:val="18"/>
          <w:lang w:val="en-GB"/>
        </w:rPr>
        <w:t>*</w:t>
      </w:r>
      <w:r w:rsidRPr="00A34F10">
        <w:rPr>
          <w:bCs/>
          <w:sz w:val="18"/>
          <w:szCs w:val="18"/>
          <w:lang w:val="en-GB"/>
        </w:rPr>
        <w:tab/>
        <w:t>As the log Pow of ametoctradin is &gt; 2, the EPPO correction factor of 2 has been applied to the active substance endpoints. The metabolites M650F03 and M650F04 have a log Pow of 0.2, therefore the EPPO correction does not need to be applied.</w:t>
      </w:r>
    </w:p>
    <w:bookmarkEnd w:id="749"/>
    <w:p w14:paraId="3DFA3EBA" w14:textId="77777777" w:rsidR="00DC5685" w:rsidRPr="00A34F10" w:rsidRDefault="00DC5685" w:rsidP="00DC5685">
      <w:pPr>
        <w:suppressAutoHyphens/>
        <w:rPr>
          <w:sz w:val="18"/>
          <w:szCs w:val="18"/>
          <w:lang w:val="en-GB"/>
        </w:rPr>
      </w:pPr>
      <w:r w:rsidRPr="00A34F10">
        <w:rPr>
          <w:b/>
          <w:bCs/>
          <w:sz w:val="18"/>
          <w:szCs w:val="18"/>
          <w:lang w:val="en-GB"/>
        </w:rPr>
        <w:t xml:space="preserve">Bold </w:t>
      </w:r>
      <w:r w:rsidRPr="00A34F10">
        <w:rPr>
          <w:sz w:val="18"/>
          <w:szCs w:val="18"/>
          <w:lang w:val="en-GB"/>
        </w:rPr>
        <w:t>figures: Endpoint used in aquatic risk assessment.</w:t>
      </w:r>
    </w:p>
    <w:p w14:paraId="44453AC4" w14:textId="64433C3A" w:rsidR="00DC5685" w:rsidRPr="00A34F10" w:rsidRDefault="0075532B" w:rsidP="00DC5685">
      <w:pPr>
        <w:suppressAutoHyphens/>
        <w:rPr>
          <w:sz w:val="18"/>
          <w:szCs w:val="18"/>
          <w:lang w:val="en-GB"/>
        </w:rPr>
      </w:pPr>
      <w:r w:rsidRPr="00A34F10">
        <w:rPr>
          <w:sz w:val="18"/>
          <w:szCs w:val="18"/>
          <w:lang w:val="en-GB"/>
        </w:rPr>
        <w:br w:type="page"/>
      </w:r>
    </w:p>
    <w:p w14:paraId="2EEC38D6" w14:textId="279B10A9" w:rsidR="00DC5685" w:rsidRPr="00A34F10" w:rsidRDefault="00DC5685" w:rsidP="00DC5685">
      <w:pPr>
        <w:keepNext/>
        <w:keepLines/>
        <w:widowControl w:val="0"/>
        <w:tabs>
          <w:tab w:val="left" w:pos="1985"/>
        </w:tabs>
        <w:suppressAutoHyphens/>
        <w:spacing w:before="200" w:after="120"/>
        <w:ind w:left="1985" w:hanging="1985"/>
        <w:jc w:val="both"/>
        <w:rPr>
          <w:b/>
          <w:bCs/>
        </w:rPr>
      </w:pPr>
      <w:r w:rsidRPr="00A34F10">
        <w:rPr>
          <w:b/>
          <w:bCs/>
        </w:rPr>
        <w:lastRenderedPageBreak/>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9.8</w:t>
      </w:r>
      <w:r w:rsidRPr="00A34F10">
        <w:rPr>
          <w:b/>
          <w:bCs/>
        </w:rPr>
        <w:fldChar w:fldCharType="end"/>
      </w:r>
      <w:r w:rsidRPr="00A34F10">
        <w:rPr>
          <w:b/>
          <w:bCs/>
        </w:rPr>
        <w:noBreakHyphen/>
        <w:t>2</w:t>
      </w:r>
      <w:r w:rsidRPr="00A34F10">
        <w:rPr>
          <w:b/>
          <w:bCs/>
        </w:rPr>
        <w:tab/>
        <w:t>Propamocarb-HCl: Endpoints and effect values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DC5685" w:rsidRPr="00A34F10" w14:paraId="29E3E6CA" w14:textId="77777777" w:rsidTr="000470C3">
        <w:trPr>
          <w:tblHeader/>
        </w:trPr>
        <w:tc>
          <w:tcPr>
            <w:tcW w:w="1000" w:type="pct"/>
            <w:shd w:val="clear" w:color="auto" w:fill="auto"/>
            <w:vAlign w:val="center"/>
          </w:tcPr>
          <w:p w14:paraId="374D3618"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Species</w:t>
            </w:r>
          </w:p>
        </w:tc>
        <w:tc>
          <w:tcPr>
            <w:tcW w:w="1000" w:type="pct"/>
            <w:shd w:val="clear" w:color="auto" w:fill="auto"/>
            <w:vAlign w:val="center"/>
          </w:tcPr>
          <w:p w14:paraId="28211415"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Substance</w:t>
            </w:r>
          </w:p>
        </w:tc>
        <w:tc>
          <w:tcPr>
            <w:tcW w:w="1000" w:type="pct"/>
            <w:shd w:val="clear" w:color="auto" w:fill="auto"/>
            <w:vAlign w:val="center"/>
          </w:tcPr>
          <w:p w14:paraId="180C298C"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Exposure System</w:t>
            </w:r>
          </w:p>
        </w:tc>
        <w:tc>
          <w:tcPr>
            <w:tcW w:w="1000" w:type="pct"/>
            <w:shd w:val="clear" w:color="auto" w:fill="auto"/>
            <w:vAlign w:val="center"/>
          </w:tcPr>
          <w:p w14:paraId="25A29104"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Results</w:t>
            </w:r>
          </w:p>
        </w:tc>
        <w:tc>
          <w:tcPr>
            <w:tcW w:w="1000" w:type="pct"/>
            <w:shd w:val="clear" w:color="auto" w:fill="auto"/>
            <w:vAlign w:val="center"/>
          </w:tcPr>
          <w:p w14:paraId="68A1FFEC" w14:textId="77777777" w:rsidR="00DC5685" w:rsidRPr="00A34F10" w:rsidRDefault="00DC5685" w:rsidP="00DC5685">
            <w:pPr>
              <w:keepNext/>
              <w:keepLines/>
              <w:widowControl w:val="0"/>
              <w:suppressAutoHyphens/>
              <w:spacing w:before="60" w:after="60"/>
              <w:rPr>
                <w:b/>
                <w:sz w:val="20"/>
                <w:szCs w:val="20"/>
                <w:lang w:val="en-GB"/>
              </w:rPr>
            </w:pPr>
            <w:r w:rsidRPr="00A34F10">
              <w:rPr>
                <w:b/>
                <w:sz w:val="20"/>
                <w:szCs w:val="20"/>
                <w:lang w:val="en-GB"/>
              </w:rPr>
              <w:t>Reference</w:t>
            </w:r>
          </w:p>
        </w:tc>
      </w:tr>
      <w:tr w:rsidR="00DC5685" w:rsidRPr="00A34F10" w14:paraId="1B9C1D79" w14:textId="77777777" w:rsidTr="000470C3">
        <w:tc>
          <w:tcPr>
            <w:tcW w:w="5000" w:type="pct"/>
            <w:gridSpan w:val="5"/>
            <w:shd w:val="clear" w:color="auto" w:fill="auto"/>
            <w:vAlign w:val="center"/>
          </w:tcPr>
          <w:p w14:paraId="271995FF" w14:textId="77777777" w:rsidR="00DC5685" w:rsidRPr="00A34F10" w:rsidRDefault="00DC5685" w:rsidP="00DC5685">
            <w:pPr>
              <w:widowControl w:val="0"/>
              <w:suppressAutoHyphens/>
              <w:rPr>
                <w:b/>
                <w:bCs/>
                <w:iCs/>
                <w:sz w:val="20"/>
              </w:rPr>
            </w:pPr>
            <w:r w:rsidRPr="00A34F10">
              <w:rPr>
                <w:b/>
                <w:bCs/>
                <w:sz w:val="20"/>
              </w:rPr>
              <w:t>Earthworms</w:t>
            </w:r>
          </w:p>
        </w:tc>
      </w:tr>
      <w:tr w:rsidR="00DC5685" w:rsidRPr="00A34F10" w14:paraId="540493FE" w14:textId="77777777" w:rsidTr="000470C3">
        <w:tc>
          <w:tcPr>
            <w:tcW w:w="1000" w:type="pct"/>
            <w:shd w:val="clear" w:color="auto" w:fill="auto"/>
            <w:vAlign w:val="center"/>
          </w:tcPr>
          <w:p w14:paraId="4F236986" w14:textId="77777777" w:rsidR="00DC5685" w:rsidRPr="00A34F10" w:rsidRDefault="00DC5685" w:rsidP="00DC5685">
            <w:pPr>
              <w:widowControl w:val="0"/>
              <w:suppressAutoHyphens/>
              <w:rPr>
                <w:i/>
                <w:sz w:val="20"/>
              </w:rPr>
            </w:pPr>
            <w:r w:rsidRPr="00A34F10">
              <w:rPr>
                <w:i/>
                <w:sz w:val="20"/>
              </w:rPr>
              <w:t>Eisenia fetida</w:t>
            </w:r>
          </w:p>
        </w:tc>
        <w:tc>
          <w:tcPr>
            <w:tcW w:w="1000" w:type="pct"/>
            <w:shd w:val="clear" w:color="auto" w:fill="auto"/>
            <w:vAlign w:val="center"/>
          </w:tcPr>
          <w:p w14:paraId="1C9406DC" w14:textId="77777777" w:rsidR="00DC5685" w:rsidRPr="00A34F10" w:rsidRDefault="00DC5685" w:rsidP="00DC5685">
            <w:pPr>
              <w:widowControl w:val="0"/>
              <w:suppressAutoHyphens/>
              <w:rPr>
                <w:sz w:val="20"/>
              </w:rPr>
            </w:pPr>
            <w:r w:rsidRPr="00A34F10">
              <w:rPr>
                <w:sz w:val="20"/>
              </w:rPr>
              <w:t>Propamocarb-HCl (tested as Propamocarb-HCl SL 722)</w:t>
            </w:r>
          </w:p>
        </w:tc>
        <w:tc>
          <w:tcPr>
            <w:tcW w:w="1000" w:type="pct"/>
            <w:shd w:val="clear" w:color="auto" w:fill="auto"/>
            <w:vAlign w:val="center"/>
          </w:tcPr>
          <w:p w14:paraId="75D7DCD7" w14:textId="77777777" w:rsidR="00DC5685" w:rsidRPr="00A34F10" w:rsidRDefault="00DC5685" w:rsidP="00DC5685">
            <w:pPr>
              <w:widowControl w:val="0"/>
              <w:suppressAutoHyphens/>
              <w:rPr>
                <w:sz w:val="20"/>
              </w:rPr>
            </w:pPr>
            <w:r w:rsidRPr="00A34F10">
              <w:rPr>
                <w:sz w:val="20"/>
              </w:rPr>
              <w:t>56 d, chronic, sprayed</w:t>
            </w:r>
          </w:p>
        </w:tc>
        <w:tc>
          <w:tcPr>
            <w:tcW w:w="1000" w:type="pct"/>
            <w:shd w:val="clear" w:color="auto" w:fill="auto"/>
            <w:vAlign w:val="center"/>
          </w:tcPr>
          <w:p w14:paraId="754029C6" w14:textId="77777777" w:rsidR="00DC5685" w:rsidRPr="00A34F10" w:rsidRDefault="00DC5685" w:rsidP="00DC5685">
            <w:pPr>
              <w:widowControl w:val="0"/>
              <w:suppressAutoHyphens/>
              <w:rPr>
                <w:b/>
                <w:bCs/>
                <w:sz w:val="20"/>
              </w:rPr>
            </w:pPr>
            <w:r w:rsidRPr="00A34F10">
              <w:rPr>
                <w:b/>
                <w:bCs/>
                <w:sz w:val="20"/>
              </w:rPr>
              <w:t>NOEC ≥ 362 mg a.s./kg dry soil</w:t>
            </w:r>
          </w:p>
        </w:tc>
        <w:tc>
          <w:tcPr>
            <w:tcW w:w="1000" w:type="pct"/>
            <w:shd w:val="clear" w:color="auto" w:fill="auto"/>
            <w:vAlign w:val="center"/>
          </w:tcPr>
          <w:p w14:paraId="398F92EE" w14:textId="77777777" w:rsidR="00DC5685" w:rsidRPr="00A34F10" w:rsidRDefault="00DC5685" w:rsidP="00DC5685">
            <w:pPr>
              <w:widowControl w:val="0"/>
              <w:suppressAutoHyphens/>
              <w:rPr>
                <w:bCs/>
                <w:iCs/>
                <w:sz w:val="20"/>
              </w:rPr>
            </w:pPr>
            <w:r w:rsidRPr="00A34F10">
              <w:rPr>
                <w:bCs/>
                <w:iCs/>
                <w:sz w:val="20"/>
              </w:rPr>
              <w:t>EFSA Scientific Report (2006) 78, 1-80</w:t>
            </w:r>
          </w:p>
        </w:tc>
      </w:tr>
      <w:tr w:rsidR="00DC5685" w:rsidRPr="00A34F10" w14:paraId="13D19006" w14:textId="77777777" w:rsidTr="000470C3">
        <w:tc>
          <w:tcPr>
            <w:tcW w:w="5000" w:type="pct"/>
            <w:gridSpan w:val="5"/>
            <w:shd w:val="clear" w:color="auto" w:fill="auto"/>
            <w:vAlign w:val="center"/>
          </w:tcPr>
          <w:p w14:paraId="4EAE67D1" w14:textId="77777777" w:rsidR="00DC5685" w:rsidRPr="00A34F10" w:rsidRDefault="00DC5685" w:rsidP="00DC5685">
            <w:pPr>
              <w:widowControl w:val="0"/>
              <w:suppressAutoHyphens/>
              <w:rPr>
                <w:bCs/>
                <w:iCs/>
                <w:sz w:val="20"/>
                <w:szCs w:val="20"/>
              </w:rPr>
            </w:pPr>
            <w:r w:rsidRPr="00A34F10">
              <w:rPr>
                <w:b/>
                <w:bCs/>
                <w:sz w:val="20"/>
                <w:szCs w:val="20"/>
              </w:rPr>
              <w:t>Other soil macro-organisms</w:t>
            </w:r>
          </w:p>
        </w:tc>
      </w:tr>
      <w:tr w:rsidR="00DC5685" w:rsidRPr="00B628AA" w14:paraId="2452737D" w14:textId="77777777" w:rsidTr="000470C3">
        <w:tc>
          <w:tcPr>
            <w:tcW w:w="1000" w:type="pct"/>
            <w:shd w:val="clear" w:color="auto" w:fill="auto"/>
            <w:vAlign w:val="center"/>
          </w:tcPr>
          <w:p w14:paraId="698EFA83" w14:textId="77777777" w:rsidR="00DC5685" w:rsidRPr="00A34F10" w:rsidRDefault="00DC5685" w:rsidP="00DC5685">
            <w:pPr>
              <w:widowControl w:val="0"/>
              <w:suppressAutoHyphens/>
              <w:rPr>
                <w:i/>
                <w:iCs/>
                <w:sz w:val="20"/>
              </w:rPr>
            </w:pPr>
            <w:r w:rsidRPr="00A34F10">
              <w:rPr>
                <w:i/>
                <w:sz w:val="20"/>
              </w:rPr>
              <w:t>Folsomia candida</w:t>
            </w:r>
          </w:p>
        </w:tc>
        <w:tc>
          <w:tcPr>
            <w:tcW w:w="1000" w:type="pct"/>
            <w:shd w:val="clear" w:color="auto" w:fill="auto"/>
            <w:vAlign w:val="center"/>
          </w:tcPr>
          <w:p w14:paraId="2D2D669B" w14:textId="77777777" w:rsidR="00DC5685" w:rsidRPr="00A34F10" w:rsidRDefault="00DC5685" w:rsidP="00DC5685">
            <w:pPr>
              <w:widowControl w:val="0"/>
              <w:suppressAutoHyphens/>
              <w:rPr>
                <w:sz w:val="20"/>
              </w:rPr>
            </w:pPr>
            <w:r w:rsidRPr="00A34F10">
              <w:rPr>
                <w:sz w:val="20"/>
              </w:rPr>
              <w:t>Propamocarb-HCl (tested as Propamocarb-HCl SL 722)</w:t>
            </w:r>
          </w:p>
        </w:tc>
        <w:tc>
          <w:tcPr>
            <w:tcW w:w="1000" w:type="pct"/>
            <w:shd w:val="clear" w:color="auto" w:fill="auto"/>
            <w:vAlign w:val="center"/>
          </w:tcPr>
          <w:p w14:paraId="41C61B2E" w14:textId="77777777" w:rsidR="00DC5685" w:rsidRPr="00A34F10" w:rsidRDefault="00DC5685" w:rsidP="00DC5685">
            <w:pPr>
              <w:widowControl w:val="0"/>
              <w:suppressAutoHyphens/>
              <w:rPr>
                <w:sz w:val="20"/>
              </w:rPr>
            </w:pPr>
            <w:r w:rsidRPr="00A34F10">
              <w:rPr>
                <w:sz w:val="20"/>
              </w:rPr>
              <w:t>Mixed into substrate 28 d, chronic</w:t>
            </w:r>
            <w:r w:rsidRPr="00A34F10">
              <w:rPr>
                <w:sz w:val="20"/>
              </w:rPr>
              <w:br/>
              <w:t>5% peat content</w:t>
            </w:r>
          </w:p>
        </w:tc>
        <w:tc>
          <w:tcPr>
            <w:tcW w:w="1000" w:type="pct"/>
            <w:shd w:val="clear" w:color="auto" w:fill="auto"/>
            <w:vAlign w:val="center"/>
          </w:tcPr>
          <w:p w14:paraId="680D8980" w14:textId="77777777" w:rsidR="00DC5685" w:rsidRPr="00A34F10" w:rsidRDefault="00DC5685" w:rsidP="00DC5685">
            <w:pPr>
              <w:widowControl w:val="0"/>
              <w:suppressAutoHyphens/>
              <w:rPr>
                <w:b/>
                <w:bCs/>
                <w:sz w:val="20"/>
              </w:rPr>
            </w:pPr>
            <w:r w:rsidRPr="00A34F10">
              <w:rPr>
                <w:b/>
                <w:bCs/>
                <w:sz w:val="20"/>
              </w:rPr>
              <w:t xml:space="preserve">NOEC ≥ 677 mg a.s./kg dry, </w:t>
            </w:r>
          </w:p>
        </w:tc>
        <w:tc>
          <w:tcPr>
            <w:tcW w:w="1000" w:type="pct"/>
            <w:shd w:val="clear" w:color="auto" w:fill="auto"/>
            <w:vAlign w:val="center"/>
          </w:tcPr>
          <w:p w14:paraId="3C23D776" w14:textId="77777777" w:rsidR="00DC5685" w:rsidRDefault="00D10BD5" w:rsidP="00DC5685">
            <w:pPr>
              <w:widowControl w:val="0"/>
              <w:suppressAutoHyphens/>
              <w:rPr>
                <w:rFonts w:eastAsia="MS Mincho"/>
                <w:sz w:val="20"/>
                <w:szCs w:val="20"/>
                <w:lang w:val="es-ES"/>
              </w:rPr>
            </w:pPr>
            <w:r w:rsidRPr="001D51C3">
              <w:rPr>
                <w:rFonts w:eastAsia="MS Mincho"/>
                <w:sz w:val="20"/>
                <w:szCs w:val="20"/>
                <w:lang w:val="es-ES"/>
              </w:rPr>
              <w:t>RAR Propamocarb, Vol. 3 – CP B9, June 2017</w:t>
            </w:r>
          </w:p>
          <w:p w14:paraId="6A60F2E0" w14:textId="460D976B" w:rsidR="00B01DC6" w:rsidRPr="001D51C3" w:rsidRDefault="00B01DC6" w:rsidP="00DC5685">
            <w:pPr>
              <w:widowControl w:val="0"/>
              <w:suppressAutoHyphens/>
              <w:rPr>
                <w:sz w:val="20"/>
                <w:szCs w:val="20"/>
                <w:lang w:val="es-ES"/>
              </w:rPr>
            </w:pPr>
            <w:r w:rsidRPr="004D4861">
              <w:rPr>
                <w:bCs/>
                <w:iCs/>
                <w:sz w:val="20"/>
                <w:szCs w:val="20"/>
                <w:shd w:val="clear" w:color="auto" w:fill="D9D9D9" w:themeFill="background1" w:themeFillShade="D9"/>
              </w:rPr>
              <w:t>Not evaluated</w:t>
            </w:r>
          </w:p>
        </w:tc>
      </w:tr>
      <w:tr w:rsidR="00DC5685" w:rsidRPr="00B628AA" w14:paraId="736C4904" w14:textId="77777777" w:rsidTr="000470C3">
        <w:tc>
          <w:tcPr>
            <w:tcW w:w="1000" w:type="pct"/>
            <w:shd w:val="clear" w:color="auto" w:fill="auto"/>
            <w:vAlign w:val="center"/>
          </w:tcPr>
          <w:p w14:paraId="0A253C69" w14:textId="77777777" w:rsidR="00DC5685" w:rsidRPr="00A34F10" w:rsidRDefault="00DC5685" w:rsidP="00DC5685">
            <w:pPr>
              <w:widowControl w:val="0"/>
              <w:suppressAutoHyphens/>
              <w:rPr>
                <w:i/>
                <w:iCs/>
                <w:sz w:val="20"/>
              </w:rPr>
            </w:pPr>
            <w:r w:rsidRPr="00A34F10">
              <w:rPr>
                <w:i/>
                <w:sz w:val="20"/>
              </w:rPr>
              <w:t>Hypoaspis aculeifer</w:t>
            </w:r>
          </w:p>
        </w:tc>
        <w:tc>
          <w:tcPr>
            <w:tcW w:w="1000" w:type="pct"/>
            <w:shd w:val="clear" w:color="auto" w:fill="auto"/>
            <w:vAlign w:val="center"/>
          </w:tcPr>
          <w:p w14:paraId="518B2BE2" w14:textId="77777777" w:rsidR="00DC5685" w:rsidRPr="00A34F10" w:rsidRDefault="00DC5685" w:rsidP="00DC5685">
            <w:pPr>
              <w:widowControl w:val="0"/>
              <w:suppressAutoHyphens/>
              <w:rPr>
                <w:sz w:val="20"/>
              </w:rPr>
            </w:pPr>
            <w:r w:rsidRPr="00A34F10">
              <w:rPr>
                <w:sz w:val="20"/>
              </w:rPr>
              <w:t>Propamocarb-HCl (tested as Propamocarb-HCl SL 722)</w:t>
            </w:r>
          </w:p>
        </w:tc>
        <w:tc>
          <w:tcPr>
            <w:tcW w:w="1000" w:type="pct"/>
            <w:shd w:val="clear" w:color="auto" w:fill="auto"/>
            <w:vAlign w:val="center"/>
          </w:tcPr>
          <w:p w14:paraId="631F6F97" w14:textId="77777777" w:rsidR="00DC5685" w:rsidRPr="00A34F10" w:rsidRDefault="00DC5685" w:rsidP="00DC5685">
            <w:pPr>
              <w:widowControl w:val="0"/>
              <w:suppressAutoHyphens/>
              <w:rPr>
                <w:sz w:val="20"/>
              </w:rPr>
            </w:pPr>
            <w:r w:rsidRPr="00A34F10">
              <w:rPr>
                <w:sz w:val="20"/>
              </w:rPr>
              <w:t>Mixed into substrate 14 d, chronic</w:t>
            </w:r>
            <w:r w:rsidRPr="00A34F10">
              <w:rPr>
                <w:sz w:val="20"/>
              </w:rPr>
              <w:br/>
              <w:t>5% peat content</w:t>
            </w:r>
          </w:p>
        </w:tc>
        <w:tc>
          <w:tcPr>
            <w:tcW w:w="1000" w:type="pct"/>
            <w:shd w:val="clear" w:color="auto" w:fill="auto"/>
            <w:vAlign w:val="center"/>
          </w:tcPr>
          <w:p w14:paraId="4808E2AD" w14:textId="77777777" w:rsidR="00DC5685" w:rsidRPr="00A34F10" w:rsidRDefault="00DC5685" w:rsidP="00DC5685">
            <w:pPr>
              <w:widowControl w:val="0"/>
              <w:suppressAutoHyphens/>
              <w:rPr>
                <w:b/>
                <w:bCs/>
                <w:sz w:val="20"/>
              </w:rPr>
            </w:pPr>
            <w:r w:rsidRPr="00A34F10">
              <w:rPr>
                <w:b/>
                <w:bCs/>
                <w:sz w:val="20"/>
              </w:rPr>
              <w:t>NOEC ≥ 677 mg a.s./kg dry soil</w:t>
            </w:r>
          </w:p>
        </w:tc>
        <w:tc>
          <w:tcPr>
            <w:tcW w:w="1000" w:type="pct"/>
            <w:shd w:val="clear" w:color="auto" w:fill="auto"/>
            <w:vAlign w:val="center"/>
          </w:tcPr>
          <w:p w14:paraId="7055E0EA" w14:textId="77777777" w:rsidR="00DC5685" w:rsidRDefault="00D10BD5" w:rsidP="00DC5685">
            <w:pPr>
              <w:widowControl w:val="0"/>
              <w:suppressAutoHyphens/>
              <w:rPr>
                <w:rFonts w:eastAsia="MS Mincho"/>
                <w:sz w:val="20"/>
                <w:szCs w:val="20"/>
                <w:lang w:val="es-ES"/>
              </w:rPr>
            </w:pPr>
            <w:r w:rsidRPr="001D51C3">
              <w:rPr>
                <w:rFonts w:eastAsia="MS Mincho"/>
                <w:sz w:val="20"/>
                <w:szCs w:val="20"/>
                <w:lang w:val="es-ES"/>
              </w:rPr>
              <w:t>RAR Propamocarb, Vol. 3 – CP B9, June 2017</w:t>
            </w:r>
          </w:p>
          <w:p w14:paraId="17ECD321" w14:textId="29A274E2" w:rsidR="00B01DC6" w:rsidRPr="001D51C3" w:rsidRDefault="00B01DC6" w:rsidP="00DC5685">
            <w:pPr>
              <w:widowControl w:val="0"/>
              <w:suppressAutoHyphens/>
              <w:rPr>
                <w:sz w:val="20"/>
                <w:szCs w:val="20"/>
                <w:lang w:val="es-ES"/>
              </w:rPr>
            </w:pPr>
            <w:r w:rsidRPr="004D4861">
              <w:rPr>
                <w:bCs/>
                <w:iCs/>
                <w:sz w:val="20"/>
                <w:szCs w:val="20"/>
                <w:shd w:val="clear" w:color="auto" w:fill="D9D9D9" w:themeFill="background1" w:themeFillShade="D9"/>
              </w:rPr>
              <w:t>Not evaluated</w:t>
            </w:r>
          </w:p>
        </w:tc>
      </w:tr>
    </w:tbl>
    <w:p w14:paraId="1C3A08DB" w14:textId="77777777" w:rsidR="00DC5685" w:rsidRPr="001D51C3" w:rsidRDefault="00DC5685" w:rsidP="00DC5685">
      <w:pPr>
        <w:keepNext/>
        <w:keepLines/>
        <w:widowControl w:val="0"/>
        <w:ind w:left="397" w:hanging="397"/>
        <w:jc w:val="both"/>
        <w:outlineLvl w:val="3"/>
        <w:rPr>
          <w:bCs/>
          <w:sz w:val="18"/>
          <w:szCs w:val="18"/>
          <w:lang w:val="es-ES"/>
        </w:rPr>
      </w:pPr>
    </w:p>
    <w:p w14:paraId="35664899" w14:textId="2226E707" w:rsidR="00DC5685" w:rsidRPr="00A34F10" w:rsidRDefault="00DC5685" w:rsidP="00DC5685">
      <w:pPr>
        <w:keepNext/>
        <w:keepLines/>
        <w:widowControl w:val="0"/>
        <w:tabs>
          <w:tab w:val="left" w:pos="1985"/>
        </w:tabs>
        <w:spacing w:before="200" w:after="120"/>
        <w:ind w:left="1985" w:hanging="1985"/>
        <w:rPr>
          <w:b/>
          <w:bCs/>
        </w:rPr>
      </w:pPr>
      <w:bookmarkStart w:id="750" w:name="_Ref436916457"/>
      <w:r w:rsidRPr="00A34F10">
        <w:rPr>
          <w:b/>
          <w:bCs/>
        </w:rPr>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9.8</w:t>
      </w:r>
      <w:r w:rsidRPr="00A34F10">
        <w:rPr>
          <w:b/>
          <w:bCs/>
        </w:rPr>
        <w:fldChar w:fldCharType="end"/>
      </w:r>
      <w:r w:rsidRPr="00A34F10">
        <w:rPr>
          <w:b/>
          <w:bCs/>
        </w:rPr>
        <w:noBreakHyphen/>
      </w:r>
      <w:bookmarkEnd w:id="750"/>
      <w:r w:rsidRPr="00A34F10">
        <w:rPr>
          <w:b/>
          <w:bCs/>
        </w:rPr>
        <w:t>3:</w:t>
      </w:r>
      <w:r w:rsidRPr="00A34F10">
        <w:rPr>
          <w:b/>
          <w:bCs/>
        </w:rPr>
        <w:tab/>
        <w:t>BAS 743 03 F: Endpoints and effect values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9"/>
        <w:gridCol w:w="1862"/>
        <w:gridCol w:w="1862"/>
        <w:gridCol w:w="2209"/>
        <w:gridCol w:w="1553"/>
      </w:tblGrid>
      <w:tr w:rsidR="00DC5685" w:rsidRPr="00A34F10" w14:paraId="0657849F" w14:textId="77777777" w:rsidTr="000470C3">
        <w:tc>
          <w:tcPr>
            <w:tcW w:w="995" w:type="pct"/>
            <w:tcBorders>
              <w:top w:val="single" w:sz="4" w:space="0" w:color="auto"/>
              <w:left w:val="single" w:sz="4" w:space="0" w:color="auto"/>
              <w:bottom w:val="single" w:sz="4" w:space="0" w:color="auto"/>
              <w:right w:val="single" w:sz="4" w:space="0" w:color="auto"/>
            </w:tcBorders>
            <w:shd w:val="clear" w:color="auto" w:fill="auto"/>
            <w:vAlign w:val="center"/>
          </w:tcPr>
          <w:p w14:paraId="2FFBEA07" w14:textId="77777777" w:rsidR="00DC5685" w:rsidRPr="00A34F10" w:rsidRDefault="00DC5685" w:rsidP="00DC5685">
            <w:pPr>
              <w:widowControl w:val="0"/>
              <w:suppressAutoHyphens/>
              <w:rPr>
                <w:b/>
                <w:sz w:val="20"/>
              </w:rPr>
            </w:pPr>
            <w:r w:rsidRPr="00A34F10">
              <w:rPr>
                <w:b/>
                <w:sz w:val="20"/>
              </w:rPr>
              <w:t>Species</w:t>
            </w:r>
          </w:p>
        </w:tc>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14:paraId="6E4DDD37" w14:textId="77777777" w:rsidR="00DC5685" w:rsidRPr="00A34F10" w:rsidRDefault="00DC5685" w:rsidP="00DC5685">
            <w:pPr>
              <w:widowControl w:val="0"/>
              <w:suppressAutoHyphens/>
              <w:rPr>
                <w:b/>
                <w:sz w:val="20"/>
              </w:rPr>
            </w:pPr>
            <w:r w:rsidRPr="00A34F10">
              <w:rPr>
                <w:b/>
                <w:sz w:val="20"/>
              </w:rPr>
              <w:t>Substance</w:t>
            </w:r>
          </w:p>
        </w:tc>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14:paraId="3C2C7C8B" w14:textId="77777777" w:rsidR="00DC5685" w:rsidRPr="00A34F10" w:rsidRDefault="00DC5685" w:rsidP="00DC5685">
            <w:pPr>
              <w:widowControl w:val="0"/>
              <w:suppressAutoHyphens/>
              <w:rPr>
                <w:b/>
                <w:sz w:val="20"/>
              </w:rPr>
            </w:pPr>
            <w:r w:rsidRPr="00A34F10">
              <w:rPr>
                <w:b/>
                <w:sz w:val="20"/>
              </w:rPr>
              <w:t>Exposure System</w:t>
            </w:r>
          </w:p>
        </w:tc>
        <w:tc>
          <w:tcPr>
            <w:tcW w:w="1182" w:type="pct"/>
            <w:tcBorders>
              <w:top w:val="single" w:sz="4" w:space="0" w:color="auto"/>
              <w:left w:val="single" w:sz="4" w:space="0" w:color="auto"/>
              <w:bottom w:val="single" w:sz="4" w:space="0" w:color="auto"/>
              <w:right w:val="single" w:sz="4" w:space="0" w:color="auto"/>
            </w:tcBorders>
            <w:shd w:val="clear" w:color="auto" w:fill="auto"/>
            <w:vAlign w:val="center"/>
          </w:tcPr>
          <w:p w14:paraId="11B2BA30" w14:textId="77777777" w:rsidR="00DC5685" w:rsidRPr="00A34F10" w:rsidRDefault="00DC5685" w:rsidP="00DC5685">
            <w:pPr>
              <w:widowControl w:val="0"/>
              <w:suppressAutoHyphens/>
              <w:rPr>
                <w:b/>
                <w:sz w:val="20"/>
              </w:rPr>
            </w:pPr>
            <w:r w:rsidRPr="00A34F10">
              <w:rPr>
                <w:b/>
                <w:sz w:val="20"/>
              </w:rPr>
              <w:t>Results*</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109D872D" w14:textId="77777777" w:rsidR="00DC5685" w:rsidRPr="00A34F10" w:rsidRDefault="00DC5685" w:rsidP="00DC5685">
            <w:pPr>
              <w:widowControl w:val="0"/>
              <w:suppressAutoHyphens/>
              <w:rPr>
                <w:b/>
                <w:bCs/>
                <w:iCs/>
                <w:sz w:val="20"/>
                <w:szCs w:val="20"/>
              </w:rPr>
            </w:pPr>
            <w:r w:rsidRPr="00A34F10">
              <w:rPr>
                <w:b/>
                <w:bCs/>
                <w:iCs/>
                <w:sz w:val="20"/>
                <w:szCs w:val="20"/>
              </w:rPr>
              <w:t>Reference</w:t>
            </w:r>
          </w:p>
        </w:tc>
      </w:tr>
      <w:tr w:rsidR="00DC5685" w:rsidRPr="00A34F10" w14:paraId="74B55A2B" w14:textId="77777777" w:rsidTr="000470C3">
        <w:tc>
          <w:tcPr>
            <w:tcW w:w="5000" w:type="pct"/>
            <w:gridSpan w:val="5"/>
            <w:shd w:val="clear" w:color="auto" w:fill="auto"/>
            <w:vAlign w:val="center"/>
          </w:tcPr>
          <w:p w14:paraId="66876EDF" w14:textId="77777777" w:rsidR="00DC5685" w:rsidRPr="00A34F10" w:rsidRDefault="00DC5685" w:rsidP="00DC5685">
            <w:pPr>
              <w:widowControl w:val="0"/>
              <w:suppressAutoHyphens/>
              <w:rPr>
                <w:i/>
                <w:sz w:val="20"/>
              </w:rPr>
            </w:pPr>
            <w:r w:rsidRPr="00A34F10">
              <w:rPr>
                <w:b/>
                <w:bCs/>
                <w:iCs/>
                <w:sz w:val="20"/>
              </w:rPr>
              <w:t>Chronic</w:t>
            </w:r>
          </w:p>
        </w:tc>
      </w:tr>
      <w:tr w:rsidR="00DC5685" w:rsidRPr="00A34F10" w14:paraId="302FE92A" w14:textId="77777777" w:rsidTr="000470C3">
        <w:tc>
          <w:tcPr>
            <w:tcW w:w="995" w:type="pct"/>
            <w:shd w:val="clear" w:color="auto" w:fill="auto"/>
            <w:vAlign w:val="center"/>
          </w:tcPr>
          <w:p w14:paraId="6C5118CE" w14:textId="77777777" w:rsidR="00DC5685" w:rsidRPr="00A34F10" w:rsidRDefault="00DC5685" w:rsidP="00DC5685">
            <w:pPr>
              <w:widowControl w:val="0"/>
              <w:suppressAutoHyphens/>
              <w:rPr>
                <w:i/>
                <w:sz w:val="20"/>
              </w:rPr>
            </w:pPr>
            <w:r w:rsidRPr="00A34F10">
              <w:rPr>
                <w:i/>
                <w:sz w:val="20"/>
              </w:rPr>
              <w:t>Eisenia andrei</w:t>
            </w:r>
          </w:p>
        </w:tc>
        <w:tc>
          <w:tcPr>
            <w:tcW w:w="996" w:type="pct"/>
            <w:shd w:val="clear" w:color="auto" w:fill="auto"/>
            <w:vAlign w:val="center"/>
          </w:tcPr>
          <w:p w14:paraId="7E319A55" w14:textId="77777777" w:rsidR="00DC5685" w:rsidRPr="00A34F10" w:rsidRDefault="00DC5685" w:rsidP="00DC5685">
            <w:pPr>
              <w:widowControl w:val="0"/>
              <w:suppressAutoHyphens/>
              <w:rPr>
                <w:sz w:val="20"/>
              </w:rPr>
            </w:pPr>
            <w:r w:rsidRPr="00A34F10">
              <w:rPr>
                <w:sz w:val="20"/>
              </w:rPr>
              <w:t>BAS 743 02 F**</w:t>
            </w:r>
          </w:p>
        </w:tc>
        <w:tc>
          <w:tcPr>
            <w:tcW w:w="996" w:type="pct"/>
            <w:shd w:val="clear" w:color="auto" w:fill="auto"/>
            <w:vAlign w:val="center"/>
          </w:tcPr>
          <w:p w14:paraId="4FFAA6B0" w14:textId="77777777" w:rsidR="00DC5685" w:rsidRPr="00A34F10" w:rsidRDefault="00DC5685" w:rsidP="00DC5685">
            <w:pPr>
              <w:widowControl w:val="0"/>
              <w:suppressAutoHyphens/>
              <w:rPr>
                <w:sz w:val="20"/>
              </w:rPr>
            </w:pPr>
            <w:r w:rsidRPr="00A34F10">
              <w:rPr>
                <w:sz w:val="20"/>
              </w:rPr>
              <w:t>Mixed into substrate 56 d, chronic</w:t>
            </w:r>
            <w:r w:rsidRPr="00A34F10">
              <w:rPr>
                <w:sz w:val="20"/>
              </w:rPr>
              <w:br/>
              <w:t>10% peat content</w:t>
            </w:r>
          </w:p>
        </w:tc>
        <w:tc>
          <w:tcPr>
            <w:tcW w:w="1182" w:type="pct"/>
            <w:shd w:val="clear" w:color="auto" w:fill="auto"/>
            <w:vAlign w:val="center"/>
          </w:tcPr>
          <w:p w14:paraId="5DD998DC" w14:textId="77777777" w:rsidR="00DC5685" w:rsidRPr="00A34F10" w:rsidRDefault="00DC5685" w:rsidP="00DC5685">
            <w:pPr>
              <w:widowControl w:val="0"/>
              <w:suppressAutoHyphens/>
              <w:rPr>
                <w:sz w:val="20"/>
                <w:vertAlign w:val="superscript"/>
              </w:rPr>
            </w:pPr>
            <w:r w:rsidRPr="00A34F10">
              <w:rPr>
                <w:sz w:val="20"/>
              </w:rPr>
              <w:t>NOEC = 171 mg product/kg dry soil</w:t>
            </w:r>
          </w:p>
          <w:p w14:paraId="7FCA117A" w14:textId="77777777" w:rsidR="00DC5685" w:rsidRPr="00A34F10" w:rsidRDefault="00DC5685" w:rsidP="00DC5685">
            <w:pPr>
              <w:widowControl w:val="0"/>
              <w:suppressAutoHyphens/>
              <w:rPr>
                <w:b/>
                <w:bCs/>
                <w:sz w:val="20"/>
              </w:rPr>
            </w:pPr>
            <w:r w:rsidRPr="00A34F10">
              <w:rPr>
                <w:b/>
                <w:bCs/>
                <w:sz w:val="20"/>
              </w:rPr>
              <w:t>NOEC</w:t>
            </w:r>
            <w:r w:rsidRPr="00A34F10">
              <w:rPr>
                <w:b/>
                <w:bCs/>
                <w:sz w:val="20"/>
                <w:vertAlign w:val="subscript"/>
              </w:rPr>
              <w:t>CORR</w:t>
            </w:r>
            <w:r w:rsidRPr="00A34F10">
              <w:rPr>
                <w:b/>
                <w:bCs/>
                <w:sz w:val="20"/>
              </w:rPr>
              <w:t xml:space="preserve"> = 85.5 mg product/kg dry soil</w:t>
            </w:r>
          </w:p>
          <w:p w14:paraId="060D6232" w14:textId="77777777" w:rsidR="00DC5685" w:rsidRPr="00A34F10" w:rsidRDefault="00DC5685" w:rsidP="00DC5685">
            <w:pPr>
              <w:widowControl w:val="0"/>
              <w:suppressAutoHyphens/>
              <w:rPr>
                <w:sz w:val="20"/>
              </w:rPr>
            </w:pPr>
            <w:r w:rsidRPr="00A34F10">
              <w:rPr>
                <w:sz w:val="20"/>
              </w:rPr>
              <w:t>EC</w:t>
            </w:r>
            <w:r w:rsidRPr="00A34F10">
              <w:rPr>
                <w:sz w:val="20"/>
                <w:vertAlign w:val="subscript"/>
              </w:rPr>
              <w:t>10</w:t>
            </w:r>
            <w:r w:rsidRPr="00A34F10">
              <w:rPr>
                <w:sz w:val="20"/>
              </w:rPr>
              <w:t xml:space="preserve"> = n.d.</w:t>
            </w:r>
          </w:p>
        </w:tc>
        <w:tc>
          <w:tcPr>
            <w:tcW w:w="831" w:type="pct"/>
            <w:shd w:val="clear" w:color="auto" w:fill="auto"/>
            <w:vAlign w:val="center"/>
          </w:tcPr>
          <w:p w14:paraId="4A7CC8CB" w14:textId="77777777" w:rsidR="00DC5685" w:rsidRPr="00A34F10" w:rsidRDefault="00DC5685" w:rsidP="00DC5685">
            <w:pPr>
              <w:widowControl w:val="0"/>
              <w:suppressAutoHyphens/>
              <w:rPr>
                <w:bCs/>
                <w:iCs/>
                <w:sz w:val="20"/>
                <w:szCs w:val="20"/>
              </w:rPr>
            </w:pPr>
            <w:r w:rsidRPr="00A34F10">
              <w:rPr>
                <w:sz w:val="20"/>
                <w:szCs w:val="20"/>
              </w:rPr>
              <w:t>new study</w:t>
            </w:r>
            <w:r w:rsidRPr="00A34F10">
              <w:rPr>
                <w:sz w:val="20"/>
              </w:rPr>
              <w:t xml:space="preserve"> 2022/2033719</w:t>
            </w:r>
          </w:p>
        </w:tc>
      </w:tr>
      <w:tr w:rsidR="00DC5685" w:rsidRPr="00A34F10" w14:paraId="5262C9B0" w14:textId="77777777" w:rsidTr="000470C3">
        <w:tc>
          <w:tcPr>
            <w:tcW w:w="995" w:type="pct"/>
            <w:shd w:val="clear" w:color="auto" w:fill="auto"/>
            <w:vAlign w:val="center"/>
          </w:tcPr>
          <w:p w14:paraId="3910CCCC" w14:textId="77777777" w:rsidR="00DC5685" w:rsidRPr="00A34F10" w:rsidRDefault="00DC5685" w:rsidP="00DC5685">
            <w:pPr>
              <w:widowControl w:val="0"/>
              <w:suppressAutoHyphens/>
              <w:rPr>
                <w:i/>
                <w:sz w:val="20"/>
              </w:rPr>
            </w:pPr>
            <w:r w:rsidRPr="00A34F10">
              <w:rPr>
                <w:i/>
                <w:sz w:val="20"/>
              </w:rPr>
              <w:t>Eisenia andrei</w:t>
            </w:r>
          </w:p>
        </w:tc>
        <w:tc>
          <w:tcPr>
            <w:tcW w:w="996" w:type="pct"/>
            <w:shd w:val="clear" w:color="auto" w:fill="auto"/>
            <w:vAlign w:val="center"/>
          </w:tcPr>
          <w:p w14:paraId="548D6E19" w14:textId="77777777" w:rsidR="00DC5685" w:rsidRPr="00A34F10" w:rsidRDefault="00DC5685" w:rsidP="00DC5685">
            <w:pPr>
              <w:widowControl w:val="0"/>
              <w:suppressAutoHyphens/>
              <w:rPr>
                <w:sz w:val="20"/>
              </w:rPr>
            </w:pPr>
            <w:r w:rsidRPr="00A34F10">
              <w:rPr>
                <w:sz w:val="20"/>
              </w:rPr>
              <w:t>BAS 743 03 F</w:t>
            </w:r>
          </w:p>
        </w:tc>
        <w:tc>
          <w:tcPr>
            <w:tcW w:w="996" w:type="pct"/>
            <w:shd w:val="clear" w:color="auto" w:fill="auto"/>
            <w:vAlign w:val="center"/>
          </w:tcPr>
          <w:p w14:paraId="50C59391" w14:textId="77777777" w:rsidR="00DC5685" w:rsidRPr="00A34F10" w:rsidRDefault="00DC5685" w:rsidP="00DC5685">
            <w:pPr>
              <w:widowControl w:val="0"/>
              <w:suppressAutoHyphens/>
              <w:rPr>
                <w:sz w:val="20"/>
              </w:rPr>
            </w:pPr>
            <w:r w:rsidRPr="00A34F10">
              <w:rPr>
                <w:sz w:val="20"/>
              </w:rPr>
              <w:t>Mixed into substrate 56 d, chronic</w:t>
            </w:r>
            <w:r w:rsidRPr="00A34F10">
              <w:rPr>
                <w:sz w:val="20"/>
              </w:rPr>
              <w:br/>
              <w:t>10% peat content</w:t>
            </w:r>
          </w:p>
        </w:tc>
        <w:tc>
          <w:tcPr>
            <w:tcW w:w="1182" w:type="pct"/>
            <w:shd w:val="clear" w:color="auto" w:fill="auto"/>
            <w:vAlign w:val="center"/>
          </w:tcPr>
          <w:p w14:paraId="46BAFD63" w14:textId="77777777" w:rsidR="00DC5685" w:rsidRPr="00A34F10" w:rsidRDefault="00DC5685" w:rsidP="00DC5685">
            <w:pPr>
              <w:widowControl w:val="0"/>
              <w:suppressAutoHyphens/>
              <w:rPr>
                <w:sz w:val="20"/>
                <w:vertAlign w:val="superscript"/>
              </w:rPr>
            </w:pPr>
            <w:r w:rsidRPr="00A34F10">
              <w:rPr>
                <w:sz w:val="20"/>
              </w:rPr>
              <w:t>NOEC = 171 mg product/kg dry soil</w:t>
            </w:r>
          </w:p>
          <w:p w14:paraId="0E97A565" w14:textId="77777777" w:rsidR="00DC5685" w:rsidRPr="00A34F10" w:rsidRDefault="00DC5685" w:rsidP="00DC5685">
            <w:pPr>
              <w:widowControl w:val="0"/>
              <w:suppressAutoHyphens/>
              <w:rPr>
                <w:b/>
                <w:bCs/>
                <w:sz w:val="20"/>
              </w:rPr>
            </w:pPr>
            <w:r w:rsidRPr="00A34F10">
              <w:rPr>
                <w:b/>
                <w:bCs/>
                <w:sz w:val="20"/>
              </w:rPr>
              <w:t>NOEC</w:t>
            </w:r>
            <w:r w:rsidRPr="00A34F10">
              <w:rPr>
                <w:b/>
                <w:bCs/>
                <w:sz w:val="20"/>
                <w:vertAlign w:val="subscript"/>
              </w:rPr>
              <w:t>CORR</w:t>
            </w:r>
            <w:r w:rsidRPr="00A34F10">
              <w:rPr>
                <w:b/>
                <w:bCs/>
                <w:sz w:val="20"/>
              </w:rPr>
              <w:t xml:space="preserve"> = 85.5 mg product/kg dry soil</w:t>
            </w:r>
          </w:p>
          <w:p w14:paraId="6AB0D2C7" w14:textId="77777777" w:rsidR="00DC5685" w:rsidRPr="00A34F10" w:rsidRDefault="00DC5685" w:rsidP="00DC5685">
            <w:pPr>
              <w:widowControl w:val="0"/>
              <w:suppressAutoHyphens/>
              <w:rPr>
                <w:sz w:val="20"/>
              </w:rPr>
            </w:pPr>
            <w:r w:rsidRPr="00A34F10">
              <w:rPr>
                <w:sz w:val="20"/>
              </w:rPr>
              <w:t>EC</w:t>
            </w:r>
            <w:r w:rsidRPr="00A34F10">
              <w:rPr>
                <w:sz w:val="20"/>
                <w:vertAlign w:val="subscript"/>
              </w:rPr>
              <w:t>10</w:t>
            </w:r>
            <w:r w:rsidRPr="00A34F10">
              <w:rPr>
                <w:sz w:val="20"/>
              </w:rPr>
              <w:t xml:space="preserve"> = n.d.</w:t>
            </w:r>
          </w:p>
        </w:tc>
        <w:tc>
          <w:tcPr>
            <w:tcW w:w="831" w:type="pct"/>
            <w:shd w:val="clear" w:color="auto" w:fill="auto"/>
            <w:vAlign w:val="center"/>
          </w:tcPr>
          <w:p w14:paraId="1C931A40" w14:textId="77777777" w:rsidR="00DC5685" w:rsidRPr="00A34F10" w:rsidRDefault="00DC5685" w:rsidP="00DC5685">
            <w:pPr>
              <w:widowControl w:val="0"/>
              <w:suppressAutoHyphens/>
              <w:rPr>
                <w:sz w:val="20"/>
                <w:szCs w:val="20"/>
              </w:rPr>
            </w:pPr>
            <w:r w:rsidRPr="00A34F10">
              <w:rPr>
                <w:sz w:val="20"/>
                <w:szCs w:val="20"/>
              </w:rPr>
              <w:t>new study</w:t>
            </w:r>
            <w:r w:rsidRPr="00A34F10">
              <w:rPr>
                <w:sz w:val="20"/>
              </w:rPr>
              <w:t xml:space="preserve"> 2022/2033731</w:t>
            </w:r>
          </w:p>
        </w:tc>
      </w:tr>
      <w:tr w:rsidR="00DC5685" w:rsidRPr="00A34F10" w14:paraId="58B66A05" w14:textId="77777777" w:rsidTr="000470C3">
        <w:tc>
          <w:tcPr>
            <w:tcW w:w="995" w:type="pct"/>
            <w:shd w:val="clear" w:color="auto" w:fill="auto"/>
            <w:vAlign w:val="center"/>
          </w:tcPr>
          <w:p w14:paraId="32E046DF" w14:textId="77777777" w:rsidR="00DC5685" w:rsidRPr="00A34F10" w:rsidRDefault="00DC5685" w:rsidP="00DC5685">
            <w:pPr>
              <w:widowControl w:val="0"/>
              <w:suppressAutoHyphens/>
              <w:rPr>
                <w:i/>
                <w:sz w:val="20"/>
              </w:rPr>
            </w:pPr>
            <w:r w:rsidRPr="00A34F10">
              <w:rPr>
                <w:i/>
                <w:sz w:val="20"/>
              </w:rPr>
              <w:t>Folsomia candida</w:t>
            </w:r>
          </w:p>
        </w:tc>
        <w:tc>
          <w:tcPr>
            <w:tcW w:w="996" w:type="pct"/>
            <w:shd w:val="clear" w:color="auto" w:fill="auto"/>
            <w:vAlign w:val="center"/>
          </w:tcPr>
          <w:p w14:paraId="610B9BFF" w14:textId="77777777" w:rsidR="00DC5685" w:rsidRPr="00A34F10" w:rsidRDefault="00DC5685" w:rsidP="00DC5685">
            <w:pPr>
              <w:widowControl w:val="0"/>
              <w:suppressAutoHyphens/>
              <w:rPr>
                <w:sz w:val="20"/>
                <w:szCs w:val="20"/>
              </w:rPr>
            </w:pPr>
            <w:r w:rsidRPr="00A34F10">
              <w:rPr>
                <w:sz w:val="20"/>
                <w:szCs w:val="20"/>
              </w:rPr>
              <w:t>BAS 743 02 F**</w:t>
            </w:r>
          </w:p>
        </w:tc>
        <w:tc>
          <w:tcPr>
            <w:tcW w:w="996" w:type="pct"/>
            <w:shd w:val="clear" w:color="auto" w:fill="auto"/>
            <w:vAlign w:val="center"/>
          </w:tcPr>
          <w:p w14:paraId="156C6E51" w14:textId="77777777" w:rsidR="00DC5685" w:rsidRPr="00A34F10" w:rsidRDefault="00DC5685" w:rsidP="00DC5685">
            <w:pPr>
              <w:widowControl w:val="0"/>
              <w:suppressAutoHyphens/>
              <w:rPr>
                <w:sz w:val="20"/>
                <w:szCs w:val="20"/>
              </w:rPr>
            </w:pPr>
            <w:r w:rsidRPr="00A34F10">
              <w:rPr>
                <w:sz w:val="20"/>
                <w:szCs w:val="20"/>
              </w:rPr>
              <w:t>Mixed into substrate 28 d, chronic</w:t>
            </w:r>
            <w:r w:rsidRPr="00A34F10">
              <w:rPr>
                <w:sz w:val="20"/>
                <w:szCs w:val="20"/>
              </w:rPr>
              <w:br/>
              <w:t>5% peat content</w:t>
            </w:r>
          </w:p>
        </w:tc>
        <w:tc>
          <w:tcPr>
            <w:tcW w:w="1182" w:type="pct"/>
            <w:shd w:val="clear" w:color="auto" w:fill="auto"/>
            <w:vAlign w:val="center"/>
          </w:tcPr>
          <w:p w14:paraId="7BD0C362" w14:textId="77777777" w:rsidR="00DC5685" w:rsidRPr="00A34F10" w:rsidRDefault="00DC5685" w:rsidP="00DC5685">
            <w:pPr>
              <w:widowControl w:val="0"/>
              <w:suppressAutoHyphens/>
              <w:rPr>
                <w:sz w:val="20"/>
                <w:szCs w:val="20"/>
              </w:rPr>
            </w:pPr>
            <w:r w:rsidRPr="00A34F10">
              <w:rPr>
                <w:sz w:val="20"/>
                <w:szCs w:val="20"/>
              </w:rPr>
              <w:t>NOEC ≥ 556 mg product/kg dry soil</w:t>
            </w:r>
          </w:p>
          <w:p w14:paraId="12E47C04" w14:textId="77777777" w:rsidR="00DC5685" w:rsidRPr="00A34F10" w:rsidRDefault="00DC5685" w:rsidP="00DC5685">
            <w:pPr>
              <w:widowControl w:val="0"/>
              <w:suppressAutoHyphens/>
              <w:rPr>
                <w:b/>
                <w:bCs/>
                <w:sz w:val="20"/>
                <w:szCs w:val="20"/>
              </w:rPr>
            </w:pPr>
            <w:r w:rsidRPr="00A34F10">
              <w:rPr>
                <w:b/>
                <w:bCs/>
                <w:sz w:val="20"/>
                <w:szCs w:val="20"/>
              </w:rPr>
              <w:t>NOEC</w:t>
            </w:r>
            <w:r w:rsidRPr="00A34F10">
              <w:rPr>
                <w:b/>
                <w:bCs/>
                <w:sz w:val="20"/>
                <w:szCs w:val="20"/>
                <w:vertAlign w:val="subscript"/>
              </w:rPr>
              <w:t>CORR</w:t>
            </w:r>
            <w:r w:rsidRPr="00A34F10">
              <w:rPr>
                <w:b/>
                <w:bCs/>
                <w:sz w:val="20"/>
                <w:szCs w:val="20"/>
              </w:rPr>
              <w:t xml:space="preserve"> </w:t>
            </w:r>
            <w:r w:rsidRPr="00A34F10">
              <w:rPr>
                <w:b/>
                <w:bCs/>
                <w:sz w:val="20"/>
                <w:szCs w:val="20"/>
                <w:u w:val="single"/>
              </w:rPr>
              <w:t>&gt;</w:t>
            </w:r>
            <w:r w:rsidRPr="00A34F10">
              <w:rPr>
                <w:b/>
                <w:bCs/>
                <w:sz w:val="20"/>
                <w:szCs w:val="20"/>
              </w:rPr>
              <w:t xml:space="preserve"> 278 mg product/kg dry soil</w:t>
            </w:r>
          </w:p>
          <w:p w14:paraId="62767134" w14:textId="77777777" w:rsidR="00DC5685" w:rsidRPr="00A34F10" w:rsidRDefault="00DC5685" w:rsidP="00DC5685">
            <w:pPr>
              <w:widowControl w:val="0"/>
              <w:suppressAutoHyphens/>
              <w:rPr>
                <w:sz w:val="20"/>
                <w:szCs w:val="20"/>
              </w:rPr>
            </w:pPr>
            <w:r w:rsidRPr="00A34F10">
              <w:rPr>
                <w:sz w:val="20"/>
                <w:szCs w:val="20"/>
              </w:rPr>
              <w:t>EC</w:t>
            </w:r>
            <w:r w:rsidRPr="00A34F10">
              <w:rPr>
                <w:sz w:val="20"/>
                <w:szCs w:val="20"/>
                <w:vertAlign w:val="subscript"/>
              </w:rPr>
              <w:t>10</w:t>
            </w:r>
            <w:r w:rsidRPr="00A34F10">
              <w:rPr>
                <w:sz w:val="20"/>
                <w:szCs w:val="20"/>
              </w:rPr>
              <w:t xml:space="preserve"> n.d.</w:t>
            </w:r>
          </w:p>
          <w:p w14:paraId="74E1CA3A" w14:textId="77777777" w:rsidR="00DC5685" w:rsidRPr="00A34F10" w:rsidRDefault="00DC5685" w:rsidP="00DC5685">
            <w:pPr>
              <w:widowControl w:val="0"/>
              <w:suppressAutoHyphens/>
              <w:rPr>
                <w:sz w:val="20"/>
                <w:szCs w:val="20"/>
              </w:rPr>
            </w:pPr>
          </w:p>
        </w:tc>
        <w:tc>
          <w:tcPr>
            <w:tcW w:w="831" w:type="pct"/>
            <w:shd w:val="clear" w:color="auto" w:fill="auto"/>
            <w:vAlign w:val="center"/>
          </w:tcPr>
          <w:p w14:paraId="15181A52" w14:textId="77777777" w:rsidR="00DC5685" w:rsidRPr="00A34F10" w:rsidRDefault="00DC5685" w:rsidP="00DC5685">
            <w:pPr>
              <w:widowControl w:val="0"/>
              <w:suppressAutoHyphens/>
              <w:rPr>
                <w:bCs/>
                <w:iCs/>
                <w:sz w:val="20"/>
                <w:szCs w:val="20"/>
              </w:rPr>
            </w:pPr>
            <w:r w:rsidRPr="00A34F10">
              <w:rPr>
                <w:sz w:val="20"/>
                <w:szCs w:val="20"/>
              </w:rPr>
              <w:t>new study</w:t>
            </w:r>
            <w:r w:rsidRPr="00A34F10">
              <w:rPr>
                <w:bCs/>
                <w:iCs/>
                <w:sz w:val="20"/>
                <w:szCs w:val="20"/>
              </w:rPr>
              <w:t xml:space="preserve"> </w:t>
            </w:r>
            <w:r w:rsidRPr="00A34F10">
              <w:rPr>
                <w:noProof/>
                <w:color w:val="000000"/>
                <w:sz w:val="20"/>
                <w:szCs w:val="20"/>
              </w:rPr>
              <w:t>2022/2033720</w:t>
            </w:r>
          </w:p>
        </w:tc>
      </w:tr>
      <w:tr w:rsidR="00DC5685" w:rsidRPr="00A34F10" w14:paraId="67E54857" w14:textId="77777777" w:rsidTr="000470C3">
        <w:tc>
          <w:tcPr>
            <w:tcW w:w="995" w:type="pct"/>
            <w:shd w:val="clear" w:color="auto" w:fill="auto"/>
            <w:vAlign w:val="center"/>
          </w:tcPr>
          <w:p w14:paraId="690E1E6D" w14:textId="77777777" w:rsidR="00DC5685" w:rsidRPr="00A34F10" w:rsidRDefault="00DC5685" w:rsidP="00DC5685">
            <w:pPr>
              <w:widowControl w:val="0"/>
              <w:suppressAutoHyphens/>
              <w:rPr>
                <w:i/>
                <w:sz w:val="20"/>
              </w:rPr>
            </w:pPr>
            <w:r w:rsidRPr="00A34F10">
              <w:rPr>
                <w:i/>
                <w:iCs/>
                <w:sz w:val="20"/>
              </w:rPr>
              <w:t>Hypoaspis aculeifer</w:t>
            </w:r>
          </w:p>
        </w:tc>
        <w:tc>
          <w:tcPr>
            <w:tcW w:w="996" w:type="pct"/>
            <w:shd w:val="clear" w:color="auto" w:fill="auto"/>
            <w:vAlign w:val="center"/>
          </w:tcPr>
          <w:p w14:paraId="5DB228EB" w14:textId="77777777" w:rsidR="00DC5685" w:rsidRPr="00A34F10" w:rsidRDefault="00DC5685" w:rsidP="00DC5685">
            <w:pPr>
              <w:widowControl w:val="0"/>
              <w:suppressAutoHyphens/>
              <w:rPr>
                <w:sz w:val="20"/>
              </w:rPr>
            </w:pPr>
            <w:r w:rsidRPr="00A34F10">
              <w:rPr>
                <w:sz w:val="20"/>
              </w:rPr>
              <w:t>BAS 743 02 F**</w:t>
            </w:r>
          </w:p>
        </w:tc>
        <w:tc>
          <w:tcPr>
            <w:tcW w:w="996" w:type="pct"/>
            <w:shd w:val="clear" w:color="auto" w:fill="auto"/>
            <w:vAlign w:val="center"/>
          </w:tcPr>
          <w:p w14:paraId="16D899BD" w14:textId="77777777" w:rsidR="00DC5685" w:rsidRPr="00A34F10" w:rsidRDefault="00DC5685" w:rsidP="00DC5685">
            <w:pPr>
              <w:widowControl w:val="0"/>
              <w:suppressAutoHyphens/>
              <w:rPr>
                <w:sz w:val="20"/>
              </w:rPr>
            </w:pPr>
            <w:r w:rsidRPr="00A34F10">
              <w:rPr>
                <w:sz w:val="20"/>
              </w:rPr>
              <w:t>Mixed into substrate 14 d, chronic</w:t>
            </w:r>
            <w:r w:rsidRPr="00A34F10">
              <w:rPr>
                <w:sz w:val="20"/>
              </w:rPr>
              <w:br/>
              <w:t>5% peat content</w:t>
            </w:r>
          </w:p>
        </w:tc>
        <w:tc>
          <w:tcPr>
            <w:tcW w:w="1182" w:type="pct"/>
            <w:shd w:val="clear" w:color="auto" w:fill="auto"/>
            <w:vAlign w:val="center"/>
          </w:tcPr>
          <w:p w14:paraId="0E8E9D63" w14:textId="77777777" w:rsidR="00DC5685" w:rsidRPr="00A34F10" w:rsidRDefault="00DC5685" w:rsidP="00DC5685">
            <w:pPr>
              <w:widowControl w:val="0"/>
              <w:suppressAutoHyphens/>
              <w:rPr>
                <w:sz w:val="20"/>
              </w:rPr>
            </w:pPr>
            <w:r w:rsidRPr="00A34F10">
              <w:rPr>
                <w:sz w:val="20"/>
              </w:rPr>
              <w:t>NOEC ≥ 1000 mg product/kg dry soil</w:t>
            </w:r>
          </w:p>
          <w:p w14:paraId="10389B83" w14:textId="77777777" w:rsidR="00DC5685" w:rsidRPr="00A34F10" w:rsidRDefault="00DC5685" w:rsidP="00DC5685">
            <w:pPr>
              <w:widowControl w:val="0"/>
              <w:suppressAutoHyphens/>
              <w:rPr>
                <w:b/>
                <w:bCs/>
                <w:sz w:val="20"/>
              </w:rPr>
            </w:pPr>
            <w:r w:rsidRPr="00A34F10">
              <w:rPr>
                <w:b/>
                <w:bCs/>
                <w:sz w:val="20"/>
              </w:rPr>
              <w:t>NOEC</w:t>
            </w:r>
            <w:r w:rsidRPr="00A34F10">
              <w:rPr>
                <w:b/>
                <w:bCs/>
                <w:sz w:val="20"/>
                <w:vertAlign w:val="subscript"/>
              </w:rPr>
              <w:t>CORR</w:t>
            </w:r>
            <w:r w:rsidRPr="00A34F10">
              <w:rPr>
                <w:b/>
                <w:bCs/>
                <w:sz w:val="20"/>
              </w:rPr>
              <w:t xml:space="preserve"> </w:t>
            </w:r>
            <w:r w:rsidRPr="00A34F10">
              <w:rPr>
                <w:b/>
                <w:bCs/>
                <w:sz w:val="20"/>
                <w:u w:val="single"/>
              </w:rPr>
              <w:t>&gt;</w:t>
            </w:r>
            <w:r w:rsidRPr="00A34F10">
              <w:rPr>
                <w:b/>
                <w:bCs/>
                <w:sz w:val="20"/>
              </w:rPr>
              <w:t xml:space="preserve"> 500 mg product/kg dry soil</w:t>
            </w:r>
          </w:p>
          <w:p w14:paraId="66B29B12" w14:textId="77777777" w:rsidR="00DC5685" w:rsidRPr="00A34F10" w:rsidRDefault="00DC5685" w:rsidP="00DC5685">
            <w:pPr>
              <w:widowControl w:val="0"/>
              <w:suppressAutoHyphens/>
              <w:rPr>
                <w:sz w:val="20"/>
              </w:rPr>
            </w:pPr>
            <w:r w:rsidRPr="00A34F10">
              <w:rPr>
                <w:sz w:val="20"/>
              </w:rPr>
              <w:t>EC</w:t>
            </w:r>
            <w:r w:rsidRPr="00A34F10">
              <w:rPr>
                <w:sz w:val="20"/>
                <w:vertAlign w:val="subscript"/>
              </w:rPr>
              <w:t>10</w:t>
            </w:r>
            <w:r w:rsidRPr="00A34F10">
              <w:rPr>
                <w:sz w:val="20"/>
              </w:rPr>
              <w:t xml:space="preserve"> &gt; 1000 mg product/kg dry soil</w:t>
            </w:r>
          </w:p>
        </w:tc>
        <w:tc>
          <w:tcPr>
            <w:tcW w:w="831" w:type="pct"/>
            <w:shd w:val="clear" w:color="auto" w:fill="auto"/>
            <w:vAlign w:val="center"/>
          </w:tcPr>
          <w:p w14:paraId="6CF4015D" w14:textId="77777777" w:rsidR="00DC5685" w:rsidRPr="00A34F10" w:rsidRDefault="00DC5685" w:rsidP="00DC5685">
            <w:pPr>
              <w:widowControl w:val="0"/>
              <w:suppressAutoHyphens/>
              <w:rPr>
                <w:bCs/>
                <w:iCs/>
                <w:sz w:val="20"/>
                <w:szCs w:val="20"/>
              </w:rPr>
            </w:pPr>
            <w:r w:rsidRPr="00A34F10">
              <w:rPr>
                <w:sz w:val="20"/>
                <w:szCs w:val="20"/>
              </w:rPr>
              <w:t>new study</w:t>
            </w:r>
            <w:r w:rsidRPr="00A34F10">
              <w:rPr>
                <w:bCs/>
                <w:iCs/>
                <w:sz w:val="20"/>
              </w:rPr>
              <w:t xml:space="preserve"> 2022/2033721</w:t>
            </w:r>
          </w:p>
        </w:tc>
      </w:tr>
    </w:tbl>
    <w:p w14:paraId="62151FAC" w14:textId="77777777" w:rsidR="00DC5685" w:rsidRPr="00A34F10" w:rsidRDefault="00DC5685" w:rsidP="00DC5685">
      <w:pPr>
        <w:tabs>
          <w:tab w:val="left" w:pos="720"/>
        </w:tabs>
        <w:suppressAutoHyphens/>
        <w:ind w:left="425" w:hanging="425"/>
        <w:jc w:val="both"/>
        <w:rPr>
          <w:sz w:val="18"/>
          <w:szCs w:val="24"/>
          <w:lang w:val="en-GB"/>
        </w:rPr>
      </w:pPr>
      <w:r w:rsidRPr="00A34F10">
        <w:rPr>
          <w:sz w:val="18"/>
          <w:szCs w:val="24"/>
          <w:lang w:val="en-GB"/>
        </w:rPr>
        <w:t>*</w:t>
      </w:r>
      <w:r w:rsidRPr="00A34F10">
        <w:rPr>
          <w:sz w:val="18"/>
          <w:szCs w:val="24"/>
          <w:lang w:val="en-GB"/>
        </w:rPr>
        <w:tab/>
        <w:t xml:space="preserve">As the log Pow of ametoctradin is &gt; 2, the EPPO correction factor of 2 has been applied. </w:t>
      </w:r>
      <w:bookmarkStart w:id="751" w:name="_Hlk41919420"/>
    </w:p>
    <w:p w14:paraId="5F6D032B" w14:textId="77777777" w:rsidR="00DC5685" w:rsidRPr="00A34F10" w:rsidRDefault="00DC5685" w:rsidP="00DC5685">
      <w:pPr>
        <w:tabs>
          <w:tab w:val="left" w:pos="720"/>
        </w:tabs>
        <w:suppressAutoHyphens/>
        <w:ind w:left="425" w:hanging="425"/>
        <w:jc w:val="both"/>
        <w:rPr>
          <w:sz w:val="18"/>
          <w:szCs w:val="24"/>
          <w:lang w:val="en-GB"/>
        </w:rPr>
      </w:pPr>
      <w:r w:rsidRPr="00A34F10">
        <w:rPr>
          <w:sz w:val="18"/>
          <w:szCs w:val="18"/>
        </w:rPr>
        <w:t>**</w:t>
      </w:r>
      <w:r w:rsidRPr="00A34F10">
        <w:rPr>
          <w:sz w:val="18"/>
          <w:szCs w:val="18"/>
        </w:rPr>
        <w:tab/>
        <w:t>Studies were conducted with the similar formulation BAS 743 02 F containing 137.1 g/L Ametoctradin and 515.4 g/L Propamocarb-HCl</w:t>
      </w:r>
    </w:p>
    <w:p w14:paraId="741F61DC" w14:textId="77777777" w:rsidR="00DC5685" w:rsidRPr="00A34F10" w:rsidRDefault="00DC5685" w:rsidP="00DC5685">
      <w:pPr>
        <w:tabs>
          <w:tab w:val="left" w:pos="720"/>
        </w:tabs>
        <w:suppressAutoHyphens/>
        <w:ind w:left="425" w:hanging="425"/>
        <w:jc w:val="both"/>
        <w:rPr>
          <w:sz w:val="18"/>
          <w:szCs w:val="24"/>
          <w:lang w:val="en-GB"/>
        </w:rPr>
      </w:pPr>
      <w:r w:rsidRPr="00A34F10">
        <w:rPr>
          <w:sz w:val="18"/>
          <w:szCs w:val="24"/>
          <w:lang w:val="en-GB"/>
        </w:rPr>
        <w:t>n.d. not determined</w:t>
      </w:r>
    </w:p>
    <w:p w14:paraId="72FA1B92" w14:textId="6836F84A" w:rsidR="00DC5685" w:rsidRPr="00A34F10" w:rsidRDefault="00DC5685" w:rsidP="00DC5685">
      <w:pPr>
        <w:tabs>
          <w:tab w:val="left" w:pos="720"/>
        </w:tabs>
        <w:suppressAutoHyphens/>
        <w:ind w:left="425" w:hanging="425"/>
        <w:jc w:val="both"/>
        <w:rPr>
          <w:sz w:val="18"/>
          <w:szCs w:val="18"/>
        </w:rPr>
      </w:pPr>
      <w:r w:rsidRPr="00A34F10">
        <w:rPr>
          <w:b/>
          <w:bCs/>
          <w:sz w:val="18"/>
          <w:szCs w:val="18"/>
        </w:rPr>
        <w:t>Bold</w:t>
      </w:r>
      <w:r w:rsidRPr="00A34F10">
        <w:rPr>
          <w:sz w:val="18"/>
          <w:szCs w:val="18"/>
        </w:rPr>
        <w:t xml:space="preserve"> figures: Endpoint used in aquatic risk assessment.</w:t>
      </w:r>
    </w:p>
    <w:p w14:paraId="0000AA8D" w14:textId="77777777" w:rsidR="00DC5685" w:rsidRPr="00A34F10" w:rsidRDefault="00DC5685" w:rsidP="00AF5842">
      <w:pPr>
        <w:pStyle w:val="Nagwek4"/>
      </w:pPr>
      <w:bookmarkStart w:id="752" w:name="_Toc181624992"/>
      <w:bookmarkEnd w:id="751"/>
      <w:r w:rsidRPr="00A34F10">
        <w:lastRenderedPageBreak/>
        <w:t>Justification for new endpoints</w:t>
      </w:r>
      <w:bookmarkEnd w:id="738"/>
      <w:bookmarkEnd w:id="739"/>
      <w:bookmarkEnd w:id="740"/>
      <w:bookmarkEnd w:id="741"/>
      <w:bookmarkEnd w:id="742"/>
      <w:bookmarkEnd w:id="743"/>
      <w:bookmarkEnd w:id="744"/>
      <w:bookmarkEnd w:id="745"/>
      <w:bookmarkEnd w:id="746"/>
      <w:bookmarkEnd w:id="752"/>
    </w:p>
    <w:p w14:paraId="349B961A" w14:textId="77777777" w:rsidR="00DC5685" w:rsidRPr="00A34F10" w:rsidRDefault="00DC5685" w:rsidP="00DC5685">
      <w:pPr>
        <w:widowControl w:val="0"/>
        <w:suppressAutoHyphens/>
        <w:jc w:val="both"/>
      </w:pPr>
      <w:bookmarkStart w:id="753" w:name="_Ref405924178"/>
      <w:bookmarkStart w:id="754" w:name="_Ref405924182"/>
      <w:r w:rsidRPr="00A34F10">
        <w:t>The selection of studies and endpoints for the risk assessment is in line with the results of the EU review process, plus new endpoints for Ametoctradin (tested as BAS 650 00 F) and for the formulations BAS 743 02 F and BAS 743 03 F have been taken into account as the endpoints for the formulated product are most relevant for the mixture of active substances.</w:t>
      </w:r>
    </w:p>
    <w:p w14:paraId="4FDA23BC" w14:textId="77777777" w:rsidR="00DC5685" w:rsidRPr="00A34F10" w:rsidRDefault="00DC5685" w:rsidP="00DC5685">
      <w:pPr>
        <w:widowControl w:val="0"/>
        <w:suppressAutoHyphens/>
        <w:jc w:val="both"/>
      </w:pPr>
    </w:p>
    <w:p w14:paraId="7E99C513" w14:textId="7021FF45" w:rsidR="0075532B" w:rsidRPr="00A34F10" w:rsidRDefault="00DC5685" w:rsidP="00DC5685">
      <w:pPr>
        <w:widowControl w:val="0"/>
        <w:suppressAutoHyphens/>
        <w:jc w:val="both"/>
        <w:rPr>
          <w:lang w:val="en-GB"/>
        </w:rPr>
      </w:pPr>
      <w:r w:rsidRPr="00A34F10">
        <w:rPr>
          <w:lang w:val="en-GB"/>
        </w:rPr>
        <w:t>Commission Regulation (EU) 283/2013 and (EU) 284/2013 require estimates of EC</w:t>
      </w:r>
      <w:r w:rsidRPr="00A34F10">
        <w:rPr>
          <w:vertAlign w:val="subscript"/>
          <w:lang w:val="en-GB"/>
        </w:rPr>
        <w:t>X</w:t>
      </w:r>
      <w:r w:rsidRPr="00A34F10">
        <w:rPr>
          <w:lang w:val="en-GB"/>
        </w:rPr>
        <w:t xml:space="preserve"> values (e.g. EC</w:t>
      </w:r>
      <w:r w:rsidRPr="00A34F10">
        <w:rPr>
          <w:vertAlign w:val="subscript"/>
          <w:lang w:val="en-GB"/>
        </w:rPr>
        <w:t>10</w:t>
      </w:r>
      <w:r w:rsidRPr="00A34F10">
        <w:rPr>
          <w:lang w:val="en-GB"/>
        </w:rPr>
        <w:t>, EC</w:t>
      </w:r>
      <w:r w:rsidRPr="00A34F10">
        <w:rPr>
          <w:vertAlign w:val="subscript"/>
          <w:lang w:val="en-GB"/>
        </w:rPr>
        <w:t>20</w:t>
      </w:r>
      <w:r w:rsidRPr="00A34F10">
        <w:rPr>
          <w:lang w:val="en-GB"/>
        </w:rPr>
        <w:t>) together with the NOEC value as toxicity endpoints for the risk-assessment on non-target soil meso- and macrofauna. Where possible, EC</w:t>
      </w:r>
      <w:r w:rsidRPr="00A34F10">
        <w:rPr>
          <w:vertAlign w:val="subscript"/>
          <w:lang w:val="en-GB"/>
        </w:rPr>
        <w:t>x</w:t>
      </w:r>
      <w:r w:rsidRPr="00A34F10">
        <w:rPr>
          <w:lang w:val="en-GB"/>
        </w:rPr>
        <w:t xml:space="preserve"> values were calculated. However, since in all cases the NOEC values were lower that the  EC</w:t>
      </w:r>
      <w:r w:rsidRPr="00A34F10">
        <w:rPr>
          <w:vertAlign w:val="subscript"/>
          <w:lang w:val="en-GB"/>
        </w:rPr>
        <w:t>10</w:t>
      </w:r>
      <w:r w:rsidRPr="00A34F10">
        <w:rPr>
          <w:lang w:val="en-GB"/>
        </w:rPr>
        <w:t xml:space="preserve"> values, the NOECs were used in the risk assessment.</w:t>
      </w:r>
    </w:p>
    <w:p w14:paraId="6C2A6BAD" w14:textId="77777777" w:rsidR="00DC5685" w:rsidRPr="00A34F10" w:rsidRDefault="00DC5685" w:rsidP="000B218E">
      <w:pPr>
        <w:pStyle w:val="Nagwek3"/>
      </w:pPr>
      <w:bookmarkStart w:id="755" w:name="_Toc412644022"/>
      <w:bookmarkStart w:id="756" w:name="_Toc413916866"/>
      <w:bookmarkStart w:id="757" w:name="_Toc413917008"/>
      <w:bookmarkStart w:id="758" w:name="_Toc413922069"/>
      <w:bookmarkStart w:id="759" w:name="_Toc413922558"/>
      <w:bookmarkStart w:id="760" w:name="_Toc413922662"/>
      <w:bookmarkStart w:id="761" w:name="_Toc414955299"/>
      <w:bookmarkStart w:id="762" w:name="_Toc415214606"/>
      <w:bookmarkStart w:id="763" w:name="_Toc425512627"/>
      <w:bookmarkStart w:id="764" w:name="_Toc181624993"/>
      <w:r w:rsidRPr="00A34F10">
        <w:t>Risk assessment</w:t>
      </w:r>
      <w:bookmarkEnd w:id="753"/>
      <w:bookmarkEnd w:id="754"/>
      <w:bookmarkEnd w:id="755"/>
      <w:bookmarkEnd w:id="756"/>
      <w:bookmarkEnd w:id="757"/>
      <w:bookmarkEnd w:id="758"/>
      <w:bookmarkEnd w:id="759"/>
      <w:bookmarkEnd w:id="760"/>
      <w:bookmarkEnd w:id="761"/>
      <w:bookmarkEnd w:id="762"/>
      <w:bookmarkEnd w:id="763"/>
      <w:bookmarkEnd w:id="764"/>
    </w:p>
    <w:p w14:paraId="3271BCC4" w14:textId="0010095E" w:rsidR="00DC5685" w:rsidRPr="00A34F10" w:rsidRDefault="00DC5685" w:rsidP="00DC5685">
      <w:pPr>
        <w:widowControl w:val="0"/>
        <w:suppressAutoHyphens/>
        <w:jc w:val="both"/>
      </w:pPr>
      <w:r w:rsidRPr="00A34F10">
        <w:t>The evaluation of the risk for earthworms and other non-target soil organisms (meso- and macrofauna) was performed in accordance with the recommendations of the “Guidance Document on Terrestrial Ecotoxicology”, as provided by the Commission Services (SANCO/10329/2002 rev 2 (final), October 17, 2002).</w:t>
      </w:r>
    </w:p>
    <w:p w14:paraId="50637ADA" w14:textId="77777777" w:rsidR="00DC5685" w:rsidRPr="00A34F10" w:rsidRDefault="00DC5685" w:rsidP="000B218E">
      <w:pPr>
        <w:pStyle w:val="Nagwek4"/>
      </w:pPr>
      <w:bookmarkStart w:id="765" w:name="_Toc412644023"/>
      <w:bookmarkStart w:id="766" w:name="_Toc413916867"/>
      <w:bookmarkStart w:id="767" w:name="_Toc413917009"/>
      <w:bookmarkStart w:id="768" w:name="_Toc413922070"/>
      <w:bookmarkStart w:id="769" w:name="_Toc413922559"/>
      <w:bookmarkStart w:id="770" w:name="_Toc413922663"/>
      <w:bookmarkStart w:id="771" w:name="_Toc414955300"/>
      <w:bookmarkStart w:id="772" w:name="_Toc415214607"/>
      <w:bookmarkStart w:id="773" w:name="_Toc425512628"/>
      <w:bookmarkStart w:id="774" w:name="_Toc181624994"/>
      <w:r w:rsidRPr="00A34F10">
        <w:t>First-tier risk assessment</w:t>
      </w:r>
      <w:bookmarkEnd w:id="765"/>
      <w:bookmarkEnd w:id="766"/>
      <w:bookmarkEnd w:id="767"/>
      <w:bookmarkEnd w:id="768"/>
      <w:bookmarkEnd w:id="769"/>
      <w:bookmarkEnd w:id="770"/>
      <w:bookmarkEnd w:id="771"/>
      <w:bookmarkEnd w:id="772"/>
      <w:bookmarkEnd w:id="773"/>
      <w:bookmarkEnd w:id="774"/>
    </w:p>
    <w:p w14:paraId="136CDA42" w14:textId="77777777" w:rsidR="00DC5685" w:rsidRPr="00A34F10" w:rsidRDefault="00DC5685" w:rsidP="00DC5685">
      <w:pPr>
        <w:widowControl w:val="0"/>
        <w:suppressAutoHyphens/>
        <w:jc w:val="both"/>
        <w:rPr>
          <w:caps/>
        </w:rPr>
      </w:pPr>
      <w:r w:rsidRPr="00A34F10">
        <w:t>The relevant predicted environmental concentrations in soil (PEC</w:t>
      </w:r>
      <w:r w:rsidRPr="00A34F10">
        <w:rPr>
          <w:vertAlign w:val="subscript"/>
        </w:rPr>
        <w:t>soil</w:t>
      </w:r>
      <w:r w:rsidRPr="00A34F10">
        <w:t>) for risk assessments covering the proposed use pattern are taken from Section 8 (Environmental Fate), Chapter 8.7.2</w:t>
      </w:r>
      <w:r w:rsidRPr="00A34F10">
        <w:rPr>
          <w:sz w:val="16"/>
          <w:szCs w:val="16"/>
        </w:rPr>
        <w:t xml:space="preserve">, </w:t>
      </w:r>
      <w:r w:rsidRPr="00A34F10">
        <w:rPr>
          <w:szCs w:val="16"/>
        </w:rPr>
        <w:t>T</w:t>
      </w:r>
      <w:r w:rsidRPr="00A34F10">
        <w:t>able 8.7-4 ff. According to the assessment of environmental-fate data, multi-annual accumulation in soil does not need to be considered for the active substance ametoctradin and its metabolite M650F03. In contrast, multi-annual accumulation needs to be considered for the Ametoctradin metabolite M650F04 and for Propamocarb-HCl. Following the EFSA Journal 2012;10(11):2921, no assessment was performed for the Ametoctradin metabolites M650F01 and M650F02.</w:t>
      </w:r>
    </w:p>
    <w:p w14:paraId="51FDE061" w14:textId="77777777" w:rsidR="00DC5685" w:rsidRPr="00A34F10" w:rsidRDefault="00DC5685" w:rsidP="00DC5685">
      <w:pPr>
        <w:widowControl w:val="0"/>
        <w:suppressAutoHyphens/>
        <w:jc w:val="both"/>
      </w:pPr>
    </w:p>
    <w:p w14:paraId="1395D13E" w14:textId="7F340C74" w:rsidR="00DC5685" w:rsidRPr="00A34F10" w:rsidRDefault="00DC5685" w:rsidP="00DC5685">
      <w:pPr>
        <w:widowControl w:val="0"/>
        <w:suppressAutoHyphens/>
        <w:jc w:val="both"/>
      </w:pPr>
      <w:r w:rsidRPr="00A34F10">
        <w:t>BAS 74303 F is applied at a maximum rate of 3 × 2.0 L/ha in potatoes, 2 × 2.0 L/ha in tomatoes and aubergine and 2 × 2.0 L/ha in onion. Following SANCO/6895/2009 rev 1, all uses required across the zone are covered within the present core assessment. The worst-case PEC</w:t>
      </w:r>
      <w:r w:rsidRPr="00A34F10">
        <w:rPr>
          <w:vertAlign w:val="subscript"/>
        </w:rPr>
        <w:t> soil</w:t>
      </w:r>
      <w:r w:rsidRPr="00A34F10">
        <w:t xml:space="preserve"> values which cover all uses relevant for the risk assessment (</w:t>
      </w:r>
      <w:r w:rsidRPr="00A34F10">
        <w:rPr>
          <w:i/>
        </w:rPr>
        <w:t>i.e.</w:t>
      </w:r>
      <w:r w:rsidRPr="00A34F10">
        <w:t xml:space="preserve"> derived from the use in onion for the active substance Ametoctradin and for the metabolite M650F03 as well as from the use in cucurbits for the Ametoctradin metabolite M650F04 and for Propamocarb-HCL) were calculated as described in Chapter 8.7.2.</w:t>
      </w:r>
    </w:p>
    <w:p w14:paraId="7588EF7E" w14:textId="77777777" w:rsidR="00DC5685" w:rsidRPr="00A34F10" w:rsidRDefault="00DC5685" w:rsidP="00DC5685">
      <w:pPr>
        <w:widowControl w:val="0"/>
        <w:suppressAutoHyphens/>
        <w:jc w:val="both"/>
      </w:pPr>
    </w:p>
    <w:p w14:paraId="2158A8EA" w14:textId="77777777" w:rsidR="00DC5685" w:rsidRPr="00A34F10" w:rsidRDefault="00DC5685" w:rsidP="00DC5685">
      <w:pPr>
        <w:widowControl w:val="0"/>
        <w:suppressAutoHyphens/>
        <w:jc w:val="both"/>
      </w:pPr>
      <w:r w:rsidRPr="00A34F10">
        <w:t>For substances with log P</w:t>
      </w:r>
      <w:r w:rsidRPr="00A34F10">
        <w:rPr>
          <w:vertAlign w:val="subscript"/>
        </w:rPr>
        <w:t>OW</w:t>
      </w:r>
      <w:r w:rsidRPr="00A34F10">
        <w:t xml:space="preserve"> values &gt; 2 and studies with an artificial soil, the resulting endpoints should be corrected by a factor of 2 (foc) in the risk assessment in order to address lower contents of organic material in natural soil, unless it can be demonstrated by soil sorption data or other evidence that the toxicity is independent of foc. Based on log P</w:t>
      </w:r>
      <w:r w:rsidRPr="00A34F10">
        <w:rPr>
          <w:vertAlign w:val="subscript"/>
        </w:rPr>
        <w:t>OW</w:t>
      </w:r>
      <w:r w:rsidRPr="00A34F10">
        <w:t xml:space="preserve"> of 4.4 for Ametoctradin, a correction needs to be applied. The corrected values in Table 9.8-4 are indicated as NOEC</w:t>
      </w:r>
      <w:r w:rsidRPr="00A34F10">
        <w:rPr>
          <w:vertAlign w:val="subscript"/>
        </w:rPr>
        <w:t>CORR</w:t>
      </w:r>
      <w:r w:rsidRPr="00A34F10">
        <w:t xml:space="preserve">. </w:t>
      </w:r>
      <w:bookmarkStart w:id="775" w:name="_Hlk41919159"/>
      <w:r w:rsidRPr="00A34F10">
        <w:t xml:space="preserve">The metabolites M650F03 and M650F04 have a log Pow of 0.2 </w:t>
      </w:r>
      <w:bookmarkEnd w:id="775"/>
      <w:r w:rsidRPr="00A34F10">
        <w:t>and 0.9, respectively, thus correction for organic matter is not necessary.</w:t>
      </w:r>
    </w:p>
    <w:p w14:paraId="6154E176" w14:textId="77777777" w:rsidR="00DC5685" w:rsidRPr="00A34F10" w:rsidRDefault="00DC5685" w:rsidP="00DC5685">
      <w:pPr>
        <w:widowControl w:val="0"/>
        <w:suppressAutoHyphens/>
        <w:jc w:val="both"/>
      </w:pPr>
    </w:p>
    <w:p w14:paraId="105A5E83" w14:textId="77777777" w:rsidR="00DC5685" w:rsidRPr="00A34F10" w:rsidRDefault="00DC5685" w:rsidP="00DC5685">
      <w:pPr>
        <w:widowControl w:val="0"/>
        <w:suppressAutoHyphens/>
        <w:jc w:val="both"/>
      </w:pPr>
      <w:r w:rsidRPr="00A34F10">
        <w:t>The potential risk of Ametoctradin, Propamocarb-HCl, their relevant metabolites and BAS 743 03 F to earthworms and other non-target soil macro-organisms was assessed by comparing the maximum PEC</w:t>
      </w:r>
      <w:r w:rsidRPr="00A34F10">
        <w:rPr>
          <w:vertAlign w:val="subscript"/>
        </w:rPr>
        <w:t>soil</w:t>
      </w:r>
      <w:r w:rsidRPr="00A34F10">
        <w:t xml:space="preserve"> values with the relevant chronic endpoint (NOEC or EC</w:t>
      </w:r>
      <w:r w:rsidRPr="00A34F10">
        <w:rPr>
          <w:vertAlign w:val="subscript"/>
        </w:rPr>
        <w:t>10</w:t>
      </w:r>
      <w:r w:rsidRPr="00A34F10">
        <w:t xml:space="preserve"> values) to generate long-term TER values (TER</w:t>
      </w:r>
      <w:r w:rsidRPr="00A34F10">
        <w:rPr>
          <w:vertAlign w:val="subscript"/>
        </w:rPr>
        <w:t>lt</w:t>
      </w:r>
      <w:r w:rsidRPr="00A34F10">
        <w:t xml:space="preserve">), as presented in the following tables. </w:t>
      </w:r>
    </w:p>
    <w:p w14:paraId="75E8779E" w14:textId="77777777" w:rsidR="00DC5685" w:rsidRPr="00A34F10" w:rsidRDefault="00DC5685" w:rsidP="00DC5685">
      <w:pPr>
        <w:widowControl w:val="0"/>
        <w:suppressAutoHyphens/>
        <w:jc w:val="both"/>
      </w:pPr>
    </w:p>
    <w:p w14:paraId="6240B340" w14:textId="324336A3" w:rsidR="00DC5685" w:rsidRPr="00A34F10" w:rsidRDefault="00DC5685" w:rsidP="00DC5685">
      <w:pPr>
        <w:keepNext/>
        <w:keepLines/>
        <w:widowControl w:val="0"/>
        <w:tabs>
          <w:tab w:val="left" w:pos="1560"/>
        </w:tabs>
        <w:spacing w:before="200" w:after="120"/>
        <w:ind w:left="1560" w:hanging="1560"/>
        <w:rPr>
          <w:b/>
          <w:bCs/>
        </w:rPr>
      </w:pPr>
      <w:bookmarkStart w:id="776" w:name="_Hlk39491764"/>
      <w:bookmarkStart w:id="777" w:name="_Toc412644024"/>
      <w:bookmarkStart w:id="778" w:name="_Toc413916868"/>
      <w:bookmarkStart w:id="779" w:name="_Toc413917010"/>
      <w:bookmarkStart w:id="780" w:name="_Toc413922071"/>
      <w:bookmarkStart w:id="781" w:name="_Toc413922560"/>
      <w:bookmarkStart w:id="782" w:name="_Toc413922664"/>
      <w:bookmarkStart w:id="783" w:name="_Toc414955301"/>
      <w:bookmarkStart w:id="784" w:name="_Toc415214608"/>
      <w:bookmarkStart w:id="785" w:name="_Toc425512629"/>
      <w:r w:rsidRPr="00A34F10">
        <w:rPr>
          <w:b/>
          <w:bCs/>
        </w:rPr>
        <w:lastRenderedPageBreak/>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9.8</w:t>
      </w:r>
      <w:r w:rsidRPr="00A34F10">
        <w:rPr>
          <w:b/>
          <w:bCs/>
        </w:rPr>
        <w:fldChar w:fldCharType="end"/>
      </w:r>
      <w:r w:rsidRPr="00A34F10">
        <w:rPr>
          <w:b/>
          <w:bCs/>
        </w:rPr>
        <w:noBreakHyphen/>
        <w:t>4:</w:t>
      </w:r>
      <w:r w:rsidRPr="00A34F10">
        <w:rPr>
          <w:b/>
          <w:bCs/>
        </w:rPr>
        <w:tab/>
        <w:t xml:space="preserve">First-tier assessment of the chronic risk for earthworms and other non-target soil organisms (meso- and macrofauna) due to the worst-case uses of Ametoctradin in BAS 743 03 F </w:t>
      </w:r>
      <w:bookmarkEnd w:id="776"/>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DC5685" w:rsidRPr="00A34F10" w14:paraId="226AC3F0" w14:textId="77777777" w:rsidTr="000470C3">
        <w:trPr>
          <w:cantSplit/>
        </w:trPr>
        <w:tc>
          <w:tcPr>
            <w:tcW w:w="1470" w:type="pct"/>
            <w:tcBorders>
              <w:top w:val="single" w:sz="4" w:space="0" w:color="auto"/>
              <w:bottom w:val="single" w:sz="4" w:space="0" w:color="auto"/>
            </w:tcBorders>
            <w:vAlign w:val="center"/>
          </w:tcPr>
          <w:p w14:paraId="672981AE" w14:textId="77777777" w:rsidR="00DC5685" w:rsidRPr="00A34F10" w:rsidRDefault="00DC5685" w:rsidP="00DC5685">
            <w:pPr>
              <w:widowControl w:val="0"/>
              <w:suppressAutoHyphens/>
              <w:rPr>
                <w:b/>
                <w:bCs/>
                <w:sz w:val="20"/>
                <w:szCs w:val="20"/>
                <w:lang w:val="en-GB"/>
              </w:rPr>
            </w:pPr>
            <w:r w:rsidRPr="00A34F10">
              <w:rPr>
                <w:b/>
                <w:bCs/>
                <w:sz w:val="20"/>
                <w:szCs w:val="20"/>
                <w:lang w:val="en-GB"/>
              </w:rPr>
              <w:t>Intended use</w:t>
            </w:r>
          </w:p>
        </w:tc>
        <w:tc>
          <w:tcPr>
            <w:tcW w:w="3530" w:type="pct"/>
            <w:gridSpan w:val="3"/>
            <w:tcBorders>
              <w:top w:val="single" w:sz="4" w:space="0" w:color="auto"/>
              <w:bottom w:val="single" w:sz="4" w:space="0" w:color="auto"/>
            </w:tcBorders>
            <w:vAlign w:val="center"/>
          </w:tcPr>
          <w:p w14:paraId="3E60CB79" w14:textId="77777777" w:rsidR="00DC5685" w:rsidRPr="00A34F10" w:rsidRDefault="00DC5685" w:rsidP="00DC5685">
            <w:pPr>
              <w:widowControl w:val="0"/>
              <w:suppressAutoHyphens/>
              <w:rPr>
                <w:b/>
                <w:sz w:val="20"/>
              </w:rPr>
            </w:pPr>
            <w:r w:rsidRPr="00A34F10">
              <w:rPr>
                <w:b/>
                <w:sz w:val="20"/>
              </w:rPr>
              <w:t>Various crops (1 - 3 × 240 g a.s./ha)</w:t>
            </w:r>
          </w:p>
        </w:tc>
      </w:tr>
      <w:tr w:rsidR="00DC5685" w:rsidRPr="00A34F10" w14:paraId="0F4C49B6" w14:textId="77777777" w:rsidTr="000470C3">
        <w:trPr>
          <w:cantSplit/>
        </w:trPr>
        <w:tc>
          <w:tcPr>
            <w:tcW w:w="5000" w:type="pct"/>
            <w:gridSpan w:val="4"/>
            <w:tcBorders>
              <w:top w:val="single" w:sz="4" w:space="0" w:color="auto"/>
            </w:tcBorders>
            <w:vAlign w:val="center"/>
          </w:tcPr>
          <w:p w14:paraId="74EBA600" w14:textId="77777777" w:rsidR="00DC5685" w:rsidRPr="00A34F10" w:rsidRDefault="00DC5685" w:rsidP="00DC5685">
            <w:pPr>
              <w:widowControl w:val="0"/>
              <w:suppressAutoHyphens/>
              <w:rPr>
                <w:b/>
                <w:bCs/>
                <w:sz w:val="20"/>
                <w:szCs w:val="20"/>
                <w:lang w:val="en-GB"/>
              </w:rPr>
            </w:pPr>
            <w:r w:rsidRPr="00A34F10">
              <w:rPr>
                <w:b/>
                <w:bCs/>
                <w:sz w:val="20"/>
                <w:szCs w:val="20"/>
                <w:lang w:val="en-GB"/>
              </w:rPr>
              <w:t>Chronic effects on earthworms</w:t>
            </w:r>
          </w:p>
        </w:tc>
      </w:tr>
      <w:tr w:rsidR="00DC5685" w:rsidRPr="00A34F10" w14:paraId="56FC87E8" w14:textId="77777777" w:rsidTr="000470C3">
        <w:trPr>
          <w:cantSplit/>
        </w:trPr>
        <w:tc>
          <w:tcPr>
            <w:tcW w:w="1470" w:type="pct"/>
            <w:tcBorders>
              <w:top w:val="single" w:sz="4" w:space="0" w:color="auto"/>
              <w:bottom w:val="single" w:sz="4" w:space="0" w:color="auto"/>
            </w:tcBorders>
            <w:vAlign w:val="center"/>
          </w:tcPr>
          <w:p w14:paraId="7CB47A65" w14:textId="77777777" w:rsidR="00DC5685" w:rsidRPr="00A34F10" w:rsidRDefault="00DC5685" w:rsidP="00DC5685">
            <w:pPr>
              <w:widowControl w:val="0"/>
              <w:suppressAutoHyphens/>
              <w:rPr>
                <w:b/>
                <w:bCs/>
                <w:sz w:val="20"/>
                <w:szCs w:val="20"/>
                <w:lang w:val="en-GB"/>
              </w:rPr>
            </w:pPr>
            <w:r w:rsidRPr="00A34F10">
              <w:rPr>
                <w:bCs/>
                <w:sz w:val="20"/>
                <w:szCs w:val="20"/>
                <w:lang w:val="en-GB"/>
              </w:rPr>
              <w:t>A</w:t>
            </w:r>
            <w:r w:rsidRPr="00A34F10">
              <w:rPr>
                <w:b/>
                <w:bCs/>
                <w:sz w:val="20"/>
                <w:szCs w:val="20"/>
                <w:lang w:val="en-GB"/>
              </w:rPr>
              <w:t>ctive substance</w:t>
            </w:r>
            <w:r w:rsidRPr="00A34F10">
              <w:rPr>
                <w:bCs/>
                <w:sz w:val="20"/>
                <w:szCs w:val="20"/>
                <w:lang w:val="en-GB"/>
              </w:rPr>
              <w:t>/</w:t>
            </w:r>
            <w:r w:rsidRPr="00A34F10">
              <w:rPr>
                <w:b/>
                <w:sz w:val="20"/>
                <w:szCs w:val="20"/>
                <w:lang w:val="en-GB"/>
              </w:rPr>
              <w:t>metabolites</w:t>
            </w:r>
          </w:p>
        </w:tc>
        <w:tc>
          <w:tcPr>
            <w:tcW w:w="1177" w:type="pct"/>
            <w:tcBorders>
              <w:top w:val="single" w:sz="4" w:space="0" w:color="auto"/>
              <w:bottom w:val="single" w:sz="4" w:space="0" w:color="auto"/>
            </w:tcBorders>
            <w:vAlign w:val="center"/>
          </w:tcPr>
          <w:p w14:paraId="32C86622" w14:textId="77777777" w:rsidR="00DC5685" w:rsidRPr="00A34F10" w:rsidRDefault="00DC5685" w:rsidP="00DC5685">
            <w:pPr>
              <w:widowControl w:val="0"/>
              <w:suppressAutoHyphens/>
              <w:rPr>
                <w:b/>
                <w:bCs/>
                <w:sz w:val="20"/>
                <w:szCs w:val="20"/>
                <w:lang w:val="en-GB"/>
              </w:rPr>
            </w:pPr>
            <w:r w:rsidRPr="00A34F10">
              <w:rPr>
                <w:b/>
                <w:bCs/>
                <w:sz w:val="20"/>
                <w:szCs w:val="20"/>
                <w:lang w:val="en-GB"/>
              </w:rPr>
              <w:t>NOEC/NOEC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4D03007D" w14:textId="77777777" w:rsidR="00DC5685" w:rsidRPr="00A34F10" w:rsidRDefault="00DC5685" w:rsidP="00DC5685">
            <w:pPr>
              <w:widowControl w:val="0"/>
              <w:suppressAutoHyphens/>
              <w:rPr>
                <w:b/>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0736A8F6" w14:textId="77777777" w:rsidR="00DC5685" w:rsidRPr="00A34F10" w:rsidRDefault="00DC5685" w:rsidP="00DC5685">
            <w:pPr>
              <w:widowControl w:val="0"/>
              <w:suppressAutoHyphens/>
              <w:rPr>
                <w:b/>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35FD041E" w14:textId="77777777" w:rsidTr="000470C3">
        <w:trPr>
          <w:cantSplit/>
        </w:trPr>
        <w:tc>
          <w:tcPr>
            <w:tcW w:w="1470" w:type="pct"/>
            <w:tcBorders>
              <w:top w:val="single" w:sz="4" w:space="0" w:color="auto"/>
              <w:bottom w:val="single" w:sz="4" w:space="0" w:color="auto"/>
            </w:tcBorders>
            <w:vAlign w:val="center"/>
          </w:tcPr>
          <w:p w14:paraId="30F6C55F" w14:textId="77777777" w:rsidR="00DC5685" w:rsidRPr="00344792" w:rsidRDefault="00DC5685" w:rsidP="00DC5685">
            <w:pPr>
              <w:widowControl w:val="0"/>
              <w:suppressAutoHyphens/>
              <w:rPr>
                <w:bCs/>
                <w:strike/>
                <w:color w:val="D9D9D9" w:themeColor="background1" w:themeShade="D9"/>
                <w:sz w:val="20"/>
                <w:szCs w:val="20"/>
                <w:lang w:val="en-GB"/>
              </w:rPr>
            </w:pPr>
            <w:r w:rsidRPr="00344792">
              <w:rPr>
                <w:bCs/>
                <w:strike/>
                <w:color w:val="D9D9D9" w:themeColor="background1" w:themeShade="D9"/>
                <w:sz w:val="20"/>
                <w:szCs w:val="20"/>
                <w:lang w:val="en-GB"/>
              </w:rPr>
              <w:t>Ametoctradin</w:t>
            </w:r>
          </w:p>
        </w:tc>
        <w:tc>
          <w:tcPr>
            <w:tcW w:w="1177" w:type="pct"/>
            <w:tcBorders>
              <w:top w:val="single" w:sz="4" w:space="0" w:color="auto"/>
              <w:bottom w:val="single" w:sz="4" w:space="0" w:color="auto"/>
            </w:tcBorders>
            <w:vAlign w:val="center"/>
          </w:tcPr>
          <w:p w14:paraId="05FE8B2E"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 10.25</w:t>
            </w:r>
          </w:p>
        </w:tc>
        <w:tc>
          <w:tcPr>
            <w:tcW w:w="1177" w:type="pct"/>
            <w:tcBorders>
              <w:top w:val="single" w:sz="4" w:space="0" w:color="auto"/>
              <w:bottom w:val="single" w:sz="4" w:space="0" w:color="auto"/>
            </w:tcBorders>
            <w:vAlign w:val="center"/>
          </w:tcPr>
          <w:p w14:paraId="112E29FF" w14:textId="0E8E837D"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0.389*</w:t>
            </w:r>
            <w:r w:rsidR="00CD0BFE">
              <w:rPr>
                <w:strike/>
                <w:color w:val="D9D9D9" w:themeColor="background1" w:themeShade="D9"/>
                <w:sz w:val="20"/>
                <w:szCs w:val="20"/>
                <w:lang w:val="en-GB"/>
              </w:rPr>
              <w:t xml:space="preserve"> </w:t>
            </w:r>
          </w:p>
        </w:tc>
        <w:tc>
          <w:tcPr>
            <w:tcW w:w="1176" w:type="pct"/>
            <w:tcBorders>
              <w:top w:val="single" w:sz="4" w:space="0" w:color="auto"/>
              <w:bottom w:val="single" w:sz="4" w:space="0" w:color="auto"/>
            </w:tcBorders>
            <w:vAlign w:val="center"/>
          </w:tcPr>
          <w:p w14:paraId="330DDDA6"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30.33</w:t>
            </w:r>
          </w:p>
        </w:tc>
      </w:tr>
      <w:tr w:rsidR="00DC5685" w:rsidRPr="00A34F10" w14:paraId="5C3E700A" w14:textId="77777777" w:rsidTr="000470C3">
        <w:trPr>
          <w:cantSplit/>
        </w:trPr>
        <w:tc>
          <w:tcPr>
            <w:tcW w:w="1470" w:type="pct"/>
            <w:tcBorders>
              <w:top w:val="single" w:sz="4" w:space="0" w:color="auto"/>
              <w:bottom w:val="single" w:sz="4" w:space="0" w:color="auto"/>
            </w:tcBorders>
            <w:vAlign w:val="center"/>
          </w:tcPr>
          <w:p w14:paraId="4693D26F" w14:textId="77777777" w:rsidR="00DC5685" w:rsidRPr="00A34F10" w:rsidRDefault="00DC5685" w:rsidP="00DC5685">
            <w:pPr>
              <w:widowControl w:val="0"/>
              <w:suppressAutoHyphens/>
              <w:rPr>
                <w:sz w:val="20"/>
              </w:rPr>
            </w:pPr>
            <w:r w:rsidRPr="00A34F10">
              <w:rPr>
                <w:sz w:val="20"/>
              </w:rPr>
              <w:t>M650F03</w:t>
            </w:r>
          </w:p>
        </w:tc>
        <w:tc>
          <w:tcPr>
            <w:tcW w:w="1177" w:type="pct"/>
            <w:tcBorders>
              <w:top w:val="single" w:sz="4" w:space="0" w:color="auto"/>
              <w:bottom w:val="single" w:sz="4" w:space="0" w:color="auto"/>
            </w:tcBorders>
            <w:vAlign w:val="center"/>
          </w:tcPr>
          <w:p w14:paraId="2FFCB681" w14:textId="77777777" w:rsidR="00DC5685" w:rsidRPr="00A34F10" w:rsidRDefault="00DC5685" w:rsidP="00DC5685">
            <w:pPr>
              <w:widowControl w:val="0"/>
              <w:suppressAutoHyphens/>
              <w:rPr>
                <w:sz w:val="20"/>
              </w:rPr>
            </w:pPr>
            <w:r w:rsidRPr="00A34F10">
              <w:rPr>
                <w:sz w:val="20"/>
              </w:rPr>
              <w:t>≥ 83.5</w:t>
            </w:r>
          </w:p>
        </w:tc>
        <w:tc>
          <w:tcPr>
            <w:tcW w:w="1177" w:type="pct"/>
            <w:tcBorders>
              <w:top w:val="single" w:sz="4" w:space="0" w:color="auto"/>
              <w:bottom w:val="single" w:sz="4" w:space="0" w:color="auto"/>
            </w:tcBorders>
            <w:vAlign w:val="center"/>
          </w:tcPr>
          <w:p w14:paraId="0CF245F6" w14:textId="77777777" w:rsidR="00DC5685" w:rsidRPr="00A34F10" w:rsidRDefault="00DC5685" w:rsidP="00DC5685">
            <w:pPr>
              <w:widowControl w:val="0"/>
              <w:suppressAutoHyphens/>
              <w:rPr>
                <w:sz w:val="20"/>
                <w:highlight w:val="yellow"/>
              </w:rPr>
            </w:pPr>
            <w:r w:rsidRPr="00A34F10">
              <w:rPr>
                <w:sz w:val="20"/>
              </w:rPr>
              <w:t>0.243**</w:t>
            </w:r>
          </w:p>
        </w:tc>
        <w:tc>
          <w:tcPr>
            <w:tcW w:w="1176" w:type="pct"/>
            <w:tcBorders>
              <w:top w:val="single" w:sz="4" w:space="0" w:color="auto"/>
              <w:bottom w:val="single" w:sz="4" w:space="0" w:color="auto"/>
            </w:tcBorders>
            <w:vAlign w:val="center"/>
          </w:tcPr>
          <w:p w14:paraId="4572B2B4" w14:textId="77777777" w:rsidR="00DC5685" w:rsidRPr="00A34F10" w:rsidRDefault="00DC5685" w:rsidP="00DC5685">
            <w:pPr>
              <w:widowControl w:val="0"/>
              <w:suppressAutoHyphens/>
              <w:rPr>
                <w:sz w:val="20"/>
              </w:rPr>
            </w:pPr>
            <w:r w:rsidRPr="00A34F10">
              <w:rPr>
                <w:sz w:val="20"/>
              </w:rPr>
              <w:t>≥ 343.6</w:t>
            </w:r>
          </w:p>
        </w:tc>
      </w:tr>
      <w:tr w:rsidR="00DC5685" w:rsidRPr="00A34F10" w14:paraId="79F93917" w14:textId="77777777" w:rsidTr="006C550F">
        <w:trPr>
          <w:cantSplit/>
        </w:trPr>
        <w:tc>
          <w:tcPr>
            <w:tcW w:w="1470" w:type="pct"/>
            <w:tcBorders>
              <w:top w:val="single" w:sz="4" w:space="0" w:color="auto"/>
              <w:bottom w:val="single" w:sz="4" w:space="0" w:color="auto"/>
            </w:tcBorders>
            <w:vAlign w:val="center"/>
          </w:tcPr>
          <w:p w14:paraId="625D28DD" w14:textId="77777777" w:rsidR="00DC5685" w:rsidRPr="00A34F10" w:rsidRDefault="00DC5685" w:rsidP="00DC5685">
            <w:pPr>
              <w:widowControl w:val="0"/>
              <w:suppressAutoHyphens/>
              <w:rPr>
                <w:sz w:val="20"/>
              </w:rPr>
            </w:pPr>
            <w:r w:rsidRPr="00A34F10">
              <w:rPr>
                <w:sz w:val="20"/>
              </w:rPr>
              <w:t>M650F04</w:t>
            </w:r>
          </w:p>
        </w:tc>
        <w:tc>
          <w:tcPr>
            <w:tcW w:w="1177" w:type="pct"/>
            <w:tcBorders>
              <w:top w:val="single" w:sz="4" w:space="0" w:color="auto"/>
              <w:bottom w:val="single" w:sz="4" w:space="0" w:color="auto"/>
            </w:tcBorders>
            <w:vAlign w:val="center"/>
          </w:tcPr>
          <w:p w14:paraId="2AF5A271" w14:textId="77777777" w:rsidR="00DC5685" w:rsidRPr="00A34F10" w:rsidRDefault="00DC5685" w:rsidP="00DC5685">
            <w:pPr>
              <w:widowControl w:val="0"/>
              <w:suppressAutoHyphens/>
              <w:rPr>
                <w:sz w:val="20"/>
              </w:rPr>
            </w:pPr>
            <w:r w:rsidRPr="00A34F10">
              <w:rPr>
                <w:sz w:val="20"/>
              </w:rPr>
              <w:t>≥ 100</w:t>
            </w:r>
          </w:p>
        </w:tc>
        <w:tc>
          <w:tcPr>
            <w:tcW w:w="1177" w:type="pct"/>
            <w:tcBorders>
              <w:top w:val="single" w:sz="4" w:space="0" w:color="auto"/>
              <w:bottom w:val="single" w:sz="4" w:space="0" w:color="auto"/>
            </w:tcBorders>
            <w:shd w:val="clear" w:color="auto" w:fill="BDD6EE" w:themeFill="accent5" w:themeFillTint="66"/>
            <w:vAlign w:val="center"/>
          </w:tcPr>
          <w:p w14:paraId="2C65A211" w14:textId="594252FB" w:rsidR="00DC5685" w:rsidRPr="006C550F" w:rsidRDefault="00512941" w:rsidP="00DC5685">
            <w:pPr>
              <w:widowControl w:val="0"/>
              <w:suppressAutoHyphens/>
              <w:rPr>
                <w:sz w:val="20"/>
                <w:vertAlign w:val="superscript"/>
              </w:rPr>
            </w:pPr>
            <w:r w:rsidRPr="006C550F">
              <w:rPr>
                <w:strike/>
                <w:color w:val="D9D9D9" w:themeColor="background1" w:themeShade="D9"/>
                <w:sz w:val="20"/>
              </w:rPr>
              <w:t>0.435</w:t>
            </w:r>
            <w:r w:rsidRPr="006C550F">
              <w:rPr>
                <w:strike/>
                <w:color w:val="D9D9D9" w:themeColor="background1" w:themeShade="D9"/>
                <w:sz w:val="20"/>
                <w:vertAlign w:val="superscript"/>
              </w:rPr>
              <w:t xml:space="preserve"> </w:t>
            </w:r>
            <w:r w:rsidRPr="006C550F">
              <w:rPr>
                <w:strike/>
                <w:color w:val="D9D9D9" w:themeColor="background1" w:themeShade="D9"/>
                <w:sz w:val="20"/>
              </w:rPr>
              <w:t>*</w:t>
            </w:r>
            <w:r w:rsidRPr="006C550F">
              <w:rPr>
                <w:color w:val="D9D9D9" w:themeColor="background1" w:themeShade="D9"/>
                <w:sz w:val="20"/>
              </w:rPr>
              <w:t xml:space="preserve"> </w:t>
            </w:r>
            <w:r w:rsidRPr="006C550F">
              <w:rPr>
                <w:sz w:val="20"/>
                <w:shd w:val="clear" w:color="auto" w:fill="D9D9D9" w:themeFill="background1" w:themeFillShade="D9"/>
              </w:rPr>
              <w:t>0.280**</w:t>
            </w:r>
          </w:p>
        </w:tc>
        <w:tc>
          <w:tcPr>
            <w:tcW w:w="1176" w:type="pct"/>
            <w:tcBorders>
              <w:top w:val="single" w:sz="4" w:space="0" w:color="auto"/>
              <w:bottom w:val="single" w:sz="4" w:space="0" w:color="auto"/>
            </w:tcBorders>
            <w:shd w:val="clear" w:color="auto" w:fill="BDD6EE" w:themeFill="accent5" w:themeFillTint="66"/>
            <w:vAlign w:val="center"/>
          </w:tcPr>
          <w:p w14:paraId="520737EC" w14:textId="1000C181" w:rsidR="00DC5685" w:rsidRPr="006C550F" w:rsidRDefault="00DC5685" w:rsidP="00DC5685">
            <w:pPr>
              <w:widowControl w:val="0"/>
              <w:suppressAutoHyphens/>
              <w:rPr>
                <w:sz w:val="20"/>
              </w:rPr>
            </w:pPr>
            <w:r w:rsidRPr="006C550F">
              <w:rPr>
                <w:sz w:val="20"/>
              </w:rPr>
              <w:t xml:space="preserve">≥ </w:t>
            </w:r>
            <w:r w:rsidR="009C482A" w:rsidRPr="006C550F">
              <w:rPr>
                <w:strike/>
                <w:color w:val="D9D9D9" w:themeColor="background1" w:themeShade="D9"/>
                <w:sz w:val="20"/>
              </w:rPr>
              <w:t>245.7</w:t>
            </w:r>
            <w:r w:rsidR="009C482A" w:rsidRPr="006C550F">
              <w:rPr>
                <w:color w:val="D9D9D9" w:themeColor="background1" w:themeShade="D9"/>
                <w:sz w:val="20"/>
              </w:rPr>
              <w:t xml:space="preserve"> </w:t>
            </w:r>
            <w:r w:rsidR="009C482A" w:rsidRPr="006C550F">
              <w:rPr>
                <w:sz w:val="20"/>
                <w:shd w:val="clear" w:color="auto" w:fill="D9D9D9" w:themeFill="background1" w:themeFillShade="D9"/>
              </w:rPr>
              <w:t>357.1</w:t>
            </w:r>
          </w:p>
        </w:tc>
      </w:tr>
      <w:tr w:rsidR="00DC5685" w:rsidRPr="00A34F10" w14:paraId="296EC5DB" w14:textId="77777777" w:rsidTr="000470C3">
        <w:trPr>
          <w:cantSplit/>
        </w:trPr>
        <w:tc>
          <w:tcPr>
            <w:tcW w:w="5000" w:type="pct"/>
            <w:gridSpan w:val="4"/>
            <w:tcBorders>
              <w:top w:val="single" w:sz="4" w:space="0" w:color="auto"/>
            </w:tcBorders>
            <w:vAlign w:val="center"/>
          </w:tcPr>
          <w:p w14:paraId="691017D2" w14:textId="77777777" w:rsidR="00DC5685" w:rsidRPr="00A34F10" w:rsidRDefault="00DC5685" w:rsidP="00DC5685">
            <w:pPr>
              <w:widowControl w:val="0"/>
              <w:suppressAutoHyphens/>
              <w:rPr>
                <w:b/>
                <w:bCs/>
                <w:sz w:val="20"/>
                <w:szCs w:val="20"/>
                <w:lang w:val="en-GB"/>
              </w:rPr>
            </w:pPr>
            <w:r w:rsidRPr="00A34F10">
              <w:rPr>
                <w:b/>
                <w:bCs/>
                <w:sz w:val="20"/>
                <w:szCs w:val="20"/>
                <w:lang w:val="en-GB"/>
              </w:rPr>
              <w:t>Chronic effects on other soil meso- and macrofauna</w:t>
            </w:r>
          </w:p>
        </w:tc>
      </w:tr>
      <w:tr w:rsidR="00DC5685" w:rsidRPr="00A34F10" w14:paraId="0AEF58B5" w14:textId="77777777" w:rsidTr="000470C3">
        <w:trPr>
          <w:cantSplit/>
        </w:trPr>
        <w:tc>
          <w:tcPr>
            <w:tcW w:w="5000" w:type="pct"/>
            <w:gridSpan w:val="4"/>
            <w:tcBorders>
              <w:top w:val="single" w:sz="4" w:space="0" w:color="auto"/>
            </w:tcBorders>
            <w:vAlign w:val="center"/>
          </w:tcPr>
          <w:p w14:paraId="19A931FC" w14:textId="77777777" w:rsidR="00DC5685" w:rsidRPr="00A34F10" w:rsidRDefault="00DC5685" w:rsidP="00DC5685">
            <w:pPr>
              <w:widowControl w:val="0"/>
              <w:suppressAutoHyphens/>
              <w:rPr>
                <w:b/>
                <w:bCs/>
                <w:sz w:val="20"/>
                <w:szCs w:val="20"/>
                <w:lang w:val="en-GB"/>
              </w:rPr>
            </w:pPr>
            <w:r w:rsidRPr="00A34F10">
              <w:rPr>
                <w:b/>
                <w:bCs/>
                <w:sz w:val="20"/>
                <w:szCs w:val="20"/>
                <w:lang w:val="en-GB"/>
              </w:rPr>
              <w:t xml:space="preserve">Collembola </w:t>
            </w:r>
            <w:r w:rsidRPr="00A34F10">
              <w:rPr>
                <w:b/>
                <w:sz w:val="20"/>
                <w:szCs w:val="20"/>
                <w:lang w:val="en-GB"/>
              </w:rPr>
              <w:t>(</w:t>
            </w:r>
            <w:r w:rsidRPr="00A34F10">
              <w:rPr>
                <w:b/>
                <w:i/>
                <w:sz w:val="20"/>
                <w:szCs w:val="20"/>
                <w:lang w:val="en-GB"/>
              </w:rPr>
              <w:t>Folsomia candida</w:t>
            </w:r>
            <w:r w:rsidRPr="00A34F10">
              <w:rPr>
                <w:b/>
                <w:sz w:val="20"/>
                <w:szCs w:val="20"/>
                <w:lang w:val="en-GB"/>
              </w:rPr>
              <w:t>)</w:t>
            </w:r>
          </w:p>
        </w:tc>
      </w:tr>
      <w:tr w:rsidR="00DC5685" w:rsidRPr="00A34F10" w14:paraId="032678BE" w14:textId="77777777" w:rsidTr="000470C3">
        <w:trPr>
          <w:cantSplit/>
        </w:trPr>
        <w:tc>
          <w:tcPr>
            <w:tcW w:w="1470" w:type="pct"/>
            <w:tcBorders>
              <w:top w:val="single" w:sz="4" w:space="0" w:color="auto"/>
              <w:bottom w:val="single" w:sz="4" w:space="0" w:color="auto"/>
            </w:tcBorders>
            <w:vAlign w:val="center"/>
          </w:tcPr>
          <w:p w14:paraId="1B2AC829" w14:textId="77777777" w:rsidR="00DC5685" w:rsidRPr="00A34F10" w:rsidRDefault="00DC5685" w:rsidP="00DC5685">
            <w:pPr>
              <w:widowControl w:val="0"/>
              <w:suppressAutoHyphens/>
              <w:rPr>
                <w:b/>
                <w:bCs/>
                <w:sz w:val="20"/>
                <w:szCs w:val="20"/>
                <w:lang w:val="en-GB"/>
              </w:rPr>
            </w:pPr>
            <w:r w:rsidRPr="00A34F10">
              <w:rPr>
                <w:bCs/>
                <w:sz w:val="20"/>
                <w:szCs w:val="20"/>
                <w:lang w:val="en-GB"/>
              </w:rPr>
              <w:t>A</w:t>
            </w:r>
            <w:r w:rsidRPr="00A34F10">
              <w:rPr>
                <w:b/>
                <w:bCs/>
                <w:sz w:val="20"/>
                <w:szCs w:val="20"/>
                <w:lang w:val="en-GB"/>
              </w:rPr>
              <w:t>ctive substance</w:t>
            </w:r>
            <w:r w:rsidRPr="00A34F10">
              <w:rPr>
                <w:b/>
                <w:sz w:val="20"/>
                <w:szCs w:val="20"/>
                <w:lang w:val="en-GB"/>
              </w:rPr>
              <w:t>/metabolites</w:t>
            </w:r>
          </w:p>
        </w:tc>
        <w:tc>
          <w:tcPr>
            <w:tcW w:w="1177" w:type="pct"/>
            <w:tcBorders>
              <w:top w:val="single" w:sz="4" w:space="0" w:color="auto"/>
              <w:bottom w:val="single" w:sz="4" w:space="0" w:color="auto"/>
            </w:tcBorders>
            <w:vAlign w:val="center"/>
          </w:tcPr>
          <w:p w14:paraId="534D8D68" w14:textId="77777777" w:rsidR="00DC5685" w:rsidRPr="00A34F10" w:rsidRDefault="00DC5685" w:rsidP="00DC5685">
            <w:pPr>
              <w:widowControl w:val="0"/>
              <w:suppressAutoHyphens/>
              <w:rPr>
                <w:b/>
                <w:bCs/>
                <w:sz w:val="20"/>
                <w:szCs w:val="20"/>
                <w:lang w:val="en-GB"/>
              </w:rPr>
            </w:pPr>
            <w:r w:rsidRPr="00A34F10">
              <w:rPr>
                <w:b/>
                <w:bCs/>
                <w:sz w:val="20"/>
                <w:szCs w:val="20"/>
                <w:lang w:val="en-GB"/>
              </w:rPr>
              <w:t>NOEC/NOEC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6136B7AE" w14:textId="77777777" w:rsidR="00DC5685" w:rsidRPr="00A34F10" w:rsidRDefault="00DC5685" w:rsidP="00DC5685">
            <w:pPr>
              <w:widowControl w:val="0"/>
              <w:suppressAutoHyphens/>
              <w:rPr>
                <w:b/>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0B317371" w14:textId="77777777" w:rsidR="00DC5685" w:rsidRPr="00A34F10" w:rsidRDefault="00DC5685" w:rsidP="00DC5685">
            <w:pPr>
              <w:widowControl w:val="0"/>
              <w:suppressAutoHyphens/>
              <w:rPr>
                <w:b/>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13FE1F31" w14:textId="77777777" w:rsidTr="000470C3">
        <w:trPr>
          <w:cantSplit/>
        </w:trPr>
        <w:tc>
          <w:tcPr>
            <w:tcW w:w="1470" w:type="pct"/>
            <w:tcBorders>
              <w:top w:val="single" w:sz="4" w:space="0" w:color="auto"/>
              <w:bottom w:val="single" w:sz="4" w:space="0" w:color="auto"/>
            </w:tcBorders>
            <w:vAlign w:val="center"/>
          </w:tcPr>
          <w:p w14:paraId="75F2B775" w14:textId="77777777" w:rsidR="00DC5685" w:rsidRPr="00344792" w:rsidRDefault="00DC5685" w:rsidP="00DC5685">
            <w:pPr>
              <w:widowControl w:val="0"/>
              <w:suppressAutoHyphens/>
              <w:rPr>
                <w:bCs/>
                <w:strike/>
                <w:color w:val="D9D9D9" w:themeColor="background1" w:themeShade="D9"/>
                <w:sz w:val="20"/>
                <w:szCs w:val="20"/>
                <w:lang w:val="en-GB"/>
              </w:rPr>
            </w:pPr>
            <w:r w:rsidRPr="00344792">
              <w:rPr>
                <w:bCs/>
                <w:strike/>
                <w:color w:val="D9D9D9" w:themeColor="background1" w:themeShade="D9"/>
                <w:sz w:val="20"/>
                <w:szCs w:val="20"/>
                <w:lang w:val="en-GB"/>
              </w:rPr>
              <w:t>Ametoctradin</w:t>
            </w:r>
          </w:p>
        </w:tc>
        <w:tc>
          <w:tcPr>
            <w:tcW w:w="1177" w:type="pct"/>
            <w:tcBorders>
              <w:top w:val="single" w:sz="4" w:space="0" w:color="auto"/>
              <w:bottom w:val="single" w:sz="4" w:space="0" w:color="auto"/>
            </w:tcBorders>
            <w:vAlign w:val="center"/>
          </w:tcPr>
          <w:p w14:paraId="7B750AAC"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95.35</w:t>
            </w:r>
          </w:p>
        </w:tc>
        <w:tc>
          <w:tcPr>
            <w:tcW w:w="1177" w:type="pct"/>
            <w:tcBorders>
              <w:top w:val="single" w:sz="4" w:space="0" w:color="auto"/>
              <w:bottom w:val="single" w:sz="4" w:space="0" w:color="auto"/>
            </w:tcBorders>
            <w:vAlign w:val="center"/>
          </w:tcPr>
          <w:p w14:paraId="5427737A" w14:textId="77777777" w:rsidR="00DC5685" w:rsidRPr="00344792" w:rsidRDefault="00DC5685" w:rsidP="00DC5685">
            <w:pPr>
              <w:widowControl w:val="0"/>
              <w:suppressAutoHyphens/>
              <w:rPr>
                <w:b/>
                <w:bCs/>
                <w:strike/>
                <w:color w:val="D9D9D9" w:themeColor="background1" w:themeShade="D9"/>
                <w:sz w:val="20"/>
                <w:szCs w:val="20"/>
                <w:lang w:val="en-GB"/>
              </w:rPr>
            </w:pPr>
            <w:r w:rsidRPr="00344792">
              <w:rPr>
                <w:strike/>
                <w:color w:val="D9D9D9" w:themeColor="background1" w:themeShade="D9"/>
                <w:sz w:val="20"/>
                <w:szCs w:val="20"/>
                <w:lang w:val="en-GB"/>
              </w:rPr>
              <w:t>0.389*</w:t>
            </w:r>
          </w:p>
        </w:tc>
        <w:tc>
          <w:tcPr>
            <w:tcW w:w="1176" w:type="pct"/>
            <w:tcBorders>
              <w:top w:val="single" w:sz="4" w:space="0" w:color="auto"/>
              <w:bottom w:val="single" w:sz="4" w:space="0" w:color="auto"/>
            </w:tcBorders>
            <w:vAlign w:val="center"/>
          </w:tcPr>
          <w:p w14:paraId="0885E711"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282.1</w:t>
            </w:r>
          </w:p>
        </w:tc>
      </w:tr>
      <w:tr w:rsidR="00DC5685" w:rsidRPr="00A34F10" w14:paraId="266018ED" w14:textId="77777777" w:rsidTr="000470C3">
        <w:trPr>
          <w:cantSplit/>
        </w:trPr>
        <w:tc>
          <w:tcPr>
            <w:tcW w:w="1470" w:type="pct"/>
            <w:tcBorders>
              <w:top w:val="single" w:sz="4" w:space="0" w:color="auto"/>
              <w:bottom w:val="single" w:sz="4" w:space="0" w:color="auto"/>
            </w:tcBorders>
            <w:vAlign w:val="center"/>
          </w:tcPr>
          <w:p w14:paraId="16FF4E21" w14:textId="77777777" w:rsidR="00DC5685" w:rsidRPr="00A34F10" w:rsidRDefault="00DC5685" w:rsidP="00DC5685">
            <w:pPr>
              <w:widowControl w:val="0"/>
              <w:suppressAutoHyphens/>
              <w:rPr>
                <w:sz w:val="20"/>
              </w:rPr>
            </w:pPr>
            <w:r w:rsidRPr="00A34F10">
              <w:rPr>
                <w:sz w:val="20"/>
              </w:rPr>
              <w:t>M650F03</w:t>
            </w:r>
          </w:p>
        </w:tc>
        <w:tc>
          <w:tcPr>
            <w:tcW w:w="1177" w:type="pct"/>
            <w:tcBorders>
              <w:top w:val="single" w:sz="4" w:space="0" w:color="auto"/>
              <w:bottom w:val="single" w:sz="4" w:space="0" w:color="auto"/>
            </w:tcBorders>
            <w:vAlign w:val="center"/>
          </w:tcPr>
          <w:p w14:paraId="5B650BB9" w14:textId="77777777" w:rsidR="00DC5685" w:rsidRPr="00A34F10" w:rsidRDefault="00DC5685" w:rsidP="00DC5685">
            <w:pPr>
              <w:widowControl w:val="0"/>
              <w:suppressAutoHyphens/>
              <w:rPr>
                <w:sz w:val="20"/>
              </w:rPr>
            </w:pPr>
            <w:r w:rsidRPr="00A34F10">
              <w:rPr>
                <w:sz w:val="20"/>
              </w:rPr>
              <w:t>50</w:t>
            </w:r>
          </w:p>
        </w:tc>
        <w:tc>
          <w:tcPr>
            <w:tcW w:w="1177" w:type="pct"/>
            <w:tcBorders>
              <w:top w:val="single" w:sz="4" w:space="0" w:color="auto"/>
              <w:bottom w:val="single" w:sz="4" w:space="0" w:color="auto"/>
            </w:tcBorders>
            <w:vAlign w:val="center"/>
          </w:tcPr>
          <w:p w14:paraId="4E7F99D7" w14:textId="77777777" w:rsidR="00DC5685" w:rsidRPr="00A34F10" w:rsidRDefault="00DC5685" w:rsidP="00DC5685">
            <w:pPr>
              <w:widowControl w:val="0"/>
              <w:suppressAutoHyphens/>
              <w:rPr>
                <w:sz w:val="20"/>
              </w:rPr>
            </w:pPr>
            <w:r w:rsidRPr="00A34F10">
              <w:rPr>
                <w:sz w:val="20"/>
              </w:rPr>
              <w:t>0.243**</w:t>
            </w:r>
          </w:p>
        </w:tc>
        <w:tc>
          <w:tcPr>
            <w:tcW w:w="1176" w:type="pct"/>
            <w:tcBorders>
              <w:top w:val="single" w:sz="4" w:space="0" w:color="auto"/>
              <w:bottom w:val="single" w:sz="4" w:space="0" w:color="auto"/>
            </w:tcBorders>
            <w:vAlign w:val="center"/>
          </w:tcPr>
          <w:p w14:paraId="103D9A96" w14:textId="77777777" w:rsidR="00DC5685" w:rsidRPr="00A34F10" w:rsidRDefault="00DC5685" w:rsidP="00DC5685">
            <w:pPr>
              <w:widowControl w:val="0"/>
              <w:suppressAutoHyphens/>
              <w:rPr>
                <w:sz w:val="20"/>
              </w:rPr>
            </w:pPr>
            <w:r w:rsidRPr="00A34F10">
              <w:rPr>
                <w:sz w:val="20"/>
              </w:rPr>
              <w:t>205.8</w:t>
            </w:r>
          </w:p>
        </w:tc>
      </w:tr>
      <w:tr w:rsidR="00DC5685" w:rsidRPr="00A34F10" w14:paraId="18D71C78" w14:textId="77777777" w:rsidTr="000470C3">
        <w:trPr>
          <w:cantSplit/>
        </w:trPr>
        <w:tc>
          <w:tcPr>
            <w:tcW w:w="1470" w:type="pct"/>
            <w:tcBorders>
              <w:top w:val="single" w:sz="4" w:space="0" w:color="auto"/>
              <w:bottom w:val="single" w:sz="4" w:space="0" w:color="auto"/>
            </w:tcBorders>
            <w:vAlign w:val="center"/>
          </w:tcPr>
          <w:p w14:paraId="4FA90AEC" w14:textId="77777777" w:rsidR="00DC5685" w:rsidRPr="00A34F10" w:rsidRDefault="00DC5685" w:rsidP="00DC5685">
            <w:pPr>
              <w:widowControl w:val="0"/>
              <w:suppressAutoHyphens/>
              <w:rPr>
                <w:sz w:val="20"/>
              </w:rPr>
            </w:pPr>
            <w:r w:rsidRPr="00A34F10">
              <w:rPr>
                <w:sz w:val="20"/>
              </w:rPr>
              <w:t>M650F04</w:t>
            </w:r>
          </w:p>
        </w:tc>
        <w:tc>
          <w:tcPr>
            <w:tcW w:w="1177" w:type="pct"/>
            <w:tcBorders>
              <w:top w:val="single" w:sz="4" w:space="0" w:color="auto"/>
              <w:bottom w:val="single" w:sz="4" w:space="0" w:color="auto"/>
            </w:tcBorders>
            <w:vAlign w:val="center"/>
          </w:tcPr>
          <w:p w14:paraId="2314DCDF" w14:textId="77777777" w:rsidR="00DC5685" w:rsidRPr="00A34F10" w:rsidRDefault="00DC5685" w:rsidP="00DC5685">
            <w:pPr>
              <w:widowControl w:val="0"/>
              <w:suppressAutoHyphens/>
              <w:rPr>
                <w:sz w:val="20"/>
              </w:rPr>
            </w:pPr>
            <w:r w:rsidRPr="00A34F10">
              <w:rPr>
                <w:sz w:val="20"/>
              </w:rPr>
              <w:t>≥ 100</w:t>
            </w:r>
          </w:p>
        </w:tc>
        <w:tc>
          <w:tcPr>
            <w:tcW w:w="1177" w:type="pct"/>
            <w:tcBorders>
              <w:top w:val="single" w:sz="4" w:space="0" w:color="auto"/>
              <w:bottom w:val="single" w:sz="4" w:space="0" w:color="auto"/>
            </w:tcBorders>
            <w:vAlign w:val="center"/>
          </w:tcPr>
          <w:p w14:paraId="726A2862" w14:textId="45C0AB19" w:rsidR="00DC5685" w:rsidRPr="00A34F10" w:rsidRDefault="00DC5685" w:rsidP="00DC5685">
            <w:pPr>
              <w:widowControl w:val="0"/>
              <w:suppressAutoHyphens/>
              <w:rPr>
                <w:sz w:val="20"/>
              </w:rPr>
            </w:pPr>
            <w:r w:rsidRPr="00CA43A2">
              <w:rPr>
                <w:strike/>
                <w:color w:val="D9D9D9" w:themeColor="background1" w:themeShade="D9"/>
                <w:sz w:val="20"/>
              </w:rPr>
              <w:t>0.435</w:t>
            </w:r>
            <w:r w:rsidRPr="00CA43A2">
              <w:rPr>
                <w:strike/>
                <w:color w:val="D9D9D9" w:themeColor="background1" w:themeShade="D9"/>
                <w:sz w:val="20"/>
                <w:vertAlign w:val="superscript"/>
              </w:rPr>
              <w:t xml:space="preserve"> </w:t>
            </w:r>
            <w:r w:rsidRPr="00CA43A2">
              <w:rPr>
                <w:strike/>
                <w:color w:val="D9D9D9" w:themeColor="background1" w:themeShade="D9"/>
                <w:sz w:val="20"/>
              </w:rPr>
              <w:t>*</w:t>
            </w:r>
            <w:r w:rsidR="00CA43A2" w:rsidRPr="00CA43A2">
              <w:rPr>
                <w:color w:val="D9D9D9" w:themeColor="background1" w:themeShade="D9"/>
                <w:sz w:val="20"/>
              </w:rPr>
              <w:t xml:space="preserve"> </w:t>
            </w:r>
            <w:r w:rsidR="00621635" w:rsidRPr="00CA43A2">
              <w:rPr>
                <w:sz w:val="20"/>
                <w:shd w:val="clear" w:color="auto" w:fill="D9D9D9" w:themeFill="background1" w:themeFillShade="D9"/>
              </w:rPr>
              <w:t>0.2</w:t>
            </w:r>
            <w:r w:rsidR="00627CA5" w:rsidRPr="00CA43A2">
              <w:rPr>
                <w:sz w:val="20"/>
                <w:shd w:val="clear" w:color="auto" w:fill="D9D9D9" w:themeFill="background1" w:themeFillShade="D9"/>
              </w:rPr>
              <w:t>8</w:t>
            </w:r>
            <w:r w:rsidR="00621635" w:rsidRPr="00CA43A2">
              <w:rPr>
                <w:sz w:val="20"/>
                <w:shd w:val="clear" w:color="auto" w:fill="D9D9D9" w:themeFill="background1" w:themeFillShade="D9"/>
              </w:rPr>
              <w:t>0</w:t>
            </w:r>
            <w:r w:rsidR="001015DF">
              <w:rPr>
                <w:sz w:val="20"/>
                <w:shd w:val="clear" w:color="auto" w:fill="D9D9D9" w:themeFill="background1" w:themeFillShade="D9"/>
              </w:rPr>
              <w:t>**</w:t>
            </w:r>
          </w:p>
        </w:tc>
        <w:tc>
          <w:tcPr>
            <w:tcW w:w="1176" w:type="pct"/>
            <w:tcBorders>
              <w:top w:val="single" w:sz="4" w:space="0" w:color="auto"/>
              <w:bottom w:val="single" w:sz="4" w:space="0" w:color="auto"/>
            </w:tcBorders>
            <w:vAlign w:val="center"/>
          </w:tcPr>
          <w:p w14:paraId="6D9C1B7B" w14:textId="66BA7349" w:rsidR="00DC5685" w:rsidRPr="00A34F10" w:rsidRDefault="00DC5685" w:rsidP="00DC5685">
            <w:pPr>
              <w:widowControl w:val="0"/>
              <w:suppressAutoHyphens/>
              <w:rPr>
                <w:sz w:val="20"/>
              </w:rPr>
            </w:pPr>
            <w:r w:rsidRPr="00A34F10">
              <w:rPr>
                <w:sz w:val="20"/>
              </w:rPr>
              <w:t xml:space="preserve">≥ </w:t>
            </w:r>
            <w:r w:rsidRPr="0055247D">
              <w:rPr>
                <w:strike/>
                <w:color w:val="D9D9D9" w:themeColor="background1" w:themeShade="D9"/>
                <w:sz w:val="20"/>
              </w:rPr>
              <w:t>245.7</w:t>
            </w:r>
            <w:r w:rsidR="0055247D" w:rsidRPr="0055247D">
              <w:rPr>
                <w:color w:val="D9D9D9" w:themeColor="background1" w:themeShade="D9"/>
                <w:sz w:val="20"/>
              </w:rPr>
              <w:t xml:space="preserve"> </w:t>
            </w:r>
            <w:r w:rsidR="0055247D" w:rsidRPr="0055247D">
              <w:rPr>
                <w:sz w:val="20"/>
                <w:shd w:val="clear" w:color="auto" w:fill="D9D9D9" w:themeFill="background1" w:themeFillShade="D9"/>
              </w:rPr>
              <w:t>357.1</w:t>
            </w:r>
          </w:p>
        </w:tc>
      </w:tr>
      <w:tr w:rsidR="00DC5685" w:rsidRPr="00A34F10" w14:paraId="3C381FBD" w14:textId="77777777" w:rsidTr="000470C3">
        <w:trPr>
          <w:cantSplit/>
        </w:trPr>
        <w:tc>
          <w:tcPr>
            <w:tcW w:w="5000" w:type="pct"/>
            <w:gridSpan w:val="4"/>
            <w:tcBorders>
              <w:top w:val="single" w:sz="4" w:space="0" w:color="auto"/>
              <w:bottom w:val="single" w:sz="4" w:space="0" w:color="auto"/>
            </w:tcBorders>
            <w:vAlign w:val="center"/>
          </w:tcPr>
          <w:p w14:paraId="0F6BF8E5" w14:textId="77777777" w:rsidR="00DC5685" w:rsidRPr="00A34F10" w:rsidRDefault="00DC5685" w:rsidP="00DC5685">
            <w:pPr>
              <w:widowControl w:val="0"/>
              <w:suppressAutoHyphens/>
              <w:rPr>
                <w:b/>
                <w:sz w:val="20"/>
              </w:rPr>
            </w:pPr>
            <w:r w:rsidRPr="00A34F10">
              <w:rPr>
                <w:b/>
                <w:sz w:val="20"/>
              </w:rPr>
              <w:t>Soil mites (</w:t>
            </w:r>
            <w:r w:rsidRPr="00A34F10">
              <w:rPr>
                <w:b/>
                <w:i/>
                <w:sz w:val="20"/>
              </w:rPr>
              <w:t>Hypoaspis aculeifer</w:t>
            </w:r>
            <w:r w:rsidRPr="00A34F10">
              <w:rPr>
                <w:b/>
                <w:sz w:val="20"/>
              </w:rPr>
              <w:t>)</w:t>
            </w:r>
          </w:p>
        </w:tc>
      </w:tr>
      <w:tr w:rsidR="00DC5685" w:rsidRPr="00A34F10" w14:paraId="51F9AA59" w14:textId="77777777" w:rsidTr="000470C3">
        <w:trPr>
          <w:cantSplit/>
        </w:trPr>
        <w:tc>
          <w:tcPr>
            <w:tcW w:w="1470" w:type="pct"/>
            <w:tcBorders>
              <w:top w:val="single" w:sz="4" w:space="0" w:color="auto"/>
              <w:bottom w:val="single" w:sz="4" w:space="0" w:color="auto"/>
            </w:tcBorders>
            <w:vAlign w:val="center"/>
          </w:tcPr>
          <w:p w14:paraId="5026787D" w14:textId="77777777" w:rsidR="00DC5685" w:rsidRPr="00A34F10" w:rsidRDefault="00DC5685" w:rsidP="00DC5685">
            <w:pPr>
              <w:widowControl w:val="0"/>
              <w:suppressAutoHyphens/>
              <w:rPr>
                <w:b/>
                <w:sz w:val="20"/>
              </w:rPr>
            </w:pPr>
            <w:r w:rsidRPr="00A34F10">
              <w:rPr>
                <w:b/>
                <w:sz w:val="20"/>
              </w:rPr>
              <w:t>Active substance/metabolites</w:t>
            </w:r>
          </w:p>
        </w:tc>
        <w:tc>
          <w:tcPr>
            <w:tcW w:w="1177" w:type="pct"/>
            <w:tcBorders>
              <w:top w:val="single" w:sz="4" w:space="0" w:color="auto"/>
              <w:bottom w:val="single" w:sz="4" w:space="0" w:color="auto"/>
            </w:tcBorders>
            <w:vAlign w:val="center"/>
          </w:tcPr>
          <w:p w14:paraId="6EE943A6" w14:textId="77777777" w:rsidR="00DC5685" w:rsidRPr="00A34F10" w:rsidRDefault="00DC5685" w:rsidP="00DC5685">
            <w:pPr>
              <w:widowControl w:val="0"/>
              <w:suppressAutoHyphens/>
              <w:rPr>
                <w:bCs/>
                <w:sz w:val="20"/>
                <w:szCs w:val="20"/>
                <w:lang w:val="en-GB"/>
              </w:rPr>
            </w:pPr>
            <w:r w:rsidRPr="00A34F10">
              <w:rPr>
                <w:b/>
                <w:bCs/>
                <w:sz w:val="20"/>
                <w:szCs w:val="20"/>
                <w:lang w:val="en-GB"/>
              </w:rPr>
              <w:t>NOEC/NOEC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05D53B42" w14:textId="77777777" w:rsidR="00DC5685" w:rsidRPr="00A34F10" w:rsidRDefault="00DC5685" w:rsidP="00DC5685">
            <w:pPr>
              <w:widowControl w:val="0"/>
              <w:suppressAutoHyphens/>
              <w:rPr>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604F0181" w14:textId="77777777" w:rsidR="00DC5685" w:rsidRPr="00A34F10" w:rsidRDefault="00DC5685" w:rsidP="00DC5685">
            <w:pPr>
              <w:widowControl w:val="0"/>
              <w:suppressAutoHyphens/>
              <w:rPr>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34403329" w14:textId="77777777" w:rsidTr="000470C3">
        <w:trPr>
          <w:cantSplit/>
        </w:trPr>
        <w:tc>
          <w:tcPr>
            <w:tcW w:w="1470" w:type="pct"/>
            <w:tcBorders>
              <w:top w:val="single" w:sz="4" w:space="0" w:color="auto"/>
              <w:bottom w:val="single" w:sz="4" w:space="0" w:color="auto"/>
            </w:tcBorders>
            <w:vAlign w:val="center"/>
          </w:tcPr>
          <w:p w14:paraId="7208F52A" w14:textId="77777777" w:rsidR="00DC5685" w:rsidRPr="00344792" w:rsidRDefault="00DC5685" w:rsidP="00DC5685">
            <w:pPr>
              <w:widowControl w:val="0"/>
              <w:suppressAutoHyphens/>
              <w:rPr>
                <w:bCs/>
                <w:strike/>
                <w:color w:val="D9D9D9" w:themeColor="background1" w:themeShade="D9"/>
                <w:sz w:val="20"/>
              </w:rPr>
            </w:pPr>
            <w:r w:rsidRPr="00344792">
              <w:rPr>
                <w:bCs/>
                <w:strike/>
                <w:color w:val="D9D9D9" w:themeColor="background1" w:themeShade="D9"/>
                <w:sz w:val="20"/>
              </w:rPr>
              <w:t>Ametoctradin</w:t>
            </w:r>
          </w:p>
        </w:tc>
        <w:tc>
          <w:tcPr>
            <w:tcW w:w="1177" w:type="pct"/>
            <w:tcBorders>
              <w:top w:val="single" w:sz="4" w:space="0" w:color="auto"/>
              <w:bottom w:val="single" w:sz="4" w:space="0" w:color="auto"/>
            </w:tcBorders>
            <w:vAlign w:val="center"/>
          </w:tcPr>
          <w:p w14:paraId="5CB24E7B"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95.35</w:t>
            </w:r>
          </w:p>
        </w:tc>
        <w:tc>
          <w:tcPr>
            <w:tcW w:w="1177" w:type="pct"/>
            <w:tcBorders>
              <w:top w:val="single" w:sz="4" w:space="0" w:color="auto"/>
              <w:bottom w:val="single" w:sz="4" w:space="0" w:color="auto"/>
            </w:tcBorders>
            <w:vAlign w:val="center"/>
          </w:tcPr>
          <w:p w14:paraId="3F79B933" w14:textId="77777777" w:rsidR="00DC5685" w:rsidRPr="00344792" w:rsidRDefault="00DC5685" w:rsidP="00DC5685">
            <w:pPr>
              <w:widowControl w:val="0"/>
              <w:suppressAutoHyphens/>
              <w:rPr>
                <w:b/>
                <w:bCs/>
                <w:strike/>
                <w:color w:val="D9D9D9" w:themeColor="background1" w:themeShade="D9"/>
                <w:sz w:val="20"/>
                <w:szCs w:val="20"/>
                <w:lang w:val="en-GB"/>
              </w:rPr>
            </w:pPr>
            <w:r w:rsidRPr="00344792">
              <w:rPr>
                <w:strike/>
                <w:color w:val="D9D9D9" w:themeColor="background1" w:themeShade="D9"/>
                <w:sz w:val="20"/>
                <w:szCs w:val="20"/>
                <w:lang w:val="en-GB"/>
              </w:rPr>
              <w:t>0.389*</w:t>
            </w:r>
          </w:p>
        </w:tc>
        <w:tc>
          <w:tcPr>
            <w:tcW w:w="1176" w:type="pct"/>
            <w:tcBorders>
              <w:top w:val="single" w:sz="4" w:space="0" w:color="auto"/>
              <w:bottom w:val="single" w:sz="4" w:space="0" w:color="auto"/>
            </w:tcBorders>
            <w:vAlign w:val="center"/>
          </w:tcPr>
          <w:p w14:paraId="3BC29E50" w14:textId="77777777" w:rsidR="00DC5685" w:rsidRPr="00344792" w:rsidRDefault="00DC5685" w:rsidP="00DC5685">
            <w:pPr>
              <w:widowControl w:val="0"/>
              <w:suppressAutoHyphens/>
              <w:rPr>
                <w:strike/>
                <w:color w:val="D9D9D9" w:themeColor="background1" w:themeShade="D9"/>
                <w:sz w:val="20"/>
                <w:szCs w:val="20"/>
                <w:lang w:val="en-GB"/>
              </w:rPr>
            </w:pPr>
            <w:r w:rsidRPr="00344792">
              <w:rPr>
                <w:strike/>
                <w:color w:val="D9D9D9" w:themeColor="background1" w:themeShade="D9"/>
                <w:sz w:val="20"/>
                <w:szCs w:val="20"/>
                <w:lang w:val="en-GB"/>
              </w:rPr>
              <w:t>282.1</w:t>
            </w:r>
          </w:p>
        </w:tc>
      </w:tr>
      <w:tr w:rsidR="00DC5685" w:rsidRPr="00A34F10" w14:paraId="31A20106" w14:textId="77777777" w:rsidTr="000470C3">
        <w:trPr>
          <w:cantSplit/>
        </w:trPr>
        <w:tc>
          <w:tcPr>
            <w:tcW w:w="1470" w:type="pct"/>
            <w:tcBorders>
              <w:top w:val="single" w:sz="4" w:space="0" w:color="auto"/>
              <w:bottom w:val="single" w:sz="4" w:space="0" w:color="auto"/>
            </w:tcBorders>
            <w:vAlign w:val="center"/>
          </w:tcPr>
          <w:p w14:paraId="1DF78C68" w14:textId="77777777" w:rsidR="00DC5685" w:rsidRPr="00A34F10" w:rsidRDefault="00DC5685" w:rsidP="00DC5685">
            <w:pPr>
              <w:widowControl w:val="0"/>
              <w:suppressAutoHyphens/>
              <w:rPr>
                <w:sz w:val="20"/>
              </w:rPr>
            </w:pPr>
            <w:r w:rsidRPr="00A34F10">
              <w:rPr>
                <w:sz w:val="20"/>
              </w:rPr>
              <w:t>M650F03</w:t>
            </w:r>
          </w:p>
        </w:tc>
        <w:tc>
          <w:tcPr>
            <w:tcW w:w="1177" w:type="pct"/>
            <w:tcBorders>
              <w:top w:val="single" w:sz="4" w:space="0" w:color="auto"/>
              <w:bottom w:val="single" w:sz="4" w:space="0" w:color="auto"/>
            </w:tcBorders>
            <w:vAlign w:val="center"/>
          </w:tcPr>
          <w:p w14:paraId="3CD22376" w14:textId="77777777" w:rsidR="00DC5685" w:rsidRPr="00A34F10" w:rsidRDefault="00DC5685" w:rsidP="00DC5685">
            <w:pPr>
              <w:widowControl w:val="0"/>
              <w:suppressAutoHyphens/>
              <w:rPr>
                <w:sz w:val="20"/>
              </w:rPr>
            </w:pPr>
            <w:r w:rsidRPr="00A34F10">
              <w:rPr>
                <w:sz w:val="20"/>
              </w:rPr>
              <w:t>≥ 100</w:t>
            </w:r>
          </w:p>
        </w:tc>
        <w:tc>
          <w:tcPr>
            <w:tcW w:w="1177" w:type="pct"/>
            <w:tcBorders>
              <w:top w:val="single" w:sz="4" w:space="0" w:color="auto"/>
              <w:bottom w:val="single" w:sz="4" w:space="0" w:color="auto"/>
            </w:tcBorders>
            <w:vAlign w:val="center"/>
          </w:tcPr>
          <w:p w14:paraId="64A729C0" w14:textId="77777777" w:rsidR="00DC5685" w:rsidRPr="00A34F10" w:rsidRDefault="00DC5685" w:rsidP="00DC5685">
            <w:pPr>
              <w:widowControl w:val="0"/>
              <w:suppressAutoHyphens/>
              <w:rPr>
                <w:sz w:val="20"/>
              </w:rPr>
            </w:pPr>
            <w:r w:rsidRPr="00A34F10">
              <w:rPr>
                <w:sz w:val="20"/>
              </w:rPr>
              <w:t>0.243**</w:t>
            </w:r>
          </w:p>
        </w:tc>
        <w:tc>
          <w:tcPr>
            <w:tcW w:w="1176" w:type="pct"/>
            <w:tcBorders>
              <w:top w:val="single" w:sz="4" w:space="0" w:color="auto"/>
              <w:bottom w:val="single" w:sz="4" w:space="0" w:color="auto"/>
            </w:tcBorders>
            <w:vAlign w:val="center"/>
          </w:tcPr>
          <w:p w14:paraId="7BF99A51" w14:textId="77777777" w:rsidR="00DC5685" w:rsidRPr="00A34F10" w:rsidRDefault="00DC5685" w:rsidP="00DC5685">
            <w:pPr>
              <w:widowControl w:val="0"/>
              <w:suppressAutoHyphens/>
              <w:rPr>
                <w:sz w:val="20"/>
              </w:rPr>
            </w:pPr>
            <w:r w:rsidRPr="00A34F10">
              <w:rPr>
                <w:sz w:val="20"/>
              </w:rPr>
              <w:t>411.5</w:t>
            </w:r>
          </w:p>
        </w:tc>
      </w:tr>
      <w:tr w:rsidR="00DC5685" w:rsidRPr="00A34F10" w14:paraId="26E057C9" w14:textId="77777777" w:rsidTr="000470C3">
        <w:trPr>
          <w:cantSplit/>
        </w:trPr>
        <w:tc>
          <w:tcPr>
            <w:tcW w:w="1470" w:type="pct"/>
            <w:tcBorders>
              <w:top w:val="single" w:sz="4" w:space="0" w:color="auto"/>
            </w:tcBorders>
            <w:vAlign w:val="center"/>
          </w:tcPr>
          <w:p w14:paraId="2F0E16BA" w14:textId="77777777" w:rsidR="00DC5685" w:rsidRPr="00A34F10" w:rsidRDefault="00DC5685" w:rsidP="00DC5685">
            <w:pPr>
              <w:widowControl w:val="0"/>
              <w:suppressAutoHyphens/>
              <w:rPr>
                <w:sz w:val="20"/>
              </w:rPr>
            </w:pPr>
            <w:r w:rsidRPr="00A34F10">
              <w:rPr>
                <w:sz w:val="20"/>
              </w:rPr>
              <w:t>M650F04</w:t>
            </w:r>
          </w:p>
        </w:tc>
        <w:tc>
          <w:tcPr>
            <w:tcW w:w="1177" w:type="pct"/>
            <w:tcBorders>
              <w:top w:val="single" w:sz="4" w:space="0" w:color="auto"/>
            </w:tcBorders>
            <w:vAlign w:val="center"/>
          </w:tcPr>
          <w:p w14:paraId="4A8AA55A" w14:textId="77777777" w:rsidR="00DC5685" w:rsidRPr="00A34F10" w:rsidRDefault="00DC5685" w:rsidP="00DC5685">
            <w:pPr>
              <w:widowControl w:val="0"/>
              <w:suppressAutoHyphens/>
              <w:rPr>
                <w:sz w:val="20"/>
              </w:rPr>
            </w:pPr>
            <w:r w:rsidRPr="00A34F10">
              <w:rPr>
                <w:sz w:val="20"/>
              </w:rPr>
              <w:t>≥ 100</w:t>
            </w:r>
          </w:p>
        </w:tc>
        <w:tc>
          <w:tcPr>
            <w:tcW w:w="1177" w:type="pct"/>
            <w:tcBorders>
              <w:top w:val="single" w:sz="4" w:space="0" w:color="auto"/>
            </w:tcBorders>
            <w:vAlign w:val="center"/>
          </w:tcPr>
          <w:p w14:paraId="43F647FC" w14:textId="67A42BA8" w:rsidR="00DC5685" w:rsidRPr="00A34F10" w:rsidRDefault="0055247D" w:rsidP="00DC5685">
            <w:pPr>
              <w:widowControl w:val="0"/>
              <w:suppressAutoHyphens/>
              <w:rPr>
                <w:sz w:val="20"/>
              </w:rPr>
            </w:pPr>
            <w:r w:rsidRPr="00CA43A2">
              <w:rPr>
                <w:strike/>
                <w:color w:val="D9D9D9" w:themeColor="background1" w:themeShade="D9"/>
                <w:sz w:val="20"/>
              </w:rPr>
              <w:t>0.435</w:t>
            </w:r>
            <w:r w:rsidRPr="00CA43A2">
              <w:rPr>
                <w:strike/>
                <w:color w:val="D9D9D9" w:themeColor="background1" w:themeShade="D9"/>
                <w:sz w:val="20"/>
                <w:vertAlign w:val="superscript"/>
              </w:rPr>
              <w:t xml:space="preserve"> </w:t>
            </w:r>
            <w:r w:rsidRPr="00CA43A2">
              <w:rPr>
                <w:strike/>
                <w:color w:val="D9D9D9" w:themeColor="background1" w:themeShade="D9"/>
                <w:sz w:val="20"/>
              </w:rPr>
              <w:t>*</w:t>
            </w:r>
            <w:r w:rsidRPr="00CA43A2">
              <w:rPr>
                <w:color w:val="D9D9D9" w:themeColor="background1" w:themeShade="D9"/>
                <w:sz w:val="20"/>
              </w:rPr>
              <w:t xml:space="preserve"> </w:t>
            </w:r>
            <w:r w:rsidRPr="00CA43A2">
              <w:rPr>
                <w:sz w:val="20"/>
                <w:shd w:val="clear" w:color="auto" w:fill="D9D9D9" w:themeFill="background1" w:themeFillShade="D9"/>
              </w:rPr>
              <w:t>0.280</w:t>
            </w:r>
            <w:r w:rsidR="001015DF">
              <w:rPr>
                <w:sz w:val="20"/>
                <w:shd w:val="clear" w:color="auto" w:fill="D9D9D9" w:themeFill="background1" w:themeFillShade="D9"/>
              </w:rPr>
              <w:t>**</w:t>
            </w:r>
          </w:p>
        </w:tc>
        <w:tc>
          <w:tcPr>
            <w:tcW w:w="1176" w:type="pct"/>
            <w:tcBorders>
              <w:top w:val="single" w:sz="4" w:space="0" w:color="auto"/>
            </w:tcBorders>
            <w:vAlign w:val="center"/>
          </w:tcPr>
          <w:p w14:paraId="5A3463AA" w14:textId="508C8B70" w:rsidR="00DC5685" w:rsidRPr="00A34F10" w:rsidRDefault="00DC5685" w:rsidP="00DC5685">
            <w:pPr>
              <w:widowControl w:val="0"/>
              <w:suppressAutoHyphens/>
              <w:rPr>
                <w:sz w:val="20"/>
              </w:rPr>
            </w:pPr>
            <w:r w:rsidRPr="00A34F10">
              <w:rPr>
                <w:sz w:val="20"/>
              </w:rPr>
              <w:t xml:space="preserve">≥ </w:t>
            </w:r>
            <w:r w:rsidR="001015DF" w:rsidRPr="0055247D">
              <w:rPr>
                <w:strike/>
                <w:color w:val="D9D9D9" w:themeColor="background1" w:themeShade="D9"/>
                <w:sz w:val="20"/>
              </w:rPr>
              <w:t>245.7</w:t>
            </w:r>
            <w:r w:rsidR="001015DF" w:rsidRPr="0055247D">
              <w:rPr>
                <w:color w:val="D9D9D9" w:themeColor="background1" w:themeShade="D9"/>
                <w:sz w:val="20"/>
              </w:rPr>
              <w:t xml:space="preserve"> </w:t>
            </w:r>
            <w:r w:rsidR="001015DF" w:rsidRPr="0055247D">
              <w:rPr>
                <w:sz w:val="20"/>
                <w:shd w:val="clear" w:color="auto" w:fill="D9D9D9" w:themeFill="background1" w:themeFillShade="D9"/>
              </w:rPr>
              <w:t>357.1</w:t>
            </w:r>
          </w:p>
        </w:tc>
      </w:tr>
    </w:tbl>
    <w:p w14:paraId="07948A7F" w14:textId="77777777" w:rsidR="00DC5685" w:rsidRPr="00A34F10" w:rsidRDefault="00DC5685" w:rsidP="00DC5685">
      <w:pPr>
        <w:widowControl w:val="0"/>
        <w:suppressAutoHyphens/>
        <w:ind w:left="425" w:hanging="425"/>
        <w:jc w:val="both"/>
        <w:rPr>
          <w:sz w:val="18"/>
          <w:szCs w:val="18"/>
        </w:rPr>
      </w:pPr>
      <w:bookmarkStart w:id="786" w:name="_Toc360726678"/>
      <w:bookmarkStart w:id="787" w:name="_Toc362541811"/>
      <w:bookmarkStart w:id="788" w:name="_Toc362542720"/>
      <w:bookmarkEnd w:id="786"/>
      <w:bookmarkEnd w:id="787"/>
      <w:bookmarkEnd w:id="788"/>
      <w:r w:rsidRPr="00A34F10">
        <w:rPr>
          <w:sz w:val="18"/>
          <w:szCs w:val="18"/>
        </w:rPr>
        <w:t>*</w:t>
      </w:r>
      <w:r w:rsidRPr="00A34F10">
        <w:rPr>
          <w:sz w:val="18"/>
          <w:szCs w:val="18"/>
        </w:rPr>
        <w:tab/>
      </w:r>
      <w:r w:rsidRPr="008B5B68">
        <w:rPr>
          <w:strike/>
          <w:color w:val="D9D9D9" w:themeColor="background1" w:themeShade="D9"/>
          <w:sz w:val="18"/>
          <w:szCs w:val="18"/>
        </w:rPr>
        <w:t>PEC</w:t>
      </w:r>
      <w:r w:rsidRPr="008B5B68">
        <w:rPr>
          <w:strike/>
          <w:color w:val="D9D9D9" w:themeColor="background1" w:themeShade="D9"/>
          <w:sz w:val="18"/>
          <w:szCs w:val="18"/>
          <w:vertAlign w:val="subscript"/>
        </w:rPr>
        <w:t xml:space="preserve">soil, </w:t>
      </w:r>
      <w:r w:rsidRPr="008B5B68">
        <w:rPr>
          <w:strike/>
          <w:color w:val="D9D9D9" w:themeColor="background1" w:themeShade="D9"/>
          <w:sz w:val="18"/>
          <w:szCs w:val="18"/>
        </w:rPr>
        <w:t>in perennial crops</w:t>
      </w:r>
      <w:r w:rsidRPr="008B5B68">
        <w:rPr>
          <w:strike/>
          <w:color w:val="D9D9D9" w:themeColor="background1" w:themeShade="D9"/>
          <w:sz w:val="18"/>
          <w:szCs w:val="18"/>
          <w:vertAlign w:val="subscript"/>
        </w:rPr>
        <w:t xml:space="preserve"> </w:t>
      </w:r>
      <w:r w:rsidRPr="008B5B68">
        <w:rPr>
          <w:strike/>
          <w:color w:val="D9D9D9" w:themeColor="background1" w:themeShade="D9"/>
          <w:sz w:val="18"/>
          <w:szCs w:val="18"/>
        </w:rPr>
        <w:t>representing the worst-case for Ametoctradin and metabolite M650F04</w:t>
      </w:r>
    </w:p>
    <w:p w14:paraId="6891E0C2" w14:textId="6B6F3054" w:rsidR="00DC5685" w:rsidRDefault="00DC5685" w:rsidP="00DC5685">
      <w:pPr>
        <w:widowControl w:val="0"/>
        <w:suppressAutoHyphens/>
        <w:ind w:left="425" w:hanging="425"/>
        <w:jc w:val="both"/>
        <w:rPr>
          <w:sz w:val="18"/>
          <w:szCs w:val="18"/>
          <w:shd w:val="clear" w:color="auto" w:fill="D9D9D9" w:themeFill="background1" w:themeFillShade="D9"/>
        </w:rPr>
      </w:pPr>
      <w:r w:rsidRPr="00A34F10">
        <w:rPr>
          <w:sz w:val="18"/>
          <w:szCs w:val="18"/>
        </w:rPr>
        <w:t>**</w:t>
      </w:r>
      <w:r w:rsidRPr="00A34F10">
        <w:rPr>
          <w:sz w:val="18"/>
          <w:szCs w:val="18"/>
        </w:rPr>
        <w:tab/>
        <w:t>PEC</w:t>
      </w:r>
      <w:r w:rsidRPr="00A34F10">
        <w:rPr>
          <w:sz w:val="18"/>
          <w:szCs w:val="18"/>
          <w:vertAlign w:val="subscript"/>
        </w:rPr>
        <w:t xml:space="preserve">soil, </w:t>
      </w:r>
      <w:r w:rsidRPr="00A34F10">
        <w:rPr>
          <w:sz w:val="18"/>
          <w:szCs w:val="18"/>
        </w:rPr>
        <w:t>in onion</w:t>
      </w:r>
      <w:r w:rsidRPr="00A34F10">
        <w:rPr>
          <w:sz w:val="18"/>
          <w:szCs w:val="18"/>
          <w:vertAlign w:val="subscript"/>
        </w:rPr>
        <w:t xml:space="preserve"> </w:t>
      </w:r>
      <w:r w:rsidRPr="00A34F10">
        <w:rPr>
          <w:sz w:val="18"/>
          <w:szCs w:val="18"/>
        </w:rPr>
        <w:t xml:space="preserve">representing the worst-case for </w:t>
      </w:r>
      <w:r w:rsidRPr="008B5B68">
        <w:rPr>
          <w:strike/>
          <w:color w:val="D9D9D9" w:themeColor="background1" w:themeShade="D9"/>
          <w:sz w:val="18"/>
          <w:szCs w:val="18"/>
        </w:rPr>
        <w:t>Ametoctradin and</w:t>
      </w:r>
      <w:r w:rsidRPr="008B5B68">
        <w:rPr>
          <w:color w:val="D9D9D9" w:themeColor="background1" w:themeShade="D9"/>
          <w:sz w:val="18"/>
          <w:szCs w:val="18"/>
        </w:rPr>
        <w:t xml:space="preserve"> </w:t>
      </w:r>
      <w:r w:rsidRPr="00A34F10">
        <w:rPr>
          <w:sz w:val="18"/>
          <w:szCs w:val="18"/>
        </w:rPr>
        <w:t>metabolite M650F03</w:t>
      </w:r>
      <w:r w:rsidR="008B5B68">
        <w:rPr>
          <w:sz w:val="18"/>
          <w:szCs w:val="18"/>
        </w:rPr>
        <w:t xml:space="preserve"> </w:t>
      </w:r>
      <w:r w:rsidR="008B5B68" w:rsidRPr="008B5B68">
        <w:rPr>
          <w:sz w:val="18"/>
          <w:szCs w:val="18"/>
          <w:shd w:val="clear" w:color="auto" w:fill="D9D9D9" w:themeFill="background1" w:themeFillShade="D9"/>
        </w:rPr>
        <w:t>and M650F04</w:t>
      </w:r>
    </w:p>
    <w:p w14:paraId="32692338" w14:textId="77777777" w:rsidR="00665CF7" w:rsidRDefault="00665CF7" w:rsidP="00DC5685">
      <w:pPr>
        <w:widowControl w:val="0"/>
        <w:suppressAutoHyphens/>
        <w:ind w:left="425" w:hanging="425"/>
        <w:jc w:val="both"/>
        <w:rPr>
          <w:sz w:val="18"/>
          <w:szCs w:val="18"/>
          <w:shd w:val="clear" w:color="auto" w:fill="D9D9D9" w:themeFill="background1" w:themeFillShade="D9"/>
        </w:rPr>
      </w:pPr>
    </w:p>
    <w:p w14:paraId="02507A84" w14:textId="77777777" w:rsidR="00665CF7" w:rsidRDefault="00665CF7" w:rsidP="00DC5685">
      <w:pPr>
        <w:widowControl w:val="0"/>
        <w:suppressAutoHyphens/>
        <w:ind w:left="425" w:hanging="425"/>
        <w:jc w:val="both"/>
        <w:rPr>
          <w:sz w:val="18"/>
          <w:szCs w:val="18"/>
          <w:shd w:val="clear" w:color="auto" w:fill="D9D9D9" w:themeFill="background1" w:themeFillShade="D9"/>
        </w:rPr>
      </w:pPr>
    </w:p>
    <w:p w14:paraId="21A8D58E" w14:textId="425CD0B1" w:rsidR="00DC5685" w:rsidRPr="00A34F10" w:rsidRDefault="00DC5685" w:rsidP="00DC5685">
      <w:pPr>
        <w:keepNext/>
        <w:keepLines/>
        <w:widowControl w:val="0"/>
        <w:suppressAutoHyphens/>
        <w:ind w:left="1560" w:hanging="1560"/>
        <w:jc w:val="both"/>
        <w:rPr>
          <w:b/>
          <w:bCs/>
        </w:rPr>
      </w:pPr>
      <w:r w:rsidRPr="00A34F10">
        <w:rPr>
          <w:b/>
          <w:bCs/>
        </w:rPr>
        <w:lastRenderedPageBreak/>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9.8</w:t>
      </w:r>
      <w:r w:rsidRPr="00A34F10">
        <w:rPr>
          <w:b/>
          <w:bCs/>
        </w:rPr>
        <w:fldChar w:fldCharType="end"/>
      </w:r>
      <w:r w:rsidRPr="00A34F10">
        <w:rPr>
          <w:b/>
          <w:bCs/>
        </w:rPr>
        <w:noBreakHyphen/>
        <w:t>5:</w:t>
      </w:r>
      <w:r w:rsidRPr="00A34F10">
        <w:rPr>
          <w:b/>
          <w:bCs/>
        </w:rPr>
        <w:tab/>
        <w:t xml:space="preserve">First-tier assessment of the chronic risk for earthworms and other non-target soil organisms (meso- and macrofauna) due to the use of Propamocarb-HCl in BAS 743 03 F </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DC5685" w:rsidRPr="00A34F10" w14:paraId="29A2656D" w14:textId="77777777" w:rsidTr="000470C3">
        <w:trPr>
          <w:cantSplit/>
        </w:trPr>
        <w:tc>
          <w:tcPr>
            <w:tcW w:w="1470" w:type="pct"/>
            <w:tcBorders>
              <w:top w:val="single" w:sz="4" w:space="0" w:color="auto"/>
              <w:bottom w:val="single" w:sz="4" w:space="0" w:color="auto"/>
            </w:tcBorders>
            <w:vAlign w:val="center"/>
          </w:tcPr>
          <w:p w14:paraId="6515602E" w14:textId="77777777" w:rsidR="00DC5685" w:rsidRPr="00A34F10" w:rsidRDefault="00DC5685" w:rsidP="00DC5685">
            <w:pPr>
              <w:keepNext/>
              <w:keepLines/>
              <w:widowControl w:val="0"/>
              <w:suppressAutoHyphens/>
              <w:rPr>
                <w:b/>
                <w:bCs/>
                <w:sz w:val="20"/>
                <w:szCs w:val="20"/>
                <w:lang w:val="en-GB"/>
              </w:rPr>
            </w:pPr>
            <w:r w:rsidRPr="00A34F10">
              <w:rPr>
                <w:b/>
                <w:bCs/>
                <w:sz w:val="20"/>
                <w:szCs w:val="20"/>
                <w:lang w:val="en-GB"/>
              </w:rPr>
              <w:t>Intended use</w:t>
            </w:r>
          </w:p>
        </w:tc>
        <w:tc>
          <w:tcPr>
            <w:tcW w:w="3530" w:type="pct"/>
            <w:gridSpan w:val="3"/>
            <w:tcBorders>
              <w:top w:val="single" w:sz="4" w:space="0" w:color="auto"/>
              <w:bottom w:val="single" w:sz="4" w:space="0" w:color="auto"/>
            </w:tcBorders>
            <w:vAlign w:val="center"/>
          </w:tcPr>
          <w:p w14:paraId="0017BC60" w14:textId="77777777" w:rsidR="00DC5685" w:rsidRPr="00A34F10" w:rsidRDefault="00DC5685" w:rsidP="00DC5685">
            <w:pPr>
              <w:keepNext/>
              <w:keepLines/>
              <w:widowControl w:val="0"/>
              <w:suppressAutoHyphens/>
              <w:rPr>
                <w:b/>
                <w:sz w:val="20"/>
              </w:rPr>
            </w:pPr>
            <w:r w:rsidRPr="00A34F10">
              <w:rPr>
                <w:b/>
                <w:sz w:val="20"/>
              </w:rPr>
              <w:t>Various crops (1 - 3 × 902 g a.s./ha)</w:t>
            </w:r>
          </w:p>
        </w:tc>
      </w:tr>
      <w:tr w:rsidR="00DC5685" w:rsidRPr="00A34F10" w14:paraId="355D3AB1" w14:textId="77777777" w:rsidTr="000470C3">
        <w:trPr>
          <w:cantSplit/>
        </w:trPr>
        <w:tc>
          <w:tcPr>
            <w:tcW w:w="5000" w:type="pct"/>
            <w:gridSpan w:val="4"/>
            <w:tcBorders>
              <w:top w:val="single" w:sz="4" w:space="0" w:color="auto"/>
            </w:tcBorders>
            <w:vAlign w:val="center"/>
          </w:tcPr>
          <w:p w14:paraId="5619C311" w14:textId="77777777" w:rsidR="00DC5685" w:rsidRPr="00A34F10" w:rsidRDefault="00DC5685" w:rsidP="00DC5685">
            <w:pPr>
              <w:keepNext/>
              <w:keepLines/>
              <w:widowControl w:val="0"/>
              <w:suppressAutoHyphens/>
              <w:rPr>
                <w:b/>
                <w:bCs/>
                <w:sz w:val="20"/>
                <w:szCs w:val="20"/>
                <w:lang w:val="en-GB"/>
              </w:rPr>
            </w:pPr>
            <w:r w:rsidRPr="00A34F10">
              <w:rPr>
                <w:b/>
                <w:bCs/>
                <w:sz w:val="20"/>
                <w:szCs w:val="20"/>
                <w:lang w:val="en-GB"/>
              </w:rPr>
              <w:t>Chronic effects on earthworms</w:t>
            </w:r>
          </w:p>
        </w:tc>
      </w:tr>
      <w:tr w:rsidR="00DC5685" w:rsidRPr="00A34F10" w14:paraId="75D2479B" w14:textId="77777777" w:rsidTr="000470C3">
        <w:trPr>
          <w:cantSplit/>
        </w:trPr>
        <w:tc>
          <w:tcPr>
            <w:tcW w:w="1470" w:type="pct"/>
            <w:tcBorders>
              <w:top w:val="single" w:sz="4" w:space="0" w:color="auto"/>
              <w:bottom w:val="single" w:sz="4" w:space="0" w:color="auto"/>
            </w:tcBorders>
            <w:vAlign w:val="center"/>
          </w:tcPr>
          <w:p w14:paraId="54A17822" w14:textId="77777777" w:rsidR="00DC5685" w:rsidRPr="00A34F10" w:rsidRDefault="00DC5685" w:rsidP="00DC5685">
            <w:pPr>
              <w:keepNext/>
              <w:keepLines/>
              <w:widowControl w:val="0"/>
              <w:suppressAutoHyphens/>
              <w:rPr>
                <w:b/>
                <w:bCs/>
                <w:sz w:val="20"/>
                <w:szCs w:val="20"/>
                <w:lang w:val="en-GB"/>
              </w:rPr>
            </w:pPr>
            <w:r w:rsidRPr="00A34F10">
              <w:rPr>
                <w:bCs/>
                <w:sz w:val="20"/>
                <w:szCs w:val="20"/>
                <w:lang w:val="en-GB"/>
              </w:rPr>
              <w:t>A</w:t>
            </w:r>
            <w:r w:rsidRPr="00A34F10">
              <w:rPr>
                <w:b/>
                <w:bCs/>
                <w:sz w:val="20"/>
                <w:szCs w:val="20"/>
                <w:lang w:val="en-GB"/>
              </w:rPr>
              <w:t>ctive substance</w:t>
            </w:r>
            <w:r w:rsidRPr="00A34F10">
              <w:rPr>
                <w:bCs/>
                <w:sz w:val="20"/>
                <w:szCs w:val="20"/>
                <w:lang w:val="en-GB"/>
              </w:rPr>
              <w:t>/</w:t>
            </w:r>
            <w:r w:rsidRPr="00A34F10">
              <w:rPr>
                <w:b/>
                <w:sz w:val="20"/>
                <w:szCs w:val="20"/>
                <w:lang w:val="en-GB"/>
              </w:rPr>
              <w:t>metabolites</w:t>
            </w:r>
          </w:p>
        </w:tc>
        <w:tc>
          <w:tcPr>
            <w:tcW w:w="1177" w:type="pct"/>
            <w:tcBorders>
              <w:top w:val="single" w:sz="4" w:space="0" w:color="auto"/>
              <w:bottom w:val="single" w:sz="4" w:space="0" w:color="auto"/>
            </w:tcBorders>
            <w:vAlign w:val="center"/>
          </w:tcPr>
          <w:p w14:paraId="518A9667" w14:textId="77777777" w:rsidR="00DC5685" w:rsidRPr="00A34F10" w:rsidRDefault="00DC5685" w:rsidP="00DC5685">
            <w:pPr>
              <w:keepNext/>
              <w:keepLines/>
              <w:widowControl w:val="0"/>
              <w:suppressAutoHyphens/>
              <w:rPr>
                <w:b/>
                <w:bCs/>
                <w:sz w:val="20"/>
                <w:szCs w:val="20"/>
                <w:lang w:val="en-GB"/>
              </w:rPr>
            </w:pPr>
            <w:r w:rsidRPr="00A34F10">
              <w:rPr>
                <w:b/>
                <w:bCs/>
                <w:sz w:val="20"/>
                <w:szCs w:val="20"/>
                <w:lang w:val="en-GB"/>
              </w:rPr>
              <w:t>NOEC/NOEC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4CB8D664" w14:textId="77777777" w:rsidR="00DC5685" w:rsidRPr="00A34F10" w:rsidRDefault="00DC5685" w:rsidP="00DC5685">
            <w:pPr>
              <w:keepNext/>
              <w:keepLines/>
              <w:widowControl w:val="0"/>
              <w:suppressAutoHyphens/>
              <w:rPr>
                <w:b/>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6A05A686" w14:textId="77777777" w:rsidR="00DC5685" w:rsidRPr="00A34F10" w:rsidRDefault="00DC5685" w:rsidP="00DC5685">
            <w:pPr>
              <w:keepNext/>
              <w:keepLines/>
              <w:widowControl w:val="0"/>
              <w:suppressAutoHyphens/>
              <w:rPr>
                <w:b/>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1E8CF6B2" w14:textId="77777777" w:rsidTr="000470C3">
        <w:trPr>
          <w:cantSplit/>
        </w:trPr>
        <w:tc>
          <w:tcPr>
            <w:tcW w:w="1470" w:type="pct"/>
            <w:tcBorders>
              <w:top w:val="single" w:sz="4" w:space="0" w:color="auto"/>
              <w:bottom w:val="single" w:sz="4" w:space="0" w:color="auto"/>
            </w:tcBorders>
            <w:vAlign w:val="center"/>
          </w:tcPr>
          <w:p w14:paraId="1F11F8DA" w14:textId="77777777" w:rsidR="00DC5685" w:rsidRPr="00A34F10" w:rsidRDefault="00DC5685" w:rsidP="00DC5685">
            <w:pPr>
              <w:keepNext/>
              <w:keepLines/>
              <w:widowControl w:val="0"/>
              <w:suppressAutoHyphens/>
              <w:rPr>
                <w:sz w:val="20"/>
                <w:szCs w:val="20"/>
                <w:lang w:val="en-GB"/>
              </w:rPr>
            </w:pPr>
            <w:r w:rsidRPr="00A34F10">
              <w:rPr>
                <w:sz w:val="20"/>
                <w:szCs w:val="20"/>
              </w:rPr>
              <w:t>Propamocarb-HCl</w:t>
            </w:r>
          </w:p>
        </w:tc>
        <w:tc>
          <w:tcPr>
            <w:tcW w:w="1177" w:type="pct"/>
            <w:tcBorders>
              <w:top w:val="single" w:sz="4" w:space="0" w:color="auto"/>
              <w:bottom w:val="single" w:sz="4" w:space="0" w:color="auto"/>
            </w:tcBorders>
            <w:vAlign w:val="center"/>
          </w:tcPr>
          <w:p w14:paraId="0F847A45" w14:textId="77777777" w:rsidR="00DC5685" w:rsidRPr="00A34F10" w:rsidRDefault="00DC5685" w:rsidP="00DC5685">
            <w:pPr>
              <w:keepNext/>
              <w:keepLines/>
              <w:widowControl w:val="0"/>
              <w:suppressAutoHyphens/>
              <w:rPr>
                <w:sz w:val="20"/>
                <w:szCs w:val="20"/>
                <w:lang w:val="en-GB"/>
              </w:rPr>
            </w:pPr>
            <w:r w:rsidRPr="00A34F10">
              <w:rPr>
                <w:sz w:val="20"/>
                <w:szCs w:val="20"/>
                <w:lang w:val="en-GB"/>
              </w:rPr>
              <w:t>≥ 362</w:t>
            </w:r>
          </w:p>
        </w:tc>
        <w:tc>
          <w:tcPr>
            <w:tcW w:w="1177" w:type="pct"/>
            <w:tcBorders>
              <w:top w:val="single" w:sz="4" w:space="0" w:color="auto"/>
              <w:bottom w:val="single" w:sz="4" w:space="0" w:color="auto"/>
            </w:tcBorders>
            <w:vAlign w:val="center"/>
          </w:tcPr>
          <w:p w14:paraId="68536FF2" w14:textId="74247B48" w:rsidR="00DC5685" w:rsidRPr="00A34F10" w:rsidRDefault="00DC5685" w:rsidP="00DC5685">
            <w:pPr>
              <w:keepNext/>
              <w:keepLines/>
              <w:widowControl w:val="0"/>
              <w:suppressAutoHyphens/>
              <w:rPr>
                <w:sz w:val="20"/>
                <w:szCs w:val="20"/>
                <w:lang w:val="en-GB"/>
              </w:rPr>
            </w:pPr>
            <w:r w:rsidRPr="00231D6A">
              <w:rPr>
                <w:strike/>
                <w:color w:val="D9D9D9" w:themeColor="background1" w:themeShade="D9"/>
                <w:sz w:val="20"/>
                <w:szCs w:val="20"/>
                <w:lang w:val="en-GB"/>
              </w:rPr>
              <w:t>2.399</w:t>
            </w:r>
            <w:r w:rsidR="00231D6A" w:rsidRPr="00231D6A">
              <w:rPr>
                <w:color w:val="D9D9D9" w:themeColor="background1" w:themeShade="D9"/>
                <w:sz w:val="20"/>
                <w:szCs w:val="20"/>
                <w:lang w:val="en-GB"/>
              </w:rPr>
              <w:t xml:space="preserve"> </w:t>
            </w:r>
            <w:r w:rsidR="00231D6A" w:rsidRPr="0099062D">
              <w:rPr>
                <w:sz w:val="20"/>
                <w:shd w:val="clear" w:color="auto" w:fill="D9D9D9" w:themeFill="background1" w:themeFillShade="D9"/>
              </w:rPr>
              <w:t>2.241</w:t>
            </w:r>
            <w:r w:rsidRPr="00A34F10">
              <w:rPr>
                <w:sz w:val="20"/>
                <w:szCs w:val="20"/>
                <w:lang w:val="en-GB"/>
              </w:rPr>
              <w:t>*</w:t>
            </w:r>
          </w:p>
        </w:tc>
        <w:tc>
          <w:tcPr>
            <w:tcW w:w="1176" w:type="pct"/>
            <w:tcBorders>
              <w:top w:val="single" w:sz="4" w:space="0" w:color="auto"/>
              <w:bottom w:val="single" w:sz="4" w:space="0" w:color="auto"/>
            </w:tcBorders>
            <w:vAlign w:val="center"/>
          </w:tcPr>
          <w:p w14:paraId="63FA90AC" w14:textId="6764BA1F" w:rsidR="00DC5685" w:rsidRPr="00A34F10" w:rsidRDefault="00DC5685" w:rsidP="00DC5685">
            <w:pPr>
              <w:keepNext/>
              <w:keepLines/>
              <w:widowControl w:val="0"/>
              <w:suppressAutoHyphens/>
              <w:rPr>
                <w:sz w:val="20"/>
                <w:szCs w:val="20"/>
                <w:lang w:val="en-GB"/>
              </w:rPr>
            </w:pPr>
            <w:r w:rsidRPr="00A34F10">
              <w:rPr>
                <w:sz w:val="20"/>
                <w:szCs w:val="20"/>
              </w:rPr>
              <w:t xml:space="preserve">≥ </w:t>
            </w:r>
            <w:r w:rsidRPr="0069525D">
              <w:rPr>
                <w:strike/>
                <w:color w:val="D9D9D9" w:themeColor="background1" w:themeShade="D9"/>
                <w:sz w:val="20"/>
                <w:szCs w:val="20"/>
              </w:rPr>
              <w:t>150.9</w:t>
            </w:r>
            <w:r w:rsidR="0069525D" w:rsidRPr="0069525D">
              <w:rPr>
                <w:color w:val="D9D9D9" w:themeColor="background1" w:themeShade="D9"/>
                <w:sz w:val="20"/>
                <w:szCs w:val="20"/>
              </w:rPr>
              <w:t xml:space="preserve"> </w:t>
            </w:r>
            <w:r w:rsidR="0069525D" w:rsidRPr="0069525D">
              <w:rPr>
                <w:sz w:val="20"/>
                <w:szCs w:val="20"/>
                <w:shd w:val="clear" w:color="auto" w:fill="D9D9D9" w:themeFill="background1" w:themeFillShade="D9"/>
              </w:rPr>
              <w:t>161.5</w:t>
            </w:r>
          </w:p>
        </w:tc>
      </w:tr>
      <w:tr w:rsidR="00DC5685" w:rsidRPr="00A34F10" w14:paraId="6A38ADBF" w14:textId="77777777" w:rsidTr="000470C3">
        <w:trPr>
          <w:cantSplit/>
        </w:trPr>
        <w:tc>
          <w:tcPr>
            <w:tcW w:w="5000" w:type="pct"/>
            <w:gridSpan w:val="4"/>
            <w:tcBorders>
              <w:top w:val="single" w:sz="4" w:space="0" w:color="auto"/>
            </w:tcBorders>
            <w:vAlign w:val="center"/>
          </w:tcPr>
          <w:p w14:paraId="20E0C6D5"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
                <w:bCs/>
                <w:strike/>
                <w:color w:val="D9D9D9" w:themeColor="background1" w:themeShade="D9"/>
                <w:sz w:val="20"/>
                <w:szCs w:val="20"/>
                <w:lang w:val="en-GB"/>
              </w:rPr>
              <w:t>Chronic effects on other soil meso- and macrofauna</w:t>
            </w:r>
          </w:p>
        </w:tc>
      </w:tr>
      <w:tr w:rsidR="00DC5685" w:rsidRPr="00A34F10" w14:paraId="755D69D2" w14:textId="77777777" w:rsidTr="000470C3">
        <w:trPr>
          <w:cantSplit/>
        </w:trPr>
        <w:tc>
          <w:tcPr>
            <w:tcW w:w="5000" w:type="pct"/>
            <w:gridSpan w:val="4"/>
            <w:tcBorders>
              <w:top w:val="single" w:sz="4" w:space="0" w:color="auto"/>
            </w:tcBorders>
            <w:vAlign w:val="center"/>
          </w:tcPr>
          <w:p w14:paraId="1B6E6675"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
                <w:bCs/>
                <w:strike/>
                <w:color w:val="D9D9D9" w:themeColor="background1" w:themeShade="D9"/>
                <w:sz w:val="20"/>
                <w:szCs w:val="20"/>
                <w:lang w:val="en-GB"/>
              </w:rPr>
              <w:t xml:space="preserve">Collembola </w:t>
            </w:r>
            <w:r w:rsidRPr="004963AF">
              <w:rPr>
                <w:b/>
                <w:strike/>
                <w:color w:val="D9D9D9" w:themeColor="background1" w:themeShade="D9"/>
                <w:sz w:val="20"/>
                <w:szCs w:val="20"/>
                <w:lang w:val="en-GB"/>
              </w:rPr>
              <w:t>(</w:t>
            </w:r>
            <w:r w:rsidRPr="004963AF">
              <w:rPr>
                <w:b/>
                <w:i/>
                <w:strike/>
                <w:color w:val="D9D9D9" w:themeColor="background1" w:themeShade="D9"/>
                <w:sz w:val="20"/>
                <w:szCs w:val="20"/>
                <w:lang w:val="en-GB"/>
              </w:rPr>
              <w:t>Folsomia candida</w:t>
            </w:r>
            <w:r w:rsidRPr="004963AF">
              <w:rPr>
                <w:b/>
                <w:strike/>
                <w:color w:val="D9D9D9" w:themeColor="background1" w:themeShade="D9"/>
                <w:sz w:val="20"/>
                <w:szCs w:val="20"/>
                <w:lang w:val="en-GB"/>
              </w:rPr>
              <w:t>)</w:t>
            </w:r>
          </w:p>
        </w:tc>
      </w:tr>
      <w:tr w:rsidR="00DC5685" w:rsidRPr="00A34F10" w14:paraId="3FB929D1" w14:textId="77777777" w:rsidTr="000470C3">
        <w:trPr>
          <w:cantSplit/>
        </w:trPr>
        <w:tc>
          <w:tcPr>
            <w:tcW w:w="1470" w:type="pct"/>
            <w:tcBorders>
              <w:top w:val="single" w:sz="4" w:space="0" w:color="auto"/>
              <w:bottom w:val="single" w:sz="4" w:space="0" w:color="auto"/>
            </w:tcBorders>
            <w:vAlign w:val="center"/>
          </w:tcPr>
          <w:p w14:paraId="1BB19CE5"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Cs/>
                <w:strike/>
                <w:color w:val="D9D9D9" w:themeColor="background1" w:themeShade="D9"/>
                <w:sz w:val="20"/>
                <w:szCs w:val="20"/>
                <w:lang w:val="en-GB"/>
              </w:rPr>
              <w:t>A</w:t>
            </w:r>
            <w:r w:rsidRPr="004963AF">
              <w:rPr>
                <w:b/>
                <w:bCs/>
                <w:strike/>
                <w:color w:val="D9D9D9" w:themeColor="background1" w:themeShade="D9"/>
                <w:sz w:val="20"/>
                <w:szCs w:val="20"/>
                <w:lang w:val="en-GB"/>
              </w:rPr>
              <w:t>ctive substance</w:t>
            </w:r>
            <w:r w:rsidRPr="004963AF">
              <w:rPr>
                <w:b/>
                <w:strike/>
                <w:color w:val="D9D9D9" w:themeColor="background1" w:themeShade="D9"/>
                <w:sz w:val="20"/>
                <w:szCs w:val="20"/>
                <w:lang w:val="en-GB"/>
              </w:rPr>
              <w:t>/metabolites</w:t>
            </w:r>
          </w:p>
        </w:tc>
        <w:tc>
          <w:tcPr>
            <w:tcW w:w="1177" w:type="pct"/>
            <w:tcBorders>
              <w:top w:val="single" w:sz="4" w:space="0" w:color="auto"/>
              <w:bottom w:val="single" w:sz="4" w:space="0" w:color="auto"/>
            </w:tcBorders>
            <w:vAlign w:val="center"/>
          </w:tcPr>
          <w:p w14:paraId="07DCBD8F"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
                <w:bCs/>
                <w:strike/>
                <w:color w:val="D9D9D9" w:themeColor="background1" w:themeShade="D9"/>
                <w:sz w:val="20"/>
                <w:szCs w:val="20"/>
                <w:lang w:val="en-GB"/>
              </w:rPr>
              <w:t>NOEC/NOEC</w:t>
            </w:r>
            <w:r w:rsidRPr="004963AF">
              <w:rPr>
                <w:b/>
                <w:bCs/>
                <w:strike/>
                <w:color w:val="D9D9D9" w:themeColor="background1" w:themeShade="D9"/>
                <w:sz w:val="20"/>
                <w:szCs w:val="20"/>
                <w:vertAlign w:val="subscript"/>
                <w:lang w:val="en-GB"/>
              </w:rPr>
              <w:t>CORR</w:t>
            </w:r>
            <w:r w:rsidRPr="004963AF">
              <w:rPr>
                <w:b/>
                <w:bCs/>
                <w:strike/>
                <w:color w:val="D9D9D9" w:themeColor="background1" w:themeShade="D9"/>
                <w:sz w:val="20"/>
                <w:szCs w:val="20"/>
                <w:lang w:val="en-GB"/>
              </w:rPr>
              <w:br/>
              <w:t>(mg/kg dry soil)</w:t>
            </w:r>
          </w:p>
        </w:tc>
        <w:tc>
          <w:tcPr>
            <w:tcW w:w="1177" w:type="pct"/>
            <w:tcBorders>
              <w:top w:val="single" w:sz="4" w:space="0" w:color="auto"/>
              <w:bottom w:val="single" w:sz="4" w:space="0" w:color="auto"/>
            </w:tcBorders>
            <w:vAlign w:val="center"/>
          </w:tcPr>
          <w:p w14:paraId="3A60CB8D"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
                <w:bCs/>
                <w:strike/>
                <w:color w:val="D9D9D9" w:themeColor="background1" w:themeShade="D9"/>
                <w:sz w:val="20"/>
                <w:szCs w:val="20"/>
                <w:lang w:val="en-GB"/>
              </w:rPr>
              <w:t>PEC</w:t>
            </w:r>
            <w:r w:rsidRPr="004963AF">
              <w:rPr>
                <w:b/>
                <w:bCs/>
                <w:strike/>
                <w:color w:val="D9D9D9" w:themeColor="background1" w:themeShade="D9"/>
                <w:sz w:val="20"/>
                <w:szCs w:val="20"/>
                <w:vertAlign w:val="subscript"/>
                <w:lang w:val="en-GB"/>
              </w:rPr>
              <w:t>soil</w:t>
            </w:r>
            <w:r w:rsidRPr="004963AF">
              <w:rPr>
                <w:b/>
                <w:bCs/>
                <w:strike/>
                <w:color w:val="D9D9D9" w:themeColor="background1" w:themeShade="D9"/>
                <w:sz w:val="20"/>
                <w:szCs w:val="20"/>
                <w:vertAlign w:val="subscript"/>
                <w:lang w:val="en-GB"/>
              </w:rPr>
              <w:br/>
            </w:r>
            <w:r w:rsidRPr="004963AF">
              <w:rPr>
                <w:b/>
                <w:bCs/>
                <w:strike/>
                <w:color w:val="D9D9D9" w:themeColor="background1" w:themeShade="D9"/>
                <w:sz w:val="20"/>
                <w:szCs w:val="20"/>
                <w:lang w:val="en-GB"/>
              </w:rPr>
              <w:t>(mg/kg dry soil)</w:t>
            </w:r>
          </w:p>
        </w:tc>
        <w:tc>
          <w:tcPr>
            <w:tcW w:w="1176" w:type="pct"/>
            <w:tcBorders>
              <w:top w:val="single" w:sz="4" w:space="0" w:color="auto"/>
              <w:bottom w:val="single" w:sz="4" w:space="0" w:color="auto"/>
            </w:tcBorders>
            <w:vAlign w:val="center"/>
          </w:tcPr>
          <w:p w14:paraId="2E6DA755" w14:textId="77777777" w:rsidR="00DC5685" w:rsidRPr="004963AF" w:rsidRDefault="00DC5685" w:rsidP="00DC5685">
            <w:pPr>
              <w:keepNext/>
              <w:keepLines/>
              <w:widowControl w:val="0"/>
              <w:suppressAutoHyphens/>
              <w:rPr>
                <w:b/>
                <w:bCs/>
                <w:strike/>
                <w:color w:val="D9D9D9" w:themeColor="background1" w:themeShade="D9"/>
                <w:sz w:val="20"/>
                <w:szCs w:val="20"/>
                <w:lang w:val="en-GB"/>
              </w:rPr>
            </w:pPr>
            <w:r w:rsidRPr="004963AF">
              <w:rPr>
                <w:b/>
                <w:bCs/>
                <w:strike/>
                <w:color w:val="D9D9D9" w:themeColor="background1" w:themeShade="D9"/>
                <w:sz w:val="20"/>
                <w:szCs w:val="20"/>
                <w:lang w:val="en-GB"/>
              </w:rPr>
              <w:t>TER</w:t>
            </w:r>
            <w:r w:rsidRPr="004963AF">
              <w:rPr>
                <w:b/>
                <w:bCs/>
                <w:strike/>
                <w:color w:val="D9D9D9" w:themeColor="background1" w:themeShade="D9"/>
                <w:sz w:val="20"/>
                <w:szCs w:val="20"/>
                <w:vertAlign w:val="subscript"/>
                <w:lang w:val="en-GB"/>
              </w:rPr>
              <w:t>lt</w:t>
            </w:r>
            <w:r w:rsidRPr="004963AF">
              <w:rPr>
                <w:b/>
                <w:bCs/>
                <w:strike/>
                <w:color w:val="D9D9D9" w:themeColor="background1" w:themeShade="D9"/>
                <w:sz w:val="20"/>
                <w:szCs w:val="20"/>
                <w:vertAlign w:val="subscript"/>
                <w:lang w:val="en-GB"/>
              </w:rPr>
              <w:br/>
            </w:r>
            <w:r w:rsidRPr="004963AF">
              <w:rPr>
                <w:b/>
                <w:bCs/>
                <w:strike/>
                <w:color w:val="D9D9D9" w:themeColor="background1" w:themeShade="D9"/>
                <w:sz w:val="20"/>
                <w:szCs w:val="20"/>
                <w:lang w:val="en-GB"/>
              </w:rPr>
              <w:t>(criterion TER ≥ 5)</w:t>
            </w:r>
          </w:p>
        </w:tc>
      </w:tr>
      <w:tr w:rsidR="00DC5685" w:rsidRPr="00A34F10" w14:paraId="13C38D32" w14:textId="77777777" w:rsidTr="000470C3">
        <w:trPr>
          <w:cantSplit/>
        </w:trPr>
        <w:tc>
          <w:tcPr>
            <w:tcW w:w="1470" w:type="pct"/>
            <w:tcBorders>
              <w:top w:val="single" w:sz="4" w:space="0" w:color="auto"/>
              <w:bottom w:val="single" w:sz="4" w:space="0" w:color="auto"/>
            </w:tcBorders>
            <w:vAlign w:val="center"/>
          </w:tcPr>
          <w:p w14:paraId="3D860AC5" w14:textId="77777777" w:rsidR="00DC5685" w:rsidRPr="004963AF" w:rsidRDefault="00DC5685" w:rsidP="00DC5685">
            <w:pPr>
              <w:keepNext/>
              <w:keepLines/>
              <w:widowControl w:val="0"/>
              <w:suppressAutoHyphens/>
              <w:rPr>
                <w:strike/>
                <w:color w:val="D9D9D9" w:themeColor="background1" w:themeShade="D9"/>
                <w:sz w:val="20"/>
                <w:szCs w:val="20"/>
                <w:lang w:val="en-GB"/>
              </w:rPr>
            </w:pPr>
            <w:r w:rsidRPr="004963AF">
              <w:rPr>
                <w:strike/>
                <w:color w:val="D9D9D9" w:themeColor="background1" w:themeShade="D9"/>
                <w:sz w:val="20"/>
                <w:szCs w:val="20"/>
              </w:rPr>
              <w:t>Propamocarb-HCl</w:t>
            </w:r>
          </w:p>
        </w:tc>
        <w:tc>
          <w:tcPr>
            <w:tcW w:w="1177" w:type="pct"/>
            <w:tcBorders>
              <w:top w:val="single" w:sz="4" w:space="0" w:color="auto"/>
              <w:bottom w:val="single" w:sz="4" w:space="0" w:color="auto"/>
            </w:tcBorders>
            <w:vAlign w:val="center"/>
          </w:tcPr>
          <w:p w14:paraId="5A580B38" w14:textId="77777777" w:rsidR="00DC5685" w:rsidRPr="004963AF" w:rsidRDefault="00DC5685" w:rsidP="00DC5685">
            <w:pPr>
              <w:keepNext/>
              <w:keepLines/>
              <w:widowControl w:val="0"/>
              <w:suppressAutoHyphens/>
              <w:rPr>
                <w:strike/>
                <w:color w:val="D9D9D9" w:themeColor="background1" w:themeShade="D9"/>
                <w:sz w:val="20"/>
                <w:szCs w:val="20"/>
                <w:lang w:val="en-GB"/>
              </w:rPr>
            </w:pPr>
            <w:r w:rsidRPr="004963AF">
              <w:rPr>
                <w:strike/>
                <w:color w:val="D9D9D9" w:themeColor="background1" w:themeShade="D9"/>
                <w:sz w:val="20"/>
                <w:szCs w:val="20"/>
                <w:lang w:val="en-GB"/>
              </w:rPr>
              <w:t>≥ 677</w:t>
            </w:r>
          </w:p>
        </w:tc>
        <w:tc>
          <w:tcPr>
            <w:tcW w:w="1177" w:type="pct"/>
            <w:tcBorders>
              <w:top w:val="single" w:sz="4" w:space="0" w:color="auto"/>
              <w:bottom w:val="single" w:sz="4" w:space="0" w:color="auto"/>
            </w:tcBorders>
            <w:vAlign w:val="center"/>
          </w:tcPr>
          <w:p w14:paraId="7EB35382" w14:textId="7BDB8430" w:rsidR="00DC5685" w:rsidRPr="004963AF" w:rsidRDefault="00231D6A" w:rsidP="00DC5685">
            <w:pPr>
              <w:keepNext/>
              <w:keepLines/>
              <w:widowControl w:val="0"/>
              <w:suppressAutoHyphens/>
              <w:rPr>
                <w:b/>
                <w:bCs/>
                <w:strike/>
                <w:color w:val="D9D9D9" w:themeColor="background1" w:themeShade="D9"/>
                <w:sz w:val="20"/>
                <w:szCs w:val="20"/>
                <w:lang w:val="en-GB"/>
              </w:rPr>
            </w:pPr>
            <w:r w:rsidRPr="004963AF">
              <w:rPr>
                <w:strike/>
                <w:color w:val="D9D9D9" w:themeColor="background1" w:themeShade="D9"/>
                <w:sz w:val="20"/>
                <w:szCs w:val="20"/>
                <w:lang w:val="en-GB"/>
              </w:rPr>
              <w:t xml:space="preserve">2.399 </w:t>
            </w:r>
          </w:p>
        </w:tc>
        <w:tc>
          <w:tcPr>
            <w:tcW w:w="1176" w:type="pct"/>
            <w:tcBorders>
              <w:top w:val="single" w:sz="4" w:space="0" w:color="auto"/>
              <w:bottom w:val="single" w:sz="4" w:space="0" w:color="auto"/>
            </w:tcBorders>
            <w:vAlign w:val="center"/>
          </w:tcPr>
          <w:p w14:paraId="40979F35" w14:textId="3B0BC7B6" w:rsidR="00DC5685" w:rsidRPr="004963AF" w:rsidRDefault="00DC5685" w:rsidP="00DC5685">
            <w:pPr>
              <w:keepNext/>
              <w:keepLines/>
              <w:widowControl w:val="0"/>
              <w:suppressAutoHyphens/>
              <w:rPr>
                <w:strike/>
                <w:color w:val="D9D9D9" w:themeColor="background1" w:themeShade="D9"/>
                <w:sz w:val="20"/>
                <w:szCs w:val="20"/>
                <w:lang w:val="en-GB"/>
              </w:rPr>
            </w:pPr>
            <w:r w:rsidRPr="004963AF">
              <w:rPr>
                <w:b/>
                <w:bCs/>
                <w:strike/>
                <w:color w:val="D9D9D9" w:themeColor="background1" w:themeShade="D9"/>
                <w:sz w:val="20"/>
                <w:szCs w:val="20"/>
              </w:rPr>
              <w:t>≥</w:t>
            </w:r>
            <w:r w:rsidRPr="004963AF">
              <w:rPr>
                <w:strike/>
                <w:color w:val="D9D9D9" w:themeColor="background1" w:themeShade="D9"/>
                <w:sz w:val="20"/>
                <w:szCs w:val="20"/>
              </w:rPr>
              <w:t xml:space="preserve"> 282.2</w:t>
            </w:r>
            <w:r w:rsidR="0069525D" w:rsidRPr="004963AF">
              <w:rPr>
                <w:strike/>
                <w:color w:val="D9D9D9" w:themeColor="background1" w:themeShade="D9"/>
                <w:sz w:val="20"/>
                <w:szCs w:val="20"/>
              </w:rPr>
              <w:t xml:space="preserve"> </w:t>
            </w:r>
          </w:p>
        </w:tc>
      </w:tr>
      <w:tr w:rsidR="00DC5685" w:rsidRPr="00A34F10" w14:paraId="0AE1DF08" w14:textId="77777777" w:rsidTr="000470C3">
        <w:trPr>
          <w:cantSplit/>
        </w:trPr>
        <w:tc>
          <w:tcPr>
            <w:tcW w:w="5000" w:type="pct"/>
            <w:gridSpan w:val="4"/>
            <w:tcBorders>
              <w:top w:val="single" w:sz="4" w:space="0" w:color="auto"/>
              <w:bottom w:val="single" w:sz="4" w:space="0" w:color="auto"/>
            </w:tcBorders>
            <w:vAlign w:val="center"/>
          </w:tcPr>
          <w:p w14:paraId="500C81F1" w14:textId="77777777" w:rsidR="00DC5685" w:rsidRPr="004963AF" w:rsidRDefault="00DC5685" w:rsidP="00DC5685">
            <w:pPr>
              <w:keepNext/>
              <w:keepLines/>
              <w:widowControl w:val="0"/>
              <w:suppressAutoHyphens/>
              <w:rPr>
                <w:b/>
                <w:strike/>
                <w:color w:val="D9D9D9" w:themeColor="background1" w:themeShade="D9"/>
                <w:sz w:val="20"/>
              </w:rPr>
            </w:pPr>
            <w:r w:rsidRPr="004963AF">
              <w:rPr>
                <w:b/>
                <w:strike/>
                <w:color w:val="D9D9D9" w:themeColor="background1" w:themeShade="D9"/>
                <w:sz w:val="20"/>
              </w:rPr>
              <w:t>Soil mites (</w:t>
            </w:r>
            <w:r w:rsidRPr="004963AF">
              <w:rPr>
                <w:b/>
                <w:i/>
                <w:strike/>
                <w:color w:val="D9D9D9" w:themeColor="background1" w:themeShade="D9"/>
                <w:sz w:val="20"/>
              </w:rPr>
              <w:t>Hypoaspis aculeifer</w:t>
            </w:r>
            <w:r w:rsidRPr="004963AF">
              <w:rPr>
                <w:b/>
                <w:strike/>
                <w:color w:val="D9D9D9" w:themeColor="background1" w:themeShade="D9"/>
                <w:sz w:val="20"/>
              </w:rPr>
              <w:t>)</w:t>
            </w:r>
          </w:p>
        </w:tc>
      </w:tr>
      <w:tr w:rsidR="00DC5685" w:rsidRPr="00A34F10" w14:paraId="3118224C" w14:textId="77777777" w:rsidTr="000470C3">
        <w:trPr>
          <w:cantSplit/>
        </w:trPr>
        <w:tc>
          <w:tcPr>
            <w:tcW w:w="1470" w:type="pct"/>
            <w:tcBorders>
              <w:top w:val="single" w:sz="4" w:space="0" w:color="auto"/>
              <w:bottom w:val="single" w:sz="4" w:space="0" w:color="auto"/>
            </w:tcBorders>
            <w:vAlign w:val="center"/>
          </w:tcPr>
          <w:p w14:paraId="1635FFA3" w14:textId="77777777" w:rsidR="00DC5685" w:rsidRPr="004963AF" w:rsidRDefault="00DC5685" w:rsidP="00DC5685">
            <w:pPr>
              <w:keepNext/>
              <w:keepLines/>
              <w:widowControl w:val="0"/>
              <w:suppressAutoHyphens/>
              <w:rPr>
                <w:b/>
                <w:strike/>
                <w:color w:val="D9D9D9" w:themeColor="background1" w:themeShade="D9"/>
                <w:sz w:val="20"/>
              </w:rPr>
            </w:pPr>
            <w:r w:rsidRPr="004963AF">
              <w:rPr>
                <w:b/>
                <w:strike/>
                <w:color w:val="D9D9D9" w:themeColor="background1" w:themeShade="D9"/>
                <w:sz w:val="20"/>
              </w:rPr>
              <w:t>Active substance/metabolites</w:t>
            </w:r>
          </w:p>
        </w:tc>
        <w:tc>
          <w:tcPr>
            <w:tcW w:w="1177" w:type="pct"/>
            <w:tcBorders>
              <w:top w:val="single" w:sz="4" w:space="0" w:color="auto"/>
              <w:bottom w:val="single" w:sz="4" w:space="0" w:color="auto"/>
            </w:tcBorders>
            <w:vAlign w:val="center"/>
          </w:tcPr>
          <w:p w14:paraId="309CDFDD" w14:textId="77777777" w:rsidR="00DC5685" w:rsidRPr="004963AF" w:rsidRDefault="00DC5685" w:rsidP="00DC5685">
            <w:pPr>
              <w:keepNext/>
              <w:keepLines/>
              <w:widowControl w:val="0"/>
              <w:suppressAutoHyphens/>
              <w:rPr>
                <w:bCs/>
                <w:strike/>
                <w:color w:val="D9D9D9" w:themeColor="background1" w:themeShade="D9"/>
                <w:sz w:val="20"/>
                <w:szCs w:val="20"/>
                <w:lang w:val="en-GB"/>
              </w:rPr>
            </w:pPr>
            <w:r w:rsidRPr="004963AF">
              <w:rPr>
                <w:b/>
                <w:bCs/>
                <w:strike/>
                <w:color w:val="D9D9D9" w:themeColor="background1" w:themeShade="D9"/>
                <w:sz w:val="20"/>
                <w:szCs w:val="20"/>
                <w:lang w:val="en-GB"/>
              </w:rPr>
              <w:t>NOEC/NOEC</w:t>
            </w:r>
            <w:r w:rsidRPr="004963AF">
              <w:rPr>
                <w:b/>
                <w:bCs/>
                <w:strike/>
                <w:color w:val="D9D9D9" w:themeColor="background1" w:themeShade="D9"/>
                <w:sz w:val="20"/>
                <w:szCs w:val="20"/>
                <w:vertAlign w:val="subscript"/>
                <w:lang w:val="en-GB"/>
              </w:rPr>
              <w:t>CORR</w:t>
            </w:r>
            <w:r w:rsidRPr="004963AF">
              <w:rPr>
                <w:b/>
                <w:bCs/>
                <w:strike/>
                <w:color w:val="D9D9D9" w:themeColor="background1" w:themeShade="D9"/>
                <w:sz w:val="20"/>
                <w:szCs w:val="20"/>
                <w:lang w:val="en-GB"/>
              </w:rPr>
              <w:br/>
              <w:t>(mg/kg dry soil)</w:t>
            </w:r>
          </w:p>
        </w:tc>
        <w:tc>
          <w:tcPr>
            <w:tcW w:w="1177" w:type="pct"/>
            <w:tcBorders>
              <w:top w:val="single" w:sz="4" w:space="0" w:color="auto"/>
              <w:bottom w:val="single" w:sz="4" w:space="0" w:color="auto"/>
            </w:tcBorders>
            <w:vAlign w:val="center"/>
          </w:tcPr>
          <w:p w14:paraId="0D44FE59" w14:textId="77777777" w:rsidR="00DC5685" w:rsidRPr="004963AF" w:rsidRDefault="00DC5685" w:rsidP="00DC5685">
            <w:pPr>
              <w:keepNext/>
              <w:keepLines/>
              <w:widowControl w:val="0"/>
              <w:suppressAutoHyphens/>
              <w:rPr>
                <w:bCs/>
                <w:strike/>
                <w:color w:val="D9D9D9" w:themeColor="background1" w:themeShade="D9"/>
                <w:sz w:val="20"/>
                <w:szCs w:val="20"/>
                <w:lang w:val="en-GB"/>
              </w:rPr>
            </w:pPr>
            <w:r w:rsidRPr="004963AF">
              <w:rPr>
                <w:b/>
                <w:bCs/>
                <w:strike/>
                <w:color w:val="D9D9D9" w:themeColor="background1" w:themeShade="D9"/>
                <w:sz w:val="20"/>
                <w:szCs w:val="20"/>
                <w:lang w:val="en-GB"/>
              </w:rPr>
              <w:t>PEC</w:t>
            </w:r>
            <w:r w:rsidRPr="004963AF">
              <w:rPr>
                <w:b/>
                <w:bCs/>
                <w:strike/>
                <w:color w:val="D9D9D9" w:themeColor="background1" w:themeShade="D9"/>
                <w:sz w:val="20"/>
                <w:szCs w:val="20"/>
                <w:vertAlign w:val="subscript"/>
                <w:lang w:val="en-GB"/>
              </w:rPr>
              <w:t>soil</w:t>
            </w:r>
            <w:r w:rsidRPr="004963AF">
              <w:rPr>
                <w:b/>
                <w:bCs/>
                <w:strike/>
                <w:color w:val="D9D9D9" w:themeColor="background1" w:themeShade="D9"/>
                <w:sz w:val="20"/>
                <w:szCs w:val="20"/>
                <w:vertAlign w:val="subscript"/>
                <w:lang w:val="en-GB"/>
              </w:rPr>
              <w:br/>
            </w:r>
            <w:r w:rsidRPr="004963AF">
              <w:rPr>
                <w:b/>
                <w:bCs/>
                <w:strike/>
                <w:color w:val="D9D9D9" w:themeColor="background1" w:themeShade="D9"/>
                <w:sz w:val="20"/>
                <w:szCs w:val="20"/>
                <w:lang w:val="en-GB"/>
              </w:rPr>
              <w:t>(mg/kg dry soil)</w:t>
            </w:r>
          </w:p>
        </w:tc>
        <w:tc>
          <w:tcPr>
            <w:tcW w:w="1176" w:type="pct"/>
            <w:tcBorders>
              <w:top w:val="single" w:sz="4" w:space="0" w:color="auto"/>
              <w:bottom w:val="single" w:sz="4" w:space="0" w:color="auto"/>
            </w:tcBorders>
            <w:vAlign w:val="center"/>
          </w:tcPr>
          <w:p w14:paraId="2ADE66BD" w14:textId="77777777" w:rsidR="00DC5685" w:rsidRPr="004963AF" w:rsidRDefault="00DC5685" w:rsidP="00DC5685">
            <w:pPr>
              <w:keepNext/>
              <w:keepLines/>
              <w:widowControl w:val="0"/>
              <w:suppressAutoHyphens/>
              <w:rPr>
                <w:bCs/>
                <w:strike/>
                <w:color w:val="D9D9D9" w:themeColor="background1" w:themeShade="D9"/>
                <w:sz w:val="20"/>
                <w:szCs w:val="20"/>
                <w:lang w:val="en-GB"/>
              </w:rPr>
            </w:pPr>
            <w:r w:rsidRPr="004963AF">
              <w:rPr>
                <w:b/>
                <w:bCs/>
                <w:strike/>
                <w:color w:val="D9D9D9" w:themeColor="background1" w:themeShade="D9"/>
                <w:sz w:val="20"/>
                <w:szCs w:val="20"/>
                <w:lang w:val="en-GB"/>
              </w:rPr>
              <w:t>TER</w:t>
            </w:r>
            <w:r w:rsidRPr="004963AF">
              <w:rPr>
                <w:b/>
                <w:bCs/>
                <w:strike/>
                <w:color w:val="D9D9D9" w:themeColor="background1" w:themeShade="D9"/>
                <w:sz w:val="20"/>
                <w:szCs w:val="20"/>
                <w:vertAlign w:val="subscript"/>
                <w:lang w:val="en-GB"/>
              </w:rPr>
              <w:t>lt</w:t>
            </w:r>
            <w:r w:rsidRPr="004963AF">
              <w:rPr>
                <w:b/>
                <w:bCs/>
                <w:strike/>
                <w:color w:val="D9D9D9" w:themeColor="background1" w:themeShade="D9"/>
                <w:sz w:val="20"/>
                <w:szCs w:val="20"/>
                <w:vertAlign w:val="subscript"/>
                <w:lang w:val="en-GB"/>
              </w:rPr>
              <w:br/>
            </w:r>
            <w:r w:rsidRPr="004963AF">
              <w:rPr>
                <w:b/>
                <w:bCs/>
                <w:strike/>
                <w:color w:val="D9D9D9" w:themeColor="background1" w:themeShade="D9"/>
                <w:sz w:val="20"/>
                <w:szCs w:val="20"/>
                <w:lang w:val="en-GB"/>
              </w:rPr>
              <w:t>(criterion TER ≥ 5)</w:t>
            </w:r>
          </w:p>
        </w:tc>
      </w:tr>
      <w:tr w:rsidR="00DC5685" w:rsidRPr="00A34F10" w14:paraId="05B9B2BA" w14:textId="77777777" w:rsidTr="000470C3">
        <w:trPr>
          <w:cantSplit/>
        </w:trPr>
        <w:tc>
          <w:tcPr>
            <w:tcW w:w="1470" w:type="pct"/>
            <w:tcBorders>
              <w:top w:val="single" w:sz="4" w:space="0" w:color="auto"/>
              <w:bottom w:val="single" w:sz="4" w:space="0" w:color="auto"/>
            </w:tcBorders>
            <w:vAlign w:val="center"/>
          </w:tcPr>
          <w:p w14:paraId="05E89BF3" w14:textId="77777777" w:rsidR="00DC5685" w:rsidRPr="004963AF" w:rsidRDefault="00DC5685" w:rsidP="00DC5685">
            <w:pPr>
              <w:keepNext/>
              <w:keepLines/>
              <w:widowControl w:val="0"/>
              <w:suppressAutoHyphens/>
              <w:rPr>
                <w:bCs/>
                <w:strike/>
                <w:color w:val="D9D9D9" w:themeColor="background1" w:themeShade="D9"/>
                <w:sz w:val="20"/>
                <w:szCs w:val="20"/>
              </w:rPr>
            </w:pPr>
            <w:r w:rsidRPr="004963AF">
              <w:rPr>
                <w:strike/>
                <w:noProof/>
                <w:color w:val="D9D9D9" w:themeColor="background1" w:themeShade="D9"/>
                <w:sz w:val="20"/>
                <w:szCs w:val="20"/>
              </w:rPr>
              <w:t>Propamocarb-HCL</w:t>
            </w:r>
          </w:p>
        </w:tc>
        <w:tc>
          <w:tcPr>
            <w:tcW w:w="1177" w:type="pct"/>
            <w:tcBorders>
              <w:top w:val="single" w:sz="4" w:space="0" w:color="auto"/>
              <w:bottom w:val="single" w:sz="4" w:space="0" w:color="auto"/>
            </w:tcBorders>
            <w:vAlign w:val="center"/>
          </w:tcPr>
          <w:p w14:paraId="47B360B1" w14:textId="77777777" w:rsidR="00DC5685" w:rsidRPr="004963AF" w:rsidRDefault="00DC5685" w:rsidP="00DC5685">
            <w:pPr>
              <w:keepNext/>
              <w:keepLines/>
              <w:widowControl w:val="0"/>
              <w:suppressAutoHyphens/>
              <w:rPr>
                <w:strike/>
                <w:color w:val="D9D9D9" w:themeColor="background1" w:themeShade="D9"/>
                <w:sz w:val="20"/>
                <w:szCs w:val="20"/>
                <w:lang w:val="en-GB"/>
              </w:rPr>
            </w:pPr>
            <w:r w:rsidRPr="004963AF">
              <w:rPr>
                <w:strike/>
                <w:color w:val="D9D9D9" w:themeColor="background1" w:themeShade="D9"/>
                <w:sz w:val="20"/>
                <w:szCs w:val="20"/>
                <w:lang w:val="en-GB"/>
              </w:rPr>
              <w:t>≥ 677</w:t>
            </w:r>
          </w:p>
        </w:tc>
        <w:tc>
          <w:tcPr>
            <w:tcW w:w="1177" w:type="pct"/>
            <w:tcBorders>
              <w:top w:val="single" w:sz="4" w:space="0" w:color="auto"/>
              <w:bottom w:val="single" w:sz="4" w:space="0" w:color="auto"/>
            </w:tcBorders>
            <w:vAlign w:val="center"/>
          </w:tcPr>
          <w:p w14:paraId="47912E9B" w14:textId="2F6B1B87" w:rsidR="00DC5685" w:rsidRPr="004963AF" w:rsidRDefault="00231D6A" w:rsidP="00DC5685">
            <w:pPr>
              <w:keepNext/>
              <w:keepLines/>
              <w:widowControl w:val="0"/>
              <w:suppressAutoHyphens/>
              <w:rPr>
                <w:b/>
                <w:bCs/>
                <w:strike/>
                <w:color w:val="D9D9D9" w:themeColor="background1" w:themeShade="D9"/>
                <w:sz w:val="20"/>
                <w:szCs w:val="20"/>
                <w:lang w:val="en-GB"/>
              </w:rPr>
            </w:pPr>
            <w:r w:rsidRPr="004963AF">
              <w:rPr>
                <w:strike/>
                <w:color w:val="D9D9D9" w:themeColor="background1" w:themeShade="D9"/>
                <w:sz w:val="20"/>
                <w:szCs w:val="20"/>
                <w:lang w:val="en-GB"/>
              </w:rPr>
              <w:t xml:space="preserve">2.399 </w:t>
            </w:r>
          </w:p>
        </w:tc>
        <w:tc>
          <w:tcPr>
            <w:tcW w:w="1176" w:type="pct"/>
            <w:tcBorders>
              <w:top w:val="single" w:sz="4" w:space="0" w:color="auto"/>
              <w:bottom w:val="single" w:sz="4" w:space="0" w:color="auto"/>
            </w:tcBorders>
            <w:vAlign w:val="center"/>
          </w:tcPr>
          <w:p w14:paraId="27B5D504" w14:textId="77777777" w:rsidR="00DC5685" w:rsidRPr="004963AF" w:rsidRDefault="00DC5685" w:rsidP="00DC5685">
            <w:pPr>
              <w:keepNext/>
              <w:keepLines/>
              <w:widowControl w:val="0"/>
              <w:suppressAutoHyphens/>
              <w:rPr>
                <w:strike/>
                <w:color w:val="D9D9D9" w:themeColor="background1" w:themeShade="D9"/>
                <w:sz w:val="20"/>
                <w:szCs w:val="20"/>
                <w:lang w:val="en-GB"/>
              </w:rPr>
            </w:pPr>
            <w:r w:rsidRPr="004963AF">
              <w:rPr>
                <w:strike/>
                <w:color w:val="D9D9D9" w:themeColor="background1" w:themeShade="D9"/>
                <w:sz w:val="20"/>
                <w:szCs w:val="20"/>
              </w:rPr>
              <w:t>≥ 282.2</w:t>
            </w:r>
          </w:p>
        </w:tc>
      </w:tr>
    </w:tbl>
    <w:p w14:paraId="400A4CDB" w14:textId="77777777" w:rsidR="00DC5685" w:rsidRPr="00A34F10" w:rsidRDefault="00DC5685" w:rsidP="00DC5685">
      <w:pPr>
        <w:widowControl w:val="0"/>
        <w:suppressAutoHyphens/>
        <w:ind w:left="425" w:hanging="425"/>
        <w:jc w:val="both"/>
        <w:rPr>
          <w:sz w:val="18"/>
          <w:szCs w:val="18"/>
        </w:rPr>
      </w:pPr>
      <w:r w:rsidRPr="00A34F10">
        <w:rPr>
          <w:sz w:val="18"/>
          <w:szCs w:val="18"/>
        </w:rPr>
        <w:t>*</w:t>
      </w:r>
      <w:r w:rsidRPr="00A34F10">
        <w:rPr>
          <w:sz w:val="18"/>
          <w:szCs w:val="18"/>
        </w:rPr>
        <w:tab/>
        <w:t>PEC</w:t>
      </w:r>
      <w:r w:rsidRPr="00A34F10">
        <w:rPr>
          <w:sz w:val="18"/>
          <w:szCs w:val="18"/>
          <w:vertAlign w:val="subscript"/>
        </w:rPr>
        <w:t xml:space="preserve">soil, </w:t>
      </w:r>
      <w:r w:rsidRPr="00A34F10">
        <w:rPr>
          <w:sz w:val="18"/>
          <w:szCs w:val="18"/>
        </w:rPr>
        <w:t>in perennial crops</w:t>
      </w:r>
      <w:r w:rsidRPr="00A34F10">
        <w:rPr>
          <w:sz w:val="18"/>
          <w:szCs w:val="18"/>
          <w:vertAlign w:val="subscript"/>
        </w:rPr>
        <w:t xml:space="preserve"> </w:t>
      </w:r>
      <w:r w:rsidRPr="00A34F10">
        <w:rPr>
          <w:sz w:val="18"/>
          <w:szCs w:val="18"/>
        </w:rPr>
        <w:t>representing the worst-case for Propamocarb-HCl</w:t>
      </w:r>
    </w:p>
    <w:p w14:paraId="66334BBE" w14:textId="5744B063" w:rsidR="00DC5685" w:rsidRPr="00A34F10" w:rsidRDefault="00DC5685" w:rsidP="00DC5685">
      <w:pPr>
        <w:widowControl w:val="0"/>
        <w:suppressAutoHyphens/>
        <w:ind w:left="1985" w:hanging="1985"/>
        <w:jc w:val="both"/>
        <w:rPr>
          <w:b/>
          <w:bCs/>
        </w:rPr>
      </w:pPr>
    </w:p>
    <w:p w14:paraId="58ED9E39" w14:textId="6F67E4CC" w:rsidR="00DC5685" w:rsidRPr="00A34F10" w:rsidRDefault="00DC5685" w:rsidP="00DC5685">
      <w:pPr>
        <w:widowControl w:val="0"/>
        <w:suppressAutoHyphens/>
        <w:jc w:val="both"/>
      </w:pPr>
      <w:r w:rsidRPr="00A34F10">
        <w:t>As all TER values for both active substances and their metabolites are above the respective trigger value, the risk to earthworms and other soil meso- and macrofauna is considered to be acceptable for all intended uses of BAS 743 03 F.</w:t>
      </w:r>
    </w:p>
    <w:p w14:paraId="37EEE14A" w14:textId="77777777" w:rsidR="0075532B" w:rsidRPr="00A34F10" w:rsidRDefault="0075532B" w:rsidP="00DC5685">
      <w:pPr>
        <w:widowControl w:val="0"/>
        <w:suppressAutoHyphens/>
        <w:jc w:val="both"/>
      </w:pPr>
    </w:p>
    <w:p w14:paraId="2EDBE79F" w14:textId="28331FEF" w:rsidR="00DC5685" w:rsidRPr="00A34F10" w:rsidRDefault="00DC5685" w:rsidP="00DC5685">
      <w:pPr>
        <w:keepNext/>
        <w:keepLines/>
        <w:widowControl w:val="0"/>
        <w:tabs>
          <w:tab w:val="left" w:pos="1985"/>
        </w:tabs>
        <w:spacing w:before="200" w:after="120"/>
        <w:ind w:left="1560" w:hanging="1560"/>
        <w:jc w:val="both"/>
        <w:rPr>
          <w:b/>
          <w:bCs/>
        </w:rPr>
      </w:pPr>
      <w:r w:rsidRPr="00A34F10">
        <w:rPr>
          <w:b/>
          <w:bCs/>
        </w:rPr>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9.8</w:t>
      </w:r>
      <w:r w:rsidRPr="00A34F10">
        <w:rPr>
          <w:b/>
          <w:bCs/>
        </w:rPr>
        <w:fldChar w:fldCharType="end"/>
      </w:r>
      <w:r w:rsidRPr="00A34F10">
        <w:rPr>
          <w:b/>
          <w:bCs/>
        </w:rPr>
        <w:noBreakHyphen/>
        <w:t>6:</w:t>
      </w:r>
      <w:r w:rsidRPr="00A34F10">
        <w:rPr>
          <w:b/>
          <w:bCs/>
        </w:rPr>
        <w:tab/>
        <w:t xml:space="preserve">First-tier assessment of the chronic risk for earthworms and other non-target soil organisms (meso- and macrofauna) due to the worst-case uses of BAS 743 03 F </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DC5685" w:rsidRPr="00A34F10" w14:paraId="77C31F01" w14:textId="77777777" w:rsidTr="000470C3">
        <w:trPr>
          <w:cantSplit/>
        </w:trPr>
        <w:tc>
          <w:tcPr>
            <w:tcW w:w="1470" w:type="pct"/>
            <w:tcBorders>
              <w:top w:val="single" w:sz="4" w:space="0" w:color="auto"/>
              <w:bottom w:val="single" w:sz="4" w:space="0" w:color="auto"/>
            </w:tcBorders>
            <w:vAlign w:val="center"/>
          </w:tcPr>
          <w:p w14:paraId="45517C5A" w14:textId="77777777" w:rsidR="00DC5685" w:rsidRPr="00A34F10" w:rsidRDefault="00DC5685" w:rsidP="00DC5685">
            <w:pPr>
              <w:widowControl w:val="0"/>
              <w:suppressAutoHyphens/>
              <w:rPr>
                <w:b/>
                <w:bCs/>
                <w:sz w:val="20"/>
                <w:szCs w:val="20"/>
                <w:lang w:val="en-GB"/>
              </w:rPr>
            </w:pPr>
            <w:r w:rsidRPr="00A34F10">
              <w:rPr>
                <w:b/>
                <w:bCs/>
                <w:sz w:val="20"/>
                <w:szCs w:val="20"/>
                <w:lang w:val="en-GB"/>
              </w:rPr>
              <w:t>Intended use</w:t>
            </w:r>
          </w:p>
        </w:tc>
        <w:tc>
          <w:tcPr>
            <w:tcW w:w="3530" w:type="pct"/>
            <w:gridSpan w:val="3"/>
            <w:tcBorders>
              <w:top w:val="single" w:sz="4" w:space="0" w:color="auto"/>
              <w:bottom w:val="single" w:sz="4" w:space="0" w:color="auto"/>
            </w:tcBorders>
            <w:vAlign w:val="center"/>
          </w:tcPr>
          <w:p w14:paraId="621C6E5F" w14:textId="77777777" w:rsidR="00DC5685" w:rsidRPr="00A34F10" w:rsidRDefault="00DC5685" w:rsidP="00DC5685">
            <w:pPr>
              <w:widowControl w:val="0"/>
              <w:suppressAutoHyphens/>
              <w:rPr>
                <w:sz w:val="20"/>
              </w:rPr>
            </w:pPr>
            <w:r w:rsidRPr="00A34F10">
              <w:rPr>
                <w:b/>
                <w:sz w:val="20"/>
              </w:rPr>
              <w:t>Various crops (1 -3 × 2 L/ha)</w:t>
            </w:r>
          </w:p>
        </w:tc>
      </w:tr>
      <w:tr w:rsidR="00DC5685" w:rsidRPr="00A34F10" w14:paraId="19BAB064" w14:textId="77777777" w:rsidTr="000470C3">
        <w:trPr>
          <w:cantSplit/>
        </w:trPr>
        <w:tc>
          <w:tcPr>
            <w:tcW w:w="5000" w:type="pct"/>
            <w:gridSpan w:val="4"/>
            <w:tcBorders>
              <w:top w:val="single" w:sz="4" w:space="0" w:color="auto"/>
            </w:tcBorders>
            <w:vAlign w:val="center"/>
          </w:tcPr>
          <w:p w14:paraId="13896A2B" w14:textId="77777777" w:rsidR="00DC5685" w:rsidRPr="00A34F10" w:rsidRDefault="00DC5685" w:rsidP="00DC5685">
            <w:pPr>
              <w:widowControl w:val="0"/>
              <w:suppressAutoHyphens/>
              <w:rPr>
                <w:b/>
                <w:bCs/>
                <w:sz w:val="20"/>
                <w:szCs w:val="20"/>
                <w:lang w:val="en-GB"/>
              </w:rPr>
            </w:pPr>
            <w:r w:rsidRPr="00A34F10">
              <w:rPr>
                <w:b/>
                <w:bCs/>
                <w:sz w:val="20"/>
                <w:szCs w:val="20"/>
                <w:lang w:val="en-GB"/>
              </w:rPr>
              <w:t>Chronic effects on earthworms</w:t>
            </w:r>
          </w:p>
        </w:tc>
      </w:tr>
      <w:tr w:rsidR="00DC5685" w:rsidRPr="00A34F10" w14:paraId="3F656B8C" w14:textId="77777777" w:rsidTr="000470C3">
        <w:trPr>
          <w:cantSplit/>
        </w:trPr>
        <w:tc>
          <w:tcPr>
            <w:tcW w:w="1470" w:type="pct"/>
            <w:tcBorders>
              <w:top w:val="single" w:sz="4" w:space="0" w:color="auto"/>
              <w:bottom w:val="single" w:sz="4" w:space="0" w:color="auto"/>
            </w:tcBorders>
            <w:vAlign w:val="center"/>
          </w:tcPr>
          <w:p w14:paraId="2A0DABB8" w14:textId="77777777" w:rsidR="00DC5685" w:rsidRPr="00A34F10" w:rsidRDefault="00DC5685" w:rsidP="00DC5685">
            <w:pPr>
              <w:widowControl w:val="0"/>
              <w:suppressAutoHyphens/>
              <w:rPr>
                <w:b/>
                <w:bCs/>
                <w:sz w:val="20"/>
                <w:szCs w:val="20"/>
                <w:lang w:val="en-GB"/>
              </w:rPr>
            </w:pPr>
            <w:r w:rsidRPr="00A34F10">
              <w:rPr>
                <w:b/>
                <w:bCs/>
                <w:sz w:val="20"/>
                <w:szCs w:val="20"/>
                <w:lang w:val="en-GB"/>
              </w:rPr>
              <w:t>Product</w:t>
            </w:r>
          </w:p>
        </w:tc>
        <w:tc>
          <w:tcPr>
            <w:tcW w:w="1177" w:type="pct"/>
            <w:tcBorders>
              <w:top w:val="single" w:sz="4" w:space="0" w:color="auto"/>
              <w:bottom w:val="single" w:sz="4" w:space="0" w:color="auto"/>
            </w:tcBorders>
            <w:vAlign w:val="center"/>
          </w:tcPr>
          <w:p w14:paraId="69817EF1" w14:textId="77777777" w:rsidR="00DC5685" w:rsidRPr="00A34F10" w:rsidRDefault="00DC5685" w:rsidP="00DC5685">
            <w:pPr>
              <w:widowControl w:val="0"/>
              <w:suppressAutoHyphens/>
              <w:rPr>
                <w:b/>
                <w:bCs/>
                <w:sz w:val="20"/>
                <w:szCs w:val="20"/>
                <w:lang w:val="en-GB"/>
              </w:rPr>
            </w:pPr>
            <w:r w:rsidRPr="00A34F10">
              <w:rPr>
                <w:b/>
                <w:bCs/>
                <w:sz w:val="20"/>
                <w:szCs w:val="20"/>
                <w:lang w:val="en-GB"/>
              </w:rPr>
              <w:t>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27EFE03C" w14:textId="77777777" w:rsidR="00DC5685" w:rsidRPr="00A34F10" w:rsidRDefault="00DC5685" w:rsidP="00DC5685">
            <w:pPr>
              <w:widowControl w:val="0"/>
              <w:suppressAutoHyphens/>
              <w:rPr>
                <w:b/>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387A1ADD" w14:textId="77777777" w:rsidR="00DC5685" w:rsidRPr="00A34F10" w:rsidRDefault="00DC5685" w:rsidP="00DC5685">
            <w:pPr>
              <w:widowControl w:val="0"/>
              <w:suppressAutoHyphens/>
              <w:rPr>
                <w:b/>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29888BB9" w14:textId="77777777" w:rsidTr="000470C3">
        <w:trPr>
          <w:cantSplit/>
        </w:trPr>
        <w:tc>
          <w:tcPr>
            <w:tcW w:w="1470" w:type="pct"/>
            <w:tcBorders>
              <w:top w:val="single" w:sz="4" w:space="0" w:color="auto"/>
              <w:bottom w:val="single" w:sz="4" w:space="0" w:color="auto"/>
            </w:tcBorders>
            <w:vAlign w:val="center"/>
          </w:tcPr>
          <w:p w14:paraId="30DBBCD7" w14:textId="77777777" w:rsidR="00DC5685" w:rsidRPr="00A34F10" w:rsidRDefault="00DC5685" w:rsidP="00DC5685">
            <w:pPr>
              <w:widowControl w:val="0"/>
              <w:suppressAutoHyphens/>
              <w:rPr>
                <w:sz w:val="20"/>
              </w:rPr>
            </w:pPr>
            <w:r w:rsidRPr="00A34F10">
              <w:rPr>
                <w:sz w:val="20"/>
              </w:rPr>
              <w:t>BAS 743 03 F</w:t>
            </w:r>
          </w:p>
        </w:tc>
        <w:tc>
          <w:tcPr>
            <w:tcW w:w="1177" w:type="pct"/>
            <w:tcBorders>
              <w:top w:val="single" w:sz="4" w:space="0" w:color="auto"/>
              <w:bottom w:val="single" w:sz="4" w:space="0" w:color="auto"/>
            </w:tcBorders>
            <w:vAlign w:val="center"/>
          </w:tcPr>
          <w:p w14:paraId="78E85BEB" w14:textId="77777777" w:rsidR="00DC5685" w:rsidRPr="00A34F10" w:rsidRDefault="00DC5685" w:rsidP="00DC5685">
            <w:pPr>
              <w:widowControl w:val="0"/>
              <w:suppressAutoHyphens/>
              <w:rPr>
                <w:sz w:val="20"/>
              </w:rPr>
            </w:pPr>
            <w:r w:rsidRPr="00A34F10">
              <w:rPr>
                <w:sz w:val="20"/>
              </w:rPr>
              <w:t>85.5</w:t>
            </w:r>
          </w:p>
        </w:tc>
        <w:tc>
          <w:tcPr>
            <w:tcW w:w="1177" w:type="pct"/>
            <w:tcBorders>
              <w:top w:val="single" w:sz="4" w:space="0" w:color="auto"/>
              <w:bottom w:val="single" w:sz="4" w:space="0" w:color="auto"/>
            </w:tcBorders>
            <w:vAlign w:val="center"/>
          </w:tcPr>
          <w:p w14:paraId="051B4215" w14:textId="3E157E35" w:rsidR="00DC5685" w:rsidRPr="00A34F10" w:rsidRDefault="00DC5685" w:rsidP="00DC5685">
            <w:pPr>
              <w:widowControl w:val="0"/>
              <w:suppressAutoHyphens/>
              <w:rPr>
                <w:sz w:val="20"/>
              </w:rPr>
            </w:pPr>
            <w:r w:rsidRPr="0099062D">
              <w:rPr>
                <w:strike/>
                <w:color w:val="D9D9D9" w:themeColor="background1" w:themeShade="D9"/>
                <w:sz w:val="20"/>
              </w:rPr>
              <w:t>2.57</w:t>
            </w:r>
            <w:r w:rsidR="00F00FC9" w:rsidRPr="0099062D">
              <w:rPr>
                <w:color w:val="D9D9D9" w:themeColor="background1" w:themeShade="D9"/>
                <w:sz w:val="20"/>
              </w:rPr>
              <w:t xml:space="preserve"> </w:t>
            </w:r>
            <w:r w:rsidR="00F50D75" w:rsidRPr="00F50D75">
              <w:rPr>
                <w:sz w:val="20"/>
                <w:szCs w:val="20"/>
                <w:shd w:val="clear" w:color="auto" w:fill="D9D9D9" w:themeFill="background1" w:themeFillShade="D9"/>
              </w:rPr>
              <w:t>7.711</w:t>
            </w:r>
          </w:p>
        </w:tc>
        <w:tc>
          <w:tcPr>
            <w:tcW w:w="1176" w:type="pct"/>
            <w:tcBorders>
              <w:top w:val="single" w:sz="4" w:space="0" w:color="auto"/>
              <w:bottom w:val="single" w:sz="4" w:space="0" w:color="auto"/>
            </w:tcBorders>
            <w:vAlign w:val="center"/>
          </w:tcPr>
          <w:p w14:paraId="01C2CEEA" w14:textId="4596AC07" w:rsidR="00DC5685" w:rsidRPr="00A34F10" w:rsidRDefault="00DC5685" w:rsidP="00DC5685">
            <w:pPr>
              <w:widowControl w:val="0"/>
              <w:suppressAutoHyphens/>
              <w:rPr>
                <w:sz w:val="20"/>
              </w:rPr>
            </w:pPr>
            <w:r w:rsidRPr="003B041B">
              <w:rPr>
                <w:strike/>
                <w:color w:val="D9D9D9" w:themeColor="background1" w:themeShade="D9"/>
                <w:sz w:val="20"/>
              </w:rPr>
              <w:t>33.27</w:t>
            </w:r>
            <w:r w:rsidR="003B041B" w:rsidRPr="003B041B">
              <w:rPr>
                <w:color w:val="D9D9D9" w:themeColor="background1" w:themeShade="D9"/>
                <w:sz w:val="20"/>
              </w:rPr>
              <w:t xml:space="preserve"> </w:t>
            </w:r>
            <w:r w:rsidR="003B041B" w:rsidRPr="003B041B">
              <w:rPr>
                <w:sz w:val="20"/>
                <w:shd w:val="clear" w:color="auto" w:fill="D9D9D9" w:themeFill="background1" w:themeFillShade="D9"/>
              </w:rPr>
              <w:t>11.09</w:t>
            </w:r>
          </w:p>
        </w:tc>
      </w:tr>
      <w:tr w:rsidR="00DC5685" w:rsidRPr="00A34F10" w14:paraId="1E77FEC7" w14:textId="77777777" w:rsidTr="000470C3">
        <w:trPr>
          <w:cantSplit/>
        </w:trPr>
        <w:tc>
          <w:tcPr>
            <w:tcW w:w="5000" w:type="pct"/>
            <w:gridSpan w:val="4"/>
            <w:tcBorders>
              <w:top w:val="single" w:sz="4" w:space="0" w:color="auto"/>
            </w:tcBorders>
            <w:vAlign w:val="center"/>
          </w:tcPr>
          <w:p w14:paraId="76651232" w14:textId="77777777" w:rsidR="00DC5685" w:rsidRPr="00A34F10" w:rsidRDefault="00DC5685" w:rsidP="00DC5685">
            <w:pPr>
              <w:widowControl w:val="0"/>
              <w:suppressAutoHyphens/>
              <w:rPr>
                <w:b/>
                <w:bCs/>
                <w:sz w:val="20"/>
                <w:szCs w:val="20"/>
                <w:lang w:val="en-GB"/>
              </w:rPr>
            </w:pPr>
            <w:r w:rsidRPr="00A34F10">
              <w:rPr>
                <w:b/>
                <w:bCs/>
                <w:sz w:val="20"/>
                <w:szCs w:val="20"/>
                <w:lang w:val="en-GB"/>
              </w:rPr>
              <w:t>Chronic effects on other soil meso- and macrofauna</w:t>
            </w:r>
          </w:p>
        </w:tc>
      </w:tr>
      <w:tr w:rsidR="00DC5685" w:rsidRPr="00A34F10" w14:paraId="5130728B" w14:textId="77777777" w:rsidTr="000470C3">
        <w:trPr>
          <w:cantSplit/>
        </w:trPr>
        <w:tc>
          <w:tcPr>
            <w:tcW w:w="5000" w:type="pct"/>
            <w:gridSpan w:val="4"/>
            <w:tcBorders>
              <w:top w:val="single" w:sz="4" w:space="0" w:color="auto"/>
            </w:tcBorders>
            <w:vAlign w:val="center"/>
          </w:tcPr>
          <w:p w14:paraId="7C75E072" w14:textId="77777777" w:rsidR="00DC5685" w:rsidRPr="00A34F10" w:rsidRDefault="00DC5685" w:rsidP="00DC5685">
            <w:pPr>
              <w:widowControl w:val="0"/>
              <w:suppressAutoHyphens/>
              <w:rPr>
                <w:b/>
                <w:bCs/>
                <w:sz w:val="20"/>
                <w:szCs w:val="20"/>
                <w:lang w:val="en-GB"/>
              </w:rPr>
            </w:pPr>
            <w:r w:rsidRPr="00A34F10">
              <w:rPr>
                <w:b/>
                <w:bCs/>
                <w:sz w:val="20"/>
                <w:szCs w:val="20"/>
                <w:lang w:val="en-GB"/>
              </w:rPr>
              <w:t xml:space="preserve">Collembola </w:t>
            </w:r>
            <w:r w:rsidRPr="00A34F10">
              <w:rPr>
                <w:b/>
                <w:sz w:val="20"/>
                <w:szCs w:val="20"/>
                <w:lang w:val="en-GB"/>
              </w:rPr>
              <w:t>(</w:t>
            </w:r>
            <w:r w:rsidRPr="00A34F10">
              <w:rPr>
                <w:b/>
                <w:i/>
                <w:sz w:val="20"/>
                <w:szCs w:val="20"/>
                <w:lang w:val="en-GB"/>
              </w:rPr>
              <w:t>Folsomia candida</w:t>
            </w:r>
            <w:r w:rsidRPr="00A34F10">
              <w:rPr>
                <w:b/>
                <w:sz w:val="20"/>
                <w:szCs w:val="20"/>
                <w:lang w:val="en-GB"/>
              </w:rPr>
              <w:t>)</w:t>
            </w:r>
          </w:p>
        </w:tc>
      </w:tr>
      <w:tr w:rsidR="00DC5685" w:rsidRPr="00A34F10" w14:paraId="21DDD7DB" w14:textId="77777777" w:rsidTr="000470C3">
        <w:trPr>
          <w:cantSplit/>
        </w:trPr>
        <w:tc>
          <w:tcPr>
            <w:tcW w:w="1470" w:type="pct"/>
            <w:tcBorders>
              <w:top w:val="single" w:sz="4" w:space="0" w:color="auto"/>
              <w:bottom w:val="single" w:sz="4" w:space="0" w:color="auto"/>
            </w:tcBorders>
            <w:vAlign w:val="center"/>
          </w:tcPr>
          <w:p w14:paraId="4AA72586" w14:textId="77777777" w:rsidR="00DC5685" w:rsidRPr="00A34F10" w:rsidRDefault="00DC5685" w:rsidP="00DC5685">
            <w:pPr>
              <w:widowControl w:val="0"/>
              <w:suppressAutoHyphens/>
              <w:rPr>
                <w:b/>
                <w:bCs/>
                <w:sz w:val="20"/>
                <w:szCs w:val="20"/>
                <w:lang w:val="en-GB"/>
              </w:rPr>
            </w:pPr>
            <w:r w:rsidRPr="00A34F10">
              <w:rPr>
                <w:b/>
                <w:bCs/>
                <w:sz w:val="20"/>
                <w:szCs w:val="20"/>
                <w:lang w:val="en-GB"/>
              </w:rPr>
              <w:t>Product</w:t>
            </w:r>
          </w:p>
        </w:tc>
        <w:tc>
          <w:tcPr>
            <w:tcW w:w="1177" w:type="pct"/>
            <w:tcBorders>
              <w:top w:val="single" w:sz="4" w:space="0" w:color="auto"/>
              <w:bottom w:val="single" w:sz="4" w:space="0" w:color="auto"/>
            </w:tcBorders>
            <w:vAlign w:val="center"/>
          </w:tcPr>
          <w:p w14:paraId="09575628" w14:textId="77777777" w:rsidR="00DC5685" w:rsidRPr="00A34F10" w:rsidRDefault="00DC5685" w:rsidP="00DC5685">
            <w:pPr>
              <w:widowControl w:val="0"/>
              <w:suppressAutoHyphens/>
              <w:rPr>
                <w:b/>
                <w:bCs/>
                <w:sz w:val="20"/>
                <w:szCs w:val="20"/>
                <w:lang w:val="en-GB"/>
              </w:rPr>
            </w:pPr>
            <w:r w:rsidRPr="00A34F10">
              <w:rPr>
                <w:b/>
                <w:bCs/>
                <w:sz w:val="20"/>
                <w:szCs w:val="20"/>
                <w:lang w:val="en-GB"/>
              </w:rPr>
              <w:t>NOEC</w:t>
            </w:r>
            <w:r w:rsidRPr="00A34F10">
              <w:rPr>
                <w:b/>
                <w:bCs/>
                <w:sz w:val="20"/>
                <w:szCs w:val="20"/>
                <w:vertAlign w:val="subscript"/>
                <w:lang w:val="en-GB"/>
              </w:rPr>
              <w:t>CORR</w:t>
            </w:r>
            <w:r w:rsidRPr="00A34F10">
              <w:rPr>
                <w:b/>
                <w:bCs/>
                <w:sz w:val="20"/>
                <w:szCs w:val="20"/>
                <w:lang w:val="en-GB"/>
              </w:rPr>
              <w:br/>
              <w:t>(mg/kg dry soil)</w:t>
            </w:r>
          </w:p>
        </w:tc>
        <w:tc>
          <w:tcPr>
            <w:tcW w:w="1177" w:type="pct"/>
            <w:tcBorders>
              <w:top w:val="single" w:sz="4" w:space="0" w:color="auto"/>
              <w:bottom w:val="single" w:sz="4" w:space="0" w:color="auto"/>
            </w:tcBorders>
            <w:vAlign w:val="center"/>
          </w:tcPr>
          <w:p w14:paraId="7690F327" w14:textId="77777777" w:rsidR="00DC5685" w:rsidRPr="00A34F10" w:rsidRDefault="00DC5685" w:rsidP="00DC5685">
            <w:pPr>
              <w:widowControl w:val="0"/>
              <w:suppressAutoHyphens/>
              <w:rPr>
                <w:b/>
                <w:bCs/>
                <w:sz w:val="20"/>
                <w:szCs w:val="20"/>
                <w:lang w:val="en-GB"/>
              </w:rPr>
            </w:pPr>
            <w:r w:rsidRPr="00A34F10">
              <w:rPr>
                <w:b/>
                <w:bCs/>
                <w:sz w:val="20"/>
                <w:szCs w:val="20"/>
                <w:lang w:val="en-GB"/>
              </w:rPr>
              <w:t>PEC</w:t>
            </w:r>
            <w:r w:rsidRPr="00A34F10">
              <w:rPr>
                <w:b/>
                <w:bCs/>
                <w:sz w:val="20"/>
                <w:szCs w:val="20"/>
                <w:vertAlign w:val="subscript"/>
                <w:lang w:val="en-GB"/>
              </w:rPr>
              <w:t>soil</w:t>
            </w:r>
            <w:r w:rsidRPr="00A34F10">
              <w:rPr>
                <w:b/>
                <w:bCs/>
                <w:sz w:val="20"/>
                <w:szCs w:val="20"/>
                <w:vertAlign w:val="subscript"/>
                <w:lang w:val="en-GB"/>
              </w:rPr>
              <w:br/>
            </w:r>
            <w:r w:rsidRPr="00A34F10">
              <w:rPr>
                <w:b/>
                <w:bCs/>
                <w:sz w:val="20"/>
                <w:szCs w:val="20"/>
                <w:lang w:val="en-GB"/>
              </w:rPr>
              <w:t>(mg/kg dry soil)*</w:t>
            </w:r>
          </w:p>
        </w:tc>
        <w:tc>
          <w:tcPr>
            <w:tcW w:w="1176" w:type="pct"/>
            <w:tcBorders>
              <w:top w:val="single" w:sz="4" w:space="0" w:color="auto"/>
              <w:bottom w:val="single" w:sz="4" w:space="0" w:color="auto"/>
            </w:tcBorders>
            <w:vAlign w:val="center"/>
          </w:tcPr>
          <w:p w14:paraId="31CD08F8" w14:textId="77777777" w:rsidR="00DC5685" w:rsidRPr="00A34F10" w:rsidRDefault="00DC5685" w:rsidP="00DC5685">
            <w:pPr>
              <w:widowControl w:val="0"/>
              <w:suppressAutoHyphens/>
              <w:rPr>
                <w:b/>
                <w:bCs/>
                <w:sz w:val="20"/>
                <w:szCs w:val="20"/>
                <w:lang w:val="en-GB"/>
              </w:rPr>
            </w:pPr>
            <w:r w:rsidRPr="00A34F10">
              <w:rPr>
                <w:b/>
                <w:bCs/>
                <w:sz w:val="20"/>
                <w:szCs w:val="20"/>
                <w:lang w:val="en-GB"/>
              </w:rPr>
              <w:t>TER</w:t>
            </w:r>
            <w:r w:rsidRPr="00A34F10">
              <w:rPr>
                <w:b/>
                <w:bCs/>
                <w:sz w:val="20"/>
                <w:szCs w:val="20"/>
                <w:vertAlign w:val="subscript"/>
                <w:lang w:val="en-GB"/>
              </w:rPr>
              <w:t>lt</w:t>
            </w:r>
            <w:r w:rsidRPr="00A34F10">
              <w:rPr>
                <w:b/>
                <w:bCs/>
                <w:sz w:val="20"/>
                <w:szCs w:val="20"/>
                <w:vertAlign w:val="subscript"/>
                <w:lang w:val="en-GB"/>
              </w:rPr>
              <w:br/>
            </w:r>
            <w:r w:rsidRPr="00A34F10">
              <w:rPr>
                <w:b/>
                <w:bCs/>
                <w:sz w:val="20"/>
                <w:szCs w:val="20"/>
                <w:lang w:val="en-GB"/>
              </w:rPr>
              <w:t>(criterion TER ≥ 5)</w:t>
            </w:r>
          </w:p>
        </w:tc>
      </w:tr>
      <w:tr w:rsidR="00DC5685" w:rsidRPr="00A34F10" w14:paraId="7176DA56" w14:textId="77777777" w:rsidTr="000470C3">
        <w:trPr>
          <w:cantSplit/>
        </w:trPr>
        <w:tc>
          <w:tcPr>
            <w:tcW w:w="1470" w:type="pct"/>
            <w:tcBorders>
              <w:top w:val="single" w:sz="4" w:space="0" w:color="auto"/>
              <w:bottom w:val="single" w:sz="4" w:space="0" w:color="auto"/>
            </w:tcBorders>
            <w:vAlign w:val="center"/>
          </w:tcPr>
          <w:p w14:paraId="56AEA428" w14:textId="77777777" w:rsidR="00DC5685" w:rsidRPr="00A34F10" w:rsidRDefault="00DC5685" w:rsidP="00DC5685">
            <w:pPr>
              <w:widowControl w:val="0"/>
              <w:suppressAutoHyphens/>
              <w:rPr>
                <w:sz w:val="20"/>
              </w:rPr>
            </w:pPr>
            <w:r w:rsidRPr="00A34F10">
              <w:rPr>
                <w:sz w:val="20"/>
              </w:rPr>
              <w:t>BAS 743 03 F</w:t>
            </w:r>
          </w:p>
        </w:tc>
        <w:tc>
          <w:tcPr>
            <w:tcW w:w="1177" w:type="pct"/>
            <w:tcBorders>
              <w:top w:val="single" w:sz="4" w:space="0" w:color="auto"/>
              <w:bottom w:val="single" w:sz="4" w:space="0" w:color="auto"/>
            </w:tcBorders>
            <w:vAlign w:val="center"/>
          </w:tcPr>
          <w:p w14:paraId="04DC63D5" w14:textId="77777777" w:rsidR="00DC5685" w:rsidRPr="00A34F10" w:rsidRDefault="00DC5685" w:rsidP="00DC5685">
            <w:pPr>
              <w:widowControl w:val="0"/>
              <w:suppressAutoHyphens/>
              <w:rPr>
                <w:sz w:val="20"/>
              </w:rPr>
            </w:pPr>
            <w:r w:rsidRPr="00A34F10">
              <w:rPr>
                <w:sz w:val="20"/>
                <w:u w:val="single"/>
              </w:rPr>
              <w:t>&gt;</w:t>
            </w:r>
            <w:r w:rsidRPr="00A34F10">
              <w:rPr>
                <w:sz w:val="20"/>
              </w:rPr>
              <w:t xml:space="preserve"> 278</w:t>
            </w:r>
          </w:p>
        </w:tc>
        <w:tc>
          <w:tcPr>
            <w:tcW w:w="1177" w:type="pct"/>
            <w:tcBorders>
              <w:top w:val="single" w:sz="4" w:space="0" w:color="auto"/>
              <w:bottom w:val="single" w:sz="4" w:space="0" w:color="auto"/>
            </w:tcBorders>
            <w:vAlign w:val="center"/>
          </w:tcPr>
          <w:p w14:paraId="15EE98EE" w14:textId="27B868E8" w:rsidR="00DC5685" w:rsidRPr="00A34F10" w:rsidRDefault="0099062D" w:rsidP="00DC5685">
            <w:pPr>
              <w:widowControl w:val="0"/>
              <w:suppressAutoHyphens/>
              <w:rPr>
                <w:sz w:val="20"/>
              </w:rPr>
            </w:pPr>
            <w:r w:rsidRPr="0099062D">
              <w:rPr>
                <w:strike/>
                <w:color w:val="D9D9D9" w:themeColor="background1" w:themeShade="D9"/>
                <w:sz w:val="20"/>
              </w:rPr>
              <w:t>2.57</w:t>
            </w:r>
            <w:r w:rsidRPr="0099062D">
              <w:rPr>
                <w:color w:val="D9D9D9" w:themeColor="background1" w:themeShade="D9"/>
                <w:sz w:val="20"/>
              </w:rPr>
              <w:t xml:space="preserve"> </w:t>
            </w:r>
            <w:r w:rsidR="00F50D75" w:rsidRPr="00F50D75">
              <w:rPr>
                <w:sz w:val="20"/>
                <w:szCs w:val="20"/>
                <w:shd w:val="clear" w:color="auto" w:fill="D9D9D9" w:themeFill="background1" w:themeFillShade="D9"/>
              </w:rPr>
              <w:t>7.711</w:t>
            </w:r>
          </w:p>
        </w:tc>
        <w:tc>
          <w:tcPr>
            <w:tcW w:w="1176" w:type="pct"/>
            <w:tcBorders>
              <w:top w:val="single" w:sz="4" w:space="0" w:color="auto"/>
              <w:bottom w:val="single" w:sz="4" w:space="0" w:color="auto"/>
            </w:tcBorders>
            <w:vAlign w:val="center"/>
          </w:tcPr>
          <w:p w14:paraId="7D6D9EED" w14:textId="5A75BF4D" w:rsidR="00DC5685" w:rsidRPr="00A34F10" w:rsidRDefault="00DC5685" w:rsidP="00DC5685">
            <w:pPr>
              <w:widowControl w:val="0"/>
              <w:suppressAutoHyphens/>
              <w:rPr>
                <w:sz w:val="20"/>
              </w:rPr>
            </w:pPr>
            <w:r w:rsidRPr="00A34F10">
              <w:rPr>
                <w:sz w:val="20"/>
              </w:rPr>
              <w:t xml:space="preserve">≥ </w:t>
            </w:r>
            <w:r w:rsidRPr="0029595D">
              <w:rPr>
                <w:strike/>
                <w:color w:val="D9D9D9" w:themeColor="background1" w:themeShade="D9"/>
                <w:sz w:val="20"/>
              </w:rPr>
              <w:t>108.2</w:t>
            </w:r>
            <w:r w:rsidR="0029595D" w:rsidRPr="0029595D">
              <w:rPr>
                <w:color w:val="D9D9D9" w:themeColor="background1" w:themeShade="D9"/>
                <w:sz w:val="20"/>
              </w:rPr>
              <w:t xml:space="preserve"> </w:t>
            </w:r>
            <w:r w:rsidR="0029595D" w:rsidRPr="0029595D">
              <w:rPr>
                <w:sz w:val="20"/>
                <w:shd w:val="clear" w:color="auto" w:fill="D9D9D9" w:themeFill="background1" w:themeFillShade="D9"/>
              </w:rPr>
              <w:t>36.05</w:t>
            </w:r>
          </w:p>
        </w:tc>
      </w:tr>
      <w:tr w:rsidR="00DC5685" w:rsidRPr="00A34F10" w14:paraId="47100170" w14:textId="77777777" w:rsidTr="000470C3">
        <w:trPr>
          <w:cantSplit/>
        </w:trPr>
        <w:tc>
          <w:tcPr>
            <w:tcW w:w="5000" w:type="pct"/>
            <w:gridSpan w:val="4"/>
            <w:tcBorders>
              <w:top w:val="single" w:sz="4" w:space="0" w:color="auto"/>
              <w:bottom w:val="single" w:sz="4" w:space="0" w:color="auto"/>
            </w:tcBorders>
            <w:vAlign w:val="center"/>
          </w:tcPr>
          <w:p w14:paraId="77A31956" w14:textId="77777777" w:rsidR="00DC5685" w:rsidRPr="00A34F10" w:rsidRDefault="00DC5685" w:rsidP="00DC5685">
            <w:pPr>
              <w:widowControl w:val="0"/>
              <w:suppressAutoHyphens/>
              <w:rPr>
                <w:sz w:val="20"/>
              </w:rPr>
            </w:pPr>
            <w:r w:rsidRPr="00A34F10">
              <w:rPr>
                <w:b/>
                <w:sz w:val="20"/>
              </w:rPr>
              <w:t xml:space="preserve">Soil mites </w:t>
            </w:r>
            <w:r w:rsidRPr="00A34F10">
              <w:rPr>
                <w:b/>
                <w:bCs/>
                <w:sz w:val="20"/>
              </w:rPr>
              <w:t>(</w:t>
            </w:r>
            <w:r w:rsidRPr="00A34F10">
              <w:rPr>
                <w:b/>
                <w:bCs/>
                <w:i/>
                <w:sz w:val="20"/>
              </w:rPr>
              <w:t>Hypoaspis aculeifer</w:t>
            </w:r>
            <w:r w:rsidRPr="00A34F10">
              <w:rPr>
                <w:b/>
                <w:bCs/>
                <w:sz w:val="20"/>
              </w:rPr>
              <w:t>)</w:t>
            </w:r>
          </w:p>
        </w:tc>
      </w:tr>
      <w:tr w:rsidR="00DC5685" w:rsidRPr="00A34F10" w14:paraId="27A4E2B0" w14:textId="77777777" w:rsidTr="000470C3">
        <w:trPr>
          <w:cantSplit/>
        </w:trPr>
        <w:tc>
          <w:tcPr>
            <w:tcW w:w="1470" w:type="pct"/>
            <w:tcBorders>
              <w:top w:val="single" w:sz="4" w:space="0" w:color="auto"/>
              <w:bottom w:val="single" w:sz="4" w:space="0" w:color="auto"/>
            </w:tcBorders>
            <w:vAlign w:val="center"/>
          </w:tcPr>
          <w:p w14:paraId="4C13EFA4" w14:textId="77777777" w:rsidR="00DC5685" w:rsidRPr="00A34F10" w:rsidRDefault="00DC5685" w:rsidP="00DC5685">
            <w:pPr>
              <w:widowControl w:val="0"/>
              <w:suppressAutoHyphens/>
              <w:rPr>
                <w:sz w:val="20"/>
              </w:rPr>
            </w:pPr>
            <w:r w:rsidRPr="00A34F10">
              <w:rPr>
                <w:b/>
                <w:sz w:val="20"/>
              </w:rPr>
              <w:t>Product</w:t>
            </w:r>
          </w:p>
        </w:tc>
        <w:tc>
          <w:tcPr>
            <w:tcW w:w="1177" w:type="pct"/>
            <w:tcBorders>
              <w:top w:val="single" w:sz="4" w:space="0" w:color="auto"/>
              <w:bottom w:val="single" w:sz="4" w:space="0" w:color="auto"/>
            </w:tcBorders>
            <w:vAlign w:val="center"/>
          </w:tcPr>
          <w:p w14:paraId="33DD4B22" w14:textId="77777777" w:rsidR="00DC5685" w:rsidRPr="00A34F10" w:rsidRDefault="00DC5685" w:rsidP="00DC5685">
            <w:pPr>
              <w:widowControl w:val="0"/>
              <w:suppressAutoHyphens/>
              <w:rPr>
                <w:b/>
                <w:sz w:val="20"/>
              </w:rPr>
            </w:pPr>
            <w:r w:rsidRPr="00A34F10">
              <w:rPr>
                <w:b/>
                <w:bCs/>
                <w:sz w:val="20"/>
              </w:rPr>
              <w:t>NOEC</w:t>
            </w:r>
            <w:r w:rsidRPr="00A34F10">
              <w:rPr>
                <w:b/>
                <w:bCs/>
                <w:sz w:val="20"/>
                <w:vertAlign w:val="subscript"/>
              </w:rPr>
              <w:t>CORR</w:t>
            </w:r>
            <w:r w:rsidRPr="00A34F10">
              <w:rPr>
                <w:b/>
                <w:sz w:val="20"/>
              </w:rPr>
              <w:br/>
              <w:t>(mg/kg dry soil)</w:t>
            </w:r>
          </w:p>
        </w:tc>
        <w:tc>
          <w:tcPr>
            <w:tcW w:w="1177" w:type="pct"/>
            <w:tcBorders>
              <w:top w:val="single" w:sz="4" w:space="0" w:color="auto"/>
              <w:bottom w:val="single" w:sz="4" w:space="0" w:color="auto"/>
            </w:tcBorders>
            <w:vAlign w:val="center"/>
          </w:tcPr>
          <w:p w14:paraId="4B98280D" w14:textId="77777777" w:rsidR="00DC5685" w:rsidRPr="00A34F10" w:rsidRDefault="00DC5685" w:rsidP="00DC5685">
            <w:pPr>
              <w:widowControl w:val="0"/>
              <w:suppressAutoHyphens/>
              <w:rPr>
                <w:b/>
                <w:sz w:val="20"/>
              </w:rPr>
            </w:pPr>
            <w:r w:rsidRPr="00A34F10">
              <w:rPr>
                <w:b/>
                <w:sz w:val="20"/>
              </w:rPr>
              <w:t>PEC</w:t>
            </w:r>
            <w:r w:rsidRPr="00A34F10">
              <w:rPr>
                <w:b/>
                <w:sz w:val="20"/>
                <w:vertAlign w:val="subscript"/>
              </w:rPr>
              <w:t>soil</w:t>
            </w:r>
            <w:r w:rsidRPr="00A34F10">
              <w:rPr>
                <w:b/>
                <w:sz w:val="20"/>
                <w:vertAlign w:val="subscript"/>
              </w:rPr>
              <w:br/>
            </w:r>
            <w:r w:rsidRPr="00A34F10">
              <w:rPr>
                <w:b/>
                <w:sz w:val="20"/>
              </w:rPr>
              <w:t>(mg/kg dry soil)*</w:t>
            </w:r>
          </w:p>
        </w:tc>
        <w:tc>
          <w:tcPr>
            <w:tcW w:w="1176" w:type="pct"/>
            <w:tcBorders>
              <w:top w:val="single" w:sz="4" w:space="0" w:color="auto"/>
              <w:bottom w:val="single" w:sz="4" w:space="0" w:color="auto"/>
            </w:tcBorders>
            <w:vAlign w:val="center"/>
          </w:tcPr>
          <w:p w14:paraId="27454641" w14:textId="77777777" w:rsidR="00DC5685" w:rsidRPr="00A34F10" w:rsidRDefault="00DC5685" w:rsidP="00DC5685">
            <w:pPr>
              <w:widowControl w:val="0"/>
              <w:suppressAutoHyphens/>
              <w:rPr>
                <w:b/>
                <w:sz w:val="20"/>
              </w:rPr>
            </w:pPr>
            <w:r w:rsidRPr="00A34F10">
              <w:rPr>
                <w:b/>
                <w:sz w:val="20"/>
              </w:rPr>
              <w:t>TER</w:t>
            </w:r>
            <w:r w:rsidRPr="00A34F10">
              <w:rPr>
                <w:b/>
                <w:sz w:val="20"/>
                <w:vertAlign w:val="subscript"/>
              </w:rPr>
              <w:t>lt</w:t>
            </w:r>
            <w:r w:rsidRPr="00A34F10">
              <w:rPr>
                <w:b/>
                <w:sz w:val="20"/>
                <w:vertAlign w:val="subscript"/>
              </w:rPr>
              <w:br/>
            </w:r>
            <w:r w:rsidRPr="00A34F10">
              <w:rPr>
                <w:b/>
                <w:sz w:val="20"/>
              </w:rPr>
              <w:t>(criterion TER ≥ 5)</w:t>
            </w:r>
          </w:p>
        </w:tc>
      </w:tr>
      <w:tr w:rsidR="00DC5685" w:rsidRPr="00A34F10" w14:paraId="1EE856B3" w14:textId="77777777" w:rsidTr="000470C3">
        <w:trPr>
          <w:cantSplit/>
        </w:trPr>
        <w:tc>
          <w:tcPr>
            <w:tcW w:w="1470" w:type="pct"/>
            <w:tcBorders>
              <w:top w:val="single" w:sz="4" w:space="0" w:color="auto"/>
              <w:bottom w:val="single" w:sz="4" w:space="0" w:color="auto"/>
            </w:tcBorders>
            <w:vAlign w:val="center"/>
          </w:tcPr>
          <w:p w14:paraId="7B9940D1" w14:textId="77777777" w:rsidR="00DC5685" w:rsidRPr="00A34F10" w:rsidRDefault="00DC5685" w:rsidP="00DC5685">
            <w:pPr>
              <w:widowControl w:val="0"/>
              <w:suppressAutoHyphens/>
              <w:rPr>
                <w:sz w:val="20"/>
              </w:rPr>
            </w:pPr>
            <w:r w:rsidRPr="00A34F10">
              <w:rPr>
                <w:sz w:val="20"/>
              </w:rPr>
              <w:t>BAS 743 03 F</w:t>
            </w:r>
          </w:p>
        </w:tc>
        <w:tc>
          <w:tcPr>
            <w:tcW w:w="1177" w:type="pct"/>
            <w:tcBorders>
              <w:top w:val="single" w:sz="4" w:space="0" w:color="auto"/>
              <w:bottom w:val="single" w:sz="4" w:space="0" w:color="auto"/>
            </w:tcBorders>
            <w:vAlign w:val="center"/>
          </w:tcPr>
          <w:p w14:paraId="41588BAF" w14:textId="77777777" w:rsidR="00DC5685" w:rsidRPr="00A34F10" w:rsidRDefault="00DC5685" w:rsidP="00DC5685">
            <w:pPr>
              <w:widowControl w:val="0"/>
              <w:suppressAutoHyphens/>
              <w:rPr>
                <w:sz w:val="20"/>
              </w:rPr>
            </w:pPr>
            <w:r w:rsidRPr="00A34F10">
              <w:rPr>
                <w:sz w:val="20"/>
                <w:u w:val="single"/>
              </w:rPr>
              <w:t>&gt;</w:t>
            </w:r>
            <w:r w:rsidRPr="00A34F10">
              <w:rPr>
                <w:sz w:val="20"/>
              </w:rPr>
              <w:t xml:space="preserve"> 500</w:t>
            </w:r>
          </w:p>
        </w:tc>
        <w:tc>
          <w:tcPr>
            <w:tcW w:w="1177" w:type="pct"/>
            <w:tcBorders>
              <w:top w:val="single" w:sz="4" w:space="0" w:color="auto"/>
              <w:bottom w:val="single" w:sz="4" w:space="0" w:color="auto"/>
            </w:tcBorders>
            <w:vAlign w:val="center"/>
          </w:tcPr>
          <w:p w14:paraId="7CF398DB" w14:textId="0F785308" w:rsidR="00DC5685" w:rsidRPr="00A34F10" w:rsidRDefault="0099062D" w:rsidP="00DC5685">
            <w:pPr>
              <w:widowControl w:val="0"/>
              <w:suppressAutoHyphens/>
              <w:rPr>
                <w:sz w:val="20"/>
              </w:rPr>
            </w:pPr>
            <w:r w:rsidRPr="0099062D">
              <w:rPr>
                <w:strike/>
                <w:color w:val="D9D9D9" w:themeColor="background1" w:themeShade="D9"/>
                <w:sz w:val="20"/>
              </w:rPr>
              <w:t>2.57</w:t>
            </w:r>
            <w:r w:rsidRPr="0099062D">
              <w:rPr>
                <w:color w:val="D9D9D9" w:themeColor="background1" w:themeShade="D9"/>
                <w:sz w:val="20"/>
              </w:rPr>
              <w:t xml:space="preserve"> </w:t>
            </w:r>
            <w:r w:rsidR="00F50D75" w:rsidRPr="00F50D75">
              <w:rPr>
                <w:sz w:val="20"/>
                <w:szCs w:val="20"/>
                <w:shd w:val="clear" w:color="auto" w:fill="D9D9D9" w:themeFill="background1" w:themeFillShade="D9"/>
              </w:rPr>
              <w:t>7.711</w:t>
            </w:r>
          </w:p>
        </w:tc>
        <w:tc>
          <w:tcPr>
            <w:tcW w:w="1176" w:type="pct"/>
            <w:tcBorders>
              <w:top w:val="single" w:sz="4" w:space="0" w:color="auto"/>
              <w:bottom w:val="single" w:sz="4" w:space="0" w:color="auto"/>
            </w:tcBorders>
            <w:vAlign w:val="center"/>
          </w:tcPr>
          <w:p w14:paraId="283BF30F" w14:textId="03045737" w:rsidR="00DC5685" w:rsidRPr="00A34F10" w:rsidRDefault="00DC5685" w:rsidP="00DC5685">
            <w:pPr>
              <w:widowControl w:val="0"/>
              <w:suppressAutoHyphens/>
              <w:rPr>
                <w:sz w:val="20"/>
              </w:rPr>
            </w:pPr>
            <w:r w:rsidRPr="00A34F10">
              <w:rPr>
                <w:sz w:val="20"/>
              </w:rPr>
              <w:t xml:space="preserve">≥ </w:t>
            </w:r>
            <w:r w:rsidRPr="00FF063D">
              <w:rPr>
                <w:strike/>
                <w:color w:val="D9D9D9" w:themeColor="background1" w:themeShade="D9"/>
                <w:sz w:val="20"/>
              </w:rPr>
              <w:t>194.6</w:t>
            </w:r>
            <w:r w:rsidR="0029595D" w:rsidRPr="00FF063D">
              <w:rPr>
                <w:color w:val="D9D9D9" w:themeColor="background1" w:themeShade="D9"/>
                <w:sz w:val="20"/>
              </w:rPr>
              <w:t xml:space="preserve"> </w:t>
            </w:r>
            <w:r w:rsidR="00FF063D" w:rsidRPr="00FF063D">
              <w:rPr>
                <w:sz w:val="20"/>
                <w:shd w:val="clear" w:color="auto" w:fill="D9D9D9" w:themeFill="background1" w:themeFillShade="D9"/>
              </w:rPr>
              <w:t>64.84</w:t>
            </w:r>
          </w:p>
        </w:tc>
      </w:tr>
    </w:tbl>
    <w:p w14:paraId="5252D91C" w14:textId="77777777" w:rsidR="00DC5685" w:rsidRPr="00A34F10" w:rsidRDefault="00DC5685" w:rsidP="00DC5685">
      <w:pPr>
        <w:widowControl w:val="0"/>
        <w:suppressAutoHyphens/>
        <w:ind w:left="425" w:hanging="425"/>
        <w:jc w:val="both"/>
      </w:pPr>
    </w:p>
    <w:p w14:paraId="4F5FD6F8" w14:textId="77777777" w:rsidR="00DC5685" w:rsidRPr="00A34F10" w:rsidRDefault="00DC5685" w:rsidP="00DC5685">
      <w:pPr>
        <w:widowControl w:val="0"/>
        <w:suppressAutoHyphens/>
        <w:jc w:val="both"/>
      </w:pPr>
      <w:r w:rsidRPr="00A34F10">
        <w:t>As all TER values are above the respective trigger value, the risk to earthworms and other soil meso- and macrofauna is considered to be acceptable for all intended uses of BAS 743 03 F.</w:t>
      </w:r>
    </w:p>
    <w:p w14:paraId="289D01E2" w14:textId="77777777" w:rsidR="00DC5685" w:rsidRPr="00A34F10" w:rsidRDefault="00DC5685" w:rsidP="009F4BB0">
      <w:pPr>
        <w:pStyle w:val="Nagwek4"/>
      </w:pPr>
      <w:bookmarkStart w:id="789" w:name="_Toc181624995"/>
      <w:r w:rsidRPr="00A34F10">
        <w:lastRenderedPageBreak/>
        <w:t>Higher-tier risk assessment</w:t>
      </w:r>
      <w:bookmarkEnd w:id="777"/>
      <w:bookmarkEnd w:id="778"/>
      <w:bookmarkEnd w:id="779"/>
      <w:bookmarkEnd w:id="780"/>
      <w:bookmarkEnd w:id="781"/>
      <w:bookmarkEnd w:id="782"/>
      <w:bookmarkEnd w:id="783"/>
      <w:bookmarkEnd w:id="784"/>
      <w:bookmarkEnd w:id="785"/>
      <w:bookmarkEnd w:id="789"/>
    </w:p>
    <w:p w14:paraId="37C87383" w14:textId="0D415DE1" w:rsidR="0075532B" w:rsidRPr="00A34F10" w:rsidRDefault="00DC5685" w:rsidP="00DC5685">
      <w:pPr>
        <w:widowControl w:val="0"/>
        <w:suppressAutoHyphens/>
        <w:jc w:val="both"/>
      </w:pPr>
      <w:r w:rsidRPr="00A34F10">
        <w:t>Not relevant.</w:t>
      </w:r>
    </w:p>
    <w:p w14:paraId="72D27BB3" w14:textId="77777777" w:rsidR="00DC5685" w:rsidRPr="00A34F10" w:rsidRDefault="00DC5685" w:rsidP="009F4BB0">
      <w:pPr>
        <w:pStyle w:val="Nagwek3"/>
      </w:pPr>
      <w:bookmarkStart w:id="790" w:name="_Toc412644025"/>
      <w:bookmarkStart w:id="791" w:name="_Toc413916869"/>
      <w:bookmarkStart w:id="792" w:name="_Toc413917011"/>
      <w:bookmarkStart w:id="793" w:name="_Toc413922072"/>
      <w:bookmarkStart w:id="794" w:name="_Toc413922561"/>
      <w:bookmarkStart w:id="795" w:name="_Toc413922665"/>
      <w:bookmarkStart w:id="796" w:name="_Toc414955302"/>
      <w:bookmarkStart w:id="797" w:name="_Toc415214609"/>
      <w:bookmarkStart w:id="798" w:name="_Toc425512630"/>
      <w:bookmarkStart w:id="799" w:name="_Toc181624996"/>
      <w:r w:rsidRPr="00A34F10">
        <w:t>Overall conclusions</w:t>
      </w:r>
      <w:bookmarkEnd w:id="790"/>
      <w:bookmarkEnd w:id="791"/>
      <w:bookmarkEnd w:id="792"/>
      <w:bookmarkEnd w:id="793"/>
      <w:bookmarkEnd w:id="794"/>
      <w:bookmarkEnd w:id="795"/>
      <w:bookmarkEnd w:id="796"/>
      <w:bookmarkEnd w:id="797"/>
      <w:bookmarkEnd w:id="798"/>
      <w:bookmarkEnd w:id="799"/>
    </w:p>
    <w:p w14:paraId="3C91363E" w14:textId="5747EF7E" w:rsidR="002249C1" w:rsidRDefault="00DC5685" w:rsidP="002249C1">
      <w:pPr>
        <w:jc w:val="both"/>
        <w:rPr>
          <w:lang w:val="en-GB"/>
        </w:rPr>
      </w:pPr>
      <w:r w:rsidRPr="00A34F10">
        <w:rPr>
          <w:lang w:val="en-GB"/>
        </w:rPr>
        <w:t>All TER values for BAS 743 03 F, the active substances Ametoctradin and Propamocarb, and relevant metabolites</w:t>
      </w:r>
      <w:r w:rsidRPr="00A34F10" w:rsidDel="00430871">
        <w:rPr>
          <w:lang w:val="en-GB"/>
        </w:rPr>
        <w:t xml:space="preserve"> </w:t>
      </w:r>
      <w:r w:rsidRPr="00A34F10">
        <w:rPr>
          <w:lang w:val="en-GB"/>
        </w:rPr>
        <w:t xml:space="preserve">for chronic exposure of earthworms and other non-target soil organisms (meso- and macrofauna) are considerably higher than the </w:t>
      </w:r>
      <w:r w:rsidRPr="00A34F10">
        <w:rPr>
          <w:lang w:val="en-GB" w:eastAsia="de-DE"/>
        </w:rPr>
        <w:t xml:space="preserve">Commission Regulation (EU) 546/2011 </w:t>
      </w:r>
      <w:r w:rsidRPr="00A34F10">
        <w:rPr>
          <w:lang w:val="en-GB"/>
        </w:rPr>
        <w:t>trigger value of 5. Therefore, it can be concluded that BAS 743 03 F poses no unacceptable risk to earthworms or other soil meso- and macrofauna.</w:t>
      </w:r>
    </w:p>
    <w:p w14:paraId="21E638EB" w14:textId="77777777" w:rsidR="0030458C" w:rsidRPr="002249C1" w:rsidRDefault="0030458C" w:rsidP="002249C1">
      <w:pPr>
        <w:jc w:val="both"/>
        <w:rPr>
          <w:color w:val="000000"/>
        </w:rPr>
      </w:pPr>
    </w:p>
    <w:p w14:paraId="29DAB793" w14:textId="77777777" w:rsidR="002249C1" w:rsidRDefault="002249C1" w:rsidP="002249C1">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2249C1" w:rsidRPr="00DD5DB0" w14:paraId="47C7427D" w14:textId="77777777" w:rsidTr="00F53FC3">
        <w:tc>
          <w:tcPr>
            <w:tcW w:w="5000" w:type="pct"/>
            <w:shd w:val="clear" w:color="auto" w:fill="D9D9D9"/>
          </w:tcPr>
          <w:p w14:paraId="46C14E14" w14:textId="77777777" w:rsidR="002249C1" w:rsidRPr="00DB1C72" w:rsidRDefault="002249C1" w:rsidP="002249C1">
            <w:pPr>
              <w:pStyle w:val="TableText1"/>
              <w:spacing w:after="120" w:line="280" w:lineRule="exact"/>
              <w:jc w:val="left"/>
              <w:rPr>
                <w:b/>
                <w:bCs w:val="0"/>
                <w:sz w:val="22"/>
                <w:szCs w:val="22"/>
                <w:lang w:eastAsia="en-US"/>
              </w:rPr>
            </w:pPr>
            <w:r w:rsidRPr="00DB1C72">
              <w:rPr>
                <w:b/>
                <w:sz w:val="22"/>
                <w:szCs w:val="22"/>
                <w:lang w:eastAsia="en-US"/>
              </w:rPr>
              <w:t>Review Comments:</w:t>
            </w:r>
          </w:p>
          <w:p w14:paraId="00DD40A4" w14:textId="48B426B9" w:rsidR="002249C1" w:rsidRDefault="002249C1" w:rsidP="00F53FC3">
            <w:pPr>
              <w:pStyle w:val="TableText1"/>
              <w:widowControl w:val="0"/>
              <w:spacing w:after="120"/>
              <w:jc w:val="both"/>
              <w:rPr>
                <w:sz w:val="22"/>
                <w:szCs w:val="22"/>
              </w:rPr>
            </w:pPr>
            <w:r w:rsidRPr="00DA7356">
              <w:rPr>
                <w:sz w:val="22"/>
                <w:szCs w:val="22"/>
              </w:rPr>
              <w:t xml:space="preserve">The long-term risks </w:t>
            </w:r>
            <w:r w:rsidRPr="00C87BED">
              <w:rPr>
                <w:sz w:val="22"/>
                <w:szCs w:val="22"/>
              </w:rPr>
              <w:t xml:space="preserve">of </w:t>
            </w:r>
            <w:r w:rsidRPr="00A34F10">
              <w:t>BAS 743 03 F</w:t>
            </w:r>
            <w:r w:rsidRPr="00C87BED">
              <w:rPr>
                <w:sz w:val="22"/>
                <w:szCs w:val="22"/>
              </w:rPr>
              <w:t xml:space="preserve"> to soil meso- and macro-organisms were assessed from toxicity exposure ratios between toxicity endpoints and maximum PEC</w:t>
            </w:r>
            <w:r w:rsidRPr="00C87BED">
              <w:rPr>
                <w:sz w:val="22"/>
                <w:szCs w:val="22"/>
                <w:vertAlign w:val="subscript"/>
              </w:rPr>
              <w:t>soil</w:t>
            </w:r>
            <w:r w:rsidRPr="00C87BED">
              <w:rPr>
                <w:sz w:val="22"/>
                <w:szCs w:val="22"/>
              </w:rPr>
              <w:t>. The relevant predicted environmental concentrations in soil (PEC</w:t>
            </w:r>
            <w:r w:rsidRPr="00C87BED">
              <w:rPr>
                <w:sz w:val="22"/>
                <w:szCs w:val="22"/>
                <w:vertAlign w:val="subscript"/>
              </w:rPr>
              <w:t>soil</w:t>
            </w:r>
            <w:r w:rsidRPr="00C87BED">
              <w:rPr>
                <w:sz w:val="22"/>
                <w:szCs w:val="22"/>
              </w:rPr>
              <w:t>) for risk assessments covering the proposed use pattern are taken from Part B Section 8 (Environmental Fate).</w:t>
            </w:r>
          </w:p>
          <w:p w14:paraId="43059238" w14:textId="09956404" w:rsidR="002249C1" w:rsidRPr="00DD5DB0" w:rsidRDefault="00EB58E7" w:rsidP="00F53FC3">
            <w:pPr>
              <w:pStyle w:val="TableText1"/>
              <w:widowControl w:val="0"/>
              <w:spacing w:after="120"/>
              <w:jc w:val="both"/>
              <w:rPr>
                <w:sz w:val="22"/>
                <w:szCs w:val="22"/>
              </w:rPr>
            </w:pPr>
            <w:r>
              <w:rPr>
                <w:sz w:val="22"/>
                <w:szCs w:val="22"/>
              </w:rPr>
              <w:t>B</w:t>
            </w:r>
            <w:r w:rsidR="002249C1" w:rsidRPr="004731D5">
              <w:rPr>
                <w:sz w:val="22"/>
                <w:szCs w:val="22"/>
              </w:rPr>
              <w:t xml:space="preserve">ased on </w:t>
            </w:r>
            <w:r w:rsidR="00B92EFB">
              <w:rPr>
                <w:sz w:val="22"/>
                <w:szCs w:val="22"/>
              </w:rPr>
              <w:t>performed risk assessment i</w:t>
            </w:r>
            <w:r w:rsidR="002249C1" w:rsidRPr="004731D5">
              <w:rPr>
                <w:sz w:val="22"/>
                <w:szCs w:val="22"/>
              </w:rPr>
              <w:t xml:space="preserve">t can be concluded that there will be negligible risk associated with the exposure of beneficial soil organisms to </w:t>
            </w:r>
            <w:r w:rsidR="00B92EFB" w:rsidRPr="00A34F10">
              <w:t>BAS 743 03 F</w:t>
            </w:r>
            <w:r w:rsidR="002249C1" w:rsidRPr="004731D5">
              <w:rPr>
                <w:sz w:val="22"/>
                <w:szCs w:val="22"/>
              </w:rPr>
              <w:t xml:space="preserve"> following proposed use pattern.</w:t>
            </w:r>
          </w:p>
        </w:tc>
      </w:tr>
    </w:tbl>
    <w:p w14:paraId="08C20E97" w14:textId="77777777" w:rsidR="002249C1" w:rsidRPr="00A34F10" w:rsidRDefault="002249C1" w:rsidP="002E7F42">
      <w:pPr>
        <w:pStyle w:val="StyleOECD-BASIS-TEXTLeft"/>
        <w:rPr>
          <w:sz w:val="22"/>
          <w:lang w:val="en-US"/>
        </w:rPr>
        <w:sectPr w:rsidR="002249C1" w:rsidRPr="00A34F10" w:rsidSect="00302258">
          <w:pgSz w:w="11907" w:h="16840" w:code="9"/>
          <w:pgMar w:top="1418" w:right="1134" w:bottom="1418" w:left="1418" w:header="709" w:footer="709" w:gutter="0"/>
          <w:cols w:space="720"/>
        </w:sectPr>
      </w:pPr>
    </w:p>
    <w:p w14:paraId="7C5F72FF" w14:textId="77777777" w:rsidR="00DC5685" w:rsidRPr="00A34F10" w:rsidRDefault="00DC5685" w:rsidP="00DC5685">
      <w:pPr>
        <w:pStyle w:val="Nagwek2"/>
      </w:pPr>
      <w:bookmarkStart w:id="800" w:name="_Toc399487290"/>
      <w:bookmarkStart w:id="801" w:name="_Ref405399804"/>
      <w:bookmarkStart w:id="802" w:name="_Toc412644026"/>
      <w:bookmarkStart w:id="803" w:name="_Toc413916870"/>
      <w:bookmarkStart w:id="804" w:name="_Toc413917012"/>
      <w:bookmarkStart w:id="805" w:name="_Toc413922073"/>
      <w:bookmarkStart w:id="806" w:name="_Toc413922562"/>
      <w:bookmarkStart w:id="807" w:name="_Toc413922666"/>
      <w:bookmarkStart w:id="808" w:name="_Toc414955303"/>
      <w:bookmarkStart w:id="809" w:name="_Toc415214610"/>
      <w:bookmarkStart w:id="810" w:name="_Toc181624997"/>
      <w:r w:rsidRPr="00A34F10">
        <w:lastRenderedPageBreak/>
        <w:t>Effects on soil microbial activity (KCP 10.5)</w:t>
      </w:r>
      <w:bookmarkEnd w:id="800"/>
      <w:bookmarkEnd w:id="801"/>
      <w:bookmarkEnd w:id="802"/>
      <w:bookmarkEnd w:id="803"/>
      <w:bookmarkEnd w:id="804"/>
      <w:bookmarkEnd w:id="805"/>
      <w:bookmarkEnd w:id="806"/>
      <w:bookmarkEnd w:id="807"/>
      <w:bookmarkEnd w:id="808"/>
      <w:bookmarkEnd w:id="809"/>
      <w:bookmarkEnd w:id="810"/>
    </w:p>
    <w:p w14:paraId="74CB9C6A" w14:textId="77777777" w:rsidR="00DC5685" w:rsidRPr="00A34F10" w:rsidRDefault="00DC5685" w:rsidP="00DC5685">
      <w:pPr>
        <w:pStyle w:val="Nagwek3"/>
        <w:rPr>
          <w:rFonts w:cs="Times New Roman"/>
        </w:rPr>
      </w:pPr>
      <w:bookmarkStart w:id="811" w:name="_Toc412644027"/>
      <w:bookmarkStart w:id="812" w:name="_Toc413916871"/>
      <w:bookmarkStart w:id="813" w:name="_Toc413917013"/>
      <w:bookmarkStart w:id="814" w:name="_Toc413922074"/>
      <w:bookmarkStart w:id="815" w:name="_Toc413922563"/>
      <w:bookmarkStart w:id="816" w:name="_Toc413922667"/>
      <w:bookmarkStart w:id="817" w:name="_Toc414955304"/>
      <w:bookmarkStart w:id="818" w:name="_Toc415214611"/>
      <w:bookmarkStart w:id="819" w:name="_Toc181624998"/>
      <w:r w:rsidRPr="00A34F10">
        <w:rPr>
          <w:rFonts w:cs="Times New Roman"/>
        </w:rPr>
        <w:t>Toxicity data</w:t>
      </w:r>
      <w:bookmarkEnd w:id="811"/>
      <w:bookmarkEnd w:id="812"/>
      <w:bookmarkEnd w:id="813"/>
      <w:bookmarkEnd w:id="814"/>
      <w:bookmarkEnd w:id="815"/>
      <w:bookmarkEnd w:id="816"/>
      <w:bookmarkEnd w:id="817"/>
      <w:bookmarkEnd w:id="818"/>
      <w:bookmarkEnd w:id="819"/>
    </w:p>
    <w:p w14:paraId="423C9168" w14:textId="77777777" w:rsidR="00DC5685" w:rsidRPr="00A34F10" w:rsidRDefault="00DC5685" w:rsidP="00DC5685">
      <w:pPr>
        <w:jc w:val="both"/>
      </w:pPr>
      <w:r w:rsidRPr="00A34F10">
        <w:t xml:space="preserve">Studies on effects to soil micro-organisms have been carried out with the active substance Ametoctradin (tested as BAS 655 00 F containing 200 g ametoctradin/L, nominal) and its relevant soil metabolites. </w:t>
      </w:r>
      <w:r w:rsidRPr="00A34F10">
        <w:rPr>
          <w:lang w:val="en-GB"/>
        </w:rPr>
        <w:t xml:space="preserve">No studies </w:t>
      </w:r>
      <w:bookmarkStart w:id="820" w:name="_Hlk133006156"/>
      <w:r w:rsidRPr="00A34F10">
        <w:t>on effects to soil micro-organisms have been carried out with the active substance</w:t>
      </w:r>
      <w:r w:rsidRPr="00A34F10">
        <w:rPr>
          <w:lang w:val="en-GB"/>
        </w:rPr>
        <w:t xml:space="preserve"> Propamocarb-HCL </w:t>
      </w:r>
      <w:bookmarkEnd w:id="820"/>
      <w:r w:rsidRPr="00A34F10">
        <w:rPr>
          <w:lang w:val="en-GB"/>
        </w:rPr>
        <w:t xml:space="preserve">during the EU peer review. For the first Annex I approval of Propamocarb, a study on </w:t>
      </w:r>
      <w:r w:rsidRPr="00A34F10">
        <w:t>effects to soil micro-organisms</w:t>
      </w:r>
      <w:r w:rsidRPr="00A34F10">
        <w:rPr>
          <w:lang w:val="en-GB"/>
        </w:rPr>
        <w:t xml:space="preserve"> was conducted with the representative product Propamocarb-HCL SL722 (analysed content of Propamocarb: 727 g/L) and it was accepted at EU level that effects of the active substance on non-target organisms could be adequately assessed based on the available data on the representative product (EFSA Scientific Report (2006) 78, 1-8).</w:t>
      </w:r>
      <w:r w:rsidRPr="00A34F10">
        <w:t xml:space="preserve"> Full details of these studies are provided in the respective EU DAR and related documents.</w:t>
      </w:r>
    </w:p>
    <w:p w14:paraId="28A32936" w14:textId="77777777" w:rsidR="00DC5685" w:rsidRPr="00A34F10" w:rsidRDefault="00DC5685" w:rsidP="00DC5685">
      <w:pPr>
        <w:jc w:val="both"/>
      </w:pPr>
    </w:p>
    <w:p w14:paraId="1670BBB6" w14:textId="77777777" w:rsidR="00DC5685" w:rsidRPr="00A34F10" w:rsidRDefault="00DC5685" w:rsidP="00DC5685">
      <w:pPr>
        <w:jc w:val="both"/>
      </w:pPr>
      <w:r w:rsidRPr="00A34F10">
        <w:t>An overview of the toxicity endpoints for both active substances and relevant soil metabolites are presented below (see Table 9.9 1 and 9.9-2).</w:t>
      </w:r>
    </w:p>
    <w:p w14:paraId="7DDDE657" w14:textId="77777777" w:rsidR="00DC5685" w:rsidRPr="00A34F10" w:rsidRDefault="00DC5685" w:rsidP="00DC5685">
      <w:pPr>
        <w:jc w:val="both"/>
      </w:pPr>
    </w:p>
    <w:p w14:paraId="44DAA4C5" w14:textId="651AA167" w:rsidR="00DC5685" w:rsidRPr="00A34F10" w:rsidRDefault="00DC5685" w:rsidP="00DC5685">
      <w:pPr>
        <w:widowControl w:val="0"/>
        <w:jc w:val="both"/>
        <w:rPr>
          <w:lang w:val="en-GB"/>
        </w:rPr>
      </w:pPr>
      <w:r w:rsidRPr="00A34F10">
        <w:rPr>
          <w:lang w:val="en-GB"/>
        </w:rPr>
        <w:t xml:space="preserve">Effects on soil micro-organisms of BAS 743 03 F were not evaluated as part of the EU assessment of the active substances. New data submitted with this application are listed in Table 9.9-3 and </w:t>
      </w:r>
      <w:r w:rsidRPr="00A34F10">
        <w:rPr>
          <w:lang w:val="en-GB"/>
        </w:rPr>
        <w:fldChar w:fldCharType="begin"/>
      </w:r>
      <w:r w:rsidRPr="00A34F10">
        <w:rPr>
          <w:lang w:val="en-GB"/>
        </w:rPr>
        <w:instrText xml:space="preserve"> REF _Ref414979066 \r \h  \* MERGEFORMAT </w:instrText>
      </w:r>
      <w:r w:rsidRPr="00A34F10">
        <w:rPr>
          <w:lang w:val="en-GB"/>
        </w:rPr>
      </w:r>
      <w:r w:rsidRPr="00A34F10">
        <w:rPr>
          <w:lang w:val="en-GB"/>
        </w:rPr>
        <w:fldChar w:fldCharType="separate"/>
      </w:r>
      <w:r w:rsidR="006F0F3B">
        <w:rPr>
          <w:lang w:val="en-GB"/>
        </w:rPr>
        <w:t>Appendix 1</w:t>
      </w:r>
      <w:r w:rsidRPr="00A34F10">
        <w:rPr>
          <w:lang w:val="en-GB"/>
        </w:rPr>
        <w:fldChar w:fldCharType="end"/>
      </w:r>
      <w:r w:rsidRPr="00A34F10">
        <w:rPr>
          <w:lang w:val="en-GB"/>
        </w:rPr>
        <w:t xml:space="preserve"> and summarised in </w:t>
      </w:r>
      <w:r w:rsidRPr="00A34F10">
        <w:rPr>
          <w:lang w:val="en-GB"/>
        </w:rPr>
        <w:fldChar w:fldCharType="begin"/>
      </w:r>
      <w:r w:rsidRPr="00A34F10">
        <w:rPr>
          <w:lang w:val="en-GB"/>
        </w:rPr>
        <w:instrText xml:space="preserve"> REF _Ref414970842 \r \h  \* MERGEFORMAT </w:instrText>
      </w:r>
      <w:r w:rsidRPr="00A34F10">
        <w:rPr>
          <w:lang w:val="en-GB"/>
        </w:rPr>
      </w:r>
      <w:r w:rsidRPr="00A34F10">
        <w:rPr>
          <w:lang w:val="en-GB"/>
        </w:rPr>
        <w:fldChar w:fldCharType="separate"/>
      </w:r>
      <w:r w:rsidR="006F0F3B">
        <w:rPr>
          <w:lang w:val="en-GB"/>
        </w:rPr>
        <w:t>Appendix 2</w:t>
      </w:r>
      <w:r w:rsidRPr="00A34F10">
        <w:rPr>
          <w:lang w:val="en-GB"/>
        </w:rPr>
        <w:fldChar w:fldCharType="end"/>
      </w:r>
      <w:r w:rsidRPr="00A34F10">
        <w:rPr>
          <w:lang w:val="en-GB"/>
        </w:rPr>
        <w:t>.</w:t>
      </w:r>
      <w:r w:rsidRPr="00A34F10">
        <w:rPr>
          <w:color w:val="0000FF"/>
          <w:lang w:val="en-GB"/>
        </w:rPr>
        <w:t xml:space="preserve"> </w:t>
      </w:r>
      <w:r w:rsidRPr="00A34F10">
        <w:rPr>
          <w:lang w:val="en-GB"/>
        </w:rPr>
        <w:t>Effects on N-mineralisation</w:t>
      </w:r>
      <w:r w:rsidRPr="00A34F10">
        <w:rPr>
          <w:color w:val="0000FF"/>
          <w:lang w:val="en-GB"/>
        </w:rPr>
        <w:t xml:space="preserve"> </w:t>
      </w:r>
      <w:r w:rsidRPr="00A34F10">
        <w:rPr>
          <w:lang w:val="en-GB"/>
        </w:rPr>
        <w:t xml:space="preserve">of BAS 743 03 F have been tested with the similar formulation BAS 743 02 F (containing 137.1 g/L Ametoctradin and 515.4 g/L Propamocarb-HCl). Since differences in co-formulants and/or their concentration between both formulations are considered minimal, it is assumed that bridging from BAS 743 02 F to BAS 743 03 F is acceptable. For details on the formulation compositions please refer to Part C of this submission. In addition, several ecotoxicological bridging studies have been performed with the formulation BAS 743 03 F on </w:t>
      </w:r>
      <w:r w:rsidRPr="00A34F10">
        <w:t>aquatic invertebrates (</w:t>
      </w:r>
      <w:r w:rsidRPr="00A34F10">
        <w:rPr>
          <w:i/>
          <w:iCs/>
        </w:rPr>
        <w:t>Daphnia magna</w:t>
      </w:r>
      <w:r w:rsidRPr="00A34F10">
        <w:t>, BAS Doc ID 2022/2033730), adult honey bees (</w:t>
      </w:r>
      <w:r w:rsidRPr="00A34F10">
        <w:rPr>
          <w:i/>
        </w:rPr>
        <w:t>Apis mellifera</w:t>
      </w:r>
      <w:r w:rsidRPr="00A34F10">
        <w:t xml:space="preserve">, acute oral and contact, </w:t>
      </w:r>
      <w:r w:rsidR="00482794">
        <w:t>XXXX</w:t>
      </w:r>
      <w:r w:rsidRPr="00A34F10">
        <w:t xml:space="preserve"> Doc ID 2022/2033729), non-target terrestrial arthropods (</w:t>
      </w:r>
      <w:r w:rsidRPr="00A34F10">
        <w:rPr>
          <w:i/>
        </w:rPr>
        <w:t xml:space="preserve">Aphidius rhopalosiphi, </w:t>
      </w:r>
      <w:r w:rsidR="00482794">
        <w:t>XXXX</w:t>
      </w:r>
      <w:r w:rsidRPr="00A34F10">
        <w:t xml:space="preserve"> Doc ID 2022/2033732) and </w:t>
      </w:r>
      <w:r w:rsidRPr="00A34F10">
        <w:rPr>
          <w:lang w:val="en-GB"/>
        </w:rPr>
        <w:t>chronic earthworms (</w:t>
      </w:r>
      <w:r w:rsidRPr="00A34F10">
        <w:rPr>
          <w:i/>
          <w:iCs/>
          <w:lang w:val="en-GB"/>
        </w:rPr>
        <w:t>Eisenia fetida</w:t>
      </w:r>
      <w:r w:rsidRPr="00A34F10">
        <w:rPr>
          <w:lang w:val="en-GB"/>
        </w:rPr>
        <w:t xml:space="preserve">, </w:t>
      </w:r>
      <w:r w:rsidR="00482794">
        <w:rPr>
          <w:lang w:val="en-GB"/>
        </w:rPr>
        <w:t>XXXX</w:t>
      </w:r>
      <w:r w:rsidRPr="00A34F10">
        <w:rPr>
          <w:lang w:val="en-GB"/>
        </w:rPr>
        <w:t xml:space="preserve"> Doc ID 2022/2033731) indicating no increased toxicity of BAS 743 03 F compared to BAS 743 02 F based on the content of active substance.</w:t>
      </w:r>
    </w:p>
    <w:p w14:paraId="62D95B7E" w14:textId="77777777" w:rsidR="00D70666" w:rsidRPr="00A34F10" w:rsidRDefault="00D70666" w:rsidP="00DC5685">
      <w:pPr>
        <w:widowControl w:val="0"/>
        <w:jc w:val="both"/>
        <w:rPr>
          <w:lang w:val="en-GB"/>
        </w:rPr>
      </w:pPr>
    </w:p>
    <w:p w14:paraId="1B90207D" w14:textId="40C6C6BA" w:rsidR="00DC5685" w:rsidRPr="00A34F10" w:rsidRDefault="00DC5685" w:rsidP="00DC5685">
      <w:pPr>
        <w:pStyle w:val="RepLabel"/>
        <w:jc w:val="both"/>
      </w:pPr>
      <w:bookmarkStart w:id="821" w:name="_Ref441745857"/>
      <w:bookmarkStart w:id="822" w:name="_Hlk39492178"/>
      <w:r w:rsidRPr="00A34F10">
        <w:t xml:space="preserve">Table </w:t>
      </w:r>
      <w:fldSimple w:instr=" STYLEREF 2 \s ">
        <w:r w:rsidR="006F0F3B">
          <w:rPr>
            <w:noProof/>
          </w:rPr>
          <w:t>9.9</w:t>
        </w:r>
      </w:fldSimple>
      <w:r w:rsidR="007E7467">
        <w:noBreakHyphen/>
      </w:r>
      <w:fldSimple w:instr=" SEQ Table \* ARABIC \s 2 ">
        <w:r w:rsidR="006F0F3B">
          <w:rPr>
            <w:noProof/>
          </w:rPr>
          <w:t>1</w:t>
        </w:r>
      </w:fldSimple>
      <w:bookmarkEnd w:id="821"/>
      <w:r w:rsidRPr="00A34F10">
        <w:t>:</w:t>
      </w:r>
      <w:r w:rsidRPr="00A34F10">
        <w:tab/>
        <w:t xml:space="preserve">Endpoints and effect values of ametoctradin (tested as BAS 650 00 F) and relevant soil metabolites relevant for the risk assessment </w:t>
      </w:r>
      <w:bookmarkStart w:id="823" w:name="_Hlk39448145"/>
      <w:r w:rsidRPr="00A34F10">
        <w:t>for soil micro-organisms</w:t>
      </w:r>
      <w:bookmarkEnd w:id="822"/>
      <w:bookmarkEnd w:id="8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645"/>
        <w:gridCol w:w="2093"/>
        <w:gridCol w:w="1869"/>
      </w:tblGrid>
      <w:tr w:rsidR="00DC5685" w:rsidRPr="00A34F10" w14:paraId="38CA2D11" w14:textId="77777777" w:rsidTr="000470C3">
        <w:trPr>
          <w:tblHeader/>
        </w:trPr>
        <w:tc>
          <w:tcPr>
            <w:tcW w:w="1000" w:type="pct"/>
            <w:shd w:val="clear" w:color="auto" w:fill="auto"/>
          </w:tcPr>
          <w:p w14:paraId="033B1DBA" w14:textId="77777777" w:rsidR="00DC5685" w:rsidRPr="00A34F10" w:rsidRDefault="00DC5685" w:rsidP="000470C3">
            <w:pPr>
              <w:pStyle w:val="RepTableHeader"/>
              <w:keepNext w:val="0"/>
              <w:keepLines w:val="0"/>
            </w:pPr>
            <w:r w:rsidRPr="00A34F10">
              <w:t>Endpoint</w:t>
            </w:r>
          </w:p>
        </w:tc>
        <w:tc>
          <w:tcPr>
            <w:tcW w:w="1000" w:type="pct"/>
            <w:shd w:val="clear" w:color="auto" w:fill="auto"/>
          </w:tcPr>
          <w:p w14:paraId="0DF01289" w14:textId="77777777" w:rsidR="00DC5685" w:rsidRPr="00A34F10" w:rsidRDefault="00DC5685" w:rsidP="000470C3">
            <w:pPr>
              <w:pStyle w:val="RepTableHeader"/>
              <w:keepNext w:val="0"/>
              <w:keepLines w:val="0"/>
            </w:pPr>
            <w:r w:rsidRPr="00A34F10">
              <w:t>Substance</w:t>
            </w:r>
          </w:p>
        </w:tc>
        <w:tc>
          <w:tcPr>
            <w:tcW w:w="880" w:type="pct"/>
            <w:shd w:val="clear" w:color="auto" w:fill="auto"/>
          </w:tcPr>
          <w:p w14:paraId="4E03BA75" w14:textId="77777777" w:rsidR="00DC5685" w:rsidRPr="00A34F10" w:rsidRDefault="00DC5685" w:rsidP="000470C3">
            <w:pPr>
              <w:pStyle w:val="RepTableHeader"/>
              <w:keepNext w:val="0"/>
              <w:keepLines w:val="0"/>
            </w:pPr>
            <w:r w:rsidRPr="00A34F10">
              <w:t>Exposure System</w:t>
            </w:r>
          </w:p>
        </w:tc>
        <w:tc>
          <w:tcPr>
            <w:tcW w:w="1120" w:type="pct"/>
            <w:shd w:val="clear" w:color="auto" w:fill="auto"/>
          </w:tcPr>
          <w:p w14:paraId="0014FD30" w14:textId="77777777" w:rsidR="00DC5685" w:rsidRPr="00A34F10" w:rsidRDefault="00DC5685" w:rsidP="000470C3">
            <w:pPr>
              <w:pStyle w:val="RepTableHeader"/>
              <w:keepNext w:val="0"/>
              <w:keepLines w:val="0"/>
            </w:pPr>
            <w:r w:rsidRPr="00A34F10">
              <w:t>Results</w:t>
            </w:r>
          </w:p>
        </w:tc>
        <w:tc>
          <w:tcPr>
            <w:tcW w:w="1000" w:type="pct"/>
            <w:shd w:val="clear" w:color="auto" w:fill="auto"/>
          </w:tcPr>
          <w:p w14:paraId="4041D661" w14:textId="77777777" w:rsidR="00DC5685" w:rsidRPr="00A34F10" w:rsidRDefault="00DC5685" w:rsidP="000470C3">
            <w:pPr>
              <w:pStyle w:val="RepTableHeader"/>
              <w:keepNext w:val="0"/>
              <w:keepLines w:val="0"/>
            </w:pPr>
            <w:r w:rsidRPr="00A34F10">
              <w:t>Reference</w:t>
            </w:r>
          </w:p>
        </w:tc>
      </w:tr>
      <w:tr w:rsidR="00DC5685" w:rsidRPr="00A34F10" w14:paraId="0B46BFDC" w14:textId="77777777" w:rsidTr="000470C3">
        <w:tc>
          <w:tcPr>
            <w:tcW w:w="1000" w:type="pct"/>
            <w:vMerge w:val="restart"/>
            <w:shd w:val="clear" w:color="auto" w:fill="auto"/>
          </w:tcPr>
          <w:p w14:paraId="3F2FC6E2" w14:textId="77777777" w:rsidR="00DC5685" w:rsidRPr="00A34F10" w:rsidRDefault="00DC5685" w:rsidP="000470C3">
            <w:pPr>
              <w:pStyle w:val="RepTable"/>
              <w:rPr>
                <w:noProof w:val="0"/>
              </w:rPr>
            </w:pPr>
            <w:r w:rsidRPr="00A34F10">
              <w:rPr>
                <w:noProof w:val="0"/>
              </w:rPr>
              <w:t>N-mineralisation</w:t>
            </w:r>
          </w:p>
        </w:tc>
        <w:tc>
          <w:tcPr>
            <w:tcW w:w="1000" w:type="pct"/>
            <w:shd w:val="clear" w:color="auto" w:fill="auto"/>
          </w:tcPr>
          <w:p w14:paraId="26EDA08C" w14:textId="77777777" w:rsidR="00DC5685" w:rsidRPr="00A34F10" w:rsidRDefault="00DC5685" w:rsidP="000470C3">
            <w:pPr>
              <w:pStyle w:val="RepTable"/>
              <w:rPr>
                <w:noProof w:val="0"/>
              </w:rPr>
            </w:pPr>
            <w:r w:rsidRPr="00A34F10">
              <w:rPr>
                <w:noProof w:val="0"/>
              </w:rPr>
              <w:t>Ametoctradin</w:t>
            </w:r>
            <w:r w:rsidRPr="00A34F10">
              <w:rPr>
                <w:noProof w:val="0"/>
              </w:rPr>
              <w:br/>
              <w:t>(tested as BAS 650 00 F)</w:t>
            </w:r>
          </w:p>
        </w:tc>
        <w:tc>
          <w:tcPr>
            <w:tcW w:w="880" w:type="pct"/>
            <w:shd w:val="clear" w:color="auto" w:fill="auto"/>
          </w:tcPr>
          <w:p w14:paraId="0534E98A" w14:textId="77777777" w:rsidR="00DC5685" w:rsidRPr="00A34F10" w:rsidRDefault="00DC5685" w:rsidP="000470C3">
            <w:pPr>
              <w:pStyle w:val="RepTable"/>
              <w:rPr>
                <w:noProof w:val="0"/>
              </w:rPr>
            </w:pPr>
            <w:r w:rsidRPr="00A34F10">
              <w:rPr>
                <w:noProof w:val="0"/>
              </w:rPr>
              <w:t>28 d, aerobic</w:t>
            </w:r>
            <w:r w:rsidRPr="00A34F10">
              <w:rPr>
                <w:noProof w:val="0"/>
              </w:rPr>
              <w:br/>
              <w:t>loamy sand</w:t>
            </w:r>
          </w:p>
        </w:tc>
        <w:tc>
          <w:tcPr>
            <w:tcW w:w="1120" w:type="pct"/>
            <w:shd w:val="clear" w:color="auto" w:fill="auto"/>
          </w:tcPr>
          <w:p w14:paraId="59EFFBF8" w14:textId="77777777" w:rsidR="00DC5685" w:rsidRPr="00A34F10" w:rsidRDefault="00DC5685" w:rsidP="000470C3">
            <w:pPr>
              <w:pStyle w:val="RepTable"/>
              <w:rPr>
                <w:noProof w:val="0"/>
              </w:rPr>
            </w:pPr>
            <w:r w:rsidRPr="00A34F10">
              <w:rPr>
                <w:noProof w:val="0"/>
              </w:rPr>
              <w:t>Nitrate formation rate</w:t>
            </w:r>
            <w:r w:rsidRPr="00A34F10">
              <w:rPr>
                <w:noProof w:val="0"/>
              </w:rPr>
              <w:br/>
              <w:t>3.84 mg a.s./kg dry soil</w:t>
            </w:r>
            <w:r w:rsidRPr="00A34F10">
              <w:rPr>
                <w:noProof w:val="0"/>
              </w:rPr>
              <w:br/>
              <w:t>0.7%</w:t>
            </w:r>
          </w:p>
        </w:tc>
        <w:tc>
          <w:tcPr>
            <w:tcW w:w="1000" w:type="pct"/>
            <w:shd w:val="clear" w:color="auto" w:fill="auto"/>
          </w:tcPr>
          <w:p w14:paraId="66A232B5" w14:textId="77777777" w:rsidR="00DC5685" w:rsidRPr="00A34F10" w:rsidRDefault="00DC5685" w:rsidP="000470C3">
            <w:pPr>
              <w:pStyle w:val="RepTable"/>
              <w:rPr>
                <w:noProof w:val="0"/>
              </w:rPr>
            </w:pPr>
            <w:r w:rsidRPr="00A34F10">
              <w:rPr>
                <w:noProof w:val="0"/>
              </w:rPr>
              <w:t>EFSA Journal 2012;10(11):2921</w:t>
            </w:r>
          </w:p>
          <w:p w14:paraId="77802CE2" w14:textId="77777777" w:rsidR="00DC5685" w:rsidRPr="00A34F10" w:rsidRDefault="00DC5685" w:rsidP="000470C3">
            <w:pPr>
              <w:pStyle w:val="RepTable"/>
              <w:rPr>
                <w:noProof w:val="0"/>
              </w:rPr>
            </w:pPr>
            <w:r w:rsidRPr="00A34F10">
              <w:rPr>
                <w:noProof w:val="0"/>
              </w:rPr>
              <w:t xml:space="preserve">2006/1026123 </w:t>
            </w:r>
            <w:r w:rsidRPr="00A34F10">
              <w:rPr>
                <w:noProof w:val="0"/>
              </w:rPr>
              <w:br/>
              <w:t>+ 2009/1075782</w:t>
            </w:r>
          </w:p>
        </w:tc>
      </w:tr>
      <w:tr w:rsidR="00DC5685" w:rsidRPr="00A34F10" w14:paraId="42D3493A" w14:textId="77777777" w:rsidTr="000470C3">
        <w:tc>
          <w:tcPr>
            <w:tcW w:w="1000" w:type="pct"/>
            <w:vMerge/>
            <w:shd w:val="clear" w:color="auto" w:fill="auto"/>
          </w:tcPr>
          <w:p w14:paraId="343B01D0" w14:textId="77777777" w:rsidR="00DC5685" w:rsidRPr="00A34F10" w:rsidRDefault="00DC5685" w:rsidP="000470C3">
            <w:pPr>
              <w:pStyle w:val="RepTable"/>
              <w:rPr>
                <w:noProof w:val="0"/>
              </w:rPr>
            </w:pPr>
          </w:p>
        </w:tc>
        <w:tc>
          <w:tcPr>
            <w:tcW w:w="1000" w:type="pct"/>
            <w:shd w:val="clear" w:color="auto" w:fill="auto"/>
          </w:tcPr>
          <w:p w14:paraId="56C14674" w14:textId="77777777" w:rsidR="00DC5685" w:rsidRPr="00A34F10" w:rsidRDefault="00DC5685" w:rsidP="000470C3">
            <w:pPr>
              <w:pStyle w:val="RepTable"/>
              <w:rPr>
                <w:noProof w:val="0"/>
              </w:rPr>
            </w:pPr>
            <w:r w:rsidRPr="00A34F10">
              <w:rPr>
                <w:noProof w:val="0"/>
              </w:rPr>
              <w:t>M650F03</w:t>
            </w:r>
            <w:r w:rsidRPr="00A34F10">
              <w:rPr>
                <w:noProof w:val="0"/>
              </w:rPr>
              <w:br/>
              <w:t>Reg. no. 5 178 870</w:t>
            </w:r>
          </w:p>
        </w:tc>
        <w:tc>
          <w:tcPr>
            <w:tcW w:w="880" w:type="pct"/>
            <w:shd w:val="clear" w:color="auto" w:fill="auto"/>
          </w:tcPr>
          <w:p w14:paraId="4FB8AB54" w14:textId="77777777" w:rsidR="00DC5685" w:rsidRPr="00A34F10" w:rsidRDefault="00DC5685" w:rsidP="000470C3">
            <w:pPr>
              <w:pStyle w:val="RepTable"/>
              <w:rPr>
                <w:noProof w:val="0"/>
              </w:rPr>
            </w:pPr>
            <w:r w:rsidRPr="00A34F10">
              <w:rPr>
                <w:noProof w:val="0"/>
              </w:rPr>
              <w:t>28 d, aerobic</w:t>
            </w:r>
            <w:r w:rsidRPr="00A34F10">
              <w:rPr>
                <w:noProof w:val="0"/>
              </w:rPr>
              <w:br/>
              <w:t>sandy loam</w:t>
            </w:r>
          </w:p>
        </w:tc>
        <w:tc>
          <w:tcPr>
            <w:tcW w:w="1120" w:type="pct"/>
            <w:shd w:val="clear" w:color="auto" w:fill="auto"/>
          </w:tcPr>
          <w:p w14:paraId="7A919186" w14:textId="77777777" w:rsidR="00DC5685" w:rsidRPr="00A34F10" w:rsidRDefault="00DC5685" w:rsidP="000470C3">
            <w:pPr>
              <w:pStyle w:val="RepTable"/>
              <w:rPr>
                <w:noProof w:val="0"/>
              </w:rPr>
            </w:pPr>
            <w:r w:rsidRPr="00A34F10">
              <w:rPr>
                <w:noProof w:val="0"/>
              </w:rPr>
              <w:t>Nitrate formation rate</w:t>
            </w:r>
            <w:r w:rsidRPr="00A34F10">
              <w:rPr>
                <w:noProof w:val="0"/>
              </w:rPr>
              <w:br/>
              <w:t>8.02 mg/kg dry soil</w:t>
            </w:r>
            <w:r w:rsidRPr="00A34F10">
              <w:rPr>
                <w:noProof w:val="0"/>
              </w:rPr>
              <w:br/>
              <w:t>-2.7%</w:t>
            </w:r>
          </w:p>
        </w:tc>
        <w:tc>
          <w:tcPr>
            <w:tcW w:w="1000" w:type="pct"/>
            <w:shd w:val="clear" w:color="auto" w:fill="auto"/>
          </w:tcPr>
          <w:p w14:paraId="3D88C3FB" w14:textId="77777777" w:rsidR="00DC5685" w:rsidRPr="00A34F10" w:rsidRDefault="00DC5685" w:rsidP="000470C3">
            <w:pPr>
              <w:pStyle w:val="RepTable"/>
              <w:rPr>
                <w:noProof w:val="0"/>
              </w:rPr>
            </w:pPr>
            <w:r w:rsidRPr="00A34F10">
              <w:rPr>
                <w:noProof w:val="0"/>
              </w:rPr>
              <w:t xml:space="preserve">EFSA Journal 2012;10(11):2921 2008/1033292 </w:t>
            </w:r>
            <w:r w:rsidRPr="00A34F10">
              <w:rPr>
                <w:noProof w:val="0"/>
              </w:rPr>
              <w:br/>
              <w:t>+ 2009/1075790</w:t>
            </w:r>
          </w:p>
        </w:tc>
      </w:tr>
      <w:tr w:rsidR="00DC5685" w:rsidRPr="00A34F10" w14:paraId="6DCB5CD0" w14:textId="77777777" w:rsidTr="000470C3">
        <w:tc>
          <w:tcPr>
            <w:tcW w:w="1000" w:type="pct"/>
            <w:vMerge/>
            <w:shd w:val="clear" w:color="auto" w:fill="auto"/>
          </w:tcPr>
          <w:p w14:paraId="3EAD1621" w14:textId="77777777" w:rsidR="00DC5685" w:rsidRPr="00A34F10" w:rsidRDefault="00DC5685" w:rsidP="000470C3">
            <w:pPr>
              <w:pStyle w:val="RepTable"/>
              <w:rPr>
                <w:noProof w:val="0"/>
              </w:rPr>
            </w:pPr>
          </w:p>
        </w:tc>
        <w:tc>
          <w:tcPr>
            <w:tcW w:w="1000" w:type="pct"/>
            <w:shd w:val="clear" w:color="auto" w:fill="auto"/>
          </w:tcPr>
          <w:p w14:paraId="1136C496" w14:textId="77777777" w:rsidR="00DC5685" w:rsidRPr="00A34F10" w:rsidRDefault="00DC5685" w:rsidP="000470C3">
            <w:pPr>
              <w:pStyle w:val="RepTable"/>
              <w:rPr>
                <w:noProof w:val="0"/>
              </w:rPr>
            </w:pPr>
            <w:r w:rsidRPr="00A34F10">
              <w:rPr>
                <w:noProof w:val="0"/>
              </w:rPr>
              <w:t>M650F04</w:t>
            </w:r>
            <w:r w:rsidRPr="00A34F10">
              <w:rPr>
                <w:noProof w:val="0"/>
              </w:rPr>
              <w:br/>
              <w:t>Reg. no. 5 211 623</w:t>
            </w:r>
          </w:p>
        </w:tc>
        <w:tc>
          <w:tcPr>
            <w:tcW w:w="880" w:type="pct"/>
            <w:shd w:val="clear" w:color="auto" w:fill="auto"/>
          </w:tcPr>
          <w:p w14:paraId="7D2064BD" w14:textId="77777777" w:rsidR="00DC5685" w:rsidRPr="00A34F10" w:rsidRDefault="00DC5685" w:rsidP="000470C3">
            <w:pPr>
              <w:pStyle w:val="RepTable"/>
              <w:rPr>
                <w:noProof w:val="0"/>
              </w:rPr>
            </w:pPr>
            <w:r w:rsidRPr="00A34F10">
              <w:rPr>
                <w:noProof w:val="0"/>
              </w:rPr>
              <w:t>28 d, aerobic</w:t>
            </w:r>
            <w:r w:rsidRPr="00A34F10">
              <w:rPr>
                <w:noProof w:val="0"/>
              </w:rPr>
              <w:br/>
              <w:t>sandy loam</w:t>
            </w:r>
          </w:p>
        </w:tc>
        <w:tc>
          <w:tcPr>
            <w:tcW w:w="1120" w:type="pct"/>
            <w:shd w:val="clear" w:color="auto" w:fill="auto"/>
          </w:tcPr>
          <w:p w14:paraId="5EC593FB" w14:textId="77777777" w:rsidR="00DC5685" w:rsidRPr="00A34F10" w:rsidRDefault="00DC5685" w:rsidP="000470C3">
            <w:pPr>
              <w:pStyle w:val="RepTable"/>
              <w:rPr>
                <w:noProof w:val="0"/>
              </w:rPr>
            </w:pPr>
            <w:r w:rsidRPr="00A34F10">
              <w:rPr>
                <w:noProof w:val="0"/>
              </w:rPr>
              <w:t>Nitrate formation rate</w:t>
            </w:r>
            <w:r w:rsidRPr="00A34F10">
              <w:rPr>
                <w:noProof w:val="0"/>
              </w:rPr>
              <w:br/>
              <w:t>13.4 mg/kg dry soil</w:t>
            </w:r>
            <w:r w:rsidRPr="00A34F10">
              <w:rPr>
                <w:noProof w:val="0"/>
              </w:rPr>
              <w:br/>
              <w:t>4.6%</w:t>
            </w:r>
          </w:p>
        </w:tc>
        <w:tc>
          <w:tcPr>
            <w:tcW w:w="1000" w:type="pct"/>
            <w:shd w:val="clear" w:color="auto" w:fill="auto"/>
          </w:tcPr>
          <w:p w14:paraId="5CCADE9F" w14:textId="77777777" w:rsidR="00DC5685" w:rsidRPr="00A34F10" w:rsidRDefault="00DC5685" w:rsidP="000470C3">
            <w:pPr>
              <w:pStyle w:val="RepTable"/>
              <w:rPr>
                <w:noProof w:val="0"/>
              </w:rPr>
            </w:pPr>
            <w:r w:rsidRPr="00A34F10">
              <w:rPr>
                <w:noProof w:val="0"/>
              </w:rPr>
              <w:t>EFSA Journal 2012;10(11):2921</w:t>
            </w:r>
            <w:r w:rsidRPr="00A34F10">
              <w:rPr>
                <w:noProof w:val="0"/>
              </w:rPr>
              <w:br/>
              <w:t>2008/1033293 + 2009/1075792</w:t>
            </w:r>
          </w:p>
        </w:tc>
      </w:tr>
    </w:tbl>
    <w:p w14:paraId="2DB49CB6" w14:textId="77777777" w:rsidR="00DC5685" w:rsidRPr="00A34F10" w:rsidRDefault="00DC5685" w:rsidP="00DC5685">
      <w:pPr>
        <w:pStyle w:val="RepStandard"/>
      </w:pPr>
    </w:p>
    <w:p w14:paraId="04ECC36B" w14:textId="77777777" w:rsidR="00DC5685" w:rsidRPr="00A34F10" w:rsidRDefault="00DC5685" w:rsidP="00DC5685">
      <w:pPr>
        <w:pStyle w:val="RepStandard"/>
        <w:ind w:left="1871" w:hanging="1871"/>
        <w:rPr>
          <w:b/>
          <w:bCs/>
        </w:rPr>
        <w:sectPr w:rsidR="00DC5685" w:rsidRPr="00A34F10" w:rsidSect="004E5767">
          <w:pgSz w:w="11907" w:h="16840" w:code="9"/>
          <w:pgMar w:top="1418" w:right="1134" w:bottom="1418" w:left="1418" w:header="709" w:footer="709" w:gutter="0"/>
          <w:cols w:space="720"/>
        </w:sectPr>
      </w:pPr>
    </w:p>
    <w:p w14:paraId="0A11966C" w14:textId="5E8AD77F" w:rsidR="00DC5685" w:rsidRPr="00A34F10" w:rsidRDefault="00DC5685" w:rsidP="00DC5685">
      <w:pPr>
        <w:pStyle w:val="RepStandard"/>
        <w:ind w:left="1871" w:hanging="1871"/>
        <w:rPr>
          <w:b/>
          <w:bCs/>
        </w:rPr>
      </w:pPr>
      <w:r w:rsidRPr="00A34F10">
        <w:rPr>
          <w:b/>
          <w:bCs/>
        </w:rPr>
        <w:lastRenderedPageBreak/>
        <w:t xml:space="preserve">Table </w:t>
      </w:r>
      <w:r w:rsidRPr="00A34F10">
        <w:rPr>
          <w:b/>
          <w:bCs/>
        </w:rPr>
        <w:fldChar w:fldCharType="begin"/>
      </w:r>
      <w:r w:rsidRPr="00A34F10">
        <w:rPr>
          <w:b/>
          <w:bCs/>
        </w:rPr>
        <w:instrText xml:space="preserve"> STYLEREF 2 \s </w:instrText>
      </w:r>
      <w:r w:rsidRPr="00A34F10">
        <w:rPr>
          <w:b/>
          <w:bCs/>
        </w:rPr>
        <w:fldChar w:fldCharType="separate"/>
      </w:r>
      <w:r w:rsidR="006F0F3B">
        <w:rPr>
          <w:b/>
          <w:bCs/>
          <w:noProof/>
        </w:rPr>
        <w:t>9.9</w:t>
      </w:r>
      <w:r w:rsidRPr="00A34F10">
        <w:rPr>
          <w:b/>
          <w:bCs/>
        </w:rPr>
        <w:fldChar w:fldCharType="end"/>
      </w:r>
      <w:r w:rsidRPr="00A34F10">
        <w:rPr>
          <w:b/>
          <w:bCs/>
        </w:rPr>
        <w:noBreakHyphen/>
        <w:t>2:</w:t>
      </w:r>
      <w:r w:rsidRPr="00A34F10">
        <w:rPr>
          <w:b/>
          <w:bCs/>
        </w:rPr>
        <w:tab/>
        <w:t>Endpoints and effect values of Propamocarb-HCL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645"/>
        <w:gridCol w:w="2093"/>
        <w:gridCol w:w="1869"/>
      </w:tblGrid>
      <w:tr w:rsidR="00DC5685" w:rsidRPr="00A34F10" w14:paraId="1ED28246" w14:textId="77777777" w:rsidTr="000470C3">
        <w:trPr>
          <w:tblHeader/>
        </w:trPr>
        <w:tc>
          <w:tcPr>
            <w:tcW w:w="1000" w:type="pct"/>
            <w:shd w:val="clear" w:color="auto" w:fill="auto"/>
          </w:tcPr>
          <w:p w14:paraId="5FC469B3" w14:textId="77777777" w:rsidR="00DC5685" w:rsidRPr="00A34F10" w:rsidRDefault="00DC5685" w:rsidP="000470C3">
            <w:pPr>
              <w:pStyle w:val="RepTableHeader"/>
              <w:keepNext w:val="0"/>
              <w:keepLines w:val="0"/>
            </w:pPr>
            <w:r w:rsidRPr="00A34F10">
              <w:t>Endpoint</w:t>
            </w:r>
          </w:p>
        </w:tc>
        <w:tc>
          <w:tcPr>
            <w:tcW w:w="1000" w:type="pct"/>
            <w:shd w:val="clear" w:color="auto" w:fill="auto"/>
          </w:tcPr>
          <w:p w14:paraId="0D17E846" w14:textId="77777777" w:rsidR="00DC5685" w:rsidRPr="00A34F10" w:rsidRDefault="00DC5685" w:rsidP="000470C3">
            <w:pPr>
              <w:pStyle w:val="RepTableHeader"/>
              <w:keepNext w:val="0"/>
              <w:keepLines w:val="0"/>
            </w:pPr>
            <w:r w:rsidRPr="00A34F10">
              <w:t>Substance</w:t>
            </w:r>
          </w:p>
        </w:tc>
        <w:tc>
          <w:tcPr>
            <w:tcW w:w="880" w:type="pct"/>
            <w:shd w:val="clear" w:color="auto" w:fill="auto"/>
          </w:tcPr>
          <w:p w14:paraId="69367CA6" w14:textId="77777777" w:rsidR="00DC5685" w:rsidRPr="00A34F10" w:rsidRDefault="00DC5685" w:rsidP="000470C3">
            <w:pPr>
              <w:pStyle w:val="RepTableHeader"/>
              <w:keepNext w:val="0"/>
              <w:keepLines w:val="0"/>
            </w:pPr>
            <w:r w:rsidRPr="00A34F10">
              <w:t>Exposure System</w:t>
            </w:r>
          </w:p>
        </w:tc>
        <w:tc>
          <w:tcPr>
            <w:tcW w:w="1120" w:type="pct"/>
            <w:shd w:val="clear" w:color="auto" w:fill="auto"/>
          </w:tcPr>
          <w:p w14:paraId="6A58E77C" w14:textId="77777777" w:rsidR="00DC5685" w:rsidRPr="00A34F10" w:rsidRDefault="00DC5685" w:rsidP="000470C3">
            <w:pPr>
              <w:pStyle w:val="RepTableHeader"/>
              <w:keepNext w:val="0"/>
              <w:keepLines w:val="0"/>
            </w:pPr>
            <w:r w:rsidRPr="00A34F10">
              <w:t>Results</w:t>
            </w:r>
          </w:p>
        </w:tc>
        <w:tc>
          <w:tcPr>
            <w:tcW w:w="1000" w:type="pct"/>
            <w:shd w:val="clear" w:color="auto" w:fill="auto"/>
          </w:tcPr>
          <w:p w14:paraId="6FB57190" w14:textId="77777777" w:rsidR="00DC5685" w:rsidRPr="00A34F10" w:rsidRDefault="00DC5685" w:rsidP="000470C3">
            <w:pPr>
              <w:pStyle w:val="RepTableHeader"/>
              <w:keepNext w:val="0"/>
              <w:keepLines w:val="0"/>
            </w:pPr>
            <w:r w:rsidRPr="00A34F10">
              <w:t>Reference</w:t>
            </w:r>
          </w:p>
        </w:tc>
      </w:tr>
      <w:tr w:rsidR="00DC5685" w:rsidRPr="00A34F10" w14:paraId="7BFC4CE2" w14:textId="77777777" w:rsidTr="000470C3">
        <w:tc>
          <w:tcPr>
            <w:tcW w:w="1000" w:type="pct"/>
            <w:shd w:val="clear" w:color="auto" w:fill="auto"/>
          </w:tcPr>
          <w:p w14:paraId="0CDC6CB5" w14:textId="77777777" w:rsidR="00DC5685" w:rsidRPr="00A34F10" w:rsidRDefault="00DC5685" w:rsidP="000470C3">
            <w:pPr>
              <w:pStyle w:val="RepTable"/>
              <w:rPr>
                <w:noProof w:val="0"/>
              </w:rPr>
            </w:pPr>
            <w:r w:rsidRPr="00A34F10">
              <w:rPr>
                <w:noProof w:val="0"/>
              </w:rPr>
              <w:t>N-mineralisation</w:t>
            </w:r>
          </w:p>
        </w:tc>
        <w:tc>
          <w:tcPr>
            <w:tcW w:w="1000" w:type="pct"/>
            <w:shd w:val="clear" w:color="auto" w:fill="auto"/>
          </w:tcPr>
          <w:p w14:paraId="7F4314D9" w14:textId="77777777" w:rsidR="00DC5685" w:rsidRPr="00A34F10" w:rsidRDefault="00DC5685" w:rsidP="000470C3">
            <w:pPr>
              <w:pStyle w:val="RepTable"/>
              <w:rPr>
                <w:noProof w:val="0"/>
              </w:rPr>
            </w:pPr>
            <w:r w:rsidRPr="00A34F10">
              <w:rPr>
                <w:noProof w:val="0"/>
              </w:rPr>
              <w:t>Propamocarb</w:t>
            </w:r>
            <w:r w:rsidRPr="00A34F10">
              <w:rPr>
                <w:noProof w:val="0"/>
              </w:rPr>
              <w:br/>
              <w:t>(tested as Propamocarb-HCl SL 722)</w:t>
            </w:r>
          </w:p>
        </w:tc>
        <w:tc>
          <w:tcPr>
            <w:tcW w:w="880" w:type="pct"/>
            <w:shd w:val="clear" w:color="auto" w:fill="auto"/>
          </w:tcPr>
          <w:p w14:paraId="4B83B268" w14:textId="77777777" w:rsidR="00DC5685" w:rsidRPr="00A34F10" w:rsidRDefault="00DC5685" w:rsidP="000470C3">
            <w:pPr>
              <w:pStyle w:val="RepTable"/>
              <w:rPr>
                <w:noProof w:val="0"/>
              </w:rPr>
            </w:pPr>
            <w:r w:rsidRPr="00A34F10">
              <w:rPr>
                <w:noProof w:val="0"/>
              </w:rPr>
              <w:t>28 d</w:t>
            </w:r>
          </w:p>
        </w:tc>
        <w:tc>
          <w:tcPr>
            <w:tcW w:w="1120" w:type="pct"/>
            <w:shd w:val="clear" w:color="auto" w:fill="auto"/>
          </w:tcPr>
          <w:p w14:paraId="16601713" w14:textId="77777777" w:rsidR="00DC5685" w:rsidRPr="00A34F10" w:rsidRDefault="00DC5685" w:rsidP="000470C3">
            <w:pPr>
              <w:pStyle w:val="RepTable"/>
              <w:rPr>
                <w:noProof w:val="0"/>
              </w:rPr>
            </w:pPr>
            <w:r w:rsidRPr="00A34F10">
              <w:rPr>
                <w:noProof w:val="0"/>
              </w:rPr>
              <w:t xml:space="preserve">No adverse effects </w:t>
            </w:r>
          </w:p>
          <w:p w14:paraId="7F61FED4" w14:textId="77777777" w:rsidR="00DC5685" w:rsidRPr="00A34F10" w:rsidRDefault="00DC5685" w:rsidP="000470C3">
            <w:pPr>
              <w:pStyle w:val="RepTable"/>
              <w:rPr>
                <w:noProof w:val="0"/>
              </w:rPr>
            </w:pPr>
            <w:r w:rsidRPr="00A34F10">
              <w:rPr>
                <w:noProof w:val="0"/>
              </w:rPr>
              <w:t>≥ 28.9 mg a.s./kg dws</w:t>
            </w:r>
          </w:p>
        </w:tc>
        <w:tc>
          <w:tcPr>
            <w:tcW w:w="1000" w:type="pct"/>
            <w:shd w:val="clear" w:color="auto" w:fill="auto"/>
          </w:tcPr>
          <w:p w14:paraId="6D79FD6E" w14:textId="77777777" w:rsidR="00DC5685" w:rsidRPr="00A34F10" w:rsidRDefault="00DC5685" w:rsidP="000470C3">
            <w:pPr>
              <w:pStyle w:val="RepTable"/>
              <w:rPr>
                <w:noProof w:val="0"/>
              </w:rPr>
            </w:pPr>
            <w:r w:rsidRPr="00A34F10">
              <w:t>EFSA Scientific Report (2006)</w:t>
            </w:r>
          </w:p>
        </w:tc>
      </w:tr>
    </w:tbl>
    <w:p w14:paraId="1CE1B673" w14:textId="77777777" w:rsidR="00523C07" w:rsidRPr="00A34F10" w:rsidRDefault="00523C07" w:rsidP="00DC5685">
      <w:pPr>
        <w:pStyle w:val="RepStandard"/>
      </w:pPr>
    </w:p>
    <w:p w14:paraId="40EAD839" w14:textId="77777777" w:rsidR="00DC5685" w:rsidRPr="00A34F10" w:rsidRDefault="00DC5685" w:rsidP="00DC5685">
      <w:pPr>
        <w:pStyle w:val="RepLabel"/>
        <w:jc w:val="both"/>
      </w:pPr>
      <w:bookmarkStart w:id="824" w:name="_Toc412644028"/>
      <w:bookmarkStart w:id="825" w:name="_Toc413916872"/>
      <w:bookmarkStart w:id="826" w:name="_Toc413917014"/>
      <w:bookmarkStart w:id="827" w:name="_Toc413922075"/>
      <w:bookmarkStart w:id="828" w:name="_Toc413922564"/>
      <w:bookmarkStart w:id="829" w:name="_Toc413922668"/>
      <w:bookmarkStart w:id="830" w:name="_Toc414955305"/>
      <w:bookmarkStart w:id="831" w:name="_Toc415214612"/>
      <w:bookmarkStart w:id="832" w:name="_Toc425512633"/>
      <w:r w:rsidRPr="00A34F10">
        <w:t>Table 9.9</w:t>
      </w:r>
      <w:r w:rsidRPr="00A34F10">
        <w:noBreakHyphen/>
        <w:t>3:</w:t>
      </w:r>
      <w:r w:rsidRPr="00A34F10">
        <w:tab/>
        <w:t>Endpoints and effect values of BAS 743 03 F relevant for the risk assessment for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59"/>
        <w:gridCol w:w="1862"/>
        <w:gridCol w:w="1946"/>
        <w:gridCol w:w="1779"/>
        <w:gridCol w:w="1899"/>
      </w:tblGrid>
      <w:tr w:rsidR="00DC5685" w:rsidRPr="00A34F10" w14:paraId="0F4D6A6C" w14:textId="77777777" w:rsidTr="000470C3">
        <w:tc>
          <w:tcPr>
            <w:tcW w:w="995" w:type="pct"/>
            <w:tcBorders>
              <w:top w:val="single" w:sz="4" w:space="0" w:color="auto"/>
              <w:left w:val="single" w:sz="4" w:space="0" w:color="auto"/>
              <w:bottom w:val="single" w:sz="4" w:space="0" w:color="auto"/>
              <w:right w:val="single" w:sz="4" w:space="0" w:color="auto"/>
            </w:tcBorders>
            <w:shd w:val="clear" w:color="auto" w:fill="auto"/>
            <w:vAlign w:val="center"/>
          </w:tcPr>
          <w:p w14:paraId="0C75CD7D" w14:textId="77777777" w:rsidR="00DC5685" w:rsidRPr="00A34F10" w:rsidRDefault="00DC5685" w:rsidP="000470C3">
            <w:pPr>
              <w:pStyle w:val="RepTable"/>
              <w:keepNext/>
              <w:keepLines/>
              <w:suppressAutoHyphens/>
              <w:rPr>
                <w:b/>
                <w:noProof w:val="0"/>
              </w:rPr>
            </w:pPr>
            <w:r w:rsidRPr="00A34F10">
              <w:rPr>
                <w:b/>
                <w:noProof w:val="0"/>
              </w:rPr>
              <w:t>Species</w:t>
            </w:r>
          </w:p>
        </w:tc>
        <w:tc>
          <w:tcPr>
            <w:tcW w:w="996" w:type="pct"/>
            <w:tcBorders>
              <w:top w:val="single" w:sz="4" w:space="0" w:color="auto"/>
              <w:left w:val="single" w:sz="4" w:space="0" w:color="auto"/>
              <w:bottom w:val="single" w:sz="4" w:space="0" w:color="auto"/>
              <w:right w:val="single" w:sz="4" w:space="0" w:color="auto"/>
            </w:tcBorders>
            <w:shd w:val="clear" w:color="auto" w:fill="auto"/>
            <w:vAlign w:val="center"/>
          </w:tcPr>
          <w:p w14:paraId="1E58F287" w14:textId="77777777" w:rsidR="00DC5685" w:rsidRPr="00A34F10" w:rsidRDefault="00DC5685" w:rsidP="000470C3">
            <w:pPr>
              <w:pStyle w:val="RepTable"/>
              <w:keepNext/>
              <w:keepLines/>
              <w:suppressAutoHyphens/>
              <w:rPr>
                <w:b/>
                <w:noProof w:val="0"/>
              </w:rPr>
            </w:pPr>
            <w:r w:rsidRPr="00A34F10">
              <w:rPr>
                <w:b/>
                <w:noProof w:val="0"/>
              </w:rPr>
              <w:t>Substance</w:t>
            </w:r>
          </w:p>
        </w:tc>
        <w:tc>
          <w:tcPr>
            <w:tcW w:w="1041" w:type="pct"/>
            <w:tcBorders>
              <w:top w:val="single" w:sz="4" w:space="0" w:color="auto"/>
              <w:left w:val="single" w:sz="4" w:space="0" w:color="auto"/>
              <w:bottom w:val="single" w:sz="4" w:space="0" w:color="auto"/>
              <w:right w:val="single" w:sz="4" w:space="0" w:color="auto"/>
            </w:tcBorders>
            <w:shd w:val="clear" w:color="auto" w:fill="auto"/>
            <w:vAlign w:val="center"/>
          </w:tcPr>
          <w:p w14:paraId="555CEEC5" w14:textId="77777777" w:rsidR="00DC5685" w:rsidRPr="00A34F10" w:rsidRDefault="00DC5685" w:rsidP="000470C3">
            <w:pPr>
              <w:pStyle w:val="RepTable"/>
              <w:keepNext/>
              <w:keepLines/>
              <w:suppressAutoHyphens/>
              <w:rPr>
                <w:b/>
                <w:noProof w:val="0"/>
              </w:rPr>
            </w:pPr>
            <w:r w:rsidRPr="00A34F10">
              <w:rPr>
                <w:b/>
                <w:noProof w:val="0"/>
              </w:rPr>
              <w:t>Exposure System</w:t>
            </w:r>
          </w:p>
        </w:tc>
        <w:tc>
          <w:tcPr>
            <w:tcW w:w="952" w:type="pct"/>
            <w:tcBorders>
              <w:top w:val="single" w:sz="4" w:space="0" w:color="auto"/>
              <w:left w:val="single" w:sz="4" w:space="0" w:color="auto"/>
              <w:bottom w:val="single" w:sz="4" w:space="0" w:color="auto"/>
              <w:right w:val="single" w:sz="4" w:space="0" w:color="auto"/>
            </w:tcBorders>
            <w:shd w:val="clear" w:color="auto" w:fill="auto"/>
            <w:vAlign w:val="center"/>
          </w:tcPr>
          <w:p w14:paraId="6940F194" w14:textId="77777777" w:rsidR="00DC5685" w:rsidRPr="00A34F10" w:rsidRDefault="00DC5685" w:rsidP="000470C3">
            <w:pPr>
              <w:pStyle w:val="RepTable"/>
              <w:keepNext/>
              <w:keepLines/>
              <w:suppressAutoHyphens/>
              <w:rPr>
                <w:b/>
                <w:noProof w:val="0"/>
              </w:rPr>
            </w:pPr>
            <w:r w:rsidRPr="00A34F10">
              <w:rPr>
                <w:b/>
                <w:noProof w:val="0"/>
              </w:rPr>
              <w:t>Results</w:t>
            </w:r>
          </w:p>
        </w:tc>
        <w:tc>
          <w:tcPr>
            <w:tcW w:w="1016" w:type="pct"/>
            <w:tcBorders>
              <w:top w:val="single" w:sz="4" w:space="0" w:color="auto"/>
              <w:left w:val="single" w:sz="4" w:space="0" w:color="auto"/>
              <w:bottom w:val="single" w:sz="4" w:space="0" w:color="auto"/>
              <w:right w:val="single" w:sz="4" w:space="0" w:color="auto"/>
            </w:tcBorders>
            <w:shd w:val="clear" w:color="auto" w:fill="auto"/>
            <w:vAlign w:val="center"/>
          </w:tcPr>
          <w:p w14:paraId="7B8097D3" w14:textId="77777777" w:rsidR="00DC5685" w:rsidRPr="00A34F10" w:rsidRDefault="00DC5685" w:rsidP="000470C3">
            <w:pPr>
              <w:pStyle w:val="RepTable"/>
              <w:keepNext/>
              <w:keepLines/>
              <w:suppressAutoHyphens/>
              <w:rPr>
                <w:b/>
                <w:bCs/>
                <w:iCs/>
                <w:noProof w:val="0"/>
                <w:szCs w:val="20"/>
              </w:rPr>
            </w:pPr>
            <w:r w:rsidRPr="00A34F10">
              <w:rPr>
                <w:b/>
                <w:bCs/>
                <w:iCs/>
                <w:noProof w:val="0"/>
                <w:szCs w:val="20"/>
              </w:rPr>
              <w:t>Reference</w:t>
            </w:r>
          </w:p>
        </w:tc>
      </w:tr>
      <w:tr w:rsidR="00DC5685" w:rsidRPr="00A34F10" w14:paraId="015E9339" w14:textId="77777777" w:rsidTr="000470C3">
        <w:tc>
          <w:tcPr>
            <w:tcW w:w="5000" w:type="pct"/>
            <w:gridSpan w:val="5"/>
            <w:shd w:val="clear" w:color="auto" w:fill="auto"/>
            <w:vAlign w:val="center"/>
          </w:tcPr>
          <w:p w14:paraId="27F872F3" w14:textId="77777777" w:rsidR="00DC5685" w:rsidRPr="00A34F10" w:rsidRDefault="00DC5685" w:rsidP="000470C3">
            <w:pPr>
              <w:pStyle w:val="RepTable"/>
              <w:keepNext/>
              <w:keepLines/>
              <w:suppressAutoHyphens/>
              <w:rPr>
                <w:i/>
                <w:noProof w:val="0"/>
              </w:rPr>
            </w:pPr>
            <w:r w:rsidRPr="00A34F10">
              <w:rPr>
                <w:b/>
                <w:bCs/>
                <w:iCs/>
                <w:noProof w:val="0"/>
              </w:rPr>
              <w:t>Chronic</w:t>
            </w:r>
          </w:p>
        </w:tc>
      </w:tr>
      <w:tr w:rsidR="00DC5685" w:rsidRPr="00A34F10" w14:paraId="394908DA" w14:textId="77777777" w:rsidTr="000470C3">
        <w:tc>
          <w:tcPr>
            <w:tcW w:w="995" w:type="pct"/>
            <w:shd w:val="clear" w:color="auto" w:fill="auto"/>
            <w:vAlign w:val="center"/>
          </w:tcPr>
          <w:p w14:paraId="24429500" w14:textId="77777777" w:rsidR="00DC5685" w:rsidRPr="00A34F10" w:rsidRDefault="00DC5685" w:rsidP="000470C3">
            <w:pPr>
              <w:pStyle w:val="RepTable"/>
              <w:keepNext/>
              <w:keepLines/>
              <w:suppressAutoHyphens/>
              <w:rPr>
                <w:i/>
                <w:noProof w:val="0"/>
              </w:rPr>
            </w:pPr>
            <w:r w:rsidRPr="00A34F10">
              <w:rPr>
                <w:noProof w:val="0"/>
              </w:rPr>
              <w:t>N-mineralisation</w:t>
            </w:r>
          </w:p>
        </w:tc>
        <w:tc>
          <w:tcPr>
            <w:tcW w:w="996" w:type="pct"/>
            <w:shd w:val="clear" w:color="auto" w:fill="auto"/>
            <w:vAlign w:val="center"/>
          </w:tcPr>
          <w:p w14:paraId="295AE9AF" w14:textId="77777777" w:rsidR="00DC5685" w:rsidRPr="00A34F10" w:rsidRDefault="00DC5685" w:rsidP="000470C3">
            <w:pPr>
              <w:pStyle w:val="RepTable"/>
              <w:keepNext/>
              <w:keepLines/>
              <w:suppressAutoHyphens/>
              <w:rPr>
                <w:noProof w:val="0"/>
              </w:rPr>
            </w:pPr>
            <w:r w:rsidRPr="00A34F10">
              <w:rPr>
                <w:noProof w:val="0"/>
              </w:rPr>
              <w:t>BAS 743 02 F*</w:t>
            </w:r>
          </w:p>
        </w:tc>
        <w:tc>
          <w:tcPr>
            <w:tcW w:w="1041" w:type="pct"/>
            <w:shd w:val="clear" w:color="auto" w:fill="auto"/>
            <w:vAlign w:val="center"/>
          </w:tcPr>
          <w:p w14:paraId="1FC3A4E6" w14:textId="77777777" w:rsidR="00DC5685" w:rsidRPr="00A34F10" w:rsidRDefault="00DC5685" w:rsidP="000470C3">
            <w:pPr>
              <w:pStyle w:val="RepTable"/>
              <w:keepNext/>
              <w:keepLines/>
              <w:suppressAutoHyphens/>
              <w:rPr>
                <w:noProof w:val="0"/>
              </w:rPr>
            </w:pPr>
            <w:r w:rsidRPr="00A34F10">
              <w:rPr>
                <w:noProof w:val="0"/>
              </w:rPr>
              <w:t>Mixed into substrate 28 d, chronic</w:t>
            </w:r>
            <w:r w:rsidRPr="00A34F10">
              <w:rPr>
                <w:noProof w:val="0"/>
              </w:rPr>
              <w:br/>
              <w:t>10% peat content</w:t>
            </w:r>
          </w:p>
        </w:tc>
        <w:tc>
          <w:tcPr>
            <w:tcW w:w="952" w:type="pct"/>
            <w:shd w:val="clear" w:color="auto" w:fill="auto"/>
          </w:tcPr>
          <w:p w14:paraId="2F99BDDF" w14:textId="77777777" w:rsidR="00DC5685" w:rsidRPr="00A34F10" w:rsidRDefault="00DC5685" w:rsidP="000470C3">
            <w:pPr>
              <w:pStyle w:val="RepTable"/>
              <w:keepNext/>
              <w:keepLines/>
              <w:suppressAutoHyphens/>
              <w:rPr>
                <w:noProof w:val="0"/>
              </w:rPr>
            </w:pPr>
            <w:r w:rsidRPr="00A34F10">
              <w:rPr>
                <w:noProof w:val="0"/>
              </w:rPr>
              <w:t>&lt; 25 % effect at day 28 at 25.20 mg/kg dry soil</w:t>
            </w:r>
          </w:p>
        </w:tc>
        <w:tc>
          <w:tcPr>
            <w:tcW w:w="1016" w:type="pct"/>
            <w:shd w:val="clear" w:color="auto" w:fill="auto"/>
            <w:vAlign w:val="center"/>
          </w:tcPr>
          <w:p w14:paraId="3815D995" w14:textId="77777777" w:rsidR="00DC5685" w:rsidRPr="00A34F10" w:rsidRDefault="00DC5685" w:rsidP="000470C3">
            <w:pPr>
              <w:pStyle w:val="RepTable"/>
              <w:keepNext/>
              <w:keepLines/>
              <w:suppressAutoHyphens/>
              <w:rPr>
                <w:bCs/>
                <w:iCs/>
                <w:noProof w:val="0"/>
                <w:szCs w:val="20"/>
              </w:rPr>
            </w:pPr>
            <w:r w:rsidRPr="00A34F10">
              <w:rPr>
                <w:noProof w:val="0"/>
                <w:szCs w:val="20"/>
              </w:rPr>
              <w:t>new study</w:t>
            </w:r>
            <w:r w:rsidRPr="00A34F10">
              <w:rPr>
                <w:noProof w:val="0"/>
              </w:rPr>
              <w:t xml:space="preserve"> 2022/2033717</w:t>
            </w:r>
          </w:p>
        </w:tc>
      </w:tr>
    </w:tbl>
    <w:p w14:paraId="41E55B94" w14:textId="2D359A89" w:rsidR="00DC5685" w:rsidRPr="00A34F10" w:rsidRDefault="00DC5685" w:rsidP="00DC5685">
      <w:pPr>
        <w:pStyle w:val="Nagwek4"/>
        <w:numPr>
          <w:ilvl w:val="0"/>
          <w:numId w:val="0"/>
        </w:numPr>
        <w:spacing w:before="0" w:after="0"/>
        <w:ind w:left="284" w:hanging="284"/>
        <w:rPr>
          <w:b w:val="0"/>
          <w:bCs/>
          <w:sz w:val="18"/>
          <w:szCs w:val="18"/>
          <w:lang w:val="en-US"/>
        </w:rPr>
      </w:pPr>
      <w:bookmarkStart w:id="833" w:name="_Toc181624999"/>
      <w:r w:rsidRPr="00A34F10">
        <w:rPr>
          <w:sz w:val="18"/>
          <w:szCs w:val="18"/>
          <w:lang w:val="en-US"/>
        </w:rPr>
        <w:t>*</w:t>
      </w:r>
      <w:r w:rsidRPr="00A34F10">
        <w:rPr>
          <w:sz w:val="18"/>
          <w:szCs w:val="18"/>
          <w:lang w:val="en-US"/>
        </w:rPr>
        <w:tab/>
      </w:r>
      <w:r w:rsidRPr="00A34F10">
        <w:rPr>
          <w:b w:val="0"/>
          <w:bCs/>
          <w:sz w:val="18"/>
          <w:szCs w:val="18"/>
          <w:lang w:val="en-US"/>
        </w:rPr>
        <w:t>Study was conducted with the similar formulation BAS 743 02 F containing 137.1 g/L Ametoctradin and 515.4 g/L Propamocarb-HCl</w:t>
      </w:r>
      <w:bookmarkEnd w:id="833"/>
    </w:p>
    <w:p w14:paraId="16F70214" w14:textId="77777777" w:rsidR="00DC5685" w:rsidRPr="00A34F10" w:rsidRDefault="00DC5685" w:rsidP="00DC5685">
      <w:pPr>
        <w:pStyle w:val="Nagwek4"/>
      </w:pPr>
      <w:bookmarkStart w:id="834" w:name="_Toc181625000"/>
      <w:r w:rsidRPr="00A34F10">
        <w:t>Justification for new endpoints</w:t>
      </w:r>
      <w:bookmarkEnd w:id="824"/>
      <w:bookmarkEnd w:id="825"/>
      <w:bookmarkEnd w:id="826"/>
      <w:bookmarkEnd w:id="827"/>
      <w:bookmarkEnd w:id="828"/>
      <w:bookmarkEnd w:id="829"/>
      <w:bookmarkEnd w:id="830"/>
      <w:bookmarkEnd w:id="831"/>
      <w:bookmarkEnd w:id="832"/>
      <w:bookmarkEnd w:id="834"/>
    </w:p>
    <w:p w14:paraId="1D176D6B" w14:textId="3FCD18CF" w:rsidR="00DC5685" w:rsidRPr="00A34F10" w:rsidRDefault="00DC5685" w:rsidP="00DC5685">
      <w:pPr>
        <w:widowControl w:val="0"/>
        <w:jc w:val="both"/>
        <w:rPr>
          <w:lang w:val="en-GB"/>
        </w:rPr>
      </w:pPr>
      <w:r w:rsidRPr="00A34F10">
        <w:rPr>
          <w:lang w:val="en-GB"/>
        </w:rPr>
        <w:t>The selection of studies and endpoints for the risk assessment is in line with the results of the EU review process, plus the endpoints for the formulation have been taken into account as this endpoint is most relevant for the mixture of the active substances.</w:t>
      </w:r>
    </w:p>
    <w:p w14:paraId="26CD6589" w14:textId="77777777" w:rsidR="00DC5685" w:rsidRPr="00A34F10" w:rsidRDefault="00DC5685" w:rsidP="00DC5685">
      <w:pPr>
        <w:pStyle w:val="Nagwek3"/>
        <w:keepNext w:val="0"/>
        <w:rPr>
          <w:rFonts w:cs="Times New Roman"/>
        </w:rPr>
      </w:pPr>
      <w:bookmarkStart w:id="835" w:name="_Toc412644029"/>
      <w:bookmarkStart w:id="836" w:name="_Toc413916873"/>
      <w:bookmarkStart w:id="837" w:name="_Toc413917015"/>
      <w:bookmarkStart w:id="838" w:name="_Toc413922076"/>
      <w:bookmarkStart w:id="839" w:name="_Toc413922565"/>
      <w:bookmarkStart w:id="840" w:name="_Toc413922669"/>
      <w:bookmarkStart w:id="841" w:name="_Toc414955306"/>
      <w:bookmarkStart w:id="842" w:name="_Toc415214613"/>
      <w:bookmarkStart w:id="843" w:name="_Toc425512634"/>
      <w:bookmarkStart w:id="844" w:name="_Toc181625001"/>
      <w:r w:rsidRPr="00A34F10">
        <w:rPr>
          <w:rFonts w:cs="Times New Roman"/>
        </w:rPr>
        <w:t>Risk assessment</w:t>
      </w:r>
      <w:bookmarkEnd w:id="835"/>
      <w:bookmarkEnd w:id="836"/>
      <w:bookmarkEnd w:id="837"/>
      <w:bookmarkEnd w:id="838"/>
      <w:bookmarkEnd w:id="839"/>
      <w:bookmarkEnd w:id="840"/>
      <w:bookmarkEnd w:id="841"/>
      <w:bookmarkEnd w:id="842"/>
      <w:bookmarkEnd w:id="843"/>
      <w:bookmarkEnd w:id="844"/>
    </w:p>
    <w:p w14:paraId="30BCED12" w14:textId="77777777" w:rsidR="00DC5685" w:rsidRPr="00A34F10" w:rsidRDefault="00DC5685" w:rsidP="00DC5685">
      <w:pPr>
        <w:pStyle w:val="RepStandard"/>
      </w:pPr>
      <w:r w:rsidRPr="00A34F10">
        <w:t>The evaluation of the risk for soil micro-organisms was performed in accordance with the recommendations of the “Guidance Document on Terrestrial Ecotoxicology”, as provided by the Commission Services (SANCO/10329/2002 rev 2 (final), October 17, 2002).</w:t>
      </w:r>
    </w:p>
    <w:p w14:paraId="5ADF9D22" w14:textId="77777777" w:rsidR="00DC5685" w:rsidRPr="00A34F10" w:rsidRDefault="00DC5685" w:rsidP="00DC5685">
      <w:pPr>
        <w:pStyle w:val="RepStandard"/>
      </w:pPr>
    </w:p>
    <w:p w14:paraId="4F9C1A23" w14:textId="77777777" w:rsidR="00DC5685" w:rsidRPr="00A34F10" w:rsidRDefault="00DC5685" w:rsidP="00DC5685">
      <w:pPr>
        <w:pStyle w:val="RepStandard"/>
      </w:pPr>
      <w:r w:rsidRPr="00A34F10">
        <w:t>The relevant predicted environmental concentrations in soil (PEC</w:t>
      </w:r>
      <w:r w:rsidRPr="00A34F10">
        <w:rPr>
          <w:vertAlign w:val="subscript"/>
        </w:rPr>
        <w:t>soil</w:t>
      </w:r>
      <w:r w:rsidRPr="00A34F10">
        <w:t>) for risk assessments covering the proposed use pattern are taken from Section 8 (Environmental Fate), Chapter 8.7.2, and were already used in the risk assessment for earthworms and other non-target soil organisms (meso- and macrofauna) (see Section 9 Chapter 9.8).</w:t>
      </w:r>
    </w:p>
    <w:p w14:paraId="32A38310" w14:textId="39C8F0D0" w:rsidR="00DC5685" w:rsidRPr="00A34F10" w:rsidRDefault="00523C07" w:rsidP="00DC5685">
      <w:pPr>
        <w:pStyle w:val="RepStandard"/>
      </w:pPr>
      <w:r w:rsidRPr="00A34F10">
        <w:br w:type="page"/>
      </w:r>
    </w:p>
    <w:p w14:paraId="45E7C831" w14:textId="55CB35EA" w:rsidR="00DC5685" w:rsidRPr="00A34F10" w:rsidRDefault="00DC5685" w:rsidP="00DC5685">
      <w:pPr>
        <w:pStyle w:val="RepLabel"/>
        <w:jc w:val="both"/>
      </w:pPr>
      <w:bookmarkStart w:id="845" w:name="_Toc412644030"/>
      <w:bookmarkStart w:id="846" w:name="_Toc413916874"/>
      <w:bookmarkStart w:id="847" w:name="_Toc413917016"/>
      <w:bookmarkStart w:id="848" w:name="_Toc413922077"/>
      <w:bookmarkStart w:id="849" w:name="_Toc413922566"/>
      <w:bookmarkStart w:id="850" w:name="_Toc413922670"/>
      <w:bookmarkStart w:id="851" w:name="_Toc414955307"/>
      <w:bookmarkStart w:id="852" w:name="_Toc415214614"/>
      <w:bookmarkStart w:id="853" w:name="_Toc425512635"/>
      <w:r w:rsidRPr="00A34F10">
        <w:lastRenderedPageBreak/>
        <w:t xml:space="preserve">Table </w:t>
      </w:r>
      <w:fldSimple w:instr=" STYLEREF 2 \s ">
        <w:r w:rsidR="006F0F3B">
          <w:rPr>
            <w:noProof/>
          </w:rPr>
          <w:t>9.9</w:t>
        </w:r>
      </w:fldSimple>
      <w:r w:rsidRPr="00A34F10">
        <w:noBreakHyphen/>
        <w:t>4:</w:t>
      </w:r>
      <w:r w:rsidRPr="00A34F10">
        <w:tab/>
        <w:t xml:space="preserve">Assessment of the risk for effects on soil micro-organisms due to the worst-case uses of BAS 743 03 F, ametoctradin and its relevant soil metabolites </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DC5685" w:rsidRPr="00A34F10" w14:paraId="16836DBB" w14:textId="77777777" w:rsidTr="000470C3">
        <w:trPr>
          <w:cantSplit/>
        </w:trPr>
        <w:tc>
          <w:tcPr>
            <w:tcW w:w="1470" w:type="pct"/>
            <w:tcBorders>
              <w:top w:val="single" w:sz="4" w:space="0" w:color="auto"/>
              <w:bottom w:val="single" w:sz="4" w:space="0" w:color="auto"/>
            </w:tcBorders>
            <w:vAlign w:val="center"/>
          </w:tcPr>
          <w:p w14:paraId="67F7CF4C" w14:textId="77777777" w:rsidR="00DC5685" w:rsidRPr="00A34F10" w:rsidRDefault="00DC5685" w:rsidP="000470C3">
            <w:pPr>
              <w:pStyle w:val="RepTableBold"/>
            </w:pPr>
            <w:r w:rsidRPr="00A34F10">
              <w:t>Intended use</w:t>
            </w:r>
          </w:p>
        </w:tc>
        <w:tc>
          <w:tcPr>
            <w:tcW w:w="3530" w:type="pct"/>
            <w:gridSpan w:val="3"/>
            <w:tcBorders>
              <w:top w:val="single" w:sz="4" w:space="0" w:color="auto"/>
              <w:bottom w:val="single" w:sz="4" w:space="0" w:color="auto"/>
            </w:tcBorders>
            <w:vAlign w:val="center"/>
          </w:tcPr>
          <w:p w14:paraId="28D88C19" w14:textId="77777777" w:rsidR="00DC5685" w:rsidRPr="00A34F10" w:rsidRDefault="00DC5685" w:rsidP="000470C3">
            <w:pPr>
              <w:pStyle w:val="RepTable"/>
              <w:rPr>
                <w:b/>
                <w:noProof w:val="0"/>
              </w:rPr>
            </w:pPr>
            <w:r w:rsidRPr="00A34F10">
              <w:rPr>
                <w:b/>
                <w:noProof w:val="0"/>
              </w:rPr>
              <w:t>1 – 2 x 2.0 L BAS 743 03 F/ha in various crops</w:t>
            </w:r>
          </w:p>
        </w:tc>
      </w:tr>
      <w:tr w:rsidR="00DC5685" w:rsidRPr="00A34F10" w14:paraId="0E09E0AC" w14:textId="77777777" w:rsidTr="000470C3">
        <w:trPr>
          <w:cantSplit/>
        </w:trPr>
        <w:tc>
          <w:tcPr>
            <w:tcW w:w="5000" w:type="pct"/>
            <w:gridSpan w:val="4"/>
            <w:tcBorders>
              <w:top w:val="single" w:sz="4" w:space="0" w:color="auto"/>
            </w:tcBorders>
            <w:vAlign w:val="center"/>
          </w:tcPr>
          <w:p w14:paraId="4B155FD2" w14:textId="77777777" w:rsidR="00DC5685" w:rsidRPr="00A34F10" w:rsidRDefault="00DC5685" w:rsidP="000470C3">
            <w:pPr>
              <w:pStyle w:val="RepTableBold"/>
            </w:pPr>
            <w:r w:rsidRPr="00A34F10">
              <w:t>N-mineralisation</w:t>
            </w:r>
          </w:p>
        </w:tc>
      </w:tr>
      <w:tr w:rsidR="00DC5685" w:rsidRPr="00A34F10" w14:paraId="5FECC038" w14:textId="77777777" w:rsidTr="000470C3">
        <w:trPr>
          <w:cantSplit/>
        </w:trPr>
        <w:tc>
          <w:tcPr>
            <w:tcW w:w="1470" w:type="pct"/>
            <w:tcBorders>
              <w:top w:val="single" w:sz="4" w:space="0" w:color="auto"/>
              <w:bottom w:val="single" w:sz="4" w:space="0" w:color="auto"/>
            </w:tcBorders>
            <w:vAlign w:val="center"/>
          </w:tcPr>
          <w:p w14:paraId="2BFCD0BF" w14:textId="77777777" w:rsidR="00DC5685" w:rsidRPr="00A34F10" w:rsidRDefault="00DC5685" w:rsidP="000470C3">
            <w:pPr>
              <w:pStyle w:val="RepTableBold"/>
            </w:pPr>
            <w:r w:rsidRPr="00A34F10">
              <w:t>Active substance/metabolites</w:t>
            </w:r>
          </w:p>
        </w:tc>
        <w:tc>
          <w:tcPr>
            <w:tcW w:w="1177" w:type="pct"/>
            <w:tcBorders>
              <w:top w:val="single" w:sz="4" w:space="0" w:color="auto"/>
              <w:bottom w:val="single" w:sz="4" w:space="0" w:color="auto"/>
            </w:tcBorders>
            <w:vAlign w:val="center"/>
          </w:tcPr>
          <w:p w14:paraId="1CE0F3F3" w14:textId="77777777" w:rsidR="00DC5685" w:rsidRPr="00A34F10" w:rsidRDefault="00DC5685" w:rsidP="000470C3">
            <w:pPr>
              <w:pStyle w:val="RepTableBold"/>
            </w:pPr>
            <w:r w:rsidRPr="00A34F10">
              <w:t>Max. conc. with effects ≤ 25 % (mg/kg dry soil)</w:t>
            </w:r>
          </w:p>
        </w:tc>
        <w:tc>
          <w:tcPr>
            <w:tcW w:w="1177" w:type="pct"/>
            <w:tcBorders>
              <w:top w:val="single" w:sz="4" w:space="0" w:color="auto"/>
              <w:bottom w:val="single" w:sz="4" w:space="0" w:color="auto"/>
            </w:tcBorders>
            <w:vAlign w:val="center"/>
          </w:tcPr>
          <w:p w14:paraId="7CFB6C78" w14:textId="77777777" w:rsidR="00DC5685" w:rsidRPr="00A34F10" w:rsidRDefault="00DC5685" w:rsidP="000470C3">
            <w:pPr>
              <w:pStyle w:val="RepTableBold"/>
            </w:pPr>
            <w:r w:rsidRPr="00A34F10">
              <w:t>PEC</w:t>
            </w:r>
            <w:r w:rsidRPr="00A34F10">
              <w:rPr>
                <w:vertAlign w:val="subscript"/>
              </w:rPr>
              <w:t>soil</w:t>
            </w:r>
            <w:r w:rsidRPr="00A34F10">
              <w:rPr>
                <w:vertAlign w:val="subscript"/>
              </w:rPr>
              <w:br/>
            </w:r>
            <w:r w:rsidRPr="00A34F10">
              <w:t>(mg/kg dry soil)</w:t>
            </w:r>
          </w:p>
        </w:tc>
        <w:tc>
          <w:tcPr>
            <w:tcW w:w="1176" w:type="pct"/>
            <w:tcBorders>
              <w:top w:val="single" w:sz="4" w:space="0" w:color="auto"/>
              <w:bottom w:val="single" w:sz="4" w:space="0" w:color="auto"/>
            </w:tcBorders>
            <w:vAlign w:val="center"/>
          </w:tcPr>
          <w:p w14:paraId="547D2477" w14:textId="77777777" w:rsidR="00DC5685" w:rsidRPr="00A34F10" w:rsidRDefault="00DC5685" w:rsidP="000470C3">
            <w:pPr>
              <w:pStyle w:val="RepTableBold"/>
            </w:pPr>
            <w:r w:rsidRPr="00A34F10">
              <w:t>Risk acceptable?</w:t>
            </w:r>
          </w:p>
        </w:tc>
      </w:tr>
      <w:tr w:rsidR="00DC5685" w:rsidRPr="00A34F10" w14:paraId="73E195F6" w14:textId="77777777" w:rsidTr="000470C3">
        <w:trPr>
          <w:cantSplit/>
        </w:trPr>
        <w:tc>
          <w:tcPr>
            <w:tcW w:w="1470" w:type="pct"/>
            <w:tcBorders>
              <w:top w:val="single" w:sz="4" w:space="0" w:color="auto"/>
              <w:bottom w:val="single" w:sz="4" w:space="0" w:color="auto"/>
            </w:tcBorders>
            <w:vAlign w:val="center"/>
          </w:tcPr>
          <w:p w14:paraId="18972021" w14:textId="77777777" w:rsidR="00DC5685" w:rsidRPr="00A34F10" w:rsidRDefault="00DC5685" w:rsidP="000470C3">
            <w:pPr>
              <w:pStyle w:val="RepTable"/>
              <w:rPr>
                <w:noProof w:val="0"/>
              </w:rPr>
            </w:pPr>
            <w:r w:rsidRPr="00A34F10">
              <w:rPr>
                <w:noProof w:val="0"/>
              </w:rPr>
              <w:t>Ametoctradin</w:t>
            </w:r>
            <w:r w:rsidRPr="00A34F10">
              <w:rPr>
                <w:noProof w:val="0"/>
              </w:rPr>
              <w:br/>
              <w:t>(tested as BAS 650 00 F)</w:t>
            </w:r>
          </w:p>
        </w:tc>
        <w:tc>
          <w:tcPr>
            <w:tcW w:w="1177" w:type="pct"/>
            <w:tcBorders>
              <w:top w:val="single" w:sz="4" w:space="0" w:color="auto"/>
              <w:bottom w:val="single" w:sz="4" w:space="0" w:color="auto"/>
            </w:tcBorders>
            <w:vAlign w:val="center"/>
          </w:tcPr>
          <w:p w14:paraId="78B84829" w14:textId="77777777" w:rsidR="00DC5685" w:rsidRPr="00A34F10" w:rsidRDefault="00DC5685" w:rsidP="000470C3">
            <w:pPr>
              <w:pStyle w:val="RepTable"/>
              <w:rPr>
                <w:noProof w:val="0"/>
              </w:rPr>
            </w:pPr>
            <w:r w:rsidRPr="00A34F10">
              <w:rPr>
                <w:noProof w:val="0"/>
              </w:rPr>
              <w:t>&gt; 3.84 (at 28 d)</w:t>
            </w:r>
          </w:p>
        </w:tc>
        <w:tc>
          <w:tcPr>
            <w:tcW w:w="1177" w:type="pct"/>
            <w:tcBorders>
              <w:top w:val="single" w:sz="4" w:space="0" w:color="auto"/>
              <w:bottom w:val="single" w:sz="4" w:space="0" w:color="auto"/>
            </w:tcBorders>
            <w:vAlign w:val="center"/>
          </w:tcPr>
          <w:p w14:paraId="50B5333F" w14:textId="05AE24C2" w:rsidR="00DC5685" w:rsidRPr="00027451" w:rsidRDefault="00DC5685" w:rsidP="000470C3">
            <w:pPr>
              <w:pStyle w:val="RepTable"/>
              <w:rPr>
                <w:strike/>
                <w:noProof w:val="0"/>
                <w:color w:val="D9D9D9" w:themeColor="background1" w:themeShade="D9"/>
                <w:highlight w:val="yellow"/>
              </w:rPr>
            </w:pPr>
            <w:r w:rsidRPr="00027451">
              <w:rPr>
                <w:strike/>
                <w:color w:val="D9D9D9" w:themeColor="background1" w:themeShade="D9"/>
              </w:rPr>
              <w:t>0.338*</w:t>
            </w:r>
            <w:r w:rsidR="00CD0BFE">
              <w:rPr>
                <w:strike/>
                <w:color w:val="D9D9D9" w:themeColor="background1" w:themeShade="D9"/>
              </w:rPr>
              <w:t xml:space="preserve"> </w:t>
            </w:r>
            <w:r w:rsidR="00CD0BFE" w:rsidRPr="00CD0BFE">
              <w:rPr>
                <w:szCs w:val="20"/>
                <w:shd w:val="clear" w:color="auto" w:fill="D9D9D9" w:themeFill="background1" w:themeFillShade="D9"/>
                <w:lang w:val="en-GB"/>
              </w:rPr>
              <w:t>0.386</w:t>
            </w:r>
          </w:p>
        </w:tc>
        <w:tc>
          <w:tcPr>
            <w:tcW w:w="1176" w:type="pct"/>
            <w:tcBorders>
              <w:top w:val="single" w:sz="4" w:space="0" w:color="auto"/>
              <w:bottom w:val="single" w:sz="4" w:space="0" w:color="auto"/>
            </w:tcBorders>
            <w:vAlign w:val="center"/>
          </w:tcPr>
          <w:p w14:paraId="527BD685" w14:textId="77777777" w:rsidR="00DC5685" w:rsidRPr="00A34F10" w:rsidRDefault="00DC5685" w:rsidP="000470C3">
            <w:pPr>
              <w:pStyle w:val="RepTable"/>
              <w:rPr>
                <w:noProof w:val="0"/>
              </w:rPr>
            </w:pPr>
            <w:r w:rsidRPr="00A34F10">
              <w:rPr>
                <w:noProof w:val="0"/>
              </w:rPr>
              <w:t>yes</w:t>
            </w:r>
          </w:p>
        </w:tc>
      </w:tr>
      <w:tr w:rsidR="00DC5685" w:rsidRPr="00A34F10" w14:paraId="4A6FFD93" w14:textId="77777777" w:rsidTr="000470C3">
        <w:trPr>
          <w:cantSplit/>
        </w:trPr>
        <w:tc>
          <w:tcPr>
            <w:tcW w:w="1470" w:type="pct"/>
            <w:tcBorders>
              <w:top w:val="single" w:sz="4" w:space="0" w:color="auto"/>
            </w:tcBorders>
            <w:vAlign w:val="center"/>
          </w:tcPr>
          <w:p w14:paraId="304302EB" w14:textId="77777777" w:rsidR="00DC5685" w:rsidRPr="00A34F10" w:rsidRDefault="00DC5685" w:rsidP="000470C3">
            <w:pPr>
              <w:pStyle w:val="RepTable"/>
              <w:rPr>
                <w:noProof w:val="0"/>
              </w:rPr>
            </w:pPr>
            <w:r w:rsidRPr="00A34F10">
              <w:rPr>
                <w:noProof w:val="0"/>
              </w:rPr>
              <w:t>M650F03</w:t>
            </w:r>
            <w:r w:rsidRPr="00A34F10">
              <w:rPr>
                <w:noProof w:val="0"/>
              </w:rPr>
              <w:br/>
              <w:t>Reg. no. 5 178 870</w:t>
            </w:r>
          </w:p>
        </w:tc>
        <w:tc>
          <w:tcPr>
            <w:tcW w:w="1177" w:type="pct"/>
            <w:tcBorders>
              <w:top w:val="single" w:sz="4" w:space="0" w:color="auto"/>
            </w:tcBorders>
            <w:vAlign w:val="center"/>
          </w:tcPr>
          <w:p w14:paraId="15D3B14A" w14:textId="77777777" w:rsidR="00DC5685" w:rsidRPr="00A34F10" w:rsidRDefault="00DC5685" w:rsidP="000470C3">
            <w:pPr>
              <w:pStyle w:val="RepTable"/>
              <w:rPr>
                <w:noProof w:val="0"/>
              </w:rPr>
            </w:pPr>
            <w:r w:rsidRPr="00A34F10">
              <w:rPr>
                <w:noProof w:val="0"/>
              </w:rPr>
              <w:t>&gt; 8.02 (at 28 d)</w:t>
            </w:r>
          </w:p>
        </w:tc>
        <w:tc>
          <w:tcPr>
            <w:tcW w:w="1177" w:type="pct"/>
            <w:tcBorders>
              <w:top w:val="single" w:sz="4" w:space="0" w:color="auto"/>
            </w:tcBorders>
            <w:vAlign w:val="center"/>
          </w:tcPr>
          <w:p w14:paraId="75451508" w14:textId="77777777" w:rsidR="00DC5685" w:rsidRPr="00A34F10" w:rsidRDefault="00DC5685" w:rsidP="000470C3">
            <w:pPr>
              <w:pStyle w:val="RepTable"/>
              <w:rPr>
                <w:noProof w:val="0"/>
              </w:rPr>
            </w:pPr>
            <w:r w:rsidRPr="00A34F10">
              <w:rPr>
                <w:noProof w:val="0"/>
              </w:rPr>
              <w:t>0.243***</w:t>
            </w:r>
          </w:p>
        </w:tc>
        <w:tc>
          <w:tcPr>
            <w:tcW w:w="1176" w:type="pct"/>
            <w:tcBorders>
              <w:top w:val="single" w:sz="4" w:space="0" w:color="auto"/>
            </w:tcBorders>
            <w:vAlign w:val="center"/>
          </w:tcPr>
          <w:p w14:paraId="7644DA1A" w14:textId="77777777" w:rsidR="00DC5685" w:rsidRPr="00A34F10" w:rsidRDefault="00DC5685" w:rsidP="000470C3">
            <w:pPr>
              <w:pStyle w:val="RepTable"/>
              <w:rPr>
                <w:noProof w:val="0"/>
              </w:rPr>
            </w:pPr>
            <w:r w:rsidRPr="00A34F10">
              <w:rPr>
                <w:noProof w:val="0"/>
              </w:rPr>
              <w:t>yes</w:t>
            </w:r>
          </w:p>
        </w:tc>
      </w:tr>
      <w:tr w:rsidR="00DC5685" w:rsidRPr="00A34F10" w14:paraId="6CF1A59C" w14:textId="77777777" w:rsidTr="000470C3">
        <w:trPr>
          <w:cantSplit/>
        </w:trPr>
        <w:tc>
          <w:tcPr>
            <w:tcW w:w="1470" w:type="pct"/>
            <w:tcBorders>
              <w:top w:val="single" w:sz="4" w:space="0" w:color="auto"/>
              <w:bottom w:val="single" w:sz="4" w:space="0" w:color="auto"/>
            </w:tcBorders>
            <w:vAlign w:val="center"/>
          </w:tcPr>
          <w:p w14:paraId="455FBA0F" w14:textId="77777777" w:rsidR="00DC5685" w:rsidRPr="00A34F10" w:rsidRDefault="00DC5685" w:rsidP="000470C3">
            <w:pPr>
              <w:pStyle w:val="RepTable"/>
              <w:rPr>
                <w:noProof w:val="0"/>
              </w:rPr>
            </w:pPr>
            <w:r w:rsidRPr="00A34F10">
              <w:rPr>
                <w:noProof w:val="0"/>
              </w:rPr>
              <w:t>M650F04</w:t>
            </w:r>
            <w:r w:rsidRPr="00A34F10">
              <w:rPr>
                <w:noProof w:val="0"/>
              </w:rPr>
              <w:br/>
              <w:t>Reg. no. 5 211 623</w:t>
            </w:r>
          </w:p>
        </w:tc>
        <w:tc>
          <w:tcPr>
            <w:tcW w:w="1177" w:type="pct"/>
            <w:tcBorders>
              <w:top w:val="single" w:sz="4" w:space="0" w:color="auto"/>
              <w:bottom w:val="single" w:sz="4" w:space="0" w:color="auto"/>
            </w:tcBorders>
            <w:vAlign w:val="center"/>
          </w:tcPr>
          <w:p w14:paraId="04719A22" w14:textId="77777777" w:rsidR="00DC5685" w:rsidRPr="00A34F10" w:rsidRDefault="00DC5685" w:rsidP="000470C3">
            <w:pPr>
              <w:pStyle w:val="RepTable"/>
              <w:rPr>
                <w:noProof w:val="0"/>
              </w:rPr>
            </w:pPr>
            <w:r w:rsidRPr="00A34F10">
              <w:rPr>
                <w:noProof w:val="0"/>
              </w:rPr>
              <w:t>&gt; 13.4 (at 28 d)</w:t>
            </w:r>
          </w:p>
        </w:tc>
        <w:tc>
          <w:tcPr>
            <w:tcW w:w="1177" w:type="pct"/>
            <w:tcBorders>
              <w:top w:val="single" w:sz="4" w:space="0" w:color="auto"/>
              <w:bottom w:val="single" w:sz="4" w:space="0" w:color="auto"/>
            </w:tcBorders>
            <w:vAlign w:val="center"/>
          </w:tcPr>
          <w:p w14:paraId="1532C52C" w14:textId="4C1F6A45" w:rsidR="00DC5685" w:rsidRPr="00A34F10" w:rsidRDefault="00DC5685" w:rsidP="000470C3">
            <w:pPr>
              <w:pStyle w:val="RepTable"/>
              <w:rPr>
                <w:noProof w:val="0"/>
              </w:rPr>
            </w:pPr>
            <w:r w:rsidRPr="00CE16BC">
              <w:rPr>
                <w:strike/>
                <w:noProof w:val="0"/>
                <w:color w:val="D9D9D9" w:themeColor="background1" w:themeShade="D9"/>
              </w:rPr>
              <w:t>0.407</w:t>
            </w:r>
            <w:r w:rsidR="00CE16BC" w:rsidRPr="00CE16BC">
              <w:rPr>
                <w:noProof w:val="0"/>
                <w:color w:val="D9D9D9" w:themeColor="background1" w:themeShade="D9"/>
              </w:rPr>
              <w:t xml:space="preserve"> </w:t>
            </w:r>
            <w:r w:rsidR="00CE16BC" w:rsidRPr="00CA43A2">
              <w:rPr>
                <w:shd w:val="clear" w:color="auto" w:fill="D9D9D9" w:themeFill="background1" w:themeFillShade="D9"/>
              </w:rPr>
              <w:t>0.280</w:t>
            </w:r>
            <w:r w:rsidRPr="00A34F10">
              <w:rPr>
                <w:noProof w:val="0"/>
                <w:vertAlign w:val="superscript"/>
              </w:rPr>
              <w:t xml:space="preserve"> </w:t>
            </w:r>
          </w:p>
        </w:tc>
        <w:tc>
          <w:tcPr>
            <w:tcW w:w="1176" w:type="pct"/>
            <w:tcBorders>
              <w:top w:val="single" w:sz="4" w:space="0" w:color="auto"/>
              <w:bottom w:val="single" w:sz="4" w:space="0" w:color="auto"/>
            </w:tcBorders>
            <w:vAlign w:val="center"/>
          </w:tcPr>
          <w:p w14:paraId="57C2F303" w14:textId="77777777" w:rsidR="00DC5685" w:rsidRPr="00A34F10" w:rsidRDefault="00DC5685" w:rsidP="000470C3">
            <w:pPr>
              <w:pStyle w:val="RepTable"/>
              <w:rPr>
                <w:noProof w:val="0"/>
              </w:rPr>
            </w:pPr>
            <w:r w:rsidRPr="00A34F10">
              <w:rPr>
                <w:noProof w:val="0"/>
              </w:rPr>
              <w:t>yes</w:t>
            </w:r>
          </w:p>
        </w:tc>
      </w:tr>
      <w:tr w:rsidR="00DC5685" w:rsidRPr="00A34F10" w14:paraId="6046FEAA" w14:textId="77777777" w:rsidTr="000470C3">
        <w:trPr>
          <w:cantSplit/>
        </w:trPr>
        <w:tc>
          <w:tcPr>
            <w:tcW w:w="1470" w:type="pct"/>
            <w:tcBorders>
              <w:top w:val="single" w:sz="4" w:space="0" w:color="auto"/>
              <w:bottom w:val="single" w:sz="4" w:space="0" w:color="auto"/>
            </w:tcBorders>
            <w:vAlign w:val="center"/>
          </w:tcPr>
          <w:p w14:paraId="0D6B449E" w14:textId="77777777" w:rsidR="00DC5685" w:rsidRPr="00A34F10" w:rsidRDefault="00DC5685" w:rsidP="000470C3">
            <w:pPr>
              <w:pStyle w:val="RepTable"/>
              <w:keepNext/>
              <w:rPr>
                <w:noProof w:val="0"/>
              </w:rPr>
            </w:pPr>
            <w:r w:rsidRPr="00A34F10">
              <w:rPr>
                <w:noProof w:val="0"/>
              </w:rPr>
              <w:t>Propamocarb-HCL</w:t>
            </w:r>
          </w:p>
        </w:tc>
        <w:tc>
          <w:tcPr>
            <w:tcW w:w="1177" w:type="pct"/>
            <w:tcBorders>
              <w:top w:val="single" w:sz="4" w:space="0" w:color="auto"/>
              <w:bottom w:val="single" w:sz="4" w:space="0" w:color="auto"/>
            </w:tcBorders>
            <w:vAlign w:val="center"/>
          </w:tcPr>
          <w:p w14:paraId="67340716" w14:textId="77777777" w:rsidR="00DC5685" w:rsidRPr="00A34F10" w:rsidRDefault="00DC5685" w:rsidP="000470C3">
            <w:pPr>
              <w:pStyle w:val="RepTable"/>
              <w:rPr>
                <w:noProof w:val="0"/>
              </w:rPr>
            </w:pPr>
            <w:r w:rsidRPr="00A34F10">
              <w:rPr>
                <w:noProof w:val="0"/>
              </w:rPr>
              <w:t>&gt; 28.9 (at 28 d)</w:t>
            </w:r>
          </w:p>
        </w:tc>
        <w:tc>
          <w:tcPr>
            <w:tcW w:w="1177" w:type="pct"/>
            <w:tcBorders>
              <w:top w:val="single" w:sz="4" w:space="0" w:color="auto"/>
              <w:bottom w:val="single" w:sz="4" w:space="0" w:color="auto"/>
            </w:tcBorders>
            <w:vAlign w:val="center"/>
          </w:tcPr>
          <w:p w14:paraId="5200BED8" w14:textId="112B7B21" w:rsidR="00DC5685" w:rsidRPr="00A34F10" w:rsidRDefault="00BA4180" w:rsidP="000470C3">
            <w:pPr>
              <w:pStyle w:val="RepTable"/>
              <w:rPr>
                <w:noProof w:val="0"/>
                <w:vertAlign w:val="superscript"/>
              </w:rPr>
            </w:pPr>
            <w:r w:rsidRPr="00231D6A">
              <w:rPr>
                <w:strike/>
                <w:color w:val="D9D9D9" w:themeColor="background1" w:themeShade="D9"/>
                <w:szCs w:val="20"/>
                <w:lang w:val="en-GB"/>
              </w:rPr>
              <w:t>2.399</w:t>
            </w:r>
            <w:r w:rsidRPr="00231D6A">
              <w:rPr>
                <w:color w:val="D9D9D9" w:themeColor="background1" w:themeShade="D9"/>
                <w:szCs w:val="20"/>
                <w:lang w:val="en-GB"/>
              </w:rPr>
              <w:t xml:space="preserve"> </w:t>
            </w:r>
            <w:r w:rsidRPr="0099062D">
              <w:rPr>
                <w:shd w:val="clear" w:color="auto" w:fill="D9D9D9" w:themeFill="background1" w:themeFillShade="D9"/>
              </w:rPr>
              <w:t>2.241</w:t>
            </w:r>
          </w:p>
        </w:tc>
        <w:tc>
          <w:tcPr>
            <w:tcW w:w="1176" w:type="pct"/>
            <w:tcBorders>
              <w:top w:val="single" w:sz="4" w:space="0" w:color="auto"/>
              <w:bottom w:val="single" w:sz="4" w:space="0" w:color="auto"/>
            </w:tcBorders>
            <w:vAlign w:val="center"/>
          </w:tcPr>
          <w:p w14:paraId="01A634DF" w14:textId="77777777" w:rsidR="00DC5685" w:rsidRPr="00A34F10" w:rsidRDefault="00DC5685" w:rsidP="000470C3">
            <w:pPr>
              <w:pStyle w:val="RepTable"/>
              <w:rPr>
                <w:noProof w:val="0"/>
              </w:rPr>
            </w:pPr>
            <w:r w:rsidRPr="00A34F10">
              <w:rPr>
                <w:noProof w:val="0"/>
              </w:rPr>
              <w:t>yes</w:t>
            </w:r>
          </w:p>
        </w:tc>
      </w:tr>
      <w:tr w:rsidR="00DC5685" w:rsidRPr="00A34F10" w14:paraId="1F1FA999" w14:textId="77777777" w:rsidTr="000470C3">
        <w:trPr>
          <w:cantSplit/>
        </w:trPr>
        <w:tc>
          <w:tcPr>
            <w:tcW w:w="1470" w:type="pct"/>
            <w:tcBorders>
              <w:top w:val="single" w:sz="4" w:space="0" w:color="auto"/>
              <w:bottom w:val="single" w:sz="4" w:space="0" w:color="auto"/>
            </w:tcBorders>
            <w:vAlign w:val="center"/>
          </w:tcPr>
          <w:p w14:paraId="1EA4ADAE" w14:textId="77777777" w:rsidR="00DC5685" w:rsidRPr="00A34F10" w:rsidRDefault="00DC5685" w:rsidP="000470C3">
            <w:pPr>
              <w:pStyle w:val="RepTable"/>
              <w:keepNext/>
              <w:rPr>
                <w:b/>
                <w:bCs/>
                <w:noProof w:val="0"/>
              </w:rPr>
            </w:pPr>
            <w:r w:rsidRPr="00A34F10">
              <w:rPr>
                <w:b/>
                <w:bCs/>
                <w:noProof w:val="0"/>
              </w:rPr>
              <w:t>Product</w:t>
            </w:r>
          </w:p>
        </w:tc>
        <w:tc>
          <w:tcPr>
            <w:tcW w:w="1177" w:type="pct"/>
            <w:tcBorders>
              <w:top w:val="single" w:sz="4" w:space="0" w:color="auto"/>
              <w:bottom w:val="single" w:sz="4" w:space="0" w:color="auto"/>
            </w:tcBorders>
            <w:vAlign w:val="center"/>
          </w:tcPr>
          <w:p w14:paraId="2EA7BD0F" w14:textId="77777777" w:rsidR="00DC5685" w:rsidRPr="00A34F10" w:rsidRDefault="00DC5685" w:rsidP="000470C3">
            <w:pPr>
              <w:pStyle w:val="RepTable"/>
              <w:rPr>
                <w:b/>
                <w:bCs/>
                <w:noProof w:val="0"/>
              </w:rPr>
            </w:pPr>
            <w:r w:rsidRPr="00A34F10">
              <w:rPr>
                <w:b/>
                <w:bCs/>
              </w:rPr>
              <w:t>Max. conc. with effects ≤ 25 % (mg/kg dry soil)</w:t>
            </w:r>
          </w:p>
        </w:tc>
        <w:tc>
          <w:tcPr>
            <w:tcW w:w="1177" w:type="pct"/>
            <w:tcBorders>
              <w:top w:val="single" w:sz="4" w:space="0" w:color="auto"/>
              <w:bottom w:val="single" w:sz="4" w:space="0" w:color="auto"/>
            </w:tcBorders>
            <w:vAlign w:val="center"/>
          </w:tcPr>
          <w:p w14:paraId="740CC1E9" w14:textId="77777777" w:rsidR="00DC5685" w:rsidRPr="00A34F10" w:rsidRDefault="00DC5685" w:rsidP="000470C3">
            <w:pPr>
              <w:pStyle w:val="RepTable"/>
              <w:rPr>
                <w:b/>
                <w:bCs/>
                <w:noProof w:val="0"/>
              </w:rPr>
            </w:pPr>
            <w:r w:rsidRPr="00A34F10">
              <w:rPr>
                <w:b/>
                <w:bCs/>
              </w:rPr>
              <w:t>PEC</w:t>
            </w:r>
            <w:r w:rsidRPr="00A34F10">
              <w:rPr>
                <w:b/>
                <w:bCs/>
                <w:vertAlign w:val="subscript"/>
              </w:rPr>
              <w:t>soil</w:t>
            </w:r>
            <w:r w:rsidRPr="00A34F10">
              <w:rPr>
                <w:b/>
                <w:bCs/>
                <w:vertAlign w:val="subscript"/>
              </w:rPr>
              <w:br/>
            </w:r>
            <w:r w:rsidRPr="00A34F10">
              <w:rPr>
                <w:b/>
                <w:bCs/>
              </w:rPr>
              <w:t>(mg/kg dry soil)</w:t>
            </w:r>
          </w:p>
        </w:tc>
        <w:tc>
          <w:tcPr>
            <w:tcW w:w="1176" w:type="pct"/>
            <w:tcBorders>
              <w:top w:val="single" w:sz="4" w:space="0" w:color="auto"/>
              <w:bottom w:val="single" w:sz="4" w:space="0" w:color="auto"/>
            </w:tcBorders>
            <w:vAlign w:val="center"/>
          </w:tcPr>
          <w:p w14:paraId="28780334" w14:textId="77777777" w:rsidR="00DC5685" w:rsidRPr="00A34F10" w:rsidRDefault="00DC5685" w:rsidP="000470C3">
            <w:pPr>
              <w:pStyle w:val="RepTable"/>
              <w:rPr>
                <w:b/>
                <w:bCs/>
                <w:noProof w:val="0"/>
              </w:rPr>
            </w:pPr>
            <w:r w:rsidRPr="00A34F10">
              <w:rPr>
                <w:b/>
                <w:bCs/>
              </w:rPr>
              <w:t>Risk acceptable?</w:t>
            </w:r>
          </w:p>
        </w:tc>
      </w:tr>
      <w:tr w:rsidR="00DC5685" w:rsidRPr="00A34F10" w14:paraId="1F08D5C5" w14:textId="77777777" w:rsidTr="000470C3">
        <w:trPr>
          <w:cantSplit/>
        </w:trPr>
        <w:tc>
          <w:tcPr>
            <w:tcW w:w="1470" w:type="pct"/>
            <w:tcBorders>
              <w:top w:val="single" w:sz="4" w:space="0" w:color="auto"/>
            </w:tcBorders>
            <w:vAlign w:val="center"/>
          </w:tcPr>
          <w:p w14:paraId="1CBA25E8" w14:textId="77777777" w:rsidR="00DC5685" w:rsidRPr="00A34F10" w:rsidRDefault="00DC5685" w:rsidP="000470C3">
            <w:pPr>
              <w:pStyle w:val="RepTable"/>
              <w:keepNext/>
              <w:rPr>
                <w:noProof w:val="0"/>
              </w:rPr>
            </w:pPr>
            <w:r w:rsidRPr="00A34F10">
              <w:rPr>
                <w:noProof w:val="0"/>
              </w:rPr>
              <w:t>BAS 743 03 F</w:t>
            </w:r>
          </w:p>
        </w:tc>
        <w:tc>
          <w:tcPr>
            <w:tcW w:w="1177" w:type="pct"/>
            <w:tcBorders>
              <w:top w:val="single" w:sz="4" w:space="0" w:color="auto"/>
            </w:tcBorders>
            <w:vAlign w:val="center"/>
          </w:tcPr>
          <w:p w14:paraId="2C4CE829" w14:textId="77777777" w:rsidR="00DC5685" w:rsidRPr="00A34F10" w:rsidRDefault="00DC5685" w:rsidP="000470C3">
            <w:pPr>
              <w:pStyle w:val="RepTable"/>
              <w:rPr>
                <w:noProof w:val="0"/>
              </w:rPr>
            </w:pPr>
            <w:r w:rsidRPr="00A34F10">
              <w:rPr>
                <w:noProof w:val="0"/>
              </w:rPr>
              <w:t>&gt; 25.20 (at 28 d)</w:t>
            </w:r>
          </w:p>
        </w:tc>
        <w:tc>
          <w:tcPr>
            <w:tcW w:w="1177" w:type="pct"/>
            <w:tcBorders>
              <w:top w:val="single" w:sz="4" w:space="0" w:color="auto"/>
            </w:tcBorders>
            <w:vAlign w:val="center"/>
          </w:tcPr>
          <w:p w14:paraId="1D732D2F" w14:textId="2B2EC74D" w:rsidR="00DC5685" w:rsidRPr="00A34F10" w:rsidRDefault="00BA4180" w:rsidP="000470C3">
            <w:pPr>
              <w:pStyle w:val="RepTable"/>
              <w:rPr>
                <w:noProof w:val="0"/>
              </w:rPr>
            </w:pPr>
            <w:r w:rsidRPr="0099062D">
              <w:rPr>
                <w:strike/>
                <w:color w:val="D9D9D9" w:themeColor="background1" w:themeShade="D9"/>
              </w:rPr>
              <w:t>2.57</w:t>
            </w:r>
            <w:r w:rsidRPr="0099062D">
              <w:rPr>
                <w:color w:val="D9D9D9" w:themeColor="background1" w:themeShade="D9"/>
              </w:rPr>
              <w:t xml:space="preserve"> </w:t>
            </w:r>
            <w:r w:rsidRPr="00F50D75">
              <w:rPr>
                <w:szCs w:val="20"/>
                <w:shd w:val="clear" w:color="auto" w:fill="D9D9D9" w:themeFill="background1" w:themeFillShade="D9"/>
              </w:rPr>
              <w:t>7.711</w:t>
            </w:r>
            <w:r w:rsidR="00DC5685" w:rsidRPr="00A34F10">
              <w:rPr>
                <w:noProof w:val="0"/>
              </w:rPr>
              <w:t>**</w:t>
            </w:r>
          </w:p>
        </w:tc>
        <w:tc>
          <w:tcPr>
            <w:tcW w:w="1176" w:type="pct"/>
            <w:tcBorders>
              <w:top w:val="single" w:sz="4" w:space="0" w:color="auto"/>
            </w:tcBorders>
            <w:vAlign w:val="center"/>
          </w:tcPr>
          <w:p w14:paraId="66993811" w14:textId="77777777" w:rsidR="00DC5685" w:rsidRPr="00A34F10" w:rsidRDefault="00DC5685" w:rsidP="000470C3">
            <w:pPr>
              <w:pStyle w:val="RepTable"/>
              <w:rPr>
                <w:noProof w:val="0"/>
              </w:rPr>
            </w:pPr>
            <w:r w:rsidRPr="00A34F10">
              <w:rPr>
                <w:noProof w:val="0"/>
              </w:rPr>
              <w:t>yes</w:t>
            </w:r>
          </w:p>
        </w:tc>
      </w:tr>
    </w:tbl>
    <w:p w14:paraId="30FDA821" w14:textId="77777777" w:rsidR="00DC5685" w:rsidRPr="00A34F10" w:rsidRDefault="00DC5685" w:rsidP="00DC5685">
      <w:pPr>
        <w:pStyle w:val="RepStandard"/>
        <w:suppressAutoHyphens/>
        <w:ind w:left="425" w:hanging="425"/>
        <w:rPr>
          <w:sz w:val="18"/>
        </w:rPr>
      </w:pPr>
      <w:r w:rsidRPr="00A34F10">
        <w:rPr>
          <w:sz w:val="18"/>
        </w:rPr>
        <w:t>*</w:t>
      </w:r>
      <w:r w:rsidRPr="00A34F10">
        <w:rPr>
          <w:sz w:val="18"/>
        </w:rPr>
        <w:tab/>
      </w:r>
      <w:r w:rsidRPr="00027451">
        <w:rPr>
          <w:strike/>
          <w:color w:val="D9D9D9" w:themeColor="background1" w:themeShade="D9"/>
          <w:sz w:val="18"/>
        </w:rPr>
        <w:t>PEC</w:t>
      </w:r>
      <w:r w:rsidRPr="00027451">
        <w:rPr>
          <w:strike/>
          <w:color w:val="D9D9D9" w:themeColor="background1" w:themeShade="D9"/>
          <w:sz w:val="18"/>
          <w:vertAlign w:val="subscript"/>
        </w:rPr>
        <w:t>soil</w:t>
      </w:r>
      <w:r w:rsidRPr="00027451">
        <w:rPr>
          <w:strike/>
          <w:color w:val="D9D9D9" w:themeColor="background1" w:themeShade="D9"/>
          <w:sz w:val="18"/>
        </w:rPr>
        <w:t>, in ornamentals (perennial crops) representing the worst-case for Ametoctradin, Propamocarb-HCl and the Ametoctradin metabolite M650F04</w:t>
      </w:r>
    </w:p>
    <w:p w14:paraId="0E27D15C" w14:textId="77777777" w:rsidR="00DC5685" w:rsidRPr="00A34F10" w:rsidRDefault="00DC5685" w:rsidP="00DC5685">
      <w:pPr>
        <w:pStyle w:val="RepStandard"/>
        <w:suppressAutoHyphens/>
        <w:ind w:left="425" w:hanging="425"/>
        <w:rPr>
          <w:sz w:val="18"/>
        </w:rPr>
      </w:pPr>
      <w:r w:rsidRPr="00A34F10">
        <w:rPr>
          <w:sz w:val="18"/>
        </w:rPr>
        <w:t>**</w:t>
      </w:r>
      <w:r w:rsidRPr="00A34F10">
        <w:rPr>
          <w:vertAlign w:val="superscript"/>
        </w:rPr>
        <w:tab/>
      </w:r>
      <w:r w:rsidRPr="00A34F10">
        <w:rPr>
          <w:sz w:val="18"/>
        </w:rPr>
        <w:t>PEC</w:t>
      </w:r>
      <w:r w:rsidRPr="00A34F10">
        <w:rPr>
          <w:sz w:val="18"/>
          <w:vertAlign w:val="subscript"/>
        </w:rPr>
        <w:t xml:space="preserve">soil, </w:t>
      </w:r>
      <w:r w:rsidRPr="00A34F10">
        <w:rPr>
          <w:sz w:val="18"/>
        </w:rPr>
        <w:t>in field crops</w:t>
      </w:r>
      <w:r w:rsidRPr="00A34F10">
        <w:rPr>
          <w:sz w:val="18"/>
          <w:vertAlign w:val="subscript"/>
        </w:rPr>
        <w:t xml:space="preserve"> </w:t>
      </w:r>
      <w:r w:rsidRPr="00A34F10">
        <w:rPr>
          <w:sz w:val="18"/>
        </w:rPr>
        <w:t xml:space="preserve">representing the worst-case for the formulation BAS 743 03 F </w:t>
      </w:r>
    </w:p>
    <w:p w14:paraId="289761F5" w14:textId="4D29D88F" w:rsidR="00DC5685" w:rsidRPr="00A34F10" w:rsidRDefault="00DC5685" w:rsidP="00DC5685">
      <w:pPr>
        <w:pStyle w:val="RepStandard"/>
        <w:ind w:left="425" w:hanging="425"/>
        <w:jc w:val="left"/>
        <w:rPr>
          <w:sz w:val="18"/>
        </w:rPr>
      </w:pPr>
      <w:r w:rsidRPr="00A34F10">
        <w:rPr>
          <w:sz w:val="18"/>
        </w:rPr>
        <w:t>***</w:t>
      </w:r>
      <w:r w:rsidRPr="00A34F10">
        <w:rPr>
          <w:sz w:val="18"/>
        </w:rPr>
        <w:tab/>
        <w:t>PEC</w:t>
      </w:r>
      <w:r w:rsidRPr="00A34F10">
        <w:rPr>
          <w:sz w:val="18"/>
          <w:vertAlign w:val="subscript"/>
        </w:rPr>
        <w:t xml:space="preserve">soil, accu. </w:t>
      </w:r>
      <w:r w:rsidRPr="00A34F10">
        <w:rPr>
          <w:sz w:val="18"/>
        </w:rPr>
        <w:t>in onion</w:t>
      </w:r>
      <w:r w:rsidRPr="00A34F10">
        <w:rPr>
          <w:sz w:val="18"/>
          <w:vertAlign w:val="subscript"/>
        </w:rPr>
        <w:t xml:space="preserve"> </w:t>
      </w:r>
      <w:r w:rsidRPr="00A34F10">
        <w:rPr>
          <w:sz w:val="18"/>
        </w:rPr>
        <w:t>representing the worst-case for Propamocarb-HCl and the Ametoctradin metabolite M652F03</w:t>
      </w:r>
    </w:p>
    <w:p w14:paraId="5965BF0A" w14:textId="7D82A884" w:rsidR="00523C07" w:rsidRPr="00A34F10" w:rsidRDefault="00523C07" w:rsidP="00DC5685">
      <w:pPr>
        <w:pStyle w:val="RepStandard"/>
        <w:ind w:left="425" w:hanging="425"/>
        <w:jc w:val="left"/>
        <w:rPr>
          <w:sz w:val="18"/>
        </w:rPr>
      </w:pPr>
    </w:p>
    <w:p w14:paraId="5295BBEF" w14:textId="77777777" w:rsidR="00DC5685" w:rsidRPr="00A34F10" w:rsidRDefault="00DC5685" w:rsidP="00DC5685">
      <w:pPr>
        <w:pStyle w:val="RepStandard"/>
        <w:spacing w:before="40"/>
        <w:ind w:left="425" w:hanging="425"/>
        <w:jc w:val="left"/>
        <w:rPr>
          <w:sz w:val="18"/>
          <w:szCs w:val="18"/>
          <w:vertAlign w:val="subscript"/>
        </w:rPr>
      </w:pPr>
    </w:p>
    <w:p w14:paraId="5557A80C" w14:textId="77777777" w:rsidR="00DC5685" w:rsidRPr="00A34F10" w:rsidRDefault="00DC5685" w:rsidP="00DC5685">
      <w:pPr>
        <w:pStyle w:val="RepTable"/>
        <w:jc w:val="both"/>
        <w:rPr>
          <w:noProof w:val="0"/>
          <w:sz w:val="22"/>
        </w:rPr>
      </w:pPr>
      <w:r w:rsidRPr="00A34F10">
        <w:rPr>
          <w:noProof w:val="0"/>
          <w:sz w:val="22"/>
        </w:rPr>
        <w:t>No effects of &gt;25% on soil nitrification were observed in tests with ametoctradin, the formulated product or the potentially relevant soil metabolites at concentrations higher than the maximum calculated PEC</w:t>
      </w:r>
      <w:r w:rsidRPr="00A34F10">
        <w:rPr>
          <w:noProof w:val="0"/>
          <w:sz w:val="22"/>
          <w:vertAlign w:val="subscript"/>
        </w:rPr>
        <w:t>soil</w:t>
      </w:r>
      <w:r w:rsidRPr="00A34F10">
        <w:rPr>
          <w:noProof w:val="0"/>
          <w:sz w:val="22"/>
        </w:rPr>
        <w:t xml:space="preserve"> values. The risk to soil micro-organisms is therefore acceptable.</w:t>
      </w:r>
    </w:p>
    <w:p w14:paraId="30B4205C" w14:textId="77777777" w:rsidR="00DC5685" w:rsidRPr="00A34F10" w:rsidRDefault="00DC5685" w:rsidP="00DC5685">
      <w:pPr>
        <w:pStyle w:val="Nagwek3"/>
        <w:keepNext w:val="0"/>
        <w:rPr>
          <w:rFonts w:cs="Times New Roman"/>
        </w:rPr>
      </w:pPr>
      <w:bookmarkStart w:id="854" w:name="_Toc181625002"/>
      <w:r w:rsidRPr="00A34F10">
        <w:rPr>
          <w:rFonts w:cs="Times New Roman"/>
        </w:rPr>
        <w:t>Overall conclusions</w:t>
      </w:r>
      <w:bookmarkEnd w:id="845"/>
      <w:bookmarkEnd w:id="846"/>
      <w:bookmarkEnd w:id="847"/>
      <w:bookmarkEnd w:id="848"/>
      <w:bookmarkEnd w:id="849"/>
      <w:bookmarkEnd w:id="850"/>
      <w:bookmarkEnd w:id="851"/>
      <w:bookmarkEnd w:id="852"/>
      <w:bookmarkEnd w:id="853"/>
      <w:bookmarkEnd w:id="854"/>
    </w:p>
    <w:p w14:paraId="094A32DB" w14:textId="77777777" w:rsidR="00DC5685" w:rsidRDefault="00DC5685" w:rsidP="00DC5685">
      <w:pPr>
        <w:pStyle w:val="StyleOECD-BASIS-TEXTLeft"/>
        <w:rPr>
          <w:sz w:val="22"/>
        </w:rPr>
      </w:pPr>
      <w:r w:rsidRPr="00A34F10">
        <w:rPr>
          <w:sz w:val="22"/>
        </w:rPr>
        <w:t>For the formulation BAS 743 03 F, the active substance Ametoctradin, the relevant metabolites and the active substance Propamocarb-HCL, the maximum concentrations with effects &lt; 25% (SANCO/10329/2002 trigger) are all by far above the maximum calculated PEC</w:t>
      </w:r>
      <w:r w:rsidRPr="00A34F10">
        <w:rPr>
          <w:sz w:val="22"/>
          <w:vertAlign w:val="subscript"/>
        </w:rPr>
        <w:t xml:space="preserve">soil </w:t>
      </w:r>
      <w:r w:rsidRPr="00A34F10">
        <w:rPr>
          <w:sz w:val="22"/>
        </w:rPr>
        <w:t>values. Therefore, it can be concluded that the use of BAS 743 03 F will not pose an unacceptable risk to non-target soil micro-organisms, if applied according to good agricultural practice.</w:t>
      </w:r>
    </w:p>
    <w:p w14:paraId="1A1AF101" w14:textId="77777777" w:rsidR="0030458C" w:rsidRDefault="0030458C" w:rsidP="00DC5685">
      <w:pPr>
        <w:pStyle w:val="StyleOECD-BASIS-TEXTLeft"/>
        <w:rPr>
          <w:sz w:val="22"/>
        </w:rPr>
      </w:pPr>
    </w:p>
    <w:p w14:paraId="60DEC547" w14:textId="77777777" w:rsidR="009B0F24" w:rsidRDefault="009B0F24" w:rsidP="009B0F24">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9B0F24" w:rsidRPr="00DD5DB0" w14:paraId="2977F7C5" w14:textId="77777777" w:rsidTr="00F53FC3">
        <w:tc>
          <w:tcPr>
            <w:tcW w:w="5000" w:type="pct"/>
            <w:shd w:val="clear" w:color="auto" w:fill="D9D9D9"/>
          </w:tcPr>
          <w:p w14:paraId="5D432782" w14:textId="77777777" w:rsidR="009B0F24" w:rsidRPr="009B0F24" w:rsidRDefault="009B0F24" w:rsidP="009B0F24">
            <w:pPr>
              <w:pStyle w:val="TableText1"/>
              <w:spacing w:after="120" w:line="280" w:lineRule="exact"/>
              <w:jc w:val="left"/>
              <w:rPr>
                <w:b/>
                <w:bCs w:val="0"/>
                <w:sz w:val="22"/>
                <w:szCs w:val="22"/>
                <w:lang w:eastAsia="en-US"/>
              </w:rPr>
            </w:pPr>
            <w:r w:rsidRPr="00DB1C72">
              <w:rPr>
                <w:b/>
                <w:sz w:val="22"/>
                <w:szCs w:val="22"/>
                <w:lang w:eastAsia="en-US"/>
              </w:rPr>
              <w:t xml:space="preserve">Review </w:t>
            </w:r>
            <w:r w:rsidRPr="009B0F24">
              <w:rPr>
                <w:b/>
                <w:sz w:val="22"/>
                <w:szCs w:val="22"/>
                <w:lang w:eastAsia="en-US"/>
              </w:rPr>
              <w:t>Comments:</w:t>
            </w:r>
          </w:p>
          <w:p w14:paraId="744F8396" w14:textId="63C77181" w:rsidR="009B0F24" w:rsidRPr="00DD5DB0" w:rsidRDefault="009B0F24" w:rsidP="00F53FC3">
            <w:pPr>
              <w:pStyle w:val="Default"/>
              <w:spacing w:after="120" w:line="280" w:lineRule="exact"/>
              <w:jc w:val="both"/>
              <w:rPr>
                <w:sz w:val="22"/>
                <w:szCs w:val="22"/>
                <w:lang w:eastAsia="pl-PL"/>
              </w:rPr>
            </w:pPr>
            <w:r w:rsidRPr="009B0F24">
              <w:rPr>
                <w:rFonts w:ascii="Times New Roman" w:hAnsi="Times New Roman" w:cs="Times New Roman"/>
                <w:sz w:val="22"/>
                <w:szCs w:val="22"/>
              </w:rPr>
              <w:t xml:space="preserve">Based on the results of the conducted first tier risk assessment it can be concluded that no risk for soil micro-organisms is expected from use of </w:t>
            </w:r>
            <w:r w:rsidRPr="009B0F24">
              <w:rPr>
                <w:rFonts w:ascii="Times New Roman" w:hAnsi="Times New Roman" w:cs="Times New Roman"/>
                <w:sz w:val="22"/>
              </w:rPr>
              <w:t>BAS 743 03 F</w:t>
            </w:r>
            <w:r w:rsidRPr="009B0F24">
              <w:rPr>
                <w:rFonts w:ascii="Times New Roman" w:hAnsi="Times New Roman" w:cs="Times New Roman"/>
                <w:sz w:val="22"/>
                <w:szCs w:val="22"/>
              </w:rPr>
              <w:t>.</w:t>
            </w:r>
            <w:r w:rsidRPr="00DB1C72">
              <w:rPr>
                <w:rFonts w:ascii="Times New Roman" w:hAnsi="Times New Roman" w:cs="Times New Roman"/>
                <w:sz w:val="22"/>
                <w:szCs w:val="22"/>
              </w:rPr>
              <w:t xml:space="preserve"> </w:t>
            </w:r>
          </w:p>
        </w:tc>
      </w:tr>
    </w:tbl>
    <w:p w14:paraId="5AD60DDD" w14:textId="77777777" w:rsidR="009B0F24" w:rsidRPr="00A34F10" w:rsidRDefault="009B0F24" w:rsidP="00DC5685">
      <w:pPr>
        <w:pStyle w:val="StyleOECD-BASIS-TEXTLeft"/>
        <w:rPr>
          <w:sz w:val="22"/>
          <w:lang w:val="en-US"/>
        </w:rPr>
      </w:pPr>
    </w:p>
    <w:p w14:paraId="0DF8C22E" w14:textId="77777777" w:rsidR="00DC5685" w:rsidRDefault="00DC5685" w:rsidP="002E7F42">
      <w:pPr>
        <w:pStyle w:val="StyleOECD-BASIS-TEXTLeft"/>
        <w:rPr>
          <w:sz w:val="22"/>
          <w:lang w:val="en-US"/>
        </w:rPr>
      </w:pPr>
    </w:p>
    <w:p w14:paraId="375DCC56" w14:textId="77777777" w:rsidR="00CD0BFE" w:rsidRDefault="00CD0BFE" w:rsidP="002E7F42">
      <w:pPr>
        <w:pStyle w:val="StyleOECD-BASIS-TEXTLeft"/>
        <w:rPr>
          <w:sz w:val="22"/>
          <w:lang w:val="en-US"/>
        </w:rPr>
      </w:pPr>
    </w:p>
    <w:p w14:paraId="513EEE16" w14:textId="77777777" w:rsidR="00CD0BFE" w:rsidRPr="00A34F10" w:rsidRDefault="00CD0BFE" w:rsidP="002E7F42">
      <w:pPr>
        <w:pStyle w:val="StyleOECD-BASIS-TEXTLeft"/>
        <w:rPr>
          <w:sz w:val="22"/>
          <w:lang w:val="en-US"/>
        </w:rPr>
        <w:sectPr w:rsidR="00CD0BFE" w:rsidRPr="00A34F10" w:rsidSect="005635A0">
          <w:pgSz w:w="11907" w:h="16840" w:code="9"/>
          <w:pgMar w:top="1418" w:right="1134" w:bottom="1418" w:left="1418" w:header="709" w:footer="709" w:gutter="0"/>
          <w:cols w:space="720"/>
        </w:sectPr>
      </w:pPr>
    </w:p>
    <w:p w14:paraId="57ACC9FE" w14:textId="77777777" w:rsidR="00DC5685" w:rsidRPr="00A34F10" w:rsidRDefault="00DC5685" w:rsidP="00DC5685">
      <w:pPr>
        <w:pStyle w:val="Nagwek2"/>
      </w:pPr>
      <w:bookmarkStart w:id="855" w:name="_Toc399487294"/>
      <w:bookmarkStart w:id="856" w:name="_Ref405399808"/>
      <w:bookmarkStart w:id="857" w:name="_Toc412644031"/>
      <w:bookmarkStart w:id="858" w:name="_Toc413916875"/>
      <w:bookmarkStart w:id="859" w:name="_Toc413917017"/>
      <w:bookmarkStart w:id="860" w:name="_Toc413922078"/>
      <w:bookmarkStart w:id="861" w:name="_Toc413922567"/>
      <w:bookmarkStart w:id="862" w:name="_Toc413922671"/>
      <w:bookmarkStart w:id="863" w:name="_Toc414955308"/>
      <w:bookmarkStart w:id="864" w:name="_Toc415214615"/>
      <w:bookmarkStart w:id="865" w:name="_Toc181625003"/>
      <w:r w:rsidRPr="00A34F10">
        <w:lastRenderedPageBreak/>
        <w:t>Effects on non-target terrestrial plants (KCP 10.6)</w:t>
      </w:r>
      <w:bookmarkEnd w:id="855"/>
      <w:bookmarkEnd w:id="856"/>
      <w:bookmarkEnd w:id="857"/>
      <w:bookmarkEnd w:id="858"/>
      <w:bookmarkEnd w:id="859"/>
      <w:bookmarkEnd w:id="860"/>
      <w:bookmarkEnd w:id="861"/>
      <w:bookmarkEnd w:id="862"/>
      <w:bookmarkEnd w:id="863"/>
      <w:bookmarkEnd w:id="864"/>
      <w:bookmarkEnd w:id="865"/>
    </w:p>
    <w:p w14:paraId="1ACDFCFA" w14:textId="77777777" w:rsidR="00DC5685" w:rsidRPr="00A34F10" w:rsidRDefault="00DC5685" w:rsidP="00DC5685">
      <w:pPr>
        <w:pStyle w:val="Nagwek3"/>
        <w:rPr>
          <w:rFonts w:cs="Times New Roman"/>
        </w:rPr>
      </w:pPr>
      <w:bookmarkStart w:id="866" w:name="_Toc412644032"/>
      <w:bookmarkStart w:id="867" w:name="_Toc413916876"/>
      <w:bookmarkStart w:id="868" w:name="_Toc413917018"/>
      <w:bookmarkStart w:id="869" w:name="_Toc413922079"/>
      <w:bookmarkStart w:id="870" w:name="_Toc413922568"/>
      <w:bookmarkStart w:id="871" w:name="_Toc413922672"/>
      <w:bookmarkStart w:id="872" w:name="_Toc414955309"/>
      <w:bookmarkStart w:id="873" w:name="_Toc415214616"/>
      <w:bookmarkStart w:id="874" w:name="_Toc181625004"/>
      <w:r w:rsidRPr="00A34F10">
        <w:rPr>
          <w:rFonts w:cs="Times New Roman"/>
        </w:rPr>
        <w:t>Toxicity data</w:t>
      </w:r>
      <w:bookmarkEnd w:id="866"/>
      <w:bookmarkEnd w:id="867"/>
      <w:bookmarkEnd w:id="868"/>
      <w:bookmarkEnd w:id="869"/>
      <w:bookmarkEnd w:id="870"/>
      <w:bookmarkEnd w:id="871"/>
      <w:bookmarkEnd w:id="872"/>
      <w:bookmarkEnd w:id="873"/>
      <w:bookmarkEnd w:id="874"/>
    </w:p>
    <w:p w14:paraId="6B6EC548" w14:textId="77777777" w:rsidR="00DC5685" w:rsidRPr="00A34F10" w:rsidRDefault="00DC5685" w:rsidP="00DC5685">
      <w:pPr>
        <w:pStyle w:val="RepStandard"/>
        <w:suppressAutoHyphens/>
      </w:pPr>
      <w:bookmarkStart w:id="875" w:name="_Toc412644033"/>
      <w:bookmarkStart w:id="876" w:name="_Toc413916877"/>
      <w:bookmarkStart w:id="877" w:name="_Toc413917019"/>
      <w:bookmarkStart w:id="878" w:name="_Toc413922080"/>
      <w:bookmarkStart w:id="879" w:name="_Toc413922569"/>
      <w:bookmarkStart w:id="880" w:name="_Toc413922673"/>
      <w:bookmarkStart w:id="881" w:name="_Toc414955310"/>
      <w:bookmarkStart w:id="882" w:name="_Toc415214617"/>
      <w:r w:rsidRPr="00A34F10">
        <w:t xml:space="preserve">Studies on the toxicity to non-target terrestrial plants have not been carried out with technical active substances </w:t>
      </w:r>
      <w:bookmarkStart w:id="883" w:name="_Hlk39512848"/>
      <w:r w:rsidRPr="00A34F10">
        <w:t xml:space="preserve">Ametoctradin and </w:t>
      </w:r>
      <w:bookmarkEnd w:id="883"/>
      <w:r w:rsidRPr="00A34F10">
        <w:t>Propamocarb. As standard practice the risk to non-target plants is based on formulation specific data.</w:t>
      </w:r>
    </w:p>
    <w:p w14:paraId="1393396B" w14:textId="77777777" w:rsidR="00DC5685" w:rsidRPr="00A34F10" w:rsidRDefault="00DC5685" w:rsidP="00DC5685">
      <w:pPr>
        <w:pStyle w:val="RepStandard"/>
        <w:suppressAutoHyphens/>
      </w:pPr>
    </w:p>
    <w:p w14:paraId="120E84D5" w14:textId="77777777" w:rsidR="00DC5685" w:rsidRPr="00A34F10" w:rsidRDefault="00DC5685" w:rsidP="00DC5685">
      <w:pPr>
        <w:pStyle w:val="RepStandard"/>
        <w:suppressAutoHyphens/>
      </w:pPr>
      <w:r w:rsidRPr="00A34F10">
        <w:t>Effects on non-target terrestrial plants of BAS 743 03 F were not evaluated as part of the EU assessment of Ametoctradin and Propamocarb. New data on the similar formulation BAS 743 02 F submitted with this application are listed in Table 9.10-1 and in Appendix 1 and are summarised in Appendix 2. The seedling emergence and the vegetative vigour studies were conducted with the formulation BAS 743 02 F containing 137.1 g/L Ametoctradin and 515.4 g/L Propamocarb-HCl. Since differences in co-formulants and/or their concentration between both formulations are considered minimal, it is assumed that bridging from BAS 743 02 F to BAS 743 03 F is acceptable. For details on the formulation composition please refer to Part C of this submission.</w:t>
      </w:r>
    </w:p>
    <w:p w14:paraId="520A9361" w14:textId="77777777" w:rsidR="00DC5685" w:rsidRPr="00A34F10" w:rsidRDefault="00DC5685" w:rsidP="00DC5685">
      <w:pPr>
        <w:pStyle w:val="RepStandard"/>
        <w:suppressAutoHyphens/>
      </w:pPr>
    </w:p>
    <w:p w14:paraId="7AC4CC52" w14:textId="3BB45022" w:rsidR="00DC5685" w:rsidRPr="00A34F10" w:rsidRDefault="00DC5685" w:rsidP="00DC5685">
      <w:pPr>
        <w:pStyle w:val="RepStandard"/>
        <w:suppressAutoHyphens/>
      </w:pPr>
      <w:r w:rsidRPr="00A34F10">
        <w:t>The selection of studies and endpoints for the risk assessment deviates from the results of the EU review process. Justifications are provided below.</w:t>
      </w:r>
    </w:p>
    <w:p w14:paraId="4DC9429D" w14:textId="77777777" w:rsidR="001645DF" w:rsidRPr="00A34F10" w:rsidRDefault="001645DF" w:rsidP="00DC5685">
      <w:pPr>
        <w:pStyle w:val="RepStandard"/>
        <w:suppressAutoHyphens/>
      </w:pPr>
    </w:p>
    <w:p w14:paraId="6ADF6F0E" w14:textId="07B87B6E" w:rsidR="00DC5685" w:rsidRPr="00A34F10" w:rsidRDefault="00DC5685" w:rsidP="00DC5685">
      <w:pPr>
        <w:pStyle w:val="RepLabel"/>
      </w:pPr>
      <w:bookmarkStart w:id="884" w:name="_Ref441745963"/>
      <w:r w:rsidRPr="00A34F10">
        <w:t xml:space="preserve">Table </w:t>
      </w:r>
      <w:fldSimple w:instr=" STYLEREF 2 \s ">
        <w:r w:rsidR="006F0F3B">
          <w:rPr>
            <w:noProof/>
          </w:rPr>
          <w:t>9.10</w:t>
        </w:r>
      </w:fldSimple>
      <w:r w:rsidR="007E7467">
        <w:noBreakHyphen/>
      </w:r>
      <w:fldSimple w:instr=" SEQ Table \* ARABIC \s 2 ">
        <w:r w:rsidR="006F0F3B">
          <w:rPr>
            <w:noProof/>
          </w:rPr>
          <w:t>1</w:t>
        </w:r>
      </w:fldSimple>
      <w:bookmarkEnd w:id="884"/>
      <w:r w:rsidRPr="00A34F10">
        <w:t>:</w:t>
      </w:r>
      <w:r w:rsidRPr="00A34F10">
        <w:tab/>
        <w:t>Endpoints and effect values of BAS 743 03 F relevant for the risk assessment for non-target terrestrial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15"/>
        <w:gridCol w:w="1398"/>
        <w:gridCol w:w="1819"/>
        <w:gridCol w:w="2099"/>
        <w:gridCol w:w="1314"/>
      </w:tblGrid>
      <w:tr w:rsidR="00DC5685" w:rsidRPr="00A34F10" w14:paraId="36EAE7FB" w14:textId="77777777" w:rsidTr="000470C3">
        <w:trPr>
          <w:tblHeader/>
        </w:trPr>
        <w:tc>
          <w:tcPr>
            <w:tcW w:w="1453" w:type="pct"/>
            <w:shd w:val="clear" w:color="auto" w:fill="auto"/>
          </w:tcPr>
          <w:p w14:paraId="18B4634D" w14:textId="77777777" w:rsidR="00DC5685" w:rsidRPr="00A34F10" w:rsidRDefault="00DC5685" w:rsidP="000470C3">
            <w:pPr>
              <w:pStyle w:val="RepTableHeader"/>
              <w:suppressAutoHyphens/>
            </w:pPr>
            <w:r w:rsidRPr="00A34F10">
              <w:t>Species</w:t>
            </w:r>
          </w:p>
        </w:tc>
        <w:tc>
          <w:tcPr>
            <w:tcW w:w="748" w:type="pct"/>
            <w:shd w:val="clear" w:color="auto" w:fill="auto"/>
          </w:tcPr>
          <w:p w14:paraId="5B523426" w14:textId="77777777" w:rsidR="00DC5685" w:rsidRPr="00A34F10" w:rsidRDefault="00DC5685" w:rsidP="000470C3">
            <w:pPr>
              <w:pStyle w:val="RepTableHeader"/>
              <w:suppressAutoHyphens/>
            </w:pPr>
            <w:r w:rsidRPr="00A34F10">
              <w:t>Product</w:t>
            </w:r>
          </w:p>
        </w:tc>
        <w:tc>
          <w:tcPr>
            <w:tcW w:w="973" w:type="pct"/>
            <w:shd w:val="clear" w:color="auto" w:fill="auto"/>
          </w:tcPr>
          <w:p w14:paraId="7BA771F7" w14:textId="77777777" w:rsidR="00DC5685" w:rsidRPr="00A34F10" w:rsidRDefault="00DC5685" w:rsidP="000470C3">
            <w:pPr>
              <w:pStyle w:val="RepTableHeader"/>
              <w:suppressAutoHyphens/>
            </w:pPr>
            <w:r w:rsidRPr="00A34F10">
              <w:t>Exposure system</w:t>
            </w:r>
          </w:p>
        </w:tc>
        <w:tc>
          <w:tcPr>
            <w:tcW w:w="1123" w:type="pct"/>
            <w:shd w:val="clear" w:color="auto" w:fill="auto"/>
          </w:tcPr>
          <w:p w14:paraId="61CBFA9A" w14:textId="77777777" w:rsidR="00DC5685" w:rsidRPr="00A34F10" w:rsidRDefault="00DC5685" w:rsidP="000470C3">
            <w:pPr>
              <w:pStyle w:val="RepTableHeader"/>
              <w:suppressAutoHyphens/>
            </w:pPr>
            <w:r w:rsidRPr="00A34F10">
              <w:t>Results</w:t>
            </w:r>
          </w:p>
        </w:tc>
        <w:tc>
          <w:tcPr>
            <w:tcW w:w="703" w:type="pct"/>
            <w:shd w:val="clear" w:color="auto" w:fill="auto"/>
          </w:tcPr>
          <w:p w14:paraId="6959D91C" w14:textId="77777777" w:rsidR="00DC5685" w:rsidRPr="00A34F10" w:rsidRDefault="00DC5685" w:rsidP="000470C3">
            <w:pPr>
              <w:pStyle w:val="RepTableHeader"/>
              <w:suppressAutoHyphens/>
            </w:pPr>
            <w:r w:rsidRPr="00A34F10">
              <w:t>Reference</w:t>
            </w:r>
          </w:p>
        </w:tc>
      </w:tr>
      <w:tr w:rsidR="00DC5685" w:rsidRPr="00A34F10" w14:paraId="5CAF2628" w14:textId="77777777" w:rsidTr="000470C3">
        <w:tc>
          <w:tcPr>
            <w:tcW w:w="1453" w:type="pct"/>
            <w:shd w:val="clear" w:color="auto" w:fill="auto"/>
          </w:tcPr>
          <w:p w14:paraId="6CD255BB" w14:textId="77777777" w:rsidR="00DC5685" w:rsidRPr="001D51C3" w:rsidRDefault="00DC5685" w:rsidP="000470C3">
            <w:pPr>
              <w:pStyle w:val="RepTable"/>
              <w:suppressAutoHyphens/>
              <w:rPr>
                <w:iCs/>
                <w:noProof w:val="0"/>
                <w:lang w:val="es-ES"/>
              </w:rPr>
            </w:pPr>
            <w:r w:rsidRPr="001D51C3">
              <w:rPr>
                <w:i/>
                <w:iCs/>
                <w:noProof w:val="0"/>
                <w:lang w:val="es-ES"/>
              </w:rPr>
              <w:t xml:space="preserve">Daucus carota </w:t>
            </w:r>
            <w:r w:rsidRPr="001D51C3">
              <w:rPr>
                <w:i/>
                <w:noProof w:val="0"/>
                <w:lang w:val="es-ES"/>
              </w:rPr>
              <w:t xml:space="preserve">L. </w:t>
            </w:r>
            <w:r w:rsidRPr="001D51C3">
              <w:rPr>
                <w:iCs/>
                <w:noProof w:val="0"/>
                <w:lang w:val="es-ES"/>
              </w:rPr>
              <w:t>(carrot)</w:t>
            </w:r>
          </w:p>
          <w:p w14:paraId="5C2FE70F" w14:textId="77777777" w:rsidR="00DC5685" w:rsidRPr="001D51C3" w:rsidRDefault="00DC5685" w:rsidP="000470C3">
            <w:pPr>
              <w:pStyle w:val="RepTable"/>
              <w:suppressAutoHyphens/>
              <w:rPr>
                <w:i/>
                <w:iCs/>
                <w:noProof w:val="0"/>
                <w:lang w:val="es-ES"/>
              </w:rPr>
            </w:pPr>
            <w:r w:rsidRPr="001D51C3">
              <w:rPr>
                <w:i/>
                <w:iCs/>
                <w:noProof w:val="0"/>
                <w:lang w:val="es-ES"/>
              </w:rPr>
              <w:t xml:space="preserve">Lactuca sativa </w:t>
            </w:r>
            <w:r w:rsidRPr="001D51C3">
              <w:rPr>
                <w:noProof w:val="0"/>
                <w:lang w:val="es-ES"/>
              </w:rPr>
              <w:t>(lettuce)</w:t>
            </w:r>
          </w:p>
          <w:p w14:paraId="34C01BAB" w14:textId="77777777" w:rsidR="00DC5685" w:rsidRPr="00A34F10" w:rsidRDefault="00DC5685" w:rsidP="000470C3">
            <w:pPr>
              <w:pStyle w:val="RepTable"/>
              <w:suppressAutoHyphens/>
              <w:rPr>
                <w:noProof w:val="0"/>
                <w:lang w:val="en-GB"/>
              </w:rPr>
            </w:pPr>
            <w:r w:rsidRPr="00A34F10">
              <w:rPr>
                <w:i/>
                <w:iCs/>
                <w:noProof w:val="0"/>
                <w:lang w:val="en-GB"/>
              </w:rPr>
              <w:t xml:space="preserve">Brassica napus </w:t>
            </w:r>
            <w:r w:rsidRPr="00A34F10">
              <w:rPr>
                <w:noProof w:val="0"/>
                <w:lang w:val="en-GB"/>
              </w:rPr>
              <w:t>(oilseed rape)</w:t>
            </w:r>
          </w:p>
          <w:p w14:paraId="48F23434" w14:textId="77777777" w:rsidR="00DC5685" w:rsidRPr="00A34F10" w:rsidRDefault="00DC5685" w:rsidP="000470C3">
            <w:pPr>
              <w:pStyle w:val="RepTable"/>
              <w:suppressAutoHyphens/>
              <w:rPr>
                <w:i/>
                <w:noProof w:val="0"/>
              </w:rPr>
            </w:pPr>
            <w:r w:rsidRPr="00A34F10">
              <w:rPr>
                <w:i/>
                <w:iCs/>
                <w:noProof w:val="0"/>
                <w:lang w:val="en-GB"/>
              </w:rPr>
              <w:t xml:space="preserve">Cucumis sativus </w:t>
            </w:r>
            <w:r w:rsidRPr="00A34F10">
              <w:rPr>
                <w:noProof w:val="0"/>
                <w:lang w:val="en-GB"/>
              </w:rPr>
              <w:t>(cucumber)</w:t>
            </w:r>
          </w:p>
          <w:p w14:paraId="0EC99ADE" w14:textId="77777777" w:rsidR="00DC5685" w:rsidRPr="00A34F10" w:rsidRDefault="00DC5685" w:rsidP="000470C3">
            <w:pPr>
              <w:pStyle w:val="RepTable"/>
              <w:suppressAutoHyphens/>
              <w:rPr>
                <w:noProof w:val="0"/>
              </w:rPr>
            </w:pPr>
            <w:r w:rsidRPr="00A34F10">
              <w:rPr>
                <w:i/>
                <w:noProof w:val="0"/>
              </w:rPr>
              <w:t>Glycine max</w:t>
            </w:r>
            <w:r w:rsidRPr="00A34F10">
              <w:rPr>
                <w:noProof w:val="0"/>
                <w:vertAlign w:val="subscript"/>
              </w:rPr>
              <w:t xml:space="preserve"> d </w:t>
            </w:r>
            <w:r w:rsidRPr="00A34F10">
              <w:rPr>
                <w:noProof w:val="0"/>
              </w:rPr>
              <w:t>(soybean)</w:t>
            </w:r>
          </w:p>
          <w:p w14:paraId="6746E04E" w14:textId="77777777" w:rsidR="00DC5685" w:rsidRPr="00A34F10" w:rsidRDefault="00DC5685" w:rsidP="000470C3">
            <w:pPr>
              <w:pStyle w:val="RepTable"/>
              <w:suppressAutoHyphens/>
              <w:rPr>
                <w:noProof w:val="0"/>
              </w:rPr>
            </w:pPr>
            <w:r w:rsidRPr="00A34F10">
              <w:rPr>
                <w:i/>
                <w:noProof w:val="0"/>
              </w:rPr>
              <w:t>Solanum lycopersicum</w:t>
            </w:r>
            <w:r w:rsidRPr="00A34F10">
              <w:rPr>
                <w:i/>
                <w:noProof w:val="0"/>
                <w:vertAlign w:val="subscript"/>
              </w:rPr>
              <w:t xml:space="preserve"> </w:t>
            </w:r>
            <w:r w:rsidRPr="00A34F10">
              <w:rPr>
                <w:noProof w:val="0"/>
                <w:vertAlign w:val="subscript"/>
              </w:rPr>
              <w:t xml:space="preserve">d </w:t>
            </w:r>
            <w:r w:rsidRPr="00A34F10">
              <w:rPr>
                <w:noProof w:val="0"/>
              </w:rPr>
              <w:t>(tomato)</w:t>
            </w:r>
          </w:p>
          <w:p w14:paraId="2518103E" w14:textId="77777777" w:rsidR="00DC5685" w:rsidRPr="00A34F10" w:rsidRDefault="00DC5685" w:rsidP="000470C3">
            <w:pPr>
              <w:pStyle w:val="RepTable"/>
              <w:suppressAutoHyphens/>
              <w:rPr>
                <w:noProof w:val="0"/>
              </w:rPr>
            </w:pPr>
            <w:r w:rsidRPr="00A34F10">
              <w:rPr>
                <w:i/>
                <w:noProof w:val="0"/>
              </w:rPr>
              <w:t>Allium cepa</w:t>
            </w:r>
            <w:r w:rsidRPr="00A34F10">
              <w:rPr>
                <w:noProof w:val="0"/>
                <w:vertAlign w:val="subscript"/>
              </w:rPr>
              <w:t xml:space="preserve">m </w:t>
            </w:r>
            <w:r w:rsidRPr="00A34F10">
              <w:rPr>
                <w:noProof w:val="0"/>
              </w:rPr>
              <w:t>(onion)</w:t>
            </w:r>
          </w:p>
          <w:p w14:paraId="2733D053" w14:textId="77777777" w:rsidR="00DC5685" w:rsidRPr="00A34F10" w:rsidRDefault="00DC5685" w:rsidP="000470C3">
            <w:pPr>
              <w:pStyle w:val="RepTable"/>
              <w:suppressAutoHyphens/>
              <w:rPr>
                <w:i/>
                <w:noProof w:val="0"/>
              </w:rPr>
            </w:pPr>
            <w:r w:rsidRPr="00A34F10">
              <w:rPr>
                <w:i/>
                <w:noProof w:val="0"/>
              </w:rPr>
              <w:t>Lolium multiflorum</w:t>
            </w:r>
            <w:r w:rsidRPr="00A34F10">
              <w:rPr>
                <w:i/>
                <w:noProof w:val="0"/>
                <w:vertAlign w:val="subscript"/>
              </w:rPr>
              <w:t xml:space="preserve"> </w:t>
            </w:r>
            <w:r w:rsidRPr="00A34F10">
              <w:rPr>
                <w:noProof w:val="0"/>
                <w:vertAlign w:val="subscript"/>
              </w:rPr>
              <w:t xml:space="preserve">m </w:t>
            </w:r>
            <w:r w:rsidRPr="00A34F10">
              <w:rPr>
                <w:noProof w:val="0"/>
              </w:rPr>
              <w:t>(ryegrass)</w:t>
            </w:r>
          </w:p>
          <w:p w14:paraId="09CBC3AB" w14:textId="77777777" w:rsidR="00DC5685" w:rsidRPr="00A34F10" w:rsidRDefault="00DC5685" w:rsidP="000470C3">
            <w:pPr>
              <w:pStyle w:val="RepTable"/>
              <w:suppressAutoHyphens/>
              <w:rPr>
                <w:i/>
                <w:noProof w:val="0"/>
              </w:rPr>
            </w:pPr>
            <w:r w:rsidRPr="00A34F10">
              <w:rPr>
                <w:i/>
                <w:noProof w:val="0"/>
              </w:rPr>
              <w:t>Triticum aestivum</w:t>
            </w:r>
            <w:r w:rsidRPr="00A34F10">
              <w:rPr>
                <w:i/>
                <w:noProof w:val="0"/>
                <w:vertAlign w:val="subscript"/>
              </w:rPr>
              <w:t xml:space="preserve"> </w:t>
            </w:r>
            <w:r w:rsidRPr="00A34F10">
              <w:rPr>
                <w:noProof w:val="0"/>
                <w:vertAlign w:val="subscript"/>
              </w:rPr>
              <w:t xml:space="preserve">m </w:t>
            </w:r>
            <w:r w:rsidRPr="00A34F10">
              <w:rPr>
                <w:noProof w:val="0"/>
              </w:rPr>
              <w:t>(wheat)</w:t>
            </w:r>
          </w:p>
          <w:p w14:paraId="691E1D7B" w14:textId="77777777" w:rsidR="00DC5685" w:rsidRPr="00A34F10" w:rsidRDefault="00DC5685" w:rsidP="000470C3">
            <w:pPr>
              <w:pStyle w:val="RepTable"/>
              <w:suppressAutoHyphens/>
              <w:rPr>
                <w:rStyle w:val="RepEditorNote"/>
                <w:noProof w:val="0"/>
                <w:color w:val="auto"/>
              </w:rPr>
            </w:pPr>
            <w:r w:rsidRPr="00A34F10">
              <w:rPr>
                <w:i/>
                <w:noProof w:val="0"/>
              </w:rPr>
              <w:t>Zea mays</w:t>
            </w:r>
            <w:r w:rsidRPr="00A34F10">
              <w:rPr>
                <w:noProof w:val="0"/>
                <w:vertAlign w:val="subscript"/>
              </w:rPr>
              <w:t xml:space="preserve"> m </w:t>
            </w:r>
            <w:r w:rsidRPr="00A34F10">
              <w:rPr>
                <w:noProof w:val="0"/>
              </w:rPr>
              <w:t>(corn)</w:t>
            </w:r>
          </w:p>
        </w:tc>
        <w:tc>
          <w:tcPr>
            <w:tcW w:w="748" w:type="pct"/>
            <w:shd w:val="clear" w:color="auto" w:fill="auto"/>
          </w:tcPr>
          <w:p w14:paraId="435DF7E3" w14:textId="77777777" w:rsidR="00DC5685" w:rsidRPr="00A34F10" w:rsidRDefault="00DC5685" w:rsidP="000470C3">
            <w:pPr>
              <w:pStyle w:val="RepTable"/>
              <w:suppressAutoHyphens/>
              <w:rPr>
                <w:noProof w:val="0"/>
              </w:rPr>
            </w:pPr>
            <w:r w:rsidRPr="00A34F10">
              <w:rPr>
                <w:noProof w:val="0"/>
              </w:rPr>
              <w:t>BAS 743 02 F*</w:t>
            </w:r>
          </w:p>
        </w:tc>
        <w:tc>
          <w:tcPr>
            <w:tcW w:w="973" w:type="pct"/>
            <w:shd w:val="clear" w:color="auto" w:fill="auto"/>
          </w:tcPr>
          <w:p w14:paraId="06FB9124" w14:textId="77777777" w:rsidR="00DC5685" w:rsidRPr="00A34F10" w:rsidRDefault="00DC5685" w:rsidP="000470C3">
            <w:pPr>
              <w:pStyle w:val="RepTable"/>
              <w:suppressAutoHyphens/>
              <w:rPr>
                <w:noProof w:val="0"/>
              </w:rPr>
            </w:pPr>
            <w:r w:rsidRPr="00A34F10">
              <w:rPr>
                <w:noProof w:val="0"/>
                <w:szCs w:val="20"/>
              </w:rPr>
              <w:t xml:space="preserve">21 d </w:t>
            </w:r>
            <w:r w:rsidRPr="00A34F10">
              <w:rPr>
                <w:noProof w:val="0"/>
                <w:szCs w:val="20"/>
              </w:rPr>
              <w:br/>
              <w:t>Seedling emergence</w:t>
            </w:r>
          </w:p>
        </w:tc>
        <w:tc>
          <w:tcPr>
            <w:tcW w:w="1123" w:type="pct"/>
            <w:shd w:val="clear" w:color="auto" w:fill="auto"/>
          </w:tcPr>
          <w:p w14:paraId="7BFBC51A" w14:textId="77777777" w:rsidR="00DC5685" w:rsidRPr="00A34F10" w:rsidRDefault="00DC5685" w:rsidP="000470C3">
            <w:pPr>
              <w:pStyle w:val="RepTable"/>
              <w:suppressAutoHyphens/>
              <w:rPr>
                <w:noProof w:val="0"/>
                <w:szCs w:val="20"/>
              </w:rPr>
            </w:pPr>
            <w:r w:rsidRPr="00A34F10">
              <w:rPr>
                <w:noProof w:val="0"/>
              </w:rPr>
              <w:t>ER</w:t>
            </w:r>
            <w:r w:rsidRPr="00A34F10">
              <w:rPr>
                <w:noProof w:val="0"/>
                <w:vertAlign w:val="subscript"/>
              </w:rPr>
              <w:t>50</w:t>
            </w:r>
            <w:r w:rsidRPr="00A34F10">
              <w:rPr>
                <w:noProof w:val="0"/>
              </w:rPr>
              <w:t xml:space="preserve"> &gt; 3.85 L/ha (emergence, plant height, biomass, phytotoxicity and survival)</w:t>
            </w:r>
          </w:p>
        </w:tc>
        <w:tc>
          <w:tcPr>
            <w:tcW w:w="703" w:type="pct"/>
            <w:shd w:val="clear" w:color="auto" w:fill="auto"/>
          </w:tcPr>
          <w:p w14:paraId="04C56B0A" w14:textId="77777777" w:rsidR="00DC5685" w:rsidRPr="00A34F10" w:rsidRDefault="00DC5685" w:rsidP="000470C3">
            <w:pPr>
              <w:pStyle w:val="RepTable"/>
              <w:suppressAutoHyphens/>
              <w:rPr>
                <w:noProof w:val="0"/>
              </w:rPr>
            </w:pPr>
            <w:r w:rsidRPr="00A34F10">
              <w:rPr>
                <w:noProof w:val="0"/>
              </w:rPr>
              <w:t>New study</w:t>
            </w:r>
          </w:p>
          <w:p w14:paraId="24A80406" w14:textId="77777777" w:rsidR="00DC5685" w:rsidRPr="00A34F10" w:rsidRDefault="00DC5685" w:rsidP="000470C3">
            <w:pPr>
              <w:pStyle w:val="RepTable"/>
              <w:suppressAutoHyphens/>
              <w:rPr>
                <w:noProof w:val="0"/>
              </w:rPr>
            </w:pPr>
            <w:r w:rsidRPr="00A34F10">
              <w:rPr>
                <w:noProof w:val="0"/>
              </w:rPr>
              <w:t>2022/2033722</w:t>
            </w:r>
          </w:p>
        </w:tc>
      </w:tr>
      <w:tr w:rsidR="00DC5685" w:rsidRPr="00A34F10" w14:paraId="4ADF1B3D" w14:textId="77777777" w:rsidTr="000470C3">
        <w:tc>
          <w:tcPr>
            <w:tcW w:w="1453" w:type="pct"/>
            <w:shd w:val="clear" w:color="auto" w:fill="auto"/>
          </w:tcPr>
          <w:p w14:paraId="4657AD6A" w14:textId="77777777" w:rsidR="00DC5685" w:rsidRPr="001D51C3" w:rsidRDefault="00DC5685" w:rsidP="000470C3">
            <w:pPr>
              <w:pStyle w:val="RepTable"/>
              <w:suppressAutoHyphens/>
              <w:rPr>
                <w:iCs/>
                <w:noProof w:val="0"/>
                <w:lang w:val="es-ES"/>
              </w:rPr>
            </w:pPr>
            <w:r w:rsidRPr="001D51C3">
              <w:rPr>
                <w:i/>
                <w:iCs/>
                <w:noProof w:val="0"/>
                <w:lang w:val="es-ES"/>
              </w:rPr>
              <w:t xml:space="preserve">Daucus carota </w:t>
            </w:r>
            <w:r w:rsidRPr="001D51C3">
              <w:rPr>
                <w:i/>
                <w:noProof w:val="0"/>
                <w:lang w:val="es-ES"/>
              </w:rPr>
              <w:t xml:space="preserve">L. </w:t>
            </w:r>
            <w:r w:rsidRPr="001D51C3">
              <w:rPr>
                <w:iCs/>
                <w:noProof w:val="0"/>
                <w:lang w:val="es-ES"/>
              </w:rPr>
              <w:t>(carrot)</w:t>
            </w:r>
          </w:p>
          <w:p w14:paraId="2CA49007" w14:textId="77777777" w:rsidR="00DC5685" w:rsidRPr="001D51C3" w:rsidRDefault="00DC5685" w:rsidP="000470C3">
            <w:pPr>
              <w:pStyle w:val="RepTable"/>
              <w:suppressAutoHyphens/>
              <w:rPr>
                <w:i/>
                <w:iCs/>
                <w:noProof w:val="0"/>
                <w:lang w:val="es-ES"/>
              </w:rPr>
            </w:pPr>
            <w:r w:rsidRPr="001D51C3">
              <w:rPr>
                <w:i/>
                <w:iCs/>
                <w:noProof w:val="0"/>
                <w:lang w:val="es-ES"/>
              </w:rPr>
              <w:t xml:space="preserve">Lactuca sativa </w:t>
            </w:r>
            <w:r w:rsidRPr="001D51C3">
              <w:rPr>
                <w:noProof w:val="0"/>
                <w:lang w:val="es-ES"/>
              </w:rPr>
              <w:t>(lettuce)</w:t>
            </w:r>
          </w:p>
          <w:p w14:paraId="40363230" w14:textId="77777777" w:rsidR="00DC5685" w:rsidRPr="00A34F10" w:rsidRDefault="00DC5685" w:rsidP="000470C3">
            <w:pPr>
              <w:pStyle w:val="RepTable"/>
              <w:suppressAutoHyphens/>
              <w:rPr>
                <w:noProof w:val="0"/>
                <w:lang w:val="en-GB"/>
              </w:rPr>
            </w:pPr>
            <w:r w:rsidRPr="00A34F10">
              <w:rPr>
                <w:i/>
                <w:iCs/>
                <w:noProof w:val="0"/>
                <w:lang w:val="en-GB"/>
              </w:rPr>
              <w:t xml:space="preserve">Brassica napus </w:t>
            </w:r>
            <w:r w:rsidRPr="00A34F10">
              <w:rPr>
                <w:noProof w:val="0"/>
                <w:lang w:val="en-GB"/>
              </w:rPr>
              <w:t>(oilseed rape)</w:t>
            </w:r>
          </w:p>
          <w:p w14:paraId="7A302683" w14:textId="77777777" w:rsidR="00DC5685" w:rsidRPr="00A34F10" w:rsidRDefault="00DC5685" w:rsidP="000470C3">
            <w:pPr>
              <w:pStyle w:val="RepTable"/>
              <w:suppressAutoHyphens/>
              <w:rPr>
                <w:i/>
                <w:noProof w:val="0"/>
              </w:rPr>
            </w:pPr>
            <w:r w:rsidRPr="00A34F10">
              <w:rPr>
                <w:i/>
                <w:iCs/>
                <w:noProof w:val="0"/>
                <w:lang w:val="en-GB"/>
              </w:rPr>
              <w:t xml:space="preserve">Cucumis sativus </w:t>
            </w:r>
            <w:r w:rsidRPr="00A34F10">
              <w:rPr>
                <w:noProof w:val="0"/>
                <w:lang w:val="en-GB"/>
              </w:rPr>
              <w:t>(cucumber)</w:t>
            </w:r>
          </w:p>
          <w:p w14:paraId="24426FF2" w14:textId="77777777" w:rsidR="00DC5685" w:rsidRPr="00A34F10" w:rsidRDefault="00DC5685" w:rsidP="000470C3">
            <w:pPr>
              <w:pStyle w:val="RepTable"/>
              <w:suppressAutoHyphens/>
              <w:rPr>
                <w:noProof w:val="0"/>
              </w:rPr>
            </w:pPr>
            <w:r w:rsidRPr="00A34F10">
              <w:rPr>
                <w:i/>
                <w:noProof w:val="0"/>
              </w:rPr>
              <w:t>Glycine max</w:t>
            </w:r>
            <w:r w:rsidRPr="00A34F10">
              <w:rPr>
                <w:noProof w:val="0"/>
                <w:vertAlign w:val="subscript"/>
              </w:rPr>
              <w:t xml:space="preserve"> d </w:t>
            </w:r>
            <w:r w:rsidRPr="00A34F10">
              <w:rPr>
                <w:noProof w:val="0"/>
              </w:rPr>
              <w:t>(soybean)</w:t>
            </w:r>
          </w:p>
          <w:p w14:paraId="23CD503C" w14:textId="77777777" w:rsidR="00DC5685" w:rsidRPr="00A34F10" w:rsidRDefault="00DC5685" w:rsidP="000470C3">
            <w:pPr>
              <w:pStyle w:val="RepTable"/>
              <w:suppressAutoHyphens/>
              <w:rPr>
                <w:noProof w:val="0"/>
              </w:rPr>
            </w:pPr>
            <w:r w:rsidRPr="00A34F10">
              <w:rPr>
                <w:i/>
                <w:noProof w:val="0"/>
              </w:rPr>
              <w:t>Solanum lycopersicum</w:t>
            </w:r>
            <w:r w:rsidRPr="00A34F10">
              <w:rPr>
                <w:i/>
                <w:noProof w:val="0"/>
                <w:vertAlign w:val="subscript"/>
              </w:rPr>
              <w:t xml:space="preserve"> </w:t>
            </w:r>
            <w:r w:rsidRPr="00A34F10">
              <w:rPr>
                <w:noProof w:val="0"/>
                <w:vertAlign w:val="subscript"/>
              </w:rPr>
              <w:t xml:space="preserve">d </w:t>
            </w:r>
            <w:r w:rsidRPr="00A34F10">
              <w:rPr>
                <w:noProof w:val="0"/>
              </w:rPr>
              <w:t>(tomato)</w:t>
            </w:r>
          </w:p>
          <w:p w14:paraId="168BE5EA" w14:textId="77777777" w:rsidR="00DC5685" w:rsidRPr="00A34F10" w:rsidRDefault="00DC5685" w:rsidP="000470C3">
            <w:pPr>
              <w:pStyle w:val="RepTable"/>
              <w:suppressAutoHyphens/>
              <w:rPr>
                <w:noProof w:val="0"/>
              </w:rPr>
            </w:pPr>
            <w:r w:rsidRPr="00A34F10">
              <w:rPr>
                <w:i/>
                <w:noProof w:val="0"/>
              </w:rPr>
              <w:t>Allium cepa</w:t>
            </w:r>
            <w:r w:rsidRPr="00A34F10">
              <w:rPr>
                <w:noProof w:val="0"/>
                <w:vertAlign w:val="subscript"/>
              </w:rPr>
              <w:t xml:space="preserve">m </w:t>
            </w:r>
            <w:r w:rsidRPr="00A34F10">
              <w:rPr>
                <w:noProof w:val="0"/>
              </w:rPr>
              <w:t>(onion)</w:t>
            </w:r>
          </w:p>
          <w:p w14:paraId="10000CDD" w14:textId="77777777" w:rsidR="00DC5685" w:rsidRPr="00A34F10" w:rsidRDefault="00DC5685" w:rsidP="000470C3">
            <w:pPr>
              <w:pStyle w:val="RepTable"/>
              <w:suppressAutoHyphens/>
              <w:rPr>
                <w:i/>
                <w:noProof w:val="0"/>
              </w:rPr>
            </w:pPr>
            <w:r w:rsidRPr="00A34F10">
              <w:rPr>
                <w:i/>
                <w:noProof w:val="0"/>
              </w:rPr>
              <w:t>Lolium multiflorum</w:t>
            </w:r>
            <w:r w:rsidRPr="00A34F10">
              <w:rPr>
                <w:i/>
                <w:noProof w:val="0"/>
                <w:vertAlign w:val="subscript"/>
              </w:rPr>
              <w:t xml:space="preserve"> </w:t>
            </w:r>
            <w:r w:rsidRPr="00A34F10">
              <w:rPr>
                <w:noProof w:val="0"/>
                <w:vertAlign w:val="subscript"/>
              </w:rPr>
              <w:t xml:space="preserve">m </w:t>
            </w:r>
            <w:r w:rsidRPr="00A34F10">
              <w:rPr>
                <w:noProof w:val="0"/>
              </w:rPr>
              <w:t>(ryegrass)</w:t>
            </w:r>
          </w:p>
          <w:p w14:paraId="6CFA3F5E" w14:textId="77777777" w:rsidR="00DC5685" w:rsidRPr="00A34F10" w:rsidRDefault="00DC5685" w:rsidP="000470C3">
            <w:pPr>
              <w:pStyle w:val="RepTable"/>
              <w:suppressAutoHyphens/>
              <w:rPr>
                <w:i/>
                <w:noProof w:val="0"/>
              </w:rPr>
            </w:pPr>
            <w:r w:rsidRPr="00A34F10">
              <w:rPr>
                <w:i/>
                <w:noProof w:val="0"/>
              </w:rPr>
              <w:t>Triticum aestivum</w:t>
            </w:r>
            <w:r w:rsidRPr="00A34F10">
              <w:rPr>
                <w:i/>
                <w:noProof w:val="0"/>
                <w:vertAlign w:val="subscript"/>
              </w:rPr>
              <w:t xml:space="preserve"> </w:t>
            </w:r>
            <w:r w:rsidRPr="00A34F10">
              <w:rPr>
                <w:noProof w:val="0"/>
                <w:vertAlign w:val="subscript"/>
              </w:rPr>
              <w:t xml:space="preserve">m </w:t>
            </w:r>
            <w:r w:rsidRPr="00A34F10">
              <w:rPr>
                <w:noProof w:val="0"/>
              </w:rPr>
              <w:t>(wheat)</w:t>
            </w:r>
          </w:p>
          <w:p w14:paraId="575DE51E" w14:textId="77777777" w:rsidR="00DC5685" w:rsidRPr="00A34F10" w:rsidRDefault="00DC5685" w:rsidP="000470C3">
            <w:pPr>
              <w:pStyle w:val="RepTable"/>
              <w:suppressAutoHyphens/>
              <w:rPr>
                <w:rStyle w:val="RepEditorNote"/>
                <w:noProof w:val="0"/>
                <w:color w:val="auto"/>
              </w:rPr>
            </w:pPr>
            <w:r w:rsidRPr="00A34F10">
              <w:rPr>
                <w:i/>
                <w:noProof w:val="0"/>
              </w:rPr>
              <w:t>Zea mays</w:t>
            </w:r>
            <w:r w:rsidRPr="00A34F10">
              <w:rPr>
                <w:noProof w:val="0"/>
                <w:vertAlign w:val="subscript"/>
              </w:rPr>
              <w:t xml:space="preserve"> m </w:t>
            </w:r>
            <w:r w:rsidRPr="00A34F10">
              <w:rPr>
                <w:noProof w:val="0"/>
              </w:rPr>
              <w:t>(corn)</w:t>
            </w:r>
          </w:p>
        </w:tc>
        <w:tc>
          <w:tcPr>
            <w:tcW w:w="748" w:type="pct"/>
            <w:shd w:val="clear" w:color="auto" w:fill="auto"/>
          </w:tcPr>
          <w:p w14:paraId="482BA65C" w14:textId="77777777" w:rsidR="00DC5685" w:rsidRPr="00A34F10" w:rsidRDefault="00DC5685" w:rsidP="000470C3">
            <w:pPr>
              <w:pStyle w:val="RepTable"/>
              <w:suppressAutoHyphens/>
              <w:rPr>
                <w:noProof w:val="0"/>
              </w:rPr>
            </w:pPr>
            <w:r w:rsidRPr="00A34F10">
              <w:rPr>
                <w:noProof w:val="0"/>
              </w:rPr>
              <w:t>BAS 743 02 F*</w:t>
            </w:r>
          </w:p>
        </w:tc>
        <w:tc>
          <w:tcPr>
            <w:tcW w:w="973" w:type="pct"/>
            <w:shd w:val="clear" w:color="auto" w:fill="auto"/>
          </w:tcPr>
          <w:p w14:paraId="4D99F7EE" w14:textId="77777777" w:rsidR="00DC5685" w:rsidRPr="00A34F10" w:rsidRDefault="00DC5685" w:rsidP="000470C3">
            <w:pPr>
              <w:pStyle w:val="RepTable"/>
              <w:suppressAutoHyphens/>
              <w:rPr>
                <w:noProof w:val="0"/>
              </w:rPr>
            </w:pPr>
            <w:r w:rsidRPr="00A34F10">
              <w:rPr>
                <w:noProof w:val="0"/>
                <w:szCs w:val="20"/>
              </w:rPr>
              <w:t>21 d</w:t>
            </w:r>
            <w:r w:rsidRPr="00A34F10">
              <w:rPr>
                <w:noProof w:val="0"/>
                <w:szCs w:val="20"/>
              </w:rPr>
              <w:br/>
              <w:t>Vegetative vigor</w:t>
            </w:r>
          </w:p>
        </w:tc>
        <w:tc>
          <w:tcPr>
            <w:tcW w:w="1123" w:type="pct"/>
            <w:shd w:val="clear" w:color="auto" w:fill="auto"/>
          </w:tcPr>
          <w:p w14:paraId="26C93D81" w14:textId="77777777" w:rsidR="00DC5685" w:rsidRPr="00A34F10" w:rsidRDefault="00DC5685" w:rsidP="000470C3">
            <w:pPr>
              <w:pStyle w:val="RepTable"/>
              <w:suppressAutoHyphens/>
              <w:rPr>
                <w:noProof w:val="0"/>
              </w:rPr>
            </w:pPr>
            <w:r w:rsidRPr="00A34F10">
              <w:rPr>
                <w:noProof w:val="0"/>
              </w:rPr>
              <w:t>ER</w:t>
            </w:r>
            <w:r w:rsidRPr="00A34F10">
              <w:rPr>
                <w:noProof w:val="0"/>
                <w:vertAlign w:val="subscript"/>
              </w:rPr>
              <w:t>50</w:t>
            </w:r>
            <w:r w:rsidRPr="00A34F10">
              <w:rPr>
                <w:noProof w:val="0"/>
              </w:rPr>
              <w:t xml:space="preserve"> &gt; 3.85 L/ha </w:t>
            </w:r>
            <w:r w:rsidRPr="00A34F10">
              <w:rPr>
                <w:noProof w:val="0"/>
              </w:rPr>
              <w:br/>
              <w:t>(plant height, biomass, phytotoxicity and survival)</w:t>
            </w:r>
          </w:p>
        </w:tc>
        <w:tc>
          <w:tcPr>
            <w:tcW w:w="703" w:type="pct"/>
            <w:shd w:val="clear" w:color="auto" w:fill="auto"/>
          </w:tcPr>
          <w:p w14:paraId="114941C0" w14:textId="77777777" w:rsidR="00DC5685" w:rsidRPr="00A34F10" w:rsidRDefault="00DC5685" w:rsidP="000470C3">
            <w:pPr>
              <w:pStyle w:val="RepTable"/>
              <w:suppressAutoHyphens/>
              <w:rPr>
                <w:noProof w:val="0"/>
              </w:rPr>
            </w:pPr>
            <w:r w:rsidRPr="00A34F10">
              <w:rPr>
                <w:noProof w:val="0"/>
              </w:rPr>
              <w:t>New study</w:t>
            </w:r>
          </w:p>
          <w:p w14:paraId="426C2BF5" w14:textId="77777777" w:rsidR="00DC5685" w:rsidRPr="00A34F10" w:rsidRDefault="00DC5685" w:rsidP="000470C3">
            <w:pPr>
              <w:pStyle w:val="RepTable"/>
              <w:suppressAutoHyphens/>
              <w:rPr>
                <w:noProof w:val="0"/>
              </w:rPr>
            </w:pPr>
            <w:r w:rsidRPr="00A34F10">
              <w:rPr>
                <w:noProof w:val="0"/>
              </w:rPr>
              <w:t>2022/2033723</w:t>
            </w:r>
          </w:p>
        </w:tc>
      </w:tr>
    </w:tbl>
    <w:p w14:paraId="6C24C6B4" w14:textId="77777777" w:rsidR="00DC5685" w:rsidRPr="00A34F10" w:rsidRDefault="00DC5685" w:rsidP="00DC5685">
      <w:pPr>
        <w:pStyle w:val="RepTableFootnote"/>
        <w:suppressAutoHyphens/>
        <w:rPr>
          <w:noProof w:val="0"/>
          <w:lang w:val="en-US"/>
        </w:rPr>
      </w:pPr>
      <w:r w:rsidRPr="00A34F10">
        <w:rPr>
          <w:noProof w:val="0"/>
          <w:lang w:val="en-US"/>
        </w:rPr>
        <w:t>m: monocotyledonous; d: dicotyledonous</w:t>
      </w:r>
    </w:p>
    <w:p w14:paraId="59E7D589" w14:textId="77777777" w:rsidR="00DC5685" w:rsidRPr="00A34F10" w:rsidRDefault="00DC5685" w:rsidP="00DC5685">
      <w:pPr>
        <w:pStyle w:val="RepStandard"/>
        <w:rPr>
          <w:sz w:val="18"/>
          <w:szCs w:val="18"/>
        </w:rPr>
      </w:pPr>
      <w:r w:rsidRPr="00A34F10">
        <w:rPr>
          <w:sz w:val="18"/>
          <w:szCs w:val="18"/>
        </w:rPr>
        <w:t>* Tested with the similar formulation BAS 743 02 F (containing 137.1 g/L Ametoctradin and 515.4 g/L Propamocarb-HCL)</w:t>
      </w:r>
    </w:p>
    <w:p w14:paraId="2DF7C336" w14:textId="3A4C3B0B" w:rsidR="00DC5685" w:rsidRPr="00A34F10" w:rsidRDefault="001645DF" w:rsidP="00DC5685">
      <w:pPr>
        <w:pStyle w:val="RepStandard"/>
      </w:pPr>
      <w:r w:rsidRPr="00A34F10">
        <w:br w:type="page"/>
      </w:r>
    </w:p>
    <w:p w14:paraId="1508AB50" w14:textId="77777777" w:rsidR="00DC5685" w:rsidRPr="00A34F10" w:rsidRDefault="00DC5685" w:rsidP="00DC5685">
      <w:pPr>
        <w:pStyle w:val="Nagwek4"/>
        <w:rPr>
          <w:lang w:val="en-GB"/>
        </w:rPr>
      </w:pPr>
      <w:bookmarkStart w:id="885" w:name="_Toc181625005"/>
      <w:r w:rsidRPr="00A34F10">
        <w:rPr>
          <w:lang w:val="en-GB"/>
        </w:rPr>
        <w:lastRenderedPageBreak/>
        <w:t>Justification for new endpoints</w:t>
      </w:r>
      <w:bookmarkEnd w:id="875"/>
      <w:bookmarkEnd w:id="876"/>
      <w:bookmarkEnd w:id="877"/>
      <w:bookmarkEnd w:id="878"/>
      <w:bookmarkEnd w:id="879"/>
      <w:bookmarkEnd w:id="880"/>
      <w:bookmarkEnd w:id="881"/>
      <w:bookmarkEnd w:id="882"/>
      <w:bookmarkEnd w:id="885"/>
    </w:p>
    <w:p w14:paraId="08A0D47D" w14:textId="77777777" w:rsidR="00DC5685" w:rsidRPr="00A34F10" w:rsidRDefault="00DC5685" w:rsidP="00DC5685">
      <w:pPr>
        <w:pStyle w:val="RepStandard"/>
        <w:suppressAutoHyphens/>
        <w:rPr>
          <w:szCs w:val="24"/>
        </w:rPr>
      </w:pPr>
      <w:r w:rsidRPr="00A34F10">
        <w:rPr>
          <w:szCs w:val="24"/>
        </w:rPr>
        <w:t>BAS 743 03 F was not the representative formulation during the EU review for approval of the active substance Ametoctradin and Propamocarb. Therefore, the endpoints for the formulation have been taken into account and the risk assessment has been conducted for BAS 743 03 F.</w:t>
      </w:r>
    </w:p>
    <w:p w14:paraId="4D6DAF02" w14:textId="77777777" w:rsidR="00DC5685" w:rsidRPr="00A34F10" w:rsidRDefault="00DC5685" w:rsidP="00DC5685">
      <w:pPr>
        <w:pStyle w:val="Nagwek3"/>
        <w:rPr>
          <w:rFonts w:cs="Times New Roman"/>
        </w:rPr>
      </w:pPr>
      <w:bookmarkStart w:id="886" w:name="_Toc412644034"/>
      <w:bookmarkStart w:id="887" w:name="_Toc413916878"/>
      <w:bookmarkStart w:id="888" w:name="_Toc413917020"/>
      <w:bookmarkStart w:id="889" w:name="_Toc413922081"/>
      <w:bookmarkStart w:id="890" w:name="_Toc413922570"/>
      <w:bookmarkStart w:id="891" w:name="_Toc413922674"/>
      <w:bookmarkStart w:id="892" w:name="_Toc414955311"/>
      <w:bookmarkStart w:id="893" w:name="_Toc415214618"/>
      <w:bookmarkStart w:id="894" w:name="_Toc181625006"/>
      <w:r w:rsidRPr="00A34F10">
        <w:rPr>
          <w:rFonts w:cs="Times New Roman"/>
        </w:rPr>
        <w:t>Risk assessment</w:t>
      </w:r>
      <w:bookmarkEnd w:id="886"/>
      <w:bookmarkEnd w:id="887"/>
      <w:bookmarkEnd w:id="888"/>
      <w:bookmarkEnd w:id="889"/>
      <w:bookmarkEnd w:id="890"/>
      <w:bookmarkEnd w:id="891"/>
      <w:bookmarkEnd w:id="892"/>
      <w:bookmarkEnd w:id="893"/>
      <w:bookmarkEnd w:id="894"/>
    </w:p>
    <w:p w14:paraId="03DFC6AF" w14:textId="77777777" w:rsidR="00DC5685" w:rsidRPr="00A34F10" w:rsidRDefault="00DC5685" w:rsidP="00DC5685">
      <w:pPr>
        <w:pStyle w:val="Nagwek4"/>
        <w:rPr>
          <w:lang w:val="en-GB"/>
        </w:rPr>
      </w:pPr>
      <w:bookmarkStart w:id="895" w:name="_Toc412644035"/>
      <w:bookmarkStart w:id="896" w:name="_Toc413916879"/>
      <w:bookmarkStart w:id="897" w:name="_Toc413917021"/>
      <w:bookmarkStart w:id="898" w:name="_Toc413922082"/>
      <w:bookmarkStart w:id="899" w:name="_Toc413922571"/>
      <w:bookmarkStart w:id="900" w:name="_Toc413922675"/>
      <w:bookmarkStart w:id="901" w:name="_Toc414955312"/>
      <w:bookmarkStart w:id="902" w:name="_Toc415214619"/>
      <w:bookmarkStart w:id="903" w:name="_Toc181625007"/>
      <w:r w:rsidRPr="00A34F10">
        <w:rPr>
          <w:lang w:val="en-GB"/>
        </w:rPr>
        <w:t>Tier-1 risk assessment (based screening data)</w:t>
      </w:r>
      <w:bookmarkEnd w:id="895"/>
      <w:bookmarkEnd w:id="896"/>
      <w:bookmarkEnd w:id="897"/>
      <w:bookmarkEnd w:id="898"/>
      <w:bookmarkEnd w:id="899"/>
      <w:bookmarkEnd w:id="900"/>
      <w:bookmarkEnd w:id="901"/>
      <w:bookmarkEnd w:id="902"/>
      <w:bookmarkEnd w:id="903"/>
    </w:p>
    <w:p w14:paraId="3AD5CAB7" w14:textId="77777777" w:rsidR="00DC5685" w:rsidRPr="00A34F10" w:rsidRDefault="00DC5685" w:rsidP="00DC5685">
      <w:pPr>
        <w:pStyle w:val="RepStandard"/>
        <w:suppressAutoHyphens/>
      </w:pPr>
      <w:bookmarkStart w:id="904" w:name="_Toc412644036"/>
      <w:bookmarkStart w:id="905" w:name="_Toc413916880"/>
      <w:bookmarkStart w:id="906" w:name="_Toc413917022"/>
      <w:bookmarkStart w:id="907" w:name="_Toc413922083"/>
      <w:bookmarkStart w:id="908" w:name="_Toc413922572"/>
      <w:bookmarkStart w:id="909" w:name="_Toc413922676"/>
      <w:bookmarkStart w:id="910" w:name="_Toc414955313"/>
      <w:bookmarkStart w:id="911" w:name="_Toc415214620"/>
      <w:r w:rsidRPr="00A34F10">
        <w:t>The evaluation of the risk to non-target plants was performed in accordance with the “Guidance Document on Terrestrial Ecotoxicology”, (SANCO/10329/2002 rev.2 final, 2002). BAS 743 03 F is a fungicide and is therefore not expected to have significant herbicidal activity. Hence, a Tier-1 assessment has been conducted, using the available screening data.</w:t>
      </w:r>
    </w:p>
    <w:p w14:paraId="36CEAF97" w14:textId="77777777" w:rsidR="00DC5685" w:rsidRPr="00A34F10" w:rsidRDefault="00DC5685" w:rsidP="00DC5685">
      <w:pPr>
        <w:pStyle w:val="RepStandard"/>
        <w:suppressAutoHyphens/>
      </w:pPr>
    </w:p>
    <w:p w14:paraId="3232F6EB" w14:textId="77777777" w:rsidR="00DC5685" w:rsidRPr="00A34F10" w:rsidRDefault="00DC5685" w:rsidP="00DC5685">
      <w:pPr>
        <w:pStyle w:val="RepStandard"/>
        <w:suppressAutoHyphens/>
      </w:pPr>
      <w:bookmarkStart w:id="912" w:name="_Hlk40900090"/>
      <w:r w:rsidRPr="00A34F10">
        <w:t xml:space="preserve">Studies on the effects of BAS 743 03 F exposure on seedling emergence and vegetative vigour of terrestrial higher plants were conducted with a similar formulation BAS 743 02 F containing 137.1 g/L Ametoctradin and 515.4 g/L Propamocarb-HCL. The results showed that applications up to a rate of 3.85 L BAS 743 02 F/ha (2.5 kg total a.s./ha) caused no reduced seedling emergence and plant fresh weight, and no symptoms of phytotoxicity were observed for any of the ten terrestrial plant species tested. </w:t>
      </w:r>
    </w:p>
    <w:p w14:paraId="68375EA6" w14:textId="77777777" w:rsidR="00DC5685" w:rsidRPr="00A34F10" w:rsidRDefault="00DC5685" w:rsidP="00DC5685">
      <w:pPr>
        <w:pStyle w:val="RepStandard"/>
        <w:suppressAutoHyphens/>
      </w:pPr>
      <w:r w:rsidRPr="00A34F10">
        <w:t>Since no effects of greater than 50% were observed in the studies at the max application rate, an ER</w:t>
      </w:r>
      <w:r w:rsidRPr="00A34F10">
        <w:rPr>
          <w:vertAlign w:val="subscript"/>
        </w:rPr>
        <w:t>50</w:t>
      </w:r>
      <w:r w:rsidRPr="00A34F10">
        <w:t xml:space="preserve"> &gt; 3.85 L/ha for all tested species based on the aforementioned endpoints was detected.   </w:t>
      </w:r>
    </w:p>
    <w:bookmarkEnd w:id="912"/>
    <w:p w14:paraId="2F36F8DF" w14:textId="77777777" w:rsidR="00DC5685" w:rsidRPr="00A34F10" w:rsidRDefault="00DC5685" w:rsidP="00DC5685">
      <w:pPr>
        <w:pStyle w:val="RepStandard"/>
        <w:suppressAutoHyphens/>
      </w:pPr>
    </w:p>
    <w:p w14:paraId="6AF6526F" w14:textId="29B3E90A" w:rsidR="00DC5685" w:rsidRPr="00A34F10" w:rsidRDefault="00DC5685" w:rsidP="00DC5685">
      <w:pPr>
        <w:pStyle w:val="RepStandard"/>
        <w:suppressAutoHyphens/>
      </w:pPr>
      <w:r w:rsidRPr="00A34F10">
        <w:t>According to the Terrestrial Guidance Document, the risk to non-target terrestrial plants should be considered acceptable if less than 50% effect on at least six species is seen at the highest nominal application rate (1x). For BAS 743 03 F the highest nominal application rate is 2 L product/ha (1.142 kg total a.s./ha) for all the intended uses. This application rate is much lower (2.2x) than the highest application rate tested on 10 terrestrial plant species, which showed no effects for any of the tested plant species. It can therefore be concluded that the proposed uses of BAS 743 03 F pose no unacceptable risk to non-target terrestrial plants.</w:t>
      </w:r>
    </w:p>
    <w:p w14:paraId="06C55AD9" w14:textId="77777777" w:rsidR="00DC5685" w:rsidRPr="00A34F10" w:rsidRDefault="00DC5685" w:rsidP="00DC5685">
      <w:pPr>
        <w:pStyle w:val="Nagwek4"/>
        <w:rPr>
          <w:lang w:val="en-GB"/>
        </w:rPr>
      </w:pPr>
      <w:bookmarkStart w:id="913" w:name="_Toc181625008"/>
      <w:r w:rsidRPr="00A34F10">
        <w:rPr>
          <w:lang w:val="en-GB"/>
        </w:rPr>
        <w:t>Tier-2 risk assessment (based on dose-response data)</w:t>
      </w:r>
      <w:bookmarkEnd w:id="904"/>
      <w:bookmarkEnd w:id="905"/>
      <w:bookmarkEnd w:id="906"/>
      <w:bookmarkEnd w:id="907"/>
      <w:bookmarkEnd w:id="908"/>
      <w:bookmarkEnd w:id="909"/>
      <w:bookmarkEnd w:id="910"/>
      <w:bookmarkEnd w:id="911"/>
      <w:bookmarkEnd w:id="913"/>
    </w:p>
    <w:p w14:paraId="5C3AE74F" w14:textId="4CEF6A4E" w:rsidR="00DC5685" w:rsidRPr="00A34F10" w:rsidRDefault="00DC5685" w:rsidP="00DC5685">
      <w:pPr>
        <w:pStyle w:val="RepStandard"/>
        <w:suppressAutoHyphens/>
      </w:pPr>
      <w:bookmarkStart w:id="914" w:name="_Toc412644037"/>
      <w:bookmarkStart w:id="915" w:name="_Toc413916881"/>
      <w:bookmarkStart w:id="916" w:name="_Toc413917023"/>
      <w:bookmarkStart w:id="917" w:name="_Toc413922084"/>
      <w:bookmarkStart w:id="918" w:name="_Toc413922573"/>
      <w:bookmarkStart w:id="919" w:name="_Toc413922677"/>
      <w:bookmarkStart w:id="920" w:name="_Toc414955314"/>
      <w:bookmarkStart w:id="921" w:name="_Toc415214621"/>
      <w:r w:rsidRPr="00A34F10">
        <w:t>As the risk assessment based on screening data demonstrates an acceptable risk to non-target terrestrial plants, no further risk assessment is required.</w:t>
      </w:r>
    </w:p>
    <w:p w14:paraId="5AC8AF8B" w14:textId="77777777" w:rsidR="00DC5685" w:rsidRPr="00A34F10" w:rsidRDefault="00DC5685" w:rsidP="00DC5685">
      <w:pPr>
        <w:pStyle w:val="Nagwek4"/>
        <w:rPr>
          <w:lang w:val="en-GB"/>
        </w:rPr>
      </w:pPr>
      <w:bookmarkStart w:id="922" w:name="_Toc181625009"/>
      <w:r w:rsidRPr="00A34F10">
        <w:rPr>
          <w:lang w:val="en-GB"/>
        </w:rPr>
        <w:t>Higher-tier risk assessment</w:t>
      </w:r>
      <w:bookmarkEnd w:id="914"/>
      <w:bookmarkEnd w:id="915"/>
      <w:bookmarkEnd w:id="916"/>
      <w:bookmarkEnd w:id="917"/>
      <w:bookmarkEnd w:id="918"/>
      <w:bookmarkEnd w:id="919"/>
      <w:bookmarkEnd w:id="920"/>
      <w:bookmarkEnd w:id="921"/>
      <w:bookmarkEnd w:id="922"/>
    </w:p>
    <w:p w14:paraId="60034C46" w14:textId="77777777" w:rsidR="00DC5685" w:rsidRPr="00A34F10" w:rsidRDefault="00DC5685" w:rsidP="00DC5685">
      <w:pPr>
        <w:pStyle w:val="RepStandard"/>
        <w:suppressAutoHyphens/>
      </w:pPr>
      <w:bookmarkStart w:id="923" w:name="_Toc412644038"/>
      <w:bookmarkStart w:id="924" w:name="_Toc413916882"/>
      <w:bookmarkStart w:id="925" w:name="_Toc413917024"/>
      <w:bookmarkStart w:id="926" w:name="_Toc413922085"/>
      <w:bookmarkStart w:id="927" w:name="_Toc413922574"/>
      <w:bookmarkStart w:id="928" w:name="_Toc413922678"/>
      <w:bookmarkStart w:id="929" w:name="_Toc414955315"/>
      <w:bookmarkStart w:id="930" w:name="_Toc415214622"/>
      <w:r w:rsidRPr="00A34F10">
        <w:t xml:space="preserve">As the Tier-1 assessment indicates an acceptable risk to non-target terrestrial plants, no further risk </w:t>
      </w:r>
    </w:p>
    <w:p w14:paraId="7991FF07" w14:textId="272B4CEB" w:rsidR="001645DF" w:rsidRPr="00A34F10" w:rsidRDefault="00DC5685" w:rsidP="00DC5685">
      <w:pPr>
        <w:pStyle w:val="RepStandard"/>
        <w:suppressAutoHyphens/>
      </w:pPr>
      <w:r w:rsidRPr="00A34F10">
        <w:t>assessment is required.</w:t>
      </w:r>
    </w:p>
    <w:p w14:paraId="70F1BB6E" w14:textId="77777777" w:rsidR="00DC5685" w:rsidRPr="00A34F10" w:rsidRDefault="00DC5685" w:rsidP="00DC5685">
      <w:pPr>
        <w:pStyle w:val="Nagwek4"/>
        <w:rPr>
          <w:lang w:val="en-GB"/>
        </w:rPr>
      </w:pPr>
      <w:bookmarkStart w:id="931" w:name="_Toc181625010"/>
      <w:r w:rsidRPr="00A34F10">
        <w:rPr>
          <w:lang w:val="en-GB"/>
        </w:rPr>
        <w:t>Risk mitigation measures</w:t>
      </w:r>
      <w:bookmarkEnd w:id="923"/>
      <w:bookmarkEnd w:id="924"/>
      <w:bookmarkEnd w:id="925"/>
      <w:bookmarkEnd w:id="926"/>
      <w:bookmarkEnd w:id="927"/>
      <w:bookmarkEnd w:id="928"/>
      <w:bookmarkEnd w:id="929"/>
      <w:bookmarkEnd w:id="930"/>
      <w:bookmarkEnd w:id="931"/>
    </w:p>
    <w:p w14:paraId="04B06FF6" w14:textId="092A0652" w:rsidR="00DC5685" w:rsidRPr="00A34F10" w:rsidRDefault="00DC5685" w:rsidP="00DC5685">
      <w:pPr>
        <w:pStyle w:val="RepStandard"/>
      </w:pPr>
      <w:r w:rsidRPr="00A34F10">
        <w:t>No risk mitigation needed.</w:t>
      </w:r>
    </w:p>
    <w:p w14:paraId="2C413C33" w14:textId="5FAB01C0" w:rsidR="001645DF" w:rsidRPr="00A34F10" w:rsidRDefault="001645DF" w:rsidP="00DC5685">
      <w:pPr>
        <w:pStyle w:val="RepStandard"/>
      </w:pPr>
    </w:p>
    <w:p w14:paraId="3E6F1E9B" w14:textId="77777777" w:rsidR="001645DF" w:rsidRPr="00A34F10" w:rsidRDefault="001645DF" w:rsidP="00DC5685">
      <w:pPr>
        <w:pStyle w:val="RepStandard"/>
      </w:pPr>
    </w:p>
    <w:p w14:paraId="7FC3F3B9" w14:textId="77777777" w:rsidR="00DC5685" w:rsidRPr="00A34F10" w:rsidRDefault="00DC5685" w:rsidP="00DC5685">
      <w:pPr>
        <w:pStyle w:val="Nagwek3"/>
        <w:rPr>
          <w:rFonts w:cs="Times New Roman"/>
        </w:rPr>
      </w:pPr>
      <w:bookmarkStart w:id="932" w:name="_Toc412644039"/>
      <w:bookmarkStart w:id="933" w:name="_Toc413916883"/>
      <w:bookmarkStart w:id="934" w:name="_Toc413917025"/>
      <w:bookmarkStart w:id="935" w:name="_Toc413922086"/>
      <w:bookmarkStart w:id="936" w:name="_Toc413922575"/>
      <w:bookmarkStart w:id="937" w:name="_Toc413922679"/>
      <w:bookmarkStart w:id="938" w:name="_Toc414955316"/>
      <w:bookmarkStart w:id="939" w:name="_Toc415214623"/>
      <w:bookmarkStart w:id="940" w:name="_Toc181625011"/>
      <w:r w:rsidRPr="00A34F10">
        <w:rPr>
          <w:rFonts w:cs="Times New Roman"/>
        </w:rPr>
        <w:lastRenderedPageBreak/>
        <w:t>Overall conclusions</w:t>
      </w:r>
      <w:bookmarkEnd w:id="932"/>
      <w:bookmarkEnd w:id="933"/>
      <w:bookmarkEnd w:id="934"/>
      <w:bookmarkEnd w:id="935"/>
      <w:bookmarkEnd w:id="936"/>
      <w:bookmarkEnd w:id="937"/>
      <w:bookmarkEnd w:id="938"/>
      <w:bookmarkEnd w:id="939"/>
      <w:bookmarkEnd w:id="940"/>
    </w:p>
    <w:p w14:paraId="1B6A0BBA" w14:textId="77777777" w:rsidR="00DC5685" w:rsidRDefault="00DC5685" w:rsidP="00DC5685">
      <w:pPr>
        <w:suppressAutoHyphens/>
        <w:jc w:val="both"/>
      </w:pPr>
      <w:r w:rsidRPr="00A34F10">
        <w:t>A Tier-1 risk assessment based on screening data demonstrates an acceptable risk to non-target terrestrial plants for all intended uses of BAS 743 03 F. Particular precautions to reduce the environmental concentrations resulting from BAS 743 03 F applications are not required for the protection of terrestrial non-target plants.</w:t>
      </w:r>
    </w:p>
    <w:p w14:paraId="6AE6A62D" w14:textId="77777777" w:rsidR="00A76167" w:rsidRDefault="00A76167" w:rsidP="00DC5685">
      <w:pPr>
        <w:suppressAutoHyphens/>
        <w:jc w:val="both"/>
      </w:pPr>
    </w:p>
    <w:p w14:paraId="466831F2" w14:textId="77777777" w:rsidR="00A76167" w:rsidRPr="001B7B4F" w:rsidRDefault="00A76167" w:rsidP="00A76167">
      <w:pPr>
        <w:pStyle w:val="RepStandard"/>
        <w:contextualSpacing/>
        <w:rPr>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A76167" w:rsidRPr="001B7B4F" w14:paraId="7812F9A8" w14:textId="77777777" w:rsidTr="00F53FC3">
        <w:tc>
          <w:tcPr>
            <w:tcW w:w="5000" w:type="pct"/>
            <w:shd w:val="clear" w:color="auto" w:fill="D9D9D9"/>
          </w:tcPr>
          <w:p w14:paraId="2650EBF4" w14:textId="77777777" w:rsidR="00A76167" w:rsidRPr="001B7B4F" w:rsidRDefault="00A76167" w:rsidP="001B7B4F">
            <w:pPr>
              <w:pStyle w:val="TableText1"/>
              <w:spacing w:after="120"/>
              <w:jc w:val="left"/>
              <w:rPr>
                <w:b/>
                <w:bCs w:val="0"/>
                <w:sz w:val="22"/>
                <w:szCs w:val="22"/>
                <w:lang w:eastAsia="en-US"/>
              </w:rPr>
            </w:pPr>
            <w:r w:rsidRPr="001B7B4F">
              <w:rPr>
                <w:b/>
                <w:sz w:val="22"/>
                <w:szCs w:val="22"/>
                <w:lang w:eastAsia="en-US"/>
              </w:rPr>
              <w:t>Review Comments:</w:t>
            </w:r>
          </w:p>
          <w:p w14:paraId="0978BDB8" w14:textId="14A8B5F8" w:rsidR="00A76167" w:rsidRPr="001B7B4F" w:rsidRDefault="00A76167" w:rsidP="00F53FC3">
            <w:pPr>
              <w:pStyle w:val="OECD-BASIS-TEXT"/>
              <w:spacing w:after="120"/>
              <w:rPr>
                <w:color w:val="auto"/>
                <w:sz w:val="22"/>
              </w:rPr>
            </w:pPr>
            <w:bookmarkStart w:id="941" w:name="_Hlk61973098"/>
            <w:r w:rsidRPr="001B7B4F">
              <w:rPr>
                <w:sz w:val="22"/>
              </w:rPr>
              <w:t xml:space="preserve">Based on the risk assessment it can be concluded that the proposed use of </w:t>
            </w:r>
            <w:r w:rsidR="001B7B4F" w:rsidRPr="00A34F10">
              <w:t>BAS 743 03 F</w:t>
            </w:r>
            <w:r w:rsidRPr="001B7B4F">
              <w:rPr>
                <w:sz w:val="22"/>
              </w:rPr>
              <w:t xml:space="preserve"> poses no unacceptable risk to non-target plants,</w:t>
            </w:r>
            <w:r w:rsidRPr="001B7B4F">
              <w:rPr>
                <w:bCs/>
                <w:sz w:val="22"/>
              </w:rPr>
              <w:t xml:space="preserve"> if applied according to the recommended use pattern</w:t>
            </w:r>
            <w:r w:rsidRPr="001B7B4F">
              <w:rPr>
                <w:sz w:val="22"/>
              </w:rPr>
              <w:t xml:space="preserve">. Particular precautions to reduce the environmental concentrations resulting from </w:t>
            </w:r>
            <w:r w:rsidR="001B7B4F" w:rsidRPr="00A34F10">
              <w:t>BAS 743 03 F</w:t>
            </w:r>
            <w:r w:rsidRPr="001B7B4F">
              <w:rPr>
                <w:sz w:val="22"/>
              </w:rPr>
              <w:t xml:space="preserve"> applications are not required for the protection of terrestrial non-target plants.</w:t>
            </w:r>
            <w:bookmarkEnd w:id="941"/>
          </w:p>
        </w:tc>
      </w:tr>
    </w:tbl>
    <w:p w14:paraId="6F5C63A9" w14:textId="77777777" w:rsidR="00A76167" w:rsidRPr="00A34F10" w:rsidRDefault="00A76167" w:rsidP="00DC5685">
      <w:pPr>
        <w:suppressAutoHyphens/>
        <w:jc w:val="both"/>
        <w:rPr>
          <w:b/>
          <w:bCs/>
        </w:rPr>
      </w:pPr>
    </w:p>
    <w:p w14:paraId="4CF06A89" w14:textId="77777777" w:rsidR="00DC5685" w:rsidRPr="00A34F10" w:rsidRDefault="00DC5685" w:rsidP="00DC5685">
      <w:pPr>
        <w:pStyle w:val="StyleOECD-BASIS-TEXTLeft"/>
        <w:rPr>
          <w:sz w:val="22"/>
          <w:lang w:val="en-US"/>
        </w:rPr>
      </w:pPr>
    </w:p>
    <w:p w14:paraId="3E33DFA3" w14:textId="77777777" w:rsidR="00DC5685" w:rsidRPr="00A34F10" w:rsidRDefault="00DC5685" w:rsidP="00DC5685">
      <w:pPr>
        <w:pStyle w:val="Nagwek2"/>
      </w:pPr>
      <w:bookmarkStart w:id="942" w:name="_Toc399487296"/>
      <w:bookmarkStart w:id="943" w:name="_Ref405399810"/>
      <w:bookmarkStart w:id="944" w:name="_Toc412644040"/>
      <w:bookmarkStart w:id="945" w:name="_Toc413916884"/>
      <w:bookmarkStart w:id="946" w:name="_Toc413917026"/>
      <w:bookmarkStart w:id="947" w:name="_Toc413922087"/>
      <w:bookmarkStart w:id="948" w:name="_Toc413922576"/>
      <w:bookmarkStart w:id="949" w:name="_Toc413922680"/>
      <w:bookmarkStart w:id="950" w:name="_Toc414955317"/>
      <w:bookmarkStart w:id="951" w:name="_Toc415214624"/>
      <w:bookmarkStart w:id="952" w:name="_Toc181625012"/>
      <w:r w:rsidRPr="00A34F10">
        <w:t>Effects on other terrestrial organisms (flora and fauna) (KCP 10.7)</w:t>
      </w:r>
      <w:bookmarkEnd w:id="942"/>
      <w:bookmarkEnd w:id="943"/>
      <w:bookmarkEnd w:id="944"/>
      <w:bookmarkEnd w:id="945"/>
      <w:bookmarkEnd w:id="946"/>
      <w:bookmarkEnd w:id="947"/>
      <w:bookmarkEnd w:id="948"/>
      <w:bookmarkEnd w:id="949"/>
      <w:bookmarkEnd w:id="950"/>
      <w:bookmarkEnd w:id="951"/>
      <w:bookmarkEnd w:id="952"/>
    </w:p>
    <w:p w14:paraId="67175032" w14:textId="77777777" w:rsidR="00DC5685" w:rsidRPr="00A34F10" w:rsidRDefault="00DC5685" w:rsidP="00DC5685">
      <w:pPr>
        <w:pStyle w:val="StyleOECD-BASIS-TEXTLeft"/>
        <w:rPr>
          <w:sz w:val="22"/>
          <w:lang w:val="en-US"/>
        </w:rPr>
      </w:pPr>
      <w:r w:rsidRPr="00A34F10">
        <w:rPr>
          <w:sz w:val="22"/>
          <w:lang w:val="en-US"/>
        </w:rPr>
        <w:t>Not relevant.</w:t>
      </w:r>
    </w:p>
    <w:p w14:paraId="7E01D6C3" w14:textId="77777777" w:rsidR="00DC5685" w:rsidRDefault="00DC5685" w:rsidP="002E7F42">
      <w:pPr>
        <w:pStyle w:val="StyleOECD-BASIS-TEXTLeft"/>
        <w:rPr>
          <w:sz w:val="22"/>
          <w:lang w:val="en-US"/>
        </w:rPr>
      </w:pPr>
    </w:p>
    <w:p w14:paraId="342FFCD0" w14:textId="77777777" w:rsidR="0030458C" w:rsidRDefault="0030458C" w:rsidP="002E7F42">
      <w:pPr>
        <w:pStyle w:val="StyleOECD-BASIS-TEXTLeft"/>
        <w:rPr>
          <w:sz w:val="22"/>
          <w:lang w:val="en-US"/>
        </w:rPr>
      </w:pPr>
    </w:p>
    <w:p w14:paraId="77AEC11C" w14:textId="77777777" w:rsidR="00DC5685" w:rsidRPr="00A34F10" w:rsidRDefault="00DC5685" w:rsidP="00DC5685">
      <w:pPr>
        <w:pStyle w:val="Nagwek2"/>
      </w:pPr>
      <w:bookmarkStart w:id="953" w:name="_Toc399487297"/>
      <w:bookmarkStart w:id="954" w:name="_Toc412644041"/>
      <w:bookmarkStart w:id="955" w:name="_Toc413916885"/>
      <w:bookmarkStart w:id="956" w:name="_Toc413917027"/>
      <w:bookmarkStart w:id="957" w:name="_Toc413922088"/>
      <w:bookmarkStart w:id="958" w:name="_Toc413922577"/>
      <w:bookmarkStart w:id="959" w:name="_Toc413922681"/>
      <w:bookmarkStart w:id="960" w:name="_Toc414955318"/>
      <w:bookmarkStart w:id="961" w:name="_Toc415214625"/>
      <w:bookmarkStart w:id="962" w:name="_Toc181625013"/>
      <w:r w:rsidRPr="00A34F10">
        <w:t>Monitoring data (KCP 10.8)</w:t>
      </w:r>
      <w:bookmarkEnd w:id="953"/>
      <w:bookmarkEnd w:id="954"/>
      <w:bookmarkEnd w:id="955"/>
      <w:bookmarkEnd w:id="956"/>
      <w:bookmarkEnd w:id="957"/>
      <w:bookmarkEnd w:id="958"/>
      <w:bookmarkEnd w:id="959"/>
      <w:bookmarkEnd w:id="960"/>
      <w:bookmarkEnd w:id="961"/>
      <w:bookmarkEnd w:id="962"/>
    </w:p>
    <w:p w14:paraId="06333A40" w14:textId="77777777" w:rsidR="00DC5685" w:rsidRPr="00A34F10" w:rsidRDefault="00DC5685" w:rsidP="00DC5685">
      <w:pPr>
        <w:jc w:val="both"/>
      </w:pPr>
      <w:r w:rsidRPr="00A34F10">
        <w:t>According to the knowledge of the applicant, there are currently no monitoring studies available which assess ecotoxicological effects of BAS 743 03 F or of the containing active substances.</w:t>
      </w:r>
    </w:p>
    <w:p w14:paraId="764E4C17" w14:textId="77777777" w:rsidR="00DC5685" w:rsidRPr="00A34F10" w:rsidRDefault="00DC5685" w:rsidP="00DC5685">
      <w:pPr>
        <w:pStyle w:val="StyleOECD-BASIS-TEXTLeft"/>
        <w:rPr>
          <w:sz w:val="22"/>
          <w:lang w:val="en-US"/>
        </w:rPr>
      </w:pPr>
    </w:p>
    <w:p w14:paraId="4E00A086" w14:textId="77777777" w:rsidR="00DC5685" w:rsidRPr="00A34F10" w:rsidRDefault="00DC5685" w:rsidP="002E7F42">
      <w:pPr>
        <w:pStyle w:val="StyleOECD-BASIS-TEXTLeft"/>
        <w:rPr>
          <w:sz w:val="22"/>
          <w:lang w:val="en-US"/>
        </w:rPr>
        <w:sectPr w:rsidR="00DC5685" w:rsidRPr="00A34F10" w:rsidSect="00366E06">
          <w:pgSz w:w="11907" w:h="16840" w:code="9"/>
          <w:pgMar w:top="1418" w:right="1134" w:bottom="1418" w:left="1418" w:header="709" w:footer="709" w:gutter="0"/>
          <w:cols w:space="720"/>
        </w:sectPr>
      </w:pPr>
    </w:p>
    <w:p w14:paraId="7F16E7CA" w14:textId="77777777" w:rsidR="00DC5685" w:rsidRPr="00A34F10" w:rsidRDefault="00DC5685" w:rsidP="00DC5685">
      <w:pPr>
        <w:pStyle w:val="Nagwek2"/>
      </w:pPr>
      <w:bookmarkStart w:id="963" w:name="_Toc399487301"/>
      <w:bookmarkStart w:id="964" w:name="_Toc412644042"/>
      <w:bookmarkStart w:id="965" w:name="_Toc413916886"/>
      <w:bookmarkStart w:id="966" w:name="_Toc413917028"/>
      <w:bookmarkStart w:id="967" w:name="_Toc413922089"/>
      <w:bookmarkStart w:id="968" w:name="_Toc413922578"/>
      <w:bookmarkStart w:id="969" w:name="_Toc413922682"/>
      <w:bookmarkStart w:id="970" w:name="_Toc414955319"/>
      <w:bookmarkStart w:id="971" w:name="_Toc415214626"/>
      <w:bookmarkStart w:id="972" w:name="_Toc181625014"/>
      <w:r w:rsidRPr="00A34F10">
        <w:lastRenderedPageBreak/>
        <w:t>Classification and Labelling</w:t>
      </w:r>
      <w:bookmarkEnd w:id="963"/>
      <w:bookmarkEnd w:id="964"/>
      <w:bookmarkEnd w:id="965"/>
      <w:bookmarkEnd w:id="966"/>
      <w:bookmarkEnd w:id="967"/>
      <w:bookmarkEnd w:id="968"/>
      <w:bookmarkEnd w:id="969"/>
      <w:bookmarkEnd w:id="970"/>
      <w:bookmarkEnd w:id="971"/>
      <w:bookmarkEnd w:id="972"/>
    </w:p>
    <w:p w14:paraId="2CC7390E" w14:textId="77777777" w:rsidR="00DC5685" w:rsidRPr="00A34F10" w:rsidRDefault="00DC5685" w:rsidP="00DC5685">
      <w:pPr>
        <w:suppressAutoHyphens/>
        <w:jc w:val="both"/>
        <w:rPr>
          <w:bCs/>
          <w:lang w:val="en-GB"/>
        </w:rPr>
      </w:pPr>
      <w:r w:rsidRPr="00A34F10">
        <w:rPr>
          <w:lang w:val="en-GB"/>
        </w:rPr>
        <w:t>Plant protection products have to be classified for their acute and chronic environmental hazard</w:t>
      </w:r>
      <w:r w:rsidRPr="00A34F10">
        <w:rPr>
          <w:bCs/>
          <w:lang w:val="en-GB"/>
        </w:rPr>
        <w:t xml:space="preserve"> according to (EC) No 1272/2008 (CLP)</w:t>
      </w:r>
      <w:r w:rsidRPr="00A34F10">
        <w:rPr>
          <w:lang w:val="en-GB"/>
        </w:rPr>
        <w:t xml:space="preserve">. </w:t>
      </w:r>
      <w:r w:rsidRPr="00A34F10">
        <w:rPr>
          <w:bCs/>
          <w:lang w:val="en-GB"/>
        </w:rPr>
        <w:t xml:space="preserve">Classification is based primarily on data of the product itself if adequate acute and chronic data is available. </w:t>
      </w:r>
      <w:r w:rsidRPr="00A34F10">
        <w:rPr>
          <w:lang w:val="en-GB"/>
        </w:rPr>
        <w:t xml:space="preserve">When aquatic </w:t>
      </w:r>
      <w:r w:rsidRPr="00A34F10">
        <w:rPr>
          <w:bCs/>
          <w:lang w:val="en-GB"/>
        </w:rPr>
        <w:t>toxicity data for the formulated product is not available for all three trophic species levels, the summation method is additionally performed, meaning that the content of substances classified with a specific category are added to derive a classification for the product.</w:t>
      </w:r>
    </w:p>
    <w:p w14:paraId="71E48D8C" w14:textId="77777777" w:rsidR="00DC5685" w:rsidRPr="00A34F10" w:rsidRDefault="00DC5685" w:rsidP="00DC5685">
      <w:pPr>
        <w:suppressAutoHyphens/>
        <w:jc w:val="both"/>
        <w:rPr>
          <w:bCs/>
          <w:lang w:val="en-GB"/>
        </w:rPr>
      </w:pPr>
    </w:p>
    <w:p w14:paraId="68172E4A" w14:textId="77777777" w:rsidR="00DC5685" w:rsidRPr="00A34F10" w:rsidRDefault="00DC5685" w:rsidP="00DC5685">
      <w:pPr>
        <w:suppressAutoHyphens/>
        <w:jc w:val="both"/>
        <w:rPr>
          <w:bCs/>
          <w:lang w:val="en-GB"/>
        </w:rPr>
      </w:pPr>
      <w:r w:rsidRPr="00A34F10">
        <w:rPr>
          <w:bCs/>
          <w:lang w:val="en-GB"/>
        </w:rPr>
        <w:t>For BAS 743 03 F acute data (LC/EC</w:t>
      </w:r>
      <w:r w:rsidRPr="00A34F10">
        <w:rPr>
          <w:bCs/>
          <w:vertAlign w:val="subscript"/>
          <w:lang w:val="en-GB"/>
        </w:rPr>
        <w:t>50</w:t>
      </w:r>
      <w:r w:rsidRPr="00A34F10">
        <w:rPr>
          <w:bCs/>
          <w:lang w:val="en-GB"/>
        </w:rPr>
        <w:t xml:space="preserve">) are available for all tropic levels from a similar formulation BAS 743 02 F (containing 137.1 g/L Ametoctradin and 515.4 g/L Propamocarb-HCl). Since differences in co-formulants and/or their concentration between both formulations are considered minimal and both formulations are SC (suspension concentrates), it is assumed that bridging from BAS 743 02 F to BAS 743 03 F is acceptable. For details on the formulation compositions please refer to Part C of this submission. </w:t>
      </w:r>
    </w:p>
    <w:p w14:paraId="5C57C597" w14:textId="77777777" w:rsidR="00DC5685" w:rsidRPr="00A34F10" w:rsidRDefault="00DC5685" w:rsidP="00DC5685">
      <w:pPr>
        <w:suppressAutoHyphens/>
        <w:jc w:val="both"/>
        <w:rPr>
          <w:bCs/>
          <w:lang w:val="en-GB"/>
        </w:rPr>
      </w:pPr>
    </w:p>
    <w:p w14:paraId="2E442399" w14:textId="123C7971" w:rsidR="00DC5685" w:rsidRPr="00A34F10" w:rsidRDefault="00DC5685" w:rsidP="00DC5685">
      <w:pPr>
        <w:suppressAutoHyphens/>
        <w:jc w:val="both"/>
        <w:rPr>
          <w:bCs/>
          <w:lang w:val="en-GB"/>
        </w:rPr>
      </w:pPr>
      <w:r w:rsidRPr="00A34F10">
        <w:rPr>
          <w:bCs/>
          <w:lang w:val="en-GB"/>
        </w:rPr>
        <w:t>Chronic endpoints (NOEC or EC</w:t>
      </w:r>
      <w:r w:rsidRPr="00A34F10">
        <w:rPr>
          <w:bCs/>
          <w:vertAlign w:val="subscript"/>
          <w:lang w:val="en-GB"/>
        </w:rPr>
        <w:t>10</w:t>
      </w:r>
      <w:r w:rsidRPr="00A34F10">
        <w:rPr>
          <w:bCs/>
          <w:lang w:val="en-GB"/>
        </w:rPr>
        <w:t xml:space="preserve">) are available only for algae (for BAS 743 02 F), thus chronic classification will be based on the summation method using active substances data. The active substance ametoctradin is classified with H410 (Aquatic Chronic 1), derived from the most sensitive aquatic chronic endpoint. </w:t>
      </w:r>
      <w:r w:rsidRPr="00A34F10">
        <w:rPr>
          <w:bCs/>
          <w:highlight w:val="yellow"/>
        </w:rPr>
        <w:fldChar w:fldCharType="begin"/>
      </w:r>
      <w:r w:rsidRPr="00A34F10">
        <w:rPr>
          <w:bCs/>
          <w:lang w:val="en-GB"/>
        </w:rPr>
        <w:instrText xml:space="preserve"> REF _Ref434840246 \h </w:instrText>
      </w:r>
      <w:r w:rsidR="00A34F10">
        <w:rPr>
          <w:bCs/>
          <w:highlight w:val="yellow"/>
        </w:rPr>
        <w:instrText xml:space="preserve"> \* MERGEFORMAT </w:instrText>
      </w:r>
      <w:r w:rsidRPr="00A34F10">
        <w:rPr>
          <w:bCs/>
          <w:highlight w:val="yellow"/>
        </w:rPr>
      </w:r>
      <w:r w:rsidRPr="00A34F10">
        <w:rPr>
          <w:bCs/>
          <w:highlight w:val="yellow"/>
        </w:rPr>
        <w:fldChar w:fldCharType="separate"/>
      </w:r>
      <w:r w:rsidR="006F0F3B" w:rsidRPr="00A34F10">
        <w:t xml:space="preserve">Table </w:t>
      </w:r>
      <w:r w:rsidR="006F0F3B">
        <w:rPr>
          <w:noProof/>
        </w:rPr>
        <w:t>9.13</w:t>
      </w:r>
      <w:r w:rsidR="006F0F3B">
        <w:rPr>
          <w:noProof/>
        </w:rPr>
        <w:noBreakHyphen/>
        <w:t>1</w:t>
      </w:r>
      <w:r w:rsidRPr="00A34F10">
        <w:rPr>
          <w:bCs/>
          <w:highlight w:val="yellow"/>
        </w:rPr>
        <w:fldChar w:fldCharType="end"/>
      </w:r>
      <w:r w:rsidRPr="00A34F10">
        <w:rPr>
          <w:bCs/>
          <w:lang w:val="en-GB"/>
        </w:rPr>
        <w:t xml:space="preserve"> shows the relevant data for classification purposes. </w:t>
      </w:r>
    </w:p>
    <w:p w14:paraId="082F3881" w14:textId="77777777" w:rsidR="001645DF" w:rsidRPr="00A34F10" w:rsidRDefault="001645DF" w:rsidP="00DC5685">
      <w:pPr>
        <w:suppressAutoHyphens/>
        <w:spacing w:line="280" w:lineRule="exact"/>
        <w:jc w:val="both"/>
        <w:rPr>
          <w:bCs/>
          <w:highlight w:val="yellow"/>
          <w:lang w:val="en-GB"/>
        </w:rPr>
      </w:pPr>
    </w:p>
    <w:p w14:paraId="037018C2" w14:textId="105901AB" w:rsidR="00DC5685" w:rsidRPr="00A34F10" w:rsidRDefault="00DC5685" w:rsidP="00DC5685">
      <w:pPr>
        <w:pStyle w:val="RepLabel"/>
        <w:suppressAutoHyphens/>
      </w:pPr>
      <w:bookmarkStart w:id="973" w:name="_Ref434840246"/>
      <w:r w:rsidRPr="00A34F10">
        <w:t xml:space="preserve">Table </w:t>
      </w:r>
      <w:fldSimple w:instr=" STYLEREF 2 \s ">
        <w:r w:rsidR="006F0F3B">
          <w:rPr>
            <w:noProof/>
          </w:rPr>
          <w:t>9.13</w:t>
        </w:r>
      </w:fldSimple>
      <w:r w:rsidR="007E7467">
        <w:noBreakHyphen/>
      </w:r>
      <w:fldSimple w:instr=" SEQ Table \* ARABIC \s 2 ">
        <w:r w:rsidR="006F0F3B">
          <w:rPr>
            <w:noProof/>
          </w:rPr>
          <w:t>1</w:t>
        </w:r>
      </w:fldSimple>
      <w:bookmarkEnd w:id="973"/>
      <w:r w:rsidRPr="00A34F10">
        <w:t>:</w:t>
      </w:r>
      <w:r w:rsidRPr="00A34F10">
        <w:tab/>
        <w:t>Ecotoxicology/Environment data relevant for Classification of BAS 743 03 F</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1317"/>
        <w:gridCol w:w="1678"/>
        <w:gridCol w:w="2546"/>
        <w:gridCol w:w="1901"/>
        <w:gridCol w:w="1903"/>
      </w:tblGrid>
      <w:tr w:rsidR="00DC5685" w:rsidRPr="00A34F10" w14:paraId="509534FC" w14:textId="77777777" w:rsidTr="000470C3">
        <w:trPr>
          <w:cantSplit/>
          <w:tblHeader/>
        </w:trPr>
        <w:tc>
          <w:tcPr>
            <w:tcW w:w="705" w:type="pct"/>
            <w:tcBorders>
              <w:top w:val="single" w:sz="4" w:space="0" w:color="auto"/>
              <w:left w:val="single" w:sz="4" w:space="0" w:color="auto"/>
              <w:bottom w:val="single" w:sz="4" w:space="0" w:color="auto"/>
              <w:right w:val="single" w:sz="4" w:space="0" w:color="auto"/>
            </w:tcBorders>
            <w:vAlign w:val="center"/>
          </w:tcPr>
          <w:p w14:paraId="7E7276C1" w14:textId="77777777" w:rsidR="00DC5685" w:rsidRPr="00A34F10" w:rsidRDefault="00DC5685" w:rsidP="000470C3">
            <w:pPr>
              <w:suppressAutoHyphens/>
              <w:spacing w:before="40" w:after="40"/>
              <w:rPr>
                <w:b/>
                <w:bCs/>
                <w:sz w:val="20"/>
                <w:szCs w:val="20"/>
              </w:rPr>
            </w:pPr>
            <w:r w:rsidRPr="00A34F10">
              <w:rPr>
                <w:b/>
                <w:bCs/>
                <w:sz w:val="20"/>
                <w:szCs w:val="20"/>
              </w:rPr>
              <w:t>Substance tested</w:t>
            </w:r>
          </w:p>
        </w:tc>
        <w:tc>
          <w:tcPr>
            <w:tcW w:w="898" w:type="pct"/>
            <w:tcBorders>
              <w:top w:val="single" w:sz="4" w:space="0" w:color="auto"/>
              <w:left w:val="single" w:sz="4" w:space="0" w:color="auto"/>
              <w:bottom w:val="single" w:sz="4" w:space="0" w:color="auto"/>
            </w:tcBorders>
            <w:vAlign w:val="center"/>
          </w:tcPr>
          <w:p w14:paraId="0842D7BB" w14:textId="77777777" w:rsidR="00DC5685" w:rsidRPr="00A34F10" w:rsidRDefault="00DC5685" w:rsidP="000470C3">
            <w:pPr>
              <w:suppressAutoHyphens/>
              <w:spacing w:before="40" w:after="40"/>
              <w:rPr>
                <w:b/>
                <w:bCs/>
                <w:sz w:val="20"/>
                <w:szCs w:val="20"/>
              </w:rPr>
            </w:pPr>
            <w:r w:rsidRPr="00A34F10">
              <w:rPr>
                <w:b/>
                <w:bCs/>
                <w:sz w:val="20"/>
                <w:szCs w:val="20"/>
              </w:rPr>
              <w:t>Study Type</w:t>
            </w:r>
          </w:p>
          <w:p w14:paraId="075AE01A" w14:textId="77777777" w:rsidR="00DC5685" w:rsidRPr="00A34F10" w:rsidRDefault="00DC5685" w:rsidP="000470C3">
            <w:pPr>
              <w:suppressAutoHyphens/>
              <w:spacing w:before="40" w:after="40"/>
              <w:rPr>
                <w:b/>
                <w:bCs/>
                <w:sz w:val="20"/>
                <w:szCs w:val="20"/>
              </w:rPr>
            </w:pPr>
            <w:r w:rsidRPr="00A34F10">
              <w:rPr>
                <w:b/>
                <w:bCs/>
                <w:sz w:val="20"/>
                <w:szCs w:val="20"/>
              </w:rPr>
              <w:t>(duration)</w:t>
            </w:r>
          </w:p>
        </w:tc>
        <w:tc>
          <w:tcPr>
            <w:tcW w:w="1362" w:type="pct"/>
            <w:tcBorders>
              <w:top w:val="single" w:sz="4" w:space="0" w:color="auto"/>
              <w:bottom w:val="single" w:sz="4" w:space="0" w:color="auto"/>
            </w:tcBorders>
            <w:vAlign w:val="center"/>
          </w:tcPr>
          <w:p w14:paraId="4453FDA4" w14:textId="77777777" w:rsidR="00DC5685" w:rsidRPr="00A34F10" w:rsidRDefault="00DC5685" w:rsidP="000470C3">
            <w:pPr>
              <w:keepNext/>
              <w:suppressAutoHyphens/>
              <w:rPr>
                <w:b/>
                <w:sz w:val="20"/>
                <w:szCs w:val="20"/>
              </w:rPr>
            </w:pPr>
            <w:r w:rsidRPr="00A34F10">
              <w:rPr>
                <w:b/>
                <w:sz w:val="20"/>
                <w:szCs w:val="20"/>
              </w:rPr>
              <w:t>Findings</w:t>
            </w:r>
          </w:p>
        </w:tc>
        <w:tc>
          <w:tcPr>
            <w:tcW w:w="1017" w:type="pct"/>
            <w:tcBorders>
              <w:top w:val="single" w:sz="4" w:space="0" w:color="auto"/>
              <w:bottom w:val="single" w:sz="4" w:space="0" w:color="auto"/>
            </w:tcBorders>
            <w:vAlign w:val="center"/>
          </w:tcPr>
          <w:p w14:paraId="65365F42" w14:textId="77777777" w:rsidR="00DC5685" w:rsidRPr="00A34F10" w:rsidRDefault="00DC5685" w:rsidP="000470C3">
            <w:pPr>
              <w:suppressAutoHyphens/>
              <w:spacing w:before="40" w:after="40"/>
              <w:rPr>
                <w:b/>
                <w:bCs/>
                <w:sz w:val="20"/>
                <w:szCs w:val="20"/>
              </w:rPr>
            </w:pPr>
            <w:r w:rsidRPr="00A34F10">
              <w:rPr>
                <w:b/>
                <w:bCs/>
                <w:sz w:val="20"/>
                <w:szCs w:val="20"/>
              </w:rPr>
              <w:t>Triggered classification and labelling</w:t>
            </w:r>
          </w:p>
        </w:tc>
        <w:tc>
          <w:tcPr>
            <w:tcW w:w="1018" w:type="pct"/>
            <w:tcBorders>
              <w:top w:val="single" w:sz="4" w:space="0" w:color="auto"/>
              <w:bottom w:val="single" w:sz="4" w:space="0" w:color="auto"/>
              <w:right w:val="single" w:sz="4" w:space="0" w:color="auto"/>
            </w:tcBorders>
            <w:vAlign w:val="center"/>
          </w:tcPr>
          <w:p w14:paraId="71F14948" w14:textId="5EC5E207" w:rsidR="00DC5685" w:rsidRPr="00A34F10" w:rsidRDefault="00DC5685" w:rsidP="000470C3">
            <w:pPr>
              <w:suppressAutoHyphens/>
              <w:spacing w:before="40" w:after="40"/>
              <w:rPr>
                <w:b/>
                <w:bCs/>
                <w:sz w:val="20"/>
                <w:szCs w:val="20"/>
              </w:rPr>
            </w:pPr>
            <w:r w:rsidRPr="00A34F10">
              <w:rPr>
                <w:b/>
                <w:bCs/>
                <w:sz w:val="20"/>
                <w:szCs w:val="20"/>
              </w:rPr>
              <w:t>Reference</w:t>
            </w:r>
            <w:r w:rsidRPr="00A34F10">
              <w:rPr>
                <w:b/>
                <w:bCs/>
                <w:sz w:val="20"/>
                <w:szCs w:val="20"/>
              </w:rPr>
              <w:br/>
            </w:r>
            <w:r w:rsidR="00482794">
              <w:rPr>
                <w:sz w:val="20"/>
                <w:szCs w:val="20"/>
              </w:rPr>
              <w:t>XXXX</w:t>
            </w:r>
            <w:r w:rsidRPr="00A34F10">
              <w:rPr>
                <w:sz w:val="20"/>
                <w:szCs w:val="20"/>
              </w:rPr>
              <w:t xml:space="preserve"> DocID</w:t>
            </w:r>
          </w:p>
        </w:tc>
      </w:tr>
      <w:tr w:rsidR="00DC5685" w:rsidRPr="00A34F10" w14:paraId="377C0E77" w14:textId="77777777" w:rsidTr="000470C3">
        <w:trPr>
          <w:cantSplit/>
          <w:tblHeader/>
        </w:trPr>
        <w:tc>
          <w:tcPr>
            <w:tcW w:w="5000" w:type="pct"/>
            <w:gridSpan w:val="5"/>
            <w:tcBorders>
              <w:top w:val="single" w:sz="4" w:space="0" w:color="auto"/>
              <w:left w:val="single" w:sz="4" w:space="0" w:color="auto"/>
              <w:right w:val="single" w:sz="4" w:space="0" w:color="auto"/>
            </w:tcBorders>
            <w:vAlign w:val="center"/>
          </w:tcPr>
          <w:p w14:paraId="071E7BB2" w14:textId="77777777" w:rsidR="00DC5685" w:rsidRPr="00A34F10" w:rsidRDefault="00DC5685" w:rsidP="000470C3">
            <w:pPr>
              <w:suppressAutoHyphens/>
              <w:spacing w:before="40" w:after="40"/>
              <w:rPr>
                <w:b/>
                <w:color w:val="7030A0"/>
                <w:sz w:val="20"/>
                <w:szCs w:val="20"/>
                <w:lang w:val="en-GB"/>
              </w:rPr>
            </w:pPr>
            <w:r w:rsidRPr="00A34F10">
              <w:rPr>
                <w:b/>
                <w:sz w:val="20"/>
                <w:szCs w:val="20"/>
                <w:lang w:val="en-GB"/>
              </w:rPr>
              <w:t>Acute (short-term) aquatic hazard</w:t>
            </w:r>
          </w:p>
        </w:tc>
      </w:tr>
      <w:tr w:rsidR="00DC5685" w:rsidRPr="00A34F10" w14:paraId="623F52EC" w14:textId="77777777" w:rsidTr="000470C3">
        <w:trPr>
          <w:cantSplit/>
          <w:tblHeader/>
        </w:trPr>
        <w:tc>
          <w:tcPr>
            <w:tcW w:w="705" w:type="pct"/>
            <w:tcBorders>
              <w:left w:val="single" w:sz="4" w:space="0" w:color="auto"/>
              <w:right w:val="single" w:sz="4" w:space="0" w:color="auto"/>
            </w:tcBorders>
            <w:vAlign w:val="center"/>
          </w:tcPr>
          <w:p w14:paraId="2D43CAEA" w14:textId="77777777" w:rsidR="00DC5685" w:rsidRPr="00A34F10" w:rsidRDefault="00DC5685" w:rsidP="000470C3">
            <w:pPr>
              <w:suppressAutoHyphens/>
              <w:spacing w:before="40" w:after="40"/>
              <w:rPr>
                <w:bCs/>
                <w:sz w:val="20"/>
                <w:szCs w:val="20"/>
              </w:rPr>
            </w:pPr>
            <w:r w:rsidRPr="00A34F10">
              <w:rPr>
                <w:sz w:val="20"/>
                <w:szCs w:val="20"/>
              </w:rPr>
              <w:t>BAS 743 02 F</w:t>
            </w:r>
          </w:p>
        </w:tc>
        <w:tc>
          <w:tcPr>
            <w:tcW w:w="898" w:type="pct"/>
            <w:tcBorders>
              <w:left w:val="single" w:sz="4" w:space="0" w:color="auto"/>
            </w:tcBorders>
            <w:vAlign w:val="center"/>
          </w:tcPr>
          <w:p w14:paraId="1CCC4B20" w14:textId="77777777" w:rsidR="00DC5685" w:rsidRPr="00A34F10" w:rsidRDefault="00DC5685" w:rsidP="000470C3">
            <w:pPr>
              <w:suppressAutoHyphens/>
              <w:spacing w:before="40" w:after="40"/>
              <w:rPr>
                <w:bCs/>
                <w:i/>
                <w:sz w:val="20"/>
                <w:szCs w:val="20"/>
              </w:rPr>
            </w:pPr>
            <w:r w:rsidRPr="00A34F10">
              <w:rPr>
                <w:i/>
                <w:iCs/>
                <w:sz w:val="20"/>
                <w:szCs w:val="20"/>
              </w:rPr>
              <w:t xml:space="preserve">Oncorhynchus mykiss </w:t>
            </w:r>
            <w:r w:rsidRPr="00A34F10">
              <w:rPr>
                <w:sz w:val="20"/>
                <w:szCs w:val="20"/>
              </w:rPr>
              <w:t>(96 h)</w:t>
            </w:r>
          </w:p>
        </w:tc>
        <w:tc>
          <w:tcPr>
            <w:tcW w:w="1362" w:type="pct"/>
            <w:vAlign w:val="center"/>
          </w:tcPr>
          <w:p w14:paraId="646AD57A" w14:textId="77777777" w:rsidR="00DC5685" w:rsidRPr="00A34F10" w:rsidRDefault="00DC5685" w:rsidP="000470C3">
            <w:pPr>
              <w:suppressAutoHyphens/>
              <w:spacing w:before="40" w:after="40"/>
              <w:rPr>
                <w:bCs/>
                <w:sz w:val="20"/>
                <w:szCs w:val="20"/>
              </w:rPr>
            </w:pPr>
            <w:r w:rsidRPr="00A34F10">
              <w:rPr>
                <w:sz w:val="20"/>
                <w:szCs w:val="20"/>
              </w:rPr>
              <w:t>LC</w:t>
            </w:r>
            <w:r w:rsidRPr="00A34F10">
              <w:rPr>
                <w:sz w:val="20"/>
                <w:szCs w:val="20"/>
                <w:vertAlign w:val="subscript"/>
              </w:rPr>
              <w:t xml:space="preserve">50 </w:t>
            </w:r>
            <w:r w:rsidRPr="00A34F10">
              <w:rPr>
                <w:sz w:val="20"/>
                <w:szCs w:val="20"/>
              </w:rPr>
              <w:t>&gt; 100 mg/L</w:t>
            </w:r>
          </w:p>
        </w:tc>
        <w:tc>
          <w:tcPr>
            <w:tcW w:w="1017" w:type="pct"/>
            <w:vAlign w:val="center"/>
          </w:tcPr>
          <w:p w14:paraId="718C94C4" w14:textId="77777777" w:rsidR="00DC5685" w:rsidRPr="00A34F10" w:rsidRDefault="00DC5685" w:rsidP="000470C3">
            <w:pPr>
              <w:suppressAutoHyphens/>
              <w:spacing w:before="40" w:after="40"/>
              <w:rPr>
                <w:bCs/>
                <w:iCs/>
                <w:sz w:val="20"/>
                <w:szCs w:val="20"/>
                <w:lang w:val="en-GB"/>
              </w:rPr>
            </w:pPr>
            <w:r w:rsidRPr="00A34F10">
              <w:rPr>
                <w:bCs/>
                <w:sz w:val="20"/>
                <w:szCs w:val="20"/>
                <w:lang w:val="en-GB"/>
              </w:rPr>
              <w:t>No aquatic acute hazard cat.</w:t>
            </w:r>
          </w:p>
        </w:tc>
        <w:tc>
          <w:tcPr>
            <w:tcW w:w="1018" w:type="pct"/>
            <w:shd w:val="clear" w:color="auto" w:fill="auto"/>
            <w:vAlign w:val="center"/>
          </w:tcPr>
          <w:p w14:paraId="39340F2D" w14:textId="77777777" w:rsidR="00DC5685" w:rsidRPr="00A34F10" w:rsidRDefault="00DC5685" w:rsidP="000470C3">
            <w:pPr>
              <w:pStyle w:val="RepTable"/>
              <w:suppressAutoHyphens/>
              <w:rPr>
                <w:noProof w:val="0"/>
                <w:szCs w:val="20"/>
              </w:rPr>
            </w:pPr>
            <w:r w:rsidRPr="00A34F10">
              <w:rPr>
                <w:noProof w:val="0"/>
                <w:szCs w:val="20"/>
              </w:rPr>
              <w:t>New study</w:t>
            </w:r>
          </w:p>
          <w:p w14:paraId="1D370173" w14:textId="77777777" w:rsidR="00DC5685" w:rsidRPr="00A34F10" w:rsidRDefault="00DC5685" w:rsidP="000470C3">
            <w:pPr>
              <w:pStyle w:val="RepTable"/>
              <w:suppressAutoHyphens/>
              <w:rPr>
                <w:bCs/>
                <w:noProof w:val="0"/>
                <w:szCs w:val="20"/>
              </w:rPr>
            </w:pPr>
            <w:r w:rsidRPr="00A34F10">
              <w:rPr>
                <w:noProof w:val="0"/>
                <w:szCs w:val="20"/>
              </w:rPr>
              <w:t>2022/2033714</w:t>
            </w:r>
          </w:p>
        </w:tc>
      </w:tr>
      <w:tr w:rsidR="00DC5685" w:rsidRPr="00A34F10" w14:paraId="139C9BE6" w14:textId="77777777" w:rsidTr="000470C3">
        <w:trPr>
          <w:cantSplit/>
          <w:tblHeader/>
        </w:trPr>
        <w:tc>
          <w:tcPr>
            <w:tcW w:w="705" w:type="pct"/>
            <w:tcBorders>
              <w:left w:val="single" w:sz="4" w:space="0" w:color="auto"/>
              <w:right w:val="single" w:sz="4" w:space="0" w:color="auto"/>
            </w:tcBorders>
            <w:vAlign w:val="center"/>
          </w:tcPr>
          <w:p w14:paraId="325CFFC7" w14:textId="77777777" w:rsidR="00DC5685" w:rsidRPr="00A34F10" w:rsidRDefault="00DC5685" w:rsidP="000470C3">
            <w:pPr>
              <w:suppressAutoHyphens/>
              <w:spacing w:before="40" w:after="40"/>
              <w:rPr>
                <w:bCs/>
                <w:sz w:val="20"/>
                <w:szCs w:val="20"/>
              </w:rPr>
            </w:pPr>
            <w:r w:rsidRPr="00A34F10">
              <w:rPr>
                <w:sz w:val="20"/>
                <w:szCs w:val="20"/>
              </w:rPr>
              <w:t>BAS 743 02 F</w:t>
            </w:r>
          </w:p>
        </w:tc>
        <w:tc>
          <w:tcPr>
            <w:tcW w:w="898" w:type="pct"/>
            <w:tcBorders>
              <w:left w:val="single" w:sz="4" w:space="0" w:color="auto"/>
            </w:tcBorders>
            <w:vAlign w:val="center"/>
          </w:tcPr>
          <w:p w14:paraId="34CD392E" w14:textId="77777777" w:rsidR="00DC5685" w:rsidRPr="00A34F10" w:rsidRDefault="00DC5685" w:rsidP="000470C3">
            <w:pPr>
              <w:suppressAutoHyphens/>
              <w:spacing w:before="40" w:after="40"/>
              <w:rPr>
                <w:bCs/>
                <w:iCs/>
                <w:sz w:val="20"/>
                <w:szCs w:val="20"/>
              </w:rPr>
            </w:pPr>
            <w:r w:rsidRPr="00A34F10">
              <w:rPr>
                <w:bCs/>
                <w:i/>
                <w:sz w:val="20"/>
                <w:szCs w:val="20"/>
              </w:rPr>
              <w:t>Daphnia magna</w:t>
            </w:r>
            <w:r w:rsidRPr="00A34F10">
              <w:rPr>
                <w:bCs/>
                <w:i/>
                <w:sz w:val="20"/>
                <w:szCs w:val="20"/>
              </w:rPr>
              <w:br/>
            </w:r>
            <w:r w:rsidRPr="00A34F10">
              <w:rPr>
                <w:bCs/>
                <w:iCs/>
                <w:sz w:val="20"/>
                <w:szCs w:val="20"/>
              </w:rPr>
              <w:t>(48 h)</w:t>
            </w:r>
          </w:p>
        </w:tc>
        <w:tc>
          <w:tcPr>
            <w:tcW w:w="1362" w:type="pct"/>
            <w:tcBorders>
              <w:bottom w:val="single" w:sz="2" w:space="0" w:color="auto"/>
            </w:tcBorders>
            <w:vAlign w:val="center"/>
          </w:tcPr>
          <w:p w14:paraId="401762EB" w14:textId="77777777" w:rsidR="00DC5685" w:rsidRPr="00A34F10" w:rsidRDefault="00DC5685" w:rsidP="000470C3">
            <w:pPr>
              <w:suppressAutoHyphens/>
              <w:spacing w:before="40" w:after="40"/>
              <w:rPr>
                <w:bCs/>
                <w:sz w:val="20"/>
                <w:szCs w:val="20"/>
              </w:rPr>
            </w:pPr>
            <w:r w:rsidRPr="00A34F10">
              <w:rPr>
                <w:sz w:val="20"/>
                <w:szCs w:val="20"/>
              </w:rPr>
              <w:t>EC</w:t>
            </w:r>
            <w:r w:rsidRPr="00A34F10">
              <w:rPr>
                <w:sz w:val="20"/>
                <w:szCs w:val="20"/>
                <w:vertAlign w:val="subscript"/>
              </w:rPr>
              <w:t xml:space="preserve">50 </w:t>
            </w:r>
            <w:r w:rsidRPr="00A34F10">
              <w:rPr>
                <w:sz w:val="20"/>
                <w:szCs w:val="20"/>
              </w:rPr>
              <w:t>&gt; 100 mg/L</w:t>
            </w:r>
          </w:p>
        </w:tc>
        <w:tc>
          <w:tcPr>
            <w:tcW w:w="1017" w:type="pct"/>
            <w:tcBorders>
              <w:bottom w:val="single" w:sz="2" w:space="0" w:color="auto"/>
            </w:tcBorders>
            <w:vAlign w:val="center"/>
          </w:tcPr>
          <w:p w14:paraId="5C3A969A" w14:textId="77777777" w:rsidR="00DC5685" w:rsidRPr="00A34F10" w:rsidRDefault="00DC5685" w:rsidP="000470C3">
            <w:pPr>
              <w:suppressAutoHyphens/>
              <w:spacing w:before="40" w:after="40"/>
              <w:rPr>
                <w:bCs/>
                <w:sz w:val="20"/>
                <w:szCs w:val="20"/>
                <w:lang w:val="en-GB"/>
              </w:rPr>
            </w:pPr>
            <w:r w:rsidRPr="00A34F10">
              <w:rPr>
                <w:bCs/>
                <w:sz w:val="20"/>
                <w:szCs w:val="20"/>
                <w:lang w:val="en-GB"/>
              </w:rPr>
              <w:t>No aquatic acute hazard cat.</w:t>
            </w:r>
          </w:p>
        </w:tc>
        <w:tc>
          <w:tcPr>
            <w:tcW w:w="1018" w:type="pct"/>
            <w:shd w:val="clear" w:color="auto" w:fill="auto"/>
            <w:vAlign w:val="center"/>
          </w:tcPr>
          <w:p w14:paraId="4EB08BDA" w14:textId="77777777" w:rsidR="00DC5685" w:rsidRPr="00A34F10" w:rsidRDefault="00DC5685" w:rsidP="000470C3">
            <w:pPr>
              <w:pStyle w:val="RepTable"/>
              <w:suppressAutoHyphens/>
              <w:rPr>
                <w:noProof w:val="0"/>
                <w:szCs w:val="20"/>
              </w:rPr>
            </w:pPr>
            <w:r w:rsidRPr="00A34F10">
              <w:rPr>
                <w:noProof w:val="0"/>
                <w:szCs w:val="20"/>
              </w:rPr>
              <w:t>New study</w:t>
            </w:r>
          </w:p>
          <w:p w14:paraId="65F21857" w14:textId="77777777" w:rsidR="00DC5685" w:rsidRPr="00A34F10" w:rsidRDefault="00DC5685" w:rsidP="000470C3">
            <w:pPr>
              <w:pStyle w:val="RepTable"/>
              <w:suppressAutoHyphens/>
              <w:rPr>
                <w:bCs/>
                <w:noProof w:val="0"/>
                <w:szCs w:val="20"/>
              </w:rPr>
            </w:pPr>
            <w:r w:rsidRPr="00A34F10">
              <w:rPr>
                <w:noProof w:val="0"/>
                <w:szCs w:val="20"/>
              </w:rPr>
              <w:t>2022/2033712</w:t>
            </w:r>
          </w:p>
        </w:tc>
      </w:tr>
      <w:tr w:rsidR="00DC5685" w:rsidRPr="00A34F10" w14:paraId="0DC000AB" w14:textId="77777777" w:rsidTr="000470C3">
        <w:trPr>
          <w:cantSplit/>
          <w:tblHeader/>
        </w:trPr>
        <w:tc>
          <w:tcPr>
            <w:tcW w:w="705" w:type="pct"/>
            <w:tcBorders>
              <w:left w:val="single" w:sz="4" w:space="0" w:color="auto"/>
              <w:right w:val="single" w:sz="4" w:space="0" w:color="auto"/>
            </w:tcBorders>
            <w:vAlign w:val="center"/>
          </w:tcPr>
          <w:p w14:paraId="7A15754F" w14:textId="77777777" w:rsidR="00DC5685" w:rsidRPr="00A34F10" w:rsidRDefault="00DC5685" w:rsidP="000470C3">
            <w:pPr>
              <w:suppressAutoHyphens/>
              <w:spacing w:before="40" w:after="40"/>
              <w:rPr>
                <w:sz w:val="20"/>
                <w:szCs w:val="20"/>
              </w:rPr>
            </w:pPr>
            <w:r w:rsidRPr="00A34F10">
              <w:rPr>
                <w:sz w:val="20"/>
                <w:szCs w:val="20"/>
              </w:rPr>
              <w:t>BAS 743 03 F</w:t>
            </w:r>
          </w:p>
        </w:tc>
        <w:tc>
          <w:tcPr>
            <w:tcW w:w="898" w:type="pct"/>
            <w:tcBorders>
              <w:left w:val="single" w:sz="4" w:space="0" w:color="auto"/>
            </w:tcBorders>
            <w:vAlign w:val="center"/>
          </w:tcPr>
          <w:p w14:paraId="24423EBA" w14:textId="77777777" w:rsidR="00DC5685" w:rsidRPr="00A34F10" w:rsidRDefault="00DC5685" w:rsidP="000470C3">
            <w:pPr>
              <w:suppressAutoHyphens/>
              <w:spacing w:before="40" w:after="40"/>
              <w:rPr>
                <w:bCs/>
                <w:i/>
                <w:sz w:val="20"/>
                <w:szCs w:val="20"/>
              </w:rPr>
            </w:pPr>
            <w:r w:rsidRPr="00A34F10">
              <w:rPr>
                <w:bCs/>
                <w:i/>
                <w:sz w:val="20"/>
                <w:szCs w:val="20"/>
              </w:rPr>
              <w:t>Daphnia magna</w:t>
            </w:r>
            <w:r w:rsidRPr="00A34F10">
              <w:rPr>
                <w:bCs/>
                <w:i/>
                <w:sz w:val="20"/>
                <w:szCs w:val="20"/>
              </w:rPr>
              <w:br/>
            </w:r>
            <w:r w:rsidRPr="00A34F10">
              <w:rPr>
                <w:bCs/>
                <w:iCs/>
                <w:sz w:val="20"/>
                <w:szCs w:val="20"/>
              </w:rPr>
              <w:t>(48 h)</w:t>
            </w:r>
          </w:p>
        </w:tc>
        <w:tc>
          <w:tcPr>
            <w:tcW w:w="1362" w:type="pct"/>
            <w:tcBorders>
              <w:bottom w:val="single" w:sz="2" w:space="0" w:color="auto"/>
            </w:tcBorders>
            <w:vAlign w:val="center"/>
          </w:tcPr>
          <w:p w14:paraId="1C6D361F" w14:textId="77777777" w:rsidR="00DC5685" w:rsidRPr="00A34F10" w:rsidRDefault="00DC5685" w:rsidP="000470C3">
            <w:pPr>
              <w:suppressAutoHyphens/>
              <w:spacing w:before="40" w:after="40"/>
              <w:rPr>
                <w:sz w:val="20"/>
                <w:szCs w:val="20"/>
              </w:rPr>
            </w:pPr>
            <w:r w:rsidRPr="00A34F10">
              <w:rPr>
                <w:sz w:val="20"/>
                <w:szCs w:val="20"/>
              </w:rPr>
              <w:t>EC</w:t>
            </w:r>
            <w:r w:rsidRPr="00A34F10">
              <w:rPr>
                <w:sz w:val="20"/>
                <w:szCs w:val="20"/>
                <w:vertAlign w:val="subscript"/>
              </w:rPr>
              <w:t xml:space="preserve">50 </w:t>
            </w:r>
            <w:r w:rsidRPr="00A34F10">
              <w:rPr>
                <w:sz w:val="20"/>
                <w:szCs w:val="20"/>
              </w:rPr>
              <w:t>&gt; 100 mg/L</w:t>
            </w:r>
          </w:p>
        </w:tc>
        <w:tc>
          <w:tcPr>
            <w:tcW w:w="1017" w:type="pct"/>
            <w:tcBorders>
              <w:bottom w:val="single" w:sz="2" w:space="0" w:color="auto"/>
            </w:tcBorders>
            <w:vAlign w:val="center"/>
          </w:tcPr>
          <w:p w14:paraId="24C200DB" w14:textId="77777777" w:rsidR="00DC5685" w:rsidRPr="00A34F10" w:rsidRDefault="00DC5685" w:rsidP="000470C3">
            <w:pPr>
              <w:suppressAutoHyphens/>
              <w:spacing w:before="40" w:after="40"/>
              <w:rPr>
                <w:bCs/>
                <w:sz w:val="20"/>
                <w:szCs w:val="20"/>
                <w:lang w:val="en-GB"/>
              </w:rPr>
            </w:pPr>
            <w:r w:rsidRPr="00A34F10">
              <w:rPr>
                <w:bCs/>
                <w:sz w:val="20"/>
                <w:szCs w:val="20"/>
                <w:lang w:val="en-GB"/>
              </w:rPr>
              <w:t>No aquatic acute hazard cat.</w:t>
            </w:r>
          </w:p>
        </w:tc>
        <w:tc>
          <w:tcPr>
            <w:tcW w:w="1018" w:type="pct"/>
            <w:shd w:val="clear" w:color="auto" w:fill="auto"/>
            <w:vAlign w:val="center"/>
          </w:tcPr>
          <w:p w14:paraId="41A790E0" w14:textId="77777777" w:rsidR="00DC5685" w:rsidRPr="00A34F10" w:rsidRDefault="00DC5685" w:rsidP="000470C3">
            <w:pPr>
              <w:pStyle w:val="RepTable"/>
              <w:suppressAutoHyphens/>
              <w:rPr>
                <w:noProof w:val="0"/>
                <w:szCs w:val="20"/>
              </w:rPr>
            </w:pPr>
            <w:r w:rsidRPr="00A34F10">
              <w:rPr>
                <w:noProof w:val="0"/>
                <w:szCs w:val="20"/>
              </w:rPr>
              <w:t>New study</w:t>
            </w:r>
          </w:p>
          <w:p w14:paraId="546DA782" w14:textId="77777777" w:rsidR="00DC5685" w:rsidRPr="00A34F10" w:rsidRDefault="00DC5685" w:rsidP="000470C3">
            <w:pPr>
              <w:pStyle w:val="RepTable"/>
              <w:suppressAutoHyphens/>
              <w:rPr>
                <w:noProof w:val="0"/>
                <w:szCs w:val="20"/>
              </w:rPr>
            </w:pPr>
            <w:r w:rsidRPr="00A34F10">
              <w:rPr>
                <w:noProof w:val="0"/>
                <w:szCs w:val="20"/>
              </w:rPr>
              <w:t>2022/2033730</w:t>
            </w:r>
          </w:p>
        </w:tc>
      </w:tr>
      <w:tr w:rsidR="00DC5685" w:rsidRPr="00A34F10" w14:paraId="54B894ED" w14:textId="77777777" w:rsidTr="000470C3">
        <w:trPr>
          <w:cantSplit/>
          <w:trHeight w:val="797"/>
          <w:tblHeader/>
        </w:trPr>
        <w:tc>
          <w:tcPr>
            <w:tcW w:w="705" w:type="pct"/>
            <w:tcBorders>
              <w:left w:val="single" w:sz="4" w:space="0" w:color="auto"/>
              <w:right w:val="single" w:sz="4" w:space="0" w:color="auto"/>
            </w:tcBorders>
            <w:vAlign w:val="center"/>
          </w:tcPr>
          <w:p w14:paraId="19E65CD1" w14:textId="77777777" w:rsidR="00DC5685" w:rsidRPr="00A34F10" w:rsidRDefault="00DC5685" w:rsidP="000470C3">
            <w:pPr>
              <w:suppressAutoHyphens/>
              <w:spacing w:before="40" w:after="40"/>
              <w:rPr>
                <w:bCs/>
                <w:sz w:val="20"/>
                <w:szCs w:val="20"/>
              </w:rPr>
            </w:pPr>
            <w:r w:rsidRPr="00A34F10">
              <w:rPr>
                <w:sz w:val="20"/>
                <w:szCs w:val="20"/>
              </w:rPr>
              <w:t>BAS 743 02 F</w:t>
            </w:r>
          </w:p>
        </w:tc>
        <w:tc>
          <w:tcPr>
            <w:tcW w:w="898" w:type="pct"/>
            <w:tcBorders>
              <w:left w:val="single" w:sz="4" w:space="0" w:color="auto"/>
            </w:tcBorders>
            <w:vAlign w:val="center"/>
          </w:tcPr>
          <w:p w14:paraId="35837659" w14:textId="77777777" w:rsidR="00DC5685" w:rsidRPr="00A34F10" w:rsidRDefault="00DC5685" w:rsidP="000470C3">
            <w:pPr>
              <w:suppressAutoHyphens/>
              <w:spacing w:before="40" w:after="40"/>
              <w:rPr>
                <w:bCs/>
                <w:i/>
                <w:sz w:val="20"/>
                <w:szCs w:val="20"/>
              </w:rPr>
            </w:pPr>
            <w:r w:rsidRPr="00A34F10">
              <w:rPr>
                <w:i/>
                <w:sz w:val="20"/>
                <w:szCs w:val="20"/>
              </w:rPr>
              <w:t>Pseudokirchneriella subcapitata</w:t>
            </w:r>
            <w:r w:rsidRPr="00A34F10" w:rsidDel="003067A7">
              <w:rPr>
                <w:i/>
                <w:iCs/>
                <w:sz w:val="20"/>
                <w:szCs w:val="20"/>
              </w:rPr>
              <w:t xml:space="preserve"> </w:t>
            </w:r>
            <w:r w:rsidRPr="00A34F10">
              <w:rPr>
                <w:sz w:val="20"/>
                <w:szCs w:val="20"/>
              </w:rPr>
              <w:t>(72 h)</w:t>
            </w:r>
          </w:p>
        </w:tc>
        <w:tc>
          <w:tcPr>
            <w:tcW w:w="1362" w:type="pct"/>
            <w:vAlign w:val="center"/>
          </w:tcPr>
          <w:p w14:paraId="0F60058F" w14:textId="77777777" w:rsidR="00DC5685" w:rsidRPr="00A34F10" w:rsidRDefault="00DC5685" w:rsidP="000470C3">
            <w:pPr>
              <w:suppressAutoHyphens/>
              <w:spacing w:before="40" w:after="40"/>
              <w:rPr>
                <w:bCs/>
                <w:sz w:val="20"/>
                <w:szCs w:val="20"/>
              </w:rPr>
            </w:pPr>
            <w:r w:rsidRPr="00A34F10">
              <w:rPr>
                <w:sz w:val="20"/>
                <w:szCs w:val="20"/>
              </w:rPr>
              <w:t>E</w:t>
            </w:r>
            <w:r w:rsidRPr="00A34F10">
              <w:rPr>
                <w:sz w:val="20"/>
                <w:szCs w:val="20"/>
                <w:vertAlign w:val="subscript"/>
              </w:rPr>
              <w:t>r</w:t>
            </w:r>
            <w:r w:rsidRPr="00A34F10">
              <w:rPr>
                <w:sz w:val="20"/>
                <w:szCs w:val="20"/>
              </w:rPr>
              <w:t>C</w:t>
            </w:r>
            <w:r w:rsidRPr="00A34F10">
              <w:rPr>
                <w:sz w:val="20"/>
                <w:szCs w:val="20"/>
                <w:vertAlign w:val="subscript"/>
              </w:rPr>
              <w:t>50</w:t>
            </w:r>
            <w:r w:rsidRPr="00A34F10">
              <w:rPr>
                <w:sz w:val="20"/>
                <w:szCs w:val="20"/>
              </w:rPr>
              <w:t xml:space="preserve"> &gt; 100 mg/L</w:t>
            </w:r>
          </w:p>
        </w:tc>
        <w:tc>
          <w:tcPr>
            <w:tcW w:w="1017" w:type="pct"/>
            <w:vAlign w:val="center"/>
          </w:tcPr>
          <w:p w14:paraId="71C1EE87" w14:textId="77777777" w:rsidR="00DC5685" w:rsidRPr="00A34F10" w:rsidRDefault="00DC5685" w:rsidP="000470C3">
            <w:pPr>
              <w:suppressAutoHyphens/>
              <w:spacing w:before="40" w:after="40"/>
              <w:rPr>
                <w:sz w:val="20"/>
                <w:szCs w:val="20"/>
                <w:lang w:val="en-GB"/>
              </w:rPr>
            </w:pPr>
            <w:r w:rsidRPr="00A34F10">
              <w:rPr>
                <w:bCs/>
                <w:sz w:val="20"/>
                <w:szCs w:val="20"/>
                <w:lang w:val="en-GB"/>
              </w:rPr>
              <w:t>No aquatic acute hazard cat.</w:t>
            </w:r>
          </w:p>
        </w:tc>
        <w:tc>
          <w:tcPr>
            <w:tcW w:w="1018" w:type="pct"/>
            <w:shd w:val="clear" w:color="auto" w:fill="auto"/>
            <w:vAlign w:val="center"/>
          </w:tcPr>
          <w:p w14:paraId="37E897FF" w14:textId="77777777" w:rsidR="00DC5685" w:rsidRPr="00A34F10" w:rsidRDefault="00DC5685" w:rsidP="000470C3">
            <w:pPr>
              <w:pStyle w:val="RepTable"/>
              <w:suppressAutoHyphens/>
              <w:rPr>
                <w:noProof w:val="0"/>
                <w:szCs w:val="20"/>
              </w:rPr>
            </w:pPr>
            <w:r w:rsidRPr="00A34F10">
              <w:rPr>
                <w:noProof w:val="0"/>
                <w:szCs w:val="20"/>
              </w:rPr>
              <w:t>New study</w:t>
            </w:r>
          </w:p>
          <w:p w14:paraId="711BDB4A" w14:textId="77777777" w:rsidR="00DC5685" w:rsidRPr="00A34F10" w:rsidRDefault="00DC5685" w:rsidP="000470C3">
            <w:pPr>
              <w:suppressAutoHyphens/>
              <w:spacing w:before="40" w:after="40"/>
              <w:rPr>
                <w:bCs/>
                <w:sz w:val="20"/>
                <w:szCs w:val="20"/>
              </w:rPr>
            </w:pPr>
            <w:r w:rsidRPr="00A34F10">
              <w:rPr>
                <w:sz w:val="20"/>
                <w:szCs w:val="20"/>
              </w:rPr>
              <w:t>2022/2033713</w:t>
            </w:r>
          </w:p>
        </w:tc>
      </w:tr>
      <w:tr w:rsidR="00DC5685" w:rsidRPr="00A34F10" w14:paraId="60E038ED" w14:textId="77777777" w:rsidTr="000470C3">
        <w:trPr>
          <w:cantSplit/>
          <w:tblHeader/>
        </w:trPr>
        <w:tc>
          <w:tcPr>
            <w:tcW w:w="5000" w:type="pct"/>
            <w:gridSpan w:val="5"/>
            <w:tcBorders>
              <w:left w:val="single" w:sz="4" w:space="0" w:color="auto"/>
              <w:right w:val="single" w:sz="4" w:space="0" w:color="auto"/>
            </w:tcBorders>
            <w:vAlign w:val="center"/>
          </w:tcPr>
          <w:p w14:paraId="4836296E" w14:textId="77777777" w:rsidR="00DC5685" w:rsidRPr="00A34F10" w:rsidRDefault="00DC5685" w:rsidP="000470C3">
            <w:pPr>
              <w:suppressAutoHyphens/>
              <w:spacing w:before="40" w:after="40"/>
              <w:rPr>
                <w:sz w:val="20"/>
                <w:szCs w:val="20"/>
              </w:rPr>
            </w:pPr>
            <w:r w:rsidRPr="00A34F10">
              <w:rPr>
                <w:b/>
                <w:sz w:val="20"/>
                <w:szCs w:val="20"/>
              </w:rPr>
              <w:t>Long-term aquatic hazard</w:t>
            </w:r>
          </w:p>
        </w:tc>
      </w:tr>
      <w:tr w:rsidR="00DC5685" w:rsidRPr="00A34F10" w14:paraId="65726025" w14:textId="77777777" w:rsidTr="000470C3">
        <w:trPr>
          <w:cantSplit/>
          <w:tblHeader/>
        </w:trPr>
        <w:tc>
          <w:tcPr>
            <w:tcW w:w="705" w:type="pct"/>
            <w:vMerge w:val="restart"/>
            <w:tcBorders>
              <w:left w:val="single" w:sz="4" w:space="0" w:color="auto"/>
              <w:right w:val="single" w:sz="4" w:space="0" w:color="auto"/>
            </w:tcBorders>
            <w:vAlign w:val="center"/>
          </w:tcPr>
          <w:p w14:paraId="14F4BF61" w14:textId="77777777" w:rsidR="00DC5685" w:rsidRPr="00A34F10" w:rsidRDefault="00DC5685" w:rsidP="000470C3">
            <w:pPr>
              <w:suppressAutoHyphens/>
              <w:spacing w:before="40" w:after="40"/>
              <w:rPr>
                <w:bCs/>
                <w:sz w:val="20"/>
                <w:szCs w:val="20"/>
              </w:rPr>
            </w:pPr>
            <w:bookmarkStart w:id="974" w:name="_Hlk40901130"/>
            <w:r w:rsidRPr="00A34F10">
              <w:rPr>
                <w:sz w:val="20"/>
                <w:szCs w:val="20"/>
              </w:rPr>
              <w:t>Ametoctradin</w:t>
            </w:r>
            <w:r w:rsidRPr="00A34F10">
              <w:rPr>
                <w:sz w:val="20"/>
                <w:szCs w:val="20"/>
              </w:rPr>
              <w:br/>
              <w:t xml:space="preserve">(BAS 650 F) </w:t>
            </w:r>
            <w:r w:rsidRPr="00A34F10">
              <w:rPr>
                <w:sz w:val="20"/>
                <w:szCs w:val="20"/>
                <w:vertAlign w:val="superscript"/>
              </w:rPr>
              <w:t>1)</w:t>
            </w:r>
          </w:p>
        </w:tc>
        <w:tc>
          <w:tcPr>
            <w:tcW w:w="898" w:type="pct"/>
            <w:tcBorders>
              <w:left w:val="single" w:sz="4" w:space="0" w:color="auto"/>
            </w:tcBorders>
            <w:vAlign w:val="center"/>
          </w:tcPr>
          <w:p w14:paraId="0C5EB991" w14:textId="77777777" w:rsidR="00DC5685" w:rsidRPr="00A34F10" w:rsidRDefault="00DC5685" w:rsidP="000470C3">
            <w:pPr>
              <w:suppressAutoHyphens/>
              <w:spacing w:before="40" w:after="40"/>
              <w:rPr>
                <w:bCs/>
                <w:i/>
                <w:sz w:val="20"/>
                <w:szCs w:val="20"/>
              </w:rPr>
            </w:pPr>
            <w:r w:rsidRPr="00A34F10">
              <w:rPr>
                <w:bCs/>
                <w:i/>
                <w:sz w:val="20"/>
                <w:szCs w:val="20"/>
              </w:rPr>
              <w:t>Americamysis bahia</w:t>
            </w:r>
            <w:r w:rsidRPr="00A34F10">
              <w:rPr>
                <w:sz w:val="20"/>
                <w:szCs w:val="20"/>
              </w:rPr>
              <w:br/>
              <w:t>(28 d)</w:t>
            </w:r>
          </w:p>
        </w:tc>
        <w:tc>
          <w:tcPr>
            <w:tcW w:w="1362" w:type="pct"/>
            <w:vAlign w:val="center"/>
          </w:tcPr>
          <w:p w14:paraId="2901B489" w14:textId="77777777" w:rsidR="00DC5685" w:rsidRPr="00A34F10" w:rsidRDefault="00DC5685" w:rsidP="000470C3">
            <w:pPr>
              <w:suppressAutoHyphens/>
              <w:spacing w:before="40" w:after="40"/>
              <w:rPr>
                <w:bCs/>
                <w:sz w:val="20"/>
                <w:szCs w:val="20"/>
              </w:rPr>
            </w:pPr>
            <w:r w:rsidRPr="00A34F10">
              <w:rPr>
                <w:sz w:val="20"/>
                <w:szCs w:val="20"/>
              </w:rPr>
              <w:t>NOEC = 0.018 mg/L</w:t>
            </w:r>
          </w:p>
        </w:tc>
        <w:tc>
          <w:tcPr>
            <w:tcW w:w="1017" w:type="pct"/>
            <w:vAlign w:val="center"/>
          </w:tcPr>
          <w:p w14:paraId="4177C2D6" w14:textId="77777777" w:rsidR="00DC5685" w:rsidRPr="00A34F10" w:rsidRDefault="00DC5685" w:rsidP="000470C3">
            <w:pPr>
              <w:suppressAutoHyphens/>
              <w:spacing w:before="40" w:after="40"/>
              <w:rPr>
                <w:bCs/>
                <w:iCs/>
                <w:sz w:val="20"/>
                <w:szCs w:val="20"/>
                <w:lang w:val="en-GB"/>
              </w:rPr>
            </w:pPr>
            <w:r w:rsidRPr="00A34F10">
              <w:rPr>
                <w:sz w:val="20"/>
                <w:szCs w:val="20"/>
                <w:lang w:val="en-GB"/>
              </w:rPr>
              <w:t xml:space="preserve">Aquatic chronic </w:t>
            </w:r>
            <w:r w:rsidRPr="00A34F10">
              <w:rPr>
                <w:bCs/>
                <w:sz w:val="20"/>
                <w:szCs w:val="20"/>
                <w:lang w:val="en-GB"/>
              </w:rPr>
              <w:t>hazard cat. 1 (H410)</w:t>
            </w:r>
            <w:r w:rsidRPr="00A34F10">
              <w:rPr>
                <w:sz w:val="20"/>
                <w:szCs w:val="20"/>
                <w:lang w:val="en-GB"/>
              </w:rPr>
              <w:t xml:space="preserve">, </w:t>
            </w:r>
            <w:r w:rsidRPr="00A34F10">
              <w:rPr>
                <w:sz w:val="20"/>
                <w:szCs w:val="20"/>
                <w:lang w:val="en-GB"/>
              </w:rPr>
              <w:br/>
              <w:t>M factor = 1</w:t>
            </w:r>
          </w:p>
        </w:tc>
        <w:tc>
          <w:tcPr>
            <w:tcW w:w="1018" w:type="pct"/>
            <w:tcBorders>
              <w:right w:val="single" w:sz="4" w:space="0" w:color="auto"/>
            </w:tcBorders>
            <w:vAlign w:val="center"/>
          </w:tcPr>
          <w:p w14:paraId="2A7A6821" w14:textId="77777777" w:rsidR="00DC5685" w:rsidRPr="00A34F10" w:rsidRDefault="00DC5685" w:rsidP="000470C3">
            <w:pPr>
              <w:pStyle w:val="RepTable"/>
              <w:suppressAutoHyphens/>
              <w:spacing w:line="216" w:lineRule="auto"/>
              <w:rPr>
                <w:bCs/>
                <w:noProof w:val="0"/>
                <w:szCs w:val="20"/>
              </w:rPr>
            </w:pPr>
            <w:r w:rsidRPr="00A34F10">
              <w:rPr>
                <w:bCs/>
                <w:noProof w:val="0"/>
                <w:szCs w:val="20"/>
              </w:rPr>
              <w:t>New study</w:t>
            </w:r>
          </w:p>
          <w:p w14:paraId="34F99268" w14:textId="77777777" w:rsidR="00DC5685" w:rsidRPr="00A34F10" w:rsidRDefault="00DC5685" w:rsidP="000470C3">
            <w:pPr>
              <w:suppressAutoHyphens/>
              <w:spacing w:before="40" w:after="40"/>
              <w:rPr>
                <w:sz w:val="20"/>
                <w:szCs w:val="20"/>
              </w:rPr>
            </w:pPr>
            <w:r w:rsidRPr="00A34F10">
              <w:rPr>
                <w:bCs/>
                <w:szCs w:val="20"/>
              </w:rPr>
              <w:t>2013/7000443</w:t>
            </w:r>
          </w:p>
        </w:tc>
      </w:tr>
      <w:tr w:rsidR="00DC5685" w:rsidRPr="00A34F10" w14:paraId="062A3477" w14:textId="77777777" w:rsidTr="000470C3">
        <w:trPr>
          <w:cantSplit/>
          <w:tblHeader/>
        </w:trPr>
        <w:tc>
          <w:tcPr>
            <w:tcW w:w="705" w:type="pct"/>
            <w:vMerge/>
            <w:tcBorders>
              <w:left w:val="single" w:sz="4" w:space="0" w:color="auto"/>
              <w:right w:val="single" w:sz="4" w:space="0" w:color="auto"/>
            </w:tcBorders>
            <w:vAlign w:val="center"/>
          </w:tcPr>
          <w:p w14:paraId="6FDF4667" w14:textId="77777777" w:rsidR="00DC5685" w:rsidRPr="00A34F10" w:rsidRDefault="00DC5685" w:rsidP="000470C3">
            <w:pPr>
              <w:suppressAutoHyphens/>
              <w:spacing w:before="40" w:after="40"/>
              <w:rPr>
                <w:sz w:val="20"/>
                <w:szCs w:val="20"/>
              </w:rPr>
            </w:pPr>
          </w:p>
        </w:tc>
        <w:tc>
          <w:tcPr>
            <w:tcW w:w="898" w:type="pct"/>
            <w:tcBorders>
              <w:left w:val="single" w:sz="4" w:space="0" w:color="auto"/>
            </w:tcBorders>
            <w:vAlign w:val="center"/>
          </w:tcPr>
          <w:p w14:paraId="639CCAE3" w14:textId="77777777" w:rsidR="00DC5685" w:rsidRPr="00A34F10" w:rsidRDefault="00DC5685" w:rsidP="000470C3">
            <w:pPr>
              <w:suppressAutoHyphens/>
              <w:spacing w:before="40" w:after="40"/>
              <w:rPr>
                <w:i/>
                <w:iCs/>
                <w:sz w:val="20"/>
                <w:szCs w:val="20"/>
              </w:rPr>
            </w:pPr>
            <w:r w:rsidRPr="00A34F10">
              <w:rPr>
                <w:sz w:val="20"/>
                <w:szCs w:val="20"/>
              </w:rPr>
              <w:t>Biodegradation</w:t>
            </w:r>
          </w:p>
        </w:tc>
        <w:tc>
          <w:tcPr>
            <w:tcW w:w="1362" w:type="pct"/>
            <w:vAlign w:val="center"/>
          </w:tcPr>
          <w:p w14:paraId="11204ED8" w14:textId="77777777" w:rsidR="00DC5685" w:rsidRPr="00A34F10" w:rsidRDefault="00DC5685" w:rsidP="000470C3">
            <w:pPr>
              <w:suppressAutoHyphens/>
              <w:spacing w:before="40" w:after="40"/>
              <w:rPr>
                <w:sz w:val="20"/>
                <w:szCs w:val="20"/>
              </w:rPr>
            </w:pPr>
            <w:r w:rsidRPr="00A34F10">
              <w:rPr>
                <w:sz w:val="20"/>
                <w:szCs w:val="20"/>
              </w:rPr>
              <w:t>Not readily biodegradable</w:t>
            </w:r>
          </w:p>
        </w:tc>
        <w:tc>
          <w:tcPr>
            <w:tcW w:w="1017" w:type="pct"/>
            <w:vAlign w:val="center"/>
          </w:tcPr>
          <w:p w14:paraId="1F7D68EC" w14:textId="77777777" w:rsidR="00DC5685" w:rsidRPr="00A34F10" w:rsidRDefault="00DC5685" w:rsidP="000470C3">
            <w:pPr>
              <w:suppressAutoHyphens/>
              <w:spacing w:before="40" w:after="40"/>
              <w:rPr>
                <w:bCs/>
                <w:iCs/>
                <w:sz w:val="20"/>
                <w:szCs w:val="20"/>
              </w:rPr>
            </w:pPr>
            <w:r w:rsidRPr="00A34F10">
              <w:rPr>
                <w:bCs/>
                <w:iCs/>
                <w:sz w:val="20"/>
                <w:szCs w:val="20"/>
              </w:rPr>
              <w:t>--</w:t>
            </w:r>
          </w:p>
        </w:tc>
        <w:tc>
          <w:tcPr>
            <w:tcW w:w="1018" w:type="pct"/>
            <w:tcBorders>
              <w:right w:val="single" w:sz="4" w:space="0" w:color="auto"/>
            </w:tcBorders>
            <w:vAlign w:val="center"/>
          </w:tcPr>
          <w:p w14:paraId="292EDEE8" w14:textId="77777777" w:rsidR="00DC5685" w:rsidRPr="00A34F10" w:rsidRDefault="00DC5685" w:rsidP="000470C3">
            <w:pPr>
              <w:suppressAutoHyphens/>
              <w:spacing w:before="40" w:after="40"/>
              <w:rPr>
                <w:bCs/>
                <w:iCs/>
                <w:sz w:val="20"/>
                <w:szCs w:val="20"/>
              </w:rPr>
            </w:pPr>
            <w:r w:rsidRPr="00A34F10">
              <w:rPr>
                <w:bCs/>
                <w:iCs/>
                <w:sz w:val="20"/>
                <w:szCs w:val="20"/>
              </w:rPr>
              <w:t>EFSA Journal 2012;10(11):2921</w:t>
            </w:r>
            <w:r w:rsidRPr="00A34F10">
              <w:rPr>
                <w:bCs/>
                <w:iCs/>
                <w:sz w:val="20"/>
                <w:szCs w:val="20"/>
              </w:rPr>
              <w:br/>
              <w:t>(2008/1000061)</w:t>
            </w:r>
          </w:p>
        </w:tc>
      </w:tr>
      <w:bookmarkEnd w:id="974"/>
      <w:tr w:rsidR="00DC5685" w:rsidRPr="00A34F10" w14:paraId="3976FEFE" w14:textId="77777777" w:rsidTr="000470C3">
        <w:trPr>
          <w:cantSplit/>
          <w:tblHeader/>
        </w:trPr>
        <w:tc>
          <w:tcPr>
            <w:tcW w:w="705" w:type="pct"/>
            <w:vMerge w:val="restart"/>
            <w:tcBorders>
              <w:left w:val="single" w:sz="4" w:space="0" w:color="auto"/>
              <w:right w:val="single" w:sz="4" w:space="0" w:color="auto"/>
            </w:tcBorders>
            <w:vAlign w:val="center"/>
          </w:tcPr>
          <w:p w14:paraId="1C2B65F7" w14:textId="77777777" w:rsidR="00DC5685" w:rsidRPr="00A34F10" w:rsidRDefault="00DC5685" w:rsidP="000470C3">
            <w:pPr>
              <w:suppressAutoHyphens/>
              <w:spacing w:before="40" w:after="40"/>
              <w:rPr>
                <w:bCs/>
                <w:sz w:val="20"/>
                <w:szCs w:val="20"/>
              </w:rPr>
            </w:pPr>
            <w:r w:rsidRPr="00A34F10">
              <w:rPr>
                <w:sz w:val="20"/>
                <w:szCs w:val="20"/>
              </w:rPr>
              <w:t xml:space="preserve">Propamocarb-HCl </w:t>
            </w:r>
            <w:r w:rsidRPr="00A34F10">
              <w:rPr>
                <w:sz w:val="20"/>
                <w:szCs w:val="20"/>
                <w:vertAlign w:val="superscript"/>
              </w:rPr>
              <w:t>2)</w:t>
            </w:r>
          </w:p>
        </w:tc>
        <w:tc>
          <w:tcPr>
            <w:tcW w:w="898" w:type="pct"/>
            <w:tcBorders>
              <w:left w:val="single" w:sz="4" w:space="0" w:color="auto"/>
            </w:tcBorders>
            <w:vAlign w:val="center"/>
          </w:tcPr>
          <w:p w14:paraId="47F37911" w14:textId="77777777" w:rsidR="00DC5685" w:rsidRPr="00A34F10" w:rsidRDefault="00DC5685" w:rsidP="000470C3">
            <w:pPr>
              <w:suppressAutoHyphens/>
              <w:spacing w:before="40" w:after="40"/>
              <w:rPr>
                <w:bCs/>
                <w:i/>
                <w:sz w:val="20"/>
                <w:szCs w:val="20"/>
              </w:rPr>
            </w:pPr>
            <w:r w:rsidRPr="00A34F10">
              <w:rPr>
                <w:bCs/>
                <w:i/>
                <w:sz w:val="20"/>
                <w:szCs w:val="20"/>
              </w:rPr>
              <w:t>Lepomis macrochirus</w:t>
            </w:r>
            <w:r w:rsidRPr="00A34F10">
              <w:rPr>
                <w:sz w:val="20"/>
                <w:szCs w:val="20"/>
              </w:rPr>
              <w:br/>
              <w:t>(32 d)</w:t>
            </w:r>
          </w:p>
        </w:tc>
        <w:tc>
          <w:tcPr>
            <w:tcW w:w="1362" w:type="pct"/>
            <w:vAlign w:val="center"/>
          </w:tcPr>
          <w:p w14:paraId="62784DD3" w14:textId="77777777" w:rsidR="00DC5685" w:rsidRPr="00A34F10" w:rsidRDefault="00DC5685" w:rsidP="000470C3">
            <w:pPr>
              <w:suppressAutoHyphens/>
              <w:spacing w:before="40" w:after="40"/>
              <w:rPr>
                <w:bCs/>
                <w:sz w:val="20"/>
                <w:szCs w:val="20"/>
              </w:rPr>
            </w:pPr>
            <w:r w:rsidRPr="00A34F10">
              <w:rPr>
                <w:sz w:val="20"/>
                <w:szCs w:val="20"/>
              </w:rPr>
              <w:t>NOEC = 6.3 mg/L</w:t>
            </w:r>
          </w:p>
        </w:tc>
        <w:tc>
          <w:tcPr>
            <w:tcW w:w="1017" w:type="pct"/>
            <w:vAlign w:val="center"/>
          </w:tcPr>
          <w:p w14:paraId="3C4E90E3" w14:textId="77777777" w:rsidR="00DC5685" w:rsidRPr="00A34F10" w:rsidRDefault="00DC5685" w:rsidP="000470C3">
            <w:pPr>
              <w:suppressAutoHyphens/>
              <w:spacing w:before="40" w:after="40"/>
              <w:rPr>
                <w:bCs/>
                <w:iCs/>
                <w:sz w:val="20"/>
                <w:szCs w:val="20"/>
                <w:highlight w:val="yellow"/>
                <w:lang w:val="en-GB"/>
              </w:rPr>
            </w:pPr>
            <w:r w:rsidRPr="00A34F10">
              <w:rPr>
                <w:bCs/>
                <w:sz w:val="20"/>
                <w:szCs w:val="20"/>
                <w:lang w:val="en-GB"/>
              </w:rPr>
              <w:t>No aquatic chronic hazard cat.</w:t>
            </w:r>
          </w:p>
        </w:tc>
        <w:tc>
          <w:tcPr>
            <w:tcW w:w="1018" w:type="pct"/>
            <w:tcBorders>
              <w:right w:val="single" w:sz="4" w:space="0" w:color="auto"/>
            </w:tcBorders>
            <w:vAlign w:val="center"/>
          </w:tcPr>
          <w:p w14:paraId="2D192A42" w14:textId="77777777" w:rsidR="00DC5685" w:rsidRPr="00A34F10" w:rsidRDefault="00DC5685" w:rsidP="000470C3">
            <w:pPr>
              <w:suppressAutoHyphens/>
              <w:spacing w:before="40" w:after="40"/>
              <w:rPr>
                <w:sz w:val="20"/>
                <w:szCs w:val="20"/>
                <w:highlight w:val="yellow"/>
              </w:rPr>
            </w:pPr>
            <w:r w:rsidRPr="00A34F10">
              <w:rPr>
                <w:bCs/>
                <w:iCs/>
                <w:sz w:val="20"/>
                <w:szCs w:val="20"/>
              </w:rPr>
              <w:t>EFSA Scientific Report (2006) 78, 1-80</w:t>
            </w:r>
          </w:p>
        </w:tc>
      </w:tr>
      <w:tr w:rsidR="00DC5685" w:rsidRPr="00A34F10" w14:paraId="21FC91F5" w14:textId="77777777" w:rsidTr="000470C3">
        <w:trPr>
          <w:cantSplit/>
          <w:tblHeader/>
        </w:trPr>
        <w:tc>
          <w:tcPr>
            <w:tcW w:w="705" w:type="pct"/>
            <w:vMerge/>
            <w:tcBorders>
              <w:left w:val="single" w:sz="4" w:space="0" w:color="auto"/>
              <w:right w:val="single" w:sz="4" w:space="0" w:color="auto"/>
            </w:tcBorders>
            <w:vAlign w:val="center"/>
          </w:tcPr>
          <w:p w14:paraId="25212806" w14:textId="77777777" w:rsidR="00DC5685" w:rsidRPr="00A34F10" w:rsidRDefault="00DC5685" w:rsidP="000470C3">
            <w:pPr>
              <w:suppressAutoHyphens/>
              <w:spacing w:before="40" w:after="40"/>
              <w:rPr>
                <w:sz w:val="20"/>
                <w:szCs w:val="20"/>
              </w:rPr>
            </w:pPr>
          </w:p>
        </w:tc>
        <w:tc>
          <w:tcPr>
            <w:tcW w:w="898" w:type="pct"/>
            <w:tcBorders>
              <w:left w:val="single" w:sz="4" w:space="0" w:color="auto"/>
            </w:tcBorders>
            <w:vAlign w:val="center"/>
          </w:tcPr>
          <w:p w14:paraId="0409282E" w14:textId="77777777" w:rsidR="00DC5685" w:rsidRPr="00A34F10" w:rsidRDefault="00DC5685" w:rsidP="000470C3">
            <w:pPr>
              <w:suppressAutoHyphens/>
              <w:spacing w:before="40" w:after="40"/>
              <w:rPr>
                <w:i/>
                <w:iCs/>
                <w:sz w:val="20"/>
                <w:szCs w:val="20"/>
              </w:rPr>
            </w:pPr>
            <w:r w:rsidRPr="00A34F10">
              <w:rPr>
                <w:sz w:val="20"/>
                <w:szCs w:val="20"/>
              </w:rPr>
              <w:t>Biodegradation</w:t>
            </w:r>
          </w:p>
        </w:tc>
        <w:tc>
          <w:tcPr>
            <w:tcW w:w="1362" w:type="pct"/>
            <w:vAlign w:val="center"/>
          </w:tcPr>
          <w:p w14:paraId="6E571073" w14:textId="77777777" w:rsidR="00DC5685" w:rsidRPr="00A34F10" w:rsidRDefault="00DC5685" w:rsidP="000470C3">
            <w:pPr>
              <w:suppressAutoHyphens/>
              <w:spacing w:before="40" w:after="40"/>
              <w:rPr>
                <w:sz w:val="20"/>
                <w:szCs w:val="20"/>
              </w:rPr>
            </w:pPr>
            <w:r w:rsidRPr="00A34F10">
              <w:rPr>
                <w:sz w:val="20"/>
                <w:szCs w:val="20"/>
              </w:rPr>
              <w:t>Not readily biodegradable</w:t>
            </w:r>
          </w:p>
        </w:tc>
        <w:tc>
          <w:tcPr>
            <w:tcW w:w="1017" w:type="pct"/>
            <w:vAlign w:val="center"/>
          </w:tcPr>
          <w:p w14:paraId="1D1EFE45" w14:textId="77777777" w:rsidR="00DC5685" w:rsidRPr="00A34F10" w:rsidRDefault="00DC5685" w:rsidP="000470C3">
            <w:pPr>
              <w:suppressAutoHyphens/>
              <w:spacing w:before="40" w:after="40"/>
              <w:rPr>
                <w:bCs/>
                <w:iCs/>
                <w:sz w:val="20"/>
                <w:szCs w:val="20"/>
              </w:rPr>
            </w:pPr>
            <w:r w:rsidRPr="00A34F10">
              <w:rPr>
                <w:bCs/>
                <w:iCs/>
                <w:sz w:val="20"/>
                <w:szCs w:val="20"/>
              </w:rPr>
              <w:t>--</w:t>
            </w:r>
          </w:p>
        </w:tc>
        <w:tc>
          <w:tcPr>
            <w:tcW w:w="1018" w:type="pct"/>
            <w:tcBorders>
              <w:right w:val="single" w:sz="4" w:space="0" w:color="auto"/>
            </w:tcBorders>
            <w:vAlign w:val="center"/>
          </w:tcPr>
          <w:p w14:paraId="490D6586" w14:textId="77777777" w:rsidR="00DC5685" w:rsidRPr="00A34F10" w:rsidRDefault="00DC5685" w:rsidP="000470C3">
            <w:pPr>
              <w:suppressAutoHyphens/>
              <w:spacing w:before="40" w:after="40"/>
              <w:rPr>
                <w:bCs/>
                <w:iCs/>
                <w:sz w:val="20"/>
                <w:szCs w:val="20"/>
                <w:highlight w:val="yellow"/>
              </w:rPr>
            </w:pPr>
            <w:r w:rsidRPr="00A34F10">
              <w:rPr>
                <w:bCs/>
                <w:iCs/>
                <w:sz w:val="20"/>
                <w:szCs w:val="20"/>
              </w:rPr>
              <w:t>EFSA Scientific Report (2006) 78, 1-80</w:t>
            </w:r>
          </w:p>
        </w:tc>
      </w:tr>
    </w:tbl>
    <w:p w14:paraId="71783A65" w14:textId="77777777" w:rsidR="00DC5685" w:rsidRPr="00A34F10" w:rsidRDefault="00DC5685" w:rsidP="00DC5685">
      <w:pPr>
        <w:pStyle w:val="OECD-BASIS-TEXT"/>
        <w:suppressAutoHyphens/>
        <w:rPr>
          <w:lang w:val="en-US"/>
        </w:rPr>
      </w:pPr>
      <w:r w:rsidRPr="00A34F10">
        <w:rPr>
          <w:bCs/>
          <w:color w:val="auto"/>
          <w:szCs w:val="18"/>
          <w:lang w:val="en-US"/>
        </w:rPr>
        <w:br w:type="page"/>
      </w:r>
    </w:p>
    <w:p w14:paraId="2C651F17" w14:textId="77777777" w:rsidR="00DC5685" w:rsidRPr="00A34F10" w:rsidRDefault="00DC5685" w:rsidP="00DC5685">
      <w:pPr>
        <w:suppressAutoHyphens/>
        <w:jc w:val="both"/>
        <w:rPr>
          <w:bCs/>
          <w:lang w:val="en-GB"/>
        </w:rPr>
      </w:pPr>
      <w:r w:rsidRPr="00A34F10">
        <w:rPr>
          <w:bCs/>
          <w:lang w:val="en-GB"/>
        </w:rPr>
        <w:lastRenderedPageBreak/>
        <w:t xml:space="preserve">Based on the lowest acute aquatic toxicity endpoint obtained with BAS 743 03 F no acute aquatic hazard category is given according to (EC) No 1272/2008 (CLP). </w:t>
      </w:r>
    </w:p>
    <w:p w14:paraId="3E668C7F" w14:textId="77777777" w:rsidR="00DC5685" w:rsidRPr="00A34F10" w:rsidRDefault="00DC5685" w:rsidP="00DC5685">
      <w:pPr>
        <w:suppressAutoHyphens/>
        <w:jc w:val="both"/>
        <w:rPr>
          <w:bCs/>
          <w:lang w:val="en-GB"/>
        </w:rPr>
      </w:pPr>
    </w:p>
    <w:p w14:paraId="7F28C77D" w14:textId="48E8B502" w:rsidR="00DC5685" w:rsidRPr="00A34F10" w:rsidRDefault="00DC5685" w:rsidP="00DC5685">
      <w:pPr>
        <w:suppressAutoHyphens/>
        <w:jc w:val="both"/>
        <w:rPr>
          <w:bCs/>
          <w:lang w:val="en-GB"/>
        </w:rPr>
      </w:pPr>
      <w:r w:rsidRPr="00A34F10">
        <w:rPr>
          <w:lang w:val="en-GB"/>
        </w:rPr>
        <w:t>Regarding chronic classification, Propamocarb-HCl (</w:t>
      </w:r>
      <w:r w:rsidRPr="00A34F10">
        <w:rPr>
          <w:bCs/>
          <w:lang w:val="en-GB"/>
        </w:rPr>
        <w:t>a.s. content of 73% w/w within the product</w:t>
      </w:r>
      <w:r w:rsidRPr="00A34F10">
        <w:rPr>
          <w:lang w:val="en-GB"/>
        </w:rPr>
        <w:t>) is not classified and Ametoctradin (</w:t>
      </w:r>
      <w:r w:rsidRPr="00A34F10">
        <w:rPr>
          <w:bCs/>
          <w:lang w:val="en-GB"/>
        </w:rPr>
        <w:t>a.s. content of 19.5% w/w within the product</w:t>
      </w:r>
      <w:r w:rsidRPr="00A34F10">
        <w:rPr>
          <w:lang w:val="en-GB"/>
        </w:rPr>
        <w:t xml:space="preserve">) is classified as chronic hazard cat. 1. Therefore, Ametoctradin is considered for the summation method in the </w:t>
      </w:r>
      <w:r w:rsidRPr="00A34F10">
        <w:rPr>
          <w:bCs/>
          <w:lang w:val="en-GB"/>
        </w:rPr>
        <w:t>1</w:t>
      </w:r>
      <w:r w:rsidRPr="00A34F10">
        <w:rPr>
          <w:bCs/>
          <w:vertAlign w:val="superscript"/>
          <w:lang w:val="en-GB"/>
        </w:rPr>
        <w:t>st </w:t>
      </w:r>
      <w:r w:rsidRPr="00A34F10">
        <w:rPr>
          <w:bCs/>
          <w:lang w:val="en-GB"/>
        </w:rPr>
        <w:t>equation according to CLP (</w:t>
      </w:r>
      <w:r w:rsidRPr="00A34F10">
        <w:rPr>
          <w:bCs/>
          <w:i/>
          <w:iCs/>
          <w:lang w:val="en-GB"/>
        </w:rPr>
        <w:t>M x hazard cat. 1</w:t>
      </w:r>
      <w:r w:rsidRPr="00A34F10">
        <w:rPr>
          <w:bCs/>
          <w:iCs/>
          <w:lang w:val="en-GB"/>
        </w:rPr>
        <w:t>)</w:t>
      </w:r>
      <w:r w:rsidRPr="00A34F10">
        <w:rPr>
          <w:bCs/>
          <w:i/>
          <w:iCs/>
          <w:lang w:val="en-GB"/>
        </w:rPr>
        <w:t xml:space="preserve">, </w:t>
      </w:r>
      <w:r w:rsidRPr="00A34F10">
        <w:rPr>
          <w:bCs/>
          <w:iCs/>
          <w:lang w:val="en-GB"/>
        </w:rPr>
        <w:t>yielding</w:t>
      </w:r>
      <w:r w:rsidRPr="00A34F10">
        <w:rPr>
          <w:bCs/>
          <w:lang w:val="en-GB"/>
        </w:rPr>
        <w:t xml:space="preserve"> a value which is below the trigger of 25%. Hence, BAS 743 03 F is not classified as Chronic 1 and thus chronic category 2 is considered using the 2</w:t>
      </w:r>
      <w:r w:rsidRPr="00A34F10">
        <w:rPr>
          <w:bCs/>
          <w:vertAlign w:val="superscript"/>
          <w:lang w:val="en-GB"/>
        </w:rPr>
        <w:t>nd</w:t>
      </w:r>
      <w:r w:rsidRPr="00A34F10">
        <w:rPr>
          <w:bCs/>
          <w:lang w:val="en-GB"/>
        </w:rPr>
        <w:t xml:space="preserve"> equation specified in the CLP Regulation (see </w:t>
      </w:r>
      <w:r w:rsidRPr="00A34F10">
        <w:rPr>
          <w:bCs/>
        </w:rPr>
        <w:fldChar w:fldCharType="begin"/>
      </w:r>
      <w:r w:rsidRPr="00A34F10">
        <w:rPr>
          <w:bCs/>
          <w:lang w:val="en-GB"/>
        </w:rPr>
        <w:instrText xml:space="preserve"> REF _Ref434840247 \h  \* MERGEFORMAT </w:instrText>
      </w:r>
      <w:r w:rsidRPr="00A34F10">
        <w:rPr>
          <w:bCs/>
        </w:rPr>
      </w:r>
      <w:r w:rsidRPr="00A34F10">
        <w:rPr>
          <w:bCs/>
        </w:rPr>
        <w:fldChar w:fldCharType="separate"/>
      </w:r>
      <w:r w:rsidR="006F0F3B" w:rsidRPr="006F0F3B">
        <w:rPr>
          <w:lang w:val="en-GB"/>
        </w:rPr>
        <w:t>Table 9.13</w:t>
      </w:r>
      <w:r w:rsidR="006F0F3B" w:rsidRPr="006F0F3B">
        <w:rPr>
          <w:lang w:val="en-GB"/>
        </w:rPr>
        <w:noBreakHyphen/>
        <w:t>2</w:t>
      </w:r>
      <w:r w:rsidRPr="00A34F10">
        <w:rPr>
          <w:bCs/>
        </w:rPr>
        <w:fldChar w:fldCharType="end"/>
      </w:r>
      <w:r w:rsidRPr="00A34F10">
        <w:rPr>
          <w:bCs/>
          <w:lang w:val="en-GB"/>
        </w:rPr>
        <w:t xml:space="preserve">). The resulting sum exceeds the trigger of 25 %, hence BAS 743 03 F is classified as chronic aquatic hazard category 2 (H411). Classification of BAS 743 03 F using the summation method is summarized in </w:t>
      </w:r>
      <w:r w:rsidRPr="00A34F10">
        <w:rPr>
          <w:bCs/>
        </w:rPr>
        <w:fldChar w:fldCharType="begin"/>
      </w:r>
      <w:r w:rsidRPr="00A34F10">
        <w:rPr>
          <w:bCs/>
          <w:lang w:val="en-GB"/>
        </w:rPr>
        <w:instrText xml:space="preserve"> REF _Ref434840247 \h  \* MERGEFORMAT </w:instrText>
      </w:r>
      <w:r w:rsidRPr="00A34F10">
        <w:rPr>
          <w:bCs/>
        </w:rPr>
      </w:r>
      <w:r w:rsidRPr="00A34F10">
        <w:rPr>
          <w:bCs/>
        </w:rPr>
        <w:fldChar w:fldCharType="separate"/>
      </w:r>
      <w:r w:rsidR="006F0F3B" w:rsidRPr="006F0F3B">
        <w:rPr>
          <w:lang w:val="en-GB"/>
        </w:rPr>
        <w:t>Table 9.13</w:t>
      </w:r>
      <w:r w:rsidR="006F0F3B" w:rsidRPr="006F0F3B">
        <w:rPr>
          <w:lang w:val="en-GB"/>
        </w:rPr>
        <w:noBreakHyphen/>
        <w:t>2</w:t>
      </w:r>
      <w:r w:rsidRPr="00A34F10">
        <w:rPr>
          <w:bCs/>
        </w:rPr>
        <w:fldChar w:fldCharType="end"/>
      </w:r>
      <w:r w:rsidRPr="00A34F10">
        <w:rPr>
          <w:bCs/>
          <w:lang w:val="en-GB"/>
        </w:rPr>
        <w:t>.</w:t>
      </w:r>
    </w:p>
    <w:p w14:paraId="4724291D" w14:textId="77777777" w:rsidR="001645DF" w:rsidRPr="00A34F10" w:rsidRDefault="001645DF" w:rsidP="00DC5685">
      <w:pPr>
        <w:pStyle w:val="OECD-BASIS-TEXT"/>
        <w:tabs>
          <w:tab w:val="left" w:pos="1984"/>
        </w:tabs>
        <w:suppressAutoHyphens/>
        <w:spacing w:after="40"/>
        <w:ind w:left="1560" w:hanging="1560"/>
        <w:rPr>
          <w:b/>
          <w:color w:val="auto"/>
          <w:lang w:val="en-US"/>
        </w:rPr>
      </w:pPr>
      <w:bookmarkStart w:id="975" w:name="_Ref426989609"/>
    </w:p>
    <w:p w14:paraId="1587D05B" w14:textId="63D0540E" w:rsidR="00DC5685" w:rsidRPr="00A34F10" w:rsidRDefault="00DC5685" w:rsidP="00DC5685">
      <w:pPr>
        <w:pStyle w:val="RepLabel"/>
        <w:suppressAutoHyphens/>
        <w:spacing w:before="0" w:after="40"/>
      </w:pPr>
      <w:bookmarkStart w:id="976" w:name="_Ref434840247"/>
      <w:bookmarkEnd w:id="975"/>
      <w:r w:rsidRPr="00A34F10">
        <w:t xml:space="preserve">Table </w:t>
      </w:r>
      <w:fldSimple w:instr=" STYLEREF 2 \s ">
        <w:r w:rsidR="006F0F3B">
          <w:rPr>
            <w:noProof/>
          </w:rPr>
          <w:t>9.13</w:t>
        </w:r>
      </w:fldSimple>
      <w:r w:rsidR="007E7467">
        <w:noBreakHyphen/>
      </w:r>
      <w:fldSimple w:instr=" SEQ Table \* ARABIC \s 2 ">
        <w:r w:rsidR="006F0F3B">
          <w:rPr>
            <w:noProof/>
          </w:rPr>
          <w:t>2</w:t>
        </w:r>
      </w:fldSimple>
      <w:bookmarkEnd w:id="976"/>
      <w:r w:rsidRPr="00A34F10">
        <w:t>:</w:t>
      </w:r>
      <w:r w:rsidRPr="00A34F10">
        <w:tab/>
        <w:t>Acute and chronic classification of BAS 743 03 F using the summation method according to (EC) No 1272/2008</w:t>
      </w:r>
    </w:p>
    <w:tbl>
      <w:tblPr>
        <w:tblStyle w:val="Tabela-Siatka"/>
        <w:tblW w:w="9469" w:type="dxa"/>
        <w:tblInd w:w="-5" w:type="dxa"/>
        <w:tblLayout w:type="fixed"/>
        <w:tblLook w:val="04A0" w:firstRow="1" w:lastRow="0" w:firstColumn="1" w:lastColumn="0" w:noHBand="0" w:noVBand="1"/>
      </w:tblPr>
      <w:tblGrid>
        <w:gridCol w:w="1531"/>
        <w:gridCol w:w="1276"/>
        <w:gridCol w:w="9"/>
        <w:gridCol w:w="1125"/>
        <w:gridCol w:w="160"/>
        <w:gridCol w:w="1286"/>
        <w:gridCol w:w="1247"/>
        <w:gridCol w:w="850"/>
        <w:gridCol w:w="851"/>
        <w:gridCol w:w="1134"/>
      </w:tblGrid>
      <w:tr w:rsidR="00DC5685" w:rsidRPr="00A34F10" w14:paraId="39583F8E" w14:textId="77777777" w:rsidTr="000470C3">
        <w:trPr>
          <w:cantSplit/>
          <w:trHeight w:val="40"/>
        </w:trPr>
        <w:tc>
          <w:tcPr>
            <w:tcW w:w="946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50EB1C" w14:textId="77777777" w:rsidR="00DC5685" w:rsidRPr="00A34F10" w:rsidRDefault="00DC5685" w:rsidP="000470C3">
            <w:pPr>
              <w:suppressAutoHyphens/>
              <w:spacing w:before="40" w:after="40"/>
              <w:jc w:val="left"/>
              <w:rPr>
                <w:b/>
                <w:sz w:val="20"/>
                <w:szCs w:val="20"/>
                <w:lang w:val="en-GB"/>
              </w:rPr>
            </w:pPr>
            <w:r w:rsidRPr="00A34F10">
              <w:rPr>
                <w:b/>
                <w:bCs/>
                <w:sz w:val="20"/>
                <w:szCs w:val="20"/>
                <w:lang w:val="en-GB"/>
              </w:rPr>
              <w:t>Chronic classification of BAS 743 03 F</w:t>
            </w:r>
          </w:p>
        </w:tc>
      </w:tr>
      <w:tr w:rsidR="00DC5685" w:rsidRPr="00A34F10" w14:paraId="3DF391F4" w14:textId="77777777" w:rsidTr="000470C3">
        <w:trPr>
          <w:cantSplit/>
          <w:trHeight w:val="377"/>
        </w:trPr>
        <w:tc>
          <w:tcPr>
            <w:tcW w:w="5387" w:type="dxa"/>
            <w:gridSpan w:val="6"/>
            <w:tcBorders>
              <w:top w:val="single" w:sz="4" w:space="0" w:color="auto"/>
              <w:left w:val="single" w:sz="4" w:space="0" w:color="auto"/>
              <w:bottom w:val="single" w:sz="4" w:space="0" w:color="auto"/>
              <w:right w:val="nil"/>
            </w:tcBorders>
            <w:shd w:val="clear" w:color="auto" w:fill="auto"/>
            <w:vAlign w:val="center"/>
          </w:tcPr>
          <w:p w14:paraId="098AEEC6" w14:textId="77777777" w:rsidR="00DC5685" w:rsidRPr="00A34F10" w:rsidRDefault="00DC5685" w:rsidP="000470C3">
            <w:pPr>
              <w:suppressAutoHyphens/>
              <w:spacing w:before="40" w:after="40"/>
              <w:rPr>
                <w:sz w:val="20"/>
                <w:szCs w:val="20"/>
              </w:rPr>
            </w:pPr>
            <w:r w:rsidRPr="00A34F10">
              <w:rPr>
                <w:sz w:val="20"/>
                <w:szCs w:val="20"/>
              </w:rPr>
              <w:t>Formulation component</w:t>
            </w:r>
          </w:p>
        </w:tc>
        <w:tc>
          <w:tcPr>
            <w:tcW w:w="1247" w:type="dxa"/>
            <w:vMerge w:val="restart"/>
            <w:tcBorders>
              <w:top w:val="single" w:sz="4" w:space="0" w:color="auto"/>
              <w:left w:val="nil"/>
              <w:right w:val="nil"/>
            </w:tcBorders>
            <w:shd w:val="clear" w:color="auto" w:fill="auto"/>
            <w:vAlign w:val="center"/>
          </w:tcPr>
          <w:p w14:paraId="31F6E0A5" w14:textId="77777777" w:rsidR="00DC5685" w:rsidRPr="00A34F10" w:rsidRDefault="00DC5685" w:rsidP="000470C3">
            <w:pPr>
              <w:suppressAutoHyphens/>
              <w:spacing w:before="40" w:after="40"/>
              <w:rPr>
                <w:sz w:val="20"/>
                <w:szCs w:val="20"/>
                <w:lang w:val="en-GB"/>
              </w:rPr>
            </w:pPr>
            <w:r w:rsidRPr="00A34F10">
              <w:rPr>
                <w:sz w:val="20"/>
                <w:szCs w:val="20"/>
                <w:lang w:val="en-GB"/>
              </w:rPr>
              <w:t>Result</w:t>
            </w:r>
            <w:r w:rsidRPr="00A34F10">
              <w:rPr>
                <w:sz w:val="20"/>
                <w:szCs w:val="20"/>
                <w:lang w:val="en-GB"/>
              </w:rPr>
              <w:br/>
              <w:t>(% Content x M-Factor)</w:t>
            </w:r>
          </w:p>
        </w:tc>
        <w:tc>
          <w:tcPr>
            <w:tcW w:w="850" w:type="dxa"/>
            <w:tcBorders>
              <w:top w:val="single" w:sz="4" w:space="0" w:color="auto"/>
              <w:left w:val="nil"/>
              <w:bottom w:val="nil"/>
              <w:right w:val="nil"/>
            </w:tcBorders>
            <w:shd w:val="clear" w:color="auto" w:fill="auto"/>
            <w:vAlign w:val="center"/>
          </w:tcPr>
          <w:p w14:paraId="6714F50D" w14:textId="77777777" w:rsidR="00DC5685" w:rsidRPr="00A34F10" w:rsidRDefault="00DC5685" w:rsidP="000470C3">
            <w:pPr>
              <w:suppressAutoHyphens/>
              <w:spacing w:before="40" w:after="40"/>
              <w:rPr>
                <w:sz w:val="20"/>
                <w:szCs w:val="20"/>
                <w:lang w:val="en-GB"/>
              </w:rPr>
            </w:pPr>
          </w:p>
        </w:tc>
        <w:tc>
          <w:tcPr>
            <w:tcW w:w="851" w:type="dxa"/>
            <w:tcBorders>
              <w:top w:val="single" w:sz="4" w:space="0" w:color="auto"/>
              <w:left w:val="nil"/>
              <w:bottom w:val="nil"/>
              <w:right w:val="nil"/>
            </w:tcBorders>
            <w:shd w:val="clear" w:color="auto" w:fill="auto"/>
            <w:vAlign w:val="center"/>
          </w:tcPr>
          <w:p w14:paraId="2A09EF22" w14:textId="77777777" w:rsidR="00DC5685" w:rsidRPr="00A34F10" w:rsidRDefault="00DC5685" w:rsidP="000470C3">
            <w:pPr>
              <w:suppressAutoHyphens/>
              <w:spacing w:before="40" w:after="40"/>
              <w:rPr>
                <w:sz w:val="20"/>
                <w:szCs w:val="20"/>
                <w:lang w:val="en-GB"/>
              </w:rPr>
            </w:pPr>
          </w:p>
        </w:tc>
        <w:tc>
          <w:tcPr>
            <w:tcW w:w="1134" w:type="dxa"/>
            <w:tcBorders>
              <w:top w:val="single" w:sz="4" w:space="0" w:color="auto"/>
              <w:left w:val="nil"/>
              <w:bottom w:val="nil"/>
              <w:right w:val="single" w:sz="4" w:space="0" w:color="auto"/>
            </w:tcBorders>
            <w:shd w:val="clear" w:color="auto" w:fill="auto"/>
            <w:vAlign w:val="center"/>
          </w:tcPr>
          <w:p w14:paraId="5A27A50C" w14:textId="77777777" w:rsidR="00DC5685" w:rsidRPr="00A34F10" w:rsidRDefault="00DC5685" w:rsidP="000470C3">
            <w:pPr>
              <w:suppressAutoHyphens/>
              <w:spacing w:before="40" w:after="40"/>
              <w:rPr>
                <w:sz w:val="20"/>
                <w:szCs w:val="20"/>
                <w:lang w:val="en-GB"/>
              </w:rPr>
            </w:pPr>
          </w:p>
        </w:tc>
      </w:tr>
      <w:tr w:rsidR="00DC5685" w:rsidRPr="00A34F10" w14:paraId="1999E47C" w14:textId="77777777" w:rsidTr="000470C3">
        <w:trPr>
          <w:cantSplit/>
          <w:trHeight w:val="377"/>
        </w:trPr>
        <w:tc>
          <w:tcPr>
            <w:tcW w:w="1531" w:type="dxa"/>
            <w:tcBorders>
              <w:top w:val="single" w:sz="4" w:space="0" w:color="auto"/>
              <w:left w:val="single" w:sz="4" w:space="0" w:color="auto"/>
              <w:bottom w:val="single" w:sz="6" w:space="0" w:color="auto"/>
              <w:right w:val="nil"/>
            </w:tcBorders>
            <w:shd w:val="clear" w:color="auto" w:fill="auto"/>
            <w:vAlign w:val="center"/>
          </w:tcPr>
          <w:p w14:paraId="44331A41" w14:textId="77777777" w:rsidR="00DC5685" w:rsidRPr="00A34F10" w:rsidRDefault="00DC5685" w:rsidP="000470C3">
            <w:pPr>
              <w:suppressAutoHyphens/>
              <w:spacing w:before="40" w:after="40"/>
              <w:rPr>
                <w:sz w:val="20"/>
                <w:szCs w:val="20"/>
              </w:rPr>
            </w:pPr>
            <w:r w:rsidRPr="00A34F10">
              <w:rPr>
                <w:sz w:val="20"/>
                <w:szCs w:val="20"/>
              </w:rPr>
              <w:t>Name</w:t>
            </w:r>
          </w:p>
        </w:tc>
        <w:tc>
          <w:tcPr>
            <w:tcW w:w="1276" w:type="dxa"/>
            <w:tcBorders>
              <w:top w:val="single" w:sz="4" w:space="0" w:color="auto"/>
              <w:left w:val="nil"/>
              <w:bottom w:val="single" w:sz="6" w:space="0" w:color="auto"/>
              <w:right w:val="nil"/>
            </w:tcBorders>
            <w:shd w:val="clear" w:color="auto" w:fill="auto"/>
            <w:vAlign w:val="center"/>
          </w:tcPr>
          <w:p w14:paraId="7782F691" w14:textId="77777777" w:rsidR="00DC5685" w:rsidRPr="00A34F10" w:rsidRDefault="00DC5685" w:rsidP="000470C3">
            <w:pPr>
              <w:suppressAutoHyphens/>
              <w:spacing w:before="40" w:after="40"/>
              <w:rPr>
                <w:sz w:val="20"/>
                <w:szCs w:val="20"/>
              </w:rPr>
            </w:pPr>
            <w:r w:rsidRPr="00A34F10">
              <w:rPr>
                <w:sz w:val="20"/>
                <w:szCs w:val="20"/>
              </w:rPr>
              <w:t>Chronic Category</w:t>
            </w:r>
          </w:p>
        </w:tc>
        <w:tc>
          <w:tcPr>
            <w:tcW w:w="1134" w:type="dxa"/>
            <w:gridSpan w:val="2"/>
            <w:tcBorders>
              <w:top w:val="single" w:sz="4" w:space="0" w:color="auto"/>
              <w:left w:val="nil"/>
              <w:bottom w:val="single" w:sz="6" w:space="0" w:color="auto"/>
              <w:right w:val="nil"/>
            </w:tcBorders>
            <w:shd w:val="clear" w:color="auto" w:fill="auto"/>
            <w:vAlign w:val="center"/>
          </w:tcPr>
          <w:p w14:paraId="763A1966" w14:textId="77777777" w:rsidR="00DC5685" w:rsidRPr="00A34F10" w:rsidRDefault="00DC5685" w:rsidP="000470C3">
            <w:pPr>
              <w:suppressAutoHyphens/>
              <w:spacing w:before="40" w:after="40"/>
              <w:rPr>
                <w:sz w:val="20"/>
                <w:szCs w:val="20"/>
              </w:rPr>
            </w:pPr>
            <w:r w:rsidRPr="00A34F10">
              <w:rPr>
                <w:sz w:val="20"/>
                <w:szCs w:val="20"/>
              </w:rPr>
              <w:t>M-Factor</w:t>
            </w:r>
          </w:p>
        </w:tc>
        <w:tc>
          <w:tcPr>
            <w:tcW w:w="1446" w:type="dxa"/>
            <w:gridSpan w:val="2"/>
            <w:tcBorders>
              <w:top w:val="single" w:sz="4" w:space="0" w:color="auto"/>
              <w:left w:val="nil"/>
              <w:bottom w:val="single" w:sz="6" w:space="0" w:color="auto"/>
              <w:right w:val="nil"/>
            </w:tcBorders>
            <w:shd w:val="clear" w:color="auto" w:fill="auto"/>
            <w:vAlign w:val="center"/>
          </w:tcPr>
          <w:p w14:paraId="2DED60A8" w14:textId="77777777" w:rsidR="00DC5685" w:rsidRPr="00A34F10" w:rsidRDefault="00DC5685" w:rsidP="000470C3">
            <w:pPr>
              <w:suppressAutoHyphens/>
              <w:spacing w:before="40" w:after="40"/>
              <w:rPr>
                <w:sz w:val="20"/>
                <w:szCs w:val="20"/>
              </w:rPr>
            </w:pPr>
            <w:r w:rsidRPr="00A34F10">
              <w:rPr>
                <w:sz w:val="20"/>
                <w:szCs w:val="20"/>
              </w:rPr>
              <w:t xml:space="preserve">Content in </w:t>
            </w:r>
            <w:r w:rsidRPr="00A34F10">
              <w:rPr>
                <w:bCs/>
                <w:sz w:val="20"/>
                <w:szCs w:val="20"/>
              </w:rPr>
              <w:t xml:space="preserve">BAS 743 03 F </w:t>
            </w:r>
            <w:r w:rsidRPr="00A34F10">
              <w:rPr>
                <w:sz w:val="20"/>
                <w:szCs w:val="20"/>
              </w:rPr>
              <w:t>[%]</w:t>
            </w:r>
          </w:p>
        </w:tc>
        <w:tc>
          <w:tcPr>
            <w:tcW w:w="1247" w:type="dxa"/>
            <w:vMerge/>
            <w:tcBorders>
              <w:left w:val="nil"/>
              <w:bottom w:val="single" w:sz="6" w:space="0" w:color="auto"/>
              <w:right w:val="nil"/>
            </w:tcBorders>
            <w:shd w:val="clear" w:color="auto" w:fill="auto"/>
            <w:vAlign w:val="center"/>
          </w:tcPr>
          <w:p w14:paraId="06A1D797" w14:textId="77777777" w:rsidR="00DC5685" w:rsidRPr="00A34F10" w:rsidRDefault="00DC5685" w:rsidP="000470C3">
            <w:pPr>
              <w:suppressAutoHyphens/>
              <w:spacing w:before="40" w:after="40"/>
              <w:rPr>
                <w:sz w:val="20"/>
                <w:szCs w:val="20"/>
              </w:rPr>
            </w:pPr>
          </w:p>
        </w:tc>
        <w:tc>
          <w:tcPr>
            <w:tcW w:w="850" w:type="dxa"/>
            <w:tcBorders>
              <w:top w:val="nil"/>
              <w:left w:val="nil"/>
              <w:bottom w:val="nil"/>
              <w:right w:val="nil"/>
            </w:tcBorders>
            <w:shd w:val="clear" w:color="auto" w:fill="auto"/>
            <w:vAlign w:val="center"/>
          </w:tcPr>
          <w:p w14:paraId="09D86512" w14:textId="77777777" w:rsidR="00DC5685" w:rsidRPr="00A34F10" w:rsidRDefault="00DC5685" w:rsidP="000470C3">
            <w:pPr>
              <w:suppressAutoHyphens/>
              <w:spacing w:before="40" w:after="40"/>
              <w:rPr>
                <w:sz w:val="20"/>
                <w:szCs w:val="20"/>
              </w:rPr>
            </w:pPr>
          </w:p>
        </w:tc>
        <w:tc>
          <w:tcPr>
            <w:tcW w:w="851" w:type="dxa"/>
            <w:tcBorders>
              <w:top w:val="nil"/>
              <w:left w:val="nil"/>
              <w:bottom w:val="nil"/>
              <w:right w:val="nil"/>
            </w:tcBorders>
            <w:shd w:val="clear" w:color="auto" w:fill="auto"/>
            <w:vAlign w:val="center"/>
          </w:tcPr>
          <w:p w14:paraId="4DAA1345" w14:textId="77777777" w:rsidR="00DC5685" w:rsidRPr="00A34F10" w:rsidRDefault="00DC5685" w:rsidP="000470C3">
            <w:pPr>
              <w:suppressAutoHyphens/>
              <w:spacing w:before="40" w:after="40"/>
              <w:rPr>
                <w:sz w:val="20"/>
                <w:szCs w:val="20"/>
              </w:rPr>
            </w:pPr>
          </w:p>
        </w:tc>
        <w:tc>
          <w:tcPr>
            <w:tcW w:w="1134" w:type="dxa"/>
            <w:tcBorders>
              <w:top w:val="nil"/>
              <w:left w:val="nil"/>
              <w:bottom w:val="nil"/>
              <w:right w:val="single" w:sz="4" w:space="0" w:color="auto"/>
            </w:tcBorders>
            <w:shd w:val="clear" w:color="auto" w:fill="auto"/>
            <w:vAlign w:val="center"/>
          </w:tcPr>
          <w:p w14:paraId="10B20C98" w14:textId="77777777" w:rsidR="00DC5685" w:rsidRPr="00A34F10" w:rsidRDefault="00DC5685" w:rsidP="000470C3">
            <w:pPr>
              <w:suppressAutoHyphens/>
              <w:spacing w:before="40" w:after="40"/>
              <w:rPr>
                <w:sz w:val="20"/>
                <w:szCs w:val="20"/>
              </w:rPr>
            </w:pPr>
          </w:p>
        </w:tc>
      </w:tr>
      <w:tr w:rsidR="00DC5685" w:rsidRPr="00A34F10" w14:paraId="2CD6D111" w14:textId="77777777" w:rsidTr="000470C3">
        <w:trPr>
          <w:cantSplit/>
        </w:trPr>
        <w:tc>
          <w:tcPr>
            <w:tcW w:w="1531" w:type="dxa"/>
            <w:tcBorders>
              <w:left w:val="single" w:sz="4" w:space="0" w:color="auto"/>
              <w:bottom w:val="single" w:sz="4" w:space="0" w:color="auto"/>
              <w:right w:val="nil"/>
            </w:tcBorders>
            <w:shd w:val="clear" w:color="auto" w:fill="auto"/>
            <w:vAlign w:val="center"/>
          </w:tcPr>
          <w:p w14:paraId="3FDF248A" w14:textId="77777777" w:rsidR="00DC5685" w:rsidRPr="00A34F10" w:rsidRDefault="00DC5685" w:rsidP="000470C3">
            <w:pPr>
              <w:suppressAutoHyphens/>
              <w:spacing w:before="40" w:after="40"/>
              <w:rPr>
                <w:sz w:val="20"/>
                <w:szCs w:val="20"/>
              </w:rPr>
            </w:pPr>
            <w:r w:rsidRPr="00A34F10">
              <w:rPr>
                <w:sz w:val="20"/>
                <w:szCs w:val="20"/>
              </w:rPr>
              <w:t>Ametoctradin</w:t>
            </w:r>
          </w:p>
        </w:tc>
        <w:tc>
          <w:tcPr>
            <w:tcW w:w="1276" w:type="dxa"/>
            <w:tcBorders>
              <w:left w:val="nil"/>
              <w:bottom w:val="single" w:sz="4" w:space="0" w:color="auto"/>
              <w:right w:val="nil"/>
            </w:tcBorders>
            <w:shd w:val="clear" w:color="auto" w:fill="auto"/>
            <w:vAlign w:val="center"/>
          </w:tcPr>
          <w:p w14:paraId="6E89A483" w14:textId="77777777" w:rsidR="00DC5685" w:rsidRPr="00A34F10" w:rsidRDefault="00DC5685" w:rsidP="000470C3">
            <w:pPr>
              <w:suppressAutoHyphens/>
              <w:spacing w:before="40" w:after="40"/>
              <w:rPr>
                <w:sz w:val="20"/>
                <w:szCs w:val="20"/>
              </w:rPr>
            </w:pPr>
            <w:r w:rsidRPr="00A34F10">
              <w:rPr>
                <w:sz w:val="20"/>
                <w:szCs w:val="20"/>
              </w:rPr>
              <w:t>1</w:t>
            </w:r>
          </w:p>
        </w:tc>
        <w:tc>
          <w:tcPr>
            <w:tcW w:w="1134" w:type="dxa"/>
            <w:gridSpan w:val="2"/>
            <w:tcBorders>
              <w:top w:val="single" w:sz="6" w:space="0" w:color="auto"/>
              <w:left w:val="nil"/>
              <w:bottom w:val="single" w:sz="4" w:space="0" w:color="auto"/>
              <w:right w:val="nil"/>
            </w:tcBorders>
            <w:shd w:val="clear" w:color="auto" w:fill="auto"/>
            <w:vAlign w:val="center"/>
          </w:tcPr>
          <w:p w14:paraId="31792263" w14:textId="77777777" w:rsidR="00DC5685" w:rsidRPr="00A34F10" w:rsidRDefault="00DC5685" w:rsidP="000470C3">
            <w:pPr>
              <w:suppressAutoHyphens/>
              <w:spacing w:before="40" w:after="40"/>
              <w:rPr>
                <w:sz w:val="20"/>
                <w:szCs w:val="20"/>
              </w:rPr>
            </w:pPr>
            <w:r w:rsidRPr="00A34F10">
              <w:rPr>
                <w:sz w:val="20"/>
                <w:szCs w:val="20"/>
              </w:rPr>
              <w:t>1</w:t>
            </w:r>
          </w:p>
        </w:tc>
        <w:tc>
          <w:tcPr>
            <w:tcW w:w="1446" w:type="dxa"/>
            <w:gridSpan w:val="2"/>
            <w:tcBorders>
              <w:top w:val="single" w:sz="6" w:space="0" w:color="auto"/>
              <w:left w:val="nil"/>
              <w:bottom w:val="single" w:sz="4" w:space="0" w:color="auto"/>
              <w:right w:val="nil"/>
            </w:tcBorders>
            <w:shd w:val="clear" w:color="auto" w:fill="auto"/>
            <w:vAlign w:val="center"/>
          </w:tcPr>
          <w:p w14:paraId="0F28FFEB" w14:textId="77777777" w:rsidR="00DC5685" w:rsidRPr="00A34F10" w:rsidRDefault="00DC5685" w:rsidP="000470C3">
            <w:pPr>
              <w:suppressAutoHyphens/>
              <w:spacing w:before="40" w:after="40"/>
              <w:rPr>
                <w:sz w:val="20"/>
                <w:szCs w:val="20"/>
              </w:rPr>
            </w:pPr>
            <w:r w:rsidRPr="00A34F10">
              <w:rPr>
                <w:bCs/>
                <w:sz w:val="20"/>
                <w:szCs w:val="20"/>
              </w:rPr>
              <w:t>19.5</w:t>
            </w:r>
          </w:p>
        </w:tc>
        <w:tc>
          <w:tcPr>
            <w:tcW w:w="1247" w:type="dxa"/>
            <w:tcBorders>
              <w:top w:val="single" w:sz="6" w:space="0" w:color="auto"/>
              <w:left w:val="nil"/>
              <w:bottom w:val="single" w:sz="4" w:space="0" w:color="auto"/>
              <w:right w:val="nil"/>
            </w:tcBorders>
            <w:shd w:val="clear" w:color="auto" w:fill="auto"/>
          </w:tcPr>
          <w:p w14:paraId="32EE8694" w14:textId="77777777" w:rsidR="00DC5685" w:rsidRPr="00A34F10" w:rsidRDefault="00DC5685" w:rsidP="000470C3">
            <w:pPr>
              <w:suppressAutoHyphens/>
              <w:spacing w:before="40" w:after="40"/>
              <w:rPr>
                <w:sz w:val="20"/>
                <w:szCs w:val="20"/>
              </w:rPr>
            </w:pPr>
            <w:r w:rsidRPr="00A34F10">
              <w:rPr>
                <w:bCs/>
                <w:sz w:val="20"/>
                <w:szCs w:val="20"/>
              </w:rPr>
              <w:t>5.7</w:t>
            </w:r>
          </w:p>
        </w:tc>
        <w:tc>
          <w:tcPr>
            <w:tcW w:w="850" w:type="dxa"/>
            <w:tcBorders>
              <w:top w:val="nil"/>
              <w:left w:val="nil"/>
              <w:bottom w:val="nil"/>
              <w:right w:val="nil"/>
            </w:tcBorders>
            <w:shd w:val="clear" w:color="auto" w:fill="auto"/>
            <w:vAlign w:val="center"/>
          </w:tcPr>
          <w:p w14:paraId="03ADBC0D" w14:textId="77777777" w:rsidR="00DC5685" w:rsidRPr="00A34F10" w:rsidRDefault="00DC5685" w:rsidP="000470C3">
            <w:pPr>
              <w:suppressAutoHyphens/>
              <w:spacing w:before="40" w:after="40"/>
              <w:rPr>
                <w:b/>
                <w:sz w:val="20"/>
                <w:szCs w:val="20"/>
              </w:rPr>
            </w:pPr>
          </w:p>
        </w:tc>
        <w:tc>
          <w:tcPr>
            <w:tcW w:w="851" w:type="dxa"/>
            <w:tcBorders>
              <w:top w:val="nil"/>
              <w:left w:val="nil"/>
              <w:bottom w:val="nil"/>
              <w:right w:val="nil"/>
            </w:tcBorders>
            <w:shd w:val="clear" w:color="auto" w:fill="auto"/>
            <w:vAlign w:val="center"/>
          </w:tcPr>
          <w:p w14:paraId="3B1401DC" w14:textId="77777777" w:rsidR="00DC5685" w:rsidRPr="00A34F10" w:rsidRDefault="00DC5685" w:rsidP="000470C3">
            <w:pPr>
              <w:suppressAutoHyphens/>
              <w:spacing w:before="40" w:after="40"/>
              <w:rPr>
                <w:sz w:val="20"/>
                <w:szCs w:val="20"/>
              </w:rPr>
            </w:pPr>
          </w:p>
        </w:tc>
        <w:tc>
          <w:tcPr>
            <w:tcW w:w="1134" w:type="dxa"/>
            <w:tcBorders>
              <w:top w:val="nil"/>
              <w:left w:val="nil"/>
              <w:bottom w:val="nil"/>
              <w:right w:val="single" w:sz="4" w:space="0" w:color="auto"/>
            </w:tcBorders>
            <w:shd w:val="clear" w:color="auto" w:fill="auto"/>
            <w:vAlign w:val="center"/>
          </w:tcPr>
          <w:p w14:paraId="0998252C" w14:textId="77777777" w:rsidR="00DC5685" w:rsidRPr="00A34F10" w:rsidRDefault="00DC5685" w:rsidP="000470C3">
            <w:pPr>
              <w:suppressAutoHyphens/>
              <w:spacing w:before="40" w:after="40"/>
              <w:rPr>
                <w:sz w:val="20"/>
                <w:szCs w:val="20"/>
              </w:rPr>
            </w:pPr>
          </w:p>
        </w:tc>
      </w:tr>
      <w:tr w:rsidR="00DC5685" w:rsidRPr="00A34F10" w14:paraId="17F353F1" w14:textId="77777777" w:rsidTr="000470C3">
        <w:trPr>
          <w:cantSplit/>
        </w:trPr>
        <w:tc>
          <w:tcPr>
            <w:tcW w:w="1531" w:type="dxa"/>
            <w:tcBorders>
              <w:left w:val="single" w:sz="4" w:space="0" w:color="auto"/>
              <w:bottom w:val="single" w:sz="4" w:space="0" w:color="auto"/>
              <w:right w:val="nil"/>
            </w:tcBorders>
            <w:shd w:val="clear" w:color="auto" w:fill="auto"/>
            <w:vAlign w:val="center"/>
          </w:tcPr>
          <w:p w14:paraId="481F48F9" w14:textId="77777777" w:rsidR="00DC5685" w:rsidRPr="00A34F10" w:rsidRDefault="00DC5685" w:rsidP="000470C3">
            <w:pPr>
              <w:suppressAutoHyphens/>
              <w:spacing w:before="40" w:after="40"/>
              <w:rPr>
                <w:sz w:val="20"/>
                <w:szCs w:val="20"/>
              </w:rPr>
            </w:pPr>
            <w:r w:rsidRPr="00A34F10">
              <w:rPr>
                <w:sz w:val="20"/>
                <w:szCs w:val="20"/>
              </w:rPr>
              <w:t>Propamocarb-HCl</w:t>
            </w:r>
          </w:p>
        </w:tc>
        <w:tc>
          <w:tcPr>
            <w:tcW w:w="1276" w:type="dxa"/>
            <w:tcBorders>
              <w:left w:val="nil"/>
              <w:bottom w:val="single" w:sz="4" w:space="0" w:color="auto"/>
              <w:right w:val="nil"/>
            </w:tcBorders>
            <w:shd w:val="clear" w:color="auto" w:fill="auto"/>
            <w:vAlign w:val="center"/>
          </w:tcPr>
          <w:p w14:paraId="733F6374" w14:textId="77777777" w:rsidR="00DC5685" w:rsidRPr="00A34F10" w:rsidRDefault="00DC5685" w:rsidP="000470C3">
            <w:pPr>
              <w:suppressAutoHyphens/>
              <w:spacing w:before="40" w:after="40"/>
              <w:rPr>
                <w:sz w:val="20"/>
                <w:szCs w:val="20"/>
              </w:rPr>
            </w:pPr>
            <w:r w:rsidRPr="00A34F10">
              <w:rPr>
                <w:sz w:val="20"/>
                <w:szCs w:val="20"/>
              </w:rPr>
              <w:t>Not classified</w:t>
            </w:r>
          </w:p>
        </w:tc>
        <w:tc>
          <w:tcPr>
            <w:tcW w:w="1134" w:type="dxa"/>
            <w:gridSpan w:val="2"/>
            <w:tcBorders>
              <w:top w:val="single" w:sz="6" w:space="0" w:color="auto"/>
              <w:left w:val="nil"/>
              <w:bottom w:val="single" w:sz="4" w:space="0" w:color="auto"/>
              <w:right w:val="nil"/>
            </w:tcBorders>
            <w:shd w:val="clear" w:color="auto" w:fill="auto"/>
            <w:vAlign w:val="center"/>
          </w:tcPr>
          <w:p w14:paraId="61D741AA" w14:textId="77777777" w:rsidR="00DC5685" w:rsidRPr="00A34F10" w:rsidRDefault="00DC5685" w:rsidP="000470C3">
            <w:pPr>
              <w:suppressAutoHyphens/>
              <w:spacing w:before="40" w:after="40"/>
              <w:rPr>
                <w:sz w:val="20"/>
                <w:szCs w:val="20"/>
              </w:rPr>
            </w:pPr>
            <w:r w:rsidRPr="00A34F10">
              <w:rPr>
                <w:sz w:val="20"/>
                <w:szCs w:val="20"/>
              </w:rPr>
              <w:t>--</w:t>
            </w:r>
          </w:p>
        </w:tc>
        <w:tc>
          <w:tcPr>
            <w:tcW w:w="1446" w:type="dxa"/>
            <w:gridSpan w:val="2"/>
            <w:tcBorders>
              <w:top w:val="single" w:sz="6" w:space="0" w:color="auto"/>
              <w:left w:val="nil"/>
              <w:bottom w:val="single" w:sz="4" w:space="0" w:color="auto"/>
              <w:right w:val="nil"/>
            </w:tcBorders>
            <w:shd w:val="clear" w:color="auto" w:fill="auto"/>
            <w:vAlign w:val="center"/>
          </w:tcPr>
          <w:p w14:paraId="19FEFF96" w14:textId="77777777" w:rsidR="00DC5685" w:rsidRPr="00A34F10" w:rsidRDefault="00DC5685" w:rsidP="000470C3">
            <w:pPr>
              <w:suppressAutoHyphens/>
              <w:spacing w:before="40" w:after="40"/>
              <w:rPr>
                <w:bCs/>
                <w:sz w:val="20"/>
                <w:szCs w:val="20"/>
              </w:rPr>
            </w:pPr>
            <w:r w:rsidRPr="00A34F10">
              <w:rPr>
                <w:bCs/>
                <w:sz w:val="20"/>
                <w:szCs w:val="20"/>
              </w:rPr>
              <w:t>--</w:t>
            </w:r>
          </w:p>
        </w:tc>
        <w:tc>
          <w:tcPr>
            <w:tcW w:w="1247" w:type="dxa"/>
            <w:tcBorders>
              <w:top w:val="single" w:sz="6" w:space="0" w:color="auto"/>
              <w:left w:val="nil"/>
              <w:bottom w:val="single" w:sz="4" w:space="0" w:color="auto"/>
              <w:right w:val="nil"/>
            </w:tcBorders>
            <w:shd w:val="clear" w:color="auto" w:fill="auto"/>
          </w:tcPr>
          <w:p w14:paraId="669FD563" w14:textId="77777777" w:rsidR="00DC5685" w:rsidRPr="00A34F10" w:rsidRDefault="00DC5685" w:rsidP="000470C3">
            <w:pPr>
              <w:suppressAutoHyphens/>
              <w:spacing w:before="40" w:after="40"/>
              <w:rPr>
                <w:bCs/>
                <w:sz w:val="20"/>
                <w:szCs w:val="20"/>
              </w:rPr>
            </w:pPr>
          </w:p>
        </w:tc>
        <w:tc>
          <w:tcPr>
            <w:tcW w:w="850" w:type="dxa"/>
            <w:tcBorders>
              <w:top w:val="nil"/>
              <w:left w:val="nil"/>
              <w:bottom w:val="nil"/>
              <w:right w:val="nil"/>
            </w:tcBorders>
            <w:shd w:val="clear" w:color="auto" w:fill="auto"/>
            <w:vAlign w:val="center"/>
          </w:tcPr>
          <w:p w14:paraId="1CCA2423" w14:textId="77777777" w:rsidR="00DC5685" w:rsidRPr="00A34F10" w:rsidRDefault="00DC5685" w:rsidP="000470C3">
            <w:pPr>
              <w:suppressAutoHyphens/>
              <w:spacing w:before="40" w:after="40"/>
              <w:rPr>
                <w:b/>
                <w:sz w:val="20"/>
                <w:szCs w:val="20"/>
              </w:rPr>
            </w:pPr>
          </w:p>
        </w:tc>
        <w:tc>
          <w:tcPr>
            <w:tcW w:w="851" w:type="dxa"/>
            <w:tcBorders>
              <w:top w:val="nil"/>
              <w:left w:val="nil"/>
              <w:bottom w:val="nil"/>
              <w:right w:val="nil"/>
            </w:tcBorders>
            <w:shd w:val="clear" w:color="auto" w:fill="auto"/>
            <w:vAlign w:val="center"/>
          </w:tcPr>
          <w:p w14:paraId="11D91F25" w14:textId="77777777" w:rsidR="00DC5685" w:rsidRPr="00A34F10" w:rsidRDefault="00DC5685" w:rsidP="000470C3">
            <w:pPr>
              <w:suppressAutoHyphens/>
              <w:spacing w:before="40" w:after="40"/>
              <w:rPr>
                <w:sz w:val="20"/>
                <w:szCs w:val="20"/>
              </w:rPr>
            </w:pPr>
          </w:p>
        </w:tc>
        <w:tc>
          <w:tcPr>
            <w:tcW w:w="1134" w:type="dxa"/>
            <w:tcBorders>
              <w:top w:val="nil"/>
              <w:left w:val="nil"/>
              <w:bottom w:val="nil"/>
              <w:right w:val="single" w:sz="4" w:space="0" w:color="auto"/>
            </w:tcBorders>
            <w:shd w:val="clear" w:color="auto" w:fill="auto"/>
            <w:vAlign w:val="center"/>
          </w:tcPr>
          <w:p w14:paraId="518C8C68" w14:textId="77777777" w:rsidR="00DC5685" w:rsidRPr="00A34F10" w:rsidRDefault="00DC5685" w:rsidP="000470C3">
            <w:pPr>
              <w:suppressAutoHyphens/>
              <w:spacing w:before="40" w:after="40"/>
              <w:rPr>
                <w:sz w:val="20"/>
                <w:szCs w:val="20"/>
              </w:rPr>
            </w:pPr>
          </w:p>
        </w:tc>
      </w:tr>
      <w:tr w:rsidR="00DC5685" w:rsidRPr="00A34F10" w14:paraId="0BA0EBEC" w14:textId="77777777" w:rsidTr="000470C3">
        <w:trPr>
          <w:cantSplit/>
        </w:trPr>
        <w:tc>
          <w:tcPr>
            <w:tcW w:w="1531" w:type="dxa"/>
            <w:tcBorders>
              <w:top w:val="single" w:sz="4" w:space="0" w:color="auto"/>
              <w:left w:val="single" w:sz="4" w:space="0" w:color="auto"/>
              <w:bottom w:val="single" w:sz="4" w:space="0" w:color="auto"/>
              <w:right w:val="nil"/>
            </w:tcBorders>
            <w:shd w:val="clear" w:color="auto" w:fill="auto"/>
            <w:vAlign w:val="center"/>
          </w:tcPr>
          <w:p w14:paraId="6CE7F613" w14:textId="77777777" w:rsidR="00DC5685" w:rsidRPr="00A34F10" w:rsidRDefault="00DC5685" w:rsidP="000470C3">
            <w:pPr>
              <w:suppressAutoHyphens/>
              <w:spacing w:before="40" w:after="40"/>
              <w:rPr>
                <w:sz w:val="20"/>
                <w:szCs w:val="20"/>
              </w:rPr>
            </w:pPr>
            <w:r w:rsidRPr="00A34F10">
              <w:rPr>
                <w:sz w:val="20"/>
                <w:szCs w:val="20"/>
              </w:rPr>
              <w:t>1</w:t>
            </w:r>
            <w:r w:rsidRPr="00A34F10">
              <w:rPr>
                <w:sz w:val="20"/>
                <w:szCs w:val="20"/>
                <w:vertAlign w:val="superscript"/>
              </w:rPr>
              <w:t>st</w:t>
            </w:r>
            <w:r w:rsidRPr="00A34F10">
              <w:rPr>
                <w:sz w:val="20"/>
                <w:szCs w:val="20"/>
              </w:rPr>
              <w:t xml:space="preserve"> equation</w:t>
            </w:r>
          </w:p>
        </w:tc>
        <w:tc>
          <w:tcPr>
            <w:tcW w:w="3856" w:type="dxa"/>
            <w:gridSpan w:val="5"/>
            <w:tcBorders>
              <w:top w:val="single" w:sz="4" w:space="0" w:color="auto"/>
              <w:left w:val="nil"/>
              <w:bottom w:val="single" w:sz="4" w:space="0" w:color="auto"/>
              <w:right w:val="nil"/>
            </w:tcBorders>
            <w:shd w:val="clear" w:color="auto" w:fill="auto"/>
            <w:vAlign w:val="center"/>
          </w:tcPr>
          <w:p w14:paraId="19D83994" w14:textId="77777777" w:rsidR="00DC5685" w:rsidRPr="00A34F10" w:rsidRDefault="00DC5685" w:rsidP="000470C3">
            <w:pPr>
              <w:suppressAutoHyphens/>
              <w:spacing w:before="40" w:after="40"/>
              <w:rPr>
                <w:sz w:val="20"/>
                <w:szCs w:val="20"/>
              </w:rPr>
            </w:pPr>
            <w:r w:rsidRPr="00A34F10">
              <w:rPr>
                <w:sz w:val="20"/>
                <w:szCs w:val="20"/>
              </w:rPr>
              <w:t xml:space="preserve">SUM </w:t>
            </w:r>
            <w:r w:rsidRPr="00A34F10">
              <w:rPr>
                <w:i/>
                <w:iCs/>
                <w:sz w:val="20"/>
                <w:szCs w:val="20"/>
              </w:rPr>
              <w:t>(M x Chronic 1)</w:t>
            </w:r>
          </w:p>
        </w:tc>
        <w:tc>
          <w:tcPr>
            <w:tcW w:w="1247" w:type="dxa"/>
            <w:tcBorders>
              <w:top w:val="single" w:sz="4" w:space="0" w:color="auto"/>
              <w:left w:val="nil"/>
              <w:bottom w:val="single" w:sz="4" w:space="0" w:color="auto"/>
              <w:right w:val="nil"/>
            </w:tcBorders>
            <w:shd w:val="clear" w:color="auto" w:fill="auto"/>
            <w:vAlign w:val="center"/>
          </w:tcPr>
          <w:p w14:paraId="1725B437" w14:textId="77777777" w:rsidR="00DC5685" w:rsidRPr="00A34F10" w:rsidRDefault="00DC5685" w:rsidP="000470C3">
            <w:pPr>
              <w:suppressAutoHyphens/>
              <w:spacing w:before="40" w:after="40"/>
              <w:rPr>
                <w:sz w:val="20"/>
                <w:szCs w:val="20"/>
              </w:rPr>
            </w:pPr>
            <w:r w:rsidRPr="00A34F10">
              <w:rPr>
                <w:bCs/>
                <w:sz w:val="20"/>
                <w:szCs w:val="20"/>
              </w:rPr>
              <w:t>19.5</w:t>
            </w:r>
          </w:p>
        </w:tc>
        <w:tc>
          <w:tcPr>
            <w:tcW w:w="850" w:type="dxa"/>
            <w:tcBorders>
              <w:top w:val="single" w:sz="4" w:space="0" w:color="auto"/>
              <w:left w:val="nil"/>
              <w:bottom w:val="single" w:sz="4" w:space="0" w:color="auto"/>
              <w:right w:val="nil"/>
            </w:tcBorders>
            <w:shd w:val="clear" w:color="auto" w:fill="auto"/>
            <w:vAlign w:val="center"/>
          </w:tcPr>
          <w:p w14:paraId="1C7F6678" w14:textId="77777777" w:rsidR="00DC5685" w:rsidRPr="00A34F10" w:rsidRDefault="00DC5685" w:rsidP="000470C3">
            <w:pPr>
              <w:suppressAutoHyphens/>
              <w:spacing w:before="40" w:after="40"/>
              <w:rPr>
                <w:b/>
                <w:sz w:val="20"/>
                <w:szCs w:val="20"/>
              </w:rPr>
            </w:pPr>
            <w:r w:rsidRPr="00A34F10">
              <w:rPr>
                <w:sz w:val="20"/>
                <w:szCs w:val="20"/>
              </w:rPr>
              <w:t>≤ 25 %</w:t>
            </w:r>
          </w:p>
        </w:tc>
        <w:tc>
          <w:tcPr>
            <w:tcW w:w="1985" w:type="dxa"/>
            <w:gridSpan w:val="2"/>
            <w:tcBorders>
              <w:top w:val="nil"/>
              <w:left w:val="nil"/>
              <w:bottom w:val="nil"/>
              <w:right w:val="single" w:sz="4" w:space="0" w:color="auto"/>
            </w:tcBorders>
            <w:shd w:val="clear" w:color="auto" w:fill="auto"/>
            <w:vAlign w:val="center"/>
          </w:tcPr>
          <w:p w14:paraId="5E8ABDD1" w14:textId="77777777" w:rsidR="00DC5685" w:rsidRPr="00A34F10" w:rsidRDefault="00DC5685" w:rsidP="000470C3">
            <w:pPr>
              <w:suppressAutoHyphens/>
              <w:spacing w:before="40" w:after="40"/>
              <w:rPr>
                <w:sz w:val="20"/>
                <w:szCs w:val="20"/>
              </w:rPr>
            </w:pPr>
          </w:p>
        </w:tc>
      </w:tr>
      <w:tr w:rsidR="00DC5685" w:rsidRPr="00A34F10" w14:paraId="0DFB6A3A" w14:textId="77777777" w:rsidTr="000470C3">
        <w:trPr>
          <w:cantSplit/>
        </w:trPr>
        <w:tc>
          <w:tcPr>
            <w:tcW w:w="1531" w:type="dxa"/>
            <w:tcBorders>
              <w:top w:val="single" w:sz="4" w:space="0" w:color="auto"/>
              <w:left w:val="single" w:sz="4" w:space="0" w:color="auto"/>
              <w:bottom w:val="single" w:sz="4" w:space="0" w:color="auto"/>
              <w:right w:val="nil"/>
            </w:tcBorders>
            <w:shd w:val="clear" w:color="auto" w:fill="auto"/>
            <w:vAlign w:val="center"/>
          </w:tcPr>
          <w:p w14:paraId="37876CEA" w14:textId="77777777" w:rsidR="00DC5685" w:rsidRPr="00A34F10" w:rsidRDefault="00DC5685" w:rsidP="000470C3">
            <w:pPr>
              <w:suppressAutoHyphens/>
              <w:spacing w:before="40" w:after="40"/>
              <w:rPr>
                <w:sz w:val="20"/>
                <w:szCs w:val="20"/>
              </w:rPr>
            </w:pPr>
            <w:r w:rsidRPr="00A34F10">
              <w:rPr>
                <w:sz w:val="20"/>
                <w:szCs w:val="20"/>
              </w:rPr>
              <w:t>BAS 650 F</w:t>
            </w:r>
          </w:p>
        </w:tc>
        <w:tc>
          <w:tcPr>
            <w:tcW w:w="1285" w:type="dxa"/>
            <w:gridSpan w:val="2"/>
            <w:tcBorders>
              <w:top w:val="single" w:sz="4" w:space="0" w:color="auto"/>
              <w:left w:val="nil"/>
              <w:bottom w:val="single" w:sz="4" w:space="0" w:color="auto"/>
              <w:right w:val="nil"/>
            </w:tcBorders>
            <w:shd w:val="clear" w:color="auto" w:fill="auto"/>
            <w:vAlign w:val="center"/>
          </w:tcPr>
          <w:p w14:paraId="616A1EFA" w14:textId="77777777" w:rsidR="00DC5685" w:rsidRPr="00A34F10" w:rsidRDefault="00DC5685" w:rsidP="000470C3">
            <w:pPr>
              <w:suppressAutoHyphens/>
              <w:spacing w:before="40" w:after="40"/>
              <w:rPr>
                <w:sz w:val="20"/>
                <w:szCs w:val="20"/>
              </w:rPr>
            </w:pPr>
            <w:r w:rsidRPr="00A34F10">
              <w:rPr>
                <w:sz w:val="20"/>
                <w:szCs w:val="20"/>
              </w:rPr>
              <w:t>1</w:t>
            </w:r>
          </w:p>
        </w:tc>
        <w:tc>
          <w:tcPr>
            <w:tcW w:w="1285" w:type="dxa"/>
            <w:gridSpan w:val="2"/>
            <w:tcBorders>
              <w:top w:val="single" w:sz="4" w:space="0" w:color="auto"/>
              <w:left w:val="nil"/>
              <w:bottom w:val="single" w:sz="4" w:space="0" w:color="auto"/>
              <w:right w:val="nil"/>
            </w:tcBorders>
            <w:shd w:val="clear" w:color="auto" w:fill="auto"/>
            <w:vAlign w:val="center"/>
          </w:tcPr>
          <w:p w14:paraId="3F335215" w14:textId="77777777" w:rsidR="00DC5685" w:rsidRPr="00A34F10" w:rsidRDefault="00DC5685" w:rsidP="000470C3">
            <w:pPr>
              <w:suppressAutoHyphens/>
              <w:spacing w:before="40" w:after="40"/>
              <w:rPr>
                <w:sz w:val="20"/>
                <w:szCs w:val="20"/>
              </w:rPr>
            </w:pPr>
            <w:r w:rsidRPr="00A34F10">
              <w:rPr>
                <w:sz w:val="20"/>
                <w:szCs w:val="20"/>
              </w:rPr>
              <w:t>1</w:t>
            </w:r>
          </w:p>
        </w:tc>
        <w:tc>
          <w:tcPr>
            <w:tcW w:w="1286" w:type="dxa"/>
            <w:tcBorders>
              <w:top w:val="single" w:sz="4" w:space="0" w:color="auto"/>
              <w:left w:val="nil"/>
              <w:bottom w:val="single" w:sz="4" w:space="0" w:color="auto"/>
              <w:right w:val="nil"/>
            </w:tcBorders>
            <w:shd w:val="clear" w:color="auto" w:fill="auto"/>
            <w:vAlign w:val="center"/>
          </w:tcPr>
          <w:p w14:paraId="2EE0D3BC" w14:textId="77777777" w:rsidR="00DC5685" w:rsidRPr="00A34F10" w:rsidRDefault="00DC5685" w:rsidP="000470C3">
            <w:pPr>
              <w:suppressAutoHyphens/>
              <w:spacing w:before="40" w:after="40"/>
              <w:rPr>
                <w:sz w:val="20"/>
                <w:szCs w:val="20"/>
              </w:rPr>
            </w:pPr>
            <w:r w:rsidRPr="00A34F10">
              <w:rPr>
                <w:sz w:val="20"/>
                <w:szCs w:val="20"/>
              </w:rPr>
              <w:t xml:space="preserve">10 x </w:t>
            </w:r>
            <w:r w:rsidRPr="00A34F10">
              <w:rPr>
                <w:bCs/>
                <w:sz w:val="20"/>
                <w:szCs w:val="20"/>
              </w:rPr>
              <w:t>19.5</w:t>
            </w:r>
          </w:p>
        </w:tc>
        <w:tc>
          <w:tcPr>
            <w:tcW w:w="1247" w:type="dxa"/>
            <w:tcBorders>
              <w:top w:val="single" w:sz="4" w:space="0" w:color="auto"/>
              <w:left w:val="nil"/>
              <w:bottom w:val="single" w:sz="4" w:space="0" w:color="auto"/>
              <w:right w:val="nil"/>
            </w:tcBorders>
            <w:shd w:val="clear" w:color="auto" w:fill="auto"/>
            <w:vAlign w:val="center"/>
          </w:tcPr>
          <w:p w14:paraId="0227A08D" w14:textId="77777777" w:rsidR="00DC5685" w:rsidRPr="00A34F10" w:rsidDel="007167D9" w:rsidRDefault="00DC5685" w:rsidP="000470C3">
            <w:pPr>
              <w:suppressAutoHyphens/>
              <w:spacing w:before="40" w:after="40"/>
              <w:rPr>
                <w:sz w:val="20"/>
                <w:szCs w:val="20"/>
              </w:rPr>
            </w:pPr>
            <w:r w:rsidRPr="00A34F10">
              <w:rPr>
                <w:bCs/>
                <w:sz w:val="20"/>
                <w:szCs w:val="20"/>
              </w:rPr>
              <w:t>195</w:t>
            </w:r>
          </w:p>
        </w:tc>
        <w:tc>
          <w:tcPr>
            <w:tcW w:w="850" w:type="dxa"/>
            <w:tcBorders>
              <w:top w:val="single" w:sz="4" w:space="0" w:color="auto"/>
              <w:left w:val="nil"/>
              <w:bottom w:val="nil"/>
              <w:right w:val="nil"/>
            </w:tcBorders>
            <w:shd w:val="clear" w:color="auto" w:fill="auto"/>
            <w:vAlign w:val="center"/>
          </w:tcPr>
          <w:p w14:paraId="4546FF1D" w14:textId="77777777" w:rsidR="00DC5685" w:rsidRPr="00A34F10" w:rsidRDefault="00DC5685" w:rsidP="000470C3">
            <w:pPr>
              <w:suppressAutoHyphens/>
              <w:spacing w:before="40" w:after="40"/>
              <w:rPr>
                <w:sz w:val="20"/>
                <w:szCs w:val="20"/>
              </w:rPr>
            </w:pPr>
          </w:p>
        </w:tc>
        <w:tc>
          <w:tcPr>
            <w:tcW w:w="1985" w:type="dxa"/>
            <w:gridSpan w:val="2"/>
            <w:tcBorders>
              <w:top w:val="nil"/>
              <w:left w:val="nil"/>
              <w:bottom w:val="nil"/>
              <w:right w:val="single" w:sz="4" w:space="0" w:color="auto"/>
            </w:tcBorders>
            <w:shd w:val="clear" w:color="auto" w:fill="auto"/>
            <w:vAlign w:val="center"/>
          </w:tcPr>
          <w:p w14:paraId="4FB5D6B9" w14:textId="77777777" w:rsidR="00DC5685" w:rsidRPr="00A34F10" w:rsidRDefault="00DC5685" w:rsidP="000470C3">
            <w:pPr>
              <w:suppressAutoHyphens/>
              <w:spacing w:before="40" w:after="40"/>
              <w:rPr>
                <w:b/>
                <w:sz w:val="20"/>
                <w:szCs w:val="20"/>
              </w:rPr>
            </w:pPr>
          </w:p>
        </w:tc>
      </w:tr>
      <w:tr w:rsidR="00DC5685" w:rsidRPr="00A34F10" w14:paraId="56B5307F" w14:textId="77777777" w:rsidTr="000470C3">
        <w:trPr>
          <w:cantSplit/>
        </w:trPr>
        <w:tc>
          <w:tcPr>
            <w:tcW w:w="1531" w:type="dxa"/>
            <w:tcBorders>
              <w:top w:val="single" w:sz="4" w:space="0" w:color="auto"/>
              <w:left w:val="single" w:sz="4" w:space="0" w:color="auto"/>
              <w:bottom w:val="single" w:sz="4" w:space="0" w:color="auto"/>
              <w:right w:val="nil"/>
            </w:tcBorders>
            <w:shd w:val="clear" w:color="auto" w:fill="auto"/>
            <w:vAlign w:val="center"/>
          </w:tcPr>
          <w:p w14:paraId="0126DF95" w14:textId="77777777" w:rsidR="00DC5685" w:rsidRPr="00A34F10" w:rsidRDefault="00DC5685" w:rsidP="000470C3">
            <w:pPr>
              <w:suppressAutoHyphens/>
              <w:spacing w:before="40" w:after="40"/>
              <w:rPr>
                <w:sz w:val="20"/>
                <w:szCs w:val="20"/>
              </w:rPr>
            </w:pPr>
            <w:r w:rsidRPr="00A34F10">
              <w:rPr>
                <w:sz w:val="20"/>
                <w:szCs w:val="20"/>
              </w:rPr>
              <w:t>Propamocarb-HCl</w:t>
            </w:r>
          </w:p>
        </w:tc>
        <w:tc>
          <w:tcPr>
            <w:tcW w:w="1285" w:type="dxa"/>
            <w:gridSpan w:val="2"/>
            <w:tcBorders>
              <w:top w:val="single" w:sz="4" w:space="0" w:color="auto"/>
              <w:left w:val="nil"/>
              <w:bottom w:val="single" w:sz="4" w:space="0" w:color="auto"/>
              <w:right w:val="nil"/>
            </w:tcBorders>
            <w:shd w:val="clear" w:color="auto" w:fill="auto"/>
            <w:vAlign w:val="center"/>
          </w:tcPr>
          <w:p w14:paraId="4B5C068F" w14:textId="77777777" w:rsidR="00DC5685" w:rsidRPr="00A34F10" w:rsidRDefault="00DC5685" w:rsidP="000470C3">
            <w:pPr>
              <w:suppressAutoHyphens/>
              <w:spacing w:before="40" w:after="40"/>
              <w:rPr>
                <w:sz w:val="20"/>
                <w:szCs w:val="20"/>
              </w:rPr>
            </w:pPr>
            <w:r w:rsidRPr="00A34F10">
              <w:rPr>
                <w:sz w:val="20"/>
                <w:szCs w:val="20"/>
              </w:rPr>
              <w:t>Not classified</w:t>
            </w:r>
          </w:p>
        </w:tc>
        <w:tc>
          <w:tcPr>
            <w:tcW w:w="1285" w:type="dxa"/>
            <w:gridSpan w:val="2"/>
            <w:tcBorders>
              <w:top w:val="single" w:sz="4" w:space="0" w:color="auto"/>
              <w:left w:val="nil"/>
              <w:bottom w:val="single" w:sz="4" w:space="0" w:color="auto"/>
              <w:right w:val="nil"/>
            </w:tcBorders>
            <w:shd w:val="clear" w:color="auto" w:fill="auto"/>
            <w:vAlign w:val="center"/>
          </w:tcPr>
          <w:p w14:paraId="247474F8" w14:textId="77777777" w:rsidR="00DC5685" w:rsidRPr="00A34F10" w:rsidRDefault="00DC5685" w:rsidP="000470C3">
            <w:pPr>
              <w:suppressAutoHyphens/>
              <w:spacing w:before="40" w:after="40"/>
              <w:rPr>
                <w:sz w:val="20"/>
                <w:szCs w:val="20"/>
              </w:rPr>
            </w:pPr>
            <w:r w:rsidRPr="00A34F10">
              <w:rPr>
                <w:sz w:val="20"/>
                <w:szCs w:val="20"/>
              </w:rPr>
              <w:t>--</w:t>
            </w:r>
          </w:p>
        </w:tc>
        <w:tc>
          <w:tcPr>
            <w:tcW w:w="1286" w:type="dxa"/>
            <w:tcBorders>
              <w:top w:val="single" w:sz="4" w:space="0" w:color="auto"/>
              <w:left w:val="nil"/>
              <w:bottom w:val="single" w:sz="4" w:space="0" w:color="auto"/>
              <w:right w:val="nil"/>
            </w:tcBorders>
            <w:shd w:val="clear" w:color="auto" w:fill="auto"/>
            <w:vAlign w:val="center"/>
          </w:tcPr>
          <w:p w14:paraId="22B804F2" w14:textId="77777777" w:rsidR="00DC5685" w:rsidRPr="00A34F10" w:rsidRDefault="00DC5685" w:rsidP="000470C3">
            <w:pPr>
              <w:suppressAutoHyphens/>
              <w:spacing w:before="40" w:after="40"/>
              <w:rPr>
                <w:sz w:val="20"/>
                <w:szCs w:val="20"/>
              </w:rPr>
            </w:pPr>
            <w:r w:rsidRPr="00A34F10">
              <w:rPr>
                <w:sz w:val="20"/>
                <w:szCs w:val="20"/>
              </w:rPr>
              <w:t>--</w:t>
            </w:r>
          </w:p>
        </w:tc>
        <w:tc>
          <w:tcPr>
            <w:tcW w:w="1247" w:type="dxa"/>
            <w:tcBorders>
              <w:top w:val="single" w:sz="4" w:space="0" w:color="auto"/>
              <w:left w:val="nil"/>
              <w:bottom w:val="single" w:sz="4" w:space="0" w:color="auto"/>
              <w:right w:val="nil"/>
            </w:tcBorders>
            <w:shd w:val="clear" w:color="auto" w:fill="auto"/>
            <w:vAlign w:val="center"/>
          </w:tcPr>
          <w:p w14:paraId="08A269E5" w14:textId="77777777" w:rsidR="00DC5685" w:rsidRPr="00A34F10" w:rsidRDefault="00DC5685" w:rsidP="000470C3">
            <w:pPr>
              <w:suppressAutoHyphens/>
              <w:spacing w:before="40" w:after="40"/>
              <w:rPr>
                <w:bCs/>
                <w:sz w:val="20"/>
                <w:szCs w:val="20"/>
              </w:rPr>
            </w:pPr>
            <w:r w:rsidRPr="00A34F10">
              <w:rPr>
                <w:bCs/>
                <w:sz w:val="20"/>
                <w:szCs w:val="20"/>
              </w:rPr>
              <w:t>--</w:t>
            </w:r>
          </w:p>
        </w:tc>
        <w:tc>
          <w:tcPr>
            <w:tcW w:w="850" w:type="dxa"/>
            <w:tcBorders>
              <w:top w:val="single" w:sz="4" w:space="0" w:color="auto"/>
              <w:left w:val="nil"/>
              <w:bottom w:val="nil"/>
              <w:right w:val="nil"/>
            </w:tcBorders>
            <w:shd w:val="clear" w:color="auto" w:fill="auto"/>
            <w:vAlign w:val="center"/>
          </w:tcPr>
          <w:p w14:paraId="59C52F96" w14:textId="77777777" w:rsidR="00DC5685" w:rsidRPr="00A34F10" w:rsidRDefault="00DC5685" w:rsidP="000470C3">
            <w:pPr>
              <w:suppressAutoHyphens/>
              <w:spacing w:before="40" w:after="40"/>
              <w:rPr>
                <w:sz w:val="20"/>
                <w:szCs w:val="20"/>
              </w:rPr>
            </w:pPr>
          </w:p>
        </w:tc>
        <w:tc>
          <w:tcPr>
            <w:tcW w:w="1985" w:type="dxa"/>
            <w:gridSpan w:val="2"/>
            <w:tcBorders>
              <w:top w:val="nil"/>
              <w:left w:val="nil"/>
              <w:bottom w:val="nil"/>
              <w:right w:val="single" w:sz="4" w:space="0" w:color="auto"/>
            </w:tcBorders>
            <w:shd w:val="clear" w:color="auto" w:fill="auto"/>
            <w:vAlign w:val="center"/>
          </w:tcPr>
          <w:p w14:paraId="7CBF6C93" w14:textId="77777777" w:rsidR="00DC5685" w:rsidRPr="00A34F10" w:rsidRDefault="00DC5685" w:rsidP="000470C3">
            <w:pPr>
              <w:suppressAutoHyphens/>
              <w:spacing w:before="40" w:after="40"/>
              <w:rPr>
                <w:b/>
                <w:sz w:val="20"/>
                <w:szCs w:val="20"/>
              </w:rPr>
            </w:pPr>
          </w:p>
        </w:tc>
      </w:tr>
      <w:tr w:rsidR="00DC5685" w:rsidRPr="00A34F10" w14:paraId="5A5F7318" w14:textId="77777777" w:rsidTr="000470C3">
        <w:trPr>
          <w:cantSplit/>
        </w:trPr>
        <w:tc>
          <w:tcPr>
            <w:tcW w:w="1531" w:type="dxa"/>
            <w:tcBorders>
              <w:top w:val="single" w:sz="4" w:space="0" w:color="auto"/>
              <w:left w:val="single" w:sz="4" w:space="0" w:color="auto"/>
              <w:bottom w:val="single" w:sz="4" w:space="0" w:color="auto"/>
              <w:right w:val="nil"/>
            </w:tcBorders>
            <w:shd w:val="clear" w:color="auto" w:fill="auto"/>
            <w:vAlign w:val="center"/>
          </w:tcPr>
          <w:p w14:paraId="001263F6" w14:textId="77777777" w:rsidR="00DC5685" w:rsidRPr="00A34F10" w:rsidRDefault="00DC5685" w:rsidP="000470C3">
            <w:pPr>
              <w:suppressAutoHyphens/>
              <w:spacing w:before="40" w:after="40"/>
              <w:rPr>
                <w:sz w:val="20"/>
                <w:szCs w:val="20"/>
              </w:rPr>
            </w:pPr>
            <w:r w:rsidRPr="00A34F10">
              <w:rPr>
                <w:sz w:val="20"/>
                <w:szCs w:val="20"/>
              </w:rPr>
              <w:t>2</w:t>
            </w:r>
            <w:r w:rsidRPr="00A34F10">
              <w:rPr>
                <w:sz w:val="20"/>
                <w:szCs w:val="20"/>
                <w:vertAlign w:val="superscript"/>
              </w:rPr>
              <w:t>nd</w:t>
            </w:r>
            <w:r w:rsidRPr="00A34F10">
              <w:rPr>
                <w:sz w:val="20"/>
                <w:szCs w:val="20"/>
              </w:rPr>
              <w:t xml:space="preserve"> equation</w:t>
            </w:r>
          </w:p>
        </w:tc>
        <w:tc>
          <w:tcPr>
            <w:tcW w:w="3856" w:type="dxa"/>
            <w:gridSpan w:val="5"/>
            <w:tcBorders>
              <w:top w:val="single" w:sz="4" w:space="0" w:color="auto"/>
              <w:left w:val="nil"/>
              <w:bottom w:val="single" w:sz="4" w:space="0" w:color="auto"/>
              <w:right w:val="nil"/>
            </w:tcBorders>
            <w:shd w:val="clear" w:color="auto" w:fill="auto"/>
            <w:vAlign w:val="center"/>
          </w:tcPr>
          <w:p w14:paraId="5C919674" w14:textId="77777777" w:rsidR="00DC5685" w:rsidRPr="00604E47" w:rsidRDefault="00DC5685" w:rsidP="000470C3">
            <w:pPr>
              <w:suppressAutoHyphens/>
              <w:spacing w:before="40" w:after="40"/>
              <w:rPr>
                <w:sz w:val="20"/>
                <w:szCs w:val="20"/>
                <w:lang w:val="pl-PL"/>
              </w:rPr>
            </w:pPr>
            <w:r w:rsidRPr="00604E47">
              <w:rPr>
                <w:sz w:val="20"/>
                <w:szCs w:val="20"/>
                <w:lang w:val="pl-PL"/>
              </w:rPr>
              <w:t xml:space="preserve">SUM </w:t>
            </w:r>
            <w:r w:rsidRPr="00604E47">
              <w:rPr>
                <w:i/>
                <w:iCs/>
                <w:sz w:val="20"/>
                <w:szCs w:val="20"/>
                <w:lang w:val="pl-PL"/>
              </w:rPr>
              <w:t>((M x 10 x Chronic 1) + Chronic 2)</w:t>
            </w:r>
          </w:p>
        </w:tc>
        <w:tc>
          <w:tcPr>
            <w:tcW w:w="1247" w:type="dxa"/>
            <w:tcBorders>
              <w:top w:val="single" w:sz="4" w:space="0" w:color="auto"/>
              <w:left w:val="nil"/>
              <w:bottom w:val="single" w:sz="4" w:space="0" w:color="auto"/>
              <w:right w:val="nil"/>
            </w:tcBorders>
            <w:shd w:val="clear" w:color="auto" w:fill="auto"/>
            <w:vAlign w:val="center"/>
          </w:tcPr>
          <w:p w14:paraId="5845C1EC" w14:textId="77777777" w:rsidR="00DC5685" w:rsidRPr="00A34F10" w:rsidDel="007167D9" w:rsidRDefault="00DC5685" w:rsidP="000470C3">
            <w:pPr>
              <w:suppressAutoHyphens/>
              <w:spacing w:before="40" w:after="40"/>
              <w:rPr>
                <w:sz w:val="20"/>
                <w:szCs w:val="20"/>
              </w:rPr>
            </w:pPr>
            <w:r w:rsidRPr="00A34F10">
              <w:rPr>
                <w:bCs/>
                <w:sz w:val="20"/>
                <w:szCs w:val="20"/>
              </w:rPr>
              <w:t>195</w:t>
            </w:r>
          </w:p>
        </w:tc>
        <w:tc>
          <w:tcPr>
            <w:tcW w:w="850" w:type="dxa"/>
            <w:tcBorders>
              <w:top w:val="single" w:sz="4" w:space="0" w:color="auto"/>
              <w:left w:val="nil"/>
              <w:bottom w:val="single" w:sz="4" w:space="0" w:color="auto"/>
              <w:right w:val="nil"/>
            </w:tcBorders>
            <w:shd w:val="clear" w:color="auto" w:fill="auto"/>
            <w:vAlign w:val="center"/>
          </w:tcPr>
          <w:p w14:paraId="072D63CA" w14:textId="77777777" w:rsidR="00DC5685" w:rsidRPr="00A34F10" w:rsidRDefault="00DC5685" w:rsidP="000470C3">
            <w:pPr>
              <w:suppressAutoHyphens/>
              <w:spacing w:before="40" w:after="40"/>
              <w:rPr>
                <w:sz w:val="20"/>
                <w:szCs w:val="20"/>
              </w:rPr>
            </w:pPr>
            <w:r w:rsidRPr="00A34F10">
              <w:rPr>
                <w:sz w:val="20"/>
                <w:szCs w:val="20"/>
              </w:rPr>
              <w:t>≥ 25 %</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14:paraId="7359E2D1" w14:textId="77777777" w:rsidR="00DC5685" w:rsidRPr="00A34F10" w:rsidRDefault="00DC5685" w:rsidP="000470C3">
            <w:pPr>
              <w:suppressAutoHyphens/>
              <w:spacing w:before="40" w:after="40"/>
              <w:rPr>
                <w:b/>
                <w:sz w:val="20"/>
                <w:szCs w:val="20"/>
                <w:lang w:val="en-GB"/>
              </w:rPr>
            </w:pPr>
            <w:r w:rsidRPr="00A34F10">
              <w:rPr>
                <w:b/>
                <w:sz w:val="20"/>
                <w:szCs w:val="20"/>
                <w:lang w:val="en-GB"/>
              </w:rPr>
              <w:t>BAS 743 03 F:</w:t>
            </w:r>
            <w:r w:rsidRPr="00A34F10">
              <w:rPr>
                <w:b/>
                <w:sz w:val="20"/>
                <w:szCs w:val="20"/>
                <w:lang w:val="en-GB"/>
              </w:rPr>
              <w:br/>
              <w:t>Aquatic Chronic Hazard Category 2</w:t>
            </w:r>
          </w:p>
        </w:tc>
      </w:tr>
    </w:tbl>
    <w:p w14:paraId="1ACF53A3" w14:textId="77777777" w:rsidR="00DC5685" w:rsidRPr="00A34F10" w:rsidRDefault="00DC5685" w:rsidP="00DC5685">
      <w:pPr>
        <w:suppressAutoHyphens/>
        <w:jc w:val="both"/>
        <w:rPr>
          <w:bCs/>
          <w:u w:val="single"/>
          <w:lang w:val="en-GB"/>
        </w:rPr>
      </w:pPr>
    </w:p>
    <w:p w14:paraId="1EC8479E" w14:textId="77777777" w:rsidR="00DC5685" w:rsidRPr="00A34F10" w:rsidRDefault="00DC5685" w:rsidP="00DC5685">
      <w:pPr>
        <w:suppressAutoHyphens/>
        <w:jc w:val="both"/>
        <w:rPr>
          <w:bCs/>
          <w:u w:val="single"/>
          <w:lang w:val="en-GB"/>
        </w:rPr>
      </w:pPr>
    </w:p>
    <w:p w14:paraId="0470431B" w14:textId="77777777" w:rsidR="00DC5685" w:rsidRPr="00A34F10" w:rsidRDefault="00DC5685" w:rsidP="00DC5685">
      <w:pPr>
        <w:suppressAutoHyphens/>
        <w:jc w:val="both"/>
        <w:rPr>
          <w:b/>
          <w:bCs/>
          <w:u w:val="single"/>
          <w:lang w:val="en-GB"/>
        </w:rPr>
      </w:pPr>
      <w:r w:rsidRPr="00A34F10">
        <w:rPr>
          <w:b/>
          <w:bCs/>
          <w:u w:val="single"/>
          <w:lang w:val="en-GB"/>
        </w:rPr>
        <w:t>Conclusion</w:t>
      </w:r>
    </w:p>
    <w:p w14:paraId="61CB19F4" w14:textId="77777777" w:rsidR="00DC5685" w:rsidRPr="00A34F10" w:rsidRDefault="00DC5685" w:rsidP="00DC5685">
      <w:pPr>
        <w:suppressAutoHyphens/>
        <w:jc w:val="both"/>
        <w:rPr>
          <w:b/>
          <w:bCs/>
          <w:u w:val="single"/>
          <w:lang w:val="en-GB"/>
        </w:rPr>
      </w:pPr>
    </w:p>
    <w:p w14:paraId="47AF99DB" w14:textId="77777777" w:rsidR="00DC5685" w:rsidRDefault="00DC5685" w:rsidP="00DC5685">
      <w:pPr>
        <w:suppressAutoHyphens/>
        <w:jc w:val="both"/>
        <w:rPr>
          <w:bCs/>
          <w:lang w:val="en-GB"/>
        </w:rPr>
      </w:pPr>
      <w:r w:rsidRPr="00A34F10">
        <w:rPr>
          <w:bCs/>
          <w:lang w:val="en-GB"/>
        </w:rPr>
        <w:t xml:space="preserve">Based on the summation method, the following classification is proposed for BAS 743 03 F: </w:t>
      </w:r>
      <w:r w:rsidRPr="00A34F10">
        <w:rPr>
          <w:b/>
          <w:bCs/>
          <w:lang w:val="en-GB"/>
        </w:rPr>
        <w:t>aquatic chronic hazard category 2 (H411)</w:t>
      </w:r>
      <w:r w:rsidRPr="00A34F10">
        <w:rPr>
          <w:bCs/>
          <w:lang w:val="en-GB"/>
        </w:rPr>
        <w:t xml:space="preserve"> according to GHS following Regulation (EC) No 1272/2008.</w:t>
      </w:r>
    </w:p>
    <w:p w14:paraId="7B62FC78" w14:textId="77777777" w:rsidR="00C56F56" w:rsidRDefault="00C56F56" w:rsidP="00C56F56">
      <w:pPr>
        <w:pStyle w:val="RepStandard"/>
        <w:keepNext/>
        <w:keepLines/>
        <w:suppressAutoHyphens/>
      </w:pPr>
    </w:p>
    <w:p w14:paraId="6B4B4991" w14:textId="7D9294CA" w:rsidR="00C56F56" w:rsidRPr="00A4199A" w:rsidRDefault="00C56F56" w:rsidP="00C56F56">
      <w:pPr>
        <w:pStyle w:val="RepStandard"/>
        <w:keepNext/>
        <w:keepLines/>
        <w:shd w:val="clear" w:color="auto" w:fill="D9D9D9" w:themeFill="background1" w:themeFillShade="D9"/>
        <w:suppressAutoHyphens/>
      </w:pPr>
      <w:r w:rsidRPr="00A4199A">
        <w:t>EUH401: To avoid risks to human health and the environment, comply with the instructions for use.</w:t>
      </w:r>
    </w:p>
    <w:p w14:paraId="42521D1D" w14:textId="77777777" w:rsidR="00C56F56" w:rsidRPr="00A4199A" w:rsidRDefault="00C56F56" w:rsidP="00C56F56">
      <w:pPr>
        <w:pStyle w:val="RepStandard"/>
        <w:keepNext/>
        <w:keepLines/>
        <w:shd w:val="clear" w:color="auto" w:fill="D9D9D9" w:themeFill="background1" w:themeFillShade="D9"/>
        <w:suppressAutoHyphens/>
      </w:pPr>
      <w:r w:rsidRPr="00A4199A">
        <w:t>P391: Collect spillage/liquid.</w:t>
      </w:r>
    </w:p>
    <w:p w14:paraId="6333A87E" w14:textId="77777777" w:rsidR="00C56F56" w:rsidRPr="00A4199A" w:rsidRDefault="00C56F56" w:rsidP="00C56F56">
      <w:pPr>
        <w:pStyle w:val="RepStandard"/>
        <w:keepNext/>
        <w:keepLines/>
        <w:shd w:val="clear" w:color="auto" w:fill="D9D9D9" w:themeFill="background1" w:themeFillShade="D9"/>
        <w:suppressAutoHyphens/>
      </w:pPr>
      <w:r w:rsidRPr="00A4199A">
        <w:t>P501: Dispose of contents/container in accordance with national regulations.</w:t>
      </w:r>
    </w:p>
    <w:p w14:paraId="32FD886B" w14:textId="77777777" w:rsidR="00C56F56" w:rsidRPr="00A34F10" w:rsidRDefault="00C56F56" w:rsidP="00DC5685">
      <w:pPr>
        <w:suppressAutoHyphens/>
        <w:jc w:val="both"/>
        <w:rPr>
          <w:lang w:val="en-GB"/>
        </w:rPr>
      </w:pPr>
    </w:p>
    <w:p w14:paraId="36AE35D5" w14:textId="77777777" w:rsidR="00DC5685" w:rsidRPr="00A34F10" w:rsidRDefault="00DC5685" w:rsidP="00DC5685">
      <w:pPr>
        <w:pStyle w:val="RepStandard"/>
        <w:suppressAutoHyphens/>
      </w:pPr>
    </w:p>
    <w:p w14:paraId="24414529" w14:textId="77777777" w:rsidR="00DC5685" w:rsidRPr="00A34F10" w:rsidRDefault="00DC5685" w:rsidP="00DC5685">
      <w:pPr>
        <w:pStyle w:val="StyleOECD-BASIS-TEXTLeft"/>
        <w:rPr>
          <w:sz w:val="22"/>
          <w:lang w:val="en-US"/>
        </w:rPr>
      </w:pPr>
    </w:p>
    <w:p w14:paraId="77070757" w14:textId="77777777" w:rsidR="00DC5685" w:rsidRPr="00A34F10" w:rsidRDefault="00DC5685" w:rsidP="00DC5685">
      <w:pPr>
        <w:pStyle w:val="StyleOECD-BASIS-TEXTLeft"/>
        <w:rPr>
          <w:sz w:val="22"/>
          <w:lang w:val="en-US"/>
        </w:rPr>
        <w:sectPr w:rsidR="00DC5685" w:rsidRPr="00A34F10" w:rsidSect="00106F5B">
          <w:pgSz w:w="11907" w:h="16840" w:code="9"/>
          <w:pgMar w:top="1418" w:right="1134" w:bottom="1418" w:left="1418" w:header="709" w:footer="709" w:gutter="0"/>
          <w:cols w:space="720"/>
        </w:sectPr>
      </w:pPr>
    </w:p>
    <w:p w14:paraId="16FD3855" w14:textId="77777777" w:rsidR="00537256" w:rsidRPr="007D053F" w:rsidRDefault="00537256" w:rsidP="00537256">
      <w:pPr>
        <w:pStyle w:val="RepAppendix1"/>
        <w:numPr>
          <w:ilvl w:val="0"/>
          <w:numId w:val="10"/>
        </w:numPr>
      </w:pPr>
      <w:bookmarkStart w:id="977" w:name="_Toc414955320"/>
      <w:bookmarkStart w:id="978" w:name="_Ref414979066"/>
      <w:bookmarkStart w:id="979" w:name="_Toc415214627"/>
      <w:bookmarkStart w:id="980" w:name="_Toc457904028"/>
      <w:bookmarkStart w:id="981" w:name="_Toc181625015"/>
      <w:bookmarkStart w:id="982" w:name="_Toc399487304"/>
      <w:bookmarkStart w:id="983" w:name="_Ref405984983"/>
      <w:bookmarkStart w:id="984" w:name="_Ref405985341"/>
      <w:bookmarkStart w:id="985" w:name="_Ref405985372"/>
      <w:bookmarkStart w:id="986" w:name="_Ref405985396"/>
      <w:bookmarkStart w:id="987" w:name="_Ref405986942"/>
      <w:r w:rsidRPr="007D053F">
        <w:lastRenderedPageBreak/>
        <w:t>Lists of data considered in support of the evaluation</w:t>
      </w:r>
      <w:bookmarkEnd w:id="977"/>
      <w:bookmarkEnd w:id="978"/>
      <w:bookmarkEnd w:id="979"/>
      <w:bookmarkEnd w:id="980"/>
      <w:bookmarkEnd w:id="981"/>
    </w:p>
    <w:p w14:paraId="09657A1F" w14:textId="77777777" w:rsidR="00537256" w:rsidRPr="007D053F" w:rsidRDefault="00537256" w:rsidP="00537256">
      <w:pPr>
        <w:pStyle w:val="RepEditorNotesMS"/>
      </w:pPr>
      <w:r w:rsidRPr="007D053F">
        <w:rPr>
          <w:rStyle w:val="RepEditorNote"/>
          <w:color w:val="auto"/>
        </w:rPr>
        <w:t>Tables considered not relevant can be deleted as appropriate.</w:t>
      </w:r>
    </w:p>
    <w:p w14:paraId="150A9F98" w14:textId="77777777" w:rsidR="00537256" w:rsidRPr="007D053F" w:rsidRDefault="00537256" w:rsidP="00537256">
      <w:pPr>
        <w:pStyle w:val="RepEditorNotesMS"/>
      </w:pPr>
      <w:r w:rsidRPr="007D053F">
        <w:t>MS to blacken authors of vertebrate studies in the version made available to third parties/public.</w:t>
      </w:r>
    </w:p>
    <w:p w14:paraId="53995191" w14:textId="77777777" w:rsidR="00537256" w:rsidRPr="007D053F" w:rsidRDefault="00537256" w:rsidP="00537256">
      <w:pPr>
        <w:pStyle w:val="RepNewPart"/>
      </w:pPr>
      <w:r w:rsidRPr="007D053F">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EE4E6B" w:rsidRPr="004E41E6" w14:paraId="089D6353" w14:textId="77777777" w:rsidTr="00851C2C">
        <w:trPr>
          <w:tblHeader/>
        </w:trPr>
        <w:tc>
          <w:tcPr>
            <w:tcW w:w="376" w:type="pct"/>
            <w:shd w:val="clear" w:color="auto" w:fill="auto"/>
            <w:vAlign w:val="center"/>
          </w:tcPr>
          <w:p w14:paraId="10EDE4D6" w14:textId="77777777" w:rsidR="00EE4E6B" w:rsidRPr="004E41E6" w:rsidRDefault="00EE4E6B" w:rsidP="00851C2C">
            <w:pPr>
              <w:pStyle w:val="RepTableHeader"/>
              <w:spacing w:before="0" w:after="0"/>
              <w:jc w:val="center"/>
            </w:pPr>
            <w:r w:rsidRPr="004E41E6">
              <w:t>Data point</w:t>
            </w:r>
          </w:p>
        </w:tc>
        <w:tc>
          <w:tcPr>
            <w:tcW w:w="615" w:type="pct"/>
            <w:shd w:val="clear" w:color="auto" w:fill="auto"/>
            <w:vAlign w:val="center"/>
          </w:tcPr>
          <w:p w14:paraId="1170AAFB" w14:textId="77777777" w:rsidR="00EE4E6B" w:rsidRPr="004E41E6" w:rsidRDefault="00EE4E6B" w:rsidP="00851C2C">
            <w:pPr>
              <w:pStyle w:val="RepTableHeader"/>
              <w:spacing w:before="0" w:after="0"/>
              <w:jc w:val="center"/>
            </w:pPr>
            <w:r w:rsidRPr="004E41E6">
              <w:t>Author(s)</w:t>
            </w:r>
          </w:p>
        </w:tc>
        <w:tc>
          <w:tcPr>
            <w:tcW w:w="248" w:type="pct"/>
            <w:shd w:val="clear" w:color="auto" w:fill="auto"/>
            <w:vAlign w:val="center"/>
          </w:tcPr>
          <w:p w14:paraId="2A5C0C5E" w14:textId="77777777" w:rsidR="00EE4E6B" w:rsidRPr="004E41E6" w:rsidRDefault="00EE4E6B" w:rsidP="00851C2C">
            <w:pPr>
              <w:pStyle w:val="RepTableHeader"/>
              <w:spacing w:before="0" w:after="0"/>
              <w:jc w:val="center"/>
            </w:pPr>
            <w:r w:rsidRPr="004E41E6">
              <w:t>Year</w:t>
            </w:r>
          </w:p>
        </w:tc>
        <w:tc>
          <w:tcPr>
            <w:tcW w:w="2927" w:type="pct"/>
            <w:shd w:val="clear" w:color="auto" w:fill="auto"/>
            <w:vAlign w:val="center"/>
          </w:tcPr>
          <w:p w14:paraId="285339EE" w14:textId="77777777" w:rsidR="00EE4E6B" w:rsidRPr="0022256A" w:rsidRDefault="00EE4E6B" w:rsidP="00851C2C">
            <w:pPr>
              <w:pStyle w:val="RepTableHeader"/>
              <w:spacing w:before="0" w:after="0"/>
              <w:jc w:val="center"/>
            </w:pPr>
            <w:r w:rsidRPr="0022256A">
              <w:t>Title</w:t>
            </w:r>
            <w:r w:rsidRPr="0022256A">
              <w:br/>
              <w:t>Company Report No.</w:t>
            </w:r>
            <w:r w:rsidRPr="0022256A">
              <w:tab/>
            </w:r>
            <w:r w:rsidRPr="0022256A">
              <w:br/>
              <w:t>Source (where different from company)</w:t>
            </w:r>
            <w:r w:rsidRPr="0022256A">
              <w:br/>
              <w:t>GLP or GEP status</w:t>
            </w:r>
            <w:r w:rsidRPr="0022256A">
              <w:br/>
              <w:t>Published or not</w:t>
            </w:r>
          </w:p>
        </w:tc>
        <w:tc>
          <w:tcPr>
            <w:tcW w:w="415" w:type="pct"/>
            <w:shd w:val="clear" w:color="auto" w:fill="auto"/>
            <w:vAlign w:val="center"/>
          </w:tcPr>
          <w:p w14:paraId="1BE239C1" w14:textId="77777777" w:rsidR="00EE4E6B" w:rsidRPr="004E41E6" w:rsidRDefault="00EE4E6B" w:rsidP="00851C2C">
            <w:pPr>
              <w:pStyle w:val="RepTableHeader"/>
              <w:spacing w:before="0" w:after="0"/>
              <w:jc w:val="center"/>
            </w:pPr>
            <w:r w:rsidRPr="004E41E6">
              <w:t>Vertebrate study</w:t>
            </w:r>
          </w:p>
          <w:p w14:paraId="50CE4FDE" w14:textId="77777777" w:rsidR="00EE4E6B" w:rsidRPr="004E41E6" w:rsidRDefault="00EE4E6B" w:rsidP="00851C2C">
            <w:pPr>
              <w:pStyle w:val="RepTableHeader"/>
              <w:spacing w:before="0" w:after="0"/>
              <w:jc w:val="center"/>
            </w:pPr>
            <w:r w:rsidRPr="004E41E6">
              <w:t>Y/N</w:t>
            </w:r>
          </w:p>
        </w:tc>
        <w:tc>
          <w:tcPr>
            <w:tcW w:w="419" w:type="pct"/>
            <w:shd w:val="clear" w:color="auto" w:fill="auto"/>
            <w:vAlign w:val="center"/>
          </w:tcPr>
          <w:p w14:paraId="15DADEAE" w14:textId="77777777" w:rsidR="00EE4E6B" w:rsidRPr="004E41E6" w:rsidRDefault="00EE4E6B" w:rsidP="00851C2C">
            <w:pPr>
              <w:pStyle w:val="RepTableHeader"/>
              <w:spacing w:before="0" w:after="0"/>
              <w:jc w:val="center"/>
            </w:pPr>
            <w:r w:rsidRPr="004E41E6">
              <w:t>Owner</w:t>
            </w:r>
          </w:p>
        </w:tc>
      </w:tr>
      <w:tr w:rsidR="00EE4E6B" w14:paraId="6E5EE5A6" w14:textId="77777777" w:rsidTr="00B24D55">
        <w:tc>
          <w:tcPr>
            <w:tcW w:w="0" w:type="auto"/>
          </w:tcPr>
          <w:p w14:paraId="18F81DC7" w14:textId="77777777" w:rsidR="00EE4E6B" w:rsidRDefault="00EE4E6B" w:rsidP="00851C2C">
            <w:pPr>
              <w:rPr>
                <w:sz w:val="18"/>
                <w:szCs w:val="18"/>
              </w:rPr>
            </w:pPr>
            <w:r>
              <w:rPr>
                <w:color w:val="000000"/>
                <w:sz w:val="18"/>
                <w:szCs w:val="18"/>
              </w:rPr>
              <w:t>KCP 10.1.1.1/1</w:t>
            </w:r>
          </w:p>
        </w:tc>
        <w:tc>
          <w:tcPr>
            <w:tcW w:w="0" w:type="auto"/>
          </w:tcPr>
          <w:p w14:paraId="019B1EBC" w14:textId="5CC453CE" w:rsidR="00EE4E6B" w:rsidRDefault="00611BDA" w:rsidP="00851C2C">
            <w:pPr>
              <w:rPr>
                <w:sz w:val="18"/>
                <w:szCs w:val="18"/>
              </w:rPr>
            </w:pPr>
            <w:r>
              <w:rPr>
                <w:color w:val="000000"/>
                <w:sz w:val="18"/>
                <w:szCs w:val="18"/>
              </w:rPr>
              <w:t>XXXX</w:t>
            </w:r>
          </w:p>
        </w:tc>
        <w:tc>
          <w:tcPr>
            <w:tcW w:w="0" w:type="auto"/>
          </w:tcPr>
          <w:p w14:paraId="36F6B1B1" w14:textId="77777777" w:rsidR="00EE4E6B" w:rsidRDefault="00EE4E6B" w:rsidP="00851C2C">
            <w:pPr>
              <w:jc w:val="center"/>
              <w:rPr>
                <w:sz w:val="18"/>
                <w:szCs w:val="18"/>
              </w:rPr>
            </w:pPr>
            <w:r>
              <w:rPr>
                <w:color w:val="000000"/>
                <w:sz w:val="18"/>
                <w:szCs w:val="18"/>
              </w:rPr>
              <w:t>2022</w:t>
            </w:r>
          </w:p>
        </w:tc>
        <w:tc>
          <w:tcPr>
            <w:tcW w:w="0" w:type="auto"/>
          </w:tcPr>
          <w:p w14:paraId="310BB143" w14:textId="77777777" w:rsidR="00EE4E6B" w:rsidRDefault="00EE4E6B" w:rsidP="00851C2C">
            <w:pPr>
              <w:rPr>
                <w:color w:val="000000"/>
                <w:sz w:val="18"/>
                <w:szCs w:val="18"/>
              </w:rPr>
            </w:pPr>
            <w:r w:rsidRPr="00911350">
              <w:rPr>
                <w:color w:val="000000"/>
                <w:sz w:val="18"/>
                <w:szCs w:val="18"/>
              </w:rPr>
              <w:t>BAS 743 02 F: Acute Oral Toxicity Test with Northern Bobwhite (Colinus virginianus)</w:t>
            </w:r>
          </w:p>
          <w:p w14:paraId="289C341A" w14:textId="77777777" w:rsidR="00EE4E6B" w:rsidRDefault="00EE4E6B" w:rsidP="00851C2C">
            <w:pPr>
              <w:rPr>
                <w:color w:val="000000"/>
                <w:sz w:val="18"/>
                <w:szCs w:val="18"/>
              </w:rPr>
            </w:pPr>
            <w:r w:rsidRPr="00911350">
              <w:rPr>
                <w:color w:val="000000"/>
                <w:sz w:val="18"/>
                <w:szCs w:val="18"/>
              </w:rPr>
              <w:t>2022/2033724</w:t>
            </w:r>
          </w:p>
          <w:p w14:paraId="0B879E58" w14:textId="0F8C27DE" w:rsidR="00EE4E6B" w:rsidRDefault="00B014DB" w:rsidP="00851C2C">
            <w:pPr>
              <w:rPr>
                <w:color w:val="000000"/>
                <w:sz w:val="18"/>
                <w:szCs w:val="18"/>
              </w:rPr>
            </w:pPr>
            <w:r>
              <w:rPr>
                <w:color w:val="000000"/>
                <w:sz w:val="18"/>
                <w:szCs w:val="18"/>
              </w:rPr>
              <w:t>XXXX</w:t>
            </w:r>
          </w:p>
          <w:p w14:paraId="6CD241B9" w14:textId="77777777" w:rsidR="00EE4E6B" w:rsidRDefault="00EE4E6B" w:rsidP="00851C2C">
            <w:pPr>
              <w:rPr>
                <w:color w:val="000000"/>
                <w:sz w:val="18"/>
                <w:szCs w:val="18"/>
              </w:rPr>
            </w:pPr>
            <w:r>
              <w:rPr>
                <w:color w:val="000000"/>
                <w:sz w:val="18"/>
                <w:szCs w:val="18"/>
              </w:rPr>
              <w:t>yes</w:t>
            </w:r>
          </w:p>
          <w:p w14:paraId="59305968" w14:textId="77777777" w:rsidR="00EE4E6B" w:rsidRDefault="00EE4E6B" w:rsidP="00851C2C">
            <w:pPr>
              <w:rPr>
                <w:color w:val="000000"/>
                <w:sz w:val="18"/>
                <w:szCs w:val="18"/>
              </w:rPr>
            </w:pPr>
            <w:r>
              <w:rPr>
                <w:color w:val="000000"/>
                <w:sz w:val="18"/>
                <w:szCs w:val="18"/>
              </w:rPr>
              <w:t>Unpublished</w:t>
            </w:r>
          </w:p>
        </w:tc>
        <w:tc>
          <w:tcPr>
            <w:tcW w:w="0" w:type="auto"/>
          </w:tcPr>
          <w:p w14:paraId="2EE2C6B8" w14:textId="77777777" w:rsidR="00EE4E6B" w:rsidRDefault="00EE4E6B" w:rsidP="00851C2C">
            <w:pPr>
              <w:jc w:val="center"/>
              <w:rPr>
                <w:sz w:val="18"/>
                <w:szCs w:val="18"/>
              </w:rPr>
            </w:pPr>
            <w:r>
              <w:rPr>
                <w:color w:val="000000"/>
                <w:sz w:val="18"/>
                <w:szCs w:val="18"/>
              </w:rPr>
              <w:t>Yes</w:t>
            </w:r>
          </w:p>
        </w:tc>
        <w:tc>
          <w:tcPr>
            <w:tcW w:w="0" w:type="auto"/>
          </w:tcPr>
          <w:p w14:paraId="4CEE55D0" w14:textId="221B0B38" w:rsidR="00EE4E6B" w:rsidRDefault="0039212D" w:rsidP="00851C2C">
            <w:pPr>
              <w:pStyle w:val="RepTable"/>
              <w:jc w:val="center"/>
              <w:rPr>
                <w:highlight w:val="yellow"/>
              </w:rPr>
            </w:pPr>
            <w:r>
              <w:rPr>
                <w:color w:val="000000"/>
                <w:sz w:val="18"/>
                <w:szCs w:val="18"/>
              </w:rPr>
              <w:t>XXXX</w:t>
            </w:r>
          </w:p>
        </w:tc>
      </w:tr>
      <w:tr w:rsidR="0039212D" w14:paraId="6F894CF6" w14:textId="77777777" w:rsidTr="00B24D55">
        <w:tc>
          <w:tcPr>
            <w:tcW w:w="0" w:type="auto"/>
          </w:tcPr>
          <w:p w14:paraId="2E8B78CF" w14:textId="321973CF" w:rsidR="0039212D" w:rsidRDefault="0039212D" w:rsidP="0039212D">
            <w:pPr>
              <w:rPr>
                <w:color w:val="000000"/>
                <w:sz w:val="18"/>
                <w:szCs w:val="18"/>
              </w:rPr>
            </w:pPr>
            <w:r>
              <w:rPr>
                <w:color w:val="000000"/>
                <w:sz w:val="18"/>
                <w:szCs w:val="18"/>
              </w:rPr>
              <w:t>KCP 10.2.1/1</w:t>
            </w:r>
          </w:p>
        </w:tc>
        <w:tc>
          <w:tcPr>
            <w:tcW w:w="0" w:type="auto"/>
          </w:tcPr>
          <w:p w14:paraId="37A67192" w14:textId="4687B3FE" w:rsidR="0039212D" w:rsidRDefault="0039212D" w:rsidP="0039212D">
            <w:pPr>
              <w:rPr>
                <w:color w:val="000000"/>
                <w:sz w:val="18"/>
                <w:szCs w:val="18"/>
              </w:rPr>
            </w:pPr>
            <w:r>
              <w:rPr>
                <w:color w:val="000000"/>
                <w:sz w:val="18"/>
                <w:szCs w:val="18"/>
              </w:rPr>
              <w:t>XXXX</w:t>
            </w:r>
          </w:p>
        </w:tc>
        <w:tc>
          <w:tcPr>
            <w:tcW w:w="0" w:type="auto"/>
          </w:tcPr>
          <w:p w14:paraId="075FB5C0" w14:textId="6565D411" w:rsidR="0039212D" w:rsidRDefault="0039212D" w:rsidP="0039212D">
            <w:pPr>
              <w:jc w:val="center"/>
              <w:rPr>
                <w:color w:val="000000"/>
                <w:sz w:val="18"/>
                <w:szCs w:val="18"/>
              </w:rPr>
            </w:pPr>
            <w:r>
              <w:rPr>
                <w:color w:val="000000"/>
                <w:sz w:val="18"/>
                <w:szCs w:val="18"/>
              </w:rPr>
              <w:t>2023</w:t>
            </w:r>
          </w:p>
        </w:tc>
        <w:tc>
          <w:tcPr>
            <w:tcW w:w="0" w:type="auto"/>
          </w:tcPr>
          <w:p w14:paraId="0E858957" w14:textId="77777777" w:rsidR="0039212D" w:rsidRDefault="0039212D" w:rsidP="0039212D">
            <w:pPr>
              <w:keepLines/>
              <w:pageBreakBefore/>
              <w:rPr>
                <w:color w:val="000000"/>
                <w:sz w:val="18"/>
                <w:szCs w:val="18"/>
              </w:rPr>
            </w:pPr>
            <w:r w:rsidRPr="00911350">
              <w:rPr>
                <w:color w:val="000000"/>
                <w:sz w:val="18"/>
                <w:szCs w:val="18"/>
              </w:rPr>
              <w:t>BAS 743 02 F - Fish acute - Trout</w:t>
            </w:r>
          </w:p>
          <w:p w14:paraId="33F27711" w14:textId="77777777" w:rsidR="0039212D" w:rsidRDefault="0039212D" w:rsidP="0039212D">
            <w:pPr>
              <w:keepLines/>
              <w:pageBreakBefore/>
              <w:rPr>
                <w:color w:val="000000"/>
                <w:sz w:val="18"/>
                <w:szCs w:val="18"/>
              </w:rPr>
            </w:pPr>
            <w:r w:rsidRPr="00911350">
              <w:rPr>
                <w:color w:val="000000"/>
                <w:sz w:val="18"/>
                <w:szCs w:val="18"/>
              </w:rPr>
              <w:t>2022/2033714</w:t>
            </w:r>
          </w:p>
          <w:p w14:paraId="77CEA44F" w14:textId="59BF0BC5" w:rsidR="0039212D" w:rsidRDefault="0039212D" w:rsidP="0039212D">
            <w:pPr>
              <w:keepLines/>
              <w:pageBreakBefore/>
              <w:rPr>
                <w:color w:val="000000"/>
                <w:sz w:val="18"/>
                <w:szCs w:val="18"/>
              </w:rPr>
            </w:pPr>
            <w:r>
              <w:rPr>
                <w:color w:val="000000"/>
                <w:sz w:val="18"/>
                <w:szCs w:val="18"/>
              </w:rPr>
              <w:t>XXXX</w:t>
            </w:r>
          </w:p>
          <w:p w14:paraId="4D82626F" w14:textId="77777777" w:rsidR="0039212D" w:rsidRDefault="0039212D" w:rsidP="0039212D">
            <w:pPr>
              <w:keepLines/>
              <w:pageBreakBefore/>
              <w:rPr>
                <w:color w:val="000000"/>
                <w:sz w:val="18"/>
                <w:szCs w:val="18"/>
              </w:rPr>
            </w:pPr>
            <w:r>
              <w:rPr>
                <w:color w:val="000000"/>
                <w:sz w:val="18"/>
                <w:szCs w:val="18"/>
              </w:rPr>
              <w:t>yes</w:t>
            </w:r>
          </w:p>
          <w:p w14:paraId="7DCC33B4" w14:textId="1E07205B" w:rsidR="0039212D" w:rsidRPr="00911350" w:rsidRDefault="0039212D" w:rsidP="0039212D">
            <w:pPr>
              <w:rPr>
                <w:color w:val="000000"/>
                <w:sz w:val="18"/>
                <w:szCs w:val="18"/>
              </w:rPr>
            </w:pPr>
            <w:r>
              <w:rPr>
                <w:color w:val="000000"/>
                <w:sz w:val="18"/>
                <w:szCs w:val="18"/>
              </w:rPr>
              <w:t>Unpublished</w:t>
            </w:r>
          </w:p>
        </w:tc>
        <w:tc>
          <w:tcPr>
            <w:tcW w:w="0" w:type="auto"/>
          </w:tcPr>
          <w:p w14:paraId="1DE87FFF" w14:textId="12710958" w:rsidR="0039212D" w:rsidRDefault="0039212D" w:rsidP="0039212D">
            <w:pPr>
              <w:jc w:val="center"/>
              <w:rPr>
                <w:color w:val="000000"/>
                <w:sz w:val="18"/>
                <w:szCs w:val="18"/>
              </w:rPr>
            </w:pPr>
            <w:r>
              <w:rPr>
                <w:color w:val="000000"/>
                <w:sz w:val="18"/>
                <w:szCs w:val="18"/>
              </w:rPr>
              <w:t>Yes</w:t>
            </w:r>
          </w:p>
        </w:tc>
        <w:tc>
          <w:tcPr>
            <w:tcW w:w="0" w:type="auto"/>
          </w:tcPr>
          <w:p w14:paraId="7B8319FF" w14:textId="63072960" w:rsidR="0039212D" w:rsidRDefault="0039212D" w:rsidP="0039212D">
            <w:pPr>
              <w:pStyle w:val="RepTable"/>
              <w:jc w:val="center"/>
              <w:rPr>
                <w:color w:val="000000"/>
                <w:sz w:val="18"/>
                <w:szCs w:val="18"/>
              </w:rPr>
            </w:pPr>
            <w:r>
              <w:rPr>
                <w:color w:val="000000"/>
                <w:sz w:val="18"/>
                <w:szCs w:val="18"/>
              </w:rPr>
              <w:t>XXXX</w:t>
            </w:r>
          </w:p>
        </w:tc>
      </w:tr>
      <w:tr w:rsidR="0039212D" w14:paraId="669F01F2" w14:textId="77777777" w:rsidTr="00B24D55">
        <w:tc>
          <w:tcPr>
            <w:tcW w:w="0" w:type="auto"/>
          </w:tcPr>
          <w:p w14:paraId="3B99BB8E" w14:textId="72CA15FE" w:rsidR="0039212D" w:rsidRDefault="0039212D" w:rsidP="0039212D">
            <w:pPr>
              <w:rPr>
                <w:color w:val="000000"/>
                <w:sz w:val="18"/>
                <w:szCs w:val="18"/>
              </w:rPr>
            </w:pPr>
            <w:r>
              <w:rPr>
                <w:color w:val="000000"/>
                <w:sz w:val="18"/>
                <w:szCs w:val="18"/>
              </w:rPr>
              <w:t>KCP 10.2.1/2</w:t>
            </w:r>
          </w:p>
        </w:tc>
        <w:tc>
          <w:tcPr>
            <w:tcW w:w="0" w:type="auto"/>
          </w:tcPr>
          <w:p w14:paraId="13BD0530" w14:textId="4DBAB72B" w:rsidR="0039212D" w:rsidRDefault="0039212D" w:rsidP="0039212D">
            <w:pPr>
              <w:rPr>
                <w:color w:val="000000"/>
                <w:sz w:val="18"/>
                <w:szCs w:val="18"/>
              </w:rPr>
            </w:pPr>
            <w:r>
              <w:rPr>
                <w:color w:val="000000"/>
                <w:sz w:val="18"/>
                <w:szCs w:val="18"/>
              </w:rPr>
              <w:t>Wendling, K.</w:t>
            </w:r>
          </w:p>
        </w:tc>
        <w:tc>
          <w:tcPr>
            <w:tcW w:w="0" w:type="auto"/>
          </w:tcPr>
          <w:p w14:paraId="557CCAAB" w14:textId="0F11DD3E" w:rsidR="0039212D" w:rsidRDefault="0039212D" w:rsidP="0039212D">
            <w:pPr>
              <w:jc w:val="center"/>
              <w:rPr>
                <w:color w:val="000000"/>
                <w:sz w:val="18"/>
                <w:szCs w:val="18"/>
              </w:rPr>
            </w:pPr>
            <w:r>
              <w:rPr>
                <w:color w:val="000000"/>
                <w:sz w:val="18"/>
                <w:szCs w:val="18"/>
              </w:rPr>
              <w:t>2023</w:t>
            </w:r>
          </w:p>
        </w:tc>
        <w:tc>
          <w:tcPr>
            <w:tcW w:w="0" w:type="auto"/>
          </w:tcPr>
          <w:p w14:paraId="3B614739" w14:textId="77777777" w:rsidR="0039212D" w:rsidRDefault="0039212D" w:rsidP="0039212D">
            <w:pPr>
              <w:rPr>
                <w:color w:val="000000"/>
                <w:sz w:val="18"/>
                <w:szCs w:val="18"/>
              </w:rPr>
            </w:pPr>
            <w:r w:rsidRPr="00911350">
              <w:rPr>
                <w:color w:val="000000"/>
                <w:sz w:val="18"/>
                <w:szCs w:val="18"/>
              </w:rPr>
              <w:t>BAS 743 02 F: Toxicity to the Water Flea Daphnia magna Straus under Laboratory Conditions (Acute Immobilisation Test - Semi-static)</w:t>
            </w:r>
          </w:p>
          <w:p w14:paraId="1DF63C49" w14:textId="77777777" w:rsidR="0039212D" w:rsidRDefault="0039212D" w:rsidP="0039212D">
            <w:pPr>
              <w:rPr>
                <w:color w:val="000000"/>
                <w:sz w:val="18"/>
                <w:szCs w:val="18"/>
              </w:rPr>
            </w:pPr>
            <w:r w:rsidRPr="00911350">
              <w:rPr>
                <w:color w:val="000000"/>
                <w:sz w:val="18"/>
                <w:szCs w:val="18"/>
              </w:rPr>
              <w:t>2022/2033712</w:t>
            </w:r>
          </w:p>
          <w:p w14:paraId="0A73898D" w14:textId="77777777" w:rsidR="0039212D" w:rsidRDefault="0039212D" w:rsidP="0039212D">
            <w:pPr>
              <w:rPr>
                <w:color w:val="000000"/>
                <w:sz w:val="18"/>
                <w:szCs w:val="18"/>
              </w:rPr>
            </w:pPr>
            <w:r w:rsidRPr="00911350">
              <w:rPr>
                <w:color w:val="000000"/>
                <w:sz w:val="18"/>
                <w:szCs w:val="18"/>
              </w:rPr>
              <w:t>Eurofins Agroscience Services EcoChem GmbH, Niefern-Oeschelbronn, Germany Fed.Rep.</w:t>
            </w:r>
          </w:p>
          <w:p w14:paraId="0D708F36" w14:textId="77777777" w:rsidR="0039212D" w:rsidRDefault="0039212D" w:rsidP="0039212D">
            <w:pPr>
              <w:rPr>
                <w:color w:val="000000"/>
                <w:sz w:val="18"/>
                <w:szCs w:val="18"/>
              </w:rPr>
            </w:pPr>
            <w:r>
              <w:rPr>
                <w:color w:val="000000"/>
                <w:sz w:val="18"/>
                <w:szCs w:val="18"/>
              </w:rPr>
              <w:t>yes</w:t>
            </w:r>
          </w:p>
          <w:p w14:paraId="2F77DFDC" w14:textId="3232CBCE" w:rsidR="0039212D" w:rsidRPr="00911350" w:rsidRDefault="0039212D" w:rsidP="0039212D">
            <w:pPr>
              <w:rPr>
                <w:color w:val="000000"/>
                <w:sz w:val="18"/>
                <w:szCs w:val="18"/>
              </w:rPr>
            </w:pPr>
            <w:r>
              <w:rPr>
                <w:color w:val="000000"/>
                <w:sz w:val="18"/>
                <w:szCs w:val="18"/>
              </w:rPr>
              <w:t>Unpublished</w:t>
            </w:r>
          </w:p>
        </w:tc>
        <w:tc>
          <w:tcPr>
            <w:tcW w:w="0" w:type="auto"/>
          </w:tcPr>
          <w:p w14:paraId="24D3B751" w14:textId="61C178B9" w:rsidR="0039212D" w:rsidRDefault="0039212D" w:rsidP="0039212D">
            <w:pPr>
              <w:jc w:val="center"/>
              <w:rPr>
                <w:color w:val="000000"/>
                <w:sz w:val="18"/>
                <w:szCs w:val="18"/>
              </w:rPr>
            </w:pPr>
            <w:r>
              <w:rPr>
                <w:color w:val="000000"/>
                <w:sz w:val="18"/>
                <w:szCs w:val="18"/>
              </w:rPr>
              <w:t>No</w:t>
            </w:r>
          </w:p>
        </w:tc>
        <w:tc>
          <w:tcPr>
            <w:tcW w:w="0" w:type="auto"/>
          </w:tcPr>
          <w:p w14:paraId="692C6156" w14:textId="1FBC7C73" w:rsidR="0039212D" w:rsidRDefault="0039212D" w:rsidP="0039212D">
            <w:pPr>
              <w:pStyle w:val="RepTable"/>
              <w:jc w:val="center"/>
              <w:rPr>
                <w:color w:val="000000"/>
                <w:sz w:val="18"/>
                <w:szCs w:val="18"/>
              </w:rPr>
            </w:pPr>
            <w:r>
              <w:rPr>
                <w:color w:val="000000"/>
                <w:sz w:val="18"/>
                <w:szCs w:val="18"/>
              </w:rPr>
              <w:t>XXXX</w:t>
            </w:r>
          </w:p>
        </w:tc>
      </w:tr>
      <w:tr w:rsidR="0039212D" w14:paraId="122DD80B" w14:textId="77777777" w:rsidTr="00B24D55">
        <w:tc>
          <w:tcPr>
            <w:tcW w:w="0" w:type="auto"/>
          </w:tcPr>
          <w:p w14:paraId="7B9F6869" w14:textId="1F03072D" w:rsidR="0039212D" w:rsidRDefault="0039212D" w:rsidP="0039212D">
            <w:pPr>
              <w:rPr>
                <w:color w:val="000000"/>
                <w:sz w:val="18"/>
                <w:szCs w:val="18"/>
              </w:rPr>
            </w:pPr>
            <w:r>
              <w:rPr>
                <w:color w:val="000000"/>
                <w:sz w:val="18"/>
                <w:szCs w:val="18"/>
              </w:rPr>
              <w:t>KCP 10.2.1/3</w:t>
            </w:r>
          </w:p>
        </w:tc>
        <w:tc>
          <w:tcPr>
            <w:tcW w:w="0" w:type="auto"/>
          </w:tcPr>
          <w:p w14:paraId="2D7574EA" w14:textId="52371CD1" w:rsidR="0039212D" w:rsidRDefault="0039212D" w:rsidP="0039212D">
            <w:pPr>
              <w:rPr>
                <w:color w:val="000000"/>
                <w:sz w:val="18"/>
                <w:szCs w:val="18"/>
              </w:rPr>
            </w:pPr>
            <w:r>
              <w:rPr>
                <w:color w:val="000000"/>
                <w:sz w:val="18"/>
                <w:szCs w:val="18"/>
              </w:rPr>
              <w:t>Renner, P.</w:t>
            </w:r>
          </w:p>
        </w:tc>
        <w:tc>
          <w:tcPr>
            <w:tcW w:w="0" w:type="auto"/>
          </w:tcPr>
          <w:p w14:paraId="0E12F6B9" w14:textId="2759651B" w:rsidR="0039212D" w:rsidRDefault="0039212D" w:rsidP="0039212D">
            <w:pPr>
              <w:jc w:val="center"/>
              <w:rPr>
                <w:color w:val="000000"/>
                <w:sz w:val="18"/>
                <w:szCs w:val="18"/>
              </w:rPr>
            </w:pPr>
            <w:r>
              <w:rPr>
                <w:color w:val="000000"/>
                <w:sz w:val="18"/>
                <w:szCs w:val="18"/>
              </w:rPr>
              <w:t>2023</w:t>
            </w:r>
          </w:p>
        </w:tc>
        <w:tc>
          <w:tcPr>
            <w:tcW w:w="0" w:type="auto"/>
          </w:tcPr>
          <w:p w14:paraId="2B8874DB" w14:textId="77777777" w:rsidR="0039212D" w:rsidRDefault="0039212D" w:rsidP="0039212D">
            <w:pPr>
              <w:rPr>
                <w:color w:val="000000"/>
                <w:sz w:val="18"/>
                <w:szCs w:val="18"/>
              </w:rPr>
            </w:pPr>
            <w:r w:rsidRPr="00911350">
              <w:rPr>
                <w:color w:val="000000"/>
                <w:sz w:val="18"/>
                <w:szCs w:val="18"/>
              </w:rPr>
              <w:t>Acute toxicity of BAS 743 03 F on Daphnia magna in a 48-hour static test</w:t>
            </w:r>
          </w:p>
          <w:p w14:paraId="2CF7CA4E" w14:textId="77777777" w:rsidR="0039212D" w:rsidRPr="00911350" w:rsidRDefault="0039212D" w:rsidP="0039212D">
            <w:pPr>
              <w:rPr>
                <w:color w:val="000000"/>
                <w:sz w:val="18"/>
                <w:szCs w:val="18"/>
                <w:lang w:val="de-DE"/>
              </w:rPr>
            </w:pPr>
            <w:r w:rsidRPr="00EE4E6B">
              <w:rPr>
                <w:color w:val="000000"/>
                <w:sz w:val="18"/>
                <w:szCs w:val="18"/>
                <w:lang w:val="de-DE"/>
              </w:rPr>
              <w:t>2022/2033730</w:t>
            </w:r>
          </w:p>
          <w:p w14:paraId="3918D685"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08EA9166" w14:textId="77777777" w:rsidR="0039212D" w:rsidRDefault="0039212D" w:rsidP="0039212D">
            <w:pPr>
              <w:rPr>
                <w:color w:val="000000"/>
                <w:sz w:val="18"/>
                <w:szCs w:val="18"/>
              </w:rPr>
            </w:pPr>
            <w:r>
              <w:rPr>
                <w:color w:val="000000"/>
                <w:sz w:val="18"/>
                <w:szCs w:val="18"/>
              </w:rPr>
              <w:t>yes</w:t>
            </w:r>
          </w:p>
          <w:p w14:paraId="088FD627" w14:textId="29D8AACE" w:rsidR="0039212D" w:rsidRPr="00911350" w:rsidRDefault="0039212D" w:rsidP="0039212D">
            <w:pPr>
              <w:rPr>
                <w:color w:val="000000"/>
                <w:sz w:val="18"/>
                <w:szCs w:val="18"/>
              </w:rPr>
            </w:pPr>
            <w:r>
              <w:rPr>
                <w:color w:val="000000"/>
                <w:sz w:val="18"/>
                <w:szCs w:val="18"/>
              </w:rPr>
              <w:t>Unpublished</w:t>
            </w:r>
          </w:p>
        </w:tc>
        <w:tc>
          <w:tcPr>
            <w:tcW w:w="0" w:type="auto"/>
          </w:tcPr>
          <w:p w14:paraId="11173976" w14:textId="781D75E0" w:rsidR="0039212D" w:rsidRDefault="0039212D" w:rsidP="0039212D">
            <w:pPr>
              <w:jc w:val="center"/>
              <w:rPr>
                <w:color w:val="000000"/>
                <w:sz w:val="18"/>
                <w:szCs w:val="18"/>
              </w:rPr>
            </w:pPr>
            <w:r>
              <w:rPr>
                <w:color w:val="000000"/>
                <w:sz w:val="18"/>
                <w:szCs w:val="18"/>
              </w:rPr>
              <w:t>No</w:t>
            </w:r>
          </w:p>
        </w:tc>
        <w:tc>
          <w:tcPr>
            <w:tcW w:w="0" w:type="auto"/>
          </w:tcPr>
          <w:p w14:paraId="43042C8C" w14:textId="7D55BA25" w:rsidR="0039212D" w:rsidRDefault="0039212D" w:rsidP="0039212D">
            <w:pPr>
              <w:pStyle w:val="RepTable"/>
              <w:jc w:val="center"/>
              <w:rPr>
                <w:color w:val="000000"/>
                <w:sz w:val="18"/>
                <w:szCs w:val="18"/>
              </w:rPr>
            </w:pPr>
            <w:r>
              <w:rPr>
                <w:color w:val="000000"/>
                <w:sz w:val="18"/>
                <w:szCs w:val="18"/>
              </w:rPr>
              <w:t>XXXX</w:t>
            </w:r>
          </w:p>
        </w:tc>
      </w:tr>
      <w:tr w:rsidR="0039212D" w14:paraId="6DF9A18F" w14:textId="77777777" w:rsidTr="00B24D55">
        <w:tc>
          <w:tcPr>
            <w:tcW w:w="0" w:type="auto"/>
          </w:tcPr>
          <w:p w14:paraId="79B868B3" w14:textId="3F041EDB" w:rsidR="0039212D" w:rsidRDefault="0039212D" w:rsidP="0039212D">
            <w:pPr>
              <w:rPr>
                <w:color w:val="000000"/>
                <w:sz w:val="18"/>
                <w:szCs w:val="18"/>
              </w:rPr>
            </w:pPr>
            <w:r>
              <w:rPr>
                <w:color w:val="000000"/>
                <w:sz w:val="18"/>
                <w:szCs w:val="18"/>
              </w:rPr>
              <w:lastRenderedPageBreak/>
              <w:t>KCP 10.2.1/4</w:t>
            </w:r>
          </w:p>
        </w:tc>
        <w:tc>
          <w:tcPr>
            <w:tcW w:w="0" w:type="auto"/>
          </w:tcPr>
          <w:p w14:paraId="32959D2E" w14:textId="1C207BBF" w:rsidR="0039212D" w:rsidRDefault="0039212D" w:rsidP="0039212D">
            <w:pPr>
              <w:rPr>
                <w:color w:val="000000"/>
                <w:sz w:val="18"/>
                <w:szCs w:val="18"/>
              </w:rPr>
            </w:pPr>
            <w:r>
              <w:rPr>
                <w:color w:val="000000"/>
                <w:sz w:val="18"/>
                <w:szCs w:val="18"/>
              </w:rPr>
              <w:t>Obert-Rauser, P.</w:t>
            </w:r>
          </w:p>
        </w:tc>
        <w:tc>
          <w:tcPr>
            <w:tcW w:w="0" w:type="auto"/>
          </w:tcPr>
          <w:p w14:paraId="30BBB4D2" w14:textId="25380D1B" w:rsidR="0039212D" w:rsidRDefault="0039212D" w:rsidP="0039212D">
            <w:pPr>
              <w:jc w:val="center"/>
              <w:rPr>
                <w:color w:val="000000"/>
                <w:sz w:val="18"/>
                <w:szCs w:val="18"/>
              </w:rPr>
            </w:pPr>
            <w:r>
              <w:rPr>
                <w:color w:val="000000"/>
                <w:sz w:val="18"/>
                <w:szCs w:val="18"/>
              </w:rPr>
              <w:t>2023</w:t>
            </w:r>
          </w:p>
        </w:tc>
        <w:tc>
          <w:tcPr>
            <w:tcW w:w="0" w:type="auto"/>
          </w:tcPr>
          <w:p w14:paraId="725B798E" w14:textId="77777777" w:rsidR="0039212D" w:rsidRDefault="0039212D" w:rsidP="0039212D">
            <w:pPr>
              <w:rPr>
                <w:color w:val="000000"/>
                <w:sz w:val="18"/>
                <w:szCs w:val="18"/>
              </w:rPr>
            </w:pPr>
            <w:r w:rsidRPr="00911350">
              <w:rPr>
                <w:color w:val="000000"/>
                <w:sz w:val="18"/>
                <w:szCs w:val="18"/>
              </w:rPr>
              <w:t>Toxicity to the Single Cell Green Alga Pseudokirchneriella subcapitata Hindak under Laboratory Conditions</w:t>
            </w:r>
          </w:p>
          <w:p w14:paraId="3A5337FE" w14:textId="77777777" w:rsidR="0039212D" w:rsidRDefault="0039212D" w:rsidP="0039212D">
            <w:pPr>
              <w:rPr>
                <w:color w:val="000000"/>
                <w:sz w:val="18"/>
                <w:szCs w:val="18"/>
              </w:rPr>
            </w:pPr>
            <w:r w:rsidRPr="00911350">
              <w:rPr>
                <w:color w:val="000000"/>
                <w:sz w:val="18"/>
                <w:szCs w:val="18"/>
              </w:rPr>
              <w:t>2022/2033713</w:t>
            </w:r>
          </w:p>
          <w:p w14:paraId="2597EB69" w14:textId="77777777" w:rsidR="0039212D" w:rsidRDefault="0039212D" w:rsidP="0039212D">
            <w:pPr>
              <w:rPr>
                <w:color w:val="000000"/>
                <w:sz w:val="18"/>
                <w:szCs w:val="18"/>
              </w:rPr>
            </w:pPr>
            <w:r w:rsidRPr="00911350">
              <w:rPr>
                <w:color w:val="000000"/>
                <w:sz w:val="18"/>
                <w:szCs w:val="18"/>
              </w:rPr>
              <w:t>Eurofins Agroscience Services EcoChem GmbH, Niefern-Oeschelbronn, Germany Fed.Rep.</w:t>
            </w:r>
          </w:p>
          <w:p w14:paraId="502ED058" w14:textId="77777777" w:rsidR="0039212D" w:rsidRDefault="0039212D" w:rsidP="0039212D">
            <w:pPr>
              <w:rPr>
                <w:color w:val="000000"/>
                <w:sz w:val="18"/>
                <w:szCs w:val="18"/>
              </w:rPr>
            </w:pPr>
            <w:r>
              <w:rPr>
                <w:color w:val="000000"/>
                <w:sz w:val="18"/>
                <w:szCs w:val="18"/>
              </w:rPr>
              <w:t>yes</w:t>
            </w:r>
          </w:p>
          <w:p w14:paraId="2C149E3A" w14:textId="2EFB9876" w:rsidR="0039212D" w:rsidRPr="00911350" w:rsidRDefault="0039212D" w:rsidP="0039212D">
            <w:pPr>
              <w:rPr>
                <w:color w:val="000000"/>
                <w:sz w:val="18"/>
                <w:szCs w:val="18"/>
              </w:rPr>
            </w:pPr>
            <w:r>
              <w:rPr>
                <w:color w:val="000000"/>
                <w:sz w:val="18"/>
                <w:szCs w:val="18"/>
              </w:rPr>
              <w:t>Unpublished</w:t>
            </w:r>
          </w:p>
        </w:tc>
        <w:tc>
          <w:tcPr>
            <w:tcW w:w="0" w:type="auto"/>
          </w:tcPr>
          <w:p w14:paraId="2E06EAEB" w14:textId="0514AE34" w:rsidR="0039212D" w:rsidRDefault="0039212D" w:rsidP="0039212D">
            <w:pPr>
              <w:jc w:val="center"/>
              <w:rPr>
                <w:color w:val="000000"/>
                <w:sz w:val="18"/>
                <w:szCs w:val="18"/>
              </w:rPr>
            </w:pPr>
            <w:r>
              <w:rPr>
                <w:color w:val="000000"/>
                <w:sz w:val="18"/>
                <w:szCs w:val="18"/>
              </w:rPr>
              <w:t>No</w:t>
            </w:r>
          </w:p>
        </w:tc>
        <w:tc>
          <w:tcPr>
            <w:tcW w:w="0" w:type="auto"/>
          </w:tcPr>
          <w:p w14:paraId="5A6EF6A9" w14:textId="278FF26F" w:rsidR="0039212D" w:rsidRDefault="0039212D" w:rsidP="0039212D">
            <w:pPr>
              <w:pStyle w:val="RepTable"/>
              <w:jc w:val="center"/>
              <w:rPr>
                <w:color w:val="000000"/>
                <w:sz w:val="18"/>
                <w:szCs w:val="18"/>
              </w:rPr>
            </w:pPr>
            <w:r>
              <w:rPr>
                <w:color w:val="000000"/>
                <w:sz w:val="18"/>
                <w:szCs w:val="18"/>
              </w:rPr>
              <w:t>XXXX</w:t>
            </w:r>
          </w:p>
        </w:tc>
      </w:tr>
      <w:tr w:rsidR="0039212D" w14:paraId="7B707B56" w14:textId="77777777" w:rsidTr="00B24D55">
        <w:tc>
          <w:tcPr>
            <w:tcW w:w="0" w:type="auto"/>
          </w:tcPr>
          <w:p w14:paraId="3A157F6A" w14:textId="77777777" w:rsidR="0039212D" w:rsidRDefault="0039212D" w:rsidP="0039212D">
            <w:pPr>
              <w:rPr>
                <w:sz w:val="18"/>
                <w:szCs w:val="18"/>
              </w:rPr>
            </w:pPr>
            <w:r>
              <w:rPr>
                <w:color w:val="000000"/>
                <w:sz w:val="18"/>
                <w:szCs w:val="18"/>
              </w:rPr>
              <w:t>KCP 10.2.2/1</w:t>
            </w:r>
          </w:p>
        </w:tc>
        <w:tc>
          <w:tcPr>
            <w:tcW w:w="0" w:type="auto"/>
          </w:tcPr>
          <w:p w14:paraId="65C5DAED" w14:textId="77777777" w:rsidR="0039212D" w:rsidRDefault="0039212D" w:rsidP="0039212D">
            <w:pPr>
              <w:rPr>
                <w:sz w:val="18"/>
                <w:szCs w:val="18"/>
              </w:rPr>
            </w:pPr>
            <w:r>
              <w:rPr>
                <w:color w:val="000000"/>
                <w:sz w:val="18"/>
                <w:szCs w:val="18"/>
              </w:rPr>
              <w:t>Schwader, A.</w:t>
            </w:r>
          </w:p>
        </w:tc>
        <w:tc>
          <w:tcPr>
            <w:tcW w:w="0" w:type="auto"/>
          </w:tcPr>
          <w:p w14:paraId="726C92A2" w14:textId="77777777" w:rsidR="0039212D" w:rsidRDefault="0039212D" w:rsidP="0039212D">
            <w:pPr>
              <w:jc w:val="center"/>
              <w:rPr>
                <w:sz w:val="18"/>
                <w:szCs w:val="18"/>
              </w:rPr>
            </w:pPr>
            <w:r>
              <w:rPr>
                <w:color w:val="000000"/>
                <w:sz w:val="18"/>
                <w:szCs w:val="18"/>
              </w:rPr>
              <w:t>2013</w:t>
            </w:r>
          </w:p>
        </w:tc>
        <w:tc>
          <w:tcPr>
            <w:tcW w:w="0" w:type="auto"/>
          </w:tcPr>
          <w:p w14:paraId="4A423734" w14:textId="77777777" w:rsidR="0039212D" w:rsidRDefault="0039212D" w:rsidP="0039212D">
            <w:pPr>
              <w:rPr>
                <w:color w:val="000000"/>
                <w:sz w:val="18"/>
                <w:szCs w:val="18"/>
              </w:rPr>
            </w:pPr>
            <w:r w:rsidRPr="00911350">
              <w:rPr>
                <w:color w:val="000000"/>
                <w:sz w:val="18"/>
                <w:szCs w:val="18"/>
              </w:rPr>
              <w:t>BAS 650 F - Life-cycle toxicity test with Mysids (Americamysis bahia) following draft OPPTS guideline 850.1350</w:t>
            </w:r>
          </w:p>
          <w:p w14:paraId="694CA486" w14:textId="77777777" w:rsidR="0039212D" w:rsidRDefault="0039212D" w:rsidP="0039212D">
            <w:pPr>
              <w:rPr>
                <w:color w:val="000000"/>
                <w:sz w:val="18"/>
                <w:szCs w:val="18"/>
              </w:rPr>
            </w:pPr>
            <w:r w:rsidRPr="00911350">
              <w:rPr>
                <w:color w:val="000000"/>
                <w:sz w:val="18"/>
                <w:szCs w:val="18"/>
              </w:rPr>
              <w:t>2013/7000443</w:t>
            </w:r>
          </w:p>
          <w:p w14:paraId="3C509254" w14:textId="77777777" w:rsidR="0039212D" w:rsidRDefault="0039212D" w:rsidP="0039212D">
            <w:pPr>
              <w:rPr>
                <w:color w:val="000000"/>
                <w:sz w:val="18"/>
                <w:szCs w:val="18"/>
              </w:rPr>
            </w:pPr>
            <w:r w:rsidRPr="00911350">
              <w:rPr>
                <w:color w:val="000000"/>
                <w:sz w:val="18"/>
                <w:szCs w:val="18"/>
              </w:rPr>
              <w:t>Smithers Viscient LLC, Wareham MA, United States of America</w:t>
            </w:r>
          </w:p>
          <w:p w14:paraId="7A0A7EB3" w14:textId="77777777" w:rsidR="0039212D" w:rsidRDefault="0039212D" w:rsidP="0039212D">
            <w:pPr>
              <w:rPr>
                <w:color w:val="000000"/>
                <w:sz w:val="18"/>
                <w:szCs w:val="18"/>
              </w:rPr>
            </w:pPr>
            <w:r>
              <w:rPr>
                <w:color w:val="000000"/>
                <w:sz w:val="18"/>
                <w:szCs w:val="18"/>
              </w:rPr>
              <w:t>yes</w:t>
            </w:r>
          </w:p>
          <w:p w14:paraId="7FAB7F3A" w14:textId="77777777" w:rsidR="0039212D" w:rsidRDefault="0039212D" w:rsidP="0039212D">
            <w:pPr>
              <w:rPr>
                <w:color w:val="000000"/>
                <w:sz w:val="18"/>
                <w:szCs w:val="18"/>
              </w:rPr>
            </w:pPr>
            <w:r>
              <w:rPr>
                <w:color w:val="000000"/>
                <w:sz w:val="18"/>
                <w:szCs w:val="18"/>
              </w:rPr>
              <w:t>Unpublished</w:t>
            </w:r>
          </w:p>
        </w:tc>
        <w:tc>
          <w:tcPr>
            <w:tcW w:w="0" w:type="auto"/>
          </w:tcPr>
          <w:p w14:paraId="713CCAFB" w14:textId="77777777" w:rsidR="0039212D" w:rsidRDefault="0039212D" w:rsidP="0039212D">
            <w:pPr>
              <w:jc w:val="center"/>
              <w:rPr>
                <w:sz w:val="18"/>
                <w:szCs w:val="18"/>
              </w:rPr>
            </w:pPr>
            <w:r>
              <w:rPr>
                <w:color w:val="000000"/>
                <w:sz w:val="18"/>
                <w:szCs w:val="18"/>
              </w:rPr>
              <w:t>No</w:t>
            </w:r>
          </w:p>
        </w:tc>
        <w:tc>
          <w:tcPr>
            <w:tcW w:w="0" w:type="auto"/>
          </w:tcPr>
          <w:p w14:paraId="4443E337" w14:textId="382B1314" w:rsidR="0039212D" w:rsidRDefault="0039212D" w:rsidP="0039212D">
            <w:pPr>
              <w:pStyle w:val="RepTable"/>
              <w:jc w:val="center"/>
              <w:rPr>
                <w:highlight w:val="yellow"/>
              </w:rPr>
            </w:pPr>
            <w:r>
              <w:rPr>
                <w:color w:val="000000"/>
                <w:sz w:val="18"/>
                <w:szCs w:val="18"/>
              </w:rPr>
              <w:t>XXXX</w:t>
            </w:r>
          </w:p>
        </w:tc>
      </w:tr>
      <w:tr w:rsidR="0039212D" w14:paraId="191FF03E" w14:textId="77777777" w:rsidTr="00B24D55">
        <w:tc>
          <w:tcPr>
            <w:tcW w:w="0" w:type="auto"/>
          </w:tcPr>
          <w:p w14:paraId="25388196" w14:textId="77777777" w:rsidR="0039212D" w:rsidRDefault="0039212D" w:rsidP="0039212D">
            <w:pPr>
              <w:rPr>
                <w:sz w:val="18"/>
                <w:szCs w:val="18"/>
              </w:rPr>
            </w:pPr>
            <w:r>
              <w:rPr>
                <w:color w:val="000000"/>
                <w:sz w:val="18"/>
                <w:szCs w:val="18"/>
              </w:rPr>
              <w:t>KCP 10.3.1.1.1/1</w:t>
            </w:r>
          </w:p>
        </w:tc>
        <w:tc>
          <w:tcPr>
            <w:tcW w:w="0" w:type="auto"/>
          </w:tcPr>
          <w:p w14:paraId="03D02E57" w14:textId="77777777" w:rsidR="0039212D" w:rsidRDefault="0039212D" w:rsidP="0039212D">
            <w:pPr>
              <w:rPr>
                <w:sz w:val="18"/>
                <w:szCs w:val="18"/>
              </w:rPr>
            </w:pPr>
            <w:r>
              <w:rPr>
                <w:color w:val="000000"/>
                <w:sz w:val="18"/>
                <w:szCs w:val="18"/>
              </w:rPr>
              <w:t>Poraczki K.</w:t>
            </w:r>
          </w:p>
        </w:tc>
        <w:tc>
          <w:tcPr>
            <w:tcW w:w="0" w:type="auto"/>
          </w:tcPr>
          <w:p w14:paraId="648E60B9" w14:textId="77777777" w:rsidR="0039212D" w:rsidRDefault="0039212D" w:rsidP="0039212D">
            <w:pPr>
              <w:jc w:val="center"/>
              <w:rPr>
                <w:sz w:val="18"/>
                <w:szCs w:val="18"/>
              </w:rPr>
            </w:pPr>
            <w:r>
              <w:rPr>
                <w:color w:val="000000"/>
                <w:sz w:val="18"/>
                <w:szCs w:val="18"/>
              </w:rPr>
              <w:t>2023</w:t>
            </w:r>
          </w:p>
        </w:tc>
        <w:tc>
          <w:tcPr>
            <w:tcW w:w="0" w:type="auto"/>
          </w:tcPr>
          <w:p w14:paraId="45217DFC" w14:textId="77777777" w:rsidR="0039212D" w:rsidRDefault="0039212D" w:rsidP="0039212D">
            <w:pPr>
              <w:rPr>
                <w:color w:val="000000"/>
                <w:sz w:val="18"/>
                <w:szCs w:val="18"/>
              </w:rPr>
            </w:pPr>
            <w:r w:rsidRPr="00911350">
              <w:rPr>
                <w:color w:val="000000"/>
                <w:sz w:val="18"/>
                <w:szCs w:val="18"/>
              </w:rPr>
              <w:t>Acute toxicity of BAS 743 02 F to the honeybee Apis mellifera L. under laboratory conditions</w:t>
            </w:r>
          </w:p>
          <w:p w14:paraId="30EB1227" w14:textId="77777777" w:rsidR="0039212D" w:rsidRPr="00911350" w:rsidRDefault="0039212D" w:rsidP="0039212D">
            <w:pPr>
              <w:rPr>
                <w:color w:val="000000"/>
                <w:sz w:val="18"/>
                <w:szCs w:val="18"/>
                <w:lang w:val="de-DE"/>
              </w:rPr>
            </w:pPr>
            <w:r w:rsidRPr="00EE4E6B">
              <w:rPr>
                <w:color w:val="000000"/>
                <w:sz w:val="18"/>
                <w:szCs w:val="18"/>
                <w:lang w:val="de-DE"/>
              </w:rPr>
              <w:t>2022/2033708</w:t>
            </w:r>
          </w:p>
          <w:p w14:paraId="45242155"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161F9871" w14:textId="77777777" w:rsidR="0039212D" w:rsidRDefault="0039212D" w:rsidP="0039212D">
            <w:pPr>
              <w:rPr>
                <w:color w:val="000000"/>
                <w:sz w:val="18"/>
                <w:szCs w:val="18"/>
              </w:rPr>
            </w:pPr>
            <w:r>
              <w:rPr>
                <w:color w:val="000000"/>
                <w:sz w:val="18"/>
                <w:szCs w:val="18"/>
              </w:rPr>
              <w:t>yes</w:t>
            </w:r>
          </w:p>
          <w:p w14:paraId="5527E35E" w14:textId="77777777" w:rsidR="0039212D" w:rsidRDefault="0039212D" w:rsidP="0039212D">
            <w:pPr>
              <w:rPr>
                <w:color w:val="000000"/>
                <w:sz w:val="18"/>
                <w:szCs w:val="18"/>
              </w:rPr>
            </w:pPr>
            <w:r>
              <w:rPr>
                <w:color w:val="000000"/>
                <w:sz w:val="18"/>
                <w:szCs w:val="18"/>
              </w:rPr>
              <w:t>Unpublished</w:t>
            </w:r>
          </w:p>
        </w:tc>
        <w:tc>
          <w:tcPr>
            <w:tcW w:w="0" w:type="auto"/>
          </w:tcPr>
          <w:p w14:paraId="764A6F74" w14:textId="77777777" w:rsidR="0039212D" w:rsidRDefault="0039212D" w:rsidP="0039212D">
            <w:pPr>
              <w:jc w:val="center"/>
              <w:rPr>
                <w:sz w:val="18"/>
                <w:szCs w:val="18"/>
              </w:rPr>
            </w:pPr>
            <w:r>
              <w:rPr>
                <w:color w:val="000000"/>
                <w:sz w:val="18"/>
                <w:szCs w:val="18"/>
              </w:rPr>
              <w:t>No</w:t>
            </w:r>
          </w:p>
        </w:tc>
        <w:tc>
          <w:tcPr>
            <w:tcW w:w="0" w:type="auto"/>
          </w:tcPr>
          <w:p w14:paraId="20A29AF8" w14:textId="5C7A4DA5" w:rsidR="0039212D" w:rsidRDefault="0039212D" w:rsidP="0039212D">
            <w:pPr>
              <w:pStyle w:val="RepTable"/>
              <w:jc w:val="center"/>
              <w:rPr>
                <w:highlight w:val="yellow"/>
              </w:rPr>
            </w:pPr>
            <w:r>
              <w:rPr>
                <w:color w:val="000000"/>
                <w:sz w:val="18"/>
                <w:szCs w:val="18"/>
              </w:rPr>
              <w:t>XXXX</w:t>
            </w:r>
          </w:p>
        </w:tc>
      </w:tr>
      <w:tr w:rsidR="0039212D" w14:paraId="41BEEDBB" w14:textId="77777777" w:rsidTr="00B24D55">
        <w:tc>
          <w:tcPr>
            <w:tcW w:w="0" w:type="auto"/>
          </w:tcPr>
          <w:p w14:paraId="79502D52" w14:textId="77777777" w:rsidR="0039212D" w:rsidRDefault="0039212D" w:rsidP="0039212D">
            <w:pPr>
              <w:rPr>
                <w:sz w:val="18"/>
                <w:szCs w:val="18"/>
              </w:rPr>
            </w:pPr>
            <w:r>
              <w:rPr>
                <w:color w:val="000000"/>
                <w:sz w:val="18"/>
                <w:szCs w:val="18"/>
              </w:rPr>
              <w:t>KCP 10.3.1.1.1/2</w:t>
            </w:r>
          </w:p>
        </w:tc>
        <w:tc>
          <w:tcPr>
            <w:tcW w:w="0" w:type="auto"/>
          </w:tcPr>
          <w:p w14:paraId="13E7A8D7" w14:textId="77777777" w:rsidR="0039212D" w:rsidRDefault="0039212D" w:rsidP="0039212D">
            <w:pPr>
              <w:rPr>
                <w:sz w:val="18"/>
                <w:szCs w:val="18"/>
              </w:rPr>
            </w:pPr>
            <w:r>
              <w:rPr>
                <w:color w:val="000000"/>
                <w:sz w:val="18"/>
                <w:szCs w:val="18"/>
              </w:rPr>
              <w:t>Poraczki K.</w:t>
            </w:r>
          </w:p>
        </w:tc>
        <w:tc>
          <w:tcPr>
            <w:tcW w:w="0" w:type="auto"/>
          </w:tcPr>
          <w:p w14:paraId="3944F1EF" w14:textId="77777777" w:rsidR="0039212D" w:rsidRDefault="0039212D" w:rsidP="0039212D">
            <w:pPr>
              <w:jc w:val="center"/>
              <w:rPr>
                <w:sz w:val="18"/>
                <w:szCs w:val="18"/>
              </w:rPr>
            </w:pPr>
            <w:r>
              <w:rPr>
                <w:color w:val="000000"/>
                <w:sz w:val="18"/>
                <w:szCs w:val="18"/>
              </w:rPr>
              <w:t>2023</w:t>
            </w:r>
          </w:p>
        </w:tc>
        <w:tc>
          <w:tcPr>
            <w:tcW w:w="0" w:type="auto"/>
          </w:tcPr>
          <w:p w14:paraId="25022FA6" w14:textId="77777777" w:rsidR="0039212D" w:rsidRDefault="0039212D" w:rsidP="0039212D">
            <w:pPr>
              <w:rPr>
                <w:color w:val="000000"/>
                <w:sz w:val="18"/>
                <w:szCs w:val="18"/>
              </w:rPr>
            </w:pPr>
            <w:r w:rsidRPr="00911350">
              <w:rPr>
                <w:color w:val="000000"/>
                <w:sz w:val="18"/>
                <w:szCs w:val="18"/>
              </w:rPr>
              <w:t>Acute toxicity of BAS 743 03 F to the honeybee Apis mellifera L. under laboratory conditions</w:t>
            </w:r>
          </w:p>
          <w:p w14:paraId="5FEAB444" w14:textId="77777777" w:rsidR="0039212D" w:rsidRPr="00911350" w:rsidRDefault="0039212D" w:rsidP="0039212D">
            <w:pPr>
              <w:rPr>
                <w:color w:val="000000"/>
                <w:sz w:val="18"/>
                <w:szCs w:val="18"/>
                <w:lang w:val="de-DE"/>
              </w:rPr>
            </w:pPr>
            <w:r w:rsidRPr="00EE4E6B">
              <w:rPr>
                <w:color w:val="000000"/>
                <w:sz w:val="18"/>
                <w:szCs w:val="18"/>
                <w:lang w:val="de-DE"/>
              </w:rPr>
              <w:t>2022/2033729</w:t>
            </w:r>
          </w:p>
          <w:p w14:paraId="4A12810D"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42ED9C39" w14:textId="77777777" w:rsidR="0039212D" w:rsidRDefault="0039212D" w:rsidP="0039212D">
            <w:pPr>
              <w:rPr>
                <w:color w:val="000000"/>
                <w:sz w:val="18"/>
                <w:szCs w:val="18"/>
              </w:rPr>
            </w:pPr>
            <w:r>
              <w:rPr>
                <w:color w:val="000000"/>
                <w:sz w:val="18"/>
                <w:szCs w:val="18"/>
              </w:rPr>
              <w:t>yes</w:t>
            </w:r>
          </w:p>
          <w:p w14:paraId="308F2201" w14:textId="77777777" w:rsidR="0039212D" w:rsidRDefault="0039212D" w:rsidP="0039212D">
            <w:pPr>
              <w:rPr>
                <w:color w:val="000000"/>
                <w:sz w:val="18"/>
                <w:szCs w:val="18"/>
              </w:rPr>
            </w:pPr>
            <w:r>
              <w:rPr>
                <w:color w:val="000000"/>
                <w:sz w:val="18"/>
                <w:szCs w:val="18"/>
              </w:rPr>
              <w:t>Unpublished</w:t>
            </w:r>
          </w:p>
        </w:tc>
        <w:tc>
          <w:tcPr>
            <w:tcW w:w="0" w:type="auto"/>
          </w:tcPr>
          <w:p w14:paraId="7E185E65" w14:textId="77777777" w:rsidR="0039212D" w:rsidRDefault="0039212D" w:rsidP="0039212D">
            <w:pPr>
              <w:jc w:val="center"/>
              <w:rPr>
                <w:sz w:val="18"/>
                <w:szCs w:val="18"/>
              </w:rPr>
            </w:pPr>
            <w:r>
              <w:rPr>
                <w:color w:val="000000"/>
                <w:sz w:val="18"/>
                <w:szCs w:val="18"/>
              </w:rPr>
              <w:t>No</w:t>
            </w:r>
          </w:p>
        </w:tc>
        <w:tc>
          <w:tcPr>
            <w:tcW w:w="0" w:type="auto"/>
          </w:tcPr>
          <w:p w14:paraId="07EA4753" w14:textId="67E6EAC8" w:rsidR="0039212D" w:rsidRDefault="0039212D" w:rsidP="0039212D">
            <w:pPr>
              <w:pStyle w:val="RepTable"/>
              <w:jc w:val="center"/>
              <w:rPr>
                <w:highlight w:val="yellow"/>
              </w:rPr>
            </w:pPr>
            <w:r>
              <w:rPr>
                <w:color w:val="000000"/>
                <w:sz w:val="18"/>
                <w:szCs w:val="18"/>
              </w:rPr>
              <w:t>XXXX</w:t>
            </w:r>
          </w:p>
        </w:tc>
      </w:tr>
      <w:tr w:rsidR="0039212D" w14:paraId="746E63CF" w14:textId="77777777" w:rsidTr="00B24D55">
        <w:tc>
          <w:tcPr>
            <w:tcW w:w="0" w:type="auto"/>
          </w:tcPr>
          <w:p w14:paraId="54B2E9B6" w14:textId="77777777" w:rsidR="0039212D" w:rsidRDefault="0039212D" w:rsidP="0039212D">
            <w:pPr>
              <w:rPr>
                <w:sz w:val="18"/>
                <w:szCs w:val="18"/>
              </w:rPr>
            </w:pPr>
            <w:r>
              <w:rPr>
                <w:color w:val="000000"/>
                <w:sz w:val="18"/>
                <w:szCs w:val="18"/>
              </w:rPr>
              <w:t>KCP 10.3.1.1.1/3</w:t>
            </w:r>
          </w:p>
        </w:tc>
        <w:tc>
          <w:tcPr>
            <w:tcW w:w="0" w:type="auto"/>
          </w:tcPr>
          <w:p w14:paraId="6EBCCF98" w14:textId="77777777" w:rsidR="0039212D" w:rsidRDefault="0039212D" w:rsidP="0039212D">
            <w:pPr>
              <w:rPr>
                <w:sz w:val="18"/>
                <w:szCs w:val="18"/>
              </w:rPr>
            </w:pPr>
            <w:r>
              <w:rPr>
                <w:color w:val="000000"/>
                <w:sz w:val="18"/>
                <w:szCs w:val="18"/>
              </w:rPr>
              <w:t>Amsel, K.</w:t>
            </w:r>
          </w:p>
        </w:tc>
        <w:tc>
          <w:tcPr>
            <w:tcW w:w="0" w:type="auto"/>
          </w:tcPr>
          <w:p w14:paraId="5C74EA4F" w14:textId="77777777" w:rsidR="0039212D" w:rsidRDefault="0039212D" w:rsidP="0039212D">
            <w:pPr>
              <w:jc w:val="center"/>
              <w:rPr>
                <w:sz w:val="18"/>
                <w:szCs w:val="18"/>
              </w:rPr>
            </w:pPr>
            <w:r>
              <w:rPr>
                <w:color w:val="000000"/>
                <w:sz w:val="18"/>
                <w:szCs w:val="18"/>
              </w:rPr>
              <w:t>2023</w:t>
            </w:r>
          </w:p>
        </w:tc>
        <w:tc>
          <w:tcPr>
            <w:tcW w:w="0" w:type="auto"/>
          </w:tcPr>
          <w:p w14:paraId="0C4DCEB7" w14:textId="77777777" w:rsidR="0039212D" w:rsidRDefault="0039212D" w:rsidP="0039212D">
            <w:pPr>
              <w:rPr>
                <w:color w:val="000000"/>
                <w:sz w:val="18"/>
                <w:szCs w:val="18"/>
              </w:rPr>
            </w:pPr>
            <w:r w:rsidRPr="00911350">
              <w:rPr>
                <w:color w:val="000000"/>
                <w:sz w:val="18"/>
                <w:szCs w:val="18"/>
              </w:rPr>
              <w:t>Acute toxicity of BAS 743 02 F to the bumblebee Bombus terrestris L. under laboratory conditions</w:t>
            </w:r>
          </w:p>
          <w:p w14:paraId="1FFFF92E" w14:textId="77777777" w:rsidR="0039212D" w:rsidRPr="00911350" w:rsidRDefault="0039212D" w:rsidP="0039212D">
            <w:pPr>
              <w:rPr>
                <w:color w:val="000000"/>
                <w:sz w:val="18"/>
                <w:szCs w:val="18"/>
                <w:lang w:val="de-DE"/>
              </w:rPr>
            </w:pPr>
            <w:r w:rsidRPr="00EE4E6B">
              <w:rPr>
                <w:color w:val="000000"/>
                <w:sz w:val="18"/>
                <w:szCs w:val="18"/>
                <w:lang w:val="de-DE"/>
              </w:rPr>
              <w:t>2022/2033711</w:t>
            </w:r>
          </w:p>
          <w:p w14:paraId="3A07241E"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3F015489" w14:textId="77777777" w:rsidR="0039212D" w:rsidRDefault="0039212D" w:rsidP="0039212D">
            <w:pPr>
              <w:rPr>
                <w:color w:val="000000"/>
                <w:sz w:val="18"/>
                <w:szCs w:val="18"/>
              </w:rPr>
            </w:pPr>
            <w:r>
              <w:rPr>
                <w:color w:val="000000"/>
                <w:sz w:val="18"/>
                <w:szCs w:val="18"/>
              </w:rPr>
              <w:t>yes</w:t>
            </w:r>
          </w:p>
          <w:p w14:paraId="3114EA1B" w14:textId="77777777" w:rsidR="0039212D" w:rsidRDefault="0039212D" w:rsidP="0039212D">
            <w:pPr>
              <w:rPr>
                <w:color w:val="000000"/>
                <w:sz w:val="18"/>
                <w:szCs w:val="18"/>
              </w:rPr>
            </w:pPr>
            <w:r>
              <w:rPr>
                <w:color w:val="000000"/>
                <w:sz w:val="18"/>
                <w:szCs w:val="18"/>
              </w:rPr>
              <w:t>Unpublished</w:t>
            </w:r>
          </w:p>
        </w:tc>
        <w:tc>
          <w:tcPr>
            <w:tcW w:w="0" w:type="auto"/>
          </w:tcPr>
          <w:p w14:paraId="0A65DB96" w14:textId="77777777" w:rsidR="0039212D" w:rsidRDefault="0039212D" w:rsidP="0039212D">
            <w:pPr>
              <w:jc w:val="center"/>
              <w:rPr>
                <w:sz w:val="18"/>
                <w:szCs w:val="18"/>
              </w:rPr>
            </w:pPr>
            <w:r>
              <w:rPr>
                <w:color w:val="000000"/>
                <w:sz w:val="18"/>
                <w:szCs w:val="18"/>
              </w:rPr>
              <w:t>No</w:t>
            </w:r>
          </w:p>
        </w:tc>
        <w:tc>
          <w:tcPr>
            <w:tcW w:w="0" w:type="auto"/>
          </w:tcPr>
          <w:p w14:paraId="00A5D1CD" w14:textId="7A87F6B1" w:rsidR="0039212D" w:rsidRDefault="0039212D" w:rsidP="0039212D">
            <w:pPr>
              <w:pStyle w:val="RepTable"/>
              <w:jc w:val="center"/>
              <w:rPr>
                <w:highlight w:val="yellow"/>
              </w:rPr>
            </w:pPr>
            <w:r>
              <w:rPr>
                <w:color w:val="000000"/>
                <w:sz w:val="18"/>
                <w:szCs w:val="18"/>
              </w:rPr>
              <w:t>XXXX</w:t>
            </w:r>
          </w:p>
        </w:tc>
      </w:tr>
      <w:tr w:rsidR="0039212D" w14:paraId="29CF2A0E" w14:textId="77777777" w:rsidTr="00B24D55">
        <w:tc>
          <w:tcPr>
            <w:tcW w:w="0" w:type="auto"/>
          </w:tcPr>
          <w:p w14:paraId="49F80133" w14:textId="77777777" w:rsidR="0039212D" w:rsidRDefault="0039212D" w:rsidP="0039212D">
            <w:pPr>
              <w:rPr>
                <w:sz w:val="18"/>
                <w:szCs w:val="18"/>
              </w:rPr>
            </w:pPr>
            <w:r>
              <w:rPr>
                <w:color w:val="000000"/>
                <w:sz w:val="18"/>
                <w:szCs w:val="18"/>
              </w:rPr>
              <w:t>KCP 10.3.1.1.1/4</w:t>
            </w:r>
          </w:p>
        </w:tc>
        <w:tc>
          <w:tcPr>
            <w:tcW w:w="0" w:type="auto"/>
          </w:tcPr>
          <w:p w14:paraId="4A52D06D" w14:textId="77777777" w:rsidR="0039212D" w:rsidRDefault="0039212D" w:rsidP="0039212D">
            <w:pPr>
              <w:rPr>
                <w:sz w:val="18"/>
                <w:szCs w:val="18"/>
              </w:rPr>
            </w:pPr>
            <w:r>
              <w:rPr>
                <w:color w:val="000000"/>
                <w:sz w:val="18"/>
                <w:szCs w:val="18"/>
              </w:rPr>
              <w:t>Poraczki K.</w:t>
            </w:r>
          </w:p>
        </w:tc>
        <w:tc>
          <w:tcPr>
            <w:tcW w:w="0" w:type="auto"/>
          </w:tcPr>
          <w:p w14:paraId="6612C9B3" w14:textId="77777777" w:rsidR="0039212D" w:rsidRDefault="0039212D" w:rsidP="0039212D">
            <w:pPr>
              <w:jc w:val="center"/>
              <w:rPr>
                <w:sz w:val="18"/>
                <w:szCs w:val="18"/>
              </w:rPr>
            </w:pPr>
            <w:r>
              <w:rPr>
                <w:color w:val="000000"/>
                <w:sz w:val="18"/>
                <w:szCs w:val="18"/>
              </w:rPr>
              <w:t>2023</w:t>
            </w:r>
          </w:p>
        </w:tc>
        <w:tc>
          <w:tcPr>
            <w:tcW w:w="0" w:type="auto"/>
          </w:tcPr>
          <w:p w14:paraId="79D0CBA3" w14:textId="77777777" w:rsidR="0039212D" w:rsidRDefault="0039212D" w:rsidP="0039212D">
            <w:pPr>
              <w:rPr>
                <w:color w:val="000000"/>
                <w:sz w:val="18"/>
                <w:szCs w:val="18"/>
              </w:rPr>
            </w:pPr>
            <w:r w:rsidRPr="00911350">
              <w:rPr>
                <w:color w:val="000000"/>
                <w:sz w:val="18"/>
                <w:szCs w:val="18"/>
              </w:rPr>
              <w:t>Amendment No 1 to the report: Acute toxicity of BAS 743 03 F to the honeybee Apis mellifera L. under laboratory conditions</w:t>
            </w:r>
          </w:p>
          <w:p w14:paraId="5A2136D5" w14:textId="77777777" w:rsidR="0039212D" w:rsidRPr="00911350" w:rsidRDefault="0039212D" w:rsidP="0039212D">
            <w:pPr>
              <w:rPr>
                <w:color w:val="000000"/>
                <w:sz w:val="18"/>
                <w:szCs w:val="18"/>
                <w:lang w:val="de-DE"/>
              </w:rPr>
            </w:pPr>
            <w:r w:rsidRPr="00EE4E6B">
              <w:rPr>
                <w:color w:val="000000"/>
                <w:sz w:val="18"/>
                <w:szCs w:val="18"/>
                <w:lang w:val="de-DE"/>
              </w:rPr>
              <w:t>2023/2032255</w:t>
            </w:r>
          </w:p>
          <w:p w14:paraId="474164B7"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32C1AA6E" w14:textId="77777777" w:rsidR="0039212D" w:rsidRDefault="0039212D" w:rsidP="0039212D">
            <w:pPr>
              <w:rPr>
                <w:color w:val="000000"/>
                <w:sz w:val="18"/>
                <w:szCs w:val="18"/>
              </w:rPr>
            </w:pPr>
            <w:r>
              <w:rPr>
                <w:color w:val="000000"/>
                <w:sz w:val="18"/>
                <w:szCs w:val="18"/>
              </w:rPr>
              <w:t>yes</w:t>
            </w:r>
          </w:p>
          <w:p w14:paraId="4AB411A8" w14:textId="77777777" w:rsidR="0039212D" w:rsidRDefault="0039212D" w:rsidP="0039212D">
            <w:pPr>
              <w:rPr>
                <w:color w:val="000000"/>
                <w:sz w:val="18"/>
                <w:szCs w:val="18"/>
              </w:rPr>
            </w:pPr>
            <w:r>
              <w:rPr>
                <w:color w:val="000000"/>
                <w:sz w:val="18"/>
                <w:szCs w:val="18"/>
              </w:rPr>
              <w:lastRenderedPageBreak/>
              <w:t>Unpublished</w:t>
            </w:r>
          </w:p>
        </w:tc>
        <w:tc>
          <w:tcPr>
            <w:tcW w:w="0" w:type="auto"/>
          </w:tcPr>
          <w:p w14:paraId="79162FBF" w14:textId="77777777" w:rsidR="0039212D" w:rsidRDefault="0039212D" w:rsidP="0039212D">
            <w:pPr>
              <w:jc w:val="center"/>
              <w:rPr>
                <w:sz w:val="18"/>
                <w:szCs w:val="18"/>
              </w:rPr>
            </w:pPr>
            <w:r>
              <w:rPr>
                <w:color w:val="000000"/>
                <w:sz w:val="18"/>
                <w:szCs w:val="18"/>
              </w:rPr>
              <w:lastRenderedPageBreak/>
              <w:t>No</w:t>
            </w:r>
          </w:p>
        </w:tc>
        <w:tc>
          <w:tcPr>
            <w:tcW w:w="0" w:type="auto"/>
          </w:tcPr>
          <w:p w14:paraId="6332AACB" w14:textId="7633D53B" w:rsidR="0039212D" w:rsidRDefault="0039212D" w:rsidP="0039212D">
            <w:pPr>
              <w:pStyle w:val="RepTable"/>
              <w:jc w:val="center"/>
              <w:rPr>
                <w:highlight w:val="yellow"/>
              </w:rPr>
            </w:pPr>
            <w:r>
              <w:rPr>
                <w:color w:val="000000"/>
                <w:sz w:val="18"/>
                <w:szCs w:val="18"/>
              </w:rPr>
              <w:t>XXXX</w:t>
            </w:r>
          </w:p>
        </w:tc>
      </w:tr>
      <w:tr w:rsidR="0039212D" w14:paraId="668E8336" w14:textId="77777777" w:rsidTr="00802A8C">
        <w:tc>
          <w:tcPr>
            <w:tcW w:w="0" w:type="auto"/>
            <w:shd w:val="clear" w:color="auto" w:fill="BDD6EE" w:themeFill="accent5" w:themeFillTint="66"/>
          </w:tcPr>
          <w:p w14:paraId="0B8D1BAD"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KCP 10.3.1.2/1</w:t>
            </w:r>
          </w:p>
        </w:tc>
        <w:tc>
          <w:tcPr>
            <w:tcW w:w="0" w:type="auto"/>
            <w:shd w:val="clear" w:color="auto" w:fill="BDD6EE" w:themeFill="accent5" w:themeFillTint="66"/>
          </w:tcPr>
          <w:p w14:paraId="3F6B855A"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Ruhland, S.</w:t>
            </w:r>
          </w:p>
        </w:tc>
        <w:tc>
          <w:tcPr>
            <w:tcW w:w="0" w:type="auto"/>
            <w:shd w:val="clear" w:color="auto" w:fill="BDD6EE" w:themeFill="accent5" w:themeFillTint="66"/>
          </w:tcPr>
          <w:p w14:paraId="1AE7AECE" w14:textId="77777777" w:rsidR="0039212D" w:rsidRPr="00D60029" w:rsidRDefault="0039212D" w:rsidP="0039212D">
            <w:pPr>
              <w:jc w:val="center"/>
              <w:rPr>
                <w:strike/>
                <w:color w:val="D9D9D9" w:themeColor="background1" w:themeShade="D9"/>
                <w:sz w:val="18"/>
                <w:szCs w:val="18"/>
              </w:rPr>
            </w:pPr>
            <w:r w:rsidRPr="00D60029">
              <w:rPr>
                <w:strike/>
                <w:color w:val="D9D9D9" w:themeColor="background1" w:themeShade="D9"/>
                <w:sz w:val="18"/>
                <w:szCs w:val="18"/>
              </w:rPr>
              <w:t>2015</w:t>
            </w:r>
          </w:p>
        </w:tc>
        <w:tc>
          <w:tcPr>
            <w:tcW w:w="0" w:type="auto"/>
            <w:shd w:val="clear" w:color="auto" w:fill="BDD6EE" w:themeFill="accent5" w:themeFillTint="66"/>
          </w:tcPr>
          <w:p w14:paraId="4529D7E6"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Chronic toxicity of BAS 650 00 F to the honeybee (Apis mellifera L.) under laboratory conditions</w:t>
            </w:r>
          </w:p>
          <w:p w14:paraId="714C5BD5" w14:textId="77777777" w:rsidR="0039212D" w:rsidRPr="00D60029" w:rsidRDefault="0039212D" w:rsidP="0039212D">
            <w:pPr>
              <w:rPr>
                <w:strike/>
                <w:color w:val="D9D9D9" w:themeColor="background1" w:themeShade="D9"/>
                <w:sz w:val="18"/>
                <w:szCs w:val="18"/>
                <w:lang w:val="de-DE"/>
              </w:rPr>
            </w:pPr>
            <w:r w:rsidRPr="00D60029">
              <w:rPr>
                <w:strike/>
                <w:color w:val="D9D9D9" w:themeColor="background1" w:themeShade="D9"/>
                <w:sz w:val="18"/>
                <w:szCs w:val="18"/>
                <w:lang w:val="de-DE"/>
              </w:rPr>
              <w:t>2014/1111114</w:t>
            </w:r>
          </w:p>
          <w:p w14:paraId="196BECF2" w14:textId="77777777" w:rsidR="0039212D" w:rsidRPr="00D60029" w:rsidRDefault="0039212D" w:rsidP="0039212D">
            <w:pPr>
              <w:rPr>
                <w:strike/>
                <w:color w:val="D9D9D9" w:themeColor="background1" w:themeShade="D9"/>
                <w:sz w:val="18"/>
                <w:szCs w:val="18"/>
                <w:lang w:val="de-DE"/>
              </w:rPr>
            </w:pPr>
            <w:r w:rsidRPr="00D60029">
              <w:rPr>
                <w:strike/>
                <w:color w:val="D9D9D9" w:themeColor="background1" w:themeShade="D9"/>
                <w:sz w:val="18"/>
                <w:szCs w:val="18"/>
                <w:lang w:val="de-DE"/>
              </w:rPr>
              <w:t>BioChem agrar Labor fuer biologische und chemische Analytik GmbH, Gerichshain, Germany Fed.Rep.</w:t>
            </w:r>
          </w:p>
          <w:p w14:paraId="5C6DCF69"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yes</w:t>
            </w:r>
          </w:p>
          <w:p w14:paraId="7BBAE4A1"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Unpublished</w:t>
            </w:r>
          </w:p>
        </w:tc>
        <w:tc>
          <w:tcPr>
            <w:tcW w:w="0" w:type="auto"/>
            <w:shd w:val="clear" w:color="auto" w:fill="BDD6EE" w:themeFill="accent5" w:themeFillTint="66"/>
          </w:tcPr>
          <w:p w14:paraId="4BE1ED7F" w14:textId="77777777" w:rsidR="0039212D" w:rsidRPr="00D60029" w:rsidRDefault="0039212D" w:rsidP="0039212D">
            <w:pPr>
              <w:jc w:val="center"/>
              <w:rPr>
                <w:strike/>
                <w:color w:val="D9D9D9" w:themeColor="background1" w:themeShade="D9"/>
                <w:sz w:val="18"/>
                <w:szCs w:val="18"/>
              </w:rPr>
            </w:pPr>
            <w:r w:rsidRPr="00D60029">
              <w:rPr>
                <w:strike/>
                <w:color w:val="D9D9D9" w:themeColor="background1" w:themeShade="D9"/>
                <w:sz w:val="18"/>
                <w:szCs w:val="18"/>
              </w:rPr>
              <w:t>No</w:t>
            </w:r>
          </w:p>
        </w:tc>
        <w:tc>
          <w:tcPr>
            <w:tcW w:w="0" w:type="auto"/>
            <w:shd w:val="clear" w:color="auto" w:fill="BDD6EE" w:themeFill="accent5" w:themeFillTint="66"/>
          </w:tcPr>
          <w:p w14:paraId="35610877" w14:textId="2B8D5296" w:rsidR="0039212D" w:rsidRPr="00D60029" w:rsidRDefault="0039212D" w:rsidP="0039212D">
            <w:pPr>
              <w:pStyle w:val="RepTable"/>
              <w:jc w:val="center"/>
              <w:rPr>
                <w:strike/>
                <w:color w:val="D9D9D9" w:themeColor="background1" w:themeShade="D9"/>
                <w:highlight w:val="yellow"/>
              </w:rPr>
            </w:pPr>
            <w:r>
              <w:rPr>
                <w:color w:val="000000"/>
                <w:sz w:val="18"/>
                <w:szCs w:val="18"/>
              </w:rPr>
              <w:t>XXXX</w:t>
            </w:r>
          </w:p>
        </w:tc>
      </w:tr>
      <w:tr w:rsidR="0039212D" w14:paraId="49B11EAC" w14:textId="77777777" w:rsidTr="00B24D55">
        <w:tc>
          <w:tcPr>
            <w:tcW w:w="0" w:type="auto"/>
          </w:tcPr>
          <w:p w14:paraId="044CA17C" w14:textId="77777777" w:rsidR="0039212D" w:rsidRDefault="0039212D" w:rsidP="0039212D">
            <w:pPr>
              <w:rPr>
                <w:sz w:val="18"/>
                <w:szCs w:val="18"/>
              </w:rPr>
            </w:pPr>
            <w:r>
              <w:rPr>
                <w:color w:val="000000"/>
                <w:sz w:val="18"/>
                <w:szCs w:val="18"/>
              </w:rPr>
              <w:t>KCP 10.3.1.2/2</w:t>
            </w:r>
          </w:p>
        </w:tc>
        <w:tc>
          <w:tcPr>
            <w:tcW w:w="0" w:type="auto"/>
          </w:tcPr>
          <w:p w14:paraId="0ADBD6FC" w14:textId="77777777" w:rsidR="0039212D" w:rsidRDefault="0039212D" w:rsidP="0039212D">
            <w:pPr>
              <w:rPr>
                <w:sz w:val="18"/>
                <w:szCs w:val="18"/>
              </w:rPr>
            </w:pPr>
            <w:r>
              <w:rPr>
                <w:color w:val="000000"/>
                <w:sz w:val="18"/>
                <w:szCs w:val="18"/>
              </w:rPr>
              <w:t>Ruhland, S.</w:t>
            </w:r>
          </w:p>
        </w:tc>
        <w:tc>
          <w:tcPr>
            <w:tcW w:w="0" w:type="auto"/>
          </w:tcPr>
          <w:p w14:paraId="2ED33938" w14:textId="77777777" w:rsidR="0039212D" w:rsidRDefault="0039212D" w:rsidP="0039212D">
            <w:pPr>
              <w:jc w:val="center"/>
              <w:rPr>
                <w:sz w:val="18"/>
                <w:szCs w:val="18"/>
              </w:rPr>
            </w:pPr>
          </w:p>
        </w:tc>
        <w:tc>
          <w:tcPr>
            <w:tcW w:w="0" w:type="auto"/>
          </w:tcPr>
          <w:p w14:paraId="7846F19B" w14:textId="77777777" w:rsidR="0039212D" w:rsidRDefault="0039212D" w:rsidP="0039212D">
            <w:pPr>
              <w:rPr>
                <w:color w:val="000000"/>
                <w:sz w:val="18"/>
                <w:szCs w:val="18"/>
              </w:rPr>
            </w:pPr>
            <w:r w:rsidRPr="00911350">
              <w:rPr>
                <w:color w:val="000000"/>
                <w:sz w:val="18"/>
                <w:szCs w:val="18"/>
              </w:rPr>
              <w:t>Chronic toxicity of BAS 743 02 F to the honey bee Apis mellifera L. under laboratory conditions</w:t>
            </w:r>
          </w:p>
          <w:p w14:paraId="54AFC676" w14:textId="77777777" w:rsidR="0039212D" w:rsidRPr="00911350" w:rsidRDefault="0039212D" w:rsidP="0039212D">
            <w:pPr>
              <w:rPr>
                <w:color w:val="000000"/>
                <w:sz w:val="18"/>
                <w:szCs w:val="18"/>
                <w:lang w:val="de-DE"/>
              </w:rPr>
            </w:pPr>
            <w:r w:rsidRPr="00EE4E6B">
              <w:rPr>
                <w:color w:val="000000"/>
                <w:sz w:val="18"/>
                <w:szCs w:val="18"/>
                <w:lang w:val="de-DE"/>
              </w:rPr>
              <w:t>2022/2033709</w:t>
            </w:r>
          </w:p>
          <w:p w14:paraId="765D8025"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7C09FF21" w14:textId="77777777" w:rsidR="0039212D" w:rsidRDefault="0039212D" w:rsidP="0039212D">
            <w:pPr>
              <w:rPr>
                <w:color w:val="000000"/>
                <w:sz w:val="18"/>
                <w:szCs w:val="18"/>
              </w:rPr>
            </w:pPr>
            <w:r>
              <w:rPr>
                <w:color w:val="000000"/>
                <w:sz w:val="18"/>
                <w:szCs w:val="18"/>
              </w:rPr>
              <w:t>yes</w:t>
            </w:r>
          </w:p>
          <w:p w14:paraId="268D8036" w14:textId="77777777" w:rsidR="0039212D" w:rsidRDefault="0039212D" w:rsidP="0039212D">
            <w:pPr>
              <w:rPr>
                <w:color w:val="000000"/>
                <w:sz w:val="18"/>
                <w:szCs w:val="18"/>
              </w:rPr>
            </w:pPr>
            <w:r>
              <w:rPr>
                <w:color w:val="000000"/>
                <w:sz w:val="18"/>
                <w:szCs w:val="18"/>
              </w:rPr>
              <w:t>Unpublished</w:t>
            </w:r>
          </w:p>
        </w:tc>
        <w:tc>
          <w:tcPr>
            <w:tcW w:w="0" w:type="auto"/>
          </w:tcPr>
          <w:p w14:paraId="1D7C6EC3" w14:textId="77777777" w:rsidR="0039212D" w:rsidRDefault="0039212D" w:rsidP="0039212D">
            <w:pPr>
              <w:jc w:val="center"/>
              <w:rPr>
                <w:sz w:val="18"/>
                <w:szCs w:val="18"/>
              </w:rPr>
            </w:pPr>
            <w:r>
              <w:rPr>
                <w:color w:val="000000"/>
                <w:sz w:val="18"/>
                <w:szCs w:val="18"/>
              </w:rPr>
              <w:t>No</w:t>
            </w:r>
          </w:p>
        </w:tc>
        <w:tc>
          <w:tcPr>
            <w:tcW w:w="0" w:type="auto"/>
          </w:tcPr>
          <w:p w14:paraId="49B1EBD5" w14:textId="667CC760" w:rsidR="0039212D" w:rsidRDefault="0039212D" w:rsidP="0039212D">
            <w:pPr>
              <w:pStyle w:val="RepTable"/>
              <w:jc w:val="center"/>
              <w:rPr>
                <w:highlight w:val="yellow"/>
              </w:rPr>
            </w:pPr>
            <w:r>
              <w:rPr>
                <w:color w:val="000000"/>
                <w:sz w:val="18"/>
                <w:szCs w:val="18"/>
              </w:rPr>
              <w:t>XXXX</w:t>
            </w:r>
          </w:p>
        </w:tc>
      </w:tr>
      <w:tr w:rsidR="0039212D" w14:paraId="4EAC1FDB" w14:textId="77777777" w:rsidTr="00802A8C">
        <w:tc>
          <w:tcPr>
            <w:tcW w:w="0" w:type="auto"/>
            <w:shd w:val="clear" w:color="auto" w:fill="BDD6EE" w:themeFill="accent5" w:themeFillTint="66"/>
          </w:tcPr>
          <w:p w14:paraId="2AF29396"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KCP 10.3.1.3/1</w:t>
            </w:r>
          </w:p>
        </w:tc>
        <w:tc>
          <w:tcPr>
            <w:tcW w:w="0" w:type="auto"/>
            <w:shd w:val="clear" w:color="auto" w:fill="BDD6EE" w:themeFill="accent5" w:themeFillTint="66"/>
          </w:tcPr>
          <w:p w14:paraId="3714B8EF"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Kleebaum, K.</w:t>
            </w:r>
          </w:p>
        </w:tc>
        <w:tc>
          <w:tcPr>
            <w:tcW w:w="0" w:type="auto"/>
            <w:shd w:val="clear" w:color="auto" w:fill="BDD6EE" w:themeFill="accent5" w:themeFillTint="66"/>
          </w:tcPr>
          <w:p w14:paraId="310781B1" w14:textId="77777777" w:rsidR="0039212D" w:rsidRPr="00D60029" w:rsidRDefault="0039212D" w:rsidP="0039212D">
            <w:pPr>
              <w:jc w:val="center"/>
              <w:rPr>
                <w:strike/>
                <w:color w:val="D9D9D9" w:themeColor="background1" w:themeShade="D9"/>
                <w:sz w:val="18"/>
                <w:szCs w:val="18"/>
              </w:rPr>
            </w:pPr>
            <w:r w:rsidRPr="00D60029">
              <w:rPr>
                <w:strike/>
                <w:color w:val="D9D9D9" w:themeColor="background1" w:themeShade="D9"/>
                <w:sz w:val="18"/>
                <w:szCs w:val="18"/>
              </w:rPr>
              <w:t>2016</w:t>
            </w:r>
          </w:p>
        </w:tc>
        <w:tc>
          <w:tcPr>
            <w:tcW w:w="0" w:type="auto"/>
            <w:shd w:val="clear" w:color="auto" w:fill="BDD6EE" w:themeFill="accent5" w:themeFillTint="66"/>
          </w:tcPr>
          <w:p w14:paraId="0807271D"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Repeated exposure of BAS 650 00 F to honey bee (Apis mellifera) larvae under laboratory conditions (in vitro)</w:t>
            </w:r>
          </w:p>
          <w:p w14:paraId="157445C6" w14:textId="77777777" w:rsidR="0039212D" w:rsidRPr="00D60029" w:rsidRDefault="0039212D" w:rsidP="0039212D">
            <w:pPr>
              <w:rPr>
                <w:strike/>
                <w:color w:val="D9D9D9" w:themeColor="background1" w:themeShade="D9"/>
                <w:sz w:val="18"/>
                <w:szCs w:val="18"/>
                <w:lang w:val="de-DE"/>
              </w:rPr>
            </w:pPr>
            <w:r w:rsidRPr="00D60029">
              <w:rPr>
                <w:strike/>
                <w:color w:val="D9D9D9" w:themeColor="background1" w:themeShade="D9"/>
                <w:sz w:val="18"/>
                <w:szCs w:val="18"/>
                <w:lang w:val="de-DE"/>
              </w:rPr>
              <w:t>2014/1111115</w:t>
            </w:r>
          </w:p>
          <w:p w14:paraId="28A58649" w14:textId="77777777" w:rsidR="0039212D" w:rsidRPr="00D60029" w:rsidRDefault="0039212D" w:rsidP="0039212D">
            <w:pPr>
              <w:rPr>
                <w:strike/>
                <w:color w:val="D9D9D9" w:themeColor="background1" w:themeShade="D9"/>
                <w:sz w:val="18"/>
                <w:szCs w:val="18"/>
                <w:lang w:val="de-DE"/>
              </w:rPr>
            </w:pPr>
            <w:r w:rsidRPr="00D60029">
              <w:rPr>
                <w:strike/>
                <w:color w:val="D9D9D9" w:themeColor="background1" w:themeShade="D9"/>
                <w:sz w:val="18"/>
                <w:szCs w:val="18"/>
                <w:lang w:val="de-DE"/>
              </w:rPr>
              <w:t>BioChem agrar Labor fuer biologische und chemische Analytik GmbH, Gerichshain, Germany Fed.Rep.</w:t>
            </w:r>
          </w:p>
          <w:p w14:paraId="711D71B0"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yes</w:t>
            </w:r>
          </w:p>
          <w:p w14:paraId="119F5E9B" w14:textId="77777777" w:rsidR="0039212D" w:rsidRPr="00D60029" w:rsidRDefault="0039212D" w:rsidP="0039212D">
            <w:pPr>
              <w:rPr>
                <w:strike/>
                <w:color w:val="D9D9D9" w:themeColor="background1" w:themeShade="D9"/>
                <w:sz w:val="18"/>
                <w:szCs w:val="18"/>
              </w:rPr>
            </w:pPr>
            <w:r w:rsidRPr="00D60029">
              <w:rPr>
                <w:strike/>
                <w:color w:val="D9D9D9" w:themeColor="background1" w:themeShade="D9"/>
                <w:sz w:val="18"/>
                <w:szCs w:val="18"/>
              </w:rPr>
              <w:t>Unpublished</w:t>
            </w:r>
          </w:p>
        </w:tc>
        <w:tc>
          <w:tcPr>
            <w:tcW w:w="0" w:type="auto"/>
            <w:shd w:val="clear" w:color="auto" w:fill="BDD6EE" w:themeFill="accent5" w:themeFillTint="66"/>
          </w:tcPr>
          <w:p w14:paraId="29FD28EA" w14:textId="77777777" w:rsidR="0039212D" w:rsidRPr="00D60029" w:rsidRDefault="0039212D" w:rsidP="0039212D">
            <w:pPr>
              <w:jc w:val="center"/>
              <w:rPr>
                <w:strike/>
                <w:color w:val="D9D9D9" w:themeColor="background1" w:themeShade="D9"/>
                <w:sz w:val="18"/>
                <w:szCs w:val="18"/>
              </w:rPr>
            </w:pPr>
            <w:r w:rsidRPr="00D60029">
              <w:rPr>
                <w:strike/>
                <w:color w:val="D9D9D9" w:themeColor="background1" w:themeShade="D9"/>
                <w:sz w:val="18"/>
                <w:szCs w:val="18"/>
              </w:rPr>
              <w:t>No</w:t>
            </w:r>
          </w:p>
        </w:tc>
        <w:tc>
          <w:tcPr>
            <w:tcW w:w="0" w:type="auto"/>
            <w:shd w:val="clear" w:color="auto" w:fill="BDD6EE" w:themeFill="accent5" w:themeFillTint="66"/>
          </w:tcPr>
          <w:p w14:paraId="70177338" w14:textId="10061B94" w:rsidR="0039212D" w:rsidRPr="00D60029" w:rsidRDefault="0039212D" w:rsidP="0039212D">
            <w:pPr>
              <w:pStyle w:val="RepTable"/>
              <w:jc w:val="center"/>
              <w:rPr>
                <w:strike/>
                <w:color w:val="D9D9D9" w:themeColor="background1" w:themeShade="D9"/>
                <w:highlight w:val="yellow"/>
              </w:rPr>
            </w:pPr>
            <w:r>
              <w:rPr>
                <w:color w:val="000000"/>
                <w:sz w:val="18"/>
                <w:szCs w:val="18"/>
              </w:rPr>
              <w:t>XXXX</w:t>
            </w:r>
          </w:p>
        </w:tc>
      </w:tr>
      <w:tr w:rsidR="0039212D" w14:paraId="4ACCD101" w14:textId="77777777" w:rsidTr="00B24D55">
        <w:tc>
          <w:tcPr>
            <w:tcW w:w="0" w:type="auto"/>
          </w:tcPr>
          <w:p w14:paraId="3C4EFFC8" w14:textId="77777777" w:rsidR="0039212D" w:rsidRDefault="0039212D" w:rsidP="0039212D">
            <w:pPr>
              <w:rPr>
                <w:sz w:val="18"/>
                <w:szCs w:val="18"/>
              </w:rPr>
            </w:pPr>
            <w:r>
              <w:rPr>
                <w:color w:val="000000"/>
                <w:sz w:val="18"/>
                <w:szCs w:val="18"/>
              </w:rPr>
              <w:t>KCP 10.3.1.3/2</w:t>
            </w:r>
          </w:p>
        </w:tc>
        <w:tc>
          <w:tcPr>
            <w:tcW w:w="0" w:type="auto"/>
          </w:tcPr>
          <w:p w14:paraId="3DB772B9" w14:textId="77777777" w:rsidR="0039212D" w:rsidRDefault="0039212D" w:rsidP="0039212D">
            <w:pPr>
              <w:rPr>
                <w:sz w:val="18"/>
                <w:szCs w:val="18"/>
              </w:rPr>
            </w:pPr>
            <w:r>
              <w:rPr>
                <w:color w:val="000000"/>
                <w:sz w:val="18"/>
                <w:szCs w:val="18"/>
              </w:rPr>
              <w:t>Schmidt, K.</w:t>
            </w:r>
          </w:p>
        </w:tc>
        <w:tc>
          <w:tcPr>
            <w:tcW w:w="0" w:type="auto"/>
          </w:tcPr>
          <w:p w14:paraId="41B8FF98" w14:textId="77777777" w:rsidR="0039212D" w:rsidRDefault="0039212D" w:rsidP="0039212D">
            <w:pPr>
              <w:jc w:val="center"/>
              <w:rPr>
                <w:sz w:val="18"/>
                <w:szCs w:val="18"/>
              </w:rPr>
            </w:pPr>
            <w:r>
              <w:rPr>
                <w:color w:val="000000"/>
                <w:sz w:val="18"/>
                <w:szCs w:val="18"/>
              </w:rPr>
              <w:t>2023</w:t>
            </w:r>
          </w:p>
        </w:tc>
        <w:tc>
          <w:tcPr>
            <w:tcW w:w="0" w:type="auto"/>
          </w:tcPr>
          <w:p w14:paraId="713242A2" w14:textId="77777777" w:rsidR="0039212D" w:rsidRDefault="0039212D" w:rsidP="0039212D">
            <w:pPr>
              <w:rPr>
                <w:color w:val="000000"/>
                <w:sz w:val="18"/>
                <w:szCs w:val="18"/>
              </w:rPr>
            </w:pPr>
            <w:r w:rsidRPr="00911350">
              <w:rPr>
                <w:color w:val="000000"/>
                <w:sz w:val="18"/>
                <w:szCs w:val="18"/>
              </w:rPr>
              <w:t>Repeated exposure of honey bee (Apis mellifera L.) larvae to BAS 743 02 F under laboratory conditions</w:t>
            </w:r>
          </w:p>
          <w:p w14:paraId="30332794" w14:textId="77777777" w:rsidR="0039212D" w:rsidRPr="00911350" w:rsidRDefault="0039212D" w:rsidP="0039212D">
            <w:pPr>
              <w:rPr>
                <w:color w:val="000000"/>
                <w:sz w:val="18"/>
                <w:szCs w:val="18"/>
                <w:lang w:val="de-DE"/>
              </w:rPr>
            </w:pPr>
            <w:r w:rsidRPr="00EE4E6B">
              <w:rPr>
                <w:color w:val="000000"/>
                <w:sz w:val="18"/>
                <w:szCs w:val="18"/>
                <w:lang w:val="de-DE"/>
              </w:rPr>
              <w:t>2022/2033710</w:t>
            </w:r>
          </w:p>
          <w:p w14:paraId="358233CE"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5F0A33E9" w14:textId="77777777" w:rsidR="0039212D" w:rsidRDefault="0039212D" w:rsidP="0039212D">
            <w:pPr>
              <w:rPr>
                <w:color w:val="000000"/>
                <w:sz w:val="18"/>
                <w:szCs w:val="18"/>
              </w:rPr>
            </w:pPr>
            <w:r>
              <w:rPr>
                <w:color w:val="000000"/>
                <w:sz w:val="18"/>
                <w:szCs w:val="18"/>
              </w:rPr>
              <w:t>yes</w:t>
            </w:r>
          </w:p>
          <w:p w14:paraId="257655D3" w14:textId="77777777" w:rsidR="0039212D" w:rsidRDefault="0039212D" w:rsidP="0039212D">
            <w:pPr>
              <w:rPr>
                <w:color w:val="000000"/>
                <w:sz w:val="18"/>
                <w:szCs w:val="18"/>
              </w:rPr>
            </w:pPr>
            <w:r>
              <w:rPr>
                <w:color w:val="000000"/>
                <w:sz w:val="18"/>
                <w:szCs w:val="18"/>
              </w:rPr>
              <w:t>Unpublished</w:t>
            </w:r>
          </w:p>
        </w:tc>
        <w:tc>
          <w:tcPr>
            <w:tcW w:w="0" w:type="auto"/>
          </w:tcPr>
          <w:p w14:paraId="47C753DF" w14:textId="77777777" w:rsidR="0039212D" w:rsidRDefault="0039212D" w:rsidP="0039212D">
            <w:pPr>
              <w:jc w:val="center"/>
              <w:rPr>
                <w:sz w:val="18"/>
                <w:szCs w:val="18"/>
              </w:rPr>
            </w:pPr>
            <w:r>
              <w:rPr>
                <w:color w:val="000000"/>
                <w:sz w:val="18"/>
                <w:szCs w:val="18"/>
              </w:rPr>
              <w:t>No</w:t>
            </w:r>
          </w:p>
        </w:tc>
        <w:tc>
          <w:tcPr>
            <w:tcW w:w="0" w:type="auto"/>
          </w:tcPr>
          <w:p w14:paraId="44E97225" w14:textId="5E35BF77" w:rsidR="0039212D" w:rsidRDefault="0039212D" w:rsidP="0039212D">
            <w:pPr>
              <w:pStyle w:val="RepTable"/>
              <w:jc w:val="center"/>
              <w:rPr>
                <w:highlight w:val="yellow"/>
              </w:rPr>
            </w:pPr>
            <w:r>
              <w:rPr>
                <w:color w:val="000000"/>
                <w:sz w:val="18"/>
                <w:szCs w:val="18"/>
              </w:rPr>
              <w:t>XXXX</w:t>
            </w:r>
          </w:p>
        </w:tc>
      </w:tr>
      <w:tr w:rsidR="0039212D" w14:paraId="4519704A" w14:textId="77777777" w:rsidTr="00B24D55">
        <w:tc>
          <w:tcPr>
            <w:tcW w:w="0" w:type="auto"/>
          </w:tcPr>
          <w:p w14:paraId="2E7AEBDB" w14:textId="77777777" w:rsidR="0039212D" w:rsidRDefault="0039212D" w:rsidP="0039212D">
            <w:pPr>
              <w:rPr>
                <w:sz w:val="18"/>
                <w:szCs w:val="18"/>
              </w:rPr>
            </w:pPr>
            <w:r>
              <w:rPr>
                <w:color w:val="000000"/>
                <w:sz w:val="18"/>
                <w:szCs w:val="18"/>
              </w:rPr>
              <w:t>KCP 10.3.2.1/1</w:t>
            </w:r>
          </w:p>
        </w:tc>
        <w:tc>
          <w:tcPr>
            <w:tcW w:w="0" w:type="auto"/>
          </w:tcPr>
          <w:p w14:paraId="3CB6F7E4" w14:textId="77777777" w:rsidR="0039212D" w:rsidRDefault="0039212D" w:rsidP="0039212D">
            <w:pPr>
              <w:rPr>
                <w:sz w:val="18"/>
                <w:szCs w:val="18"/>
              </w:rPr>
            </w:pPr>
            <w:r>
              <w:rPr>
                <w:color w:val="000000"/>
                <w:sz w:val="18"/>
                <w:szCs w:val="18"/>
              </w:rPr>
              <w:t>Röhlig,U</w:t>
            </w:r>
          </w:p>
        </w:tc>
        <w:tc>
          <w:tcPr>
            <w:tcW w:w="0" w:type="auto"/>
          </w:tcPr>
          <w:p w14:paraId="5250BCAB" w14:textId="77777777" w:rsidR="0039212D" w:rsidRDefault="0039212D" w:rsidP="0039212D">
            <w:pPr>
              <w:jc w:val="center"/>
              <w:rPr>
                <w:sz w:val="18"/>
                <w:szCs w:val="18"/>
              </w:rPr>
            </w:pPr>
            <w:r>
              <w:rPr>
                <w:color w:val="000000"/>
                <w:sz w:val="18"/>
                <w:szCs w:val="18"/>
              </w:rPr>
              <w:t>2022</w:t>
            </w:r>
          </w:p>
        </w:tc>
        <w:tc>
          <w:tcPr>
            <w:tcW w:w="0" w:type="auto"/>
          </w:tcPr>
          <w:p w14:paraId="7E62D9F6" w14:textId="77777777" w:rsidR="0039212D" w:rsidRDefault="0039212D" w:rsidP="0039212D">
            <w:pPr>
              <w:rPr>
                <w:color w:val="000000"/>
                <w:sz w:val="18"/>
                <w:szCs w:val="18"/>
              </w:rPr>
            </w:pPr>
            <w:r w:rsidRPr="00911350">
              <w:rPr>
                <w:color w:val="000000"/>
                <w:sz w:val="18"/>
                <w:szCs w:val="18"/>
              </w:rPr>
              <w:t>Effects of BAS 743 02 F on the predatory mite Typhlodromus pyri SCHEUTEN in a laboratory test</w:t>
            </w:r>
          </w:p>
          <w:p w14:paraId="3150BD83" w14:textId="77777777" w:rsidR="0039212D" w:rsidRPr="00911350" w:rsidRDefault="0039212D" w:rsidP="0039212D">
            <w:pPr>
              <w:rPr>
                <w:color w:val="000000"/>
                <w:sz w:val="18"/>
                <w:szCs w:val="18"/>
                <w:lang w:val="de-DE"/>
              </w:rPr>
            </w:pPr>
            <w:r w:rsidRPr="00EE4E6B">
              <w:rPr>
                <w:color w:val="000000"/>
                <w:sz w:val="18"/>
                <w:szCs w:val="18"/>
                <w:lang w:val="de-DE"/>
              </w:rPr>
              <w:t>2022/2033725</w:t>
            </w:r>
          </w:p>
          <w:p w14:paraId="018309E9"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1B1FCF6B" w14:textId="77777777" w:rsidR="0039212D" w:rsidRDefault="0039212D" w:rsidP="0039212D">
            <w:pPr>
              <w:rPr>
                <w:color w:val="000000"/>
                <w:sz w:val="18"/>
                <w:szCs w:val="18"/>
              </w:rPr>
            </w:pPr>
            <w:r>
              <w:rPr>
                <w:color w:val="000000"/>
                <w:sz w:val="18"/>
                <w:szCs w:val="18"/>
              </w:rPr>
              <w:t>yes</w:t>
            </w:r>
          </w:p>
          <w:p w14:paraId="2E64EFF3" w14:textId="77777777" w:rsidR="0039212D" w:rsidRDefault="0039212D" w:rsidP="0039212D">
            <w:pPr>
              <w:rPr>
                <w:color w:val="000000"/>
                <w:sz w:val="18"/>
                <w:szCs w:val="18"/>
              </w:rPr>
            </w:pPr>
            <w:r>
              <w:rPr>
                <w:color w:val="000000"/>
                <w:sz w:val="18"/>
                <w:szCs w:val="18"/>
              </w:rPr>
              <w:t>Unpublished</w:t>
            </w:r>
          </w:p>
        </w:tc>
        <w:tc>
          <w:tcPr>
            <w:tcW w:w="0" w:type="auto"/>
          </w:tcPr>
          <w:p w14:paraId="71560578" w14:textId="77777777" w:rsidR="0039212D" w:rsidRDefault="0039212D" w:rsidP="0039212D">
            <w:pPr>
              <w:jc w:val="center"/>
              <w:rPr>
                <w:sz w:val="18"/>
                <w:szCs w:val="18"/>
              </w:rPr>
            </w:pPr>
            <w:r>
              <w:rPr>
                <w:color w:val="000000"/>
                <w:sz w:val="18"/>
                <w:szCs w:val="18"/>
              </w:rPr>
              <w:t>No</w:t>
            </w:r>
          </w:p>
        </w:tc>
        <w:tc>
          <w:tcPr>
            <w:tcW w:w="0" w:type="auto"/>
          </w:tcPr>
          <w:p w14:paraId="0C1CBA08" w14:textId="2A5C6E9A" w:rsidR="0039212D" w:rsidRDefault="0039212D" w:rsidP="0039212D">
            <w:pPr>
              <w:pStyle w:val="RepTable"/>
              <w:jc w:val="center"/>
              <w:rPr>
                <w:highlight w:val="yellow"/>
              </w:rPr>
            </w:pPr>
            <w:r>
              <w:rPr>
                <w:color w:val="000000"/>
                <w:sz w:val="18"/>
                <w:szCs w:val="18"/>
              </w:rPr>
              <w:t>XXXX</w:t>
            </w:r>
          </w:p>
        </w:tc>
      </w:tr>
      <w:tr w:rsidR="0039212D" w14:paraId="463C3353" w14:textId="77777777" w:rsidTr="00B24D55">
        <w:tc>
          <w:tcPr>
            <w:tcW w:w="0" w:type="auto"/>
          </w:tcPr>
          <w:p w14:paraId="7BF5A73D" w14:textId="77777777" w:rsidR="0039212D" w:rsidRDefault="0039212D" w:rsidP="0039212D">
            <w:pPr>
              <w:rPr>
                <w:sz w:val="18"/>
                <w:szCs w:val="18"/>
              </w:rPr>
            </w:pPr>
            <w:r>
              <w:rPr>
                <w:color w:val="000000"/>
                <w:sz w:val="18"/>
                <w:szCs w:val="18"/>
              </w:rPr>
              <w:t>KCP 10.3.2.1/2</w:t>
            </w:r>
          </w:p>
        </w:tc>
        <w:tc>
          <w:tcPr>
            <w:tcW w:w="0" w:type="auto"/>
          </w:tcPr>
          <w:p w14:paraId="1A1DBFA1" w14:textId="77777777" w:rsidR="0039212D" w:rsidRDefault="0039212D" w:rsidP="0039212D">
            <w:pPr>
              <w:rPr>
                <w:sz w:val="18"/>
                <w:szCs w:val="18"/>
              </w:rPr>
            </w:pPr>
            <w:r>
              <w:rPr>
                <w:color w:val="000000"/>
                <w:sz w:val="18"/>
                <w:szCs w:val="18"/>
              </w:rPr>
              <w:t>Röhlig,U</w:t>
            </w:r>
          </w:p>
        </w:tc>
        <w:tc>
          <w:tcPr>
            <w:tcW w:w="0" w:type="auto"/>
          </w:tcPr>
          <w:p w14:paraId="024D4FB2" w14:textId="77777777" w:rsidR="0039212D" w:rsidRDefault="0039212D" w:rsidP="0039212D">
            <w:pPr>
              <w:jc w:val="center"/>
              <w:rPr>
                <w:sz w:val="18"/>
                <w:szCs w:val="18"/>
              </w:rPr>
            </w:pPr>
            <w:r>
              <w:rPr>
                <w:color w:val="000000"/>
                <w:sz w:val="18"/>
                <w:szCs w:val="18"/>
              </w:rPr>
              <w:t>2022</w:t>
            </w:r>
          </w:p>
        </w:tc>
        <w:tc>
          <w:tcPr>
            <w:tcW w:w="0" w:type="auto"/>
          </w:tcPr>
          <w:p w14:paraId="6AF708B9" w14:textId="77777777" w:rsidR="0039212D" w:rsidRDefault="0039212D" w:rsidP="0039212D">
            <w:pPr>
              <w:rPr>
                <w:color w:val="000000"/>
                <w:sz w:val="18"/>
                <w:szCs w:val="18"/>
              </w:rPr>
            </w:pPr>
            <w:r w:rsidRPr="00911350">
              <w:rPr>
                <w:color w:val="000000"/>
                <w:sz w:val="18"/>
                <w:szCs w:val="18"/>
              </w:rPr>
              <w:t>Effects of BAS 743 02 F on the parasitic wasp Aphidius rhopalosiphi (DESTEPHANI-PEREZ) in a laboratory test</w:t>
            </w:r>
          </w:p>
          <w:p w14:paraId="22168FBB" w14:textId="77777777" w:rsidR="0039212D" w:rsidRPr="00911350" w:rsidRDefault="0039212D" w:rsidP="0039212D">
            <w:pPr>
              <w:rPr>
                <w:color w:val="000000"/>
                <w:sz w:val="18"/>
                <w:szCs w:val="18"/>
                <w:lang w:val="de-DE"/>
              </w:rPr>
            </w:pPr>
            <w:r w:rsidRPr="00EE4E6B">
              <w:rPr>
                <w:color w:val="000000"/>
                <w:sz w:val="18"/>
                <w:szCs w:val="18"/>
                <w:lang w:val="de-DE"/>
              </w:rPr>
              <w:t>2022/2033728</w:t>
            </w:r>
          </w:p>
          <w:p w14:paraId="5694C057" w14:textId="77777777" w:rsidR="0039212D" w:rsidRPr="00911350"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23A3A76B" w14:textId="77777777" w:rsidR="0039212D" w:rsidRDefault="0039212D" w:rsidP="0039212D">
            <w:pPr>
              <w:rPr>
                <w:color w:val="000000"/>
                <w:sz w:val="18"/>
                <w:szCs w:val="18"/>
              </w:rPr>
            </w:pPr>
            <w:r>
              <w:rPr>
                <w:color w:val="000000"/>
                <w:sz w:val="18"/>
                <w:szCs w:val="18"/>
              </w:rPr>
              <w:t>yes</w:t>
            </w:r>
          </w:p>
          <w:p w14:paraId="585A773B" w14:textId="77777777" w:rsidR="0039212D" w:rsidRDefault="0039212D" w:rsidP="0039212D">
            <w:pPr>
              <w:rPr>
                <w:color w:val="000000"/>
                <w:sz w:val="18"/>
                <w:szCs w:val="18"/>
              </w:rPr>
            </w:pPr>
            <w:r>
              <w:rPr>
                <w:color w:val="000000"/>
                <w:sz w:val="18"/>
                <w:szCs w:val="18"/>
              </w:rPr>
              <w:lastRenderedPageBreak/>
              <w:t>Unpublished</w:t>
            </w:r>
          </w:p>
        </w:tc>
        <w:tc>
          <w:tcPr>
            <w:tcW w:w="0" w:type="auto"/>
          </w:tcPr>
          <w:p w14:paraId="219CF797" w14:textId="77777777" w:rsidR="0039212D" w:rsidRDefault="0039212D" w:rsidP="0039212D">
            <w:pPr>
              <w:jc w:val="center"/>
              <w:rPr>
                <w:sz w:val="18"/>
                <w:szCs w:val="18"/>
              </w:rPr>
            </w:pPr>
            <w:r>
              <w:rPr>
                <w:color w:val="000000"/>
                <w:sz w:val="18"/>
                <w:szCs w:val="18"/>
              </w:rPr>
              <w:lastRenderedPageBreak/>
              <w:t>No</w:t>
            </w:r>
          </w:p>
        </w:tc>
        <w:tc>
          <w:tcPr>
            <w:tcW w:w="0" w:type="auto"/>
          </w:tcPr>
          <w:p w14:paraId="1DD31793" w14:textId="5A37B558" w:rsidR="0039212D" w:rsidRDefault="0039212D" w:rsidP="0039212D">
            <w:pPr>
              <w:pStyle w:val="RepTable"/>
              <w:jc w:val="center"/>
              <w:rPr>
                <w:highlight w:val="yellow"/>
              </w:rPr>
            </w:pPr>
            <w:r>
              <w:rPr>
                <w:color w:val="000000"/>
                <w:sz w:val="18"/>
                <w:szCs w:val="18"/>
              </w:rPr>
              <w:t>XXXX</w:t>
            </w:r>
          </w:p>
        </w:tc>
      </w:tr>
      <w:tr w:rsidR="0039212D" w14:paraId="03FD9104" w14:textId="77777777" w:rsidTr="00B24D55">
        <w:tc>
          <w:tcPr>
            <w:tcW w:w="0" w:type="auto"/>
          </w:tcPr>
          <w:p w14:paraId="0AFBF632" w14:textId="41907C38" w:rsidR="0039212D" w:rsidRDefault="0039212D" w:rsidP="0039212D">
            <w:pPr>
              <w:rPr>
                <w:color w:val="000000"/>
                <w:sz w:val="18"/>
                <w:szCs w:val="18"/>
              </w:rPr>
            </w:pPr>
            <w:r>
              <w:rPr>
                <w:color w:val="000000"/>
                <w:sz w:val="18"/>
                <w:szCs w:val="18"/>
              </w:rPr>
              <w:t>KCP 10.3.2.1/3</w:t>
            </w:r>
          </w:p>
        </w:tc>
        <w:tc>
          <w:tcPr>
            <w:tcW w:w="0" w:type="auto"/>
          </w:tcPr>
          <w:p w14:paraId="7F209BA0" w14:textId="5EFA4503" w:rsidR="0039212D" w:rsidRDefault="0039212D" w:rsidP="0039212D">
            <w:pPr>
              <w:rPr>
                <w:color w:val="000000"/>
                <w:sz w:val="18"/>
                <w:szCs w:val="18"/>
              </w:rPr>
            </w:pPr>
            <w:r>
              <w:rPr>
                <w:color w:val="000000"/>
                <w:sz w:val="18"/>
                <w:szCs w:val="18"/>
              </w:rPr>
              <w:t>Röhlig,U</w:t>
            </w:r>
          </w:p>
        </w:tc>
        <w:tc>
          <w:tcPr>
            <w:tcW w:w="0" w:type="auto"/>
          </w:tcPr>
          <w:p w14:paraId="20FF438F" w14:textId="423667AB" w:rsidR="0039212D" w:rsidRDefault="0039212D" w:rsidP="0039212D">
            <w:pPr>
              <w:jc w:val="center"/>
              <w:rPr>
                <w:color w:val="000000"/>
                <w:sz w:val="18"/>
                <w:szCs w:val="18"/>
              </w:rPr>
            </w:pPr>
            <w:r>
              <w:rPr>
                <w:color w:val="000000"/>
                <w:sz w:val="18"/>
                <w:szCs w:val="18"/>
              </w:rPr>
              <w:t>2022</w:t>
            </w:r>
          </w:p>
        </w:tc>
        <w:tc>
          <w:tcPr>
            <w:tcW w:w="0" w:type="auto"/>
          </w:tcPr>
          <w:p w14:paraId="3C33F452" w14:textId="77777777" w:rsidR="0039212D" w:rsidRDefault="0039212D" w:rsidP="0039212D">
            <w:pPr>
              <w:keepLines/>
              <w:pageBreakBefore/>
              <w:rPr>
                <w:color w:val="000000"/>
                <w:sz w:val="18"/>
                <w:szCs w:val="18"/>
              </w:rPr>
            </w:pPr>
            <w:r w:rsidRPr="00911350">
              <w:rPr>
                <w:color w:val="000000"/>
                <w:sz w:val="18"/>
                <w:szCs w:val="18"/>
              </w:rPr>
              <w:t>Effects of BAS 743 03 F on the parasitic wasp Aphidius rhopalosiphi (DESTEPHANI-PEREZ) in a laboratory test</w:t>
            </w:r>
          </w:p>
          <w:p w14:paraId="3030C887" w14:textId="77777777" w:rsidR="0039212D" w:rsidRPr="00911350" w:rsidRDefault="0039212D" w:rsidP="0039212D">
            <w:pPr>
              <w:keepLines/>
              <w:pageBreakBefore/>
              <w:rPr>
                <w:color w:val="000000"/>
                <w:sz w:val="18"/>
                <w:szCs w:val="18"/>
                <w:lang w:val="de-DE"/>
              </w:rPr>
            </w:pPr>
            <w:r w:rsidRPr="00EE4E6B">
              <w:rPr>
                <w:color w:val="000000"/>
                <w:sz w:val="18"/>
                <w:szCs w:val="18"/>
                <w:lang w:val="de-DE"/>
              </w:rPr>
              <w:t>2022/2033732</w:t>
            </w:r>
          </w:p>
          <w:p w14:paraId="5A89BB9B" w14:textId="77777777" w:rsidR="0039212D" w:rsidRPr="00911350" w:rsidRDefault="0039212D" w:rsidP="0039212D">
            <w:pPr>
              <w:keepLines/>
              <w:pageBreakBefore/>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70EF1DF8" w14:textId="77777777" w:rsidR="0039212D" w:rsidRDefault="0039212D" w:rsidP="0039212D">
            <w:pPr>
              <w:keepLines/>
              <w:pageBreakBefore/>
              <w:rPr>
                <w:color w:val="000000"/>
                <w:sz w:val="18"/>
                <w:szCs w:val="18"/>
              </w:rPr>
            </w:pPr>
            <w:r>
              <w:rPr>
                <w:color w:val="000000"/>
                <w:sz w:val="18"/>
                <w:szCs w:val="18"/>
              </w:rPr>
              <w:t>yes</w:t>
            </w:r>
          </w:p>
          <w:p w14:paraId="7BCF974B" w14:textId="205DAC2E" w:rsidR="0039212D" w:rsidRPr="00911350" w:rsidRDefault="0039212D" w:rsidP="0039212D">
            <w:pPr>
              <w:rPr>
                <w:color w:val="000000"/>
                <w:sz w:val="18"/>
                <w:szCs w:val="18"/>
              </w:rPr>
            </w:pPr>
            <w:r>
              <w:rPr>
                <w:color w:val="000000"/>
                <w:sz w:val="18"/>
                <w:szCs w:val="18"/>
              </w:rPr>
              <w:t>Unpublished</w:t>
            </w:r>
          </w:p>
        </w:tc>
        <w:tc>
          <w:tcPr>
            <w:tcW w:w="0" w:type="auto"/>
          </w:tcPr>
          <w:p w14:paraId="65EC09FC" w14:textId="44A32891" w:rsidR="0039212D" w:rsidRDefault="0039212D" w:rsidP="0039212D">
            <w:pPr>
              <w:jc w:val="center"/>
              <w:rPr>
                <w:color w:val="000000"/>
                <w:sz w:val="18"/>
                <w:szCs w:val="18"/>
              </w:rPr>
            </w:pPr>
            <w:r>
              <w:rPr>
                <w:color w:val="000000"/>
                <w:sz w:val="18"/>
                <w:szCs w:val="18"/>
              </w:rPr>
              <w:t>No</w:t>
            </w:r>
          </w:p>
        </w:tc>
        <w:tc>
          <w:tcPr>
            <w:tcW w:w="0" w:type="auto"/>
          </w:tcPr>
          <w:p w14:paraId="2B47FE8F" w14:textId="51CE1EF3" w:rsidR="0039212D" w:rsidRDefault="0039212D" w:rsidP="0039212D">
            <w:pPr>
              <w:pStyle w:val="RepTable"/>
              <w:jc w:val="center"/>
              <w:rPr>
                <w:color w:val="000000"/>
                <w:sz w:val="18"/>
                <w:szCs w:val="18"/>
              </w:rPr>
            </w:pPr>
            <w:r>
              <w:rPr>
                <w:color w:val="000000"/>
                <w:sz w:val="18"/>
                <w:szCs w:val="18"/>
              </w:rPr>
              <w:t>XXXX</w:t>
            </w:r>
          </w:p>
        </w:tc>
      </w:tr>
      <w:tr w:rsidR="0039212D" w14:paraId="7609277B" w14:textId="77777777" w:rsidTr="00B24D55">
        <w:tc>
          <w:tcPr>
            <w:tcW w:w="0" w:type="auto"/>
          </w:tcPr>
          <w:p w14:paraId="4A6C80DF" w14:textId="4A6758D2" w:rsidR="0039212D" w:rsidRDefault="0039212D" w:rsidP="0039212D">
            <w:pPr>
              <w:rPr>
                <w:color w:val="000000"/>
                <w:sz w:val="18"/>
                <w:szCs w:val="18"/>
              </w:rPr>
            </w:pPr>
            <w:r>
              <w:rPr>
                <w:color w:val="000000"/>
                <w:sz w:val="18"/>
                <w:szCs w:val="18"/>
              </w:rPr>
              <w:t>KCP 10.4.1.1/1</w:t>
            </w:r>
          </w:p>
        </w:tc>
        <w:tc>
          <w:tcPr>
            <w:tcW w:w="0" w:type="auto"/>
          </w:tcPr>
          <w:p w14:paraId="3F98D124" w14:textId="79C757B0" w:rsidR="0039212D" w:rsidRDefault="0039212D" w:rsidP="0039212D">
            <w:pPr>
              <w:rPr>
                <w:color w:val="000000"/>
                <w:sz w:val="18"/>
                <w:szCs w:val="18"/>
              </w:rPr>
            </w:pPr>
            <w:r>
              <w:rPr>
                <w:color w:val="000000"/>
                <w:sz w:val="18"/>
                <w:szCs w:val="18"/>
              </w:rPr>
              <w:t>Friedrich, S.</w:t>
            </w:r>
          </w:p>
        </w:tc>
        <w:tc>
          <w:tcPr>
            <w:tcW w:w="0" w:type="auto"/>
          </w:tcPr>
          <w:p w14:paraId="649C1BA8" w14:textId="6F7BEE40" w:rsidR="0039212D" w:rsidRDefault="0039212D" w:rsidP="0039212D">
            <w:pPr>
              <w:jc w:val="center"/>
              <w:rPr>
                <w:color w:val="000000"/>
                <w:sz w:val="18"/>
                <w:szCs w:val="18"/>
              </w:rPr>
            </w:pPr>
            <w:r>
              <w:rPr>
                <w:color w:val="000000"/>
                <w:sz w:val="18"/>
                <w:szCs w:val="18"/>
              </w:rPr>
              <w:t>2023</w:t>
            </w:r>
          </w:p>
        </w:tc>
        <w:tc>
          <w:tcPr>
            <w:tcW w:w="0" w:type="auto"/>
          </w:tcPr>
          <w:p w14:paraId="006FFC13" w14:textId="77777777" w:rsidR="0039212D" w:rsidRDefault="0039212D" w:rsidP="0039212D">
            <w:pPr>
              <w:rPr>
                <w:color w:val="000000"/>
                <w:sz w:val="18"/>
                <w:szCs w:val="18"/>
              </w:rPr>
            </w:pPr>
            <w:r w:rsidRPr="00911350">
              <w:rPr>
                <w:color w:val="000000"/>
                <w:sz w:val="18"/>
                <w:szCs w:val="18"/>
              </w:rPr>
              <w:t>Effects of BAS 743 02 F on the reproduction of the earthworm Eisenia andrei in artificial soil</w:t>
            </w:r>
          </w:p>
          <w:p w14:paraId="63260AE4" w14:textId="77777777" w:rsidR="0039212D" w:rsidRDefault="0039212D" w:rsidP="0039212D">
            <w:pPr>
              <w:rPr>
                <w:color w:val="000000"/>
                <w:sz w:val="18"/>
                <w:szCs w:val="18"/>
              </w:rPr>
            </w:pPr>
            <w:r w:rsidRPr="00911350">
              <w:rPr>
                <w:color w:val="000000"/>
                <w:sz w:val="18"/>
                <w:szCs w:val="18"/>
              </w:rPr>
              <w:t>2022/2033719</w:t>
            </w:r>
          </w:p>
          <w:p w14:paraId="457CAA31" w14:textId="77777777" w:rsidR="0039212D" w:rsidRDefault="0039212D" w:rsidP="0039212D">
            <w:pPr>
              <w:rPr>
                <w:color w:val="000000"/>
                <w:sz w:val="18"/>
                <w:szCs w:val="18"/>
              </w:rPr>
            </w:pPr>
            <w:r w:rsidRPr="00911350">
              <w:rPr>
                <w:color w:val="000000"/>
                <w:sz w:val="18"/>
                <w:szCs w:val="18"/>
              </w:rPr>
              <w:t>BioChem agrar GmbH, Gerichshain, Germany Fed.Rep.</w:t>
            </w:r>
          </w:p>
          <w:p w14:paraId="5A99E52D" w14:textId="77777777" w:rsidR="0039212D" w:rsidRDefault="0039212D" w:rsidP="0039212D">
            <w:pPr>
              <w:rPr>
                <w:color w:val="000000"/>
                <w:sz w:val="18"/>
                <w:szCs w:val="18"/>
              </w:rPr>
            </w:pPr>
            <w:r w:rsidRPr="00911350">
              <w:rPr>
                <w:color w:val="000000"/>
                <w:sz w:val="18"/>
                <w:szCs w:val="18"/>
              </w:rPr>
              <w:t>yes</w:t>
            </w:r>
          </w:p>
          <w:p w14:paraId="53DDE41B" w14:textId="5CF9E535" w:rsidR="0039212D" w:rsidRPr="00911350" w:rsidRDefault="0039212D" w:rsidP="0039212D">
            <w:pPr>
              <w:rPr>
                <w:color w:val="000000"/>
                <w:sz w:val="18"/>
                <w:szCs w:val="18"/>
              </w:rPr>
            </w:pPr>
            <w:r w:rsidRPr="00911350">
              <w:rPr>
                <w:color w:val="000000"/>
                <w:sz w:val="18"/>
                <w:szCs w:val="18"/>
              </w:rPr>
              <w:t>Unpublished</w:t>
            </w:r>
          </w:p>
        </w:tc>
        <w:tc>
          <w:tcPr>
            <w:tcW w:w="0" w:type="auto"/>
          </w:tcPr>
          <w:p w14:paraId="0284C51E" w14:textId="79DB17BD" w:rsidR="0039212D" w:rsidRDefault="0039212D" w:rsidP="0039212D">
            <w:pPr>
              <w:jc w:val="center"/>
              <w:rPr>
                <w:color w:val="000000"/>
                <w:sz w:val="18"/>
                <w:szCs w:val="18"/>
              </w:rPr>
            </w:pPr>
            <w:r>
              <w:rPr>
                <w:color w:val="000000"/>
                <w:sz w:val="18"/>
                <w:szCs w:val="18"/>
              </w:rPr>
              <w:t>No</w:t>
            </w:r>
          </w:p>
        </w:tc>
        <w:tc>
          <w:tcPr>
            <w:tcW w:w="0" w:type="auto"/>
          </w:tcPr>
          <w:p w14:paraId="3A8AB331" w14:textId="1541301E" w:rsidR="0039212D" w:rsidRDefault="0039212D" w:rsidP="0039212D">
            <w:pPr>
              <w:pStyle w:val="RepTable"/>
              <w:jc w:val="center"/>
              <w:rPr>
                <w:color w:val="000000"/>
                <w:sz w:val="18"/>
                <w:szCs w:val="18"/>
              </w:rPr>
            </w:pPr>
            <w:r>
              <w:rPr>
                <w:color w:val="000000"/>
                <w:sz w:val="18"/>
                <w:szCs w:val="18"/>
              </w:rPr>
              <w:t>XXXX</w:t>
            </w:r>
          </w:p>
        </w:tc>
      </w:tr>
      <w:tr w:rsidR="0039212D" w14:paraId="05871AEA" w14:textId="77777777" w:rsidTr="00B24D55">
        <w:tc>
          <w:tcPr>
            <w:tcW w:w="0" w:type="auto"/>
          </w:tcPr>
          <w:p w14:paraId="6F7B6DB6" w14:textId="3048D573" w:rsidR="0039212D" w:rsidRDefault="0039212D" w:rsidP="0039212D">
            <w:pPr>
              <w:rPr>
                <w:color w:val="000000"/>
                <w:sz w:val="18"/>
                <w:szCs w:val="18"/>
              </w:rPr>
            </w:pPr>
            <w:r>
              <w:rPr>
                <w:color w:val="000000"/>
                <w:sz w:val="18"/>
                <w:szCs w:val="18"/>
              </w:rPr>
              <w:t>KCP 10.4.1.1/2</w:t>
            </w:r>
          </w:p>
        </w:tc>
        <w:tc>
          <w:tcPr>
            <w:tcW w:w="0" w:type="auto"/>
          </w:tcPr>
          <w:p w14:paraId="6D2CD2E1" w14:textId="753162C2" w:rsidR="0039212D" w:rsidRDefault="0039212D" w:rsidP="0039212D">
            <w:pPr>
              <w:rPr>
                <w:color w:val="000000"/>
                <w:sz w:val="18"/>
                <w:szCs w:val="18"/>
              </w:rPr>
            </w:pPr>
            <w:r>
              <w:rPr>
                <w:color w:val="000000"/>
                <w:sz w:val="18"/>
                <w:szCs w:val="18"/>
              </w:rPr>
              <w:t>Friedrich, S.</w:t>
            </w:r>
          </w:p>
        </w:tc>
        <w:tc>
          <w:tcPr>
            <w:tcW w:w="0" w:type="auto"/>
          </w:tcPr>
          <w:p w14:paraId="6BA2F400" w14:textId="02A69F59" w:rsidR="0039212D" w:rsidRDefault="0039212D" w:rsidP="0039212D">
            <w:pPr>
              <w:jc w:val="center"/>
              <w:rPr>
                <w:color w:val="000000"/>
                <w:sz w:val="18"/>
                <w:szCs w:val="18"/>
              </w:rPr>
            </w:pPr>
            <w:r>
              <w:rPr>
                <w:color w:val="000000"/>
                <w:sz w:val="18"/>
                <w:szCs w:val="18"/>
              </w:rPr>
              <w:t>2023</w:t>
            </w:r>
          </w:p>
        </w:tc>
        <w:tc>
          <w:tcPr>
            <w:tcW w:w="0" w:type="auto"/>
          </w:tcPr>
          <w:p w14:paraId="4D3BB7FA" w14:textId="77777777" w:rsidR="0039212D" w:rsidRDefault="0039212D" w:rsidP="0039212D">
            <w:pPr>
              <w:rPr>
                <w:color w:val="000000"/>
                <w:sz w:val="18"/>
                <w:szCs w:val="18"/>
              </w:rPr>
            </w:pPr>
            <w:r w:rsidRPr="00911350">
              <w:rPr>
                <w:color w:val="000000"/>
                <w:sz w:val="18"/>
                <w:szCs w:val="18"/>
              </w:rPr>
              <w:t>Effects of BAS 743 03 F on the reproduction of the earthworm Eisenia andrei in artificial soil</w:t>
            </w:r>
          </w:p>
          <w:p w14:paraId="070DD6D4" w14:textId="77777777" w:rsidR="0039212D" w:rsidRPr="00EE4E6B" w:rsidRDefault="0039212D" w:rsidP="0039212D">
            <w:pPr>
              <w:rPr>
                <w:color w:val="000000"/>
                <w:sz w:val="18"/>
                <w:szCs w:val="18"/>
                <w:lang w:val="de-DE"/>
              </w:rPr>
            </w:pPr>
            <w:r w:rsidRPr="00EE4E6B">
              <w:rPr>
                <w:color w:val="000000"/>
                <w:sz w:val="18"/>
                <w:szCs w:val="18"/>
                <w:lang w:val="de-DE"/>
              </w:rPr>
              <w:t>2022/2033731</w:t>
            </w:r>
          </w:p>
          <w:p w14:paraId="38F747CD" w14:textId="77777777" w:rsidR="0039212D" w:rsidRPr="00EE4E6B"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018A5393" w14:textId="77777777" w:rsidR="0039212D" w:rsidRDefault="0039212D" w:rsidP="0039212D">
            <w:pPr>
              <w:rPr>
                <w:color w:val="000000"/>
                <w:sz w:val="18"/>
                <w:szCs w:val="18"/>
              </w:rPr>
            </w:pPr>
            <w:r>
              <w:rPr>
                <w:color w:val="000000"/>
                <w:sz w:val="18"/>
                <w:szCs w:val="18"/>
              </w:rPr>
              <w:t>yes</w:t>
            </w:r>
          </w:p>
          <w:p w14:paraId="6577A45A" w14:textId="32B4E88C" w:rsidR="0039212D" w:rsidRPr="00911350" w:rsidRDefault="0039212D" w:rsidP="0039212D">
            <w:pPr>
              <w:rPr>
                <w:color w:val="000000"/>
                <w:sz w:val="18"/>
                <w:szCs w:val="18"/>
              </w:rPr>
            </w:pPr>
            <w:r>
              <w:rPr>
                <w:color w:val="000000"/>
                <w:sz w:val="18"/>
                <w:szCs w:val="18"/>
              </w:rPr>
              <w:t>Unpublished</w:t>
            </w:r>
          </w:p>
        </w:tc>
        <w:tc>
          <w:tcPr>
            <w:tcW w:w="0" w:type="auto"/>
          </w:tcPr>
          <w:p w14:paraId="39E8F061" w14:textId="614A1AE6" w:rsidR="0039212D" w:rsidRDefault="0039212D" w:rsidP="0039212D">
            <w:pPr>
              <w:jc w:val="center"/>
              <w:rPr>
                <w:color w:val="000000"/>
                <w:sz w:val="18"/>
                <w:szCs w:val="18"/>
              </w:rPr>
            </w:pPr>
            <w:r>
              <w:rPr>
                <w:color w:val="000000"/>
                <w:sz w:val="18"/>
                <w:szCs w:val="18"/>
              </w:rPr>
              <w:t>No</w:t>
            </w:r>
          </w:p>
        </w:tc>
        <w:tc>
          <w:tcPr>
            <w:tcW w:w="0" w:type="auto"/>
          </w:tcPr>
          <w:p w14:paraId="385A915B" w14:textId="1E1A51E9" w:rsidR="0039212D" w:rsidRDefault="0039212D" w:rsidP="0039212D">
            <w:pPr>
              <w:pStyle w:val="RepTable"/>
              <w:jc w:val="center"/>
              <w:rPr>
                <w:color w:val="000000"/>
                <w:sz w:val="18"/>
                <w:szCs w:val="18"/>
              </w:rPr>
            </w:pPr>
            <w:r>
              <w:rPr>
                <w:color w:val="000000"/>
                <w:sz w:val="18"/>
                <w:szCs w:val="18"/>
              </w:rPr>
              <w:t>XXXX</w:t>
            </w:r>
          </w:p>
        </w:tc>
      </w:tr>
      <w:tr w:rsidR="0039212D" w14:paraId="50C1935B" w14:textId="77777777" w:rsidTr="00802A8C">
        <w:tc>
          <w:tcPr>
            <w:tcW w:w="0" w:type="auto"/>
            <w:shd w:val="clear" w:color="auto" w:fill="BDD6EE" w:themeFill="accent5" w:themeFillTint="66"/>
          </w:tcPr>
          <w:p w14:paraId="28B57EA7" w14:textId="03E18B28" w:rsidR="0039212D" w:rsidRDefault="0039212D" w:rsidP="0039212D">
            <w:pPr>
              <w:rPr>
                <w:color w:val="000000"/>
                <w:sz w:val="18"/>
                <w:szCs w:val="18"/>
              </w:rPr>
            </w:pPr>
            <w:r w:rsidRPr="002B1FB6">
              <w:rPr>
                <w:strike/>
                <w:color w:val="D9D9D9" w:themeColor="background1" w:themeShade="D9"/>
                <w:sz w:val="18"/>
                <w:szCs w:val="18"/>
              </w:rPr>
              <w:t>KCP 10.4.1.1/3</w:t>
            </w:r>
          </w:p>
        </w:tc>
        <w:tc>
          <w:tcPr>
            <w:tcW w:w="0" w:type="auto"/>
            <w:shd w:val="clear" w:color="auto" w:fill="BDD6EE" w:themeFill="accent5" w:themeFillTint="66"/>
          </w:tcPr>
          <w:p w14:paraId="55C8A682" w14:textId="7EA42C82" w:rsidR="0039212D" w:rsidRDefault="0039212D" w:rsidP="0039212D">
            <w:pPr>
              <w:rPr>
                <w:color w:val="000000"/>
                <w:sz w:val="18"/>
                <w:szCs w:val="18"/>
              </w:rPr>
            </w:pPr>
            <w:r w:rsidRPr="002B1FB6">
              <w:rPr>
                <w:strike/>
                <w:color w:val="D9D9D9" w:themeColor="background1" w:themeShade="D9"/>
                <w:sz w:val="18"/>
                <w:szCs w:val="18"/>
              </w:rPr>
              <w:t>Friedrich, S.</w:t>
            </w:r>
          </w:p>
        </w:tc>
        <w:tc>
          <w:tcPr>
            <w:tcW w:w="0" w:type="auto"/>
            <w:shd w:val="clear" w:color="auto" w:fill="BDD6EE" w:themeFill="accent5" w:themeFillTint="66"/>
          </w:tcPr>
          <w:p w14:paraId="0DA89AE7" w14:textId="7B4C7328" w:rsidR="0039212D" w:rsidRDefault="0039212D" w:rsidP="0039212D">
            <w:pPr>
              <w:jc w:val="center"/>
              <w:rPr>
                <w:color w:val="000000"/>
                <w:sz w:val="18"/>
                <w:szCs w:val="18"/>
              </w:rPr>
            </w:pPr>
            <w:r w:rsidRPr="002B1FB6">
              <w:rPr>
                <w:strike/>
                <w:color w:val="D9D9D9" w:themeColor="background1" w:themeShade="D9"/>
                <w:sz w:val="18"/>
                <w:szCs w:val="18"/>
              </w:rPr>
              <w:t>2007</w:t>
            </w:r>
          </w:p>
        </w:tc>
        <w:tc>
          <w:tcPr>
            <w:tcW w:w="0" w:type="auto"/>
            <w:shd w:val="clear" w:color="auto" w:fill="BDD6EE" w:themeFill="accent5" w:themeFillTint="66"/>
          </w:tcPr>
          <w:p w14:paraId="3EEAB028"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Sublethal toxicity of BAS 650 00 F to the earthworm Eisenia fetida in artificial soil with 5% peat</w:t>
            </w:r>
          </w:p>
          <w:p w14:paraId="4C74B44A"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2007/1037733</w:t>
            </w:r>
          </w:p>
          <w:p w14:paraId="343558D8"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BioChem agrar Labor fuer biologische und chemische Analytik GmbH, Gerichshain, Germany Fed.Rep.</w:t>
            </w:r>
          </w:p>
          <w:p w14:paraId="7D9E27C3"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yes</w:t>
            </w:r>
          </w:p>
          <w:p w14:paraId="184B42F2" w14:textId="3768671D" w:rsidR="0039212D" w:rsidRPr="00911350" w:rsidRDefault="0039212D" w:rsidP="0039212D">
            <w:pPr>
              <w:rPr>
                <w:color w:val="000000"/>
                <w:sz w:val="18"/>
                <w:szCs w:val="18"/>
              </w:rPr>
            </w:pPr>
            <w:r w:rsidRPr="002B1FB6">
              <w:rPr>
                <w:strike/>
                <w:color w:val="D9D9D9" w:themeColor="background1" w:themeShade="D9"/>
                <w:sz w:val="18"/>
                <w:szCs w:val="18"/>
              </w:rPr>
              <w:t>Unpublished</w:t>
            </w:r>
          </w:p>
        </w:tc>
        <w:tc>
          <w:tcPr>
            <w:tcW w:w="0" w:type="auto"/>
            <w:shd w:val="clear" w:color="auto" w:fill="BDD6EE" w:themeFill="accent5" w:themeFillTint="66"/>
          </w:tcPr>
          <w:p w14:paraId="1A540C24" w14:textId="3B48A65E" w:rsidR="0039212D" w:rsidRDefault="0039212D" w:rsidP="0039212D">
            <w:pPr>
              <w:jc w:val="center"/>
              <w:rPr>
                <w:color w:val="000000"/>
                <w:sz w:val="18"/>
                <w:szCs w:val="18"/>
              </w:rPr>
            </w:pPr>
            <w:r w:rsidRPr="002B1FB6">
              <w:rPr>
                <w:strike/>
                <w:color w:val="D9D9D9" w:themeColor="background1" w:themeShade="D9"/>
                <w:sz w:val="18"/>
                <w:szCs w:val="18"/>
              </w:rPr>
              <w:t>No</w:t>
            </w:r>
          </w:p>
        </w:tc>
        <w:tc>
          <w:tcPr>
            <w:tcW w:w="0" w:type="auto"/>
            <w:shd w:val="clear" w:color="auto" w:fill="BDD6EE" w:themeFill="accent5" w:themeFillTint="66"/>
          </w:tcPr>
          <w:p w14:paraId="25628CD5" w14:textId="10C64DB5" w:rsidR="0039212D" w:rsidRDefault="0039212D" w:rsidP="0039212D">
            <w:pPr>
              <w:pStyle w:val="RepTable"/>
              <w:jc w:val="center"/>
              <w:rPr>
                <w:color w:val="000000"/>
                <w:sz w:val="18"/>
                <w:szCs w:val="18"/>
              </w:rPr>
            </w:pPr>
            <w:r>
              <w:rPr>
                <w:color w:val="000000"/>
                <w:sz w:val="18"/>
                <w:szCs w:val="18"/>
              </w:rPr>
              <w:t>XXXX</w:t>
            </w:r>
          </w:p>
        </w:tc>
      </w:tr>
      <w:tr w:rsidR="0039212D" w14:paraId="7B825ECA" w14:textId="77777777" w:rsidTr="00B24D55">
        <w:tc>
          <w:tcPr>
            <w:tcW w:w="0" w:type="auto"/>
          </w:tcPr>
          <w:p w14:paraId="4A00B537" w14:textId="77777777" w:rsidR="0039212D" w:rsidRDefault="0039212D" w:rsidP="0039212D">
            <w:pPr>
              <w:rPr>
                <w:sz w:val="18"/>
                <w:szCs w:val="18"/>
              </w:rPr>
            </w:pPr>
            <w:r>
              <w:rPr>
                <w:color w:val="000000"/>
                <w:sz w:val="18"/>
                <w:szCs w:val="18"/>
              </w:rPr>
              <w:t>KCP 10.4.2.1/1</w:t>
            </w:r>
          </w:p>
        </w:tc>
        <w:tc>
          <w:tcPr>
            <w:tcW w:w="0" w:type="auto"/>
          </w:tcPr>
          <w:p w14:paraId="1834E88F" w14:textId="77777777" w:rsidR="0039212D" w:rsidRDefault="0039212D" w:rsidP="0039212D">
            <w:pPr>
              <w:rPr>
                <w:sz w:val="18"/>
                <w:szCs w:val="18"/>
              </w:rPr>
            </w:pPr>
            <w:r>
              <w:rPr>
                <w:color w:val="000000"/>
                <w:sz w:val="18"/>
                <w:szCs w:val="18"/>
              </w:rPr>
              <w:t>Friedrich, S.</w:t>
            </w:r>
          </w:p>
        </w:tc>
        <w:tc>
          <w:tcPr>
            <w:tcW w:w="0" w:type="auto"/>
          </w:tcPr>
          <w:p w14:paraId="40CA66CE" w14:textId="77777777" w:rsidR="0039212D" w:rsidRDefault="0039212D" w:rsidP="0039212D">
            <w:pPr>
              <w:jc w:val="center"/>
              <w:rPr>
                <w:sz w:val="18"/>
                <w:szCs w:val="18"/>
              </w:rPr>
            </w:pPr>
            <w:r>
              <w:rPr>
                <w:color w:val="000000"/>
                <w:sz w:val="18"/>
                <w:szCs w:val="18"/>
              </w:rPr>
              <w:t>2023</w:t>
            </w:r>
          </w:p>
        </w:tc>
        <w:tc>
          <w:tcPr>
            <w:tcW w:w="0" w:type="auto"/>
          </w:tcPr>
          <w:p w14:paraId="2FD6B0CC" w14:textId="77777777" w:rsidR="0039212D" w:rsidRDefault="0039212D" w:rsidP="0039212D">
            <w:pPr>
              <w:rPr>
                <w:color w:val="000000"/>
                <w:sz w:val="18"/>
                <w:szCs w:val="18"/>
              </w:rPr>
            </w:pPr>
            <w:r>
              <w:rPr>
                <w:color w:val="000000"/>
                <w:sz w:val="18"/>
                <w:szCs w:val="18"/>
              </w:rPr>
              <w:t>Effects of BAS 743 02 F on the reproduction of the collembolan Folsomia candida</w:t>
            </w:r>
          </w:p>
          <w:p w14:paraId="5A495248" w14:textId="77777777" w:rsidR="0039212D" w:rsidRPr="00EE4E6B" w:rsidRDefault="0039212D" w:rsidP="0039212D">
            <w:pPr>
              <w:rPr>
                <w:color w:val="000000"/>
                <w:sz w:val="18"/>
                <w:szCs w:val="18"/>
                <w:lang w:val="de-DE"/>
              </w:rPr>
            </w:pPr>
            <w:r w:rsidRPr="00EE4E6B">
              <w:rPr>
                <w:color w:val="000000"/>
                <w:sz w:val="18"/>
                <w:szCs w:val="18"/>
                <w:lang w:val="de-DE"/>
              </w:rPr>
              <w:t>2022/2033720</w:t>
            </w:r>
          </w:p>
          <w:p w14:paraId="49E67BA2" w14:textId="77777777" w:rsidR="0039212D" w:rsidRPr="00EE4E6B" w:rsidRDefault="0039212D" w:rsidP="0039212D">
            <w:pPr>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2A21C9C6" w14:textId="77777777" w:rsidR="0039212D" w:rsidRDefault="0039212D" w:rsidP="0039212D">
            <w:pPr>
              <w:rPr>
                <w:color w:val="000000"/>
                <w:sz w:val="18"/>
                <w:szCs w:val="18"/>
              </w:rPr>
            </w:pPr>
            <w:r>
              <w:rPr>
                <w:color w:val="000000"/>
                <w:sz w:val="18"/>
                <w:szCs w:val="18"/>
              </w:rPr>
              <w:t>yes</w:t>
            </w:r>
          </w:p>
          <w:p w14:paraId="6D467530" w14:textId="77777777" w:rsidR="0039212D" w:rsidRDefault="0039212D" w:rsidP="0039212D">
            <w:pPr>
              <w:rPr>
                <w:color w:val="000000"/>
                <w:sz w:val="18"/>
                <w:szCs w:val="18"/>
              </w:rPr>
            </w:pPr>
            <w:r>
              <w:rPr>
                <w:color w:val="000000"/>
                <w:sz w:val="18"/>
                <w:szCs w:val="18"/>
              </w:rPr>
              <w:t>Unpublished</w:t>
            </w:r>
          </w:p>
        </w:tc>
        <w:tc>
          <w:tcPr>
            <w:tcW w:w="0" w:type="auto"/>
          </w:tcPr>
          <w:p w14:paraId="430A9E7C" w14:textId="77777777" w:rsidR="0039212D" w:rsidRDefault="0039212D" w:rsidP="0039212D">
            <w:pPr>
              <w:jc w:val="center"/>
              <w:rPr>
                <w:sz w:val="18"/>
                <w:szCs w:val="18"/>
              </w:rPr>
            </w:pPr>
            <w:r>
              <w:rPr>
                <w:color w:val="000000"/>
                <w:sz w:val="18"/>
                <w:szCs w:val="18"/>
              </w:rPr>
              <w:t>No</w:t>
            </w:r>
          </w:p>
        </w:tc>
        <w:tc>
          <w:tcPr>
            <w:tcW w:w="0" w:type="auto"/>
          </w:tcPr>
          <w:p w14:paraId="096ED231" w14:textId="69BAEA76" w:rsidR="0039212D" w:rsidRDefault="0039212D" w:rsidP="0039212D">
            <w:pPr>
              <w:pStyle w:val="RepTable"/>
              <w:jc w:val="center"/>
              <w:rPr>
                <w:highlight w:val="yellow"/>
              </w:rPr>
            </w:pPr>
            <w:r>
              <w:rPr>
                <w:color w:val="000000"/>
                <w:sz w:val="18"/>
                <w:szCs w:val="18"/>
              </w:rPr>
              <w:t>XXXX</w:t>
            </w:r>
          </w:p>
        </w:tc>
      </w:tr>
      <w:tr w:rsidR="0039212D" w14:paraId="2B75DF62" w14:textId="77777777" w:rsidTr="00B24D55">
        <w:tc>
          <w:tcPr>
            <w:tcW w:w="0" w:type="auto"/>
          </w:tcPr>
          <w:p w14:paraId="537B660A" w14:textId="77777777" w:rsidR="0039212D" w:rsidRDefault="0039212D" w:rsidP="0039212D">
            <w:pPr>
              <w:rPr>
                <w:sz w:val="18"/>
                <w:szCs w:val="18"/>
              </w:rPr>
            </w:pPr>
            <w:r>
              <w:rPr>
                <w:color w:val="000000"/>
                <w:sz w:val="18"/>
                <w:szCs w:val="18"/>
              </w:rPr>
              <w:t>KCP 10.4.2.1/2</w:t>
            </w:r>
          </w:p>
        </w:tc>
        <w:tc>
          <w:tcPr>
            <w:tcW w:w="0" w:type="auto"/>
          </w:tcPr>
          <w:p w14:paraId="400674CF" w14:textId="77777777" w:rsidR="0039212D" w:rsidRDefault="0039212D" w:rsidP="0039212D">
            <w:pPr>
              <w:rPr>
                <w:sz w:val="18"/>
                <w:szCs w:val="18"/>
              </w:rPr>
            </w:pPr>
            <w:r>
              <w:rPr>
                <w:color w:val="000000"/>
                <w:sz w:val="18"/>
                <w:szCs w:val="18"/>
              </w:rPr>
              <w:t>Schulz, L.</w:t>
            </w:r>
          </w:p>
        </w:tc>
        <w:tc>
          <w:tcPr>
            <w:tcW w:w="0" w:type="auto"/>
          </w:tcPr>
          <w:p w14:paraId="52BC079C" w14:textId="77777777" w:rsidR="0039212D" w:rsidRDefault="0039212D" w:rsidP="0039212D">
            <w:pPr>
              <w:jc w:val="center"/>
              <w:rPr>
                <w:sz w:val="18"/>
                <w:szCs w:val="18"/>
              </w:rPr>
            </w:pPr>
            <w:r>
              <w:rPr>
                <w:color w:val="000000"/>
                <w:sz w:val="18"/>
                <w:szCs w:val="18"/>
              </w:rPr>
              <w:t>2023</w:t>
            </w:r>
          </w:p>
        </w:tc>
        <w:tc>
          <w:tcPr>
            <w:tcW w:w="0" w:type="auto"/>
          </w:tcPr>
          <w:p w14:paraId="127CC06B" w14:textId="77777777" w:rsidR="0039212D" w:rsidRDefault="0039212D" w:rsidP="0039212D">
            <w:pPr>
              <w:rPr>
                <w:color w:val="000000"/>
                <w:sz w:val="18"/>
                <w:szCs w:val="18"/>
              </w:rPr>
            </w:pPr>
            <w:r>
              <w:rPr>
                <w:color w:val="000000"/>
                <w:sz w:val="18"/>
                <w:szCs w:val="18"/>
              </w:rPr>
              <w:t>Effects of BAS 743 02 F on the reproduction of the predatory mite Hypoaspis aculeifer</w:t>
            </w:r>
          </w:p>
          <w:p w14:paraId="56EE8D0E" w14:textId="77777777" w:rsidR="0039212D" w:rsidRDefault="0039212D" w:rsidP="0039212D">
            <w:pPr>
              <w:rPr>
                <w:color w:val="000000"/>
                <w:sz w:val="18"/>
                <w:szCs w:val="18"/>
              </w:rPr>
            </w:pPr>
            <w:r>
              <w:rPr>
                <w:color w:val="000000"/>
                <w:sz w:val="18"/>
                <w:szCs w:val="18"/>
              </w:rPr>
              <w:t>2022/2033721</w:t>
            </w:r>
          </w:p>
          <w:p w14:paraId="18A6372B" w14:textId="77777777" w:rsidR="0039212D" w:rsidRDefault="0039212D" w:rsidP="0039212D">
            <w:pPr>
              <w:rPr>
                <w:color w:val="000000"/>
                <w:sz w:val="18"/>
                <w:szCs w:val="18"/>
              </w:rPr>
            </w:pPr>
            <w:r>
              <w:rPr>
                <w:color w:val="000000"/>
                <w:sz w:val="18"/>
                <w:szCs w:val="18"/>
              </w:rPr>
              <w:t>BioChem agrar GmbH, Gerichshain, Germany Fed.Rep.</w:t>
            </w:r>
          </w:p>
          <w:p w14:paraId="3B9F215F" w14:textId="77777777" w:rsidR="0039212D" w:rsidRDefault="0039212D" w:rsidP="0039212D">
            <w:pPr>
              <w:rPr>
                <w:color w:val="000000"/>
                <w:sz w:val="18"/>
                <w:szCs w:val="18"/>
              </w:rPr>
            </w:pPr>
            <w:r>
              <w:rPr>
                <w:color w:val="000000"/>
                <w:sz w:val="18"/>
                <w:szCs w:val="18"/>
              </w:rPr>
              <w:t>yes</w:t>
            </w:r>
          </w:p>
          <w:p w14:paraId="62D00E8E" w14:textId="77777777" w:rsidR="0039212D" w:rsidRDefault="0039212D" w:rsidP="0039212D">
            <w:pPr>
              <w:rPr>
                <w:color w:val="000000"/>
                <w:sz w:val="18"/>
                <w:szCs w:val="18"/>
              </w:rPr>
            </w:pPr>
            <w:r>
              <w:rPr>
                <w:color w:val="000000"/>
                <w:sz w:val="18"/>
                <w:szCs w:val="18"/>
              </w:rPr>
              <w:t>Unpublished</w:t>
            </w:r>
          </w:p>
        </w:tc>
        <w:tc>
          <w:tcPr>
            <w:tcW w:w="0" w:type="auto"/>
          </w:tcPr>
          <w:p w14:paraId="62CB3DA4" w14:textId="77777777" w:rsidR="0039212D" w:rsidRDefault="0039212D" w:rsidP="0039212D">
            <w:pPr>
              <w:jc w:val="center"/>
              <w:rPr>
                <w:sz w:val="18"/>
                <w:szCs w:val="18"/>
              </w:rPr>
            </w:pPr>
            <w:r>
              <w:rPr>
                <w:color w:val="000000"/>
                <w:sz w:val="18"/>
                <w:szCs w:val="18"/>
              </w:rPr>
              <w:t>No</w:t>
            </w:r>
          </w:p>
        </w:tc>
        <w:tc>
          <w:tcPr>
            <w:tcW w:w="0" w:type="auto"/>
          </w:tcPr>
          <w:p w14:paraId="2A08B78A" w14:textId="1AE3DA86" w:rsidR="0039212D" w:rsidRDefault="0039212D" w:rsidP="0039212D">
            <w:pPr>
              <w:pStyle w:val="RepTable"/>
              <w:jc w:val="center"/>
              <w:rPr>
                <w:highlight w:val="yellow"/>
              </w:rPr>
            </w:pPr>
            <w:r>
              <w:rPr>
                <w:color w:val="000000"/>
                <w:sz w:val="18"/>
                <w:szCs w:val="18"/>
              </w:rPr>
              <w:t>XXXX</w:t>
            </w:r>
          </w:p>
        </w:tc>
      </w:tr>
      <w:tr w:rsidR="0039212D" w14:paraId="5844376F" w14:textId="77777777" w:rsidTr="00802A8C">
        <w:tc>
          <w:tcPr>
            <w:tcW w:w="0" w:type="auto"/>
            <w:shd w:val="clear" w:color="auto" w:fill="BDD6EE" w:themeFill="accent5" w:themeFillTint="66"/>
          </w:tcPr>
          <w:p w14:paraId="6407798F"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lastRenderedPageBreak/>
              <w:t>KCP 10.4.2.1/3</w:t>
            </w:r>
          </w:p>
        </w:tc>
        <w:tc>
          <w:tcPr>
            <w:tcW w:w="0" w:type="auto"/>
            <w:shd w:val="clear" w:color="auto" w:fill="BDD6EE" w:themeFill="accent5" w:themeFillTint="66"/>
          </w:tcPr>
          <w:p w14:paraId="0DCF3D51"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Friedrich, S.</w:t>
            </w:r>
          </w:p>
        </w:tc>
        <w:tc>
          <w:tcPr>
            <w:tcW w:w="0" w:type="auto"/>
            <w:shd w:val="clear" w:color="auto" w:fill="BDD6EE" w:themeFill="accent5" w:themeFillTint="66"/>
          </w:tcPr>
          <w:p w14:paraId="62700226" w14:textId="77777777" w:rsidR="0039212D" w:rsidRPr="002B1FB6" w:rsidRDefault="0039212D" w:rsidP="0039212D">
            <w:pPr>
              <w:jc w:val="center"/>
              <w:rPr>
                <w:strike/>
                <w:color w:val="D9D9D9" w:themeColor="background1" w:themeShade="D9"/>
                <w:sz w:val="18"/>
                <w:szCs w:val="18"/>
              </w:rPr>
            </w:pPr>
            <w:r w:rsidRPr="002B1FB6">
              <w:rPr>
                <w:strike/>
                <w:color w:val="D9D9D9" w:themeColor="background1" w:themeShade="D9"/>
                <w:sz w:val="18"/>
                <w:szCs w:val="18"/>
              </w:rPr>
              <w:t>2007</w:t>
            </w:r>
          </w:p>
        </w:tc>
        <w:tc>
          <w:tcPr>
            <w:tcW w:w="0" w:type="auto"/>
            <w:shd w:val="clear" w:color="auto" w:fill="BDD6EE" w:themeFill="accent5" w:themeFillTint="66"/>
          </w:tcPr>
          <w:p w14:paraId="7E0F4EB5"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Effects of BAS 650 00 F on the reproduction of the collembolans Folsomia candida in artificial soil with 5% peat</w:t>
            </w:r>
          </w:p>
          <w:p w14:paraId="2C4B6CF7"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2007/1037734</w:t>
            </w:r>
          </w:p>
          <w:p w14:paraId="64A01945"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BioChem agrar Labor fuer biologische und chemische Analytik GmbH, Gerichshain, Germany Fed.Rep.</w:t>
            </w:r>
          </w:p>
          <w:p w14:paraId="6CF6483A"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yes</w:t>
            </w:r>
          </w:p>
          <w:p w14:paraId="3F3DC2F2"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Unpublished</w:t>
            </w:r>
          </w:p>
        </w:tc>
        <w:tc>
          <w:tcPr>
            <w:tcW w:w="0" w:type="auto"/>
            <w:shd w:val="clear" w:color="auto" w:fill="BDD6EE" w:themeFill="accent5" w:themeFillTint="66"/>
          </w:tcPr>
          <w:p w14:paraId="3F6C8AB7" w14:textId="77777777" w:rsidR="0039212D" w:rsidRPr="002B1FB6" w:rsidRDefault="0039212D" w:rsidP="0039212D">
            <w:pPr>
              <w:jc w:val="center"/>
              <w:rPr>
                <w:strike/>
                <w:color w:val="D9D9D9" w:themeColor="background1" w:themeShade="D9"/>
                <w:sz w:val="18"/>
                <w:szCs w:val="18"/>
              </w:rPr>
            </w:pPr>
            <w:r w:rsidRPr="002B1FB6">
              <w:rPr>
                <w:strike/>
                <w:color w:val="D9D9D9" w:themeColor="background1" w:themeShade="D9"/>
                <w:sz w:val="18"/>
                <w:szCs w:val="18"/>
              </w:rPr>
              <w:t>No</w:t>
            </w:r>
          </w:p>
        </w:tc>
        <w:tc>
          <w:tcPr>
            <w:tcW w:w="0" w:type="auto"/>
            <w:shd w:val="clear" w:color="auto" w:fill="BDD6EE" w:themeFill="accent5" w:themeFillTint="66"/>
          </w:tcPr>
          <w:p w14:paraId="42126F4A" w14:textId="52AB325A" w:rsidR="0039212D" w:rsidRPr="002B1FB6" w:rsidRDefault="0039212D" w:rsidP="0039212D">
            <w:pPr>
              <w:pStyle w:val="RepTable"/>
              <w:jc w:val="center"/>
              <w:rPr>
                <w:strike/>
                <w:color w:val="D9D9D9" w:themeColor="background1" w:themeShade="D9"/>
                <w:highlight w:val="yellow"/>
              </w:rPr>
            </w:pPr>
            <w:r>
              <w:rPr>
                <w:color w:val="000000"/>
                <w:sz w:val="18"/>
                <w:szCs w:val="18"/>
              </w:rPr>
              <w:t>XXXX</w:t>
            </w:r>
          </w:p>
        </w:tc>
      </w:tr>
      <w:tr w:rsidR="0039212D" w14:paraId="5CD4B00E" w14:textId="77777777" w:rsidTr="00802A8C">
        <w:tc>
          <w:tcPr>
            <w:tcW w:w="0" w:type="auto"/>
            <w:shd w:val="clear" w:color="auto" w:fill="BDD6EE" w:themeFill="accent5" w:themeFillTint="66"/>
          </w:tcPr>
          <w:p w14:paraId="4C0F7717"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KCP 10.4.2.1/4</w:t>
            </w:r>
          </w:p>
        </w:tc>
        <w:tc>
          <w:tcPr>
            <w:tcW w:w="0" w:type="auto"/>
            <w:shd w:val="clear" w:color="auto" w:fill="BDD6EE" w:themeFill="accent5" w:themeFillTint="66"/>
          </w:tcPr>
          <w:p w14:paraId="08587810"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Schulz, L.</w:t>
            </w:r>
          </w:p>
        </w:tc>
        <w:tc>
          <w:tcPr>
            <w:tcW w:w="0" w:type="auto"/>
            <w:shd w:val="clear" w:color="auto" w:fill="BDD6EE" w:themeFill="accent5" w:themeFillTint="66"/>
          </w:tcPr>
          <w:p w14:paraId="4502B4F6" w14:textId="77777777" w:rsidR="0039212D" w:rsidRPr="002B1FB6" w:rsidRDefault="0039212D" w:rsidP="0039212D">
            <w:pPr>
              <w:jc w:val="center"/>
              <w:rPr>
                <w:strike/>
                <w:color w:val="D9D9D9" w:themeColor="background1" w:themeShade="D9"/>
                <w:sz w:val="18"/>
                <w:szCs w:val="18"/>
              </w:rPr>
            </w:pPr>
            <w:r w:rsidRPr="002B1FB6">
              <w:rPr>
                <w:strike/>
                <w:color w:val="D9D9D9" w:themeColor="background1" w:themeShade="D9"/>
                <w:sz w:val="18"/>
                <w:szCs w:val="18"/>
              </w:rPr>
              <w:t>2016</w:t>
            </w:r>
          </w:p>
        </w:tc>
        <w:tc>
          <w:tcPr>
            <w:tcW w:w="0" w:type="auto"/>
            <w:shd w:val="clear" w:color="auto" w:fill="BDD6EE" w:themeFill="accent5" w:themeFillTint="66"/>
          </w:tcPr>
          <w:p w14:paraId="13E50F38"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Effects of BAS 650 00 F on the reproduction of the predatory mite Hypoaspis aculeifer</w:t>
            </w:r>
          </w:p>
          <w:p w14:paraId="5585A69E"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2016/1193035</w:t>
            </w:r>
          </w:p>
          <w:p w14:paraId="0355DBFC" w14:textId="77777777" w:rsidR="0039212D" w:rsidRPr="002B1FB6" w:rsidRDefault="0039212D" w:rsidP="0039212D">
            <w:pPr>
              <w:rPr>
                <w:strike/>
                <w:color w:val="D9D9D9" w:themeColor="background1" w:themeShade="D9"/>
                <w:sz w:val="18"/>
                <w:szCs w:val="18"/>
                <w:lang w:val="de-DE"/>
              </w:rPr>
            </w:pPr>
            <w:r w:rsidRPr="002B1FB6">
              <w:rPr>
                <w:strike/>
                <w:color w:val="D9D9D9" w:themeColor="background1" w:themeShade="D9"/>
                <w:sz w:val="18"/>
                <w:szCs w:val="18"/>
                <w:lang w:val="de-DE"/>
              </w:rPr>
              <w:t>BioChem agrar Labor fuer biologische und chemische Analytik GmbH, Gerichshain, Germany Fed.Rep.</w:t>
            </w:r>
          </w:p>
          <w:p w14:paraId="0FE50B32"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yes</w:t>
            </w:r>
          </w:p>
          <w:p w14:paraId="60EB3CED" w14:textId="77777777" w:rsidR="0039212D" w:rsidRPr="002B1FB6" w:rsidRDefault="0039212D" w:rsidP="0039212D">
            <w:pPr>
              <w:rPr>
                <w:strike/>
                <w:color w:val="D9D9D9" w:themeColor="background1" w:themeShade="D9"/>
                <w:sz w:val="18"/>
                <w:szCs w:val="18"/>
              </w:rPr>
            </w:pPr>
            <w:r w:rsidRPr="002B1FB6">
              <w:rPr>
                <w:strike/>
                <w:color w:val="D9D9D9" w:themeColor="background1" w:themeShade="D9"/>
                <w:sz w:val="18"/>
                <w:szCs w:val="18"/>
              </w:rPr>
              <w:t>Unpublished</w:t>
            </w:r>
          </w:p>
        </w:tc>
        <w:tc>
          <w:tcPr>
            <w:tcW w:w="0" w:type="auto"/>
            <w:shd w:val="clear" w:color="auto" w:fill="BDD6EE" w:themeFill="accent5" w:themeFillTint="66"/>
          </w:tcPr>
          <w:p w14:paraId="3B8D400B" w14:textId="77777777" w:rsidR="0039212D" w:rsidRPr="002B1FB6" w:rsidRDefault="0039212D" w:rsidP="0039212D">
            <w:pPr>
              <w:jc w:val="center"/>
              <w:rPr>
                <w:strike/>
                <w:color w:val="D9D9D9" w:themeColor="background1" w:themeShade="D9"/>
                <w:sz w:val="18"/>
                <w:szCs w:val="18"/>
              </w:rPr>
            </w:pPr>
            <w:r w:rsidRPr="002B1FB6">
              <w:rPr>
                <w:strike/>
                <w:color w:val="D9D9D9" w:themeColor="background1" w:themeShade="D9"/>
                <w:sz w:val="18"/>
                <w:szCs w:val="18"/>
              </w:rPr>
              <w:t>No</w:t>
            </w:r>
          </w:p>
        </w:tc>
        <w:tc>
          <w:tcPr>
            <w:tcW w:w="0" w:type="auto"/>
            <w:shd w:val="clear" w:color="auto" w:fill="BDD6EE" w:themeFill="accent5" w:themeFillTint="66"/>
          </w:tcPr>
          <w:p w14:paraId="34DEA7B6" w14:textId="782F4967" w:rsidR="0039212D" w:rsidRPr="002B1FB6" w:rsidRDefault="0039212D" w:rsidP="0039212D">
            <w:pPr>
              <w:pStyle w:val="RepTable"/>
              <w:jc w:val="center"/>
              <w:rPr>
                <w:strike/>
                <w:color w:val="D9D9D9" w:themeColor="background1" w:themeShade="D9"/>
                <w:highlight w:val="yellow"/>
              </w:rPr>
            </w:pPr>
            <w:r>
              <w:rPr>
                <w:color w:val="000000"/>
                <w:sz w:val="18"/>
                <w:szCs w:val="18"/>
              </w:rPr>
              <w:t>XXXX</w:t>
            </w:r>
          </w:p>
        </w:tc>
      </w:tr>
      <w:tr w:rsidR="0039212D" w14:paraId="5CCECC4D" w14:textId="77777777" w:rsidTr="00B24D55">
        <w:tc>
          <w:tcPr>
            <w:tcW w:w="0" w:type="auto"/>
          </w:tcPr>
          <w:p w14:paraId="30C68E33" w14:textId="7AB57E75" w:rsidR="0039212D" w:rsidRPr="002B1FB6" w:rsidRDefault="0039212D" w:rsidP="0039212D">
            <w:pPr>
              <w:rPr>
                <w:strike/>
                <w:color w:val="D9D9D9" w:themeColor="background1" w:themeShade="D9"/>
                <w:sz w:val="18"/>
                <w:szCs w:val="18"/>
              </w:rPr>
            </w:pPr>
            <w:r>
              <w:rPr>
                <w:color w:val="000000"/>
                <w:sz w:val="18"/>
                <w:szCs w:val="18"/>
              </w:rPr>
              <w:t>KCP 10.5/1</w:t>
            </w:r>
          </w:p>
        </w:tc>
        <w:tc>
          <w:tcPr>
            <w:tcW w:w="0" w:type="auto"/>
          </w:tcPr>
          <w:p w14:paraId="4C4A133E" w14:textId="1FC1571A" w:rsidR="0039212D" w:rsidRPr="002B1FB6" w:rsidRDefault="0039212D" w:rsidP="0039212D">
            <w:pPr>
              <w:rPr>
                <w:strike/>
                <w:color w:val="D9D9D9" w:themeColor="background1" w:themeShade="D9"/>
                <w:sz w:val="18"/>
                <w:szCs w:val="18"/>
              </w:rPr>
            </w:pPr>
            <w:r>
              <w:rPr>
                <w:color w:val="000000"/>
                <w:sz w:val="18"/>
                <w:szCs w:val="18"/>
              </w:rPr>
              <w:t>Schulz, L.</w:t>
            </w:r>
          </w:p>
        </w:tc>
        <w:tc>
          <w:tcPr>
            <w:tcW w:w="0" w:type="auto"/>
          </w:tcPr>
          <w:p w14:paraId="50D10DC2" w14:textId="57373904" w:rsidR="0039212D" w:rsidRPr="002B1FB6" w:rsidRDefault="0039212D" w:rsidP="0039212D">
            <w:pPr>
              <w:jc w:val="center"/>
              <w:rPr>
                <w:strike/>
                <w:color w:val="D9D9D9" w:themeColor="background1" w:themeShade="D9"/>
                <w:sz w:val="18"/>
                <w:szCs w:val="18"/>
              </w:rPr>
            </w:pPr>
            <w:r>
              <w:rPr>
                <w:color w:val="000000"/>
                <w:sz w:val="18"/>
                <w:szCs w:val="18"/>
              </w:rPr>
              <w:t>2023</w:t>
            </w:r>
          </w:p>
        </w:tc>
        <w:tc>
          <w:tcPr>
            <w:tcW w:w="0" w:type="auto"/>
          </w:tcPr>
          <w:p w14:paraId="7C932D9C" w14:textId="77777777" w:rsidR="0039212D" w:rsidRDefault="0039212D" w:rsidP="0039212D">
            <w:pPr>
              <w:keepLines/>
              <w:pageBreakBefore/>
              <w:rPr>
                <w:color w:val="000000"/>
                <w:sz w:val="18"/>
                <w:szCs w:val="18"/>
              </w:rPr>
            </w:pPr>
            <w:r>
              <w:rPr>
                <w:color w:val="000000"/>
                <w:sz w:val="18"/>
                <w:szCs w:val="18"/>
              </w:rPr>
              <w:t>Effects of BAS 743 02 F on the activity of soil microflora (Nitrogen transformation test)</w:t>
            </w:r>
          </w:p>
          <w:p w14:paraId="3549ADBD" w14:textId="77777777" w:rsidR="0039212D" w:rsidRPr="00EE4E6B" w:rsidRDefault="0039212D" w:rsidP="0039212D">
            <w:pPr>
              <w:keepLines/>
              <w:pageBreakBefore/>
              <w:rPr>
                <w:color w:val="000000"/>
                <w:sz w:val="18"/>
                <w:szCs w:val="18"/>
                <w:lang w:val="de-DE"/>
              </w:rPr>
            </w:pPr>
            <w:r w:rsidRPr="00EE4E6B">
              <w:rPr>
                <w:color w:val="000000"/>
                <w:sz w:val="18"/>
                <w:szCs w:val="18"/>
                <w:lang w:val="de-DE"/>
              </w:rPr>
              <w:t>2022/2033717</w:t>
            </w:r>
          </w:p>
          <w:p w14:paraId="669AED12" w14:textId="77777777" w:rsidR="0039212D" w:rsidRPr="00EE4E6B" w:rsidRDefault="0039212D" w:rsidP="0039212D">
            <w:pPr>
              <w:keepLines/>
              <w:pageBreakBefore/>
              <w:rPr>
                <w:color w:val="000000"/>
                <w:sz w:val="18"/>
                <w:szCs w:val="18"/>
                <w:lang w:val="de-DE"/>
              </w:rPr>
            </w:pPr>
            <w:r w:rsidRPr="00EE4E6B">
              <w:rPr>
                <w:color w:val="000000"/>
                <w:sz w:val="18"/>
                <w:szCs w:val="18"/>
                <w:lang w:val="de-DE"/>
              </w:rPr>
              <w:t>BioChem agrar Labor fuer biologische und chemische Analytik GmbH, Machern OT Gerichshain, Germany Fed.Rep.</w:t>
            </w:r>
          </w:p>
          <w:p w14:paraId="6085BB55" w14:textId="77777777" w:rsidR="0039212D" w:rsidRDefault="0039212D" w:rsidP="0039212D">
            <w:pPr>
              <w:keepLines/>
              <w:pageBreakBefore/>
              <w:rPr>
                <w:color w:val="000000"/>
                <w:sz w:val="18"/>
                <w:szCs w:val="18"/>
              </w:rPr>
            </w:pPr>
            <w:r>
              <w:rPr>
                <w:color w:val="000000"/>
                <w:sz w:val="18"/>
                <w:szCs w:val="18"/>
              </w:rPr>
              <w:t>yes</w:t>
            </w:r>
          </w:p>
          <w:p w14:paraId="7F09BC51" w14:textId="05708606" w:rsidR="0039212D" w:rsidRPr="002B1FB6" w:rsidRDefault="0039212D" w:rsidP="0039212D">
            <w:pPr>
              <w:rPr>
                <w:strike/>
                <w:color w:val="D9D9D9" w:themeColor="background1" w:themeShade="D9"/>
                <w:sz w:val="18"/>
                <w:szCs w:val="18"/>
              </w:rPr>
            </w:pPr>
            <w:r>
              <w:rPr>
                <w:color w:val="000000"/>
                <w:sz w:val="18"/>
                <w:szCs w:val="18"/>
              </w:rPr>
              <w:t>Unpublished</w:t>
            </w:r>
          </w:p>
        </w:tc>
        <w:tc>
          <w:tcPr>
            <w:tcW w:w="0" w:type="auto"/>
          </w:tcPr>
          <w:p w14:paraId="338A5E65" w14:textId="48D23500" w:rsidR="0039212D" w:rsidRPr="002B1FB6" w:rsidRDefault="0039212D" w:rsidP="0039212D">
            <w:pPr>
              <w:jc w:val="center"/>
              <w:rPr>
                <w:strike/>
                <w:color w:val="D9D9D9" w:themeColor="background1" w:themeShade="D9"/>
                <w:sz w:val="18"/>
                <w:szCs w:val="18"/>
              </w:rPr>
            </w:pPr>
            <w:r>
              <w:rPr>
                <w:color w:val="000000"/>
                <w:sz w:val="18"/>
                <w:szCs w:val="18"/>
              </w:rPr>
              <w:t>No</w:t>
            </w:r>
          </w:p>
        </w:tc>
        <w:tc>
          <w:tcPr>
            <w:tcW w:w="0" w:type="auto"/>
          </w:tcPr>
          <w:p w14:paraId="5E5422FA" w14:textId="680F9F7E" w:rsidR="0039212D" w:rsidRPr="002B1FB6" w:rsidRDefault="0039212D" w:rsidP="0039212D">
            <w:pPr>
              <w:pStyle w:val="RepTable"/>
              <w:jc w:val="center"/>
              <w:rPr>
                <w:strike/>
                <w:color w:val="D9D9D9" w:themeColor="background1" w:themeShade="D9"/>
                <w:sz w:val="18"/>
                <w:szCs w:val="18"/>
              </w:rPr>
            </w:pPr>
            <w:r>
              <w:rPr>
                <w:color w:val="000000"/>
                <w:sz w:val="18"/>
                <w:szCs w:val="18"/>
              </w:rPr>
              <w:t>XXXX</w:t>
            </w:r>
          </w:p>
        </w:tc>
      </w:tr>
      <w:tr w:rsidR="0039212D" w14:paraId="47F20A02" w14:textId="77777777" w:rsidTr="00B24D55">
        <w:tc>
          <w:tcPr>
            <w:tcW w:w="0" w:type="auto"/>
          </w:tcPr>
          <w:p w14:paraId="57E3D273" w14:textId="3DB0D901" w:rsidR="0039212D" w:rsidRPr="002B1FB6" w:rsidRDefault="0039212D" w:rsidP="0039212D">
            <w:pPr>
              <w:rPr>
                <w:strike/>
                <w:color w:val="D9D9D9" w:themeColor="background1" w:themeShade="D9"/>
                <w:sz w:val="18"/>
                <w:szCs w:val="18"/>
              </w:rPr>
            </w:pPr>
            <w:r>
              <w:rPr>
                <w:color w:val="000000"/>
                <w:sz w:val="18"/>
                <w:szCs w:val="18"/>
              </w:rPr>
              <w:t>KCP 10.6/2</w:t>
            </w:r>
          </w:p>
        </w:tc>
        <w:tc>
          <w:tcPr>
            <w:tcW w:w="0" w:type="auto"/>
          </w:tcPr>
          <w:p w14:paraId="5A0D7BDD" w14:textId="4481DF65" w:rsidR="0039212D" w:rsidRPr="002B1FB6" w:rsidRDefault="0039212D" w:rsidP="0039212D">
            <w:pPr>
              <w:rPr>
                <w:strike/>
                <w:color w:val="D9D9D9" w:themeColor="background1" w:themeShade="D9"/>
                <w:sz w:val="18"/>
                <w:szCs w:val="18"/>
              </w:rPr>
            </w:pPr>
            <w:r>
              <w:rPr>
                <w:color w:val="000000"/>
                <w:sz w:val="18"/>
                <w:szCs w:val="18"/>
              </w:rPr>
              <w:t>Maleck, A.</w:t>
            </w:r>
          </w:p>
        </w:tc>
        <w:tc>
          <w:tcPr>
            <w:tcW w:w="0" w:type="auto"/>
          </w:tcPr>
          <w:p w14:paraId="5255B150" w14:textId="4563EBF9" w:rsidR="0039212D" w:rsidRPr="002B1FB6" w:rsidRDefault="0039212D" w:rsidP="0039212D">
            <w:pPr>
              <w:jc w:val="center"/>
              <w:rPr>
                <w:strike/>
                <w:color w:val="D9D9D9" w:themeColor="background1" w:themeShade="D9"/>
                <w:sz w:val="18"/>
                <w:szCs w:val="18"/>
              </w:rPr>
            </w:pPr>
            <w:r>
              <w:rPr>
                <w:color w:val="000000"/>
                <w:sz w:val="18"/>
                <w:szCs w:val="18"/>
              </w:rPr>
              <w:t>2023</w:t>
            </w:r>
          </w:p>
        </w:tc>
        <w:tc>
          <w:tcPr>
            <w:tcW w:w="0" w:type="auto"/>
          </w:tcPr>
          <w:p w14:paraId="256097D6" w14:textId="77777777" w:rsidR="0039212D" w:rsidRDefault="0039212D" w:rsidP="0039212D">
            <w:pPr>
              <w:rPr>
                <w:color w:val="000000"/>
                <w:sz w:val="18"/>
                <w:szCs w:val="18"/>
              </w:rPr>
            </w:pPr>
            <w:r>
              <w:rPr>
                <w:color w:val="000000"/>
                <w:sz w:val="18"/>
                <w:szCs w:val="18"/>
              </w:rPr>
              <w:t>Effect of BAS 743 02 F on seedling emergence and seedling growth of several species of terrestrial plants under greenhouse conditions</w:t>
            </w:r>
          </w:p>
          <w:p w14:paraId="05ADA132" w14:textId="77777777" w:rsidR="0039212D" w:rsidRDefault="0039212D" w:rsidP="0039212D">
            <w:pPr>
              <w:rPr>
                <w:color w:val="000000"/>
                <w:sz w:val="18"/>
                <w:szCs w:val="18"/>
              </w:rPr>
            </w:pPr>
            <w:r>
              <w:rPr>
                <w:color w:val="000000"/>
                <w:sz w:val="18"/>
                <w:szCs w:val="18"/>
              </w:rPr>
              <w:t>2022/2033722</w:t>
            </w:r>
          </w:p>
          <w:p w14:paraId="710DB455" w14:textId="77777777" w:rsidR="0039212D" w:rsidRDefault="0039212D" w:rsidP="0039212D">
            <w:pPr>
              <w:rPr>
                <w:color w:val="000000"/>
                <w:sz w:val="18"/>
                <w:szCs w:val="18"/>
              </w:rPr>
            </w:pPr>
            <w:r>
              <w:rPr>
                <w:color w:val="000000"/>
                <w:sz w:val="18"/>
                <w:szCs w:val="18"/>
              </w:rPr>
              <w:t>Agro-Check Dr. Teresiak &amp; Erdmann GbR, Lentzke, Germany Fed.Rep.</w:t>
            </w:r>
          </w:p>
          <w:p w14:paraId="35CC116C" w14:textId="77777777" w:rsidR="0039212D" w:rsidRDefault="0039212D" w:rsidP="0039212D">
            <w:pPr>
              <w:rPr>
                <w:color w:val="000000"/>
                <w:sz w:val="18"/>
                <w:szCs w:val="18"/>
              </w:rPr>
            </w:pPr>
            <w:r>
              <w:rPr>
                <w:color w:val="000000"/>
                <w:sz w:val="18"/>
                <w:szCs w:val="18"/>
              </w:rPr>
              <w:t>yes</w:t>
            </w:r>
          </w:p>
          <w:p w14:paraId="3C8036B6" w14:textId="70C52F7A" w:rsidR="0039212D" w:rsidRPr="002B1FB6" w:rsidRDefault="0039212D" w:rsidP="0039212D">
            <w:pPr>
              <w:rPr>
                <w:strike/>
                <w:color w:val="D9D9D9" w:themeColor="background1" w:themeShade="D9"/>
                <w:sz w:val="18"/>
                <w:szCs w:val="18"/>
              </w:rPr>
            </w:pPr>
            <w:r>
              <w:rPr>
                <w:color w:val="000000"/>
                <w:sz w:val="18"/>
                <w:szCs w:val="18"/>
              </w:rPr>
              <w:t>Unpublished</w:t>
            </w:r>
          </w:p>
        </w:tc>
        <w:tc>
          <w:tcPr>
            <w:tcW w:w="0" w:type="auto"/>
          </w:tcPr>
          <w:p w14:paraId="1DBFA622" w14:textId="57BB53F4" w:rsidR="0039212D" w:rsidRPr="002B1FB6" w:rsidRDefault="0039212D" w:rsidP="0039212D">
            <w:pPr>
              <w:jc w:val="center"/>
              <w:rPr>
                <w:strike/>
                <w:color w:val="D9D9D9" w:themeColor="background1" w:themeShade="D9"/>
                <w:sz w:val="18"/>
                <w:szCs w:val="18"/>
              </w:rPr>
            </w:pPr>
            <w:r>
              <w:rPr>
                <w:color w:val="000000"/>
                <w:sz w:val="18"/>
                <w:szCs w:val="18"/>
              </w:rPr>
              <w:t>No</w:t>
            </w:r>
          </w:p>
        </w:tc>
        <w:tc>
          <w:tcPr>
            <w:tcW w:w="0" w:type="auto"/>
          </w:tcPr>
          <w:p w14:paraId="5C551ACD" w14:textId="0B8F6221" w:rsidR="0039212D" w:rsidRPr="002B1FB6" w:rsidRDefault="0039212D" w:rsidP="0039212D">
            <w:pPr>
              <w:pStyle w:val="RepTable"/>
              <w:jc w:val="center"/>
              <w:rPr>
                <w:strike/>
                <w:color w:val="D9D9D9" w:themeColor="background1" w:themeShade="D9"/>
                <w:sz w:val="18"/>
                <w:szCs w:val="18"/>
              </w:rPr>
            </w:pPr>
            <w:r>
              <w:rPr>
                <w:color w:val="000000"/>
                <w:sz w:val="18"/>
                <w:szCs w:val="18"/>
              </w:rPr>
              <w:t>XXXX</w:t>
            </w:r>
          </w:p>
        </w:tc>
      </w:tr>
      <w:tr w:rsidR="0039212D" w14:paraId="335BEFD7" w14:textId="77777777" w:rsidTr="00B24D55">
        <w:tc>
          <w:tcPr>
            <w:tcW w:w="0" w:type="auto"/>
          </w:tcPr>
          <w:p w14:paraId="0FBDE005" w14:textId="6FB94FDE" w:rsidR="0039212D" w:rsidRPr="002B1FB6" w:rsidRDefault="0039212D" w:rsidP="0039212D">
            <w:pPr>
              <w:rPr>
                <w:strike/>
                <w:color w:val="D9D9D9" w:themeColor="background1" w:themeShade="D9"/>
                <w:sz w:val="18"/>
                <w:szCs w:val="18"/>
              </w:rPr>
            </w:pPr>
            <w:r>
              <w:rPr>
                <w:color w:val="000000"/>
                <w:sz w:val="18"/>
                <w:szCs w:val="18"/>
              </w:rPr>
              <w:t>KCP 10.6/3</w:t>
            </w:r>
          </w:p>
        </w:tc>
        <w:tc>
          <w:tcPr>
            <w:tcW w:w="0" w:type="auto"/>
          </w:tcPr>
          <w:p w14:paraId="0247E009" w14:textId="3339E485" w:rsidR="0039212D" w:rsidRPr="002B1FB6" w:rsidRDefault="0039212D" w:rsidP="0039212D">
            <w:pPr>
              <w:rPr>
                <w:strike/>
                <w:color w:val="D9D9D9" w:themeColor="background1" w:themeShade="D9"/>
                <w:sz w:val="18"/>
                <w:szCs w:val="18"/>
              </w:rPr>
            </w:pPr>
            <w:r>
              <w:rPr>
                <w:color w:val="000000"/>
                <w:sz w:val="18"/>
                <w:szCs w:val="18"/>
              </w:rPr>
              <w:t>Maleck, A.</w:t>
            </w:r>
          </w:p>
        </w:tc>
        <w:tc>
          <w:tcPr>
            <w:tcW w:w="0" w:type="auto"/>
          </w:tcPr>
          <w:p w14:paraId="1A6A5FEF" w14:textId="4F00994F" w:rsidR="0039212D" w:rsidRPr="002B1FB6" w:rsidRDefault="0039212D" w:rsidP="0039212D">
            <w:pPr>
              <w:jc w:val="center"/>
              <w:rPr>
                <w:strike/>
                <w:color w:val="D9D9D9" w:themeColor="background1" w:themeShade="D9"/>
                <w:sz w:val="18"/>
                <w:szCs w:val="18"/>
              </w:rPr>
            </w:pPr>
            <w:r>
              <w:rPr>
                <w:color w:val="000000"/>
                <w:sz w:val="18"/>
                <w:szCs w:val="18"/>
              </w:rPr>
              <w:t>2023</w:t>
            </w:r>
          </w:p>
        </w:tc>
        <w:tc>
          <w:tcPr>
            <w:tcW w:w="0" w:type="auto"/>
          </w:tcPr>
          <w:p w14:paraId="6506411E" w14:textId="77777777" w:rsidR="0039212D" w:rsidRDefault="0039212D" w:rsidP="0039212D">
            <w:pPr>
              <w:rPr>
                <w:color w:val="000000"/>
                <w:sz w:val="18"/>
                <w:szCs w:val="18"/>
              </w:rPr>
            </w:pPr>
            <w:r>
              <w:rPr>
                <w:color w:val="000000"/>
                <w:sz w:val="18"/>
                <w:szCs w:val="18"/>
              </w:rPr>
              <w:t>Effect of BAS 743 02 F on vegetative vigour of several species of terrestrial plants under greenhouse conditions</w:t>
            </w:r>
          </w:p>
          <w:p w14:paraId="3BFCF86F" w14:textId="77777777" w:rsidR="0039212D" w:rsidRDefault="0039212D" w:rsidP="0039212D">
            <w:pPr>
              <w:rPr>
                <w:color w:val="000000"/>
                <w:sz w:val="18"/>
                <w:szCs w:val="18"/>
              </w:rPr>
            </w:pPr>
            <w:r>
              <w:rPr>
                <w:color w:val="000000"/>
                <w:sz w:val="18"/>
                <w:szCs w:val="18"/>
              </w:rPr>
              <w:t>2022/2033723</w:t>
            </w:r>
          </w:p>
          <w:p w14:paraId="72D3A0AC" w14:textId="77777777" w:rsidR="0039212D" w:rsidRDefault="0039212D" w:rsidP="0039212D">
            <w:pPr>
              <w:rPr>
                <w:color w:val="000000"/>
                <w:sz w:val="18"/>
                <w:szCs w:val="18"/>
              </w:rPr>
            </w:pPr>
            <w:r>
              <w:rPr>
                <w:color w:val="000000"/>
                <w:sz w:val="18"/>
                <w:szCs w:val="18"/>
              </w:rPr>
              <w:t>Agro-Check Dr. Teresiak &amp; Erdmann GbR, Lentzke, Germany Fed.Rep.</w:t>
            </w:r>
          </w:p>
          <w:p w14:paraId="3BC7EB55" w14:textId="77777777" w:rsidR="0039212D" w:rsidRDefault="0039212D" w:rsidP="0039212D">
            <w:pPr>
              <w:rPr>
                <w:color w:val="000000"/>
                <w:sz w:val="18"/>
                <w:szCs w:val="18"/>
              </w:rPr>
            </w:pPr>
            <w:r>
              <w:rPr>
                <w:color w:val="000000"/>
                <w:sz w:val="18"/>
                <w:szCs w:val="18"/>
              </w:rPr>
              <w:t>yes</w:t>
            </w:r>
          </w:p>
          <w:p w14:paraId="7DEF232C" w14:textId="7F9BF7AA" w:rsidR="0039212D" w:rsidRPr="002B1FB6" w:rsidRDefault="0039212D" w:rsidP="0039212D">
            <w:pPr>
              <w:rPr>
                <w:strike/>
                <w:color w:val="D9D9D9" w:themeColor="background1" w:themeShade="D9"/>
                <w:sz w:val="18"/>
                <w:szCs w:val="18"/>
              </w:rPr>
            </w:pPr>
            <w:r>
              <w:rPr>
                <w:color w:val="000000"/>
                <w:sz w:val="18"/>
                <w:szCs w:val="18"/>
              </w:rPr>
              <w:t>Unpublished</w:t>
            </w:r>
          </w:p>
        </w:tc>
        <w:tc>
          <w:tcPr>
            <w:tcW w:w="0" w:type="auto"/>
          </w:tcPr>
          <w:p w14:paraId="5A254D89" w14:textId="1D792228" w:rsidR="0039212D" w:rsidRPr="002B1FB6" w:rsidRDefault="0039212D" w:rsidP="0039212D">
            <w:pPr>
              <w:jc w:val="center"/>
              <w:rPr>
                <w:strike/>
                <w:color w:val="D9D9D9" w:themeColor="background1" w:themeShade="D9"/>
                <w:sz w:val="18"/>
                <w:szCs w:val="18"/>
              </w:rPr>
            </w:pPr>
            <w:r>
              <w:rPr>
                <w:color w:val="000000"/>
                <w:sz w:val="18"/>
                <w:szCs w:val="18"/>
              </w:rPr>
              <w:t>No</w:t>
            </w:r>
          </w:p>
        </w:tc>
        <w:tc>
          <w:tcPr>
            <w:tcW w:w="0" w:type="auto"/>
          </w:tcPr>
          <w:p w14:paraId="641C7907" w14:textId="1D60997B" w:rsidR="0039212D" w:rsidRPr="002B1FB6" w:rsidRDefault="0039212D" w:rsidP="0039212D">
            <w:pPr>
              <w:pStyle w:val="RepTable"/>
              <w:jc w:val="center"/>
              <w:rPr>
                <w:strike/>
                <w:color w:val="D9D9D9" w:themeColor="background1" w:themeShade="D9"/>
                <w:sz w:val="18"/>
                <w:szCs w:val="18"/>
              </w:rPr>
            </w:pPr>
            <w:r>
              <w:rPr>
                <w:color w:val="000000"/>
                <w:sz w:val="18"/>
                <w:szCs w:val="18"/>
              </w:rPr>
              <w:t>XXXX</w:t>
            </w:r>
          </w:p>
        </w:tc>
      </w:tr>
    </w:tbl>
    <w:p w14:paraId="11DDBFF2" w14:textId="77777777" w:rsidR="00537256" w:rsidRPr="00537256" w:rsidRDefault="00537256" w:rsidP="00537256">
      <w:pPr>
        <w:pStyle w:val="RepStandard"/>
      </w:pPr>
    </w:p>
    <w:p w14:paraId="5DA8FFE8" w14:textId="0F999116" w:rsidR="00537256" w:rsidRDefault="00537256">
      <w:r>
        <w:br w:type="page"/>
      </w:r>
    </w:p>
    <w:p w14:paraId="376E5A39" w14:textId="77777777" w:rsidR="00DC5685" w:rsidRPr="00A34F10" w:rsidRDefault="00DC5685" w:rsidP="00DC5685">
      <w:pPr>
        <w:pStyle w:val="RepNewPart"/>
      </w:pPr>
      <w:r w:rsidRPr="00A34F10">
        <w:lastRenderedPageBreak/>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EB28EE" w:rsidRPr="004E41E6" w14:paraId="706A1195" w14:textId="77777777" w:rsidTr="003347E3">
        <w:trPr>
          <w:tblHeader/>
        </w:trPr>
        <w:tc>
          <w:tcPr>
            <w:tcW w:w="376" w:type="pct"/>
            <w:shd w:val="clear" w:color="auto" w:fill="auto"/>
            <w:vAlign w:val="center"/>
          </w:tcPr>
          <w:p w14:paraId="7848B4B2" w14:textId="77777777" w:rsidR="00EB28EE" w:rsidRPr="004E41E6" w:rsidRDefault="00EB28EE" w:rsidP="003347E3">
            <w:pPr>
              <w:pStyle w:val="RepTableHeader"/>
              <w:spacing w:before="0" w:after="0"/>
              <w:jc w:val="center"/>
            </w:pPr>
            <w:r w:rsidRPr="004E41E6">
              <w:t>Data point</w:t>
            </w:r>
          </w:p>
        </w:tc>
        <w:tc>
          <w:tcPr>
            <w:tcW w:w="615" w:type="pct"/>
            <w:shd w:val="clear" w:color="auto" w:fill="auto"/>
            <w:vAlign w:val="center"/>
          </w:tcPr>
          <w:p w14:paraId="184911B1" w14:textId="77777777" w:rsidR="00EB28EE" w:rsidRPr="004E41E6" w:rsidRDefault="00EB28EE" w:rsidP="003347E3">
            <w:pPr>
              <w:pStyle w:val="RepTableHeader"/>
              <w:spacing w:before="0" w:after="0"/>
              <w:jc w:val="center"/>
            </w:pPr>
            <w:r w:rsidRPr="004E41E6">
              <w:t>Author(s)</w:t>
            </w:r>
          </w:p>
        </w:tc>
        <w:tc>
          <w:tcPr>
            <w:tcW w:w="248" w:type="pct"/>
            <w:shd w:val="clear" w:color="auto" w:fill="auto"/>
            <w:vAlign w:val="center"/>
          </w:tcPr>
          <w:p w14:paraId="4638850C" w14:textId="77777777" w:rsidR="00EB28EE" w:rsidRPr="004E41E6" w:rsidRDefault="00EB28EE" w:rsidP="003347E3">
            <w:pPr>
              <w:pStyle w:val="RepTableHeader"/>
              <w:spacing w:before="0" w:after="0"/>
              <w:jc w:val="center"/>
            </w:pPr>
            <w:r w:rsidRPr="004E41E6">
              <w:t>Year</w:t>
            </w:r>
          </w:p>
        </w:tc>
        <w:tc>
          <w:tcPr>
            <w:tcW w:w="2927" w:type="pct"/>
            <w:shd w:val="clear" w:color="auto" w:fill="auto"/>
            <w:vAlign w:val="center"/>
          </w:tcPr>
          <w:p w14:paraId="0154FDB9" w14:textId="77777777" w:rsidR="00EB28EE" w:rsidRPr="0022256A" w:rsidRDefault="00EB28EE" w:rsidP="003347E3">
            <w:pPr>
              <w:pStyle w:val="RepTableHeader"/>
              <w:spacing w:before="0" w:after="0"/>
              <w:jc w:val="center"/>
            </w:pPr>
            <w:r w:rsidRPr="0022256A">
              <w:t>Title</w:t>
            </w:r>
            <w:r w:rsidRPr="0022256A">
              <w:br/>
              <w:t>Company Report No.</w:t>
            </w:r>
            <w:r w:rsidRPr="0022256A">
              <w:tab/>
            </w:r>
            <w:r w:rsidRPr="0022256A">
              <w:br/>
              <w:t>Source (where different from company)</w:t>
            </w:r>
            <w:r w:rsidRPr="0022256A">
              <w:br/>
              <w:t>GLP or GEP status</w:t>
            </w:r>
            <w:r w:rsidRPr="0022256A">
              <w:br/>
              <w:t>Published or not</w:t>
            </w:r>
          </w:p>
        </w:tc>
        <w:tc>
          <w:tcPr>
            <w:tcW w:w="415" w:type="pct"/>
            <w:shd w:val="clear" w:color="auto" w:fill="auto"/>
            <w:vAlign w:val="center"/>
          </w:tcPr>
          <w:p w14:paraId="349645F3" w14:textId="77777777" w:rsidR="00EB28EE" w:rsidRPr="004E41E6" w:rsidRDefault="00EB28EE" w:rsidP="003347E3">
            <w:pPr>
              <w:pStyle w:val="RepTableHeader"/>
              <w:spacing w:before="0" w:after="0"/>
              <w:jc w:val="center"/>
            </w:pPr>
            <w:r w:rsidRPr="004E41E6">
              <w:t>Vertebrate study</w:t>
            </w:r>
          </w:p>
          <w:p w14:paraId="04064769" w14:textId="77777777" w:rsidR="00EB28EE" w:rsidRPr="004E41E6" w:rsidRDefault="00EB28EE" w:rsidP="003347E3">
            <w:pPr>
              <w:pStyle w:val="RepTableHeader"/>
              <w:spacing w:before="0" w:after="0"/>
              <w:jc w:val="center"/>
            </w:pPr>
            <w:r w:rsidRPr="004E41E6">
              <w:t>Y/N</w:t>
            </w:r>
          </w:p>
        </w:tc>
        <w:tc>
          <w:tcPr>
            <w:tcW w:w="419" w:type="pct"/>
            <w:shd w:val="clear" w:color="auto" w:fill="auto"/>
            <w:vAlign w:val="center"/>
          </w:tcPr>
          <w:p w14:paraId="7FEE34BC" w14:textId="77777777" w:rsidR="00EB28EE" w:rsidRPr="004E41E6" w:rsidRDefault="00EB28EE" w:rsidP="003347E3">
            <w:pPr>
              <w:pStyle w:val="RepTableHeader"/>
              <w:spacing w:before="0" w:after="0"/>
              <w:jc w:val="center"/>
            </w:pPr>
            <w:r w:rsidRPr="004E41E6">
              <w:t>Owner</w:t>
            </w:r>
          </w:p>
        </w:tc>
      </w:tr>
      <w:tr w:rsidR="0039212D" w14:paraId="56EEC996" w14:textId="77777777" w:rsidTr="00E23E58">
        <w:tc>
          <w:tcPr>
            <w:tcW w:w="0" w:type="auto"/>
          </w:tcPr>
          <w:p w14:paraId="30317E56" w14:textId="77777777" w:rsidR="0039212D" w:rsidRDefault="0039212D" w:rsidP="0039212D">
            <w:pPr>
              <w:rPr>
                <w:sz w:val="18"/>
                <w:szCs w:val="18"/>
              </w:rPr>
            </w:pPr>
            <w:r>
              <w:rPr>
                <w:color w:val="000000"/>
                <w:sz w:val="18"/>
                <w:szCs w:val="18"/>
              </w:rPr>
              <w:t>KCP 10.1.1/1</w:t>
            </w:r>
          </w:p>
        </w:tc>
        <w:tc>
          <w:tcPr>
            <w:tcW w:w="0" w:type="auto"/>
          </w:tcPr>
          <w:p w14:paraId="75C870CC" w14:textId="2F1B7E91" w:rsidR="0039212D" w:rsidRDefault="0039212D" w:rsidP="0039212D">
            <w:pPr>
              <w:rPr>
                <w:sz w:val="18"/>
                <w:szCs w:val="18"/>
              </w:rPr>
            </w:pPr>
            <w:r>
              <w:rPr>
                <w:color w:val="000000"/>
                <w:sz w:val="18"/>
                <w:szCs w:val="18"/>
              </w:rPr>
              <w:t>XXXX</w:t>
            </w:r>
          </w:p>
        </w:tc>
        <w:tc>
          <w:tcPr>
            <w:tcW w:w="0" w:type="auto"/>
          </w:tcPr>
          <w:p w14:paraId="259C2DDC" w14:textId="77777777" w:rsidR="0039212D" w:rsidRDefault="0039212D" w:rsidP="0039212D">
            <w:pPr>
              <w:jc w:val="center"/>
              <w:rPr>
                <w:sz w:val="18"/>
                <w:szCs w:val="18"/>
              </w:rPr>
            </w:pPr>
            <w:r>
              <w:rPr>
                <w:color w:val="000000"/>
                <w:sz w:val="18"/>
                <w:szCs w:val="18"/>
              </w:rPr>
              <w:t>2007</w:t>
            </w:r>
          </w:p>
        </w:tc>
        <w:tc>
          <w:tcPr>
            <w:tcW w:w="0" w:type="auto"/>
          </w:tcPr>
          <w:p w14:paraId="73980C30" w14:textId="77777777" w:rsidR="0039212D" w:rsidRDefault="0039212D" w:rsidP="0039212D">
            <w:pPr>
              <w:rPr>
                <w:color w:val="000000"/>
                <w:sz w:val="18"/>
                <w:szCs w:val="18"/>
              </w:rPr>
            </w:pPr>
            <w:r w:rsidRPr="001249EB">
              <w:rPr>
                <w:color w:val="000000"/>
                <w:sz w:val="18"/>
                <w:szCs w:val="18"/>
              </w:rPr>
              <w:t>BAS 650 F: Acute toxicity in the bobwhite quail (Colinus virginianus) after single oral administration (LD50)</w:t>
            </w:r>
          </w:p>
          <w:p w14:paraId="2B188147" w14:textId="77777777" w:rsidR="0039212D" w:rsidRPr="001249EB" w:rsidRDefault="0039212D" w:rsidP="0039212D">
            <w:pPr>
              <w:rPr>
                <w:color w:val="000000"/>
                <w:sz w:val="18"/>
                <w:szCs w:val="18"/>
                <w:lang w:val="de-DE"/>
              </w:rPr>
            </w:pPr>
            <w:r w:rsidRPr="00EB28EE">
              <w:rPr>
                <w:color w:val="000000"/>
                <w:sz w:val="18"/>
                <w:szCs w:val="18"/>
                <w:lang w:val="de-DE"/>
              </w:rPr>
              <w:t>2006/1038389</w:t>
            </w:r>
          </w:p>
          <w:p w14:paraId="662453BD" w14:textId="61645E7D" w:rsidR="0039212D" w:rsidRPr="001249EB" w:rsidRDefault="0039212D" w:rsidP="0039212D">
            <w:pPr>
              <w:rPr>
                <w:color w:val="000000"/>
                <w:sz w:val="18"/>
                <w:szCs w:val="18"/>
                <w:lang w:val="de-DE"/>
              </w:rPr>
            </w:pPr>
            <w:r>
              <w:rPr>
                <w:color w:val="000000"/>
                <w:sz w:val="18"/>
                <w:szCs w:val="18"/>
                <w:lang w:val="de-DE"/>
              </w:rPr>
              <w:t>XXXX</w:t>
            </w:r>
          </w:p>
          <w:p w14:paraId="1AAD566D" w14:textId="77777777" w:rsidR="0039212D" w:rsidRDefault="0039212D" w:rsidP="0039212D">
            <w:pPr>
              <w:rPr>
                <w:color w:val="000000"/>
                <w:sz w:val="18"/>
                <w:szCs w:val="18"/>
              </w:rPr>
            </w:pPr>
            <w:r>
              <w:rPr>
                <w:color w:val="000000"/>
                <w:sz w:val="18"/>
                <w:szCs w:val="18"/>
              </w:rPr>
              <w:t>yes</w:t>
            </w:r>
          </w:p>
          <w:p w14:paraId="06D94222" w14:textId="77777777" w:rsidR="0039212D" w:rsidRDefault="0039212D" w:rsidP="0039212D">
            <w:pPr>
              <w:rPr>
                <w:color w:val="000000"/>
                <w:sz w:val="18"/>
                <w:szCs w:val="18"/>
              </w:rPr>
            </w:pPr>
            <w:r>
              <w:rPr>
                <w:color w:val="000000"/>
                <w:sz w:val="18"/>
                <w:szCs w:val="18"/>
              </w:rPr>
              <w:t>Unpublished</w:t>
            </w:r>
          </w:p>
        </w:tc>
        <w:tc>
          <w:tcPr>
            <w:tcW w:w="0" w:type="auto"/>
          </w:tcPr>
          <w:p w14:paraId="57CABE1C" w14:textId="77777777" w:rsidR="0039212D" w:rsidRDefault="0039212D" w:rsidP="0039212D">
            <w:pPr>
              <w:jc w:val="center"/>
              <w:rPr>
                <w:sz w:val="18"/>
                <w:szCs w:val="18"/>
              </w:rPr>
            </w:pPr>
            <w:r>
              <w:rPr>
                <w:color w:val="000000"/>
                <w:sz w:val="18"/>
                <w:szCs w:val="18"/>
              </w:rPr>
              <w:t>Yes</w:t>
            </w:r>
          </w:p>
        </w:tc>
        <w:tc>
          <w:tcPr>
            <w:tcW w:w="0" w:type="auto"/>
          </w:tcPr>
          <w:p w14:paraId="17EC1503" w14:textId="5856B9D5" w:rsidR="0039212D" w:rsidRDefault="0039212D" w:rsidP="0039212D">
            <w:pPr>
              <w:pStyle w:val="RepTable"/>
              <w:jc w:val="center"/>
              <w:rPr>
                <w:highlight w:val="yellow"/>
              </w:rPr>
            </w:pPr>
            <w:r>
              <w:rPr>
                <w:color w:val="000000"/>
                <w:sz w:val="18"/>
                <w:szCs w:val="18"/>
              </w:rPr>
              <w:t>XXXX</w:t>
            </w:r>
          </w:p>
        </w:tc>
      </w:tr>
      <w:tr w:rsidR="0039212D" w14:paraId="3084B1E0" w14:textId="77777777" w:rsidTr="00E23E58">
        <w:tc>
          <w:tcPr>
            <w:tcW w:w="0" w:type="auto"/>
          </w:tcPr>
          <w:p w14:paraId="21B873DC" w14:textId="77777777" w:rsidR="0039212D" w:rsidRDefault="0039212D" w:rsidP="0039212D">
            <w:pPr>
              <w:rPr>
                <w:sz w:val="18"/>
                <w:szCs w:val="18"/>
              </w:rPr>
            </w:pPr>
            <w:r>
              <w:rPr>
                <w:color w:val="000000"/>
                <w:sz w:val="18"/>
                <w:szCs w:val="18"/>
              </w:rPr>
              <w:t>KCP 10.1.1/2</w:t>
            </w:r>
          </w:p>
        </w:tc>
        <w:tc>
          <w:tcPr>
            <w:tcW w:w="0" w:type="auto"/>
          </w:tcPr>
          <w:p w14:paraId="3C4175C5" w14:textId="43D3FD92" w:rsidR="0039212D" w:rsidRDefault="0039212D" w:rsidP="0039212D">
            <w:pPr>
              <w:rPr>
                <w:sz w:val="18"/>
                <w:szCs w:val="18"/>
              </w:rPr>
            </w:pPr>
            <w:r>
              <w:rPr>
                <w:color w:val="000000"/>
                <w:sz w:val="18"/>
                <w:szCs w:val="18"/>
              </w:rPr>
              <w:t>XXXX</w:t>
            </w:r>
          </w:p>
        </w:tc>
        <w:tc>
          <w:tcPr>
            <w:tcW w:w="0" w:type="auto"/>
          </w:tcPr>
          <w:p w14:paraId="364FDEE8" w14:textId="77777777" w:rsidR="0039212D" w:rsidRDefault="0039212D" w:rsidP="0039212D">
            <w:pPr>
              <w:jc w:val="center"/>
              <w:rPr>
                <w:sz w:val="18"/>
                <w:szCs w:val="18"/>
              </w:rPr>
            </w:pPr>
            <w:r>
              <w:rPr>
                <w:color w:val="000000"/>
                <w:sz w:val="18"/>
                <w:szCs w:val="18"/>
              </w:rPr>
              <w:t>2007</w:t>
            </w:r>
          </w:p>
        </w:tc>
        <w:tc>
          <w:tcPr>
            <w:tcW w:w="0" w:type="auto"/>
          </w:tcPr>
          <w:p w14:paraId="31274A0A" w14:textId="77777777" w:rsidR="0039212D" w:rsidRDefault="0039212D" w:rsidP="0039212D">
            <w:pPr>
              <w:rPr>
                <w:color w:val="000000"/>
                <w:sz w:val="18"/>
                <w:szCs w:val="18"/>
              </w:rPr>
            </w:pPr>
            <w:r w:rsidRPr="001249EB">
              <w:rPr>
                <w:color w:val="000000"/>
                <w:sz w:val="18"/>
                <w:szCs w:val="18"/>
              </w:rPr>
              <w:t>BAS 650 F: Acute toxicity in the mallard duck (Anas platyrhynchos) after single oral administration (LD50)</w:t>
            </w:r>
          </w:p>
          <w:p w14:paraId="4B5040B7" w14:textId="77777777" w:rsidR="0039212D" w:rsidRPr="001249EB" w:rsidRDefault="0039212D" w:rsidP="0039212D">
            <w:pPr>
              <w:rPr>
                <w:color w:val="000000"/>
                <w:sz w:val="18"/>
                <w:szCs w:val="18"/>
                <w:lang w:val="de-DE"/>
              </w:rPr>
            </w:pPr>
            <w:r w:rsidRPr="00EB28EE">
              <w:rPr>
                <w:color w:val="000000"/>
                <w:sz w:val="18"/>
                <w:szCs w:val="18"/>
                <w:lang w:val="de-DE"/>
              </w:rPr>
              <w:t>2006/1038390</w:t>
            </w:r>
          </w:p>
          <w:p w14:paraId="60CF9993" w14:textId="73BB373B" w:rsidR="0039212D" w:rsidRPr="001249EB" w:rsidRDefault="0039212D" w:rsidP="0039212D">
            <w:pPr>
              <w:rPr>
                <w:color w:val="000000"/>
                <w:sz w:val="18"/>
                <w:szCs w:val="18"/>
                <w:lang w:val="de-DE"/>
              </w:rPr>
            </w:pPr>
            <w:r>
              <w:rPr>
                <w:color w:val="000000"/>
                <w:sz w:val="18"/>
                <w:szCs w:val="18"/>
                <w:lang w:val="de-DE"/>
              </w:rPr>
              <w:t>XXXX</w:t>
            </w:r>
          </w:p>
          <w:p w14:paraId="1743883A" w14:textId="77777777" w:rsidR="0039212D" w:rsidRDefault="0039212D" w:rsidP="0039212D">
            <w:pPr>
              <w:rPr>
                <w:color w:val="000000"/>
                <w:sz w:val="18"/>
                <w:szCs w:val="18"/>
              </w:rPr>
            </w:pPr>
            <w:r>
              <w:rPr>
                <w:color w:val="000000"/>
                <w:sz w:val="18"/>
                <w:szCs w:val="18"/>
              </w:rPr>
              <w:t>yes</w:t>
            </w:r>
          </w:p>
          <w:p w14:paraId="14CDDB29" w14:textId="77777777" w:rsidR="0039212D" w:rsidRDefault="0039212D" w:rsidP="0039212D">
            <w:pPr>
              <w:rPr>
                <w:color w:val="000000"/>
                <w:sz w:val="18"/>
                <w:szCs w:val="18"/>
              </w:rPr>
            </w:pPr>
            <w:r>
              <w:rPr>
                <w:color w:val="000000"/>
                <w:sz w:val="18"/>
                <w:szCs w:val="18"/>
              </w:rPr>
              <w:t>Unpublished</w:t>
            </w:r>
          </w:p>
        </w:tc>
        <w:tc>
          <w:tcPr>
            <w:tcW w:w="0" w:type="auto"/>
          </w:tcPr>
          <w:p w14:paraId="385D6F50" w14:textId="77777777" w:rsidR="0039212D" w:rsidRDefault="0039212D" w:rsidP="0039212D">
            <w:pPr>
              <w:jc w:val="center"/>
              <w:rPr>
                <w:sz w:val="18"/>
                <w:szCs w:val="18"/>
              </w:rPr>
            </w:pPr>
            <w:r>
              <w:rPr>
                <w:color w:val="000000"/>
                <w:sz w:val="18"/>
                <w:szCs w:val="18"/>
              </w:rPr>
              <w:t>Yes</w:t>
            </w:r>
          </w:p>
        </w:tc>
        <w:tc>
          <w:tcPr>
            <w:tcW w:w="0" w:type="auto"/>
          </w:tcPr>
          <w:p w14:paraId="73842B79" w14:textId="0CF1DD9A" w:rsidR="0039212D" w:rsidRDefault="0039212D" w:rsidP="0039212D">
            <w:pPr>
              <w:pStyle w:val="RepTable"/>
              <w:jc w:val="center"/>
              <w:rPr>
                <w:highlight w:val="yellow"/>
              </w:rPr>
            </w:pPr>
            <w:r>
              <w:rPr>
                <w:color w:val="000000"/>
                <w:sz w:val="18"/>
                <w:szCs w:val="18"/>
              </w:rPr>
              <w:t>XXXX</w:t>
            </w:r>
          </w:p>
        </w:tc>
      </w:tr>
      <w:tr w:rsidR="0039212D" w14:paraId="21F6A14A" w14:textId="77777777" w:rsidTr="00E23E58">
        <w:tc>
          <w:tcPr>
            <w:tcW w:w="0" w:type="auto"/>
          </w:tcPr>
          <w:p w14:paraId="6DA8AE05" w14:textId="77777777" w:rsidR="0039212D" w:rsidRDefault="0039212D" w:rsidP="0039212D">
            <w:pPr>
              <w:rPr>
                <w:sz w:val="18"/>
                <w:szCs w:val="18"/>
              </w:rPr>
            </w:pPr>
            <w:r>
              <w:rPr>
                <w:color w:val="000000"/>
                <w:sz w:val="18"/>
                <w:szCs w:val="18"/>
              </w:rPr>
              <w:t>KCP 10.1.1/3</w:t>
            </w:r>
          </w:p>
        </w:tc>
        <w:tc>
          <w:tcPr>
            <w:tcW w:w="0" w:type="auto"/>
          </w:tcPr>
          <w:p w14:paraId="7B28F93D" w14:textId="2543B92B" w:rsidR="0039212D" w:rsidRDefault="0039212D" w:rsidP="0039212D">
            <w:pPr>
              <w:rPr>
                <w:sz w:val="18"/>
                <w:szCs w:val="18"/>
              </w:rPr>
            </w:pPr>
            <w:r>
              <w:rPr>
                <w:color w:val="000000"/>
                <w:sz w:val="18"/>
                <w:szCs w:val="18"/>
              </w:rPr>
              <w:t>XXXX</w:t>
            </w:r>
          </w:p>
        </w:tc>
        <w:tc>
          <w:tcPr>
            <w:tcW w:w="0" w:type="auto"/>
          </w:tcPr>
          <w:p w14:paraId="6DEE8A13" w14:textId="77777777" w:rsidR="0039212D" w:rsidRDefault="0039212D" w:rsidP="0039212D">
            <w:pPr>
              <w:jc w:val="center"/>
              <w:rPr>
                <w:sz w:val="18"/>
                <w:szCs w:val="18"/>
              </w:rPr>
            </w:pPr>
            <w:r>
              <w:rPr>
                <w:color w:val="000000"/>
                <w:sz w:val="18"/>
                <w:szCs w:val="18"/>
              </w:rPr>
              <w:t>2008</w:t>
            </w:r>
          </w:p>
        </w:tc>
        <w:tc>
          <w:tcPr>
            <w:tcW w:w="0" w:type="auto"/>
          </w:tcPr>
          <w:p w14:paraId="7333F0E9" w14:textId="77777777" w:rsidR="0039212D" w:rsidRDefault="0039212D" w:rsidP="0039212D">
            <w:pPr>
              <w:rPr>
                <w:color w:val="000000"/>
                <w:sz w:val="18"/>
                <w:szCs w:val="18"/>
              </w:rPr>
            </w:pPr>
            <w:r w:rsidRPr="001249EB">
              <w:rPr>
                <w:color w:val="000000"/>
                <w:sz w:val="18"/>
                <w:szCs w:val="18"/>
              </w:rPr>
              <w:t>BAS 650 F - 1-Generation reproduction study on the bobwhite quail (Colinus virginianus) by administration in the diet</w:t>
            </w:r>
          </w:p>
          <w:p w14:paraId="2AAE1E25" w14:textId="77777777" w:rsidR="0039212D" w:rsidRPr="001249EB" w:rsidRDefault="0039212D" w:rsidP="0039212D">
            <w:pPr>
              <w:rPr>
                <w:color w:val="000000"/>
                <w:sz w:val="18"/>
                <w:szCs w:val="18"/>
                <w:lang w:val="de-DE"/>
              </w:rPr>
            </w:pPr>
            <w:r w:rsidRPr="00EB28EE">
              <w:rPr>
                <w:color w:val="000000"/>
                <w:sz w:val="18"/>
                <w:szCs w:val="18"/>
                <w:lang w:val="de-DE"/>
              </w:rPr>
              <w:t>2008/1023023</w:t>
            </w:r>
          </w:p>
          <w:p w14:paraId="74C742E3" w14:textId="4E148E56" w:rsidR="0039212D" w:rsidRPr="001249EB" w:rsidRDefault="0039212D" w:rsidP="0039212D">
            <w:pPr>
              <w:rPr>
                <w:color w:val="000000"/>
                <w:sz w:val="18"/>
                <w:szCs w:val="18"/>
                <w:lang w:val="de-DE"/>
              </w:rPr>
            </w:pPr>
            <w:r>
              <w:rPr>
                <w:color w:val="000000"/>
                <w:sz w:val="18"/>
                <w:szCs w:val="18"/>
                <w:lang w:val="de-DE"/>
              </w:rPr>
              <w:t>XXXX</w:t>
            </w:r>
          </w:p>
          <w:p w14:paraId="1B5DE951" w14:textId="77777777" w:rsidR="0039212D" w:rsidRDefault="0039212D" w:rsidP="0039212D">
            <w:pPr>
              <w:rPr>
                <w:color w:val="000000"/>
                <w:sz w:val="18"/>
                <w:szCs w:val="18"/>
              </w:rPr>
            </w:pPr>
            <w:r>
              <w:rPr>
                <w:color w:val="000000"/>
                <w:sz w:val="18"/>
                <w:szCs w:val="18"/>
              </w:rPr>
              <w:t>yes</w:t>
            </w:r>
          </w:p>
          <w:p w14:paraId="7CCC7CCC" w14:textId="77777777" w:rsidR="0039212D" w:rsidRDefault="0039212D" w:rsidP="0039212D">
            <w:pPr>
              <w:rPr>
                <w:color w:val="000000"/>
                <w:sz w:val="18"/>
                <w:szCs w:val="18"/>
              </w:rPr>
            </w:pPr>
            <w:r>
              <w:rPr>
                <w:color w:val="000000"/>
                <w:sz w:val="18"/>
                <w:szCs w:val="18"/>
              </w:rPr>
              <w:t>Unpublished</w:t>
            </w:r>
          </w:p>
        </w:tc>
        <w:tc>
          <w:tcPr>
            <w:tcW w:w="0" w:type="auto"/>
          </w:tcPr>
          <w:p w14:paraId="4BDC9D0A" w14:textId="77777777" w:rsidR="0039212D" w:rsidRDefault="0039212D" w:rsidP="0039212D">
            <w:pPr>
              <w:jc w:val="center"/>
              <w:rPr>
                <w:sz w:val="18"/>
                <w:szCs w:val="18"/>
              </w:rPr>
            </w:pPr>
            <w:r>
              <w:rPr>
                <w:color w:val="000000"/>
                <w:sz w:val="18"/>
                <w:szCs w:val="18"/>
              </w:rPr>
              <w:t>Yes</w:t>
            </w:r>
          </w:p>
        </w:tc>
        <w:tc>
          <w:tcPr>
            <w:tcW w:w="0" w:type="auto"/>
          </w:tcPr>
          <w:p w14:paraId="69815715" w14:textId="624BA133" w:rsidR="0039212D" w:rsidRDefault="0039212D" w:rsidP="0039212D">
            <w:pPr>
              <w:pStyle w:val="RepTable"/>
              <w:jc w:val="center"/>
              <w:rPr>
                <w:highlight w:val="yellow"/>
              </w:rPr>
            </w:pPr>
            <w:r>
              <w:rPr>
                <w:color w:val="000000"/>
                <w:sz w:val="18"/>
                <w:szCs w:val="18"/>
              </w:rPr>
              <w:t>XXXX</w:t>
            </w:r>
          </w:p>
        </w:tc>
      </w:tr>
      <w:tr w:rsidR="0039212D" w14:paraId="5B62B70B" w14:textId="77777777" w:rsidTr="00E23E58">
        <w:tc>
          <w:tcPr>
            <w:tcW w:w="0" w:type="auto"/>
          </w:tcPr>
          <w:p w14:paraId="3982F7BD" w14:textId="59344DAC" w:rsidR="0039212D" w:rsidRDefault="0039212D" w:rsidP="0039212D">
            <w:pPr>
              <w:rPr>
                <w:color w:val="000000"/>
                <w:sz w:val="18"/>
                <w:szCs w:val="18"/>
              </w:rPr>
            </w:pPr>
            <w:r>
              <w:rPr>
                <w:color w:val="000000"/>
                <w:sz w:val="18"/>
                <w:szCs w:val="18"/>
              </w:rPr>
              <w:t>KCP 10.1.1/4</w:t>
            </w:r>
          </w:p>
        </w:tc>
        <w:tc>
          <w:tcPr>
            <w:tcW w:w="0" w:type="auto"/>
          </w:tcPr>
          <w:p w14:paraId="7066E014" w14:textId="16DBC25A" w:rsidR="0039212D" w:rsidRDefault="0039212D" w:rsidP="0039212D">
            <w:pPr>
              <w:rPr>
                <w:color w:val="000000"/>
                <w:sz w:val="18"/>
                <w:szCs w:val="18"/>
              </w:rPr>
            </w:pPr>
            <w:r>
              <w:rPr>
                <w:color w:val="000000"/>
                <w:sz w:val="18"/>
                <w:szCs w:val="18"/>
              </w:rPr>
              <w:t>XXXX</w:t>
            </w:r>
          </w:p>
        </w:tc>
        <w:tc>
          <w:tcPr>
            <w:tcW w:w="0" w:type="auto"/>
          </w:tcPr>
          <w:p w14:paraId="35AF57FA" w14:textId="4CC54298" w:rsidR="0039212D" w:rsidRDefault="0039212D" w:rsidP="0039212D">
            <w:pPr>
              <w:jc w:val="center"/>
              <w:rPr>
                <w:color w:val="000000"/>
                <w:sz w:val="18"/>
                <w:szCs w:val="18"/>
              </w:rPr>
            </w:pPr>
            <w:r>
              <w:rPr>
                <w:color w:val="000000"/>
                <w:sz w:val="18"/>
                <w:szCs w:val="18"/>
              </w:rPr>
              <w:t>2008</w:t>
            </w:r>
          </w:p>
        </w:tc>
        <w:tc>
          <w:tcPr>
            <w:tcW w:w="0" w:type="auto"/>
          </w:tcPr>
          <w:p w14:paraId="469891FE" w14:textId="77777777" w:rsidR="0039212D" w:rsidRDefault="0039212D" w:rsidP="0039212D">
            <w:pPr>
              <w:keepLines/>
              <w:pageBreakBefore/>
              <w:rPr>
                <w:color w:val="000000"/>
                <w:sz w:val="18"/>
                <w:szCs w:val="18"/>
              </w:rPr>
            </w:pPr>
            <w:r w:rsidRPr="001249EB">
              <w:rPr>
                <w:color w:val="000000"/>
                <w:sz w:val="18"/>
                <w:szCs w:val="18"/>
              </w:rPr>
              <w:t>Amendment No. 1: BAS 650 F - 1-Generation reproduction study on the bobwhite quail (Colinus virginianus) by administration in the diet</w:t>
            </w:r>
          </w:p>
          <w:p w14:paraId="66258FC4" w14:textId="77777777" w:rsidR="0039212D" w:rsidRPr="001249EB" w:rsidRDefault="0039212D" w:rsidP="0039212D">
            <w:pPr>
              <w:keepLines/>
              <w:pageBreakBefore/>
              <w:rPr>
                <w:color w:val="000000"/>
                <w:sz w:val="18"/>
                <w:szCs w:val="18"/>
                <w:lang w:val="de-DE"/>
              </w:rPr>
            </w:pPr>
            <w:r w:rsidRPr="00EB28EE">
              <w:rPr>
                <w:color w:val="000000"/>
                <w:sz w:val="18"/>
                <w:szCs w:val="18"/>
                <w:lang w:val="de-DE"/>
              </w:rPr>
              <w:t>2008/1071959</w:t>
            </w:r>
          </w:p>
          <w:p w14:paraId="4A0951E1" w14:textId="7856490F" w:rsidR="0039212D" w:rsidRPr="001249EB" w:rsidRDefault="0039212D" w:rsidP="0039212D">
            <w:pPr>
              <w:keepLines/>
              <w:pageBreakBefore/>
              <w:rPr>
                <w:color w:val="000000"/>
                <w:sz w:val="18"/>
                <w:szCs w:val="18"/>
                <w:lang w:val="de-DE"/>
              </w:rPr>
            </w:pPr>
            <w:r>
              <w:rPr>
                <w:color w:val="000000"/>
                <w:sz w:val="18"/>
                <w:szCs w:val="18"/>
                <w:lang w:val="de-DE"/>
              </w:rPr>
              <w:t>XXXX</w:t>
            </w:r>
          </w:p>
          <w:p w14:paraId="6297125B" w14:textId="77777777" w:rsidR="0039212D" w:rsidRDefault="0039212D" w:rsidP="0039212D">
            <w:pPr>
              <w:keepLines/>
              <w:pageBreakBefore/>
              <w:rPr>
                <w:color w:val="000000"/>
                <w:sz w:val="18"/>
                <w:szCs w:val="18"/>
              </w:rPr>
            </w:pPr>
            <w:r>
              <w:rPr>
                <w:color w:val="000000"/>
                <w:sz w:val="18"/>
                <w:szCs w:val="18"/>
              </w:rPr>
              <w:t>yes</w:t>
            </w:r>
          </w:p>
          <w:p w14:paraId="22CEDD46" w14:textId="58A8234B" w:rsidR="0039212D" w:rsidRPr="001249EB" w:rsidRDefault="0039212D" w:rsidP="0039212D">
            <w:pPr>
              <w:rPr>
                <w:color w:val="000000"/>
                <w:sz w:val="18"/>
                <w:szCs w:val="18"/>
              </w:rPr>
            </w:pPr>
            <w:r>
              <w:rPr>
                <w:color w:val="000000"/>
                <w:sz w:val="18"/>
                <w:szCs w:val="18"/>
              </w:rPr>
              <w:t>Unpublished</w:t>
            </w:r>
          </w:p>
        </w:tc>
        <w:tc>
          <w:tcPr>
            <w:tcW w:w="0" w:type="auto"/>
          </w:tcPr>
          <w:p w14:paraId="750B9CE5" w14:textId="455EE636" w:rsidR="0039212D" w:rsidRDefault="0039212D" w:rsidP="0039212D">
            <w:pPr>
              <w:jc w:val="center"/>
              <w:rPr>
                <w:color w:val="000000"/>
                <w:sz w:val="18"/>
                <w:szCs w:val="18"/>
              </w:rPr>
            </w:pPr>
            <w:r>
              <w:rPr>
                <w:color w:val="000000"/>
                <w:sz w:val="18"/>
                <w:szCs w:val="18"/>
              </w:rPr>
              <w:t>Yes</w:t>
            </w:r>
          </w:p>
        </w:tc>
        <w:tc>
          <w:tcPr>
            <w:tcW w:w="0" w:type="auto"/>
          </w:tcPr>
          <w:p w14:paraId="598EEE8F" w14:textId="2181742A" w:rsidR="0039212D" w:rsidRDefault="0039212D" w:rsidP="0039212D">
            <w:pPr>
              <w:pStyle w:val="RepTable"/>
              <w:jc w:val="center"/>
              <w:rPr>
                <w:color w:val="000000"/>
                <w:sz w:val="18"/>
                <w:szCs w:val="18"/>
              </w:rPr>
            </w:pPr>
            <w:r>
              <w:rPr>
                <w:color w:val="000000"/>
                <w:sz w:val="18"/>
                <w:szCs w:val="18"/>
              </w:rPr>
              <w:t>XXXX</w:t>
            </w:r>
          </w:p>
        </w:tc>
      </w:tr>
      <w:tr w:rsidR="0039212D" w14:paraId="454347D0" w14:textId="77777777" w:rsidTr="00E23E58">
        <w:tc>
          <w:tcPr>
            <w:tcW w:w="0" w:type="auto"/>
          </w:tcPr>
          <w:p w14:paraId="05D02494" w14:textId="3065CAF1" w:rsidR="0039212D" w:rsidRDefault="0039212D" w:rsidP="0039212D">
            <w:pPr>
              <w:rPr>
                <w:color w:val="000000"/>
                <w:sz w:val="18"/>
                <w:szCs w:val="18"/>
              </w:rPr>
            </w:pPr>
            <w:r>
              <w:rPr>
                <w:color w:val="000000"/>
                <w:sz w:val="18"/>
                <w:szCs w:val="18"/>
              </w:rPr>
              <w:t>KCP 10.1.1/5</w:t>
            </w:r>
          </w:p>
        </w:tc>
        <w:tc>
          <w:tcPr>
            <w:tcW w:w="0" w:type="auto"/>
          </w:tcPr>
          <w:p w14:paraId="1D17E9B4" w14:textId="48508B11" w:rsidR="0039212D" w:rsidRDefault="0039212D" w:rsidP="0039212D">
            <w:pPr>
              <w:rPr>
                <w:color w:val="000000"/>
                <w:sz w:val="18"/>
                <w:szCs w:val="18"/>
              </w:rPr>
            </w:pPr>
            <w:r>
              <w:rPr>
                <w:color w:val="000000"/>
                <w:sz w:val="18"/>
                <w:szCs w:val="18"/>
              </w:rPr>
              <w:t>XXXX</w:t>
            </w:r>
          </w:p>
        </w:tc>
        <w:tc>
          <w:tcPr>
            <w:tcW w:w="0" w:type="auto"/>
          </w:tcPr>
          <w:p w14:paraId="396D711D" w14:textId="1BB44D7A" w:rsidR="0039212D" w:rsidRDefault="0039212D" w:rsidP="0039212D">
            <w:pPr>
              <w:jc w:val="center"/>
              <w:rPr>
                <w:color w:val="000000"/>
                <w:sz w:val="18"/>
                <w:szCs w:val="18"/>
              </w:rPr>
            </w:pPr>
            <w:r>
              <w:rPr>
                <w:color w:val="000000"/>
                <w:sz w:val="18"/>
                <w:szCs w:val="18"/>
              </w:rPr>
              <w:t>2009</w:t>
            </w:r>
          </w:p>
        </w:tc>
        <w:tc>
          <w:tcPr>
            <w:tcW w:w="0" w:type="auto"/>
          </w:tcPr>
          <w:p w14:paraId="6F0D0F3E" w14:textId="77777777" w:rsidR="0039212D" w:rsidRDefault="0039212D" w:rsidP="0039212D">
            <w:pPr>
              <w:rPr>
                <w:color w:val="000000"/>
                <w:sz w:val="18"/>
                <w:szCs w:val="18"/>
              </w:rPr>
            </w:pPr>
            <w:r w:rsidRPr="001249EB">
              <w:rPr>
                <w:color w:val="000000"/>
                <w:sz w:val="18"/>
                <w:szCs w:val="18"/>
              </w:rPr>
              <w:t>Amendment No. 2: BAS 650 F - 1-Generation reproduction study on the bobwhite quail (Colinus virginianus) by administration in the diet</w:t>
            </w:r>
          </w:p>
          <w:p w14:paraId="630EBA21" w14:textId="77777777" w:rsidR="0039212D" w:rsidRPr="001249EB" w:rsidRDefault="0039212D" w:rsidP="0039212D">
            <w:pPr>
              <w:rPr>
                <w:color w:val="000000"/>
                <w:sz w:val="18"/>
                <w:szCs w:val="18"/>
                <w:lang w:val="de-DE"/>
              </w:rPr>
            </w:pPr>
            <w:r w:rsidRPr="00EB28EE">
              <w:rPr>
                <w:color w:val="000000"/>
                <w:sz w:val="18"/>
                <w:szCs w:val="18"/>
                <w:lang w:val="de-DE"/>
              </w:rPr>
              <w:t>2009/1079840</w:t>
            </w:r>
          </w:p>
          <w:p w14:paraId="47076086" w14:textId="6FB5BDF3" w:rsidR="0039212D" w:rsidRPr="001249EB" w:rsidRDefault="0039212D" w:rsidP="0039212D">
            <w:pPr>
              <w:rPr>
                <w:color w:val="000000"/>
                <w:sz w:val="18"/>
                <w:szCs w:val="18"/>
                <w:lang w:val="de-DE"/>
              </w:rPr>
            </w:pPr>
            <w:r>
              <w:rPr>
                <w:color w:val="000000"/>
                <w:sz w:val="18"/>
                <w:szCs w:val="18"/>
                <w:lang w:val="de-DE"/>
              </w:rPr>
              <w:t>XXXX</w:t>
            </w:r>
          </w:p>
          <w:p w14:paraId="010EDB09" w14:textId="77777777" w:rsidR="0039212D" w:rsidRDefault="0039212D" w:rsidP="0039212D">
            <w:pPr>
              <w:rPr>
                <w:color w:val="000000"/>
                <w:sz w:val="18"/>
                <w:szCs w:val="18"/>
              </w:rPr>
            </w:pPr>
            <w:r>
              <w:rPr>
                <w:color w:val="000000"/>
                <w:sz w:val="18"/>
                <w:szCs w:val="18"/>
              </w:rPr>
              <w:t>yes</w:t>
            </w:r>
          </w:p>
          <w:p w14:paraId="36992D64" w14:textId="31F5A064" w:rsidR="0039212D" w:rsidRPr="001249EB" w:rsidRDefault="0039212D" w:rsidP="0039212D">
            <w:pPr>
              <w:rPr>
                <w:color w:val="000000"/>
                <w:sz w:val="18"/>
                <w:szCs w:val="18"/>
              </w:rPr>
            </w:pPr>
            <w:r>
              <w:rPr>
                <w:color w:val="000000"/>
                <w:sz w:val="18"/>
                <w:szCs w:val="18"/>
              </w:rPr>
              <w:t>Unpublished</w:t>
            </w:r>
          </w:p>
        </w:tc>
        <w:tc>
          <w:tcPr>
            <w:tcW w:w="0" w:type="auto"/>
          </w:tcPr>
          <w:p w14:paraId="2D6F3696" w14:textId="3716F80B" w:rsidR="0039212D" w:rsidRDefault="0039212D" w:rsidP="0039212D">
            <w:pPr>
              <w:jc w:val="center"/>
              <w:rPr>
                <w:color w:val="000000"/>
                <w:sz w:val="18"/>
                <w:szCs w:val="18"/>
              </w:rPr>
            </w:pPr>
            <w:r>
              <w:rPr>
                <w:color w:val="000000"/>
                <w:sz w:val="18"/>
                <w:szCs w:val="18"/>
              </w:rPr>
              <w:t>Yes</w:t>
            </w:r>
          </w:p>
        </w:tc>
        <w:tc>
          <w:tcPr>
            <w:tcW w:w="0" w:type="auto"/>
          </w:tcPr>
          <w:p w14:paraId="1E8DE97E" w14:textId="31308AC7" w:rsidR="0039212D" w:rsidRDefault="0039212D" w:rsidP="0039212D">
            <w:pPr>
              <w:pStyle w:val="RepTable"/>
              <w:jc w:val="center"/>
              <w:rPr>
                <w:color w:val="000000"/>
                <w:sz w:val="18"/>
                <w:szCs w:val="18"/>
              </w:rPr>
            </w:pPr>
            <w:r>
              <w:rPr>
                <w:color w:val="000000"/>
                <w:sz w:val="18"/>
                <w:szCs w:val="18"/>
              </w:rPr>
              <w:t>XXXX</w:t>
            </w:r>
          </w:p>
        </w:tc>
      </w:tr>
      <w:tr w:rsidR="0039212D" w14:paraId="2C8191AB" w14:textId="77777777" w:rsidTr="00E23E58">
        <w:tc>
          <w:tcPr>
            <w:tcW w:w="0" w:type="auto"/>
          </w:tcPr>
          <w:p w14:paraId="49233666" w14:textId="52482716" w:rsidR="0039212D" w:rsidRDefault="0039212D" w:rsidP="0039212D">
            <w:pPr>
              <w:rPr>
                <w:color w:val="000000"/>
                <w:sz w:val="18"/>
                <w:szCs w:val="18"/>
              </w:rPr>
            </w:pPr>
            <w:r>
              <w:rPr>
                <w:color w:val="000000"/>
                <w:sz w:val="18"/>
                <w:szCs w:val="18"/>
              </w:rPr>
              <w:t>KCP 10.1.1/6</w:t>
            </w:r>
          </w:p>
        </w:tc>
        <w:tc>
          <w:tcPr>
            <w:tcW w:w="0" w:type="auto"/>
          </w:tcPr>
          <w:p w14:paraId="66EACD2E" w14:textId="2B2CE18F" w:rsidR="0039212D" w:rsidRDefault="0039212D" w:rsidP="0039212D">
            <w:pPr>
              <w:rPr>
                <w:color w:val="000000"/>
                <w:sz w:val="18"/>
                <w:szCs w:val="18"/>
              </w:rPr>
            </w:pPr>
            <w:r>
              <w:rPr>
                <w:color w:val="000000"/>
                <w:sz w:val="18"/>
                <w:szCs w:val="18"/>
              </w:rPr>
              <w:t>XXXX</w:t>
            </w:r>
          </w:p>
        </w:tc>
        <w:tc>
          <w:tcPr>
            <w:tcW w:w="0" w:type="auto"/>
          </w:tcPr>
          <w:p w14:paraId="58CE4DA7" w14:textId="5118E919" w:rsidR="0039212D" w:rsidRDefault="0039212D" w:rsidP="0039212D">
            <w:pPr>
              <w:jc w:val="center"/>
              <w:rPr>
                <w:color w:val="000000"/>
                <w:sz w:val="18"/>
                <w:szCs w:val="18"/>
              </w:rPr>
            </w:pPr>
            <w:r>
              <w:rPr>
                <w:color w:val="000000"/>
                <w:sz w:val="18"/>
                <w:szCs w:val="18"/>
              </w:rPr>
              <w:t>2007</w:t>
            </w:r>
          </w:p>
        </w:tc>
        <w:tc>
          <w:tcPr>
            <w:tcW w:w="0" w:type="auto"/>
          </w:tcPr>
          <w:p w14:paraId="43B342B7" w14:textId="77777777" w:rsidR="0039212D" w:rsidRDefault="0039212D" w:rsidP="0039212D">
            <w:pPr>
              <w:rPr>
                <w:color w:val="000000"/>
                <w:sz w:val="18"/>
                <w:szCs w:val="18"/>
              </w:rPr>
            </w:pPr>
            <w:r w:rsidRPr="001249EB">
              <w:rPr>
                <w:color w:val="000000"/>
                <w:sz w:val="18"/>
                <w:szCs w:val="18"/>
              </w:rPr>
              <w:t>BAS 650 F - 1-generation reproduction study on the mallard duck (Anas platyrhynchus) by administration in the diet</w:t>
            </w:r>
          </w:p>
          <w:p w14:paraId="4F135021" w14:textId="77777777" w:rsidR="0039212D" w:rsidRPr="001249EB" w:rsidRDefault="0039212D" w:rsidP="0039212D">
            <w:pPr>
              <w:rPr>
                <w:color w:val="000000"/>
                <w:sz w:val="18"/>
                <w:szCs w:val="18"/>
                <w:lang w:val="de-DE"/>
              </w:rPr>
            </w:pPr>
            <w:r w:rsidRPr="00EB28EE">
              <w:rPr>
                <w:color w:val="000000"/>
                <w:sz w:val="18"/>
                <w:szCs w:val="18"/>
                <w:lang w:val="de-DE"/>
              </w:rPr>
              <w:t>2007/1050786</w:t>
            </w:r>
          </w:p>
          <w:p w14:paraId="32F5E02D" w14:textId="0A570F0B" w:rsidR="0039212D" w:rsidRPr="001249EB" w:rsidRDefault="0039212D" w:rsidP="0039212D">
            <w:pPr>
              <w:rPr>
                <w:color w:val="000000"/>
                <w:sz w:val="18"/>
                <w:szCs w:val="18"/>
                <w:lang w:val="de-DE"/>
              </w:rPr>
            </w:pPr>
            <w:r>
              <w:rPr>
                <w:color w:val="000000"/>
                <w:sz w:val="18"/>
                <w:szCs w:val="18"/>
                <w:lang w:val="de-DE"/>
              </w:rPr>
              <w:t>XXXX</w:t>
            </w:r>
          </w:p>
          <w:p w14:paraId="1DA5DE30" w14:textId="77777777" w:rsidR="0039212D" w:rsidRDefault="0039212D" w:rsidP="0039212D">
            <w:pPr>
              <w:rPr>
                <w:color w:val="000000"/>
                <w:sz w:val="18"/>
                <w:szCs w:val="18"/>
              </w:rPr>
            </w:pPr>
            <w:r>
              <w:rPr>
                <w:color w:val="000000"/>
                <w:sz w:val="18"/>
                <w:szCs w:val="18"/>
              </w:rPr>
              <w:lastRenderedPageBreak/>
              <w:t>yes</w:t>
            </w:r>
          </w:p>
          <w:p w14:paraId="7D85E7BD" w14:textId="7F49A7FB" w:rsidR="0039212D" w:rsidRPr="001249EB" w:rsidRDefault="0039212D" w:rsidP="0039212D">
            <w:pPr>
              <w:rPr>
                <w:color w:val="000000"/>
                <w:sz w:val="18"/>
                <w:szCs w:val="18"/>
              </w:rPr>
            </w:pPr>
            <w:r>
              <w:rPr>
                <w:color w:val="000000"/>
                <w:sz w:val="18"/>
                <w:szCs w:val="18"/>
              </w:rPr>
              <w:t>Unpublished</w:t>
            </w:r>
          </w:p>
        </w:tc>
        <w:tc>
          <w:tcPr>
            <w:tcW w:w="0" w:type="auto"/>
          </w:tcPr>
          <w:p w14:paraId="15184954" w14:textId="47BE5280" w:rsidR="0039212D" w:rsidRDefault="0039212D" w:rsidP="0039212D">
            <w:pPr>
              <w:jc w:val="center"/>
              <w:rPr>
                <w:color w:val="000000"/>
                <w:sz w:val="18"/>
                <w:szCs w:val="18"/>
              </w:rPr>
            </w:pPr>
            <w:r>
              <w:rPr>
                <w:color w:val="000000"/>
                <w:sz w:val="18"/>
                <w:szCs w:val="18"/>
              </w:rPr>
              <w:lastRenderedPageBreak/>
              <w:t>Yes</w:t>
            </w:r>
          </w:p>
        </w:tc>
        <w:tc>
          <w:tcPr>
            <w:tcW w:w="0" w:type="auto"/>
          </w:tcPr>
          <w:p w14:paraId="5FC1E52B" w14:textId="3A46BDF4" w:rsidR="0039212D" w:rsidRDefault="0039212D" w:rsidP="0039212D">
            <w:pPr>
              <w:pStyle w:val="RepTable"/>
              <w:jc w:val="center"/>
              <w:rPr>
                <w:color w:val="000000"/>
                <w:sz w:val="18"/>
                <w:szCs w:val="18"/>
              </w:rPr>
            </w:pPr>
            <w:r>
              <w:rPr>
                <w:color w:val="000000"/>
                <w:sz w:val="18"/>
                <w:szCs w:val="18"/>
              </w:rPr>
              <w:t>XXXX</w:t>
            </w:r>
          </w:p>
        </w:tc>
      </w:tr>
      <w:tr w:rsidR="0039212D" w14:paraId="77684EE8" w14:textId="77777777" w:rsidTr="00E23E58">
        <w:tc>
          <w:tcPr>
            <w:tcW w:w="0" w:type="auto"/>
          </w:tcPr>
          <w:p w14:paraId="411DE10D" w14:textId="4F63FE5E" w:rsidR="0039212D" w:rsidRDefault="0039212D" w:rsidP="0039212D">
            <w:pPr>
              <w:rPr>
                <w:color w:val="000000"/>
                <w:sz w:val="18"/>
                <w:szCs w:val="18"/>
              </w:rPr>
            </w:pPr>
            <w:r>
              <w:rPr>
                <w:color w:val="000000"/>
                <w:sz w:val="18"/>
                <w:szCs w:val="18"/>
              </w:rPr>
              <w:t>KCP 10.1.1/7</w:t>
            </w:r>
          </w:p>
        </w:tc>
        <w:tc>
          <w:tcPr>
            <w:tcW w:w="0" w:type="auto"/>
          </w:tcPr>
          <w:p w14:paraId="324F951A" w14:textId="71A2AC29" w:rsidR="0039212D" w:rsidRDefault="0039212D" w:rsidP="0039212D">
            <w:pPr>
              <w:rPr>
                <w:color w:val="000000"/>
                <w:sz w:val="18"/>
                <w:szCs w:val="18"/>
              </w:rPr>
            </w:pPr>
            <w:r>
              <w:rPr>
                <w:color w:val="000000"/>
                <w:sz w:val="18"/>
                <w:szCs w:val="18"/>
              </w:rPr>
              <w:t>XXXX</w:t>
            </w:r>
          </w:p>
        </w:tc>
        <w:tc>
          <w:tcPr>
            <w:tcW w:w="0" w:type="auto"/>
          </w:tcPr>
          <w:p w14:paraId="3217D712" w14:textId="1DC0199C" w:rsidR="0039212D" w:rsidRDefault="0039212D" w:rsidP="0039212D">
            <w:pPr>
              <w:jc w:val="center"/>
              <w:rPr>
                <w:color w:val="000000"/>
                <w:sz w:val="18"/>
                <w:szCs w:val="18"/>
              </w:rPr>
            </w:pPr>
            <w:r>
              <w:rPr>
                <w:color w:val="000000"/>
                <w:sz w:val="18"/>
                <w:szCs w:val="18"/>
              </w:rPr>
              <w:t>2009</w:t>
            </w:r>
          </w:p>
        </w:tc>
        <w:tc>
          <w:tcPr>
            <w:tcW w:w="0" w:type="auto"/>
          </w:tcPr>
          <w:p w14:paraId="6DA33D00" w14:textId="77777777" w:rsidR="0039212D" w:rsidRDefault="0039212D" w:rsidP="0039212D">
            <w:pPr>
              <w:keepLines/>
              <w:pageBreakBefore/>
              <w:rPr>
                <w:color w:val="000000"/>
                <w:sz w:val="18"/>
                <w:szCs w:val="18"/>
              </w:rPr>
            </w:pPr>
            <w:r w:rsidRPr="001249EB">
              <w:rPr>
                <w:color w:val="000000"/>
                <w:sz w:val="18"/>
                <w:szCs w:val="18"/>
              </w:rPr>
              <w:t>Amendment No. 1: BAS 650 F - 1-Generation reproduction study on the mallard duck (Anas platyrhynchus) by administration in the diet</w:t>
            </w:r>
          </w:p>
          <w:p w14:paraId="2A682635" w14:textId="77777777" w:rsidR="0039212D" w:rsidRPr="001249EB" w:rsidRDefault="0039212D" w:rsidP="0039212D">
            <w:pPr>
              <w:keepLines/>
              <w:pageBreakBefore/>
              <w:rPr>
                <w:color w:val="000000"/>
                <w:sz w:val="18"/>
                <w:szCs w:val="18"/>
                <w:lang w:val="de-DE"/>
              </w:rPr>
            </w:pPr>
            <w:r w:rsidRPr="00EB28EE">
              <w:rPr>
                <w:color w:val="000000"/>
                <w:sz w:val="18"/>
                <w:szCs w:val="18"/>
                <w:lang w:val="de-DE"/>
              </w:rPr>
              <w:t>2009/1079841</w:t>
            </w:r>
          </w:p>
          <w:p w14:paraId="788E86CF" w14:textId="7447EC7B" w:rsidR="0039212D" w:rsidRPr="001249EB" w:rsidRDefault="0039212D" w:rsidP="0039212D">
            <w:pPr>
              <w:keepLines/>
              <w:pageBreakBefore/>
              <w:rPr>
                <w:color w:val="000000"/>
                <w:sz w:val="18"/>
                <w:szCs w:val="18"/>
                <w:lang w:val="de-DE"/>
              </w:rPr>
            </w:pPr>
            <w:r>
              <w:rPr>
                <w:color w:val="000000"/>
                <w:sz w:val="18"/>
                <w:szCs w:val="18"/>
                <w:lang w:val="de-DE"/>
              </w:rPr>
              <w:t>XXXX</w:t>
            </w:r>
          </w:p>
          <w:p w14:paraId="0ED69EF3" w14:textId="77777777" w:rsidR="0039212D" w:rsidRDefault="0039212D" w:rsidP="0039212D">
            <w:pPr>
              <w:keepLines/>
              <w:pageBreakBefore/>
              <w:rPr>
                <w:color w:val="000000"/>
                <w:sz w:val="18"/>
                <w:szCs w:val="18"/>
              </w:rPr>
            </w:pPr>
            <w:r>
              <w:rPr>
                <w:color w:val="000000"/>
                <w:sz w:val="18"/>
                <w:szCs w:val="18"/>
              </w:rPr>
              <w:t>yes</w:t>
            </w:r>
          </w:p>
          <w:p w14:paraId="57A29219" w14:textId="5A9C8B8B" w:rsidR="0039212D" w:rsidRPr="001249EB" w:rsidRDefault="0039212D" w:rsidP="0039212D">
            <w:pPr>
              <w:rPr>
                <w:color w:val="000000"/>
                <w:sz w:val="18"/>
                <w:szCs w:val="18"/>
              </w:rPr>
            </w:pPr>
            <w:r>
              <w:rPr>
                <w:color w:val="000000"/>
                <w:sz w:val="18"/>
                <w:szCs w:val="18"/>
              </w:rPr>
              <w:t>Unpublished</w:t>
            </w:r>
          </w:p>
        </w:tc>
        <w:tc>
          <w:tcPr>
            <w:tcW w:w="0" w:type="auto"/>
          </w:tcPr>
          <w:p w14:paraId="12CBAAA4" w14:textId="42A24756" w:rsidR="0039212D" w:rsidRDefault="0039212D" w:rsidP="0039212D">
            <w:pPr>
              <w:jc w:val="center"/>
              <w:rPr>
                <w:color w:val="000000"/>
                <w:sz w:val="18"/>
                <w:szCs w:val="18"/>
              </w:rPr>
            </w:pPr>
            <w:r>
              <w:rPr>
                <w:color w:val="000000"/>
                <w:sz w:val="18"/>
                <w:szCs w:val="18"/>
              </w:rPr>
              <w:t>Yes</w:t>
            </w:r>
          </w:p>
        </w:tc>
        <w:tc>
          <w:tcPr>
            <w:tcW w:w="0" w:type="auto"/>
          </w:tcPr>
          <w:p w14:paraId="2A5E1C16" w14:textId="516ED582" w:rsidR="0039212D" w:rsidRDefault="0039212D" w:rsidP="0039212D">
            <w:pPr>
              <w:pStyle w:val="RepTable"/>
              <w:jc w:val="center"/>
              <w:rPr>
                <w:color w:val="000000"/>
                <w:sz w:val="18"/>
                <w:szCs w:val="18"/>
              </w:rPr>
            </w:pPr>
            <w:r>
              <w:rPr>
                <w:color w:val="000000"/>
                <w:sz w:val="18"/>
                <w:szCs w:val="18"/>
              </w:rPr>
              <w:t>XXXX</w:t>
            </w:r>
          </w:p>
        </w:tc>
      </w:tr>
      <w:tr w:rsidR="0039212D" w14:paraId="6B214036" w14:textId="77777777" w:rsidTr="00E23E58">
        <w:tc>
          <w:tcPr>
            <w:tcW w:w="0" w:type="auto"/>
          </w:tcPr>
          <w:p w14:paraId="3DE36127" w14:textId="5D3E2B75" w:rsidR="0039212D" w:rsidRDefault="0039212D" w:rsidP="0039212D">
            <w:pPr>
              <w:rPr>
                <w:color w:val="000000"/>
                <w:sz w:val="18"/>
                <w:szCs w:val="18"/>
              </w:rPr>
            </w:pPr>
            <w:r>
              <w:rPr>
                <w:color w:val="000000"/>
                <w:sz w:val="18"/>
                <w:szCs w:val="18"/>
              </w:rPr>
              <w:t>KCP 10.1.1/8</w:t>
            </w:r>
          </w:p>
        </w:tc>
        <w:tc>
          <w:tcPr>
            <w:tcW w:w="0" w:type="auto"/>
          </w:tcPr>
          <w:p w14:paraId="5712F453" w14:textId="527138BB" w:rsidR="0039212D" w:rsidRDefault="0039212D" w:rsidP="0039212D">
            <w:pPr>
              <w:rPr>
                <w:color w:val="000000"/>
                <w:sz w:val="18"/>
                <w:szCs w:val="18"/>
              </w:rPr>
            </w:pPr>
            <w:r>
              <w:rPr>
                <w:color w:val="000000"/>
                <w:sz w:val="18"/>
                <w:szCs w:val="18"/>
              </w:rPr>
              <w:t>XXXX</w:t>
            </w:r>
          </w:p>
        </w:tc>
        <w:tc>
          <w:tcPr>
            <w:tcW w:w="0" w:type="auto"/>
          </w:tcPr>
          <w:p w14:paraId="0D340838" w14:textId="28BCD8F4" w:rsidR="0039212D" w:rsidRDefault="0039212D" w:rsidP="0039212D">
            <w:pPr>
              <w:jc w:val="center"/>
              <w:rPr>
                <w:color w:val="000000"/>
                <w:sz w:val="18"/>
                <w:szCs w:val="18"/>
              </w:rPr>
            </w:pPr>
            <w:r>
              <w:rPr>
                <w:color w:val="000000"/>
                <w:sz w:val="18"/>
                <w:szCs w:val="18"/>
              </w:rPr>
              <w:t>2009</w:t>
            </w:r>
          </w:p>
        </w:tc>
        <w:tc>
          <w:tcPr>
            <w:tcW w:w="0" w:type="auto"/>
          </w:tcPr>
          <w:p w14:paraId="6FDBC627" w14:textId="77777777" w:rsidR="0039212D" w:rsidRDefault="0039212D" w:rsidP="0039212D">
            <w:pPr>
              <w:rPr>
                <w:color w:val="000000"/>
                <w:sz w:val="18"/>
                <w:szCs w:val="18"/>
              </w:rPr>
            </w:pPr>
            <w:r w:rsidRPr="001249EB">
              <w:rPr>
                <w:color w:val="000000"/>
                <w:sz w:val="18"/>
                <w:szCs w:val="18"/>
              </w:rPr>
              <w:t>Amendment No. 2 to the report: BAS 650 F - 1-generation reproduction study on the mallard duck (Anas platyrhynchus) by administration in the diet</w:t>
            </w:r>
          </w:p>
          <w:p w14:paraId="5D4DCB3D" w14:textId="77777777" w:rsidR="0039212D" w:rsidRPr="001249EB" w:rsidRDefault="0039212D" w:rsidP="0039212D">
            <w:pPr>
              <w:rPr>
                <w:color w:val="000000"/>
                <w:sz w:val="18"/>
                <w:szCs w:val="18"/>
                <w:lang w:val="de-DE"/>
              </w:rPr>
            </w:pPr>
            <w:r w:rsidRPr="00EB28EE">
              <w:rPr>
                <w:color w:val="000000"/>
                <w:sz w:val="18"/>
                <w:szCs w:val="18"/>
                <w:lang w:val="de-DE"/>
              </w:rPr>
              <w:t>2009/1111606</w:t>
            </w:r>
          </w:p>
          <w:p w14:paraId="0C7AD3C8" w14:textId="1CBDA42A" w:rsidR="0039212D" w:rsidRPr="001249EB" w:rsidRDefault="0039212D" w:rsidP="0039212D">
            <w:pPr>
              <w:rPr>
                <w:color w:val="000000"/>
                <w:sz w:val="18"/>
                <w:szCs w:val="18"/>
                <w:lang w:val="de-DE"/>
              </w:rPr>
            </w:pPr>
            <w:r>
              <w:rPr>
                <w:color w:val="000000"/>
                <w:sz w:val="18"/>
                <w:szCs w:val="18"/>
                <w:lang w:val="de-DE"/>
              </w:rPr>
              <w:t>XXXX</w:t>
            </w:r>
          </w:p>
          <w:p w14:paraId="5F1B535B" w14:textId="77777777" w:rsidR="0039212D" w:rsidRDefault="0039212D" w:rsidP="0039212D">
            <w:pPr>
              <w:rPr>
                <w:color w:val="000000"/>
                <w:sz w:val="18"/>
                <w:szCs w:val="18"/>
              </w:rPr>
            </w:pPr>
            <w:r>
              <w:rPr>
                <w:color w:val="000000"/>
                <w:sz w:val="18"/>
                <w:szCs w:val="18"/>
              </w:rPr>
              <w:t>yes</w:t>
            </w:r>
          </w:p>
          <w:p w14:paraId="202C0DAF" w14:textId="3659B0A3" w:rsidR="0039212D" w:rsidRPr="001249EB" w:rsidRDefault="0039212D" w:rsidP="0039212D">
            <w:pPr>
              <w:rPr>
                <w:color w:val="000000"/>
                <w:sz w:val="18"/>
                <w:szCs w:val="18"/>
              </w:rPr>
            </w:pPr>
            <w:r>
              <w:rPr>
                <w:color w:val="000000"/>
                <w:sz w:val="18"/>
                <w:szCs w:val="18"/>
              </w:rPr>
              <w:t>Unpublished</w:t>
            </w:r>
          </w:p>
        </w:tc>
        <w:tc>
          <w:tcPr>
            <w:tcW w:w="0" w:type="auto"/>
          </w:tcPr>
          <w:p w14:paraId="5515B509" w14:textId="29DA2A3E" w:rsidR="0039212D" w:rsidRDefault="0039212D" w:rsidP="0039212D">
            <w:pPr>
              <w:jc w:val="center"/>
              <w:rPr>
                <w:color w:val="000000"/>
                <w:sz w:val="18"/>
                <w:szCs w:val="18"/>
              </w:rPr>
            </w:pPr>
            <w:r>
              <w:rPr>
                <w:color w:val="000000"/>
                <w:sz w:val="18"/>
                <w:szCs w:val="18"/>
              </w:rPr>
              <w:t>Yes</w:t>
            </w:r>
          </w:p>
        </w:tc>
        <w:tc>
          <w:tcPr>
            <w:tcW w:w="0" w:type="auto"/>
          </w:tcPr>
          <w:p w14:paraId="3CCEF888" w14:textId="71A3F0FB" w:rsidR="0039212D" w:rsidRDefault="0039212D" w:rsidP="0039212D">
            <w:pPr>
              <w:pStyle w:val="RepTable"/>
              <w:jc w:val="center"/>
              <w:rPr>
                <w:color w:val="000000"/>
                <w:sz w:val="18"/>
                <w:szCs w:val="18"/>
              </w:rPr>
            </w:pPr>
            <w:r>
              <w:rPr>
                <w:color w:val="000000"/>
                <w:sz w:val="18"/>
                <w:szCs w:val="18"/>
              </w:rPr>
              <w:t>XXXX</w:t>
            </w:r>
          </w:p>
        </w:tc>
      </w:tr>
      <w:tr w:rsidR="0039212D" w14:paraId="31640167" w14:textId="77777777" w:rsidTr="00E23E58">
        <w:tc>
          <w:tcPr>
            <w:tcW w:w="0" w:type="auto"/>
          </w:tcPr>
          <w:p w14:paraId="333C07AE" w14:textId="7D38618F" w:rsidR="0039212D" w:rsidRDefault="0039212D" w:rsidP="0039212D">
            <w:pPr>
              <w:rPr>
                <w:color w:val="000000"/>
                <w:sz w:val="18"/>
                <w:szCs w:val="18"/>
              </w:rPr>
            </w:pPr>
            <w:r>
              <w:rPr>
                <w:color w:val="000000"/>
                <w:sz w:val="18"/>
                <w:szCs w:val="18"/>
              </w:rPr>
              <w:t>KCP 10.2.1/1</w:t>
            </w:r>
          </w:p>
        </w:tc>
        <w:tc>
          <w:tcPr>
            <w:tcW w:w="0" w:type="auto"/>
          </w:tcPr>
          <w:p w14:paraId="20FF60AD" w14:textId="23C4D3D2" w:rsidR="0039212D" w:rsidRDefault="0039212D" w:rsidP="0039212D">
            <w:pPr>
              <w:rPr>
                <w:color w:val="000000"/>
                <w:sz w:val="18"/>
                <w:szCs w:val="18"/>
              </w:rPr>
            </w:pPr>
            <w:r>
              <w:rPr>
                <w:color w:val="000000"/>
                <w:sz w:val="18"/>
                <w:szCs w:val="18"/>
              </w:rPr>
              <w:t>XXXX</w:t>
            </w:r>
          </w:p>
        </w:tc>
        <w:tc>
          <w:tcPr>
            <w:tcW w:w="0" w:type="auto"/>
          </w:tcPr>
          <w:p w14:paraId="002C84C0" w14:textId="62F2071A" w:rsidR="0039212D" w:rsidRDefault="0039212D" w:rsidP="0039212D">
            <w:pPr>
              <w:jc w:val="center"/>
              <w:rPr>
                <w:color w:val="000000"/>
                <w:sz w:val="18"/>
                <w:szCs w:val="18"/>
              </w:rPr>
            </w:pPr>
            <w:r>
              <w:rPr>
                <w:color w:val="000000"/>
                <w:sz w:val="18"/>
                <w:szCs w:val="18"/>
              </w:rPr>
              <w:t>2007</w:t>
            </w:r>
          </w:p>
        </w:tc>
        <w:tc>
          <w:tcPr>
            <w:tcW w:w="0" w:type="auto"/>
          </w:tcPr>
          <w:p w14:paraId="7A0763E8" w14:textId="77777777" w:rsidR="0039212D" w:rsidRDefault="0039212D" w:rsidP="0039212D">
            <w:pPr>
              <w:rPr>
                <w:color w:val="000000"/>
                <w:sz w:val="18"/>
                <w:szCs w:val="18"/>
              </w:rPr>
            </w:pPr>
            <w:r w:rsidRPr="001249EB">
              <w:rPr>
                <w:color w:val="000000"/>
                <w:sz w:val="18"/>
                <w:szCs w:val="18"/>
              </w:rPr>
              <w:t>BAS 650 F - Acute toxicity study on the rainbow trout (Oncorhynchus mykiss) in a flow through system over 96 hours</w:t>
            </w:r>
          </w:p>
          <w:p w14:paraId="0890B7F7" w14:textId="77777777" w:rsidR="0039212D" w:rsidRPr="001249EB" w:rsidRDefault="0039212D" w:rsidP="0039212D">
            <w:pPr>
              <w:rPr>
                <w:color w:val="000000"/>
                <w:sz w:val="18"/>
                <w:szCs w:val="18"/>
                <w:lang w:val="de-DE"/>
              </w:rPr>
            </w:pPr>
            <w:r w:rsidRPr="00EB28EE">
              <w:rPr>
                <w:color w:val="000000"/>
                <w:sz w:val="18"/>
                <w:szCs w:val="18"/>
                <w:lang w:val="de-DE"/>
              </w:rPr>
              <w:t>2007/1004041</w:t>
            </w:r>
          </w:p>
          <w:p w14:paraId="32EE3BCC" w14:textId="6CB61528" w:rsidR="0039212D" w:rsidRPr="001249EB" w:rsidRDefault="0039212D" w:rsidP="0039212D">
            <w:pPr>
              <w:rPr>
                <w:color w:val="000000"/>
                <w:sz w:val="18"/>
                <w:szCs w:val="18"/>
                <w:lang w:val="de-DE"/>
              </w:rPr>
            </w:pPr>
            <w:r>
              <w:rPr>
                <w:color w:val="000000"/>
                <w:sz w:val="18"/>
                <w:szCs w:val="18"/>
                <w:lang w:val="de-DE"/>
              </w:rPr>
              <w:t>XXXX</w:t>
            </w:r>
          </w:p>
          <w:p w14:paraId="7878DC5E" w14:textId="77777777" w:rsidR="0039212D" w:rsidRDefault="0039212D" w:rsidP="0039212D">
            <w:pPr>
              <w:rPr>
                <w:color w:val="000000"/>
                <w:sz w:val="18"/>
                <w:szCs w:val="18"/>
              </w:rPr>
            </w:pPr>
            <w:r>
              <w:rPr>
                <w:color w:val="000000"/>
                <w:sz w:val="18"/>
                <w:szCs w:val="18"/>
              </w:rPr>
              <w:t>yes</w:t>
            </w:r>
          </w:p>
          <w:p w14:paraId="46ED5A32" w14:textId="4FAB0B7E" w:rsidR="0039212D" w:rsidRPr="001249EB" w:rsidRDefault="0039212D" w:rsidP="0039212D">
            <w:pPr>
              <w:rPr>
                <w:color w:val="000000"/>
                <w:sz w:val="18"/>
                <w:szCs w:val="18"/>
              </w:rPr>
            </w:pPr>
            <w:r>
              <w:rPr>
                <w:color w:val="000000"/>
                <w:sz w:val="18"/>
                <w:szCs w:val="18"/>
              </w:rPr>
              <w:t>Unpublished</w:t>
            </w:r>
          </w:p>
        </w:tc>
        <w:tc>
          <w:tcPr>
            <w:tcW w:w="0" w:type="auto"/>
          </w:tcPr>
          <w:p w14:paraId="1AA9FC98" w14:textId="6FE4B8A9" w:rsidR="0039212D" w:rsidRDefault="0039212D" w:rsidP="0039212D">
            <w:pPr>
              <w:jc w:val="center"/>
              <w:rPr>
                <w:color w:val="000000"/>
                <w:sz w:val="18"/>
                <w:szCs w:val="18"/>
              </w:rPr>
            </w:pPr>
            <w:r>
              <w:rPr>
                <w:color w:val="000000"/>
                <w:sz w:val="18"/>
                <w:szCs w:val="18"/>
              </w:rPr>
              <w:t>Yes</w:t>
            </w:r>
          </w:p>
        </w:tc>
        <w:tc>
          <w:tcPr>
            <w:tcW w:w="0" w:type="auto"/>
          </w:tcPr>
          <w:p w14:paraId="064C1F93" w14:textId="5180630A" w:rsidR="0039212D" w:rsidRDefault="0039212D" w:rsidP="0039212D">
            <w:pPr>
              <w:pStyle w:val="RepTable"/>
              <w:jc w:val="center"/>
              <w:rPr>
                <w:color w:val="000000"/>
                <w:sz w:val="18"/>
                <w:szCs w:val="18"/>
              </w:rPr>
            </w:pPr>
            <w:r>
              <w:rPr>
                <w:color w:val="000000"/>
                <w:sz w:val="18"/>
                <w:szCs w:val="18"/>
              </w:rPr>
              <w:t>XXXX</w:t>
            </w:r>
          </w:p>
        </w:tc>
      </w:tr>
      <w:tr w:rsidR="0039212D" w14:paraId="72BB4442" w14:textId="77777777" w:rsidTr="00E23E58">
        <w:tc>
          <w:tcPr>
            <w:tcW w:w="0" w:type="auto"/>
          </w:tcPr>
          <w:p w14:paraId="07297F75" w14:textId="272D39FD" w:rsidR="0039212D" w:rsidRDefault="0039212D" w:rsidP="0039212D">
            <w:pPr>
              <w:rPr>
                <w:color w:val="000000"/>
                <w:sz w:val="18"/>
                <w:szCs w:val="18"/>
              </w:rPr>
            </w:pPr>
            <w:r>
              <w:rPr>
                <w:color w:val="000000"/>
                <w:sz w:val="18"/>
                <w:szCs w:val="18"/>
              </w:rPr>
              <w:t>KCP 10.2.1/2</w:t>
            </w:r>
          </w:p>
        </w:tc>
        <w:tc>
          <w:tcPr>
            <w:tcW w:w="0" w:type="auto"/>
          </w:tcPr>
          <w:p w14:paraId="5E0B5C95" w14:textId="5AFC99F8" w:rsidR="0039212D" w:rsidRDefault="0039212D" w:rsidP="0039212D">
            <w:pPr>
              <w:rPr>
                <w:color w:val="000000"/>
                <w:sz w:val="18"/>
                <w:szCs w:val="18"/>
              </w:rPr>
            </w:pPr>
            <w:r>
              <w:rPr>
                <w:color w:val="000000"/>
                <w:sz w:val="18"/>
                <w:szCs w:val="18"/>
              </w:rPr>
              <w:t>XXXX</w:t>
            </w:r>
          </w:p>
        </w:tc>
        <w:tc>
          <w:tcPr>
            <w:tcW w:w="0" w:type="auto"/>
          </w:tcPr>
          <w:p w14:paraId="74EB98FE" w14:textId="2EEFF448" w:rsidR="0039212D" w:rsidRDefault="0039212D" w:rsidP="0039212D">
            <w:pPr>
              <w:jc w:val="center"/>
              <w:rPr>
                <w:color w:val="000000"/>
                <w:sz w:val="18"/>
                <w:szCs w:val="18"/>
              </w:rPr>
            </w:pPr>
            <w:r>
              <w:rPr>
                <w:color w:val="000000"/>
                <w:sz w:val="18"/>
                <w:szCs w:val="18"/>
              </w:rPr>
              <w:t>2007</w:t>
            </w:r>
          </w:p>
        </w:tc>
        <w:tc>
          <w:tcPr>
            <w:tcW w:w="0" w:type="auto"/>
          </w:tcPr>
          <w:p w14:paraId="467B38C9" w14:textId="77777777" w:rsidR="0039212D" w:rsidRDefault="0039212D" w:rsidP="0039212D">
            <w:pPr>
              <w:rPr>
                <w:color w:val="000000"/>
                <w:sz w:val="18"/>
                <w:szCs w:val="18"/>
              </w:rPr>
            </w:pPr>
            <w:r w:rsidRPr="001249EB">
              <w:rPr>
                <w:color w:val="000000"/>
                <w:sz w:val="18"/>
                <w:szCs w:val="18"/>
              </w:rPr>
              <w:t>BAS 650 00 F - Acute toxicity study on the rainbow trout (Oncorhynchus mykiss) in a static system over 96 hours</w:t>
            </w:r>
          </w:p>
          <w:p w14:paraId="003E4D91" w14:textId="77777777" w:rsidR="0039212D" w:rsidRPr="001249EB" w:rsidRDefault="0039212D" w:rsidP="0039212D">
            <w:pPr>
              <w:rPr>
                <w:color w:val="000000"/>
                <w:sz w:val="18"/>
                <w:szCs w:val="18"/>
                <w:lang w:val="de-DE"/>
              </w:rPr>
            </w:pPr>
            <w:r w:rsidRPr="00EB28EE">
              <w:rPr>
                <w:color w:val="000000"/>
                <w:sz w:val="18"/>
                <w:szCs w:val="18"/>
                <w:lang w:val="de-DE"/>
              </w:rPr>
              <w:t>2007/1057733</w:t>
            </w:r>
          </w:p>
          <w:p w14:paraId="71325F48" w14:textId="1060B28E" w:rsidR="0039212D" w:rsidRPr="001249EB" w:rsidRDefault="0039212D" w:rsidP="0039212D">
            <w:pPr>
              <w:rPr>
                <w:color w:val="000000"/>
                <w:sz w:val="18"/>
                <w:szCs w:val="18"/>
                <w:lang w:val="de-DE"/>
              </w:rPr>
            </w:pPr>
            <w:r>
              <w:rPr>
                <w:color w:val="000000"/>
                <w:sz w:val="18"/>
                <w:szCs w:val="18"/>
                <w:lang w:val="de-DE"/>
              </w:rPr>
              <w:t>XXXX</w:t>
            </w:r>
          </w:p>
          <w:p w14:paraId="347E426C" w14:textId="77777777" w:rsidR="0039212D" w:rsidRDefault="0039212D" w:rsidP="0039212D">
            <w:pPr>
              <w:rPr>
                <w:color w:val="000000"/>
                <w:sz w:val="18"/>
                <w:szCs w:val="18"/>
              </w:rPr>
            </w:pPr>
            <w:r>
              <w:rPr>
                <w:color w:val="000000"/>
                <w:sz w:val="18"/>
                <w:szCs w:val="18"/>
              </w:rPr>
              <w:t>yes</w:t>
            </w:r>
          </w:p>
          <w:p w14:paraId="0D593273" w14:textId="6AC6F56F" w:rsidR="0039212D" w:rsidRPr="001249EB" w:rsidRDefault="0039212D" w:rsidP="0039212D">
            <w:pPr>
              <w:rPr>
                <w:color w:val="000000"/>
                <w:sz w:val="18"/>
                <w:szCs w:val="18"/>
              </w:rPr>
            </w:pPr>
            <w:r>
              <w:rPr>
                <w:color w:val="000000"/>
                <w:sz w:val="18"/>
                <w:szCs w:val="18"/>
              </w:rPr>
              <w:t>Unpublished</w:t>
            </w:r>
          </w:p>
        </w:tc>
        <w:tc>
          <w:tcPr>
            <w:tcW w:w="0" w:type="auto"/>
          </w:tcPr>
          <w:p w14:paraId="31F12817" w14:textId="6DC2991C" w:rsidR="0039212D" w:rsidRDefault="0039212D" w:rsidP="0039212D">
            <w:pPr>
              <w:jc w:val="center"/>
              <w:rPr>
                <w:color w:val="000000"/>
                <w:sz w:val="18"/>
                <w:szCs w:val="18"/>
              </w:rPr>
            </w:pPr>
            <w:r>
              <w:rPr>
                <w:color w:val="000000"/>
                <w:sz w:val="18"/>
                <w:szCs w:val="18"/>
              </w:rPr>
              <w:t>Yes</w:t>
            </w:r>
          </w:p>
        </w:tc>
        <w:tc>
          <w:tcPr>
            <w:tcW w:w="0" w:type="auto"/>
          </w:tcPr>
          <w:p w14:paraId="0B9BCAAF" w14:textId="35085CC7" w:rsidR="0039212D" w:rsidRDefault="0039212D" w:rsidP="0039212D">
            <w:pPr>
              <w:pStyle w:val="RepTable"/>
              <w:jc w:val="center"/>
              <w:rPr>
                <w:color w:val="000000"/>
                <w:sz w:val="18"/>
                <w:szCs w:val="18"/>
              </w:rPr>
            </w:pPr>
            <w:r>
              <w:rPr>
                <w:color w:val="000000"/>
                <w:sz w:val="18"/>
                <w:szCs w:val="18"/>
              </w:rPr>
              <w:t>XXXX</w:t>
            </w:r>
          </w:p>
        </w:tc>
      </w:tr>
      <w:tr w:rsidR="0039212D" w14:paraId="4E4E3B38" w14:textId="77777777" w:rsidTr="00E23E58">
        <w:tc>
          <w:tcPr>
            <w:tcW w:w="0" w:type="auto"/>
          </w:tcPr>
          <w:p w14:paraId="676BDA90" w14:textId="77777777" w:rsidR="0039212D" w:rsidRDefault="0039212D" w:rsidP="0039212D">
            <w:pPr>
              <w:rPr>
                <w:sz w:val="18"/>
                <w:szCs w:val="18"/>
              </w:rPr>
            </w:pPr>
            <w:r>
              <w:rPr>
                <w:color w:val="000000"/>
                <w:sz w:val="18"/>
                <w:szCs w:val="18"/>
              </w:rPr>
              <w:t>KCP 10.2.1/3</w:t>
            </w:r>
          </w:p>
        </w:tc>
        <w:tc>
          <w:tcPr>
            <w:tcW w:w="0" w:type="auto"/>
          </w:tcPr>
          <w:p w14:paraId="2FACA5D9" w14:textId="7E72AAD8" w:rsidR="0039212D" w:rsidRDefault="0039212D" w:rsidP="0039212D">
            <w:pPr>
              <w:rPr>
                <w:sz w:val="18"/>
                <w:szCs w:val="18"/>
              </w:rPr>
            </w:pPr>
            <w:r>
              <w:rPr>
                <w:color w:val="000000"/>
                <w:sz w:val="18"/>
                <w:szCs w:val="18"/>
              </w:rPr>
              <w:t>XXXX</w:t>
            </w:r>
          </w:p>
        </w:tc>
        <w:tc>
          <w:tcPr>
            <w:tcW w:w="0" w:type="auto"/>
          </w:tcPr>
          <w:p w14:paraId="0D634004" w14:textId="77777777" w:rsidR="0039212D" w:rsidRDefault="0039212D" w:rsidP="0039212D">
            <w:pPr>
              <w:jc w:val="center"/>
              <w:rPr>
                <w:sz w:val="18"/>
                <w:szCs w:val="18"/>
              </w:rPr>
            </w:pPr>
            <w:r>
              <w:rPr>
                <w:color w:val="000000"/>
                <w:sz w:val="18"/>
                <w:szCs w:val="18"/>
              </w:rPr>
              <w:t>2007</w:t>
            </w:r>
          </w:p>
        </w:tc>
        <w:tc>
          <w:tcPr>
            <w:tcW w:w="0" w:type="auto"/>
          </w:tcPr>
          <w:p w14:paraId="339B8630" w14:textId="77777777" w:rsidR="0039212D" w:rsidRDefault="0039212D" w:rsidP="0039212D">
            <w:pPr>
              <w:rPr>
                <w:color w:val="000000"/>
                <w:sz w:val="18"/>
                <w:szCs w:val="18"/>
              </w:rPr>
            </w:pPr>
            <w:r w:rsidRPr="001249EB">
              <w:rPr>
                <w:color w:val="000000"/>
                <w:sz w:val="18"/>
                <w:szCs w:val="18"/>
              </w:rPr>
              <w:t>BAS 650 F - Acute toxicity on the common carp (Cyprinus carpio) in a flow-through system over 96 hours</w:t>
            </w:r>
          </w:p>
          <w:p w14:paraId="7077A3C5" w14:textId="77777777" w:rsidR="0039212D" w:rsidRPr="001249EB" w:rsidRDefault="0039212D" w:rsidP="0039212D">
            <w:pPr>
              <w:rPr>
                <w:color w:val="000000"/>
                <w:sz w:val="18"/>
                <w:szCs w:val="18"/>
                <w:lang w:val="de-DE"/>
              </w:rPr>
            </w:pPr>
            <w:r w:rsidRPr="00EB28EE">
              <w:rPr>
                <w:color w:val="000000"/>
                <w:sz w:val="18"/>
                <w:szCs w:val="18"/>
                <w:lang w:val="de-DE"/>
              </w:rPr>
              <w:t>2007/1039553</w:t>
            </w:r>
          </w:p>
          <w:p w14:paraId="38D2AF95" w14:textId="663E4FE7" w:rsidR="0039212D" w:rsidRPr="001249EB" w:rsidRDefault="0039212D" w:rsidP="0039212D">
            <w:pPr>
              <w:rPr>
                <w:color w:val="000000"/>
                <w:sz w:val="18"/>
                <w:szCs w:val="18"/>
                <w:lang w:val="de-DE"/>
              </w:rPr>
            </w:pPr>
            <w:r>
              <w:rPr>
                <w:color w:val="000000"/>
                <w:sz w:val="18"/>
                <w:szCs w:val="18"/>
                <w:lang w:val="de-DE"/>
              </w:rPr>
              <w:t>XXXX</w:t>
            </w:r>
          </w:p>
          <w:p w14:paraId="05A6BA14" w14:textId="77777777" w:rsidR="0039212D" w:rsidRDefault="0039212D" w:rsidP="0039212D">
            <w:pPr>
              <w:rPr>
                <w:color w:val="000000"/>
                <w:sz w:val="18"/>
                <w:szCs w:val="18"/>
              </w:rPr>
            </w:pPr>
            <w:r>
              <w:rPr>
                <w:color w:val="000000"/>
                <w:sz w:val="18"/>
                <w:szCs w:val="18"/>
              </w:rPr>
              <w:t>yes</w:t>
            </w:r>
          </w:p>
          <w:p w14:paraId="683D47A9" w14:textId="77777777" w:rsidR="0039212D" w:rsidRDefault="0039212D" w:rsidP="0039212D">
            <w:pPr>
              <w:rPr>
                <w:color w:val="000000"/>
                <w:sz w:val="18"/>
                <w:szCs w:val="18"/>
              </w:rPr>
            </w:pPr>
            <w:r>
              <w:rPr>
                <w:color w:val="000000"/>
                <w:sz w:val="18"/>
                <w:szCs w:val="18"/>
              </w:rPr>
              <w:t>Unpublished</w:t>
            </w:r>
          </w:p>
        </w:tc>
        <w:tc>
          <w:tcPr>
            <w:tcW w:w="0" w:type="auto"/>
          </w:tcPr>
          <w:p w14:paraId="11F319A8" w14:textId="77777777" w:rsidR="0039212D" w:rsidRDefault="0039212D" w:rsidP="0039212D">
            <w:pPr>
              <w:jc w:val="center"/>
              <w:rPr>
                <w:sz w:val="18"/>
                <w:szCs w:val="18"/>
              </w:rPr>
            </w:pPr>
            <w:r>
              <w:rPr>
                <w:color w:val="000000"/>
                <w:sz w:val="18"/>
                <w:szCs w:val="18"/>
              </w:rPr>
              <w:t>Yes</w:t>
            </w:r>
          </w:p>
        </w:tc>
        <w:tc>
          <w:tcPr>
            <w:tcW w:w="0" w:type="auto"/>
          </w:tcPr>
          <w:p w14:paraId="362BEDCA" w14:textId="3E88F0B6" w:rsidR="0039212D" w:rsidRDefault="0039212D" w:rsidP="0039212D">
            <w:pPr>
              <w:pStyle w:val="RepTable"/>
              <w:jc w:val="center"/>
              <w:rPr>
                <w:highlight w:val="yellow"/>
              </w:rPr>
            </w:pPr>
            <w:r>
              <w:rPr>
                <w:color w:val="000000"/>
                <w:sz w:val="18"/>
                <w:szCs w:val="18"/>
              </w:rPr>
              <w:t>XXXX</w:t>
            </w:r>
          </w:p>
        </w:tc>
      </w:tr>
      <w:tr w:rsidR="0039212D" w14:paraId="7853DD1A" w14:textId="77777777" w:rsidTr="00E23E58">
        <w:tc>
          <w:tcPr>
            <w:tcW w:w="0" w:type="auto"/>
          </w:tcPr>
          <w:p w14:paraId="2A42AF35" w14:textId="77777777" w:rsidR="0039212D" w:rsidRDefault="0039212D" w:rsidP="0039212D">
            <w:pPr>
              <w:rPr>
                <w:sz w:val="18"/>
                <w:szCs w:val="18"/>
              </w:rPr>
            </w:pPr>
            <w:r>
              <w:rPr>
                <w:color w:val="000000"/>
                <w:sz w:val="18"/>
                <w:szCs w:val="18"/>
              </w:rPr>
              <w:t>KCP 10.2.1/4</w:t>
            </w:r>
          </w:p>
        </w:tc>
        <w:tc>
          <w:tcPr>
            <w:tcW w:w="0" w:type="auto"/>
          </w:tcPr>
          <w:p w14:paraId="5B485241" w14:textId="7C10D8F3" w:rsidR="0039212D" w:rsidRDefault="0039212D" w:rsidP="0039212D">
            <w:pPr>
              <w:rPr>
                <w:sz w:val="18"/>
                <w:szCs w:val="18"/>
              </w:rPr>
            </w:pPr>
            <w:r>
              <w:rPr>
                <w:color w:val="000000"/>
                <w:sz w:val="18"/>
                <w:szCs w:val="18"/>
              </w:rPr>
              <w:t>XXXX</w:t>
            </w:r>
          </w:p>
        </w:tc>
        <w:tc>
          <w:tcPr>
            <w:tcW w:w="0" w:type="auto"/>
          </w:tcPr>
          <w:p w14:paraId="008864D4" w14:textId="77777777" w:rsidR="0039212D" w:rsidRDefault="0039212D" w:rsidP="0039212D">
            <w:pPr>
              <w:jc w:val="center"/>
              <w:rPr>
                <w:sz w:val="18"/>
                <w:szCs w:val="18"/>
              </w:rPr>
            </w:pPr>
            <w:r>
              <w:rPr>
                <w:color w:val="000000"/>
                <w:sz w:val="18"/>
                <w:szCs w:val="18"/>
              </w:rPr>
              <w:t>2007</w:t>
            </w:r>
          </w:p>
        </w:tc>
        <w:tc>
          <w:tcPr>
            <w:tcW w:w="0" w:type="auto"/>
          </w:tcPr>
          <w:p w14:paraId="0B90CAFF" w14:textId="77777777" w:rsidR="0039212D" w:rsidRDefault="0039212D" w:rsidP="0039212D">
            <w:pPr>
              <w:rPr>
                <w:color w:val="000000"/>
                <w:sz w:val="18"/>
                <w:szCs w:val="18"/>
              </w:rPr>
            </w:pPr>
            <w:r w:rsidRPr="001249EB">
              <w:rPr>
                <w:color w:val="000000"/>
                <w:sz w:val="18"/>
                <w:szCs w:val="18"/>
              </w:rPr>
              <w:t>BAS 650 F - Acute toxicity study on the bluegill sunfish (Lepomis macrochirus) in a flow-through-system over 96 hours</w:t>
            </w:r>
          </w:p>
          <w:p w14:paraId="4CC85208" w14:textId="77777777" w:rsidR="0039212D" w:rsidRPr="001249EB" w:rsidRDefault="0039212D" w:rsidP="0039212D">
            <w:pPr>
              <w:rPr>
                <w:color w:val="000000"/>
                <w:sz w:val="18"/>
                <w:szCs w:val="18"/>
                <w:lang w:val="de-DE"/>
              </w:rPr>
            </w:pPr>
            <w:r w:rsidRPr="00375516">
              <w:rPr>
                <w:color w:val="000000"/>
                <w:sz w:val="18"/>
                <w:szCs w:val="18"/>
                <w:lang w:val="de-DE"/>
              </w:rPr>
              <w:t>2006/1031686</w:t>
            </w:r>
          </w:p>
          <w:p w14:paraId="3BFFE77E" w14:textId="02C1ABF9" w:rsidR="0039212D" w:rsidRPr="001249EB" w:rsidRDefault="0039212D" w:rsidP="0039212D">
            <w:pPr>
              <w:rPr>
                <w:color w:val="000000"/>
                <w:sz w:val="18"/>
                <w:szCs w:val="18"/>
                <w:lang w:val="de-DE"/>
              </w:rPr>
            </w:pPr>
            <w:r>
              <w:rPr>
                <w:color w:val="000000"/>
                <w:sz w:val="18"/>
                <w:szCs w:val="18"/>
                <w:lang w:val="de-DE"/>
              </w:rPr>
              <w:t>XXXX</w:t>
            </w:r>
          </w:p>
          <w:p w14:paraId="6360A231" w14:textId="77777777" w:rsidR="0039212D" w:rsidRDefault="0039212D" w:rsidP="0039212D">
            <w:pPr>
              <w:rPr>
                <w:color w:val="000000"/>
                <w:sz w:val="18"/>
                <w:szCs w:val="18"/>
              </w:rPr>
            </w:pPr>
            <w:r>
              <w:rPr>
                <w:color w:val="000000"/>
                <w:sz w:val="18"/>
                <w:szCs w:val="18"/>
              </w:rPr>
              <w:lastRenderedPageBreak/>
              <w:t>yes</w:t>
            </w:r>
          </w:p>
          <w:p w14:paraId="0D3B0E57" w14:textId="77777777" w:rsidR="0039212D" w:rsidRDefault="0039212D" w:rsidP="0039212D">
            <w:pPr>
              <w:rPr>
                <w:color w:val="000000"/>
                <w:sz w:val="18"/>
                <w:szCs w:val="18"/>
              </w:rPr>
            </w:pPr>
            <w:r>
              <w:rPr>
                <w:color w:val="000000"/>
                <w:sz w:val="18"/>
                <w:szCs w:val="18"/>
              </w:rPr>
              <w:t>Unpublished</w:t>
            </w:r>
          </w:p>
        </w:tc>
        <w:tc>
          <w:tcPr>
            <w:tcW w:w="0" w:type="auto"/>
          </w:tcPr>
          <w:p w14:paraId="2DA1DF98" w14:textId="77777777" w:rsidR="0039212D" w:rsidRDefault="0039212D" w:rsidP="0039212D">
            <w:pPr>
              <w:jc w:val="center"/>
              <w:rPr>
                <w:sz w:val="18"/>
                <w:szCs w:val="18"/>
              </w:rPr>
            </w:pPr>
            <w:r>
              <w:rPr>
                <w:color w:val="000000"/>
                <w:sz w:val="18"/>
                <w:szCs w:val="18"/>
              </w:rPr>
              <w:lastRenderedPageBreak/>
              <w:t>Yes</w:t>
            </w:r>
          </w:p>
        </w:tc>
        <w:tc>
          <w:tcPr>
            <w:tcW w:w="0" w:type="auto"/>
          </w:tcPr>
          <w:p w14:paraId="360BA8B4" w14:textId="2EBD2B11" w:rsidR="0039212D" w:rsidRDefault="0039212D" w:rsidP="0039212D">
            <w:pPr>
              <w:pStyle w:val="RepTable"/>
              <w:jc w:val="center"/>
              <w:rPr>
                <w:highlight w:val="yellow"/>
              </w:rPr>
            </w:pPr>
            <w:r>
              <w:rPr>
                <w:color w:val="000000"/>
                <w:sz w:val="18"/>
                <w:szCs w:val="18"/>
              </w:rPr>
              <w:t>XXXX</w:t>
            </w:r>
          </w:p>
        </w:tc>
      </w:tr>
      <w:tr w:rsidR="0039212D" w14:paraId="00C4F172" w14:textId="77777777" w:rsidTr="00E23E58">
        <w:tc>
          <w:tcPr>
            <w:tcW w:w="0" w:type="auto"/>
          </w:tcPr>
          <w:p w14:paraId="445614DF" w14:textId="77777777" w:rsidR="0039212D" w:rsidRDefault="0039212D" w:rsidP="0039212D">
            <w:pPr>
              <w:rPr>
                <w:sz w:val="18"/>
                <w:szCs w:val="18"/>
              </w:rPr>
            </w:pPr>
            <w:r>
              <w:rPr>
                <w:color w:val="000000"/>
                <w:sz w:val="18"/>
                <w:szCs w:val="18"/>
              </w:rPr>
              <w:t>KCP 10.2.1/5</w:t>
            </w:r>
          </w:p>
        </w:tc>
        <w:tc>
          <w:tcPr>
            <w:tcW w:w="0" w:type="auto"/>
          </w:tcPr>
          <w:p w14:paraId="0CD4D35D" w14:textId="77777777" w:rsidR="0039212D" w:rsidRDefault="0039212D" w:rsidP="0039212D">
            <w:pPr>
              <w:rPr>
                <w:color w:val="000000"/>
                <w:sz w:val="18"/>
                <w:szCs w:val="18"/>
              </w:rPr>
            </w:pPr>
            <w:r>
              <w:rPr>
                <w:color w:val="000000"/>
                <w:sz w:val="18"/>
                <w:szCs w:val="18"/>
              </w:rPr>
              <w:t xml:space="preserve">Bergtold, M., </w:t>
            </w:r>
          </w:p>
          <w:p w14:paraId="356B948A" w14:textId="7790E602" w:rsidR="0039212D" w:rsidRDefault="0039212D" w:rsidP="0039212D">
            <w:pPr>
              <w:rPr>
                <w:sz w:val="18"/>
                <w:szCs w:val="18"/>
              </w:rPr>
            </w:pPr>
            <w:r>
              <w:rPr>
                <w:color w:val="000000"/>
                <w:sz w:val="18"/>
                <w:szCs w:val="18"/>
              </w:rPr>
              <w:t>Janson, G.</w:t>
            </w:r>
          </w:p>
        </w:tc>
        <w:tc>
          <w:tcPr>
            <w:tcW w:w="0" w:type="auto"/>
          </w:tcPr>
          <w:p w14:paraId="7B2E50B0" w14:textId="77777777" w:rsidR="0039212D" w:rsidRDefault="0039212D" w:rsidP="0039212D">
            <w:pPr>
              <w:jc w:val="center"/>
              <w:rPr>
                <w:sz w:val="18"/>
                <w:szCs w:val="18"/>
              </w:rPr>
            </w:pPr>
            <w:r>
              <w:rPr>
                <w:color w:val="000000"/>
                <w:sz w:val="18"/>
                <w:szCs w:val="18"/>
              </w:rPr>
              <w:t>2007</w:t>
            </w:r>
          </w:p>
        </w:tc>
        <w:tc>
          <w:tcPr>
            <w:tcW w:w="0" w:type="auto"/>
          </w:tcPr>
          <w:p w14:paraId="3ADA78FB" w14:textId="77777777" w:rsidR="0039212D" w:rsidRDefault="0039212D" w:rsidP="0039212D">
            <w:pPr>
              <w:rPr>
                <w:color w:val="000000"/>
                <w:sz w:val="18"/>
                <w:szCs w:val="18"/>
              </w:rPr>
            </w:pPr>
            <w:r w:rsidRPr="001249EB">
              <w:rPr>
                <w:color w:val="000000"/>
                <w:sz w:val="18"/>
                <w:szCs w:val="18"/>
              </w:rPr>
              <w:t>Acute toxicity of BAS 650 F to Daphnia magna STRAUS in a 48 hour static test</w:t>
            </w:r>
          </w:p>
          <w:p w14:paraId="6A601790" w14:textId="77777777" w:rsidR="0039212D" w:rsidRDefault="0039212D" w:rsidP="0039212D">
            <w:pPr>
              <w:rPr>
                <w:color w:val="000000"/>
                <w:sz w:val="18"/>
                <w:szCs w:val="18"/>
              </w:rPr>
            </w:pPr>
            <w:r w:rsidRPr="001249EB">
              <w:rPr>
                <w:color w:val="000000"/>
                <w:sz w:val="18"/>
                <w:szCs w:val="18"/>
              </w:rPr>
              <w:t>2006/1037557</w:t>
            </w:r>
          </w:p>
          <w:p w14:paraId="0374DC1D" w14:textId="77777777" w:rsidR="0039212D" w:rsidRDefault="0039212D" w:rsidP="0039212D">
            <w:pPr>
              <w:rPr>
                <w:color w:val="000000"/>
                <w:sz w:val="18"/>
                <w:szCs w:val="18"/>
              </w:rPr>
            </w:pPr>
            <w:r w:rsidRPr="001249EB">
              <w:rPr>
                <w:color w:val="000000"/>
                <w:sz w:val="18"/>
                <w:szCs w:val="18"/>
              </w:rPr>
              <w:t>BASF AG, Limburgerhof, Germany Fed.Rep.</w:t>
            </w:r>
          </w:p>
          <w:p w14:paraId="352CEE1F" w14:textId="77777777" w:rsidR="0039212D" w:rsidRDefault="0039212D" w:rsidP="0039212D">
            <w:pPr>
              <w:rPr>
                <w:color w:val="000000"/>
                <w:sz w:val="18"/>
                <w:szCs w:val="18"/>
              </w:rPr>
            </w:pPr>
            <w:r w:rsidRPr="001249EB">
              <w:rPr>
                <w:color w:val="000000"/>
                <w:sz w:val="18"/>
                <w:szCs w:val="18"/>
              </w:rPr>
              <w:t>yes</w:t>
            </w:r>
          </w:p>
          <w:p w14:paraId="17B7EDD6" w14:textId="77777777" w:rsidR="0039212D" w:rsidRDefault="0039212D" w:rsidP="0039212D">
            <w:pPr>
              <w:rPr>
                <w:color w:val="000000"/>
                <w:sz w:val="18"/>
                <w:szCs w:val="18"/>
              </w:rPr>
            </w:pPr>
            <w:r>
              <w:rPr>
                <w:color w:val="000000"/>
                <w:sz w:val="18"/>
                <w:szCs w:val="18"/>
              </w:rPr>
              <w:t>Unpublished</w:t>
            </w:r>
          </w:p>
        </w:tc>
        <w:tc>
          <w:tcPr>
            <w:tcW w:w="0" w:type="auto"/>
          </w:tcPr>
          <w:p w14:paraId="062BE4AA" w14:textId="77777777" w:rsidR="0039212D" w:rsidRDefault="0039212D" w:rsidP="0039212D">
            <w:pPr>
              <w:jc w:val="center"/>
              <w:rPr>
                <w:sz w:val="18"/>
                <w:szCs w:val="18"/>
              </w:rPr>
            </w:pPr>
            <w:r>
              <w:rPr>
                <w:color w:val="000000"/>
                <w:sz w:val="18"/>
                <w:szCs w:val="18"/>
              </w:rPr>
              <w:t>No</w:t>
            </w:r>
          </w:p>
        </w:tc>
        <w:tc>
          <w:tcPr>
            <w:tcW w:w="0" w:type="auto"/>
          </w:tcPr>
          <w:p w14:paraId="5CF010E4" w14:textId="27BEEB42" w:rsidR="0039212D" w:rsidRDefault="0039212D" w:rsidP="0039212D">
            <w:pPr>
              <w:pStyle w:val="RepTable"/>
              <w:jc w:val="center"/>
              <w:rPr>
                <w:highlight w:val="yellow"/>
              </w:rPr>
            </w:pPr>
            <w:r>
              <w:rPr>
                <w:color w:val="000000"/>
                <w:sz w:val="18"/>
                <w:szCs w:val="18"/>
              </w:rPr>
              <w:t>XXXX</w:t>
            </w:r>
          </w:p>
        </w:tc>
      </w:tr>
      <w:tr w:rsidR="0039212D" w14:paraId="10E9B4F2" w14:textId="77777777" w:rsidTr="00E23E58">
        <w:tc>
          <w:tcPr>
            <w:tcW w:w="0" w:type="auto"/>
          </w:tcPr>
          <w:p w14:paraId="1E6F4422" w14:textId="77777777" w:rsidR="0039212D" w:rsidRDefault="0039212D" w:rsidP="0039212D">
            <w:pPr>
              <w:rPr>
                <w:sz w:val="18"/>
                <w:szCs w:val="18"/>
              </w:rPr>
            </w:pPr>
            <w:r>
              <w:rPr>
                <w:color w:val="000000"/>
                <w:sz w:val="18"/>
                <w:szCs w:val="18"/>
              </w:rPr>
              <w:t>KCP 10.2.1/6</w:t>
            </w:r>
          </w:p>
        </w:tc>
        <w:tc>
          <w:tcPr>
            <w:tcW w:w="0" w:type="auto"/>
          </w:tcPr>
          <w:p w14:paraId="2D959C27" w14:textId="77777777" w:rsidR="0039212D" w:rsidRDefault="0039212D" w:rsidP="0039212D">
            <w:pPr>
              <w:rPr>
                <w:sz w:val="18"/>
                <w:szCs w:val="18"/>
              </w:rPr>
            </w:pPr>
            <w:r>
              <w:rPr>
                <w:color w:val="000000"/>
                <w:sz w:val="18"/>
                <w:szCs w:val="18"/>
              </w:rPr>
              <w:t>Hoffmann, F.</w:t>
            </w:r>
          </w:p>
        </w:tc>
        <w:tc>
          <w:tcPr>
            <w:tcW w:w="0" w:type="auto"/>
          </w:tcPr>
          <w:p w14:paraId="5F94544D" w14:textId="77777777" w:rsidR="0039212D" w:rsidRDefault="0039212D" w:rsidP="0039212D">
            <w:pPr>
              <w:jc w:val="center"/>
              <w:rPr>
                <w:sz w:val="18"/>
                <w:szCs w:val="18"/>
              </w:rPr>
            </w:pPr>
            <w:r>
              <w:rPr>
                <w:color w:val="000000"/>
                <w:sz w:val="18"/>
                <w:szCs w:val="18"/>
              </w:rPr>
              <w:t>2008</w:t>
            </w:r>
          </w:p>
        </w:tc>
        <w:tc>
          <w:tcPr>
            <w:tcW w:w="0" w:type="auto"/>
          </w:tcPr>
          <w:p w14:paraId="58730525" w14:textId="77777777" w:rsidR="0039212D" w:rsidRDefault="0039212D" w:rsidP="0039212D">
            <w:pPr>
              <w:rPr>
                <w:color w:val="000000"/>
                <w:sz w:val="18"/>
                <w:szCs w:val="18"/>
              </w:rPr>
            </w:pPr>
            <w:r w:rsidRPr="001249EB">
              <w:rPr>
                <w:color w:val="000000"/>
                <w:sz w:val="18"/>
                <w:szCs w:val="18"/>
              </w:rPr>
              <w:t>Effect of BAS 650 F (Reg.No. 4993353) on the growth of the green alga Pseudokirchneriella subcapitata</w:t>
            </w:r>
          </w:p>
          <w:p w14:paraId="4F9945A4" w14:textId="77777777" w:rsidR="0039212D" w:rsidRDefault="0039212D" w:rsidP="0039212D">
            <w:pPr>
              <w:rPr>
                <w:color w:val="000000"/>
                <w:sz w:val="18"/>
                <w:szCs w:val="18"/>
              </w:rPr>
            </w:pPr>
            <w:r w:rsidRPr="001249EB">
              <w:rPr>
                <w:color w:val="000000"/>
                <w:sz w:val="18"/>
                <w:szCs w:val="18"/>
              </w:rPr>
              <w:t>2008/1034458</w:t>
            </w:r>
          </w:p>
          <w:p w14:paraId="46117F51" w14:textId="77777777" w:rsidR="0039212D" w:rsidRDefault="0039212D" w:rsidP="0039212D">
            <w:pPr>
              <w:rPr>
                <w:color w:val="000000"/>
                <w:sz w:val="18"/>
                <w:szCs w:val="18"/>
              </w:rPr>
            </w:pPr>
            <w:r w:rsidRPr="001249EB">
              <w:rPr>
                <w:color w:val="000000"/>
                <w:sz w:val="18"/>
                <w:szCs w:val="18"/>
              </w:rPr>
              <w:t>BASF SE, Limburgerhof, Germany Fed.Rep.</w:t>
            </w:r>
          </w:p>
          <w:p w14:paraId="284E1EFE" w14:textId="77777777" w:rsidR="0039212D" w:rsidRDefault="0039212D" w:rsidP="0039212D">
            <w:pPr>
              <w:rPr>
                <w:color w:val="000000"/>
                <w:sz w:val="18"/>
                <w:szCs w:val="18"/>
              </w:rPr>
            </w:pPr>
            <w:r>
              <w:rPr>
                <w:color w:val="000000"/>
                <w:sz w:val="18"/>
                <w:szCs w:val="18"/>
              </w:rPr>
              <w:t>yes</w:t>
            </w:r>
          </w:p>
          <w:p w14:paraId="5807C493" w14:textId="77777777" w:rsidR="0039212D" w:rsidRDefault="0039212D" w:rsidP="0039212D">
            <w:pPr>
              <w:rPr>
                <w:color w:val="000000"/>
                <w:sz w:val="18"/>
                <w:szCs w:val="18"/>
              </w:rPr>
            </w:pPr>
            <w:r>
              <w:rPr>
                <w:color w:val="000000"/>
                <w:sz w:val="18"/>
                <w:szCs w:val="18"/>
              </w:rPr>
              <w:t>Unpublished</w:t>
            </w:r>
          </w:p>
        </w:tc>
        <w:tc>
          <w:tcPr>
            <w:tcW w:w="0" w:type="auto"/>
          </w:tcPr>
          <w:p w14:paraId="3D0D0E20" w14:textId="77777777" w:rsidR="0039212D" w:rsidRDefault="0039212D" w:rsidP="0039212D">
            <w:pPr>
              <w:jc w:val="center"/>
              <w:rPr>
                <w:sz w:val="18"/>
                <w:szCs w:val="18"/>
              </w:rPr>
            </w:pPr>
            <w:r>
              <w:rPr>
                <w:color w:val="000000"/>
                <w:sz w:val="18"/>
                <w:szCs w:val="18"/>
              </w:rPr>
              <w:t>No</w:t>
            </w:r>
          </w:p>
        </w:tc>
        <w:tc>
          <w:tcPr>
            <w:tcW w:w="0" w:type="auto"/>
          </w:tcPr>
          <w:p w14:paraId="38E3A97B" w14:textId="4D55CCF4" w:rsidR="0039212D" w:rsidRDefault="0039212D" w:rsidP="0039212D">
            <w:pPr>
              <w:pStyle w:val="RepTable"/>
              <w:jc w:val="center"/>
              <w:rPr>
                <w:highlight w:val="yellow"/>
              </w:rPr>
            </w:pPr>
            <w:r>
              <w:rPr>
                <w:color w:val="000000"/>
                <w:sz w:val="18"/>
                <w:szCs w:val="18"/>
              </w:rPr>
              <w:t>XXXX</w:t>
            </w:r>
          </w:p>
        </w:tc>
      </w:tr>
      <w:tr w:rsidR="0039212D" w14:paraId="2324AC21" w14:textId="77777777" w:rsidTr="00E23E58">
        <w:tc>
          <w:tcPr>
            <w:tcW w:w="0" w:type="auto"/>
          </w:tcPr>
          <w:p w14:paraId="70CF528C" w14:textId="77777777" w:rsidR="0039212D" w:rsidRDefault="0039212D" w:rsidP="0039212D">
            <w:pPr>
              <w:rPr>
                <w:sz w:val="18"/>
                <w:szCs w:val="18"/>
              </w:rPr>
            </w:pPr>
            <w:r>
              <w:rPr>
                <w:color w:val="000000"/>
                <w:sz w:val="18"/>
                <w:szCs w:val="18"/>
              </w:rPr>
              <w:t>KCP 10.2.1/7</w:t>
            </w:r>
          </w:p>
        </w:tc>
        <w:tc>
          <w:tcPr>
            <w:tcW w:w="0" w:type="auto"/>
          </w:tcPr>
          <w:p w14:paraId="5C9EAC42" w14:textId="77777777" w:rsidR="0039212D" w:rsidRDefault="0039212D" w:rsidP="0039212D">
            <w:pPr>
              <w:rPr>
                <w:sz w:val="18"/>
                <w:szCs w:val="18"/>
              </w:rPr>
            </w:pPr>
            <w:r>
              <w:rPr>
                <w:color w:val="000000"/>
                <w:sz w:val="18"/>
                <w:szCs w:val="18"/>
              </w:rPr>
              <w:t>Zok, S.</w:t>
            </w:r>
          </w:p>
        </w:tc>
        <w:tc>
          <w:tcPr>
            <w:tcW w:w="0" w:type="auto"/>
          </w:tcPr>
          <w:p w14:paraId="4E43534A" w14:textId="77777777" w:rsidR="0039212D" w:rsidRDefault="0039212D" w:rsidP="0039212D">
            <w:pPr>
              <w:jc w:val="center"/>
              <w:rPr>
                <w:sz w:val="18"/>
                <w:szCs w:val="18"/>
              </w:rPr>
            </w:pPr>
            <w:r>
              <w:rPr>
                <w:color w:val="000000"/>
                <w:sz w:val="18"/>
                <w:szCs w:val="18"/>
              </w:rPr>
              <w:t>2007</w:t>
            </w:r>
          </w:p>
        </w:tc>
        <w:tc>
          <w:tcPr>
            <w:tcW w:w="0" w:type="auto"/>
          </w:tcPr>
          <w:p w14:paraId="07DF2CA1" w14:textId="77777777" w:rsidR="0039212D" w:rsidRDefault="0039212D" w:rsidP="0039212D">
            <w:pPr>
              <w:rPr>
                <w:color w:val="000000"/>
                <w:sz w:val="18"/>
                <w:szCs w:val="18"/>
              </w:rPr>
            </w:pPr>
            <w:r w:rsidRPr="001249EB">
              <w:rPr>
                <w:color w:val="000000"/>
                <w:sz w:val="18"/>
                <w:szCs w:val="18"/>
              </w:rPr>
              <w:t>BAS 650 00 F - Determination of the inhibitory effect on the cell multiplication of unicellular green algae Pseudokirchneriella subcapitata</w:t>
            </w:r>
          </w:p>
          <w:p w14:paraId="17BFE1CD" w14:textId="77777777" w:rsidR="0039212D" w:rsidRDefault="0039212D" w:rsidP="0039212D">
            <w:pPr>
              <w:rPr>
                <w:color w:val="000000"/>
                <w:sz w:val="18"/>
                <w:szCs w:val="18"/>
              </w:rPr>
            </w:pPr>
            <w:r w:rsidRPr="001249EB">
              <w:rPr>
                <w:color w:val="000000"/>
                <w:sz w:val="18"/>
                <w:szCs w:val="18"/>
              </w:rPr>
              <w:t>2007/1017586</w:t>
            </w:r>
          </w:p>
          <w:p w14:paraId="374629A0" w14:textId="77777777" w:rsidR="0039212D" w:rsidRDefault="0039212D" w:rsidP="0039212D">
            <w:pPr>
              <w:rPr>
                <w:color w:val="000000"/>
                <w:sz w:val="18"/>
                <w:szCs w:val="18"/>
              </w:rPr>
            </w:pPr>
            <w:r w:rsidRPr="001249EB">
              <w:rPr>
                <w:color w:val="000000"/>
                <w:sz w:val="18"/>
                <w:szCs w:val="18"/>
              </w:rPr>
              <w:t>BASF AG, Limburgerhof, Germany Fed.Rep.</w:t>
            </w:r>
          </w:p>
          <w:p w14:paraId="19B7A2CA" w14:textId="77777777" w:rsidR="0039212D" w:rsidRDefault="0039212D" w:rsidP="0039212D">
            <w:pPr>
              <w:rPr>
                <w:color w:val="000000"/>
                <w:sz w:val="18"/>
                <w:szCs w:val="18"/>
              </w:rPr>
            </w:pPr>
            <w:r w:rsidRPr="001249EB">
              <w:rPr>
                <w:color w:val="000000"/>
                <w:sz w:val="18"/>
                <w:szCs w:val="18"/>
              </w:rPr>
              <w:t>yes</w:t>
            </w:r>
          </w:p>
          <w:p w14:paraId="34ECD3AF" w14:textId="77777777" w:rsidR="0039212D" w:rsidRDefault="0039212D" w:rsidP="0039212D">
            <w:pPr>
              <w:rPr>
                <w:color w:val="000000"/>
                <w:sz w:val="18"/>
                <w:szCs w:val="18"/>
              </w:rPr>
            </w:pPr>
            <w:r>
              <w:rPr>
                <w:color w:val="000000"/>
                <w:sz w:val="18"/>
                <w:szCs w:val="18"/>
              </w:rPr>
              <w:t>Unpublished</w:t>
            </w:r>
          </w:p>
        </w:tc>
        <w:tc>
          <w:tcPr>
            <w:tcW w:w="0" w:type="auto"/>
          </w:tcPr>
          <w:p w14:paraId="7C81B22B" w14:textId="77777777" w:rsidR="0039212D" w:rsidRDefault="0039212D" w:rsidP="0039212D">
            <w:pPr>
              <w:jc w:val="center"/>
              <w:rPr>
                <w:sz w:val="18"/>
                <w:szCs w:val="18"/>
              </w:rPr>
            </w:pPr>
            <w:r>
              <w:rPr>
                <w:color w:val="000000"/>
                <w:sz w:val="18"/>
                <w:szCs w:val="18"/>
              </w:rPr>
              <w:t>No</w:t>
            </w:r>
          </w:p>
        </w:tc>
        <w:tc>
          <w:tcPr>
            <w:tcW w:w="0" w:type="auto"/>
          </w:tcPr>
          <w:p w14:paraId="169D1469" w14:textId="17ECF5A8" w:rsidR="0039212D" w:rsidRDefault="0039212D" w:rsidP="0039212D">
            <w:pPr>
              <w:pStyle w:val="RepTable"/>
              <w:jc w:val="center"/>
              <w:rPr>
                <w:highlight w:val="yellow"/>
              </w:rPr>
            </w:pPr>
            <w:r>
              <w:rPr>
                <w:color w:val="000000"/>
                <w:sz w:val="18"/>
                <w:szCs w:val="18"/>
              </w:rPr>
              <w:t>XXXX</w:t>
            </w:r>
          </w:p>
        </w:tc>
      </w:tr>
      <w:tr w:rsidR="0039212D" w14:paraId="79E4E2AD" w14:textId="77777777" w:rsidTr="00E23E58">
        <w:tc>
          <w:tcPr>
            <w:tcW w:w="0" w:type="auto"/>
          </w:tcPr>
          <w:p w14:paraId="50EC395E" w14:textId="77777777" w:rsidR="0039212D" w:rsidRDefault="0039212D" w:rsidP="0039212D">
            <w:pPr>
              <w:rPr>
                <w:sz w:val="18"/>
                <w:szCs w:val="18"/>
              </w:rPr>
            </w:pPr>
            <w:r>
              <w:rPr>
                <w:color w:val="000000"/>
                <w:sz w:val="18"/>
                <w:szCs w:val="18"/>
              </w:rPr>
              <w:t>KCP 10.2.1/8</w:t>
            </w:r>
          </w:p>
        </w:tc>
        <w:tc>
          <w:tcPr>
            <w:tcW w:w="0" w:type="auto"/>
          </w:tcPr>
          <w:p w14:paraId="11619AA7" w14:textId="77777777" w:rsidR="0039212D" w:rsidRDefault="0039212D" w:rsidP="0039212D">
            <w:pPr>
              <w:rPr>
                <w:sz w:val="18"/>
                <w:szCs w:val="18"/>
              </w:rPr>
            </w:pPr>
            <w:r>
              <w:rPr>
                <w:color w:val="000000"/>
                <w:sz w:val="18"/>
                <w:szCs w:val="18"/>
              </w:rPr>
              <w:t>Janson, G.</w:t>
            </w:r>
          </w:p>
        </w:tc>
        <w:tc>
          <w:tcPr>
            <w:tcW w:w="0" w:type="auto"/>
          </w:tcPr>
          <w:p w14:paraId="6876A16D" w14:textId="77777777" w:rsidR="0039212D" w:rsidRDefault="0039212D" w:rsidP="0039212D">
            <w:pPr>
              <w:jc w:val="center"/>
              <w:rPr>
                <w:sz w:val="18"/>
                <w:szCs w:val="18"/>
              </w:rPr>
            </w:pPr>
            <w:r>
              <w:rPr>
                <w:color w:val="000000"/>
                <w:sz w:val="18"/>
                <w:szCs w:val="18"/>
              </w:rPr>
              <w:t>2008</w:t>
            </w:r>
          </w:p>
        </w:tc>
        <w:tc>
          <w:tcPr>
            <w:tcW w:w="0" w:type="auto"/>
          </w:tcPr>
          <w:p w14:paraId="2A1BCB9C" w14:textId="77777777" w:rsidR="0039212D" w:rsidRDefault="0039212D" w:rsidP="0039212D">
            <w:pPr>
              <w:rPr>
                <w:color w:val="000000"/>
                <w:sz w:val="18"/>
                <w:szCs w:val="18"/>
              </w:rPr>
            </w:pPr>
            <w:r w:rsidRPr="001249EB">
              <w:rPr>
                <w:color w:val="000000"/>
                <w:sz w:val="18"/>
                <w:szCs w:val="18"/>
              </w:rPr>
              <w:t>Acute toxicity of Reg.No. 5178872 (metabolite of BAS 650 F) to Daphnia magna STRAUS in a 48 hour static test</w:t>
            </w:r>
          </w:p>
          <w:p w14:paraId="075EE090" w14:textId="77777777" w:rsidR="0039212D" w:rsidRPr="001249EB" w:rsidRDefault="0039212D" w:rsidP="0039212D">
            <w:pPr>
              <w:rPr>
                <w:color w:val="000000"/>
                <w:sz w:val="18"/>
                <w:szCs w:val="18"/>
                <w:lang w:val="de-DE"/>
              </w:rPr>
            </w:pPr>
            <w:r w:rsidRPr="00375516">
              <w:rPr>
                <w:color w:val="000000"/>
                <w:sz w:val="18"/>
                <w:szCs w:val="18"/>
                <w:lang w:val="de-DE"/>
              </w:rPr>
              <w:t>2008/1034472</w:t>
            </w:r>
          </w:p>
          <w:p w14:paraId="5DD9B353" w14:textId="77777777" w:rsidR="0039212D" w:rsidRPr="001249EB" w:rsidRDefault="0039212D" w:rsidP="0039212D">
            <w:pPr>
              <w:rPr>
                <w:color w:val="000000"/>
                <w:sz w:val="18"/>
                <w:szCs w:val="18"/>
                <w:lang w:val="de-DE"/>
              </w:rPr>
            </w:pPr>
            <w:r w:rsidRPr="00375516">
              <w:rPr>
                <w:color w:val="000000"/>
                <w:sz w:val="18"/>
                <w:szCs w:val="18"/>
                <w:lang w:val="de-DE"/>
              </w:rPr>
              <w:t>BASF SE, Ludwigshafen/Rhein, Germany Fed.Rep.</w:t>
            </w:r>
          </w:p>
          <w:p w14:paraId="03C16E24" w14:textId="77777777" w:rsidR="0039212D" w:rsidRDefault="0039212D" w:rsidP="0039212D">
            <w:pPr>
              <w:rPr>
                <w:color w:val="000000"/>
                <w:sz w:val="18"/>
                <w:szCs w:val="18"/>
              </w:rPr>
            </w:pPr>
            <w:r>
              <w:rPr>
                <w:color w:val="000000"/>
                <w:sz w:val="18"/>
                <w:szCs w:val="18"/>
              </w:rPr>
              <w:t>yes</w:t>
            </w:r>
          </w:p>
          <w:p w14:paraId="2EAB1FA4" w14:textId="77777777" w:rsidR="0039212D" w:rsidRDefault="0039212D" w:rsidP="0039212D">
            <w:pPr>
              <w:rPr>
                <w:color w:val="000000"/>
                <w:sz w:val="18"/>
                <w:szCs w:val="18"/>
              </w:rPr>
            </w:pPr>
            <w:r>
              <w:rPr>
                <w:color w:val="000000"/>
                <w:sz w:val="18"/>
                <w:szCs w:val="18"/>
              </w:rPr>
              <w:t>Unpublished</w:t>
            </w:r>
          </w:p>
        </w:tc>
        <w:tc>
          <w:tcPr>
            <w:tcW w:w="0" w:type="auto"/>
          </w:tcPr>
          <w:p w14:paraId="75E991C5" w14:textId="77777777" w:rsidR="0039212D" w:rsidRDefault="0039212D" w:rsidP="0039212D">
            <w:pPr>
              <w:jc w:val="center"/>
              <w:rPr>
                <w:sz w:val="18"/>
                <w:szCs w:val="18"/>
              </w:rPr>
            </w:pPr>
            <w:r>
              <w:rPr>
                <w:color w:val="000000"/>
                <w:sz w:val="18"/>
                <w:szCs w:val="18"/>
              </w:rPr>
              <w:t>No</w:t>
            </w:r>
          </w:p>
        </w:tc>
        <w:tc>
          <w:tcPr>
            <w:tcW w:w="0" w:type="auto"/>
          </w:tcPr>
          <w:p w14:paraId="1C8A1F71" w14:textId="1EC7AA9B" w:rsidR="0039212D" w:rsidRDefault="0039212D" w:rsidP="0039212D">
            <w:pPr>
              <w:pStyle w:val="RepTable"/>
              <w:jc w:val="center"/>
              <w:rPr>
                <w:highlight w:val="yellow"/>
              </w:rPr>
            </w:pPr>
            <w:r>
              <w:rPr>
                <w:color w:val="000000"/>
                <w:sz w:val="18"/>
                <w:szCs w:val="18"/>
              </w:rPr>
              <w:t>XXXX</w:t>
            </w:r>
          </w:p>
        </w:tc>
      </w:tr>
      <w:tr w:rsidR="0039212D" w14:paraId="653B02CE" w14:textId="77777777" w:rsidTr="00E23E58">
        <w:tc>
          <w:tcPr>
            <w:tcW w:w="0" w:type="auto"/>
          </w:tcPr>
          <w:p w14:paraId="5CD902A1" w14:textId="77777777" w:rsidR="0039212D" w:rsidRDefault="0039212D" w:rsidP="0039212D">
            <w:pPr>
              <w:rPr>
                <w:sz w:val="18"/>
                <w:szCs w:val="18"/>
              </w:rPr>
            </w:pPr>
            <w:r>
              <w:rPr>
                <w:color w:val="000000"/>
                <w:sz w:val="18"/>
                <w:szCs w:val="18"/>
              </w:rPr>
              <w:t>KCP 10.2.1/9</w:t>
            </w:r>
          </w:p>
        </w:tc>
        <w:tc>
          <w:tcPr>
            <w:tcW w:w="0" w:type="auto"/>
          </w:tcPr>
          <w:p w14:paraId="0C46B707" w14:textId="77777777" w:rsidR="0039212D" w:rsidRDefault="0039212D" w:rsidP="0039212D">
            <w:pPr>
              <w:rPr>
                <w:sz w:val="18"/>
                <w:szCs w:val="18"/>
              </w:rPr>
            </w:pPr>
            <w:r>
              <w:rPr>
                <w:color w:val="000000"/>
                <w:sz w:val="18"/>
                <w:szCs w:val="18"/>
              </w:rPr>
              <w:t>Gopi, R.</w:t>
            </w:r>
          </w:p>
        </w:tc>
        <w:tc>
          <w:tcPr>
            <w:tcW w:w="0" w:type="auto"/>
          </w:tcPr>
          <w:p w14:paraId="0FE84789" w14:textId="77777777" w:rsidR="0039212D" w:rsidRDefault="0039212D" w:rsidP="0039212D">
            <w:pPr>
              <w:jc w:val="center"/>
              <w:rPr>
                <w:sz w:val="18"/>
                <w:szCs w:val="18"/>
              </w:rPr>
            </w:pPr>
            <w:r>
              <w:rPr>
                <w:color w:val="000000"/>
                <w:sz w:val="18"/>
                <w:szCs w:val="18"/>
              </w:rPr>
              <w:t>2008</w:t>
            </w:r>
          </w:p>
        </w:tc>
        <w:tc>
          <w:tcPr>
            <w:tcW w:w="0" w:type="auto"/>
          </w:tcPr>
          <w:p w14:paraId="5D0D0AE4" w14:textId="77777777" w:rsidR="0039212D" w:rsidRDefault="0039212D" w:rsidP="0039212D">
            <w:pPr>
              <w:rPr>
                <w:color w:val="000000"/>
                <w:sz w:val="18"/>
                <w:szCs w:val="18"/>
              </w:rPr>
            </w:pPr>
            <w:r w:rsidRPr="001249EB">
              <w:rPr>
                <w:color w:val="000000"/>
                <w:sz w:val="18"/>
                <w:szCs w:val="18"/>
              </w:rPr>
              <w:t>Acute toxicity study of Reg.No. 5178870 (metabolite of BAS 650 F) to freshwater fish, Oncorhynchus mykiss</w:t>
            </w:r>
          </w:p>
          <w:p w14:paraId="5867A88A" w14:textId="77777777" w:rsidR="0039212D" w:rsidRDefault="0039212D" w:rsidP="0039212D">
            <w:pPr>
              <w:rPr>
                <w:color w:val="000000"/>
                <w:sz w:val="18"/>
                <w:szCs w:val="18"/>
              </w:rPr>
            </w:pPr>
            <w:r w:rsidRPr="001249EB">
              <w:rPr>
                <w:color w:val="000000"/>
                <w:sz w:val="18"/>
                <w:szCs w:val="18"/>
              </w:rPr>
              <w:t>2007/1035788</w:t>
            </w:r>
          </w:p>
          <w:p w14:paraId="1BB99C90" w14:textId="77777777" w:rsidR="0039212D" w:rsidRDefault="0039212D" w:rsidP="0039212D">
            <w:pPr>
              <w:rPr>
                <w:color w:val="000000"/>
                <w:sz w:val="18"/>
                <w:szCs w:val="18"/>
              </w:rPr>
            </w:pPr>
            <w:r w:rsidRPr="001249EB">
              <w:rPr>
                <w:color w:val="000000"/>
                <w:sz w:val="18"/>
                <w:szCs w:val="18"/>
              </w:rPr>
              <w:t>IIBAT - International Institute of Biotechnology and Toxicology, Padappai, India</w:t>
            </w:r>
          </w:p>
          <w:p w14:paraId="3AB7FF67" w14:textId="77777777" w:rsidR="0039212D" w:rsidRDefault="0039212D" w:rsidP="0039212D">
            <w:pPr>
              <w:rPr>
                <w:color w:val="000000"/>
                <w:sz w:val="18"/>
                <w:szCs w:val="18"/>
              </w:rPr>
            </w:pPr>
            <w:r>
              <w:rPr>
                <w:color w:val="000000"/>
                <w:sz w:val="18"/>
                <w:szCs w:val="18"/>
              </w:rPr>
              <w:t>yes</w:t>
            </w:r>
          </w:p>
          <w:p w14:paraId="3FCDEA02" w14:textId="77777777" w:rsidR="0039212D" w:rsidRDefault="0039212D" w:rsidP="0039212D">
            <w:pPr>
              <w:rPr>
                <w:color w:val="000000"/>
                <w:sz w:val="18"/>
                <w:szCs w:val="18"/>
              </w:rPr>
            </w:pPr>
            <w:r>
              <w:rPr>
                <w:color w:val="000000"/>
                <w:sz w:val="18"/>
                <w:szCs w:val="18"/>
              </w:rPr>
              <w:t>Unpublished</w:t>
            </w:r>
          </w:p>
        </w:tc>
        <w:tc>
          <w:tcPr>
            <w:tcW w:w="0" w:type="auto"/>
          </w:tcPr>
          <w:p w14:paraId="59973587" w14:textId="77777777" w:rsidR="0039212D" w:rsidRDefault="0039212D" w:rsidP="0039212D">
            <w:pPr>
              <w:jc w:val="center"/>
              <w:rPr>
                <w:sz w:val="18"/>
                <w:szCs w:val="18"/>
              </w:rPr>
            </w:pPr>
            <w:r>
              <w:rPr>
                <w:color w:val="000000"/>
                <w:sz w:val="18"/>
                <w:szCs w:val="18"/>
              </w:rPr>
              <w:t>Yes</w:t>
            </w:r>
          </w:p>
        </w:tc>
        <w:tc>
          <w:tcPr>
            <w:tcW w:w="0" w:type="auto"/>
          </w:tcPr>
          <w:p w14:paraId="18ED5DFA" w14:textId="35A10436" w:rsidR="0039212D" w:rsidRDefault="0039212D" w:rsidP="0039212D">
            <w:pPr>
              <w:pStyle w:val="RepTable"/>
              <w:jc w:val="center"/>
              <w:rPr>
                <w:highlight w:val="yellow"/>
              </w:rPr>
            </w:pPr>
            <w:r>
              <w:rPr>
                <w:color w:val="000000"/>
                <w:sz w:val="18"/>
                <w:szCs w:val="18"/>
              </w:rPr>
              <w:t>XXXX</w:t>
            </w:r>
          </w:p>
        </w:tc>
      </w:tr>
      <w:tr w:rsidR="0039212D" w14:paraId="5F26B249" w14:textId="77777777" w:rsidTr="00E23E58">
        <w:tc>
          <w:tcPr>
            <w:tcW w:w="0" w:type="auto"/>
          </w:tcPr>
          <w:p w14:paraId="23E78183" w14:textId="77777777" w:rsidR="0039212D" w:rsidRDefault="0039212D" w:rsidP="0039212D">
            <w:pPr>
              <w:rPr>
                <w:sz w:val="18"/>
                <w:szCs w:val="18"/>
              </w:rPr>
            </w:pPr>
            <w:r>
              <w:rPr>
                <w:color w:val="000000"/>
                <w:sz w:val="18"/>
                <w:szCs w:val="18"/>
              </w:rPr>
              <w:t>KCP 10.2.1/10</w:t>
            </w:r>
          </w:p>
        </w:tc>
        <w:tc>
          <w:tcPr>
            <w:tcW w:w="0" w:type="auto"/>
          </w:tcPr>
          <w:p w14:paraId="03604EEB" w14:textId="77777777" w:rsidR="0039212D" w:rsidRDefault="0039212D" w:rsidP="0039212D">
            <w:pPr>
              <w:rPr>
                <w:sz w:val="18"/>
                <w:szCs w:val="18"/>
              </w:rPr>
            </w:pPr>
            <w:r>
              <w:rPr>
                <w:color w:val="000000"/>
                <w:sz w:val="18"/>
                <w:szCs w:val="18"/>
              </w:rPr>
              <w:t>Gopi, R.</w:t>
            </w:r>
          </w:p>
        </w:tc>
        <w:tc>
          <w:tcPr>
            <w:tcW w:w="0" w:type="auto"/>
          </w:tcPr>
          <w:p w14:paraId="20C0360F" w14:textId="77777777" w:rsidR="0039212D" w:rsidRDefault="0039212D" w:rsidP="0039212D">
            <w:pPr>
              <w:jc w:val="center"/>
              <w:rPr>
                <w:sz w:val="18"/>
                <w:szCs w:val="18"/>
              </w:rPr>
            </w:pPr>
            <w:r>
              <w:rPr>
                <w:color w:val="000000"/>
                <w:sz w:val="18"/>
                <w:szCs w:val="18"/>
              </w:rPr>
              <w:t>2008</w:t>
            </w:r>
          </w:p>
        </w:tc>
        <w:tc>
          <w:tcPr>
            <w:tcW w:w="0" w:type="auto"/>
          </w:tcPr>
          <w:p w14:paraId="08E6A921" w14:textId="77777777" w:rsidR="0039212D" w:rsidRDefault="0039212D" w:rsidP="0039212D">
            <w:pPr>
              <w:rPr>
                <w:color w:val="000000"/>
                <w:sz w:val="18"/>
                <w:szCs w:val="18"/>
              </w:rPr>
            </w:pPr>
            <w:r w:rsidRPr="001249EB">
              <w:rPr>
                <w:color w:val="000000"/>
                <w:sz w:val="18"/>
                <w:szCs w:val="18"/>
              </w:rPr>
              <w:t>Acute immobilisation test with Reg.No. 5178870 (metabolite of BAS 650 F) in Daphnia magna</w:t>
            </w:r>
          </w:p>
          <w:p w14:paraId="13F31C00" w14:textId="77777777" w:rsidR="0039212D" w:rsidRDefault="0039212D" w:rsidP="0039212D">
            <w:pPr>
              <w:rPr>
                <w:color w:val="000000"/>
                <w:sz w:val="18"/>
                <w:szCs w:val="18"/>
              </w:rPr>
            </w:pPr>
            <w:r w:rsidRPr="001249EB">
              <w:rPr>
                <w:color w:val="000000"/>
                <w:sz w:val="18"/>
                <w:szCs w:val="18"/>
              </w:rPr>
              <w:t>2007/1035785</w:t>
            </w:r>
          </w:p>
          <w:p w14:paraId="7085EAA3" w14:textId="77777777" w:rsidR="0039212D" w:rsidRDefault="0039212D" w:rsidP="0039212D">
            <w:pPr>
              <w:rPr>
                <w:color w:val="000000"/>
                <w:sz w:val="18"/>
                <w:szCs w:val="18"/>
              </w:rPr>
            </w:pPr>
            <w:r w:rsidRPr="001249EB">
              <w:rPr>
                <w:color w:val="000000"/>
                <w:sz w:val="18"/>
                <w:szCs w:val="18"/>
              </w:rPr>
              <w:t>IIBAT - International Institute of Biotechnology and Toxicology, Padappai, India</w:t>
            </w:r>
          </w:p>
          <w:p w14:paraId="5C8769B9" w14:textId="77777777" w:rsidR="0039212D" w:rsidRDefault="0039212D" w:rsidP="0039212D">
            <w:pPr>
              <w:rPr>
                <w:color w:val="000000"/>
                <w:sz w:val="18"/>
                <w:szCs w:val="18"/>
              </w:rPr>
            </w:pPr>
            <w:r>
              <w:rPr>
                <w:color w:val="000000"/>
                <w:sz w:val="18"/>
                <w:szCs w:val="18"/>
              </w:rPr>
              <w:t>yes</w:t>
            </w:r>
          </w:p>
          <w:p w14:paraId="51EFB772" w14:textId="77777777" w:rsidR="0039212D" w:rsidRDefault="0039212D" w:rsidP="0039212D">
            <w:pPr>
              <w:rPr>
                <w:color w:val="000000"/>
                <w:sz w:val="18"/>
                <w:szCs w:val="18"/>
              </w:rPr>
            </w:pPr>
            <w:r>
              <w:rPr>
                <w:color w:val="000000"/>
                <w:sz w:val="18"/>
                <w:szCs w:val="18"/>
              </w:rPr>
              <w:t>Unpublished</w:t>
            </w:r>
          </w:p>
        </w:tc>
        <w:tc>
          <w:tcPr>
            <w:tcW w:w="0" w:type="auto"/>
          </w:tcPr>
          <w:p w14:paraId="745D7710" w14:textId="77777777" w:rsidR="0039212D" w:rsidRDefault="0039212D" w:rsidP="0039212D">
            <w:pPr>
              <w:jc w:val="center"/>
              <w:rPr>
                <w:sz w:val="18"/>
                <w:szCs w:val="18"/>
              </w:rPr>
            </w:pPr>
            <w:r>
              <w:rPr>
                <w:color w:val="000000"/>
                <w:sz w:val="18"/>
                <w:szCs w:val="18"/>
              </w:rPr>
              <w:t>No</w:t>
            </w:r>
          </w:p>
        </w:tc>
        <w:tc>
          <w:tcPr>
            <w:tcW w:w="0" w:type="auto"/>
          </w:tcPr>
          <w:p w14:paraId="40AD9B2C" w14:textId="018D3176" w:rsidR="0039212D" w:rsidRDefault="0039212D" w:rsidP="0039212D">
            <w:pPr>
              <w:pStyle w:val="RepTable"/>
              <w:jc w:val="center"/>
              <w:rPr>
                <w:highlight w:val="yellow"/>
              </w:rPr>
            </w:pPr>
            <w:r>
              <w:rPr>
                <w:color w:val="000000"/>
                <w:sz w:val="18"/>
                <w:szCs w:val="18"/>
              </w:rPr>
              <w:t>XXXX</w:t>
            </w:r>
          </w:p>
        </w:tc>
      </w:tr>
      <w:tr w:rsidR="0039212D" w14:paraId="6E041597" w14:textId="77777777" w:rsidTr="00E23E58">
        <w:tc>
          <w:tcPr>
            <w:tcW w:w="0" w:type="auto"/>
          </w:tcPr>
          <w:p w14:paraId="6A928969" w14:textId="77777777" w:rsidR="0039212D" w:rsidRDefault="0039212D" w:rsidP="0039212D">
            <w:pPr>
              <w:keepLines/>
              <w:pageBreakBefore/>
              <w:rPr>
                <w:sz w:val="18"/>
                <w:szCs w:val="18"/>
              </w:rPr>
            </w:pPr>
            <w:r>
              <w:rPr>
                <w:color w:val="000000"/>
                <w:sz w:val="18"/>
                <w:szCs w:val="18"/>
              </w:rPr>
              <w:lastRenderedPageBreak/>
              <w:t>KCP 10.2.1/11</w:t>
            </w:r>
          </w:p>
        </w:tc>
        <w:tc>
          <w:tcPr>
            <w:tcW w:w="0" w:type="auto"/>
          </w:tcPr>
          <w:p w14:paraId="12AE7AC2" w14:textId="77777777" w:rsidR="0039212D" w:rsidRDefault="0039212D" w:rsidP="0039212D">
            <w:pPr>
              <w:keepLines/>
              <w:pageBreakBefore/>
              <w:rPr>
                <w:sz w:val="18"/>
                <w:szCs w:val="18"/>
              </w:rPr>
            </w:pPr>
            <w:r>
              <w:rPr>
                <w:color w:val="000000"/>
                <w:sz w:val="18"/>
                <w:szCs w:val="18"/>
              </w:rPr>
              <w:t>Ayyappan, A.</w:t>
            </w:r>
          </w:p>
        </w:tc>
        <w:tc>
          <w:tcPr>
            <w:tcW w:w="0" w:type="auto"/>
          </w:tcPr>
          <w:p w14:paraId="4AA81062" w14:textId="77777777" w:rsidR="0039212D" w:rsidRDefault="0039212D" w:rsidP="0039212D">
            <w:pPr>
              <w:keepLines/>
              <w:pageBreakBefore/>
              <w:jc w:val="center"/>
              <w:rPr>
                <w:sz w:val="18"/>
                <w:szCs w:val="18"/>
              </w:rPr>
            </w:pPr>
            <w:r>
              <w:rPr>
                <w:color w:val="000000"/>
                <w:sz w:val="18"/>
                <w:szCs w:val="18"/>
              </w:rPr>
              <w:t>2008</w:t>
            </w:r>
          </w:p>
        </w:tc>
        <w:tc>
          <w:tcPr>
            <w:tcW w:w="0" w:type="auto"/>
          </w:tcPr>
          <w:p w14:paraId="2C896A60" w14:textId="77777777" w:rsidR="0039212D" w:rsidRDefault="0039212D" w:rsidP="0039212D">
            <w:pPr>
              <w:keepLines/>
              <w:pageBreakBefore/>
              <w:rPr>
                <w:color w:val="000000"/>
                <w:sz w:val="18"/>
                <w:szCs w:val="18"/>
              </w:rPr>
            </w:pPr>
            <w:r w:rsidRPr="001249EB">
              <w:rPr>
                <w:color w:val="000000"/>
                <w:sz w:val="18"/>
                <w:szCs w:val="18"/>
              </w:rPr>
              <w:t>Effect of Reg.No. 5178870 (metabolite of BAS 650 F) on the growth of green alga, Pseudokirchneriella subcapitata</w:t>
            </w:r>
          </w:p>
          <w:p w14:paraId="2EC2B87F" w14:textId="77777777" w:rsidR="0039212D" w:rsidRDefault="0039212D" w:rsidP="0039212D">
            <w:pPr>
              <w:keepLines/>
              <w:pageBreakBefore/>
              <w:rPr>
                <w:color w:val="000000"/>
                <w:sz w:val="18"/>
                <w:szCs w:val="18"/>
              </w:rPr>
            </w:pPr>
            <w:r w:rsidRPr="001249EB">
              <w:rPr>
                <w:color w:val="000000"/>
                <w:sz w:val="18"/>
                <w:szCs w:val="18"/>
              </w:rPr>
              <w:t>2007/1035786</w:t>
            </w:r>
          </w:p>
          <w:p w14:paraId="7F2CAEE2" w14:textId="77777777" w:rsidR="0039212D" w:rsidRDefault="0039212D" w:rsidP="0039212D">
            <w:pPr>
              <w:keepLines/>
              <w:pageBreakBefore/>
              <w:rPr>
                <w:color w:val="000000"/>
                <w:sz w:val="18"/>
                <w:szCs w:val="18"/>
              </w:rPr>
            </w:pPr>
            <w:r w:rsidRPr="001249EB">
              <w:rPr>
                <w:color w:val="000000"/>
                <w:sz w:val="18"/>
                <w:szCs w:val="18"/>
              </w:rPr>
              <w:t>IIBAT - International Institute of Biotechnology and Toxicology, Padappai, India</w:t>
            </w:r>
          </w:p>
          <w:p w14:paraId="703E10A1" w14:textId="77777777" w:rsidR="0039212D" w:rsidRDefault="0039212D" w:rsidP="0039212D">
            <w:pPr>
              <w:keepLines/>
              <w:pageBreakBefore/>
              <w:rPr>
                <w:color w:val="000000"/>
                <w:sz w:val="18"/>
                <w:szCs w:val="18"/>
              </w:rPr>
            </w:pPr>
            <w:r>
              <w:rPr>
                <w:color w:val="000000"/>
                <w:sz w:val="18"/>
                <w:szCs w:val="18"/>
              </w:rPr>
              <w:t>yes</w:t>
            </w:r>
          </w:p>
          <w:p w14:paraId="1810EC7F" w14:textId="77777777" w:rsidR="0039212D" w:rsidRDefault="0039212D" w:rsidP="0039212D">
            <w:pPr>
              <w:keepLines/>
              <w:pageBreakBefore/>
              <w:rPr>
                <w:color w:val="000000"/>
                <w:sz w:val="18"/>
                <w:szCs w:val="18"/>
              </w:rPr>
            </w:pPr>
            <w:r>
              <w:rPr>
                <w:color w:val="000000"/>
                <w:sz w:val="18"/>
                <w:szCs w:val="18"/>
              </w:rPr>
              <w:t>Unpublished</w:t>
            </w:r>
          </w:p>
        </w:tc>
        <w:tc>
          <w:tcPr>
            <w:tcW w:w="0" w:type="auto"/>
          </w:tcPr>
          <w:p w14:paraId="5C4D8F4A" w14:textId="77777777" w:rsidR="0039212D" w:rsidRDefault="0039212D" w:rsidP="0039212D">
            <w:pPr>
              <w:keepLines/>
              <w:pageBreakBefore/>
              <w:jc w:val="center"/>
              <w:rPr>
                <w:sz w:val="18"/>
                <w:szCs w:val="18"/>
              </w:rPr>
            </w:pPr>
            <w:r>
              <w:rPr>
                <w:color w:val="000000"/>
                <w:sz w:val="18"/>
                <w:szCs w:val="18"/>
              </w:rPr>
              <w:t>No</w:t>
            </w:r>
          </w:p>
        </w:tc>
        <w:tc>
          <w:tcPr>
            <w:tcW w:w="0" w:type="auto"/>
          </w:tcPr>
          <w:p w14:paraId="267EEAD8" w14:textId="7A81A29B" w:rsidR="0039212D" w:rsidRDefault="0039212D" w:rsidP="0039212D">
            <w:pPr>
              <w:pStyle w:val="RepTable"/>
              <w:keepLines/>
              <w:pageBreakBefore/>
              <w:jc w:val="center"/>
              <w:rPr>
                <w:highlight w:val="yellow"/>
              </w:rPr>
            </w:pPr>
            <w:r>
              <w:rPr>
                <w:color w:val="000000"/>
                <w:sz w:val="18"/>
                <w:szCs w:val="18"/>
              </w:rPr>
              <w:t>XXXX</w:t>
            </w:r>
          </w:p>
        </w:tc>
      </w:tr>
      <w:tr w:rsidR="0039212D" w14:paraId="7CADDC1B" w14:textId="77777777" w:rsidTr="00E23E58">
        <w:tc>
          <w:tcPr>
            <w:tcW w:w="0" w:type="auto"/>
          </w:tcPr>
          <w:p w14:paraId="2DBD39BE" w14:textId="77777777" w:rsidR="0039212D" w:rsidRDefault="0039212D" w:rsidP="0039212D">
            <w:pPr>
              <w:rPr>
                <w:sz w:val="18"/>
                <w:szCs w:val="18"/>
              </w:rPr>
            </w:pPr>
            <w:r>
              <w:rPr>
                <w:color w:val="000000"/>
                <w:sz w:val="18"/>
                <w:szCs w:val="18"/>
              </w:rPr>
              <w:t>KCP 10.2.1/12</w:t>
            </w:r>
          </w:p>
        </w:tc>
        <w:tc>
          <w:tcPr>
            <w:tcW w:w="0" w:type="auto"/>
          </w:tcPr>
          <w:p w14:paraId="4F5CF97A" w14:textId="576DD572" w:rsidR="0039212D" w:rsidRDefault="0039212D" w:rsidP="0039212D">
            <w:pPr>
              <w:rPr>
                <w:sz w:val="18"/>
                <w:szCs w:val="18"/>
              </w:rPr>
            </w:pPr>
            <w:r>
              <w:rPr>
                <w:color w:val="000000"/>
                <w:sz w:val="18"/>
                <w:szCs w:val="18"/>
              </w:rPr>
              <w:t>XXXX</w:t>
            </w:r>
          </w:p>
        </w:tc>
        <w:tc>
          <w:tcPr>
            <w:tcW w:w="0" w:type="auto"/>
          </w:tcPr>
          <w:p w14:paraId="3CDB93CA" w14:textId="77777777" w:rsidR="0039212D" w:rsidRDefault="0039212D" w:rsidP="0039212D">
            <w:pPr>
              <w:jc w:val="center"/>
              <w:rPr>
                <w:sz w:val="18"/>
                <w:szCs w:val="18"/>
              </w:rPr>
            </w:pPr>
            <w:r>
              <w:rPr>
                <w:color w:val="000000"/>
                <w:sz w:val="18"/>
                <w:szCs w:val="18"/>
              </w:rPr>
              <w:t>2008</w:t>
            </w:r>
          </w:p>
        </w:tc>
        <w:tc>
          <w:tcPr>
            <w:tcW w:w="0" w:type="auto"/>
          </w:tcPr>
          <w:p w14:paraId="4EC17763" w14:textId="77777777" w:rsidR="0039212D" w:rsidRDefault="0039212D" w:rsidP="0039212D">
            <w:pPr>
              <w:rPr>
                <w:color w:val="000000"/>
                <w:sz w:val="18"/>
                <w:szCs w:val="18"/>
              </w:rPr>
            </w:pPr>
            <w:r w:rsidRPr="001249EB">
              <w:rPr>
                <w:color w:val="000000"/>
                <w:sz w:val="18"/>
                <w:szCs w:val="18"/>
              </w:rPr>
              <w:t>Acute toxicity study of Reg.No. 5211623 to freshwater fish, Oncorhynchus mykiss</w:t>
            </w:r>
          </w:p>
          <w:p w14:paraId="6F0DE3FC" w14:textId="77777777" w:rsidR="0039212D" w:rsidRDefault="0039212D" w:rsidP="0039212D">
            <w:pPr>
              <w:rPr>
                <w:color w:val="000000"/>
                <w:sz w:val="18"/>
                <w:szCs w:val="18"/>
              </w:rPr>
            </w:pPr>
            <w:r w:rsidRPr="001249EB">
              <w:rPr>
                <w:color w:val="000000"/>
                <w:sz w:val="18"/>
                <w:szCs w:val="18"/>
              </w:rPr>
              <w:t>2007/1035789</w:t>
            </w:r>
          </w:p>
          <w:p w14:paraId="02F01E48" w14:textId="016BDB59" w:rsidR="0039212D" w:rsidRDefault="0039212D" w:rsidP="0039212D">
            <w:pPr>
              <w:rPr>
                <w:color w:val="000000"/>
                <w:sz w:val="18"/>
                <w:szCs w:val="18"/>
              </w:rPr>
            </w:pPr>
            <w:r>
              <w:rPr>
                <w:color w:val="000000"/>
                <w:sz w:val="18"/>
                <w:szCs w:val="18"/>
              </w:rPr>
              <w:t>XXXX</w:t>
            </w:r>
          </w:p>
          <w:p w14:paraId="50C65AA4" w14:textId="77777777" w:rsidR="0039212D" w:rsidRDefault="0039212D" w:rsidP="0039212D">
            <w:pPr>
              <w:rPr>
                <w:color w:val="000000"/>
                <w:sz w:val="18"/>
                <w:szCs w:val="18"/>
              </w:rPr>
            </w:pPr>
            <w:r>
              <w:rPr>
                <w:color w:val="000000"/>
                <w:sz w:val="18"/>
                <w:szCs w:val="18"/>
              </w:rPr>
              <w:t>yes</w:t>
            </w:r>
          </w:p>
          <w:p w14:paraId="64901F0B" w14:textId="77777777" w:rsidR="0039212D" w:rsidRDefault="0039212D" w:rsidP="0039212D">
            <w:pPr>
              <w:rPr>
                <w:color w:val="000000"/>
                <w:sz w:val="18"/>
                <w:szCs w:val="18"/>
              </w:rPr>
            </w:pPr>
            <w:r>
              <w:rPr>
                <w:color w:val="000000"/>
                <w:sz w:val="18"/>
                <w:szCs w:val="18"/>
              </w:rPr>
              <w:t>Unpublished</w:t>
            </w:r>
          </w:p>
        </w:tc>
        <w:tc>
          <w:tcPr>
            <w:tcW w:w="0" w:type="auto"/>
          </w:tcPr>
          <w:p w14:paraId="0803D532" w14:textId="77777777" w:rsidR="0039212D" w:rsidRDefault="0039212D" w:rsidP="0039212D">
            <w:pPr>
              <w:jc w:val="center"/>
              <w:rPr>
                <w:sz w:val="18"/>
                <w:szCs w:val="18"/>
              </w:rPr>
            </w:pPr>
            <w:r>
              <w:rPr>
                <w:color w:val="000000"/>
                <w:sz w:val="18"/>
                <w:szCs w:val="18"/>
              </w:rPr>
              <w:t>Yes</w:t>
            </w:r>
          </w:p>
        </w:tc>
        <w:tc>
          <w:tcPr>
            <w:tcW w:w="0" w:type="auto"/>
          </w:tcPr>
          <w:p w14:paraId="16169DBB" w14:textId="19A54EAF" w:rsidR="0039212D" w:rsidRDefault="0039212D" w:rsidP="0039212D">
            <w:pPr>
              <w:pStyle w:val="RepTable"/>
              <w:jc w:val="center"/>
              <w:rPr>
                <w:highlight w:val="yellow"/>
              </w:rPr>
            </w:pPr>
            <w:r>
              <w:rPr>
                <w:color w:val="000000"/>
                <w:sz w:val="18"/>
                <w:szCs w:val="18"/>
              </w:rPr>
              <w:t>XXXX</w:t>
            </w:r>
          </w:p>
        </w:tc>
      </w:tr>
      <w:tr w:rsidR="0039212D" w14:paraId="32672DA4" w14:textId="77777777" w:rsidTr="00E23E58">
        <w:tc>
          <w:tcPr>
            <w:tcW w:w="0" w:type="auto"/>
          </w:tcPr>
          <w:p w14:paraId="34E1FB75" w14:textId="77777777" w:rsidR="0039212D" w:rsidRDefault="0039212D" w:rsidP="0039212D">
            <w:pPr>
              <w:rPr>
                <w:sz w:val="18"/>
                <w:szCs w:val="18"/>
              </w:rPr>
            </w:pPr>
            <w:r>
              <w:rPr>
                <w:color w:val="000000"/>
                <w:sz w:val="18"/>
                <w:szCs w:val="18"/>
              </w:rPr>
              <w:t>KCP 10.2.1/13</w:t>
            </w:r>
          </w:p>
        </w:tc>
        <w:tc>
          <w:tcPr>
            <w:tcW w:w="0" w:type="auto"/>
          </w:tcPr>
          <w:p w14:paraId="5C7896E3" w14:textId="77777777" w:rsidR="0039212D" w:rsidRDefault="0039212D" w:rsidP="0039212D">
            <w:pPr>
              <w:rPr>
                <w:sz w:val="18"/>
                <w:szCs w:val="18"/>
              </w:rPr>
            </w:pPr>
            <w:r>
              <w:rPr>
                <w:color w:val="000000"/>
                <w:sz w:val="18"/>
                <w:szCs w:val="18"/>
              </w:rPr>
              <w:t>Chittibabu, R.</w:t>
            </w:r>
          </w:p>
        </w:tc>
        <w:tc>
          <w:tcPr>
            <w:tcW w:w="0" w:type="auto"/>
          </w:tcPr>
          <w:p w14:paraId="19416513" w14:textId="77777777" w:rsidR="0039212D" w:rsidRDefault="0039212D" w:rsidP="0039212D">
            <w:pPr>
              <w:jc w:val="center"/>
              <w:rPr>
                <w:sz w:val="18"/>
                <w:szCs w:val="18"/>
              </w:rPr>
            </w:pPr>
            <w:r>
              <w:rPr>
                <w:color w:val="000000"/>
                <w:sz w:val="18"/>
                <w:szCs w:val="18"/>
              </w:rPr>
              <w:t>2008</w:t>
            </w:r>
          </w:p>
        </w:tc>
        <w:tc>
          <w:tcPr>
            <w:tcW w:w="0" w:type="auto"/>
          </w:tcPr>
          <w:p w14:paraId="7CCF3EE0" w14:textId="77777777" w:rsidR="0039212D" w:rsidRDefault="0039212D" w:rsidP="0039212D">
            <w:pPr>
              <w:rPr>
                <w:color w:val="000000"/>
                <w:sz w:val="18"/>
                <w:szCs w:val="18"/>
              </w:rPr>
            </w:pPr>
            <w:r w:rsidRPr="001249EB">
              <w:rPr>
                <w:color w:val="000000"/>
                <w:sz w:val="18"/>
                <w:szCs w:val="18"/>
              </w:rPr>
              <w:t>Acute immobilisation test with Reg.No. 5211623 in Daphnia magna</w:t>
            </w:r>
          </w:p>
          <w:p w14:paraId="35AC0153" w14:textId="77777777" w:rsidR="0039212D" w:rsidRDefault="0039212D" w:rsidP="0039212D">
            <w:pPr>
              <w:rPr>
                <w:color w:val="000000"/>
                <w:sz w:val="18"/>
                <w:szCs w:val="18"/>
              </w:rPr>
            </w:pPr>
            <w:r w:rsidRPr="001249EB">
              <w:rPr>
                <w:color w:val="000000"/>
                <w:sz w:val="18"/>
                <w:szCs w:val="18"/>
              </w:rPr>
              <w:t>2007/1035784</w:t>
            </w:r>
          </w:p>
          <w:p w14:paraId="22BBA100" w14:textId="77777777" w:rsidR="0039212D" w:rsidRDefault="0039212D" w:rsidP="0039212D">
            <w:pPr>
              <w:rPr>
                <w:color w:val="000000"/>
                <w:sz w:val="18"/>
                <w:szCs w:val="18"/>
              </w:rPr>
            </w:pPr>
            <w:r w:rsidRPr="001249EB">
              <w:rPr>
                <w:color w:val="000000"/>
                <w:sz w:val="18"/>
                <w:szCs w:val="18"/>
              </w:rPr>
              <w:t>IIBAT - International Institute of Biotechnology and Toxicology, Padappai, India</w:t>
            </w:r>
          </w:p>
          <w:p w14:paraId="131C3A4B" w14:textId="77777777" w:rsidR="0039212D" w:rsidRDefault="0039212D" w:rsidP="0039212D">
            <w:pPr>
              <w:rPr>
                <w:color w:val="000000"/>
                <w:sz w:val="18"/>
                <w:szCs w:val="18"/>
              </w:rPr>
            </w:pPr>
            <w:r>
              <w:rPr>
                <w:color w:val="000000"/>
                <w:sz w:val="18"/>
                <w:szCs w:val="18"/>
              </w:rPr>
              <w:t>yes</w:t>
            </w:r>
          </w:p>
          <w:p w14:paraId="3CF5190D" w14:textId="77777777" w:rsidR="0039212D" w:rsidRDefault="0039212D" w:rsidP="0039212D">
            <w:pPr>
              <w:rPr>
                <w:color w:val="000000"/>
                <w:sz w:val="18"/>
                <w:szCs w:val="18"/>
              </w:rPr>
            </w:pPr>
            <w:r>
              <w:rPr>
                <w:color w:val="000000"/>
                <w:sz w:val="18"/>
                <w:szCs w:val="18"/>
              </w:rPr>
              <w:t>Unpublished</w:t>
            </w:r>
          </w:p>
        </w:tc>
        <w:tc>
          <w:tcPr>
            <w:tcW w:w="0" w:type="auto"/>
          </w:tcPr>
          <w:p w14:paraId="21CEDE58" w14:textId="77777777" w:rsidR="0039212D" w:rsidRDefault="0039212D" w:rsidP="0039212D">
            <w:pPr>
              <w:jc w:val="center"/>
              <w:rPr>
                <w:sz w:val="18"/>
                <w:szCs w:val="18"/>
              </w:rPr>
            </w:pPr>
            <w:r>
              <w:rPr>
                <w:color w:val="000000"/>
                <w:sz w:val="18"/>
                <w:szCs w:val="18"/>
              </w:rPr>
              <w:t>No</w:t>
            </w:r>
          </w:p>
        </w:tc>
        <w:tc>
          <w:tcPr>
            <w:tcW w:w="0" w:type="auto"/>
          </w:tcPr>
          <w:p w14:paraId="1834888C" w14:textId="20A6E58A" w:rsidR="0039212D" w:rsidRDefault="0039212D" w:rsidP="0039212D">
            <w:pPr>
              <w:pStyle w:val="RepTable"/>
              <w:jc w:val="center"/>
              <w:rPr>
                <w:highlight w:val="yellow"/>
              </w:rPr>
            </w:pPr>
            <w:r>
              <w:rPr>
                <w:color w:val="000000"/>
                <w:sz w:val="18"/>
                <w:szCs w:val="18"/>
              </w:rPr>
              <w:t>XXXX</w:t>
            </w:r>
          </w:p>
        </w:tc>
      </w:tr>
      <w:tr w:rsidR="0039212D" w14:paraId="4752FFC6" w14:textId="77777777" w:rsidTr="00E23E58">
        <w:tc>
          <w:tcPr>
            <w:tcW w:w="0" w:type="auto"/>
          </w:tcPr>
          <w:p w14:paraId="3B4EAAB2" w14:textId="77777777" w:rsidR="0039212D" w:rsidRDefault="0039212D" w:rsidP="0039212D">
            <w:pPr>
              <w:rPr>
                <w:sz w:val="18"/>
                <w:szCs w:val="18"/>
              </w:rPr>
            </w:pPr>
            <w:r>
              <w:rPr>
                <w:color w:val="000000"/>
                <w:sz w:val="18"/>
                <w:szCs w:val="18"/>
              </w:rPr>
              <w:t>KCP 10.2.1/14</w:t>
            </w:r>
          </w:p>
        </w:tc>
        <w:tc>
          <w:tcPr>
            <w:tcW w:w="0" w:type="auto"/>
          </w:tcPr>
          <w:p w14:paraId="53F73865" w14:textId="77777777" w:rsidR="0039212D" w:rsidRDefault="0039212D" w:rsidP="0039212D">
            <w:pPr>
              <w:rPr>
                <w:sz w:val="18"/>
                <w:szCs w:val="18"/>
              </w:rPr>
            </w:pPr>
            <w:r>
              <w:rPr>
                <w:color w:val="000000"/>
                <w:sz w:val="18"/>
                <w:szCs w:val="18"/>
              </w:rPr>
              <w:t>Chandrasehar, G.</w:t>
            </w:r>
          </w:p>
        </w:tc>
        <w:tc>
          <w:tcPr>
            <w:tcW w:w="0" w:type="auto"/>
          </w:tcPr>
          <w:p w14:paraId="4E3B4A57" w14:textId="77777777" w:rsidR="0039212D" w:rsidRDefault="0039212D" w:rsidP="0039212D">
            <w:pPr>
              <w:jc w:val="center"/>
              <w:rPr>
                <w:sz w:val="18"/>
                <w:szCs w:val="18"/>
              </w:rPr>
            </w:pPr>
            <w:r>
              <w:rPr>
                <w:color w:val="000000"/>
                <w:sz w:val="18"/>
                <w:szCs w:val="18"/>
              </w:rPr>
              <w:t>2008</w:t>
            </w:r>
          </w:p>
        </w:tc>
        <w:tc>
          <w:tcPr>
            <w:tcW w:w="0" w:type="auto"/>
          </w:tcPr>
          <w:p w14:paraId="539FC8AA" w14:textId="77777777" w:rsidR="0039212D" w:rsidRDefault="0039212D" w:rsidP="0039212D">
            <w:pPr>
              <w:rPr>
                <w:color w:val="000000"/>
                <w:sz w:val="18"/>
                <w:szCs w:val="18"/>
              </w:rPr>
            </w:pPr>
            <w:r w:rsidRPr="001249EB">
              <w:rPr>
                <w:color w:val="000000"/>
                <w:sz w:val="18"/>
                <w:szCs w:val="18"/>
              </w:rPr>
              <w:t>Effect of Reg.No. 5211623 on the growth of green alga, Pseudokirchneriella subcapitata</w:t>
            </w:r>
          </w:p>
          <w:p w14:paraId="33E21287" w14:textId="77777777" w:rsidR="0039212D" w:rsidRDefault="0039212D" w:rsidP="0039212D">
            <w:pPr>
              <w:rPr>
                <w:color w:val="000000"/>
                <w:sz w:val="18"/>
                <w:szCs w:val="18"/>
              </w:rPr>
            </w:pPr>
            <w:r w:rsidRPr="001249EB">
              <w:rPr>
                <w:color w:val="000000"/>
                <w:sz w:val="18"/>
                <w:szCs w:val="18"/>
              </w:rPr>
              <w:t>2007/1035787</w:t>
            </w:r>
          </w:p>
          <w:p w14:paraId="02ED86AF" w14:textId="77777777" w:rsidR="0039212D" w:rsidRDefault="0039212D" w:rsidP="0039212D">
            <w:pPr>
              <w:rPr>
                <w:color w:val="000000"/>
                <w:sz w:val="18"/>
                <w:szCs w:val="18"/>
              </w:rPr>
            </w:pPr>
            <w:r w:rsidRPr="001249EB">
              <w:rPr>
                <w:color w:val="000000"/>
                <w:sz w:val="18"/>
                <w:szCs w:val="18"/>
              </w:rPr>
              <w:t>IIBAT - International Institute of Biotechnology and Toxicology, Padappai, India</w:t>
            </w:r>
          </w:p>
          <w:p w14:paraId="6D549F8B" w14:textId="77777777" w:rsidR="0039212D" w:rsidRDefault="0039212D" w:rsidP="0039212D">
            <w:pPr>
              <w:rPr>
                <w:color w:val="000000"/>
                <w:sz w:val="18"/>
                <w:szCs w:val="18"/>
              </w:rPr>
            </w:pPr>
            <w:r>
              <w:rPr>
                <w:color w:val="000000"/>
                <w:sz w:val="18"/>
                <w:szCs w:val="18"/>
              </w:rPr>
              <w:t>yes</w:t>
            </w:r>
          </w:p>
          <w:p w14:paraId="62798BA3" w14:textId="77777777" w:rsidR="0039212D" w:rsidRDefault="0039212D" w:rsidP="0039212D">
            <w:pPr>
              <w:rPr>
                <w:color w:val="000000"/>
                <w:sz w:val="18"/>
                <w:szCs w:val="18"/>
              </w:rPr>
            </w:pPr>
            <w:r>
              <w:rPr>
                <w:color w:val="000000"/>
                <w:sz w:val="18"/>
                <w:szCs w:val="18"/>
              </w:rPr>
              <w:t>Unpublished</w:t>
            </w:r>
          </w:p>
        </w:tc>
        <w:tc>
          <w:tcPr>
            <w:tcW w:w="0" w:type="auto"/>
          </w:tcPr>
          <w:p w14:paraId="6BEECB99" w14:textId="77777777" w:rsidR="0039212D" w:rsidRDefault="0039212D" w:rsidP="0039212D">
            <w:pPr>
              <w:jc w:val="center"/>
              <w:rPr>
                <w:sz w:val="18"/>
                <w:szCs w:val="18"/>
              </w:rPr>
            </w:pPr>
            <w:r>
              <w:rPr>
                <w:color w:val="000000"/>
                <w:sz w:val="18"/>
                <w:szCs w:val="18"/>
              </w:rPr>
              <w:t>No</w:t>
            </w:r>
          </w:p>
        </w:tc>
        <w:tc>
          <w:tcPr>
            <w:tcW w:w="0" w:type="auto"/>
          </w:tcPr>
          <w:p w14:paraId="43058F30" w14:textId="249384FF" w:rsidR="0039212D" w:rsidRDefault="0039212D" w:rsidP="0039212D">
            <w:pPr>
              <w:pStyle w:val="RepTable"/>
              <w:jc w:val="center"/>
              <w:rPr>
                <w:highlight w:val="yellow"/>
              </w:rPr>
            </w:pPr>
            <w:r>
              <w:rPr>
                <w:color w:val="000000"/>
                <w:sz w:val="18"/>
                <w:szCs w:val="18"/>
              </w:rPr>
              <w:t>XXXX</w:t>
            </w:r>
          </w:p>
        </w:tc>
      </w:tr>
      <w:tr w:rsidR="0039212D" w14:paraId="52859605" w14:textId="77777777" w:rsidTr="00E23E58">
        <w:tc>
          <w:tcPr>
            <w:tcW w:w="0" w:type="auto"/>
          </w:tcPr>
          <w:p w14:paraId="147CFABC" w14:textId="48270D13" w:rsidR="0039212D" w:rsidRDefault="0039212D" w:rsidP="0039212D">
            <w:pPr>
              <w:rPr>
                <w:color w:val="000000"/>
                <w:sz w:val="18"/>
                <w:szCs w:val="18"/>
              </w:rPr>
            </w:pPr>
            <w:r>
              <w:rPr>
                <w:color w:val="000000"/>
                <w:sz w:val="18"/>
                <w:szCs w:val="18"/>
              </w:rPr>
              <w:t>KCP 10.2.2/1</w:t>
            </w:r>
          </w:p>
        </w:tc>
        <w:tc>
          <w:tcPr>
            <w:tcW w:w="0" w:type="auto"/>
          </w:tcPr>
          <w:p w14:paraId="19ABBCF1" w14:textId="087B16BC" w:rsidR="0039212D" w:rsidRDefault="0039212D" w:rsidP="0039212D">
            <w:pPr>
              <w:rPr>
                <w:color w:val="000000"/>
                <w:sz w:val="18"/>
                <w:szCs w:val="18"/>
              </w:rPr>
            </w:pPr>
            <w:r>
              <w:rPr>
                <w:color w:val="000000"/>
                <w:sz w:val="18"/>
                <w:szCs w:val="18"/>
              </w:rPr>
              <w:t>XXXX</w:t>
            </w:r>
          </w:p>
        </w:tc>
        <w:tc>
          <w:tcPr>
            <w:tcW w:w="0" w:type="auto"/>
          </w:tcPr>
          <w:p w14:paraId="6C7C1754" w14:textId="7129999A" w:rsidR="0039212D" w:rsidRDefault="0039212D" w:rsidP="0039212D">
            <w:pPr>
              <w:jc w:val="center"/>
              <w:rPr>
                <w:color w:val="000000"/>
                <w:sz w:val="18"/>
                <w:szCs w:val="18"/>
              </w:rPr>
            </w:pPr>
            <w:r>
              <w:rPr>
                <w:color w:val="000000"/>
                <w:sz w:val="18"/>
                <w:szCs w:val="18"/>
              </w:rPr>
              <w:t>2006</w:t>
            </w:r>
          </w:p>
        </w:tc>
        <w:tc>
          <w:tcPr>
            <w:tcW w:w="0" w:type="auto"/>
          </w:tcPr>
          <w:p w14:paraId="63F68A80" w14:textId="77777777" w:rsidR="0039212D" w:rsidRDefault="0039212D" w:rsidP="0039212D">
            <w:pPr>
              <w:keepLines/>
              <w:pageBreakBefore/>
              <w:rPr>
                <w:color w:val="000000"/>
                <w:sz w:val="18"/>
                <w:szCs w:val="18"/>
              </w:rPr>
            </w:pPr>
            <w:r w:rsidRPr="001249EB">
              <w:rPr>
                <w:color w:val="000000"/>
                <w:sz w:val="18"/>
                <w:szCs w:val="18"/>
              </w:rPr>
              <w:t>BAS 650 F - Early life-stage test on the fathead minnow (Pimephales promelas) in a flow through system</w:t>
            </w:r>
          </w:p>
          <w:p w14:paraId="042C3D86" w14:textId="77777777" w:rsidR="0039212D" w:rsidRPr="001249EB" w:rsidRDefault="0039212D" w:rsidP="0039212D">
            <w:pPr>
              <w:keepLines/>
              <w:pageBreakBefore/>
              <w:rPr>
                <w:color w:val="000000"/>
                <w:sz w:val="18"/>
                <w:szCs w:val="18"/>
                <w:lang w:val="de-DE"/>
              </w:rPr>
            </w:pPr>
            <w:r w:rsidRPr="00375516">
              <w:rPr>
                <w:color w:val="000000"/>
                <w:sz w:val="18"/>
                <w:szCs w:val="18"/>
                <w:lang w:val="de-DE"/>
              </w:rPr>
              <w:t>2006/1024627</w:t>
            </w:r>
          </w:p>
          <w:p w14:paraId="3040FC2C" w14:textId="3495E79F" w:rsidR="0039212D" w:rsidRPr="001249EB" w:rsidRDefault="0039212D" w:rsidP="0039212D">
            <w:pPr>
              <w:keepLines/>
              <w:pageBreakBefore/>
              <w:rPr>
                <w:color w:val="000000"/>
                <w:sz w:val="18"/>
                <w:szCs w:val="18"/>
                <w:lang w:val="de-DE"/>
              </w:rPr>
            </w:pPr>
            <w:r>
              <w:rPr>
                <w:color w:val="000000"/>
                <w:sz w:val="18"/>
                <w:szCs w:val="18"/>
                <w:lang w:val="de-DE"/>
              </w:rPr>
              <w:t>XXXX</w:t>
            </w:r>
          </w:p>
          <w:p w14:paraId="4816EA31" w14:textId="77777777" w:rsidR="0039212D" w:rsidRDefault="0039212D" w:rsidP="0039212D">
            <w:pPr>
              <w:keepLines/>
              <w:pageBreakBefore/>
              <w:rPr>
                <w:color w:val="000000"/>
                <w:sz w:val="18"/>
                <w:szCs w:val="18"/>
              </w:rPr>
            </w:pPr>
            <w:r>
              <w:rPr>
                <w:color w:val="000000"/>
                <w:sz w:val="18"/>
                <w:szCs w:val="18"/>
              </w:rPr>
              <w:t>yes</w:t>
            </w:r>
          </w:p>
          <w:p w14:paraId="6F97F10A" w14:textId="32233B35" w:rsidR="0039212D" w:rsidRPr="001249EB" w:rsidRDefault="0039212D" w:rsidP="0039212D">
            <w:pPr>
              <w:rPr>
                <w:color w:val="000000"/>
                <w:sz w:val="18"/>
                <w:szCs w:val="18"/>
              </w:rPr>
            </w:pPr>
            <w:r>
              <w:rPr>
                <w:color w:val="000000"/>
                <w:sz w:val="18"/>
                <w:szCs w:val="18"/>
              </w:rPr>
              <w:t>Unpublished</w:t>
            </w:r>
          </w:p>
        </w:tc>
        <w:tc>
          <w:tcPr>
            <w:tcW w:w="0" w:type="auto"/>
          </w:tcPr>
          <w:p w14:paraId="330712D5" w14:textId="0CA33F31" w:rsidR="0039212D" w:rsidRDefault="0039212D" w:rsidP="0039212D">
            <w:pPr>
              <w:jc w:val="center"/>
              <w:rPr>
                <w:color w:val="000000"/>
                <w:sz w:val="18"/>
                <w:szCs w:val="18"/>
              </w:rPr>
            </w:pPr>
            <w:r>
              <w:rPr>
                <w:color w:val="000000"/>
                <w:sz w:val="18"/>
                <w:szCs w:val="18"/>
              </w:rPr>
              <w:t>Yes</w:t>
            </w:r>
          </w:p>
        </w:tc>
        <w:tc>
          <w:tcPr>
            <w:tcW w:w="0" w:type="auto"/>
          </w:tcPr>
          <w:p w14:paraId="316A3525" w14:textId="27A40F6F" w:rsidR="0039212D" w:rsidRDefault="0039212D" w:rsidP="0039212D">
            <w:pPr>
              <w:pStyle w:val="RepTable"/>
              <w:jc w:val="center"/>
              <w:rPr>
                <w:color w:val="000000"/>
                <w:sz w:val="18"/>
                <w:szCs w:val="18"/>
              </w:rPr>
            </w:pPr>
            <w:r>
              <w:rPr>
                <w:color w:val="000000"/>
                <w:sz w:val="18"/>
                <w:szCs w:val="18"/>
              </w:rPr>
              <w:t>XXXX</w:t>
            </w:r>
          </w:p>
        </w:tc>
      </w:tr>
      <w:tr w:rsidR="0039212D" w14:paraId="1BEFCB69" w14:textId="77777777" w:rsidTr="00E23E58">
        <w:tc>
          <w:tcPr>
            <w:tcW w:w="0" w:type="auto"/>
          </w:tcPr>
          <w:p w14:paraId="457A48C8" w14:textId="5E7D0248" w:rsidR="0039212D" w:rsidRDefault="0039212D" w:rsidP="0039212D">
            <w:pPr>
              <w:rPr>
                <w:color w:val="000000"/>
                <w:sz w:val="18"/>
                <w:szCs w:val="18"/>
              </w:rPr>
            </w:pPr>
            <w:r>
              <w:rPr>
                <w:color w:val="000000"/>
                <w:sz w:val="18"/>
                <w:szCs w:val="18"/>
              </w:rPr>
              <w:t>KCP 10.2.2/2</w:t>
            </w:r>
          </w:p>
        </w:tc>
        <w:tc>
          <w:tcPr>
            <w:tcW w:w="0" w:type="auto"/>
          </w:tcPr>
          <w:p w14:paraId="7F46EDFB" w14:textId="7CCD6BEE" w:rsidR="0039212D" w:rsidRDefault="0039212D" w:rsidP="0039212D">
            <w:pPr>
              <w:rPr>
                <w:color w:val="000000"/>
                <w:sz w:val="18"/>
                <w:szCs w:val="18"/>
              </w:rPr>
            </w:pPr>
            <w:r>
              <w:rPr>
                <w:color w:val="000000"/>
                <w:sz w:val="18"/>
                <w:szCs w:val="18"/>
              </w:rPr>
              <w:t>Zok, S.</w:t>
            </w:r>
          </w:p>
        </w:tc>
        <w:tc>
          <w:tcPr>
            <w:tcW w:w="0" w:type="auto"/>
          </w:tcPr>
          <w:p w14:paraId="5F24A168" w14:textId="6FB27940" w:rsidR="0039212D" w:rsidRDefault="0039212D" w:rsidP="0039212D">
            <w:pPr>
              <w:jc w:val="center"/>
              <w:rPr>
                <w:color w:val="000000"/>
                <w:sz w:val="18"/>
                <w:szCs w:val="18"/>
              </w:rPr>
            </w:pPr>
            <w:r>
              <w:rPr>
                <w:color w:val="000000"/>
                <w:sz w:val="18"/>
                <w:szCs w:val="18"/>
              </w:rPr>
              <w:t>2007</w:t>
            </w:r>
          </w:p>
        </w:tc>
        <w:tc>
          <w:tcPr>
            <w:tcW w:w="0" w:type="auto"/>
          </w:tcPr>
          <w:p w14:paraId="2CE28CC1" w14:textId="77777777" w:rsidR="0039212D" w:rsidRDefault="0039212D" w:rsidP="0039212D">
            <w:pPr>
              <w:rPr>
                <w:color w:val="000000"/>
                <w:sz w:val="18"/>
                <w:szCs w:val="18"/>
              </w:rPr>
            </w:pPr>
            <w:r w:rsidRPr="001249EB">
              <w:rPr>
                <w:color w:val="000000"/>
                <w:sz w:val="18"/>
                <w:szCs w:val="18"/>
              </w:rPr>
              <w:t>BAS 650 00 F - Determination of the acute effect on the swimming ability of the water flea Daphnia magna STRAUS</w:t>
            </w:r>
          </w:p>
          <w:p w14:paraId="0A3E8F60" w14:textId="77777777" w:rsidR="0039212D" w:rsidRPr="001249EB" w:rsidRDefault="0039212D" w:rsidP="0039212D">
            <w:pPr>
              <w:rPr>
                <w:color w:val="000000"/>
                <w:sz w:val="18"/>
                <w:szCs w:val="18"/>
                <w:lang w:val="de-DE"/>
              </w:rPr>
            </w:pPr>
            <w:r w:rsidRPr="00375516">
              <w:rPr>
                <w:color w:val="000000"/>
                <w:sz w:val="18"/>
                <w:szCs w:val="18"/>
                <w:lang w:val="de-DE"/>
              </w:rPr>
              <w:t>2007/1018762</w:t>
            </w:r>
          </w:p>
          <w:p w14:paraId="1D0EFF63" w14:textId="77777777" w:rsidR="0039212D" w:rsidRPr="001249EB" w:rsidRDefault="0039212D" w:rsidP="0039212D">
            <w:pPr>
              <w:rPr>
                <w:color w:val="000000"/>
                <w:sz w:val="18"/>
                <w:szCs w:val="18"/>
                <w:lang w:val="de-DE"/>
              </w:rPr>
            </w:pPr>
            <w:r w:rsidRPr="00375516">
              <w:rPr>
                <w:color w:val="000000"/>
                <w:sz w:val="18"/>
                <w:szCs w:val="18"/>
                <w:lang w:val="de-DE"/>
              </w:rPr>
              <w:t>BASF AG, Ludwigshafen/Rhein, Germany Fed.Rep.</w:t>
            </w:r>
          </w:p>
          <w:p w14:paraId="63684491" w14:textId="77777777" w:rsidR="0039212D" w:rsidRDefault="0039212D" w:rsidP="0039212D">
            <w:pPr>
              <w:rPr>
                <w:color w:val="000000"/>
                <w:sz w:val="18"/>
                <w:szCs w:val="18"/>
              </w:rPr>
            </w:pPr>
            <w:r>
              <w:rPr>
                <w:color w:val="000000"/>
                <w:sz w:val="18"/>
                <w:szCs w:val="18"/>
              </w:rPr>
              <w:t>yes</w:t>
            </w:r>
          </w:p>
          <w:p w14:paraId="1B50E9ED" w14:textId="321B5315" w:rsidR="0039212D" w:rsidRPr="001249EB" w:rsidRDefault="0039212D" w:rsidP="0039212D">
            <w:pPr>
              <w:rPr>
                <w:color w:val="000000"/>
                <w:sz w:val="18"/>
                <w:szCs w:val="18"/>
              </w:rPr>
            </w:pPr>
            <w:r>
              <w:rPr>
                <w:color w:val="000000"/>
                <w:sz w:val="18"/>
                <w:szCs w:val="18"/>
              </w:rPr>
              <w:t>Unpublished</w:t>
            </w:r>
          </w:p>
        </w:tc>
        <w:tc>
          <w:tcPr>
            <w:tcW w:w="0" w:type="auto"/>
          </w:tcPr>
          <w:p w14:paraId="0A2AE618" w14:textId="5D4F0F63" w:rsidR="0039212D" w:rsidRDefault="0039212D" w:rsidP="0039212D">
            <w:pPr>
              <w:jc w:val="center"/>
              <w:rPr>
                <w:color w:val="000000"/>
                <w:sz w:val="18"/>
                <w:szCs w:val="18"/>
              </w:rPr>
            </w:pPr>
            <w:r>
              <w:rPr>
                <w:color w:val="000000"/>
                <w:sz w:val="18"/>
                <w:szCs w:val="18"/>
              </w:rPr>
              <w:t>No</w:t>
            </w:r>
          </w:p>
        </w:tc>
        <w:tc>
          <w:tcPr>
            <w:tcW w:w="0" w:type="auto"/>
          </w:tcPr>
          <w:p w14:paraId="2AC9D4A7" w14:textId="414E1B62" w:rsidR="0039212D" w:rsidRDefault="0039212D" w:rsidP="0039212D">
            <w:pPr>
              <w:pStyle w:val="RepTable"/>
              <w:jc w:val="center"/>
              <w:rPr>
                <w:color w:val="000000"/>
                <w:sz w:val="18"/>
                <w:szCs w:val="18"/>
              </w:rPr>
            </w:pPr>
            <w:r>
              <w:rPr>
                <w:color w:val="000000"/>
                <w:sz w:val="18"/>
                <w:szCs w:val="18"/>
              </w:rPr>
              <w:t>XXXX</w:t>
            </w:r>
          </w:p>
        </w:tc>
      </w:tr>
      <w:tr w:rsidR="0039212D" w14:paraId="193D2854" w14:textId="77777777" w:rsidTr="00E23E58">
        <w:tc>
          <w:tcPr>
            <w:tcW w:w="0" w:type="auto"/>
          </w:tcPr>
          <w:p w14:paraId="30422D52" w14:textId="6730F2C4" w:rsidR="0039212D" w:rsidRDefault="0039212D" w:rsidP="0039212D">
            <w:pPr>
              <w:rPr>
                <w:color w:val="000000"/>
                <w:sz w:val="18"/>
                <w:szCs w:val="18"/>
              </w:rPr>
            </w:pPr>
            <w:r>
              <w:rPr>
                <w:color w:val="000000"/>
                <w:sz w:val="18"/>
                <w:szCs w:val="18"/>
              </w:rPr>
              <w:t>KCP 10.2.2/3</w:t>
            </w:r>
          </w:p>
        </w:tc>
        <w:tc>
          <w:tcPr>
            <w:tcW w:w="0" w:type="auto"/>
          </w:tcPr>
          <w:p w14:paraId="75D1823F" w14:textId="5BDE3D7E" w:rsidR="0039212D" w:rsidRDefault="0039212D" w:rsidP="0039212D">
            <w:pPr>
              <w:rPr>
                <w:color w:val="000000"/>
                <w:sz w:val="18"/>
                <w:szCs w:val="18"/>
              </w:rPr>
            </w:pPr>
            <w:r>
              <w:rPr>
                <w:color w:val="000000"/>
                <w:sz w:val="18"/>
                <w:szCs w:val="18"/>
              </w:rPr>
              <w:t>Weltje, L.</w:t>
            </w:r>
          </w:p>
        </w:tc>
        <w:tc>
          <w:tcPr>
            <w:tcW w:w="0" w:type="auto"/>
          </w:tcPr>
          <w:p w14:paraId="017E9477" w14:textId="77E9E103" w:rsidR="0039212D" w:rsidRDefault="0039212D" w:rsidP="0039212D">
            <w:pPr>
              <w:jc w:val="center"/>
              <w:rPr>
                <w:color w:val="000000"/>
                <w:sz w:val="18"/>
                <w:szCs w:val="18"/>
              </w:rPr>
            </w:pPr>
            <w:r>
              <w:rPr>
                <w:color w:val="000000"/>
                <w:sz w:val="18"/>
                <w:szCs w:val="18"/>
              </w:rPr>
              <w:t>2008</w:t>
            </w:r>
          </w:p>
        </w:tc>
        <w:tc>
          <w:tcPr>
            <w:tcW w:w="0" w:type="auto"/>
          </w:tcPr>
          <w:p w14:paraId="626A32EA" w14:textId="77777777" w:rsidR="0039212D" w:rsidRDefault="0039212D" w:rsidP="0039212D">
            <w:pPr>
              <w:rPr>
                <w:color w:val="000000"/>
                <w:sz w:val="18"/>
                <w:szCs w:val="18"/>
              </w:rPr>
            </w:pPr>
            <w:r w:rsidRPr="001249EB">
              <w:rPr>
                <w:color w:val="000000"/>
                <w:sz w:val="18"/>
                <w:szCs w:val="18"/>
              </w:rPr>
              <w:t>Chronic toxicity of the pyrimidylamine (BAS 650 F) formulation BAS 650 00 F to the non-biting midge Chironomus riparius - A spiked sediment study</w:t>
            </w:r>
          </w:p>
          <w:p w14:paraId="1F301A8B" w14:textId="77777777" w:rsidR="0039212D" w:rsidRDefault="0039212D" w:rsidP="0039212D">
            <w:pPr>
              <w:rPr>
                <w:color w:val="000000"/>
                <w:sz w:val="18"/>
                <w:szCs w:val="18"/>
              </w:rPr>
            </w:pPr>
            <w:r w:rsidRPr="001249EB">
              <w:rPr>
                <w:color w:val="000000"/>
                <w:sz w:val="18"/>
                <w:szCs w:val="18"/>
              </w:rPr>
              <w:t>2007/1057455</w:t>
            </w:r>
          </w:p>
          <w:p w14:paraId="137710AE" w14:textId="77777777" w:rsidR="0039212D" w:rsidRDefault="0039212D" w:rsidP="0039212D">
            <w:pPr>
              <w:rPr>
                <w:color w:val="000000"/>
                <w:sz w:val="18"/>
                <w:szCs w:val="18"/>
              </w:rPr>
            </w:pPr>
            <w:r w:rsidRPr="001249EB">
              <w:rPr>
                <w:color w:val="000000"/>
                <w:sz w:val="18"/>
                <w:szCs w:val="18"/>
              </w:rPr>
              <w:lastRenderedPageBreak/>
              <w:t>BASF SE, Limburgerhof, Germany Fed.Rep.</w:t>
            </w:r>
          </w:p>
          <w:p w14:paraId="59C78FF1" w14:textId="77777777" w:rsidR="0039212D" w:rsidRDefault="0039212D" w:rsidP="0039212D">
            <w:pPr>
              <w:rPr>
                <w:color w:val="000000"/>
                <w:sz w:val="18"/>
                <w:szCs w:val="18"/>
              </w:rPr>
            </w:pPr>
            <w:r>
              <w:rPr>
                <w:color w:val="000000"/>
                <w:sz w:val="18"/>
                <w:szCs w:val="18"/>
              </w:rPr>
              <w:t>yes</w:t>
            </w:r>
          </w:p>
          <w:p w14:paraId="70124A28" w14:textId="57E9FB3F" w:rsidR="0039212D" w:rsidRPr="001249EB" w:rsidRDefault="0039212D" w:rsidP="0039212D">
            <w:pPr>
              <w:rPr>
                <w:color w:val="000000"/>
                <w:sz w:val="18"/>
                <w:szCs w:val="18"/>
              </w:rPr>
            </w:pPr>
            <w:r>
              <w:rPr>
                <w:color w:val="000000"/>
                <w:sz w:val="18"/>
                <w:szCs w:val="18"/>
              </w:rPr>
              <w:t>Unpublished</w:t>
            </w:r>
          </w:p>
        </w:tc>
        <w:tc>
          <w:tcPr>
            <w:tcW w:w="0" w:type="auto"/>
          </w:tcPr>
          <w:p w14:paraId="08B3D1D4" w14:textId="465892E7" w:rsidR="0039212D" w:rsidRDefault="0039212D" w:rsidP="0039212D">
            <w:pPr>
              <w:jc w:val="center"/>
              <w:rPr>
                <w:color w:val="000000"/>
                <w:sz w:val="18"/>
                <w:szCs w:val="18"/>
              </w:rPr>
            </w:pPr>
            <w:r>
              <w:rPr>
                <w:color w:val="000000"/>
                <w:sz w:val="18"/>
                <w:szCs w:val="18"/>
              </w:rPr>
              <w:lastRenderedPageBreak/>
              <w:t>No</w:t>
            </w:r>
          </w:p>
        </w:tc>
        <w:tc>
          <w:tcPr>
            <w:tcW w:w="0" w:type="auto"/>
          </w:tcPr>
          <w:p w14:paraId="7585633E" w14:textId="202F734B" w:rsidR="0039212D" w:rsidRDefault="0039212D" w:rsidP="0039212D">
            <w:pPr>
              <w:pStyle w:val="RepTable"/>
              <w:jc w:val="center"/>
              <w:rPr>
                <w:color w:val="000000"/>
                <w:sz w:val="18"/>
                <w:szCs w:val="18"/>
              </w:rPr>
            </w:pPr>
            <w:r>
              <w:rPr>
                <w:color w:val="000000"/>
                <w:sz w:val="18"/>
                <w:szCs w:val="18"/>
              </w:rPr>
              <w:t>XXXX</w:t>
            </w:r>
          </w:p>
        </w:tc>
      </w:tr>
      <w:tr w:rsidR="0039212D" w14:paraId="41B8FE14" w14:textId="77777777" w:rsidTr="00E23E58">
        <w:tc>
          <w:tcPr>
            <w:tcW w:w="0" w:type="auto"/>
          </w:tcPr>
          <w:p w14:paraId="23FEBE6B" w14:textId="70F4C638" w:rsidR="0039212D" w:rsidRDefault="0039212D" w:rsidP="0039212D">
            <w:pPr>
              <w:rPr>
                <w:color w:val="000000"/>
                <w:sz w:val="18"/>
                <w:szCs w:val="18"/>
              </w:rPr>
            </w:pPr>
            <w:r>
              <w:rPr>
                <w:color w:val="000000"/>
                <w:sz w:val="18"/>
                <w:szCs w:val="18"/>
              </w:rPr>
              <w:t>KCP 10.2.2/1</w:t>
            </w:r>
          </w:p>
        </w:tc>
        <w:tc>
          <w:tcPr>
            <w:tcW w:w="0" w:type="auto"/>
          </w:tcPr>
          <w:p w14:paraId="7EDBDDFE" w14:textId="01C29431" w:rsidR="0039212D" w:rsidRDefault="0039212D" w:rsidP="0039212D">
            <w:pPr>
              <w:rPr>
                <w:color w:val="000000"/>
                <w:sz w:val="18"/>
                <w:szCs w:val="18"/>
              </w:rPr>
            </w:pPr>
            <w:r>
              <w:rPr>
                <w:color w:val="000000"/>
                <w:sz w:val="18"/>
                <w:szCs w:val="18"/>
              </w:rPr>
              <w:t>XXXX</w:t>
            </w:r>
          </w:p>
        </w:tc>
        <w:tc>
          <w:tcPr>
            <w:tcW w:w="0" w:type="auto"/>
          </w:tcPr>
          <w:p w14:paraId="53E05248" w14:textId="3B3FC318" w:rsidR="0039212D" w:rsidRDefault="0039212D" w:rsidP="0039212D">
            <w:pPr>
              <w:jc w:val="center"/>
              <w:rPr>
                <w:color w:val="000000"/>
                <w:sz w:val="18"/>
                <w:szCs w:val="18"/>
              </w:rPr>
            </w:pPr>
            <w:r>
              <w:rPr>
                <w:color w:val="000000"/>
                <w:sz w:val="18"/>
                <w:szCs w:val="18"/>
              </w:rPr>
              <w:t>2006</w:t>
            </w:r>
          </w:p>
        </w:tc>
        <w:tc>
          <w:tcPr>
            <w:tcW w:w="0" w:type="auto"/>
          </w:tcPr>
          <w:p w14:paraId="182C4E5B" w14:textId="77777777" w:rsidR="0039212D" w:rsidRDefault="0039212D" w:rsidP="0039212D">
            <w:pPr>
              <w:keepLines/>
              <w:pageBreakBefore/>
              <w:rPr>
                <w:color w:val="000000"/>
                <w:sz w:val="18"/>
                <w:szCs w:val="18"/>
              </w:rPr>
            </w:pPr>
            <w:r w:rsidRPr="001249EB">
              <w:rPr>
                <w:color w:val="000000"/>
                <w:sz w:val="18"/>
                <w:szCs w:val="18"/>
              </w:rPr>
              <w:t>BAS 650 F - Early life-stage test on the fathead minnow (Pimephales promelas) in a flow through system</w:t>
            </w:r>
          </w:p>
          <w:p w14:paraId="76C6BC57" w14:textId="77777777" w:rsidR="0039212D" w:rsidRPr="001249EB" w:rsidRDefault="0039212D" w:rsidP="0039212D">
            <w:pPr>
              <w:keepLines/>
              <w:pageBreakBefore/>
              <w:rPr>
                <w:color w:val="000000"/>
                <w:sz w:val="18"/>
                <w:szCs w:val="18"/>
                <w:lang w:val="de-DE"/>
              </w:rPr>
            </w:pPr>
            <w:r w:rsidRPr="00375516">
              <w:rPr>
                <w:color w:val="000000"/>
                <w:sz w:val="18"/>
                <w:szCs w:val="18"/>
                <w:lang w:val="de-DE"/>
              </w:rPr>
              <w:t>2006/1024627</w:t>
            </w:r>
          </w:p>
          <w:p w14:paraId="41345A27" w14:textId="7B11AF25" w:rsidR="0039212D" w:rsidRPr="001249EB" w:rsidRDefault="0039212D" w:rsidP="0039212D">
            <w:pPr>
              <w:keepLines/>
              <w:pageBreakBefore/>
              <w:rPr>
                <w:color w:val="000000"/>
                <w:sz w:val="18"/>
                <w:szCs w:val="18"/>
                <w:lang w:val="de-DE"/>
              </w:rPr>
            </w:pPr>
            <w:r>
              <w:rPr>
                <w:color w:val="000000"/>
                <w:sz w:val="18"/>
                <w:szCs w:val="18"/>
                <w:lang w:val="de-DE"/>
              </w:rPr>
              <w:t>XXXX</w:t>
            </w:r>
          </w:p>
          <w:p w14:paraId="10737073" w14:textId="77777777" w:rsidR="0039212D" w:rsidRDefault="0039212D" w:rsidP="0039212D">
            <w:pPr>
              <w:keepLines/>
              <w:pageBreakBefore/>
              <w:rPr>
                <w:color w:val="000000"/>
                <w:sz w:val="18"/>
                <w:szCs w:val="18"/>
              </w:rPr>
            </w:pPr>
            <w:r>
              <w:rPr>
                <w:color w:val="000000"/>
                <w:sz w:val="18"/>
                <w:szCs w:val="18"/>
              </w:rPr>
              <w:t>yes</w:t>
            </w:r>
          </w:p>
          <w:p w14:paraId="5FC17B7B" w14:textId="37AD9CEE" w:rsidR="0039212D" w:rsidRPr="001249EB" w:rsidRDefault="0039212D" w:rsidP="0039212D">
            <w:pPr>
              <w:rPr>
                <w:color w:val="000000"/>
                <w:sz w:val="18"/>
                <w:szCs w:val="18"/>
              </w:rPr>
            </w:pPr>
            <w:r>
              <w:rPr>
                <w:color w:val="000000"/>
                <w:sz w:val="18"/>
                <w:szCs w:val="18"/>
              </w:rPr>
              <w:t>Unpublished</w:t>
            </w:r>
          </w:p>
        </w:tc>
        <w:tc>
          <w:tcPr>
            <w:tcW w:w="0" w:type="auto"/>
          </w:tcPr>
          <w:p w14:paraId="1CAB0A08" w14:textId="1A6A364C" w:rsidR="0039212D" w:rsidRDefault="0039212D" w:rsidP="0039212D">
            <w:pPr>
              <w:jc w:val="center"/>
              <w:rPr>
                <w:color w:val="000000"/>
                <w:sz w:val="18"/>
                <w:szCs w:val="18"/>
              </w:rPr>
            </w:pPr>
            <w:r>
              <w:rPr>
                <w:color w:val="000000"/>
                <w:sz w:val="18"/>
                <w:szCs w:val="18"/>
              </w:rPr>
              <w:t>Yes</w:t>
            </w:r>
          </w:p>
        </w:tc>
        <w:tc>
          <w:tcPr>
            <w:tcW w:w="0" w:type="auto"/>
          </w:tcPr>
          <w:p w14:paraId="68ACA168" w14:textId="1D606653" w:rsidR="0039212D" w:rsidRDefault="0039212D" w:rsidP="0039212D">
            <w:pPr>
              <w:pStyle w:val="RepTable"/>
              <w:jc w:val="center"/>
              <w:rPr>
                <w:color w:val="000000"/>
                <w:sz w:val="18"/>
                <w:szCs w:val="18"/>
              </w:rPr>
            </w:pPr>
            <w:r>
              <w:rPr>
                <w:color w:val="000000"/>
                <w:sz w:val="18"/>
                <w:szCs w:val="18"/>
              </w:rPr>
              <w:t>XXXX</w:t>
            </w:r>
          </w:p>
        </w:tc>
      </w:tr>
      <w:tr w:rsidR="0039212D" w14:paraId="40793FEF" w14:textId="77777777" w:rsidTr="00E23E58">
        <w:tc>
          <w:tcPr>
            <w:tcW w:w="0" w:type="auto"/>
          </w:tcPr>
          <w:p w14:paraId="77732079" w14:textId="79516995" w:rsidR="0039212D" w:rsidRDefault="0039212D" w:rsidP="0039212D">
            <w:pPr>
              <w:rPr>
                <w:color w:val="000000"/>
                <w:sz w:val="18"/>
                <w:szCs w:val="18"/>
              </w:rPr>
            </w:pPr>
            <w:r>
              <w:rPr>
                <w:color w:val="000000"/>
                <w:sz w:val="18"/>
                <w:szCs w:val="18"/>
              </w:rPr>
              <w:t>KCP 10.2.2/2</w:t>
            </w:r>
          </w:p>
        </w:tc>
        <w:tc>
          <w:tcPr>
            <w:tcW w:w="0" w:type="auto"/>
          </w:tcPr>
          <w:p w14:paraId="16B1B8DF" w14:textId="434C6567" w:rsidR="0039212D" w:rsidRDefault="0039212D" w:rsidP="0039212D">
            <w:pPr>
              <w:rPr>
                <w:color w:val="000000"/>
                <w:sz w:val="18"/>
                <w:szCs w:val="18"/>
              </w:rPr>
            </w:pPr>
            <w:r>
              <w:rPr>
                <w:color w:val="000000"/>
                <w:sz w:val="18"/>
                <w:szCs w:val="18"/>
              </w:rPr>
              <w:t>Zok, S.</w:t>
            </w:r>
          </w:p>
        </w:tc>
        <w:tc>
          <w:tcPr>
            <w:tcW w:w="0" w:type="auto"/>
          </w:tcPr>
          <w:p w14:paraId="3B0E00AE" w14:textId="64DAE606" w:rsidR="0039212D" w:rsidRDefault="0039212D" w:rsidP="0039212D">
            <w:pPr>
              <w:jc w:val="center"/>
              <w:rPr>
                <w:color w:val="000000"/>
                <w:sz w:val="18"/>
                <w:szCs w:val="18"/>
              </w:rPr>
            </w:pPr>
            <w:r>
              <w:rPr>
                <w:color w:val="000000"/>
                <w:sz w:val="18"/>
                <w:szCs w:val="18"/>
              </w:rPr>
              <w:t>2007</w:t>
            </w:r>
          </w:p>
        </w:tc>
        <w:tc>
          <w:tcPr>
            <w:tcW w:w="0" w:type="auto"/>
          </w:tcPr>
          <w:p w14:paraId="3CB76A91" w14:textId="77777777" w:rsidR="0039212D" w:rsidRDefault="0039212D" w:rsidP="0039212D">
            <w:pPr>
              <w:rPr>
                <w:color w:val="000000"/>
                <w:sz w:val="18"/>
                <w:szCs w:val="18"/>
              </w:rPr>
            </w:pPr>
            <w:r w:rsidRPr="001249EB">
              <w:rPr>
                <w:color w:val="000000"/>
                <w:sz w:val="18"/>
                <w:szCs w:val="18"/>
              </w:rPr>
              <w:t>BAS 650 00 F - Determination of the acute effect on the swimming ability of the water flea Daphnia magna STRAUS</w:t>
            </w:r>
          </w:p>
          <w:p w14:paraId="63801637" w14:textId="77777777" w:rsidR="0039212D" w:rsidRPr="001249EB" w:rsidRDefault="0039212D" w:rsidP="0039212D">
            <w:pPr>
              <w:rPr>
                <w:color w:val="000000"/>
                <w:sz w:val="18"/>
                <w:szCs w:val="18"/>
                <w:lang w:val="de-DE"/>
              </w:rPr>
            </w:pPr>
            <w:r w:rsidRPr="00375516">
              <w:rPr>
                <w:color w:val="000000"/>
                <w:sz w:val="18"/>
                <w:szCs w:val="18"/>
                <w:lang w:val="de-DE"/>
              </w:rPr>
              <w:t>2007/1018762</w:t>
            </w:r>
          </w:p>
          <w:p w14:paraId="43E11824" w14:textId="77777777" w:rsidR="0039212D" w:rsidRPr="001249EB" w:rsidRDefault="0039212D" w:rsidP="0039212D">
            <w:pPr>
              <w:rPr>
                <w:color w:val="000000"/>
                <w:sz w:val="18"/>
                <w:szCs w:val="18"/>
                <w:lang w:val="de-DE"/>
              </w:rPr>
            </w:pPr>
            <w:r w:rsidRPr="00375516">
              <w:rPr>
                <w:color w:val="000000"/>
                <w:sz w:val="18"/>
                <w:szCs w:val="18"/>
                <w:lang w:val="de-DE"/>
              </w:rPr>
              <w:t>BASF AG, Ludwigshafen/Rhein, Germany Fed.Rep.</w:t>
            </w:r>
          </w:p>
          <w:p w14:paraId="2D6806F4" w14:textId="77777777" w:rsidR="0039212D" w:rsidRDefault="0039212D" w:rsidP="0039212D">
            <w:pPr>
              <w:rPr>
                <w:color w:val="000000"/>
                <w:sz w:val="18"/>
                <w:szCs w:val="18"/>
              </w:rPr>
            </w:pPr>
            <w:r>
              <w:rPr>
                <w:color w:val="000000"/>
                <w:sz w:val="18"/>
                <w:szCs w:val="18"/>
              </w:rPr>
              <w:t>yes</w:t>
            </w:r>
          </w:p>
          <w:p w14:paraId="233CD97F" w14:textId="0ADF8B5F" w:rsidR="0039212D" w:rsidRPr="001249EB" w:rsidRDefault="0039212D" w:rsidP="0039212D">
            <w:pPr>
              <w:rPr>
                <w:color w:val="000000"/>
                <w:sz w:val="18"/>
                <w:szCs w:val="18"/>
              </w:rPr>
            </w:pPr>
            <w:r>
              <w:rPr>
                <w:color w:val="000000"/>
                <w:sz w:val="18"/>
                <w:szCs w:val="18"/>
              </w:rPr>
              <w:t>Unpublished</w:t>
            </w:r>
          </w:p>
        </w:tc>
        <w:tc>
          <w:tcPr>
            <w:tcW w:w="0" w:type="auto"/>
          </w:tcPr>
          <w:p w14:paraId="70709F25" w14:textId="3CF26EFD" w:rsidR="0039212D" w:rsidRDefault="0039212D" w:rsidP="0039212D">
            <w:pPr>
              <w:jc w:val="center"/>
              <w:rPr>
                <w:color w:val="000000"/>
                <w:sz w:val="18"/>
                <w:szCs w:val="18"/>
              </w:rPr>
            </w:pPr>
            <w:r>
              <w:rPr>
                <w:color w:val="000000"/>
                <w:sz w:val="18"/>
                <w:szCs w:val="18"/>
              </w:rPr>
              <w:t>No</w:t>
            </w:r>
          </w:p>
        </w:tc>
        <w:tc>
          <w:tcPr>
            <w:tcW w:w="0" w:type="auto"/>
          </w:tcPr>
          <w:p w14:paraId="2B964F9F" w14:textId="08EECBB1" w:rsidR="0039212D" w:rsidRDefault="0039212D" w:rsidP="0039212D">
            <w:pPr>
              <w:pStyle w:val="RepTable"/>
              <w:jc w:val="center"/>
              <w:rPr>
                <w:color w:val="000000"/>
                <w:sz w:val="18"/>
                <w:szCs w:val="18"/>
              </w:rPr>
            </w:pPr>
            <w:r>
              <w:rPr>
                <w:color w:val="000000"/>
                <w:sz w:val="18"/>
                <w:szCs w:val="18"/>
              </w:rPr>
              <w:t>XXXX</w:t>
            </w:r>
          </w:p>
        </w:tc>
      </w:tr>
      <w:tr w:rsidR="0039212D" w14:paraId="25C8FE50" w14:textId="77777777" w:rsidTr="00E23E58">
        <w:tc>
          <w:tcPr>
            <w:tcW w:w="0" w:type="auto"/>
          </w:tcPr>
          <w:p w14:paraId="39021D91" w14:textId="6BE17A84" w:rsidR="0039212D" w:rsidRDefault="0039212D" w:rsidP="0039212D">
            <w:pPr>
              <w:rPr>
                <w:color w:val="000000"/>
                <w:sz w:val="18"/>
                <w:szCs w:val="18"/>
              </w:rPr>
            </w:pPr>
            <w:r>
              <w:rPr>
                <w:color w:val="000000"/>
                <w:sz w:val="18"/>
                <w:szCs w:val="18"/>
              </w:rPr>
              <w:t>KCP 10.2.2/3</w:t>
            </w:r>
          </w:p>
        </w:tc>
        <w:tc>
          <w:tcPr>
            <w:tcW w:w="0" w:type="auto"/>
          </w:tcPr>
          <w:p w14:paraId="2135156D" w14:textId="44260E8B" w:rsidR="0039212D" w:rsidRDefault="0039212D" w:rsidP="0039212D">
            <w:pPr>
              <w:rPr>
                <w:color w:val="000000"/>
                <w:sz w:val="18"/>
                <w:szCs w:val="18"/>
              </w:rPr>
            </w:pPr>
            <w:r>
              <w:rPr>
                <w:color w:val="000000"/>
                <w:sz w:val="18"/>
                <w:szCs w:val="18"/>
              </w:rPr>
              <w:t>Weltje, L.</w:t>
            </w:r>
          </w:p>
        </w:tc>
        <w:tc>
          <w:tcPr>
            <w:tcW w:w="0" w:type="auto"/>
          </w:tcPr>
          <w:p w14:paraId="0C83B098" w14:textId="0308B641" w:rsidR="0039212D" w:rsidRDefault="0039212D" w:rsidP="0039212D">
            <w:pPr>
              <w:jc w:val="center"/>
              <w:rPr>
                <w:color w:val="000000"/>
                <w:sz w:val="18"/>
                <w:szCs w:val="18"/>
              </w:rPr>
            </w:pPr>
            <w:r>
              <w:rPr>
                <w:color w:val="000000"/>
                <w:sz w:val="18"/>
                <w:szCs w:val="18"/>
              </w:rPr>
              <w:t>2008</w:t>
            </w:r>
          </w:p>
        </w:tc>
        <w:tc>
          <w:tcPr>
            <w:tcW w:w="0" w:type="auto"/>
          </w:tcPr>
          <w:p w14:paraId="0044813B" w14:textId="77777777" w:rsidR="0039212D" w:rsidRDefault="0039212D" w:rsidP="0039212D">
            <w:pPr>
              <w:rPr>
                <w:color w:val="000000"/>
                <w:sz w:val="18"/>
                <w:szCs w:val="18"/>
              </w:rPr>
            </w:pPr>
            <w:r w:rsidRPr="001249EB">
              <w:rPr>
                <w:color w:val="000000"/>
                <w:sz w:val="18"/>
                <w:szCs w:val="18"/>
              </w:rPr>
              <w:t>Chronic toxicity of the pyrimidylamine (BAS 650 F) formulation BAS 650 00 F to the non-biting midge Chironomus riparius - A spiked sediment study</w:t>
            </w:r>
          </w:p>
          <w:p w14:paraId="5F1E6EF4" w14:textId="77777777" w:rsidR="0039212D" w:rsidRDefault="0039212D" w:rsidP="0039212D">
            <w:pPr>
              <w:rPr>
                <w:color w:val="000000"/>
                <w:sz w:val="18"/>
                <w:szCs w:val="18"/>
              </w:rPr>
            </w:pPr>
            <w:r w:rsidRPr="001249EB">
              <w:rPr>
                <w:color w:val="000000"/>
                <w:sz w:val="18"/>
                <w:szCs w:val="18"/>
              </w:rPr>
              <w:t>2007/1057455</w:t>
            </w:r>
          </w:p>
          <w:p w14:paraId="2D937229" w14:textId="77777777" w:rsidR="0039212D" w:rsidRDefault="0039212D" w:rsidP="0039212D">
            <w:pPr>
              <w:rPr>
                <w:color w:val="000000"/>
                <w:sz w:val="18"/>
                <w:szCs w:val="18"/>
              </w:rPr>
            </w:pPr>
            <w:r w:rsidRPr="001249EB">
              <w:rPr>
                <w:color w:val="000000"/>
                <w:sz w:val="18"/>
                <w:szCs w:val="18"/>
              </w:rPr>
              <w:t>BASF SE, Limburgerhof, Germany Fed.Rep.</w:t>
            </w:r>
          </w:p>
          <w:p w14:paraId="0C8F4B37" w14:textId="77777777" w:rsidR="0039212D" w:rsidRDefault="0039212D" w:rsidP="0039212D">
            <w:pPr>
              <w:rPr>
                <w:color w:val="000000"/>
                <w:sz w:val="18"/>
                <w:szCs w:val="18"/>
              </w:rPr>
            </w:pPr>
            <w:r>
              <w:rPr>
                <w:color w:val="000000"/>
                <w:sz w:val="18"/>
                <w:szCs w:val="18"/>
              </w:rPr>
              <w:t>yes</w:t>
            </w:r>
          </w:p>
          <w:p w14:paraId="331A8153" w14:textId="704538EC" w:rsidR="0039212D" w:rsidRPr="001249EB" w:rsidRDefault="0039212D" w:rsidP="0039212D">
            <w:pPr>
              <w:rPr>
                <w:color w:val="000000"/>
                <w:sz w:val="18"/>
                <w:szCs w:val="18"/>
              </w:rPr>
            </w:pPr>
            <w:r>
              <w:rPr>
                <w:color w:val="000000"/>
                <w:sz w:val="18"/>
                <w:szCs w:val="18"/>
              </w:rPr>
              <w:t>Unpublished</w:t>
            </w:r>
          </w:p>
        </w:tc>
        <w:tc>
          <w:tcPr>
            <w:tcW w:w="0" w:type="auto"/>
          </w:tcPr>
          <w:p w14:paraId="1AE01948" w14:textId="2AA59B90" w:rsidR="0039212D" w:rsidRDefault="0039212D" w:rsidP="0039212D">
            <w:pPr>
              <w:jc w:val="center"/>
              <w:rPr>
                <w:color w:val="000000"/>
                <w:sz w:val="18"/>
                <w:szCs w:val="18"/>
              </w:rPr>
            </w:pPr>
            <w:r>
              <w:rPr>
                <w:color w:val="000000"/>
                <w:sz w:val="18"/>
                <w:szCs w:val="18"/>
              </w:rPr>
              <w:t>No</w:t>
            </w:r>
          </w:p>
        </w:tc>
        <w:tc>
          <w:tcPr>
            <w:tcW w:w="0" w:type="auto"/>
          </w:tcPr>
          <w:p w14:paraId="2236A79D" w14:textId="1095AC73" w:rsidR="0039212D" w:rsidRDefault="0039212D" w:rsidP="0039212D">
            <w:pPr>
              <w:pStyle w:val="RepTable"/>
              <w:jc w:val="center"/>
              <w:rPr>
                <w:color w:val="000000"/>
                <w:sz w:val="18"/>
                <w:szCs w:val="18"/>
              </w:rPr>
            </w:pPr>
            <w:r>
              <w:rPr>
                <w:color w:val="000000"/>
                <w:sz w:val="18"/>
                <w:szCs w:val="18"/>
              </w:rPr>
              <w:t>XXXX</w:t>
            </w:r>
          </w:p>
        </w:tc>
      </w:tr>
      <w:tr w:rsidR="0039212D" w14:paraId="3177EBBF" w14:textId="77777777" w:rsidTr="00E23E58">
        <w:tc>
          <w:tcPr>
            <w:tcW w:w="0" w:type="auto"/>
          </w:tcPr>
          <w:p w14:paraId="3C0303B3" w14:textId="7683DCAA" w:rsidR="0039212D" w:rsidRDefault="0039212D" w:rsidP="0039212D">
            <w:pPr>
              <w:rPr>
                <w:color w:val="000000"/>
                <w:sz w:val="18"/>
                <w:szCs w:val="18"/>
              </w:rPr>
            </w:pPr>
            <w:r>
              <w:rPr>
                <w:color w:val="000000"/>
                <w:sz w:val="18"/>
                <w:szCs w:val="18"/>
              </w:rPr>
              <w:t>KCP 10.2.2/4</w:t>
            </w:r>
          </w:p>
        </w:tc>
        <w:tc>
          <w:tcPr>
            <w:tcW w:w="0" w:type="auto"/>
          </w:tcPr>
          <w:p w14:paraId="5AB1C2E4" w14:textId="3BB56BCE" w:rsidR="0039212D" w:rsidRDefault="0039212D" w:rsidP="0039212D">
            <w:pPr>
              <w:rPr>
                <w:color w:val="000000"/>
                <w:sz w:val="18"/>
                <w:szCs w:val="18"/>
              </w:rPr>
            </w:pPr>
            <w:r>
              <w:rPr>
                <w:color w:val="000000"/>
                <w:sz w:val="18"/>
                <w:szCs w:val="18"/>
              </w:rPr>
              <w:t>Rzodeczko, H.</w:t>
            </w:r>
          </w:p>
        </w:tc>
        <w:tc>
          <w:tcPr>
            <w:tcW w:w="0" w:type="auto"/>
          </w:tcPr>
          <w:p w14:paraId="708E8F00" w14:textId="39F59607" w:rsidR="0039212D" w:rsidRDefault="0039212D" w:rsidP="0039212D">
            <w:pPr>
              <w:jc w:val="center"/>
              <w:rPr>
                <w:color w:val="000000"/>
                <w:sz w:val="18"/>
                <w:szCs w:val="18"/>
              </w:rPr>
            </w:pPr>
            <w:r>
              <w:rPr>
                <w:color w:val="000000"/>
                <w:sz w:val="18"/>
                <w:szCs w:val="18"/>
              </w:rPr>
              <w:t>2008</w:t>
            </w:r>
          </w:p>
        </w:tc>
        <w:tc>
          <w:tcPr>
            <w:tcW w:w="0" w:type="auto"/>
          </w:tcPr>
          <w:p w14:paraId="1D895C5E" w14:textId="77777777" w:rsidR="0039212D" w:rsidRDefault="0039212D" w:rsidP="0039212D">
            <w:pPr>
              <w:rPr>
                <w:color w:val="000000"/>
                <w:sz w:val="18"/>
                <w:szCs w:val="18"/>
              </w:rPr>
            </w:pPr>
            <w:r w:rsidRPr="001249EB">
              <w:rPr>
                <w:color w:val="000000"/>
                <w:sz w:val="18"/>
                <w:szCs w:val="18"/>
              </w:rPr>
              <w:t>M650F03 - Daphnia magna reproduction test</w:t>
            </w:r>
          </w:p>
          <w:p w14:paraId="39A9431D" w14:textId="77777777" w:rsidR="0039212D" w:rsidRDefault="0039212D" w:rsidP="0039212D">
            <w:pPr>
              <w:rPr>
                <w:color w:val="000000"/>
                <w:sz w:val="18"/>
                <w:szCs w:val="18"/>
              </w:rPr>
            </w:pPr>
            <w:r w:rsidRPr="001249EB">
              <w:rPr>
                <w:color w:val="000000"/>
                <w:sz w:val="18"/>
                <w:szCs w:val="18"/>
              </w:rPr>
              <w:t>2008/1043909</w:t>
            </w:r>
          </w:p>
          <w:p w14:paraId="2D807585" w14:textId="77777777" w:rsidR="0039212D" w:rsidRDefault="0039212D" w:rsidP="0039212D">
            <w:pPr>
              <w:rPr>
                <w:color w:val="000000"/>
                <w:sz w:val="18"/>
                <w:szCs w:val="18"/>
              </w:rPr>
            </w:pPr>
            <w:r w:rsidRPr="001249EB">
              <w:rPr>
                <w:color w:val="000000"/>
                <w:sz w:val="18"/>
                <w:szCs w:val="18"/>
              </w:rPr>
              <w:t>Institute of Industrial Organic Chemistry, Pszczyna, Poland</w:t>
            </w:r>
          </w:p>
          <w:p w14:paraId="34293BD2" w14:textId="77777777" w:rsidR="0039212D" w:rsidRDefault="0039212D" w:rsidP="0039212D">
            <w:pPr>
              <w:rPr>
                <w:color w:val="000000"/>
                <w:sz w:val="18"/>
                <w:szCs w:val="18"/>
              </w:rPr>
            </w:pPr>
            <w:r>
              <w:rPr>
                <w:color w:val="000000"/>
                <w:sz w:val="18"/>
                <w:szCs w:val="18"/>
              </w:rPr>
              <w:t>yes</w:t>
            </w:r>
          </w:p>
          <w:p w14:paraId="2810DB9A" w14:textId="2CE8AC39" w:rsidR="0039212D" w:rsidRPr="001249EB" w:rsidRDefault="0039212D" w:rsidP="0039212D">
            <w:pPr>
              <w:rPr>
                <w:color w:val="000000"/>
                <w:sz w:val="18"/>
                <w:szCs w:val="18"/>
              </w:rPr>
            </w:pPr>
            <w:r>
              <w:rPr>
                <w:color w:val="000000"/>
                <w:sz w:val="18"/>
                <w:szCs w:val="18"/>
              </w:rPr>
              <w:t>Unpublished</w:t>
            </w:r>
          </w:p>
        </w:tc>
        <w:tc>
          <w:tcPr>
            <w:tcW w:w="0" w:type="auto"/>
          </w:tcPr>
          <w:p w14:paraId="29C56C4D" w14:textId="7523E4BD" w:rsidR="0039212D" w:rsidRDefault="0039212D" w:rsidP="0039212D">
            <w:pPr>
              <w:jc w:val="center"/>
              <w:rPr>
                <w:color w:val="000000"/>
                <w:sz w:val="18"/>
                <w:szCs w:val="18"/>
              </w:rPr>
            </w:pPr>
            <w:r>
              <w:rPr>
                <w:color w:val="000000"/>
                <w:sz w:val="18"/>
                <w:szCs w:val="18"/>
              </w:rPr>
              <w:t>No</w:t>
            </w:r>
          </w:p>
        </w:tc>
        <w:tc>
          <w:tcPr>
            <w:tcW w:w="0" w:type="auto"/>
          </w:tcPr>
          <w:p w14:paraId="15D89925" w14:textId="408027D2" w:rsidR="0039212D" w:rsidRDefault="0039212D" w:rsidP="0039212D">
            <w:pPr>
              <w:pStyle w:val="RepTable"/>
              <w:jc w:val="center"/>
              <w:rPr>
                <w:color w:val="000000"/>
                <w:sz w:val="18"/>
                <w:szCs w:val="18"/>
              </w:rPr>
            </w:pPr>
            <w:r>
              <w:rPr>
                <w:color w:val="000000"/>
                <w:sz w:val="18"/>
                <w:szCs w:val="18"/>
              </w:rPr>
              <w:t>XXXX</w:t>
            </w:r>
          </w:p>
        </w:tc>
      </w:tr>
      <w:tr w:rsidR="0039212D" w14:paraId="1FC000C9" w14:textId="77777777" w:rsidTr="00E23E58">
        <w:tc>
          <w:tcPr>
            <w:tcW w:w="0" w:type="auto"/>
          </w:tcPr>
          <w:p w14:paraId="688C50B3" w14:textId="54BB3996" w:rsidR="0039212D" w:rsidRDefault="0039212D" w:rsidP="0039212D">
            <w:pPr>
              <w:rPr>
                <w:color w:val="000000"/>
                <w:sz w:val="18"/>
                <w:szCs w:val="18"/>
              </w:rPr>
            </w:pPr>
            <w:r>
              <w:rPr>
                <w:color w:val="000000"/>
                <w:sz w:val="18"/>
                <w:szCs w:val="18"/>
              </w:rPr>
              <w:t>KCP 10.2.2/1</w:t>
            </w:r>
          </w:p>
        </w:tc>
        <w:tc>
          <w:tcPr>
            <w:tcW w:w="0" w:type="auto"/>
          </w:tcPr>
          <w:p w14:paraId="6A00E3E7" w14:textId="2D9D0D9B" w:rsidR="0039212D" w:rsidRDefault="0039212D" w:rsidP="0039212D">
            <w:pPr>
              <w:rPr>
                <w:color w:val="000000"/>
                <w:sz w:val="18"/>
                <w:szCs w:val="18"/>
              </w:rPr>
            </w:pPr>
            <w:r>
              <w:rPr>
                <w:color w:val="000000"/>
                <w:sz w:val="18"/>
                <w:szCs w:val="18"/>
              </w:rPr>
              <w:t>Zok, S.</w:t>
            </w:r>
          </w:p>
        </w:tc>
        <w:tc>
          <w:tcPr>
            <w:tcW w:w="0" w:type="auto"/>
          </w:tcPr>
          <w:p w14:paraId="3F33FEF1" w14:textId="7D1FAC2D" w:rsidR="0039212D" w:rsidRDefault="0039212D" w:rsidP="0039212D">
            <w:pPr>
              <w:jc w:val="center"/>
              <w:rPr>
                <w:color w:val="000000"/>
                <w:sz w:val="18"/>
                <w:szCs w:val="18"/>
              </w:rPr>
            </w:pPr>
            <w:r>
              <w:rPr>
                <w:color w:val="000000"/>
                <w:sz w:val="18"/>
                <w:szCs w:val="18"/>
              </w:rPr>
              <w:t>2006</w:t>
            </w:r>
          </w:p>
        </w:tc>
        <w:tc>
          <w:tcPr>
            <w:tcW w:w="0" w:type="auto"/>
          </w:tcPr>
          <w:p w14:paraId="431D3561" w14:textId="77777777" w:rsidR="0039212D" w:rsidRDefault="0039212D" w:rsidP="0039212D">
            <w:pPr>
              <w:keepLines/>
              <w:pageBreakBefore/>
              <w:rPr>
                <w:color w:val="000000"/>
                <w:sz w:val="18"/>
                <w:szCs w:val="18"/>
              </w:rPr>
            </w:pPr>
            <w:r w:rsidRPr="001249EB">
              <w:rPr>
                <w:color w:val="000000"/>
                <w:sz w:val="18"/>
                <w:szCs w:val="18"/>
              </w:rPr>
              <w:t>BAS 650 F - Early life-stage test on the fathead minnow (Pimephales promelas) in a flow through system</w:t>
            </w:r>
          </w:p>
          <w:p w14:paraId="5295ADF8" w14:textId="77777777" w:rsidR="0039212D" w:rsidRPr="001249EB" w:rsidRDefault="0039212D" w:rsidP="0039212D">
            <w:pPr>
              <w:keepLines/>
              <w:pageBreakBefore/>
              <w:rPr>
                <w:color w:val="000000"/>
                <w:sz w:val="18"/>
                <w:szCs w:val="18"/>
                <w:lang w:val="de-DE"/>
              </w:rPr>
            </w:pPr>
            <w:r w:rsidRPr="00375516">
              <w:rPr>
                <w:color w:val="000000"/>
                <w:sz w:val="18"/>
                <w:szCs w:val="18"/>
                <w:lang w:val="de-DE"/>
              </w:rPr>
              <w:t>2006/1024627</w:t>
            </w:r>
          </w:p>
          <w:p w14:paraId="533FD3DE" w14:textId="77777777" w:rsidR="0039212D" w:rsidRPr="001249EB" w:rsidRDefault="0039212D" w:rsidP="0039212D">
            <w:pPr>
              <w:keepLines/>
              <w:pageBreakBefore/>
              <w:rPr>
                <w:color w:val="000000"/>
                <w:sz w:val="18"/>
                <w:szCs w:val="18"/>
                <w:lang w:val="de-DE"/>
              </w:rPr>
            </w:pPr>
            <w:r w:rsidRPr="00375516">
              <w:rPr>
                <w:color w:val="000000"/>
                <w:sz w:val="18"/>
                <w:szCs w:val="18"/>
                <w:lang w:val="de-DE"/>
              </w:rPr>
              <w:t>BASF AG, Ludwigshafen/Rhein, Germany Fed.Rep.</w:t>
            </w:r>
          </w:p>
          <w:p w14:paraId="52AFBE25" w14:textId="77777777" w:rsidR="0039212D" w:rsidRDefault="0039212D" w:rsidP="0039212D">
            <w:pPr>
              <w:keepLines/>
              <w:pageBreakBefore/>
              <w:rPr>
                <w:color w:val="000000"/>
                <w:sz w:val="18"/>
                <w:szCs w:val="18"/>
              </w:rPr>
            </w:pPr>
            <w:r>
              <w:rPr>
                <w:color w:val="000000"/>
                <w:sz w:val="18"/>
                <w:szCs w:val="18"/>
              </w:rPr>
              <w:t>yes</w:t>
            </w:r>
          </w:p>
          <w:p w14:paraId="48C83E37" w14:textId="3B1E6AC2" w:rsidR="0039212D" w:rsidRPr="001249EB" w:rsidRDefault="0039212D" w:rsidP="0039212D">
            <w:pPr>
              <w:rPr>
                <w:color w:val="000000"/>
                <w:sz w:val="18"/>
                <w:szCs w:val="18"/>
              </w:rPr>
            </w:pPr>
            <w:r>
              <w:rPr>
                <w:color w:val="000000"/>
                <w:sz w:val="18"/>
                <w:szCs w:val="18"/>
              </w:rPr>
              <w:t>Unpublished</w:t>
            </w:r>
          </w:p>
        </w:tc>
        <w:tc>
          <w:tcPr>
            <w:tcW w:w="0" w:type="auto"/>
          </w:tcPr>
          <w:p w14:paraId="45079594" w14:textId="18F25BBC" w:rsidR="0039212D" w:rsidRDefault="0039212D" w:rsidP="0039212D">
            <w:pPr>
              <w:jc w:val="center"/>
              <w:rPr>
                <w:color w:val="000000"/>
                <w:sz w:val="18"/>
                <w:szCs w:val="18"/>
              </w:rPr>
            </w:pPr>
            <w:r>
              <w:rPr>
                <w:color w:val="000000"/>
                <w:sz w:val="18"/>
                <w:szCs w:val="18"/>
              </w:rPr>
              <w:t>Yes</w:t>
            </w:r>
          </w:p>
        </w:tc>
        <w:tc>
          <w:tcPr>
            <w:tcW w:w="0" w:type="auto"/>
          </w:tcPr>
          <w:p w14:paraId="4F022130" w14:textId="668DC602" w:rsidR="0039212D" w:rsidRDefault="0039212D" w:rsidP="0039212D">
            <w:pPr>
              <w:pStyle w:val="RepTable"/>
              <w:jc w:val="center"/>
              <w:rPr>
                <w:color w:val="000000"/>
                <w:sz w:val="18"/>
                <w:szCs w:val="18"/>
              </w:rPr>
            </w:pPr>
            <w:r>
              <w:rPr>
                <w:color w:val="000000"/>
                <w:sz w:val="18"/>
                <w:szCs w:val="18"/>
              </w:rPr>
              <w:t>XXXX</w:t>
            </w:r>
          </w:p>
        </w:tc>
      </w:tr>
      <w:tr w:rsidR="0039212D" w14:paraId="009D75E9" w14:textId="77777777" w:rsidTr="00E23E58">
        <w:tc>
          <w:tcPr>
            <w:tcW w:w="0" w:type="auto"/>
          </w:tcPr>
          <w:p w14:paraId="64E58E41" w14:textId="76D76296" w:rsidR="0039212D" w:rsidRDefault="0039212D" w:rsidP="0039212D">
            <w:pPr>
              <w:rPr>
                <w:color w:val="000000"/>
                <w:sz w:val="18"/>
                <w:szCs w:val="18"/>
              </w:rPr>
            </w:pPr>
            <w:r>
              <w:rPr>
                <w:color w:val="000000"/>
                <w:sz w:val="18"/>
                <w:szCs w:val="18"/>
              </w:rPr>
              <w:t>KCP 10.2.2/2</w:t>
            </w:r>
          </w:p>
        </w:tc>
        <w:tc>
          <w:tcPr>
            <w:tcW w:w="0" w:type="auto"/>
          </w:tcPr>
          <w:p w14:paraId="558F3DDC" w14:textId="3FEDF8E5" w:rsidR="0039212D" w:rsidRDefault="0039212D" w:rsidP="0039212D">
            <w:pPr>
              <w:rPr>
                <w:color w:val="000000"/>
                <w:sz w:val="18"/>
                <w:szCs w:val="18"/>
              </w:rPr>
            </w:pPr>
            <w:r>
              <w:rPr>
                <w:color w:val="000000"/>
                <w:sz w:val="18"/>
                <w:szCs w:val="18"/>
              </w:rPr>
              <w:t>Zok, S.</w:t>
            </w:r>
          </w:p>
        </w:tc>
        <w:tc>
          <w:tcPr>
            <w:tcW w:w="0" w:type="auto"/>
          </w:tcPr>
          <w:p w14:paraId="7345107D" w14:textId="27725251" w:rsidR="0039212D" w:rsidRDefault="0039212D" w:rsidP="0039212D">
            <w:pPr>
              <w:jc w:val="center"/>
              <w:rPr>
                <w:color w:val="000000"/>
                <w:sz w:val="18"/>
                <w:szCs w:val="18"/>
              </w:rPr>
            </w:pPr>
            <w:r>
              <w:rPr>
                <w:color w:val="000000"/>
                <w:sz w:val="18"/>
                <w:szCs w:val="18"/>
              </w:rPr>
              <w:t>2007</w:t>
            </w:r>
          </w:p>
        </w:tc>
        <w:tc>
          <w:tcPr>
            <w:tcW w:w="0" w:type="auto"/>
          </w:tcPr>
          <w:p w14:paraId="67CCC132" w14:textId="77777777" w:rsidR="0039212D" w:rsidRDefault="0039212D" w:rsidP="0039212D">
            <w:pPr>
              <w:rPr>
                <w:color w:val="000000"/>
                <w:sz w:val="18"/>
                <w:szCs w:val="18"/>
              </w:rPr>
            </w:pPr>
            <w:r w:rsidRPr="001249EB">
              <w:rPr>
                <w:color w:val="000000"/>
                <w:sz w:val="18"/>
                <w:szCs w:val="18"/>
              </w:rPr>
              <w:t>BAS 650 00 F - Determination of the acute effect on the swimming ability of the water flea Daphnia magna STRAUS</w:t>
            </w:r>
          </w:p>
          <w:p w14:paraId="351C77DA" w14:textId="77777777" w:rsidR="0039212D" w:rsidRPr="001249EB" w:rsidRDefault="0039212D" w:rsidP="0039212D">
            <w:pPr>
              <w:rPr>
                <w:color w:val="000000"/>
                <w:sz w:val="18"/>
                <w:szCs w:val="18"/>
                <w:lang w:val="de-DE"/>
              </w:rPr>
            </w:pPr>
            <w:r w:rsidRPr="00375516">
              <w:rPr>
                <w:color w:val="000000"/>
                <w:sz w:val="18"/>
                <w:szCs w:val="18"/>
                <w:lang w:val="de-DE"/>
              </w:rPr>
              <w:t>2007/1018762</w:t>
            </w:r>
          </w:p>
          <w:p w14:paraId="202EB41F" w14:textId="77777777" w:rsidR="0039212D" w:rsidRPr="001249EB" w:rsidRDefault="0039212D" w:rsidP="0039212D">
            <w:pPr>
              <w:rPr>
                <w:color w:val="000000"/>
                <w:sz w:val="18"/>
                <w:szCs w:val="18"/>
                <w:lang w:val="de-DE"/>
              </w:rPr>
            </w:pPr>
            <w:r w:rsidRPr="00375516">
              <w:rPr>
                <w:color w:val="000000"/>
                <w:sz w:val="18"/>
                <w:szCs w:val="18"/>
                <w:lang w:val="de-DE"/>
              </w:rPr>
              <w:t>BASF AG, Ludwigshafen/Rhein, Germany Fed.Rep.</w:t>
            </w:r>
          </w:p>
          <w:p w14:paraId="3AC0DF81" w14:textId="77777777" w:rsidR="0039212D" w:rsidRDefault="0039212D" w:rsidP="0039212D">
            <w:pPr>
              <w:rPr>
                <w:color w:val="000000"/>
                <w:sz w:val="18"/>
                <w:szCs w:val="18"/>
              </w:rPr>
            </w:pPr>
            <w:r>
              <w:rPr>
                <w:color w:val="000000"/>
                <w:sz w:val="18"/>
                <w:szCs w:val="18"/>
              </w:rPr>
              <w:lastRenderedPageBreak/>
              <w:t>yes</w:t>
            </w:r>
          </w:p>
          <w:p w14:paraId="3B967702" w14:textId="144B3454" w:rsidR="0039212D" w:rsidRPr="001249EB" w:rsidRDefault="0039212D" w:rsidP="0039212D">
            <w:pPr>
              <w:rPr>
                <w:color w:val="000000"/>
                <w:sz w:val="18"/>
                <w:szCs w:val="18"/>
              </w:rPr>
            </w:pPr>
            <w:r>
              <w:rPr>
                <w:color w:val="000000"/>
                <w:sz w:val="18"/>
                <w:szCs w:val="18"/>
              </w:rPr>
              <w:t>Unpublished</w:t>
            </w:r>
          </w:p>
        </w:tc>
        <w:tc>
          <w:tcPr>
            <w:tcW w:w="0" w:type="auto"/>
          </w:tcPr>
          <w:p w14:paraId="16605B46" w14:textId="2423338A" w:rsidR="0039212D" w:rsidRDefault="0039212D" w:rsidP="0039212D">
            <w:pPr>
              <w:jc w:val="center"/>
              <w:rPr>
                <w:color w:val="000000"/>
                <w:sz w:val="18"/>
                <w:szCs w:val="18"/>
              </w:rPr>
            </w:pPr>
            <w:r>
              <w:rPr>
                <w:color w:val="000000"/>
                <w:sz w:val="18"/>
                <w:szCs w:val="18"/>
              </w:rPr>
              <w:lastRenderedPageBreak/>
              <w:t>No</w:t>
            </w:r>
          </w:p>
        </w:tc>
        <w:tc>
          <w:tcPr>
            <w:tcW w:w="0" w:type="auto"/>
          </w:tcPr>
          <w:p w14:paraId="099A5437" w14:textId="4D4B0D81" w:rsidR="0039212D" w:rsidRDefault="0039212D" w:rsidP="0039212D">
            <w:pPr>
              <w:pStyle w:val="RepTable"/>
              <w:jc w:val="center"/>
              <w:rPr>
                <w:color w:val="000000"/>
                <w:sz w:val="18"/>
                <w:szCs w:val="18"/>
              </w:rPr>
            </w:pPr>
            <w:r>
              <w:rPr>
                <w:color w:val="000000"/>
                <w:sz w:val="18"/>
                <w:szCs w:val="18"/>
              </w:rPr>
              <w:t>XXXX</w:t>
            </w:r>
          </w:p>
        </w:tc>
      </w:tr>
      <w:tr w:rsidR="0039212D" w14:paraId="6335F3C5" w14:textId="77777777" w:rsidTr="00E23E58">
        <w:tc>
          <w:tcPr>
            <w:tcW w:w="0" w:type="auto"/>
          </w:tcPr>
          <w:p w14:paraId="7C14F0D6" w14:textId="77777777" w:rsidR="0039212D" w:rsidRDefault="0039212D" w:rsidP="0039212D">
            <w:pPr>
              <w:rPr>
                <w:sz w:val="18"/>
                <w:szCs w:val="18"/>
              </w:rPr>
            </w:pPr>
            <w:r>
              <w:rPr>
                <w:color w:val="000000"/>
                <w:sz w:val="18"/>
                <w:szCs w:val="18"/>
              </w:rPr>
              <w:t>KCP 10.2.2/3</w:t>
            </w:r>
          </w:p>
        </w:tc>
        <w:tc>
          <w:tcPr>
            <w:tcW w:w="0" w:type="auto"/>
          </w:tcPr>
          <w:p w14:paraId="4A684431" w14:textId="77777777" w:rsidR="0039212D" w:rsidRDefault="0039212D" w:rsidP="0039212D">
            <w:pPr>
              <w:rPr>
                <w:sz w:val="18"/>
                <w:szCs w:val="18"/>
              </w:rPr>
            </w:pPr>
            <w:r>
              <w:rPr>
                <w:color w:val="000000"/>
                <w:sz w:val="18"/>
                <w:szCs w:val="18"/>
              </w:rPr>
              <w:t>Weltje, L.</w:t>
            </w:r>
          </w:p>
        </w:tc>
        <w:tc>
          <w:tcPr>
            <w:tcW w:w="0" w:type="auto"/>
          </w:tcPr>
          <w:p w14:paraId="1D0CEEC9" w14:textId="77777777" w:rsidR="0039212D" w:rsidRDefault="0039212D" w:rsidP="0039212D">
            <w:pPr>
              <w:jc w:val="center"/>
              <w:rPr>
                <w:sz w:val="18"/>
                <w:szCs w:val="18"/>
              </w:rPr>
            </w:pPr>
            <w:r>
              <w:rPr>
                <w:color w:val="000000"/>
                <w:sz w:val="18"/>
                <w:szCs w:val="18"/>
              </w:rPr>
              <w:t>2008</w:t>
            </w:r>
          </w:p>
        </w:tc>
        <w:tc>
          <w:tcPr>
            <w:tcW w:w="0" w:type="auto"/>
          </w:tcPr>
          <w:p w14:paraId="1431467A" w14:textId="77777777" w:rsidR="0039212D" w:rsidRDefault="0039212D" w:rsidP="0039212D">
            <w:pPr>
              <w:rPr>
                <w:color w:val="000000"/>
                <w:sz w:val="18"/>
                <w:szCs w:val="18"/>
              </w:rPr>
            </w:pPr>
            <w:r w:rsidRPr="001249EB">
              <w:rPr>
                <w:color w:val="000000"/>
                <w:sz w:val="18"/>
                <w:szCs w:val="18"/>
              </w:rPr>
              <w:t>Chronic toxicity of the pyrimidylamine (BAS 650 F) formulation BAS 650 00 F to the non-biting midge Chironomus riparius - A spiked sediment study</w:t>
            </w:r>
          </w:p>
          <w:p w14:paraId="4169654D" w14:textId="77777777" w:rsidR="0039212D" w:rsidRDefault="0039212D" w:rsidP="0039212D">
            <w:pPr>
              <w:rPr>
                <w:color w:val="000000"/>
                <w:sz w:val="18"/>
                <w:szCs w:val="18"/>
              </w:rPr>
            </w:pPr>
            <w:r w:rsidRPr="001249EB">
              <w:rPr>
                <w:color w:val="000000"/>
                <w:sz w:val="18"/>
                <w:szCs w:val="18"/>
              </w:rPr>
              <w:t>2007/1057455</w:t>
            </w:r>
          </w:p>
          <w:p w14:paraId="0360108B" w14:textId="77777777" w:rsidR="0039212D" w:rsidRDefault="0039212D" w:rsidP="0039212D">
            <w:pPr>
              <w:rPr>
                <w:color w:val="000000"/>
                <w:sz w:val="18"/>
                <w:szCs w:val="18"/>
              </w:rPr>
            </w:pPr>
            <w:r w:rsidRPr="001249EB">
              <w:rPr>
                <w:color w:val="000000"/>
                <w:sz w:val="18"/>
                <w:szCs w:val="18"/>
              </w:rPr>
              <w:t>BASF SE, Limburgerhof, Germany Fed.Rep.</w:t>
            </w:r>
          </w:p>
          <w:p w14:paraId="1767689C" w14:textId="77777777" w:rsidR="0039212D" w:rsidRDefault="0039212D" w:rsidP="0039212D">
            <w:pPr>
              <w:rPr>
                <w:color w:val="000000"/>
                <w:sz w:val="18"/>
                <w:szCs w:val="18"/>
              </w:rPr>
            </w:pPr>
            <w:r>
              <w:rPr>
                <w:color w:val="000000"/>
                <w:sz w:val="18"/>
                <w:szCs w:val="18"/>
              </w:rPr>
              <w:t>yes</w:t>
            </w:r>
          </w:p>
          <w:p w14:paraId="7524E06A" w14:textId="77777777" w:rsidR="0039212D" w:rsidRDefault="0039212D" w:rsidP="0039212D">
            <w:pPr>
              <w:rPr>
                <w:color w:val="000000"/>
                <w:sz w:val="18"/>
                <w:szCs w:val="18"/>
              </w:rPr>
            </w:pPr>
            <w:r>
              <w:rPr>
                <w:color w:val="000000"/>
                <w:sz w:val="18"/>
                <w:szCs w:val="18"/>
              </w:rPr>
              <w:t>Unpublished</w:t>
            </w:r>
          </w:p>
        </w:tc>
        <w:tc>
          <w:tcPr>
            <w:tcW w:w="0" w:type="auto"/>
          </w:tcPr>
          <w:p w14:paraId="22C2481B" w14:textId="77777777" w:rsidR="0039212D" w:rsidRDefault="0039212D" w:rsidP="0039212D">
            <w:pPr>
              <w:jc w:val="center"/>
              <w:rPr>
                <w:sz w:val="18"/>
                <w:szCs w:val="18"/>
              </w:rPr>
            </w:pPr>
            <w:r>
              <w:rPr>
                <w:color w:val="000000"/>
                <w:sz w:val="18"/>
                <w:szCs w:val="18"/>
              </w:rPr>
              <w:t>No</w:t>
            </w:r>
          </w:p>
        </w:tc>
        <w:tc>
          <w:tcPr>
            <w:tcW w:w="0" w:type="auto"/>
          </w:tcPr>
          <w:p w14:paraId="1255088E" w14:textId="060ACEE6" w:rsidR="0039212D" w:rsidRDefault="0039212D" w:rsidP="0039212D">
            <w:pPr>
              <w:pStyle w:val="RepTable"/>
              <w:jc w:val="center"/>
              <w:rPr>
                <w:highlight w:val="yellow"/>
              </w:rPr>
            </w:pPr>
            <w:r>
              <w:rPr>
                <w:color w:val="000000"/>
                <w:sz w:val="18"/>
                <w:szCs w:val="18"/>
              </w:rPr>
              <w:t>XXXX</w:t>
            </w:r>
          </w:p>
        </w:tc>
      </w:tr>
      <w:tr w:rsidR="0039212D" w14:paraId="6675AD65" w14:textId="77777777" w:rsidTr="00E23E58">
        <w:tc>
          <w:tcPr>
            <w:tcW w:w="0" w:type="auto"/>
          </w:tcPr>
          <w:p w14:paraId="27D5B1A5" w14:textId="77777777" w:rsidR="0039212D" w:rsidRDefault="0039212D" w:rsidP="0039212D">
            <w:pPr>
              <w:rPr>
                <w:sz w:val="18"/>
                <w:szCs w:val="18"/>
              </w:rPr>
            </w:pPr>
            <w:r>
              <w:rPr>
                <w:color w:val="000000"/>
                <w:sz w:val="18"/>
                <w:szCs w:val="18"/>
              </w:rPr>
              <w:t>KCP 10.2.2/4</w:t>
            </w:r>
          </w:p>
        </w:tc>
        <w:tc>
          <w:tcPr>
            <w:tcW w:w="0" w:type="auto"/>
          </w:tcPr>
          <w:p w14:paraId="4C0CE20E" w14:textId="77777777" w:rsidR="0039212D" w:rsidRDefault="0039212D" w:rsidP="0039212D">
            <w:pPr>
              <w:rPr>
                <w:sz w:val="18"/>
                <w:szCs w:val="18"/>
              </w:rPr>
            </w:pPr>
            <w:r>
              <w:rPr>
                <w:color w:val="000000"/>
                <w:sz w:val="18"/>
                <w:szCs w:val="18"/>
              </w:rPr>
              <w:t>Rzodeczko, H.</w:t>
            </w:r>
          </w:p>
        </w:tc>
        <w:tc>
          <w:tcPr>
            <w:tcW w:w="0" w:type="auto"/>
          </w:tcPr>
          <w:p w14:paraId="25490822" w14:textId="77777777" w:rsidR="0039212D" w:rsidRDefault="0039212D" w:rsidP="0039212D">
            <w:pPr>
              <w:jc w:val="center"/>
              <w:rPr>
                <w:sz w:val="18"/>
                <w:szCs w:val="18"/>
              </w:rPr>
            </w:pPr>
            <w:r>
              <w:rPr>
                <w:color w:val="000000"/>
                <w:sz w:val="18"/>
                <w:szCs w:val="18"/>
              </w:rPr>
              <w:t>2008</w:t>
            </w:r>
          </w:p>
        </w:tc>
        <w:tc>
          <w:tcPr>
            <w:tcW w:w="0" w:type="auto"/>
          </w:tcPr>
          <w:p w14:paraId="7DC9BA0B" w14:textId="77777777" w:rsidR="0039212D" w:rsidRDefault="0039212D" w:rsidP="0039212D">
            <w:pPr>
              <w:rPr>
                <w:color w:val="000000"/>
                <w:sz w:val="18"/>
                <w:szCs w:val="18"/>
              </w:rPr>
            </w:pPr>
            <w:r w:rsidRPr="001249EB">
              <w:rPr>
                <w:color w:val="000000"/>
                <w:sz w:val="18"/>
                <w:szCs w:val="18"/>
              </w:rPr>
              <w:t>M650F03 - Daphnia magna reproduction test</w:t>
            </w:r>
          </w:p>
          <w:p w14:paraId="3EF332F4" w14:textId="77777777" w:rsidR="0039212D" w:rsidRDefault="0039212D" w:rsidP="0039212D">
            <w:pPr>
              <w:rPr>
                <w:color w:val="000000"/>
                <w:sz w:val="18"/>
                <w:szCs w:val="18"/>
              </w:rPr>
            </w:pPr>
            <w:r w:rsidRPr="001249EB">
              <w:rPr>
                <w:color w:val="000000"/>
                <w:sz w:val="18"/>
                <w:szCs w:val="18"/>
              </w:rPr>
              <w:t>2008/1043909</w:t>
            </w:r>
          </w:p>
          <w:p w14:paraId="12F69754" w14:textId="77777777" w:rsidR="0039212D" w:rsidRDefault="0039212D" w:rsidP="0039212D">
            <w:pPr>
              <w:rPr>
                <w:color w:val="000000"/>
                <w:sz w:val="18"/>
                <w:szCs w:val="18"/>
              </w:rPr>
            </w:pPr>
            <w:r w:rsidRPr="001249EB">
              <w:rPr>
                <w:color w:val="000000"/>
                <w:sz w:val="18"/>
                <w:szCs w:val="18"/>
              </w:rPr>
              <w:t>Institute of Industrial Organic Chemistry, Pszczyna, Poland</w:t>
            </w:r>
          </w:p>
          <w:p w14:paraId="19183F72" w14:textId="77777777" w:rsidR="0039212D" w:rsidRDefault="0039212D" w:rsidP="0039212D">
            <w:pPr>
              <w:rPr>
                <w:color w:val="000000"/>
                <w:sz w:val="18"/>
                <w:szCs w:val="18"/>
              </w:rPr>
            </w:pPr>
            <w:r>
              <w:rPr>
                <w:color w:val="000000"/>
                <w:sz w:val="18"/>
                <w:szCs w:val="18"/>
              </w:rPr>
              <w:t>yes</w:t>
            </w:r>
          </w:p>
          <w:p w14:paraId="5246A84B" w14:textId="77777777" w:rsidR="0039212D" w:rsidRDefault="0039212D" w:rsidP="0039212D">
            <w:pPr>
              <w:rPr>
                <w:color w:val="000000"/>
                <w:sz w:val="18"/>
                <w:szCs w:val="18"/>
              </w:rPr>
            </w:pPr>
            <w:r>
              <w:rPr>
                <w:color w:val="000000"/>
                <w:sz w:val="18"/>
                <w:szCs w:val="18"/>
              </w:rPr>
              <w:t>Unpublished</w:t>
            </w:r>
          </w:p>
        </w:tc>
        <w:tc>
          <w:tcPr>
            <w:tcW w:w="0" w:type="auto"/>
          </w:tcPr>
          <w:p w14:paraId="7BB321B4" w14:textId="77777777" w:rsidR="0039212D" w:rsidRDefault="0039212D" w:rsidP="0039212D">
            <w:pPr>
              <w:jc w:val="center"/>
              <w:rPr>
                <w:sz w:val="18"/>
                <w:szCs w:val="18"/>
              </w:rPr>
            </w:pPr>
            <w:r>
              <w:rPr>
                <w:color w:val="000000"/>
                <w:sz w:val="18"/>
                <w:szCs w:val="18"/>
              </w:rPr>
              <w:t>No</w:t>
            </w:r>
          </w:p>
        </w:tc>
        <w:tc>
          <w:tcPr>
            <w:tcW w:w="0" w:type="auto"/>
          </w:tcPr>
          <w:p w14:paraId="2220FC24" w14:textId="63EB3B2F" w:rsidR="0039212D" w:rsidRDefault="0039212D" w:rsidP="0039212D">
            <w:pPr>
              <w:pStyle w:val="RepTable"/>
              <w:jc w:val="center"/>
              <w:rPr>
                <w:highlight w:val="yellow"/>
              </w:rPr>
            </w:pPr>
            <w:r>
              <w:rPr>
                <w:color w:val="000000"/>
                <w:sz w:val="18"/>
                <w:szCs w:val="18"/>
              </w:rPr>
              <w:t>XXXX</w:t>
            </w:r>
          </w:p>
        </w:tc>
      </w:tr>
      <w:tr w:rsidR="0039212D" w14:paraId="4B9FBF9F" w14:textId="77777777" w:rsidTr="00E23E58">
        <w:tc>
          <w:tcPr>
            <w:tcW w:w="0" w:type="auto"/>
          </w:tcPr>
          <w:p w14:paraId="4B89DDFF" w14:textId="77777777" w:rsidR="0039212D" w:rsidRDefault="0039212D" w:rsidP="0039212D">
            <w:pPr>
              <w:rPr>
                <w:sz w:val="18"/>
                <w:szCs w:val="18"/>
              </w:rPr>
            </w:pPr>
            <w:r>
              <w:rPr>
                <w:color w:val="000000"/>
                <w:sz w:val="18"/>
                <w:szCs w:val="18"/>
              </w:rPr>
              <w:t>KCP 10.3.1.1.1/1</w:t>
            </w:r>
          </w:p>
        </w:tc>
        <w:tc>
          <w:tcPr>
            <w:tcW w:w="0" w:type="auto"/>
          </w:tcPr>
          <w:p w14:paraId="03166578" w14:textId="77777777" w:rsidR="0039212D" w:rsidRDefault="0039212D" w:rsidP="0039212D">
            <w:pPr>
              <w:rPr>
                <w:sz w:val="18"/>
                <w:szCs w:val="18"/>
              </w:rPr>
            </w:pPr>
            <w:r>
              <w:rPr>
                <w:color w:val="000000"/>
                <w:sz w:val="18"/>
                <w:szCs w:val="18"/>
              </w:rPr>
              <w:t>Schmitzer, S.</w:t>
            </w:r>
          </w:p>
        </w:tc>
        <w:tc>
          <w:tcPr>
            <w:tcW w:w="0" w:type="auto"/>
          </w:tcPr>
          <w:p w14:paraId="0D3F5A4E" w14:textId="77777777" w:rsidR="0039212D" w:rsidRDefault="0039212D" w:rsidP="0039212D">
            <w:pPr>
              <w:jc w:val="center"/>
              <w:rPr>
                <w:sz w:val="18"/>
                <w:szCs w:val="18"/>
              </w:rPr>
            </w:pPr>
            <w:r>
              <w:rPr>
                <w:color w:val="000000"/>
                <w:sz w:val="18"/>
                <w:szCs w:val="18"/>
              </w:rPr>
              <w:t>2006</w:t>
            </w:r>
          </w:p>
        </w:tc>
        <w:tc>
          <w:tcPr>
            <w:tcW w:w="0" w:type="auto"/>
          </w:tcPr>
          <w:p w14:paraId="52780E2C" w14:textId="77777777" w:rsidR="0039212D" w:rsidRDefault="0039212D" w:rsidP="0039212D">
            <w:pPr>
              <w:rPr>
                <w:color w:val="000000"/>
                <w:sz w:val="18"/>
                <w:szCs w:val="18"/>
              </w:rPr>
            </w:pPr>
            <w:r w:rsidRPr="001249EB">
              <w:rPr>
                <w:color w:val="000000"/>
                <w:sz w:val="18"/>
                <w:szCs w:val="18"/>
              </w:rPr>
              <w:t>Effects of BAS 650 F (acute contact and oral) on honey bees (Apis mellifera L.) in the laboratory</w:t>
            </w:r>
          </w:p>
          <w:p w14:paraId="62C4826B" w14:textId="77777777" w:rsidR="0039212D" w:rsidRDefault="0039212D" w:rsidP="0039212D">
            <w:pPr>
              <w:rPr>
                <w:color w:val="000000"/>
                <w:sz w:val="18"/>
                <w:szCs w:val="18"/>
              </w:rPr>
            </w:pPr>
            <w:r w:rsidRPr="001249EB">
              <w:rPr>
                <w:color w:val="000000"/>
                <w:sz w:val="18"/>
                <w:szCs w:val="18"/>
              </w:rPr>
              <w:t>2006/1012047</w:t>
            </w:r>
          </w:p>
          <w:p w14:paraId="27CC28A0"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5E3F4F3A" w14:textId="77777777" w:rsidR="0039212D" w:rsidRDefault="0039212D" w:rsidP="0039212D">
            <w:pPr>
              <w:rPr>
                <w:color w:val="000000"/>
                <w:sz w:val="18"/>
                <w:szCs w:val="18"/>
              </w:rPr>
            </w:pPr>
            <w:r w:rsidRPr="001249EB">
              <w:rPr>
                <w:color w:val="000000"/>
                <w:sz w:val="18"/>
                <w:szCs w:val="18"/>
              </w:rPr>
              <w:t>yes</w:t>
            </w:r>
          </w:p>
          <w:p w14:paraId="3DCF3A63" w14:textId="77777777" w:rsidR="0039212D" w:rsidRDefault="0039212D" w:rsidP="0039212D">
            <w:pPr>
              <w:rPr>
                <w:color w:val="000000"/>
                <w:sz w:val="18"/>
                <w:szCs w:val="18"/>
              </w:rPr>
            </w:pPr>
            <w:r w:rsidRPr="001249EB">
              <w:rPr>
                <w:color w:val="000000"/>
                <w:sz w:val="18"/>
                <w:szCs w:val="18"/>
              </w:rPr>
              <w:t>Unpublished</w:t>
            </w:r>
          </w:p>
        </w:tc>
        <w:tc>
          <w:tcPr>
            <w:tcW w:w="0" w:type="auto"/>
          </w:tcPr>
          <w:p w14:paraId="51FFCB65" w14:textId="77777777" w:rsidR="0039212D" w:rsidRDefault="0039212D" w:rsidP="0039212D">
            <w:pPr>
              <w:jc w:val="center"/>
              <w:rPr>
                <w:sz w:val="18"/>
                <w:szCs w:val="18"/>
              </w:rPr>
            </w:pPr>
            <w:r>
              <w:rPr>
                <w:color w:val="000000"/>
                <w:sz w:val="18"/>
                <w:szCs w:val="18"/>
              </w:rPr>
              <w:t>No</w:t>
            </w:r>
          </w:p>
        </w:tc>
        <w:tc>
          <w:tcPr>
            <w:tcW w:w="0" w:type="auto"/>
          </w:tcPr>
          <w:p w14:paraId="5D2ABCF4" w14:textId="09FD789D" w:rsidR="0039212D" w:rsidRDefault="0039212D" w:rsidP="0039212D">
            <w:pPr>
              <w:pStyle w:val="RepTable"/>
              <w:jc w:val="center"/>
              <w:rPr>
                <w:highlight w:val="yellow"/>
              </w:rPr>
            </w:pPr>
            <w:r>
              <w:rPr>
                <w:color w:val="000000"/>
                <w:sz w:val="18"/>
                <w:szCs w:val="18"/>
              </w:rPr>
              <w:t>XXXX</w:t>
            </w:r>
          </w:p>
        </w:tc>
      </w:tr>
      <w:tr w:rsidR="0039212D" w14:paraId="7871BC33" w14:textId="77777777" w:rsidTr="00E23E58">
        <w:tc>
          <w:tcPr>
            <w:tcW w:w="0" w:type="auto"/>
          </w:tcPr>
          <w:p w14:paraId="4A870E94" w14:textId="77777777" w:rsidR="0039212D" w:rsidRDefault="0039212D" w:rsidP="0039212D">
            <w:pPr>
              <w:rPr>
                <w:sz w:val="18"/>
                <w:szCs w:val="18"/>
              </w:rPr>
            </w:pPr>
            <w:r>
              <w:rPr>
                <w:color w:val="000000"/>
                <w:sz w:val="18"/>
                <w:szCs w:val="18"/>
              </w:rPr>
              <w:t>KCP 10.3.1.1.2/1</w:t>
            </w:r>
          </w:p>
        </w:tc>
        <w:tc>
          <w:tcPr>
            <w:tcW w:w="0" w:type="auto"/>
          </w:tcPr>
          <w:p w14:paraId="3A47191C" w14:textId="77777777" w:rsidR="0039212D" w:rsidRDefault="0039212D" w:rsidP="0039212D">
            <w:pPr>
              <w:rPr>
                <w:sz w:val="18"/>
                <w:szCs w:val="18"/>
              </w:rPr>
            </w:pPr>
            <w:r>
              <w:rPr>
                <w:color w:val="000000"/>
                <w:sz w:val="18"/>
                <w:szCs w:val="18"/>
              </w:rPr>
              <w:t>Schmitzer, S.</w:t>
            </w:r>
          </w:p>
        </w:tc>
        <w:tc>
          <w:tcPr>
            <w:tcW w:w="0" w:type="auto"/>
          </w:tcPr>
          <w:p w14:paraId="549B1CBD" w14:textId="77777777" w:rsidR="0039212D" w:rsidRDefault="0039212D" w:rsidP="0039212D">
            <w:pPr>
              <w:jc w:val="center"/>
              <w:rPr>
                <w:sz w:val="18"/>
                <w:szCs w:val="18"/>
              </w:rPr>
            </w:pPr>
            <w:r>
              <w:rPr>
                <w:color w:val="000000"/>
                <w:sz w:val="18"/>
                <w:szCs w:val="18"/>
              </w:rPr>
              <w:t>2006</w:t>
            </w:r>
          </w:p>
        </w:tc>
        <w:tc>
          <w:tcPr>
            <w:tcW w:w="0" w:type="auto"/>
          </w:tcPr>
          <w:p w14:paraId="5DAA6922" w14:textId="77777777" w:rsidR="0039212D" w:rsidRDefault="0039212D" w:rsidP="0039212D">
            <w:pPr>
              <w:rPr>
                <w:color w:val="000000"/>
                <w:sz w:val="18"/>
                <w:szCs w:val="18"/>
              </w:rPr>
            </w:pPr>
            <w:r w:rsidRPr="001249EB">
              <w:rPr>
                <w:color w:val="000000"/>
                <w:sz w:val="18"/>
                <w:szCs w:val="18"/>
              </w:rPr>
              <w:t>Effects of BAS 650 F (acute contact and oral) on honey bees (Apis mellifera L.) in the laboratory</w:t>
            </w:r>
          </w:p>
          <w:p w14:paraId="6D901B76" w14:textId="77777777" w:rsidR="0039212D" w:rsidRDefault="0039212D" w:rsidP="0039212D">
            <w:pPr>
              <w:rPr>
                <w:color w:val="000000"/>
                <w:sz w:val="18"/>
                <w:szCs w:val="18"/>
              </w:rPr>
            </w:pPr>
            <w:r w:rsidRPr="001249EB">
              <w:rPr>
                <w:color w:val="000000"/>
                <w:sz w:val="18"/>
                <w:szCs w:val="18"/>
              </w:rPr>
              <w:t>2006/1012047</w:t>
            </w:r>
          </w:p>
          <w:p w14:paraId="4C7A5D1A"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0D528331" w14:textId="77777777" w:rsidR="0039212D" w:rsidRDefault="0039212D" w:rsidP="0039212D">
            <w:pPr>
              <w:rPr>
                <w:color w:val="000000"/>
                <w:sz w:val="18"/>
                <w:szCs w:val="18"/>
              </w:rPr>
            </w:pPr>
            <w:r w:rsidRPr="001249EB">
              <w:rPr>
                <w:color w:val="000000"/>
                <w:sz w:val="18"/>
                <w:szCs w:val="18"/>
              </w:rPr>
              <w:t>yes</w:t>
            </w:r>
          </w:p>
          <w:p w14:paraId="317FB2FD" w14:textId="77777777" w:rsidR="0039212D" w:rsidRDefault="0039212D" w:rsidP="0039212D">
            <w:pPr>
              <w:rPr>
                <w:color w:val="000000"/>
                <w:sz w:val="18"/>
                <w:szCs w:val="18"/>
              </w:rPr>
            </w:pPr>
            <w:r w:rsidRPr="001249EB">
              <w:rPr>
                <w:color w:val="000000"/>
                <w:sz w:val="18"/>
                <w:szCs w:val="18"/>
              </w:rPr>
              <w:t>Unpublished</w:t>
            </w:r>
          </w:p>
        </w:tc>
        <w:tc>
          <w:tcPr>
            <w:tcW w:w="0" w:type="auto"/>
          </w:tcPr>
          <w:p w14:paraId="0B0252A1" w14:textId="77777777" w:rsidR="0039212D" w:rsidRDefault="0039212D" w:rsidP="0039212D">
            <w:pPr>
              <w:jc w:val="center"/>
              <w:rPr>
                <w:sz w:val="18"/>
                <w:szCs w:val="18"/>
              </w:rPr>
            </w:pPr>
            <w:r>
              <w:rPr>
                <w:color w:val="000000"/>
                <w:sz w:val="18"/>
                <w:szCs w:val="18"/>
              </w:rPr>
              <w:t>No</w:t>
            </w:r>
          </w:p>
        </w:tc>
        <w:tc>
          <w:tcPr>
            <w:tcW w:w="0" w:type="auto"/>
          </w:tcPr>
          <w:p w14:paraId="73289F3C" w14:textId="586709EF" w:rsidR="0039212D" w:rsidRDefault="0039212D" w:rsidP="0039212D">
            <w:pPr>
              <w:pStyle w:val="RepTable"/>
              <w:jc w:val="center"/>
              <w:rPr>
                <w:highlight w:val="yellow"/>
              </w:rPr>
            </w:pPr>
            <w:r>
              <w:rPr>
                <w:color w:val="000000"/>
                <w:sz w:val="18"/>
                <w:szCs w:val="18"/>
              </w:rPr>
              <w:t>XXXX</w:t>
            </w:r>
          </w:p>
        </w:tc>
      </w:tr>
      <w:tr w:rsidR="0039212D" w14:paraId="02D9899B" w14:textId="77777777" w:rsidTr="00E23E58">
        <w:tc>
          <w:tcPr>
            <w:tcW w:w="0" w:type="auto"/>
          </w:tcPr>
          <w:p w14:paraId="3E4DF706" w14:textId="77777777" w:rsidR="0039212D" w:rsidRDefault="0039212D" w:rsidP="0039212D">
            <w:pPr>
              <w:rPr>
                <w:sz w:val="18"/>
                <w:szCs w:val="18"/>
              </w:rPr>
            </w:pPr>
            <w:r>
              <w:rPr>
                <w:color w:val="000000"/>
                <w:sz w:val="18"/>
                <w:szCs w:val="18"/>
              </w:rPr>
              <w:t>KCP 10.4.1.1/1</w:t>
            </w:r>
          </w:p>
        </w:tc>
        <w:tc>
          <w:tcPr>
            <w:tcW w:w="0" w:type="auto"/>
          </w:tcPr>
          <w:p w14:paraId="500A7CD1" w14:textId="77777777" w:rsidR="0039212D" w:rsidRDefault="0039212D" w:rsidP="0039212D">
            <w:pPr>
              <w:rPr>
                <w:sz w:val="18"/>
                <w:szCs w:val="18"/>
              </w:rPr>
            </w:pPr>
            <w:r>
              <w:rPr>
                <w:color w:val="000000"/>
                <w:sz w:val="18"/>
                <w:szCs w:val="18"/>
              </w:rPr>
              <w:t>Luehrs, U.</w:t>
            </w:r>
          </w:p>
        </w:tc>
        <w:tc>
          <w:tcPr>
            <w:tcW w:w="0" w:type="auto"/>
          </w:tcPr>
          <w:p w14:paraId="3D633D63" w14:textId="77777777" w:rsidR="0039212D" w:rsidRDefault="0039212D" w:rsidP="0039212D">
            <w:pPr>
              <w:jc w:val="center"/>
              <w:rPr>
                <w:sz w:val="18"/>
                <w:szCs w:val="18"/>
              </w:rPr>
            </w:pPr>
            <w:r>
              <w:rPr>
                <w:color w:val="000000"/>
                <w:sz w:val="18"/>
                <w:szCs w:val="18"/>
              </w:rPr>
              <w:t>2008</w:t>
            </w:r>
          </w:p>
        </w:tc>
        <w:tc>
          <w:tcPr>
            <w:tcW w:w="0" w:type="auto"/>
          </w:tcPr>
          <w:p w14:paraId="2336C22D" w14:textId="77777777" w:rsidR="0039212D" w:rsidRDefault="0039212D" w:rsidP="0039212D">
            <w:pPr>
              <w:rPr>
                <w:color w:val="000000"/>
                <w:sz w:val="18"/>
                <w:szCs w:val="18"/>
              </w:rPr>
            </w:pPr>
            <w:r w:rsidRPr="001249EB">
              <w:rPr>
                <w:color w:val="000000"/>
                <w:sz w:val="18"/>
                <w:szCs w:val="18"/>
              </w:rPr>
              <w:t>Effects of Reg.No. 5178870 (metabolite of BAS 650 F, M650F03) on reproduction and growth of earthworms Eisenia fetida in artificial soil</w:t>
            </w:r>
          </w:p>
          <w:p w14:paraId="06C40F91" w14:textId="77777777" w:rsidR="0039212D" w:rsidRDefault="0039212D" w:rsidP="0039212D">
            <w:pPr>
              <w:rPr>
                <w:color w:val="000000"/>
                <w:sz w:val="18"/>
                <w:szCs w:val="18"/>
              </w:rPr>
            </w:pPr>
            <w:r w:rsidRPr="001249EB">
              <w:rPr>
                <w:color w:val="000000"/>
                <w:sz w:val="18"/>
                <w:szCs w:val="18"/>
              </w:rPr>
              <w:t>2008/1010610</w:t>
            </w:r>
          </w:p>
          <w:p w14:paraId="2A95F1A3"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5563CA63" w14:textId="77777777" w:rsidR="0039212D" w:rsidRDefault="0039212D" w:rsidP="0039212D">
            <w:pPr>
              <w:rPr>
                <w:color w:val="000000"/>
                <w:sz w:val="18"/>
                <w:szCs w:val="18"/>
              </w:rPr>
            </w:pPr>
            <w:r w:rsidRPr="001249EB">
              <w:rPr>
                <w:color w:val="000000"/>
                <w:sz w:val="18"/>
                <w:szCs w:val="18"/>
              </w:rPr>
              <w:t>yes</w:t>
            </w:r>
          </w:p>
          <w:p w14:paraId="70581F70" w14:textId="77777777" w:rsidR="0039212D" w:rsidRDefault="0039212D" w:rsidP="0039212D">
            <w:pPr>
              <w:rPr>
                <w:color w:val="000000"/>
                <w:sz w:val="18"/>
                <w:szCs w:val="18"/>
              </w:rPr>
            </w:pPr>
            <w:r w:rsidRPr="001249EB">
              <w:rPr>
                <w:color w:val="000000"/>
                <w:sz w:val="18"/>
                <w:szCs w:val="18"/>
              </w:rPr>
              <w:t>Unpublished</w:t>
            </w:r>
          </w:p>
        </w:tc>
        <w:tc>
          <w:tcPr>
            <w:tcW w:w="0" w:type="auto"/>
          </w:tcPr>
          <w:p w14:paraId="7FBB05F8" w14:textId="77777777" w:rsidR="0039212D" w:rsidRDefault="0039212D" w:rsidP="0039212D">
            <w:pPr>
              <w:jc w:val="center"/>
              <w:rPr>
                <w:sz w:val="18"/>
                <w:szCs w:val="18"/>
              </w:rPr>
            </w:pPr>
            <w:r>
              <w:rPr>
                <w:color w:val="000000"/>
                <w:sz w:val="18"/>
                <w:szCs w:val="18"/>
              </w:rPr>
              <w:t>No</w:t>
            </w:r>
          </w:p>
        </w:tc>
        <w:tc>
          <w:tcPr>
            <w:tcW w:w="0" w:type="auto"/>
          </w:tcPr>
          <w:p w14:paraId="44E0E5B7" w14:textId="6991FC49" w:rsidR="0039212D" w:rsidRDefault="0039212D" w:rsidP="0039212D">
            <w:pPr>
              <w:pStyle w:val="RepTable"/>
              <w:jc w:val="center"/>
              <w:rPr>
                <w:highlight w:val="yellow"/>
              </w:rPr>
            </w:pPr>
            <w:r>
              <w:rPr>
                <w:color w:val="000000"/>
                <w:sz w:val="18"/>
                <w:szCs w:val="18"/>
              </w:rPr>
              <w:t>XXXX</w:t>
            </w:r>
          </w:p>
        </w:tc>
      </w:tr>
      <w:tr w:rsidR="0039212D" w14:paraId="2F75F155" w14:textId="77777777" w:rsidTr="00E23E58">
        <w:tc>
          <w:tcPr>
            <w:tcW w:w="0" w:type="auto"/>
          </w:tcPr>
          <w:p w14:paraId="6E80B6E7" w14:textId="77777777" w:rsidR="0039212D" w:rsidRDefault="0039212D" w:rsidP="0039212D">
            <w:pPr>
              <w:rPr>
                <w:sz w:val="18"/>
                <w:szCs w:val="18"/>
              </w:rPr>
            </w:pPr>
            <w:r>
              <w:rPr>
                <w:color w:val="000000"/>
                <w:sz w:val="18"/>
                <w:szCs w:val="18"/>
              </w:rPr>
              <w:t>KCP 10.4.1.1/2</w:t>
            </w:r>
          </w:p>
        </w:tc>
        <w:tc>
          <w:tcPr>
            <w:tcW w:w="0" w:type="auto"/>
          </w:tcPr>
          <w:p w14:paraId="5AF5B394" w14:textId="77777777" w:rsidR="0039212D" w:rsidRDefault="0039212D" w:rsidP="0039212D">
            <w:pPr>
              <w:rPr>
                <w:sz w:val="18"/>
                <w:szCs w:val="18"/>
              </w:rPr>
            </w:pPr>
            <w:r>
              <w:rPr>
                <w:color w:val="000000"/>
                <w:sz w:val="18"/>
                <w:szCs w:val="18"/>
              </w:rPr>
              <w:t>Luehrs, U.</w:t>
            </w:r>
          </w:p>
        </w:tc>
        <w:tc>
          <w:tcPr>
            <w:tcW w:w="0" w:type="auto"/>
          </w:tcPr>
          <w:p w14:paraId="1EF728AF" w14:textId="77777777" w:rsidR="0039212D" w:rsidRDefault="0039212D" w:rsidP="0039212D">
            <w:pPr>
              <w:jc w:val="center"/>
              <w:rPr>
                <w:sz w:val="18"/>
                <w:szCs w:val="18"/>
              </w:rPr>
            </w:pPr>
            <w:r>
              <w:rPr>
                <w:color w:val="000000"/>
                <w:sz w:val="18"/>
                <w:szCs w:val="18"/>
              </w:rPr>
              <w:t>2008</w:t>
            </w:r>
          </w:p>
        </w:tc>
        <w:tc>
          <w:tcPr>
            <w:tcW w:w="0" w:type="auto"/>
          </w:tcPr>
          <w:p w14:paraId="0AE074FB" w14:textId="77777777" w:rsidR="0039212D" w:rsidRDefault="0039212D" w:rsidP="0039212D">
            <w:pPr>
              <w:rPr>
                <w:color w:val="000000"/>
                <w:sz w:val="18"/>
                <w:szCs w:val="18"/>
              </w:rPr>
            </w:pPr>
            <w:r w:rsidRPr="001249EB">
              <w:rPr>
                <w:color w:val="000000"/>
                <w:sz w:val="18"/>
                <w:szCs w:val="18"/>
              </w:rPr>
              <w:t>Effects of Reg.No. 5211623 (metabolite of BAS 650 F, M650F04) on reproduction and growth of earthworms Eisenia fetida in artificial soil</w:t>
            </w:r>
          </w:p>
          <w:p w14:paraId="5FF46586" w14:textId="77777777" w:rsidR="0039212D" w:rsidRDefault="0039212D" w:rsidP="0039212D">
            <w:pPr>
              <w:rPr>
                <w:color w:val="000000"/>
                <w:sz w:val="18"/>
                <w:szCs w:val="18"/>
              </w:rPr>
            </w:pPr>
            <w:r w:rsidRPr="001249EB">
              <w:rPr>
                <w:color w:val="000000"/>
                <w:sz w:val="18"/>
                <w:szCs w:val="18"/>
              </w:rPr>
              <w:t>2008/1010609</w:t>
            </w:r>
          </w:p>
          <w:p w14:paraId="3DE7A331"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7A6C5CA6" w14:textId="77777777" w:rsidR="0039212D" w:rsidRDefault="0039212D" w:rsidP="0039212D">
            <w:pPr>
              <w:rPr>
                <w:color w:val="000000"/>
                <w:sz w:val="18"/>
                <w:szCs w:val="18"/>
              </w:rPr>
            </w:pPr>
            <w:r w:rsidRPr="001249EB">
              <w:rPr>
                <w:color w:val="000000"/>
                <w:sz w:val="18"/>
                <w:szCs w:val="18"/>
              </w:rPr>
              <w:t>yes</w:t>
            </w:r>
          </w:p>
          <w:p w14:paraId="2A2B41F2" w14:textId="77777777" w:rsidR="0039212D" w:rsidRDefault="0039212D" w:rsidP="0039212D">
            <w:pPr>
              <w:rPr>
                <w:color w:val="000000"/>
                <w:sz w:val="18"/>
                <w:szCs w:val="18"/>
              </w:rPr>
            </w:pPr>
            <w:r w:rsidRPr="001249EB">
              <w:rPr>
                <w:color w:val="000000"/>
                <w:sz w:val="18"/>
                <w:szCs w:val="18"/>
              </w:rPr>
              <w:lastRenderedPageBreak/>
              <w:t>Unpublished</w:t>
            </w:r>
          </w:p>
        </w:tc>
        <w:tc>
          <w:tcPr>
            <w:tcW w:w="0" w:type="auto"/>
          </w:tcPr>
          <w:p w14:paraId="588D9B48" w14:textId="77777777" w:rsidR="0039212D" w:rsidRDefault="0039212D" w:rsidP="0039212D">
            <w:pPr>
              <w:jc w:val="center"/>
              <w:rPr>
                <w:sz w:val="18"/>
                <w:szCs w:val="18"/>
              </w:rPr>
            </w:pPr>
            <w:r>
              <w:rPr>
                <w:color w:val="000000"/>
                <w:sz w:val="18"/>
                <w:szCs w:val="18"/>
              </w:rPr>
              <w:lastRenderedPageBreak/>
              <w:t>No</w:t>
            </w:r>
          </w:p>
        </w:tc>
        <w:tc>
          <w:tcPr>
            <w:tcW w:w="0" w:type="auto"/>
          </w:tcPr>
          <w:p w14:paraId="4B8B061A" w14:textId="2D036F74" w:rsidR="0039212D" w:rsidRDefault="0039212D" w:rsidP="0039212D">
            <w:pPr>
              <w:pStyle w:val="RepTable"/>
              <w:jc w:val="center"/>
              <w:rPr>
                <w:highlight w:val="yellow"/>
              </w:rPr>
            </w:pPr>
            <w:r>
              <w:rPr>
                <w:color w:val="000000"/>
                <w:sz w:val="18"/>
                <w:szCs w:val="18"/>
              </w:rPr>
              <w:t>XXXX</w:t>
            </w:r>
          </w:p>
        </w:tc>
      </w:tr>
      <w:tr w:rsidR="0039212D" w14:paraId="6D6D7867" w14:textId="77777777" w:rsidTr="00E23E58">
        <w:tc>
          <w:tcPr>
            <w:tcW w:w="0" w:type="auto"/>
          </w:tcPr>
          <w:p w14:paraId="5AB81435" w14:textId="77777777" w:rsidR="0039212D" w:rsidRDefault="0039212D" w:rsidP="0039212D">
            <w:pPr>
              <w:rPr>
                <w:sz w:val="18"/>
                <w:szCs w:val="18"/>
              </w:rPr>
            </w:pPr>
            <w:r>
              <w:rPr>
                <w:color w:val="000000"/>
                <w:sz w:val="18"/>
                <w:szCs w:val="18"/>
              </w:rPr>
              <w:t>KCP 10.4.2.1/1</w:t>
            </w:r>
          </w:p>
        </w:tc>
        <w:tc>
          <w:tcPr>
            <w:tcW w:w="0" w:type="auto"/>
          </w:tcPr>
          <w:p w14:paraId="62EC1649" w14:textId="77777777" w:rsidR="0039212D" w:rsidRDefault="0039212D" w:rsidP="0039212D">
            <w:pPr>
              <w:rPr>
                <w:sz w:val="18"/>
                <w:szCs w:val="18"/>
              </w:rPr>
            </w:pPr>
            <w:r>
              <w:rPr>
                <w:color w:val="000000"/>
                <w:sz w:val="18"/>
                <w:szCs w:val="18"/>
              </w:rPr>
              <w:t>Luehrs, U.</w:t>
            </w:r>
          </w:p>
        </w:tc>
        <w:tc>
          <w:tcPr>
            <w:tcW w:w="0" w:type="auto"/>
          </w:tcPr>
          <w:p w14:paraId="161FD0FA" w14:textId="77777777" w:rsidR="0039212D" w:rsidRDefault="0039212D" w:rsidP="0039212D">
            <w:pPr>
              <w:jc w:val="center"/>
              <w:rPr>
                <w:sz w:val="18"/>
                <w:szCs w:val="18"/>
              </w:rPr>
            </w:pPr>
            <w:r>
              <w:rPr>
                <w:color w:val="000000"/>
                <w:sz w:val="18"/>
                <w:szCs w:val="18"/>
              </w:rPr>
              <w:t>2008</w:t>
            </w:r>
          </w:p>
        </w:tc>
        <w:tc>
          <w:tcPr>
            <w:tcW w:w="0" w:type="auto"/>
          </w:tcPr>
          <w:p w14:paraId="5DA0D438" w14:textId="77777777" w:rsidR="0039212D" w:rsidRDefault="0039212D" w:rsidP="0039212D">
            <w:pPr>
              <w:rPr>
                <w:color w:val="000000"/>
                <w:sz w:val="18"/>
                <w:szCs w:val="18"/>
              </w:rPr>
            </w:pPr>
            <w:r w:rsidRPr="001249EB">
              <w:rPr>
                <w:color w:val="000000"/>
                <w:sz w:val="18"/>
                <w:szCs w:val="18"/>
              </w:rPr>
              <w:t>Effects of Reg.No. 5178870 (metabolite of BAS 650 F, M650F03) on reproduction of the collembola Folsomia candida in artificial soil</w:t>
            </w:r>
          </w:p>
          <w:p w14:paraId="7DFA5A88" w14:textId="77777777" w:rsidR="0039212D" w:rsidRDefault="0039212D" w:rsidP="0039212D">
            <w:pPr>
              <w:rPr>
                <w:color w:val="000000"/>
                <w:sz w:val="18"/>
                <w:szCs w:val="18"/>
              </w:rPr>
            </w:pPr>
            <w:r w:rsidRPr="001249EB">
              <w:rPr>
                <w:color w:val="000000"/>
                <w:sz w:val="18"/>
                <w:szCs w:val="18"/>
              </w:rPr>
              <w:t>2008/1032646</w:t>
            </w:r>
          </w:p>
          <w:p w14:paraId="08700CB8"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4DA4A551" w14:textId="77777777" w:rsidR="0039212D" w:rsidRDefault="0039212D" w:rsidP="0039212D">
            <w:pPr>
              <w:rPr>
                <w:color w:val="000000"/>
                <w:sz w:val="18"/>
                <w:szCs w:val="18"/>
              </w:rPr>
            </w:pPr>
            <w:r w:rsidRPr="001249EB">
              <w:rPr>
                <w:color w:val="000000"/>
                <w:sz w:val="18"/>
                <w:szCs w:val="18"/>
              </w:rPr>
              <w:t>yes</w:t>
            </w:r>
          </w:p>
          <w:p w14:paraId="4066F04A" w14:textId="77777777" w:rsidR="0039212D" w:rsidRDefault="0039212D" w:rsidP="0039212D">
            <w:pPr>
              <w:rPr>
                <w:color w:val="000000"/>
                <w:sz w:val="18"/>
                <w:szCs w:val="18"/>
              </w:rPr>
            </w:pPr>
            <w:r w:rsidRPr="001249EB">
              <w:rPr>
                <w:color w:val="000000"/>
                <w:sz w:val="18"/>
                <w:szCs w:val="18"/>
              </w:rPr>
              <w:t>Unpublished</w:t>
            </w:r>
          </w:p>
        </w:tc>
        <w:tc>
          <w:tcPr>
            <w:tcW w:w="0" w:type="auto"/>
          </w:tcPr>
          <w:p w14:paraId="481D14E2" w14:textId="77777777" w:rsidR="0039212D" w:rsidRDefault="0039212D" w:rsidP="0039212D">
            <w:pPr>
              <w:jc w:val="center"/>
              <w:rPr>
                <w:sz w:val="18"/>
                <w:szCs w:val="18"/>
              </w:rPr>
            </w:pPr>
            <w:r>
              <w:rPr>
                <w:color w:val="000000"/>
                <w:sz w:val="18"/>
                <w:szCs w:val="18"/>
              </w:rPr>
              <w:t>No</w:t>
            </w:r>
          </w:p>
        </w:tc>
        <w:tc>
          <w:tcPr>
            <w:tcW w:w="0" w:type="auto"/>
          </w:tcPr>
          <w:p w14:paraId="1EB6FF51" w14:textId="201FACB1" w:rsidR="0039212D" w:rsidRDefault="0039212D" w:rsidP="0039212D">
            <w:pPr>
              <w:pStyle w:val="RepTable"/>
              <w:jc w:val="center"/>
              <w:rPr>
                <w:highlight w:val="yellow"/>
              </w:rPr>
            </w:pPr>
            <w:r>
              <w:rPr>
                <w:color w:val="000000"/>
                <w:sz w:val="18"/>
                <w:szCs w:val="18"/>
              </w:rPr>
              <w:t>XXXX</w:t>
            </w:r>
          </w:p>
        </w:tc>
      </w:tr>
      <w:tr w:rsidR="0039212D" w14:paraId="088196B6" w14:textId="77777777" w:rsidTr="00E23E58">
        <w:tc>
          <w:tcPr>
            <w:tcW w:w="0" w:type="auto"/>
          </w:tcPr>
          <w:p w14:paraId="1BB0E72E" w14:textId="77777777" w:rsidR="0039212D" w:rsidRDefault="0039212D" w:rsidP="0039212D">
            <w:pPr>
              <w:rPr>
                <w:sz w:val="18"/>
                <w:szCs w:val="18"/>
              </w:rPr>
            </w:pPr>
            <w:r>
              <w:rPr>
                <w:color w:val="000000"/>
                <w:sz w:val="18"/>
                <w:szCs w:val="18"/>
              </w:rPr>
              <w:t>KCP 10.4.2.1/2</w:t>
            </w:r>
          </w:p>
        </w:tc>
        <w:tc>
          <w:tcPr>
            <w:tcW w:w="0" w:type="auto"/>
          </w:tcPr>
          <w:p w14:paraId="6CA18894" w14:textId="77777777" w:rsidR="0039212D" w:rsidRDefault="0039212D" w:rsidP="0039212D">
            <w:pPr>
              <w:rPr>
                <w:sz w:val="18"/>
                <w:szCs w:val="18"/>
              </w:rPr>
            </w:pPr>
            <w:r>
              <w:rPr>
                <w:color w:val="000000"/>
                <w:sz w:val="18"/>
                <w:szCs w:val="18"/>
              </w:rPr>
              <w:t>Luehrs, U.</w:t>
            </w:r>
          </w:p>
        </w:tc>
        <w:tc>
          <w:tcPr>
            <w:tcW w:w="0" w:type="auto"/>
          </w:tcPr>
          <w:p w14:paraId="0C0190CD" w14:textId="77777777" w:rsidR="0039212D" w:rsidRDefault="0039212D" w:rsidP="0039212D">
            <w:pPr>
              <w:jc w:val="center"/>
              <w:rPr>
                <w:sz w:val="18"/>
                <w:szCs w:val="18"/>
              </w:rPr>
            </w:pPr>
            <w:r>
              <w:rPr>
                <w:color w:val="000000"/>
                <w:sz w:val="18"/>
                <w:szCs w:val="18"/>
              </w:rPr>
              <w:t>2008</w:t>
            </w:r>
          </w:p>
        </w:tc>
        <w:tc>
          <w:tcPr>
            <w:tcW w:w="0" w:type="auto"/>
          </w:tcPr>
          <w:p w14:paraId="331CC5D7" w14:textId="77777777" w:rsidR="0039212D" w:rsidRDefault="0039212D" w:rsidP="0039212D">
            <w:pPr>
              <w:rPr>
                <w:color w:val="000000"/>
                <w:sz w:val="18"/>
                <w:szCs w:val="18"/>
              </w:rPr>
            </w:pPr>
            <w:r w:rsidRPr="001249EB">
              <w:rPr>
                <w:color w:val="000000"/>
                <w:sz w:val="18"/>
                <w:szCs w:val="18"/>
              </w:rPr>
              <w:t>Effects of Reg.No. 5211623 (metabolite of BAS 650 F, M650F04) on reproduction of the collembola Folsomia candida in artificial soil</w:t>
            </w:r>
          </w:p>
          <w:p w14:paraId="71DE99E0" w14:textId="77777777" w:rsidR="0039212D" w:rsidRDefault="0039212D" w:rsidP="0039212D">
            <w:pPr>
              <w:rPr>
                <w:color w:val="000000"/>
                <w:sz w:val="18"/>
                <w:szCs w:val="18"/>
              </w:rPr>
            </w:pPr>
            <w:r w:rsidRPr="001249EB">
              <w:rPr>
                <w:color w:val="000000"/>
                <w:sz w:val="18"/>
                <w:szCs w:val="18"/>
              </w:rPr>
              <w:t>2008/1032647</w:t>
            </w:r>
          </w:p>
          <w:p w14:paraId="03C21F3D" w14:textId="77777777" w:rsidR="0039212D" w:rsidRDefault="0039212D" w:rsidP="0039212D">
            <w:pPr>
              <w:rPr>
                <w:color w:val="000000"/>
                <w:sz w:val="18"/>
                <w:szCs w:val="18"/>
              </w:rPr>
            </w:pPr>
            <w:r w:rsidRPr="001249EB">
              <w:rPr>
                <w:color w:val="000000"/>
                <w:sz w:val="18"/>
                <w:szCs w:val="18"/>
              </w:rPr>
              <w:t>Institut fuer Biologische Analytik und Consulting IBACON GmbH, Rossdorf, Germany Fed.Rep.</w:t>
            </w:r>
          </w:p>
          <w:p w14:paraId="49351A30" w14:textId="77777777" w:rsidR="0039212D" w:rsidRDefault="0039212D" w:rsidP="0039212D">
            <w:pPr>
              <w:rPr>
                <w:color w:val="000000"/>
                <w:sz w:val="18"/>
                <w:szCs w:val="18"/>
              </w:rPr>
            </w:pPr>
            <w:r w:rsidRPr="001249EB">
              <w:rPr>
                <w:color w:val="000000"/>
                <w:sz w:val="18"/>
                <w:szCs w:val="18"/>
              </w:rPr>
              <w:t>yes</w:t>
            </w:r>
          </w:p>
          <w:p w14:paraId="153A71AA" w14:textId="77777777" w:rsidR="0039212D" w:rsidRDefault="0039212D" w:rsidP="0039212D">
            <w:pPr>
              <w:rPr>
                <w:color w:val="000000"/>
                <w:sz w:val="18"/>
                <w:szCs w:val="18"/>
              </w:rPr>
            </w:pPr>
            <w:r w:rsidRPr="001249EB">
              <w:rPr>
                <w:color w:val="000000"/>
                <w:sz w:val="18"/>
                <w:szCs w:val="18"/>
              </w:rPr>
              <w:t>Unpublished</w:t>
            </w:r>
          </w:p>
        </w:tc>
        <w:tc>
          <w:tcPr>
            <w:tcW w:w="0" w:type="auto"/>
          </w:tcPr>
          <w:p w14:paraId="7E275282" w14:textId="77777777" w:rsidR="0039212D" w:rsidRDefault="0039212D" w:rsidP="0039212D">
            <w:pPr>
              <w:jc w:val="center"/>
              <w:rPr>
                <w:sz w:val="18"/>
                <w:szCs w:val="18"/>
              </w:rPr>
            </w:pPr>
            <w:r>
              <w:rPr>
                <w:color w:val="000000"/>
                <w:sz w:val="18"/>
                <w:szCs w:val="18"/>
              </w:rPr>
              <w:t>No</w:t>
            </w:r>
          </w:p>
        </w:tc>
        <w:tc>
          <w:tcPr>
            <w:tcW w:w="0" w:type="auto"/>
          </w:tcPr>
          <w:p w14:paraId="45953791" w14:textId="3A2D5FCB" w:rsidR="0039212D" w:rsidRDefault="0039212D" w:rsidP="0039212D">
            <w:pPr>
              <w:pStyle w:val="RepTable"/>
              <w:jc w:val="center"/>
              <w:rPr>
                <w:highlight w:val="yellow"/>
              </w:rPr>
            </w:pPr>
            <w:r>
              <w:rPr>
                <w:color w:val="000000"/>
                <w:sz w:val="18"/>
                <w:szCs w:val="18"/>
              </w:rPr>
              <w:t>XXXX</w:t>
            </w:r>
          </w:p>
        </w:tc>
      </w:tr>
      <w:tr w:rsidR="0039212D" w14:paraId="0C1E81B0" w14:textId="77777777" w:rsidTr="00E23E58">
        <w:tc>
          <w:tcPr>
            <w:tcW w:w="0" w:type="auto"/>
          </w:tcPr>
          <w:p w14:paraId="6E7F8035" w14:textId="77777777" w:rsidR="0039212D" w:rsidRDefault="0039212D" w:rsidP="0039212D">
            <w:pPr>
              <w:rPr>
                <w:sz w:val="18"/>
                <w:szCs w:val="18"/>
              </w:rPr>
            </w:pPr>
            <w:r>
              <w:rPr>
                <w:color w:val="000000"/>
                <w:sz w:val="18"/>
                <w:szCs w:val="18"/>
              </w:rPr>
              <w:t>KCP 10.4.2.1/3</w:t>
            </w:r>
          </w:p>
        </w:tc>
        <w:tc>
          <w:tcPr>
            <w:tcW w:w="0" w:type="auto"/>
          </w:tcPr>
          <w:p w14:paraId="2C666505" w14:textId="77777777" w:rsidR="0039212D" w:rsidRDefault="0039212D" w:rsidP="0039212D">
            <w:pPr>
              <w:rPr>
                <w:sz w:val="18"/>
                <w:szCs w:val="18"/>
              </w:rPr>
            </w:pPr>
            <w:r>
              <w:rPr>
                <w:color w:val="000000"/>
                <w:sz w:val="18"/>
                <w:szCs w:val="18"/>
              </w:rPr>
              <w:t>Royer, S.</w:t>
            </w:r>
          </w:p>
        </w:tc>
        <w:tc>
          <w:tcPr>
            <w:tcW w:w="0" w:type="auto"/>
          </w:tcPr>
          <w:p w14:paraId="6F3E3CB7" w14:textId="77777777" w:rsidR="0039212D" w:rsidRDefault="0039212D" w:rsidP="0039212D">
            <w:pPr>
              <w:jc w:val="center"/>
              <w:rPr>
                <w:sz w:val="18"/>
                <w:szCs w:val="18"/>
              </w:rPr>
            </w:pPr>
            <w:r>
              <w:rPr>
                <w:color w:val="000000"/>
                <w:sz w:val="18"/>
                <w:szCs w:val="18"/>
              </w:rPr>
              <w:t>2008</w:t>
            </w:r>
          </w:p>
        </w:tc>
        <w:tc>
          <w:tcPr>
            <w:tcW w:w="0" w:type="auto"/>
          </w:tcPr>
          <w:p w14:paraId="41AC38C2" w14:textId="77777777" w:rsidR="0039212D" w:rsidRDefault="0039212D" w:rsidP="0039212D">
            <w:pPr>
              <w:rPr>
                <w:color w:val="000000"/>
                <w:sz w:val="18"/>
                <w:szCs w:val="18"/>
              </w:rPr>
            </w:pPr>
            <w:r w:rsidRPr="001249EB">
              <w:rPr>
                <w:color w:val="000000"/>
                <w:sz w:val="18"/>
                <w:szCs w:val="18"/>
              </w:rPr>
              <w:t>Effects of Reg.No. 5178870 (metabolite of BAS 650 F, M650F03) on reproduction of soil mites Hypoaspis aculeifer in artificial soil</w:t>
            </w:r>
          </w:p>
          <w:p w14:paraId="070A431F" w14:textId="77777777" w:rsidR="0039212D" w:rsidRDefault="0039212D" w:rsidP="0039212D">
            <w:pPr>
              <w:rPr>
                <w:color w:val="000000"/>
                <w:sz w:val="18"/>
                <w:szCs w:val="18"/>
              </w:rPr>
            </w:pPr>
            <w:r w:rsidRPr="001249EB">
              <w:rPr>
                <w:color w:val="000000"/>
                <w:sz w:val="18"/>
                <w:szCs w:val="18"/>
              </w:rPr>
              <w:t>2008/1031478</w:t>
            </w:r>
          </w:p>
          <w:p w14:paraId="2FBDAB2B" w14:textId="77777777" w:rsidR="0039212D" w:rsidRDefault="0039212D" w:rsidP="0039212D">
            <w:pPr>
              <w:rPr>
                <w:color w:val="000000"/>
                <w:sz w:val="18"/>
                <w:szCs w:val="18"/>
              </w:rPr>
            </w:pPr>
            <w:r w:rsidRPr="001249EB">
              <w:rPr>
                <w:color w:val="000000"/>
                <w:sz w:val="18"/>
                <w:szCs w:val="18"/>
              </w:rPr>
              <w:t>BASF SE, Limburgerhof, Germany Fed.Rep.</w:t>
            </w:r>
          </w:p>
          <w:p w14:paraId="1A5C5F39" w14:textId="77777777" w:rsidR="0039212D" w:rsidRDefault="0039212D" w:rsidP="0039212D">
            <w:pPr>
              <w:rPr>
                <w:color w:val="000000"/>
                <w:sz w:val="18"/>
                <w:szCs w:val="18"/>
              </w:rPr>
            </w:pPr>
            <w:r>
              <w:rPr>
                <w:color w:val="000000"/>
                <w:sz w:val="18"/>
                <w:szCs w:val="18"/>
              </w:rPr>
              <w:t>yes</w:t>
            </w:r>
          </w:p>
          <w:p w14:paraId="64BDD5F0" w14:textId="77777777" w:rsidR="0039212D" w:rsidRDefault="0039212D" w:rsidP="0039212D">
            <w:pPr>
              <w:rPr>
                <w:color w:val="000000"/>
                <w:sz w:val="18"/>
                <w:szCs w:val="18"/>
              </w:rPr>
            </w:pPr>
            <w:r>
              <w:rPr>
                <w:color w:val="000000"/>
                <w:sz w:val="18"/>
                <w:szCs w:val="18"/>
              </w:rPr>
              <w:t>Unpublished</w:t>
            </w:r>
          </w:p>
        </w:tc>
        <w:tc>
          <w:tcPr>
            <w:tcW w:w="0" w:type="auto"/>
          </w:tcPr>
          <w:p w14:paraId="61C535EC" w14:textId="77777777" w:rsidR="0039212D" w:rsidRDefault="0039212D" w:rsidP="0039212D">
            <w:pPr>
              <w:jc w:val="center"/>
              <w:rPr>
                <w:sz w:val="18"/>
                <w:szCs w:val="18"/>
              </w:rPr>
            </w:pPr>
            <w:r>
              <w:rPr>
                <w:color w:val="000000"/>
                <w:sz w:val="18"/>
                <w:szCs w:val="18"/>
              </w:rPr>
              <w:t>No</w:t>
            </w:r>
          </w:p>
        </w:tc>
        <w:tc>
          <w:tcPr>
            <w:tcW w:w="0" w:type="auto"/>
          </w:tcPr>
          <w:p w14:paraId="65B2817D" w14:textId="721B8856" w:rsidR="0039212D" w:rsidRDefault="0039212D" w:rsidP="0039212D">
            <w:pPr>
              <w:pStyle w:val="RepTable"/>
              <w:jc w:val="center"/>
              <w:rPr>
                <w:highlight w:val="yellow"/>
              </w:rPr>
            </w:pPr>
            <w:r>
              <w:rPr>
                <w:color w:val="000000"/>
                <w:sz w:val="18"/>
                <w:szCs w:val="18"/>
              </w:rPr>
              <w:t>XXXX</w:t>
            </w:r>
          </w:p>
        </w:tc>
      </w:tr>
      <w:tr w:rsidR="0039212D" w14:paraId="4862C890" w14:textId="77777777" w:rsidTr="00E23E58">
        <w:tc>
          <w:tcPr>
            <w:tcW w:w="0" w:type="auto"/>
          </w:tcPr>
          <w:p w14:paraId="02EB19D9" w14:textId="4F445C56" w:rsidR="0039212D" w:rsidRDefault="0039212D" w:rsidP="0039212D">
            <w:pPr>
              <w:rPr>
                <w:color w:val="000000"/>
                <w:sz w:val="18"/>
                <w:szCs w:val="18"/>
              </w:rPr>
            </w:pPr>
            <w:r>
              <w:rPr>
                <w:color w:val="000000"/>
                <w:sz w:val="18"/>
                <w:szCs w:val="18"/>
              </w:rPr>
              <w:t>KCP 10.4.2.1/4</w:t>
            </w:r>
          </w:p>
        </w:tc>
        <w:tc>
          <w:tcPr>
            <w:tcW w:w="0" w:type="auto"/>
          </w:tcPr>
          <w:p w14:paraId="104B3B8E" w14:textId="0C972D21" w:rsidR="0039212D" w:rsidRDefault="0039212D" w:rsidP="0039212D">
            <w:pPr>
              <w:rPr>
                <w:color w:val="000000"/>
                <w:sz w:val="18"/>
                <w:szCs w:val="18"/>
              </w:rPr>
            </w:pPr>
            <w:r>
              <w:rPr>
                <w:color w:val="000000"/>
                <w:sz w:val="18"/>
                <w:szCs w:val="18"/>
              </w:rPr>
              <w:t>Royer, S.</w:t>
            </w:r>
          </w:p>
        </w:tc>
        <w:tc>
          <w:tcPr>
            <w:tcW w:w="0" w:type="auto"/>
          </w:tcPr>
          <w:p w14:paraId="31386006" w14:textId="1EAB1552" w:rsidR="0039212D" w:rsidRDefault="0039212D" w:rsidP="0039212D">
            <w:pPr>
              <w:jc w:val="center"/>
              <w:rPr>
                <w:color w:val="000000"/>
                <w:sz w:val="18"/>
                <w:szCs w:val="18"/>
              </w:rPr>
            </w:pPr>
            <w:r>
              <w:rPr>
                <w:color w:val="000000"/>
                <w:sz w:val="18"/>
                <w:szCs w:val="18"/>
              </w:rPr>
              <w:t>2008</w:t>
            </w:r>
          </w:p>
        </w:tc>
        <w:tc>
          <w:tcPr>
            <w:tcW w:w="0" w:type="auto"/>
          </w:tcPr>
          <w:p w14:paraId="245DA576" w14:textId="77777777" w:rsidR="0039212D" w:rsidRDefault="0039212D" w:rsidP="0039212D">
            <w:pPr>
              <w:keepLines/>
              <w:pageBreakBefore/>
              <w:rPr>
                <w:color w:val="000000"/>
                <w:sz w:val="18"/>
                <w:szCs w:val="18"/>
              </w:rPr>
            </w:pPr>
            <w:r w:rsidRPr="001249EB">
              <w:rPr>
                <w:color w:val="000000"/>
                <w:sz w:val="18"/>
                <w:szCs w:val="18"/>
              </w:rPr>
              <w:t>Effects of Reg.No. 5211623 (metabolite of BAS 650 F, M650F04) on reproduction of soil mites Hypoaspis aculeifer in artificial soil</w:t>
            </w:r>
          </w:p>
          <w:p w14:paraId="37A15BF6" w14:textId="77777777" w:rsidR="0039212D" w:rsidRDefault="0039212D" w:rsidP="0039212D">
            <w:pPr>
              <w:keepLines/>
              <w:pageBreakBefore/>
              <w:rPr>
                <w:color w:val="000000"/>
                <w:sz w:val="18"/>
                <w:szCs w:val="18"/>
              </w:rPr>
            </w:pPr>
            <w:r w:rsidRPr="001249EB">
              <w:rPr>
                <w:color w:val="000000"/>
                <w:sz w:val="18"/>
                <w:szCs w:val="18"/>
              </w:rPr>
              <w:t>2008/1031479</w:t>
            </w:r>
          </w:p>
          <w:p w14:paraId="4451B9C5" w14:textId="77777777" w:rsidR="0039212D" w:rsidRDefault="0039212D" w:rsidP="0039212D">
            <w:pPr>
              <w:keepLines/>
              <w:pageBreakBefore/>
              <w:rPr>
                <w:color w:val="000000"/>
                <w:sz w:val="18"/>
                <w:szCs w:val="18"/>
              </w:rPr>
            </w:pPr>
            <w:r w:rsidRPr="001249EB">
              <w:rPr>
                <w:color w:val="000000"/>
                <w:sz w:val="18"/>
                <w:szCs w:val="18"/>
              </w:rPr>
              <w:t>BASF SE, Limburgerhof, Germany Fed.Rep.</w:t>
            </w:r>
          </w:p>
          <w:p w14:paraId="0E508666" w14:textId="77777777" w:rsidR="0039212D" w:rsidRDefault="0039212D" w:rsidP="0039212D">
            <w:pPr>
              <w:keepLines/>
              <w:pageBreakBefore/>
              <w:rPr>
                <w:color w:val="000000"/>
                <w:sz w:val="18"/>
                <w:szCs w:val="18"/>
              </w:rPr>
            </w:pPr>
            <w:r>
              <w:rPr>
                <w:color w:val="000000"/>
                <w:sz w:val="18"/>
                <w:szCs w:val="18"/>
              </w:rPr>
              <w:t>yes</w:t>
            </w:r>
          </w:p>
          <w:p w14:paraId="5AC8A1D1" w14:textId="4240A3A3" w:rsidR="0039212D" w:rsidRPr="001249EB" w:rsidRDefault="0039212D" w:rsidP="0039212D">
            <w:pPr>
              <w:rPr>
                <w:color w:val="000000"/>
                <w:sz w:val="18"/>
                <w:szCs w:val="18"/>
              </w:rPr>
            </w:pPr>
            <w:r>
              <w:rPr>
                <w:color w:val="000000"/>
                <w:sz w:val="18"/>
                <w:szCs w:val="18"/>
              </w:rPr>
              <w:t>Unpublished</w:t>
            </w:r>
          </w:p>
        </w:tc>
        <w:tc>
          <w:tcPr>
            <w:tcW w:w="0" w:type="auto"/>
          </w:tcPr>
          <w:p w14:paraId="5DF4AE62" w14:textId="44D280FA" w:rsidR="0039212D" w:rsidRDefault="0039212D" w:rsidP="0039212D">
            <w:pPr>
              <w:jc w:val="center"/>
              <w:rPr>
                <w:color w:val="000000"/>
                <w:sz w:val="18"/>
                <w:szCs w:val="18"/>
              </w:rPr>
            </w:pPr>
            <w:r>
              <w:rPr>
                <w:color w:val="000000"/>
                <w:sz w:val="18"/>
                <w:szCs w:val="18"/>
              </w:rPr>
              <w:t>No</w:t>
            </w:r>
          </w:p>
        </w:tc>
        <w:tc>
          <w:tcPr>
            <w:tcW w:w="0" w:type="auto"/>
          </w:tcPr>
          <w:p w14:paraId="0ED2CF2E" w14:textId="2CCD36B7" w:rsidR="0039212D" w:rsidRDefault="0039212D" w:rsidP="0039212D">
            <w:pPr>
              <w:pStyle w:val="RepTable"/>
              <w:jc w:val="center"/>
              <w:rPr>
                <w:color w:val="000000"/>
                <w:sz w:val="18"/>
                <w:szCs w:val="18"/>
              </w:rPr>
            </w:pPr>
            <w:r>
              <w:rPr>
                <w:color w:val="000000"/>
                <w:sz w:val="18"/>
                <w:szCs w:val="18"/>
              </w:rPr>
              <w:t>XXXX</w:t>
            </w:r>
          </w:p>
        </w:tc>
      </w:tr>
      <w:tr w:rsidR="0039212D" w14:paraId="26764FDE" w14:textId="77777777" w:rsidTr="00E23E58">
        <w:tc>
          <w:tcPr>
            <w:tcW w:w="0" w:type="auto"/>
          </w:tcPr>
          <w:p w14:paraId="6987B11C" w14:textId="6555FD9A" w:rsidR="0039212D" w:rsidRDefault="0039212D" w:rsidP="0039212D">
            <w:pPr>
              <w:rPr>
                <w:color w:val="000000"/>
                <w:sz w:val="18"/>
                <w:szCs w:val="18"/>
              </w:rPr>
            </w:pPr>
            <w:r>
              <w:rPr>
                <w:color w:val="000000"/>
                <w:sz w:val="18"/>
                <w:szCs w:val="18"/>
              </w:rPr>
              <w:t>KCP 10.5/1</w:t>
            </w:r>
          </w:p>
        </w:tc>
        <w:tc>
          <w:tcPr>
            <w:tcW w:w="0" w:type="auto"/>
          </w:tcPr>
          <w:p w14:paraId="15A27509" w14:textId="2EEED9C8" w:rsidR="0039212D" w:rsidRDefault="0039212D" w:rsidP="0039212D">
            <w:pPr>
              <w:rPr>
                <w:color w:val="000000"/>
                <w:sz w:val="18"/>
                <w:szCs w:val="18"/>
              </w:rPr>
            </w:pPr>
            <w:r>
              <w:rPr>
                <w:color w:val="000000"/>
                <w:sz w:val="18"/>
                <w:szCs w:val="18"/>
              </w:rPr>
              <w:t>Schulz, L.</w:t>
            </w:r>
          </w:p>
        </w:tc>
        <w:tc>
          <w:tcPr>
            <w:tcW w:w="0" w:type="auto"/>
          </w:tcPr>
          <w:p w14:paraId="1470A966" w14:textId="1C25A985" w:rsidR="0039212D" w:rsidRDefault="0039212D" w:rsidP="0039212D">
            <w:pPr>
              <w:jc w:val="center"/>
              <w:rPr>
                <w:color w:val="000000"/>
                <w:sz w:val="18"/>
                <w:szCs w:val="18"/>
              </w:rPr>
            </w:pPr>
            <w:r>
              <w:rPr>
                <w:color w:val="000000"/>
                <w:sz w:val="18"/>
                <w:szCs w:val="18"/>
              </w:rPr>
              <w:t>2007</w:t>
            </w:r>
          </w:p>
        </w:tc>
        <w:tc>
          <w:tcPr>
            <w:tcW w:w="0" w:type="auto"/>
          </w:tcPr>
          <w:p w14:paraId="6BE52150" w14:textId="77777777" w:rsidR="0039212D" w:rsidRDefault="0039212D" w:rsidP="0039212D">
            <w:pPr>
              <w:rPr>
                <w:color w:val="000000"/>
                <w:sz w:val="18"/>
                <w:szCs w:val="18"/>
              </w:rPr>
            </w:pPr>
            <w:r w:rsidRPr="001249EB">
              <w:rPr>
                <w:color w:val="000000"/>
                <w:sz w:val="18"/>
                <w:szCs w:val="18"/>
              </w:rPr>
              <w:t>Effects of BAS 650 00 F on the activity of soil microflora (nitrogen transformation test)</w:t>
            </w:r>
          </w:p>
          <w:p w14:paraId="503BFDA3" w14:textId="77777777" w:rsidR="0039212D" w:rsidRPr="001249EB" w:rsidRDefault="0039212D" w:rsidP="0039212D">
            <w:pPr>
              <w:rPr>
                <w:color w:val="000000"/>
                <w:sz w:val="18"/>
                <w:szCs w:val="18"/>
                <w:lang w:val="de-DE"/>
              </w:rPr>
            </w:pPr>
            <w:r w:rsidRPr="00375516">
              <w:rPr>
                <w:color w:val="000000"/>
                <w:sz w:val="18"/>
                <w:szCs w:val="18"/>
                <w:lang w:val="de-DE"/>
              </w:rPr>
              <w:t>2006/1026123</w:t>
            </w:r>
          </w:p>
          <w:p w14:paraId="287E2E8F" w14:textId="77777777" w:rsidR="0039212D" w:rsidRPr="001249EB" w:rsidRDefault="0039212D" w:rsidP="0039212D">
            <w:pPr>
              <w:rPr>
                <w:color w:val="000000"/>
                <w:sz w:val="18"/>
                <w:szCs w:val="18"/>
                <w:lang w:val="de-DE"/>
              </w:rPr>
            </w:pPr>
            <w:r w:rsidRPr="00375516">
              <w:rPr>
                <w:color w:val="000000"/>
                <w:sz w:val="18"/>
                <w:szCs w:val="18"/>
                <w:lang w:val="de-DE"/>
              </w:rPr>
              <w:t>BioChem agrar Labor fuer biologische und chemische Analytik GmbH, Gerichshain, Germany Fed.Rep.</w:t>
            </w:r>
          </w:p>
          <w:p w14:paraId="0BCCDD59" w14:textId="77777777" w:rsidR="0039212D" w:rsidRDefault="0039212D" w:rsidP="0039212D">
            <w:pPr>
              <w:rPr>
                <w:color w:val="000000"/>
                <w:sz w:val="18"/>
                <w:szCs w:val="18"/>
              </w:rPr>
            </w:pPr>
            <w:r>
              <w:rPr>
                <w:color w:val="000000"/>
                <w:sz w:val="18"/>
                <w:szCs w:val="18"/>
              </w:rPr>
              <w:t>yes</w:t>
            </w:r>
          </w:p>
          <w:p w14:paraId="411F5A56" w14:textId="4D54580D" w:rsidR="0039212D" w:rsidRPr="001249EB" w:rsidRDefault="0039212D" w:rsidP="0039212D">
            <w:pPr>
              <w:rPr>
                <w:color w:val="000000"/>
                <w:sz w:val="18"/>
                <w:szCs w:val="18"/>
              </w:rPr>
            </w:pPr>
            <w:r>
              <w:rPr>
                <w:color w:val="000000"/>
                <w:sz w:val="18"/>
                <w:szCs w:val="18"/>
              </w:rPr>
              <w:t>Unpublished</w:t>
            </w:r>
          </w:p>
        </w:tc>
        <w:tc>
          <w:tcPr>
            <w:tcW w:w="0" w:type="auto"/>
          </w:tcPr>
          <w:p w14:paraId="6AD97C7E" w14:textId="37C2D7D2" w:rsidR="0039212D" w:rsidRDefault="0039212D" w:rsidP="0039212D">
            <w:pPr>
              <w:jc w:val="center"/>
              <w:rPr>
                <w:color w:val="000000"/>
                <w:sz w:val="18"/>
                <w:szCs w:val="18"/>
              </w:rPr>
            </w:pPr>
            <w:r>
              <w:rPr>
                <w:color w:val="000000"/>
                <w:sz w:val="18"/>
                <w:szCs w:val="18"/>
              </w:rPr>
              <w:t>No</w:t>
            </w:r>
          </w:p>
        </w:tc>
        <w:tc>
          <w:tcPr>
            <w:tcW w:w="0" w:type="auto"/>
          </w:tcPr>
          <w:p w14:paraId="3489D327" w14:textId="6AA614C3" w:rsidR="0039212D" w:rsidRDefault="0039212D" w:rsidP="0039212D">
            <w:pPr>
              <w:pStyle w:val="RepTable"/>
              <w:jc w:val="center"/>
              <w:rPr>
                <w:color w:val="000000"/>
                <w:sz w:val="18"/>
                <w:szCs w:val="18"/>
              </w:rPr>
            </w:pPr>
            <w:r>
              <w:rPr>
                <w:color w:val="000000"/>
                <w:sz w:val="18"/>
                <w:szCs w:val="18"/>
              </w:rPr>
              <w:t>XXXX</w:t>
            </w:r>
          </w:p>
        </w:tc>
      </w:tr>
      <w:tr w:rsidR="0039212D" w14:paraId="1E6F8B4F" w14:textId="77777777" w:rsidTr="00E23E58">
        <w:tc>
          <w:tcPr>
            <w:tcW w:w="0" w:type="auto"/>
          </w:tcPr>
          <w:p w14:paraId="37EC8965" w14:textId="77777777" w:rsidR="0039212D" w:rsidRDefault="0039212D" w:rsidP="0039212D">
            <w:pPr>
              <w:rPr>
                <w:sz w:val="18"/>
                <w:szCs w:val="18"/>
              </w:rPr>
            </w:pPr>
            <w:r>
              <w:rPr>
                <w:color w:val="000000"/>
                <w:sz w:val="18"/>
                <w:szCs w:val="18"/>
              </w:rPr>
              <w:t>KCP 10.5/2</w:t>
            </w:r>
          </w:p>
        </w:tc>
        <w:tc>
          <w:tcPr>
            <w:tcW w:w="0" w:type="auto"/>
          </w:tcPr>
          <w:p w14:paraId="085FC521" w14:textId="77777777" w:rsidR="0039212D" w:rsidRDefault="0039212D" w:rsidP="0039212D">
            <w:pPr>
              <w:rPr>
                <w:sz w:val="18"/>
                <w:szCs w:val="18"/>
              </w:rPr>
            </w:pPr>
            <w:r>
              <w:rPr>
                <w:color w:val="000000"/>
                <w:sz w:val="18"/>
                <w:szCs w:val="18"/>
              </w:rPr>
              <w:t>Schulz, L.</w:t>
            </w:r>
          </w:p>
        </w:tc>
        <w:tc>
          <w:tcPr>
            <w:tcW w:w="0" w:type="auto"/>
          </w:tcPr>
          <w:p w14:paraId="5D1A49DE" w14:textId="77777777" w:rsidR="0039212D" w:rsidRDefault="0039212D" w:rsidP="0039212D">
            <w:pPr>
              <w:jc w:val="center"/>
              <w:rPr>
                <w:sz w:val="18"/>
                <w:szCs w:val="18"/>
              </w:rPr>
            </w:pPr>
            <w:r>
              <w:rPr>
                <w:color w:val="000000"/>
                <w:sz w:val="18"/>
                <w:szCs w:val="18"/>
              </w:rPr>
              <w:t>2009</w:t>
            </w:r>
          </w:p>
        </w:tc>
        <w:tc>
          <w:tcPr>
            <w:tcW w:w="0" w:type="auto"/>
          </w:tcPr>
          <w:p w14:paraId="5490C368" w14:textId="77777777" w:rsidR="0039212D" w:rsidRDefault="0039212D" w:rsidP="0039212D">
            <w:pPr>
              <w:rPr>
                <w:color w:val="000000"/>
                <w:sz w:val="18"/>
                <w:szCs w:val="18"/>
              </w:rPr>
            </w:pPr>
            <w:r w:rsidRPr="001249EB">
              <w:rPr>
                <w:color w:val="000000"/>
                <w:sz w:val="18"/>
                <w:szCs w:val="18"/>
              </w:rPr>
              <w:t>Amendment No. 1: Effects of BAS 650 00 F on the activity of soil microflora (nitrogen transformation test)</w:t>
            </w:r>
          </w:p>
          <w:p w14:paraId="50A54CFD" w14:textId="77777777" w:rsidR="0039212D" w:rsidRPr="001249EB" w:rsidRDefault="0039212D" w:rsidP="0039212D">
            <w:pPr>
              <w:rPr>
                <w:color w:val="000000"/>
                <w:sz w:val="18"/>
                <w:szCs w:val="18"/>
                <w:lang w:val="de-DE"/>
              </w:rPr>
            </w:pPr>
            <w:r w:rsidRPr="00375516">
              <w:rPr>
                <w:color w:val="000000"/>
                <w:sz w:val="18"/>
                <w:szCs w:val="18"/>
                <w:lang w:val="de-DE"/>
              </w:rPr>
              <w:t>2009/1075782</w:t>
            </w:r>
          </w:p>
          <w:p w14:paraId="70876870" w14:textId="77777777" w:rsidR="0039212D" w:rsidRPr="001249EB" w:rsidRDefault="0039212D" w:rsidP="0039212D">
            <w:pPr>
              <w:rPr>
                <w:color w:val="000000"/>
                <w:sz w:val="18"/>
                <w:szCs w:val="18"/>
                <w:lang w:val="de-DE"/>
              </w:rPr>
            </w:pPr>
            <w:r w:rsidRPr="00375516">
              <w:rPr>
                <w:color w:val="000000"/>
                <w:sz w:val="18"/>
                <w:szCs w:val="18"/>
                <w:lang w:val="de-DE"/>
              </w:rPr>
              <w:t>BioChem agrar Labor fuer biologische und chemische Analytik GmbH, Gerichshain, Germany Fed.Rep.</w:t>
            </w:r>
          </w:p>
          <w:p w14:paraId="15BE8B6C" w14:textId="77777777" w:rsidR="0039212D" w:rsidRDefault="0039212D" w:rsidP="0039212D">
            <w:pPr>
              <w:rPr>
                <w:color w:val="000000"/>
                <w:sz w:val="18"/>
                <w:szCs w:val="18"/>
              </w:rPr>
            </w:pPr>
            <w:r>
              <w:rPr>
                <w:color w:val="000000"/>
                <w:sz w:val="18"/>
                <w:szCs w:val="18"/>
              </w:rPr>
              <w:t>yes</w:t>
            </w:r>
          </w:p>
          <w:p w14:paraId="49F77617" w14:textId="77777777" w:rsidR="0039212D" w:rsidRDefault="0039212D" w:rsidP="0039212D">
            <w:pPr>
              <w:rPr>
                <w:color w:val="000000"/>
                <w:sz w:val="18"/>
                <w:szCs w:val="18"/>
              </w:rPr>
            </w:pPr>
            <w:r>
              <w:rPr>
                <w:color w:val="000000"/>
                <w:sz w:val="18"/>
                <w:szCs w:val="18"/>
              </w:rPr>
              <w:lastRenderedPageBreak/>
              <w:t>Unpublished</w:t>
            </w:r>
          </w:p>
        </w:tc>
        <w:tc>
          <w:tcPr>
            <w:tcW w:w="0" w:type="auto"/>
          </w:tcPr>
          <w:p w14:paraId="357A319D" w14:textId="77777777" w:rsidR="0039212D" w:rsidRDefault="0039212D" w:rsidP="0039212D">
            <w:pPr>
              <w:jc w:val="center"/>
              <w:rPr>
                <w:sz w:val="18"/>
                <w:szCs w:val="18"/>
              </w:rPr>
            </w:pPr>
            <w:r>
              <w:rPr>
                <w:color w:val="000000"/>
                <w:sz w:val="18"/>
                <w:szCs w:val="18"/>
              </w:rPr>
              <w:lastRenderedPageBreak/>
              <w:t>No</w:t>
            </w:r>
          </w:p>
        </w:tc>
        <w:tc>
          <w:tcPr>
            <w:tcW w:w="0" w:type="auto"/>
          </w:tcPr>
          <w:p w14:paraId="2BCE2509" w14:textId="7F86E8E2" w:rsidR="0039212D" w:rsidRDefault="0039212D" w:rsidP="0039212D">
            <w:pPr>
              <w:pStyle w:val="RepTable"/>
              <w:jc w:val="center"/>
              <w:rPr>
                <w:highlight w:val="yellow"/>
              </w:rPr>
            </w:pPr>
            <w:r>
              <w:rPr>
                <w:color w:val="000000"/>
                <w:sz w:val="18"/>
                <w:szCs w:val="18"/>
              </w:rPr>
              <w:t>XXXX</w:t>
            </w:r>
          </w:p>
        </w:tc>
      </w:tr>
      <w:tr w:rsidR="0039212D" w14:paraId="6586FB61" w14:textId="77777777" w:rsidTr="00E23E58">
        <w:tc>
          <w:tcPr>
            <w:tcW w:w="0" w:type="auto"/>
          </w:tcPr>
          <w:p w14:paraId="384022A7" w14:textId="77777777" w:rsidR="0039212D" w:rsidRDefault="0039212D" w:rsidP="0039212D">
            <w:pPr>
              <w:rPr>
                <w:sz w:val="18"/>
                <w:szCs w:val="18"/>
              </w:rPr>
            </w:pPr>
            <w:r>
              <w:rPr>
                <w:color w:val="000000"/>
                <w:sz w:val="18"/>
                <w:szCs w:val="18"/>
              </w:rPr>
              <w:t>KCP 10.5/3</w:t>
            </w:r>
          </w:p>
        </w:tc>
        <w:tc>
          <w:tcPr>
            <w:tcW w:w="0" w:type="auto"/>
          </w:tcPr>
          <w:p w14:paraId="0F7E290D" w14:textId="77777777" w:rsidR="0039212D" w:rsidRDefault="0039212D" w:rsidP="0039212D">
            <w:pPr>
              <w:rPr>
                <w:sz w:val="18"/>
                <w:szCs w:val="18"/>
              </w:rPr>
            </w:pPr>
            <w:r>
              <w:rPr>
                <w:color w:val="000000"/>
                <w:sz w:val="18"/>
                <w:szCs w:val="18"/>
              </w:rPr>
              <w:t>Schulz, L.</w:t>
            </w:r>
          </w:p>
        </w:tc>
        <w:tc>
          <w:tcPr>
            <w:tcW w:w="0" w:type="auto"/>
          </w:tcPr>
          <w:p w14:paraId="75F99D07" w14:textId="77777777" w:rsidR="0039212D" w:rsidRDefault="0039212D" w:rsidP="0039212D">
            <w:pPr>
              <w:jc w:val="center"/>
              <w:rPr>
                <w:sz w:val="18"/>
                <w:szCs w:val="18"/>
              </w:rPr>
            </w:pPr>
            <w:r>
              <w:rPr>
                <w:color w:val="000000"/>
                <w:sz w:val="18"/>
                <w:szCs w:val="18"/>
              </w:rPr>
              <w:t>2008</w:t>
            </w:r>
          </w:p>
        </w:tc>
        <w:tc>
          <w:tcPr>
            <w:tcW w:w="0" w:type="auto"/>
          </w:tcPr>
          <w:p w14:paraId="040A166C" w14:textId="77777777" w:rsidR="0039212D" w:rsidRDefault="0039212D" w:rsidP="0039212D">
            <w:pPr>
              <w:rPr>
                <w:color w:val="000000"/>
                <w:sz w:val="18"/>
                <w:szCs w:val="18"/>
              </w:rPr>
            </w:pPr>
            <w:r w:rsidRPr="001249EB">
              <w:rPr>
                <w:color w:val="000000"/>
                <w:sz w:val="18"/>
                <w:szCs w:val="18"/>
              </w:rPr>
              <w:t>Effects of Reg.No. 5178870 (metabolite of BAS 650 F, M650F03) on the activity of soil microflora (nitrogen transformation test)</w:t>
            </w:r>
          </w:p>
          <w:p w14:paraId="120AF0E6" w14:textId="77777777" w:rsidR="0039212D" w:rsidRPr="001249EB" w:rsidRDefault="0039212D" w:rsidP="0039212D">
            <w:pPr>
              <w:rPr>
                <w:color w:val="000000"/>
                <w:sz w:val="18"/>
                <w:szCs w:val="18"/>
                <w:lang w:val="de-DE"/>
              </w:rPr>
            </w:pPr>
            <w:r w:rsidRPr="00375516">
              <w:rPr>
                <w:color w:val="000000"/>
                <w:sz w:val="18"/>
                <w:szCs w:val="18"/>
                <w:lang w:val="de-DE"/>
              </w:rPr>
              <w:t>2008/1033292</w:t>
            </w:r>
          </w:p>
          <w:p w14:paraId="48C85BDB" w14:textId="77777777" w:rsidR="0039212D" w:rsidRPr="001249EB" w:rsidRDefault="0039212D" w:rsidP="0039212D">
            <w:pPr>
              <w:rPr>
                <w:color w:val="000000"/>
                <w:sz w:val="18"/>
                <w:szCs w:val="18"/>
                <w:lang w:val="de-DE"/>
              </w:rPr>
            </w:pPr>
            <w:r w:rsidRPr="00375516">
              <w:rPr>
                <w:color w:val="000000"/>
                <w:sz w:val="18"/>
                <w:szCs w:val="18"/>
                <w:lang w:val="de-DE"/>
              </w:rPr>
              <w:t>BioChem agrar Labor fuer biologische und chemische Analytik GmbH, Gerichshain, Germany Fed.Rep.</w:t>
            </w:r>
          </w:p>
          <w:p w14:paraId="4978B228" w14:textId="77777777" w:rsidR="0039212D" w:rsidRDefault="0039212D" w:rsidP="0039212D">
            <w:pPr>
              <w:rPr>
                <w:color w:val="000000"/>
                <w:sz w:val="18"/>
                <w:szCs w:val="18"/>
              </w:rPr>
            </w:pPr>
            <w:r>
              <w:rPr>
                <w:color w:val="000000"/>
                <w:sz w:val="18"/>
                <w:szCs w:val="18"/>
              </w:rPr>
              <w:t>yes</w:t>
            </w:r>
          </w:p>
          <w:p w14:paraId="36577AF4" w14:textId="77777777" w:rsidR="0039212D" w:rsidRDefault="0039212D" w:rsidP="0039212D">
            <w:pPr>
              <w:rPr>
                <w:color w:val="000000"/>
                <w:sz w:val="18"/>
                <w:szCs w:val="18"/>
              </w:rPr>
            </w:pPr>
            <w:r>
              <w:rPr>
                <w:color w:val="000000"/>
                <w:sz w:val="18"/>
                <w:szCs w:val="18"/>
              </w:rPr>
              <w:t>Unpublished</w:t>
            </w:r>
          </w:p>
        </w:tc>
        <w:tc>
          <w:tcPr>
            <w:tcW w:w="0" w:type="auto"/>
          </w:tcPr>
          <w:p w14:paraId="5514B4FC" w14:textId="77777777" w:rsidR="0039212D" w:rsidRDefault="0039212D" w:rsidP="0039212D">
            <w:pPr>
              <w:jc w:val="center"/>
              <w:rPr>
                <w:sz w:val="18"/>
                <w:szCs w:val="18"/>
              </w:rPr>
            </w:pPr>
            <w:r>
              <w:rPr>
                <w:color w:val="000000"/>
                <w:sz w:val="18"/>
                <w:szCs w:val="18"/>
              </w:rPr>
              <w:t>No</w:t>
            </w:r>
          </w:p>
        </w:tc>
        <w:tc>
          <w:tcPr>
            <w:tcW w:w="0" w:type="auto"/>
          </w:tcPr>
          <w:p w14:paraId="1670194A" w14:textId="448EE14B" w:rsidR="0039212D" w:rsidRDefault="0039212D" w:rsidP="0039212D">
            <w:pPr>
              <w:pStyle w:val="RepTable"/>
              <w:jc w:val="center"/>
              <w:rPr>
                <w:highlight w:val="yellow"/>
              </w:rPr>
            </w:pPr>
            <w:r>
              <w:rPr>
                <w:color w:val="000000"/>
                <w:sz w:val="18"/>
                <w:szCs w:val="18"/>
              </w:rPr>
              <w:t>XXXX</w:t>
            </w:r>
          </w:p>
        </w:tc>
      </w:tr>
      <w:tr w:rsidR="0039212D" w14:paraId="62417C4E" w14:textId="77777777" w:rsidTr="00E23E58">
        <w:tc>
          <w:tcPr>
            <w:tcW w:w="0" w:type="auto"/>
          </w:tcPr>
          <w:p w14:paraId="0666ADBB" w14:textId="77777777" w:rsidR="0039212D" w:rsidRDefault="0039212D" w:rsidP="0039212D">
            <w:pPr>
              <w:rPr>
                <w:sz w:val="18"/>
                <w:szCs w:val="18"/>
              </w:rPr>
            </w:pPr>
            <w:r>
              <w:rPr>
                <w:color w:val="000000"/>
                <w:sz w:val="18"/>
                <w:szCs w:val="18"/>
              </w:rPr>
              <w:t>KCP 10.5/4</w:t>
            </w:r>
          </w:p>
        </w:tc>
        <w:tc>
          <w:tcPr>
            <w:tcW w:w="0" w:type="auto"/>
          </w:tcPr>
          <w:p w14:paraId="2C238B38" w14:textId="77777777" w:rsidR="0039212D" w:rsidRDefault="0039212D" w:rsidP="0039212D">
            <w:pPr>
              <w:rPr>
                <w:sz w:val="18"/>
                <w:szCs w:val="18"/>
              </w:rPr>
            </w:pPr>
            <w:r>
              <w:rPr>
                <w:color w:val="000000"/>
                <w:sz w:val="18"/>
                <w:szCs w:val="18"/>
              </w:rPr>
              <w:t>Schulz, L.</w:t>
            </w:r>
          </w:p>
        </w:tc>
        <w:tc>
          <w:tcPr>
            <w:tcW w:w="0" w:type="auto"/>
          </w:tcPr>
          <w:p w14:paraId="6AA0A43B" w14:textId="77777777" w:rsidR="0039212D" w:rsidRDefault="0039212D" w:rsidP="0039212D">
            <w:pPr>
              <w:jc w:val="center"/>
              <w:rPr>
                <w:sz w:val="18"/>
                <w:szCs w:val="18"/>
              </w:rPr>
            </w:pPr>
            <w:r>
              <w:rPr>
                <w:color w:val="000000"/>
                <w:sz w:val="18"/>
                <w:szCs w:val="18"/>
              </w:rPr>
              <w:t>2009</w:t>
            </w:r>
          </w:p>
        </w:tc>
        <w:tc>
          <w:tcPr>
            <w:tcW w:w="0" w:type="auto"/>
          </w:tcPr>
          <w:p w14:paraId="2FC950D0" w14:textId="77777777" w:rsidR="0039212D" w:rsidRDefault="0039212D" w:rsidP="0039212D">
            <w:pPr>
              <w:rPr>
                <w:color w:val="000000"/>
                <w:sz w:val="18"/>
                <w:szCs w:val="18"/>
              </w:rPr>
            </w:pPr>
            <w:r w:rsidRPr="001249EB">
              <w:rPr>
                <w:color w:val="000000"/>
                <w:sz w:val="18"/>
                <w:szCs w:val="18"/>
              </w:rPr>
              <w:t>Amendment No. 1: Effects of Reg.No. 5178870 (metabolite of BAS 650 F, M650F03) on the activity of soil microflora (nitrogen transformation test)</w:t>
            </w:r>
          </w:p>
          <w:p w14:paraId="592E0C2F" w14:textId="77777777" w:rsidR="0039212D" w:rsidRPr="001249EB" w:rsidRDefault="0039212D" w:rsidP="0039212D">
            <w:pPr>
              <w:rPr>
                <w:color w:val="000000"/>
                <w:sz w:val="18"/>
                <w:szCs w:val="18"/>
                <w:lang w:val="de-DE"/>
              </w:rPr>
            </w:pPr>
            <w:r w:rsidRPr="00375516">
              <w:rPr>
                <w:color w:val="000000"/>
                <w:sz w:val="18"/>
                <w:szCs w:val="18"/>
                <w:lang w:val="de-DE"/>
              </w:rPr>
              <w:t>2009/1075790</w:t>
            </w:r>
          </w:p>
          <w:p w14:paraId="569651FF" w14:textId="77777777" w:rsidR="0039212D" w:rsidRPr="001249EB" w:rsidRDefault="0039212D" w:rsidP="0039212D">
            <w:pPr>
              <w:rPr>
                <w:color w:val="000000"/>
                <w:sz w:val="18"/>
                <w:szCs w:val="18"/>
                <w:lang w:val="de-DE"/>
              </w:rPr>
            </w:pPr>
            <w:r w:rsidRPr="00375516">
              <w:rPr>
                <w:color w:val="000000"/>
                <w:sz w:val="18"/>
                <w:szCs w:val="18"/>
                <w:lang w:val="de-DE"/>
              </w:rPr>
              <w:t>BioChem agrar Labor fuer biologische und chemische Analytik GmbH, Gerichshain, Germany Fed.Rep.</w:t>
            </w:r>
          </w:p>
          <w:p w14:paraId="5FD48531" w14:textId="77777777" w:rsidR="0039212D" w:rsidRDefault="0039212D" w:rsidP="0039212D">
            <w:pPr>
              <w:rPr>
                <w:color w:val="000000"/>
                <w:sz w:val="18"/>
                <w:szCs w:val="18"/>
              </w:rPr>
            </w:pPr>
            <w:r>
              <w:rPr>
                <w:color w:val="000000"/>
                <w:sz w:val="18"/>
                <w:szCs w:val="18"/>
              </w:rPr>
              <w:t>yes</w:t>
            </w:r>
          </w:p>
          <w:p w14:paraId="770695AB" w14:textId="77777777" w:rsidR="0039212D" w:rsidRDefault="0039212D" w:rsidP="0039212D">
            <w:pPr>
              <w:rPr>
                <w:color w:val="000000"/>
                <w:sz w:val="18"/>
                <w:szCs w:val="18"/>
              </w:rPr>
            </w:pPr>
            <w:r>
              <w:rPr>
                <w:color w:val="000000"/>
                <w:sz w:val="18"/>
                <w:szCs w:val="18"/>
              </w:rPr>
              <w:t>Unpublished</w:t>
            </w:r>
          </w:p>
        </w:tc>
        <w:tc>
          <w:tcPr>
            <w:tcW w:w="0" w:type="auto"/>
          </w:tcPr>
          <w:p w14:paraId="52A8BE66" w14:textId="77777777" w:rsidR="0039212D" w:rsidRDefault="0039212D" w:rsidP="0039212D">
            <w:pPr>
              <w:jc w:val="center"/>
              <w:rPr>
                <w:sz w:val="18"/>
                <w:szCs w:val="18"/>
              </w:rPr>
            </w:pPr>
            <w:r>
              <w:rPr>
                <w:color w:val="000000"/>
                <w:sz w:val="18"/>
                <w:szCs w:val="18"/>
              </w:rPr>
              <w:t>No</w:t>
            </w:r>
          </w:p>
        </w:tc>
        <w:tc>
          <w:tcPr>
            <w:tcW w:w="0" w:type="auto"/>
          </w:tcPr>
          <w:p w14:paraId="2E9D43DF" w14:textId="366C1752" w:rsidR="0039212D" w:rsidRDefault="0039212D" w:rsidP="0039212D">
            <w:pPr>
              <w:pStyle w:val="RepTable"/>
              <w:jc w:val="center"/>
              <w:rPr>
                <w:highlight w:val="yellow"/>
              </w:rPr>
            </w:pPr>
            <w:r>
              <w:rPr>
                <w:color w:val="000000"/>
                <w:sz w:val="18"/>
                <w:szCs w:val="18"/>
              </w:rPr>
              <w:t>XXXX</w:t>
            </w:r>
          </w:p>
        </w:tc>
      </w:tr>
      <w:tr w:rsidR="0039212D" w14:paraId="78FDED49" w14:textId="77777777" w:rsidTr="00E23E58">
        <w:tc>
          <w:tcPr>
            <w:tcW w:w="0" w:type="auto"/>
          </w:tcPr>
          <w:p w14:paraId="054AA251" w14:textId="77777777" w:rsidR="0039212D" w:rsidRDefault="0039212D" w:rsidP="0039212D">
            <w:pPr>
              <w:rPr>
                <w:sz w:val="18"/>
                <w:szCs w:val="18"/>
              </w:rPr>
            </w:pPr>
            <w:r>
              <w:rPr>
                <w:color w:val="000000"/>
                <w:sz w:val="18"/>
                <w:szCs w:val="18"/>
              </w:rPr>
              <w:t>KCP 10.5/5</w:t>
            </w:r>
          </w:p>
        </w:tc>
        <w:tc>
          <w:tcPr>
            <w:tcW w:w="0" w:type="auto"/>
          </w:tcPr>
          <w:p w14:paraId="1B41B912" w14:textId="77777777" w:rsidR="0039212D" w:rsidRDefault="0039212D" w:rsidP="0039212D">
            <w:pPr>
              <w:rPr>
                <w:sz w:val="18"/>
                <w:szCs w:val="18"/>
              </w:rPr>
            </w:pPr>
            <w:r>
              <w:rPr>
                <w:color w:val="000000"/>
                <w:sz w:val="18"/>
                <w:szCs w:val="18"/>
              </w:rPr>
              <w:t>Schulz, L.</w:t>
            </w:r>
          </w:p>
        </w:tc>
        <w:tc>
          <w:tcPr>
            <w:tcW w:w="0" w:type="auto"/>
          </w:tcPr>
          <w:p w14:paraId="4365B17E" w14:textId="77777777" w:rsidR="0039212D" w:rsidRDefault="0039212D" w:rsidP="0039212D">
            <w:pPr>
              <w:jc w:val="center"/>
              <w:rPr>
                <w:sz w:val="18"/>
                <w:szCs w:val="18"/>
              </w:rPr>
            </w:pPr>
            <w:r>
              <w:rPr>
                <w:color w:val="000000"/>
                <w:sz w:val="18"/>
                <w:szCs w:val="18"/>
              </w:rPr>
              <w:t>2008</w:t>
            </w:r>
          </w:p>
        </w:tc>
        <w:tc>
          <w:tcPr>
            <w:tcW w:w="0" w:type="auto"/>
          </w:tcPr>
          <w:p w14:paraId="2F571354" w14:textId="77777777" w:rsidR="0039212D" w:rsidRDefault="0039212D" w:rsidP="0039212D">
            <w:pPr>
              <w:rPr>
                <w:color w:val="000000"/>
                <w:sz w:val="18"/>
                <w:szCs w:val="18"/>
              </w:rPr>
            </w:pPr>
            <w:r w:rsidRPr="001249EB">
              <w:rPr>
                <w:color w:val="000000"/>
                <w:sz w:val="18"/>
                <w:szCs w:val="18"/>
              </w:rPr>
              <w:t>Effects of Reg.No. 5211623 (metabolite of BAS 650 F, M650F04) on the activity of soil microflora (nitrogen transformation test)</w:t>
            </w:r>
          </w:p>
          <w:p w14:paraId="3A8D4E37" w14:textId="77777777" w:rsidR="0039212D" w:rsidRPr="001249EB" w:rsidRDefault="0039212D" w:rsidP="0039212D">
            <w:pPr>
              <w:rPr>
                <w:color w:val="000000"/>
                <w:sz w:val="18"/>
                <w:szCs w:val="18"/>
                <w:lang w:val="de-DE"/>
              </w:rPr>
            </w:pPr>
            <w:r w:rsidRPr="00375516">
              <w:rPr>
                <w:color w:val="000000"/>
                <w:sz w:val="18"/>
                <w:szCs w:val="18"/>
                <w:lang w:val="de-DE"/>
              </w:rPr>
              <w:t>2008/1033293</w:t>
            </w:r>
          </w:p>
          <w:p w14:paraId="59FE5F82" w14:textId="77777777" w:rsidR="0039212D" w:rsidRPr="001249EB" w:rsidRDefault="0039212D" w:rsidP="0039212D">
            <w:pPr>
              <w:rPr>
                <w:color w:val="000000"/>
                <w:sz w:val="18"/>
                <w:szCs w:val="18"/>
                <w:lang w:val="de-DE"/>
              </w:rPr>
            </w:pPr>
            <w:r w:rsidRPr="00375516">
              <w:rPr>
                <w:color w:val="000000"/>
                <w:sz w:val="18"/>
                <w:szCs w:val="18"/>
                <w:lang w:val="de-DE"/>
              </w:rPr>
              <w:t>BioChem agrar Labor fuer biologische und chemische Analytik GmbH, Gerichshain, Germany Fed.Rep.</w:t>
            </w:r>
          </w:p>
          <w:p w14:paraId="0EA2DBAA" w14:textId="77777777" w:rsidR="0039212D" w:rsidRDefault="0039212D" w:rsidP="0039212D">
            <w:pPr>
              <w:rPr>
                <w:color w:val="000000"/>
                <w:sz w:val="18"/>
                <w:szCs w:val="18"/>
              </w:rPr>
            </w:pPr>
            <w:r>
              <w:rPr>
                <w:color w:val="000000"/>
                <w:sz w:val="18"/>
                <w:szCs w:val="18"/>
              </w:rPr>
              <w:t>yes</w:t>
            </w:r>
          </w:p>
          <w:p w14:paraId="18D1CFA5" w14:textId="77777777" w:rsidR="0039212D" w:rsidRDefault="0039212D" w:rsidP="0039212D">
            <w:pPr>
              <w:rPr>
                <w:color w:val="000000"/>
                <w:sz w:val="18"/>
                <w:szCs w:val="18"/>
              </w:rPr>
            </w:pPr>
            <w:r>
              <w:rPr>
                <w:color w:val="000000"/>
                <w:sz w:val="18"/>
                <w:szCs w:val="18"/>
              </w:rPr>
              <w:t>Unpublished</w:t>
            </w:r>
          </w:p>
        </w:tc>
        <w:tc>
          <w:tcPr>
            <w:tcW w:w="0" w:type="auto"/>
          </w:tcPr>
          <w:p w14:paraId="441799F9" w14:textId="77777777" w:rsidR="0039212D" w:rsidRDefault="0039212D" w:rsidP="0039212D">
            <w:pPr>
              <w:jc w:val="center"/>
              <w:rPr>
                <w:sz w:val="18"/>
                <w:szCs w:val="18"/>
              </w:rPr>
            </w:pPr>
            <w:r>
              <w:rPr>
                <w:color w:val="000000"/>
                <w:sz w:val="18"/>
                <w:szCs w:val="18"/>
              </w:rPr>
              <w:t>No</w:t>
            </w:r>
          </w:p>
        </w:tc>
        <w:tc>
          <w:tcPr>
            <w:tcW w:w="0" w:type="auto"/>
          </w:tcPr>
          <w:p w14:paraId="587AC5AA" w14:textId="5BD6A040" w:rsidR="0039212D" w:rsidRDefault="0039212D" w:rsidP="0039212D">
            <w:pPr>
              <w:pStyle w:val="RepTable"/>
              <w:jc w:val="center"/>
              <w:rPr>
                <w:highlight w:val="yellow"/>
              </w:rPr>
            </w:pPr>
            <w:r>
              <w:rPr>
                <w:color w:val="000000"/>
                <w:sz w:val="18"/>
                <w:szCs w:val="18"/>
              </w:rPr>
              <w:t>XXXX</w:t>
            </w:r>
          </w:p>
        </w:tc>
      </w:tr>
      <w:tr w:rsidR="0039212D" w14:paraId="3DCC9284" w14:textId="77777777" w:rsidTr="00E23E58">
        <w:tc>
          <w:tcPr>
            <w:tcW w:w="0" w:type="auto"/>
          </w:tcPr>
          <w:p w14:paraId="40850441" w14:textId="77777777" w:rsidR="0039212D" w:rsidRDefault="0039212D" w:rsidP="0039212D">
            <w:pPr>
              <w:rPr>
                <w:sz w:val="18"/>
                <w:szCs w:val="18"/>
              </w:rPr>
            </w:pPr>
            <w:r>
              <w:rPr>
                <w:color w:val="000000"/>
                <w:sz w:val="18"/>
                <w:szCs w:val="18"/>
              </w:rPr>
              <w:t>KCP 10.5/6</w:t>
            </w:r>
          </w:p>
        </w:tc>
        <w:tc>
          <w:tcPr>
            <w:tcW w:w="0" w:type="auto"/>
          </w:tcPr>
          <w:p w14:paraId="4A00F978" w14:textId="77777777" w:rsidR="0039212D" w:rsidRDefault="0039212D" w:rsidP="0039212D">
            <w:pPr>
              <w:rPr>
                <w:sz w:val="18"/>
                <w:szCs w:val="18"/>
              </w:rPr>
            </w:pPr>
            <w:r>
              <w:rPr>
                <w:color w:val="000000"/>
                <w:sz w:val="18"/>
                <w:szCs w:val="18"/>
              </w:rPr>
              <w:t>Schulz, L.</w:t>
            </w:r>
          </w:p>
        </w:tc>
        <w:tc>
          <w:tcPr>
            <w:tcW w:w="0" w:type="auto"/>
          </w:tcPr>
          <w:p w14:paraId="226F51DA" w14:textId="77777777" w:rsidR="0039212D" w:rsidRDefault="0039212D" w:rsidP="0039212D">
            <w:pPr>
              <w:jc w:val="center"/>
              <w:rPr>
                <w:sz w:val="18"/>
                <w:szCs w:val="18"/>
              </w:rPr>
            </w:pPr>
            <w:r>
              <w:rPr>
                <w:color w:val="000000"/>
                <w:sz w:val="18"/>
                <w:szCs w:val="18"/>
              </w:rPr>
              <w:t>2009</w:t>
            </w:r>
          </w:p>
        </w:tc>
        <w:tc>
          <w:tcPr>
            <w:tcW w:w="0" w:type="auto"/>
          </w:tcPr>
          <w:p w14:paraId="23A3E932" w14:textId="77777777" w:rsidR="0039212D" w:rsidRDefault="0039212D" w:rsidP="0039212D">
            <w:pPr>
              <w:rPr>
                <w:color w:val="000000"/>
                <w:sz w:val="18"/>
                <w:szCs w:val="18"/>
              </w:rPr>
            </w:pPr>
            <w:r w:rsidRPr="001249EB">
              <w:rPr>
                <w:color w:val="000000"/>
                <w:sz w:val="18"/>
                <w:szCs w:val="18"/>
              </w:rPr>
              <w:t>Amendment No. 1: Effects of Reg.No. 5211623 (metabolite of BAS 650 F, M650F04) on the activity of soil microflora (nitrogen transformation test)</w:t>
            </w:r>
          </w:p>
          <w:p w14:paraId="6235E433" w14:textId="77777777" w:rsidR="0039212D" w:rsidRPr="001249EB" w:rsidRDefault="0039212D" w:rsidP="0039212D">
            <w:pPr>
              <w:rPr>
                <w:color w:val="000000"/>
                <w:sz w:val="18"/>
                <w:szCs w:val="18"/>
                <w:lang w:val="de-DE"/>
              </w:rPr>
            </w:pPr>
            <w:r w:rsidRPr="00840C5D">
              <w:rPr>
                <w:color w:val="000000"/>
                <w:sz w:val="18"/>
                <w:szCs w:val="18"/>
                <w:lang w:val="de-DE"/>
              </w:rPr>
              <w:t>2009/1075792</w:t>
            </w:r>
          </w:p>
          <w:p w14:paraId="48806BD7" w14:textId="77777777" w:rsidR="0039212D" w:rsidRPr="001249EB" w:rsidRDefault="0039212D" w:rsidP="0039212D">
            <w:pPr>
              <w:rPr>
                <w:color w:val="000000"/>
                <w:sz w:val="18"/>
                <w:szCs w:val="18"/>
                <w:lang w:val="de-DE"/>
              </w:rPr>
            </w:pPr>
            <w:r w:rsidRPr="00840C5D">
              <w:rPr>
                <w:color w:val="000000"/>
                <w:sz w:val="18"/>
                <w:szCs w:val="18"/>
                <w:lang w:val="de-DE"/>
              </w:rPr>
              <w:t>BioChem agrar Labor fuer biologische und chemische Analytik GmbH, Gerichshain, Germany Fed.Rep.</w:t>
            </w:r>
          </w:p>
          <w:p w14:paraId="01B605DB" w14:textId="77777777" w:rsidR="0039212D" w:rsidRDefault="0039212D" w:rsidP="0039212D">
            <w:pPr>
              <w:rPr>
                <w:color w:val="000000"/>
                <w:sz w:val="18"/>
                <w:szCs w:val="18"/>
              </w:rPr>
            </w:pPr>
            <w:r>
              <w:rPr>
                <w:color w:val="000000"/>
                <w:sz w:val="18"/>
                <w:szCs w:val="18"/>
              </w:rPr>
              <w:t>yes</w:t>
            </w:r>
          </w:p>
          <w:p w14:paraId="3F0B4181" w14:textId="77777777" w:rsidR="0039212D" w:rsidRDefault="0039212D" w:rsidP="0039212D">
            <w:pPr>
              <w:rPr>
                <w:color w:val="000000"/>
                <w:sz w:val="18"/>
                <w:szCs w:val="18"/>
              </w:rPr>
            </w:pPr>
            <w:r>
              <w:rPr>
                <w:color w:val="000000"/>
                <w:sz w:val="18"/>
                <w:szCs w:val="18"/>
              </w:rPr>
              <w:t>Unpublished</w:t>
            </w:r>
          </w:p>
        </w:tc>
        <w:tc>
          <w:tcPr>
            <w:tcW w:w="0" w:type="auto"/>
          </w:tcPr>
          <w:p w14:paraId="2DDCCC61" w14:textId="77777777" w:rsidR="0039212D" w:rsidRDefault="0039212D" w:rsidP="0039212D">
            <w:pPr>
              <w:jc w:val="center"/>
              <w:rPr>
                <w:sz w:val="18"/>
                <w:szCs w:val="18"/>
              </w:rPr>
            </w:pPr>
            <w:r>
              <w:rPr>
                <w:color w:val="000000"/>
                <w:sz w:val="18"/>
                <w:szCs w:val="18"/>
              </w:rPr>
              <w:t>No</w:t>
            </w:r>
          </w:p>
        </w:tc>
        <w:tc>
          <w:tcPr>
            <w:tcW w:w="0" w:type="auto"/>
          </w:tcPr>
          <w:p w14:paraId="0A997FE8" w14:textId="384A5DE3" w:rsidR="0039212D" w:rsidRDefault="0039212D" w:rsidP="0039212D">
            <w:pPr>
              <w:pStyle w:val="RepTable"/>
              <w:jc w:val="center"/>
              <w:rPr>
                <w:highlight w:val="yellow"/>
              </w:rPr>
            </w:pPr>
            <w:r>
              <w:rPr>
                <w:color w:val="000000"/>
                <w:sz w:val="18"/>
                <w:szCs w:val="18"/>
              </w:rPr>
              <w:t>XXXX</w:t>
            </w:r>
          </w:p>
        </w:tc>
      </w:tr>
      <w:tr w:rsidR="0039212D" w14:paraId="6AD179FF" w14:textId="77777777" w:rsidTr="00E23E58">
        <w:tc>
          <w:tcPr>
            <w:tcW w:w="0" w:type="auto"/>
          </w:tcPr>
          <w:p w14:paraId="10B49508" w14:textId="7459BD04" w:rsidR="0039212D" w:rsidRDefault="0039212D" w:rsidP="0039212D">
            <w:pPr>
              <w:rPr>
                <w:color w:val="000000"/>
                <w:sz w:val="18"/>
                <w:szCs w:val="18"/>
              </w:rPr>
            </w:pPr>
            <w:r>
              <w:rPr>
                <w:color w:val="000000"/>
                <w:sz w:val="18"/>
                <w:szCs w:val="18"/>
              </w:rPr>
              <w:t>KCP 10.5/7</w:t>
            </w:r>
          </w:p>
        </w:tc>
        <w:tc>
          <w:tcPr>
            <w:tcW w:w="0" w:type="auto"/>
          </w:tcPr>
          <w:p w14:paraId="7AC6152A" w14:textId="31B54761" w:rsidR="0039212D" w:rsidRDefault="0039212D" w:rsidP="0039212D">
            <w:pPr>
              <w:rPr>
                <w:color w:val="000000"/>
                <w:sz w:val="18"/>
                <w:szCs w:val="18"/>
              </w:rPr>
            </w:pPr>
            <w:r>
              <w:rPr>
                <w:color w:val="000000"/>
                <w:sz w:val="18"/>
                <w:szCs w:val="18"/>
              </w:rPr>
              <w:t>Schulz, L.</w:t>
            </w:r>
          </w:p>
        </w:tc>
        <w:tc>
          <w:tcPr>
            <w:tcW w:w="0" w:type="auto"/>
          </w:tcPr>
          <w:p w14:paraId="1C26F47B" w14:textId="128010B5" w:rsidR="0039212D" w:rsidRDefault="0039212D" w:rsidP="0039212D">
            <w:pPr>
              <w:jc w:val="center"/>
              <w:rPr>
                <w:color w:val="000000"/>
                <w:sz w:val="18"/>
                <w:szCs w:val="18"/>
              </w:rPr>
            </w:pPr>
            <w:r>
              <w:rPr>
                <w:color w:val="000000"/>
                <w:sz w:val="18"/>
                <w:szCs w:val="18"/>
              </w:rPr>
              <w:t>2009</w:t>
            </w:r>
          </w:p>
        </w:tc>
        <w:tc>
          <w:tcPr>
            <w:tcW w:w="0" w:type="auto"/>
          </w:tcPr>
          <w:p w14:paraId="560DB9A2" w14:textId="77777777" w:rsidR="0039212D" w:rsidRDefault="0039212D" w:rsidP="0039212D">
            <w:pPr>
              <w:keepLines/>
              <w:pageBreakBefore/>
              <w:rPr>
                <w:color w:val="000000"/>
                <w:sz w:val="18"/>
                <w:szCs w:val="18"/>
              </w:rPr>
            </w:pPr>
            <w:r w:rsidRPr="001249EB">
              <w:rPr>
                <w:color w:val="000000"/>
                <w:sz w:val="18"/>
                <w:szCs w:val="18"/>
              </w:rPr>
              <w:t>Amendment No. 1: Effects of Reg.No. 5211623 (metabolite of BAS 650 F, M650F04) on the activity of soil microflora (nitrogen transformation test)</w:t>
            </w:r>
          </w:p>
          <w:p w14:paraId="6797596F" w14:textId="77777777" w:rsidR="0039212D" w:rsidRPr="00840C5D" w:rsidRDefault="0039212D" w:rsidP="0039212D">
            <w:pPr>
              <w:keepLines/>
              <w:pageBreakBefore/>
              <w:rPr>
                <w:color w:val="000000"/>
                <w:sz w:val="18"/>
                <w:szCs w:val="18"/>
                <w:lang w:val="de-DE"/>
              </w:rPr>
            </w:pPr>
            <w:r w:rsidRPr="00840C5D">
              <w:rPr>
                <w:color w:val="000000"/>
                <w:sz w:val="18"/>
                <w:szCs w:val="18"/>
                <w:lang w:val="de-DE"/>
              </w:rPr>
              <w:t>2009/1075786</w:t>
            </w:r>
          </w:p>
          <w:p w14:paraId="344EF282" w14:textId="77777777" w:rsidR="0039212D" w:rsidRPr="001249EB" w:rsidRDefault="0039212D" w:rsidP="0039212D">
            <w:pPr>
              <w:keepLines/>
              <w:pageBreakBefore/>
              <w:rPr>
                <w:color w:val="000000"/>
                <w:sz w:val="18"/>
                <w:szCs w:val="18"/>
                <w:lang w:val="de-DE"/>
              </w:rPr>
            </w:pPr>
            <w:r w:rsidRPr="00840C5D">
              <w:rPr>
                <w:color w:val="000000"/>
                <w:sz w:val="18"/>
                <w:szCs w:val="18"/>
                <w:lang w:val="de-DE"/>
              </w:rPr>
              <w:t>BioChem agrar Labor fuer biologische und chemische Analytik GmbH, Gerichshain, Germany Fed.Rep.</w:t>
            </w:r>
          </w:p>
          <w:p w14:paraId="53BA3061" w14:textId="77777777" w:rsidR="0039212D" w:rsidRDefault="0039212D" w:rsidP="0039212D">
            <w:pPr>
              <w:keepLines/>
              <w:pageBreakBefore/>
              <w:rPr>
                <w:color w:val="000000"/>
                <w:sz w:val="18"/>
                <w:szCs w:val="18"/>
              </w:rPr>
            </w:pPr>
            <w:r>
              <w:rPr>
                <w:color w:val="000000"/>
                <w:sz w:val="18"/>
                <w:szCs w:val="18"/>
              </w:rPr>
              <w:t>yes</w:t>
            </w:r>
          </w:p>
          <w:p w14:paraId="1D7DCEDA" w14:textId="28DEDA32" w:rsidR="0039212D" w:rsidRPr="001249EB" w:rsidRDefault="0039212D" w:rsidP="0039212D">
            <w:pPr>
              <w:rPr>
                <w:color w:val="000000"/>
                <w:sz w:val="18"/>
                <w:szCs w:val="18"/>
              </w:rPr>
            </w:pPr>
            <w:r>
              <w:rPr>
                <w:color w:val="000000"/>
                <w:sz w:val="18"/>
                <w:szCs w:val="18"/>
              </w:rPr>
              <w:t>Unpublished</w:t>
            </w:r>
          </w:p>
        </w:tc>
        <w:tc>
          <w:tcPr>
            <w:tcW w:w="0" w:type="auto"/>
          </w:tcPr>
          <w:p w14:paraId="7E755590" w14:textId="08658BA8" w:rsidR="0039212D" w:rsidRDefault="0039212D" w:rsidP="0039212D">
            <w:pPr>
              <w:jc w:val="center"/>
              <w:rPr>
                <w:color w:val="000000"/>
                <w:sz w:val="18"/>
                <w:szCs w:val="18"/>
              </w:rPr>
            </w:pPr>
            <w:r>
              <w:rPr>
                <w:color w:val="000000"/>
                <w:sz w:val="18"/>
                <w:szCs w:val="18"/>
              </w:rPr>
              <w:t>No</w:t>
            </w:r>
          </w:p>
        </w:tc>
        <w:tc>
          <w:tcPr>
            <w:tcW w:w="0" w:type="auto"/>
          </w:tcPr>
          <w:p w14:paraId="76606361" w14:textId="6CA3670E" w:rsidR="0039212D" w:rsidRDefault="0039212D" w:rsidP="0039212D">
            <w:pPr>
              <w:pStyle w:val="RepTable"/>
              <w:jc w:val="center"/>
              <w:rPr>
                <w:color w:val="000000"/>
                <w:sz w:val="18"/>
                <w:szCs w:val="18"/>
              </w:rPr>
            </w:pPr>
            <w:r>
              <w:rPr>
                <w:color w:val="000000"/>
                <w:sz w:val="18"/>
                <w:szCs w:val="18"/>
              </w:rPr>
              <w:t>XXXX</w:t>
            </w:r>
          </w:p>
        </w:tc>
      </w:tr>
    </w:tbl>
    <w:p w14:paraId="04A1AC44" w14:textId="77777777" w:rsidR="00434572" w:rsidRPr="00A34F10" w:rsidRDefault="00434572" w:rsidP="00DC5685">
      <w:pPr>
        <w:pStyle w:val="RepStandard"/>
      </w:pPr>
    </w:p>
    <w:p w14:paraId="7E00B5A4" w14:textId="77777777" w:rsidR="00DC5685" w:rsidRPr="00A34F10" w:rsidRDefault="00DC5685" w:rsidP="00DC5685">
      <w:pPr>
        <w:pStyle w:val="RepStandard"/>
      </w:pPr>
      <w:r w:rsidRPr="00A34F10">
        <w:br w:type="page"/>
      </w:r>
    </w:p>
    <w:p w14:paraId="7C4547D1" w14:textId="77777777" w:rsidR="00DC5685" w:rsidRPr="00A34F10" w:rsidRDefault="00DC5685" w:rsidP="00DC5685">
      <w:pPr>
        <w:pStyle w:val="RepEditorNotesMS"/>
      </w:pPr>
      <w:r w:rsidRPr="00A34F10">
        <w:lastRenderedPageBreak/>
        <w:t>The following tables are to be completed by MS</w:t>
      </w:r>
    </w:p>
    <w:p w14:paraId="08E104DB" w14:textId="77777777" w:rsidR="00DC5685" w:rsidRPr="00A34F10" w:rsidRDefault="00DC5685" w:rsidP="00DC5685">
      <w:pPr>
        <w:pStyle w:val="RepNewPart"/>
      </w:pPr>
      <w:r w:rsidRPr="00A34F10">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0"/>
        <w:gridCol w:w="1849"/>
        <w:gridCol w:w="783"/>
        <w:gridCol w:w="8585"/>
        <w:gridCol w:w="1048"/>
        <w:gridCol w:w="1281"/>
      </w:tblGrid>
      <w:tr w:rsidR="00DC5685" w:rsidRPr="00A34F10" w14:paraId="092D845A" w14:textId="77777777" w:rsidTr="003347E3">
        <w:trPr>
          <w:tblHeader/>
        </w:trPr>
        <w:tc>
          <w:tcPr>
            <w:tcW w:w="347" w:type="pct"/>
            <w:shd w:val="clear" w:color="auto" w:fill="auto"/>
            <w:vAlign w:val="center"/>
          </w:tcPr>
          <w:p w14:paraId="3B83F6A3" w14:textId="77777777" w:rsidR="00DC5685" w:rsidRPr="00A34F10" w:rsidRDefault="00DC5685" w:rsidP="003347E3">
            <w:pPr>
              <w:pStyle w:val="RepTableHeader"/>
              <w:spacing w:before="0" w:after="0"/>
              <w:jc w:val="center"/>
              <w:rPr>
                <w:lang w:val="en-GB"/>
              </w:rPr>
            </w:pPr>
            <w:r w:rsidRPr="00A34F10">
              <w:rPr>
                <w:lang w:val="en-GB"/>
              </w:rPr>
              <w:t>Data point</w:t>
            </w:r>
          </w:p>
        </w:tc>
        <w:tc>
          <w:tcPr>
            <w:tcW w:w="635" w:type="pct"/>
            <w:shd w:val="clear" w:color="auto" w:fill="auto"/>
            <w:vAlign w:val="center"/>
          </w:tcPr>
          <w:p w14:paraId="5099A414" w14:textId="77777777" w:rsidR="00DC5685" w:rsidRPr="00A34F10" w:rsidRDefault="00DC5685" w:rsidP="003347E3">
            <w:pPr>
              <w:pStyle w:val="RepTableHeader"/>
              <w:spacing w:before="0" w:after="0"/>
              <w:jc w:val="center"/>
              <w:rPr>
                <w:lang w:val="en-GB"/>
              </w:rPr>
            </w:pPr>
            <w:r w:rsidRPr="00A34F10">
              <w:rPr>
                <w:lang w:val="en-GB"/>
              </w:rPr>
              <w:t>Author(s)</w:t>
            </w:r>
          </w:p>
        </w:tc>
        <w:tc>
          <w:tcPr>
            <w:tcW w:w="269" w:type="pct"/>
            <w:shd w:val="clear" w:color="auto" w:fill="auto"/>
            <w:vAlign w:val="center"/>
          </w:tcPr>
          <w:p w14:paraId="31387D71" w14:textId="77777777" w:rsidR="00DC5685" w:rsidRPr="00A34F10" w:rsidRDefault="00DC5685" w:rsidP="003347E3">
            <w:pPr>
              <w:pStyle w:val="RepTableHeader"/>
              <w:spacing w:before="0" w:after="0"/>
              <w:jc w:val="center"/>
              <w:rPr>
                <w:lang w:val="en-GB"/>
              </w:rPr>
            </w:pPr>
            <w:r w:rsidRPr="00A34F10">
              <w:rPr>
                <w:lang w:val="en-GB"/>
              </w:rPr>
              <w:t>Year</w:t>
            </w:r>
          </w:p>
        </w:tc>
        <w:tc>
          <w:tcPr>
            <w:tcW w:w="2949" w:type="pct"/>
            <w:shd w:val="clear" w:color="auto" w:fill="auto"/>
            <w:vAlign w:val="center"/>
          </w:tcPr>
          <w:p w14:paraId="5F311A49" w14:textId="77777777" w:rsidR="00DC5685" w:rsidRPr="00A34F10" w:rsidRDefault="00DC5685" w:rsidP="003347E3">
            <w:pPr>
              <w:pStyle w:val="RepTableHeader"/>
              <w:spacing w:before="0" w:after="0"/>
              <w:jc w:val="center"/>
              <w:rPr>
                <w:lang w:val="en-GB"/>
              </w:rPr>
            </w:pPr>
            <w:r w:rsidRPr="00A34F10">
              <w:rPr>
                <w:lang w:val="en-GB"/>
              </w:rPr>
              <w:t>Title</w:t>
            </w:r>
            <w:r w:rsidRPr="00A34F10">
              <w:rPr>
                <w:lang w:val="en-GB"/>
              </w:rPr>
              <w:br/>
              <w:t>Company Report No.</w:t>
            </w:r>
            <w:r w:rsidRPr="00A34F10">
              <w:rPr>
                <w:lang w:val="en-GB"/>
              </w:rPr>
              <w:tab/>
            </w:r>
            <w:r w:rsidRPr="00A34F10">
              <w:rPr>
                <w:lang w:val="en-GB"/>
              </w:rPr>
              <w:br/>
              <w:t>Source (where different from company)</w:t>
            </w:r>
            <w:r w:rsidRPr="00A34F10">
              <w:rPr>
                <w:lang w:val="en-GB"/>
              </w:rPr>
              <w:br/>
              <w:t>GLP or GEP status</w:t>
            </w:r>
            <w:r w:rsidRPr="00A34F10">
              <w:rPr>
                <w:lang w:val="en-GB"/>
              </w:rPr>
              <w:br/>
              <w:t>Published or not</w:t>
            </w:r>
          </w:p>
        </w:tc>
        <w:tc>
          <w:tcPr>
            <w:tcW w:w="360" w:type="pct"/>
            <w:shd w:val="clear" w:color="auto" w:fill="auto"/>
            <w:vAlign w:val="center"/>
          </w:tcPr>
          <w:p w14:paraId="79CA523C" w14:textId="77777777" w:rsidR="00DC5685" w:rsidRPr="00A34F10" w:rsidRDefault="00DC5685" w:rsidP="003347E3">
            <w:pPr>
              <w:pStyle w:val="RepTableHeader"/>
              <w:spacing w:before="0" w:after="0"/>
              <w:jc w:val="center"/>
              <w:rPr>
                <w:lang w:val="en-GB"/>
              </w:rPr>
            </w:pPr>
            <w:r w:rsidRPr="00A34F10">
              <w:rPr>
                <w:lang w:val="en-GB"/>
              </w:rPr>
              <w:t>Vertebrate study</w:t>
            </w:r>
          </w:p>
          <w:p w14:paraId="61C1C154" w14:textId="77777777" w:rsidR="00DC5685" w:rsidRPr="00A34F10" w:rsidRDefault="00DC5685" w:rsidP="003347E3">
            <w:pPr>
              <w:pStyle w:val="RepTableHeader"/>
              <w:spacing w:before="0" w:after="0"/>
              <w:jc w:val="center"/>
              <w:rPr>
                <w:lang w:val="en-GB"/>
              </w:rPr>
            </w:pPr>
            <w:r w:rsidRPr="00A34F10">
              <w:rPr>
                <w:lang w:val="en-GB"/>
              </w:rPr>
              <w:t>Y/N</w:t>
            </w:r>
          </w:p>
        </w:tc>
        <w:tc>
          <w:tcPr>
            <w:tcW w:w="440" w:type="pct"/>
            <w:shd w:val="clear" w:color="auto" w:fill="auto"/>
            <w:vAlign w:val="center"/>
          </w:tcPr>
          <w:p w14:paraId="6122A554" w14:textId="77777777" w:rsidR="00DC5685" w:rsidRPr="00A34F10" w:rsidRDefault="00DC5685" w:rsidP="003347E3">
            <w:pPr>
              <w:pStyle w:val="RepTableHeader"/>
              <w:spacing w:before="0" w:after="0"/>
              <w:jc w:val="center"/>
              <w:rPr>
                <w:lang w:val="en-GB"/>
              </w:rPr>
            </w:pPr>
            <w:r w:rsidRPr="00A34F10">
              <w:rPr>
                <w:lang w:val="en-GB"/>
              </w:rPr>
              <w:t>Owner</w:t>
            </w:r>
          </w:p>
        </w:tc>
      </w:tr>
      <w:tr w:rsidR="0039212D" w:rsidRPr="00A34F10" w14:paraId="244983BA" w14:textId="77777777" w:rsidTr="007D3912">
        <w:tc>
          <w:tcPr>
            <w:tcW w:w="347" w:type="pct"/>
            <w:shd w:val="clear" w:color="auto" w:fill="auto"/>
          </w:tcPr>
          <w:p w14:paraId="64CC86BC" w14:textId="619ED826" w:rsidR="0039212D" w:rsidRPr="00C44D56" w:rsidRDefault="0039212D" w:rsidP="0039212D">
            <w:pPr>
              <w:pStyle w:val="RepTable"/>
              <w:rPr>
                <w:highlight w:val="yellow"/>
              </w:rPr>
            </w:pPr>
            <w:r w:rsidRPr="00C44D56">
              <w:rPr>
                <w:sz w:val="18"/>
                <w:szCs w:val="18"/>
              </w:rPr>
              <w:t>KCP 10.3.1.2/1</w:t>
            </w:r>
          </w:p>
        </w:tc>
        <w:tc>
          <w:tcPr>
            <w:tcW w:w="635" w:type="pct"/>
            <w:shd w:val="clear" w:color="auto" w:fill="auto"/>
          </w:tcPr>
          <w:p w14:paraId="1559CF1D" w14:textId="25D70BF6" w:rsidR="0039212D" w:rsidRPr="00C44D56" w:rsidRDefault="0039212D" w:rsidP="0039212D">
            <w:pPr>
              <w:pStyle w:val="RepTable"/>
              <w:rPr>
                <w:highlight w:val="yellow"/>
              </w:rPr>
            </w:pPr>
            <w:r w:rsidRPr="00C44D56">
              <w:rPr>
                <w:sz w:val="18"/>
                <w:szCs w:val="18"/>
              </w:rPr>
              <w:t>Ruhland, S.</w:t>
            </w:r>
          </w:p>
        </w:tc>
        <w:tc>
          <w:tcPr>
            <w:tcW w:w="269" w:type="pct"/>
            <w:shd w:val="clear" w:color="auto" w:fill="auto"/>
          </w:tcPr>
          <w:p w14:paraId="316B45D5" w14:textId="45F2B442" w:rsidR="0039212D" w:rsidRPr="00C44D56" w:rsidRDefault="0039212D" w:rsidP="0039212D">
            <w:pPr>
              <w:pStyle w:val="RepTable"/>
              <w:jc w:val="center"/>
              <w:rPr>
                <w:highlight w:val="yellow"/>
              </w:rPr>
            </w:pPr>
            <w:r w:rsidRPr="00C44D56">
              <w:rPr>
                <w:sz w:val="18"/>
                <w:szCs w:val="18"/>
              </w:rPr>
              <w:t>2015</w:t>
            </w:r>
          </w:p>
        </w:tc>
        <w:tc>
          <w:tcPr>
            <w:tcW w:w="2949" w:type="pct"/>
            <w:shd w:val="clear" w:color="auto" w:fill="auto"/>
          </w:tcPr>
          <w:p w14:paraId="0AFA244B" w14:textId="77777777" w:rsidR="0039212D" w:rsidRPr="00C44D56" w:rsidRDefault="0039212D" w:rsidP="0039212D">
            <w:pPr>
              <w:rPr>
                <w:sz w:val="18"/>
                <w:szCs w:val="18"/>
              </w:rPr>
            </w:pPr>
            <w:r w:rsidRPr="00C44D56">
              <w:rPr>
                <w:sz w:val="18"/>
                <w:szCs w:val="18"/>
              </w:rPr>
              <w:t>Chronic toxicity of BAS 650 00 F to the honeybee (Apis mellifera L.) under laboratory conditions</w:t>
            </w:r>
          </w:p>
          <w:p w14:paraId="394EFC55" w14:textId="77777777" w:rsidR="0039212D" w:rsidRPr="00C44D56" w:rsidRDefault="0039212D" w:rsidP="0039212D">
            <w:pPr>
              <w:rPr>
                <w:sz w:val="18"/>
                <w:szCs w:val="18"/>
                <w:lang w:val="de-DE"/>
              </w:rPr>
            </w:pPr>
            <w:r w:rsidRPr="00C44D56">
              <w:rPr>
                <w:sz w:val="18"/>
                <w:szCs w:val="18"/>
                <w:lang w:val="de-DE"/>
              </w:rPr>
              <w:t>2014/1111114</w:t>
            </w:r>
          </w:p>
          <w:p w14:paraId="26330D5E" w14:textId="77777777" w:rsidR="0039212D" w:rsidRPr="00C44D56" w:rsidRDefault="0039212D" w:rsidP="0039212D">
            <w:pPr>
              <w:rPr>
                <w:sz w:val="18"/>
                <w:szCs w:val="18"/>
                <w:lang w:val="de-DE"/>
              </w:rPr>
            </w:pPr>
            <w:r w:rsidRPr="00C44D56">
              <w:rPr>
                <w:sz w:val="18"/>
                <w:szCs w:val="18"/>
                <w:lang w:val="de-DE"/>
              </w:rPr>
              <w:t>BioChem agrar Labor fuer biologische und chemische Analytik GmbH, Gerichshain, Germany Fed.Rep.</w:t>
            </w:r>
          </w:p>
          <w:p w14:paraId="0F948360" w14:textId="77777777" w:rsidR="0039212D" w:rsidRPr="00C44D56" w:rsidRDefault="0039212D" w:rsidP="0039212D">
            <w:pPr>
              <w:rPr>
                <w:sz w:val="18"/>
                <w:szCs w:val="18"/>
              </w:rPr>
            </w:pPr>
            <w:r w:rsidRPr="00C44D56">
              <w:rPr>
                <w:sz w:val="18"/>
                <w:szCs w:val="18"/>
              </w:rPr>
              <w:t>yes</w:t>
            </w:r>
          </w:p>
          <w:p w14:paraId="7B62BBFD" w14:textId="4F80C481" w:rsidR="0039212D" w:rsidRPr="00C44D56" w:rsidRDefault="0039212D" w:rsidP="0039212D">
            <w:pPr>
              <w:pStyle w:val="RepTable"/>
              <w:rPr>
                <w:highlight w:val="yellow"/>
              </w:rPr>
            </w:pPr>
            <w:r w:rsidRPr="00C44D56">
              <w:rPr>
                <w:sz w:val="18"/>
                <w:szCs w:val="18"/>
              </w:rPr>
              <w:t>Unpublished</w:t>
            </w:r>
          </w:p>
        </w:tc>
        <w:tc>
          <w:tcPr>
            <w:tcW w:w="360" w:type="pct"/>
            <w:shd w:val="clear" w:color="auto" w:fill="auto"/>
          </w:tcPr>
          <w:p w14:paraId="15D2E148" w14:textId="19FF5F68" w:rsidR="0039212D" w:rsidRPr="00C44D56" w:rsidRDefault="0039212D" w:rsidP="0039212D">
            <w:pPr>
              <w:pStyle w:val="RepTable"/>
              <w:jc w:val="center"/>
              <w:rPr>
                <w:highlight w:val="yellow"/>
              </w:rPr>
            </w:pPr>
            <w:r w:rsidRPr="00C44D56">
              <w:rPr>
                <w:sz w:val="18"/>
                <w:szCs w:val="18"/>
              </w:rPr>
              <w:t>No</w:t>
            </w:r>
          </w:p>
        </w:tc>
        <w:tc>
          <w:tcPr>
            <w:tcW w:w="440" w:type="pct"/>
            <w:shd w:val="clear" w:color="auto" w:fill="auto"/>
          </w:tcPr>
          <w:p w14:paraId="5619511C" w14:textId="5F6BFA7D" w:rsidR="0039212D" w:rsidRPr="00C44D56" w:rsidRDefault="0039212D" w:rsidP="0039212D">
            <w:pPr>
              <w:pStyle w:val="RepTable"/>
              <w:jc w:val="center"/>
              <w:rPr>
                <w:highlight w:val="yellow"/>
              </w:rPr>
            </w:pPr>
            <w:r>
              <w:rPr>
                <w:color w:val="000000"/>
                <w:sz w:val="18"/>
                <w:szCs w:val="18"/>
              </w:rPr>
              <w:t>XXXX</w:t>
            </w:r>
          </w:p>
        </w:tc>
      </w:tr>
      <w:tr w:rsidR="0039212D" w:rsidRPr="00A34F10" w14:paraId="753F7E74" w14:textId="77777777" w:rsidTr="007D3912">
        <w:tc>
          <w:tcPr>
            <w:tcW w:w="347" w:type="pct"/>
            <w:shd w:val="clear" w:color="auto" w:fill="auto"/>
          </w:tcPr>
          <w:p w14:paraId="270CE4DA" w14:textId="44749BA2" w:rsidR="0039212D" w:rsidRPr="00C44D56" w:rsidRDefault="0039212D" w:rsidP="0039212D">
            <w:pPr>
              <w:pStyle w:val="RepTable"/>
              <w:tabs>
                <w:tab w:val="left" w:pos="559"/>
              </w:tabs>
              <w:rPr>
                <w:highlight w:val="yellow"/>
              </w:rPr>
            </w:pPr>
            <w:r w:rsidRPr="00C44D56">
              <w:rPr>
                <w:sz w:val="18"/>
                <w:szCs w:val="18"/>
              </w:rPr>
              <w:t>KCP 10.3.1.3/1</w:t>
            </w:r>
          </w:p>
        </w:tc>
        <w:tc>
          <w:tcPr>
            <w:tcW w:w="635" w:type="pct"/>
            <w:shd w:val="clear" w:color="auto" w:fill="auto"/>
          </w:tcPr>
          <w:p w14:paraId="34B455BD" w14:textId="488379CE" w:rsidR="0039212D" w:rsidRPr="00C44D56" w:rsidRDefault="0039212D" w:rsidP="0039212D">
            <w:pPr>
              <w:pStyle w:val="RepTable"/>
              <w:rPr>
                <w:highlight w:val="yellow"/>
              </w:rPr>
            </w:pPr>
            <w:r w:rsidRPr="00C44D56">
              <w:rPr>
                <w:sz w:val="18"/>
                <w:szCs w:val="18"/>
              </w:rPr>
              <w:t>Kleebaum, K.</w:t>
            </w:r>
          </w:p>
        </w:tc>
        <w:tc>
          <w:tcPr>
            <w:tcW w:w="269" w:type="pct"/>
            <w:shd w:val="clear" w:color="auto" w:fill="auto"/>
          </w:tcPr>
          <w:p w14:paraId="054A05A3" w14:textId="76E4B983" w:rsidR="0039212D" w:rsidRPr="00C44D56" w:rsidRDefault="0039212D" w:rsidP="0039212D">
            <w:pPr>
              <w:pStyle w:val="RepTable"/>
              <w:jc w:val="center"/>
              <w:rPr>
                <w:highlight w:val="yellow"/>
              </w:rPr>
            </w:pPr>
            <w:r w:rsidRPr="00C44D56">
              <w:rPr>
                <w:sz w:val="18"/>
                <w:szCs w:val="18"/>
              </w:rPr>
              <w:t>2016</w:t>
            </w:r>
          </w:p>
        </w:tc>
        <w:tc>
          <w:tcPr>
            <w:tcW w:w="2949" w:type="pct"/>
            <w:shd w:val="clear" w:color="auto" w:fill="auto"/>
          </w:tcPr>
          <w:p w14:paraId="3FADC316" w14:textId="77777777" w:rsidR="0039212D" w:rsidRPr="00C44D56" w:rsidRDefault="0039212D" w:rsidP="0039212D">
            <w:pPr>
              <w:rPr>
                <w:sz w:val="18"/>
                <w:szCs w:val="18"/>
              </w:rPr>
            </w:pPr>
            <w:r w:rsidRPr="00C44D56">
              <w:rPr>
                <w:sz w:val="18"/>
                <w:szCs w:val="18"/>
              </w:rPr>
              <w:t>Repeated exposure of BAS 650 00 F to honey bee (Apis mellifera) larvae under laboratory conditions (in vitro)</w:t>
            </w:r>
          </w:p>
          <w:p w14:paraId="0821FD6F" w14:textId="77777777" w:rsidR="0039212D" w:rsidRPr="00C44D56" w:rsidRDefault="0039212D" w:rsidP="0039212D">
            <w:pPr>
              <w:rPr>
                <w:sz w:val="18"/>
                <w:szCs w:val="18"/>
                <w:lang w:val="de-DE"/>
              </w:rPr>
            </w:pPr>
            <w:r w:rsidRPr="00C44D56">
              <w:rPr>
                <w:sz w:val="18"/>
                <w:szCs w:val="18"/>
                <w:lang w:val="de-DE"/>
              </w:rPr>
              <w:t>2014/1111115</w:t>
            </w:r>
          </w:p>
          <w:p w14:paraId="1B044805" w14:textId="77777777" w:rsidR="0039212D" w:rsidRPr="00C44D56" w:rsidRDefault="0039212D" w:rsidP="0039212D">
            <w:pPr>
              <w:rPr>
                <w:sz w:val="18"/>
                <w:szCs w:val="18"/>
                <w:lang w:val="de-DE"/>
              </w:rPr>
            </w:pPr>
            <w:r w:rsidRPr="00C44D56">
              <w:rPr>
                <w:sz w:val="18"/>
                <w:szCs w:val="18"/>
                <w:lang w:val="de-DE"/>
              </w:rPr>
              <w:t>BioChem agrar Labor fuer biologische und chemische Analytik GmbH, Gerichshain, Germany Fed.Rep.</w:t>
            </w:r>
          </w:p>
          <w:p w14:paraId="0E4BA03E" w14:textId="77777777" w:rsidR="0039212D" w:rsidRPr="00C44D56" w:rsidRDefault="0039212D" w:rsidP="0039212D">
            <w:pPr>
              <w:rPr>
                <w:sz w:val="18"/>
                <w:szCs w:val="18"/>
              </w:rPr>
            </w:pPr>
            <w:r w:rsidRPr="00C44D56">
              <w:rPr>
                <w:sz w:val="18"/>
                <w:szCs w:val="18"/>
              </w:rPr>
              <w:t>yes</w:t>
            </w:r>
          </w:p>
          <w:p w14:paraId="03C6E6C1" w14:textId="064F1563" w:rsidR="0039212D" w:rsidRPr="00C44D56" w:rsidRDefault="0039212D" w:rsidP="0039212D">
            <w:pPr>
              <w:pStyle w:val="RepTable"/>
              <w:rPr>
                <w:highlight w:val="yellow"/>
              </w:rPr>
            </w:pPr>
            <w:r w:rsidRPr="00C44D56">
              <w:rPr>
                <w:sz w:val="18"/>
                <w:szCs w:val="18"/>
              </w:rPr>
              <w:t>Unpublished</w:t>
            </w:r>
          </w:p>
        </w:tc>
        <w:tc>
          <w:tcPr>
            <w:tcW w:w="360" w:type="pct"/>
            <w:shd w:val="clear" w:color="auto" w:fill="auto"/>
          </w:tcPr>
          <w:p w14:paraId="008F37DC" w14:textId="22F4268C" w:rsidR="0039212D" w:rsidRPr="00C44D56" w:rsidRDefault="0039212D" w:rsidP="0039212D">
            <w:pPr>
              <w:pStyle w:val="RepTable"/>
              <w:jc w:val="center"/>
              <w:rPr>
                <w:highlight w:val="yellow"/>
              </w:rPr>
            </w:pPr>
            <w:r w:rsidRPr="00C44D56">
              <w:rPr>
                <w:sz w:val="18"/>
                <w:szCs w:val="18"/>
              </w:rPr>
              <w:t>No</w:t>
            </w:r>
          </w:p>
        </w:tc>
        <w:tc>
          <w:tcPr>
            <w:tcW w:w="440" w:type="pct"/>
            <w:shd w:val="clear" w:color="auto" w:fill="auto"/>
          </w:tcPr>
          <w:p w14:paraId="115E99D0" w14:textId="531D24D9" w:rsidR="0039212D" w:rsidRPr="00C44D56" w:rsidRDefault="0039212D" w:rsidP="0039212D">
            <w:pPr>
              <w:pStyle w:val="RepTable"/>
              <w:jc w:val="center"/>
              <w:rPr>
                <w:highlight w:val="yellow"/>
              </w:rPr>
            </w:pPr>
            <w:r>
              <w:rPr>
                <w:color w:val="000000"/>
                <w:sz w:val="18"/>
                <w:szCs w:val="18"/>
              </w:rPr>
              <w:t>XXXX</w:t>
            </w:r>
          </w:p>
        </w:tc>
      </w:tr>
      <w:tr w:rsidR="0039212D" w:rsidRPr="00A34F10" w14:paraId="4126A1CE" w14:textId="77777777" w:rsidTr="007D3912">
        <w:tc>
          <w:tcPr>
            <w:tcW w:w="347" w:type="pct"/>
            <w:shd w:val="clear" w:color="auto" w:fill="auto"/>
          </w:tcPr>
          <w:p w14:paraId="270148AF" w14:textId="671E7656" w:rsidR="0039212D" w:rsidRPr="00C44D56" w:rsidRDefault="0039212D" w:rsidP="0039212D">
            <w:pPr>
              <w:pStyle w:val="RepTable"/>
              <w:rPr>
                <w:highlight w:val="yellow"/>
              </w:rPr>
            </w:pPr>
            <w:r w:rsidRPr="00C44D56">
              <w:rPr>
                <w:sz w:val="18"/>
                <w:szCs w:val="18"/>
              </w:rPr>
              <w:t>KCP 10.4.1.1/3</w:t>
            </w:r>
          </w:p>
        </w:tc>
        <w:tc>
          <w:tcPr>
            <w:tcW w:w="635" w:type="pct"/>
            <w:shd w:val="clear" w:color="auto" w:fill="auto"/>
          </w:tcPr>
          <w:p w14:paraId="774E2468" w14:textId="16AEBB74" w:rsidR="0039212D" w:rsidRPr="00C44D56" w:rsidRDefault="0039212D" w:rsidP="0039212D">
            <w:pPr>
              <w:pStyle w:val="RepTable"/>
              <w:rPr>
                <w:highlight w:val="yellow"/>
              </w:rPr>
            </w:pPr>
            <w:r w:rsidRPr="00C44D56">
              <w:rPr>
                <w:sz w:val="18"/>
                <w:szCs w:val="18"/>
              </w:rPr>
              <w:t>Friedrich, S.</w:t>
            </w:r>
          </w:p>
        </w:tc>
        <w:tc>
          <w:tcPr>
            <w:tcW w:w="269" w:type="pct"/>
            <w:shd w:val="clear" w:color="auto" w:fill="auto"/>
          </w:tcPr>
          <w:p w14:paraId="0BD7AAE3" w14:textId="485A0E6F" w:rsidR="0039212D" w:rsidRPr="00C44D56" w:rsidRDefault="0039212D" w:rsidP="0039212D">
            <w:pPr>
              <w:pStyle w:val="RepTable"/>
              <w:jc w:val="center"/>
              <w:rPr>
                <w:highlight w:val="yellow"/>
              </w:rPr>
            </w:pPr>
            <w:r w:rsidRPr="00C44D56">
              <w:rPr>
                <w:sz w:val="18"/>
                <w:szCs w:val="18"/>
              </w:rPr>
              <w:t>2007</w:t>
            </w:r>
          </w:p>
        </w:tc>
        <w:tc>
          <w:tcPr>
            <w:tcW w:w="2949" w:type="pct"/>
            <w:shd w:val="clear" w:color="auto" w:fill="auto"/>
          </w:tcPr>
          <w:p w14:paraId="41E88221" w14:textId="77777777" w:rsidR="0039212D" w:rsidRPr="00C44D56" w:rsidRDefault="0039212D" w:rsidP="0039212D">
            <w:pPr>
              <w:rPr>
                <w:sz w:val="18"/>
                <w:szCs w:val="18"/>
              </w:rPr>
            </w:pPr>
            <w:r w:rsidRPr="00C44D56">
              <w:rPr>
                <w:sz w:val="18"/>
                <w:szCs w:val="18"/>
              </w:rPr>
              <w:t>Sublethal toxicity of BAS 650 00 F to the earthworm Eisenia fetida in artificial soil with 5% peat</w:t>
            </w:r>
          </w:p>
          <w:p w14:paraId="0FD5029C" w14:textId="77777777" w:rsidR="0039212D" w:rsidRPr="00C44D56" w:rsidRDefault="0039212D" w:rsidP="0039212D">
            <w:pPr>
              <w:rPr>
                <w:sz w:val="18"/>
                <w:szCs w:val="18"/>
                <w:lang w:val="de-DE"/>
              </w:rPr>
            </w:pPr>
            <w:r w:rsidRPr="00C44D56">
              <w:rPr>
                <w:sz w:val="18"/>
                <w:szCs w:val="18"/>
                <w:lang w:val="de-DE"/>
              </w:rPr>
              <w:t>2007/1037733</w:t>
            </w:r>
          </w:p>
          <w:p w14:paraId="79D1CD3F" w14:textId="77777777" w:rsidR="0039212D" w:rsidRPr="00C44D56" w:rsidRDefault="0039212D" w:rsidP="0039212D">
            <w:pPr>
              <w:rPr>
                <w:sz w:val="18"/>
                <w:szCs w:val="18"/>
                <w:lang w:val="de-DE"/>
              </w:rPr>
            </w:pPr>
            <w:r w:rsidRPr="00C44D56">
              <w:rPr>
                <w:sz w:val="18"/>
                <w:szCs w:val="18"/>
                <w:lang w:val="de-DE"/>
              </w:rPr>
              <w:t>BioChem agrar Labor fuer biologische und chemische Analytik GmbH, Gerichshain, Germany Fed.Rep.</w:t>
            </w:r>
          </w:p>
          <w:p w14:paraId="00BBDB08" w14:textId="77777777" w:rsidR="0039212D" w:rsidRPr="00C44D56" w:rsidRDefault="0039212D" w:rsidP="0039212D">
            <w:pPr>
              <w:rPr>
                <w:sz w:val="18"/>
                <w:szCs w:val="18"/>
              </w:rPr>
            </w:pPr>
            <w:r w:rsidRPr="00C44D56">
              <w:rPr>
                <w:sz w:val="18"/>
                <w:szCs w:val="18"/>
              </w:rPr>
              <w:t>yes</w:t>
            </w:r>
          </w:p>
          <w:p w14:paraId="6BC378BD" w14:textId="41CE802C" w:rsidR="0039212D" w:rsidRPr="00C44D56" w:rsidRDefault="0039212D" w:rsidP="0039212D">
            <w:pPr>
              <w:pStyle w:val="RepTable"/>
              <w:rPr>
                <w:highlight w:val="yellow"/>
              </w:rPr>
            </w:pPr>
            <w:r w:rsidRPr="00C44D56">
              <w:rPr>
                <w:sz w:val="18"/>
                <w:szCs w:val="18"/>
              </w:rPr>
              <w:t>Unpublished</w:t>
            </w:r>
          </w:p>
        </w:tc>
        <w:tc>
          <w:tcPr>
            <w:tcW w:w="360" w:type="pct"/>
            <w:shd w:val="clear" w:color="auto" w:fill="auto"/>
          </w:tcPr>
          <w:p w14:paraId="44FBE64B" w14:textId="2A17EFA7" w:rsidR="0039212D" w:rsidRPr="00C44D56" w:rsidRDefault="0039212D" w:rsidP="0039212D">
            <w:pPr>
              <w:pStyle w:val="RepTable"/>
              <w:jc w:val="center"/>
              <w:rPr>
                <w:highlight w:val="yellow"/>
              </w:rPr>
            </w:pPr>
            <w:r w:rsidRPr="00C44D56">
              <w:rPr>
                <w:sz w:val="18"/>
                <w:szCs w:val="18"/>
              </w:rPr>
              <w:t>No</w:t>
            </w:r>
          </w:p>
        </w:tc>
        <w:tc>
          <w:tcPr>
            <w:tcW w:w="440" w:type="pct"/>
            <w:shd w:val="clear" w:color="auto" w:fill="auto"/>
          </w:tcPr>
          <w:p w14:paraId="0EBE9A00" w14:textId="576449A8" w:rsidR="0039212D" w:rsidRPr="00C44D56" w:rsidRDefault="0039212D" w:rsidP="0039212D">
            <w:pPr>
              <w:pStyle w:val="RepTable"/>
              <w:jc w:val="center"/>
              <w:rPr>
                <w:highlight w:val="yellow"/>
              </w:rPr>
            </w:pPr>
            <w:r>
              <w:rPr>
                <w:color w:val="000000"/>
                <w:sz w:val="18"/>
                <w:szCs w:val="18"/>
              </w:rPr>
              <w:t>XXXX</w:t>
            </w:r>
          </w:p>
        </w:tc>
      </w:tr>
      <w:tr w:rsidR="0039212D" w:rsidRPr="00A34F10" w14:paraId="6D2E09C0" w14:textId="77777777" w:rsidTr="007D3912">
        <w:tc>
          <w:tcPr>
            <w:tcW w:w="347" w:type="pct"/>
            <w:shd w:val="clear" w:color="auto" w:fill="auto"/>
          </w:tcPr>
          <w:p w14:paraId="7CB07B6D" w14:textId="5F563946" w:rsidR="0039212D" w:rsidRPr="00C44D56" w:rsidRDefault="0039212D" w:rsidP="0039212D">
            <w:pPr>
              <w:pStyle w:val="RepTable"/>
              <w:tabs>
                <w:tab w:val="left" w:pos="616"/>
              </w:tabs>
              <w:rPr>
                <w:highlight w:val="yellow"/>
              </w:rPr>
            </w:pPr>
            <w:r w:rsidRPr="00C44D56">
              <w:rPr>
                <w:sz w:val="18"/>
                <w:szCs w:val="18"/>
              </w:rPr>
              <w:t>KCP 10.4.2.1/3</w:t>
            </w:r>
          </w:p>
        </w:tc>
        <w:tc>
          <w:tcPr>
            <w:tcW w:w="635" w:type="pct"/>
            <w:shd w:val="clear" w:color="auto" w:fill="auto"/>
          </w:tcPr>
          <w:p w14:paraId="197C1057" w14:textId="09E01BDB" w:rsidR="0039212D" w:rsidRPr="00C44D56" w:rsidRDefault="0039212D" w:rsidP="0039212D">
            <w:pPr>
              <w:pStyle w:val="RepTable"/>
              <w:rPr>
                <w:highlight w:val="yellow"/>
              </w:rPr>
            </w:pPr>
            <w:r w:rsidRPr="00C44D56">
              <w:rPr>
                <w:sz w:val="18"/>
                <w:szCs w:val="18"/>
              </w:rPr>
              <w:t>Friedrich, S.</w:t>
            </w:r>
          </w:p>
        </w:tc>
        <w:tc>
          <w:tcPr>
            <w:tcW w:w="269" w:type="pct"/>
            <w:shd w:val="clear" w:color="auto" w:fill="auto"/>
          </w:tcPr>
          <w:p w14:paraId="478BAA4E" w14:textId="759969D6" w:rsidR="0039212D" w:rsidRPr="00C44D56" w:rsidRDefault="0039212D" w:rsidP="0039212D">
            <w:pPr>
              <w:pStyle w:val="RepTable"/>
              <w:jc w:val="center"/>
              <w:rPr>
                <w:highlight w:val="yellow"/>
              </w:rPr>
            </w:pPr>
            <w:r w:rsidRPr="00C44D56">
              <w:rPr>
                <w:sz w:val="18"/>
                <w:szCs w:val="18"/>
              </w:rPr>
              <w:t>2007</w:t>
            </w:r>
          </w:p>
        </w:tc>
        <w:tc>
          <w:tcPr>
            <w:tcW w:w="2949" w:type="pct"/>
            <w:shd w:val="clear" w:color="auto" w:fill="auto"/>
          </w:tcPr>
          <w:p w14:paraId="197E294F" w14:textId="77777777" w:rsidR="0039212D" w:rsidRPr="00C44D56" w:rsidRDefault="0039212D" w:rsidP="0039212D">
            <w:pPr>
              <w:rPr>
                <w:sz w:val="18"/>
                <w:szCs w:val="18"/>
              </w:rPr>
            </w:pPr>
            <w:r w:rsidRPr="00C44D56">
              <w:rPr>
                <w:sz w:val="18"/>
                <w:szCs w:val="18"/>
              </w:rPr>
              <w:t>Effects of BAS 650 00 F on the reproduction of the collembolans Folsomia candida in artificial soil with 5% peat</w:t>
            </w:r>
          </w:p>
          <w:p w14:paraId="18038B33" w14:textId="77777777" w:rsidR="0039212D" w:rsidRPr="00C44D56" w:rsidRDefault="0039212D" w:rsidP="0039212D">
            <w:pPr>
              <w:rPr>
                <w:sz w:val="18"/>
                <w:szCs w:val="18"/>
                <w:lang w:val="de-DE"/>
              </w:rPr>
            </w:pPr>
            <w:r w:rsidRPr="00C44D56">
              <w:rPr>
                <w:sz w:val="18"/>
                <w:szCs w:val="18"/>
                <w:lang w:val="de-DE"/>
              </w:rPr>
              <w:t>2007/1037734</w:t>
            </w:r>
          </w:p>
          <w:p w14:paraId="5AFFF2A6" w14:textId="77777777" w:rsidR="0039212D" w:rsidRPr="00C44D56" w:rsidRDefault="0039212D" w:rsidP="0039212D">
            <w:pPr>
              <w:rPr>
                <w:sz w:val="18"/>
                <w:szCs w:val="18"/>
                <w:lang w:val="de-DE"/>
              </w:rPr>
            </w:pPr>
            <w:r w:rsidRPr="00C44D56">
              <w:rPr>
                <w:sz w:val="18"/>
                <w:szCs w:val="18"/>
                <w:lang w:val="de-DE"/>
              </w:rPr>
              <w:t>BioChem agrar Labor fuer biologische und chemische Analytik GmbH, Gerichshain, Germany Fed.Rep.</w:t>
            </w:r>
          </w:p>
          <w:p w14:paraId="280CC351" w14:textId="77777777" w:rsidR="0039212D" w:rsidRPr="00C44D56" w:rsidRDefault="0039212D" w:rsidP="0039212D">
            <w:pPr>
              <w:rPr>
                <w:sz w:val="18"/>
                <w:szCs w:val="18"/>
              </w:rPr>
            </w:pPr>
            <w:r w:rsidRPr="00C44D56">
              <w:rPr>
                <w:sz w:val="18"/>
                <w:szCs w:val="18"/>
              </w:rPr>
              <w:t>yes</w:t>
            </w:r>
          </w:p>
          <w:p w14:paraId="54113DDD" w14:textId="0CADBB51" w:rsidR="0039212D" w:rsidRPr="00C44D56" w:rsidRDefault="0039212D" w:rsidP="0039212D">
            <w:pPr>
              <w:pStyle w:val="RepTable"/>
              <w:rPr>
                <w:highlight w:val="yellow"/>
              </w:rPr>
            </w:pPr>
            <w:r w:rsidRPr="00C44D56">
              <w:rPr>
                <w:sz w:val="18"/>
                <w:szCs w:val="18"/>
              </w:rPr>
              <w:t>Unpublished</w:t>
            </w:r>
          </w:p>
        </w:tc>
        <w:tc>
          <w:tcPr>
            <w:tcW w:w="360" w:type="pct"/>
            <w:shd w:val="clear" w:color="auto" w:fill="auto"/>
          </w:tcPr>
          <w:p w14:paraId="347F24B9" w14:textId="7FF7D170" w:rsidR="0039212D" w:rsidRPr="00C44D56" w:rsidRDefault="0039212D" w:rsidP="0039212D">
            <w:pPr>
              <w:pStyle w:val="RepTable"/>
              <w:jc w:val="center"/>
              <w:rPr>
                <w:highlight w:val="yellow"/>
              </w:rPr>
            </w:pPr>
            <w:r w:rsidRPr="00C44D56">
              <w:rPr>
                <w:sz w:val="18"/>
                <w:szCs w:val="18"/>
              </w:rPr>
              <w:t>No</w:t>
            </w:r>
          </w:p>
        </w:tc>
        <w:tc>
          <w:tcPr>
            <w:tcW w:w="440" w:type="pct"/>
            <w:shd w:val="clear" w:color="auto" w:fill="auto"/>
          </w:tcPr>
          <w:p w14:paraId="0CB09418" w14:textId="3CC6AD33" w:rsidR="0039212D" w:rsidRPr="00C44D56" w:rsidRDefault="0039212D" w:rsidP="0039212D">
            <w:pPr>
              <w:pStyle w:val="RepTable"/>
              <w:jc w:val="center"/>
              <w:rPr>
                <w:highlight w:val="yellow"/>
              </w:rPr>
            </w:pPr>
            <w:r>
              <w:rPr>
                <w:color w:val="000000"/>
                <w:sz w:val="18"/>
                <w:szCs w:val="18"/>
              </w:rPr>
              <w:t>XXXX</w:t>
            </w:r>
          </w:p>
        </w:tc>
      </w:tr>
      <w:tr w:rsidR="0039212D" w:rsidRPr="00A34F10" w14:paraId="08206D60" w14:textId="77777777" w:rsidTr="007D3912">
        <w:tc>
          <w:tcPr>
            <w:tcW w:w="347" w:type="pct"/>
            <w:shd w:val="clear" w:color="auto" w:fill="auto"/>
          </w:tcPr>
          <w:p w14:paraId="6972D81E" w14:textId="3D2F2D68" w:rsidR="0039212D" w:rsidRPr="00C44D56" w:rsidRDefault="0039212D" w:rsidP="0039212D">
            <w:pPr>
              <w:pStyle w:val="RepTable"/>
              <w:rPr>
                <w:highlight w:val="yellow"/>
              </w:rPr>
            </w:pPr>
            <w:r w:rsidRPr="00C44D56">
              <w:rPr>
                <w:sz w:val="18"/>
                <w:szCs w:val="18"/>
              </w:rPr>
              <w:t>KCP 10.4.2.1/4</w:t>
            </w:r>
          </w:p>
        </w:tc>
        <w:tc>
          <w:tcPr>
            <w:tcW w:w="635" w:type="pct"/>
            <w:shd w:val="clear" w:color="auto" w:fill="auto"/>
          </w:tcPr>
          <w:p w14:paraId="75D9F141" w14:textId="55EDD056" w:rsidR="0039212D" w:rsidRPr="00C44D56" w:rsidRDefault="0039212D" w:rsidP="0039212D">
            <w:pPr>
              <w:pStyle w:val="RepTable"/>
              <w:rPr>
                <w:highlight w:val="yellow"/>
              </w:rPr>
            </w:pPr>
            <w:r w:rsidRPr="00C44D56">
              <w:rPr>
                <w:sz w:val="18"/>
                <w:szCs w:val="18"/>
              </w:rPr>
              <w:t>Schulz, L.</w:t>
            </w:r>
          </w:p>
        </w:tc>
        <w:tc>
          <w:tcPr>
            <w:tcW w:w="269" w:type="pct"/>
            <w:shd w:val="clear" w:color="auto" w:fill="auto"/>
          </w:tcPr>
          <w:p w14:paraId="45093C34" w14:textId="1F5E601E" w:rsidR="0039212D" w:rsidRPr="00C44D56" w:rsidRDefault="0039212D" w:rsidP="0039212D">
            <w:pPr>
              <w:pStyle w:val="RepTable"/>
              <w:jc w:val="center"/>
              <w:rPr>
                <w:highlight w:val="yellow"/>
              </w:rPr>
            </w:pPr>
            <w:r w:rsidRPr="00C44D56">
              <w:rPr>
                <w:sz w:val="18"/>
                <w:szCs w:val="18"/>
              </w:rPr>
              <w:t>2016</w:t>
            </w:r>
          </w:p>
        </w:tc>
        <w:tc>
          <w:tcPr>
            <w:tcW w:w="2949" w:type="pct"/>
            <w:shd w:val="clear" w:color="auto" w:fill="auto"/>
          </w:tcPr>
          <w:p w14:paraId="029A0F75" w14:textId="77777777" w:rsidR="0039212D" w:rsidRPr="00C44D56" w:rsidRDefault="0039212D" w:rsidP="0039212D">
            <w:pPr>
              <w:rPr>
                <w:sz w:val="18"/>
                <w:szCs w:val="18"/>
              </w:rPr>
            </w:pPr>
            <w:r w:rsidRPr="00C44D56">
              <w:rPr>
                <w:sz w:val="18"/>
                <w:szCs w:val="18"/>
              </w:rPr>
              <w:t>Effects of BAS 650 00 F on the reproduction of the predatory mite Hypoaspis aculeifer</w:t>
            </w:r>
          </w:p>
          <w:p w14:paraId="6B4FA397" w14:textId="77777777" w:rsidR="0039212D" w:rsidRPr="00C44D56" w:rsidRDefault="0039212D" w:rsidP="0039212D">
            <w:pPr>
              <w:rPr>
                <w:sz w:val="18"/>
                <w:szCs w:val="18"/>
                <w:lang w:val="de-DE"/>
              </w:rPr>
            </w:pPr>
            <w:r w:rsidRPr="00C44D56">
              <w:rPr>
                <w:sz w:val="18"/>
                <w:szCs w:val="18"/>
                <w:lang w:val="de-DE"/>
              </w:rPr>
              <w:t>2016/1193035</w:t>
            </w:r>
          </w:p>
          <w:p w14:paraId="6943B883" w14:textId="77777777" w:rsidR="0039212D" w:rsidRPr="00C44D56" w:rsidRDefault="0039212D" w:rsidP="0039212D">
            <w:pPr>
              <w:rPr>
                <w:sz w:val="18"/>
                <w:szCs w:val="18"/>
                <w:lang w:val="de-DE"/>
              </w:rPr>
            </w:pPr>
            <w:r w:rsidRPr="00C44D56">
              <w:rPr>
                <w:sz w:val="18"/>
                <w:szCs w:val="18"/>
                <w:lang w:val="de-DE"/>
              </w:rPr>
              <w:t>BioChem agrar Labor fuer biologische und chemische Analytik GmbH, Gerichshain, Germany Fed.Rep.</w:t>
            </w:r>
          </w:p>
          <w:p w14:paraId="660A76A5" w14:textId="77777777" w:rsidR="0039212D" w:rsidRPr="00C44D56" w:rsidRDefault="0039212D" w:rsidP="0039212D">
            <w:pPr>
              <w:rPr>
                <w:sz w:val="18"/>
                <w:szCs w:val="18"/>
              </w:rPr>
            </w:pPr>
            <w:r w:rsidRPr="00C44D56">
              <w:rPr>
                <w:sz w:val="18"/>
                <w:szCs w:val="18"/>
              </w:rPr>
              <w:t>yes</w:t>
            </w:r>
          </w:p>
          <w:p w14:paraId="0E577ED2" w14:textId="3A7677DA" w:rsidR="0039212D" w:rsidRPr="00C44D56" w:rsidRDefault="0039212D" w:rsidP="0039212D">
            <w:pPr>
              <w:pStyle w:val="RepTable"/>
              <w:rPr>
                <w:highlight w:val="yellow"/>
              </w:rPr>
            </w:pPr>
            <w:r w:rsidRPr="00C44D56">
              <w:rPr>
                <w:sz w:val="18"/>
                <w:szCs w:val="18"/>
              </w:rPr>
              <w:t>Unpublished</w:t>
            </w:r>
          </w:p>
        </w:tc>
        <w:tc>
          <w:tcPr>
            <w:tcW w:w="360" w:type="pct"/>
            <w:shd w:val="clear" w:color="auto" w:fill="auto"/>
          </w:tcPr>
          <w:p w14:paraId="4DA8EF4B" w14:textId="6DE0ACDA" w:rsidR="0039212D" w:rsidRPr="00C44D56" w:rsidRDefault="0039212D" w:rsidP="0039212D">
            <w:pPr>
              <w:pStyle w:val="RepTable"/>
              <w:jc w:val="center"/>
              <w:rPr>
                <w:highlight w:val="yellow"/>
              </w:rPr>
            </w:pPr>
            <w:r w:rsidRPr="00C44D56">
              <w:rPr>
                <w:sz w:val="18"/>
                <w:szCs w:val="18"/>
              </w:rPr>
              <w:t>No</w:t>
            </w:r>
          </w:p>
        </w:tc>
        <w:tc>
          <w:tcPr>
            <w:tcW w:w="440" w:type="pct"/>
            <w:shd w:val="clear" w:color="auto" w:fill="auto"/>
          </w:tcPr>
          <w:p w14:paraId="64F0E224" w14:textId="74B845AA" w:rsidR="0039212D" w:rsidRPr="00C44D56" w:rsidRDefault="0039212D" w:rsidP="0039212D">
            <w:pPr>
              <w:pStyle w:val="RepTable"/>
              <w:jc w:val="center"/>
              <w:rPr>
                <w:highlight w:val="yellow"/>
              </w:rPr>
            </w:pPr>
            <w:r>
              <w:rPr>
                <w:color w:val="000000"/>
                <w:sz w:val="18"/>
                <w:szCs w:val="18"/>
              </w:rPr>
              <w:t>XXXX</w:t>
            </w:r>
          </w:p>
        </w:tc>
      </w:tr>
    </w:tbl>
    <w:p w14:paraId="334F4745" w14:textId="77777777" w:rsidR="00DC5685" w:rsidRPr="00A34F10" w:rsidRDefault="00DC5685" w:rsidP="00DC5685">
      <w:pPr>
        <w:pStyle w:val="RepStandard"/>
      </w:pPr>
    </w:p>
    <w:p w14:paraId="036DED99" w14:textId="77777777" w:rsidR="00DC5685" w:rsidRPr="00A34F10" w:rsidRDefault="00DC5685" w:rsidP="00DC5685">
      <w:pPr>
        <w:pStyle w:val="RepNewPart"/>
      </w:pPr>
      <w:r w:rsidRPr="00A34F10">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DC5685" w:rsidRPr="00A34F10" w14:paraId="67BB5550" w14:textId="77777777" w:rsidTr="003347E3">
        <w:trPr>
          <w:tblHeader/>
        </w:trPr>
        <w:tc>
          <w:tcPr>
            <w:tcW w:w="348" w:type="pct"/>
            <w:shd w:val="clear" w:color="auto" w:fill="auto"/>
            <w:vAlign w:val="center"/>
          </w:tcPr>
          <w:p w14:paraId="2B40BDA8" w14:textId="77777777" w:rsidR="00DC5685" w:rsidRPr="00A34F10" w:rsidRDefault="00DC5685" w:rsidP="003347E3">
            <w:pPr>
              <w:pStyle w:val="RepTableHeader"/>
              <w:jc w:val="center"/>
              <w:rPr>
                <w:lang w:val="en-GB"/>
              </w:rPr>
            </w:pPr>
            <w:r w:rsidRPr="00A34F10">
              <w:rPr>
                <w:lang w:val="en-GB"/>
              </w:rPr>
              <w:t>Data point</w:t>
            </w:r>
          </w:p>
        </w:tc>
        <w:tc>
          <w:tcPr>
            <w:tcW w:w="636" w:type="pct"/>
            <w:shd w:val="clear" w:color="auto" w:fill="auto"/>
            <w:vAlign w:val="center"/>
          </w:tcPr>
          <w:p w14:paraId="6DB89CE9" w14:textId="77777777" w:rsidR="00DC5685" w:rsidRPr="00A34F10" w:rsidRDefault="00DC5685" w:rsidP="003347E3">
            <w:pPr>
              <w:pStyle w:val="RepTableHeader"/>
              <w:jc w:val="center"/>
              <w:rPr>
                <w:lang w:val="en-GB"/>
              </w:rPr>
            </w:pPr>
            <w:r w:rsidRPr="00A34F10">
              <w:rPr>
                <w:lang w:val="en-GB"/>
              </w:rPr>
              <w:t>Author(s)</w:t>
            </w:r>
          </w:p>
        </w:tc>
        <w:tc>
          <w:tcPr>
            <w:tcW w:w="270" w:type="pct"/>
            <w:shd w:val="clear" w:color="auto" w:fill="auto"/>
            <w:vAlign w:val="center"/>
          </w:tcPr>
          <w:p w14:paraId="5E689067" w14:textId="77777777" w:rsidR="00DC5685" w:rsidRPr="00A34F10" w:rsidRDefault="00DC5685" w:rsidP="003347E3">
            <w:pPr>
              <w:pStyle w:val="RepTableHeader"/>
              <w:jc w:val="center"/>
              <w:rPr>
                <w:lang w:val="en-GB"/>
              </w:rPr>
            </w:pPr>
            <w:r w:rsidRPr="00A34F10">
              <w:rPr>
                <w:lang w:val="en-GB"/>
              </w:rPr>
              <w:t>Year</w:t>
            </w:r>
          </w:p>
        </w:tc>
        <w:tc>
          <w:tcPr>
            <w:tcW w:w="2949" w:type="pct"/>
            <w:shd w:val="clear" w:color="auto" w:fill="auto"/>
            <w:vAlign w:val="center"/>
          </w:tcPr>
          <w:p w14:paraId="6C789FB3" w14:textId="77777777" w:rsidR="00DC5685" w:rsidRPr="00A34F10" w:rsidRDefault="00DC5685" w:rsidP="003347E3">
            <w:pPr>
              <w:pStyle w:val="RepTableHeader"/>
              <w:jc w:val="center"/>
              <w:rPr>
                <w:lang w:val="en-GB"/>
              </w:rPr>
            </w:pPr>
            <w:r w:rsidRPr="00A34F10">
              <w:rPr>
                <w:lang w:val="en-GB"/>
              </w:rPr>
              <w:t>Title</w:t>
            </w:r>
            <w:r w:rsidRPr="00A34F10">
              <w:rPr>
                <w:lang w:val="en-GB"/>
              </w:rPr>
              <w:br/>
              <w:t>Company Report No.</w:t>
            </w:r>
            <w:r w:rsidRPr="00A34F10">
              <w:rPr>
                <w:lang w:val="en-GB"/>
              </w:rPr>
              <w:tab/>
            </w:r>
            <w:r w:rsidRPr="00A34F10">
              <w:rPr>
                <w:lang w:val="en-GB"/>
              </w:rPr>
              <w:br/>
              <w:t>Source (where different from company)</w:t>
            </w:r>
            <w:r w:rsidRPr="00A34F10">
              <w:rPr>
                <w:lang w:val="en-GB"/>
              </w:rPr>
              <w:br/>
              <w:t>GLP or GEP status</w:t>
            </w:r>
            <w:r w:rsidRPr="00A34F10">
              <w:rPr>
                <w:lang w:val="en-GB"/>
              </w:rPr>
              <w:br/>
              <w:t>Published or not</w:t>
            </w:r>
          </w:p>
        </w:tc>
        <w:tc>
          <w:tcPr>
            <w:tcW w:w="357" w:type="pct"/>
            <w:shd w:val="clear" w:color="auto" w:fill="auto"/>
            <w:vAlign w:val="center"/>
          </w:tcPr>
          <w:p w14:paraId="6A937F86" w14:textId="77777777" w:rsidR="00DC5685" w:rsidRPr="00A34F10" w:rsidRDefault="00DC5685" w:rsidP="003347E3">
            <w:pPr>
              <w:pStyle w:val="RepTableHeader"/>
              <w:jc w:val="center"/>
              <w:rPr>
                <w:lang w:val="en-GB"/>
              </w:rPr>
            </w:pPr>
            <w:r w:rsidRPr="00A34F10">
              <w:rPr>
                <w:lang w:val="en-GB"/>
              </w:rPr>
              <w:t>Vertebrate study</w:t>
            </w:r>
          </w:p>
          <w:p w14:paraId="37902E4B" w14:textId="77777777" w:rsidR="00DC5685" w:rsidRPr="00A34F10" w:rsidRDefault="00DC5685" w:rsidP="003347E3">
            <w:pPr>
              <w:pStyle w:val="RepTableHeader"/>
              <w:jc w:val="center"/>
              <w:rPr>
                <w:lang w:val="en-GB"/>
              </w:rPr>
            </w:pPr>
            <w:r w:rsidRPr="00A34F10">
              <w:rPr>
                <w:lang w:val="en-GB"/>
              </w:rPr>
              <w:t>Y/N</w:t>
            </w:r>
          </w:p>
        </w:tc>
        <w:tc>
          <w:tcPr>
            <w:tcW w:w="440" w:type="pct"/>
            <w:shd w:val="clear" w:color="auto" w:fill="auto"/>
            <w:vAlign w:val="center"/>
          </w:tcPr>
          <w:p w14:paraId="314CBB54" w14:textId="77777777" w:rsidR="00DC5685" w:rsidRPr="00A34F10" w:rsidRDefault="00DC5685" w:rsidP="003347E3">
            <w:pPr>
              <w:pStyle w:val="RepTableHeader"/>
              <w:jc w:val="center"/>
              <w:rPr>
                <w:lang w:val="en-GB"/>
              </w:rPr>
            </w:pPr>
            <w:r w:rsidRPr="00A34F10">
              <w:rPr>
                <w:lang w:val="en-GB"/>
              </w:rPr>
              <w:t>Owner</w:t>
            </w:r>
          </w:p>
        </w:tc>
      </w:tr>
      <w:tr w:rsidR="00DC5685" w:rsidRPr="00A34F10" w14:paraId="22F99BFE" w14:textId="77777777" w:rsidTr="000470C3">
        <w:tc>
          <w:tcPr>
            <w:tcW w:w="348" w:type="pct"/>
            <w:shd w:val="clear" w:color="auto" w:fill="auto"/>
          </w:tcPr>
          <w:p w14:paraId="18C4C910" w14:textId="77777777" w:rsidR="00DC5685" w:rsidRPr="00A34F10" w:rsidRDefault="00DC5685" w:rsidP="000470C3">
            <w:pPr>
              <w:pStyle w:val="RepTable"/>
              <w:rPr>
                <w:highlight w:val="yellow"/>
              </w:rPr>
            </w:pPr>
            <w:r w:rsidRPr="00A34F10">
              <w:rPr>
                <w:highlight w:val="yellow"/>
              </w:rPr>
              <w:t>KCP XX</w:t>
            </w:r>
          </w:p>
        </w:tc>
        <w:tc>
          <w:tcPr>
            <w:tcW w:w="636" w:type="pct"/>
            <w:shd w:val="clear" w:color="auto" w:fill="auto"/>
          </w:tcPr>
          <w:p w14:paraId="50622CF9" w14:textId="77777777" w:rsidR="00DC5685" w:rsidRPr="00A34F10" w:rsidRDefault="00DC5685" w:rsidP="000470C3">
            <w:pPr>
              <w:pStyle w:val="RepTable"/>
              <w:rPr>
                <w:highlight w:val="yellow"/>
              </w:rPr>
            </w:pPr>
            <w:r w:rsidRPr="00A34F10">
              <w:rPr>
                <w:highlight w:val="yellow"/>
              </w:rPr>
              <w:t>Author</w:t>
            </w:r>
          </w:p>
        </w:tc>
        <w:tc>
          <w:tcPr>
            <w:tcW w:w="270" w:type="pct"/>
            <w:shd w:val="clear" w:color="auto" w:fill="auto"/>
          </w:tcPr>
          <w:p w14:paraId="61643534" w14:textId="77777777" w:rsidR="00DC5685" w:rsidRPr="00A34F10" w:rsidRDefault="00DC5685" w:rsidP="000470C3">
            <w:pPr>
              <w:pStyle w:val="RepTable"/>
              <w:jc w:val="center"/>
              <w:rPr>
                <w:highlight w:val="yellow"/>
              </w:rPr>
            </w:pPr>
            <w:r w:rsidRPr="00A34F10">
              <w:rPr>
                <w:highlight w:val="yellow"/>
              </w:rPr>
              <w:t>YYYY</w:t>
            </w:r>
          </w:p>
        </w:tc>
        <w:tc>
          <w:tcPr>
            <w:tcW w:w="2949" w:type="pct"/>
            <w:shd w:val="clear" w:color="auto" w:fill="auto"/>
          </w:tcPr>
          <w:p w14:paraId="5C5A098B" w14:textId="77777777" w:rsidR="00DC5685" w:rsidRPr="00A34F10" w:rsidRDefault="00DC5685" w:rsidP="000470C3">
            <w:pPr>
              <w:pStyle w:val="RepTable"/>
              <w:rPr>
                <w:highlight w:val="yellow"/>
              </w:rPr>
            </w:pPr>
            <w:r w:rsidRPr="00A34F10">
              <w:rPr>
                <w:highlight w:val="yellow"/>
              </w:rPr>
              <w:t>Title</w:t>
            </w:r>
          </w:p>
          <w:p w14:paraId="052D0ACB" w14:textId="77777777" w:rsidR="00DC5685" w:rsidRPr="00A34F10" w:rsidRDefault="00DC5685" w:rsidP="000470C3">
            <w:pPr>
              <w:pStyle w:val="RepTable"/>
              <w:rPr>
                <w:highlight w:val="yellow"/>
              </w:rPr>
            </w:pPr>
            <w:r w:rsidRPr="00A34F10">
              <w:rPr>
                <w:highlight w:val="yellow"/>
              </w:rPr>
              <w:t>Company Report N</w:t>
            </w:r>
          </w:p>
          <w:p w14:paraId="2C03B370" w14:textId="77777777" w:rsidR="00DC5685" w:rsidRPr="00A34F10" w:rsidRDefault="00DC5685" w:rsidP="000470C3">
            <w:pPr>
              <w:pStyle w:val="RepTable"/>
              <w:rPr>
                <w:highlight w:val="yellow"/>
              </w:rPr>
            </w:pPr>
            <w:r w:rsidRPr="00A34F10">
              <w:rPr>
                <w:highlight w:val="yellow"/>
              </w:rPr>
              <w:t>Source</w:t>
            </w:r>
          </w:p>
          <w:p w14:paraId="2507912D" w14:textId="77777777" w:rsidR="00DC5685" w:rsidRPr="00A34F10" w:rsidRDefault="00DC5685" w:rsidP="000470C3">
            <w:pPr>
              <w:pStyle w:val="RepTable"/>
              <w:rPr>
                <w:highlight w:val="yellow"/>
              </w:rPr>
            </w:pPr>
            <w:r w:rsidRPr="00A34F10">
              <w:rPr>
                <w:highlight w:val="yellow"/>
              </w:rPr>
              <w:t>GLP/non GLP/GEP/non GEP</w:t>
            </w:r>
          </w:p>
          <w:p w14:paraId="2E593BBF" w14:textId="77777777" w:rsidR="00DC5685" w:rsidRPr="00A34F10" w:rsidRDefault="00DC5685" w:rsidP="000470C3">
            <w:pPr>
              <w:pStyle w:val="RepTable"/>
              <w:rPr>
                <w:highlight w:val="yellow"/>
              </w:rPr>
            </w:pPr>
            <w:r w:rsidRPr="00A34F10">
              <w:rPr>
                <w:highlight w:val="yellow"/>
              </w:rPr>
              <w:t>Published/Unpublished</w:t>
            </w:r>
          </w:p>
        </w:tc>
        <w:tc>
          <w:tcPr>
            <w:tcW w:w="357" w:type="pct"/>
            <w:shd w:val="clear" w:color="auto" w:fill="auto"/>
          </w:tcPr>
          <w:p w14:paraId="3055E468" w14:textId="77777777" w:rsidR="00DC5685" w:rsidRPr="00A34F10" w:rsidRDefault="00DC5685" w:rsidP="000470C3">
            <w:pPr>
              <w:pStyle w:val="RepTable"/>
              <w:jc w:val="center"/>
              <w:rPr>
                <w:highlight w:val="yellow"/>
              </w:rPr>
            </w:pPr>
            <w:r w:rsidRPr="00A34F10">
              <w:rPr>
                <w:highlight w:val="yellow"/>
              </w:rPr>
              <w:t>Y/N</w:t>
            </w:r>
          </w:p>
        </w:tc>
        <w:tc>
          <w:tcPr>
            <w:tcW w:w="440" w:type="pct"/>
            <w:shd w:val="clear" w:color="auto" w:fill="auto"/>
          </w:tcPr>
          <w:p w14:paraId="6A283156" w14:textId="77777777" w:rsidR="00DC5685" w:rsidRPr="00A34F10" w:rsidRDefault="00DC5685" w:rsidP="000470C3">
            <w:pPr>
              <w:pStyle w:val="RepTable"/>
              <w:jc w:val="center"/>
              <w:rPr>
                <w:highlight w:val="yellow"/>
              </w:rPr>
            </w:pPr>
            <w:r w:rsidRPr="00A34F10">
              <w:rPr>
                <w:highlight w:val="yellow"/>
              </w:rPr>
              <w:t>Owner</w:t>
            </w:r>
          </w:p>
        </w:tc>
      </w:tr>
      <w:tr w:rsidR="00DC5685" w:rsidRPr="00A34F10" w14:paraId="35276CC0" w14:textId="77777777" w:rsidTr="000470C3">
        <w:tc>
          <w:tcPr>
            <w:tcW w:w="348" w:type="pct"/>
            <w:shd w:val="clear" w:color="auto" w:fill="auto"/>
          </w:tcPr>
          <w:p w14:paraId="5CE21A64" w14:textId="77777777" w:rsidR="00DC5685" w:rsidRPr="00A34F10" w:rsidRDefault="00DC5685" w:rsidP="000470C3">
            <w:pPr>
              <w:pStyle w:val="RepTable"/>
              <w:rPr>
                <w:highlight w:val="yellow"/>
              </w:rPr>
            </w:pPr>
          </w:p>
        </w:tc>
        <w:tc>
          <w:tcPr>
            <w:tcW w:w="636" w:type="pct"/>
            <w:shd w:val="clear" w:color="auto" w:fill="auto"/>
          </w:tcPr>
          <w:p w14:paraId="691B543A" w14:textId="77777777" w:rsidR="00DC5685" w:rsidRPr="00A34F10" w:rsidRDefault="00DC5685" w:rsidP="000470C3">
            <w:pPr>
              <w:pStyle w:val="RepTable"/>
              <w:rPr>
                <w:highlight w:val="yellow"/>
              </w:rPr>
            </w:pPr>
          </w:p>
        </w:tc>
        <w:tc>
          <w:tcPr>
            <w:tcW w:w="270" w:type="pct"/>
            <w:shd w:val="clear" w:color="auto" w:fill="auto"/>
          </w:tcPr>
          <w:p w14:paraId="587B3678" w14:textId="77777777" w:rsidR="00DC5685" w:rsidRPr="00A34F10" w:rsidRDefault="00DC5685" w:rsidP="000470C3">
            <w:pPr>
              <w:pStyle w:val="RepTable"/>
              <w:jc w:val="center"/>
              <w:rPr>
                <w:highlight w:val="yellow"/>
              </w:rPr>
            </w:pPr>
          </w:p>
        </w:tc>
        <w:tc>
          <w:tcPr>
            <w:tcW w:w="2949" w:type="pct"/>
            <w:shd w:val="clear" w:color="auto" w:fill="auto"/>
          </w:tcPr>
          <w:p w14:paraId="09E58E09" w14:textId="77777777" w:rsidR="00DC5685" w:rsidRPr="00A34F10" w:rsidRDefault="00DC5685" w:rsidP="000470C3">
            <w:pPr>
              <w:pStyle w:val="RepTable"/>
              <w:rPr>
                <w:highlight w:val="yellow"/>
              </w:rPr>
            </w:pPr>
          </w:p>
        </w:tc>
        <w:tc>
          <w:tcPr>
            <w:tcW w:w="357" w:type="pct"/>
            <w:shd w:val="clear" w:color="auto" w:fill="auto"/>
          </w:tcPr>
          <w:p w14:paraId="4686AD16" w14:textId="77777777" w:rsidR="00DC5685" w:rsidRPr="00A34F10" w:rsidRDefault="00DC5685" w:rsidP="000470C3">
            <w:pPr>
              <w:pStyle w:val="RepTable"/>
              <w:jc w:val="center"/>
              <w:rPr>
                <w:highlight w:val="yellow"/>
              </w:rPr>
            </w:pPr>
          </w:p>
        </w:tc>
        <w:tc>
          <w:tcPr>
            <w:tcW w:w="440" w:type="pct"/>
            <w:shd w:val="clear" w:color="auto" w:fill="auto"/>
          </w:tcPr>
          <w:p w14:paraId="37AAF936" w14:textId="77777777" w:rsidR="00DC5685" w:rsidRPr="00A34F10" w:rsidRDefault="00DC5685" w:rsidP="000470C3">
            <w:pPr>
              <w:pStyle w:val="RepTable"/>
              <w:jc w:val="center"/>
              <w:rPr>
                <w:highlight w:val="yellow"/>
              </w:rPr>
            </w:pPr>
          </w:p>
        </w:tc>
      </w:tr>
      <w:bookmarkEnd w:id="982"/>
      <w:bookmarkEnd w:id="983"/>
      <w:bookmarkEnd w:id="984"/>
      <w:bookmarkEnd w:id="985"/>
      <w:bookmarkEnd w:id="986"/>
      <w:bookmarkEnd w:id="987"/>
    </w:tbl>
    <w:p w14:paraId="4483DD50" w14:textId="77777777" w:rsidR="00DC5685" w:rsidRPr="00A34F10" w:rsidRDefault="00DC5685" w:rsidP="00DC5685">
      <w:pPr>
        <w:pStyle w:val="RepStandard"/>
      </w:pPr>
    </w:p>
    <w:p w14:paraId="0692534C" w14:textId="77777777" w:rsidR="00DC5685" w:rsidRPr="00A34F10" w:rsidRDefault="00DC5685" w:rsidP="00DC5685">
      <w:pPr>
        <w:pStyle w:val="RepStandard"/>
        <w:sectPr w:rsidR="00DC5685" w:rsidRPr="00A34F10" w:rsidSect="00D20BDB">
          <w:headerReference w:type="default" r:id="rId55"/>
          <w:footerReference w:type="even" r:id="rId56"/>
          <w:footerReference w:type="default" r:id="rId57"/>
          <w:footerReference w:type="first" r:id="rId58"/>
          <w:pgSz w:w="16834" w:h="11909" w:orient="landscape" w:code="9"/>
          <w:pgMar w:top="1418" w:right="1134" w:bottom="1134" w:left="1134" w:header="709" w:footer="709" w:gutter="0"/>
          <w:pgNumType w:chapSep="period"/>
          <w:cols w:space="720"/>
          <w:noEndnote/>
          <w:docGrid w:linePitch="299"/>
        </w:sectPr>
      </w:pPr>
    </w:p>
    <w:p w14:paraId="3692420F" w14:textId="77777777" w:rsidR="00DC5685" w:rsidRPr="00A34F10" w:rsidRDefault="00DC5685" w:rsidP="00DC5685">
      <w:pPr>
        <w:pStyle w:val="RepAppendix1"/>
        <w:numPr>
          <w:ilvl w:val="0"/>
          <w:numId w:val="10"/>
        </w:numPr>
      </w:pPr>
      <w:bookmarkStart w:id="988" w:name="_Toc412644044"/>
      <w:bookmarkStart w:id="989" w:name="_Toc413916888"/>
      <w:bookmarkStart w:id="990" w:name="_Toc413917030"/>
      <w:bookmarkStart w:id="991" w:name="_Toc413922091"/>
      <w:bookmarkStart w:id="992" w:name="_Toc413922580"/>
      <w:bookmarkStart w:id="993" w:name="_Toc413922684"/>
      <w:bookmarkStart w:id="994" w:name="_Toc414955321"/>
      <w:bookmarkStart w:id="995" w:name="_Ref414958733"/>
      <w:bookmarkStart w:id="996" w:name="_Ref414958870"/>
      <w:bookmarkStart w:id="997" w:name="_Ref414960979"/>
      <w:bookmarkStart w:id="998" w:name="_Ref414963503"/>
      <w:bookmarkStart w:id="999" w:name="_Ref414968855"/>
      <w:bookmarkStart w:id="1000" w:name="_Ref414968938"/>
      <w:bookmarkStart w:id="1001" w:name="_Ref414970056"/>
      <w:bookmarkStart w:id="1002" w:name="_Ref414970285"/>
      <w:bookmarkStart w:id="1003" w:name="_Ref414970802"/>
      <w:bookmarkStart w:id="1004" w:name="_Ref414970842"/>
      <w:bookmarkStart w:id="1005" w:name="_Ref414977899"/>
      <w:bookmarkStart w:id="1006" w:name="_Ref414978963"/>
      <w:bookmarkStart w:id="1007" w:name="_Toc415214628"/>
      <w:bookmarkStart w:id="1008" w:name="_Ref415475349"/>
      <w:bookmarkStart w:id="1009" w:name="_Toc181625016"/>
      <w:r w:rsidRPr="00A34F10">
        <w:lastRenderedPageBreak/>
        <w:t>Detailed evaluation of the new studies</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14:paraId="23FCFCD0" w14:textId="77777777" w:rsidR="00DC5685" w:rsidRPr="00A34F10" w:rsidRDefault="00DC5685" w:rsidP="00DC5685">
      <w:pPr>
        <w:pStyle w:val="RepAppendix2"/>
      </w:pPr>
      <w:bookmarkStart w:id="1010" w:name="_Toc413922092"/>
      <w:bookmarkStart w:id="1011" w:name="_Toc413922581"/>
      <w:bookmarkStart w:id="1012" w:name="_Toc413922685"/>
      <w:bookmarkStart w:id="1013" w:name="_Toc414955322"/>
      <w:bookmarkStart w:id="1014" w:name="_Toc415214629"/>
      <w:bookmarkStart w:id="1015" w:name="_Toc181625017"/>
      <w:r w:rsidRPr="00A34F10">
        <w:t>KCP 10.1</w:t>
      </w:r>
      <w:r w:rsidRPr="00A34F10">
        <w:tab/>
        <w:t>Effects on birds and other terrestrial vertebrates</w:t>
      </w:r>
      <w:bookmarkEnd w:id="1010"/>
      <w:bookmarkEnd w:id="1011"/>
      <w:bookmarkEnd w:id="1012"/>
      <w:bookmarkEnd w:id="1013"/>
      <w:bookmarkEnd w:id="1014"/>
      <w:bookmarkEnd w:id="1015"/>
    </w:p>
    <w:p w14:paraId="3B7B765A" w14:textId="77777777" w:rsidR="00DC5685" w:rsidRPr="00A34F10" w:rsidRDefault="00DC5685" w:rsidP="00DC5685">
      <w:pPr>
        <w:pStyle w:val="RepAppendix3"/>
      </w:pPr>
      <w:bookmarkStart w:id="1016" w:name="_Toc413922093"/>
      <w:bookmarkStart w:id="1017" w:name="_Toc413922582"/>
      <w:bookmarkStart w:id="1018" w:name="_Toc413922686"/>
      <w:bookmarkStart w:id="1019" w:name="_Toc414955323"/>
      <w:bookmarkStart w:id="1020" w:name="_Toc415214630"/>
      <w:bookmarkStart w:id="1021" w:name="_Toc181625018"/>
      <w:r w:rsidRPr="00A34F10">
        <w:t>KCP 10.1.1</w:t>
      </w:r>
      <w:r w:rsidRPr="00A34F10">
        <w:tab/>
        <w:t>Effects on birds</w:t>
      </w:r>
      <w:bookmarkEnd w:id="1016"/>
      <w:bookmarkEnd w:id="1017"/>
      <w:bookmarkEnd w:id="1018"/>
      <w:bookmarkEnd w:id="1019"/>
      <w:bookmarkEnd w:id="1020"/>
      <w:bookmarkEnd w:id="1021"/>
    </w:p>
    <w:p w14:paraId="0A783CC8" w14:textId="77777777" w:rsidR="00DC5685" w:rsidRPr="00A34F10" w:rsidRDefault="00DC5685" w:rsidP="00DC5685">
      <w:pPr>
        <w:pStyle w:val="RepAppendix4"/>
      </w:pPr>
      <w:r w:rsidRPr="00A34F10">
        <w:t>KCP 10.1.1.1</w:t>
      </w:r>
      <w:r w:rsidRPr="00A34F10">
        <w:tab/>
        <w:t>Acute oral toxicity</w:t>
      </w:r>
    </w:p>
    <w:p w14:paraId="41C06F37" w14:textId="77777777" w:rsidR="00DC5685" w:rsidRPr="00A34F10" w:rsidRDefault="00DC5685" w:rsidP="00BB63B3">
      <w:pPr>
        <w:pStyle w:val="RepAppendix5"/>
        <w:rPr>
          <w:lang w:val="en-GB"/>
        </w:rPr>
      </w:pPr>
      <w:r w:rsidRPr="00A34F10">
        <w:rPr>
          <w:lang w:val="en-GB"/>
        </w:rPr>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1056DC23" w14:textId="77777777" w:rsidTr="000D1DCD">
        <w:tc>
          <w:tcPr>
            <w:tcW w:w="1063" w:type="pct"/>
            <w:shd w:val="clear" w:color="auto" w:fill="D9D9D9" w:themeFill="background1" w:themeFillShade="D9"/>
          </w:tcPr>
          <w:p w14:paraId="0E77716B" w14:textId="77777777" w:rsidR="00DC5685" w:rsidRPr="00A34F10" w:rsidRDefault="00DC5685" w:rsidP="000470C3">
            <w:pPr>
              <w:pStyle w:val="RepStandard"/>
              <w:suppressAutoHyphens/>
              <w:rPr>
                <w:rFonts w:eastAsia="Batang"/>
                <w:color w:val="000000" w:themeColor="text1"/>
              </w:rPr>
            </w:pPr>
            <w:r w:rsidRPr="00A34F10">
              <w:t>Comments of zRMS:</w:t>
            </w:r>
          </w:p>
        </w:tc>
        <w:tc>
          <w:tcPr>
            <w:tcW w:w="3937" w:type="pct"/>
            <w:shd w:val="clear" w:color="auto" w:fill="D9D9D9" w:themeFill="background1" w:themeFillShade="D9"/>
          </w:tcPr>
          <w:p w14:paraId="39268272" w14:textId="791CD7FA" w:rsidR="00943C2E" w:rsidRPr="007A6328" w:rsidRDefault="00943C2E" w:rsidP="00943C2E">
            <w:pPr>
              <w:pStyle w:val="RepStandard"/>
              <w:rPr>
                <w:color w:val="000000"/>
              </w:rPr>
            </w:pPr>
            <w:r w:rsidRPr="007A6328">
              <w:rPr>
                <w:color w:val="000000"/>
              </w:rPr>
              <w:t>The study was conducted to OECD guideline 2</w:t>
            </w:r>
            <w:r w:rsidR="00192C80">
              <w:rPr>
                <w:color w:val="000000"/>
              </w:rPr>
              <w:t>23</w:t>
            </w:r>
            <w:r w:rsidRPr="007A6328">
              <w:rPr>
                <w:color w:val="000000"/>
              </w:rPr>
              <w:t xml:space="preserve"> and according to the principles of GLP. No deviations to the guideline were noted. All validity criteria were met.</w:t>
            </w:r>
          </w:p>
          <w:p w14:paraId="1746C095" w14:textId="15672450" w:rsidR="00DC5685" w:rsidRPr="00A34F10" w:rsidRDefault="00943C2E" w:rsidP="00192C80">
            <w:pPr>
              <w:pStyle w:val="RepStandard"/>
              <w:suppressAutoHyphens/>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 xml:space="preserve">. </w:t>
            </w:r>
            <w:fldSimple w:instr=" FORMTEXT "/>
          </w:p>
        </w:tc>
      </w:tr>
    </w:tbl>
    <w:p w14:paraId="6F47F38B" w14:textId="77777777" w:rsidR="00DC5685" w:rsidRPr="00A34F10" w:rsidRDefault="00DC5685" w:rsidP="00DC5685">
      <w:pPr>
        <w:keepNext/>
        <w:tabs>
          <w:tab w:val="left" w:pos="360"/>
        </w:tabs>
        <w:spacing w:before="60" w:after="60"/>
        <w:jc w:val="both"/>
        <w:rPr>
          <w:sz w:val="20"/>
          <w:szCs w:val="20"/>
        </w:rPr>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DC5685" w:rsidRPr="00A34F10" w14:paraId="42860437" w14:textId="77777777" w:rsidTr="000470C3">
        <w:trPr>
          <w:gridAfter w:val="1"/>
          <w:wAfter w:w="9" w:type="pct"/>
        </w:trPr>
        <w:tc>
          <w:tcPr>
            <w:tcW w:w="1340" w:type="pct"/>
            <w:shd w:val="clear" w:color="auto" w:fill="auto"/>
          </w:tcPr>
          <w:p w14:paraId="36570A9E" w14:textId="77777777" w:rsidR="00DC5685" w:rsidRPr="00A34F10" w:rsidRDefault="00DC5685" w:rsidP="000470C3">
            <w:pPr>
              <w:pStyle w:val="RepStandard"/>
            </w:pPr>
            <w:r w:rsidRPr="00A34F10">
              <w:t>Reference:</w:t>
            </w:r>
          </w:p>
        </w:tc>
        <w:tc>
          <w:tcPr>
            <w:tcW w:w="3651" w:type="pct"/>
            <w:shd w:val="clear" w:color="auto" w:fill="auto"/>
          </w:tcPr>
          <w:p w14:paraId="443F1143" w14:textId="77777777" w:rsidR="00DC5685" w:rsidRPr="00A34F10" w:rsidRDefault="00DC5685" w:rsidP="000470C3">
            <w:pPr>
              <w:pStyle w:val="RepStandard"/>
            </w:pPr>
            <w:r w:rsidRPr="00A34F10">
              <w:t>CP 10.1.1.1/1</w:t>
            </w:r>
          </w:p>
        </w:tc>
      </w:tr>
      <w:tr w:rsidR="00DC5685" w:rsidRPr="00A34F10" w14:paraId="4634A022" w14:textId="77777777" w:rsidTr="000470C3">
        <w:trPr>
          <w:gridAfter w:val="1"/>
          <w:wAfter w:w="9" w:type="pct"/>
        </w:trPr>
        <w:tc>
          <w:tcPr>
            <w:tcW w:w="1340" w:type="pct"/>
            <w:shd w:val="clear" w:color="auto" w:fill="auto"/>
          </w:tcPr>
          <w:p w14:paraId="2A5C99C2" w14:textId="77777777" w:rsidR="00DC5685" w:rsidRPr="00A34F10" w:rsidRDefault="00DC5685" w:rsidP="000470C3">
            <w:pPr>
              <w:pStyle w:val="RepStandard"/>
              <w:spacing w:after="120"/>
            </w:pPr>
            <w:r w:rsidRPr="00A34F10">
              <w:t>Report</w:t>
            </w:r>
          </w:p>
        </w:tc>
        <w:tc>
          <w:tcPr>
            <w:tcW w:w="3651" w:type="pct"/>
            <w:shd w:val="clear" w:color="auto" w:fill="auto"/>
          </w:tcPr>
          <w:p w14:paraId="3D8370E8" w14:textId="7A8DCD4E" w:rsidR="00DC5685" w:rsidRPr="00A34F10" w:rsidRDefault="00DC5685" w:rsidP="000470C3">
            <w:pPr>
              <w:pStyle w:val="RepStandard"/>
              <w:spacing w:after="120"/>
            </w:pPr>
            <w:r w:rsidRPr="00A34F10">
              <w:t>BAS 743 02 F: Acute Oral Toxicity Test with Northern Bobwhite (</w:t>
            </w:r>
            <w:r w:rsidRPr="00A34F10">
              <w:rPr>
                <w:i/>
                <w:iCs/>
              </w:rPr>
              <w:t>Colinus virginianus</w:t>
            </w:r>
            <w:r w:rsidRPr="00A34F10">
              <w:t>)</w:t>
            </w:r>
          </w:p>
          <w:p w14:paraId="768F4E6B" w14:textId="5D4242DE" w:rsidR="00DC5685" w:rsidRPr="00A34F10" w:rsidRDefault="00611BDA" w:rsidP="000470C3">
            <w:pPr>
              <w:pStyle w:val="RepStandard"/>
              <w:spacing w:after="120"/>
            </w:pPr>
            <w:r>
              <w:t>XXXX</w:t>
            </w:r>
            <w:r w:rsidR="00DC5685" w:rsidRPr="00A34F10">
              <w:t>. 2022</w:t>
            </w:r>
          </w:p>
          <w:p w14:paraId="72C04C6A" w14:textId="7DB3B771" w:rsidR="00DC5685" w:rsidRPr="00A34F10" w:rsidRDefault="00482794" w:rsidP="000470C3">
            <w:pPr>
              <w:pStyle w:val="RepStandard"/>
              <w:spacing w:after="120"/>
            </w:pPr>
            <w:r>
              <w:t>XXXX</w:t>
            </w:r>
            <w:r w:rsidR="00DC5685" w:rsidRPr="00A34F10">
              <w:t xml:space="preserve"> Study ID: 933752_15</w:t>
            </w:r>
          </w:p>
          <w:p w14:paraId="56406DED" w14:textId="5B275091" w:rsidR="00DC5685" w:rsidRPr="00A34F10" w:rsidRDefault="00482794" w:rsidP="000470C3">
            <w:pPr>
              <w:pStyle w:val="RepStandard"/>
              <w:spacing w:after="120"/>
            </w:pPr>
            <w:r>
              <w:t>XXXX</w:t>
            </w:r>
            <w:r w:rsidR="00DC5685" w:rsidRPr="00A34F10">
              <w:t xml:space="preserve"> Doc ID: 2022/2033724</w:t>
            </w:r>
          </w:p>
          <w:p w14:paraId="00C5FAD6" w14:textId="77777777" w:rsidR="00DC5685" w:rsidRPr="00A34F10" w:rsidRDefault="00DC5685" w:rsidP="000470C3">
            <w:pPr>
              <w:pStyle w:val="RepStandard"/>
            </w:pPr>
            <w:r w:rsidRPr="00A34F10">
              <w:t>Authority registration No</w:t>
            </w:r>
          </w:p>
        </w:tc>
      </w:tr>
      <w:tr w:rsidR="00DC5685" w:rsidRPr="00A34F10" w14:paraId="18B1041D" w14:textId="77777777" w:rsidTr="000470C3">
        <w:trPr>
          <w:gridAfter w:val="1"/>
          <w:wAfter w:w="9" w:type="pct"/>
        </w:trPr>
        <w:tc>
          <w:tcPr>
            <w:tcW w:w="1340" w:type="pct"/>
            <w:shd w:val="clear" w:color="auto" w:fill="auto"/>
          </w:tcPr>
          <w:p w14:paraId="6BF021A0" w14:textId="77777777" w:rsidR="00DC5685" w:rsidRPr="00A34F10" w:rsidRDefault="00DC5685" w:rsidP="000470C3">
            <w:pPr>
              <w:pStyle w:val="RepStandard"/>
            </w:pPr>
            <w:r w:rsidRPr="00A34F10">
              <w:t>Guideline(s):</w:t>
            </w:r>
          </w:p>
        </w:tc>
        <w:tc>
          <w:tcPr>
            <w:tcW w:w="3651" w:type="pct"/>
            <w:shd w:val="clear" w:color="auto" w:fill="auto"/>
          </w:tcPr>
          <w:p w14:paraId="7646E44B" w14:textId="77777777" w:rsidR="00DC5685" w:rsidRPr="00A34F10" w:rsidRDefault="00DC5685" w:rsidP="000470C3">
            <w:pPr>
              <w:pStyle w:val="RepStandard"/>
            </w:pPr>
            <w:r w:rsidRPr="00A34F10">
              <w:t>OECD 223 (2016)</w:t>
            </w:r>
          </w:p>
        </w:tc>
      </w:tr>
      <w:tr w:rsidR="00DC5685" w:rsidRPr="00A34F10" w14:paraId="104410A6" w14:textId="77777777" w:rsidTr="000470C3">
        <w:trPr>
          <w:gridAfter w:val="1"/>
          <w:wAfter w:w="9" w:type="pct"/>
        </w:trPr>
        <w:tc>
          <w:tcPr>
            <w:tcW w:w="1340" w:type="pct"/>
            <w:shd w:val="clear" w:color="auto" w:fill="auto"/>
          </w:tcPr>
          <w:p w14:paraId="59F7918B" w14:textId="77777777" w:rsidR="00DC5685" w:rsidRPr="00A34F10" w:rsidRDefault="00DC5685" w:rsidP="000470C3">
            <w:pPr>
              <w:pStyle w:val="RepStandard"/>
            </w:pPr>
            <w:r w:rsidRPr="00A34F10">
              <w:t>Deviations:</w:t>
            </w:r>
          </w:p>
        </w:tc>
        <w:tc>
          <w:tcPr>
            <w:tcW w:w="3651" w:type="pct"/>
            <w:shd w:val="clear" w:color="auto" w:fill="auto"/>
          </w:tcPr>
          <w:p w14:paraId="09976681" w14:textId="77777777" w:rsidR="00DC5685" w:rsidRPr="00A34F10" w:rsidRDefault="00DC5685" w:rsidP="000470C3">
            <w:pPr>
              <w:pStyle w:val="RepStandard"/>
              <w:spacing w:after="120"/>
            </w:pPr>
            <w:r w:rsidRPr="00A34F10">
              <w:t xml:space="preserve">No </w:t>
            </w:r>
          </w:p>
        </w:tc>
      </w:tr>
      <w:tr w:rsidR="00DC5685" w:rsidRPr="00A34F10" w14:paraId="5C02D3E3" w14:textId="77777777" w:rsidTr="000470C3">
        <w:tc>
          <w:tcPr>
            <w:tcW w:w="1340" w:type="pct"/>
            <w:shd w:val="clear" w:color="auto" w:fill="auto"/>
          </w:tcPr>
          <w:p w14:paraId="1E3F631C" w14:textId="77777777" w:rsidR="00DC5685" w:rsidRPr="00A34F10" w:rsidRDefault="00DC5685" w:rsidP="000470C3">
            <w:pPr>
              <w:pStyle w:val="RepStandard"/>
            </w:pPr>
            <w:r w:rsidRPr="00A34F10">
              <w:t>GLP:</w:t>
            </w:r>
          </w:p>
        </w:tc>
        <w:tc>
          <w:tcPr>
            <w:tcW w:w="3660" w:type="pct"/>
            <w:gridSpan w:val="2"/>
            <w:shd w:val="clear" w:color="auto" w:fill="auto"/>
          </w:tcPr>
          <w:p w14:paraId="00C9E27F" w14:textId="77777777" w:rsidR="00DC5685" w:rsidRPr="00A34F10" w:rsidRDefault="00DC5685" w:rsidP="000470C3">
            <w:pPr>
              <w:tabs>
                <w:tab w:val="left" w:pos="425"/>
                <w:tab w:val="left" w:pos="850"/>
              </w:tabs>
              <w:spacing w:after="120"/>
              <w:ind w:left="1985" w:hanging="1985"/>
              <w:rPr>
                <w:b/>
              </w:rPr>
            </w:pPr>
            <w:r w:rsidRPr="00A34F10">
              <w:t>yes</w:t>
            </w:r>
          </w:p>
        </w:tc>
      </w:tr>
      <w:tr w:rsidR="00DC5685" w:rsidRPr="00A34F10" w14:paraId="7B61A74A" w14:textId="77777777" w:rsidTr="000470C3">
        <w:trPr>
          <w:gridAfter w:val="1"/>
          <w:wAfter w:w="9" w:type="pct"/>
        </w:trPr>
        <w:tc>
          <w:tcPr>
            <w:tcW w:w="1340" w:type="pct"/>
            <w:shd w:val="clear" w:color="auto" w:fill="auto"/>
          </w:tcPr>
          <w:p w14:paraId="73879CAE" w14:textId="77777777" w:rsidR="00DC5685" w:rsidRPr="00A34F10" w:rsidRDefault="00DC5685" w:rsidP="000470C3">
            <w:pPr>
              <w:pStyle w:val="RepStandard"/>
            </w:pPr>
            <w:r w:rsidRPr="00A34F10">
              <w:t>Acceptability:</w:t>
            </w:r>
          </w:p>
        </w:tc>
        <w:tc>
          <w:tcPr>
            <w:tcW w:w="3651" w:type="pct"/>
            <w:shd w:val="clear" w:color="auto" w:fill="auto"/>
          </w:tcPr>
          <w:p w14:paraId="3492B620" w14:textId="77777777" w:rsidR="00DC5685" w:rsidRPr="00A34F10" w:rsidRDefault="00DC5685" w:rsidP="000470C3">
            <w:pPr>
              <w:pStyle w:val="RepStandard"/>
            </w:pPr>
            <w:r w:rsidRPr="00A34F10">
              <w:t xml:space="preserve">Yes </w:t>
            </w:r>
          </w:p>
        </w:tc>
      </w:tr>
      <w:tr w:rsidR="00DC5685" w:rsidRPr="00A34F10" w14:paraId="76CFF87F" w14:textId="77777777" w:rsidTr="000470C3">
        <w:trPr>
          <w:gridAfter w:val="1"/>
          <w:wAfter w:w="9" w:type="pct"/>
        </w:trPr>
        <w:tc>
          <w:tcPr>
            <w:tcW w:w="1340" w:type="pct"/>
            <w:shd w:val="clear" w:color="auto" w:fill="auto"/>
          </w:tcPr>
          <w:p w14:paraId="6C5BAE87" w14:textId="77777777" w:rsidR="00DC5685" w:rsidRPr="00A34F10" w:rsidRDefault="00DC5685" w:rsidP="000470C3">
            <w:pPr>
              <w:pStyle w:val="RepStandard"/>
            </w:pPr>
            <w:r w:rsidRPr="00A34F10">
              <w:t xml:space="preserve">Duplication </w:t>
            </w:r>
            <w:r w:rsidRPr="00A34F10">
              <w:br/>
              <w:t>(if vertebrate study)</w:t>
            </w:r>
          </w:p>
        </w:tc>
        <w:tc>
          <w:tcPr>
            <w:tcW w:w="3651" w:type="pct"/>
            <w:shd w:val="clear" w:color="auto" w:fill="auto"/>
          </w:tcPr>
          <w:p w14:paraId="14435992" w14:textId="77777777" w:rsidR="00DC5685" w:rsidRPr="00A34F10" w:rsidRDefault="00DC5685" w:rsidP="000470C3">
            <w:pPr>
              <w:pStyle w:val="RepStandard"/>
              <w:spacing w:after="120"/>
            </w:pPr>
            <w:r w:rsidRPr="00A34F10">
              <w:t xml:space="preserve">No </w:t>
            </w:r>
          </w:p>
        </w:tc>
      </w:tr>
    </w:tbl>
    <w:p w14:paraId="237D24C3" w14:textId="77777777" w:rsidR="00DC5685" w:rsidRPr="00A34F10" w:rsidRDefault="00DC5685" w:rsidP="00DC5685">
      <w:pPr>
        <w:pStyle w:val="EFSABodytext"/>
        <w:spacing w:after="0"/>
        <w:rPr>
          <w:rFonts w:ascii="Times New Roman" w:hAnsi="Times New Roman" w:cs="Times New Roman"/>
          <w:b/>
          <w:bCs/>
          <w:sz w:val="24"/>
          <w:szCs w:val="24"/>
          <w:highlight w:val="yellow"/>
        </w:rPr>
      </w:pPr>
    </w:p>
    <w:p w14:paraId="12F813CD" w14:textId="77777777" w:rsidR="00DC5685" w:rsidRPr="00A34F10" w:rsidRDefault="00DC5685" w:rsidP="00DC5685">
      <w:pPr>
        <w:pStyle w:val="EFSABodytext"/>
        <w:rPr>
          <w:rFonts w:ascii="Times New Roman" w:hAnsi="Times New Roman" w:cs="Times New Roman"/>
          <w:b/>
          <w:bCs/>
        </w:rPr>
      </w:pPr>
      <w:r w:rsidRPr="00A34F10">
        <w:rPr>
          <w:rFonts w:ascii="Times New Roman" w:hAnsi="Times New Roman" w:cs="Times New Roman"/>
          <w:b/>
          <w:bCs/>
        </w:rPr>
        <w:t>Executive Summary</w:t>
      </w:r>
    </w:p>
    <w:p w14:paraId="521C5379" w14:textId="77777777" w:rsidR="00DC5685" w:rsidRPr="00A34F10" w:rsidRDefault="00DC5685" w:rsidP="00DC5685">
      <w:pPr>
        <w:jc w:val="both"/>
      </w:pPr>
      <w:r w:rsidRPr="00A34F10">
        <w:t>The acute oral toxicity of BAS 743 02 F to the Northern bobwhite quail (</w:t>
      </w:r>
      <w:r w:rsidRPr="00A34F10">
        <w:rPr>
          <w:i/>
        </w:rPr>
        <w:t>Colinus virginianus</w:t>
      </w:r>
      <w:r w:rsidRPr="00A34F10">
        <w:t>) was determined in the laboratory over 14 days as a limit test with a nominal dose of 2000 mg product/kg body weight (bw), administered as oral gavage. An untreated control group was tested in parallel. Each treatment comprised of one group containing ten Northern bobwhite (five males and five females).</w:t>
      </w:r>
    </w:p>
    <w:p w14:paraId="23BB250C" w14:textId="77777777" w:rsidR="00DC5685" w:rsidRPr="00A34F10" w:rsidRDefault="00DC5685" w:rsidP="00DC5685">
      <w:pPr>
        <w:jc w:val="both"/>
        <w:rPr>
          <w:highlight w:val="yellow"/>
        </w:rPr>
      </w:pPr>
    </w:p>
    <w:p w14:paraId="5D88F9E6" w14:textId="77777777" w:rsidR="00DC5685" w:rsidRPr="00A34F10" w:rsidRDefault="00DC5685" w:rsidP="00DC5685">
      <w:pPr>
        <w:jc w:val="both"/>
      </w:pPr>
      <w:r w:rsidRPr="00A34F10">
        <w:t>Birds were observed on multiple occasions during day 0, and once daily for the remainder of the study. Observations were performed for mortality, signs of toxicity, abnormal behaviour, and signs of regurgitation. Body weights were measured individually at test initiation and on days 3, 7 and 14. Feed consumption was determined for days 0-3, 3-7 and 7-14.</w:t>
      </w:r>
    </w:p>
    <w:p w14:paraId="6AE7E3C3" w14:textId="018F5E46" w:rsidR="00840C5D" w:rsidRDefault="00840C5D">
      <w:pPr>
        <w:rPr>
          <w:highlight w:val="yellow"/>
        </w:rPr>
      </w:pPr>
      <w:r>
        <w:rPr>
          <w:highlight w:val="yellow"/>
        </w:rPr>
        <w:br w:type="page"/>
      </w:r>
    </w:p>
    <w:p w14:paraId="74204AD7" w14:textId="77777777" w:rsidR="00DC5685" w:rsidRPr="00A34F10" w:rsidRDefault="00DC5685" w:rsidP="00DC5685">
      <w:pPr>
        <w:jc w:val="both"/>
        <w:rPr>
          <w:highlight w:val="yellow"/>
        </w:rPr>
      </w:pPr>
    </w:p>
    <w:p w14:paraId="5D19AFAB" w14:textId="5BA5ACDD" w:rsidR="00E266E8" w:rsidRPr="00A34F10" w:rsidRDefault="00DC5685" w:rsidP="00DC5685">
      <w:pPr>
        <w:jc w:val="both"/>
      </w:pPr>
      <w:r w:rsidRPr="00A34F10">
        <w:t>No mortalities occurred during the study. No abnormal behaviour was observed for the control group. All birds in the 2000 mg product/kg bw group exhibited reduced faecal urate production or production of only or primarily urates, but all birds returned to normal faecal urate production by day 2 post-dosing. Body weight change and feed consumption were within normal limits for both the control and the 2000 mg product/kg bw treatment group throughout the experimental phase of the study. The LD</w:t>
      </w:r>
      <w:r w:rsidRPr="00A34F10">
        <w:rPr>
          <w:vertAlign w:val="subscript"/>
        </w:rPr>
        <w:t>50</w:t>
      </w:r>
      <w:r w:rsidRPr="00A34F10">
        <w:t xml:space="preserve"> was estimated to be &gt; 2000 mg product/kg bw, i.e. greater than the nominal dose tested. </w:t>
      </w:r>
    </w:p>
    <w:p w14:paraId="04A57C7E" w14:textId="6831843F" w:rsidR="00DC5685" w:rsidRDefault="00DC5685" w:rsidP="00DC5685">
      <w:pPr>
        <w:jc w:val="both"/>
        <w:rPr>
          <w:highlight w:val="yellow"/>
        </w:rPr>
      </w:pPr>
    </w:p>
    <w:p w14:paraId="4EAB4971" w14:textId="77777777" w:rsidR="00840C5D" w:rsidRPr="00A34F10" w:rsidRDefault="00840C5D" w:rsidP="00DC5685">
      <w:pPr>
        <w:jc w:val="both"/>
        <w:rPr>
          <w:highlight w:val="yellow"/>
        </w:rPr>
      </w:pPr>
    </w:p>
    <w:p w14:paraId="3D750877" w14:textId="77777777" w:rsidR="00DC5685" w:rsidRPr="00A34F10" w:rsidRDefault="00DC5685" w:rsidP="00BB63B3">
      <w:pPr>
        <w:pStyle w:val="EFSABodytext"/>
        <w:keepNext/>
        <w:keepLines/>
        <w:jc w:val="left"/>
        <w:rPr>
          <w:rFonts w:ascii="Times New Roman" w:hAnsi="Times New Roman" w:cs="Times New Roman"/>
          <w:b/>
          <w:bCs/>
        </w:rPr>
      </w:pPr>
      <w:r w:rsidRPr="00A34F10">
        <w:rPr>
          <w:rFonts w:ascii="Times New Roman" w:hAnsi="Times New Roman" w:cs="Times New Roman"/>
          <w:b/>
          <w:bCs/>
          <w:sz w:val="24"/>
          <w:szCs w:val="24"/>
        </w:rPr>
        <w:t xml:space="preserve">I. </w:t>
      </w:r>
      <w:r w:rsidRPr="00A34F10">
        <w:rPr>
          <w:rFonts w:ascii="Times New Roman" w:hAnsi="Times New Roman" w:cs="Times New Roman"/>
          <w:b/>
          <w:bCs/>
          <w:sz w:val="24"/>
          <w:szCs w:val="24"/>
        </w:rPr>
        <w:tab/>
      </w:r>
      <w:r w:rsidRPr="00A34F10">
        <w:rPr>
          <w:rFonts w:ascii="Times New Roman" w:hAnsi="Times New Roman" w:cs="Times New Roman"/>
          <w:b/>
          <w:bCs/>
        </w:rPr>
        <w:t>MATERIALS AND METHODS</w:t>
      </w:r>
    </w:p>
    <w:p w14:paraId="4DD292CC" w14:textId="77777777" w:rsidR="00DC5685" w:rsidRPr="00A34F10" w:rsidRDefault="00DC5685" w:rsidP="00DC5685">
      <w:pPr>
        <w:pStyle w:val="EFSABodytext"/>
        <w:keepNext/>
        <w:keepLines/>
        <w:rPr>
          <w:rFonts w:ascii="Times New Roman" w:hAnsi="Times New Roman" w:cs="Times New Roman"/>
          <w:b/>
          <w:bCs/>
        </w:rPr>
      </w:pPr>
      <w:r w:rsidRPr="00A34F10">
        <w:rPr>
          <w:rFonts w:ascii="Times New Roman" w:hAnsi="Times New Roman" w:cs="Times New Roman"/>
          <w:b/>
          <w:bCs/>
        </w:rPr>
        <w:t>A. MATERIALS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131"/>
        <w:gridCol w:w="6798"/>
      </w:tblGrid>
      <w:tr w:rsidR="00DC5685" w:rsidRPr="00A34F10" w14:paraId="0579EE70" w14:textId="77777777" w:rsidTr="000470C3">
        <w:tc>
          <w:tcPr>
            <w:tcW w:w="421" w:type="dxa"/>
          </w:tcPr>
          <w:p w14:paraId="22568696" w14:textId="77777777" w:rsidR="00DC5685" w:rsidRPr="00A34F10" w:rsidRDefault="00DC5685" w:rsidP="000470C3">
            <w:pPr>
              <w:pStyle w:val="EFSABodytext"/>
              <w:keepNext/>
              <w:keepLines/>
              <w:spacing w:after="0"/>
              <w:jc w:val="left"/>
              <w:rPr>
                <w:rFonts w:ascii="Times New Roman" w:hAnsi="Times New Roman" w:cs="Times New Roman"/>
                <w:b/>
                <w:bCs/>
              </w:rPr>
            </w:pPr>
            <w:r w:rsidRPr="00A34F10">
              <w:rPr>
                <w:rFonts w:ascii="Times New Roman" w:hAnsi="Times New Roman" w:cs="Times New Roman"/>
                <w:b/>
              </w:rPr>
              <w:t>1.</w:t>
            </w:r>
          </w:p>
        </w:tc>
        <w:tc>
          <w:tcPr>
            <w:tcW w:w="2131" w:type="dxa"/>
          </w:tcPr>
          <w:p w14:paraId="6C75E03D"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Test material:</w:t>
            </w:r>
          </w:p>
        </w:tc>
        <w:tc>
          <w:tcPr>
            <w:tcW w:w="6798" w:type="dxa"/>
          </w:tcPr>
          <w:p w14:paraId="01286366" w14:textId="77777777" w:rsidR="00DC5685" w:rsidRPr="00A34F10" w:rsidRDefault="00DC5685" w:rsidP="000470C3">
            <w:pPr>
              <w:pStyle w:val="EFSABodytext"/>
              <w:keepNext/>
              <w:keepLines/>
              <w:spacing w:after="0"/>
              <w:rPr>
                <w:rFonts w:ascii="Times New Roman" w:hAnsi="Times New Roman" w:cs="Times New Roman"/>
              </w:rPr>
            </w:pPr>
            <w:bookmarkStart w:id="1022" w:name="_Hlk124776996"/>
            <w:r w:rsidRPr="00A34F10">
              <w:rPr>
                <w:rFonts w:ascii="Times New Roman" w:hAnsi="Times New Roman" w:cs="Times New Roman"/>
              </w:rPr>
              <w:t>BAS 743 02 F</w:t>
            </w:r>
            <w:bookmarkEnd w:id="1022"/>
          </w:p>
        </w:tc>
      </w:tr>
      <w:tr w:rsidR="00DC5685" w:rsidRPr="00A34F10" w14:paraId="747A3138" w14:textId="77777777" w:rsidTr="000470C3">
        <w:tc>
          <w:tcPr>
            <w:tcW w:w="421" w:type="dxa"/>
          </w:tcPr>
          <w:p w14:paraId="31BD02E0" w14:textId="77777777" w:rsidR="00DC5685" w:rsidRPr="00A34F10" w:rsidRDefault="00DC5685" w:rsidP="000470C3">
            <w:pPr>
              <w:pStyle w:val="EFSABodytext"/>
              <w:keepNext/>
              <w:keepLines/>
              <w:spacing w:after="0"/>
              <w:rPr>
                <w:rFonts w:ascii="Times New Roman" w:hAnsi="Times New Roman" w:cs="Times New Roman"/>
                <w:b/>
                <w:bCs/>
              </w:rPr>
            </w:pPr>
          </w:p>
        </w:tc>
        <w:tc>
          <w:tcPr>
            <w:tcW w:w="2131" w:type="dxa"/>
          </w:tcPr>
          <w:p w14:paraId="3B241596" w14:textId="77777777" w:rsidR="00DC5685" w:rsidRPr="00A34F10" w:rsidRDefault="00DC5685" w:rsidP="000470C3">
            <w:pPr>
              <w:pStyle w:val="EFSABodytext"/>
              <w:keepNext/>
              <w:keepLines/>
              <w:spacing w:after="0"/>
              <w:rPr>
                <w:rFonts w:ascii="Times New Roman" w:hAnsi="Times New Roman" w:cs="Times New Roman"/>
                <w:b/>
              </w:rPr>
            </w:pPr>
            <w:r w:rsidRPr="00A34F10">
              <w:rPr>
                <w:rFonts w:ascii="Times New Roman" w:hAnsi="Times New Roman" w:cs="Times New Roman"/>
                <w:b/>
              </w:rPr>
              <w:t>Description:</w:t>
            </w:r>
          </w:p>
        </w:tc>
        <w:tc>
          <w:tcPr>
            <w:tcW w:w="6798" w:type="dxa"/>
          </w:tcPr>
          <w:p w14:paraId="725CFD9C"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Suspension concentrate (SC)</w:t>
            </w:r>
          </w:p>
        </w:tc>
      </w:tr>
      <w:tr w:rsidR="00DC5685" w:rsidRPr="00A34F10" w14:paraId="1C34DC1B" w14:textId="77777777" w:rsidTr="000470C3">
        <w:tc>
          <w:tcPr>
            <w:tcW w:w="421" w:type="dxa"/>
          </w:tcPr>
          <w:p w14:paraId="0EBF32C0" w14:textId="77777777" w:rsidR="00DC5685" w:rsidRPr="00A34F10" w:rsidRDefault="00DC5685" w:rsidP="000470C3">
            <w:pPr>
              <w:pStyle w:val="EFSABodytext"/>
              <w:keepNext/>
              <w:keepLines/>
              <w:spacing w:after="0"/>
              <w:rPr>
                <w:rFonts w:ascii="Times New Roman" w:hAnsi="Times New Roman" w:cs="Times New Roman"/>
                <w:b/>
                <w:bCs/>
              </w:rPr>
            </w:pPr>
          </w:p>
        </w:tc>
        <w:tc>
          <w:tcPr>
            <w:tcW w:w="2131" w:type="dxa"/>
          </w:tcPr>
          <w:p w14:paraId="580A9789" w14:textId="77777777" w:rsidR="00DC5685" w:rsidRPr="00A34F10" w:rsidRDefault="00DC5685" w:rsidP="000470C3">
            <w:pPr>
              <w:pStyle w:val="EFSABodytext"/>
              <w:keepNext/>
              <w:keepLines/>
              <w:spacing w:after="0"/>
              <w:rPr>
                <w:rFonts w:ascii="Times New Roman" w:hAnsi="Times New Roman" w:cs="Times New Roman"/>
                <w:b/>
              </w:rPr>
            </w:pPr>
            <w:r w:rsidRPr="00A34F10">
              <w:rPr>
                <w:rFonts w:ascii="Times New Roman" w:hAnsi="Times New Roman" w:cs="Times New Roman"/>
                <w:b/>
              </w:rPr>
              <w:t>Active Substances:</w:t>
            </w:r>
          </w:p>
        </w:tc>
        <w:tc>
          <w:tcPr>
            <w:tcW w:w="6798" w:type="dxa"/>
          </w:tcPr>
          <w:p w14:paraId="29644DEB"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 xml:space="preserve">Propamocarb : 432.0 g/L nominal (analysed: 431.0 g/L) </w:t>
            </w:r>
          </w:p>
          <w:p w14:paraId="080E0079"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 xml:space="preserve">BAS 650 F (Ametoctradin): 137.14 g/L nominal (analysed: 137.7 g/L) </w:t>
            </w:r>
          </w:p>
        </w:tc>
      </w:tr>
      <w:tr w:rsidR="00DC5685" w:rsidRPr="00A34F10" w14:paraId="04A1172A" w14:textId="77777777" w:rsidTr="000470C3">
        <w:tc>
          <w:tcPr>
            <w:tcW w:w="421" w:type="dxa"/>
          </w:tcPr>
          <w:p w14:paraId="32ECA97D" w14:textId="77777777" w:rsidR="00DC5685" w:rsidRPr="00A34F10" w:rsidRDefault="00DC5685" w:rsidP="000470C3">
            <w:pPr>
              <w:pStyle w:val="EFSABodytext"/>
              <w:keepNext/>
              <w:keepLines/>
              <w:spacing w:after="0"/>
              <w:rPr>
                <w:rFonts w:ascii="Times New Roman" w:hAnsi="Times New Roman" w:cs="Times New Roman"/>
                <w:b/>
                <w:bCs/>
              </w:rPr>
            </w:pPr>
          </w:p>
        </w:tc>
        <w:tc>
          <w:tcPr>
            <w:tcW w:w="2131" w:type="dxa"/>
          </w:tcPr>
          <w:p w14:paraId="3C2EE44C"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Lot/Batch:</w:t>
            </w:r>
          </w:p>
        </w:tc>
        <w:tc>
          <w:tcPr>
            <w:tcW w:w="6798" w:type="dxa"/>
          </w:tcPr>
          <w:p w14:paraId="6DF900D0"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FRE-002224</w:t>
            </w:r>
          </w:p>
        </w:tc>
      </w:tr>
      <w:tr w:rsidR="00DC5685" w:rsidRPr="00A34F10" w14:paraId="5C3D8B50" w14:textId="77777777" w:rsidTr="000470C3">
        <w:tc>
          <w:tcPr>
            <w:tcW w:w="421" w:type="dxa"/>
          </w:tcPr>
          <w:p w14:paraId="33025371" w14:textId="77777777" w:rsidR="00DC5685" w:rsidRPr="00A34F10" w:rsidRDefault="00DC5685" w:rsidP="000470C3">
            <w:pPr>
              <w:pStyle w:val="EFSABodytext"/>
              <w:spacing w:after="0"/>
              <w:rPr>
                <w:rFonts w:ascii="Times New Roman" w:hAnsi="Times New Roman" w:cs="Times New Roman"/>
                <w:b/>
                <w:bCs/>
                <w:highlight w:val="yellow"/>
              </w:rPr>
            </w:pPr>
          </w:p>
        </w:tc>
        <w:tc>
          <w:tcPr>
            <w:tcW w:w="2131" w:type="dxa"/>
          </w:tcPr>
          <w:p w14:paraId="7B47DDD4" w14:textId="77777777" w:rsidR="00DC5685" w:rsidRPr="00A34F10" w:rsidRDefault="00DC5685" w:rsidP="000470C3">
            <w:pPr>
              <w:pStyle w:val="EFSABodytext"/>
              <w:spacing w:after="0"/>
              <w:rPr>
                <w:rFonts w:ascii="Times New Roman" w:hAnsi="Times New Roman" w:cs="Times New Roman"/>
                <w:b/>
                <w:bCs/>
                <w:highlight w:val="yellow"/>
              </w:rPr>
            </w:pPr>
          </w:p>
        </w:tc>
        <w:tc>
          <w:tcPr>
            <w:tcW w:w="6798" w:type="dxa"/>
          </w:tcPr>
          <w:p w14:paraId="0F160EAC" w14:textId="77777777" w:rsidR="00DC5685" w:rsidRPr="00A34F10" w:rsidRDefault="00DC5685" w:rsidP="000470C3">
            <w:pPr>
              <w:pStyle w:val="EFSABodytext"/>
              <w:spacing w:after="0"/>
              <w:rPr>
                <w:rFonts w:ascii="Times New Roman" w:hAnsi="Times New Roman" w:cs="Times New Roman"/>
                <w:highlight w:val="yellow"/>
              </w:rPr>
            </w:pPr>
          </w:p>
        </w:tc>
      </w:tr>
      <w:tr w:rsidR="00DC5685" w:rsidRPr="00A34F10" w14:paraId="224EA7A8" w14:textId="77777777" w:rsidTr="000470C3">
        <w:tc>
          <w:tcPr>
            <w:tcW w:w="421" w:type="dxa"/>
          </w:tcPr>
          <w:p w14:paraId="40166A0F"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2.</w:t>
            </w:r>
          </w:p>
        </w:tc>
        <w:tc>
          <w:tcPr>
            <w:tcW w:w="2131" w:type="dxa"/>
          </w:tcPr>
          <w:p w14:paraId="36EF8DCD"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Control:</w:t>
            </w:r>
          </w:p>
        </w:tc>
        <w:tc>
          <w:tcPr>
            <w:tcW w:w="6798" w:type="dxa"/>
          </w:tcPr>
          <w:p w14:paraId="1F1FCED6" w14:textId="77777777" w:rsidR="00DC5685" w:rsidRPr="00A34F10" w:rsidRDefault="00DC5685" w:rsidP="000470C3">
            <w:pPr>
              <w:pStyle w:val="EFSABodytext"/>
              <w:spacing w:after="0"/>
              <w:rPr>
                <w:rFonts w:ascii="Times New Roman" w:hAnsi="Times New Roman" w:cs="Times New Roman"/>
              </w:rPr>
            </w:pPr>
            <w:r w:rsidRPr="00A34F10">
              <w:rPr>
                <w:rFonts w:ascii="Times New Roman" w:hAnsi="Times New Roman" w:cs="Times New Roman"/>
              </w:rPr>
              <w:t>Untreated distilled water</w:t>
            </w:r>
          </w:p>
        </w:tc>
      </w:tr>
    </w:tbl>
    <w:p w14:paraId="3E82AF8C" w14:textId="77777777" w:rsidR="00DC5685" w:rsidRPr="00A34F10" w:rsidRDefault="00DC5685" w:rsidP="00DC5685">
      <w:pPr>
        <w:pStyle w:val="EFSABodytext"/>
        <w:spacing w:after="0"/>
        <w:rPr>
          <w:rFonts w:ascii="Times New Roman" w:hAnsi="Times New Roman" w:cs="Times New Roman"/>
          <w:highlight w:val="yellow"/>
        </w:rPr>
      </w:pPr>
    </w:p>
    <w:p w14:paraId="36956DB2" w14:textId="77777777" w:rsidR="00DC5685" w:rsidRPr="00A34F10" w:rsidRDefault="00DC5685" w:rsidP="00DC5685">
      <w:pPr>
        <w:pStyle w:val="EFSABodytext"/>
        <w:keepNext/>
        <w:keepLines/>
        <w:rPr>
          <w:rFonts w:ascii="Times New Roman" w:hAnsi="Times New Roman" w:cs="Times New Roman"/>
          <w:b/>
          <w:bCs/>
        </w:rPr>
      </w:pPr>
      <w:r w:rsidRPr="00A34F10">
        <w:rPr>
          <w:rFonts w:ascii="Times New Roman" w:hAnsi="Times New Roman" w:cs="Times New Roman"/>
          <w:b/>
          <w:bCs/>
        </w:rPr>
        <w:t>B. STUDY DESIGN AND METHODS</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131"/>
        <w:gridCol w:w="6798"/>
      </w:tblGrid>
      <w:tr w:rsidR="00DC5685" w:rsidRPr="00A34F10" w14:paraId="772A4A5A" w14:textId="77777777" w:rsidTr="000470C3">
        <w:tc>
          <w:tcPr>
            <w:tcW w:w="421" w:type="dxa"/>
          </w:tcPr>
          <w:p w14:paraId="1D9E055B" w14:textId="77777777" w:rsidR="00DC5685" w:rsidRPr="00A34F10" w:rsidRDefault="00DC5685" w:rsidP="000470C3">
            <w:pPr>
              <w:pStyle w:val="EFSABodytext"/>
              <w:keepNext/>
              <w:keepLines/>
              <w:spacing w:after="0"/>
              <w:jc w:val="left"/>
              <w:rPr>
                <w:rFonts w:ascii="Times New Roman" w:hAnsi="Times New Roman" w:cs="Times New Roman"/>
                <w:b/>
                <w:bCs/>
              </w:rPr>
            </w:pPr>
            <w:r w:rsidRPr="00A34F10">
              <w:rPr>
                <w:rFonts w:ascii="Times New Roman" w:hAnsi="Times New Roman" w:cs="Times New Roman"/>
                <w:b/>
              </w:rPr>
              <w:t>1.</w:t>
            </w:r>
          </w:p>
        </w:tc>
        <w:tc>
          <w:tcPr>
            <w:tcW w:w="2131" w:type="dxa"/>
          </w:tcPr>
          <w:p w14:paraId="524036AB"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Test organism:</w:t>
            </w:r>
          </w:p>
        </w:tc>
        <w:tc>
          <w:tcPr>
            <w:tcW w:w="6798" w:type="dxa"/>
          </w:tcPr>
          <w:p w14:paraId="047E2A52"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Northern bobwhite quail (</w:t>
            </w:r>
            <w:r w:rsidRPr="00A34F10">
              <w:rPr>
                <w:rFonts w:ascii="Times New Roman" w:hAnsi="Times New Roman" w:cs="Times New Roman"/>
                <w:i/>
                <w:iCs/>
              </w:rPr>
              <w:t>Colinus virginianus</w:t>
            </w:r>
            <w:r w:rsidRPr="00A34F10">
              <w:rPr>
                <w:rFonts w:ascii="Times New Roman" w:hAnsi="Times New Roman" w:cs="Times New Roman"/>
              </w:rPr>
              <w:t>)</w:t>
            </w:r>
          </w:p>
        </w:tc>
      </w:tr>
      <w:tr w:rsidR="00DC5685" w:rsidRPr="00A34F10" w14:paraId="054FA79C" w14:textId="77777777" w:rsidTr="000470C3">
        <w:tc>
          <w:tcPr>
            <w:tcW w:w="421" w:type="dxa"/>
          </w:tcPr>
          <w:p w14:paraId="2C73523C" w14:textId="77777777" w:rsidR="00DC5685" w:rsidRPr="00A34F10" w:rsidRDefault="00DC5685" w:rsidP="000470C3">
            <w:pPr>
              <w:pStyle w:val="EFSABodytext"/>
              <w:keepNext/>
              <w:keepLines/>
              <w:spacing w:after="0"/>
              <w:rPr>
                <w:rFonts w:ascii="Times New Roman" w:hAnsi="Times New Roman" w:cs="Times New Roman"/>
                <w:b/>
                <w:bCs/>
                <w:highlight w:val="yellow"/>
              </w:rPr>
            </w:pPr>
          </w:p>
        </w:tc>
        <w:tc>
          <w:tcPr>
            <w:tcW w:w="2131" w:type="dxa"/>
          </w:tcPr>
          <w:p w14:paraId="5F26A53B"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Age:</w:t>
            </w:r>
          </w:p>
        </w:tc>
        <w:tc>
          <w:tcPr>
            <w:tcW w:w="6798" w:type="dxa"/>
          </w:tcPr>
          <w:p w14:paraId="689DB5AD"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Adults, 47 weeks and 4 days old at test initiation</w:t>
            </w:r>
          </w:p>
        </w:tc>
      </w:tr>
      <w:tr w:rsidR="00DC5685" w:rsidRPr="00A34F10" w14:paraId="4B804894" w14:textId="77777777" w:rsidTr="000470C3">
        <w:tc>
          <w:tcPr>
            <w:tcW w:w="421" w:type="dxa"/>
          </w:tcPr>
          <w:p w14:paraId="5BDDC584" w14:textId="77777777" w:rsidR="00DC5685" w:rsidRPr="00A34F10" w:rsidRDefault="00DC5685" w:rsidP="000470C3">
            <w:pPr>
              <w:pStyle w:val="EFSABodytext"/>
              <w:keepNext/>
              <w:keepLines/>
              <w:spacing w:after="0"/>
              <w:rPr>
                <w:rFonts w:ascii="Times New Roman" w:hAnsi="Times New Roman" w:cs="Times New Roman"/>
                <w:b/>
                <w:bCs/>
              </w:rPr>
            </w:pPr>
          </w:p>
        </w:tc>
        <w:tc>
          <w:tcPr>
            <w:tcW w:w="2131" w:type="dxa"/>
          </w:tcPr>
          <w:p w14:paraId="65EF3B7B"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Body weight:</w:t>
            </w:r>
          </w:p>
        </w:tc>
        <w:tc>
          <w:tcPr>
            <w:tcW w:w="6798" w:type="dxa"/>
          </w:tcPr>
          <w:p w14:paraId="25C9D86B" w14:textId="77777777" w:rsidR="00DC5685" w:rsidRPr="00A34F10" w:rsidRDefault="00DC5685" w:rsidP="000470C3">
            <w:pPr>
              <w:pStyle w:val="EFSABodytext"/>
              <w:keepNext/>
              <w:keepLines/>
              <w:spacing w:after="0"/>
              <w:rPr>
                <w:rFonts w:ascii="Times New Roman" w:hAnsi="Times New Roman" w:cs="Times New Roman"/>
                <w:highlight w:val="yellow"/>
              </w:rPr>
            </w:pPr>
            <w:r w:rsidRPr="00A34F10">
              <w:rPr>
                <w:rFonts w:ascii="Times New Roman" w:hAnsi="Times New Roman" w:cs="Times New Roman"/>
              </w:rPr>
              <w:t>195.0 - 217.3 g</w:t>
            </w:r>
          </w:p>
        </w:tc>
      </w:tr>
      <w:tr w:rsidR="00DC5685" w:rsidRPr="00A34F10" w14:paraId="6651FFFC" w14:textId="77777777" w:rsidTr="000470C3">
        <w:tc>
          <w:tcPr>
            <w:tcW w:w="421" w:type="dxa"/>
          </w:tcPr>
          <w:p w14:paraId="136D2917" w14:textId="77777777" w:rsidR="00DC5685" w:rsidRPr="00A34F10" w:rsidRDefault="00DC5685" w:rsidP="000470C3">
            <w:pPr>
              <w:pStyle w:val="EFSABodytext"/>
              <w:keepNext/>
              <w:keepLines/>
              <w:spacing w:after="0"/>
              <w:rPr>
                <w:rFonts w:ascii="Times New Roman" w:hAnsi="Times New Roman" w:cs="Times New Roman"/>
                <w:b/>
                <w:bCs/>
                <w:highlight w:val="yellow"/>
              </w:rPr>
            </w:pPr>
          </w:p>
        </w:tc>
        <w:tc>
          <w:tcPr>
            <w:tcW w:w="2131" w:type="dxa"/>
          </w:tcPr>
          <w:p w14:paraId="5DCE0A3B" w14:textId="77777777" w:rsidR="00DC5685" w:rsidRPr="00A34F10" w:rsidRDefault="00DC5685" w:rsidP="000470C3">
            <w:pPr>
              <w:pStyle w:val="EFSABodytext"/>
              <w:keepNext/>
              <w:keepLines/>
              <w:spacing w:after="0"/>
              <w:rPr>
                <w:rFonts w:ascii="Times New Roman" w:hAnsi="Times New Roman" w:cs="Times New Roman"/>
                <w:b/>
                <w:bCs/>
                <w:highlight w:val="yellow"/>
              </w:rPr>
            </w:pPr>
            <w:r w:rsidRPr="00A34F10">
              <w:rPr>
                <w:rFonts w:ascii="Times New Roman" w:hAnsi="Times New Roman" w:cs="Times New Roman"/>
                <w:b/>
              </w:rPr>
              <w:t>Source:</w:t>
            </w:r>
          </w:p>
        </w:tc>
        <w:tc>
          <w:tcPr>
            <w:tcW w:w="6798" w:type="dxa"/>
          </w:tcPr>
          <w:p w14:paraId="446B6016" w14:textId="77777777" w:rsidR="00DC5685" w:rsidRPr="00A34F10" w:rsidRDefault="00DC5685" w:rsidP="000470C3">
            <w:pPr>
              <w:pStyle w:val="EFSABodytext"/>
              <w:keepNext/>
              <w:keepLines/>
              <w:spacing w:after="0"/>
              <w:rPr>
                <w:rFonts w:ascii="Times New Roman" w:hAnsi="Times New Roman" w:cs="Times New Roman"/>
                <w:highlight w:val="yellow"/>
              </w:rPr>
            </w:pPr>
            <w:r w:rsidRPr="00A34F10">
              <w:rPr>
                <w:rFonts w:ascii="Times New Roman" w:hAnsi="Times New Roman" w:cs="Times New Roman"/>
              </w:rPr>
              <w:t>Woodland Acres Hatchery and Game Farm, 925 190th Ave, Fairmont, Minnesota 56031, United States; Identified as Smithers Colony No. 22-A-02</w:t>
            </w:r>
          </w:p>
        </w:tc>
      </w:tr>
      <w:tr w:rsidR="00DC5685" w:rsidRPr="00A34F10" w14:paraId="41C505AE" w14:textId="77777777" w:rsidTr="000470C3">
        <w:tc>
          <w:tcPr>
            <w:tcW w:w="421" w:type="dxa"/>
          </w:tcPr>
          <w:p w14:paraId="72D65823" w14:textId="77777777" w:rsidR="00DC5685" w:rsidRPr="00A34F10" w:rsidRDefault="00DC5685" w:rsidP="000470C3">
            <w:pPr>
              <w:pStyle w:val="EFSABodytext"/>
              <w:keepNext/>
              <w:keepLines/>
              <w:spacing w:after="0"/>
              <w:rPr>
                <w:rFonts w:ascii="Times New Roman" w:hAnsi="Times New Roman" w:cs="Times New Roman"/>
                <w:b/>
                <w:bCs/>
              </w:rPr>
            </w:pPr>
          </w:p>
        </w:tc>
        <w:tc>
          <w:tcPr>
            <w:tcW w:w="2131" w:type="dxa"/>
          </w:tcPr>
          <w:p w14:paraId="24001EA4"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Acclimation:</w:t>
            </w:r>
          </w:p>
        </w:tc>
        <w:tc>
          <w:tcPr>
            <w:tcW w:w="6798" w:type="dxa"/>
          </w:tcPr>
          <w:p w14:paraId="33A45105"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2 weeks</w:t>
            </w:r>
          </w:p>
        </w:tc>
      </w:tr>
      <w:tr w:rsidR="00DC5685" w:rsidRPr="00A34F10" w14:paraId="2AB1660F" w14:textId="77777777" w:rsidTr="000470C3">
        <w:tc>
          <w:tcPr>
            <w:tcW w:w="421" w:type="dxa"/>
          </w:tcPr>
          <w:p w14:paraId="3E77CE62" w14:textId="77777777" w:rsidR="00DC5685" w:rsidRPr="00A34F10" w:rsidRDefault="00DC5685" w:rsidP="000470C3">
            <w:pPr>
              <w:pStyle w:val="EFSABodytext"/>
              <w:keepNext/>
              <w:keepLines/>
              <w:spacing w:after="0"/>
              <w:jc w:val="left"/>
              <w:rPr>
                <w:rFonts w:ascii="Times New Roman" w:hAnsi="Times New Roman" w:cs="Times New Roman"/>
                <w:b/>
                <w:bCs/>
                <w:highlight w:val="yellow"/>
              </w:rPr>
            </w:pPr>
          </w:p>
        </w:tc>
        <w:tc>
          <w:tcPr>
            <w:tcW w:w="2131" w:type="dxa"/>
          </w:tcPr>
          <w:p w14:paraId="15356E34" w14:textId="77777777" w:rsidR="00DC5685" w:rsidRPr="00A34F10" w:rsidRDefault="00DC5685" w:rsidP="000470C3">
            <w:pPr>
              <w:pStyle w:val="EFSABodytext"/>
              <w:keepNext/>
              <w:keepLines/>
              <w:spacing w:after="0"/>
              <w:rPr>
                <w:rFonts w:ascii="Times New Roman" w:hAnsi="Times New Roman" w:cs="Times New Roman"/>
                <w:b/>
                <w:bCs/>
                <w:highlight w:val="yellow"/>
              </w:rPr>
            </w:pPr>
          </w:p>
        </w:tc>
        <w:tc>
          <w:tcPr>
            <w:tcW w:w="6798" w:type="dxa"/>
          </w:tcPr>
          <w:p w14:paraId="3DD18A3F" w14:textId="77777777" w:rsidR="00DC5685" w:rsidRPr="00A34F10" w:rsidRDefault="00DC5685" w:rsidP="000470C3">
            <w:pPr>
              <w:pStyle w:val="EFSABodytext"/>
              <w:keepNext/>
              <w:keepLines/>
              <w:spacing w:after="0"/>
              <w:rPr>
                <w:rFonts w:ascii="Times New Roman" w:hAnsi="Times New Roman" w:cs="Times New Roman"/>
                <w:highlight w:val="yellow"/>
              </w:rPr>
            </w:pPr>
          </w:p>
        </w:tc>
      </w:tr>
      <w:tr w:rsidR="00DC5685" w:rsidRPr="00A34F10" w14:paraId="744208B5" w14:textId="77777777" w:rsidTr="000470C3">
        <w:tc>
          <w:tcPr>
            <w:tcW w:w="421" w:type="dxa"/>
          </w:tcPr>
          <w:p w14:paraId="72A518C0" w14:textId="77777777" w:rsidR="00DC5685" w:rsidRPr="00A34F10" w:rsidRDefault="00DC5685" w:rsidP="000470C3">
            <w:pPr>
              <w:pStyle w:val="EFSABodytext"/>
              <w:keepNext/>
              <w:keepLines/>
              <w:spacing w:after="0"/>
              <w:jc w:val="left"/>
              <w:rPr>
                <w:rFonts w:ascii="Times New Roman" w:hAnsi="Times New Roman" w:cs="Times New Roman"/>
                <w:b/>
                <w:bCs/>
              </w:rPr>
            </w:pPr>
            <w:r w:rsidRPr="00A34F10">
              <w:rPr>
                <w:rFonts w:ascii="Times New Roman" w:hAnsi="Times New Roman" w:cs="Times New Roman"/>
                <w:b/>
              </w:rPr>
              <w:t>2.</w:t>
            </w:r>
          </w:p>
        </w:tc>
        <w:tc>
          <w:tcPr>
            <w:tcW w:w="2131" w:type="dxa"/>
          </w:tcPr>
          <w:p w14:paraId="42B36CA5"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Diet:</w:t>
            </w:r>
          </w:p>
        </w:tc>
        <w:tc>
          <w:tcPr>
            <w:tcW w:w="6798" w:type="dxa"/>
          </w:tcPr>
          <w:p w14:paraId="785BC92F"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 xml:space="preserve">Purina Game Bird Flight Conditioner provided </w:t>
            </w:r>
            <w:r w:rsidRPr="00A34F10">
              <w:rPr>
                <w:rFonts w:ascii="Times New Roman" w:hAnsi="Times New Roman" w:cs="Times New Roman"/>
                <w:i/>
                <w:iCs/>
              </w:rPr>
              <w:t>ad libitum</w:t>
            </w:r>
            <w:r w:rsidRPr="00A34F10">
              <w:rPr>
                <w:rFonts w:ascii="Times New Roman" w:hAnsi="Times New Roman" w:cs="Times New Roman"/>
              </w:rPr>
              <w:t>. Food was withheld for approximately 14 hours and 22 minutes during overnight dark hours prior to dosing.</w:t>
            </w:r>
          </w:p>
        </w:tc>
      </w:tr>
      <w:tr w:rsidR="00DC5685" w:rsidRPr="00A34F10" w14:paraId="4A9A3BB1" w14:textId="77777777" w:rsidTr="000470C3">
        <w:tc>
          <w:tcPr>
            <w:tcW w:w="421" w:type="dxa"/>
          </w:tcPr>
          <w:p w14:paraId="2454F2AE" w14:textId="77777777" w:rsidR="00DC5685" w:rsidRPr="00A34F10" w:rsidRDefault="00DC5685" w:rsidP="000470C3">
            <w:pPr>
              <w:pStyle w:val="EFSABodytext"/>
              <w:keepNext/>
              <w:keepLines/>
              <w:spacing w:after="0"/>
              <w:jc w:val="left"/>
              <w:rPr>
                <w:rFonts w:ascii="Times New Roman" w:hAnsi="Times New Roman" w:cs="Times New Roman"/>
                <w:b/>
                <w:bCs/>
                <w:highlight w:val="yellow"/>
              </w:rPr>
            </w:pPr>
          </w:p>
        </w:tc>
        <w:tc>
          <w:tcPr>
            <w:tcW w:w="2131" w:type="dxa"/>
          </w:tcPr>
          <w:p w14:paraId="69EEB87A" w14:textId="77777777" w:rsidR="00DC5685" w:rsidRPr="00A34F10" w:rsidRDefault="00DC5685" w:rsidP="000470C3">
            <w:pPr>
              <w:pStyle w:val="EFSABodytext"/>
              <w:keepNext/>
              <w:keepLines/>
              <w:spacing w:after="0"/>
              <w:rPr>
                <w:rFonts w:ascii="Times New Roman" w:hAnsi="Times New Roman" w:cs="Times New Roman"/>
                <w:b/>
                <w:bCs/>
                <w:highlight w:val="yellow"/>
              </w:rPr>
            </w:pPr>
          </w:p>
        </w:tc>
        <w:tc>
          <w:tcPr>
            <w:tcW w:w="6798" w:type="dxa"/>
          </w:tcPr>
          <w:p w14:paraId="0628142A" w14:textId="77777777" w:rsidR="00DC5685" w:rsidRPr="00A34F10" w:rsidRDefault="00DC5685" w:rsidP="000470C3">
            <w:pPr>
              <w:pStyle w:val="EFSABodytext"/>
              <w:keepNext/>
              <w:keepLines/>
              <w:spacing w:after="0"/>
              <w:rPr>
                <w:rFonts w:ascii="Times New Roman" w:hAnsi="Times New Roman" w:cs="Times New Roman"/>
                <w:highlight w:val="yellow"/>
              </w:rPr>
            </w:pPr>
          </w:p>
        </w:tc>
      </w:tr>
      <w:tr w:rsidR="00DC5685" w:rsidRPr="00A34F10" w14:paraId="7F8F597E" w14:textId="77777777" w:rsidTr="000470C3">
        <w:tc>
          <w:tcPr>
            <w:tcW w:w="421" w:type="dxa"/>
          </w:tcPr>
          <w:p w14:paraId="19F0C421" w14:textId="77777777" w:rsidR="00DC5685" w:rsidRPr="00A34F10" w:rsidRDefault="00DC5685" w:rsidP="000470C3">
            <w:pPr>
              <w:pStyle w:val="EFSABodytext"/>
              <w:keepNext/>
              <w:keepLines/>
              <w:spacing w:after="0"/>
              <w:jc w:val="left"/>
              <w:rPr>
                <w:rFonts w:ascii="Times New Roman" w:hAnsi="Times New Roman" w:cs="Times New Roman"/>
                <w:b/>
                <w:bCs/>
              </w:rPr>
            </w:pPr>
            <w:r w:rsidRPr="00A34F10">
              <w:rPr>
                <w:rFonts w:ascii="Times New Roman" w:hAnsi="Times New Roman" w:cs="Times New Roman"/>
                <w:b/>
              </w:rPr>
              <w:t>3.</w:t>
            </w:r>
          </w:p>
        </w:tc>
        <w:tc>
          <w:tcPr>
            <w:tcW w:w="2131" w:type="dxa"/>
          </w:tcPr>
          <w:p w14:paraId="44A0DCC3" w14:textId="77777777" w:rsidR="00DC5685" w:rsidRPr="00A34F10" w:rsidRDefault="00DC5685" w:rsidP="000470C3">
            <w:pPr>
              <w:pStyle w:val="EFSABodytext"/>
              <w:keepNext/>
              <w:keepLines/>
              <w:spacing w:after="0"/>
              <w:rPr>
                <w:rFonts w:ascii="Times New Roman" w:hAnsi="Times New Roman" w:cs="Times New Roman"/>
                <w:b/>
                <w:bCs/>
              </w:rPr>
            </w:pPr>
            <w:r w:rsidRPr="00A34F10">
              <w:rPr>
                <w:rFonts w:ascii="Times New Roman" w:hAnsi="Times New Roman" w:cs="Times New Roman"/>
                <w:b/>
              </w:rPr>
              <w:t>Housing:</w:t>
            </w:r>
          </w:p>
        </w:tc>
        <w:tc>
          <w:tcPr>
            <w:tcW w:w="6798" w:type="dxa"/>
          </w:tcPr>
          <w:p w14:paraId="6A41F636" w14:textId="77777777" w:rsidR="00DC5685" w:rsidRPr="00A34F10" w:rsidRDefault="00DC5685" w:rsidP="000470C3">
            <w:pPr>
              <w:pStyle w:val="EFSABodytext"/>
              <w:keepNext/>
              <w:keepLines/>
              <w:spacing w:after="0"/>
              <w:rPr>
                <w:rFonts w:ascii="Times New Roman" w:hAnsi="Times New Roman" w:cs="Times New Roman"/>
              </w:rPr>
            </w:pPr>
            <w:r w:rsidRPr="00A34F10">
              <w:rPr>
                <w:rFonts w:ascii="Times New Roman" w:hAnsi="Times New Roman" w:cs="Times New Roman"/>
              </w:rPr>
              <w:t>51 × 25.5 × 21 to 25 cm test cages constructed of epoxy-coated wire mesh</w:t>
            </w:r>
          </w:p>
        </w:tc>
      </w:tr>
      <w:tr w:rsidR="00DC5685" w:rsidRPr="00A34F10" w14:paraId="069CFBAB" w14:textId="77777777" w:rsidTr="000470C3">
        <w:tc>
          <w:tcPr>
            <w:tcW w:w="421" w:type="dxa"/>
          </w:tcPr>
          <w:p w14:paraId="39693BD9" w14:textId="77777777" w:rsidR="00DC5685" w:rsidRPr="00A34F10" w:rsidRDefault="00DC5685" w:rsidP="000470C3">
            <w:pPr>
              <w:pStyle w:val="EFSABodytext"/>
              <w:spacing w:after="0"/>
              <w:jc w:val="left"/>
              <w:rPr>
                <w:rFonts w:ascii="Times New Roman" w:hAnsi="Times New Roman" w:cs="Times New Roman"/>
                <w:b/>
                <w:bCs/>
                <w:highlight w:val="yellow"/>
              </w:rPr>
            </w:pPr>
          </w:p>
        </w:tc>
        <w:tc>
          <w:tcPr>
            <w:tcW w:w="2131" w:type="dxa"/>
          </w:tcPr>
          <w:p w14:paraId="1529BE17" w14:textId="77777777" w:rsidR="00DC5685" w:rsidRPr="00A34F10" w:rsidRDefault="00DC5685" w:rsidP="000470C3">
            <w:pPr>
              <w:pStyle w:val="EFSABodytext"/>
              <w:spacing w:after="0"/>
              <w:rPr>
                <w:rFonts w:ascii="Times New Roman" w:hAnsi="Times New Roman" w:cs="Times New Roman"/>
                <w:b/>
                <w:bCs/>
                <w:highlight w:val="yellow"/>
              </w:rPr>
            </w:pPr>
          </w:p>
        </w:tc>
        <w:tc>
          <w:tcPr>
            <w:tcW w:w="6798" w:type="dxa"/>
          </w:tcPr>
          <w:p w14:paraId="7D6E2C0D" w14:textId="77777777" w:rsidR="00DC5685" w:rsidRPr="00A34F10" w:rsidRDefault="00DC5685" w:rsidP="000470C3">
            <w:pPr>
              <w:pStyle w:val="EFSABodytext"/>
              <w:spacing w:after="0"/>
              <w:rPr>
                <w:rFonts w:ascii="Times New Roman" w:hAnsi="Times New Roman" w:cs="Times New Roman"/>
                <w:highlight w:val="yellow"/>
              </w:rPr>
            </w:pPr>
          </w:p>
        </w:tc>
      </w:tr>
      <w:tr w:rsidR="00DC5685" w:rsidRPr="00A34F10" w14:paraId="3A31BA97" w14:textId="77777777" w:rsidTr="000470C3">
        <w:tc>
          <w:tcPr>
            <w:tcW w:w="421" w:type="dxa"/>
          </w:tcPr>
          <w:p w14:paraId="4F6F75DC" w14:textId="77777777" w:rsidR="00DC5685" w:rsidRPr="00A34F10" w:rsidRDefault="00DC5685" w:rsidP="000470C3">
            <w:pPr>
              <w:pStyle w:val="EFSABodytext"/>
              <w:spacing w:after="0"/>
              <w:jc w:val="left"/>
              <w:rPr>
                <w:rFonts w:ascii="Times New Roman" w:hAnsi="Times New Roman" w:cs="Times New Roman"/>
                <w:b/>
                <w:bCs/>
              </w:rPr>
            </w:pPr>
            <w:r w:rsidRPr="00A34F10">
              <w:rPr>
                <w:rFonts w:ascii="Times New Roman" w:hAnsi="Times New Roman" w:cs="Times New Roman"/>
                <w:b/>
              </w:rPr>
              <w:t>4.</w:t>
            </w:r>
          </w:p>
        </w:tc>
        <w:tc>
          <w:tcPr>
            <w:tcW w:w="8929" w:type="dxa"/>
            <w:gridSpan w:val="2"/>
          </w:tcPr>
          <w:p w14:paraId="02094F3E"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Environmental conditions:</w:t>
            </w:r>
          </w:p>
        </w:tc>
      </w:tr>
      <w:tr w:rsidR="00DC5685" w:rsidRPr="00A34F10" w14:paraId="4FF97B5D" w14:textId="77777777" w:rsidTr="000470C3">
        <w:tc>
          <w:tcPr>
            <w:tcW w:w="421" w:type="dxa"/>
          </w:tcPr>
          <w:p w14:paraId="20D00E1F" w14:textId="77777777" w:rsidR="00DC5685" w:rsidRPr="00A34F10" w:rsidRDefault="00DC5685" w:rsidP="000470C3">
            <w:pPr>
              <w:pStyle w:val="EFSABodytext"/>
              <w:spacing w:after="0"/>
              <w:jc w:val="left"/>
              <w:rPr>
                <w:rFonts w:ascii="Times New Roman" w:hAnsi="Times New Roman" w:cs="Times New Roman"/>
                <w:b/>
                <w:bCs/>
              </w:rPr>
            </w:pPr>
          </w:p>
        </w:tc>
        <w:tc>
          <w:tcPr>
            <w:tcW w:w="2131" w:type="dxa"/>
          </w:tcPr>
          <w:p w14:paraId="68BA8EE1"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Temperature:</w:t>
            </w:r>
          </w:p>
        </w:tc>
        <w:tc>
          <w:tcPr>
            <w:tcW w:w="6798" w:type="dxa"/>
          </w:tcPr>
          <w:p w14:paraId="580842DA" w14:textId="77777777" w:rsidR="00DC5685" w:rsidRPr="00A34F10" w:rsidRDefault="00DC5685" w:rsidP="000470C3">
            <w:pPr>
              <w:pStyle w:val="EFSABodytext"/>
              <w:spacing w:after="0"/>
              <w:rPr>
                <w:rFonts w:ascii="Times New Roman" w:hAnsi="Times New Roman" w:cs="Times New Roman"/>
              </w:rPr>
            </w:pPr>
            <w:r w:rsidRPr="00A34F10">
              <w:rPr>
                <w:rFonts w:ascii="Times New Roman" w:hAnsi="Times New Roman" w:cs="Times New Roman"/>
              </w:rPr>
              <w:t>Acclimation: 22.5 - 27.0 °C; exposure phase: 20.6 to 26.9 °C;</w:t>
            </w:r>
          </w:p>
        </w:tc>
      </w:tr>
      <w:tr w:rsidR="00DC5685" w:rsidRPr="00A34F10" w14:paraId="45F86AF7" w14:textId="77777777" w:rsidTr="000470C3">
        <w:tc>
          <w:tcPr>
            <w:tcW w:w="421" w:type="dxa"/>
          </w:tcPr>
          <w:p w14:paraId="30FE7448" w14:textId="77777777" w:rsidR="00DC5685" w:rsidRPr="00A34F10" w:rsidRDefault="00DC5685" w:rsidP="000470C3">
            <w:pPr>
              <w:pStyle w:val="EFSABodytext"/>
              <w:spacing w:after="0"/>
              <w:jc w:val="left"/>
              <w:rPr>
                <w:rFonts w:ascii="Times New Roman" w:hAnsi="Times New Roman" w:cs="Times New Roman"/>
                <w:b/>
                <w:bCs/>
              </w:rPr>
            </w:pPr>
          </w:p>
        </w:tc>
        <w:tc>
          <w:tcPr>
            <w:tcW w:w="2131" w:type="dxa"/>
          </w:tcPr>
          <w:p w14:paraId="2CBFAB4D"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Relative humidity:</w:t>
            </w:r>
          </w:p>
        </w:tc>
        <w:tc>
          <w:tcPr>
            <w:tcW w:w="6798" w:type="dxa"/>
          </w:tcPr>
          <w:p w14:paraId="501B64D7" w14:textId="77777777" w:rsidR="00DC5685" w:rsidRPr="00A34F10" w:rsidRDefault="00DC5685" w:rsidP="000470C3">
            <w:pPr>
              <w:pStyle w:val="EFSABodytext"/>
              <w:spacing w:after="0"/>
              <w:rPr>
                <w:rFonts w:ascii="Times New Roman" w:hAnsi="Times New Roman" w:cs="Times New Roman"/>
              </w:rPr>
            </w:pPr>
            <w:r w:rsidRPr="00A34F10">
              <w:rPr>
                <w:rFonts w:ascii="Times New Roman" w:hAnsi="Times New Roman" w:cs="Times New Roman"/>
              </w:rPr>
              <w:t>Acclimation: 63.5 to 82.2%; exposure phase: 41.0 to 67.0%</w:t>
            </w:r>
          </w:p>
        </w:tc>
      </w:tr>
      <w:tr w:rsidR="00DC5685" w:rsidRPr="00A34F10" w14:paraId="547C44FD" w14:textId="77777777" w:rsidTr="000470C3">
        <w:tc>
          <w:tcPr>
            <w:tcW w:w="421" w:type="dxa"/>
          </w:tcPr>
          <w:p w14:paraId="662C5DEB" w14:textId="77777777" w:rsidR="00DC5685" w:rsidRPr="00A34F10" w:rsidRDefault="00DC5685" w:rsidP="000470C3">
            <w:pPr>
              <w:pStyle w:val="EFSABodytext"/>
              <w:spacing w:after="0"/>
              <w:jc w:val="left"/>
              <w:rPr>
                <w:rFonts w:ascii="Times New Roman" w:hAnsi="Times New Roman" w:cs="Times New Roman"/>
                <w:b/>
                <w:bCs/>
              </w:rPr>
            </w:pPr>
          </w:p>
        </w:tc>
        <w:tc>
          <w:tcPr>
            <w:tcW w:w="2131" w:type="dxa"/>
          </w:tcPr>
          <w:p w14:paraId="4F1BF88E" w14:textId="77777777" w:rsidR="00DC5685" w:rsidRPr="00A34F10" w:rsidRDefault="00DC5685" w:rsidP="000470C3">
            <w:pPr>
              <w:pStyle w:val="EFSABodytext"/>
              <w:spacing w:after="0"/>
              <w:rPr>
                <w:rFonts w:ascii="Times New Roman" w:hAnsi="Times New Roman" w:cs="Times New Roman"/>
                <w:b/>
                <w:bCs/>
              </w:rPr>
            </w:pPr>
            <w:r w:rsidRPr="00A34F10">
              <w:rPr>
                <w:rFonts w:ascii="Times New Roman" w:hAnsi="Times New Roman" w:cs="Times New Roman"/>
                <w:b/>
              </w:rPr>
              <w:t>Photoperiod:</w:t>
            </w:r>
          </w:p>
        </w:tc>
        <w:tc>
          <w:tcPr>
            <w:tcW w:w="6798" w:type="dxa"/>
          </w:tcPr>
          <w:p w14:paraId="7F1B46E9" w14:textId="77777777" w:rsidR="00DC5685" w:rsidRPr="00A34F10" w:rsidRDefault="00DC5685" w:rsidP="000470C3">
            <w:pPr>
              <w:pStyle w:val="EFSABodytext"/>
              <w:spacing w:after="0"/>
              <w:rPr>
                <w:rFonts w:ascii="Times New Roman" w:hAnsi="Times New Roman" w:cs="Times New Roman"/>
              </w:rPr>
            </w:pPr>
            <w:r w:rsidRPr="00A34F10">
              <w:rPr>
                <w:rFonts w:ascii="Times New Roman" w:hAnsi="Times New Roman" w:cs="Times New Roman"/>
              </w:rPr>
              <w:t>8 hours light : 16 hours dark (mean lux 113), with 15-minute morning and evening transition periods.</w:t>
            </w:r>
          </w:p>
        </w:tc>
      </w:tr>
    </w:tbl>
    <w:p w14:paraId="3E6F90ED" w14:textId="77777777" w:rsidR="00DC5685" w:rsidRPr="00A34F10" w:rsidRDefault="00DC5685" w:rsidP="00DC5685">
      <w:pPr>
        <w:pStyle w:val="EFSABodytext"/>
        <w:rPr>
          <w:rFonts w:ascii="Times New Roman" w:hAnsi="Times New Roman" w:cs="Times New Roman"/>
          <w:b/>
          <w:bCs/>
          <w:sz w:val="24"/>
          <w:szCs w:val="24"/>
          <w:highlight w:val="yellow"/>
        </w:rPr>
      </w:pPr>
    </w:p>
    <w:p w14:paraId="5917A6F8" w14:textId="77777777" w:rsidR="00DC5685" w:rsidRPr="00A34F10" w:rsidRDefault="00DC5685" w:rsidP="00DC5685">
      <w:pPr>
        <w:pStyle w:val="EFSABodytext"/>
        <w:keepNext/>
        <w:spacing w:after="0"/>
        <w:rPr>
          <w:rFonts w:ascii="Times New Roman" w:hAnsi="Times New Roman" w:cs="Times New Roman"/>
          <w:b/>
          <w:bCs/>
        </w:rPr>
      </w:pPr>
      <w:r w:rsidRPr="00A34F10">
        <w:rPr>
          <w:rFonts w:ascii="Times New Roman" w:hAnsi="Times New Roman" w:cs="Times New Roman"/>
          <w:b/>
          <w:bCs/>
        </w:rPr>
        <w:t>5.</w:t>
      </w:r>
      <w:r w:rsidRPr="00A34F10">
        <w:rPr>
          <w:rFonts w:ascii="Times New Roman" w:hAnsi="Times New Roman" w:cs="Times New Roman"/>
          <w:b/>
          <w:bCs/>
        </w:rPr>
        <w:tab/>
        <w:t>Animal assignment and treatment:</w:t>
      </w:r>
    </w:p>
    <w:p w14:paraId="7B6D4DE2" w14:textId="77777777" w:rsidR="00DC5685" w:rsidRPr="00A34F10" w:rsidRDefault="00DC5685" w:rsidP="00DC5685">
      <w:pPr>
        <w:jc w:val="both"/>
      </w:pPr>
      <w:bookmarkStart w:id="1023" w:name="_Hlk124778660"/>
      <w:r w:rsidRPr="00A34F10">
        <w:t>The acute oral toxicity of BAS 743 02 F to the Northern bobwhite quail (</w:t>
      </w:r>
      <w:r w:rsidRPr="00A34F10">
        <w:rPr>
          <w:i/>
        </w:rPr>
        <w:t>Colinus virginianus</w:t>
      </w:r>
      <w:r w:rsidRPr="00A34F10">
        <w:t>) was determined in the laboratory over 14 days as a limit test with a nominal dose of 2000 mg product/kg bw, administered as oral gavage</w:t>
      </w:r>
      <w:bookmarkEnd w:id="1023"/>
      <w:r w:rsidRPr="00A34F10">
        <w:t xml:space="preserve">. An untreated control group was tested in parallel. Each treatment comprised of one group containing ten northern bobwhite (five males and five females, randomly assigned). After dosing, food and water were provided </w:t>
      </w:r>
      <w:r w:rsidRPr="00A34F10">
        <w:rPr>
          <w:i/>
        </w:rPr>
        <w:t>ad libitum</w:t>
      </w:r>
      <w:r w:rsidRPr="00A34F10">
        <w:t xml:space="preserve">. </w:t>
      </w:r>
    </w:p>
    <w:p w14:paraId="2B51D67B" w14:textId="1C2D44C0" w:rsidR="00840C5D" w:rsidRDefault="00840C5D">
      <w:r>
        <w:br w:type="page"/>
      </w:r>
    </w:p>
    <w:p w14:paraId="0FB34548" w14:textId="77777777" w:rsidR="00DC5685" w:rsidRPr="00A34F10" w:rsidRDefault="00DC5685" w:rsidP="00DC5685">
      <w:pPr>
        <w:jc w:val="both"/>
      </w:pPr>
    </w:p>
    <w:p w14:paraId="7D9DFE6D" w14:textId="77777777" w:rsidR="00DC5685" w:rsidRPr="00A34F10" w:rsidRDefault="00DC5685" w:rsidP="00DC5685">
      <w:pPr>
        <w:pStyle w:val="EFSABodytext"/>
        <w:keepNext/>
        <w:spacing w:after="0"/>
        <w:rPr>
          <w:rFonts w:ascii="Times New Roman" w:hAnsi="Times New Roman" w:cs="Times New Roman"/>
          <w:b/>
          <w:bCs/>
        </w:rPr>
      </w:pPr>
      <w:r w:rsidRPr="00A34F10">
        <w:rPr>
          <w:rFonts w:ascii="Times New Roman" w:hAnsi="Times New Roman" w:cs="Times New Roman"/>
          <w:b/>
          <w:bCs/>
        </w:rPr>
        <w:t xml:space="preserve">6. </w:t>
      </w:r>
      <w:r w:rsidRPr="00A34F10">
        <w:rPr>
          <w:rFonts w:ascii="Times New Roman" w:hAnsi="Times New Roman" w:cs="Times New Roman"/>
          <w:b/>
          <w:bCs/>
        </w:rPr>
        <w:tab/>
        <w:t>Dose preparation:</w:t>
      </w:r>
    </w:p>
    <w:p w14:paraId="3136A252" w14:textId="77777777" w:rsidR="00DC5685" w:rsidRPr="00A34F10" w:rsidRDefault="00DC5685" w:rsidP="00DC5685">
      <w:pPr>
        <w:keepNext/>
        <w:jc w:val="both"/>
      </w:pPr>
      <w:r w:rsidRPr="00A34F10">
        <w:t xml:space="preserve">The liquid test substance was delivered neat, using a 1-mL syringe with 0.01-mL graduations and a 16-gauge × 3-inch stainless steel, ball-tipped animal feeding needle to draw and deliver the appropriate volume of test substance to each bird. Birds in the control group were dosed with distilled water using the density of the test substance to achieve a similar volume for both groups. Doses were delivered into the distal end of each bird’s esophagus, just superior to the proventriculus. </w:t>
      </w:r>
    </w:p>
    <w:p w14:paraId="17FDEE0C" w14:textId="6B75923A" w:rsidR="00DC5685" w:rsidRPr="00A34F10" w:rsidRDefault="00DC5685" w:rsidP="00DC5685">
      <w:pPr>
        <w:jc w:val="both"/>
      </w:pPr>
    </w:p>
    <w:p w14:paraId="03A1F610" w14:textId="77777777" w:rsidR="00DC5685" w:rsidRPr="00A34F10" w:rsidRDefault="00DC5685" w:rsidP="00DC5685">
      <w:pPr>
        <w:pStyle w:val="EFSABodytext"/>
        <w:keepNext/>
        <w:spacing w:after="0"/>
        <w:rPr>
          <w:rFonts w:ascii="Times New Roman" w:hAnsi="Times New Roman" w:cs="Times New Roman"/>
          <w:b/>
          <w:bCs/>
        </w:rPr>
      </w:pPr>
      <w:r w:rsidRPr="00A34F10">
        <w:rPr>
          <w:rFonts w:ascii="Times New Roman" w:hAnsi="Times New Roman" w:cs="Times New Roman"/>
          <w:b/>
          <w:bCs/>
        </w:rPr>
        <w:t xml:space="preserve">7. </w:t>
      </w:r>
      <w:r w:rsidRPr="00A34F10">
        <w:rPr>
          <w:rFonts w:ascii="Times New Roman" w:hAnsi="Times New Roman" w:cs="Times New Roman"/>
          <w:b/>
          <w:bCs/>
        </w:rPr>
        <w:tab/>
        <w:t xml:space="preserve">Measurements and observations: </w:t>
      </w:r>
    </w:p>
    <w:p w14:paraId="77698406" w14:textId="77777777" w:rsidR="00DC5685" w:rsidRPr="00A34F10" w:rsidRDefault="00DC5685" w:rsidP="00DC5685">
      <w:pPr>
        <w:pStyle w:val="EFSABodytext"/>
        <w:spacing w:after="0"/>
        <w:rPr>
          <w:rFonts w:ascii="Times New Roman" w:hAnsi="Times New Roman" w:cs="Times New Roman"/>
        </w:rPr>
      </w:pPr>
      <w:r w:rsidRPr="00A34F10">
        <w:rPr>
          <w:rFonts w:ascii="Times New Roman" w:hAnsi="Times New Roman" w:cs="Times New Roman"/>
        </w:rPr>
        <w:t>Following dosing, multiple observations were performed on day 0 of the test, with particular attention being paid to signs of regurgitation. From test initiation until termination, observations were performed daily. A record was maintained of all mortality, signs of toxicity and abnormal behaviour. Body weights were measured individually at the initiation of the test and on days 3, 7 and 14 of the test. Average feed consumption was determined by pen for each dosage group and the control group for days 0-3, 3-7 and 7-14.</w:t>
      </w:r>
    </w:p>
    <w:p w14:paraId="25FACD92" w14:textId="77777777" w:rsidR="00DC5685" w:rsidRPr="00A34F10" w:rsidRDefault="00DC5685" w:rsidP="00DC5685">
      <w:pPr>
        <w:pStyle w:val="EFSABodytext"/>
        <w:spacing w:after="0"/>
        <w:rPr>
          <w:rFonts w:ascii="Times New Roman" w:hAnsi="Times New Roman" w:cs="Times New Roman"/>
          <w:highlight w:val="yellow"/>
        </w:rPr>
      </w:pPr>
    </w:p>
    <w:p w14:paraId="21AD2964" w14:textId="77777777" w:rsidR="00DC5685" w:rsidRPr="00A34F10" w:rsidRDefault="00DC5685" w:rsidP="00DC5685">
      <w:pPr>
        <w:pStyle w:val="EFSABodytext"/>
        <w:keepNext/>
        <w:spacing w:after="0"/>
        <w:rPr>
          <w:rFonts w:ascii="Times New Roman" w:hAnsi="Times New Roman" w:cs="Times New Roman"/>
          <w:b/>
          <w:bCs/>
        </w:rPr>
      </w:pPr>
      <w:r w:rsidRPr="00A34F10">
        <w:rPr>
          <w:rFonts w:ascii="Times New Roman" w:hAnsi="Times New Roman" w:cs="Times New Roman"/>
          <w:b/>
          <w:bCs/>
        </w:rPr>
        <w:t xml:space="preserve">8. </w:t>
      </w:r>
      <w:r w:rsidRPr="00A34F10">
        <w:rPr>
          <w:rFonts w:ascii="Times New Roman" w:hAnsi="Times New Roman" w:cs="Times New Roman"/>
          <w:b/>
          <w:bCs/>
        </w:rPr>
        <w:tab/>
        <w:t xml:space="preserve">Statistics: </w:t>
      </w:r>
    </w:p>
    <w:p w14:paraId="0B19A285" w14:textId="77777777" w:rsidR="00DC5685" w:rsidRDefault="00DC5685" w:rsidP="00DC5685">
      <w:pPr>
        <w:jc w:val="both"/>
      </w:pPr>
      <w:r w:rsidRPr="00A34F10">
        <w:t>There were no mortalities during the study, therefore it was not possible to perform the calculation of an LD</w:t>
      </w:r>
      <w:r w:rsidRPr="00A34F10">
        <w:rPr>
          <w:vertAlign w:val="subscript"/>
        </w:rPr>
        <w:t xml:space="preserve">50. </w:t>
      </w:r>
      <w:r w:rsidRPr="00A34F10">
        <w:t xml:space="preserve"> The LD</w:t>
      </w:r>
      <w:r w:rsidRPr="00A34F10">
        <w:rPr>
          <w:vertAlign w:val="subscript"/>
        </w:rPr>
        <w:t>50</w:t>
      </w:r>
      <w:r w:rsidRPr="00A34F10">
        <w:t xml:space="preserve"> value was determined to be greater than the highest dose tested. No statistical analyses were applied to separate mean responses among treatment groups for the endpoints of food consumption and body weight.</w:t>
      </w:r>
    </w:p>
    <w:p w14:paraId="0A662087" w14:textId="77777777" w:rsidR="00C3521D" w:rsidRPr="00A34F10" w:rsidRDefault="00C3521D" w:rsidP="00DC5685">
      <w:pPr>
        <w:jc w:val="both"/>
      </w:pPr>
    </w:p>
    <w:p w14:paraId="717C7CD7" w14:textId="77777777" w:rsidR="00DC5685" w:rsidRPr="00A34F10" w:rsidRDefault="00DC5685" w:rsidP="00DC5685">
      <w:pPr>
        <w:pStyle w:val="EFSABodytext"/>
        <w:keepNext/>
        <w:keepLines/>
        <w:jc w:val="center"/>
        <w:rPr>
          <w:rFonts w:ascii="Times New Roman" w:hAnsi="Times New Roman" w:cs="Times New Roman"/>
          <w:b/>
          <w:bCs/>
        </w:rPr>
      </w:pPr>
      <w:r w:rsidRPr="00A34F10">
        <w:rPr>
          <w:rFonts w:ascii="Times New Roman" w:hAnsi="Times New Roman" w:cs="Times New Roman"/>
          <w:b/>
          <w:bCs/>
        </w:rPr>
        <w:t xml:space="preserve">II. </w:t>
      </w:r>
      <w:r w:rsidRPr="00A34F10">
        <w:rPr>
          <w:rFonts w:ascii="Times New Roman" w:hAnsi="Times New Roman" w:cs="Times New Roman"/>
          <w:b/>
          <w:bCs/>
        </w:rPr>
        <w:tab/>
        <w:t>RESULTS AND DISCUSSION</w:t>
      </w:r>
    </w:p>
    <w:p w14:paraId="4FCE2A9B" w14:textId="77777777" w:rsidR="00DC5685" w:rsidRPr="00A34F10" w:rsidRDefault="00DC5685" w:rsidP="00DC5685">
      <w:pPr>
        <w:pStyle w:val="EFSABodytext"/>
        <w:keepNext/>
        <w:keepLines/>
        <w:rPr>
          <w:rFonts w:ascii="Times New Roman" w:hAnsi="Times New Roman" w:cs="Times New Roman"/>
          <w:b/>
          <w:bCs/>
        </w:rPr>
      </w:pPr>
      <w:r w:rsidRPr="00A34F10">
        <w:rPr>
          <w:rFonts w:ascii="Times New Roman" w:hAnsi="Times New Roman" w:cs="Times New Roman"/>
          <w:b/>
          <w:bCs/>
        </w:rPr>
        <w:t>A. MORTALITY AND BEHAVIOUR</w:t>
      </w:r>
    </w:p>
    <w:p w14:paraId="334568BB" w14:textId="77777777" w:rsidR="00DC5685" w:rsidRPr="00A34F10" w:rsidRDefault="00DC5685" w:rsidP="00DC5685">
      <w:pPr>
        <w:keepNext/>
        <w:jc w:val="both"/>
      </w:pPr>
      <w:r w:rsidRPr="00A34F10">
        <w:t>There were no mortalities in the control or treatment group. No abnormal behaviour was observed for the control group. All birds in the 2000 mg product/kg bw group exhibited reduced faecal urate production or production of only or primarily urates, but all birds returned to normal faecal urate production by day 2 post-dosing. Body weight change and feed consumption was within normal limits for both the control and 2000 mg product/kg bw treatment groups throughout the experimental phase of the study. Therefore, the LD</w:t>
      </w:r>
      <w:r w:rsidRPr="00A34F10">
        <w:rPr>
          <w:vertAlign w:val="subscript"/>
        </w:rPr>
        <w:t>50</w:t>
      </w:r>
      <w:r w:rsidRPr="00A34F10">
        <w:t xml:space="preserve"> was estimated to be greater than 2000 mg product/kg bw.</w:t>
      </w:r>
    </w:p>
    <w:p w14:paraId="08CFA168" w14:textId="77777777" w:rsidR="00DC5685" w:rsidRPr="00A34F10" w:rsidRDefault="00DC5685" w:rsidP="00DC5685">
      <w:pPr>
        <w:keepNext/>
        <w:jc w:val="both"/>
        <w:rPr>
          <w:highlight w:val="yellow"/>
        </w:rPr>
      </w:pPr>
    </w:p>
    <w:p w14:paraId="206FD399" w14:textId="77777777" w:rsidR="00DC5685" w:rsidRPr="00A34F10" w:rsidRDefault="00DC5685" w:rsidP="00DC5685">
      <w:pPr>
        <w:pStyle w:val="EFSABodytext"/>
        <w:keepNext/>
        <w:rPr>
          <w:rFonts w:ascii="Times New Roman" w:hAnsi="Times New Roman" w:cs="Times New Roman"/>
          <w:b/>
          <w:bCs/>
        </w:rPr>
      </w:pPr>
      <w:r w:rsidRPr="00A34F10">
        <w:rPr>
          <w:rFonts w:ascii="Times New Roman" w:hAnsi="Times New Roman" w:cs="Times New Roman"/>
          <w:b/>
          <w:bCs/>
        </w:rPr>
        <w:t>B. BODY WEIGHT AND FEED CONSUMPTION</w:t>
      </w:r>
    </w:p>
    <w:p w14:paraId="7D154CA0" w14:textId="08CF93C4" w:rsidR="00DC5685" w:rsidRPr="00A34F10" w:rsidRDefault="00DC5685" w:rsidP="00DC5685">
      <w:pPr>
        <w:jc w:val="both"/>
      </w:pPr>
      <w:r w:rsidRPr="00A34F10">
        <w:t xml:space="preserve">There were no treatment related effects on body weight or feed consumption among the birds in the test item treatments compared to the control. Mean body weight data are presented in </w:t>
      </w:r>
      <w:r w:rsidR="00993767">
        <w:fldChar w:fldCharType="begin"/>
      </w:r>
      <w:r w:rsidR="00993767">
        <w:instrText xml:space="preserve"> REF _Ref147905228 \h </w:instrText>
      </w:r>
      <w:r w:rsidR="00993767">
        <w:fldChar w:fldCharType="separate"/>
      </w:r>
      <w:r w:rsidR="006F0F3B">
        <w:t xml:space="preserve">Table A </w:t>
      </w:r>
      <w:r w:rsidR="006F0F3B">
        <w:rPr>
          <w:noProof/>
        </w:rPr>
        <w:t>1</w:t>
      </w:r>
      <w:r w:rsidR="00993767">
        <w:fldChar w:fldCharType="end"/>
      </w:r>
      <w:r w:rsidRPr="00A34F10">
        <w:t xml:space="preserve">and mean feed consumption data are presented in </w:t>
      </w:r>
      <w:r w:rsidR="00D00E7C">
        <w:fldChar w:fldCharType="begin"/>
      </w:r>
      <w:r w:rsidR="00D00E7C">
        <w:instrText xml:space="preserve"> REF _Ref147905300 \h </w:instrText>
      </w:r>
      <w:r w:rsidR="00D00E7C">
        <w:fldChar w:fldCharType="separate"/>
      </w:r>
      <w:r w:rsidR="006F0F3B">
        <w:t xml:space="preserve">Table A </w:t>
      </w:r>
      <w:r w:rsidR="006F0F3B">
        <w:rPr>
          <w:noProof/>
        </w:rPr>
        <w:t>2</w:t>
      </w:r>
      <w:r w:rsidR="00D00E7C">
        <w:fldChar w:fldCharType="end"/>
      </w:r>
      <w:r w:rsidRPr="00A34F10">
        <w:t>.</w:t>
      </w:r>
    </w:p>
    <w:p w14:paraId="3529913C" w14:textId="77777777" w:rsidR="00DC5685" w:rsidRPr="00A34F10" w:rsidRDefault="00DC5685" w:rsidP="00DC5685">
      <w:pPr>
        <w:jc w:val="both"/>
        <w:rPr>
          <w:highlight w:val="yellow"/>
        </w:rPr>
      </w:pPr>
    </w:p>
    <w:p w14:paraId="16B56F0F" w14:textId="3D09800A" w:rsidR="00DC5685" w:rsidRPr="00A34F10" w:rsidRDefault="00993767" w:rsidP="00993767">
      <w:pPr>
        <w:pStyle w:val="Legenda"/>
      </w:pPr>
      <w:bookmarkStart w:id="1024" w:name="_Ref147905228"/>
      <w:r>
        <w:t xml:space="preserve">Table A </w:t>
      </w:r>
      <w:r>
        <w:fldChar w:fldCharType="begin"/>
      </w:r>
      <w:r>
        <w:instrText xml:space="preserve"> SEQ Table_A \* ARABIC </w:instrText>
      </w:r>
      <w:r>
        <w:fldChar w:fldCharType="separate"/>
      </w:r>
      <w:r w:rsidR="006F0F3B">
        <w:rPr>
          <w:noProof/>
        </w:rPr>
        <w:t>1</w:t>
      </w:r>
      <w:r>
        <w:fldChar w:fldCharType="end"/>
      </w:r>
      <w:bookmarkEnd w:id="1024"/>
      <w:r w:rsidR="00CF03B2" w:rsidRPr="00A34F10">
        <w:t>:</w:t>
      </w:r>
      <w:r w:rsidR="00CF03B2" w:rsidRPr="00A34F10">
        <w:tab/>
      </w:r>
      <w:r w:rsidR="00DC5685" w:rsidRPr="00A34F10">
        <w:t xml:space="preserve">Mean body weights of Northern bobwhites over 14 days </w:t>
      </w:r>
    </w:p>
    <w:tbl>
      <w:tblPr>
        <w:tblStyle w:val="Tabela-Siatka"/>
        <w:tblW w:w="5000" w:type="pct"/>
        <w:tblLook w:val="04A0" w:firstRow="1" w:lastRow="0" w:firstColumn="1" w:lastColumn="0" w:noHBand="0" w:noVBand="1"/>
      </w:tblPr>
      <w:tblGrid>
        <w:gridCol w:w="2214"/>
        <w:gridCol w:w="1271"/>
        <w:gridCol w:w="1271"/>
        <w:gridCol w:w="1271"/>
        <w:gridCol w:w="1271"/>
        <w:gridCol w:w="2046"/>
      </w:tblGrid>
      <w:tr w:rsidR="00DC5685" w:rsidRPr="00A34F10" w14:paraId="57D6F063" w14:textId="77777777" w:rsidTr="000470C3">
        <w:tc>
          <w:tcPr>
            <w:tcW w:w="1185" w:type="pct"/>
            <w:vMerge w:val="restart"/>
            <w:vAlign w:val="center"/>
          </w:tcPr>
          <w:p w14:paraId="49725822" w14:textId="77777777" w:rsidR="00DC5685" w:rsidRPr="00A34F10" w:rsidRDefault="00DC5685" w:rsidP="000470C3">
            <w:pPr>
              <w:keepNext/>
              <w:spacing w:before="20" w:after="20"/>
              <w:rPr>
                <w:b/>
                <w:bCs/>
                <w:sz w:val="20"/>
                <w:szCs w:val="20"/>
              </w:rPr>
            </w:pPr>
            <w:r w:rsidRPr="00A34F10">
              <w:rPr>
                <w:b/>
                <w:sz w:val="20"/>
                <w:szCs w:val="20"/>
              </w:rPr>
              <w:t xml:space="preserve">Treatment group </w:t>
            </w:r>
            <w:r w:rsidRPr="00A34F10">
              <w:rPr>
                <w:b/>
                <w:sz w:val="20"/>
                <w:szCs w:val="20"/>
              </w:rPr>
              <w:br/>
              <w:t>(mg product/kg bw)</w:t>
            </w:r>
          </w:p>
        </w:tc>
        <w:tc>
          <w:tcPr>
            <w:tcW w:w="3815" w:type="pct"/>
            <w:gridSpan w:val="5"/>
            <w:vAlign w:val="center"/>
          </w:tcPr>
          <w:p w14:paraId="42ABE758" w14:textId="77777777" w:rsidR="00DC5685" w:rsidRPr="00A34F10" w:rsidRDefault="00DC5685" w:rsidP="000470C3">
            <w:pPr>
              <w:keepNext/>
              <w:spacing w:before="20" w:after="20"/>
              <w:rPr>
                <w:b/>
                <w:bCs/>
                <w:sz w:val="20"/>
                <w:szCs w:val="20"/>
              </w:rPr>
            </w:pPr>
            <w:r w:rsidRPr="00A34F10">
              <w:rPr>
                <w:b/>
                <w:sz w:val="20"/>
                <w:szCs w:val="20"/>
              </w:rPr>
              <w:t>Mean body weights [g] (SD)</w:t>
            </w:r>
          </w:p>
        </w:tc>
      </w:tr>
      <w:tr w:rsidR="00DC5685" w:rsidRPr="00A34F10" w14:paraId="2B23F25A" w14:textId="77777777" w:rsidTr="000470C3">
        <w:tc>
          <w:tcPr>
            <w:tcW w:w="1185" w:type="pct"/>
            <w:vMerge/>
            <w:vAlign w:val="center"/>
          </w:tcPr>
          <w:p w14:paraId="6BD0E280" w14:textId="77777777" w:rsidR="00DC5685" w:rsidRPr="00A34F10" w:rsidRDefault="00DC5685" w:rsidP="000470C3">
            <w:pPr>
              <w:keepNext/>
              <w:spacing w:before="20" w:after="20"/>
              <w:rPr>
                <w:b/>
                <w:bCs/>
                <w:sz w:val="20"/>
                <w:szCs w:val="20"/>
              </w:rPr>
            </w:pPr>
          </w:p>
        </w:tc>
        <w:tc>
          <w:tcPr>
            <w:tcW w:w="680" w:type="pct"/>
            <w:vAlign w:val="center"/>
          </w:tcPr>
          <w:p w14:paraId="478E2EDA" w14:textId="77777777" w:rsidR="00DC5685" w:rsidRPr="00A34F10" w:rsidRDefault="00DC5685" w:rsidP="000470C3">
            <w:pPr>
              <w:keepNext/>
              <w:spacing w:before="20" w:after="20"/>
              <w:rPr>
                <w:b/>
                <w:bCs/>
                <w:sz w:val="20"/>
                <w:szCs w:val="20"/>
              </w:rPr>
            </w:pPr>
            <w:r w:rsidRPr="00A34F10">
              <w:rPr>
                <w:b/>
                <w:sz w:val="20"/>
                <w:szCs w:val="20"/>
              </w:rPr>
              <w:t>Day 1</w:t>
            </w:r>
          </w:p>
        </w:tc>
        <w:tc>
          <w:tcPr>
            <w:tcW w:w="680" w:type="pct"/>
            <w:vAlign w:val="center"/>
          </w:tcPr>
          <w:p w14:paraId="34A83FD5" w14:textId="77777777" w:rsidR="00DC5685" w:rsidRPr="00A34F10" w:rsidRDefault="00DC5685" w:rsidP="000470C3">
            <w:pPr>
              <w:keepNext/>
              <w:spacing w:before="20" w:after="20"/>
              <w:rPr>
                <w:b/>
                <w:bCs/>
                <w:sz w:val="20"/>
                <w:szCs w:val="20"/>
              </w:rPr>
            </w:pPr>
            <w:r w:rsidRPr="00A34F10">
              <w:rPr>
                <w:b/>
                <w:sz w:val="20"/>
                <w:szCs w:val="20"/>
              </w:rPr>
              <w:t>Day 3</w:t>
            </w:r>
          </w:p>
        </w:tc>
        <w:tc>
          <w:tcPr>
            <w:tcW w:w="680" w:type="pct"/>
            <w:vAlign w:val="center"/>
          </w:tcPr>
          <w:p w14:paraId="35A591AA" w14:textId="77777777" w:rsidR="00DC5685" w:rsidRPr="00A34F10" w:rsidRDefault="00DC5685" w:rsidP="000470C3">
            <w:pPr>
              <w:keepNext/>
              <w:spacing w:before="20" w:after="20"/>
              <w:rPr>
                <w:b/>
                <w:bCs/>
                <w:sz w:val="20"/>
                <w:szCs w:val="20"/>
              </w:rPr>
            </w:pPr>
            <w:r w:rsidRPr="00A34F10">
              <w:rPr>
                <w:b/>
                <w:sz w:val="20"/>
                <w:szCs w:val="20"/>
              </w:rPr>
              <w:t>Day 7</w:t>
            </w:r>
          </w:p>
        </w:tc>
        <w:tc>
          <w:tcPr>
            <w:tcW w:w="680" w:type="pct"/>
            <w:vAlign w:val="center"/>
          </w:tcPr>
          <w:p w14:paraId="2BD204F2" w14:textId="77777777" w:rsidR="00DC5685" w:rsidRPr="00A34F10" w:rsidRDefault="00DC5685" w:rsidP="000470C3">
            <w:pPr>
              <w:keepNext/>
              <w:spacing w:before="20" w:after="20"/>
              <w:rPr>
                <w:b/>
                <w:bCs/>
                <w:sz w:val="20"/>
                <w:szCs w:val="20"/>
              </w:rPr>
            </w:pPr>
            <w:r w:rsidRPr="00A34F10">
              <w:rPr>
                <w:b/>
                <w:sz w:val="20"/>
                <w:szCs w:val="20"/>
              </w:rPr>
              <w:t>Day 14</w:t>
            </w:r>
          </w:p>
        </w:tc>
        <w:tc>
          <w:tcPr>
            <w:tcW w:w="1095" w:type="pct"/>
            <w:vAlign w:val="center"/>
          </w:tcPr>
          <w:p w14:paraId="331477C1" w14:textId="77777777" w:rsidR="00DC5685" w:rsidRPr="00A34F10" w:rsidRDefault="00DC5685" w:rsidP="000470C3">
            <w:pPr>
              <w:keepNext/>
              <w:spacing w:before="20" w:after="20"/>
              <w:rPr>
                <w:b/>
                <w:sz w:val="20"/>
                <w:szCs w:val="20"/>
              </w:rPr>
            </w:pPr>
            <w:r w:rsidRPr="00A34F10">
              <w:rPr>
                <w:b/>
                <w:sz w:val="20"/>
                <w:szCs w:val="20"/>
              </w:rPr>
              <w:t>Total change</w:t>
            </w:r>
          </w:p>
          <w:p w14:paraId="3342F7AA" w14:textId="77777777" w:rsidR="00DC5685" w:rsidRPr="00A34F10" w:rsidRDefault="00DC5685" w:rsidP="000470C3">
            <w:pPr>
              <w:keepNext/>
              <w:spacing w:before="20" w:after="20"/>
              <w:rPr>
                <w:b/>
                <w:bCs/>
                <w:sz w:val="20"/>
                <w:szCs w:val="20"/>
              </w:rPr>
            </w:pPr>
            <w:r w:rsidRPr="00A34F10">
              <w:rPr>
                <w:b/>
                <w:bCs/>
                <w:sz w:val="20"/>
                <w:szCs w:val="20"/>
              </w:rPr>
              <w:t xml:space="preserve">Day -1 to Day 14 </w:t>
            </w:r>
          </w:p>
        </w:tc>
      </w:tr>
      <w:tr w:rsidR="00DC5685" w:rsidRPr="00A34F10" w14:paraId="47D0EEF2" w14:textId="77777777" w:rsidTr="000470C3">
        <w:tc>
          <w:tcPr>
            <w:tcW w:w="1185" w:type="pct"/>
            <w:vAlign w:val="center"/>
          </w:tcPr>
          <w:p w14:paraId="1D152603" w14:textId="77777777" w:rsidR="00DC5685" w:rsidRPr="00A34F10" w:rsidRDefault="00DC5685" w:rsidP="000470C3">
            <w:pPr>
              <w:keepNext/>
              <w:spacing w:before="20" w:after="20"/>
              <w:rPr>
                <w:sz w:val="20"/>
                <w:szCs w:val="20"/>
              </w:rPr>
            </w:pPr>
            <w:r w:rsidRPr="00A34F10">
              <w:rPr>
                <w:sz w:val="20"/>
                <w:szCs w:val="20"/>
              </w:rPr>
              <w:t>Control</w:t>
            </w:r>
          </w:p>
        </w:tc>
        <w:tc>
          <w:tcPr>
            <w:tcW w:w="680" w:type="pct"/>
            <w:vAlign w:val="center"/>
          </w:tcPr>
          <w:p w14:paraId="4F600739" w14:textId="77777777" w:rsidR="00DC5685" w:rsidRPr="00A34F10" w:rsidRDefault="00DC5685" w:rsidP="000470C3">
            <w:pPr>
              <w:keepNext/>
              <w:spacing w:before="20" w:after="20"/>
              <w:rPr>
                <w:sz w:val="20"/>
                <w:szCs w:val="20"/>
              </w:rPr>
            </w:pPr>
            <w:r w:rsidRPr="00A34F10">
              <w:rPr>
                <w:sz w:val="20"/>
                <w:szCs w:val="20"/>
              </w:rPr>
              <w:t>204.1 (6.8)</w:t>
            </w:r>
          </w:p>
        </w:tc>
        <w:tc>
          <w:tcPr>
            <w:tcW w:w="680" w:type="pct"/>
            <w:vAlign w:val="center"/>
          </w:tcPr>
          <w:p w14:paraId="3201F026" w14:textId="77777777" w:rsidR="00DC5685" w:rsidRPr="00A34F10" w:rsidRDefault="00DC5685" w:rsidP="000470C3">
            <w:pPr>
              <w:keepNext/>
              <w:spacing w:before="20" w:after="20"/>
              <w:rPr>
                <w:sz w:val="20"/>
                <w:szCs w:val="20"/>
              </w:rPr>
            </w:pPr>
            <w:r w:rsidRPr="00A34F10">
              <w:rPr>
                <w:sz w:val="20"/>
                <w:szCs w:val="20"/>
              </w:rPr>
              <w:t>209.7 (6.7)</w:t>
            </w:r>
          </w:p>
        </w:tc>
        <w:tc>
          <w:tcPr>
            <w:tcW w:w="680" w:type="pct"/>
            <w:vAlign w:val="center"/>
          </w:tcPr>
          <w:p w14:paraId="0F669E80" w14:textId="77777777" w:rsidR="00DC5685" w:rsidRPr="00A34F10" w:rsidRDefault="00DC5685" w:rsidP="000470C3">
            <w:pPr>
              <w:keepNext/>
              <w:spacing w:before="20" w:after="20"/>
              <w:rPr>
                <w:sz w:val="20"/>
                <w:szCs w:val="20"/>
              </w:rPr>
            </w:pPr>
            <w:r w:rsidRPr="00A34F10">
              <w:rPr>
                <w:sz w:val="20"/>
                <w:szCs w:val="20"/>
              </w:rPr>
              <w:t>205.6 (7.6)</w:t>
            </w:r>
          </w:p>
        </w:tc>
        <w:tc>
          <w:tcPr>
            <w:tcW w:w="680" w:type="pct"/>
            <w:vAlign w:val="center"/>
          </w:tcPr>
          <w:p w14:paraId="6EDB4CEB" w14:textId="77777777" w:rsidR="00DC5685" w:rsidRPr="00A34F10" w:rsidRDefault="00DC5685" w:rsidP="000470C3">
            <w:pPr>
              <w:keepNext/>
              <w:spacing w:before="20" w:after="20"/>
              <w:rPr>
                <w:sz w:val="20"/>
                <w:szCs w:val="20"/>
              </w:rPr>
            </w:pPr>
            <w:r w:rsidRPr="00A34F10">
              <w:rPr>
                <w:sz w:val="20"/>
                <w:szCs w:val="20"/>
              </w:rPr>
              <w:t>208.8 (7.1)</w:t>
            </w:r>
          </w:p>
        </w:tc>
        <w:tc>
          <w:tcPr>
            <w:tcW w:w="1095" w:type="pct"/>
            <w:vAlign w:val="center"/>
          </w:tcPr>
          <w:p w14:paraId="6E22CAF4" w14:textId="77777777" w:rsidR="00DC5685" w:rsidRPr="00A34F10" w:rsidRDefault="00DC5685" w:rsidP="000470C3">
            <w:pPr>
              <w:keepNext/>
              <w:spacing w:before="20" w:after="20"/>
              <w:rPr>
                <w:sz w:val="20"/>
                <w:szCs w:val="20"/>
              </w:rPr>
            </w:pPr>
            <w:r w:rsidRPr="00A34F10">
              <w:rPr>
                <w:sz w:val="20"/>
                <w:szCs w:val="20"/>
              </w:rPr>
              <w:t>4.7 (1.2)</w:t>
            </w:r>
          </w:p>
        </w:tc>
      </w:tr>
      <w:tr w:rsidR="00DC5685" w:rsidRPr="00A34F10" w14:paraId="7C36B17A" w14:textId="77777777" w:rsidTr="000470C3">
        <w:tc>
          <w:tcPr>
            <w:tcW w:w="1185" w:type="pct"/>
            <w:vAlign w:val="center"/>
          </w:tcPr>
          <w:p w14:paraId="356BA0F1" w14:textId="77777777" w:rsidR="00DC5685" w:rsidRPr="00A34F10" w:rsidRDefault="00DC5685" w:rsidP="000470C3">
            <w:pPr>
              <w:keepNext/>
              <w:spacing w:before="20" w:after="20"/>
              <w:rPr>
                <w:sz w:val="20"/>
                <w:szCs w:val="20"/>
              </w:rPr>
            </w:pPr>
            <w:r w:rsidRPr="00A34F10">
              <w:rPr>
                <w:sz w:val="20"/>
                <w:szCs w:val="20"/>
              </w:rPr>
              <w:t>2000</w:t>
            </w:r>
          </w:p>
        </w:tc>
        <w:tc>
          <w:tcPr>
            <w:tcW w:w="680" w:type="pct"/>
            <w:vAlign w:val="center"/>
          </w:tcPr>
          <w:p w14:paraId="7D0A0E05" w14:textId="77777777" w:rsidR="00DC5685" w:rsidRPr="00A34F10" w:rsidRDefault="00DC5685" w:rsidP="000470C3">
            <w:pPr>
              <w:keepNext/>
              <w:spacing w:before="20" w:after="20"/>
              <w:rPr>
                <w:sz w:val="20"/>
                <w:szCs w:val="20"/>
              </w:rPr>
            </w:pPr>
            <w:r w:rsidRPr="00A34F10">
              <w:rPr>
                <w:sz w:val="20"/>
                <w:szCs w:val="20"/>
              </w:rPr>
              <w:t>211.5 (6.1)</w:t>
            </w:r>
          </w:p>
        </w:tc>
        <w:tc>
          <w:tcPr>
            <w:tcW w:w="680" w:type="pct"/>
            <w:vAlign w:val="center"/>
          </w:tcPr>
          <w:p w14:paraId="05C8D92B" w14:textId="77777777" w:rsidR="00DC5685" w:rsidRPr="00A34F10" w:rsidRDefault="00DC5685" w:rsidP="000470C3">
            <w:pPr>
              <w:keepNext/>
              <w:spacing w:before="20" w:after="20"/>
              <w:rPr>
                <w:sz w:val="20"/>
                <w:szCs w:val="20"/>
              </w:rPr>
            </w:pPr>
            <w:r w:rsidRPr="00A34F10">
              <w:rPr>
                <w:sz w:val="20"/>
                <w:szCs w:val="20"/>
              </w:rPr>
              <w:t>215.7 (6.3)</w:t>
            </w:r>
          </w:p>
        </w:tc>
        <w:tc>
          <w:tcPr>
            <w:tcW w:w="680" w:type="pct"/>
            <w:vAlign w:val="center"/>
          </w:tcPr>
          <w:p w14:paraId="05400A23" w14:textId="77777777" w:rsidR="00DC5685" w:rsidRPr="00A34F10" w:rsidRDefault="00DC5685" w:rsidP="000470C3">
            <w:pPr>
              <w:keepNext/>
              <w:spacing w:before="20" w:after="20"/>
              <w:rPr>
                <w:sz w:val="20"/>
                <w:szCs w:val="20"/>
              </w:rPr>
            </w:pPr>
            <w:r w:rsidRPr="00A34F10">
              <w:rPr>
                <w:sz w:val="20"/>
                <w:szCs w:val="20"/>
              </w:rPr>
              <w:t>214.1 (6.1)</w:t>
            </w:r>
          </w:p>
        </w:tc>
        <w:tc>
          <w:tcPr>
            <w:tcW w:w="680" w:type="pct"/>
            <w:vAlign w:val="center"/>
          </w:tcPr>
          <w:p w14:paraId="04D18715" w14:textId="77777777" w:rsidR="00DC5685" w:rsidRPr="00A34F10" w:rsidRDefault="00DC5685" w:rsidP="000470C3">
            <w:pPr>
              <w:keepNext/>
              <w:spacing w:before="20" w:after="20"/>
              <w:rPr>
                <w:sz w:val="20"/>
                <w:szCs w:val="20"/>
              </w:rPr>
            </w:pPr>
            <w:r w:rsidRPr="00A34F10">
              <w:rPr>
                <w:sz w:val="20"/>
                <w:szCs w:val="20"/>
              </w:rPr>
              <w:t>215.7 (5.7)</w:t>
            </w:r>
          </w:p>
        </w:tc>
        <w:tc>
          <w:tcPr>
            <w:tcW w:w="1095" w:type="pct"/>
            <w:vAlign w:val="center"/>
          </w:tcPr>
          <w:p w14:paraId="7537E41A" w14:textId="77777777" w:rsidR="00DC5685" w:rsidRPr="00A34F10" w:rsidRDefault="00DC5685" w:rsidP="000470C3">
            <w:pPr>
              <w:keepNext/>
              <w:spacing w:before="20" w:after="20"/>
              <w:rPr>
                <w:sz w:val="20"/>
                <w:szCs w:val="20"/>
              </w:rPr>
            </w:pPr>
            <w:r w:rsidRPr="00A34F10">
              <w:rPr>
                <w:sz w:val="20"/>
                <w:szCs w:val="20"/>
              </w:rPr>
              <w:t>4.1 (2.4)</w:t>
            </w:r>
          </w:p>
        </w:tc>
      </w:tr>
    </w:tbl>
    <w:p w14:paraId="59439539" w14:textId="77777777" w:rsidR="00DC5685" w:rsidRPr="00A34F10" w:rsidRDefault="00DC5685" w:rsidP="00DC5685">
      <w:pPr>
        <w:jc w:val="both"/>
        <w:rPr>
          <w:sz w:val="18"/>
          <w:szCs w:val="18"/>
        </w:rPr>
      </w:pPr>
      <w:r w:rsidRPr="00A34F10">
        <w:rPr>
          <w:sz w:val="18"/>
          <w:szCs w:val="18"/>
        </w:rPr>
        <w:t>SD: Standard deviation</w:t>
      </w:r>
    </w:p>
    <w:p w14:paraId="10C087F2" w14:textId="4180FEF9" w:rsidR="00840C5D" w:rsidRDefault="00840C5D">
      <w:r>
        <w:br w:type="page"/>
      </w:r>
    </w:p>
    <w:p w14:paraId="0CC25E3E" w14:textId="77777777" w:rsidR="00DC5685" w:rsidRPr="00A34F10" w:rsidRDefault="00DC5685" w:rsidP="00DC5685">
      <w:pPr>
        <w:jc w:val="both"/>
      </w:pPr>
    </w:p>
    <w:p w14:paraId="452C1965" w14:textId="4BEABF20" w:rsidR="00DC5685" w:rsidRPr="00A34F10" w:rsidRDefault="00D00E7C" w:rsidP="00D00E7C">
      <w:pPr>
        <w:pStyle w:val="Legenda"/>
      </w:pPr>
      <w:bookmarkStart w:id="1025" w:name="_Ref147905300"/>
      <w:r>
        <w:t xml:space="preserve">Table A </w:t>
      </w:r>
      <w:r>
        <w:fldChar w:fldCharType="begin"/>
      </w:r>
      <w:r>
        <w:instrText xml:space="preserve"> SEQ Table_A \* ARABIC </w:instrText>
      </w:r>
      <w:r>
        <w:fldChar w:fldCharType="separate"/>
      </w:r>
      <w:r w:rsidR="006F0F3B">
        <w:rPr>
          <w:noProof/>
        </w:rPr>
        <w:t>2</w:t>
      </w:r>
      <w:r>
        <w:fldChar w:fldCharType="end"/>
      </w:r>
      <w:bookmarkEnd w:id="1025"/>
      <w:r w:rsidR="00CF03B2" w:rsidRPr="00A34F10">
        <w:t>:</w:t>
      </w:r>
      <w:r w:rsidR="00DC5685" w:rsidRPr="00A34F10">
        <w:tab/>
        <w:t xml:space="preserve">Estimated mean feed consumption of Northern bobwhites over 14 days </w:t>
      </w:r>
    </w:p>
    <w:tbl>
      <w:tblPr>
        <w:tblStyle w:val="Tabela-Siatka"/>
        <w:tblW w:w="5000" w:type="pct"/>
        <w:tblLook w:val="04A0" w:firstRow="1" w:lastRow="0" w:firstColumn="1" w:lastColumn="0" w:noHBand="0" w:noVBand="1"/>
      </w:tblPr>
      <w:tblGrid>
        <w:gridCol w:w="2336"/>
        <w:gridCol w:w="2336"/>
        <w:gridCol w:w="2336"/>
        <w:gridCol w:w="2336"/>
      </w:tblGrid>
      <w:tr w:rsidR="00DC5685" w:rsidRPr="00A34F10" w14:paraId="2ED795CE" w14:textId="77777777" w:rsidTr="000470C3">
        <w:tc>
          <w:tcPr>
            <w:tcW w:w="1250" w:type="pct"/>
            <w:vMerge w:val="restart"/>
            <w:vAlign w:val="center"/>
          </w:tcPr>
          <w:p w14:paraId="47D7004C" w14:textId="77777777" w:rsidR="00DC5685" w:rsidRPr="00A34F10" w:rsidRDefault="00DC5685" w:rsidP="000470C3">
            <w:pPr>
              <w:keepNext/>
              <w:spacing w:before="20" w:after="20"/>
              <w:rPr>
                <w:b/>
                <w:bCs/>
                <w:sz w:val="20"/>
                <w:szCs w:val="20"/>
              </w:rPr>
            </w:pPr>
            <w:r w:rsidRPr="00A34F10">
              <w:rPr>
                <w:b/>
                <w:sz w:val="20"/>
                <w:szCs w:val="20"/>
              </w:rPr>
              <w:t xml:space="preserve">Treatment group </w:t>
            </w:r>
            <w:r w:rsidRPr="00A34F10">
              <w:rPr>
                <w:b/>
                <w:sz w:val="20"/>
                <w:szCs w:val="20"/>
              </w:rPr>
              <w:br/>
              <w:t>(mg product/kg bw)</w:t>
            </w:r>
          </w:p>
        </w:tc>
        <w:tc>
          <w:tcPr>
            <w:tcW w:w="3750" w:type="pct"/>
            <w:gridSpan w:val="3"/>
            <w:vAlign w:val="center"/>
          </w:tcPr>
          <w:p w14:paraId="1E333DD3" w14:textId="77777777" w:rsidR="00DC5685" w:rsidRPr="00A34F10" w:rsidRDefault="00DC5685" w:rsidP="000470C3">
            <w:pPr>
              <w:keepNext/>
              <w:spacing w:before="20" w:after="20"/>
              <w:rPr>
                <w:b/>
                <w:bCs/>
                <w:sz w:val="20"/>
                <w:szCs w:val="20"/>
              </w:rPr>
            </w:pPr>
            <w:r w:rsidRPr="00A34F10">
              <w:rPr>
                <w:b/>
                <w:sz w:val="20"/>
                <w:szCs w:val="20"/>
              </w:rPr>
              <w:t>Average Feed Consumption/Bird/Day [g] (SD)</w:t>
            </w:r>
          </w:p>
        </w:tc>
      </w:tr>
      <w:tr w:rsidR="00DC5685" w:rsidRPr="00A34F10" w14:paraId="38E83940" w14:textId="77777777" w:rsidTr="000470C3">
        <w:tc>
          <w:tcPr>
            <w:tcW w:w="1250" w:type="pct"/>
            <w:vMerge/>
            <w:vAlign w:val="center"/>
          </w:tcPr>
          <w:p w14:paraId="1F9AC49F" w14:textId="77777777" w:rsidR="00DC5685" w:rsidRPr="00A34F10" w:rsidRDefault="00DC5685" w:rsidP="000470C3">
            <w:pPr>
              <w:keepNext/>
              <w:spacing w:before="20" w:after="20"/>
              <w:rPr>
                <w:b/>
                <w:bCs/>
                <w:sz w:val="20"/>
                <w:szCs w:val="20"/>
              </w:rPr>
            </w:pPr>
          </w:p>
        </w:tc>
        <w:tc>
          <w:tcPr>
            <w:tcW w:w="1250" w:type="pct"/>
            <w:vAlign w:val="center"/>
          </w:tcPr>
          <w:p w14:paraId="0F75D7DD" w14:textId="77777777" w:rsidR="00DC5685" w:rsidRPr="00A34F10" w:rsidRDefault="00DC5685" w:rsidP="000470C3">
            <w:pPr>
              <w:keepNext/>
              <w:spacing w:before="20" w:after="20"/>
              <w:rPr>
                <w:b/>
                <w:bCs/>
                <w:sz w:val="20"/>
                <w:szCs w:val="20"/>
              </w:rPr>
            </w:pPr>
            <w:r w:rsidRPr="00A34F10">
              <w:rPr>
                <w:b/>
                <w:sz w:val="20"/>
                <w:szCs w:val="20"/>
              </w:rPr>
              <w:t>Days 1 – 3</w:t>
            </w:r>
          </w:p>
        </w:tc>
        <w:tc>
          <w:tcPr>
            <w:tcW w:w="1250" w:type="pct"/>
            <w:vAlign w:val="center"/>
          </w:tcPr>
          <w:p w14:paraId="36E6F36E" w14:textId="77777777" w:rsidR="00DC5685" w:rsidRPr="00A34F10" w:rsidRDefault="00DC5685" w:rsidP="000470C3">
            <w:pPr>
              <w:keepNext/>
              <w:spacing w:before="20" w:after="20"/>
              <w:rPr>
                <w:b/>
                <w:bCs/>
                <w:sz w:val="20"/>
                <w:szCs w:val="20"/>
              </w:rPr>
            </w:pPr>
            <w:r w:rsidRPr="00A34F10">
              <w:rPr>
                <w:b/>
                <w:sz w:val="20"/>
                <w:szCs w:val="20"/>
              </w:rPr>
              <w:t>Days 3 – 7</w:t>
            </w:r>
          </w:p>
        </w:tc>
        <w:tc>
          <w:tcPr>
            <w:tcW w:w="1250" w:type="pct"/>
            <w:vAlign w:val="center"/>
          </w:tcPr>
          <w:p w14:paraId="55159B00" w14:textId="77777777" w:rsidR="00DC5685" w:rsidRPr="00A34F10" w:rsidRDefault="00DC5685" w:rsidP="000470C3">
            <w:pPr>
              <w:keepNext/>
              <w:spacing w:before="20" w:after="20"/>
              <w:rPr>
                <w:b/>
                <w:bCs/>
                <w:sz w:val="20"/>
                <w:szCs w:val="20"/>
              </w:rPr>
            </w:pPr>
            <w:r w:rsidRPr="00A34F10">
              <w:rPr>
                <w:b/>
                <w:sz w:val="20"/>
                <w:szCs w:val="20"/>
              </w:rPr>
              <w:t>Days 7 - 14</w:t>
            </w:r>
          </w:p>
        </w:tc>
      </w:tr>
      <w:tr w:rsidR="00DC5685" w:rsidRPr="00A34F10" w14:paraId="345A48BC" w14:textId="77777777" w:rsidTr="000470C3">
        <w:tc>
          <w:tcPr>
            <w:tcW w:w="1250" w:type="pct"/>
            <w:vAlign w:val="center"/>
          </w:tcPr>
          <w:p w14:paraId="3FE91575" w14:textId="77777777" w:rsidR="00DC5685" w:rsidRPr="00A34F10" w:rsidRDefault="00DC5685" w:rsidP="000470C3">
            <w:pPr>
              <w:keepNext/>
              <w:spacing w:before="20" w:after="20"/>
              <w:rPr>
                <w:sz w:val="20"/>
                <w:szCs w:val="20"/>
              </w:rPr>
            </w:pPr>
            <w:r w:rsidRPr="00A34F10">
              <w:rPr>
                <w:sz w:val="20"/>
                <w:szCs w:val="20"/>
              </w:rPr>
              <w:t>Control</w:t>
            </w:r>
          </w:p>
        </w:tc>
        <w:tc>
          <w:tcPr>
            <w:tcW w:w="1250" w:type="pct"/>
            <w:vAlign w:val="center"/>
          </w:tcPr>
          <w:p w14:paraId="6BE8EEBC" w14:textId="77777777" w:rsidR="00DC5685" w:rsidRPr="00A34F10" w:rsidRDefault="00DC5685" w:rsidP="000470C3">
            <w:pPr>
              <w:keepNext/>
              <w:spacing w:before="20" w:after="20"/>
              <w:rPr>
                <w:sz w:val="20"/>
                <w:szCs w:val="20"/>
              </w:rPr>
            </w:pPr>
            <w:r w:rsidRPr="00A34F10">
              <w:rPr>
                <w:sz w:val="20"/>
                <w:szCs w:val="20"/>
              </w:rPr>
              <w:t xml:space="preserve">14.6 </w:t>
            </w:r>
          </w:p>
          <w:p w14:paraId="621B9C34" w14:textId="77777777" w:rsidR="00DC5685" w:rsidRPr="00A34F10" w:rsidRDefault="00DC5685" w:rsidP="000470C3">
            <w:pPr>
              <w:keepNext/>
              <w:spacing w:before="20" w:after="20"/>
              <w:rPr>
                <w:sz w:val="20"/>
                <w:szCs w:val="20"/>
              </w:rPr>
            </w:pPr>
            <w:r w:rsidRPr="00A34F10">
              <w:rPr>
                <w:sz w:val="20"/>
                <w:szCs w:val="20"/>
              </w:rPr>
              <w:t>(1.8)</w:t>
            </w:r>
          </w:p>
        </w:tc>
        <w:tc>
          <w:tcPr>
            <w:tcW w:w="1250" w:type="pct"/>
            <w:vAlign w:val="center"/>
          </w:tcPr>
          <w:p w14:paraId="5844651C" w14:textId="77777777" w:rsidR="00DC5685" w:rsidRPr="00A34F10" w:rsidRDefault="00DC5685" w:rsidP="000470C3">
            <w:pPr>
              <w:keepNext/>
              <w:spacing w:before="20" w:after="20"/>
              <w:rPr>
                <w:sz w:val="20"/>
                <w:szCs w:val="20"/>
              </w:rPr>
            </w:pPr>
            <w:r w:rsidRPr="00A34F10">
              <w:rPr>
                <w:sz w:val="20"/>
                <w:szCs w:val="20"/>
              </w:rPr>
              <w:t xml:space="preserve">12.8 </w:t>
            </w:r>
          </w:p>
          <w:p w14:paraId="52E7C46E" w14:textId="77777777" w:rsidR="00DC5685" w:rsidRPr="00A34F10" w:rsidRDefault="00DC5685" w:rsidP="000470C3">
            <w:pPr>
              <w:keepNext/>
              <w:spacing w:before="20" w:after="20"/>
              <w:rPr>
                <w:sz w:val="20"/>
                <w:szCs w:val="20"/>
              </w:rPr>
            </w:pPr>
            <w:r w:rsidRPr="00A34F10">
              <w:rPr>
                <w:sz w:val="20"/>
                <w:szCs w:val="20"/>
              </w:rPr>
              <w:t>(1.0)</w:t>
            </w:r>
          </w:p>
        </w:tc>
        <w:tc>
          <w:tcPr>
            <w:tcW w:w="1250" w:type="pct"/>
            <w:vAlign w:val="center"/>
          </w:tcPr>
          <w:p w14:paraId="206780F6" w14:textId="77777777" w:rsidR="00DC5685" w:rsidRPr="00A34F10" w:rsidRDefault="00DC5685" w:rsidP="000470C3">
            <w:pPr>
              <w:keepNext/>
              <w:spacing w:before="20" w:after="20"/>
              <w:rPr>
                <w:sz w:val="20"/>
                <w:szCs w:val="20"/>
              </w:rPr>
            </w:pPr>
            <w:r w:rsidRPr="00A34F10">
              <w:rPr>
                <w:sz w:val="20"/>
                <w:szCs w:val="20"/>
              </w:rPr>
              <w:t xml:space="preserve">13.3 </w:t>
            </w:r>
          </w:p>
          <w:p w14:paraId="3DCB1E68" w14:textId="77777777" w:rsidR="00DC5685" w:rsidRPr="00A34F10" w:rsidRDefault="00DC5685" w:rsidP="000470C3">
            <w:pPr>
              <w:keepNext/>
              <w:spacing w:before="20" w:after="20"/>
              <w:rPr>
                <w:sz w:val="20"/>
                <w:szCs w:val="20"/>
              </w:rPr>
            </w:pPr>
            <w:r w:rsidRPr="00A34F10">
              <w:rPr>
                <w:sz w:val="20"/>
                <w:szCs w:val="20"/>
              </w:rPr>
              <w:t>(1.1)</w:t>
            </w:r>
          </w:p>
        </w:tc>
      </w:tr>
      <w:tr w:rsidR="00DC5685" w:rsidRPr="00A34F10" w14:paraId="39F56032" w14:textId="77777777" w:rsidTr="000470C3">
        <w:tc>
          <w:tcPr>
            <w:tcW w:w="1250" w:type="pct"/>
            <w:vAlign w:val="center"/>
          </w:tcPr>
          <w:p w14:paraId="06A51CAE" w14:textId="77777777" w:rsidR="00DC5685" w:rsidRPr="00A34F10" w:rsidRDefault="00DC5685" w:rsidP="000470C3">
            <w:pPr>
              <w:keepNext/>
              <w:spacing w:before="20" w:after="20"/>
              <w:rPr>
                <w:sz w:val="20"/>
                <w:szCs w:val="20"/>
              </w:rPr>
            </w:pPr>
            <w:r w:rsidRPr="00A34F10">
              <w:rPr>
                <w:sz w:val="20"/>
                <w:szCs w:val="20"/>
              </w:rPr>
              <w:t>2000</w:t>
            </w:r>
          </w:p>
        </w:tc>
        <w:tc>
          <w:tcPr>
            <w:tcW w:w="1250" w:type="pct"/>
            <w:vAlign w:val="center"/>
          </w:tcPr>
          <w:p w14:paraId="074A0486" w14:textId="77777777" w:rsidR="00DC5685" w:rsidRPr="00A34F10" w:rsidRDefault="00DC5685" w:rsidP="000470C3">
            <w:pPr>
              <w:keepNext/>
              <w:spacing w:before="20" w:after="20"/>
              <w:rPr>
                <w:sz w:val="20"/>
                <w:szCs w:val="20"/>
              </w:rPr>
            </w:pPr>
            <w:r w:rsidRPr="00A34F10">
              <w:rPr>
                <w:sz w:val="20"/>
                <w:szCs w:val="20"/>
              </w:rPr>
              <w:t xml:space="preserve">12.4 </w:t>
            </w:r>
          </w:p>
          <w:p w14:paraId="3D9C3CD5" w14:textId="77777777" w:rsidR="00DC5685" w:rsidRPr="00A34F10" w:rsidRDefault="00DC5685" w:rsidP="000470C3">
            <w:pPr>
              <w:keepNext/>
              <w:spacing w:before="20" w:after="20"/>
              <w:rPr>
                <w:sz w:val="20"/>
                <w:szCs w:val="20"/>
              </w:rPr>
            </w:pPr>
            <w:r w:rsidRPr="00A34F10">
              <w:rPr>
                <w:sz w:val="20"/>
                <w:szCs w:val="20"/>
              </w:rPr>
              <w:t>(3.8)</w:t>
            </w:r>
          </w:p>
        </w:tc>
        <w:tc>
          <w:tcPr>
            <w:tcW w:w="1250" w:type="pct"/>
            <w:vAlign w:val="center"/>
          </w:tcPr>
          <w:p w14:paraId="2DD67B0A" w14:textId="77777777" w:rsidR="00DC5685" w:rsidRPr="00A34F10" w:rsidRDefault="00DC5685" w:rsidP="000470C3">
            <w:pPr>
              <w:keepNext/>
              <w:spacing w:before="20" w:after="20"/>
              <w:rPr>
                <w:sz w:val="20"/>
                <w:szCs w:val="20"/>
              </w:rPr>
            </w:pPr>
            <w:r w:rsidRPr="00A34F10">
              <w:rPr>
                <w:sz w:val="20"/>
                <w:szCs w:val="20"/>
              </w:rPr>
              <w:t xml:space="preserve">15.5 </w:t>
            </w:r>
          </w:p>
          <w:p w14:paraId="183B094C" w14:textId="77777777" w:rsidR="00DC5685" w:rsidRPr="00A34F10" w:rsidRDefault="00DC5685" w:rsidP="000470C3">
            <w:pPr>
              <w:keepNext/>
              <w:spacing w:before="20" w:after="20"/>
              <w:rPr>
                <w:sz w:val="20"/>
                <w:szCs w:val="20"/>
              </w:rPr>
            </w:pPr>
            <w:r w:rsidRPr="00A34F10">
              <w:rPr>
                <w:sz w:val="20"/>
                <w:szCs w:val="20"/>
              </w:rPr>
              <w:t>(1.5)</w:t>
            </w:r>
          </w:p>
        </w:tc>
        <w:tc>
          <w:tcPr>
            <w:tcW w:w="1250" w:type="pct"/>
            <w:vAlign w:val="center"/>
          </w:tcPr>
          <w:p w14:paraId="2BE07A35" w14:textId="77777777" w:rsidR="00DC5685" w:rsidRPr="00A34F10" w:rsidRDefault="00DC5685" w:rsidP="000470C3">
            <w:pPr>
              <w:keepNext/>
              <w:spacing w:before="20" w:after="20"/>
              <w:rPr>
                <w:sz w:val="20"/>
                <w:szCs w:val="20"/>
              </w:rPr>
            </w:pPr>
            <w:r w:rsidRPr="00A34F10">
              <w:rPr>
                <w:sz w:val="20"/>
                <w:szCs w:val="20"/>
              </w:rPr>
              <w:t xml:space="preserve">15.1 </w:t>
            </w:r>
          </w:p>
          <w:p w14:paraId="5DBD15AC" w14:textId="77777777" w:rsidR="00DC5685" w:rsidRPr="00A34F10" w:rsidRDefault="00DC5685" w:rsidP="000470C3">
            <w:pPr>
              <w:keepNext/>
              <w:spacing w:before="20" w:after="20"/>
              <w:rPr>
                <w:sz w:val="20"/>
                <w:szCs w:val="20"/>
              </w:rPr>
            </w:pPr>
            <w:r w:rsidRPr="00A34F10">
              <w:rPr>
                <w:sz w:val="20"/>
                <w:szCs w:val="20"/>
              </w:rPr>
              <w:t>(1.6)</w:t>
            </w:r>
          </w:p>
        </w:tc>
      </w:tr>
    </w:tbl>
    <w:p w14:paraId="1578298B" w14:textId="77777777" w:rsidR="00DC5685" w:rsidRPr="00A34F10" w:rsidRDefault="00DC5685" w:rsidP="00DC5685">
      <w:pPr>
        <w:jc w:val="both"/>
        <w:rPr>
          <w:sz w:val="18"/>
          <w:szCs w:val="18"/>
        </w:rPr>
      </w:pPr>
      <w:r w:rsidRPr="00A34F10">
        <w:rPr>
          <w:sz w:val="18"/>
          <w:szCs w:val="18"/>
        </w:rPr>
        <w:t>SD: Standard deviation</w:t>
      </w:r>
    </w:p>
    <w:p w14:paraId="3DDE88FF" w14:textId="1877A852" w:rsidR="00DC5685" w:rsidRPr="00A34F10" w:rsidRDefault="00DC5685" w:rsidP="00DC5685">
      <w:pPr>
        <w:jc w:val="both"/>
      </w:pPr>
    </w:p>
    <w:p w14:paraId="1D3A6DC3" w14:textId="77777777" w:rsidR="00DC5685" w:rsidRPr="00A34F10" w:rsidRDefault="00DC5685" w:rsidP="00DC5685">
      <w:pPr>
        <w:pStyle w:val="EFSABodytext"/>
        <w:keepNext/>
        <w:keepLines/>
        <w:rPr>
          <w:rFonts w:ascii="Times New Roman" w:hAnsi="Times New Roman" w:cs="Times New Roman"/>
          <w:b/>
          <w:bCs/>
        </w:rPr>
      </w:pPr>
      <w:r w:rsidRPr="00A34F10">
        <w:rPr>
          <w:rFonts w:ascii="Times New Roman" w:hAnsi="Times New Roman" w:cs="Times New Roman"/>
          <w:b/>
          <w:bCs/>
        </w:rPr>
        <w:t>C. VALIDITY CRITERIA</w:t>
      </w:r>
    </w:p>
    <w:p w14:paraId="6591A47C" w14:textId="77777777" w:rsidR="00DC5685" w:rsidRPr="00A34F10" w:rsidRDefault="00DC5685" w:rsidP="00DC5685">
      <w:pPr>
        <w:pStyle w:val="EFSABodytext"/>
        <w:keepNext/>
        <w:keepLines/>
        <w:rPr>
          <w:rFonts w:ascii="Times New Roman" w:hAnsi="Times New Roman" w:cs="Times New Roman"/>
        </w:rPr>
      </w:pPr>
      <w:bookmarkStart w:id="1026" w:name="_Hlk99967831"/>
      <w:r w:rsidRPr="00A34F10">
        <w:rPr>
          <w:rFonts w:ascii="Times New Roman" w:hAnsi="Times New Roman" w:cs="Times New Roman"/>
        </w:rPr>
        <w:t xml:space="preserve">The study was performed according to OECD 223 (2016). Therefore, the study has been compared to the validity criteria associated with this guideline. The study fulfilled the validity criteria outlined in the guideline (OECD 223, 2016), as detailed below: </w:t>
      </w:r>
    </w:p>
    <w:p w14:paraId="1F60104D" w14:textId="77777777" w:rsidR="00DC5685" w:rsidRPr="00A34F10" w:rsidRDefault="00DC5685" w:rsidP="00E05ECD">
      <w:pPr>
        <w:pStyle w:val="EFSABodytext"/>
        <w:keepNext/>
        <w:keepLines/>
        <w:numPr>
          <w:ilvl w:val="0"/>
          <w:numId w:val="24"/>
        </w:numPr>
        <w:spacing w:after="0"/>
        <w:rPr>
          <w:rFonts w:ascii="Times New Roman" w:hAnsi="Times New Roman" w:cs="Times New Roman"/>
        </w:rPr>
      </w:pPr>
      <w:r w:rsidRPr="00A34F10">
        <w:rPr>
          <w:rFonts w:ascii="Times New Roman" w:hAnsi="Times New Roman" w:cs="Times New Roman"/>
        </w:rPr>
        <w:t xml:space="preserve">Less than 10% of control birds died during the test (actual value: 0%). </w:t>
      </w:r>
    </w:p>
    <w:p w14:paraId="435E18FD" w14:textId="77777777" w:rsidR="00DC5685" w:rsidRPr="00A34F10" w:rsidRDefault="00DC5685" w:rsidP="00E05ECD">
      <w:pPr>
        <w:pStyle w:val="EFSABodytext"/>
        <w:keepNext/>
        <w:keepLines/>
        <w:numPr>
          <w:ilvl w:val="0"/>
          <w:numId w:val="24"/>
        </w:numPr>
        <w:spacing w:after="0"/>
        <w:rPr>
          <w:rFonts w:ascii="Times New Roman" w:hAnsi="Times New Roman" w:cs="Times New Roman"/>
        </w:rPr>
      </w:pPr>
      <w:r w:rsidRPr="00A34F10">
        <w:rPr>
          <w:rFonts w:ascii="Times New Roman" w:hAnsi="Times New Roman" w:cs="Times New Roman"/>
        </w:rPr>
        <w:t>No additional control birds should be added during the course of the study (actual value: 0).</w:t>
      </w:r>
    </w:p>
    <w:p w14:paraId="0BF17289" w14:textId="77777777" w:rsidR="00DC5685" w:rsidRPr="00A34F10" w:rsidRDefault="00DC5685" w:rsidP="00DC5685">
      <w:pPr>
        <w:pStyle w:val="EFSABodytext"/>
        <w:spacing w:after="0"/>
        <w:rPr>
          <w:rFonts w:ascii="Times New Roman" w:hAnsi="Times New Roman" w:cs="Times New Roman"/>
          <w:highlight w:val="yellow"/>
        </w:rPr>
      </w:pPr>
    </w:p>
    <w:bookmarkEnd w:id="1026"/>
    <w:p w14:paraId="48C3B654" w14:textId="77777777" w:rsidR="00DC5685" w:rsidRPr="00A34F10" w:rsidRDefault="00DC5685" w:rsidP="00DC5685">
      <w:pPr>
        <w:pStyle w:val="EFSABodytext"/>
        <w:keepNext/>
        <w:keepLines/>
        <w:jc w:val="center"/>
        <w:rPr>
          <w:rFonts w:ascii="Times New Roman" w:hAnsi="Times New Roman" w:cs="Times New Roman"/>
          <w:b/>
          <w:bCs/>
        </w:rPr>
      </w:pPr>
      <w:r w:rsidRPr="00A34F10">
        <w:rPr>
          <w:rFonts w:ascii="Times New Roman" w:hAnsi="Times New Roman" w:cs="Times New Roman"/>
          <w:b/>
          <w:bCs/>
        </w:rPr>
        <w:t xml:space="preserve">III. </w:t>
      </w:r>
      <w:r w:rsidRPr="00A34F10">
        <w:rPr>
          <w:rFonts w:ascii="Times New Roman" w:hAnsi="Times New Roman" w:cs="Times New Roman"/>
          <w:b/>
          <w:bCs/>
        </w:rPr>
        <w:tab/>
        <w:t>CONCLUSION</w:t>
      </w:r>
    </w:p>
    <w:p w14:paraId="17369613" w14:textId="77777777" w:rsidR="00DC5685" w:rsidRPr="00A34F10" w:rsidRDefault="00DC5685" w:rsidP="00DC5685">
      <w:pPr>
        <w:pStyle w:val="RepStandard"/>
      </w:pPr>
      <w:r w:rsidRPr="00A34F10">
        <w:t>The acute oral toxicity of BAS 743 02 F to the Northern bobwhite quail (</w:t>
      </w:r>
      <w:r w:rsidRPr="00A34F10">
        <w:rPr>
          <w:i/>
          <w:iCs/>
        </w:rPr>
        <w:t>Colinus virginianus</w:t>
      </w:r>
      <w:r w:rsidRPr="00A34F10">
        <w:t>) was determined in the laboratory over 14 days as a limit test with a nominal dose of 2000 mg product/kg bw, administered as oral gavage. No mortalities occurred during the study and there were no treatment-related effects on body weight or feed consumption. The LD</w:t>
      </w:r>
      <w:r w:rsidRPr="00A34F10">
        <w:rPr>
          <w:vertAlign w:val="subscript"/>
        </w:rPr>
        <w:t>50</w:t>
      </w:r>
      <w:r w:rsidRPr="00A34F10">
        <w:t xml:space="preserve"> was estimated to be &gt; 2000 mg product/kg bw, i.e. greater than the nominal dose tested.</w:t>
      </w:r>
    </w:p>
    <w:p w14:paraId="24281D69" w14:textId="77777777" w:rsidR="00DC5685" w:rsidRPr="00A34F10" w:rsidRDefault="00DC5685" w:rsidP="00DC5685">
      <w:pPr>
        <w:pStyle w:val="RepAppendix4"/>
      </w:pPr>
      <w:r w:rsidRPr="00A34F10">
        <w:t xml:space="preserve">KCP 10.1.1.2 </w:t>
      </w:r>
      <w:r w:rsidRPr="00A34F10">
        <w:tab/>
        <w:t>Higher tier data on birds</w:t>
      </w:r>
    </w:p>
    <w:p w14:paraId="0D47D6FA" w14:textId="7FB7F7A7" w:rsidR="00DC5685" w:rsidRDefault="00DC5685" w:rsidP="002E7F42">
      <w:pPr>
        <w:pStyle w:val="StyleOECD-BASIS-TEXTLeft"/>
        <w:rPr>
          <w:sz w:val="22"/>
          <w:lang w:val="en-US"/>
        </w:rPr>
      </w:pPr>
      <w:r w:rsidRPr="00A34F10">
        <w:rPr>
          <w:color w:val="000000" w:themeColor="text1"/>
          <w:sz w:val="22"/>
        </w:rPr>
        <w:t>No further studies were conducted.</w:t>
      </w:r>
    </w:p>
    <w:p w14:paraId="617412D9" w14:textId="77777777" w:rsidR="00DC5685" w:rsidRPr="00A34F10" w:rsidRDefault="00DC5685" w:rsidP="00DC5685">
      <w:pPr>
        <w:pStyle w:val="RepAppendix3"/>
      </w:pPr>
      <w:bookmarkStart w:id="1027" w:name="_Toc413922094"/>
      <w:bookmarkStart w:id="1028" w:name="_Toc413922583"/>
      <w:bookmarkStart w:id="1029" w:name="_Toc413922687"/>
      <w:bookmarkStart w:id="1030" w:name="_Toc414955324"/>
      <w:bookmarkStart w:id="1031" w:name="_Toc415214631"/>
      <w:bookmarkStart w:id="1032" w:name="_Toc181625019"/>
      <w:r w:rsidRPr="00A34F10">
        <w:t xml:space="preserve">KCP 10.1.2 </w:t>
      </w:r>
      <w:r w:rsidRPr="00A34F10">
        <w:tab/>
        <w:t>Effects on terrestrial vertebrates other than birds</w:t>
      </w:r>
      <w:bookmarkEnd w:id="1027"/>
      <w:bookmarkEnd w:id="1028"/>
      <w:bookmarkEnd w:id="1029"/>
      <w:bookmarkEnd w:id="1030"/>
      <w:bookmarkEnd w:id="1031"/>
      <w:bookmarkEnd w:id="1032"/>
    </w:p>
    <w:p w14:paraId="3D03FD94" w14:textId="77777777" w:rsidR="00DC5685" w:rsidRPr="00A34F10" w:rsidRDefault="00DC5685" w:rsidP="00DC5685">
      <w:pPr>
        <w:pStyle w:val="RepAppendix4"/>
      </w:pPr>
      <w:r w:rsidRPr="00A34F10">
        <w:t>KCP 10.1.2.1</w:t>
      </w:r>
      <w:r w:rsidRPr="00A34F10">
        <w:tab/>
        <w:t>Acute oral toxicity to mammals</w:t>
      </w:r>
    </w:p>
    <w:p w14:paraId="5D23DC13" w14:textId="77777777" w:rsidR="00DC5685" w:rsidRDefault="00DC5685" w:rsidP="00DC5685">
      <w:pPr>
        <w:pStyle w:val="RepStandard"/>
        <w:rPr>
          <w:color w:val="000000" w:themeColor="text1"/>
        </w:rPr>
      </w:pPr>
      <w:r w:rsidRPr="00A34F10">
        <w:rPr>
          <w:color w:val="000000" w:themeColor="text1"/>
        </w:rPr>
        <w:t>Please refer to Appendix 2 of Section 6 (Toxicology), Point KCP 7.1.1.</w:t>
      </w:r>
    </w:p>
    <w:p w14:paraId="43BE9F6A" w14:textId="77777777" w:rsidR="00DC5685" w:rsidRPr="00A34F10" w:rsidRDefault="00DC5685" w:rsidP="00DC5685">
      <w:pPr>
        <w:pStyle w:val="RepAppendix4"/>
      </w:pPr>
      <w:r w:rsidRPr="00A34F10">
        <w:t xml:space="preserve">KCP 10.1.2.2 </w:t>
      </w:r>
      <w:r w:rsidRPr="00A34F10">
        <w:tab/>
        <w:t>Higher tier data on mammals</w:t>
      </w:r>
    </w:p>
    <w:p w14:paraId="02F68F89" w14:textId="77777777" w:rsidR="00DC5685" w:rsidRPr="00A34F10" w:rsidRDefault="00DC5685" w:rsidP="00DC5685">
      <w:pPr>
        <w:pStyle w:val="RepStandard"/>
      </w:pPr>
      <w:r w:rsidRPr="00A34F10">
        <w:rPr>
          <w:color w:val="000000" w:themeColor="text1"/>
        </w:rPr>
        <w:t>No further studies were conducted.</w:t>
      </w:r>
    </w:p>
    <w:p w14:paraId="59B46096" w14:textId="77777777" w:rsidR="00DC5685" w:rsidRPr="00A34F10" w:rsidRDefault="00DC5685" w:rsidP="00DC5685">
      <w:pPr>
        <w:pStyle w:val="RepAppendix3"/>
      </w:pPr>
      <w:bookmarkStart w:id="1033" w:name="_Toc413922095"/>
      <w:bookmarkStart w:id="1034" w:name="_Toc413922584"/>
      <w:bookmarkStart w:id="1035" w:name="_Toc413922688"/>
      <w:bookmarkStart w:id="1036" w:name="_Toc414955325"/>
      <w:bookmarkStart w:id="1037" w:name="_Toc415214632"/>
      <w:bookmarkStart w:id="1038" w:name="_Toc181625020"/>
      <w:r w:rsidRPr="00A34F10">
        <w:t>KCP 10.1.3</w:t>
      </w:r>
      <w:r w:rsidRPr="00A34F10">
        <w:tab/>
        <w:t>Effects on other terrestrial vertebrate wildlife (reptiles and amphibians)</w:t>
      </w:r>
      <w:bookmarkEnd w:id="1033"/>
      <w:bookmarkEnd w:id="1034"/>
      <w:bookmarkEnd w:id="1035"/>
      <w:bookmarkEnd w:id="1036"/>
      <w:bookmarkEnd w:id="1037"/>
      <w:bookmarkEnd w:id="1038"/>
    </w:p>
    <w:p w14:paraId="77EA3860" w14:textId="77777777" w:rsidR="00DC5685" w:rsidRPr="00A34F10" w:rsidRDefault="00DC5685" w:rsidP="00DC5685">
      <w:pPr>
        <w:pStyle w:val="StyleOECD-BASIS-TEXTLeft"/>
        <w:rPr>
          <w:sz w:val="22"/>
          <w:lang w:val="en-US"/>
        </w:rPr>
      </w:pPr>
      <w:r w:rsidRPr="00A34F10">
        <w:rPr>
          <w:color w:val="000000" w:themeColor="text1"/>
          <w:sz w:val="22"/>
        </w:rPr>
        <w:t>No further studies were conducted.</w:t>
      </w:r>
    </w:p>
    <w:p w14:paraId="44DDA967" w14:textId="77777777" w:rsidR="00DC5685" w:rsidRPr="00A34F10" w:rsidRDefault="00DC5685" w:rsidP="002E7F42">
      <w:pPr>
        <w:pStyle w:val="StyleOECD-BASIS-TEXTLeft"/>
        <w:rPr>
          <w:sz w:val="22"/>
          <w:lang w:val="en-US"/>
        </w:rPr>
        <w:sectPr w:rsidR="00DC5685" w:rsidRPr="00A34F10" w:rsidSect="00D20BDB">
          <w:headerReference w:type="even" r:id="rId59"/>
          <w:footerReference w:type="even" r:id="rId60"/>
          <w:footerReference w:type="default" r:id="rId61"/>
          <w:headerReference w:type="first" r:id="rId62"/>
          <w:footerReference w:type="first" r:id="rId63"/>
          <w:pgSz w:w="11906" w:h="16838"/>
          <w:pgMar w:top="1418" w:right="1134" w:bottom="1134" w:left="1418" w:header="709" w:footer="709" w:gutter="0"/>
          <w:pgNumType w:chapSep="period"/>
          <w:cols w:space="708"/>
          <w:docGrid w:linePitch="360"/>
        </w:sectPr>
      </w:pPr>
    </w:p>
    <w:p w14:paraId="571605A7" w14:textId="77777777" w:rsidR="00DC5685" w:rsidRPr="00A34F10" w:rsidRDefault="00DC5685" w:rsidP="00E41987">
      <w:pPr>
        <w:pStyle w:val="RepAppendix2"/>
      </w:pPr>
      <w:bookmarkStart w:id="1039" w:name="_Toc413922096"/>
      <w:bookmarkStart w:id="1040" w:name="_Toc413922585"/>
      <w:bookmarkStart w:id="1041" w:name="_Toc413922689"/>
      <w:bookmarkStart w:id="1042" w:name="_Toc414955326"/>
      <w:bookmarkStart w:id="1043" w:name="_Toc415214633"/>
      <w:bookmarkStart w:id="1044" w:name="_Toc181625021"/>
      <w:r w:rsidRPr="00A34F10">
        <w:lastRenderedPageBreak/>
        <w:t>KCP 10.2</w:t>
      </w:r>
      <w:r w:rsidRPr="00A34F10">
        <w:tab/>
        <w:t>Effects on aquatic organisms</w:t>
      </w:r>
      <w:bookmarkEnd w:id="1039"/>
      <w:bookmarkEnd w:id="1040"/>
      <w:bookmarkEnd w:id="1041"/>
      <w:bookmarkEnd w:id="1042"/>
      <w:bookmarkEnd w:id="1043"/>
      <w:bookmarkEnd w:id="1044"/>
    </w:p>
    <w:p w14:paraId="02E3CA16" w14:textId="77777777" w:rsidR="00DC5685" w:rsidRPr="00A34F10" w:rsidRDefault="00DC5685" w:rsidP="00E41987">
      <w:pPr>
        <w:pStyle w:val="RepAppendix3"/>
      </w:pPr>
      <w:bookmarkStart w:id="1045" w:name="_Toc413922097"/>
      <w:bookmarkStart w:id="1046" w:name="_Toc413922586"/>
      <w:bookmarkStart w:id="1047" w:name="_Toc413922690"/>
      <w:bookmarkStart w:id="1048" w:name="_Toc414955327"/>
      <w:bookmarkStart w:id="1049" w:name="_Toc415214634"/>
      <w:bookmarkStart w:id="1050" w:name="_Toc181625022"/>
      <w:r w:rsidRPr="00A34F10">
        <w:t>KCP 10.2.1</w:t>
      </w:r>
      <w:r w:rsidRPr="00A34F10">
        <w:tab/>
        <w:t>Acute toxicity to fish, aquatic invertebrates, or effects on aquatic algae and macrophytes</w:t>
      </w:r>
      <w:bookmarkEnd w:id="1045"/>
      <w:bookmarkEnd w:id="1046"/>
      <w:bookmarkEnd w:id="1047"/>
      <w:bookmarkEnd w:id="1048"/>
      <w:bookmarkEnd w:id="1049"/>
      <w:bookmarkEnd w:id="1050"/>
    </w:p>
    <w:p w14:paraId="77CC6F7A" w14:textId="77777777" w:rsidR="00DC5685" w:rsidRPr="00A34F10" w:rsidRDefault="00DC5685" w:rsidP="00BB63B3">
      <w:pPr>
        <w:pStyle w:val="RepAppendix4"/>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3B69F13C" w14:textId="77777777" w:rsidTr="003A131B">
        <w:tc>
          <w:tcPr>
            <w:tcW w:w="1063" w:type="pct"/>
            <w:shd w:val="clear" w:color="auto" w:fill="D9D9D9" w:themeFill="background1" w:themeFillShade="D9"/>
          </w:tcPr>
          <w:p w14:paraId="78DD9215"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5D14EC32" w14:textId="1262CBE1" w:rsidR="00916452" w:rsidRPr="007A6328" w:rsidRDefault="00916452" w:rsidP="00916452">
            <w:pPr>
              <w:pStyle w:val="RepStandard"/>
              <w:rPr>
                <w:color w:val="000000"/>
              </w:rPr>
            </w:pPr>
            <w:r w:rsidRPr="007A6328">
              <w:rPr>
                <w:color w:val="000000"/>
              </w:rPr>
              <w:t>The study was conducted to OECD guideline 2</w:t>
            </w:r>
            <w:r w:rsidR="00D830B1">
              <w:rPr>
                <w:color w:val="000000"/>
              </w:rPr>
              <w:t>03</w:t>
            </w:r>
            <w:r w:rsidRPr="007A6328">
              <w:rPr>
                <w:color w:val="000000"/>
              </w:rPr>
              <w:t xml:space="preserve"> and according to the principles of GLP. No deviations to the guideline were noted. All validity criteria were met.</w:t>
            </w:r>
          </w:p>
          <w:p w14:paraId="673A1CA6" w14:textId="06B61641" w:rsidR="00DC5685" w:rsidRPr="00A34F10" w:rsidRDefault="00916452" w:rsidP="00D830B1">
            <w:pPr>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p>
        </w:tc>
      </w:tr>
    </w:tbl>
    <w:p w14:paraId="6A5857F9" w14:textId="77777777" w:rsidR="00DC5685" w:rsidRPr="00A34F10" w:rsidRDefault="00DC5685" w:rsidP="00DC5685">
      <w:pPr>
        <w:widowControl w:val="0"/>
        <w:jc w:val="both"/>
        <w:rPr>
          <w:color w:val="000000" w:themeColor="text1"/>
        </w:rPr>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DC5685" w:rsidRPr="00A34F10" w14:paraId="617E9884" w14:textId="77777777" w:rsidTr="000470C3">
        <w:trPr>
          <w:gridAfter w:val="1"/>
          <w:wAfter w:w="9" w:type="pct"/>
        </w:trPr>
        <w:tc>
          <w:tcPr>
            <w:tcW w:w="1340" w:type="pct"/>
            <w:shd w:val="clear" w:color="auto" w:fill="auto"/>
          </w:tcPr>
          <w:p w14:paraId="5A33C8BE" w14:textId="77777777" w:rsidR="00DC5685" w:rsidRPr="00A34F10" w:rsidRDefault="00DC5685" w:rsidP="00DC5685">
            <w:pPr>
              <w:widowControl w:val="0"/>
              <w:jc w:val="both"/>
            </w:pPr>
            <w:r w:rsidRPr="00A34F10">
              <w:t>Reference:</w:t>
            </w:r>
          </w:p>
        </w:tc>
        <w:tc>
          <w:tcPr>
            <w:tcW w:w="3651" w:type="pct"/>
            <w:shd w:val="clear" w:color="auto" w:fill="auto"/>
          </w:tcPr>
          <w:p w14:paraId="0FA90056" w14:textId="77777777" w:rsidR="00DC5685" w:rsidRPr="00A34F10" w:rsidRDefault="00DC5685" w:rsidP="00DC5685">
            <w:pPr>
              <w:widowControl w:val="0"/>
              <w:jc w:val="both"/>
            </w:pPr>
            <w:r w:rsidRPr="00A34F10">
              <w:t>CP 10.2.1/1</w:t>
            </w:r>
          </w:p>
        </w:tc>
      </w:tr>
      <w:tr w:rsidR="00DC5685" w:rsidRPr="00A34F10" w14:paraId="032F43ED" w14:textId="77777777" w:rsidTr="000470C3">
        <w:trPr>
          <w:gridAfter w:val="1"/>
          <w:wAfter w:w="9" w:type="pct"/>
        </w:trPr>
        <w:tc>
          <w:tcPr>
            <w:tcW w:w="1340" w:type="pct"/>
            <w:shd w:val="clear" w:color="auto" w:fill="auto"/>
          </w:tcPr>
          <w:p w14:paraId="50ADDF69" w14:textId="77777777" w:rsidR="00DC5685" w:rsidRPr="00A34F10" w:rsidRDefault="00DC5685" w:rsidP="00DC5685">
            <w:pPr>
              <w:widowControl w:val="0"/>
              <w:spacing w:after="120"/>
              <w:jc w:val="both"/>
            </w:pPr>
            <w:r w:rsidRPr="00A34F10">
              <w:t>Report</w:t>
            </w:r>
          </w:p>
        </w:tc>
        <w:tc>
          <w:tcPr>
            <w:tcW w:w="3651" w:type="pct"/>
            <w:shd w:val="clear" w:color="auto" w:fill="auto"/>
          </w:tcPr>
          <w:p w14:paraId="3960A8B8" w14:textId="77777777" w:rsidR="00DC5685" w:rsidRPr="00A34F10" w:rsidRDefault="00DC5685" w:rsidP="00DC5685">
            <w:pPr>
              <w:widowControl w:val="0"/>
              <w:spacing w:after="120"/>
              <w:jc w:val="both"/>
            </w:pPr>
            <w:r w:rsidRPr="00A34F10">
              <w:t>BAS 743 02 F: Toxicity to the Rainbow Trout Oncorhynchus mykiss under Laboratory Conditions (Acute Toxicity Test – Semi-Static)</w:t>
            </w:r>
          </w:p>
          <w:p w14:paraId="4C35720F" w14:textId="1CC403A8" w:rsidR="00DC5685" w:rsidRPr="00A34F10" w:rsidRDefault="00611BDA" w:rsidP="00DC5685">
            <w:pPr>
              <w:widowControl w:val="0"/>
              <w:spacing w:after="120"/>
              <w:jc w:val="both"/>
            </w:pPr>
            <w:r>
              <w:t>XXXX</w:t>
            </w:r>
            <w:r w:rsidR="00DC5685" w:rsidRPr="00A34F10">
              <w:t>, 2023a</w:t>
            </w:r>
          </w:p>
          <w:p w14:paraId="396593C6" w14:textId="4D63B807" w:rsidR="00DC5685" w:rsidRPr="00A34F10" w:rsidRDefault="00482794" w:rsidP="00DC5685">
            <w:pPr>
              <w:widowControl w:val="0"/>
              <w:spacing w:after="120"/>
              <w:jc w:val="both"/>
            </w:pPr>
            <w:r>
              <w:t>XXXX</w:t>
            </w:r>
            <w:r w:rsidR="00DC5685" w:rsidRPr="00A34F10">
              <w:t xml:space="preserve"> Study ID: 933752-6</w:t>
            </w:r>
          </w:p>
          <w:p w14:paraId="08E2E31B" w14:textId="372D64C6" w:rsidR="00DC5685" w:rsidRPr="00A34F10" w:rsidRDefault="00482794" w:rsidP="00DC5685">
            <w:pPr>
              <w:widowControl w:val="0"/>
              <w:spacing w:after="120"/>
              <w:jc w:val="both"/>
            </w:pPr>
            <w:r>
              <w:t>XXXX</w:t>
            </w:r>
            <w:r w:rsidR="00DC5685" w:rsidRPr="00A34F10">
              <w:t xml:space="preserve"> Doc ID: 2022/2033714</w:t>
            </w:r>
          </w:p>
        </w:tc>
      </w:tr>
      <w:tr w:rsidR="00DC5685" w:rsidRPr="00A34F10" w14:paraId="382294C0" w14:textId="77777777" w:rsidTr="000470C3">
        <w:trPr>
          <w:gridAfter w:val="1"/>
          <w:wAfter w:w="9" w:type="pct"/>
        </w:trPr>
        <w:tc>
          <w:tcPr>
            <w:tcW w:w="1340" w:type="pct"/>
            <w:shd w:val="clear" w:color="auto" w:fill="auto"/>
          </w:tcPr>
          <w:p w14:paraId="474D88A7" w14:textId="77777777" w:rsidR="00DC5685" w:rsidRPr="00A34F10" w:rsidRDefault="00DC5685" w:rsidP="00DC5685">
            <w:pPr>
              <w:widowControl w:val="0"/>
              <w:jc w:val="both"/>
            </w:pPr>
            <w:r w:rsidRPr="00A34F10">
              <w:t>Guideline(s):</w:t>
            </w:r>
          </w:p>
        </w:tc>
        <w:tc>
          <w:tcPr>
            <w:tcW w:w="3651" w:type="pct"/>
            <w:shd w:val="clear" w:color="auto" w:fill="auto"/>
          </w:tcPr>
          <w:p w14:paraId="0480594C" w14:textId="77777777" w:rsidR="00DC5685" w:rsidRPr="00A34F10" w:rsidRDefault="00DC5685" w:rsidP="00DC5685">
            <w:pPr>
              <w:widowControl w:val="0"/>
              <w:spacing w:after="120"/>
              <w:jc w:val="both"/>
            </w:pPr>
            <w:r w:rsidRPr="00A34F10">
              <w:t>Biological part: OECD 203 (2019)</w:t>
            </w:r>
          </w:p>
          <w:p w14:paraId="4AEE6EEF" w14:textId="77777777" w:rsidR="00DC5685" w:rsidRPr="00A34F10" w:rsidRDefault="00DC5685" w:rsidP="00DC5685">
            <w:pPr>
              <w:widowControl w:val="0"/>
              <w:spacing w:after="120"/>
              <w:jc w:val="both"/>
            </w:pPr>
            <w:r w:rsidRPr="00A34F10">
              <w:t>Analytical part: SANTE/2020/12830, Rev.1, 24.</w:t>
            </w:r>
          </w:p>
        </w:tc>
      </w:tr>
      <w:tr w:rsidR="00DC5685" w:rsidRPr="00A34F10" w14:paraId="54175EAE" w14:textId="77777777" w:rsidTr="000470C3">
        <w:trPr>
          <w:gridAfter w:val="1"/>
          <w:wAfter w:w="9" w:type="pct"/>
        </w:trPr>
        <w:tc>
          <w:tcPr>
            <w:tcW w:w="1340" w:type="pct"/>
            <w:shd w:val="clear" w:color="auto" w:fill="auto"/>
          </w:tcPr>
          <w:p w14:paraId="21B15FFF" w14:textId="77777777" w:rsidR="00DC5685" w:rsidRPr="00A34F10" w:rsidRDefault="00DC5685" w:rsidP="00DC5685">
            <w:pPr>
              <w:widowControl w:val="0"/>
              <w:jc w:val="both"/>
            </w:pPr>
            <w:r w:rsidRPr="00A34F10">
              <w:t>Deviations:</w:t>
            </w:r>
          </w:p>
        </w:tc>
        <w:tc>
          <w:tcPr>
            <w:tcW w:w="3651" w:type="pct"/>
            <w:shd w:val="clear" w:color="auto" w:fill="auto"/>
          </w:tcPr>
          <w:p w14:paraId="2CBC6FBD" w14:textId="77777777" w:rsidR="00DC5685" w:rsidRPr="00A34F10" w:rsidRDefault="00DC5685" w:rsidP="00DC5685">
            <w:pPr>
              <w:widowControl w:val="0"/>
              <w:spacing w:after="120"/>
              <w:jc w:val="both"/>
            </w:pPr>
            <w:r w:rsidRPr="00A34F10">
              <w:t>No</w:t>
            </w:r>
          </w:p>
        </w:tc>
      </w:tr>
      <w:tr w:rsidR="00DC5685" w:rsidRPr="00A34F10" w14:paraId="482D804A" w14:textId="77777777" w:rsidTr="000470C3">
        <w:tc>
          <w:tcPr>
            <w:tcW w:w="1340" w:type="pct"/>
            <w:shd w:val="clear" w:color="auto" w:fill="auto"/>
          </w:tcPr>
          <w:p w14:paraId="1F981BD2" w14:textId="77777777" w:rsidR="00DC5685" w:rsidRPr="00A34F10" w:rsidRDefault="00DC5685" w:rsidP="00DC5685">
            <w:pPr>
              <w:widowControl w:val="0"/>
              <w:jc w:val="both"/>
            </w:pPr>
            <w:r w:rsidRPr="00A34F10">
              <w:t>GLP:</w:t>
            </w:r>
          </w:p>
        </w:tc>
        <w:tc>
          <w:tcPr>
            <w:tcW w:w="3660" w:type="pct"/>
            <w:gridSpan w:val="2"/>
            <w:shd w:val="clear" w:color="auto" w:fill="auto"/>
          </w:tcPr>
          <w:p w14:paraId="296FFC44" w14:textId="564D0CDC" w:rsidR="00DC5685" w:rsidRPr="00A34F10" w:rsidRDefault="006C550F" w:rsidP="00DC5685">
            <w:pPr>
              <w:widowControl w:val="0"/>
              <w:spacing w:after="120"/>
              <w:jc w:val="both"/>
            </w:pPr>
            <w:r w:rsidRPr="00A34F10">
              <w:t>Y</w:t>
            </w:r>
            <w:r w:rsidR="00DC5685" w:rsidRPr="00A34F10">
              <w:t>es</w:t>
            </w:r>
          </w:p>
        </w:tc>
      </w:tr>
      <w:tr w:rsidR="00DC5685" w:rsidRPr="00A34F10" w14:paraId="21B5B818" w14:textId="77777777" w:rsidTr="000470C3">
        <w:trPr>
          <w:gridAfter w:val="1"/>
          <w:wAfter w:w="9" w:type="pct"/>
        </w:trPr>
        <w:tc>
          <w:tcPr>
            <w:tcW w:w="1340" w:type="pct"/>
            <w:shd w:val="clear" w:color="auto" w:fill="auto"/>
          </w:tcPr>
          <w:p w14:paraId="149F6A95" w14:textId="77777777" w:rsidR="00DC5685" w:rsidRPr="00A34F10" w:rsidRDefault="00DC5685" w:rsidP="00DC5685">
            <w:pPr>
              <w:widowControl w:val="0"/>
              <w:jc w:val="both"/>
            </w:pPr>
            <w:r w:rsidRPr="00A34F10">
              <w:t>Acceptability:</w:t>
            </w:r>
          </w:p>
        </w:tc>
        <w:tc>
          <w:tcPr>
            <w:tcW w:w="3651" w:type="pct"/>
            <w:shd w:val="clear" w:color="auto" w:fill="auto"/>
          </w:tcPr>
          <w:p w14:paraId="42C8857C" w14:textId="77777777" w:rsidR="00DC5685" w:rsidRPr="00A34F10" w:rsidRDefault="00DC5685" w:rsidP="00DC5685">
            <w:pPr>
              <w:widowControl w:val="0"/>
              <w:spacing w:after="120"/>
              <w:jc w:val="both"/>
            </w:pPr>
            <w:r w:rsidRPr="00A34F10">
              <w:t xml:space="preserve">Yes </w:t>
            </w:r>
          </w:p>
        </w:tc>
      </w:tr>
      <w:tr w:rsidR="00DC5685" w:rsidRPr="00A34F10" w14:paraId="71BBBDF1" w14:textId="77777777" w:rsidTr="000470C3">
        <w:trPr>
          <w:gridAfter w:val="1"/>
          <w:wAfter w:w="9" w:type="pct"/>
        </w:trPr>
        <w:tc>
          <w:tcPr>
            <w:tcW w:w="1340" w:type="pct"/>
            <w:shd w:val="clear" w:color="auto" w:fill="auto"/>
          </w:tcPr>
          <w:p w14:paraId="53644696" w14:textId="77777777" w:rsidR="00DC5685" w:rsidRPr="00A34F10" w:rsidRDefault="00DC5685" w:rsidP="00DC5685">
            <w:pPr>
              <w:widowControl w:val="0"/>
              <w:jc w:val="both"/>
            </w:pPr>
            <w:r w:rsidRPr="00A34F10">
              <w:t xml:space="preserve">Duplication </w:t>
            </w:r>
            <w:r w:rsidRPr="00A34F10">
              <w:br/>
              <w:t>(if vertebrate study)</w:t>
            </w:r>
          </w:p>
        </w:tc>
        <w:tc>
          <w:tcPr>
            <w:tcW w:w="3651" w:type="pct"/>
            <w:shd w:val="clear" w:color="auto" w:fill="auto"/>
          </w:tcPr>
          <w:p w14:paraId="48F4C87A" w14:textId="77777777" w:rsidR="00DC5685" w:rsidRPr="00A34F10" w:rsidRDefault="00DC5685" w:rsidP="00DC5685">
            <w:pPr>
              <w:widowControl w:val="0"/>
              <w:spacing w:after="120"/>
              <w:jc w:val="both"/>
            </w:pPr>
            <w:r w:rsidRPr="00A34F10">
              <w:t xml:space="preserve">No </w:t>
            </w:r>
          </w:p>
        </w:tc>
      </w:tr>
    </w:tbl>
    <w:p w14:paraId="4A72CDA5" w14:textId="77777777" w:rsidR="00DC5685" w:rsidRPr="00A34F10" w:rsidRDefault="00DC5685" w:rsidP="00DC5685">
      <w:pPr>
        <w:widowControl w:val="0"/>
        <w:jc w:val="both"/>
        <w:rPr>
          <w:color w:val="000000" w:themeColor="text1"/>
        </w:rPr>
      </w:pPr>
    </w:p>
    <w:p w14:paraId="31481FF7"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36FF0539" w14:textId="77777777" w:rsidR="00DC5685" w:rsidRPr="00A34F10" w:rsidRDefault="00DC5685" w:rsidP="00DC5685">
      <w:pPr>
        <w:tabs>
          <w:tab w:val="left" w:pos="720"/>
        </w:tabs>
        <w:spacing w:after="240"/>
        <w:jc w:val="both"/>
        <w:rPr>
          <w:szCs w:val="24"/>
        </w:rPr>
      </w:pPr>
      <w:r w:rsidRPr="00A34F10">
        <w:rPr>
          <w:szCs w:val="24"/>
          <w:lang w:val="en-GB"/>
        </w:rPr>
        <w:t>The acute toxicity of the BAS 743 02 F to rainbow trout (</w:t>
      </w:r>
      <w:r w:rsidRPr="00A34F10">
        <w:rPr>
          <w:i/>
          <w:iCs/>
          <w:szCs w:val="24"/>
          <w:lang w:val="en-GB"/>
        </w:rPr>
        <w:t>Oncorhynchus mykiss</w:t>
      </w:r>
      <w:r w:rsidRPr="00A34F10">
        <w:rPr>
          <w:szCs w:val="24"/>
          <w:lang w:val="en-GB"/>
        </w:rPr>
        <w:t>) was investigated in a 96-hour semi-static test with the nominal concentrations 0 (control), 4.27, 9.39, 20.7, 45.5 and 100 mg product/L. Each treatment group consist on</w:t>
      </w:r>
      <w:r w:rsidRPr="00A34F10">
        <w:rPr>
          <w:bCs/>
          <w:szCs w:val="24"/>
        </w:rPr>
        <w:t xml:space="preserve"> one replicate containing seven fish</w:t>
      </w:r>
      <w:r w:rsidRPr="00A34F10">
        <w:rPr>
          <w:szCs w:val="24"/>
          <w:lang w:val="en-GB"/>
        </w:rPr>
        <w:t xml:space="preserve">. Observations for mortality and abnormal effects were made at test initiation and after 2-3, 5-6 hours and once every approx. 24 hours. </w:t>
      </w:r>
    </w:p>
    <w:p w14:paraId="707821EA" w14:textId="436DC831" w:rsidR="00E41987" w:rsidRPr="00A34F10" w:rsidRDefault="00DC5685" w:rsidP="00DC5685">
      <w:pPr>
        <w:tabs>
          <w:tab w:val="left" w:pos="720"/>
        </w:tabs>
        <w:spacing w:after="240"/>
        <w:jc w:val="both"/>
        <w:rPr>
          <w:szCs w:val="24"/>
          <w:lang w:val="en-GB"/>
        </w:rPr>
      </w:pPr>
      <w:r w:rsidRPr="00A34F10">
        <w:rPr>
          <w:szCs w:val="24"/>
          <w:lang w:val="en-GB"/>
        </w:rPr>
        <w:t>The 96-hour LC</w:t>
      </w:r>
      <w:r w:rsidRPr="00A34F10">
        <w:rPr>
          <w:szCs w:val="24"/>
          <w:vertAlign w:val="subscript"/>
          <w:lang w:val="en-GB"/>
        </w:rPr>
        <w:t>50</w:t>
      </w:r>
      <w:r w:rsidRPr="00A34F10">
        <w:rPr>
          <w:szCs w:val="24"/>
          <w:lang w:val="en-GB"/>
        </w:rPr>
        <w:t xml:space="preserve"> of BAS 743 02 F to rainbow trout (</w:t>
      </w:r>
      <w:r w:rsidRPr="00A34F10">
        <w:rPr>
          <w:i/>
          <w:szCs w:val="24"/>
          <w:lang w:val="en-GB"/>
        </w:rPr>
        <w:t>Oncorhynchus mykiss</w:t>
      </w:r>
      <w:r w:rsidRPr="00A34F10">
        <w:rPr>
          <w:szCs w:val="24"/>
          <w:lang w:val="en-GB"/>
        </w:rPr>
        <w:t xml:space="preserve">) was above the highest concentration tested of 100 mg product/L based on nominal concentrations. No sublethal effects were observed in the control and test item concentrations up to and including 9:39 mg product/L after 96 hours. Sublethal effects observed in test item concentrations from 20.7 up to and including 100.0 mg product/L were loss of equilibrium and abnormal swimming behaviour. </w:t>
      </w:r>
    </w:p>
    <w:p w14:paraId="42B20B71" w14:textId="77777777" w:rsidR="00DC5685" w:rsidRPr="00A34F10" w:rsidRDefault="00E41987" w:rsidP="00E41987">
      <w:pPr>
        <w:rPr>
          <w:lang w:val="en-GB"/>
        </w:rPr>
      </w:pPr>
      <w:r w:rsidRPr="00A34F10">
        <w:rPr>
          <w:lang w:val="en-GB"/>
        </w:rPr>
        <w:br w:type="page"/>
      </w:r>
    </w:p>
    <w:p w14:paraId="4BB9EF6A" w14:textId="77777777" w:rsidR="00DC5685" w:rsidRPr="00A34F10" w:rsidRDefault="00DC5685" w:rsidP="00E05ECD">
      <w:pPr>
        <w:numPr>
          <w:ilvl w:val="0"/>
          <w:numId w:val="26"/>
        </w:numPr>
        <w:tabs>
          <w:tab w:val="left" w:pos="720"/>
        </w:tabs>
        <w:spacing w:after="240"/>
        <w:jc w:val="center"/>
        <w:rPr>
          <w:b/>
          <w:bCs/>
          <w:caps/>
          <w:szCs w:val="24"/>
          <w:lang w:val="en-GB"/>
        </w:rPr>
      </w:pPr>
      <w:r w:rsidRPr="00A34F10">
        <w:rPr>
          <w:b/>
          <w:bCs/>
          <w:caps/>
          <w:szCs w:val="24"/>
          <w:lang w:val="en-GB"/>
        </w:rPr>
        <w:lastRenderedPageBreak/>
        <w:t>MATERIALS AND METHODS</w:t>
      </w:r>
    </w:p>
    <w:p w14:paraId="37229471" w14:textId="77777777" w:rsidR="00DC5685" w:rsidRPr="00A34F10" w:rsidRDefault="00DC5685" w:rsidP="00E05ECD">
      <w:pPr>
        <w:numPr>
          <w:ilvl w:val="0"/>
          <w:numId w:val="27"/>
        </w:numPr>
        <w:ind w:left="284" w:hanging="284"/>
        <w:contextualSpacing/>
        <w:rPr>
          <w:b/>
          <w:bCs/>
          <w:caps/>
          <w:szCs w:val="24"/>
          <w:lang w:val="en-GB"/>
        </w:rPr>
      </w:pPr>
      <w:r w:rsidRPr="00A34F10">
        <w:rPr>
          <w:b/>
          <w:bCs/>
          <w:caps/>
          <w:szCs w:val="24"/>
          <w:lang w:val="en-GB"/>
        </w:rPr>
        <w:t>MATERIALS</w:t>
      </w:r>
    </w:p>
    <w:p w14:paraId="44A59236" w14:textId="77777777" w:rsidR="00DC5685" w:rsidRPr="00A34F10" w:rsidRDefault="00DC5685" w:rsidP="00DC5685">
      <w:pPr>
        <w:ind w:left="284"/>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3D915A73" w14:textId="77777777" w:rsidTr="000470C3">
        <w:trPr>
          <w:cantSplit/>
          <w:trHeight w:hRule="exact" w:val="340"/>
        </w:trPr>
        <w:tc>
          <w:tcPr>
            <w:tcW w:w="3828" w:type="dxa"/>
          </w:tcPr>
          <w:p w14:paraId="1EE6EF52" w14:textId="77777777" w:rsidR="00DC5685" w:rsidRPr="00A34F10" w:rsidRDefault="00DC5685" w:rsidP="00DC5685">
            <w:pPr>
              <w:numPr>
                <w:ilvl w:val="6"/>
                <w:numId w:val="9"/>
              </w:numPr>
              <w:tabs>
                <w:tab w:val="left" w:pos="567"/>
              </w:tabs>
              <w:spacing w:after="240"/>
              <w:ind w:left="284"/>
              <w:contextualSpacing/>
              <w:rPr>
                <w:rFonts w:ascii="Times New Roman" w:hAnsi="Times New Roman"/>
                <w:b/>
                <w:bCs/>
                <w:szCs w:val="24"/>
                <w:lang w:eastAsia="en-US"/>
              </w:rPr>
            </w:pPr>
            <w:r w:rsidRPr="00A34F10">
              <w:rPr>
                <w:rFonts w:ascii="Times New Roman" w:hAnsi="Times New Roman"/>
                <w:b/>
                <w:bCs/>
                <w:szCs w:val="24"/>
                <w:lang w:eastAsia="en-US"/>
              </w:rPr>
              <w:t>Test item:</w:t>
            </w:r>
          </w:p>
        </w:tc>
        <w:tc>
          <w:tcPr>
            <w:tcW w:w="5522" w:type="dxa"/>
          </w:tcPr>
          <w:p w14:paraId="1C77DE2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BAS 743 02 F</w:t>
            </w:r>
          </w:p>
        </w:tc>
      </w:tr>
      <w:tr w:rsidR="00DC5685" w:rsidRPr="00A34F10" w14:paraId="67AC557A" w14:textId="77777777" w:rsidTr="000470C3">
        <w:trPr>
          <w:cantSplit/>
          <w:trHeight w:hRule="exact" w:val="340"/>
        </w:trPr>
        <w:tc>
          <w:tcPr>
            <w:tcW w:w="3828" w:type="dxa"/>
          </w:tcPr>
          <w:p w14:paraId="0C47CC0A" w14:textId="77777777" w:rsidR="00DC5685" w:rsidRPr="00A34F10" w:rsidRDefault="00DC5685" w:rsidP="00DC5685">
            <w:pPr>
              <w:tabs>
                <w:tab w:val="left" w:pos="709"/>
              </w:tabs>
              <w:spacing w:after="240"/>
              <w:ind w:left="567"/>
              <w:rPr>
                <w:rFonts w:ascii="Times New Roman" w:hAnsi="Times New Roman"/>
                <w:b/>
                <w:bCs/>
                <w:szCs w:val="24"/>
                <w:lang w:eastAsia="en-US"/>
              </w:rPr>
            </w:pPr>
            <w:r w:rsidRPr="00A34F10">
              <w:rPr>
                <w:rFonts w:ascii="Times New Roman" w:hAnsi="Times New Roman"/>
                <w:b/>
                <w:bCs/>
                <w:szCs w:val="24"/>
                <w:lang w:eastAsia="en-US"/>
              </w:rPr>
              <w:t>Description:</w:t>
            </w:r>
          </w:p>
        </w:tc>
        <w:tc>
          <w:tcPr>
            <w:tcW w:w="5522" w:type="dxa"/>
          </w:tcPr>
          <w:p w14:paraId="396B627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x-none" w:eastAsia="en-US"/>
              </w:rPr>
              <w:t>White</w:t>
            </w:r>
            <w:r w:rsidRPr="00A34F10">
              <w:rPr>
                <w:rFonts w:ascii="Times New Roman" w:hAnsi="Times New Roman"/>
                <w:szCs w:val="24"/>
                <w:lang w:val="en-US" w:eastAsia="en-US"/>
              </w:rPr>
              <w:t xml:space="preserve"> liquid, soluble concentrate (SC)</w:t>
            </w:r>
          </w:p>
        </w:tc>
      </w:tr>
      <w:tr w:rsidR="00DC5685" w:rsidRPr="00A34F10" w14:paraId="6D5D35C1" w14:textId="77777777" w:rsidTr="000470C3">
        <w:trPr>
          <w:cantSplit/>
          <w:trHeight w:hRule="exact" w:val="397"/>
        </w:trPr>
        <w:tc>
          <w:tcPr>
            <w:tcW w:w="3828" w:type="dxa"/>
          </w:tcPr>
          <w:p w14:paraId="59580DA6" w14:textId="77777777" w:rsidR="00DC5685" w:rsidRPr="00A34F10" w:rsidRDefault="00DC5685" w:rsidP="00DC5685">
            <w:pPr>
              <w:tabs>
                <w:tab w:val="left" w:pos="624"/>
                <w:tab w:val="left" w:pos="709"/>
              </w:tabs>
              <w:spacing w:after="240"/>
              <w:ind w:left="567"/>
              <w:rPr>
                <w:rFonts w:ascii="Times New Roman" w:hAnsi="Times New Roman"/>
                <w:b/>
                <w:bCs/>
                <w:szCs w:val="24"/>
                <w:lang w:eastAsia="en-US"/>
              </w:rPr>
            </w:pPr>
            <w:r w:rsidRPr="00A34F10">
              <w:rPr>
                <w:rFonts w:ascii="Times New Roman" w:hAnsi="Times New Roman"/>
                <w:b/>
                <w:bCs/>
                <w:szCs w:val="24"/>
                <w:lang w:eastAsia="en-US"/>
              </w:rPr>
              <w:t>Lot/Batch:</w:t>
            </w:r>
          </w:p>
        </w:tc>
        <w:tc>
          <w:tcPr>
            <w:tcW w:w="5522" w:type="dxa"/>
          </w:tcPr>
          <w:p w14:paraId="22107B77"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FRE-002224</w:t>
            </w:r>
          </w:p>
        </w:tc>
      </w:tr>
      <w:tr w:rsidR="00DC5685" w:rsidRPr="00A34F10" w14:paraId="07A2BD07" w14:textId="77777777" w:rsidTr="000470C3">
        <w:trPr>
          <w:cantSplit/>
          <w:trHeight w:hRule="exact" w:val="612"/>
        </w:trPr>
        <w:tc>
          <w:tcPr>
            <w:tcW w:w="3828" w:type="dxa"/>
          </w:tcPr>
          <w:p w14:paraId="2BE42FCA" w14:textId="77777777" w:rsidR="00DC5685" w:rsidRPr="00A34F10" w:rsidRDefault="00DC5685" w:rsidP="00DC5685">
            <w:pPr>
              <w:tabs>
                <w:tab w:val="left" w:pos="624"/>
                <w:tab w:val="left" w:pos="709"/>
              </w:tabs>
              <w:spacing w:after="240"/>
              <w:ind w:left="567"/>
              <w:rPr>
                <w:rFonts w:ascii="Times New Roman" w:hAnsi="Times New Roman"/>
                <w:b/>
                <w:bCs/>
                <w:szCs w:val="24"/>
                <w:lang w:eastAsia="en-US"/>
              </w:rPr>
            </w:pPr>
            <w:r w:rsidRPr="00A34F10">
              <w:rPr>
                <w:rFonts w:ascii="Times New Roman" w:hAnsi="Times New Roman"/>
                <w:b/>
                <w:bCs/>
                <w:szCs w:val="24"/>
                <w:lang w:eastAsia="en-US"/>
              </w:rPr>
              <w:t>Active substance content:</w:t>
            </w:r>
          </w:p>
        </w:tc>
        <w:tc>
          <w:tcPr>
            <w:tcW w:w="5522" w:type="dxa"/>
          </w:tcPr>
          <w:p w14:paraId="6C0A29D4" w14:textId="77777777" w:rsidR="00DC5685" w:rsidRPr="00A34F10" w:rsidRDefault="00DC5685" w:rsidP="00DC5685">
            <w:pPr>
              <w:tabs>
                <w:tab w:val="left" w:pos="720"/>
              </w:tabs>
              <w:spacing w:line="276" w:lineRule="auto"/>
              <w:jc w:val="both"/>
              <w:rPr>
                <w:rFonts w:ascii="Times New Roman" w:hAnsi="Times New Roman"/>
                <w:szCs w:val="24"/>
                <w:lang w:val="en-US" w:eastAsia="en-US"/>
              </w:rPr>
            </w:pPr>
            <w:r w:rsidRPr="00A34F10">
              <w:rPr>
                <w:rFonts w:ascii="Times New Roman" w:hAnsi="Times New Roman"/>
                <w:szCs w:val="24"/>
                <w:lang w:val="en-US" w:eastAsia="en-US"/>
              </w:rPr>
              <w:t>Ametoctradin: nominal 137.14 g/L; analysed 137.7 g/L,</w:t>
            </w:r>
          </w:p>
          <w:p w14:paraId="5CF394DD"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val="en-US" w:eastAsia="en-US"/>
              </w:rPr>
              <w:t>Propamocarb: nominal 432.0 g/L; analysed 431.0 g/L</w:t>
            </w:r>
          </w:p>
        </w:tc>
      </w:tr>
      <w:tr w:rsidR="00DC5685" w:rsidRPr="00A34F10" w14:paraId="5547AAA8" w14:textId="77777777" w:rsidTr="000470C3">
        <w:trPr>
          <w:cantSplit/>
          <w:trHeight w:hRule="exact" w:val="340"/>
        </w:trPr>
        <w:tc>
          <w:tcPr>
            <w:tcW w:w="3828" w:type="dxa"/>
          </w:tcPr>
          <w:p w14:paraId="093A67C0" w14:textId="77777777" w:rsidR="00DC5685" w:rsidRPr="00A34F10" w:rsidRDefault="00DC5685" w:rsidP="00DC5685">
            <w:pPr>
              <w:tabs>
                <w:tab w:val="left" w:pos="624"/>
                <w:tab w:val="left" w:pos="709"/>
              </w:tabs>
              <w:spacing w:after="240"/>
              <w:ind w:left="567"/>
              <w:rPr>
                <w:rFonts w:ascii="Times New Roman" w:hAnsi="Times New Roman"/>
                <w:b/>
                <w:bCs/>
                <w:szCs w:val="24"/>
                <w:lang w:eastAsia="en-US"/>
              </w:rPr>
            </w:pPr>
            <w:r w:rsidRPr="00A34F10">
              <w:rPr>
                <w:rFonts w:ascii="Times New Roman" w:hAnsi="Times New Roman"/>
                <w:b/>
                <w:bCs/>
                <w:szCs w:val="24"/>
                <w:lang w:eastAsia="en-US"/>
              </w:rPr>
              <w:t>Density:</w:t>
            </w:r>
          </w:p>
        </w:tc>
        <w:tc>
          <w:tcPr>
            <w:tcW w:w="5522" w:type="dxa"/>
          </w:tcPr>
          <w:p w14:paraId="20AAD8B0"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1.080 g/cm</w:t>
            </w:r>
            <w:r w:rsidRPr="00A34F10">
              <w:rPr>
                <w:rFonts w:ascii="Times New Roman" w:hAnsi="Times New Roman"/>
                <w:szCs w:val="24"/>
                <w:vertAlign w:val="superscript"/>
                <w:lang w:eastAsia="en-US"/>
              </w:rPr>
              <w:t xml:space="preserve">3 </w:t>
            </w:r>
          </w:p>
        </w:tc>
      </w:tr>
      <w:tr w:rsidR="00DC5685" w:rsidRPr="00A34F10" w14:paraId="252A693A" w14:textId="77777777" w:rsidTr="000470C3">
        <w:trPr>
          <w:cantSplit/>
          <w:trHeight w:hRule="exact" w:val="340"/>
        </w:trPr>
        <w:tc>
          <w:tcPr>
            <w:tcW w:w="3828" w:type="dxa"/>
          </w:tcPr>
          <w:p w14:paraId="396ADD40" w14:textId="77777777" w:rsidR="00DC5685" w:rsidRPr="00A34F10" w:rsidRDefault="00DC5685" w:rsidP="00DC5685">
            <w:pPr>
              <w:tabs>
                <w:tab w:val="left" w:pos="624"/>
                <w:tab w:val="left" w:pos="709"/>
              </w:tabs>
              <w:spacing w:after="240"/>
              <w:ind w:left="567"/>
              <w:rPr>
                <w:rFonts w:ascii="Times New Roman" w:hAnsi="Times New Roman"/>
                <w:b/>
                <w:bCs/>
                <w:szCs w:val="24"/>
                <w:lang w:eastAsia="en-US"/>
              </w:rPr>
            </w:pPr>
            <w:r w:rsidRPr="00A34F10">
              <w:rPr>
                <w:rFonts w:ascii="Times New Roman" w:hAnsi="Times New Roman"/>
                <w:b/>
                <w:bCs/>
                <w:szCs w:val="24"/>
                <w:lang w:eastAsia="en-US"/>
              </w:rPr>
              <w:t>Storage conditions:</w:t>
            </w:r>
          </w:p>
        </w:tc>
        <w:tc>
          <w:tcPr>
            <w:tcW w:w="5522" w:type="dxa"/>
          </w:tcPr>
          <w:p w14:paraId="53B6C182"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val="x-none" w:eastAsia="en-US"/>
              </w:rPr>
              <w:t>5 °C – 30 °C , dark and dry</w:t>
            </w:r>
          </w:p>
        </w:tc>
      </w:tr>
      <w:tr w:rsidR="00DC5685" w:rsidRPr="00A34F10" w14:paraId="03F4C602" w14:textId="77777777" w:rsidTr="000470C3">
        <w:trPr>
          <w:cantSplit/>
          <w:trHeight w:hRule="exact" w:val="340"/>
        </w:trPr>
        <w:tc>
          <w:tcPr>
            <w:tcW w:w="3828" w:type="dxa"/>
          </w:tcPr>
          <w:p w14:paraId="6713971B" w14:textId="77777777" w:rsidR="00DC5685" w:rsidRPr="00A34F10" w:rsidRDefault="00DC5685" w:rsidP="00DC5685">
            <w:pPr>
              <w:tabs>
                <w:tab w:val="left" w:pos="624"/>
                <w:tab w:val="left" w:pos="709"/>
              </w:tabs>
              <w:spacing w:after="240"/>
              <w:ind w:left="567"/>
              <w:rPr>
                <w:rFonts w:ascii="Times New Roman" w:hAnsi="Times New Roman"/>
                <w:b/>
                <w:bCs/>
                <w:szCs w:val="24"/>
                <w:lang w:eastAsia="en-US"/>
              </w:rPr>
            </w:pPr>
            <w:r w:rsidRPr="00A34F10">
              <w:rPr>
                <w:rFonts w:ascii="Times New Roman" w:hAnsi="Times New Roman"/>
                <w:b/>
                <w:bCs/>
                <w:szCs w:val="24"/>
                <w:lang w:val="en-US" w:eastAsia="en-US"/>
              </w:rPr>
              <w:t>Stability (expiry date):</w:t>
            </w:r>
          </w:p>
        </w:tc>
        <w:tc>
          <w:tcPr>
            <w:tcW w:w="5522" w:type="dxa"/>
          </w:tcPr>
          <w:p w14:paraId="7598DA1F"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31.01.2024</w:t>
            </w:r>
          </w:p>
        </w:tc>
      </w:tr>
      <w:tr w:rsidR="00DC5685" w:rsidRPr="00A34F10" w14:paraId="39773D76" w14:textId="77777777" w:rsidTr="000470C3">
        <w:trPr>
          <w:cantSplit/>
          <w:trHeight w:hRule="exact" w:val="340"/>
        </w:trPr>
        <w:tc>
          <w:tcPr>
            <w:tcW w:w="3828" w:type="dxa"/>
          </w:tcPr>
          <w:p w14:paraId="605D002F" w14:textId="77777777" w:rsidR="00DC5685" w:rsidRPr="00A34F10" w:rsidRDefault="00DC5685" w:rsidP="00DC5685">
            <w:pPr>
              <w:numPr>
                <w:ilvl w:val="6"/>
                <w:numId w:val="9"/>
              </w:numPr>
              <w:tabs>
                <w:tab w:val="left" w:pos="567"/>
              </w:tabs>
              <w:spacing w:after="240"/>
              <w:ind w:left="284"/>
              <w:contextualSpacing/>
              <w:rPr>
                <w:rFonts w:ascii="Times New Roman" w:hAnsi="Times New Roman"/>
                <w:b/>
                <w:bCs/>
                <w:szCs w:val="24"/>
                <w:lang w:eastAsia="en-US"/>
              </w:rPr>
            </w:pPr>
            <w:r w:rsidRPr="00A34F10">
              <w:rPr>
                <w:rFonts w:ascii="Times New Roman" w:hAnsi="Times New Roman"/>
                <w:b/>
                <w:bCs/>
                <w:szCs w:val="24"/>
                <w:lang w:eastAsia="en-US"/>
              </w:rPr>
              <w:t>Control:</w:t>
            </w:r>
          </w:p>
        </w:tc>
        <w:tc>
          <w:tcPr>
            <w:tcW w:w="5522" w:type="dxa"/>
          </w:tcPr>
          <w:p w14:paraId="6ADCF386"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Untre</w:t>
            </w:r>
            <w:r w:rsidRPr="00A34F10">
              <w:rPr>
                <w:rFonts w:ascii="Times New Roman" w:hAnsi="Times New Roman"/>
                <w:szCs w:val="24"/>
                <w:lang w:eastAsia="en-US"/>
              </w:rPr>
              <w:t>ated test medium</w:t>
            </w:r>
          </w:p>
        </w:tc>
      </w:tr>
      <w:tr w:rsidR="00DC5685" w:rsidRPr="00A34F10" w14:paraId="3BCFCE95" w14:textId="77777777" w:rsidTr="000470C3">
        <w:trPr>
          <w:cantSplit/>
          <w:trHeight w:hRule="exact" w:val="314"/>
        </w:trPr>
        <w:tc>
          <w:tcPr>
            <w:tcW w:w="3828" w:type="dxa"/>
          </w:tcPr>
          <w:p w14:paraId="2E7DB35B" w14:textId="77777777" w:rsidR="00DC5685" w:rsidRPr="00A34F10" w:rsidRDefault="00DC5685" w:rsidP="00DC5685">
            <w:pPr>
              <w:numPr>
                <w:ilvl w:val="6"/>
                <w:numId w:val="9"/>
              </w:numPr>
              <w:tabs>
                <w:tab w:val="left" w:pos="567"/>
              </w:tabs>
              <w:spacing w:after="240"/>
              <w:ind w:left="284"/>
              <w:contextualSpacing/>
              <w:rPr>
                <w:rFonts w:ascii="Times New Roman" w:hAnsi="Times New Roman"/>
                <w:b/>
                <w:bCs/>
                <w:szCs w:val="24"/>
                <w:lang w:eastAsia="en-US"/>
              </w:rPr>
            </w:pPr>
            <w:r w:rsidRPr="00A34F10">
              <w:rPr>
                <w:rFonts w:ascii="Times New Roman" w:hAnsi="Times New Roman"/>
                <w:b/>
                <w:bCs/>
                <w:szCs w:val="24"/>
                <w:lang w:eastAsia="en-US"/>
              </w:rPr>
              <w:t>Reference item:</w:t>
            </w:r>
          </w:p>
        </w:tc>
        <w:tc>
          <w:tcPr>
            <w:tcW w:w="5522" w:type="dxa"/>
          </w:tcPr>
          <w:p w14:paraId="27567B95"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Not relevant</w:t>
            </w:r>
          </w:p>
        </w:tc>
      </w:tr>
    </w:tbl>
    <w:p w14:paraId="2E350099" w14:textId="77777777" w:rsidR="00DC5685" w:rsidRPr="00A34F10" w:rsidRDefault="00DC5685" w:rsidP="00DC5685">
      <w:pPr>
        <w:tabs>
          <w:tab w:val="left" w:pos="0"/>
        </w:tabs>
        <w:spacing w:after="240"/>
        <w:contextualSpacing/>
        <w:rPr>
          <w:b/>
          <w:bCs/>
          <w:caps/>
          <w:szCs w:val="24"/>
          <w:lang w:val="en-GB"/>
        </w:rPr>
      </w:pPr>
    </w:p>
    <w:p w14:paraId="4264B896" w14:textId="77777777" w:rsidR="00DC5685" w:rsidRPr="00A34F10" w:rsidRDefault="00DC5685" w:rsidP="00E05ECD">
      <w:pPr>
        <w:numPr>
          <w:ilvl w:val="0"/>
          <w:numId w:val="27"/>
        </w:numPr>
        <w:ind w:left="284" w:hanging="284"/>
        <w:contextualSpacing/>
        <w:rPr>
          <w:b/>
          <w:bCs/>
          <w:caps/>
          <w:szCs w:val="24"/>
          <w:lang w:val="en-GB"/>
        </w:rPr>
      </w:pPr>
      <w:r w:rsidRPr="00A34F10">
        <w:rPr>
          <w:b/>
          <w:bCs/>
          <w:caps/>
          <w:szCs w:val="24"/>
          <w:lang w:val="en-GB"/>
        </w:rPr>
        <w:t>study design and methods</w:t>
      </w:r>
    </w:p>
    <w:p w14:paraId="2D0A2584" w14:textId="77777777" w:rsidR="00DC5685" w:rsidRPr="00A34F10" w:rsidRDefault="00DC5685" w:rsidP="00DC5685">
      <w:pPr>
        <w:contextualSpacing/>
        <w:rPr>
          <w:b/>
          <w:bCs/>
          <w:caps/>
          <w:szCs w:val="24"/>
          <w:highlight w:val="yellow"/>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A34F10" w14:paraId="03F0FEF6" w14:textId="77777777" w:rsidTr="000470C3">
        <w:trPr>
          <w:trHeight w:hRule="exact" w:val="567"/>
        </w:trPr>
        <w:tc>
          <w:tcPr>
            <w:tcW w:w="3826" w:type="dxa"/>
          </w:tcPr>
          <w:p w14:paraId="794DF651" w14:textId="77777777" w:rsidR="00DC5685" w:rsidRPr="00A34F10" w:rsidRDefault="00DC5685" w:rsidP="00E05ECD">
            <w:pPr>
              <w:numPr>
                <w:ilvl w:val="0"/>
                <w:numId w:val="25"/>
              </w:numPr>
              <w:tabs>
                <w:tab w:val="left" w:pos="255"/>
                <w:tab w:val="left" w:pos="284"/>
              </w:tabs>
              <w:spacing w:after="240"/>
              <w:ind w:left="426" w:hanging="284"/>
              <w:contextualSpacing/>
              <w:jc w:val="both"/>
              <w:rPr>
                <w:rFonts w:ascii="Times New Roman" w:hAnsi="Times New Roman"/>
                <w:b/>
                <w:bCs/>
                <w:szCs w:val="24"/>
                <w:lang w:eastAsia="en-US"/>
              </w:rPr>
            </w:pPr>
            <w:r w:rsidRPr="00A34F10">
              <w:rPr>
                <w:rFonts w:ascii="Times New Roman" w:hAnsi="Times New Roman"/>
                <w:b/>
                <w:bCs/>
                <w:szCs w:val="24"/>
                <w:lang w:eastAsia="en-US"/>
              </w:rPr>
              <w:t>Test organism:</w:t>
            </w:r>
          </w:p>
        </w:tc>
        <w:tc>
          <w:tcPr>
            <w:tcW w:w="5518" w:type="dxa"/>
          </w:tcPr>
          <w:p w14:paraId="3EEF7890"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iCs/>
                <w:szCs w:val="24"/>
                <w:lang w:val="x-none" w:eastAsia="en-US"/>
              </w:rPr>
              <w:t>Rainbow trout</w:t>
            </w:r>
            <w:r w:rsidRPr="00A34F10">
              <w:rPr>
                <w:rFonts w:ascii="Times New Roman" w:hAnsi="Times New Roman"/>
                <w:i/>
                <w:szCs w:val="24"/>
                <w:lang w:val="x-none" w:eastAsia="en-US"/>
              </w:rPr>
              <w:t xml:space="preserve"> </w:t>
            </w:r>
            <w:r w:rsidRPr="00A34F10">
              <w:rPr>
                <w:rFonts w:ascii="Times New Roman" w:hAnsi="Times New Roman"/>
                <w:iCs/>
                <w:szCs w:val="24"/>
                <w:lang w:val="x-none" w:eastAsia="en-US"/>
              </w:rPr>
              <w:t>(</w:t>
            </w:r>
            <w:r w:rsidRPr="00A34F10">
              <w:rPr>
                <w:rFonts w:ascii="Times New Roman" w:hAnsi="Times New Roman"/>
                <w:i/>
                <w:szCs w:val="24"/>
                <w:lang w:val="x-none" w:eastAsia="en-US"/>
              </w:rPr>
              <w:t>Oncorhynchus mykiss</w:t>
            </w:r>
            <w:r w:rsidRPr="00A34F10">
              <w:rPr>
                <w:rFonts w:ascii="Times New Roman" w:hAnsi="Times New Roman"/>
                <w:iCs/>
                <w:szCs w:val="24"/>
                <w:lang w:val="x-none" w:eastAsia="en-US"/>
              </w:rPr>
              <w:t>)</w:t>
            </w:r>
            <w:r w:rsidRPr="00A34F10">
              <w:rPr>
                <w:rFonts w:ascii="Times New Roman" w:hAnsi="Times New Roman"/>
                <w:iCs/>
                <w:szCs w:val="24"/>
                <w:lang w:val="en-US" w:eastAsia="en-US"/>
              </w:rPr>
              <w:t xml:space="preserve"> Walbaum</w:t>
            </w:r>
          </w:p>
        </w:tc>
      </w:tr>
      <w:tr w:rsidR="00DC5685" w:rsidRPr="00A34F10" w14:paraId="6037BEE5" w14:textId="77777777" w:rsidTr="000470C3">
        <w:trPr>
          <w:trHeight w:hRule="exact" w:val="631"/>
        </w:trPr>
        <w:tc>
          <w:tcPr>
            <w:tcW w:w="3826" w:type="dxa"/>
          </w:tcPr>
          <w:p w14:paraId="4F71E441"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Size:</w:t>
            </w:r>
          </w:p>
        </w:tc>
        <w:tc>
          <w:tcPr>
            <w:tcW w:w="5518" w:type="dxa"/>
          </w:tcPr>
          <w:p w14:paraId="5F4E76FD"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Fish were selected with a length between 3 and 6 cm at test start</w:t>
            </w:r>
          </w:p>
        </w:tc>
      </w:tr>
      <w:tr w:rsidR="00DC5685" w:rsidRPr="00A34F10" w14:paraId="01D7433B" w14:textId="77777777" w:rsidTr="000470C3">
        <w:trPr>
          <w:trHeight w:hRule="exact" w:val="540"/>
        </w:trPr>
        <w:tc>
          <w:tcPr>
            <w:tcW w:w="3826" w:type="dxa"/>
          </w:tcPr>
          <w:p w14:paraId="55A3421D"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Source:</w:t>
            </w:r>
          </w:p>
        </w:tc>
        <w:tc>
          <w:tcPr>
            <w:tcW w:w="5518" w:type="dxa"/>
          </w:tcPr>
          <w:p w14:paraId="732C3417"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szCs w:val="24"/>
                <w:lang w:val="x-none" w:eastAsia="en-US"/>
              </w:rPr>
              <w:t>Forellenzucht (trout farm) Peter Störk, D-88348 Bad Saulgau, Germany</w:t>
            </w:r>
          </w:p>
        </w:tc>
      </w:tr>
      <w:tr w:rsidR="00DC5685" w:rsidRPr="00A34F10" w14:paraId="423C50F9" w14:textId="77777777" w:rsidTr="000470C3">
        <w:trPr>
          <w:trHeight w:hRule="exact" w:val="1350"/>
        </w:trPr>
        <w:tc>
          <w:tcPr>
            <w:tcW w:w="3826" w:type="dxa"/>
          </w:tcPr>
          <w:p w14:paraId="3A3ADF10"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Acclimatisation:</w:t>
            </w:r>
          </w:p>
        </w:tc>
        <w:tc>
          <w:tcPr>
            <w:tcW w:w="5518" w:type="dxa"/>
          </w:tcPr>
          <w:p w14:paraId="7F8C3E3B"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x-none" w:eastAsia="en-US"/>
              </w:rPr>
              <w:t>All fish were held in the laboratory for at least 12 days</w:t>
            </w:r>
            <w:r w:rsidRPr="00A34F10">
              <w:rPr>
                <w:rFonts w:ascii="Times New Roman" w:hAnsi="Times New Roman"/>
                <w:szCs w:val="24"/>
                <w:lang w:val="en-US" w:eastAsia="en-US"/>
              </w:rPr>
              <w:t xml:space="preserve"> </w:t>
            </w:r>
            <w:r w:rsidRPr="00A34F10">
              <w:rPr>
                <w:rFonts w:ascii="Times New Roman" w:hAnsi="Times New Roman"/>
                <w:szCs w:val="24"/>
                <w:lang w:val="x-none" w:eastAsia="en-US"/>
              </w:rPr>
              <w:t>before the start of the test. The fish were held under testing conditions in 300 L containers with continuous renewal of water (5 - 10 % per day) and permanent aeration of water for the entire pre-experimental period.</w:t>
            </w:r>
          </w:p>
        </w:tc>
      </w:tr>
      <w:tr w:rsidR="00DC5685" w:rsidRPr="00A34F10" w14:paraId="4B07494C" w14:textId="77777777" w:rsidTr="000470C3">
        <w:trPr>
          <w:trHeight w:hRule="exact" w:val="1080"/>
        </w:trPr>
        <w:tc>
          <w:tcPr>
            <w:tcW w:w="3826" w:type="dxa"/>
          </w:tcPr>
          <w:p w14:paraId="1EFB3DE5"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 xml:space="preserve">Diet: </w:t>
            </w:r>
          </w:p>
        </w:tc>
        <w:tc>
          <w:tcPr>
            <w:tcW w:w="5518" w:type="dxa"/>
          </w:tcPr>
          <w:p w14:paraId="27824113"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val="en-US" w:eastAsia="en-US"/>
              </w:rPr>
              <w:t xml:space="preserve">During acclimatisation period: daily with granular rearing food (‘INICIO Plus G’, 2.0 mm, BioMar, DK) </w:t>
            </w:r>
            <w:r w:rsidRPr="00A34F10">
              <w:rPr>
                <w:rFonts w:ascii="Times New Roman" w:hAnsi="Times New Roman"/>
                <w:i/>
                <w:iCs/>
                <w:szCs w:val="24"/>
                <w:lang w:val="en-US" w:eastAsia="en-US"/>
              </w:rPr>
              <w:t>ad libitum</w:t>
            </w:r>
            <w:r w:rsidRPr="00A34F10">
              <w:rPr>
                <w:rFonts w:ascii="Times New Roman" w:hAnsi="Times New Roman"/>
                <w:szCs w:val="24"/>
                <w:lang w:val="en-US" w:eastAsia="en-US"/>
              </w:rPr>
              <w:t xml:space="preserve"> </w:t>
            </w:r>
            <w:r w:rsidRPr="00A34F10">
              <w:rPr>
                <w:rFonts w:ascii="Times New Roman" w:hAnsi="Times New Roman"/>
                <w:szCs w:val="24"/>
                <w:lang w:val="x-none" w:eastAsia="en-US"/>
              </w:rPr>
              <w:t>until 24 hours</w:t>
            </w:r>
            <w:r w:rsidRPr="00A34F10">
              <w:rPr>
                <w:rFonts w:ascii="Times New Roman" w:hAnsi="Times New Roman"/>
                <w:szCs w:val="24"/>
                <w:lang w:val="en-US" w:eastAsia="en-US"/>
              </w:rPr>
              <w:t xml:space="preserve"> </w:t>
            </w:r>
            <w:r w:rsidRPr="00A34F10">
              <w:rPr>
                <w:rFonts w:ascii="Times New Roman" w:hAnsi="Times New Roman"/>
                <w:szCs w:val="24"/>
                <w:lang w:val="x-none" w:eastAsia="en-US"/>
              </w:rPr>
              <w:t>before the test was started</w:t>
            </w:r>
            <w:r w:rsidRPr="00A34F10">
              <w:rPr>
                <w:rFonts w:ascii="Times New Roman" w:hAnsi="Times New Roman"/>
                <w:szCs w:val="24"/>
                <w:lang w:val="en-US" w:eastAsia="en-US"/>
              </w:rPr>
              <w:t>; Fish were not fed during the exposure period</w:t>
            </w:r>
          </w:p>
        </w:tc>
      </w:tr>
      <w:tr w:rsidR="00DC5685" w:rsidRPr="00A34F10" w14:paraId="099548F4" w14:textId="77777777" w:rsidTr="000470C3">
        <w:trPr>
          <w:trHeight w:hRule="exact" w:val="297"/>
        </w:trPr>
        <w:tc>
          <w:tcPr>
            <w:tcW w:w="3826" w:type="dxa"/>
          </w:tcPr>
          <w:p w14:paraId="7193C8D1" w14:textId="77777777" w:rsidR="00DC5685" w:rsidRPr="00A34F10" w:rsidRDefault="00DC5685" w:rsidP="00E05ECD">
            <w:pPr>
              <w:numPr>
                <w:ilvl w:val="0"/>
                <w:numId w:val="25"/>
              </w:numPr>
              <w:tabs>
                <w:tab w:val="left" w:pos="255"/>
                <w:tab w:val="left" w:pos="284"/>
              </w:tabs>
              <w:spacing w:after="240"/>
              <w:ind w:left="426" w:hanging="284"/>
              <w:contextualSpacing/>
              <w:jc w:val="both"/>
              <w:rPr>
                <w:rFonts w:ascii="Times New Roman" w:hAnsi="Times New Roman"/>
                <w:b/>
                <w:bCs/>
                <w:szCs w:val="24"/>
                <w:lang w:eastAsia="en-US"/>
              </w:rPr>
            </w:pPr>
            <w:r w:rsidRPr="00A34F10">
              <w:rPr>
                <w:rFonts w:ascii="Times New Roman" w:hAnsi="Times New Roman"/>
                <w:b/>
                <w:bCs/>
                <w:szCs w:val="24"/>
                <w:lang w:eastAsia="en-US"/>
              </w:rPr>
              <w:t>Test units:</w:t>
            </w:r>
          </w:p>
        </w:tc>
        <w:tc>
          <w:tcPr>
            <w:tcW w:w="5518" w:type="dxa"/>
          </w:tcPr>
          <w:p w14:paraId="4D8BDC75"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x-none" w:eastAsia="en-US"/>
              </w:rPr>
              <w:t>1</w:t>
            </w:r>
            <w:r w:rsidRPr="00A34F10">
              <w:rPr>
                <w:rFonts w:ascii="Times New Roman" w:hAnsi="Times New Roman"/>
                <w:szCs w:val="24"/>
                <w:lang w:val="en-US" w:eastAsia="en-US"/>
              </w:rPr>
              <w:t>8</w:t>
            </w:r>
            <w:r w:rsidRPr="00A34F10">
              <w:rPr>
                <w:rFonts w:ascii="Times New Roman" w:hAnsi="Times New Roman"/>
                <w:szCs w:val="24"/>
                <w:lang w:val="x-none" w:eastAsia="en-US"/>
              </w:rPr>
              <w:t xml:space="preserve"> </w:t>
            </w:r>
            <w:r w:rsidRPr="00A34F10">
              <w:rPr>
                <w:rFonts w:ascii="Times New Roman" w:hAnsi="Times New Roman"/>
                <w:szCs w:val="24"/>
                <w:lang w:eastAsia="en-US"/>
              </w:rPr>
              <w:t xml:space="preserve">L </w:t>
            </w:r>
            <w:r w:rsidRPr="00A34F10">
              <w:rPr>
                <w:rFonts w:ascii="Times New Roman" w:hAnsi="Times New Roman"/>
                <w:szCs w:val="24"/>
                <w:lang w:val="x-none" w:eastAsia="en-US"/>
              </w:rPr>
              <w:t>glass aquaria with 1</w:t>
            </w:r>
            <w:r w:rsidRPr="00A34F10">
              <w:rPr>
                <w:rFonts w:ascii="Times New Roman" w:hAnsi="Times New Roman"/>
                <w:szCs w:val="24"/>
                <w:lang w:val="en-US" w:eastAsia="en-US"/>
              </w:rPr>
              <w:t>5</w:t>
            </w:r>
            <w:r w:rsidRPr="00A34F10">
              <w:rPr>
                <w:rFonts w:ascii="Times New Roman" w:hAnsi="Times New Roman"/>
                <w:szCs w:val="24"/>
                <w:lang w:eastAsia="en-US"/>
              </w:rPr>
              <w:t xml:space="preserve"> L </w:t>
            </w:r>
            <w:r w:rsidRPr="00A34F10">
              <w:rPr>
                <w:rFonts w:ascii="Times New Roman" w:hAnsi="Times New Roman"/>
                <w:szCs w:val="24"/>
                <w:lang w:val="x-none" w:eastAsia="en-US"/>
              </w:rPr>
              <w:t>test medium</w:t>
            </w:r>
          </w:p>
        </w:tc>
      </w:tr>
      <w:tr w:rsidR="00DC5685" w:rsidRPr="00A34F10" w14:paraId="705DF4B8" w14:textId="77777777" w:rsidTr="000470C3">
        <w:trPr>
          <w:trHeight w:hRule="exact" w:val="340"/>
        </w:trPr>
        <w:tc>
          <w:tcPr>
            <w:tcW w:w="3826" w:type="dxa"/>
          </w:tcPr>
          <w:p w14:paraId="3F1C60F4" w14:textId="77777777" w:rsidR="00DC5685" w:rsidRPr="00A34F10" w:rsidRDefault="00DC5685" w:rsidP="00E05ECD">
            <w:pPr>
              <w:numPr>
                <w:ilvl w:val="0"/>
                <w:numId w:val="25"/>
              </w:numPr>
              <w:tabs>
                <w:tab w:val="left" w:pos="255"/>
                <w:tab w:val="left" w:pos="284"/>
              </w:tabs>
              <w:spacing w:after="240"/>
              <w:ind w:left="426" w:hanging="284"/>
              <w:contextualSpacing/>
              <w:jc w:val="both"/>
              <w:rPr>
                <w:rFonts w:ascii="Times New Roman" w:hAnsi="Times New Roman"/>
                <w:b/>
                <w:bCs/>
                <w:szCs w:val="24"/>
                <w:lang w:eastAsia="en-US"/>
              </w:rPr>
            </w:pPr>
            <w:r w:rsidRPr="00A34F10">
              <w:rPr>
                <w:rFonts w:ascii="Times New Roman" w:hAnsi="Times New Roman"/>
                <w:b/>
                <w:bCs/>
                <w:szCs w:val="24"/>
                <w:lang w:eastAsia="en-US"/>
              </w:rPr>
              <w:t>Environmental conditions</w:t>
            </w:r>
          </w:p>
        </w:tc>
        <w:tc>
          <w:tcPr>
            <w:tcW w:w="5518" w:type="dxa"/>
          </w:tcPr>
          <w:p w14:paraId="3EC03FD7" w14:textId="77777777" w:rsidR="00DC5685" w:rsidRPr="00A34F10" w:rsidRDefault="00DC5685" w:rsidP="00DC5685">
            <w:pPr>
              <w:tabs>
                <w:tab w:val="left" w:pos="720"/>
              </w:tabs>
              <w:spacing w:after="240"/>
              <w:jc w:val="both"/>
              <w:rPr>
                <w:rFonts w:ascii="Times New Roman" w:hAnsi="Times New Roman"/>
                <w:szCs w:val="24"/>
                <w:lang w:eastAsia="en-US"/>
              </w:rPr>
            </w:pPr>
          </w:p>
        </w:tc>
      </w:tr>
      <w:tr w:rsidR="00DC5685" w:rsidRPr="00A34F10" w14:paraId="20F40397" w14:textId="77777777" w:rsidTr="000470C3">
        <w:trPr>
          <w:trHeight w:hRule="exact" w:val="340"/>
        </w:trPr>
        <w:tc>
          <w:tcPr>
            <w:tcW w:w="3826" w:type="dxa"/>
          </w:tcPr>
          <w:p w14:paraId="5F8219F9"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Temperature:</w:t>
            </w:r>
          </w:p>
        </w:tc>
        <w:tc>
          <w:tcPr>
            <w:tcW w:w="5518" w:type="dxa"/>
          </w:tcPr>
          <w:p w14:paraId="1D2B4B49"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12.3 – 13.2°C</w:t>
            </w:r>
          </w:p>
        </w:tc>
      </w:tr>
      <w:tr w:rsidR="00DC5685" w:rsidRPr="00A34F10" w14:paraId="2B212AC9" w14:textId="77777777" w:rsidTr="000470C3">
        <w:trPr>
          <w:trHeight w:hRule="exact" w:val="312"/>
        </w:trPr>
        <w:tc>
          <w:tcPr>
            <w:tcW w:w="3826" w:type="dxa"/>
          </w:tcPr>
          <w:p w14:paraId="4C3A8A0D"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pH:</w:t>
            </w:r>
          </w:p>
        </w:tc>
        <w:tc>
          <w:tcPr>
            <w:tcW w:w="5518" w:type="dxa"/>
          </w:tcPr>
          <w:p w14:paraId="7CCEF886"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7.64 – 7.82</w:t>
            </w:r>
          </w:p>
        </w:tc>
      </w:tr>
      <w:tr w:rsidR="00DC5685" w:rsidRPr="00A34F10" w14:paraId="4117503A" w14:textId="77777777" w:rsidTr="000470C3">
        <w:trPr>
          <w:trHeight w:hRule="exact" w:val="312"/>
        </w:trPr>
        <w:tc>
          <w:tcPr>
            <w:tcW w:w="3826" w:type="dxa"/>
            <w:shd w:val="clear" w:color="auto" w:fill="auto"/>
          </w:tcPr>
          <w:p w14:paraId="32732F78"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eastAsia="en-US"/>
              </w:rPr>
              <w:t>Dissolved O</w:t>
            </w:r>
            <w:r w:rsidRPr="00A34F10">
              <w:rPr>
                <w:rFonts w:ascii="Times New Roman" w:hAnsi="Times New Roman"/>
                <w:b/>
                <w:szCs w:val="24"/>
                <w:vertAlign w:val="subscript"/>
                <w:lang w:eastAsia="en-US"/>
              </w:rPr>
              <w:t>2</w:t>
            </w:r>
            <w:r w:rsidRPr="00A34F10">
              <w:rPr>
                <w:rFonts w:ascii="Times New Roman" w:hAnsi="Times New Roman"/>
                <w:b/>
                <w:bCs/>
                <w:szCs w:val="24"/>
                <w:lang w:eastAsia="en-US"/>
              </w:rPr>
              <w:t xml:space="preserve"> concentration:</w:t>
            </w:r>
          </w:p>
        </w:tc>
        <w:tc>
          <w:tcPr>
            <w:tcW w:w="5518" w:type="dxa"/>
            <w:shd w:val="clear" w:color="auto" w:fill="auto"/>
          </w:tcPr>
          <w:p w14:paraId="07F0EF41"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83.6 ± 9.3 % of air saturation (71 – 96 %)</w:t>
            </w:r>
          </w:p>
        </w:tc>
      </w:tr>
      <w:tr w:rsidR="00DC5685" w:rsidRPr="00A34F10" w14:paraId="121348E7" w14:textId="77777777" w:rsidTr="000470C3">
        <w:trPr>
          <w:trHeight w:hRule="exact" w:val="312"/>
        </w:trPr>
        <w:tc>
          <w:tcPr>
            <w:tcW w:w="3826" w:type="dxa"/>
            <w:shd w:val="clear" w:color="auto" w:fill="auto"/>
          </w:tcPr>
          <w:p w14:paraId="366DA314" w14:textId="77777777" w:rsidR="00DC5685" w:rsidRPr="00A34F10" w:rsidRDefault="00DC5685" w:rsidP="00DC5685">
            <w:pPr>
              <w:tabs>
                <w:tab w:val="left" w:pos="284"/>
                <w:tab w:val="left" w:pos="624"/>
              </w:tabs>
              <w:spacing w:after="240"/>
              <w:ind w:left="426"/>
              <w:rPr>
                <w:rFonts w:ascii="Times New Roman" w:hAnsi="Times New Roman"/>
                <w:b/>
                <w:bCs/>
                <w:szCs w:val="24"/>
                <w:lang w:eastAsia="en-US"/>
              </w:rPr>
            </w:pPr>
            <w:r w:rsidRPr="00A34F10">
              <w:rPr>
                <w:rFonts w:ascii="Times New Roman" w:hAnsi="Times New Roman"/>
                <w:b/>
                <w:bCs/>
                <w:szCs w:val="24"/>
                <w:lang w:val="en-US" w:eastAsia="en-US"/>
              </w:rPr>
              <w:t>Hardness:</w:t>
            </w:r>
          </w:p>
        </w:tc>
        <w:tc>
          <w:tcPr>
            <w:tcW w:w="5518" w:type="dxa"/>
            <w:shd w:val="clear" w:color="auto" w:fill="auto"/>
          </w:tcPr>
          <w:p w14:paraId="27160039"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11°dH corresponding to 196 mg CaCO</w:t>
            </w:r>
            <w:r w:rsidRPr="00A34F10">
              <w:rPr>
                <w:rFonts w:ascii="Times New Roman" w:hAnsi="Times New Roman"/>
                <w:szCs w:val="24"/>
                <w:vertAlign w:val="subscript"/>
                <w:lang w:val="x-none" w:eastAsia="en-US"/>
              </w:rPr>
              <w:t>3</w:t>
            </w:r>
            <w:r w:rsidRPr="00A34F10">
              <w:rPr>
                <w:rFonts w:ascii="Times New Roman" w:hAnsi="Times New Roman"/>
                <w:szCs w:val="24"/>
                <w:lang w:val="x-none" w:eastAsia="en-US"/>
              </w:rPr>
              <w:t>/L</w:t>
            </w:r>
          </w:p>
        </w:tc>
      </w:tr>
      <w:tr w:rsidR="00DC5685" w:rsidRPr="00A34F10" w14:paraId="057FF785" w14:textId="77777777" w:rsidTr="000470C3">
        <w:trPr>
          <w:trHeight w:hRule="exact" w:val="312"/>
        </w:trPr>
        <w:tc>
          <w:tcPr>
            <w:tcW w:w="3826" w:type="dxa"/>
            <w:shd w:val="clear" w:color="auto" w:fill="auto"/>
          </w:tcPr>
          <w:p w14:paraId="08E07042" w14:textId="77777777" w:rsidR="00DC5685" w:rsidRPr="00A34F10" w:rsidRDefault="00DC5685" w:rsidP="00DC5685">
            <w:pPr>
              <w:tabs>
                <w:tab w:val="left" w:pos="284"/>
                <w:tab w:val="left" w:pos="624"/>
              </w:tabs>
              <w:spacing w:after="240"/>
              <w:ind w:left="426"/>
              <w:rPr>
                <w:rFonts w:ascii="Times New Roman" w:hAnsi="Times New Roman"/>
                <w:b/>
                <w:bCs/>
                <w:szCs w:val="24"/>
                <w:lang w:val="en-US" w:eastAsia="en-US"/>
              </w:rPr>
            </w:pPr>
            <w:r w:rsidRPr="00A34F10">
              <w:rPr>
                <w:rFonts w:ascii="Times New Roman" w:hAnsi="Times New Roman"/>
                <w:b/>
                <w:bCs/>
                <w:szCs w:val="24"/>
                <w:lang w:eastAsia="en-US"/>
              </w:rPr>
              <w:t>Photoperiod:</w:t>
            </w:r>
          </w:p>
        </w:tc>
        <w:tc>
          <w:tcPr>
            <w:tcW w:w="5518" w:type="dxa"/>
            <w:shd w:val="clear" w:color="auto" w:fill="auto"/>
          </w:tcPr>
          <w:p w14:paraId="253F3925"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16 h light : 8 h dark;</w:t>
            </w:r>
            <w:r w:rsidRPr="00A34F10">
              <w:rPr>
                <w:rFonts w:ascii="Times New Roman" w:hAnsi="Times New Roman"/>
                <w:szCs w:val="24"/>
                <w:lang w:eastAsia="en-US"/>
              </w:rPr>
              <w:t xml:space="preserve"> </w:t>
            </w:r>
            <w:r w:rsidRPr="00A34F10">
              <w:rPr>
                <w:rFonts w:ascii="Times New Roman" w:hAnsi="Times New Roman"/>
                <w:szCs w:val="24"/>
                <w:lang w:val="x-none" w:eastAsia="en-US"/>
              </w:rPr>
              <w:t>30 min dawn/dusk period</w:t>
            </w:r>
          </w:p>
        </w:tc>
      </w:tr>
      <w:tr w:rsidR="00DC5685" w:rsidRPr="00A34F10" w14:paraId="153CA0ED" w14:textId="77777777" w:rsidTr="000470C3">
        <w:trPr>
          <w:trHeight w:hRule="exact" w:val="312"/>
        </w:trPr>
        <w:tc>
          <w:tcPr>
            <w:tcW w:w="3826" w:type="dxa"/>
            <w:shd w:val="clear" w:color="auto" w:fill="auto"/>
          </w:tcPr>
          <w:p w14:paraId="194749D7" w14:textId="77777777" w:rsidR="00DC5685" w:rsidRPr="00A34F10" w:rsidRDefault="00DC5685" w:rsidP="00DC5685">
            <w:pPr>
              <w:tabs>
                <w:tab w:val="left" w:pos="284"/>
                <w:tab w:val="left" w:pos="624"/>
              </w:tabs>
              <w:spacing w:after="240"/>
              <w:ind w:left="426"/>
              <w:rPr>
                <w:rFonts w:ascii="Times New Roman" w:hAnsi="Times New Roman"/>
                <w:b/>
                <w:bCs/>
                <w:szCs w:val="24"/>
                <w:lang w:val="en-US" w:eastAsia="en-US"/>
              </w:rPr>
            </w:pPr>
            <w:r w:rsidRPr="00A34F10">
              <w:rPr>
                <w:rFonts w:ascii="Times New Roman" w:hAnsi="Times New Roman"/>
                <w:b/>
                <w:bCs/>
                <w:szCs w:val="24"/>
                <w:lang w:eastAsia="en-US"/>
              </w:rPr>
              <w:t>Light intensity:</w:t>
            </w:r>
          </w:p>
        </w:tc>
        <w:tc>
          <w:tcPr>
            <w:tcW w:w="5518" w:type="dxa"/>
            <w:shd w:val="clear" w:color="auto" w:fill="auto"/>
          </w:tcPr>
          <w:p w14:paraId="5EE86A23"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832 Lux at test start</w:t>
            </w:r>
          </w:p>
        </w:tc>
      </w:tr>
      <w:tr w:rsidR="00DC5685" w:rsidRPr="00A34F10" w14:paraId="3C7BD19C" w14:textId="77777777" w:rsidTr="000470C3">
        <w:trPr>
          <w:trHeight w:hRule="exact" w:val="312"/>
        </w:trPr>
        <w:tc>
          <w:tcPr>
            <w:tcW w:w="3826" w:type="dxa"/>
            <w:shd w:val="clear" w:color="auto" w:fill="auto"/>
          </w:tcPr>
          <w:p w14:paraId="51F66044" w14:textId="77777777" w:rsidR="00DC5685" w:rsidRPr="00A34F10" w:rsidRDefault="00DC5685" w:rsidP="00DC5685">
            <w:pPr>
              <w:tabs>
                <w:tab w:val="left" w:pos="284"/>
                <w:tab w:val="left" w:pos="624"/>
              </w:tabs>
              <w:spacing w:after="240"/>
              <w:ind w:left="426"/>
              <w:rPr>
                <w:rFonts w:ascii="Times New Roman" w:hAnsi="Times New Roman"/>
                <w:b/>
                <w:bCs/>
                <w:szCs w:val="24"/>
                <w:lang w:val="en-US" w:eastAsia="en-US"/>
              </w:rPr>
            </w:pPr>
            <w:r w:rsidRPr="00A34F10">
              <w:rPr>
                <w:rFonts w:ascii="Times New Roman" w:hAnsi="Times New Roman"/>
                <w:b/>
                <w:bCs/>
                <w:szCs w:val="24"/>
                <w:lang w:eastAsia="en-US"/>
              </w:rPr>
              <w:t>Aeration of the test water:</w:t>
            </w:r>
          </w:p>
        </w:tc>
        <w:tc>
          <w:tcPr>
            <w:tcW w:w="5518" w:type="dxa"/>
            <w:shd w:val="clear" w:color="auto" w:fill="auto"/>
          </w:tcPr>
          <w:p w14:paraId="73D7E512"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None</w:t>
            </w:r>
          </w:p>
        </w:tc>
      </w:tr>
      <w:tr w:rsidR="00DC5685" w:rsidRPr="00A34F10" w14:paraId="3C41B722" w14:textId="77777777" w:rsidTr="000470C3">
        <w:trPr>
          <w:trHeight w:hRule="exact" w:val="784"/>
        </w:trPr>
        <w:tc>
          <w:tcPr>
            <w:tcW w:w="3826" w:type="dxa"/>
            <w:shd w:val="clear" w:color="auto" w:fill="auto"/>
          </w:tcPr>
          <w:p w14:paraId="75252110" w14:textId="77777777" w:rsidR="00DC5685" w:rsidRPr="00A34F10" w:rsidRDefault="00DC5685" w:rsidP="00DC5685">
            <w:pPr>
              <w:tabs>
                <w:tab w:val="left" w:pos="284"/>
                <w:tab w:val="left" w:pos="624"/>
              </w:tabs>
              <w:spacing w:after="240"/>
              <w:ind w:left="426"/>
              <w:rPr>
                <w:rFonts w:ascii="Times New Roman" w:hAnsi="Times New Roman"/>
                <w:b/>
                <w:bCs/>
                <w:szCs w:val="24"/>
                <w:lang w:val="en-US" w:eastAsia="en-US"/>
              </w:rPr>
            </w:pPr>
            <w:r w:rsidRPr="00A34F10">
              <w:rPr>
                <w:rFonts w:ascii="Times New Roman" w:hAnsi="Times New Roman"/>
                <w:b/>
                <w:bCs/>
                <w:szCs w:val="24"/>
                <w:lang w:eastAsia="en-US"/>
              </w:rPr>
              <w:t>Loading:</w:t>
            </w:r>
          </w:p>
        </w:tc>
        <w:tc>
          <w:tcPr>
            <w:tcW w:w="5518" w:type="dxa"/>
            <w:shd w:val="clear" w:color="auto" w:fill="auto"/>
          </w:tcPr>
          <w:p w14:paraId="2C726963"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0.54 g fish/L (in control group)</w:t>
            </w:r>
          </w:p>
        </w:tc>
      </w:tr>
    </w:tbl>
    <w:p w14:paraId="401B67B9" w14:textId="699983DD" w:rsidR="00E41987" w:rsidRPr="00A34F10" w:rsidRDefault="00E41987" w:rsidP="00DC5685">
      <w:pPr>
        <w:numPr>
          <w:ilvl w:val="3"/>
          <w:numId w:val="0"/>
        </w:numPr>
        <w:tabs>
          <w:tab w:val="left" w:pos="0"/>
        </w:tabs>
        <w:spacing w:before="240"/>
        <w:ind w:left="357" w:hanging="357"/>
        <w:contextualSpacing/>
        <w:rPr>
          <w:b/>
          <w:bCs/>
          <w:szCs w:val="24"/>
          <w:highlight w:val="yellow"/>
          <w:lang w:val="en-GB"/>
        </w:rPr>
      </w:pPr>
    </w:p>
    <w:p w14:paraId="23CF7A74" w14:textId="77777777" w:rsidR="00DC5685" w:rsidRPr="00A34F10" w:rsidRDefault="00E41987" w:rsidP="00E41987">
      <w:pPr>
        <w:rPr>
          <w:highlight w:val="yellow"/>
          <w:lang w:val="en-GB"/>
        </w:rPr>
      </w:pPr>
      <w:r w:rsidRPr="00A34F10">
        <w:rPr>
          <w:highlight w:val="yellow"/>
          <w:lang w:val="en-GB"/>
        </w:rPr>
        <w:br w:type="page"/>
      </w:r>
    </w:p>
    <w:p w14:paraId="7666EBE9" w14:textId="77777777" w:rsidR="00DC5685" w:rsidRPr="00A34F10" w:rsidRDefault="00DC5685" w:rsidP="00E05ECD">
      <w:pPr>
        <w:numPr>
          <w:ilvl w:val="0"/>
          <w:numId w:val="25"/>
        </w:numPr>
        <w:spacing w:before="240"/>
        <w:ind w:left="284" w:hanging="284"/>
        <w:contextualSpacing/>
        <w:rPr>
          <w:b/>
          <w:bCs/>
          <w:szCs w:val="24"/>
          <w:lang w:val="en-GB"/>
        </w:rPr>
      </w:pPr>
      <w:r w:rsidRPr="00A34F10">
        <w:rPr>
          <w:b/>
          <w:bCs/>
          <w:szCs w:val="24"/>
          <w:lang w:val="en-GB"/>
        </w:rPr>
        <w:lastRenderedPageBreak/>
        <w:t xml:space="preserve">Treatment: </w:t>
      </w:r>
    </w:p>
    <w:p w14:paraId="65754353" w14:textId="77777777" w:rsidR="00DC5685" w:rsidRDefault="00DC5685" w:rsidP="00DC5685">
      <w:pPr>
        <w:tabs>
          <w:tab w:val="left" w:pos="720"/>
        </w:tabs>
        <w:spacing w:after="240"/>
        <w:jc w:val="both"/>
        <w:rPr>
          <w:bCs/>
          <w:szCs w:val="24"/>
        </w:rPr>
      </w:pPr>
      <w:r w:rsidRPr="00A34F10">
        <w:rPr>
          <w:bCs/>
          <w:szCs w:val="24"/>
          <w:lang w:val="en-GB"/>
        </w:rPr>
        <w:t xml:space="preserve">The study was conducted as a semi-static dose-response test with five test item concentrations, i.e. </w:t>
      </w:r>
      <w:r w:rsidRPr="00A34F10">
        <w:rPr>
          <w:szCs w:val="24"/>
          <w:lang w:val="en-GB"/>
        </w:rPr>
        <w:t xml:space="preserve">4.27, 9.39, 20.7, 45.5 and 100 </w:t>
      </w:r>
      <w:r w:rsidRPr="00A34F10">
        <w:rPr>
          <w:szCs w:val="24"/>
        </w:rPr>
        <w:t>mg product/L (nominal),</w:t>
      </w:r>
      <w:r w:rsidRPr="00A34F10">
        <w:rPr>
          <w:bCs/>
          <w:szCs w:val="24"/>
          <w:lang w:val="en-GB"/>
        </w:rPr>
        <w:t xml:space="preserve"> and one control with untreated test medium. Non-GLP p</w:t>
      </w:r>
      <w:r w:rsidRPr="00A34F10">
        <w:rPr>
          <w:bCs/>
          <w:szCs w:val="24"/>
          <w:lang w:val="x-none"/>
        </w:rPr>
        <w:t>re-experiments were performed to determine a suitable</w:t>
      </w:r>
      <w:r w:rsidRPr="00A34F10">
        <w:rPr>
          <w:bCs/>
          <w:szCs w:val="24"/>
          <w:lang w:val="en-GB"/>
        </w:rPr>
        <w:t xml:space="preserve"> </w:t>
      </w:r>
      <w:r w:rsidRPr="00A34F10">
        <w:rPr>
          <w:bCs/>
          <w:szCs w:val="24"/>
          <w:lang w:val="x-none"/>
        </w:rPr>
        <w:t>concentration range.</w:t>
      </w:r>
      <w:r w:rsidRPr="00A34F10">
        <w:rPr>
          <w:bCs/>
          <w:szCs w:val="24"/>
          <w:lang w:val="en-GB"/>
        </w:rPr>
        <w:t xml:space="preserve"> </w:t>
      </w:r>
      <w:r w:rsidRPr="00A34F10">
        <w:rPr>
          <w:bCs/>
          <w:szCs w:val="24"/>
        </w:rPr>
        <w:t>Each test concentration and control contained seven fish (i.e. one replicate per treatment group with seven fish per replicate). The duration of the test was 96 hours. The test was performed without a reference item.</w:t>
      </w:r>
    </w:p>
    <w:p w14:paraId="5EA4C6C1" w14:textId="77777777" w:rsidR="00DC5685" w:rsidRPr="00A34F10" w:rsidRDefault="00DC5685" w:rsidP="00E05ECD">
      <w:pPr>
        <w:numPr>
          <w:ilvl w:val="0"/>
          <w:numId w:val="25"/>
        </w:numPr>
        <w:spacing w:before="240"/>
        <w:ind w:left="284" w:hanging="284"/>
        <w:contextualSpacing/>
        <w:rPr>
          <w:b/>
          <w:bCs/>
          <w:szCs w:val="24"/>
          <w:lang w:val="en-GB"/>
        </w:rPr>
      </w:pPr>
      <w:r w:rsidRPr="00A34F10">
        <w:rPr>
          <w:b/>
          <w:bCs/>
          <w:szCs w:val="24"/>
          <w:lang w:val="en-GB"/>
        </w:rPr>
        <w:t xml:space="preserve">Dose preparation: </w:t>
      </w:r>
    </w:p>
    <w:p w14:paraId="7269C0C3" w14:textId="77777777" w:rsidR="00DC5685" w:rsidRDefault="00DC5685" w:rsidP="00DC5685">
      <w:pPr>
        <w:tabs>
          <w:tab w:val="left" w:pos="720"/>
        </w:tabs>
        <w:spacing w:after="240"/>
        <w:jc w:val="both"/>
        <w:rPr>
          <w:szCs w:val="24"/>
          <w:lang w:val="x-none"/>
        </w:rPr>
      </w:pPr>
      <w:r w:rsidRPr="00A34F10">
        <w:rPr>
          <w:szCs w:val="24"/>
          <w:lang w:val="x-none"/>
        </w:rPr>
        <w:t xml:space="preserve">A stock solution of </w:t>
      </w:r>
      <w:r w:rsidRPr="00A34F10">
        <w:rPr>
          <w:szCs w:val="24"/>
        </w:rPr>
        <w:t>100</w:t>
      </w:r>
      <w:r w:rsidRPr="00A34F10">
        <w:rPr>
          <w:szCs w:val="24"/>
          <w:lang w:val="x-none"/>
        </w:rPr>
        <w:t xml:space="preserve"> mg test item/L was prepared by dissolving</w:t>
      </w:r>
      <w:r w:rsidRPr="00A34F10">
        <w:rPr>
          <w:szCs w:val="24"/>
          <w:lang w:val="en-GB"/>
        </w:rPr>
        <w:t xml:space="preserve"> </w:t>
      </w:r>
      <w:r w:rsidRPr="00A34F10">
        <w:rPr>
          <w:szCs w:val="24"/>
        </w:rPr>
        <w:t>3000</w:t>
      </w:r>
      <w:r w:rsidRPr="00A34F10">
        <w:rPr>
          <w:szCs w:val="24"/>
          <w:lang w:val="x-none"/>
        </w:rPr>
        <w:t xml:space="preserve"> mg test item into </w:t>
      </w:r>
      <w:r w:rsidRPr="00A34F10">
        <w:rPr>
          <w:szCs w:val="24"/>
        </w:rPr>
        <w:t>1000</w:t>
      </w:r>
      <w:r w:rsidRPr="00A34F10">
        <w:rPr>
          <w:szCs w:val="24"/>
          <w:lang w:val="x-none"/>
        </w:rPr>
        <w:t xml:space="preserve"> mL test water by intense </w:t>
      </w:r>
      <w:r w:rsidRPr="00A34F10">
        <w:rPr>
          <w:szCs w:val="24"/>
        </w:rPr>
        <w:t>shaking</w:t>
      </w:r>
      <w:r w:rsidRPr="00A34F10">
        <w:rPr>
          <w:szCs w:val="24"/>
          <w:lang w:val="x-none"/>
        </w:rPr>
        <w:t>. Adequate volumes of this stock solution were diluted</w:t>
      </w:r>
      <w:r w:rsidRPr="00A34F10">
        <w:rPr>
          <w:szCs w:val="24"/>
          <w:lang w:val="en-GB"/>
        </w:rPr>
        <w:t xml:space="preserve"> </w:t>
      </w:r>
      <w:r w:rsidRPr="00A34F10">
        <w:rPr>
          <w:szCs w:val="24"/>
          <w:lang w:val="x-none"/>
        </w:rPr>
        <w:t>with test water to prepare the test media of the desired test</w:t>
      </w:r>
      <w:r w:rsidRPr="00A34F10">
        <w:rPr>
          <w:szCs w:val="24"/>
          <w:lang w:val="en-GB"/>
        </w:rPr>
        <w:t xml:space="preserve"> </w:t>
      </w:r>
      <w:r w:rsidRPr="00A34F10">
        <w:rPr>
          <w:szCs w:val="24"/>
          <w:lang w:val="x-none"/>
        </w:rPr>
        <w:t>concentrations.</w:t>
      </w:r>
      <w:r w:rsidRPr="00A34F10">
        <w:rPr>
          <w:szCs w:val="24"/>
          <w:lang w:val="en-GB"/>
        </w:rPr>
        <w:t xml:space="preserve"> All stock solutions were homogenized by shaking and afterwards they appeared to be turbid. The test concentrations were prepared by dissolving 500 mL of the stock solutions in 15 L test medium in a glass aquarium. </w:t>
      </w:r>
      <w:r w:rsidRPr="00A34F10">
        <w:rPr>
          <w:szCs w:val="24"/>
          <w:lang w:val="x-none"/>
        </w:rPr>
        <w:t>The test media were prepared just before introduction of the test fish</w:t>
      </w:r>
      <w:r w:rsidRPr="00A34F10">
        <w:rPr>
          <w:szCs w:val="24"/>
          <w:lang w:val="en-GB"/>
        </w:rPr>
        <w:t xml:space="preserve"> </w:t>
      </w:r>
      <w:r w:rsidRPr="00A34F10">
        <w:rPr>
          <w:szCs w:val="24"/>
          <w:lang w:val="x-none"/>
        </w:rPr>
        <w:t>(= start of the test).</w:t>
      </w:r>
    </w:p>
    <w:p w14:paraId="5E14F332" w14:textId="77777777" w:rsidR="00DC5685" w:rsidRPr="00A34F10" w:rsidRDefault="00DC5685" w:rsidP="00E05ECD">
      <w:pPr>
        <w:numPr>
          <w:ilvl w:val="0"/>
          <w:numId w:val="25"/>
        </w:numPr>
        <w:spacing w:before="240"/>
        <w:ind w:left="284" w:hanging="284"/>
        <w:contextualSpacing/>
        <w:rPr>
          <w:b/>
          <w:bCs/>
          <w:szCs w:val="24"/>
          <w:lang w:val="en-GB"/>
        </w:rPr>
      </w:pPr>
      <w:r w:rsidRPr="00A34F10">
        <w:rPr>
          <w:b/>
          <w:bCs/>
          <w:szCs w:val="24"/>
          <w:lang w:val="en-GB"/>
        </w:rPr>
        <w:t xml:space="preserve">Measurements and observations: </w:t>
      </w:r>
    </w:p>
    <w:p w14:paraId="64C2B6D4"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1CECD1E9" w14:textId="77777777" w:rsidR="00DC5685" w:rsidRPr="00A34F10" w:rsidRDefault="00DC5685" w:rsidP="00DC5685">
      <w:pPr>
        <w:tabs>
          <w:tab w:val="left" w:pos="720"/>
        </w:tabs>
        <w:jc w:val="both"/>
        <w:rPr>
          <w:szCs w:val="24"/>
          <w:highlight w:val="yellow"/>
        </w:rPr>
      </w:pPr>
      <w:r w:rsidRPr="00A34F10">
        <w:rPr>
          <w:szCs w:val="24"/>
          <w:lang w:val="x-none"/>
        </w:rPr>
        <w:t>The test fish were observed</w:t>
      </w:r>
      <w:r w:rsidRPr="00A34F10">
        <w:rPr>
          <w:szCs w:val="24"/>
          <w:lang w:val="en-GB"/>
        </w:rPr>
        <w:t xml:space="preserve"> </w:t>
      </w:r>
      <w:r w:rsidRPr="00A34F10">
        <w:rPr>
          <w:szCs w:val="24"/>
          <w:lang w:val="x-none"/>
        </w:rPr>
        <w:t>for sublethal effects and</w:t>
      </w:r>
      <w:r w:rsidRPr="00A34F10">
        <w:rPr>
          <w:szCs w:val="24"/>
        </w:rPr>
        <w:t xml:space="preserve"> </w:t>
      </w:r>
      <w:r w:rsidRPr="00A34F10">
        <w:rPr>
          <w:szCs w:val="24"/>
          <w:lang w:val="x-none"/>
        </w:rPr>
        <w:t>mortality at test start and after approximately 2-3</w:t>
      </w:r>
      <w:r w:rsidRPr="00A34F10">
        <w:rPr>
          <w:szCs w:val="24"/>
          <w:lang w:val="en-GB"/>
        </w:rPr>
        <w:t xml:space="preserve"> hours</w:t>
      </w:r>
      <w:r w:rsidRPr="00A34F10">
        <w:rPr>
          <w:szCs w:val="24"/>
          <w:lang w:val="x-none"/>
        </w:rPr>
        <w:t>, 5-6 h</w:t>
      </w:r>
      <w:r w:rsidRPr="00A34F10">
        <w:rPr>
          <w:szCs w:val="24"/>
          <w:lang w:val="en-GB"/>
        </w:rPr>
        <w:t>ours</w:t>
      </w:r>
      <w:r w:rsidRPr="00A34F10">
        <w:rPr>
          <w:szCs w:val="24"/>
          <w:lang w:val="x-none"/>
        </w:rPr>
        <w:t>, 24 h</w:t>
      </w:r>
      <w:r w:rsidRPr="00A34F10">
        <w:rPr>
          <w:szCs w:val="24"/>
          <w:lang w:val="en-GB"/>
        </w:rPr>
        <w:t>ours</w:t>
      </w:r>
      <w:r w:rsidRPr="00A34F10">
        <w:rPr>
          <w:szCs w:val="24"/>
          <w:lang w:val="x-none"/>
        </w:rPr>
        <w:t>, 48 h</w:t>
      </w:r>
      <w:r w:rsidRPr="00A34F10">
        <w:rPr>
          <w:szCs w:val="24"/>
          <w:lang w:val="en-GB"/>
        </w:rPr>
        <w:t>ours</w:t>
      </w:r>
      <w:r w:rsidRPr="00A34F10">
        <w:rPr>
          <w:szCs w:val="24"/>
          <w:lang w:val="x-none"/>
        </w:rPr>
        <w:t>, 72 h</w:t>
      </w:r>
      <w:r w:rsidRPr="00A34F10">
        <w:rPr>
          <w:szCs w:val="24"/>
          <w:lang w:val="en-GB"/>
        </w:rPr>
        <w:t>ours</w:t>
      </w:r>
      <w:r w:rsidRPr="00A34F10">
        <w:rPr>
          <w:szCs w:val="24"/>
          <w:lang w:val="x-none"/>
        </w:rPr>
        <w:t xml:space="preserve"> and 96 h</w:t>
      </w:r>
      <w:r w:rsidRPr="00A34F10">
        <w:rPr>
          <w:szCs w:val="24"/>
          <w:lang w:val="en-GB"/>
        </w:rPr>
        <w:t>ours</w:t>
      </w:r>
      <w:r w:rsidRPr="00A34F10">
        <w:rPr>
          <w:szCs w:val="24"/>
        </w:rPr>
        <w:t xml:space="preserve">. </w:t>
      </w:r>
      <w:r w:rsidRPr="00A34F10">
        <w:rPr>
          <w:szCs w:val="24"/>
          <w:lang w:val="x-none"/>
        </w:rPr>
        <w:t>Fish were considered dead if there was no visible movement (e.g. gill movement), and if touching of the caudal peduncle produced no reaction. Records were made on visible abnormalities such as: difficulties with maintenance of equilibrium, swimming behavio</w:t>
      </w:r>
      <w:r w:rsidRPr="00A34F10">
        <w:rPr>
          <w:szCs w:val="24"/>
          <w:lang w:val="en-GB"/>
        </w:rPr>
        <w:t>u</w:t>
      </w:r>
      <w:r w:rsidRPr="00A34F10">
        <w:rPr>
          <w:szCs w:val="24"/>
          <w:lang w:val="x-none"/>
        </w:rPr>
        <w:t>r, respiratory function, pigmentation and all other observed effects. Dead fish were removed. At termination of the test, all remaining fish were euthanized. Fish of the control group were then weighed and measured.</w:t>
      </w:r>
    </w:p>
    <w:p w14:paraId="443DAAE4" w14:textId="77777777" w:rsidR="00DC5685" w:rsidRPr="00A34F10" w:rsidRDefault="00DC5685" w:rsidP="00DC5685">
      <w:pPr>
        <w:tabs>
          <w:tab w:val="left" w:pos="720"/>
        </w:tabs>
        <w:jc w:val="both"/>
        <w:rPr>
          <w:szCs w:val="24"/>
          <w:highlight w:val="yellow"/>
          <w:u w:val="single"/>
        </w:rPr>
      </w:pPr>
    </w:p>
    <w:p w14:paraId="0CD1BF1A"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659D0CDA" w14:textId="77777777" w:rsidR="00DC5685" w:rsidRPr="00A34F10" w:rsidRDefault="00DC5685" w:rsidP="00DC5685">
      <w:pPr>
        <w:tabs>
          <w:tab w:val="left" w:pos="720"/>
        </w:tabs>
        <w:jc w:val="both"/>
        <w:rPr>
          <w:szCs w:val="24"/>
        </w:rPr>
      </w:pPr>
      <w:r w:rsidRPr="00A34F10">
        <w:rPr>
          <w:szCs w:val="24"/>
          <w:lang w:val="x-none"/>
        </w:rPr>
        <w:t>Measurements of temperature, pH and oxygen saturation were performed in 24</w:t>
      </w:r>
      <w:r w:rsidRPr="00A34F10">
        <w:rPr>
          <w:szCs w:val="24"/>
          <w:lang w:val="en-GB"/>
        </w:rPr>
        <w:t>-</w:t>
      </w:r>
      <w:r w:rsidRPr="00A34F10">
        <w:rPr>
          <w:szCs w:val="24"/>
          <w:lang w:val="x-none"/>
        </w:rPr>
        <w:t xml:space="preserve">hour intervals in all </w:t>
      </w:r>
      <w:r w:rsidRPr="00A34F10">
        <w:rPr>
          <w:szCs w:val="24"/>
          <w:lang w:val="en-GB"/>
        </w:rPr>
        <w:t xml:space="preserve">test </w:t>
      </w:r>
      <w:r w:rsidRPr="00A34F10">
        <w:rPr>
          <w:szCs w:val="24"/>
          <w:lang w:val="x-none"/>
        </w:rPr>
        <w:t>concentrations and control</w:t>
      </w:r>
      <w:r w:rsidRPr="00A34F10">
        <w:rPr>
          <w:szCs w:val="24"/>
        </w:rPr>
        <w:t xml:space="preserve">. </w:t>
      </w:r>
      <w:r w:rsidRPr="00A34F10">
        <w:rPr>
          <w:szCs w:val="24"/>
          <w:lang w:val="x-none"/>
        </w:rPr>
        <w:t xml:space="preserve">Water hardness of the untreated control was determined at the beginning of the test. Light intensity was measured at test start. Assessment of test solution appearance was done during </w:t>
      </w:r>
      <w:r w:rsidRPr="00A34F10">
        <w:rPr>
          <w:szCs w:val="24"/>
          <w:lang w:val="en-GB"/>
        </w:rPr>
        <w:t xml:space="preserve">each </w:t>
      </w:r>
      <w:r w:rsidRPr="00A34F10">
        <w:rPr>
          <w:szCs w:val="24"/>
          <w:lang w:val="x-none"/>
        </w:rPr>
        <w:t>biological assessment</w:t>
      </w:r>
      <w:r w:rsidRPr="00A34F10">
        <w:rPr>
          <w:szCs w:val="24"/>
        </w:rPr>
        <w:t>.</w:t>
      </w:r>
    </w:p>
    <w:p w14:paraId="5503012D" w14:textId="77777777" w:rsidR="00DC5685" w:rsidRPr="00A34F10" w:rsidRDefault="00DC5685" w:rsidP="00DC5685">
      <w:pPr>
        <w:tabs>
          <w:tab w:val="left" w:pos="720"/>
        </w:tabs>
        <w:jc w:val="both"/>
        <w:rPr>
          <w:szCs w:val="24"/>
          <w:highlight w:val="yellow"/>
        </w:rPr>
      </w:pPr>
    </w:p>
    <w:p w14:paraId="6F511075" w14:textId="77777777" w:rsidR="00DC5685" w:rsidRPr="00A34F10" w:rsidRDefault="00DC5685" w:rsidP="00DC5685">
      <w:pPr>
        <w:tabs>
          <w:tab w:val="left" w:pos="720"/>
        </w:tabs>
        <w:jc w:val="both"/>
        <w:rPr>
          <w:szCs w:val="24"/>
          <w:u w:val="single"/>
          <w:lang w:val="en-GB"/>
        </w:rPr>
      </w:pPr>
      <w:r w:rsidRPr="00A34F10">
        <w:rPr>
          <w:szCs w:val="24"/>
          <w:u w:val="single"/>
          <w:lang w:val="en-GB"/>
        </w:rPr>
        <w:t>Analytical verification:</w:t>
      </w:r>
    </w:p>
    <w:p w14:paraId="13F1550A" w14:textId="77777777" w:rsidR="00DC5685" w:rsidRPr="00A34F10" w:rsidRDefault="00DC5685" w:rsidP="00DC5685">
      <w:pPr>
        <w:tabs>
          <w:tab w:val="left" w:pos="720"/>
        </w:tabs>
        <w:jc w:val="both"/>
        <w:rPr>
          <w:szCs w:val="24"/>
          <w:lang w:val="en-GB"/>
        </w:rPr>
      </w:pPr>
      <w:r w:rsidRPr="00A34F10">
        <w:rPr>
          <w:szCs w:val="24"/>
          <w:lang w:val="en-GB"/>
        </w:rPr>
        <w:t>Analytical samples were taken at 0 hours (fresh), 24 hours, 48 hours, 72 hours (fresh and aged) and 96 hours (aged) from control and all test item concentrations. For each sampling, also two retain samples were taken. All samples were stored deep frozen until they were transferred to the analytical laboratory.</w:t>
      </w:r>
    </w:p>
    <w:p w14:paraId="2C580FEA" w14:textId="77777777" w:rsidR="00DC5685" w:rsidRPr="00A34F10" w:rsidRDefault="00DC5685" w:rsidP="00DC5685">
      <w:pPr>
        <w:tabs>
          <w:tab w:val="left" w:pos="720"/>
        </w:tabs>
        <w:jc w:val="both"/>
        <w:rPr>
          <w:szCs w:val="24"/>
          <w:lang w:val="en-GB"/>
        </w:rPr>
      </w:pPr>
    </w:p>
    <w:p w14:paraId="49674F16" w14:textId="77777777" w:rsidR="00DC5685" w:rsidRPr="00A34F10" w:rsidRDefault="00DC5685" w:rsidP="00DC5685">
      <w:pPr>
        <w:tabs>
          <w:tab w:val="left" w:pos="720"/>
        </w:tabs>
        <w:jc w:val="both"/>
        <w:rPr>
          <w:szCs w:val="24"/>
          <w:lang w:val="en-GB"/>
        </w:rPr>
      </w:pPr>
      <w:r w:rsidRPr="00A34F10">
        <w:rPr>
          <w:szCs w:val="24"/>
          <w:lang w:val="en-GB"/>
        </w:rPr>
        <w:t xml:space="preserve">The analytical verification of test item concentrations in fish test medium was done by analysing the content of ametoctradin and propamocarb in the samples collected during the test. The content of the active substances in the test samples was determined by analysing with HPLC-MS/MS. </w:t>
      </w:r>
    </w:p>
    <w:p w14:paraId="1B51D8FC" w14:textId="77777777" w:rsidR="00DC5685" w:rsidRPr="00A34F10" w:rsidRDefault="00DC5685" w:rsidP="00DC5685">
      <w:pPr>
        <w:tabs>
          <w:tab w:val="left" w:pos="720"/>
        </w:tabs>
        <w:jc w:val="both"/>
        <w:rPr>
          <w:szCs w:val="24"/>
          <w:lang w:val="en-GB"/>
        </w:rPr>
      </w:pPr>
    </w:p>
    <w:p w14:paraId="2DFDF4CB" w14:textId="77777777" w:rsidR="00DC5685" w:rsidRPr="00A34F10" w:rsidRDefault="00DC5685" w:rsidP="00E05ECD">
      <w:pPr>
        <w:numPr>
          <w:ilvl w:val="0"/>
          <w:numId w:val="25"/>
        </w:numPr>
        <w:spacing w:before="240"/>
        <w:ind w:left="284" w:hanging="284"/>
        <w:contextualSpacing/>
        <w:rPr>
          <w:b/>
          <w:bCs/>
          <w:szCs w:val="24"/>
          <w:lang w:val="en-GB"/>
        </w:rPr>
      </w:pPr>
      <w:r w:rsidRPr="00A34F10">
        <w:rPr>
          <w:b/>
          <w:bCs/>
          <w:szCs w:val="24"/>
          <w:lang w:val="en-GB"/>
        </w:rPr>
        <w:t xml:space="preserve">Statistical analysis: </w:t>
      </w:r>
    </w:p>
    <w:p w14:paraId="02A4E0E6" w14:textId="77777777" w:rsidR="00DC5685" w:rsidRDefault="00DC5685" w:rsidP="00DC5685">
      <w:pPr>
        <w:tabs>
          <w:tab w:val="left" w:pos="720"/>
        </w:tabs>
        <w:spacing w:after="240"/>
        <w:jc w:val="both"/>
        <w:rPr>
          <w:szCs w:val="24"/>
          <w:lang w:val="x-none"/>
        </w:rPr>
      </w:pPr>
      <w:r w:rsidRPr="00A34F10">
        <w:rPr>
          <w:bCs/>
          <w:szCs w:val="24"/>
          <w:lang w:val="x-none"/>
        </w:rPr>
        <w:t>No statistical analysis was performed.</w:t>
      </w:r>
      <w:r w:rsidRPr="00A34F10">
        <w:rPr>
          <w:bCs/>
          <w:szCs w:val="24"/>
          <w:lang w:val="en-GB"/>
        </w:rPr>
        <w:t xml:space="preserve"> </w:t>
      </w:r>
      <w:r w:rsidRPr="00A34F10">
        <w:rPr>
          <w:szCs w:val="24"/>
          <w:lang w:val="x-none"/>
        </w:rPr>
        <w:t>The LC</w:t>
      </w:r>
      <w:r w:rsidRPr="00A34F10">
        <w:rPr>
          <w:szCs w:val="24"/>
          <w:vertAlign w:val="subscript"/>
          <w:lang w:val="x-none"/>
        </w:rPr>
        <w:t>50</w:t>
      </w:r>
      <w:r w:rsidRPr="00A34F10">
        <w:rPr>
          <w:szCs w:val="24"/>
          <w:lang w:val="x-none"/>
        </w:rPr>
        <w:t xml:space="preserve"> could not be quantified </w:t>
      </w:r>
      <w:r w:rsidRPr="00A34F10">
        <w:rPr>
          <w:szCs w:val="24"/>
        </w:rPr>
        <w:t>due</w:t>
      </w:r>
      <w:r w:rsidRPr="00A34F10">
        <w:rPr>
          <w:szCs w:val="24"/>
          <w:lang w:val="x-none"/>
        </w:rPr>
        <w:t xml:space="preserve"> to the absence of toxicity of the</w:t>
      </w:r>
      <w:r w:rsidRPr="00A34F10">
        <w:rPr>
          <w:szCs w:val="24"/>
        </w:rPr>
        <w:t xml:space="preserve"> </w:t>
      </w:r>
      <w:r w:rsidRPr="00A34F10">
        <w:rPr>
          <w:szCs w:val="24"/>
          <w:lang w:val="x-none"/>
        </w:rPr>
        <w:t>test item. The NOEC and the LOEC were determined directly from the</w:t>
      </w:r>
      <w:r w:rsidRPr="00A34F10">
        <w:rPr>
          <w:szCs w:val="24"/>
        </w:rPr>
        <w:t xml:space="preserve"> </w:t>
      </w:r>
      <w:r w:rsidRPr="00A34F10">
        <w:rPr>
          <w:szCs w:val="24"/>
          <w:lang w:val="x-none"/>
        </w:rPr>
        <w:t>raw data.</w:t>
      </w:r>
    </w:p>
    <w:p w14:paraId="0A54802B" w14:textId="77777777" w:rsidR="00DC5685" w:rsidRPr="00A34F10" w:rsidRDefault="00DC5685" w:rsidP="00E05ECD">
      <w:pPr>
        <w:numPr>
          <w:ilvl w:val="0"/>
          <w:numId w:val="25"/>
        </w:numPr>
        <w:spacing w:before="240"/>
        <w:ind w:left="284" w:hanging="284"/>
        <w:contextualSpacing/>
        <w:rPr>
          <w:b/>
          <w:bCs/>
          <w:szCs w:val="24"/>
          <w:lang w:val="en-GB"/>
        </w:rPr>
      </w:pPr>
      <w:r w:rsidRPr="00A34F10">
        <w:rPr>
          <w:b/>
          <w:bCs/>
          <w:szCs w:val="24"/>
          <w:lang w:val="en-GB"/>
        </w:rPr>
        <w:t>Description of the analytical procedures</w:t>
      </w:r>
    </w:p>
    <w:p w14:paraId="66C5B655" w14:textId="7565E59F" w:rsidR="00DC5685" w:rsidRPr="00A34F10" w:rsidRDefault="00DC5685" w:rsidP="00DC5685">
      <w:pPr>
        <w:widowControl w:val="0"/>
        <w:tabs>
          <w:tab w:val="left" w:pos="720"/>
        </w:tabs>
        <w:spacing w:after="240"/>
        <w:jc w:val="both"/>
        <w:rPr>
          <w:lang w:val="en-GB"/>
        </w:rPr>
      </w:pPr>
      <w:r w:rsidRPr="00A34F10">
        <w:rPr>
          <w:szCs w:val="24"/>
          <w:lang w:val="en-GB"/>
        </w:rPr>
        <w:t>The analytical verification of test item concentrations in fish test medium was done by analysing the content of ametocradin and propamocarb in the samples during the test</w:t>
      </w:r>
      <w:r w:rsidRPr="00A34F10">
        <w:rPr>
          <w:lang w:val="en-GB"/>
        </w:rPr>
        <w:t xml:space="preserve">. </w:t>
      </w:r>
      <w:r w:rsidR="00482794">
        <w:rPr>
          <w:lang w:val="en-GB"/>
        </w:rPr>
        <w:t>XXXX</w:t>
      </w:r>
      <w:r w:rsidRPr="00A34F10">
        <w:rPr>
          <w:lang w:val="en-GB"/>
        </w:rPr>
        <w:t xml:space="preserve"> analytical method APL0500/02 was modified for the analysis of ametoctradin and propamocarb. </w:t>
      </w:r>
    </w:p>
    <w:p w14:paraId="49F0BB01" w14:textId="5AF7120C" w:rsidR="00923CC4" w:rsidRPr="00A34F10" w:rsidRDefault="00DC5685" w:rsidP="00DC5685">
      <w:pPr>
        <w:widowControl w:val="0"/>
        <w:tabs>
          <w:tab w:val="left" w:pos="720"/>
        </w:tabs>
        <w:spacing w:after="240"/>
        <w:jc w:val="both"/>
        <w:rPr>
          <w:lang w:val="en-GB"/>
        </w:rPr>
      </w:pPr>
      <w:r w:rsidRPr="00A34F10">
        <w:rPr>
          <w:lang w:val="en-GB"/>
        </w:rPr>
        <w:t>Sample analysis was performed by dilution of the sample with 50 µL formic acid and the equal amount of acetonitrile. Subsequently, the samples were diluted with acetonitrile/test medium + 0.5 % formic acid (1:1, v/v) to be within the range of the calibration curve. Final determination was accomplished by LC-MS/MS. The method has a limit of quantification (LOQ) of 0.0547 mg ametoctradin/L and 0.170 mg propamocarb/L. The limit of detection (LOD) is of 0.0160 mg ametoctradin/L and 0.0480 mg propamocarb/L.</w:t>
      </w:r>
    </w:p>
    <w:p w14:paraId="4B641E9C" w14:textId="4B3F60F8" w:rsidR="00DC5685" w:rsidRPr="00A34F10" w:rsidRDefault="00DC5685" w:rsidP="00923CC4">
      <w:pPr>
        <w:rPr>
          <w:highlight w:val="yellow"/>
        </w:rPr>
      </w:pPr>
    </w:p>
    <w:p w14:paraId="3342E1A4" w14:textId="77777777" w:rsidR="00DC5685" w:rsidRPr="00A34F10" w:rsidRDefault="00DC5685" w:rsidP="00DC5685">
      <w:pPr>
        <w:widowControl w:val="0"/>
        <w:tabs>
          <w:tab w:val="left" w:pos="720"/>
        </w:tabs>
        <w:spacing w:after="240"/>
        <w:jc w:val="both"/>
        <w:rPr>
          <w:lang w:val="en-GB"/>
        </w:rPr>
      </w:pPr>
      <w:r w:rsidRPr="00A34F10">
        <w:rPr>
          <w:lang w:val="en-GB"/>
        </w:rPr>
        <w:lastRenderedPageBreak/>
        <w:t>Blank control samples (blanks of the carrier without test item) were analysed within this study. No significant interference from the blank carrier within the test item could be observed.</w:t>
      </w:r>
      <w:r w:rsidRPr="00A34F10">
        <w:t xml:space="preserve"> </w:t>
      </w:r>
      <w:r w:rsidRPr="00A34F10">
        <w:rPr>
          <w:lang w:val="en-GB"/>
        </w:rPr>
        <w:t xml:space="preserve">The storage stabilities of ametoctradin and propamocarb were investigated by fortification of at least six untreated test medium with the test item. Three of the samples were analysed on the day of fortification (day 0). The other fortified samples were stored frozen (≤ 18°C). After 37 days of storage, three samples were analysed. This time period covers the longest storage period of samples of 35 days in test medium. The results show that both analytes were stable under deep-frozen conditions (≤ 18 °C) in test medium for 37 days. </w:t>
      </w:r>
    </w:p>
    <w:p w14:paraId="27D726F9" w14:textId="77777777" w:rsidR="00DC5685" w:rsidRPr="00A34F10" w:rsidRDefault="00DC5685" w:rsidP="00DC5685">
      <w:pPr>
        <w:widowControl w:val="0"/>
        <w:tabs>
          <w:tab w:val="left" w:pos="720"/>
        </w:tabs>
        <w:spacing w:after="240"/>
        <w:jc w:val="both"/>
        <w:rPr>
          <w:highlight w:val="yellow"/>
        </w:rPr>
      </w:pPr>
      <w:r w:rsidRPr="00A34F10">
        <w:rPr>
          <w:lang w:val="x-none"/>
        </w:rPr>
        <w:t>Results of the validation and procedural recovery experiments obtained during analysis showed that the recovery efficiency and repeatability was within the acceptable range of 70% to 120% of the intended concentrations for analyte BAS 743 02 F, with relative standard deviations RSD &lt; 20%.</w:t>
      </w:r>
      <w:r w:rsidRPr="00A34F10">
        <w:t xml:space="preserve"> No significant peak interferences occurred at the retention time and mass transitions of BAS 743 02 F.</w:t>
      </w:r>
    </w:p>
    <w:p w14:paraId="03FEE27F" w14:textId="60590C23" w:rsidR="00DC5685" w:rsidRPr="00A34F10" w:rsidRDefault="00DC5685" w:rsidP="00DC5685">
      <w:pPr>
        <w:widowControl w:val="0"/>
        <w:tabs>
          <w:tab w:val="left" w:pos="720"/>
        </w:tabs>
        <w:spacing w:after="240"/>
        <w:jc w:val="both"/>
        <w:rPr>
          <w:lang w:val="en-GB"/>
        </w:rPr>
      </w:pPr>
      <w:r w:rsidRPr="00A34F10">
        <w:rPr>
          <w:lang w:val="x-none"/>
        </w:rPr>
        <w:t xml:space="preserve">The validity criteria </w:t>
      </w:r>
      <w:r w:rsidRPr="00A34F10">
        <w:rPr>
          <w:lang w:val="en-GB"/>
        </w:rPr>
        <w:t xml:space="preserve">(specificity, linearity, accuracy and precision) </w:t>
      </w:r>
      <w:r w:rsidRPr="00A34F10">
        <w:rPr>
          <w:lang w:val="x-none"/>
        </w:rPr>
        <w:t>for the analytical method have been met according to</w:t>
      </w:r>
      <w:r w:rsidRPr="00A34F10">
        <w:rPr>
          <w:lang w:val="en-GB"/>
        </w:rPr>
        <w:t xml:space="preserve"> </w:t>
      </w:r>
      <w:r w:rsidRPr="00A34F10">
        <w:rPr>
          <w:szCs w:val="24"/>
          <w:lang w:val="en-GB"/>
        </w:rPr>
        <w:t>SANTE/2020/12830 Rev. 1 (2021)</w:t>
      </w:r>
      <w:r w:rsidRPr="00A34F10">
        <w:rPr>
          <w:lang w:val="en-GB"/>
        </w:rPr>
        <w:t>.</w:t>
      </w:r>
    </w:p>
    <w:p w14:paraId="6443D2EA" w14:textId="57B4E9E6" w:rsidR="00DC5685" w:rsidRPr="00A34F10" w:rsidRDefault="00F5408E" w:rsidP="00F5408E">
      <w:pPr>
        <w:pStyle w:val="Legenda"/>
        <w:rPr>
          <w:lang w:val="x-none" w:eastAsia="zh-CN"/>
        </w:rPr>
      </w:pPr>
      <w:r>
        <w:t xml:space="preserve">Table A </w:t>
      </w:r>
      <w:r>
        <w:fldChar w:fldCharType="begin"/>
      </w:r>
      <w:r>
        <w:instrText xml:space="preserve"> SEQ Table_A \* ARABIC </w:instrText>
      </w:r>
      <w:r>
        <w:fldChar w:fldCharType="separate"/>
      </w:r>
      <w:r w:rsidR="006F0F3B">
        <w:rPr>
          <w:noProof/>
        </w:rPr>
        <w:t>3</w:t>
      </w:r>
      <w:r>
        <w:fldChar w:fldCharType="end"/>
      </w:r>
      <w:r w:rsidR="00CF03B2" w:rsidRPr="00A34F10">
        <w:t>:</w:t>
      </w:r>
      <w:r w:rsidR="00DC5685" w:rsidRPr="00A34F10">
        <w:rPr>
          <w:color w:val="000000"/>
        </w:rPr>
        <w:tab/>
      </w:r>
      <w:r w:rsidR="00DC5685" w:rsidRPr="00A34F10">
        <w:rPr>
          <w:lang w:eastAsia="zh-CN"/>
        </w:rPr>
        <w:t>Procedural recoveries for ametoctradin and propamocarb</w:t>
      </w:r>
      <w:r w:rsidR="00DC5685" w:rsidRPr="00A34F10">
        <w:rPr>
          <w:lang w:val="x-none" w:eastAsia="zh-CN"/>
        </w:rPr>
        <w:t xml:space="preserve"> applied as BAS </w:t>
      </w:r>
      <w:r w:rsidR="00DC5685" w:rsidRPr="00A34F10">
        <w:rPr>
          <w:lang w:eastAsia="zh-CN"/>
        </w:rPr>
        <w:t>743 02</w:t>
      </w:r>
      <w:r w:rsidR="00DC5685" w:rsidRPr="00A34F10">
        <w:rPr>
          <w:lang w:val="x-none" w:eastAsia="zh-CN"/>
        </w:rPr>
        <w:t xml:space="preserve"> F in</w:t>
      </w:r>
      <w:r w:rsidR="00DC5685" w:rsidRPr="00A34F10">
        <w:rPr>
          <w:lang w:eastAsia="zh-CN"/>
        </w:rPr>
        <w:t xml:space="preserve"> t</w:t>
      </w:r>
      <w:r w:rsidR="00DC5685" w:rsidRPr="00A34F10">
        <w:rPr>
          <w:lang w:val="x-none" w:eastAsia="zh-CN"/>
        </w:rPr>
        <w:t xml:space="preserve">est </w:t>
      </w:r>
      <w:r w:rsidR="00DC5685" w:rsidRPr="00A34F10">
        <w:rPr>
          <w:lang w:eastAsia="zh-CN"/>
        </w:rPr>
        <w:t>w</w:t>
      </w:r>
      <w:r w:rsidR="00DC5685" w:rsidRPr="00A34F10">
        <w:rPr>
          <w:lang w:val="x-none" w:eastAsia="zh-CN"/>
        </w:rPr>
        <w:t>ater</w:t>
      </w:r>
    </w:p>
    <w:tbl>
      <w:tblPr>
        <w:tblStyle w:val="TableGrid14"/>
        <w:tblW w:w="5000" w:type="pct"/>
        <w:tblLook w:val="0000" w:firstRow="0" w:lastRow="0" w:firstColumn="0" w:lastColumn="0" w:noHBand="0" w:noVBand="0"/>
      </w:tblPr>
      <w:tblGrid>
        <w:gridCol w:w="1392"/>
        <w:gridCol w:w="1845"/>
        <w:gridCol w:w="426"/>
        <w:gridCol w:w="3749"/>
        <w:gridCol w:w="1293"/>
        <w:gridCol w:w="639"/>
      </w:tblGrid>
      <w:tr w:rsidR="00DC5685" w:rsidRPr="00A34F10" w14:paraId="67B7D50D" w14:textId="77777777" w:rsidTr="000470C3">
        <w:trPr>
          <w:trHeight w:val="624"/>
        </w:trPr>
        <w:tc>
          <w:tcPr>
            <w:tcW w:w="745" w:type="pct"/>
            <w:vAlign w:val="center"/>
          </w:tcPr>
          <w:p w14:paraId="18FF3E5E" w14:textId="77777777" w:rsidR="00DC5685" w:rsidRPr="00A34F10" w:rsidRDefault="00DC5685" w:rsidP="00DC5685">
            <w:pPr>
              <w:tabs>
                <w:tab w:val="left" w:pos="720"/>
                <w:tab w:val="left" w:pos="5036"/>
              </w:tabs>
              <w:spacing w:before="20" w:after="20"/>
              <w:jc w:val="center"/>
              <w:rPr>
                <w:b/>
                <w:bCs/>
                <w:sz w:val="20"/>
                <w:szCs w:val="20"/>
              </w:rPr>
            </w:pPr>
            <w:r w:rsidRPr="00A34F10">
              <w:rPr>
                <w:b/>
                <w:bCs/>
                <w:sz w:val="20"/>
                <w:szCs w:val="20"/>
              </w:rPr>
              <w:t>Analyte</w:t>
            </w:r>
          </w:p>
        </w:tc>
        <w:tc>
          <w:tcPr>
            <w:tcW w:w="987" w:type="pct"/>
            <w:vAlign w:val="center"/>
          </w:tcPr>
          <w:p w14:paraId="13084A15"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b/>
                <w:bCs/>
                <w:sz w:val="20"/>
                <w:szCs w:val="20"/>
              </w:rPr>
            </w:pPr>
            <w:r w:rsidRPr="00A34F10">
              <w:rPr>
                <w:b/>
                <w:bCs/>
                <w:sz w:val="20"/>
                <w:szCs w:val="20"/>
              </w:rPr>
              <w:t>Fortification Level [mg/L]</w:t>
            </w:r>
          </w:p>
        </w:tc>
        <w:tc>
          <w:tcPr>
            <w:tcW w:w="228" w:type="pct"/>
            <w:vAlign w:val="center"/>
          </w:tcPr>
          <w:p w14:paraId="400EC85E"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b/>
                <w:bCs/>
                <w:sz w:val="20"/>
                <w:szCs w:val="20"/>
              </w:rPr>
            </w:pPr>
            <w:r w:rsidRPr="00A34F10">
              <w:rPr>
                <w:b/>
                <w:bCs/>
                <w:sz w:val="20"/>
                <w:szCs w:val="20"/>
              </w:rPr>
              <w:t>n</w:t>
            </w:r>
          </w:p>
        </w:tc>
        <w:tc>
          <w:tcPr>
            <w:tcW w:w="2006" w:type="pct"/>
            <w:vAlign w:val="center"/>
          </w:tcPr>
          <w:p w14:paraId="1229959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b/>
                <w:bCs/>
                <w:sz w:val="20"/>
                <w:szCs w:val="20"/>
              </w:rPr>
            </w:pPr>
            <w:r w:rsidRPr="00A34F10">
              <w:rPr>
                <w:b/>
                <w:bCs/>
                <w:sz w:val="20"/>
                <w:szCs w:val="20"/>
              </w:rPr>
              <w:t>Recoveries</w:t>
            </w:r>
            <w:r w:rsidRPr="00A34F10">
              <w:rPr>
                <w:b/>
                <w:bCs/>
                <w:sz w:val="20"/>
                <w:szCs w:val="20"/>
              </w:rPr>
              <w:br/>
              <w:t>[%]</w:t>
            </w:r>
          </w:p>
        </w:tc>
        <w:tc>
          <w:tcPr>
            <w:tcW w:w="692" w:type="pct"/>
            <w:vAlign w:val="center"/>
          </w:tcPr>
          <w:p w14:paraId="605C9AB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b/>
                <w:bCs/>
                <w:sz w:val="20"/>
                <w:szCs w:val="20"/>
              </w:rPr>
            </w:pPr>
            <w:r w:rsidRPr="00A34F10">
              <w:rPr>
                <w:b/>
                <w:bCs/>
                <w:sz w:val="20"/>
                <w:szCs w:val="20"/>
              </w:rPr>
              <w:t>Mean Recovery</w:t>
            </w:r>
            <w:r w:rsidRPr="00A34F10">
              <w:rPr>
                <w:b/>
                <w:bCs/>
                <w:sz w:val="20"/>
                <w:szCs w:val="20"/>
              </w:rPr>
              <w:br/>
              <w:t>[%]</w:t>
            </w:r>
          </w:p>
        </w:tc>
        <w:tc>
          <w:tcPr>
            <w:tcW w:w="343" w:type="pct"/>
            <w:vAlign w:val="center"/>
          </w:tcPr>
          <w:p w14:paraId="5BA86F04"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b/>
                <w:bCs/>
                <w:sz w:val="20"/>
                <w:szCs w:val="20"/>
              </w:rPr>
            </w:pPr>
            <w:r w:rsidRPr="00A34F10">
              <w:rPr>
                <w:b/>
                <w:bCs/>
                <w:sz w:val="20"/>
                <w:szCs w:val="20"/>
              </w:rPr>
              <w:t>RSD</w:t>
            </w:r>
            <w:r w:rsidRPr="00A34F10">
              <w:rPr>
                <w:b/>
                <w:bCs/>
                <w:sz w:val="20"/>
                <w:szCs w:val="20"/>
              </w:rPr>
              <w:br/>
              <w:t>[%]</w:t>
            </w:r>
          </w:p>
        </w:tc>
      </w:tr>
      <w:tr w:rsidR="00DC5685" w:rsidRPr="00A34F10" w14:paraId="7DC4A868" w14:textId="77777777" w:rsidTr="000470C3">
        <w:trPr>
          <w:trHeight w:val="284"/>
        </w:trPr>
        <w:tc>
          <w:tcPr>
            <w:tcW w:w="745" w:type="pct"/>
            <w:vMerge w:val="restart"/>
            <w:vAlign w:val="center"/>
          </w:tcPr>
          <w:p w14:paraId="12754372"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Ametoctradin</w:t>
            </w:r>
          </w:p>
        </w:tc>
        <w:tc>
          <w:tcPr>
            <w:tcW w:w="987" w:type="pct"/>
            <w:vAlign w:val="center"/>
          </w:tcPr>
          <w:p w14:paraId="37A91939" w14:textId="77777777" w:rsidR="00DC5685" w:rsidRPr="00A34F10" w:rsidRDefault="00DC5685" w:rsidP="00DC5685">
            <w:pPr>
              <w:keepNext/>
              <w:keepLines/>
              <w:tabs>
                <w:tab w:val="left" w:pos="720"/>
                <w:tab w:val="left" w:pos="5036"/>
              </w:tabs>
              <w:autoSpaceDE w:val="0"/>
              <w:autoSpaceDN w:val="0"/>
              <w:adjustRightInd w:val="0"/>
              <w:spacing w:before="20" w:after="20"/>
              <w:jc w:val="center"/>
              <w:rPr>
                <w:sz w:val="20"/>
                <w:szCs w:val="20"/>
              </w:rPr>
            </w:pPr>
            <w:r w:rsidRPr="00A34F10">
              <w:rPr>
                <w:sz w:val="20"/>
                <w:szCs w:val="20"/>
              </w:rPr>
              <w:t>Control</w:t>
            </w:r>
          </w:p>
        </w:tc>
        <w:tc>
          <w:tcPr>
            <w:tcW w:w="228" w:type="pct"/>
            <w:vAlign w:val="center"/>
          </w:tcPr>
          <w:p w14:paraId="6D396B02" w14:textId="77777777" w:rsidR="00DC5685" w:rsidRPr="00A34F10" w:rsidRDefault="00DC5685" w:rsidP="00DC5685">
            <w:pPr>
              <w:keepNext/>
              <w:keepLines/>
              <w:tabs>
                <w:tab w:val="left" w:pos="720"/>
                <w:tab w:val="left" w:pos="5036"/>
              </w:tabs>
              <w:autoSpaceDE w:val="0"/>
              <w:autoSpaceDN w:val="0"/>
              <w:adjustRightInd w:val="0"/>
              <w:spacing w:before="20" w:after="20"/>
              <w:jc w:val="center"/>
              <w:rPr>
                <w:sz w:val="20"/>
                <w:szCs w:val="20"/>
              </w:rPr>
            </w:pPr>
            <w:r w:rsidRPr="00A34F10">
              <w:rPr>
                <w:sz w:val="20"/>
                <w:szCs w:val="20"/>
              </w:rPr>
              <w:t>2</w:t>
            </w:r>
          </w:p>
        </w:tc>
        <w:tc>
          <w:tcPr>
            <w:tcW w:w="2006" w:type="pct"/>
            <w:vAlign w:val="center"/>
          </w:tcPr>
          <w:p w14:paraId="4ECB1A9F" w14:textId="77777777" w:rsidR="00DC5685" w:rsidRPr="00A34F10" w:rsidRDefault="00DC5685" w:rsidP="00DC5685">
            <w:pPr>
              <w:keepNext/>
              <w:keepLines/>
              <w:tabs>
                <w:tab w:val="left" w:pos="720"/>
                <w:tab w:val="left" w:pos="5036"/>
              </w:tabs>
              <w:autoSpaceDE w:val="0"/>
              <w:autoSpaceDN w:val="0"/>
              <w:adjustRightInd w:val="0"/>
              <w:spacing w:before="20" w:after="20"/>
              <w:jc w:val="center"/>
              <w:rPr>
                <w:sz w:val="20"/>
                <w:szCs w:val="20"/>
              </w:rPr>
            </w:pPr>
            <w:r w:rsidRPr="00A34F10">
              <w:rPr>
                <w:sz w:val="20"/>
                <w:szCs w:val="20"/>
              </w:rPr>
              <w:t>&lt;LOD</w:t>
            </w:r>
          </w:p>
        </w:tc>
        <w:tc>
          <w:tcPr>
            <w:tcW w:w="692" w:type="pct"/>
            <w:vAlign w:val="center"/>
          </w:tcPr>
          <w:p w14:paraId="60C91901" w14:textId="77777777" w:rsidR="00DC5685" w:rsidRPr="00A34F10" w:rsidRDefault="00DC5685" w:rsidP="00DC5685">
            <w:pPr>
              <w:keepNext/>
              <w:keepLines/>
              <w:tabs>
                <w:tab w:val="left" w:pos="720"/>
                <w:tab w:val="left" w:pos="5036"/>
              </w:tabs>
              <w:autoSpaceDE w:val="0"/>
              <w:autoSpaceDN w:val="0"/>
              <w:adjustRightInd w:val="0"/>
              <w:spacing w:before="20" w:after="20"/>
              <w:jc w:val="center"/>
              <w:rPr>
                <w:sz w:val="20"/>
                <w:szCs w:val="20"/>
              </w:rPr>
            </w:pPr>
            <w:r w:rsidRPr="00A34F10">
              <w:rPr>
                <w:sz w:val="20"/>
                <w:szCs w:val="20"/>
              </w:rPr>
              <w:t>-</w:t>
            </w:r>
          </w:p>
        </w:tc>
        <w:tc>
          <w:tcPr>
            <w:tcW w:w="343" w:type="pct"/>
            <w:vAlign w:val="center"/>
          </w:tcPr>
          <w:p w14:paraId="1DD13400"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w:t>
            </w:r>
          </w:p>
        </w:tc>
      </w:tr>
      <w:tr w:rsidR="00DC5685" w:rsidRPr="00A34F10" w14:paraId="6A9310AE" w14:textId="77777777" w:rsidTr="000470C3">
        <w:trPr>
          <w:trHeight w:val="284"/>
        </w:trPr>
        <w:tc>
          <w:tcPr>
            <w:tcW w:w="745" w:type="pct"/>
            <w:vMerge/>
            <w:vAlign w:val="center"/>
          </w:tcPr>
          <w:p w14:paraId="7C7D97C3"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793408F3"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0.427</w:t>
            </w:r>
          </w:p>
        </w:tc>
        <w:tc>
          <w:tcPr>
            <w:tcW w:w="228" w:type="pct"/>
            <w:vAlign w:val="center"/>
          </w:tcPr>
          <w:p w14:paraId="5C484EE2"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16</w:t>
            </w:r>
          </w:p>
        </w:tc>
        <w:tc>
          <w:tcPr>
            <w:tcW w:w="2006" w:type="pct"/>
            <w:vAlign w:val="center"/>
          </w:tcPr>
          <w:p w14:paraId="5D0710A3"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84.0, 88.0, 95.0, 93.0, 91.0, 87.0, 85.0, 85.0, 86.0, 89.0, 89.0, 88.0, 88.0, 96.0, 99.0, 98.0</w:t>
            </w:r>
          </w:p>
        </w:tc>
        <w:tc>
          <w:tcPr>
            <w:tcW w:w="692" w:type="pct"/>
            <w:vAlign w:val="center"/>
          </w:tcPr>
          <w:p w14:paraId="73162390"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90.0</w:t>
            </w:r>
          </w:p>
        </w:tc>
        <w:tc>
          <w:tcPr>
            <w:tcW w:w="343" w:type="pct"/>
            <w:vAlign w:val="center"/>
          </w:tcPr>
          <w:p w14:paraId="335F5029" w14:textId="77777777" w:rsidR="00DC5685" w:rsidRPr="00A34F10" w:rsidRDefault="00DC5685" w:rsidP="00DC5685">
            <w:pPr>
              <w:tabs>
                <w:tab w:val="left" w:pos="720"/>
                <w:tab w:val="left" w:pos="5036"/>
              </w:tabs>
              <w:kinsoku w:val="0"/>
              <w:overflowPunct w:val="0"/>
              <w:spacing w:before="20" w:after="20"/>
              <w:jc w:val="center"/>
              <w:rPr>
                <w:sz w:val="20"/>
                <w:szCs w:val="20"/>
              </w:rPr>
            </w:pPr>
            <w:r w:rsidRPr="00A34F10">
              <w:rPr>
                <w:sz w:val="20"/>
                <w:szCs w:val="20"/>
              </w:rPr>
              <w:t>5.0</w:t>
            </w:r>
          </w:p>
        </w:tc>
      </w:tr>
      <w:tr w:rsidR="00DC5685" w:rsidRPr="00A34F10" w14:paraId="19BC973D" w14:textId="77777777" w:rsidTr="000470C3">
        <w:trPr>
          <w:trHeight w:val="284"/>
        </w:trPr>
        <w:tc>
          <w:tcPr>
            <w:tcW w:w="745" w:type="pct"/>
            <w:vMerge/>
            <w:vAlign w:val="center"/>
          </w:tcPr>
          <w:p w14:paraId="26F3D09C"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7296ABA3"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130</w:t>
            </w:r>
          </w:p>
        </w:tc>
        <w:tc>
          <w:tcPr>
            <w:tcW w:w="228" w:type="pct"/>
            <w:vAlign w:val="center"/>
          </w:tcPr>
          <w:p w14:paraId="19438A8C"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14</w:t>
            </w:r>
          </w:p>
        </w:tc>
        <w:tc>
          <w:tcPr>
            <w:tcW w:w="2006" w:type="pct"/>
            <w:vAlign w:val="center"/>
          </w:tcPr>
          <w:p w14:paraId="4F26D9ED"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101, 108, 105, 105, 104, 103, 104, 104, 100, 99.0, 98.0, 105, 105, 107</w:t>
            </w:r>
          </w:p>
        </w:tc>
        <w:tc>
          <w:tcPr>
            <w:tcW w:w="692" w:type="pct"/>
            <w:vAlign w:val="center"/>
          </w:tcPr>
          <w:p w14:paraId="2083345D"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103</w:t>
            </w:r>
          </w:p>
        </w:tc>
        <w:tc>
          <w:tcPr>
            <w:tcW w:w="343" w:type="pct"/>
            <w:vAlign w:val="center"/>
          </w:tcPr>
          <w:p w14:paraId="647C9066"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3.0</w:t>
            </w:r>
          </w:p>
        </w:tc>
      </w:tr>
      <w:tr w:rsidR="00DC5685" w:rsidRPr="00A34F10" w14:paraId="7F4E8FA1" w14:textId="77777777" w:rsidTr="000470C3">
        <w:trPr>
          <w:trHeight w:val="284"/>
        </w:trPr>
        <w:tc>
          <w:tcPr>
            <w:tcW w:w="745" w:type="pct"/>
            <w:vMerge/>
            <w:vAlign w:val="center"/>
          </w:tcPr>
          <w:p w14:paraId="7302AE23"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48DF70A5"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Overall</w:t>
            </w:r>
          </w:p>
        </w:tc>
        <w:tc>
          <w:tcPr>
            <w:tcW w:w="228" w:type="pct"/>
            <w:vAlign w:val="center"/>
          </w:tcPr>
          <w:p w14:paraId="3EF15491"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30</w:t>
            </w:r>
          </w:p>
        </w:tc>
        <w:tc>
          <w:tcPr>
            <w:tcW w:w="2006" w:type="pct"/>
            <w:vAlign w:val="center"/>
          </w:tcPr>
          <w:p w14:paraId="4B46045C"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w:t>
            </w:r>
          </w:p>
        </w:tc>
        <w:tc>
          <w:tcPr>
            <w:tcW w:w="692" w:type="pct"/>
            <w:vAlign w:val="center"/>
          </w:tcPr>
          <w:p w14:paraId="5822146A"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96.0</w:t>
            </w:r>
          </w:p>
        </w:tc>
        <w:tc>
          <w:tcPr>
            <w:tcW w:w="343" w:type="pct"/>
            <w:vAlign w:val="center"/>
          </w:tcPr>
          <w:p w14:paraId="2E75FBED"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8.0</w:t>
            </w:r>
          </w:p>
        </w:tc>
      </w:tr>
      <w:tr w:rsidR="00DC5685" w:rsidRPr="00A34F10" w14:paraId="0FE0A424" w14:textId="77777777" w:rsidTr="000470C3">
        <w:trPr>
          <w:trHeight w:val="284"/>
        </w:trPr>
        <w:tc>
          <w:tcPr>
            <w:tcW w:w="745" w:type="pct"/>
            <w:vMerge w:val="restart"/>
            <w:vAlign w:val="center"/>
          </w:tcPr>
          <w:p w14:paraId="03E92035" w14:textId="77777777" w:rsidR="00DC5685" w:rsidRPr="00A34F10" w:rsidRDefault="00DC5685" w:rsidP="00DC5685">
            <w:pPr>
              <w:tabs>
                <w:tab w:val="left" w:pos="720"/>
                <w:tab w:val="left" w:pos="5036"/>
              </w:tabs>
              <w:spacing w:before="20" w:after="20"/>
              <w:jc w:val="center"/>
              <w:rPr>
                <w:sz w:val="20"/>
                <w:szCs w:val="20"/>
              </w:rPr>
            </w:pPr>
            <w:r w:rsidRPr="00A34F10">
              <w:rPr>
                <w:sz w:val="20"/>
                <w:szCs w:val="20"/>
              </w:rPr>
              <w:t>Propamocarb</w:t>
            </w:r>
          </w:p>
        </w:tc>
        <w:tc>
          <w:tcPr>
            <w:tcW w:w="987" w:type="pct"/>
            <w:vAlign w:val="center"/>
          </w:tcPr>
          <w:p w14:paraId="21854987"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Control</w:t>
            </w:r>
          </w:p>
        </w:tc>
        <w:tc>
          <w:tcPr>
            <w:tcW w:w="228" w:type="pct"/>
            <w:vAlign w:val="center"/>
          </w:tcPr>
          <w:p w14:paraId="11628355"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2</w:t>
            </w:r>
          </w:p>
        </w:tc>
        <w:tc>
          <w:tcPr>
            <w:tcW w:w="2006" w:type="pct"/>
            <w:vAlign w:val="center"/>
          </w:tcPr>
          <w:p w14:paraId="0B550BB4"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&lt;LOD</w:t>
            </w:r>
          </w:p>
        </w:tc>
        <w:tc>
          <w:tcPr>
            <w:tcW w:w="692" w:type="pct"/>
            <w:vAlign w:val="center"/>
          </w:tcPr>
          <w:p w14:paraId="58AEB83A"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w:t>
            </w:r>
          </w:p>
        </w:tc>
        <w:tc>
          <w:tcPr>
            <w:tcW w:w="343" w:type="pct"/>
            <w:vAlign w:val="center"/>
          </w:tcPr>
          <w:p w14:paraId="41DE7FFB"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w:t>
            </w:r>
          </w:p>
        </w:tc>
      </w:tr>
      <w:tr w:rsidR="00DC5685" w:rsidRPr="00A34F10" w14:paraId="0528DA85" w14:textId="77777777" w:rsidTr="000470C3">
        <w:trPr>
          <w:trHeight w:val="358"/>
        </w:trPr>
        <w:tc>
          <w:tcPr>
            <w:tcW w:w="745" w:type="pct"/>
            <w:vMerge/>
            <w:vAlign w:val="center"/>
          </w:tcPr>
          <w:p w14:paraId="3805B865"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4E7FC0D3"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0.427</w:t>
            </w:r>
          </w:p>
        </w:tc>
        <w:tc>
          <w:tcPr>
            <w:tcW w:w="228" w:type="pct"/>
            <w:vAlign w:val="center"/>
          </w:tcPr>
          <w:p w14:paraId="1615391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16</w:t>
            </w:r>
          </w:p>
        </w:tc>
        <w:tc>
          <w:tcPr>
            <w:tcW w:w="2006" w:type="pct"/>
            <w:vAlign w:val="center"/>
          </w:tcPr>
          <w:p w14:paraId="473C0A69"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99.0, 100, 104, 99.0, 100, 111, 111, 112, 101, 101, 102, 102, 101, 106, 108, 107</w:t>
            </w:r>
          </w:p>
        </w:tc>
        <w:tc>
          <w:tcPr>
            <w:tcW w:w="692" w:type="pct"/>
            <w:vAlign w:val="center"/>
          </w:tcPr>
          <w:p w14:paraId="65683CED"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104</w:t>
            </w:r>
          </w:p>
        </w:tc>
        <w:tc>
          <w:tcPr>
            <w:tcW w:w="343" w:type="pct"/>
            <w:vAlign w:val="center"/>
          </w:tcPr>
          <w:p w14:paraId="6AF647AE"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4.0</w:t>
            </w:r>
          </w:p>
        </w:tc>
      </w:tr>
      <w:tr w:rsidR="00DC5685" w:rsidRPr="00A34F10" w14:paraId="4DD2C241" w14:textId="77777777" w:rsidTr="000470C3">
        <w:trPr>
          <w:trHeight w:val="407"/>
        </w:trPr>
        <w:tc>
          <w:tcPr>
            <w:tcW w:w="745" w:type="pct"/>
            <w:vMerge/>
            <w:vAlign w:val="center"/>
          </w:tcPr>
          <w:p w14:paraId="0B53E0FC"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2BEACDA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130</w:t>
            </w:r>
          </w:p>
        </w:tc>
        <w:tc>
          <w:tcPr>
            <w:tcW w:w="228" w:type="pct"/>
            <w:vAlign w:val="center"/>
          </w:tcPr>
          <w:p w14:paraId="69E08304"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14</w:t>
            </w:r>
          </w:p>
        </w:tc>
        <w:tc>
          <w:tcPr>
            <w:tcW w:w="2006" w:type="pct"/>
            <w:vAlign w:val="center"/>
          </w:tcPr>
          <w:p w14:paraId="650F1A40"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99.0, 106, 102, 101, 103, 102, 103, 99.0, 99.0, 98.0, 98.0, 103, 104, 103</w:t>
            </w:r>
          </w:p>
        </w:tc>
        <w:tc>
          <w:tcPr>
            <w:tcW w:w="692" w:type="pct"/>
            <w:vAlign w:val="center"/>
          </w:tcPr>
          <w:p w14:paraId="0F6EF560"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101</w:t>
            </w:r>
          </w:p>
        </w:tc>
        <w:tc>
          <w:tcPr>
            <w:tcW w:w="343" w:type="pct"/>
            <w:vAlign w:val="center"/>
          </w:tcPr>
          <w:p w14:paraId="2EC81B79"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2.0</w:t>
            </w:r>
          </w:p>
        </w:tc>
      </w:tr>
      <w:tr w:rsidR="00DC5685" w:rsidRPr="00A34F10" w14:paraId="6DD4C2E7" w14:textId="77777777" w:rsidTr="000470C3">
        <w:trPr>
          <w:trHeight w:val="284"/>
        </w:trPr>
        <w:tc>
          <w:tcPr>
            <w:tcW w:w="745" w:type="pct"/>
            <w:vMerge/>
            <w:vAlign w:val="center"/>
          </w:tcPr>
          <w:p w14:paraId="29731487" w14:textId="77777777" w:rsidR="00DC5685" w:rsidRPr="00A34F10" w:rsidRDefault="00DC5685" w:rsidP="00DC5685">
            <w:pPr>
              <w:tabs>
                <w:tab w:val="left" w:pos="720"/>
                <w:tab w:val="left" w:pos="5036"/>
              </w:tabs>
              <w:spacing w:before="20" w:after="20"/>
              <w:jc w:val="center"/>
              <w:rPr>
                <w:sz w:val="20"/>
                <w:szCs w:val="20"/>
              </w:rPr>
            </w:pPr>
          </w:p>
        </w:tc>
        <w:tc>
          <w:tcPr>
            <w:tcW w:w="987" w:type="pct"/>
            <w:vAlign w:val="center"/>
          </w:tcPr>
          <w:p w14:paraId="3EE73B83"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Overall</w:t>
            </w:r>
          </w:p>
        </w:tc>
        <w:tc>
          <w:tcPr>
            <w:tcW w:w="228" w:type="pct"/>
            <w:vAlign w:val="center"/>
          </w:tcPr>
          <w:p w14:paraId="47E2DA7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30</w:t>
            </w:r>
          </w:p>
        </w:tc>
        <w:tc>
          <w:tcPr>
            <w:tcW w:w="2006" w:type="pct"/>
            <w:vAlign w:val="center"/>
          </w:tcPr>
          <w:p w14:paraId="64E40B2D"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w:t>
            </w:r>
          </w:p>
        </w:tc>
        <w:tc>
          <w:tcPr>
            <w:tcW w:w="692" w:type="pct"/>
            <w:vAlign w:val="center"/>
          </w:tcPr>
          <w:p w14:paraId="1B8DB88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103</w:t>
            </w:r>
          </w:p>
        </w:tc>
        <w:tc>
          <w:tcPr>
            <w:tcW w:w="343" w:type="pct"/>
            <w:vAlign w:val="center"/>
          </w:tcPr>
          <w:p w14:paraId="26ED0490"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jc w:val="center"/>
              <w:rPr>
                <w:sz w:val="20"/>
                <w:szCs w:val="20"/>
              </w:rPr>
            </w:pPr>
            <w:r w:rsidRPr="00A34F10">
              <w:rPr>
                <w:sz w:val="20"/>
                <w:szCs w:val="20"/>
              </w:rPr>
              <w:t>4.0</w:t>
            </w:r>
          </w:p>
        </w:tc>
      </w:tr>
    </w:tbl>
    <w:p w14:paraId="164619C6" w14:textId="1D05C3F6" w:rsidR="00DC5685" w:rsidRPr="00A34F10" w:rsidRDefault="00DC5685" w:rsidP="00DC5685">
      <w:pPr>
        <w:widowControl w:val="0"/>
        <w:tabs>
          <w:tab w:val="left" w:pos="720"/>
        </w:tabs>
        <w:spacing w:after="240"/>
        <w:jc w:val="both"/>
        <w:rPr>
          <w:highlight w:val="yellow"/>
          <w:lang w:val="en-GB"/>
        </w:rPr>
      </w:pPr>
    </w:p>
    <w:p w14:paraId="1A576C2A" w14:textId="77777777" w:rsidR="00DC5685" w:rsidRPr="00A34F10" w:rsidRDefault="00DC5685" w:rsidP="00E05ECD">
      <w:pPr>
        <w:numPr>
          <w:ilvl w:val="0"/>
          <w:numId w:val="26"/>
        </w:numPr>
        <w:tabs>
          <w:tab w:val="left" w:pos="720"/>
        </w:tabs>
        <w:spacing w:after="240"/>
        <w:jc w:val="center"/>
        <w:rPr>
          <w:b/>
          <w:bCs/>
          <w:caps/>
          <w:szCs w:val="24"/>
          <w:lang w:val="en-GB"/>
        </w:rPr>
      </w:pPr>
      <w:r w:rsidRPr="00A34F10">
        <w:rPr>
          <w:b/>
          <w:bCs/>
          <w:caps/>
          <w:szCs w:val="24"/>
          <w:lang w:val="en-GB"/>
        </w:rPr>
        <w:t>Results and Discussion</w:t>
      </w:r>
    </w:p>
    <w:p w14:paraId="26DD59AE" w14:textId="77777777" w:rsidR="00DC5685" w:rsidRPr="00A34F10" w:rsidRDefault="00DC5685" w:rsidP="00E05ECD">
      <w:pPr>
        <w:numPr>
          <w:ilvl w:val="0"/>
          <w:numId w:val="39"/>
        </w:numPr>
        <w:ind w:left="357" w:hanging="357"/>
        <w:contextualSpacing/>
        <w:rPr>
          <w:b/>
          <w:bCs/>
          <w:caps/>
          <w:szCs w:val="24"/>
          <w:lang w:val="en-GB"/>
        </w:rPr>
      </w:pPr>
      <w:r w:rsidRPr="00A34F10">
        <w:rPr>
          <w:b/>
          <w:bCs/>
          <w:caps/>
          <w:szCs w:val="24"/>
          <w:lang w:val="en-GB"/>
        </w:rPr>
        <w:t>ANALYTICAL RESULTS</w:t>
      </w:r>
    </w:p>
    <w:p w14:paraId="14C63A8F" w14:textId="77777777" w:rsidR="00DC5685" w:rsidRPr="00A34F10" w:rsidRDefault="00DC5685" w:rsidP="00DC5685">
      <w:pPr>
        <w:ind w:left="357"/>
        <w:contextualSpacing/>
        <w:rPr>
          <w:b/>
          <w:bCs/>
          <w:caps/>
          <w:szCs w:val="24"/>
          <w:lang w:val="en-GB"/>
        </w:rPr>
      </w:pPr>
    </w:p>
    <w:p w14:paraId="13C14B55" w14:textId="77777777" w:rsidR="00DC5685" w:rsidRPr="00A34F10" w:rsidRDefault="00DC5685" w:rsidP="00DC5685">
      <w:pPr>
        <w:spacing w:after="240"/>
        <w:contextualSpacing/>
        <w:jc w:val="both"/>
        <w:rPr>
          <w:color w:val="000000"/>
          <w:lang w:val="en-GB"/>
        </w:rPr>
      </w:pPr>
      <w:r w:rsidRPr="00A34F10">
        <w:rPr>
          <w:color w:val="000000"/>
          <w:lang w:val="en-GB"/>
        </w:rPr>
        <w:t xml:space="preserve">The contents of analyte in the test concentrations were determined to confirm the correct application of the test item. The measured content of ametoctradin was between 114 % and 130 % of nominal at test start and between 92 % and 105 % of nominal at the end in the respective test concentrations. The measured content of propamocarb was between 109 % and 122 % of nominal at test start </w:t>
      </w:r>
      <w:r w:rsidRPr="00A34F10">
        <w:rPr>
          <w:lang w:val="en-GB"/>
        </w:rPr>
        <w:t xml:space="preserve">and between 95 % and 99 % of nominal at the end in the respective test concentrations. Since the measured concentrations of ametoctradin in aged test solutions were not between 80 and 120 % of nominal concentration, the biological endpoints were evaluated using the nominal concentrations and the actual concentrations of the test item (based on the geometric mean of fresh and aged measured concentrations). The analytical </w:t>
      </w:r>
      <w:r w:rsidRPr="00A34F10">
        <w:rPr>
          <w:color w:val="000000"/>
          <w:lang w:val="en-GB"/>
        </w:rPr>
        <w:t>results are presented in the following tables.</w:t>
      </w:r>
    </w:p>
    <w:p w14:paraId="34CA74B7" w14:textId="77777777" w:rsidR="00923CC4" w:rsidRPr="00A34F10" w:rsidRDefault="00923CC4" w:rsidP="00DC5685">
      <w:pPr>
        <w:spacing w:after="240"/>
        <w:contextualSpacing/>
        <w:jc w:val="both"/>
        <w:rPr>
          <w:color w:val="000000"/>
          <w:highlight w:val="yellow"/>
          <w:lang w:val="en-GB"/>
        </w:rPr>
      </w:pPr>
    </w:p>
    <w:p w14:paraId="3885C0AD" w14:textId="77777777" w:rsidR="003347E3" w:rsidRDefault="003347E3">
      <w:pPr>
        <w:rPr>
          <w:b/>
          <w:bCs/>
          <w:color w:val="000000" w:themeColor="text1"/>
          <w:lang w:val="en-GB"/>
        </w:rPr>
      </w:pPr>
      <w:r>
        <w:br w:type="page"/>
      </w:r>
    </w:p>
    <w:p w14:paraId="648E5993" w14:textId="447430ED" w:rsidR="00DC5685" w:rsidRPr="00A34F10" w:rsidRDefault="004F7AD1" w:rsidP="004F7AD1">
      <w:pPr>
        <w:pStyle w:val="Legenda"/>
        <w:rPr>
          <w:highlight w:val="yellow"/>
        </w:rPr>
      </w:pPr>
      <w:r>
        <w:lastRenderedPageBreak/>
        <w:t xml:space="preserve">Table A </w:t>
      </w:r>
      <w:r>
        <w:fldChar w:fldCharType="begin"/>
      </w:r>
      <w:r>
        <w:instrText xml:space="preserve"> SEQ Table_A \* ARABIC </w:instrText>
      </w:r>
      <w:r>
        <w:fldChar w:fldCharType="separate"/>
      </w:r>
      <w:r w:rsidR="006F0F3B">
        <w:rPr>
          <w:noProof/>
        </w:rPr>
        <w:t>4</w:t>
      </w:r>
      <w:r>
        <w:fldChar w:fldCharType="end"/>
      </w:r>
      <w:r w:rsidR="00CF03B2" w:rsidRPr="00A34F10">
        <w:t>:</w:t>
      </w:r>
      <w:r w:rsidR="00DC5685" w:rsidRPr="00A34F10">
        <w:tab/>
        <w:t>Measured concentrations of ametoctradin</w:t>
      </w:r>
      <w:r w:rsidR="00DC5685" w:rsidRPr="00A34F10">
        <w:rPr>
          <w:lang w:val="x-none"/>
        </w:rPr>
        <w:t xml:space="preserve"> in </w:t>
      </w:r>
      <w:r w:rsidR="00DC5685" w:rsidRPr="00A34F10">
        <w:t>test water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firstRow="1" w:lastRow="0" w:firstColumn="0" w:lastColumn="0" w:noHBand="0" w:noVBand="0"/>
      </w:tblPr>
      <w:tblGrid>
        <w:gridCol w:w="2426"/>
        <w:gridCol w:w="1260"/>
        <w:gridCol w:w="2273"/>
        <w:gridCol w:w="2495"/>
        <w:gridCol w:w="896"/>
      </w:tblGrid>
      <w:tr w:rsidR="00DC5685" w:rsidRPr="00A34F10" w14:paraId="4D976D7B" w14:textId="77777777" w:rsidTr="000470C3">
        <w:trPr>
          <w:trHeight w:val="20"/>
          <w:tblHeader/>
        </w:trPr>
        <w:tc>
          <w:tcPr>
            <w:tcW w:w="2426" w:type="dxa"/>
            <w:vAlign w:val="center"/>
          </w:tcPr>
          <w:p w14:paraId="440F5569" w14:textId="77777777" w:rsidR="00DC5685" w:rsidRPr="00A34F10" w:rsidRDefault="00DC5685" w:rsidP="00DC5685">
            <w:pPr>
              <w:tabs>
                <w:tab w:val="left" w:pos="1305"/>
              </w:tabs>
              <w:kinsoku w:val="0"/>
              <w:overflowPunct w:val="0"/>
              <w:autoSpaceDE w:val="0"/>
              <w:autoSpaceDN w:val="0"/>
              <w:adjustRightInd w:val="0"/>
              <w:spacing w:before="60"/>
              <w:ind w:left="113"/>
              <w:jc w:val="center"/>
              <w:rPr>
                <w:b/>
                <w:sz w:val="20"/>
                <w:szCs w:val="20"/>
              </w:rPr>
            </w:pPr>
            <w:r w:rsidRPr="00A34F10">
              <w:rPr>
                <w:b/>
                <w:color w:val="000000"/>
                <w:sz w:val="20"/>
                <w:szCs w:val="20"/>
              </w:rPr>
              <w:t>Test item [mg product/L]</w:t>
            </w:r>
          </w:p>
        </w:tc>
        <w:tc>
          <w:tcPr>
            <w:tcW w:w="1260" w:type="dxa"/>
            <w:vAlign w:val="center"/>
          </w:tcPr>
          <w:p w14:paraId="1B4C8466" w14:textId="77777777" w:rsidR="00DC5685" w:rsidRPr="00A34F10" w:rsidRDefault="00DC5685" w:rsidP="00DC5685">
            <w:pPr>
              <w:kinsoku w:val="0"/>
              <w:overflowPunct w:val="0"/>
              <w:autoSpaceDE w:val="0"/>
              <w:autoSpaceDN w:val="0"/>
              <w:adjustRightInd w:val="0"/>
              <w:spacing w:before="60"/>
              <w:jc w:val="center"/>
              <w:rPr>
                <w:rFonts w:eastAsia="Calibri"/>
                <w:b/>
                <w:bCs/>
                <w:sz w:val="20"/>
                <w:szCs w:val="20"/>
                <w:lang w:eastAsia="zh-CN"/>
              </w:rPr>
            </w:pPr>
            <w:r w:rsidRPr="00A34F10">
              <w:rPr>
                <w:rFonts w:eastAsia="Calibri"/>
                <w:b/>
                <w:bCs/>
                <w:sz w:val="20"/>
                <w:szCs w:val="20"/>
                <w:lang w:eastAsia="zh-CN"/>
              </w:rPr>
              <w:t>Sampling Time</w:t>
            </w:r>
          </w:p>
        </w:tc>
        <w:tc>
          <w:tcPr>
            <w:tcW w:w="2273" w:type="dxa"/>
            <w:vAlign w:val="center"/>
          </w:tcPr>
          <w:p w14:paraId="617FFC11"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Nominal Concentration</w:t>
            </w:r>
            <w:r w:rsidRPr="00A34F10">
              <w:rPr>
                <w:b/>
                <w:sz w:val="20"/>
                <w:szCs w:val="20"/>
              </w:rPr>
              <w:br/>
              <w:t>[mg a.s./L]</w:t>
            </w:r>
          </w:p>
        </w:tc>
        <w:tc>
          <w:tcPr>
            <w:tcW w:w="2495" w:type="dxa"/>
            <w:vAlign w:val="center"/>
          </w:tcPr>
          <w:p w14:paraId="05F60F2A"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Measured Concentration [mg a.s./L]</w:t>
            </w:r>
          </w:p>
        </w:tc>
        <w:tc>
          <w:tcPr>
            <w:tcW w:w="896" w:type="dxa"/>
            <w:vAlign w:val="center"/>
          </w:tcPr>
          <w:p w14:paraId="4BB082D1"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Recovery</w:t>
            </w:r>
            <w:r w:rsidRPr="00A34F10">
              <w:rPr>
                <w:b/>
                <w:sz w:val="20"/>
                <w:szCs w:val="20"/>
              </w:rPr>
              <w:br/>
              <w:t>[%]</w:t>
            </w:r>
          </w:p>
        </w:tc>
      </w:tr>
      <w:tr w:rsidR="00DC5685" w:rsidRPr="00A34F10" w14:paraId="5678884B" w14:textId="77777777" w:rsidTr="000470C3">
        <w:trPr>
          <w:trHeight w:hRule="exact" w:val="288"/>
        </w:trPr>
        <w:tc>
          <w:tcPr>
            <w:tcW w:w="2426" w:type="dxa"/>
            <w:vMerge w:val="restart"/>
            <w:vAlign w:val="center"/>
          </w:tcPr>
          <w:p w14:paraId="454FF48E" w14:textId="77777777" w:rsidR="00DC5685" w:rsidRPr="00A34F10" w:rsidRDefault="00DC5685" w:rsidP="00DC5685">
            <w:pPr>
              <w:jc w:val="center"/>
              <w:rPr>
                <w:sz w:val="20"/>
                <w:szCs w:val="20"/>
              </w:rPr>
            </w:pPr>
            <w:r w:rsidRPr="00A34F10">
              <w:rPr>
                <w:sz w:val="20"/>
                <w:szCs w:val="20"/>
              </w:rPr>
              <w:t>Control</w:t>
            </w:r>
          </w:p>
        </w:tc>
        <w:tc>
          <w:tcPr>
            <w:tcW w:w="1260" w:type="dxa"/>
            <w:vAlign w:val="center"/>
          </w:tcPr>
          <w:p w14:paraId="2765C281"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2273" w:type="dxa"/>
            <w:vAlign w:val="center"/>
          </w:tcPr>
          <w:p w14:paraId="05E39D5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0816E6B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719E06D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4AAD2C4E" w14:textId="77777777" w:rsidTr="000470C3">
        <w:trPr>
          <w:trHeight w:hRule="exact" w:val="288"/>
        </w:trPr>
        <w:tc>
          <w:tcPr>
            <w:tcW w:w="2426" w:type="dxa"/>
            <w:vMerge/>
            <w:vAlign w:val="center"/>
          </w:tcPr>
          <w:p w14:paraId="69119590" w14:textId="77777777" w:rsidR="00DC5685" w:rsidRPr="00A34F10" w:rsidRDefault="00DC5685" w:rsidP="00DC5685">
            <w:pPr>
              <w:jc w:val="center"/>
              <w:rPr>
                <w:sz w:val="20"/>
                <w:szCs w:val="20"/>
              </w:rPr>
            </w:pPr>
          </w:p>
        </w:tc>
        <w:tc>
          <w:tcPr>
            <w:tcW w:w="1260" w:type="dxa"/>
            <w:vAlign w:val="center"/>
          </w:tcPr>
          <w:p w14:paraId="62A399DD"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2273" w:type="dxa"/>
            <w:vAlign w:val="center"/>
          </w:tcPr>
          <w:p w14:paraId="3952AA5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335DE3D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33FB4C5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5871BEB6" w14:textId="77777777" w:rsidTr="000470C3">
        <w:trPr>
          <w:trHeight w:hRule="exact" w:val="288"/>
        </w:trPr>
        <w:tc>
          <w:tcPr>
            <w:tcW w:w="2426" w:type="dxa"/>
            <w:vMerge/>
            <w:vAlign w:val="center"/>
          </w:tcPr>
          <w:p w14:paraId="70897FBA" w14:textId="77777777" w:rsidR="00DC5685" w:rsidRPr="00A34F10" w:rsidRDefault="00DC5685" w:rsidP="00DC5685">
            <w:pPr>
              <w:jc w:val="center"/>
              <w:rPr>
                <w:sz w:val="20"/>
                <w:szCs w:val="20"/>
              </w:rPr>
            </w:pPr>
          </w:p>
        </w:tc>
        <w:tc>
          <w:tcPr>
            <w:tcW w:w="1260" w:type="dxa"/>
            <w:vAlign w:val="center"/>
          </w:tcPr>
          <w:p w14:paraId="65F60924"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2273" w:type="dxa"/>
            <w:vAlign w:val="center"/>
          </w:tcPr>
          <w:p w14:paraId="2AC98C9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1124110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2FAE9AB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66C8ED91" w14:textId="77777777" w:rsidTr="000470C3">
        <w:trPr>
          <w:trHeight w:hRule="exact" w:val="288"/>
        </w:trPr>
        <w:tc>
          <w:tcPr>
            <w:tcW w:w="2426" w:type="dxa"/>
            <w:vMerge/>
            <w:vAlign w:val="center"/>
          </w:tcPr>
          <w:p w14:paraId="1EAE255C" w14:textId="77777777" w:rsidR="00DC5685" w:rsidRPr="00A34F10" w:rsidRDefault="00DC5685" w:rsidP="00DC5685">
            <w:pPr>
              <w:jc w:val="center"/>
              <w:rPr>
                <w:sz w:val="20"/>
                <w:szCs w:val="20"/>
              </w:rPr>
            </w:pPr>
          </w:p>
        </w:tc>
        <w:tc>
          <w:tcPr>
            <w:tcW w:w="1260" w:type="dxa"/>
            <w:vAlign w:val="center"/>
          </w:tcPr>
          <w:p w14:paraId="19DBFAB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2273" w:type="dxa"/>
            <w:vAlign w:val="center"/>
          </w:tcPr>
          <w:p w14:paraId="272DEC1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27C7DFC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39E023C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02CC0E1E" w14:textId="77777777" w:rsidTr="000470C3">
        <w:trPr>
          <w:trHeight w:hRule="exact" w:val="288"/>
        </w:trPr>
        <w:tc>
          <w:tcPr>
            <w:tcW w:w="2426" w:type="dxa"/>
            <w:vMerge/>
            <w:vAlign w:val="center"/>
          </w:tcPr>
          <w:p w14:paraId="454ECBF0" w14:textId="77777777" w:rsidR="00DC5685" w:rsidRPr="00A34F10" w:rsidRDefault="00DC5685" w:rsidP="00DC5685">
            <w:pPr>
              <w:jc w:val="center"/>
              <w:rPr>
                <w:sz w:val="20"/>
                <w:szCs w:val="20"/>
              </w:rPr>
            </w:pPr>
          </w:p>
        </w:tc>
        <w:tc>
          <w:tcPr>
            <w:tcW w:w="1260" w:type="dxa"/>
            <w:vAlign w:val="center"/>
          </w:tcPr>
          <w:p w14:paraId="7AF27E1E"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2273" w:type="dxa"/>
            <w:vAlign w:val="center"/>
          </w:tcPr>
          <w:p w14:paraId="43DD2D2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1718F194"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w:t>
            </w:r>
          </w:p>
        </w:tc>
        <w:tc>
          <w:tcPr>
            <w:tcW w:w="896" w:type="dxa"/>
            <w:vAlign w:val="center"/>
          </w:tcPr>
          <w:p w14:paraId="32F8832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&lt;LOD</w:t>
            </w:r>
          </w:p>
        </w:tc>
      </w:tr>
      <w:tr w:rsidR="00DC5685" w:rsidRPr="00A34F10" w14:paraId="01EFFE4A" w14:textId="77777777" w:rsidTr="000470C3">
        <w:trPr>
          <w:trHeight w:hRule="exact" w:val="288"/>
        </w:trPr>
        <w:tc>
          <w:tcPr>
            <w:tcW w:w="2426" w:type="dxa"/>
            <w:vMerge/>
            <w:vAlign w:val="center"/>
          </w:tcPr>
          <w:p w14:paraId="6946490C" w14:textId="77777777" w:rsidR="00DC5685" w:rsidRPr="00A34F10" w:rsidRDefault="00DC5685" w:rsidP="00DC5685">
            <w:pPr>
              <w:jc w:val="center"/>
              <w:rPr>
                <w:sz w:val="20"/>
                <w:szCs w:val="20"/>
              </w:rPr>
            </w:pPr>
          </w:p>
        </w:tc>
        <w:tc>
          <w:tcPr>
            <w:tcW w:w="1260" w:type="dxa"/>
            <w:vAlign w:val="center"/>
          </w:tcPr>
          <w:p w14:paraId="486D3B63"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2273" w:type="dxa"/>
            <w:vAlign w:val="center"/>
          </w:tcPr>
          <w:p w14:paraId="218C104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1558EF9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0FEC93D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586D397C" w14:textId="77777777" w:rsidTr="000470C3">
        <w:trPr>
          <w:trHeight w:hRule="exact" w:val="288"/>
        </w:trPr>
        <w:tc>
          <w:tcPr>
            <w:tcW w:w="2426" w:type="dxa"/>
            <w:vMerge/>
            <w:vAlign w:val="center"/>
          </w:tcPr>
          <w:p w14:paraId="6EFB214A" w14:textId="77777777" w:rsidR="00DC5685" w:rsidRPr="00A34F10" w:rsidRDefault="00DC5685" w:rsidP="00DC5685">
            <w:pPr>
              <w:jc w:val="center"/>
              <w:rPr>
                <w:sz w:val="20"/>
                <w:szCs w:val="20"/>
              </w:rPr>
            </w:pPr>
          </w:p>
        </w:tc>
        <w:tc>
          <w:tcPr>
            <w:tcW w:w="1260" w:type="dxa"/>
            <w:vAlign w:val="center"/>
          </w:tcPr>
          <w:p w14:paraId="33390DDF"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2273" w:type="dxa"/>
            <w:vAlign w:val="center"/>
          </w:tcPr>
          <w:p w14:paraId="2ED5E37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5E84936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1F17358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2997F0ED" w14:textId="77777777" w:rsidTr="000470C3">
        <w:trPr>
          <w:trHeight w:hRule="exact" w:val="288"/>
        </w:trPr>
        <w:tc>
          <w:tcPr>
            <w:tcW w:w="2426" w:type="dxa"/>
            <w:vMerge/>
            <w:vAlign w:val="center"/>
          </w:tcPr>
          <w:p w14:paraId="714321C9" w14:textId="77777777" w:rsidR="00DC5685" w:rsidRPr="00A34F10" w:rsidRDefault="00DC5685" w:rsidP="00DC5685">
            <w:pPr>
              <w:jc w:val="center"/>
              <w:rPr>
                <w:sz w:val="20"/>
                <w:szCs w:val="20"/>
              </w:rPr>
            </w:pPr>
          </w:p>
        </w:tc>
        <w:tc>
          <w:tcPr>
            <w:tcW w:w="1260" w:type="dxa"/>
            <w:vAlign w:val="center"/>
          </w:tcPr>
          <w:p w14:paraId="377410C2"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2273" w:type="dxa"/>
            <w:vAlign w:val="center"/>
          </w:tcPr>
          <w:p w14:paraId="7AB3BC5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495" w:type="dxa"/>
            <w:vAlign w:val="center"/>
          </w:tcPr>
          <w:p w14:paraId="5C4C411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746A359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53D83FE3" w14:textId="77777777" w:rsidTr="000470C3">
        <w:trPr>
          <w:trHeight w:hRule="exact" w:val="288"/>
        </w:trPr>
        <w:tc>
          <w:tcPr>
            <w:tcW w:w="2426" w:type="dxa"/>
            <w:vMerge w:val="restart"/>
            <w:vAlign w:val="center"/>
          </w:tcPr>
          <w:p w14:paraId="450277C2" w14:textId="77777777" w:rsidR="00DC5685" w:rsidRPr="00A34F10" w:rsidRDefault="00DC5685" w:rsidP="00DC5685">
            <w:pPr>
              <w:jc w:val="center"/>
              <w:rPr>
                <w:sz w:val="20"/>
                <w:szCs w:val="20"/>
              </w:rPr>
            </w:pPr>
            <w:r w:rsidRPr="00A34F10">
              <w:rPr>
                <w:sz w:val="20"/>
                <w:szCs w:val="20"/>
              </w:rPr>
              <w:t>4.27</w:t>
            </w:r>
          </w:p>
        </w:tc>
        <w:tc>
          <w:tcPr>
            <w:tcW w:w="1260" w:type="dxa"/>
            <w:vAlign w:val="center"/>
          </w:tcPr>
          <w:p w14:paraId="0AB9282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2273" w:type="dxa"/>
            <w:vAlign w:val="center"/>
          </w:tcPr>
          <w:p w14:paraId="7C45BEA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1AB0C54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0.710</w:t>
            </w:r>
          </w:p>
        </w:tc>
        <w:tc>
          <w:tcPr>
            <w:tcW w:w="896" w:type="dxa"/>
            <w:vAlign w:val="center"/>
          </w:tcPr>
          <w:p w14:paraId="0A8CBA6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130</w:t>
            </w:r>
          </w:p>
        </w:tc>
      </w:tr>
      <w:tr w:rsidR="00DC5685" w:rsidRPr="00A34F10" w14:paraId="5F798B2A" w14:textId="77777777" w:rsidTr="000470C3">
        <w:trPr>
          <w:trHeight w:hRule="exact" w:val="288"/>
        </w:trPr>
        <w:tc>
          <w:tcPr>
            <w:tcW w:w="2426" w:type="dxa"/>
            <w:vMerge/>
            <w:vAlign w:val="center"/>
          </w:tcPr>
          <w:p w14:paraId="2A17B6F7" w14:textId="77777777" w:rsidR="00DC5685" w:rsidRPr="00A34F10" w:rsidRDefault="00DC5685" w:rsidP="00DC5685">
            <w:pPr>
              <w:jc w:val="center"/>
              <w:rPr>
                <w:sz w:val="20"/>
                <w:szCs w:val="20"/>
              </w:rPr>
            </w:pPr>
          </w:p>
        </w:tc>
        <w:tc>
          <w:tcPr>
            <w:tcW w:w="1260" w:type="dxa"/>
            <w:vAlign w:val="center"/>
          </w:tcPr>
          <w:p w14:paraId="6AD2F0DA"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2273" w:type="dxa"/>
            <w:vAlign w:val="center"/>
          </w:tcPr>
          <w:p w14:paraId="396ED43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6BCFB63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0.630</w:t>
            </w:r>
          </w:p>
        </w:tc>
        <w:tc>
          <w:tcPr>
            <w:tcW w:w="896" w:type="dxa"/>
            <w:vAlign w:val="center"/>
          </w:tcPr>
          <w:p w14:paraId="1A8E485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115</w:t>
            </w:r>
          </w:p>
        </w:tc>
      </w:tr>
      <w:tr w:rsidR="00DC5685" w:rsidRPr="00A34F10" w14:paraId="577FBDF2" w14:textId="77777777" w:rsidTr="000470C3">
        <w:trPr>
          <w:trHeight w:hRule="exact" w:val="288"/>
        </w:trPr>
        <w:tc>
          <w:tcPr>
            <w:tcW w:w="2426" w:type="dxa"/>
            <w:vMerge/>
            <w:vAlign w:val="center"/>
          </w:tcPr>
          <w:p w14:paraId="54DCC37E" w14:textId="77777777" w:rsidR="00DC5685" w:rsidRPr="00A34F10" w:rsidRDefault="00DC5685" w:rsidP="00DC5685">
            <w:pPr>
              <w:jc w:val="center"/>
              <w:rPr>
                <w:sz w:val="20"/>
                <w:szCs w:val="20"/>
              </w:rPr>
            </w:pPr>
          </w:p>
        </w:tc>
        <w:tc>
          <w:tcPr>
            <w:tcW w:w="1260" w:type="dxa"/>
            <w:vAlign w:val="center"/>
          </w:tcPr>
          <w:p w14:paraId="34448E91"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2273" w:type="dxa"/>
            <w:vAlign w:val="center"/>
          </w:tcPr>
          <w:p w14:paraId="451E29B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31323D0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0.616</w:t>
            </w:r>
          </w:p>
        </w:tc>
        <w:tc>
          <w:tcPr>
            <w:tcW w:w="896" w:type="dxa"/>
            <w:vAlign w:val="center"/>
          </w:tcPr>
          <w:p w14:paraId="6F5CD5B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113</w:t>
            </w:r>
          </w:p>
        </w:tc>
      </w:tr>
      <w:tr w:rsidR="00DC5685" w:rsidRPr="00A34F10" w14:paraId="2FB7F0CF" w14:textId="77777777" w:rsidTr="000470C3">
        <w:trPr>
          <w:trHeight w:hRule="exact" w:val="288"/>
        </w:trPr>
        <w:tc>
          <w:tcPr>
            <w:tcW w:w="2426" w:type="dxa"/>
            <w:vMerge/>
            <w:vAlign w:val="center"/>
          </w:tcPr>
          <w:p w14:paraId="5AA6DF7A" w14:textId="77777777" w:rsidR="00DC5685" w:rsidRPr="00A34F10" w:rsidRDefault="00DC5685" w:rsidP="00DC5685">
            <w:pPr>
              <w:jc w:val="center"/>
              <w:rPr>
                <w:sz w:val="20"/>
                <w:szCs w:val="20"/>
              </w:rPr>
            </w:pPr>
          </w:p>
        </w:tc>
        <w:tc>
          <w:tcPr>
            <w:tcW w:w="1260" w:type="dxa"/>
            <w:vAlign w:val="center"/>
          </w:tcPr>
          <w:p w14:paraId="4ED8411B"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2273" w:type="dxa"/>
            <w:vAlign w:val="center"/>
          </w:tcPr>
          <w:p w14:paraId="5946975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0428484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0.688</w:t>
            </w:r>
          </w:p>
        </w:tc>
        <w:tc>
          <w:tcPr>
            <w:tcW w:w="896" w:type="dxa"/>
            <w:vAlign w:val="center"/>
          </w:tcPr>
          <w:p w14:paraId="1869D90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126</w:t>
            </w:r>
          </w:p>
        </w:tc>
      </w:tr>
      <w:tr w:rsidR="00DC5685" w:rsidRPr="00A34F10" w14:paraId="5BB922F1" w14:textId="77777777" w:rsidTr="000470C3">
        <w:trPr>
          <w:trHeight w:hRule="exact" w:val="288"/>
        </w:trPr>
        <w:tc>
          <w:tcPr>
            <w:tcW w:w="2426" w:type="dxa"/>
            <w:vMerge/>
            <w:vAlign w:val="center"/>
          </w:tcPr>
          <w:p w14:paraId="3E9DF411" w14:textId="77777777" w:rsidR="00DC5685" w:rsidRPr="00A34F10" w:rsidRDefault="00DC5685" w:rsidP="00DC5685">
            <w:pPr>
              <w:jc w:val="center"/>
              <w:rPr>
                <w:sz w:val="20"/>
                <w:szCs w:val="20"/>
              </w:rPr>
            </w:pPr>
          </w:p>
        </w:tc>
        <w:tc>
          <w:tcPr>
            <w:tcW w:w="1260" w:type="dxa"/>
            <w:vAlign w:val="center"/>
          </w:tcPr>
          <w:p w14:paraId="4CA8F2DD"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2273" w:type="dxa"/>
            <w:vAlign w:val="center"/>
          </w:tcPr>
          <w:p w14:paraId="0879D51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44F08DC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0.588</w:t>
            </w:r>
          </w:p>
        </w:tc>
        <w:tc>
          <w:tcPr>
            <w:tcW w:w="896" w:type="dxa"/>
            <w:vAlign w:val="center"/>
          </w:tcPr>
          <w:p w14:paraId="5B7CBF0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107</w:t>
            </w:r>
          </w:p>
        </w:tc>
      </w:tr>
      <w:tr w:rsidR="00DC5685" w:rsidRPr="00A34F10" w14:paraId="3FDFC394" w14:textId="77777777" w:rsidTr="000470C3">
        <w:trPr>
          <w:trHeight w:hRule="exact" w:val="288"/>
        </w:trPr>
        <w:tc>
          <w:tcPr>
            <w:tcW w:w="2426" w:type="dxa"/>
            <w:vMerge/>
            <w:vAlign w:val="center"/>
          </w:tcPr>
          <w:p w14:paraId="687E689E" w14:textId="77777777" w:rsidR="00DC5685" w:rsidRPr="00A34F10" w:rsidRDefault="00DC5685" w:rsidP="00DC5685">
            <w:pPr>
              <w:jc w:val="center"/>
              <w:rPr>
                <w:sz w:val="20"/>
                <w:szCs w:val="20"/>
              </w:rPr>
            </w:pPr>
          </w:p>
        </w:tc>
        <w:tc>
          <w:tcPr>
            <w:tcW w:w="1260" w:type="dxa"/>
            <w:vAlign w:val="center"/>
          </w:tcPr>
          <w:p w14:paraId="548052E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2273" w:type="dxa"/>
            <w:vAlign w:val="center"/>
          </w:tcPr>
          <w:p w14:paraId="59F9827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5410116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0.540</w:t>
            </w:r>
          </w:p>
        </w:tc>
        <w:tc>
          <w:tcPr>
            <w:tcW w:w="896" w:type="dxa"/>
            <w:vAlign w:val="center"/>
          </w:tcPr>
          <w:p w14:paraId="0778C9B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7BF9339A" w14:textId="77777777" w:rsidTr="000470C3">
        <w:trPr>
          <w:trHeight w:hRule="exact" w:val="288"/>
        </w:trPr>
        <w:tc>
          <w:tcPr>
            <w:tcW w:w="2426" w:type="dxa"/>
            <w:vMerge/>
            <w:vAlign w:val="center"/>
          </w:tcPr>
          <w:p w14:paraId="065EEAE6" w14:textId="77777777" w:rsidR="00DC5685" w:rsidRPr="00A34F10" w:rsidRDefault="00DC5685" w:rsidP="00DC5685">
            <w:pPr>
              <w:jc w:val="center"/>
              <w:rPr>
                <w:sz w:val="20"/>
                <w:szCs w:val="20"/>
              </w:rPr>
            </w:pPr>
          </w:p>
        </w:tc>
        <w:tc>
          <w:tcPr>
            <w:tcW w:w="1260" w:type="dxa"/>
            <w:vAlign w:val="center"/>
          </w:tcPr>
          <w:p w14:paraId="02661CC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2273" w:type="dxa"/>
            <w:vAlign w:val="center"/>
          </w:tcPr>
          <w:p w14:paraId="226A99A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6E950DE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0.640</w:t>
            </w:r>
          </w:p>
        </w:tc>
        <w:tc>
          <w:tcPr>
            <w:tcW w:w="896" w:type="dxa"/>
            <w:vAlign w:val="center"/>
          </w:tcPr>
          <w:p w14:paraId="674277C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117</w:t>
            </w:r>
          </w:p>
        </w:tc>
      </w:tr>
      <w:tr w:rsidR="00DC5685" w:rsidRPr="00A34F10" w14:paraId="16BB773A" w14:textId="77777777" w:rsidTr="000470C3">
        <w:trPr>
          <w:trHeight w:hRule="exact" w:val="288"/>
        </w:trPr>
        <w:tc>
          <w:tcPr>
            <w:tcW w:w="2426" w:type="dxa"/>
            <w:vMerge/>
            <w:vAlign w:val="center"/>
          </w:tcPr>
          <w:p w14:paraId="223D8AE4" w14:textId="77777777" w:rsidR="00DC5685" w:rsidRPr="00A34F10" w:rsidRDefault="00DC5685" w:rsidP="00DC5685">
            <w:pPr>
              <w:jc w:val="center"/>
              <w:rPr>
                <w:sz w:val="20"/>
                <w:szCs w:val="20"/>
              </w:rPr>
            </w:pPr>
          </w:p>
        </w:tc>
        <w:tc>
          <w:tcPr>
            <w:tcW w:w="1260" w:type="dxa"/>
            <w:vAlign w:val="center"/>
          </w:tcPr>
          <w:p w14:paraId="2E060EB1"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2273" w:type="dxa"/>
            <w:vAlign w:val="center"/>
          </w:tcPr>
          <w:p w14:paraId="396E692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0.547</w:t>
            </w:r>
          </w:p>
        </w:tc>
        <w:tc>
          <w:tcPr>
            <w:tcW w:w="2495" w:type="dxa"/>
            <w:vAlign w:val="center"/>
          </w:tcPr>
          <w:p w14:paraId="5BC5CB1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0.504</w:t>
            </w:r>
          </w:p>
        </w:tc>
        <w:tc>
          <w:tcPr>
            <w:tcW w:w="896" w:type="dxa"/>
            <w:vAlign w:val="center"/>
          </w:tcPr>
          <w:p w14:paraId="4E0E540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92.0</w:t>
            </w:r>
          </w:p>
        </w:tc>
      </w:tr>
      <w:tr w:rsidR="00DC5685" w:rsidRPr="00A34F10" w14:paraId="463915E1" w14:textId="77777777" w:rsidTr="000470C3">
        <w:trPr>
          <w:trHeight w:hRule="exact" w:val="288"/>
        </w:trPr>
        <w:tc>
          <w:tcPr>
            <w:tcW w:w="2426" w:type="dxa"/>
            <w:vMerge w:val="restart"/>
            <w:vAlign w:val="center"/>
          </w:tcPr>
          <w:p w14:paraId="30D9B341" w14:textId="77777777" w:rsidR="00DC5685" w:rsidRPr="00A34F10" w:rsidRDefault="00DC5685" w:rsidP="00DC5685">
            <w:pPr>
              <w:jc w:val="center"/>
              <w:rPr>
                <w:sz w:val="20"/>
                <w:szCs w:val="20"/>
              </w:rPr>
            </w:pPr>
            <w:r w:rsidRPr="00A34F10">
              <w:rPr>
                <w:sz w:val="20"/>
                <w:szCs w:val="20"/>
              </w:rPr>
              <w:t xml:space="preserve">9.39 </w:t>
            </w:r>
          </w:p>
        </w:tc>
        <w:tc>
          <w:tcPr>
            <w:tcW w:w="1260" w:type="dxa"/>
            <w:vAlign w:val="center"/>
          </w:tcPr>
          <w:p w14:paraId="2ABE8D8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2273" w:type="dxa"/>
            <w:vAlign w:val="center"/>
          </w:tcPr>
          <w:p w14:paraId="6B47F70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42DD1EA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1.40</w:t>
            </w:r>
          </w:p>
        </w:tc>
        <w:tc>
          <w:tcPr>
            <w:tcW w:w="896" w:type="dxa"/>
            <w:vAlign w:val="center"/>
          </w:tcPr>
          <w:p w14:paraId="37EE261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117</w:t>
            </w:r>
          </w:p>
        </w:tc>
      </w:tr>
      <w:tr w:rsidR="00DC5685" w:rsidRPr="00A34F10" w14:paraId="05D57DF4" w14:textId="77777777" w:rsidTr="000470C3">
        <w:trPr>
          <w:trHeight w:hRule="exact" w:val="288"/>
        </w:trPr>
        <w:tc>
          <w:tcPr>
            <w:tcW w:w="2426" w:type="dxa"/>
            <w:vMerge/>
            <w:vAlign w:val="center"/>
          </w:tcPr>
          <w:p w14:paraId="17092F6F" w14:textId="77777777" w:rsidR="00DC5685" w:rsidRPr="00A34F10" w:rsidRDefault="00DC5685" w:rsidP="00DC5685">
            <w:pPr>
              <w:jc w:val="center"/>
              <w:rPr>
                <w:sz w:val="20"/>
                <w:szCs w:val="20"/>
              </w:rPr>
            </w:pPr>
          </w:p>
        </w:tc>
        <w:tc>
          <w:tcPr>
            <w:tcW w:w="1260" w:type="dxa"/>
            <w:vAlign w:val="center"/>
          </w:tcPr>
          <w:p w14:paraId="566D6EDE"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2273" w:type="dxa"/>
            <w:vAlign w:val="center"/>
          </w:tcPr>
          <w:p w14:paraId="3F4327A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0E55AFF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1.34</w:t>
            </w:r>
          </w:p>
        </w:tc>
        <w:tc>
          <w:tcPr>
            <w:tcW w:w="896" w:type="dxa"/>
            <w:vAlign w:val="center"/>
          </w:tcPr>
          <w:p w14:paraId="084CD00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112</w:t>
            </w:r>
          </w:p>
        </w:tc>
      </w:tr>
      <w:tr w:rsidR="00DC5685" w:rsidRPr="00A34F10" w14:paraId="55F5076A" w14:textId="77777777" w:rsidTr="000470C3">
        <w:trPr>
          <w:trHeight w:hRule="exact" w:val="288"/>
        </w:trPr>
        <w:tc>
          <w:tcPr>
            <w:tcW w:w="2426" w:type="dxa"/>
            <w:vMerge/>
            <w:vAlign w:val="center"/>
          </w:tcPr>
          <w:p w14:paraId="6A4DB236" w14:textId="77777777" w:rsidR="00DC5685" w:rsidRPr="00A34F10" w:rsidRDefault="00DC5685" w:rsidP="00DC5685">
            <w:pPr>
              <w:jc w:val="center"/>
              <w:rPr>
                <w:sz w:val="20"/>
                <w:szCs w:val="20"/>
              </w:rPr>
            </w:pPr>
          </w:p>
        </w:tc>
        <w:tc>
          <w:tcPr>
            <w:tcW w:w="1260" w:type="dxa"/>
            <w:vAlign w:val="center"/>
          </w:tcPr>
          <w:p w14:paraId="41BAA0C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2273" w:type="dxa"/>
            <w:vAlign w:val="center"/>
          </w:tcPr>
          <w:p w14:paraId="2FB6BFF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10F05AF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1.25</w:t>
            </w:r>
          </w:p>
        </w:tc>
        <w:tc>
          <w:tcPr>
            <w:tcW w:w="896" w:type="dxa"/>
            <w:vAlign w:val="center"/>
          </w:tcPr>
          <w:p w14:paraId="6FDEEB4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543F5213" w14:textId="77777777" w:rsidTr="000470C3">
        <w:trPr>
          <w:trHeight w:hRule="exact" w:val="288"/>
        </w:trPr>
        <w:tc>
          <w:tcPr>
            <w:tcW w:w="2426" w:type="dxa"/>
            <w:vMerge/>
            <w:vAlign w:val="center"/>
          </w:tcPr>
          <w:p w14:paraId="342A5AD4" w14:textId="77777777" w:rsidR="00DC5685" w:rsidRPr="00A34F10" w:rsidRDefault="00DC5685" w:rsidP="00DC5685">
            <w:pPr>
              <w:jc w:val="center"/>
              <w:rPr>
                <w:sz w:val="20"/>
                <w:szCs w:val="20"/>
              </w:rPr>
            </w:pPr>
          </w:p>
        </w:tc>
        <w:tc>
          <w:tcPr>
            <w:tcW w:w="1260" w:type="dxa"/>
            <w:vAlign w:val="center"/>
          </w:tcPr>
          <w:p w14:paraId="57EB5161"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2273" w:type="dxa"/>
            <w:vAlign w:val="center"/>
          </w:tcPr>
          <w:p w14:paraId="799DD25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369A9D0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1.37</w:t>
            </w:r>
          </w:p>
        </w:tc>
        <w:tc>
          <w:tcPr>
            <w:tcW w:w="896" w:type="dxa"/>
            <w:vAlign w:val="center"/>
          </w:tcPr>
          <w:p w14:paraId="6488194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6B56C4B4" w14:textId="77777777" w:rsidTr="000470C3">
        <w:trPr>
          <w:trHeight w:hRule="exact" w:val="288"/>
        </w:trPr>
        <w:tc>
          <w:tcPr>
            <w:tcW w:w="2426" w:type="dxa"/>
            <w:vMerge/>
            <w:vAlign w:val="center"/>
          </w:tcPr>
          <w:p w14:paraId="1C3C7819" w14:textId="77777777" w:rsidR="00DC5685" w:rsidRPr="00A34F10" w:rsidRDefault="00DC5685" w:rsidP="00DC5685">
            <w:pPr>
              <w:jc w:val="center"/>
              <w:rPr>
                <w:sz w:val="20"/>
                <w:szCs w:val="20"/>
              </w:rPr>
            </w:pPr>
          </w:p>
        </w:tc>
        <w:tc>
          <w:tcPr>
            <w:tcW w:w="1260" w:type="dxa"/>
            <w:vAlign w:val="center"/>
          </w:tcPr>
          <w:p w14:paraId="56D81EB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2273" w:type="dxa"/>
            <w:vAlign w:val="center"/>
          </w:tcPr>
          <w:p w14:paraId="3C1F1ED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10EEAEB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1.19</w:t>
            </w:r>
          </w:p>
        </w:tc>
        <w:tc>
          <w:tcPr>
            <w:tcW w:w="896" w:type="dxa"/>
            <w:vAlign w:val="center"/>
          </w:tcPr>
          <w:p w14:paraId="2FB26EF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3455749B" w14:textId="77777777" w:rsidTr="000470C3">
        <w:trPr>
          <w:trHeight w:hRule="exact" w:val="288"/>
        </w:trPr>
        <w:tc>
          <w:tcPr>
            <w:tcW w:w="2426" w:type="dxa"/>
            <w:vMerge/>
            <w:vAlign w:val="center"/>
          </w:tcPr>
          <w:p w14:paraId="7AC50D38" w14:textId="77777777" w:rsidR="00DC5685" w:rsidRPr="00A34F10" w:rsidRDefault="00DC5685" w:rsidP="00DC5685">
            <w:pPr>
              <w:jc w:val="center"/>
              <w:rPr>
                <w:sz w:val="20"/>
                <w:szCs w:val="20"/>
              </w:rPr>
            </w:pPr>
          </w:p>
        </w:tc>
        <w:tc>
          <w:tcPr>
            <w:tcW w:w="1260" w:type="dxa"/>
            <w:vAlign w:val="center"/>
          </w:tcPr>
          <w:p w14:paraId="749929D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2273" w:type="dxa"/>
            <w:vAlign w:val="center"/>
          </w:tcPr>
          <w:p w14:paraId="32E6C06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596FD1C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1.26</w:t>
            </w:r>
          </w:p>
        </w:tc>
        <w:tc>
          <w:tcPr>
            <w:tcW w:w="896" w:type="dxa"/>
            <w:vAlign w:val="center"/>
          </w:tcPr>
          <w:p w14:paraId="31D0DA5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7EBA0489" w14:textId="77777777" w:rsidTr="000470C3">
        <w:trPr>
          <w:trHeight w:hRule="exact" w:val="288"/>
        </w:trPr>
        <w:tc>
          <w:tcPr>
            <w:tcW w:w="2426" w:type="dxa"/>
            <w:vMerge/>
            <w:vAlign w:val="center"/>
          </w:tcPr>
          <w:p w14:paraId="4D6723D7" w14:textId="77777777" w:rsidR="00DC5685" w:rsidRPr="00A34F10" w:rsidRDefault="00DC5685" w:rsidP="00DC5685">
            <w:pPr>
              <w:jc w:val="center"/>
              <w:rPr>
                <w:sz w:val="20"/>
                <w:szCs w:val="20"/>
              </w:rPr>
            </w:pPr>
          </w:p>
        </w:tc>
        <w:tc>
          <w:tcPr>
            <w:tcW w:w="1260" w:type="dxa"/>
            <w:vAlign w:val="center"/>
          </w:tcPr>
          <w:p w14:paraId="08D6DE8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2273" w:type="dxa"/>
            <w:vAlign w:val="center"/>
          </w:tcPr>
          <w:p w14:paraId="3623985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0E981D6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1.30</w:t>
            </w:r>
          </w:p>
        </w:tc>
        <w:tc>
          <w:tcPr>
            <w:tcW w:w="896" w:type="dxa"/>
            <w:vAlign w:val="center"/>
          </w:tcPr>
          <w:p w14:paraId="7CAC72B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108</w:t>
            </w:r>
          </w:p>
        </w:tc>
      </w:tr>
      <w:tr w:rsidR="00DC5685" w:rsidRPr="00A34F10" w14:paraId="13F78803" w14:textId="77777777" w:rsidTr="000470C3">
        <w:trPr>
          <w:trHeight w:hRule="exact" w:val="288"/>
        </w:trPr>
        <w:tc>
          <w:tcPr>
            <w:tcW w:w="2426" w:type="dxa"/>
            <w:vMerge/>
            <w:vAlign w:val="center"/>
          </w:tcPr>
          <w:p w14:paraId="414CFA2C" w14:textId="77777777" w:rsidR="00DC5685" w:rsidRPr="00A34F10" w:rsidRDefault="00DC5685" w:rsidP="00DC5685">
            <w:pPr>
              <w:jc w:val="center"/>
              <w:rPr>
                <w:sz w:val="20"/>
                <w:szCs w:val="20"/>
              </w:rPr>
            </w:pPr>
          </w:p>
        </w:tc>
        <w:tc>
          <w:tcPr>
            <w:tcW w:w="1260" w:type="dxa"/>
            <w:vAlign w:val="center"/>
          </w:tcPr>
          <w:p w14:paraId="4126544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2273" w:type="dxa"/>
            <w:vAlign w:val="center"/>
          </w:tcPr>
          <w:p w14:paraId="767D2AD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1.20</w:t>
            </w:r>
          </w:p>
        </w:tc>
        <w:tc>
          <w:tcPr>
            <w:tcW w:w="2495" w:type="dxa"/>
            <w:vAlign w:val="center"/>
          </w:tcPr>
          <w:p w14:paraId="3AE2947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1.12</w:t>
            </w:r>
          </w:p>
        </w:tc>
        <w:tc>
          <w:tcPr>
            <w:tcW w:w="896" w:type="dxa"/>
            <w:vAlign w:val="center"/>
          </w:tcPr>
          <w:p w14:paraId="2167536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93.0</w:t>
            </w:r>
          </w:p>
        </w:tc>
      </w:tr>
      <w:tr w:rsidR="00DC5685" w:rsidRPr="00A34F10" w14:paraId="7D2E8FA6" w14:textId="77777777" w:rsidTr="000470C3">
        <w:trPr>
          <w:trHeight w:hRule="exact" w:val="288"/>
        </w:trPr>
        <w:tc>
          <w:tcPr>
            <w:tcW w:w="2426" w:type="dxa"/>
            <w:vMerge w:val="restart"/>
            <w:vAlign w:val="center"/>
          </w:tcPr>
          <w:p w14:paraId="1A299CA8" w14:textId="77777777" w:rsidR="00DC5685" w:rsidRPr="00A34F10" w:rsidRDefault="00DC5685" w:rsidP="00DC5685">
            <w:pPr>
              <w:jc w:val="center"/>
              <w:rPr>
                <w:sz w:val="20"/>
                <w:szCs w:val="20"/>
              </w:rPr>
            </w:pPr>
            <w:r w:rsidRPr="00A34F10">
              <w:rPr>
                <w:sz w:val="20"/>
                <w:szCs w:val="20"/>
              </w:rPr>
              <w:t xml:space="preserve">20.7 </w:t>
            </w:r>
          </w:p>
        </w:tc>
        <w:tc>
          <w:tcPr>
            <w:tcW w:w="1260" w:type="dxa"/>
            <w:vAlign w:val="center"/>
          </w:tcPr>
          <w:p w14:paraId="496B8A09"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2273" w:type="dxa"/>
            <w:vAlign w:val="center"/>
          </w:tcPr>
          <w:p w14:paraId="3D9B4D2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09EC328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3.01</w:t>
            </w:r>
          </w:p>
        </w:tc>
        <w:tc>
          <w:tcPr>
            <w:tcW w:w="896" w:type="dxa"/>
            <w:vAlign w:val="center"/>
          </w:tcPr>
          <w:p w14:paraId="455C337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55E74A49" w14:textId="77777777" w:rsidTr="000470C3">
        <w:trPr>
          <w:trHeight w:hRule="exact" w:val="288"/>
        </w:trPr>
        <w:tc>
          <w:tcPr>
            <w:tcW w:w="2426" w:type="dxa"/>
            <w:vMerge/>
            <w:vAlign w:val="center"/>
          </w:tcPr>
          <w:p w14:paraId="7E49E171" w14:textId="77777777" w:rsidR="00DC5685" w:rsidRPr="00A34F10" w:rsidRDefault="00DC5685" w:rsidP="00DC5685">
            <w:pPr>
              <w:jc w:val="center"/>
              <w:rPr>
                <w:sz w:val="20"/>
                <w:szCs w:val="20"/>
              </w:rPr>
            </w:pPr>
          </w:p>
        </w:tc>
        <w:tc>
          <w:tcPr>
            <w:tcW w:w="1260" w:type="dxa"/>
            <w:vAlign w:val="center"/>
          </w:tcPr>
          <w:p w14:paraId="735A9BEA"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2273" w:type="dxa"/>
            <w:vAlign w:val="center"/>
          </w:tcPr>
          <w:p w14:paraId="761C678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3ABD7CB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2.73</w:t>
            </w:r>
          </w:p>
        </w:tc>
        <w:tc>
          <w:tcPr>
            <w:tcW w:w="896" w:type="dxa"/>
            <w:vAlign w:val="center"/>
          </w:tcPr>
          <w:p w14:paraId="12655E8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103</w:t>
            </w:r>
          </w:p>
        </w:tc>
      </w:tr>
      <w:tr w:rsidR="00DC5685" w:rsidRPr="00A34F10" w14:paraId="217C385B" w14:textId="77777777" w:rsidTr="000470C3">
        <w:trPr>
          <w:trHeight w:hRule="exact" w:val="288"/>
        </w:trPr>
        <w:tc>
          <w:tcPr>
            <w:tcW w:w="2426" w:type="dxa"/>
            <w:vMerge/>
            <w:vAlign w:val="center"/>
          </w:tcPr>
          <w:p w14:paraId="2519C10A" w14:textId="77777777" w:rsidR="00DC5685" w:rsidRPr="00A34F10" w:rsidRDefault="00DC5685" w:rsidP="00DC5685">
            <w:pPr>
              <w:jc w:val="center"/>
              <w:rPr>
                <w:sz w:val="20"/>
                <w:szCs w:val="20"/>
              </w:rPr>
            </w:pPr>
          </w:p>
        </w:tc>
        <w:tc>
          <w:tcPr>
            <w:tcW w:w="1260" w:type="dxa"/>
            <w:vAlign w:val="center"/>
          </w:tcPr>
          <w:p w14:paraId="680F736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2273" w:type="dxa"/>
            <w:vAlign w:val="center"/>
          </w:tcPr>
          <w:p w14:paraId="33CAF6E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0C6FF15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2.51</w:t>
            </w:r>
          </w:p>
        </w:tc>
        <w:tc>
          <w:tcPr>
            <w:tcW w:w="896" w:type="dxa"/>
            <w:vAlign w:val="center"/>
          </w:tcPr>
          <w:p w14:paraId="3D8B3BA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95.0</w:t>
            </w:r>
          </w:p>
        </w:tc>
      </w:tr>
      <w:tr w:rsidR="00DC5685" w:rsidRPr="00A34F10" w14:paraId="480E7C37" w14:textId="77777777" w:rsidTr="000470C3">
        <w:trPr>
          <w:trHeight w:hRule="exact" w:val="288"/>
        </w:trPr>
        <w:tc>
          <w:tcPr>
            <w:tcW w:w="2426" w:type="dxa"/>
            <w:vMerge/>
            <w:vAlign w:val="center"/>
          </w:tcPr>
          <w:p w14:paraId="358AC7DC" w14:textId="77777777" w:rsidR="00DC5685" w:rsidRPr="00A34F10" w:rsidRDefault="00DC5685" w:rsidP="00DC5685">
            <w:pPr>
              <w:jc w:val="center"/>
              <w:rPr>
                <w:sz w:val="20"/>
                <w:szCs w:val="20"/>
              </w:rPr>
            </w:pPr>
          </w:p>
        </w:tc>
        <w:tc>
          <w:tcPr>
            <w:tcW w:w="1260" w:type="dxa"/>
            <w:vAlign w:val="center"/>
          </w:tcPr>
          <w:p w14:paraId="282223BB"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2273" w:type="dxa"/>
            <w:vAlign w:val="center"/>
          </w:tcPr>
          <w:p w14:paraId="40C18A7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5BEA90C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3.08</w:t>
            </w:r>
          </w:p>
        </w:tc>
        <w:tc>
          <w:tcPr>
            <w:tcW w:w="896" w:type="dxa"/>
            <w:vAlign w:val="center"/>
          </w:tcPr>
          <w:p w14:paraId="50C2464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116</w:t>
            </w:r>
          </w:p>
        </w:tc>
      </w:tr>
      <w:tr w:rsidR="00DC5685" w:rsidRPr="00A34F10" w14:paraId="70F625CB" w14:textId="77777777" w:rsidTr="000470C3">
        <w:trPr>
          <w:trHeight w:hRule="exact" w:val="288"/>
        </w:trPr>
        <w:tc>
          <w:tcPr>
            <w:tcW w:w="2426" w:type="dxa"/>
            <w:vMerge/>
            <w:vAlign w:val="center"/>
          </w:tcPr>
          <w:p w14:paraId="6EC017D4" w14:textId="77777777" w:rsidR="00DC5685" w:rsidRPr="00A34F10" w:rsidRDefault="00DC5685" w:rsidP="00DC5685">
            <w:pPr>
              <w:jc w:val="center"/>
              <w:rPr>
                <w:sz w:val="20"/>
                <w:szCs w:val="20"/>
              </w:rPr>
            </w:pPr>
          </w:p>
        </w:tc>
        <w:tc>
          <w:tcPr>
            <w:tcW w:w="1260" w:type="dxa"/>
            <w:vAlign w:val="center"/>
          </w:tcPr>
          <w:p w14:paraId="5A5F15A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2273" w:type="dxa"/>
            <w:vAlign w:val="center"/>
          </w:tcPr>
          <w:p w14:paraId="0CCE886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6A539E0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2.72</w:t>
            </w:r>
          </w:p>
        </w:tc>
        <w:tc>
          <w:tcPr>
            <w:tcW w:w="896" w:type="dxa"/>
            <w:vAlign w:val="center"/>
          </w:tcPr>
          <w:p w14:paraId="24E143E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103</w:t>
            </w:r>
          </w:p>
        </w:tc>
      </w:tr>
      <w:tr w:rsidR="00DC5685" w:rsidRPr="00A34F10" w14:paraId="7619E80A" w14:textId="77777777" w:rsidTr="000470C3">
        <w:trPr>
          <w:trHeight w:hRule="exact" w:val="288"/>
        </w:trPr>
        <w:tc>
          <w:tcPr>
            <w:tcW w:w="2426" w:type="dxa"/>
            <w:vMerge/>
            <w:vAlign w:val="center"/>
          </w:tcPr>
          <w:p w14:paraId="2E14BDC8" w14:textId="77777777" w:rsidR="00DC5685" w:rsidRPr="00A34F10" w:rsidRDefault="00DC5685" w:rsidP="00DC5685">
            <w:pPr>
              <w:jc w:val="center"/>
              <w:rPr>
                <w:sz w:val="20"/>
                <w:szCs w:val="20"/>
              </w:rPr>
            </w:pPr>
          </w:p>
        </w:tc>
        <w:tc>
          <w:tcPr>
            <w:tcW w:w="1260" w:type="dxa"/>
            <w:vAlign w:val="center"/>
          </w:tcPr>
          <w:p w14:paraId="6CC15DD2"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2273" w:type="dxa"/>
            <w:vAlign w:val="center"/>
          </w:tcPr>
          <w:p w14:paraId="51393C0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1BC07A0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2.75</w:t>
            </w:r>
          </w:p>
        </w:tc>
        <w:tc>
          <w:tcPr>
            <w:tcW w:w="896" w:type="dxa"/>
            <w:vAlign w:val="center"/>
          </w:tcPr>
          <w:p w14:paraId="42168C8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49EC9C17" w14:textId="77777777" w:rsidTr="000470C3">
        <w:trPr>
          <w:trHeight w:hRule="exact" w:val="288"/>
        </w:trPr>
        <w:tc>
          <w:tcPr>
            <w:tcW w:w="2426" w:type="dxa"/>
            <w:vMerge/>
            <w:vAlign w:val="center"/>
          </w:tcPr>
          <w:p w14:paraId="5AE7AF08" w14:textId="77777777" w:rsidR="00DC5685" w:rsidRPr="00A34F10" w:rsidRDefault="00DC5685" w:rsidP="00DC5685">
            <w:pPr>
              <w:jc w:val="center"/>
              <w:rPr>
                <w:sz w:val="20"/>
                <w:szCs w:val="20"/>
              </w:rPr>
            </w:pPr>
          </w:p>
        </w:tc>
        <w:tc>
          <w:tcPr>
            <w:tcW w:w="1260" w:type="dxa"/>
            <w:vAlign w:val="center"/>
          </w:tcPr>
          <w:p w14:paraId="0532B93A"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2273" w:type="dxa"/>
            <w:vAlign w:val="center"/>
          </w:tcPr>
          <w:p w14:paraId="05F8881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2A899FA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2.79</w:t>
            </w:r>
          </w:p>
        </w:tc>
        <w:tc>
          <w:tcPr>
            <w:tcW w:w="896" w:type="dxa"/>
            <w:vAlign w:val="center"/>
          </w:tcPr>
          <w:p w14:paraId="7CBF174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3552E002" w14:textId="77777777" w:rsidTr="000470C3">
        <w:trPr>
          <w:trHeight w:hRule="exact" w:val="288"/>
        </w:trPr>
        <w:tc>
          <w:tcPr>
            <w:tcW w:w="2426" w:type="dxa"/>
            <w:vMerge/>
            <w:vAlign w:val="center"/>
          </w:tcPr>
          <w:p w14:paraId="152CF919" w14:textId="77777777" w:rsidR="00DC5685" w:rsidRPr="00A34F10" w:rsidRDefault="00DC5685" w:rsidP="00DC5685">
            <w:pPr>
              <w:jc w:val="center"/>
              <w:rPr>
                <w:sz w:val="20"/>
                <w:szCs w:val="20"/>
              </w:rPr>
            </w:pPr>
          </w:p>
        </w:tc>
        <w:tc>
          <w:tcPr>
            <w:tcW w:w="1260" w:type="dxa"/>
            <w:vAlign w:val="center"/>
          </w:tcPr>
          <w:p w14:paraId="795CE64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2273" w:type="dxa"/>
            <w:vAlign w:val="center"/>
          </w:tcPr>
          <w:p w14:paraId="7BFB4CD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2.65</w:t>
            </w:r>
          </w:p>
        </w:tc>
        <w:tc>
          <w:tcPr>
            <w:tcW w:w="2495" w:type="dxa"/>
            <w:vAlign w:val="center"/>
          </w:tcPr>
          <w:p w14:paraId="72BEE71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2.61</w:t>
            </w:r>
          </w:p>
        </w:tc>
        <w:tc>
          <w:tcPr>
            <w:tcW w:w="896" w:type="dxa"/>
            <w:vAlign w:val="center"/>
          </w:tcPr>
          <w:p w14:paraId="20B405E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r w:rsidR="00DC5685" w:rsidRPr="00A34F10" w14:paraId="4D8E4B21" w14:textId="77777777" w:rsidTr="000470C3">
        <w:trPr>
          <w:trHeight w:hRule="exact" w:val="288"/>
        </w:trPr>
        <w:tc>
          <w:tcPr>
            <w:tcW w:w="2426" w:type="dxa"/>
            <w:vMerge w:val="restart"/>
            <w:vAlign w:val="center"/>
          </w:tcPr>
          <w:p w14:paraId="476880F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 xml:space="preserve">45.5 </w:t>
            </w:r>
          </w:p>
        </w:tc>
        <w:tc>
          <w:tcPr>
            <w:tcW w:w="1260" w:type="dxa"/>
            <w:vAlign w:val="center"/>
          </w:tcPr>
          <w:p w14:paraId="0F27A40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 h fresh</w:t>
            </w:r>
          </w:p>
        </w:tc>
        <w:tc>
          <w:tcPr>
            <w:tcW w:w="2273" w:type="dxa"/>
            <w:vAlign w:val="center"/>
          </w:tcPr>
          <w:p w14:paraId="7ECD3BE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2280A53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6.90</w:t>
            </w:r>
          </w:p>
        </w:tc>
        <w:tc>
          <w:tcPr>
            <w:tcW w:w="896" w:type="dxa"/>
            <w:vAlign w:val="center"/>
          </w:tcPr>
          <w:p w14:paraId="3C4F697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119</w:t>
            </w:r>
          </w:p>
        </w:tc>
      </w:tr>
      <w:tr w:rsidR="00DC5685" w:rsidRPr="00A34F10" w14:paraId="66687D53" w14:textId="77777777" w:rsidTr="000470C3">
        <w:trPr>
          <w:trHeight w:hRule="exact" w:val="288"/>
        </w:trPr>
        <w:tc>
          <w:tcPr>
            <w:tcW w:w="2426" w:type="dxa"/>
            <w:vMerge/>
            <w:vAlign w:val="center"/>
          </w:tcPr>
          <w:p w14:paraId="66E51AB6"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7E3E9D4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fresh</w:t>
            </w:r>
          </w:p>
        </w:tc>
        <w:tc>
          <w:tcPr>
            <w:tcW w:w="2273" w:type="dxa"/>
            <w:vAlign w:val="center"/>
          </w:tcPr>
          <w:p w14:paraId="4324422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610A7CC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6.86</w:t>
            </w:r>
          </w:p>
        </w:tc>
        <w:tc>
          <w:tcPr>
            <w:tcW w:w="896" w:type="dxa"/>
            <w:vAlign w:val="center"/>
          </w:tcPr>
          <w:p w14:paraId="6A62ABD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118</w:t>
            </w:r>
          </w:p>
        </w:tc>
      </w:tr>
      <w:tr w:rsidR="00DC5685" w:rsidRPr="00A34F10" w14:paraId="0CF71D0E" w14:textId="77777777" w:rsidTr="000470C3">
        <w:trPr>
          <w:trHeight w:hRule="exact" w:val="288"/>
        </w:trPr>
        <w:tc>
          <w:tcPr>
            <w:tcW w:w="2426" w:type="dxa"/>
            <w:vMerge/>
            <w:vAlign w:val="center"/>
          </w:tcPr>
          <w:p w14:paraId="519CC7E5"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6AD87D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aged</w:t>
            </w:r>
          </w:p>
        </w:tc>
        <w:tc>
          <w:tcPr>
            <w:tcW w:w="2273" w:type="dxa"/>
            <w:vAlign w:val="center"/>
          </w:tcPr>
          <w:p w14:paraId="4A4203C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6198932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5.88</w:t>
            </w:r>
          </w:p>
        </w:tc>
        <w:tc>
          <w:tcPr>
            <w:tcW w:w="896" w:type="dxa"/>
            <w:vAlign w:val="center"/>
          </w:tcPr>
          <w:p w14:paraId="35515A0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101</w:t>
            </w:r>
          </w:p>
        </w:tc>
      </w:tr>
      <w:tr w:rsidR="00DC5685" w:rsidRPr="00A34F10" w14:paraId="029B72CA" w14:textId="77777777" w:rsidTr="000470C3">
        <w:trPr>
          <w:trHeight w:hRule="exact" w:val="288"/>
        </w:trPr>
        <w:tc>
          <w:tcPr>
            <w:tcW w:w="2426" w:type="dxa"/>
            <w:vMerge/>
            <w:vAlign w:val="center"/>
          </w:tcPr>
          <w:p w14:paraId="7F224E24"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621CB3C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fresh</w:t>
            </w:r>
          </w:p>
        </w:tc>
        <w:tc>
          <w:tcPr>
            <w:tcW w:w="2273" w:type="dxa"/>
            <w:vAlign w:val="center"/>
          </w:tcPr>
          <w:p w14:paraId="022A17D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23E1433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6.14</w:t>
            </w:r>
          </w:p>
        </w:tc>
        <w:tc>
          <w:tcPr>
            <w:tcW w:w="896" w:type="dxa"/>
            <w:vAlign w:val="center"/>
          </w:tcPr>
          <w:p w14:paraId="13DC39A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6D2518F8" w14:textId="77777777" w:rsidTr="000470C3">
        <w:trPr>
          <w:trHeight w:hRule="exact" w:val="288"/>
        </w:trPr>
        <w:tc>
          <w:tcPr>
            <w:tcW w:w="2426" w:type="dxa"/>
            <w:vMerge/>
            <w:vAlign w:val="center"/>
          </w:tcPr>
          <w:p w14:paraId="208F63AF"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37F0022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aged</w:t>
            </w:r>
          </w:p>
        </w:tc>
        <w:tc>
          <w:tcPr>
            <w:tcW w:w="2273" w:type="dxa"/>
            <w:vAlign w:val="center"/>
          </w:tcPr>
          <w:p w14:paraId="0D903B6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7143F46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6.04</w:t>
            </w:r>
          </w:p>
        </w:tc>
        <w:tc>
          <w:tcPr>
            <w:tcW w:w="896" w:type="dxa"/>
            <w:vAlign w:val="center"/>
          </w:tcPr>
          <w:p w14:paraId="5704C5C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4084E5BE" w14:textId="77777777" w:rsidTr="000470C3">
        <w:trPr>
          <w:trHeight w:hRule="exact" w:val="288"/>
        </w:trPr>
        <w:tc>
          <w:tcPr>
            <w:tcW w:w="2426" w:type="dxa"/>
            <w:vMerge/>
            <w:vAlign w:val="center"/>
          </w:tcPr>
          <w:p w14:paraId="433BD795"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69CA41C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fresh</w:t>
            </w:r>
          </w:p>
        </w:tc>
        <w:tc>
          <w:tcPr>
            <w:tcW w:w="2273" w:type="dxa"/>
            <w:vAlign w:val="center"/>
          </w:tcPr>
          <w:p w14:paraId="0F4A302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2C273A1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6.10</w:t>
            </w:r>
          </w:p>
        </w:tc>
        <w:tc>
          <w:tcPr>
            <w:tcW w:w="896" w:type="dxa"/>
            <w:vAlign w:val="center"/>
          </w:tcPr>
          <w:p w14:paraId="77EC54F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744382DF" w14:textId="77777777" w:rsidTr="000470C3">
        <w:trPr>
          <w:trHeight w:hRule="exact" w:val="288"/>
        </w:trPr>
        <w:tc>
          <w:tcPr>
            <w:tcW w:w="2426" w:type="dxa"/>
            <w:vMerge/>
            <w:vAlign w:val="center"/>
          </w:tcPr>
          <w:p w14:paraId="456E8BA8"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3CF0798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aged</w:t>
            </w:r>
          </w:p>
        </w:tc>
        <w:tc>
          <w:tcPr>
            <w:tcW w:w="2273" w:type="dxa"/>
            <w:vAlign w:val="center"/>
          </w:tcPr>
          <w:p w14:paraId="7072430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6A820C0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5.70</w:t>
            </w:r>
          </w:p>
        </w:tc>
        <w:tc>
          <w:tcPr>
            <w:tcW w:w="896" w:type="dxa"/>
            <w:vAlign w:val="center"/>
          </w:tcPr>
          <w:p w14:paraId="1A135F8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r w:rsidR="00DC5685" w:rsidRPr="00A34F10" w14:paraId="524D59CE" w14:textId="77777777" w:rsidTr="000470C3">
        <w:trPr>
          <w:trHeight w:hRule="exact" w:val="288"/>
        </w:trPr>
        <w:tc>
          <w:tcPr>
            <w:tcW w:w="2426" w:type="dxa"/>
            <w:vMerge/>
            <w:vAlign w:val="center"/>
          </w:tcPr>
          <w:p w14:paraId="5D0088E4"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7890719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2273" w:type="dxa"/>
            <w:vAlign w:val="center"/>
          </w:tcPr>
          <w:p w14:paraId="5863654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5.82</w:t>
            </w:r>
          </w:p>
        </w:tc>
        <w:tc>
          <w:tcPr>
            <w:tcW w:w="2495" w:type="dxa"/>
            <w:vAlign w:val="center"/>
          </w:tcPr>
          <w:p w14:paraId="78306AE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5.78</w:t>
            </w:r>
          </w:p>
        </w:tc>
        <w:tc>
          <w:tcPr>
            <w:tcW w:w="896" w:type="dxa"/>
            <w:vAlign w:val="center"/>
          </w:tcPr>
          <w:p w14:paraId="7482A05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09F38414" w14:textId="77777777" w:rsidTr="000470C3">
        <w:trPr>
          <w:trHeight w:hRule="exact" w:val="288"/>
        </w:trPr>
        <w:tc>
          <w:tcPr>
            <w:tcW w:w="2426" w:type="dxa"/>
            <w:vMerge w:val="restart"/>
            <w:vAlign w:val="center"/>
          </w:tcPr>
          <w:p w14:paraId="7C7B22F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 xml:space="preserve">100 </w:t>
            </w:r>
          </w:p>
        </w:tc>
        <w:tc>
          <w:tcPr>
            <w:tcW w:w="1260" w:type="dxa"/>
            <w:vAlign w:val="center"/>
          </w:tcPr>
          <w:p w14:paraId="1AF8D2C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 h fresh</w:t>
            </w:r>
          </w:p>
        </w:tc>
        <w:tc>
          <w:tcPr>
            <w:tcW w:w="2273" w:type="dxa"/>
            <w:vAlign w:val="center"/>
          </w:tcPr>
          <w:p w14:paraId="56BB7BC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7189614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14.6</w:t>
            </w:r>
          </w:p>
        </w:tc>
        <w:tc>
          <w:tcPr>
            <w:tcW w:w="896" w:type="dxa"/>
            <w:vAlign w:val="center"/>
          </w:tcPr>
          <w:p w14:paraId="3E66D48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27506391" w14:textId="77777777" w:rsidTr="000470C3">
        <w:trPr>
          <w:trHeight w:hRule="exact" w:val="288"/>
        </w:trPr>
        <w:tc>
          <w:tcPr>
            <w:tcW w:w="2426" w:type="dxa"/>
            <w:vMerge/>
            <w:vAlign w:val="center"/>
          </w:tcPr>
          <w:p w14:paraId="5E1EA89D"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5937757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fresh</w:t>
            </w:r>
          </w:p>
        </w:tc>
        <w:tc>
          <w:tcPr>
            <w:tcW w:w="2273" w:type="dxa"/>
            <w:vAlign w:val="center"/>
          </w:tcPr>
          <w:p w14:paraId="3FA2155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4818C26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13.5</w:t>
            </w:r>
          </w:p>
        </w:tc>
        <w:tc>
          <w:tcPr>
            <w:tcW w:w="896" w:type="dxa"/>
            <w:vAlign w:val="center"/>
          </w:tcPr>
          <w:p w14:paraId="78E5EA0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74029AA6" w14:textId="77777777" w:rsidTr="000470C3">
        <w:trPr>
          <w:trHeight w:hRule="exact" w:val="288"/>
        </w:trPr>
        <w:tc>
          <w:tcPr>
            <w:tcW w:w="2426" w:type="dxa"/>
            <w:vMerge/>
            <w:vAlign w:val="center"/>
          </w:tcPr>
          <w:p w14:paraId="520874BC"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29733FF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aged</w:t>
            </w:r>
          </w:p>
        </w:tc>
        <w:tc>
          <w:tcPr>
            <w:tcW w:w="2273" w:type="dxa"/>
            <w:vAlign w:val="center"/>
          </w:tcPr>
          <w:p w14:paraId="4568CCC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6083D78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13.5</w:t>
            </w:r>
          </w:p>
        </w:tc>
        <w:tc>
          <w:tcPr>
            <w:tcW w:w="896" w:type="dxa"/>
            <w:vAlign w:val="center"/>
          </w:tcPr>
          <w:p w14:paraId="3CF0914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r w:rsidR="00DC5685" w:rsidRPr="00A34F10" w14:paraId="4DA5D059" w14:textId="77777777" w:rsidTr="000470C3">
        <w:trPr>
          <w:trHeight w:hRule="exact" w:val="288"/>
        </w:trPr>
        <w:tc>
          <w:tcPr>
            <w:tcW w:w="2426" w:type="dxa"/>
            <w:vMerge/>
            <w:vAlign w:val="center"/>
          </w:tcPr>
          <w:p w14:paraId="22F3B92F"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7B1402A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fresh</w:t>
            </w:r>
          </w:p>
        </w:tc>
        <w:tc>
          <w:tcPr>
            <w:tcW w:w="2273" w:type="dxa"/>
            <w:vAlign w:val="center"/>
          </w:tcPr>
          <w:p w14:paraId="49B7DFC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2E106D7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14.3</w:t>
            </w:r>
          </w:p>
        </w:tc>
        <w:tc>
          <w:tcPr>
            <w:tcW w:w="896" w:type="dxa"/>
            <w:vAlign w:val="center"/>
          </w:tcPr>
          <w:p w14:paraId="47456E5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112</w:t>
            </w:r>
          </w:p>
        </w:tc>
      </w:tr>
      <w:tr w:rsidR="00DC5685" w:rsidRPr="00A34F10" w14:paraId="2089921D" w14:textId="77777777" w:rsidTr="000470C3">
        <w:trPr>
          <w:trHeight w:hRule="exact" w:val="288"/>
        </w:trPr>
        <w:tc>
          <w:tcPr>
            <w:tcW w:w="2426" w:type="dxa"/>
            <w:vMerge/>
            <w:vAlign w:val="center"/>
          </w:tcPr>
          <w:p w14:paraId="6D36C5A3"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6949003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aged</w:t>
            </w:r>
          </w:p>
        </w:tc>
        <w:tc>
          <w:tcPr>
            <w:tcW w:w="2273" w:type="dxa"/>
            <w:vAlign w:val="center"/>
          </w:tcPr>
          <w:p w14:paraId="309A1D8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236B1B2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896" w:type="dxa"/>
            <w:vAlign w:val="center"/>
          </w:tcPr>
          <w:p w14:paraId="5EFCBA7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100</w:t>
            </w:r>
          </w:p>
        </w:tc>
      </w:tr>
      <w:tr w:rsidR="00DC5685" w:rsidRPr="00A34F10" w14:paraId="32475A59" w14:textId="77777777" w:rsidTr="000470C3">
        <w:trPr>
          <w:trHeight w:hRule="exact" w:val="288"/>
        </w:trPr>
        <w:tc>
          <w:tcPr>
            <w:tcW w:w="2426" w:type="dxa"/>
            <w:vMerge/>
            <w:vAlign w:val="center"/>
          </w:tcPr>
          <w:p w14:paraId="58B72F30"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69A175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fresh</w:t>
            </w:r>
          </w:p>
        </w:tc>
        <w:tc>
          <w:tcPr>
            <w:tcW w:w="2273" w:type="dxa"/>
            <w:vAlign w:val="center"/>
          </w:tcPr>
          <w:p w14:paraId="607D077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379545C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14.2</w:t>
            </w:r>
          </w:p>
        </w:tc>
        <w:tc>
          <w:tcPr>
            <w:tcW w:w="896" w:type="dxa"/>
            <w:vAlign w:val="center"/>
          </w:tcPr>
          <w:p w14:paraId="74A3282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111</w:t>
            </w:r>
          </w:p>
        </w:tc>
      </w:tr>
      <w:tr w:rsidR="00DC5685" w:rsidRPr="00A34F10" w14:paraId="717CEBAD" w14:textId="77777777" w:rsidTr="000470C3">
        <w:trPr>
          <w:trHeight w:hRule="exact" w:val="288"/>
        </w:trPr>
        <w:tc>
          <w:tcPr>
            <w:tcW w:w="2426" w:type="dxa"/>
            <w:vMerge/>
            <w:vAlign w:val="center"/>
          </w:tcPr>
          <w:p w14:paraId="7661D295"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21D89E8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aged</w:t>
            </w:r>
          </w:p>
        </w:tc>
        <w:tc>
          <w:tcPr>
            <w:tcW w:w="2273" w:type="dxa"/>
            <w:vAlign w:val="center"/>
          </w:tcPr>
          <w:p w14:paraId="0E47945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6B119C0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13.6</w:t>
            </w:r>
          </w:p>
        </w:tc>
        <w:tc>
          <w:tcPr>
            <w:tcW w:w="896" w:type="dxa"/>
            <w:vAlign w:val="center"/>
          </w:tcPr>
          <w:p w14:paraId="1D9B7FA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106</w:t>
            </w:r>
          </w:p>
        </w:tc>
      </w:tr>
      <w:tr w:rsidR="00DC5685" w:rsidRPr="00A34F10" w14:paraId="5AA54ED2" w14:textId="77777777" w:rsidTr="000470C3">
        <w:trPr>
          <w:trHeight w:hRule="exact" w:val="288"/>
        </w:trPr>
        <w:tc>
          <w:tcPr>
            <w:tcW w:w="2426" w:type="dxa"/>
            <w:vMerge/>
            <w:vAlign w:val="center"/>
          </w:tcPr>
          <w:p w14:paraId="606A4D06"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6919BEB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2273" w:type="dxa"/>
            <w:vAlign w:val="center"/>
          </w:tcPr>
          <w:p w14:paraId="1BB63CA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12.8</w:t>
            </w:r>
          </w:p>
        </w:tc>
        <w:tc>
          <w:tcPr>
            <w:tcW w:w="2495" w:type="dxa"/>
            <w:vAlign w:val="center"/>
          </w:tcPr>
          <w:p w14:paraId="3941F27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13.5</w:t>
            </w:r>
          </w:p>
        </w:tc>
        <w:tc>
          <w:tcPr>
            <w:tcW w:w="896" w:type="dxa"/>
            <w:vAlign w:val="center"/>
          </w:tcPr>
          <w:p w14:paraId="3200901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105</w:t>
            </w:r>
          </w:p>
        </w:tc>
      </w:tr>
    </w:tbl>
    <w:p w14:paraId="12CDC787" w14:textId="15794971" w:rsidR="00DC5685" w:rsidRPr="00A34F10" w:rsidRDefault="00DC5685" w:rsidP="00DC5685">
      <w:pPr>
        <w:spacing w:before="60"/>
        <w:rPr>
          <w:sz w:val="18"/>
          <w:szCs w:val="18"/>
          <w:lang w:val="x-none"/>
        </w:rPr>
      </w:pPr>
      <w:r w:rsidRPr="00A34F10">
        <w:rPr>
          <w:sz w:val="18"/>
          <w:szCs w:val="18"/>
          <w:lang w:val="x-none"/>
        </w:rPr>
        <w:t>LOQ = 0.0547 mg Ametoctradin/L</w:t>
      </w:r>
      <w:r w:rsidRPr="00A34F10">
        <w:rPr>
          <w:sz w:val="18"/>
          <w:szCs w:val="18"/>
        </w:rPr>
        <w:t xml:space="preserve">, </w:t>
      </w:r>
      <w:r w:rsidRPr="00A34F10">
        <w:rPr>
          <w:sz w:val="18"/>
          <w:szCs w:val="18"/>
          <w:lang w:val="x-none"/>
        </w:rPr>
        <w:t>LOD = 0.00160 mg Ametoctradin/L</w:t>
      </w:r>
    </w:p>
    <w:p w14:paraId="69032E1E" w14:textId="3A0D2C56" w:rsidR="00923CC4" w:rsidRPr="00A34F10" w:rsidRDefault="00923CC4" w:rsidP="00DC5685">
      <w:pPr>
        <w:spacing w:before="60"/>
        <w:rPr>
          <w:sz w:val="18"/>
          <w:szCs w:val="18"/>
          <w:lang w:val="x-none"/>
        </w:rPr>
      </w:pPr>
    </w:p>
    <w:p w14:paraId="266AA740" w14:textId="77777777" w:rsidR="00923CC4" w:rsidRPr="00A34F10" w:rsidRDefault="00923CC4" w:rsidP="00DC5685">
      <w:pPr>
        <w:spacing w:before="60"/>
        <w:rPr>
          <w:sz w:val="18"/>
          <w:szCs w:val="18"/>
          <w:lang w:val="x-none"/>
        </w:rPr>
      </w:pPr>
    </w:p>
    <w:p w14:paraId="7B6C3578" w14:textId="51C92AFF" w:rsidR="00DC5685" w:rsidRPr="00A34F10" w:rsidRDefault="004F7AD1" w:rsidP="004F7AD1">
      <w:pPr>
        <w:pStyle w:val="Legenda"/>
        <w:rPr>
          <w:highlight w:val="yellow"/>
        </w:rPr>
      </w:pPr>
      <w:r>
        <w:t xml:space="preserve">Table A </w:t>
      </w:r>
      <w:r>
        <w:fldChar w:fldCharType="begin"/>
      </w:r>
      <w:r>
        <w:instrText xml:space="preserve"> SEQ Table_A \* ARABIC </w:instrText>
      </w:r>
      <w:r>
        <w:fldChar w:fldCharType="separate"/>
      </w:r>
      <w:r w:rsidR="006F0F3B">
        <w:rPr>
          <w:noProof/>
        </w:rPr>
        <w:t>5</w:t>
      </w:r>
      <w:r>
        <w:fldChar w:fldCharType="end"/>
      </w:r>
      <w:r w:rsidR="00CF03B2" w:rsidRPr="00A34F10">
        <w:t>:</w:t>
      </w:r>
      <w:r w:rsidR="00DC5685" w:rsidRPr="00A34F10">
        <w:tab/>
        <w:t xml:space="preserve">Measured concentrations of Propamocarb </w:t>
      </w:r>
      <w:r w:rsidR="00DC5685" w:rsidRPr="00A34F10">
        <w:rPr>
          <w:lang w:val="x-none"/>
        </w:rPr>
        <w:t xml:space="preserve">in </w:t>
      </w:r>
      <w:r w:rsidR="00DC5685" w:rsidRPr="00A34F10">
        <w:t>test water</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firstRow="1" w:lastRow="0" w:firstColumn="0" w:lastColumn="0" w:noHBand="0" w:noVBand="0"/>
      </w:tblPr>
      <w:tblGrid>
        <w:gridCol w:w="2426"/>
        <w:gridCol w:w="1260"/>
        <w:gridCol w:w="1980"/>
        <w:gridCol w:w="2788"/>
        <w:gridCol w:w="896"/>
      </w:tblGrid>
      <w:tr w:rsidR="00DC5685" w:rsidRPr="00A34F10" w14:paraId="77EE773D" w14:textId="77777777" w:rsidTr="000470C3">
        <w:trPr>
          <w:trHeight w:val="20"/>
          <w:tblHeader/>
        </w:trPr>
        <w:tc>
          <w:tcPr>
            <w:tcW w:w="2426" w:type="dxa"/>
            <w:vAlign w:val="center"/>
          </w:tcPr>
          <w:p w14:paraId="014C3BFA" w14:textId="77777777" w:rsidR="00DC5685" w:rsidRPr="00A34F10" w:rsidRDefault="00DC5685" w:rsidP="00DC5685">
            <w:pPr>
              <w:tabs>
                <w:tab w:val="left" w:pos="1305"/>
              </w:tabs>
              <w:kinsoku w:val="0"/>
              <w:overflowPunct w:val="0"/>
              <w:autoSpaceDE w:val="0"/>
              <w:autoSpaceDN w:val="0"/>
              <w:adjustRightInd w:val="0"/>
              <w:spacing w:before="60"/>
              <w:ind w:left="113"/>
              <w:jc w:val="center"/>
              <w:rPr>
                <w:b/>
                <w:sz w:val="20"/>
                <w:szCs w:val="20"/>
              </w:rPr>
            </w:pPr>
            <w:r w:rsidRPr="00A34F10">
              <w:rPr>
                <w:b/>
                <w:color w:val="000000"/>
                <w:sz w:val="20"/>
                <w:szCs w:val="20"/>
              </w:rPr>
              <w:t>Test item [mg product/L]</w:t>
            </w:r>
          </w:p>
        </w:tc>
        <w:tc>
          <w:tcPr>
            <w:tcW w:w="1260" w:type="dxa"/>
            <w:vAlign w:val="center"/>
          </w:tcPr>
          <w:p w14:paraId="64A59134" w14:textId="77777777" w:rsidR="00DC5685" w:rsidRPr="00A34F10" w:rsidRDefault="00DC5685" w:rsidP="00DC5685">
            <w:pPr>
              <w:kinsoku w:val="0"/>
              <w:overflowPunct w:val="0"/>
              <w:autoSpaceDE w:val="0"/>
              <w:autoSpaceDN w:val="0"/>
              <w:adjustRightInd w:val="0"/>
              <w:spacing w:before="60"/>
              <w:jc w:val="center"/>
              <w:rPr>
                <w:rFonts w:eastAsia="Calibri"/>
                <w:b/>
                <w:bCs/>
                <w:sz w:val="20"/>
                <w:szCs w:val="20"/>
                <w:lang w:eastAsia="zh-CN"/>
              </w:rPr>
            </w:pPr>
            <w:r w:rsidRPr="00A34F10">
              <w:rPr>
                <w:rFonts w:eastAsia="Calibri"/>
                <w:b/>
                <w:bCs/>
                <w:sz w:val="20"/>
                <w:szCs w:val="20"/>
                <w:lang w:eastAsia="zh-CN"/>
              </w:rPr>
              <w:t>Sampling Time</w:t>
            </w:r>
          </w:p>
        </w:tc>
        <w:tc>
          <w:tcPr>
            <w:tcW w:w="1980" w:type="dxa"/>
            <w:vAlign w:val="center"/>
          </w:tcPr>
          <w:p w14:paraId="3EC05840"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Nominal Concentration</w:t>
            </w:r>
            <w:r w:rsidRPr="00A34F10">
              <w:rPr>
                <w:b/>
                <w:sz w:val="20"/>
                <w:szCs w:val="20"/>
              </w:rPr>
              <w:br/>
              <w:t>[mg a.s./L]</w:t>
            </w:r>
          </w:p>
        </w:tc>
        <w:tc>
          <w:tcPr>
            <w:tcW w:w="2788" w:type="dxa"/>
            <w:vAlign w:val="center"/>
          </w:tcPr>
          <w:p w14:paraId="740664D1"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Measured Concentration [mg a.s./L]</w:t>
            </w:r>
          </w:p>
        </w:tc>
        <w:tc>
          <w:tcPr>
            <w:tcW w:w="896" w:type="dxa"/>
            <w:vAlign w:val="center"/>
          </w:tcPr>
          <w:p w14:paraId="34569066" w14:textId="77777777" w:rsidR="00DC5685" w:rsidRPr="00A34F10" w:rsidRDefault="00DC5685" w:rsidP="00DC5685">
            <w:pPr>
              <w:kinsoku w:val="0"/>
              <w:overflowPunct w:val="0"/>
              <w:autoSpaceDE w:val="0"/>
              <w:autoSpaceDN w:val="0"/>
              <w:adjustRightInd w:val="0"/>
              <w:spacing w:before="60"/>
              <w:jc w:val="center"/>
              <w:rPr>
                <w:b/>
                <w:sz w:val="20"/>
                <w:szCs w:val="20"/>
              </w:rPr>
            </w:pPr>
            <w:r w:rsidRPr="00A34F10">
              <w:rPr>
                <w:b/>
                <w:sz w:val="20"/>
                <w:szCs w:val="20"/>
              </w:rPr>
              <w:t>Recovery</w:t>
            </w:r>
            <w:r w:rsidRPr="00A34F10">
              <w:rPr>
                <w:b/>
                <w:sz w:val="20"/>
                <w:szCs w:val="20"/>
              </w:rPr>
              <w:br/>
              <w:t>[%]</w:t>
            </w:r>
          </w:p>
        </w:tc>
      </w:tr>
      <w:tr w:rsidR="00DC5685" w:rsidRPr="00A34F10" w14:paraId="2F22D992" w14:textId="77777777" w:rsidTr="000470C3">
        <w:trPr>
          <w:trHeight w:hRule="exact" w:val="288"/>
        </w:trPr>
        <w:tc>
          <w:tcPr>
            <w:tcW w:w="2426" w:type="dxa"/>
            <w:vMerge w:val="restart"/>
            <w:vAlign w:val="center"/>
          </w:tcPr>
          <w:p w14:paraId="1261455E" w14:textId="77777777" w:rsidR="00DC5685" w:rsidRPr="00A34F10" w:rsidRDefault="00DC5685" w:rsidP="00DC5685">
            <w:pPr>
              <w:jc w:val="center"/>
              <w:rPr>
                <w:sz w:val="20"/>
                <w:szCs w:val="20"/>
              </w:rPr>
            </w:pPr>
            <w:r w:rsidRPr="00A34F10">
              <w:rPr>
                <w:sz w:val="20"/>
                <w:szCs w:val="20"/>
              </w:rPr>
              <w:t>Control</w:t>
            </w:r>
          </w:p>
        </w:tc>
        <w:tc>
          <w:tcPr>
            <w:tcW w:w="1260" w:type="dxa"/>
            <w:vAlign w:val="center"/>
          </w:tcPr>
          <w:p w14:paraId="38AED15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1980" w:type="dxa"/>
            <w:vAlign w:val="center"/>
          </w:tcPr>
          <w:p w14:paraId="25A18DD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41CB0A0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254DA79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4801B9B3" w14:textId="77777777" w:rsidTr="000470C3">
        <w:trPr>
          <w:trHeight w:hRule="exact" w:val="288"/>
        </w:trPr>
        <w:tc>
          <w:tcPr>
            <w:tcW w:w="2426" w:type="dxa"/>
            <w:vMerge/>
            <w:vAlign w:val="center"/>
          </w:tcPr>
          <w:p w14:paraId="670172BB" w14:textId="77777777" w:rsidR="00DC5685" w:rsidRPr="00A34F10" w:rsidRDefault="00DC5685" w:rsidP="00DC5685">
            <w:pPr>
              <w:jc w:val="center"/>
              <w:rPr>
                <w:sz w:val="20"/>
                <w:szCs w:val="20"/>
              </w:rPr>
            </w:pPr>
          </w:p>
        </w:tc>
        <w:tc>
          <w:tcPr>
            <w:tcW w:w="1260" w:type="dxa"/>
            <w:vAlign w:val="center"/>
          </w:tcPr>
          <w:p w14:paraId="3D9B4EB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1980" w:type="dxa"/>
            <w:vAlign w:val="center"/>
          </w:tcPr>
          <w:p w14:paraId="0A27BA1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3119F41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4BB709D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7B287173" w14:textId="77777777" w:rsidTr="000470C3">
        <w:trPr>
          <w:trHeight w:hRule="exact" w:val="288"/>
        </w:trPr>
        <w:tc>
          <w:tcPr>
            <w:tcW w:w="2426" w:type="dxa"/>
            <w:vMerge/>
            <w:vAlign w:val="center"/>
          </w:tcPr>
          <w:p w14:paraId="053DE923" w14:textId="77777777" w:rsidR="00DC5685" w:rsidRPr="00A34F10" w:rsidRDefault="00DC5685" w:rsidP="00DC5685">
            <w:pPr>
              <w:jc w:val="center"/>
              <w:rPr>
                <w:sz w:val="20"/>
                <w:szCs w:val="20"/>
              </w:rPr>
            </w:pPr>
          </w:p>
        </w:tc>
        <w:tc>
          <w:tcPr>
            <w:tcW w:w="1260" w:type="dxa"/>
            <w:vAlign w:val="center"/>
          </w:tcPr>
          <w:p w14:paraId="3325A6C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1980" w:type="dxa"/>
            <w:vAlign w:val="center"/>
          </w:tcPr>
          <w:p w14:paraId="467BE99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1ABC789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4B6BA1B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38A3D0F3" w14:textId="77777777" w:rsidTr="000470C3">
        <w:trPr>
          <w:trHeight w:hRule="exact" w:val="288"/>
        </w:trPr>
        <w:tc>
          <w:tcPr>
            <w:tcW w:w="2426" w:type="dxa"/>
            <w:vMerge/>
            <w:vAlign w:val="center"/>
          </w:tcPr>
          <w:p w14:paraId="599545E8" w14:textId="77777777" w:rsidR="00DC5685" w:rsidRPr="00A34F10" w:rsidRDefault="00DC5685" w:rsidP="00DC5685">
            <w:pPr>
              <w:jc w:val="center"/>
              <w:rPr>
                <w:sz w:val="20"/>
                <w:szCs w:val="20"/>
              </w:rPr>
            </w:pPr>
          </w:p>
        </w:tc>
        <w:tc>
          <w:tcPr>
            <w:tcW w:w="1260" w:type="dxa"/>
            <w:vAlign w:val="center"/>
          </w:tcPr>
          <w:p w14:paraId="4EA7BC4F"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1980" w:type="dxa"/>
            <w:vAlign w:val="center"/>
          </w:tcPr>
          <w:p w14:paraId="13EFF32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7750BBF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6F4802E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30589FF2" w14:textId="77777777" w:rsidTr="000470C3">
        <w:trPr>
          <w:trHeight w:hRule="exact" w:val="288"/>
        </w:trPr>
        <w:tc>
          <w:tcPr>
            <w:tcW w:w="2426" w:type="dxa"/>
            <w:vMerge/>
            <w:vAlign w:val="center"/>
          </w:tcPr>
          <w:p w14:paraId="7F93D84F" w14:textId="77777777" w:rsidR="00DC5685" w:rsidRPr="00A34F10" w:rsidRDefault="00DC5685" w:rsidP="00DC5685">
            <w:pPr>
              <w:jc w:val="center"/>
              <w:rPr>
                <w:sz w:val="20"/>
                <w:szCs w:val="20"/>
              </w:rPr>
            </w:pPr>
          </w:p>
        </w:tc>
        <w:tc>
          <w:tcPr>
            <w:tcW w:w="1260" w:type="dxa"/>
            <w:vAlign w:val="center"/>
          </w:tcPr>
          <w:p w14:paraId="65DE4D53"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1980" w:type="dxa"/>
            <w:vAlign w:val="center"/>
          </w:tcPr>
          <w:p w14:paraId="1C49687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47391B4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74D87DA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34603868" w14:textId="77777777" w:rsidTr="000470C3">
        <w:trPr>
          <w:trHeight w:hRule="exact" w:val="288"/>
        </w:trPr>
        <w:tc>
          <w:tcPr>
            <w:tcW w:w="2426" w:type="dxa"/>
            <w:vMerge/>
            <w:vAlign w:val="center"/>
          </w:tcPr>
          <w:p w14:paraId="52FCD690" w14:textId="77777777" w:rsidR="00DC5685" w:rsidRPr="00A34F10" w:rsidRDefault="00DC5685" w:rsidP="00DC5685">
            <w:pPr>
              <w:jc w:val="center"/>
              <w:rPr>
                <w:sz w:val="20"/>
                <w:szCs w:val="20"/>
              </w:rPr>
            </w:pPr>
          </w:p>
        </w:tc>
        <w:tc>
          <w:tcPr>
            <w:tcW w:w="1260" w:type="dxa"/>
            <w:vAlign w:val="center"/>
          </w:tcPr>
          <w:p w14:paraId="48C02F60"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1980" w:type="dxa"/>
            <w:vAlign w:val="center"/>
          </w:tcPr>
          <w:p w14:paraId="0FE6404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0F3CCBC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2A63091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4B265F2C" w14:textId="77777777" w:rsidTr="000470C3">
        <w:trPr>
          <w:trHeight w:hRule="exact" w:val="288"/>
        </w:trPr>
        <w:tc>
          <w:tcPr>
            <w:tcW w:w="2426" w:type="dxa"/>
            <w:vMerge/>
            <w:vAlign w:val="center"/>
          </w:tcPr>
          <w:p w14:paraId="6A60B616" w14:textId="77777777" w:rsidR="00DC5685" w:rsidRPr="00A34F10" w:rsidRDefault="00DC5685" w:rsidP="00DC5685">
            <w:pPr>
              <w:jc w:val="center"/>
              <w:rPr>
                <w:sz w:val="20"/>
                <w:szCs w:val="20"/>
              </w:rPr>
            </w:pPr>
          </w:p>
        </w:tc>
        <w:tc>
          <w:tcPr>
            <w:tcW w:w="1260" w:type="dxa"/>
            <w:vAlign w:val="center"/>
          </w:tcPr>
          <w:p w14:paraId="1B364EB3"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1980" w:type="dxa"/>
            <w:vAlign w:val="center"/>
          </w:tcPr>
          <w:p w14:paraId="0D75E14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7E510A4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0603642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40EA763F" w14:textId="77777777" w:rsidTr="000470C3">
        <w:trPr>
          <w:trHeight w:hRule="exact" w:val="288"/>
        </w:trPr>
        <w:tc>
          <w:tcPr>
            <w:tcW w:w="2426" w:type="dxa"/>
            <w:vMerge/>
            <w:vAlign w:val="center"/>
          </w:tcPr>
          <w:p w14:paraId="1A1DF281" w14:textId="77777777" w:rsidR="00DC5685" w:rsidRPr="00A34F10" w:rsidRDefault="00DC5685" w:rsidP="00DC5685">
            <w:pPr>
              <w:jc w:val="center"/>
              <w:rPr>
                <w:sz w:val="20"/>
                <w:szCs w:val="20"/>
              </w:rPr>
            </w:pPr>
          </w:p>
        </w:tc>
        <w:tc>
          <w:tcPr>
            <w:tcW w:w="1260" w:type="dxa"/>
            <w:vAlign w:val="center"/>
          </w:tcPr>
          <w:p w14:paraId="09ECF85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1980" w:type="dxa"/>
            <w:vAlign w:val="center"/>
          </w:tcPr>
          <w:p w14:paraId="62FFBAE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0.0</w:t>
            </w:r>
          </w:p>
        </w:tc>
        <w:tc>
          <w:tcPr>
            <w:tcW w:w="2788" w:type="dxa"/>
            <w:vAlign w:val="center"/>
          </w:tcPr>
          <w:p w14:paraId="07B3257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w:t>
            </w:r>
          </w:p>
        </w:tc>
        <w:tc>
          <w:tcPr>
            <w:tcW w:w="896" w:type="dxa"/>
            <w:vAlign w:val="center"/>
          </w:tcPr>
          <w:p w14:paraId="7EAFFF8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&lt;LOD</w:t>
            </w:r>
          </w:p>
        </w:tc>
      </w:tr>
      <w:tr w:rsidR="00DC5685" w:rsidRPr="00A34F10" w14:paraId="7C8DF953" w14:textId="77777777" w:rsidTr="000470C3">
        <w:trPr>
          <w:trHeight w:hRule="exact" w:val="288"/>
        </w:trPr>
        <w:tc>
          <w:tcPr>
            <w:tcW w:w="2426" w:type="dxa"/>
            <w:vMerge w:val="restart"/>
            <w:vAlign w:val="center"/>
          </w:tcPr>
          <w:p w14:paraId="7DC71C22" w14:textId="77777777" w:rsidR="00DC5685" w:rsidRPr="00A34F10" w:rsidRDefault="00DC5685" w:rsidP="00DC5685">
            <w:pPr>
              <w:jc w:val="center"/>
              <w:rPr>
                <w:sz w:val="20"/>
                <w:szCs w:val="20"/>
              </w:rPr>
            </w:pPr>
            <w:r w:rsidRPr="00A34F10">
              <w:rPr>
                <w:sz w:val="20"/>
                <w:szCs w:val="20"/>
              </w:rPr>
              <w:t>4.27</w:t>
            </w:r>
          </w:p>
        </w:tc>
        <w:tc>
          <w:tcPr>
            <w:tcW w:w="1260" w:type="dxa"/>
            <w:vAlign w:val="center"/>
          </w:tcPr>
          <w:p w14:paraId="5A8F4EF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1980" w:type="dxa"/>
            <w:vAlign w:val="center"/>
          </w:tcPr>
          <w:p w14:paraId="46D55B6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022174E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2.08</w:t>
            </w:r>
          </w:p>
        </w:tc>
        <w:tc>
          <w:tcPr>
            <w:tcW w:w="896" w:type="dxa"/>
            <w:vAlign w:val="center"/>
          </w:tcPr>
          <w:p w14:paraId="588EE25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122</w:t>
            </w:r>
          </w:p>
        </w:tc>
      </w:tr>
      <w:tr w:rsidR="00DC5685" w:rsidRPr="00A34F10" w14:paraId="29981AEB" w14:textId="77777777" w:rsidTr="000470C3">
        <w:trPr>
          <w:trHeight w:hRule="exact" w:val="288"/>
        </w:trPr>
        <w:tc>
          <w:tcPr>
            <w:tcW w:w="2426" w:type="dxa"/>
            <w:vMerge/>
            <w:vAlign w:val="center"/>
          </w:tcPr>
          <w:p w14:paraId="6DA2CE33" w14:textId="77777777" w:rsidR="00DC5685" w:rsidRPr="00A34F10" w:rsidRDefault="00DC5685" w:rsidP="00DC5685">
            <w:pPr>
              <w:jc w:val="center"/>
              <w:rPr>
                <w:sz w:val="20"/>
                <w:szCs w:val="20"/>
              </w:rPr>
            </w:pPr>
          </w:p>
        </w:tc>
        <w:tc>
          <w:tcPr>
            <w:tcW w:w="1260" w:type="dxa"/>
            <w:vAlign w:val="center"/>
          </w:tcPr>
          <w:p w14:paraId="19CD6DD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1980" w:type="dxa"/>
            <w:vAlign w:val="center"/>
          </w:tcPr>
          <w:p w14:paraId="78FBBFE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6CFEB35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1.89</w:t>
            </w:r>
          </w:p>
        </w:tc>
        <w:tc>
          <w:tcPr>
            <w:tcW w:w="896" w:type="dxa"/>
            <w:vAlign w:val="center"/>
          </w:tcPr>
          <w:p w14:paraId="0234406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111</w:t>
            </w:r>
          </w:p>
        </w:tc>
      </w:tr>
      <w:tr w:rsidR="00DC5685" w:rsidRPr="00A34F10" w14:paraId="492AEC21" w14:textId="77777777" w:rsidTr="000470C3">
        <w:trPr>
          <w:trHeight w:hRule="exact" w:val="288"/>
        </w:trPr>
        <w:tc>
          <w:tcPr>
            <w:tcW w:w="2426" w:type="dxa"/>
            <w:vMerge/>
            <w:vAlign w:val="center"/>
          </w:tcPr>
          <w:p w14:paraId="4B4D7F3E" w14:textId="77777777" w:rsidR="00DC5685" w:rsidRPr="00A34F10" w:rsidRDefault="00DC5685" w:rsidP="00DC5685">
            <w:pPr>
              <w:jc w:val="center"/>
              <w:rPr>
                <w:sz w:val="20"/>
                <w:szCs w:val="20"/>
              </w:rPr>
            </w:pPr>
          </w:p>
        </w:tc>
        <w:tc>
          <w:tcPr>
            <w:tcW w:w="1260" w:type="dxa"/>
            <w:vAlign w:val="center"/>
          </w:tcPr>
          <w:p w14:paraId="77173E2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1980" w:type="dxa"/>
            <w:vAlign w:val="center"/>
          </w:tcPr>
          <w:p w14:paraId="51B7FC5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1A595D6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2.00</w:t>
            </w:r>
          </w:p>
        </w:tc>
        <w:tc>
          <w:tcPr>
            <w:tcW w:w="896" w:type="dxa"/>
            <w:vAlign w:val="center"/>
          </w:tcPr>
          <w:p w14:paraId="71619F5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118</w:t>
            </w:r>
          </w:p>
        </w:tc>
      </w:tr>
      <w:tr w:rsidR="00DC5685" w:rsidRPr="00A34F10" w14:paraId="333C3BEE" w14:textId="77777777" w:rsidTr="000470C3">
        <w:trPr>
          <w:trHeight w:hRule="exact" w:val="288"/>
        </w:trPr>
        <w:tc>
          <w:tcPr>
            <w:tcW w:w="2426" w:type="dxa"/>
            <w:vMerge/>
            <w:vAlign w:val="center"/>
          </w:tcPr>
          <w:p w14:paraId="0EB17CE4" w14:textId="77777777" w:rsidR="00DC5685" w:rsidRPr="00A34F10" w:rsidRDefault="00DC5685" w:rsidP="00DC5685">
            <w:pPr>
              <w:jc w:val="center"/>
              <w:rPr>
                <w:sz w:val="20"/>
                <w:szCs w:val="20"/>
              </w:rPr>
            </w:pPr>
          </w:p>
        </w:tc>
        <w:tc>
          <w:tcPr>
            <w:tcW w:w="1260" w:type="dxa"/>
            <w:vAlign w:val="center"/>
          </w:tcPr>
          <w:p w14:paraId="4A10F492"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1980" w:type="dxa"/>
            <w:vAlign w:val="center"/>
          </w:tcPr>
          <w:p w14:paraId="0783524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53F8C52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1.97</w:t>
            </w:r>
          </w:p>
        </w:tc>
        <w:tc>
          <w:tcPr>
            <w:tcW w:w="896" w:type="dxa"/>
            <w:vAlign w:val="center"/>
          </w:tcPr>
          <w:p w14:paraId="09AFAAE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116</w:t>
            </w:r>
          </w:p>
        </w:tc>
      </w:tr>
      <w:tr w:rsidR="00DC5685" w:rsidRPr="00A34F10" w14:paraId="26C610AC" w14:textId="77777777" w:rsidTr="000470C3">
        <w:trPr>
          <w:trHeight w:hRule="exact" w:val="288"/>
        </w:trPr>
        <w:tc>
          <w:tcPr>
            <w:tcW w:w="2426" w:type="dxa"/>
            <w:vMerge/>
            <w:vAlign w:val="center"/>
          </w:tcPr>
          <w:p w14:paraId="28D3F566" w14:textId="77777777" w:rsidR="00DC5685" w:rsidRPr="00A34F10" w:rsidRDefault="00DC5685" w:rsidP="00DC5685">
            <w:pPr>
              <w:jc w:val="center"/>
              <w:rPr>
                <w:sz w:val="20"/>
                <w:szCs w:val="20"/>
              </w:rPr>
            </w:pPr>
          </w:p>
        </w:tc>
        <w:tc>
          <w:tcPr>
            <w:tcW w:w="1260" w:type="dxa"/>
            <w:vAlign w:val="center"/>
          </w:tcPr>
          <w:p w14:paraId="667A1F0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1980" w:type="dxa"/>
            <w:vAlign w:val="center"/>
          </w:tcPr>
          <w:p w14:paraId="7605024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3934E9C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1.97</w:t>
            </w:r>
          </w:p>
        </w:tc>
        <w:tc>
          <w:tcPr>
            <w:tcW w:w="896" w:type="dxa"/>
            <w:vAlign w:val="center"/>
          </w:tcPr>
          <w:p w14:paraId="3DF979E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116</w:t>
            </w:r>
          </w:p>
        </w:tc>
      </w:tr>
      <w:tr w:rsidR="00DC5685" w:rsidRPr="00A34F10" w14:paraId="63BCC970" w14:textId="77777777" w:rsidTr="000470C3">
        <w:trPr>
          <w:trHeight w:hRule="exact" w:val="288"/>
        </w:trPr>
        <w:tc>
          <w:tcPr>
            <w:tcW w:w="2426" w:type="dxa"/>
            <w:vMerge/>
            <w:vAlign w:val="center"/>
          </w:tcPr>
          <w:p w14:paraId="177A5F18" w14:textId="77777777" w:rsidR="00DC5685" w:rsidRPr="00A34F10" w:rsidRDefault="00DC5685" w:rsidP="00DC5685">
            <w:pPr>
              <w:jc w:val="center"/>
              <w:rPr>
                <w:sz w:val="20"/>
                <w:szCs w:val="20"/>
              </w:rPr>
            </w:pPr>
          </w:p>
        </w:tc>
        <w:tc>
          <w:tcPr>
            <w:tcW w:w="1260" w:type="dxa"/>
            <w:vAlign w:val="center"/>
          </w:tcPr>
          <w:p w14:paraId="4C9ECF92"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1980" w:type="dxa"/>
            <w:vAlign w:val="center"/>
          </w:tcPr>
          <w:p w14:paraId="038DE23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752B369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1.57</w:t>
            </w:r>
          </w:p>
        </w:tc>
        <w:tc>
          <w:tcPr>
            <w:tcW w:w="896" w:type="dxa"/>
            <w:vAlign w:val="center"/>
          </w:tcPr>
          <w:p w14:paraId="15D9E89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92.0</w:t>
            </w:r>
          </w:p>
        </w:tc>
      </w:tr>
      <w:tr w:rsidR="00DC5685" w:rsidRPr="00A34F10" w14:paraId="0EAAB1D4" w14:textId="77777777" w:rsidTr="000470C3">
        <w:trPr>
          <w:trHeight w:hRule="exact" w:val="288"/>
        </w:trPr>
        <w:tc>
          <w:tcPr>
            <w:tcW w:w="2426" w:type="dxa"/>
            <w:vMerge/>
            <w:vAlign w:val="center"/>
          </w:tcPr>
          <w:p w14:paraId="5C88ACB2" w14:textId="77777777" w:rsidR="00DC5685" w:rsidRPr="00A34F10" w:rsidRDefault="00DC5685" w:rsidP="00DC5685">
            <w:pPr>
              <w:jc w:val="center"/>
              <w:rPr>
                <w:sz w:val="20"/>
                <w:szCs w:val="20"/>
              </w:rPr>
            </w:pPr>
          </w:p>
        </w:tc>
        <w:tc>
          <w:tcPr>
            <w:tcW w:w="1260" w:type="dxa"/>
            <w:vAlign w:val="center"/>
          </w:tcPr>
          <w:p w14:paraId="02560ECC"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1980" w:type="dxa"/>
            <w:vAlign w:val="center"/>
          </w:tcPr>
          <w:p w14:paraId="3A824B5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3390973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2.06</w:t>
            </w:r>
          </w:p>
        </w:tc>
        <w:tc>
          <w:tcPr>
            <w:tcW w:w="896" w:type="dxa"/>
            <w:vAlign w:val="center"/>
          </w:tcPr>
          <w:p w14:paraId="4D06886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121</w:t>
            </w:r>
          </w:p>
        </w:tc>
      </w:tr>
      <w:tr w:rsidR="00DC5685" w:rsidRPr="00A34F10" w14:paraId="4A942925" w14:textId="77777777" w:rsidTr="000470C3">
        <w:trPr>
          <w:trHeight w:hRule="exact" w:val="288"/>
        </w:trPr>
        <w:tc>
          <w:tcPr>
            <w:tcW w:w="2426" w:type="dxa"/>
            <w:vMerge/>
            <w:vAlign w:val="center"/>
          </w:tcPr>
          <w:p w14:paraId="4574DB85" w14:textId="77777777" w:rsidR="00DC5685" w:rsidRPr="00A34F10" w:rsidRDefault="00DC5685" w:rsidP="00DC5685">
            <w:pPr>
              <w:jc w:val="center"/>
              <w:rPr>
                <w:sz w:val="20"/>
                <w:szCs w:val="20"/>
              </w:rPr>
            </w:pPr>
          </w:p>
        </w:tc>
        <w:tc>
          <w:tcPr>
            <w:tcW w:w="1260" w:type="dxa"/>
            <w:vAlign w:val="center"/>
          </w:tcPr>
          <w:p w14:paraId="2F165E6D"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1980" w:type="dxa"/>
            <w:vAlign w:val="center"/>
          </w:tcPr>
          <w:p w14:paraId="08313EA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1.70</w:t>
            </w:r>
          </w:p>
        </w:tc>
        <w:tc>
          <w:tcPr>
            <w:tcW w:w="2788" w:type="dxa"/>
            <w:vAlign w:val="center"/>
          </w:tcPr>
          <w:p w14:paraId="643DA2A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1.61</w:t>
            </w:r>
          </w:p>
        </w:tc>
        <w:tc>
          <w:tcPr>
            <w:tcW w:w="896" w:type="dxa"/>
            <w:vAlign w:val="center"/>
          </w:tcPr>
          <w:p w14:paraId="2B96930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95.0</w:t>
            </w:r>
          </w:p>
        </w:tc>
      </w:tr>
      <w:tr w:rsidR="00DC5685" w:rsidRPr="00A34F10" w14:paraId="13BCBBD7" w14:textId="77777777" w:rsidTr="000470C3">
        <w:trPr>
          <w:trHeight w:hRule="exact" w:val="288"/>
        </w:trPr>
        <w:tc>
          <w:tcPr>
            <w:tcW w:w="2426" w:type="dxa"/>
            <w:vMerge w:val="restart"/>
            <w:vAlign w:val="center"/>
          </w:tcPr>
          <w:p w14:paraId="30FB5EF6" w14:textId="77777777" w:rsidR="00DC5685" w:rsidRPr="00A34F10" w:rsidRDefault="00DC5685" w:rsidP="00DC5685">
            <w:pPr>
              <w:jc w:val="center"/>
              <w:rPr>
                <w:sz w:val="20"/>
                <w:szCs w:val="20"/>
              </w:rPr>
            </w:pPr>
            <w:r w:rsidRPr="00A34F10">
              <w:rPr>
                <w:sz w:val="20"/>
                <w:szCs w:val="20"/>
              </w:rPr>
              <w:t xml:space="preserve">9.39 </w:t>
            </w:r>
          </w:p>
        </w:tc>
        <w:tc>
          <w:tcPr>
            <w:tcW w:w="1260" w:type="dxa"/>
            <w:vAlign w:val="center"/>
          </w:tcPr>
          <w:p w14:paraId="3676DA23"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1980" w:type="dxa"/>
            <w:vAlign w:val="center"/>
          </w:tcPr>
          <w:p w14:paraId="089B313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44BC66F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4.48</w:t>
            </w:r>
          </w:p>
        </w:tc>
        <w:tc>
          <w:tcPr>
            <w:tcW w:w="896" w:type="dxa"/>
            <w:vAlign w:val="center"/>
          </w:tcPr>
          <w:p w14:paraId="0AC71D5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119</w:t>
            </w:r>
          </w:p>
        </w:tc>
      </w:tr>
      <w:tr w:rsidR="00DC5685" w:rsidRPr="00A34F10" w14:paraId="7A9C1352" w14:textId="77777777" w:rsidTr="000470C3">
        <w:trPr>
          <w:trHeight w:hRule="exact" w:val="288"/>
        </w:trPr>
        <w:tc>
          <w:tcPr>
            <w:tcW w:w="2426" w:type="dxa"/>
            <w:vMerge/>
            <w:vAlign w:val="center"/>
          </w:tcPr>
          <w:p w14:paraId="4A7EF3E8" w14:textId="77777777" w:rsidR="00DC5685" w:rsidRPr="00A34F10" w:rsidRDefault="00DC5685" w:rsidP="00DC5685">
            <w:pPr>
              <w:jc w:val="center"/>
              <w:rPr>
                <w:sz w:val="20"/>
                <w:szCs w:val="20"/>
              </w:rPr>
            </w:pPr>
          </w:p>
        </w:tc>
        <w:tc>
          <w:tcPr>
            <w:tcW w:w="1260" w:type="dxa"/>
            <w:vAlign w:val="center"/>
          </w:tcPr>
          <w:p w14:paraId="035FEC1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1980" w:type="dxa"/>
            <w:vAlign w:val="center"/>
          </w:tcPr>
          <w:p w14:paraId="11F0FBE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64FCCD0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4.04</w:t>
            </w:r>
          </w:p>
        </w:tc>
        <w:tc>
          <w:tcPr>
            <w:tcW w:w="896" w:type="dxa"/>
            <w:vAlign w:val="center"/>
          </w:tcPr>
          <w:p w14:paraId="5153101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108</w:t>
            </w:r>
          </w:p>
        </w:tc>
      </w:tr>
      <w:tr w:rsidR="00DC5685" w:rsidRPr="00A34F10" w14:paraId="3D24DE7E" w14:textId="77777777" w:rsidTr="000470C3">
        <w:trPr>
          <w:trHeight w:hRule="exact" w:val="288"/>
        </w:trPr>
        <w:tc>
          <w:tcPr>
            <w:tcW w:w="2426" w:type="dxa"/>
            <w:vMerge/>
            <w:vAlign w:val="center"/>
          </w:tcPr>
          <w:p w14:paraId="509E2501" w14:textId="77777777" w:rsidR="00DC5685" w:rsidRPr="00A34F10" w:rsidRDefault="00DC5685" w:rsidP="00DC5685">
            <w:pPr>
              <w:jc w:val="center"/>
              <w:rPr>
                <w:sz w:val="20"/>
                <w:szCs w:val="20"/>
              </w:rPr>
            </w:pPr>
          </w:p>
        </w:tc>
        <w:tc>
          <w:tcPr>
            <w:tcW w:w="1260" w:type="dxa"/>
            <w:vAlign w:val="center"/>
          </w:tcPr>
          <w:p w14:paraId="5DFE66B6"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1980" w:type="dxa"/>
            <w:vAlign w:val="center"/>
          </w:tcPr>
          <w:p w14:paraId="03B73BA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2778EA0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4.20</w:t>
            </w:r>
          </w:p>
        </w:tc>
        <w:tc>
          <w:tcPr>
            <w:tcW w:w="896" w:type="dxa"/>
            <w:vAlign w:val="center"/>
          </w:tcPr>
          <w:p w14:paraId="64B6353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112</w:t>
            </w:r>
          </w:p>
        </w:tc>
      </w:tr>
      <w:tr w:rsidR="00DC5685" w:rsidRPr="00A34F10" w14:paraId="6242482C" w14:textId="77777777" w:rsidTr="000470C3">
        <w:trPr>
          <w:trHeight w:hRule="exact" w:val="288"/>
        </w:trPr>
        <w:tc>
          <w:tcPr>
            <w:tcW w:w="2426" w:type="dxa"/>
            <w:vMerge/>
            <w:vAlign w:val="center"/>
          </w:tcPr>
          <w:p w14:paraId="4A785B3E" w14:textId="77777777" w:rsidR="00DC5685" w:rsidRPr="00A34F10" w:rsidRDefault="00DC5685" w:rsidP="00DC5685">
            <w:pPr>
              <w:jc w:val="center"/>
              <w:rPr>
                <w:sz w:val="20"/>
                <w:szCs w:val="20"/>
              </w:rPr>
            </w:pPr>
          </w:p>
        </w:tc>
        <w:tc>
          <w:tcPr>
            <w:tcW w:w="1260" w:type="dxa"/>
            <w:vAlign w:val="center"/>
          </w:tcPr>
          <w:p w14:paraId="065140B4"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1980" w:type="dxa"/>
            <w:vAlign w:val="center"/>
          </w:tcPr>
          <w:p w14:paraId="762BF16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0EDA2A6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4.16</w:t>
            </w:r>
          </w:p>
        </w:tc>
        <w:tc>
          <w:tcPr>
            <w:tcW w:w="896" w:type="dxa"/>
            <w:vAlign w:val="center"/>
          </w:tcPr>
          <w:p w14:paraId="629AA89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111</w:t>
            </w:r>
          </w:p>
        </w:tc>
      </w:tr>
      <w:tr w:rsidR="00DC5685" w:rsidRPr="00A34F10" w14:paraId="0EAE3300" w14:textId="77777777" w:rsidTr="000470C3">
        <w:trPr>
          <w:trHeight w:hRule="exact" w:val="288"/>
        </w:trPr>
        <w:tc>
          <w:tcPr>
            <w:tcW w:w="2426" w:type="dxa"/>
            <w:vMerge/>
            <w:vAlign w:val="center"/>
          </w:tcPr>
          <w:p w14:paraId="23D7BD57" w14:textId="77777777" w:rsidR="00DC5685" w:rsidRPr="00A34F10" w:rsidRDefault="00DC5685" w:rsidP="00DC5685">
            <w:pPr>
              <w:jc w:val="center"/>
              <w:rPr>
                <w:sz w:val="20"/>
                <w:szCs w:val="20"/>
              </w:rPr>
            </w:pPr>
          </w:p>
        </w:tc>
        <w:tc>
          <w:tcPr>
            <w:tcW w:w="1260" w:type="dxa"/>
            <w:vAlign w:val="center"/>
          </w:tcPr>
          <w:p w14:paraId="26878807"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1980" w:type="dxa"/>
            <w:vAlign w:val="center"/>
          </w:tcPr>
          <w:p w14:paraId="387A2AB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41C594D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4.16</w:t>
            </w:r>
          </w:p>
        </w:tc>
        <w:tc>
          <w:tcPr>
            <w:tcW w:w="896" w:type="dxa"/>
            <w:vAlign w:val="center"/>
          </w:tcPr>
          <w:p w14:paraId="53EB8DD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111</w:t>
            </w:r>
          </w:p>
        </w:tc>
      </w:tr>
      <w:tr w:rsidR="00DC5685" w:rsidRPr="00A34F10" w14:paraId="30D8B48C" w14:textId="77777777" w:rsidTr="000470C3">
        <w:trPr>
          <w:trHeight w:hRule="exact" w:val="288"/>
        </w:trPr>
        <w:tc>
          <w:tcPr>
            <w:tcW w:w="2426" w:type="dxa"/>
            <w:vMerge/>
            <w:vAlign w:val="center"/>
          </w:tcPr>
          <w:p w14:paraId="4BE74710" w14:textId="77777777" w:rsidR="00DC5685" w:rsidRPr="00A34F10" w:rsidRDefault="00DC5685" w:rsidP="00DC5685">
            <w:pPr>
              <w:jc w:val="center"/>
              <w:rPr>
                <w:sz w:val="20"/>
                <w:szCs w:val="20"/>
              </w:rPr>
            </w:pPr>
          </w:p>
        </w:tc>
        <w:tc>
          <w:tcPr>
            <w:tcW w:w="1260" w:type="dxa"/>
            <w:vAlign w:val="center"/>
          </w:tcPr>
          <w:p w14:paraId="029E164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1980" w:type="dxa"/>
            <w:vAlign w:val="center"/>
          </w:tcPr>
          <w:p w14:paraId="05C9064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0C03520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3.70</w:t>
            </w:r>
          </w:p>
        </w:tc>
        <w:tc>
          <w:tcPr>
            <w:tcW w:w="896" w:type="dxa"/>
            <w:vAlign w:val="center"/>
          </w:tcPr>
          <w:p w14:paraId="766F8F4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1748446E" w14:textId="77777777" w:rsidTr="000470C3">
        <w:trPr>
          <w:trHeight w:hRule="exact" w:val="288"/>
        </w:trPr>
        <w:tc>
          <w:tcPr>
            <w:tcW w:w="2426" w:type="dxa"/>
            <w:vMerge/>
            <w:vAlign w:val="center"/>
          </w:tcPr>
          <w:p w14:paraId="04932752" w14:textId="77777777" w:rsidR="00DC5685" w:rsidRPr="00A34F10" w:rsidRDefault="00DC5685" w:rsidP="00DC5685">
            <w:pPr>
              <w:jc w:val="center"/>
              <w:rPr>
                <w:sz w:val="20"/>
                <w:szCs w:val="20"/>
              </w:rPr>
            </w:pPr>
          </w:p>
        </w:tc>
        <w:tc>
          <w:tcPr>
            <w:tcW w:w="1260" w:type="dxa"/>
            <w:vAlign w:val="center"/>
          </w:tcPr>
          <w:p w14:paraId="1C581AB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1980" w:type="dxa"/>
            <w:vAlign w:val="center"/>
          </w:tcPr>
          <w:p w14:paraId="7B0541C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13B9800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4.28</w:t>
            </w:r>
          </w:p>
        </w:tc>
        <w:tc>
          <w:tcPr>
            <w:tcW w:w="896" w:type="dxa"/>
            <w:vAlign w:val="center"/>
          </w:tcPr>
          <w:p w14:paraId="4E72703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78166C9D" w14:textId="77777777" w:rsidTr="000470C3">
        <w:trPr>
          <w:trHeight w:hRule="exact" w:val="288"/>
        </w:trPr>
        <w:tc>
          <w:tcPr>
            <w:tcW w:w="2426" w:type="dxa"/>
            <w:vMerge/>
            <w:vAlign w:val="center"/>
          </w:tcPr>
          <w:p w14:paraId="4A75DDE4" w14:textId="77777777" w:rsidR="00DC5685" w:rsidRPr="00A34F10" w:rsidRDefault="00DC5685" w:rsidP="00DC5685">
            <w:pPr>
              <w:jc w:val="center"/>
              <w:rPr>
                <w:sz w:val="20"/>
                <w:szCs w:val="20"/>
              </w:rPr>
            </w:pPr>
          </w:p>
        </w:tc>
        <w:tc>
          <w:tcPr>
            <w:tcW w:w="1260" w:type="dxa"/>
            <w:vAlign w:val="center"/>
          </w:tcPr>
          <w:p w14:paraId="26CE5AE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1980" w:type="dxa"/>
            <w:vAlign w:val="center"/>
          </w:tcPr>
          <w:p w14:paraId="558333E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3.75</w:t>
            </w:r>
          </w:p>
        </w:tc>
        <w:tc>
          <w:tcPr>
            <w:tcW w:w="2788" w:type="dxa"/>
            <w:vAlign w:val="center"/>
          </w:tcPr>
          <w:p w14:paraId="256AFDC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3.64</w:t>
            </w:r>
          </w:p>
        </w:tc>
        <w:tc>
          <w:tcPr>
            <w:tcW w:w="896" w:type="dxa"/>
            <w:vAlign w:val="center"/>
          </w:tcPr>
          <w:p w14:paraId="1496CBD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97.0</w:t>
            </w:r>
          </w:p>
        </w:tc>
      </w:tr>
      <w:tr w:rsidR="00DC5685" w:rsidRPr="00A34F10" w14:paraId="16A3D86F" w14:textId="77777777" w:rsidTr="000470C3">
        <w:trPr>
          <w:trHeight w:hRule="exact" w:val="288"/>
        </w:trPr>
        <w:tc>
          <w:tcPr>
            <w:tcW w:w="2426" w:type="dxa"/>
            <w:vMerge w:val="restart"/>
            <w:vAlign w:val="center"/>
          </w:tcPr>
          <w:p w14:paraId="0F51B2C2" w14:textId="77777777" w:rsidR="00DC5685" w:rsidRPr="00A34F10" w:rsidRDefault="00DC5685" w:rsidP="00DC5685">
            <w:pPr>
              <w:jc w:val="center"/>
              <w:rPr>
                <w:sz w:val="20"/>
                <w:szCs w:val="20"/>
              </w:rPr>
            </w:pPr>
            <w:r w:rsidRPr="00A34F10">
              <w:rPr>
                <w:sz w:val="20"/>
                <w:szCs w:val="20"/>
              </w:rPr>
              <w:t xml:space="preserve">20.7 </w:t>
            </w:r>
          </w:p>
        </w:tc>
        <w:tc>
          <w:tcPr>
            <w:tcW w:w="1260" w:type="dxa"/>
            <w:vAlign w:val="center"/>
          </w:tcPr>
          <w:p w14:paraId="4C43695C"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0 h fresh</w:t>
            </w:r>
          </w:p>
        </w:tc>
        <w:tc>
          <w:tcPr>
            <w:tcW w:w="1980" w:type="dxa"/>
            <w:vAlign w:val="center"/>
          </w:tcPr>
          <w:p w14:paraId="512DC0B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6346311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9.40</w:t>
            </w:r>
          </w:p>
        </w:tc>
        <w:tc>
          <w:tcPr>
            <w:tcW w:w="896" w:type="dxa"/>
            <w:vAlign w:val="center"/>
          </w:tcPr>
          <w:p w14:paraId="16D5798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12CA3961" w14:textId="77777777" w:rsidTr="000470C3">
        <w:trPr>
          <w:trHeight w:hRule="exact" w:val="288"/>
        </w:trPr>
        <w:tc>
          <w:tcPr>
            <w:tcW w:w="2426" w:type="dxa"/>
            <w:vMerge/>
            <w:vAlign w:val="center"/>
          </w:tcPr>
          <w:p w14:paraId="26B2CA21" w14:textId="77777777" w:rsidR="00DC5685" w:rsidRPr="00A34F10" w:rsidRDefault="00DC5685" w:rsidP="00DC5685">
            <w:pPr>
              <w:jc w:val="center"/>
              <w:rPr>
                <w:sz w:val="20"/>
                <w:szCs w:val="20"/>
              </w:rPr>
            </w:pPr>
          </w:p>
        </w:tc>
        <w:tc>
          <w:tcPr>
            <w:tcW w:w="1260" w:type="dxa"/>
            <w:vAlign w:val="center"/>
          </w:tcPr>
          <w:p w14:paraId="3401297C"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fresh</w:t>
            </w:r>
          </w:p>
        </w:tc>
        <w:tc>
          <w:tcPr>
            <w:tcW w:w="1980" w:type="dxa"/>
            <w:vAlign w:val="center"/>
          </w:tcPr>
          <w:p w14:paraId="2BA1373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62CF0EA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8.15</w:t>
            </w:r>
          </w:p>
        </w:tc>
        <w:tc>
          <w:tcPr>
            <w:tcW w:w="896" w:type="dxa"/>
            <w:vAlign w:val="center"/>
          </w:tcPr>
          <w:p w14:paraId="3C7294F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332978A3" w14:textId="77777777" w:rsidTr="000470C3">
        <w:trPr>
          <w:trHeight w:hRule="exact" w:val="288"/>
        </w:trPr>
        <w:tc>
          <w:tcPr>
            <w:tcW w:w="2426" w:type="dxa"/>
            <w:vMerge/>
            <w:vAlign w:val="center"/>
          </w:tcPr>
          <w:p w14:paraId="7307E9B2" w14:textId="77777777" w:rsidR="00DC5685" w:rsidRPr="00A34F10" w:rsidRDefault="00DC5685" w:rsidP="00DC5685">
            <w:pPr>
              <w:jc w:val="center"/>
              <w:rPr>
                <w:sz w:val="20"/>
                <w:szCs w:val="20"/>
              </w:rPr>
            </w:pPr>
          </w:p>
        </w:tc>
        <w:tc>
          <w:tcPr>
            <w:tcW w:w="1260" w:type="dxa"/>
            <w:vAlign w:val="center"/>
          </w:tcPr>
          <w:p w14:paraId="119D38FE"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24 h aged</w:t>
            </w:r>
          </w:p>
        </w:tc>
        <w:tc>
          <w:tcPr>
            <w:tcW w:w="1980" w:type="dxa"/>
            <w:vAlign w:val="center"/>
          </w:tcPr>
          <w:p w14:paraId="57A02E5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371E465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8.06</w:t>
            </w:r>
          </w:p>
        </w:tc>
        <w:tc>
          <w:tcPr>
            <w:tcW w:w="896" w:type="dxa"/>
            <w:vAlign w:val="center"/>
          </w:tcPr>
          <w:p w14:paraId="1F7DAB8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r w:rsidR="00DC5685" w:rsidRPr="00A34F10" w14:paraId="05F3F755" w14:textId="77777777" w:rsidTr="000470C3">
        <w:trPr>
          <w:trHeight w:hRule="exact" w:val="288"/>
        </w:trPr>
        <w:tc>
          <w:tcPr>
            <w:tcW w:w="2426" w:type="dxa"/>
            <w:vMerge/>
            <w:vAlign w:val="center"/>
          </w:tcPr>
          <w:p w14:paraId="5905D9F5" w14:textId="77777777" w:rsidR="00DC5685" w:rsidRPr="00A34F10" w:rsidRDefault="00DC5685" w:rsidP="00DC5685">
            <w:pPr>
              <w:jc w:val="center"/>
              <w:rPr>
                <w:sz w:val="20"/>
                <w:szCs w:val="20"/>
              </w:rPr>
            </w:pPr>
          </w:p>
        </w:tc>
        <w:tc>
          <w:tcPr>
            <w:tcW w:w="1260" w:type="dxa"/>
            <w:vAlign w:val="center"/>
          </w:tcPr>
          <w:p w14:paraId="5087768D"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fresh</w:t>
            </w:r>
          </w:p>
        </w:tc>
        <w:tc>
          <w:tcPr>
            <w:tcW w:w="1980" w:type="dxa"/>
            <w:vAlign w:val="center"/>
          </w:tcPr>
          <w:p w14:paraId="77DBE44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49D2391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8.87</w:t>
            </w:r>
          </w:p>
        </w:tc>
        <w:tc>
          <w:tcPr>
            <w:tcW w:w="896" w:type="dxa"/>
            <w:vAlign w:val="center"/>
          </w:tcPr>
          <w:p w14:paraId="20E4D60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107</w:t>
            </w:r>
          </w:p>
        </w:tc>
      </w:tr>
      <w:tr w:rsidR="00DC5685" w:rsidRPr="00A34F10" w14:paraId="6FD2A0CC" w14:textId="77777777" w:rsidTr="000470C3">
        <w:trPr>
          <w:trHeight w:hRule="exact" w:val="288"/>
        </w:trPr>
        <w:tc>
          <w:tcPr>
            <w:tcW w:w="2426" w:type="dxa"/>
            <w:vMerge/>
            <w:vAlign w:val="center"/>
          </w:tcPr>
          <w:p w14:paraId="7B64261B" w14:textId="77777777" w:rsidR="00DC5685" w:rsidRPr="00A34F10" w:rsidRDefault="00DC5685" w:rsidP="00DC5685">
            <w:pPr>
              <w:jc w:val="center"/>
              <w:rPr>
                <w:sz w:val="20"/>
                <w:szCs w:val="20"/>
              </w:rPr>
            </w:pPr>
          </w:p>
        </w:tc>
        <w:tc>
          <w:tcPr>
            <w:tcW w:w="1260" w:type="dxa"/>
            <w:vAlign w:val="center"/>
          </w:tcPr>
          <w:p w14:paraId="4C16DCC8"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48 h aged</w:t>
            </w:r>
          </w:p>
        </w:tc>
        <w:tc>
          <w:tcPr>
            <w:tcW w:w="1980" w:type="dxa"/>
            <w:vAlign w:val="center"/>
          </w:tcPr>
          <w:p w14:paraId="2420D1F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1A243E3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9.22</w:t>
            </w:r>
          </w:p>
        </w:tc>
        <w:tc>
          <w:tcPr>
            <w:tcW w:w="896" w:type="dxa"/>
            <w:vAlign w:val="center"/>
          </w:tcPr>
          <w:p w14:paraId="7B726D2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112</w:t>
            </w:r>
          </w:p>
        </w:tc>
      </w:tr>
      <w:tr w:rsidR="00DC5685" w:rsidRPr="00A34F10" w14:paraId="0E1A539C" w14:textId="77777777" w:rsidTr="000470C3">
        <w:trPr>
          <w:trHeight w:hRule="exact" w:val="288"/>
        </w:trPr>
        <w:tc>
          <w:tcPr>
            <w:tcW w:w="2426" w:type="dxa"/>
            <w:vMerge/>
            <w:vAlign w:val="center"/>
          </w:tcPr>
          <w:p w14:paraId="7E6FA951" w14:textId="77777777" w:rsidR="00DC5685" w:rsidRPr="00A34F10" w:rsidRDefault="00DC5685" w:rsidP="00DC5685">
            <w:pPr>
              <w:jc w:val="center"/>
              <w:rPr>
                <w:sz w:val="20"/>
                <w:szCs w:val="20"/>
              </w:rPr>
            </w:pPr>
          </w:p>
        </w:tc>
        <w:tc>
          <w:tcPr>
            <w:tcW w:w="1260" w:type="dxa"/>
            <w:vAlign w:val="center"/>
          </w:tcPr>
          <w:p w14:paraId="1CBF8855"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fresh</w:t>
            </w:r>
          </w:p>
        </w:tc>
        <w:tc>
          <w:tcPr>
            <w:tcW w:w="1980" w:type="dxa"/>
            <w:vAlign w:val="center"/>
          </w:tcPr>
          <w:p w14:paraId="7ADDDAC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2C1DE89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8.11</w:t>
            </w:r>
          </w:p>
        </w:tc>
        <w:tc>
          <w:tcPr>
            <w:tcW w:w="896" w:type="dxa"/>
            <w:vAlign w:val="center"/>
          </w:tcPr>
          <w:p w14:paraId="1270D7F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r w:rsidR="00DC5685" w:rsidRPr="00A34F10" w14:paraId="49A8EA2B" w14:textId="77777777" w:rsidTr="000470C3">
        <w:trPr>
          <w:trHeight w:hRule="exact" w:val="288"/>
        </w:trPr>
        <w:tc>
          <w:tcPr>
            <w:tcW w:w="2426" w:type="dxa"/>
            <w:vMerge/>
            <w:vAlign w:val="center"/>
          </w:tcPr>
          <w:p w14:paraId="23064D95" w14:textId="77777777" w:rsidR="00DC5685" w:rsidRPr="00A34F10" w:rsidRDefault="00DC5685" w:rsidP="00DC5685">
            <w:pPr>
              <w:jc w:val="center"/>
              <w:rPr>
                <w:sz w:val="20"/>
                <w:szCs w:val="20"/>
              </w:rPr>
            </w:pPr>
          </w:p>
        </w:tc>
        <w:tc>
          <w:tcPr>
            <w:tcW w:w="1260" w:type="dxa"/>
            <w:vAlign w:val="center"/>
          </w:tcPr>
          <w:p w14:paraId="43DB12AA"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72 h aged</w:t>
            </w:r>
          </w:p>
        </w:tc>
        <w:tc>
          <w:tcPr>
            <w:tcW w:w="1980" w:type="dxa"/>
            <w:vAlign w:val="center"/>
          </w:tcPr>
          <w:p w14:paraId="4667CCD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1729253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8.96</w:t>
            </w:r>
          </w:p>
        </w:tc>
        <w:tc>
          <w:tcPr>
            <w:tcW w:w="896" w:type="dxa"/>
            <w:vAlign w:val="center"/>
          </w:tcPr>
          <w:p w14:paraId="2085D77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108</w:t>
            </w:r>
          </w:p>
        </w:tc>
      </w:tr>
      <w:tr w:rsidR="00DC5685" w:rsidRPr="00A34F10" w14:paraId="18478031" w14:textId="77777777" w:rsidTr="000470C3">
        <w:trPr>
          <w:trHeight w:hRule="exact" w:val="288"/>
        </w:trPr>
        <w:tc>
          <w:tcPr>
            <w:tcW w:w="2426" w:type="dxa"/>
            <w:vMerge/>
            <w:vAlign w:val="center"/>
          </w:tcPr>
          <w:p w14:paraId="702C54F3" w14:textId="77777777" w:rsidR="00DC5685" w:rsidRPr="00A34F10" w:rsidRDefault="00DC5685" w:rsidP="00DC5685">
            <w:pPr>
              <w:jc w:val="center"/>
              <w:rPr>
                <w:sz w:val="20"/>
                <w:szCs w:val="20"/>
              </w:rPr>
            </w:pPr>
          </w:p>
        </w:tc>
        <w:tc>
          <w:tcPr>
            <w:tcW w:w="1260" w:type="dxa"/>
            <w:vAlign w:val="center"/>
          </w:tcPr>
          <w:p w14:paraId="6FC3EC9B" w14:textId="77777777" w:rsidR="00DC5685" w:rsidRPr="00A34F10" w:rsidRDefault="00DC5685" w:rsidP="00DC5685">
            <w:pPr>
              <w:kinsoku w:val="0"/>
              <w:overflowPunct w:val="0"/>
              <w:autoSpaceDE w:val="0"/>
              <w:autoSpaceDN w:val="0"/>
              <w:adjustRightInd w:val="0"/>
              <w:spacing w:line="228" w:lineRule="exact"/>
              <w:jc w:val="center"/>
              <w:rPr>
                <w:sz w:val="20"/>
                <w:szCs w:val="20"/>
                <w:lang w:val="en-GB"/>
              </w:rPr>
            </w:pPr>
            <w:r w:rsidRPr="00A34F10">
              <w:rPr>
                <w:sz w:val="20"/>
                <w:szCs w:val="20"/>
              </w:rPr>
              <w:t>96 h aged</w:t>
            </w:r>
          </w:p>
        </w:tc>
        <w:tc>
          <w:tcPr>
            <w:tcW w:w="1980" w:type="dxa"/>
            <w:vAlign w:val="center"/>
          </w:tcPr>
          <w:p w14:paraId="4A58D9B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8.26</w:t>
            </w:r>
          </w:p>
        </w:tc>
        <w:tc>
          <w:tcPr>
            <w:tcW w:w="2788" w:type="dxa"/>
            <w:vAlign w:val="center"/>
          </w:tcPr>
          <w:p w14:paraId="4DA602F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8.05</w:t>
            </w:r>
          </w:p>
        </w:tc>
        <w:tc>
          <w:tcPr>
            <w:tcW w:w="896" w:type="dxa"/>
            <w:vAlign w:val="center"/>
          </w:tcPr>
          <w:p w14:paraId="74CDDA9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97.0</w:t>
            </w:r>
          </w:p>
        </w:tc>
      </w:tr>
      <w:tr w:rsidR="00DC5685" w:rsidRPr="00A34F10" w14:paraId="09DDECCA" w14:textId="77777777" w:rsidTr="000470C3">
        <w:trPr>
          <w:trHeight w:hRule="exact" w:val="288"/>
        </w:trPr>
        <w:tc>
          <w:tcPr>
            <w:tcW w:w="2426" w:type="dxa"/>
            <w:vMerge w:val="restart"/>
            <w:vAlign w:val="center"/>
          </w:tcPr>
          <w:p w14:paraId="0A0D873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 xml:space="preserve">45.5 </w:t>
            </w:r>
          </w:p>
        </w:tc>
        <w:tc>
          <w:tcPr>
            <w:tcW w:w="1260" w:type="dxa"/>
            <w:vAlign w:val="center"/>
          </w:tcPr>
          <w:p w14:paraId="4409BB7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 h fresh</w:t>
            </w:r>
          </w:p>
        </w:tc>
        <w:tc>
          <w:tcPr>
            <w:tcW w:w="1980" w:type="dxa"/>
            <w:vAlign w:val="center"/>
          </w:tcPr>
          <w:p w14:paraId="4468FC8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0AAC810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20.2</w:t>
            </w:r>
          </w:p>
        </w:tc>
        <w:tc>
          <w:tcPr>
            <w:tcW w:w="896" w:type="dxa"/>
            <w:vAlign w:val="center"/>
          </w:tcPr>
          <w:p w14:paraId="16DF26B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111</w:t>
            </w:r>
          </w:p>
        </w:tc>
      </w:tr>
      <w:tr w:rsidR="00DC5685" w:rsidRPr="00A34F10" w14:paraId="26B3227B" w14:textId="77777777" w:rsidTr="000470C3">
        <w:trPr>
          <w:trHeight w:hRule="exact" w:val="288"/>
        </w:trPr>
        <w:tc>
          <w:tcPr>
            <w:tcW w:w="2426" w:type="dxa"/>
            <w:vMerge/>
            <w:vAlign w:val="center"/>
          </w:tcPr>
          <w:p w14:paraId="21D1C9D7"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839096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fresh</w:t>
            </w:r>
          </w:p>
        </w:tc>
        <w:tc>
          <w:tcPr>
            <w:tcW w:w="1980" w:type="dxa"/>
            <w:vAlign w:val="center"/>
          </w:tcPr>
          <w:p w14:paraId="0F29CAF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515D5CA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20.8</w:t>
            </w:r>
          </w:p>
        </w:tc>
        <w:tc>
          <w:tcPr>
            <w:tcW w:w="896" w:type="dxa"/>
            <w:vAlign w:val="center"/>
          </w:tcPr>
          <w:p w14:paraId="05B909A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114</w:t>
            </w:r>
          </w:p>
        </w:tc>
      </w:tr>
      <w:tr w:rsidR="00DC5685" w:rsidRPr="00A34F10" w14:paraId="53377BFB" w14:textId="77777777" w:rsidTr="000470C3">
        <w:trPr>
          <w:trHeight w:hRule="exact" w:val="288"/>
        </w:trPr>
        <w:tc>
          <w:tcPr>
            <w:tcW w:w="2426" w:type="dxa"/>
            <w:vMerge/>
            <w:vAlign w:val="center"/>
          </w:tcPr>
          <w:p w14:paraId="413E9CFA"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1A1909E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aged</w:t>
            </w:r>
          </w:p>
        </w:tc>
        <w:tc>
          <w:tcPr>
            <w:tcW w:w="1980" w:type="dxa"/>
            <w:vAlign w:val="center"/>
          </w:tcPr>
          <w:p w14:paraId="4D9E7A2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53C1E93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18.6</w:t>
            </w:r>
          </w:p>
        </w:tc>
        <w:tc>
          <w:tcPr>
            <w:tcW w:w="896" w:type="dxa"/>
            <w:vAlign w:val="center"/>
          </w:tcPr>
          <w:p w14:paraId="511CA6C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102</w:t>
            </w:r>
          </w:p>
        </w:tc>
      </w:tr>
      <w:tr w:rsidR="00DC5685" w:rsidRPr="00A34F10" w14:paraId="368FE13E" w14:textId="77777777" w:rsidTr="000470C3">
        <w:trPr>
          <w:trHeight w:hRule="exact" w:val="288"/>
        </w:trPr>
        <w:tc>
          <w:tcPr>
            <w:tcW w:w="2426" w:type="dxa"/>
            <w:vMerge/>
            <w:vAlign w:val="center"/>
          </w:tcPr>
          <w:p w14:paraId="129C3BE8"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EB2E01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fresh</w:t>
            </w:r>
          </w:p>
        </w:tc>
        <w:tc>
          <w:tcPr>
            <w:tcW w:w="1980" w:type="dxa"/>
            <w:vAlign w:val="center"/>
          </w:tcPr>
          <w:p w14:paraId="7F4B9DA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12EC24E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18.3</w:t>
            </w:r>
          </w:p>
        </w:tc>
        <w:tc>
          <w:tcPr>
            <w:tcW w:w="896" w:type="dxa"/>
            <w:vAlign w:val="center"/>
          </w:tcPr>
          <w:p w14:paraId="08516B5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101</w:t>
            </w:r>
          </w:p>
        </w:tc>
      </w:tr>
      <w:tr w:rsidR="00DC5685" w:rsidRPr="00A34F10" w14:paraId="456424DC" w14:textId="77777777" w:rsidTr="000470C3">
        <w:trPr>
          <w:trHeight w:hRule="exact" w:val="288"/>
        </w:trPr>
        <w:tc>
          <w:tcPr>
            <w:tcW w:w="2426" w:type="dxa"/>
            <w:vMerge/>
            <w:vAlign w:val="center"/>
          </w:tcPr>
          <w:p w14:paraId="48C0CBEF"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275C637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aged</w:t>
            </w:r>
          </w:p>
        </w:tc>
        <w:tc>
          <w:tcPr>
            <w:tcW w:w="1980" w:type="dxa"/>
            <w:vAlign w:val="center"/>
          </w:tcPr>
          <w:p w14:paraId="1E5FDB2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5E67B06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19.8</w:t>
            </w:r>
          </w:p>
        </w:tc>
        <w:tc>
          <w:tcPr>
            <w:tcW w:w="896" w:type="dxa"/>
            <w:vAlign w:val="center"/>
          </w:tcPr>
          <w:p w14:paraId="4AE81B1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109</w:t>
            </w:r>
          </w:p>
        </w:tc>
      </w:tr>
      <w:tr w:rsidR="00DC5685" w:rsidRPr="00A34F10" w14:paraId="4721240E" w14:textId="77777777" w:rsidTr="000470C3">
        <w:trPr>
          <w:trHeight w:hRule="exact" w:val="288"/>
        </w:trPr>
        <w:tc>
          <w:tcPr>
            <w:tcW w:w="2426" w:type="dxa"/>
            <w:vMerge/>
            <w:vAlign w:val="center"/>
          </w:tcPr>
          <w:p w14:paraId="2DE6EE27"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F4B2D0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fresh</w:t>
            </w:r>
          </w:p>
        </w:tc>
        <w:tc>
          <w:tcPr>
            <w:tcW w:w="1980" w:type="dxa"/>
            <w:vAlign w:val="center"/>
          </w:tcPr>
          <w:p w14:paraId="520B3DB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144C271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17.8</w:t>
            </w:r>
          </w:p>
        </w:tc>
        <w:tc>
          <w:tcPr>
            <w:tcW w:w="896" w:type="dxa"/>
            <w:vAlign w:val="center"/>
          </w:tcPr>
          <w:p w14:paraId="4885913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r w:rsidR="00DC5685" w:rsidRPr="00A34F10" w14:paraId="6B10E524" w14:textId="77777777" w:rsidTr="000470C3">
        <w:trPr>
          <w:trHeight w:hRule="exact" w:val="288"/>
        </w:trPr>
        <w:tc>
          <w:tcPr>
            <w:tcW w:w="2426" w:type="dxa"/>
            <w:vMerge/>
            <w:vAlign w:val="center"/>
          </w:tcPr>
          <w:p w14:paraId="5D70F996"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5223DAC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aged</w:t>
            </w:r>
          </w:p>
        </w:tc>
        <w:tc>
          <w:tcPr>
            <w:tcW w:w="1980" w:type="dxa"/>
            <w:vAlign w:val="center"/>
          </w:tcPr>
          <w:p w14:paraId="448D556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7D12C22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18.7</w:t>
            </w:r>
          </w:p>
        </w:tc>
        <w:tc>
          <w:tcPr>
            <w:tcW w:w="896" w:type="dxa"/>
            <w:vAlign w:val="center"/>
          </w:tcPr>
          <w:p w14:paraId="53AE918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103</w:t>
            </w:r>
          </w:p>
        </w:tc>
      </w:tr>
      <w:tr w:rsidR="00DC5685" w:rsidRPr="00A34F10" w14:paraId="3A264CB8" w14:textId="77777777" w:rsidTr="000470C3">
        <w:trPr>
          <w:trHeight w:hRule="exact" w:val="288"/>
        </w:trPr>
        <w:tc>
          <w:tcPr>
            <w:tcW w:w="2426" w:type="dxa"/>
            <w:vMerge/>
            <w:vAlign w:val="center"/>
          </w:tcPr>
          <w:p w14:paraId="023389C6"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0E390F6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1980" w:type="dxa"/>
            <w:vAlign w:val="center"/>
          </w:tcPr>
          <w:p w14:paraId="3E119FA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18.2</w:t>
            </w:r>
          </w:p>
        </w:tc>
        <w:tc>
          <w:tcPr>
            <w:tcW w:w="2788" w:type="dxa"/>
            <w:vAlign w:val="center"/>
          </w:tcPr>
          <w:p w14:paraId="45273026"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18.0</w:t>
            </w:r>
          </w:p>
        </w:tc>
        <w:tc>
          <w:tcPr>
            <w:tcW w:w="896" w:type="dxa"/>
            <w:vAlign w:val="center"/>
          </w:tcPr>
          <w:p w14:paraId="0B6EF12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3CA02BB5" w14:textId="77777777" w:rsidTr="000470C3">
        <w:trPr>
          <w:trHeight w:hRule="exact" w:val="288"/>
        </w:trPr>
        <w:tc>
          <w:tcPr>
            <w:tcW w:w="2426" w:type="dxa"/>
            <w:vMerge w:val="restart"/>
            <w:vAlign w:val="center"/>
          </w:tcPr>
          <w:p w14:paraId="6A5A09B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 xml:space="preserve">100 </w:t>
            </w:r>
          </w:p>
        </w:tc>
        <w:tc>
          <w:tcPr>
            <w:tcW w:w="1260" w:type="dxa"/>
            <w:vAlign w:val="center"/>
          </w:tcPr>
          <w:p w14:paraId="1B34317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0 h fresh</w:t>
            </w:r>
          </w:p>
        </w:tc>
        <w:tc>
          <w:tcPr>
            <w:tcW w:w="1980" w:type="dxa"/>
            <w:vAlign w:val="center"/>
          </w:tcPr>
          <w:p w14:paraId="3C595BB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4B2181D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43.4</w:t>
            </w:r>
          </w:p>
        </w:tc>
        <w:tc>
          <w:tcPr>
            <w:tcW w:w="896" w:type="dxa"/>
            <w:vAlign w:val="center"/>
          </w:tcPr>
          <w:p w14:paraId="5F7F95B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109</w:t>
            </w:r>
          </w:p>
        </w:tc>
      </w:tr>
      <w:tr w:rsidR="00DC5685" w:rsidRPr="00A34F10" w14:paraId="44641416" w14:textId="77777777" w:rsidTr="000470C3">
        <w:trPr>
          <w:trHeight w:hRule="exact" w:val="288"/>
        </w:trPr>
        <w:tc>
          <w:tcPr>
            <w:tcW w:w="2426" w:type="dxa"/>
            <w:vMerge/>
            <w:vAlign w:val="center"/>
          </w:tcPr>
          <w:p w14:paraId="67B9937F"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555C59AF"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fresh</w:t>
            </w:r>
          </w:p>
        </w:tc>
        <w:tc>
          <w:tcPr>
            <w:tcW w:w="1980" w:type="dxa"/>
            <w:vAlign w:val="center"/>
          </w:tcPr>
          <w:p w14:paraId="52E973A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6106A8C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40.7</w:t>
            </w:r>
          </w:p>
        </w:tc>
        <w:tc>
          <w:tcPr>
            <w:tcW w:w="896" w:type="dxa"/>
            <w:vAlign w:val="center"/>
          </w:tcPr>
          <w:p w14:paraId="5785D5B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102</w:t>
            </w:r>
          </w:p>
        </w:tc>
      </w:tr>
      <w:tr w:rsidR="00DC5685" w:rsidRPr="00A34F10" w14:paraId="28ED0FBF" w14:textId="77777777" w:rsidTr="000470C3">
        <w:trPr>
          <w:trHeight w:hRule="exact" w:val="288"/>
        </w:trPr>
        <w:tc>
          <w:tcPr>
            <w:tcW w:w="2426" w:type="dxa"/>
            <w:vMerge/>
            <w:vAlign w:val="center"/>
          </w:tcPr>
          <w:p w14:paraId="4E636496"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5616AB1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24 h aged</w:t>
            </w:r>
          </w:p>
        </w:tc>
        <w:tc>
          <w:tcPr>
            <w:tcW w:w="1980" w:type="dxa"/>
            <w:vAlign w:val="center"/>
          </w:tcPr>
          <w:p w14:paraId="3EAEF1C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587DC69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40.1</w:t>
            </w:r>
          </w:p>
        </w:tc>
        <w:tc>
          <w:tcPr>
            <w:tcW w:w="896" w:type="dxa"/>
            <w:vAlign w:val="center"/>
          </w:tcPr>
          <w:p w14:paraId="6C3784C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101</w:t>
            </w:r>
          </w:p>
        </w:tc>
      </w:tr>
      <w:tr w:rsidR="00DC5685" w:rsidRPr="00A34F10" w14:paraId="7BE14BD0" w14:textId="77777777" w:rsidTr="000470C3">
        <w:trPr>
          <w:trHeight w:hRule="exact" w:val="288"/>
        </w:trPr>
        <w:tc>
          <w:tcPr>
            <w:tcW w:w="2426" w:type="dxa"/>
            <w:vMerge/>
            <w:vAlign w:val="center"/>
          </w:tcPr>
          <w:p w14:paraId="2981E33C"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76F74E4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fresh</w:t>
            </w:r>
          </w:p>
        </w:tc>
        <w:tc>
          <w:tcPr>
            <w:tcW w:w="1980" w:type="dxa"/>
            <w:vAlign w:val="center"/>
          </w:tcPr>
          <w:p w14:paraId="08823589"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064C907B"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41.1</w:t>
            </w:r>
          </w:p>
        </w:tc>
        <w:tc>
          <w:tcPr>
            <w:tcW w:w="896" w:type="dxa"/>
            <w:vAlign w:val="center"/>
          </w:tcPr>
          <w:p w14:paraId="424F6BA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103</w:t>
            </w:r>
          </w:p>
        </w:tc>
      </w:tr>
      <w:tr w:rsidR="00DC5685" w:rsidRPr="00A34F10" w14:paraId="7F1D1C32" w14:textId="77777777" w:rsidTr="000470C3">
        <w:trPr>
          <w:trHeight w:hRule="exact" w:val="288"/>
        </w:trPr>
        <w:tc>
          <w:tcPr>
            <w:tcW w:w="2426" w:type="dxa"/>
            <w:vMerge/>
            <w:vAlign w:val="center"/>
          </w:tcPr>
          <w:p w14:paraId="0D267795"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17C63CE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48 h aged</w:t>
            </w:r>
          </w:p>
        </w:tc>
        <w:tc>
          <w:tcPr>
            <w:tcW w:w="1980" w:type="dxa"/>
            <w:vAlign w:val="center"/>
          </w:tcPr>
          <w:p w14:paraId="2B1B8FD0"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5B68D7E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39.7</w:t>
            </w:r>
          </w:p>
        </w:tc>
        <w:tc>
          <w:tcPr>
            <w:tcW w:w="896" w:type="dxa"/>
            <w:vAlign w:val="center"/>
          </w:tcPr>
          <w:p w14:paraId="602ED137"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99.0</w:t>
            </w:r>
          </w:p>
        </w:tc>
      </w:tr>
      <w:tr w:rsidR="00DC5685" w:rsidRPr="00A34F10" w14:paraId="1138FFAF" w14:textId="77777777" w:rsidTr="000470C3">
        <w:trPr>
          <w:trHeight w:hRule="exact" w:val="288"/>
        </w:trPr>
        <w:tc>
          <w:tcPr>
            <w:tcW w:w="2426" w:type="dxa"/>
            <w:vMerge/>
            <w:vAlign w:val="center"/>
          </w:tcPr>
          <w:p w14:paraId="1ACF959D"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28AB6DCC"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fresh</w:t>
            </w:r>
          </w:p>
        </w:tc>
        <w:tc>
          <w:tcPr>
            <w:tcW w:w="1980" w:type="dxa"/>
            <w:vAlign w:val="center"/>
          </w:tcPr>
          <w:p w14:paraId="539FE2B5"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37C90B0D"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41.6</w:t>
            </w:r>
          </w:p>
        </w:tc>
        <w:tc>
          <w:tcPr>
            <w:tcW w:w="896" w:type="dxa"/>
            <w:vAlign w:val="center"/>
          </w:tcPr>
          <w:p w14:paraId="36B9CEA2"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0A820238" w14:textId="77777777" w:rsidTr="000470C3">
        <w:trPr>
          <w:trHeight w:hRule="exact" w:val="288"/>
        </w:trPr>
        <w:tc>
          <w:tcPr>
            <w:tcW w:w="2426" w:type="dxa"/>
            <w:vMerge/>
            <w:vAlign w:val="center"/>
          </w:tcPr>
          <w:p w14:paraId="52B5A674"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1DBF8DB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72 h aged</w:t>
            </w:r>
          </w:p>
        </w:tc>
        <w:tc>
          <w:tcPr>
            <w:tcW w:w="1980" w:type="dxa"/>
            <w:vAlign w:val="center"/>
          </w:tcPr>
          <w:p w14:paraId="58ACED6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7D1BE07A"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41.4</w:t>
            </w:r>
          </w:p>
        </w:tc>
        <w:tc>
          <w:tcPr>
            <w:tcW w:w="896" w:type="dxa"/>
            <w:vAlign w:val="center"/>
          </w:tcPr>
          <w:p w14:paraId="317FAFA4"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5865068D" w14:textId="77777777" w:rsidTr="000470C3">
        <w:trPr>
          <w:trHeight w:hRule="exact" w:val="288"/>
        </w:trPr>
        <w:tc>
          <w:tcPr>
            <w:tcW w:w="2426" w:type="dxa"/>
            <w:vMerge/>
            <w:vAlign w:val="center"/>
          </w:tcPr>
          <w:p w14:paraId="389BD771" w14:textId="77777777" w:rsidR="00DC5685" w:rsidRPr="00A34F10" w:rsidRDefault="00DC5685" w:rsidP="00DC5685">
            <w:pPr>
              <w:kinsoku w:val="0"/>
              <w:overflowPunct w:val="0"/>
              <w:autoSpaceDE w:val="0"/>
              <w:autoSpaceDN w:val="0"/>
              <w:adjustRightInd w:val="0"/>
              <w:spacing w:line="228" w:lineRule="exact"/>
              <w:jc w:val="center"/>
              <w:rPr>
                <w:sz w:val="20"/>
                <w:szCs w:val="20"/>
              </w:rPr>
            </w:pPr>
          </w:p>
        </w:tc>
        <w:tc>
          <w:tcPr>
            <w:tcW w:w="1260" w:type="dxa"/>
            <w:vAlign w:val="center"/>
          </w:tcPr>
          <w:p w14:paraId="4DA4CD43"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96 h aged</w:t>
            </w:r>
          </w:p>
        </w:tc>
        <w:tc>
          <w:tcPr>
            <w:tcW w:w="1980" w:type="dxa"/>
            <w:vAlign w:val="center"/>
          </w:tcPr>
          <w:p w14:paraId="46635A8E"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39.9</w:t>
            </w:r>
          </w:p>
        </w:tc>
        <w:tc>
          <w:tcPr>
            <w:tcW w:w="2788" w:type="dxa"/>
            <w:vAlign w:val="center"/>
          </w:tcPr>
          <w:p w14:paraId="6C95E3E8"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39.2</w:t>
            </w:r>
          </w:p>
        </w:tc>
        <w:tc>
          <w:tcPr>
            <w:tcW w:w="896" w:type="dxa"/>
            <w:vAlign w:val="center"/>
          </w:tcPr>
          <w:p w14:paraId="4D5531D1" w14:textId="77777777" w:rsidR="00DC5685" w:rsidRPr="00A34F10" w:rsidRDefault="00DC5685" w:rsidP="00DC5685">
            <w:pPr>
              <w:kinsoku w:val="0"/>
              <w:overflowPunct w:val="0"/>
              <w:autoSpaceDE w:val="0"/>
              <w:autoSpaceDN w:val="0"/>
              <w:adjustRightInd w:val="0"/>
              <w:spacing w:line="228" w:lineRule="exact"/>
              <w:jc w:val="center"/>
              <w:rPr>
                <w:sz w:val="20"/>
                <w:szCs w:val="20"/>
              </w:rPr>
            </w:pPr>
            <w:r w:rsidRPr="00A34F10">
              <w:rPr>
                <w:sz w:val="20"/>
                <w:szCs w:val="20"/>
              </w:rPr>
              <w:t>98.0</w:t>
            </w:r>
          </w:p>
        </w:tc>
      </w:tr>
    </w:tbl>
    <w:p w14:paraId="36B93114" w14:textId="77777777" w:rsidR="00DC5685" w:rsidRPr="00A34F10" w:rsidRDefault="00DC5685" w:rsidP="00DC5685">
      <w:pPr>
        <w:spacing w:before="60"/>
        <w:rPr>
          <w:sz w:val="18"/>
          <w:szCs w:val="18"/>
          <w:lang w:val="x-none"/>
        </w:rPr>
      </w:pPr>
      <w:r w:rsidRPr="00A34F10">
        <w:rPr>
          <w:sz w:val="18"/>
          <w:szCs w:val="18"/>
          <w:lang w:val="x-none"/>
        </w:rPr>
        <w:t>LOQ = 0.170 mg Propamocarb/L</w:t>
      </w:r>
      <w:r w:rsidRPr="00A34F10">
        <w:rPr>
          <w:sz w:val="18"/>
          <w:szCs w:val="18"/>
          <w:lang w:val="es-ES"/>
        </w:rPr>
        <w:t xml:space="preserve">, </w:t>
      </w:r>
      <w:r w:rsidRPr="00A34F10">
        <w:rPr>
          <w:sz w:val="18"/>
          <w:szCs w:val="18"/>
          <w:lang w:val="x-none"/>
        </w:rPr>
        <w:t>LOD = 0.0480 mg Propamocarb/L</w:t>
      </w:r>
    </w:p>
    <w:p w14:paraId="799CAEA5" w14:textId="5D514CF6" w:rsidR="00DC5685" w:rsidRPr="00A34F10" w:rsidRDefault="00DC5685" w:rsidP="00DC5685">
      <w:pPr>
        <w:tabs>
          <w:tab w:val="left" w:pos="0"/>
        </w:tabs>
        <w:contextualSpacing/>
        <w:rPr>
          <w:b/>
          <w:bCs/>
          <w:caps/>
          <w:szCs w:val="24"/>
          <w:highlight w:val="yellow"/>
          <w:lang w:val="es-ES"/>
        </w:rPr>
      </w:pPr>
    </w:p>
    <w:p w14:paraId="130259BA" w14:textId="77777777" w:rsidR="00923CC4" w:rsidRPr="00A34F10" w:rsidRDefault="00923CC4" w:rsidP="00DC5685">
      <w:pPr>
        <w:tabs>
          <w:tab w:val="left" w:pos="0"/>
        </w:tabs>
        <w:contextualSpacing/>
        <w:rPr>
          <w:b/>
          <w:bCs/>
          <w:caps/>
          <w:szCs w:val="24"/>
          <w:highlight w:val="yellow"/>
          <w:lang w:val="es-ES"/>
        </w:rPr>
      </w:pPr>
    </w:p>
    <w:p w14:paraId="0AE4DCBE" w14:textId="77777777" w:rsidR="00DC5685" w:rsidRPr="00A34F10" w:rsidRDefault="00DC5685" w:rsidP="00E05ECD">
      <w:pPr>
        <w:numPr>
          <w:ilvl w:val="0"/>
          <w:numId w:val="39"/>
        </w:numPr>
        <w:ind w:left="284" w:hanging="284"/>
        <w:contextualSpacing/>
        <w:rPr>
          <w:b/>
          <w:bCs/>
          <w:caps/>
          <w:szCs w:val="24"/>
          <w:lang w:val="en-GB"/>
        </w:rPr>
      </w:pPr>
      <w:r w:rsidRPr="00A34F10">
        <w:rPr>
          <w:b/>
          <w:bCs/>
          <w:caps/>
          <w:szCs w:val="24"/>
          <w:lang w:val="en-GB"/>
        </w:rPr>
        <w:t>biological effects</w:t>
      </w:r>
    </w:p>
    <w:p w14:paraId="08F50E9D" w14:textId="77777777" w:rsidR="00DC5685" w:rsidRPr="00A34F10" w:rsidRDefault="00DC5685" w:rsidP="00DC5685">
      <w:pPr>
        <w:ind w:left="284"/>
        <w:contextualSpacing/>
        <w:rPr>
          <w:b/>
          <w:bCs/>
          <w:caps/>
          <w:szCs w:val="24"/>
          <w:lang w:val="en-GB"/>
        </w:rPr>
      </w:pPr>
    </w:p>
    <w:p w14:paraId="3C3E493E" w14:textId="35D88547" w:rsidR="00923CC4" w:rsidRPr="00A34F10" w:rsidRDefault="00DC5685" w:rsidP="00DC5685">
      <w:pPr>
        <w:spacing w:after="240"/>
        <w:jc w:val="both"/>
        <w:rPr>
          <w:color w:val="000000"/>
          <w:lang w:val="en-GB"/>
        </w:rPr>
      </w:pPr>
      <w:r w:rsidRPr="00A34F10">
        <w:rPr>
          <w:color w:val="000000"/>
          <w:lang w:val="x-none"/>
        </w:rPr>
        <w:t xml:space="preserve">In the control and at the test item concentrations up to 100.0 mg </w:t>
      </w:r>
      <w:r w:rsidRPr="00A34F10">
        <w:rPr>
          <w:color w:val="000000"/>
          <w:lang w:val="en-GB"/>
        </w:rPr>
        <w:t>product</w:t>
      </w:r>
      <w:r w:rsidRPr="00A34F10">
        <w:rPr>
          <w:color w:val="000000"/>
          <w:lang w:val="x-none"/>
        </w:rPr>
        <w:t>/L, all fish survived until the end of the experiment. No sublethal effects were observed in the control and test item concentrations up to and including 9.39 mg</w:t>
      </w:r>
      <w:r w:rsidRPr="00A34F10">
        <w:rPr>
          <w:color w:val="000000"/>
          <w:lang w:val="en-GB"/>
        </w:rPr>
        <w:t xml:space="preserve"> product</w:t>
      </w:r>
      <w:r w:rsidRPr="00A34F10">
        <w:rPr>
          <w:color w:val="000000"/>
          <w:lang w:val="x-none"/>
        </w:rPr>
        <w:t>/L. Sublethal effects observed in test item concentrations from 20.7 up to and including 100 mg</w:t>
      </w:r>
      <w:r w:rsidRPr="00A34F10">
        <w:rPr>
          <w:color w:val="000000"/>
          <w:lang w:val="en-GB"/>
        </w:rPr>
        <w:t xml:space="preserve"> product</w:t>
      </w:r>
      <w:r w:rsidRPr="00A34F10">
        <w:rPr>
          <w:color w:val="000000"/>
          <w:lang w:val="x-none"/>
        </w:rPr>
        <w:t>/L were loss of equilibrium and abnormal swimming behaviour.</w:t>
      </w:r>
      <w:r w:rsidRPr="00A34F10">
        <w:rPr>
          <w:lang w:val="en-GB"/>
        </w:rPr>
        <w:t xml:space="preserve"> </w:t>
      </w:r>
      <w:r w:rsidRPr="00A34F10">
        <w:rPr>
          <w:color w:val="000000"/>
          <w:lang w:val="en-GB"/>
        </w:rPr>
        <w:t>Biological results are presented in the following table.</w:t>
      </w:r>
    </w:p>
    <w:p w14:paraId="3C8CAFCF" w14:textId="36D412EF" w:rsidR="00DC5685" w:rsidRPr="00A34F10" w:rsidRDefault="004F7AD1" w:rsidP="004F7AD1">
      <w:pPr>
        <w:pStyle w:val="Legenda"/>
        <w:rPr>
          <w:highlight w:val="yellow"/>
        </w:rPr>
      </w:pPr>
      <w:r>
        <w:t xml:space="preserve">Table A </w:t>
      </w:r>
      <w:r>
        <w:fldChar w:fldCharType="begin"/>
      </w:r>
      <w:r>
        <w:instrText xml:space="preserve"> SEQ Table_A \* ARABIC </w:instrText>
      </w:r>
      <w:r>
        <w:fldChar w:fldCharType="separate"/>
      </w:r>
      <w:r w:rsidR="006F0F3B">
        <w:rPr>
          <w:noProof/>
        </w:rPr>
        <w:t>6</w:t>
      </w:r>
      <w:r>
        <w:fldChar w:fldCharType="end"/>
      </w:r>
      <w:r w:rsidR="00CF03B2" w:rsidRPr="00A34F10">
        <w:t>:</w:t>
      </w:r>
      <w:r w:rsidR="00DC5685" w:rsidRPr="00A34F10">
        <w:tab/>
        <w:t>Mortality of rainbow trout (</w:t>
      </w:r>
      <w:r w:rsidR="00DC5685" w:rsidRPr="00A34F10">
        <w:rPr>
          <w:i/>
        </w:rPr>
        <w:t>Oncorhynchus mykiss</w:t>
      </w:r>
      <w:r w:rsidR="00DC5685" w:rsidRPr="00A34F10">
        <w:t xml:space="preserve">) exposed to BAS 743 02 F for 96 hours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17"/>
        <w:gridCol w:w="1093"/>
        <w:gridCol w:w="1246"/>
        <w:gridCol w:w="1245"/>
        <w:gridCol w:w="1245"/>
        <w:gridCol w:w="1248"/>
        <w:gridCol w:w="1250"/>
      </w:tblGrid>
      <w:tr w:rsidR="00DC5685" w:rsidRPr="00A34F10" w14:paraId="788723ED" w14:textId="77777777" w:rsidTr="000470C3">
        <w:trPr>
          <w:trHeight w:val="211"/>
          <w:tblHeader/>
        </w:trPr>
        <w:tc>
          <w:tcPr>
            <w:tcW w:w="1079" w:type="pct"/>
            <w:vMerge w:val="restart"/>
            <w:shd w:val="clear" w:color="auto" w:fill="auto"/>
            <w:vAlign w:val="center"/>
          </w:tcPr>
          <w:p w14:paraId="7C415B55"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pacing w:val="-6"/>
                <w:sz w:val="20"/>
                <w:szCs w:val="20"/>
                <w:lang w:val="en-GB"/>
              </w:rPr>
              <w:t>Nominal concentration [</w:t>
            </w:r>
            <w:r w:rsidRPr="00A34F10">
              <w:rPr>
                <w:b/>
                <w:color w:val="000000"/>
                <w:sz w:val="20"/>
                <w:szCs w:val="20"/>
                <w:lang w:val="en-GB"/>
              </w:rPr>
              <w:t>mg product/L]</w:t>
            </w:r>
          </w:p>
        </w:tc>
        <w:tc>
          <w:tcPr>
            <w:tcW w:w="3921" w:type="pct"/>
            <w:gridSpan w:val="6"/>
            <w:shd w:val="clear" w:color="auto" w:fill="auto"/>
            <w:vAlign w:val="center"/>
          </w:tcPr>
          <w:p w14:paraId="7259C27D"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Cumulative mortality [%]</w:t>
            </w:r>
          </w:p>
        </w:tc>
      </w:tr>
      <w:tr w:rsidR="00DC5685" w:rsidRPr="00A34F10" w14:paraId="7E1235BF" w14:textId="77777777" w:rsidTr="000470C3">
        <w:trPr>
          <w:tblHeader/>
        </w:trPr>
        <w:tc>
          <w:tcPr>
            <w:tcW w:w="1079" w:type="pct"/>
            <w:vMerge/>
            <w:vAlign w:val="center"/>
          </w:tcPr>
          <w:p w14:paraId="737A384D" w14:textId="77777777" w:rsidR="00DC5685" w:rsidRPr="00A34F10" w:rsidRDefault="00DC5685" w:rsidP="00DC5685">
            <w:pPr>
              <w:keepNext/>
              <w:keepLines/>
              <w:spacing w:before="60" w:after="60"/>
              <w:ind w:left="57" w:right="57"/>
              <w:jc w:val="center"/>
              <w:rPr>
                <w:b/>
                <w:color w:val="000000"/>
                <w:sz w:val="20"/>
                <w:szCs w:val="20"/>
                <w:lang w:val="en-GB"/>
              </w:rPr>
            </w:pPr>
          </w:p>
        </w:tc>
        <w:tc>
          <w:tcPr>
            <w:tcW w:w="585" w:type="pct"/>
          </w:tcPr>
          <w:p w14:paraId="32CECFE5"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 h</w:t>
            </w:r>
          </w:p>
        </w:tc>
        <w:tc>
          <w:tcPr>
            <w:tcW w:w="667" w:type="pct"/>
            <w:vAlign w:val="center"/>
          </w:tcPr>
          <w:p w14:paraId="430A49A6"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2 h</w:t>
            </w:r>
          </w:p>
        </w:tc>
        <w:tc>
          <w:tcPr>
            <w:tcW w:w="666" w:type="pct"/>
            <w:vAlign w:val="center"/>
          </w:tcPr>
          <w:p w14:paraId="7CB84DC0"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 xml:space="preserve">24 h </w:t>
            </w:r>
          </w:p>
        </w:tc>
        <w:tc>
          <w:tcPr>
            <w:tcW w:w="666" w:type="pct"/>
            <w:vAlign w:val="center"/>
          </w:tcPr>
          <w:p w14:paraId="458BC6E5"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48 h</w:t>
            </w:r>
          </w:p>
        </w:tc>
        <w:tc>
          <w:tcPr>
            <w:tcW w:w="668" w:type="pct"/>
            <w:vAlign w:val="center"/>
          </w:tcPr>
          <w:p w14:paraId="1E5A1AAE"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72 h</w:t>
            </w:r>
          </w:p>
        </w:tc>
        <w:tc>
          <w:tcPr>
            <w:tcW w:w="669" w:type="pct"/>
          </w:tcPr>
          <w:p w14:paraId="01BE56BD"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96 h</w:t>
            </w:r>
          </w:p>
        </w:tc>
      </w:tr>
      <w:tr w:rsidR="00DC5685" w:rsidRPr="00A34F10" w14:paraId="3A07D09C" w14:textId="77777777" w:rsidTr="000470C3">
        <w:tc>
          <w:tcPr>
            <w:tcW w:w="1079" w:type="pct"/>
            <w:vAlign w:val="center"/>
          </w:tcPr>
          <w:p w14:paraId="1BA4DD39"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Control</w:t>
            </w:r>
          </w:p>
        </w:tc>
        <w:tc>
          <w:tcPr>
            <w:tcW w:w="585" w:type="pct"/>
          </w:tcPr>
          <w:p w14:paraId="1EC78F6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68D6198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789DE3B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5C370DD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471A1FC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50431EF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r w:rsidR="00DC5685" w:rsidRPr="00A34F10" w14:paraId="34D903F0" w14:textId="77777777" w:rsidTr="000470C3">
        <w:tc>
          <w:tcPr>
            <w:tcW w:w="1079" w:type="pct"/>
            <w:vAlign w:val="center"/>
          </w:tcPr>
          <w:p w14:paraId="58DAB33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4.27</w:t>
            </w:r>
          </w:p>
        </w:tc>
        <w:tc>
          <w:tcPr>
            <w:tcW w:w="585" w:type="pct"/>
          </w:tcPr>
          <w:p w14:paraId="5919DD7B"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5052A0BB"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0CED191A"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7EE8B4E3"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40705C61"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3194CF14"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r w:rsidR="00DC5685" w:rsidRPr="00A34F10" w14:paraId="67975170" w14:textId="77777777" w:rsidTr="000470C3">
        <w:tc>
          <w:tcPr>
            <w:tcW w:w="1079" w:type="pct"/>
            <w:vAlign w:val="center"/>
          </w:tcPr>
          <w:p w14:paraId="0478E79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9.39</w:t>
            </w:r>
          </w:p>
        </w:tc>
        <w:tc>
          <w:tcPr>
            <w:tcW w:w="585" w:type="pct"/>
          </w:tcPr>
          <w:p w14:paraId="2D58E6FE"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46A26A0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5FCA5A8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70FF813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150C560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154DE001"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r w:rsidR="00DC5685" w:rsidRPr="00A34F10" w14:paraId="4DB91B2B" w14:textId="77777777" w:rsidTr="000470C3">
        <w:tc>
          <w:tcPr>
            <w:tcW w:w="1079" w:type="pct"/>
            <w:vAlign w:val="center"/>
          </w:tcPr>
          <w:p w14:paraId="331C360A"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20.7</w:t>
            </w:r>
          </w:p>
        </w:tc>
        <w:tc>
          <w:tcPr>
            <w:tcW w:w="585" w:type="pct"/>
          </w:tcPr>
          <w:p w14:paraId="5C51FD3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506D04A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0159097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4FCCB893"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7BD1CEE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3AFB1749"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r w:rsidR="00DC5685" w:rsidRPr="00A34F10" w14:paraId="36A2CEC8" w14:textId="77777777" w:rsidTr="000470C3">
        <w:tc>
          <w:tcPr>
            <w:tcW w:w="1079" w:type="pct"/>
            <w:vAlign w:val="center"/>
          </w:tcPr>
          <w:p w14:paraId="51541DAE"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45.5</w:t>
            </w:r>
          </w:p>
        </w:tc>
        <w:tc>
          <w:tcPr>
            <w:tcW w:w="585" w:type="pct"/>
          </w:tcPr>
          <w:p w14:paraId="23038CFB"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5A443AD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069168A1"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13678FE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0708593A"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6653C469"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r w:rsidR="00DC5685" w:rsidRPr="00A34F10" w14:paraId="78ADDEF7" w14:textId="77777777" w:rsidTr="000470C3">
        <w:tc>
          <w:tcPr>
            <w:tcW w:w="1079" w:type="pct"/>
            <w:vAlign w:val="center"/>
          </w:tcPr>
          <w:p w14:paraId="1EE391F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100</w:t>
            </w:r>
          </w:p>
        </w:tc>
        <w:tc>
          <w:tcPr>
            <w:tcW w:w="585" w:type="pct"/>
          </w:tcPr>
          <w:p w14:paraId="1B62A8B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7" w:type="pct"/>
            <w:vAlign w:val="center"/>
          </w:tcPr>
          <w:p w14:paraId="32F01A8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vAlign w:val="center"/>
          </w:tcPr>
          <w:p w14:paraId="4035710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6" w:type="pct"/>
          </w:tcPr>
          <w:p w14:paraId="5D3EBD5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8" w:type="pct"/>
            <w:vAlign w:val="center"/>
          </w:tcPr>
          <w:p w14:paraId="4AF18BB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c>
          <w:tcPr>
            <w:tcW w:w="669" w:type="pct"/>
            <w:vAlign w:val="center"/>
          </w:tcPr>
          <w:p w14:paraId="2F8ABE28"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w:t>
            </w:r>
          </w:p>
        </w:tc>
      </w:tr>
    </w:tbl>
    <w:p w14:paraId="414FB326" w14:textId="77777777" w:rsidR="00DC5685" w:rsidRPr="00A34F10" w:rsidRDefault="00DC5685" w:rsidP="00DC5685">
      <w:pPr>
        <w:tabs>
          <w:tab w:val="left" w:pos="720"/>
        </w:tabs>
        <w:spacing w:after="240"/>
        <w:contextualSpacing/>
        <w:jc w:val="both"/>
        <w:rPr>
          <w:szCs w:val="24"/>
          <w:highlight w:val="yellow"/>
          <w:lang w:val="en-GB"/>
        </w:rPr>
      </w:pPr>
    </w:p>
    <w:p w14:paraId="299897BE" w14:textId="77777777" w:rsidR="00DC5685" w:rsidRPr="00A34F10" w:rsidRDefault="00DC5685" w:rsidP="00DC5685">
      <w:pPr>
        <w:tabs>
          <w:tab w:val="left" w:pos="720"/>
        </w:tabs>
        <w:spacing w:after="240"/>
        <w:contextualSpacing/>
        <w:jc w:val="both"/>
        <w:rPr>
          <w:szCs w:val="24"/>
          <w:highlight w:val="yellow"/>
          <w:lang w:val="en-GB"/>
        </w:rPr>
      </w:pPr>
    </w:p>
    <w:p w14:paraId="5E020CD1" w14:textId="77777777" w:rsidR="00DC5685" w:rsidRPr="00A34F10" w:rsidRDefault="00DC5685" w:rsidP="00E05ECD">
      <w:pPr>
        <w:numPr>
          <w:ilvl w:val="0"/>
          <w:numId w:val="39"/>
        </w:numPr>
        <w:ind w:left="284" w:hanging="284"/>
        <w:contextualSpacing/>
        <w:rPr>
          <w:b/>
          <w:bCs/>
          <w:caps/>
          <w:szCs w:val="24"/>
          <w:lang w:val="en-GB"/>
        </w:rPr>
      </w:pPr>
      <w:r w:rsidRPr="00A34F10">
        <w:rPr>
          <w:b/>
          <w:bCs/>
          <w:caps/>
          <w:szCs w:val="24"/>
          <w:lang w:val="en-GB"/>
        </w:rPr>
        <w:t>VALIDITY CRITERIA</w:t>
      </w:r>
    </w:p>
    <w:p w14:paraId="0FB2A1FE" w14:textId="77777777" w:rsidR="00DC5685" w:rsidRPr="00A34F10" w:rsidRDefault="00DC5685" w:rsidP="00DC5685">
      <w:pPr>
        <w:ind w:left="284"/>
        <w:contextualSpacing/>
        <w:rPr>
          <w:b/>
          <w:bCs/>
          <w:caps/>
          <w:szCs w:val="24"/>
          <w:lang w:val="en-GB"/>
        </w:rPr>
      </w:pPr>
    </w:p>
    <w:p w14:paraId="52FD4E9C" w14:textId="77777777" w:rsidR="00DC5685" w:rsidRPr="00A34F10" w:rsidRDefault="00DC5685" w:rsidP="00DC5685">
      <w:pPr>
        <w:tabs>
          <w:tab w:val="left" w:pos="720"/>
        </w:tabs>
        <w:spacing w:after="240"/>
        <w:contextualSpacing/>
        <w:jc w:val="both"/>
        <w:rPr>
          <w:szCs w:val="24"/>
          <w:lang w:val="en-GB"/>
        </w:rPr>
      </w:pPr>
      <w:r w:rsidRPr="00A34F10">
        <w:rPr>
          <w:szCs w:val="24"/>
          <w:lang w:val="en-GB"/>
        </w:rPr>
        <w:t>All validity criteria were met.</w:t>
      </w:r>
    </w:p>
    <w:p w14:paraId="5ABD9F7F" w14:textId="38781CBA" w:rsidR="00DC5685" w:rsidRPr="00A34F10" w:rsidRDefault="0067773B" w:rsidP="0067773B">
      <w:pPr>
        <w:pStyle w:val="Legenda"/>
        <w:rPr>
          <w:color w:val="000000"/>
          <w:highlight w:val="yellow"/>
        </w:rPr>
      </w:pPr>
      <w:r>
        <w:t xml:space="preserve">Table A </w:t>
      </w:r>
      <w:r>
        <w:fldChar w:fldCharType="begin"/>
      </w:r>
      <w:r>
        <w:instrText xml:space="preserve"> SEQ Table_A \* ARABIC </w:instrText>
      </w:r>
      <w:r>
        <w:fldChar w:fldCharType="separate"/>
      </w:r>
      <w:r w:rsidR="006F0F3B">
        <w:rPr>
          <w:noProof/>
        </w:rPr>
        <w:t>7</w:t>
      </w:r>
      <w:r>
        <w:fldChar w:fldCharType="end"/>
      </w:r>
      <w:r w:rsidR="00E24338" w:rsidRPr="00A34F10">
        <w:t>:</w:t>
      </w:r>
      <w:r w:rsidR="00DC5685" w:rsidRPr="00A34F10">
        <w:rPr>
          <w:color w:val="000000"/>
        </w:rPr>
        <w:tab/>
        <w:t>Validity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4"/>
        <w:gridCol w:w="2740"/>
      </w:tblGrid>
      <w:tr w:rsidR="00DC5685" w:rsidRPr="00A34F10" w14:paraId="085F0EB7" w14:textId="77777777" w:rsidTr="000470C3">
        <w:trPr>
          <w:trHeight w:val="270"/>
        </w:trPr>
        <w:tc>
          <w:tcPr>
            <w:tcW w:w="0" w:type="auto"/>
            <w:shd w:val="clear" w:color="auto" w:fill="auto"/>
            <w:noWrap/>
            <w:hideMark/>
          </w:tcPr>
          <w:p w14:paraId="379CA966" w14:textId="77777777" w:rsidR="00DC5685" w:rsidRPr="00A34F10" w:rsidRDefault="00DC5685" w:rsidP="00DC5685">
            <w:pPr>
              <w:spacing w:before="40" w:after="40"/>
              <w:rPr>
                <w:b/>
                <w:bCs/>
                <w:sz w:val="20"/>
                <w:szCs w:val="20"/>
              </w:rPr>
            </w:pPr>
            <w:r w:rsidRPr="00A34F10">
              <w:rPr>
                <w:b/>
                <w:bCs/>
                <w:sz w:val="20"/>
                <w:szCs w:val="20"/>
              </w:rPr>
              <w:t>Validity criteria according to OECD 203 (2019)</w:t>
            </w:r>
          </w:p>
        </w:tc>
        <w:tc>
          <w:tcPr>
            <w:tcW w:w="0" w:type="auto"/>
            <w:shd w:val="clear" w:color="auto" w:fill="auto"/>
            <w:noWrap/>
            <w:hideMark/>
          </w:tcPr>
          <w:p w14:paraId="101B74DD" w14:textId="77777777" w:rsidR="00DC5685" w:rsidRPr="00A34F10" w:rsidRDefault="00DC5685" w:rsidP="00DC5685">
            <w:pPr>
              <w:spacing w:before="40" w:after="40"/>
              <w:rPr>
                <w:b/>
                <w:bCs/>
                <w:sz w:val="20"/>
                <w:szCs w:val="20"/>
              </w:rPr>
            </w:pPr>
            <w:r w:rsidRPr="00A34F10">
              <w:rPr>
                <w:b/>
                <w:bCs/>
                <w:sz w:val="20"/>
                <w:szCs w:val="20"/>
              </w:rPr>
              <w:t>Obtained in this study</w:t>
            </w:r>
          </w:p>
        </w:tc>
      </w:tr>
      <w:tr w:rsidR="00DC5685" w:rsidRPr="00A34F10" w14:paraId="2E05B3EE" w14:textId="77777777" w:rsidTr="000470C3">
        <w:trPr>
          <w:trHeight w:val="270"/>
        </w:trPr>
        <w:tc>
          <w:tcPr>
            <w:tcW w:w="0" w:type="auto"/>
            <w:shd w:val="clear" w:color="auto" w:fill="auto"/>
            <w:noWrap/>
          </w:tcPr>
          <w:p w14:paraId="41C44072" w14:textId="77777777" w:rsidR="00DC5685" w:rsidRPr="00A34F10" w:rsidRDefault="00DC5685" w:rsidP="00DC5685">
            <w:pPr>
              <w:spacing w:before="40" w:after="40"/>
              <w:jc w:val="both"/>
              <w:rPr>
                <w:sz w:val="20"/>
                <w:szCs w:val="20"/>
              </w:rPr>
            </w:pPr>
            <w:r w:rsidRPr="00A34F10">
              <w:rPr>
                <w:sz w:val="20"/>
                <w:szCs w:val="20"/>
              </w:rPr>
              <w:t>In the control(s) (dilution water control, solvent control), the mortality should not exceed 10% (or one fish, if fewer than 10 control fish are tested) at the end of the exposure;</w:t>
            </w:r>
          </w:p>
        </w:tc>
        <w:tc>
          <w:tcPr>
            <w:tcW w:w="0" w:type="auto"/>
            <w:shd w:val="clear" w:color="auto" w:fill="auto"/>
            <w:noWrap/>
          </w:tcPr>
          <w:p w14:paraId="20E93793" w14:textId="77777777" w:rsidR="00DC5685" w:rsidRPr="00A34F10" w:rsidRDefault="00DC5685" w:rsidP="00DC5685">
            <w:pPr>
              <w:spacing w:before="40" w:after="40"/>
              <w:rPr>
                <w:sz w:val="20"/>
                <w:szCs w:val="20"/>
              </w:rPr>
            </w:pPr>
            <w:r w:rsidRPr="00A34F10">
              <w:rPr>
                <w:sz w:val="20"/>
                <w:szCs w:val="20"/>
              </w:rPr>
              <w:t>0%</w:t>
            </w:r>
          </w:p>
        </w:tc>
      </w:tr>
      <w:tr w:rsidR="00DC5685" w:rsidRPr="00A34F10" w14:paraId="51146BB9" w14:textId="77777777" w:rsidTr="000470C3">
        <w:trPr>
          <w:trHeight w:val="270"/>
        </w:trPr>
        <w:tc>
          <w:tcPr>
            <w:tcW w:w="0" w:type="auto"/>
            <w:shd w:val="clear" w:color="auto" w:fill="auto"/>
            <w:noWrap/>
          </w:tcPr>
          <w:p w14:paraId="2BD48DC6" w14:textId="77777777" w:rsidR="00DC5685" w:rsidRPr="00A34F10" w:rsidRDefault="00DC5685" w:rsidP="00DC5685">
            <w:pPr>
              <w:autoSpaceDE w:val="0"/>
              <w:autoSpaceDN w:val="0"/>
              <w:adjustRightInd w:val="0"/>
              <w:spacing w:before="40" w:after="40"/>
              <w:jc w:val="both"/>
              <w:rPr>
                <w:rFonts w:eastAsia="Calibri"/>
                <w:sz w:val="20"/>
                <w:szCs w:val="20"/>
              </w:rPr>
            </w:pPr>
            <w:r w:rsidRPr="00A34F10">
              <w:rPr>
                <w:sz w:val="20"/>
                <w:szCs w:val="20"/>
              </w:rPr>
              <w:t>The dissolved oxygen concentration must have been at least 60% of the air saturation value throughout the test.</w:t>
            </w:r>
          </w:p>
        </w:tc>
        <w:tc>
          <w:tcPr>
            <w:tcW w:w="0" w:type="auto"/>
            <w:shd w:val="clear" w:color="auto" w:fill="auto"/>
            <w:noWrap/>
          </w:tcPr>
          <w:p w14:paraId="144FB661" w14:textId="77777777" w:rsidR="00DC5685" w:rsidRPr="00A34F10" w:rsidRDefault="00DC5685" w:rsidP="00DC5685">
            <w:pPr>
              <w:spacing w:before="40" w:after="40"/>
              <w:rPr>
                <w:sz w:val="20"/>
                <w:szCs w:val="20"/>
              </w:rPr>
            </w:pPr>
            <w:r w:rsidRPr="00A34F10">
              <w:rPr>
                <w:sz w:val="20"/>
                <w:szCs w:val="20"/>
                <w:lang w:val="x-none"/>
              </w:rPr>
              <w:t>≥ 71 %</w:t>
            </w:r>
          </w:p>
        </w:tc>
      </w:tr>
      <w:tr w:rsidR="00DC5685" w:rsidRPr="00A34F10" w14:paraId="17F21735" w14:textId="77777777" w:rsidTr="000470C3">
        <w:trPr>
          <w:trHeight w:val="270"/>
        </w:trPr>
        <w:tc>
          <w:tcPr>
            <w:tcW w:w="0" w:type="auto"/>
            <w:shd w:val="clear" w:color="auto" w:fill="auto"/>
            <w:noWrap/>
          </w:tcPr>
          <w:p w14:paraId="177572CC" w14:textId="77777777" w:rsidR="00DC5685" w:rsidRPr="00A34F10" w:rsidRDefault="00DC5685" w:rsidP="00DC5685">
            <w:pPr>
              <w:autoSpaceDE w:val="0"/>
              <w:autoSpaceDN w:val="0"/>
              <w:adjustRightInd w:val="0"/>
              <w:spacing w:before="40" w:after="40"/>
              <w:rPr>
                <w:rFonts w:eastAsia="Calibri"/>
                <w:sz w:val="20"/>
                <w:szCs w:val="20"/>
              </w:rPr>
            </w:pPr>
            <w:r w:rsidRPr="00A34F10">
              <w:rPr>
                <w:sz w:val="20"/>
                <w:szCs w:val="20"/>
              </w:rPr>
              <w:lastRenderedPageBreak/>
              <w:t>Analytical measurement of test concentrations is compulsory</w:t>
            </w:r>
          </w:p>
        </w:tc>
        <w:tc>
          <w:tcPr>
            <w:tcW w:w="0" w:type="auto"/>
            <w:shd w:val="clear" w:color="auto" w:fill="auto"/>
            <w:noWrap/>
          </w:tcPr>
          <w:p w14:paraId="0FC1C6BE" w14:textId="77777777" w:rsidR="00DC5685" w:rsidRPr="00A34F10" w:rsidRDefault="00DC5685" w:rsidP="00DC5685">
            <w:pPr>
              <w:spacing w:before="40" w:after="40"/>
              <w:jc w:val="both"/>
              <w:rPr>
                <w:sz w:val="20"/>
                <w:szCs w:val="20"/>
              </w:rPr>
            </w:pPr>
            <w:r w:rsidRPr="00A34F10">
              <w:rPr>
                <w:sz w:val="20"/>
                <w:szCs w:val="20"/>
              </w:rPr>
              <w:t xml:space="preserve">Analysis of each test conc. at test initiation (0-hour) and after 96-hour </w:t>
            </w:r>
          </w:p>
        </w:tc>
      </w:tr>
    </w:tbl>
    <w:p w14:paraId="3D70F7DD" w14:textId="04204E42" w:rsidR="00DC5685" w:rsidRPr="00A34F10" w:rsidRDefault="00DC5685" w:rsidP="00DC5685">
      <w:pPr>
        <w:tabs>
          <w:tab w:val="left" w:pos="720"/>
        </w:tabs>
        <w:spacing w:after="240"/>
        <w:contextualSpacing/>
        <w:jc w:val="both"/>
        <w:rPr>
          <w:highlight w:val="yellow"/>
          <w:lang w:val="en-GB"/>
        </w:rPr>
      </w:pPr>
    </w:p>
    <w:p w14:paraId="31E1A830" w14:textId="77777777" w:rsidR="00DC5685" w:rsidRPr="00A34F10" w:rsidRDefault="00DC5685" w:rsidP="00E05ECD">
      <w:pPr>
        <w:numPr>
          <w:ilvl w:val="0"/>
          <w:numId w:val="39"/>
        </w:numPr>
        <w:ind w:left="284" w:hanging="284"/>
        <w:contextualSpacing/>
        <w:rPr>
          <w:b/>
          <w:bCs/>
          <w:caps/>
          <w:szCs w:val="24"/>
          <w:lang w:val="en-GB"/>
        </w:rPr>
      </w:pPr>
      <w:r w:rsidRPr="00A34F10">
        <w:rPr>
          <w:b/>
          <w:bCs/>
          <w:caps/>
          <w:szCs w:val="24"/>
          <w:lang w:val="en-GB"/>
        </w:rPr>
        <w:t>DEFICIENCIES</w:t>
      </w:r>
    </w:p>
    <w:p w14:paraId="38FDF72E" w14:textId="77777777" w:rsidR="00DC5685" w:rsidRPr="00A34F10" w:rsidRDefault="00DC5685" w:rsidP="00DC5685">
      <w:pPr>
        <w:ind w:left="284"/>
        <w:contextualSpacing/>
        <w:rPr>
          <w:b/>
          <w:bCs/>
          <w:caps/>
          <w:szCs w:val="24"/>
          <w:lang w:val="en-GB"/>
        </w:rPr>
      </w:pPr>
    </w:p>
    <w:p w14:paraId="02006CF7" w14:textId="13FB6079" w:rsidR="00DC5685" w:rsidRPr="00A34F10"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 xml:space="preserve">. </w:t>
      </w:r>
    </w:p>
    <w:p w14:paraId="2DB0C193" w14:textId="70FEE00B" w:rsidR="00923CC4" w:rsidRPr="00A34F10" w:rsidRDefault="00923CC4" w:rsidP="003347E3">
      <w:pPr>
        <w:tabs>
          <w:tab w:val="left" w:pos="720"/>
        </w:tabs>
        <w:jc w:val="both"/>
        <w:rPr>
          <w:szCs w:val="24"/>
          <w:lang w:val="en-GB"/>
        </w:rPr>
      </w:pPr>
    </w:p>
    <w:p w14:paraId="6560FD9F" w14:textId="77777777" w:rsidR="00DC5685" w:rsidRPr="00A34F10" w:rsidRDefault="00DC5685" w:rsidP="00E05ECD">
      <w:pPr>
        <w:numPr>
          <w:ilvl w:val="0"/>
          <w:numId w:val="26"/>
        </w:numPr>
        <w:tabs>
          <w:tab w:val="left" w:pos="720"/>
        </w:tabs>
        <w:spacing w:after="240"/>
        <w:jc w:val="center"/>
        <w:rPr>
          <w:b/>
          <w:bCs/>
          <w:caps/>
          <w:szCs w:val="24"/>
          <w:lang w:val="en-GB"/>
        </w:rPr>
      </w:pPr>
      <w:r w:rsidRPr="00A34F10">
        <w:rPr>
          <w:b/>
          <w:bCs/>
          <w:caps/>
          <w:szCs w:val="24"/>
          <w:lang w:val="en-GB"/>
        </w:rPr>
        <w:t>Conclusion</w:t>
      </w:r>
    </w:p>
    <w:p w14:paraId="54EE97F3" w14:textId="2EA3115F" w:rsidR="00923CC4" w:rsidRPr="00A34F10" w:rsidRDefault="00DC5685" w:rsidP="00DC5685">
      <w:pPr>
        <w:spacing w:after="120"/>
        <w:jc w:val="both"/>
        <w:rPr>
          <w:lang w:val="en-GB"/>
        </w:rPr>
      </w:pPr>
      <w:r w:rsidRPr="00A34F10">
        <w:rPr>
          <w:lang w:val="en-GB"/>
        </w:rPr>
        <w:t>The 96-hour LC</w:t>
      </w:r>
      <w:r w:rsidRPr="00A34F10">
        <w:rPr>
          <w:vertAlign w:val="subscript"/>
          <w:lang w:val="en-GB"/>
        </w:rPr>
        <w:t>50</w:t>
      </w:r>
      <w:r w:rsidRPr="00A34F10">
        <w:rPr>
          <w:lang w:val="en-GB"/>
        </w:rPr>
        <w:t xml:space="preserve"> of BAS 743 02 F to rainbow trout (</w:t>
      </w:r>
      <w:r w:rsidRPr="00A34F10">
        <w:rPr>
          <w:i/>
          <w:lang w:val="en-GB"/>
        </w:rPr>
        <w:t>Oncorhynchus mykiss</w:t>
      </w:r>
      <w:r w:rsidRPr="00A34F10">
        <w:rPr>
          <w:lang w:val="en-GB"/>
        </w:rPr>
        <w:t>) was above the highest concentration tested of 100 mg product/L, based on nominal concentration. No sublethal effects were observed in the control and test item concentrations up to and including 9:39 mg product/L after 96 hours. Sublethal effects observed in test item concentrations from 20.7 up to and including 100.0 mg product/L were loss of equilibrium and abnormal swimming behaviour.</w:t>
      </w:r>
    </w:p>
    <w:p w14:paraId="05C3410C" w14:textId="77777777" w:rsidR="00DC5685" w:rsidRPr="00A34F10" w:rsidRDefault="00923CC4" w:rsidP="00923CC4">
      <w:r w:rsidRPr="00A34F10">
        <w:rPr>
          <w:lang w:val="en-GB"/>
        </w:rPr>
        <w:br w:type="page"/>
      </w:r>
    </w:p>
    <w:p w14:paraId="6048384A" w14:textId="0BC585B4" w:rsidR="00DC5685" w:rsidRPr="00A34F10" w:rsidRDefault="00DC5685" w:rsidP="00BB63B3">
      <w:pPr>
        <w:pStyle w:val="RepAppendix4"/>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71C88B50" w14:textId="77777777" w:rsidTr="007B7E03">
        <w:tc>
          <w:tcPr>
            <w:tcW w:w="1063" w:type="pct"/>
            <w:shd w:val="clear" w:color="auto" w:fill="D9D9D9" w:themeFill="background1" w:themeFillShade="D9"/>
          </w:tcPr>
          <w:p w14:paraId="4DA4681E" w14:textId="77777777" w:rsidR="00DC5685" w:rsidRPr="00A34F10" w:rsidRDefault="00DC5685" w:rsidP="00DC5685">
            <w:pPr>
              <w:keepNext/>
              <w:keepLines/>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1BF08434" w14:textId="11C29E68" w:rsidR="007B7E03" w:rsidRPr="007A6328" w:rsidRDefault="007B7E03" w:rsidP="007B7E03">
            <w:pPr>
              <w:pStyle w:val="RepStandard"/>
              <w:rPr>
                <w:color w:val="000000"/>
              </w:rPr>
            </w:pPr>
            <w:r w:rsidRPr="007A6328">
              <w:rPr>
                <w:color w:val="000000"/>
              </w:rPr>
              <w:t>The study was conducted to OECD guideline 2</w:t>
            </w:r>
            <w:r w:rsidR="007B12E1">
              <w:rPr>
                <w:color w:val="000000"/>
              </w:rPr>
              <w:t>02</w:t>
            </w:r>
            <w:r w:rsidRPr="007A6328">
              <w:rPr>
                <w:color w:val="000000"/>
              </w:rPr>
              <w:t xml:space="preserve"> and according to the principles of GLP. No deviations to the guideline were noted. All validity criteria were met.</w:t>
            </w:r>
          </w:p>
          <w:p w14:paraId="373B1CB1" w14:textId="750C6D91" w:rsidR="00DC5685" w:rsidRPr="00A34F10" w:rsidRDefault="007B7E03" w:rsidP="007B7E03">
            <w:pPr>
              <w:keepNext/>
              <w:keepLines/>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p>
        </w:tc>
      </w:tr>
    </w:tbl>
    <w:p w14:paraId="3595742C" w14:textId="77777777" w:rsidR="00DC5685" w:rsidRPr="00A34F10" w:rsidRDefault="00DC5685" w:rsidP="00DC5685">
      <w:pPr>
        <w:keepNext/>
        <w:keepLines/>
        <w:widowControl w:val="0"/>
        <w:jc w:val="both"/>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514E5CEB" w14:textId="77777777" w:rsidTr="000470C3">
        <w:trPr>
          <w:trHeight w:val="227"/>
          <w:jc w:val="center"/>
        </w:trPr>
        <w:tc>
          <w:tcPr>
            <w:tcW w:w="1364" w:type="pct"/>
          </w:tcPr>
          <w:p w14:paraId="41969C6B"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 xml:space="preserve">Data point: </w:t>
            </w:r>
          </w:p>
        </w:tc>
        <w:tc>
          <w:tcPr>
            <w:tcW w:w="3636" w:type="pct"/>
          </w:tcPr>
          <w:p w14:paraId="49FB85F1" w14:textId="77777777" w:rsidR="00DC5685" w:rsidRPr="00A34F10" w:rsidRDefault="00DC5685" w:rsidP="00DC5685">
            <w:pPr>
              <w:widowControl w:val="0"/>
              <w:spacing w:after="120"/>
              <w:jc w:val="both"/>
              <w:rPr>
                <w:lang w:val="en-GB"/>
              </w:rPr>
            </w:pPr>
            <w:r w:rsidRPr="00A34F10">
              <w:rPr>
                <w:lang w:val="en-GB"/>
              </w:rPr>
              <w:t>CP 10.2.1/02</w:t>
            </w:r>
          </w:p>
        </w:tc>
      </w:tr>
      <w:tr w:rsidR="00DC5685" w:rsidRPr="00A34F10" w14:paraId="1C02B7FD" w14:textId="77777777" w:rsidTr="000470C3">
        <w:trPr>
          <w:trHeight w:val="227"/>
          <w:jc w:val="center"/>
        </w:trPr>
        <w:tc>
          <w:tcPr>
            <w:tcW w:w="1364" w:type="pct"/>
          </w:tcPr>
          <w:p w14:paraId="464F9291"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 xml:space="preserve">Report </w:t>
            </w:r>
          </w:p>
        </w:tc>
        <w:tc>
          <w:tcPr>
            <w:tcW w:w="3636" w:type="pct"/>
          </w:tcPr>
          <w:p w14:paraId="75B68D6E" w14:textId="77777777" w:rsidR="00DC5685" w:rsidRPr="00A34F10" w:rsidRDefault="00DC5685" w:rsidP="00DC5685">
            <w:pPr>
              <w:widowControl w:val="0"/>
              <w:spacing w:after="120"/>
              <w:jc w:val="both"/>
              <w:rPr>
                <w:lang w:val="en-GB"/>
              </w:rPr>
            </w:pPr>
            <w:r w:rsidRPr="00A34F10">
              <w:rPr>
                <w:lang w:val="en-GB"/>
              </w:rPr>
              <w:t>BAS 743 02 F: Toxicity to the Water Flea Daphnia magna Straus under Laboratory Conditions (Acute Immobilisation Test – Static)</w:t>
            </w:r>
          </w:p>
          <w:p w14:paraId="775C9D1C" w14:textId="77777777" w:rsidR="00DC5685" w:rsidRPr="00A34F10" w:rsidRDefault="00DC5685" w:rsidP="00DC5685">
            <w:pPr>
              <w:widowControl w:val="0"/>
              <w:spacing w:after="120"/>
              <w:jc w:val="both"/>
              <w:rPr>
                <w:lang w:val="en-GB"/>
              </w:rPr>
            </w:pPr>
            <w:r w:rsidRPr="00A34F10">
              <w:rPr>
                <w:lang w:val="en-GB"/>
              </w:rPr>
              <w:t>Wendling, K., 2023b</w:t>
            </w:r>
          </w:p>
          <w:p w14:paraId="37042798" w14:textId="01EB7AAC" w:rsidR="00DC5685" w:rsidRPr="00A34F10" w:rsidRDefault="00482794" w:rsidP="00DC5685">
            <w:pPr>
              <w:widowControl w:val="0"/>
              <w:spacing w:after="120"/>
              <w:jc w:val="both"/>
              <w:rPr>
                <w:lang w:val="en-GB"/>
              </w:rPr>
            </w:pPr>
            <w:r>
              <w:rPr>
                <w:lang w:val="en-GB"/>
              </w:rPr>
              <w:t>XXXX</w:t>
            </w:r>
            <w:r w:rsidR="00DC5685" w:rsidRPr="00A34F10">
              <w:rPr>
                <w:lang w:val="en-GB"/>
              </w:rPr>
              <w:t xml:space="preserve"> Study ID: 933752_4</w:t>
            </w:r>
          </w:p>
          <w:p w14:paraId="356FC5C4" w14:textId="52523DE2" w:rsidR="00DC5685" w:rsidRPr="00A34F10" w:rsidRDefault="00482794" w:rsidP="00DC5685">
            <w:pPr>
              <w:widowControl w:val="0"/>
              <w:spacing w:after="120"/>
              <w:jc w:val="both"/>
              <w:rPr>
                <w:lang w:val="en-GB"/>
              </w:rPr>
            </w:pPr>
            <w:r>
              <w:rPr>
                <w:lang w:val="en-GB"/>
              </w:rPr>
              <w:t>XXXX</w:t>
            </w:r>
            <w:r w:rsidR="00DC5685" w:rsidRPr="00A34F10">
              <w:rPr>
                <w:lang w:val="en-GB"/>
              </w:rPr>
              <w:t xml:space="preserve"> Doc ID: 2022/2033712</w:t>
            </w:r>
          </w:p>
        </w:tc>
      </w:tr>
      <w:tr w:rsidR="00DC5685" w:rsidRPr="00A34F10" w14:paraId="2F5AEEC0" w14:textId="77777777" w:rsidTr="000470C3">
        <w:trPr>
          <w:trHeight w:val="227"/>
          <w:jc w:val="center"/>
        </w:trPr>
        <w:tc>
          <w:tcPr>
            <w:tcW w:w="1364" w:type="pct"/>
          </w:tcPr>
          <w:p w14:paraId="2F5918D6" w14:textId="77777777" w:rsidR="00DC5685" w:rsidRPr="00A34F10" w:rsidRDefault="00DC5685" w:rsidP="00DC5685">
            <w:pPr>
              <w:keepNext/>
              <w:tabs>
                <w:tab w:val="left" w:pos="360"/>
                <w:tab w:val="left" w:pos="720"/>
              </w:tabs>
              <w:spacing w:before="60" w:after="60"/>
              <w:rPr>
                <w:color w:val="000000" w:themeColor="text1"/>
                <w:lang w:val="en-GB"/>
              </w:rPr>
            </w:pPr>
            <w:r w:rsidRPr="00A34F10">
              <w:t>Guideline(s):</w:t>
            </w:r>
          </w:p>
        </w:tc>
        <w:tc>
          <w:tcPr>
            <w:tcW w:w="3636" w:type="pct"/>
          </w:tcPr>
          <w:p w14:paraId="081A9EDD" w14:textId="77777777" w:rsidR="00DC5685" w:rsidRPr="00A34F10" w:rsidRDefault="00DC5685" w:rsidP="00DC5685">
            <w:pPr>
              <w:widowControl w:val="0"/>
              <w:spacing w:after="120"/>
              <w:jc w:val="both"/>
              <w:rPr>
                <w:lang w:val="en-GB"/>
              </w:rPr>
            </w:pPr>
            <w:r w:rsidRPr="00A34F10">
              <w:rPr>
                <w:lang w:val="en-GB"/>
              </w:rPr>
              <w:t>Biological part: OECD 202 (2004)</w:t>
            </w:r>
          </w:p>
          <w:p w14:paraId="004D44F4" w14:textId="77777777" w:rsidR="00DC5685" w:rsidRPr="00A34F10" w:rsidRDefault="00DC5685" w:rsidP="00DC5685">
            <w:pPr>
              <w:widowControl w:val="0"/>
              <w:spacing w:after="120"/>
              <w:jc w:val="both"/>
              <w:rPr>
                <w:lang w:val="en-GB"/>
              </w:rPr>
            </w:pPr>
            <w:r w:rsidRPr="00A34F10">
              <w:rPr>
                <w:lang w:val="en-GB"/>
              </w:rPr>
              <w:t>Analytical part: SANCO/3029/99 rev.4 11/07/00</w:t>
            </w:r>
          </w:p>
        </w:tc>
      </w:tr>
      <w:tr w:rsidR="00DC5685" w:rsidRPr="00A34F10" w14:paraId="236A4203" w14:textId="77777777" w:rsidTr="000470C3">
        <w:trPr>
          <w:trHeight w:val="227"/>
          <w:jc w:val="center"/>
        </w:trPr>
        <w:tc>
          <w:tcPr>
            <w:tcW w:w="1364" w:type="pct"/>
          </w:tcPr>
          <w:p w14:paraId="4E8618BD" w14:textId="77777777" w:rsidR="00DC5685" w:rsidRPr="00A34F10" w:rsidRDefault="00DC5685" w:rsidP="00DC5685">
            <w:pPr>
              <w:keepNext/>
              <w:tabs>
                <w:tab w:val="left" w:pos="360"/>
                <w:tab w:val="left" w:pos="720"/>
              </w:tabs>
              <w:spacing w:before="60" w:after="60"/>
              <w:jc w:val="both"/>
              <w:rPr>
                <w:color w:val="000000" w:themeColor="text1"/>
                <w:lang w:val="en-GB"/>
              </w:rPr>
            </w:pPr>
            <w:r w:rsidRPr="00A34F10">
              <w:rPr>
                <w:color w:val="000000" w:themeColor="text1"/>
                <w:lang w:val="en-GB"/>
              </w:rPr>
              <w:t xml:space="preserve">Deviations: </w:t>
            </w:r>
          </w:p>
        </w:tc>
        <w:tc>
          <w:tcPr>
            <w:tcW w:w="3636" w:type="pct"/>
          </w:tcPr>
          <w:p w14:paraId="096FDC7C"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646356B7" w14:textId="77777777" w:rsidTr="000470C3">
        <w:trPr>
          <w:trHeight w:val="227"/>
          <w:jc w:val="center"/>
        </w:trPr>
        <w:tc>
          <w:tcPr>
            <w:tcW w:w="1364" w:type="pct"/>
          </w:tcPr>
          <w:p w14:paraId="3E733313" w14:textId="77777777" w:rsidR="00DC5685" w:rsidRPr="00A34F10" w:rsidRDefault="00DC5685" w:rsidP="00DC5685">
            <w:pPr>
              <w:keepNext/>
              <w:tabs>
                <w:tab w:val="left" w:pos="360"/>
                <w:tab w:val="left" w:pos="720"/>
              </w:tabs>
              <w:spacing w:before="60" w:after="60"/>
              <w:rPr>
                <w:color w:val="000000" w:themeColor="text1"/>
                <w:lang w:val="en-GB"/>
              </w:rPr>
            </w:pPr>
            <w:r w:rsidRPr="00A34F10">
              <w:rPr>
                <w:color w:val="000000" w:themeColor="text1"/>
                <w:lang w:val="en-GB"/>
              </w:rPr>
              <w:t>GLP:</w:t>
            </w:r>
          </w:p>
        </w:tc>
        <w:tc>
          <w:tcPr>
            <w:tcW w:w="3636" w:type="pct"/>
          </w:tcPr>
          <w:p w14:paraId="647B2C67"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08142523" w14:textId="77777777" w:rsidTr="000470C3">
        <w:trPr>
          <w:trHeight w:val="227"/>
          <w:jc w:val="center"/>
        </w:trPr>
        <w:tc>
          <w:tcPr>
            <w:tcW w:w="1364" w:type="pct"/>
          </w:tcPr>
          <w:p w14:paraId="52028884" w14:textId="77777777" w:rsidR="00DC5685" w:rsidRPr="00A34F10" w:rsidRDefault="00DC5685" w:rsidP="00DC5685">
            <w:pPr>
              <w:keepNext/>
              <w:tabs>
                <w:tab w:val="left" w:pos="360"/>
                <w:tab w:val="left" w:pos="720"/>
              </w:tabs>
              <w:spacing w:before="60" w:after="60"/>
              <w:jc w:val="both"/>
              <w:rPr>
                <w:color w:val="000000" w:themeColor="text1"/>
                <w:lang w:val="en-GB"/>
              </w:rPr>
            </w:pPr>
            <w:r w:rsidRPr="00A34F10">
              <w:rPr>
                <w:color w:val="000000" w:themeColor="text1"/>
                <w:lang w:val="en-GB"/>
              </w:rPr>
              <w:t xml:space="preserve">Acceptability: </w:t>
            </w:r>
          </w:p>
        </w:tc>
        <w:tc>
          <w:tcPr>
            <w:tcW w:w="3636" w:type="pct"/>
          </w:tcPr>
          <w:p w14:paraId="463C0838" w14:textId="77777777" w:rsidR="00DC5685" w:rsidRPr="00A34F10" w:rsidRDefault="00DC5685" w:rsidP="00DC5685">
            <w:pPr>
              <w:widowControl w:val="0"/>
              <w:spacing w:after="120"/>
              <w:jc w:val="both"/>
              <w:rPr>
                <w:lang w:val="en-GB"/>
              </w:rPr>
            </w:pPr>
            <w:r w:rsidRPr="00A34F10">
              <w:rPr>
                <w:lang w:val="en-GB"/>
              </w:rPr>
              <w:t>Yes</w:t>
            </w:r>
          </w:p>
        </w:tc>
      </w:tr>
      <w:tr w:rsidR="00DC5685" w:rsidRPr="00A34F10" w14:paraId="3AF74FAE" w14:textId="77777777" w:rsidTr="000470C3">
        <w:trPr>
          <w:trHeight w:val="227"/>
          <w:jc w:val="center"/>
        </w:trPr>
        <w:tc>
          <w:tcPr>
            <w:tcW w:w="1364" w:type="pct"/>
          </w:tcPr>
          <w:p w14:paraId="07E16C8F" w14:textId="77777777" w:rsidR="00DC5685" w:rsidRPr="00A34F10" w:rsidRDefault="00DC5685" w:rsidP="00DC5685">
            <w:pPr>
              <w:keepNext/>
              <w:tabs>
                <w:tab w:val="left" w:pos="360"/>
                <w:tab w:val="left" w:pos="720"/>
              </w:tabs>
              <w:spacing w:before="60" w:after="60"/>
              <w:jc w:val="both"/>
              <w:rPr>
                <w:color w:val="000000" w:themeColor="text1"/>
                <w:lang w:val="en-GB"/>
              </w:rPr>
            </w:pPr>
            <w:r w:rsidRPr="00A34F10">
              <w:t xml:space="preserve">Duplication </w:t>
            </w:r>
            <w:r w:rsidRPr="00A34F10">
              <w:br/>
              <w:t>(if vertebrate study)</w:t>
            </w:r>
          </w:p>
        </w:tc>
        <w:tc>
          <w:tcPr>
            <w:tcW w:w="3636" w:type="pct"/>
          </w:tcPr>
          <w:p w14:paraId="6E0E704E" w14:textId="77777777" w:rsidR="00DC5685" w:rsidRPr="00A34F10" w:rsidRDefault="00DC5685" w:rsidP="00DC5685">
            <w:pPr>
              <w:widowControl w:val="0"/>
              <w:spacing w:after="120"/>
              <w:jc w:val="both"/>
              <w:rPr>
                <w:lang w:eastAsia="de-DE"/>
              </w:rPr>
            </w:pPr>
            <w:r w:rsidRPr="00A34F10">
              <w:rPr>
                <w:lang w:val="en-GB"/>
              </w:rPr>
              <w:t xml:space="preserve">No </w:t>
            </w:r>
          </w:p>
        </w:tc>
      </w:tr>
    </w:tbl>
    <w:p w14:paraId="3CB89D0E"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116DE992"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 xml:space="preserve">The acute toxicity of the test item BAS 743 02 F to </w:t>
      </w:r>
      <w:r w:rsidRPr="00A34F10">
        <w:rPr>
          <w:i/>
          <w:szCs w:val="24"/>
          <w:lang w:val="en-GB"/>
        </w:rPr>
        <w:t>Daphnia magna</w:t>
      </w:r>
      <w:r w:rsidRPr="00A34F10">
        <w:rPr>
          <w:szCs w:val="24"/>
          <w:lang w:val="en-GB"/>
        </w:rPr>
        <w:t xml:space="preserve"> was investigated in a 48-hour semi-static test with the nominal concentrations 0 (control), 4.27, 9.39, 20.7, 45.5 and 100.0 mg product/L. Four replicates containing five Daphnia each were used for all treatment groups. </w:t>
      </w:r>
    </w:p>
    <w:p w14:paraId="40A64474" w14:textId="77777777" w:rsidR="00DC5685" w:rsidRPr="00A34F10" w:rsidRDefault="00DC5685" w:rsidP="00DC5685">
      <w:pPr>
        <w:tabs>
          <w:tab w:val="left" w:pos="720"/>
        </w:tabs>
        <w:spacing w:after="240"/>
        <w:jc w:val="both"/>
        <w:rPr>
          <w:color w:val="000000"/>
          <w:lang w:val="en-GB"/>
        </w:rPr>
      </w:pPr>
      <w:r w:rsidRPr="00A34F10">
        <w:rPr>
          <w:color w:val="000000"/>
          <w:lang w:val="en-GB"/>
        </w:rPr>
        <w:t>The 48-hour EC</w:t>
      </w:r>
      <w:r w:rsidRPr="00A34F10">
        <w:rPr>
          <w:color w:val="000000"/>
          <w:vertAlign w:val="subscript"/>
          <w:lang w:val="en-GB"/>
        </w:rPr>
        <w:t>50</w:t>
      </w:r>
      <w:r w:rsidRPr="00A34F10">
        <w:rPr>
          <w:color w:val="000000"/>
          <w:lang w:val="en-GB"/>
        </w:rPr>
        <w:t xml:space="preserve"> of </w:t>
      </w:r>
      <w:r w:rsidRPr="00A34F10">
        <w:rPr>
          <w:lang w:val="en-GB"/>
        </w:rPr>
        <w:t>BAS 743 02 F</w:t>
      </w:r>
      <w:r w:rsidRPr="00A34F10">
        <w:rPr>
          <w:color w:val="000000"/>
          <w:lang w:val="en-GB"/>
        </w:rPr>
        <w:t xml:space="preserve"> to </w:t>
      </w:r>
      <w:r w:rsidRPr="00A34F10">
        <w:rPr>
          <w:i/>
          <w:iCs/>
          <w:color w:val="000000"/>
          <w:lang w:val="en-GB"/>
        </w:rPr>
        <w:t>Daphnia magna</w:t>
      </w:r>
      <w:r w:rsidRPr="00A34F10">
        <w:rPr>
          <w:color w:val="000000"/>
          <w:lang w:val="en-GB"/>
        </w:rPr>
        <w:t xml:space="preserve"> was above the highest concentration tested of 100 mg product/L based on nominal concentrations. </w:t>
      </w:r>
      <w:r w:rsidRPr="00A34F10">
        <w:rPr>
          <w:lang w:val="en-GB"/>
        </w:rPr>
        <w:t>The NOEC was determined to be ≥ 100.0 mg product/L BAS 743 02 F.</w:t>
      </w:r>
    </w:p>
    <w:p w14:paraId="459CFBBE" w14:textId="77777777" w:rsidR="00DC5685" w:rsidRPr="00A34F10" w:rsidRDefault="00DC5685" w:rsidP="00E05ECD">
      <w:pPr>
        <w:numPr>
          <w:ilvl w:val="0"/>
          <w:numId w:val="28"/>
        </w:numPr>
        <w:tabs>
          <w:tab w:val="left" w:pos="720"/>
        </w:tabs>
        <w:spacing w:after="240"/>
        <w:jc w:val="center"/>
        <w:rPr>
          <w:b/>
          <w:bCs/>
          <w:caps/>
          <w:szCs w:val="24"/>
          <w:lang w:val="en-GB"/>
        </w:rPr>
      </w:pPr>
      <w:r w:rsidRPr="00A34F10">
        <w:rPr>
          <w:b/>
          <w:bCs/>
          <w:caps/>
          <w:szCs w:val="24"/>
          <w:lang w:val="en-GB"/>
        </w:rPr>
        <w:t>MATERIALS AND METHODS</w:t>
      </w:r>
    </w:p>
    <w:p w14:paraId="32728D8D" w14:textId="77777777" w:rsidR="00DC5685" w:rsidRPr="00A34F10" w:rsidRDefault="00DC5685" w:rsidP="00E05ECD">
      <w:pPr>
        <w:numPr>
          <w:ilvl w:val="0"/>
          <w:numId w:val="30"/>
        </w:numPr>
        <w:ind w:left="284"/>
        <w:contextualSpacing/>
        <w:rPr>
          <w:b/>
          <w:bCs/>
          <w:caps/>
          <w:szCs w:val="24"/>
          <w:lang w:val="en-GB"/>
        </w:rPr>
      </w:pPr>
      <w:r w:rsidRPr="00A34F10">
        <w:rPr>
          <w:b/>
          <w:bCs/>
          <w:caps/>
          <w:szCs w:val="24"/>
          <w:lang w:val="en-GB"/>
        </w:rPr>
        <w:t>MATERIALS</w:t>
      </w:r>
    </w:p>
    <w:p w14:paraId="6FAD38C8" w14:textId="77777777" w:rsidR="00DC5685" w:rsidRPr="00A34F10" w:rsidRDefault="00DC5685" w:rsidP="00DC5685">
      <w:pPr>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4E365C8F" w14:textId="77777777" w:rsidTr="000470C3">
        <w:trPr>
          <w:cantSplit/>
          <w:trHeight w:hRule="exact" w:val="340"/>
        </w:trPr>
        <w:tc>
          <w:tcPr>
            <w:tcW w:w="3828" w:type="dxa"/>
          </w:tcPr>
          <w:p w14:paraId="63683356" w14:textId="77777777" w:rsidR="00DC5685" w:rsidRPr="00A34F10" w:rsidRDefault="00DC5685" w:rsidP="00E05ECD">
            <w:pPr>
              <w:numPr>
                <w:ilvl w:val="0"/>
                <w:numId w:val="29"/>
              </w:numPr>
              <w:spacing w:after="240"/>
              <w:ind w:left="426" w:hanging="284"/>
              <w:contextualSpacing/>
              <w:rPr>
                <w:rFonts w:ascii="Times New Roman" w:hAnsi="Times New Roman"/>
                <w:szCs w:val="24"/>
                <w:lang w:eastAsia="en-US"/>
              </w:rPr>
            </w:pPr>
            <w:r w:rsidRPr="00A34F10">
              <w:rPr>
                <w:rFonts w:ascii="Times New Roman" w:hAnsi="Times New Roman"/>
                <w:szCs w:val="24"/>
                <w:lang w:eastAsia="en-US"/>
              </w:rPr>
              <w:t>Test item:</w:t>
            </w:r>
          </w:p>
        </w:tc>
        <w:tc>
          <w:tcPr>
            <w:tcW w:w="5522" w:type="dxa"/>
          </w:tcPr>
          <w:p w14:paraId="2F864CA0"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BAS 743 02 F</w:t>
            </w:r>
          </w:p>
        </w:tc>
      </w:tr>
      <w:tr w:rsidR="00DC5685" w:rsidRPr="00A34F10" w14:paraId="6B163EE8" w14:textId="77777777" w:rsidTr="000470C3">
        <w:trPr>
          <w:cantSplit/>
          <w:trHeight w:hRule="exact" w:val="340"/>
        </w:trPr>
        <w:tc>
          <w:tcPr>
            <w:tcW w:w="3828" w:type="dxa"/>
          </w:tcPr>
          <w:p w14:paraId="1689A9E7"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Description:</w:t>
            </w:r>
          </w:p>
        </w:tc>
        <w:tc>
          <w:tcPr>
            <w:tcW w:w="5522" w:type="dxa"/>
          </w:tcPr>
          <w:p w14:paraId="3A47AF20"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x-none" w:eastAsia="en-US"/>
              </w:rPr>
              <w:t>Liquid, soluble conc</w:t>
            </w:r>
            <w:r w:rsidRPr="00A34F10">
              <w:rPr>
                <w:rFonts w:ascii="Times New Roman" w:hAnsi="Times New Roman"/>
                <w:szCs w:val="24"/>
                <w:lang w:eastAsia="en-US"/>
              </w:rPr>
              <w:t>entrate (SC)</w:t>
            </w:r>
          </w:p>
        </w:tc>
      </w:tr>
      <w:tr w:rsidR="00DC5685" w:rsidRPr="00A34F10" w14:paraId="03713F5E" w14:textId="77777777" w:rsidTr="000470C3">
        <w:trPr>
          <w:cantSplit/>
          <w:trHeight w:hRule="exact" w:val="397"/>
        </w:trPr>
        <w:tc>
          <w:tcPr>
            <w:tcW w:w="3828" w:type="dxa"/>
          </w:tcPr>
          <w:p w14:paraId="4F7833C8"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Lot/Batch:</w:t>
            </w:r>
          </w:p>
        </w:tc>
        <w:tc>
          <w:tcPr>
            <w:tcW w:w="5522" w:type="dxa"/>
          </w:tcPr>
          <w:p w14:paraId="51674FE7"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FRE-002224</w:t>
            </w:r>
          </w:p>
        </w:tc>
      </w:tr>
      <w:tr w:rsidR="00DC5685" w:rsidRPr="00A34F10" w14:paraId="7FF39F8D" w14:textId="77777777" w:rsidTr="000470C3">
        <w:trPr>
          <w:cantSplit/>
          <w:trHeight w:hRule="exact" w:val="645"/>
        </w:trPr>
        <w:tc>
          <w:tcPr>
            <w:tcW w:w="3828" w:type="dxa"/>
          </w:tcPr>
          <w:p w14:paraId="2A98A296"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Active substance content:</w:t>
            </w:r>
          </w:p>
        </w:tc>
        <w:tc>
          <w:tcPr>
            <w:tcW w:w="5522" w:type="dxa"/>
          </w:tcPr>
          <w:p w14:paraId="3CA21921" w14:textId="77777777" w:rsidR="00DC5685" w:rsidRPr="00A34F10" w:rsidRDefault="00DC5685" w:rsidP="00DC5685">
            <w:pPr>
              <w:tabs>
                <w:tab w:val="left" w:pos="720"/>
              </w:tabs>
              <w:spacing w:line="276" w:lineRule="auto"/>
              <w:jc w:val="both"/>
              <w:rPr>
                <w:rFonts w:ascii="Times New Roman" w:hAnsi="Times New Roman"/>
                <w:szCs w:val="24"/>
                <w:lang w:val="en-US" w:eastAsia="en-US"/>
              </w:rPr>
            </w:pPr>
            <w:r w:rsidRPr="00A34F10">
              <w:rPr>
                <w:rFonts w:ascii="Times New Roman" w:hAnsi="Times New Roman"/>
                <w:szCs w:val="24"/>
                <w:lang w:val="en-US" w:eastAsia="en-US"/>
              </w:rPr>
              <w:t>Propamocarb: nominal 432.0 g/L; analysed 431.0 g/L,</w:t>
            </w:r>
          </w:p>
          <w:p w14:paraId="31AAC927"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val="en-US" w:eastAsia="en-US"/>
              </w:rPr>
              <w:t>Ametoctradin: 137.14 g/L; analysed 137.7 g/L</w:t>
            </w:r>
          </w:p>
        </w:tc>
      </w:tr>
      <w:tr w:rsidR="00DC5685" w:rsidRPr="00A34F10" w14:paraId="23442F0C" w14:textId="77777777" w:rsidTr="000470C3">
        <w:trPr>
          <w:cantSplit/>
          <w:trHeight w:hRule="exact" w:val="340"/>
        </w:trPr>
        <w:tc>
          <w:tcPr>
            <w:tcW w:w="3828" w:type="dxa"/>
          </w:tcPr>
          <w:p w14:paraId="403CE1E1"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Density:</w:t>
            </w:r>
          </w:p>
        </w:tc>
        <w:tc>
          <w:tcPr>
            <w:tcW w:w="5522" w:type="dxa"/>
          </w:tcPr>
          <w:p w14:paraId="7AB23FBD"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1.080 g/cm</w:t>
            </w:r>
            <w:r w:rsidRPr="00A34F10">
              <w:rPr>
                <w:rFonts w:ascii="Times New Roman" w:hAnsi="Times New Roman"/>
                <w:szCs w:val="24"/>
                <w:vertAlign w:val="superscript"/>
                <w:lang w:eastAsia="en-US"/>
              </w:rPr>
              <w:t xml:space="preserve">3 </w:t>
            </w:r>
          </w:p>
        </w:tc>
      </w:tr>
      <w:tr w:rsidR="00DC5685" w:rsidRPr="00A34F10" w14:paraId="659D6E76" w14:textId="77777777" w:rsidTr="000470C3">
        <w:trPr>
          <w:cantSplit/>
          <w:trHeight w:hRule="exact" w:val="324"/>
        </w:trPr>
        <w:tc>
          <w:tcPr>
            <w:tcW w:w="3828" w:type="dxa"/>
          </w:tcPr>
          <w:p w14:paraId="09CD9CBB"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Storage conditions:</w:t>
            </w:r>
          </w:p>
        </w:tc>
        <w:tc>
          <w:tcPr>
            <w:tcW w:w="5522" w:type="dxa"/>
          </w:tcPr>
          <w:p w14:paraId="30025C58"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val="x-none" w:eastAsia="en-US"/>
              </w:rPr>
              <w:t>5 °C – 30 °C , dark and dry</w:t>
            </w:r>
          </w:p>
        </w:tc>
      </w:tr>
      <w:tr w:rsidR="00DC5685" w:rsidRPr="00A34F10" w14:paraId="60B08CC5" w14:textId="77777777" w:rsidTr="000470C3">
        <w:trPr>
          <w:cantSplit/>
          <w:trHeight w:hRule="exact" w:val="340"/>
        </w:trPr>
        <w:tc>
          <w:tcPr>
            <w:tcW w:w="3828" w:type="dxa"/>
          </w:tcPr>
          <w:p w14:paraId="63A3A48B"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val="en-US" w:eastAsia="en-US"/>
              </w:rPr>
              <w:t>Stability (expiry date):</w:t>
            </w:r>
          </w:p>
        </w:tc>
        <w:tc>
          <w:tcPr>
            <w:tcW w:w="5522" w:type="dxa"/>
          </w:tcPr>
          <w:p w14:paraId="17EC561E"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31.01.2024</w:t>
            </w:r>
          </w:p>
        </w:tc>
      </w:tr>
      <w:tr w:rsidR="00DC5685" w:rsidRPr="00A34F10" w14:paraId="12852A54" w14:textId="77777777" w:rsidTr="000470C3">
        <w:trPr>
          <w:cantSplit/>
          <w:trHeight w:hRule="exact" w:val="340"/>
        </w:trPr>
        <w:tc>
          <w:tcPr>
            <w:tcW w:w="3828" w:type="dxa"/>
          </w:tcPr>
          <w:p w14:paraId="70155388" w14:textId="77777777" w:rsidR="00DC5685" w:rsidRPr="00A34F10" w:rsidRDefault="00DC5685" w:rsidP="00E05ECD">
            <w:pPr>
              <w:numPr>
                <w:ilvl w:val="0"/>
                <w:numId w:val="29"/>
              </w:numPr>
              <w:spacing w:after="240"/>
              <w:ind w:left="426" w:hanging="284"/>
              <w:contextualSpacing/>
              <w:rPr>
                <w:rFonts w:ascii="Times New Roman" w:hAnsi="Times New Roman"/>
                <w:szCs w:val="24"/>
                <w:lang w:eastAsia="en-US"/>
              </w:rPr>
            </w:pPr>
            <w:r w:rsidRPr="00A34F10">
              <w:rPr>
                <w:rFonts w:ascii="Times New Roman" w:hAnsi="Times New Roman"/>
                <w:szCs w:val="24"/>
                <w:lang w:eastAsia="en-US"/>
              </w:rPr>
              <w:t>Control:</w:t>
            </w:r>
          </w:p>
        </w:tc>
        <w:tc>
          <w:tcPr>
            <w:tcW w:w="5522" w:type="dxa"/>
          </w:tcPr>
          <w:p w14:paraId="7D326CCF"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Untreated test medium</w:t>
            </w:r>
          </w:p>
        </w:tc>
      </w:tr>
      <w:tr w:rsidR="00DC5685" w:rsidRPr="00A34F10" w14:paraId="003AE60E" w14:textId="77777777" w:rsidTr="000470C3">
        <w:trPr>
          <w:cantSplit/>
          <w:trHeight w:hRule="exact" w:val="576"/>
        </w:trPr>
        <w:tc>
          <w:tcPr>
            <w:tcW w:w="3828" w:type="dxa"/>
          </w:tcPr>
          <w:p w14:paraId="19B58600" w14:textId="77777777" w:rsidR="00DC5685" w:rsidRPr="00A34F10" w:rsidRDefault="00DC5685" w:rsidP="00E05ECD">
            <w:pPr>
              <w:numPr>
                <w:ilvl w:val="0"/>
                <w:numId w:val="29"/>
              </w:numPr>
              <w:spacing w:after="240"/>
              <w:ind w:left="426" w:hanging="284"/>
              <w:contextualSpacing/>
              <w:rPr>
                <w:rFonts w:ascii="Times New Roman" w:hAnsi="Times New Roman"/>
                <w:szCs w:val="24"/>
                <w:lang w:eastAsia="en-US"/>
              </w:rPr>
            </w:pPr>
            <w:r w:rsidRPr="00A34F10">
              <w:rPr>
                <w:rFonts w:ascii="Times New Roman" w:hAnsi="Times New Roman"/>
                <w:szCs w:val="24"/>
                <w:lang w:eastAsia="en-US"/>
              </w:rPr>
              <w:t>Reference item:</w:t>
            </w:r>
          </w:p>
        </w:tc>
        <w:tc>
          <w:tcPr>
            <w:tcW w:w="5522" w:type="dxa"/>
          </w:tcPr>
          <w:p w14:paraId="63E26B4A"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szCs w:val="24"/>
                <w:lang w:eastAsia="en-US"/>
              </w:rPr>
              <w:t>Potassium dichromate tested in a separate study to verify test system sensitivity.</w:t>
            </w:r>
          </w:p>
        </w:tc>
      </w:tr>
    </w:tbl>
    <w:p w14:paraId="6E985756" w14:textId="0E2B9BC2" w:rsidR="00E24338" w:rsidRPr="00A34F10" w:rsidRDefault="00E24338" w:rsidP="00DC5685">
      <w:pPr>
        <w:tabs>
          <w:tab w:val="left" w:pos="0"/>
        </w:tabs>
        <w:spacing w:after="240"/>
        <w:contextualSpacing/>
        <w:rPr>
          <w:b/>
          <w:bCs/>
          <w:caps/>
          <w:szCs w:val="24"/>
          <w:highlight w:val="yellow"/>
          <w:lang w:val="en-GB"/>
        </w:rPr>
      </w:pPr>
    </w:p>
    <w:p w14:paraId="036D2B87" w14:textId="77777777" w:rsidR="00DC5685" w:rsidRPr="00A34F10" w:rsidRDefault="00E24338" w:rsidP="00E24338">
      <w:pPr>
        <w:rPr>
          <w:highlight w:val="yellow"/>
          <w:lang w:val="en-GB"/>
        </w:rPr>
      </w:pPr>
      <w:r w:rsidRPr="00A34F10">
        <w:rPr>
          <w:highlight w:val="yellow"/>
          <w:lang w:val="en-GB"/>
        </w:rPr>
        <w:br w:type="page"/>
      </w:r>
    </w:p>
    <w:p w14:paraId="655B7D8B" w14:textId="77777777" w:rsidR="00DC5685" w:rsidRPr="00A34F10" w:rsidRDefault="00DC5685" w:rsidP="00E05ECD">
      <w:pPr>
        <w:numPr>
          <w:ilvl w:val="0"/>
          <w:numId w:val="30"/>
        </w:numPr>
        <w:ind w:left="284"/>
        <w:contextualSpacing/>
        <w:rPr>
          <w:b/>
          <w:bCs/>
          <w:caps/>
          <w:szCs w:val="24"/>
          <w:lang w:val="en-GB"/>
        </w:rPr>
      </w:pPr>
      <w:r w:rsidRPr="00A34F10">
        <w:rPr>
          <w:b/>
          <w:bCs/>
          <w:caps/>
          <w:szCs w:val="24"/>
          <w:lang w:val="en-GB"/>
        </w:rPr>
        <w:lastRenderedPageBreak/>
        <w:t>study design and methods</w:t>
      </w:r>
    </w:p>
    <w:p w14:paraId="01EC3D1A" w14:textId="77777777" w:rsidR="00DC5685" w:rsidRPr="00A34F10" w:rsidRDefault="00DC5685" w:rsidP="00DC5685">
      <w:pPr>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E805DA" w14:paraId="1424DD7B" w14:textId="77777777" w:rsidTr="000470C3">
        <w:trPr>
          <w:trHeight w:hRule="exact" w:val="340"/>
        </w:trPr>
        <w:tc>
          <w:tcPr>
            <w:tcW w:w="3826" w:type="dxa"/>
          </w:tcPr>
          <w:p w14:paraId="5EF0CEBB" w14:textId="77777777" w:rsidR="00DC5685" w:rsidRPr="00A34F10" w:rsidRDefault="00DC5685" w:rsidP="00E05ECD">
            <w:pPr>
              <w:keepNext/>
              <w:keepLines/>
              <w:numPr>
                <w:ilvl w:val="0"/>
                <w:numId w:val="31"/>
              </w:numPr>
              <w:spacing w:after="240"/>
              <w:ind w:left="426" w:hanging="284"/>
              <w:contextualSpacing/>
              <w:jc w:val="both"/>
              <w:rPr>
                <w:rFonts w:ascii="Times New Roman" w:hAnsi="Times New Roman"/>
                <w:szCs w:val="24"/>
                <w:lang w:eastAsia="en-US"/>
              </w:rPr>
            </w:pPr>
            <w:r w:rsidRPr="00A34F10">
              <w:rPr>
                <w:rFonts w:ascii="Times New Roman" w:hAnsi="Times New Roman"/>
                <w:szCs w:val="24"/>
                <w:lang w:eastAsia="en-US"/>
              </w:rPr>
              <w:t>Test organism:</w:t>
            </w:r>
          </w:p>
        </w:tc>
        <w:tc>
          <w:tcPr>
            <w:tcW w:w="5518" w:type="dxa"/>
          </w:tcPr>
          <w:p w14:paraId="5737D64B" w14:textId="77777777" w:rsidR="00DC5685" w:rsidRPr="00A34F10" w:rsidRDefault="00DC5685" w:rsidP="00DC5685">
            <w:pPr>
              <w:keepNext/>
              <w:keepLines/>
              <w:tabs>
                <w:tab w:val="left" w:pos="720"/>
              </w:tabs>
              <w:spacing w:after="240"/>
              <w:jc w:val="both"/>
              <w:rPr>
                <w:rFonts w:ascii="Times New Roman" w:hAnsi="Times New Roman"/>
                <w:szCs w:val="24"/>
                <w:lang w:val="es-ES" w:eastAsia="en-US"/>
              </w:rPr>
            </w:pPr>
            <w:r w:rsidRPr="00A34F10">
              <w:rPr>
                <w:rFonts w:ascii="Times New Roman" w:hAnsi="Times New Roman"/>
                <w:i/>
                <w:szCs w:val="24"/>
                <w:lang w:val="es-ES" w:eastAsia="en-US"/>
              </w:rPr>
              <w:t>Daphnia magna</w:t>
            </w:r>
            <w:r w:rsidRPr="00A34F10">
              <w:rPr>
                <w:rFonts w:ascii="Times New Roman" w:hAnsi="Times New Roman"/>
                <w:szCs w:val="24"/>
                <w:lang w:val="es-ES" w:eastAsia="en-US"/>
              </w:rPr>
              <w:t xml:space="preserve"> (Straus), Clone V</w:t>
            </w:r>
          </w:p>
        </w:tc>
      </w:tr>
      <w:tr w:rsidR="00DC5685" w:rsidRPr="00A34F10" w14:paraId="1BE3ABBE" w14:textId="77777777" w:rsidTr="000470C3">
        <w:trPr>
          <w:trHeight w:hRule="exact" w:val="294"/>
        </w:trPr>
        <w:tc>
          <w:tcPr>
            <w:tcW w:w="3826" w:type="dxa"/>
          </w:tcPr>
          <w:p w14:paraId="6551702D"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Age</w:t>
            </w:r>
          </w:p>
        </w:tc>
        <w:tc>
          <w:tcPr>
            <w:tcW w:w="5518" w:type="dxa"/>
          </w:tcPr>
          <w:p w14:paraId="00496CE8" w14:textId="77777777" w:rsidR="00DC5685" w:rsidRPr="00A34F10" w:rsidRDefault="00DC5685" w:rsidP="00DC5685">
            <w:pPr>
              <w:keepNext/>
              <w:keepLines/>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&lt; 24 hours</w:t>
            </w:r>
          </w:p>
        </w:tc>
      </w:tr>
      <w:tr w:rsidR="00DC5685" w:rsidRPr="00A34F10" w14:paraId="2837AFDD" w14:textId="77777777" w:rsidTr="000470C3">
        <w:trPr>
          <w:trHeight w:hRule="exact" w:val="645"/>
        </w:trPr>
        <w:tc>
          <w:tcPr>
            <w:tcW w:w="3826" w:type="dxa"/>
          </w:tcPr>
          <w:p w14:paraId="084058FE"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Source:</w:t>
            </w:r>
          </w:p>
        </w:tc>
        <w:tc>
          <w:tcPr>
            <w:tcW w:w="5518" w:type="dxa"/>
          </w:tcPr>
          <w:p w14:paraId="27A2B648" w14:textId="77777777" w:rsidR="00DC5685" w:rsidRPr="00A34F10" w:rsidRDefault="00DC5685" w:rsidP="00DC5685">
            <w:pPr>
              <w:keepNext/>
              <w:keepLines/>
              <w:tabs>
                <w:tab w:val="left" w:pos="720"/>
              </w:tabs>
              <w:spacing w:after="240"/>
              <w:jc w:val="both"/>
              <w:rPr>
                <w:rFonts w:ascii="Times New Roman" w:hAnsi="Times New Roman"/>
                <w:szCs w:val="24"/>
                <w:lang w:val="en-US" w:eastAsia="en-US"/>
              </w:rPr>
            </w:pPr>
            <w:r w:rsidRPr="00A34F10">
              <w:rPr>
                <w:rFonts w:ascii="Times New Roman" w:hAnsi="Times New Roman"/>
                <w:szCs w:val="24"/>
                <w:lang w:val="en-US" w:eastAsia="en-US"/>
              </w:rPr>
              <w:t>In</w:t>
            </w:r>
            <w:r w:rsidRPr="00A34F10">
              <w:rPr>
                <w:rFonts w:ascii="Times New Roman" w:hAnsi="Times New Roman"/>
                <w:szCs w:val="24"/>
                <w:lang w:val="x-none" w:eastAsia="en-US"/>
              </w:rPr>
              <w:t>-house laboratory culture</w:t>
            </w:r>
            <w:r w:rsidRPr="00A34F10">
              <w:rPr>
                <w:rFonts w:ascii="Times New Roman" w:hAnsi="Times New Roman"/>
                <w:szCs w:val="24"/>
                <w:lang w:val="en-US" w:eastAsia="en-US"/>
              </w:rPr>
              <w:t>, originally purchased from Federal Environment Agency in Berlin, Germany.</w:t>
            </w:r>
          </w:p>
        </w:tc>
      </w:tr>
      <w:tr w:rsidR="00DC5685" w:rsidRPr="00A34F10" w14:paraId="69DC6C95" w14:textId="77777777" w:rsidTr="000470C3">
        <w:trPr>
          <w:trHeight w:hRule="exact" w:val="311"/>
        </w:trPr>
        <w:tc>
          <w:tcPr>
            <w:tcW w:w="3826" w:type="dxa"/>
          </w:tcPr>
          <w:p w14:paraId="7B62849A"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Culture medium:</w:t>
            </w:r>
          </w:p>
        </w:tc>
        <w:tc>
          <w:tcPr>
            <w:tcW w:w="5518" w:type="dxa"/>
          </w:tcPr>
          <w:p w14:paraId="0D86078D" w14:textId="77777777" w:rsidR="00DC5685" w:rsidRPr="00A34F10" w:rsidRDefault="00DC5685" w:rsidP="00DC5685">
            <w:pPr>
              <w:keepNext/>
              <w:keepLines/>
              <w:tabs>
                <w:tab w:val="left" w:pos="720"/>
              </w:tabs>
              <w:spacing w:after="240"/>
              <w:jc w:val="both"/>
              <w:rPr>
                <w:rFonts w:ascii="Times New Roman" w:hAnsi="Times New Roman"/>
                <w:szCs w:val="24"/>
                <w:lang w:val="x-none" w:eastAsia="en-US"/>
              </w:rPr>
            </w:pPr>
            <w:r w:rsidRPr="00A34F10">
              <w:rPr>
                <w:rFonts w:ascii="Times New Roman" w:hAnsi="Times New Roman"/>
                <w:szCs w:val="24"/>
                <w:lang w:val="x-none" w:eastAsia="en-US"/>
              </w:rPr>
              <w:t>Elendt M4 medium</w:t>
            </w:r>
          </w:p>
        </w:tc>
      </w:tr>
      <w:tr w:rsidR="00DC5685" w:rsidRPr="00A34F10" w14:paraId="43B0284D" w14:textId="77777777" w:rsidTr="000470C3">
        <w:trPr>
          <w:trHeight w:hRule="exact" w:val="840"/>
        </w:trPr>
        <w:tc>
          <w:tcPr>
            <w:tcW w:w="3826" w:type="dxa"/>
          </w:tcPr>
          <w:p w14:paraId="483E9174"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Acclimatisation:</w:t>
            </w:r>
          </w:p>
        </w:tc>
        <w:tc>
          <w:tcPr>
            <w:tcW w:w="5518" w:type="dxa"/>
          </w:tcPr>
          <w:p w14:paraId="235EFC9D" w14:textId="77777777" w:rsidR="00DC5685" w:rsidRPr="00A34F10" w:rsidRDefault="00DC5685" w:rsidP="00DC5685">
            <w:pPr>
              <w:keepNext/>
              <w:keepLines/>
              <w:tabs>
                <w:tab w:val="left" w:pos="720"/>
              </w:tabs>
              <w:spacing w:after="240"/>
              <w:jc w:val="both"/>
              <w:rPr>
                <w:rFonts w:ascii="Times New Roman" w:hAnsi="Times New Roman"/>
                <w:color w:val="000000" w:themeColor="text1"/>
                <w:szCs w:val="24"/>
                <w:lang w:eastAsia="en-US"/>
              </w:rPr>
            </w:pPr>
            <w:r w:rsidRPr="00A34F10">
              <w:rPr>
                <w:rFonts w:ascii="Times New Roman" w:hAnsi="Times New Roman"/>
                <w:color w:val="000000" w:themeColor="text1"/>
                <w:szCs w:val="24"/>
                <w:lang w:eastAsia="en-US"/>
              </w:rPr>
              <w:t xml:space="preserve">Not </w:t>
            </w:r>
            <w:r w:rsidRPr="00A34F10">
              <w:rPr>
                <w:rFonts w:ascii="Times New Roman" w:hAnsi="Times New Roman"/>
                <w:color w:val="000000" w:themeColor="text1"/>
                <w:szCs w:val="24"/>
                <w:lang w:val="x-none" w:eastAsia="en-US"/>
              </w:rPr>
              <w:t>necessary since the test was performed in the same</w:t>
            </w:r>
            <w:r w:rsidRPr="00A34F10">
              <w:rPr>
                <w:rFonts w:ascii="Times New Roman" w:hAnsi="Times New Roman"/>
                <w:color w:val="000000" w:themeColor="text1"/>
                <w:szCs w:val="24"/>
                <w:lang w:eastAsia="en-US"/>
              </w:rPr>
              <w:t xml:space="preserve"> </w:t>
            </w:r>
            <w:r w:rsidRPr="00A34F10">
              <w:rPr>
                <w:rFonts w:ascii="Times New Roman" w:hAnsi="Times New Roman"/>
                <w:color w:val="000000" w:themeColor="text1"/>
                <w:szCs w:val="24"/>
                <w:lang w:val="x-none" w:eastAsia="en-US"/>
              </w:rPr>
              <w:t>medium</w:t>
            </w:r>
            <w:r w:rsidRPr="00A34F10">
              <w:rPr>
                <w:rFonts w:ascii="Times New Roman" w:hAnsi="Times New Roman"/>
                <w:color w:val="000000" w:themeColor="text1"/>
                <w:szCs w:val="24"/>
                <w:lang w:eastAsia="en-US"/>
              </w:rPr>
              <w:t xml:space="preserve"> and under</w:t>
            </w:r>
            <w:r w:rsidRPr="00A34F10">
              <w:rPr>
                <w:rFonts w:ascii="Times New Roman" w:hAnsi="Times New Roman"/>
                <w:color w:val="000000" w:themeColor="text1"/>
                <w:szCs w:val="24"/>
                <w:lang w:val="x-none" w:eastAsia="en-US"/>
              </w:rPr>
              <w:t xml:space="preserve"> similar</w:t>
            </w:r>
            <w:r w:rsidRPr="00A34F10">
              <w:rPr>
                <w:rFonts w:ascii="Times New Roman" w:hAnsi="Times New Roman"/>
                <w:color w:val="000000" w:themeColor="text1"/>
                <w:szCs w:val="24"/>
                <w:lang w:eastAsia="en-US"/>
              </w:rPr>
              <w:t xml:space="preserve"> </w:t>
            </w:r>
            <w:r w:rsidRPr="00A34F10">
              <w:rPr>
                <w:rFonts w:ascii="Times New Roman" w:hAnsi="Times New Roman"/>
                <w:color w:val="000000" w:themeColor="text1"/>
                <w:szCs w:val="24"/>
                <w:lang w:val="x-none" w:eastAsia="en-US"/>
              </w:rPr>
              <w:t xml:space="preserve">temperature and light conditions as </w:t>
            </w:r>
            <w:r w:rsidRPr="00A34F10">
              <w:rPr>
                <w:rFonts w:ascii="Times New Roman" w:hAnsi="Times New Roman"/>
                <w:color w:val="000000" w:themeColor="text1"/>
                <w:szCs w:val="24"/>
                <w:lang w:eastAsia="en-US"/>
              </w:rPr>
              <w:t xml:space="preserve">in </w:t>
            </w:r>
            <w:r w:rsidRPr="00A34F10">
              <w:rPr>
                <w:rFonts w:ascii="Times New Roman" w:hAnsi="Times New Roman"/>
                <w:color w:val="000000" w:themeColor="text1"/>
                <w:szCs w:val="24"/>
                <w:lang w:val="x-none" w:eastAsia="en-US"/>
              </w:rPr>
              <w:t>culturing</w:t>
            </w:r>
          </w:p>
          <w:p w14:paraId="0E0DD4FA" w14:textId="77777777" w:rsidR="00DC5685" w:rsidRPr="00A34F10" w:rsidRDefault="00DC5685" w:rsidP="00DC5685">
            <w:pPr>
              <w:keepNext/>
              <w:keepLines/>
              <w:tabs>
                <w:tab w:val="left" w:pos="720"/>
              </w:tabs>
              <w:spacing w:after="240"/>
              <w:rPr>
                <w:rFonts w:ascii="Times New Roman" w:hAnsi="Times New Roman"/>
                <w:szCs w:val="24"/>
                <w:lang w:eastAsia="en-US"/>
              </w:rPr>
            </w:pPr>
            <w:r w:rsidRPr="00A34F10">
              <w:rPr>
                <w:rFonts w:ascii="Times New Roman" w:hAnsi="Times New Roman"/>
                <w:color w:val="5B9BD5" w:themeColor="accent5"/>
                <w:szCs w:val="24"/>
                <w:lang w:eastAsia="en-US"/>
              </w:rPr>
              <w:t>me</w:t>
            </w:r>
            <w:r w:rsidRPr="00A34F10">
              <w:rPr>
                <w:rFonts w:ascii="Times New Roman" w:hAnsi="Times New Roman"/>
                <w:color w:val="5B9BD5" w:themeColor="accent5"/>
                <w:szCs w:val="24"/>
                <w:lang w:val="x-none" w:eastAsia="en-US"/>
              </w:rPr>
              <w:t>ium</w:t>
            </w:r>
            <w:r w:rsidRPr="00A34F10">
              <w:rPr>
                <w:rFonts w:ascii="Times New Roman" w:hAnsi="Times New Roman"/>
                <w:color w:val="5B9BD5" w:themeColor="accent5"/>
                <w:szCs w:val="24"/>
                <w:lang w:eastAsia="en-US"/>
              </w:rPr>
              <w:t xml:space="preserve"> and under</w:t>
            </w:r>
            <w:r w:rsidRPr="00A34F10">
              <w:rPr>
                <w:rFonts w:ascii="Times New Roman" w:hAnsi="Times New Roman"/>
                <w:color w:val="5B9BD5" w:themeColor="accent5"/>
                <w:szCs w:val="24"/>
                <w:lang w:val="x-none" w:eastAsia="en-US"/>
              </w:rPr>
              <w:t xml:space="preserve"> similar</w:t>
            </w:r>
            <w:r w:rsidRPr="00A34F10">
              <w:rPr>
                <w:rFonts w:ascii="Times New Roman" w:hAnsi="Times New Roman"/>
                <w:color w:val="5B9BD5" w:themeColor="accent5"/>
                <w:szCs w:val="24"/>
                <w:lang w:eastAsia="en-US"/>
              </w:rPr>
              <w:t xml:space="preserve"> </w:t>
            </w:r>
            <w:r w:rsidRPr="00A34F10">
              <w:rPr>
                <w:rFonts w:ascii="Times New Roman" w:hAnsi="Times New Roman"/>
                <w:color w:val="5B9BD5" w:themeColor="accent5"/>
                <w:szCs w:val="24"/>
                <w:lang w:val="x-none" w:eastAsia="en-US"/>
              </w:rPr>
              <w:t xml:space="preserve">temperature and light conditions as </w:t>
            </w:r>
            <w:r w:rsidRPr="00A34F10">
              <w:rPr>
                <w:rFonts w:ascii="Times New Roman" w:hAnsi="Times New Roman"/>
                <w:color w:val="5B9BD5" w:themeColor="accent5"/>
                <w:szCs w:val="24"/>
                <w:lang w:eastAsia="en-US"/>
              </w:rPr>
              <w:t xml:space="preserve">in </w:t>
            </w:r>
            <w:r w:rsidRPr="00A34F10">
              <w:rPr>
                <w:rFonts w:ascii="Times New Roman" w:hAnsi="Times New Roman"/>
                <w:color w:val="5B9BD5" w:themeColor="accent5"/>
                <w:szCs w:val="24"/>
                <w:lang w:val="x-none" w:eastAsia="en-US"/>
              </w:rPr>
              <w:t>culturing</w:t>
            </w:r>
          </w:p>
        </w:tc>
      </w:tr>
      <w:tr w:rsidR="00DC5685" w:rsidRPr="00A34F10" w14:paraId="4307613A" w14:textId="77777777" w:rsidTr="000470C3">
        <w:trPr>
          <w:trHeight w:hRule="exact" w:val="852"/>
        </w:trPr>
        <w:tc>
          <w:tcPr>
            <w:tcW w:w="3826" w:type="dxa"/>
          </w:tcPr>
          <w:p w14:paraId="5806F5A0"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 xml:space="preserve">Diet: </w:t>
            </w:r>
          </w:p>
        </w:tc>
        <w:tc>
          <w:tcPr>
            <w:tcW w:w="5518" w:type="dxa"/>
          </w:tcPr>
          <w:p w14:paraId="1E09EB4C" w14:textId="77777777" w:rsidR="00DC5685" w:rsidRPr="00A34F10" w:rsidRDefault="00DC5685" w:rsidP="00DC5685">
            <w:pPr>
              <w:keepNext/>
              <w:keepLines/>
              <w:tabs>
                <w:tab w:val="left" w:pos="4253"/>
              </w:tabs>
              <w:rPr>
                <w:rFonts w:ascii="Times New Roman" w:hAnsi="Times New Roman"/>
                <w:szCs w:val="24"/>
                <w:lang w:eastAsia="en-US"/>
              </w:rPr>
            </w:pPr>
            <w:r w:rsidRPr="00A34F10">
              <w:rPr>
                <w:rFonts w:ascii="Times New Roman" w:hAnsi="Times New Roman"/>
                <w:szCs w:val="24"/>
                <w:lang w:eastAsia="en-US"/>
              </w:rPr>
              <w:t>No feeding during the test, before exposure fed with single cell green algae (</w:t>
            </w:r>
            <w:r w:rsidRPr="00A34F10">
              <w:rPr>
                <w:rFonts w:ascii="Times New Roman" w:hAnsi="Times New Roman"/>
                <w:i/>
                <w:iCs/>
                <w:szCs w:val="24"/>
                <w:lang w:eastAsia="en-US"/>
              </w:rPr>
              <w:t>Desmodesmus subspicatus</w:t>
            </w:r>
            <w:r w:rsidRPr="00A34F10">
              <w:rPr>
                <w:rFonts w:ascii="Times New Roman" w:hAnsi="Times New Roman"/>
                <w:szCs w:val="24"/>
                <w:lang w:eastAsia="en-US"/>
              </w:rPr>
              <w:t>) three times per week</w:t>
            </w:r>
          </w:p>
          <w:p w14:paraId="7D9472DC" w14:textId="77777777" w:rsidR="00DC5685" w:rsidRPr="00A34F10" w:rsidRDefault="00DC5685" w:rsidP="00DC5685">
            <w:pPr>
              <w:keepNext/>
              <w:keepLines/>
              <w:tabs>
                <w:tab w:val="left" w:pos="720"/>
              </w:tabs>
              <w:rPr>
                <w:rFonts w:ascii="Times New Roman" w:hAnsi="Times New Roman"/>
                <w:szCs w:val="24"/>
                <w:lang w:eastAsia="en-US"/>
              </w:rPr>
            </w:pPr>
          </w:p>
        </w:tc>
      </w:tr>
      <w:tr w:rsidR="00DC5685" w:rsidRPr="00A34F10" w14:paraId="110DCDB0" w14:textId="77777777" w:rsidTr="000470C3">
        <w:trPr>
          <w:trHeight w:hRule="exact" w:val="630"/>
        </w:trPr>
        <w:tc>
          <w:tcPr>
            <w:tcW w:w="3826" w:type="dxa"/>
          </w:tcPr>
          <w:p w14:paraId="0D29B8ED" w14:textId="77777777" w:rsidR="00DC5685" w:rsidRPr="00A34F10" w:rsidRDefault="00DC5685" w:rsidP="00E05ECD">
            <w:pPr>
              <w:keepNext/>
              <w:keepLines/>
              <w:numPr>
                <w:ilvl w:val="0"/>
                <w:numId w:val="31"/>
              </w:numPr>
              <w:spacing w:after="240"/>
              <w:ind w:left="426" w:hanging="284"/>
              <w:contextualSpacing/>
              <w:jc w:val="both"/>
              <w:rPr>
                <w:rFonts w:ascii="Times New Roman" w:hAnsi="Times New Roman"/>
                <w:szCs w:val="24"/>
                <w:lang w:eastAsia="en-US"/>
              </w:rPr>
            </w:pPr>
            <w:r w:rsidRPr="00A34F10">
              <w:rPr>
                <w:rFonts w:ascii="Times New Roman" w:hAnsi="Times New Roman"/>
                <w:szCs w:val="24"/>
                <w:lang w:eastAsia="en-US"/>
              </w:rPr>
              <w:t>Test units:</w:t>
            </w:r>
          </w:p>
        </w:tc>
        <w:tc>
          <w:tcPr>
            <w:tcW w:w="5518" w:type="dxa"/>
          </w:tcPr>
          <w:p w14:paraId="14A8212F" w14:textId="77777777" w:rsidR="00DC5685" w:rsidRPr="00A34F10" w:rsidRDefault="00DC5685" w:rsidP="00DC5685">
            <w:pPr>
              <w:keepNext/>
              <w:keepLines/>
              <w:tabs>
                <w:tab w:val="left" w:pos="720"/>
              </w:tabs>
              <w:spacing w:after="240"/>
              <w:jc w:val="both"/>
              <w:rPr>
                <w:rFonts w:ascii="Times New Roman" w:hAnsi="Times New Roman"/>
                <w:szCs w:val="24"/>
                <w:highlight w:val="yellow"/>
                <w:lang w:eastAsia="en-US"/>
              </w:rPr>
            </w:pPr>
            <w:r w:rsidRPr="00A34F10">
              <w:rPr>
                <w:rFonts w:ascii="Times New Roman" w:hAnsi="Times New Roman"/>
                <w:szCs w:val="24"/>
                <w:lang w:eastAsia="en-US"/>
              </w:rPr>
              <w:t xml:space="preserve">Glass vessel (100 mL), filled up with ≥ 50 mL test solution and covered with a glass plate </w:t>
            </w:r>
          </w:p>
        </w:tc>
      </w:tr>
      <w:tr w:rsidR="00DC5685" w:rsidRPr="00A34F10" w14:paraId="3552DE6D" w14:textId="77777777" w:rsidTr="000470C3">
        <w:trPr>
          <w:trHeight w:hRule="exact" w:val="340"/>
        </w:trPr>
        <w:tc>
          <w:tcPr>
            <w:tcW w:w="3826" w:type="dxa"/>
          </w:tcPr>
          <w:p w14:paraId="59988299" w14:textId="77777777" w:rsidR="00DC5685" w:rsidRPr="00A34F10" w:rsidRDefault="00DC5685" w:rsidP="00E05ECD">
            <w:pPr>
              <w:keepNext/>
              <w:keepLines/>
              <w:numPr>
                <w:ilvl w:val="0"/>
                <w:numId w:val="31"/>
              </w:numPr>
              <w:spacing w:after="240"/>
              <w:ind w:left="426" w:hanging="284"/>
              <w:contextualSpacing/>
              <w:jc w:val="both"/>
              <w:rPr>
                <w:rFonts w:ascii="Times New Roman" w:hAnsi="Times New Roman"/>
                <w:szCs w:val="24"/>
                <w:lang w:eastAsia="en-US"/>
              </w:rPr>
            </w:pPr>
            <w:r w:rsidRPr="00A34F10">
              <w:rPr>
                <w:rFonts w:ascii="Times New Roman" w:hAnsi="Times New Roman"/>
                <w:szCs w:val="24"/>
                <w:lang w:eastAsia="en-US"/>
              </w:rPr>
              <w:t>Environmental conditions</w:t>
            </w:r>
          </w:p>
        </w:tc>
        <w:tc>
          <w:tcPr>
            <w:tcW w:w="5518" w:type="dxa"/>
          </w:tcPr>
          <w:p w14:paraId="4AD7011F" w14:textId="77777777" w:rsidR="00DC5685" w:rsidRPr="00A34F10" w:rsidRDefault="00DC5685" w:rsidP="00DC5685">
            <w:pPr>
              <w:keepNext/>
              <w:keepLines/>
              <w:tabs>
                <w:tab w:val="left" w:pos="720"/>
              </w:tabs>
              <w:spacing w:after="240"/>
              <w:jc w:val="both"/>
              <w:rPr>
                <w:rFonts w:ascii="Times New Roman" w:hAnsi="Times New Roman"/>
                <w:szCs w:val="24"/>
                <w:highlight w:val="yellow"/>
                <w:lang w:eastAsia="en-US"/>
              </w:rPr>
            </w:pPr>
          </w:p>
        </w:tc>
      </w:tr>
      <w:tr w:rsidR="00DC5685" w:rsidRPr="00A34F10" w14:paraId="246B8E65" w14:textId="77777777" w:rsidTr="000470C3">
        <w:trPr>
          <w:trHeight w:hRule="exact" w:val="340"/>
        </w:trPr>
        <w:tc>
          <w:tcPr>
            <w:tcW w:w="3826" w:type="dxa"/>
          </w:tcPr>
          <w:p w14:paraId="472BBF1C"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Temperature:</w:t>
            </w:r>
          </w:p>
        </w:tc>
        <w:tc>
          <w:tcPr>
            <w:tcW w:w="5518" w:type="dxa"/>
            <w:shd w:val="clear" w:color="auto" w:fill="auto"/>
          </w:tcPr>
          <w:p w14:paraId="744F61E5" w14:textId="77777777" w:rsidR="00DC5685" w:rsidRPr="00A34F10" w:rsidRDefault="00DC5685" w:rsidP="00DC5685">
            <w:pPr>
              <w:keepNext/>
              <w:keepLines/>
              <w:tabs>
                <w:tab w:val="left" w:pos="720"/>
              </w:tabs>
              <w:spacing w:after="240"/>
              <w:rPr>
                <w:rFonts w:ascii="Times New Roman" w:hAnsi="Times New Roman"/>
                <w:szCs w:val="24"/>
                <w:highlight w:val="yellow"/>
                <w:lang w:eastAsia="en-US"/>
              </w:rPr>
            </w:pPr>
            <w:r w:rsidRPr="00A34F10">
              <w:rPr>
                <w:rFonts w:ascii="Times New Roman" w:hAnsi="Times New Roman"/>
                <w:szCs w:val="24"/>
                <w:lang w:eastAsia="en-US"/>
              </w:rPr>
              <w:t>19.1 – 20.1 °C</w:t>
            </w:r>
          </w:p>
        </w:tc>
      </w:tr>
      <w:tr w:rsidR="00DC5685" w:rsidRPr="00A34F10" w14:paraId="1B0B5577" w14:textId="77777777" w:rsidTr="000470C3">
        <w:trPr>
          <w:trHeight w:hRule="exact" w:val="312"/>
        </w:trPr>
        <w:tc>
          <w:tcPr>
            <w:tcW w:w="3826" w:type="dxa"/>
          </w:tcPr>
          <w:p w14:paraId="4D428A70"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pH:</w:t>
            </w:r>
          </w:p>
        </w:tc>
        <w:tc>
          <w:tcPr>
            <w:tcW w:w="5518" w:type="dxa"/>
            <w:shd w:val="clear" w:color="auto" w:fill="auto"/>
          </w:tcPr>
          <w:p w14:paraId="0CC5CB0C" w14:textId="77777777" w:rsidR="00DC5685" w:rsidRPr="00A34F10" w:rsidRDefault="00DC5685" w:rsidP="00DC5685">
            <w:pPr>
              <w:keepNext/>
              <w:keepLines/>
              <w:tabs>
                <w:tab w:val="left" w:pos="720"/>
              </w:tabs>
              <w:spacing w:after="240"/>
              <w:rPr>
                <w:rFonts w:ascii="Times New Roman" w:hAnsi="Times New Roman"/>
                <w:szCs w:val="24"/>
                <w:highlight w:val="yellow"/>
                <w:lang w:eastAsia="en-US"/>
              </w:rPr>
            </w:pPr>
            <w:r w:rsidRPr="00A34F10">
              <w:rPr>
                <w:rFonts w:ascii="Times New Roman" w:hAnsi="Times New Roman"/>
                <w:szCs w:val="24"/>
                <w:lang w:eastAsia="en-US"/>
              </w:rPr>
              <w:t>7.68 – 7.94</w:t>
            </w:r>
          </w:p>
        </w:tc>
      </w:tr>
      <w:tr w:rsidR="00DC5685" w:rsidRPr="00A34F10" w14:paraId="5CE54304" w14:textId="77777777" w:rsidTr="000470C3">
        <w:trPr>
          <w:trHeight w:hRule="exact" w:val="312"/>
        </w:trPr>
        <w:tc>
          <w:tcPr>
            <w:tcW w:w="3826" w:type="dxa"/>
            <w:shd w:val="clear" w:color="auto" w:fill="auto"/>
          </w:tcPr>
          <w:p w14:paraId="1CDA825C"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Dissolved O</w:t>
            </w:r>
            <w:r w:rsidRPr="00A34F10">
              <w:rPr>
                <w:rFonts w:ascii="Times New Roman" w:hAnsi="Times New Roman"/>
                <w:szCs w:val="24"/>
                <w:vertAlign w:val="subscript"/>
                <w:lang w:eastAsia="en-US"/>
              </w:rPr>
              <w:t>2</w:t>
            </w:r>
            <w:r w:rsidRPr="00A34F10">
              <w:rPr>
                <w:rFonts w:ascii="Times New Roman" w:hAnsi="Times New Roman"/>
                <w:szCs w:val="24"/>
                <w:lang w:eastAsia="en-US"/>
              </w:rPr>
              <w:t xml:space="preserve"> concentration:</w:t>
            </w:r>
          </w:p>
        </w:tc>
        <w:tc>
          <w:tcPr>
            <w:tcW w:w="5518" w:type="dxa"/>
            <w:shd w:val="clear" w:color="auto" w:fill="auto"/>
          </w:tcPr>
          <w:p w14:paraId="05C7CBE2" w14:textId="77777777" w:rsidR="00DC5685" w:rsidRPr="00A34F10" w:rsidRDefault="00DC5685" w:rsidP="00DC5685">
            <w:pPr>
              <w:keepNext/>
              <w:keepLines/>
              <w:tabs>
                <w:tab w:val="left" w:pos="720"/>
              </w:tabs>
              <w:spacing w:after="240"/>
              <w:rPr>
                <w:rFonts w:ascii="Times New Roman" w:hAnsi="Times New Roman"/>
                <w:szCs w:val="24"/>
                <w:highlight w:val="yellow"/>
                <w:lang w:eastAsia="en-US"/>
              </w:rPr>
            </w:pPr>
            <w:r w:rsidRPr="00A34F10">
              <w:rPr>
                <w:rFonts w:ascii="Times New Roman" w:hAnsi="Times New Roman"/>
                <w:szCs w:val="24"/>
                <w:lang w:eastAsia="en-US"/>
              </w:rPr>
              <w:t>≥ 7.91 mg/L (8.70 ± 0.45 mg/L)</w:t>
            </w:r>
          </w:p>
        </w:tc>
      </w:tr>
      <w:tr w:rsidR="00DC5685" w:rsidRPr="00A34F10" w14:paraId="52A2B9CA" w14:textId="77777777" w:rsidTr="000470C3">
        <w:trPr>
          <w:trHeight w:hRule="exact" w:val="312"/>
        </w:trPr>
        <w:tc>
          <w:tcPr>
            <w:tcW w:w="3826" w:type="dxa"/>
            <w:shd w:val="clear" w:color="auto" w:fill="auto"/>
          </w:tcPr>
          <w:p w14:paraId="6248C6D8" w14:textId="77777777" w:rsidR="00DC5685" w:rsidRPr="00A34F10" w:rsidRDefault="00DC5685" w:rsidP="00DC5685">
            <w:pPr>
              <w:keepNext/>
              <w:keepLines/>
              <w:tabs>
                <w:tab w:val="left" w:pos="624"/>
              </w:tabs>
              <w:spacing w:after="240"/>
              <w:ind w:left="426"/>
              <w:rPr>
                <w:rFonts w:ascii="Times New Roman" w:hAnsi="Times New Roman"/>
                <w:szCs w:val="24"/>
                <w:lang w:eastAsia="en-US"/>
              </w:rPr>
            </w:pPr>
            <w:r w:rsidRPr="00A34F10">
              <w:rPr>
                <w:rFonts w:ascii="Times New Roman" w:hAnsi="Times New Roman"/>
                <w:szCs w:val="24"/>
                <w:lang w:val="en-US" w:eastAsia="en-US"/>
              </w:rPr>
              <w:t>Hardness:</w:t>
            </w:r>
          </w:p>
        </w:tc>
        <w:tc>
          <w:tcPr>
            <w:tcW w:w="5518" w:type="dxa"/>
            <w:shd w:val="clear" w:color="auto" w:fill="auto"/>
          </w:tcPr>
          <w:p w14:paraId="1D0136DF" w14:textId="77777777" w:rsidR="00DC5685" w:rsidRPr="00A34F10" w:rsidRDefault="00DC5685" w:rsidP="00DC5685">
            <w:pPr>
              <w:keepNext/>
              <w:keepLines/>
              <w:tabs>
                <w:tab w:val="left" w:pos="720"/>
              </w:tabs>
              <w:spacing w:after="240"/>
              <w:rPr>
                <w:rFonts w:ascii="Times New Roman" w:hAnsi="Times New Roman"/>
                <w:szCs w:val="24"/>
                <w:highlight w:val="yellow"/>
                <w:lang w:eastAsia="en-US"/>
              </w:rPr>
            </w:pPr>
            <w:r w:rsidRPr="00A34F10">
              <w:rPr>
                <w:rFonts w:ascii="Times New Roman" w:hAnsi="Times New Roman"/>
                <w:lang w:val="en-US" w:eastAsia="en-US"/>
              </w:rPr>
              <w:t>14°dH (250 mg/L CaCO3)</w:t>
            </w:r>
          </w:p>
        </w:tc>
      </w:tr>
      <w:tr w:rsidR="00DC5685" w:rsidRPr="00A34F10" w14:paraId="56E84ABE" w14:textId="77777777" w:rsidTr="000470C3">
        <w:trPr>
          <w:trHeight w:hRule="exact" w:val="312"/>
        </w:trPr>
        <w:tc>
          <w:tcPr>
            <w:tcW w:w="3826" w:type="dxa"/>
            <w:shd w:val="clear" w:color="auto" w:fill="auto"/>
          </w:tcPr>
          <w:p w14:paraId="47BE5DBD" w14:textId="77777777" w:rsidR="00DC5685" w:rsidRPr="00A34F10" w:rsidRDefault="00DC5685" w:rsidP="00DC5685">
            <w:pPr>
              <w:keepNext/>
              <w:keepLines/>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Photoperiod:</w:t>
            </w:r>
          </w:p>
        </w:tc>
        <w:tc>
          <w:tcPr>
            <w:tcW w:w="5518" w:type="dxa"/>
            <w:shd w:val="clear" w:color="auto" w:fill="auto"/>
          </w:tcPr>
          <w:p w14:paraId="6D1EEFF4" w14:textId="77777777" w:rsidR="00DC5685" w:rsidRPr="00A34F10" w:rsidRDefault="00DC5685" w:rsidP="00DC5685">
            <w:pPr>
              <w:keepNext/>
              <w:keepLines/>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16 h light : 8 h dark</w:t>
            </w:r>
          </w:p>
        </w:tc>
      </w:tr>
      <w:tr w:rsidR="00DC5685" w:rsidRPr="00A34F10" w14:paraId="30E2FAE5" w14:textId="77777777" w:rsidTr="000470C3">
        <w:trPr>
          <w:trHeight w:hRule="exact" w:val="312"/>
        </w:trPr>
        <w:tc>
          <w:tcPr>
            <w:tcW w:w="3826" w:type="dxa"/>
            <w:shd w:val="clear" w:color="auto" w:fill="auto"/>
          </w:tcPr>
          <w:p w14:paraId="28883277" w14:textId="77777777" w:rsidR="00DC5685" w:rsidRPr="00A34F10" w:rsidRDefault="00DC5685" w:rsidP="00DC5685">
            <w:pPr>
              <w:keepNext/>
              <w:keepLines/>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Light intensity:</w:t>
            </w:r>
          </w:p>
        </w:tc>
        <w:tc>
          <w:tcPr>
            <w:tcW w:w="5518" w:type="dxa"/>
            <w:shd w:val="clear" w:color="auto" w:fill="auto"/>
          </w:tcPr>
          <w:p w14:paraId="0C04D819" w14:textId="77777777" w:rsidR="00DC5685" w:rsidRPr="00A34F10" w:rsidRDefault="00DC5685" w:rsidP="00DC5685">
            <w:pPr>
              <w:keepNext/>
              <w:keepLines/>
              <w:tabs>
                <w:tab w:val="left" w:pos="720"/>
              </w:tabs>
              <w:spacing w:after="240"/>
              <w:rPr>
                <w:rFonts w:ascii="Times New Roman" w:hAnsi="Times New Roman"/>
                <w:szCs w:val="24"/>
                <w:lang w:eastAsia="en-US"/>
              </w:rPr>
            </w:pPr>
            <w:r w:rsidRPr="00A34F10">
              <w:rPr>
                <w:rFonts w:ascii="Times New Roman" w:hAnsi="Times New Roman"/>
                <w:szCs w:val="24"/>
                <w:lang w:eastAsia="en-US"/>
              </w:rPr>
              <w:t>929 lux at test start</w:t>
            </w:r>
          </w:p>
        </w:tc>
      </w:tr>
      <w:tr w:rsidR="00DC5685" w:rsidRPr="00A34F10" w14:paraId="68B4D498" w14:textId="77777777" w:rsidTr="000470C3">
        <w:trPr>
          <w:trHeight w:hRule="exact" w:val="312"/>
        </w:trPr>
        <w:tc>
          <w:tcPr>
            <w:tcW w:w="3826" w:type="dxa"/>
            <w:shd w:val="clear" w:color="auto" w:fill="auto"/>
          </w:tcPr>
          <w:p w14:paraId="0EBFE56E" w14:textId="77777777" w:rsidR="00DC5685" w:rsidRPr="00A34F10" w:rsidRDefault="00DC5685" w:rsidP="00DC5685">
            <w:pPr>
              <w:keepNext/>
              <w:keepLines/>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Aeration of the test water:</w:t>
            </w:r>
          </w:p>
        </w:tc>
        <w:tc>
          <w:tcPr>
            <w:tcW w:w="5518" w:type="dxa"/>
            <w:shd w:val="clear" w:color="auto" w:fill="auto"/>
          </w:tcPr>
          <w:p w14:paraId="72D17650" w14:textId="77777777" w:rsidR="00DC5685" w:rsidRPr="00A34F10" w:rsidRDefault="00DC5685" w:rsidP="00DC5685">
            <w:pPr>
              <w:keepNext/>
              <w:keepLines/>
              <w:tabs>
                <w:tab w:val="left" w:pos="720"/>
              </w:tabs>
              <w:spacing w:after="240"/>
              <w:rPr>
                <w:rFonts w:ascii="Times New Roman" w:hAnsi="Times New Roman"/>
                <w:szCs w:val="24"/>
                <w:lang w:eastAsia="en-US"/>
              </w:rPr>
            </w:pPr>
            <w:r w:rsidRPr="00A34F10">
              <w:rPr>
                <w:rFonts w:ascii="Times New Roman" w:hAnsi="Times New Roman"/>
                <w:szCs w:val="24"/>
                <w:lang w:eastAsia="en-US"/>
              </w:rPr>
              <w:t>No aeration of test vessels</w:t>
            </w:r>
          </w:p>
        </w:tc>
      </w:tr>
    </w:tbl>
    <w:p w14:paraId="7C4CBD08" w14:textId="77777777" w:rsidR="00DC5685" w:rsidRPr="00A34F10" w:rsidRDefault="00DC5685" w:rsidP="00DC5685">
      <w:pPr>
        <w:numPr>
          <w:ilvl w:val="3"/>
          <w:numId w:val="0"/>
        </w:numPr>
        <w:tabs>
          <w:tab w:val="left" w:pos="0"/>
        </w:tabs>
        <w:spacing w:before="240"/>
        <w:ind w:left="357" w:hanging="357"/>
        <w:contextualSpacing/>
        <w:rPr>
          <w:b/>
          <w:bCs/>
          <w:szCs w:val="24"/>
          <w:highlight w:val="yellow"/>
          <w:lang w:val="en-GB"/>
        </w:rPr>
      </w:pPr>
    </w:p>
    <w:p w14:paraId="26FCD8BD" w14:textId="77777777" w:rsidR="00DC5685" w:rsidRPr="00A34F10" w:rsidRDefault="00DC5685" w:rsidP="00E05ECD">
      <w:pPr>
        <w:numPr>
          <w:ilvl w:val="0"/>
          <w:numId w:val="31"/>
        </w:numPr>
        <w:spacing w:before="240"/>
        <w:ind w:left="284" w:hanging="284"/>
        <w:contextualSpacing/>
        <w:rPr>
          <w:b/>
          <w:bCs/>
          <w:szCs w:val="24"/>
          <w:lang w:val="en-GB"/>
        </w:rPr>
      </w:pPr>
      <w:r w:rsidRPr="00A34F10">
        <w:rPr>
          <w:b/>
          <w:bCs/>
          <w:szCs w:val="24"/>
          <w:lang w:val="en-GB"/>
        </w:rPr>
        <w:t xml:space="preserve">Treatment: </w:t>
      </w:r>
    </w:p>
    <w:p w14:paraId="4D1395D0" w14:textId="77777777" w:rsidR="00DC5685" w:rsidRPr="00A34F10" w:rsidRDefault="00DC5685" w:rsidP="00DC5685">
      <w:pPr>
        <w:spacing w:after="240"/>
        <w:ind w:right="57"/>
        <w:jc w:val="both"/>
        <w:rPr>
          <w:bCs/>
          <w:highlight w:val="yellow"/>
          <w:lang w:val="en-GB"/>
        </w:rPr>
      </w:pPr>
      <w:r w:rsidRPr="00A34F10">
        <w:rPr>
          <w:bCs/>
          <w:lang w:val="en-GB"/>
        </w:rPr>
        <w:t xml:space="preserve">The study was conducted as a semi-static dose-response test with five test item nominal concentrations of </w:t>
      </w:r>
      <w:r w:rsidRPr="00A34F10">
        <w:rPr>
          <w:szCs w:val="24"/>
          <w:lang w:val="en-GB"/>
        </w:rPr>
        <w:t xml:space="preserve">4.27, 9.39, 20.7, 45.5 and 100.0 </w:t>
      </w:r>
      <w:r w:rsidRPr="00A34F10">
        <w:rPr>
          <w:bCs/>
          <w:lang w:val="en-GB"/>
        </w:rPr>
        <w:t xml:space="preserve">mg product/L, and one control with untreated test medium, following a non-GLP range-finding study. </w:t>
      </w:r>
      <w:r w:rsidRPr="00A34F10">
        <w:rPr>
          <w:bCs/>
          <w:lang w:val="x-none"/>
        </w:rPr>
        <w:t>The test media were prepared just before introduction of the</w:t>
      </w:r>
      <w:r w:rsidRPr="00A34F10">
        <w:rPr>
          <w:bCs/>
          <w:lang w:val="en-GB"/>
        </w:rPr>
        <w:t xml:space="preserve"> </w:t>
      </w:r>
      <w:r w:rsidRPr="00A34F10">
        <w:rPr>
          <w:bCs/>
          <w:lang w:val="x-none"/>
        </w:rPr>
        <w:t>daphnids (= start of the test).</w:t>
      </w:r>
      <w:r w:rsidRPr="00A34F10">
        <w:rPr>
          <w:bCs/>
          <w:lang w:val="en-GB"/>
        </w:rPr>
        <w:t xml:space="preserve"> Four replicates containing five Daphnia each were used for all treatment groups and the control. The duration of the test was 48 hours. </w:t>
      </w:r>
    </w:p>
    <w:p w14:paraId="03672D86" w14:textId="77777777" w:rsidR="00DC5685" w:rsidRPr="00A34F10" w:rsidRDefault="00DC5685" w:rsidP="00E05ECD">
      <w:pPr>
        <w:numPr>
          <w:ilvl w:val="0"/>
          <w:numId w:val="31"/>
        </w:numPr>
        <w:spacing w:before="240"/>
        <w:ind w:left="284" w:hanging="284"/>
        <w:contextualSpacing/>
        <w:rPr>
          <w:b/>
          <w:bCs/>
          <w:szCs w:val="24"/>
          <w:lang w:val="en-GB"/>
        </w:rPr>
      </w:pPr>
      <w:r w:rsidRPr="00A34F10">
        <w:rPr>
          <w:b/>
          <w:bCs/>
          <w:szCs w:val="24"/>
          <w:lang w:val="en-GB"/>
        </w:rPr>
        <w:t xml:space="preserve">Dose preparation: </w:t>
      </w:r>
    </w:p>
    <w:p w14:paraId="284A22CE" w14:textId="77777777" w:rsidR="00DC5685" w:rsidRPr="00A34F10" w:rsidRDefault="00DC5685" w:rsidP="00DC5685">
      <w:pPr>
        <w:spacing w:before="240"/>
        <w:contextualSpacing/>
        <w:jc w:val="both"/>
        <w:rPr>
          <w:b/>
          <w:bCs/>
          <w:szCs w:val="24"/>
          <w:lang w:val="en-GB"/>
        </w:rPr>
      </w:pPr>
      <w:r w:rsidRPr="00A34F10">
        <w:rPr>
          <w:szCs w:val="24"/>
          <w:lang w:val="x-none"/>
        </w:rPr>
        <w:t xml:space="preserve">The necessary amount of test item for preparing the </w:t>
      </w:r>
      <w:r w:rsidRPr="00A34F10">
        <w:rPr>
          <w:szCs w:val="24"/>
        </w:rPr>
        <w:t xml:space="preserve">highest </w:t>
      </w:r>
      <w:r w:rsidRPr="00A34F10">
        <w:rPr>
          <w:szCs w:val="24"/>
          <w:lang w:val="x-none"/>
        </w:rPr>
        <w:t xml:space="preserve">test solution </w:t>
      </w:r>
      <w:r w:rsidRPr="00A34F10">
        <w:rPr>
          <w:szCs w:val="24"/>
        </w:rPr>
        <w:t>(100 mg product/L)</w:t>
      </w:r>
      <w:r w:rsidRPr="00A34F10">
        <w:rPr>
          <w:szCs w:val="24"/>
          <w:lang w:val="x-none"/>
        </w:rPr>
        <w:t xml:space="preserve"> was weighed on a weighing scoop and transferred to a volumetric flask. Test medium was added up to the bench mark and the solution was homogenised by shaking. Lower test solutions were prepared by dilution of the stock solution with test medium. Test solutions </w:t>
      </w:r>
      <w:r w:rsidRPr="00A34F10">
        <w:rPr>
          <w:szCs w:val="24"/>
        </w:rPr>
        <w:t>of 20.7 – 100 mg product/L</w:t>
      </w:r>
      <w:r w:rsidRPr="00A34F10">
        <w:rPr>
          <w:szCs w:val="24"/>
          <w:lang w:val="x-none"/>
        </w:rPr>
        <w:t xml:space="preserve"> appeared turbid and test solutions </w:t>
      </w:r>
      <w:r w:rsidRPr="00A34F10">
        <w:rPr>
          <w:szCs w:val="24"/>
        </w:rPr>
        <w:t>4.27 and 9.39 mg product/L</w:t>
      </w:r>
      <w:r w:rsidRPr="00A34F10">
        <w:rPr>
          <w:szCs w:val="24"/>
          <w:lang w:val="x-none"/>
        </w:rPr>
        <w:t xml:space="preserve"> appeared clear and transparent. </w:t>
      </w:r>
      <w:r w:rsidRPr="00A34F10">
        <w:rPr>
          <w:szCs w:val="24"/>
          <w:lang w:val="en-GB"/>
        </w:rPr>
        <w:t>Approximately</w:t>
      </w:r>
      <w:r w:rsidRPr="00A34F10">
        <w:rPr>
          <w:szCs w:val="24"/>
          <w:lang w:val="x-none"/>
        </w:rPr>
        <w:t xml:space="preserve"> 50 mL of the prepared solutions were transferred to each test vessel</w:t>
      </w:r>
      <w:r w:rsidRPr="00A34F10">
        <w:rPr>
          <w:szCs w:val="24"/>
          <w:lang w:val="en-GB"/>
        </w:rPr>
        <w:t>.</w:t>
      </w:r>
    </w:p>
    <w:p w14:paraId="3F260A5C" w14:textId="77777777" w:rsidR="00DC5685" w:rsidRPr="00A34F10" w:rsidRDefault="00DC5685" w:rsidP="00DC5685">
      <w:pPr>
        <w:keepNext/>
        <w:keepLines/>
        <w:spacing w:before="240"/>
        <w:ind w:left="284"/>
        <w:contextualSpacing/>
        <w:rPr>
          <w:b/>
          <w:bCs/>
          <w:szCs w:val="24"/>
          <w:highlight w:val="yellow"/>
          <w:lang w:val="en-GB"/>
        </w:rPr>
      </w:pPr>
    </w:p>
    <w:p w14:paraId="316836E0" w14:textId="77777777" w:rsidR="00DC5685" w:rsidRPr="00A34F10" w:rsidRDefault="00DC5685" w:rsidP="00E05ECD">
      <w:pPr>
        <w:keepNext/>
        <w:keepLines/>
        <w:numPr>
          <w:ilvl w:val="0"/>
          <w:numId w:val="31"/>
        </w:numPr>
        <w:spacing w:before="240"/>
        <w:ind w:left="284" w:hanging="284"/>
        <w:contextualSpacing/>
        <w:rPr>
          <w:b/>
          <w:bCs/>
          <w:szCs w:val="24"/>
          <w:lang w:val="en-GB"/>
        </w:rPr>
      </w:pPr>
      <w:r w:rsidRPr="00A34F10">
        <w:rPr>
          <w:b/>
          <w:bCs/>
          <w:szCs w:val="24"/>
          <w:lang w:val="en-GB"/>
        </w:rPr>
        <w:t xml:space="preserve">Measurements and observations: </w:t>
      </w:r>
    </w:p>
    <w:p w14:paraId="060E05D9" w14:textId="77777777" w:rsidR="00DC5685" w:rsidRPr="00A34F10" w:rsidRDefault="00DC5685" w:rsidP="00DC5685">
      <w:pPr>
        <w:keepNext/>
        <w:keepLines/>
        <w:tabs>
          <w:tab w:val="left" w:pos="720"/>
        </w:tabs>
        <w:jc w:val="both"/>
        <w:rPr>
          <w:szCs w:val="24"/>
          <w:u w:val="single"/>
          <w:lang w:val="en-GB"/>
        </w:rPr>
      </w:pPr>
      <w:r w:rsidRPr="00A34F10">
        <w:rPr>
          <w:szCs w:val="24"/>
          <w:u w:val="single"/>
          <w:lang w:val="en-GB"/>
        </w:rPr>
        <w:t xml:space="preserve">Biological observations: </w:t>
      </w:r>
    </w:p>
    <w:p w14:paraId="6302FA78" w14:textId="77777777" w:rsidR="00DC5685" w:rsidRPr="00A34F10" w:rsidRDefault="00DC5685" w:rsidP="00DC5685">
      <w:pPr>
        <w:keepNext/>
        <w:keepLines/>
        <w:tabs>
          <w:tab w:val="left" w:pos="720"/>
        </w:tabs>
        <w:jc w:val="both"/>
        <w:rPr>
          <w:bCs/>
          <w:szCs w:val="24"/>
          <w:lang w:val="en-GB"/>
        </w:rPr>
      </w:pPr>
      <w:r w:rsidRPr="00A34F10">
        <w:rPr>
          <w:bCs/>
          <w:szCs w:val="24"/>
          <w:lang w:val="en-GB"/>
        </w:rPr>
        <w:t>The mobility of the daphnids was determined by visual observation after 24 and 48 hours. Those animals not able to swim within 15 seconds after gentle agitation of the test vessels were considered to be immobile. If present, behavioural changes and abnormal appearance of daphnids were recorded at 24 and 48 hours after starting the test. Daily observation of test solution appearance was performed.</w:t>
      </w:r>
    </w:p>
    <w:p w14:paraId="044FC6FB" w14:textId="77777777" w:rsidR="00DC5685" w:rsidRPr="00A34F10" w:rsidRDefault="00DC5685" w:rsidP="00DC5685">
      <w:pPr>
        <w:tabs>
          <w:tab w:val="left" w:pos="720"/>
        </w:tabs>
        <w:jc w:val="both"/>
        <w:rPr>
          <w:szCs w:val="24"/>
          <w:highlight w:val="yellow"/>
          <w:u w:val="single"/>
          <w:lang w:val="en-GB"/>
        </w:rPr>
      </w:pPr>
    </w:p>
    <w:p w14:paraId="0391488E" w14:textId="77777777" w:rsidR="00DC5685" w:rsidRPr="00A34F10" w:rsidRDefault="00DC5685" w:rsidP="00DC5685">
      <w:pPr>
        <w:tabs>
          <w:tab w:val="left" w:pos="720"/>
        </w:tabs>
        <w:jc w:val="both"/>
        <w:rPr>
          <w:bCs/>
          <w:szCs w:val="24"/>
          <w:lang w:val="en-GB"/>
        </w:rPr>
      </w:pPr>
      <w:r w:rsidRPr="00A34F10">
        <w:rPr>
          <w:szCs w:val="24"/>
          <w:u w:val="single"/>
          <w:lang w:val="en-GB"/>
        </w:rPr>
        <w:t>Physicochemical measurements:</w:t>
      </w:r>
    </w:p>
    <w:p w14:paraId="779919FE" w14:textId="20F73A63" w:rsidR="003952ED" w:rsidRPr="00A34F10" w:rsidRDefault="00DC5685" w:rsidP="00DC5685">
      <w:pPr>
        <w:tabs>
          <w:tab w:val="left" w:pos="720"/>
        </w:tabs>
        <w:jc w:val="both"/>
        <w:rPr>
          <w:szCs w:val="24"/>
        </w:rPr>
      </w:pPr>
      <w:r w:rsidRPr="00A34F10">
        <w:rPr>
          <w:szCs w:val="24"/>
          <w:lang w:val="x-none"/>
        </w:rPr>
        <w:t xml:space="preserve">The test temperature and the pH as well as the oxygen concentration of the test solutions were measured at all treatments at </w:t>
      </w:r>
      <w:r w:rsidRPr="00A34F10">
        <w:rPr>
          <w:szCs w:val="24"/>
          <w:lang w:val="en-GB"/>
        </w:rPr>
        <w:t>test start (</w:t>
      </w:r>
      <w:r w:rsidRPr="00A34F10">
        <w:rPr>
          <w:szCs w:val="24"/>
          <w:lang w:val="x-none"/>
        </w:rPr>
        <w:t>fresh</w:t>
      </w:r>
      <w:r w:rsidRPr="00A34F10">
        <w:rPr>
          <w:szCs w:val="24"/>
          <w:lang w:val="en-GB"/>
        </w:rPr>
        <w:t>)</w:t>
      </w:r>
      <w:r w:rsidRPr="00A34F10">
        <w:rPr>
          <w:szCs w:val="24"/>
          <w:lang w:val="x-none"/>
        </w:rPr>
        <w:t>, after 24 h</w:t>
      </w:r>
      <w:r w:rsidRPr="00A34F10">
        <w:rPr>
          <w:szCs w:val="24"/>
          <w:lang w:val="en-GB"/>
        </w:rPr>
        <w:t>ours</w:t>
      </w:r>
      <w:r w:rsidRPr="00A34F10">
        <w:rPr>
          <w:szCs w:val="24"/>
          <w:lang w:val="x-none"/>
        </w:rPr>
        <w:t xml:space="preserve"> </w:t>
      </w:r>
      <w:r w:rsidRPr="00A34F10">
        <w:rPr>
          <w:szCs w:val="24"/>
          <w:lang w:val="en-GB"/>
        </w:rPr>
        <w:t>(</w:t>
      </w:r>
      <w:r w:rsidRPr="00A34F10">
        <w:rPr>
          <w:szCs w:val="24"/>
          <w:lang w:val="x-none"/>
        </w:rPr>
        <w:t>fresh and aged</w:t>
      </w:r>
      <w:r w:rsidRPr="00A34F10">
        <w:rPr>
          <w:szCs w:val="24"/>
          <w:lang w:val="en-GB"/>
        </w:rPr>
        <w:t>)</w:t>
      </w:r>
      <w:r w:rsidRPr="00A34F10">
        <w:rPr>
          <w:szCs w:val="24"/>
          <w:lang w:val="x-none"/>
        </w:rPr>
        <w:t xml:space="preserve"> </w:t>
      </w:r>
      <w:r w:rsidRPr="00A34F10">
        <w:rPr>
          <w:szCs w:val="24"/>
        </w:rPr>
        <w:t xml:space="preserve">and at test termination </w:t>
      </w:r>
      <w:r w:rsidRPr="00A34F10">
        <w:rPr>
          <w:szCs w:val="24"/>
          <w:lang w:val="x-none"/>
        </w:rPr>
        <w:t>from aged test solutions in one separate replicate per treatment without test organisms</w:t>
      </w:r>
      <w:r w:rsidRPr="00A34F10">
        <w:rPr>
          <w:szCs w:val="24"/>
        </w:rPr>
        <w:t>.</w:t>
      </w:r>
    </w:p>
    <w:p w14:paraId="47871E22" w14:textId="4787B06C" w:rsidR="00DC5685" w:rsidRPr="00A34F10" w:rsidRDefault="003952ED" w:rsidP="003952ED">
      <w:pPr>
        <w:rPr>
          <w:szCs w:val="24"/>
          <w:highlight w:val="yellow"/>
          <w:u w:val="single"/>
          <w:lang w:val="en-GB"/>
        </w:rPr>
      </w:pPr>
      <w:r w:rsidRPr="00A34F10">
        <w:br w:type="page"/>
      </w:r>
    </w:p>
    <w:p w14:paraId="259BD7BE" w14:textId="77777777" w:rsidR="00DC5685" w:rsidRPr="00A34F10" w:rsidRDefault="00DC5685" w:rsidP="00DC5685">
      <w:pPr>
        <w:keepNext/>
        <w:keepLines/>
        <w:tabs>
          <w:tab w:val="left" w:pos="720"/>
        </w:tabs>
        <w:jc w:val="both"/>
        <w:rPr>
          <w:szCs w:val="24"/>
          <w:u w:val="single"/>
          <w:lang w:val="en-GB"/>
        </w:rPr>
      </w:pPr>
      <w:r w:rsidRPr="00A34F10">
        <w:rPr>
          <w:szCs w:val="24"/>
          <w:u w:val="single"/>
          <w:lang w:val="en-GB"/>
        </w:rPr>
        <w:lastRenderedPageBreak/>
        <w:t>Analytical verification:</w:t>
      </w:r>
    </w:p>
    <w:p w14:paraId="66B0623F" w14:textId="77777777" w:rsidR="00DC5685" w:rsidRPr="00A34F10" w:rsidRDefault="00DC5685" w:rsidP="00DC5685">
      <w:pPr>
        <w:keepNext/>
        <w:keepLines/>
        <w:tabs>
          <w:tab w:val="left" w:pos="720"/>
        </w:tabs>
        <w:jc w:val="both"/>
        <w:rPr>
          <w:szCs w:val="24"/>
        </w:rPr>
      </w:pPr>
      <w:r w:rsidRPr="00A34F10">
        <w:rPr>
          <w:szCs w:val="24"/>
        </w:rPr>
        <w:t>Analytical samples were taken from all test item concentrations and control at test start from fresh solutions, after 24 hours (fresh and aged) and after 48 hours from aged solutions. For each sampling also two retain samples were taken. For all test medium samples a volume of 10 mL test solution was taken in 20 mL glass vials. All samples were stored deep frozen (≤ - 18 °C) until they were transferred to the analytical laboratory.</w:t>
      </w:r>
    </w:p>
    <w:p w14:paraId="17B5FD01" w14:textId="77777777" w:rsidR="00DC5685" w:rsidRPr="00A34F10" w:rsidRDefault="00DC5685" w:rsidP="00DC5685">
      <w:pPr>
        <w:tabs>
          <w:tab w:val="left" w:pos="720"/>
        </w:tabs>
        <w:jc w:val="both"/>
        <w:rPr>
          <w:szCs w:val="24"/>
          <w:lang w:val="en-GB"/>
        </w:rPr>
      </w:pPr>
    </w:p>
    <w:p w14:paraId="3BB7DB57" w14:textId="77777777" w:rsidR="00DC5685" w:rsidRPr="00A34F10" w:rsidRDefault="00DC5685" w:rsidP="00DC5685">
      <w:pPr>
        <w:tabs>
          <w:tab w:val="left" w:pos="720"/>
        </w:tabs>
        <w:jc w:val="both"/>
        <w:rPr>
          <w:szCs w:val="24"/>
        </w:rPr>
      </w:pPr>
      <w:r w:rsidRPr="00A34F10">
        <w:rPr>
          <w:szCs w:val="24"/>
        </w:rPr>
        <w:t>Concentrations of the test item BAS 743 02 F were determined via its active substacnes propamocarb and BAS 650 F (ametoctradin) in test item solutions. The determination was conducted by using high performance liquid chromatography (HPLC) with mass-spectrometric (MS-MS) detection.</w:t>
      </w:r>
    </w:p>
    <w:p w14:paraId="1766797E" w14:textId="77777777" w:rsidR="00DC5685" w:rsidRPr="00A34F10" w:rsidRDefault="00DC5685" w:rsidP="00DC5685">
      <w:pPr>
        <w:tabs>
          <w:tab w:val="left" w:pos="720"/>
        </w:tabs>
        <w:jc w:val="both"/>
        <w:rPr>
          <w:szCs w:val="24"/>
          <w:highlight w:val="yellow"/>
        </w:rPr>
      </w:pPr>
    </w:p>
    <w:p w14:paraId="514F84EE" w14:textId="77777777" w:rsidR="00DC5685" w:rsidRPr="00A34F10" w:rsidRDefault="00DC5685" w:rsidP="00E05ECD">
      <w:pPr>
        <w:numPr>
          <w:ilvl w:val="0"/>
          <w:numId w:val="31"/>
        </w:numPr>
        <w:spacing w:before="240"/>
        <w:ind w:left="284" w:hanging="284"/>
        <w:contextualSpacing/>
        <w:rPr>
          <w:b/>
          <w:bCs/>
          <w:szCs w:val="24"/>
          <w:lang w:val="en-GB"/>
        </w:rPr>
      </w:pPr>
      <w:r w:rsidRPr="00A34F10">
        <w:rPr>
          <w:b/>
          <w:bCs/>
          <w:szCs w:val="24"/>
          <w:lang w:val="en-GB"/>
        </w:rPr>
        <w:t xml:space="preserve">Statistical analysis: </w:t>
      </w:r>
    </w:p>
    <w:p w14:paraId="72AB741A" w14:textId="77777777" w:rsidR="00DC5685" w:rsidRPr="00A34F10" w:rsidRDefault="00DC5685" w:rsidP="00DC5685">
      <w:pPr>
        <w:tabs>
          <w:tab w:val="left" w:pos="720"/>
        </w:tabs>
        <w:spacing w:after="240"/>
        <w:jc w:val="both"/>
        <w:rPr>
          <w:szCs w:val="24"/>
        </w:rPr>
      </w:pPr>
      <w:r w:rsidRPr="00A34F10">
        <w:rPr>
          <w:szCs w:val="24"/>
          <w:lang w:val="x-none"/>
        </w:rPr>
        <w:t>EC</w:t>
      </w:r>
      <w:r w:rsidRPr="00A34F10">
        <w:rPr>
          <w:szCs w:val="24"/>
          <w:vertAlign w:val="subscript"/>
        </w:rPr>
        <w:t>x</w:t>
      </w:r>
      <w:r w:rsidRPr="00A34F10">
        <w:rPr>
          <w:szCs w:val="24"/>
          <w:lang w:val="x-none"/>
        </w:rPr>
        <w:t xml:space="preserve"> could not be </w:t>
      </w:r>
      <w:r w:rsidRPr="00A34F10">
        <w:rPr>
          <w:szCs w:val="24"/>
          <w:lang w:val="en-GB"/>
        </w:rPr>
        <w:t xml:space="preserve">determined </w:t>
      </w:r>
      <w:r w:rsidRPr="00A34F10">
        <w:rPr>
          <w:szCs w:val="24"/>
        </w:rPr>
        <w:t>due</w:t>
      </w:r>
      <w:r w:rsidRPr="00A34F10">
        <w:rPr>
          <w:szCs w:val="24"/>
          <w:lang w:val="x-none"/>
        </w:rPr>
        <w:t xml:space="preserve"> to the absence of toxicity of the</w:t>
      </w:r>
      <w:r w:rsidRPr="00A34F10">
        <w:rPr>
          <w:szCs w:val="24"/>
        </w:rPr>
        <w:t xml:space="preserve"> </w:t>
      </w:r>
      <w:r w:rsidRPr="00A34F10">
        <w:rPr>
          <w:szCs w:val="24"/>
          <w:lang w:val="x-none"/>
        </w:rPr>
        <w:t xml:space="preserve">test item. </w:t>
      </w:r>
      <w:r w:rsidRPr="00A34F10">
        <w:rPr>
          <w:szCs w:val="24"/>
        </w:rPr>
        <w:t>LOEC and NOEC were determined directly from the raw data. No statistical analysis was performed.</w:t>
      </w:r>
    </w:p>
    <w:p w14:paraId="3691FAE3" w14:textId="77777777" w:rsidR="00DC5685" w:rsidRPr="00A34F10" w:rsidRDefault="00DC5685" w:rsidP="00E05ECD">
      <w:pPr>
        <w:numPr>
          <w:ilvl w:val="0"/>
          <w:numId w:val="31"/>
        </w:numPr>
        <w:spacing w:before="240"/>
        <w:ind w:left="284" w:hanging="284"/>
        <w:contextualSpacing/>
        <w:rPr>
          <w:b/>
          <w:bCs/>
          <w:szCs w:val="24"/>
          <w:lang w:val="en-GB"/>
        </w:rPr>
      </w:pPr>
      <w:r w:rsidRPr="00A34F10">
        <w:rPr>
          <w:b/>
          <w:bCs/>
          <w:szCs w:val="24"/>
          <w:lang w:val="en-GB"/>
        </w:rPr>
        <w:t>Description of the analytical procedures</w:t>
      </w:r>
    </w:p>
    <w:p w14:paraId="1952B09B" w14:textId="77F2DAFC" w:rsidR="00DC5685" w:rsidRPr="00A34F10" w:rsidRDefault="00DC5685" w:rsidP="00DC5685">
      <w:pPr>
        <w:spacing w:before="240"/>
        <w:contextualSpacing/>
        <w:jc w:val="both"/>
        <w:rPr>
          <w:szCs w:val="24"/>
        </w:rPr>
      </w:pPr>
      <w:r w:rsidRPr="00A34F10">
        <w:rPr>
          <w:szCs w:val="24"/>
        </w:rPr>
        <w:t xml:space="preserve">Concentrations of the test item BAS 743 02 F were determined via its active substances propamocarb and ametoctradin in test item solutions using </w:t>
      </w:r>
      <w:r w:rsidR="00482794">
        <w:rPr>
          <w:szCs w:val="24"/>
        </w:rPr>
        <w:t>XXXX</w:t>
      </w:r>
      <w:r w:rsidRPr="00A34F10">
        <w:rPr>
          <w:szCs w:val="24"/>
        </w:rPr>
        <w:t xml:space="preserve"> modified analytical method APL0500/02. The determination was performed using HPLC-MS/MS.</w:t>
      </w:r>
    </w:p>
    <w:p w14:paraId="144DF17E" w14:textId="77777777" w:rsidR="00DC5685" w:rsidRPr="00A34F10" w:rsidRDefault="00DC5685" w:rsidP="00DC5685">
      <w:pPr>
        <w:spacing w:before="240"/>
        <w:contextualSpacing/>
        <w:jc w:val="both"/>
        <w:rPr>
          <w:szCs w:val="24"/>
        </w:rPr>
      </w:pPr>
    </w:p>
    <w:p w14:paraId="0D3637AF" w14:textId="77777777" w:rsidR="00DC5685" w:rsidRPr="00A34F10" w:rsidRDefault="00DC5685" w:rsidP="00DC5685">
      <w:pPr>
        <w:spacing w:before="240"/>
        <w:contextualSpacing/>
        <w:jc w:val="both"/>
        <w:rPr>
          <w:szCs w:val="24"/>
          <w:highlight w:val="yellow"/>
        </w:rPr>
      </w:pPr>
      <w:r w:rsidRPr="00A34F10">
        <w:rPr>
          <w:szCs w:val="24"/>
        </w:rPr>
        <w:t>Sample analysis was performed by dilution of the sample with 50 µL formic acid and the equal amount of acetonitrile. Subsequently, the samples were diluted with acetonitrile/test medium + 0.5 % formic acid (1:1, v/v) to be within the range of the calibration curve. The method has a limit of quantification (LOQ) of 0.0547 mg ametoctradin/L and 0.170 mg propamocarb/L. The limit of detection (LOD) is 0.0156 mg ametoctradin/L and 0.0468 mg propamocarb/L.</w:t>
      </w:r>
    </w:p>
    <w:p w14:paraId="7402DDEF" w14:textId="77777777" w:rsidR="00DC5685" w:rsidRPr="00A34F10" w:rsidRDefault="00DC5685" w:rsidP="00DC5685">
      <w:pPr>
        <w:spacing w:before="240"/>
        <w:contextualSpacing/>
        <w:jc w:val="both"/>
        <w:rPr>
          <w:b/>
          <w:bCs/>
          <w:szCs w:val="24"/>
          <w:highlight w:val="yellow"/>
        </w:rPr>
      </w:pPr>
    </w:p>
    <w:p w14:paraId="2D08FDDB" w14:textId="77777777" w:rsidR="00DC5685" w:rsidRPr="00A34F10" w:rsidRDefault="00DC5685" w:rsidP="00DC5685">
      <w:pPr>
        <w:widowControl w:val="0"/>
        <w:tabs>
          <w:tab w:val="left" w:pos="720"/>
        </w:tabs>
        <w:spacing w:after="240"/>
        <w:jc w:val="both"/>
        <w:rPr>
          <w:lang w:val="en-GB"/>
        </w:rPr>
      </w:pPr>
      <w:r w:rsidRPr="00A34F10">
        <w:rPr>
          <w:lang w:val="x-none"/>
        </w:rPr>
        <w:t xml:space="preserve">The storage stabilities of </w:t>
      </w:r>
      <w:r w:rsidRPr="00A34F10">
        <w:rPr>
          <w:lang w:val="en-GB"/>
        </w:rPr>
        <w:t>a</w:t>
      </w:r>
      <w:r w:rsidRPr="00A34F10">
        <w:rPr>
          <w:lang w:val="x-none"/>
        </w:rPr>
        <w:t xml:space="preserve">metoctradin and </w:t>
      </w:r>
      <w:r w:rsidRPr="00A34F10">
        <w:rPr>
          <w:lang w:val="en-GB"/>
        </w:rPr>
        <w:t>p</w:t>
      </w:r>
      <w:r w:rsidRPr="00A34F10">
        <w:rPr>
          <w:lang w:val="x-none"/>
        </w:rPr>
        <w:t>ropamocarb were investigated by fortification of at least six untreated test medium with the test item. Three of the samples were analy</w:t>
      </w:r>
      <w:r w:rsidRPr="00A34F10">
        <w:rPr>
          <w:lang w:val="en-GB"/>
        </w:rPr>
        <w:t>s</w:t>
      </w:r>
      <w:r w:rsidRPr="00A34F10">
        <w:rPr>
          <w:lang w:val="x-none"/>
        </w:rPr>
        <w:t>ed on the day of fortification (day 0). The other fortified samples were stored frozen (≤ 18°C). After 12 days of storage, three samples were analy</w:t>
      </w:r>
      <w:r w:rsidRPr="00A34F10">
        <w:rPr>
          <w:lang w:val="en-GB"/>
        </w:rPr>
        <w:t>s</w:t>
      </w:r>
      <w:r w:rsidRPr="00A34F10">
        <w:rPr>
          <w:lang w:val="x-none"/>
        </w:rPr>
        <w:t xml:space="preserve">ed. This time period covers the longest storage period of samples of 3 days for </w:t>
      </w:r>
      <w:r w:rsidRPr="00A34F10">
        <w:rPr>
          <w:lang w:val="en-GB"/>
        </w:rPr>
        <w:t>p</w:t>
      </w:r>
      <w:r w:rsidRPr="00A34F10">
        <w:rPr>
          <w:lang w:val="x-none"/>
        </w:rPr>
        <w:t xml:space="preserve">ropamocarb and 6 days for </w:t>
      </w:r>
      <w:r w:rsidRPr="00A34F10">
        <w:rPr>
          <w:lang w:val="en-GB"/>
        </w:rPr>
        <w:t>a</w:t>
      </w:r>
      <w:r w:rsidRPr="00A34F10">
        <w:rPr>
          <w:lang w:val="x-none"/>
        </w:rPr>
        <w:t>metoctradin for test medium.</w:t>
      </w:r>
      <w:r w:rsidRPr="00A34F10">
        <w:t xml:space="preserve"> </w:t>
      </w:r>
      <w:r w:rsidRPr="00A34F10">
        <w:rPr>
          <w:lang w:val="en-GB"/>
        </w:rPr>
        <w:t>Blank control samples (blanks of the carrier without test item) were analysed within this study. No significant interference from the blank carrier within the test item could be observed. Matrix-matched calibration standards were used for procedural recovery experiments and residue analysis.</w:t>
      </w:r>
    </w:p>
    <w:p w14:paraId="4CFF80EA" w14:textId="77777777" w:rsidR="00DC5685" w:rsidRPr="00A34F10" w:rsidRDefault="00DC5685" w:rsidP="00DC5685">
      <w:pPr>
        <w:widowControl w:val="0"/>
        <w:tabs>
          <w:tab w:val="left" w:pos="720"/>
        </w:tabs>
        <w:spacing w:after="240"/>
        <w:jc w:val="both"/>
        <w:rPr>
          <w:highlight w:val="yellow"/>
        </w:rPr>
      </w:pPr>
      <w:r w:rsidRPr="00A34F10">
        <w:rPr>
          <w:lang w:val="x-none"/>
        </w:rPr>
        <w:t>Results of the validation and procedural recovery experiments obtained during analysis showed that the recovery efficiency and repeatability was within the acceptable range of 70% to 120% of the intended concentrations for analyte BAS 743 02 F, with relative standard deviations RSD &lt; 20%. No significant peak interferences occurred at the retention time and mass transitions of BAS 743 02 F.</w:t>
      </w:r>
    </w:p>
    <w:p w14:paraId="0101805B" w14:textId="345F35E2" w:rsidR="003952ED" w:rsidRPr="00A34F10" w:rsidRDefault="00DC5685" w:rsidP="00DC5685">
      <w:pPr>
        <w:widowControl w:val="0"/>
        <w:tabs>
          <w:tab w:val="left" w:pos="720"/>
        </w:tabs>
        <w:spacing w:after="240"/>
        <w:jc w:val="both"/>
      </w:pPr>
      <w:r w:rsidRPr="00A34F10">
        <w:rPr>
          <w:lang w:val="x-none"/>
        </w:rPr>
        <w:t xml:space="preserve">The validity criteria </w:t>
      </w:r>
      <w:r w:rsidRPr="00A34F10">
        <w:rPr>
          <w:lang w:val="en-GB"/>
        </w:rPr>
        <w:t xml:space="preserve">(specificity, linearity, accuracy and precision) </w:t>
      </w:r>
      <w:r w:rsidRPr="00A34F10">
        <w:rPr>
          <w:lang w:val="x-none"/>
        </w:rPr>
        <w:t>for the analytical method have been met according to</w:t>
      </w:r>
      <w:r w:rsidRPr="00A34F10">
        <w:rPr>
          <w:lang w:val="en-GB"/>
        </w:rPr>
        <w:t xml:space="preserve"> </w:t>
      </w:r>
      <w:r w:rsidRPr="00A34F10">
        <w:rPr>
          <w:lang w:val="x-none"/>
        </w:rPr>
        <w:t>SANTE/2020/12830, Rev.1</w:t>
      </w:r>
      <w:r w:rsidRPr="00A34F10">
        <w:t>.</w:t>
      </w:r>
    </w:p>
    <w:p w14:paraId="7BACEF24" w14:textId="77777777" w:rsidR="00DC5685" w:rsidRPr="00A34F10" w:rsidRDefault="003952ED" w:rsidP="003952ED">
      <w:pPr>
        <w:rPr>
          <w:lang w:val="en-GB"/>
        </w:rPr>
      </w:pPr>
      <w:r w:rsidRPr="00A34F10">
        <w:br w:type="page"/>
      </w:r>
    </w:p>
    <w:p w14:paraId="31A5D363" w14:textId="1F216B72" w:rsidR="00DC5685" w:rsidRPr="00A34F10" w:rsidRDefault="000F1685" w:rsidP="000F1685">
      <w:pPr>
        <w:pStyle w:val="Legenda"/>
        <w:rPr>
          <w:highlight w:val="yellow"/>
          <w:lang w:val="x-none" w:eastAsia="zh-CN"/>
        </w:rPr>
      </w:pPr>
      <w:r>
        <w:lastRenderedPageBreak/>
        <w:t xml:space="preserve">Table A </w:t>
      </w:r>
      <w:r>
        <w:fldChar w:fldCharType="begin"/>
      </w:r>
      <w:r>
        <w:instrText xml:space="preserve"> SEQ Table_A \* ARABIC </w:instrText>
      </w:r>
      <w:r>
        <w:fldChar w:fldCharType="separate"/>
      </w:r>
      <w:r w:rsidR="006F0F3B">
        <w:rPr>
          <w:noProof/>
        </w:rPr>
        <w:t>8</w:t>
      </w:r>
      <w:r>
        <w:fldChar w:fldCharType="end"/>
      </w:r>
      <w:r w:rsidR="003952ED" w:rsidRPr="00A34F10">
        <w:t>:</w:t>
      </w:r>
      <w:r w:rsidR="00DC5685" w:rsidRPr="00A34F10">
        <w:tab/>
      </w:r>
      <w:r w:rsidR="00DC5685" w:rsidRPr="00A34F10">
        <w:rPr>
          <w:lang w:eastAsia="zh-CN"/>
        </w:rPr>
        <w:t>Procedural recoveries for ametoctradin and propamocarb</w:t>
      </w:r>
      <w:r w:rsidR="00DC5685" w:rsidRPr="00A34F10">
        <w:rPr>
          <w:lang w:val="x-none" w:eastAsia="zh-CN"/>
        </w:rPr>
        <w:t xml:space="preserve"> applied as BAS </w:t>
      </w:r>
      <w:r w:rsidR="00DC5685" w:rsidRPr="00A34F10">
        <w:rPr>
          <w:lang w:eastAsia="zh-CN"/>
        </w:rPr>
        <w:t>743 02</w:t>
      </w:r>
      <w:r w:rsidR="00DC5685" w:rsidRPr="00A34F10">
        <w:rPr>
          <w:lang w:val="x-none" w:eastAsia="zh-CN"/>
        </w:rPr>
        <w:t xml:space="preserve"> F in</w:t>
      </w:r>
      <w:r w:rsidR="00DC5685" w:rsidRPr="00A34F10">
        <w:rPr>
          <w:lang w:eastAsia="zh-CN"/>
        </w:rPr>
        <w:t xml:space="preserve"> t</w:t>
      </w:r>
      <w:r w:rsidR="00DC5685" w:rsidRPr="00A34F10">
        <w:rPr>
          <w:lang w:val="x-none" w:eastAsia="zh-CN"/>
        </w:rPr>
        <w:t xml:space="preserve">est </w:t>
      </w:r>
      <w:r w:rsidR="00DC5685" w:rsidRPr="00A34F10">
        <w:rPr>
          <w:lang w:eastAsia="zh-CN"/>
        </w:rPr>
        <w:t>w</w:t>
      </w:r>
      <w:r w:rsidR="00DC5685" w:rsidRPr="00A34F10">
        <w:rPr>
          <w:lang w:val="x-none" w:eastAsia="zh-CN"/>
        </w:rPr>
        <w:t>ater</w:t>
      </w:r>
    </w:p>
    <w:tbl>
      <w:tblPr>
        <w:tblStyle w:val="Tabela-Motyw"/>
        <w:tblW w:w="5000" w:type="pct"/>
        <w:tblLook w:val="0000" w:firstRow="0" w:lastRow="0" w:firstColumn="0" w:lastColumn="0" w:noHBand="0" w:noVBand="0"/>
      </w:tblPr>
      <w:tblGrid>
        <w:gridCol w:w="1725"/>
        <w:gridCol w:w="1437"/>
        <w:gridCol w:w="863"/>
        <w:gridCol w:w="1725"/>
        <w:gridCol w:w="1725"/>
        <w:gridCol w:w="1869"/>
      </w:tblGrid>
      <w:tr w:rsidR="00DC5685" w:rsidRPr="00A34F10" w14:paraId="6B4E38B2" w14:textId="77777777" w:rsidTr="000470C3">
        <w:trPr>
          <w:trHeight w:val="699"/>
        </w:trPr>
        <w:tc>
          <w:tcPr>
            <w:tcW w:w="923" w:type="pct"/>
            <w:vAlign w:val="center"/>
          </w:tcPr>
          <w:p w14:paraId="41AB5CE0" w14:textId="77777777" w:rsidR="00DC5685" w:rsidRPr="00A34F10" w:rsidRDefault="00DC5685" w:rsidP="00DC5685">
            <w:pPr>
              <w:tabs>
                <w:tab w:val="left" w:pos="720"/>
                <w:tab w:val="left" w:pos="5036"/>
              </w:tabs>
              <w:spacing w:before="20" w:after="20"/>
              <w:rPr>
                <w:b/>
                <w:bCs/>
                <w:sz w:val="20"/>
                <w:szCs w:val="20"/>
                <w:lang w:eastAsia="zh-CN"/>
              </w:rPr>
            </w:pPr>
            <w:r w:rsidRPr="00A34F10">
              <w:rPr>
                <w:b/>
                <w:bCs/>
                <w:sz w:val="20"/>
                <w:szCs w:val="20"/>
                <w:lang w:eastAsia="zh-CN"/>
              </w:rPr>
              <w:t>Sample Matrix</w:t>
            </w:r>
          </w:p>
        </w:tc>
        <w:tc>
          <w:tcPr>
            <w:tcW w:w="769" w:type="pct"/>
            <w:vAlign w:val="center"/>
          </w:tcPr>
          <w:p w14:paraId="6616CF88"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Fortification Level [mg/L]</w:t>
            </w:r>
          </w:p>
        </w:tc>
        <w:tc>
          <w:tcPr>
            <w:tcW w:w="462" w:type="pct"/>
            <w:vAlign w:val="center"/>
          </w:tcPr>
          <w:p w14:paraId="142487F3"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n</w:t>
            </w:r>
          </w:p>
        </w:tc>
        <w:tc>
          <w:tcPr>
            <w:tcW w:w="923" w:type="pct"/>
            <w:vAlign w:val="center"/>
          </w:tcPr>
          <w:p w14:paraId="58802C33"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Recoveries</w:t>
            </w:r>
            <w:r w:rsidRPr="00A34F10">
              <w:rPr>
                <w:b/>
                <w:bCs/>
                <w:sz w:val="20"/>
                <w:szCs w:val="20"/>
                <w:lang w:eastAsia="zh-CN"/>
              </w:rPr>
              <w:br/>
              <w:t>[%]</w:t>
            </w:r>
          </w:p>
        </w:tc>
        <w:tc>
          <w:tcPr>
            <w:tcW w:w="923" w:type="pct"/>
            <w:vAlign w:val="center"/>
          </w:tcPr>
          <w:p w14:paraId="482C7FD6"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Mean Recovery</w:t>
            </w:r>
            <w:r w:rsidRPr="00A34F10">
              <w:rPr>
                <w:b/>
                <w:bCs/>
                <w:sz w:val="20"/>
                <w:szCs w:val="20"/>
                <w:lang w:eastAsia="zh-CN"/>
              </w:rPr>
              <w:br/>
              <w:t>[%]</w:t>
            </w:r>
          </w:p>
        </w:tc>
        <w:tc>
          <w:tcPr>
            <w:tcW w:w="1000" w:type="pct"/>
            <w:vAlign w:val="center"/>
          </w:tcPr>
          <w:p w14:paraId="6E311061"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RSD</w:t>
            </w:r>
            <w:r w:rsidRPr="00A34F10">
              <w:rPr>
                <w:b/>
                <w:bCs/>
                <w:sz w:val="20"/>
                <w:szCs w:val="20"/>
                <w:lang w:eastAsia="zh-CN"/>
              </w:rPr>
              <w:br/>
              <w:t>[%]</w:t>
            </w:r>
          </w:p>
        </w:tc>
      </w:tr>
      <w:tr w:rsidR="00DC5685" w:rsidRPr="00A34F10" w14:paraId="4344F67F" w14:textId="77777777" w:rsidTr="000470C3">
        <w:trPr>
          <w:trHeight w:val="283"/>
        </w:trPr>
        <w:tc>
          <w:tcPr>
            <w:tcW w:w="923" w:type="pct"/>
            <w:vMerge w:val="restart"/>
            <w:vAlign w:val="center"/>
          </w:tcPr>
          <w:p w14:paraId="32E1EE64" w14:textId="77777777" w:rsidR="00DC5685" w:rsidRPr="00A34F10" w:rsidRDefault="00DC5685" w:rsidP="00DC5685">
            <w:pPr>
              <w:tabs>
                <w:tab w:val="left" w:pos="720"/>
                <w:tab w:val="left" w:pos="5036"/>
              </w:tabs>
              <w:spacing w:before="20" w:after="20"/>
              <w:rPr>
                <w:sz w:val="20"/>
                <w:szCs w:val="20"/>
                <w:lang w:val="en-GB" w:eastAsia="zh-CN"/>
              </w:rPr>
            </w:pPr>
            <w:r w:rsidRPr="00A34F10">
              <w:rPr>
                <w:sz w:val="20"/>
                <w:szCs w:val="20"/>
              </w:rPr>
              <w:t>Ametoctradin</w:t>
            </w:r>
          </w:p>
        </w:tc>
        <w:tc>
          <w:tcPr>
            <w:tcW w:w="769" w:type="pct"/>
            <w:vAlign w:val="center"/>
          </w:tcPr>
          <w:p w14:paraId="20833132"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Control</w:t>
            </w:r>
          </w:p>
        </w:tc>
        <w:tc>
          <w:tcPr>
            <w:tcW w:w="462" w:type="pct"/>
            <w:vAlign w:val="center"/>
          </w:tcPr>
          <w:p w14:paraId="64030DD9"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2</w:t>
            </w:r>
          </w:p>
        </w:tc>
        <w:tc>
          <w:tcPr>
            <w:tcW w:w="923" w:type="pct"/>
            <w:vAlign w:val="center"/>
          </w:tcPr>
          <w:p w14:paraId="643730FF"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&lt;LOD</w:t>
            </w:r>
          </w:p>
        </w:tc>
        <w:tc>
          <w:tcPr>
            <w:tcW w:w="923" w:type="pct"/>
            <w:vAlign w:val="center"/>
          </w:tcPr>
          <w:p w14:paraId="345F8772"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w:t>
            </w:r>
          </w:p>
        </w:tc>
        <w:tc>
          <w:tcPr>
            <w:tcW w:w="1000" w:type="pct"/>
            <w:vAlign w:val="center"/>
          </w:tcPr>
          <w:p w14:paraId="4FDBEDF7"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rPr>
              <w:t>-</w:t>
            </w:r>
          </w:p>
        </w:tc>
      </w:tr>
      <w:tr w:rsidR="00DC5685" w:rsidRPr="00A34F10" w14:paraId="09EC18AA" w14:textId="77777777" w:rsidTr="000470C3">
        <w:trPr>
          <w:trHeight w:val="454"/>
        </w:trPr>
        <w:tc>
          <w:tcPr>
            <w:tcW w:w="923" w:type="pct"/>
            <w:vMerge/>
            <w:vAlign w:val="center"/>
          </w:tcPr>
          <w:p w14:paraId="47B130D7"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73AB859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0.427</w:t>
            </w:r>
          </w:p>
        </w:tc>
        <w:tc>
          <w:tcPr>
            <w:tcW w:w="462" w:type="pct"/>
            <w:vAlign w:val="center"/>
          </w:tcPr>
          <w:p w14:paraId="1631CC40"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5</w:t>
            </w:r>
          </w:p>
        </w:tc>
        <w:tc>
          <w:tcPr>
            <w:tcW w:w="923" w:type="pct"/>
            <w:vAlign w:val="center"/>
          </w:tcPr>
          <w:p w14:paraId="0F75829A"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99.0, 102, 102, 106, 102</w:t>
            </w:r>
          </w:p>
        </w:tc>
        <w:tc>
          <w:tcPr>
            <w:tcW w:w="923" w:type="pct"/>
            <w:vAlign w:val="center"/>
          </w:tcPr>
          <w:p w14:paraId="2A200F22"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rPr>
              <w:t>102</w:t>
            </w:r>
          </w:p>
        </w:tc>
        <w:tc>
          <w:tcPr>
            <w:tcW w:w="1000" w:type="pct"/>
            <w:vAlign w:val="center"/>
          </w:tcPr>
          <w:p w14:paraId="2AF1663E"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rPr>
              <w:t>2.0</w:t>
            </w:r>
          </w:p>
        </w:tc>
      </w:tr>
      <w:tr w:rsidR="00DC5685" w:rsidRPr="00A34F10" w14:paraId="12CCC9B6" w14:textId="77777777" w:rsidTr="000470C3">
        <w:trPr>
          <w:trHeight w:val="454"/>
        </w:trPr>
        <w:tc>
          <w:tcPr>
            <w:tcW w:w="923" w:type="pct"/>
            <w:vMerge/>
            <w:vAlign w:val="center"/>
          </w:tcPr>
          <w:p w14:paraId="417AF7D1" w14:textId="77777777" w:rsidR="00DC5685" w:rsidRPr="00A34F10" w:rsidRDefault="00DC5685" w:rsidP="00DC5685">
            <w:pPr>
              <w:tabs>
                <w:tab w:val="left" w:pos="720"/>
                <w:tab w:val="left" w:pos="5036"/>
              </w:tabs>
              <w:spacing w:before="20" w:after="20"/>
              <w:rPr>
                <w:sz w:val="20"/>
                <w:szCs w:val="20"/>
                <w:highlight w:val="yellow"/>
                <w:lang w:eastAsia="zh-CN"/>
              </w:rPr>
            </w:pPr>
          </w:p>
        </w:tc>
        <w:tc>
          <w:tcPr>
            <w:tcW w:w="769" w:type="pct"/>
            <w:vAlign w:val="center"/>
          </w:tcPr>
          <w:p w14:paraId="2581E066" w14:textId="77777777" w:rsidR="00DC5685" w:rsidRPr="00A34F10" w:rsidRDefault="00DC5685" w:rsidP="00DC5685">
            <w:pPr>
              <w:tabs>
                <w:tab w:val="left" w:pos="720"/>
                <w:tab w:val="left" w:pos="5036"/>
              </w:tabs>
              <w:spacing w:before="20" w:after="20"/>
              <w:rPr>
                <w:sz w:val="20"/>
                <w:szCs w:val="20"/>
                <w:highlight w:val="yellow"/>
                <w:lang w:eastAsia="zh-CN"/>
              </w:rPr>
            </w:pPr>
            <w:r w:rsidRPr="00A34F10">
              <w:rPr>
                <w:sz w:val="20"/>
                <w:szCs w:val="20"/>
              </w:rPr>
              <w:t>130</w:t>
            </w:r>
          </w:p>
        </w:tc>
        <w:tc>
          <w:tcPr>
            <w:tcW w:w="462" w:type="pct"/>
            <w:vAlign w:val="center"/>
          </w:tcPr>
          <w:p w14:paraId="028A69DF" w14:textId="77777777" w:rsidR="00DC5685" w:rsidRPr="00A34F10" w:rsidRDefault="00DC5685" w:rsidP="00DC5685">
            <w:pPr>
              <w:tabs>
                <w:tab w:val="left" w:pos="720"/>
                <w:tab w:val="left" w:pos="5036"/>
              </w:tabs>
              <w:spacing w:before="20" w:after="20"/>
              <w:rPr>
                <w:sz w:val="20"/>
                <w:szCs w:val="20"/>
                <w:highlight w:val="yellow"/>
                <w:lang w:eastAsia="zh-CN"/>
              </w:rPr>
            </w:pPr>
            <w:r w:rsidRPr="00A34F10">
              <w:rPr>
                <w:sz w:val="20"/>
                <w:szCs w:val="20"/>
              </w:rPr>
              <w:t>5</w:t>
            </w:r>
          </w:p>
        </w:tc>
        <w:tc>
          <w:tcPr>
            <w:tcW w:w="923" w:type="pct"/>
            <w:vAlign w:val="center"/>
          </w:tcPr>
          <w:p w14:paraId="130C4810" w14:textId="77777777" w:rsidR="00DC5685" w:rsidRPr="00A34F10" w:rsidRDefault="00DC5685" w:rsidP="00DC5685">
            <w:pPr>
              <w:tabs>
                <w:tab w:val="left" w:pos="720"/>
                <w:tab w:val="left" w:pos="5036"/>
              </w:tabs>
              <w:spacing w:before="20" w:after="20"/>
              <w:rPr>
                <w:sz w:val="20"/>
                <w:szCs w:val="20"/>
                <w:highlight w:val="yellow"/>
                <w:lang w:eastAsia="zh-CN"/>
              </w:rPr>
            </w:pPr>
            <w:r w:rsidRPr="00A34F10">
              <w:rPr>
                <w:spacing w:val="-1"/>
                <w:sz w:val="20"/>
                <w:szCs w:val="20"/>
              </w:rPr>
              <w:t>105, 105, 105, 101, 103</w:t>
            </w:r>
          </w:p>
        </w:tc>
        <w:tc>
          <w:tcPr>
            <w:tcW w:w="923" w:type="pct"/>
            <w:vAlign w:val="center"/>
          </w:tcPr>
          <w:p w14:paraId="59353C32" w14:textId="77777777" w:rsidR="00DC5685" w:rsidRPr="00A34F10" w:rsidRDefault="00DC5685" w:rsidP="00DC5685">
            <w:pPr>
              <w:tabs>
                <w:tab w:val="left" w:pos="720"/>
                <w:tab w:val="left" w:pos="5036"/>
              </w:tabs>
              <w:spacing w:before="20" w:after="20"/>
              <w:rPr>
                <w:sz w:val="20"/>
                <w:szCs w:val="20"/>
                <w:highlight w:val="yellow"/>
                <w:lang w:eastAsia="zh-CN"/>
              </w:rPr>
            </w:pPr>
            <w:r w:rsidRPr="00A34F10">
              <w:rPr>
                <w:sz w:val="20"/>
                <w:szCs w:val="20"/>
              </w:rPr>
              <w:t>104</w:t>
            </w:r>
          </w:p>
        </w:tc>
        <w:tc>
          <w:tcPr>
            <w:tcW w:w="1000" w:type="pct"/>
            <w:vAlign w:val="center"/>
          </w:tcPr>
          <w:p w14:paraId="6A532559" w14:textId="77777777" w:rsidR="00DC5685" w:rsidRPr="00A34F10" w:rsidRDefault="00DC5685" w:rsidP="00DC5685">
            <w:pPr>
              <w:tabs>
                <w:tab w:val="left" w:pos="720"/>
                <w:tab w:val="left" w:pos="5036"/>
              </w:tabs>
              <w:spacing w:before="20" w:after="20"/>
              <w:rPr>
                <w:sz w:val="20"/>
                <w:szCs w:val="20"/>
                <w:highlight w:val="yellow"/>
                <w:lang w:eastAsia="zh-CN"/>
              </w:rPr>
            </w:pPr>
            <w:r w:rsidRPr="00A34F10">
              <w:rPr>
                <w:sz w:val="20"/>
                <w:szCs w:val="20"/>
              </w:rPr>
              <w:t>2.0</w:t>
            </w:r>
          </w:p>
        </w:tc>
      </w:tr>
      <w:tr w:rsidR="00DC5685" w:rsidRPr="00A34F10" w14:paraId="4C96696A" w14:textId="77777777" w:rsidTr="000470C3">
        <w:trPr>
          <w:trHeight w:val="284"/>
        </w:trPr>
        <w:tc>
          <w:tcPr>
            <w:tcW w:w="923" w:type="pct"/>
            <w:vMerge/>
            <w:vAlign w:val="center"/>
          </w:tcPr>
          <w:p w14:paraId="556300B1" w14:textId="77777777" w:rsidR="00DC5685" w:rsidRPr="00A34F10" w:rsidRDefault="00DC5685" w:rsidP="00DC5685">
            <w:pPr>
              <w:tabs>
                <w:tab w:val="left" w:pos="720"/>
                <w:tab w:val="left" w:pos="5036"/>
              </w:tabs>
              <w:spacing w:before="20" w:after="20"/>
              <w:rPr>
                <w:sz w:val="20"/>
                <w:szCs w:val="20"/>
                <w:highlight w:val="yellow"/>
                <w:lang w:eastAsia="zh-CN"/>
              </w:rPr>
            </w:pPr>
          </w:p>
        </w:tc>
        <w:tc>
          <w:tcPr>
            <w:tcW w:w="769" w:type="pct"/>
            <w:vAlign w:val="center"/>
          </w:tcPr>
          <w:p w14:paraId="521E5B45"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Overall</w:t>
            </w:r>
          </w:p>
        </w:tc>
        <w:tc>
          <w:tcPr>
            <w:tcW w:w="462" w:type="pct"/>
            <w:vAlign w:val="center"/>
          </w:tcPr>
          <w:p w14:paraId="71A03F27"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17</w:t>
            </w:r>
          </w:p>
        </w:tc>
        <w:tc>
          <w:tcPr>
            <w:tcW w:w="923" w:type="pct"/>
            <w:vAlign w:val="center"/>
          </w:tcPr>
          <w:p w14:paraId="2BA3BA3F"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w:t>
            </w:r>
          </w:p>
        </w:tc>
        <w:tc>
          <w:tcPr>
            <w:tcW w:w="923" w:type="pct"/>
            <w:vAlign w:val="center"/>
          </w:tcPr>
          <w:p w14:paraId="432CDF20"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103</w:t>
            </w:r>
          </w:p>
        </w:tc>
        <w:tc>
          <w:tcPr>
            <w:tcW w:w="1000" w:type="pct"/>
            <w:vAlign w:val="center"/>
          </w:tcPr>
          <w:p w14:paraId="2B78991B"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2.0</w:t>
            </w:r>
          </w:p>
        </w:tc>
      </w:tr>
      <w:tr w:rsidR="00DC5685" w:rsidRPr="00A34F10" w14:paraId="0B0C1AB6" w14:textId="77777777" w:rsidTr="000470C3">
        <w:trPr>
          <w:trHeight w:val="283"/>
        </w:trPr>
        <w:tc>
          <w:tcPr>
            <w:tcW w:w="923" w:type="pct"/>
            <w:vMerge w:val="restart"/>
            <w:vAlign w:val="center"/>
          </w:tcPr>
          <w:p w14:paraId="4156E1B9" w14:textId="77777777" w:rsidR="00DC5685" w:rsidRPr="00A34F10" w:rsidRDefault="00DC5685" w:rsidP="00DC5685">
            <w:pPr>
              <w:tabs>
                <w:tab w:val="left" w:pos="720"/>
                <w:tab w:val="left" w:pos="5036"/>
              </w:tabs>
              <w:spacing w:before="20" w:after="20"/>
              <w:rPr>
                <w:sz w:val="20"/>
                <w:szCs w:val="20"/>
                <w:highlight w:val="yellow"/>
                <w:lang w:val="en-GB" w:eastAsia="zh-CN"/>
              </w:rPr>
            </w:pPr>
            <w:r w:rsidRPr="00A34F10">
              <w:rPr>
                <w:sz w:val="20"/>
                <w:szCs w:val="20"/>
              </w:rPr>
              <w:t>Propamocarb</w:t>
            </w:r>
          </w:p>
        </w:tc>
        <w:tc>
          <w:tcPr>
            <w:tcW w:w="769" w:type="pct"/>
            <w:vAlign w:val="center"/>
          </w:tcPr>
          <w:p w14:paraId="3D1E445C"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Control</w:t>
            </w:r>
          </w:p>
        </w:tc>
        <w:tc>
          <w:tcPr>
            <w:tcW w:w="462" w:type="pct"/>
            <w:vAlign w:val="center"/>
          </w:tcPr>
          <w:p w14:paraId="4D314235"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2</w:t>
            </w:r>
          </w:p>
        </w:tc>
        <w:tc>
          <w:tcPr>
            <w:tcW w:w="923" w:type="pct"/>
            <w:vAlign w:val="center"/>
          </w:tcPr>
          <w:p w14:paraId="75C5BB59"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&lt;LOD</w:t>
            </w:r>
          </w:p>
        </w:tc>
        <w:tc>
          <w:tcPr>
            <w:tcW w:w="923" w:type="pct"/>
            <w:vAlign w:val="center"/>
          </w:tcPr>
          <w:p w14:paraId="3DB14C34"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w:t>
            </w:r>
          </w:p>
        </w:tc>
        <w:tc>
          <w:tcPr>
            <w:tcW w:w="1000" w:type="pct"/>
            <w:vAlign w:val="center"/>
          </w:tcPr>
          <w:p w14:paraId="55C53EEE" w14:textId="77777777" w:rsidR="00DC5685" w:rsidRPr="00A34F10" w:rsidRDefault="00DC5685" w:rsidP="00DC5685">
            <w:pPr>
              <w:tabs>
                <w:tab w:val="left" w:pos="720"/>
                <w:tab w:val="left" w:pos="5036"/>
              </w:tabs>
              <w:kinsoku w:val="0"/>
              <w:overflowPunct w:val="0"/>
              <w:spacing w:before="20" w:after="20"/>
              <w:rPr>
                <w:bCs/>
                <w:sz w:val="20"/>
                <w:szCs w:val="20"/>
                <w:highlight w:val="yellow"/>
                <w:lang w:eastAsia="zh-CN"/>
              </w:rPr>
            </w:pPr>
            <w:r w:rsidRPr="00A34F10">
              <w:rPr>
                <w:bCs/>
                <w:sz w:val="20"/>
                <w:szCs w:val="20"/>
              </w:rPr>
              <w:t>-</w:t>
            </w:r>
          </w:p>
        </w:tc>
      </w:tr>
      <w:tr w:rsidR="00DC5685" w:rsidRPr="00A34F10" w14:paraId="2E500729" w14:textId="77777777" w:rsidTr="000470C3">
        <w:trPr>
          <w:trHeight w:val="454"/>
        </w:trPr>
        <w:tc>
          <w:tcPr>
            <w:tcW w:w="923" w:type="pct"/>
            <w:vMerge/>
            <w:vAlign w:val="center"/>
          </w:tcPr>
          <w:p w14:paraId="6A698152" w14:textId="77777777" w:rsidR="00DC5685" w:rsidRPr="00A34F10" w:rsidRDefault="00DC5685" w:rsidP="00DC5685">
            <w:pPr>
              <w:tabs>
                <w:tab w:val="left" w:pos="720"/>
                <w:tab w:val="left" w:pos="5036"/>
              </w:tabs>
              <w:spacing w:before="20" w:after="20"/>
              <w:rPr>
                <w:sz w:val="20"/>
                <w:szCs w:val="20"/>
                <w:highlight w:val="yellow"/>
                <w:lang w:eastAsia="zh-CN"/>
              </w:rPr>
            </w:pPr>
          </w:p>
        </w:tc>
        <w:tc>
          <w:tcPr>
            <w:tcW w:w="769" w:type="pct"/>
            <w:vAlign w:val="center"/>
          </w:tcPr>
          <w:p w14:paraId="6C931262"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0.427</w:t>
            </w:r>
          </w:p>
        </w:tc>
        <w:tc>
          <w:tcPr>
            <w:tcW w:w="462" w:type="pct"/>
            <w:vAlign w:val="center"/>
          </w:tcPr>
          <w:p w14:paraId="61353382"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5</w:t>
            </w:r>
          </w:p>
        </w:tc>
        <w:tc>
          <w:tcPr>
            <w:tcW w:w="923" w:type="pct"/>
            <w:vAlign w:val="center"/>
          </w:tcPr>
          <w:p w14:paraId="5105F072"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105, 107, 108, 110, 107</w:t>
            </w:r>
          </w:p>
        </w:tc>
        <w:tc>
          <w:tcPr>
            <w:tcW w:w="923" w:type="pct"/>
            <w:vAlign w:val="center"/>
          </w:tcPr>
          <w:p w14:paraId="6BE626AB"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107</w:t>
            </w:r>
          </w:p>
        </w:tc>
        <w:tc>
          <w:tcPr>
            <w:tcW w:w="1000" w:type="pct"/>
            <w:vAlign w:val="center"/>
          </w:tcPr>
          <w:p w14:paraId="7766657B" w14:textId="77777777" w:rsidR="00DC5685" w:rsidRPr="00A34F10" w:rsidRDefault="00DC5685" w:rsidP="00DC5685">
            <w:pPr>
              <w:tabs>
                <w:tab w:val="left" w:pos="720"/>
                <w:tab w:val="left" w:pos="5036"/>
              </w:tabs>
              <w:kinsoku w:val="0"/>
              <w:overflowPunct w:val="0"/>
              <w:spacing w:before="20" w:after="20"/>
              <w:rPr>
                <w:bCs/>
                <w:sz w:val="20"/>
                <w:szCs w:val="20"/>
                <w:highlight w:val="yellow"/>
                <w:lang w:eastAsia="zh-CN"/>
              </w:rPr>
            </w:pPr>
            <w:r w:rsidRPr="00A34F10">
              <w:rPr>
                <w:bCs/>
                <w:sz w:val="20"/>
                <w:szCs w:val="20"/>
              </w:rPr>
              <w:t>2</w:t>
            </w:r>
          </w:p>
        </w:tc>
      </w:tr>
      <w:tr w:rsidR="00DC5685" w:rsidRPr="00A34F10" w14:paraId="574C69A6" w14:textId="77777777" w:rsidTr="000470C3">
        <w:trPr>
          <w:trHeight w:val="454"/>
        </w:trPr>
        <w:tc>
          <w:tcPr>
            <w:tcW w:w="923" w:type="pct"/>
            <w:vMerge/>
            <w:vAlign w:val="center"/>
          </w:tcPr>
          <w:p w14:paraId="4F2F83E3" w14:textId="77777777" w:rsidR="00DC5685" w:rsidRPr="00A34F10" w:rsidRDefault="00DC5685" w:rsidP="00DC5685">
            <w:pPr>
              <w:tabs>
                <w:tab w:val="left" w:pos="720"/>
                <w:tab w:val="left" w:pos="5036"/>
              </w:tabs>
              <w:spacing w:before="20" w:after="20"/>
              <w:rPr>
                <w:sz w:val="20"/>
                <w:szCs w:val="20"/>
                <w:highlight w:val="yellow"/>
                <w:lang w:eastAsia="zh-CN"/>
              </w:rPr>
            </w:pPr>
          </w:p>
        </w:tc>
        <w:tc>
          <w:tcPr>
            <w:tcW w:w="769" w:type="pct"/>
            <w:vAlign w:val="center"/>
          </w:tcPr>
          <w:p w14:paraId="6CE38D0E"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130</w:t>
            </w:r>
          </w:p>
        </w:tc>
        <w:tc>
          <w:tcPr>
            <w:tcW w:w="462" w:type="pct"/>
            <w:vAlign w:val="center"/>
          </w:tcPr>
          <w:p w14:paraId="70A73A02"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5</w:t>
            </w:r>
          </w:p>
        </w:tc>
        <w:tc>
          <w:tcPr>
            <w:tcW w:w="923" w:type="pct"/>
            <w:vAlign w:val="center"/>
          </w:tcPr>
          <w:p w14:paraId="5A695C88"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105, 107, 105, 102, 103</w:t>
            </w:r>
          </w:p>
        </w:tc>
        <w:tc>
          <w:tcPr>
            <w:tcW w:w="923" w:type="pct"/>
            <w:vAlign w:val="center"/>
          </w:tcPr>
          <w:p w14:paraId="170FA659"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104</w:t>
            </w:r>
          </w:p>
        </w:tc>
        <w:tc>
          <w:tcPr>
            <w:tcW w:w="1000" w:type="pct"/>
            <w:vAlign w:val="center"/>
          </w:tcPr>
          <w:p w14:paraId="4E6D6F1C"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2</w:t>
            </w:r>
          </w:p>
        </w:tc>
      </w:tr>
      <w:tr w:rsidR="00DC5685" w:rsidRPr="00A34F10" w14:paraId="22011A7F" w14:textId="77777777" w:rsidTr="000470C3">
        <w:trPr>
          <w:trHeight w:val="284"/>
        </w:trPr>
        <w:tc>
          <w:tcPr>
            <w:tcW w:w="923" w:type="pct"/>
            <w:vMerge/>
            <w:vAlign w:val="center"/>
          </w:tcPr>
          <w:p w14:paraId="297DF566" w14:textId="77777777" w:rsidR="00DC5685" w:rsidRPr="00A34F10" w:rsidRDefault="00DC5685" w:rsidP="00DC5685">
            <w:pPr>
              <w:tabs>
                <w:tab w:val="left" w:pos="720"/>
                <w:tab w:val="left" w:pos="5036"/>
              </w:tabs>
              <w:spacing w:before="20" w:after="20"/>
              <w:rPr>
                <w:sz w:val="20"/>
                <w:szCs w:val="20"/>
                <w:highlight w:val="yellow"/>
                <w:lang w:eastAsia="zh-CN"/>
              </w:rPr>
            </w:pPr>
          </w:p>
        </w:tc>
        <w:tc>
          <w:tcPr>
            <w:tcW w:w="769" w:type="pct"/>
            <w:vAlign w:val="center"/>
          </w:tcPr>
          <w:p w14:paraId="603C19B4"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Overall</w:t>
            </w:r>
          </w:p>
        </w:tc>
        <w:tc>
          <w:tcPr>
            <w:tcW w:w="462" w:type="pct"/>
            <w:vAlign w:val="center"/>
          </w:tcPr>
          <w:p w14:paraId="7CB2EB73"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17</w:t>
            </w:r>
          </w:p>
        </w:tc>
        <w:tc>
          <w:tcPr>
            <w:tcW w:w="923" w:type="pct"/>
            <w:vAlign w:val="center"/>
          </w:tcPr>
          <w:p w14:paraId="76FF8B8B"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pacing w:val="-1"/>
                <w:sz w:val="20"/>
                <w:szCs w:val="20"/>
              </w:rPr>
              <w:t>-</w:t>
            </w:r>
          </w:p>
        </w:tc>
        <w:tc>
          <w:tcPr>
            <w:tcW w:w="923" w:type="pct"/>
            <w:vAlign w:val="center"/>
          </w:tcPr>
          <w:p w14:paraId="44993B92"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106</w:t>
            </w:r>
          </w:p>
        </w:tc>
        <w:tc>
          <w:tcPr>
            <w:tcW w:w="1000" w:type="pct"/>
            <w:vAlign w:val="center"/>
          </w:tcPr>
          <w:p w14:paraId="458F356B" w14:textId="77777777" w:rsidR="00DC5685" w:rsidRPr="00A34F10" w:rsidRDefault="00DC5685" w:rsidP="00DC5685">
            <w:pPr>
              <w:tabs>
                <w:tab w:val="left" w:pos="720"/>
                <w:tab w:val="left" w:pos="5036"/>
              </w:tabs>
              <w:spacing w:before="20" w:after="20"/>
              <w:rPr>
                <w:bCs/>
                <w:sz w:val="20"/>
                <w:szCs w:val="20"/>
                <w:highlight w:val="yellow"/>
                <w:lang w:eastAsia="zh-CN"/>
              </w:rPr>
            </w:pPr>
            <w:r w:rsidRPr="00A34F10">
              <w:rPr>
                <w:bCs/>
                <w:sz w:val="20"/>
                <w:szCs w:val="20"/>
              </w:rPr>
              <w:t>2</w:t>
            </w:r>
          </w:p>
        </w:tc>
      </w:tr>
    </w:tbl>
    <w:p w14:paraId="2049AD2D" w14:textId="77777777" w:rsidR="003952ED" w:rsidRPr="00A34F10" w:rsidRDefault="003952ED" w:rsidP="00DC5685">
      <w:pPr>
        <w:widowControl w:val="0"/>
        <w:tabs>
          <w:tab w:val="left" w:pos="720"/>
        </w:tabs>
        <w:spacing w:after="240"/>
        <w:jc w:val="both"/>
        <w:rPr>
          <w:highlight w:val="yellow"/>
          <w:lang w:val="en-GB"/>
        </w:rPr>
      </w:pPr>
    </w:p>
    <w:p w14:paraId="170C1439" w14:textId="77777777" w:rsidR="00DC5685" w:rsidRPr="00A34F10" w:rsidRDefault="00DC5685" w:rsidP="00E05ECD">
      <w:pPr>
        <w:numPr>
          <w:ilvl w:val="0"/>
          <w:numId w:val="28"/>
        </w:numPr>
        <w:tabs>
          <w:tab w:val="left" w:pos="720"/>
        </w:tabs>
        <w:spacing w:after="240"/>
        <w:jc w:val="center"/>
        <w:rPr>
          <w:b/>
          <w:bCs/>
          <w:caps/>
          <w:szCs w:val="24"/>
          <w:lang w:val="en-GB"/>
        </w:rPr>
      </w:pPr>
      <w:r w:rsidRPr="00A34F10">
        <w:rPr>
          <w:b/>
          <w:bCs/>
          <w:caps/>
          <w:szCs w:val="24"/>
          <w:lang w:val="en-GB"/>
        </w:rPr>
        <w:t>Results and Discussion</w:t>
      </w:r>
    </w:p>
    <w:p w14:paraId="45709537" w14:textId="77777777" w:rsidR="00DC5685" w:rsidRPr="00A34F10" w:rsidRDefault="00DC5685" w:rsidP="00E05ECD">
      <w:pPr>
        <w:numPr>
          <w:ilvl w:val="0"/>
          <w:numId w:val="40"/>
        </w:numPr>
        <w:ind w:left="357" w:hanging="357"/>
        <w:contextualSpacing/>
        <w:rPr>
          <w:b/>
          <w:bCs/>
          <w:caps/>
          <w:szCs w:val="24"/>
          <w:lang w:val="en-GB"/>
        </w:rPr>
      </w:pPr>
      <w:r w:rsidRPr="00A34F10">
        <w:rPr>
          <w:b/>
          <w:bCs/>
          <w:caps/>
          <w:szCs w:val="24"/>
          <w:lang w:val="en-GB"/>
        </w:rPr>
        <w:t>ANALYTICAL RESULTS</w:t>
      </w:r>
    </w:p>
    <w:p w14:paraId="0B1935E7" w14:textId="77777777" w:rsidR="00DC5685" w:rsidRPr="00A34F10" w:rsidRDefault="00DC5685" w:rsidP="00DC5685">
      <w:pPr>
        <w:ind w:left="284"/>
        <w:contextualSpacing/>
        <w:rPr>
          <w:b/>
          <w:bCs/>
          <w:caps/>
          <w:szCs w:val="24"/>
          <w:lang w:val="en-GB"/>
        </w:rPr>
      </w:pPr>
    </w:p>
    <w:p w14:paraId="72973A58" w14:textId="5DC23B4C" w:rsidR="003952ED" w:rsidRPr="00A34F10" w:rsidRDefault="00DC5685" w:rsidP="00DC5685">
      <w:pPr>
        <w:spacing w:after="240"/>
        <w:jc w:val="both"/>
        <w:rPr>
          <w:lang w:val="en-GB"/>
        </w:rPr>
      </w:pPr>
      <w:r w:rsidRPr="00A34F10">
        <w:t xml:space="preserve">The content of both active substances propamocarb and ametoctradin in test solutions was analytically determined to confirm the correct application of the test item BAS 743 02 F. The measured content of ametoctradin was between 99 % and 104 % of nominal at test start and between 38 % and 53 % of nominal at the end of exposure in the respective test concentrations. The measured content of propamocarb was between 100 % and 103 % of nominal at test start and between 100 % and 108 % of nominal at the end of exposure in the respective test concentrations. Since the measured concentrations of BAS 743 02 F in aged test solutions were not between 80 and 120 % of nominal concentration, the biological endpoints were evaluated using the nominal concentrations and the mean measured concentrations of the test item (based on the geometric mean of fresh and aged measured concentrations of BAS 740 02 F). </w:t>
      </w:r>
      <w:r w:rsidRPr="00A34F10">
        <w:rPr>
          <w:lang w:val="en-GB"/>
        </w:rPr>
        <w:t>The analytical results are presented in the following tables.</w:t>
      </w:r>
    </w:p>
    <w:p w14:paraId="32EA3363" w14:textId="77777777" w:rsidR="003952ED" w:rsidRPr="00A34F10" w:rsidRDefault="003952ED" w:rsidP="003952ED">
      <w:pPr>
        <w:rPr>
          <w:lang w:val="en-GB"/>
        </w:rPr>
      </w:pPr>
      <w:r w:rsidRPr="00A34F10">
        <w:rPr>
          <w:lang w:val="en-GB"/>
        </w:rPr>
        <w:br w:type="page"/>
      </w:r>
    </w:p>
    <w:p w14:paraId="5D891205" w14:textId="50F6CD3A" w:rsidR="00DC5685" w:rsidRPr="00A34F10" w:rsidRDefault="00EA3876" w:rsidP="00EA3876">
      <w:pPr>
        <w:pStyle w:val="Legenda"/>
      </w:pPr>
      <w:r>
        <w:lastRenderedPageBreak/>
        <w:t xml:space="preserve">Table A </w:t>
      </w:r>
      <w:r>
        <w:fldChar w:fldCharType="begin"/>
      </w:r>
      <w:r>
        <w:instrText xml:space="preserve"> SEQ Table_A \* ARABIC </w:instrText>
      </w:r>
      <w:r>
        <w:fldChar w:fldCharType="separate"/>
      </w:r>
      <w:r w:rsidR="006F0F3B">
        <w:rPr>
          <w:noProof/>
        </w:rPr>
        <w:t>9</w:t>
      </w:r>
      <w:r>
        <w:fldChar w:fldCharType="end"/>
      </w:r>
      <w:r w:rsidR="003952ED" w:rsidRPr="00A34F10">
        <w:t>:</w:t>
      </w:r>
      <w:r w:rsidR="00DC5685" w:rsidRPr="00A34F10">
        <w:tab/>
        <w:t>Measured concentrations of propamocarb</w:t>
      </w:r>
      <w:r w:rsidR="00DC5685" w:rsidRPr="00A34F10">
        <w:rPr>
          <w:lang w:val="x-none"/>
        </w:rPr>
        <w:t xml:space="preserve"> in </w:t>
      </w:r>
      <w:r w:rsidR="00DC5685" w:rsidRPr="00A34F10">
        <w:t>test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77"/>
        <w:gridCol w:w="1198"/>
        <w:gridCol w:w="2286"/>
        <w:gridCol w:w="2872"/>
        <w:gridCol w:w="811"/>
      </w:tblGrid>
      <w:tr w:rsidR="00DC5685" w:rsidRPr="00A34F10" w14:paraId="6D359CAC" w14:textId="77777777" w:rsidTr="000470C3">
        <w:trPr>
          <w:trHeight w:hRule="exact" w:val="559"/>
        </w:trPr>
        <w:tc>
          <w:tcPr>
            <w:tcW w:w="1165" w:type="pct"/>
            <w:vAlign w:val="center"/>
          </w:tcPr>
          <w:p w14:paraId="6E852FCB"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color w:val="000000"/>
                <w:sz w:val="20"/>
                <w:szCs w:val="20"/>
              </w:rPr>
              <w:t>Test item [mg product/L]</w:t>
            </w:r>
          </w:p>
        </w:tc>
        <w:tc>
          <w:tcPr>
            <w:tcW w:w="641" w:type="pct"/>
            <w:vAlign w:val="center"/>
          </w:tcPr>
          <w:p w14:paraId="068760C2"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bCs/>
                <w:sz w:val="20"/>
                <w:szCs w:val="20"/>
                <w:lang w:val="en-GB"/>
              </w:rPr>
              <w:t xml:space="preserve">Timepoint </w:t>
            </w:r>
          </w:p>
        </w:tc>
        <w:tc>
          <w:tcPr>
            <w:tcW w:w="1223" w:type="pct"/>
            <w:vAlign w:val="center"/>
          </w:tcPr>
          <w:p w14:paraId="12979612"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bCs/>
                <w:sz w:val="20"/>
                <w:szCs w:val="20"/>
                <w:lang w:val="en-GB"/>
              </w:rPr>
              <w:t>Nominal Concentration</w:t>
            </w:r>
            <w:r w:rsidRPr="00A34F10">
              <w:rPr>
                <w:b/>
                <w:bCs/>
                <w:sz w:val="20"/>
                <w:szCs w:val="20"/>
                <w:lang w:val="en-GB"/>
              </w:rPr>
              <w:br/>
              <w:t>[mg a.s./L]</w:t>
            </w:r>
          </w:p>
        </w:tc>
        <w:tc>
          <w:tcPr>
            <w:tcW w:w="1537" w:type="pct"/>
            <w:vAlign w:val="center"/>
          </w:tcPr>
          <w:p w14:paraId="5C64EEBA"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bCs/>
                <w:sz w:val="20"/>
                <w:szCs w:val="20"/>
                <w:lang w:val="en-GB"/>
              </w:rPr>
              <w:t xml:space="preserve">Measured Concentration </w:t>
            </w:r>
          </w:p>
          <w:p w14:paraId="27274CA2"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bCs/>
                <w:sz w:val="20"/>
                <w:szCs w:val="20"/>
                <w:lang w:val="en-GB"/>
              </w:rPr>
              <w:t>[mg a.s./L]</w:t>
            </w:r>
          </w:p>
        </w:tc>
        <w:tc>
          <w:tcPr>
            <w:tcW w:w="434" w:type="pct"/>
            <w:vAlign w:val="center"/>
          </w:tcPr>
          <w:p w14:paraId="29B3AE62" w14:textId="77777777" w:rsidR="00DC5685" w:rsidRPr="00A34F10" w:rsidRDefault="00DC5685" w:rsidP="00DC5685">
            <w:pPr>
              <w:keepNext/>
              <w:keepLines/>
              <w:tabs>
                <w:tab w:val="left" w:pos="720"/>
              </w:tabs>
              <w:spacing w:beforeLines="20" w:before="48" w:afterLines="20" w:after="48"/>
              <w:jc w:val="center"/>
              <w:rPr>
                <w:b/>
                <w:bCs/>
                <w:sz w:val="20"/>
                <w:szCs w:val="20"/>
                <w:lang w:val="en-GB"/>
              </w:rPr>
            </w:pPr>
            <w:r w:rsidRPr="00A34F10">
              <w:rPr>
                <w:b/>
                <w:bCs/>
                <w:sz w:val="20"/>
                <w:szCs w:val="20"/>
                <w:lang w:val="en-GB"/>
              </w:rPr>
              <w:t>Recovery</w:t>
            </w:r>
            <w:r w:rsidRPr="00A34F10">
              <w:rPr>
                <w:b/>
                <w:bCs/>
                <w:sz w:val="20"/>
                <w:szCs w:val="20"/>
                <w:lang w:val="en-GB"/>
              </w:rPr>
              <w:br/>
              <w:t>[%]</w:t>
            </w:r>
          </w:p>
        </w:tc>
      </w:tr>
      <w:tr w:rsidR="00DC5685" w:rsidRPr="00A34F10" w14:paraId="5785C522" w14:textId="77777777" w:rsidTr="000470C3">
        <w:trPr>
          <w:trHeight w:val="284"/>
        </w:trPr>
        <w:tc>
          <w:tcPr>
            <w:tcW w:w="1165" w:type="pct"/>
            <w:vMerge w:val="restart"/>
            <w:vAlign w:val="center"/>
          </w:tcPr>
          <w:p w14:paraId="3CC85FBB"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r w:rsidRPr="00A34F10">
              <w:rPr>
                <w:color w:val="000000"/>
                <w:sz w:val="20"/>
                <w:szCs w:val="20"/>
                <w:lang w:val="en-GB"/>
              </w:rPr>
              <w:t>Control</w:t>
            </w:r>
          </w:p>
        </w:tc>
        <w:tc>
          <w:tcPr>
            <w:tcW w:w="641" w:type="pct"/>
            <w:vAlign w:val="center"/>
          </w:tcPr>
          <w:p w14:paraId="6E0D5C7A"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11A1A278"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0.0</w:t>
            </w:r>
          </w:p>
        </w:tc>
        <w:tc>
          <w:tcPr>
            <w:tcW w:w="1537" w:type="pct"/>
            <w:vAlign w:val="center"/>
          </w:tcPr>
          <w:p w14:paraId="00E289A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&lt;LOD</w:t>
            </w:r>
          </w:p>
        </w:tc>
        <w:tc>
          <w:tcPr>
            <w:tcW w:w="434" w:type="pct"/>
            <w:vAlign w:val="center"/>
          </w:tcPr>
          <w:p w14:paraId="0DC8482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w:t>
            </w:r>
          </w:p>
        </w:tc>
      </w:tr>
      <w:tr w:rsidR="00DC5685" w:rsidRPr="00A34F10" w14:paraId="1E540995" w14:textId="77777777" w:rsidTr="000470C3">
        <w:trPr>
          <w:trHeight w:val="284"/>
        </w:trPr>
        <w:tc>
          <w:tcPr>
            <w:tcW w:w="1165" w:type="pct"/>
            <w:vMerge/>
            <w:vAlign w:val="center"/>
          </w:tcPr>
          <w:p w14:paraId="41E88613"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106C6B76"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2A633834"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0.0</w:t>
            </w:r>
          </w:p>
        </w:tc>
        <w:tc>
          <w:tcPr>
            <w:tcW w:w="1537" w:type="pct"/>
            <w:vAlign w:val="center"/>
          </w:tcPr>
          <w:p w14:paraId="3B6FEE6B"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&lt;LOD</w:t>
            </w:r>
          </w:p>
        </w:tc>
        <w:tc>
          <w:tcPr>
            <w:tcW w:w="434" w:type="pct"/>
            <w:vAlign w:val="center"/>
          </w:tcPr>
          <w:p w14:paraId="501A5C4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w:t>
            </w:r>
          </w:p>
        </w:tc>
      </w:tr>
      <w:tr w:rsidR="00DC5685" w:rsidRPr="00A34F10" w14:paraId="216A0AB9" w14:textId="77777777" w:rsidTr="000470C3">
        <w:trPr>
          <w:trHeight w:val="284"/>
        </w:trPr>
        <w:tc>
          <w:tcPr>
            <w:tcW w:w="1165" w:type="pct"/>
            <w:vMerge/>
            <w:vAlign w:val="center"/>
          </w:tcPr>
          <w:p w14:paraId="19006C87"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405030E3"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fresh</w:t>
            </w:r>
          </w:p>
        </w:tc>
        <w:tc>
          <w:tcPr>
            <w:tcW w:w="1223" w:type="pct"/>
            <w:vAlign w:val="center"/>
          </w:tcPr>
          <w:p w14:paraId="5F7056FE"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0.0</w:t>
            </w:r>
          </w:p>
        </w:tc>
        <w:tc>
          <w:tcPr>
            <w:tcW w:w="1537" w:type="pct"/>
            <w:vAlign w:val="center"/>
          </w:tcPr>
          <w:p w14:paraId="73C64901"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&lt;LOD</w:t>
            </w:r>
          </w:p>
        </w:tc>
        <w:tc>
          <w:tcPr>
            <w:tcW w:w="434" w:type="pct"/>
            <w:vAlign w:val="center"/>
          </w:tcPr>
          <w:p w14:paraId="18EB997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w:t>
            </w:r>
          </w:p>
        </w:tc>
      </w:tr>
      <w:tr w:rsidR="00DC5685" w:rsidRPr="00A34F10" w14:paraId="188D0229" w14:textId="77777777" w:rsidTr="000470C3">
        <w:trPr>
          <w:trHeight w:val="284"/>
        </w:trPr>
        <w:tc>
          <w:tcPr>
            <w:tcW w:w="1165" w:type="pct"/>
            <w:vMerge/>
            <w:vAlign w:val="center"/>
          </w:tcPr>
          <w:p w14:paraId="7C2A150C"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7576764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5CA3700E"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0.0</w:t>
            </w:r>
          </w:p>
        </w:tc>
        <w:tc>
          <w:tcPr>
            <w:tcW w:w="1537" w:type="pct"/>
            <w:vAlign w:val="center"/>
          </w:tcPr>
          <w:p w14:paraId="050EBE34"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&lt;LOD</w:t>
            </w:r>
          </w:p>
        </w:tc>
        <w:tc>
          <w:tcPr>
            <w:tcW w:w="434" w:type="pct"/>
            <w:vAlign w:val="center"/>
          </w:tcPr>
          <w:p w14:paraId="21A380B2"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w:t>
            </w:r>
          </w:p>
        </w:tc>
      </w:tr>
      <w:tr w:rsidR="00DC5685" w:rsidRPr="00A34F10" w14:paraId="747F4216" w14:textId="77777777" w:rsidTr="000470C3">
        <w:trPr>
          <w:trHeight w:val="284"/>
        </w:trPr>
        <w:tc>
          <w:tcPr>
            <w:tcW w:w="1165" w:type="pct"/>
            <w:vMerge w:val="restart"/>
            <w:vAlign w:val="center"/>
          </w:tcPr>
          <w:p w14:paraId="74989C08" w14:textId="77777777" w:rsidR="00DC5685" w:rsidRPr="00A34F10" w:rsidRDefault="00DC5685" w:rsidP="00DC5685">
            <w:pPr>
              <w:spacing w:beforeLines="20" w:before="48" w:afterLines="20" w:after="48"/>
              <w:jc w:val="center"/>
              <w:rPr>
                <w:color w:val="000000"/>
                <w:sz w:val="20"/>
                <w:szCs w:val="20"/>
                <w:lang w:val="en-GB"/>
              </w:rPr>
            </w:pPr>
            <w:r w:rsidRPr="00A34F10">
              <w:rPr>
                <w:color w:val="000000"/>
                <w:sz w:val="20"/>
                <w:szCs w:val="20"/>
                <w:lang w:val="en-GB"/>
              </w:rPr>
              <w:t>4.</w:t>
            </w:r>
            <w:r w:rsidRPr="00A34F10">
              <w:rPr>
                <w:sz w:val="20"/>
                <w:szCs w:val="20"/>
              </w:rPr>
              <w:t>27</w:t>
            </w:r>
          </w:p>
        </w:tc>
        <w:tc>
          <w:tcPr>
            <w:tcW w:w="641" w:type="pct"/>
            <w:vAlign w:val="center"/>
          </w:tcPr>
          <w:p w14:paraId="1DA6E781"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270BF870"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1.70</w:t>
            </w:r>
          </w:p>
        </w:tc>
        <w:tc>
          <w:tcPr>
            <w:tcW w:w="1537" w:type="pct"/>
            <w:vAlign w:val="center"/>
          </w:tcPr>
          <w:p w14:paraId="1146997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1.75</w:t>
            </w:r>
          </w:p>
        </w:tc>
        <w:tc>
          <w:tcPr>
            <w:tcW w:w="434" w:type="pct"/>
            <w:vAlign w:val="center"/>
          </w:tcPr>
          <w:p w14:paraId="5C7AF7BF"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103</w:t>
            </w:r>
          </w:p>
        </w:tc>
      </w:tr>
      <w:tr w:rsidR="00DC5685" w:rsidRPr="00A34F10" w14:paraId="3B2931F7" w14:textId="77777777" w:rsidTr="000470C3">
        <w:trPr>
          <w:trHeight w:val="284"/>
        </w:trPr>
        <w:tc>
          <w:tcPr>
            <w:tcW w:w="1165" w:type="pct"/>
            <w:vMerge/>
            <w:vAlign w:val="center"/>
          </w:tcPr>
          <w:p w14:paraId="51172ED1"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016BE644"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236D661E"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1.70</w:t>
            </w:r>
          </w:p>
        </w:tc>
        <w:tc>
          <w:tcPr>
            <w:tcW w:w="1537" w:type="pct"/>
            <w:vAlign w:val="center"/>
          </w:tcPr>
          <w:p w14:paraId="36F35535"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1.71</w:t>
            </w:r>
          </w:p>
        </w:tc>
        <w:tc>
          <w:tcPr>
            <w:tcW w:w="434" w:type="pct"/>
            <w:vAlign w:val="center"/>
          </w:tcPr>
          <w:p w14:paraId="30189C1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101</w:t>
            </w:r>
          </w:p>
        </w:tc>
      </w:tr>
      <w:tr w:rsidR="00DC5685" w:rsidRPr="00A34F10" w14:paraId="35F49C37" w14:textId="77777777" w:rsidTr="000470C3">
        <w:trPr>
          <w:trHeight w:val="284"/>
        </w:trPr>
        <w:tc>
          <w:tcPr>
            <w:tcW w:w="1165" w:type="pct"/>
            <w:vMerge/>
            <w:vAlign w:val="center"/>
          </w:tcPr>
          <w:p w14:paraId="366EA420"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4D9B3FD5"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fresh</w:t>
            </w:r>
          </w:p>
        </w:tc>
        <w:tc>
          <w:tcPr>
            <w:tcW w:w="1223" w:type="pct"/>
            <w:vAlign w:val="center"/>
          </w:tcPr>
          <w:p w14:paraId="57ECB0E9"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1.70</w:t>
            </w:r>
          </w:p>
        </w:tc>
        <w:tc>
          <w:tcPr>
            <w:tcW w:w="1537" w:type="pct"/>
            <w:vAlign w:val="center"/>
          </w:tcPr>
          <w:p w14:paraId="2E4BAF04"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1.80</w:t>
            </w:r>
          </w:p>
        </w:tc>
        <w:tc>
          <w:tcPr>
            <w:tcW w:w="434" w:type="pct"/>
            <w:vAlign w:val="center"/>
          </w:tcPr>
          <w:p w14:paraId="2885F42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106</w:t>
            </w:r>
          </w:p>
        </w:tc>
      </w:tr>
      <w:tr w:rsidR="00DC5685" w:rsidRPr="00A34F10" w14:paraId="2AD4C90F" w14:textId="77777777" w:rsidTr="000470C3">
        <w:trPr>
          <w:trHeight w:val="284"/>
        </w:trPr>
        <w:tc>
          <w:tcPr>
            <w:tcW w:w="1165" w:type="pct"/>
            <w:vMerge/>
            <w:vAlign w:val="center"/>
          </w:tcPr>
          <w:p w14:paraId="0419C339"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6B6321F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551C07A1"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1.70</w:t>
            </w:r>
          </w:p>
        </w:tc>
        <w:tc>
          <w:tcPr>
            <w:tcW w:w="1537" w:type="pct"/>
            <w:vAlign w:val="center"/>
          </w:tcPr>
          <w:p w14:paraId="2F5D9D28"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1.78</w:t>
            </w:r>
          </w:p>
        </w:tc>
        <w:tc>
          <w:tcPr>
            <w:tcW w:w="434" w:type="pct"/>
            <w:vAlign w:val="center"/>
          </w:tcPr>
          <w:p w14:paraId="3562D01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105</w:t>
            </w:r>
          </w:p>
        </w:tc>
      </w:tr>
      <w:tr w:rsidR="00DC5685" w:rsidRPr="00A34F10" w14:paraId="69F3F1F6" w14:textId="77777777" w:rsidTr="000470C3">
        <w:trPr>
          <w:trHeight w:val="284"/>
        </w:trPr>
        <w:tc>
          <w:tcPr>
            <w:tcW w:w="1165" w:type="pct"/>
            <w:vMerge w:val="restart"/>
            <w:vAlign w:val="center"/>
          </w:tcPr>
          <w:p w14:paraId="403216B9" w14:textId="77777777" w:rsidR="00DC5685" w:rsidRPr="00A34F10" w:rsidRDefault="00DC5685" w:rsidP="00DC5685">
            <w:pPr>
              <w:spacing w:beforeLines="20" w:before="48" w:afterLines="20" w:after="48"/>
              <w:jc w:val="center"/>
              <w:rPr>
                <w:color w:val="000000"/>
                <w:sz w:val="20"/>
                <w:szCs w:val="20"/>
                <w:lang w:val="en-GB"/>
              </w:rPr>
            </w:pPr>
            <w:r w:rsidRPr="00A34F10">
              <w:rPr>
                <w:color w:val="000000"/>
                <w:sz w:val="20"/>
                <w:szCs w:val="20"/>
                <w:lang w:val="en-GB"/>
              </w:rPr>
              <w:t>9.</w:t>
            </w:r>
            <w:r w:rsidRPr="00A34F10">
              <w:rPr>
                <w:sz w:val="20"/>
                <w:szCs w:val="20"/>
              </w:rPr>
              <w:t>39</w:t>
            </w:r>
          </w:p>
        </w:tc>
        <w:tc>
          <w:tcPr>
            <w:tcW w:w="641" w:type="pct"/>
            <w:vAlign w:val="center"/>
          </w:tcPr>
          <w:p w14:paraId="5C9E7B9D"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46F93005"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3.75</w:t>
            </w:r>
          </w:p>
        </w:tc>
        <w:tc>
          <w:tcPr>
            <w:tcW w:w="1537" w:type="pct"/>
            <w:vAlign w:val="center"/>
          </w:tcPr>
          <w:p w14:paraId="60B3FE9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3.78</w:t>
            </w:r>
          </w:p>
        </w:tc>
        <w:tc>
          <w:tcPr>
            <w:tcW w:w="434" w:type="pct"/>
            <w:vAlign w:val="center"/>
          </w:tcPr>
          <w:p w14:paraId="7439D6D7"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101</w:t>
            </w:r>
          </w:p>
        </w:tc>
      </w:tr>
      <w:tr w:rsidR="00DC5685" w:rsidRPr="00A34F10" w14:paraId="7BCA69CC" w14:textId="77777777" w:rsidTr="000470C3">
        <w:trPr>
          <w:trHeight w:val="284"/>
        </w:trPr>
        <w:tc>
          <w:tcPr>
            <w:tcW w:w="1165" w:type="pct"/>
            <w:vMerge/>
            <w:vAlign w:val="center"/>
          </w:tcPr>
          <w:p w14:paraId="4E964DF2"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7739261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66780145"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3.75</w:t>
            </w:r>
          </w:p>
        </w:tc>
        <w:tc>
          <w:tcPr>
            <w:tcW w:w="1537" w:type="pct"/>
            <w:vAlign w:val="center"/>
          </w:tcPr>
          <w:p w14:paraId="24D5B312"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3.48</w:t>
            </w:r>
          </w:p>
        </w:tc>
        <w:tc>
          <w:tcPr>
            <w:tcW w:w="434" w:type="pct"/>
            <w:vAlign w:val="center"/>
          </w:tcPr>
          <w:p w14:paraId="35438ECF"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93.0</w:t>
            </w:r>
          </w:p>
        </w:tc>
      </w:tr>
      <w:tr w:rsidR="00DC5685" w:rsidRPr="00A34F10" w14:paraId="69BCDEEC" w14:textId="77777777" w:rsidTr="000470C3">
        <w:trPr>
          <w:trHeight w:val="284"/>
        </w:trPr>
        <w:tc>
          <w:tcPr>
            <w:tcW w:w="1165" w:type="pct"/>
            <w:vMerge/>
            <w:vAlign w:val="center"/>
          </w:tcPr>
          <w:p w14:paraId="1F49A5B5"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6766C82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fresh</w:t>
            </w:r>
          </w:p>
        </w:tc>
        <w:tc>
          <w:tcPr>
            <w:tcW w:w="1223" w:type="pct"/>
            <w:vAlign w:val="center"/>
          </w:tcPr>
          <w:p w14:paraId="6D185661"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3.75</w:t>
            </w:r>
          </w:p>
        </w:tc>
        <w:tc>
          <w:tcPr>
            <w:tcW w:w="1537" w:type="pct"/>
            <w:vAlign w:val="center"/>
          </w:tcPr>
          <w:p w14:paraId="59B6B083"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3.74</w:t>
            </w:r>
          </w:p>
        </w:tc>
        <w:tc>
          <w:tcPr>
            <w:tcW w:w="434" w:type="pct"/>
            <w:vAlign w:val="center"/>
          </w:tcPr>
          <w:p w14:paraId="509E735F"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100</w:t>
            </w:r>
          </w:p>
        </w:tc>
      </w:tr>
      <w:tr w:rsidR="00DC5685" w:rsidRPr="00A34F10" w14:paraId="43938947" w14:textId="77777777" w:rsidTr="000470C3">
        <w:trPr>
          <w:trHeight w:val="284"/>
        </w:trPr>
        <w:tc>
          <w:tcPr>
            <w:tcW w:w="1165" w:type="pct"/>
            <w:vMerge/>
            <w:vAlign w:val="center"/>
          </w:tcPr>
          <w:p w14:paraId="0DC0F4A8"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3E767A3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623C729D"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3.75</w:t>
            </w:r>
          </w:p>
        </w:tc>
        <w:tc>
          <w:tcPr>
            <w:tcW w:w="1537" w:type="pct"/>
            <w:vAlign w:val="center"/>
          </w:tcPr>
          <w:p w14:paraId="4405E5E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3.91</w:t>
            </w:r>
          </w:p>
        </w:tc>
        <w:tc>
          <w:tcPr>
            <w:tcW w:w="434" w:type="pct"/>
            <w:vAlign w:val="center"/>
          </w:tcPr>
          <w:p w14:paraId="3152765D"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104</w:t>
            </w:r>
          </w:p>
        </w:tc>
      </w:tr>
      <w:tr w:rsidR="00DC5685" w:rsidRPr="00A34F10" w14:paraId="1BC22822" w14:textId="77777777" w:rsidTr="000470C3">
        <w:trPr>
          <w:trHeight w:val="284"/>
        </w:trPr>
        <w:tc>
          <w:tcPr>
            <w:tcW w:w="1165" w:type="pct"/>
            <w:vMerge w:val="restart"/>
            <w:vAlign w:val="center"/>
          </w:tcPr>
          <w:p w14:paraId="0E064B2D" w14:textId="77777777" w:rsidR="00DC5685" w:rsidRPr="00A34F10" w:rsidRDefault="00DC5685" w:rsidP="00DC5685">
            <w:pPr>
              <w:spacing w:beforeLines="20" w:before="48" w:afterLines="20" w:after="48"/>
              <w:jc w:val="center"/>
              <w:rPr>
                <w:color w:val="000000"/>
                <w:sz w:val="20"/>
                <w:szCs w:val="20"/>
                <w:lang w:val="en-GB"/>
              </w:rPr>
            </w:pPr>
            <w:r w:rsidRPr="00A34F10">
              <w:rPr>
                <w:color w:val="000000"/>
                <w:sz w:val="20"/>
                <w:szCs w:val="20"/>
                <w:lang w:val="en-GB"/>
              </w:rPr>
              <w:t>20.7</w:t>
            </w:r>
          </w:p>
        </w:tc>
        <w:tc>
          <w:tcPr>
            <w:tcW w:w="641" w:type="pct"/>
            <w:vAlign w:val="center"/>
          </w:tcPr>
          <w:p w14:paraId="227EC3C8"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74299F9A"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8.26</w:t>
            </w:r>
          </w:p>
        </w:tc>
        <w:tc>
          <w:tcPr>
            <w:tcW w:w="1537" w:type="pct"/>
            <w:vAlign w:val="center"/>
          </w:tcPr>
          <w:p w14:paraId="7BDCCFE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8.23</w:t>
            </w:r>
          </w:p>
        </w:tc>
        <w:tc>
          <w:tcPr>
            <w:tcW w:w="434" w:type="pct"/>
            <w:vAlign w:val="center"/>
          </w:tcPr>
          <w:p w14:paraId="611FCB2B"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100</w:t>
            </w:r>
          </w:p>
        </w:tc>
      </w:tr>
      <w:tr w:rsidR="00DC5685" w:rsidRPr="00A34F10" w14:paraId="241E275F" w14:textId="77777777" w:rsidTr="000470C3">
        <w:trPr>
          <w:trHeight w:val="284"/>
        </w:trPr>
        <w:tc>
          <w:tcPr>
            <w:tcW w:w="1165" w:type="pct"/>
            <w:vMerge/>
            <w:vAlign w:val="center"/>
          </w:tcPr>
          <w:p w14:paraId="028A6F54"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13DDAE3A"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3A71B034"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8.26</w:t>
            </w:r>
          </w:p>
        </w:tc>
        <w:tc>
          <w:tcPr>
            <w:tcW w:w="1537" w:type="pct"/>
            <w:vAlign w:val="center"/>
          </w:tcPr>
          <w:p w14:paraId="3681902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8.38</w:t>
            </w:r>
          </w:p>
        </w:tc>
        <w:tc>
          <w:tcPr>
            <w:tcW w:w="434" w:type="pct"/>
            <w:vAlign w:val="center"/>
          </w:tcPr>
          <w:p w14:paraId="2384437F"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101</w:t>
            </w:r>
          </w:p>
        </w:tc>
      </w:tr>
      <w:tr w:rsidR="00DC5685" w:rsidRPr="00A34F10" w14:paraId="16E7545D" w14:textId="77777777" w:rsidTr="000470C3">
        <w:trPr>
          <w:trHeight w:val="284"/>
        </w:trPr>
        <w:tc>
          <w:tcPr>
            <w:tcW w:w="1165" w:type="pct"/>
            <w:vMerge/>
            <w:vAlign w:val="center"/>
          </w:tcPr>
          <w:p w14:paraId="33D91EE3"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2B82A6D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fresh</w:t>
            </w:r>
          </w:p>
        </w:tc>
        <w:tc>
          <w:tcPr>
            <w:tcW w:w="1223" w:type="pct"/>
            <w:vAlign w:val="center"/>
          </w:tcPr>
          <w:p w14:paraId="4E4808D5"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8.26</w:t>
            </w:r>
          </w:p>
        </w:tc>
        <w:tc>
          <w:tcPr>
            <w:tcW w:w="1537" w:type="pct"/>
            <w:vAlign w:val="center"/>
          </w:tcPr>
          <w:p w14:paraId="3C87B516"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8.61</w:t>
            </w:r>
          </w:p>
        </w:tc>
        <w:tc>
          <w:tcPr>
            <w:tcW w:w="434" w:type="pct"/>
            <w:vAlign w:val="center"/>
          </w:tcPr>
          <w:p w14:paraId="3D3AE17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104</w:t>
            </w:r>
          </w:p>
        </w:tc>
      </w:tr>
      <w:tr w:rsidR="00DC5685" w:rsidRPr="00A34F10" w14:paraId="7818357D" w14:textId="77777777" w:rsidTr="000470C3">
        <w:trPr>
          <w:trHeight w:val="284"/>
        </w:trPr>
        <w:tc>
          <w:tcPr>
            <w:tcW w:w="1165" w:type="pct"/>
            <w:vMerge/>
            <w:vAlign w:val="center"/>
          </w:tcPr>
          <w:p w14:paraId="439C42FC"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5CC2972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302DE307"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8.26</w:t>
            </w:r>
          </w:p>
        </w:tc>
        <w:tc>
          <w:tcPr>
            <w:tcW w:w="1537" w:type="pct"/>
            <w:vAlign w:val="center"/>
          </w:tcPr>
          <w:p w14:paraId="6B6B42E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8.89</w:t>
            </w:r>
          </w:p>
        </w:tc>
        <w:tc>
          <w:tcPr>
            <w:tcW w:w="434" w:type="pct"/>
            <w:vAlign w:val="center"/>
          </w:tcPr>
          <w:p w14:paraId="0CF397E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108</w:t>
            </w:r>
          </w:p>
        </w:tc>
      </w:tr>
      <w:tr w:rsidR="00DC5685" w:rsidRPr="00A34F10" w14:paraId="4B691094" w14:textId="77777777" w:rsidTr="000470C3">
        <w:trPr>
          <w:trHeight w:val="284"/>
        </w:trPr>
        <w:tc>
          <w:tcPr>
            <w:tcW w:w="1165" w:type="pct"/>
            <w:vMerge w:val="restart"/>
            <w:vAlign w:val="center"/>
          </w:tcPr>
          <w:p w14:paraId="53C8E6CF" w14:textId="77777777" w:rsidR="00DC5685" w:rsidRPr="00A34F10" w:rsidRDefault="00DC5685" w:rsidP="00DC5685">
            <w:pPr>
              <w:spacing w:beforeLines="20" w:before="48" w:afterLines="20" w:after="48"/>
              <w:jc w:val="center"/>
              <w:rPr>
                <w:color w:val="000000"/>
                <w:sz w:val="20"/>
                <w:szCs w:val="20"/>
                <w:lang w:val="en-GB"/>
              </w:rPr>
            </w:pPr>
            <w:r w:rsidRPr="00A34F10">
              <w:rPr>
                <w:color w:val="000000"/>
                <w:sz w:val="20"/>
                <w:szCs w:val="20"/>
                <w:lang w:val="en-GB"/>
              </w:rPr>
              <w:t>45.5</w:t>
            </w:r>
          </w:p>
        </w:tc>
        <w:tc>
          <w:tcPr>
            <w:tcW w:w="641" w:type="pct"/>
            <w:vAlign w:val="center"/>
          </w:tcPr>
          <w:p w14:paraId="5D4B6A57"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313B6EF6"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18.2</w:t>
            </w:r>
          </w:p>
        </w:tc>
        <w:tc>
          <w:tcPr>
            <w:tcW w:w="1537" w:type="pct"/>
            <w:vAlign w:val="center"/>
          </w:tcPr>
          <w:p w14:paraId="501CA7A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18.8</w:t>
            </w:r>
          </w:p>
        </w:tc>
        <w:tc>
          <w:tcPr>
            <w:tcW w:w="434" w:type="pct"/>
            <w:vAlign w:val="center"/>
          </w:tcPr>
          <w:p w14:paraId="7658E57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103</w:t>
            </w:r>
          </w:p>
        </w:tc>
      </w:tr>
      <w:tr w:rsidR="00DC5685" w:rsidRPr="00A34F10" w14:paraId="623140B2" w14:textId="77777777" w:rsidTr="000470C3">
        <w:trPr>
          <w:trHeight w:val="284"/>
        </w:trPr>
        <w:tc>
          <w:tcPr>
            <w:tcW w:w="1165" w:type="pct"/>
            <w:vMerge/>
            <w:vAlign w:val="center"/>
          </w:tcPr>
          <w:p w14:paraId="18ADD6B5"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6012A888"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46D84DE3"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18.2</w:t>
            </w:r>
          </w:p>
        </w:tc>
        <w:tc>
          <w:tcPr>
            <w:tcW w:w="1537" w:type="pct"/>
            <w:vAlign w:val="center"/>
          </w:tcPr>
          <w:p w14:paraId="7330C731"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18.1</w:t>
            </w:r>
          </w:p>
        </w:tc>
        <w:tc>
          <w:tcPr>
            <w:tcW w:w="434" w:type="pct"/>
            <w:vAlign w:val="center"/>
          </w:tcPr>
          <w:p w14:paraId="315698D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99.0</w:t>
            </w:r>
          </w:p>
        </w:tc>
      </w:tr>
      <w:tr w:rsidR="00DC5685" w:rsidRPr="00A34F10" w14:paraId="6699BE19" w14:textId="77777777" w:rsidTr="000470C3">
        <w:trPr>
          <w:trHeight w:val="284"/>
        </w:trPr>
        <w:tc>
          <w:tcPr>
            <w:tcW w:w="1165" w:type="pct"/>
            <w:vMerge/>
            <w:vAlign w:val="center"/>
          </w:tcPr>
          <w:p w14:paraId="168BE467"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0FC600F0"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fresh</w:t>
            </w:r>
          </w:p>
        </w:tc>
        <w:tc>
          <w:tcPr>
            <w:tcW w:w="1223" w:type="pct"/>
            <w:vAlign w:val="center"/>
          </w:tcPr>
          <w:p w14:paraId="3A1EAF89"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18.2</w:t>
            </w:r>
          </w:p>
        </w:tc>
        <w:tc>
          <w:tcPr>
            <w:tcW w:w="1537" w:type="pct"/>
            <w:vAlign w:val="center"/>
          </w:tcPr>
          <w:p w14:paraId="4640E506"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18.7</w:t>
            </w:r>
          </w:p>
        </w:tc>
        <w:tc>
          <w:tcPr>
            <w:tcW w:w="434" w:type="pct"/>
            <w:vAlign w:val="center"/>
          </w:tcPr>
          <w:p w14:paraId="429EF13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103</w:t>
            </w:r>
          </w:p>
        </w:tc>
      </w:tr>
      <w:tr w:rsidR="00DC5685" w:rsidRPr="00A34F10" w14:paraId="0E098497" w14:textId="77777777" w:rsidTr="000470C3">
        <w:trPr>
          <w:trHeight w:val="284"/>
        </w:trPr>
        <w:tc>
          <w:tcPr>
            <w:tcW w:w="1165" w:type="pct"/>
            <w:vMerge/>
            <w:vAlign w:val="center"/>
          </w:tcPr>
          <w:p w14:paraId="331EB879"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3C97C94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26129CE4"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18.2</w:t>
            </w:r>
          </w:p>
        </w:tc>
        <w:tc>
          <w:tcPr>
            <w:tcW w:w="1537" w:type="pct"/>
            <w:vAlign w:val="center"/>
          </w:tcPr>
          <w:p w14:paraId="33198B5B"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19.0</w:t>
            </w:r>
          </w:p>
        </w:tc>
        <w:tc>
          <w:tcPr>
            <w:tcW w:w="434" w:type="pct"/>
            <w:vAlign w:val="center"/>
          </w:tcPr>
          <w:p w14:paraId="7603E232"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104</w:t>
            </w:r>
          </w:p>
        </w:tc>
      </w:tr>
      <w:tr w:rsidR="00DC5685" w:rsidRPr="00A34F10" w14:paraId="4265638E" w14:textId="77777777" w:rsidTr="000470C3">
        <w:trPr>
          <w:trHeight w:val="284"/>
        </w:trPr>
        <w:tc>
          <w:tcPr>
            <w:tcW w:w="1165" w:type="pct"/>
            <w:vMerge w:val="restart"/>
            <w:vAlign w:val="center"/>
          </w:tcPr>
          <w:p w14:paraId="1E30420A" w14:textId="77777777" w:rsidR="00DC5685" w:rsidRPr="00A34F10" w:rsidRDefault="00DC5685" w:rsidP="00DC5685">
            <w:pPr>
              <w:spacing w:beforeLines="20" w:before="48" w:afterLines="20" w:after="48"/>
              <w:jc w:val="center"/>
              <w:rPr>
                <w:color w:val="000000"/>
                <w:sz w:val="20"/>
                <w:szCs w:val="20"/>
                <w:lang w:val="en-GB"/>
              </w:rPr>
            </w:pPr>
            <w:r w:rsidRPr="00A34F10">
              <w:rPr>
                <w:color w:val="000000"/>
                <w:sz w:val="20"/>
                <w:szCs w:val="20"/>
                <w:lang w:val="en-GB"/>
              </w:rPr>
              <w:t>100</w:t>
            </w:r>
          </w:p>
        </w:tc>
        <w:tc>
          <w:tcPr>
            <w:tcW w:w="641" w:type="pct"/>
            <w:vAlign w:val="center"/>
          </w:tcPr>
          <w:p w14:paraId="3C62416A"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0 h fresh</w:t>
            </w:r>
          </w:p>
        </w:tc>
        <w:tc>
          <w:tcPr>
            <w:tcW w:w="1223" w:type="pct"/>
            <w:vAlign w:val="center"/>
          </w:tcPr>
          <w:p w14:paraId="207459CC"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39.9</w:t>
            </w:r>
          </w:p>
        </w:tc>
        <w:tc>
          <w:tcPr>
            <w:tcW w:w="1537" w:type="pct"/>
            <w:vAlign w:val="center"/>
          </w:tcPr>
          <w:p w14:paraId="2AA5BC3B"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39.8</w:t>
            </w:r>
          </w:p>
        </w:tc>
        <w:tc>
          <w:tcPr>
            <w:tcW w:w="434" w:type="pct"/>
            <w:vAlign w:val="center"/>
          </w:tcPr>
          <w:p w14:paraId="3332E419"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100</w:t>
            </w:r>
          </w:p>
        </w:tc>
      </w:tr>
      <w:tr w:rsidR="00DC5685" w:rsidRPr="00A34F10" w14:paraId="1DB497FD" w14:textId="77777777" w:rsidTr="000470C3">
        <w:trPr>
          <w:trHeight w:val="284"/>
        </w:trPr>
        <w:tc>
          <w:tcPr>
            <w:tcW w:w="1165" w:type="pct"/>
            <w:vMerge/>
            <w:vAlign w:val="center"/>
          </w:tcPr>
          <w:p w14:paraId="46A91B92"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609399D6"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24 h aged</w:t>
            </w:r>
          </w:p>
        </w:tc>
        <w:tc>
          <w:tcPr>
            <w:tcW w:w="1223" w:type="pct"/>
            <w:vAlign w:val="center"/>
          </w:tcPr>
          <w:p w14:paraId="198192DE"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39.9</w:t>
            </w:r>
          </w:p>
        </w:tc>
        <w:tc>
          <w:tcPr>
            <w:tcW w:w="1537" w:type="pct"/>
            <w:vAlign w:val="center"/>
          </w:tcPr>
          <w:p w14:paraId="1AEC063F"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39.4</w:t>
            </w:r>
          </w:p>
        </w:tc>
        <w:tc>
          <w:tcPr>
            <w:tcW w:w="434" w:type="pct"/>
            <w:vAlign w:val="center"/>
          </w:tcPr>
          <w:p w14:paraId="6BB8702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99.0</w:t>
            </w:r>
          </w:p>
        </w:tc>
      </w:tr>
      <w:tr w:rsidR="00DC5685" w:rsidRPr="00A34F10" w14:paraId="5758796E" w14:textId="77777777" w:rsidTr="000470C3">
        <w:trPr>
          <w:trHeight w:val="284"/>
        </w:trPr>
        <w:tc>
          <w:tcPr>
            <w:tcW w:w="1165" w:type="pct"/>
            <w:vMerge/>
            <w:vAlign w:val="center"/>
          </w:tcPr>
          <w:p w14:paraId="34378161"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506B301E" w14:textId="77777777" w:rsidR="00DC5685" w:rsidRPr="00A34F10" w:rsidRDefault="00DC5685" w:rsidP="00DC5685">
            <w:pPr>
              <w:keepNext/>
              <w:keepLines/>
              <w:tabs>
                <w:tab w:val="decimal" w:pos="400"/>
              </w:tabs>
              <w:kinsoku w:val="0"/>
              <w:overflowPunct w:val="0"/>
              <w:autoSpaceDE w:val="0"/>
              <w:autoSpaceDN w:val="0"/>
              <w:adjustRightInd w:val="0"/>
              <w:spacing w:beforeLines="20" w:before="48" w:afterLines="20" w:after="48"/>
              <w:ind w:right="57"/>
              <w:jc w:val="center"/>
              <w:rPr>
                <w:color w:val="000000"/>
                <w:sz w:val="20"/>
                <w:szCs w:val="20"/>
                <w:lang w:val="en-GB"/>
              </w:rPr>
            </w:pPr>
            <w:r w:rsidRPr="00A34F10">
              <w:rPr>
                <w:color w:val="000000"/>
                <w:sz w:val="20"/>
                <w:szCs w:val="20"/>
                <w:lang w:val="en-GB"/>
              </w:rPr>
              <w:t>24 h fresh</w:t>
            </w:r>
          </w:p>
        </w:tc>
        <w:tc>
          <w:tcPr>
            <w:tcW w:w="1223" w:type="pct"/>
            <w:vAlign w:val="center"/>
          </w:tcPr>
          <w:p w14:paraId="3B21CC7C"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39.9</w:t>
            </w:r>
          </w:p>
        </w:tc>
        <w:tc>
          <w:tcPr>
            <w:tcW w:w="1537" w:type="pct"/>
            <w:vAlign w:val="center"/>
          </w:tcPr>
          <w:p w14:paraId="1AAE85D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39.5</w:t>
            </w:r>
          </w:p>
        </w:tc>
        <w:tc>
          <w:tcPr>
            <w:tcW w:w="434" w:type="pct"/>
            <w:vAlign w:val="center"/>
          </w:tcPr>
          <w:p w14:paraId="345260CD"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99.0</w:t>
            </w:r>
          </w:p>
        </w:tc>
      </w:tr>
      <w:tr w:rsidR="00DC5685" w:rsidRPr="00A34F10" w14:paraId="4EE0EAC5" w14:textId="77777777" w:rsidTr="000470C3">
        <w:trPr>
          <w:trHeight w:val="284"/>
        </w:trPr>
        <w:tc>
          <w:tcPr>
            <w:tcW w:w="1165" w:type="pct"/>
            <w:vMerge/>
            <w:vAlign w:val="center"/>
          </w:tcPr>
          <w:p w14:paraId="78374C72" w14:textId="77777777" w:rsidR="00DC5685" w:rsidRPr="00A34F10" w:rsidRDefault="00DC5685" w:rsidP="00DC5685">
            <w:pPr>
              <w:keepNext/>
              <w:keepLines/>
              <w:tabs>
                <w:tab w:val="decimal" w:pos="786"/>
              </w:tabs>
              <w:spacing w:beforeLines="20" w:before="48" w:afterLines="20" w:after="48"/>
              <w:ind w:left="57" w:right="57"/>
              <w:jc w:val="center"/>
              <w:rPr>
                <w:color w:val="000000"/>
                <w:sz w:val="20"/>
                <w:szCs w:val="20"/>
                <w:lang w:val="en-GB"/>
              </w:rPr>
            </w:pPr>
          </w:p>
        </w:tc>
        <w:tc>
          <w:tcPr>
            <w:tcW w:w="641" w:type="pct"/>
            <w:vAlign w:val="center"/>
          </w:tcPr>
          <w:p w14:paraId="7C7CA94C"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48 h aged</w:t>
            </w:r>
          </w:p>
        </w:tc>
        <w:tc>
          <w:tcPr>
            <w:tcW w:w="1223" w:type="pct"/>
            <w:vAlign w:val="center"/>
          </w:tcPr>
          <w:p w14:paraId="5577BA6D" w14:textId="77777777" w:rsidR="00DC5685" w:rsidRPr="00A34F10" w:rsidRDefault="00DC5685" w:rsidP="00DC5685">
            <w:pPr>
              <w:keepNext/>
              <w:keepLines/>
              <w:tabs>
                <w:tab w:val="decimal" w:pos="90"/>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39.9</w:t>
            </w:r>
          </w:p>
        </w:tc>
        <w:tc>
          <w:tcPr>
            <w:tcW w:w="1537" w:type="pct"/>
            <w:vAlign w:val="center"/>
          </w:tcPr>
          <w:p w14:paraId="6D37BE23"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39.8</w:t>
            </w:r>
          </w:p>
        </w:tc>
        <w:tc>
          <w:tcPr>
            <w:tcW w:w="434" w:type="pct"/>
            <w:vAlign w:val="center"/>
          </w:tcPr>
          <w:p w14:paraId="0E863D0E" w14:textId="77777777" w:rsidR="00DC5685" w:rsidRPr="00A34F10" w:rsidRDefault="00DC5685" w:rsidP="00DC5685">
            <w:pPr>
              <w:keepNext/>
              <w:keepLines/>
              <w:tabs>
                <w:tab w:val="decimal" w:pos="57"/>
              </w:tabs>
              <w:kinsoku w:val="0"/>
              <w:overflowPunct w:val="0"/>
              <w:autoSpaceDE w:val="0"/>
              <w:autoSpaceDN w:val="0"/>
              <w:adjustRightInd w:val="0"/>
              <w:spacing w:beforeLines="20" w:before="48" w:afterLines="20" w:after="48"/>
              <w:ind w:left="57" w:right="57"/>
              <w:jc w:val="center"/>
              <w:rPr>
                <w:color w:val="000000"/>
                <w:sz w:val="20"/>
                <w:szCs w:val="20"/>
                <w:lang w:val="en-GB"/>
              </w:rPr>
            </w:pPr>
            <w:r w:rsidRPr="00A34F10">
              <w:rPr>
                <w:color w:val="000000"/>
                <w:sz w:val="20"/>
                <w:szCs w:val="20"/>
                <w:lang w:val="en-GB"/>
              </w:rPr>
              <w:t>100</w:t>
            </w:r>
          </w:p>
        </w:tc>
      </w:tr>
    </w:tbl>
    <w:p w14:paraId="259B799C" w14:textId="73F49CCD" w:rsidR="003952ED" w:rsidRPr="00A34F10" w:rsidRDefault="00DC5685" w:rsidP="00DC5685">
      <w:pPr>
        <w:rPr>
          <w:sz w:val="18"/>
          <w:szCs w:val="18"/>
          <w:lang w:val="en-GB"/>
        </w:rPr>
      </w:pPr>
      <w:r w:rsidRPr="00A34F10">
        <w:rPr>
          <w:sz w:val="18"/>
          <w:szCs w:val="18"/>
        </w:rPr>
        <w:t>L</w:t>
      </w:r>
      <w:r w:rsidRPr="00A34F10">
        <w:rPr>
          <w:sz w:val="18"/>
          <w:szCs w:val="18"/>
          <w:lang w:val="en-GB"/>
        </w:rPr>
        <w:t>imit of quantification (LOQ) = 0.170 mg/L. Limit of detection (LOD) = 0.0468 mg/L.</w:t>
      </w:r>
    </w:p>
    <w:p w14:paraId="28D7A57E" w14:textId="77777777" w:rsidR="00DC5685" w:rsidRPr="00A34F10" w:rsidRDefault="003952ED" w:rsidP="003952ED">
      <w:pPr>
        <w:rPr>
          <w:highlight w:val="yellow"/>
        </w:rPr>
      </w:pPr>
      <w:r w:rsidRPr="00A34F10">
        <w:rPr>
          <w:lang w:val="en-GB"/>
        </w:rPr>
        <w:br w:type="page"/>
      </w:r>
    </w:p>
    <w:p w14:paraId="58951AAE" w14:textId="3068CF1E" w:rsidR="00DC5685" w:rsidRPr="00A34F10" w:rsidRDefault="00EA3876" w:rsidP="00EA3876">
      <w:pPr>
        <w:pStyle w:val="Legenda"/>
        <w:rPr>
          <w:highlight w:val="yellow"/>
        </w:rPr>
      </w:pPr>
      <w:r>
        <w:lastRenderedPageBreak/>
        <w:t xml:space="preserve">Table A </w:t>
      </w:r>
      <w:r>
        <w:fldChar w:fldCharType="begin"/>
      </w:r>
      <w:r>
        <w:instrText xml:space="preserve"> SEQ Table_A \* ARABIC </w:instrText>
      </w:r>
      <w:r>
        <w:fldChar w:fldCharType="separate"/>
      </w:r>
      <w:r w:rsidR="006F0F3B">
        <w:rPr>
          <w:noProof/>
        </w:rPr>
        <w:t>10</w:t>
      </w:r>
      <w:r>
        <w:fldChar w:fldCharType="end"/>
      </w:r>
      <w:r w:rsidR="003952ED" w:rsidRPr="00A34F10">
        <w:t>:</w:t>
      </w:r>
      <w:r w:rsidR="00DC5685" w:rsidRPr="00A34F10">
        <w:tab/>
        <w:t>Measured concentrations of ametoctradin</w:t>
      </w:r>
      <w:r w:rsidR="00DC5685" w:rsidRPr="00A34F10">
        <w:rPr>
          <w:lang w:val="x-none"/>
        </w:rPr>
        <w:t xml:space="preserve"> in </w:t>
      </w:r>
      <w:r w:rsidR="00DC5685" w:rsidRPr="00A34F10">
        <w:t>test water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55"/>
        <w:gridCol w:w="1144"/>
        <w:gridCol w:w="2261"/>
        <w:gridCol w:w="2794"/>
        <w:gridCol w:w="890"/>
      </w:tblGrid>
      <w:tr w:rsidR="00DC5685" w:rsidRPr="00A34F10" w14:paraId="76D1C14D" w14:textId="77777777" w:rsidTr="000470C3">
        <w:trPr>
          <w:trHeight w:hRule="exact" w:val="678"/>
          <w:tblHeader/>
        </w:trPr>
        <w:tc>
          <w:tcPr>
            <w:tcW w:w="1206" w:type="pct"/>
            <w:vAlign w:val="center"/>
          </w:tcPr>
          <w:p w14:paraId="6B2D6A36" w14:textId="77777777" w:rsidR="00DC5685" w:rsidRPr="00A34F10" w:rsidRDefault="00DC5685" w:rsidP="00DC5685">
            <w:pPr>
              <w:tabs>
                <w:tab w:val="left" w:pos="720"/>
              </w:tabs>
              <w:spacing w:before="20" w:after="20"/>
              <w:jc w:val="center"/>
              <w:rPr>
                <w:b/>
                <w:bCs/>
                <w:sz w:val="20"/>
                <w:szCs w:val="20"/>
                <w:lang w:val="en-GB"/>
              </w:rPr>
            </w:pPr>
            <w:r w:rsidRPr="00A34F10">
              <w:rPr>
                <w:b/>
                <w:color w:val="000000"/>
                <w:sz w:val="20"/>
                <w:szCs w:val="20"/>
              </w:rPr>
              <w:t>Test item [mg product/L]</w:t>
            </w:r>
          </w:p>
        </w:tc>
        <w:tc>
          <w:tcPr>
            <w:tcW w:w="612" w:type="pct"/>
            <w:vAlign w:val="center"/>
          </w:tcPr>
          <w:p w14:paraId="48509420" w14:textId="77777777" w:rsidR="00DC5685" w:rsidRPr="00A34F10" w:rsidRDefault="00DC5685" w:rsidP="00DC5685">
            <w:pPr>
              <w:keepNext/>
              <w:keepLines/>
              <w:tabs>
                <w:tab w:val="left" w:pos="720"/>
              </w:tabs>
              <w:spacing w:before="20" w:after="20"/>
              <w:jc w:val="center"/>
              <w:rPr>
                <w:b/>
                <w:bCs/>
                <w:sz w:val="20"/>
                <w:szCs w:val="20"/>
                <w:lang w:val="en-GB"/>
              </w:rPr>
            </w:pPr>
            <w:r w:rsidRPr="00A34F10">
              <w:rPr>
                <w:b/>
                <w:bCs/>
                <w:sz w:val="20"/>
                <w:szCs w:val="20"/>
                <w:lang w:val="en-GB"/>
              </w:rPr>
              <w:t xml:space="preserve">Timepoint </w:t>
            </w:r>
          </w:p>
        </w:tc>
        <w:tc>
          <w:tcPr>
            <w:tcW w:w="1210" w:type="pct"/>
            <w:vAlign w:val="center"/>
          </w:tcPr>
          <w:p w14:paraId="564F68DD" w14:textId="77777777" w:rsidR="00DC5685" w:rsidRPr="00A34F10" w:rsidRDefault="00DC5685" w:rsidP="00DC5685">
            <w:pPr>
              <w:keepNext/>
              <w:keepLines/>
              <w:tabs>
                <w:tab w:val="left" w:pos="720"/>
              </w:tabs>
              <w:spacing w:before="20" w:after="20"/>
              <w:jc w:val="center"/>
              <w:rPr>
                <w:b/>
                <w:bCs/>
                <w:sz w:val="20"/>
                <w:szCs w:val="20"/>
                <w:lang w:val="en-GB"/>
              </w:rPr>
            </w:pPr>
            <w:r w:rsidRPr="00A34F10">
              <w:rPr>
                <w:b/>
                <w:bCs/>
                <w:sz w:val="20"/>
                <w:szCs w:val="20"/>
                <w:lang w:val="en-GB"/>
              </w:rPr>
              <w:t>Nominal Concentration</w:t>
            </w:r>
            <w:r w:rsidRPr="00A34F10">
              <w:rPr>
                <w:b/>
                <w:bCs/>
                <w:sz w:val="20"/>
                <w:szCs w:val="20"/>
                <w:lang w:val="en-GB"/>
              </w:rPr>
              <w:br/>
              <w:t>[mg a.s./L]</w:t>
            </w:r>
          </w:p>
        </w:tc>
        <w:tc>
          <w:tcPr>
            <w:tcW w:w="1495" w:type="pct"/>
            <w:vAlign w:val="center"/>
          </w:tcPr>
          <w:p w14:paraId="3F76CCF0" w14:textId="77777777" w:rsidR="00DC5685" w:rsidRPr="00A34F10" w:rsidRDefault="00DC5685" w:rsidP="00DC5685">
            <w:pPr>
              <w:keepNext/>
              <w:keepLines/>
              <w:tabs>
                <w:tab w:val="left" w:pos="720"/>
              </w:tabs>
              <w:spacing w:before="20" w:after="20"/>
              <w:jc w:val="center"/>
              <w:rPr>
                <w:b/>
                <w:bCs/>
                <w:sz w:val="20"/>
                <w:szCs w:val="20"/>
                <w:lang w:val="en-GB"/>
              </w:rPr>
            </w:pPr>
            <w:r w:rsidRPr="00A34F10">
              <w:rPr>
                <w:b/>
                <w:bCs/>
                <w:sz w:val="20"/>
                <w:szCs w:val="20"/>
                <w:lang w:val="en-GB"/>
              </w:rPr>
              <w:t>Measured Concentration</w:t>
            </w:r>
            <w:r w:rsidRPr="00A34F10">
              <w:rPr>
                <w:b/>
                <w:bCs/>
                <w:sz w:val="20"/>
                <w:szCs w:val="20"/>
                <w:lang w:val="en-GB"/>
              </w:rPr>
              <w:br/>
              <w:t>[mg a.s./L]</w:t>
            </w:r>
          </w:p>
        </w:tc>
        <w:tc>
          <w:tcPr>
            <w:tcW w:w="476" w:type="pct"/>
            <w:vAlign w:val="center"/>
          </w:tcPr>
          <w:p w14:paraId="4BA0E72F" w14:textId="77777777" w:rsidR="00DC5685" w:rsidRPr="00A34F10" w:rsidRDefault="00DC5685" w:rsidP="00DC5685">
            <w:pPr>
              <w:keepNext/>
              <w:keepLines/>
              <w:tabs>
                <w:tab w:val="left" w:pos="720"/>
              </w:tabs>
              <w:spacing w:before="20" w:after="20"/>
              <w:jc w:val="center"/>
              <w:rPr>
                <w:b/>
                <w:bCs/>
                <w:sz w:val="20"/>
                <w:szCs w:val="20"/>
                <w:lang w:val="en-GB"/>
              </w:rPr>
            </w:pPr>
            <w:r w:rsidRPr="00A34F10">
              <w:rPr>
                <w:b/>
                <w:bCs/>
                <w:sz w:val="20"/>
                <w:szCs w:val="20"/>
                <w:lang w:val="en-GB"/>
              </w:rPr>
              <w:t>Recovery</w:t>
            </w:r>
            <w:r w:rsidRPr="00A34F10">
              <w:rPr>
                <w:b/>
                <w:bCs/>
                <w:sz w:val="20"/>
                <w:szCs w:val="20"/>
                <w:lang w:val="en-GB"/>
              </w:rPr>
              <w:br/>
              <w:t>[%]</w:t>
            </w:r>
          </w:p>
        </w:tc>
      </w:tr>
      <w:tr w:rsidR="00DC5685" w:rsidRPr="00A34F10" w14:paraId="01A2EF5A" w14:textId="77777777" w:rsidTr="000470C3">
        <w:trPr>
          <w:trHeight w:val="284"/>
          <w:tblHeader/>
        </w:trPr>
        <w:tc>
          <w:tcPr>
            <w:tcW w:w="1206" w:type="pct"/>
            <w:vMerge w:val="restart"/>
            <w:vAlign w:val="center"/>
          </w:tcPr>
          <w:p w14:paraId="67F18EE5"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Control</w:t>
            </w:r>
          </w:p>
        </w:tc>
        <w:tc>
          <w:tcPr>
            <w:tcW w:w="612" w:type="pct"/>
            <w:vAlign w:val="center"/>
          </w:tcPr>
          <w:p w14:paraId="3903E4FF"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6574E38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w:t>
            </w:r>
          </w:p>
        </w:tc>
        <w:tc>
          <w:tcPr>
            <w:tcW w:w="1495" w:type="pct"/>
            <w:vAlign w:val="center"/>
          </w:tcPr>
          <w:p w14:paraId="50488FA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&lt;LOD</w:t>
            </w:r>
          </w:p>
        </w:tc>
        <w:tc>
          <w:tcPr>
            <w:tcW w:w="476" w:type="pct"/>
            <w:vAlign w:val="center"/>
          </w:tcPr>
          <w:p w14:paraId="0ABCA21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w:t>
            </w:r>
          </w:p>
        </w:tc>
      </w:tr>
      <w:tr w:rsidR="00DC5685" w:rsidRPr="00A34F10" w14:paraId="1D0AE117" w14:textId="77777777" w:rsidTr="000470C3">
        <w:trPr>
          <w:trHeight w:val="284"/>
          <w:tblHeader/>
        </w:trPr>
        <w:tc>
          <w:tcPr>
            <w:tcW w:w="1206" w:type="pct"/>
            <w:vMerge/>
            <w:vAlign w:val="center"/>
          </w:tcPr>
          <w:p w14:paraId="62C4FC80"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3A17AC2B"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3934C19E"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w:t>
            </w:r>
          </w:p>
        </w:tc>
        <w:tc>
          <w:tcPr>
            <w:tcW w:w="1495" w:type="pct"/>
            <w:vAlign w:val="center"/>
          </w:tcPr>
          <w:p w14:paraId="37F495A1"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&lt;LOD</w:t>
            </w:r>
          </w:p>
        </w:tc>
        <w:tc>
          <w:tcPr>
            <w:tcW w:w="476" w:type="pct"/>
            <w:vAlign w:val="center"/>
          </w:tcPr>
          <w:p w14:paraId="3D1D030D"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w:t>
            </w:r>
          </w:p>
        </w:tc>
      </w:tr>
      <w:tr w:rsidR="00DC5685" w:rsidRPr="00A34F10" w14:paraId="76EB7C35" w14:textId="77777777" w:rsidTr="000470C3">
        <w:trPr>
          <w:trHeight w:val="284"/>
          <w:tblHeader/>
        </w:trPr>
        <w:tc>
          <w:tcPr>
            <w:tcW w:w="1206" w:type="pct"/>
            <w:vMerge/>
            <w:vAlign w:val="center"/>
          </w:tcPr>
          <w:p w14:paraId="456A0141"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0EBEE28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fresh</w:t>
            </w:r>
          </w:p>
        </w:tc>
        <w:tc>
          <w:tcPr>
            <w:tcW w:w="1210" w:type="pct"/>
            <w:vAlign w:val="center"/>
          </w:tcPr>
          <w:p w14:paraId="4C05D6B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w:t>
            </w:r>
          </w:p>
        </w:tc>
        <w:tc>
          <w:tcPr>
            <w:tcW w:w="1495" w:type="pct"/>
            <w:vAlign w:val="center"/>
          </w:tcPr>
          <w:p w14:paraId="170B441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&lt;LOD</w:t>
            </w:r>
          </w:p>
        </w:tc>
        <w:tc>
          <w:tcPr>
            <w:tcW w:w="476" w:type="pct"/>
            <w:vAlign w:val="center"/>
          </w:tcPr>
          <w:p w14:paraId="263FC16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w:t>
            </w:r>
          </w:p>
        </w:tc>
      </w:tr>
      <w:tr w:rsidR="00DC5685" w:rsidRPr="00A34F10" w14:paraId="29906951" w14:textId="77777777" w:rsidTr="000470C3">
        <w:trPr>
          <w:trHeight w:val="284"/>
          <w:tblHeader/>
        </w:trPr>
        <w:tc>
          <w:tcPr>
            <w:tcW w:w="1206" w:type="pct"/>
            <w:vMerge/>
            <w:vAlign w:val="center"/>
          </w:tcPr>
          <w:p w14:paraId="4308FDC2"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4AFBC2B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376A762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w:t>
            </w:r>
          </w:p>
        </w:tc>
        <w:tc>
          <w:tcPr>
            <w:tcW w:w="1495" w:type="pct"/>
            <w:vAlign w:val="center"/>
          </w:tcPr>
          <w:p w14:paraId="0A444197"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&lt;LOD</w:t>
            </w:r>
          </w:p>
        </w:tc>
        <w:tc>
          <w:tcPr>
            <w:tcW w:w="476" w:type="pct"/>
            <w:vAlign w:val="center"/>
          </w:tcPr>
          <w:p w14:paraId="7794FBE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w:t>
            </w:r>
          </w:p>
        </w:tc>
      </w:tr>
      <w:tr w:rsidR="00DC5685" w:rsidRPr="00A34F10" w14:paraId="0729B585" w14:textId="77777777" w:rsidTr="000470C3">
        <w:trPr>
          <w:trHeight w:val="284"/>
          <w:tblHeader/>
        </w:trPr>
        <w:tc>
          <w:tcPr>
            <w:tcW w:w="1206" w:type="pct"/>
            <w:vMerge w:val="restart"/>
            <w:vAlign w:val="center"/>
          </w:tcPr>
          <w:p w14:paraId="24251C46"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4.27</w:t>
            </w:r>
          </w:p>
        </w:tc>
        <w:tc>
          <w:tcPr>
            <w:tcW w:w="612" w:type="pct"/>
            <w:vAlign w:val="center"/>
          </w:tcPr>
          <w:p w14:paraId="3EBA66B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1003910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0.547</w:t>
            </w:r>
          </w:p>
        </w:tc>
        <w:tc>
          <w:tcPr>
            <w:tcW w:w="1495" w:type="pct"/>
            <w:vAlign w:val="center"/>
          </w:tcPr>
          <w:p w14:paraId="73DEF6B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0.556</w:t>
            </w:r>
          </w:p>
        </w:tc>
        <w:tc>
          <w:tcPr>
            <w:tcW w:w="476" w:type="pct"/>
            <w:vAlign w:val="center"/>
          </w:tcPr>
          <w:p w14:paraId="4BAB56B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102</w:t>
            </w:r>
          </w:p>
        </w:tc>
      </w:tr>
      <w:tr w:rsidR="00DC5685" w:rsidRPr="00A34F10" w14:paraId="095EE9F5" w14:textId="77777777" w:rsidTr="000470C3">
        <w:trPr>
          <w:trHeight w:val="284"/>
          <w:tblHeader/>
        </w:trPr>
        <w:tc>
          <w:tcPr>
            <w:tcW w:w="1206" w:type="pct"/>
            <w:vMerge/>
            <w:vAlign w:val="center"/>
          </w:tcPr>
          <w:p w14:paraId="66257466"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45EF5907"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0A37319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0.547</w:t>
            </w:r>
          </w:p>
        </w:tc>
        <w:tc>
          <w:tcPr>
            <w:tcW w:w="1495" w:type="pct"/>
            <w:vAlign w:val="center"/>
          </w:tcPr>
          <w:p w14:paraId="0275613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0.408</w:t>
            </w:r>
          </w:p>
        </w:tc>
        <w:tc>
          <w:tcPr>
            <w:tcW w:w="476" w:type="pct"/>
            <w:vAlign w:val="center"/>
          </w:tcPr>
          <w:p w14:paraId="6C1F572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75.0</w:t>
            </w:r>
          </w:p>
        </w:tc>
      </w:tr>
      <w:tr w:rsidR="00DC5685" w:rsidRPr="00A34F10" w14:paraId="58371D86" w14:textId="77777777" w:rsidTr="000470C3">
        <w:trPr>
          <w:trHeight w:val="284"/>
          <w:tblHeader/>
        </w:trPr>
        <w:tc>
          <w:tcPr>
            <w:tcW w:w="1206" w:type="pct"/>
            <w:vMerge/>
            <w:vAlign w:val="center"/>
          </w:tcPr>
          <w:p w14:paraId="1942195F"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17D4224A"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fresh</w:t>
            </w:r>
          </w:p>
        </w:tc>
        <w:tc>
          <w:tcPr>
            <w:tcW w:w="1210" w:type="pct"/>
            <w:vAlign w:val="center"/>
          </w:tcPr>
          <w:p w14:paraId="40341D0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0.547</w:t>
            </w:r>
          </w:p>
        </w:tc>
        <w:tc>
          <w:tcPr>
            <w:tcW w:w="1495" w:type="pct"/>
            <w:vAlign w:val="center"/>
          </w:tcPr>
          <w:p w14:paraId="2A49FBC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0.588</w:t>
            </w:r>
          </w:p>
        </w:tc>
        <w:tc>
          <w:tcPr>
            <w:tcW w:w="476" w:type="pct"/>
            <w:vAlign w:val="center"/>
          </w:tcPr>
          <w:p w14:paraId="734C7BD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107</w:t>
            </w:r>
          </w:p>
        </w:tc>
      </w:tr>
      <w:tr w:rsidR="00DC5685" w:rsidRPr="00A34F10" w14:paraId="130D5EB7" w14:textId="77777777" w:rsidTr="000470C3">
        <w:trPr>
          <w:trHeight w:val="284"/>
          <w:tblHeader/>
        </w:trPr>
        <w:tc>
          <w:tcPr>
            <w:tcW w:w="1206" w:type="pct"/>
            <w:vMerge/>
            <w:vAlign w:val="center"/>
          </w:tcPr>
          <w:p w14:paraId="55748FCB"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73BD511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40DC99E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0.547</w:t>
            </w:r>
          </w:p>
        </w:tc>
        <w:tc>
          <w:tcPr>
            <w:tcW w:w="1495" w:type="pct"/>
            <w:vAlign w:val="center"/>
          </w:tcPr>
          <w:p w14:paraId="6A07FAF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0.290</w:t>
            </w:r>
          </w:p>
        </w:tc>
        <w:tc>
          <w:tcPr>
            <w:tcW w:w="476" w:type="pct"/>
            <w:vAlign w:val="center"/>
          </w:tcPr>
          <w:p w14:paraId="4F33D8B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53.0</w:t>
            </w:r>
          </w:p>
        </w:tc>
      </w:tr>
      <w:tr w:rsidR="00DC5685" w:rsidRPr="00A34F10" w14:paraId="2E6A759A" w14:textId="77777777" w:rsidTr="000470C3">
        <w:trPr>
          <w:trHeight w:val="284"/>
          <w:tblHeader/>
        </w:trPr>
        <w:tc>
          <w:tcPr>
            <w:tcW w:w="1206" w:type="pct"/>
            <w:vMerge w:val="restart"/>
            <w:vAlign w:val="center"/>
          </w:tcPr>
          <w:p w14:paraId="02F7467C"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9.39</w:t>
            </w:r>
          </w:p>
        </w:tc>
        <w:tc>
          <w:tcPr>
            <w:tcW w:w="612" w:type="pct"/>
            <w:vAlign w:val="center"/>
          </w:tcPr>
          <w:p w14:paraId="6357B8C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3758407A"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1.20</w:t>
            </w:r>
          </w:p>
        </w:tc>
        <w:tc>
          <w:tcPr>
            <w:tcW w:w="1495" w:type="pct"/>
            <w:vAlign w:val="center"/>
          </w:tcPr>
          <w:p w14:paraId="4FAE49CF"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1.19</w:t>
            </w:r>
          </w:p>
        </w:tc>
        <w:tc>
          <w:tcPr>
            <w:tcW w:w="476" w:type="pct"/>
            <w:vAlign w:val="center"/>
          </w:tcPr>
          <w:p w14:paraId="6C525A9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99</w:t>
            </w:r>
          </w:p>
        </w:tc>
      </w:tr>
      <w:tr w:rsidR="00DC5685" w:rsidRPr="00A34F10" w14:paraId="56DA5BEA" w14:textId="77777777" w:rsidTr="000470C3">
        <w:trPr>
          <w:trHeight w:val="284"/>
          <w:tblHeader/>
        </w:trPr>
        <w:tc>
          <w:tcPr>
            <w:tcW w:w="1206" w:type="pct"/>
            <w:vMerge/>
            <w:vAlign w:val="center"/>
          </w:tcPr>
          <w:p w14:paraId="452E5C80"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1E9F864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68EE005E"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1.20</w:t>
            </w:r>
          </w:p>
        </w:tc>
        <w:tc>
          <w:tcPr>
            <w:tcW w:w="1495" w:type="pct"/>
            <w:vAlign w:val="center"/>
          </w:tcPr>
          <w:p w14:paraId="0D90FC0E"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0.544</w:t>
            </w:r>
          </w:p>
        </w:tc>
        <w:tc>
          <w:tcPr>
            <w:tcW w:w="476" w:type="pct"/>
            <w:vAlign w:val="center"/>
          </w:tcPr>
          <w:p w14:paraId="0E2259C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45.0</w:t>
            </w:r>
          </w:p>
        </w:tc>
      </w:tr>
      <w:tr w:rsidR="00DC5685" w:rsidRPr="00A34F10" w14:paraId="2510B011" w14:textId="77777777" w:rsidTr="000470C3">
        <w:trPr>
          <w:trHeight w:val="284"/>
          <w:tblHeader/>
        </w:trPr>
        <w:tc>
          <w:tcPr>
            <w:tcW w:w="1206" w:type="pct"/>
            <w:vMerge/>
            <w:vAlign w:val="center"/>
          </w:tcPr>
          <w:p w14:paraId="12050431"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657E79A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fresh</w:t>
            </w:r>
          </w:p>
        </w:tc>
        <w:tc>
          <w:tcPr>
            <w:tcW w:w="1210" w:type="pct"/>
            <w:vAlign w:val="center"/>
          </w:tcPr>
          <w:p w14:paraId="400E022A"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1.20</w:t>
            </w:r>
          </w:p>
        </w:tc>
        <w:tc>
          <w:tcPr>
            <w:tcW w:w="1495" w:type="pct"/>
            <w:vAlign w:val="center"/>
          </w:tcPr>
          <w:p w14:paraId="7475E0D1"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1.22</w:t>
            </w:r>
          </w:p>
        </w:tc>
        <w:tc>
          <w:tcPr>
            <w:tcW w:w="476" w:type="pct"/>
            <w:vAlign w:val="center"/>
          </w:tcPr>
          <w:p w14:paraId="693EB0C7"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102</w:t>
            </w:r>
          </w:p>
        </w:tc>
      </w:tr>
      <w:tr w:rsidR="00DC5685" w:rsidRPr="00A34F10" w14:paraId="3F14646F" w14:textId="77777777" w:rsidTr="000470C3">
        <w:trPr>
          <w:trHeight w:val="284"/>
          <w:tblHeader/>
        </w:trPr>
        <w:tc>
          <w:tcPr>
            <w:tcW w:w="1206" w:type="pct"/>
            <w:vMerge/>
            <w:vAlign w:val="center"/>
          </w:tcPr>
          <w:p w14:paraId="0C3F33A0"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6FAC447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3ECC2E33"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1.20</w:t>
            </w:r>
          </w:p>
        </w:tc>
        <w:tc>
          <w:tcPr>
            <w:tcW w:w="1495" w:type="pct"/>
            <w:vAlign w:val="center"/>
          </w:tcPr>
          <w:p w14:paraId="3A153CC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0.452</w:t>
            </w:r>
          </w:p>
        </w:tc>
        <w:tc>
          <w:tcPr>
            <w:tcW w:w="476" w:type="pct"/>
            <w:vAlign w:val="center"/>
          </w:tcPr>
          <w:p w14:paraId="5BC8BD5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38.0</w:t>
            </w:r>
          </w:p>
        </w:tc>
      </w:tr>
      <w:tr w:rsidR="00DC5685" w:rsidRPr="00A34F10" w14:paraId="18E28CE7" w14:textId="77777777" w:rsidTr="000470C3">
        <w:trPr>
          <w:trHeight w:val="284"/>
          <w:tblHeader/>
        </w:trPr>
        <w:tc>
          <w:tcPr>
            <w:tcW w:w="1206" w:type="pct"/>
            <w:vMerge w:val="restart"/>
            <w:vAlign w:val="center"/>
          </w:tcPr>
          <w:p w14:paraId="0C5DC826"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20.7</w:t>
            </w:r>
          </w:p>
        </w:tc>
        <w:tc>
          <w:tcPr>
            <w:tcW w:w="612" w:type="pct"/>
            <w:vAlign w:val="center"/>
          </w:tcPr>
          <w:p w14:paraId="04D41AC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5813BD8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2.65</w:t>
            </w:r>
          </w:p>
        </w:tc>
        <w:tc>
          <w:tcPr>
            <w:tcW w:w="1495" w:type="pct"/>
            <w:vAlign w:val="center"/>
          </w:tcPr>
          <w:p w14:paraId="085B96BA"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2.70</w:t>
            </w:r>
          </w:p>
        </w:tc>
        <w:tc>
          <w:tcPr>
            <w:tcW w:w="476" w:type="pct"/>
            <w:vAlign w:val="center"/>
          </w:tcPr>
          <w:p w14:paraId="3CB22281"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102</w:t>
            </w:r>
          </w:p>
        </w:tc>
      </w:tr>
      <w:tr w:rsidR="00DC5685" w:rsidRPr="00A34F10" w14:paraId="0B12AA7A" w14:textId="77777777" w:rsidTr="000470C3">
        <w:trPr>
          <w:trHeight w:val="284"/>
          <w:tblHeader/>
        </w:trPr>
        <w:tc>
          <w:tcPr>
            <w:tcW w:w="1206" w:type="pct"/>
            <w:vMerge/>
            <w:vAlign w:val="center"/>
          </w:tcPr>
          <w:p w14:paraId="46442BD2"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4051F014"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2274127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2.65</w:t>
            </w:r>
          </w:p>
        </w:tc>
        <w:tc>
          <w:tcPr>
            <w:tcW w:w="1495" w:type="pct"/>
            <w:vAlign w:val="center"/>
          </w:tcPr>
          <w:p w14:paraId="59F5725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1.37</w:t>
            </w:r>
          </w:p>
        </w:tc>
        <w:tc>
          <w:tcPr>
            <w:tcW w:w="476" w:type="pct"/>
            <w:vAlign w:val="center"/>
          </w:tcPr>
          <w:p w14:paraId="382F566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52.0</w:t>
            </w:r>
          </w:p>
        </w:tc>
      </w:tr>
      <w:tr w:rsidR="00DC5685" w:rsidRPr="00A34F10" w14:paraId="23EAA64A" w14:textId="77777777" w:rsidTr="000470C3">
        <w:trPr>
          <w:trHeight w:val="284"/>
          <w:tblHeader/>
        </w:trPr>
        <w:tc>
          <w:tcPr>
            <w:tcW w:w="1206" w:type="pct"/>
            <w:vMerge/>
            <w:vAlign w:val="center"/>
          </w:tcPr>
          <w:p w14:paraId="6622C3DD"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5EC0E24E"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fresh</w:t>
            </w:r>
          </w:p>
        </w:tc>
        <w:tc>
          <w:tcPr>
            <w:tcW w:w="1210" w:type="pct"/>
            <w:vAlign w:val="center"/>
          </w:tcPr>
          <w:p w14:paraId="28B6AF31"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2.65</w:t>
            </w:r>
          </w:p>
        </w:tc>
        <w:tc>
          <w:tcPr>
            <w:tcW w:w="1495" w:type="pct"/>
            <w:vAlign w:val="center"/>
          </w:tcPr>
          <w:p w14:paraId="036BB103"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2.72</w:t>
            </w:r>
          </w:p>
        </w:tc>
        <w:tc>
          <w:tcPr>
            <w:tcW w:w="476" w:type="pct"/>
            <w:vAlign w:val="center"/>
          </w:tcPr>
          <w:p w14:paraId="55727B2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103</w:t>
            </w:r>
          </w:p>
        </w:tc>
      </w:tr>
      <w:tr w:rsidR="00DC5685" w:rsidRPr="00A34F10" w14:paraId="4FF8F0D0" w14:textId="77777777" w:rsidTr="000470C3">
        <w:trPr>
          <w:trHeight w:val="284"/>
          <w:tblHeader/>
        </w:trPr>
        <w:tc>
          <w:tcPr>
            <w:tcW w:w="1206" w:type="pct"/>
            <w:vMerge/>
            <w:vAlign w:val="center"/>
          </w:tcPr>
          <w:p w14:paraId="7BFA1DAD"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455169E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5F58F76B"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2.65</w:t>
            </w:r>
          </w:p>
        </w:tc>
        <w:tc>
          <w:tcPr>
            <w:tcW w:w="1495" w:type="pct"/>
            <w:vAlign w:val="center"/>
          </w:tcPr>
          <w:p w14:paraId="7318B3A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1.12</w:t>
            </w:r>
          </w:p>
        </w:tc>
        <w:tc>
          <w:tcPr>
            <w:tcW w:w="476" w:type="pct"/>
            <w:vAlign w:val="center"/>
          </w:tcPr>
          <w:p w14:paraId="15B15AE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42.0</w:t>
            </w:r>
          </w:p>
        </w:tc>
      </w:tr>
      <w:tr w:rsidR="00DC5685" w:rsidRPr="00A34F10" w14:paraId="514546CE" w14:textId="77777777" w:rsidTr="000470C3">
        <w:trPr>
          <w:trHeight w:val="284"/>
          <w:tblHeader/>
        </w:trPr>
        <w:tc>
          <w:tcPr>
            <w:tcW w:w="1206" w:type="pct"/>
            <w:vMerge w:val="restart"/>
            <w:vAlign w:val="center"/>
          </w:tcPr>
          <w:p w14:paraId="1C3B2B70"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45.5</w:t>
            </w:r>
          </w:p>
        </w:tc>
        <w:tc>
          <w:tcPr>
            <w:tcW w:w="612" w:type="pct"/>
            <w:vAlign w:val="center"/>
          </w:tcPr>
          <w:p w14:paraId="24FE334B"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4702824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5.82</w:t>
            </w:r>
          </w:p>
        </w:tc>
        <w:tc>
          <w:tcPr>
            <w:tcW w:w="1495" w:type="pct"/>
            <w:vAlign w:val="center"/>
          </w:tcPr>
          <w:p w14:paraId="464D13A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6.08</w:t>
            </w:r>
          </w:p>
        </w:tc>
        <w:tc>
          <w:tcPr>
            <w:tcW w:w="476" w:type="pct"/>
            <w:vAlign w:val="center"/>
          </w:tcPr>
          <w:p w14:paraId="15F774B7"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104</w:t>
            </w:r>
          </w:p>
        </w:tc>
      </w:tr>
      <w:tr w:rsidR="00DC5685" w:rsidRPr="00A34F10" w14:paraId="322B410B" w14:textId="77777777" w:rsidTr="000470C3">
        <w:trPr>
          <w:trHeight w:val="284"/>
          <w:tblHeader/>
        </w:trPr>
        <w:tc>
          <w:tcPr>
            <w:tcW w:w="1206" w:type="pct"/>
            <w:vMerge/>
            <w:vAlign w:val="center"/>
          </w:tcPr>
          <w:p w14:paraId="69BA1AC2"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23A1811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05E1DF1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5.82</w:t>
            </w:r>
          </w:p>
        </w:tc>
        <w:tc>
          <w:tcPr>
            <w:tcW w:w="1495" w:type="pct"/>
            <w:vAlign w:val="center"/>
          </w:tcPr>
          <w:p w14:paraId="453854BD"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3.18</w:t>
            </w:r>
          </w:p>
        </w:tc>
        <w:tc>
          <w:tcPr>
            <w:tcW w:w="476" w:type="pct"/>
            <w:vAlign w:val="center"/>
          </w:tcPr>
          <w:p w14:paraId="1D17B94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55.0</w:t>
            </w:r>
          </w:p>
        </w:tc>
      </w:tr>
      <w:tr w:rsidR="00DC5685" w:rsidRPr="00A34F10" w14:paraId="1A832FE9" w14:textId="77777777" w:rsidTr="000470C3">
        <w:trPr>
          <w:trHeight w:val="284"/>
          <w:tblHeader/>
        </w:trPr>
        <w:tc>
          <w:tcPr>
            <w:tcW w:w="1206" w:type="pct"/>
            <w:vMerge/>
            <w:vAlign w:val="center"/>
          </w:tcPr>
          <w:p w14:paraId="406B0695"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64E855D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fresh</w:t>
            </w:r>
          </w:p>
        </w:tc>
        <w:tc>
          <w:tcPr>
            <w:tcW w:w="1210" w:type="pct"/>
            <w:vAlign w:val="center"/>
          </w:tcPr>
          <w:p w14:paraId="4031555F"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5.82</w:t>
            </w:r>
          </w:p>
        </w:tc>
        <w:tc>
          <w:tcPr>
            <w:tcW w:w="1495" w:type="pct"/>
            <w:vAlign w:val="center"/>
          </w:tcPr>
          <w:p w14:paraId="3FA4EF8F"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6.06</w:t>
            </w:r>
          </w:p>
        </w:tc>
        <w:tc>
          <w:tcPr>
            <w:tcW w:w="476" w:type="pct"/>
            <w:vAlign w:val="center"/>
          </w:tcPr>
          <w:p w14:paraId="358716D1"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104</w:t>
            </w:r>
          </w:p>
        </w:tc>
      </w:tr>
      <w:tr w:rsidR="00DC5685" w:rsidRPr="00A34F10" w14:paraId="240DC8ED" w14:textId="77777777" w:rsidTr="000470C3">
        <w:trPr>
          <w:trHeight w:val="284"/>
          <w:tblHeader/>
        </w:trPr>
        <w:tc>
          <w:tcPr>
            <w:tcW w:w="1206" w:type="pct"/>
            <w:vMerge/>
            <w:vAlign w:val="center"/>
          </w:tcPr>
          <w:p w14:paraId="35D1CB45" w14:textId="77777777" w:rsidR="00DC5685" w:rsidRPr="00A34F10" w:rsidRDefault="00DC5685" w:rsidP="00DC5685">
            <w:pPr>
              <w:spacing w:before="20" w:after="20"/>
              <w:jc w:val="center"/>
              <w:rPr>
                <w:color w:val="000000"/>
                <w:sz w:val="20"/>
                <w:szCs w:val="20"/>
                <w:lang w:val="en-GB"/>
              </w:rPr>
            </w:pPr>
          </w:p>
        </w:tc>
        <w:tc>
          <w:tcPr>
            <w:tcW w:w="612" w:type="pct"/>
            <w:vAlign w:val="center"/>
          </w:tcPr>
          <w:p w14:paraId="4C6FF6CC"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7E5BDD0D"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5.82</w:t>
            </w:r>
          </w:p>
        </w:tc>
        <w:tc>
          <w:tcPr>
            <w:tcW w:w="1495" w:type="pct"/>
            <w:vAlign w:val="center"/>
          </w:tcPr>
          <w:p w14:paraId="253C3FF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2.39</w:t>
            </w:r>
          </w:p>
        </w:tc>
        <w:tc>
          <w:tcPr>
            <w:tcW w:w="476" w:type="pct"/>
            <w:vAlign w:val="center"/>
          </w:tcPr>
          <w:p w14:paraId="136EFDDD"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41.0</w:t>
            </w:r>
          </w:p>
        </w:tc>
      </w:tr>
      <w:tr w:rsidR="00DC5685" w:rsidRPr="00A34F10" w14:paraId="2289928F" w14:textId="77777777" w:rsidTr="000470C3">
        <w:trPr>
          <w:trHeight w:val="284"/>
          <w:tblHeader/>
        </w:trPr>
        <w:tc>
          <w:tcPr>
            <w:tcW w:w="1206" w:type="pct"/>
            <w:vMerge w:val="restart"/>
            <w:vAlign w:val="center"/>
          </w:tcPr>
          <w:p w14:paraId="3FE1E412" w14:textId="77777777" w:rsidR="00DC5685" w:rsidRPr="00A34F10" w:rsidRDefault="00DC5685" w:rsidP="00DC5685">
            <w:pPr>
              <w:spacing w:before="20" w:after="20"/>
              <w:jc w:val="center"/>
              <w:rPr>
                <w:color w:val="000000"/>
                <w:sz w:val="20"/>
                <w:szCs w:val="20"/>
                <w:lang w:val="en-GB"/>
              </w:rPr>
            </w:pPr>
            <w:r w:rsidRPr="00A34F10">
              <w:rPr>
                <w:color w:val="000000"/>
                <w:sz w:val="20"/>
                <w:szCs w:val="20"/>
                <w:lang w:val="en-GB"/>
              </w:rPr>
              <w:t>100</w:t>
            </w:r>
          </w:p>
        </w:tc>
        <w:tc>
          <w:tcPr>
            <w:tcW w:w="612" w:type="pct"/>
            <w:vAlign w:val="center"/>
          </w:tcPr>
          <w:p w14:paraId="57F7545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0 h fresh</w:t>
            </w:r>
          </w:p>
        </w:tc>
        <w:tc>
          <w:tcPr>
            <w:tcW w:w="1210" w:type="pct"/>
            <w:vAlign w:val="center"/>
          </w:tcPr>
          <w:p w14:paraId="466A6FBB"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12.8</w:t>
            </w:r>
          </w:p>
        </w:tc>
        <w:tc>
          <w:tcPr>
            <w:tcW w:w="1495" w:type="pct"/>
            <w:vAlign w:val="center"/>
          </w:tcPr>
          <w:p w14:paraId="7C4D3DA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13.1</w:t>
            </w:r>
          </w:p>
        </w:tc>
        <w:tc>
          <w:tcPr>
            <w:tcW w:w="476" w:type="pct"/>
            <w:vAlign w:val="center"/>
          </w:tcPr>
          <w:p w14:paraId="3A4274DA"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102</w:t>
            </w:r>
          </w:p>
        </w:tc>
      </w:tr>
      <w:tr w:rsidR="00DC5685" w:rsidRPr="00A34F10" w14:paraId="25FA8BBC" w14:textId="77777777" w:rsidTr="000470C3">
        <w:trPr>
          <w:trHeight w:val="284"/>
          <w:tblHeader/>
        </w:trPr>
        <w:tc>
          <w:tcPr>
            <w:tcW w:w="1206" w:type="pct"/>
            <w:vMerge/>
            <w:vAlign w:val="center"/>
          </w:tcPr>
          <w:p w14:paraId="12C836BE" w14:textId="77777777" w:rsidR="00DC5685" w:rsidRPr="00A34F10" w:rsidRDefault="00DC5685" w:rsidP="00DC5685">
            <w:pPr>
              <w:keepNext/>
              <w:keepLines/>
              <w:tabs>
                <w:tab w:val="decimal" w:pos="786"/>
              </w:tabs>
              <w:spacing w:before="20" w:after="20"/>
              <w:ind w:left="57" w:right="57"/>
              <w:jc w:val="center"/>
              <w:rPr>
                <w:color w:val="000000"/>
                <w:sz w:val="20"/>
                <w:szCs w:val="20"/>
                <w:lang w:val="en-GB"/>
              </w:rPr>
            </w:pPr>
          </w:p>
        </w:tc>
        <w:tc>
          <w:tcPr>
            <w:tcW w:w="612" w:type="pct"/>
            <w:vAlign w:val="center"/>
          </w:tcPr>
          <w:p w14:paraId="25E8D2BE"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24 h aged</w:t>
            </w:r>
          </w:p>
        </w:tc>
        <w:tc>
          <w:tcPr>
            <w:tcW w:w="1210" w:type="pct"/>
            <w:vAlign w:val="center"/>
          </w:tcPr>
          <w:p w14:paraId="6FE993F2"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12.8</w:t>
            </w:r>
          </w:p>
        </w:tc>
        <w:tc>
          <w:tcPr>
            <w:tcW w:w="1495" w:type="pct"/>
            <w:vAlign w:val="center"/>
          </w:tcPr>
          <w:p w14:paraId="6EDD8B5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8.24</w:t>
            </w:r>
          </w:p>
        </w:tc>
        <w:tc>
          <w:tcPr>
            <w:tcW w:w="476" w:type="pct"/>
            <w:vAlign w:val="center"/>
          </w:tcPr>
          <w:p w14:paraId="4437A67B"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64.0</w:t>
            </w:r>
          </w:p>
        </w:tc>
      </w:tr>
      <w:tr w:rsidR="00DC5685" w:rsidRPr="00A34F10" w14:paraId="3B8A8517" w14:textId="77777777" w:rsidTr="000470C3">
        <w:trPr>
          <w:trHeight w:val="284"/>
          <w:tblHeader/>
        </w:trPr>
        <w:tc>
          <w:tcPr>
            <w:tcW w:w="1206" w:type="pct"/>
            <w:vMerge/>
            <w:vAlign w:val="center"/>
          </w:tcPr>
          <w:p w14:paraId="17CF76FA" w14:textId="77777777" w:rsidR="00DC5685" w:rsidRPr="00A34F10" w:rsidRDefault="00DC5685" w:rsidP="00DC5685">
            <w:pPr>
              <w:keepNext/>
              <w:keepLines/>
              <w:tabs>
                <w:tab w:val="decimal" w:pos="786"/>
              </w:tabs>
              <w:spacing w:before="20" w:after="20"/>
              <w:ind w:left="57" w:right="57"/>
              <w:jc w:val="center"/>
              <w:rPr>
                <w:color w:val="000000"/>
                <w:sz w:val="20"/>
                <w:szCs w:val="20"/>
                <w:lang w:val="en-GB"/>
              </w:rPr>
            </w:pPr>
          </w:p>
        </w:tc>
        <w:tc>
          <w:tcPr>
            <w:tcW w:w="612" w:type="pct"/>
            <w:vAlign w:val="center"/>
          </w:tcPr>
          <w:p w14:paraId="0D1419D5" w14:textId="77777777" w:rsidR="00DC5685" w:rsidRPr="00A34F10" w:rsidRDefault="00DC5685" w:rsidP="00DC5685">
            <w:pPr>
              <w:keepNext/>
              <w:keepLines/>
              <w:tabs>
                <w:tab w:val="decimal" w:pos="400"/>
              </w:tabs>
              <w:kinsoku w:val="0"/>
              <w:overflowPunct w:val="0"/>
              <w:autoSpaceDE w:val="0"/>
              <w:autoSpaceDN w:val="0"/>
              <w:adjustRightInd w:val="0"/>
              <w:spacing w:before="20" w:after="20"/>
              <w:ind w:right="57"/>
              <w:rPr>
                <w:color w:val="000000"/>
                <w:sz w:val="20"/>
                <w:szCs w:val="20"/>
                <w:lang w:val="en-GB"/>
              </w:rPr>
            </w:pPr>
            <w:r w:rsidRPr="00A34F10">
              <w:rPr>
                <w:color w:val="000000"/>
                <w:sz w:val="20"/>
                <w:szCs w:val="20"/>
                <w:lang w:val="en-GB"/>
              </w:rPr>
              <w:t>24 h fresh</w:t>
            </w:r>
          </w:p>
        </w:tc>
        <w:tc>
          <w:tcPr>
            <w:tcW w:w="1210" w:type="pct"/>
            <w:vAlign w:val="center"/>
          </w:tcPr>
          <w:p w14:paraId="572FBF05"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12.8</w:t>
            </w:r>
          </w:p>
        </w:tc>
        <w:tc>
          <w:tcPr>
            <w:tcW w:w="1495" w:type="pct"/>
            <w:vAlign w:val="center"/>
          </w:tcPr>
          <w:p w14:paraId="5DBFF6F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13.0</w:t>
            </w:r>
          </w:p>
        </w:tc>
        <w:tc>
          <w:tcPr>
            <w:tcW w:w="476" w:type="pct"/>
            <w:vAlign w:val="center"/>
          </w:tcPr>
          <w:p w14:paraId="2872148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102</w:t>
            </w:r>
          </w:p>
        </w:tc>
      </w:tr>
      <w:tr w:rsidR="00DC5685" w:rsidRPr="00A34F10" w14:paraId="53CA3172" w14:textId="77777777" w:rsidTr="000470C3">
        <w:trPr>
          <w:trHeight w:val="284"/>
          <w:tblHeader/>
        </w:trPr>
        <w:tc>
          <w:tcPr>
            <w:tcW w:w="1206" w:type="pct"/>
            <w:vMerge/>
            <w:vAlign w:val="center"/>
          </w:tcPr>
          <w:p w14:paraId="4C209B79" w14:textId="77777777" w:rsidR="00DC5685" w:rsidRPr="00A34F10" w:rsidRDefault="00DC5685" w:rsidP="00DC5685">
            <w:pPr>
              <w:keepNext/>
              <w:keepLines/>
              <w:tabs>
                <w:tab w:val="decimal" w:pos="786"/>
              </w:tabs>
              <w:spacing w:before="20" w:after="20"/>
              <w:ind w:left="57" w:right="57"/>
              <w:jc w:val="center"/>
              <w:rPr>
                <w:color w:val="000000"/>
                <w:sz w:val="20"/>
                <w:szCs w:val="20"/>
                <w:lang w:val="en-GB"/>
              </w:rPr>
            </w:pPr>
          </w:p>
        </w:tc>
        <w:tc>
          <w:tcPr>
            <w:tcW w:w="612" w:type="pct"/>
            <w:vAlign w:val="center"/>
          </w:tcPr>
          <w:p w14:paraId="19F93BD0"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48 h aged</w:t>
            </w:r>
          </w:p>
        </w:tc>
        <w:tc>
          <w:tcPr>
            <w:tcW w:w="1210" w:type="pct"/>
            <w:vAlign w:val="center"/>
          </w:tcPr>
          <w:p w14:paraId="09785FA6"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12.8</w:t>
            </w:r>
          </w:p>
        </w:tc>
        <w:tc>
          <w:tcPr>
            <w:tcW w:w="1495" w:type="pct"/>
            <w:vAlign w:val="center"/>
          </w:tcPr>
          <w:p w14:paraId="69FA28E9"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5.84</w:t>
            </w:r>
          </w:p>
        </w:tc>
        <w:tc>
          <w:tcPr>
            <w:tcW w:w="476" w:type="pct"/>
            <w:vAlign w:val="center"/>
          </w:tcPr>
          <w:p w14:paraId="3D006908" w14:textId="77777777" w:rsidR="00DC5685" w:rsidRPr="00A34F10" w:rsidRDefault="00DC5685" w:rsidP="00DC5685">
            <w:pPr>
              <w:keepNext/>
              <w:keepLines/>
              <w:tabs>
                <w:tab w:val="decimal" w:pos="57"/>
              </w:tabs>
              <w:kinsoku w:val="0"/>
              <w:overflowPunct w:val="0"/>
              <w:autoSpaceDE w:val="0"/>
              <w:autoSpaceDN w:val="0"/>
              <w:adjustRightInd w:val="0"/>
              <w:spacing w:before="20" w:after="20"/>
              <w:ind w:left="57" w:right="57"/>
              <w:jc w:val="center"/>
              <w:rPr>
                <w:color w:val="000000"/>
                <w:sz w:val="20"/>
                <w:szCs w:val="20"/>
                <w:lang w:val="en-GB"/>
              </w:rPr>
            </w:pPr>
            <w:r w:rsidRPr="00A34F10">
              <w:rPr>
                <w:color w:val="000000"/>
                <w:sz w:val="20"/>
                <w:szCs w:val="20"/>
                <w:lang w:val="en-GB"/>
              </w:rPr>
              <w:t>46.0</w:t>
            </w:r>
          </w:p>
        </w:tc>
      </w:tr>
    </w:tbl>
    <w:p w14:paraId="0ED7BE94" w14:textId="7DAC2A26" w:rsidR="00DC5685" w:rsidRPr="00A34F10" w:rsidRDefault="00DC5685" w:rsidP="00DC5685">
      <w:pPr>
        <w:tabs>
          <w:tab w:val="left" w:pos="709"/>
          <w:tab w:val="left" w:pos="1440"/>
          <w:tab w:val="left" w:pos="2880"/>
          <w:tab w:val="left" w:pos="4321"/>
          <w:tab w:val="left" w:pos="5761"/>
        </w:tabs>
        <w:spacing w:after="360"/>
        <w:ind w:right="142"/>
        <w:jc w:val="both"/>
        <w:rPr>
          <w:sz w:val="18"/>
          <w:szCs w:val="18"/>
          <w:lang w:val="en-GB"/>
        </w:rPr>
      </w:pPr>
      <w:r w:rsidRPr="00A34F10">
        <w:rPr>
          <w:sz w:val="18"/>
          <w:szCs w:val="18"/>
          <w:lang w:val="en-GB"/>
        </w:rPr>
        <w:t>Limit of quantification (LOQ) =0.0547 mg/L, Limit of detection (LOD) = 0.0156 mg/L</w:t>
      </w:r>
    </w:p>
    <w:p w14:paraId="05B6F748" w14:textId="77777777" w:rsidR="00DC5685" w:rsidRPr="00A34F10" w:rsidRDefault="00DC5685" w:rsidP="00E05ECD">
      <w:pPr>
        <w:numPr>
          <w:ilvl w:val="0"/>
          <w:numId w:val="40"/>
        </w:numPr>
        <w:ind w:left="357" w:hanging="357"/>
        <w:contextualSpacing/>
        <w:rPr>
          <w:b/>
          <w:bCs/>
          <w:caps/>
          <w:szCs w:val="24"/>
          <w:lang w:val="en-GB"/>
        </w:rPr>
      </w:pPr>
      <w:r w:rsidRPr="00A34F10">
        <w:rPr>
          <w:b/>
          <w:bCs/>
          <w:caps/>
          <w:szCs w:val="24"/>
          <w:lang w:val="en-GB"/>
        </w:rPr>
        <w:t>biological effects</w:t>
      </w:r>
    </w:p>
    <w:p w14:paraId="57392B85" w14:textId="77777777" w:rsidR="00DC5685" w:rsidRPr="00A34F10" w:rsidRDefault="00DC5685" w:rsidP="00DC5685">
      <w:pPr>
        <w:ind w:left="357"/>
        <w:contextualSpacing/>
        <w:rPr>
          <w:b/>
          <w:bCs/>
          <w:caps/>
          <w:szCs w:val="24"/>
          <w:lang w:val="en-GB"/>
        </w:rPr>
      </w:pPr>
    </w:p>
    <w:p w14:paraId="47476728" w14:textId="29396AC0" w:rsidR="003952ED" w:rsidRPr="00A34F10" w:rsidRDefault="00DC5685" w:rsidP="00DC5685">
      <w:pPr>
        <w:spacing w:after="240"/>
        <w:jc w:val="both"/>
        <w:rPr>
          <w:color w:val="000000"/>
          <w:lang w:val="en-GB"/>
        </w:rPr>
      </w:pPr>
      <w:r w:rsidRPr="00A34F10">
        <w:rPr>
          <w:color w:val="000000"/>
          <w:lang w:val="en-GB"/>
        </w:rPr>
        <w:t xml:space="preserve">Following 48 hours of exposure, </w:t>
      </w:r>
      <w:r w:rsidRPr="00A34F10">
        <w:rPr>
          <w:color w:val="000000"/>
          <w:lang w:val="x-none"/>
        </w:rPr>
        <w:t>no immobilization of the test animals was</w:t>
      </w:r>
      <w:r w:rsidRPr="00A34F10">
        <w:rPr>
          <w:color w:val="000000"/>
          <w:lang w:val="en-GB"/>
        </w:rPr>
        <w:t xml:space="preserve"> </w:t>
      </w:r>
      <w:r w:rsidRPr="00A34F10">
        <w:rPr>
          <w:color w:val="000000"/>
          <w:lang w:val="x-none"/>
        </w:rPr>
        <w:t>observed in the control and up to and including the test item</w:t>
      </w:r>
      <w:r w:rsidRPr="00A34F10">
        <w:rPr>
          <w:color w:val="000000"/>
          <w:lang w:val="en-GB"/>
        </w:rPr>
        <w:t xml:space="preserve"> </w:t>
      </w:r>
      <w:r w:rsidRPr="00A34F10">
        <w:rPr>
          <w:color w:val="000000"/>
          <w:lang w:val="x-none"/>
        </w:rPr>
        <w:t xml:space="preserve">concentration of </w:t>
      </w:r>
      <w:r w:rsidRPr="00A34F10">
        <w:rPr>
          <w:color w:val="000000"/>
        </w:rPr>
        <w:t>100</w:t>
      </w:r>
      <w:r w:rsidRPr="00A34F10">
        <w:rPr>
          <w:color w:val="000000"/>
          <w:lang w:val="x-none"/>
        </w:rPr>
        <w:t xml:space="preserve"> mg </w:t>
      </w:r>
      <w:r w:rsidRPr="00A34F10">
        <w:rPr>
          <w:color w:val="000000"/>
          <w:lang w:val="en-GB"/>
        </w:rPr>
        <w:t>product</w:t>
      </w:r>
      <w:r w:rsidRPr="00A34F10">
        <w:rPr>
          <w:color w:val="000000"/>
          <w:lang w:val="x-none"/>
        </w:rPr>
        <w:t>/L</w:t>
      </w:r>
      <w:r w:rsidRPr="00A34F10">
        <w:rPr>
          <w:color w:val="000000"/>
        </w:rPr>
        <w:t xml:space="preserve">. After 24 hours no sublethal effects were observed in control and test item concentrations up to and including 100 mg product/L. After 48 hours two daphnids were observed to be sluggish in the test item concentration of 45.5 mg product/L. </w:t>
      </w:r>
      <w:r w:rsidRPr="00A34F10">
        <w:rPr>
          <w:color w:val="000000"/>
          <w:lang w:val="en-GB"/>
        </w:rPr>
        <w:t>Biological results are presented in the following table.</w:t>
      </w:r>
    </w:p>
    <w:p w14:paraId="194D3B35" w14:textId="5827D54B" w:rsidR="00DC5685" w:rsidRPr="00A34F10" w:rsidRDefault="00EA3876" w:rsidP="00EA3876">
      <w:pPr>
        <w:pStyle w:val="Legenda"/>
      </w:pPr>
      <w:r>
        <w:t xml:space="preserve">Table A </w:t>
      </w:r>
      <w:r>
        <w:fldChar w:fldCharType="begin"/>
      </w:r>
      <w:r>
        <w:instrText xml:space="preserve"> SEQ Table_A \* ARABIC </w:instrText>
      </w:r>
      <w:r>
        <w:fldChar w:fldCharType="separate"/>
      </w:r>
      <w:r w:rsidR="006F0F3B">
        <w:rPr>
          <w:noProof/>
        </w:rPr>
        <w:t>11</w:t>
      </w:r>
      <w:r>
        <w:fldChar w:fldCharType="end"/>
      </w:r>
      <w:r w:rsidR="003952ED" w:rsidRPr="00A34F10">
        <w:t>:</w:t>
      </w:r>
      <w:r w:rsidR="00DC5685" w:rsidRPr="00A34F10">
        <w:tab/>
        <w:t xml:space="preserve">Immobility of </w:t>
      </w:r>
      <w:r w:rsidR="00DC5685" w:rsidRPr="00A34F10">
        <w:rPr>
          <w:i/>
        </w:rPr>
        <w:t>Daphnia magna</w:t>
      </w:r>
      <w:r w:rsidR="00DC5685" w:rsidRPr="00A34F10">
        <w:t xml:space="preserve"> exposed to BAS 743 02 F for 48 hours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44"/>
        <w:gridCol w:w="2112"/>
        <w:gridCol w:w="1794"/>
        <w:gridCol w:w="1794"/>
      </w:tblGrid>
      <w:tr w:rsidR="00DC5685" w:rsidRPr="00A34F10" w14:paraId="0F67D50A" w14:textId="77777777" w:rsidTr="000470C3">
        <w:trPr>
          <w:trHeight w:val="211"/>
        </w:trPr>
        <w:tc>
          <w:tcPr>
            <w:tcW w:w="1950" w:type="pct"/>
            <w:vMerge w:val="restart"/>
            <w:shd w:val="clear" w:color="auto" w:fill="auto"/>
            <w:vAlign w:val="center"/>
          </w:tcPr>
          <w:p w14:paraId="42E51348"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pacing w:val="-6"/>
                <w:sz w:val="20"/>
                <w:szCs w:val="20"/>
                <w:lang w:val="en-GB"/>
              </w:rPr>
              <w:t>Nominal Concentration [</w:t>
            </w:r>
            <w:r w:rsidRPr="00A34F10">
              <w:rPr>
                <w:b/>
                <w:color w:val="000000"/>
                <w:sz w:val="20"/>
                <w:szCs w:val="20"/>
                <w:lang w:val="en-GB"/>
              </w:rPr>
              <w:t>mg product/L]</w:t>
            </w:r>
          </w:p>
        </w:tc>
        <w:tc>
          <w:tcPr>
            <w:tcW w:w="1130" w:type="pct"/>
            <w:vMerge w:val="restart"/>
            <w:vAlign w:val="center"/>
          </w:tcPr>
          <w:p w14:paraId="69217F61"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No. of Daphnia tested</w:t>
            </w:r>
          </w:p>
        </w:tc>
        <w:tc>
          <w:tcPr>
            <w:tcW w:w="1920" w:type="pct"/>
            <w:gridSpan w:val="2"/>
            <w:shd w:val="clear" w:color="auto" w:fill="auto"/>
            <w:vAlign w:val="center"/>
          </w:tcPr>
          <w:p w14:paraId="45209E5B"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No. of Daphnia immobilised / (%)</w:t>
            </w:r>
          </w:p>
        </w:tc>
      </w:tr>
      <w:tr w:rsidR="00DC5685" w:rsidRPr="00A34F10" w14:paraId="3797923E" w14:textId="77777777" w:rsidTr="000470C3">
        <w:tc>
          <w:tcPr>
            <w:tcW w:w="1950" w:type="pct"/>
            <w:vMerge/>
            <w:vAlign w:val="center"/>
          </w:tcPr>
          <w:p w14:paraId="1D649B27" w14:textId="77777777" w:rsidR="00DC5685" w:rsidRPr="00A34F10" w:rsidRDefault="00DC5685" w:rsidP="00DC5685">
            <w:pPr>
              <w:keepNext/>
              <w:spacing w:before="20" w:after="20"/>
              <w:ind w:left="57" w:right="57"/>
              <w:jc w:val="center"/>
              <w:rPr>
                <w:b/>
                <w:color w:val="000000"/>
                <w:sz w:val="20"/>
                <w:szCs w:val="20"/>
                <w:lang w:val="en-GB"/>
              </w:rPr>
            </w:pPr>
          </w:p>
        </w:tc>
        <w:tc>
          <w:tcPr>
            <w:tcW w:w="1130" w:type="pct"/>
            <w:vMerge/>
            <w:vAlign w:val="center"/>
          </w:tcPr>
          <w:p w14:paraId="37A0FBB0" w14:textId="77777777" w:rsidR="00DC5685" w:rsidRPr="00A34F10" w:rsidRDefault="00DC5685" w:rsidP="00DC5685">
            <w:pPr>
              <w:keepNext/>
              <w:spacing w:before="20" w:after="20"/>
              <w:ind w:left="57" w:right="57"/>
              <w:jc w:val="center"/>
              <w:rPr>
                <w:b/>
                <w:color w:val="000000"/>
                <w:sz w:val="20"/>
                <w:szCs w:val="20"/>
                <w:lang w:val="en-GB"/>
              </w:rPr>
            </w:pPr>
          </w:p>
        </w:tc>
        <w:tc>
          <w:tcPr>
            <w:tcW w:w="960" w:type="pct"/>
            <w:vAlign w:val="center"/>
          </w:tcPr>
          <w:p w14:paraId="35E46495"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24 hours</w:t>
            </w:r>
          </w:p>
        </w:tc>
        <w:tc>
          <w:tcPr>
            <w:tcW w:w="960" w:type="pct"/>
            <w:vAlign w:val="center"/>
          </w:tcPr>
          <w:p w14:paraId="15F37336"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48 hours</w:t>
            </w:r>
          </w:p>
        </w:tc>
      </w:tr>
      <w:tr w:rsidR="00DC5685" w:rsidRPr="00A34F10" w14:paraId="19145B0A" w14:textId="77777777" w:rsidTr="000470C3">
        <w:tc>
          <w:tcPr>
            <w:tcW w:w="1950" w:type="pct"/>
            <w:vAlign w:val="center"/>
          </w:tcPr>
          <w:p w14:paraId="4CD23422"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Control</w:t>
            </w:r>
          </w:p>
        </w:tc>
        <w:tc>
          <w:tcPr>
            <w:tcW w:w="1130" w:type="pct"/>
            <w:vAlign w:val="center"/>
          </w:tcPr>
          <w:p w14:paraId="3726CD80"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20</w:t>
            </w:r>
          </w:p>
        </w:tc>
        <w:tc>
          <w:tcPr>
            <w:tcW w:w="960" w:type="pct"/>
          </w:tcPr>
          <w:p w14:paraId="66A67679"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c>
          <w:tcPr>
            <w:tcW w:w="960" w:type="pct"/>
          </w:tcPr>
          <w:p w14:paraId="1B1BEB08"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r>
      <w:tr w:rsidR="00DC5685" w:rsidRPr="00A34F10" w14:paraId="3E21B0B1" w14:textId="77777777" w:rsidTr="000470C3">
        <w:tc>
          <w:tcPr>
            <w:tcW w:w="1950" w:type="pct"/>
            <w:vAlign w:val="center"/>
          </w:tcPr>
          <w:p w14:paraId="3CF54CE6"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6.25</w:t>
            </w:r>
          </w:p>
        </w:tc>
        <w:tc>
          <w:tcPr>
            <w:tcW w:w="1130" w:type="pct"/>
            <w:vAlign w:val="center"/>
          </w:tcPr>
          <w:p w14:paraId="2993EB39"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tcPr>
          <w:p w14:paraId="2AB3B11E"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c>
          <w:tcPr>
            <w:tcW w:w="960" w:type="pct"/>
          </w:tcPr>
          <w:p w14:paraId="4A9E8358"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r>
      <w:tr w:rsidR="00DC5685" w:rsidRPr="00A34F10" w14:paraId="64F740CE" w14:textId="77777777" w:rsidTr="000470C3">
        <w:tc>
          <w:tcPr>
            <w:tcW w:w="1950" w:type="pct"/>
            <w:shd w:val="clear" w:color="auto" w:fill="auto"/>
            <w:vAlign w:val="center"/>
          </w:tcPr>
          <w:p w14:paraId="2D845B75"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12.5</w:t>
            </w:r>
          </w:p>
        </w:tc>
        <w:tc>
          <w:tcPr>
            <w:tcW w:w="1130" w:type="pct"/>
            <w:vAlign w:val="center"/>
          </w:tcPr>
          <w:p w14:paraId="49B55339"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tcPr>
          <w:p w14:paraId="4C4682A1"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c>
          <w:tcPr>
            <w:tcW w:w="960" w:type="pct"/>
          </w:tcPr>
          <w:p w14:paraId="480E3AEC"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r>
      <w:tr w:rsidR="00DC5685" w:rsidRPr="00A34F10" w14:paraId="2E80720B" w14:textId="77777777" w:rsidTr="000470C3">
        <w:tc>
          <w:tcPr>
            <w:tcW w:w="1950" w:type="pct"/>
            <w:shd w:val="clear" w:color="auto" w:fill="auto"/>
            <w:vAlign w:val="center"/>
          </w:tcPr>
          <w:p w14:paraId="7C7E0D34"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25.0</w:t>
            </w:r>
          </w:p>
        </w:tc>
        <w:tc>
          <w:tcPr>
            <w:tcW w:w="1130" w:type="pct"/>
            <w:vAlign w:val="center"/>
          </w:tcPr>
          <w:p w14:paraId="0ACD7316"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tcPr>
          <w:p w14:paraId="06C4DBC0"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c>
          <w:tcPr>
            <w:tcW w:w="960" w:type="pct"/>
          </w:tcPr>
          <w:p w14:paraId="492F1689"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r>
      <w:tr w:rsidR="00DC5685" w:rsidRPr="00A34F10" w14:paraId="5ABD1327" w14:textId="77777777" w:rsidTr="000470C3">
        <w:tc>
          <w:tcPr>
            <w:tcW w:w="1950" w:type="pct"/>
            <w:shd w:val="clear" w:color="auto" w:fill="auto"/>
            <w:vAlign w:val="center"/>
          </w:tcPr>
          <w:p w14:paraId="10A3D588"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50.0</w:t>
            </w:r>
          </w:p>
        </w:tc>
        <w:tc>
          <w:tcPr>
            <w:tcW w:w="1130" w:type="pct"/>
            <w:vAlign w:val="center"/>
          </w:tcPr>
          <w:p w14:paraId="78438B75"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20</w:t>
            </w:r>
          </w:p>
        </w:tc>
        <w:tc>
          <w:tcPr>
            <w:tcW w:w="960" w:type="pct"/>
          </w:tcPr>
          <w:p w14:paraId="524A0B87"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c>
          <w:tcPr>
            <w:tcW w:w="960" w:type="pct"/>
          </w:tcPr>
          <w:p w14:paraId="7DA915FA"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r>
      <w:tr w:rsidR="00DC5685" w:rsidRPr="00A34F10" w14:paraId="416E4C61" w14:textId="77777777" w:rsidTr="000470C3">
        <w:trPr>
          <w:trHeight w:val="50"/>
        </w:trPr>
        <w:tc>
          <w:tcPr>
            <w:tcW w:w="1950" w:type="pct"/>
            <w:shd w:val="clear" w:color="auto" w:fill="auto"/>
            <w:vAlign w:val="center"/>
          </w:tcPr>
          <w:p w14:paraId="22949869"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100</w:t>
            </w:r>
          </w:p>
        </w:tc>
        <w:tc>
          <w:tcPr>
            <w:tcW w:w="1130" w:type="pct"/>
            <w:vAlign w:val="center"/>
          </w:tcPr>
          <w:p w14:paraId="39A7B46F"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tcPr>
          <w:p w14:paraId="71C1DA51"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c>
          <w:tcPr>
            <w:tcW w:w="960" w:type="pct"/>
          </w:tcPr>
          <w:p w14:paraId="34E14705"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r>
    </w:tbl>
    <w:p w14:paraId="3F74FC9B" w14:textId="69F7EC38" w:rsidR="00DC5685" w:rsidRPr="00A34F10" w:rsidRDefault="00DC5685" w:rsidP="00DC5685">
      <w:pPr>
        <w:spacing w:after="240"/>
        <w:jc w:val="both"/>
        <w:rPr>
          <w:color w:val="000000"/>
          <w:highlight w:val="yellow"/>
          <w:lang w:val="x-none"/>
        </w:rPr>
      </w:pPr>
    </w:p>
    <w:p w14:paraId="672E0CC3" w14:textId="77777777" w:rsidR="003952ED" w:rsidRPr="00A34F10" w:rsidRDefault="003952ED" w:rsidP="00DC5685">
      <w:pPr>
        <w:spacing w:after="240"/>
        <w:jc w:val="both"/>
        <w:rPr>
          <w:color w:val="000000"/>
          <w:highlight w:val="yellow"/>
          <w:lang w:val="x-none"/>
        </w:rPr>
      </w:pPr>
    </w:p>
    <w:p w14:paraId="060B9836" w14:textId="77777777" w:rsidR="00DC5685" w:rsidRPr="00A34F10" w:rsidRDefault="00DC5685" w:rsidP="00E05ECD">
      <w:pPr>
        <w:numPr>
          <w:ilvl w:val="0"/>
          <w:numId w:val="40"/>
        </w:numPr>
        <w:ind w:left="357" w:hanging="357"/>
        <w:contextualSpacing/>
        <w:rPr>
          <w:b/>
          <w:bCs/>
          <w:caps/>
          <w:szCs w:val="24"/>
          <w:lang w:val="en-GB"/>
        </w:rPr>
      </w:pPr>
      <w:r w:rsidRPr="00A34F10">
        <w:rPr>
          <w:b/>
          <w:bCs/>
          <w:caps/>
          <w:szCs w:val="24"/>
          <w:lang w:val="en-GB"/>
        </w:rPr>
        <w:lastRenderedPageBreak/>
        <w:t>VALIDITY CRITERIA</w:t>
      </w:r>
    </w:p>
    <w:p w14:paraId="05DAF130" w14:textId="77777777" w:rsidR="00DC5685" w:rsidRPr="00A34F10" w:rsidRDefault="00DC5685" w:rsidP="00DC5685">
      <w:pPr>
        <w:tabs>
          <w:tab w:val="left" w:pos="709"/>
        </w:tabs>
        <w:spacing w:after="240"/>
        <w:contextualSpacing/>
        <w:jc w:val="both"/>
        <w:rPr>
          <w:szCs w:val="24"/>
          <w:lang w:val="en-GB"/>
        </w:rPr>
      </w:pPr>
    </w:p>
    <w:p w14:paraId="3B63804D" w14:textId="77777777" w:rsidR="00DC5685" w:rsidRPr="00A34F10" w:rsidRDefault="00DC5685" w:rsidP="00DC5685">
      <w:pPr>
        <w:tabs>
          <w:tab w:val="left" w:pos="709"/>
        </w:tabs>
        <w:spacing w:after="240"/>
        <w:contextualSpacing/>
        <w:jc w:val="both"/>
        <w:rPr>
          <w:szCs w:val="24"/>
          <w:lang w:val="en-GB"/>
        </w:rPr>
      </w:pPr>
      <w:r w:rsidRPr="00A34F10">
        <w:rPr>
          <w:szCs w:val="24"/>
          <w:lang w:val="en-GB"/>
        </w:rPr>
        <w:t>All validity criteria were met.</w:t>
      </w:r>
    </w:p>
    <w:p w14:paraId="32EA43A9" w14:textId="77777777" w:rsidR="003952ED" w:rsidRPr="00A34F10" w:rsidRDefault="003952ED" w:rsidP="00DC5685">
      <w:pPr>
        <w:tabs>
          <w:tab w:val="left" w:pos="709"/>
        </w:tabs>
        <w:spacing w:after="240"/>
        <w:contextualSpacing/>
        <w:jc w:val="both"/>
        <w:rPr>
          <w:szCs w:val="24"/>
          <w:highlight w:val="yellow"/>
          <w:lang w:val="en-GB"/>
        </w:rPr>
      </w:pPr>
    </w:p>
    <w:p w14:paraId="26682A9C" w14:textId="59C5CA97" w:rsidR="00DC5685" w:rsidRPr="00A34F10" w:rsidRDefault="00EA3876" w:rsidP="00EA3876">
      <w:pPr>
        <w:pStyle w:val="Legenda"/>
        <w:rPr>
          <w:color w:val="000000"/>
        </w:rPr>
      </w:pPr>
      <w:r>
        <w:t xml:space="preserve">Table A </w:t>
      </w:r>
      <w:r>
        <w:fldChar w:fldCharType="begin"/>
      </w:r>
      <w:r>
        <w:instrText xml:space="preserve"> SEQ Table_A \* ARABIC </w:instrText>
      </w:r>
      <w:r>
        <w:fldChar w:fldCharType="separate"/>
      </w:r>
      <w:r w:rsidR="006F0F3B">
        <w:rPr>
          <w:noProof/>
        </w:rPr>
        <w:t>12</w:t>
      </w:r>
      <w:r>
        <w:fldChar w:fldCharType="end"/>
      </w:r>
      <w:r w:rsidR="003952ED" w:rsidRPr="00A34F10">
        <w:t>:</w:t>
      </w:r>
      <w:r w:rsidR="00DC5685" w:rsidRPr="00A34F10">
        <w:rPr>
          <w:color w:val="000000"/>
        </w:rPr>
        <w:tab/>
        <w:t xml:space="preserve">Validity criteria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21"/>
        <w:gridCol w:w="2123"/>
      </w:tblGrid>
      <w:tr w:rsidR="00DC5685" w:rsidRPr="00A34F10" w14:paraId="7218DA90" w14:textId="77777777" w:rsidTr="000470C3">
        <w:trPr>
          <w:trHeight w:val="270"/>
        </w:trPr>
        <w:tc>
          <w:tcPr>
            <w:tcW w:w="0" w:type="auto"/>
            <w:shd w:val="clear" w:color="auto" w:fill="auto"/>
            <w:noWrap/>
            <w:hideMark/>
          </w:tcPr>
          <w:p w14:paraId="05376C2E" w14:textId="77777777" w:rsidR="00DC5685" w:rsidRPr="00A34F10" w:rsidRDefault="00DC5685" w:rsidP="00DC5685">
            <w:pPr>
              <w:tabs>
                <w:tab w:val="left" w:pos="720"/>
              </w:tabs>
              <w:spacing w:before="40" w:after="40"/>
              <w:jc w:val="both"/>
              <w:rPr>
                <w:b/>
                <w:bCs/>
                <w:sz w:val="20"/>
                <w:szCs w:val="20"/>
                <w:lang w:val="en-GB"/>
              </w:rPr>
            </w:pPr>
            <w:r w:rsidRPr="00A34F10">
              <w:rPr>
                <w:b/>
                <w:bCs/>
                <w:sz w:val="20"/>
                <w:szCs w:val="20"/>
                <w:lang w:val="en-GB"/>
              </w:rPr>
              <w:t>Validity criteria according to OECD 202 (2004)</w:t>
            </w:r>
          </w:p>
        </w:tc>
        <w:tc>
          <w:tcPr>
            <w:tcW w:w="0" w:type="auto"/>
            <w:shd w:val="clear" w:color="auto" w:fill="auto"/>
            <w:noWrap/>
            <w:hideMark/>
          </w:tcPr>
          <w:p w14:paraId="3A3DDB75" w14:textId="77777777" w:rsidR="00DC5685" w:rsidRPr="00A34F10" w:rsidRDefault="00DC5685" w:rsidP="00DC5685">
            <w:pPr>
              <w:tabs>
                <w:tab w:val="left" w:pos="720"/>
              </w:tabs>
              <w:spacing w:before="40" w:after="40"/>
              <w:jc w:val="both"/>
              <w:rPr>
                <w:b/>
                <w:bCs/>
                <w:sz w:val="20"/>
                <w:szCs w:val="20"/>
                <w:lang w:val="en-GB"/>
              </w:rPr>
            </w:pPr>
            <w:r w:rsidRPr="00A34F10">
              <w:rPr>
                <w:b/>
                <w:bCs/>
                <w:sz w:val="20"/>
                <w:szCs w:val="20"/>
                <w:lang w:val="en-GB"/>
              </w:rPr>
              <w:t>Obtained in this study</w:t>
            </w:r>
          </w:p>
        </w:tc>
      </w:tr>
      <w:tr w:rsidR="00DC5685" w:rsidRPr="00A34F10" w14:paraId="2E25346C" w14:textId="77777777" w:rsidTr="000470C3">
        <w:trPr>
          <w:trHeight w:val="270"/>
        </w:trPr>
        <w:tc>
          <w:tcPr>
            <w:tcW w:w="0" w:type="auto"/>
            <w:shd w:val="clear" w:color="auto" w:fill="auto"/>
            <w:noWrap/>
          </w:tcPr>
          <w:p w14:paraId="3E85B5F5" w14:textId="77777777" w:rsidR="00DC5685" w:rsidRPr="00A34F10" w:rsidRDefault="00DC5685" w:rsidP="00DC5685">
            <w:pPr>
              <w:tabs>
                <w:tab w:val="left" w:pos="720"/>
              </w:tabs>
              <w:spacing w:before="40" w:after="40"/>
              <w:jc w:val="both"/>
              <w:rPr>
                <w:sz w:val="20"/>
                <w:szCs w:val="20"/>
                <w:lang w:val="en-GB"/>
              </w:rPr>
            </w:pPr>
            <w:r w:rsidRPr="00A34F10">
              <w:rPr>
                <w:sz w:val="20"/>
                <w:szCs w:val="20"/>
                <w:lang w:val="x-none"/>
              </w:rPr>
              <w:t>In the control, including the control containing the solubilising agent, not more tha</w:t>
            </w:r>
            <w:r w:rsidRPr="00A34F10">
              <w:rPr>
                <w:sz w:val="20"/>
                <w:szCs w:val="20"/>
                <w:lang w:val="en-GB"/>
              </w:rPr>
              <w:t>n</w:t>
            </w:r>
            <w:r w:rsidRPr="00A34F10">
              <w:rPr>
                <w:sz w:val="20"/>
                <w:szCs w:val="20"/>
                <w:lang w:val="x-none"/>
              </w:rPr>
              <w:t xml:space="preserve"> 10 per</w:t>
            </w:r>
            <w:r w:rsidRPr="00A34F10">
              <w:rPr>
                <w:sz w:val="20"/>
                <w:szCs w:val="20"/>
                <w:lang w:val="en-GB"/>
              </w:rPr>
              <w:t xml:space="preserve"> </w:t>
            </w:r>
            <w:r w:rsidRPr="00A34F10">
              <w:rPr>
                <w:sz w:val="20"/>
                <w:szCs w:val="20"/>
                <w:lang w:val="x-none"/>
              </w:rPr>
              <w:t>cent of the daphnids should have been immobilised</w:t>
            </w:r>
            <w:r w:rsidRPr="00A34F10">
              <w:rPr>
                <w:sz w:val="20"/>
                <w:szCs w:val="20"/>
                <w:lang w:val="en-GB"/>
              </w:rPr>
              <w:t xml:space="preserve"> </w:t>
            </w:r>
          </w:p>
        </w:tc>
        <w:tc>
          <w:tcPr>
            <w:tcW w:w="0" w:type="auto"/>
            <w:shd w:val="clear" w:color="auto" w:fill="auto"/>
            <w:noWrap/>
          </w:tcPr>
          <w:p w14:paraId="2AA2445C" w14:textId="77777777" w:rsidR="00DC5685" w:rsidRPr="00A34F10" w:rsidRDefault="00DC5685" w:rsidP="00DC5685">
            <w:pPr>
              <w:tabs>
                <w:tab w:val="left" w:pos="720"/>
              </w:tabs>
              <w:spacing w:before="40" w:after="40"/>
              <w:jc w:val="both"/>
              <w:rPr>
                <w:sz w:val="20"/>
                <w:szCs w:val="20"/>
                <w:lang w:val="en-GB"/>
              </w:rPr>
            </w:pPr>
            <w:r w:rsidRPr="00A34F10">
              <w:rPr>
                <w:sz w:val="20"/>
                <w:szCs w:val="20"/>
                <w:lang w:val="en-GB"/>
              </w:rPr>
              <w:t>0%</w:t>
            </w:r>
          </w:p>
        </w:tc>
      </w:tr>
      <w:tr w:rsidR="00DC5685" w:rsidRPr="00A34F10" w14:paraId="7BAF999E" w14:textId="77777777" w:rsidTr="000470C3">
        <w:trPr>
          <w:trHeight w:val="270"/>
        </w:trPr>
        <w:tc>
          <w:tcPr>
            <w:tcW w:w="0" w:type="auto"/>
            <w:shd w:val="clear" w:color="auto" w:fill="auto"/>
            <w:noWrap/>
          </w:tcPr>
          <w:p w14:paraId="6458D325" w14:textId="77777777" w:rsidR="00DC5685" w:rsidRPr="00A34F10" w:rsidRDefault="00DC5685" w:rsidP="00DC5685">
            <w:pPr>
              <w:tabs>
                <w:tab w:val="left" w:pos="720"/>
              </w:tabs>
              <w:autoSpaceDE w:val="0"/>
              <w:autoSpaceDN w:val="0"/>
              <w:adjustRightInd w:val="0"/>
              <w:spacing w:before="40" w:after="40"/>
              <w:jc w:val="both"/>
              <w:rPr>
                <w:rFonts w:eastAsia="Calibri"/>
                <w:sz w:val="20"/>
                <w:szCs w:val="20"/>
                <w:lang w:val="en-GB"/>
              </w:rPr>
            </w:pPr>
            <w:r w:rsidRPr="00A34F10">
              <w:rPr>
                <w:sz w:val="20"/>
                <w:szCs w:val="20"/>
                <w:lang w:val="x-none"/>
              </w:rPr>
              <w:t>The dissolved oxygen concentration at the end of the test should be 3 mg/l in control and</w:t>
            </w:r>
            <w:r w:rsidRPr="00A34F10">
              <w:rPr>
                <w:sz w:val="20"/>
                <w:szCs w:val="20"/>
                <w:lang w:val="en-GB"/>
              </w:rPr>
              <w:t xml:space="preserve"> </w:t>
            </w:r>
            <w:r w:rsidRPr="00A34F10">
              <w:rPr>
                <w:sz w:val="20"/>
                <w:szCs w:val="20"/>
                <w:lang w:val="x-none"/>
              </w:rPr>
              <w:t>test vessels</w:t>
            </w:r>
          </w:p>
        </w:tc>
        <w:tc>
          <w:tcPr>
            <w:tcW w:w="0" w:type="auto"/>
            <w:shd w:val="clear" w:color="auto" w:fill="auto"/>
            <w:noWrap/>
          </w:tcPr>
          <w:p w14:paraId="3EA93052" w14:textId="77777777" w:rsidR="00DC5685" w:rsidRPr="00A34F10" w:rsidRDefault="00DC5685" w:rsidP="00DC5685">
            <w:pPr>
              <w:tabs>
                <w:tab w:val="left" w:pos="720"/>
              </w:tabs>
              <w:spacing w:before="40" w:after="40"/>
              <w:jc w:val="both"/>
              <w:rPr>
                <w:sz w:val="20"/>
                <w:szCs w:val="20"/>
                <w:lang w:val="en-GB"/>
              </w:rPr>
            </w:pPr>
            <w:r w:rsidRPr="00A34F10">
              <w:rPr>
                <w:color w:val="000000"/>
                <w:sz w:val="18"/>
                <w:szCs w:val="24"/>
                <w:lang w:val="x-none"/>
              </w:rPr>
              <w:t xml:space="preserve"> </w:t>
            </w:r>
            <w:r w:rsidRPr="00A34F10">
              <w:rPr>
                <w:color w:val="000000"/>
                <w:sz w:val="20"/>
                <w:szCs w:val="20"/>
              </w:rPr>
              <w:t>7.91</w:t>
            </w:r>
            <w:r w:rsidRPr="00A34F10">
              <w:rPr>
                <w:color w:val="000000"/>
                <w:sz w:val="20"/>
                <w:szCs w:val="20"/>
                <w:lang w:val="x-none"/>
              </w:rPr>
              <w:t xml:space="preserve"> mg O</w:t>
            </w:r>
            <w:r w:rsidRPr="00A34F10">
              <w:rPr>
                <w:color w:val="000000"/>
                <w:sz w:val="20"/>
                <w:szCs w:val="20"/>
                <w:vertAlign w:val="subscript"/>
                <w:lang w:val="en-GB"/>
              </w:rPr>
              <w:t>2</w:t>
            </w:r>
            <w:r w:rsidRPr="00A34F10">
              <w:rPr>
                <w:color w:val="000000"/>
                <w:sz w:val="20"/>
                <w:szCs w:val="20"/>
                <w:lang w:val="x-none"/>
              </w:rPr>
              <w:t>/L in in all treatment groups</w:t>
            </w:r>
          </w:p>
        </w:tc>
      </w:tr>
    </w:tbl>
    <w:p w14:paraId="1AA54ED1" w14:textId="288A91B0" w:rsidR="00DC5685" w:rsidRPr="00A34F10" w:rsidRDefault="00DC5685" w:rsidP="00DC5685">
      <w:pPr>
        <w:tabs>
          <w:tab w:val="left" w:pos="720"/>
        </w:tabs>
        <w:spacing w:after="240"/>
        <w:contextualSpacing/>
        <w:jc w:val="both"/>
        <w:rPr>
          <w:lang w:val="en-GB"/>
        </w:rPr>
      </w:pPr>
    </w:p>
    <w:p w14:paraId="6703DBFC" w14:textId="77777777" w:rsidR="003952ED" w:rsidRPr="00A34F10" w:rsidRDefault="003952ED" w:rsidP="00DC5685">
      <w:pPr>
        <w:tabs>
          <w:tab w:val="left" w:pos="720"/>
        </w:tabs>
        <w:spacing w:after="240"/>
        <w:contextualSpacing/>
        <w:jc w:val="both"/>
        <w:rPr>
          <w:lang w:val="en-GB"/>
        </w:rPr>
      </w:pPr>
    </w:p>
    <w:p w14:paraId="52CD6AB0" w14:textId="77777777" w:rsidR="00DC5685" w:rsidRPr="00A34F10" w:rsidRDefault="00DC5685" w:rsidP="00E05ECD">
      <w:pPr>
        <w:numPr>
          <w:ilvl w:val="0"/>
          <w:numId w:val="40"/>
        </w:numPr>
        <w:ind w:left="357" w:hanging="357"/>
        <w:contextualSpacing/>
        <w:rPr>
          <w:b/>
          <w:bCs/>
          <w:caps/>
          <w:szCs w:val="24"/>
          <w:lang w:val="en-GB"/>
        </w:rPr>
      </w:pPr>
      <w:r w:rsidRPr="00A34F10">
        <w:rPr>
          <w:b/>
          <w:bCs/>
          <w:caps/>
          <w:szCs w:val="24"/>
          <w:lang w:val="en-GB"/>
        </w:rPr>
        <w:t>DEFICIENCIES</w:t>
      </w:r>
    </w:p>
    <w:p w14:paraId="2D82B5B5" w14:textId="77777777" w:rsidR="00DC5685" w:rsidRPr="00A34F10" w:rsidRDefault="00DC5685" w:rsidP="00DC5685">
      <w:pPr>
        <w:ind w:left="720"/>
        <w:contextualSpacing/>
        <w:rPr>
          <w:b/>
          <w:bCs/>
          <w:caps/>
          <w:szCs w:val="24"/>
          <w:lang w:val="en-GB"/>
        </w:rPr>
      </w:pPr>
    </w:p>
    <w:p w14:paraId="0A81BD72" w14:textId="1A1B4497" w:rsidR="00DC5685" w:rsidRPr="00A34F10"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 xml:space="preserve">. </w:t>
      </w:r>
    </w:p>
    <w:p w14:paraId="18D37550" w14:textId="77777777" w:rsidR="003952ED" w:rsidRPr="00A34F10" w:rsidRDefault="003952ED" w:rsidP="003347E3">
      <w:pPr>
        <w:tabs>
          <w:tab w:val="left" w:pos="720"/>
        </w:tabs>
        <w:jc w:val="both"/>
        <w:rPr>
          <w:szCs w:val="24"/>
          <w:lang w:val="en-GB"/>
        </w:rPr>
      </w:pPr>
    </w:p>
    <w:p w14:paraId="2E4D65FA" w14:textId="77777777" w:rsidR="00DC5685" w:rsidRPr="00A34F10" w:rsidRDefault="00DC5685" w:rsidP="00E05ECD">
      <w:pPr>
        <w:numPr>
          <w:ilvl w:val="0"/>
          <w:numId w:val="28"/>
        </w:numPr>
        <w:tabs>
          <w:tab w:val="left" w:pos="720"/>
        </w:tabs>
        <w:spacing w:after="240"/>
        <w:jc w:val="center"/>
        <w:rPr>
          <w:b/>
          <w:bCs/>
          <w:caps/>
          <w:szCs w:val="24"/>
          <w:lang w:val="en-GB"/>
        </w:rPr>
      </w:pPr>
      <w:r w:rsidRPr="00A34F10">
        <w:rPr>
          <w:b/>
          <w:bCs/>
          <w:caps/>
          <w:szCs w:val="24"/>
          <w:lang w:val="en-GB"/>
        </w:rPr>
        <w:t>Conclusion</w:t>
      </w:r>
    </w:p>
    <w:p w14:paraId="6A4DFE0F" w14:textId="77777777" w:rsidR="00DC5685" w:rsidRPr="00A34F10" w:rsidRDefault="00DC5685" w:rsidP="00DC5685">
      <w:pPr>
        <w:spacing w:after="120"/>
        <w:jc w:val="both"/>
        <w:rPr>
          <w:color w:val="000000"/>
          <w:lang w:val="en-GB"/>
        </w:rPr>
      </w:pPr>
      <w:r w:rsidRPr="00A34F10">
        <w:rPr>
          <w:color w:val="000000"/>
          <w:lang w:val="en-GB"/>
        </w:rPr>
        <w:t xml:space="preserve">The acute toxicity of the test item BAS 743 02 F to </w:t>
      </w:r>
      <w:r w:rsidRPr="00A34F10">
        <w:rPr>
          <w:i/>
          <w:iCs/>
          <w:color w:val="000000"/>
          <w:lang w:val="en-GB"/>
        </w:rPr>
        <w:t>Daphnia magna</w:t>
      </w:r>
      <w:r w:rsidRPr="00A34F10">
        <w:rPr>
          <w:color w:val="000000"/>
          <w:lang w:val="en-GB"/>
        </w:rPr>
        <w:t xml:space="preserve"> was investigated in a 48-hour semi-static test. The 48-hour EC</w:t>
      </w:r>
      <w:r w:rsidRPr="00A34F10">
        <w:rPr>
          <w:color w:val="000000"/>
          <w:vertAlign w:val="subscript"/>
          <w:lang w:val="en-GB"/>
        </w:rPr>
        <w:t>50</w:t>
      </w:r>
      <w:r w:rsidRPr="00A34F10">
        <w:rPr>
          <w:color w:val="000000"/>
          <w:lang w:val="en-GB"/>
        </w:rPr>
        <w:t xml:space="preserve"> of BAS 743 02 F to </w:t>
      </w:r>
      <w:r w:rsidRPr="00A34F10">
        <w:rPr>
          <w:i/>
          <w:iCs/>
          <w:color w:val="000000"/>
          <w:lang w:val="en-GB"/>
        </w:rPr>
        <w:t>Daphnia magna</w:t>
      </w:r>
      <w:r w:rsidRPr="00A34F10">
        <w:rPr>
          <w:color w:val="000000"/>
          <w:lang w:val="en-GB"/>
        </w:rPr>
        <w:t xml:space="preserve"> was above the highest concentration tested of 100 mg product/L based on nominal concentrations. The NOEC was determined to be ≥ 100.0 mg product/L.</w:t>
      </w:r>
    </w:p>
    <w:p w14:paraId="4130C4D0" w14:textId="077E2052" w:rsidR="00DC5685" w:rsidRPr="00A34F10" w:rsidRDefault="003952ED" w:rsidP="00BB63B3">
      <w:pPr>
        <w:pStyle w:val="RepAppendix4"/>
      </w:pPr>
      <w:r w:rsidRPr="00A34F10">
        <w:rPr>
          <w:color w:val="000000"/>
          <w:lang w:val="en-GB"/>
        </w:rPr>
        <w:br w:type="page"/>
      </w:r>
      <w:r w:rsidR="00DC5685" w:rsidRPr="00A34F10">
        <w:lastRenderedPageBreak/>
        <w:t>Study 3</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077D0EF5" w14:textId="77777777" w:rsidTr="009E3C27">
        <w:tc>
          <w:tcPr>
            <w:tcW w:w="1063" w:type="pct"/>
            <w:shd w:val="clear" w:color="auto" w:fill="D9D9D9" w:themeFill="background1" w:themeFillShade="D9"/>
          </w:tcPr>
          <w:p w14:paraId="06FB422C" w14:textId="77777777" w:rsidR="00DC5685" w:rsidRPr="00A34F10" w:rsidRDefault="00DC5685" w:rsidP="00DC5685">
            <w:pPr>
              <w:keepNext/>
              <w:keepLines/>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6B88B713" w14:textId="77C1B1B6" w:rsidR="009E3C27" w:rsidRPr="007A6328" w:rsidRDefault="009E3C27" w:rsidP="009E3C27">
            <w:pPr>
              <w:pStyle w:val="RepStandard"/>
              <w:rPr>
                <w:color w:val="000000"/>
              </w:rPr>
            </w:pPr>
            <w:r w:rsidRPr="007A6328">
              <w:rPr>
                <w:color w:val="000000"/>
              </w:rPr>
              <w:t>The study was conducted to OECD guideline 2</w:t>
            </w:r>
            <w:r w:rsidR="00F4188C">
              <w:rPr>
                <w:color w:val="000000"/>
              </w:rPr>
              <w:t>02</w:t>
            </w:r>
            <w:r w:rsidRPr="007A6328">
              <w:rPr>
                <w:color w:val="000000"/>
              </w:rPr>
              <w:t xml:space="preserve"> and according to the principles of GLP. No deviations to the guideline were noted. All validity criteria were met.</w:t>
            </w:r>
          </w:p>
          <w:p w14:paraId="702646F5" w14:textId="76E4500E" w:rsidR="00DC5685" w:rsidRPr="00A34F10" w:rsidRDefault="009E3C27" w:rsidP="009E3C27">
            <w:pPr>
              <w:keepNext/>
              <w:keepLines/>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p>
        </w:tc>
      </w:tr>
    </w:tbl>
    <w:p w14:paraId="63B37A7C" w14:textId="77777777" w:rsidR="00DC5685" w:rsidRPr="00A34F10" w:rsidRDefault="00DC5685" w:rsidP="00DC5685">
      <w:pPr>
        <w:keepNext/>
        <w:keepLines/>
        <w:widowControl w:val="0"/>
        <w:jc w:val="both"/>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3824"/>
        <w:gridCol w:w="5530"/>
      </w:tblGrid>
      <w:tr w:rsidR="00DC5685" w:rsidRPr="00A34F10" w14:paraId="2696C5DC" w14:textId="77777777" w:rsidTr="000470C3">
        <w:trPr>
          <w:trHeight w:val="227"/>
          <w:jc w:val="center"/>
        </w:trPr>
        <w:tc>
          <w:tcPr>
            <w:tcW w:w="2044" w:type="pct"/>
          </w:tcPr>
          <w:p w14:paraId="776ECAB3" w14:textId="77777777" w:rsidR="00DC5685" w:rsidRPr="00A34F10" w:rsidRDefault="00DC5685" w:rsidP="00DC5685">
            <w:pPr>
              <w:keepNext/>
              <w:keepLines/>
              <w:tabs>
                <w:tab w:val="left" w:pos="360"/>
                <w:tab w:val="left" w:pos="720"/>
              </w:tabs>
              <w:spacing w:after="120"/>
              <w:jc w:val="both"/>
              <w:rPr>
                <w:color w:val="000000" w:themeColor="text1"/>
                <w:lang w:val="en-GB"/>
              </w:rPr>
            </w:pPr>
            <w:r w:rsidRPr="00A34F10">
              <w:rPr>
                <w:color w:val="000000" w:themeColor="text1"/>
                <w:lang w:val="en-GB"/>
              </w:rPr>
              <w:t xml:space="preserve">Data point: </w:t>
            </w:r>
          </w:p>
        </w:tc>
        <w:tc>
          <w:tcPr>
            <w:tcW w:w="2956" w:type="pct"/>
          </w:tcPr>
          <w:p w14:paraId="70632531" w14:textId="77777777" w:rsidR="00DC5685" w:rsidRPr="00A34F10" w:rsidRDefault="00DC5685" w:rsidP="00DC5685">
            <w:pPr>
              <w:keepNext/>
              <w:keepLines/>
              <w:tabs>
                <w:tab w:val="left" w:pos="360"/>
                <w:tab w:val="left" w:pos="720"/>
              </w:tabs>
              <w:spacing w:after="120"/>
              <w:jc w:val="both"/>
              <w:rPr>
                <w:color w:val="000000" w:themeColor="text1"/>
                <w:highlight w:val="yellow"/>
                <w:lang w:val="en-GB"/>
              </w:rPr>
            </w:pPr>
            <w:r w:rsidRPr="00A34F10">
              <w:rPr>
                <w:color w:val="000000" w:themeColor="text1"/>
                <w:lang w:val="en-GB"/>
              </w:rPr>
              <w:t>CP 10.2.1/03</w:t>
            </w:r>
          </w:p>
        </w:tc>
      </w:tr>
      <w:tr w:rsidR="00DC5685" w:rsidRPr="00A34F10" w14:paraId="2C795EFB" w14:textId="77777777" w:rsidTr="000470C3">
        <w:trPr>
          <w:trHeight w:val="227"/>
          <w:jc w:val="center"/>
        </w:trPr>
        <w:tc>
          <w:tcPr>
            <w:tcW w:w="2044" w:type="pct"/>
          </w:tcPr>
          <w:p w14:paraId="0131428C" w14:textId="77777777" w:rsidR="00DC5685" w:rsidRPr="00A34F10" w:rsidRDefault="00DC5685" w:rsidP="00DC5685">
            <w:pPr>
              <w:keepNext/>
              <w:keepLines/>
              <w:tabs>
                <w:tab w:val="left" w:pos="360"/>
                <w:tab w:val="left" w:pos="720"/>
              </w:tabs>
              <w:spacing w:after="120"/>
              <w:jc w:val="both"/>
              <w:rPr>
                <w:color w:val="000000" w:themeColor="text1"/>
                <w:lang w:val="en-GB"/>
              </w:rPr>
            </w:pPr>
            <w:r w:rsidRPr="00A34F10">
              <w:rPr>
                <w:color w:val="000000" w:themeColor="text1"/>
                <w:lang w:val="en-GB"/>
              </w:rPr>
              <w:t xml:space="preserve">Report </w:t>
            </w:r>
          </w:p>
        </w:tc>
        <w:tc>
          <w:tcPr>
            <w:tcW w:w="2956" w:type="pct"/>
          </w:tcPr>
          <w:p w14:paraId="59D29C1F" w14:textId="77777777" w:rsidR="00DC5685" w:rsidRPr="00A34F10" w:rsidRDefault="00DC5685" w:rsidP="00DC5685">
            <w:pPr>
              <w:keepNext/>
              <w:tabs>
                <w:tab w:val="left" w:pos="360"/>
                <w:tab w:val="left" w:pos="720"/>
              </w:tabs>
              <w:spacing w:after="120"/>
              <w:jc w:val="both"/>
            </w:pPr>
            <w:r w:rsidRPr="00A34F10">
              <w:t xml:space="preserve">Acute toxicity of BAS 743 03 F on </w:t>
            </w:r>
            <w:r w:rsidRPr="00A34F10">
              <w:rPr>
                <w:i/>
                <w:iCs/>
              </w:rPr>
              <w:t>Daphnia magna</w:t>
            </w:r>
            <w:r w:rsidRPr="00A34F10">
              <w:t xml:space="preserve"> in a 48-hour static test</w:t>
            </w:r>
          </w:p>
          <w:p w14:paraId="7FBC31FE" w14:textId="77777777" w:rsidR="00DC5685" w:rsidRPr="00A34F10" w:rsidRDefault="00DC5685" w:rsidP="00DC5685">
            <w:pPr>
              <w:keepNext/>
              <w:tabs>
                <w:tab w:val="left" w:pos="360"/>
                <w:tab w:val="left" w:pos="720"/>
              </w:tabs>
              <w:spacing w:after="120"/>
              <w:jc w:val="both"/>
            </w:pPr>
            <w:r w:rsidRPr="00A34F10">
              <w:t>Renner, P., 2023</w:t>
            </w:r>
          </w:p>
          <w:p w14:paraId="71D6D5AE" w14:textId="0D519A63" w:rsidR="00DC5685" w:rsidRPr="00A34F10" w:rsidRDefault="00482794" w:rsidP="00DC5685">
            <w:pPr>
              <w:keepNext/>
              <w:tabs>
                <w:tab w:val="left" w:pos="360"/>
                <w:tab w:val="left" w:pos="720"/>
              </w:tabs>
              <w:spacing w:after="120"/>
              <w:jc w:val="both"/>
            </w:pPr>
            <w:r>
              <w:t>XXXX</w:t>
            </w:r>
            <w:r w:rsidR="00DC5685" w:rsidRPr="00A34F10">
              <w:t xml:space="preserve"> Study ID: 933750_2</w:t>
            </w:r>
          </w:p>
          <w:p w14:paraId="59D07084" w14:textId="7498A221" w:rsidR="00DC5685" w:rsidRPr="00A34F10" w:rsidRDefault="00482794" w:rsidP="00DC5685">
            <w:pPr>
              <w:keepNext/>
              <w:keepLines/>
              <w:tabs>
                <w:tab w:val="left" w:pos="360"/>
                <w:tab w:val="left" w:pos="720"/>
              </w:tabs>
              <w:spacing w:after="120"/>
              <w:jc w:val="both"/>
              <w:rPr>
                <w:color w:val="000000" w:themeColor="text1"/>
                <w:lang w:val="en-GB"/>
              </w:rPr>
            </w:pPr>
            <w:r>
              <w:rPr>
                <w:lang w:val="en-GB"/>
              </w:rPr>
              <w:t>XXXX</w:t>
            </w:r>
            <w:r w:rsidR="00DC5685" w:rsidRPr="00A34F10">
              <w:rPr>
                <w:lang w:val="en-GB"/>
              </w:rPr>
              <w:t xml:space="preserve"> Doc ID: </w:t>
            </w:r>
            <w:r w:rsidR="00DC5685" w:rsidRPr="00A34F10">
              <w:t>2022/2033730</w:t>
            </w:r>
          </w:p>
        </w:tc>
      </w:tr>
      <w:tr w:rsidR="00DC5685" w:rsidRPr="00A34F10" w14:paraId="74BCD35E" w14:textId="77777777" w:rsidTr="000470C3">
        <w:trPr>
          <w:trHeight w:val="227"/>
          <w:jc w:val="center"/>
        </w:trPr>
        <w:tc>
          <w:tcPr>
            <w:tcW w:w="2044" w:type="pct"/>
          </w:tcPr>
          <w:p w14:paraId="473D93A8" w14:textId="77777777" w:rsidR="00DC5685" w:rsidRPr="00A34F10" w:rsidRDefault="00DC5685" w:rsidP="00DC5685">
            <w:pPr>
              <w:keepNext/>
              <w:tabs>
                <w:tab w:val="left" w:pos="360"/>
                <w:tab w:val="left" w:pos="720"/>
              </w:tabs>
              <w:spacing w:after="120"/>
              <w:rPr>
                <w:color w:val="000000" w:themeColor="text1"/>
                <w:lang w:val="en-GB"/>
              </w:rPr>
            </w:pPr>
            <w:r w:rsidRPr="00A34F10">
              <w:rPr>
                <w:color w:val="000000" w:themeColor="text1"/>
                <w:lang w:val="en-GB"/>
              </w:rPr>
              <w:t xml:space="preserve">Guidelines followed in study: </w:t>
            </w:r>
          </w:p>
        </w:tc>
        <w:tc>
          <w:tcPr>
            <w:tcW w:w="2956" w:type="pct"/>
          </w:tcPr>
          <w:p w14:paraId="20567105"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u w:val="single"/>
                <w:lang w:val="en-GB"/>
              </w:rPr>
              <w:t>Biological part:</w:t>
            </w:r>
            <w:r w:rsidRPr="00A34F10">
              <w:rPr>
                <w:color w:val="000000" w:themeColor="text1"/>
                <w:lang w:val="en-GB"/>
              </w:rPr>
              <w:t xml:space="preserve"> OECD 202 (2004)</w:t>
            </w:r>
          </w:p>
          <w:p w14:paraId="2F3A9041"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u w:val="single"/>
              </w:rPr>
              <w:t>Analytical part:</w:t>
            </w:r>
            <w:r w:rsidRPr="00A34F10">
              <w:rPr>
                <w:color w:val="000000" w:themeColor="text1"/>
              </w:rPr>
              <w:t xml:space="preserve"> </w:t>
            </w:r>
            <w:r w:rsidRPr="00A34F10">
              <w:t>SANTE/2020/12830, Rev.1 (2021)</w:t>
            </w:r>
          </w:p>
        </w:tc>
      </w:tr>
      <w:tr w:rsidR="00DC5685" w:rsidRPr="00A34F10" w14:paraId="736E2A43" w14:textId="77777777" w:rsidTr="000470C3">
        <w:trPr>
          <w:trHeight w:val="227"/>
          <w:jc w:val="center"/>
        </w:trPr>
        <w:tc>
          <w:tcPr>
            <w:tcW w:w="2044" w:type="pct"/>
          </w:tcPr>
          <w:p w14:paraId="0B05C17A"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lang w:val="en-GB"/>
              </w:rPr>
              <w:t xml:space="preserve">Deviations: </w:t>
            </w:r>
          </w:p>
        </w:tc>
        <w:tc>
          <w:tcPr>
            <w:tcW w:w="2956" w:type="pct"/>
          </w:tcPr>
          <w:p w14:paraId="76DC1067"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lang w:val="en-GB"/>
              </w:rPr>
              <w:t>No</w:t>
            </w:r>
          </w:p>
        </w:tc>
      </w:tr>
      <w:tr w:rsidR="00DC5685" w:rsidRPr="00A34F10" w14:paraId="4DB01B92" w14:textId="77777777" w:rsidTr="000470C3">
        <w:trPr>
          <w:trHeight w:val="227"/>
          <w:jc w:val="center"/>
        </w:trPr>
        <w:tc>
          <w:tcPr>
            <w:tcW w:w="2044" w:type="pct"/>
          </w:tcPr>
          <w:p w14:paraId="64584D70" w14:textId="77777777" w:rsidR="00DC5685" w:rsidRPr="00A34F10" w:rsidRDefault="00DC5685" w:rsidP="00DC5685">
            <w:pPr>
              <w:keepNext/>
              <w:tabs>
                <w:tab w:val="left" w:pos="360"/>
                <w:tab w:val="left" w:pos="720"/>
              </w:tabs>
              <w:spacing w:after="120"/>
              <w:rPr>
                <w:color w:val="000000" w:themeColor="text1"/>
                <w:lang w:val="en-GB"/>
              </w:rPr>
            </w:pPr>
            <w:r w:rsidRPr="00A34F10">
              <w:rPr>
                <w:color w:val="000000" w:themeColor="text1"/>
                <w:lang w:val="en-GB"/>
              </w:rPr>
              <w:t>GLP/Officially recognised testing facilities:</w:t>
            </w:r>
          </w:p>
        </w:tc>
        <w:tc>
          <w:tcPr>
            <w:tcW w:w="2956" w:type="pct"/>
          </w:tcPr>
          <w:p w14:paraId="2A9FC0B1"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lang w:val="en-GB"/>
              </w:rPr>
              <w:t>Yes, GLP</w:t>
            </w:r>
          </w:p>
        </w:tc>
      </w:tr>
      <w:tr w:rsidR="00DC5685" w:rsidRPr="00A34F10" w14:paraId="5836DFEF" w14:textId="77777777" w:rsidTr="000470C3">
        <w:trPr>
          <w:trHeight w:val="227"/>
          <w:jc w:val="center"/>
        </w:trPr>
        <w:tc>
          <w:tcPr>
            <w:tcW w:w="2044" w:type="pct"/>
          </w:tcPr>
          <w:p w14:paraId="781E7EA3"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lang w:val="en-GB"/>
              </w:rPr>
              <w:t xml:space="preserve">Acceptability/Reliability: </w:t>
            </w:r>
          </w:p>
        </w:tc>
        <w:tc>
          <w:tcPr>
            <w:tcW w:w="2956" w:type="pct"/>
          </w:tcPr>
          <w:p w14:paraId="44ED21CF"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color w:val="000000" w:themeColor="text1"/>
                <w:lang w:val="en-GB"/>
              </w:rPr>
              <w:t>Yes</w:t>
            </w:r>
          </w:p>
        </w:tc>
      </w:tr>
    </w:tbl>
    <w:p w14:paraId="4C39B694"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5D1E350A"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 xml:space="preserve">The acute toxicity of the test item BAS 743 03 F to </w:t>
      </w:r>
      <w:r w:rsidRPr="00A34F10">
        <w:rPr>
          <w:i/>
          <w:szCs w:val="24"/>
          <w:lang w:val="en-GB"/>
        </w:rPr>
        <w:t>Daphnia magna</w:t>
      </w:r>
      <w:r w:rsidRPr="00A34F10">
        <w:rPr>
          <w:szCs w:val="24"/>
          <w:lang w:val="en-GB"/>
        </w:rPr>
        <w:t xml:space="preserve"> was investigated in a 48-hour static test with the nominal concentrations 0 (control), 6.26, 12.5, 25.0, 50.0 and 100.0 mg porduct/L. Four replicates containing five Daphnia each were used for all treatment groups. </w:t>
      </w:r>
    </w:p>
    <w:p w14:paraId="6AE5A256" w14:textId="77777777" w:rsidR="00DC5685" w:rsidRPr="00A34F10" w:rsidRDefault="00DC5685" w:rsidP="00DC5685">
      <w:pPr>
        <w:tabs>
          <w:tab w:val="left" w:pos="720"/>
        </w:tabs>
        <w:spacing w:after="240"/>
        <w:jc w:val="both"/>
        <w:rPr>
          <w:color w:val="000000"/>
          <w:lang w:val="en-GB"/>
        </w:rPr>
      </w:pPr>
      <w:r w:rsidRPr="00A34F10">
        <w:rPr>
          <w:color w:val="000000"/>
          <w:lang w:val="en-GB"/>
        </w:rPr>
        <w:t>The 48-hour EC</w:t>
      </w:r>
      <w:r w:rsidRPr="00A34F10">
        <w:rPr>
          <w:color w:val="000000"/>
          <w:vertAlign w:val="subscript"/>
          <w:lang w:val="en-GB"/>
        </w:rPr>
        <w:t>50</w:t>
      </w:r>
      <w:r w:rsidRPr="00A34F10">
        <w:rPr>
          <w:color w:val="000000"/>
          <w:lang w:val="en-GB"/>
        </w:rPr>
        <w:t xml:space="preserve"> of </w:t>
      </w:r>
      <w:r w:rsidRPr="00A34F10">
        <w:rPr>
          <w:lang w:val="en-GB"/>
        </w:rPr>
        <w:t>BAS 743 03 F</w:t>
      </w:r>
      <w:r w:rsidRPr="00A34F10">
        <w:rPr>
          <w:color w:val="000000"/>
          <w:lang w:val="en-GB"/>
        </w:rPr>
        <w:t xml:space="preserve"> to </w:t>
      </w:r>
      <w:r w:rsidRPr="00A34F10">
        <w:rPr>
          <w:i/>
          <w:iCs/>
          <w:color w:val="000000"/>
          <w:lang w:val="en-GB"/>
        </w:rPr>
        <w:t>Daphnia magna</w:t>
      </w:r>
      <w:r w:rsidRPr="00A34F10">
        <w:rPr>
          <w:color w:val="000000"/>
          <w:lang w:val="en-GB"/>
        </w:rPr>
        <w:t xml:space="preserve"> was above the highest concentration tested of 100  mg product/L based on nominal concentrations </w:t>
      </w:r>
      <w:r w:rsidRPr="00A34F10">
        <w:rPr>
          <w:lang w:val="en-GB"/>
        </w:rPr>
        <w:t>(99.6 mg product/L mean measured). Based on nominal concentrations, the NOEC was determined to be ≥ 100.0 mg product/L (99.6 mg product/L mean measured).</w:t>
      </w:r>
    </w:p>
    <w:p w14:paraId="0691B80E" w14:textId="77777777" w:rsidR="00DC5685" w:rsidRPr="00A34F10" w:rsidRDefault="00DC5685" w:rsidP="00E05ECD">
      <w:pPr>
        <w:numPr>
          <w:ilvl w:val="0"/>
          <w:numId w:val="44"/>
        </w:numPr>
        <w:tabs>
          <w:tab w:val="left" w:pos="720"/>
        </w:tabs>
        <w:spacing w:after="240"/>
        <w:jc w:val="center"/>
        <w:rPr>
          <w:b/>
          <w:bCs/>
          <w:caps/>
          <w:szCs w:val="24"/>
          <w:lang w:val="en-GB"/>
        </w:rPr>
      </w:pPr>
      <w:r w:rsidRPr="00A34F10">
        <w:rPr>
          <w:b/>
          <w:bCs/>
          <w:caps/>
          <w:szCs w:val="24"/>
          <w:lang w:val="en-GB"/>
        </w:rPr>
        <w:t>MATERIALS AND METHODS</w:t>
      </w:r>
    </w:p>
    <w:p w14:paraId="1F4E997A" w14:textId="77777777" w:rsidR="00DC5685" w:rsidRPr="00A34F10" w:rsidRDefault="00DC5685" w:rsidP="00E05ECD">
      <w:pPr>
        <w:numPr>
          <w:ilvl w:val="0"/>
          <w:numId w:val="45"/>
        </w:numPr>
        <w:ind w:left="357" w:hanging="357"/>
        <w:contextualSpacing/>
        <w:rPr>
          <w:b/>
          <w:bCs/>
          <w:caps/>
          <w:szCs w:val="24"/>
          <w:lang w:val="en-GB"/>
        </w:rPr>
      </w:pPr>
      <w:r w:rsidRPr="00A34F10">
        <w:rPr>
          <w:b/>
          <w:bCs/>
          <w:caps/>
          <w:szCs w:val="24"/>
          <w:lang w:val="en-GB"/>
        </w:rPr>
        <w:t>MATERIALS</w:t>
      </w:r>
    </w:p>
    <w:p w14:paraId="25628D20" w14:textId="77777777" w:rsidR="00DC5685" w:rsidRPr="00A34F10" w:rsidRDefault="00DC5685" w:rsidP="00DC5685">
      <w:pPr>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58C215A6" w14:textId="77777777" w:rsidTr="000470C3">
        <w:trPr>
          <w:cantSplit/>
          <w:trHeight w:hRule="exact" w:val="340"/>
        </w:trPr>
        <w:tc>
          <w:tcPr>
            <w:tcW w:w="3828" w:type="dxa"/>
          </w:tcPr>
          <w:p w14:paraId="50CCDA1E" w14:textId="77777777" w:rsidR="00DC5685" w:rsidRPr="00A34F10" w:rsidRDefault="00DC5685" w:rsidP="00E05ECD">
            <w:pPr>
              <w:numPr>
                <w:ilvl w:val="0"/>
                <w:numId w:val="46"/>
              </w:numPr>
              <w:spacing w:after="240"/>
              <w:contextualSpacing/>
              <w:rPr>
                <w:rFonts w:ascii="Times New Roman" w:hAnsi="Times New Roman"/>
                <w:szCs w:val="24"/>
                <w:lang w:eastAsia="en-US"/>
              </w:rPr>
            </w:pPr>
            <w:r w:rsidRPr="00A34F10">
              <w:rPr>
                <w:rFonts w:ascii="Times New Roman" w:hAnsi="Times New Roman"/>
                <w:szCs w:val="24"/>
                <w:lang w:eastAsia="en-US"/>
              </w:rPr>
              <w:t>Test item:</w:t>
            </w:r>
          </w:p>
        </w:tc>
        <w:tc>
          <w:tcPr>
            <w:tcW w:w="5522" w:type="dxa"/>
          </w:tcPr>
          <w:p w14:paraId="5DD89467"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BAS 743 03 F</w:t>
            </w:r>
          </w:p>
        </w:tc>
      </w:tr>
      <w:tr w:rsidR="00DC5685" w:rsidRPr="00A34F10" w14:paraId="231C249A" w14:textId="77777777" w:rsidTr="000470C3">
        <w:trPr>
          <w:cantSplit/>
          <w:trHeight w:hRule="exact" w:val="340"/>
        </w:trPr>
        <w:tc>
          <w:tcPr>
            <w:tcW w:w="3828" w:type="dxa"/>
          </w:tcPr>
          <w:p w14:paraId="28C5602A"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Description:</w:t>
            </w:r>
          </w:p>
        </w:tc>
        <w:tc>
          <w:tcPr>
            <w:tcW w:w="5522" w:type="dxa"/>
          </w:tcPr>
          <w:p w14:paraId="37070373"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x-none" w:eastAsia="en-US"/>
              </w:rPr>
              <w:t>Liquid, soluble conc</w:t>
            </w:r>
            <w:r w:rsidRPr="00A34F10">
              <w:rPr>
                <w:rFonts w:ascii="Times New Roman" w:hAnsi="Times New Roman"/>
                <w:szCs w:val="24"/>
                <w:lang w:eastAsia="en-US"/>
              </w:rPr>
              <w:t>entrate (SC)</w:t>
            </w:r>
          </w:p>
        </w:tc>
      </w:tr>
      <w:tr w:rsidR="00DC5685" w:rsidRPr="00A34F10" w14:paraId="55EA04FD" w14:textId="77777777" w:rsidTr="000470C3">
        <w:trPr>
          <w:cantSplit/>
          <w:trHeight w:hRule="exact" w:val="397"/>
        </w:trPr>
        <w:tc>
          <w:tcPr>
            <w:tcW w:w="3828" w:type="dxa"/>
          </w:tcPr>
          <w:p w14:paraId="09B4E8E9"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Lot/Batch:</w:t>
            </w:r>
          </w:p>
        </w:tc>
        <w:tc>
          <w:tcPr>
            <w:tcW w:w="5522" w:type="dxa"/>
          </w:tcPr>
          <w:p w14:paraId="7C57F8A0"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FRE-002223</w:t>
            </w:r>
          </w:p>
        </w:tc>
      </w:tr>
      <w:tr w:rsidR="00DC5685" w:rsidRPr="00A34F10" w14:paraId="2DC3A1CD" w14:textId="77777777" w:rsidTr="000470C3">
        <w:trPr>
          <w:cantSplit/>
          <w:trHeight w:hRule="exact" w:val="606"/>
        </w:trPr>
        <w:tc>
          <w:tcPr>
            <w:tcW w:w="3828" w:type="dxa"/>
          </w:tcPr>
          <w:p w14:paraId="0DCE4949"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Active substance content:</w:t>
            </w:r>
          </w:p>
        </w:tc>
        <w:tc>
          <w:tcPr>
            <w:tcW w:w="5522" w:type="dxa"/>
          </w:tcPr>
          <w:p w14:paraId="3DDE3429" w14:textId="77777777" w:rsidR="00DC5685" w:rsidRPr="00A34F10" w:rsidRDefault="00DC5685" w:rsidP="00DC5685">
            <w:pPr>
              <w:tabs>
                <w:tab w:val="left" w:pos="720"/>
              </w:tabs>
              <w:spacing w:line="276" w:lineRule="auto"/>
              <w:jc w:val="both"/>
              <w:rPr>
                <w:rFonts w:ascii="Times New Roman" w:hAnsi="Times New Roman"/>
                <w:szCs w:val="24"/>
                <w:lang w:val="en-US" w:eastAsia="en-US"/>
              </w:rPr>
            </w:pPr>
            <w:r w:rsidRPr="00A34F10">
              <w:rPr>
                <w:rFonts w:ascii="Times New Roman" w:hAnsi="Times New Roman"/>
                <w:szCs w:val="24"/>
                <w:lang w:val="en-US" w:eastAsia="en-US"/>
              </w:rPr>
              <w:t>Propamocarb: nominal 378.0 g/L; analysed 376.7 g/L,</w:t>
            </w:r>
          </w:p>
          <w:p w14:paraId="1083DD0B"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val="en-US" w:eastAsia="en-US"/>
              </w:rPr>
              <w:t>Ametoctradin: nominal 120.0 g/L; analysed 120.2 g/L</w:t>
            </w:r>
          </w:p>
        </w:tc>
      </w:tr>
      <w:tr w:rsidR="00DC5685" w:rsidRPr="00A34F10" w14:paraId="09FA1E24" w14:textId="77777777" w:rsidTr="000470C3">
        <w:trPr>
          <w:cantSplit/>
          <w:trHeight w:hRule="exact" w:val="340"/>
        </w:trPr>
        <w:tc>
          <w:tcPr>
            <w:tcW w:w="3828" w:type="dxa"/>
          </w:tcPr>
          <w:p w14:paraId="4522EECB"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Density:</w:t>
            </w:r>
          </w:p>
        </w:tc>
        <w:tc>
          <w:tcPr>
            <w:tcW w:w="5522" w:type="dxa"/>
          </w:tcPr>
          <w:p w14:paraId="682FB9DC"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1.071 g/cm</w:t>
            </w:r>
            <w:r w:rsidRPr="00A34F10">
              <w:rPr>
                <w:rFonts w:ascii="Times New Roman" w:hAnsi="Times New Roman"/>
                <w:szCs w:val="24"/>
                <w:vertAlign w:val="superscript"/>
                <w:lang w:eastAsia="en-US"/>
              </w:rPr>
              <w:t xml:space="preserve">3 </w:t>
            </w:r>
          </w:p>
        </w:tc>
      </w:tr>
      <w:tr w:rsidR="00DC5685" w:rsidRPr="00A34F10" w14:paraId="191274AD" w14:textId="77777777" w:rsidTr="000470C3">
        <w:trPr>
          <w:cantSplit/>
          <w:trHeight w:hRule="exact" w:val="549"/>
        </w:trPr>
        <w:tc>
          <w:tcPr>
            <w:tcW w:w="3828" w:type="dxa"/>
          </w:tcPr>
          <w:p w14:paraId="5B631029"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eastAsia="en-US"/>
              </w:rPr>
              <w:t>Storage conditions:</w:t>
            </w:r>
          </w:p>
        </w:tc>
        <w:tc>
          <w:tcPr>
            <w:tcW w:w="5522" w:type="dxa"/>
          </w:tcPr>
          <w:p w14:paraId="026FE0DF"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I</w:t>
            </w:r>
            <w:r w:rsidRPr="00A34F10">
              <w:rPr>
                <w:rFonts w:ascii="Times New Roman" w:hAnsi="Times New Roman"/>
                <w:szCs w:val="24"/>
                <w:lang w:val="x-none" w:eastAsia="en-US"/>
              </w:rPr>
              <w:t>n original container, in a well-ventilated room, under cool and dry conditions in the dark</w:t>
            </w:r>
          </w:p>
        </w:tc>
      </w:tr>
      <w:tr w:rsidR="00DC5685" w:rsidRPr="00A34F10" w14:paraId="36C7C9DA" w14:textId="77777777" w:rsidTr="000470C3">
        <w:trPr>
          <w:cantSplit/>
          <w:trHeight w:hRule="exact" w:val="340"/>
        </w:trPr>
        <w:tc>
          <w:tcPr>
            <w:tcW w:w="3828" w:type="dxa"/>
          </w:tcPr>
          <w:p w14:paraId="7412C406" w14:textId="77777777" w:rsidR="00DC5685" w:rsidRPr="00A34F10" w:rsidRDefault="00DC5685" w:rsidP="00DC5685">
            <w:pPr>
              <w:tabs>
                <w:tab w:val="left" w:pos="624"/>
              </w:tabs>
              <w:spacing w:after="240"/>
              <w:ind w:left="624" w:hanging="186"/>
              <w:rPr>
                <w:rFonts w:ascii="Times New Roman" w:hAnsi="Times New Roman"/>
                <w:szCs w:val="24"/>
                <w:lang w:eastAsia="en-US"/>
              </w:rPr>
            </w:pPr>
            <w:r w:rsidRPr="00A34F10">
              <w:rPr>
                <w:rFonts w:ascii="Times New Roman" w:hAnsi="Times New Roman"/>
                <w:szCs w:val="24"/>
                <w:lang w:val="en-US" w:eastAsia="en-US"/>
              </w:rPr>
              <w:t>Stability (expiry date):</w:t>
            </w:r>
          </w:p>
        </w:tc>
        <w:tc>
          <w:tcPr>
            <w:tcW w:w="5522" w:type="dxa"/>
          </w:tcPr>
          <w:p w14:paraId="0EF70D59" w14:textId="77777777" w:rsidR="00DC5685" w:rsidRPr="00A34F10" w:rsidRDefault="00DC5685" w:rsidP="00DC5685">
            <w:pPr>
              <w:tabs>
                <w:tab w:val="left" w:pos="720"/>
              </w:tabs>
              <w:jc w:val="both"/>
              <w:rPr>
                <w:rFonts w:ascii="Times New Roman" w:hAnsi="Times New Roman"/>
                <w:szCs w:val="24"/>
                <w:lang w:eastAsia="en-US"/>
              </w:rPr>
            </w:pPr>
            <w:r w:rsidRPr="00A34F10">
              <w:rPr>
                <w:rFonts w:ascii="Times New Roman" w:hAnsi="Times New Roman"/>
                <w:szCs w:val="24"/>
                <w:lang w:eastAsia="en-US"/>
              </w:rPr>
              <w:t>31.01.2024</w:t>
            </w:r>
          </w:p>
        </w:tc>
      </w:tr>
      <w:tr w:rsidR="00DC5685" w:rsidRPr="00A34F10" w14:paraId="72E834B3" w14:textId="77777777" w:rsidTr="000470C3">
        <w:trPr>
          <w:cantSplit/>
          <w:trHeight w:hRule="exact" w:val="340"/>
        </w:trPr>
        <w:tc>
          <w:tcPr>
            <w:tcW w:w="3828" w:type="dxa"/>
          </w:tcPr>
          <w:p w14:paraId="299784B7" w14:textId="77777777" w:rsidR="00DC5685" w:rsidRPr="00A34F10" w:rsidRDefault="00DC5685" w:rsidP="00E05ECD">
            <w:pPr>
              <w:numPr>
                <w:ilvl w:val="0"/>
                <w:numId w:val="46"/>
              </w:numPr>
              <w:spacing w:after="240"/>
              <w:contextualSpacing/>
              <w:rPr>
                <w:rFonts w:ascii="Times New Roman" w:hAnsi="Times New Roman"/>
                <w:szCs w:val="24"/>
                <w:lang w:eastAsia="en-US"/>
              </w:rPr>
            </w:pPr>
            <w:r w:rsidRPr="00A34F10">
              <w:rPr>
                <w:rFonts w:ascii="Times New Roman" w:hAnsi="Times New Roman"/>
                <w:szCs w:val="24"/>
                <w:lang w:eastAsia="en-US"/>
              </w:rPr>
              <w:t>Control:</w:t>
            </w:r>
          </w:p>
        </w:tc>
        <w:tc>
          <w:tcPr>
            <w:tcW w:w="5522" w:type="dxa"/>
          </w:tcPr>
          <w:p w14:paraId="34CB3620"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Untreated test medium</w:t>
            </w:r>
          </w:p>
        </w:tc>
      </w:tr>
      <w:tr w:rsidR="00DC5685" w:rsidRPr="00A34F10" w14:paraId="2EC9ACDA" w14:textId="77777777" w:rsidTr="000470C3">
        <w:trPr>
          <w:cantSplit/>
          <w:trHeight w:hRule="exact" w:val="576"/>
        </w:trPr>
        <w:tc>
          <w:tcPr>
            <w:tcW w:w="3828" w:type="dxa"/>
          </w:tcPr>
          <w:p w14:paraId="513AB761" w14:textId="77777777" w:rsidR="00DC5685" w:rsidRPr="00A34F10" w:rsidRDefault="00DC5685" w:rsidP="00E05ECD">
            <w:pPr>
              <w:numPr>
                <w:ilvl w:val="0"/>
                <w:numId w:val="46"/>
              </w:numPr>
              <w:spacing w:after="240"/>
              <w:contextualSpacing/>
              <w:rPr>
                <w:rFonts w:ascii="Times New Roman" w:hAnsi="Times New Roman"/>
                <w:szCs w:val="24"/>
                <w:lang w:eastAsia="en-US"/>
              </w:rPr>
            </w:pPr>
            <w:r w:rsidRPr="00A34F10">
              <w:rPr>
                <w:rFonts w:ascii="Times New Roman" w:hAnsi="Times New Roman"/>
                <w:szCs w:val="24"/>
                <w:lang w:eastAsia="en-US"/>
              </w:rPr>
              <w:t>Reference item:</w:t>
            </w:r>
          </w:p>
        </w:tc>
        <w:tc>
          <w:tcPr>
            <w:tcW w:w="5522" w:type="dxa"/>
          </w:tcPr>
          <w:p w14:paraId="5499E3EC"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szCs w:val="24"/>
                <w:lang w:eastAsia="en-US"/>
              </w:rPr>
              <w:t>Potassium dichromate was tested in a separate study to verify test system sensitivity.</w:t>
            </w:r>
          </w:p>
        </w:tc>
      </w:tr>
    </w:tbl>
    <w:p w14:paraId="09F8F20D" w14:textId="2C06C99C" w:rsidR="003952ED" w:rsidRPr="00A34F10" w:rsidRDefault="003952ED" w:rsidP="00DC5685">
      <w:pPr>
        <w:tabs>
          <w:tab w:val="left" w:pos="0"/>
        </w:tabs>
        <w:spacing w:after="240"/>
        <w:contextualSpacing/>
        <w:rPr>
          <w:b/>
          <w:bCs/>
          <w:caps/>
          <w:szCs w:val="24"/>
          <w:highlight w:val="yellow"/>
          <w:lang w:val="en-GB"/>
        </w:rPr>
      </w:pPr>
    </w:p>
    <w:p w14:paraId="0893E00B" w14:textId="77777777" w:rsidR="00DC5685" w:rsidRPr="00A34F10" w:rsidRDefault="003952ED" w:rsidP="003952ED">
      <w:pPr>
        <w:rPr>
          <w:highlight w:val="yellow"/>
          <w:lang w:val="en-GB"/>
        </w:rPr>
      </w:pPr>
      <w:r w:rsidRPr="00A34F10">
        <w:rPr>
          <w:highlight w:val="yellow"/>
          <w:lang w:val="en-GB"/>
        </w:rPr>
        <w:br w:type="page"/>
      </w:r>
    </w:p>
    <w:p w14:paraId="2E6AA1CF" w14:textId="77777777" w:rsidR="00DC5685" w:rsidRPr="00A34F10" w:rsidRDefault="00DC5685" w:rsidP="00E05ECD">
      <w:pPr>
        <w:numPr>
          <w:ilvl w:val="0"/>
          <w:numId w:val="45"/>
        </w:numPr>
        <w:ind w:left="284" w:hanging="284"/>
        <w:contextualSpacing/>
        <w:rPr>
          <w:b/>
          <w:bCs/>
          <w:caps/>
          <w:szCs w:val="24"/>
          <w:lang w:val="en-GB"/>
        </w:rPr>
      </w:pPr>
      <w:r w:rsidRPr="00A34F10">
        <w:rPr>
          <w:b/>
          <w:bCs/>
          <w:caps/>
          <w:szCs w:val="24"/>
          <w:lang w:val="en-GB"/>
        </w:rPr>
        <w:lastRenderedPageBreak/>
        <w:t>study design and methods</w:t>
      </w:r>
    </w:p>
    <w:p w14:paraId="4BCE47CF" w14:textId="77777777" w:rsidR="00DC5685" w:rsidRPr="00A34F10" w:rsidRDefault="00DC5685" w:rsidP="00DC5685">
      <w:pPr>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A34F10" w14:paraId="62DE410C" w14:textId="77777777" w:rsidTr="000470C3">
        <w:trPr>
          <w:trHeight w:hRule="exact" w:val="340"/>
        </w:trPr>
        <w:tc>
          <w:tcPr>
            <w:tcW w:w="3826" w:type="dxa"/>
          </w:tcPr>
          <w:p w14:paraId="43A5A039" w14:textId="77777777" w:rsidR="00DC5685" w:rsidRPr="00A34F10" w:rsidRDefault="00DC5685" w:rsidP="00E05ECD">
            <w:pPr>
              <w:numPr>
                <w:ilvl w:val="0"/>
                <w:numId w:val="47"/>
              </w:numPr>
              <w:spacing w:after="240"/>
              <w:contextualSpacing/>
              <w:rPr>
                <w:rFonts w:ascii="Times New Roman" w:hAnsi="Times New Roman"/>
                <w:szCs w:val="24"/>
                <w:lang w:eastAsia="en-US"/>
              </w:rPr>
            </w:pPr>
            <w:r w:rsidRPr="00A34F10">
              <w:rPr>
                <w:rFonts w:ascii="Times New Roman" w:hAnsi="Times New Roman"/>
                <w:szCs w:val="24"/>
                <w:lang w:eastAsia="en-US"/>
              </w:rPr>
              <w:t>Test organism:</w:t>
            </w:r>
          </w:p>
        </w:tc>
        <w:tc>
          <w:tcPr>
            <w:tcW w:w="5518" w:type="dxa"/>
          </w:tcPr>
          <w:p w14:paraId="4400843F"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i/>
                <w:szCs w:val="24"/>
                <w:lang w:eastAsia="en-US"/>
              </w:rPr>
              <w:t>Daphnia magna</w:t>
            </w:r>
            <w:r w:rsidRPr="00A34F10">
              <w:rPr>
                <w:rFonts w:ascii="Times New Roman" w:hAnsi="Times New Roman"/>
                <w:szCs w:val="24"/>
                <w:lang w:eastAsia="en-US"/>
              </w:rPr>
              <w:t xml:space="preserve"> (Straus)</w:t>
            </w:r>
          </w:p>
        </w:tc>
      </w:tr>
      <w:tr w:rsidR="00DC5685" w:rsidRPr="00A34F10" w14:paraId="37117B85" w14:textId="77777777" w:rsidTr="000470C3">
        <w:trPr>
          <w:trHeight w:hRule="exact" w:val="294"/>
        </w:trPr>
        <w:tc>
          <w:tcPr>
            <w:tcW w:w="3826" w:type="dxa"/>
          </w:tcPr>
          <w:p w14:paraId="0372533D"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Age</w:t>
            </w:r>
          </w:p>
        </w:tc>
        <w:tc>
          <w:tcPr>
            <w:tcW w:w="5518" w:type="dxa"/>
          </w:tcPr>
          <w:p w14:paraId="53EFF186"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val="en-US" w:eastAsia="en-US"/>
              </w:rPr>
              <w:t>&lt; 24 hours</w:t>
            </w:r>
          </w:p>
        </w:tc>
      </w:tr>
      <w:tr w:rsidR="00DC5685" w:rsidRPr="00A34F10" w14:paraId="1CA38D33" w14:textId="77777777" w:rsidTr="000470C3">
        <w:trPr>
          <w:trHeight w:hRule="exact" w:val="864"/>
        </w:trPr>
        <w:tc>
          <w:tcPr>
            <w:tcW w:w="3826" w:type="dxa"/>
          </w:tcPr>
          <w:p w14:paraId="34BC6EFD"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Source:</w:t>
            </w:r>
          </w:p>
        </w:tc>
        <w:tc>
          <w:tcPr>
            <w:tcW w:w="5518" w:type="dxa"/>
          </w:tcPr>
          <w:p w14:paraId="3BFAB94D"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szCs w:val="24"/>
                <w:lang w:val="en-US" w:eastAsia="en-US"/>
              </w:rPr>
              <w:t>In</w:t>
            </w:r>
            <w:r w:rsidRPr="00A34F10">
              <w:rPr>
                <w:rFonts w:ascii="Times New Roman" w:hAnsi="Times New Roman"/>
                <w:szCs w:val="24"/>
                <w:lang w:val="x-none" w:eastAsia="en-US"/>
              </w:rPr>
              <w:t>-house laboratory culture</w:t>
            </w:r>
            <w:r w:rsidRPr="00A34F10">
              <w:rPr>
                <w:rFonts w:ascii="Times New Roman" w:hAnsi="Times New Roman"/>
                <w:szCs w:val="24"/>
                <w:lang w:val="en-US" w:eastAsia="en-US"/>
              </w:rPr>
              <w:t>, originally purchased from RWTH Aachen University, Institute for Environmental Research, Aachen, Germany</w:t>
            </w:r>
          </w:p>
        </w:tc>
      </w:tr>
      <w:tr w:rsidR="00DC5685" w:rsidRPr="00A34F10" w14:paraId="68FD283B" w14:textId="77777777" w:rsidTr="000470C3">
        <w:trPr>
          <w:trHeight w:hRule="exact" w:val="327"/>
        </w:trPr>
        <w:tc>
          <w:tcPr>
            <w:tcW w:w="3826" w:type="dxa"/>
          </w:tcPr>
          <w:p w14:paraId="496CA948"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Culture medium:</w:t>
            </w:r>
          </w:p>
        </w:tc>
        <w:tc>
          <w:tcPr>
            <w:tcW w:w="5518" w:type="dxa"/>
          </w:tcPr>
          <w:p w14:paraId="68A6FB22" w14:textId="77777777" w:rsidR="00DC5685" w:rsidRPr="00A34F10" w:rsidRDefault="00DC5685" w:rsidP="00DC5685">
            <w:pPr>
              <w:tabs>
                <w:tab w:val="left" w:pos="720"/>
              </w:tabs>
              <w:spacing w:after="240"/>
              <w:jc w:val="both"/>
              <w:rPr>
                <w:rFonts w:ascii="Times New Roman" w:hAnsi="Times New Roman"/>
                <w:szCs w:val="24"/>
                <w:lang w:val="x-none" w:eastAsia="en-US"/>
              </w:rPr>
            </w:pPr>
            <w:r w:rsidRPr="00A34F10">
              <w:rPr>
                <w:rFonts w:ascii="Times New Roman" w:hAnsi="Times New Roman"/>
                <w:szCs w:val="24"/>
                <w:lang w:val="x-none" w:eastAsia="en-US"/>
              </w:rPr>
              <w:t>M4 medium</w:t>
            </w:r>
          </w:p>
        </w:tc>
      </w:tr>
      <w:tr w:rsidR="00DC5685" w:rsidRPr="00A34F10" w14:paraId="02759C9F" w14:textId="77777777" w:rsidTr="000470C3">
        <w:trPr>
          <w:trHeight w:hRule="exact" w:val="327"/>
        </w:trPr>
        <w:tc>
          <w:tcPr>
            <w:tcW w:w="3826" w:type="dxa"/>
          </w:tcPr>
          <w:p w14:paraId="52FD5A51"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Test medium:</w:t>
            </w:r>
          </w:p>
        </w:tc>
        <w:tc>
          <w:tcPr>
            <w:tcW w:w="5518" w:type="dxa"/>
          </w:tcPr>
          <w:p w14:paraId="5C7EAB11" w14:textId="77777777" w:rsidR="00DC5685" w:rsidRPr="00A34F10" w:rsidRDefault="00DC5685" w:rsidP="00DC5685">
            <w:pPr>
              <w:tabs>
                <w:tab w:val="left" w:pos="720"/>
              </w:tabs>
              <w:spacing w:after="240"/>
              <w:jc w:val="both"/>
              <w:rPr>
                <w:rFonts w:ascii="Times New Roman" w:hAnsi="Times New Roman"/>
                <w:szCs w:val="24"/>
                <w:lang w:val="x-none" w:eastAsia="en-US"/>
              </w:rPr>
            </w:pPr>
            <w:r w:rsidRPr="00A34F10">
              <w:rPr>
                <w:rFonts w:ascii="Times New Roman" w:hAnsi="Times New Roman"/>
                <w:szCs w:val="24"/>
                <w:lang w:val="x-none" w:eastAsia="en-US"/>
              </w:rPr>
              <w:t>Reconstituted water according to OECD 202 (ISO 6341)</w:t>
            </w:r>
          </w:p>
        </w:tc>
      </w:tr>
      <w:tr w:rsidR="00DC5685" w:rsidRPr="00A34F10" w14:paraId="1396BBA1" w14:textId="77777777" w:rsidTr="000470C3">
        <w:trPr>
          <w:trHeight w:hRule="exact" w:val="558"/>
        </w:trPr>
        <w:tc>
          <w:tcPr>
            <w:tcW w:w="3826" w:type="dxa"/>
          </w:tcPr>
          <w:p w14:paraId="75063362"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Acclimatisation:</w:t>
            </w:r>
          </w:p>
        </w:tc>
        <w:tc>
          <w:tcPr>
            <w:tcW w:w="5518" w:type="dxa"/>
          </w:tcPr>
          <w:p w14:paraId="09EE3C94"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Brood Daphnia were maintained in test medium under test conditions prior to test start for 48 hours.</w:t>
            </w:r>
          </w:p>
        </w:tc>
      </w:tr>
      <w:tr w:rsidR="00DC5685" w:rsidRPr="00A34F10" w14:paraId="1ACD34BF" w14:textId="77777777" w:rsidTr="000470C3">
        <w:trPr>
          <w:trHeight w:hRule="exact" w:val="907"/>
        </w:trPr>
        <w:tc>
          <w:tcPr>
            <w:tcW w:w="3826" w:type="dxa"/>
          </w:tcPr>
          <w:p w14:paraId="18A8DC5E"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 xml:space="preserve">Diet: </w:t>
            </w:r>
          </w:p>
        </w:tc>
        <w:tc>
          <w:tcPr>
            <w:tcW w:w="5518" w:type="dxa"/>
          </w:tcPr>
          <w:p w14:paraId="211AC390" w14:textId="77777777" w:rsidR="00DC5685" w:rsidRPr="00A34F10" w:rsidRDefault="00DC5685" w:rsidP="00DC5685">
            <w:pPr>
              <w:jc w:val="both"/>
              <w:rPr>
                <w:rFonts w:ascii="Times New Roman" w:hAnsi="Times New Roman"/>
                <w:szCs w:val="24"/>
                <w:lang w:eastAsia="en-US"/>
              </w:rPr>
            </w:pPr>
            <w:r w:rsidRPr="00A34F10">
              <w:rPr>
                <w:rFonts w:ascii="Times New Roman" w:hAnsi="Times New Roman"/>
                <w:szCs w:val="24"/>
                <w:lang w:eastAsia="en-US"/>
              </w:rPr>
              <w:t xml:space="preserve">No feeding during the test, before exposure fed with a defined suspension of green algae </w:t>
            </w:r>
            <w:r w:rsidRPr="00A34F10">
              <w:rPr>
                <w:rFonts w:ascii="Times New Roman" w:hAnsi="Times New Roman"/>
                <w:szCs w:val="24"/>
                <w:lang w:val="x-none" w:eastAsia="en-US"/>
              </w:rPr>
              <w:t>(</w:t>
            </w:r>
            <w:r w:rsidRPr="00A34F10">
              <w:rPr>
                <w:rFonts w:ascii="Times New Roman" w:hAnsi="Times New Roman"/>
                <w:i/>
                <w:iCs/>
                <w:szCs w:val="24"/>
                <w:lang w:val="x-none" w:eastAsia="en-US"/>
              </w:rPr>
              <w:t>Desmodesmus subspicatus</w:t>
            </w:r>
            <w:r w:rsidRPr="00A34F10">
              <w:rPr>
                <w:rFonts w:ascii="Times New Roman" w:hAnsi="Times New Roman"/>
                <w:szCs w:val="24"/>
                <w:lang w:val="x-none" w:eastAsia="en-US"/>
              </w:rPr>
              <w:t>)</w:t>
            </w:r>
            <w:r w:rsidRPr="00A34F10">
              <w:rPr>
                <w:rFonts w:ascii="Times New Roman" w:hAnsi="Times New Roman"/>
                <w:szCs w:val="24"/>
                <w:lang w:eastAsia="en-US"/>
              </w:rPr>
              <w:t xml:space="preserve"> daily</w:t>
            </w:r>
          </w:p>
        </w:tc>
      </w:tr>
      <w:tr w:rsidR="00DC5685" w:rsidRPr="00A34F10" w14:paraId="3B1270F5" w14:textId="77777777" w:rsidTr="000470C3">
        <w:trPr>
          <w:trHeight w:hRule="exact" w:val="576"/>
        </w:trPr>
        <w:tc>
          <w:tcPr>
            <w:tcW w:w="3826" w:type="dxa"/>
          </w:tcPr>
          <w:p w14:paraId="4D6D3729" w14:textId="77777777" w:rsidR="00DC5685" w:rsidRPr="00A34F10" w:rsidRDefault="00DC5685" w:rsidP="00E05ECD">
            <w:pPr>
              <w:numPr>
                <w:ilvl w:val="0"/>
                <w:numId w:val="47"/>
              </w:numPr>
              <w:spacing w:after="240"/>
              <w:contextualSpacing/>
              <w:rPr>
                <w:rFonts w:ascii="Times New Roman" w:hAnsi="Times New Roman"/>
                <w:szCs w:val="24"/>
                <w:lang w:eastAsia="en-US"/>
              </w:rPr>
            </w:pPr>
            <w:r w:rsidRPr="00A34F10">
              <w:rPr>
                <w:rFonts w:ascii="Times New Roman" w:hAnsi="Times New Roman"/>
                <w:szCs w:val="24"/>
                <w:lang w:eastAsia="en-US"/>
              </w:rPr>
              <w:t>Test units:</w:t>
            </w:r>
          </w:p>
        </w:tc>
        <w:tc>
          <w:tcPr>
            <w:tcW w:w="5518" w:type="dxa"/>
          </w:tcPr>
          <w:p w14:paraId="71EA0D70" w14:textId="77777777" w:rsidR="00DC5685" w:rsidRPr="00A34F10" w:rsidRDefault="00DC5685" w:rsidP="00DC5685">
            <w:pPr>
              <w:tabs>
                <w:tab w:val="left" w:pos="720"/>
              </w:tabs>
              <w:spacing w:after="240"/>
              <w:jc w:val="both"/>
              <w:rPr>
                <w:rFonts w:ascii="Times New Roman" w:hAnsi="Times New Roman"/>
                <w:szCs w:val="24"/>
                <w:lang w:val="en-US" w:eastAsia="en-US"/>
              </w:rPr>
            </w:pPr>
            <w:r w:rsidRPr="00A34F10">
              <w:rPr>
                <w:rFonts w:ascii="Times New Roman" w:hAnsi="Times New Roman"/>
                <w:szCs w:val="24"/>
                <w:lang w:eastAsia="en-US"/>
              </w:rPr>
              <w:t>25 ml-g</w:t>
            </w:r>
            <w:r w:rsidRPr="00A34F10">
              <w:rPr>
                <w:rFonts w:ascii="Times New Roman" w:hAnsi="Times New Roman"/>
                <w:szCs w:val="24"/>
                <w:lang w:val="x-none" w:eastAsia="en-US"/>
              </w:rPr>
              <w:t xml:space="preserve">lass beakers </w:t>
            </w:r>
            <w:r w:rsidRPr="00A34F10">
              <w:rPr>
                <w:rFonts w:ascii="Times New Roman" w:hAnsi="Times New Roman"/>
                <w:szCs w:val="24"/>
                <w:lang w:eastAsia="en-US"/>
              </w:rPr>
              <w:t xml:space="preserve">containing </w:t>
            </w:r>
            <w:r w:rsidRPr="00A34F10">
              <w:rPr>
                <w:rFonts w:ascii="Times New Roman" w:hAnsi="Times New Roman"/>
                <w:szCs w:val="24"/>
                <w:lang w:val="x-none" w:eastAsia="en-US"/>
              </w:rPr>
              <w:t>approx</w:t>
            </w:r>
            <w:r w:rsidRPr="00A34F10">
              <w:rPr>
                <w:rFonts w:ascii="Times New Roman" w:hAnsi="Times New Roman"/>
                <w:szCs w:val="24"/>
                <w:lang w:eastAsia="en-US"/>
              </w:rPr>
              <w:t>.</w:t>
            </w:r>
            <w:r w:rsidRPr="00A34F10">
              <w:rPr>
                <w:rFonts w:ascii="Times New Roman" w:hAnsi="Times New Roman"/>
                <w:szCs w:val="24"/>
                <w:lang w:val="x-none" w:eastAsia="en-US"/>
              </w:rPr>
              <w:t xml:space="preserve"> </w:t>
            </w:r>
            <w:r w:rsidRPr="00A34F10">
              <w:rPr>
                <w:rFonts w:ascii="Times New Roman" w:hAnsi="Times New Roman"/>
                <w:szCs w:val="24"/>
                <w:lang w:val="en-US" w:eastAsia="en-US"/>
              </w:rPr>
              <w:t>10.5</w:t>
            </w:r>
            <w:r w:rsidRPr="00A34F10">
              <w:rPr>
                <w:rFonts w:ascii="Times New Roman" w:hAnsi="Times New Roman"/>
                <w:szCs w:val="24"/>
                <w:lang w:val="x-none" w:eastAsia="en-US"/>
              </w:rPr>
              <w:t>mL of</w:t>
            </w:r>
            <w:r w:rsidRPr="00A34F10">
              <w:rPr>
                <w:rFonts w:ascii="Times New Roman" w:hAnsi="Times New Roman"/>
                <w:szCs w:val="24"/>
                <w:lang w:eastAsia="en-US"/>
              </w:rPr>
              <w:t xml:space="preserve"> </w:t>
            </w:r>
            <w:r w:rsidRPr="00A34F10">
              <w:rPr>
                <w:rFonts w:ascii="Times New Roman" w:hAnsi="Times New Roman"/>
                <w:szCs w:val="24"/>
                <w:lang w:val="x-none" w:eastAsia="en-US"/>
              </w:rPr>
              <w:t>test medium</w:t>
            </w:r>
            <w:r w:rsidRPr="00A34F10">
              <w:rPr>
                <w:rFonts w:ascii="Times New Roman" w:hAnsi="Times New Roman"/>
                <w:szCs w:val="24"/>
                <w:lang w:val="en-US" w:eastAsia="en-US"/>
              </w:rPr>
              <w:t>, loosely covered with a plastic lid</w:t>
            </w:r>
          </w:p>
        </w:tc>
      </w:tr>
      <w:tr w:rsidR="00DC5685" w:rsidRPr="00A34F10" w14:paraId="36D7811F" w14:textId="77777777" w:rsidTr="000470C3">
        <w:trPr>
          <w:trHeight w:hRule="exact" w:val="340"/>
        </w:trPr>
        <w:tc>
          <w:tcPr>
            <w:tcW w:w="3826" w:type="dxa"/>
          </w:tcPr>
          <w:p w14:paraId="4D8436CD" w14:textId="77777777" w:rsidR="00DC5685" w:rsidRPr="00A34F10" w:rsidRDefault="00DC5685" w:rsidP="00E05ECD">
            <w:pPr>
              <w:numPr>
                <w:ilvl w:val="0"/>
                <w:numId w:val="47"/>
              </w:numPr>
              <w:spacing w:after="240"/>
              <w:contextualSpacing/>
              <w:rPr>
                <w:rFonts w:ascii="Times New Roman" w:hAnsi="Times New Roman"/>
                <w:szCs w:val="24"/>
                <w:lang w:eastAsia="en-US"/>
              </w:rPr>
            </w:pPr>
            <w:r w:rsidRPr="00A34F10">
              <w:rPr>
                <w:rFonts w:ascii="Times New Roman" w:hAnsi="Times New Roman"/>
                <w:szCs w:val="24"/>
                <w:lang w:eastAsia="en-US"/>
              </w:rPr>
              <w:t>Environmental conditions</w:t>
            </w:r>
          </w:p>
        </w:tc>
        <w:tc>
          <w:tcPr>
            <w:tcW w:w="5518" w:type="dxa"/>
          </w:tcPr>
          <w:p w14:paraId="64374178" w14:textId="77777777" w:rsidR="00DC5685" w:rsidRPr="00A34F10" w:rsidRDefault="00DC5685" w:rsidP="00DC5685">
            <w:pPr>
              <w:tabs>
                <w:tab w:val="left" w:pos="720"/>
              </w:tabs>
              <w:spacing w:after="240"/>
              <w:jc w:val="both"/>
              <w:rPr>
                <w:rFonts w:ascii="Times New Roman" w:hAnsi="Times New Roman"/>
                <w:szCs w:val="24"/>
                <w:highlight w:val="yellow"/>
                <w:lang w:eastAsia="en-US"/>
              </w:rPr>
            </w:pPr>
          </w:p>
        </w:tc>
      </w:tr>
      <w:tr w:rsidR="00DC5685" w:rsidRPr="00A34F10" w14:paraId="45B39783" w14:textId="77777777" w:rsidTr="000470C3">
        <w:trPr>
          <w:trHeight w:hRule="exact" w:val="340"/>
        </w:trPr>
        <w:tc>
          <w:tcPr>
            <w:tcW w:w="3826" w:type="dxa"/>
          </w:tcPr>
          <w:p w14:paraId="048144A7"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Temperature:</w:t>
            </w:r>
          </w:p>
        </w:tc>
        <w:tc>
          <w:tcPr>
            <w:tcW w:w="5518" w:type="dxa"/>
            <w:shd w:val="clear" w:color="auto" w:fill="auto"/>
          </w:tcPr>
          <w:p w14:paraId="6E336B98"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19.8 – 20.0 °C</w:t>
            </w:r>
          </w:p>
        </w:tc>
      </w:tr>
      <w:tr w:rsidR="00DC5685" w:rsidRPr="00A34F10" w14:paraId="3765835C" w14:textId="77777777" w:rsidTr="000470C3">
        <w:trPr>
          <w:trHeight w:hRule="exact" w:val="312"/>
        </w:trPr>
        <w:tc>
          <w:tcPr>
            <w:tcW w:w="3826" w:type="dxa"/>
          </w:tcPr>
          <w:p w14:paraId="15C848A5"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pH:</w:t>
            </w:r>
          </w:p>
        </w:tc>
        <w:tc>
          <w:tcPr>
            <w:tcW w:w="5518" w:type="dxa"/>
            <w:shd w:val="clear" w:color="auto" w:fill="auto"/>
          </w:tcPr>
          <w:p w14:paraId="3F97A36E"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7.98 – 8.13</w:t>
            </w:r>
          </w:p>
        </w:tc>
      </w:tr>
      <w:tr w:rsidR="00DC5685" w:rsidRPr="00A34F10" w14:paraId="4A90AA0E" w14:textId="77777777" w:rsidTr="000470C3">
        <w:trPr>
          <w:trHeight w:hRule="exact" w:val="312"/>
        </w:trPr>
        <w:tc>
          <w:tcPr>
            <w:tcW w:w="3826" w:type="dxa"/>
            <w:shd w:val="clear" w:color="auto" w:fill="auto"/>
          </w:tcPr>
          <w:p w14:paraId="4C6D3670"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eastAsia="en-US"/>
              </w:rPr>
              <w:t>Dissolved O</w:t>
            </w:r>
            <w:r w:rsidRPr="00A34F10">
              <w:rPr>
                <w:rFonts w:ascii="Times New Roman" w:hAnsi="Times New Roman"/>
                <w:szCs w:val="24"/>
                <w:vertAlign w:val="subscript"/>
                <w:lang w:eastAsia="en-US"/>
              </w:rPr>
              <w:t>2</w:t>
            </w:r>
            <w:r w:rsidRPr="00A34F10">
              <w:rPr>
                <w:rFonts w:ascii="Times New Roman" w:hAnsi="Times New Roman"/>
                <w:szCs w:val="24"/>
                <w:lang w:eastAsia="en-US"/>
              </w:rPr>
              <w:t xml:space="preserve"> concentration:</w:t>
            </w:r>
          </w:p>
        </w:tc>
        <w:tc>
          <w:tcPr>
            <w:tcW w:w="5518" w:type="dxa"/>
            <w:shd w:val="clear" w:color="auto" w:fill="auto"/>
          </w:tcPr>
          <w:p w14:paraId="14CE549C"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8.53 – 8.71 mg/L</w:t>
            </w:r>
          </w:p>
        </w:tc>
      </w:tr>
      <w:tr w:rsidR="00DC5685" w:rsidRPr="00A34F10" w14:paraId="056EC4CF" w14:textId="77777777" w:rsidTr="000470C3">
        <w:trPr>
          <w:trHeight w:hRule="exact" w:val="312"/>
        </w:trPr>
        <w:tc>
          <w:tcPr>
            <w:tcW w:w="3826" w:type="dxa"/>
            <w:shd w:val="clear" w:color="auto" w:fill="auto"/>
          </w:tcPr>
          <w:p w14:paraId="2AD8BC92" w14:textId="77777777" w:rsidR="00DC5685" w:rsidRPr="00A34F10" w:rsidRDefault="00DC5685" w:rsidP="00DC5685">
            <w:pPr>
              <w:tabs>
                <w:tab w:val="left" w:pos="624"/>
              </w:tabs>
              <w:spacing w:after="240"/>
              <w:ind w:left="426"/>
              <w:rPr>
                <w:rFonts w:ascii="Times New Roman" w:hAnsi="Times New Roman"/>
                <w:szCs w:val="24"/>
                <w:lang w:eastAsia="en-US"/>
              </w:rPr>
            </w:pPr>
            <w:r w:rsidRPr="00A34F10">
              <w:rPr>
                <w:rFonts w:ascii="Times New Roman" w:hAnsi="Times New Roman"/>
                <w:szCs w:val="24"/>
                <w:lang w:val="en-US" w:eastAsia="en-US"/>
              </w:rPr>
              <w:t>Hardness:</w:t>
            </w:r>
          </w:p>
        </w:tc>
        <w:tc>
          <w:tcPr>
            <w:tcW w:w="5518" w:type="dxa"/>
            <w:shd w:val="clear" w:color="auto" w:fill="auto"/>
          </w:tcPr>
          <w:p w14:paraId="57C6EC94"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lang w:val="en-US" w:eastAsia="en-US"/>
              </w:rPr>
              <w:t>140 – 250 mg/L CaCO</w:t>
            </w:r>
            <w:r w:rsidRPr="00A34F10">
              <w:rPr>
                <w:rFonts w:ascii="Times New Roman" w:hAnsi="Times New Roman"/>
                <w:vertAlign w:val="subscript"/>
                <w:lang w:val="en-US" w:eastAsia="en-US"/>
              </w:rPr>
              <w:t>3</w:t>
            </w:r>
          </w:p>
        </w:tc>
      </w:tr>
      <w:tr w:rsidR="00DC5685" w:rsidRPr="00A34F10" w14:paraId="2BAE28E0" w14:textId="77777777" w:rsidTr="000470C3">
        <w:trPr>
          <w:trHeight w:hRule="exact" w:val="312"/>
        </w:trPr>
        <w:tc>
          <w:tcPr>
            <w:tcW w:w="3826" w:type="dxa"/>
            <w:shd w:val="clear" w:color="auto" w:fill="auto"/>
          </w:tcPr>
          <w:p w14:paraId="0580E0EA" w14:textId="77777777" w:rsidR="00DC5685" w:rsidRPr="00A34F10" w:rsidRDefault="00DC5685" w:rsidP="00DC5685">
            <w:pPr>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Photoperiod:</w:t>
            </w:r>
          </w:p>
        </w:tc>
        <w:tc>
          <w:tcPr>
            <w:tcW w:w="5518" w:type="dxa"/>
            <w:shd w:val="clear" w:color="auto" w:fill="auto"/>
          </w:tcPr>
          <w:p w14:paraId="3C412ED3"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16 h light : 8 h dark</w:t>
            </w:r>
          </w:p>
        </w:tc>
      </w:tr>
      <w:tr w:rsidR="00DC5685" w:rsidRPr="00A34F10" w14:paraId="076514DB" w14:textId="77777777" w:rsidTr="000470C3">
        <w:trPr>
          <w:trHeight w:hRule="exact" w:val="312"/>
        </w:trPr>
        <w:tc>
          <w:tcPr>
            <w:tcW w:w="3826" w:type="dxa"/>
            <w:shd w:val="clear" w:color="auto" w:fill="auto"/>
          </w:tcPr>
          <w:p w14:paraId="5362D325" w14:textId="77777777" w:rsidR="00DC5685" w:rsidRPr="00A34F10" w:rsidRDefault="00DC5685" w:rsidP="00DC5685">
            <w:pPr>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Light intensity:</w:t>
            </w:r>
          </w:p>
        </w:tc>
        <w:tc>
          <w:tcPr>
            <w:tcW w:w="5518" w:type="dxa"/>
            <w:shd w:val="clear" w:color="auto" w:fill="auto"/>
          </w:tcPr>
          <w:p w14:paraId="114B0E02"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20 µE m</w:t>
            </w:r>
            <w:r w:rsidRPr="00A34F10">
              <w:rPr>
                <w:rFonts w:ascii="Times New Roman" w:hAnsi="Times New Roman"/>
                <w:szCs w:val="24"/>
                <w:vertAlign w:val="superscript"/>
                <w:lang w:eastAsia="en-US"/>
              </w:rPr>
              <w:t>-2</w:t>
            </w:r>
            <w:r w:rsidRPr="00A34F10">
              <w:rPr>
                <w:rFonts w:ascii="Times New Roman" w:hAnsi="Times New Roman"/>
                <w:szCs w:val="24"/>
                <w:lang w:eastAsia="en-US"/>
              </w:rPr>
              <w:t xml:space="preserve"> s</w:t>
            </w:r>
            <w:r w:rsidRPr="00A34F10">
              <w:rPr>
                <w:rFonts w:ascii="Times New Roman" w:hAnsi="Times New Roman"/>
                <w:szCs w:val="24"/>
                <w:vertAlign w:val="superscript"/>
                <w:lang w:eastAsia="en-US"/>
              </w:rPr>
              <w:t>-1</w:t>
            </w:r>
          </w:p>
        </w:tc>
      </w:tr>
      <w:tr w:rsidR="00DC5685" w:rsidRPr="00A34F10" w14:paraId="75FDA6F7" w14:textId="77777777" w:rsidTr="000470C3">
        <w:trPr>
          <w:trHeight w:hRule="exact" w:val="312"/>
        </w:trPr>
        <w:tc>
          <w:tcPr>
            <w:tcW w:w="3826" w:type="dxa"/>
            <w:shd w:val="clear" w:color="auto" w:fill="auto"/>
          </w:tcPr>
          <w:p w14:paraId="4BDDDCE4" w14:textId="77777777" w:rsidR="00DC5685" w:rsidRPr="00A34F10" w:rsidRDefault="00DC5685" w:rsidP="00DC5685">
            <w:pPr>
              <w:tabs>
                <w:tab w:val="left" w:pos="624"/>
              </w:tabs>
              <w:spacing w:after="240"/>
              <w:ind w:left="426"/>
              <w:rPr>
                <w:rFonts w:ascii="Times New Roman" w:hAnsi="Times New Roman"/>
                <w:szCs w:val="24"/>
                <w:lang w:val="en-US" w:eastAsia="en-US"/>
              </w:rPr>
            </w:pPr>
            <w:r w:rsidRPr="00A34F10">
              <w:rPr>
                <w:rFonts w:ascii="Times New Roman" w:hAnsi="Times New Roman"/>
                <w:szCs w:val="24"/>
                <w:lang w:eastAsia="en-US"/>
              </w:rPr>
              <w:t>Aeration of the test water:</w:t>
            </w:r>
          </w:p>
        </w:tc>
        <w:tc>
          <w:tcPr>
            <w:tcW w:w="5518" w:type="dxa"/>
            <w:shd w:val="clear" w:color="auto" w:fill="auto"/>
          </w:tcPr>
          <w:p w14:paraId="196FEDAC"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eastAsia="en-US"/>
              </w:rPr>
              <w:t>No aeration of test vessels</w:t>
            </w:r>
          </w:p>
        </w:tc>
      </w:tr>
    </w:tbl>
    <w:p w14:paraId="1EFB3683" w14:textId="77777777" w:rsidR="00DC5685" w:rsidRPr="00A34F10" w:rsidRDefault="00DC5685" w:rsidP="00DC5685">
      <w:pPr>
        <w:numPr>
          <w:ilvl w:val="3"/>
          <w:numId w:val="0"/>
        </w:numPr>
        <w:tabs>
          <w:tab w:val="left" w:pos="0"/>
        </w:tabs>
        <w:spacing w:before="240"/>
        <w:ind w:left="357" w:hanging="357"/>
        <w:contextualSpacing/>
        <w:rPr>
          <w:b/>
          <w:bCs/>
          <w:szCs w:val="24"/>
          <w:lang w:val="en-GB"/>
        </w:rPr>
      </w:pPr>
    </w:p>
    <w:p w14:paraId="2666FEE8" w14:textId="77777777" w:rsidR="00DC5685" w:rsidRPr="00A34F10" w:rsidRDefault="00DC5685" w:rsidP="00E05ECD">
      <w:pPr>
        <w:numPr>
          <w:ilvl w:val="0"/>
          <w:numId w:val="47"/>
        </w:numPr>
        <w:spacing w:after="240"/>
        <w:ind w:left="357" w:hanging="357"/>
        <w:contextualSpacing/>
        <w:rPr>
          <w:b/>
          <w:bCs/>
          <w:szCs w:val="24"/>
          <w:lang w:val="en-GB"/>
        </w:rPr>
      </w:pPr>
      <w:r w:rsidRPr="00A34F10">
        <w:rPr>
          <w:rFonts w:eastAsia="Calibri"/>
          <w:b/>
          <w:bCs/>
          <w:szCs w:val="24"/>
          <w:lang w:val="en-GB"/>
        </w:rPr>
        <w:t>Treatment</w:t>
      </w:r>
      <w:r w:rsidRPr="00A34F10">
        <w:rPr>
          <w:b/>
          <w:bCs/>
          <w:szCs w:val="24"/>
          <w:lang w:val="en-GB"/>
        </w:rPr>
        <w:t xml:space="preserve">: </w:t>
      </w:r>
    </w:p>
    <w:p w14:paraId="584DD06A" w14:textId="77777777" w:rsidR="00DC5685" w:rsidRPr="00A34F10" w:rsidRDefault="00DC5685" w:rsidP="00DC5685">
      <w:pPr>
        <w:spacing w:after="240"/>
        <w:ind w:right="57"/>
        <w:jc w:val="both"/>
        <w:rPr>
          <w:bCs/>
          <w:highlight w:val="yellow"/>
          <w:lang w:val="en-GB"/>
        </w:rPr>
      </w:pPr>
      <w:r w:rsidRPr="00A34F10">
        <w:rPr>
          <w:bCs/>
          <w:lang w:val="en-GB"/>
        </w:rPr>
        <w:t xml:space="preserve">The study was conducted at BioChem agrar (Kupferstraße 6, Machern OT Gerichshain, Germany) between 31.01.2023 and 02.02.2023. The study was conducted as a static dose-response test with five test item nominal concentrations of </w:t>
      </w:r>
      <w:r w:rsidRPr="00A34F10">
        <w:rPr>
          <w:szCs w:val="24"/>
          <w:lang w:val="en-GB"/>
        </w:rPr>
        <w:t>6.26, 12.5, 25.0, 50.0 and 100.</w:t>
      </w:r>
      <w:r w:rsidRPr="00A34F10">
        <w:rPr>
          <w:lang w:val="en-GB"/>
        </w:rPr>
        <w:t xml:space="preserve">0 </w:t>
      </w:r>
      <w:r w:rsidRPr="00A34F10">
        <w:rPr>
          <w:bCs/>
          <w:lang w:val="en-GB"/>
        </w:rPr>
        <w:t xml:space="preserve">mg product/L and one control with untreated test medium. </w:t>
      </w:r>
      <w:r w:rsidRPr="00A34F10">
        <w:rPr>
          <w:bCs/>
          <w:lang w:val="x-none"/>
        </w:rPr>
        <w:t>The test media were prepared just before introduction of the</w:t>
      </w:r>
      <w:r w:rsidRPr="00A34F10">
        <w:rPr>
          <w:bCs/>
          <w:lang w:val="en-GB"/>
        </w:rPr>
        <w:t xml:space="preserve"> </w:t>
      </w:r>
      <w:r w:rsidRPr="00A34F10">
        <w:rPr>
          <w:bCs/>
          <w:lang w:val="x-none"/>
        </w:rPr>
        <w:t>daphnids (= start of the test).</w:t>
      </w:r>
      <w:r w:rsidRPr="00A34F10">
        <w:rPr>
          <w:bCs/>
          <w:lang w:val="en-GB"/>
        </w:rPr>
        <w:t xml:space="preserve"> Four replicates containing five Daphnia each were used for all treatment groups and the control. The duration of the test was 48 hours. </w:t>
      </w:r>
    </w:p>
    <w:p w14:paraId="3C414CF2" w14:textId="77777777" w:rsidR="00DC5685" w:rsidRPr="00A34F10" w:rsidRDefault="00DC5685" w:rsidP="00E05ECD">
      <w:pPr>
        <w:numPr>
          <w:ilvl w:val="0"/>
          <w:numId w:val="47"/>
        </w:numPr>
        <w:spacing w:after="240"/>
        <w:ind w:left="357" w:hanging="357"/>
        <w:contextualSpacing/>
        <w:rPr>
          <w:b/>
          <w:bCs/>
          <w:szCs w:val="24"/>
          <w:lang w:val="en-GB"/>
        </w:rPr>
      </w:pPr>
      <w:r w:rsidRPr="00A34F10">
        <w:rPr>
          <w:b/>
          <w:bCs/>
          <w:szCs w:val="24"/>
          <w:lang w:val="en-GB"/>
        </w:rPr>
        <w:t xml:space="preserve">Dose preparation: </w:t>
      </w:r>
    </w:p>
    <w:p w14:paraId="3031C2F8" w14:textId="77777777" w:rsidR="00DC5685" w:rsidRPr="00A34F10" w:rsidRDefault="00DC5685" w:rsidP="00DC5685">
      <w:pPr>
        <w:tabs>
          <w:tab w:val="left" w:pos="720"/>
        </w:tabs>
        <w:spacing w:after="240"/>
        <w:jc w:val="both"/>
        <w:rPr>
          <w:szCs w:val="24"/>
          <w:lang w:val="x-none"/>
        </w:rPr>
      </w:pPr>
      <w:r w:rsidRPr="00A34F10">
        <w:rPr>
          <w:szCs w:val="24"/>
          <w:lang w:val="x-none"/>
        </w:rPr>
        <w:t xml:space="preserve">A stock solution of </w:t>
      </w:r>
      <w:r w:rsidRPr="00A34F10">
        <w:rPr>
          <w:szCs w:val="24"/>
        </w:rPr>
        <w:t>250.0</w:t>
      </w:r>
      <w:r w:rsidRPr="00A34F10">
        <w:rPr>
          <w:szCs w:val="24"/>
          <w:lang w:val="x-none"/>
        </w:rPr>
        <w:t xml:space="preserve"> mg test item/L was prepared by dissolving</w:t>
      </w:r>
      <w:r w:rsidRPr="00A34F10">
        <w:rPr>
          <w:szCs w:val="24"/>
          <w:lang w:val="en-GB"/>
        </w:rPr>
        <w:t xml:space="preserve"> </w:t>
      </w:r>
      <w:r w:rsidRPr="00A34F10">
        <w:rPr>
          <w:szCs w:val="24"/>
        </w:rPr>
        <w:t>52.5</w:t>
      </w:r>
      <w:r w:rsidRPr="00A34F10">
        <w:rPr>
          <w:szCs w:val="24"/>
          <w:lang w:val="en-GB"/>
        </w:rPr>
        <w:t xml:space="preserve"> </w:t>
      </w:r>
      <w:r w:rsidRPr="00A34F10">
        <w:rPr>
          <w:szCs w:val="24"/>
          <w:lang w:val="x-none"/>
        </w:rPr>
        <w:t xml:space="preserve">mg test item into </w:t>
      </w:r>
      <w:r w:rsidRPr="00A34F10">
        <w:rPr>
          <w:szCs w:val="24"/>
        </w:rPr>
        <w:t>250</w:t>
      </w:r>
      <w:r w:rsidRPr="00A34F10">
        <w:rPr>
          <w:szCs w:val="24"/>
          <w:lang w:val="x-none"/>
        </w:rPr>
        <w:t xml:space="preserve"> mL test water by intense stirring for</w:t>
      </w:r>
      <w:r w:rsidRPr="00A34F10">
        <w:rPr>
          <w:szCs w:val="24"/>
          <w:lang w:val="en-GB"/>
        </w:rPr>
        <w:t xml:space="preserve"> </w:t>
      </w:r>
      <w:r w:rsidRPr="00A34F10">
        <w:rPr>
          <w:szCs w:val="24"/>
        </w:rPr>
        <w:t>5</w:t>
      </w:r>
      <w:r w:rsidRPr="00A34F10">
        <w:rPr>
          <w:szCs w:val="24"/>
          <w:lang w:val="x-none"/>
        </w:rPr>
        <w:t xml:space="preserve"> minutes. Adequate volumes of this stock solution were diluted</w:t>
      </w:r>
      <w:r w:rsidRPr="00A34F10">
        <w:rPr>
          <w:szCs w:val="24"/>
          <w:lang w:val="en-GB"/>
        </w:rPr>
        <w:t xml:space="preserve"> </w:t>
      </w:r>
      <w:r w:rsidRPr="00A34F10">
        <w:rPr>
          <w:szCs w:val="24"/>
          <w:lang w:val="x-none"/>
        </w:rPr>
        <w:t>with test water to prepare the test media of the desired test</w:t>
      </w:r>
      <w:r w:rsidRPr="00A34F10">
        <w:rPr>
          <w:szCs w:val="24"/>
          <w:lang w:val="en-GB"/>
        </w:rPr>
        <w:t xml:space="preserve"> </w:t>
      </w:r>
      <w:r w:rsidRPr="00A34F10">
        <w:rPr>
          <w:szCs w:val="24"/>
          <w:lang w:val="x-none"/>
        </w:rPr>
        <w:t>concentrations.</w:t>
      </w:r>
      <w:r w:rsidRPr="00A34F10">
        <w:rPr>
          <w:szCs w:val="24"/>
          <w:lang w:val="en-GB"/>
        </w:rPr>
        <w:t xml:space="preserve"> </w:t>
      </w:r>
      <w:r w:rsidRPr="00A34F10">
        <w:rPr>
          <w:szCs w:val="24"/>
          <w:lang w:val="x-none"/>
        </w:rPr>
        <w:t>The test media were prepared just before introduction of the</w:t>
      </w:r>
      <w:r w:rsidRPr="00A34F10">
        <w:rPr>
          <w:szCs w:val="24"/>
          <w:lang w:val="en-GB"/>
        </w:rPr>
        <w:t xml:space="preserve"> </w:t>
      </w:r>
      <w:r w:rsidRPr="00A34F10">
        <w:rPr>
          <w:szCs w:val="24"/>
          <w:lang w:val="x-none"/>
        </w:rPr>
        <w:t>daphnids (= start of the test).</w:t>
      </w:r>
    </w:p>
    <w:p w14:paraId="001182E2" w14:textId="77777777" w:rsidR="00DC5685" w:rsidRPr="00A34F10" w:rsidRDefault="00DC5685" w:rsidP="00DC5685">
      <w:pPr>
        <w:tabs>
          <w:tab w:val="left" w:pos="720"/>
        </w:tabs>
        <w:spacing w:after="240"/>
        <w:jc w:val="both"/>
        <w:rPr>
          <w:szCs w:val="24"/>
          <w:highlight w:val="yellow"/>
          <w:lang w:val="x-none"/>
        </w:rPr>
      </w:pPr>
      <w:r w:rsidRPr="00A34F10">
        <w:rPr>
          <w:szCs w:val="24"/>
          <w:lang w:val="en-GB"/>
        </w:rPr>
        <w:t>The stock solutions appeared slightly turbid. Precipitation of any kind were not seen. Individual stock solutions per treatment group were prepared as bulk solutions. Test solutions appeared clear and transparent. Precipitation of any kind were not seen.</w:t>
      </w:r>
    </w:p>
    <w:p w14:paraId="3AD6C2F6" w14:textId="77777777" w:rsidR="00DC5685" w:rsidRPr="00A34F10" w:rsidRDefault="00DC5685" w:rsidP="00E05ECD">
      <w:pPr>
        <w:numPr>
          <w:ilvl w:val="0"/>
          <w:numId w:val="47"/>
        </w:numPr>
        <w:spacing w:after="240"/>
        <w:ind w:left="357" w:hanging="357"/>
        <w:contextualSpacing/>
        <w:rPr>
          <w:b/>
          <w:bCs/>
          <w:szCs w:val="24"/>
          <w:lang w:val="en-GB"/>
        </w:rPr>
      </w:pPr>
      <w:r w:rsidRPr="00A34F10">
        <w:rPr>
          <w:b/>
          <w:bCs/>
          <w:szCs w:val="24"/>
          <w:lang w:val="en-GB"/>
        </w:rPr>
        <w:t xml:space="preserve">Measurements and observations: </w:t>
      </w:r>
    </w:p>
    <w:p w14:paraId="5C022D4F" w14:textId="77777777" w:rsidR="00DC5685" w:rsidRPr="00A34F10" w:rsidRDefault="00DC5685" w:rsidP="00DC5685">
      <w:pPr>
        <w:keepNext/>
        <w:keepLines/>
        <w:tabs>
          <w:tab w:val="left" w:pos="720"/>
        </w:tabs>
        <w:jc w:val="both"/>
        <w:rPr>
          <w:szCs w:val="24"/>
          <w:u w:val="single"/>
          <w:lang w:val="en-GB"/>
        </w:rPr>
      </w:pPr>
      <w:r w:rsidRPr="00A34F10">
        <w:rPr>
          <w:szCs w:val="24"/>
          <w:u w:val="single"/>
          <w:lang w:val="en-GB"/>
        </w:rPr>
        <w:t xml:space="preserve">Biological observations: </w:t>
      </w:r>
    </w:p>
    <w:p w14:paraId="5A912449" w14:textId="3444B89E" w:rsidR="003952ED" w:rsidRPr="00A34F10" w:rsidRDefault="00DC5685" w:rsidP="00DC5685">
      <w:pPr>
        <w:keepNext/>
        <w:keepLines/>
        <w:tabs>
          <w:tab w:val="left" w:pos="720"/>
        </w:tabs>
        <w:jc w:val="both"/>
      </w:pPr>
      <w:r w:rsidRPr="00A34F10">
        <w:rPr>
          <w:bCs/>
          <w:szCs w:val="24"/>
          <w:lang w:val="en-GB"/>
        </w:rPr>
        <w:t xml:space="preserve">The mobility of the daphnids was determined by visual observation after 3, 24 and 48 hours. Those animals not able to swim within 15 seconds after gentle agitation of the test vessels were considered to be immobile. </w:t>
      </w:r>
      <w:r w:rsidRPr="00A34F10">
        <w:t>Any abnormal behaviour or appearance was recorded (e.g. trapping at surface of water or discoloration).</w:t>
      </w:r>
    </w:p>
    <w:p w14:paraId="0D29F6A4" w14:textId="4B6B67DB" w:rsidR="00DC5685" w:rsidRPr="00A34F10" w:rsidRDefault="003952ED" w:rsidP="003952ED">
      <w:pPr>
        <w:rPr>
          <w:szCs w:val="24"/>
          <w:highlight w:val="yellow"/>
          <w:u w:val="single"/>
          <w:lang w:val="en-GB"/>
        </w:rPr>
      </w:pPr>
      <w:r w:rsidRPr="00A34F10">
        <w:br w:type="page"/>
      </w:r>
    </w:p>
    <w:p w14:paraId="1DE79732" w14:textId="77777777" w:rsidR="00DC5685" w:rsidRPr="00A34F10" w:rsidRDefault="00DC5685" w:rsidP="00DC5685">
      <w:pPr>
        <w:tabs>
          <w:tab w:val="left" w:pos="720"/>
        </w:tabs>
        <w:jc w:val="both"/>
        <w:rPr>
          <w:bCs/>
          <w:szCs w:val="24"/>
          <w:lang w:val="en-GB"/>
        </w:rPr>
      </w:pPr>
      <w:r w:rsidRPr="00A34F10">
        <w:rPr>
          <w:szCs w:val="24"/>
          <w:u w:val="single"/>
          <w:lang w:val="en-GB"/>
        </w:rPr>
        <w:lastRenderedPageBreak/>
        <w:t>Physicochemical measurements:</w:t>
      </w:r>
    </w:p>
    <w:p w14:paraId="58A013AF" w14:textId="77777777" w:rsidR="00DC5685" w:rsidRPr="00A34F10" w:rsidRDefault="00DC5685" w:rsidP="00DC5685">
      <w:pPr>
        <w:tabs>
          <w:tab w:val="left" w:pos="720"/>
        </w:tabs>
        <w:jc w:val="both"/>
        <w:rPr>
          <w:szCs w:val="24"/>
          <w:lang w:val="x-none"/>
        </w:rPr>
      </w:pPr>
      <w:r w:rsidRPr="00A34F10">
        <w:rPr>
          <w:szCs w:val="24"/>
          <w:lang w:val="x-none"/>
        </w:rPr>
        <w:t>At test start and test end, the pH and oxygen content in test solutions was recorded. The temperature was recorded continuously.</w:t>
      </w:r>
    </w:p>
    <w:p w14:paraId="101FF519" w14:textId="77777777" w:rsidR="00DC5685" w:rsidRPr="00A34F10" w:rsidRDefault="00DC5685" w:rsidP="00DC5685">
      <w:pPr>
        <w:tabs>
          <w:tab w:val="left" w:pos="720"/>
        </w:tabs>
        <w:jc w:val="both"/>
        <w:rPr>
          <w:szCs w:val="24"/>
          <w:highlight w:val="yellow"/>
          <w:u w:val="single"/>
          <w:lang w:val="en-GB"/>
        </w:rPr>
      </w:pPr>
    </w:p>
    <w:p w14:paraId="350A6F5D" w14:textId="77777777" w:rsidR="00DC5685" w:rsidRPr="00A34F10" w:rsidRDefault="00DC5685" w:rsidP="00DC5685">
      <w:pPr>
        <w:tabs>
          <w:tab w:val="left" w:pos="720"/>
        </w:tabs>
        <w:jc w:val="both"/>
        <w:rPr>
          <w:szCs w:val="24"/>
          <w:u w:val="single"/>
          <w:lang w:val="en-GB"/>
        </w:rPr>
      </w:pPr>
      <w:r w:rsidRPr="00A34F10">
        <w:rPr>
          <w:szCs w:val="24"/>
          <w:u w:val="single"/>
          <w:lang w:val="en-GB"/>
        </w:rPr>
        <w:t>Analytical verification:</w:t>
      </w:r>
    </w:p>
    <w:p w14:paraId="6C5F0DDC" w14:textId="77777777" w:rsidR="00DC5685" w:rsidRPr="00A34F10" w:rsidRDefault="00DC5685" w:rsidP="00DC5685">
      <w:pPr>
        <w:tabs>
          <w:tab w:val="left" w:pos="720"/>
        </w:tabs>
        <w:jc w:val="both"/>
        <w:rPr>
          <w:szCs w:val="24"/>
        </w:rPr>
      </w:pPr>
      <w:r w:rsidRPr="00A34F10">
        <w:rPr>
          <w:szCs w:val="24"/>
        </w:rPr>
        <w:t>At test start, samples for analysis were taken from additional test vessels which were setup under identical conditions and did therefore contain Daphnia. Samples after 24 hours and test end were taken from the actual test vessels used in the test. 1 mL sampling vials were labelled, filled with 0.5 mL test solution and 0.5 mL acetonitrile/0.2% formic acid was added right after. All samples were stored deep frozen until usage during the analytical phase of the study.</w:t>
      </w:r>
    </w:p>
    <w:p w14:paraId="15A3B147" w14:textId="77777777" w:rsidR="00DC5685" w:rsidRPr="00A34F10" w:rsidRDefault="00DC5685" w:rsidP="00DC5685">
      <w:pPr>
        <w:tabs>
          <w:tab w:val="left" w:pos="720"/>
        </w:tabs>
        <w:jc w:val="both"/>
        <w:rPr>
          <w:szCs w:val="24"/>
        </w:rPr>
      </w:pPr>
    </w:p>
    <w:p w14:paraId="43D4AA1D" w14:textId="77777777" w:rsidR="00DC5685" w:rsidRPr="00A34F10" w:rsidRDefault="00DC5685" w:rsidP="00DC5685">
      <w:pPr>
        <w:tabs>
          <w:tab w:val="left" w:pos="720"/>
        </w:tabs>
        <w:jc w:val="both"/>
        <w:rPr>
          <w:szCs w:val="24"/>
        </w:rPr>
      </w:pPr>
      <w:r w:rsidRPr="00A34F10">
        <w:rPr>
          <w:szCs w:val="24"/>
        </w:rPr>
        <w:t>Concentrations of the test item BAS 743 03 F were determined via its active substances propamocarb and BAS 650 F (ametoctradin) in test item solutions. The determination was conducted by using high performance liquid chromatography (HPLC) with mass-spectrometric (MS-MS) detection.</w:t>
      </w:r>
    </w:p>
    <w:p w14:paraId="508EF2A6" w14:textId="77777777" w:rsidR="00DC5685" w:rsidRPr="00A34F10" w:rsidRDefault="00DC5685" w:rsidP="00DC5685">
      <w:pPr>
        <w:tabs>
          <w:tab w:val="left" w:pos="720"/>
        </w:tabs>
        <w:jc w:val="both"/>
        <w:rPr>
          <w:szCs w:val="24"/>
        </w:rPr>
      </w:pPr>
    </w:p>
    <w:p w14:paraId="16FFBB86" w14:textId="77777777" w:rsidR="00DC5685" w:rsidRPr="00A34F10" w:rsidRDefault="00DC5685" w:rsidP="00E05ECD">
      <w:pPr>
        <w:numPr>
          <w:ilvl w:val="0"/>
          <w:numId w:val="48"/>
        </w:numPr>
        <w:spacing w:before="240"/>
        <w:ind w:left="357" w:hanging="357"/>
        <w:contextualSpacing/>
        <w:rPr>
          <w:b/>
          <w:bCs/>
          <w:szCs w:val="24"/>
          <w:lang w:val="en-GB"/>
        </w:rPr>
      </w:pPr>
      <w:r w:rsidRPr="00A34F10">
        <w:rPr>
          <w:b/>
          <w:bCs/>
          <w:szCs w:val="24"/>
          <w:lang w:val="en-GB"/>
        </w:rPr>
        <w:t xml:space="preserve">Statistical analysis: </w:t>
      </w:r>
    </w:p>
    <w:p w14:paraId="6BC9C8C3" w14:textId="77777777" w:rsidR="00DC5685" w:rsidRPr="00A34F10" w:rsidRDefault="00DC5685" w:rsidP="00DC5685">
      <w:pPr>
        <w:tabs>
          <w:tab w:val="left" w:pos="720"/>
        </w:tabs>
        <w:spacing w:after="240"/>
        <w:jc w:val="both"/>
        <w:rPr>
          <w:szCs w:val="24"/>
        </w:rPr>
      </w:pPr>
      <w:r w:rsidRPr="00A34F10">
        <w:rPr>
          <w:szCs w:val="24"/>
          <w:lang w:val="x-none"/>
        </w:rPr>
        <w:t>EC</w:t>
      </w:r>
      <w:r w:rsidRPr="00A34F10">
        <w:rPr>
          <w:szCs w:val="24"/>
          <w:vertAlign w:val="subscript"/>
        </w:rPr>
        <w:t>x</w:t>
      </w:r>
      <w:r w:rsidRPr="00A34F10">
        <w:rPr>
          <w:szCs w:val="24"/>
          <w:lang w:val="x-none"/>
        </w:rPr>
        <w:t xml:space="preserve"> could not be quantified </w:t>
      </w:r>
      <w:r w:rsidRPr="00A34F10">
        <w:rPr>
          <w:szCs w:val="24"/>
        </w:rPr>
        <w:t>due</w:t>
      </w:r>
      <w:r w:rsidRPr="00A34F10">
        <w:rPr>
          <w:szCs w:val="24"/>
          <w:lang w:val="x-none"/>
        </w:rPr>
        <w:t xml:space="preserve"> to the absence of toxicity of the</w:t>
      </w:r>
      <w:r w:rsidRPr="00A34F10">
        <w:rPr>
          <w:szCs w:val="24"/>
        </w:rPr>
        <w:t xml:space="preserve"> </w:t>
      </w:r>
      <w:r w:rsidRPr="00A34F10">
        <w:rPr>
          <w:szCs w:val="24"/>
          <w:lang w:val="x-none"/>
        </w:rPr>
        <w:t xml:space="preserve">test item. </w:t>
      </w:r>
      <w:r w:rsidRPr="00A34F10">
        <w:rPr>
          <w:szCs w:val="24"/>
        </w:rPr>
        <w:t>Monotonicity (trend analysis by contrasts, p ≤ 0.05) was performed. The LOEC was determined using Fisher`s Exact Binomial Test with Bonferroni Correction (a = 0.05, one-sided greater). Statistics and modelling were done using ToxRat professional version 3.3.0 (RATTE, 2018).</w:t>
      </w:r>
    </w:p>
    <w:p w14:paraId="3727CCD0" w14:textId="77777777" w:rsidR="00DC5685" w:rsidRPr="00A34F10" w:rsidRDefault="00DC5685" w:rsidP="00E05ECD">
      <w:pPr>
        <w:numPr>
          <w:ilvl w:val="0"/>
          <w:numId w:val="48"/>
        </w:numPr>
        <w:spacing w:before="240"/>
        <w:ind w:left="284" w:hanging="284"/>
        <w:contextualSpacing/>
        <w:rPr>
          <w:b/>
          <w:bCs/>
          <w:szCs w:val="24"/>
          <w:lang w:val="en-GB"/>
        </w:rPr>
      </w:pPr>
      <w:r w:rsidRPr="00A34F10">
        <w:rPr>
          <w:b/>
          <w:bCs/>
          <w:szCs w:val="24"/>
          <w:lang w:val="en-GB"/>
        </w:rPr>
        <w:t>Description of the analytical procedures</w:t>
      </w:r>
    </w:p>
    <w:p w14:paraId="0CE917AA" w14:textId="77777777" w:rsidR="00DC5685" w:rsidRPr="00A34F10" w:rsidRDefault="00DC5685" w:rsidP="00DC5685">
      <w:pPr>
        <w:spacing w:before="240"/>
        <w:contextualSpacing/>
        <w:jc w:val="both"/>
        <w:rPr>
          <w:szCs w:val="24"/>
        </w:rPr>
      </w:pPr>
      <w:r w:rsidRPr="00A34F10">
        <w:rPr>
          <w:szCs w:val="24"/>
        </w:rPr>
        <w:t>Concentrations of the test item BAS 743 03 F were determined via its active substances propamocarb and BAS 650 F (ametoctradin) in test item solutions. The determination was performed using HPLC-MS/MS.</w:t>
      </w:r>
    </w:p>
    <w:p w14:paraId="653D8EE6" w14:textId="77777777" w:rsidR="00DC5685" w:rsidRPr="00A34F10" w:rsidRDefault="00DC5685" w:rsidP="00DC5685">
      <w:pPr>
        <w:spacing w:before="240"/>
        <w:contextualSpacing/>
        <w:jc w:val="both"/>
        <w:rPr>
          <w:szCs w:val="24"/>
        </w:rPr>
      </w:pPr>
    </w:p>
    <w:p w14:paraId="05A00BF6" w14:textId="77777777" w:rsidR="00DC5685" w:rsidRPr="00A34F10" w:rsidRDefault="00DC5685" w:rsidP="00DC5685">
      <w:pPr>
        <w:spacing w:before="240"/>
        <w:contextualSpacing/>
        <w:jc w:val="both"/>
        <w:rPr>
          <w:szCs w:val="24"/>
        </w:rPr>
      </w:pPr>
      <w:r w:rsidRPr="00A34F10">
        <w:rPr>
          <w:szCs w:val="24"/>
        </w:rPr>
        <w:t>For the specimens, which were present in reconstituted, no extraction was necessary. They were diluted with 50/50 (v/v) 0.2% formic acid in acetonitrile/ test matrix into the range of the calibration curve before injecting into the HPLC-system. The method has limits of quantification (LOQ) of 0.4882 mg/L (propamocarb) and 0.1550 mg/L (BAS 650 F). The limits of detection (LOD) were ≤ 30% of LOQ and are defined as the lowest calibration level for each sample matrix.</w:t>
      </w:r>
    </w:p>
    <w:p w14:paraId="67F7A040" w14:textId="77777777" w:rsidR="00DC5685" w:rsidRPr="00A34F10" w:rsidRDefault="00DC5685" w:rsidP="00DC5685">
      <w:pPr>
        <w:spacing w:before="240"/>
        <w:contextualSpacing/>
        <w:jc w:val="both"/>
        <w:rPr>
          <w:b/>
          <w:bCs/>
          <w:szCs w:val="24"/>
          <w:highlight w:val="yellow"/>
        </w:rPr>
      </w:pPr>
    </w:p>
    <w:p w14:paraId="21CBA6D2" w14:textId="77777777" w:rsidR="00DC5685" w:rsidRPr="00A34F10" w:rsidRDefault="00DC5685" w:rsidP="00DC5685">
      <w:pPr>
        <w:widowControl w:val="0"/>
        <w:tabs>
          <w:tab w:val="left" w:pos="720"/>
        </w:tabs>
        <w:jc w:val="both"/>
        <w:rPr>
          <w:lang w:val="en-GB"/>
        </w:rPr>
      </w:pPr>
      <w:r w:rsidRPr="00A34F10">
        <w:rPr>
          <w:lang w:val="x-none"/>
        </w:rPr>
        <w:t xml:space="preserve">Stability samples prepared </w:t>
      </w:r>
      <w:r w:rsidRPr="00A34F10">
        <w:rPr>
          <w:lang w:val="en-GB"/>
        </w:rPr>
        <w:t>one day before</w:t>
      </w:r>
      <w:r w:rsidRPr="00A34F10">
        <w:rPr>
          <w:lang w:val="x-none"/>
        </w:rPr>
        <w:t xml:space="preserve"> test start</w:t>
      </w:r>
      <w:r w:rsidRPr="00A34F10">
        <w:rPr>
          <w:lang w:val="en-GB"/>
        </w:rPr>
        <w:t xml:space="preserve"> were not analysed </w:t>
      </w:r>
      <w:r w:rsidRPr="00A34F10">
        <w:rPr>
          <w:lang w:val="x-none"/>
        </w:rPr>
        <w:t xml:space="preserve">since analyses for </w:t>
      </w:r>
      <w:r w:rsidRPr="00A34F10">
        <w:rPr>
          <w:lang w:val="en-GB"/>
        </w:rPr>
        <w:t>p</w:t>
      </w:r>
      <w:r w:rsidRPr="00A34F10">
        <w:t xml:space="preserve">ropamocarb </w:t>
      </w:r>
      <w:r w:rsidRPr="00A34F10">
        <w:rPr>
          <w:lang w:val="x-none"/>
        </w:rPr>
        <w:t>and BAS</w:t>
      </w:r>
      <w:r w:rsidRPr="00A34F10">
        <w:rPr>
          <w:lang w:val="en-GB"/>
        </w:rPr>
        <w:t xml:space="preserve"> </w:t>
      </w:r>
      <w:r w:rsidRPr="00A34F10">
        <w:rPr>
          <w:lang w:val="x-none"/>
        </w:rPr>
        <w:t>650 F were conducted less than 30 days after test start</w:t>
      </w:r>
      <w:r w:rsidRPr="00A34F10">
        <w:rPr>
          <w:lang w:val="en-GB"/>
        </w:rPr>
        <w:t xml:space="preserve">. Blank control samples (blanks of the carrier without test item) were analysed within this study. No significant interference from the blank carrier within the test item could be observed. </w:t>
      </w:r>
    </w:p>
    <w:p w14:paraId="1CCB8B86" w14:textId="77777777" w:rsidR="00DC5685" w:rsidRPr="00A34F10" w:rsidRDefault="00DC5685" w:rsidP="00DC5685">
      <w:pPr>
        <w:widowControl w:val="0"/>
        <w:tabs>
          <w:tab w:val="left" w:pos="720"/>
        </w:tabs>
        <w:jc w:val="both"/>
        <w:rPr>
          <w:lang w:val="en-GB"/>
        </w:rPr>
      </w:pPr>
    </w:p>
    <w:p w14:paraId="47B46739" w14:textId="77777777" w:rsidR="00DC5685" w:rsidRPr="00A34F10" w:rsidRDefault="00DC5685" w:rsidP="00DC5685">
      <w:pPr>
        <w:widowControl w:val="0"/>
        <w:tabs>
          <w:tab w:val="left" w:pos="720"/>
        </w:tabs>
        <w:spacing w:after="240"/>
        <w:jc w:val="both"/>
        <w:rPr>
          <w:lang w:val="en-GB"/>
        </w:rPr>
      </w:pPr>
      <w:r w:rsidRPr="00A34F10">
        <w:rPr>
          <w:lang w:val="en-GB"/>
        </w:rPr>
        <w:t>A matrix matched calibration was performed from 6.574 ng/mL to 119.5 ng/mL propamocarb (corresponding to 0.1315 mg/L to 2.391 mg/L considering the lowest applied overall dilution factor (DF</w:t>
      </w:r>
      <w:r w:rsidRPr="00A34F10">
        <w:rPr>
          <w:vertAlign w:val="subscript"/>
          <w:lang w:val="en-GB"/>
        </w:rPr>
        <w:t>Overall</w:t>
      </w:r>
      <w:r w:rsidRPr="00A34F10">
        <w:rPr>
          <w:lang w:val="en-GB"/>
        </w:rPr>
        <w:t>) of 20 mL/mL) as well as 2.087 ng/mL to 37.95 ng/mL BAS 650 F (corresponding to 0.04174 mg/L to 0.7589 mg/L considering the lowest applied DF</w:t>
      </w:r>
      <w:r w:rsidRPr="00A34F10">
        <w:rPr>
          <w:vertAlign w:val="subscript"/>
          <w:lang w:val="en-GB"/>
        </w:rPr>
        <w:t>Overall</w:t>
      </w:r>
      <w:r w:rsidRPr="00A34F10">
        <w:rPr>
          <w:lang w:val="en-GB"/>
        </w:rPr>
        <w:t xml:space="preserve"> of 20 mL/mL).</w:t>
      </w:r>
    </w:p>
    <w:p w14:paraId="6EE8E3D9" w14:textId="77777777" w:rsidR="00DC5685" w:rsidRPr="00A34F10" w:rsidRDefault="00DC5685" w:rsidP="00DC5685">
      <w:pPr>
        <w:widowControl w:val="0"/>
        <w:tabs>
          <w:tab w:val="left" w:pos="720"/>
        </w:tabs>
        <w:spacing w:after="240"/>
        <w:jc w:val="both"/>
        <w:rPr>
          <w:highlight w:val="yellow"/>
        </w:rPr>
      </w:pPr>
      <w:r w:rsidRPr="00A34F10">
        <w:rPr>
          <w:lang w:val="x-none"/>
        </w:rPr>
        <w:t xml:space="preserve">Results of the validation experiments obtained during analysis of BAS 743 03 F showed that the mean recovery efficiency and repeatability was within the acceptable range of 70% to 120% of the intended concentrations for </w:t>
      </w:r>
      <w:r w:rsidRPr="00A34F10">
        <w:rPr>
          <w:lang w:val="en-GB"/>
        </w:rPr>
        <w:t>p</w:t>
      </w:r>
      <w:r w:rsidRPr="00A34F10">
        <w:rPr>
          <w:lang w:val="x-none"/>
        </w:rPr>
        <w:t>ropamocarb and BAS 650 F, with relative standard deviations RSD &lt; 20%. No significant peak interferences (&gt;LOD) occurred at the retention time and mass transition in the control samples.</w:t>
      </w:r>
    </w:p>
    <w:p w14:paraId="7779FC7B" w14:textId="083CC71D" w:rsidR="003952ED" w:rsidRPr="00A34F10" w:rsidRDefault="00DC5685" w:rsidP="00DC5685">
      <w:pPr>
        <w:widowControl w:val="0"/>
        <w:tabs>
          <w:tab w:val="left" w:pos="720"/>
        </w:tabs>
        <w:spacing w:after="240"/>
        <w:jc w:val="both"/>
        <w:rPr>
          <w:lang w:val="en-GB"/>
        </w:rPr>
      </w:pPr>
      <w:r w:rsidRPr="00A34F10">
        <w:rPr>
          <w:lang w:val="x-none"/>
        </w:rPr>
        <w:t xml:space="preserve">The validity criteria </w:t>
      </w:r>
      <w:r w:rsidRPr="00A34F10">
        <w:rPr>
          <w:lang w:val="en-GB"/>
        </w:rPr>
        <w:t xml:space="preserve">(specificity, linearity, accuracy and precision) </w:t>
      </w:r>
      <w:r w:rsidRPr="00A34F10">
        <w:rPr>
          <w:lang w:val="x-none"/>
        </w:rPr>
        <w:t>for the analytical method have been met according to</w:t>
      </w:r>
      <w:r w:rsidRPr="00A34F10">
        <w:rPr>
          <w:lang w:val="en-GB"/>
        </w:rPr>
        <w:t xml:space="preserve"> </w:t>
      </w:r>
      <w:r w:rsidRPr="00A34F10">
        <w:rPr>
          <w:lang w:val="x-none"/>
        </w:rPr>
        <w:t>SANTE/2020/12830, Rev.1</w:t>
      </w:r>
      <w:r w:rsidRPr="00A34F10">
        <w:t xml:space="preserve"> and ENV/JM/MONO(2007)17</w:t>
      </w:r>
      <w:r w:rsidRPr="00A34F10">
        <w:rPr>
          <w:lang w:val="en-GB"/>
        </w:rPr>
        <w:t>.</w:t>
      </w:r>
    </w:p>
    <w:p w14:paraId="1B96EE32" w14:textId="77777777" w:rsidR="00DC5685" w:rsidRPr="00A34F10" w:rsidRDefault="003952ED" w:rsidP="003952ED">
      <w:pPr>
        <w:rPr>
          <w:lang w:val="en-GB"/>
        </w:rPr>
      </w:pPr>
      <w:r w:rsidRPr="00A34F10">
        <w:rPr>
          <w:lang w:val="en-GB"/>
        </w:rPr>
        <w:br w:type="page"/>
      </w:r>
    </w:p>
    <w:p w14:paraId="1DD7F63E" w14:textId="361DE287" w:rsidR="00DC5685" w:rsidRPr="00A34F10" w:rsidRDefault="00EA3876" w:rsidP="00EA3876">
      <w:pPr>
        <w:pStyle w:val="Legenda"/>
        <w:rPr>
          <w:lang w:val="x-none" w:eastAsia="zh-CN"/>
        </w:rPr>
      </w:pPr>
      <w:r>
        <w:lastRenderedPageBreak/>
        <w:t xml:space="preserve">Table A </w:t>
      </w:r>
      <w:r>
        <w:fldChar w:fldCharType="begin"/>
      </w:r>
      <w:r>
        <w:instrText xml:space="preserve"> SEQ Table_A \* ARABIC </w:instrText>
      </w:r>
      <w:r>
        <w:fldChar w:fldCharType="separate"/>
      </w:r>
      <w:r w:rsidR="006F0F3B">
        <w:rPr>
          <w:noProof/>
        </w:rPr>
        <w:t>13</w:t>
      </w:r>
      <w:r>
        <w:fldChar w:fldCharType="end"/>
      </w:r>
      <w:r w:rsidR="003952ED" w:rsidRPr="00A34F10">
        <w:t>:</w:t>
      </w:r>
      <w:r w:rsidR="00DC5685" w:rsidRPr="00A34F10">
        <w:tab/>
      </w:r>
      <w:r w:rsidR="00DC5685" w:rsidRPr="00A34F10">
        <w:rPr>
          <w:lang w:eastAsia="zh-CN"/>
        </w:rPr>
        <w:t>Procedural recoveries for Propamocarb and BAS 650 F</w:t>
      </w:r>
      <w:r w:rsidR="00DC5685" w:rsidRPr="00A34F10">
        <w:rPr>
          <w:lang w:val="x-none" w:eastAsia="zh-CN"/>
        </w:rPr>
        <w:t xml:space="preserve"> applied as BAS </w:t>
      </w:r>
      <w:r w:rsidR="00DC5685" w:rsidRPr="00A34F10">
        <w:rPr>
          <w:lang w:eastAsia="zh-CN"/>
        </w:rPr>
        <w:t>743 03</w:t>
      </w:r>
      <w:r w:rsidR="00DC5685" w:rsidRPr="00A34F10">
        <w:rPr>
          <w:lang w:val="x-none" w:eastAsia="zh-CN"/>
        </w:rPr>
        <w:t xml:space="preserve"> F in</w:t>
      </w:r>
      <w:r w:rsidR="00DC5685" w:rsidRPr="00A34F10">
        <w:rPr>
          <w:lang w:eastAsia="zh-CN"/>
        </w:rPr>
        <w:t xml:space="preserve"> t</w:t>
      </w:r>
      <w:r w:rsidR="00DC5685" w:rsidRPr="00A34F10">
        <w:rPr>
          <w:lang w:val="x-none" w:eastAsia="zh-CN"/>
        </w:rPr>
        <w:t xml:space="preserve">est </w:t>
      </w:r>
      <w:r w:rsidR="00DC5685" w:rsidRPr="00A34F10">
        <w:rPr>
          <w:lang w:eastAsia="zh-CN"/>
        </w:rPr>
        <w:t>w</w:t>
      </w:r>
      <w:r w:rsidR="00DC5685" w:rsidRPr="00A34F10">
        <w:rPr>
          <w:lang w:val="x-none" w:eastAsia="zh-CN"/>
        </w:rPr>
        <w:t>ater</w:t>
      </w:r>
    </w:p>
    <w:tbl>
      <w:tblPr>
        <w:tblStyle w:val="Tabela-Motyw"/>
        <w:tblW w:w="5000" w:type="pct"/>
        <w:jc w:val="center"/>
        <w:tblLook w:val="0000" w:firstRow="0" w:lastRow="0" w:firstColumn="0" w:lastColumn="0" w:noHBand="0" w:noVBand="0"/>
      </w:tblPr>
      <w:tblGrid>
        <w:gridCol w:w="1725"/>
        <w:gridCol w:w="1437"/>
        <w:gridCol w:w="863"/>
        <w:gridCol w:w="1725"/>
        <w:gridCol w:w="1725"/>
        <w:gridCol w:w="1869"/>
      </w:tblGrid>
      <w:tr w:rsidR="00DC5685" w:rsidRPr="00A34F10" w14:paraId="0FFB9022" w14:textId="77777777" w:rsidTr="000470C3">
        <w:trPr>
          <w:trHeight w:val="699"/>
          <w:jc w:val="center"/>
        </w:trPr>
        <w:tc>
          <w:tcPr>
            <w:tcW w:w="923" w:type="pct"/>
            <w:vAlign w:val="center"/>
          </w:tcPr>
          <w:p w14:paraId="010E703C" w14:textId="77777777" w:rsidR="00DC5685" w:rsidRPr="00A34F10" w:rsidRDefault="00DC5685" w:rsidP="00DC5685">
            <w:pPr>
              <w:tabs>
                <w:tab w:val="left" w:pos="720"/>
                <w:tab w:val="left" w:pos="5036"/>
              </w:tabs>
              <w:spacing w:before="20" w:after="20"/>
              <w:rPr>
                <w:b/>
                <w:bCs/>
                <w:sz w:val="20"/>
                <w:szCs w:val="20"/>
                <w:lang w:eastAsia="zh-CN"/>
              </w:rPr>
            </w:pPr>
            <w:r w:rsidRPr="00A34F10">
              <w:rPr>
                <w:b/>
                <w:bCs/>
                <w:sz w:val="20"/>
                <w:szCs w:val="20"/>
                <w:lang w:eastAsia="zh-CN"/>
              </w:rPr>
              <w:t>Sample Matrix</w:t>
            </w:r>
          </w:p>
        </w:tc>
        <w:tc>
          <w:tcPr>
            <w:tcW w:w="769" w:type="pct"/>
            <w:vAlign w:val="center"/>
          </w:tcPr>
          <w:p w14:paraId="21F45AC2"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Fortification Level [mg/L]</w:t>
            </w:r>
          </w:p>
        </w:tc>
        <w:tc>
          <w:tcPr>
            <w:tcW w:w="462" w:type="pct"/>
            <w:vAlign w:val="center"/>
          </w:tcPr>
          <w:p w14:paraId="364A775B"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n</w:t>
            </w:r>
          </w:p>
        </w:tc>
        <w:tc>
          <w:tcPr>
            <w:tcW w:w="923" w:type="pct"/>
            <w:vAlign w:val="center"/>
          </w:tcPr>
          <w:p w14:paraId="61D1A9D9"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Recoveries</w:t>
            </w:r>
            <w:r w:rsidRPr="00A34F10">
              <w:rPr>
                <w:b/>
                <w:bCs/>
                <w:sz w:val="20"/>
                <w:szCs w:val="20"/>
                <w:lang w:eastAsia="zh-CN"/>
              </w:rPr>
              <w:br/>
              <w:t>[%]</w:t>
            </w:r>
          </w:p>
        </w:tc>
        <w:tc>
          <w:tcPr>
            <w:tcW w:w="923" w:type="pct"/>
            <w:vAlign w:val="center"/>
          </w:tcPr>
          <w:p w14:paraId="436DCC70"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Mean Recovery</w:t>
            </w:r>
            <w:r w:rsidRPr="00A34F10">
              <w:rPr>
                <w:b/>
                <w:bCs/>
                <w:sz w:val="20"/>
                <w:szCs w:val="20"/>
                <w:lang w:eastAsia="zh-CN"/>
              </w:rPr>
              <w:br/>
              <w:t>[%]</w:t>
            </w:r>
          </w:p>
        </w:tc>
        <w:tc>
          <w:tcPr>
            <w:tcW w:w="1000" w:type="pct"/>
            <w:vAlign w:val="center"/>
          </w:tcPr>
          <w:p w14:paraId="6648C006" w14:textId="77777777" w:rsidR="00DC5685" w:rsidRPr="00A34F10" w:rsidRDefault="00DC5685" w:rsidP="00DC5685">
            <w:pPr>
              <w:keepNext/>
              <w:keepLines/>
              <w:tabs>
                <w:tab w:val="left" w:pos="720"/>
                <w:tab w:val="left" w:pos="5036"/>
              </w:tabs>
              <w:kinsoku w:val="0"/>
              <w:overflowPunct w:val="0"/>
              <w:autoSpaceDE w:val="0"/>
              <w:autoSpaceDN w:val="0"/>
              <w:adjustRightInd w:val="0"/>
              <w:spacing w:before="20" w:after="20"/>
              <w:rPr>
                <w:b/>
                <w:bCs/>
                <w:sz w:val="20"/>
                <w:szCs w:val="20"/>
                <w:lang w:eastAsia="zh-CN"/>
              </w:rPr>
            </w:pPr>
            <w:r w:rsidRPr="00A34F10">
              <w:rPr>
                <w:b/>
                <w:bCs/>
                <w:sz w:val="20"/>
                <w:szCs w:val="20"/>
                <w:lang w:eastAsia="zh-CN"/>
              </w:rPr>
              <w:t>RSD</w:t>
            </w:r>
            <w:r w:rsidRPr="00A34F10">
              <w:rPr>
                <w:b/>
                <w:bCs/>
                <w:sz w:val="20"/>
                <w:szCs w:val="20"/>
                <w:lang w:eastAsia="zh-CN"/>
              </w:rPr>
              <w:br/>
              <w:t>[%]</w:t>
            </w:r>
          </w:p>
        </w:tc>
      </w:tr>
      <w:tr w:rsidR="00DC5685" w:rsidRPr="00A34F10" w14:paraId="1FBD7349" w14:textId="77777777" w:rsidTr="000470C3">
        <w:trPr>
          <w:trHeight w:val="283"/>
          <w:jc w:val="center"/>
        </w:trPr>
        <w:tc>
          <w:tcPr>
            <w:tcW w:w="923" w:type="pct"/>
            <w:vMerge w:val="restart"/>
            <w:vAlign w:val="center"/>
          </w:tcPr>
          <w:p w14:paraId="40D515AF" w14:textId="63521982" w:rsidR="001D51C3" w:rsidRPr="00A34F10" w:rsidRDefault="001D51C3" w:rsidP="00DC5685">
            <w:pPr>
              <w:tabs>
                <w:tab w:val="left" w:pos="720"/>
                <w:tab w:val="left" w:pos="5036"/>
              </w:tabs>
              <w:spacing w:before="20" w:after="20"/>
              <w:rPr>
                <w:sz w:val="20"/>
                <w:szCs w:val="20"/>
                <w:lang w:val="en-GB" w:eastAsia="zh-CN"/>
              </w:rPr>
            </w:pPr>
            <w:r w:rsidRPr="001D51C3">
              <w:rPr>
                <w:sz w:val="20"/>
                <w:szCs w:val="20"/>
                <w:lang w:val="en-GB" w:eastAsia="zh-CN"/>
              </w:rPr>
              <w:t>Propamocarb</w:t>
            </w:r>
          </w:p>
        </w:tc>
        <w:tc>
          <w:tcPr>
            <w:tcW w:w="769" w:type="pct"/>
            <w:vAlign w:val="center"/>
          </w:tcPr>
          <w:p w14:paraId="49ADB04B"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0.000</w:t>
            </w:r>
          </w:p>
        </w:tc>
        <w:tc>
          <w:tcPr>
            <w:tcW w:w="462" w:type="pct"/>
            <w:vAlign w:val="center"/>
          </w:tcPr>
          <w:p w14:paraId="2750FF4B"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2</w:t>
            </w:r>
          </w:p>
        </w:tc>
        <w:tc>
          <w:tcPr>
            <w:tcW w:w="923" w:type="pct"/>
            <w:vAlign w:val="center"/>
          </w:tcPr>
          <w:p w14:paraId="695EB61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w:t>
            </w:r>
          </w:p>
        </w:tc>
        <w:tc>
          <w:tcPr>
            <w:tcW w:w="923" w:type="pct"/>
            <w:vAlign w:val="center"/>
          </w:tcPr>
          <w:p w14:paraId="717D5684"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&lt;LOD</w:t>
            </w:r>
          </w:p>
        </w:tc>
        <w:tc>
          <w:tcPr>
            <w:tcW w:w="1000" w:type="pct"/>
            <w:vAlign w:val="center"/>
          </w:tcPr>
          <w:p w14:paraId="706CF9F1"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lang w:eastAsia="zh-CN"/>
              </w:rPr>
              <w:t>-</w:t>
            </w:r>
          </w:p>
        </w:tc>
      </w:tr>
      <w:tr w:rsidR="00DC5685" w:rsidRPr="00A34F10" w14:paraId="13A3D2D8" w14:textId="77777777" w:rsidTr="000470C3">
        <w:trPr>
          <w:trHeight w:val="454"/>
          <w:jc w:val="center"/>
        </w:trPr>
        <w:tc>
          <w:tcPr>
            <w:tcW w:w="923" w:type="pct"/>
            <w:vMerge/>
            <w:vAlign w:val="center"/>
          </w:tcPr>
          <w:p w14:paraId="41FC7E2D"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0E816934"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0.4882</w:t>
            </w:r>
          </w:p>
        </w:tc>
        <w:tc>
          <w:tcPr>
            <w:tcW w:w="462" w:type="pct"/>
            <w:vAlign w:val="center"/>
          </w:tcPr>
          <w:p w14:paraId="15ADB61A"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5</w:t>
            </w:r>
          </w:p>
        </w:tc>
        <w:tc>
          <w:tcPr>
            <w:tcW w:w="923" w:type="pct"/>
            <w:vAlign w:val="center"/>
          </w:tcPr>
          <w:p w14:paraId="442FBE7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99.9, 103, 99.0, 101, 101</w:t>
            </w:r>
          </w:p>
        </w:tc>
        <w:tc>
          <w:tcPr>
            <w:tcW w:w="923" w:type="pct"/>
            <w:vAlign w:val="center"/>
          </w:tcPr>
          <w:p w14:paraId="76ABA057"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101</w:t>
            </w:r>
          </w:p>
        </w:tc>
        <w:tc>
          <w:tcPr>
            <w:tcW w:w="1000" w:type="pct"/>
            <w:vAlign w:val="center"/>
          </w:tcPr>
          <w:p w14:paraId="31332F21"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lang w:eastAsia="zh-CN"/>
              </w:rPr>
              <w:t>1.39</w:t>
            </w:r>
          </w:p>
        </w:tc>
      </w:tr>
      <w:tr w:rsidR="00DC5685" w:rsidRPr="00A34F10" w14:paraId="7C58CD2C" w14:textId="77777777" w:rsidTr="000470C3">
        <w:trPr>
          <w:trHeight w:val="454"/>
          <w:jc w:val="center"/>
        </w:trPr>
        <w:tc>
          <w:tcPr>
            <w:tcW w:w="923" w:type="pct"/>
            <w:vMerge/>
            <w:vAlign w:val="center"/>
          </w:tcPr>
          <w:p w14:paraId="0EDC5162"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352AD6D2"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24.41</w:t>
            </w:r>
          </w:p>
        </w:tc>
        <w:tc>
          <w:tcPr>
            <w:tcW w:w="462" w:type="pct"/>
            <w:vAlign w:val="center"/>
          </w:tcPr>
          <w:p w14:paraId="4780154C"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5</w:t>
            </w:r>
          </w:p>
        </w:tc>
        <w:tc>
          <w:tcPr>
            <w:tcW w:w="923" w:type="pct"/>
            <w:vAlign w:val="center"/>
          </w:tcPr>
          <w:p w14:paraId="17BDEAB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98.7, 100, 94.3, 97.4, 98.0</w:t>
            </w:r>
          </w:p>
        </w:tc>
        <w:tc>
          <w:tcPr>
            <w:tcW w:w="923" w:type="pct"/>
            <w:vAlign w:val="center"/>
          </w:tcPr>
          <w:p w14:paraId="6BE31E3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97.7</w:t>
            </w:r>
          </w:p>
        </w:tc>
        <w:tc>
          <w:tcPr>
            <w:tcW w:w="1000" w:type="pct"/>
            <w:vAlign w:val="center"/>
          </w:tcPr>
          <w:p w14:paraId="030BF23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2.17</w:t>
            </w:r>
          </w:p>
        </w:tc>
      </w:tr>
      <w:tr w:rsidR="00DC5685" w:rsidRPr="00A34F10" w14:paraId="29DD09B1" w14:textId="77777777" w:rsidTr="000470C3">
        <w:trPr>
          <w:trHeight w:val="284"/>
          <w:jc w:val="center"/>
        </w:trPr>
        <w:tc>
          <w:tcPr>
            <w:tcW w:w="923" w:type="pct"/>
            <w:vMerge/>
            <w:vAlign w:val="center"/>
          </w:tcPr>
          <w:p w14:paraId="75C407F8"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7C72B717"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Overall</w:t>
            </w:r>
          </w:p>
        </w:tc>
        <w:tc>
          <w:tcPr>
            <w:tcW w:w="462" w:type="pct"/>
            <w:vAlign w:val="center"/>
          </w:tcPr>
          <w:p w14:paraId="57E6F340"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10</w:t>
            </w:r>
          </w:p>
        </w:tc>
        <w:tc>
          <w:tcPr>
            <w:tcW w:w="923" w:type="pct"/>
            <w:vAlign w:val="center"/>
          </w:tcPr>
          <w:p w14:paraId="520ECEDE"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w:t>
            </w:r>
          </w:p>
        </w:tc>
        <w:tc>
          <w:tcPr>
            <w:tcW w:w="923" w:type="pct"/>
            <w:vAlign w:val="center"/>
          </w:tcPr>
          <w:p w14:paraId="1D22F4B7"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99.1</w:t>
            </w:r>
          </w:p>
        </w:tc>
        <w:tc>
          <w:tcPr>
            <w:tcW w:w="1000" w:type="pct"/>
            <w:vAlign w:val="center"/>
          </w:tcPr>
          <w:p w14:paraId="6112D0B1"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2.31</w:t>
            </w:r>
          </w:p>
        </w:tc>
      </w:tr>
      <w:tr w:rsidR="00DC5685" w:rsidRPr="00A34F10" w14:paraId="490F3302" w14:textId="77777777" w:rsidTr="000470C3">
        <w:trPr>
          <w:trHeight w:val="283"/>
          <w:jc w:val="center"/>
        </w:trPr>
        <w:tc>
          <w:tcPr>
            <w:tcW w:w="923" w:type="pct"/>
            <w:vMerge w:val="restart"/>
            <w:vAlign w:val="center"/>
          </w:tcPr>
          <w:p w14:paraId="1FC99AA7" w14:textId="77777777" w:rsidR="00DC5685" w:rsidRPr="00A34F10" w:rsidRDefault="00DC5685" w:rsidP="00DC5685">
            <w:pPr>
              <w:tabs>
                <w:tab w:val="left" w:pos="720"/>
                <w:tab w:val="left" w:pos="5036"/>
              </w:tabs>
              <w:spacing w:before="20" w:after="20"/>
              <w:rPr>
                <w:sz w:val="20"/>
                <w:szCs w:val="20"/>
                <w:lang w:val="en-GB" w:eastAsia="zh-CN"/>
              </w:rPr>
            </w:pPr>
            <w:r w:rsidRPr="00A34F10">
              <w:rPr>
                <w:sz w:val="20"/>
                <w:szCs w:val="20"/>
                <w:lang w:eastAsia="zh-CN"/>
              </w:rPr>
              <w:t>Ametoctradin</w:t>
            </w:r>
          </w:p>
        </w:tc>
        <w:tc>
          <w:tcPr>
            <w:tcW w:w="769" w:type="pct"/>
            <w:vAlign w:val="center"/>
          </w:tcPr>
          <w:p w14:paraId="143EB9DC"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0.000</w:t>
            </w:r>
          </w:p>
        </w:tc>
        <w:tc>
          <w:tcPr>
            <w:tcW w:w="462" w:type="pct"/>
            <w:vAlign w:val="center"/>
          </w:tcPr>
          <w:p w14:paraId="456CE172"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2</w:t>
            </w:r>
          </w:p>
        </w:tc>
        <w:tc>
          <w:tcPr>
            <w:tcW w:w="923" w:type="pct"/>
            <w:vAlign w:val="center"/>
          </w:tcPr>
          <w:p w14:paraId="7D11B8EA"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w:t>
            </w:r>
          </w:p>
        </w:tc>
        <w:tc>
          <w:tcPr>
            <w:tcW w:w="923" w:type="pct"/>
            <w:vAlign w:val="center"/>
          </w:tcPr>
          <w:p w14:paraId="2BEFD56E"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&lt;LOD</w:t>
            </w:r>
          </w:p>
        </w:tc>
        <w:tc>
          <w:tcPr>
            <w:tcW w:w="1000" w:type="pct"/>
            <w:vAlign w:val="center"/>
          </w:tcPr>
          <w:p w14:paraId="2ADBB082"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lang w:eastAsia="zh-CN"/>
              </w:rPr>
              <w:t>-</w:t>
            </w:r>
          </w:p>
        </w:tc>
      </w:tr>
      <w:tr w:rsidR="00DC5685" w:rsidRPr="00A34F10" w14:paraId="26422C34" w14:textId="77777777" w:rsidTr="000470C3">
        <w:trPr>
          <w:trHeight w:val="454"/>
          <w:jc w:val="center"/>
        </w:trPr>
        <w:tc>
          <w:tcPr>
            <w:tcW w:w="923" w:type="pct"/>
            <w:vMerge/>
            <w:vAlign w:val="center"/>
          </w:tcPr>
          <w:p w14:paraId="6724AE03"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0534A493"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0.1550</w:t>
            </w:r>
          </w:p>
        </w:tc>
        <w:tc>
          <w:tcPr>
            <w:tcW w:w="462" w:type="pct"/>
            <w:vAlign w:val="center"/>
          </w:tcPr>
          <w:p w14:paraId="4F9A5C11"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5</w:t>
            </w:r>
          </w:p>
        </w:tc>
        <w:tc>
          <w:tcPr>
            <w:tcW w:w="923" w:type="pct"/>
            <w:vAlign w:val="center"/>
          </w:tcPr>
          <w:p w14:paraId="6FCAC8A5"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101, 102, 98.3, 102, 98.6</w:t>
            </w:r>
          </w:p>
        </w:tc>
        <w:tc>
          <w:tcPr>
            <w:tcW w:w="923" w:type="pct"/>
            <w:vAlign w:val="center"/>
          </w:tcPr>
          <w:p w14:paraId="5180654A"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100</w:t>
            </w:r>
          </w:p>
        </w:tc>
        <w:tc>
          <w:tcPr>
            <w:tcW w:w="1000" w:type="pct"/>
            <w:vAlign w:val="center"/>
          </w:tcPr>
          <w:p w14:paraId="45BAB1C2" w14:textId="77777777" w:rsidR="00DC5685" w:rsidRPr="00A34F10" w:rsidRDefault="00DC5685" w:rsidP="00DC5685">
            <w:pPr>
              <w:tabs>
                <w:tab w:val="left" w:pos="720"/>
                <w:tab w:val="left" w:pos="5036"/>
              </w:tabs>
              <w:kinsoku w:val="0"/>
              <w:overflowPunct w:val="0"/>
              <w:spacing w:before="20" w:after="20"/>
              <w:rPr>
                <w:sz w:val="20"/>
                <w:szCs w:val="20"/>
                <w:lang w:eastAsia="zh-CN"/>
              </w:rPr>
            </w:pPr>
            <w:r w:rsidRPr="00A34F10">
              <w:rPr>
                <w:sz w:val="20"/>
                <w:szCs w:val="20"/>
                <w:lang w:eastAsia="zh-CN"/>
              </w:rPr>
              <w:t>1.83</w:t>
            </w:r>
          </w:p>
        </w:tc>
      </w:tr>
      <w:tr w:rsidR="00DC5685" w:rsidRPr="00A34F10" w14:paraId="3ED7AAA8" w14:textId="77777777" w:rsidTr="000470C3">
        <w:trPr>
          <w:trHeight w:val="454"/>
          <w:jc w:val="center"/>
        </w:trPr>
        <w:tc>
          <w:tcPr>
            <w:tcW w:w="923" w:type="pct"/>
            <w:vMerge/>
            <w:vAlign w:val="center"/>
          </w:tcPr>
          <w:p w14:paraId="53A6A0BB"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3A70F79B"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7.749</w:t>
            </w:r>
          </w:p>
        </w:tc>
        <w:tc>
          <w:tcPr>
            <w:tcW w:w="462" w:type="pct"/>
            <w:vAlign w:val="center"/>
          </w:tcPr>
          <w:p w14:paraId="1AD7CEB3"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5</w:t>
            </w:r>
          </w:p>
        </w:tc>
        <w:tc>
          <w:tcPr>
            <w:tcW w:w="923" w:type="pct"/>
            <w:vAlign w:val="center"/>
          </w:tcPr>
          <w:p w14:paraId="64217740"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98.7, 98.8, 97.3, 101, 97.8</w:t>
            </w:r>
          </w:p>
        </w:tc>
        <w:tc>
          <w:tcPr>
            <w:tcW w:w="923" w:type="pct"/>
            <w:vAlign w:val="center"/>
          </w:tcPr>
          <w:p w14:paraId="72E8C45D"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98.8</w:t>
            </w:r>
          </w:p>
        </w:tc>
        <w:tc>
          <w:tcPr>
            <w:tcW w:w="1000" w:type="pct"/>
            <w:vAlign w:val="center"/>
          </w:tcPr>
          <w:p w14:paraId="66C21620"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1.57</w:t>
            </w:r>
          </w:p>
        </w:tc>
      </w:tr>
      <w:tr w:rsidR="00DC5685" w:rsidRPr="00A34F10" w14:paraId="0416DF07" w14:textId="77777777" w:rsidTr="000470C3">
        <w:trPr>
          <w:trHeight w:val="284"/>
          <w:jc w:val="center"/>
        </w:trPr>
        <w:tc>
          <w:tcPr>
            <w:tcW w:w="923" w:type="pct"/>
            <w:vMerge/>
            <w:vAlign w:val="center"/>
          </w:tcPr>
          <w:p w14:paraId="72BAD17C" w14:textId="77777777" w:rsidR="00DC5685" w:rsidRPr="00A34F10" w:rsidRDefault="00DC5685" w:rsidP="00DC5685">
            <w:pPr>
              <w:tabs>
                <w:tab w:val="left" w:pos="720"/>
                <w:tab w:val="left" w:pos="5036"/>
              </w:tabs>
              <w:spacing w:before="20" w:after="20"/>
              <w:rPr>
                <w:sz w:val="20"/>
                <w:szCs w:val="20"/>
                <w:lang w:eastAsia="zh-CN"/>
              </w:rPr>
            </w:pPr>
          </w:p>
        </w:tc>
        <w:tc>
          <w:tcPr>
            <w:tcW w:w="769" w:type="pct"/>
            <w:vAlign w:val="center"/>
          </w:tcPr>
          <w:p w14:paraId="040375D1"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Overall</w:t>
            </w:r>
          </w:p>
        </w:tc>
        <w:tc>
          <w:tcPr>
            <w:tcW w:w="462" w:type="pct"/>
            <w:vAlign w:val="center"/>
          </w:tcPr>
          <w:p w14:paraId="13CB7878"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10</w:t>
            </w:r>
          </w:p>
        </w:tc>
        <w:tc>
          <w:tcPr>
            <w:tcW w:w="923" w:type="pct"/>
            <w:vAlign w:val="center"/>
          </w:tcPr>
          <w:p w14:paraId="7FD94724"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w:t>
            </w:r>
          </w:p>
        </w:tc>
        <w:tc>
          <w:tcPr>
            <w:tcW w:w="923" w:type="pct"/>
            <w:vAlign w:val="center"/>
          </w:tcPr>
          <w:p w14:paraId="4D8B2F15"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99.6</w:t>
            </w:r>
          </w:p>
        </w:tc>
        <w:tc>
          <w:tcPr>
            <w:tcW w:w="1000" w:type="pct"/>
            <w:vAlign w:val="center"/>
          </w:tcPr>
          <w:p w14:paraId="6F9A0DF8" w14:textId="77777777" w:rsidR="00DC5685" w:rsidRPr="00A34F10" w:rsidRDefault="00DC5685" w:rsidP="00DC5685">
            <w:pPr>
              <w:tabs>
                <w:tab w:val="left" w:pos="720"/>
                <w:tab w:val="left" w:pos="5036"/>
              </w:tabs>
              <w:spacing w:before="20" w:after="20"/>
              <w:rPr>
                <w:sz w:val="20"/>
                <w:szCs w:val="20"/>
                <w:lang w:eastAsia="zh-CN"/>
              </w:rPr>
            </w:pPr>
            <w:r w:rsidRPr="00A34F10">
              <w:rPr>
                <w:sz w:val="20"/>
                <w:szCs w:val="20"/>
                <w:lang w:eastAsia="zh-CN"/>
              </w:rPr>
              <w:t>1.82</w:t>
            </w:r>
          </w:p>
        </w:tc>
      </w:tr>
    </w:tbl>
    <w:p w14:paraId="07F1F19E" w14:textId="5AB85D36" w:rsidR="00BB63B3" w:rsidRDefault="00BB63B3" w:rsidP="00BB63B3">
      <w:pPr>
        <w:pStyle w:val="RepStandard"/>
        <w:rPr>
          <w:lang w:val="en-GB"/>
        </w:rPr>
      </w:pPr>
    </w:p>
    <w:p w14:paraId="6DDCD74D" w14:textId="77777777" w:rsidR="00BB63B3" w:rsidRDefault="00BB63B3" w:rsidP="00BB63B3">
      <w:pPr>
        <w:pStyle w:val="RepStandard"/>
        <w:rPr>
          <w:lang w:val="en-GB"/>
        </w:rPr>
      </w:pPr>
    </w:p>
    <w:p w14:paraId="7C76D3CD" w14:textId="66DEAF24" w:rsidR="00DC5685" w:rsidRPr="00A34F10" w:rsidRDefault="00DC5685" w:rsidP="00E05ECD">
      <w:pPr>
        <w:numPr>
          <w:ilvl w:val="0"/>
          <w:numId w:val="44"/>
        </w:numPr>
        <w:tabs>
          <w:tab w:val="left" w:pos="720"/>
        </w:tabs>
        <w:spacing w:before="240" w:after="240"/>
        <w:jc w:val="center"/>
        <w:rPr>
          <w:b/>
          <w:bCs/>
          <w:caps/>
          <w:szCs w:val="24"/>
          <w:lang w:val="en-GB"/>
        </w:rPr>
      </w:pPr>
      <w:r w:rsidRPr="00A34F10">
        <w:rPr>
          <w:b/>
          <w:bCs/>
          <w:caps/>
          <w:szCs w:val="24"/>
          <w:lang w:val="en-GB"/>
        </w:rPr>
        <w:t>Results and Discussion</w:t>
      </w:r>
    </w:p>
    <w:p w14:paraId="75A84B84" w14:textId="77777777" w:rsidR="00DC5685" w:rsidRPr="00A34F10" w:rsidRDefault="00DC5685" w:rsidP="00E05ECD">
      <w:pPr>
        <w:numPr>
          <w:ilvl w:val="0"/>
          <w:numId w:val="49"/>
        </w:numPr>
        <w:ind w:left="357" w:hanging="357"/>
        <w:contextualSpacing/>
        <w:rPr>
          <w:b/>
          <w:bCs/>
          <w:caps/>
          <w:szCs w:val="24"/>
          <w:lang w:val="en-GB"/>
        </w:rPr>
      </w:pPr>
      <w:r w:rsidRPr="00A34F10">
        <w:rPr>
          <w:b/>
          <w:bCs/>
          <w:caps/>
          <w:szCs w:val="24"/>
          <w:lang w:val="en-GB"/>
        </w:rPr>
        <w:t>ANALYTICAL RESULTS</w:t>
      </w:r>
    </w:p>
    <w:p w14:paraId="54660475" w14:textId="77777777" w:rsidR="00DC5685" w:rsidRPr="00A34F10" w:rsidRDefault="00DC5685" w:rsidP="00DC5685">
      <w:pPr>
        <w:ind w:left="357"/>
        <w:contextualSpacing/>
        <w:rPr>
          <w:b/>
          <w:bCs/>
          <w:caps/>
          <w:szCs w:val="24"/>
          <w:lang w:val="en-GB"/>
        </w:rPr>
      </w:pPr>
    </w:p>
    <w:p w14:paraId="68C5DFEE" w14:textId="421B3522" w:rsidR="00DC5685" w:rsidRPr="00A34F10" w:rsidRDefault="00DC5685" w:rsidP="00DC5685">
      <w:pPr>
        <w:spacing w:after="240"/>
        <w:jc w:val="both"/>
        <w:rPr>
          <w:lang w:val="en-GB"/>
        </w:rPr>
      </w:pPr>
      <w:r w:rsidRPr="00A34F10">
        <w:t xml:space="preserve">The content of both active substances propamocarb and ametoctradin (BAS 650 F) in test solutions was analytically determined to confirm the correct application of the test item BAS 743 03 F. </w:t>
      </w:r>
      <w:r w:rsidRPr="00A34F10">
        <w:rPr>
          <w:color w:val="000000" w:themeColor="text1"/>
          <w:lang w:val="x-none"/>
        </w:rPr>
        <w:t xml:space="preserve">Recoveries of </w:t>
      </w:r>
      <w:r w:rsidRPr="00A34F10">
        <w:rPr>
          <w:color w:val="000000" w:themeColor="text1"/>
          <w:lang w:val="en-GB"/>
        </w:rPr>
        <w:t>p</w:t>
      </w:r>
      <w:r w:rsidRPr="00A34F10">
        <w:rPr>
          <w:color w:val="000000" w:themeColor="text1"/>
          <w:lang w:val="x-none"/>
        </w:rPr>
        <w:t xml:space="preserve">ropamocarb and </w:t>
      </w:r>
      <w:r w:rsidRPr="00A34F10">
        <w:rPr>
          <w:color w:val="000000" w:themeColor="text1"/>
          <w:lang w:val="en-GB"/>
        </w:rPr>
        <w:t>a</w:t>
      </w:r>
      <w:r w:rsidRPr="00A34F10">
        <w:rPr>
          <w:color w:val="000000" w:themeColor="text1"/>
          <w:lang w:val="x-none"/>
        </w:rPr>
        <w:t xml:space="preserve">metoctradin were within 80 to 120 % of nominal concentrations in fresh test solutions. </w:t>
      </w:r>
      <w:r w:rsidRPr="00A34F10">
        <w:rPr>
          <w:lang w:val="x-none"/>
        </w:rPr>
        <w:t xml:space="preserve">In spent test solutions after 24 and 48 hours, recoveries of </w:t>
      </w:r>
      <w:r w:rsidRPr="00A34F10">
        <w:rPr>
          <w:lang w:val="en-GB"/>
        </w:rPr>
        <w:t>p</w:t>
      </w:r>
      <w:r w:rsidRPr="00A34F10">
        <w:rPr>
          <w:lang w:val="x-none"/>
        </w:rPr>
        <w:t xml:space="preserve">ropamocarb were within 111 to 125 % of nominal concentrations while recoveries of </w:t>
      </w:r>
      <w:r w:rsidRPr="00A34F10">
        <w:rPr>
          <w:lang w:val="en-GB"/>
        </w:rPr>
        <w:t>a</w:t>
      </w:r>
      <w:r w:rsidRPr="00A34F10">
        <w:rPr>
          <w:lang w:val="x-none"/>
        </w:rPr>
        <w:t>metoctradin were within 35.1 to 58.7 % of nominal concentrations.</w:t>
      </w:r>
      <w:r w:rsidRPr="00A34F10">
        <w:t xml:space="preserve"> </w:t>
      </w:r>
      <w:r w:rsidRPr="00A34F10">
        <w:rPr>
          <w:lang w:val="x-none"/>
        </w:rPr>
        <w:t>Based on these findings, toxicity results were related to test item nominal and test item mean measured concentrations.</w:t>
      </w:r>
      <w:r w:rsidRPr="00A34F10">
        <w:t xml:space="preserve"> </w:t>
      </w:r>
      <w:r w:rsidRPr="00A34F10">
        <w:rPr>
          <w:lang w:val="en-GB"/>
        </w:rPr>
        <w:t>The analytical results are presented in the following tables.</w:t>
      </w:r>
    </w:p>
    <w:p w14:paraId="0C051099" w14:textId="310AEED4" w:rsidR="003952ED" w:rsidRPr="00A34F10" w:rsidRDefault="003952ED" w:rsidP="00DC5685">
      <w:pPr>
        <w:spacing w:after="240"/>
        <w:jc w:val="both"/>
        <w:rPr>
          <w:highlight w:val="yellow"/>
          <w:lang w:val="en-GB"/>
        </w:rPr>
      </w:pPr>
      <w:r w:rsidRPr="00A34F10">
        <w:rPr>
          <w:highlight w:val="yellow"/>
          <w:lang w:val="en-GB"/>
        </w:rPr>
        <w:br w:type="page"/>
      </w:r>
    </w:p>
    <w:p w14:paraId="0A2CAF17" w14:textId="2FB8D24F" w:rsidR="00DC5685" w:rsidRPr="00A34F10" w:rsidRDefault="00EA3876" w:rsidP="00EA3876">
      <w:pPr>
        <w:pStyle w:val="Legenda"/>
      </w:pPr>
      <w:r>
        <w:lastRenderedPageBreak/>
        <w:t xml:space="preserve">Table A </w:t>
      </w:r>
      <w:r>
        <w:fldChar w:fldCharType="begin"/>
      </w:r>
      <w:r>
        <w:instrText xml:space="preserve"> SEQ Table_A \* ARABIC </w:instrText>
      </w:r>
      <w:r>
        <w:fldChar w:fldCharType="separate"/>
      </w:r>
      <w:r w:rsidR="006F0F3B">
        <w:rPr>
          <w:noProof/>
        </w:rPr>
        <w:t>14</w:t>
      </w:r>
      <w:r>
        <w:fldChar w:fldCharType="end"/>
      </w:r>
      <w:r w:rsidR="003952ED" w:rsidRPr="00A34F10">
        <w:t>:</w:t>
      </w:r>
      <w:r w:rsidR="00DC5685" w:rsidRPr="00A34F10">
        <w:tab/>
        <w:t>Measured concentrations of propamocarb</w:t>
      </w:r>
      <w:r w:rsidR="00DC5685" w:rsidRPr="00A34F10">
        <w:rPr>
          <w:lang w:val="x-none"/>
        </w:rPr>
        <w:t xml:space="preserve"> in </w:t>
      </w:r>
      <w:r w:rsidR="00DC5685" w:rsidRPr="00A34F10">
        <w:t>test water</w:t>
      </w:r>
    </w:p>
    <w:tbl>
      <w:tblPr>
        <w:tblStyle w:val="Tabela-Motyw"/>
        <w:tblW w:w="5000" w:type="pct"/>
        <w:tblLook w:val="04A0" w:firstRow="1" w:lastRow="0" w:firstColumn="1" w:lastColumn="0" w:noHBand="0" w:noVBand="1"/>
      </w:tblPr>
      <w:tblGrid>
        <w:gridCol w:w="1766"/>
        <w:gridCol w:w="2215"/>
        <w:gridCol w:w="1491"/>
        <w:gridCol w:w="1841"/>
        <w:gridCol w:w="2031"/>
      </w:tblGrid>
      <w:tr w:rsidR="00DC5685" w:rsidRPr="00A34F10" w14:paraId="4B2660C8" w14:textId="77777777" w:rsidTr="000470C3">
        <w:trPr>
          <w:trHeight w:val="555"/>
        </w:trPr>
        <w:tc>
          <w:tcPr>
            <w:tcW w:w="945" w:type="pct"/>
            <w:vAlign w:val="center"/>
          </w:tcPr>
          <w:p w14:paraId="6F45C1F8" w14:textId="77777777" w:rsidR="00DC5685" w:rsidRPr="00A34F10" w:rsidRDefault="00DC5685" w:rsidP="00DC5685">
            <w:pPr>
              <w:tabs>
                <w:tab w:val="left" w:pos="720"/>
              </w:tabs>
              <w:spacing w:before="20" w:after="20"/>
              <w:rPr>
                <w:b/>
                <w:bCs/>
                <w:sz w:val="20"/>
                <w:szCs w:val="20"/>
                <w:lang w:val="en-GB"/>
              </w:rPr>
            </w:pPr>
            <w:r w:rsidRPr="00A34F10">
              <w:rPr>
                <w:b/>
                <w:color w:val="000000"/>
                <w:sz w:val="20"/>
                <w:szCs w:val="20"/>
              </w:rPr>
              <w:t>Test item [mg product/L]</w:t>
            </w:r>
          </w:p>
        </w:tc>
        <w:tc>
          <w:tcPr>
            <w:tcW w:w="1185" w:type="pct"/>
            <w:vAlign w:val="center"/>
          </w:tcPr>
          <w:p w14:paraId="622F4545" w14:textId="77777777" w:rsidR="00DC5685" w:rsidRPr="00A34F10" w:rsidRDefault="00DC5685" w:rsidP="00DC5685">
            <w:pPr>
              <w:tabs>
                <w:tab w:val="left" w:pos="720"/>
              </w:tabs>
              <w:spacing w:before="20" w:after="20"/>
              <w:rPr>
                <w:b/>
                <w:bCs/>
                <w:sz w:val="20"/>
                <w:szCs w:val="20"/>
                <w:lang w:val="en-GB"/>
              </w:rPr>
            </w:pPr>
            <w:r w:rsidRPr="00A34F10">
              <w:rPr>
                <w:b/>
                <w:bCs/>
                <w:sz w:val="20"/>
                <w:szCs w:val="20"/>
                <w:lang w:val="en-GB"/>
              </w:rPr>
              <w:t>Nominal Concentration</w:t>
            </w:r>
            <w:r w:rsidRPr="00A34F10">
              <w:rPr>
                <w:b/>
                <w:bCs/>
                <w:sz w:val="20"/>
                <w:szCs w:val="20"/>
                <w:lang w:val="en-GB"/>
              </w:rPr>
              <w:br/>
              <w:t>[mg a.s./L]</w:t>
            </w:r>
          </w:p>
        </w:tc>
        <w:tc>
          <w:tcPr>
            <w:tcW w:w="798" w:type="pct"/>
            <w:vAlign w:val="center"/>
          </w:tcPr>
          <w:p w14:paraId="4A8163C6" w14:textId="77777777" w:rsidR="00DC5685" w:rsidRPr="00A34F10" w:rsidRDefault="00DC5685" w:rsidP="00DC5685">
            <w:pPr>
              <w:tabs>
                <w:tab w:val="left" w:pos="720"/>
              </w:tabs>
              <w:spacing w:before="20" w:after="20"/>
              <w:rPr>
                <w:b/>
                <w:bCs/>
                <w:sz w:val="20"/>
                <w:szCs w:val="20"/>
                <w:lang w:val="en-GB"/>
              </w:rPr>
            </w:pPr>
            <w:r w:rsidRPr="00A34F10">
              <w:rPr>
                <w:b/>
                <w:bCs/>
                <w:sz w:val="20"/>
                <w:szCs w:val="20"/>
                <w:lang w:val="en-GB"/>
              </w:rPr>
              <w:t>Timepoint [hours]</w:t>
            </w:r>
          </w:p>
        </w:tc>
        <w:tc>
          <w:tcPr>
            <w:tcW w:w="985" w:type="pct"/>
            <w:vAlign w:val="center"/>
          </w:tcPr>
          <w:p w14:paraId="60DD787F" w14:textId="77777777" w:rsidR="00DC5685" w:rsidRPr="00A34F10" w:rsidRDefault="00DC5685" w:rsidP="00DC5685">
            <w:pPr>
              <w:keepNext/>
              <w:keepLines/>
              <w:tabs>
                <w:tab w:val="left" w:pos="720"/>
              </w:tabs>
              <w:spacing w:before="20" w:after="20"/>
              <w:rPr>
                <w:b/>
                <w:bCs/>
                <w:sz w:val="20"/>
                <w:szCs w:val="20"/>
                <w:lang w:val="en-GB"/>
              </w:rPr>
            </w:pPr>
            <w:r w:rsidRPr="00A34F10">
              <w:rPr>
                <w:b/>
                <w:bCs/>
                <w:sz w:val="20"/>
                <w:szCs w:val="20"/>
                <w:lang w:val="en-GB"/>
              </w:rPr>
              <w:t>Measured Concentration [mg a.s./L]</w:t>
            </w:r>
          </w:p>
        </w:tc>
        <w:tc>
          <w:tcPr>
            <w:tcW w:w="1088" w:type="pct"/>
            <w:vAlign w:val="center"/>
          </w:tcPr>
          <w:p w14:paraId="2B648A9D" w14:textId="77777777" w:rsidR="00DC5685" w:rsidRPr="00A34F10" w:rsidRDefault="00DC5685" w:rsidP="00DC5685">
            <w:pPr>
              <w:tabs>
                <w:tab w:val="left" w:pos="720"/>
              </w:tabs>
              <w:spacing w:before="20" w:after="20"/>
              <w:rPr>
                <w:b/>
                <w:bCs/>
                <w:sz w:val="20"/>
                <w:szCs w:val="20"/>
                <w:lang w:val="en-GB"/>
              </w:rPr>
            </w:pPr>
            <w:r w:rsidRPr="00A34F10">
              <w:rPr>
                <w:b/>
                <w:bCs/>
                <w:sz w:val="20"/>
                <w:szCs w:val="20"/>
                <w:lang w:val="en-GB"/>
              </w:rPr>
              <w:t>Recovery</w:t>
            </w:r>
            <w:r w:rsidRPr="00A34F10">
              <w:rPr>
                <w:b/>
                <w:bCs/>
                <w:sz w:val="20"/>
                <w:szCs w:val="20"/>
                <w:lang w:val="en-GB"/>
              </w:rPr>
              <w:br/>
              <w:t>[%]</w:t>
            </w:r>
          </w:p>
        </w:tc>
      </w:tr>
      <w:tr w:rsidR="00DC5685" w:rsidRPr="00A34F10" w14:paraId="096A49EC" w14:textId="77777777" w:rsidTr="000470C3">
        <w:tc>
          <w:tcPr>
            <w:tcW w:w="945" w:type="pct"/>
            <w:vMerge w:val="restart"/>
            <w:vAlign w:val="center"/>
          </w:tcPr>
          <w:p w14:paraId="1A5BB7E5"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Control</w:t>
            </w:r>
          </w:p>
        </w:tc>
        <w:tc>
          <w:tcPr>
            <w:tcW w:w="1185" w:type="pct"/>
            <w:vMerge w:val="restart"/>
            <w:vAlign w:val="center"/>
          </w:tcPr>
          <w:p w14:paraId="4BAA7A7F"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w:t>
            </w:r>
          </w:p>
        </w:tc>
        <w:tc>
          <w:tcPr>
            <w:tcW w:w="798" w:type="pct"/>
            <w:vAlign w:val="center"/>
          </w:tcPr>
          <w:p w14:paraId="662A3DB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7D8E7EAD"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5E9EB3F3"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w:t>
            </w:r>
          </w:p>
        </w:tc>
      </w:tr>
      <w:tr w:rsidR="00DC5685" w:rsidRPr="00A34F10" w14:paraId="3186BBDB" w14:textId="77777777" w:rsidTr="000470C3">
        <w:tc>
          <w:tcPr>
            <w:tcW w:w="945" w:type="pct"/>
            <w:vMerge/>
            <w:vAlign w:val="center"/>
          </w:tcPr>
          <w:p w14:paraId="4DA291A4"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70BA0F2D" w14:textId="77777777" w:rsidR="00DC5685" w:rsidRPr="00A34F10" w:rsidRDefault="00DC5685" w:rsidP="00DC5685">
            <w:pPr>
              <w:tabs>
                <w:tab w:val="decimal" w:pos="410"/>
              </w:tabs>
              <w:spacing w:before="20" w:after="20"/>
              <w:ind w:left="57" w:right="57"/>
              <w:rPr>
                <w:color w:val="000000"/>
                <w:sz w:val="20"/>
                <w:szCs w:val="20"/>
                <w:lang w:val="en-GB"/>
              </w:rPr>
            </w:pPr>
          </w:p>
        </w:tc>
        <w:tc>
          <w:tcPr>
            <w:tcW w:w="798" w:type="pct"/>
            <w:vAlign w:val="center"/>
          </w:tcPr>
          <w:p w14:paraId="2CE51FF1"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6D073E49"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49ED5946"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w:t>
            </w:r>
          </w:p>
        </w:tc>
      </w:tr>
      <w:tr w:rsidR="00DC5685" w:rsidRPr="00A34F10" w14:paraId="6AA9EAFB" w14:textId="77777777" w:rsidTr="000470C3">
        <w:tc>
          <w:tcPr>
            <w:tcW w:w="945" w:type="pct"/>
            <w:vMerge/>
            <w:vAlign w:val="center"/>
          </w:tcPr>
          <w:p w14:paraId="18E189D7"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1F71C94F"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6B44AB1F"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4465B2C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0C88798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w:t>
            </w:r>
          </w:p>
        </w:tc>
      </w:tr>
      <w:tr w:rsidR="00DC5685" w:rsidRPr="00A34F10" w14:paraId="5BA04FA4" w14:textId="77777777" w:rsidTr="000470C3">
        <w:tc>
          <w:tcPr>
            <w:tcW w:w="945" w:type="pct"/>
            <w:vMerge w:val="restart"/>
            <w:vAlign w:val="center"/>
          </w:tcPr>
          <w:p w14:paraId="13A883F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6.26</w:t>
            </w:r>
          </w:p>
        </w:tc>
        <w:tc>
          <w:tcPr>
            <w:tcW w:w="1185" w:type="pct"/>
            <w:vMerge w:val="restart"/>
            <w:vAlign w:val="center"/>
          </w:tcPr>
          <w:p w14:paraId="42DB59F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2.209</w:t>
            </w:r>
          </w:p>
        </w:tc>
        <w:tc>
          <w:tcPr>
            <w:tcW w:w="798" w:type="pct"/>
            <w:vAlign w:val="center"/>
          </w:tcPr>
          <w:p w14:paraId="7417649E"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407C0652"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2.373</w:t>
            </w:r>
          </w:p>
        </w:tc>
        <w:tc>
          <w:tcPr>
            <w:tcW w:w="1088" w:type="pct"/>
            <w:vAlign w:val="center"/>
          </w:tcPr>
          <w:p w14:paraId="710B5A9E"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107</w:t>
            </w:r>
          </w:p>
        </w:tc>
      </w:tr>
      <w:tr w:rsidR="00DC5685" w:rsidRPr="00A34F10" w14:paraId="77B42332" w14:textId="77777777" w:rsidTr="000470C3">
        <w:tc>
          <w:tcPr>
            <w:tcW w:w="945" w:type="pct"/>
            <w:vMerge/>
            <w:vAlign w:val="center"/>
          </w:tcPr>
          <w:p w14:paraId="301C2451"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42A9F3D1"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0CFB823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27BEC03C"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2.541</w:t>
            </w:r>
          </w:p>
        </w:tc>
        <w:tc>
          <w:tcPr>
            <w:tcW w:w="1088" w:type="pct"/>
            <w:vAlign w:val="center"/>
          </w:tcPr>
          <w:p w14:paraId="5BE1923D"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115</w:t>
            </w:r>
          </w:p>
        </w:tc>
      </w:tr>
      <w:tr w:rsidR="00DC5685" w:rsidRPr="00A34F10" w14:paraId="57F51FAE" w14:textId="77777777" w:rsidTr="000470C3">
        <w:tc>
          <w:tcPr>
            <w:tcW w:w="945" w:type="pct"/>
            <w:vMerge/>
            <w:vAlign w:val="center"/>
          </w:tcPr>
          <w:p w14:paraId="54B72ABA"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11EEFB43"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1829FD1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1DDEA389"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2.649</w:t>
            </w:r>
          </w:p>
        </w:tc>
        <w:tc>
          <w:tcPr>
            <w:tcW w:w="1088" w:type="pct"/>
            <w:vAlign w:val="center"/>
          </w:tcPr>
          <w:p w14:paraId="01348C4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120</w:t>
            </w:r>
          </w:p>
        </w:tc>
      </w:tr>
      <w:tr w:rsidR="00DC5685" w:rsidRPr="00A34F10" w14:paraId="7BA59A3D" w14:textId="77777777" w:rsidTr="000470C3">
        <w:tc>
          <w:tcPr>
            <w:tcW w:w="945" w:type="pct"/>
            <w:vMerge w:val="restart"/>
            <w:vAlign w:val="center"/>
          </w:tcPr>
          <w:p w14:paraId="71CD4B66"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12.5</w:t>
            </w:r>
          </w:p>
        </w:tc>
        <w:tc>
          <w:tcPr>
            <w:tcW w:w="1185" w:type="pct"/>
            <w:vMerge w:val="restart"/>
            <w:vAlign w:val="center"/>
          </w:tcPr>
          <w:p w14:paraId="6BD270A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4.412</w:t>
            </w:r>
          </w:p>
        </w:tc>
        <w:tc>
          <w:tcPr>
            <w:tcW w:w="798" w:type="pct"/>
            <w:vAlign w:val="center"/>
          </w:tcPr>
          <w:p w14:paraId="0338A66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2F53F736"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4.497</w:t>
            </w:r>
          </w:p>
        </w:tc>
        <w:tc>
          <w:tcPr>
            <w:tcW w:w="1088" w:type="pct"/>
            <w:vAlign w:val="center"/>
          </w:tcPr>
          <w:p w14:paraId="433FA4E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102</w:t>
            </w:r>
          </w:p>
        </w:tc>
      </w:tr>
      <w:tr w:rsidR="00DC5685" w:rsidRPr="00A34F10" w14:paraId="5BC24F56" w14:textId="77777777" w:rsidTr="000470C3">
        <w:tc>
          <w:tcPr>
            <w:tcW w:w="945" w:type="pct"/>
            <w:vMerge/>
            <w:vAlign w:val="center"/>
          </w:tcPr>
          <w:p w14:paraId="1B1B0714"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76EB59E9"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3DE54312"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1F4AD41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4.886</w:t>
            </w:r>
          </w:p>
        </w:tc>
        <w:tc>
          <w:tcPr>
            <w:tcW w:w="1088" w:type="pct"/>
            <w:vAlign w:val="center"/>
          </w:tcPr>
          <w:p w14:paraId="14B76C4C"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111</w:t>
            </w:r>
          </w:p>
        </w:tc>
      </w:tr>
      <w:tr w:rsidR="00DC5685" w:rsidRPr="00A34F10" w14:paraId="2DAF7DAC" w14:textId="77777777" w:rsidTr="000470C3">
        <w:tc>
          <w:tcPr>
            <w:tcW w:w="945" w:type="pct"/>
            <w:vMerge/>
            <w:vAlign w:val="center"/>
          </w:tcPr>
          <w:p w14:paraId="486A8B21"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3A68589D"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501C60E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6BBDED35"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5.417</w:t>
            </w:r>
          </w:p>
        </w:tc>
        <w:tc>
          <w:tcPr>
            <w:tcW w:w="1088" w:type="pct"/>
            <w:vAlign w:val="center"/>
          </w:tcPr>
          <w:p w14:paraId="7041F70C"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123</w:t>
            </w:r>
          </w:p>
        </w:tc>
      </w:tr>
      <w:tr w:rsidR="00DC5685" w:rsidRPr="00A34F10" w14:paraId="3F9F73D4" w14:textId="77777777" w:rsidTr="000470C3">
        <w:tc>
          <w:tcPr>
            <w:tcW w:w="945" w:type="pct"/>
            <w:vMerge w:val="restart"/>
            <w:vAlign w:val="center"/>
          </w:tcPr>
          <w:p w14:paraId="40750221"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25.0</w:t>
            </w:r>
          </w:p>
        </w:tc>
        <w:tc>
          <w:tcPr>
            <w:tcW w:w="1185" w:type="pct"/>
            <w:vMerge w:val="restart"/>
            <w:vAlign w:val="center"/>
          </w:tcPr>
          <w:p w14:paraId="63DF933D"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8.824</w:t>
            </w:r>
          </w:p>
        </w:tc>
        <w:tc>
          <w:tcPr>
            <w:tcW w:w="798" w:type="pct"/>
            <w:vAlign w:val="center"/>
          </w:tcPr>
          <w:p w14:paraId="1320708B"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5E8A2EC1"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9.136</w:t>
            </w:r>
          </w:p>
        </w:tc>
        <w:tc>
          <w:tcPr>
            <w:tcW w:w="1088" w:type="pct"/>
            <w:vAlign w:val="center"/>
          </w:tcPr>
          <w:p w14:paraId="76308D0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104</w:t>
            </w:r>
          </w:p>
        </w:tc>
      </w:tr>
      <w:tr w:rsidR="00DC5685" w:rsidRPr="00A34F10" w14:paraId="7AED2CB3" w14:textId="77777777" w:rsidTr="000470C3">
        <w:tc>
          <w:tcPr>
            <w:tcW w:w="945" w:type="pct"/>
            <w:vMerge/>
            <w:vAlign w:val="center"/>
          </w:tcPr>
          <w:p w14:paraId="632B52AC"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100F7557"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3C1550D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18CA1CF9"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9.790</w:t>
            </w:r>
          </w:p>
        </w:tc>
        <w:tc>
          <w:tcPr>
            <w:tcW w:w="1088" w:type="pct"/>
            <w:vAlign w:val="center"/>
          </w:tcPr>
          <w:p w14:paraId="1CC6350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111</w:t>
            </w:r>
          </w:p>
        </w:tc>
      </w:tr>
      <w:tr w:rsidR="00DC5685" w:rsidRPr="00A34F10" w14:paraId="1793F36F" w14:textId="77777777" w:rsidTr="000470C3">
        <w:tc>
          <w:tcPr>
            <w:tcW w:w="945" w:type="pct"/>
            <w:vMerge/>
            <w:vAlign w:val="center"/>
          </w:tcPr>
          <w:p w14:paraId="77D8C317"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51C13121"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7B86AEDA"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78EEE8AA"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10.62</w:t>
            </w:r>
          </w:p>
        </w:tc>
        <w:tc>
          <w:tcPr>
            <w:tcW w:w="1088" w:type="pct"/>
            <w:vAlign w:val="center"/>
          </w:tcPr>
          <w:p w14:paraId="0060AB3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120</w:t>
            </w:r>
          </w:p>
        </w:tc>
      </w:tr>
      <w:tr w:rsidR="00DC5685" w:rsidRPr="00A34F10" w14:paraId="4EFECD2C" w14:textId="77777777" w:rsidTr="000470C3">
        <w:tc>
          <w:tcPr>
            <w:tcW w:w="945" w:type="pct"/>
            <w:vMerge w:val="restart"/>
            <w:vAlign w:val="center"/>
          </w:tcPr>
          <w:p w14:paraId="21EE9623"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50.0</w:t>
            </w:r>
          </w:p>
        </w:tc>
        <w:tc>
          <w:tcPr>
            <w:tcW w:w="1185" w:type="pct"/>
            <w:vMerge w:val="restart"/>
            <w:vAlign w:val="center"/>
          </w:tcPr>
          <w:p w14:paraId="59027005"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17.65</w:t>
            </w:r>
          </w:p>
        </w:tc>
        <w:tc>
          <w:tcPr>
            <w:tcW w:w="798" w:type="pct"/>
            <w:vAlign w:val="center"/>
          </w:tcPr>
          <w:p w14:paraId="4D9061C8"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37041A1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17.54</w:t>
            </w:r>
          </w:p>
        </w:tc>
        <w:tc>
          <w:tcPr>
            <w:tcW w:w="1088" w:type="pct"/>
            <w:vAlign w:val="center"/>
          </w:tcPr>
          <w:p w14:paraId="33689A93"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99.4</w:t>
            </w:r>
          </w:p>
        </w:tc>
      </w:tr>
      <w:tr w:rsidR="00DC5685" w:rsidRPr="00A34F10" w14:paraId="1246868E" w14:textId="77777777" w:rsidTr="000470C3">
        <w:tc>
          <w:tcPr>
            <w:tcW w:w="945" w:type="pct"/>
            <w:vMerge/>
            <w:vAlign w:val="center"/>
          </w:tcPr>
          <w:p w14:paraId="2011EDAC"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6AD7AD68"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6F246B62"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6338918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20.30</w:t>
            </w:r>
          </w:p>
        </w:tc>
        <w:tc>
          <w:tcPr>
            <w:tcW w:w="1088" w:type="pct"/>
            <w:vAlign w:val="center"/>
          </w:tcPr>
          <w:p w14:paraId="0C32C1EE"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115</w:t>
            </w:r>
          </w:p>
        </w:tc>
      </w:tr>
      <w:tr w:rsidR="00DC5685" w:rsidRPr="00A34F10" w14:paraId="5CD8619F" w14:textId="77777777" w:rsidTr="000470C3">
        <w:tc>
          <w:tcPr>
            <w:tcW w:w="945" w:type="pct"/>
            <w:vMerge/>
            <w:vAlign w:val="center"/>
          </w:tcPr>
          <w:p w14:paraId="36A4A6D1"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65A0605D"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549DB1B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40B7A2D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20.84</w:t>
            </w:r>
          </w:p>
        </w:tc>
        <w:tc>
          <w:tcPr>
            <w:tcW w:w="1088" w:type="pct"/>
            <w:vAlign w:val="center"/>
          </w:tcPr>
          <w:p w14:paraId="5FEE87B0"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118</w:t>
            </w:r>
          </w:p>
        </w:tc>
      </w:tr>
      <w:tr w:rsidR="00DC5685" w:rsidRPr="00A34F10" w14:paraId="534A7571" w14:textId="77777777" w:rsidTr="000470C3">
        <w:tc>
          <w:tcPr>
            <w:tcW w:w="945" w:type="pct"/>
            <w:vMerge w:val="restart"/>
            <w:vAlign w:val="center"/>
          </w:tcPr>
          <w:p w14:paraId="7426062C"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100.0</w:t>
            </w:r>
          </w:p>
        </w:tc>
        <w:tc>
          <w:tcPr>
            <w:tcW w:w="1185" w:type="pct"/>
            <w:vMerge w:val="restart"/>
            <w:vAlign w:val="center"/>
          </w:tcPr>
          <w:p w14:paraId="71C7B806"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35.29</w:t>
            </w:r>
          </w:p>
        </w:tc>
        <w:tc>
          <w:tcPr>
            <w:tcW w:w="798" w:type="pct"/>
            <w:vAlign w:val="center"/>
          </w:tcPr>
          <w:p w14:paraId="15EBA9B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0CDA2B0C"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36.74</w:t>
            </w:r>
          </w:p>
        </w:tc>
        <w:tc>
          <w:tcPr>
            <w:tcW w:w="1088" w:type="pct"/>
            <w:vAlign w:val="center"/>
          </w:tcPr>
          <w:p w14:paraId="28B217DE"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104</w:t>
            </w:r>
          </w:p>
        </w:tc>
      </w:tr>
      <w:tr w:rsidR="00DC5685" w:rsidRPr="00A34F10" w14:paraId="1461CCFC" w14:textId="77777777" w:rsidTr="000470C3">
        <w:tc>
          <w:tcPr>
            <w:tcW w:w="945" w:type="pct"/>
            <w:vMerge/>
            <w:vAlign w:val="center"/>
          </w:tcPr>
          <w:p w14:paraId="6A884910"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0967E2ED" w14:textId="77777777" w:rsidR="00DC5685" w:rsidRPr="00A34F10" w:rsidRDefault="00DC5685" w:rsidP="00DC5685">
            <w:pPr>
              <w:tabs>
                <w:tab w:val="decimal" w:pos="517"/>
              </w:tabs>
              <w:spacing w:before="20" w:after="20"/>
              <w:ind w:left="57" w:right="57"/>
              <w:rPr>
                <w:color w:val="000000"/>
                <w:sz w:val="20"/>
                <w:szCs w:val="20"/>
                <w:lang w:val="en-GB"/>
              </w:rPr>
            </w:pPr>
          </w:p>
        </w:tc>
        <w:tc>
          <w:tcPr>
            <w:tcW w:w="798" w:type="pct"/>
            <w:vAlign w:val="center"/>
          </w:tcPr>
          <w:p w14:paraId="7179581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57355AD2"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39.83</w:t>
            </w:r>
          </w:p>
        </w:tc>
        <w:tc>
          <w:tcPr>
            <w:tcW w:w="1088" w:type="pct"/>
            <w:vAlign w:val="center"/>
          </w:tcPr>
          <w:p w14:paraId="34EA1CDB"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113</w:t>
            </w:r>
          </w:p>
        </w:tc>
      </w:tr>
      <w:tr w:rsidR="00DC5685" w:rsidRPr="00A34F10" w14:paraId="041D9BBE" w14:textId="77777777" w:rsidTr="000470C3">
        <w:tc>
          <w:tcPr>
            <w:tcW w:w="945" w:type="pct"/>
            <w:vMerge/>
            <w:vAlign w:val="center"/>
          </w:tcPr>
          <w:p w14:paraId="0701A7B5" w14:textId="77777777" w:rsidR="00DC5685" w:rsidRPr="00A34F10" w:rsidRDefault="00DC5685" w:rsidP="00DC5685">
            <w:pPr>
              <w:spacing w:before="20" w:after="20"/>
              <w:ind w:left="57" w:right="57"/>
              <w:rPr>
                <w:color w:val="000000"/>
                <w:sz w:val="20"/>
                <w:szCs w:val="20"/>
                <w:lang w:val="en-GB"/>
              </w:rPr>
            </w:pPr>
          </w:p>
        </w:tc>
        <w:tc>
          <w:tcPr>
            <w:tcW w:w="1185" w:type="pct"/>
            <w:vMerge/>
            <w:vAlign w:val="center"/>
          </w:tcPr>
          <w:p w14:paraId="658B7B28" w14:textId="77777777" w:rsidR="00DC5685" w:rsidRPr="00A34F10" w:rsidRDefault="00DC5685" w:rsidP="00DC5685">
            <w:pPr>
              <w:spacing w:before="20" w:after="20"/>
              <w:ind w:left="57" w:right="57"/>
              <w:rPr>
                <w:color w:val="000000"/>
                <w:sz w:val="20"/>
                <w:szCs w:val="20"/>
                <w:lang w:val="en-GB"/>
              </w:rPr>
            </w:pPr>
          </w:p>
        </w:tc>
        <w:tc>
          <w:tcPr>
            <w:tcW w:w="798" w:type="pct"/>
            <w:vAlign w:val="center"/>
          </w:tcPr>
          <w:p w14:paraId="33009469"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384A42AF"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44.16</w:t>
            </w:r>
          </w:p>
        </w:tc>
        <w:tc>
          <w:tcPr>
            <w:tcW w:w="1088" w:type="pct"/>
            <w:vAlign w:val="center"/>
          </w:tcPr>
          <w:p w14:paraId="13ECF271"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125</w:t>
            </w:r>
          </w:p>
        </w:tc>
      </w:tr>
    </w:tbl>
    <w:p w14:paraId="7EEC6E75" w14:textId="77777777" w:rsidR="00DC5685" w:rsidRPr="00A34F10" w:rsidRDefault="00DC5685" w:rsidP="00DC5685">
      <w:pPr>
        <w:rPr>
          <w:sz w:val="18"/>
          <w:szCs w:val="18"/>
          <w:lang w:val="en-GB"/>
        </w:rPr>
      </w:pPr>
      <w:r w:rsidRPr="00A34F10">
        <w:rPr>
          <w:sz w:val="18"/>
          <w:szCs w:val="18"/>
          <w:lang w:val="en-GB"/>
        </w:rPr>
        <w:t>Limit of Quantification (LOQ) = 0.4882 mg/L Propamocarb</w:t>
      </w:r>
    </w:p>
    <w:p w14:paraId="4F5685AD" w14:textId="2E3FF55F" w:rsidR="00DC5685" w:rsidRPr="00A34F10" w:rsidRDefault="00DC5685" w:rsidP="00DC5685">
      <w:pPr>
        <w:rPr>
          <w:sz w:val="18"/>
          <w:szCs w:val="18"/>
          <w:highlight w:val="yellow"/>
          <w:lang w:val="en-GB"/>
        </w:rPr>
      </w:pPr>
    </w:p>
    <w:p w14:paraId="66B51088" w14:textId="77777777" w:rsidR="003952ED" w:rsidRPr="00A34F10" w:rsidRDefault="003952ED" w:rsidP="00DC5685">
      <w:pPr>
        <w:rPr>
          <w:sz w:val="18"/>
          <w:szCs w:val="18"/>
          <w:highlight w:val="yellow"/>
          <w:lang w:val="en-GB"/>
        </w:rPr>
      </w:pPr>
    </w:p>
    <w:p w14:paraId="45530B66" w14:textId="78F6848D" w:rsidR="00DC5685" w:rsidRPr="00A34F10" w:rsidRDefault="00EA3876" w:rsidP="00EA3876">
      <w:pPr>
        <w:pStyle w:val="Legenda"/>
      </w:pPr>
      <w:r>
        <w:t xml:space="preserve">Table A </w:t>
      </w:r>
      <w:r>
        <w:fldChar w:fldCharType="begin"/>
      </w:r>
      <w:r>
        <w:instrText xml:space="preserve"> SEQ Table_A \* ARABIC </w:instrText>
      </w:r>
      <w:r>
        <w:fldChar w:fldCharType="separate"/>
      </w:r>
      <w:r w:rsidR="006F0F3B">
        <w:rPr>
          <w:noProof/>
        </w:rPr>
        <w:t>15</w:t>
      </w:r>
      <w:r>
        <w:fldChar w:fldCharType="end"/>
      </w:r>
      <w:r w:rsidR="003952ED" w:rsidRPr="00A34F10">
        <w:t>:</w:t>
      </w:r>
      <w:r w:rsidR="00DC5685" w:rsidRPr="00A34F10">
        <w:tab/>
        <w:t>Measured concentrations of ametoctradin</w:t>
      </w:r>
      <w:r w:rsidR="00DC5685" w:rsidRPr="00A34F10">
        <w:rPr>
          <w:lang w:val="x-none"/>
        </w:rPr>
        <w:t xml:space="preserve"> in </w:t>
      </w:r>
      <w:r w:rsidR="00DC5685" w:rsidRPr="00A34F10">
        <w:t>test water</w:t>
      </w:r>
    </w:p>
    <w:tbl>
      <w:tblPr>
        <w:tblStyle w:val="Tabela-Motyw"/>
        <w:tblW w:w="5000" w:type="pct"/>
        <w:tblLook w:val="04A0" w:firstRow="1" w:lastRow="0" w:firstColumn="1" w:lastColumn="0" w:noHBand="0" w:noVBand="1"/>
      </w:tblPr>
      <w:tblGrid>
        <w:gridCol w:w="1841"/>
        <w:gridCol w:w="2041"/>
        <w:gridCol w:w="1590"/>
        <w:gridCol w:w="1841"/>
        <w:gridCol w:w="2031"/>
      </w:tblGrid>
      <w:tr w:rsidR="00DC5685" w:rsidRPr="00A34F10" w14:paraId="29543F1B" w14:textId="77777777" w:rsidTr="000470C3">
        <w:trPr>
          <w:trHeight w:val="555"/>
        </w:trPr>
        <w:tc>
          <w:tcPr>
            <w:tcW w:w="985" w:type="pct"/>
            <w:vAlign w:val="center"/>
          </w:tcPr>
          <w:p w14:paraId="1DE921D2" w14:textId="77777777" w:rsidR="00DC5685" w:rsidRPr="00A34F10" w:rsidRDefault="00DC5685" w:rsidP="00DC5685">
            <w:pPr>
              <w:keepNext/>
              <w:keepLines/>
              <w:tabs>
                <w:tab w:val="left" w:pos="720"/>
              </w:tabs>
              <w:spacing w:before="20" w:after="20"/>
              <w:rPr>
                <w:b/>
                <w:bCs/>
                <w:lang w:val="en-GB"/>
              </w:rPr>
            </w:pPr>
            <w:r w:rsidRPr="00A34F10">
              <w:rPr>
                <w:b/>
                <w:color w:val="000000"/>
                <w:sz w:val="20"/>
                <w:szCs w:val="20"/>
              </w:rPr>
              <w:t>Test item [mg product/L]</w:t>
            </w:r>
          </w:p>
        </w:tc>
        <w:tc>
          <w:tcPr>
            <w:tcW w:w="1092" w:type="pct"/>
            <w:vAlign w:val="center"/>
          </w:tcPr>
          <w:p w14:paraId="13C33FFF" w14:textId="77777777" w:rsidR="00DC5685" w:rsidRPr="00A34F10" w:rsidRDefault="00DC5685" w:rsidP="00DC5685">
            <w:pPr>
              <w:keepNext/>
              <w:keepLines/>
              <w:tabs>
                <w:tab w:val="left" w:pos="720"/>
              </w:tabs>
              <w:spacing w:before="20" w:after="20"/>
              <w:rPr>
                <w:b/>
                <w:bCs/>
                <w:lang w:val="en-GB"/>
              </w:rPr>
            </w:pPr>
            <w:r w:rsidRPr="00A34F10">
              <w:rPr>
                <w:b/>
                <w:bCs/>
                <w:sz w:val="20"/>
                <w:szCs w:val="20"/>
                <w:lang w:val="en-GB"/>
              </w:rPr>
              <w:t>Nominal Concentration</w:t>
            </w:r>
            <w:r w:rsidRPr="00A34F10">
              <w:rPr>
                <w:b/>
                <w:bCs/>
                <w:sz w:val="20"/>
                <w:szCs w:val="20"/>
                <w:lang w:val="en-GB"/>
              </w:rPr>
              <w:br/>
              <w:t>[mg a.s./L]</w:t>
            </w:r>
          </w:p>
        </w:tc>
        <w:tc>
          <w:tcPr>
            <w:tcW w:w="851" w:type="pct"/>
            <w:vAlign w:val="center"/>
          </w:tcPr>
          <w:p w14:paraId="447AD0C9" w14:textId="77777777" w:rsidR="00DC5685" w:rsidRPr="00A34F10" w:rsidRDefault="00DC5685" w:rsidP="00DC5685">
            <w:pPr>
              <w:keepNext/>
              <w:keepLines/>
              <w:tabs>
                <w:tab w:val="left" w:pos="720"/>
              </w:tabs>
              <w:spacing w:before="20" w:after="20"/>
              <w:rPr>
                <w:b/>
                <w:bCs/>
                <w:lang w:val="en-GB"/>
              </w:rPr>
            </w:pPr>
            <w:r w:rsidRPr="00A34F10">
              <w:rPr>
                <w:b/>
                <w:bCs/>
                <w:lang w:val="en-GB"/>
              </w:rPr>
              <w:t xml:space="preserve">Timepoint </w:t>
            </w:r>
            <w:r w:rsidRPr="00A34F10">
              <w:rPr>
                <w:b/>
                <w:bCs/>
                <w:sz w:val="20"/>
                <w:szCs w:val="20"/>
                <w:lang w:val="en-GB"/>
              </w:rPr>
              <w:t>[hours]</w:t>
            </w:r>
          </w:p>
        </w:tc>
        <w:tc>
          <w:tcPr>
            <w:tcW w:w="985" w:type="pct"/>
            <w:vAlign w:val="center"/>
          </w:tcPr>
          <w:p w14:paraId="36A87CDF" w14:textId="77777777" w:rsidR="00DC5685" w:rsidRPr="00A34F10" w:rsidRDefault="00DC5685" w:rsidP="00DC5685">
            <w:pPr>
              <w:keepNext/>
              <w:keepLines/>
              <w:tabs>
                <w:tab w:val="left" w:pos="720"/>
              </w:tabs>
              <w:spacing w:before="20" w:after="20"/>
              <w:rPr>
                <w:b/>
                <w:bCs/>
                <w:lang w:val="en-GB"/>
              </w:rPr>
            </w:pPr>
            <w:r w:rsidRPr="00A34F10">
              <w:rPr>
                <w:b/>
                <w:bCs/>
                <w:sz w:val="20"/>
                <w:szCs w:val="20"/>
                <w:lang w:val="en-GB"/>
              </w:rPr>
              <w:t>Measured Concentration [mg a.s./L]</w:t>
            </w:r>
          </w:p>
        </w:tc>
        <w:tc>
          <w:tcPr>
            <w:tcW w:w="1088" w:type="pct"/>
            <w:vAlign w:val="center"/>
          </w:tcPr>
          <w:p w14:paraId="78CB4648" w14:textId="77777777" w:rsidR="00DC5685" w:rsidRPr="00A34F10" w:rsidRDefault="00DC5685" w:rsidP="00DC5685">
            <w:pPr>
              <w:keepNext/>
              <w:keepLines/>
              <w:tabs>
                <w:tab w:val="left" w:pos="720"/>
              </w:tabs>
              <w:spacing w:before="20" w:after="20"/>
              <w:rPr>
                <w:b/>
                <w:bCs/>
                <w:lang w:val="en-GB"/>
              </w:rPr>
            </w:pPr>
            <w:r w:rsidRPr="00A34F10">
              <w:rPr>
                <w:b/>
                <w:bCs/>
                <w:sz w:val="20"/>
                <w:szCs w:val="20"/>
                <w:lang w:val="en-GB"/>
              </w:rPr>
              <w:t>Recovery</w:t>
            </w:r>
            <w:r w:rsidRPr="00A34F10">
              <w:rPr>
                <w:b/>
                <w:bCs/>
                <w:sz w:val="20"/>
                <w:szCs w:val="20"/>
                <w:lang w:val="en-GB"/>
              </w:rPr>
              <w:br/>
              <w:t>[%]</w:t>
            </w:r>
          </w:p>
        </w:tc>
      </w:tr>
      <w:tr w:rsidR="00DC5685" w:rsidRPr="00A34F10" w14:paraId="48551A1D" w14:textId="77777777" w:rsidTr="000470C3">
        <w:tc>
          <w:tcPr>
            <w:tcW w:w="985" w:type="pct"/>
            <w:vMerge w:val="restart"/>
            <w:vAlign w:val="center"/>
          </w:tcPr>
          <w:p w14:paraId="2005A788"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Control</w:t>
            </w:r>
          </w:p>
        </w:tc>
        <w:tc>
          <w:tcPr>
            <w:tcW w:w="1092" w:type="pct"/>
            <w:vMerge w:val="restart"/>
            <w:vAlign w:val="center"/>
          </w:tcPr>
          <w:p w14:paraId="13F8D32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w:t>
            </w:r>
          </w:p>
        </w:tc>
        <w:tc>
          <w:tcPr>
            <w:tcW w:w="851" w:type="pct"/>
            <w:vAlign w:val="center"/>
          </w:tcPr>
          <w:p w14:paraId="4BC8D18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721B5D38"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1ED40F21"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w:t>
            </w:r>
          </w:p>
        </w:tc>
      </w:tr>
      <w:tr w:rsidR="00DC5685" w:rsidRPr="00A34F10" w14:paraId="7F566B8D" w14:textId="77777777" w:rsidTr="000470C3">
        <w:tc>
          <w:tcPr>
            <w:tcW w:w="985" w:type="pct"/>
            <w:vMerge/>
            <w:vAlign w:val="center"/>
          </w:tcPr>
          <w:p w14:paraId="03D79C10"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018AB6E8"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41979263"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6ED7AAF7"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62C6CA9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w:t>
            </w:r>
          </w:p>
        </w:tc>
      </w:tr>
      <w:tr w:rsidR="00DC5685" w:rsidRPr="00A34F10" w14:paraId="32B6AC45" w14:textId="77777777" w:rsidTr="000470C3">
        <w:tc>
          <w:tcPr>
            <w:tcW w:w="985" w:type="pct"/>
            <w:vMerge/>
            <w:vAlign w:val="center"/>
          </w:tcPr>
          <w:p w14:paraId="3168ED9F"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2170A7BC"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79DF88E5"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0F93C2D7"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&lt;LOD</w:t>
            </w:r>
          </w:p>
        </w:tc>
        <w:tc>
          <w:tcPr>
            <w:tcW w:w="1088" w:type="pct"/>
            <w:vAlign w:val="center"/>
          </w:tcPr>
          <w:p w14:paraId="32A65925"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w:t>
            </w:r>
          </w:p>
        </w:tc>
      </w:tr>
      <w:tr w:rsidR="00DC5685" w:rsidRPr="00A34F10" w14:paraId="56455C64" w14:textId="77777777" w:rsidTr="000470C3">
        <w:tc>
          <w:tcPr>
            <w:tcW w:w="985" w:type="pct"/>
            <w:vMerge w:val="restart"/>
            <w:vAlign w:val="center"/>
          </w:tcPr>
          <w:p w14:paraId="24FBA60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6.26</w:t>
            </w:r>
          </w:p>
        </w:tc>
        <w:tc>
          <w:tcPr>
            <w:tcW w:w="1092" w:type="pct"/>
            <w:vMerge w:val="restart"/>
            <w:vAlign w:val="center"/>
          </w:tcPr>
          <w:p w14:paraId="651C9DD9"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0.7014</w:t>
            </w:r>
          </w:p>
        </w:tc>
        <w:tc>
          <w:tcPr>
            <w:tcW w:w="851" w:type="pct"/>
            <w:vAlign w:val="center"/>
          </w:tcPr>
          <w:p w14:paraId="15E08918"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61F8097A"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0.6595</w:t>
            </w:r>
          </w:p>
        </w:tc>
        <w:tc>
          <w:tcPr>
            <w:tcW w:w="1088" w:type="pct"/>
            <w:vAlign w:val="center"/>
          </w:tcPr>
          <w:p w14:paraId="03906A2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94.0</w:t>
            </w:r>
          </w:p>
        </w:tc>
      </w:tr>
      <w:tr w:rsidR="00DC5685" w:rsidRPr="00A34F10" w14:paraId="14970F70" w14:textId="77777777" w:rsidTr="000470C3">
        <w:tc>
          <w:tcPr>
            <w:tcW w:w="985" w:type="pct"/>
            <w:vMerge/>
            <w:vAlign w:val="center"/>
          </w:tcPr>
          <w:p w14:paraId="3DF65CB1"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2F4ECF83"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7D7BACED"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0CA6063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0.4115</w:t>
            </w:r>
          </w:p>
        </w:tc>
        <w:tc>
          <w:tcPr>
            <w:tcW w:w="1088" w:type="pct"/>
            <w:vAlign w:val="center"/>
          </w:tcPr>
          <w:p w14:paraId="5849719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58.7</w:t>
            </w:r>
          </w:p>
        </w:tc>
      </w:tr>
      <w:tr w:rsidR="00DC5685" w:rsidRPr="00A34F10" w14:paraId="39B22D29" w14:textId="77777777" w:rsidTr="000470C3">
        <w:tc>
          <w:tcPr>
            <w:tcW w:w="985" w:type="pct"/>
            <w:vMerge/>
            <w:vAlign w:val="center"/>
          </w:tcPr>
          <w:p w14:paraId="0237F8E8"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38549F1E"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21691CA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587C88C8"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0.4083</w:t>
            </w:r>
          </w:p>
        </w:tc>
        <w:tc>
          <w:tcPr>
            <w:tcW w:w="1088" w:type="pct"/>
            <w:vAlign w:val="center"/>
          </w:tcPr>
          <w:p w14:paraId="3C984C41"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58.2</w:t>
            </w:r>
          </w:p>
        </w:tc>
      </w:tr>
      <w:tr w:rsidR="00DC5685" w:rsidRPr="00A34F10" w14:paraId="60802178" w14:textId="77777777" w:rsidTr="000470C3">
        <w:tc>
          <w:tcPr>
            <w:tcW w:w="985" w:type="pct"/>
            <w:vMerge w:val="restart"/>
            <w:vAlign w:val="center"/>
          </w:tcPr>
          <w:p w14:paraId="037B45AE"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12.5</w:t>
            </w:r>
          </w:p>
        </w:tc>
        <w:tc>
          <w:tcPr>
            <w:tcW w:w="1092" w:type="pct"/>
            <w:vMerge w:val="restart"/>
            <w:vAlign w:val="center"/>
          </w:tcPr>
          <w:p w14:paraId="2B2CD823"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1.401</w:t>
            </w:r>
          </w:p>
        </w:tc>
        <w:tc>
          <w:tcPr>
            <w:tcW w:w="851" w:type="pct"/>
            <w:vAlign w:val="center"/>
          </w:tcPr>
          <w:p w14:paraId="726C8BD5"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493D5168"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1.272</w:t>
            </w:r>
          </w:p>
        </w:tc>
        <w:tc>
          <w:tcPr>
            <w:tcW w:w="1088" w:type="pct"/>
            <w:vAlign w:val="center"/>
          </w:tcPr>
          <w:p w14:paraId="5068D35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90.8</w:t>
            </w:r>
          </w:p>
        </w:tc>
      </w:tr>
      <w:tr w:rsidR="00DC5685" w:rsidRPr="00A34F10" w14:paraId="398794FC" w14:textId="77777777" w:rsidTr="000470C3">
        <w:tc>
          <w:tcPr>
            <w:tcW w:w="985" w:type="pct"/>
            <w:vMerge/>
            <w:vAlign w:val="center"/>
          </w:tcPr>
          <w:p w14:paraId="2E90DE46"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06ABE991"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0C2C13C1"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11FE8FCF"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0.7445</w:t>
            </w:r>
          </w:p>
        </w:tc>
        <w:tc>
          <w:tcPr>
            <w:tcW w:w="1088" w:type="pct"/>
            <w:vAlign w:val="center"/>
          </w:tcPr>
          <w:p w14:paraId="6DDFB09E"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53.2</w:t>
            </w:r>
          </w:p>
        </w:tc>
      </w:tr>
      <w:tr w:rsidR="00DC5685" w:rsidRPr="00A34F10" w14:paraId="48CE3A86" w14:textId="77777777" w:rsidTr="000470C3">
        <w:tc>
          <w:tcPr>
            <w:tcW w:w="985" w:type="pct"/>
            <w:vMerge/>
            <w:vAlign w:val="center"/>
          </w:tcPr>
          <w:p w14:paraId="216B5D7E"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2EEE6B5D"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0B99984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1E742FFE"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0.7503</w:t>
            </w:r>
          </w:p>
        </w:tc>
        <w:tc>
          <w:tcPr>
            <w:tcW w:w="1088" w:type="pct"/>
            <w:vAlign w:val="center"/>
          </w:tcPr>
          <w:p w14:paraId="6A61E655"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53.6</w:t>
            </w:r>
          </w:p>
        </w:tc>
      </w:tr>
      <w:tr w:rsidR="00DC5685" w:rsidRPr="00A34F10" w14:paraId="61FE4AE7" w14:textId="77777777" w:rsidTr="000470C3">
        <w:tc>
          <w:tcPr>
            <w:tcW w:w="985" w:type="pct"/>
            <w:vMerge w:val="restart"/>
            <w:vAlign w:val="center"/>
          </w:tcPr>
          <w:p w14:paraId="2AA7F2E2"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25.0</w:t>
            </w:r>
          </w:p>
        </w:tc>
        <w:tc>
          <w:tcPr>
            <w:tcW w:w="1092" w:type="pct"/>
            <w:vMerge w:val="restart"/>
            <w:vAlign w:val="center"/>
          </w:tcPr>
          <w:p w14:paraId="081D9787"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2.801</w:t>
            </w:r>
          </w:p>
        </w:tc>
        <w:tc>
          <w:tcPr>
            <w:tcW w:w="851" w:type="pct"/>
            <w:vAlign w:val="center"/>
          </w:tcPr>
          <w:p w14:paraId="724ADE32"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3D3B214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2.593</w:t>
            </w:r>
          </w:p>
        </w:tc>
        <w:tc>
          <w:tcPr>
            <w:tcW w:w="1088" w:type="pct"/>
            <w:vAlign w:val="center"/>
          </w:tcPr>
          <w:p w14:paraId="20792146"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92.6</w:t>
            </w:r>
          </w:p>
        </w:tc>
      </w:tr>
      <w:tr w:rsidR="00DC5685" w:rsidRPr="00A34F10" w14:paraId="7B1EE990" w14:textId="77777777" w:rsidTr="000470C3">
        <w:tc>
          <w:tcPr>
            <w:tcW w:w="985" w:type="pct"/>
            <w:vMerge/>
            <w:vAlign w:val="center"/>
          </w:tcPr>
          <w:p w14:paraId="738C5CE7"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6AD4F3B7"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06969F9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5B75B4F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1.589</w:t>
            </w:r>
          </w:p>
        </w:tc>
        <w:tc>
          <w:tcPr>
            <w:tcW w:w="1088" w:type="pct"/>
            <w:vAlign w:val="center"/>
          </w:tcPr>
          <w:p w14:paraId="4DACD973"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56.7</w:t>
            </w:r>
          </w:p>
        </w:tc>
      </w:tr>
      <w:tr w:rsidR="00DC5685" w:rsidRPr="00A34F10" w14:paraId="5301697A" w14:textId="77777777" w:rsidTr="000470C3">
        <w:tc>
          <w:tcPr>
            <w:tcW w:w="985" w:type="pct"/>
            <w:vMerge/>
            <w:vAlign w:val="center"/>
          </w:tcPr>
          <w:p w14:paraId="6BF342E1"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6E599E75"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7F20DDE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2AEE847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1.386</w:t>
            </w:r>
          </w:p>
        </w:tc>
        <w:tc>
          <w:tcPr>
            <w:tcW w:w="1088" w:type="pct"/>
            <w:vAlign w:val="center"/>
          </w:tcPr>
          <w:p w14:paraId="1B5CD26D"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49.5</w:t>
            </w:r>
          </w:p>
        </w:tc>
      </w:tr>
      <w:tr w:rsidR="00DC5685" w:rsidRPr="00A34F10" w14:paraId="688F0348" w14:textId="77777777" w:rsidTr="000470C3">
        <w:tc>
          <w:tcPr>
            <w:tcW w:w="985" w:type="pct"/>
            <w:vMerge w:val="restart"/>
            <w:vAlign w:val="center"/>
          </w:tcPr>
          <w:p w14:paraId="78384AE7"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50.0</w:t>
            </w:r>
          </w:p>
        </w:tc>
        <w:tc>
          <w:tcPr>
            <w:tcW w:w="1092" w:type="pct"/>
            <w:vMerge w:val="restart"/>
            <w:vAlign w:val="center"/>
          </w:tcPr>
          <w:p w14:paraId="229E7B1A"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5.602</w:t>
            </w:r>
          </w:p>
        </w:tc>
        <w:tc>
          <w:tcPr>
            <w:tcW w:w="851" w:type="pct"/>
            <w:vAlign w:val="center"/>
          </w:tcPr>
          <w:p w14:paraId="34E55F9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5E91518A"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5.330</w:t>
            </w:r>
          </w:p>
        </w:tc>
        <w:tc>
          <w:tcPr>
            <w:tcW w:w="1088" w:type="pct"/>
            <w:vAlign w:val="center"/>
          </w:tcPr>
          <w:p w14:paraId="07F1F6A0"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95.1</w:t>
            </w:r>
          </w:p>
        </w:tc>
      </w:tr>
      <w:tr w:rsidR="00DC5685" w:rsidRPr="00A34F10" w14:paraId="7C3AF923" w14:textId="77777777" w:rsidTr="000470C3">
        <w:tc>
          <w:tcPr>
            <w:tcW w:w="985" w:type="pct"/>
            <w:vMerge/>
            <w:vAlign w:val="center"/>
          </w:tcPr>
          <w:p w14:paraId="517DD2F9"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631370EC"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7BDFFF19"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5B4A5B77"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2.116</w:t>
            </w:r>
          </w:p>
        </w:tc>
        <w:tc>
          <w:tcPr>
            <w:tcW w:w="1088" w:type="pct"/>
            <w:vAlign w:val="center"/>
          </w:tcPr>
          <w:p w14:paraId="4EA3C7F6"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37.8</w:t>
            </w:r>
          </w:p>
        </w:tc>
      </w:tr>
      <w:tr w:rsidR="00DC5685" w:rsidRPr="00A34F10" w14:paraId="0013CCD8" w14:textId="77777777" w:rsidTr="000470C3">
        <w:tc>
          <w:tcPr>
            <w:tcW w:w="985" w:type="pct"/>
            <w:vMerge/>
            <w:vAlign w:val="center"/>
          </w:tcPr>
          <w:p w14:paraId="7D74AC92"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000D5CCC" w14:textId="77777777" w:rsidR="00DC5685" w:rsidRPr="00A34F10" w:rsidRDefault="00DC5685" w:rsidP="00DC5685">
            <w:pPr>
              <w:spacing w:before="20" w:after="20"/>
              <w:ind w:left="57" w:right="57"/>
              <w:rPr>
                <w:color w:val="000000"/>
                <w:sz w:val="20"/>
                <w:szCs w:val="20"/>
                <w:lang w:val="en-GB"/>
              </w:rPr>
            </w:pPr>
          </w:p>
        </w:tc>
        <w:tc>
          <w:tcPr>
            <w:tcW w:w="851" w:type="pct"/>
            <w:vAlign w:val="center"/>
          </w:tcPr>
          <w:p w14:paraId="1BADA60C"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6FC7ED14"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1.965</w:t>
            </w:r>
          </w:p>
        </w:tc>
        <w:tc>
          <w:tcPr>
            <w:tcW w:w="1088" w:type="pct"/>
            <w:vAlign w:val="center"/>
          </w:tcPr>
          <w:p w14:paraId="63DF141F"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35.1</w:t>
            </w:r>
          </w:p>
        </w:tc>
      </w:tr>
      <w:tr w:rsidR="00DC5685" w:rsidRPr="00A34F10" w14:paraId="4A680AB9" w14:textId="77777777" w:rsidTr="000470C3">
        <w:tc>
          <w:tcPr>
            <w:tcW w:w="985" w:type="pct"/>
            <w:vMerge w:val="restart"/>
            <w:vAlign w:val="center"/>
          </w:tcPr>
          <w:p w14:paraId="12A63D4F"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100.0</w:t>
            </w:r>
          </w:p>
        </w:tc>
        <w:tc>
          <w:tcPr>
            <w:tcW w:w="1092" w:type="pct"/>
            <w:vMerge w:val="restart"/>
            <w:vAlign w:val="center"/>
          </w:tcPr>
          <w:p w14:paraId="0E8AB414" w14:textId="77777777" w:rsidR="00DC5685" w:rsidRPr="00A34F10" w:rsidRDefault="00DC5685" w:rsidP="00DC5685">
            <w:pPr>
              <w:spacing w:before="20" w:after="20"/>
              <w:ind w:left="57" w:right="57"/>
              <w:rPr>
                <w:color w:val="000000"/>
                <w:sz w:val="20"/>
                <w:szCs w:val="20"/>
                <w:lang w:val="en-GB"/>
              </w:rPr>
            </w:pPr>
            <w:r w:rsidRPr="00A34F10">
              <w:rPr>
                <w:color w:val="000000"/>
                <w:sz w:val="20"/>
                <w:szCs w:val="20"/>
                <w:lang w:val="en-GB"/>
              </w:rPr>
              <w:t>11.20</w:t>
            </w:r>
          </w:p>
        </w:tc>
        <w:tc>
          <w:tcPr>
            <w:tcW w:w="851" w:type="pct"/>
            <w:vAlign w:val="center"/>
          </w:tcPr>
          <w:p w14:paraId="7A2B231F"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0</w:t>
            </w:r>
          </w:p>
        </w:tc>
        <w:tc>
          <w:tcPr>
            <w:tcW w:w="985" w:type="pct"/>
            <w:vAlign w:val="center"/>
          </w:tcPr>
          <w:p w14:paraId="63EF4B53"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11.12</w:t>
            </w:r>
          </w:p>
        </w:tc>
        <w:tc>
          <w:tcPr>
            <w:tcW w:w="1088" w:type="pct"/>
            <w:vAlign w:val="center"/>
          </w:tcPr>
          <w:p w14:paraId="6E29888A"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99.3</w:t>
            </w:r>
          </w:p>
        </w:tc>
      </w:tr>
      <w:tr w:rsidR="00DC5685" w:rsidRPr="00A34F10" w14:paraId="1F40BEB5" w14:textId="77777777" w:rsidTr="000470C3">
        <w:tc>
          <w:tcPr>
            <w:tcW w:w="985" w:type="pct"/>
            <w:vMerge/>
            <w:vAlign w:val="center"/>
          </w:tcPr>
          <w:p w14:paraId="147026F6"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2D937759" w14:textId="77777777" w:rsidR="00DC5685" w:rsidRPr="00A34F10" w:rsidRDefault="00DC5685" w:rsidP="00DC5685">
            <w:pPr>
              <w:keepNext/>
              <w:keepLines/>
              <w:tabs>
                <w:tab w:val="decimal" w:pos="517"/>
              </w:tabs>
              <w:spacing w:before="20" w:after="20"/>
              <w:ind w:left="57" w:right="57"/>
              <w:rPr>
                <w:color w:val="000000"/>
                <w:sz w:val="20"/>
                <w:szCs w:val="20"/>
                <w:lang w:val="en-GB"/>
              </w:rPr>
            </w:pPr>
          </w:p>
        </w:tc>
        <w:tc>
          <w:tcPr>
            <w:tcW w:w="851" w:type="pct"/>
            <w:vAlign w:val="center"/>
          </w:tcPr>
          <w:p w14:paraId="0D564BDB"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24</w:t>
            </w:r>
          </w:p>
        </w:tc>
        <w:tc>
          <w:tcPr>
            <w:tcW w:w="985" w:type="pct"/>
            <w:vAlign w:val="center"/>
          </w:tcPr>
          <w:p w14:paraId="42A8BEB7"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5.004</w:t>
            </w:r>
          </w:p>
        </w:tc>
        <w:tc>
          <w:tcPr>
            <w:tcW w:w="1088" w:type="pct"/>
            <w:vAlign w:val="center"/>
          </w:tcPr>
          <w:p w14:paraId="5EA9481F"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44.7</w:t>
            </w:r>
          </w:p>
        </w:tc>
      </w:tr>
      <w:tr w:rsidR="00DC5685" w:rsidRPr="00A34F10" w14:paraId="2A3C3434" w14:textId="77777777" w:rsidTr="000470C3">
        <w:tc>
          <w:tcPr>
            <w:tcW w:w="985" w:type="pct"/>
            <w:vMerge/>
            <w:vAlign w:val="center"/>
          </w:tcPr>
          <w:p w14:paraId="11E0D962" w14:textId="77777777" w:rsidR="00DC5685" w:rsidRPr="00A34F10" w:rsidRDefault="00DC5685" w:rsidP="00DC5685">
            <w:pPr>
              <w:keepNext/>
              <w:keepLines/>
              <w:spacing w:before="20" w:after="20"/>
              <w:ind w:left="57" w:right="57"/>
              <w:rPr>
                <w:color w:val="000000"/>
                <w:sz w:val="20"/>
                <w:szCs w:val="20"/>
                <w:lang w:val="en-GB"/>
              </w:rPr>
            </w:pPr>
          </w:p>
        </w:tc>
        <w:tc>
          <w:tcPr>
            <w:tcW w:w="1092" w:type="pct"/>
            <w:vMerge/>
            <w:vAlign w:val="center"/>
          </w:tcPr>
          <w:p w14:paraId="7A003DD8" w14:textId="77777777" w:rsidR="00DC5685" w:rsidRPr="00A34F10" w:rsidRDefault="00DC5685" w:rsidP="00DC5685">
            <w:pPr>
              <w:keepNext/>
              <w:keepLines/>
              <w:spacing w:before="20" w:after="20"/>
              <w:ind w:left="57" w:right="57"/>
              <w:rPr>
                <w:color w:val="000000"/>
                <w:sz w:val="20"/>
                <w:szCs w:val="20"/>
                <w:lang w:val="en-GB"/>
              </w:rPr>
            </w:pPr>
          </w:p>
        </w:tc>
        <w:tc>
          <w:tcPr>
            <w:tcW w:w="851" w:type="pct"/>
            <w:vAlign w:val="center"/>
          </w:tcPr>
          <w:p w14:paraId="76517EFA"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48</w:t>
            </w:r>
          </w:p>
        </w:tc>
        <w:tc>
          <w:tcPr>
            <w:tcW w:w="985" w:type="pct"/>
            <w:vAlign w:val="center"/>
          </w:tcPr>
          <w:p w14:paraId="2F81323C"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4.280</w:t>
            </w:r>
          </w:p>
        </w:tc>
        <w:tc>
          <w:tcPr>
            <w:tcW w:w="1088" w:type="pct"/>
            <w:vAlign w:val="center"/>
          </w:tcPr>
          <w:p w14:paraId="0A70F38E" w14:textId="77777777" w:rsidR="00DC5685" w:rsidRPr="00A34F10" w:rsidRDefault="00DC5685" w:rsidP="00DC5685">
            <w:pPr>
              <w:keepNext/>
              <w:keepLines/>
              <w:spacing w:before="20" w:after="20"/>
              <w:ind w:left="57" w:right="57"/>
              <w:rPr>
                <w:color w:val="000000"/>
                <w:sz w:val="20"/>
                <w:szCs w:val="20"/>
                <w:lang w:val="en-GB"/>
              </w:rPr>
            </w:pPr>
            <w:r w:rsidRPr="00A34F10">
              <w:rPr>
                <w:color w:val="000000"/>
                <w:sz w:val="20"/>
                <w:szCs w:val="20"/>
                <w:lang w:val="en-GB"/>
              </w:rPr>
              <w:t>38.2</w:t>
            </w:r>
          </w:p>
        </w:tc>
      </w:tr>
    </w:tbl>
    <w:p w14:paraId="62AB6968" w14:textId="4228B1F6" w:rsidR="003952ED" w:rsidRPr="00A34F10" w:rsidRDefault="00DC5685" w:rsidP="00DC5685">
      <w:pPr>
        <w:keepNext/>
        <w:keepLines/>
        <w:spacing w:after="360"/>
        <w:ind w:left="57" w:right="57"/>
        <w:rPr>
          <w:sz w:val="18"/>
          <w:szCs w:val="18"/>
          <w:lang w:val="en-GB"/>
        </w:rPr>
      </w:pPr>
      <w:r w:rsidRPr="00A34F10">
        <w:rPr>
          <w:sz w:val="18"/>
          <w:szCs w:val="18"/>
          <w:lang w:val="en-GB"/>
        </w:rPr>
        <w:t>Limit of Quantification (LOQ) = 0.1315 mg/L Ametoctradin</w:t>
      </w:r>
    </w:p>
    <w:p w14:paraId="3DE2D596" w14:textId="77777777" w:rsidR="00DC5685" w:rsidRPr="00A34F10" w:rsidRDefault="003952ED" w:rsidP="003952ED">
      <w:pPr>
        <w:rPr>
          <w:color w:val="000000"/>
          <w:sz w:val="20"/>
          <w:szCs w:val="20"/>
          <w:lang w:val="en-GB"/>
        </w:rPr>
      </w:pPr>
      <w:r w:rsidRPr="00A34F10">
        <w:rPr>
          <w:lang w:val="en-GB"/>
        </w:rPr>
        <w:br w:type="page"/>
      </w:r>
    </w:p>
    <w:p w14:paraId="64F7B5A9" w14:textId="77777777" w:rsidR="00DC5685" w:rsidRPr="00A34F10" w:rsidRDefault="00DC5685" w:rsidP="00E05ECD">
      <w:pPr>
        <w:numPr>
          <w:ilvl w:val="0"/>
          <w:numId w:val="49"/>
        </w:numPr>
        <w:ind w:left="357" w:hanging="357"/>
        <w:contextualSpacing/>
        <w:rPr>
          <w:b/>
          <w:bCs/>
          <w:caps/>
          <w:szCs w:val="24"/>
          <w:lang w:val="en-GB"/>
        </w:rPr>
      </w:pPr>
      <w:r w:rsidRPr="00A34F10">
        <w:rPr>
          <w:b/>
          <w:bCs/>
          <w:caps/>
          <w:szCs w:val="24"/>
          <w:lang w:val="en-GB"/>
        </w:rPr>
        <w:lastRenderedPageBreak/>
        <w:t>biological effects</w:t>
      </w:r>
    </w:p>
    <w:p w14:paraId="0E011067" w14:textId="77777777" w:rsidR="00DC5685" w:rsidRPr="00A34F10" w:rsidRDefault="00DC5685" w:rsidP="00DC5685">
      <w:pPr>
        <w:ind w:left="357"/>
        <w:contextualSpacing/>
        <w:rPr>
          <w:b/>
          <w:bCs/>
          <w:caps/>
          <w:szCs w:val="24"/>
          <w:lang w:val="en-GB"/>
        </w:rPr>
      </w:pPr>
    </w:p>
    <w:p w14:paraId="5D7BD319" w14:textId="558A498F" w:rsidR="00A14E06" w:rsidRPr="00A34F10" w:rsidRDefault="00DC5685" w:rsidP="00DC5685">
      <w:pPr>
        <w:spacing w:after="240"/>
        <w:jc w:val="both"/>
        <w:rPr>
          <w:color w:val="000000"/>
          <w:lang w:val="en-GB"/>
        </w:rPr>
      </w:pPr>
      <w:r w:rsidRPr="00A34F10">
        <w:rPr>
          <w:color w:val="000000"/>
          <w:lang w:val="en-GB"/>
        </w:rPr>
        <w:t xml:space="preserve">Following 48 hours of exposure, </w:t>
      </w:r>
      <w:r w:rsidRPr="00A34F10">
        <w:rPr>
          <w:color w:val="000000"/>
          <w:lang w:val="x-none"/>
        </w:rPr>
        <w:t>no immobilization of the test animals was</w:t>
      </w:r>
      <w:r w:rsidRPr="00A34F10">
        <w:rPr>
          <w:color w:val="000000"/>
          <w:lang w:val="en-GB"/>
        </w:rPr>
        <w:t xml:space="preserve"> </w:t>
      </w:r>
      <w:r w:rsidRPr="00A34F10">
        <w:rPr>
          <w:color w:val="000000"/>
          <w:lang w:val="x-none"/>
        </w:rPr>
        <w:t xml:space="preserve">observed in the control and up to and including the </w:t>
      </w:r>
      <w:r w:rsidRPr="00A34F10">
        <w:rPr>
          <w:color w:val="000000"/>
          <w:lang w:val="en-GB"/>
        </w:rPr>
        <w:t xml:space="preserve">nominal </w:t>
      </w:r>
      <w:r w:rsidRPr="00A34F10">
        <w:rPr>
          <w:color w:val="000000"/>
          <w:lang w:val="x-none"/>
        </w:rPr>
        <w:t>test item</w:t>
      </w:r>
      <w:r w:rsidRPr="00A34F10">
        <w:rPr>
          <w:color w:val="000000"/>
          <w:lang w:val="en-GB"/>
        </w:rPr>
        <w:t xml:space="preserve"> </w:t>
      </w:r>
      <w:r w:rsidRPr="00A34F10">
        <w:rPr>
          <w:color w:val="000000"/>
          <w:lang w:val="x-none"/>
        </w:rPr>
        <w:t xml:space="preserve">concentration of </w:t>
      </w:r>
      <w:r w:rsidRPr="00A34F10">
        <w:rPr>
          <w:color w:val="000000"/>
        </w:rPr>
        <w:t>25</w:t>
      </w:r>
      <w:r w:rsidRPr="00A34F10">
        <w:rPr>
          <w:color w:val="000000"/>
          <w:lang w:val="x-none"/>
        </w:rPr>
        <w:t xml:space="preserve"> mg </w:t>
      </w:r>
      <w:r w:rsidRPr="00A34F10">
        <w:rPr>
          <w:color w:val="000000"/>
          <w:lang w:val="en-GB"/>
        </w:rPr>
        <w:t>product</w:t>
      </w:r>
      <w:r w:rsidRPr="00A34F10">
        <w:rPr>
          <w:color w:val="000000"/>
          <w:lang w:val="x-none"/>
        </w:rPr>
        <w:t>/L</w:t>
      </w:r>
      <w:r w:rsidRPr="00A34F10">
        <w:rPr>
          <w:color w:val="000000"/>
        </w:rPr>
        <w:t xml:space="preserve">. 5% immobilization was observed in the test concentrations of 50 and 100 mg test item/L after 48 h. During the 48-hour exposure, no discolorations nor symptoms of any abnormal behaviour were found. </w:t>
      </w:r>
      <w:r w:rsidRPr="00A34F10">
        <w:rPr>
          <w:color w:val="000000"/>
          <w:lang w:val="en-GB"/>
        </w:rPr>
        <w:t>Biological results are presented in the following table.</w:t>
      </w:r>
    </w:p>
    <w:p w14:paraId="5CA28420" w14:textId="2F268043" w:rsidR="00DC5685" w:rsidRPr="00A34F10" w:rsidRDefault="00EA3876" w:rsidP="00EA3876">
      <w:pPr>
        <w:pStyle w:val="Legenda"/>
      </w:pPr>
      <w:r>
        <w:t xml:space="preserve">Table A </w:t>
      </w:r>
      <w:r>
        <w:fldChar w:fldCharType="begin"/>
      </w:r>
      <w:r>
        <w:instrText xml:space="preserve"> SEQ Table_A \* ARABIC </w:instrText>
      </w:r>
      <w:r>
        <w:fldChar w:fldCharType="separate"/>
      </w:r>
      <w:r w:rsidR="006F0F3B">
        <w:rPr>
          <w:noProof/>
        </w:rPr>
        <w:t>16</w:t>
      </w:r>
      <w:r>
        <w:fldChar w:fldCharType="end"/>
      </w:r>
      <w:r w:rsidR="00A14E06" w:rsidRPr="00A34F10">
        <w:t>:</w:t>
      </w:r>
      <w:r w:rsidR="00DC5685" w:rsidRPr="00A34F10">
        <w:tab/>
        <w:t xml:space="preserve">Immobility of </w:t>
      </w:r>
      <w:r w:rsidR="00DC5685" w:rsidRPr="00A34F10">
        <w:rPr>
          <w:i/>
        </w:rPr>
        <w:t>Daphnia magna</w:t>
      </w:r>
      <w:r w:rsidR="00DC5685" w:rsidRPr="00A34F10">
        <w:t xml:space="preserve"> exposed to BAS 743 03 F for 48 hours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44"/>
        <w:gridCol w:w="2112"/>
        <w:gridCol w:w="1794"/>
        <w:gridCol w:w="1794"/>
      </w:tblGrid>
      <w:tr w:rsidR="00DC5685" w:rsidRPr="00A34F10" w14:paraId="1D9D528A" w14:textId="77777777" w:rsidTr="000470C3">
        <w:trPr>
          <w:trHeight w:val="211"/>
        </w:trPr>
        <w:tc>
          <w:tcPr>
            <w:tcW w:w="1950" w:type="pct"/>
            <w:vMerge w:val="restart"/>
            <w:shd w:val="clear" w:color="auto" w:fill="auto"/>
            <w:vAlign w:val="center"/>
          </w:tcPr>
          <w:p w14:paraId="61B39F3B"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pacing w:val="-6"/>
                <w:sz w:val="20"/>
                <w:szCs w:val="20"/>
                <w:lang w:val="en-GB"/>
              </w:rPr>
              <w:t>Nominal Concentration [</w:t>
            </w:r>
            <w:r w:rsidRPr="00A34F10">
              <w:rPr>
                <w:b/>
                <w:color w:val="000000"/>
                <w:sz w:val="20"/>
                <w:szCs w:val="20"/>
                <w:lang w:val="en-GB"/>
              </w:rPr>
              <w:t>mg product/L]</w:t>
            </w:r>
          </w:p>
        </w:tc>
        <w:tc>
          <w:tcPr>
            <w:tcW w:w="1130" w:type="pct"/>
            <w:vMerge w:val="restart"/>
            <w:vAlign w:val="center"/>
          </w:tcPr>
          <w:p w14:paraId="42F091F2"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No. of Daphnia tested</w:t>
            </w:r>
          </w:p>
        </w:tc>
        <w:tc>
          <w:tcPr>
            <w:tcW w:w="1920" w:type="pct"/>
            <w:gridSpan w:val="2"/>
            <w:shd w:val="clear" w:color="auto" w:fill="auto"/>
            <w:vAlign w:val="center"/>
          </w:tcPr>
          <w:p w14:paraId="221BBFE4"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No. of Daphnia immobilised / (%)</w:t>
            </w:r>
          </w:p>
        </w:tc>
      </w:tr>
      <w:tr w:rsidR="00DC5685" w:rsidRPr="00A34F10" w14:paraId="00CAE5B4" w14:textId="77777777" w:rsidTr="000470C3">
        <w:tc>
          <w:tcPr>
            <w:tcW w:w="1950" w:type="pct"/>
            <w:vMerge/>
            <w:vAlign w:val="center"/>
          </w:tcPr>
          <w:p w14:paraId="37744144" w14:textId="77777777" w:rsidR="00DC5685" w:rsidRPr="00A34F10" w:rsidRDefault="00DC5685" w:rsidP="00DC5685">
            <w:pPr>
              <w:keepNext/>
              <w:spacing w:before="20" w:after="20"/>
              <w:ind w:left="57" w:right="57"/>
              <w:jc w:val="center"/>
              <w:rPr>
                <w:b/>
                <w:color w:val="000000"/>
                <w:sz w:val="20"/>
                <w:szCs w:val="20"/>
                <w:lang w:val="en-GB"/>
              </w:rPr>
            </w:pPr>
          </w:p>
        </w:tc>
        <w:tc>
          <w:tcPr>
            <w:tcW w:w="1130" w:type="pct"/>
            <w:vMerge/>
            <w:vAlign w:val="center"/>
          </w:tcPr>
          <w:p w14:paraId="01F88BF9" w14:textId="77777777" w:rsidR="00DC5685" w:rsidRPr="00A34F10" w:rsidRDefault="00DC5685" w:rsidP="00DC5685">
            <w:pPr>
              <w:keepNext/>
              <w:spacing w:before="20" w:after="20"/>
              <w:ind w:left="57" w:right="57"/>
              <w:jc w:val="center"/>
              <w:rPr>
                <w:b/>
                <w:color w:val="000000"/>
                <w:sz w:val="20"/>
                <w:szCs w:val="20"/>
                <w:lang w:val="en-GB"/>
              </w:rPr>
            </w:pPr>
          </w:p>
        </w:tc>
        <w:tc>
          <w:tcPr>
            <w:tcW w:w="960" w:type="pct"/>
            <w:vAlign w:val="center"/>
          </w:tcPr>
          <w:p w14:paraId="371E80C3"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24 hours</w:t>
            </w:r>
          </w:p>
        </w:tc>
        <w:tc>
          <w:tcPr>
            <w:tcW w:w="960" w:type="pct"/>
            <w:vAlign w:val="center"/>
          </w:tcPr>
          <w:p w14:paraId="283E8040" w14:textId="77777777" w:rsidR="00DC5685" w:rsidRPr="00A34F10" w:rsidRDefault="00DC5685" w:rsidP="00DC5685">
            <w:pPr>
              <w:keepNext/>
              <w:spacing w:before="20" w:after="20"/>
              <w:ind w:left="57" w:right="57"/>
              <w:jc w:val="center"/>
              <w:rPr>
                <w:b/>
                <w:color w:val="000000"/>
                <w:sz w:val="20"/>
                <w:szCs w:val="20"/>
                <w:lang w:val="en-GB"/>
              </w:rPr>
            </w:pPr>
            <w:r w:rsidRPr="00A34F10">
              <w:rPr>
                <w:b/>
                <w:color w:val="000000"/>
                <w:sz w:val="20"/>
                <w:szCs w:val="20"/>
                <w:lang w:val="en-GB"/>
              </w:rPr>
              <w:t>48 hours</w:t>
            </w:r>
          </w:p>
        </w:tc>
      </w:tr>
      <w:tr w:rsidR="00DC5685" w:rsidRPr="00A34F10" w14:paraId="75FA5766" w14:textId="77777777" w:rsidTr="000470C3">
        <w:tc>
          <w:tcPr>
            <w:tcW w:w="1950" w:type="pct"/>
            <w:vAlign w:val="center"/>
          </w:tcPr>
          <w:p w14:paraId="02DAE4B0"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Control</w:t>
            </w:r>
          </w:p>
        </w:tc>
        <w:tc>
          <w:tcPr>
            <w:tcW w:w="1130" w:type="pct"/>
            <w:vAlign w:val="center"/>
          </w:tcPr>
          <w:p w14:paraId="2283F38E"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20</w:t>
            </w:r>
          </w:p>
        </w:tc>
        <w:tc>
          <w:tcPr>
            <w:tcW w:w="960" w:type="pct"/>
            <w:vAlign w:val="center"/>
          </w:tcPr>
          <w:p w14:paraId="3B2355BB"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c>
          <w:tcPr>
            <w:tcW w:w="960" w:type="pct"/>
            <w:vAlign w:val="center"/>
          </w:tcPr>
          <w:p w14:paraId="559CA888"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r>
      <w:tr w:rsidR="00DC5685" w:rsidRPr="00A34F10" w14:paraId="2A012F5D" w14:textId="77777777" w:rsidTr="000470C3">
        <w:tc>
          <w:tcPr>
            <w:tcW w:w="1950" w:type="pct"/>
            <w:vAlign w:val="center"/>
          </w:tcPr>
          <w:p w14:paraId="1FF7D6C6"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6.25</w:t>
            </w:r>
          </w:p>
        </w:tc>
        <w:tc>
          <w:tcPr>
            <w:tcW w:w="1130" w:type="pct"/>
            <w:vAlign w:val="center"/>
          </w:tcPr>
          <w:p w14:paraId="01F72102"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vAlign w:val="center"/>
          </w:tcPr>
          <w:p w14:paraId="00B9EA40"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0 / (0)</w:t>
            </w:r>
          </w:p>
        </w:tc>
        <w:tc>
          <w:tcPr>
            <w:tcW w:w="960" w:type="pct"/>
            <w:vAlign w:val="center"/>
          </w:tcPr>
          <w:p w14:paraId="775C4648"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0 / (0)</w:t>
            </w:r>
          </w:p>
        </w:tc>
      </w:tr>
      <w:tr w:rsidR="00DC5685" w:rsidRPr="00A34F10" w14:paraId="04941163" w14:textId="77777777" w:rsidTr="000470C3">
        <w:tc>
          <w:tcPr>
            <w:tcW w:w="1950" w:type="pct"/>
            <w:shd w:val="clear" w:color="auto" w:fill="auto"/>
            <w:vAlign w:val="center"/>
          </w:tcPr>
          <w:p w14:paraId="0A82C925"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12.5</w:t>
            </w:r>
          </w:p>
        </w:tc>
        <w:tc>
          <w:tcPr>
            <w:tcW w:w="1130" w:type="pct"/>
            <w:vAlign w:val="center"/>
          </w:tcPr>
          <w:p w14:paraId="566B596C"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vAlign w:val="center"/>
          </w:tcPr>
          <w:p w14:paraId="6F525AED"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c>
          <w:tcPr>
            <w:tcW w:w="960" w:type="pct"/>
            <w:vAlign w:val="center"/>
          </w:tcPr>
          <w:p w14:paraId="45771602"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0 / (0)</w:t>
            </w:r>
          </w:p>
        </w:tc>
      </w:tr>
      <w:tr w:rsidR="00DC5685" w:rsidRPr="00A34F10" w14:paraId="2AA76332" w14:textId="77777777" w:rsidTr="000470C3">
        <w:tc>
          <w:tcPr>
            <w:tcW w:w="1950" w:type="pct"/>
            <w:shd w:val="clear" w:color="auto" w:fill="auto"/>
            <w:vAlign w:val="center"/>
          </w:tcPr>
          <w:p w14:paraId="3F6BC175"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25.0</w:t>
            </w:r>
          </w:p>
        </w:tc>
        <w:tc>
          <w:tcPr>
            <w:tcW w:w="1130" w:type="pct"/>
            <w:vAlign w:val="center"/>
          </w:tcPr>
          <w:p w14:paraId="23E96BB7"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vAlign w:val="center"/>
          </w:tcPr>
          <w:p w14:paraId="4CD60686"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0 / (0)</w:t>
            </w:r>
          </w:p>
        </w:tc>
        <w:tc>
          <w:tcPr>
            <w:tcW w:w="960" w:type="pct"/>
            <w:vAlign w:val="center"/>
          </w:tcPr>
          <w:p w14:paraId="49C5219D"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0 / (0)</w:t>
            </w:r>
          </w:p>
        </w:tc>
      </w:tr>
      <w:tr w:rsidR="00DC5685" w:rsidRPr="00A34F10" w14:paraId="05DAEBBE" w14:textId="77777777" w:rsidTr="000470C3">
        <w:tc>
          <w:tcPr>
            <w:tcW w:w="1950" w:type="pct"/>
            <w:shd w:val="clear" w:color="auto" w:fill="auto"/>
            <w:vAlign w:val="center"/>
          </w:tcPr>
          <w:p w14:paraId="729542DD"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50.0</w:t>
            </w:r>
          </w:p>
        </w:tc>
        <w:tc>
          <w:tcPr>
            <w:tcW w:w="1130" w:type="pct"/>
            <w:vAlign w:val="center"/>
          </w:tcPr>
          <w:p w14:paraId="6332FFFC"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20</w:t>
            </w:r>
          </w:p>
        </w:tc>
        <w:tc>
          <w:tcPr>
            <w:tcW w:w="960" w:type="pct"/>
            <w:vAlign w:val="center"/>
          </w:tcPr>
          <w:p w14:paraId="36934F5F"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0 / (0)</w:t>
            </w:r>
          </w:p>
        </w:tc>
        <w:tc>
          <w:tcPr>
            <w:tcW w:w="960" w:type="pct"/>
            <w:vAlign w:val="center"/>
          </w:tcPr>
          <w:p w14:paraId="4C58CDC5" w14:textId="77777777" w:rsidR="00DC5685" w:rsidRPr="00A34F10" w:rsidRDefault="00DC5685" w:rsidP="00DC5685">
            <w:pPr>
              <w:keepNext/>
              <w:spacing w:before="20" w:after="20"/>
              <w:ind w:left="57" w:right="57"/>
              <w:jc w:val="center"/>
              <w:rPr>
                <w:bCs/>
                <w:color w:val="000000"/>
                <w:sz w:val="20"/>
                <w:szCs w:val="20"/>
                <w:lang w:val="en-GB"/>
              </w:rPr>
            </w:pPr>
            <w:r w:rsidRPr="00A34F10">
              <w:rPr>
                <w:bCs/>
                <w:color w:val="000000"/>
                <w:sz w:val="20"/>
                <w:szCs w:val="20"/>
                <w:lang w:val="en-GB"/>
              </w:rPr>
              <w:t>1 / (5)</w:t>
            </w:r>
          </w:p>
        </w:tc>
      </w:tr>
      <w:tr w:rsidR="00DC5685" w:rsidRPr="00A34F10" w14:paraId="75A21B38" w14:textId="77777777" w:rsidTr="000470C3">
        <w:tc>
          <w:tcPr>
            <w:tcW w:w="1950" w:type="pct"/>
            <w:shd w:val="clear" w:color="auto" w:fill="auto"/>
            <w:vAlign w:val="center"/>
          </w:tcPr>
          <w:p w14:paraId="3A927E16"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100</w:t>
            </w:r>
          </w:p>
        </w:tc>
        <w:tc>
          <w:tcPr>
            <w:tcW w:w="1130" w:type="pct"/>
            <w:vAlign w:val="center"/>
          </w:tcPr>
          <w:p w14:paraId="20FBF653"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20</w:t>
            </w:r>
          </w:p>
        </w:tc>
        <w:tc>
          <w:tcPr>
            <w:tcW w:w="960" w:type="pct"/>
            <w:vAlign w:val="center"/>
          </w:tcPr>
          <w:p w14:paraId="7D2589F1" w14:textId="77777777" w:rsidR="00DC5685" w:rsidRPr="00A34F10" w:rsidRDefault="00DC5685" w:rsidP="00DC5685">
            <w:pPr>
              <w:keepNext/>
              <w:spacing w:before="20" w:after="20"/>
              <w:ind w:left="57" w:right="57"/>
              <w:jc w:val="center"/>
              <w:rPr>
                <w:color w:val="000000"/>
                <w:sz w:val="20"/>
                <w:szCs w:val="20"/>
                <w:lang w:val="en-GB"/>
              </w:rPr>
            </w:pPr>
            <w:r w:rsidRPr="00A34F10">
              <w:rPr>
                <w:color w:val="000000"/>
                <w:sz w:val="20"/>
                <w:szCs w:val="20"/>
                <w:lang w:val="en-GB"/>
              </w:rPr>
              <w:t>0 / (0)</w:t>
            </w:r>
          </w:p>
        </w:tc>
        <w:tc>
          <w:tcPr>
            <w:tcW w:w="960" w:type="pct"/>
            <w:vAlign w:val="center"/>
          </w:tcPr>
          <w:p w14:paraId="2429E0CF" w14:textId="77777777" w:rsidR="00DC5685" w:rsidRPr="00A34F10" w:rsidRDefault="00DC5685" w:rsidP="00DC5685">
            <w:pPr>
              <w:keepNext/>
              <w:spacing w:before="20" w:after="20"/>
              <w:ind w:left="57" w:right="57"/>
              <w:jc w:val="center"/>
              <w:rPr>
                <w:color w:val="000000"/>
                <w:sz w:val="20"/>
                <w:szCs w:val="20"/>
                <w:lang w:val="en-GB"/>
              </w:rPr>
            </w:pPr>
            <w:r w:rsidRPr="00A34F10">
              <w:rPr>
                <w:bCs/>
                <w:color w:val="000000"/>
                <w:sz w:val="20"/>
                <w:szCs w:val="20"/>
                <w:lang w:val="en-GB"/>
              </w:rPr>
              <w:t>1 / (5)</w:t>
            </w:r>
          </w:p>
        </w:tc>
      </w:tr>
    </w:tbl>
    <w:p w14:paraId="66FB321F" w14:textId="77777777" w:rsidR="00DC5685" w:rsidRPr="00A34F10" w:rsidRDefault="00DC5685" w:rsidP="00E05ECD">
      <w:pPr>
        <w:numPr>
          <w:ilvl w:val="0"/>
          <w:numId w:val="49"/>
        </w:numPr>
        <w:spacing w:before="360"/>
        <w:ind w:left="284" w:hanging="284"/>
        <w:rPr>
          <w:b/>
          <w:bCs/>
          <w:caps/>
          <w:szCs w:val="24"/>
          <w:lang w:val="en-GB"/>
        </w:rPr>
      </w:pPr>
      <w:r w:rsidRPr="00A34F10">
        <w:rPr>
          <w:b/>
          <w:bCs/>
          <w:caps/>
          <w:szCs w:val="24"/>
          <w:lang w:val="en-GB"/>
        </w:rPr>
        <w:t>VALIDITY CRITERIA</w:t>
      </w:r>
    </w:p>
    <w:p w14:paraId="4DBEB5FD" w14:textId="77777777" w:rsidR="00DC5685" w:rsidRPr="00A34F10" w:rsidRDefault="00DC5685" w:rsidP="00DC5685">
      <w:pPr>
        <w:ind w:left="284"/>
        <w:rPr>
          <w:b/>
          <w:bCs/>
          <w:caps/>
          <w:szCs w:val="24"/>
          <w:lang w:val="en-GB"/>
        </w:rPr>
      </w:pPr>
    </w:p>
    <w:p w14:paraId="285885E0" w14:textId="77777777" w:rsidR="00DC5685" w:rsidRPr="00A34F10" w:rsidRDefault="00DC5685" w:rsidP="00DC5685">
      <w:pPr>
        <w:tabs>
          <w:tab w:val="left" w:pos="709"/>
        </w:tabs>
        <w:spacing w:after="240"/>
        <w:contextualSpacing/>
        <w:jc w:val="both"/>
        <w:rPr>
          <w:szCs w:val="24"/>
          <w:lang w:val="en-GB"/>
        </w:rPr>
      </w:pPr>
      <w:r w:rsidRPr="00A34F10">
        <w:rPr>
          <w:szCs w:val="24"/>
          <w:lang w:val="en-GB"/>
        </w:rPr>
        <w:t>All validity criteria were met.</w:t>
      </w:r>
    </w:p>
    <w:p w14:paraId="34A68E91" w14:textId="77777777" w:rsidR="00A14E06" w:rsidRPr="00A34F10" w:rsidRDefault="00A14E06" w:rsidP="00DC5685">
      <w:pPr>
        <w:tabs>
          <w:tab w:val="left" w:pos="709"/>
        </w:tabs>
        <w:spacing w:after="240"/>
        <w:contextualSpacing/>
        <w:jc w:val="both"/>
        <w:rPr>
          <w:szCs w:val="24"/>
          <w:highlight w:val="yellow"/>
          <w:lang w:val="en-GB"/>
        </w:rPr>
      </w:pPr>
    </w:p>
    <w:p w14:paraId="1EB6BBFC" w14:textId="04FC2192" w:rsidR="00DC5685" w:rsidRPr="00A34F10" w:rsidRDefault="00EA3876" w:rsidP="00EA3876">
      <w:pPr>
        <w:pStyle w:val="Legenda"/>
        <w:rPr>
          <w:color w:val="000000"/>
        </w:rPr>
      </w:pPr>
      <w:r>
        <w:t xml:space="preserve">Table A </w:t>
      </w:r>
      <w:r>
        <w:fldChar w:fldCharType="begin"/>
      </w:r>
      <w:r>
        <w:instrText xml:space="preserve"> SEQ Table_A \* ARABIC </w:instrText>
      </w:r>
      <w:r>
        <w:fldChar w:fldCharType="separate"/>
      </w:r>
      <w:r w:rsidR="006F0F3B">
        <w:rPr>
          <w:noProof/>
        </w:rPr>
        <w:t>17</w:t>
      </w:r>
      <w:r>
        <w:fldChar w:fldCharType="end"/>
      </w:r>
      <w:r w:rsidR="00A14E06" w:rsidRPr="00A34F10">
        <w:t>:</w:t>
      </w:r>
      <w:r w:rsidR="00DC5685" w:rsidRPr="00A34F10">
        <w:rPr>
          <w:color w:val="000000"/>
        </w:rPr>
        <w:tab/>
        <w:t>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28"/>
        <w:gridCol w:w="2216"/>
      </w:tblGrid>
      <w:tr w:rsidR="00DC5685" w:rsidRPr="00A34F10" w14:paraId="7149C659" w14:textId="77777777" w:rsidTr="000470C3">
        <w:trPr>
          <w:trHeight w:val="270"/>
        </w:trPr>
        <w:tc>
          <w:tcPr>
            <w:tcW w:w="3815" w:type="pct"/>
            <w:shd w:val="clear" w:color="auto" w:fill="auto"/>
            <w:noWrap/>
            <w:hideMark/>
          </w:tcPr>
          <w:p w14:paraId="63568664" w14:textId="77777777" w:rsidR="00DC5685" w:rsidRPr="00A34F10" w:rsidRDefault="00DC5685" w:rsidP="00DC5685">
            <w:pPr>
              <w:tabs>
                <w:tab w:val="left" w:pos="720"/>
              </w:tabs>
              <w:spacing w:before="40" w:after="40"/>
              <w:jc w:val="both"/>
              <w:rPr>
                <w:b/>
                <w:bCs/>
                <w:sz w:val="20"/>
                <w:szCs w:val="20"/>
                <w:lang w:val="en-GB"/>
              </w:rPr>
            </w:pPr>
            <w:r w:rsidRPr="00A34F10">
              <w:rPr>
                <w:b/>
                <w:bCs/>
                <w:sz w:val="20"/>
                <w:szCs w:val="20"/>
                <w:lang w:val="en-GB"/>
              </w:rPr>
              <w:t>Validity criteria according to OECD 202 (2004)</w:t>
            </w:r>
          </w:p>
        </w:tc>
        <w:tc>
          <w:tcPr>
            <w:tcW w:w="1185" w:type="pct"/>
            <w:shd w:val="clear" w:color="auto" w:fill="auto"/>
            <w:noWrap/>
            <w:hideMark/>
          </w:tcPr>
          <w:p w14:paraId="096E8DFD" w14:textId="77777777" w:rsidR="00DC5685" w:rsidRPr="00A34F10" w:rsidRDefault="00DC5685" w:rsidP="00DC5685">
            <w:pPr>
              <w:tabs>
                <w:tab w:val="left" w:pos="720"/>
              </w:tabs>
              <w:spacing w:before="40" w:after="40"/>
              <w:jc w:val="both"/>
              <w:rPr>
                <w:b/>
                <w:bCs/>
                <w:sz w:val="20"/>
                <w:szCs w:val="20"/>
                <w:lang w:val="en-GB"/>
              </w:rPr>
            </w:pPr>
            <w:r w:rsidRPr="00A34F10">
              <w:rPr>
                <w:b/>
                <w:bCs/>
                <w:sz w:val="20"/>
                <w:szCs w:val="20"/>
                <w:lang w:val="en-GB"/>
              </w:rPr>
              <w:t>Obtained in this study</w:t>
            </w:r>
          </w:p>
        </w:tc>
      </w:tr>
      <w:tr w:rsidR="00DC5685" w:rsidRPr="00A34F10" w14:paraId="51E9B824" w14:textId="77777777" w:rsidTr="000470C3">
        <w:trPr>
          <w:trHeight w:val="270"/>
        </w:trPr>
        <w:tc>
          <w:tcPr>
            <w:tcW w:w="3815" w:type="pct"/>
            <w:shd w:val="clear" w:color="auto" w:fill="auto"/>
            <w:noWrap/>
          </w:tcPr>
          <w:p w14:paraId="364B4150" w14:textId="77777777" w:rsidR="00DC5685" w:rsidRPr="00A34F10" w:rsidRDefault="00DC5685" w:rsidP="00DC5685">
            <w:pPr>
              <w:tabs>
                <w:tab w:val="left" w:pos="720"/>
              </w:tabs>
              <w:spacing w:before="40" w:after="40"/>
              <w:jc w:val="both"/>
              <w:rPr>
                <w:sz w:val="20"/>
                <w:szCs w:val="20"/>
                <w:lang w:val="en-GB"/>
              </w:rPr>
            </w:pPr>
            <w:r w:rsidRPr="00A34F10">
              <w:rPr>
                <w:sz w:val="20"/>
                <w:szCs w:val="20"/>
                <w:lang w:val="x-none"/>
              </w:rPr>
              <w:t>In the control, including the control containing the solubilising agent, not more tha</w:t>
            </w:r>
            <w:r w:rsidRPr="00A34F10">
              <w:rPr>
                <w:sz w:val="20"/>
                <w:szCs w:val="20"/>
                <w:lang w:val="en-GB"/>
              </w:rPr>
              <w:t>n</w:t>
            </w:r>
            <w:r w:rsidRPr="00A34F10">
              <w:rPr>
                <w:sz w:val="20"/>
                <w:szCs w:val="20"/>
                <w:lang w:val="x-none"/>
              </w:rPr>
              <w:t xml:space="preserve"> 10 per</w:t>
            </w:r>
            <w:r w:rsidRPr="00A34F10">
              <w:rPr>
                <w:sz w:val="20"/>
                <w:szCs w:val="20"/>
                <w:lang w:val="en-GB"/>
              </w:rPr>
              <w:t xml:space="preserve"> </w:t>
            </w:r>
            <w:r w:rsidRPr="00A34F10">
              <w:rPr>
                <w:sz w:val="20"/>
                <w:szCs w:val="20"/>
                <w:lang w:val="x-none"/>
              </w:rPr>
              <w:t>cent of the daphnids should have been immobilised</w:t>
            </w:r>
            <w:r w:rsidRPr="00A34F10">
              <w:rPr>
                <w:sz w:val="20"/>
                <w:szCs w:val="20"/>
                <w:lang w:val="en-GB"/>
              </w:rPr>
              <w:t xml:space="preserve"> </w:t>
            </w:r>
          </w:p>
        </w:tc>
        <w:tc>
          <w:tcPr>
            <w:tcW w:w="1185" w:type="pct"/>
            <w:shd w:val="clear" w:color="auto" w:fill="auto"/>
            <w:noWrap/>
          </w:tcPr>
          <w:p w14:paraId="00157302" w14:textId="77777777" w:rsidR="00DC5685" w:rsidRPr="00A34F10" w:rsidRDefault="00DC5685" w:rsidP="00DC5685">
            <w:pPr>
              <w:tabs>
                <w:tab w:val="left" w:pos="720"/>
              </w:tabs>
              <w:spacing w:before="40" w:after="40"/>
              <w:jc w:val="both"/>
              <w:rPr>
                <w:sz w:val="20"/>
                <w:szCs w:val="20"/>
                <w:lang w:val="en-GB"/>
              </w:rPr>
            </w:pPr>
            <w:r w:rsidRPr="00A34F10">
              <w:rPr>
                <w:sz w:val="20"/>
                <w:szCs w:val="20"/>
                <w:lang w:val="en-GB"/>
              </w:rPr>
              <w:t>0%</w:t>
            </w:r>
          </w:p>
        </w:tc>
      </w:tr>
      <w:tr w:rsidR="00DC5685" w:rsidRPr="00A34F10" w14:paraId="1E5AEF53" w14:textId="77777777" w:rsidTr="000470C3">
        <w:trPr>
          <w:trHeight w:val="270"/>
        </w:trPr>
        <w:tc>
          <w:tcPr>
            <w:tcW w:w="3815" w:type="pct"/>
            <w:shd w:val="clear" w:color="auto" w:fill="auto"/>
            <w:noWrap/>
          </w:tcPr>
          <w:p w14:paraId="0E4A2190" w14:textId="77777777" w:rsidR="00DC5685" w:rsidRPr="00A34F10" w:rsidRDefault="00DC5685" w:rsidP="00DC5685">
            <w:pPr>
              <w:tabs>
                <w:tab w:val="left" w:pos="720"/>
              </w:tabs>
              <w:autoSpaceDE w:val="0"/>
              <w:autoSpaceDN w:val="0"/>
              <w:adjustRightInd w:val="0"/>
              <w:spacing w:before="40" w:after="40"/>
              <w:jc w:val="both"/>
              <w:rPr>
                <w:rFonts w:eastAsia="Calibri"/>
                <w:sz w:val="20"/>
                <w:szCs w:val="20"/>
                <w:lang w:val="en-GB"/>
              </w:rPr>
            </w:pPr>
            <w:r w:rsidRPr="00A34F10">
              <w:rPr>
                <w:sz w:val="20"/>
                <w:szCs w:val="20"/>
                <w:lang w:val="x-none"/>
              </w:rPr>
              <w:t xml:space="preserve">The dissolved oxygen concentration at the end of the test should be </w:t>
            </w:r>
            <m:oMath>
              <m:r>
                <w:rPr>
                  <w:rFonts w:ascii="Cambria Math" w:hAnsi="Cambria Math"/>
                  <w:sz w:val="20"/>
                  <w:szCs w:val="20"/>
                  <w:lang w:val="x-none"/>
                </w:rPr>
                <m:t xml:space="preserve">≥ </m:t>
              </m:r>
            </m:oMath>
            <w:r w:rsidRPr="00A34F10">
              <w:rPr>
                <w:sz w:val="20"/>
                <w:szCs w:val="20"/>
                <w:lang w:val="x-none"/>
              </w:rPr>
              <w:t>3 mg/l in control and</w:t>
            </w:r>
            <w:r w:rsidRPr="00A34F10">
              <w:rPr>
                <w:sz w:val="20"/>
                <w:szCs w:val="20"/>
                <w:lang w:val="en-GB"/>
              </w:rPr>
              <w:t xml:space="preserve"> </w:t>
            </w:r>
            <w:r w:rsidRPr="00A34F10">
              <w:rPr>
                <w:sz w:val="20"/>
                <w:szCs w:val="20"/>
                <w:lang w:val="x-none"/>
              </w:rPr>
              <w:t>test vessels</w:t>
            </w:r>
          </w:p>
        </w:tc>
        <w:tc>
          <w:tcPr>
            <w:tcW w:w="1185" w:type="pct"/>
            <w:shd w:val="clear" w:color="auto" w:fill="auto"/>
            <w:noWrap/>
          </w:tcPr>
          <w:p w14:paraId="4CF64251" w14:textId="77777777" w:rsidR="00DC5685" w:rsidRPr="00A34F10" w:rsidRDefault="00DC5685" w:rsidP="00DC5685">
            <w:pPr>
              <w:tabs>
                <w:tab w:val="left" w:pos="720"/>
              </w:tabs>
              <w:spacing w:before="40" w:after="40"/>
              <w:jc w:val="both"/>
              <w:rPr>
                <w:sz w:val="20"/>
                <w:szCs w:val="20"/>
                <w:lang w:val="en-GB"/>
              </w:rPr>
            </w:pPr>
            <w:r w:rsidRPr="00A34F10">
              <w:rPr>
                <w:color w:val="000000"/>
                <w:sz w:val="18"/>
                <w:szCs w:val="24"/>
                <w:lang w:val="x-none"/>
              </w:rPr>
              <w:t xml:space="preserve"> </w:t>
            </w:r>
            <m:oMath>
              <m:r>
                <w:rPr>
                  <w:rFonts w:ascii="Cambria Math" w:hAnsi="Cambria Math"/>
                  <w:sz w:val="20"/>
                  <w:szCs w:val="20"/>
                  <w:lang w:val="x-none"/>
                </w:rPr>
                <m:t xml:space="preserve">≥ </m:t>
              </m:r>
            </m:oMath>
            <w:r w:rsidRPr="00A34F10">
              <w:rPr>
                <w:color w:val="000000"/>
                <w:sz w:val="20"/>
                <w:szCs w:val="20"/>
                <w:lang w:val="x-none"/>
              </w:rPr>
              <w:t>8.</w:t>
            </w:r>
            <w:r w:rsidRPr="00A34F10">
              <w:rPr>
                <w:color w:val="000000"/>
                <w:sz w:val="20"/>
                <w:szCs w:val="20"/>
              </w:rPr>
              <w:t>53</w:t>
            </w:r>
            <w:r w:rsidRPr="00A34F10">
              <w:rPr>
                <w:color w:val="000000"/>
                <w:sz w:val="20"/>
                <w:szCs w:val="20"/>
                <w:lang w:val="x-none"/>
              </w:rPr>
              <w:t xml:space="preserve"> mg O</w:t>
            </w:r>
            <w:r w:rsidRPr="00A34F10">
              <w:rPr>
                <w:color w:val="000000"/>
                <w:sz w:val="20"/>
                <w:szCs w:val="20"/>
                <w:vertAlign w:val="subscript"/>
                <w:lang w:val="en-GB"/>
              </w:rPr>
              <w:t>2</w:t>
            </w:r>
            <w:r w:rsidRPr="00A34F10">
              <w:rPr>
                <w:color w:val="000000"/>
                <w:sz w:val="20"/>
                <w:szCs w:val="20"/>
                <w:lang w:val="x-none"/>
              </w:rPr>
              <w:t>/L in in all treatment groups</w:t>
            </w:r>
          </w:p>
        </w:tc>
      </w:tr>
    </w:tbl>
    <w:p w14:paraId="219C0B16" w14:textId="22BFA795" w:rsidR="00DC5685" w:rsidRPr="00A34F10" w:rsidRDefault="00DC5685" w:rsidP="00DC5685">
      <w:pPr>
        <w:tabs>
          <w:tab w:val="left" w:pos="720"/>
        </w:tabs>
        <w:spacing w:after="240"/>
        <w:contextualSpacing/>
        <w:jc w:val="both"/>
        <w:rPr>
          <w:lang w:val="en-GB"/>
        </w:rPr>
      </w:pPr>
    </w:p>
    <w:p w14:paraId="2D8CB12F" w14:textId="77777777" w:rsidR="00E83096" w:rsidRPr="00A34F10" w:rsidRDefault="00E83096" w:rsidP="00DC5685">
      <w:pPr>
        <w:tabs>
          <w:tab w:val="left" w:pos="720"/>
        </w:tabs>
        <w:spacing w:after="240"/>
        <w:contextualSpacing/>
        <w:jc w:val="both"/>
        <w:rPr>
          <w:lang w:val="en-GB"/>
        </w:rPr>
      </w:pPr>
    </w:p>
    <w:p w14:paraId="7A620CDA" w14:textId="77777777" w:rsidR="00DC5685" w:rsidRPr="00A34F10" w:rsidRDefault="00DC5685" w:rsidP="00DC5685">
      <w:pPr>
        <w:tabs>
          <w:tab w:val="left" w:pos="720"/>
        </w:tabs>
        <w:spacing w:after="240"/>
        <w:contextualSpacing/>
        <w:jc w:val="both"/>
        <w:rPr>
          <w:lang w:val="en-GB"/>
        </w:rPr>
      </w:pPr>
      <w:r w:rsidRPr="00A34F10">
        <w:rPr>
          <w:lang w:val="en-GB"/>
        </w:rPr>
        <w:t>Daphnia were not trapped at the water surface, as required.</w:t>
      </w:r>
    </w:p>
    <w:p w14:paraId="1E93FA70" w14:textId="09761871" w:rsidR="00DC5685" w:rsidRPr="00A34F10" w:rsidRDefault="00DC5685" w:rsidP="00DC5685">
      <w:pPr>
        <w:tabs>
          <w:tab w:val="left" w:pos="720"/>
        </w:tabs>
        <w:spacing w:after="240"/>
        <w:contextualSpacing/>
        <w:jc w:val="both"/>
        <w:rPr>
          <w:lang w:val="en-GB"/>
        </w:rPr>
      </w:pPr>
    </w:p>
    <w:p w14:paraId="12945BA7" w14:textId="77777777" w:rsidR="00E83096" w:rsidRPr="00A34F10" w:rsidRDefault="00E83096" w:rsidP="00DC5685">
      <w:pPr>
        <w:tabs>
          <w:tab w:val="left" w:pos="720"/>
        </w:tabs>
        <w:spacing w:after="240"/>
        <w:contextualSpacing/>
        <w:jc w:val="both"/>
        <w:rPr>
          <w:lang w:val="en-GB"/>
        </w:rPr>
      </w:pPr>
    </w:p>
    <w:p w14:paraId="2DFB5C40" w14:textId="77777777" w:rsidR="00DC5685" w:rsidRPr="00A34F10" w:rsidRDefault="00DC5685" w:rsidP="00E05ECD">
      <w:pPr>
        <w:numPr>
          <w:ilvl w:val="0"/>
          <w:numId w:val="49"/>
        </w:numPr>
        <w:ind w:left="284" w:hanging="284"/>
        <w:contextualSpacing/>
        <w:rPr>
          <w:b/>
          <w:bCs/>
          <w:caps/>
          <w:szCs w:val="24"/>
          <w:lang w:val="en-GB"/>
        </w:rPr>
      </w:pPr>
      <w:r w:rsidRPr="00A34F10">
        <w:rPr>
          <w:b/>
          <w:bCs/>
          <w:caps/>
          <w:szCs w:val="24"/>
          <w:lang w:val="en-GB"/>
        </w:rPr>
        <w:t>DEFICIENCIES</w:t>
      </w:r>
    </w:p>
    <w:p w14:paraId="1F0EDA9E" w14:textId="77777777" w:rsidR="00DC5685" w:rsidRPr="00A34F10" w:rsidRDefault="00DC5685" w:rsidP="00DC5685">
      <w:pPr>
        <w:ind w:left="284"/>
        <w:contextualSpacing/>
        <w:rPr>
          <w:b/>
          <w:bCs/>
          <w:caps/>
          <w:szCs w:val="24"/>
          <w:lang w:val="en-GB"/>
        </w:rPr>
      </w:pPr>
    </w:p>
    <w:p w14:paraId="16FE803C" w14:textId="77777777" w:rsidR="00E83096" w:rsidRPr="00A34F10"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w:t>
      </w:r>
    </w:p>
    <w:p w14:paraId="17E5B14C" w14:textId="3C8A2B47" w:rsidR="00DC5685" w:rsidRPr="00A34F10" w:rsidRDefault="00DC5685" w:rsidP="00DC5685">
      <w:pPr>
        <w:tabs>
          <w:tab w:val="left" w:pos="720"/>
        </w:tabs>
        <w:spacing w:after="240"/>
        <w:jc w:val="both"/>
        <w:rPr>
          <w:szCs w:val="24"/>
          <w:lang w:val="en-GB"/>
        </w:rPr>
      </w:pPr>
    </w:p>
    <w:p w14:paraId="61CF788A" w14:textId="77777777" w:rsidR="00DC5685" w:rsidRPr="00A34F10" w:rsidRDefault="00DC5685" w:rsidP="00E05ECD">
      <w:pPr>
        <w:numPr>
          <w:ilvl w:val="0"/>
          <w:numId w:val="44"/>
        </w:numPr>
        <w:tabs>
          <w:tab w:val="left" w:pos="720"/>
        </w:tabs>
        <w:spacing w:after="240"/>
        <w:jc w:val="center"/>
        <w:rPr>
          <w:b/>
          <w:bCs/>
          <w:caps/>
          <w:szCs w:val="24"/>
          <w:lang w:val="en-GB"/>
        </w:rPr>
      </w:pPr>
      <w:r w:rsidRPr="00A34F10">
        <w:rPr>
          <w:b/>
          <w:bCs/>
          <w:caps/>
          <w:szCs w:val="24"/>
          <w:lang w:val="en-GB"/>
        </w:rPr>
        <w:t>Conclusion</w:t>
      </w:r>
    </w:p>
    <w:p w14:paraId="6F502E5B" w14:textId="77777777" w:rsidR="00DC5685" w:rsidRPr="00A34F10" w:rsidRDefault="00DC5685" w:rsidP="00DC5685">
      <w:pPr>
        <w:spacing w:after="120"/>
        <w:jc w:val="both"/>
        <w:rPr>
          <w:lang w:val="en-GB"/>
        </w:rPr>
      </w:pPr>
      <w:bookmarkStart w:id="1051" w:name="_Hlk37330085"/>
      <w:r w:rsidRPr="00A34F10">
        <w:rPr>
          <w:color w:val="000000"/>
          <w:lang w:val="en-GB"/>
        </w:rPr>
        <w:t>The 48-hour EC</w:t>
      </w:r>
      <w:r w:rsidRPr="00A34F10">
        <w:rPr>
          <w:color w:val="000000"/>
          <w:vertAlign w:val="subscript"/>
          <w:lang w:val="en-GB"/>
        </w:rPr>
        <w:t>50</w:t>
      </w:r>
      <w:r w:rsidRPr="00A34F10">
        <w:rPr>
          <w:color w:val="000000"/>
          <w:lang w:val="en-GB"/>
        </w:rPr>
        <w:t xml:space="preserve"> of BAS 743 03 F to </w:t>
      </w:r>
      <w:r w:rsidRPr="00A34F10">
        <w:rPr>
          <w:i/>
          <w:iCs/>
          <w:color w:val="000000"/>
          <w:lang w:val="en-GB"/>
        </w:rPr>
        <w:t>Daphnia magna</w:t>
      </w:r>
      <w:r w:rsidRPr="00A34F10">
        <w:rPr>
          <w:color w:val="000000"/>
          <w:lang w:val="en-GB"/>
        </w:rPr>
        <w:t xml:space="preserve"> was above the highest concentration tested of 100 mg product/L based on nominal concentrations </w:t>
      </w:r>
      <w:bookmarkEnd w:id="1051"/>
      <w:r w:rsidRPr="00A34F10">
        <w:rPr>
          <w:color w:val="000000"/>
          <w:lang w:val="en-GB"/>
        </w:rPr>
        <w:t xml:space="preserve">(99.6 mg product/L mean measured). </w:t>
      </w:r>
      <w:r w:rsidRPr="00A34F10">
        <w:rPr>
          <w:lang w:val="en-GB"/>
        </w:rPr>
        <w:t>Based on nominal concentrations, t</w:t>
      </w:r>
      <w:r w:rsidRPr="00A34F10">
        <w:rPr>
          <w:color w:val="000000"/>
          <w:lang w:val="en-GB"/>
        </w:rPr>
        <w:t>he NOEC was determined to be ≥ 100 mg product/L BAS 743 03 F (99.6 mg/L mean measured).</w:t>
      </w:r>
    </w:p>
    <w:p w14:paraId="720F4C4C" w14:textId="74B815D5" w:rsidR="00DC5685" w:rsidRPr="00A34F10" w:rsidRDefault="00A14E06" w:rsidP="00DC5685">
      <w:pPr>
        <w:spacing w:after="120"/>
        <w:jc w:val="both"/>
        <w:rPr>
          <w:lang w:val="en-GB"/>
        </w:rPr>
      </w:pPr>
      <w:r w:rsidRPr="00A34F10">
        <w:rPr>
          <w:lang w:val="en-GB"/>
        </w:rPr>
        <w:br w:type="page"/>
      </w:r>
    </w:p>
    <w:p w14:paraId="4FEEE789" w14:textId="13B0707F" w:rsidR="00DC5685" w:rsidRPr="00A34F10" w:rsidRDefault="00DC5685" w:rsidP="00BB63B3">
      <w:pPr>
        <w:pStyle w:val="RepAppendix4"/>
      </w:pPr>
      <w:r w:rsidRPr="00A34F10">
        <w:lastRenderedPageBreak/>
        <w:t>Study 4</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77D3A2DB" w14:textId="77777777" w:rsidTr="000354A8">
        <w:tc>
          <w:tcPr>
            <w:tcW w:w="1063" w:type="pct"/>
            <w:shd w:val="clear" w:color="auto" w:fill="D9D9D9" w:themeFill="background1" w:themeFillShade="D9"/>
          </w:tcPr>
          <w:p w14:paraId="1B354A37" w14:textId="77777777" w:rsidR="00DC5685" w:rsidRPr="00A34F10" w:rsidRDefault="00DC5685" w:rsidP="00DC5685">
            <w:pPr>
              <w:keepNext/>
              <w:keepLines/>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77591A3E" w14:textId="01A8D54A" w:rsidR="000354A8" w:rsidRPr="007A6328" w:rsidRDefault="000354A8" w:rsidP="000354A8">
            <w:pPr>
              <w:pStyle w:val="RepStandard"/>
              <w:rPr>
                <w:color w:val="000000"/>
              </w:rPr>
            </w:pPr>
            <w:r w:rsidRPr="007A6328">
              <w:rPr>
                <w:color w:val="000000"/>
              </w:rPr>
              <w:t>The study was conducted to OECD guideline 2</w:t>
            </w:r>
            <w:r>
              <w:rPr>
                <w:color w:val="000000"/>
              </w:rPr>
              <w:t>01</w:t>
            </w:r>
            <w:r w:rsidRPr="007A6328">
              <w:rPr>
                <w:color w:val="000000"/>
              </w:rPr>
              <w:t xml:space="preserve"> and according to the principles of GLP. No deviations to the guideline were noted. All validity criteria were met.</w:t>
            </w:r>
          </w:p>
          <w:p w14:paraId="666CD27B" w14:textId="3050AFD7" w:rsidR="00DC5685" w:rsidRPr="00A34F10" w:rsidRDefault="000354A8" w:rsidP="000354A8">
            <w:pPr>
              <w:keepNext/>
              <w:keepLines/>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p>
        </w:tc>
      </w:tr>
    </w:tbl>
    <w:p w14:paraId="0D1B9429" w14:textId="77777777" w:rsidR="00DC5685" w:rsidRPr="00A34F10" w:rsidRDefault="00DC5685" w:rsidP="00DC5685">
      <w:pPr>
        <w:keepNext/>
        <w:keepLines/>
        <w:widowControl w:val="0"/>
        <w:jc w:val="both"/>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5CBA3EB0" w14:textId="77777777" w:rsidTr="000470C3">
        <w:trPr>
          <w:trHeight w:val="227"/>
          <w:jc w:val="center"/>
        </w:trPr>
        <w:tc>
          <w:tcPr>
            <w:tcW w:w="1364" w:type="pct"/>
          </w:tcPr>
          <w:p w14:paraId="760FB23F" w14:textId="77777777" w:rsidR="00DC5685" w:rsidRPr="00A34F10" w:rsidRDefault="00DC5685" w:rsidP="00DC5685">
            <w:pPr>
              <w:widowControl w:val="0"/>
              <w:spacing w:after="120"/>
              <w:jc w:val="both"/>
            </w:pPr>
            <w:r w:rsidRPr="00A34F10">
              <w:t xml:space="preserve">Data point: </w:t>
            </w:r>
          </w:p>
        </w:tc>
        <w:tc>
          <w:tcPr>
            <w:tcW w:w="3636" w:type="pct"/>
          </w:tcPr>
          <w:p w14:paraId="5336146B" w14:textId="77777777" w:rsidR="00DC5685" w:rsidRPr="00A34F10" w:rsidRDefault="00DC5685" w:rsidP="00DC5685">
            <w:pPr>
              <w:widowControl w:val="0"/>
              <w:spacing w:after="120"/>
              <w:jc w:val="both"/>
            </w:pPr>
            <w:r w:rsidRPr="00A34F10">
              <w:t>CP 10.2.1/04</w:t>
            </w:r>
          </w:p>
        </w:tc>
      </w:tr>
      <w:tr w:rsidR="00DC5685" w:rsidRPr="00A34F10" w14:paraId="7B3F31A5" w14:textId="77777777" w:rsidTr="000470C3">
        <w:trPr>
          <w:trHeight w:val="227"/>
          <w:jc w:val="center"/>
        </w:trPr>
        <w:tc>
          <w:tcPr>
            <w:tcW w:w="1364" w:type="pct"/>
          </w:tcPr>
          <w:p w14:paraId="7003BC67" w14:textId="77777777" w:rsidR="00DC5685" w:rsidRPr="00A34F10" w:rsidRDefault="00DC5685" w:rsidP="00DC5685">
            <w:pPr>
              <w:widowControl w:val="0"/>
              <w:spacing w:after="120"/>
              <w:jc w:val="both"/>
            </w:pPr>
            <w:r w:rsidRPr="00A34F10">
              <w:t xml:space="preserve">Report </w:t>
            </w:r>
          </w:p>
        </w:tc>
        <w:tc>
          <w:tcPr>
            <w:tcW w:w="3636" w:type="pct"/>
          </w:tcPr>
          <w:p w14:paraId="5A5FACC8" w14:textId="77777777" w:rsidR="00DC5685" w:rsidRPr="00A34F10" w:rsidRDefault="00DC5685" w:rsidP="00DC5685">
            <w:pPr>
              <w:widowControl w:val="0"/>
              <w:spacing w:after="120"/>
              <w:jc w:val="both"/>
            </w:pPr>
            <w:r w:rsidRPr="00A34F10">
              <w:t xml:space="preserve">BAS 743 02 F: Toxicity to the Single Cell Green Alga </w:t>
            </w:r>
            <w:r w:rsidRPr="00A34F10">
              <w:rPr>
                <w:i/>
                <w:iCs/>
              </w:rPr>
              <w:t>Pseudokirchneriella subcapitata</w:t>
            </w:r>
            <w:r w:rsidRPr="00A34F10">
              <w:t xml:space="preserve"> Hindák under Laboratory Conditions</w:t>
            </w:r>
          </w:p>
          <w:p w14:paraId="23746E1E" w14:textId="77777777" w:rsidR="00DC5685" w:rsidRPr="00A34F10" w:rsidRDefault="00DC5685" w:rsidP="00DC5685">
            <w:pPr>
              <w:widowControl w:val="0"/>
              <w:spacing w:after="120"/>
              <w:jc w:val="both"/>
            </w:pPr>
            <w:r w:rsidRPr="00A34F10">
              <w:t>Obert-Rauser, P., 2023</w:t>
            </w:r>
          </w:p>
          <w:p w14:paraId="44B1393C" w14:textId="1CE90BDA" w:rsidR="00DC5685" w:rsidRPr="00A34F10" w:rsidRDefault="00482794" w:rsidP="00DC5685">
            <w:pPr>
              <w:widowControl w:val="0"/>
              <w:spacing w:after="120"/>
              <w:jc w:val="both"/>
            </w:pPr>
            <w:r>
              <w:t>XXXX</w:t>
            </w:r>
            <w:r w:rsidR="00DC5685" w:rsidRPr="00A34F10">
              <w:t xml:space="preserve"> Study ID: 933752_5</w:t>
            </w:r>
          </w:p>
          <w:p w14:paraId="5DED7F72" w14:textId="6AAE104F" w:rsidR="00DC5685" w:rsidRPr="00A34F10" w:rsidRDefault="00482794" w:rsidP="00DC5685">
            <w:pPr>
              <w:widowControl w:val="0"/>
              <w:spacing w:after="120"/>
              <w:jc w:val="both"/>
            </w:pPr>
            <w:r>
              <w:t>XXXX</w:t>
            </w:r>
            <w:r w:rsidR="00DC5685" w:rsidRPr="00A34F10">
              <w:t xml:space="preserve"> Doc ID: 2022/2033713</w:t>
            </w:r>
          </w:p>
        </w:tc>
      </w:tr>
      <w:tr w:rsidR="00DC5685" w:rsidRPr="00A34F10" w14:paraId="67514643" w14:textId="77777777" w:rsidTr="000470C3">
        <w:trPr>
          <w:trHeight w:val="227"/>
          <w:jc w:val="center"/>
        </w:trPr>
        <w:tc>
          <w:tcPr>
            <w:tcW w:w="1364" w:type="pct"/>
          </w:tcPr>
          <w:p w14:paraId="42608319" w14:textId="77777777" w:rsidR="00DC5685" w:rsidRPr="00A34F10" w:rsidRDefault="00DC5685" w:rsidP="00DC5685">
            <w:pPr>
              <w:widowControl w:val="0"/>
              <w:spacing w:after="120"/>
              <w:jc w:val="both"/>
            </w:pPr>
            <w:r w:rsidRPr="00A34F10">
              <w:t xml:space="preserve">Guideline(s): </w:t>
            </w:r>
          </w:p>
        </w:tc>
        <w:tc>
          <w:tcPr>
            <w:tcW w:w="3636" w:type="pct"/>
            <w:shd w:val="clear" w:color="auto" w:fill="auto"/>
          </w:tcPr>
          <w:p w14:paraId="0B922F2D" w14:textId="77777777" w:rsidR="00DC5685" w:rsidRPr="00A34F10" w:rsidRDefault="00DC5685" w:rsidP="00DC5685">
            <w:pPr>
              <w:widowControl w:val="0"/>
              <w:spacing w:after="120"/>
              <w:jc w:val="both"/>
            </w:pPr>
            <w:r w:rsidRPr="00A34F10">
              <w:t>Biological part: OECD 201 (2011)</w:t>
            </w:r>
          </w:p>
          <w:p w14:paraId="022883B4" w14:textId="77777777" w:rsidR="00DC5685" w:rsidRPr="00A34F10" w:rsidRDefault="00DC5685" w:rsidP="00DC5685">
            <w:pPr>
              <w:widowControl w:val="0"/>
              <w:spacing w:after="120"/>
              <w:jc w:val="both"/>
            </w:pPr>
            <w:r w:rsidRPr="00A34F10">
              <w:t>Analytical part: SANCO/3029/99 rev.4 11/07/00</w:t>
            </w:r>
          </w:p>
        </w:tc>
      </w:tr>
      <w:tr w:rsidR="00DC5685" w:rsidRPr="00A34F10" w14:paraId="1CBF7DB9" w14:textId="77777777" w:rsidTr="000470C3">
        <w:trPr>
          <w:trHeight w:val="227"/>
          <w:jc w:val="center"/>
        </w:trPr>
        <w:tc>
          <w:tcPr>
            <w:tcW w:w="1364" w:type="pct"/>
          </w:tcPr>
          <w:p w14:paraId="3401692F" w14:textId="77777777" w:rsidR="00DC5685" w:rsidRPr="00A34F10" w:rsidRDefault="00DC5685" w:rsidP="00DC5685">
            <w:pPr>
              <w:widowControl w:val="0"/>
              <w:spacing w:after="120"/>
              <w:jc w:val="both"/>
            </w:pPr>
            <w:r w:rsidRPr="00A34F10">
              <w:t xml:space="preserve">Deviations: </w:t>
            </w:r>
          </w:p>
        </w:tc>
        <w:tc>
          <w:tcPr>
            <w:tcW w:w="3636" w:type="pct"/>
          </w:tcPr>
          <w:p w14:paraId="352D0FAF" w14:textId="77777777" w:rsidR="00DC5685" w:rsidRPr="00A34F10" w:rsidRDefault="00DC5685" w:rsidP="00DC5685">
            <w:pPr>
              <w:widowControl w:val="0"/>
              <w:spacing w:after="120"/>
              <w:jc w:val="both"/>
            </w:pPr>
            <w:r w:rsidRPr="00A34F10">
              <w:t>No</w:t>
            </w:r>
          </w:p>
        </w:tc>
      </w:tr>
      <w:tr w:rsidR="00DC5685" w:rsidRPr="00A34F10" w14:paraId="49B75439" w14:textId="77777777" w:rsidTr="000470C3">
        <w:trPr>
          <w:trHeight w:val="227"/>
          <w:jc w:val="center"/>
        </w:trPr>
        <w:tc>
          <w:tcPr>
            <w:tcW w:w="1364" w:type="pct"/>
          </w:tcPr>
          <w:p w14:paraId="7946F12E" w14:textId="77777777" w:rsidR="00DC5685" w:rsidRPr="00A34F10" w:rsidRDefault="00DC5685" w:rsidP="00DC5685">
            <w:pPr>
              <w:widowControl w:val="0"/>
              <w:spacing w:after="120"/>
            </w:pPr>
            <w:r w:rsidRPr="00A34F10">
              <w:t>GLP:</w:t>
            </w:r>
          </w:p>
        </w:tc>
        <w:tc>
          <w:tcPr>
            <w:tcW w:w="3636" w:type="pct"/>
          </w:tcPr>
          <w:p w14:paraId="319F5CC9" w14:textId="77777777" w:rsidR="00DC5685" w:rsidRPr="00A34F10" w:rsidRDefault="00DC5685" w:rsidP="00DC5685">
            <w:pPr>
              <w:widowControl w:val="0"/>
              <w:spacing w:after="120"/>
              <w:jc w:val="both"/>
            </w:pPr>
            <w:r w:rsidRPr="00A34F10">
              <w:t>Yes, GLP</w:t>
            </w:r>
          </w:p>
        </w:tc>
      </w:tr>
      <w:tr w:rsidR="00DC5685" w:rsidRPr="00A34F10" w14:paraId="22B486E3" w14:textId="77777777" w:rsidTr="000470C3">
        <w:trPr>
          <w:trHeight w:val="227"/>
          <w:jc w:val="center"/>
        </w:trPr>
        <w:tc>
          <w:tcPr>
            <w:tcW w:w="1364" w:type="pct"/>
          </w:tcPr>
          <w:p w14:paraId="1926FA4F" w14:textId="77777777" w:rsidR="00DC5685" w:rsidRPr="00A34F10" w:rsidRDefault="00DC5685" w:rsidP="00DC5685">
            <w:pPr>
              <w:widowControl w:val="0"/>
              <w:spacing w:after="120"/>
              <w:jc w:val="both"/>
            </w:pPr>
            <w:r w:rsidRPr="00A34F10">
              <w:t xml:space="preserve">Acceptability: </w:t>
            </w:r>
          </w:p>
        </w:tc>
        <w:tc>
          <w:tcPr>
            <w:tcW w:w="3636" w:type="pct"/>
          </w:tcPr>
          <w:p w14:paraId="075D55E3" w14:textId="77777777" w:rsidR="00DC5685" w:rsidRPr="00A34F10" w:rsidRDefault="00DC5685" w:rsidP="00DC5685">
            <w:pPr>
              <w:widowControl w:val="0"/>
              <w:spacing w:after="120"/>
              <w:jc w:val="both"/>
            </w:pPr>
            <w:r w:rsidRPr="00A34F10">
              <w:t>Yes</w:t>
            </w:r>
          </w:p>
        </w:tc>
      </w:tr>
    </w:tbl>
    <w:p w14:paraId="02A76665"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6B0FDF72" w14:textId="77777777" w:rsidR="00DC5685" w:rsidRPr="00A34F10" w:rsidRDefault="00DC5685" w:rsidP="00DC5685">
      <w:pPr>
        <w:spacing w:after="240"/>
        <w:jc w:val="both"/>
        <w:rPr>
          <w:rFonts w:eastAsia="Calibri"/>
          <w:color w:val="000000" w:themeColor="text1"/>
        </w:rPr>
      </w:pPr>
      <w:r w:rsidRPr="00A34F10">
        <w:rPr>
          <w:rFonts w:eastAsia="Calibri"/>
        </w:rPr>
        <w:t xml:space="preserve">The toxicity of the test item BAS 743 02 F to </w:t>
      </w:r>
      <w:r w:rsidRPr="00A34F10">
        <w:rPr>
          <w:rFonts w:eastAsia="Calibri"/>
          <w:i/>
        </w:rPr>
        <w:t xml:space="preserve">Pseudokirchneriella subcapitata </w:t>
      </w:r>
      <w:r w:rsidRPr="00A34F10">
        <w:rPr>
          <w:rFonts w:eastAsia="Calibri"/>
        </w:rPr>
        <w:t xml:space="preserve">was investigated in a 72-hour static test with the nominal concentrations 0 (control), 0.954, 3.05, 9.77, 31.3 and 100 mg product/L. </w:t>
      </w:r>
      <w:r w:rsidRPr="00A34F10">
        <w:rPr>
          <w:rFonts w:eastAsia="Calibri"/>
          <w:color w:val="000000" w:themeColor="text1"/>
        </w:rPr>
        <w:t>There were five replicates for each test item concentration and ten replicates for the untreated control. Cell density was determined by fluorescence detection after 24, 48 and 72 hours of exposure. Biological results are related to nominal concentrations.</w:t>
      </w:r>
    </w:p>
    <w:p w14:paraId="5AFBFF71" w14:textId="77777777" w:rsidR="00DC5685" w:rsidRPr="00A34F10" w:rsidRDefault="00DC5685" w:rsidP="00DC5685">
      <w:pPr>
        <w:spacing w:after="240"/>
        <w:jc w:val="both"/>
        <w:rPr>
          <w:rFonts w:eastAsia="Calibri"/>
          <w:lang w:val="en-GB"/>
        </w:rPr>
      </w:pPr>
      <w:r w:rsidRPr="00A34F10">
        <w:rPr>
          <w:rFonts w:eastAsia="Calibri"/>
          <w:lang w:val="x-none"/>
        </w:rPr>
        <w:t>The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10</w:t>
      </w:r>
      <w:r w:rsidRPr="00A34F10">
        <w:rPr>
          <w:rFonts w:eastAsia="Calibri"/>
          <w:lang w:val="x-none"/>
        </w:rPr>
        <w:t>-,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20</w:t>
      </w:r>
      <w:r w:rsidRPr="00A34F10">
        <w:rPr>
          <w:rFonts w:eastAsia="Calibri"/>
          <w:lang w:val="x-none"/>
        </w:rPr>
        <w:t>- and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50</w:t>
      </w:r>
      <w:r w:rsidRPr="00A34F10">
        <w:rPr>
          <w:rFonts w:eastAsia="Calibri"/>
          <w:lang w:val="x-none"/>
        </w:rPr>
        <w:t>-value and the E</w:t>
      </w:r>
      <w:r w:rsidRPr="00A34F10">
        <w:rPr>
          <w:rFonts w:eastAsia="Calibri"/>
          <w:vertAlign w:val="subscript"/>
          <w:lang w:val="en-GB"/>
        </w:rPr>
        <w:t>y</w:t>
      </w:r>
      <w:r w:rsidRPr="00A34F10">
        <w:rPr>
          <w:rFonts w:eastAsia="Calibri"/>
          <w:lang w:val="x-none"/>
        </w:rPr>
        <w:t>C</w:t>
      </w:r>
      <w:r w:rsidRPr="00A34F10">
        <w:rPr>
          <w:rFonts w:eastAsia="Calibri"/>
          <w:vertAlign w:val="subscript"/>
          <w:lang w:val="x-none"/>
        </w:rPr>
        <w:t>50</w:t>
      </w:r>
      <w:r w:rsidRPr="00A34F10">
        <w:rPr>
          <w:rFonts w:eastAsia="Calibri"/>
          <w:lang w:val="x-none"/>
        </w:rPr>
        <w:t>-value were considered to be &gt;</w:t>
      </w:r>
      <w:r w:rsidRPr="00A34F10">
        <w:rPr>
          <w:rFonts w:eastAsia="Calibri"/>
          <w:lang w:val="en-GB"/>
        </w:rPr>
        <w:t xml:space="preserve"> </w:t>
      </w:r>
      <w:r w:rsidRPr="00A34F10">
        <w:rPr>
          <w:rFonts w:eastAsia="Calibri"/>
          <w:lang w:val="x-none"/>
        </w:rPr>
        <w:t>100</w:t>
      </w:r>
      <w:r w:rsidRPr="00A34F10">
        <w:rPr>
          <w:rFonts w:eastAsia="Calibri"/>
        </w:rPr>
        <w:t xml:space="preserve"> </w:t>
      </w:r>
      <w:r w:rsidRPr="00A34F10">
        <w:rPr>
          <w:rFonts w:eastAsia="Calibri"/>
          <w:lang w:val="x-none"/>
        </w:rPr>
        <w:t>mg</w:t>
      </w:r>
      <w:r w:rsidRPr="00A34F10">
        <w:rPr>
          <w:rFonts w:eastAsia="Calibri"/>
          <w:lang w:val="en-GB"/>
        </w:rPr>
        <w:t xml:space="preserve"> product</w:t>
      </w:r>
      <w:r w:rsidRPr="00A34F10">
        <w:rPr>
          <w:rFonts w:eastAsia="Calibri"/>
          <w:lang w:val="x-none"/>
        </w:rPr>
        <w:t>/L. Due to an inhibition of yield below 30 % and a missing concentration response relation, no reliable values were calculable and the E</w:t>
      </w:r>
      <w:r w:rsidRPr="00A34F10">
        <w:rPr>
          <w:rFonts w:eastAsia="Calibri"/>
          <w:vertAlign w:val="subscript"/>
          <w:lang w:val="en-GB"/>
        </w:rPr>
        <w:t>y</w:t>
      </w:r>
      <w:r w:rsidRPr="00A34F10">
        <w:rPr>
          <w:rFonts w:eastAsia="Calibri"/>
          <w:lang w:val="x-none"/>
        </w:rPr>
        <w:t>C</w:t>
      </w:r>
      <w:r w:rsidRPr="00A34F10">
        <w:rPr>
          <w:rFonts w:eastAsia="Calibri"/>
          <w:vertAlign w:val="subscript"/>
          <w:lang w:val="x-none"/>
        </w:rPr>
        <w:t>10, 20</w:t>
      </w:r>
      <w:r w:rsidRPr="00A34F10">
        <w:rPr>
          <w:rFonts w:eastAsia="Calibri"/>
          <w:lang w:val="x-none"/>
        </w:rPr>
        <w:t>-values were not determined. The overall LOEC was determined to be 100 mg</w:t>
      </w:r>
      <w:r w:rsidRPr="00A34F10">
        <w:rPr>
          <w:rFonts w:eastAsia="Calibri"/>
          <w:lang w:val="en-GB"/>
        </w:rPr>
        <w:t xml:space="preserve"> product</w:t>
      </w:r>
      <w:r w:rsidRPr="00A34F10">
        <w:rPr>
          <w:rFonts w:eastAsia="Calibri"/>
          <w:lang w:val="x-none"/>
        </w:rPr>
        <w:t>/L</w:t>
      </w:r>
      <w:r w:rsidRPr="00A34F10">
        <w:rPr>
          <w:rFonts w:eastAsia="Calibri"/>
          <w:lang w:val="en-GB"/>
        </w:rPr>
        <w:t xml:space="preserve"> and</w:t>
      </w:r>
      <w:r w:rsidRPr="00A34F10">
        <w:rPr>
          <w:rFonts w:eastAsia="Calibri"/>
          <w:lang w:val="x-none"/>
        </w:rPr>
        <w:t xml:space="preserve"> the corresponding NOEC was set at 31.3 mg</w:t>
      </w:r>
      <w:r w:rsidRPr="00A34F10">
        <w:rPr>
          <w:rFonts w:eastAsia="Calibri"/>
          <w:lang w:val="en-GB"/>
        </w:rPr>
        <w:t xml:space="preserve"> product</w:t>
      </w:r>
      <w:r w:rsidRPr="00A34F10">
        <w:rPr>
          <w:rFonts w:eastAsia="Calibri"/>
          <w:lang w:val="x-none"/>
        </w:rPr>
        <w:t>/L</w:t>
      </w:r>
      <w:r w:rsidRPr="00A34F10">
        <w:rPr>
          <w:rFonts w:eastAsia="Calibri"/>
          <w:lang w:val="en-GB"/>
        </w:rPr>
        <w:t>.</w:t>
      </w:r>
    </w:p>
    <w:p w14:paraId="10837988" w14:textId="77777777" w:rsidR="00DC5685" w:rsidRPr="00A34F10" w:rsidRDefault="00DC5685" w:rsidP="00E05ECD">
      <w:pPr>
        <w:numPr>
          <w:ilvl w:val="0"/>
          <w:numId w:val="32"/>
        </w:numPr>
        <w:tabs>
          <w:tab w:val="left" w:pos="720"/>
        </w:tabs>
        <w:spacing w:after="240"/>
        <w:jc w:val="center"/>
        <w:rPr>
          <w:b/>
          <w:bCs/>
          <w:caps/>
          <w:szCs w:val="24"/>
          <w:lang w:val="en-GB"/>
        </w:rPr>
      </w:pPr>
      <w:r w:rsidRPr="00A34F10">
        <w:rPr>
          <w:b/>
          <w:bCs/>
          <w:caps/>
          <w:szCs w:val="24"/>
          <w:lang w:val="en-GB"/>
        </w:rPr>
        <w:t>MATERIALS AND METHODS</w:t>
      </w:r>
    </w:p>
    <w:p w14:paraId="1EDA03F7" w14:textId="77777777" w:rsidR="00DC5685" w:rsidRPr="00A34F10" w:rsidRDefault="00DC5685" w:rsidP="00E05ECD">
      <w:pPr>
        <w:numPr>
          <w:ilvl w:val="0"/>
          <w:numId w:val="33"/>
        </w:numPr>
        <w:ind w:left="284" w:hanging="284"/>
        <w:contextualSpacing/>
        <w:rPr>
          <w:b/>
          <w:bCs/>
          <w:caps/>
          <w:szCs w:val="24"/>
          <w:lang w:val="en-GB"/>
        </w:rPr>
      </w:pPr>
      <w:r w:rsidRPr="00A34F10">
        <w:rPr>
          <w:b/>
          <w:bCs/>
          <w:caps/>
          <w:szCs w:val="24"/>
          <w:lang w:val="en-GB"/>
        </w:rPr>
        <w:t>MATERIALS</w:t>
      </w:r>
    </w:p>
    <w:p w14:paraId="2CD6DEFE" w14:textId="77777777" w:rsidR="00DC5685" w:rsidRPr="00A34F10" w:rsidRDefault="00DC5685" w:rsidP="00DC5685">
      <w:pPr>
        <w:contextualSpacing/>
        <w:rPr>
          <w:b/>
          <w:bCs/>
          <w:caps/>
          <w:szCs w:val="24"/>
          <w:lang w:val="en-GB"/>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5BEDD80E" w14:textId="77777777" w:rsidTr="000470C3">
        <w:trPr>
          <w:cantSplit/>
          <w:trHeight w:hRule="exact" w:val="340"/>
        </w:trPr>
        <w:tc>
          <w:tcPr>
            <w:tcW w:w="3828" w:type="dxa"/>
          </w:tcPr>
          <w:p w14:paraId="4A357BF5" w14:textId="77777777" w:rsidR="00DC5685" w:rsidRPr="00A34F10" w:rsidRDefault="00DC5685" w:rsidP="00E05ECD">
            <w:pPr>
              <w:numPr>
                <w:ilvl w:val="0"/>
                <w:numId w:val="34"/>
              </w:numPr>
              <w:spacing w:after="240"/>
              <w:ind w:left="567" w:hanging="283"/>
              <w:contextualSpacing/>
              <w:rPr>
                <w:rFonts w:ascii="Times New Roman" w:hAnsi="Times New Roman"/>
                <w:b/>
                <w:bCs/>
              </w:rPr>
            </w:pPr>
            <w:r w:rsidRPr="00A34F10">
              <w:rPr>
                <w:rFonts w:ascii="Times New Roman" w:hAnsi="Times New Roman"/>
                <w:b/>
                <w:bCs/>
              </w:rPr>
              <w:t>Test item:</w:t>
            </w:r>
          </w:p>
        </w:tc>
        <w:tc>
          <w:tcPr>
            <w:tcW w:w="5522" w:type="dxa"/>
          </w:tcPr>
          <w:p w14:paraId="00E13D00" w14:textId="77777777" w:rsidR="00DC5685" w:rsidRPr="00A34F10" w:rsidRDefault="00DC5685" w:rsidP="00DC5685">
            <w:pPr>
              <w:tabs>
                <w:tab w:val="left" w:pos="720"/>
              </w:tabs>
              <w:spacing w:after="240"/>
              <w:jc w:val="both"/>
              <w:rPr>
                <w:rFonts w:ascii="Times New Roman" w:hAnsi="Times New Roman"/>
              </w:rPr>
            </w:pPr>
            <w:r w:rsidRPr="00A34F10">
              <w:rPr>
                <w:rFonts w:ascii="Times New Roman" w:hAnsi="Times New Roman"/>
              </w:rPr>
              <w:t>BAS 743 02 F</w:t>
            </w:r>
          </w:p>
        </w:tc>
      </w:tr>
      <w:tr w:rsidR="00DC5685" w:rsidRPr="00A34F10" w14:paraId="25C12A3C" w14:textId="77777777" w:rsidTr="000470C3">
        <w:trPr>
          <w:cantSplit/>
          <w:trHeight w:hRule="exact" w:val="340"/>
        </w:trPr>
        <w:tc>
          <w:tcPr>
            <w:tcW w:w="3828" w:type="dxa"/>
          </w:tcPr>
          <w:p w14:paraId="4E866D9F"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rPr>
              <w:t>Description:</w:t>
            </w:r>
          </w:p>
        </w:tc>
        <w:tc>
          <w:tcPr>
            <w:tcW w:w="5522" w:type="dxa"/>
          </w:tcPr>
          <w:p w14:paraId="16285E95" w14:textId="77777777" w:rsidR="00DC5685" w:rsidRPr="00A34F10" w:rsidRDefault="00DC5685" w:rsidP="00DC5685">
            <w:pPr>
              <w:tabs>
                <w:tab w:val="left" w:pos="720"/>
              </w:tabs>
              <w:spacing w:after="240"/>
              <w:jc w:val="both"/>
              <w:rPr>
                <w:rFonts w:ascii="Times New Roman" w:hAnsi="Times New Roman"/>
              </w:rPr>
            </w:pPr>
            <w:r w:rsidRPr="00A34F10">
              <w:rPr>
                <w:rFonts w:ascii="Times New Roman" w:hAnsi="Times New Roman"/>
              </w:rPr>
              <w:t>White liquid, soluble concentrate (SC)</w:t>
            </w:r>
          </w:p>
        </w:tc>
      </w:tr>
      <w:tr w:rsidR="00DC5685" w:rsidRPr="00A34F10" w14:paraId="44EB1E81" w14:textId="77777777" w:rsidTr="000470C3">
        <w:trPr>
          <w:cantSplit/>
          <w:trHeight w:hRule="exact" w:val="270"/>
        </w:trPr>
        <w:tc>
          <w:tcPr>
            <w:tcW w:w="3828" w:type="dxa"/>
          </w:tcPr>
          <w:p w14:paraId="7E7E0ACC"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rPr>
              <w:t>Lot/Batch:</w:t>
            </w:r>
          </w:p>
        </w:tc>
        <w:tc>
          <w:tcPr>
            <w:tcW w:w="5522" w:type="dxa"/>
          </w:tcPr>
          <w:p w14:paraId="44712D7E" w14:textId="77777777" w:rsidR="00DC5685" w:rsidRPr="00A34F10" w:rsidRDefault="00DC5685" w:rsidP="00DC5685">
            <w:pPr>
              <w:tabs>
                <w:tab w:val="left" w:pos="720"/>
              </w:tabs>
              <w:spacing w:after="240"/>
              <w:jc w:val="both"/>
              <w:rPr>
                <w:rFonts w:ascii="Times New Roman" w:hAnsi="Times New Roman"/>
                <w:lang w:val="en-US"/>
              </w:rPr>
            </w:pPr>
            <w:r w:rsidRPr="00A34F10">
              <w:rPr>
                <w:rFonts w:ascii="Times New Roman" w:hAnsi="Times New Roman"/>
                <w:lang w:val="en-US"/>
              </w:rPr>
              <w:t>FRE-002224</w:t>
            </w:r>
          </w:p>
        </w:tc>
      </w:tr>
      <w:tr w:rsidR="00DC5685" w:rsidRPr="00A34F10" w14:paraId="639FA56E" w14:textId="77777777" w:rsidTr="000470C3">
        <w:trPr>
          <w:cantSplit/>
          <w:trHeight w:hRule="exact" w:val="655"/>
        </w:trPr>
        <w:tc>
          <w:tcPr>
            <w:tcW w:w="3828" w:type="dxa"/>
          </w:tcPr>
          <w:p w14:paraId="0AFE0BA4"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rPr>
              <w:t>Active substance content:</w:t>
            </w:r>
          </w:p>
        </w:tc>
        <w:tc>
          <w:tcPr>
            <w:tcW w:w="5522" w:type="dxa"/>
          </w:tcPr>
          <w:p w14:paraId="4F113EB6" w14:textId="77777777" w:rsidR="00DC5685" w:rsidRPr="00A34F10" w:rsidRDefault="00DC5685" w:rsidP="00DC5685">
            <w:pPr>
              <w:tabs>
                <w:tab w:val="left" w:pos="720"/>
              </w:tabs>
              <w:spacing w:line="276" w:lineRule="auto"/>
              <w:jc w:val="both"/>
              <w:rPr>
                <w:rFonts w:ascii="Times New Roman" w:hAnsi="Times New Roman"/>
              </w:rPr>
            </w:pPr>
            <w:r w:rsidRPr="00A34F10">
              <w:rPr>
                <w:rFonts w:ascii="Times New Roman" w:hAnsi="Times New Roman"/>
                <w:lang w:val="en-US"/>
              </w:rPr>
              <w:t xml:space="preserve">Ametoctradin: nominal 137.14 g/L, analysed 137.7 g/L; Propamocarb, nominal 432.0 g/L, analysed 431.0 g/L </w:t>
            </w:r>
          </w:p>
        </w:tc>
      </w:tr>
      <w:tr w:rsidR="00DC5685" w:rsidRPr="00A34F10" w14:paraId="2FCBB01E" w14:textId="77777777" w:rsidTr="000470C3">
        <w:trPr>
          <w:cantSplit/>
          <w:trHeight w:hRule="exact" w:val="340"/>
        </w:trPr>
        <w:tc>
          <w:tcPr>
            <w:tcW w:w="3828" w:type="dxa"/>
          </w:tcPr>
          <w:p w14:paraId="7E9A5A94"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rPr>
              <w:t>Density:</w:t>
            </w:r>
          </w:p>
        </w:tc>
        <w:tc>
          <w:tcPr>
            <w:tcW w:w="5522" w:type="dxa"/>
          </w:tcPr>
          <w:p w14:paraId="0291D602" w14:textId="77777777" w:rsidR="00DC5685" w:rsidRPr="00A34F10" w:rsidRDefault="00DC5685" w:rsidP="00DC5685">
            <w:pPr>
              <w:tabs>
                <w:tab w:val="left" w:pos="720"/>
              </w:tabs>
              <w:jc w:val="both"/>
              <w:rPr>
                <w:rFonts w:ascii="Times New Roman" w:hAnsi="Times New Roman"/>
              </w:rPr>
            </w:pPr>
            <w:r w:rsidRPr="00A34F10">
              <w:rPr>
                <w:rFonts w:ascii="Times New Roman" w:hAnsi="Times New Roman"/>
              </w:rPr>
              <w:t>1.080 g/cm</w:t>
            </w:r>
            <w:r w:rsidRPr="00A34F10">
              <w:rPr>
                <w:rFonts w:ascii="Times New Roman" w:hAnsi="Times New Roman"/>
                <w:vertAlign w:val="superscript"/>
              </w:rPr>
              <w:t xml:space="preserve">3 </w:t>
            </w:r>
          </w:p>
        </w:tc>
      </w:tr>
      <w:tr w:rsidR="00DC5685" w:rsidRPr="00A34F10" w14:paraId="3E0424CB" w14:textId="77777777" w:rsidTr="000470C3">
        <w:trPr>
          <w:cantSplit/>
          <w:trHeight w:hRule="exact" w:val="340"/>
        </w:trPr>
        <w:tc>
          <w:tcPr>
            <w:tcW w:w="3828" w:type="dxa"/>
          </w:tcPr>
          <w:p w14:paraId="34303AE1"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rPr>
              <w:t>Storage conditions:</w:t>
            </w:r>
          </w:p>
        </w:tc>
        <w:tc>
          <w:tcPr>
            <w:tcW w:w="5522" w:type="dxa"/>
          </w:tcPr>
          <w:p w14:paraId="394F9B43" w14:textId="77777777" w:rsidR="00DC5685" w:rsidRPr="00A34F10" w:rsidRDefault="00DC5685" w:rsidP="00DC5685">
            <w:pPr>
              <w:tabs>
                <w:tab w:val="left" w:pos="720"/>
              </w:tabs>
              <w:jc w:val="both"/>
              <w:rPr>
                <w:rFonts w:ascii="Times New Roman" w:hAnsi="Times New Roman"/>
              </w:rPr>
            </w:pPr>
            <w:r w:rsidRPr="00A34F10">
              <w:rPr>
                <w:rFonts w:ascii="Times New Roman" w:hAnsi="Times New Roman"/>
                <w:lang w:val="x-none"/>
              </w:rPr>
              <w:t>5 °C – 30 °C , dark and dry</w:t>
            </w:r>
          </w:p>
        </w:tc>
      </w:tr>
      <w:tr w:rsidR="00DC5685" w:rsidRPr="00A34F10" w14:paraId="31EC0492" w14:textId="77777777" w:rsidTr="000470C3">
        <w:trPr>
          <w:cantSplit/>
          <w:trHeight w:hRule="exact" w:val="340"/>
        </w:trPr>
        <w:tc>
          <w:tcPr>
            <w:tcW w:w="3828" w:type="dxa"/>
          </w:tcPr>
          <w:p w14:paraId="40045637" w14:textId="77777777" w:rsidR="00DC5685" w:rsidRPr="00A34F10" w:rsidRDefault="00DC5685" w:rsidP="00DC5685">
            <w:pPr>
              <w:tabs>
                <w:tab w:val="left" w:pos="624"/>
              </w:tabs>
              <w:spacing w:after="240"/>
              <w:ind w:left="567"/>
              <w:rPr>
                <w:rFonts w:ascii="Times New Roman" w:hAnsi="Times New Roman"/>
                <w:b/>
                <w:bCs/>
              </w:rPr>
            </w:pPr>
            <w:r w:rsidRPr="00A34F10">
              <w:rPr>
                <w:rFonts w:ascii="Times New Roman" w:hAnsi="Times New Roman"/>
                <w:b/>
                <w:bCs/>
                <w:lang w:val="en-US"/>
              </w:rPr>
              <w:t>Stability (expiry date):</w:t>
            </w:r>
          </w:p>
        </w:tc>
        <w:tc>
          <w:tcPr>
            <w:tcW w:w="5522" w:type="dxa"/>
          </w:tcPr>
          <w:p w14:paraId="016C46FD" w14:textId="77777777" w:rsidR="00DC5685" w:rsidRPr="00A34F10" w:rsidRDefault="00DC5685" w:rsidP="00DC5685">
            <w:pPr>
              <w:tabs>
                <w:tab w:val="left" w:pos="720"/>
              </w:tabs>
              <w:jc w:val="both"/>
              <w:rPr>
                <w:rFonts w:ascii="Times New Roman" w:hAnsi="Times New Roman"/>
              </w:rPr>
            </w:pPr>
            <w:r w:rsidRPr="00A34F10">
              <w:rPr>
                <w:rFonts w:ascii="Times New Roman" w:hAnsi="Times New Roman"/>
              </w:rPr>
              <w:t>31.01.2024</w:t>
            </w:r>
          </w:p>
        </w:tc>
      </w:tr>
      <w:tr w:rsidR="00DC5685" w:rsidRPr="00A34F10" w14:paraId="14E08632" w14:textId="77777777" w:rsidTr="000470C3">
        <w:trPr>
          <w:cantSplit/>
          <w:trHeight w:hRule="exact" w:val="340"/>
        </w:trPr>
        <w:tc>
          <w:tcPr>
            <w:tcW w:w="3828" w:type="dxa"/>
          </w:tcPr>
          <w:p w14:paraId="46781268" w14:textId="77777777" w:rsidR="00DC5685" w:rsidRPr="00A34F10" w:rsidRDefault="00DC5685" w:rsidP="00E05ECD">
            <w:pPr>
              <w:numPr>
                <w:ilvl w:val="0"/>
                <w:numId w:val="34"/>
              </w:numPr>
              <w:spacing w:after="240"/>
              <w:ind w:left="567" w:hanging="283"/>
              <w:contextualSpacing/>
              <w:rPr>
                <w:rFonts w:ascii="Times New Roman" w:hAnsi="Times New Roman"/>
                <w:b/>
                <w:bCs/>
              </w:rPr>
            </w:pPr>
            <w:r w:rsidRPr="00A34F10">
              <w:rPr>
                <w:rFonts w:ascii="Times New Roman" w:hAnsi="Times New Roman"/>
                <w:b/>
                <w:bCs/>
              </w:rPr>
              <w:t>Control:</w:t>
            </w:r>
          </w:p>
        </w:tc>
        <w:tc>
          <w:tcPr>
            <w:tcW w:w="5522" w:type="dxa"/>
          </w:tcPr>
          <w:p w14:paraId="0766FC0F" w14:textId="77777777" w:rsidR="00DC5685" w:rsidRPr="00A34F10" w:rsidRDefault="00DC5685" w:rsidP="00DC5685">
            <w:pPr>
              <w:tabs>
                <w:tab w:val="left" w:pos="720"/>
              </w:tabs>
              <w:spacing w:after="240"/>
              <w:rPr>
                <w:rFonts w:ascii="Times New Roman" w:hAnsi="Times New Roman"/>
                <w:lang w:val="en-US"/>
              </w:rPr>
            </w:pPr>
            <w:r w:rsidRPr="00A34F10">
              <w:rPr>
                <w:rFonts w:ascii="Times New Roman" w:hAnsi="Times New Roman"/>
                <w:lang w:val="x-none"/>
              </w:rPr>
              <w:t>Untreated test medium (AAP m</w:t>
            </w:r>
            <w:r w:rsidRPr="00A34F10">
              <w:rPr>
                <w:rFonts w:ascii="Times New Roman" w:hAnsi="Times New Roman"/>
                <w:lang w:val="en-US"/>
              </w:rPr>
              <w:t>edium)</w:t>
            </w:r>
          </w:p>
        </w:tc>
      </w:tr>
      <w:tr w:rsidR="00DC5685" w:rsidRPr="00A34F10" w14:paraId="1AFA41E6" w14:textId="77777777" w:rsidTr="000470C3">
        <w:trPr>
          <w:cantSplit/>
          <w:trHeight w:hRule="exact" w:val="801"/>
        </w:trPr>
        <w:tc>
          <w:tcPr>
            <w:tcW w:w="3828" w:type="dxa"/>
          </w:tcPr>
          <w:p w14:paraId="0488EF3B" w14:textId="77777777" w:rsidR="00DC5685" w:rsidRPr="00A34F10" w:rsidRDefault="00DC5685" w:rsidP="00E05ECD">
            <w:pPr>
              <w:numPr>
                <w:ilvl w:val="0"/>
                <w:numId w:val="34"/>
              </w:numPr>
              <w:spacing w:after="240"/>
              <w:ind w:left="567" w:hanging="283"/>
              <w:contextualSpacing/>
              <w:rPr>
                <w:rFonts w:ascii="Times New Roman" w:hAnsi="Times New Roman"/>
                <w:b/>
                <w:bCs/>
              </w:rPr>
            </w:pPr>
            <w:r w:rsidRPr="00A34F10">
              <w:rPr>
                <w:rFonts w:ascii="Times New Roman" w:hAnsi="Times New Roman"/>
                <w:b/>
                <w:bCs/>
              </w:rPr>
              <w:t>Reference item:</w:t>
            </w:r>
          </w:p>
        </w:tc>
        <w:tc>
          <w:tcPr>
            <w:tcW w:w="5522" w:type="dxa"/>
          </w:tcPr>
          <w:p w14:paraId="144E4D5A" w14:textId="77777777" w:rsidR="00DC5685" w:rsidRPr="00A34F10" w:rsidRDefault="00DC5685" w:rsidP="00DC5685">
            <w:pPr>
              <w:tabs>
                <w:tab w:val="left" w:pos="720"/>
              </w:tabs>
              <w:spacing w:after="240"/>
              <w:jc w:val="both"/>
              <w:rPr>
                <w:rFonts w:ascii="Times New Roman" w:hAnsi="Times New Roman"/>
              </w:rPr>
            </w:pPr>
            <w:r w:rsidRPr="00A34F10">
              <w:rPr>
                <w:rFonts w:ascii="Times New Roman" w:hAnsi="Times New Roman"/>
              </w:rPr>
              <w:t>Potassium dichromate is tested as the toxic reference item in a separate study twice a year to confirm the sensitivity of the test organism.</w:t>
            </w:r>
          </w:p>
        </w:tc>
      </w:tr>
    </w:tbl>
    <w:p w14:paraId="0FEED396" w14:textId="77777777" w:rsidR="00DC5685" w:rsidRPr="00A34F10" w:rsidRDefault="00E83096" w:rsidP="00E83096">
      <w:pPr>
        <w:rPr>
          <w:lang w:val="en-GB"/>
        </w:rPr>
      </w:pPr>
      <w:r w:rsidRPr="00A34F10">
        <w:rPr>
          <w:lang w:val="en-GB"/>
        </w:rPr>
        <w:br w:type="page"/>
      </w:r>
    </w:p>
    <w:p w14:paraId="6F3CDC56" w14:textId="77777777" w:rsidR="00DC5685" w:rsidRPr="00A34F10" w:rsidRDefault="00DC5685" w:rsidP="00E05ECD">
      <w:pPr>
        <w:numPr>
          <w:ilvl w:val="0"/>
          <w:numId w:val="33"/>
        </w:numPr>
        <w:ind w:left="284" w:hanging="284"/>
        <w:contextualSpacing/>
        <w:rPr>
          <w:b/>
          <w:bCs/>
          <w:caps/>
          <w:szCs w:val="24"/>
          <w:lang w:val="en-GB"/>
        </w:rPr>
      </w:pPr>
      <w:r w:rsidRPr="00A34F10">
        <w:rPr>
          <w:b/>
          <w:bCs/>
          <w:caps/>
          <w:szCs w:val="24"/>
          <w:lang w:val="en-GB"/>
        </w:rPr>
        <w:lastRenderedPageBreak/>
        <w:t>study design and methods</w:t>
      </w:r>
    </w:p>
    <w:p w14:paraId="0CDDCC60" w14:textId="77777777" w:rsidR="00DC5685" w:rsidRPr="00A34F10" w:rsidRDefault="00DC5685" w:rsidP="00DC5685">
      <w:pPr>
        <w:tabs>
          <w:tab w:val="left" w:pos="0"/>
        </w:tabs>
        <w:spacing w:after="240"/>
        <w:ind w:left="357" w:hanging="357"/>
        <w:contextualSpacing/>
        <w:rPr>
          <w:b/>
          <w:bCs/>
          <w:caps/>
          <w:szCs w:val="24"/>
          <w:lang w:val="en-GB"/>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A34F10" w14:paraId="08DD544C" w14:textId="77777777" w:rsidTr="000470C3">
        <w:trPr>
          <w:trHeight w:hRule="exact" w:val="578"/>
        </w:trPr>
        <w:tc>
          <w:tcPr>
            <w:tcW w:w="3826" w:type="dxa"/>
          </w:tcPr>
          <w:p w14:paraId="33F63F8A" w14:textId="77777777" w:rsidR="00DC5685" w:rsidRPr="00A34F10" w:rsidRDefault="00DC5685" w:rsidP="00E05ECD">
            <w:pPr>
              <w:numPr>
                <w:ilvl w:val="0"/>
                <w:numId w:val="35"/>
              </w:numPr>
              <w:spacing w:after="240"/>
              <w:ind w:left="567" w:hanging="283"/>
              <w:contextualSpacing/>
              <w:jc w:val="both"/>
              <w:rPr>
                <w:rFonts w:ascii="Times New Roman" w:hAnsi="Times New Roman"/>
                <w:b/>
                <w:bCs/>
                <w:szCs w:val="24"/>
              </w:rPr>
            </w:pPr>
            <w:r w:rsidRPr="00A34F10">
              <w:rPr>
                <w:rFonts w:ascii="Times New Roman" w:hAnsi="Times New Roman"/>
                <w:b/>
                <w:bCs/>
                <w:szCs w:val="24"/>
              </w:rPr>
              <w:t>Test organism:</w:t>
            </w:r>
          </w:p>
        </w:tc>
        <w:tc>
          <w:tcPr>
            <w:tcW w:w="5518" w:type="dxa"/>
          </w:tcPr>
          <w:p w14:paraId="08F0619C" w14:textId="77777777" w:rsidR="00DC5685" w:rsidRPr="00A34F10" w:rsidRDefault="00DC5685" w:rsidP="00DC5685">
            <w:pPr>
              <w:tabs>
                <w:tab w:val="left" w:pos="720"/>
              </w:tabs>
              <w:spacing w:after="240"/>
              <w:jc w:val="both"/>
              <w:rPr>
                <w:rFonts w:ascii="Times New Roman" w:hAnsi="Times New Roman"/>
                <w:szCs w:val="24"/>
              </w:rPr>
            </w:pPr>
            <w:r w:rsidRPr="00A34F10">
              <w:rPr>
                <w:rFonts w:ascii="Times New Roman" w:hAnsi="Times New Roman"/>
                <w:i/>
                <w:szCs w:val="24"/>
                <w:lang w:val="x-none"/>
              </w:rPr>
              <w:t>Pseudokirchnerie</w:t>
            </w:r>
            <w:r w:rsidRPr="00A34F10">
              <w:rPr>
                <w:rFonts w:ascii="Times New Roman" w:hAnsi="Times New Roman"/>
                <w:i/>
                <w:szCs w:val="24"/>
              </w:rPr>
              <w:t>l</w:t>
            </w:r>
            <w:r w:rsidRPr="00A34F10">
              <w:rPr>
                <w:rFonts w:ascii="Times New Roman" w:hAnsi="Times New Roman"/>
                <w:i/>
                <w:szCs w:val="24"/>
                <w:lang w:val="x-none"/>
              </w:rPr>
              <w:t>la subcapitata</w:t>
            </w:r>
            <w:r w:rsidRPr="00A34F10">
              <w:rPr>
                <w:rFonts w:ascii="Times New Roman" w:hAnsi="Times New Roman"/>
                <w:iCs/>
                <w:szCs w:val="24"/>
                <w:lang w:val="x-none"/>
              </w:rPr>
              <w:t xml:space="preserve"> (Korshikov), Strain No. 61.81 SAG</w:t>
            </w:r>
          </w:p>
        </w:tc>
      </w:tr>
      <w:tr w:rsidR="00DC5685" w:rsidRPr="00A34F10" w14:paraId="1EBCA9DC" w14:textId="77777777" w:rsidTr="000470C3">
        <w:trPr>
          <w:trHeight w:hRule="exact" w:val="571"/>
        </w:trPr>
        <w:tc>
          <w:tcPr>
            <w:tcW w:w="3826" w:type="dxa"/>
          </w:tcPr>
          <w:p w14:paraId="2DF7AB0C"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Source:</w:t>
            </w:r>
          </w:p>
        </w:tc>
        <w:tc>
          <w:tcPr>
            <w:tcW w:w="5518" w:type="dxa"/>
          </w:tcPr>
          <w:p w14:paraId="1169B11F" w14:textId="77777777" w:rsidR="00DC5685" w:rsidRPr="00A34F10" w:rsidRDefault="00DC5685" w:rsidP="00DC5685">
            <w:pPr>
              <w:tabs>
                <w:tab w:val="left" w:pos="720"/>
              </w:tabs>
              <w:spacing w:after="240"/>
              <w:rPr>
                <w:rFonts w:ascii="Times New Roman" w:hAnsi="Times New Roman"/>
                <w:szCs w:val="24"/>
                <w:lang w:val="en-US"/>
              </w:rPr>
            </w:pPr>
            <w:r w:rsidRPr="00A34F10">
              <w:rPr>
                <w:rFonts w:ascii="Times New Roman" w:hAnsi="Times New Roman"/>
                <w:szCs w:val="24"/>
                <w:lang w:val="en-US"/>
              </w:rPr>
              <w:t>Commercial supplier, MBM Sciencebridge GmbH, Göttingen, Germany</w:t>
            </w:r>
          </w:p>
        </w:tc>
      </w:tr>
      <w:tr w:rsidR="00DC5685" w:rsidRPr="00A34F10" w14:paraId="7D845B71" w14:textId="77777777" w:rsidTr="000470C3">
        <w:trPr>
          <w:trHeight w:hRule="exact" w:val="305"/>
        </w:trPr>
        <w:tc>
          <w:tcPr>
            <w:tcW w:w="3826" w:type="dxa"/>
          </w:tcPr>
          <w:p w14:paraId="46CD2E38"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Culture medium:</w:t>
            </w:r>
          </w:p>
        </w:tc>
        <w:tc>
          <w:tcPr>
            <w:tcW w:w="5518" w:type="dxa"/>
          </w:tcPr>
          <w:p w14:paraId="4872F741"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AAP-Medium</w:t>
            </w:r>
          </w:p>
        </w:tc>
      </w:tr>
      <w:tr w:rsidR="00DC5685" w:rsidRPr="00A34F10" w14:paraId="1B94CFF1" w14:textId="77777777" w:rsidTr="000470C3">
        <w:trPr>
          <w:trHeight w:hRule="exact" w:val="870"/>
        </w:trPr>
        <w:tc>
          <w:tcPr>
            <w:tcW w:w="3826" w:type="dxa"/>
          </w:tcPr>
          <w:p w14:paraId="59B4EE4B"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Acclimatisation:</w:t>
            </w:r>
          </w:p>
        </w:tc>
        <w:tc>
          <w:tcPr>
            <w:tcW w:w="5518" w:type="dxa"/>
          </w:tcPr>
          <w:p w14:paraId="0D2690FC" w14:textId="77777777" w:rsidR="00DC5685" w:rsidRPr="00A34F10" w:rsidRDefault="00DC5685" w:rsidP="00DC5685">
            <w:pPr>
              <w:tabs>
                <w:tab w:val="left" w:pos="720"/>
              </w:tabs>
              <w:spacing w:after="240"/>
              <w:jc w:val="both"/>
              <w:rPr>
                <w:rFonts w:ascii="Times New Roman" w:hAnsi="Times New Roman"/>
                <w:szCs w:val="24"/>
              </w:rPr>
            </w:pPr>
            <w:r w:rsidRPr="00A34F10">
              <w:rPr>
                <w:rFonts w:ascii="Times New Roman" w:hAnsi="Times New Roman"/>
                <w:szCs w:val="24"/>
              </w:rPr>
              <w:t xml:space="preserve">Test algal </w:t>
            </w:r>
            <w:r w:rsidRPr="00A34F10">
              <w:rPr>
                <w:rFonts w:ascii="Times New Roman" w:hAnsi="Times New Roman"/>
                <w:szCs w:val="24"/>
                <w:lang w:val="x-none"/>
              </w:rPr>
              <w:t>cells were taken from an</w:t>
            </w:r>
            <w:r w:rsidRPr="00A34F10">
              <w:rPr>
                <w:rFonts w:ascii="Times New Roman" w:hAnsi="Times New Roman"/>
                <w:szCs w:val="24"/>
              </w:rPr>
              <w:t xml:space="preserve"> </w:t>
            </w:r>
            <w:r w:rsidRPr="00A34F10">
              <w:rPr>
                <w:rFonts w:ascii="Times New Roman" w:hAnsi="Times New Roman"/>
                <w:szCs w:val="24"/>
                <w:lang w:val="x-none"/>
              </w:rPr>
              <w:t xml:space="preserve">exponentially growing pre-culture, which was set up 3 </w:t>
            </w:r>
            <w:r w:rsidRPr="00A34F10">
              <w:rPr>
                <w:rFonts w:ascii="Times New Roman" w:hAnsi="Times New Roman"/>
                <w:szCs w:val="24"/>
                <w:lang w:val="en-US"/>
              </w:rPr>
              <w:t xml:space="preserve">– 4 </w:t>
            </w:r>
            <w:r w:rsidRPr="00A34F10">
              <w:rPr>
                <w:rFonts w:ascii="Times New Roman" w:hAnsi="Times New Roman"/>
                <w:szCs w:val="24"/>
                <w:lang w:val="x-none"/>
              </w:rPr>
              <w:t>days prior to</w:t>
            </w:r>
            <w:r w:rsidRPr="00A34F10">
              <w:rPr>
                <w:rFonts w:ascii="Times New Roman" w:hAnsi="Times New Roman"/>
                <w:szCs w:val="24"/>
              </w:rPr>
              <w:t xml:space="preserve"> </w:t>
            </w:r>
            <w:r w:rsidRPr="00A34F10">
              <w:rPr>
                <w:rFonts w:ascii="Times New Roman" w:hAnsi="Times New Roman"/>
                <w:szCs w:val="24"/>
                <w:lang w:val="x-none"/>
              </w:rPr>
              <w:t>the test start under the same conditions as in the test.</w:t>
            </w:r>
          </w:p>
        </w:tc>
      </w:tr>
      <w:tr w:rsidR="00DC5685" w:rsidRPr="00A34F10" w14:paraId="75FD16D8" w14:textId="77777777" w:rsidTr="000470C3">
        <w:trPr>
          <w:trHeight w:hRule="exact" w:val="265"/>
        </w:trPr>
        <w:tc>
          <w:tcPr>
            <w:tcW w:w="3826" w:type="dxa"/>
          </w:tcPr>
          <w:p w14:paraId="36FA1376"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 xml:space="preserve">Initial cell density: </w:t>
            </w:r>
          </w:p>
        </w:tc>
        <w:tc>
          <w:tcPr>
            <w:tcW w:w="5518" w:type="dxa"/>
          </w:tcPr>
          <w:p w14:paraId="32C97793"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lang w:val="en-US"/>
              </w:rPr>
              <w:t>0.5 × 10</w:t>
            </w:r>
            <w:r w:rsidRPr="00A34F10">
              <w:rPr>
                <w:rFonts w:ascii="Times New Roman" w:hAnsi="Times New Roman"/>
                <w:szCs w:val="24"/>
                <w:vertAlign w:val="superscript"/>
                <w:lang w:val="en-US"/>
              </w:rPr>
              <w:t>4</w:t>
            </w:r>
            <w:r w:rsidRPr="00A34F10">
              <w:rPr>
                <w:rFonts w:ascii="Times New Roman" w:hAnsi="Times New Roman"/>
                <w:szCs w:val="24"/>
                <w:lang w:val="en-US"/>
              </w:rPr>
              <w:t xml:space="preserve"> cells/mL</w:t>
            </w:r>
          </w:p>
        </w:tc>
      </w:tr>
      <w:tr w:rsidR="00DC5685" w:rsidRPr="00A34F10" w14:paraId="23D869F5" w14:textId="77777777" w:rsidTr="000470C3">
        <w:trPr>
          <w:trHeight w:hRule="exact" w:val="594"/>
        </w:trPr>
        <w:tc>
          <w:tcPr>
            <w:tcW w:w="3826" w:type="dxa"/>
          </w:tcPr>
          <w:p w14:paraId="09625183" w14:textId="77777777" w:rsidR="00DC5685" w:rsidRPr="00A34F10" w:rsidRDefault="00DC5685" w:rsidP="00E05ECD">
            <w:pPr>
              <w:numPr>
                <w:ilvl w:val="0"/>
                <w:numId w:val="35"/>
              </w:numPr>
              <w:spacing w:after="240"/>
              <w:ind w:left="567" w:hanging="283"/>
              <w:contextualSpacing/>
              <w:jc w:val="both"/>
              <w:rPr>
                <w:rFonts w:ascii="Times New Roman" w:hAnsi="Times New Roman"/>
                <w:b/>
                <w:bCs/>
                <w:szCs w:val="24"/>
              </w:rPr>
            </w:pPr>
            <w:r w:rsidRPr="00A34F10">
              <w:rPr>
                <w:rFonts w:ascii="Times New Roman" w:hAnsi="Times New Roman"/>
                <w:b/>
                <w:bCs/>
                <w:szCs w:val="24"/>
              </w:rPr>
              <w:t>Test units:</w:t>
            </w:r>
          </w:p>
        </w:tc>
        <w:tc>
          <w:tcPr>
            <w:tcW w:w="5518" w:type="dxa"/>
          </w:tcPr>
          <w:p w14:paraId="1BDDB794" w14:textId="77777777" w:rsidR="00DC5685" w:rsidRPr="00A34F10" w:rsidRDefault="00DC5685" w:rsidP="00DC5685">
            <w:pPr>
              <w:tabs>
                <w:tab w:val="left" w:pos="720"/>
              </w:tabs>
              <w:spacing w:after="240"/>
              <w:jc w:val="both"/>
              <w:rPr>
                <w:rFonts w:ascii="Times New Roman" w:hAnsi="Times New Roman"/>
                <w:szCs w:val="24"/>
              </w:rPr>
            </w:pPr>
            <w:r w:rsidRPr="00A34F10">
              <w:rPr>
                <w:rFonts w:ascii="Times New Roman" w:hAnsi="Times New Roman"/>
                <w:bCs/>
                <w:szCs w:val="24"/>
                <w:lang w:val="x-none"/>
              </w:rPr>
              <w:t xml:space="preserve">Erlenmeyer flasks of </w:t>
            </w:r>
            <w:r w:rsidRPr="00A34F10">
              <w:rPr>
                <w:rFonts w:ascii="Times New Roman" w:hAnsi="Times New Roman"/>
                <w:bCs/>
                <w:szCs w:val="24"/>
                <w:lang w:val="en-US"/>
              </w:rPr>
              <w:t>10</w:t>
            </w:r>
            <w:r w:rsidRPr="00A34F10">
              <w:rPr>
                <w:rFonts w:ascii="Times New Roman" w:hAnsi="Times New Roman"/>
                <w:bCs/>
                <w:szCs w:val="24"/>
                <w:lang w:val="x-none"/>
              </w:rPr>
              <w:t>0 mL volume with approximately 50</w:t>
            </w:r>
            <w:r w:rsidRPr="00A34F10">
              <w:rPr>
                <w:rFonts w:ascii="Times New Roman" w:hAnsi="Times New Roman"/>
                <w:bCs/>
                <w:szCs w:val="24"/>
                <w:lang w:val="en-US"/>
              </w:rPr>
              <w:t> </w:t>
            </w:r>
            <w:r w:rsidRPr="00A34F10">
              <w:rPr>
                <w:rFonts w:ascii="Times New Roman" w:hAnsi="Times New Roman"/>
                <w:bCs/>
                <w:szCs w:val="24"/>
                <w:lang w:val="x-none"/>
              </w:rPr>
              <w:t>mL of test</w:t>
            </w:r>
            <w:r w:rsidRPr="00A34F10">
              <w:rPr>
                <w:rFonts w:ascii="Times New Roman" w:hAnsi="Times New Roman"/>
                <w:szCs w:val="24"/>
                <w:lang w:val="en-US"/>
              </w:rPr>
              <w:t xml:space="preserve"> </w:t>
            </w:r>
            <w:r w:rsidRPr="00A34F10">
              <w:rPr>
                <w:rFonts w:ascii="Times New Roman" w:hAnsi="Times New Roman"/>
                <w:bCs/>
                <w:szCs w:val="24"/>
                <w:lang w:val="x-none"/>
              </w:rPr>
              <w:t>medium</w:t>
            </w:r>
          </w:p>
        </w:tc>
      </w:tr>
      <w:tr w:rsidR="00DC5685" w:rsidRPr="00A34F10" w14:paraId="5C1ECDEA" w14:textId="77777777" w:rsidTr="000470C3">
        <w:trPr>
          <w:trHeight w:hRule="exact" w:val="340"/>
        </w:trPr>
        <w:tc>
          <w:tcPr>
            <w:tcW w:w="3826" w:type="dxa"/>
          </w:tcPr>
          <w:p w14:paraId="40659087" w14:textId="77777777" w:rsidR="00DC5685" w:rsidRPr="00A34F10" w:rsidRDefault="00DC5685" w:rsidP="00E05ECD">
            <w:pPr>
              <w:numPr>
                <w:ilvl w:val="0"/>
                <w:numId w:val="35"/>
              </w:numPr>
              <w:spacing w:after="240"/>
              <w:ind w:left="567" w:hanging="283"/>
              <w:contextualSpacing/>
              <w:jc w:val="both"/>
              <w:rPr>
                <w:rFonts w:ascii="Times New Roman" w:hAnsi="Times New Roman"/>
                <w:b/>
                <w:bCs/>
                <w:szCs w:val="24"/>
              </w:rPr>
            </w:pPr>
            <w:r w:rsidRPr="00A34F10">
              <w:rPr>
                <w:rFonts w:ascii="Times New Roman" w:hAnsi="Times New Roman"/>
                <w:b/>
                <w:bCs/>
                <w:szCs w:val="24"/>
              </w:rPr>
              <w:t>Environmental conditions</w:t>
            </w:r>
          </w:p>
        </w:tc>
        <w:tc>
          <w:tcPr>
            <w:tcW w:w="5518" w:type="dxa"/>
          </w:tcPr>
          <w:p w14:paraId="1366718C" w14:textId="77777777" w:rsidR="00DC5685" w:rsidRPr="00A34F10" w:rsidRDefault="00DC5685" w:rsidP="00DC5685">
            <w:pPr>
              <w:tabs>
                <w:tab w:val="left" w:pos="720"/>
              </w:tabs>
              <w:spacing w:after="240"/>
              <w:jc w:val="both"/>
              <w:rPr>
                <w:rFonts w:ascii="Times New Roman" w:hAnsi="Times New Roman"/>
                <w:szCs w:val="24"/>
              </w:rPr>
            </w:pPr>
          </w:p>
        </w:tc>
      </w:tr>
      <w:tr w:rsidR="00DC5685" w:rsidRPr="00A34F10" w14:paraId="46F1C691" w14:textId="77777777" w:rsidTr="000470C3">
        <w:trPr>
          <w:trHeight w:hRule="exact" w:val="340"/>
        </w:trPr>
        <w:tc>
          <w:tcPr>
            <w:tcW w:w="3826" w:type="dxa"/>
          </w:tcPr>
          <w:p w14:paraId="24CE83D8"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Temperature:</w:t>
            </w:r>
          </w:p>
        </w:tc>
        <w:tc>
          <w:tcPr>
            <w:tcW w:w="5518" w:type="dxa"/>
            <w:shd w:val="clear" w:color="auto" w:fill="auto"/>
          </w:tcPr>
          <w:p w14:paraId="21A4B649" w14:textId="77777777" w:rsidR="00DC5685" w:rsidRPr="00A34F10" w:rsidRDefault="00DC5685" w:rsidP="00DC5685">
            <w:pPr>
              <w:tabs>
                <w:tab w:val="left" w:pos="720"/>
              </w:tabs>
              <w:spacing w:after="240"/>
              <w:jc w:val="both"/>
              <w:rPr>
                <w:rFonts w:ascii="Times New Roman" w:hAnsi="Times New Roman"/>
                <w:szCs w:val="24"/>
              </w:rPr>
            </w:pPr>
            <w:r w:rsidRPr="00A34F10">
              <w:rPr>
                <w:rFonts w:ascii="Times New Roman" w:hAnsi="Times New Roman"/>
                <w:szCs w:val="24"/>
              </w:rPr>
              <w:t>22.4 – 23.6 °C</w:t>
            </w:r>
          </w:p>
        </w:tc>
      </w:tr>
      <w:tr w:rsidR="00DC5685" w:rsidRPr="00A34F10" w14:paraId="3AD159F3" w14:textId="77777777" w:rsidTr="000470C3">
        <w:trPr>
          <w:trHeight w:hRule="exact" w:val="312"/>
        </w:trPr>
        <w:tc>
          <w:tcPr>
            <w:tcW w:w="3826" w:type="dxa"/>
          </w:tcPr>
          <w:p w14:paraId="445B7D6B"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pH:</w:t>
            </w:r>
          </w:p>
        </w:tc>
        <w:tc>
          <w:tcPr>
            <w:tcW w:w="5518" w:type="dxa"/>
            <w:shd w:val="clear" w:color="auto" w:fill="auto"/>
          </w:tcPr>
          <w:p w14:paraId="04E75C6C"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lang w:val="x-none"/>
              </w:rPr>
              <w:t>7.31 – 7.</w:t>
            </w:r>
            <w:r w:rsidRPr="00A34F10">
              <w:rPr>
                <w:rFonts w:ascii="Times New Roman" w:hAnsi="Times New Roman"/>
                <w:szCs w:val="24"/>
                <w:lang w:val="en-US"/>
              </w:rPr>
              <w:t>35</w:t>
            </w:r>
            <w:r w:rsidRPr="00A34F10">
              <w:rPr>
                <w:rFonts w:ascii="Times New Roman" w:hAnsi="Times New Roman"/>
                <w:szCs w:val="24"/>
                <w:lang w:val="x-none"/>
              </w:rPr>
              <w:t xml:space="preserve"> at test start</w:t>
            </w:r>
            <w:r w:rsidRPr="00A34F10">
              <w:rPr>
                <w:rFonts w:ascii="Times New Roman" w:hAnsi="Times New Roman"/>
                <w:szCs w:val="24"/>
              </w:rPr>
              <w:t xml:space="preserve">, </w:t>
            </w:r>
            <w:r w:rsidRPr="00A34F10">
              <w:rPr>
                <w:rFonts w:ascii="Times New Roman" w:hAnsi="Times New Roman"/>
                <w:szCs w:val="24"/>
                <w:lang w:val="x-none"/>
              </w:rPr>
              <w:t>7.</w:t>
            </w:r>
            <w:r w:rsidRPr="00A34F10">
              <w:rPr>
                <w:rFonts w:ascii="Times New Roman" w:hAnsi="Times New Roman"/>
                <w:szCs w:val="24"/>
                <w:lang w:val="en-US"/>
              </w:rPr>
              <w:t>65</w:t>
            </w:r>
            <w:r w:rsidRPr="00A34F10">
              <w:rPr>
                <w:rFonts w:ascii="Times New Roman" w:hAnsi="Times New Roman"/>
                <w:szCs w:val="24"/>
                <w:lang w:val="x-none"/>
              </w:rPr>
              <w:t xml:space="preserve"> to </w:t>
            </w:r>
            <w:r w:rsidRPr="00A34F10">
              <w:rPr>
                <w:rFonts w:ascii="Times New Roman" w:hAnsi="Times New Roman"/>
                <w:szCs w:val="24"/>
                <w:lang w:val="en-US"/>
              </w:rPr>
              <w:t>8.83</w:t>
            </w:r>
            <w:r w:rsidRPr="00A34F10">
              <w:rPr>
                <w:rFonts w:ascii="Times New Roman" w:hAnsi="Times New Roman"/>
                <w:szCs w:val="24"/>
                <w:lang w:val="x-none"/>
              </w:rPr>
              <w:t xml:space="preserve"> at test end</w:t>
            </w:r>
          </w:p>
        </w:tc>
      </w:tr>
      <w:tr w:rsidR="00DC5685" w:rsidRPr="00A34F10" w14:paraId="587AF392" w14:textId="77777777" w:rsidTr="000470C3">
        <w:trPr>
          <w:trHeight w:hRule="exact" w:val="369"/>
        </w:trPr>
        <w:tc>
          <w:tcPr>
            <w:tcW w:w="3826" w:type="dxa"/>
            <w:shd w:val="clear" w:color="auto" w:fill="auto"/>
          </w:tcPr>
          <w:p w14:paraId="0C749A65"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rPr>
              <w:t>Dissolved O</w:t>
            </w:r>
            <w:r w:rsidRPr="00A34F10">
              <w:rPr>
                <w:rFonts w:ascii="Times New Roman" w:hAnsi="Times New Roman"/>
                <w:b/>
                <w:szCs w:val="24"/>
                <w:vertAlign w:val="subscript"/>
              </w:rPr>
              <w:t>2</w:t>
            </w:r>
            <w:r w:rsidRPr="00A34F10">
              <w:rPr>
                <w:rFonts w:ascii="Times New Roman" w:hAnsi="Times New Roman"/>
                <w:b/>
                <w:bCs/>
                <w:szCs w:val="24"/>
              </w:rPr>
              <w:t xml:space="preserve"> concentration:</w:t>
            </w:r>
          </w:p>
        </w:tc>
        <w:tc>
          <w:tcPr>
            <w:tcW w:w="5518" w:type="dxa"/>
            <w:shd w:val="clear" w:color="auto" w:fill="auto"/>
          </w:tcPr>
          <w:p w14:paraId="7053C35E"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Not reported</w:t>
            </w:r>
          </w:p>
        </w:tc>
      </w:tr>
      <w:tr w:rsidR="00DC5685" w:rsidRPr="00A34F10" w14:paraId="617B031E" w14:textId="77777777" w:rsidTr="000470C3">
        <w:trPr>
          <w:trHeight w:hRule="exact" w:val="312"/>
        </w:trPr>
        <w:tc>
          <w:tcPr>
            <w:tcW w:w="3826" w:type="dxa"/>
            <w:shd w:val="clear" w:color="auto" w:fill="auto"/>
          </w:tcPr>
          <w:p w14:paraId="7FDEFCC8" w14:textId="77777777" w:rsidR="00DC5685" w:rsidRPr="00A34F10" w:rsidRDefault="00DC5685" w:rsidP="00DC5685">
            <w:pPr>
              <w:tabs>
                <w:tab w:val="left" w:pos="624"/>
                <w:tab w:val="left" w:pos="720"/>
              </w:tabs>
              <w:spacing w:after="240"/>
              <w:ind w:left="567"/>
              <w:rPr>
                <w:rFonts w:ascii="Times New Roman" w:hAnsi="Times New Roman"/>
                <w:b/>
                <w:bCs/>
                <w:szCs w:val="24"/>
              </w:rPr>
            </w:pPr>
            <w:r w:rsidRPr="00A34F10">
              <w:rPr>
                <w:rFonts w:ascii="Times New Roman" w:hAnsi="Times New Roman"/>
                <w:b/>
                <w:bCs/>
                <w:szCs w:val="24"/>
                <w:lang w:val="en-US"/>
              </w:rPr>
              <w:t>Hardness:</w:t>
            </w:r>
          </w:p>
        </w:tc>
        <w:tc>
          <w:tcPr>
            <w:tcW w:w="5518" w:type="dxa"/>
            <w:shd w:val="clear" w:color="auto" w:fill="auto"/>
          </w:tcPr>
          <w:p w14:paraId="28946F35"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lang w:val="x-none"/>
              </w:rPr>
              <w:t>Not reported</w:t>
            </w:r>
          </w:p>
        </w:tc>
      </w:tr>
      <w:tr w:rsidR="00DC5685" w:rsidRPr="00A34F10" w14:paraId="378EC913" w14:textId="77777777" w:rsidTr="000470C3">
        <w:trPr>
          <w:trHeight w:hRule="exact" w:val="312"/>
        </w:trPr>
        <w:tc>
          <w:tcPr>
            <w:tcW w:w="3826" w:type="dxa"/>
            <w:shd w:val="clear" w:color="auto" w:fill="auto"/>
          </w:tcPr>
          <w:p w14:paraId="47337EF3" w14:textId="77777777" w:rsidR="00DC5685" w:rsidRPr="00A34F10" w:rsidRDefault="00DC5685" w:rsidP="00DC5685">
            <w:pPr>
              <w:tabs>
                <w:tab w:val="left" w:pos="624"/>
                <w:tab w:val="left" w:pos="720"/>
              </w:tabs>
              <w:spacing w:after="240"/>
              <w:ind w:left="567"/>
              <w:rPr>
                <w:rFonts w:ascii="Times New Roman" w:hAnsi="Times New Roman"/>
                <w:b/>
                <w:bCs/>
                <w:szCs w:val="24"/>
                <w:lang w:val="en-US"/>
              </w:rPr>
            </w:pPr>
            <w:r w:rsidRPr="00A34F10">
              <w:rPr>
                <w:rFonts w:ascii="Times New Roman" w:hAnsi="Times New Roman"/>
                <w:b/>
                <w:bCs/>
                <w:szCs w:val="24"/>
              </w:rPr>
              <w:t>Photoperiod:</w:t>
            </w:r>
          </w:p>
        </w:tc>
        <w:tc>
          <w:tcPr>
            <w:tcW w:w="5518" w:type="dxa"/>
            <w:shd w:val="clear" w:color="auto" w:fill="auto"/>
          </w:tcPr>
          <w:p w14:paraId="1D99FD15"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 xml:space="preserve">Continuous illumination </w:t>
            </w:r>
          </w:p>
        </w:tc>
      </w:tr>
      <w:tr w:rsidR="00DC5685" w:rsidRPr="00A34F10" w14:paraId="66964122" w14:textId="77777777" w:rsidTr="000470C3">
        <w:trPr>
          <w:trHeight w:hRule="exact" w:val="312"/>
        </w:trPr>
        <w:tc>
          <w:tcPr>
            <w:tcW w:w="3826" w:type="dxa"/>
            <w:shd w:val="clear" w:color="auto" w:fill="auto"/>
          </w:tcPr>
          <w:p w14:paraId="7BC4AB73" w14:textId="77777777" w:rsidR="00DC5685" w:rsidRPr="00A34F10" w:rsidRDefault="00DC5685" w:rsidP="00DC5685">
            <w:pPr>
              <w:tabs>
                <w:tab w:val="left" w:pos="624"/>
                <w:tab w:val="left" w:pos="720"/>
              </w:tabs>
              <w:spacing w:after="240"/>
              <w:ind w:left="567"/>
              <w:rPr>
                <w:rFonts w:ascii="Times New Roman" w:hAnsi="Times New Roman"/>
                <w:b/>
                <w:bCs/>
                <w:szCs w:val="24"/>
                <w:lang w:val="en-US"/>
              </w:rPr>
            </w:pPr>
            <w:r w:rsidRPr="00A34F10">
              <w:rPr>
                <w:rFonts w:ascii="Times New Roman" w:hAnsi="Times New Roman"/>
                <w:b/>
                <w:bCs/>
                <w:szCs w:val="24"/>
              </w:rPr>
              <w:t>Light intensity:</w:t>
            </w:r>
          </w:p>
        </w:tc>
        <w:tc>
          <w:tcPr>
            <w:tcW w:w="5518" w:type="dxa"/>
            <w:shd w:val="clear" w:color="auto" w:fill="auto"/>
          </w:tcPr>
          <w:p w14:paraId="42F25AE8"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0"/>
                <w:lang w:val="en-US"/>
              </w:rPr>
              <w:t>96.3 µEm</w:t>
            </w:r>
            <w:r w:rsidRPr="00A34F10">
              <w:rPr>
                <w:rFonts w:ascii="Times New Roman" w:hAnsi="Times New Roman"/>
                <w:szCs w:val="20"/>
                <w:vertAlign w:val="superscript"/>
                <w:lang w:val="en-US"/>
              </w:rPr>
              <w:t>-2</w:t>
            </w:r>
            <w:r w:rsidRPr="00A34F10">
              <w:rPr>
                <w:rFonts w:ascii="Times New Roman" w:hAnsi="Times New Roman"/>
                <w:szCs w:val="20"/>
                <w:lang w:val="en-US"/>
              </w:rPr>
              <w:t>s</w:t>
            </w:r>
            <w:r w:rsidRPr="00A34F10">
              <w:rPr>
                <w:rFonts w:ascii="Times New Roman" w:hAnsi="Times New Roman"/>
                <w:szCs w:val="20"/>
                <w:vertAlign w:val="superscript"/>
                <w:lang w:val="en-US"/>
              </w:rPr>
              <w:t>-1</w:t>
            </w:r>
          </w:p>
        </w:tc>
      </w:tr>
    </w:tbl>
    <w:p w14:paraId="2D4DA0CD" w14:textId="77777777" w:rsidR="00DC5685" w:rsidRPr="00A34F10" w:rsidRDefault="00DC5685" w:rsidP="00DC5685">
      <w:pPr>
        <w:numPr>
          <w:ilvl w:val="3"/>
          <w:numId w:val="0"/>
        </w:numPr>
        <w:tabs>
          <w:tab w:val="left" w:pos="0"/>
        </w:tabs>
        <w:spacing w:before="240"/>
        <w:ind w:left="357" w:hanging="357"/>
        <w:contextualSpacing/>
        <w:rPr>
          <w:b/>
          <w:bCs/>
          <w:szCs w:val="24"/>
          <w:highlight w:val="yellow"/>
          <w:lang w:val="en-GB"/>
        </w:rPr>
      </w:pPr>
    </w:p>
    <w:p w14:paraId="161E9E15" w14:textId="77777777" w:rsidR="00DC5685" w:rsidRPr="00A34F10" w:rsidRDefault="00DC5685" w:rsidP="00E05ECD">
      <w:pPr>
        <w:numPr>
          <w:ilvl w:val="0"/>
          <w:numId w:val="35"/>
        </w:numPr>
        <w:spacing w:before="240"/>
        <w:ind w:left="284" w:hanging="284"/>
        <w:contextualSpacing/>
        <w:rPr>
          <w:b/>
          <w:bCs/>
          <w:szCs w:val="24"/>
          <w:lang w:val="en-GB"/>
        </w:rPr>
      </w:pPr>
      <w:r w:rsidRPr="00A34F10">
        <w:rPr>
          <w:b/>
          <w:bCs/>
          <w:szCs w:val="24"/>
          <w:lang w:val="en-GB"/>
        </w:rPr>
        <w:t xml:space="preserve">Treatment: </w:t>
      </w:r>
    </w:p>
    <w:p w14:paraId="2FA35BA7" w14:textId="77777777" w:rsidR="00DC5685" w:rsidRPr="00A34F10" w:rsidRDefault="00DC5685" w:rsidP="00DC5685">
      <w:pPr>
        <w:tabs>
          <w:tab w:val="left" w:pos="720"/>
        </w:tabs>
        <w:spacing w:after="240"/>
        <w:jc w:val="both"/>
        <w:rPr>
          <w:bCs/>
          <w:szCs w:val="24"/>
        </w:rPr>
      </w:pPr>
      <w:r w:rsidRPr="00A34F10">
        <w:rPr>
          <w:szCs w:val="24"/>
          <w:lang w:val="en-GB"/>
        </w:rPr>
        <w:t xml:space="preserve">The study was conducted at Eurofins Aquatic Ecotoxicology GmbH (Niefern-Öschelbronn, Germany) between 28.11.2022 and 13.12.2022. </w:t>
      </w:r>
      <w:r w:rsidRPr="00A34F10">
        <w:rPr>
          <w:bCs/>
          <w:szCs w:val="24"/>
          <w:lang w:val="en-GB"/>
        </w:rPr>
        <w:t>The study was conducted as a static dose-response test with five test item concentrations (</w:t>
      </w:r>
      <w:r w:rsidRPr="00A34F10">
        <w:rPr>
          <w:rFonts w:eastAsia="Calibri"/>
        </w:rPr>
        <w:t>0.954, 3.05, 9.77, 31.3 and 100 mg</w:t>
      </w:r>
      <w:r w:rsidRPr="00A34F10">
        <w:rPr>
          <w:bCs/>
          <w:szCs w:val="24"/>
        </w:rPr>
        <w:t xml:space="preserve"> product/L)</w:t>
      </w:r>
      <w:r w:rsidRPr="00A34F10">
        <w:rPr>
          <w:bCs/>
          <w:szCs w:val="24"/>
          <w:lang w:val="en-GB"/>
        </w:rPr>
        <w:t xml:space="preserve"> and one control with untreated test medium. Non-GLP p</w:t>
      </w:r>
      <w:r w:rsidRPr="00A34F10">
        <w:rPr>
          <w:bCs/>
          <w:szCs w:val="24"/>
          <w:lang w:val="x-none"/>
        </w:rPr>
        <w:t>re-experiments were performed to determine a suitable</w:t>
      </w:r>
      <w:r w:rsidRPr="00A34F10">
        <w:rPr>
          <w:bCs/>
          <w:szCs w:val="24"/>
          <w:lang w:val="en-GB"/>
        </w:rPr>
        <w:t xml:space="preserve"> </w:t>
      </w:r>
      <w:r w:rsidRPr="00A34F10">
        <w:rPr>
          <w:bCs/>
          <w:szCs w:val="24"/>
          <w:lang w:val="x-none"/>
        </w:rPr>
        <w:t>concentration range</w:t>
      </w:r>
      <w:r w:rsidRPr="00A34F10">
        <w:rPr>
          <w:bCs/>
          <w:szCs w:val="24"/>
        </w:rPr>
        <w:t>.</w:t>
      </w:r>
    </w:p>
    <w:p w14:paraId="28FFEF36" w14:textId="77777777" w:rsidR="00DC5685" w:rsidRPr="00A34F10" w:rsidRDefault="00DC5685" w:rsidP="00DC5685">
      <w:pPr>
        <w:tabs>
          <w:tab w:val="left" w:pos="720"/>
        </w:tabs>
        <w:spacing w:after="240"/>
        <w:jc w:val="both"/>
        <w:rPr>
          <w:szCs w:val="24"/>
          <w:highlight w:val="yellow"/>
          <w:lang w:val="en-GB"/>
        </w:rPr>
      </w:pPr>
      <w:r w:rsidRPr="00A34F10">
        <w:rPr>
          <w:szCs w:val="24"/>
          <w:lang w:val="x-none"/>
        </w:rPr>
        <w:t>The test was started (0 hours) by inoculation of a biomass of nominal</w:t>
      </w:r>
      <w:r w:rsidRPr="00A34F10">
        <w:rPr>
          <w:szCs w:val="24"/>
        </w:rPr>
        <w:t xml:space="preserve"> </w:t>
      </w:r>
      <w:r w:rsidRPr="00A34F10">
        <w:rPr>
          <w:szCs w:val="24"/>
          <w:lang w:val="x-none"/>
        </w:rPr>
        <w:t>5000 algal cells per mL test medium. These cells were taken from an</w:t>
      </w:r>
      <w:r w:rsidRPr="00A34F10">
        <w:rPr>
          <w:szCs w:val="24"/>
        </w:rPr>
        <w:t xml:space="preserve"> </w:t>
      </w:r>
      <w:r w:rsidRPr="00A34F10">
        <w:rPr>
          <w:szCs w:val="24"/>
          <w:lang w:val="x-none"/>
        </w:rPr>
        <w:t xml:space="preserve">exponentially growing pre-culture, which was set up 3 </w:t>
      </w:r>
      <w:r w:rsidRPr="00A34F10">
        <w:rPr>
          <w:szCs w:val="24"/>
        </w:rPr>
        <w:t xml:space="preserve">to 4 </w:t>
      </w:r>
      <w:r w:rsidRPr="00A34F10">
        <w:rPr>
          <w:szCs w:val="24"/>
          <w:lang w:val="x-none"/>
        </w:rPr>
        <w:t>days prior to</w:t>
      </w:r>
      <w:r w:rsidRPr="00A34F10">
        <w:rPr>
          <w:szCs w:val="24"/>
        </w:rPr>
        <w:t xml:space="preserve"> </w:t>
      </w:r>
      <w:r w:rsidRPr="00A34F10">
        <w:rPr>
          <w:szCs w:val="24"/>
          <w:lang w:val="x-none"/>
        </w:rPr>
        <w:t>the test start under the same conditions as in the test.</w:t>
      </w:r>
      <w:r w:rsidRPr="00A34F10">
        <w:rPr>
          <w:szCs w:val="24"/>
        </w:rPr>
        <w:t xml:space="preserve"> </w:t>
      </w:r>
      <w:r w:rsidRPr="00A34F10">
        <w:rPr>
          <w:szCs w:val="24"/>
          <w:lang w:val="x-none"/>
        </w:rPr>
        <w:t>Volumes of 50</w:t>
      </w:r>
      <w:r w:rsidRPr="00A34F10">
        <w:rPr>
          <w:szCs w:val="24"/>
        </w:rPr>
        <w:t xml:space="preserve"> </w:t>
      </w:r>
      <w:r w:rsidRPr="00A34F10">
        <w:rPr>
          <w:szCs w:val="24"/>
          <w:lang w:val="x-none"/>
        </w:rPr>
        <w:t>mL of algal</w:t>
      </w:r>
      <w:r w:rsidRPr="00A34F10">
        <w:rPr>
          <w:szCs w:val="24"/>
        </w:rPr>
        <w:t xml:space="preserve"> </w:t>
      </w:r>
      <w:r w:rsidRPr="00A34F10">
        <w:rPr>
          <w:szCs w:val="24"/>
          <w:lang w:val="x-none"/>
        </w:rPr>
        <w:t>suspension per replicate were placed in an incubator in 100 mL Erlenmeyer flasks on a pivoted bogie which turns around and induces shaking by regular sudden stops.</w:t>
      </w:r>
      <w:r w:rsidRPr="00A34F10">
        <w:rPr>
          <w:szCs w:val="24"/>
        </w:rPr>
        <w:t xml:space="preserve"> Ten replicates were used for the control and five for each test item concentration.</w:t>
      </w:r>
      <w:r w:rsidRPr="00A34F10">
        <w:rPr>
          <w:szCs w:val="24"/>
          <w:lang w:val="x-none"/>
        </w:rPr>
        <w:t xml:space="preserve"> </w:t>
      </w:r>
      <w:r w:rsidRPr="00A34F10">
        <w:rPr>
          <w:szCs w:val="24"/>
        </w:rPr>
        <w:t>The duration of this dose-response test was 72 hours.</w:t>
      </w:r>
    </w:p>
    <w:p w14:paraId="7D88A06A" w14:textId="77777777" w:rsidR="00DC5685" w:rsidRPr="00A34F10" w:rsidRDefault="00DC5685" w:rsidP="00E05ECD">
      <w:pPr>
        <w:numPr>
          <w:ilvl w:val="0"/>
          <w:numId w:val="35"/>
        </w:numPr>
        <w:spacing w:before="240"/>
        <w:ind w:left="284" w:hanging="284"/>
        <w:contextualSpacing/>
        <w:rPr>
          <w:b/>
          <w:bCs/>
          <w:szCs w:val="24"/>
          <w:lang w:val="en-GB"/>
        </w:rPr>
      </w:pPr>
      <w:r w:rsidRPr="00A34F10">
        <w:rPr>
          <w:b/>
          <w:bCs/>
          <w:szCs w:val="24"/>
          <w:lang w:val="en-GB"/>
        </w:rPr>
        <w:t xml:space="preserve">Dose preparation: </w:t>
      </w:r>
    </w:p>
    <w:p w14:paraId="7D7EEC61" w14:textId="77777777" w:rsidR="00DC5685" w:rsidRDefault="00DC5685" w:rsidP="003347E3">
      <w:pPr>
        <w:spacing w:before="240" w:after="240"/>
        <w:contextualSpacing/>
        <w:jc w:val="both"/>
        <w:rPr>
          <w:szCs w:val="24"/>
          <w:lang w:val="x-none"/>
        </w:rPr>
      </w:pPr>
      <w:r w:rsidRPr="00A34F10">
        <w:rPr>
          <w:szCs w:val="24"/>
          <w:lang w:val="x-none"/>
        </w:rPr>
        <w:t xml:space="preserve">The necessary amount of test item for preparing the </w:t>
      </w:r>
      <w:r w:rsidRPr="00A34F10">
        <w:rPr>
          <w:szCs w:val="24"/>
        </w:rPr>
        <w:t xml:space="preserve">100 mg/L </w:t>
      </w:r>
      <w:r w:rsidRPr="00A34F10">
        <w:rPr>
          <w:szCs w:val="24"/>
          <w:lang w:val="x-none"/>
        </w:rPr>
        <w:t xml:space="preserve">stock solution was weighed into a vial. Test medium was added and the solution was homogenised by shaking. Lower concentrated stock solutions were prepared by dilution of appropriate solutions with test medium. In this process a stock solution for each test item concentration was produced. Stock solutions appeared to be turbid, additionally in the stock solutions </w:t>
      </w:r>
      <w:r w:rsidRPr="00A34F10">
        <w:rPr>
          <w:szCs w:val="24"/>
        </w:rPr>
        <w:t>of concentrations from 9.77 mg/L upwards,</w:t>
      </w:r>
      <w:r w:rsidRPr="00A34F10">
        <w:rPr>
          <w:szCs w:val="24"/>
          <w:lang w:val="x-none"/>
        </w:rPr>
        <w:t xml:space="preserve"> frothing was observed. For the preparation of the test solutions, defined volumes of the prepared stock solutions were added to test medium followed by homogenization by shaking. </w:t>
      </w:r>
      <w:r w:rsidRPr="00A34F10">
        <w:rPr>
          <w:szCs w:val="24"/>
        </w:rPr>
        <w:t>The highest t</w:t>
      </w:r>
      <w:r w:rsidRPr="00A34F10">
        <w:rPr>
          <w:szCs w:val="24"/>
          <w:lang w:val="x-none"/>
        </w:rPr>
        <w:t>est solution</w:t>
      </w:r>
      <w:r w:rsidRPr="00A34F10">
        <w:rPr>
          <w:szCs w:val="24"/>
        </w:rPr>
        <w:t xml:space="preserve"> </w:t>
      </w:r>
      <w:r w:rsidRPr="00A34F10">
        <w:rPr>
          <w:szCs w:val="24"/>
          <w:lang w:val="x-none"/>
        </w:rPr>
        <w:t xml:space="preserve">was observed to be turbid, </w:t>
      </w:r>
      <w:r w:rsidRPr="00A34F10">
        <w:rPr>
          <w:szCs w:val="24"/>
          <w:lang w:val="en-GB"/>
        </w:rPr>
        <w:t xml:space="preserve">the test item concentration of </w:t>
      </w:r>
      <w:r w:rsidRPr="00A34F10">
        <w:rPr>
          <w:szCs w:val="24"/>
        </w:rPr>
        <w:t>31.3 mg/L</w:t>
      </w:r>
      <w:r w:rsidRPr="00A34F10">
        <w:rPr>
          <w:szCs w:val="24"/>
          <w:lang w:val="x-none"/>
        </w:rPr>
        <w:t xml:space="preserve"> was observed to be lightly turbid and </w:t>
      </w:r>
      <w:r w:rsidRPr="00A34F10">
        <w:rPr>
          <w:szCs w:val="24"/>
        </w:rPr>
        <w:t xml:space="preserve">all lower concentrations </w:t>
      </w:r>
      <w:r w:rsidRPr="00A34F10">
        <w:rPr>
          <w:szCs w:val="24"/>
          <w:lang w:val="x-none"/>
        </w:rPr>
        <w:t>were clear and transparent. All stock and test solutions were prepared with AAP-medium containing algae cells with a target density of 0.5 × 10</w:t>
      </w:r>
      <w:r w:rsidRPr="00A34F10">
        <w:rPr>
          <w:szCs w:val="24"/>
          <w:vertAlign w:val="superscript"/>
          <w:lang w:val="x-none"/>
        </w:rPr>
        <w:t>4</w:t>
      </w:r>
      <w:r w:rsidRPr="00A34F10">
        <w:rPr>
          <w:szCs w:val="24"/>
          <w:lang w:val="x-none"/>
        </w:rPr>
        <w:t xml:space="preserve"> cells per mL. </w:t>
      </w:r>
    </w:p>
    <w:p w14:paraId="193A9673" w14:textId="77777777" w:rsidR="003347E3" w:rsidRPr="00A34F10" w:rsidRDefault="003347E3" w:rsidP="003347E3">
      <w:pPr>
        <w:spacing w:before="240" w:after="240"/>
        <w:contextualSpacing/>
        <w:jc w:val="both"/>
        <w:rPr>
          <w:szCs w:val="24"/>
          <w:lang w:val="x-none"/>
        </w:rPr>
      </w:pPr>
    </w:p>
    <w:p w14:paraId="5963A84D" w14:textId="77777777" w:rsidR="00DC5685" w:rsidRPr="00A34F10" w:rsidRDefault="00DC5685" w:rsidP="003347E3">
      <w:pPr>
        <w:numPr>
          <w:ilvl w:val="0"/>
          <w:numId w:val="35"/>
        </w:numPr>
        <w:spacing w:before="240"/>
        <w:ind w:left="284" w:hanging="284"/>
        <w:contextualSpacing/>
        <w:rPr>
          <w:b/>
          <w:bCs/>
          <w:szCs w:val="24"/>
          <w:lang w:val="en-GB"/>
        </w:rPr>
      </w:pPr>
      <w:r w:rsidRPr="00A34F10">
        <w:rPr>
          <w:b/>
          <w:bCs/>
          <w:szCs w:val="24"/>
          <w:lang w:val="en-GB"/>
        </w:rPr>
        <w:t xml:space="preserve">Measurements and observations: </w:t>
      </w:r>
    </w:p>
    <w:p w14:paraId="5F3C667D"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2B34C56B" w14:textId="77777777" w:rsidR="00DC5685" w:rsidRPr="00A34F10" w:rsidRDefault="00DC5685" w:rsidP="00DC5685">
      <w:pPr>
        <w:tabs>
          <w:tab w:val="left" w:pos="720"/>
        </w:tabs>
        <w:jc w:val="both"/>
        <w:rPr>
          <w:bCs/>
          <w:szCs w:val="24"/>
          <w:lang w:val="en-GB"/>
        </w:rPr>
      </w:pPr>
      <w:r w:rsidRPr="00A34F10">
        <w:rPr>
          <w:bCs/>
          <w:szCs w:val="24"/>
          <w:lang w:val="en-GB"/>
        </w:rPr>
        <w:t xml:space="preserve">At test start, the number of cells in each control replicate was determined in duplicate. At defined time periods (24, 48 and 72 hours), the number of cells in each replicate was determined in duplicate by fluorescence measurement. The fluorescence measurements were performed with a fluorescence microplate reader with an emission wavelength of 670 nm and evaluated with Tecan i-control (Software for Tecan </w:t>
      </w:r>
      <w:r w:rsidRPr="00A34F10">
        <w:rPr>
          <w:bCs/>
          <w:szCs w:val="24"/>
          <w:lang w:val="en-GB"/>
        </w:rPr>
        <w:lastRenderedPageBreak/>
        <w:t xml:space="preserve">Readers Tecan i-control, 2.0.10.0). By the means of a calibration curve, where fluorescence signals were plotted versus cell numbers, the cell numbers were derived from the fluorescence signals. To establish a calibration curve, the cell numbers were counted with a Neubauer chamber after preparation of a dilution series of a logarithmic growing </w:t>
      </w:r>
      <w:r w:rsidRPr="00A34F10">
        <w:rPr>
          <w:bCs/>
          <w:i/>
          <w:iCs/>
          <w:szCs w:val="24"/>
          <w:lang w:val="en-GB"/>
        </w:rPr>
        <w:t>Pseudokirchneriella subcapitata</w:t>
      </w:r>
      <w:r w:rsidRPr="00A34F10">
        <w:rPr>
          <w:bCs/>
          <w:szCs w:val="24"/>
          <w:lang w:val="en-GB"/>
        </w:rPr>
        <w:t xml:space="preserve"> culture. Additionally, the morphological appearance of the algae cells was assessed microscopically at the end of the test.</w:t>
      </w:r>
    </w:p>
    <w:p w14:paraId="228664F4" w14:textId="77777777" w:rsidR="00DC5685" w:rsidRPr="00A34F10" w:rsidRDefault="00DC5685" w:rsidP="00DC5685">
      <w:pPr>
        <w:tabs>
          <w:tab w:val="left" w:pos="720"/>
        </w:tabs>
        <w:jc w:val="both"/>
        <w:rPr>
          <w:bCs/>
          <w:szCs w:val="24"/>
          <w:lang w:val="en-GB"/>
        </w:rPr>
      </w:pPr>
    </w:p>
    <w:p w14:paraId="18DB9845"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3B6D4850" w14:textId="77777777" w:rsidR="00DC5685" w:rsidRPr="00A34F10" w:rsidRDefault="00DC5685" w:rsidP="00DC5685">
      <w:pPr>
        <w:tabs>
          <w:tab w:val="left" w:pos="720"/>
        </w:tabs>
        <w:jc w:val="both"/>
        <w:rPr>
          <w:szCs w:val="24"/>
          <w:lang w:val="x-none"/>
        </w:rPr>
      </w:pPr>
      <w:r w:rsidRPr="00A34F10">
        <w:rPr>
          <w:szCs w:val="24"/>
          <w:lang w:val="x-none"/>
        </w:rPr>
        <w:t xml:space="preserve">Measurements of pH-value were performed at </w:t>
      </w:r>
      <w:r w:rsidRPr="00A34F10">
        <w:rPr>
          <w:szCs w:val="24"/>
        </w:rPr>
        <w:t>test start and test end</w:t>
      </w:r>
      <w:r w:rsidRPr="00A34F10">
        <w:rPr>
          <w:szCs w:val="24"/>
          <w:lang w:val="x-none"/>
        </w:rPr>
        <w:t>, the temperature was measured continuously and recorded at 0, 24, 48 and 72 hours. The light intensity of all positions of the incubator is measured once a year and was confirmed for one representative position at test start. Appearance of test solution was assessed and documented on a daily basis.</w:t>
      </w:r>
    </w:p>
    <w:p w14:paraId="6A7BF635" w14:textId="77777777" w:rsidR="00DC5685" w:rsidRPr="00A34F10" w:rsidRDefault="00DC5685" w:rsidP="00DC5685">
      <w:pPr>
        <w:tabs>
          <w:tab w:val="left" w:pos="720"/>
        </w:tabs>
        <w:jc w:val="both"/>
        <w:rPr>
          <w:szCs w:val="24"/>
          <w:lang w:val="en-GB"/>
        </w:rPr>
      </w:pPr>
    </w:p>
    <w:p w14:paraId="30A14498" w14:textId="77777777" w:rsidR="00DC5685" w:rsidRPr="00A34F10" w:rsidRDefault="00DC5685" w:rsidP="00DC5685">
      <w:pPr>
        <w:tabs>
          <w:tab w:val="left" w:pos="720"/>
        </w:tabs>
        <w:jc w:val="both"/>
        <w:rPr>
          <w:szCs w:val="24"/>
          <w:u w:val="single"/>
          <w:lang w:val="en-GB"/>
        </w:rPr>
      </w:pPr>
      <w:r w:rsidRPr="00A34F10">
        <w:rPr>
          <w:szCs w:val="24"/>
          <w:u w:val="single"/>
          <w:lang w:val="en-GB"/>
        </w:rPr>
        <w:t>Analytical verification:</w:t>
      </w:r>
    </w:p>
    <w:p w14:paraId="35D13FEE" w14:textId="77777777" w:rsidR="00DC5685" w:rsidRPr="00A34F10" w:rsidRDefault="00DC5685" w:rsidP="00DC5685">
      <w:pPr>
        <w:tabs>
          <w:tab w:val="left" w:pos="720"/>
        </w:tabs>
        <w:jc w:val="both"/>
        <w:rPr>
          <w:szCs w:val="24"/>
          <w:lang w:val="en-GB"/>
        </w:rPr>
      </w:pPr>
      <w:r w:rsidRPr="00A34F10">
        <w:rPr>
          <w:szCs w:val="24"/>
          <w:lang w:val="en-GB"/>
        </w:rPr>
        <w:t>Analytical samples including retain samples were taken in the main test at 0 hours from fresh test solutions and after 24 hours and 72 hours from aged test solutions from all test item concentrations and control. For each sampling also two retain samples were taken. Additional samples were taken from the stock solution at test start. All samples were stored deep frozen (≤ -18 °C) until they were transferred to the analytical laboratory.</w:t>
      </w:r>
    </w:p>
    <w:p w14:paraId="378E5697" w14:textId="77777777" w:rsidR="00DC5685" w:rsidRPr="00A34F10" w:rsidRDefault="00DC5685" w:rsidP="00DC5685">
      <w:pPr>
        <w:tabs>
          <w:tab w:val="left" w:pos="720"/>
        </w:tabs>
        <w:jc w:val="both"/>
        <w:rPr>
          <w:szCs w:val="24"/>
          <w:lang w:val="en-GB"/>
        </w:rPr>
      </w:pPr>
    </w:p>
    <w:p w14:paraId="6A9CC37B" w14:textId="77777777" w:rsidR="00DC5685" w:rsidRPr="00A34F10" w:rsidRDefault="00DC5685" w:rsidP="00DC5685">
      <w:pPr>
        <w:tabs>
          <w:tab w:val="left" w:pos="720"/>
        </w:tabs>
        <w:jc w:val="both"/>
        <w:rPr>
          <w:szCs w:val="24"/>
          <w:lang w:val="en-GB"/>
        </w:rPr>
      </w:pPr>
      <w:r w:rsidRPr="00A34F10">
        <w:rPr>
          <w:szCs w:val="24"/>
          <w:lang w:val="en-GB"/>
        </w:rPr>
        <w:t xml:space="preserve">The analytical verification of test item concentrations in test solutions was done by analysing the content of ametoctradin and propamocarb in the samples taken during the test. The content of the analytes in the test solution samples was determined by analysing with HPLC-MS/MS. The analytical method was fully validated in accordance with the requirements of Guidance Document SANTE/2020/12830 Rev. 1 (2021). </w:t>
      </w:r>
    </w:p>
    <w:p w14:paraId="1B0443B7" w14:textId="77777777" w:rsidR="00DC5685" w:rsidRPr="00A34F10" w:rsidRDefault="00DC5685" w:rsidP="00DC5685">
      <w:pPr>
        <w:spacing w:before="240"/>
        <w:contextualSpacing/>
        <w:rPr>
          <w:b/>
          <w:bCs/>
          <w:szCs w:val="24"/>
          <w:highlight w:val="yellow"/>
          <w:lang w:val="en-GB"/>
        </w:rPr>
      </w:pPr>
    </w:p>
    <w:p w14:paraId="0DA68AE4" w14:textId="77777777" w:rsidR="00DC5685" w:rsidRPr="00A34F10" w:rsidRDefault="00DC5685" w:rsidP="00E05ECD">
      <w:pPr>
        <w:numPr>
          <w:ilvl w:val="0"/>
          <w:numId w:val="35"/>
        </w:numPr>
        <w:spacing w:before="240"/>
        <w:ind w:left="284" w:hanging="284"/>
        <w:contextualSpacing/>
        <w:rPr>
          <w:b/>
          <w:bCs/>
          <w:szCs w:val="24"/>
          <w:lang w:val="en-GB"/>
        </w:rPr>
      </w:pPr>
      <w:r w:rsidRPr="00A34F10">
        <w:rPr>
          <w:b/>
          <w:bCs/>
          <w:szCs w:val="24"/>
          <w:lang w:val="en-GB"/>
        </w:rPr>
        <w:t xml:space="preserve">Statistical analysis: </w:t>
      </w:r>
    </w:p>
    <w:p w14:paraId="492B0446" w14:textId="77777777" w:rsidR="00DC5685" w:rsidRPr="00A34F10" w:rsidRDefault="00DC5685" w:rsidP="00DC5685">
      <w:pPr>
        <w:spacing w:after="240"/>
        <w:ind w:right="57"/>
        <w:jc w:val="both"/>
        <w:rPr>
          <w:bCs/>
          <w:highlight w:val="yellow"/>
          <w:lang w:val="x-none"/>
        </w:rPr>
      </w:pPr>
      <w:r w:rsidRPr="00A34F10">
        <w:rPr>
          <w:bCs/>
          <w:lang w:val="x-none"/>
        </w:rPr>
        <w:t>The NOEC and LOEC were determined by using a multiple comparison method (Dunnetts-t-test, left sided, for growth rate and yield). Due to a weak concentration response relation and since the inhibition was below 50 % at the highest test item concentration for both growth rate and yield, the data was inappropriate for statistical determination of the EC</w:t>
      </w:r>
      <w:r w:rsidRPr="00A34F10">
        <w:rPr>
          <w:bCs/>
          <w:vertAlign w:val="subscript"/>
          <w:lang w:val="en-GB"/>
        </w:rPr>
        <w:t>x</w:t>
      </w:r>
      <w:r w:rsidRPr="00A34F10">
        <w:rPr>
          <w:bCs/>
          <w:lang w:val="x-none"/>
        </w:rPr>
        <w:t>-values</w:t>
      </w:r>
      <w:r w:rsidRPr="00A34F10">
        <w:rPr>
          <w:bCs/>
        </w:rPr>
        <w:t xml:space="preserve">. </w:t>
      </w:r>
      <w:r w:rsidRPr="00A34F10">
        <w:rPr>
          <w:bCs/>
          <w:lang w:val="x-none"/>
        </w:rPr>
        <w:t>The software used to perform the statistical analysis was ToxRat</w:t>
      </w:r>
      <w:r w:rsidRPr="00A34F10">
        <w:rPr>
          <w:bCs/>
          <w:lang w:val="en-GB"/>
        </w:rPr>
        <w:t xml:space="preserve"> </w:t>
      </w:r>
      <w:r w:rsidRPr="00A34F10">
        <w:rPr>
          <w:bCs/>
          <w:lang w:val="x-none"/>
        </w:rPr>
        <w:t>Professional, Version 3.</w:t>
      </w:r>
      <w:r w:rsidRPr="00A34F10">
        <w:rPr>
          <w:bCs/>
        </w:rPr>
        <w:t>3.0</w:t>
      </w:r>
      <w:r w:rsidRPr="00A34F10">
        <w:rPr>
          <w:bCs/>
          <w:lang w:val="x-none"/>
        </w:rPr>
        <w:t>, ToxRat® Solutions GmbH.</w:t>
      </w:r>
    </w:p>
    <w:p w14:paraId="124FDB28" w14:textId="77777777" w:rsidR="00DC5685" w:rsidRPr="00A34F10" w:rsidRDefault="00DC5685" w:rsidP="00E05ECD">
      <w:pPr>
        <w:widowControl w:val="0"/>
        <w:numPr>
          <w:ilvl w:val="0"/>
          <w:numId w:val="35"/>
        </w:numPr>
        <w:spacing w:before="240" w:after="240"/>
        <w:ind w:left="284" w:hanging="284"/>
        <w:contextualSpacing/>
        <w:jc w:val="both"/>
        <w:rPr>
          <w:b/>
          <w:bCs/>
          <w:lang w:val="en-GB"/>
        </w:rPr>
      </w:pPr>
      <w:r w:rsidRPr="00A34F10">
        <w:rPr>
          <w:b/>
          <w:bCs/>
          <w:szCs w:val="24"/>
          <w:lang w:val="en-GB"/>
        </w:rPr>
        <w:t>Description of the analytical procedures</w:t>
      </w:r>
    </w:p>
    <w:p w14:paraId="1C974C53" w14:textId="2D1D9A64" w:rsidR="00DC5685" w:rsidRDefault="00482794" w:rsidP="00DC5685">
      <w:pPr>
        <w:widowControl w:val="0"/>
        <w:spacing w:before="240" w:after="240"/>
        <w:contextualSpacing/>
        <w:jc w:val="both"/>
        <w:rPr>
          <w:lang w:val="en-GB"/>
        </w:rPr>
      </w:pPr>
      <w:r>
        <w:rPr>
          <w:lang w:val="en-GB"/>
        </w:rPr>
        <w:t>XXXX</w:t>
      </w:r>
      <w:r w:rsidR="00DC5685" w:rsidRPr="00A34F10">
        <w:rPr>
          <w:lang w:val="en-GB"/>
        </w:rPr>
        <w:t xml:space="preserve"> analytical method APL0500/02 was modified for the analysis of ametoctradin and propamocarb. Sample analysis was performed by dilution of the sample with 50 µL formic acid and the equal amount of acetonitrile. Subsequently, the samples were diluted with acetonitrile/test medium + 0.5 % formic acid (1:1, v/v) to be within the range of the calibration curve. Final determination was accomplished by LC-MS/MS. The method has a limit of quantification (LOQ) of 1.20 ng/mL ametoctradin (corresponding to 0.0122 mg ametoctradin/L) and 3.60 ng/mL propamocarb (corresponding to 0.0381 mg propamocarb/L). The limit of detection (LOD) is of 0.360 ng/mL Ametoctradin (corresponding to 0.00360 mg ametoctradin/L) and 1.08 ng/mL propamocarb (corresponding to 0.0108 mg propamocarb/L).</w:t>
      </w:r>
    </w:p>
    <w:p w14:paraId="6361636D" w14:textId="77777777" w:rsidR="003347E3" w:rsidRPr="00A34F10" w:rsidRDefault="003347E3" w:rsidP="00DC5685">
      <w:pPr>
        <w:widowControl w:val="0"/>
        <w:spacing w:before="240" w:after="240"/>
        <w:contextualSpacing/>
        <w:jc w:val="both"/>
        <w:rPr>
          <w:lang w:val="en-GB"/>
        </w:rPr>
      </w:pPr>
    </w:p>
    <w:p w14:paraId="099B86F0" w14:textId="77777777" w:rsidR="00DC5685" w:rsidRPr="00A34F10" w:rsidRDefault="00DC5685" w:rsidP="00DC5685">
      <w:pPr>
        <w:widowControl w:val="0"/>
        <w:spacing w:before="240" w:after="240"/>
        <w:contextualSpacing/>
        <w:jc w:val="both"/>
      </w:pPr>
      <w:r w:rsidRPr="00A34F10">
        <w:t>Results of the validation and procedural recovery experiments obtained during analysis of showed that the recovery efficiency and repeatability was within the acceptable range of 70% to 120% of the intended concentrations for analyte BAS 743 02 F, with relative standard deviations RSD &lt; 20%. No significant peak interferences occurred at the retention time and mass transitions of BAS 743 02 F. For ametoctradin, overall recoveries ranged from 89% to 103% for all fortification levels. For propamocarb, overall recoveries ranged from 101% to 111% for all fortification levels. The results obtained from measurements of the untreated control samples were below the LOD. Matrix-matched calibration standards were used for procedural recovery experiments and residue analysis.</w:t>
      </w:r>
    </w:p>
    <w:p w14:paraId="2E945F42" w14:textId="77777777" w:rsidR="00DC5685" w:rsidRPr="00A34F10" w:rsidRDefault="00DC5685" w:rsidP="00DC5685">
      <w:pPr>
        <w:widowControl w:val="0"/>
        <w:spacing w:before="240" w:after="240"/>
        <w:contextualSpacing/>
        <w:jc w:val="both"/>
      </w:pPr>
    </w:p>
    <w:p w14:paraId="0D17380D" w14:textId="77777777" w:rsidR="00DC5685" w:rsidRPr="00A34F10" w:rsidRDefault="00DC5685" w:rsidP="00DC5685">
      <w:pPr>
        <w:widowControl w:val="0"/>
        <w:spacing w:before="240" w:after="240"/>
        <w:contextualSpacing/>
        <w:jc w:val="both"/>
      </w:pPr>
      <w:r w:rsidRPr="00A34F10">
        <w:t>The storage stabilities of ametoctradin and propamocarb were investigated by fortification of at least six untreated test medium with the test item. Three of the samples were analyzed on the day of fortification (day 0). The other fortified samples were stored frozen (≤ 18°C). After 15 days of storage, three samples were analyzed. This time period covers the longest storage period of samples of 12 days for test medium. The results show that both ametoctradin and propamocarb were stable under deep-frozen conditions (≤ 18 °C) in test medium for at least 15 days.</w:t>
      </w:r>
    </w:p>
    <w:p w14:paraId="4ECE12BA" w14:textId="77777777" w:rsidR="00DC5685" w:rsidRPr="00A34F10" w:rsidRDefault="00DC5685" w:rsidP="00DC5685">
      <w:pPr>
        <w:widowControl w:val="0"/>
        <w:spacing w:before="240" w:after="240"/>
        <w:contextualSpacing/>
        <w:jc w:val="both"/>
      </w:pPr>
    </w:p>
    <w:p w14:paraId="52B158C3" w14:textId="3AD75A41" w:rsidR="00DC5685" w:rsidRPr="00A34F10" w:rsidRDefault="00DC5685" w:rsidP="00DC5685">
      <w:pPr>
        <w:widowControl w:val="0"/>
        <w:tabs>
          <w:tab w:val="left" w:pos="720"/>
        </w:tabs>
        <w:spacing w:after="240"/>
        <w:jc w:val="both"/>
        <w:rPr>
          <w:lang w:val="en-GB"/>
        </w:rPr>
      </w:pPr>
      <w:r w:rsidRPr="00A34F10">
        <w:rPr>
          <w:lang w:val="x-none"/>
        </w:rPr>
        <w:t xml:space="preserve">The validity criteria </w:t>
      </w:r>
      <w:r w:rsidRPr="00A34F10">
        <w:rPr>
          <w:lang w:val="en-GB"/>
        </w:rPr>
        <w:t xml:space="preserve">(specificity, linearity, accuracy and precision) </w:t>
      </w:r>
      <w:r w:rsidRPr="00A34F10">
        <w:rPr>
          <w:lang w:val="x-none"/>
        </w:rPr>
        <w:t>for the analytical method have been met according to</w:t>
      </w:r>
      <w:r w:rsidRPr="00A34F10">
        <w:rPr>
          <w:lang w:val="en-GB"/>
        </w:rPr>
        <w:t xml:space="preserve"> </w:t>
      </w:r>
      <w:r w:rsidRPr="00A34F10">
        <w:rPr>
          <w:lang w:val="x-none"/>
        </w:rPr>
        <w:t>SANTE/2020/12830 Rev</w:t>
      </w:r>
      <w:r w:rsidRPr="00A34F10">
        <w:rPr>
          <w:lang w:val="en-GB"/>
        </w:rPr>
        <w:t>.</w:t>
      </w:r>
    </w:p>
    <w:p w14:paraId="78A71FF5" w14:textId="1C5F8AB4" w:rsidR="00DC5685" w:rsidRPr="00A34F10" w:rsidRDefault="00EA3876" w:rsidP="00EA3876">
      <w:pPr>
        <w:pStyle w:val="Legenda"/>
        <w:rPr>
          <w:highlight w:val="yellow"/>
          <w:lang w:val="x-none" w:eastAsia="zh-CN"/>
        </w:rPr>
      </w:pPr>
      <w:r>
        <w:t xml:space="preserve">Table A </w:t>
      </w:r>
      <w:r>
        <w:fldChar w:fldCharType="begin"/>
      </w:r>
      <w:r>
        <w:instrText xml:space="preserve"> SEQ Table_A \* ARABIC </w:instrText>
      </w:r>
      <w:r>
        <w:fldChar w:fldCharType="separate"/>
      </w:r>
      <w:r w:rsidR="006F0F3B">
        <w:rPr>
          <w:noProof/>
        </w:rPr>
        <w:t>18</w:t>
      </w:r>
      <w:r>
        <w:fldChar w:fldCharType="end"/>
      </w:r>
      <w:r w:rsidR="00E83096" w:rsidRPr="00A34F10">
        <w:t>:</w:t>
      </w:r>
      <w:r w:rsidR="00DC5685" w:rsidRPr="00A34F10">
        <w:tab/>
      </w:r>
      <w:r w:rsidR="00DC5685" w:rsidRPr="00A34F10">
        <w:rPr>
          <w:lang w:eastAsia="zh-CN"/>
        </w:rPr>
        <w:t>Procedural recoveries for ametoctradin and propamocarb</w:t>
      </w:r>
      <w:r w:rsidR="00DC5685" w:rsidRPr="00A34F10">
        <w:rPr>
          <w:lang w:val="x-none" w:eastAsia="zh-CN"/>
        </w:rPr>
        <w:t xml:space="preserve"> applied as BAS </w:t>
      </w:r>
      <w:r w:rsidR="00DC5685" w:rsidRPr="00A34F10">
        <w:rPr>
          <w:lang w:eastAsia="zh-CN"/>
        </w:rPr>
        <w:t>743 02 F</w:t>
      </w:r>
      <w:r w:rsidR="00DC5685" w:rsidRPr="00A34F10">
        <w:rPr>
          <w:lang w:val="x-none" w:eastAsia="zh-CN"/>
        </w:rPr>
        <w:t xml:space="preserve"> in</w:t>
      </w:r>
      <w:r w:rsidR="00DC5685" w:rsidRPr="00A34F10">
        <w:rPr>
          <w:lang w:eastAsia="zh-CN"/>
        </w:rPr>
        <w:t xml:space="preserve"> </w:t>
      </w:r>
      <w:r w:rsidR="00DC5685" w:rsidRPr="00A34F10">
        <w:rPr>
          <w:lang w:val="x-none" w:eastAsia="zh-CN"/>
        </w:rPr>
        <w:t>Test Water</w:t>
      </w:r>
    </w:p>
    <w:tbl>
      <w:tblPr>
        <w:tblStyle w:val="Tabela-Siatka"/>
        <w:tblW w:w="5000" w:type="pct"/>
        <w:tblLook w:val="0000" w:firstRow="0" w:lastRow="0" w:firstColumn="0" w:lastColumn="0" w:noHBand="0" w:noVBand="0"/>
      </w:tblPr>
      <w:tblGrid>
        <w:gridCol w:w="1556"/>
        <w:gridCol w:w="1559"/>
        <w:gridCol w:w="512"/>
        <w:gridCol w:w="1955"/>
        <w:gridCol w:w="2203"/>
        <w:gridCol w:w="1559"/>
      </w:tblGrid>
      <w:tr w:rsidR="00DC5685" w:rsidRPr="00A34F10" w14:paraId="57201BA7" w14:textId="77777777" w:rsidTr="000470C3">
        <w:trPr>
          <w:trHeight w:val="624"/>
        </w:trPr>
        <w:tc>
          <w:tcPr>
            <w:tcW w:w="833" w:type="pct"/>
            <w:vAlign w:val="center"/>
          </w:tcPr>
          <w:p w14:paraId="3E81E228" w14:textId="77777777" w:rsidR="00DC5685" w:rsidRPr="00A34F10" w:rsidRDefault="00DC5685" w:rsidP="00DC5685">
            <w:pPr>
              <w:rPr>
                <w:b/>
                <w:bCs/>
                <w:sz w:val="20"/>
                <w:szCs w:val="20"/>
              </w:rPr>
            </w:pPr>
            <w:r w:rsidRPr="00A34F10">
              <w:rPr>
                <w:b/>
                <w:bCs/>
                <w:sz w:val="20"/>
                <w:szCs w:val="20"/>
              </w:rPr>
              <w:t>Analyte</w:t>
            </w:r>
          </w:p>
        </w:tc>
        <w:tc>
          <w:tcPr>
            <w:tcW w:w="834" w:type="pct"/>
            <w:vAlign w:val="center"/>
          </w:tcPr>
          <w:p w14:paraId="17CDDE98" w14:textId="77777777" w:rsidR="00DC5685" w:rsidRPr="00A34F10" w:rsidRDefault="00DC5685" w:rsidP="00DC5685">
            <w:pPr>
              <w:keepNext/>
              <w:keepLines/>
              <w:kinsoku w:val="0"/>
              <w:overflowPunct w:val="0"/>
              <w:autoSpaceDE w:val="0"/>
              <w:autoSpaceDN w:val="0"/>
              <w:adjustRightInd w:val="0"/>
              <w:spacing w:before="20"/>
              <w:rPr>
                <w:sz w:val="20"/>
                <w:szCs w:val="20"/>
              </w:rPr>
            </w:pPr>
            <w:r w:rsidRPr="00A34F10">
              <w:rPr>
                <w:b/>
                <w:bCs/>
                <w:spacing w:val="-1"/>
                <w:sz w:val="20"/>
                <w:szCs w:val="20"/>
              </w:rPr>
              <w:t>Fortification Level (mg/L)</w:t>
            </w:r>
          </w:p>
        </w:tc>
        <w:tc>
          <w:tcPr>
            <w:tcW w:w="274" w:type="pct"/>
            <w:vAlign w:val="center"/>
          </w:tcPr>
          <w:p w14:paraId="4FE11A53" w14:textId="77777777" w:rsidR="00DC5685" w:rsidRPr="00A34F10" w:rsidRDefault="00DC5685" w:rsidP="00DC5685">
            <w:pPr>
              <w:keepNext/>
              <w:keepLines/>
              <w:kinsoku w:val="0"/>
              <w:overflowPunct w:val="0"/>
              <w:autoSpaceDE w:val="0"/>
              <w:autoSpaceDN w:val="0"/>
              <w:adjustRightInd w:val="0"/>
              <w:spacing w:before="20"/>
              <w:rPr>
                <w:b/>
                <w:bCs/>
                <w:sz w:val="20"/>
                <w:szCs w:val="20"/>
              </w:rPr>
            </w:pPr>
            <w:r w:rsidRPr="00A34F10">
              <w:rPr>
                <w:b/>
                <w:bCs/>
                <w:sz w:val="20"/>
                <w:szCs w:val="20"/>
              </w:rPr>
              <w:t>n</w:t>
            </w:r>
          </w:p>
        </w:tc>
        <w:tc>
          <w:tcPr>
            <w:tcW w:w="1046" w:type="pct"/>
            <w:vAlign w:val="center"/>
          </w:tcPr>
          <w:p w14:paraId="09BBC955" w14:textId="77777777" w:rsidR="00DC5685" w:rsidRPr="00A34F10" w:rsidRDefault="00DC5685" w:rsidP="00DC5685">
            <w:pPr>
              <w:keepNext/>
              <w:keepLines/>
              <w:kinsoku w:val="0"/>
              <w:overflowPunct w:val="0"/>
              <w:autoSpaceDE w:val="0"/>
              <w:autoSpaceDN w:val="0"/>
              <w:adjustRightInd w:val="0"/>
              <w:spacing w:before="20"/>
              <w:rPr>
                <w:b/>
                <w:bCs/>
                <w:sz w:val="20"/>
                <w:szCs w:val="20"/>
              </w:rPr>
            </w:pPr>
            <w:r w:rsidRPr="00A34F10">
              <w:rPr>
                <w:b/>
                <w:bCs/>
                <w:sz w:val="20"/>
                <w:szCs w:val="20"/>
              </w:rPr>
              <w:t>Recoveries</w:t>
            </w:r>
            <w:r w:rsidRPr="00A34F10">
              <w:rPr>
                <w:b/>
                <w:bCs/>
                <w:sz w:val="20"/>
                <w:szCs w:val="20"/>
              </w:rPr>
              <w:br/>
              <w:t>(%)</w:t>
            </w:r>
          </w:p>
        </w:tc>
        <w:tc>
          <w:tcPr>
            <w:tcW w:w="1179" w:type="pct"/>
            <w:vAlign w:val="center"/>
          </w:tcPr>
          <w:p w14:paraId="042779EE" w14:textId="77777777" w:rsidR="00DC5685" w:rsidRPr="00A34F10" w:rsidRDefault="00DC5685" w:rsidP="00DC5685">
            <w:pPr>
              <w:keepNext/>
              <w:keepLines/>
              <w:kinsoku w:val="0"/>
              <w:overflowPunct w:val="0"/>
              <w:autoSpaceDE w:val="0"/>
              <w:autoSpaceDN w:val="0"/>
              <w:adjustRightInd w:val="0"/>
              <w:spacing w:before="20"/>
              <w:rPr>
                <w:sz w:val="20"/>
                <w:szCs w:val="20"/>
              </w:rPr>
            </w:pPr>
            <w:r w:rsidRPr="00A34F10">
              <w:rPr>
                <w:b/>
                <w:bCs/>
                <w:sz w:val="20"/>
                <w:szCs w:val="20"/>
              </w:rPr>
              <w:t>Mean</w:t>
            </w:r>
            <w:r w:rsidRPr="00A34F10">
              <w:rPr>
                <w:b/>
                <w:bCs/>
                <w:spacing w:val="13"/>
                <w:sz w:val="20"/>
                <w:szCs w:val="20"/>
              </w:rPr>
              <w:t xml:space="preserve"> </w:t>
            </w:r>
            <w:r w:rsidRPr="00A34F10">
              <w:rPr>
                <w:b/>
                <w:bCs/>
                <w:spacing w:val="-1"/>
                <w:sz w:val="20"/>
                <w:szCs w:val="20"/>
              </w:rPr>
              <w:t>Recovery</w:t>
            </w:r>
            <w:r w:rsidRPr="00A34F10">
              <w:rPr>
                <w:b/>
                <w:bCs/>
                <w:spacing w:val="-1"/>
                <w:sz w:val="20"/>
                <w:szCs w:val="20"/>
              </w:rPr>
              <w:br/>
              <w:t>(%)</w:t>
            </w:r>
          </w:p>
        </w:tc>
        <w:tc>
          <w:tcPr>
            <w:tcW w:w="834" w:type="pct"/>
            <w:vAlign w:val="center"/>
          </w:tcPr>
          <w:p w14:paraId="797D4DD7" w14:textId="77777777" w:rsidR="00DC5685" w:rsidRPr="00A34F10" w:rsidRDefault="00DC5685" w:rsidP="00DC5685">
            <w:pPr>
              <w:keepNext/>
              <w:keepLines/>
              <w:kinsoku w:val="0"/>
              <w:overflowPunct w:val="0"/>
              <w:autoSpaceDE w:val="0"/>
              <w:autoSpaceDN w:val="0"/>
              <w:adjustRightInd w:val="0"/>
              <w:spacing w:before="20"/>
              <w:rPr>
                <w:sz w:val="20"/>
                <w:szCs w:val="20"/>
              </w:rPr>
            </w:pPr>
            <w:r w:rsidRPr="00A34F10">
              <w:rPr>
                <w:b/>
                <w:bCs/>
                <w:spacing w:val="-1"/>
                <w:sz w:val="20"/>
                <w:szCs w:val="20"/>
              </w:rPr>
              <w:t>RSD</w:t>
            </w:r>
            <w:r w:rsidRPr="00A34F10">
              <w:rPr>
                <w:b/>
                <w:bCs/>
                <w:spacing w:val="-1"/>
                <w:sz w:val="20"/>
                <w:szCs w:val="20"/>
              </w:rPr>
              <w:br/>
              <w:t>(%)</w:t>
            </w:r>
          </w:p>
        </w:tc>
      </w:tr>
      <w:tr w:rsidR="00DC5685" w:rsidRPr="00A34F10" w14:paraId="76C5C349" w14:textId="77777777" w:rsidTr="000470C3">
        <w:trPr>
          <w:trHeight w:val="284"/>
        </w:trPr>
        <w:tc>
          <w:tcPr>
            <w:tcW w:w="833" w:type="pct"/>
            <w:vMerge w:val="restart"/>
            <w:vAlign w:val="center"/>
          </w:tcPr>
          <w:p w14:paraId="05D1BAE6" w14:textId="77777777" w:rsidR="00DC5685" w:rsidRPr="00A34F10" w:rsidRDefault="00DC5685" w:rsidP="00DC5685">
            <w:pPr>
              <w:rPr>
                <w:sz w:val="20"/>
                <w:szCs w:val="20"/>
              </w:rPr>
            </w:pPr>
            <w:r w:rsidRPr="00A34F10">
              <w:rPr>
                <w:sz w:val="20"/>
                <w:szCs w:val="20"/>
              </w:rPr>
              <w:t>Ametoctradin</w:t>
            </w:r>
          </w:p>
        </w:tc>
        <w:tc>
          <w:tcPr>
            <w:tcW w:w="834" w:type="pct"/>
            <w:vAlign w:val="center"/>
          </w:tcPr>
          <w:p w14:paraId="59FBCC3D" w14:textId="77777777" w:rsidR="00DC5685" w:rsidRPr="00A34F10" w:rsidRDefault="00DC5685" w:rsidP="00DC5685">
            <w:pPr>
              <w:keepNext/>
              <w:keepLines/>
              <w:autoSpaceDE w:val="0"/>
              <w:autoSpaceDN w:val="0"/>
              <w:adjustRightInd w:val="0"/>
              <w:rPr>
                <w:sz w:val="20"/>
                <w:szCs w:val="20"/>
              </w:rPr>
            </w:pPr>
            <w:r w:rsidRPr="00A34F10">
              <w:rPr>
                <w:sz w:val="20"/>
                <w:szCs w:val="20"/>
              </w:rPr>
              <w:t>Control</w:t>
            </w:r>
          </w:p>
        </w:tc>
        <w:tc>
          <w:tcPr>
            <w:tcW w:w="274" w:type="pct"/>
            <w:vAlign w:val="center"/>
          </w:tcPr>
          <w:p w14:paraId="2BD73354" w14:textId="77777777" w:rsidR="00DC5685" w:rsidRPr="00A34F10" w:rsidRDefault="00DC5685" w:rsidP="00DC5685">
            <w:pPr>
              <w:keepNext/>
              <w:keepLines/>
              <w:autoSpaceDE w:val="0"/>
              <w:autoSpaceDN w:val="0"/>
              <w:adjustRightInd w:val="0"/>
              <w:rPr>
                <w:sz w:val="20"/>
                <w:szCs w:val="20"/>
              </w:rPr>
            </w:pPr>
            <w:r w:rsidRPr="00A34F10">
              <w:rPr>
                <w:sz w:val="20"/>
                <w:szCs w:val="20"/>
              </w:rPr>
              <w:t>2</w:t>
            </w:r>
          </w:p>
        </w:tc>
        <w:tc>
          <w:tcPr>
            <w:tcW w:w="1046" w:type="pct"/>
            <w:vAlign w:val="center"/>
          </w:tcPr>
          <w:p w14:paraId="79D8D7F5" w14:textId="77777777" w:rsidR="00DC5685" w:rsidRPr="00A34F10" w:rsidRDefault="00DC5685" w:rsidP="00DC5685">
            <w:pPr>
              <w:keepNext/>
              <w:keepLines/>
              <w:autoSpaceDE w:val="0"/>
              <w:autoSpaceDN w:val="0"/>
              <w:adjustRightInd w:val="0"/>
              <w:rPr>
                <w:sz w:val="20"/>
                <w:szCs w:val="20"/>
              </w:rPr>
            </w:pPr>
            <w:r w:rsidRPr="00A34F10">
              <w:rPr>
                <w:sz w:val="20"/>
                <w:szCs w:val="20"/>
              </w:rPr>
              <w:t>&lt;LOD</w:t>
            </w:r>
          </w:p>
        </w:tc>
        <w:tc>
          <w:tcPr>
            <w:tcW w:w="1179" w:type="pct"/>
            <w:vAlign w:val="center"/>
          </w:tcPr>
          <w:p w14:paraId="0EE1C5EC" w14:textId="77777777" w:rsidR="00DC5685" w:rsidRPr="00A34F10" w:rsidRDefault="00DC5685" w:rsidP="00DC5685">
            <w:pPr>
              <w:keepNext/>
              <w:keepLines/>
              <w:autoSpaceDE w:val="0"/>
              <w:autoSpaceDN w:val="0"/>
              <w:adjustRightInd w:val="0"/>
              <w:rPr>
                <w:sz w:val="20"/>
                <w:szCs w:val="20"/>
              </w:rPr>
            </w:pPr>
            <w:r w:rsidRPr="00A34F10">
              <w:rPr>
                <w:sz w:val="20"/>
                <w:szCs w:val="20"/>
              </w:rPr>
              <w:t>-</w:t>
            </w:r>
          </w:p>
        </w:tc>
        <w:tc>
          <w:tcPr>
            <w:tcW w:w="834" w:type="pct"/>
            <w:vAlign w:val="center"/>
          </w:tcPr>
          <w:p w14:paraId="0672A237" w14:textId="77777777" w:rsidR="00DC5685" w:rsidRPr="00A34F10" w:rsidRDefault="00DC5685" w:rsidP="00DC5685">
            <w:pPr>
              <w:keepNext/>
              <w:keepLines/>
              <w:kinsoku w:val="0"/>
              <w:overflowPunct w:val="0"/>
              <w:autoSpaceDE w:val="0"/>
              <w:autoSpaceDN w:val="0"/>
              <w:adjustRightInd w:val="0"/>
              <w:rPr>
                <w:sz w:val="20"/>
                <w:szCs w:val="20"/>
              </w:rPr>
            </w:pPr>
            <w:r w:rsidRPr="00A34F10">
              <w:rPr>
                <w:sz w:val="20"/>
                <w:szCs w:val="20"/>
              </w:rPr>
              <w:t>-</w:t>
            </w:r>
          </w:p>
        </w:tc>
      </w:tr>
      <w:tr w:rsidR="00DC5685" w:rsidRPr="00A34F10" w14:paraId="5A73052E" w14:textId="77777777" w:rsidTr="000470C3">
        <w:trPr>
          <w:trHeight w:val="284"/>
        </w:trPr>
        <w:tc>
          <w:tcPr>
            <w:tcW w:w="833" w:type="pct"/>
            <w:vMerge/>
            <w:vAlign w:val="center"/>
          </w:tcPr>
          <w:p w14:paraId="1BE1C746" w14:textId="77777777" w:rsidR="00DC5685" w:rsidRPr="00A34F10" w:rsidRDefault="00DC5685" w:rsidP="00DC5685">
            <w:pPr>
              <w:keepNext/>
              <w:keepLines/>
              <w:autoSpaceDE w:val="0"/>
              <w:autoSpaceDN w:val="0"/>
              <w:adjustRightInd w:val="0"/>
              <w:rPr>
                <w:spacing w:val="-1"/>
                <w:sz w:val="20"/>
                <w:szCs w:val="20"/>
              </w:rPr>
            </w:pPr>
          </w:p>
        </w:tc>
        <w:tc>
          <w:tcPr>
            <w:tcW w:w="834" w:type="pct"/>
            <w:vAlign w:val="center"/>
          </w:tcPr>
          <w:p w14:paraId="3FA696BB" w14:textId="77777777" w:rsidR="00DC5685" w:rsidRPr="00A34F10" w:rsidRDefault="00DC5685" w:rsidP="00DC5685">
            <w:pPr>
              <w:keepNext/>
              <w:keepLines/>
              <w:autoSpaceDE w:val="0"/>
              <w:autoSpaceDN w:val="0"/>
              <w:adjustRightInd w:val="0"/>
              <w:rPr>
                <w:sz w:val="20"/>
                <w:szCs w:val="20"/>
              </w:rPr>
            </w:pPr>
            <w:r w:rsidRPr="00A34F10">
              <w:rPr>
                <w:sz w:val="20"/>
                <w:szCs w:val="20"/>
              </w:rPr>
              <w:t>0.0954</w:t>
            </w:r>
          </w:p>
        </w:tc>
        <w:tc>
          <w:tcPr>
            <w:tcW w:w="274" w:type="pct"/>
            <w:vAlign w:val="center"/>
          </w:tcPr>
          <w:p w14:paraId="74F156A7" w14:textId="77777777" w:rsidR="00DC5685" w:rsidRPr="00A34F10" w:rsidRDefault="00DC5685" w:rsidP="00DC5685">
            <w:pPr>
              <w:keepNext/>
              <w:keepLines/>
              <w:autoSpaceDE w:val="0"/>
              <w:autoSpaceDN w:val="0"/>
              <w:adjustRightInd w:val="0"/>
              <w:rPr>
                <w:sz w:val="20"/>
                <w:szCs w:val="20"/>
              </w:rPr>
            </w:pPr>
            <w:r w:rsidRPr="00A34F10">
              <w:rPr>
                <w:sz w:val="20"/>
                <w:szCs w:val="20"/>
              </w:rPr>
              <w:t>11</w:t>
            </w:r>
          </w:p>
        </w:tc>
        <w:tc>
          <w:tcPr>
            <w:tcW w:w="1046" w:type="pct"/>
            <w:vAlign w:val="center"/>
          </w:tcPr>
          <w:p w14:paraId="699632E3" w14:textId="77777777" w:rsidR="00DC5685" w:rsidRPr="00A34F10" w:rsidRDefault="00DC5685" w:rsidP="00DC5685">
            <w:pPr>
              <w:keepNext/>
              <w:keepLines/>
              <w:autoSpaceDE w:val="0"/>
              <w:autoSpaceDN w:val="0"/>
              <w:adjustRightInd w:val="0"/>
              <w:rPr>
                <w:sz w:val="20"/>
                <w:szCs w:val="20"/>
              </w:rPr>
            </w:pPr>
            <w:r w:rsidRPr="00A34F10">
              <w:rPr>
                <w:sz w:val="20"/>
                <w:szCs w:val="20"/>
              </w:rPr>
              <w:t>69.0, 74.0, 80.0, 93.0, 93.0, 94.0, 97.0, 100, 101, 96.0, 95.0</w:t>
            </w:r>
          </w:p>
        </w:tc>
        <w:tc>
          <w:tcPr>
            <w:tcW w:w="1179" w:type="pct"/>
            <w:vAlign w:val="center"/>
          </w:tcPr>
          <w:p w14:paraId="422B0FCC" w14:textId="77777777" w:rsidR="00DC5685" w:rsidRPr="00A34F10" w:rsidRDefault="00DC5685" w:rsidP="00DC5685">
            <w:pPr>
              <w:keepNext/>
              <w:keepLines/>
              <w:autoSpaceDE w:val="0"/>
              <w:autoSpaceDN w:val="0"/>
              <w:adjustRightInd w:val="0"/>
              <w:rPr>
                <w:sz w:val="20"/>
                <w:szCs w:val="20"/>
              </w:rPr>
            </w:pPr>
            <w:r w:rsidRPr="00A34F10">
              <w:rPr>
                <w:sz w:val="20"/>
                <w:szCs w:val="20"/>
              </w:rPr>
              <w:t>90.0</w:t>
            </w:r>
          </w:p>
        </w:tc>
        <w:tc>
          <w:tcPr>
            <w:tcW w:w="834" w:type="pct"/>
            <w:vAlign w:val="center"/>
          </w:tcPr>
          <w:p w14:paraId="0909DD14" w14:textId="77777777" w:rsidR="00DC5685" w:rsidRPr="00A34F10" w:rsidRDefault="00DC5685" w:rsidP="00DC5685">
            <w:pPr>
              <w:keepNext/>
              <w:keepLines/>
              <w:kinsoku w:val="0"/>
              <w:overflowPunct w:val="0"/>
              <w:autoSpaceDE w:val="0"/>
              <w:autoSpaceDN w:val="0"/>
              <w:adjustRightInd w:val="0"/>
              <w:rPr>
                <w:sz w:val="20"/>
                <w:szCs w:val="20"/>
              </w:rPr>
            </w:pPr>
            <w:r w:rsidRPr="00A34F10">
              <w:rPr>
                <w:sz w:val="20"/>
                <w:szCs w:val="20"/>
              </w:rPr>
              <w:t>12.0</w:t>
            </w:r>
          </w:p>
        </w:tc>
      </w:tr>
      <w:tr w:rsidR="00DC5685" w:rsidRPr="00A34F10" w14:paraId="6E0BFC31" w14:textId="77777777" w:rsidTr="000470C3">
        <w:trPr>
          <w:trHeight w:val="284"/>
        </w:trPr>
        <w:tc>
          <w:tcPr>
            <w:tcW w:w="833" w:type="pct"/>
            <w:vMerge/>
            <w:vAlign w:val="center"/>
          </w:tcPr>
          <w:p w14:paraId="099AA967" w14:textId="77777777" w:rsidR="00DC5685" w:rsidRPr="00A34F10" w:rsidRDefault="00DC5685" w:rsidP="00DC5685">
            <w:pPr>
              <w:keepNext/>
              <w:keepLines/>
              <w:kinsoku w:val="0"/>
              <w:overflowPunct w:val="0"/>
              <w:autoSpaceDE w:val="0"/>
              <w:autoSpaceDN w:val="0"/>
              <w:adjustRightInd w:val="0"/>
              <w:rPr>
                <w:spacing w:val="-1"/>
                <w:sz w:val="20"/>
                <w:szCs w:val="20"/>
              </w:rPr>
            </w:pPr>
          </w:p>
        </w:tc>
        <w:tc>
          <w:tcPr>
            <w:tcW w:w="834" w:type="pct"/>
            <w:vAlign w:val="center"/>
          </w:tcPr>
          <w:p w14:paraId="0D619948" w14:textId="77777777" w:rsidR="00DC5685" w:rsidRPr="00A34F10" w:rsidRDefault="00DC5685" w:rsidP="00DC5685">
            <w:pPr>
              <w:keepNext/>
              <w:keepLines/>
              <w:kinsoku w:val="0"/>
              <w:overflowPunct w:val="0"/>
              <w:autoSpaceDE w:val="0"/>
              <w:autoSpaceDN w:val="0"/>
              <w:adjustRightInd w:val="0"/>
              <w:rPr>
                <w:sz w:val="20"/>
                <w:szCs w:val="20"/>
              </w:rPr>
            </w:pPr>
            <w:r w:rsidRPr="00A34F10">
              <w:rPr>
                <w:sz w:val="20"/>
                <w:szCs w:val="20"/>
              </w:rPr>
              <w:t>130</w:t>
            </w:r>
          </w:p>
        </w:tc>
        <w:tc>
          <w:tcPr>
            <w:tcW w:w="274" w:type="pct"/>
            <w:vAlign w:val="center"/>
          </w:tcPr>
          <w:p w14:paraId="74420FDB" w14:textId="77777777" w:rsidR="00DC5685" w:rsidRPr="00A34F10" w:rsidRDefault="00DC5685" w:rsidP="00DC5685">
            <w:pPr>
              <w:keepNext/>
              <w:keepLines/>
              <w:kinsoku w:val="0"/>
              <w:overflowPunct w:val="0"/>
              <w:autoSpaceDE w:val="0"/>
              <w:autoSpaceDN w:val="0"/>
              <w:adjustRightInd w:val="0"/>
              <w:rPr>
                <w:spacing w:val="-1"/>
                <w:sz w:val="20"/>
                <w:szCs w:val="20"/>
              </w:rPr>
            </w:pPr>
            <w:r w:rsidRPr="00A34F10">
              <w:rPr>
                <w:sz w:val="20"/>
                <w:szCs w:val="20"/>
              </w:rPr>
              <w:t>5</w:t>
            </w:r>
          </w:p>
        </w:tc>
        <w:tc>
          <w:tcPr>
            <w:tcW w:w="1046" w:type="pct"/>
            <w:vAlign w:val="center"/>
          </w:tcPr>
          <w:p w14:paraId="2567474F" w14:textId="77777777" w:rsidR="00DC5685" w:rsidRPr="00A34F10" w:rsidRDefault="00DC5685" w:rsidP="00DC5685">
            <w:pPr>
              <w:keepNext/>
              <w:keepLines/>
              <w:kinsoku w:val="0"/>
              <w:overflowPunct w:val="0"/>
              <w:autoSpaceDE w:val="0"/>
              <w:autoSpaceDN w:val="0"/>
              <w:adjustRightInd w:val="0"/>
              <w:rPr>
                <w:spacing w:val="-1"/>
                <w:sz w:val="20"/>
                <w:szCs w:val="20"/>
              </w:rPr>
            </w:pPr>
            <w:r w:rsidRPr="00A34F10">
              <w:rPr>
                <w:spacing w:val="-1"/>
                <w:sz w:val="20"/>
                <w:szCs w:val="20"/>
              </w:rPr>
              <w:t>105, 101, 102, 104, 102</w:t>
            </w:r>
          </w:p>
        </w:tc>
        <w:tc>
          <w:tcPr>
            <w:tcW w:w="1179" w:type="pct"/>
            <w:vAlign w:val="center"/>
          </w:tcPr>
          <w:p w14:paraId="06277A32" w14:textId="77777777" w:rsidR="00DC5685" w:rsidRPr="00A34F10" w:rsidRDefault="00DC5685" w:rsidP="00DC5685">
            <w:pPr>
              <w:keepNext/>
              <w:keepLines/>
              <w:autoSpaceDE w:val="0"/>
              <w:autoSpaceDN w:val="0"/>
              <w:adjustRightInd w:val="0"/>
              <w:rPr>
                <w:sz w:val="20"/>
                <w:szCs w:val="20"/>
              </w:rPr>
            </w:pPr>
            <w:r w:rsidRPr="00A34F10">
              <w:rPr>
                <w:sz w:val="20"/>
                <w:szCs w:val="20"/>
              </w:rPr>
              <w:t>103</w:t>
            </w:r>
          </w:p>
        </w:tc>
        <w:tc>
          <w:tcPr>
            <w:tcW w:w="834" w:type="pct"/>
            <w:vAlign w:val="center"/>
          </w:tcPr>
          <w:p w14:paraId="33877122" w14:textId="77777777" w:rsidR="00DC5685" w:rsidRPr="00A34F10" w:rsidRDefault="00DC5685" w:rsidP="00DC5685">
            <w:pPr>
              <w:keepNext/>
              <w:keepLines/>
              <w:kinsoku w:val="0"/>
              <w:overflowPunct w:val="0"/>
              <w:autoSpaceDE w:val="0"/>
              <w:autoSpaceDN w:val="0"/>
              <w:adjustRightInd w:val="0"/>
              <w:rPr>
                <w:sz w:val="20"/>
                <w:szCs w:val="20"/>
                <w:highlight w:val="yellow"/>
              </w:rPr>
            </w:pPr>
            <w:r w:rsidRPr="00A34F10">
              <w:rPr>
                <w:sz w:val="20"/>
                <w:szCs w:val="20"/>
              </w:rPr>
              <w:t>2.0</w:t>
            </w:r>
          </w:p>
        </w:tc>
      </w:tr>
      <w:tr w:rsidR="00DC5685" w:rsidRPr="00A34F10" w14:paraId="4ACC2634" w14:textId="77777777" w:rsidTr="000470C3">
        <w:trPr>
          <w:trHeight w:val="284"/>
        </w:trPr>
        <w:tc>
          <w:tcPr>
            <w:tcW w:w="833" w:type="pct"/>
            <w:vMerge/>
            <w:vAlign w:val="center"/>
          </w:tcPr>
          <w:p w14:paraId="5CD6D1A5" w14:textId="77777777" w:rsidR="00DC5685" w:rsidRPr="00A34F10" w:rsidRDefault="00DC5685" w:rsidP="00DC5685">
            <w:pPr>
              <w:keepNext/>
              <w:keepLines/>
              <w:kinsoku w:val="0"/>
              <w:overflowPunct w:val="0"/>
              <w:autoSpaceDE w:val="0"/>
              <w:autoSpaceDN w:val="0"/>
              <w:adjustRightInd w:val="0"/>
              <w:rPr>
                <w:spacing w:val="-1"/>
                <w:sz w:val="20"/>
                <w:szCs w:val="20"/>
              </w:rPr>
            </w:pPr>
          </w:p>
        </w:tc>
        <w:tc>
          <w:tcPr>
            <w:tcW w:w="834" w:type="pct"/>
            <w:vAlign w:val="center"/>
          </w:tcPr>
          <w:p w14:paraId="38358BDF"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b/>
                <w:spacing w:val="-1"/>
                <w:sz w:val="20"/>
                <w:szCs w:val="20"/>
              </w:rPr>
              <w:t>Overall</w:t>
            </w:r>
          </w:p>
        </w:tc>
        <w:tc>
          <w:tcPr>
            <w:tcW w:w="274" w:type="pct"/>
            <w:vAlign w:val="center"/>
          </w:tcPr>
          <w:p w14:paraId="7943B72F"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b/>
                <w:sz w:val="20"/>
                <w:szCs w:val="20"/>
              </w:rPr>
              <w:t>17</w:t>
            </w:r>
          </w:p>
        </w:tc>
        <w:tc>
          <w:tcPr>
            <w:tcW w:w="1046" w:type="pct"/>
            <w:vAlign w:val="center"/>
          </w:tcPr>
          <w:p w14:paraId="35D789B9"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b/>
                <w:spacing w:val="-1"/>
                <w:sz w:val="20"/>
                <w:szCs w:val="20"/>
              </w:rPr>
              <w:t>-</w:t>
            </w:r>
          </w:p>
        </w:tc>
        <w:tc>
          <w:tcPr>
            <w:tcW w:w="1179" w:type="pct"/>
            <w:vAlign w:val="center"/>
          </w:tcPr>
          <w:p w14:paraId="28CB5D98" w14:textId="77777777" w:rsidR="00DC5685" w:rsidRPr="00A34F10" w:rsidRDefault="00DC5685" w:rsidP="00DC5685">
            <w:pPr>
              <w:keepNext/>
              <w:keepLines/>
              <w:kinsoku w:val="0"/>
              <w:overflowPunct w:val="0"/>
              <w:autoSpaceDE w:val="0"/>
              <w:autoSpaceDN w:val="0"/>
              <w:adjustRightInd w:val="0"/>
              <w:rPr>
                <w:b/>
                <w:sz w:val="20"/>
                <w:szCs w:val="20"/>
              </w:rPr>
            </w:pPr>
            <w:r w:rsidRPr="00A34F10">
              <w:rPr>
                <w:b/>
                <w:sz w:val="20"/>
                <w:szCs w:val="20"/>
              </w:rPr>
              <w:t>94.0</w:t>
            </w:r>
          </w:p>
        </w:tc>
        <w:tc>
          <w:tcPr>
            <w:tcW w:w="834" w:type="pct"/>
            <w:vAlign w:val="center"/>
          </w:tcPr>
          <w:p w14:paraId="1CD24C77" w14:textId="77777777" w:rsidR="00DC5685" w:rsidRPr="00A34F10" w:rsidRDefault="00DC5685" w:rsidP="00DC5685">
            <w:pPr>
              <w:keepNext/>
              <w:keepLines/>
              <w:kinsoku w:val="0"/>
              <w:overflowPunct w:val="0"/>
              <w:autoSpaceDE w:val="0"/>
              <w:autoSpaceDN w:val="0"/>
              <w:adjustRightInd w:val="0"/>
              <w:rPr>
                <w:b/>
                <w:sz w:val="20"/>
                <w:szCs w:val="20"/>
              </w:rPr>
            </w:pPr>
            <w:r w:rsidRPr="00A34F10">
              <w:rPr>
                <w:b/>
                <w:sz w:val="20"/>
                <w:szCs w:val="20"/>
              </w:rPr>
              <w:t>11.0</w:t>
            </w:r>
          </w:p>
        </w:tc>
      </w:tr>
      <w:tr w:rsidR="00DC5685" w:rsidRPr="00A34F10" w14:paraId="30BC8DB8" w14:textId="77777777" w:rsidTr="000470C3">
        <w:trPr>
          <w:trHeight w:val="284"/>
        </w:trPr>
        <w:tc>
          <w:tcPr>
            <w:tcW w:w="833" w:type="pct"/>
            <w:vMerge w:val="restart"/>
            <w:vAlign w:val="center"/>
          </w:tcPr>
          <w:p w14:paraId="14E282D8" w14:textId="77777777" w:rsidR="00DC5685" w:rsidRPr="00A34F10" w:rsidRDefault="00DC5685" w:rsidP="00DC5685">
            <w:pPr>
              <w:rPr>
                <w:sz w:val="20"/>
                <w:szCs w:val="20"/>
              </w:rPr>
            </w:pPr>
            <w:r w:rsidRPr="00A34F10">
              <w:rPr>
                <w:sz w:val="20"/>
                <w:szCs w:val="20"/>
              </w:rPr>
              <w:t>Propamocarb</w:t>
            </w:r>
          </w:p>
        </w:tc>
        <w:tc>
          <w:tcPr>
            <w:tcW w:w="834" w:type="pct"/>
            <w:vAlign w:val="center"/>
          </w:tcPr>
          <w:p w14:paraId="50C245CD"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sz w:val="20"/>
                <w:szCs w:val="20"/>
              </w:rPr>
              <w:t>Control</w:t>
            </w:r>
          </w:p>
        </w:tc>
        <w:tc>
          <w:tcPr>
            <w:tcW w:w="274" w:type="pct"/>
            <w:vAlign w:val="center"/>
          </w:tcPr>
          <w:p w14:paraId="47FC9F31"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2</w:t>
            </w:r>
          </w:p>
        </w:tc>
        <w:tc>
          <w:tcPr>
            <w:tcW w:w="1046" w:type="pct"/>
            <w:vAlign w:val="center"/>
          </w:tcPr>
          <w:p w14:paraId="4173ECD9"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sz w:val="20"/>
                <w:szCs w:val="20"/>
              </w:rPr>
              <w:t>&lt;LOD</w:t>
            </w:r>
          </w:p>
        </w:tc>
        <w:tc>
          <w:tcPr>
            <w:tcW w:w="1179" w:type="pct"/>
            <w:vAlign w:val="center"/>
          </w:tcPr>
          <w:p w14:paraId="175216B4"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w:t>
            </w:r>
          </w:p>
        </w:tc>
        <w:tc>
          <w:tcPr>
            <w:tcW w:w="834" w:type="pct"/>
            <w:vAlign w:val="center"/>
          </w:tcPr>
          <w:p w14:paraId="433DB103"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w:t>
            </w:r>
          </w:p>
        </w:tc>
      </w:tr>
      <w:tr w:rsidR="00DC5685" w:rsidRPr="00A34F10" w14:paraId="56EE259D" w14:textId="77777777" w:rsidTr="000470C3">
        <w:trPr>
          <w:trHeight w:val="358"/>
        </w:trPr>
        <w:tc>
          <w:tcPr>
            <w:tcW w:w="833" w:type="pct"/>
            <w:vMerge/>
            <w:vAlign w:val="center"/>
          </w:tcPr>
          <w:p w14:paraId="4C958636" w14:textId="77777777" w:rsidR="00DC5685" w:rsidRPr="00A34F10" w:rsidRDefault="00DC5685" w:rsidP="00DC5685">
            <w:pPr>
              <w:rPr>
                <w:sz w:val="20"/>
                <w:szCs w:val="20"/>
              </w:rPr>
            </w:pPr>
          </w:p>
        </w:tc>
        <w:tc>
          <w:tcPr>
            <w:tcW w:w="834" w:type="pct"/>
            <w:vAlign w:val="center"/>
          </w:tcPr>
          <w:p w14:paraId="1F4AB291"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sz w:val="20"/>
                <w:szCs w:val="20"/>
              </w:rPr>
              <w:t>0.0954</w:t>
            </w:r>
          </w:p>
        </w:tc>
        <w:tc>
          <w:tcPr>
            <w:tcW w:w="274" w:type="pct"/>
            <w:vAlign w:val="center"/>
          </w:tcPr>
          <w:p w14:paraId="0FB11C33"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11</w:t>
            </w:r>
          </w:p>
        </w:tc>
        <w:tc>
          <w:tcPr>
            <w:tcW w:w="1046" w:type="pct"/>
            <w:vAlign w:val="center"/>
          </w:tcPr>
          <w:p w14:paraId="18939ADC" w14:textId="77777777" w:rsidR="00DC5685" w:rsidRPr="00A34F10" w:rsidRDefault="00DC5685" w:rsidP="00DC5685">
            <w:pPr>
              <w:keepNext/>
              <w:keepLines/>
              <w:kinsoku w:val="0"/>
              <w:overflowPunct w:val="0"/>
              <w:autoSpaceDE w:val="0"/>
              <w:autoSpaceDN w:val="0"/>
              <w:adjustRightInd w:val="0"/>
              <w:rPr>
                <w:spacing w:val="-1"/>
                <w:sz w:val="20"/>
                <w:szCs w:val="20"/>
              </w:rPr>
            </w:pPr>
            <w:r w:rsidRPr="00A34F10">
              <w:rPr>
                <w:spacing w:val="-1"/>
                <w:sz w:val="20"/>
                <w:szCs w:val="20"/>
              </w:rPr>
              <w:t>111, 108, 109, 110, 110, 118, 116, 117, 102, 104, 103</w:t>
            </w:r>
          </w:p>
        </w:tc>
        <w:tc>
          <w:tcPr>
            <w:tcW w:w="1179" w:type="pct"/>
            <w:vAlign w:val="center"/>
          </w:tcPr>
          <w:p w14:paraId="71A8A497"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110</w:t>
            </w:r>
          </w:p>
        </w:tc>
        <w:tc>
          <w:tcPr>
            <w:tcW w:w="834" w:type="pct"/>
            <w:vAlign w:val="center"/>
          </w:tcPr>
          <w:p w14:paraId="6DBF174F" w14:textId="77777777" w:rsidR="00DC5685" w:rsidRPr="00A34F10" w:rsidRDefault="00DC5685" w:rsidP="00DC5685">
            <w:pPr>
              <w:keepNext/>
              <w:keepLines/>
              <w:kinsoku w:val="0"/>
              <w:overflowPunct w:val="0"/>
              <w:autoSpaceDE w:val="0"/>
              <w:autoSpaceDN w:val="0"/>
              <w:adjustRightInd w:val="0"/>
              <w:rPr>
                <w:sz w:val="20"/>
                <w:szCs w:val="20"/>
              </w:rPr>
            </w:pPr>
            <w:r w:rsidRPr="00A34F10">
              <w:rPr>
                <w:sz w:val="20"/>
                <w:szCs w:val="20"/>
              </w:rPr>
              <w:t>5.0</w:t>
            </w:r>
          </w:p>
        </w:tc>
      </w:tr>
      <w:tr w:rsidR="00DC5685" w:rsidRPr="00A34F10" w14:paraId="546A8745" w14:textId="77777777" w:rsidTr="000470C3">
        <w:trPr>
          <w:trHeight w:val="407"/>
        </w:trPr>
        <w:tc>
          <w:tcPr>
            <w:tcW w:w="833" w:type="pct"/>
            <w:vMerge/>
            <w:vAlign w:val="center"/>
          </w:tcPr>
          <w:p w14:paraId="0925D1E1" w14:textId="77777777" w:rsidR="00DC5685" w:rsidRPr="00A34F10" w:rsidRDefault="00DC5685" w:rsidP="00DC5685">
            <w:pPr>
              <w:rPr>
                <w:sz w:val="20"/>
                <w:szCs w:val="20"/>
              </w:rPr>
            </w:pPr>
          </w:p>
        </w:tc>
        <w:tc>
          <w:tcPr>
            <w:tcW w:w="834" w:type="pct"/>
            <w:vAlign w:val="center"/>
          </w:tcPr>
          <w:p w14:paraId="0AF1500D"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sz w:val="20"/>
                <w:szCs w:val="20"/>
              </w:rPr>
              <w:t>130</w:t>
            </w:r>
          </w:p>
        </w:tc>
        <w:tc>
          <w:tcPr>
            <w:tcW w:w="274" w:type="pct"/>
            <w:vAlign w:val="center"/>
          </w:tcPr>
          <w:p w14:paraId="6698B5BF"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5</w:t>
            </w:r>
          </w:p>
        </w:tc>
        <w:tc>
          <w:tcPr>
            <w:tcW w:w="1046" w:type="pct"/>
            <w:vAlign w:val="center"/>
          </w:tcPr>
          <w:p w14:paraId="0B8154FB" w14:textId="77777777" w:rsidR="00DC5685" w:rsidRPr="00A34F10" w:rsidRDefault="00DC5685" w:rsidP="00DC5685">
            <w:pPr>
              <w:keepNext/>
              <w:keepLines/>
              <w:kinsoku w:val="0"/>
              <w:overflowPunct w:val="0"/>
              <w:autoSpaceDE w:val="0"/>
              <w:autoSpaceDN w:val="0"/>
              <w:adjustRightInd w:val="0"/>
              <w:rPr>
                <w:spacing w:val="-1"/>
                <w:sz w:val="20"/>
                <w:szCs w:val="20"/>
              </w:rPr>
            </w:pPr>
            <w:r w:rsidRPr="00A34F10">
              <w:rPr>
                <w:spacing w:val="-1"/>
                <w:sz w:val="20"/>
                <w:szCs w:val="20"/>
              </w:rPr>
              <w:t>103, 100, 100, 102, 99.0</w:t>
            </w:r>
          </w:p>
        </w:tc>
        <w:tc>
          <w:tcPr>
            <w:tcW w:w="1179" w:type="pct"/>
            <w:vAlign w:val="center"/>
          </w:tcPr>
          <w:p w14:paraId="7BA5C692" w14:textId="77777777" w:rsidR="00DC5685" w:rsidRPr="00A34F10" w:rsidRDefault="00DC5685" w:rsidP="00DC5685">
            <w:pPr>
              <w:keepNext/>
              <w:keepLines/>
              <w:kinsoku w:val="0"/>
              <w:overflowPunct w:val="0"/>
              <w:autoSpaceDE w:val="0"/>
              <w:autoSpaceDN w:val="0"/>
              <w:adjustRightInd w:val="0"/>
              <w:rPr>
                <w:b/>
                <w:sz w:val="20"/>
                <w:szCs w:val="20"/>
              </w:rPr>
            </w:pPr>
            <w:r w:rsidRPr="00A34F10">
              <w:rPr>
                <w:sz w:val="20"/>
                <w:szCs w:val="20"/>
              </w:rPr>
              <w:t>101</w:t>
            </w:r>
          </w:p>
        </w:tc>
        <w:tc>
          <w:tcPr>
            <w:tcW w:w="834" w:type="pct"/>
            <w:vAlign w:val="center"/>
          </w:tcPr>
          <w:p w14:paraId="21BFC162" w14:textId="77777777" w:rsidR="00DC5685" w:rsidRPr="00A34F10" w:rsidRDefault="00DC5685" w:rsidP="00DC5685">
            <w:pPr>
              <w:keepNext/>
              <w:keepLines/>
              <w:kinsoku w:val="0"/>
              <w:overflowPunct w:val="0"/>
              <w:autoSpaceDE w:val="0"/>
              <w:autoSpaceDN w:val="0"/>
              <w:adjustRightInd w:val="0"/>
              <w:rPr>
                <w:sz w:val="20"/>
                <w:szCs w:val="20"/>
              </w:rPr>
            </w:pPr>
            <w:r w:rsidRPr="00A34F10">
              <w:rPr>
                <w:sz w:val="20"/>
                <w:szCs w:val="20"/>
              </w:rPr>
              <w:t>2.0</w:t>
            </w:r>
          </w:p>
        </w:tc>
      </w:tr>
      <w:tr w:rsidR="00DC5685" w:rsidRPr="00A34F10" w14:paraId="765A1D8E" w14:textId="77777777" w:rsidTr="000470C3">
        <w:trPr>
          <w:trHeight w:val="284"/>
        </w:trPr>
        <w:tc>
          <w:tcPr>
            <w:tcW w:w="833" w:type="pct"/>
            <w:vMerge/>
            <w:vAlign w:val="center"/>
          </w:tcPr>
          <w:p w14:paraId="15D44486" w14:textId="77777777" w:rsidR="00DC5685" w:rsidRPr="00A34F10" w:rsidRDefault="00DC5685" w:rsidP="00DC5685">
            <w:pPr>
              <w:rPr>
                <w:sz w:val="20"/>
                <w:szCs w:val="20"/>
              </w:rPr>
            </w:pPr>
          </w:p>
        </w:tc>
        <w:tc>
          <w:tcPr>
            <w:tcW w:w="834" w:type="pct"/>
            <w:vAlign w:val="center"/>
          </w:tcPr>
          <w:p w14:paraId="0B559616"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b/>
                <w:spacing w:val="-1"/>
                <w:sz w:val="20"/>
                <w:szCs w:val="20"/>
              </w:rPr>
              <w:t>Overall</w:t>
            </w:r>
          </w:p>
        </w:tc>
        <w:tc>
          <w:tcPr>
            <w:tcW w:w="274" w:type="pct"/>
            <w:vAlign w:val="center"/>
          </w:tcPr>
          <w:p w14:paraId="6D6B6F74" w14:textId="77777777" w:rsidR="00DC5685" w:rsidRPr="00A34F10" w:rsidRDefault="00DC5685" w:rsidP="00DC5685">
            <w:pPr>
              <w:keepNext/>
              <w:keepLines/>
              <w:kinsoku w:val="0"/>
              <w:overflowPunct w:val="0"/>
              <w:autoSpaceDE w:val="0"/>
              <w:autoSpaceDN w:val="0"/>
              <w:adjustRightInd w:val="0"/>
              <w:rPr>
                <w:b/>
                <w:sz w:val="20"/>
                <w:szCs w:val="20"/>
              </w:rPr>
            </w:pPr>
            <w:r w:rsidRPr="00A34F10">
              <w:rPr>
                <w:b/>
                <w:sz w:val="20"/>
                <w:szCs w:val="20"/>
              </w:rPr>
              <w:t>17</w:t>
            </w:r>
          </w:p>
        </w:tc>
        <w:tc>
          <w:tcPr>
            <w:tcW w:w="1046" w:type="pct"/>
            <w:vAlign w:val="center"/>
          </w:tcPr>
          <w:p w14:paraId="4D9FAE73" w14:textId="77777777" w:rsidR="00DC5685" w:rsidRPr="00A34F10" w:rsidRDefault="00DC5685" w:rsidP="00DC5685">
            <w:pPr>
              <w:keepNext/>
              <w:keepLines/>
              <w:kinsoku w:val="0"/>
              <w:overflowPunct w:val="0"/>
              <w:autoSpaceDE w:val="0"/>
              <w:autoSpaceDN w:val="0"/>
              <w:adjustRightInd w:val="0"/>
              <w:rPr>
                <w:b/>
                <w:spacing w:val="-1"/>
                <w:sz w:val="20"/>
                <w:szCs w:val="20"/>
              </w:rPr>
            </w:pPr>
            <w:r w:rsidRPr="00A34F10">
              <w:rPr>
                <w:b/>
                <w:spacing w:val="-1"/>
                <w:sz w:val="20"/>
                <w:szCs w:val="20"/>
              </w:rPr>
              <w:t>-</w:t>
            </w:r>
          </w:p>
        </w:tc>
        <w:tc>
          <w:tcPr>
            <w:tcW w:w="1179" w:type="pct"/>
            <w:vAlign w:val="center"/>
          </w:tcPr>
          <w:p w14:paraId="01F44E9E" w14:textId="77777777" w:rsidR="00DC5685" w:rsidRPr="00A34F10" w:rsidRDefault="00DC5685" w:rsidP="00DC5685">
            <w:pPr>
              <w:keepNext/>
              <w:keepLines/>
              <w:kinsoku w:val="0"/>
              <w:overflowPunct w:val="0"/>
              <w:autoSpaceDE w:val="0"/>
              <w:autoSpaceDN w:val="0"/>
              <w:adjustRightInd w:val="0"/>
              <w:rPr>
                <w:b/>
                <w:sz w:val="20"/>
                <w:szCs w:val="20"/>
              </w:rPr>
            </w:pPr>
            <w:r w:rsidRPr="00A34F10">
              <w:rPr>
                <w:b/>
                <w:sz w:val="20"/>
                <w:szCs w:val="20"/>
              </w:rPr>
              <w:t>107</w:t>
            </w:r>
          </w:p>
        </w:tc>
        <w:tc>
          <w:tcPr>
            <w:tcW w:w="834" w:type="pct"/>
            <w:vAlign w:val="center"/>
          </w:tcPr>
          <w:p w14:paraId="1478B8E6" w14:textId="77777777" w:rsidR="00DC5685" w:rsidRPr="00A34F10" w:rsidRDefault="00DC5685" w:rsidP="00DC5685">
            <w:pPr>
              <w:keepNext/>
              <w:keepLines/>
              <w:kinsoku w:val="0"/>
              <w:overflowPunct w:val="0"/>
              <w:autoSpaceDE w:val="0"/>
              <w:autoSpaceDN w:val="0"/>
              <w:adjustRightInd w:val="0"/>
              <w:rPr>
                <w:b/>
                <w:sz w:val="20"/>
                <w:szCs w:val="20"/>
              </w:rPr>
            </w:pPr>
            <w:r w:rsidRPr="00A34F10">
              <w:rPr>
                <w:b/>
                <w:sz w:val="20"/>
                <w:szCs w:val="20"/>
              </w:rPr>
              <w:t>6.00</w:t>
            </w:r>
          </w:p>
        </w:tc>
      </w:tr>
    </w:tbl>
    <w:p w14:paraId="7A2CC4CC" w14:textId="00F88502" w:rsidR="00E83096" w:rsidRPr="00A34F10" w:rsidRDefault="00DC5685" w:rsidP="00DC5685">
      <w:pPr>
        <w:tabs>
          <w:tab w:val="left" w:pos="720"/>
        </w:tabs>
        <w:spacing w:after="240"/>
        <w:rPr>
          <w:sz w:val="18"/>
          <w:szCs w:val="18"/>
          <w:lang w:val="en-GB"/>
        </w:rPr>
      </w:pPr>
      <w:r w:rsidRPr="00A34F10">
        <w:rPr>
          <w:sz w:val="18"/>
          <w:szCs w:val="18"/>
          <w:lang w:val="en-GB"/>
        </w:rPr>
        <w:t>RSD = Relative standard deviation</w:t>
      </w:r>
    </w:p>
    <w:p w14:paraId="2286BBD3" w14:textId="77777777" w:rsidR="00DC5685" w:rsidRPr="00A34F10" w:rsidRDefault="00DC5685" w:rsidP="00E05ECD">
      <w:pPr>
        <w:numPr>
          <w:ilvl w:val="0"/>
          <w:numId w:val="32"/>
        </w:numPr>
        <w:tabs>
          <w:tab w:val="left" w:pos="720"/>
        </w:tabs>
        <w:spacing w:after="240"/>
        <w:jc w:val="center"/>
        <w:rPr>
          <w:b/>
          <w:bCs/>
          <w:caps/>
          <w:szCs w:val="24"/>
          <w:lang w:val="en-GB"/>
        </w:rPr>
      </w:pPr>
      <w:r w:rsidRPr="00A34F10">
        <w:rPr>
          <w:b/>
          <w:bCs/>
          <w:caps/>
          <w:szCs w:val="24"/>
          <w:lang w:val="en-GB"/>
        </w:rPr>
        <w:t>Results and Discussion</w:t>
      </w:r>
    </w:p>
    <w:p w14:paraId="25E04EEB" w14:textId="77777777" w:rsidR="00DC5685" w:rsidRPr="00A34F10" w:rsidRDefault="00DC5685" w:rsidP="00E05ECD">
      <w:pPr>
        <w:numPr>
          <w:ilvl w:val="0"/>
          <w:numId w:val="41"/>
        </w:numPr>
        <w:ind w:left="357" w:hanging="357"/>
        <w:contextualSpacing/>
        <w:rPr>
          <w:b/>
          <w:bCs/>
          <w:caps/>
          <w:szCs w:val="24"/>
          <w:lang w:val="en-GB"/>
        </w:rPr>
      </w:pPr>
      <w:r w:rsidRPr="00A34F10">
        <w:rPr>
          <w:b/>
          <w:bCs/>
          <w:caps/>
          <w:szCs w:val="24"/>
          <w:lang w:val="en-GB"/>
        </w:rPr>
        <w:t>ANALYTICAL RESULTS</w:t>
      </w:r>
    </w:p>
    <w:p w14:paraId="294048DE" w14:textId="77777777" w:rsidR="00DC5685" w:rsidRPr="00A34F10" w:rsidRDefault="00DC5685" w:rsidP="00DC5685">
      <w:pPr>
        <w:ind w:left="357"/>
        <w:contextualSpacing/>
        <w:rPr>
          <w:b/>
          <w:bCs/>
          <w:caps/>
          <w:szCs w:val="24"/>
          <w:lang w:val="en-GB"/>
        </w:rPr>
      </w:pPr>
    </w:p>
    <w:p w14:paraId="223828AB" w14:textId="77777777" w:rsidR="00DC5685" w:rsidRPr="00A34F10" w:rsidRDefault="00DC5685" w:rsidP="00DC5685">
      <w:pPr>
        <w:spacing w:after="240"/>
        <w:jc w:val="both"/>
        <w:rPr>
          <w:highlight w:val="yellow"/>
          <w:lang w:val="en-GB"/>
        </w:rPr>
      </w:pPr>
      <w:r w:rsidRPr="00A34F10">
        <w:t xml:space="preserve">The measured concentrations of ametoctradin in samples taken at test start ranged from 80 % to 102 % of nominal. In the samples taken from aged solutions, the measured concentrations were between 12 % and 77 % of nominal. The measured concentrations of propamocarb in samples taken at test start ranged from 105 % to 110 % of nominal. In the samples taken from aged solutions after 72 h, the measured concentrations were between 98 % and 109 % of nominal. The toxicological endpoints were evaluated using the nominal concentrations of the test item. </w:t>
      </w:r>
      <w:r w:rsidRPr="00A34F10">
        <w:rPr>
          <w:lang w:val="en-GB"/>
        </w:rPr>
        <w:t>The analytical results are presented in the following tables.</w:t>
      </w:r>
    </w:p>
    <w:p w14:paraId="24FBF8BB" w14:textId="77777777" w:rsidR="003347E3" w:rsidRDefault="003347E3">
      <w:pPr>
        <w:rPr>
          <w:b/>
          <w:bCs/>
          <w:color w:val="000000" w:themeColor="text1"/>
          <w:lang w:val="en-GB"/>
        </w:rPr>
      </w:pPr>
      <w:r>
        <w:br w:type="page"/>
      </w:r>
    </w:p>
    <w:p w14:paraId="5F7CEE8D" w14:textId="6FBC46FB" w:rsidR="00DC5685" w:rsidRPr="00A34F10" w:rsidRDefault="00EA3876" w:rsidP="00EA3876">
      <w:pPr>
        <w:pStyle w:val="Legenda"/>
      </w:pPr>
      <w:r>
        <w:lastRenderedPageBreak/>
        <w:t xml:space="preserve">Table A </w:t>
      </w:r>
      <w:r>
        <w:fldChar w:fldCharType="begin"/>
      </w:r>
      <w:r>
        <w:instrText xml:space="preserve"> SEQ Table_A \* ARABIC </w:instrText>
      </w:r>
      <w:r>
        <w:fldChar w:fldCharType="separate"/>
      </w:r>
      <w:r w:rsidR="006F0F3B">
        <w:rPr>
          <w:noProof/>
        </w:rPr>
        <w:t>19</w:t>
      </w:r>
      <w:r>
        <w:fldChar w:fldCharType="end"/>
      </w:r>
      <w:r w:rsidR="00E83096" w:rsidRPr="00A34F10">
        <w:t>:</w:t>
      </w:r>
      <w:r w:rsidR="00DC5685" w:rsidRPr="00A34F10">
        <w:tab/>
        <w:t xml:space="preserve">Measured concentrations of ametoctradin in the exposure solutions </w:t>
      </w:r>
    </w:p>
    <w:tbl>
      <w:tblPr>
        <w:tblStyle w:val="Tabela-Siatka"/>
        <w:tblW w:w="5000" w:type="pct"/>
        <w:tblLook w:val="0000" w:firstRow="0" w:lastRow="0" w:firstColumn="0" w:lastColumn="0" w:noHBand="0" w:noVBand="0"/>
      </w:tblPr>
      <w:tblGrid>
        <w:gridCol w:w="2275"/>
        <w:gridCol w:w="2753"/>
        <w:gridCol w:w="1166"/>
        <w:gridCol w:w="1334"/>
        <w:gridCol w:w="1816"/>
      </w:tblGrid>
      <w:tr w:rsidR="00DC5685" w:rsidRPr="00A34F10" w14:paraId="1D45BCFB" w14:textId="77777777" w:rsidTr="000470C3">
        <w:tc>
          <w:tcPr>
            <w:tcW w:w="1217" w:type="pct"/>
            <w:vMerge w:val="restart"/>
            <w:vAlign w:val="center"/>
          </w:tcPr>
          <w:p w14:paraId="56D88D89"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 xml:space="preserve">Test item nominal </w:t>
            </w:r>
            <w:r w:rsidRPr="00A34F10">
              <w:rPr>
                <w:b/>
                <w:color w:val="000000"/>
                <w:sz w:val="20"/>
                <w:szCs w:val="20"/>
                <w:lang w:val="en-GB"/>
              </w:rPr>
              <w:br/>
              <w:t>[mg product/L]</w:t>
            </w:r>
          </w:p>
        </w:tc>
        <w:tc>
          <w:tcPr>
            <w:tcW w:w="1473" w:type="pct"/>
            <w:vMerge w:val="restart"/>
            <w:noWrap/>
            <w:vAlign w:val="center"/>
          </w:tcPr>
          <w:p w14:paraId="4CBA9357" w14:textId="77777777" w:rsidR="00DC5685" w:rsidRPr="00A34F10" w:rsidRDefault="00DC5685" w:rsidP="00DC5685">
            <w:pPr>
              <w:keepNext/>
              <w:keepLines/>
              <w:spacing w:before="60" w:after="60"/>
              <w:ind w:left="57" w:right="57"/>
              <w:rPr>
                <w:b/>
                <w:color w:val="000000"/>
                <w:sz w:val="20"/>
                <w:szCs w:val="20"/>
                <w:lang w:val="en-GB"/>
              </w:rPr>
            </w:pPr>
            <w:r w:rsidRPr="00A34F10">
              <w:rPr>
                <w:b/>
                <w:bCs/>
                <w:sz w:val="20"/>
                <w:szCs w:val="20"/>
                <w:lang w:val="en-GB"/>
              </w:rPr>
              <w:t>Nominal Concentration</w:t>
            </w:r>
            <w:r w:rsidRPr="00A34F10">
              <w:rPr>
                <w:b/>
                <w:color w:val="000000"/>
                <w:sz w:val="20"/>
                <w:szCs w:val="20"/>
                <w:lang w:val="en-GB"/>
              </w:rPr>
              <w:br/>
              <w:t>[mg/ a.s.L]</w:t>
            </w:r>
          </w:p>
        </w:tc>
        <w:tc>
          <w:tcPr>
            <w:tcW w:w="624" w:type="pct"/>
            <w:vMerge w:val="restart"/>
            <w:vAlign w:val="center"/>
          </w:tcPr>
          <w:p w14:paraId="2CB350E4"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Sampling</w:t>
            </w:r>
          </w:p>
        </w:tc>
        <w:tc>
          <w:tcPr>
            <w:tcW w:w="1686" w:type="pct"/>
            <w:gridSpan w:val="2"/>
            <w:noWrap/>
            <w:vAlign w:val="center"/>
          </w:tcPr>
          <w:p w14:paraId="7632FDF6" w14:textId="77777777" w:rsidR="00DC5685" w:rsidRPr="00A34F10" w:rsidRDefault="00DC5685" w:rsidP="00DC5685">
            <w:pPr>
              <w:keepNext/>
              <w:keepLines/>
              <w:tabs>
                <w:tab w:val="left" w:pos="720"/>
              </w:tabs>
              <w:rPr>
                <w:b/>
                <w:bCs/>
                <w:sz w:val="20"/>
                <w:szCs w:val="20"/>
                <w:lang w:val="en-GB"/>
              </w:rPr>
            </w:pPr>
            <w:r w:rsidRPr="00A34F10">
              <w:rPr>
                <w:b/>
                <w:bCs/>
                <w:sz w:val="20"/>
                <w:szCs w:val="20"/>
                <w:lang w:val="en-GB"/>
              </w:rPr>
              <w:t xml:space="preserve">Measured Concentration </w:t>
            </w:r>
          </w:p>
        </w:tc>
      </w:tr>
      <w:tr w:rsidR="00DC5685" w:rsidRPr="00A34F10" w14:paraId="78DA3BA3" w14:textId="77777777" w:rsidTr="000470C3">
        <w:tc>
          <w:tcPr>
            <w:tcW w:w="1217" w:type="pct"/>
            <w:vMerge/>
            <w:vAlign w:val="center"/>
          </w:tcPr>
          <w:p w14:paraId="176FB158" w14:textId="77777777" w:rsidR="00DC5685" w:rsidRPr="00A34F10" w:rsidRDefault="00DC5685" w:rsidP="00DC5685">
            <w:pPr>
              <w:keepNext/>
              <w:keepLines/>
              <w:spacing w:before="60" w:after="60"/>
              <w:ind w:left="57" w:right="57"/>
              <w:rPr>
                <w:b/>
                <w:color w:val="000000"/>
                <w:sz w:val="20"/>
                <w:szCs w:val="20"/>
                <w:lang w:val="en-GB"/>
              </w:rPr>
            </w:pPr>
          </w:p>
        </w:tc>
        <w:tc>
          <w:tcPr>
            <w:tcW w:w="1473" w:type="pct"/>
            <w:vMerge/>
            <w:vAlign w:val="center"/>
          </w:tcPr>
          <w:p w14:paraId="32F32D60" w14:textId="77777777" w:rsidR="00DC5685" w:rsidRPr="00A34F10" w:rsidRDefault="00DC5685" w:rsidP="00DC5685">
            <w:pPr>
              <w:keepNext/>
              <w:keepLines/>
              <w:spacing w:before="60" w:after="60"/>
              <w:ind w:left="57" w:right="57"/>
              <w:rPr>
                <w:b/>
                <w:color w:val="000000"/>
                <w:sz w:val="20"/>
                <w:szCs w:val="20"/>
                <w:lang w:val="en-GB"/>
              </w:rPr>
            </w:pPr>
          </w:p>
        </w:tc>
        <w:tc>
          <w:tcPr>
            <w:tcW w:w="624" w:type="pct"/>
            <w:vMerge/>
            <w:vAlign w:val="center"/>
          </w:tcPr>
          <w:p w14:paraId="36207C64" w14:textId="77777777" w:rsidR="00DC5685" w:rsidRPr="00A34F10" w:rsidRDefault="00DC5685" w:rsidP="00DC5685">
            <w:pPr>
              <w:keepNext/>
              <w:keepLines/>
              <w:spacing w:before="60" w:after="60"/>
              <w:ind w:left="57" w:right="57"/>
              <w:rPr>
                <w:b/>
                <w:color w:val="000000"/>
                <w:sz w:val="20"/>
                <w:szCs w:val="20"/>
                <w:lang w:val="en-GB"/>
              </w:rPr>
            </w:pPr>
          </w:p>
        </w:tc>
        <w:tc>
          <w:tcPr>
            <w:tcW w:w="714" w:type="pct"/>
            <w:vAlign w:val="center"/>
          </w:tcPr>
          <w:p w14:paraId="1750CADE"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[mg a.s./L]</w:t>
            </w:r>
          </w:p>
        </w:tc>
        <w:tc>
          <w:tcPr>
            <w:tcW w:w="972" w:type="pct"/>
            <w:vAlign w:val="center"/>
          </w:tcPr>
          <w:p w14:paraId="11836584"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 of nominal</w:t>
            </w:r>
          </w:p>
        </w:tc>
      </w:tr>
      <w:tr w:rsidR="00DC5685" w:rsidRPr="00A34F10" w14:paraId="1A75F5B7" w14:textId="77777777" w:rsidTr="000470C3">
        <w:tc>
          <w:tcPr>
            <w:tcW w:w="1217" w:type="pct"/>
            <w:vMerge w:val="restart"/>
            <w:noWrap/>
            <w:vAlign w:val="center"/>
          </w:tcPr>
          <w:p w14:paraId="672ECF6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Control</w:t>
            </w:r>
          </w:p>
        </w:tc>
        <w:tc>
          <w:tcPr>
            <w:tcW w:w="1473" w:type="pct"/>
            <w:vMerge w:val="restart"/>
            <w:vAlign w:val="center"/>
          </w:tcPr>
          <w:p w14:paraId="09D69D2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w:t>
            </w:r>
          </w:p>
        </w:tc>
        <w:tc>
          <w:tcPr>
            <w:tcW w:w="624" w:type="pct"/>
            <w:noWrap/>
            <w:vAlign w:val="center"/>
          </w:tcPr>
          <w:p w14:paraId="095682C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56E4084C"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72" w:type="pct"/>
            <w:noWrap/>
            <w:vAlign w:val="center"/>
          </w:tcPr>
          <w:p w14:paraId="051F3D0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62D6839D" w14:textId="77777777" w:rsidTr="000470C3">
        <w:tc>
          <w:tcPr>
            <w:tcW w:w="1217" w:type="pct"/>
            <w:vMerge/>
            <w:noWrap/>
            <w:vAlign w:val="center"/>
          </w:tcPr>
          <w:p w14:paraId="3A6026BA"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15BA7EB8"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2E9C27D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37B0680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72" w:type="pct"/>
            <w:noWrap/>
            <w:vAlign w:val="center"/>
          </w:tcPr>
          <w:p w14:paraId="0592912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06C12B32" w14:textId="77777777" w:rsidTr="000470C3">
        <w:tc>
          <w:tcPr>
            <w:tcW w:w="1217" w:type="pct"/>
            <w:vMerge/>
            <w:noWrap/>
            <w:vAlign w:val="center"/>
          </w:tcPr>
          <w:p w14:paraId="5A841C10"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19357F96"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346C54F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3B0364E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72" w:type="pct"/>
            <w:noWrap/>
            <w:vAlign w:val="center"/>
          </w:tcPr>
          <w:p w14:paraId="0C4323C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4CCE269E" w14:textId="77777777" w:rsidTr="000470C3">
        <w:tc>
          <w:tcPr>
            <w:tcW w:w="1217" w:type="pct"/>
            <w:vMerge w:val="restart"/>
            <w:noWrap/>
            <w:vAlign w:val="center"/>
          </w:tcPr>
          <w:p w14:paraId="3BA2C7B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0.954</w:t>
            </w:r>
          </w:p>
        </w:tc>
        <w:tc>
          <w:tcPr>
            <w:tcW w:w="1473" w:type="pct"/>
            <w:vMerge w:val="restart"/>
            <w:vAlign w:val="center"/>
          </w:tcPr>
          <w:p w14:paraId="6ED4E4A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0.122</w:t>
            </w:r>
          </w:p>
        </w:tc>
        <w:tc>
          <w:tcPr>
            <w:tcW w:w="624" w:type="pct"/>
            <w:noWrap/>
            <w:vAlign w:val="center"/>
          </w:tcPr>
          <w:p w14:paraId="785438A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520E26D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0.0970</w:t>
            </w:r>
          </w:p>
        </w:tc>
        <w:tc>
          <w:tcPr>
            <w:tcW w:w="972" w:type="pct"/>
            <w:noWrap/>
            <w:vAlign w:val="center"/>
          </w:tcPr>
          <w:p w14:paraId="03F4438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80</w:t>
            </w:r>
          </w:p>
        </w:tc>
      </w:tr>
      <w:tr w:rsidR="00DC5685" w:rsidRPr="00A34F10" w14:paraId="414D9290" w14:textId="77777777" w:rsidTr="000470C3">
        <w:tc>
          <w:tcPr>
            <w:tcW w:w="1217" w:type="pct"/>
            <w:vMerge/>
            <w:noWrap/>
            <w:vAlign w:val="center"/>
          </w:tcPr>
          <w:p w14:paraId="1BAC602E"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3EF283F3"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78BCE6C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01EF4B6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0.120</w:t>
            </w:r>
          </w:p>
        </w:tc>
        <w:tc>
          <w:tcPr>
            <w:tcW w:w="972" w:type="pct"/>
            <w:noWrap/>
            <w:vAlign w:val="center"/>
          </w:tcPr>
          <w:p w14:paraId="542C448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98</w:t>
            </w:r>
          </w:p>
        </w:tc>
      </w:tr>
      <w:tr w:rsidR="00DC5685" w:rsidRPr="00A34F10" w14:paraId="75EE327B" w14:textId="77777777" w:rsidTr="000470C3">
        <w:tc>
          <w:tcPr>
            <w:tcW w:w="1217" w:type="pct"/>
            <w:vMerge/>
            <w:noWrap/>
            <w:vAlign w:val="center"/>
          </w:tcPr>
          <w:p w14:paraId="57FC6C89"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09DCB5E4"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733A917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28EA7CE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0.0875</w:t>
            </w:r>
          </w:p>
        </w:tc>
        <w:tc>
          <w:tcPr>
            <w:tcW w:w="972" w:type="pct"/>
            <w:noWrap/>
            <w:vAlign w:val="center"/>
          </w:tcPr>
          <w:p w14:paraId="46C7B16B"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w:t>
            </w:r>
          </w:p>
        </w:tc>
      </w:tr>
      <w:tr w:rsidR="00DC5685" w:rsidRPr="00A34F10" w14:paraId="59082E1B" w14:textId="77777777" w:rsidTr="000470C3">
        <w:tc>
          <w:tcPr>
            <w:tcW w:w="1217" w:type="pct"/>
            <w:vMerge w:val="restart"/>
            <w:noWrap/>
            <w:vAlign w:val="center"/>
          </w:tcPr>
          <w:p w14:paraId="4E13860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3.05</w:t>
            </w:r>
          </w:p>
        </w:tc>
        <w:tc>
          <w:tcPr>
            <w:tcW w:w="1473" w:type="pct"/>
            <w:vMerge w:val="restart"/>
            <w:vAlign w:val="center"/>
          </w:tcPr>
          <w:p w14:paraId="5E08AEC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0.390</w:t>
            </w:r>
          </w:p>
        </w:tc>
        <w:tc>
          <w:tcPr>
            <w:tcW w:w="624" w:type="pct"/>
            <w:noWrap/>
            <w:vAlign w:val="center"/>
          </w:tcPr>
          <w:p w14:paraId="0E26D18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024106D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0.348</w:t>
            </w:r>
          </w:p>
        </w:tc>
        <w:tc>
          <w:tcPr>
            <w:tcW w:w="972" w:type="pct"/>
            <w:noWrap/>
            <w:vAlign w:val="center"/>
          </w:tcPr>
          <w:p w14:paraId="13AFC43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89</w:t>
            </w:r>
          </w:p>
        </w:tc>
      </w:tr>
      <w:tr w:rsidR="00DC5685" w:rsidRPr="00A34F10" w14:paraId="52AB1E91" w14:textId="77777777" w:rsidTr="000470C3">
        <w:tc>
          <w:tcPr>
            <w:tcW w:w="1217" w:type="pct"/>
            <w:vMerge/>
            <w:noWrap/>
            <w:vAlign w:val="center"/>
          </w:tcPr>
          <w:p w14:paraId="29DD9967"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3552C4DB"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4356E77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77FB8FC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0.288</w:t>
            </w:r>
          </w:p>
        </w:tc>
        <w:tc>
          <w:tcPr>
            <w:tcW w:w="972" w:type="pct"/>
            <w:noWrap/>
            <w:vAlign w:val="center"/>
          </w:tcPr>
          <w:p w14:paraId="08C6EE2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74</w:t>
            </w:r>
          </w:p>
        </w:tc>
      </w:tr>
      <w:tr w:rsidR="00DC5685" w:rsidRPr="00A34F10" w14:paraId="1BDEFCFB" w14:textId="77777777" w:rsidTr="000470C3">
        <w:tc>
          <w:tcPr>
            <w:tcW w:w="1217" w:type="pct"/>
            <w:vMerge/>
            <w:noWrap/>
            <w:vAlign w:val="center"/>
          </w:tcPr>
          <w:p w14:paraId="09C076B2"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37965239"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1CDD1A1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693EC5D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0.127</w:t>
            </w:r>
          </w:p>
        </w:tc>
        <w:tc>
          <w:tcPr>
            <w:tcW w:w="972" w:type="pct"/>
            <w:noWrap/>
            <w:vAlign w:val="center"/>
          </w:tcPr>
          <w:p w14:paraId="283888A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33</w:t>
            </w:r>
          </w:p>
        </w:tc>
      </w:tr>
      <w:tr w:rsidR="00DC5685" w:rsidRPr="00A34F10" w14:paraId="7160213F" w14:textId="77777777" w:rsidTr="000470C3">
        <w:tc>
          <w:tcPr>
            <w:tcW w:w="1217" w:type="pct"/>
            <w:vMerge w:val="restart"/>
            <w:noWrap/>
            <w:vAlign w:val="center"/>
          </w:tcPr>
          <w:p w14:paraId="549BF74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9.77</w:t>
            </w:r>
          </w:p>
        </w:tc>
        <w:tc>
          <w:tcPr>
            <w:tcW w:w="1473" w:type="pct"/>
            <w:vMerge w:val="restart"/>
            <w:vAlign w:val="center"/>
          </w:tcPr>
          <w:p w14:paraId="7E69832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1.25</w:t>
            </w:r>
          </w:p>
        </w:tc>
        <w:tc>
          <w:tcPr>
            <w:tcW w:w="624" w:type="pct"/>
            <w:noWrap/>
            <w:vAlign w:val="center"/>
          </w:tcPr>
          <w:p w14:paraId="30D969C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1FBACAE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1.18</w:t>
            </w:r>
          </w:p>
        </w:tc>
        <w:tc>
          <w:tcPr>
            <w:tcW w:w="972" w:type="pct"/>
            <w:noWrap/>
            <w:vAlign w:val="center"/>
          </w:tcPr>
          <w:p w14:paraId="5C061BA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94</w:t>
            </w:r>
          </w:p>
        </w:tc>
      </w:tr>
      <w:tr w:rsidR="00DC5685" w:rsidRPr="00A34F10" w14:paraId="185A3669" w14:textId="77777777" w:rsidTr="000470C3">
        <w:tc>
          <w:tcPr>
            <w:tcW w:w="1217" w:type="pct"/>
            <w:vMerge/>
            <w:noWrap/>
            <w:vAlign w:val="center"/>
          </w:tcPr>
          <w:p w14:paraId="0FE85B96"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600E39F8"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1CD2CCF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5E0CF7F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0.995</w:t>
            </w:r>
          </w:p>
        </w:tc>
        <w:tc>
          <w:tcPr>
            <w:tcW w:w="972" w:type="pct"/>
            <w:noWrap/>
            <w:vAlign w:val="center"/>
          </w:tcPr>
          <w:p w14:paraId="3291A45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80</w:t>
            </w:r>
          </w:p>
        </w:tc>
      </w:tr>
      <w:tr w:rsidR="00DC5685" w:rsidRPr="00A34F10" w14:paraId="2193CC50" w14:textId="77777777" w:rsidTr="000470C3">
        <w:tc>
          <w:tcPr>
            <w:tcW w:w="1217" w:type="pct"/>
            <w:vMerge/>
            <w:noWrap/>
            <w:vAlign w:val="center"/>
          </w:tcPr>
          <w:p w14:paraId="57E61257"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305A764A"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1978B0D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4624747B"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0.151</w:t>
            </w:r>
          </w:p>
        </w:tc>
        <w:tc>
          <w:tcPr>
            <w:tcW w:w="972" w:type="pct"/>
            <w:noWrap/>
            <w:vAlign w:val="center"/>
          </w:tcPr>
          <w:p w14:paraId="7F9566C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w:t>
            </w:r>
          </w:p>
        </w:tc>
      </w:tr>
      <w:tr w:rsidR="00DC5685" w:rsidRPr="00A34F10" w14:paraId="5B5EAE39" w14:textId="77777777" w:rsidTr="000470C3">
        <w:tc>
          <w:tcPr>
            <w:tcW w:w="1217" w:type="pct"/>
            <w:vMerge w:val="restart"/>
            <w:noWrap/>
            <w:vAlign w:val="center"/>
          </w:tcPr>
          <w:p w14:paraId="3E11D69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31.3</w:t>
            </w:r>
          </w:p>
        </w:tc>
        <w:tc>
          <w:tcPr>
            <w:tcW w:w="1473" w:type="pct"/>
            <w:vMerge w:val="restart"/>
            <w:vAlign w:val="center"/>
          </w:tcPr>
          <w:p w14:paraId="4D61CA7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4.01</w:t>
            </w:r>
          </w:p>
        </w:tc>
        <w:tc>
          <w:tcPr>
            <w:tcW w:w="624" w:type="pct"/>
            <w:noWrap/>
            <w:vAlign w:val="center"/>
          </w:tcPr>
          <w:p w14:paraId="3BA1749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3C02057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4.04</w:t>
            </w:r>
          </w:p>
        </w:tc>
        <w:tc>
          <w:tcPr>
            <w:tcW w:w="972" w:type="pct"/>
            <w:noWrap/>
            <w:vAlign w:val="center"/>
          </w:tcPr>
          <w:p w14:paraId="34988CC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101</w:t>
            </w:r>
          </w:p>
        </w:tc>
      </w:tr>
      <w:tr w:rsidR="00DC5685" w:rsidRPr="00A34F10" w14:paraId="7D6111CE" w14:textId="77777777" w:rsidTr="000470C3">
        <w:tc>
          <w:tcPr>
            <w:tcW w:w="1217" w:type="pct"/>
            <w:vMerge/>
            <w:noWrap/>
            <w:vAlign w:val="center"/>
          </w:tcPr>
          <w:p w14:paraId="5A4EB66B"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18B90E6D"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0E6B202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3EBC2BC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3.86</w:t>
            </w:r>
          </w:p>
        </w:tc>
        <w:tc>
          <w:tcPr>
            <w:tcW w:w="972" w:type="pct"/>
            <w:noWrap/>
            <w:vAlign w:val="center"/>
          </w:tcPr>
          <w:p w14:paraId="53E7C44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96</w:t>
            </w:r>
          </w:p>
        </w:tc>
      </w:tr>
      <w:tr w:rsidR="00DC5685" w:rsidRPr="00A34F10" w14:paraId="2E96CEFB" w14:textId="77777777" w:rsidTr="000470C3">
        <w:tc>
          <w:tcPr>
            <w:tcW w:w="1217" w:type="pct"/>
            <w:vMerge/>
            <w:noWrap/>
            <w:vAlign w:val="center"/>
          </w:tcPr>
          <w:p w14:paraId="0FF51961"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48DB565C"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218CE32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34F275C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2.44</w:t>
            </w:r>
          </w:p>
        </w:tc>
        <w:tc>
          <w:tcPr>
            <w:tcW w:w="972" w:type="pct"/>
            <w:noWrap/>
            <w:vAlign w:val="center"/>
          </w:tcPr>
          <w:p w14:paraId="549D38B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61</w:t>
            </w:r>
          </w:p>
        </w:tc>
      </w:tr>
      <w:tr w:rsidR="00DC5685" w:rsidRPr="00A34F10" w14:paraId="41401247" w14:textId="77777777" w:rsidTr="000470C3">
        <w:tc>
          <w:tcPr>
            <w:tcW w:w="1217" w:type="pct"/>
            <w:vMerge w:val="restart"/>
            <w:noWrap/>
            <w:vAlign w:val="center"/>
          </w:tcPr>
          <w:p w14:paraId="6A8F339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100</w:t>
            </w:r>
          </w:p>
        </w:tc>
        <w:tc>
          <w:tcPr>
            <w:tcW w:w="1473" w:type="pct"/>
            <w:vMerge w:val="restart"/>
            <w:vAlign w:val="center"/>
          </w:tcPr>
          <w:p w14:paraId="12BC3CB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12.8</w:t>
            </w:r>
          </w:p>
        </w:tc>
        <w:tc>
          <w:tcPr>
            <w:tcW w:w="624" w:type="pct"/>
            <w:noWrap/>
            <w:vAlign w:val="center"/>
          </w:tcPr>
          <w:p w14:paraId="5A713BA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14" w:type="pct"/>
            <w:noWrap/>
            <w:vAlign w:val="center"/>
          </w:tcPr>
          <w:p w14:paraId="450A37FB"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13.1</w:t>
            </w:r>
          </w:p>
        </w:tc>
        <w:tc>
          <w:tcPr>
            <w:tcW w:w="972" w:type="pct"/>
            <w:noWrap/>
            <w:vAlign w:val="center"/>
          </w:tcPr>
          <w:p w14:paraId="3412688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102</w:t>
            </w:r>
          </w:p>
        </w:tc>
      </w:tr>
      <w:tr w:rsidR="00DC5685" w:rsidRPr="00A34F10" w14:paraId="0CDC98AB" w14:textId="77777777" w:rsidTr="000470C3">
        <w:tc>
          <w:tcPr>
            <w:tcW w:w="1217" w:type="pct"/>
            <w:vMerge/>
            <w:noWrap/>
            <w:vAlign w:val="center"/>
          </w:tcPr>
          <w:p w14:paraId="5209F978"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63B45BF7"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1938F7B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14" w:type="pct"/>
            <w:noWrap/>
            <w:vAlign w:val="center"/>
          </w:tcPr>
          <w:p w14:paraId="3984BB7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12.5</w:t>
            </w:r>
          </w:p>
        </w:tc>
        <w:tc>
          <w:tcPr>
            <w:tcW w:w="972" w:type="pct"/>
            <w:noWrap/>
            <w:vAlign w:val="center"/>
          </w:tcPr>
          <w:p w14:paraId="3417B73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98</w:t>
            </w:r>
          </w:p>
        </w:tc>
      </w:tr>
      <w:tr w:rsidR="00DC5685" w:rsidRPr="00A34F10" w14:paraId="44148ACD" w14:textId="77777777" w:rsidTr="000470C3">
        <w:tc>
          <w:tcPr>
            <w:tcW w:w="1217" w:type="pct"/>
            <w:vMerge/>
            <w:noWrap/>
            <w:vAlign w:val="center"/>
          </w:tcPr>
          <w:p w14:paraId="05D989E1" w14:textId="77777777" w:rsidR="00DC5685" w:rsidRPr="00A34F10" w:rsidRDefault="00DC5685" w:rsidP="00DC5685">
            <w:pPr>
              <w:keepNext/>
              <w:keepLines/>
              <w:spacing w:before="60" w:after="60"/>
              <w:ind w:left="57" w:right="57"/>
              <w:rPr>
                <w:color w:val="000000"/>
                <w:sz w:val="20"/>
                <w:szCs w:val="20"/>
                <w:lang w:val="en-GB"/>
              </w:rPr>
            </w:pPr>
          </w:p>
        </w:tc>
        <w:tc>
          <w:tcPr>
            <w:tcW w:w="1473" w:type="pct"/>
            <w:vMerge/>
            <w:vAlign w:val="center"/>
          </w:tcPr>
          <w:p w14:paraId="058B213B" w14:textId="77777777" w:rsidR="00DC5685" w:rsidRPr="00A34F10" w:rsidRDefault="00DC5685" w:rsidP="00DC5685">
            <w:pPr>
              <w:keepNext/>
              <w:keepLines/>
              <w:spacing w:before="60" w:after="60"/>
              <w:ind w:left="57" w:right="57"/>
              <w:rPr>
                <w:color w:val="000000"/>
                <w:sz w:val="20"/>
                <w:szCs w:val="20"/>
                <w:lang w:val="en-GB"/>
              </w:rPr>
            </w:pPr>
          </w:p>
        </w:tc>
        <w:tc>
          <w:tcPr>
            <w:tcW w:w="624" w:type="pct"/>
            <w:noWrap/>
            <w:vAlign w:val="center"/>
          </w:tcPr>
          <w:p w14:paraId="4586998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14" w:type="pct"/>
            <w:noWrap/>
            <w:vAlign w:val="center"/>
          </w:tcPr>
          <w:p w14:paraId="57BC48EC"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9.85</w:t>
            </w:r>
          </w:p>
        </w:tc>
        <w:tc>
          <w:tcPr>
            <w:tcW w:w="972" w:type="pct"/>
            <w:noWrap/>
            <w:vAlign w:val="center"/>
          </w:tcPr>
          <w:p w14:paraId="6D467C1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77</w:t>
            </w:r>
          </w:p>
        </w:tc>
      </w:tr>
    </w:tbl>
    <w:p w14:paraId="631DB6B5" w14:textId="07C5BA12" w:rsidR="00E83096" w:rsidRPr="00A34F10" w:rsidRDefault="00DC5685" w:rsidP="00DC5685">
      <w:pPr>
        <w:tabs>
          <w:tab w:val="left" w:pos="709"/>
          <w:tab w:val="left" w:pos="1440"/>
          <w:tab w:val="left" w:pos="2880"/>
          <w:tab w:val="left" w:pos="3892"/>
        </w:tabs>
        <w:spacing w:after="360"/>
        <w:ind w:right="142"/>
        <w:jc w:val="both"/>
        <w:rPr>
          <w:sz w:val="18"/>
          <w:szCs w:val="18"/>
          <w:lang w:val="x-none"/>
        </w:rPr>
      </w:pPr>
      <w:r w:rsidRPr="00A34F10">
        <w:rPr>
          <w:sz w:val="18"/>
          <w:szCs w:val="18"/>
          <w:lang w:val="x-none"/>
        </w:rPr>
        <w:t>- = not calculated; LOD = 0.00360 mg/L ametoctradin; LOQ = 0.0122 mg/L ametoctradin</w:t>
      </w:r>
    </w:p>
    <w:p w14:paraId="2A472E3E" w14:textId="77777777" w:rsidR="00DC5685" w:rsidRPr="00A34F10" w:rsidRDefault="00E83096" w:rsidP="00E83096">
      <w:r w:rsidRPr="00A34F10">
        <w:br w:type="page"/>
      </w:r>
    </w:p>
    <w:p w14:paraId="05F72E9A" w14:textId="67BA2766" w:rsidR="00DC5685" w:rsidRPr="00A34F10" w:rsidRDefault="00EA3876" w:rsidP="00EA3876">
      <w:pPr>
        <w:pStyle w:val="Legenda"/>
        <w:rPr>
          <w:highlight w:val="yellow"/>
        </w:rPr>
      </w:pPr>
      <w:r>
        <w:lastRenderedPageBreak/>
        <w:t xml:space="preserve">Table A </w:t>
      </w:r>
      <w:r>
        <w:fldChar w:fldCharType="begin"/>
      </w:r>
      <w:r>
        <w:instrText xml:space="preserve"> SEQ Table_A \* ARABIC </w:instrText>
      </w:r>
      <w:r>
        <w:fldChar w:fldCharType="separate"/>
      </w:r>
      <w:r w:rsidR="006F0F3B">
        <w:rPr>
          <w:noProof/>
        </w:rPr>
        <w:t>20</w:t>
      </w:r>
      <w:r>
        <w:fldChar w:fldCharType="end"/>
      </w:r>
      <w:r w:rsidR="00E83096" w:rsidRPr="00A34F10">
        <w:t>:</w:t>
      </w:r>
      <w:r w:rsidR="00DC5685" w:rsidRPr="00A34F10">
        <w:tab/>
        <w:t xml:space="preserve">Measured concentrations of propamocarb in the exposure solutions </w:t>
      </w:r>
    </w:p>
    <w:tbl>
      <w:tblPr>
        <w:tblStyle w:val="Tabela-Siatka"/>
        <w:tblW w:w="5000" w:type="pct"/>
        <w:tblLook w:val="0000" w:firstRow="0" w:lastRow="0" w:firstColumn="0" w:lastColumn="0" w:noHBand="0" w:noVBand="0"/>
      </w:tblPr>
      <w:tblGrid>
        <w:gridCol w:w="2217"/>
        <w:gridCol w:w="2564"/>
        <w:gridCol w:w="1336"/>
        <w:gridCol w:w="1463"/>
        <w:gridCol w:w="1764"/>
      </w:tblGrid>
      <w:tr w:rsidR="00DC5685" w:rsidRPr="00A34F10" w14:paraId="4C62A900" w14:textId="77777777" w:rsidTr="000470C3">
        <w:tc>
          <w:tcPr>
            <w:tcW w:w="1186" w:type="pct"/>
            <w:vMerge w:val="restart"/>
            <w:vAlign w:val="center"/>
          </w:tcPr>
          <w:p w14:paraId="76C36C2F"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 xml:space="preserve">Test item nominal </w:t>
            </w:r>
            <w:r w:rsidRPr="00A34F10">
              <w:rPr>
                <w:b/>
                <w:color w:val="000000"/>
                <w:sz w:val="20"/>
                <w:szCs w:val="20"/>
                <w:lang w:val="en-GB"/>
              </w:rPr>
              <w:br/>
              <w:t>[mg product/L]</w:t>
            </w:r>
          </w:p>
        </w:tc>
        <w:tc>
          <w:tcPr>
            <w:tcW w:w="1372" w:type="pct"/>
            <w:vMerge w:val="restart"/>
            <w:noWrap/>
            <w:vAlign w:val="center"/>
          </w:tcPr>
          <w:p w14:paraId="421A47A7" w14:textId="77777777" w:rsidR="00DC5685" w:rsidRPr="00A34F10" w:rsidRDefault="00DC5685" w:rsidP="00DC5685">
            <w:pPr>
              <w:keepNext/>
              <w:keepLines/>
              <w:spacing w:before="60" w:after="60"/>
              <w:ind w:left="57" w:right="57"/>
              <w:rPr>
                <w:b/>
                <w:color w:val="000000"/>
                <w:sz w:val="20"/>
                <w:szCs w:val="20"/>
                <w:lang w:val="en-GB"/>
              </w:rPr>
            </w:pPr>
            <w:r w:rsidRPr="00A34F10">
              <w:rPr>
                <w:b/>
                <w:bCs/>
                <w:sz w:val="20"/>
                <w:szCs w:val="20"/>
                <w:lang w:val="en-GB"/>
              </w:rPr>
              <w:t>Nominal Concentration</w:t>
            </w:r>
            <w:r w:rsidRPr="00A34F10">
              <w:rPr>
                <w:b/>
                <w:color w:val="000000"/>
                <w:sz w:val="20"/>
                <w:szCs w:val="20"/>
                <w:lang w:val="en-GB"/>
              </w:rPr>
              <w:br/>
              <w:t>[mg/ a.s.L]</w:t>
            </w:r>
          </w:p>
        </w:tc>
        <w:tc>
          <w:tcPr>
            <w:tcW w:w="715" w:type="pct"/>
            <w:vMerge w:val="restart"/>
          </w:tcPr>
          <w:p w14:paraId="053B9FD2"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Sampling</w:t>
            </w:r>
          </w:p>
        </w:tc>
        <w:tc>
          <w:tcPr>
            <w:tcW w:w="1726" w:type="pct"/>
            <w:gridSpan w:val="2"/>
            <w:noWrap/>
            <w:vAlign w:val="center"/>
          </w:tcPr>
          <w:p w14:paraId="5B6F0012" w14:textId="77777777" w:rsidR="00DC5685" w:rsidRPr="00A34F10" w:rsidRDefault="00DC5685" w:rsidP="00DC5685">
            <w:pPr>
              <w:keepNext/>
              <w:keepLines/>
              <w:spacing w:before="60" w:after="60"/>
              <w:ind w:left="57" w:right="57"/>
              <w:rPr>
                <w:b/>
                <w:color w:val="000000"/>
                <w:sz w:val="20"/>
                <w:szCs w:val="20"/>
                <w:lang w:val="en-GB"/>
              </w:rPr>
            </w:pPr>
            <w:r w:rsidRPr="00A34F10">
              <w:rPr>
                <w:b/>
                <w:bCs/>
                <w:sz w:val="20"/>
                <w:szCs w:val="20"/>
                <w:lang w:val="en-GB"/>
              </w:rPr>
              <w:t xml:space="preserve">Measured Concentration </w:t>
            </w:r>
          </w:p>
        </w:tc>
      </w:tr>
      <w:tr w:rsidR="00DC5685" w:rsidRPr="00A34F10" w14:paraId="1A2F58AB" w14:textId="77777777" w:rsidTr="000470C3">
        <w:tc>
          <w:tcPr>
            <w:tcW w:w="1186" w:type="pct"/>
            <w:vMerge/>
          </w:tcPr>
          <w:p w14:paraId="7FFA4581" w14:textId="77777777" w:rsidR="00DC5685" w:rsidRPr="00A34F10" w:rsidRDefault="00DC5685" w:rsidP="00DC5685">
            <w:pPr>
              <w:keepNext/>
              <w:keepLines/>
              <w:spacing w:before="60" w:after="60"/>
              <w:ind w:left="57" w:right="57"/>
              <w:rPr>
                <w:b/>
                <w:color w:val="000000"/>
                <w:sz w:val="20"/>
                <w:szCs w:val="20"/>
                <w:lang w:val="en-GB"/>
              </w:rPr>
            </w:pPr>
          </w:p>
        </w:tc>
        <w:tc>
          <w:tcPr>
            <w:tcW w:w="1372" w:type="pct"/>
            <w:vMerge/>
          </w:tcPr>
          <w:p w14:paraId="3F496445" w14:textId="77777777" w:rsidR="00DC5685" w:rsidRPr="00A34F10" w:rsidRDefault="00DC5685" w:rsidP="00DC5685">
            <w:pPr>
              <w:keepNext/>
              <w:keepLines/>
              <w:spacing w:before="60" w:after="60"/>
              <w:ind w:left="57" w:right="57"/>
              <w:rPr>
                <w:b/>
                <w:color w:val="000000"/>
                <w:sz w:val="20"/>
                <w:szCs w:val="20"/>
                <w:lang w:val="en-GB"/>
              </w:rPr>
            </w:pPr>
          </w:p>
        </w:tc>
        <w:tc>
          <w:tcPr>
            <w:tcW w:w="715" w:type="pct"/>
            <w:vMerge/>
          </w:tcPr>
          <w:p w14:paraId="7D986F06" w14:textId="77777777" w:rsidR="00DC5685" w:rsidRPr="00A34F10" w:rsidRDefault="00DC5685" w:rsidP="00DC5685">
            <w:pPr>
              <w:keepNext/>
              <w:keepLines/>
              <w:spacing w:before="60" w:after="60"/>
              <w:ind w:left="57" w:right="57"/>
              <w:rPr>
                <w:b/>
                <w:color w:val="000000"/>
                <w:sz w:val="20"/>
                <w:szCs w:val="20"/>
                <w:lang w:val="en-GB"/>
              </w:rPr>
            </w:pPr>
          </w:p>
        </w:tc>
        <w:tc>
          <w:tcPr>
            <w:tcW w:w="783" w:type="pct"/>
            <w:vAlign w:val="center"/>
          </w:tcPr>
          <w:p w14:paraId="5BE82FB7"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[mg a.s./L]</w:t>
            </w:r>
          </w:p>
        </w:tc>
        <w:tc>
          <w:tcPr>
            <w:tcW w:w="944" w:type="pct"/>
          </w:tcPr>
          <w:p w14:paraId="757B671A"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 of nominal</w:t>
            </w:r>
          </w:p>
        </w:tc>
      </w:tr>
      <w:tr w:rsidR="00DC5685" w:rsidRPr="00A34F10" w14:paraId="5CAF9ECB" w14:textId="77777777" w:rsidTr="000470C3">
        <w:tc>
          <w:tcPr>
            <w:tcW w:w="1186" w:type="pct"/>
            <w:vMerge w:val="restart"/>
            <w:noWrap/>
            <w:vAlign w:val="center"/>
          </w:tcPr>
          <w:p w14:paraId="2569544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Control</w:t>
            </w:r>
          </w:p>
        </w:tc>
        <w:tc>
          <w:tcPr>
            <w:tcW w:w="1372" w:type="pct"/>
            <w:vMerge w:val="restart"/>
            <w:vAlign w:val="center"/>
          </w:tcPr>
          <w:p w14:paraId="54D36F4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w:t>
            </w:r>
          </w:p>
        </w:tc>
        <w:tc>
          <w:tcPr>
            <w:tcW w:w="715" w:type="pct"/>
            <w:noWrap/>
            <w:vAlign w:val="center"/>
          </w:tcPr>
          <w:p w14:paraId="4E5FD85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4DFA951C"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44" w:type="pct"/>
            <w:noWrap/>
            <w:vAlign w:val="center"/>
          </w:tcPr>
          <w:p w14:paraId="21372C6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3E5D6444" w14:textId="77777777" w:rsidTr="000470C3">
        <w:tc>
          <w:tcPr>
            <w:tcW w:w="1186" w:type="pct"/>
            <w:vMerge/>
            <w:noWrap/>
            <w:vAlign w:val="center"/>
          </w:tcPr>
          <w:p w14:paraId="586BCC1A"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3A81F30A"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2655883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3A56BD8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44" w:type="pct"/>
            <w:noWrap/>
            <w:vAlign w:val="center"/>
          </w:tcPr>
          <w:p w14:paraId="2CB1DC4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0BF9C93B" w14:textId="77777777" w:rsidTr="000470C3">
        <w:tc>
          <w:tcPr>
            <w:tcW w:w="1186" w:type="pct"/>
            <w:vMerge/>
            <w:noWrap/>
            <w:vAlign w:val="center"/>
          </w:tcPr>
          <w:p w14:paraId="1FDC6CEE"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664BB356"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012BD20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0924D34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&lt; LOD</w:t>
            </w:r>
          </w:p>
        </w:tc>
        <w:tc>
          <w:tcPr>
            <w:tcW w:w="944" w:type="pct"/>
            <w:noWrap/>
            <w:vAlign w:val="center"/>
          </w:tcPr>
          <w:p w14:paraId="64C8F20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w:t>
            </w:r>
          </w:p>
        </w:tc>
      </w:tr>
      <w:tr w:rsidR="00DC5685" w:rsidRPr="00A34F10" w14:paraId="798E0564" w14:textId="77777777" w:rsidTr="000470C3">
        <w:tc>
          <w:tcPr>
            <w:tcW w:w="1186" w:type="pct"/>
            <w:vMerge w:val="restart"/>
            <w:noWrap/>
            <w:vAlign w:val="center"/>
          </w:tcPr>
          <w:p w14:paraId="08A98D9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0.954</w:t>
            </w:r>
          </w:p>
        </w:tc>
        <w:tc>
          <w:tcPr>
            <w:tcW w:w="1372" w:type="pct"/>
            <w:vMerge w:val="restart"/>
            <w:vAlign w:val="center"/>
          </w:tcPr>
          <w:p w14:paraId="6BA9935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0.381</w:t>
            </w:r>
          </w:p>
        </w:tc>
        <w:tc>
          <w:tcPr>
            <w:tcW w:w="715" w:type="pct"/>
            <w:noWrap/>
            <w:vAlign w:val="center"/>
          </w:tcPr>
          <w:p w14:paraId="6385BD3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1CB85D0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0.400</w:t>
            </w:r>
          </w:p>
        </w:tc>
        <w:tc>
          <w:tcPr>
            <w:tcW w:w="944" w:type="pct"/>
            <w:noWrap/>
            <w:vAlign w:val="center"/>
          </w:tcPr>
          <w:p w14:paraId="67D5363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105</w:t>
            </w:r>
          </w:p>
        </w:tc>
      </w:tr>
      <w:tr w:rsidR="00DC5685" w:rsidRPr="00A34F10" w14:paraId="14938DCA" w14:textId="77777777" w:rsidTr="000470C3">
        <w:tc>
          <w:tcPr>
            <w:tcW w:w="1186" w:type="pct"/>
            <w:vMerge/>
            <w:noWrap/>
            <w:vAlign w:val="center"/>
          </w:tcPr>
          <w:p w14:paraId="5871C19E"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1F1DA0A5"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4EA8900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33AAAF0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0.426</w:t>
            </w:r>
          </w:p>
        </w:tc>
        <w:tc>
          <w:tcPr>
            <w:tcW w:w="944" w:type="pct"/>
            <w:noWrap/>
            <w:vAlign w:val="center"/>
          </w:tcPr>
          <w:p w14:paraId="36090F0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112</w:t>
            </w:r>
          </w:p>
        </w:tc>
      </w:tr>
      <w:tr w:rsidR="00DC5685" w:rsidRPr="00A34F10" w14:paraId="0B952ED8" w14:textId="77777777" w:rsidTr="000470C3">
        <w:tc>
          <w:tcPr>
            <w:tcW w:w="1186" w:type="pct"/>
            <w:vMerge/>
            <w:noWrap/>
            <w:vAlign w:val="center"/>
          </w:tcPr>
          <w:p w14:paraId="7BB341F7"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26F69ACA"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5D9D0D2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6D0F505C"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0.377</w:t>
            </w:r>
          </w:p>
        </w:tc>
        <w:tc>
          <w:tcPr>
            <w:tcW w:w="944" w:type="pct"/>
            <w:noWrap/>
            <w:vAlign w:val="center"/>
          </w:tcPr>
          <w:p w14:paraId="7F8AD18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99</w:t>
            </w:r>
          </w:p>
        </w:tc>
      </w:tr>
      <w:tr w:rsidR="00DC5685" w:rsidRPr="00A34F10" w14:paraId="38F31761" w14:textId="77777777" w:rsidTr="000470C3">
        <w:tc>
          <w:tcPr>
            <w:tcW w:w="1186" w:type="pct"/>
            <w:vMerge w:val="restart"/>
            <w:noWrap/>
            <w:vAlign w:val="center"/>
          </w:tcPr>
          <w:p w14:paraId="7532BF4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3.05</w:t>
            </w:r>
          </w:p>
        </w:tc>
        <w:tc>
          <w:tcPr>
            <w:tcW w:w="1372" w:type="pct"/>
            <w:vMerge w:val="restart"/>
            <w:vAlign w:val="center"/>
          </w:tcPr>
          <w:p w14:paraId="36DFEF9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1.22</w:t>
            </w:r>
          </w:p>
        </w:tc>
        <w:tc>
          <w:tcPr>
            <w:tcW w:w="715" w:type="pct"/>
            <w:noWrap/>
            <w:vAlign w:val="center"/>
          </w:tcPr>
          <w:p w14:paraId="47F738B7"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72479B8B"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1.29</w:t>
            </w:r>
          </w:p>
        </w:tc>
        <w:tc>
          <w:tcPr>
            <w:tcW w:w="944" w:type="pct"/>
            <w:noWrap/>
            <w:vAlign w:val="center"/>
          </w:tcPr>
          <w:p w14:paraId="4027263F"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106</w:t>
            </w:r>
          </w:p>
        </w:tc>
      </w:tr>
      <w:tr w:rsidR="00DC5685" w:rsidRPr="00A34F10" w14:paraId="28D40FA2" w14:textId="77777777" w:rsidTr="000470C3">
        <w:tc>
          <w:tcPr>
            <w:tcW w:w="1186" w:type="pct"/>
            <w:vMerge/>
            <w:noWrap/>
            <w:vAlign w:val="center"/>
          </w:tcPr>
          <w:p w14:paraId="60D4AB91"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59C6D6E1"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3C2E639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5AAF2FE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1.30</w:t>
            </w:r>
          </w:p>
        </w:tc>
        <w:tc>
          <w:tcPr>
            <w:tcW w:w="944" w:type="pct"/>
            <w:noWrap/>
            <w:vAlign w:val="center"/>
          </w:tcPr>
          <w:p w14:paraId="0DCDBCE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107</w:t>
            </w:r>
          </w:p>
        </w:tc>
      </w:tr>
      <w:tr w:rsidR="00DC5685" w:rsidRPr="00A34F10" w14:paraId="049552E1" w14:textId="77777777" w:rsidTr="000470C3">
        <w:tc>
          <w:tcPr>
            <w:tcW w:w="1186" w:type="pct"/>
            <w:vMerge/>
            <w:noWrap/>
            <w:vAlign w:val="center"/>
          </w:tcPr>
          <w:p w14:paraId="6A68720C"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43EC190A"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538976F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5BA4BB0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1.33</w:t>
            </w:r>
          </w:p>
        </w:tc>
        <w:tc>
          <w:tcPr>
            <w:tcW w:w="944" w:type="pct"/>
            <w:noWrap/>
            <w:vAlign w:val="center"/>
          </w:tcPr>
          <w:p w14:paraId="59A75C8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109</w:t>
            </w:r>
          </w:p>
        </w:tc>
      </w:tr>
      <w:tr w:rsidR="00DC5685" w:rsidRPr="00A34F10" w14:paraId="7415AFAE" w14:textId="77777777" w:rsidTr="000470C3">
        <w:tc>
          <w:tcPr>
            <w:tcW w:w="1186" w:type="pct"/>
            <w:vMerge w:val="restart"/>
            <w:noWrap/>
            <w:vAlign w:val="center"/>
          </w:tcPr>
          <w:p w14:paraId="6F993F2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9.77</w:t>
            </w:r>
          </w:p>
        </w:tc>
        <w:tc>
          <w:tcPr>
            <w:tcW w:w="1372" w:type="pct"/>
            <w:vMerge w:val="restart"/>
            <w:vAlign w:val="center"/>
          </w:tcPr>
          <w:p w14:paraId="65199F7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3.90</w:t>
            </w:r>
          </w:p>
        </w:tc>
        <w:tc>
          <w:tcPr>
            <w:tcW w:w="715" w:type="pct"/>
            <w:noWrap/>
            <w:vAlign w:val="center"/>
          </w:tcPr>
          <w:p w14:paraId="2306F39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5CBBC88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4.02</w:t>
            </w:r>
          </w:p>
        </w:tc>
        <w:tc>
          <w:tcPr>
            <w:tcW w:w="944" w:type="pct"/>
            <w:noWrap/>
            <w:vAlign w:val="center"/>
          </w:tcPr>
          <w:p w14:paraId="2B082F9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103</w:t>
            </w:r>
          </w:p>
        </w:tc>
      </w:tr>
      <w:tr w:rsidR="00DC5685" w:rsidRPr="00A34F10" w14:paraId="31A90696" w14:textId="77777777" w:rsidTr="000470C3">
        <w:tc>
          <w:tcPr>
            <w:tcW w:w="1186" w:type="pct"/>
            <w:vMerge/>
            <w:noWrap/>
            <w:vAlign w:val="center"/>
          </w:tcPr>
          <w:p w14:paraId="7F019686"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7AF89DAB"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2EC5A73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6FAD2A8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3.84</w:t>
            </w:r>
          </w:p>
        </w:tc>
        <w:tc>
          <w:tcPr>
            <w:tcW w:w="944" w:type="pct"/>
            <w:noWrap/>
            <w:vAlign w:val="center"/>
          </w:tcPr>
          <w:p w14:paraId="614510F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98</w:t>
            </w:r>
          </w:p>
        </w:tc>
      </w:tr>
      <w:tr w:rsidR="00DC5685" w:rsidRPr="00A34F10" w14:paraId="43785326" w14:textId="77777777" w:rsidTr="000470C3">
        <w:tc>
          <w:tcPr>
            <w:tcW w:w="1186" w:type="pct"/>
            <w:vMerge/>
            <w:noWrap/>
            <w:vAlign w:val="center"/>
          </w:tcPr>
          <w:p w14:paraId="3C6E7213"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741B049D"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4B8CE05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7687334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3.84</w:t>
            </w:r>
          </w:p>
        </w:tc>
        <w:tc>
          <w:tcPr>
            <w:tcW w:w="944" w:type="pct"/>
            <w:noWrap/>
            <w:vAlign w:val="center"/>
          </w:tcPr>
          <w:p w14:paraId="3BC65A0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98</w:t>
            </w:r>
          </w:p>
        </w:tc>
      </w:tr>
      <w:tr w:rsidR="00DC5685" w:rsidRPr="00A34F10" w14:paraId="3400B531" w14:textId="77777777" w:rsidTr="000470C3">
        <w:tc>
          <w:tcPr>
            <w:tcW w:w="1186" w:type="pct"/>
            <w:vMerge w:val="restart"/>
            <w:noWrap/>
            <w:vAlign w:val="center"/>
          </w:tcPr>
          <w:p w14:paraId="7A1AB0C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31.3</w:t>
            </w:r>
          </w:p>
        </w:tc>
        <w:tc>
          <w:tcPr>
            <w:tcW w:w="1372" w:type="pct"/>
            <w:vMerge w:val="restart"/>
            <w:vAlign w:val="center"/>
          </w:tcPr>
          <w:p w14:paraId="6CFC58D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12.5</w:t>
            </w:r>
          </w:p>
        </w:tc>
        <w:tc>
          <w:tcPr>
            <w:tcW w:w="715" w:type="pct"/>
            <w:noWrap/>
            <w:vAlign w:val="center"/>
          </w:tcPr>
          <w:p w14:paraId="27E94A3C"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3BD1ABB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13.2</w:t>
            </w:r>
          </w:p>
        </w:tc>
        <w:tc>
          <w:tcPr>
            <w:tcW w:w="944" w:type="pct"/>
            <w:noWrap/>
            <w:vAlign w:val="center"/>
          </w:tcPr>
          <w:p w14:paraId="75B4CBF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106</w:t>
            </w:r>
          </w:p>
        </w:tc>
      </w:tr>
      <w:tr w:rsidR="00DC5685" w:rsidRPr="00A34F10" w14:paraId="5D245872" w14:textId="77777777" w:rsidTr="000470C3">
        <w:tc>
          <w:tcPr>
            <w:tcW w:w="1186" w:type="pct"/>
            <w:vMerge/>
            <w:noWrap/>
            <w:vAlign w:val="center"/>
          </w:tcPr>
          <w:p w14:paraId="1A33EE26"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5543D702"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269C523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560A4CA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13.1</w:t>
            </w:r>
          </w:p>
        </w:tc>
        <w:tc>
          <w:tcPr>
            <w:tcW w:w="944" w:type="pct"/>
            <w:noWrap/>
            <w:vAlign w:val="center"/>
          </w:tcPr>
          <w:p w14:paraId="642AE87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105</w:t>
            </w:r>
          </w:p>
        </w:tc>
      </w:tr>
      <w:tr w:rsidR="00DC5685" w:rsidRPr="00A34F10" w14:paraId="2EEEC205" w14:textId="77777777" w:rsidTr="000470C3">
        <w:tc>
          <w:tcPr>
            <w:tcW w:w="1186" w:type="pct"/>
            <w:vMerge/>
            <w:noWrap/>
            <w:vAlign w:val="center"/>
          </w:tcPr>
          <w:p w14:paraId="5661F0FE"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0667297A"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3EAEE1B2"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5615423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13.3</w:t>
            </w:r>
          </w:p>
        </w:tc>
        <w:tc>
          <w:tcPr>
            <w:tcW w:w="944" w:type="pct"/>
            <w:noWrap/>
            <w:vAlign w:val="center"/>
          </w:tcPr>
          <w:p w14:paraId="089A9FB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106</w:t>
            </w:r>
          </w:p>
        </w:tc>
      </w:tr>
      <w:tr w:rsidR="00DC5685" w:rsidRPr="00A34F10" w14:paraId="7B0CD97D" w14:textId="77777777" w:rsidTr="000470C3">
        <w:tc>
          <w:tcPr>
            <w:tcW w:w="1186" w:type="pct"/>
            <w:vMerge w:val="restart"/>
            <w:noWrap/>
            <w:vAlign w:val="center"/>
          </w:tcPr>
          <w:p w14:paraId="189601AD"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100</w:t>
            </w:r>
          </w:p>
        </w:tc>
        <w:tc>
          <w:tcPr>
            <w:tcW w:w="1372" w:type="pct"/>
            <w:vMerge w:val="restart"/>
            <w:vAlign w:val="center"/>
          </w:tcPr>
          <w:p w14:paraId="4DCB04B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39.9</w:t>
            </w:r>
          </w:p>
        </w:tc>
        <w:tc>
          <w:tcPr>
            <w:tcW w:w="715" w:type="pct"/>
            <w:noWrap/>
            <w:vAlign w:val="center"/>
          </w:tcPr>
          <w:p w14:paraId="0081BE06"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0 h fresh</w:t>
            </w:r>
          </w:p>
        </w:tc>
        <w:tc>
          <w:tcPr>
            <w:tcW w:w="783" w:type="pct"/>
            <w:noWrap/>
            <w:vAlign w:val="center"/>
          </w:tcPr>
          <w:p w14:paraId="0C63AD3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43.8</w:t>
            </w:r>
          </w:p>
        </w:tc>
        <w:tc>
          <w:tcPr>
            <w:tcW w:w="944" w:type="pct"/>
            <w:noWrap/>
            <w:vAlign w:val="center"/>
          </w:tcPr>
          <w:p w14:paraId="66F90A4B"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110</w:t>
            </w:r>
          </w:p>
        </w:tc>
      </w:tr>
      <w:tr w:rsidR="00DC5685" w:rsidRPr="00A34F10" w14:paraId="033C7CBF" w14:textId="77777777" w:rsidTr="000470C3">
        <w:tc>
          <w:tcPr>
            <w:tcW w:w="1186" w:type="pct"/>
            <w:vMerge/>
            <w:noWrap/>
            <w:vAlign w:val="center"/>
          </w:tcPr>
          <w:p w14:paraId="37008AB2"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2AD592ED"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5E7253C8"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24 h aged</w:t>
            </w:r>
          </w:p>
        </w:tc>
        <w:tc>
          <w:tcPr>
            <w:tcW w:w="783" w:type="pct"/>
            <w:noWrap/>
            <w:vAlign w:val="center"/>
          </w:tcPr>
          <w:p w14:paraId="6304F6A5"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38.7</w:t>
            </w:r>
          </w:p>
        </w:tc>
        <w:tc>
          <w:tcPr>
            <w:tcW w:w="944" w:type="pct"/>
            <w:noWrap/>
            <w:vAlign w:val="center"/>
          </w:tcPr>
          <w:p w14:paraId="507713B9"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97</w:t>
            </w:r>
          </w:p>
        </w:tc>
      </w:tr>
      <w:tr w:rsidR="00DC5685" w:rsidRPr="00A34F10" w14:paraId="5B8FE74D" w14:textId="77777777" w:rsidTr="000470C3">
        <w:tc>
          <w:tcPr>
            <w:tcW w:w="1186" w:type="pct"/>
            <w:vMerge/>
            <w:noWrap/>
            <w:vAlign w:val="center"/>
          </w:tcPr>
          <w:p w14:paraId="428A6B60" w14:textId="77777777" w:rsidR="00DC5685" w:rsidRPr="00A34F10" w:rsidRDefault="00DC5685" w:rsidP="00DC5685">
            <w:pPr>
              <w:keepNext/>
              <w:keepLines/>
              <w:spacing w:before="60" w:after="60"/>
              <w:ind w:left="57" w:right="57"/>
              <w:rPr>
                <w:color w:val="000000"/>
                <w:sz w:val="20"/>
                <w:szCs w:val="20"/>
                <w:lang w:val="en-GB"/>
              </w:rPr>
            </w:pPr>
          </w:p>
        </w:tc>
        <w:tc>
          <w:tcPr>
            <w:tcW w:w="1372" w:type="pct"/>
            <w:vMerge/>
            <w:vAlign w:val="center"/>
          </w:tcPr>
          <w:p w14:paraId="5346205C" w14:textId="77777777" w:rsidR="00DC5685" w:rsidRPr="00A34F10" w:rsidRDefault="00DC5685" w:rsidP="00DC5685">
            <w:pPr>
              <w:keepNext/>
              <w:keepLines/>
              <w:spacing w:before="60" w:after="60"/>
              <w:ind w:left="57" w:right="57"/>
              <w:rPr>
                <w:color w:val="000000"/>
                <w:sz w:val="20"/>
                <w:szCs w:val="20"/>
                <w:lang w:val="en-GB"/>
              </w:rPr>
            </w:pPr>
          </w:p>
        </w:tc>
        <w:tc>
          <w:tcPr>
            <w:tcW w:w="715" w:type="pct"/>
            <w:noWrap/>
            <w:vAlign w:val="center"/>
          </w:tcPr>
          <w:p w14:paraId="44545C2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 h aged</w:t>
            </w:r>
          </w:p>
        </w:tc>
        <w:tc>
          <w:tcPr>
            <w:tcW w:w="783" w:type="pct"/>
            <w:noWrap/>
            <w:vAlign w:val="center"/>
          </w:tcPr>
          <w:p w14:paraId="735F8813"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39.4</w:t>
            </w:r>
          </w:p>
        </w:tc>
        <w:tc>
          <w:tcPr>
            <w:tcW w:w="944" w:type="pct"/>
            <w:noWrap/>
            <w:vAlign w:val="center"/>
          </w:tcPr>
          <w:p w14:paraId="32F4272E"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99</w:t>
            </w:r>
          </w:p>
        </w:tc>
      </w:tr>
    </w:tbl>
    <w:p w14:paraId="58164D3E" w14:textId="4F46858B" w:rsidR="00E83096" w:rsidRPr="00A34F10" w:rsidRDefault="00DC5685" w:rsidP="00E83096">
      <w:pPr>
        <w:keepNext/>
        <w:keepLines/>
        <w:tabs>
          <w:tab w:val="left" w:pos="709"/>
          <w:tab w:val="left" w:pos="1440"/>
          <w:tab w:val="left" w:pos="2880"/>
          <w:tab w:val="left" w:pos="4321"/>
          <w:tab w:val="left" w:pos="5761"/>
        </w:tabs>
        <w:spacing w:after="360"/>
        <w:ind w:left="431" w:right="142" w:hanging="289"/>
        <w:jc w:val="both"/>
        <w:rPr>
          <w:sz w:val="18"/>
          <w:szCs w:val="18"/>
        </w:rPr>
      </w:pPr>
      <w:r w:rsidRPr="00A34F10">
        <w:rPr>
          <w:sz w:val="18"/>
          <w:szCs w:val="18"/>
        </w:rPr>
        <w:t>= not calculated; LOD = 0.0108 mg/L propamocarb; LOQ = 0.0381 mg/L propamocarb</w:t>
      </w:r>
    </w:p>
    <w:p w14:paraId="0E329CDD" w14:textId="77777777" w:rsidR="00DC5685" w:rsidRPr="00A34F10" w:rsidRDefault="00DC5685" w:rsidP="00E05ECD">
      <w:pPr>
        <w:numPr>
          <w:ilvl w:val="0"/>
          <w:numId w:val="41"/>
        </w:numPr>
        <w:ind w:left="284" w:hanging="284"/>
        <w:contextualSpacing/>
        <w:rPr>
          <w:b/>
          <w:bCs/>
          <w:caps/>
          <w:szCs w:val="24"/>
          <w:lang w:val="en-GB"/>
        </w:rPr>
      </w:pPr>
      <w:r w:rsidRPr="00A34F10">
        <w:rPr>
          <w:b/>
          <w:bCs/>
          <w:caps/>
          <w:szCs w:val="24"/>
          <w:lang w:val="en-GB"/>
        </w:rPr>
        <w:t>biological effects</w:t>
      </w:r>
    </w:p>
    <w:p w14:paraId="46B88D45" w14:textId="77777777" w:rsidR="00DC5685" w:rsidRPr="00A34F10" w:rsidRDefault="00DC5685" w:rsidP="00DC5685">
      <w:pPr>
        <w:ind w:left="284"/>
        <w:contextualSpacing/>
        <w:rPr>
          <w:b/>
          <w:bCs/>
          <w:caps/>
          <w:szCs w:val="24"/>
          <w:lang w:val="en-GB"/>
        </w:rPr>
      </w:pPr>
    </w:p>
    <w:p w14:paraId="311078BE" w14:textId="77777777" w:rsidR="00DC5685" w:rsidRPr="00A34F10" w:rsidRDefault="00DC5685" w:rsidP="00DC5685">
      <w:pPr>
        <w:spacing w:after="240"/>
        <w:jc w:val="both"/>
        <w:rPr>
          <w:lang w:val="en-GB"/>
        </w:rPr>
      </w:pPr>
      <w:r w:rsidRPr="00A34F10">
        <w:rPr>
          <w:lang w:val="en-GB"/>
        </w:rPr>
        <w:t xml:space="preserve">After 72 hours, at termination of the test, no concentration response relation was observed for the inhibition of growth rate and yield. The inhibition of growth rate peaked at 5.4 % at a nominal test item concentration of 100 mg product/L and the inhibition of yield peaked at 22.6 % at a nominal test item concentration of 100 mg product/L. The morphology of the algae cells was investigated microscopically at test end. The cells were considered normal for the control and up to and including a nominal test item concentration of 100 mg product/L. </w:t>
      </w:r>
    </w:p>
    <w:p w14:paraId="5FF4E158" w14:textId="77777777" w:rsidR="00DC5685" w:rsidRPr="00A34F10" w:rsidRDefault="00DC5685" w:rsidP="00DC5685">
      <w:pPr>
        <w:spacing w:after="240"/>
        <w:jc w:val="both"/>
        <w:rPr>
          <w:lang w:val="en-GB"/>
        </w:rPr>
      </w:pPr>
      <w:r w:rsidRPr="00A34F10">
        <w:rPr>
          <w:lang w:val="en-GB"/>
        </w:rPr>
        <w:t xml:space="preserve">Significant inhibitory effects were determined for growth rate at test item concentrations of 0.954 and 100 mg product/L. Since no statistically significant inhibition was observed at concentrations from 3.05 to 31.3 mg product/L (missing concentration-response relation), the statistically significant inhibition at 0.954 mg product/L for growth rate is not considered as test item related. </w:t>
      </w:r>
    </w:p>
    <w:p w14:paraId="1F9175CF" w14:textId="30FEAE04" w:rsidR="00DC5685" w:rsidRPr="00A34F10" w:rsidRDefault="00DC5685" w:rsidP="00DC5685">
      <w:pPr>
        <w:spacing w:after="240"/>
        <w:jc w:val="both"/>
        <w:rPr>
          <w:lang w:val="en-GB"/>
        </w:rPr>
      </w:pPr>
      <w:r w:rsidRPr="00A34F10">
        <w:rPr>
          <w:lang w:val="en-GB"/>
        </w:rPr>
        <w:t>For yield, significant inhibitory effects were determined at test item concentrations of 100 mg prodcut/L. The overall LOEC was therefore determined to be 100 mg product/L and the corresponding NOEC was set at 31.3 mg/L.</w:t>
      </w:r>
    </w:p>
    <w:p w14:paraId="557A9547" w14:textId="71D8F890" w:rsidR="00E83096" w:rsidRPr="00A34F10" w:rsidRDefault="00DC5685" w:rsidP="00DC5685">
      <w:pPr>
        <w:spacing w:after="240"/>
        <w:jc w:val="both"/>
        <w:rPr>
          <w:lang w:val="en-GB"/>
        </w:rPr>
      </w:pPr>
      <w:r w:rsidRPr="00A34F10">
        <w:rPr>
          <w:lang w:val="en-GB"/>
        </w:rPr>
        <w:t>A summary of the effects on cell density, yield and growth rate is presented in the following tables.</w:t>
      </w:r>
    </w:p>
    <w:p w14:paraId="5ABDB02A" w14:textId="3EE4B6AD" w:rsidR="00DC5685" w:rsidRPr="00A34F10" w:rsidRDefault="00E83096" w:rsidP="00EA3876">
      <w:pPr>
        <w:pStyle w:val="Legenda"/>
        <w:rPr>
          <w:color w:val="000000"/>
          <w:szCs w:val="28"/>
        </w:rPr>
      </w:pPr>
      <w:r w:rsidRPr="00A34F10">
        <w:br w:type="page"/>
      </w:r>
      <w:r w:rsidR="00EA3876">
        <w:lastRenderedPageBreak/>
        <w:t xml:space="preserve">Table A </w:t>
      </w:r>
      <w:r w:rsidR="00EA3876">
        <w:fldChar w:fldCharType="begin"/>
      </w:r>
      <w:r w:rsidR="00EA3876">
        <w:instrText xml:space="preserve"> SEQ Table_A \* ARABIC </w:instrText>
      </w:r>
      <w:r w:rsidR="00EA3876">
        <w:fldChar w:fldCharType="separate"/>
      </w:r>
      <w:r w:rsidR="006F0F3B">
        <w:rPr>
          <w:noProof/>
        </w:rPr>
        <w:t>21</w:t>
      </w:r>
      <w:r w:rsidR="00EA3876">
        <w:fldChar w:fldCharType="end"/>
      </w:r>
      <w:r w:rsidRPr="00A34F10">
        <w:t>:</w:t>
      </w:r>
      <w:r w:rsidR="00DC5685" w:rsidRPr="00A34F10">
        <w:rPr>
          <w:color w:val="000000"/>
          <w:szCs w:val="28"/>
        </w:rPr>
        <w:tab/>
        <w:t>Summary of effects on cell density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6"/>
        <w:gridCol w:w="1469"/>
        <w:gridCol w:w="1617"/>
        <w:gridCol w:w="1615"/>
        <w:gridCol w:w="1417"/>
      </w:tblGrid>
      <w:tr w:rsidR="00DC5685" w:rsidRPr="00A34F10" w14:paraId="643ADB4C" w14:textId="77777777" w:rsidTr="000470C3">
        <w:trPr>
          <w:trHeight w:val="211"/>
        </w:trPr>
        <w:tc>
          <w:tcPr>
            <w:tcW w:w="1727" w:type="pct"/>
            <w:vMerge w:val="restart"/>
            <w:shd w:val="clear" w:color="auto" w:fill="auto"/>
            <w:vAlign w:val="center"/>
          </w:tcPr>
          <w:p w14:paraId="3A1C2043" w14:textId="77777777" w:rsidR="00DC5685" w:rsidRPr="00A34F10" w:rsidRDefault="00DC5685" w:rsidP="00E83096">
            <w:pPr>
              <w:keepNext/>
              <w:keepLines/>
              <w:widowControl w:val="0"/>
              <w:spacing w:before="60" w:after="60"/>
              <w:ind w:left="57" w:right="57"/>
              <w:jc w:val="center"/>
              <w:rPr>
                <w:b/>
                <w:color w:val="000000"/>
                <w:spacing w:val="-6"/>
                <w:sz w:val="20"/>
                <w:szCs w:val="20"/>
                <w:lang w:val="en-GB"/>
              </w:rPr>
            </w:pPr>
            <w:r w:rsidRPr="00A34F10">
              <w:rPr>
                <w:b/>
                <w:color w:val="000000"/>
                <w:spacing w:val="-6"/>
                <w:sz w:val="20"/>
                <w:szCs w:val="20"/>
                <w:lang w:val="en-GB"/>
              </w:rPr>
              <w:t>Nominal concentration</w:t>
            </w:r>
          </w:p>
          <w:p w14:paraId="640E7E7C"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pacing w:val="-6"/>
                <w:sz w:val="20"/>
                <w:szCs w:val="20"/>
                <w:lang w:val="en-GB"/>
              </w:rPr>
              <w:t>[</w:t>
            </w:r>
            <w:r w:rsidRPr="00A34F10">
              <w:rPr>
                <w:b/>
                <w:color w:val="000000"/>
                <w:sz w:val="20"/>
                <w:szCs w:val="20"/>
                <w:lang w:val="en-GB"/>
              </w:rPr>
              <w:t>mg product/L]</w:t>
            </w:r>
          </w:p>
        </w:tc>
        <w:tc>
          <w:tcPr>
            <w:tcW w:w="3273" w:type="pct"/>
            <w:gridSpan w:val="4"/>
            <w:shd w:val="clear" w:color="auto" w:fill="auto"/>
          </w:tcPr>
          <w:p w14:paraId="1B173437"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z w:val="20"/>
                <w:szCs w:val="20"/>
                <w:lang w:val="en-GB"/>
              </w:rPr>
              <w:t>Mean cell density [× 10</w:t>
            </w:r>
            <w:r w:rsidRPr="00A34F10">
              <w:rPr>
                <w:b/>
                <w:color w:val="000000"/>
                <w:sz w:val="20"/>
                <w:szCs w:val="20"/>
                <w:vertAlign w:val="superscript"/>
                <w:lang w:val="en-GB"/>
              </w:rPr>
              <w:t>4</w:t>
            </w:r>
            <w:r w:rsidRPr="00A34F10">
              <w:rPr>
                <w:b/>
                <w:color w:val="000000"/>
                <w:sz w:val="20"/>
                <w:szCs w:val="20"/>
                <w:lang w:val="en-GB"/>
              </w:rPr>
              <w:t xml:space="preserve"> cells/mL]</w:t>
            </w:r>
          </w:p>
        </w:tc>
      </w:tr>
      <w:tr w:rsidR="00DC5685" w:rsidRPr="00A34F10" w14:paraId="651C7CB8" w14:textId="77777777" w:rsidTr="000470C3">
        <w:tc>
          <w:tcPr>
            <w:tcW w:w="1727" w:type="pct"/>
            <w:vMerge/>
            <w:vAlign w:val="center"/>
          </w:tcPr>
          <w:p w14:paraId="40FBF117" w14:textId="77777777" w:rsidR="00DC5685" w:rsidRPr="00A34F10" w:rsidRDefault="00DC5685" w:rsidP="00E83096">
            <w:pPr>
              <w:keepNext/>
              <w:keepLines/>
              <w:widowControl w:val="0"/>
              <w:spacing w:before="60" w:after="60"/>
              <w:ind w:left="57" w:right="57"/>
              <w:jc w:val="center"/>
              <w:rPr>
                <w:b/>
                <w:color w:val="000000"/>
                <w:sz w:val="20"/>
                <w:szCs w:val="20"/>
                <w:lang w:val="en-GB"/>
              </w:rPr>
            </w:pPr>
          </w:p>
        </w:tc>
        <w:tc>
          <w:tcPr>
            <w:tcW w:w="786" w:type="pct"/>
          </w:tcPr>
          <w:p w14:paraId="1C5CCA36"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z w:val="20"/>
                <w:szCs w:val="20"/>
                <w:lang w:val="en-GB"/>
              </w:rPr>
              <w:t>0 hour</w:t>
            </w:r>
          </w:p>
        </w:tc>
        <w:tc>
          <w:tcPr>
            <w:tcW w:w="865" w:type="pct"/>
          </w:tcPr>
          <w:p w14:paraId="2EC63EB4"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z w:val="20"/>
                <w:szCs w:val="20"/>
                <w:lang w:val="en-GB"/>
              </w:rPr>
              <w:t>24 hours</w:t>
            </w:r>
          </w:p>
        </w:tc>
        <w:tc>
          <w:tcPr>
            <w:tcW w:w="864" w:type="pct"/>
          </w:tcPr>
          <w:p w14:paraId="06604501"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z w:val="20"/>
                <w:szCs w:val="20"/>
                <w:lang w:val="en-GB"/>
              </w:rPr>
              <w:t>48 hours</w:t>
            </w:r>
          </w:p>
        </w:tc>
        <w:tc>
          <w:tcPr>
            <w:tcW w:w="758" w:type="pct"/>
            <w:vAlign w:val="center"/>
          </w:tcPr>
          <w:p w14:paraId="3643E106" w14:textId="77777777" w:rsidR="00DC5685" w:rsidRPr="00A34F10" w:rsidRDefault="00DC5685" w:rsidP="00E83096">
            <w:pPr>
              <w:keepNext/>
              <w:keepLines/>
              <w:widowControl w:val="0"/>
              <w:spacing w:before="60" w:after="60"/>
              <w:ind w:left="57" w:right="57"/>
              <w:jc w:val="center"/>
              <w:rPr>
                <w:b/>
                <w:color w:val="000000"/>
                <w:sz w:val="20"/>
                <w:szCs w:val="20"/>
                <w:lang w:val="en-GB"/>
              </w:rPr>
            </w:pPr>
            <w:r w:rsidRPr="00A34F10">
              <w:rPr>
                <w:b/>
                <w:color w:val="000000"/>
                <w:sz w:val="20"/>
                <w:szCs w:val="20"/>
                <w:lang w:val="en-GB"/>
              </w:rPr>
              <w:t>72 hours</w:t>
            </w:r>
          </w:p>
        </w:tc>
      </w:tr>
      <w:tr w:rsidR="00DC5685" w:rsidRPr="00A34F10" w14:paraId="34754D1E" w14:textId="77777777" w:rsidTr="000470C3">
        <w:tc>
          <w:tcPr>
            <w:tcW w:w="1727" w:type="pct"/>
            <w:vAlign w:val="center"/>
          </w:tcPr>
          <w:p w14:paraId="10E97B02"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Control</w:t>
            </w:r>
          </w:p>
        </w:tc>
        <w:tc>
          <w:tcPr>
            <w:tcW w:w="786" w:type="pct"/>
            <w:vAlign w:val="bottom"/>
          </w:tcPr>
          <w:p w14:paraId="6820BF3C"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4B5553E3"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2.24</w:t>
            </w:r>
          </w:p>
        </w:tc>
        <w:tc>
          <w:tcPr>
            <w:tcW w:w="864" w:type="pct"/>
            <w:vAlign w:val="bottom"/>
          </w:tcPr>
          <w:p w14:paraId="2380054E"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13.74</w:t>
            </w:r>
          </w:p>
        </w:tc>
        <w:tc>
          <w:tcPr>
            <w:tcW w:w="758" w:type="pct"/>
            <w:vAlign w:val="bottom"/>
          </w:tcPr>
          <w:p w14:paraId="01585303"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67.42</w:t>
            </w:r>
          </w:p>
        </w:tc>
      </w:tr>
      <w:tr w:rsidR="00DC5685" w:rsidRPr="00A34F10" w14:paraId="5273D8AC" w14:textId="77777777" w:rsidTr="000470C3">
        <w:tc>
          <w:tcPr>
            <w:tcW w:w="1727" w:type="pct"/>
            <w:vAlign w:val="center"/>
          </w:tcPr>
          <w:p w14:paraId="131C4621"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0.954</w:t>
            </w:r>
          </w:p>
        </w:tc>
        <w:tc>
          <w:tcPr>
            <w:tcW w:w="786" w:type="pct"/>
            <w:vAlign w:val="bottom"/>
          </w:tcPr>
          <w:p w14:paraId="3EBB10E1"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2983625E"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2.17</w:t>
            </w:r>
          </w:p>
        </w:tc>
        <w:tc>
          <w:tcPr>
            <w:tcW w:w="864" w:type="pct"/>
            <w:vAlign w:val="bottom"/>
          </w:tcPr>
          <w:p w14:paraId="30616B0B"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11.89</w:t>
            </w:r>
          </w:p>
        </w:tc>
        <w:tc>
          <w:tcPr>
            <w:tcW w:w="758" w:type="pct"/>
            <w:vAlign w:val="bottom"/>
          </w:tcPr>
          <w:p w14:paraId="245455FF"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58.69</w:t>
            </w:r>
          </w:p>
        </w:tc>
      </w:tr>
      <w:tr w:rsidR="00DC5685" w:rsidRPr="00A34F10" w14:paraId="75E66109" w14:textId="77777777" w:rsidTr="000470C3">
        <w:tc>
          <w:tcPr>
            <w:tcW w:w="1727" w:type="pct"/>
            <w:vAlign w:val="center"/>
          </w:tcPr>
          <w:p w14:paraId="414C31CD"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3.05</w:t>
            </w:r>
          </w:p>
        </w:tc>
        <w:tc>
          <w:tcPr>
            <w:tcW w:w="786" w:type="pct"/>
            <w:vAlign w:val="bottom"/>
          </w:tcPr>
          <w:p w14:paraId="231F4DDB"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02FA8FDF"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2.40</w:t>
            </w:r>
          </w:p>
        </w:tc>
        <w:tc>
          <w:tcPr>
            <w:tcW w:w="864" w:type="pct"/>
            <w:vAlign w:val="bottom"/>
          </w:tcPr>
          <w:p w14:paraId="616E1229"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15.34</w:t>
            </w:r>
          </w:p>
        </w:tc>
        <w:tc>
          <w:tcPr>
            <w:tcW w:w="758" w:type="pct"/>
            <w:vAlign w:val="bottom"/>
          </w:tcPr>
          <w:p w14:paraId="56BB98EB"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75.55</w:t>
            </w:r>
          </w:p>
        </w:tc>
      </w:tr>
      <w:tr w:rsidR="00DC5685" w:rsidRPr="00A34F10" w14:paraId="3FA0BFA3" w14:textId="77777777" w:rsidTr="000470C3">
        <w:tc>
          <w:tcPr>
            <w:tcW w:w="1727" w:type="pct"/>
            <w:vAlign w:val="center"/>
          </w:tcPr>
          <w:p w14:paraId="2225852A"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9.77</w:t>
            </w:r>
          </w:p>
        </w:tc>
        <w:tc>
          <w:tcPr>
            <w:tcW w:w="786" w:type="pct"/>
            <w:vAlign w:val="bottom"/>
          </w:tcPr>
          <w:p w14:paraId="14726F82"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052C7A23"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2.44</w:t>
            </w:r>
          </w:p>
        </w:tc>
        <w:tc>
          <w:tcPr>
            <w:tcW w:w="864" w:type="pct"/>
            <w:vAlign w:val="bottom"/>
          </w:tcPr>
          <w:p w14:paraId="16565521"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16.69</w:t>
            </w:r>
          </w:p>
        </w:tc>
        <w:tc>
          <w:tcPr>
            <w:tcW w:w="758" w:type="pct"/>
            <w:vAlign w:val="bottom"/>
          </w:tcPr>
          <w:p w14:paraId="090C8040"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75.37</w:t>
            </w:r>
          </w:p>
        </w:tc>
      </w:tr>
      <w:tr w:rsidR="00DC5685" w:rsidRPr="00A34F10" w14:paraId="69E0DD8C" w14:textId="77777777" w:rsidTr="000470C3">
        <w:tc>
          <w:tcPr>
            <w:tcW w:w="1727" w:type="pct"/>
            <w:vAlign w:val="center"/>
          </w:tcPr>
          <w:p w14:paraId="14E4A663"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31.3</w:t>
            </w:r>
          </w:p>
        </w:tc>
        <w:tc>
          <w:tcPr>
            <w:tcW w:w="786" w:type="pct"/>
            <w:vAlign w:val="bottom"/>
          </w:tcPr>
          <w:p w14:paraId="22CFD319"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19E2233A"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2.35</w:t>
            </w:r>
          </w:p>
        </w:tc>
        <w:tc>
          <w:tcPr>
            <w:tcW w:w="864" w:type="pct"/>
            <w:vAlign w:val="bottom"/>
          </w:tcPr>
          <w:p w14:paraId="136E23F1"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15.87</w:t>
            </w:r>
          </w:p>
        </w:tc>
        <w:tc>
          <w:tcPr>
            <w:tcW w:w="758" w:type="pct"/>
            <w:vAlign w:val="bottom"/>
          </w:tcPr>
          <w:p w14:paraId="03658D0D"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73.09</w:t>
            </w:r>
          </w:p>
        </w:tc>
      </w:tr>
      <w:tr w:rsidR="00DC5685" w:rsidRPr="00A34F10" w14:paraId="41251108" w14:textId="77777777" w:rsidTr="000470C3">
        <w:tc>
          <w:tcPr>
            <w:tcW w:w="1727" w:type="pct"/>
            <w:vAlign w:val="center"/>
          </w:tcPr>
          <w:p w14:paraId="72A03C0B"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100</w:t>
            </w:r>
          </w:p>
        </w:tc>
        <w:tc>
          <w:tcPr>
            <w:tcW w:w="786" w:type="pct"/>
            <w:vAlign w:val="bottom"/>
          </w:tcPr>
          <w:p w14:paraId="082C5953"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0.55</w:t>
            </w:r>
          </w:p>
        </w:tc>
        <w:tc>
          <w:tcPr>
            <w:tcW w:w="865" w:type="pct"/>
            <w:vAlign w:val="bottom"/>
          </w:tcPr>
          <w:p w14:paraId="286B8B36"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1.84</w:t>
            </w:r>
          </w:p>
        </w:tc>
        <w:tc>
          <w:tcPr>
            <w:tcW w:w="864" w:type="pct"/>
            <w:vAlign w:val="bottom"/>
          </w:tcPr>
          <w:p w14:paraId="40C86A16"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11.43</w:t>
            </w:r>
          </w:p>
        </w:tc>
        <w:tc>
          <w:tcPr>
            <w:tcW w:w="758" w:type="pct"/>
            <w:vAlign w:val="bottom"/>
          </w:tcPr>
          <w:p w14:paraId="639AB52B" w14:textId="77777777" w:rsidR="00DC5685" w:rsidRPr="00A34F10" w:rsidRDefault="00DC5685" w:rsidP="00E83096">
            <w:pPr>
              <w:keepNext/>
              <w:keepLines/>
              <w:widowControl w:val="0"/>
              <w:spacing w:before="60" w:after="60"/>
              <w:ind w:left="57" w:right="57"/>
              <w:jc w:val="center"/>
              <w:rPr>
                <w:color w:val="000000"/>
                <w:sz w:val="20"/>
                <w:szCs w:val="20"/>
                <w:lang w:val="en-GB"/>
              </w:rPr>
            </w:pPr>
            <w:r w:rsidRPr="00A34F10">
              <w:rPr>
                <w:color w:val="000000"/>
                <w:sz w:val="20"/>
                <w:szCs w:val="20"/>
                <w:lang w:val="en-GB"/>
              </w:rPr>
              <w:t>52.29</w:t>
            </w:r>
          </w:p>
        </w:tc>
      </w:tr>
    </w:tbl>
    <w:p w14:paraId="3F72C63E" w14:textId="77777777" w:rsidR="00976440" w:rsidRPr="00A34F10" w:rsidRDefault="00976440" w:rsidP="00BB63B3">
      <w:pPr>
        <w:pStyle w:val="Legenda"/>
      </w:pPr>
    </w:p>
    <w:p w14:paraId="460B34A6" w14:textId="65CE2479" w:rsidR="00DC5685" w:rsidRPr="00A34F10" w:rsidRDefault="00EA3876" w:rsidP="00EA3876">
      <w:pPr>
        <w:pStyle w:val="Legenda"/>
      </w:pPr>
      <w:r>
        <w:t xml:space="preserve">Table A </w:t>
      </w:r>
      <w:r>
        <w:fldChar w:fldCharType="begin"/>
      </w:r>
      <w:r>
        <w:instrText xml:space="preserve"> SEQ Table_A \* ARABIC </w:instrText>
      </w:r>
      <w:r>
        <w:fldChar w:fldCharType="separate"/>
      </w:r>
      <w:r w:rsidR="006F0F3B">
        <w:rPr>
          <w:noProof/>
        </w:rPr>
        <w:t>22</w:t>
      </w:r>
      <w:r>
        <w:fldChar w:fldCharType="end"/>
      </w:r>
      <w:r w:rsidR="00976440" w:rsidRPr="00A34F10">
        <w:t>:</w:t>
      </w:r>
      <w:r w:rsidR="00DC5685" w:rsidRPr="00A34F10">
        <w:tab/>
        <w:t xml:space="preserve">Summary of effects on yield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227"/>
        <w:gridCol w:w="2056"/>
        <w:gridCol w:w="1914"/>
        <w:gridCol w:w="2147"/>
      </w:tblGrid>
      <w:tr w:rsidR="00DC5685" w:rsidRPr="00A34F10" w14:paraId="1061178B" w14:textId="77777777" w:rsidTr="000470C3">
        <w:trPr>
          <w:trHeight w:val="211"/>
        </w:trPr>
        <w:tc>
          <w:tcPr>
            <w:tcW w:w="1727" w:type="pct"/>
            <w:vMerge w:val="restart"/>
            <w:shd w:val="clear" w:color="auto" w:fill="auto"/>
            <w:vAlign w:val="center"/>
          </w:tcPr>
          <w:p w14:paraId="36EFAEDB" w14:textId="77777777" w:rsidR="00DC5685" w:rsidRPr="00A34F10" w:rsidRDefault="00DC5685" w:rsidP="00DC5685">
            <w:pPr>
              <w:keepNext/>
              <w:spacing w:before="60" w:after="60"/>
              <w:ind w:left="57" w:right="57"/>
              <w:jc w:val="center"/>
              <w:rPr>
                <w:b/>
                <w:color w:val="000000"/>
                <w:spacing w:val="-6"/>
                <w:sz w:val="20"/>
                <w:szCs w:val="20"/>
                <w:lang w:val="en-GB"/>
              </w:rPr>
            </w:pPr>
            <w:r w:rsidRPr="00A34F10">
              <w:rPr>
                <w:b/>
                <w:color w:val="000000"/>
                <w:spacing w:val="-6"/>
                <w:sz w:val="20"/>
                <w:szCs w:val="20"/>
                <w:lang w:val="en-GB"/>
              </w:rPr>
              <w:t>Nominal concentration</w:t>
            </w:r>
          </w:p>
          <w:p w14:paraId="2413C647"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pacing w:val="-6"/>
                <w:sz w:val="20"/>
                <w:szCs w:val="20"/>
                <w:lang w:val="en-GB"/>
              </w:rPr>
              <w:t>[</w:t>
            </w:r>
            <w:r w:rsidRPr="00A34F10">
              <w:rPr>
                <w:b/>
                <w:color w:val="000000"/>
                <w:sz w:val="20"/>
                <w:szCs w:val="20"/>
                <w:lang w:val="en-GB"/>
              </w:rPr>
              <w:t>mg product/L]</w:t>
            </w:r>
          </w:p>
        </w:tc>
        <w:tc>
          <w:tcPr>
            <w:tcW w:w="3273" w:type="pct"/>
            <w:gridSpan w:val="3"/>
            <w:shd w:val="clear" w:color="auto" w:fill="auto"/>
          </w:tcPr>
          <w:p w14:paraId="25AA468B"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Yield [× 10</w:t>
            </w:r>
            <w:r w:rsidRPr="00A34F10">
              <w:rPr>
                <w:b/>
                <w:color w:val="000000"/>
                <w:sz w:val="20"/>
                <w:szCs w:val="20"/>
                <w:vertAlign w:val="superscript"/>
                <w:lang w:val="en-GB"/>
              </w:rPr>
              <w:t>4</w:t>
            </w:r>
            <w:r w:rsidRPr="00A34F10">
              <w:rPr>
                <w:b/>
                <w:color w:val="000000"/>
                <w:sz w:val="20"/>
                <w:szCs w:val="20"/>
                <w:lang w:val="en-GB"/>
              </w:rPr>
              <w:t xml:space="preserve"> cells/mL] [% inhibition]</w:t>
            </w:r>
          </w:p>
        </w:tc>
      </w:tr>
      <w:tr w:rsidR="00DC5685" w:rsidRPr="00A34F10" w14:paraId="453C0880" w14:textId="77777777" w:rsidTr="000470C3">
        <w:tc>
          <w:tcPr>
            <w:tcW w:w="1727" w:type="pct"/>
            <w:vMerge/>
            <w:vAlign w:val="center"/>
          </w:tcPr>
          <w:p w14:paraId="77D0E930" w14:textId="77777777" w:rsidR="00DC5685" w:rsidRPr="00A34F10" w:rsidRDefault="00DC5685" w:rsidP="00DC5685">
            <w:pPr>
              <w:keepNext/>
              <w:keepLines/>
              <w:spacing w:before="60" w:after="60"/>
              <w:ind w:left="57" w:right="57"/>
              <w:jc w:val="center"/>
              <w:rPr>
                <w:b/>
                <w:color w:val="000000"/>
                <w:sz w:val="20"/>
                <w:szCs w:val="20"/>
                <w:lang w:val="en-GB"/>
              </w:rPr>
            </w:pPr>
          </w:p>
        </w:tc>
        <w:tc>
          <w:tcPr>
            <w:tcW w:w="1100" w:type="pct"/>
            <w:vAlign w:val="center"/>
          </w:tcPr>
          <w:p w14:paraId="248ED166"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0 - 24 hours</w:t>
            </w:r>
          </w:p>
        </w:tc>
        <w:tc>
          <w:tcPr>
            <w:tcW w:w="1024" w:type="pct"/>
            <w:vAlign w:val="center"/>
          </w:tcPr>
          <w:p w14:paraId="1603EC61"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0 - 48 hours</w:t>
            </w:r>
          </w:p>
        </w:tc>
        <w:tc>
          <w:tcPr>
            <w:tcW w:w="1149" w:type="pct"/>
            <w:vAlign w:val="center"/>
          </w:tcPr>
          <w:p w14:paraId="2F90132A"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0 - 72 hours</w:t>
            </w:r>
          </w:p>
        </w:tc>
      </w:tr>
      <w:tr w:rsidR="00DC5685" w:rsidRPr="00A34F10" w14:paraId="0DA6F8A5" w14:textId="77777777" w:rsidTr="000470C3">
        <w:tc>
          <w:tcPr>
            <w:tcW w:w="1727" w:type="pct"/>
            <w:vAlign w:val="center"/>
          </w:tcPr>
          <w:p w14:paraId="2B1EF2F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Control</w:t>
            </w:r>
          </w:p>
        </w:tc>
        <w:tc>
          <w:tcPr>
            <w:tcW w:w="1100" w:type="pct"/>
            <w:vAlign w:val="bottom"/>
          </w:tcPr>
          <w:p w14:paraId="5D5BA6C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c>
          <w:tcPr>
            <w:tcW w:w="1024" w:type="pct"/>
            <w:vAlign w:val="bottom"/>
          </w:tcPr>
          <w:p w14:paraId="2018F65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c>
          <w:tcPr>
            <w:tcW w:w="1149" w:type="pct"/>
            <w:vAlign w:val="bottom"/>
          </w:tcPr>
          <w:p w14:paraId="78AFDC6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r>
      <w:tr w:rsidR="00DC5685" w:rsidRPr="00A34F10" w14:paraId="0338FA8A" w14:textId="77777777" w:rsidTr="000470C3">
        <w:tc>
          <w:tcPr>
            <w:tcW w:w="1727" w:type="pct"/>
            <w:vAlign w:val="center"/>
          </w:tcPr>
          <w:p w14:paraId="599D7F6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0.954</w:t>
            </w:r>
          </w:p>
        </w:tc>
        <w:tc>
          <w:tcPr>
            <w:tcW w:w="1100" w:type="pct"/>
            <w:vAlign w:val="bottom"/>
          </w:tcPr>
          <w:p w14:paraId="0A2E35E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4.1</w:t>
            </w:r>
          </w:p>
        </w:tc>
        <w:tc>
          <w:tcPr>
            <w:tcW w:w="1024" w:type="pct"/>
            <w:vAlign w:val="bottom"/>
          </w:tcPr>
          <w:p w14:paraId="29D635A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14.0</w:t>
            </w:r>
          </w:p>
        </w:tc>
        <w:tc>
          <w:tcPr>
            <w:tcW w:w="1149" w:type="pct"/>
            <w:vAlign w:val="bottom"/>
          </w:tcPr>
          <w:p w14:paraId="19D45E79"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13.1</w:t>
            </w:r>
          </w:p>
        </w:tc>
      </w:tr>
      <w:tr w:rsidR="00DC5685" w:rsidRPr="00A34F10" w14:paraId="1FDA1853" w14:textId="77777777" w:rsidTr="000470C3">
        <w:tc>
          <w:tcPr>
            <w:tcW w:w="1727" w:type="pct"/>
            <w:vAlign w:val="center"/>
          </w:tcPr>
          <w:p w14:paraId="3BF0248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3.05</w:t>
            </w:r>
          </w:p>
        </w:tc>
        <w:tc>
          <w:tcPr>
            <w:tcW w:w="1100" w:type="pct"/>
            <w:vAlign w:val="bottom"/>
          </w:tcPr>
          <w:p w14:paraId="06B6F358"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-9.5</w:t>
            </w:r>
          </w:p>
        </w:tc>
        <w:tc>
          <w:tcPr>
            <w:tcW w:w="1024" w:type="pct"/>
            <w:vAlign w:val="bottom"/>
          </w:tcPr>
          <w:p w14:paraId="33A2315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-12.1</w:t>
            </w:r>
          </w:p>
        </w:tc>
        <w:tc>
          <w:tcPr>
            <w:tcW w:w="1149" w:type="pct"/>
            <w:vAlign w:val="bottom"/>
          </w:tcPr>
          <w:p w14:paraId="704B9D2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-12.2</w:t>
            </w:r>
          </w:p>
        </w:tc>
      </w:tr>
      <w:tr w:rsidR="00DC5685" w:rsidRPr="00A34F10" w14:paraId="1C99D30E" w14:textId="77777777" w:rsidTr="000470C3">
        <w:tc>
          <w:tcPr>
            <w:tcW w:w="1727" w:type="pct"/>
            <w:vAlign w:val="center"/>
          </w:tcPr>
          <w:p w14:paraId="0CE3F28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9.77</w:t>
            </w:r>
          </w:p>
        </w:tc>
        <w:tc>
          <w:tcPr>
            <w:tcW w:w="1100" w:type="pct"/>
            <w:vAlign w:val="bottom"/>
          </w:tcPr>
          <w:p w14:paraId="1FDD199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-11.8</w:t>
            </w:r>
          </w:p>
        </w:tc>
        <w:tc>
          <w:tcPr>
            <w:tcW w:w="1024" w:type="pct"/>
            <w:vAlign w:val="bottom"/>
          </w:tcPr>
          <w:p w14:paraId="002B6DD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-22.4</w:t>
            </w:r>
          </w:p>
        </w:tc>
        <w:tc>
          <w:tcPr>
            <w:tcW w:w="1149" w:type="pct"/>
            <w:vAlign w:val="bottom"/>
          </w:tcPr>
          <w:p w14:paraId="1D212BCB"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-11.9</w:t>
            </w:r>
          </w:p>
        </w:tc>
      </w:tr>
      <w:tr w:rsidR="00DC5685" w:rsidRPr="00A34F10" w14:paraId="1ACF1A9D" w14:textId="77777777" w:rsidTr="000470C3">
        <w:tc>
          <w:tcPr>
            <w:tcW w:w="1727" w:type="pct"/>
            <w:vAlign w:val="center"/>
          </w:tcPr>
          <w:p w14:paraId="54428CD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31.3</w:t>
            </w:r>
          </w:p>
        </w:tc>
        <w:tc>
          <w:tcPr>
            <w:tcW w:w="1100" w:type="pct"/>
            <w:vAlign w:val="bottom"/>
          </w:tcPr>
          <w:p w14:paraId="1820E16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-6.5</w:t>
            </w:r>
          </w:p>
        </w:tc>
        <w:tc>
          <w:tcPr>
            <w:tcW w:w="1024" w:type="pct"/>
            <w:vAlign w:val="bottom"/>
          </w:tcPr>
          <w:p w14:paraId="4073FE1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-16.1</w:t>
            </w:r>
          </w:p>
        </w:tc>
        <w:tc>
          <w:tcPr>
            <w:tcW w:w="1149" w:type="pct"/>
            <w:vAlign w:val="bottom"/>
          </w:tcPr>
          <w:p w14:paraId="3CE791B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-8.5</w:t>
            </w:r>
          </w:p>
        </w:tc>
      </w:tr>
      <w:tr w:rsidR="00DC5685" w:rsidRPr="00A34F10" w14:paraId="2EB66E34" w14:textId="77777777" w:rsidTr="000470C3">
        <w:tc>
          <w:tcPr>
            <w:tcW w:w="1727" w:type="pct"/>
            <w:vAlign w:val="center"/>
          </w:tcPr>
          <w:p w14:paraId="163CC4CA"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100</w:t>
            </w:r>
          </w:p>
        </w:tc>
        <w:tc>
          <w:tcPr>
            <w:tcW w:w="1100" w:type="pct"/>
            <w:vAlign w:val="bottom"/>
          </w:tcPr>
          <w:p w14:paraId="3456455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23.7</w:t>
            </w:r>
          </w:p>
        </w:tc>
        <w:tc>
          <w:tcPr>
            <w:tcW w:w="1024" w:type="pct"/>
            <w:vAlign w:val="bottom"/>
          </w:tcPr>
          <w:p w14:paraId="6CAFBB4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17.5</w:t>
            </w:r>
          </w:p>
        </w:tc>
        <w:tc>
          <w:tcPr>
            <w:tcW w:w="1149" w:type="pct"/>
            <w:vAlign w:val="bottom"/>
          </w:tcPr>
          <w:p w14:paraId="2CB173DB"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22.6*</w:t>
            </w:r>
          </w:p>
        </w:tc>
      </w:tr>
    </w:tbl>
    <w:p w14:paraId="27AE8BF8" w14:textId="77777777" w:rsidR="00DC5685" w:rsidRPr="00A34F10" w:rsidRDefault="00DC5685" w:rsidP="00DC5685">
      <w:pPr>
        <w:keepNext/>
        <w:keepLines/>
        <w:tabs>
          <w:tab w:val="left" w:pos="709"/>
          <w:tab w:val="left" w:pos="1440"/>
          <w:tab w:val="left" w:pos="2880"/>
          <w:tab w:val="left" w:pos="4321"/>
          <w:tab w:val="left" w:pos="5761"/>
        </w:tabs>
        <w:ind w:left="431" w:right="142" w:hanging="289"/>
        <w:jc w:val="both"/>
        <w:rPr>
          <w:sz w:val="18"/>
          <w:szCs w:val="18"/>
          <w:lang w:val="x-none"/>
        </w:rPr>
      </w:pPr>
      <w:r w:rsidRPr="00A34F10">
        <w:rPr>
          <w:sz w:val="18"/>
          <w:szCs w:val="18"/>
          <w:lang w:val="x-none"/>
        </w:rPr>
        <w:t>negative values in % inhibition indicate an increase in growth relative to that of the control</w:t>
      </w:r>
    </w:p>
    <w:p w14:paraId="6E3C8315" w14:textId="702AF3F3" w:rsidR="00976440" w:rsidRPr="00A34F10" w:rsidRDefault="00DC5685" w:rsidP="00DC5685">
      <w:pPr>
        <w:keepNext/>
        <w:keepLines/>
        <w:tabs>
          <w:tab w:val="left" w:pos="709"/>
          <w:tab w:val="left" w:pos="1440"/>
          <w:tab w:val="left" w:pos="2880"/>
          <w:tab w:val="left" w:pos="4321"/>
          <w:tab w:val="left" w:pos="5761"/>
        </w:tabs>
        <w:ind w:left="431" w:right="142" w:hanging="289"/>
        <w:jc w:val="both"/>
        <w:rPr>
          <w:sz w:val="18"/>
          <w:szCs w:val="18"/>
          <w:lang w:val="x-none"/>
        </w:rPr>
      </w:pPr>
      <w:r w:rsidRPr="00A34F10">
        <w:rPr>
          <w:sz w:val="18"/>
          <w:szCs w:val="18"/>
          <w:lang w:val="x-none"/>
        </w:rPr>
        <w:t xml:space="preserve">* mean value significantly different from the control </w:t>
      </w:r>
    </w:p>
    <w:p w14:paraId="25EA9DFA" w14:textId="77777777" w:rsidR="003347E3" w:rsidRDefault="003347E3" w:rsidP="00EA3876">
      <w:pPr>
        <w:pStyle w:val="Legenda"/>
      </w:pPr>
    </w:p>
    <w:p w14:paraId="227D9C3D" w14:textId="1F875593" w:rsidR="00DC5685" w:rsidRPr="00A34F10" w:rsidRDefault="00EA3876" w:rsidP="00EA3876">
      <w:pPr>
        <w:pStyle w:val="Legenda"/>
      </w:pPr>
      <w:r>
        <w:t xml:space="preserve">Table A </w:t>
      </w:r>
      <w:r>
        <w:fldChar w:fldCharType="begin"/>
      </w:r>
      <w:r>
        <w:instrText xml:space="preserve"> SEQ Table_A \* ARABIC </w:instrText>
      </w:r>
      <w:r>
        <w:fldChar w:fldCharType="separate"/>
      </w:r>
      <w:r w:rsidR="006F0F3B">
        <w:rPr>
          <w:noProof/>
        </w:rPr>
        <w:t>23</w:t>
      </w:r>
      <w:r>
        <w:fldChar w:fldCharType="end"/>
      </w:r>
      <w:r w:rsidR="00976440" w:rsidRPr="00A34F10">
        <w:t>:</w:t>
      </w:r>
      <w:r w:rsidR="00DC5685" w:rsidRPr="00A34F10">
        <w:tab/>
        <w:t>Summary of effects on growth rate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31"/>
        <w:gridCol w:w="2181"/>
        <w:gridCol w:w="1957"/>
        <w:gridCol w:w="2175"/>
      </w:tblGrid>
      <w:tr w:rsidR="00DC5685" w:rsidRPr="00A34F10" w14:paraId="430B0B8F" w14:textId="77777777" w:rsidTr="000470C3">
        <w:trPr>
          <w:trHeight w:val="211"/>
        </w:trPr>
        <w:tc>
          <w:tcPr>
            <w:tcW w:w="1622" w:type="pct"/>
            <w:vMerge w:val="restart"/>
            <w:shd w:val="clear" w:color="auto" w:fill="auto"/>
            <w:vAlign w:val="center"/>
          </w:tcPr>
          <w:p w14:paraId="47DFA14F"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pacing w:val="-6"/>
                <w:sz w:val="20"/>
                <w:szCs w:val="20"/>
                <w:lang w:val="en-GB"/>
              </w:rPr>
              <w:t>Nominal concentration [</w:t>
            </w:r>
            <w:r w:rsidRPr="00A34F10">
              <w:rPr>
                <w:b/>
                <w:color w:val="000000"/>
                <w:sz w:val="20"/>
                <w:szCs w:val="20"/>
                <w:lang w:val="en-GB"/>
              </w:rPr>
              <w:t>mg test item/L]</w:t>
            </w:r>
          </w:p>
        </w:tc>
        <w:tc>
          <w:tcPr>
            <w:tcW w:w="3378" w:type="pct"/>
            <w:gridSpan w:val="3"/>
            <w:shd w:val="clear" w:color="auto" w:fill="auto"/>
          </w:tcPr>
          <w:p w14:paraId="693C22AC"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Growth rate [1/day] [% inhibition]</w:t>
            </w:r>
          </w:p>
        </w:tc>
      </w:tr>
      <w:tr w:rsidR="00DC5685" w:rsidRPr="00A34F10" w14:paraId="41A4C453" w14:textId="77777777" w:rsidTr="000470C3">
        <w:tc>
          <w:tcPr>
            <w:tcW w:w="1622" w:type="pct"/>
            <w:vMerge/>
            <w:vAlign w:val="center"/>
          </w:tcPr>
          <w:p w14:paraId="19C73615" w14:textId="77777777" w:rsidR="00DC5685" w:rsidRPr="00A34F10" w:rsidRDefault="00DC5685" w:rsidP="00DC5685">
            <w:pPr>
              <w:keepNext/>
              <w:keepLines/>
              <w:spacing w:before="60" w:after="60"/>
              <w:ind w:left="57" w:right="57"/>
              <w:jc w:val="center"/>
              <w:rPr>
                <w:b/>
                <w:color w:val="000000"/>
                <w:sz w:val="20"/>
                <w:szCs w:val="20"/>
                <w:lang w:val="en-GB"/>
              </w:rPr>
            </w:pPr>
          </w:p>
        </w:tc>
        <w:tc>
          <w:tcPr>
            <w:tcW w:w="1167" w:type="pct"/>
            <w:vAlign w:val="center"/>
          </w:tcPr>
          <w:p w14:paraId="0A7281E6"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0-24 hours</w:t>
            </w:r>
          </w:p>
        </w:tc>
        <w:tc>
          <w:tcPr>
            <w:tcW w:w="1047" w:type="pct"/>
            <w:vAlign w:val="center"/>
          </w:tcPr>
          <w:p w14:paraId="65EE05DB"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0-48 hours</w:t>
            </w:r>
          </w:p>
        </w:tc>
        <w:tc>
          <w:tcPr>
            <w:tcW w:w="1164" w:type="pct"/>
            <w:vAlign w:val="center"/>
          </w:tcPr>
          <w:p w14:paraId="77639053"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0-72 hours</w:t>
            </w:r>
          </w:p>
        </w:tc>
      </w:tr>
      <w:tr w:rsidR="00DC5685" w:rsidRPr="00A34F10" w14:paraId="762AB74A" w14:textId="77777777" w:rsidTr="000470C3">
        <w:tc>
          <w:tcPr>
            <w:tcW w:w="1622" w:type="pct"/>
            <w:vAlign w:val="center"/>
          </w:tcPr>
          <w:p w14:paraId="690C8DE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Control</w:t>
            </w:r>
          </w:p>
        </w:tc>
        <w:tc>
          <w:tcPr>
            <w:tcW w:w="1167" w:type="pct"/>
            <w:vAlign w:val="bottom"/>
          </w:tcPr>
          <w:p w14:paraId="21ABAF88"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c>
          <w:tcPr>
            <w:tcW w:w="1047" w:type="pct"/>
            <w:vAlign w:val="bottom"/>
          </w:tcPr>
          <w:p w14:paraId="5279B020"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c>
          <w:tcPr>
            <w:tcW w:w="1164" w:type="pct"/>
            <w:vAlign w:val="bottom"/>
          </w:tcPr>
          <w:p w14:paraId="21668C8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0.0</w:t>
            </w:r>
          </w:p>
        </w:tc>
      </w:tr>
      <w:tr w:rsidR="00DC5685" w:rsidRPr="00A34F10" w14:paraId="130E9EE5" w14:textId="77777777" w:rsidTr="000470C3">
        <w:tc>
          <w:tcPr>
            <w:tcW w:w="1622" w:type="pct"/>
            <w:vAlign w:val="center"/>
          </w:tcPr>
          <w:p w14:paraId="5FC68951"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0.954</w:t>
            </w:r>
          </w:p>
        </w:tc>
        <w:tc>
          <w:tcPr>
            <w:tcW w:w="1167" w:type="pct"/>
            <w:vAlign w:val="bottom"/>
          </w:tcPr>
          <w:p w14:paraId="5E8ED6F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3.3</w:t>
            </w:r>
          </w:p>
        </w:tc>
        <w:tc>
          <w:tcPr>
            <w:tcW w:w="1047" w:type="pct"/>
            <w:vAlign w:val="bottom"/>
          </w:tcPr>
          <w:p w14:paraId="28D8D8A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5.0</w:t>
            </w:r>
          </w:p>
        </w:tc>
        <w:tc>
          <w:tcPr>
            <w:tcW w:w="1164" w:type="pct"/>
            <w:vAlign w:val="bottom"/>
          </w:tcPr>
          <w:p w14:paraId="21FD721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3.2*</w:t>
            </w:r>
          </w:p>
        </w:tc>
      </w:tr>
      <w:tr w:rsidR="00DC5685" w:rsidRPr="00A34F10" w14:paraId="63881164" w14:textId="77777777" w:rsidTr="000470C3">
        <w:tc>
          <w:tcPr>
            <w:tcW w:w="1622" w:type="pct"/>
            <w:vAlign w:val="center"/>
          </w:tcPr>
          <w:p w14:paraId="32F2760F"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3.05</w:t>
            </w:r>
          </w:p>
        </w:tc>
        <w:tc>
          <w:tcPr>
            <w:tcW w:w="1167" w:type="pct"/>
            <w:vAlign w:val="bottom"/>
          </w:tcPr>
          <w:p w14:paraId="1AA7E023"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-4.5</w:t>
            </w:r>
          </w:p>
        </w:tc>
        <w:tc>
          <w:tcPr>
            <w:tcW w:w="1047" w:type="pct"/>
            <w:vAlign w:val="bottom"/>
          </w:tcPr>
          <w:p w14:paraId="354E6B84"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-3.2</w:t>
            </w:r>
          </w:p>
        </w:tc>
        <w:tc>
          <w:tcPr>
            <w:tcW w:w="1164" w:type="pct"/>
            <w:vAlign w:val="bottom"/>
          </w:tcPr>
          <w:p w14:paraId="1C7F87C3"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-2.3</w:t>
            </w:r>
          </w:p>
        </w:tc>
      </w:tr>
      <w:tr w:rsidR="00DC5685" w:rsidRPr="00A34F10" w14:paraId="5F32C453" w14:textId="77777777" w:rsidTr="000470C3">
        <w:tc>
          <w:tcPr>
            <w:tcW w:w="1622" w:type="pct"/>
            <w:vAlign w:val="center"/>
          </w:tcPr>
          <w:p w14:paraId="7610031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9.77</w:t>
            </w:r>
          </w:p>
        </w:tc>
        <w:tc>
          <w:tcPr>
            <w:tcW w:w="1167" w:type="pct"/>
            <w:vAlign w:val="bottom"/>
          </w:tcPr>
          <w:p w14:paraId="5F537A6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-5.7</w:t>
            </w:r>
          </w:p>
        </w:tc>
        <w:tc>
          <w:tcPr>
            <w:tcW w:w="1047" w:type="pct"/>
            <w:vAlign w:val="bottom"/>
          </w:tcPr>
          <w:p w14:paraId="208C5ED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-5.9</w:t>
            </w:r>
          </w:p>
        </w:tc>
        <w:tc>
          <w:tcPr>
            <w:tcW w:w="1164" w:type="pct"/>
            <w:vAlign w:val="bottom"/>
          </w:tcPr>
          <w:p w14:paraId="441E731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-2.2</w:t>
            </w:r>
          </w:p>
        </w:tc>
      </w:tr>
      <w:tr w:rsidR="00DC5685" w:rsidRPr="00A34F10" w14:paraId="131E4933" w14:textId="77777777" w:rsidTr="000470C3">
        <w:tc>
          <w:tcPr>
            <w:tcW w:w="1622" w:type="pct"/>
            <w:vAlign w:val="center"/>
          </w:tcPr>
          <w:p w14:paraId="39A2851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31.3</w:t>
            </w:r>
          </w:p>
        </w:tc>
        <w:tc>
          <w:tcPr>
            <w:tcW w:w="1167" w:type="pct"/>
            <w:vAlign w:val="bottom"/>
          </w:tcPr>
          <w:p w14:paraId="2AD95EA9"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-3.1</w:t>
            </w:r>
          </w:p>
        </w:tc>
        <w:tc>
          <w:tcPr>
            <w:tcW w:w="1047" w:type="pct"/>
            <w:vAlign w:val="bottom"/>
          </w:tcPr>
          <w:p w14:paraId="70114AEA"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-4.3</w:t>
            </w:r>
          </w:p>
        </w:tc>
        <w:tc>
          <w:tcPr>
            <w:tcW w:w="1164" w:type="pct"/>
            <w:vAlign w:val="bottom"/>
          </w:tcPr>
          <w:p w14:paraId="6273E4D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-1.5</w:t>
            </w:r>
          </w:p>
        </w:tc>
      </w:tr>
      <w:tr w:rsidR="00DC5685" w:rsidRPr="00A34F10" w14:paraId="5AA5CDC5" w14:textId="77777777" w:rsidTr="000470C3">
        <w:tc>
          <w:tcPr>
            <w:tcW w:w="1622" w:type="pct"/>
            <w:vAlign w:val="center"/>
          </w:tcPr>
          <w:p w14:paraId="0BEAD524"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100</w:t>
            </w:r>
          </w:p>
        </w:tc>
        <w:tc>
          <w:tcPr>
            <w:tcW w:w="1167" w:type="pct"/>
            <w:vAlign w:val="bottom"/>
          </w:tcPr>
          <w:p w14:paraId="4AFF6E9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14.3</w:t>
            </w:r>
          </w:p>
        </w:tc>
        <w:tc>
          <w:tcPr>
            <w:tcW w:w="1047" w:type="pct"/>
            <w:vAlign w:val="bottom"/>
          </w:tcPr>
          <w:p w14:paraId="44436124"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5.9</w:t>
            </w:r>
          </w:p>
        </w:tc>
        <w:tc>
          <w:tcPr>
            <w:tcW w:w="1164" w:type="pct"/>
            <w:vAlign w:val="bottom"/>
          </w:tcPr>
          <w:p w14:paraId="67F26F54"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5.4*</w:t>
            </w:r>
          </w:p>
        </w:tc>
      </w:tr>
    </w:tbl>
    <w:p w14:paraId="25D3D9C2" w14:textId="77777777" w:rsidR="00DC5685" w:rsidRPr="00A34F10" w:rsidRDefault="00DC5685" w:rsidP="00DC5685">
      <w:pPr>
        <w:keepNext/>
        <w:keepLines/>
        <w:tabs>
          <w:tab w:val="left" w:pos="720"/>
          <w:tab w:val="left" w:pos="1440"/>
          <w:tab w:val="left" w:pos="2880"/>
          <w:tab w:val="left" w:pos="4321"/>
          <w:tab w:val="left" w:pos="5761"/>
        </w:tabs>
        <w:ind w:left="431" w:right="142" w:hanging="289"/>
        <w:jc w:val="both"/>
        <w:rPr>
          <w:sz w:val="18"/>
          <w:szCs w:val="18"/>
          <w:lang w:val="x-none"/>
        </w:rPr>
      </w:pPr>
      <w:r w:rsidRPr="00A34F10">
        <w:rPr>
          <w:sz w:val="18"/>
          <w:szCs w:val="18"/>
          <w:lang w:val="x-none"/>
        </w:rPr>
        <w:t>negative values in % inhibition indicate an increase in growth relative to that of the control</w:t>
      </w:r>
    </w:p>
    <w:p w14:paraId="4B559D20" w14:textId="43AD1D67" w:rsidR="00DC5685" w:rsidRPr="00A34F10" w:rsidRDefault="00DC5685" w:rsidP="00DC5685">
      <w:pPr>
        <w:keepNext/>
        <w:keepLines/>
        <w:tabs>
          <w:tab w:val="left" w:pos="709"/>
          <w:tab w:val="left" w:pos="1440"/>
          <w:tab w:val="left" w:pos="2880"/>
          <w:tab w:val="left" w:pos="4321"/>
          <w:tab w:val="left" w:pos="5761"/>
        </w:tabs>
        <w:ind w:left="431" w:right="142" w:hanging="289"/>
        <w:jc w:val="both"/>
        <w:rPr>
          <w:sz w:val="18"/>
          <w:szCs w:val="18"/>
          <w:lang w:val="x-none"/>
        </w:rPr>
      </w:pPr>
      <w:r w:rsidRPr="00A34F10">
        <w:rPr>
          <w:sz w:val="18"/>
          <w:szCs w:val="18"/>
          <w:lang w:val="x-none"/>
        </w:rPr>
        <w:t>* Statistically significant difference to the control; since no statistically significant inhibition was observed at concentrations from 3.05 to 31.3 mg product/L (missing concentration-response relation), the statistically significant inhibition at 0.954</w:t>
      </w:r>
      <w:r w:rsidRPr="00A34F10">
        <w:rPr>
          <w:sz w:val="18"/>
          <w:szCs w:val="18"/>
        </w:rPr>
        <w:t> </w:t>
      </w:r>
      <w:r w:rsidRPr="00A34F10">
        <w:rPr>
          <w:sz w:val="18"/>
          <w:szCs w:val="18"/>
          <w:lang w:val="x-none"/>
        </w:rPr>
        <w:t>mg/L is not considered as test item related</w:t>
      </w:r>
    </w:p>
    <w:p w14:paraId="634DDA0C" w14:textId="3CB2F233" w:rsidR="00976440" w:rsidRPr="00A34F10" w:rsidRDefault="00976440" w:rsidP="00DC5685">
      <w:pPr>
        <w:keepNext/>
        <w:keepLines/>
        <w:tabs>
          <w:tab w:val="left" w:pos="709"/>
          <w:tab w:val="left" w:pos="1440"/>
          <w:tab w:val="left" w:pos="2880"/>
          <w:tab w:val="left" w:pos="4321"/>
          <w:tab w:val="left" w:pos="5761"/>
        </w:tabs>
        <w:ind w:left="431" w:right="142" w:hanging="289"/>
        <w:jc w:val="both"/>
        <w:rPr>
          <w:sz w:val="18"/>
          <w:szCs w:val="18"/>
          <w:lang w:val="x-none"/>
        </w:rPr>
      </w:pPr>
    </w:p>
    <w:p w14:paraId="38026153" w14:textId="77777777" w:rsidR="00976440" w:rsidRPr="00A34F10" w:rsidRDefault="00976440" w:rsidP="00DC5685">
      <w:pPr>
        <w:keepNext/>
        <w:keepLines/>
        <w:tabs>
          <w:tab w:val="left" w:pos="709"/>
          <w:tab w:val="left" w:pos="1440"/>
          <w:tab w:val="left" w:pos="2880"/>
          <w:tab w:val="left" w:pos="4321"/>
          <w:tab w:val="left" w:pos="5761"/>
        </w:tabs>
        <w:ind w:left="431" w:right="142" w:hanging="289"/>
        <w:jc w:val="both"/>
        <w:rPr>
          <w:sz w:val="18"/>
          <w:szCs w:val="18"/>
          <w:lang w:val="x-none"/>
        </w:rPr>
      </w:pPr>
    </w:p>
    <w:p w14:paraId="11B0A27A" w14:textId="77777777" w:rsidR="003347E3" w:rsidRDefault="003347E3">
      <w:pPr>
        <w:rPr>
          <w:b/>
          <w:bCs/>
          <w:color w:val="000000" w:themeColor="text1"/>
          <w:lang w:val="en-GB"/>
        </w:rPr>
      </w:pPr>
      <w:r>
        <w:br w:type="page"/>
      </w:r>
    </w:p>
    <w:p w14:paraId="2E79B090" w14:textId="34BB54CA" w:rsidR="00DC5685" w:rsidRPr="00A34F10" w:rsidRDefault="00EA3876" w:rsidP="00EA3876">
      <w:pPr>
        <w:pStyle w:val="Legenda"/>
        <w:rPr>
          <w:color w:val="000000"/>
          <w:highlight w:val="yellow"/>
        </w:rPr>
      </w:pPr>
      <w:r>
        <w:lastRenderedPageBreak/>
        <w:t xml:space="preserve">Table A </w:t>
      </w:r>
      <w:r>
        <w:fldChar w:fldCharType="begin"/>
      </w:r>
      <w:r>
        <w:instrText xml:space="preserve"> SEQ Table_A \* ARABIC </w:instrText>
      </w:r>
      <w:r>
        <w:fldChar w:fldCharType="separate"/>
      </w:r>
      <w:r w:rsidR="006F0F3B">
        <w:rPr>
          <w:noProof/>
        </w:rPr>
        <w:t>24</w:t>
      </w:r>
      <w:r>
        <w:fldChar w:fldCharType="end"/>
      </w:r>
      <w:r w:rsidR="00976440" w:rsidRPr="00A34F10">
        <w:t>:</w:t>
      </w:r>
      <w:r w:rsidR="00DC5685" w:rsidRPr="00A34F10">
        <w:rPr>
          <w:color w:val="000000"/>
        </w:rPr>
        <w:tab/>
        <w:t>Summary of endpoints</w:t>
      </w:r>
      <w:r w:rsidR="00DC5685" w:rsidRPr="00A34F10">
        <w:rPr>
          <w:color w:val="00000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908"/>
        <w:gridCol w:w="3218"/>
        <w:gridCol w:w="3218"/>
      </w:tblGrid>
      <w:tr w:rsidR="00DC5685" w:rsidRPr="00A34F10" w14:paraId="72D52D2E" w14:textId="77777777" w:rsidTr="000470C3">
        <w:trPr>
          <w:cantSplit/>
        </w:trPr>
        <w:tc>
          <w:tcPr>
            <w:tcW w:w="1556" w:type="pct"/>
            <w:vMerge w:val="restart"/>
            <w:shd w:val="clear" w:color="auto" w:fill="auto"/>
            <w:vAlign w:val="center"/>
          </w:tcPr>
          <w:p w14:paraId="0D775949" w14:textId="77777777" w:rsidR="00DC5685" w:rsidRPr="00A34F10" w:rsidRDefault="00DC5685" w:rsidP="00DC5685">
            <w:pPr>
              <w:keepNext/>
              <w:keepLines/>
              <w:spacing w:before="60" w:after="60"/>
              <w:ind w:left="57" w:right="57"/>
              <w:rPr>
                <w:b/>
                <w:color w:val="000000"/>
                <w:sz w:val="20"/>
                <w:szCs w:val="20"/>
                <w:lang w:val="en-GB"/>
              </w:rPr>
            </w:pPr>
            <w:r w:rsidRPr="00A34F10">
              <w:rPr>
                <w:b/>
                <w:color w:val="000000"/>
                <w:sz w:val="20"/>
                <w:szCs w:val="20"/>
                <w:lang w:val="en-GB"/>
              </w:rPr>
              <w:t>Parameter</w:t>
            </w:r>
          </w:p>
        </w:tc>
        <w:tc>
          <w:tcPr>
            <w:tcW w:w="1722" w:type="pct"/>
            <w:vAlign w:val="center"/>
          </w:tcPr>
          <w:p w14:paraId="36A8F83F"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Growth rate</w:t>
            </w:r>
          </w:p>
        </w:tc>
        <w:tc>
          <w:tcPr>
            <w:tcW w:w="1722" w:type="pct"/>
            <w:vAlign w:val="center"/>
          </w:tcPr>
          <w:p w14:paraId="0B48619B"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Yield</w:t>
            </w:r>
          </w:p>
        </w:tc>
      </w:tr>
      <w:tr w:rsidR="00DC5685" w:rsidRPr="00A34F10" w14:paraId="6ADDBB41" w14:textId="77777777" w:rsidTr="000470C3">
        <w:tc>
          <w:tcPr>
            <w:tcW w:w="1556" w:type="pct"/>
            <w:vMerge/>
            <w:shd w:val="clear" w:color="auto" w:fill="auto"/>
            <w:vAlign w:val="center"/>
          </w:tcPr>
          <w:p w14:paraId="77332E8D" w14:textId="77777777" w:rsidR="00DC5685" w:rsidRPr="00A34F10" w:rsidRDefault="00DC5685" w:rsidP="00DC5685">
            <w:pPr>
              <w:keepNext/>
              <w:keepLines/>
              <w:spacing w:before="60" w:after="60"/>
              <w:ind w:left="57" w:right="57"/>
              <w:rPr>
                <w:b/>
                <w:color w:val="000000"/>
                <w:sz w:val="20"/>
                <w:szCs w:val="20"/>
                <w:lang w:val="en-GB"/>
              </w:rPr>
            </w:pPr>
          </w:p>
        </w:tc>
        <w:tc>
          <w:tcPr>
            <w:tcW w:w="1722" w:type="pct"/>
            <w:vAlign w:val="center"/>
          </w:tcPr>
          <w:p w14:paraId="018DC658"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 xml:space="preserve">[mg product/L] </w:t>
            </w:r>
            <w:r w:rsidRPr="00A34F10">
              <w:rPr>
                <w:b/>
                <w:color w:val="000000"/>
                <w:sz w:val="20"/>
                <w:szCs w:val="20"/>
                <w:vertAlign w:val="subscript"/>
                <w:lang w:val="en-GB"/>
              </w:rPr>
              <w:t>nom</w:t>
            </w:r>
          </w:p>
        </w:tc>
        <w:tc>
          <w:tcPr>
            <w:tcW w:w="1722" w:type="pct"/>
            <w:vAlign w:val="center"/>
          </w:tcPr>
          <w:p w14:paraId="36FEDFD5" w14:textId="77777777" w:rsidR="00DC5685" w:rsidRPr="00A34F10" w:rsidRDefault="00DC5685" w:rsidP="00DC5685">
            <w:pPr>
              <w:keepNext/>
              <w:keepLines/>
              <w:spacing w:before="60" w:after="60"/>
              <w:ind w:left="57" w:right="57"/>
              <w:jc w:val="center"/>
              <w:rPr>
                <w:b/>
                <w:color w:val="000000"/>
                <w:sz w:val="20"/>
                <w:szCs w:val="20"/>
                <w:lang w:val="en-GB"/>
              </w:rPr>
            </w:pPr>
            <w:r w:rsidRPr="00A34F10">
              <w:rPr>
                <w:b/>
                <w:color w:val="000000"/>
                <w:sz w:val="20"/>
                <w:szCs w:val="20"/>
                <w:lang w:val="en-GB"/>
              </w:rPr>
              <w:t xml:space="preserve">[mg product/L] </w:t>
            </w:r>
            <w:r w:rsidRPr="00A34F10">
              <w:rPr>
                <w:b/>
                <w:color w:val="000000"/>
                <w:sz w:val="20"/>
                <w:szCs w:val="20"/>
                <w:vertAlign w:val="subscript"/>
                <w:lang w:val="en-GB"/>
              </w:rPr>
              <w:t>nom</w:t>
            </w:r>
          </w:p>
        </w:tc>
      </w:tr>
      <w:tr w:rsidR="00DC5685" w:rsidRPr="00A34F10" w14:paraId="586A8489" w14:textId="77777777" w:rsidTr="000470C3">
        <w:tc>
          <w:tcPr>
            <w:tcW w:w="1556" w:type="pct"/>
            <w:vAlign w:val="center"/>
          </w:tcPr>
          <w:p w14:paraId="57659FDA"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72-hour EC</w:t>
            </w:r>
            <w:r w:rsidRPr="00A34F10">
              <w:rPr>
                <w:color w:val="000000"/>
                <w:sz w:val="20"/>
                <w:szCs w:val="20"/>
                <w:vertAlign w:val="subscript"/>
                <w:lang w:val="en-GB"/>
              </w:rPr>
              <w:t>50</w:t>
            </w:r>
            <w:r w:rsidRPr="00A34F10">
              <w:rPr>
                <w:color w:val="000000"/>
                <w:sz w:val="20"/>
                <w:szCs w:val="20"/>
                <w:lang w:val="en-GB"/>
              </w:rPr>
              <w:t xml:space="preserve"> (95% conf. interval)</w:t>
            </w:r>
          </w:p>
        </w:tc>
        <w:tc>
          <w:tcPr>
            <w:tcW w:w="1722" w:type="pct"/>
            <w:vAlign w:val="center"/>
          </w:tcPr>
          <w:p w14:paraId="70B2561E" w14:textId="77777777" w:rsidR="00DC5685" w:rsidRPr="00A34F10" w:rsidRDefault="00DC5685" w:rsidP="00DC5685">
            <w:pPr>
              <w:keepNext/>
              <w:keepLines/>
              <w:spacing w:before="60" w:after="60"/>
              <w:ind w:left="57" w:right="57"/>
              <w:jc w:val="center"/>
              <w:rPr>
                <w:bCs/>
                <w:color w:val="000000"/>
                <w:sz w:val="20"/>
                <w:szCs w:val="20"/>
                <w:lang w:val="en-GB"/>
              </w:rPr>
            </w:pPr>
            <w:r w:rsidRPr="00A34F10">
              <w:rPr>
                <w:color w:val="000000"/>
                <w:sz w:val="20"/>
                <w:szCs w:val="20"/>
                <w:lang w:val="en-GB"/>
              </w:rPr>
              <w:t xml:space="preserve">&gt;100 (&gt;100) </w:t>
            </w:r>
            <w:r w:rsidRPr="00A34F10">
              <w:rPr>
                <w:color w:val="000000"/>
                <w:sz w:val="20"/>
                <w:szCs w:val="20"/>
                <w:vertAlign w:val="superscript"/>
                <w:lang w:val="en-GB"/>
              </w:rPr>
              <w:t>1</w:t>
            </w:r>
          </w:p>
        </w:tc>
        <w:tc>
          <w:tcPr>
            <w:tcW w:w="1722" w:type="pct"/>
            <w:vAlign w:val="center"/>
          </w:tcPr>
          <w:p w14:paraId="049EBAA2" w14:textId="77777777" w:rsidR="00DC5685" w:rsidRPr="00A34F10" w:rsidRDefault="00DC5685" w:rsidP="00DC5685">
            <w:pPr>
              <w:keepNext/>
              <w:keepLines/>
              <w:spacing w:before="60" w:after="60"/>
              <w:ind w:left="57" w:right="57"/>
              <w:jc w:val="center"/>
              <w:rPr>
                <w:bCs/>
                <w:color w:val="000000"/>
                <w:sz w:val="20"/>
                <w:szCs w:val="20"/>
                <w:lang w:val="en-GB"/>
              </w:rPr>
            </w:pPr>
            <w:r w:rsidRPr="00A34F10">
              <w:rPr>
                <w:color w:val="000000"/>
                <w:sz w:val="20"/>
                <w:szCs w:val="20"/>
                <w:lang w:val="en-GB"/>
              </w:rPr>
              <w:t xml:space="preserve">&gt;100 (&gt;100) </w:t>
            </w:r>
            <w:r w:rsidRPr="00A34F10">
              <w:rPr>
                <w:color w:val="000000"/>
                <w:sz w:val="20"/>
                <w:szCs w:val="20"/>
                <w:vertAlign w:val="superscript"/>
                <w:lang w:val="en-GB"/>
              </w:rPr>
              <w:t>3</w:t>
            </w:r>
          </w:p>
        </w:tc>
      </w:tr>
      <w:tr w:rsidR="00DC5685" w:rsidRPr="00A34F10" w14:paraId="10EF2CE7" w14:textId="77777777" w:rsidTr="000470C3">
        <w:tc>
          <w:tcPr>
            <w:tcW w:w="1556" w:type="pct"/>
            <w:vAlign w:val="center"/>
          </w:tcPr>
          <w:p w14:paraId="096B51A4"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72-hour EC</w:t>
            </w:r>
            <w:r w:rsidRPr="00A34F10">
              <w:rPr>
                <w:color w:val="000000"/>
                <w:sz w:val="20"/>
                <w:szCs w:val="20"/>
                <w:vertAlign w:val="subscript"/>
                <w:lang w:val="en-GB"/>
              </w:rPr>
              <w:t xml:space="preserve">20 </w:t>
            </w:r>
            <w:r w:rsidRPr="00A34F10">
              <w:rPr>
                <w:color w:val="000000"/>
                <w:sz w:val="20"/>
                <w:szCs w:val="20"/>
                <w:lang w:val="en-GB"/>
              </w:rPr>
              <w:t>(95% conf. interval)</w:t>
            </w:r>
          </w:p>
        </w:tc>
        <w:tc>
          <w:tcPr>
            <w:tcW w:w="1722" w:type="pct"/>
            <w:vAlign w:val="center"/>
          </w:tcPr>
          <w:p w14:paraId="7527BA32"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&gt;100 (&gt;100) </w:t>
            </w:r>
            <w:r w:rsidRPr="00A34F10">
              <w:rPr>
                <w:color w:val="000000"/>
                <w:sz w:val="20"/>
                <w:szCs w:val="20"/>
                <w:vertAlign w:val="superscript"/>
                <w:lang w:val="en-GB"/>
              </w:rPr>
              <w:t>1</w:t>
            </w:r>
          </w:p>
        </w:tc>
        <w:tc>
          <w:tcPr>
            <w:tcW w:w="1722" w:type="pct"/>
            <w:vAlign w:val="center"/>
          </w:tcPr>
          <w:p w14:paraId="101F0428"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w:t>
            </w:r>
            <w:r w:rsidRPr="00A34F10">
              <w:rPr>
                <w:color w:val="000000"/>
                <w:sz w:val="20"/>
                <w:szCs w:val="20"/>
                <w:vertAlign w:val="superscript"/>
                <w:lang w:val="en-GB"/>
              </w:rPr>
              <w:t>2</w:t>
            </w:r>
          </w:p>
        </w:tc>
      </w:tr>
      <w:tr w:rsidR="00DC5685" w:rsidRPr="00A34F10" w14:paraId="7EEA8A46" w14:textId="77777777" w:rsidTr="000470C3">
        <w:tc>
          <w:tcPr>
            <w:tcW w:w="1556" w:type="pct"/>
            <w:vAlign w:val="center"/>
          </w:tcPr>
          <w:p w14:paraId="429A6080"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72-hour EC</w:t>
            </w:r>
            <w:r w:rsidRPr="00A34F10">
              <w:rPr>
                <w:color w:val="000000"/>
                <w:sz w:val="20"/>
                <w:szCs w:val="20"/>
                <w:vertAlign w:val="subscript"/>
                <w:lang w:val="en-GB"/>
              </w:rPr>
              <w:t xml:space="preserve">10 </w:t>
            </w:r>
            <w:r w:rsidRPr="00A34F10">
              <w:rPr>
                <w:color w:val="000000"/>
                <w:sz w:val="20"/>
                <w:szCs w:val="20"/>
                <w:lang w:val="en-GB"/>
              </w:rPr>
              <w:t>(95% conf. interval)</w:t>
            </w:r>
          </w:p>
        </w:tc>
        <w:tc>
          <w:tcPr>
            <w:tcW w:w="1722" w:type="pct"/>
            <w:vAlign w:val="center"/>
          </w:tcPr>
          <w:p w14:paraId="3774EC63"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&gt;100 (&gt;100) </w:t>
            </w:r>
            <w:r w:rsidRPr="00A34F10">
              <w:rPr>
                <w:color w:val="000000"/>
                <w:sz w:val="20"/>
                <w:szCs w:val="20"/>
                <w:vertAlign w:val="superscript"/>
                <w:lang w:val="en-GB"/>
              </w:rPr>
              <w:t>1</w:t>
            </w:r>
          </w:p>
        </w:tc>
        <w:tc>
          <w:tcPr>
            <w:tcW w:w="1722" w:type="pct"/>
            <w:vAlign w:val="center"/>
          </w:tcPr>
          <w:p w14:paraId="1B9D5C4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 </w:t>
            </w:r>
            <w:r w:rsidRPr="00A34F10">
              <w:rPr>
                <w:color w:val="000000"/>
                <w:sz w:val="20"/>
                <w:szCs w:val="20"/>
                <w:vertAlign w:val="superscript"/>
                <w:lang w:val="en-GB"/>
              </w:rPr>
              <w:t>2</w:t>
            </w:r>
          </w:p>
        </w:tc>
      </w:tr>
      <w:tr w:rsidR="00DC5685" w:rsidRPr="00A34F10" w14:paraId="6F24C4DC" w14:textId="77777777" w:rsidTr="000470C3">
        <w:tc>
          <w:tcPr>
            <w:tcW w:w="1556" w:type="pct"/>
            <w:vAlign w:val="center"/>
          </w:tcPr>
          <w:p w14:paraId="06C7A841" w14:textId="77777777" w:rsidR="00DC5685" w:rsidRPr="00A34F10" w:rsidRDefault="00DC5685" w:rsidP="00DC5685">
            <w:pPr>
              <w:keepNext/>
              <w:keepLines/>
              <w:spacing w:before="60" w:after="60"/>
              <w:ind w:left="57" w:right="57"/>
              <w:rPr>
                <w:color w:val="000000"/>
                <w:sz w:val="20"/>
                <w:szCs w:val="20"/>
                <w:lang w:val="en-GB"/>
              </w:rPr>
            </w:pPr>
            <w:r w:rsidRPr="00A34F10">
              <w:rPr>
                <w:color w:val="000000"/>
                <w:sz w:val="20"/>
                <w:szCs w:val="20"/>
                <w:lang w:val="en-GB"/>
              </w:rPr>
              <w:t>72-hour NOEC</w:t>
            </w:r>
          </w:p>
        </w:tc>
        <w:tc>
          <w:tcPr>
            <w:tcW w:w="1722" w:type="pct"/>
            <w:vAlign w:val="center"/>
          </w:tcPr>
          <w:p w14:paraId="348E6CCD"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31.3 </w:t>
            </w:r>
            <w:r w:rsidRPr="00A34F10">
              <w:rPr>
                <w:color w:val="000000"/>
                <w:sz w:val="20"/>
                <w:szCs w:val="20"/>
                <w:vertAlign w:val="superscript"/>
                <w:lang w:val="en-GB"/>
              </w:rPr>
              <w:t>4</w:t>
            </w:r>
          </w:p>
        </w:tc>
        <w:tc>
          <w:tcPr>
            <w:tcW w:w="1722" w:type="pct"/>
            <w:vAlign w:val="center"/>
          </w:tcPr>
          <w:p w14:paraId="56F0CE3C"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31.3 </w:t>
            </w:r>
            <w:r w:rsidRPr="00A34F10">
              <w:rPr>
                <w:color w:val="000000"/>
                <w:sz w:val="20"/>
                <w:szCs w:val="20"/>
                <w:vertAlign w:val="superscript"/>
                <w:lang w:val="en-GB"/>
              </w:rPr>
              <w:t>4</w:t>
            </w:r>
          </w:p>
        </w:tc>
      </w:tr>
      <w:tr w:rsidR="00DC5685" w:rsidRPr="00A34F10" w14:paraId="73CA521A" w14:textId="77777777" w:rsidTr="000470C3">
        <w:tc>
          <w:tcPr>
            <w:tcW w:w="1556" w:type="pct"/>
            <w:vAlign w:val="center"/>
          </w:tcPr>
          <w:p w14:paraId="70A12FCB" w14:textId="77777777" w:rsidR="00DC5685" w:rsidRPr="00A34F10" w:rsidRDefault="00DC5685" w:rsidP="00DC5685">
            <w:pPr>
              <w:keepNext/>
              <w:keepLines/>
              <w:spacing w:before="60" w:after="60"/>
              <w:ind w:left="57" w:right="57"/>
              <w:rPr>
                <w:bCs/>
                <w:color w:val="000000"/>
                <w:sz w:val="20"/>
                <w:szCs w:val="20"/>
                <w:lang w:val="en-GB"/>
              </w:rPr>
            </w:pPr>
            <w:r w:rsidRPr="00A34F10">
              <w:rPr>
                <w:bCs/>
                <w:color w:val="000000"/>
                <w:sz w:val="20"/>
                <w:szCs w:val="20"/>
                <w:lang w:val="en-GB"/>
              </w:rPr>
              <w:t>72-hour LOEC</w:t>
            </w:r>
          </w:p>
        </w:tc>
        <w:tc>
          <w:tcPr>
            <w:tcW w:w="1722" w:type="pct"/>
            <w:vAlign w:val="center"/>
          </w:tcPr>
          <w:p w14:paraId="72B372F5"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100 </w:t>
            </w:r>
            <w:r w:rsidRPr="00A34F10">
              <w:rPr>
                <w:color w:val="000000"/>
                <w:sz w:val="20"/>
                <w:szCs w:val="20"/>
                <w:vertAlign w:val="superscript"/>
                <w:lang w:val="en-GB"/>
              </w:rPr>
              <w:t>4</w:t>
            </w:r>
          </w:p>
        </w:tc>
        <w:tc>
          <w:tcPr>
            <w:tcW w:w="1722" w:type="pct"/>
            <w:vAlign w:val="center"/>
          </w:tcPr>
          <w:p w14:paraId="694E16B7" w14:textId="77777777" w:rsidR="00DC5685" w:rsidRPr="00A34F10" w:rsidRDefault="00DC5685" w:rsidP="00DC5685">
            <w:pPr>
              <w:keepNext/>
              <w:keepLines/>
              <w:spacing w:before="60" w:after="60"/>
              <w:ind w:left="57" w:right="57"/>
              <w:jc w:val="center"/>
              <w:rPr>
                <w:color w:val="000000"/>
                <w:sz w:val="20"/>
                <w:szCs w:val="20"/>
                <w:lang w:val="en-GB"/>
              </w:rPr>
            </w:pPr>
            <w:r w:rsidRPr="00A34F10">
              <w:rPr>
                <w:color w:val="000000"/>
                <w:sz w:val="20"/>
                <w:szCs w:val="20"/>
                <w:lang w:val="en-GB"/>
              </w:rPr>
              <w:t xml:space="preserve">100 </w:t>
            </w:r>
            <w:r w:rsidRPr="00A34F10">
              <w:rPr>
                <w:color w:val="000000"/>
                <w:sz w:val="20"/>
                <w:szCs w:val="20"/>
                <w:vertAlign w:val="superscript"/>
                <w:lang w:val="en-GB"/>
              </w:rPr>
              <w:t>4</w:t>
            </w:r>
          </w:p>
        </w:tc>
      </w:tr>
    </w:tbl>
    <w:p w14:paraId="33BCB7AB" w14:textId="77777777" w:rsidR="00DC5685" w:rsidRPr="00A34F10" w:rsidRDefault="00DC5685" w:rsidP="00DC5685">
      <w:pPr>
        <w:keepNext/>
        <w:keepLines/>
        <w:tabs>
          <w:tab w:val="left" w:pos="709"/>
          <w:tab w:val="left" w:pos="1440"/>
          <w:tab w:val="left" w:pos="2880"/>
          <w:tab w:val="left" w:pos="4321"/>
          <w:tab w:val="left" w:pos="5761"/>
        </w:tabs>
        <w:ind w:right="142"/>
        <w:jc w:val="both"/>
        <w:rPr>
          <w:sz w:val="18"/>
          <w:szCs w:val="18"/>
          <w:lang w:val="en-GB"/>
        </w:rPr>
      </w:pPr>
      <w:r w:rsidRPr="00A34F10">
        <w:rPr>
          <w:sz w:val="18"/>
          <w:szCs w:val="18"/>
          <w:vertAlign w:val="superscript"/>
          <w:lang w:val="en-GB"/>
        </w:rPr>
        <w:t>1)</w:t>
      </w:r>
      <w:r w:rsidRPr="00A34F10">
        <w:rPr>
          <w:sz w:val="18"/>
          <w:szCs w:val="18"/>
          <w:lang w:val="en-GB"/>
        </w:rPr>
        <w:t xml:space="preserve"> Inhibition at highest test item concentration was below 10 %, therefore the E</w:t>
      </w:r>
      <w:r w:rsidRPr="00A34F10">
        <w:rPr>
          <w:sz w:val="18"/>
          <w:szCs w:val="18"/>
          <w:vertAlign w:val="subscript"/>
          <w:lang w:val="en-GB"/>
        </w:rPr>
        <w:t>r</w:t>
      </w:r>
      <w:r w:rsidRPr="00A34F10">
        <w:rPr>
          <w:sz w:val="18"/>
          <w:szCs w:val="18"/>
          <w:lang w:val="en-GB"/>
        </w:rPr>
        <w:t>C</w:t>
      </w:r>
      <w:r w:rsidRPr="00A34F10">
        <w:rPr>
          <w:sz w:val="18"/>
          <w:szCs w:val="18"/>
          <w:vertAlign w:val="subscript"/>
          <w:lang w:val="en-GB"/>
        </w:rPr>
        <w:t>10</w:t>
      </w:r>
      <w:r w:rsidRPr="00A34F10">
        <w:rPr>
          <w:sz w:val="18"/>
          <w:szCs w:val="18"/>
          <w:lang w:val="en-GB"/>
        </w:rPr>
        <w:t>, E</w:t>
      </w:r>
      <w:r w:rsidRPr="00A34F10">
        <w:rPr>
          <w:sz w:val="18"/>
          <w:szCs w:val="18"/>
          <w:vertAlign w:val="subscript"/>
          <w:lang w:val="en-GB"/>
        </w:rPr>
        <w:t>r</w:t>
      </w:r>
      <w:r w:rsidRPr="00A34F10">
        <w:rPr>
          <w:sz w:val="18"/>
          <w:szCs w:val="18"/>
          <w:lang w:val="en-GB"/>
        </w:rPr>
        <w:t>C</w:t>
      </w:r>
      <w:r w:rsidRPr="00A34F10">
        <w:rPr>
          <w:sz w:val="18"/>
          <w:szCs w:val="18"/>
          <w:vertAlign w:val="subscript"/>
          <w:lang w:val="en-GB"/>
        </w:rPr>
        <w:t>20</w:t>
      </w:r>
      <w:r w:rsidRPr="00A34F10">
        <w:rPr>
          <w:sz w:val="18"/>
          <w:szCs w:val="18"/>
          <w:lang w:val="en-GB"/>
        </w:rPr>
        <w:t xml:space="preserve"> and E</w:t>
      </w:r>
      <w:r w:rsidRPr="00A34F10">
        <w:rPr>
          <w:sz w:val="18"/>
          <w:szCs w:val="18"/>
          <w:vertAlign w:val="subscript"/>
          <w:lang w:val="en-GB"/>
        </w:rPr>
        <w:t>r</w:t>
      </w:r>
      <w:r w:rsidRPr="00A34F10">
        <w:rPr>
          <w:sz w:val="18"/>
          <w:szCs w:val="18"/>
          <w:lang w:val="en-GB"/>
        </w:rPr>
        <w:t>C</w:t>
      </w:r>
      <w:r w:rsidRPr="00A34F10">
        <w:rPr>
          <w:sz w:val="18"/>
          <w:szCs w:val="18"/>
          <w:vertAlign w:val="subscript"/>
          <w:lang w:val="en-GB"/>
        </w:rPr>
        <w:t>50</w:t>
      </w:r>
      <w:r w:rsidRPr="00A34F10">
        <w:rPr>
          <w:sz w:val="18"/>
          <w:szCs w:val="18"/>
          <w:lang w:val="en-GB"/>
        </w:rPr>
        <w:t>-values are considered to be above the highest test item concentration</w:t>
      </w:r>
    </w:p>
    <w:p w14:paraId="69DED749" w14:textId="77777777" w:rsidR="00DC5685" w:rsidRPr="00A34F10" w:rsidRDefault="00DC5685" w:rsidP="00DC5685">
      <w:pPr>
        <w:keepNext/>
        <w:keepLines/>
        <w:tabs>
          <w:tab w:val="left" w:pos="709"/>
          <w:tab w:val="left" w:pos="1440"/>
          <w:tab w:val="left" w:pos="2880"/>
          <w:tab w:val="left" w:pos="4321"/>
          <w:tab w:val="left" w:pos="5761"/>
        </w:tabs>
        <w:ind w:right="142"/>
        <w:jc w:val="both"/>
        <w:rPr>
          <w:sz w:val="18"/>
          <w:szCs w:val="18"/>
          <w:lang w:val="en-GB"/>
        </w:rPr>
      </w:pPr>
      <w:r w:rsidRPr="00A34F10">
        <w:rPr>
          <w:sz w:val="18"/>
          <w:szCs w:val="18"/>
          <w:vertAlign w:val="superscript"/>
          <w:lang w:val="en-GB"/>
        </w:rPr>
        <w:t>2)</w:t>
      </w:r>
      <w:r w:rsidRPr="00A34F10">
        <w:rPr>
          <w:sz w:val="18"/>
          <w:szCs w:val="18"/>
          <w:lang w:val="en-GB"/>
        </w:rPr>
        <w:t xml:space="preserve"> Due to an inhibition below 30 % and a weak concentration response relation the database was inappropriate for statistical determination of the E</w:t>
      </w:r>
      <w:r w:rsidRPr="00A34F10">
        <w:rPr>
          <w:sz w:val="18"/>
          <w:szCs w:val="18"/>
          <w:vertAlign w:val="subscript"/>
          <w:lang w:val="en-GB"/>
        </w:rPr>
        <w:t>y</w:t>
      </w:r>
      <w:r w:rsidRPr="00A34F10">
        <w:rPr>
          <w:sz w:val="18"/>
          <w:szCs w:val="18"/>
          <w:lang w:val="en-GB"/>
        </w:rPr>
        <w:t>C</w:t>
      </w:r>
      <w:r w:rsidRPr="00A34F10">
        <w:rPr>
          <w:sz w:val="18"/>
          <w:szCs w:val="18"/>
          <w:vertAlign w:val="subscript"/>
          <w:lang w:val="en-GB"/>
        </w:rPr>
        <w:t>x</w:t>
      </w:r>
      <w:r w:rsidRPr="00A34F10">
        <w:rPr>
          <w:sz w:val="18"/>
          <w:szCs w:val="18"/>
          <w:lang w:val="en-GB"/>
        </w:rPr>
        <w:t>-values, which hence was not performed.</w:t>
      </w:r>
    </w:p>
    <w:p w14:paraId="24F60641" w14:textId="77777777" w:rsidR="00DC5685" w:rsidRPr="00A34F10" w:rsidRDefault="00DC5685" w:rsidP="00DC5685">
      <w:pPr>
        <w:keepNext/>
        <w:keepLines/>
        <w:tabs>
          <w:tab w:val="left" w:pos="709"/>
          <w:tab w:val="left" w:pos="1440"/>
          <w:tab w:val="left" w:pos="2880"/>
          <w:tab w:val="left" w:pos="4321"/>
          <w:tab w:val="left" w:pos="5761"/>
        </w:tabs>
        <w:ind w:right="142"/>
        <w:jc w:val="both"/>
        <w:rPr>
          <w:sz w:val="18"/>
          <w:szCs w:val="18"/>
          <w:lang w:val="en-GB"/>
        </w:rPr>
      </w:pPr>
      <w:r w:rsidRPr="00A34F10">
        <w:rPr>
          <w:sz w:val="18"/>
          <w:szCs w:val="18"/>
          <w:vertAlign w:val="superscript"/>
          <w:lang w:val="en-GB"/>
        </w:rPr>
        <w:t>3)</w:t>
      </w:r>
      <w:r w:rsidRPr="00A34F10">
        <w:rPr>
          <w:sz w:val="18"/>
          <w:szCs w:val="18"/>
          <w:lang w:val="en-GB"/>
        </w:rPr>
        <w:t xml:space="preserve"> Inhibition at highest test item concentration was below 30 %, therefore the E</w:t>
      </w:r>
      <w:r w:rsidRPr="00A34F10">
        <w:rPr>
          <w:sz w:val="18"/>
          <w:szCs w:val="18"/>
          <w:vertAlign w:val="subscript"/>
          <w:lang w:val="en-GB"/>
        </w:rPr>
        <w:t>y</w:t>
      </w:r>
      <w:r w:rsidRPr="00A34F10">
        <w:rPr>
          <w:sz w:val="18"/>
          <w:szCs w:val="18"/>
          <w:lang w:val="en-GB"/>
        </w:rPr>
        <w:t>C</w:t>
      </w:r>
      <w:r w:rsidRPr="00A34F10">
        <w:rPr>
          <w:sz w:val="18"/>
          <w:szCs w:val="18"/>
          <w:vertAlign w:val="subscript"/>
          <w:lang w:val="en-GB"/>
        </w:rPr>
        <w:t>50</w:t>
      </w:r>
      <w:r w:rsidRPr="00A34F10">
        <w:rPr>
          <w:sz w:val="18"/>
          <w:szCs w:val="18"/>
          <w:lang w:val="en-GB"/>
        </w:rPr>
        <w:t>-value is considered to be above the highest test item concentration</w:t>
      </w:r>
    </w:p>
    <w:p w14:paraId="0D5AB353" w14:textId="0256433B" w:rsidR="00DC5685" w:rsidRPr="00A34F10" w:rsidRDefault="00DC5685" w:rsidP="00DC5685">
      <w:pPr>
        <w:keepNext/>
        <w:keepLines/>
        <w:tabs>
          <w:tab w:val="left" w:pos="709"/>
          <w:tab w:val="left" w:pos="1440"/>
          <w:tab w:val="left" w:pos="2880"/>
          <w:tab w:val="left" w:pos="4321"/>
          <w:tab w:val="left" w:pos="5761"/>
        </w:tabs>
        <w:spacing w:after="360"/>
        <w:ind w:right="142"/>
        <w:jc w:val="both"/>
        <w:rPr>
          <w:sz w:val="18"/>
          <w:szCs w:val="18"/>
          <w:lang w:val="en-GB"/>
        </w:rPr>
      </w:pPr>
      <w:r w:rsidRPr="00A34F10">
        <w:rPr>
          <w:sz w:val="18"/>
          <w:szCs w:val="18"/>
          <w:vertAlign w:val="superscript"/>
          <w:lang w:val="en-GB"/>
        </w:rPr>
        <w:t>4)</w:t>
      </w:r>
      <w:r w:rsidRPr="00A34F10">
        <w:rPr>
          <w:sz w:val="18"/>
          <w:szCs w:val="18"/>
          <w:lang w:val="en-GB"/>
        </w:rPr>
        <w:t xml:space="preserve"> Following Dunnett’s t-test (left-sided, p≤0.05) for growth rate and yield</w:t>
      </w:r>
    </w:p>
    <w:p w14:paraId="6B9E241B" w14:textId="3AF00EF3" w:rsidR="00840C5D" w:rsidRDefault="00DC5685" w:rsidP="00DC5685">
      <w:pPr>
        <w:tabs>
          <w:tab w:val="left" w:pos="709"/>
          <w:tab w:val="left" w:pos="1440"/>
          <w:tab w:val="left" w:pos="2880"/>
          <w:tab w:val="left" w:pos="4321"/>
          <w:tab w:val="left" w:pos="5761"/>
        </w:tabs>
        <w:spacing w:after="240"/>
        <w:ind w:right="142"/>
        <w:jc w:val="both"/>
        <w:rPr>
          <w:lang w:val="en-GB"/>
        </w:rPr>
      </w:pPr>
      <w:r w:rsidRPr="00A34F10">
        <w:rPr>
          <w:lang w:val="en-GB"/>
        </w:rPr>
        <w:t>Potassium dichromate is tested as the toxic reference item in a separate study twice a year to confirm the sensitivity of the test organism against compounds with known effects under the test conditions. The E</w:t>
      </w:r>
      <w:r w:rsidRPr="00A34F10">
        <w:rPr>
          <w:vertAlign w:val="subscript"/>
          <w:lang w:val="en-GB"/>
        </w:rPr>
        <w:t>r</w:t>
      </w:r>
      <w:r w:rsidRPr="00A34F10">
        <w:rPr>
          <w:lang w:val="en-GB"/>
        </w:rPr>
        <w:t>C</w:t>
      </w:r>
      <w:r w:rsidRPr="00A34F10">
        <w:rPr>
          <w:vertAlign w:val="subscript"/>
          <w:lang w:val="en-GB"/>
        </w:rPr>
        <w:t>10</w:t>
      </w:r>
      <w:r w:rsidRPr="00A34F10">
        <w:rPr>
          <w:lang w:val="en-GB"/>
        </w:rPr>
        <w:t xml:space="preserve"> and the E</w:t>
      </w:r>
      <w:r w:rsidRPr="00A34F10">
        <w:rPr>
          <w:vertAlign w:val="subscript"/>
          <w:lang w:val="en-GB"/>
        </w:rPr>
        <w:t>y</w:t>
      </w:r>
      <w:r w:rsidRPr="00A34F10">
        <w:rPr>
          <w:lang w:val="en-GB"/>
        </w:rPr>
        <w:t>C</w:t>
      </w:r>
      <w:r w:rsidRPr="00A34F10">
        <w:rPr>
          <w:vertAlign w:val="subscript"/>
          <w:lang w:val="en-GB"/>
        </w:rPr>
        <w:t>10</w:t>
      </w:r>
      <w:r w:rsidRPr="00A34F10">
        <w:rPr>
          <w:lang w:val="en-GB"/>
        </w:rPr>
        <w:t xml:space="preserve"> were determined to be 0.516 and 0.175 mg/L, respectively (nominal). The E</w:t>
      </w:r>
      <w:r w:rsidRPr="00A34F10">
        <w:rPr>
          <w:vertAlign w:val="subscript"/>
          <w:lang w:val="en-GB"/>
        </w:rPr>
        <w:t>r</w:t>
      </w:r>
      <w:r w:rsidRPr="00A34F10">
        <w:rPr>
          <w:lang w:val="en-GB"/>
        </w:rPr>
        <w:t>C</w:t>
      </w:r>
      <w:r w:rsidRPr="00A34F10">
        <w:rPr>
          <w:vertAlign w:val="subscript"/>
          <w:lang w:val="en-GB"/>
        </w:rPr>
        <w:t>20</w:t>
      </w:r>
      <w:r w:rsidRPr="00A34F10">
        <w:rPr>
          <w:lang w:val="en-GB"/>
        </w:rPr>
        <w:t xml:space="preserve"> and E</w:t>
      </w:r>
      <w:r w:rsidRPr="00A34F10">
        <w:rPr>
          <w:vertAlign w:val="subscript"/>
          <w:lang w:val="en-GB"/>
        </w:rPr>
        <w:t>y</w:t>
      </w:r>
      <w:r w:rsidRPr="00A34F10">
        <w:rPr>
          <w:lang w:val="en-GB"/>
        </w:rPr>
        <w:t>C</w:t>
      </w:r>
      <w:r w:rsidRPr="00A34F10">
        <w:rPr>
          <w:vertAlign w:val="subscript"/>
          <w:lang w:val="en-GB"/>
        </w:rPr>
        <w:t>20</w:t>
      </w:r>
      <w:r w:rsidRPr="00A34F10">
        <w:rPr>
          <w:lang w:val="en-GB"/>
        </w:rPr>
        <w:t>) were determined to be 0.746 and 0.288 mg/L, respectively (nominal). The E</w:t>
      </w:r>
      <w:r w:rsidRPr="00A34F10">
        <w:rPr>
          <w:vertAlign w:val="subscript"/>
          <w:lang w:val="en-GB"/>
        </w:rPr>
        <w:t>r</w:t>
      </w:r>
      <w:r w:rsidRPr="00A34F10">
        <w:rPr>
          <w:lang w:val="en-GB"/>
        </w:rPr>
        <w:t>C</w:t>
      </w:r>
      <w:r w:rsidRPr="00A34F10">
        <w:rPr>
          <w:vertAlign w:val="subscript"/>
          <w:lang w:val="en-GB"/>
        </w:rPr>
        <w:t>50</w:t>
      </w:r>
      <w:r w:rsidRPr="00A34F10">
        <w:rPr>
          <w:lang w:val="en-GB"/>
        </w:rPr>
        <w:t xml:space="preserve"> and E</w:t>
      </w:r>
      <w:r w:rsidRPr="00A34F10">
        <w:rPr>
          <w:vertAlign w:val="subscript"/>
          <w:lang w:val="en-GB"/>
        </w:rPr>
        <w:t>y</w:t>
      </w:r>
      <w:r w:rsidRPr="00A34F10">
        <w:rPr>
          <w:lang w:val="en-GB"/>
        </w:rPr>
        <w:t>C</w:t>
      </w:r>
      <w:r w:rsidRPr="00A34F10">
        <w:rPr>
          <w:vertAlign w:val="subscript"/>
          <w:lang w:val="en-GB"/>
        </w:rPr>
        <w:t>50</w:t>
      </w:r>
      <w:r w:rsidRPr="00A34F10">
        <w:rPr>
          <w:lang w:val="en-GB"/>
        </w:rPr>
        <w:t xml:space="preserve"> were determined to be 1.30 mg/L and 0.611 mg/L, respectively (nominal). Therefore, the EC</w:t>
      </w:r>
      <w:r w:rsidRPr="00A34F10">
        <w:rPr>
          <w:vertAlign w:val="subscript"/>
          <w:lang w:val="en-GB"/>
        </w:rPr>
        <w:t>50</w:t>
      </w:r>
      <w:r w:rsidRPr="00A34F10">
        <w:rPr>
          <w:lang w:val="en-GB"/>
        </w:rPr>
        <w:t xml:space="preserve"> values calculated in this reference test were considered to be within an acceptable range and it can be considered that the test organism is sensitive.</w:t>
      </w:r>
    </w:p>
    <w:p w14:paraId="2CDC1F6A" w14:textId="77777777" w:rsidR="00DC5685" w:rsidRPr="00A34F10" w:rsidRDefault="00DC5685" w:rsidP="003347E3">
      <w:pPr>
        <w:numPr>
          <w:ilvl w:val="0"/>
          <w:numId w:val="41"/>
        </w:numPr>
        <w:spacing w:after="240"/>
        <w:ind w:left="284" w:hanging="284"/>
        <w:contextualSpacing/>
        <w:rPr>
          <w:b/>
          <w:bCs/>
          <w:caps/>
          <w:szCs w:val="24"/>
          <w:lang w:val="en-GB"/>
        </w:rPr>
      </w:pPr>
      <w:r w:rsidRPr="00A34F10">
        <w:rPr>
          <w:b/>
          <w:bCs/>
          <w:caps/>
          <w:szCs w:val="24"/>
          <w:lang w:val="en-GB"/>
        </w:rPr>
        <w:t>VALIDITY CRITERIA</w:t>
      </w:r>
    </w:p>
    <w:p w14:paraId="115876FA" w14:textId="6065CF1B" w:rsidR="00976440" w:rsidRPr="00A34F10" w:rsidRDefault="00DC5685" w:rsidP="003347E3">
      <w:pPr>
        <w:tabs>
          <w:tab w:val="left" w:pos="709"/>
        </w:tabs>
        <w:spacing w:after="240"/>
        <w:contextualSpacing/>
        <w:jc w:val="both"/>
        <w:rPr>
          <w:szCs w:val="24"/>
          <w:lang w:val="en-GB"/>
        </w:rPr>
      </w:pPr>
      <w:r w:rsidRPr="00A34F10">
        <w:rPr>
          <w:szCs w:val="24"/>
          <w:lang w:val="en-GB"/>
        </w:rPr>
        <w:t>All validity criteria were met.</w:t>
      </w:r>
    </w:p>
    <w:p w14:paraId="69113B65" w14:textId="276A3479" w:rsidR="00DC5685" w:rsidRPr="00A34F10" w:rsidRDefault="00EA3876" w:rsidP="00EA3876">
      <w:pPr>
        <w:pStyle w:val="Legenda"/>
        <w:rPr>
          <w:color w:val="000000"/>
          <w:highlight w:val="yellow"/>
        </w:rPr>
      </w:pPr>
      <w:r>
        <w:t xml:space="preserve">Table A </w:t>
      </w:r>
      <w:r>
        <w:fldChar w:fldCharType="begin"/>
      </w:r>
      <w:r>
        <w:instrText xml:space="preserve"> SEQ Table_A \* ARABIC </w:instrText>
      </w:r>
      <w:r>
        <w:fldChar w:fldCharType="separate"/>
      </w:r>
      <w:r w:rsidR="006F0F3B">
        <w:rPr>
          <w:noProof/>
        </w:rPr>
        <w:t>25</w:t>
      </w:r>
      <w:r>
        <w:fldChar w:fldCharType="end"/>
      </w:r>
      <w:r w:rsidR="00976440" w:rsidRPr="00A34F10">
        <w:t>:</w:t>
      </w:r>
      <w:r w:rsidR="00DC5685" w:rsidRPr="00A34F10">
        <w:rPr>
          <w:color w:val="000000"/>
        </w:rPr>
        <w:tab/>
        <w:t>Validity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0"/>
        <w:gridCol w:w="1804"/>
      </w:tblGrid>
      <w:tr w:rsidR="00DC5685" w:rsidRPr="00A34F10" w14:paraId="14F7136D" w14:textId="77777777" w:rsidTr="000470C3">
        <w:trPr>
          <w:trHeight w:val="270"/>
        </w:trPr>
        <w:tc>
          <w:tcPr>
            <w:tcW w:w="0" w:type="auto"/>
            <w:shd w:val="clear" w:color="auto" w:fill="auto"/>
            <w:noWrap/>
            <w:hideMark/>
          </w:tcPr>
          <w:p w14:paraId="55208BE6" w14:textId="77777777" w:rsidR="00DC5685" w:rsidRPr="00A34F10" w:rsidRDefault="00DC5685" w:rsidP="00DC5685">
            <w:pPr>
              <w:keepNext/>
              <w:keepLines/>
              <w:spacing w:before="40" w:after="40"/>
              <w:rPr>
                <w:b/>
                <w:bCs/>
                <w:sz w:val="20"/>
                <w:szCs w:val="20"/>
              </w:rPr>
            </w:pPr>
            <w:r w:rsidRPr="00A34F10">
              <w:rPr>
                <w:b/>
                <w:bCs/>
                <w:sz w:val="20"/>
                <w:szCs w:val="20"/>
              </w:rPr>
              <w:t>Validity criteria according to OECD 201 (2011)</w:t>
            </w:r>
          </w:p>
        </w:tc>
        <w:tc>
          <w:tcPr>
            <w:tcW w:w="0" w:type="auto"/>
            <w:shd w:val="clear" w:color="auto" w:fill="auto"/>
            <w:noWrap/>
            <w:hideMark/>
          </w:tcPr>
          <w:p w14:paraId="5CA3DA35" w14:textId="77777777" w:rsidR="00DC5685" w:rsidRPr="00A34F10" w:rsidRDefault="00DC5685" w:rsidP="00DC5685">
            <w:pPr>
              <w:keepNext/>
              <w:keepLines/>
              <w:spacing w:before="40" w:after="40"/>
              <w:rPr>
                <w:b/>
                <w:bCs/>
                <w:sz w:val="20"/>
                <w:szCs w:val="20"/>
              </w:rPr>
            </w:pPr>
            <w:r w:rsidRPr="00A34F10">
              <w:rPr>
                <w:b/>
                <w:bCs/>
                <w:sz w:val="20"/>
                <w:szCs w:val="20"/>
              </w:rPr>
              <w:t>Obtained in this study</w:t>
            </w:r>
          </w:p>
        </w:tc>
      </w:tr>
      <w:tr w:rsidR="00DC5685" w:rsidRPr="00A34F10" w14:paraId="4658497E" w14:textId="77777777" w:rsidTr="000470C3">
        <w:trPr>
          <w:trHeight w:val="270"/>
        </w:trPr>
        <w:tc>
          <w:tcPr>
            <w:tcW w:w="0" w:type="auto"/>
            <w:shd w:val="clear" w:color="auto" w:fill="auto"/>
            <w:noWrap/>
          </w:tcPr>
          <w:p w14:paraId="65B0ECD9" w14:textId="77777777" w:rsidR="00DC5685" w:rsidRPr="00A34F10" w:rsidRDefault="00DC5685" w:rsidP="00DC5685">
            <w:pPr>
              <w:keepNext/>
              <w:keepLines/>
              <w:spacing w:before="40" w:after="40"/>
              <w:rPr>
                <w:sz w:val="20"/>
                <w:szCs w:val="20"/>
                <w:lang w:val="en-GB"/>
              </w:rPr>
            </w:pPr>
            <w:r w:rsidRPr="00A34F10">
              <w:rPr>
                <w:sz w:val="20"/>
                <w:szCs w:val="20"/>
                <w:lang w:val="x-none"/>
              </w:rPr>
              <w:t>The biomass in the control cultures should have increased exponentially by a factor of at least 16</w:t>
            </w:r>
            <w:r w:rsidRPr="00A34F10">
              <w:rPr>
                <w:sz w:val="20"/>
                <w:szCs w:val="20"/>
                <w:lang w:val="en-GB"/>
              </w:rPr>
              <w:t xml:space="preserve"> </w:t>
            </w:r>
            <w:r w:rsidRPr="00A34F10">
              <w:rPr>
                <w:sz w:val="20"/>
                <w:szCs w:val="20"/>
                <w:lang w:val="x-none"/>
              </w:rPr>
              <w:t>within the 72-hour test period.</w:t>
            </w:r>
          </w:p>
        </w:tc>
        <w:tc>
          <w:tcPr>
            <w:tcW w:w="0" w:type="auto"/>
            <w:shd w:val="clear" w:color="auto" w:fill="auto"/>
            <w:noWrap/>
          </w:tcPr>
          <w:p w14:paraId="4F7B4022" w14:textId="77777777" w:rsidR="00DC5685" w:rsidRPr="00A34F10" w:rsidRDefault="00DC5685" w:rsidP="00DC5685">
            <w:pPr>
              <w:keepNext/>
              <w:keepLines/>
              <w:spacing w:before="40" w:after="40"/>
              <w:rPr>
                <w:sz w:val="20"/>
                <w:szCs w:val="20"/>
              </w:rPr>
            </w:pPr>
            <w:r w:rsidRPr="00A34F10">
              <w:rPr>
                <w:sz w:val="20"/>
                <w:szCs w:val="20"/>
                <w:lang w:val="de-DE"/>
              </w:rPr>
              <w:t>122.58</w:t>
            </w:r>
            <w:r w:rsidRPr="00A34F10">
              <w:rPr>
                <w:sz w:val="20"/>
                <w:szCs w:val="20"/>
                <w:lang w:val="x-none"/>
              </w:rPr>
              <w:t>-fold increase within 72 hours</w:t>
            </w:r>
          </w:p>
        </w:tc>
      </w:tr>
      <w:tr w:rsidR="00DC5685" w:rsidRPr="00A34F10" w14:paraId="4934ED9E" w14:textId="77777777" w:rsidTr="000470C3">
        <w:trPr>
          <w:trHeight w:val="270"/>
        </w:trPr>
        <w:tc>
          <w:tcPr>
            <w:tcW w:w="0" w:type="auto"/>
            <w:shd w:val="clear" w:color="auto" w:fill="auto"/>
            <w:noWrap/>
          </w:tcPr>
          <w:p w14:paraId="44084B41" w14:textId="77777777" w:rsidR="00DC5685" w:rsidRPr="00A34F10" w:rsidRDefault="00DC5685" w:rsidP="00DC5685">
            <w:pPr>
              <w:keepNext/>
              <w:keepLines/>
              <w:autoSpaceDE w:val="0"/>
              <w:autoSpaceDN w:val="0"/>
              <w:adjustRightInd w:val="0"/>
              <w:spacing w:before="40" w:after="40"/>
              <w:rPr>
                <w:rFonts w:eastAsia="Calibri"/>
                <w:sz w:val="20"/>
                <w:szCs w:val="20"/>
              </w:rPr>
            </w:pPr>
            <w:r w:rsidRPr="00A34F10">
              <w:rPr>
                <w:sz w:val="20"/>
                <w:szCs w:val="20"/>
                <w:lang w:val="x-none"/>
              </w:rPr>
              <w:t>The mean coefficient of variation for section-by-section specific growth rates (days 0-1, 1-2 and</w:t>
            </w:r>
            <w:r w:rsidRPr="00A34F10">
              <w:rPr>
                <w:sz w:val="20"/>
                <w:szCs w:val="20"/>
                <w:lang w:val="en-GB"/>
              </w:rPr>
              <w:t xml:space="preserve"> </w:t>
            </w:r>
            <w:r w:rsidRPr="00A34F10">
              <w:rPr>
                <w:sz w:val="20"/>
                <w:szCs w:val="20"/>
                <w:lang w:val="x-none"/>
              </w:rPr>
              <w:t xml:space="preserve">2-3, for 72-hour tests) in the control cultures </w:t>
            </w:r>
            <w:r w:rsidRPr="00A34F10">
              <w:rPr>
                <w:sz w:val="20"/>
                <w:szCs w:val="20"/>
                <w:lang w:val="en-GB"/>
              </w:rPr>
              <w:t xml:space="preserve">must </w:t>
            </w:r>
            <w:r w:rsidRPr="00A34F10">
              <w:rPr>
                <w:sz w:val="20"/>
                <w:szCs w:val="20"/>
                <w:lang w:val="x-none"/>
              </w:rPr>
              <w:t>not exceed 35%.</w:t>
            </w:r>
          </w:p>
        </w:tc>
        <w:tc>
          <w:tcPr>
            <w:tcW w:w="0" w:type="auto"/>
            <w:shd w:val="clear" w:color="auto" w:fill="auto"/>
            <w:noWrap/>
          </w:tcPr>
          <w:p w14:paraId="0D3BC659" w14:textId="77777777" w:rsidR="00DC5685" w:rsidRPr="00A34F10" w:rsidRDefault="00DC5685" w:rsidP="00DC5685">
            <w:pPr>
              <w:keepNext/>
              <w:keepLines/>
              <w:spacing w:before="40" w:after="40"/>
              <w:rPr>
                <w:sz w:val="20"/>
                <w:szCs w:val="20"/>
              </w:rPr>
            </w:pPr>
            <w:r w:rsidRPr="00A34F10">
              <w:rPr>
                <w:sz w:val="20"/>
                <w:szCs w:val="20"/>
                <w:lang w:val="de-DE"/>
              </w:rPr>
              <w:t>13</w:t>
            </w:r>
            <w:r w:rsidRPr="00A34F10">
              <w:rPr>
                <w:sz w:val="20"/>
                <w:szCs w:val="20"/>
                <w:lang w:val="x-none"/>
              </w:rPr>
              <w:t xml:space="preserve"> %</w:t>
            </w:r>
          </w:p>
        </w:tc>
      </w:tr>
      <w:tr w:rsidR="00DC5685" w:rsidRPr="00A34F10" w14:paraId="58E22F11" w14:textId="77777777" w:rsidTr="000470C3">
        <w:trPr>
          <w:trHeight w:val="270"/>
        </w:trPr>
        <w:tc>
          <w:tcPr>
            <w:tcW w:w="0" w:type="auto"/>
            <w:shd w:val="clear" w:color="auto" w:fill="auto"/>
            <w:noWrap/>
          </w:tcPr>
          <w:p w14:paraId="0E8CA376" w14:textId="77777777" w:rsidR="00DC5685" w:rsidRPr="00A34F10" w:rsidRDefault="00DC5685" w:rsidP="00DC5685">
            <w:pPr>
              <w:keepNext/>
              <w:keepLines/>
              <w:autoSpaceDE w:val="0"/>
              <w:autoSpaceDN w:val="0"/>
              <w:adjustRightInd w:val="0"/>
              <w:spacing w:before="40" w:after="40"/>
              <w:rPr>
                <w:sz w:val="20"/>
                <w:szCs w:val="20"/>
                <w:lang w:val="en-GB"/>
              </w:rPr>
            </w:pPr>
            <w:r w:rsidRPr="00A34F10">
              <w:rPr>
                <w:sz w:val="20"/>
                <w:szCs w:val="20"/>
                <w:lang w:val="x-none"/>
              </w:rPr>
              <w:t>The coefficient of variation of average specific growth rates during the whole test period in</w:t>
            </w:r>
            <w:r w:rsidRPr="00A34F10">
              <w:rPr>
                <w:sz w:val="20"/>
                <w:szCs w:val="20"/>
                <w:lang w:val="en-GB"/>
              </w:rPr>
              <w:t xml:space="preserve"> </w:t>
            </w:r>
            <w:r w:rsidRPr="00A34F10">
              <w:rPr>
                <w:sz w:val="20"/>
                <w:szCs w:val="20"/>
                <w:lang w:val="x-none"/>
              </w:rPr>
              <w:t>replicate control cultures must not exceed 7%</w:t>
            </w:r>
            <w:r w:rsidRPr="00A34F10">
              <w:rPr>
                <w:sz w:val="20"/>
                <w:szCs w:val="20"/>
                <w:lang w:val="en-GB"/>
              </w:rPr>
              <w:t>.</w:t>
            </w:r>
          </w:p>
        </w:tc>
        <w:tc>
          <w:tcPr>
            <w:tcW w:w="0" w:type="auto"/>
            <w:shd w:val="clear" w:color="auto" w:fill="auto"/>
            <w:noWrap/>
          </w:tcPr>
          <w:p w14:paraId="4467B045" w14:textId="77777777" w:rsidR="00DC5685" w:rsidRPr="00A34F10" w:rsidRDefault="00DC5685" w:rsidP="00DC5685">
            <w:pPr>
              <w:keepNext/>
              <w:keepLines/>
              <w:spacing w:before="40" w:after="40"/>
              <w:rPr>
                <w:sz w:val="20"/>
                <w:szCs w:val="20"/>
              </w:rPr>
            </w:pPr>
            <w:r w:rsidRPr="00A34F10">
              <w:rPr>
                <w:sz w:val="20"/>
                <w:szCs w:val="20"/>
                <w:lang w:val="de-DE"/>
              </w:rPr>
              <w:t>2</w:t>
            </w:r>
            <w:r w:rsidRPr="00A34F10">
              <w:rPr>
                <w:sz w:val="20"/>
                <w:szCs w:val="20"/>
                <w:lang w:val="x-none"/>
              </w:rPr>
              <w:t>.3 %</w:t>
            </w:r>
          </w:p>
        </w:tc>
      </w:tr>
    </w:tbl>
    <w:p w14:paraId="78347D82" w14:textId="77777777" w:rsidR="00DC5685" w:rsidRPr="00A34F10" w:rsidRDefault="00DC5685" w:rsidP="00E05ECD">
      <w:pPr>
        <w:numPr>
          <w:ilvl w:val="0"/>
          <w:numId w:val="41"/>
        </w:numPr>
        <w:spacing w:before="240"/>
        <w:ind w:left="284" w:hanging="284"/>
        <w:rPr>
          <w:b/>
          <w:bCs/>
          <w:caps/>
          <w:szCs w:val="24"/>
          <w:lang w:val="en-GB"/>
        </w:rPr>
      </w:pPr>
      <w:r w:rsidRPr="00A34F10">
        <w:rPr>
          <w:b/>
          <w:bCs/>
          <w:caps/>
          <w:szCs w:val="24"/>
          <w:lang w:val="en-GB"/>
        </w:rPr>
        <w:t>DEFICIENCIES</w:t>
      </w:r>
    </w:p>
    <w:p w14:paraId="10BFD85E" w14:textId="77777777" w:rsidR="00DC5685" w:rsidRPr="00A34F10" w:rsidRDefault="00DC5685" w:rsidP="00DC5685">
      <w:pPr>
        <w:ind w:left="284"/>
        <w:contextualSpacing/>
        <w:rPr>
          <w:b/>
          <w:bCs/>
          <w:caps/>
          <w:szCs w:val="24"/>
          <w:lang w:val="en-GB"/>
        </w:rPr>
      </w:pPr>
    </w:p>
    <w:p w14:paraId="2ADC569B" w14:textId="4F73064B" w:rsidR="00DC5685" w:rsidRPr="00A34F10"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 xml:space="preserve">. </w:t>
      </w:r>
    </w:p>
    <w:p w14:paraId="48BBDF45" w14:textId="77777777" w:rsidR="00976440" w:rsidRPr="00A34F10" w:rsidRDefault="00976440" w:rsidP="003347E3">
      <w:pPr>
        <w:tabs>
          <w:tab w:val="left" w:pos="720"/>
        </w:tabs>
        <w:jc w:val="both"/>
        <w:rPr>
          <w:szCs w:val="24"/>
          <w:lang w:val="en-GB"/>
        </w:rPr>
      </w:pPr>
    </w:p>
    <w:p w14:paraId="61F34495" w14:textId="77777777" w:rsidR="00DC5685" w:rsidRPr="00A34F10" w:rsidRDefault="00DC5685" w:rsidP="00E05ECD">
      <w:pPr>
        <w:numPr>
          <w:ilvl w:val="0"/>
          <w:numId w:val="32"/>
        </w:numPr>
        <w:tabs>
          <w:tab w:val="left" w:pos="720"/>
        </w:tabs>
        <w:spacing w:after="240"/>
        <w:jc w:val="center"/>
        <w:rPr>
          <w:b/>
          <w:bCs/>
          <w:caps/>
          <w:szCs w:val="24"/>
          <w:lang w:val="en-GB"/>
        </w:rPr>
      </w:pPr>
      <w:r w:rsidRPr="00A34F10">
        <w:rPr>
          <w:b/>
          <w:bCs/>
          <w:caps/>
          <w:szCs w:val="24"/>
          <w:lang w:val="en-GB"/>
        </w:rPr>
        <w:t>Conclusion</w:t>
      </w:r>
    </w:p>
    <w:p w14:paraId="4C9B04E2" w14:textId="77777777" w:rsidR="00DC5685" w:rsidRPr="00A34F10" w:rsidRDefault="00DC5685" w:rsidP="00DC5685">
      <w:pPr>
        <w:spacing w:after="240"/>
        <w:jc w:val="both"/>
        <w:rPr>
          <w:rFonts w:eastAsia="Calibri"/>
          <w:color w:val="000000" w:themeColor="text1"/>
        </w:rPr>
      </w:pPr>
      <w:r w:rsidRPr="00A34F10">
        <w:rPr>
          <w:rFonts w:eastAsia="Calibri"/>
        </w:rPr>
        <w:t xml:space="preserve">The toxicity of the test item BAS 743 02 F to </w:t>
      </w:r>
      <w:r w:rsidRPr="00A34F10">
        <w:rPr>
          <w:rFonts w:eastAsia="Calibri"/>
          <w:i/>
        </w:rPr>
        <w:t xml:space="preserve">Pseudokirchneriella subcapitata </w:t>
      </w:r>
      <w:r w:rsidRPr="00A34F10">
        <w:rPr>
          <w:rFonts w:eastAsia="Calibri"/>
        </w:rPr>
        <w:t xml:space="preserve">was investigated in a 72-hour static test with the nominal concentrations 0 (control), 0.954, 3.05, 9.77, 31.3 and 100 mg product/L. </w:t>
      </w:r>
      <w:r w:rsidRPr="00A34F10">
        <w:rPr>
          <w:rFonts w:eastAsia="Calibri"/>
          <w:color w:val="000000" w:themeColor="text1"/>
        </w:rPr>
        <w:t>Biological results are related to nominal and geometric mean measured concentrations.</w:t>
      </w:r>
    </w:p>
    <w:p w14:paraId="14BE72FF" w14:textId="74A3B6D1" w:rsidR="00DC5685" w:rsidRPr="00A34F10" w:rsidRDefault="00DC5685" w:rsidP="003347E3">
      <w:pPr>
        <w:widowControl w:val="0"/>
        <w:jc w:val="both"/>
      </w:pPr>
      <w:r w:rsidRPr="00A34F10">
        <w:rPr>
          <w:rFonts w:eastAsia="Calibri"/>
          <w:lang w:val="x-none"/>
        </w:rPr>
        <w:t>The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10</w:t>
      </w:r>
      <w:r w:rsidRPr="00A34F10">
        <w:rPr>
          <w:rFonts w:eastAsia="Calibri"/>
          <w:lang w:val="x-none"/>
        </w:rPr>
        <w:t>-,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20</w:t>
      </w:r>
      <w:r w:rsidRPr="00A34F10">
        <w:rPr>
          <w:rFonts w:eastAsia="Calibri"/>
          <w:lang w:val="x-none"/>
        </w:rPr>
        <w:t>- and E</w:t>
      </w:r>
      <w:r w:rsidRPr="00A34F10">
        <w:rPr>
          <w:rFonts w:eastAsia="Calibri"/>
          <w:vertAlign w:val="subscript"/>
          <w:lang w:val="en-GB"/>
        </w:rPr>
        <w:t>r</w:t>
      </w:r>
      <w:r w:rsidRPr="00A34F10">
        <w:rPr>
          <w:rFonts w:eastAsia="Calibri"/>
          <w:lang w:val="x-none"/>
        </w:rPr>
        <w:t>C</w:t>
      </w:r>
      <w:r w:rsidRPr="00A34F10">
        <w:rPr>
          <w:rFonts w:eastAsia="Calibri"/>
          <w:vertAlign w:val="subscript"/>
          <w:lang w:val="x-none"/>
        </w:rPr>
        <w:t>50</w:t>
      </w:r>
      <w:r w:rsidRPr="00A34F10">
        <w:rPr>
          <w:rFonts w:eastAsia="Calibri"/>
          <w:lang w:val="x-none"/>
        </w:rPr>
        <w:t>-value and the E</w:t>
      </w:r>
      <w:r w:rsidRPr="00A34F10">
        <w:rPr>
          <w:rFonts w:eastAsia="Calibri"/>
          <w:vertAlign w:val="subscript"/>
          <w:lang w:val="en-GB"/>
        </w:rPr>
        <w:t>y</w:t>
      </w:r>
      <w:r w:rsidRPr="00A34F10">
        <w:rPr>
          <w:rFonts w:eastAsia="Calibri"/>
          <w:lang w:val="x-none"/>
        </w:rPr>
        <w:t>C</w:t>
      </w:r>
      <w:r w:rsidRPr="00A34F10">
        <w:rPr>
          <w:rFonts w:eastAsia="Calibri"/>
          <w:vertAlign w:val="subscript"/>
          <w:lang w:val="x-none"/>
        </w:rPr>
        <w:t>50</w:t>
      </w:r>
      <w:r w:rsidRPr="00A34F10">
        <w:rPr>
          <w:rFonts w:eastAsia="Calibri"/>
          <w:lang w:val="x-none"/>
        </w:rPr>
        <w:t>-value were considered to be &gt;</w:t>
      </w:r>
      <w:r w:rsidRPr="00A34F10">
        <w:rPr>
          <w:rFonts w:eastAsia="Calibri"/>
          <w:lang w:val="en-GB"/>
        </w:rPr>
        <w:t xml:space="preserve"> </w:t>
      </w:r>
      <w:r w:rsidRPr="00A34F10">
        <w:rPr>
          <w:rFonts w:eastAsia="Calibri"/>
          <w:lang w:val="x-none"/>
        </w:rPr>
        <w:t>100</w:t>
      </w:r>
      <w:r w:rsidRPr="00A34F10">
        <w:rPr>
          <w:rFonts w:eastAsia="Calibri"/>
        </w:rPr>
        <w:t xml:space="preserve"> </w:t>
      </w:r>
      <w:r w:rsidRPr="00A34F10">
        <w:rPr>
          <w:rFonts w:eastAsia="Calibri"/>
          <w:lang w:val="x-none"/>
        </w:rPr>
        <w:t>mg</w:t>
      </w:r>
      <w:r w:rsidRPr="00A34F10">
        <w:rPr>
          <w:rFonts w:eastAsia="Calibri"/>
          <w:lang w:val="en-GB"/>
        </w:rPr>
        <w:t xml:space="preserve"> product</w:t>
      </w:r>
      <w:r w:rsidRPr="00A34F10">
        <w:rPr>
          <w:rFonts w:eastAsia="Calibri"/>
          <w:lang w:val="x-none"/>
        </w:rPr>
        <w:t>/L. Due to an inhibition of yield below 30 % and a missing concentration response relation, no reliable values were calculable and the EC</w:t>
      </w:r>
      <w:r w:rsidRPr="00A34F10">
        <w:rPr>
          <w:rFonts w:eastAsia="Calibri"/>
          <w:vertAlign w:val="subscript"/>
          <w:lang w:val="x-none"/>
        </w:rPr>
        <w:t>10, 20</w:t>
      </w:r>
      <w:r w:rsidRPr="00A34F10">
        <w:rPr>
          <w:rFonts w:eastAsia="Calibri"/>
          <w:lang w:val="x-none"/>
        </w:rPr>
        <w:t>-values for yield were not determined. The overall LOEC was determined to be 100 mg</w:t>
      </w:r>
      <w:r w:rsidRPr="00A34F10">
        <w:rPr>
          <w:rFonts w:eastAsia="Calibri"/>
          <w:lang w:val="en-GB"/>
        </w:rPr>
        <w:t xml:space="preserve"> product</w:t>
      </w:r>
      <w:r w:rsidRPr="00A34F10">
        <w:rPr>
          <w:rFonts w:eastAsia="Calibri"/>
          <w:lang w:val="x-none"/>
        </w:rPr>
        <w:t>/L</w:t>
      </w:r>
      <w:r w:rsidRPr="00A34F10">
        <w:rPr>
          <w:rFonts w:eastAsia="Calibri"/>
          <w:lang w:val="en-GB"/>
        </w:rPr>
        <w:t xml:space="preserve"> and</w:t>
      </w:r>
      <w:r w:rsidRPr="00A34F10">
        <w:rPr>
          <w:rFonts w:eastAsia="Calibri"/>
          <w:lang w:val="x-none"/>
        </w:rPr>
        <w:t xml:space="preserve"> the corresponding NOEC was set at 31.3 mg</w:t>
      </w:r>
      <w:r w:rsidRPr="00A34F10">
        <w:rPr>
          <w:rFonts w:eastAsia="Calibri"/>
          <w:lang w:val="en-GB"/>
        </w:rPr>
        <w:t xml:space="preserve"> product</w:t>
      </w:r>
      <w:r w:rsidRPr="00A34F10">
        <w:rPr>
          <w:rFonts w:eastAsia="Calibri"/>
          <w:lang w:val="x-none"/>
        </w:rPr>
        <w:t>/L</w:t>
      </w:r>
      <w:r w:rsidRPr="00A34F10">
        <w:rPr>
          <w:rFonts w:eastAsia="Calibri"/>
          <w:lang w:val="en-GB"/>
        </w:rPr>
        <w:t>.</w:t>
      </w:r>
      <w:r w:rsidR="00976440" w:rsidRPr="00A34F10">
        <w:rPr>
          <w:rFonts w:eastAsia="Calibri"/>
          <w:lang w:val="en-GB"/>
        </w:rPr>
        <w:br w:type="page"/>
      </w:r>
    </w:p>
    <w:p w14:paraId="0078D1A5" w14:textId="77777777" w:rsidR="00DC5685" w:rsidRPr="00A34F10" w:rsidRDefault="00DC5685" w:rsidP="00976440">
      <w:pPr>
        <w:pStyle w:val="RepAppendix3"/>
      </w:pPr>
      <w:bookmarkStart w:id="1052" w:name="_Toc413922098"/>
      <w:bookmarkStart w:id="1053" w:name="_Toc413922587"/>
      <w:bookmarkStart w:id="1054" w:name="_Toc413922691"/>
      <w:bookmarkStart w:id="1055" w:name="_Toc414955328"/>
      <w:bookmarkStart w:id="1056" w:name="_Toc415214635"/>
      <w:bookmarkStart w:id="1057" w:name="_Toc181625023"/>
      <w:r w:rsidRPr="00A34F10">
        <w:lastRenderedPageBreak/>
        <w:t>KCP 10.2.2</w:t>
      </w:r>
      <w:r w:rsidRPr="00A34F10">
        <w:tab/>
        <w:t>Additional long-term and chronic toxicity studies on fish, aquatic invertebrates and sediment dwelling organisms</w:t>
      </w:r>
      <w:bookmarkEnd w:id="1052"/>
      <w:bookmarkEnd w:id="1053"/>
      <w:bookmarkEnd w:id="1054"/>
      <w:bookmarkEnd w:id="1055"/>
      <w:bookmarkEnd w:id="1056"/>
      <w:bookmarkEnd w:id="1057"/>
    </w:p>
    <w:p w14:paraId="360F6402" w14:textId="77777777" w:rsidR="00DC5685" w:rsidRPr="00A34F10" w:rsidRDefault="00DC5685" w:rsidP="00BB63B3">
      <w:pPr>
        <w:pStyle w:val="RepAppendix4"/>
      </w:pPr>
      <w:r w:rsidRPr="00A34F10">
        <w:t>Study 1</w:t>
      </w:r>
    </w:p>
    <w:p w14:paraId="7B70A11C" w14:textId="77777777" w:rsidR="00DC5685" w:rsidRDefault="00DC5685" w:rsidP="00DC5685">
      <w:pPr>
        <w:tabs>
          <w:tab w:val="left" w:pos="720"/>
        </w:tabs>
        <w:jc w:val="both"/>
        <w:rPr>
          <w:b/>
          <w:bCs/>
          <w:color w:val="000000" w:themeColor="text1"/>
          <w:sz w:val="24"/>
          <w:szCs w:val="24"/>
          <w:lang w:val="en-GB"/>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15ADA" w:rsidRPr="00A34F10" w14:paraId="38BE9F0D" w14:textId="77777777" w:rsidTr="00F53FC3">
        <w:tc>
          <w:tcPr>
            <w:tcW w:w="1063" w:type="pct"/>
            <w:shd w:val="clear" w:color="auto" w:fill="D9D9D9" w:themeFill="background1" w:themeFillShade="D9"/>
          </w:tcPr>
          <w:p w14:paraId="1B89394F" w14:textId="77777777" w:rsidR="00D15ADA" w:rsidRPr="00A34F10" w:rsidRDefault="00D15ADA" w:rsidP="00F53FC3">
            <w:pPr>
              <w:keepNext/>
              <w:keepLines/>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7A683D39" w14:textId="1708E21E" w:rsidR="00D15ADA" w:rsidRPr="007A6328" w:rsidRDefault="00D15ADA" w:rsidP="00F53FC3">
            <w:pPr>
              <w:pStyle w:val="RepStandard"/>
              <w:rPr>
                <w:color w:val="000000"/>
              </w:rPr>
            </w:pPr>
            <w:r w:rsidRPr="007A6328">
              <w:rPr>
                <w:color w:val="000000"/>
              </w:rPr>
              <w:t xml:space="preserve">The study was conducted to </w:t>
            </w:r>
            <w:r w:rsidRPr="00A34F10">
              <w:t xml:space="preserve">OCSPP Guideline 850.1350 </w:t>
            </w:r>
            <w:r w:rsidRPr="007A6328">
              <w:rPr>
                <w:color w:val="000000"/>
              </w:rPr>
              <w:t>and according to the principles of GLP. No deviations to the guideline were noted. All validity criteria were met.</w:t>
            </w:r>
          </w:p>
          <w:p w14:paraId="0C01B663" w14:textId="77777777" w:rsidR="00D15ADA" w:rsidRPr="00A34F10" w:rsidRDefault="00D15ADA" w:rsidP="00F53FC3">
            <w:pPr>
              <w:keepNext/>
              <w:keepLines/>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p>
        </w:tc>
      </w:tr>
    </w:tbl>
    <w:p w14:paraId="444CC869" w14:textId="77777777" w:rsidR="00D15ADA" w:rsidRPr="00D15ADA" w:rsidRDefault="00D15ADA" w:rsidP="00DC5685">
      <w:pPr>
        <w:tabs>
          <w:tab w:val="left" w:pos="720"/>
        </w:tabs>
        <w:jc w:val="both"/>
        <w:rPr>
          <w:b/>
          <w:bCs/>
          <w:color w:val="000000" w:themeColor="text1"/>
          <w:sz w:val="24"/>
          <w:szCs w:val="24"/>
        </w:rPr>
      </w:pPr>
    </w:p>
    <w:p w14:paraId="38A1355E" w14:textId="77777777" w:rsidR="00D15ADA" w:rsidRPr="00A34F10" w:rsidRDefault="00D15ADA" w:rsidP="00DC5685">
      <w:pPr>
        <w:tabs>
          <w:tab w:val="left" w:pos="720"/>
        </w:tabs>
        <w:jc w:val="both"/>
        <w:rPr>
          <w:b/>
          <w:bCs/>
          <w:color w:val="000000" w:themeColor="text1"/>
          <w:sz w:val="24"/>
          <w:szCs w:val="24"/>
          <w:lang w:val="en-GB"/>
        </w:rPr>
      </w:pPr>
    </w:p>
    <w:tbl>
      <w:tblPr>
        <w:tblW w:w="5000" w:type="pct"/>
        <w:jc w:val="center"/>
        <w:tblCellMar>
          <w:left w:w="71" w:type="dxa"/>
          <w:right w:w="71" w:type="dxa"/>
        </w:tblCellMar>
        <w:tblLook w:val="0000" w:firstRow="0" w:lastRow="0" w:firstColumn="0" w:lastColumn="0" w:noHBand="0" w:noVBand="0"/>
      </w:tblPr>
      <w:tblGrid>
        <w:gridCol w:w="2552"/>
        <w:gridCol w:w="6802"/>
      </w:tblGrid>
      <w:tr w:rsidR="00DC5685" w:rsidRPr="00A34F10" w14:paraId="040F6737" w14:textId="77777777" w:rsidTr="000470C3">
        <w:trPr>
          <w:jc w:val="center"/>
        </w:trPr>
        <w:tc>
          <w:tcPr>
            <w:tcW w:w="1364" w:type="pct"/>
          </w:tcPr>
          <w:p w14:paraId="2AE197EC" w14:textId="77777777" w:rsidR="00DC5685" w:rsidRPr="00A34F10" w:rsidRDefault="00DC5685" w:rsidP="00DC5685">
            <w:pPr>
              <w:widowControl w:val="0"/>
              <w:spacing w:after="120"/>
              <w:jc w:val="both"/>
            </w:pPr>
            <w:r w:rsidRPr="00A34F10">
              <w:t xml:space="preserve">Data point: </w:t>
            </w:r>
          </w:p>
        </w:tc>
        <w:tc>
          <w:tcPr>
            <w:tcW w:w="3636" w:type="pct"/>
          </w:tcPr>
          <w:p w14:paraId="2B8E102D" w14:textId="77777777" w:rsidR="00DC5685" w:rsidRPr="00A34F10" w:rsidRDefault="00DC5685" w:rsidP="00DC5685">
            <w:pPr>
              <w:widowControl w:val="0"/>
              <w:spacing w:after="120"/>
              <w:jc w:val="both"/>
            </w:pPr>
            <w:r w:rsidRPr="00A34F10">
              <w:t>CP 10.2.2/01</w:t>
            </w:r>
          </w:p>
        </w:tc>
      </w:tr>
      <w:tr w:rsidR="00DC5685" w:rsidRPr="00A34F10" w14:paraId="2523DCF8" w14:textId="77777777" w:rsidTr="000470C3">
        <w:trPr>
          <w:trHeight w:val="1405"/>
          <w:jc w:val="center"/>
        </w:trPr>
        <w:tc>
          <w:tcPr>
            <w:tcW w:w="1364" w:type="pct"/>
          </w:tcPr>
          <w:p w14:paraId="5DF76CCA" w14:textId="77777777" w:rsidR="00DC5685" w:rsidRPr="00A34F10" w:rsidRDefault="00DC5685" w:rsidP="00DC5685">
            <w:pPr>
              <w:widowControl w:val="0"/>
              <w:spacing w:after="120"/>
              <w:jc w:val="both"/>
            </w:pPr>
            <w:r w:rsidRPr="00A34F10">
              <w:t xml:space="preserve">Report: </w:t>
            </w:r>
          </w:p>
        </w:tc>
        <w:tc>
          <w:tcPr>
            <w:tcW w:w="3636" w:type="pct"/>
          </w:tcPr>
          <w:p w14:paraId="781569FB" w14:textId="77777777" w:rsidR="00DC5685" w:rsidRPr="00A34F10" w:rsidRDefault="00DC5685" w:rsidP="00DC5685">
            <w:pPr>
              <w:widowControl w:val="0"/>
              <w:spacing w:after="120"/>
              <w:jc w:val="both"/>
            </w:pPr>
            <w:r w:rsidRPr="00A34F10">
              <w:t>BAS 650 F - Life-Cycle Toxicity Test with Mysids (</w:t>
            </w:r>
            <w:r w:rsidRPr="00A34F10">
              <w:rPr>
                <w:i/>
                <w:iCs/>
              </w:rPr>
              <w:t>Americamysis bahia</w:t>
            </w:r>
            <w:r w:rsidRPr="00A34F10">
              <w:t>) Following Draft OPPTS Guideline 850.1350</w:t>
            </w:r>
          </w:p>
          <w:p w14:paraId="688FB1E6" w14:textId="77777777" w:rsidR="00DC5685" w:rsidRPr="00A34F10" w:rsidRDefault="00DC5685" w:rsidP="00DC5685">
            <w:pPr>
              <w:widowControl w:val="0"/>
              <w:spacing w:after="120"/>
              <w:jc w:val="both"/>
            </w:pPr>
            <w:r w:rsidRPr="00A34F10">
              <w:t>Schwader. A.L., 2013</w:t>
            </w:r>
          </w:p>
          <w:p w14:paraId="6BA8BE29" w14:textId="042FE529" w:rsidR="00DC5685" w:rsidRPr="00A34F10" w:rsidRDefault="00482794" w:rsidP="00DC5685">
            <w:pPr>
              <w:widowControl w:val="0"/>
              <w:spacing w:after="120"/>
              <w:jc w:val="both"/>
            </w:pPr>
            <w:r>
              <w:t>XXXX</w:t>
            </w:r>
            <w:r w:rsidR="00DC5685" w:rsidRPr="00A34F10">
              <w:t xml:space="preserve"> Study ID: 249289</w:t>
            </w:r>
          </w:p>
          <w:p w14:paraId="43942387" w14:textId="5F6CA272" w:rsidR="00DC5685" w:rsidRPr="00A34F10" w:rsidRDefault="00482794" w:rsidP="00DC5685">
            <w:pPr>
              <w:widowControl w:val="0"/>
              <w:spacing w:after="120"/>
              <w:jc w:val="both"/>
            </w:pPr>
            <w:r>
              <w:t>XXXX</w:t>
            </w:r>
            <w:r w:rsidR="00DC5685" w:rsidRPr="00A34F10">
              <w:t xml:space="preserve"> Doc ID: 2013/7000443</w:t>
            </w:r>
          </w:p>
        </w:tc>
      </w:tr>
      <w:tr w:rsidR="00DC5685" w:rsidRPr="00A34F10" w14:paraId="1A663553" w14:textId="77777777" w:rsidTr="000470C3">
        <w:trPr>
          <w:jc w:val="center"/>
        </w:trPr>
        <w:tc>
          <w:tcPr>
            <w:tcW w:w="1364" w:type="pct"/>
          </w:tcPr>
          <w:p w14:paraId="6BE0D149" w14:textId="77777777" w:rsidR="00DC5685" w:rsidRPr="00A34F10" w:rsidRDefault="00DC5685" w:rsidP="00DC5685">
            <w:pPr>
              <w:widowControl w:val="0"/>
              <w:spacing w:after="120"/>
              <w:jc w:val="both"/>
            </w:pPr>
            <w:r w:rsidRPr="00A34F10">
              <w:t xml:space="preserve">Guideline(s): </w:t>
            </w:r>
          </w:p>
        </w:tc>
        <w:tc>
          <w:tcPr>
            <w:tcW w:w="3636" w:type="pct"/>
          </w:tcPr>
          <w:p w14:paraId="2AC9CA64" w14:textId="77777777" w:rsidR="00DC5685" w:rsidRPr="00A34F10" w:rsidRDefault="00DC5685" w:rsidP="00DC5685">
            <w:pPr>
              <w:widowControl w:val="0"/>
              <w:spacing w:after="120"/>
              <w:jc w:val="both"/>
            </w:pPr>
            <w:r w:rsidRPr="00A34F10">
              <w:t>OCSPP Guideline 850.1350 (1996) (draft)</w:t>
            </w:r>
          </w:p>
        </w:tc>
      </w:tr>
      <w:tr w:rsidR="00DC5685" w:rsidRPr="00A34F10" w14:paraId="082B04BD" w14:textId="77777777" w:rsidTr="000470C3">
        <w:trPr>
          <w:jc w:val="center"/>
        </w:trPr>
        <w:tc>
          <w:tcPr>
            <w:tcW w:w="1364" w:type="pct"/>
            <w:shd w:val="clear" w:color="auto" w:fill="auto"/>
          </w:tcPr>
          <w:p w14:paraId="5E186035" w14:textId="77777777" w:rsidR="00DC5685" w:rsidRPr="00A34F10" w:rsidRDefault="00DC5685" w:rsidP="00DC5685">
            <w:pPr>
              <w:widowControl w:val="0"/>
              <w:spacing w:after="120"/>
              <w:jc w:val="both"/>
            </w:pPr>
            <w:r w:rsidRPr="00A34F10">
              <w:t xml:space="preserve">Deviations: </w:t>
            </w:r>
          </w:p>
        </w:tc>
        <w:tc>
          <w:tcPr>
            <w:tcW w:w="3636" w:type="pct"/>
            <w:shd w:val="clear" w:color="auto" w:fill="auto"/>
          </w:tcPr>
          <w:p w14:paraId="682FADCA" w14:textId="77777777" w:rsidR="00DC5685" w:rsidRPr="00A34F10" w:rsidRDefault="00DC5685" w:rsidP="00DC5685">
            <w:pPr>
              <w:widowControl w:val="0"/>
              <w:spacing w:after="120"/>
              <w:jc w:val="both"/>
            </w:pPr>
            <w:r w:rsidRPr="00A34F10">
              <w:t>No</w:t>
            </w:r>
          </w:p>
        </w:tc>
      </w:tr>
      <w:tr w:rsidR="00DC5685" w:rsidRPr="00A34F10" w14:paraId="7AB3EE92" w14:textId="77777777" w:rsidTr="000470C3">
        <w:trPr>
          <w:jc w:val="center"/>
        </w:trPr>
        <w:tc>
          <w:tcPr>
            <w:tcW w:w="1364" w:type="pct"/>
            <w:shd w:val="clear" w:color="auto" w:fill="auto"/>
          </w:tcPr>
          <w:p w14:paraId="75617EC7" w14:textId="77777777" w:rsidR="00DC5685" w:rsidRPr="00A34F10" w:rsidRDefault="00DC5685" w:rsidP="00DC5685">
            <w:pPr>
              <w:widowControl w:val="0"/>
              <w:spacing w:after="120"/>
              <w:jc w:val="both"/>
            </w:pPr>
            <w:r w:rsidRPr="00A34F10">
              <w:t>Previous evaluation:</w:t>
            </w:r>
          </w:p>
        </w:tc>
        <w:tc>
          <w:tcPr>
            <w:tcW w:w="3636" w:type="pct"/>
            <w:shd w:val="clear" w:color="auto" w:fill="auto"/>
          </w:tcPr>
          <w:p w14:paraId="38499A5F" w14:textId="77777777" w:rsidR="00DC5685" w:rsidRPr="00A34F10" w:rsidRDefault="00DC5685" w:rsidP="00DC5685">
            <w:pPr>
              <w:widowControl w:val="0"/>
              <w:spacing w:after="120"/>
              <w:jc w:val="both"/>
            </w:pPr>
            <w:r w:rsidRPr="00A34F10">
              <w:t>Not previously evaluated</w:t>
            </w:r>
          </w:p>
        </w:tc>
      </w:tr>
      <w:tr w:rsidR="00DC5685" w:rsidRPr="00A34F10" w14:paraId="0DDFAF5A" w14:textId="77777777" w:rsidTr="000470C3">
        <w:trPr>
          <w:jc w:val="center"/>
        </w:trPr>
        <w:tc>
          <w:tcPr>
            <w:tcW w:w="1364" w:type="pct"/>
            <w:shd w:val="clear" w:color="auto" w:fill="auto"/>
          </w:tcPr>
          <w:p w14:paraId="63D462DA" w14:textId="77777777" w:rsidR="00DC5685" w:rsidRPr="00A34F10" w:rsidRDefault="00DC5685" w:rsidP="00DC5685">
            <w:pPr>
              <w:widowControl w:val="0"/>
              <w:spacing w:after="120"/>
              <w:jc w:val="both"/>
            </w:pPr>
            <w:r w:rsidRPr="00A34F10">
              <w:t>GLP/Officially recognised testing facilities:</w:t>
            </w:r>
          </w:p>
        </w:tc>
        <w:tc>
          <w:tcPr>
            <w:tcW w:w="3636" w:type="pct"/>
            <w:shd w:val="clear" w:color="auto" w:fill="auto"/>
          </w:tcPr>
          <w:p w14:paraId="65E1434C" w14:textId="77777777" w:rsidR="00DC5685" w:rsidRPr="00A34F10" w:rsidRDefault="00DC5685" w:rsidP="00DC5685">
            <w:pPr>
              <w:widowControl w:val="0"/>
              <w:spacing w:after="120"/>
              <w:jc w:val="both"/>
            </w:pPr>
            <w:r w:rsidRPr="00A34F10">
              <w:t>Yes, conducted under GLP/Officially recognised testing facilities</w:t>
            </w:r>
          </w:p>
        </w:tc>
      </w:tr>
      <w:tr w:rsidR="00DC5685" w:rsidRPr="00A34F10" w14:paraId="265272A4" w14:textId="77777777" w:rsidTr="000470C3">
        <w:trPr>
          <w:jc w:val="center"/>
        </w:trPr>
        <w:tc>
          <w:tcPr>
            <w:tcW w:w="1364" w:type="pct"/>
            <w:shd w:val="clear" w:color="auto" w:fill="auto"/>
          </w:tcPr>
          <w:p w14:paraId="5956C305" w14:textId="77777777" w:rsidR="00DC5685" w:rsidRPr="00A34F10" w:rsidRDefault="00DC5685" w:rsidP="00DC5685">
            <w:pPr>
              <w:widowControl w:val="0"/>
              <w:spacing w:after="120"/>
              <w:jc w:val="both"/>
            </w:pPr>
            <w:r w:rsidRPr="00A34F10">
              <w:t xml:space="preserve">Acceptability: </w:t>
            </w:r>
          </w:p>
        </w:tc>
        <w:tc>
          <w:tcPr>
            <w:tcW w:w="3636" w:type="pct"/>
            <w:shd w:val="clear" w:color="auto" w:fill="auto"/>
          </w:tcPr>
          <w:p w14:paraId="708480EA" w14:textId="77777777" w:rsidR="00DC5685" w:rsidRPr="00A34F10" w:rsidRDefault="00DC5685" w:rsidP="00DC5685">
            <w:pPr>
              <w:widowControl w:val="0"/>
              <w:spacing w:after="120"/>
              <w:jc w:val="both"/>
            </w:pPr>
            <w:r w:rsidRPr="00A34F10">
              <w:t>Yes</w:t>
            </w:r>
          </w:p>
        </w:tc>
      </w:tr>
    </w:tbl>
    <w:p w14:paraId="4404CB21" w14:textId="77777777" w:rsidR="00DC5685" w:rsidRPr="00A34F10" w:rsidRDefault="00DC5685" w:rsidP="00DC5685">
      <w:pPr>
        <w:tabs>
          <w:tab w:val="left" w:pos="720"/>
        </w:tabs>
        <w:jc w:val="both"/>
        <w:rPr>
          <w:b/>
          <w:bCs/>
          <w:color w:val="000000" w:themeColor="text1"/>
          <w:sz w:val="24"/>
          <w:szCs w:val="24"/>
          <w:lang w:val="en-GB"/>
        </w:rPr>
      </w:pPr>
    </w:p>
    <w:p w14:paraId="06F18AC2" w14:textId="77777777" w:rsidR="00DC5685" w:rsidRPr="00A34F10" w:rsidRDefault="00DC5685" w:rsidP="00DC5685">
      <w:pPr>
        <w:keepNext/>
        <w:tabs>
          <w:tab w:val="left" w:pos="720"/>
        </w:tabs>
        <w:jc w:val="both"/>
        <w:rPr>
          <w:b/>
          <w:bCs/>
          <w:color w:val="000000" w:themeColor="text1"/>
          <w:lang w:val="en-GB"/>
        </w:rPr>
      </w:pPr>
      <w:r w:rsidRPr="00A34F10">
        <w:rPr>
          <w:b/>
          <w:bCs/>
          <w:color w:val="000000" w:themeColor="text1"/>
          <w:lang w:val="en-GB"/>
        </w:rPr>
        <w:t>Executive summary</w:t>
      </w:r>
    </w:p>
    <w:p w14:paraId="7B64D8D0" w14:textId="77777777" w:rsidR="00DC5685" w:rsidRPr="00A34F10" w:rsidRDefault="00DC5685" w:rsidP="00DC5685">
      <w:pPr>
        <w:keepNext/>
        <w:tabs>
          <w:tab w:val="left" w:pos="720"/>
        </w:tabs>
        <w:jc w:val="both"/>
        <w:rPr>
          <w:b/>
          <w:bCs/>
          <w:color w:val="000000" w:themeColor="text1"/>
          <w:lang w:val="en-GB"/>
        </w:rPr>
      </w:pPr>
    </w:p>
    <w:p w14:paraId="66DEA76F"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The toxicity of BAS 650 F to the mysid (</w:t>
      </w:r>
      <w:r w:rsidRPr="00A34F10">
        <w:rPr>
          <w:i/>
          <w:iCs/>
          <w:color w:val="000000" w:themeColor="text1"/>
          <w:lang w:val="en-GB"/>
        </w:rPr>
        <w:t>Americamysis bahia</w:t>
      </w:r>
      <w:r w:rsidRPr="00A34F10">
        <w:rPr>
          <w:color w:val="000000" w:themeColor="text1"/>
          <w:lang w:val="en-GB"/>
        </w:rPr>
        <w:t>) over a full life-cycle was assessed over 28 days under flow through conditions at five nominal test item concentrations of 6.3, 13, 25, 50 and 100 µg a.s./L, corresponding to 4.7, 10, 18, 38 and 77 µg a.s./L mean measured concentration. An untreated dilution water control was tested in parallel. Four replicates were set up per treatment group. Observations were performed daily for mortality and abnormal appearances and behaviour. Reproductive success (total number of offspring produced per female) was determined along with survival of the second generation (F</w:t>
      </w:r>
      <w:r w:rsidRPr="00A34F10">
        <w:rPr>
          <w:color w:val="000000" w:themeColor="text1"/>
          <w:vertAlign w:val="subscript"/>
          <w:lang w:val="en-GB"/>
        </w:rPr>
        <w:t>1</w:t>
      </w:r>
      <w:r w:rsidRPr="00A34F10">
        <w:rPr>
          <w:color w:val="000000" w:themeColor="text1"/>
          <w:lang w:val="en-GB"/>
        </w:rPr>
        <w:t xml:space="preserve">). Body length and dry weight were measured in all mysids at test termination. </w:t>
      </w:r>
    </w:p>
    <w:p w14:paraId="06CA418B" w14:textId="77777777" w:rsidR="00DC5685" w:rsidRPr="00A34F10" w:rsidRDefault="00DC5685" w:rsidP="00DC5685">
      <w:pPr>
        <w:tabs>
          <w:tab w:val="left" w:pos="720"/>
        </w:tabs>
        <w:jc w:val="both"/>
        <w:rPr>
          <w:color w:val="000000" w:themeColor="text1"/>
          <w:lang w:val="en-GB"/>
        </w:rPr>
      </w:pPr>
    </w:p>
    <w:p w14:paraId="18411A69"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The mean measured concentrations during the exposure period ranged between 71 – 79% of nominals. The concentration which defined the NOEC (18 μg a.s./L) had an overall CV of 20%. Results of the study are based on mean measured concentrations.</w:t>
      </w:r>
    </w:p>
    <w:p w14:paraId="149EE85E" w14:textId="77777777" w:rsidR="00DC5685" w:rsidRPr="00A34F10" w:rsidRDefault="00DC5685" w:rsidP="00DC5685">
      <w:pPr>
        <w:tabs>
          <w:tab w:val="left" w:pos="720"/>
        </w:tabs>
        <w:jc w:val="both"/>
        <w:rPr>
          <w:color w:val="000000" w:themeColor="text1"/>
          <w:lang w:val="en-GB"/>
        </w:rPr>
      </w:pPr>
    </w:p>
    <w:p w14:paraId="2F4516CC"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Based on mean measured concentrations of BAS 650 F and male total body length (the most sensitive indicator of toxicity), the No-Observed-Effect Concentration (NOEC) was determined to be 18 μg a.s./L. The Lowest-Observed-Effect Concentration (LOEC) for mysids was determined to be 38 μg a.s./L. Since no concentration tested resulted in ≥ 50% mortality, the 7, 14, 21 and 28-day LC</w:t>
      </w:r>
      <w:r w:rsidRPr="00A34F10">
        <w:rPr>
          <w:color w:val="000000" w:themeColor="text1"/>
          <w:vertAlign w:val="subscript"/>
          <w:lang w:val="en-GB"/>
        </w:rPr>
        <w:t>50</w:t>
      </w:r>
      <w:r w:rsidRPr="00A34F10">
        <w:rPr>
          <w:color w:val="000000" w:themeColor="text1"/>
          <w:lang w:val="en-GB"/>
        </w:rPr>
        <w:t xml:space="preserve"> values were empirically estimated to be &gt; 77 μg a.s./L, the highest mean measured BAS 650 F concentration tested.</w:t>
      </w:r>
    </w:p>
    <w:p w14:paraId="08884FE1" w14:textId="07C3C167" w:rsidR="00DC5685" w:rsidRPr="00A34F10" w:rsidRDefault="00976440" w:rsidP="00DC5685">
      <w:pPr>
        <w:tabs>
          <w:tab w:val="left" w:pos="720"/>
        </w:tabs>
        <w:jc w:val="both"/>
        <w:rPr>
          <w:color w:val="000000" w:themeColor="text1"/>
          <w:lang w:val="en-GB"/>
        </w:rPr>
      </w:pPr>
      <w:r w:rsidRPr="00A34F10">
        <w:rPr>
          <w:color w:val="000000" w:themeColor="text1"/>
          <w:lang w:val="en-GB"/>
        </w:rPr>
        <w:br w:type="page"/>
      </w:r>
    </w:p>
    <w:p w14:paraId="706D0DF4" w14:textId="77777777" w:rsidR="00DC5685" w:rsidRPr="00A34F10" w:rsidRDefault="00DC5685" w:rsidP="00E05ECD">
      <w:pPr>
        <w:numPr>
          <w:ilvl w:val="0"/>
          <w:numId w:val="36"/>
        </w:numPr>
        <w:tabs>
          <w:tab w:val="left" w:pos="720"/>
        </w:tabs>
        <w:spacing w:after="160" w:line="259" w:lineRule="auto"/>
        <w:ind w:left="0" w:firstLine="0"/>
        <w:rPr>
          <w:b/>
          <w:bCs/>
          <w:color w:val="000000" w:themeColor="text1"/>
          <w:lang w:val="en-GB"/>
        </w:rPr>
      </w:pPr>
      <w:r w:rsidRPr="00A34F10">
        <w:rPr>
          <w:b/>
          <w:bCs/>
          <w:color w:val="000000" w:themeColor="text1"/>
          <w:lang w:val="en-GB"/>
        </w:rPr>
        <w:lastRenderedPageBreak/>
        <w:t>MATERIALS AND METHODS</w:t>
      </w:r>
    </w:p>
    <w:p w14:paraId="22BD31B8" w14:textId="77777777" w:rsidR="00DC5685" w:rsidRPr="00A34F10" w:rsidRDefault="00DC5685" w:rsidP="00E05ECD">
      <w:pPr>
        <w:numPr>
          <w:ilvl w:val="0"/>
          <w:numId w:val="37"/>
        </w:numPr>
        <w:tabs>
          <w:tab w:val="left" w:pos="720"/>
        </w:tabs>
        <w:spacing w:after="160" w:line="259" w:lineRule="auto"/>
        <w:ind w:left="357" w:hanging="357"/>
        <w:jc w:val="both"/>
        <w:rPr>
          <w:b/>
          <w:bCs/>
          <w:color w:val="000000" w:themeColor="text1"/>
          <w:lang w:val="en-GB"/>
        </w:rPr>
      </w:pPr>
      <w:r w:rsidRPr="00A34F10">
        <w:rPr>
          <w:b/>
          <w:bCs/>
          <w:color w:val="000000" w:themeColor="text1"/>
          <w:lang w:val="en-GB"/>
        </w:rPr>
        <w:t>MATERIALS</w:t>
      </w:r>
    </w:p>
    <w:tbl>
      <w:tblPr>
        <w:tblStyle w:val="TableGrid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4"/>
      </w:tblGrid>
      <w:tr w:rsidR="00DC5685" w:rsidRPr="00A34F10" w14:paraId="2AE1F56C" w14:textId="77777777" w:rsidTr="000470C3">
        <w:tc>
          <w:tcPr>
            <w:tcW w:w="4673" w:type="dxa"/>
            <w:vAlign w:val="center"/>
          </w:tcPr>
          <w:p w14:paraId="4F291EDC" w14:textId="77777777" w:rsidR="00DC5685" w:rsidRPr="00A34F10" w:rsidRDefault="00DC5685" w:rsidP="00E05ECD">
            <w:pPr>
              <w:numPr>
                <w:ilvl w:val="0"/>
                <w:numId w:val="38"/>
              </w:numPr>
              <w:tabs>
                <w:tab w:val="left" w:pos="720"/>
              </w:tabs>
              <w:spacing w:before="20" w:after="20"/>
              <w:ind w:left="612" w:hanging="357"/>
              <w:rPr>
                <w:b/>
                <w:color w:val="000000" w:themeColor="text1"/>
                <w:lang w:val="en-GB"/>
              </w:rPr>
            </w:pPr>
            <w:r w:rsidRPr="00A34F10">
              <w:rPr>
                <w:b/>
                <w:color w:val="000000" w:themeColor="text1"/>
                <w:lang w:val="en-GB"/>
              </w:rPr>
              <w:t xml:space="preserve">Test item: </w:t>
            </w:r>
          </w:p>
        </w:tc>
        <w:tc>
          <w:tcPr>
            <w:tcW w:w="4674" w:type="dxa"/>
            <w:vAlign w:val="center"/>
          </w:tcPr>
          <w:p w14:paraId="7791AE8B"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BAS 650 F (Ametoctradin)</w:t>
            </w:r>
          </w:p>
        </w:tc>
      </w:tr>
      <w:tr w:rsidR="00DC5685" w:rsidRPr="00A34F10" w14:paraId="4019B967" w14:textId="77777777" w:rsidTr="000470C3">
        <w:tc>
          <w:tcPr>
            <w:tcW w:w="4673" w:type="dxa"/>
            <w:vAlign w:val="center"/>
          </w:tcPr>
          <w:p w14:paraId="3990EB81" w14:textId="77777777" w:rsidR="00DC5685" w:rsidRPr="00A34F10" w:rsidRDefault="00DC5685" w:rsidP="00DC5685">
            <w:pPr>
              <w:tabs>
                <w:tab w:val="left" w:pos="851"/>
              </w:tabs>
              <w:spacing w:before="20" w:after="20"/>
              <w:ind w:left="624"/>
              <w:rPr>
                <w:b/>
                <w:color w:val="000000" w:themeColor="text1"/>
                <w:lang w:val="en-GB"/>
              </w:rPr>
            </w:pPr>
            <w:r w:rsidRPr="00A34F10">
              <w:rPr>
                <w:b/>
                <w:color w:val="000000" w:themeColor="text1"/>
                <w:lang w:val="en-GB"/>
              </w:rPr>
              <w:t>Description:</w:t>
            </w:r>
          </w:p>
        </w:tc>
        <w:tc>
          <w:tcPr>
            <w:tcW w:w="4674" w:type="dxa"/>
            <w:vAlign w:val="center"/>
          </w:tcPr>
          <w:p w14:paraId="07A78158"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Not reported</w:t>
            </w:r>
          </w:p>
        </w:tc>
      </w:tr>
      <w:tr w:rsidR="00DC5685" w:rsidRPr="00A34F10" w14:paraId="74F79AC4" w14:textId="77777777" w:rsidTr="000470C3">
        <w:tc>
          <w:tcPr>
            <w:tcW w:w="4673" w:type="dxa"/>
            <w:vAlign w:val="center"/>
          </w:tcPr>
          <w:p w14:paraId="35EA733E" w14:textId="77777777" w:rsidR="00DC5685" w:rsidRPr="00A34F10" w:rsidRDefault="00DC5685" w:rsidP="00DC5685">
            <w:pPr>
              <w:tabs>
                <w:tab w:val="left" w:pos="720"/>
              </w:tabs>
              <w:spacing w:before="20" w:after="20"/>
              <w:ind w:left="624"/>
              <w:rPr>
                <w:b/>
                <w:color w:val="000000" w:themeColor="text1"/>
                <w:lang w:val="en-GB"/>
              </w:rPr>
            </w:pPr>
            <w:r w:rsidRPr="00A34F10">
              <w:rPr>
                <w:b/>
                <w:color w:val="000000" w:themeColor="text1"/>
                <w:lang w:val="en-GB"/>
              </w:rPr>
              <w:t>Lot/batch:</w:t>
            </w:r>
          </w:p>
        </w:tc>
        <w:tc>
          <w:tcPr>
            <w:tcW w:w="4674" w:type="dxa"/>
            <w:vAlign w:val="center"/>
          </w:tcPr>
          <w:p w14:paraId="7E53EEA8"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COD-000748</w:t>
            </w:r>
          </w:p>
        </w:tc>
      </w:tr>
      <w:tr w:rsidR="00DC5685" w:rsidRPr="00A34F10" w14:paraId="58DE9883" w14:textId="77777777" w:rsidTr="000470C3">
        <w:tc>
          <w:tcPr>
            <w:tcW w:w="4673" w:type="dxa"/>
            <w:vAlign w:val="center"/>
          </w:tcPr>
          <w:p w14:paraId="59F9353B" w14:textId="77777777" w:rsidR="00DC5685" w:rsidRPr="00A34F10" w:rsidRDefault="00DC5685" w:rsidP="00DC5685">
            <w:pPr>
              <w:tabs>
                <w:tab w:val="left" w:pos="720"/>
              </w:tabs>
              <w:spacing w:before="20" w:after="20"/>
              <w:ind w:left="624"/>
              <w:rPr>
                <w:b/>
                <w:color w:val="000000" w:themeColor="text1"/>
                <w:lang w:val="en-GB"/>
              </w:rPr>
            </w:pPr>
            <w:r w:rsidRPr="00A34F10">
              <w:rPr>
                <w:b/>
                <w:color w:val="000000" w:themeColor="text1"/>
                <w:lang w:val="en-GB"/>
              </w:rPr>
              <w:t xml:space="preserve">Purity: </w:t>
            </w:r>
          </w:p>
        </w:tc>
        <w:tc>
          <w:tcPr>
            <w:tcW w:w="4674" w:type="dxa"/>
            <w:vAlign w:val="center"/>
          </w:tcPr>
          <w:p w14:paraId="487C0528"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99.3%</w:t>
            </w:r>
          </w:p>
        </w:tc>
      </w:tr>
      <w:tr w:rsidR="00DC5685" w:rsidRPr="00A34F10" w14:paraId="2E1344D6" w14:textId="77777777" w:rsidTr="000470C3">
        <w:tc>
          <w:tcPr>
            <w:tcW w:w="4673" w:type="dxa"/>
            <w:vAlign w:val="center"/>
          </w:tcPr>
          <w:p w14:paraId="6E8DB048" w14:textId="77777777" w:rsidR="00DC5685" w:rsidRPr="00A34F10" w:rsidRDefault="00DC5685" w:rsidP="00DC5685">
            <w:pPr>
              <w:tabs>
                <w:tab w:val="left" w:pos="720"/>
              </w:tabs>
              <w:rPr>
                <w:color w:val="000000" w:themeColor="text1"/>
                <w:lang w:val="en-GB"/>
              </w:rPr>
            </w:pPr>
          </w:p>
        </w:tc>
        <w:tc>
          <w:tcPr>
            <w:tcW w:w="4674" w:type="dxa"/>
            <w:vAlign w:val="center"/>
          </w:tcPr>
          <w:p w14:paraId="4CB09A10" w14:textId="77777777" w:rsidR="00DC5685" w:rsidRPr="00A34F10" w:rsidRDefault="00DC5685" w:rsidP="00DC5685">
            <w:pPr>
              <w:tabs>
                <w:tab w:val="left" w:pos="720"/>
              </w:tabs>
              <w:rPr>
                <w:color w:val="000000" w:themeColor="text1"/>
                <w:lang w:val="en-GB"/>
              </w:rPr>
            </w:pPr>
          </w:p>
        </w:tc>
      </w:tr>
      <w:tr w:rsidR="00DC5685" w:rsidRPr="00A34F10" w14:paraId="484CDFC5" w14:textId="77777777" w:rsidTr="000470C3">
        <w:tc>
          <w:tcPr>
            <w:tcW w:w="4673" w:type="dxa"/>
          </w:tcPr>
          <w:p w14:paraId="3444843C" w14:textId="77777777" w:rsidR="00DC5685" w:rsidRPr="00A34F10" w:rsidRDefault="00DC5685" w:rsidP="00E05ECD">
            <w:pPr>
              <w:numPr>
                <w:ilvl w:val="0"/>
                <w:numId w:val="38"/>
              </w:numPr>
              <w:tabs>
                <w:tab w:val="left" w:pos="720"/>
              </w:tabs>
              <w:spacing w:before="20" w:after="20"/>
              <w:ind w:left="612" w:hanging="357"/>
              <w:rPr>
                <w:b/>
                <w:color w:val="000000" w:themeColor="text1"/>
                <w:lang w:val="en-GB"/>
              </w:rPr>
            </w:pPr>
            <w:r w:rsidRPr="00A34F10">
              <w:rPr>
                <w:b/>
                <w:color w:val="000000" w:themeColor="text1"/>
                <w:lang w:val="en-GB"/>
              </w:rPr>
              <w:t>Control:</w:t>
            </w:r>
          </w:p>
        </w:tc>
        <w:tc>
          <w:tcPr>
            <w:tcW w:w="4674" w:type="dxa"/>
            <w:vAlign w:val="center"/>
          </w:tcPr>
          <w:p w14:paraId="4391B801"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Untreated dilution water</w:t>
            </w:r>
          </w:p>
        </w:tc>
      </w:tr>
    </w:tbl>
    <w:p w14:paraId="48316780" w14:textId="77777777" w:rsidR="00DC5685" w:rsidRPr="00A34F10" w:rsidRDefault="00DC5685" w:rsidP="00DC5685">
      <w:pPr>
        <w:tabs>
          <w:tab w:val="left" w:pos="720"/>
        </w:tabs>
        <w:jc w:val="both"/>
        <w:rPr>
          <w:b/>
          <w:bCs/>
          <w:color w:val="000000" w:themeColor="text1"/>
          <w:lang w:val="en-GB"/>
        </w:rPr>
      </w:pPr>
    </w:p>
    <w:p w14:paraId="2A5C78A9" w14:textId="77777777" w:rsidR="00DC5685" w:rsidRPr="00A34F10" w:rsidRDefault="00DC5685" w:rsidP="00E05ECD">
      <w:pPr>
        <w:keepNext/>
        <w:numPr>
          <w:ilvl w:val="0"/>
          <w:numId w:val="37"/>
        </w:numPr>
        <w:tabs>
          <w:tab w:val="left" w:pos="720"/>
        </w:tabs>
        <w:spacing w:after="160" w:line="259" w:lineRule="auto"/>
        <w:ind w:left="357" w:hanging="357"/>
        <w:jc w:val="both"/>
        <w:rPr>
          <w:b/>
          <w:bCs/>
          <w:color w:val="000000" w:themeColor="text1"/>
          <w:lang w:val="en-GB"/>
        </w:rPr>
      </w:pPr>
      <w:r w:rsidRPr="00A34F10">
        <w:rPr>
          <w:b/>
          <w:bCs/>
          <w:color w:val="000000" w:themeColor="text1"/>
          <w:lang w:val="en-GB"/>
        </w:rPr>
        <w:t>STUDY DESIGN AND METHODS</w:t>
      </w:r>
    </w:p>
    <w:tbl>
      <w:tblPr>
        <w:tblStyle w:val="TableGrid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4"/>
      </w:tblGrid>
      <w:tr w:rsidR="00DC5685" w:rsidRPr="00A34F10" w14:paraId="72F6B2B1" w14:textId="77777777" w:rsidTr="000470C3">
        <w:tc>
          <w:tcPr>
            <w:tcW w:w="4673" w:type="dxa"/>
          </w:tcPr>
          <w:p w14:paraId="388DB919" w14:textId="77777777" w:rsidR="00DC5685" w:rsidRPr="00A34F10" w:rsidRDefault="00DC5685" w:rsidP="00E05ECD">
            <w:pPr>
              <w:numPr>
                <w:ilvl w:val="0"/>
                <w:numId w:val="43"/>
              </w:numPr>
              <w:tabs>
                <w:tab w:val="left" w:pos="720"/>
              </w:tabs>
              <w:spacing w:before="20" w:after="20"/>
              <w:ind w:left="612" w:hanging="357"/>
              <w:rPr>
                <w:b/>
                <w:color w:val="000000" w:themeColor="text1"/>
                <w:lang w:val="en-GB"/>
              </w:rPr>
            </w:pPr>
            <w:r w:rsidRPr="00A34F10">
              <w:rPr>
                <w:b/>
                <w:color w:val="000000" w:themeColor="text1"/>
                <w:lang w:val="en-GB"/>
              </w:rPr>
              <w:t>Test species:</w:t>
            </w:r>
          </w:p>
        </w:tc>
        <w:tc>
          <w:tcPr>
            <w:tcW w:w="4674" w:type="dxa"/>
          </w:tcPr>
          <w:p w14:paraId="3002B56C"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Mysid shrimp (</w:t>
            </w:r>
            <w:r w:rsidRPr="00A34F10">
              <w:rPr>
                <w:i/>
                <w:iCs/>
                <w:color w:val="000000" w:themeColor="text1"/>
                <w:lang w:val="en-GB"/>
              </w:rPr>
              <w:t>Americamysis bahia</w:t>
            </w:r>
            <w:r w:rsidRPr="00A34F10">
              <w:rPr>
                <w:color w:val="000000" w:themeColor="text1"/>
                <w:lang w:val="en-GB"/>
              </w:rPr>
              <w:t>)</w:t>
            </w:r>
          </w:p>
        </w:tc>
      </w:tr>
      <w:tr w:rsidR="00DC5685" w:rsidRPr="00A34F10" w14:paraId="4F8B0686" w14:textId="77777777" w:rsidTr="000470C3">
        <w:tc>
          <w:tcPr>
            <w:tcW w:w="4673" w:type="dxa"/>
          </w:tcPr>
          <w:p w14:paraId="7D3234EC"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Age:</w:t>
            </w:r>
          </w:p>
        </w:tc>
        <w:tc>
          <w:tcPr>
            <w:tcW w:w="4674" w:type="dxa"/>
          </w:tcPr>
          <w:p w14:paraId="0A252F0F"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 xml:space="preserve">≤23.5 hours old </w:t>
            </w:r>
          </w:p>
        </w:tc>
      </w:tr>
      <w:tr w:rsidR="00DC5685" w:rsidRPr="00A34F10" w14:paraId="193F02DB" w14:textId="77777777" w:rsidTr="000470C3">
        <w:tc>
          <w:tcPr>
            <w:tcW w:w="4673" w:type="dxa"/>
          </w:tcPr>
          <w:p w14:paraId="238625BD"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Source:</w:t>
            </w:r>
          </w:p>
        </w:tc>
        <w:tc>
          <w:tcPr>
            <w:tcW w:w="4674" w:type="dxa"/>
          </w:tcPr>
          <w:p w14:paraId="6C627C14"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In-house culture</w:t>
            </w:r>
          </w:p>
        </w:tc>
      </w:tr>
      <w:tr w:rsidR="00DC5685" w:rsidRPr="00A34F10" w14:paraId="2DFE2DA1" w14:textId="77777777" w:rsidTr="000470C3">
        <w:tc>
          <w:tcPr>
            <w:tcW w:w="4673" w:type="dxa"/>
          </w:tcPr>
          <w:p w14:paraId="215D3B24"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Diet:</w:t>
            </w:r>
          </w:p>
        </w:tc>
        <w:tc>
          <w:tcPr>
            <w:tcW w:w="4674" w:type="dxa"/>
          </w:tcPr>
          <w:p w14:paraId="10B294AB"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Live brine shrimp (</w:t>
            </w:r>
            <w:r w:rsidRPr="00A34F10">
              <w:rPr>
                <w:i/>
                <w:iCs/>
                <w:color w:val="000000" w:themeColor="text1"/>
                <w:lang w:val="en-GB"/>
              </w:rPr>
              <w:t>Artemia salina</w:t>
            </w:r>
            <w:r w:rsidRPr="00A34F10">
              <w:rPr>
                <w:color w:val="000000" w:themeColor="text1"/>
                <w:lang w:val="en-GB"/>
              </w:rPr>
              <w:t xml:space="preserve">) nauplii, ≤48 hours old, provided twice daily </w:t>
            </w:r>
          </w:p>
        </w:tc>
      </w:tr>
      <w:tr w:rsidR="00DC5685" w:rsidRPr="00A34F10" w14:paraId="27525534" w14:textId="77777777" w:rsidTr="000470C3">
        <w:tc>
          <w:tcPr>
            <w:tcW w:w="4673" w:type="dxa"/>
          </w:tcPr>
          <w:p w14:paraId="0B29343C"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Loading:</w:t>
            </w:r>
          </w:p>
        </w:tc>
        <w:tc>
          <w:tcPr>
            <w:tcW w:w="4674" w:type="dxa"/>
          </w:tcPr>
          <w:p w14:paraId="46C5A4DC"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 xml:space="preserve">≤0.0025 g/L flowing solution/day </w:t>
            </w:r>
          </w:p>
        </w:tc>
      </w:tr>
      <w:tr w:rsidR="00DC5685" w:rsidRPr="00A34F10" w14:paraId="25215399" w14:textId="77777777" w:rsidTr="000470C3">
        <w:tc>
          <w:tcPr>
            <w:tcW w:w="4673" w:type="dxa"/>
          </w:tcPr>
          <w:p w14:paraId="1C9B7818" w14:textId="77777777" w:rsidR="00DC5685" w:rsidRPr="00A34F10" w:rsidRDefault="00DC5685" w:rsidP="00DC5685">
            <w:pPr>
              <w:tabs>
                <w:tab w:val="left" w:pos="720"/>
              </w:tabs>
              <w:rPr>
                <w:b/>
                <w:color w:val="000000" w:themeColor="text1"/>
                <w:lang w:val="en-GB"/>
              </w:rPr>
            </w:pPr>
          </w:p>
        </w:tc>
        <w:tc>
          <w:tcPr>
            <w:tcW w:w="4674" w:type="dxa"/>
          </w:tcPr>
          <w:p w14:paraId="135B0025" w14:textId="77777777" w:rsidR="00DC5685" w:rsidRPr="00A34F10" w:rsidRDefault="00DC5685" w:rsidP="00DC5685">
            <w:pPr>
              <w:tabs>
                <w:tab w:val="left" w:pos="720"/>
              </w:tabs>
              <w:rPr>
                <w:color w:val="000000" w:themeColor="text1"/>
                <w:lang w:val="en-GB"/>
              </w:rPr>
            </w:pPr>
          </w:p>
        </w:tc>
      </w:tr>
      <w:tr w:rsidR="00DC5685" w:rsidRPr="00A34F10" w14:paraId="1BC1B45A" w14:textId="77777777" w:rsidTr="000470C3">
        <w:tc>
          <w:tcPr>
            <w:tcW w:w="4673" w:type="dxa"/>
          </w:tcPr>
          <w:p w14:paraId="0A90EB5A" w14:textId="77777777" w:rsidR="00DC5685" w:rsidRPr="00A34F10" w:rsidRDefault="00DC5685" w:rsidP="00E05ECD">
            <w:pPr>
              <w:numPr>
                <w:ilvl w:val="0"/>
                <w:numId w:val="43"/>
              </w:numPr>
              <w:tabs>
                <w:tab w:val="left" w:pos="720"/>
              </w:tabs>
              <w:spacing w:before="20" w:after="20"/>
              <w:ind w:left="612" w:hanging="357"/>
              <w:rPr>
                <w:b/>
                <w:color w:val="000000" w:themeColor="text1"/>
                <w:lang w:val="en-GB"/>
              </w:rPr>
            </w:pPr>
            <w:r w:rsidRPr="00A34F10">
              <w:rPr>
                <w:b/>
                <w:color w:val="000000" w:themeColor="text1"/>
                <w:lang w:val="en-GB"/>
              </w:rPr>
              <w:t xml:space="preserve">Test units: </w:t>
            </w:r>
          </w:p>
        </w:tc>
        <w:tc>
          <w:tcPr>
            <w:tcW w:w="4674" w:type="dxa"/>
          </w:tcPr>
          <w:p w14:paraId="74A19C35"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Glass test aquaria measuring 30 x 15 x 20 cm with a 10 cm high side drain that maintained a constant exposure solution volume of approximately 4.5 L.</w:t>
            </w:r>
          </w:p>
          <w:p w14:paraId="76F28627" w14:textId="77777777" w:rsidR="00DC5685" w:rsidRPr="00A34F10" w:rsidRDefault="00DC5685" w:rsidP="00DC5685">
            <w:pPr>
              <w:tabs>
                <w:tab w:val="left" w:pos="720"/>
              </w:tabs>
              <w:spacing w:before="20" w:after="20"/>
              <w:rPr>
                <w:color w:val="000000" w:themeColor="text1"/>
                <w:lang w:val="en-GB"/>
              </w:rPr>
            </w:pPr>
          </w:p>
          <w:p w14:paraId="51116B65"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 xml:space="preserve">Retention chambers: glass petri dishes, 10 cm diameter, 2 cm deep, with a 14 cm high Nitex screen collar (350 µm mesh size opening) attached with silicone sealant. Contained approx. 785 mL solution volume. </w:t>
            </w:r>
          </w:p>
          <w:p w14:paraId="2451EAD1" w14:textId="77777777" w:rsidR="00DC5685" w:rsidRPr="00A34F10" w:rsidRDefault="00DC5685" w:rsidP="00DC5685">
            <w:pPr>
              <w:tabs>
                <w:tab w:val="left" w:pos="720"/>
              </w:tabs>
              <w:spacing w:before="20" w:after="20"/>
              <w:rPr>
                <w:color w:val="000000" w:themeColor="text1"/>
                <w:lang w:val="en-GB"/>
              </w:rPr>
            </w:pPr>
          </w:p>
          <w:p w14:paraId="75AA27B1"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 xml:space="preserve">Pairing chambers: 6 cm diameter petri dishes, with a 14 cm high Nitex screen collar (350 µm mesh size opening) attached with silicone sealant. Contained approx. 250 mL solution volume. </w:t>
            </w:r>
          </w:p>
        </w:tc>
      </w:tr>
      <w:tr w:rsidR="00DC5685" w:rsidRPr="00A34F10" w14:paraId="788FCCB6" w14:textId="77777777" w:rsidTr="000470C3">
        <w:tc>
          <w:tcPr>
            <w:tcW w:w="4673" w:type="dxa"/>
          </w:tcPr>
          <w:p w14:paraId="7130AEB1" w14:textId="77777777" w:rsidR="00DC5685" w:rsidRPr="00A34F10" w:rsidRDefault="00DC5685" w:rsidP="00DC5685">
            <w:pPr>
              <w:tabs>
                <w:tab w:val="left" w:pos="720"/>
              </w:tabs>
              <w:spacing w:before="20" w:after="20"/>
              <w:ind w:left="624"/>
              <w:rPr>
                <w:bCs/>
                <w:color w:val="000000" w:themeColor="text1"/>
                <w:lang w:val="en-GB"/>
              </w:rPr>
            </w:pPr>
          </w:p>
        </w:tc>
        <w:tc>
          <w:tcPr>
            <w:tcW w:w="4674" w:type="dxa"/>
          </w:tcPr>
          <w:p w14:paraId="73AABFDF" w14:textId="77777777" w:rsidR="00DC5685" w:rsidRPr="00A34F10" w:rsidRDefault="00DC5685" w:rsidP="00DC5685">
            <w:pPr>
              <w:tabs>
                <w:tab w:val="left" w:pos="720"/>
              </w:tabs>
              <w:spacing w:before="20" w:after="20"/>
              <w:rPr>
                <w:color w:val="000000" w:themeColor="text1"/>
                <w:lang w:val="en-GB"/>
              </w:rPr>
            </w:pPr>
          </w:p>
        </w:tc>
      </w:tr>
      <w:tr w:rsidR="00DC5685" w:rsidRPr="00A34F10" w14:paraId="41BF4061" w14:textId="77777777" w:rsidTr="000470C3">
        <w:tc>
          <w:tcPr>
            <w:tcW w:w="4673" w:type="dxa"/>
          </w:tcPr>
          <w:p w14:paraId="3FAD6850" w14:textId="77777777" w:rsidR="00DC5685" w:rsidRPr="00A34F10" w:rsidRDefault="00DC5685" w:rsidP="00E05ECD">
            <w:pPr>
              <w:numPr>
                <w:ilvl w:val="0"/>
                <w:numId w:val="43"/>
              </w:numPr>
              <w:tabs>
                <w:tab w:val="left" w:pos="720"/>
              </w:tabs>
              <w:spacing w:before="20" w:after="20"/>
              <w:ind w:left="612" w:hanging="357"/>
              <w:rPr>
                <w:b/>
                <w:color w:val="000000" w:themeColor="text1"/>
                <w:lang w:val="en-GB"/>
              </w:rPr>
            </w:pPr>
            <w:r w:rsidRPr="00A34F10">
              <w:rPr>
                <w:b/>
                <w:color w:val="000000" w:themeColor="text1"/>
                <w:lang w:val="en-GB"/>
              </w:rPr>
              <w:t>Dilution water:</w:t>
            </w:r>
          </w:p>
        </w:tc>
        <w:tc>
          <w:tcPr>
            <w:tcW w:w="4674" w:type="dxa"/>
          </w:tcPr>
          <w:p w14:paraId="7A87AB30"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Dilute, filtered, natural seawater</w:t>
            </w:r>
          </w:p>
        </w:tc>
      </w:tr>
      <w:tr w:rsidR="00DC5685" w:rsidRPr="00A34F10" w14:paraId="4DF2C695" w14:textId="77777777" w:rsidTr="000470C3">
        <w:tc>
          <w:tcPr>
            <w:tcW w:w="4673" w:type="dxa"/>
          </w:tcPr>
          <w:p w14:paraId="6115B176"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Salinity:</w:t>
            </w:r>
          </w:p>
        </w:tc>
        <w:tc>
          <w:tcPr>
            <w:tcW w:w="4674" w:type="dxa"/>
          </w:tcPr>
          <w:p w14:paraId="1845EF1C"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20 – 21%</w:t>
            </w:r>
          </w:p>
        </w:tc>
      </w:tr>
      <w:tr w:rsidR="00DC5685" w:rsidRPr="00A34F10" w14:paraId="5A70CCA1" w14:textId="77777777" w:rsidTr="000470C3">
        <w:tc>
          <w:tcPr>
            <w:tcW w:w="4673" w:type="dxa"/>
          </w:tcPr>
          <w:p w14:paraId="75B931EB"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 xml:space="preserve">pH: </w:t>
            </w:r>
          </w:p>
        </w:tc>
        <w:tc>
          <w:tcPr>
            <w:tcW w:w="4674" w:type="dxa"/>
          </w:tcPr>
          <w:p w14:paraId="5CBD04DF"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7.7 – 7.9</w:t>
            </w:r>
          </w:p>
        </w:tc>
      </w:tr>
      <w:tr w:rsidR="00DC5685" w:rsidRPr="00A34F10" w14:paraId="252BDD64" w14:textId="77777777" w:rsidTr="000470C3">
        <w:tc>
          <w:tcPr>
            <w:tcW w:w="4673" w:type="dxa"/>
          </w:tcPr>
          <w:p w14:paraId="346732BA"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Total organic carbon:</w:t>
            </w:r>
          </w:p>
        </w:tc>
        <w:tc>
          <w:tcPr>
            <w:tcW w:w="4674" w:type="dxa"/>
          </w:tcPr>
          <w:p w14:paraId="7611D52C"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1.1 – 0.96 mg/L</w:t>
            </w:r>
          </w:p>
        </w:tc>
      </w:tr>
      <w:tr w:rsidR="00DC5685" w:rsidRPr="00A34F10" w14:paraId="45AE5E50" w14:textId="77777777" w:rsidTr="000470C3">
        <w:tc>
          <w:tcPr>
            <w:tcW w:w="4673" w:type="dxa"/>
          </w:tcPr>
          <w:p w14:paraId="1ED90817" w14:textId="77777777" w:rsidR="00DC5685" w:rsidRPr="00A34F10" w:rsidRDefault="00DC5685" w:rsidP="00DC5685">
            <w:pPr>
              <w:tabs>
                <w:tab w:val="left" w:pos="720"/>
              </w:tabs>
              <w:rPr>
                <w:b/>
                <w:color w:val="000000" w:themeColor="text1"/>
                <w:lang w:val="en-GB"/>
              </w:rPr>
            </w:pPr>
          </w:p>
        </w:tc>
        <w:tc>
          <w:tcPr>
            <w:tcW w:w="4674" w:type="dxa"/>
          </w:tcPr>
          <w:p w14:paraId="07182E21" w14:textId="77777777" w:rsidR="00DC5685" w:rsidRPr="00A34F10" w:rsidRDefault="00DC5685" w:rsidP="00DC5685">
            <w:pPr>
              <w:tabs>
                <w:tab w:val="left" w:pos="720"/>
              </w:tabs>
              <w:rPr>
                <w:color w:val="000000" w:themeColor="text1"/>
                <w:lang w:val="en-GB"/>
              </w:rPr>
            </w:pPr>
          </w:p>
        </w:tc>
      </w:tr>
      <w:tr w:rsidR="00DC5685" w:rsidRPr="00A34F10" w14:paraId="5E72E4A1" w14:textId="77777777" w:rsidTr="000470C3">
        <w:tc>
          <w:tcPr>
            <w:tcW w:w="4673" w:type="dxa"/>
          </w:tcPr>
          <w:p w14:paraId="4D64F0FD" w14:textId="77777777" w:rsidR="00DC5685" w:rsidRPr="00A34F10" w:rsidRDefault="00DC5685" w:rsidP="00E05ECD">
            <w:pPr>
              <w:numPr>
                <w:ilvl w:val="0"/>
                <w:numId w:val="43"/>
              </w:numPr>
              <w:tabs>
                <w:tab w:val="left" w:pos="720"/>
              </w:tabs>
              <w:spacing w:before="20" w:after="20"/>
              <w:ind w:left="612" w:hanging="357"/>
              <w:rPr>
                <w:b/>
                <w:color w:val="000000" w:themeColor="text1"/>
                <w:lang w:val="en-GB"/>
              </w:rPr>
            </w:pPr>
            <w:r w:rsidRPr="00A34F10">
              <w:rPr>
                <w:b/>
                <w:color w:val="000000" w:themeColor="text1"/>
                <w:lang w:val="en-GB"/>
              </w:rPr>
              <w:t>Environmental conditions</w:t>
            </w:r>
          </w:p>
        </w:tc>
        <w:tc>
          <w:tcPr>
            <w:tcW w:w="4674" w:type="dxa"/>
          </w:tcPr>
          <w:p w14:paraId="347DF027" w14:textId="77777777" w:rsidR="00DC5685" w:rsidRPr="00A34F10" w:rsidRDefault="00DC5685" w:rsidP="00DC5685">
            <w:pPr>
              <w:tabs>
                <w:tab w:val="left" w:pos="720"/>
              </w:tabs>
              <w:spacing w:before="20" w:after="20"/>
              <w:rPr>
                <w:color w:val="000000" w:themeColor="text1"/>
                <w:lang w:val="en-GB"/>
              </w:rPr>
            </w:pPr>
          </w:p>
        </w:tc>
      </w:tr>
      <w:tr w:rsidR="00DC5685" w:rsidRPr="00A34F10" w14:paraId="42122CBC" w14:textId="77777777" w:rsidTr="000470C3">
        <w:tc>
          <w:tcPr>
            <w:tcW w:w="4673" w:type="dxa"/>
          </w:tcPr>
          <w:p w14:paraId="78B9D3DE"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Temperature:</w:t>
            </w:r>
          </w:p>
        </w:tc>
        <w:tc>
          <w:tcPr>
            <w:tcW w:w="4674" w:type="dxa"/>
          </w:tcPr>
          <w:p w14:paraId="0C01F49F"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25 – 27ºC</w:t>
            </w:r>
          </w:p>
        </w:tc>
      </w:tr>
      <w:tr w:rsidR="00DC5685" w:rsidRPr="00A34F10" w14:paraId="138CFFDA" w14:textId="77777777" w:rsidTr="000470C3">
        <w:tc>
          <w:tcPr>
            <w:tcW w:w="4673" w:type="dxa"/>
          </w:tcPr>
          <w:p w14:paraId="4E4B123F"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 xml:space="preserve">pH: </w:t>
            </w:r>
          </w:p>
        </w:tc>
        <w:tc>
          <w:tcPr>
            <w:tcW w:w="4674" w:type="dxa"/>
          </w:tcPr>
          <w:p w14:paraId="3107CE95"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7.7 – 8.0</w:t>
            </w:r>
          </w:p>
        </w:tc>
      </w:tr>
      <w:tr w:rsidR="00DC5685" w:rsidRPr="00A34F10" w14:paraId="130AD44B" w14:textId="77777777" w:rsidTr="000470C3">
        <w:tc>
          <w:tcPr>
            <w:tcW w:w="4673" w:type="dxa"/>
          </w:tcPr>
          <w:p w14:paraId="233FF9E1"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Dissolved oxygen:</w:t>
            </w:r>
          </w:p>
        </w:tc>
        <w:tc>
          <w:tcPr>
            <w:tcW w:w="4674" w:type="dxa"/>
          </w:tcPr>
          <w:p w14:paraId="6862029B"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5.00 – 7.64 mg/L (70.7 – 104% saturation)</w:t>
            </w:r>
          </w:p>
        </w:tc>
      </w:tr>
      <w:tr w:rsidR="00DC5685" w:rsidRPr="00A34F10" w14:paraId="6634A2F8" w14:textId="77777777" w:rsidTr="000470C3">
        <w:tc>
          <w:tcPr>
            <w:tcW w:w="4673" w:type="dxa"/>
          </w:tcPr>
          <w:p w14:paraId="217F0EE0" w14:textId="77777777" w:rsidR="00DC5685" w:rsidRPr="00A34F10" w:rsidRDefault="00DC5685" w:rsidP="00DC5685">
            <w:pPr>
              <w:tabs>
                <w:tab w:val="left" w:pos="720"/>
              </w:tabs>
              <w:spacing w:before="20" w:after="20"/>
              <w:ind w:left="624" w:firstLine="85"/>
              <w:rPr>
                <w:b/>
                <w:color w:val="000000" w:themeColor="text1"/>
                <w:lang w:val="en-GB"/>
              </w:rPr>
            </w:pPr>
            <w:r w:rsidRPr="00A34F10">
              <w:rPr>
                <w:b/>
                <w:color w:val="000000" w:themeColor="text1"/>
                <w:lang w:val="en-GB"/>
              </w:rPr>
              <w:t>Photoperiod:</w:t>
            </w:r>
          </w:p>
        </w:tc>
        <w:tc>
          <w:tcPr>
            <w:tcW w:w="4674" w:type="dxa"/>
          </w:tcPr>
          <w:p w14:paraId="226A61BF" w14:textId="77777777" w:rsidR="00DC5685" w:rsidRPr="00A34F10" w:rsidRDefault="00DC5685" w:rsidP="00DC5685">
            <w:pPr>
              <w:tabs>
                <w:tab w:val="left" w:pos="720"/>
              </w:tabs>
              <w:spacing w:before="20" w:after="20"/>
              <w:rPr>
                <w:color w:val="000000" w:themeColor="text1"/>
                <w:lang w:val="en-GB"/>
              </w:rPr>
            </w:pPr>
            <w:r w:rsidRPr="00A34F10">
              <w:rPr>
                <w:color w:val="000000" w:themeColor="text1"/>
                <w:lang w:val="en-GB"/>
              </w:rPr>
              <w:t>16 h light : 8 h dark (760 - 1000 lux)</w:t>
            </w:r>
          </w:p>
        </w:tc>
      </w:tr>
    </w:tbl>
    <w:p w14:paraId="0C5CE1FB" w14:textId="25289B6B" w:rsidR="00976440" w:rsidRPr="00A34F10" w:rsidRDefault="00976440" w:rsidP="00DC5685">
      <w:pPr>
        <w:tabs>
          <w:tab w:val="left" w:pos="720"/>
        </w:tabs>
        <w:spacing w:before="20"/>
        <w:jc w:val="both"/>
        <w:rPr>
          <w:b/>
          <w:bCs/>
          <w:color w:val="000000" w:themeColor="text1"/>
          <w:lang w:val="en-GB"/>
        </w:rPr>
      </w:pPr>
    </w:p>
    <w:p w14:paraId="3C83BE4E" w14:textId="77777777" w:rsidR="00DC5685" w:rsidRPr="00A34F10" w:rsidRDefault="00976440" w:rsidP="00976440">
      <w:pPr>
        <w:rPr>
          <w:lang w:val="en-GB"/>
        </w:rPr>
      </w:pPr>
      <w:r w:rsidRPr="00A34F10">
        <w:rPr>
          <w:lang w:val="en-GB"/>
        </w:rPr>
        <w:br w:type="page"/>
      </w:r>
    </w:p>
    <w:p w14:paraId="62562483" w14:textId="77777777" w:rsidR="00DC5685" w:rsidRPr="00A34F10" w:rsidRDefault="00DC5685" w:rsidP="00E05ECD">
      <w:pPr>
        <w:numPr>
          <w:ilvl w:val="0"/>
          <w:numId w:val="43"/>
        </w:numPr>
        <w:spacing w:before="240"/>
        <w:ind w:left="357" w:hanging="357"/>
        <w:contextualSpacing/>
        <w:rPr>
          <w:b/>
          <w:bCs/>
          <w:color w:val="000000" w:themeColor="text1"/>
          <w:lang w:val="en-GB"/>
        </w:rPr>
      </w:pPr>
      <w:r w:rsidRPr="00A34F10">
        <w:rPr>
          <w:b/>
          <w:bCs/>
          <w:szCs w:val="24"/>
          <w:lang w:val="en-GB"/>
        </w:rPr>
        <w:lastRenderedPageBreak/>
        <w:t>Test</w:t>
      </w:r>
      <w:r w:rsidRPr="00A34F10">
        <w:rPr>
          <w:b/>
          <w:bCs/>
          <w:color w:val="000000" w:themeColor="text1"/>
          <w:lang w:val="en-GB"/>
        </w:rPr>
        <w:t xml:space="preserve"> organism and treatment: </w:t>
      </w:r>
    </w:p>
    <w:p w14:paraId="1DC396A0"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Based on the results of a preliminary range finding test, five nominal test item concentrations </w:t>
      </w:r>
      <w:bookmarkStart w:id="1058" w:name="_Hlk42777325"/>
      <w:r w:rsidRPr="00A34F10">
        <w:rPr>
          <w:color w:val="000000" w:themeColor="text1"/>
          <w:lang w:val="en-GB"/>
        </w:rPr>
        <w:t>of 6.3, 13, 25, 50 and 100 µg a.s./L, corresponding to 4.7, 10, 18, 38 and 77 µg a.s./L mean measured concentration</w:t>
      </w:r>
      <w:bookmarkEnd w:id="1058"/>
      <w:r w:rsidRPr="00A34F10">
        <w:rPr>
          <w:color w:val="000000" w:themeColor="text1"/>
          <w:lang w:val="en-GB"/>
        </w:rPr>
        <w:t xml:space="preserve">, were selected for use in the study. An untreated dilution water control was tested in parallel. Four replicates were set up per treatment group, each containing 20 mysids (i.e. 80 mysids per treatment level and control), which were impartially selected and randomly distributed. Mysids were exposed to either the test item or the control for 28 days under flow-through conditions. </w:t>
      </w:r>
    </w:p>
    <w:p w14:paraId="73763437" w14:textId="77777777" w:rsidR="00DC5685" w:rsidRPr="00A34F10" w:rsidRDefault="00DC5685" w:rsidP="00DC5685">
      <w:pPr>
        <w:tabs>
          <w:tab w:val="left" w:pos="720"/>
        </w:tabs>
        <w:jc w:val="both"/>
        <w:rPr>
          <w:color w:val="000000" w:themeColor="text1"/>
          <w:lang w:val="en-GB"/>
        </w:rPr>
      </w:pPr>
    </w:p>
    <w:p w14:paraId="18BE15BF"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Prior to exposure initiation, an FLUID Metering, Inc (FMI) pump was calibrated to deliver 3.88 L/cycle of the 100 μg/L saturator column solution to the diluter system's mixing chamber. The mixing chamber was positioned over a magnetic stir plate which aided in the mixing of the stock solution. The solution contained in the mixing chamber constituted the highest nominal test concentration (at the functional solubility, expected to be approximately 100 μg a.s./L) and was subsequently diluted (50%) to provide the remaining nominal exposure concentrations (approximately 50, 25, 13 and 6.3 μg a.s./L). </w:t>
      </w:r>
    </w:p>
    <w:p w14:paraId="4F550C4A" w14:textId="77777777" w:rsidR="00DC5685" w:rsidRPr="00A34F10" w:rsidRDefault="00DC5685" w:rsidP="00DC5685">
      <w:pPr>
        <w:tabs>
          <w:tab w:val="left" w:pos="720"/>
        </w:tabs>
        <w:jc w:val="both"/>
        <w:rPr>
          <w:color w:val="000000" w:themeColor="text1"/>
          <w:lang w:val="en-GB"/>
        </w:rPr>
      </w:pPr>
    </w:p>
    <w:p w14:paraId="0CC54CCD" w14:textId="77777777" w:rsidR="00DC5685" w:rsidRPr="00A34F10" w:rsidRDefault="00DC5685" w:rsidP="00DC5685">
      <w:pPr>
        <w:tabs>
          <w:tab w:val="left" w:pos="720"/>
        </w:tabs>
        <w:jc w:val="both"/>
        <w:rPr>
          <w:rFonts w:eastAsia="Calibri"/>
          <w:color w:val="000000" w:themeColor="text1"/>
          <w:lang w:val="en-GB"/>
        </w:rPr>
      </w:pPr>
      <w:r w:rsidRPr="00A34F10">
        <w:rPr>
          <w:color w:val="000000" w:themeColor="text1"/>
          <w:lang w:val="en-GB"/>
        </w:rPr>
        <w:t>Mysids, ≤ 23.5 hours old, were divided among 24 unlabelled beakers. The beakers contained culture water and were held in a water bath maintained at approximately 25ºC. The organisms were impartially selected and distributed to the beakers by adding five organisms at a time to each beaker until all beakers contained five mysids. This process was repeated until each beaker contained 20 mysids. Each group of 20 mysids was then impartially transferred to one of the 24 labelled retention chambers. The exposure was initiated when the retention chambers were</w:t>
      </w:r>
      <w:r w:rsidRPr="00A34F10">
        <w:rPr>
          <w:rFonts w:eastAsia="Calibri"/>
          <w:color w:val="000000" w:themeColor="text1"/>
          <w:lang w:val="en-GB"/>
        </w:rPr>
        <w:t xml:space="preserve"> </w:t>
      </w:r>
      <w:r w:rsidRPr="00A34F10">
        <w:rPr>
          <w:color w:val="000000" w:themeColor="text1"/>
          <w:lang w:val="en-GB"/>
        </w:rPr>
        <w:t>placed in their respective exposure aquaria. Each exposure aquarium contained one retention chamber, yielding 20 mysids per replicate vessel and 80 organisms for each treatment level and the control.</w:t>
      </w:r>
      <w:r w:rsidRPr="00A34F10">
        <w:rPr>
          <w:rFonts w:eastAsia="Calibri"/>
          <w:color w:val="000000" w:themeColor="text1"/>
          <w:lang w:val="en-GB"/>
        </w:rPr>
        <w:t xml:space="preserve"> </w:t>
      </w:r>
    </w:p>
    <w:p w14:paraId="082006C1" w14:textId="77777777" w:rsidR="00DC5685" w:rsidRPr="00A34F10" w:rsidRDefault="00DC5685" w:rsidP="00DC5685">
      <w:pPr>
        <w:tabs>
          <w:tab w:val="left" w:pos="720"/>
        </w:tabs>
        <w:jc w:val="both"/>
        <w:rPr>
          <w:rFonts w:eastAsia="Calibri"/>
          <w:color w:val="000000" w:themeColor="text1"/>
          <w:lang w:val="en-GB"/>
        </w:rPr>
      </w:pPr>
    </w:p>
    <w:p w14:paraId="4FAFC905"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When sexual maturity was reached (day 12) one mature male and one mature female were randomly assigned to each of the pairing chambers (with a maximum of five male/female pairs per replicate).</w:t>
      </w:r>
    </w:p>
    <w:p w14:paraId="25BF936B" w14:textId="77777777" w:rsidR="00DC5685" w:rsidRPr="00A34F10" w:rsidRDefault="00DC5685" w:rsidP="00DC5685">
      <w:pPr>
        <w:tabs>
          <w:tab w:val="left" w:pos="720"/>
        </w:tabs>
        <w:jc w:val="both"/>
        <w:rPr>
          <w:color w:val="000000" w:themeColor="text1"/>
          <w:lang w:val="en-GB"/>
        </w:rPr>
      </w:pPr>
    </w:p>
    <w:p w14:paraId="4187381A"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The exposure period lasted for a total duration of 28 days. At the end of the test, mysids were euthanised before final measurements were taken. </w:t>
      </w:r>
    </w:p>
    <w:p w14:paraId="7B801B2D" w14:textId="77777777" w:rsidR="00DC5685" w:rsidRPr="00A34F10" w:rsidRDefault="00DC5685" w:rsidP="00DC5685">
      <w:pPr>
        <w:tabs>
          <w:tab w:val="left" w:pos="720"/>
        </w:tabs>
        <w:jc w:val="both"/>
        <w:rPr>
          <w:color w:val="000000" w:themeColor="text1"/>
          <w:lang w:val="en-GB"/>
        </w:rPr>
      </w:pPr>
    </w:p>
    <w:p w14:paraId="7C9F9677" w14:textId="77777777" w:rsidR="00DC5685" w:rsidRPr="00A34F10" w:rsidRDefault="00DC5685" w:rsidP="00E05ECD">
      <w:pPr>
        <w:numPr>
          <w:ilvl w:val="0"/>
          <w:numId w:val="43"/>
        </w:numPr>
        <w:spacing w:before="240"/>
        <w:ind w:left="357" w:hanging="357"/>
        <w:contextualSpacing/>
        <w:rPr>
          <w:b/>
          <w:bCs/>
          <w:color w:val="000000" w:themeColor="text1"/>
          <w:lang w:val="en-GB"/>
        </w:rPr>
      </w:pPr>
      <w:r w:rsidRPr="00A34F10">
        <w:rPr>
          <w:b/>
          <w:bCs/>
          <w:szCs w:val="24"/>
          <w:lang w:val="en-GB"/>
        </w:rPr>
        <w:t>Measurements</w:t>
      </w:r>
      <w:r w:rsidRPr="00A34F10">
        <w:rPr>
          <w:b/>
          <w:bCs/>
          <w:color w:val="000000" w:themeColor="text1"/>
          <w:lang w:val="en-GB"/>
        </w:rPr>
        <w:t xml:space="preserve"> and observations:</w:t>
      </w:r>
    </w:p>
    <w:p w14:paraId="115C3CA8"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For the F</w:t>
      </w:r>
      <w:r w:rsidRPr="00A34F10">
        <w:rPr>
          <w:color w:val="000000" w:themeColor="text1"/>
          <w:vertAlign w:val="subscript"/>
          <w:lang w:val="en-GB"/>
        </w:rPr>
        <w:t xml:space="preserve">0 </w:t>
      </w:r>
      <w:r w:rsidRPr="00A34F10">
        <w:rPr>
          <w:color w:val="000000" w:themeColor="text1"/>
          <w:lang w:val="en-GB"/>
        </w:rPr>
        <w:t>generation, the numbers of dead and living organisms were counted daily, and observations were made for abnormal appearances or behaviour. At the time an F</w:t>
      </w:r>
      <w:r w:rsidRPr="00A34F10">
        <w:rPr>
          <w:color w:val="000000" w:themeColor="text1"/>
          <w:vertAlign w:val="subscript"/>
          <w:lang w:val="en-GB"/>
        </w:rPr>
        <w:t>1</w:t>
      </w:r>
      <w:r w:rsidRPr="00A34F10">
        <w:rPr>
          <w:color w:val="000000" w:themeColor="text1"/>
          <w:lang w:val="en-GB"/>
        </w:rPr>
        <w:t xml:space="preserve"> generation pairing chamber was established and daily thereafter for 96 hours, observations of stress, abnormal behaviour (including discoloration, immobilisation and inability to maintain position in the water column), and survival were made.</w:t>
      </w:r>
    </w:p>
    <w:p w14:paraId="1A8FC263" w14:textId="77777777" w:rsidR="00DC5685" w:rsidRPr="00A34F10" w:rsidRDefault="00DC5685" w:rsidP="00DC5685">
      <w:pPr>
        <w:tabs>
          <w:tab w:val="left" w:pos="720"/>
        </w:tabs>
        <w:jc w:val="both"/>
        <w:rPr>
          <w:color w:val="000000" w:themeColor="text1"/>
          <w:lang w:val="en-GB"/>
        </w:rPr>
      </w:pPr>
    </w:p>
    <w:p w14:paraId="18212323"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At test termination, mysids were euthanised, removed from the test units, blotted dry and separated by sex for each replicate exposure level. A digital photograph was taken of each mysid for individual body length measurements. </w:t>
      </w:r>
    </w:p>
    <w:p w14:paraId="4A4DC104" w14:textId="77777777" w:rsidR="00DC5685" w:rsidRPr="00A34F10" w:rsidRDefault="00DC5685" w:rsidP="00DC5685">
      <w:pPr>
        <w:tabs>
          <w:tab w:val="left" w:pos="720"/>
        </w:tabs>
        <w:jc w:val="both"/>
        <w:rPr>
          <w:color w:val="000000" w:themeColor="text1"/>
          <w:lang w:val="en-GB"/>
        </w:rPr>
      </w:pPr>
    </w:p>
    <w:p w14:paraId="23F2A559"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Mysids were then dried in an oven at 60ºC for approximately 96 hours and then placed in a desiccator. Individual dry body weights were determined. </w:t>
      </w:r>
    </w:p>
    <w:p w14:paraId="2EBE1A94" w14:textId="77777777" w:rsidR="00DC5685" w:rsidRPr="00A34F10" w:rsidRDefault="00DC5685" w:rsidP="00DC5685">
      <w:pPr>
        <w:tabs>
          <w:tab w:val="left" w:pos="720"/>
        </w:tabs>
        <w:jc w:val="both"/>
        <w:rPr>
          <w:color w:val="000000" w:themeColor="text1"/>
          <w:lang w:val="en-GB"/>
        </w:rPr>
      </w:pPr>
    </w:p>
    <w:p w14:paraId="4E0E7209"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Reproductive success was calculated for each replicate aquarium as the total number of offspring produced per female. In addition, the percentage of actively reproducing females in each replicate of each treatment and the control was determined. </w:t>
      </w:r>
    </w:p>
    <w:p w14:paraId="1B39AE0B" w14:textId="77777777" w:rsidR="00DC5685" w:rsidRPr="00A34F10" w:rsidRDefault="00DC5685" w:rsidP="00DC5685">
      <w:pPr>
        <w:tabs>
          <w:tab w:val="left" w:pos="720"/>
        </w:tabs>
        <w:jc w:val="both"/>
        <w:rPr>
          <w:color w:val="000000" w:themeColor="text1"/>
          <w:lang w:val="en-GB"/>
        </w:rPr>
      </w:pPr>
    </w:p>
    <w:p w14:paraId="0ED6AF9F" w14:textId="206932E5" w:rsidR="00976440" w:rsidRPr="00A34F10" w:rsidRDefault="00DC5685" w:rsidP="00DC5685">
      <w:pPr>
        <w:tabs>
          <w:tab w:val="left" w:pos="720"/>
        </w:tabs>
        <w:jc w:val="both"/>
        <w:rPr>
          <w:color w:val="000000" w:themeColor="text1"/>
          <w:lang w:val="en-GB"/>
        </w:rPr>
      </w:pPr>
      <w:r w:rsidRPr="00A34F10">
        <w:rPr>
          <w:color w:val="000000" w:themeColor="text1"/>
          <w:lang w:val="en-GB"/>
        </w:rPr>
        <w:t xml:space="preserve">Temperature, dissolved oxygen, pH and salinity were measured in each replicate on day 0 and alternated between replicates daily thereafter throughout the exposure period for each treatment and control. Exposure solution temperature was also measured continuously in one control vessel. </w:t>
      </w:r>
    </w:p>
    <w:p w14:paraId="187DFAFA" w14:textId="654BAEA1" w:rsidR="00DC5685" w:rsidRPr="00A34F10" w:rsidRDefault="00976440" w:rsidP="00976440">
      <w:pPr>
        <w:rPr>
          <w:color w:val="000000" w:themeColor="text1"/>
          <w:lang w:val="en-GB"/>
        </w:rPr>
      </w:pPr>
      <w:r w:rsidRPr="00A34F10">
        <w:rPr>
          <w:lang w:val="en-GB"/>
        </w:rPr>
        <w:br w:type="page"/>
      </w:r>
      <w:r w:rsidR="00DC5685" w:rsidRPr="00A34F10">
        <w:rPr>
          <w:color w:val="000000" w:themeColor="text1"/>
          <w:lang w:val="en-GB"/>
        </w:rPr>
        <w:lastRenderedPageBreak/>
        <w:t xml:space="preserve">Prior to the start of the definitive exposure, samples were removed from one replicate of each treatment level and the control and analysed for BAS 650 F concentration. In addition, a sample of the saturator column solution was also analysed during the pre-test period. </w:t>
      </w:r>
    </w:p>
    <w:p w14:paraId="3411F7F4" w14:textId="77777777" w:rsidR="00DC5685" w:rsidRPr="00A34F10" w:rsidRDefault="00DC5685" w:rsidP="00DC5685">
      <w:pPr>
        <w:tabs>
          <w:tab w:val="left" w:pos="720"/>
        </w:tabs>
        <w:jc w:val="both"/>
        <w:rPr>
          <w:color w:val="000000" w:themeColor="text1"/>
          <w:lang w:val="en-GB"/>
        </w:rPr>
      </w:pPr>
    </w:p>
    <w:p w14:paraId="306208C9"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During the in-life phase of the study, samples were removed from alternating replicate solutions of each treatment level and control on days 0, 7, 8, 14, 21 and 28 for analysis of BAS 650 F concentrations. All samples were analysed using high pressure liquid chromatography with ultraviolet detection (HPLC/UV). </w:t>
      </w:r>
    </w:p>
    <w:p w14:paraId="3BF7C2E3" w14:textId="77777777" w:rsidR="00DC5685" w:rsidRPr="00A34F10" w:rsidRDefault="00DC5685" w:rsidP="00DC5685">
      <w:pPr>
        <w:tabs>
          <w:tab w:val="left" w:pos="720"/>
        </w:tabs>
        <w:jc w:val="both"/>
        <w:rPr>
          <w:color w:val="000000" w:themeColor="text1"/>
          <w:lang w:val="en-GB"/>
        </w:rPr>
      </w:pPr>
    </w:p>
    <w:p w14:paraId="2AFC5D53" w14:textId="77777777" w:rsidR="00DC5685" w:rsidRPr="00A34F10" w:rsidRDefault="00DC5685" w:rsidP="00E05ECD">
      <w:pPr>
        <w:numPr>
          <w:ilvl w:val="0"/>
          <w:numId w:val="43"/>
        </w:numPr>
        <w:spacing w:before="240"/>
        <w:ind w:left="357" w:hanging="357"/>
        <w:contextualSpacing/>
        <w:rPr>
          <w:b/>
          <w:bCs/>
          <w:color w:val="000000" w:themeColor="text1"/>
          <w:lang w:val="en-GB"/>
        </w:rPr>
      </w:pPr>
      <w:r w:rsidRPr="00A34F10">
        <w:rPr>
          <w:b/>
          <w:bCs/>
          <w:color w:val="000000" w:themeColor="text1"/>
          <w:lang w:val="en-GB"/>
        </w:rPr>
        <w:t xml:space="preserve">Statistical analysis: </w:t>
      </w:r>
    </w:p>
    <w:p w14:paraId="2E951158"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The endpoints used for determination of significant adverse effect on F</w:t>
      </w:r>
      <w:r w:rsidRPr="00A34F10">
        <w:rPr>
          <w:color w:val="000000" w:themeColor="text1"/>
          <w:vertAlign w:val="subscript"/>
          <w:lang w:val="en-GB"/>
        </w:rPr>
        <w:t>0</w:t>
      </w:r>
      <w:r w:rsidRPr="00A34F10">
        <w:rPr>
          <w:color w:val="000000" w:themeColor="text1"/>
          <w:lang w:val="en-GB"/>
        </w:rPr>
        <w:t xml:space="preserve"> organisms included 28-day survival, male and female survival, growth (average dry body weight and average total body length) of both male and female mysids and reproduction (number of young released per female). The assumption that observations are normally distributed and homogeneous must be validated before parametric procedures can be performed. If the data are not normally distributed, then a non-parametric procedure is used for subsequent analyses. All endpoints were assessed in this fashion with the exception of survival endpoints (e.g., 28-day survival, male and female survival and F</w:t>
      </w:r>
      <w:r w:rsidRPr="00A34F10">
        <w:rPr>
          <w:color w:val="000000" w:themeColor="text1"/>
          <w:vertAlign w:val="subscript"/>
          <w:lang w:val="en-GB"/>
        </w:rPr>
        <w:t>1</w:t>
      </w:r>
      <w:r w:rsidRPr="00A34F10">
        <w:rPr>
          <w:color w:val="000000" w:themeColor="text1"/>
          <w:lang w:val="en-GB"/>
        </w:rPr>
        <w:t xml:space="preserve"> survival).</w:t>
      </w:r>
      <w:r w:rsidRPr="00A34F10">
        <w:rPr>
          <w:rFonts w:eastAsia="Calibri"/>
          <w:color w:val="000000" w:themeColor="text1"/>
          <w:lang w:val="en-GB"/>
        </w:rPr>
        <w:t xml:space="preserve"> </w:t>
      </w:r>
      <w:r w:rsidRPr="00A34F10">
        <w:rPr>
          <w:color w:val="000000" w:themeColor="text1"/>
          <w:lang w:val="en-GB"/>
        </w:rPr>
        <w:t>Since the survival endpoints are binominal data, the Shapiro-Wilk’s test was used to check data for normality and the Bartlett’s test was used to check data for homogeneity of variance. All endpoints met the assumptions of normal distribution and homogeneity, therefore the Dunnett’s T3 Multiple Comparison Test or Dunnett's Multiple Comparison Test was used to evaluate the data.</w:t>
      </w:r>
      <w:r w:rsidRPr="00A34F10">
        <w:rPr>
          <w:rFonts w:eastAsia="Calibri"/>
          <w:color w:val="000000" w:themeColor="text1"/>
          <w:lang w:val="en-GB"/>
        </w:rPr>
        <w:t xml:space="preserve"> </w:t>
      </w:r>
      <w:r w:rsidRPr="00A34F10">
        <w:rPr>
          <w:color w:val="000000" w:themeColor="text1"/>
          <w:lang w:val="en-GB"/>
        </w:rPr>
        <w:t>CETISTM (Ives, 2011) was used to perform the statistical computations.</w:t>
      </w:r>
    </w:p>
    <w:p w14:paraId="27C72ECB" w14:textId="77777777" w:rsidR="00DC5685" w:rsidRPr="00A34F10" w:rsidRDefault="00DC5685" w:rsidP="00DC5685">
      <w:pPr>
        <w:tabs>
          <w:tab w:val="left" w:pos="720"/>
        </w:tabs>
        <w:jc w:val="both"/>
        <w:rPr>
          <w:color w:val="000000" w:themeColor="text1"/>
          <w:lang w:val="en-GB"/>
        </w:rPr>
      </w:pPr>
    </w:p>
    <w:p w14:paraId="1F5AE2B6" w14:textId="77777777" w:rsidR="00DC5685" w:rsidRPr="00A34F10" w:rsidRDefault="00DC5685" w:rsidP="00E05ECD">
      <w:pPr>
        <w:numPr>
          <w:ilvl w:val="0"/>
          <w:numId w:val="43"/>
        </w:numPr>
        <w:spacing w:before="240"/>
        <w:ind w:left="357" w:hanging="357"/>
        <w:contextualSpacing/>
        <w:rPr>
          <w:b/>
          <w:bCs/>
          <w:color w:val="000000" w:themeColor="text1"/>
          <w:lang w:val="en-GB"/>
        </w:rPr>
      </w:pPr>
      <w:r w:rsidRPr="00A34F10">
        <w:rPr>
          <w:b/>
          <w:bCs/>
          <w:color w:val="000000" w:themeColor="text1"/>
          <w:lang w:val="en-GB"/>
        </w:rPr>
        <w:t>Description of the analytical procedures</w:t>
      </w:r>
    </w:p>
    <w:p w14:paraId="7CB82619" w14:textId="5F470E66" w:rsidR="00976440" w:rsidRDefault="00DC5685" w:rsidP="00DC5685">
      <w:pPr>
        <w:autoSpaceDE w:val="0"/>
        <w:autoSpaceDN w:val="0"/>
        <w:adjustRightInd w:val="0"/>
        <w:spacing w:line="247" w:lineRule="auto"/>
        <w:jc w:val="both"/>
        <w:rPr>
          <w:rFonts w:eastAsia="Calibri"/>
          <w:color w:val="000000" w:themeColor="text1"/>
        </w:rPr>
      </w:pPr>
      <w:bookmarkStart w:id="1059" w:name="_Hlk135256966"/>
      <w:r w:rsidRPr="00A34F10">
        <w:rPr>
          <w:rFonts w:eastAsia="Calibri"/>
          <w:color w:val="000000" w:themeColor="text1"/>
        </w:rPr>
        <w:t>Methodology was validated to quantify the amount of BAS 650 F present in recovery samples prepared in filtered seawater. Recovery samples were diluted to a final composition of 20:80 acetonitrile:water and analyzed by automated injection on a high-performance liquid chromatographic system equipped with ultraviolet detection (HPLC/UV). This method was validated by fortification of filtered seawater with BAS 650 F at concentrations of 0.00500, 0.100 and 1.00 mg a.s./L. Three replicate dilutions were analyzed for each selected application solution. Recoveries averaged 99.1% ± 8.91% with a limit of quantitation of 0.00130 mg a.s./L. Defined limits for acceptance of quality control sample performance in subsequent studies were set at 80 to 120%. The mean recovery was 99.1% with a standard deviation of 8.91%. The limit of quantitation was 0.00130 mg a.s./L.</w:t>
      </w:r>
    </w:p>
    <w:p w14:paraId="49F906F1" w14:textId="77777777" w:rsidR="003347E3" w:rsidRPr="00A34F10" w:rsidRDefault="003347E3" w:rsidP="00DC5685">
      <w:pPr>
        <w:autoSpaceDE w:val="0"/>
        <w:autoSpaceDN w:val="0"/>
        <w:adjustRightInd w:val="0"/>
        <w:spacing w:line="247" w:lineRule="auto"/>
        <w:jc w:val="both"/>
        <w:rPr>
          <w:rFonts w:eastAsia="Calibri"/>
          <w:color w:val="000000" w:themeColor="text1"/>
        </w:rPr>
      </w:pPr>
    </w:p>
    <w:bookmarkEnd w:id="1059"/>
    <w:p w14:paraId="252B524A" w14:textId="77777777" w:rsidR="00DC5685" w:rsidRPr="00A34F10" w:rsidRDefault="00DC5685" w:rsidP="00E05ECD">
      <w:pPr>
        <w:numPr>
          <w:ilvl w:val="0"/>
          <w:numId w:val="36"/>
        </w:numPr>
        <w:tabs>
          <w:tab w:val="left" w:pos="720"/>
        </w:tabs>
        <w:spacing w:after="160" w:line="259" w:lineRule="auto"/>
        <w:rPr>
          <w:color w:val="000000" w:themeColor="text1"/>
          <w:lang w:val="en-GB"/>
        </w:rPr>
      </w:pPr>
      <w:r w:rsidRPr="00A34F10">
        <w:rPr>
          <w:b/>
          <w:bCs/>
          <w:color w:val="000000" w:themeColor="text1"/>
          <w:lang w:val="en-GB"/>
        </w:rPr>
        <w:t>RESULTS AND DISCUSSION</w:t>
      </w:r>
    </w:p>
    <w:p w14:paraId="0A009F87" w14:textId="77777777" w:rsidR="00DC5685" w:rsidRPr="00A34F10" w:rsidRDefault="00DC5685" w:rsidP="00E05ECD">
      <w:pPr>
        <w:numPr>
          <w:ilvl w:val="0"/>
          <w:numId w:val="42"/>
        </w:numPr>
        <w:contextualSpacing/>
        <w:rPr>
          <w:color w:val="000000" w:themeColor="text1"/>
          <w:lang w:val="en-GB"/>
        </w:rPr>
      </w:pPr>
      <w:r w:rsidRPr="00A34F10">
        <w:rPr>
          <w:b/>
          <w:bCs/>
          <w:color w:val="000000" w:themeColor="text1"/>
          <w:lang w:val="en-GB"/>
        </w:rPr>
        <w:t>BIOLOGICAL EFFECTS</w:t>
      </w:r>
      <w:r w:rsidRPr="00A34F10">
        <w:rPr>
          <w:b/>
          <w:bCs/>
          <w:caps/>
          <w:color w:val="000000" w:themeColor="text1"/>
          <w:szCs w:val="24"/>
          <w:lang w:val="en-GB"/>
        </w:rPr>
        <w:t xml:space="preserve"> </w:t>
      </w:r>
    </w:p>
    <w:p w14:paraId="54F4ABD3" w14:textId="77777777" w:rsidR="00DC5685" w:rsidRPr="00A34F10" w:rsidRDefault="00DC5685" w:rsidP="00DC5685">
      <w:pPr>
        <w:contextualSpacing/>
        <w:rPr>
          <w:color w:val="000000" w:themeColor="text1"/>
          <w:lang w:val="en-GB"/>
        </w:rPr>
      </w:pPr>
    </w:p>
    <w:p w14:paraId="497096D1" w14:textId="3F9CF41E" w:rsidR="00DC5685" w:rsidRPr="00A34F10" w:rsidRDefault="00DC5685" w:rsidP="00DC5685">
      <w:pPr>
        <w:contextualSpacing/>
        <w:rPr>
          <w:color w:val="000000" w:themeColor="text1"/>
          <w:lang w:val="en-GB"/>
        </w:rPr>
      </w:pPr>
      <w:r w:rsidRPr="00A34F10">
        <w:rPr>
          <w:color w:val="000000" w:themeColor="text1"/>
          <w:lang w:val="en-GB"/>
        </w:rPr>
        <w:t>No behavioural abnormalities were observed during the exposure period at any test item concentration. At test termination, Fisher’s Exact Test with Bonferroni-Holm’s Adjustment determined no significant difference in male and female survival among organisms exposed to any of the treatment levels tested compared to the control data. Results are summarised in</w:t>
      </w:r>
      <w:r w:rsidR="00EA3876">
        <w:rPr>
          <w:color w:val="000000" w:themeColor="text1"/>
          <w:lang w:val="en-GB"/>
        </w:rPr>
        <w:t xml:space="preserve"> </w:t>
      </w:r>
      <w:r w:rsidR="00EA3876">
        <w:rPr>
          <w:color w:val="000000" w:themeColor="text1"/>
          <w:lang w:val="en-GB"/>
        </w:rPr>
        <w:fldChar w:fldCharType="begin"/>
      </w:r>
      <w:r w:rsidR="00EA3876">
        <w:rPr>
          <w:color w:val="000000" w:themeColor="text1"/>
          <w:lang w:val="en-GB"/>
        </w:rPr>
        <w:instrText xml:space="preserve"> REF _Ref147905898 \h </w:instrText>
      </w:r>
      <w:r w:rsidR="00EA3876">
        <w:rPr>
          <w:color w:val="000000" w:themeColor="text1"/>
          <w:lang w:val="en-GB"/>
        </w:rPr>
      </w:r>
      <w:r w:rsidR="00EA3876">
        <w:rPr>
          <w:color w:val="000000" w:themeColor="text1"/>
          <w:lang w:val="en-GB"/>
        </w:rPr>
        <w:fldChar w:fldCharType="separate"/>
      </w:r>
      <w:r w:rsidR="006F0F3B">
        <w:t xml:space="preserve">Table A </w:t>
      </w:r>
      <w:r w:rsidR="006F0F3B">
        <w:rPr>
          <w:noProof/>
        </w:rPr>
        <w:t>26</w:t>
      </w:r>
      <w:r w:rsidR="00EA3876">
        <w:rPr>
          <w:color w:val="000000" w:themeColor="text1"/>
          <w:lang w:val="en-GB"/>
        </w:rPr>
        <w:fldChar w:fldCharType="end"/>
      </w:r>
      <w:r w:rsidRPr="00A34F10">
        <w:rPr>
          <w:color w:val="000000" w:themeColor="text1"/>
          <w:lang w:val="en-GB"/>
        </w:rPr>
        <w:t>.</w:t>
      </w:r>
    </w:p>
    <w:p w14:paraId="04574C90" w14:textId="77777777" w:rsidR="00976440" w:rsidRPr="00A34F10" w:rsidRDefault="00976440" w:rsidP="00DC5685">
      <w:pPr>
        <w:tabs>
          <w:tab w:val="left" w:pos="720"/>
        </w:tabs>
        <w:jc w:val="both"/>
        <w:rPr>
          <w:b/>
          <w:bCs/>
          <w:color w:val="000000" w:themeColor="text1"/>
          <w:lang w:val="en-GB"/>
        </w:rPr>
      </w:pPr>
    </w:p>
    <w:p w14:paraId="3B9BCBCA" w14:textId="68237821" w:rsidR="00DC5685" w:rsidRPr="00A34F10" w:rsidRDefault="00EA3876" w:rsidP="00EA3876">
      <w:pPr>
        <w:pStyle w:val="Legenda"/>
        <w:rPr>
          <w:highlight w:val="yellow"/>
        </w:rPr>
      </w:pPr>
      <w:bookmarkStart w:id="1060" w:name="_Ref147905898"/>
      <w:r>
        <w:t xml:space="preserve">Table A </w:t>
      </w:r>
      <w:r>
        <w:fldChar w:fldCharType="begin"/>
      </w:r>
      <w:r>
        <w:instrText xml:space="preserve"> SEQ Table_A \* ARABIC </w:instrText>
      </w:r>
      <w:r>
        <w:fldChar w:fldCharType="separate"/>
      </w:r>
      <w:r w:rsidR="006F0F3B">
        <w:rPr>
          <w:noProof/>
        </w:rPr>
        <w:t>26</w:t>
      </w:r>
      <w:r>
        <w:fldChar w:fldCharType="end"/>
      </w:r>
      <w:bookmarkEnd w:id="1060"/>
      <w:r w:rsidR="00976440" w:rsidRPr="00A34F10">
        <w:t>:</w:t>
      </w:r>
      <w:r w:rsidR="00976440" w:rsidRPr="00A34F10">
        <w:tab/>
      </w:r>
      <w:r w:rsidR="00DC5685" w:rsidRPr="00BB63B3">
        <w:t>Summary</w:t>
      </w:r>
      <w:r w:rsidR="00DC5685" w:rsidRPr="00A34F10">
        <w:t xml:space="preserve"> of the first generation (F</w:t>
      </w:r>
      <w:r w:rsidR="00DC5685" w:rsidRPr="00A34F10">
        <w:rPr>
          <w:vertAlign w:val="subscript"/>
        </w:rPr>
        <w:t>0</w:t>
      </w:r>
      <w:r w:rsidR="00DC5685" w:rsidRPr="00A34F10">
        <w:t>) survival at termination</w:t>
      </w:r>
    </w:p>
    <w:tbl>
      <w:tblPr>
        <w:tblStyle w:val="TableGrid41"/>
        <w:tblW w:w="5000" w:type="pct"/>
        <w:tblLook w:val="04A0" w:firstRow="1" w:lastRow="0" w:firstColumn="1" w:lastColumn="0" w:noHBand="0" w:noVBand="1"/>
      </w:tblPr>
      <w:tblGrid>
        <w:gridCol w:w="2336"/>
        <w:gridCol w:w="2336"/>
        <w:gridCol w:w="2336"/>
        <w:gridCol w:w="2336"/>
      </w:tblGrid>
      <w:tr w:rsidR="00DC5685" w:rsidRPr="00A34F10" w14:paraId="685F686F" w14:textId="77777777" w:rsidTr="000470C3">
        <w:tc>
          <w:tcPr>
            <w:tcW w:w="1250" w:type="pct"/>
            <w:vAlign w:val="center"/>
          </w:tcPr>
          <w:p w14:paraId="62E5CF3C"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measured concentration (µg a.s./L)</w:t>
            </w:r>
          </w:p>
        </w:tc>
        <w:tc>
          <w:tcPr>
            <w:tcW w:w="1250" w:type="pct"/>
            <w:vAlign w:val="center"/>
          </w:tcPr>
          <w:p w14:paraId="254C1C3F"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male survival ± SD (%)</w:t>
            </w:r>
            <w:r w:rsidRPr="00A34F10">
              <w:rPr>
                <w:b/>
                <w:color w:val="000000" w:themeColor="text1"/>
                <w:sz w:val="20"/>
                <w:szCs w:val="20"/>
                <w:vertAlign w:val="superscript"/>
                <w:lang w:val="en-GB"/>
              </w:rPr>
              <w:t>a</w:t>
            </w:r>
          </w:p>
        </w:tc>
        <w:tc>
          <w:tcPr>
            <w:tcW w:w="1250" w:type="pct"/>
            <w:vAlign w:val="center"/>
          </w:tcPr>
          <w:p w14:paraId="73E4627E"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female survival ± SD (%)</w:t>
            </w:r>
            <w:r w:rsidRPr="00A34F10">
              <w:rPr>
                <w:b/>
                <w:color w:val="000000" w:themeColor="text1"/>
                <w:sz w:val="20"/>
                <w:szCs w:val="20"/>
                <w:vertAlign w:val="superscript"/>
                <w:lang w:val="en-GB"/>
              </w:rPr>
              <w:t>a</w:t>
            </w:r>
          </w:p>
        </w:tc>
        <w:tc>
          <w:tcPr>
            <w:tcW w:w="1250" w:type="pct"/>
            <w:vAlign w:val="center"/>
          </w:tcPr>
          <w:p w14:paraId="1BA3722A"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28-day survival ± SD (%)</w:t>
            </w:r>
            <w:r w:rsidRPr="00A34F10">
              <w:rPr>
                <w:b/>
                <w:color w:val="000000" w:themeColor="text1"/>
                <w:sz w:val="20"/>
                <w:szCs w:val="20"/>
                <w:vertAlign w:val="superscript"/>
                <w:lang w:val="en-GB"/>
              </w:rPr>
              <w:t>b</w:t>
            </w:r>
          </w:p>
        </w:tc>
      </w:tr>
      <w:tr w:rsidR="00DC5685" w:rsidRPr="00A34F10" w14:paraId="58C8EF80" w14:textId="77777777" w:rsidTr="000470C3">
        <w:tc>
          <w:tcPr>
            <w:tcW w:w="1250" w:type="pct"/>
            <w:vAlign w:val="center"/>
          </w:tcPr>
          <w:p w14:paraId="2F36467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Control</w:t>
            </w:r>
          </w:p>
        </w:tc>
        <w:tc>
          <w:tcPr>
            <w:tcW w:w="1250" w:type="pct"/>
            <w:vAlign w:val="center"/>
          </w:tcPr>
          <w:p w14:paraId="503AECE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80 ± 18</w:t>
            </w:r>
          </w:p>
        </w:tc>
        <w:tc>
          <w:tcPr>
            <w:tcW w:w="1250" w:type="pct"/>
            <w:vAlign w:val="center"/>
          </w:tcPr>
          <w:p w14:paraId="7F9FE675"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86 ± 16</w:t>
            </w:r>
          </w:p>
        </w:tc>
        <w:tc>
          <w:tcPr>
            <w:tcW w:w="1250" w:type="pct"/>
            <w:vAlign w:val="center"/>
          </w:tcPr>
          <w:p w14:paraId="345916B5"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 ± 16</w:t>
            </w:r>
          </w:p>
        </w:tc>
      </w:tr>
      <w:tr w:rsidR="00DC5685" w:rsidRPr="00A34F10" w14:paraId="7B6892D3" w14:textId="77777777" w:rsidTr="000470C3">
        <w:tc>
          <w:tcPr>
            <w:tcW w:w="1250" w:type="pct"/>
            <w:vAlign w:val="center"/>
          </w:tcPr>
          <w:p w14:paraId="2F98E1DC"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4.7</w:t>
            </w:r>
          </w:p>
        </w:tc>
        <w:tc>
          <w:tcPr>
            <w:tcW w:w="1250" w:type="pct"/>
            <w:vAlign w:val="center"/>
          </w:tcPr>
          <w:p w14:paraId="171D7F07"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89 ± 9</w:t>
            </w:r>
          </w:p>
        </w:tc>
        <w:tc>
          <w:tcPr>
            <w:tcW w:w="1250" w:type="pct"/>
            <w:vAlign w:val="center"/>
          </w:tcPr>
          <w:p w14:paraId="619EFBA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91 ± 10</w:t>
            </w:r>
          </w:p>
        </w:tc>
        <w:tc>
          <w:tcPr>
            <w:tcW w:w="1250" w:type="pct"/>
            <w:vAlign w:val="center"/>
          </w:tcPr>
          <w:p w14:paraId="2B29BDF1"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 ± 16</w:t>
            </w:r>
          </w:p>
        </w:tc>
      </w:tr>
      <w:tr w:rsidR="00DC5685" w:rsidRPr="00A34F10" w14:paraId="1C3F4D9D" w14:textId="77777777" w:rsidTr="000470C3">
        <w:tc>
          <w:tcPr>
            <w:tcW w:w="1250" w:type="pct"/>
            <w:vAlign w:val="center"/>
          </w:tcPr>
          <w:p w14:paraId="75D5A568"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w:t>
            </w:r>
          </w:p>
        </w:tc>
        <w:tc>
          <w:tcPr>
            <w:tcW w:w="1250" w:type="pct"/>
            <w:vAlign w:val="center"/>
          </w:tcPr>
          <w:p w14:paraId="20377142"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73 ± 9</w:t>
            </w:r>
          </w:p>
        </w:tc>
        <w:tc>
          <w:tcPr>
            <w:tcW w:w="1250" w:type="pct"/>
            <w:vAlign w:val="center"/>
          </w:tcPr>
          <w:p w14:paraId="0A00A8C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78 ± 18</w:t>
            </w:r>
          </w:p>
        </w:tc>
        <w:tc>
          <w:tcPr>
            <w:tcW w:w="1250" w:type="pct"/>
            <w:vAlign w:val="center"/>
          </w:tcPr>
          <w:p w14:paraId="5658804F"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60 ± 7</w:t>
            </w:r>
          </w:p>
        </w:tc>
      </w:tr>
      <w:tr w:rsidR="00DC5685" w:rsidRPr="00A34F10" w14:paraId="2E4AA476" w14:textId="77777777" w:rsidTr="000470C3">
        <w:tc>
          <w:tcPr>
            <w:tcW w:w="1250" w:type="pct"/>
            <w:vAlign w:val="center"/>
          </w:tcPr>
          <w:p w14:paraId="43913DA0"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18</w:t>
            </w:r>
          </w:p>
        </w:tc>
        <w:tc>
          <w:tcPr>
            <w:tcW w:w="1250" w:type="pct"/>
            <w:vAlign w:val="center"/>
          </w:tcPr>
          <w:p w14:paraId="35F608CE"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 ± 12</w:t>
            </w:r>
          </w:p>
        </w:tc>
        <w:tc>
          <w:tcPr>
            <w:tcW w:w="1250" w:type="pct"/>
            <w:vAlign w:val="center"/>
          </w:tcPr>
          <w:p w14:paraId="3ABC8CF8"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81 ± 5</w:t>
            </w:r>
          </w:p>
        </w:tc>
        <w:tc>
          <w:tcPr>
            <w:tcW w:w="1250" w:type="pct"/>
            <w:vAlign w:val="center"/>
          </w:tcPr>
          <w:p w14:paraId="6E78E088"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70 ± 10</w:t>
            </w:r>
          </w:p>
        </w:tc>
      </w:tr>
      <w:tr w:rsidR="00DC5685" w:rsidRPr="00A34F10" w14:paraId="5E5D92C5" w14:textId="77777777" w:rsidTr="000470C3">
        <w:tc>
          <w:tcPr>
            <w:tcW w:w="1250" w:type="pct"/>
            <w:vAlign w:val="center"/>
          </w:tcPr>
          <w:p w14:paraId="009421CE"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38</w:t>
            </w:r>
          </w:p>
        </w:tc>
        <w:tc>
          <w:tcPr>
            <w:tcW w:w="1250" w:type="pct"/>
            <w:vAlign w:val="center"/>
          </w:tcPr>
          <w:p w14:paraId="4DE194A2"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65 ± 27</w:t>
            </w:r>
          </w:p>
        </w:tc>
        <w:tc>
          <w:tcPr>
            <w:tcW w:w="1250" w:type="pct"/>
            <w:vAlign w:val="center"/>
          </w:tcPr>
          <w:p w14:paraId="620FD88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76 ± 9</w:t>
            </w:r>
          </w:p>
        </w:tc>
        <w:tc>
          <w:tcPr>
            <w:tcW w:w="1250" w:type="pct"/>
            <w:vAlign w:val="center"/>
          </w:tcPr>
          <w:p w14:paraId="14F38C64"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58 ± 15</w:t>
            </w:r>
          </w:p>
        </w:tc>
      </w:tr>
      <w:tr w:rsidR="00DC5685" w:rsidRPr="00A34F10" w14:paraId="0DCBF905" w14:textId="77777777" w:rsidTr="000470C3">
        <w:tc>
          <w:tcPr>
            <w:tcW w:w="1250" w:type="pct"/>
            <w:vAlign w:val="center"/>
          </w:tcPr>
          <w:p w14:paraId="46D4837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w:t>
            </w:r>
          </w:p>
        </w:tc>
        <w:tc>
          <w:tcPr>
            <w:tcW w:w="1250" w:type="pct"/>
            <w:vAlign w:val="center"/>
          </w:tcPr>
          <w:p w14:paraId="61C4DF72"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94 ± 13</w:t>
            </w:r>
          </w:p>
        </w:tc>
        <w:tc>
          <w:tcPr>
            <w:tcW w:w="1250" w:type="pct"/>
            <w:vAlign w:val="center"/>
          </w:tcPr>
          <w:p w14:paraId="58BD097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93 ± 8</w:t>
            </w:r>
          </w:p>
        </w:tc>
        <w:tc>
          <w:tcPr>
            <w:tcW w:w="1250" w:type="pct"/>
            <w:vAlign w:val="center"/>
          </w:tcPr>
          <w:p w14:paraId="67219131"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78 ± 12</w:t>
            </w:r>
          </w:p>
        </w:tc>
      </w:tr>
    </w:tbl>
    <w:p w14:paraId="651CDDBA" w14:textId="77777777" w:rsidR="00DC5685" w:rsidRPr="00A34F10" w:rsidRDefault="00DC5685" w:rsidP="00DC5685">
      <w:pPr>
        <w:tabs>
          <w:tab w:val="left" w:pos="720"/>
        </w:tabs>
        <w:jc w:val="both"/>
        <w:rPr>
          <w:color w:val="000000" w:themeColor="text1"/>
          <w:sz w:val="18"/>
          <w:szCs w:val="18"/>
          <w:lang w:val="en-GB"/>
        </w:rPr>
      </w:pPr>
      <w:r w:rsidRPr="00A34F10">
        <w:rPr>
          <w:color w:val="000000" w:themeColor="text1"/>
          <w:sz w:val="18"/>
          <w:szCs w:val="18"/>
          <w:vertAlign w:val="superscript"/>
          <w:lang w:val="en-GB"/>
        </w:rPr>
        <w:t>a</w:t>
      </w:r>
      <w:r w:rsidRPr="00A34F10">
        <w:rPr>
          <w:color w:val="000000" w:themeColor="text1"/>
          <w:sz w:val="18"/>
          <w:szCs w:val="18"/>
          <w:lang w:val="en-GB"/>
        </w:rPr>
        <w:t xml:space="preserve"> Calculations of male and female survival began after pairing (day 12)</w:t>
      </w:r>
    </w:p>
    <w:p w14:paraId="1F730928" w14:textId="77777777" w:rsidR="00DC5685" w:rsidRPr="00A34F10" w:rsidRDefault="00DC5685" w:rsidP="00DC5685">
      <w:pPr>
        <w:tabs>
          <w:tab w:val="left" w:pos="720"/>
        </w:tabs>
        <w:jc w:val="both"/>
        <w:rPr>
          <w:color w:val="000000" w:themeColor="text1"/>
          <w:sz w:val="18"/>
          <w:szCs w:val="18"/>
          <w:lang w:val="en-GB"/>
        </w:rPr>
      </w:pPr>
      <w:r w:rsidRPr="00A34F10">
        <w:rPr>
          <w:color w:val="000000" w:themeColor="text1"/>
          <w:sz w:val="18"/>
          <w:szCs w:val="18"/>
          <w:vertAlign w:val="superscript"/>
          <w:lang w:val="en-GB"/>
        </w:rPr>
        <w:t>b</w:t>
      </w:r>
      <w:r w:rsidRPr="00A34F10">
        <w:rPr>
          <w:color w:val="000000" w:themeColor="text1"/>
          <w:sz w:val="18"/>
          <w:szCs w:val="18"/>
          <w:lang w:val="en-GB"/>
        </w:rPr>
        <w:t xml:space="preserve"> 28-day survival is the overall survival throughout the exposure and does not differentiate by gender.</w:t>
      </w:r>
    </w:p>
    <w:p w14:paraId="1B32FC2E" w14:textId="2420E331" w:rsidR="00DC5685" w:rsidRPr="00A34F10" w:rsidRDefault="00DC5685" w:rsidP="00DC5685">
      <w:pPr>
        <w:tabs>
          <w:tab w:val="left" w:pos="720"/>
        </w:tabs>
        <w:spacing w:after="360"/>
        <w:jc w:val="both"/>
        <w:rPr>
          <w:color w:val="000000" w:themeColor="text1"/>
          <w:sz w:val="18"/>
          <w:szCs w:val="18"/>
          <w:lang w:val="en-GB"/>
        </w:rPr>
      </w:pPr>
      <w:r w:rsidRPr="00A34F10">
        <w:rPr>
          <w:color w:val="000000" w:themeColor="text1"/>
          <w:sz w:val="18"/>
          <w:szCs w:val="18"/>
          <w:lang w:val="en-GB"/>
        </w:rPr>
        <w:t>SD: standard deviation</w:t>
      </w:r>
    </w:p>
    <w:p w14:paraId="1CB88F17" w14:textId="77777777" w:rsidR="00976440" w:rsidRPr="00A34F10" w:rsidRDefault="00976440" w:rsidP="00DC5685">
      <w:pPr>
        <w:tabs>
          <w:tab w:val="left" w:pos="720"/>
        </w:tabs>
        <w:spacing w:after="360"/>
        <w:jc w:val="both"/>
        <w:rPr>
          <w:color w:val="000000" w:themeColor="text1"/>
          <w:sz w:val="18"/>
          <w:szCs w:val="18"/>
          <w:lang w:val="en-GB"/>
        </w:rPr>
      </w:pPr>
    </w:p>
    <w:p w14:paraId="0E01307A" w14:textId="4B49466D" w:rsidR="00DC5685" w:rsidRPr="00A34F10" w:rsidRDefault="00DC5685" w:rsidP="00DC5685">
      <w:pPr>
        <w:tabs>
          <w:tab w:val="left" w:pos="720"/>
        </w:tabs>
        <w:jc w:val="both"/>
        <w:rPr>
          <w:color w:val="000000" w:themeColor="text1"/>
          <w:lang w:val="en-GB"/>
        </w:rPr>
      </w:pPr>
      <w:r w:rsidRPr="00A34F10">
        <w:rPr>
          <w:color w:val="000000" w:themeColor="text1"/>
          <w:lang w:val="en-GB"/>
        </w:rPr>
        <w:t>Following 28 days of exposure, no significant difference in mean percentage of females producing young and mean number of offspring per female were determined when compared to the control Results are presented in</w:t>
      </w:r>
      <w:r w:rsidR="00E165B2">
        <w:rPr>
          <w:color w:val="000000" w:themeColor="text1"/>
          <w:lang w:val="en-GB"/>
        </w:rPr>
        <w:t xml:space="preserve"> </w:t>
      </w:r>
      <w:r w:rsidR="00E165B2">
        <w:rPr>
          <w:color w:val="000000" w:themeColor="text1"/>
          <w:lang w:val="en-GB"/>
        </w:rPr>
        <w:fldChar w:fldCharType="begin"/>
      </w:r>
      <w:r w:rsidR="00E165B2">
        <w:rPr>
          <w:color w:val="000000" w:themeColor="text1"/>
          <w:lang w:val="en-GB"/>
        </w:rPr>
        <w:instrText xml:space="preserve"> REF _Ref147905950 \h </w:instrText>
      </w:r>
      <w:r w:rsidR="00E165B2">
        <w:rPr>
          <w:color w:val="000000" w:themeColor="text1"/>
          <w:lang w:val="en-GB"/>
        </w:rPr>
      </w:r>
      <w:r w:rsidR="00E165B2">
        <w:rPr>
          <w:color w:val="000000" w:themeColor="text1"/>
          <w:lang w:val="en-GB"/>
        </w:rPr>
        <w:fldChar w:fldCharType="separate"/>
      </w:r>
      <w:r w:rsidR="006F0F3B">
        <w:t xml:space="preserve">Table A </w:t>
      </w:r>
      <w:r w:rsidR="006F0F3B">
        <w:rPr>
          <w:noProof/>
        </w:rPr>
        <w:t>27</w:t>
      </w:r>
      <w:r w:rsidR="00E165B2">
        <w:rPr>
          <w:color w:val="000000" w:themeColor="text1"/>
          <w:lang w:val="en-GB"/>
        </w:rPr>
        <w:fldChar w:fldCharType="end"/>
      </w:r>
      <w:r w:rsidRPr="00A34F10">
        <w:rPr>
          <w:color w:val="000000" w:themeColor="text1"/>
          <w:lang w:val="en-GB"/>
        </w:rPr>
        <w:t>.</w:t>
      </w:r>
    </w:p>
    <w:p w14:paraId="59E2FCEC" w14:textId="77777777" w:rsidR="00976440" w:rsidRPr="00A34F10" w:rsidRDefault="00976440" w:rsidP="00DC5685">
      <w:pPr>
        <w:tabs>
          <w:tab w:val="left" w:pos="720"/>
        </w:tabs>
        <w:jc w:val="both"/>
        <w:rPr>
          <w:b/>
          <w:bCs/>
          <w:color w:val="000000" w:themeColor="text1"/>
          <w:lang w:val="en-GB"/>
        </w:rPr>
      </w:pPr>
    </w:p>
    <w:p w14:paraId="415D3CA1" w14:textId="1F333A66" w:rsidR="00DC5685" w:rsidRPr="00A34F10" w:rsidRDefault="00E165B2" w:rsidP="00E165B2">
      <w:pPr>
        <w:pStyle w:val="Legenda"/>
      </w:pPr>
      <w:bookmarkStart w:id="1061" w:name="_Ref147905950"/>
      <w:r>
        <w:t xml:space="preserve">Table A </w:t>
      </w:r>
      <w:r>
        <w:fldChar w:fldCharType="begin"/>
      </w:r>
      <w:r>
        <w:instrText xml:space="preserve"> SEQ Table_A \* ARABIC </w:instrText>
      </w:r>
      <w:r>
        <w:fldChar w:fldCharType="separate"/>
      </w:r>
      <w:r w:rsidR="006F0F3B">
        <w:rPr>
          <w:noProof/>
        </w:rPr>
        <w:t>27</w:t>
      </w:r>
      <w:r>
        <w:fldChar w:fldCharType="end"/>
      </w:r>
      <w:bookmarkEnd w:id="1061"/>
      <w:r w:rsidR="00DC5685" w:rsidRPr="00A34F10">
        <w:t>:</w:t>
      </w:r>
      <w:r w:rsidR="00976440" w:rsidRPr="00A34F10">
        <w:tab/>
      </w:r>
      <w:r w:rsidR="00DC5685" w:rsidRPr="00A34F10">
        <w:t xml:space="preserve"> Summary of the first generation (F</w:t>
      </w:r>
      <w:r w:rsidR="00DC5685" w:rsidRPr="00A34F10">
        <w:rPr>
          <w:vertAlign w:val="subscript"/>
        </w:rPr>
        <w:t>0</w:t>
      </w:r>
      <w:r w:rsidR="00DC5685" w:rsidRPr="00A34F10">
        <w:t xml:space="preserve">) reproductive success (offspring per female) at termination </w:t>
      </w:r>
    </w:p>
    <w:tbl>
      <w:tblPr>
        <w:tblStyle w:val="TableGrid41"/>
        <w:tblW w:w="5000" w:type="pct"/>
        <w:tblLook w:val="04A0" w:firstRow="1" w:lastRow="0" w:firstColumn="1" w:lastColumn="0" w:noHBand="0" w:noVBand="1"/>
      </w:tblPr>
      <w:tblGrid>
        <w:gridCol w:w="3116"/>
        <w:gridCol w:w="3113"/>
        <w:gridCol w:w="3115"/>
      </w:tblGrid>
      <w:tr w:rsidR="00DC5685" w:rsidRPr="00A34F10" w14:paraId="5D91AA43" w14:textId="77777777" w:rsidTr="000470C3">
        <w:trPr>
          <w:tblHeader/>
        </w:trPr>
        <w:tc>
          <w:tcPr>
            <w:tcW w:w="1667" w:type="pct"/>
            <w:vAlign w:val="center"/>
          </w:tcPr>
          <w:p w14:paraId="30EBD1CB"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measured concentration (µg a.s./L)</w:t>
            </w:r>
          </w:p>
        </w:tc>
        <w:tc>
          <w:tcPr>
            <w:tcW w:w="1666" w:type="pct"/>
            <w:vAlign w:val="center"/>
          </w:tcPr>
          <w:p w14:paraId="61DC2266"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 of females producing young ± SD</w:t>
            </w:r>
          </w:p>
        </w:tc>
        <w:tc>
          <w:tcPr>
            <w:tcW w:w="1667" w:type="pct"/>
            <w:vAlign w:val="center"/>
          </w:tcPr>
          <w:p w14:paraId="55209219"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Mean no. offspring per female ± SD</w:t>
            </w:r>
          </w:p>
        </w:tc>
      </w:tr>
      <w:tr w:rsidR="00DC5685" w:rsidRPr="00A34F10" w14:paraId="19D9B789" w14:textId="77777777" w:rsidTr="000470C3">
        <w:tc>
          <w:tcPr>
            <w:tcW w:w="1667" w:type="pct"/>
            <w:vAlign w:val="center"/>
          </w:tcPr>
          <w:p w14:paraId="383DBCBC" w14:textId="77777777" w:rsidR="00DC5685" w:rsidRPr="00A34F10" w:rsidRDefault="00DC5685" w:rsidP="00DC5685">
            <w:pPr>
              <w:tabs>
                <w:tab w:val="left" w:pos="720"/>
              </w:tabs>
              <w:spacing w:before="20" w:after="20"/>
              <w:jc w:val="center"/>
              <w:rPr>
                <w:bCs/>
                <w:color w:val="000000" w:themeColor="text1"/>
                <w:sz w:val="20"/>
                <w:szCs w:val="20"/>
                <w:lang w:val="en-GB"/>
              </w:rPr>
            </w:pPr>
            <w:r w:rsidRPr="00A34F10">
              <w:rPr>
                <w:color w:val="000000" w:themeColor="text1"/>
                <w:sz w:val="20"/>
                <w:szCs w:val="20"/>
                <w:lang w:val="en-GB"/>
              </w:rPr>
              <w:t>Control</w:t>
            </w:r>
          </w:p>
        </w:tc>
        <w:tc>
          <w:tcPr>
            <w:tcW w:w="1666" w:type="pct"/>
            <w:vAlign w:val="center"/>
          </w:tcPr>
          <w:p w14:paraId="337E3D75"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90 ± 12</w:t>
            </w:r>
          </w:p>
        </w:tc>
        <w:tc>
          <w:tcPr>
            <w:tcW w:w="1667" w:type="pct"/>
            <w:vAlign w:val="center"/>
          </w:tcPr>
          <w:p w14:paraId="0D087E16"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21.1 ± 5.0</w:t>
            </w:r>
          </w:p>
        </w:tc>
      </w:tr>
      <w:tr w:rsidR="00DC5685" w:rsidRPr="00A34F10" w14:paraId="33B5532F" w14:textId="77777777" w:rsidTr="000470C3">
        <w:tc>
          <w:tcPr>
            <w:tcW w:w="1667" w:type="pct"/>
            <w:vAlign w:val="center"/>
          </w:tcPr>
          <w:p w14:paraId="5062B652" w14:textId="77777777" w:rsidR="00DC5685" w:rsidRPr="00A34F10" w:rsidRDefault="00DC5685" w:rsidP="00DC5685">
            <w:pPr>
              <w:tabs>
                <w:tab w:val="left" w:pos="720"/>
              </w:tabs>
              <w:spacing w:before="20" w:after="20"/>
              <w:jc w:val="center"/>
              <w:rPr>
                <w:bCs/>
                <w:color w:val="000000" w:themeColor="text1"/>
                <w:sz w:val="20"/>
                <w:szCs w:val="20"/>
                <w:lang w:val="en-GB"/>
              </w:rPr>
            </w:pPr>
            <w:r w:rsidRPr="00A34F10">
              <w:rPr>
                <w:color w:val="000000" w:themeColor="text1"/>
                <w:sz w:val="20"/>
                <w:szCs w:val="20"/>
                <w:lang w:val="en-GB"/>
              </w:rPr>
              <w:t>4.7</w:t>
            </w:r>
          </w:p>
        </w:tc>
        <w:tc>
          <w:tcPr>
            <w:tcW w:w="1666" w:type="pct"/>
            <w:vAlign w:val="center"/>
          </w:tcPr>
          <w:p w14:paraId="75F9406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100 ± 0</w:t>
            </w:r>
          </w:p>
        </w:tc>
        <w:tc>
          <w:tcPr>
            <w:tcW w:w="1667" w:type="pct"/>
            <w:vAlign w:val="center"/>
          </w:tcPr>
          <w:p w14:paraId="7629913A"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22.9 ± 2.4</w:t>
            </w:r>
          </w:p>
        </w:tc>
      </w:tr>
      <w:tr w:rsidR="00DC5685" w:rsidRPr="00A34F10" w14:paraId="7A643D6F" w14:textId="77777777" w:rsidTr="000470C3">
        <w:tc>
          <w:tcPr>
            <w:tcW w:w="1667" w:type="pct"/>
            <w:vAlign w:val="center"/>
          </w:tcPr>
          <w:p w14:paraId="4E450851" w14:textId="77777777" w:rsidR="00DC5685" w:rsidRPr="00A34F10" w:rsidRDefault="00DC5685" w:rsidP="00DC5685">
            <w:pPr>
              <w:tabs>
                <w:tab w:val="left" w:pos="720"/>
              </w:tabs>
              <w:spacing w:before="20" w:after="20"/>
              <w:jc w:val="center"/>
              <w:rPr>
                <w:bCs/>
                <w:color w:val="000000" w:themeColor="text1"/>
                <w:sz w:val="20"/>
                <w:szCs w:val="20"/>
                <w:lang w:val="en-GB"/>
              </w:rPr>
            </w:pPr>
            <w:r w:rsidRPr="00A34F10">
              <w:rPr>
                <w:color w:val="000000" w:themeColor="text1"/>
                <w:sz w:val="20"/>
                <w:szCs w:val="20"/>
                <w:lang w:val="en-GB"/>
              </w:rPr>
              <w:t>10</w:t>
            </w:r>
          </w:p>
        </w:tc>
        <w:tc>
          <w:tcPr>
            <w:tcW w:w="1666" w:type="pct"/>
            <w:vAlign w:val="center"/>
          </w:tcPr>
          <w:p w14:paraId="495CE7E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100 ± 0</w:t>
            </w:r>
          </w:p>
        </w:tc>
        <w:tc>
          <w:tcPr>
            <w:tcW w:w="1667" w:type="pct"/>
            <w:vAlign w:val="center"/>
          </w:tcPr>
          <w:p w14:paraId="0C38CEDA"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25.0 ± 2.4</w:t>
            </w:r>
          </w:p>
        </w:tc>
      </w:tr>
      <w:tr w:rsidR="00DC5685" w:rsidRPr="00A34F10" w14:paraId="5EA03B20" w14:textId="77777777" w:rsidTr="000470C3">
        <w:tc>
          <w:tcPr>
            <w:tcW w:w="1667" w:type="pct"/>
            <w:vAlign w:val="center"/>
          </w:tcPr>
          <w:p w14:paraId="7295CD06" w14:textId="77777777" w:rsidR="00DC5685" w:rsidRPr="00A34F10" w:rsidRDefault="00DC5685" w:rsidP="00DC5685">
            <w:pPr>
              <w:tabs>
                <w:tab w:val="left" w:pos="720"/>
              </w:tabs>
              <w:spacing w:before="20" w:after="20"/>
              <w:jc w:val="center"/>
              <w:rPr>
                <w:bCs/>
                <w:color w:val="000000" w:themeColor="text1"/>
                <w:sz w:val="20"/>
                <w:szCs w:val="20"/>
                <w:lang w:val="en-GB"/>
              </w:rPr>
            </w:pPr>
            <w:r w:rsidRPr="00A34F10">
              <w:rPr>
                <w:color w:val="000000" w:themeColor="text1"/>
                <w:sz w:val="20"/>
                <w:szCs w:val="20"/>
                <w:lang w:val="en-GB"/>
              </w:rPr>
              <w:t>18</w:t>
            </w:r>
          </w:p>
        </w:tc>
        <w:tc>
          <w:tcPr>
            <w:tcW w:w="1666" w:type="pct"/>
            <w:vAlign w:val="center"/>
          </w:tcPr>
          <w:p w14:paraId="77E7493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95 ± 10</w:t>
            </w:r>
          </w:p>
        </w:tc>
        <w:tc>
          <w:tcPr>
            <w:tcW w:w="1667" w:type="pct"/>
            <w:vAlign w:val="center"/>
          </w:tcPr>
          <w:p w14:paraId="7EF02AA0"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21.8 ± 5.7</w:t>
            </w:r>
          </w:p>
        </w:tc>
      </w:tr>
      <w:tr w:rsidR="00DC5685" w:rsidRPr="00A34F10" w14:paraId="072A3594" w14:textId="77777777" w:rsidTr="000470C3">
        <w:tc>
          <w:tcPr>
            <w:tcW w:w="1667" w:type="pct"/>
            <w:vAlign w:val="center"/>
          </w:tcPr>
          <w:p w14:paraId="44093655" w14:textId="77777777" w:rsidR="00DC5685" w:rsidRPr="00A34F10" w:rsidRDefault="00DC5685" w:rsidP="00DC5685">
            <w:pPr>
              <w:tabs>
                <w:tab w:val="left" w:pos="720"/>
              </w:tabs>
              <w:spacing w:before="20" w:after="20"/>
              <w:jc w:val="center"/>
              <w:rPr>
                <w:bCs/>
                <w:color w:val="000000" w:themeColor="text1"/>
                <w:sz w:val="20"/>
                <w:szCs w:val="20"/>
                <w:lang w:val="en-GB"/>
              </w:rPr>
            </w:pPr>
            <w:r w:rsidRPr="00A34F10">
              <w:rPr>
                <w:color w:val="000000" w:themeColor="text1"/>
                <w:sz w:val="20"/>
                <w:szCs w:val="20"/>
                <w:lang w:val="en-GB"/>
              </w:rPr>
              <w:t>38</w:t>
            </w:r>
          </w:p>
        </w:tc>
        <w:tc>
          <w:tcPr>
            <w:tcW w:w="1666" w:type="pct"/>
            <w:vAlign w:val="center"/>
          </w:tcPr>
          <w:p w14:paraId="3076307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88 ± 25</w:t>
            </w:r>
          </w:p>
        </w:tc>
        <w:tc>
          <w:tcPr>
            <w:tcW w:w="1667" w:type="pct"/>
            <w:vAlign w:val="center"/>
          </w:tcPr>
          <w:p w14:paraId="412D6FE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18.7 ± 8.8</w:t>
            </w:r>
          </w:p>
        </w:tc>
      </w:tr>
      <w:tr w:rsidR="00DC5685" w:rsidRPr="00A34F10" w14:paraId="0E32A53B" w14:textId="77777777" w:rsidTr="000470C3">
        <w:tc>
          <w:tcPr>
            <w:tcW w:w="1667" w:type="pct"/>
            <w:vAlign w:val="center"/>
          </w:tcPr>
          <w:p w14:paraId="795627A2"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w:t>
            </w:r>
          </w:p>
        </w:tc>
        <w:tc>
          <w:tcPr>
            <w:tcW w:w="1666" w:type="pct"/>
            <w:vAlign w:val="center"/>
          </w:tcPr>
          <w:p w14:paraId="793B6CE1"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100 ± 0</w:t>
            </w:r>
          </w:p>
        </w:tc>
        <w:tc>
          <w:tcPr>
            <w:tcW w:w="1667" w:type="pct"/>
            <w:vAlign w:val="center"/>
          </w:tcPr>
          <w:p w14:paraId="77CCFDD4"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16.2 ± 1.7</w:t>
            </w:r>
          </w:p>
        </w:tc>
      </w:tr>
    </w:tbl>
    <w:p w14:paraId="47F97B9C" w14:textId="740DD1A8" w:rsidR="00DC5685" w:rsidRPr="00A34F10" w:rsidRDefault="00DC5685" w:rsidP="00DC5685">
      <w:pPr>
        <w:tabs>
          <w:tab w:val="left" w:pos="720"/>
        </w:tabs>
        <w:spacing w:after="360"/>
        <w:jc w:val="both"/>
        <w:rPr>
          <w:color w:val="000000" w:themeColor="text1"/>
          <w:sz w:val="18"/>
          <w:szCs w:val="18"/>
          <w:lang w:val="en-GB"/>
        </w:rPr>
      </w:pPr>
      <w:r w:rsidRPr="00A34F10">
        <w:rPr>
          <w:color w:val="000000" w:themeColor="text1"/>
          <w:sz w:val="18"/>
          <w:szCs w:val="18"/>
          <w:lang w:val="en-GB"/>
        </w:rPr>
        <w:t>SD: standard deviation</w:t>
      </w:r>
    </w:p>
    <w:p w14:paraId="4907EBD5"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There was a statistically significant difference in the total body length of male mysids exposed to the 38 and 77 μg a.s./L treatment levels compared to the control data. </w:t>
      </w:r>
      <w:bookmarkStart w:id="1062" w:name="_Hlk42775410"/>
    </w:p>
    <w:p w14:paraId="4FEF3440" w14:textId="7C12639A" w:rsidR="00DC5685" w:rsidRPr="00A34F10" w:rsidRDefault="00DC5685" w:rsidP="00DC5685">
      <w:pPr>
        <w:tabs>
          <w:tab w:val="left" w:pos="720"/>
        </w:tabs>
        <w:jc w:val="both"/>
        <w:rPr>
          <w:color w:val="000000" w:themeColor="text1"/>
          <w:lang w:val="en-GB"/>
        </w:rPr>
      </w:pPr>
      <w:r w:rsidRPr="00A34F10">
        <w:rPr>
          <w:color w:val="000000" w:themeColor="text1"/>
          <w:lang w:val="en-GB"/>
        </w:rPr>
        <w:t xml:space="preserve">There was a statistically significant difference </w:t>
      </w:r>
      <w:bookmarkEnd w:id="1062"/>
      <w:r w:rsidRPr="00A34F10">
        <w:rPr>
          <w:color w:val="000000" w:themeColor="text1"/>
          <w:lang w:val="en-GB"/>
        </w:rPr>
        <w:t>in dry body weight of male mysids at 77 µg a.s./L when compared to the control, and in females at 210 µg a.s./L. Results are presented in</w:t>
      </w:r>
      <w:r w:rsidR="00573C89">
        <w:rPr>
          <w:color w:val="000000" w:themeColor="text1"/>
          <w:lang w:val="en-GB"/>
        </w:rPr>
        <w:t xml:space="preserve"> </w:t>
      </w:r>
      <w:r w:rsidR="00573C89">
        <w:rPr>
          <w:color w:val="000000" w:themeColor="text1"/>
          <w:lang w:val="en-GB"/>
        </w:rPr>
        <w:fldChar w:fldCharType="begin"/>
      </w:r>
      <w:r w:rsidR="00573C89">
        <w:rPr>
          <w:color w:val="000000" w:themeColor="text1"/>
          <w:lang w:val="en-GB"/>
        </w:rPr>
        <w:instrText xml:space="preserve"> REF _Ref147905995 \h </w:instrText>
      </w:r>
      <w:r w:rsidR="00573C89">
        <w:rPr>
          <w:color w:val="000000" w:themeColor="text1"/>
          <w:lang w:val="en-GB"/>
        </w:rPr>
      </w:r>
      <w:r w:rsidR="00573C89">
        <w:rPr>
          <w:color w:val="000000" w:themeColor="text1"/>
          <w:lang w:val="en-GB"/>
        </w:rPr>
        <w:fldChar w:fldCharType="separate"/>
      </w:r>
      <w:r w:rsidR="006F0F3B">
        <w:t xml:space="preserve">Table A </w:t>
      </w:r>
      <w:r w:rsidR="006F0F3B">
        <w:rPr>
          <w:noProof/>
        </w:rPr>
        <w:t>28</w:t>
      </w:r>
      <w:r w:rsidR="00573C89">
        <w:rPr>
          <w:color w:val="000000" w:themeColor="text1"/>
          <w:lang w:val="en-GB"/>
        </w:rPr>
        <w:fldChar w:fldCharType="end"/>
      </w:r>
      <w:r w:rsidRPr="00A34F10">
        <w:rPr>
          <w:color w:val="000000" w:themeColor="text1"/>
          <w:lang w:val="en-GB"/>
        </w:rPr>
        <w:t>.</w:t>
      </w:r>
    </w:p>
    <w:p w14:paraId="770235EE" w14:textId="77777777" w:rsidR="003347E3" w:rsidRDefault="003347E3" w:rsidP="00573C89">
      <w:pPr>
        <w:pStyle w:val="Legenda"/>
      </w:pPr>
      <w:bookmarkStart w:id="1063" w:name="_Ref147905995"/>
    </w:p>
    <w:p w14:paraId="72F9D971" w14:textId="5729BB45" w:rsidR="00DC5685" w:rsidRPr="00A34F10" w:rsidRDefault="00573C89" w:rsidP="00573C89">
      <w:pPr>
        <w:pStyle w:val="Legenda"/>
      </w:pPr>
      <w:r>
        <w:t xml:space="preserve">Table A </w:t>
      </w:r>
      <w:r>
        <w:fldChar w:fldCharType="begin"/>
      </w:r>
      <w:r>
        <w:instrText xml:space="preserve"> SEQ Table_A \* ARABIC </w:instrText>
      </w:r>
      <w:r>
        <w:fldChar w:fldCharType="separate"/>
      </w:r>
      <w:r w:rsidR="006F0F3B">
        <w:rPr>
          <w:noProof/>
        </w:rPr>
        <w:t>28</w:t>
      </w:r>
      <w:r>
        <w:fldChar w:fldCharType="end"/>
      </w:r>
      <w:bookmarkEnd w:id="1063"/>
      <w:r w:rsidR="00DC5685" w:rsidRPr="00A34F10">
        <w:t>:</w:t>
      </w:r>
      <w:r w:rsidR="00976440" w:rsidRPr="00A34F10">
        <w:tab/>
      </w:r>
      <w:r w:rsidR="00DC5685" w:rsidRPr="00A34F10">
        <w:t xml:space="preserve"> Summary of mean total body length and dry body weight measurements of first generation (F</w:t>
      </w:r>
      <w:r w:rsidR="00DC5685" w:rsidRPr="00A34F10">
        <w:rPr>
          <w:vertAlign w:val="subscript"/>
        </w:rPr>
        <w:t>0</w:t>
      </w:r>
      <w:r w:rsidR="00DC5685" w:rsidRPr="00A34F10">
        <w:t xml:space="preserve">) mysids at termination </w:t>
      </w:r>
    </w:p>
    <w:tbl>
      <w:tblPr>
        <w:tblStyle w:val="TableGrid41"/>
        <w:tblW w:w="5000" w:type="pct"/>
        <w:tblLook w:val="04A0" w:firstRow="1" w:lastRow="0" w:firstColumn="1" w:lastColumn="0" w:noHBand="0" w:noVBand="1"/>
      </w:tblPr>
      <w:tblGrid>
        <w:gridCol w:w="1868"/>
        <w:gridCol w:w="1869"/>
        <w:gridCol w:w="1869"/>
        <w:gridCol w:w="1869"/>
        <w:gridCol w:w="1869"/>
      </w:tblGrid>
      <w:tr w:rsidR="00DC5685" w:rsidRPr="00A34F10" w14:paraId="789B666B" w14:textId="77777777" w:rsidTr="000470C3">
        <w:trPr>
          <w:tblHeader/>
        </w:trPr>
        <w:tc>
          <w:tcPr>
            <w:tcW w:w="1000" w:type="pct"/>
            <w:vMerge w:val="restart"/>
            <w:vAlign w:val="center"/>
          </w:tcPr>
          <w:p w14:paraId="7617BC15"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Mean measured concentration (µg a.s./L)</w:t>
            </w:r>
          </w:p>
        </w:tc>
        <w:tc>
          <w:tcPr>
            <w:tcW w:w="2000" w:type="pct"/>
            <w:gridSpan w:val="2"/>
            <w:vAlign w:val="center"/>
          </w:tcPr>
          <w:p w14:paraId="07977189"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 xml:space="preserve">Mean total body length (mm) ± SD </w:t>
            </w:r>
          </w:p>
        </w:tc>
        <w:tc>
          <w:tcPr>
            <w:tcW w:w="2000" w:type="pct"/>
            <w:gridSpan w:val="2"/>
            <w:vAlign w:val="center"/>
          </w:tcPr>
          <w:p w14:paraId="57EB4AA4"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Mean dry body weight (mg) ± SD</w:t>
            </w:r>
          </w:p>
        </w:tc>
      </w:tr>
      <w:tr w:rsidR="00DC5685" w:rsidRPr="00A34F10" w14:paraId="4DEB50AF" w14:textId="77777777" w:rsidTr="000470C3">
        <w:trPr>
          <w:tblHeader/>
        </w:trPr>
        <w:tc>
          <w:tcPr>
            <w:tcW w:w="1000" w:type="pct"/>
            <w:vMerge/>
            <w:vAlign w:val="center"/>
          </w:tcPr>
          <w:p w14:paraId="7CB505D6" w14:textId="77777777" w:rsidR="00DC5685" w:rsidRPr="00A34F10" w:rsidRDefault="00DC5685" w:rsidP="00DC5685">
            <w:pPr>
              <w:keepNext/>
              <w:keepLines/>
              <w:tabs>
                <w:tab w:val="left" w:pos="720"/>
              </w:tabs>
              <w:jc w:val="center"/>
              <w:rPr>
                <w:b/>
                <w:color w:val="000000" w:themeColor="text1"/>
                <w:sz w:val="20"/>
                <w:szCs w:val="20"/>
                <w:lang w:val="en-GB"/>
              </w:rPr>
            </w:pPr>
          </w:p>
        </w:tc>
        <w:tc>
          <w:tcPr>
            <w:tcW w:w="1000" w:type="pct"/>
            <w:vAlign w:val="center"/>
          </w:tcPr>
          <w:p w14:paraId="47ADE365"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Males</w:t>
            </w:r>
          </w:p>
        </w:tc>
        <w:tc>
          <w:tcPr>
            <w:tcW w:w="1000" w:type="pct"/>
            <w:vAlign w:val="center"/>
          </w:tcPr>
          <w:p w14:paraId="74F96EE2"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Females</w:t>
            </w:r>
          </w:p>
        </w:tc>
        <w:tc>
          <w:tcPr>
            <w:tcW w:w="1000" w:type="pct"/>
            <w:vAlign w:val="center"/>
          </w:tcPr>
          <w:p w14:paraId="201FC219"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Males</w:t>
            </w:r>
          </w:p>
        </w:tc>
        <w:tc>
          <w:tcPr>
            <w:tcW w:w="1000" w:type="pct"/>
            <w:vAlign w:val="center"/>
          </w:tcPr>
          <w:p w14:paraId="7D66056E" w14:textId="77777777" w:rsidR="00DC5685" w:rsidRPr="00A34F10" w:rsidRDefault="00DC5685" w:rsidP="00DC5685">
            <w:pPr>
              <w:keepNext/>
              <w:keepLines/>
              <w:tabs>
                <w:tab w:val="left" w:pos="720"/>
              </w:tabs>
              <w:jc w:val="center"/>
              <w:rPr>
                <w:b/>
                <w:color w:val="000000" w:themeColor="text1"/>
                <w:sz w:val="20"/>
                <w:szCs w:val="20"/>
                <w:lang w:val="en-GB"/>
              </w:rPr>
            </w:pPr>
            <w:r w:rsidRPr="00A34F10">
              <w:rPr>
                <w:b/>
                <w:color w:val="000000" w:themeColor="text1"/>
                <w:sz w:val="20"/>
                <w:szCs w:val="20"/>
                <w:lang w:val="en-GB"/>
              </w:rPr>
              <w:t>Females</w:t>
            </w:r>
          </w:p>
        </w:tc>
      </w:tr>
      <w:tr w:rsidR="00DC5685" w:rsidRPr="00A34F10" w14:paraId="2EED7E6C" w14:textId="77777777" w:rsidTr="000470C3">
        <w:tc>
          <w:tcPr>
            <w:tcW w:w="1000" w:type="pct"/>
            <w:vAlign w:val="center"/>
          </w:tcPr>
          <w:p w14:paraId="57833000"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Control</w:t>
            </w:r>
          </w:p>
        </w:tc>
        <w:tc>
          <w:tcPr>
            <w:tcW w:w="1000" w:type="pct"/>
            <w:vAlign w:val="center"/>
          </w:tcPr>
          <w:p w14:paraId="5ED55574"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7.40 ± 0.10</w:t>
            </w:r>
          </w:p>
        </w:tc>
        <w:tc>
          <w:tcPr>
            <w:tcW w:w="1000" w:type="pct"/>
            <w:vAlign w:val="center"/>
          </w:tcPr>
          <w:p w14:paraId="393C1ABC"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7.48 ± 0.11</w:t>
            </w:r>
          </w:p>
        </w:tc>
        <w:tc>
          <w:tcPr>
            <w:tcW w:w="1000" w:type="pct"/>
            <w:vAlign w:val="center"/>
          </w:tcPr>
          <w:p w14:paraId="51DA5EBC"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0.89 ± 0.05</w:t>
            </w:r>
          </w:p>
        </w:tc>
        <w:tc>
          <w:tcPr>
            <w:tcW w:w="1000" w:type="pct"/>
            <w:vAlign w:val="center"/>
          </w:tcPr>
          <w:p w14:paraId="4171343A"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1.20 ± 0.08</w:t>
            </w:r>
          </w:p>
        </w:tc>
      </w:tr>
      <w:tr w:rsidR="00DC5685" w:rsidRPr="00A34F10" w14:paraId="6A3AF703" w14:textId="77777777" w:rsidTr="000470C3">
        <w:tc>
          <w:tcPr>
            <w:tcW w:w="1000" w:type="pct"/>
            <w:vAlign w:val="center"/>
          </w:tcPr>
          <w:p w14:paraId="6817B78B"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4.7</w:t>
            </w:r>
          </w:p>
        </w:tc>
        <w:tc>
          <w:tcPr>
            <w:tcW w:w="1000" w:type="pct"/>
            <w:vAlign w:val="center"/>
          </w:tcPr>
          <w:p w14:paraId="70E9462E"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7.32 ± 0.07</w:t>
            </w:r>
          </w:p>
        </w:tc>
        <w:tc>
          <w:tcPr>
            <w:tcW w:w="1000" w:type="pct"/>
            <w:vAlign w:val="center"/>
          </w:tcPr>
          <w:p w14:paraId="40364820"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7.67 ± 0.10</w:t>
            </w:r>
          </w:p>
        </w:tc>
        <w:tc>
          <w:tcPr>
            <w:tcW w:w="1000" w:type="pct"/>
            <w:vAlign w:val="center"/>
          </w:tcPr>
          <w:p w14:paraId="7D79BF60"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0.89 ± 0.01</w:t>
            </w:r>
          </w:p>
        </w:tc>
        <w:tc>
          <w:tcPr>
            <w:tcW w:w="1000" w:type="pct"/>
            <w:vAlign w:val="center"/>
          </w:tcPr>
          <w:p w14:paraId="42AFB837"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1.35 ± 0.09</w:t>
            </w:r>
          </w:p>
        </w:tc>
      </w:tr>
      <w:tr w:rsidR="00DC5685" w:rsidRPr="00A34F10" w14:paraId="099D72CA" w14:textId="77777777" w:rsidTr="000470C3">
        <w:tc>
          <w:tcPr>
            <w:tcW w:w="1000" w:type="pct"/>
            <w:vAlign w:val="center"/>
          </w:tcPr>
          <w:p w14:paraId="7323108B"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10</w:t>
            </w:r>
          </w:p>
        </w:tc>
        <w:tc>
          <w:tcPr>
            <w:tcW w:w="1000" w:type="pct"/>
            <w:vAlign w:val="center"/>
          </w:tcPr>
          <w:p w14:paraId="233E9843"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7.50 ± 0.18</w:t>
            </w:r>
          </w:p>
        </w:tc>
        <w:tc>
          <w:tcPr>
            <w:tcW w:w="1000" w:type="pct"/>
            <w:vAlign w:val="center"/>
          </w:tcPr>
          <w:p w14:paraId="33640E3E"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7.69 ± 0.19</w:t>
            </w:r>
          </w:p>
        </w:tc>
        <w:tc>
          <w:tcPr>
            <w:tcW w:w="1000" w:type="pct"/>
            <w:vAlign w:val="center"/>
          </w:tcPr>
          <w:p w14:paraId="20833A71"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0.94 ± 0.10</w:t>
            </w:r>
          </w:p>
        </w:tc>
        <w:tc>
          <w:tcPr>
            <w:tcW w:w="1000" w:type="pct"/>
            <w:vAlign w:val="center"/>
          </w:tcPr>
          <w:p w14:paraId="6565B353"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1.34 ± 0.12</w:t>
            </w:r>
          </w:p>
        </w:tc>
      </w:tr>
      <w:tr w:rsidR="00DC5685" w:rsidRPr="00A34F10" w14:paraId="3F82D6B6" w14:textId="77777777" w:rsidTr="000470C3">
        <w:tc>
          <w:tcPr>
            <w:tcW w:w="1000" w:type="pct"/>
            <w:vAlign w:val="center"/>
          </w:tcPr>
          <w:p w14:paraId="7849579E"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18</w:t>
            </w:r>
          </w:p>
        </w:tc>
        <w:tc>
          <w:tcPr>
            <w:tcW w:w="1000" w:type="pct"/>
            <w:vAlign w:val="center"/>
          </w:tcPr>
          <w:p w14:paraId="30B336FE"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7.35 ± 0.17</w:t>
            </w:r>
          </w:p>
        </w:tc>
        <w:tc>
          <w:tcPr>
            <w:tcW w:w="1000" w:type="pct"/>
            <w:vAlign w:val="center"/>
          </w:tcPr>
          <w:p w14:paraId="66518C02"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7.56 ± 0.13</w:t>
            </w:r>
          </w:p>
        </w:tc>
        <w:tc>
          <w:tcPr>
            <w:tcW w:w="1000" w:type="pct"/>
            <w:vAlign w:val="center"/>
          </w:tcPr>
          <w:p w14:paraId="61750B7B"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0.92 ± 0.02</w:t>
            </w:r>
          </w:p>
        </w:tc>
        <w:tc>
          <w:tcPr>
            <w:tcW w:w="1000" w:type="pct"/>
            <w:vAlign w:val="center"/>
          </w:tcPr>
          <w:p w14:paraId="624656F5"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1.27 ± 0.11</w:t>
            </w:r>
          </w:p>
        </w:tc>
      </w:tr>
      <w:tr w:rsidR="00DC5685" w:rsidRPr="00A34F10" w14:paraId="39638B8F" w14:textId="77777777" w:rsidTr="000470C3">
        <w:tc>
          <w:tcPr>
            <w:tcW w:w="1000" w:type="pct"/>
            <w:vAlign w:val="center"/>
          </w:tcPr>
          <w:p w14:paraId="1973D890"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38</w:t>
            </w:r>
          </w:p>
        </w:tc>
        <w:tc>
          <w:tcPr>
            <w:tcW w:w="1000" w:type="pct"/>
            <w:vAlign w:val="center"/>
          </w:tcPr>
          <w:p w14:paraId="0C47DAFE"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7.12 ± 0.16*</w:t>
            </w:r>
          </w:p>
        </w:tc>
        <w:tc>
          <w:tcPr>
            <w:tcW w:w="1000" w:type="pct"/>
            <w:vAlign w:val="center"/>
          </w:tcPr>
          <w:p w14:paraId="3BA8EB1C"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7.63 ± 0.13</w:t>
            </w:r>
          </w:p>
        </w:tc>
        <w:tc>
          <w:tcPr>
            <w:tcW w:w="1000" w:type="pct"/>
            <w:vAlign w:val="center"/>
          </w:tcPr>
          <w:p w14:paraId="5A506AC9"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0.82 ± 0.05</w:t>
            </w:r>
          </w:p>
        </w:tc>
        <w:tc>
          <w:tcPr>
            <w:tcW w:w="1000" w:type="pct"/>
            <w:vAlign w:val="center"/>
          </w:tcPr>
          <w:p w14:paraId="5A1D8426"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1.15 ± 0.07</w:t>
            </w:r>
          </w:p>
        </w:tc>
      </w:tr>
      <w:tr w:rsidR="00DC5685" w:rsidRPr="00A34F10" w14:paraId="5CDCE7EB" w14:textId="77777777" w:rsidTr="000470C3">
        <w:tc>
          <w:tcPr>
            <w:tcW w:w="1000" w:type="pct"/>
            <w:vAlign w:val="center"/>
          </w:tcPr>
          <w:p w14:paraId="3AEDBA0D" w14:textId="77777777" w:rsidR="00DC5685" w:rsidRPr="00A34F10" w:rsidRDefault="00DC5685" w:rsidP="00DC5685">
            <w:pPr>
              <w:keepNext/>
              <w:keepLines/>
              <w:tabs>
                <w:tab w:val="left" w:pos="720"/>
              </w:tabs>
              <w:jc w:val="center"/>
              <w:rPr>
                <w:bCs/>
                <w:color w:val="000000" w:themeColor="text1"/>
                <w:sz w:val="20"/>
                <w:szCs w:val="20"/>
                <w:lang w:val="en-GB"/>
              </w:rPr>
            </w:pPr>
            <w:r w:rsidRPr="00A34F10">
              <w:rPr>
                <w:color w:val="000000" w:themeColor="text1"/>
                <w:sz w:val="20"/>
                <w:szCs w:val="20"/>
                <w:lang w:val="en-GB"/>
              </w:rPr>
              <w:t>77</w:t>
            </w:r>
          </w:p>
        </w:tc>
        <w:tc>
          <w:tcPr>
            <w:tcW w:w="1000" w:type="pct"/>
            <w:vAlign w:val="center"/>
          </w:tcPr>
          <w:p w14:paraId="4D075B0A"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7.04 ± 0.16*</w:t>
            </w:r>
          </w:p>
        </w:tc>
        <w:tc>
          <w:tcPr>
            <w:tcW w:w="1000" w:type="pct"/>
            <w:vAlign w:val="center"/>
          </w:tcPr>
          <w:p w14:paraId="2E3C7210"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7.40 ± 0.11</w:t>
            </w:r>
          </w:p>
        </w:tc>
        <w:tc>
          <w:tcPr>
            <w:tcW w:w="1000" w:type="pct"/>
            <w:vAlign w:val="center"/>
          </w:tcPr>
          <w:p w14:paraId="5FF0AB13"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0.77 ± 0.04*</w:t>
            </w:r>
          </w:p>
        </w:tc>
        <w:tc>
          <w:tcPr>
            <w:tcW w:w="1000" w:type="pct"/>
            <w:vAlign w:val="center"/>
          </w:tcPr>
          <w:p w14:paraId="2EDFDAE2" w14:textId="77777777" w:rsidR="00DC5685" w:rsidRPr="00A34F10" w:rsidRDefault="00DC5685" w:rsidP="00DC5685">
            <w:pPr>
              <w:keepNext/>
              <w:keepLines/>
              <w:tabs>
                <w:tab w:val="left" w:pos="720"/>
              </w:tabs>
              <w:jc w:val="center"/>
              <w:rPr>
                <w:color w:val="000000" w:themeColor="text1"/>
                <w:sz w:val="20"/>
                <w:szCs w:val="20"/>
                <w:lang w:val="en-GB"/>
              </w:rPr>
            </w:pPr>
            <w:r w:rsidRPr="00A34F10">
              <w:rPr>
                <w:color w:val="000000" w:themeColor="text1"/>
                <w:sz w:val="20"/>
                <w:szCs w:val="20"/>
                <w:lang w:val="en-GB"/>
              </w:rPr>
              <w:t>1.06 ± 0.07</w:t>
            </w:r>
          </w:p>
        </w:tc>
      </w:tr>
    </w:tbl>
    <w:p w14:paraId="21B9F7B7" w14:textId="77777777" w:rsidR="00DC5685" w:rsidRPr="00A34F10" w:rsidRDefault="00DC5685" w:rsidP="00DC5685">
      <w:pPr>
        <w:keepNext/>
        <w:keepLines/>
        <w:tabs>
          <w:tab w:val="left" w:pos="720"/>
        </w:tabs>
        <w:jc w:val="both"/>
        <w:rPr>
          <w:color w:val="000000" w:themeColor="text1"/>
          <w:sz w:val="18"/>
          <w:szCs w:val="18"/>
          <w:vertAlign w:val="superscript"/>
          <w:lang w:val="en-GB"/>
        </w:rPr>
      </w:pPr>
      <w:r w:rsidRPr="00A34F10">
        <w:rPr>
          <w:color w:val="000000" w:themeColor="text1"/>
          <w:sz w:val="18"/>
          <w:szCs w:val="18"/>
          <w:lang w:val="en-GB"/>
        </w:rPr>
        <w:t>* Significantly reduced compared to the control, based on Dunnett’s Multiple Comparison Test.</w:t>
      </w:r>
    </w:p>
    <w:p w14:paraId="7660FD0C" w14:textId="2F45D456" w:rsidR="00DC5685" w:rsidRPr="00A34F10" w:rsidRDefault="00DC5685" w:rsidP="00DC5685">
      <w:pPr>
        <w:tabs>
          <w:tab w:val="left" w:pos="720"/>
        </w:tabs>
        <w:spacing w:after="360"/>
        <w:jc w:val="both"/>
        <w:rPr>
          <w:color w:val="000000" w:themeColor="text1"/>
          <w:sz w:val="18"/>
          <w:szCs w:val="18"/>
          <w:lang w:val="en-GB"/>
        </w:rPr>
      </w:pPr>
      <w:r w:rsidRPr="00A34F10">
        <w:rPr>
          <w:color w:val="000000" w:themeColor="text1"/>
          <w:sz w:val="18"/>
          <w:szCs w:val="18"/>
          <w:lang w:val="en-GB"/>
        </w:rPr>
        <w:t>SD: standard deviation</w:t>
      </w:r>
    </w:p>
    <w:p w14:paraId="01D89FD6" w14:textId="09F5FFBD" w:rsidR="00DC5685" w:rsidRPr="00A34F10" w:rsidRDefault="00DC5685" w:rsidP="00DC5685">
      <w:pPr>
        <w:tabs>
          <w:tab w:val="left" w:pos="720"/>
        </w:tabs>
        <w:jc w:val="both"/>
        <w:rPr>
          <w:color w:val="000000" w:themeColor="text1"/>
          <w:lang w:val="en-GB"/>
        </w:rPr>
      </w:pPr>
      <w:r w:rsidRPr="00A34F10">
        <w:rPr>
          <w:color w:val="000000" w:themeColor="text1"/>
          <w:lang w:val="en-GB"/>
        </w:rPr>
        <w:t>There was no statistically significant difference in F</w:t>
      </w:r>
      <w:r w:rsidRPr="00A34F10">
        <w:rPr>
          <w:color w:val="000000" w:themeColor="text1"/>
          <w:vertAlign w:val="subscript"/>
          <w:lang w:val="en-GB"/>
        </w:rPr>
        <w:t>1</w:t>
      </w:r>
      <w:r w:rsidRPr="00A34F10">
        <w:rPr>
          <w:color w:val="000000" w:themeColor="text1"/>
          <w:lang w:val="en-GB"/>
        </w:rPr>
        <w:t xml:space="preserve"> mysid survival among organisms exposed to any of the test item treatment levels, when compared to the control. Results are presented in</w:t>
      </w:r>
      <w:r w:rsidR="00774666">
        <w:rPr>
          <w:color w:val="000000" w:themeColor="text1"/>
          <w:lang w:val="en-GB"/>
        </w:rPr>
        <w:t xml:space="preserve"> </w:t>
      </w:r>
      <w:r w:rsidR="00774666">
        <w:rPr>
          <w:color w:val="000000" w:themeColor="text1"/>
          <w:lang w:val="en-GB"/>
        </w:rPr>
        <w:fldChar w:fldCharType="begin"/>
      </w:r>
      <w:r w:rsidR="00774666">
        <w:rPr>
          <w:color w:val="000000" w:themeColor="text1"/>
          <w:lang w:val="en-GB"/>
        </w:rPr>
        <w:instrText xml:space="preserve"> REF _Ref147906911 \h </w:instrText>
      </w:r>
      <w:r w:rsidR="00774666">
        <w:rPr>
          <w:color w:val="000000" w:themeColor="text1"/>
          <w:lang w:val="en-GB"/>
        </w:rPr>
      </w:r>
      <w:r w:rsidR="00774666">
        <w:rPr>
          <w:color w:val="000000" w:themeColor="text1"/>
          <w:lang w:val="en-GB"/>
        </w:rPr>
        <w:fldChar w:fldCharType="separate"/>
      </w:r>
      <w:r w:rsidR="006F0F3B">
        <w:t xml:space="preserve">Table A </w:t>
      </w:r>
      <w:r w:rsidR="006F0F3B">
        <w:rPr>
          <w:noProof/>
        </w:rPr>
        <w:t>29</w:t>
      </w:r>
      <w:r w:rsidR="00774666">
        <w:rPr>
          <w:color w:val="000000" w:themeColor="text1"/>
          <w:lang w:val="en-GB"/>
        </w:rPr>
        <w:fldChar w:fldCharType="end"/>
      </w:r>
      <w:r w:rsidRPr="00A34F10">
        <w:rPr>
          <w:color w:val="000000" w:themeColor="text1"/>
          <w:lang w:val="en-GB"/>
        </w:rPr>
        <w:t>.</w:t>
      </w:r>
    </w:p>
    <w:p w14:paraId="3089B12D" w14:textId="77777777" w:rsidR="00976440" w:rsidRPr="00A34F10" w:rsidRDefault="00976440" w:rsidP="00DC5685">
      <w:pPr>
        <w:tabs>
          <w:tab w:val="left" w:pos="720"/>
        </w:tabs>
        <w:jc w:val="both"/>
        <w:rPr>
          <w:b/>
          <w:bCs/>
          <w:color w:val="000000" w:themeColor="text1"/>
          <w:lang w:val="en-GB"/>
        </w:rPr>
      </w:pPr>
    </w:p>
    <w:p w14:paraId="21B55685" w14:textId="6EB8A857" w:rsidR="00DC5685" w:rsidRPr="00A34F10" w:rsidRDefault="00774666" w:rsidP="00774666">
      <w:pPr>
        <w:pStyle w:val="Legenda"/>
      </w:pPr>
      <w:bookmarkStart w:id="1064" w:name="_Ref147906911"/>
      <w:r>
        <w:t xml:space="preserve">Table A </w:t>
      </w:r>
      <w:r>
        <w:fldChar w:fldCharType="begin"/>
      </w:r>
      <w:r>
        <w:instrText xml:space="preserve"> SEQ Table_A \* ARABIC </w:instrText>
      </w:r>
      <w:r>
        <w:fldChar w:fldCharType="separate"/>
      </w:r>
      <w:r w:rsidR="006F0F3B">
        <w:rPr>
          <w:noProof/>
        </w:rPr>
        <w:t>29</w:t>
      </w:r>
      <w:r>
        <w:fldChar w:fldCharType="end"/>
      </w:r>
      <w:bookmarkEnd w:id="1064"/>
      <w:r w:rsidR="00DC5685" w:rsidRPr="00A34F10">
        <w:t>:</w:t>
      </w:r>
      <w:r w:rsidR="00976440" w:rsidRPr="00A34F10">
        <w:tab/>
      </w:r>
      <w:r w:rsidR="00DC5685" w:rsidRPr="00A34F10">
        <w:t xml:space="preserve"> Summary of second generation (F</w:t>
      </w:r>
      <w:r w:rsidR="00DC5685" w:rsidRPr="00A34F10">
        <w:rPr>
          <w:vertAlign w:val="subscript"/>
        </w:rPr>
        <w:t>1</w:t>
      </w:r>
      <w:r w:rsidR="00DC5685" w:rsidRPr="00A34F10">
        <w:t>) survival at 96 hours post-release</w:t>
      </w:r>
    </w:p>
    <w:tbl>
      <w:tblPr>
        <w:tblStyle w:val="TableGrid41"/>
        <w:tblW w:w="5000" w:type="pct"/>
        <w:tblLook w:val="04A0" w:firstRow="1" w:lastRow="0" w:firstColumn="1" w:lastColumn="0" w:noHBand="0" w:noVBand="1"/>
      </w:tblPr>
      <w:tblGrid>
        <w:gridCol w:w="4672"/>
        <w:gridCol w:w="4672"/>
      </w:tblGrid>
      <w:tr w:rsidR="00DC5685" w:rsidRPr="00A34F10" w14:paraId="5FB23E24" w14:textId="77777777" w:rsidTr="000470C3">
        <w:tc>
          <w:tcPr>
            <w:tcW w:w="2500" w:type="pct"/>
            <w:vAlign w:val="center"/>
          </w:tcPr>
          <w:p w14:paraId="44C4ED94" w14:textId="77777777" w:rsidR="00DC5685" w:rsidRPr="00A34F10" w:rsidRDefault="00DC5685" w:rsidP="00DC5685">
            <w:pPr>
              <w:tabs>
                <w:tab w:val="left" w:pos="720"/>
              </w:tabs>
              <w:jc w:val="center"/>
              <w:rPr>
                <w:b/>
                <w:color w:val="000000" w:themeColor="text1"/>
                <w:sz w:val="20"/>
                <w:szCs w:val="20"/>
                <w:lang w:val="en-GB"/>
              </w:rPr>
            </w:pPr>
            <w:r w:rsidRPr="00A34F10">
              <w:rPr>
                <w:b/>
                <w:color w:val="000000" w:themeColor="text1"/>
                <w:sz w:val="20"/>
                <w:szCs w:val="20"/>
                <w:lang w:val="en-GB"/>
              </w:rPr>
              <w:t>Mean measured concentration (µg a.s./L)</w:t>
            </w:r>
          </w:p>
        </w:tc>
        <w:tc>
          <w:tcPr>
            <w:tcW w:w="2500" w:type="pct"/>
            <w:vAlign w:val="center"/>
          </w:tcPr>
          <w:p w14:paraId="51DB289F" w14:textId="77777777" w:rsidR="00DC5685" w:rsidRPr="00A34F10" w:rsidRDefault="00DC5685" w:rsidP="00DC5685">
            <w:pPr>
              <w:tabs>
                <w:tab w:val="left" w:pos="720"/>
              </w:tabs>
              <w:jc w:val="center"/>
              <w:rPr>
                <w:b/>
                <w:color w:val="000000" w:themeColor="text1"/>
                <w:sz w:val="20"/>
                <w:szCs w:val="20"/>
                <w:lang w:val="en-GB"/>
              </w:rPr>
            </w:pPr>
            <w:r w:rsidRPr="00A34F10">
              <w:rPr>
                <w:b/>
                <w:color w:val="000000" w:themeColor="text1"/>
                <w:sz w:val="20"/>
                <w:szCs w:val="20"/>
                <w:lang w:val="en-GB"/>
              </w:rPr>
              <w:t>Survival (%) ± SD</w:t>
            </w:r>
          </w:p>
        </w:tc>
      </w:tr>
      <w:tr w:rsidR="00DC5685" w:rsidRPr="00A34F10" w14:paraId="4C724EB9" w14:textId="77777777" w:rsidTr="000470C3">
        <w:tc>
          <w:tcPr>
            <w:tcW w:w="2500" w:type="pct"/>
            <w:vAlign w:val="center"/>
          </w:tcPr>
          <w:p w14:paraId="5406D7E0"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Control</w:t>
            </w:r>
          </w:p>
        </w:tc>
        <w:tc>
          <w:tcPr>
            <w:tcW w:w="2500" w:type="pct"/>
            <w:vAlign w:val="center"/>
          </w:tcPr>
          <w:p w14:paraId="25947C53"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100 ± 0</w:t>
            </w:r>
          </w:p>
        </w:tc>
      </w:tr>
      <w:tr w:rsidR="00DC5685" w:rsidRPr="00A34F10" w14:paraId="3006F5E5" w14:textId="77777777" w:rsidTr="000470C3">
        <w:tc>
          <w:tcPr>
            <w:tcW w:w="2500" w:type="pct"/>
            <w:vAlign w:val="center"/>
          </w:tcPr>
          <w:p w14:paraId="5842EF7D"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4.7</w:t>
            </w:r>
          </w:p>
        </w:tc>
        <w:tc>
          <w:tcPr>
            <w:tcW w:w="2500" w:type="pct"/>
            <w:vAlign w:val="center"/>
          </w:tcPr>
          <w:p w14:paraId="1AEA77E9"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93 ± 5</w:t>
            </w:r>
          </w:p>
        </w:tc>
      </w:tr>
      <w:tr w:rsidR="00DC5685" w:rsidRPr="00A34F10" w14:paraId="7AF4FF11" w14:textId="77777777" w:rsidTr="000470C3">
        <w:tc>
          <w:tcPr>
            <w:tcW w:w="2500" w:type="pct"/>
            <w:vAlign w:val="center"/>
          </w:tcPr>
          <w:p w14:paraId="16141A46"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10</w:t>
            </w:r>
          </w:p>
        </w:tc>
        <w:tc>
          <w:tcPr>
            <w:tcW w:w="2500" w:type="pct"/>
            <w:vAlign w:val="center"/>
          </w:tcPr>
          <w:p w14:paraId="1C40BF3B"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98 ± 5</w:t>
            </w:r>
          </w:p>
        </w:tc>
      </w:tr>
      <w:tr w:rsidR="00DC5685" w:rsidRPr="00A34F10" w14:paraId="0D258775" w14:textId="77777777" w:rsidTr="000470C3">
        <w:tc>
          <w:tcPr>
            <w:tcW w:w="2500" w:type="pct"/>
            <w:vAlign w:val="center"/>
          </w:tcPr>
          <w:p w14:paraId="23EA17B4"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18</w:t>
            </w:r>
          </w:p>
        </w:tc>
        <w:tc>
          <w:tcPr>
            <w:tcW w:w="2500" w:type="pct"/>
            <w:vAlign w:val="center"/>
          </w:tcPr>
          <w:p w14:paraId="669C16DA"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95 ± 6</w:t>
            </w:r>
          </w:p>
        </w:tc>
      </w:tr>
      <w:tr w:rsidR="00DC5685" w:rsidRPr="00A34F10" w14:paraId="15494EBE" w14:textId="77777777" w:rsidTr="000470C3">
        <w:tc>
          <w:tcPr>
            <w:tcW w:w="2500" w:type="pct"/>
            <w:vAlign w:val="center"/>
          </w:tcPr>
          <w:p w14:paraId="73CA5A4F"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38</w:t>
            </w:r>
          </w:p>
        </w:tc>
        <w:tc>
          <w:tcPr>
            <w:tcW w:w="2500" w:type="pct"/>
            <w:vAlign w:val="center"/>
          </w:tcPr>
          <w:p w14:paraId="34F77B7E"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98 ± 5</w:t>
            </w:r>
          </w:p>
        </w:tc>
      </w:tr>
      <w:tr w:rsidR="00DC5685" w:rsidRPr="00A34F10" w14:paraId="0C696D3E" w14:textId="77777777" w:rsidTr="000470C3">
        <w:tc>
          <w:tcPr>
            <w:tcW w:w="2500" w:type="pct"/>
            <w:vAlign w:val="center"/>
          </w:tcPr>
          <w:p w14:paraId="385E8AD1"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77</w:t>
            </w:r>
          </w:p>
        </w:tc>
        <w:tc>
          <w:tcPr>
            <w:tcW w:w="2500" w:type="pct"/>
            <w:vAlign w:val="center"/>
          </w:tcPr>
          <w:p w14:paraId="1E004BD2" w14:textId="77777777" w:rsidR="00DC5685" w:rsidRPr="00A34F10" w:rsidRDefault="00DC5685" w:rsidP="00DC5685">
            <w:pPr>
              <w:tabs>
                <w:tab w:val="left" w:pos="720"/>
              </w:tabs>
              <w:jc w:val="center"/>
              <w:rPr>
                <w:color w:val="000000" w:themeColor="text1"/>
                <w:sz w:val="20"/>
                <w:szCs w:val="20"/>
                <w:lang w:val="en-GB"/>
              </w:rPr>
            </w:pPr>
            <w:r w:rsidRPr="00A34F10">
              <w:rPr>
                <w:color w:val="000000" w:themeColor="text1"/>
                <w:sz w:val="20"/>
                <w:szCs w:val="20"/>
                <w:lang w:val="en-GB"/>
              </w:rPr>
              <w:t>100 ± 0</w:t>
            </w:r>
          </w:p>
        </w:tc>
      </w:tr>
    </w:tbl>
    <w:p w14:paraId="43908E9B" w14:textId="587B86F7" w:rsidR="00DC5685" w:rsidRPr="00A34F10" w:rsidRDefault="00DC5685" w:rsidP="00DC5685">
      <w:pPr>
        <w:tabs>
          <w:tab w:val="left" w:pos="720"/>
        </w:tabs>
        <w:spacing w:after="360"/>
        <w:jc w:val="both"/>
        <w:rPr>
          <w:color w:val="000000" w:themeColor="text1"/>
          <w:sz w:val="18"/>
          <w:szCs w:val="18"/>
          <w:lang w:val="en-GB"/>
        </w:rPr>
      </w:pPr>
      <w:r w:rsidRPr="00A34F10">
        <w:rPr>
          <w:color w:val="000000" w:themeColor="text1"/>
          <w:sz w:val="18"/>
          <w:szCs w:val="18"/>
          <w:lang w:val="en-GB"/>
        </w:rPr>
        <w:t xml:space="preserve">SD: standard deviation </w:t>
      </w:r>
    </w:p>
    <w:p w14:paraId="15F58414" w14:textId="77777777" w:rsidR="00976440" w:rsidRPr="00A34F10" w:rsidRDefault="00976440" w:rsidP="00DC5685">
      <w:pPr>
        <w:tabs>
          <w:tab w:val="left" w:pos="720"/>
        </w:tabs>
        <w:spacing w:after="360"/>
        <w:jc w:val="both"/>
        <w:rPr>
          <w:b/>
          <w:bCs/>
          <w:color w:val="000000" w:themeColor="text1"/>
          <w:sz w:val="18"/>
          <w:szCs w:val="18"/>
          <w:lang w:val="en-GB"/>
        </w:rPr>
      </w:pPr>
    </w:p>
    <w:p w14:paraId="1BBBBB29" w14:textId="77777777" w:rsidR="00DC5685" w:rsidRPr="00A34F10" w:rsidRDefault="00DC5685" w:rsidP="00E05ECD">
      <w:pPr>
        <w:numPr>
          <w:ilvl w:val="0"/>
          <w:numId w:val="42"/>
        </w:numPr>
        <w:contextualSpacing/>
        <w:rPr>
          <w:color w:val="000000" w:themeColor="text1"/>
          <w:lang w:val="en-GB"/>
        </w:rPr>
      </w:pPr>
      <w:r w:rsidRPr="00A34F10">
        <w:rPr>
          <w:b/>
          <w:bCs/>
          <w:color w:val="000000" w:themeColor="text1"/>
          <w:lang w:val="en-GB"/>
        </w:rPr>
        <w:lastRenderedPageBreak/>
        <w:t>ANALYTICAL RESULTS</w:t>
      </w:r>
    </w:p>
    <w:p w14:paraId="0C07C820" w14:textId="77777777" w:rsidR="00DC5685" w:rsidRPr="00A34F10" w:rsidRDefault="00DC5685" w:rsidP="00DC5685">
      <w:pPr>
        <w:ind w:left="720"/>
        <w:contextualSpacing/>
        <w:rPr>
          <w:color w:val="000000" w:themeColor="text1"/>
          <w:lang w:val="en-GB"/>
        </w:rPr>
      </w:pPr>
    </w:p>
    <w:p w14:paraId="219517E4" w14:textId="1823908E" w:rsidR="00976440" w:rsidRPr="00A34F10" w:rsidRDefault="00DC5685" w:rsidP="00DC5685">
      <w:pPr>
        <w:tabs>
          <w:tab w:val="left" w:pos="720"/>
        </w:tabs>
        <w:jc w:val="both"/>
        <w:rPr>
          <w:color w:val="000000" w:themeColor="text1"/>
          <w:lang w:val="en-GB"/>
        </w:rPr>
      </w:pPr>
      <w:r w:rsidRPr="00A34F10">
        <w:rPr>
          <w:color w:val="000000" w:themeColor="text1"/>
        </w:rPr>
        <w:t xml:space="preserve">Due to the decrease in test concentrations on day 7, the test system was sampled on day 8 to confirm the recoveries. Measured concentrations of BAS 650 F were generally consistent between sampling intervals and the expected concentration gradient (50% dilution series) was maintained throughout the exposure. </w:t>
      </w:r>
      <w:bookmarkStart w:id="1065" w:name="_Hlk42777444"/>
      <w:r w:rsidRPr="00A34F10">
        <w:rPr>
          <w:color w:val="000000" w:themeColor="text1"/>
        </w:rPr>
        <w:t>The concentration which defined the NOEC (18 μg a.s./L) had an overall CV of 20%</w:t>
      </w:r>
      <w:bookmarkEnd w:id="1065"/>
      <w:r w:rsidRPr="00A34F10">
        <w:rPr>
          <w:color w:val="000000" w:themeColor="text1"/>
        </w:rPr>
        <w:t xml:space="preserve">. </w:t>
      </w:r>
      <w:r w:rsidRPr="00A34F10">
        <w:rPr>
          <w:color w:val="000000" w:themeColor="text1"/>
          <w:lang w:val="en-GB"/>
        </w:rPr>
        <w:t>Results of the study are based on mean measured concentrations. Analysis of the quality control (QC) samples resulted in measured concentrations which were consistent with the predetermined recovery range and ranged from 89.1 to 104% (N = 15) of the nominal fortified levels (5.00, 25.0 and 100 μg/L). Based on these results, it was determined that satisfactory precision and quality control were maintained during the analysis of the exposure solutions. Analytical results are presented in</w:t>
      </w:r>
      <w:r w:rsidR="00E70442">
        <w:rPr>
          <w:color w:val="000000" w:themeColor="text1"/>
          <w:lang w:val="en-GB"/>
        </w:rPr>
        <w:t xml:space="preserve"> </w:t>
      </w:r>
      <w:r w:rsidR="00E70442">
        <w:rPr>
          <w:color w:val="000000" w:themeColor="text1"/>
          <w:lang w:val="en-GB"/>
        </w:rPr>
        <w:fldChar w:fldCharType="begin"/>
      </w:r>
      <w:r w:rsidR="00E70442">
        <w:rPr>
          <w:color w:val="000000" w:themeColor="text1"/>
          <w:lang w:val="en-GB"/>
        </w:rPr>
        <w:instrText xml:space="preserve"> REF _Ref147906942 \h </w:instrText>
      </w:r>
      <w:r w:rsidR="00E70442">
        <w:rPr>
          <w:color w:val="000000" w:themeColor="text1"/>
          <w:lang w:val="en-GB"/>
        </w:rPr>
      </w:r>
      <w:r w:rsidR="00E70442">
        <w:rPr>
          <w:color w:val="000000" w:themeColor="text1"/>
          <w:lang w:val="en-GB"/>
        </w:rPr>
        <w:fldChar w:fldCharType="separate"/>
      </w:r>
      <w:r w:rsidR="006F0F3B">
        <w:t xml:space="preserve">Table A </w:t>
      </w:r>
      <w:r w:rsidR="006F0F3B">
        <w:rPr>
          <w:noProof/>
        </w:rPr>
        <w:t>30</w:t>
      </w:r>
      <w:r w:rsidR="00E70442">
        <w:rPr>
          <w:color w:val="000000" w:themeColor="text1"/>
          <w:lang w:val="en-GB"/>
        </w:rPr>
        <w:fldChar w:fldCharType="end"/>
      </w:r>
      <w:r w:rsidRPr="00A34F10">
        <w:rPr>
          <w:color w:val="000000" w:themeColor="text1"/>
          <w:lang w:val="en-GB"/>
        </w:rPr>
        <w:t xml:space="preserve">. </w:t>
      </w:r>
    </w:p>
    <w:p w14:paraId="53037DE2" w14:textId="77777777" w:rsidR="003347E3" w:rsidRDefault="003347E3" w:rsidP="00E70442">
      <w:pPr>
        <w:pStyle w:val="Legenda"/>
      </w:pPr>
      <w:bookmarkStart w:id="1066" w:name="_Ref147906942"/>
    </w:p>
    <w:p w14:paraId="0E5E7A7D" w14:textId="2ADBF2EF" w:rsidR="00DC5685" w:rsidRPr="00A34F10" w:rsidRDefault="00E70442" w:rsidP="00E70442">
      <w:pPr>
        <w:pStyle w:val="Legenda"/>
      </w:pPr>
      <w:r>
        <w:t xml:space="preserve">Table A </w:t>
      </w:r>
      <w:r>
        <w:fldChar w:fldCharType="begin"/>
      </w:r>
      <w:r>
        <w:instrText xml:space="preserve"> SEQ Table_A \* ARABIC </w:instrText>
      </w:r>
      <w:r>
        <w:fldChar w:fldCharType="separate"/>
      </w:r>
      <w:r w:rsidR="006F0F3B">
        <w:rPr>
          <w:noProof/>
        </w:rPr>
        <w:t>30</w:t>
      </w:r>
      <w:r>
        <w:fldChar w:fldCharType="end"/>
      </w:r>
      <w:bookmarkEnd w:id="1066"/>
      <w:r w:rsidR="00976440" w:rsidRPr="00A34F10">
        <w:t>:</w:t>
      </w:r>
      <w:r w:rsidR="00976440" w:rsidRPr="00A34F10">
        <w:tab/>
      </w:r>
      <w:r w:rsidR="00DC5685" w:rsidRPr="00A34F10">
        <w:t>Summary of analytical results</w:t>
      </w:r>
    </w:p>
    <w:tbl>
      <w:tblPr>
        <w:tblStyle w:val="TableGrid41"/>
        <w:tblW w:w="5000" w:type="pct"/>
        <w:tblLook w:val="04A0" w:firstRow="1" w:lastRow="0" w:firstColumn="1" w:lastColumn="0" w:noHBand="0" w:noVBand="1"/>
      </w:tblPr>
      <w:tblGrid>
        <w:gridCol w:w="3114"/>
        <w:gridCol w:w="3115"/>
        <w:gridCol w:w="3115"/>
      </w:tblGrid>
      <w:tr w:rsidR="00DC5685" w:rsidRPr="00A34F10" w14:paraId="18CF3AD7" w14:textId="77777777" w:rsidTr="000470C3">
        <w:trPr>
          <w:tblHeader/>
        </w:trPr>
        <w:tc>
          <w:tcPr>
            <w:tcW w:w="1666" w:type="pct"/>
            <w:vAlign w:val="center"/>
          </w:tcPr>
          <w:p w14:paraId="598DB618"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Nominal concentration (µg/L)</w:t>
            </w:r>
          </w:p>
        </w:tc>
        <w:tc>
          <w:tcPr>
            <w:tcW w:w="1667" w:type="pct"/>
            <w:vAlign w:val="center"/>
          </w:tcPr>
          <w:p w14:paraId="2C8FA8C3"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 xml:space="preserve">Mean measured concentration during the 28-day life-cycle exposure (mg/L) </w:t>
            </w:r>
          </w:p>
        </w:tc>
        <w:tc>
          <w:tcPr>
            <w:tcW w:w="1667" w:type="pct"/>
            <w:vAlign w:val="center"/>
          </w:tcPr>
          <w:p w14:paraId="1E4A05DA" w14:textId="77777777" w:rsidR="00DC5685" w:rsidRPr="00A34F10" w:rsidRDefault="00DC5685" w:rsidP="00DC5685">
            <w:pPr>
              <w:tabs>
                <w:tab w:val="left" w:pos="720"/>
              </w:tabs>
              <w:spacing w:before="20" w:after="20"/>
              <w:jc w:val="center"/>
              <w:rPr>
                <w:b/>
                <w:color w:val="000000" w:themeColor="text1"/>
                <w:sz w:val="20"/>
                <w:szCs w:val="20"/>
                <w:lang w:val="en-GB"/>
              </w:rPr>
            </w:pPr>
            <w:r w:rsidRPr="00A34F10">
              <w:rPr>
                <w:b/>
                <w:color w:val="000000" w:themeColor="text1"/>
                <w:sz w:val="20"/>
                <w:szCs w:val="20"/>
                <w:lang w:val="en-GB"/>
              </w:rPr>
              <w:t>% of nominal</w:t>
            </w:r>
          </w:p>
        </w:tc>
      </w:tr>
      <w:tr w:rsidR="00DC5685" w:rsidRPr="00A34F10" w14:paraId="04C5C81B" w14:textId="77777777" w:rsidTr="000470C3">
        <w:tc>
          <w:tcPr>
            <w:tcW w:w="1666" w:type="pct"/>
            <w:vAlign w:val="center"/>
          </w:tcPr>
          <w:p w14:paraId="6110F7E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Control</w:t>
            </w:r>
          </w:p>
        </w:tc>
        <w:tc>
          <w:tcPr>
            <w:tcW w:w="1667" w:type="pct"/>
            <w:vAlign w:val="center"/>
          </w:tcPr>
          <w:p w14:paraId="630298A1"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n.a.</w:t>
            </w:r>
          </w:p>
        </w:tc>
        <w:tc>
          <w:tcPr>
            <w:tcW w:w="1667" w:type="pct"/>
            <w:vAlign w:val="center"/>
          </w:tcPr>
          <w:p w14:paraId="75A6382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n.a.</w:t>
            </w:r>
          </w:p>
        </w:tc>
      </w:tr>
      <w:tr w:rsidR="00DC5685" w:rsidRPr="00A34F10" w14:paraId="6D6E9F78" w14:textId="77777777" w:rsidTr="000470C3">
        <w:tc>
          <w:tcPr>
            <w:tcW w:w="1666" w:type="pct"/>
            <w:vAlign w:val="center"/>
          </w:tcPr>
          <w:p w14:paraId="329A584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6.3</w:t>
            </w:r>
          </w:p>
        </w:tc>
        <w:tc>
          <w:tcPr>
            <w:tcW w:w="1667" w:type="pct"/>
            <w:vAlign w:val="center"/>
          </w:tcPr>
          <w:p w14:paraId="663A470E"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4.7</w:t>
            </w:r>
          </w:p>
        </w:tc>
        <w:tc>
          <w:tcPr>
            <w:tcW w:w="1667" w:type="pct"/>
            <w:vAlign w:val="center"/>
          </w:tcPr>
          <w:p w14:paraId="64C4D00E"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75</w:t>
            </w:r>
          </w:p>
        </w:tc>
      </w:tr>
      <w:tr w:rsidR="00DC5685" w:rsidRPr="00A34F10" w14:paraId="46017EAA" w14:textId="77777777" w:rsidTr="000470C3">
        <w:tc>
          <w:tcPr>
            <w:tcW w:w="1666" w:type="pct"/>
            <w:vAlign w:val="center"/>
          </w:tcPr>
          <w:p w14:paraId="47E8BE7F"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13</w:t>
            </w:r>
          </w:p>
        </w:tc>
        <w:tc>
          <w:tcPr>
            <w:tcW w:w="1667" w:type="pct"/>
            <w:vAlign w:val="center"/>
          </w:tcPr>
          <w:p w14:paraId="46E0EA60"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w:t>
            </w:r>
          </w:p>
        </w:tc>
        <w:tc>
          <w:tcPr>
            <w:tcW w:w="1667" w:type="pct"/>
            <w:vAlign w:val="center"/>
          </w:tcPr>
          <w:p w14:paraId="3D8C2F5B"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79</w:t>
            </w:r>
          </w:p>
        </w:tc>
      </w:tr>
      <w:tr w:rsidR="00DC5685" w:rsidRPr="00A34F10" w14:paraId="73BED499" w14:textId="77777777" w:rsidTr="000470C3">
        <w:tc>
          <w:tcPr>
            <w:tcW w:w="1666" w:type="pct"/>
            <w:vAlign w:val="center"/>
          </w:tcPr>
          <w:p w14:paraId="426519F9"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25</w:t>
            </w:r>
          </w:p>
        </w:tc>
        <w:tc>
          <w:tcPr>
            <w:tcW w:w="1667" w:type="pct"/>
            <w:vAlign w:val="center"/>
          </w:tcPr>
          <w:p w14:paraId="3BA2339C"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18</w:t>
            </w:r>
          </w:p>
        </w:tc>
        <w:tc>
          <w:tcPr>
            <w:tcW w:w="1667" w:type="pct"/>
            <w:vAlign w:val="center"/>
          </w:tcPr>
          <w:p w14:paraId="58A2AC74"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71</w:t>
            </w:r>
          </w:p>
        </w:tc>
      </w:tr>
      <w:tr w:rsidR="00DC5685" w:rsidRPr="00A34F10" w14:paraId="43F2BE71" w14:textId="77777777" w:rsidTr="000470C3">
        <w:tc>
          <w:tcPr>
            <w:tcW w:w="1666" w:type="pct"/>
            <w:vAlign w:val="center"/>
          </w:tcPr>
          <w:p w14:paraId="7AEEF873"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50</w:t>
            </w:r>
          </w:p>
        </w:tc>
        <w:tc>
          <w:tcPr>
            <w:tcW w:w="1667" w:type="pct"/>
            <w:vAlign w:val="center"/>
          </w:tcPr>
          <w:p w14:paraId="3CBE522F"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38</w:t>
            </w:r>
          </w:p>
        </w:tc>
        <w:tc>
          <w:tcPr>
            <w:tcW w:w="1667" w:type="pct"/>
            <w:vAlign w:val="center"/>
          </w:tcPr>
          <w:p w14:paraId="6C639908"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w:t>
            </w:r>
          </w:p>
        </w:tc>
      </w:tr>
      <w:tr w:rsidR="00DC5685" w:rsidRPr="00A34F10" w14:paraId="29190B5D" w14:textId="77777777" w:rsidTr="000470C3">
        <w:tc>
          <w:tcPr>
            <w:tcW w:w="1666" w:type="pct"/>
            <w:vAlign w:val="center"/>
          </w:tcPr>
          <w:p w14:paraId="5280DCAD"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100</w:t>
            </w:r>
          </w:p>
        </w:tc>
        <w:tc>
          <w:tcPr>
            <w:tcW w:w="1667" w:type="pct"/>
            <w:vAlign w:val="center"/>
          </w:tcPr>
          <w:p w14:paraId="349EBAB4"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w:t>
            </w:r>
          </w:p>
        </w:tc>
        <w:tc>
          <w:tcPr>
            <w:tcW w:w="1667" w:type="pct"/>
            <w:vAlign w:val="center"/>
          </w:tcPr>
          <w:p w14:paraId="486D6DC5" w14:textId="77777777" w:rsidR="00DC5685" w:rsidRPr="00A34F10" w:rsidRDefault="00DC5685" w:rsidP="00DC5685">
            <w:pPr>
              <w:tabs>
                <w:tab w:val="left" w:pos="720"/>
              </w:tabs>
              <w:spacing w:before="20" w:after="20"/>
              <w:jc w:val="center"/>
              <w:rPr>
                <w:color w:val="000000" w:themeColor="text1"/>
                <w:sz w:val="20"/>
                <w:szCs w:val="20"/>
                <w:lang w:val="en-GB"/>
              </w:rPr>
            </w:pPr>
            <w:r w:rsidRPr="00A34F10">
              <w:rPr>
                <w:color w:val="000000" w:themeColor="text1"/>
                <w:sz w:val="20"/>
                <w:szCs w:val="20"/>
                <w:lang w:val="en-GB"/>
              </w:rPr>
              <w:t>77</w:t>
            </w:r>
          </w:p>
        </w:tc>
      </w:tr>
    </w:tbl>
    <w:p w14:paraId="40D5BEBC" w14:textId="11F7A911" w:rsidR="00DC5685" w:rsidRPr="00A34F10" w:rsidRDefault="00DC5685" w:rsidP="00DC5685">
      <w:pPr>
        <w:tabs>
          <w:tab w:val="left" w:pos="720"/>
        </w:tabs>
        <w:spacing w:after="360"/>
        <w:jc w:val="both"/>
        <w:rPr>
          <w:color w:val="000000" w:themeColor="text1"/>
          <w:sz w:val="18"/>
          <w:szCs w:val="18"/>
          <w:lang w:val="en-GB"/>
        </w:rPr>
      </w:pPr>
      <w:r w:rsidRPr="00A34F10">
        <w:rPr>
          <w:color w:val="000000" w:themeColor="text1"/>
          <w:sz w:val="18"/>
          <w:szCs w:val="18"/>
          <w:lang w:val="en-GB"/>
        </w:rPr>
        <w:t xml:space="preserve">n.a.: not applicable </w:t>
      </w:r>
    </w:p>
    <w:p w14:paraId="630304DE" w14:textId="77777777" w:rsidR="00DC5685" w:rsidRPr="00A34F10" w:rsidRDefault="00DC5685" w:rsidP="00E05ECD">
      <w:pPr>
        <w:keepNext/>
        <w:keepLines/>
        <w:numPr>
          <w:ilvl w:val="0"/>
          <w:numId w:val="42"/>
        </w:numPr>
        <w:contextualSpacing/>
        <w:rPr>
          <w:color w:val="000000" w:themeColor="text1"/>
          <w:lang w:val="en-GB"/>
        </w:rPr>
      </w:pPr>
      <w:r w:rsidRPr="00A34F10">
        <w:rPr>
          <w:b/>
          <w:bCs/>
          <w:color w:val="000000" w:themeColor="text1"/>
          <w:lang w:val="en-GB"/>
        </w:rPr>
        <w:t xml:space="preserve">VALIDITY CRITERIA </w:t>
      </w:r>
    </w:p>
    <w:p w14:paraId="05DE98EF" w14:textId="77777777" w:rsidR="00DC5685" w:rsidRPr="00A34F10" w:rsidRDefault="00DC5685" w:rsidP="00DC5685">
      <w:pPr>
        <w:keepNext/>
        <w:keepLines/>
        <w:tabs>
          <w:tab w:val="left" w:pos="720"/>
        </w:tabs>
        <w:jc w:val="both"/>
        <w:rPr>
          <w:b/>
          <w:bCs/>
          <w:color w:val="000000" w:themeColor="text1"/>
          <w:lang w:val="en-GB"/>
        </w:rPr>
      </w:pPr>
    </w:p>
    <w:p w14:paraId="479DCBF6" w14:textId="3DE924D7" w:rsidR="00DC5685" w:rsidRPr="00A34F10" w:rsidRDefault="00DC5685" w:rsidP="00DC5685">
      <w:pPr>
        <w:keepNext/>
        <w:keepLines/>
        <w:tabs>
          <w:tab w:val="left" w:pos="720"/>
        </w:tabs>
        <w:jc w:val="both"/>
        <w:rPr>
          <w:color w:val="000000" w:themeColor="text1"/>
          <w:lang w:val="en-GB"/>
        </w:rPr>
      </w:pPr>
      <w:r w:rsidRPr="00A34F10">
        <w:rPr>
          <w:color w:val="000000" w:themeColor="text1"/>
          <w:lang w:val="en-GB"/>
        </w:rPr>
        <w:t>At test termination, the mysids in the control met the performance criteria of the OPPTS 850.1350 guideline (&gt; 70% survival of F</w:t>
      </w:r>
      <w:r w:rsidRPr="00A34F10">
        <w:rPr>
          <w:color w:val="000000" w:themeColor="text1"/>
          <w:vertAlign w:val="subscript"/>
          <w:lang w:val="en-GB"/>
        </w:rPr>
        <w:t>0</w:t>
      </w:r>
      <w:r w:rsidRPr="00A34F10">
        <w:rPr>
          <w:color w:val="000000" w:themeColor="text1"/>
          <w:lang w:val="en-GB"/>
        </w:rPr>
        <w:t xml:space="preserve"> mysids between pairing and exposure termination, &gt; 75% of the females in the control released young and the control organisms produced &gt; 3 offspring per female). Control mean survival between pairing and exposure termination was 77%; 90% of control females produced young, and control reproduction averaged 21.1 offspring per female. </w:t>
      </w:r>
    </w:p>
    <w:p w14:paraId="0BA66C9E" w14:textId="77777777" w:rsidR="00DC5685" w:rsidRPr="00A34F10" w:rsidRDefault="00DC5685" w:rsidP="00DC5685">
      <w:pPr>
        <w:tabs>
          <w:tab w:val="left" w:pos="720"/>
        </w:tabs>
        <w:jc w:val="both"/>
        <w:rPr>
          <w:color w:val="000000" w:themeColor="text1"/>
          <w:lang w:val="en-GB"/>
        </w:rPr>
      </w:pPr>
    </w:p>
    <w:p w14:paraId="0AA1B17C" w14:textId="77777777" w:rsidR="00DC5685" w:rsidRPr="00A34F10" w:rsidRDefault="00DC5685" w:rsidP="00E05ECD">
      <w:pPr>
        <w:keepNext/>
        <w:keepLines/>
        <w:numPr>
          <w:ilvl w:val="0"/>
          <w:numId w:val="42"/>
        </w:numPr>
        <w:contextualSpacing/>
        <w:rPr>
          <w:color w:val="000000" w:themeColor="text1"/>
          <w:lang w:val="en-GB"/>
        </w:rPr>
      </w:pPr>
      <w:r w:rsidRPr="00A34F10">
        <w:rPr>
          <w:b/>
          <w:bCs/>
          <w:color w:val="000000" w:themeColor="text1"/>
          <w:lang w:val="en-GB"/>
        </w:rPr>
        <w:t>DEVIATIONS</w:t>
      </w:r>
    </w:p>
    <w:p w14:paraId="78228B7B" w14:textId="77777777" w:rsidR="00DC5685" w:rsidRPr="00A34F10" w:rsidRDefault="00DC5685" w:rsidP="00DC5685">
      <w:pPr>
        <w:tabs>
          <w:tab w:val="left" w:pos="720"/>
        </w:tabs>
        <w:jc w:val="both"/>
        <w:rPr>
          <w:color w:val="000000" w:themeColor="text1"/>
          <w:lang w:val="en-GB"/>
        </w:rPr>
      </w:pPr>
    </w:p>
    <w:p w14:paraId="604DD8AE" w14:textId="77777777" w:rsidR="00DC5685" w:rsidRPr="00A34F10" w:rsidRDefault="00DC5685" w:rsidP="00DC5685">
      <w:pPr>
        <w:tabs>
          <w:tab w:val="left" w:pos="720"/>
        </w:tabs>
        <w:jc w:val="both"/>
        <w:rPr>
          <w:color w:val="000000" w:themeColor="text1"/>
          <w:lang w:val="en-GB"/>
        </w:rPr>
      </w:pPr>
      <w:r w:rsidRPr="00A34F10">
        <w:rPr>
          <w:color w:val="000000" w:themeColor="text1"/>
          <w:lang w:val="en-GB"/>
        </w:rPr>
        <w:t>The protocol states that the organisms will be dried for approximately 24 hours at approximately 100 °C. For this test, the organisms were dried in an oven at approximately 60 °C for 92.5 hours. Since all replicates were treated equally and the control dry weight data compares to previous mysid life cycle studies, it can be assumed that this deviation did not have a negative impact on the results or interpretation of the study.</w:t>
      </w:r>
    </w:p>
    <w:p w14:paraId="257E73BD" w14:textId="77777777" w:rsidR="00DC5685" w:rsidRPr="00A34F10" w:rsidRDefault="00DC5685" w:rsidP="00DC5685">
      <w:pPr>
        <w:tabs>
          <w:tab w:val="left" w:pos="720"/>
        </w:tabs>
        <w:jc w:val="both"/>
        <w:rPr>
          <w:color w:val="000000" w:themeColor="text1"/>
          <w:lang w:val="en-GB"/>
        </w:rPr>
      </w:pPr>
    </w:p>
    <w:p w14:paraId="7F2ADC0B" w14:textId="77777777" w:rsidR="00DC5685" w:rsidRPr="00A34F10" w:rsidRDefault="00DC5685" w:rsidP="00DC5685">
      <w:pPr>
        <w:tabs>
          <w:tab w:val="left" w:pos="720"/>
        </w:tabs>
        <w:spacing w:after="240"/>
        <w:ind w:left="289"/>
        <w:jc w:val="center"/>
        <w:rPr>
          <w:b/>
          <w:bCs/>
          <w:caps/>
          <w:color w:val="000000" w:themeColor="text1"/>
          <w:szCs w:val="24"/>
          <w:lang w:val="en-GB"/>
        </w:rPr>
      </w:pPr>
      <w:r w:rsidRPr="00A34F10">
        <w:rPr>
          <w:b/>
          <w:bCs/>
          <w:caps/>
          <w:color w:val="000000" w:themeColor="text1"/>
          <w:szCs w:val="24"/>
          <w:lang w:val="en-GB"/>
        </w:rPr>
        <w:t>III. Conclusion</w:t>
      </w:r>
    </w:p>
    <w:p w14:paraId="2A488FA7" w14:textId="77777777" w:rsidR="00DC5685" w:rsidRDefault="00DC5685" w:rsidP="00DC5685">
      <w:pPr>
        <w:widowControl w:val="0"/>
        <w:jc w:val="both"/>
        <w:rPr>
          <w:color w:val="000000" w:themeColor="text1"/>
          <w:lang w:val="en-GB"/>
        </w:rPr>
      </w:pPr>
      <w:r w:rsidRPr="00A34F10">
        <w:rPr>
          <w:color w:val="000000" w:themeColor="text1"/>
          <w:lang w:val="en-GB"/>
        </w:rPr>
        <w:t>The toxicity of BAS 650 F to the mysid (</w:t>
      </w:r>
      <w:r w:rsidRPr="00A34F10">
        <w:rPr>
          <w:i/>
          <w:iCs/>
          <w:color w:val="000000" w:themeColor="text1"/>
          <w:lang w:val="en-GB"/>
        </w:rPr>
        <w:t>Americamysis bahia</w:t>
      </w:r>
      <w:r w:rsidRPr="00A34F10">
        <w:rPr>
          <w:color w:val="000000" w:themeColor="text1"/>
          <w:lang w:val="en-GB"/>
        </w:rPr>
        <w:t>) over a full life-cycle was assessed over 28 days under flow through conditions. Results of the study are based on mean measured concentrations. The NOEC was determined to be 18 µg a.s./L and the LOEC was determined to be 38 µg a.s./L. The MATC was determined to be 26 µg a.s./L.</w:t>
      </w:r>
    </w:p>
    <w:p w14:paraId="3CBBC4AC" w14:textId="2CE55461" w:rsidR="00DC5685" w:rsidRPr="00A34F10" w:rsidRDefault="00DC5685" w:rsidP="00762DE7">
      <w:pPr>
        <w:pStyle w:val="RepAppendix3"/>
      </w:pPr>
      <w:bookmarkStart w:id="1067" w:name="_Toc413922099"/>
      <w:bookmarkStart w:id="1068" w:name="_Toc413922588"/>
      <w:bookmarkStart w:id="1069" w:name="_Toc413922692"/>
      <w:bookmarkStart w:id="1070" w:name="_Toc414955329"/>
      <w:bookmarkStart w:id="1071" w:name="_Toc415214636"/>
      <w:bookmarkStart w:id="1072" w:name="_Toc181625024"/>
      <w:r w:rsidRPr="00A34F10">
        <w:t>KCP 10.2.3</w:t>
      </w:r>
      <w:r w:rsidRPr="00A34F10">
        <w:tab/>
        <w:t>Further testing on aquatic organisms</w:t>
      </w:r>
      <w:bookmarkEnd w:id="1067"/>
      <w:bookmarkEnd w:id="1068"/>
      <w:bookmarkEnd w:id="1069"/>
      <w:bookmarkEnd w:id="1070"/>
      <w:bookmarkEnd w:id="1071"/>
      <w:bookmarkEnd w:id="1072"/>
    </w:p>
    <w:p w14:paraId="0A74CD82" w14:textId="77777777" w:rsidR="00DC5685" w:rsidRPr="00A34F10" w:rsidRDefault="00DC5685" w:rsidP="00DC5685">
      <w:pPr>
        <w:jc w:val="both"/>
        <w:rPr>
          <w:color w:val="000000"/>
        </w:rPr>
      </w:pPr>
      <w:r w:rsidRPr="00A34F10">
        <w:rPr>
          <w:color w:val="000000" w:themeColor="text1"/>
        </w:rPr>
        <w:t>Based on the outcome of the first-tier risk assessments, no further testing on aquatic organisms was considered necessary.</w:t>
      </w:r>
    </w:p>
    <w:p w14:paraId="57DA4894" w14:textId="77777777" w:rsidR="00DC5685" w:rsidRPr="00A34F10" w:rsidRDefault="00DC5685" w:rsidP="002E7F42">
      <w:pPr>
        <w:pStyle w:val="StyleOECD-BASIS-TEXTLeft"/>
        <w:rPr>
          <w:sz w:val="22"/>
          <w:lang w:val="en-US"/>
        </w:rPr>
        <w:sectPr w:rsidR="00DC5685" w:rsidRPr="00A34F10" w:rsidSect="00D20BDB">
          <w:pgSz w:w="11906" w:h="16838"/>
          <w:pgMar w:top="1418" w:right="1134" w:bottom="1134" w:left="1418" w:header="709" w:footer="709" w:gutter="0"/>
          <w:pgNumType w:chapSep="period"/>
          <w:cols w:space="708"/>
          <w:docGrid w:linePitch="360"/>
        </w:sectPr>
      </w:pPr>
    </w:p>
    <w:p w14:paraId="1F5BB30F" w14:textId="77777777" w:rsidR="00DC5685" w:rsidRPr="00A34F10" w:rsidRDefault="00DC5685" w:rsidP="00BA74D9">
      <w:pPr>
        <w:pStyle w:val="RepAppendix2"/>
      </w:pPr>
      <w:bookmarkStart w:id="1073" w:name="_Toc413922100"/>
      <w:bookmarkStart w:id="1074" w:name="_Toc413922589"/>
      <w:bookmarkStart w:id="1075" w:name="_Toc413922693"/>
      <w:bookmarkStart w:id="1076" w:name="_Toc414955330"/>
      <w:bookmarkStart w:id="1077" w:name="_Toc415214637"/>
      <w:bookmarkStart w:id="1078" w:name="_Toc181625025"/>
      <w:r w:rsidRPr="00A34F10">
        <w:lastRenderedPageBreak/>
        <w:t xml:space="preserve">KCP 10.3 </w:t>
      </w:r>
      <w:r w:rsidRPr="00A34F10">
        <w:tab/>
        <w:t>Effects on arthropods</w:t>
      </w:r>
      <w:bookmarkEnd w:id="1073"/>
      <w:bookmarkEnd w:id="1074"/>
      <w:bookmarkEnd w:id="1075"/>
      <w:bookmarkEnd w:id="1076"/>
      <w:bookmarkEnd w:id="1077"/>
      <w:bookmarkEnd w:id="1078"/>
    </w:p>
    <w:p w14:paraId="1BF1041E" w14:textId="77777777" w:rsidR="00DC5685" w:rsidRPr="00A34F10" w:rsidRDefault="00DC5685" w:rsidP="00BA74D9">
      <w:pPr>
        <w:pStyle w:val="RepAppendix3"/>
      </w:pPr>
      <w:bookmarkStart w:id="1079" w:name="_Toc413922101"/>
      <w:bookmarkStart w:id="1080" w:name="_Toc413922590"/>
      <w:bookmarkStart w:id="1081" w:name="_Toc413922694"/>
      <w:bookmarkStart w:id="1082" w:name="_Toc414955331"/>
      <w:bookmarkStart w:id="1083" w:name="_Toc415214638"/>
      <w:bookmarkStart w:id="1084" w:name="_Toc181625026"/>
      <w:r w:rsidRPr="00A34F10">
        <w:t xml:space="preserve">KCP 10.3.1 </w:t>
      </w:r>
      <w:r w:rsidRPr="00A34F10">
        <w:tab/>
        <w:t>Effects on bees</w:t>
      </w:r>
      <w:bookmarkEnd w:id="1079"/>
      <w:bookmarkEnd w:id="1080"/>
      <w:bookmarkEnd w:id="1081"/>
      <w:bookmarkEnd w:id="1082"/>
      <w:bookmarkEnd w:id="1083"/>
      <w:bookmarkEnd w:id="1084"/>
    </w:p>
    <w:p w14:paraId="0837B92F" w14:textId="77777777" w:rsidR="00DC5685" w:rsidRPr="00A34F10" w:rsidRDefault="00DC5685" w:rsidP="00BA74D9">
      <w:pPr>
        <w:pStyle w:val="RepAppendix4"/>
      </w:pPr>
      <w:r w:rsidRPr="00A34F10">
        <w:t xml:space="preserve">KCP 10.3.1.1 </w:t>
      </w:r>
      <w:r w:rsidRPr="00A34F10">
        <w:tab/>
        <w:t>Acute toxicity to bees</w:t>
      </w:r>
    </w:p>
    <w:p w14:paraId="5CC80216" w14:textId="77777777" w:rsidR="00DC5685" w:rsidRPr="00A34F10" w:rsidRDefault="00DC5685" w:rsidP="00BA74D9">
      <w:pPr>
        <w:pStyle w:val="RepAppendix5"/>
      </w:pPr>
      <w:r w:rsidRPr="00A34F10">
        <w:t>KCP 10.3.1.1.1</w:t>
      </w:r>
      <w:r w:rsidRPr="00A34F10">
        <w:tab/>
        <w:t>Acute oral toxicity to bees</w:t>
      </w:r>
    </w:p>
    <w:p w14:paraId="0004E0CF" w14:textId="77777777" w:rsidR="00DC5685" w:rsidRPr="00A34F10" w:rsidRDefault="00DC5685" w:rsidP="00BB63B3">
      <w:pPr>
        <w:pStyle w:val="RepAppendix6"/>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48932342" w14:textId="77777777" w:rsidTr="002F4C5D">
        <w:tc>
          <w:tcPr>
            <w:tcW w:w="1063" w:type="pct"/>
            <w:shd w:val="clear" w:color="auto" w:fill="D9D9D9" w:themeFill="background1" w:themeFillShade="D9"/>
          </w:tcPr>
          <w:p w14:paraId="56311E5E"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692B6462" w14:textId="6F2991FF" w:rsidR="00F368C5" w:rsidRPr="007A6328" w:rsidRDefault="00F368C5" w:rsidP="00F368C5">
            <w:pPr>
              <w:pStyle w:val="RepStandard"/>
              <w:rPr>
                <w:color w:val="000000"/>
              </w:rPr>
            </w:pPr>
            <w:r w:rsidRPr="007A6328">
              <w:rPr>
                <w:color w:val="000000"/>
              </w:rPr>
              <w:t xml:space="preserve">The study was conducted to </w:t>
            </w:r>
            <w:r>
              <w:t>OECD 213</w:t>
            </w:r>
            <w:r w:rsidR="007D0F27">
              <w:t xml:space="preserve"> </w:t>
            </w:r>
            <w:r w:rsidRPr="007A6328">
              <w:rPr>
                <w:color w:val="000000"/>
              </w:rPr>
              <w:t>and according to the principles of GLP. No deviations to the guideline were noted. All validity criteria were met.</w:t>
            </w:r>
          </w:p>
          <w:p w14:paraId="3566ECB1" w14:textId="40B6FF75" w:rsidR="00DC5685" w:rsidRPr="00A34F10" w:rsidRDefault="00F368C5" w:rsidP="00F368C5">
            <w:pPr>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tbl>
    <w:p w14:paraId="4FBC7677" w14:textId="77777777" w:rsidR="00DC5685" w:rsidRPr="00A34F10" w:rsidRDefault="00DC5685" w:rsidP="00DC5685">
      <w:pPr>
        <w:suppressAutoHyphens/>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7CF0B024" w14:textId="77777777" w:rsidTr="000470C3">
        <w:trPr>
          <w:trHeight w:val="227"/>
          <w:jc w:val="center"/>
        </w:trPr>
        <w:tc>
          <w:tcPr>
            <w:tcW w:w="1288" w:type="pct"/>
          </w:tcPr>
          <w:p w14:paraId="0C1984C2" w14:textId="77777777" w:rsidR="00DC5685" w:rsidRPr="00A34F10" w:rsidRDefault="00DC5685" w:rsidP="00DC5685">
            <w:pPr>
              <w:widowControl w:val="0"/>
              <w:spacing w:after="120"/>
              <w:jc w:val="both"/>
            </w:pPr>
            <w:r w:rsidRPr="00A34F10">
              <w:t xml:space="preserve">Data point: </w:t>
            </w:r>
          </w:p>
        </w:tc>
        <w:tc>
          <w:tcPr>
            <w:tcW w:w="3712" w:type="pct"/>
          </w:tcPr>
          <w:p w14:paraId="4A06AB91" w14:textId="77777777" w:rsidR="00DC5685" w:rsidRPr="00A34F10" w:rsidRDefault="00DC5685" w:rsidP="00DC5685">
            <w:pPr>
              <w:keepNext/>
              <w:tabs>
                <w:tab w:val="left" w:pos="360"/>
                <w:tab w:val="left" w:pos="720"/>
              </w:tabs>
              <w:spacing w:before="60" w:after="60"/>
              <w:jc w:val="both"/>
            </w:pPr>
            <w:r w:rsidRPr="00A34F10">
              <w:t>CP 10.3.1.1.1/01</w:t>
            </w:r>
          </w:p>
        </w:tc>
      </w:tr>
      <w:tr w:rsidR="00DC5685" w:rsidRPr="00A34F10" w14:paraId="48BEE08E" w14:textId="77777777" w:rsidTr="000470C3">
        <w:trPr>
          <w:trHeight w:val="227"/>
          <w:jc w:val="center"/>
        </w:trPr>
        <w:tc>
          <w:tcPr>
            <w:tcW w:w="1288" w:type="pct"/>
          </w:tcPr>
          <w:p w14:paraId="38A24672" w14:textId="77777777" w:rsidR="00DC5685" w:rsidRPr="00A34F10" w:rsidRDefault="00DC5685" w:rsidP="00DC5685">
            <w:pPr>
              <w:widowControl w:val="0"/>
              <w:spacing w:after="120"/>
              <w:jc w:val="both"/>
            </w:pPr>
            <w:r w:rsidRPr="00A34F10">
              <w:t xml:space="preserve">Report </w:t>
            </w:r>
          </w:p>
        </w:tc>
        <w:tc>
          <w:tcPr>
            <w:tcW w:w="3712" w:type="pct"/>
          </w:tcPr>
          <w:p w14:paraId="44755682" w14:textId="77777777" w:rsidR="00DC5685" w:rsidRPr="00A34F10" w:rsidRDefault="00DC5685" w:rsidP="00DC5685">
            <w:pPr>
              <w:widowControl w:val="0"/>
              <w:spacing w:after="120"/>
              <w:jc w:val="both"/>
            </w:pPr>
            <w:r w:rsidRPr="00A34F10">
              <w:t xml:space="preserve">Acute toxicity of BAS 743 02 F to the honeybee </w:t>
            </w:r>
            <w:r w:rsidRPr="00A34F10">
              <w:rPr>
                <w:i/>
                <w:iCs/>
              </w:rPr>
              <w:t>Apis mellifera</w:t>
            </w:r>
            <w:r w:rsidRPr="00A34F10">
              <w:t xml:space="preserve"> L. under laboratory conditions</w:t>
            </w:r>
          </w:p>
          <w:p w14:paraId="6484A3EC" w14:textId="77777777" w:rsidR="00DC5685" w:rsidRPr="00A34F10" w:rsidRDefault="00DC5685" w:rsidP="00DC5685">
            <w:pPr>
              <w:widowControl w:val="0"/>
              <w:spacing w:after="120"/>
              <w:jc w:val="both"/>
            </w:pPr>
            <w:r w:rsidRPr="00A34F10">
              <w:t>Poráczki, K., 2023</w:t>
            </w:r>
          </w:p>
          <w:p w14:paraId="4F9187C0" w14:textId="46E883A4" w:rsidR="00DC5685" w:rsidRPr="00A34F10" w:rsidRDefault="00D007AB" w:rsidP="00DC5685">
            <w:pPr>
              <w:widowControl w:val="0"/>
              <w:spacing w:after="120"/>
              <w:jc w:val="both"/>
            </w:pPr>
            <w:r>
              <w:t>XXXX</w:t>
            </w:r>
            <w:r w:rsidR="00DC5685" w:rsidRPr="00A34F10">
              <w:t xml:space="preserve"> Study ID: 933752_1</w:t>
            </w:r>
          </w:p>
          <w:p w14:paraId="1D11A3A0" w14:textId="3DFED667" w:rsidR="00DC5685" w:rsidRPr="00A34F10" w:rsidRDefault="00D007AB" w:rsidP="00DC5685">
            <w:pPr>
              <w:widowControl w:val="0"/>
              <w:spacing w:after="120"/>
              <w:jc w:val="both"/>
            </w:pPr>
            <w:r>
              <w:t>XXXX</w:t>
            </w:r>
            <w:r w:rsidR="00DC5685" w:rsidRPr="00A34F10">
              <w:t xml:space="preserve"> Doc ID: 2022/2033708</w:t>
            </w:r>
          </w:p>
        </w:tc>
      </w:tr>
      <w:tr w:rsidR="00DC5685" w:rsidRPr="00A34F10" w14:paraId="555517A8" w14:textId="77777777" w:rsidTr="000470C3">
        <w:trPr>
          <w:trHeight w:val="227"/>
          <w:jc w:val="center"/>
        </w:trPr>
        <w:tc>
          <w:tcPr>
            <w:tcW w:w="1288" w:type="pct"/>
          </w:tcPr>
          <w:p w14:paraId="5DB98099" w14:textId="77777777" w:rsidR="00DC5685" w:rsidRPr="00A34F10" w:rsidRDefault="00DC5685" w:rsidP="00DC5685">
            <w:pPr>
              <w:widowControl w:val="0"/>
              <w:spacing w:after="120"/>
              <w:jc w:val="both"/>
            </w:pPr>
            <w:r w:rsidRPr="00A34F10">
              <w:t>Guideline(s):</w:t>
            </w:r>
          </w:p>
        </w:tc>
        <w:tc>
          <w:tcPr>
            <w:tcW w:w="3712" w:type="pct"/>
          </w:tcPr>
          <w:p w14:paraId="308765B1" w14:textId="77777777" w:rsidR="00DC5685" w:rsidRPr="00A34F10" w:rsidRDefault="00DC5685" w:rsidP="00DC5685">
            <w:pPr>
              <w:widowControl w:val="0"/>
              <w:spacing w:after="120"/>
              <w:jc w:val="both"/>
            </w:pPr>
            <w:r w:rsidRPr="00A34F10">
              <w:t>OECD 213: Honeybees, Acute Oral Toxicity Test (1998), OECD 214: Honeybees, Acute Contact Toxicity Test (1998)</w:t>
            </w:r>
          </w:p>
        </w:tc>
      </w:tr>
      <w:tr w:rsidR="00DC5685" w:rsidRPr="00A34F10" w14:paraId="65D5F2F1" w14:textId="77777777" w:rsidTr="000470C3">
        <w:trPr>
          <w:trHeight w:val="227"/>
          <w:jc w:val="center"/>
        </w:trPr>
        <w:tc>
          <w:tcPr>
            <w:tcW w:w="1288" w:type="pct"/>
          </w:tcPr>
          <w:p w14:paraId="3C797880" w14:textId="77777777" w:rsidR="00DC5685" w:rsidRPr="00A34F10" w:rsidRDefault="00DC5685" w:rsidP="00DC5685">
            <w:pPr>
              <w:widowControl w:val="0"/>
              <w:spacing w:after="120"/>
              <w:jc w:val="both"/>
            </w:pPr>
            <w:r w:rsidRPr="00A34F10">
              <w:t xml:space="preserve">Deviations: </w:t>
            </w:r>
          </w:p>
        </w:tc>
        <w:tc>
          <w:tcPr>
            <w:tcW w:w="3712" w:type="pct"/>
          </w:tcPr>
          <w:p w14:paraId="1B1092A1" w14:textId="77777777" w:rsidR="00DC5685" w:rsidRPr="00A34F10" w:rsidRDefault="00DC5685" w:rsidP="00DC5685">
            <w:pPr>
              <w:widowControl w:val="0"/>
              <w:spacing w:after="120"/>
              <w:jc w:val="both"/>
            </w:pPr>
            <w:r w:rsidRPr="00A34F10">
              <w:t>No</w:t>
            </w:r>
          </w:p>
        </w:tc>
      </w:tr>
      <w:tr w:rsidR="00DC5685" w:rsidRPr="00A34F10" w14:paraId="0AD04234" w14:textId="77777777" w:rsidTr="000470C3">
        <w:trPr>
          <w:trHeight w:val="227"/>
          <w:jc w:val="center"/>
        </w:trPr>
        <w:tc>
          <w:tcPr>
            <w:tcW w:w="1288" w:type="pct"/>
          </w:tcPr>
          <w:p w14:paraId="5BD5FA31" w14:textId="77777777" w:rsidR="00DC5685" w:rsidRPr="00A34F10" w:rsidRDefault="00DC5685" w:rsidP="00DC5685">
            <w:pPr>
              <w:widowControl w:val="0"/>
              <w:spacing w:after="120"/>
              <w:jc w:val="both"/>
            </w:pPr>
            <w:r w:rsidRPr="00A34F10">
              <w:t>GLP:</w:t>
            </w:r>
          </w:p>
        </w:tc>
        <w:tc>
          <w:tcPr>
            <w:tcW w:w="3712" w:type="pct"/>
          </w:tcPr>
          <w:p w14:paraId="3AEC0032" w14:textId="77777777" w:rsidR="00DC5685" w:rsidRPr="00A34F10" w:rsidRDefault="00DC5685" w:rsidP="00DC5685">
            <w:pPr>
              <w:widowControl w:val="0"/>
              <w:spacing w:after="120"/>
              <w:jc w:val="both"/>
            </w:pPr>
            <w:r w:rsidRPr="00A34F10">
              <w:t>Yes, GLP</w:t>
            </w:r>
          </w:p>
        </w:tc>
      </w:tr>
      <w:tr w:rsidR="00DC5685" w:rsidRPr="00A34F10" w14:paraId="261390C4" w14:textId="77777777" w:rsidTr="000470C3">
        <w:trPr>
          <w:trHeight w:val="227"/>
          <w:jc w:val="center"/>
        </w:trPr>
        <w:tc>
          <w:tcPr>
            <w:tcW w:w="1288" w:type="pct"/>
          </w:tcPr>
          <w:p w14:paraId="728875AB" w14:textId="77777777" w:rsidR="00DC5685" w:rsidRPr="00A34F10" w:rsidRDefault="00DC5685" w:rsidP="00DC5685">
            <w:pPr>
              <w:widowControl w:val="0"/>
              <w:spacing w:after="120"/>
              <w:jc w:val="both"/>
            </w:pPr>
            <w:r w:rsidRPr="00A34F10">
              <w:t xml:space="preserve">Acceptability: </w:t>
            </w:r>
          </w:p>
        </w:tc>
        <w:tc>
          <w:tcPr>
            <w:tcW w:w="3712" w:type="pct"/>
          </w:tcPr>
          <w:p w14:paraId="78170479" w14:textId="77777777" w:rsidR="00DC5685" w:rsidRPr="00A34F10" w:rsidRDefault="00DC5685" w:rsidP="00DC5685">
            <w:pPr>
              <w:widowControl w:val="0"/>
              <w:spacing w:after="120"/>
              <w:jc w:val="both"/>
            </w:pPr>
            <w:r w:rsidRPr="00A34F10">
              <w:t>Yes</w:t>
            </w:r>
          </w:p>
        </w:tc>
      </w:tr>
    </w:tbl>
    <w:p w14:paraId="57A57DF4" w14:textId="77777777" w:rsidR="00DC5685" w:rsidRPr="00A34F10" w:rsidRDefault="00DC5685" w:rsidP="00DC5685">
      <w:pPr>
        <w:suppressAutoHyphens/>
        <w:rPr>
          <w:color w:val="000000" w:themeColor="text1"/>
        </w:rPr>
      </w:pPr>
    </w:p>
    <w:p w14:paraId="02DDCFD0"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6F6C22CE"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The acute contact and oral toxicity of BAS 743 02 F was tested on honeybees (</w:t>
      </w:r>
      <w:r w:rsidRPr="00A34F10">
        <w:rPr>
          <w:i/>
          <w:iCs/>
          <w:szCs w:val="24"/>
          <w:lang w:val="en-GB"/>
        </w:rPr>
        <w:t>Apis mellifera</w:t>
      </w:r>
      <w:r w:rsidRPr="00A34F10">
        <w:rPr>
          <w:szCs w:val="24"/>
          <w:lang w:val="en-GB"/>
        </w:rPr>
        <w:t xml:space="preserve"> L.) under laboratory conditions over 48 hours. Nominal test doses were 62.5, 125, 250, 500 and 1000 µg product/bee in both tests, that is corresponding to 527.0, 263.5, 131.7, 65.9 and 32.9 μg total a.s./bee, respectively (based on sum of nominal content of a.s.). Control groups were run in parallel (50% (w/v) sucrose solution in the oral test and a water and a wetting agent control in the contact test). Every treatment group in both tests comprised 3 replicates, with 10 bees per replicate. </w:t>
      </w:r>
    </w:p>
    <w:p w14:paraId="22803212" w14:textId="77777777" w:rsidR="00DC5685" w:rsidRPr="00A34F10" w:rsidRDefault="00DC5685" w:rsidP="00DC5685">
      <w:pPr>
        <w:tabs>
          <w:tab w:val="left" w:pos="720"/>
        </w:tabs>
        <w:spacing w:after="240"/>
        <w:jc w:val="both"/>
        <w:rPr>
          <w:szCs w:val="24"/>
          <w:lang w:val="en-GB"/>
        </w:rPr>
      </w:pPr>
      <w:r w:rsidRPr="00A34F10">
        <w:rPr>
          <w:szCs w:val="24"/>
          <w:lang w:val="en-GB"/>
        </w:rPr>
        <w:t>In the contact toxicity test, no mortality occurred in the control groups either treated with deionised water or 1 % v/v tween solution. In the test item treatment, no mortality was observed after thoracic application of ≤ 1000 μg BAS 743 02 F/bee, after 48 hours. The LD</w:t>
      </w:r>
      <w:r w:rsidRPr="00A34F10">
        <w:rPr>
          <w:szCs w:val="24"/>
          <w:vertAlign w:val="subscript"/>
          <w:lang w:val="en-GB"/>
        </w:rPr>
        <w:t xml:space="preserve">50 </w:t>
      </w:r>
      <w:r w:rsidRPr="00A34F10">
        <w:rPr>
          <w:szCs w:val="24"/>
          <w:lang w:val="en-GB"/>
        </w:rPr>
        <w:t xml:space="preserve">(48 h) was &gt; 1000 μg BAS 743 02 F/bee, corresponding to &gt; 527.0μg total a.s./bee. </w:t>
      </w:r>
    </w:p>
    <w:p w14:paraId="2B0DB27C" w14:textId="20CA2AA3" w:rsidR="00BA74D9" w:rsidRDefault="00DC5685" w:rsidP="00DC5685">
      <w:pPr>
        <w:tabs>
          <w:tab w:val="left" w:pos="720"/>
        </w:tabs>
        <w:spacing w:after="240"/>
        <w:jc w:val="both"/>
        <w:rPr>
          <w:sz w:val="20"/>
          <w:szCs w:val="20"/>
        </w:rPr>
      </w:pPr>
      <w:r w:rsidRPr="00A34F10">
        <w:rPr>
          <w:szCs w:val="24"/>
          <w:lang w:val="en-GB"/>
        </w:rPr>
        <w:t>In the oral toxicity test, no mortality occurred in the control group fed with pure 50 % w/v sucrose solution. In the test item treatment, statistically significant mortality of 20.0 % was observed after oral consumption of 844 μg BAS 743 02 F/bee, after 48 hours. The LD</w:t>
      </w:r>
      <w:r w:rsidRPr="00A34F10">
        <w:rPr>
          <w:szCs w:val="24"/>
          <w:vertAlign w:val="subscript"/>
          <w:lang w:val="en-GB"/>
        </w:rPr>
        <w:t>50</w:t>
      </w:r>
      <w:r w:rsidRPr="00A34F10">
        <w:rPr>
          <w:szCs w:val="24"/>
          <w:lang w:val="en-GB"/>
        </w:rPr>
        <w:t xml:space="preserve"> (48 h) was &gt; 816 μg BAS 743 02 F/bee, corresponding to &gt; 444.7μg total a.s./bee.</w:t>
      </w:r>
      <w:r w:rsidRPr="00A34F10">
        <w:rPr>
          <w:sz w:val="20"/>
          <w:szCs w:val="20"/>
        </w:rPr>
        <w:t xml:space="preserve"> </w:t>
      </w:r>
    </w:p>
    <w:p w14:paraId="4784FFA3" w14:textId="69BF4C9D" w:rsidR="00DC5685" w:rsidRPr="00A34F10" w:rsidRDefault="00DC5685" w:rsidP="00BA74D9">
      <w:pPr>
        <w:rPr>
          <w:b/>
          <w:bCs/>
          <w:caps/>
          <w:szCs w:val="24"/>
          <w:lang w:val="en-GB"/>
        </w:rPr>
      </w:pPr>
      <w:r w:rsidRPr="00A34F10">
        <w:rPr>
          <w:b/>
          <w:bCs/>
          <w:caps/>
          <w:szCs w:val="24"/>
          <w:lang w:val="en-GB"/>
        </w:rPr>
        <w:lastRenderedPageBreak/>
        <w:t>I.</w:t>
      </w:r>
      <w:r w:rsidRPr="00A34F10">
        <w:rPr>
          <w:b/>
          <w:bCs/>
          <w:caps/>
          <w:szCs w:val="24"/>
          <w:lang w:val="en-GB"/>
        </w:rPr>
        <w:tab/>
        <w:t>MATERIALS AND METHODS</w:t>
      </w:r>
    </w:p>
    <w:p w14:paraId="544FD9B8" w14:textId="77777777" w:rsidR="00DC5685" w:rsidRPr="00A34F10" w:rsidRDefault="00DC5685" w:rsidP="00DC5685">
      <w:pPr>
        <w:tabs>
          <w:tab w:val="left" w:pos="720"/>
        </w:tabs>
        <w:spacing w:after="240"/>
        <w:contextualSpacing/>
        <w:rPr>
          <w:b/>
          <w:bCs/>
          <w:caps/>
          <w:szCs w:val="24"/>
          <w:lang w:val="en-GB"/>
        </w:rPr>
      </w:pPr>
    </w:p>
    <w:p w14:paraId="166048F4"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A.</w:t>
      </w:r>
      <w:r w:rsidRPr="00A34F10">
        <w:rPr>
          <w:b/>
          <w:bCs/>
          <w:caps/>
          <w:szCs w:val="24"/>
          <w:lang w:val="en-GB"/>
        </w:rPr>
        <w:tab/>
        <w:t>MATERIALS</w:t>
      </w:r>
    </w:p>
    <w:p w14:paraId="06DB7BB5" w14:textId="77777777" w:rsidR="00DC5685" w:rsidRPr="00A34F10" w:rsidRDefault="00DC5685" w:rsidP="00DC5685">
      <w:pPr>
        <w:tabs>
          <w:tab w:val="left" w:pos="0"/>
        </w:tabs>
        <w:ind w:left="357" w:hanging="357"/>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17A8F25D" w14:textId="77777777" w:rsidTr="000470C3">
        <w:trPr>
          <w:cantSplit/>
          <w:trHeight w:hRule="exact" w:val="340"/>
        </w:trPr>
        <w:tc>
          <w:tcPr>
            <w:tcW w:w="3969" w:type="dxa"/>
          </w:tcPr>
          <w:p w14:paraId="2D2571AC"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Test item:</w:t>
            </w:r>
          </w:p>
        </w:tc>
        <w:tc>
          <w:tcPr>
            <w:tcW w:w="5381" w:type="dxa"/>
          </w:tcPr>
          <w:p w14:paraId="10869FB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BAS 743 02 F</w:t>
            </w:r>
          </w:p>
        </w:tc>
      </w:tr>
      <w:tr w:rsidR="00DC5685" w:rsidRPr="00A34F10" w14:paraId="338B174E" w14:textId="77777777" w:rsidTr="000470C3">
        <w:trPr>
          <w:cantSplit/>
          <w:trHeight w:hRule="exact" w:val="340"/>
        </w:trPr>
        <w:tc>
          <w:tcPr>
            <w:tcW w:w="3969" w:type="dxa"/>
          </w:tcPr>
          <w:p w14:paraId="4766A1F1"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t>Description:</w:t>
            </w:r>
          </w:p>
        </w:tc>
        <w:tc>
          <w:tcPr>
            <w:tcW w:w="5381" w:type="dxa"/>
          </w:tcPr>
          <w:p w14:paraId="475F715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Liquid (colour not reported)</w:t>
            </w:r>
          </w:p>
        </w:tc>
      </w:tr>
      <w:tr w:rsidR="00DC5685" w:rsidRPr="00A34F10" w14:paraId="5BD41248" w14:textId="77777777" w:rsidTr="000470C3">
        <w:trPr>
          <w:cantSplit/>
          <w:trHeight w:hRule="exact" w:val="340"/>
        </w:trPr>
        <w:tc>
          <w:tcPr>
            <w:tcW w:w="3969" w:type="dxa"/>
          </w:tcPr>
          <w:p w14:paraId="7A09CDDE"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t>Lot/Batch:</w:t>
            </w:r>
          </w:p>
        </w:tc>
        <w:tc>
          <w:tcPr>
            <w:tcW w:w="5381" w:type="dxa"/>
          </w:tcPr>
          <w:p w14:paraId="652BC93D"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FRE-002224</w:t>
            </w:r>
          </w:p>
        </w:tc>
      </w:tr>
      <w:tr w:rsidR="00DC5685" w:rsidRPr="00A34F10" w14:paraId="0DCE40D9" w14:textId="77777777" w:rsidTr="000470C3">
        <w:trPr>
          <w:cantSplit/>
          <w:trHeight w:hRule="exact" w:val="1304"/>
        </w:trPr>
        <w:tc>
          <w:tcPr>
            <w:tcW w:w="3969" w:type="dxa"/>
          </w:tcPr>
          <w:p w14:paraId="71CE4E49"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t>Active substance content:</w:t>
            </w:r>
          </w:p>
        </w:tc>
        <w:tc>
          <w:tcPr>
            <w:tcW w:w="5381" w:type="dxa"/>
          </w:tcPr>
          <w:p w14:paraId="129E4992"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 xml:space="preserve">Ametoctradin (BAS 650 F), nominal 137.14 g/L, measured 137.7 g/L; </w:t>
            </w:r>
          </w:p>
          <w:p w14:paraId="5D79340A"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Propamocarb, nominal 432.0 g/L, measured 431.0 g/L</w:t>
            </w:r>
          </w:p>
        </w:tc>
      </w:tr>
      <w:tr w:rsidR="00DC5685" w:rsidRPr="00A34F10" w14:paraId="26601017" w14:textId="77777777" w:rsidTr="000470C3">
        <w:trPr>
          <w:cantSplit/>
          <w:trHeight w:hRule="exact" w:val="397"/>
        </w:trPr>
        <w:tc>
          <w:tcPr>
            <w:tcW w:w="3969" w:type="dxa"/>
          </w:tcPr>
          <w:p w14:paraId="3C9A76CF" w14:textId="77777777" w:rsidR="00DC5685" w:rsidRPr="00A34F10" w:rsidRDefault="00DC5685" w:rsidP="00DC5685">
            <w:pPr>
              <w:tabs>
                <w:tab w:val="left" w:pos="709"/>
              </w:tabs>
              <w:spacing w:after="240"/>
              <w:ind w:left="624" w:firstLine="85"/>
              <w:rPr>
                <w:rFonts w:ascii="Times New Roman" w:hAnsi="Times New Roman"/>
                <w:szCs w:val="24"/>
                <w:lang w:eastAsia="en-US"/>
              </w:rPr>
            </w:pPr>
            <w:r w:rsidRPr="00A34F10">
              <w:rPr>
                <w:rFonts w:ascii="Times New Roman" w:hAnsi="Times New Roman"/>
                <w:szCs w:val="24"/>
                <w:lang w:eastAsia="en-US"/>
              </w:rPr>
              <w:t>Density:</w:t>
            </w:r>
          </w:p>
        </w:tc>
        <w:tc>
          <w:tcPr>
            <w:tcW w:w="5381" w:type="dxa"/>
          </w:tcPr>
          <w:p w14:paraId="0CCCC2F6"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1.080 g/cm³ (at 20°C)</w:t>
            </w:r>
          </w:p>
        </w:tc>
      </w:tr>
      <w:tr w:rsidR="00DC5685" w:rsidRPr="00A34F10" w14:paraId="7014F4DE" w14:textId="77777777" w:rsidTr="000470C3">
        <w:trPr>
          <w:cantSplit/>
          <w:trHeight w:hRule="exact" w:val="907"/>
        </w:trPr>
        <w:tc>
          <w:tcPr>
            <w:tcW w:w="3969" w:type="dxa"/>
          </w:tcPr>
          <w:p w14:paraId="4E560916"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Control:</w:t>
            </w:r>
          </w:p>
        </w:tc>
        <w:tc>
          <w:tcPr>
            <w:tcW w:w="5381" w:type="dxa"/>
          </w:tcPr>
          <w:p w14:paraId="55A77CD0" w14:textId="77777777" w:rsidR="00DC5685" w:rsidRPr="00A34F10" w:rsidRDefault="00DC5685" w:rsidP="00DC5685">
            <w:pPr>
              <w:tabs>
                <w:tab w:val="left" w:pos="720"/>
              </w:tabs>
              <w:spacing w:line="276" w:lineRule="auto"/>
              <w:rPr>
                <w:rFonts w:ascii="Times New Roman" w:hAnsi="Times New Roman"/>
                <w:szCs w:val="24"/>
                <w:u w:val="single"/>
                <w:lang w:eastAsia="en-US"/>
              </w:rPr>
            </w:pPr>
            <w:r w:rsidRPr="00A34F10">
              <w:rPr>
                <w:rFonts w:ascii="Times New Roman" w:hAnsi="Times New Roman"/>
                <w:szCs w:val="24"/>
                <w:lang w:eastAsia="en-US"/>
              </w:rPr>
              <w:t>Oral test: 50% (w/v) sucrose solution</w:t>
            </w:r>
          </w:p>
          <w:p w14:paraId="156C2004"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Contact test: Control 1: deionised water; Control 2: deionised water + 1% v/v wetting agent Tween 80</w:t>
            </w:r>
          </w:p>
        </w:tc>
      </w:tr>
      <w:tr w:rsidR="00DC5685" w:rsidRPr="00A34F10" w14:paraId="2D7301D1" w14:textId="77777777" w:rsidTr="000470C3">
        <w:trPr>
          <w:cantSplit/>
          <w:trHeight w:hRule="exact" w:val="672"/>
        </w:trPr>
        <w:tc>
          <w:tcPr>
            <w:tcW w:w="3969" w:type="dxa"/>
          </w:tcPr>
          <w:p w14:paraId="6F02EA6C"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Reference item:</w:t>
            </w:r>
          </w:p>
        </w:tc>
        <w:tc>
          <w:tcPr>
            <w:tcW w:w="5381" w:type="dxa"/>
          </w:tcPr>
          <w:p w14:paraId="5DE82226"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Dimethoate EC 400 (BAS 152 11 I) (401.7 g/L analysed)</w:t>
            </w:r>
          </w:p>
        </w:tc>
      </w:tr>
      <w:tr w:rsidR="00DC5685" w:rsidRPr="00A34F10" w14:paraId="57E96C10" w14:textId="77777777" w:rsidTr="000470C3">
        <w:trPr>
          <w:cantSplit/>
          <w:trHeight w:hRule="exact" w:val="322"/>
        </w:trPr>
        <w:tc>
          <w:tcPr>
            <w:tcW w:w="3969" w:type="dxa"/>
          </w:tcPr>
          <w:p w14:paraId="30198BFD" w14:textId="77777777" w:rsidR="00DC5685" w:rsidRPr="00A34F10" w:rsidRDefault="00DC5685" w:rsidP="00DC5685">
            <w:pPr>
              <w:tabs>
                <w:tab w:val="left" w:pos="255"/>
              </w:tabs>
              <w:spacing w:after="240"/>
              <w:ind w:left="360" w:hanging="360"/>
              <w:contextualSpacing/>
              <w:rPr>
                <w:rFonts w:ascii="Times New Roman" w:hAnsi="Times New Roman"/>
                <w:b/>
                <w:bCs/>
                <w:szCs w:val="24"/>
                <w:lang w:eastAsia="en-US"/>
              </w:rPr>
            </w:pPr>
          </w:p>
        </w:tc>
        <w:tc>
          <w:tcPr>
            <w:tcW w:w="5381" w:type="dxa"/>
          </w:tcPr>
          <w:p w14:paraId="5F1C3350" w14:textId="77777777" w:rsidR="00DC5685" w:rsidRPr="00A34F10" w:rsidRDefault="00DC5685" w:rsidP="00DC5685">
            <w:pPr>
              <w:tabs>
                <w:tab w:val="left" w:pos="720"/>
              </w:tabs>
              <w:spacing w:after="240"/>
              <w:jc w:val="both"/>
              <w:rPr>
                <w:rFonts w:ascii="Times New Roman" w:hAnsi="Times New Roman"/>
                <w:szCs w:val="24"/>
                <w:lang w:eastAsia="en-US"/>
              </w:rPr>
            </w:pPr>
          </w:p>
        </w:tc>
      </w:tr>
    </w:tbl>
    <w:p w14:paraId="30E38026"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22B7FF95" w14:textId="77777777" w:rsidR="00DC5685" w:rsidRPr="00A34F10" w:rsidRDefault="00DC5685" w:rsidP="00DC5685">
      <w:pPr>
        <w:tabs>
          <w:tab w:val="left" w:pos="0"/>
        </w:tabs>
        <w:ind w:left="357" w:hanging="357"/>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0EDEED2E" w14:textId="77777777" w:rsidTr="000470C3">
        <w:trPr>
          <w:trHeight w:hRule="exact" w:val="680"/>
        </w:trPr>
        <w:tc>
          <w:tcPr>
            <w:tcW w:w="3969" w:type="dxa"/>
          </w:tcPr>
          <w:p w14:paraId="07D4BF70"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Test species:</w:t>
            </w:r>
          </w:p>
        </w:tc>
        <w:tc>
          <w:tcPr>
            <w:tcW w:w="5381" w:type="dxa"/>
          </w:tcPr>
          <w:p w14:paraId="07C0EA08" w14:textId="77777777" w:rsidR="00DC5685" w:rsidRPr="00A34F10" w:rsidRDefault="00DC5685" w:rsidP="00DC5685">
            <w:pPr>
              <w:tabs>
                <w:tab w:val="left" w:pos="720"/>
              </w:tabs>
              <w:spacing w:after="240" w:line="276" w:lineRule="auto"/>
              <w:rPr>
                <w:rFonts w:ascii="Times New Roman" w:hAnsi="Times New Roman"/>
                <w:szCs w:val="24"/>
                <w:lang w:eastAsia="en-US"/>
              </w:rPr>
            </w:pPr>
            <w:r w:rsidRPr="00A34F10">
              <w:rPr>
                <w:rFonts w:ascii="Times New Roman" w:hAnsi="Times New Roman"/>
                <w:szCs w:val="24"/>
                <w:lang w:eastAsia="en-US"/>
              </w:rPr>
              <w:t>Honeybee</w:t>
            </w:r>
            <w:r w:rsidRPr="00A34F10">
              <w:rPr>
                <w:rFonts w:ascii="Times New Roman" w:hAnsi="Times New Roman"/>
                <w:i/>
                <w:iCs/>
                <w:szCs w:val="24"/>
                <w:lang w:eastAsia="en-US"/>
              </w:rPr>
              <w:t xml:space="preserve"> Apis mellifera </w:t>
            </w:r>
            <w:r w:rsidRPr="00A34F10">
              <w:rPr>
                <w:rFonts w:ascii="Times New Roman" w:hAnsi="Times New Roman"/>
                <w:szCs w:val="24"/>
                <w:lang w:eastAsia="en-US"/>
              </w:rPr>
              <w:t>L. Buckfast (Insecta, Hymenoptera, Apoidea)</w:t>
            </w:r>
          </w:p>
        </w:tc>
      </w:tr>
      <w:tr w:rsidR="00DC5685" w:rsidRPr="00A34F10" w14:paraId="39EE627E" w14:textId="77777777" w:rsidTr="000470C3">
        <w:trPr>
          <w:trHeight w:hRule="exact" w:val="397"/>
        </w:trPr>
        <w:tc>
          <w:tcPr>
            <w:tcW w:w="3969" w:type="dxa"/>
          </w:tcPr>
          <w:p w14:paraId="193DC100"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 xml:space="preserve">Age/life stage: </w:t>
            </w:r>
          </w:p>
        </w:tc>
        <w:tc>
          <w:tcPr>
            <w:tcW w:w="5381" w:type="dxa"/>
          </w:tcPr>
          <w:p w14:paraId="7121D4D2" w14:textId="77777777" w:rsidR="00DC5685" w:rsidRPr="00A34F10" w:rsidRDefault="00DC5685" w:rsidP="00DC5685">
            <w:pPr>
              <w:tabs>
                <w:tab w:val="left" w:pos="720"/>
              </w:tabs>
              <w:spacing w:after="240" w:line="276" w:lineRule="auto"/>
              <w:jc w:val="both"/>
              <w:rPr>
                <w:rFonts w:ascii="Times New Roman" w:hAnsi="Times New Roman"/>
                <w:szCs w:val="24"/>
                <w:lang w:eastAsia="en-US"/>
              </w:rPr>
            </w:pPr>
            <w:r w:rsidRPr="00A34F10">
              <w:rPr>
                <w:rFonts w:ascii="Times New Roman" w:hAnsi="Times New Roman"/>
                <w:szCs w:val="24"/>
                <w:lang w:eastAsia="en-US"/>
              </w:rPr>
              <w:t>Young adult female worker bees (3-5 weeks old)</w:t>
            </w:r>
          </w:p>
        </w:tc>
      </w:tr>
      <w:tr w:rsidR="00DC5685" w:rsidRPr="00902592" w14:paraId="548163B3" w14:textId="77777777" w:rsidTr="000470C3">
        <w:trPr>
          <w:trHeight w:hRule="exact" w:val="680"/>
        </w:trPr>
        <w:tc>
          <w:tcPr>
            <w:tcW w:w="3969" w:type="dxa"/>
          </w:tcPr>
          <w:p w14:paraId="09454C53"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Source:</w:t>
            </w:r>
          </w:p>
        </w:tc>
        <w:tc>
          <w:tcPr>
            <w:tcW w:w="5381" w:type="dxa"/>
          </w:tcPr>
          <w:p w14:paraId="428DC9BE" w14:textId="77777777" w:rsidR="00DC5685" w:rsidRPr="00A34F10" w:rsidRDefault="00DC5685" w:rsidP="00DC5685">
            <w:pPr>
              <w:tabs>
                <w:tab w:val="left" w:pos="720"/>
              </w:tabs>
              <w:spacing w:after="240"/>
              <w:jc w:val="both"/>
              <w:rPr>
                <w:rFonts w:ascii="Times New Roman" w:hAnsi="Times New Roman"/>
                <w:szCs w:val="24"/>
                <w:lang w:val="de-DE" w:eastAsia="en-US"/>
              </w:rPr>
            </w:pPr>
            <w:r w:rsidRPr="00A34F10">
              <w:rPr>
                <w:rFonts w:ascii="Times New Roman" w:hAnsi="Times New Roman"/>
                <w:szCs w:val="24"/>
                <w:lang w:val="de-DE" w:eastAsia="en-US"/>
              </w:rPr>
              <w:t>BioChem agrar GmbH, Kupferstr. 6, 04827 Machern OT Gerichshain, Germany</w:t>
            </w:r>
          </w:p>
        </w:tc>
      </w:tr>
      <w:tr w:rsidR="00DC5685" w:rsidRPr="00A34F10" w14:paraId="59991AF4" w14:textId="77777777" w:rsidTr="000470C3">
        <w:trPr>
          <w:trHeight w:hRule="exact" w:val="1191"/>
        </w:trPr>
        <w:tc>
          <w:tcPr>
            <w:tcW w:w="3969" w:type="dxa"/>
          </w:tcPr>
          <w:p w14:paraId="02DAB687"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 xml:space="preserve">Diet: </w:t>
            </w:r>
          </w:p>
        </w:tc>
        <w:tc>
          <w:tcPr>
            <w:tcW w:w="5381" w:type="dxa"/>
          </w:tcPr>
          <w:p w14:paraId="1B990D1F"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 xml:space="preserve">50% w/v sucrose solution provided after application (immediately after thoracic application in the contact test and after removal of application feeders in the oral test). Food was provided </w:t>
            </w:r>
            <w:r w:rsidRPr="00A34F10">
              <w:rPr>
                <w:rFonts w:ascii="Times New Roman" w:hAnsi="Times New Roman"/>
                <w:i/>
                <w:iCs/>
                <w:szCs w:val="24"/>
                <w:lang w:eastAsia="en-US"/>
              </w:rPr>
              <w:t>ad libitum</w:t>
            </w:r>
            <w:r w:rsidRPr="00A34F10">
              <w:rPr>
                <w:rFonts w:ascii="Times New Roman" w:hAnsi="Times New Roman"/>
                <w:szCs w:val="24"/>
                <w:lang w:eastAsia="en-US"/>
              </w:rPr>
              <w:t>.</w:t>
            </w:r>
          </w:p>
        </w:tc>
      </w:tr>
      <w:tr w:rsidR="00DC5685" w:rsidRPr="00A34F10" w14:paraId="7AE8C1AA" w14:textId="77777777" w:rsidTr="000470C3">
        <w:trPr>
          <w:trHeight w:hRule="exact" w:val="794"/>
        </w:trPr>
        <w:tc>
          <w:tcPr>
            <w:tcW w:w="3969" w:type="dxa"/>
          </w:tcPr>
          <w:p w14:paraId="61ABF86D"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Test units:</w:t>
            </w:r>
          </w:p>
        </w:tc>
        <w:tc>
          <w:tcPr>
            <w:tcW w:w="5381" w:type="dxa"/>
          </w:tcPr>
          <w:p w14:paraId="1D665C1F"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 xml:space="preserve">Disposable cardboard cages 95 mm x 50 mm x 65 mm (length x width x height) with holes in the bottom for ventilation and a glass plate at the front </w:t>
            </w:r>
          </w:p>
        </w:tc>
      </w:tr>
      <w:tr w:rsidR="00DC5685" w:rsidRPr="00A34F10" w14:paraId="12FDC2DA" w14:textId="77777777" w:rsidTr="000470C3">
        <w:trPr>
          <w:trHeight w:hRule="exact" w:val="340"/>
        </w:trPr>
        <w:tc>
          <w:tcPr>
            <w:tcW w:w="3969" w:type="dxa"/>
          </w:tcPr>
          <w:p w14:paraId="4E5A7DA2"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Environmental conditions</w:t>
            </w:r>
          </w:p>
        </w:tc>
        <w:tc>
          <w:tcPr>
            <w:tcW w:w="5381" w:type="dxa"/>
          </w:tcPr>
          <w:p w14:paraId="009298D5" w14:textId="77777777" w:rsidR="00DC5685" w:rsidRPr="00A34F10" w:rsidRDefault="00DC5685" w:rsidP="00DC5685">
            <w:pPr>
              <w:tabs>
                <w:tab w:val="left" w:pos="720"/>
              </w:tabs>
              <w:spacing w:after="240"/>
              <w:jc w:val="both"/>
              <w:rPr>
                <w:rFonts w:ascii="Times New Roman" w:hAnsi="Times New Roman"/>
                <w:szCs w:val="24"/>
                <w:lang w:eastAsia="en-US"/>
              </w:rPr>
            </w:pPr>
          </w:p>
        </w:tc>
      </w:tr>
      <w:tr w:rsidR="00DC5685" w:rsidRPr="00A34F10" w14:paraId="70A01BE2" w14:textId="77777777" w:rsidTr="000470C3">
        <w:trPr>
          <w:trHeight w:hRule="exact" w:val="340"/>
        </w:trPr>
        <w:tc>
          <w:tcPr>
            <w:tcW w:w="3969" w:type="dxa"/>
          </w:tcPr>
          <w:p w14:paraId="2C28E3C3"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Temperature:</w:t>
            </w:r>
          </w:p>
        </w:tc>
        <w:tc>
          <w:tcPr>
            <w:tcW w:w="5381" w:type="dxa"/>
          </w:tcPr>
          <w:p w14:paraId="37B68885"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24.2 – 24.4°C</w:t>
            </w:r>
          </w:p>
        </w:tc>
      </w:tr>
      <w:tr w:rsidR="00DC5685" w:rsidRPr="00A34F10" w14:paraId="3AEBA238" w14:textId="77777777" w:rsidTr="000470C3">
        <w:trPr>
          <w:trHeight w:hRule="exact" w:val="340"/>
        </w:trPr>
        <w:tc>
          <w:tcPr>
            <w:tcW w:w="3969" w:type="dxa"/>
          </w:tcPr>
          <w:p w14:paraId="495AB339"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Relative humidity:</w:t>
            </w:r>
          </w:p>
        </w:tc>
        <w:tc>
          <w:tcPr>
            <w:tcW w:w="5381" w:type="dxa"/>
          </w:tcPr>
          <w:p w14:paraId="379A70F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59.1 – 62.9%</w:t>
            </w:r>
          </w:p>
        </w:tc>
      </w:tr>
      <w:tr w:rsidR="00DC5685" w:rsidRPr="00A34F10" w14:paraId="5B680290" w14:textId="77777777" w:rsidTr="000470C3">
        <w:trPr>
          <w:trHeight w:hRule="exact" w:val="680"/>
        </w:trPr>
        <w:tc>
          <w:tcPr>
            <w:tcW w:w="3969" w:type="dxa"/>
          </w:tcPr>
          <w:p w14:paraId="7CBB21EC"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Photoperiod:</w:t>
            </w:r>
          </w:p>
        </w:tc>
        <w:tc>
          <w:tcPr>
            <w:tcW w:w="5381" w:type="dxa"/>
          </w:tcPr>
          <w:p w14:paraId="321143EF"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24-hour darkness (except for diffuse artificial light during assessments and handling)</w:t>
            </w:r>
          </w:p>
        </w:tc>
      </w:tr>
    </w:tbl>
    <w:p w14:paraId="403726E1" w14:textId="77777777" w:rsidR="00DC5685" w:rsidRPr="00A34F10" w:rsidRDefault="00DC5685" w:rsidP="00DC5685">
      <w:pPr>
        <w:numPr>
          <w:ilvl w:val="3"/>
          <w:numId w:val="0"/>
        </w:numPr>
        <w:tabs>
          <w:tab w:val="left" w:pos="0"/>
        </w:tabs>
        <w:ind w:left="360" w:hanging="360"/>
        <w:contextualSpacing/>
        <w:rPr>
          <w:b/>
          <w:bCs/>
          <w:szCs w:val="24"/>
          <w:highlight w:val="yellow"/>
          <w:lang w:val="en-GB"/>
        </w:rPr>
      </w:pPr>
    </w:p>
    <w:p w14:paraId="5F33D65A"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Test organism and treatment: </w:t>
      </w:r>
    </w:p>
    <w:p w14:paraId="62B328EA" w14:textId="77777777" w:rsidR="00DC5685" w:rsidRPr="00A34F10" w:rsidRDefault="00DC5685" w:rsidP="00DC5685">
      <w:pPr>
        <w:tabs>
          <w:tab w:val="left" w:pos="720"/>
        </w:tabs>
        <w:jc w:val="both"/>
        <w:rPr>
          <w:szCs w:val="24"/>
          <w:lang w:val="en-GB"/>
        </w:rPr>
      </w:pPr>
      <w:r w:rsidRPr="00A34F10">
        <w:rPr>
          <w:szCs w:val="24"/>
          <w:lang w:val="en-GB"/>
        </w:rPr>
        <w:t xml:space="preserve">Both tests were performed as dose-response tests with 3 replicates per treatment group, each comprising one cage containing 10 bees. </w:t>
      </w:r>
    </w:p>
    <w:p w14:paraId="0E357A45" w14:textId="77777777" w:rsidR="00DC5685" w:rsidRPr="00A34F10" w:rsidRDefault="00DC5685" w:rsidP="00DC5685">
      <w:pPr>
        <w:tabs>
          <w:tab w:val="left" w:pos="720"/>
        </w:tabs>
        <w:jc w:val="both"/>
        <w:rPr>
          <w:szCs w:val="24"/>
          <w:u w:val="single"/>
          <w:lang w:val="en-GB"/>
        </w:rPr>
      </w:pPr>
    </w:p>
    <w:p w14:paraId="34A053B4" w14:textId="77777777" w:rsidR="00DC5685" w:rsidRPr="00A34F10" w:rsidRDefault="00DC5685" w:rsidP="00E05ECD">
      <w:pPr>
        <w:numPr>
          <w:ilvl w:val="0"/>
          <w:numId w:val="74"/>
        </w:numPr>
        <w:tabs>
          <w:tab w:val="left" w:pos="720"/>
        </w:tabs>
        <w:jc w:val="both"/>
        <w:rPr>
          <w:b/>
          <w:bCs/>
          <w:szCs w:val="24"/>
          <w:lang w:val="en-GB"/>
        </w:rPr>
      </w:pPr>
      <w:r w:rsidRPr="00A34F10">
        <w:rPr>
          <w:b/>
          <w:bCs/>
          <w:szCs w:val="24"/>
          <w:lang w:val="en-GB"/>
        </w:rPr>
        <w:t>Oral toxicity test</w:t>
      </w:r>
    </w:p>
    <w:p w14:paraId="05B7E16F" w14:textId="279F6713" w:rsidR="00DC5685" w:rsidRPr="00A34F10" w:rsidRDefault="00DC5685" w:rsidP="00DC5685">
      <w:pPr>
        <w:tabs>
          <w:tab w:val="left" w:pos="720"/>
        </w:tabs>
        <w:spacing w:after="240"/>
        <w:jc w:val="both"/>
        <w:rPr>
          <w:szCs w:val="24"/>
          <w:lang w:val="en-GB"/>
        </w:rPr>
      </w:pPr>
      <w:r w:rsidRPr="00A34F10">
        <w:rPr>
          <w:szCs w:val="24"/>
          <w:lang w:val="en-GB"/>
        </w:rPr>
        <w:t>The bees were starved for 60 minutes before the test. At the start of the test, a quantity of 200 µL (corresponding to 0.2376 g) of the test item solution was offered to each cage, equivalent to 20 µL/bee. The test substance and toxic reference were administered in 50% w/v sucrose solution at the doses outlined in</w:t>
      </w:r>
      <w:r w:rsidR="00C71D12">
        <w:rPr>
          <w:szCs w:val="24"/>
          <w:lang w:val="en-GB"/>
        </w:rPr>
        <w:t xml:space="preserve"> </w:t>
      </w:r>
      <w:r w:rsidR="00C71D12">
        <w:rPr>
          <w:szCs w:val="24"/>
          <w:lang w:val="en-GB"/>
        </w:rPr>
        <w:fldChar w:fldCharType="begin"/>
      </w:r>
      <w:r w:rsidR="00C71D12">
        <w:rPr>
          <w:szCs w:val="24"/>
          <w:lang w:val="en-GB"/>
        </w:rPr>
        <w:instrText xml:space="preserve"> REF _Ref147906995 \h </w:instrText>
      </w:r>
      <w:r w:rsidR="00C71D12">
        <w:rPr>
          <w:szCs w:val="24"/>
          <w:lang w:val="en-GB"/>
        </w:rPr>
      </w:r>
      <w:r w:rsidR="00C71D12">
        <w:rPr>
          <w:szCs w:val="24"/>
          <w:lang w:val="en-GB"/>
        </w:rPr>
        <w:fldChar w:fldCharType="separate"/>
      </w:r>
      <w:r w:rsidR="006F0F3B">
        <w:t xml:space="preserve">Table A </w:t>
      </w:r>
      <w:r w:rsidR="006F0F3B">
        <w:rPr>
          <w:noProof/>
        </w:rPr>
        <w:t>31</w:t>
      </w:r>
      <w:r w:rsidR="00C71D12">
        <w:rPr>
          <w:szCs w:val="24"/>
          <w:lang w:val="en-GB"/>
        </w:rPr>
        <w:fldChar w:fldCharType="end"/>
      </w:r>
      <w:r w:rsidRPr="00A34F10">
        <w:rPr>
          <w:szCs w:val="24"/>
          <w:lang w:val="en-GB"/>
        </w:rPr>
        <w:t>.</w:t>
      </w:r>
    </w:p>
    <w:p w14:paraId="7A5005E9" w14:textId="77777777" w:rsidR="00DC5685" w:rsidRPr="00A34F10" w:rsidRDefault="00DC5685" w:rsidP="00DC5685">
      <w:pPr>
        <w:tabs>
          <w:tab w:val="left" w:pos="720"/>
        </w:tabs>
        <w:spacing w:after="240"/>
        <w:jc w:val="both"/>
        <w:rPr>
          <w:szCs w:val="24"/>
          <w:lang w:val="en-GB"/>
        </w:rPr>
      </w:pPr>
      <w:r w:rsidRPr="00A34F10">
        <w:rPr>
          <w:szCs w:val="24"/>
          <w:lang w:val="en-GB"/>
        </w:rPr>
        <w:lastRenderedPageBreak/>
        <w:t xml:space="preserve">Honeybees of a distinct group were assumed to consume approximately the same amount of the test item due to their social feeding behaviour. Bees in the control group were fed untreated 50% w/v sucrose solution. </w:t>
      </w:r>
    </w:p>
    <w:p w14:paraId="6AFFAA63" w14:textId="4B6037D9" w:rsidR="00DC5685" w:rsidRPr="00A34F10" w:rsidRDefault="00DC5685" w:rsidP="00DC5685">
      <w:pPr>
        <w:tabs>
          <w:tab w:val="left" w:pos="720"/>
        </w:tabs>
        <w:jc w:val="both"/>
        <w:rPr>
          <w:szCs w:val="24"/>
          <w:lang w:val="en-GB"/>
        </w:rPr>
      </w:pPr>
      <w:r w:rsidRPr="00A34F10">
        <w:rPr>
          <w:szCs w:val="24"/>
          <w:lang w:val="en-GB"/>
        </w:rPr>
        <w:t>Feeding tubes were weighed prior to addition of the sucrose solution. The feeders containing the appropriate diet were introduced through a hole in the roof of the cage. The feeding tubes were visibly empty approximately 3.5 hours after application. All feeding tubes were reweighed to determine the exact quantity of the test solution consumed and were then replaced with feeding tubes containing untreated 50% w/v sucrose solution.</w:t>
      </w:r>
    </w:p>
    <w:p w14:paraId="2ABD12B6" w14:textId="77777777" w:rsidR="000F2994" w:rsidRPr="00A34F10" w:rsidRDefault="000F2994" w:rsidP="00DC5685">
      <w:pPr>
        <w:tabs>
          <w:tab w:val="left" w:pos="720"/>
        </w:tabs>
        <w:jc w:val="both"/>
        <w:rPr>
          <w:szCs w:val="24"/>
          <w:highlight w:val="yellow"/>
          <w:lang w:val="en-GB"/>
        </w:rPr>
      </w:pPr>
    </w:p>
    <w:p w14:paraId="6D3883C9" w14:textId="034117F1" w:rsidR="00DC5685" w:rsidRPr="00A34F10" w:rsidRDefault="00C71D12" w:rsidP="00C71D12">
      <w:pPr>
        <w:pStyle w:val="Legenda"/>
      </w:pPr>
      <w:bookmarkStart w:id="1085" w:name="_Ref147906995"/>
      <w:r>
        <w:t xml:space="preserve">Table A </w:t>
      </w:r>
      <w:r>
        <w:fldChar w:fldCharType="begin"/>
      </w:r>
      <w:r>
        <w:instrText xml:space="preserve"> SEQ Table_A \* ARABIC </w:instrText>
      </w:r>
      <w:r>
        <w:fldChar w:fldCharType="separate"/>
      </w:r>
      <w:r w:rsidR="006F0F3B">
        <w:rPr>
          <w:noProof/>
        </w:rPr>
        <w:t>31</w:t>
      </w:r>
      <w:r>
        <w:fldChar w:fldCharType="end"/>
      </w:r>
      <w:bookmarkEnd w:id="1085"/>
      <w:r w:rsidR="00DC5685" w:rsidRPr="00A34F10">
        <w:t>:</w:t>
      </w:r>
      <w:r w:rsidR="00DC5685" w:rsidRPr="00A34F10">
        <w:tab/>
        <w:t>Applied and consumed dosages in the oral toxicity test</w:t>
      </w:r>
    </w:p>
    <w:tbl>
      <w:tblPr>
        <w:tblStyle w:val="TableGrid1"/>
        <w:tblW w:w="5000" w:type="pct"/>
        <w:jc w:val="center"/>
        <w:tblLook w:val="04A0" w:firstRow="1" w:lastRow="0" w:firstColumn="1" w:lastColumn="0" w:noHBand="0" w:noVBand="1"/>
      </w:tblPr>
      <w:tblGrid>
        <w:gridCol w:w="1703"/>
        <w:gridCol w:w="1706"/>
        <w:gridCol w:w="1566"/>
        <w:gridCol w:w="1564"/>
        <w:gridCol w:w="1422"/>
        <w:gridCol w:w="1383"/>
      </w:tblGrid>
      <w:tr w:rsidR="00DC5685" w:rsidRPr="00A34F10" w14:paraId="000079D6" w14:textId="77777777" w:rsidTr="000470C3">
        <w:trPr>
          <w:tblHeader/>
          <w:jc w:val="center"/>
        </w:trPr>
        <w:tc>
          <w:tcPr>
            <w:tcW w:w="911" w:type="pct"/>
          </w:tcPr>
          <w:p w14:paraId="2C249E8C"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Treatment group</w:t>
            </w:r>
          </w:p>
        </w:tc>
        <w:tc>
          <w:tcPr>
            <w:tcW w:w="913" w:type="pct"/>
          </w:tcPr>
          <w:p w14:paraId="13E32353"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Item applied</w:t>
            </w:r>
          </w:p>
        </w:tc>
        <w:tc>
          <w:tcPr>
            <w:tcW w:w="1675" w:type="pct"/>
            <w:gridSpan w:val="2"/>
          </w:tcPr>
          <w:p w14:paraId="0BCEDF0D"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Applied dosages</w:t>
            </w:r>
          </w:p>
        </w:tc>
        <w:tc>
          <w:tcPr>
            <w:tcW w:w="1501" w:type="pct"/>
            <w:gridSpan w:val="2"/>
          </w:tcPr>
          <w:p w14:paraId="1A4FBC88"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Actual uptake of the applied item</w:t>
            </w:r>
          </w:p>
        </w:tc>
      </w:tr>
      <w:tr w:rsidR="00DC5685" w:rsidRPr="00A34F10" w14:paraId="5018C1F5" w14:textId="77777777" w:rsidTr="000470C3">
        <w:trPr>
          <w:jc w:val="center"/>
        </w:trPr>
        <w:tc>
          <w:tcPr>
            <w:tcW w:w="911" w:type="pct"/>
          </w:tcPr>
          <w:p w14:paraId="2D4EC4B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Control</w:t>
            </w:r>
          </w:p>
        </w:tc>
        <w:tc>
          <w:tcPr>
            <w:tcW w:w="913" w:type="pct"/>
          </w:tcPr>
          <w:p w14:paraId="41DD35E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Sucrose solution</w:t>
            </w:r>
            <w:r w:rsidRPr="00A34F10">
              <w:rPr>
                <w:rFonts w:ascii="Times New Roman" w:hAnsi="Times New Roman"/>
                <w:sz w:val="20"/>
                <w:vertAlign w:val="superscript"/>
                <w:lang w:eastAsia="en-US"/>
              </w:rPr>
              <w:t>1</w:t>
            </w:r>
          </w:p>
        </w:tc>
        <w:tc>
          <w:tcPr>
            <w:tcW w:w="1675" w:type="pct"/>
            <w:gridSpan w:val="2"/>
          </w:tcPr>
          <w:p w14:paraId="5E6A115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c>
          <w:tcPr>
            <w:tcW w:w="1501" w:type="pct"/>
            <w:gridSpan w:val="2"/>
          </w:tcPr>
          <w:p w14:paraId="2627634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r>
      <w:tr w:rsidR="00DC5685" w:rsidRPr="00A34F10" w14:paraId="3C3CC7CA" w14:textId="77777777" w:rsidTr="000470C3">
        <w:trPr>
          <w:jc w:val="center"/>
        </w:trPr>
        <w:tc>
          <w:tcPr>
            <w:tcW w:w="1824" w:type="pct"/>
            <w:gridSpan w:val="2"/>
          </w:tcPr>
          <w:p w14:paraId="60D5B70F"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01DC993D"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837" w:type="pct"/>
          </w:tcPr>
          <w:p w14:paraId="06EF6406"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c>
          <w:tcPr>
            <w:tcW w:w="761" w:type="pct"/>
          </w:tcPr>
          <w:p w14:paraId="28DCE9C3"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740" w:type="pct"/>
          </w:tcPr>
          <w:p w14:paraId="3E00B56C"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r>
      <w:tr w:rsidR="00DC5685" w:rsidRPr="00A34F10" w14:paraId="3A430B2E" w14:textId="77777777" w:rsidTr="000470C3">
        <w:trPr>
          <w:jc w:val="center"/>
        </w:trPr>
        <w:tc>
          <w:tcPr>
            <w:tcW w:w="911" w:type="pct"/>
            <w:vMerge w:val="restart"/>
          </w:tcPr>
          <w:p w14:paraId="02C9608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Test item</w:t>
            </w:r>
          </w:p>
        </w:tc>
        <w:tc>
          <w:tcPr>
            <w:tcW w:w="913" w:type="pct"/>
            <w:vMerge w:val="restart"/>
          </w:tcPr>
          <w:p w14:paraId="028A0F1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BAS 743 02 F*</w:t>
            </w:r>
          </w:p>
        </w:tc>
        <w:tc>
          <w:tcPr>
            <w:tcW w:w="838" w:type="pct"/>
          </w:tcPr>
          <w:p w14:paraId="0570ACB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62.5</w:t>
            </w:r>
          </w:p>
        </w:tc>
        <w:tc>
          <w:tcPr>
            <w:tcW w:w="837" w:type="pct"/>
          </w:tcPr>
          <w:p w14:paraId="4E9F838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32.9</w:t>
            </w:r>
          </w:p>
        </w:tc>
        <w:tc>
          <w:tcPr>
            <w:tcW w:w="761" w:type="pct"/>
          </w:tcPr>
          <w:p w14:paraId="5886B9F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62.5</w:t>
            </w:r>
          </w:p>
        </w:tc>
        <w:tc>
          <w:tcPr>
            <w:tcW w:w="740" w:type="pct"/>
          </w:tcPr>
          <w:p w14:paraId="439806A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32.9</w:t>
            </w:r>
          </w:p>
        </w:tc>
      </w:tr>
      <w:tr w:rsidR="00DC5685" w:rsidRPr="00A34F10" w14:paraId="6A12A535" w14:textId="77777777" w:rsidTr="000470C3">
        <w:trPr>
          <w:jc w:val="center"/>
        </w:trPr>
        <w:tc>
          <w:tcPr>
            <w:tcW w:w="911" w:type="pct"/>
            <w:vMerge/>
          </w:tcPr>
          <w:p w14:paraId="3910C27F"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5302535C"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1B44C65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125</w:t>
            </w:r>
          </w:p>
        </w:tc>
        <w:tc>
          <w:tcPr>
            <w:tcW w:w="837" w:type="pct"/>
          </w:tcPr>
          <w:p w14:paraId="387AC4B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65.9</w:t>
            </w:r>
          </w:p>
        </w:tc>
        <w:tc>
          <w:tcPr>
            <w:tcW w:w="761" w:type="pct"/>
          </w:tcPr>
          <w:p w14:paraId="58DA502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125</w:t>
            </w:r>
          </w:p>
        </w:tc>
        <w:tc>
          <w:tcPr>
            <w:tcW w:w="740" w:type="pct"/>
          </w:tcPr>
          <w:p w14:paraId="4A423C5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65.7</w:t>
            </w:r>
          </w:p>
        </w:tc>
      </w:tr>
      <w:tr w:rsidR="00DC5685" w:rsidRPr="00A34F10" w14:paraId="24A5BD6E" w14:textId="77777777" w:rsidTr="000470C3">
        <w:trPr>
          <w:jc w:val="center"/>
        </w:trPr>
        <w:tc>
          <w:tcPr>
            <w:tcW w:w="911" w:type="pct"/>
            <w:vMerge/>
          </w:tcPr>
          <w:p w14:paraId="6858D1E5"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327930C2"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6E5051E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250</w:t>
            </w:r>
          </w:p>
        </w:tc>
        <w:tc>
          <w:tcPr>
            <w:tcW w:w="837" w:type="pct"/>
          </w:tcPr>
          <w:p w14:paraId="1A62D31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131.7</w:t>
            </w:r>
          </w:p>
        </w:tc>
        <w:tc>
          <w:tcPr>
            <w:tcW w:w="761" w:type="pct"/>
          </w:tcPr>
          <w:p w14:paraId="5C4856B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249</w:t>
            </w:r>
          </w:p>
        </w:tc>
        <w:tc>
          <w:tcPr>
            <w:tcW w:w="740" w:type="pct"/>
          </w:tcPr>
          <w:p w14:paraId="5E34A4D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131.2</w:t>
            </w:r>
          </w:p>
        </w:tc>
      </w:tr>
      <w:tr w:rsidR="00DC5685" w:rsidRPr="00A34F10" w14:paraId="16A5A3D7" w14:textId="77777777" w:rsidTr="000470C3">
        <w:trPr>
          <w:jc w:val="center"/>
        </w:trPr>
        <w:tc>
          <w:tcPr>
            <w:tcW w:w="911" w:type="pct"/>
            <w:vMerge/>
          </w:tcPr>
          <w:p w14:paraId="0560E434"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711F5E0D"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5B681DA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500</w:t>
            </w:r>
          </w:p>
        </w:tc>
        <w:tc>
          <w:tcPr>
            <w:tcW w:w="837" w:type="pct"/>
          </w:tcPr>
          <w:p w14:paraId="444625C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263.5</w:t>
            </w:r>
          </w:p>
        </w:tc>
        <w:tc>
          <w:tcPr>
            <w:tcW w:w="761" w:type="pct"/>
          </w:tcPr>
          <w:p w14:paraId="5223E6C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487</w:t>
            </w:r>
          </w:p>
        </w:tc>
        <w:tc>
          <w:tcPr>
            <w:tcW w:w="740" w:type="pct"/>
          </w:tcPr>
          <w:p w14:paraId="465A70C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256.8</w:t>
            </w:r>
          </w:p>
        </w:tc>
      </w:tr>
      <w:tr w:rsidR="00DC5685" w:rsidRPr="00A34F10" w14:paraId="66CA5857" w14:textId="77777777" w:rsidTr="000470C3">
        <w:trPr>
          <w:jc w:val="center"/>
        </w:trPr>
        <w:tc>
          <w:tcPr>
            <w:tcW w:w="911" w:type="pct"/>
            <w:vMerge/>
          </w:tcPr>
          <w:p w14:paraId="6B8B3A42"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5746D6EF"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53B06A7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1000</w:t>
            </w:r>
          </w:p>
        </w:tc>
        <w:tc>
          <w:tcPr>
            <w:tcW w:w="837" w:type="pct"/>
          </w:tcPr>
          <w:p w14:paraId="31F1105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527.0</w:t>
            </w:r>
          </w:p>
        </w:tc>
        <w:tc>
          <w:tcPr>
            <w:tcW w:w="761" w:type="pct"/>
          </w:tcPr>
          <w:p w14:paraId="080C29BB"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844</w:t>
            </w:r>
          </w:p>
        </w:tc>
        <w:tc>
          <w:tcPr>
            <w:tcW w:w="740" w:type="pct"/>
          </w:tcPr>
          <w:p w14:paraId="55A99BC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444.7</w:t>
            </w:r>
          </w:p>
        </w:tc>
      </w:tr>
      <w:tr w:rsidR="00DC5685" w:rsidRPr="00A34F10" w14:paraId="66CE690D" w14:textId="77777777" w:rsidTr="000470C3">
        <w:trPr>
          <w:jc w:val="center"/>
        </w:trPr>
        <w:tc>
          <w:tcPr>
            <w:tcW w:w="911" w:type="pct"/>
            <w:vMerge w:val="restart"/>
          </w:tcPr>
          <w:p w14:paraId="7BABF82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Reference item</w:t>
            </w:r>
          </w:p>
        </w:tc>
        <w:tc>
          <w:tcPr>
            <w:tcW w:w="913" w:type="pct"/>
            <w:vMerge w:val="restart"/>
          </w:tcPr>
          <w:p w14:paraId="0F5B648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Dimethoate EC 400**</w:t>
            </w:r>
          </w:p>
        </w:tc>
        <w:tc>
          <w:tcPr>
            <w:tcW w:w="838" w:type="pct"/>
          </w:tcPr>
          <w:p w14:paraId="402D6F9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0.144</w:t>
            </w:r>
          </w:p>
        </w:tc>
        <w:tc>
          <w:tcPr>
            <w:tcW w:w="837" w:type="pct"/>
          </w:tcPr>
          <w:p w14:paraId="2A1E725C"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0.054</w:t>
            </w:r>
          </w:p>
        </w:tc>
        <w:tc>
          <w:tcPr>
            <w:tcW w:w="761" w:type="pct"/>
          </w:tcPr>
          <w:p w14:paraId="6D15F4FB"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0.144</w:t>
            </w:r>
          </w:p>
        </w:tc>
        <w:tc>
          <w:tcPr>
            <w:tcW w:w="740" w:type="pct"/>
          </w:tcPr>
          <w:p w14:paraId="7E643EE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0.054</w:t>
            </w:r>
          </w:p>
        </w:tc>
      </w:tr>
      <w:tr w:rsidR="00DC5685" w:rsidRPr="00A34F10" w14:paraId="27E8E65C" w14:textId="77777777" w:rsidTr="000470C3">
        <w:trPr>
          <w:jc w:val="center"/>
        </w:trPr>
        <w:tc>
          <w:tcPr>
            <w:tcW w:w="911" w:type="pct"/>
            <w:vMerge/>
          </w:tcPr>
          <w:p w14:paraId="17A11408"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198A377F"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667FCCA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0.240</w:t>
            </w:r>
          </w:p>
        </w:tc>
        <w:tc>
          <w:tcPr>
            <w:tcW w:w="837" w:type="pct"/>
          </w:tcPr>
          <w:p w14:paraId="4FDA90A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0.090</w:t>
            </w:r>
          </w:p>
        </w:tc>
        <w:tc>
          <w:tcPr>
            <w:tcW w:w="761" w:type="pct"/>
          </w:tcPr>
          <w:p w14:paraId="0EED730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0.240</w:t>
            </w:r>
          </w:p>
        </w:tc>
        <w:tc>
          <w:tcPr>
            <w:tcW w:w="740" w:type="pct"/>
          </w:tcPr>
          <w:p w14:paraId="4661904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0.090</w:t>
            </w:r>
          </w:p>
        </w:tc>
      </w:tr>
      <w:tr w:rsidR="00DC5685" w:rsidRPr="00A34F10" w14:paraId="7CB2F251" w14:textId="77777777" w:rsidTr="000470C3">
        <w:trPr>
          <w:jc w:val="center"/>
        </w:trPr>
        <w:tc>
          <w:tcPr>
            <w:tcW w:w="911" w:type="pct"/>
            <w:vMerge/>
          </w:tcPr>
          <w:p w14:paraId="2CDA26D9"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48111AFD"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534532A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0.401</w:t>
            </w:r>
          </w:p>
        </w:tc>
        <w:tc>
          <w:tcPr>
            <w:tcW w:w="837" w:type="pct"/>
          </w:tcPr>
          <w:p w14:paraId="20B5FDB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0.150</w:t>
            </w:r>
          </w:p>
        </w:tc>
        <w:tc>
          <w:tcPr>
            <w:tcW w:w="761" w:type="pct"/>
          </w:tcPr>
          <w:p w14:paraId="00D38B1C"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0.400</w:t>
            </w:r>
          </w:p>
        </w:tc>
        <w:tc>
          <w:tcPr>
            <w:tcW w:w="740" w:type="pct"/>
          </w:tcPr>
          <w:p w14:paraId="4E8C700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0.149</w:t>
            </w:r>
          </w:p>
        </w:tc>
      </w:tr>
      <w:tr w:rsidR="00DC5685" w:rsidRPr="00A34F10" w14:paraId="7EF4C6E7" w14:textId="77777777" w:rsidTr="000470C3">
        <w:trPr>
          <w:jc w:val="center"/>
        </w:trPr>
        <w:tc>
          <w:tcPr>
            <w:tcW w:w="911" w:type="pct"/>
            <w:vMerge/>
          </w:tcPr>
          <w:p w14:paraId="78070C0D"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41664E07"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0CCC2D6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0.668</w:t>
            </w:r>
          </w:p>
        </w:tc>
        <w:tc>
          <w:tcPr>
            <w:tcW w:w="837" w:type="pct"/>
          </w:tcPr>
          <w:p w14:paraId="0FF6672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0.250</w:t>
            </w:r>
          </w:p>
        </w:tc>
        <w:tc>
          <w:tcPr>
            <w:tcW w:w="761" w:type="pct"/>
          </w:tcPr>
          <w:p w14:paraId="7ADF95A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0.667</w:t>
            </w:r>
          </w:p>
        </w:tc>
        <w:tc>
          <w:tcPr>
            <w:tcW w:w="740" w:type="pct"/>
          </w:tcPr>
          <w:p w14:paraId="6E7E50F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0.249</w:t>
            </w:r>
          </w:p>
        </w:tc>
      </w:tr>
    </w:tbl>
    <w:p w14:paraId="0F7F8E85" w14:textId="77777777" w:rsidR="00DC5685" w:rsidRPr="00A34F10" w:rsidRDefault="00DC5685" w:rsidP="00DC5685">
      <w:pPr>
        <w:tabs>
          <w:tab w:val="left" w:pos="720"/>
        </w:tabs>
        <w:jc w:val="both"/>
        <w:rPr>
          <w:sz w:val="18"/>
          <w:szCs w:val="20"/>
          <w:lang w:val="en-GB"/>
        </w:rPr>
      </w:pPr>
      <w:r w:rsidRPr="00A34F10">
        <w:rPr>
          <w:sz w:val="18"/>
          <w:szCs w:val="20"/>
          <w:lang w:val="en-GB"/>
        </w:rPr>
        <w:t>* based on sum of nominal content of a.s.</w:t>
      </w:r>
    </w:p>
    <w:p w14:paraId="2B8B4EDF" w14:textId="77777777" w:rsidR="00DC5685" w:rsidRPr="00A34F10" w:rsidRDefault="00DC5685" w:rsidP="00DC5685">
      <w:pPr>
        <w:tabs>
          <w:tab w:val="left" w:pos="720"/>
        </w:tabs>
        <w:jc w:val="both"/>
        <w:rPr>
          <w:sz w:val="18"/>
          <w:szCs w:val="20"/>
          <w:lang w:val="en-GB"/>
        </w:rPr>
      </w:pPr>
      <w:r w:rsidRPr="00A34F10">
        <w:rPr>
          <w:sz w:val="18"/>
          <w:szCs w:val="20"/>
          <w:lang w:val="en-GB"/>
        </w:rPr>
        <w:t>** based on analysed content of a.s.</w:t>
      </w:r>
    </w:p>
    <w:p w14:paraId="1A5D9097"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1</w:t>
      </w:r>
      <w:r w:rsidRPr="00A34F10">
        <w:rPr>
          <w:sz w:val="18"/>
          <w:szCs w:val="20"/>
          <w:lang w:val="en-GB"/>
        </w:rPr>
        <w:t xml:space="preserve"> respective solvent control for the test item and reference item treatment</w:t>
      </w:r>
    </w:p>
    <w:p w14:paraId="1280A097" w14:textId="77777777" w:rsidR="00DC5685" w:rsidRDefault="00DC5685" w:rsidP="00DC5685">
      <w:pPr>
        <w:tabs>
          <w:tab w:val="left" w:pos="720"/>
        </w:tabs>
        <w:jc w:val="both"/>
        <w:rPr>
          <w:sz w:val="18"/>
          <w:szCs w:val="20"/>
          <w:lang w:val="en-GB"/>
        </w:rPr>
      </w:pPr>
      <w:r w:rsidRPr="00A34F10">
        <w:rPr>
          <w:sz w:val="18"/>
          <w:szCs w:val="20"/>
          <w:lang w:val="en-GB"/>
        </w:rPr>
        <w:t>Calculations are performed with non-rounded values</w:t>
      </w:r>
    </w:p>
    <w:p w14:paraId="719E0996" w14:textId="77777777" w:rsidR="003347E3" w:rsidRPr="00A34F10" w:rsidRDefault="003347E3" w:rsidP="00DC5685">
      <w:pPr>
        <w:tabs>
          <w:tab w:val="left" w:pos="720"/>
        </w:tabs>
        <w:jc w:val="both"/>
        <w:rPr>
          <w:sz w:val="18"/>
          <w:szCs w:val="20"/>
          <w:lang w:val="en-GB"/>
        </w:rPr>
      </w:pPr>
    </w:p>
    <w:p w14:paraId="10D2A615" w14:textId="77777777" w:rsidR="00DC5685" w:rsidRPr="00A34F10" w:rsidRDefault="00DC5685" w:rsidP="00E05ECD">
      <w:pPr>
        <w:numPr>
          <w:ilvl w:val="0"/>
          <w:numId w:val="74"/>
        </w:numPr>
        <w:tabs>
          <w:tab w:val="left" w:pos="720"/>
        </w:tabs>
        <w:jc w:val="both"/>
        <w:rPr>
          <w:b/>
          <w:bCs/>
          <w:szCs w:val="24"/>
          <w:lang w:val="en-GB"/>
        </w:rPr>
      </w:pPr>
      <w:r w:rsidRPr="00A34F10">
        <w:rPr>
          <w:b/>
          <w:bCs/>
          <w:szCs w:val="24"/>
          <w:lang w:val="en-GB"/>
        </w:rPr>
        <w:t>Contact toxicity test</w:t>
      </w:r>
    </w:p>
    <w:p w14:paraId="7C3A2F32" w14:textId="4A0D3808" w:rsidR="00DC5685" w:rsidRPr="00A34F10" w:rsidRDefault="00DC5685" w:rsidP="00DC5685">
      <w:pPr>
        <w:tabs>
          <w:tab w:val="left" w:pos="720"/>
        </w:tabs>
        <w:spacing w:after="240"/>
        <w:jc w:val="both"/>
        <w:rPr>
          <w:szCs w:val="24"/>
          <w:lang w:val="en-GB"/>
        </w:rPr>
      </w:pPr>
      <w:r w:rsidRPr="00A34F10">
        <w:rPr>
          <w:szCs w:val="24"/>
          <w:lang w:val="en-GB"/>
        </w:rPr>
        <w:t>Bees in the test cage were anaesthetised with CO</w:t>
      </w:r>
      <w:r w:rsidRPr="00A34F10">
        <w:rPr>
          <w:szCs w:val="24"/>
          <w:vertAlign w:val="subscript"/>
          <w:lang w:val="en-GB"/>
        </w:rPr>
        <w:t xml:space="preserve">2 </w:t>
      </w:r>
      <w:r w:rsidRPr="00A34F10">
        <w:rPr>
          <w:szCs w:val="24"/>
          <w:lang w:val="en-GB"/>
        </w:rPr>
        <w:t>for approximately 30 seconds and placed into a petri dish prior to application. A single 2 μL droplet of either the test item, control or toxic reference solution was placed on the dorsal bee thorax of each bee using an Eppendorf Micropipette. 1% Tween 80 solution was used as a vehicle to ensure a good penetration or adhesion of the droplet on the bee body. Tween solution is non-toxic to honeybees at the concentration used. Doses used for the test item and reference item are outlined in</w:t>
      </w:r>
      <w:r w:rsidR="001665C1">
        <w:rPr>
          <w:szCs w:val="24"/>
          <w:lang w:val="en-GB"/>
        </w:rPr>
        <w:t xml:space="preserve"> </w:t>
      </w:r>
      <w:r w:rsidR="001665C1">
        <w:rPr>
          <w:szCs w:val="24"/>
          <w:lang w:val="en-GB"/>
        </w:rPr>
        <w:fldChar w:fldCharType="begin"/>
      </w:r>
      <w:r w:rsidR="001665C1">
        <w:rPr>
          <w:szCs w:val="24"/>
          <w:lang w:val="en-GB"/>
        </w:rPr>
        <w:instrText xml:space="preserve"> REF _Ref147907030 \h </w:instrText>
      </w:r>
      <w:r w:rsidR="001665C1">
        <w:rPr>
          <w:szCs w:val="24"/>
          <w:lang w:val="en-GB"/>
        </w:rPr>
      </w:r>
      <w:r w:rsidR="001665C1">
        <w:rPr>
          <w:szCs w:val="24"/>
          <w:lang w:val="en-GB"/>
        </w:rPr>
        <w:fldChar w:fldCharType="separate"/>
      </w:r>
      <w:r w:rsidR="006F0F3B">
        <w:t xml:space="preserve">Table A </w:t>
      </w:r>
      <w:r w:rsidR="006F0F3B">
        <w:rPr>
          <w:noProof/>
        </w:rPr>
        <w:t>32</w:t>
      </w:r>
      <w:r w:rsidR="001665C1">
        <w:rPr>
          <w:szCs w:val="24"/>
          <w:lang w:val="en-GB"/>
        </w:rPr>
        <w:fldChar w:fldCharType="end"/>
      </w:r>
      <w:r w:rsidRPr="00A34F10">
        <w:rPr>
          <w:szCs w:val="24"/>
          <w:lang w:val="en-GB"/>
        </w:rPr>
        <w:t>.</w:t>
      </w:r>
    </w:p>
    <w:p w14:paraId="5F317A83" w14:textId="352F8965" w:rsidR="00DC5685" w:rsidRPr="00A34F10" w:rsidRDefault="001665C1" w:rsidP="001665C1">
      <w:pPr>
        <w:pStyle w:val="Legenda"/>
      </w:pPr>
      <w:bookmarkStart w:id="1086" w:name="_Ref147907030"/>
      <w:r>
        <w:t xml:space="preserve">Table A </w:t>
      </w:r>
      <w:r>
        <w:fldChar w:fldCharType="begin"/>
      </w:r>
      <w:r>
        <w:instrText xml:space="preserve"> SEQ Table_A \* ARABIC </w:instrText>
      </w:r>
      <w:r>
        <w:fldChar w:fldCharType="separate"/>
      </w:r>
      <w:r w:rsidR="006F0F3B">
        <w:rPr>
          <w:noProof/>
        </w:rPr>
        <w:t>32</w:t>
      </w:r>
      <w:r>
        <w:fldChar w:fldCharType="end"/>
      </w:r>
      <w:bookmarkEnd w:id="1086"/>
      <w:r w:rsidR="00DC5685" w:rsidRPr="00A34F10">
        <w:t>:</w:t>
      </w:r>
      <w:r w:rsidR="00DC5685" w:rsidRPr="00A34F10">
        <w:tab/>
        <w:t>Applied dosages in the contact toxicity test</w:t>
      </w:r>
    </w:p>
    <w:tbl>
      <w:tblPr>
        <w:tblStyle w:val="TableGrid1"/>
        <w:tblW w:w="5000" w:type="pct"/>
        <w:tblLook w:val="04A0" w:firstRow="1" w:lastRow="0" w:firstColumn="1" w:lastColumn="0" w:noHBand="0" w:noVBand="1"/>
      </w:tblPr>
      <w:tblGrid>
        <w:gridCol w:w="1837"/>
        <w:gridCol w:w="2551"/>
        <w:gridCol w:w="2549"/>
        <w:gridCol w:w="2407"/>
      </w:tblGrid>
      <w:tr w:rsidR="00DC5685" w:rsidRPr="00A34F10" w14:paraId="1500D74E" w14:textId="77777777" w:rsidTr="000470C3">
        <w:trPr>
          <w:trHeight w:hRule="exact" w:val="283"/>
          <w:tblHeader/>
        </w:trPr>
        <w:tc>
          <w:tcPr>
            <w:tcW w:w="983" w:type="pct"/>
          </w:tcPr>
          <w:p w14:paraId="0835DC6B"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Treatment group</w:t>
            </w:r>
          </w:p>
        </w:tc>
        <w:tc>
          <w:tcPr>
            <w:tcW w:w="1365" w:type="pct"/>
          </w:tcPr>
          <w:p w14:paraId="1555ACC5"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Item applied</w:t>
            </w:r>
          </w:p>
        </w:tc>
        <w:tc>
          <w:tcPr>
            <w:tcW w:w="2653" w:type="pct"/>
            <w:gridSpan w:val="2"/>
          </w:tcPr>
          <w:p w14:paraId="12D1C860"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Dose rates</w:t>
            </w:r>
          </w:p>
        </w:tc>
      </w:tr>
      <w:tr w:rsidR="00DC5685" w:rsidRPr="00A34F10" w14:paraId="19FE120D" w14:textId="77777777" w:rsidTr="000470C3">
        <w:tc>
          <w:tcPr>
            <w:tcW w:w="983" w:type="pct"/>
            <w:vMerge w:val="restart"/>
          </w:tcPr>
          <w:p w14:paraId="5C50894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Control</w:t>
            </w:r>
          </w:p>
        </w:tc>
        <w:tc>
          <w:tcPr>
            <w:tcW w:w="1365" w:type="pct"/>
          </w:tcPr>
          <w:p w14:paraId="18B0312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Deionised water</w:t>
            </w:r>
          </w:p>
        </w:tc>
        <w:tc>
          <w:tcPr>
            <w:tcW w:w="2653" w:type="pct"/>
            <w:gridSpan w:val="2"/>
          </w:tcPr>
          <w:p w14:paraId="3A5996E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r>
      <w:tr w:rsidR="00DC5685" w:rsidRPr="00A34F10" w14:paraId="083F55B5" w14:textId="77777777" w:rsidTr="000470C3">
        <w:tc>
          <w:tcPr>
            <w:tcW w:w="983" w:type="pct"/>
            <w:vMerge/>
          </w:tcPr>
          <w:p w14:paraId="43074E2B" w14:textId="77777777" w:rsidR="00DC5685" w:rsidRPr="00A34F10" w:rsidRDefault="00DC5685" w:rsidP="00DC5685">
            <w:pPr>
              <w:tabs>
                <w:tab w:val="left" w:pos="720"/>
              </w:tabs>
              <w:jc w:val="center"/>
              <w:rPr>
                <w:rFonts w:ascii="Times New Roman" w:hAnsi="Times New Roman"/>
                <w:sz w:val="20"/>
                <w:lang w:eastAsia="en-US"/>
              </w:rPr>
            </w:pPr>
          </w:p>
        </w:tc>
        <w:tc>
          <w:tcPr>
            <w:tcW w:w="1365" w:type="pct"/>
          </w:tcPr>
          <w:p w14:paraId="0A4EB27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Tween solution</w:t>
            </w:r>
          </w:p>
        </w:tc>
        <w:tc>
          <w:tcPr>
            <w:tcW w:w="2653" w:type="pct"/>
            <w:gridSpan w:val="2"/>
          </w:tcPr>
          <w:p w14:paraId="08218030"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w:t>
            </w:r>
          </w:p>
        </w:tc>
      </w:tr>
      <w:tr w:rsidR="00DC5685" w:rsidRPr="00A34F10" w14:paraId="1E651B56" w14:textId="77777777" w:rsidTr="000470C3">
        <w:tc>
          <w:tcPr>
            <w:tcW w:w="2347" w:type="pct"/>
            <w:gridSpan w:val="2"/>
          </w:tcPr>
          <w:p w14:paraId="00C7B0F0"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07DB92CD"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1289" w:type="pct"/>
          </w:tcPr>
          <w:p w14:paraId="0D9B6B03"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r>
      <w:tr w:rsidR="00DC5685" w:rsidRPr="00A34F10" w14:paraId="7292F47F" w14:textId="77777777" w:rsidTr="000470C3">
        <w:tc>
          <w:tcPr>
            <w:tcW w:w="983" w:type="pct"/>
            <w:vMerge w:val="restart"/>
          </w:tcPr>
          <w:p w14:paraId="27D667C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Test item</w:t>
            </w:r>
          </w:p>
        </w:tc>
        <w:tc>
          <w:tcPr>
            <w:tcW w:w="1365" w:type="pct"/>
            <w:vMerge w:val="restart"/>
          </w:tcPr>
          <w:p w14:paraId="675821F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BAS 743 02 F*</w:t>
            </w:r>
          </w:p>
        </w:tc>
        <w:tc>
          <w:tcPr>
            <w:tcW w:w="1364" w:type="pct"/>
          </w:tcPr>
          <w:p w14:paraId="3B1BA25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62.5</w:t>
            </w:r>
          </w:p>
        </w:tc>
        <w:tc>
          <w:tcPr>
            <w:tcW w:w="1289" w:type="pct"/>
          </w:tcPr>
          <w:p w14:paraId="2E2F95C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32.9</w:t>
            </w:r>
          </w:p>
        </w:tc>
      </w:tr>
      <w:tr w:rsidR="00DC5685" w:rsidRPr="00A34F10" w14:paraId="66C216BE" w14:textId="77777777" w:rsidTr="000470C3">
        <w:tc>
          <w:tcPr>
            <w:tcW w:w="983" w:type="pct"/>
            <w:vMerge/>
          </w:tcPr>
          <w:p w14:paraId="0ABAA539"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35614390"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6F69CC9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125</w:t>
            </w:r>
          </w:p>
        </w:tc>
        <w:tc>
          <w:tcPr>
            <w:tcW w:w="1289" w:type="pct"/>
          </w:tcPr>
          <w:p w14:paraId="48D9CE0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65.9</w:t>
            </w:r>
          </w:p>
        </w:tc>
      </w:tr>
      <w:tr w:rsidR="00DC5685" w:rsidRPr="00A34F10" w14:paraId="436A9BE7" w14:textId="77777777" w:rsidTr="000470C3">
        <w:tc>
          <w:tcPr>
            <w:tcW w:w="983" w:type="pct"/>
            <w:vMerge/>
          </w:tcPr>
          <w:p w14:paraId="3EEF714F"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02DAA7F7"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196A4E0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250</w:t>
            </w:r>
          </w:p>
        </w:tc>
        <w:tc>
          <w:tcPr>
            <w:tcW w:w="1289" w:type="pct"/>
          </w:tcPr>
          <w:p w14:paraId="1E411FB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131.7</w:t>
            </w:r>
          </w:p>
        </w:tc>
      </w:tr>
      <w:tr w:rsidR="00DC5685" w:rsidRPr="00A34F10" w14:paraId="3CE8889B" w14:textId="77777777" w:rsidTr="000470C3">
        <w:tc>
          <w:tcPr>
            <w:tcW w:w="983" w:type="pct"/>
            <w:vMerge/>
          </w:tcPr>
          <w:p w14:paraId="6BEBC063"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4E407D24"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1B0DAC9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500</w:t>
            </w:r>
          </w:p>
        </w:tc>
        <w:tc>
          <w:tcPr>
            <w:tcW w:w="1289" w:type="pct"/>
          </w:tcPr>
          <w:p w14:paraId="76A1EC0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263.5</w:t>
            </w:r>
          </w:p>
        </w:tc>
      </w:tr>
      <w:tr w:rsidR="00DC5685" w:rsidRPr="00A34F10" w14:paraId="15CD314A" w14:textId="77777777" w:rsidTr="000470C3">
        <w:tc>
          <w:tcPr>
            <w:tcW w:w="983" w:type="pct"/>
            <w:vMerge/>
          </w:tcPr>
          <w:p w14:paraId="3FCD87D6"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4AE0FB4D"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34159BA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1000</w:t>
            </w:r>
          </w:p>
        </w:tc>
        <w:tc>
          <w:tcPr>
            <w:tcW w:w="1289" w:type="pct"/>
          </w:tcPr>
          <w:p w14:paraId="3C0137F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527.0</w:t>
            </w:r>
          </w:p>
        </w:tc>
      </w:tr>
      <w:tr w:rsidR="00DC5685" w:rsidRPr="00A34F10" w14:paraId="0783874A" w14:textId="77777777" w:rsidTr="000470C3">
        <w:tc>
          <w:tcPr>
            <w:tcW w:w="983" w:type="pct"/>
            <w:vMerge w:val="restart"/>
          </w:tcPr>
          <w:p w14:paraId="7BE8919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Reference item</w:t>
            </w:r>
          </w:p>
        </w:tc>
        <w:tc>
          <w:tcPr>
            <w:tcW w:w="1365" w:type="pct"/>
            <w:vMerge w:val="restart"/>
          </w:tcPr>
          <w:p w14:paraId="2426200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Dimethoate EC 400**</w:t>
            </w:r>
          </w:p>
        </w:tc>
        <w:tc>
          <w:tcPr>
            <w:tcW w:w="1364" w:type="pct"/>
          </w:tcPr>
          <w:p w14:paraId="65A8769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0.282</w:t>
            </w:r>
          </w:p>
        </w:tc>
        <w:tc>
          <w:tcPr>
            <w:tcW w:w="1289" w:type="pct"/>
          </w:tcPr>
          <w:p w14:paraId="0ADAD0A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0.250</w:t>
            </w:r>
          </w:p>
        </w:tc>
      </w:tr>
      <w:tr w:rsidR="00DC5685" w:rsidRPr="00A34F10" w14:paraId="4C7608EA" w14:textId="77777777" w:rsidTr="000470C3">
        <w:tc>
          <w:tcPr>
            <w:tcW w:w="983" w:type="pct"/>
            <w:vMerge/>
          </w:tcPr>
          <w:p w14:paraId="5BE9D595"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34B39BB5"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69693BC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0.376</w:t>
            </w:r>
          </w:p>
        </w:tc>
        <w:tc>
          <w:tcPr>
            <w:tcW w:w="1289" w:type="pct"/>
          </w:tcPr>
          <w:p w14:paraId="0527370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0.187</w:t>
            </w:r>
          </w:p>
        </w:tc>
      </w:tr>
      <w:tr w:rsidR="00DC5685" w:rsidRPr="00A34F10" w14:paraId="7D818805" w14:textId="77777777" w:rsidTr="000470C3">
        <w:tc>
          <w:tcPr>
            <w:tcW w:w="983" w:type="pct"/>
            <w:vMerge/>
          </w:tcPr>
          <w:p w14:paraId="6740D3E5"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3D0DDEB2"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582518B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0.501</w:t>
            </w:r>
          </w:p>
        </w:tc>
        <w:tc>
          <w:tcPr>
            <w:tcW w:w="1289" w:type="pct"/>
          </w:tcPr>
          <w:p w14:paraId="223244A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0.141</w:t>
            </w:r>
          </w:p>
        </w:tc>
      </w:tr>
      <w:tr w:rsidR="00DC5685" w:rsidRPr="00A34F10" w14:paraId="7D54B92D" w14:textId="77777777" w:rsidTr="000470C3">
        <w:tc>
          <w:tcPr>
            <w:tcW w:w="983" w:type="pct"/>
            <w:vMerge/>
          </w:tcPr>
          <w:p w14:paraId="6D4C2C96"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1E57719A"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1BADE53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0.668</w:t>
            </w:r>
          </w:p>
        </w:tc>
        <w:tc>
          <w:tcPr>
            <w:tcW w:w="1289" w:type="pct"/>
          </w:tcPr>
          <w:p w14:paraId="793EE7E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0.105</w:t>
            </w:r>
          </w:p>
        </w:tc>
      </w:tr>
    </w:tbl>
    <w:p w14:paraId="3650EF34" w14:textId="77777777" w:rsidR="00DC5685" w:rsidRPr="00A34F10" w:rsidRDefault="00DC5685" w:rsidP="00DC5685">
      <w:pPr>
        <w:tabs>
          <w:tab w:val="left" w:pos="720"/>
        </w:tabs>
        <w:rPr>
          <w:sz w:val="18"/>
          <w:szCs w:val="20"/>
          <w:lang w:val="en-GB"/>
        </w:rPr>
      </w:pPr>
      <w:r w:rsidRPr="00A34F10">
        <w:rPr>
          <w:sz w:val="18"/>
          <w:szCs w:val="20"/>
          <w:lang w:val="en-GB"/>
        </w:rPr>
        <w:t xml:space="preserve">* based on sum of nominal content of a.s. </w:t>
      </w:r>
      <w:r w:rsidRPr="00A34F10">
        <w:rPr>
          <w:sz w:val="18"/>
          <w:szCs w:val="20"/>
          <w:lang w:val="en-GB"/>
        </w:rPr>
        <w:br/>
        <w:t>** based on analysed content of a.s.</w:t>
      </w:r>
    </w:p>
    <w:p w14:paraId="59F58178" w14:textId="77777777" w:rsidR="00DC5685" w:rsidRPr="00A34F10" w:rsidRDefault="00DC5685" w:rsidP="00DC5685">
      <w:pPr>
        <w:tabs>
          <w:tab w:val="left" w:pos="720"/>
        </w:tabs>
        <w:rPr>
          <w:sz w:val="18"/>
          <w:szCs w:val="20"/>
          <w:lang w:val="en-GB"/>
        </w:rPr>
      </w:pPr>
      <w:r w:rsidRPr="00A34F10">
        <w:rPr>
          <w:sz w:val="18"/>
          <w:szCs w:val="20"/>
          <w:vertAlign w:val="superscript"/>
          <w:lang w:val="en-GB"/>
        </w:rPr>
        <w:t>1</w:t>
      </w:r>
      <w:r w:rsidRPr="00A34F10">
        <w:rPr>
          <w:sz w:val="18"/>
          <w:szCs w:val="20"/>
          <w:lang w:val="en-GB"/>
        </w:rPr>
        <w:t xml:space="preserve"> respective solvent control for the test item and reference item treatment</w:t>
      </w:r>
    </w:p>
    <w:p w14:paraId="58AC40E6" w14:textId="1C6E652A" w:rsidR="00405E11" w:rsidRPr="00A34F10" w:rsidRDefault="00DC5685" w:rsidP="00DC5685">
      <w:pPr>
        <w:tabs>
          <w:tab w:val="left" w:pos="720"/>
        </w:tabs>
        <w:spacing w:after="240"/>
        <w:jc w:val="both"/>
        <w:rPr>
          <w:sz w:val="18"/>
          <w:szCs w:val="20"/>
          <w:lang w:val="en-GB"/>
        </w:rPr>
      </w:pPr>
      <w:r w:rsidRPr="00A34F10">
        <w:rPr>
          <w:sz w:val="18"/>
          <w:szCs w:val="20"/>
          <w:lang w:val="en-GB"/>
        </w:rPr>
        <w:t>Calculations are performed with non-rounded values</w:t>
      </w:r>
    </w:p>
    <w:p w14:paraId="2C3B637C"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lastRenderedPageBreak/>
        <w:t xml:space="preserve">Dose preparation: </w:t>
      </w:r>
    </w:p>
    <w:p w14:paraId="7D64649C" w14:textId="77777777" w:rsidR="00DC5685" w:rsidRPr="00A34F10" w:rsidRDefault="00DC5685" w:rsidP="00DC5685">
      <w:pPr>
        <w:tabs>
          <w:tab w:val="left" w:pos="720"/>
        </w:tabs>
        <w:jc w:val="both"/>
        <w:rPr>
          <w:b/>
          <w:bCs/>
          <w:szCs w:val="24"/>
          <w:lang w:val="en-GB"/>
        </w:rPr>
      </w:pPr>
      <w:r w:rsidRPr="00A34F10">
        <w:rPr>
          <w:b/>
          <w:bCs/>
          <w:szCs w:val="24"/>
          <w:lang w:val="en-GB"/>
        </w:rPr>
        <w:br/>
        <w:t xml:space="preserve">Oral test </w:t>
      </w:r>
    </w:p>
    <w:p w14:paraId="0F74A957" w14:textId="77777777" w:rsidR="00DC5685" w:rsidRPr="00A34F10" w:rsidRDefault="00DC5685" w:rsidP="00DC5685">
      <w:pPr>
        <w:tabs>
          <w:tab w:val="left" w:pos="720"/>
        </w:tabs>
        <w:jc w:val="both"/>
        <w:rPr>
          <w:szCs w:val="24"/>
          <w:lang w:val="en-GB"/>
        </w:rPr>
      </w:pPr>
      <w:r w:rsidRPr="00A34F10">
        <w:rPr>
          <w:szCs w:val="24"/>
          <w:lang w:val="en-GB"/>
        </w:rPr>
        <w:t xml:space="preserve">0.500 g BAS 743 02 F was weighed out and filled up to 10 mL with 50% w/v sucrose solution which gave a 5.000 % w/v stock solution. This was then diluted sequentially to produce the remaining 4 doses. The application volume was 200 µL/cage (equivalent to 20 µL per bee). </w:t>
      </w:r>
    </w:p>
    <w:p w14:paraId="09911B0B" w14:textId="77777777" w:rsidR="00DC5685" w:rsidRPr="00A34F10" w:rsidRDefault="00DC5685" w:rsidP="00DC5685">
      <w:pPr>
        <w:tabs>
          <w:tab w:val="left" w:pos="720"/>
        </w:tabs>
        <w:jc w:val="both"/>
        <w:rPr>
          <w:b/>
          <w:bCs/>
          <w:szCs w:val="24"/>
          <w:lang w:val="en-GB"/>
        </w:rPr>
      </w:pPr>
    </w:p>
    <w:p w14:paraId="1EC71D76" w14:textId="77777777" w:rsidR="00DC5685" w:rsidRPr="00A34F10" w:rsidRDefault="00DC5685" w:rsidP="00DC5685">
      <w:pPr>
        <w:tabs>
          <w:tab w:val="left" w:pos="720"/>
        </w:tabs>
        <w:jc w:val="both"/>
        <w:rPr>
          <w:b/>
          <w:bCs/>
          <w:szCs w:val="24"/>
          <w:lang w:val="en-GB"/>
        </w:rPr>
      </w:pPr>
      <w:r w:rsidRPr="00A34F10">
        <w:rPr>
          <w:b/>
          <w:bCs/>
          <w:szCs w:val="24"/>
          <w:lang w:val="en-GB"/>
        </w:rPr>
        <w:t>Contact test</w:t>
      </w:r>
    </w:p>
    <w:p w14:paraId="582317A6" w14:textId="522BAB16" w:rsidR="00405E11" w:rsidRPr="00492133" w:rsidRDefault="00DC5685" w:rsidP="00DC5685">
      <w:pPr>
        <w:tabs>
          <w:tab w:val="left" w:pos="720"/>
        </w:tabs>
        <w:spacing w:after="240"/>
        <w:jc w:val="both"/>
        <w:rPr>
          <w:szCs w:val="24"/>
          <w:lang w:val="en-GB"/>
        </w:rPr>
      </w:pPr>
      <w:r w:rsidRPr="00A34F10">
        <w:rPr>
          <w:szCs w:val="24"/>
          <w:lang w:val="en-GB"/>
        </w:rPr>
        <w:t xml:space="preserve">5.000 g BAS 743 02 F was weighed out and filled up to 10 mL with 1% v/v Tween solution which gave a 50.000 % (w/v) stock solution. This was then diluted to produce the remaining 4 doses. </w:t>
      </w:r>
    </w:p>
    <w:p w14:paraId="45ECDAF3"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Measurements and observations: </w:t>
      </w:r>
    </w:p>
    <w:p w14:paraId="2A988029" w14:textId="057328C0" w:rsidR="00405E11" w:rsidRDefault="00DC5685" w:rsidP="00DC5685">
      <w:pPr>
        <w:tabs>
          <w:tab w:val="left" w:pos="720"/>
        </w:tabs>
        <w:jc w:val="both"/>
        <w:rPr>
          <w:szCs w:val="24"/>
          <w:lang w:val="en-GB"/>
        </w:rPr>
      </w:pPr>
      <w:r w:rsidRPr="00A34F10">
        <w:rPr>
          <w:szCs w:val="24"/>
          <w:lang w:val="en-GB"/>
        </w:rPr>
        <w:t>In both tests, assessments of bee mortality and behavioural effects were made after 4, 24 and 48 hours. During the behavioural assessments, bees were classified as either healthy (normal), affected (impaired locomotion) or moribund. Other effects such as abnormal quantity/colour of excretion were also observed and recorded. All evaluations were made in comparison with the controls.</w:t>
      </w:r>
    </w:p>
    <w:p w14:paraId="52515350" w14:textId="77777777" w:rsidR="003347E3" w:rsidRPr="00A34F10" w:rsidRDefault="003347E3" w:rsidP="00DC5685">
      <w:pPr>
        <w:tabs>
          <w:tab w:val="left" w:pos="720"/>
        </w:tabs>
        <w:jc w:val="both"/>
        <w:rPr>
          <w:szCs w:val="24"/>
          <w:lang w:val="en-GB"/>
        </w:rPr>
      </w:pPr>
    </w:p>
    <w:p w14:paraId="45FADDC7"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Statistical analysis: </w:t>
      </w:r>
    </w:p>
    <w:p w14:paraId="441AF55B" w14:textId="77777777" w:rsidR="00DC5685" w:rsidRPr="00A34F10" w:rsidRDefault="00DC5685" w:rsidP="00DC5685">
      <w:pPr>
        <w:tabs>
          <w:tab w:val="left" w:pos="720"/>
        </w:tabs>
        <w:spacing w:after="240"/>
        <w:jc w:val="both"/>
        <w:rPr>
          <w:szCs w:val="24"/>
          <w:lang w:val="en-GB"/>
        </w:rPr>
      </w:pPr>
      <w:r w:rsidRPr="00A34F10">
        <w:rPr>
          <w:szCs w:val="24"/>
          <w:lang w:val="en-GB"/>
        </w:rPr>
        <w:t>For statistical evaluation of the mortality results the Fisher’s Binomial Test with Bonferroni-Holm correction or Step-down Cochran-Armitage Test procedure was used. The accepted significance level was p ≤0.05 (one-sided greater). The median lethal doses (LD</w:t>
      </w:r>
      <w:r w:rsidRPr="00A34F10">
        <w:rPr>
          <w:szCs w:val="24"/>
          <w:vertAlign w:val="subscript"/>
          <w:lang w:val="en-GB"/>
        </w:rPr>
        <w:t>50</w:t>
      </w:r>
      <w:r w:rsidRPr="00A34F10">
        <w:rPr>
          <w:szCs w:val="24"/>
          <w:lang w:val="en-GB"/>
        </w:rPr>
        <w:t xml:space="preserve">) along with the 95 % confidence limits were calculated with Probit analysis, using linear maximum likelihood regression for evaluation of the reference item, only. </w:t>
      </w:r>
    </w:p>
    <w:p w14:paraId="59438AA2" w14:textId="77777777" w:rsidR="00DC5685" w:rsidRDefault="00DC5685" w:rsidP="00DC5685">
      <w:pPr>
        <w:tabs>
          <w:tab w:val="left" w:pos="720"/>
        </w:tabs>
        <w:spacing w:after="240"/>
        <w:jc w:val="both"/>
        <w:rPr>
          <w:szCs w:val="24"/>
          <w:lang w:val="en-GB"/>
        </w:rPr>
      </w:pPr>
      <w:r w:rsidRPr="00A34F10">
        <w:rPr>
          <w:szCs w:val="24"/>
          <w:lang w:val="en-GB"/>
        </w:rPr>
        <w:t>The statistical calculations were performed with the computer program ToxRat Professional 3.3.0. (2018)</w:t>
      </w:r>
    </w:p>
    <w:p w14:paraId="44D0CE73" w14:textId="77777777" w:rsidR="003347E3" w:rsidRDefault="003347E3" w:rsidP="00DC5685">
      <w:pPr>
        <w:tabs>
          <w:tab w:val="left" w:pos="720"/>
        </w:tabs>
        <w:spacing w:after="240"/>
        <w:jc w:val="both"/>
        <w:rPr>
          <w:szCs w:val="24"/>
          <w:lang w:val="en-GB"/>
        </w:rPr>
      </w:pPr>
    </w:p>
    <w:p w14:paraId="672185DF" w14:textId="14F5FAD5" w:rsidR="00DC5685" w:rsidRPr="00A34F10" w:rsidRDefault="00DC5685" w:rsidP="003347E3">
      <w:pPr>
        <w:tabs>
          <w:tab w:val="left" w:pos="720"/>
        </w:tabs>
        <w:spacing w:before="240" w:after="240"/>
        <w:jc w:val="center"/>
        <w:rPr>
          <w:b/>
          <w:bCs/>
          <w:caps/>
          <w:szCs w:val="24"/>
          <w:lang w:val="en-GB"/>
        </w:rPr>
      </w:pPr>
      <w:r w:rsidRPr="00A34F10">
        <w:rPr>
          <w:b/>
          <w:bCs/>
          <w:caps/>
          <w:szCs w:val="24"/>
          <w:lang w:val="en-GB"/>
        </w:rPr>
        <w:t>II.</w:t>
      </w:r>
      <w:r w:rsidRPr="00A34F10">
        <w:rPr>
          <w:b/>
          <w:bCs/>
          <w:caps/>
          <w:szCs w:val="24"/>
          <w:lang w:val="en-GB"/>
        </w:rPr>
        <w:tab/>
        <w:t>RESULTS AND DISCUSSION</w:t>
      </w:r>
    </w:p>
    <w:p w14:paraId="0C19A391" w14:textId="77777777" w:rsidR="00DC5685" w:rsidRPr="00A34F10" w:rsidRDefault="00DC5685" w:rsidP="00DC5685">
      <w:pPr>
        <w:tabs>
          <w:tab w:val="left" w:pos="720"/>
        </w:tabs>
        <w:spacing w:after="240"/>
        <w:contextualSpacing/>
        <w:rPr>
          <w:b/>
          <w:bCs/>
          <w:caps/>
          <w:szCs w:val="24"/>
          <w:lang w:val="en-GB"/>
        </w:rPr>
      </w:pPr>
    </w:p>
    <w:p w14:paraId="4EA4A633"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C.</w:t>
      </w:r>
      <w:r w:rsidRPr="00A34F10">
        <w:rPr>
          <w:b/>
          <w:bCs/>
          <w:caps/>
          <w:szCs w:val="24"/>
          <w:lang w:val="en-GB"/>
        </w:rPr>
        <w:tab/>
        <w:t>BIOLOGICAL EFFECTS</w:t>
      </w:r>
    </w:p>
    <w:p w14:paraId="1D88D908" w14:textId="77777777" w:rsidR="00DC5685" w:rsidRPr="00A34F10" w:rsidRDefault="00DC5685" w:rsidP="00DC5685">
      <w:pPr>
        <w:tabs>
          <w:tab w:val="left" w:pos="720"/>
        </w:tabs>
        <w:jc w:val="both"/>
        <w:rPr>
          <w:szCs w:val="24"/>
          <w:lang w:val="en-GB"/>
        </w:rPr>
      </w:pPr>
    </w:p>
    <w:p w14:paraId="25FACDF7" w14:textId="77777777" w:rsidR="00DC5685" w:rsidRPr="00A34F10" w:rsidRDefault="00DC5685" w:rsidP="00DC5685">
      <w:pPr>
        <w:keepNext/>
        <w:keepLines/>
        <w:tabs>
          <w:tab w:val="left" w:pos="720"/>
        </w:tabs>
        <w:jc w:val="both"/>
        <w:rPr>
          <w:b/>
          <w:bCs/>
          <w:szCs w:val="24"/>
          <w:lang w:val="en-GB"/>
        </w:rPr>
      </w:pPr>
      <w:r w:rsidRPr="00A34F10">
        <w:rPr>
          <w:b/>
          <w:bCs/>
          <w:szCs w:val="24"/>
          <w:lang w:val="en-GB"/>
        </w:rPr>
        <w:t>Oral test</w:t>
      </w:r>
    </w:p>
    <w:p w14:paraId="21BC5034" w14:textId="77777777" w:rsidR="00DC5685" w:rsidRPr="00A34F10" w:rsidRDefault="00DC5685" w:rsidP="00DC5685">
      <w:pPr>
        <w:autoSpaceDE w:val="0"/>
        <w:autoSpaceDN w:val="0"/>
        <w:adjustRightInd w:val="0"/>
        <w:jc w:val="both"/>
        <w:rPr>
          <w:color w:val="000000"/>
          <w:szCs w:val="24"/>
          <w:lang w:val="en-GB" w:eastAsia="de-DE"/>
        </w:rPr>
      </w:pPr>
      <w:r w:rsidRPr="00A34F10">
        <w:rPr>
          <w:color w:val="000000"/>
          <w:sz w:val="24"/>
          <w:szCs w:val="24"/>
          <w:lang w:val="en-GB" w:eastAsia="de-DE"/>
        </w:rPr>
        <w:t>N</w:t>
      </w:r>
      <w:r w:rsidRPr="00A34F10">
        <w:rPr>
          <w:color w:val="000000"/>
          <w:szCs w:val="24"/>
          <w:lang w:val="en-GB" w:eastAsia="de-DE"/>
        </w:rPr>
        <w:t>o mortality occurred in the control group fed with pure sucrose solution, after 48 hours. In the test item treatment, statistically significant mortality of 20.0 % was observed after oral consumption of 816 μg BAS 743 02 F/bee after 48 hours. Therefore, the LD</w:t>
      </w:r>
      <w:r w:rsidRPr="00A34F10">
        <w:rPr>
          <w:color w:val="000000"/>
          <w:szCs w:val="24"/>
          <w:vertAlign w:val="subscript"/>
          <w:lang w:val="en-GB" w:eastAsia="de-DE"/>
        </w:rPr>
        <w:t>50</w:t>
      </w:r>
      <w:r w:rsidRPr="00A34F10">
        <w:rPr>
          <w:color w:val="000000"/>
          <w:szCs w:val="24"/>
          <w:lang w:val="en-GB" w:eastAsia="de-DE"/>
        </w:rPr>
        <w:t xml:space="preserve"> (48 h) was &gt; 844 μg consumed product/bee that is corresponding to &gt; 444.7 μg total a.s./bee</w:t>
      </w:r>
      <w:r w:rsidRPr="00A34F10">
        <w:rPr>
          <w:color w:val="000000"/>
          <w:sz w:val="24"/>
          <w:szCs w:val="24"/>
          <w:lang w:val="en-GB" w:eastAsia="de-DE"/>
        </w:rPr>
        <w:t xml:space="preserve">. </w:t>
      </w:r>
      <w:r w:rsidRPr="00A34F10">
        <w:rPr>
          <w:color w:val="000000"/>
          <w:szCs w:val="24"/>
          <w:lang w:val="en-GB" w:eastAsia="de-DE"/>
        </w:rPr>
        <w:t xml:space="preserve">No behavioural impairments were observed after oral application of ≤ 816 μg BAS 743 02 F/bee when compared to the control group throughout the oral testing period of 48 hours. </w:t>
      </w:r>
    </w:p>
    <w:p w14:paraId="505D9BB4" w14:textId="68D8532C" w:rsidR="00DC5685" w:rsidRPr="00A34F10" w:rsidRDefault="00DC5685" w:rsidP="00DC5685">
      <w:pPr>
        <w:keepNext/>
        <w:keepLines/>
        <w:tabs>
          <w:tab w:val="left" w:pos="720"/>
        </w:tabs>
        <w:spacing w:after="240"/>
        <w:jc w:val="both"/>
        <w:rPr>
          <w:szCs w:val="24"/>
          <w:lang w:val="en-GB"/>
        </w:rPr>
      </w:pPr>
      <w:r w:rsidRPr="00A34F10">
        <w:rPr>
          <w:szCs w:val="24"/>
          <w:lang w:val="en-GB"/>
        </w:rPr>
        <w:t>The 48-hour LD</w:t>
      </w:r>
      <w:r w:rsidRPr="00A34F10">
        <w:rPr>
          <w:szCs w:val="24"/>
          <w:vertAlign w:val="subscript"/>
          <w:lang w:val="en-GB"/>
        </w:rPr>
        <w:t>50</w:t>
      </w:r>
      <w:r w:rsidRPr="00A34F10">
        <w:rPr>
          <w:szCs w:val="24"/>
          <w:lang w:val="en-GB"/>
        </w:rPr>
        <w:t xml:space="preserve"> values are summarised in</w:t>
      </w:r>
      <w:r w:rsidR="00405E11" w:rsidRPr="00A34F10">
        <w:rPr>
          <w:szCs w:val="24"/>
          <w:lang w:val="en-GB"/>
        </w:rPr>
        <w:t xml:space="preserve"> </w:t>
      </w:r>
      <w:r w:rsidR="00743BEE">
        <w:rPr>
          <w:szCs w:val="24"/>
          <w:lang w:val="en-GB"/>
        </w:rPr>
        <w:fldChar w:fldCharType="begin"/>
      </w:r>
      <w:r w:rsidR="00743BEE">
        <w:rPr>
          <w:szCs w:val="24"/>
          <w:lang w:val="en-GB"/>
        </w:rPr>
        <w:instrText xml:space="preserve"> REF _Ref147907082 \h </w:instrText>
      </w:r>
      <w:r w:rsidR="00743BEE">
        <w:rPr>
          <w:szCs w:val="24"/>
          <w:lang w:val="en-GB"/>
        </w:rPr>
      </w:r>
      <w:r w:rsidR="00743BEE">
        <w:rPr>
          <w:szCs w:val="24"/>
          <w:lang w:val="en-GB"/>
        </w:rPr>
        <w:fldChar w:fldCharType="separate"/>
      </w:r>
      <w:r w:rsidR="006F0F3B">
        <w:t xml:space="preserve">Table A </w:t>
      </w:r>
      <w:r w:rsidR="006F0F3B">
        <w:rPr>
          <w:noProof/>
        </w:rPr>
        <w:t>33</w:t>
      </w:r>
      <w:r w:rsidR="00743BEE">
        <w:rPr>
          <w:szCs w:val="24"/>
          <w:lang w:val="en-GB"/>
        </w:rPr>
        <w:fldChar w:fldCharType="end"/>
      </w:r>
      <w:r w:rsidRPr="00A34F10">
        <w:rPr>
          <w:szCs w:val="24"/>
          <w:lang w:val="en-GB"/>
        </w:rPr>
        <w:t>.</w:t>
      </w:r>
    </w:p>
    <w:p w14:paraId="322B26CD" w14:textId="77777777" w:rsidR="00DC5685" w:rsidRPr="00A34F10" w:rsidRDefault="00DC5685" w:rsidP="00DC5685">
      <w:pPr>
        <w:tabs>
          <w:tab w:val="left" w:pos="720"/>
        </w:tabs>
        <w:jc w:val="both"/>
        <w:rPr>
          <w:b/>
          <w:bCs/>
          <w:szCs w:val="24"/>
          <w:lang w:val="en-GB"/>
        </w:rPr>
      </w:pPr>
      <w:r w:rsidRPr="00A34F10">
        <w:rPr>
          <w:b/>
          <w:bCs/>
          <w:szCs w:val="24"/>
          <w:lang w:val="en-GB"/>
        </w:rPr>
        <w:t>Contact test</w:t>
      </w:r>
    </w:p>
    <w:p w14:paraId="3C7C5B38" w14:textId="77777777" w:rsidR="00DC5685" w:rsidRPr="00A34F10" w:rsidRDefault="00DC5685" w:rsidP="00DC5685">
      <w:pPr>
        <w:keepNext/>
        <w:keepLines/>
        <w:tabs>
          <w:tab w:val="left" w:pos="720"/>
        </w:tabs>
        <w:jc w:val="both"/>
        <w:rPr>
          <w:szCs w:val="24"/>
          <w:lang w:val="en-GB"/>
        </w:rPr>
      </w:pPr>
      <w:r w:rsidRPr="00A34F10">
        <w:rPr>
          <w:szCs w:val="24"/>
          <w:lang w:val="en-GB"/>
        </w:rPr>
        <w:t xml:space="preserve">No mortality occurred in the control groups either treated with deionised water or tween solution after 48 hours. In the test item treatment, no mortality occurred after thoracic application of ≤ 1000 μg BAS 743 02 F/bee, after 48 hours. </w:t>
      </w:r>
    </w:p>
    <w:p w14:paraId="09C43788" w14:textId="77777777" w:rsidR="00DC5685" w:rsidRPr="00A34F10" w:rsidRDefault="00DC5685" w:rsidP="00DC5685">
      <w:pPr>
        <w:keepNext/>
        <w:keepLines/>
        <w:tabs>
          <w:tab w:val="left" w:pos="720"/>
        </w:tabs>
        <w:jc w:val="both"/>
        <w:rPr>
          <w:szCs w:val="24"/>
          <w:lang w:val="en-GB"/>
        </w:rPr>
      </w:pPr>
      <w:r w:rsidRPr="00A34F10">
        <w:rPr>
          <w:szCs w:val="24"/>
          <w:lang w:val="en-GB"/>
        </w:rPr>
        <w:t>The LD</w:t>
      </w:r>
      <w:r w:rsidRPr="00A34F10">
        <w:rPr>
          <w:szCs w:val="24"/>
          <w:vertAlign w:val="subscript"/>
          <w:lang w:val="en-GB"/>
        </w:rPr>
        <w:t>50</w:t>
      </w:r>
      <w:r w:rsidRPr="00A34F10">
        <w:rPr>
          <w:szCs w:val="24"/>
          <w:lang w:val="en-GB"/>
        </w:rPr>
        <w:t xml:space="preserve"> (48 h) was &gt; 1000 μg BAS 743 02 F/bee that is corresponding to &gt; 527.0 μg total a.s./bee. </w:t>
      </w:r>
    </w:p>
    <w:p w14:paraId="47931B1F" w14:textId="2E905217" w:rsidR="00DC5685" w:rsidRPr="00A34F10" w:rsidRDefault="00DC5685" w:rsidP="00DC5685">
      <w:pPr>
        <w:tabs>
          <w:tab w:val="left" w:pos="720"/>
        </w:tabs>
        <w:jc w:val="both"/>
        <w:rPr>
          <w:szCs w:val="24"/>
          <w:lang w:val="en-GB"/>
        </w:rPr>
      </w:pPr>
      <w:r w:rsidRPr="00A34F10">
        <w:rPr>
          <w:szCs w:val="24"/>
          <w:lang w:val="en-GB"/>
        </w:rPr>
        <w:t>The 48-hour LD</w:t>
      </w:r>
      <w:r w:rsidRPr="00A34F10">
        <w:rPr>
          <w:szCs w:val="24"/>
          <w:vertAlign w:val="subscript"/>
          <w:lang w:val="en-GB"/>
        </w:rPr>
        <w:t>50</w:t>
      </w:r>
      <w:r w:rsidRPr="00A34F10">
        <w:rPr>
          <w:szCs w:val="24"/>
          <w:lang w:val="en-GB"/>
        </w:rPr>
        <w:t xml:space="preserve"> values are summarised in</w:t>
      </w:r>
      <w:r w:rsidR="00743BEE">
        <w:rPr>
          <w:szCs w:val="24"/>
          <w:lang w:val="en-GB"/>
        </w:rPr>
        <w:t xml:space="preserve"> </w:t>
      </w:r>
      <w:r w:rsidR="00743BEE">
        <w:rPr>
          <w:szCs w:val="24"/>
          <w:lang w:val="en-GB"/>
        </w:rPr>
        <w:fldChar w:fldCharType="begin"/>
      </w:r>
      <w:r w:rsidR="00743BEE">
        <w:rPr>
          <w:szCs w:val="24"/>
          <w:lang w:val="en-GB"/>
        </w:rPr>
        <w:instrText xml:space="preserve"> REF _Ref147907082 \h </w:instrText>
      </w:r>
      <w:r w:rsidR="00743BEE">
        <w:rPr>
          <w:szCs w:val="24"/>
          <w:lang w:val="en-GB"/>
        </w:rPr>
      </w:r>
      <w:r w:rsidR="00743BEE">
        <w:rPr>
          <w:szCs w:val="24"/>
          <w:lang w:val="en-GB"/>
        </w:rPr>
        <w:fldChar w:fldCharType="separate"/>
      </w:r>
      <w:r w:rsidR="006F0F3B">
        <w:t xml:space="preserve">Table A </w:t>
      </w:r>
      <w:r w:rsidR="006F0F3B">
        <w:rPr>
          <w:noProof/>
        </w:rPr>
        <w:t>33</w:t>
      </w:r>
      <w:r w:rsidR="00743BEE">
        <w:rPr>
          <w:szCs w:val="24"/>
          <w:lang w:val="en-GB"/>
        </w:rPr>
        <w:fldChar w:fldCharType="end"/>
      </w:r>
      <w:r w:rsidRPr="00A34F10">
        <w:rPr>
          <w:szCs w:val="24"/>
          <w:lang w:val="en-GB"/>
        </w:rPr>
        <w:t xml:space="preserve">. </w:t>
      </w:r>
    </w:p>
    <w:p w14:paraId="71844F5F" w14:textId="77777777" w:rsidR="00DC5685" w:rsidRPr="00A34F10" w:rsidRDefault="00DC5685" w:rsidP="00DC5685">
      <w:pPr>
        <w:tabs>
          <w:tab w:val="left" w:pos="720"/>
        </w:tabs>
        <w:jc w:val="both"/>
        <w:rPr>
          <w:szCs w:val="24"/>
          <w:lang w:val="en-GB"/>
        </w:rPr>
      </w:pPr>
    </w:p>
    <w:p w14:paraId="1F2164D1" w14:textId="704F58FC" w:rsidR="00405E11" w:rsidRPr="00A34F10" w:rsidRDefault="00DC5685" w:rsidP="00DC5685">
      <w:pPr>
        <w:tabs>
          <w:tab w:val="left" w:pos="720"/>
        </w:tabs>
        <w:spacing w:after="240"/>
        <w:jc w:val="both"/>
        <w:rPr>
          <w:szCs w:val="24"/>
          <w:lang w:val="en-GB"/>
        </w:rPr>
      </w:pPr>
      <w:r w:rsidRPr="00A34F10">
        <w:rPr>
          <w:szCs w:val="24"/>
          <w:lang w:val="en-GB"/>
        </w:rPr>
        <w:t>The 24-hour LD</w:t>
      </w:r>
      <w:r w:rsidRPr="00A34F10">
        <w:rPr>
          <w:szCs w:val="24"/>
          <w:vertAlign w:val="subscript"/>
          <w:lang w:val="en-GB"/>
        </w:rPr>
        <w:t xml:space="preserve">50 </w:t>
      </w:r>
      <w:r w:rsidRPr="00A34F10">
        <w:rPr>
          <w:szCs w:val="24"/>
          <w:lang w:val="en-GB"/>
        </w:rPr>
        <w:t xml:space="preserve">for the reference item was determined to be 0.153 μg a.s./bee (95% confidence limits 0.141 – 0.165 μg a.s./bee). </w:t>
      </w:r>
    </w:p>
    <w:p w14:paraId="4C88B178" w14:textId="77777777" w:rsidR="003347E3" w:rsidRDefault="003347E3">
      <w:pPr>
        <w:rPr>
          <w:b/>
          <w:bCs/>
          <w:color w:val="000000" w:themeColor="text1"/>
          <w:lang w:val="en-GB"/>
        </w:rPr>
      </w:pPr>
      <w:bookmarkStart w:id="1087" w:name="_Ref147907082"/>
      <w:r>
        <w:br w:type="page"/>
      </w:r>
    </w:p>
    <w:p w14:paraId="3E721981" w14:textId="198CE061" w:rsidR="00DC5685" w:rsidRPr="00A34F10" w:rsidRDefault="00743BEE" w:rsidP="00743BEE">
      <w:pPr>
        <w:pStyle w:val="Legenda"/>
      </w:pPr>
      <w:r>
        <w:lastRenderedPageBreak/>
        <w:t xml:space="preserve">Table A </w:t>
      </w:r>
      <w:r>
        <w:fldChar w:fldCharType="begin"/>
      </w:r>
      <w:r>
        <w:instrText xml:space="preserve"> SEQ Table_A \* ARABIC </w:instrText>
      </w:r>
      <w:r>
        <w:fldChar w:fldCharType="separate"/>
      </w:r>
      <w:r w:rsidR="006F0F3B">
        <w:rPr>
          <w:noProof/>
        </w:rPr>
        <w:t>33</w:t>
      </w:r>
      <w:r>
        <w:fldChar w:fldCharType="end"/>
      </w:r>
      <w:bookmarkEnd w:id="1087"/>
      <w:r w:rsidR="00DC5685" w:rsidRPr="00A34F10">
        <w:t>:</w:t>
      </w:r>
      <w:r w:rsidR="00DC5685" w:rsidRPr="00A34F10">
        <w:tab/>
        <w:t>LD</w:t>
      </w:r>
      <w:r w:rsidR="00DC5685" w:rsidRPr="00A34F10">
        <w:rPr>
          <w:vertAlign w:val="subscript"/>
        </w:rPr>
        <w:t>50</w:t>
      </w:r>
      <w:r w:rsidR="00DC5685" w:rsidRPr="00A34F10">
        <w:t xml:space="preserve"> values of the oral and contact toxicity tests with BAS </w:t>
      </w:r>
      <w:r w:rsidR="00DC5685" w:rsidRPr="00A34F10">
        <w:rPr>
          <w:szCs w:val="28"/>
        </w:rPr>
        <w:t>743</w:t>
      </w:r>
      <w:r w:rsidR="00DC5685" w:rsidRPr="00A34F10">
        <w:t xml:space="preserve"> 02 F and the honeybee </w:t>
      </w:r>
      <w:r w:rsidR="00DC5685" w:rsidRPr="00A34F10">
        <w:rPr>
          <w:i/>
          <w:iCs/>
        </w:rPr>
        <w:t xml:space="preserve">Apis mellifera </w:t>
      </w:r>
      <w:r w:rsidR="00DC5685" w:rsidRPr="00A34F10">
        <w:t xml:space="preserve">L. </w:t>
      </w:r>
    </w:p>
    <w:tbl>
      <w:tblPr>
        <w:tblStyle w:val="TableGrid1"/>
        <w:tblW w:w="0" w:type="auto"/>
        <w:tblInd w:w="-5" w:type="dxa"/>
        <w:tblLook w:val="04A0" w:firstRow="1" w:lastRow="0" w:firstColumn="1" w:lastColumn="0" w:noHBand="0" w:noVBand="1"/>
      </w:tblPr>
      <w:tblGrid>
        <w:gridCol w:w="2877"/>
        <w:gridCol w:w="3236"/>
        <w:gridCol w:w="3236"/>
      </w:tblGrid>
      <w:tr w:rsidR="00DC5685" w:rsidRPr="00A34F10" w14:paraId="4303B2FB" w14:textId="77777777" w:rsidTr="000470C3">
        <w:trPr>
          <w:trHeight w:hRule="exact" w:val="340"/>
        </w:trPr>
        <w:tc>
          <w:tcPr>
            <w:tcW w:w="2879" w:type="dxa"/>
          </w:tcPr>
          <w:p w14:paraId="3A494580" w14:textId="77777777" w:rsidR="00DC5685" w:rsidRPr="00A34F10" w:rsidRDefault="00DC5685" w:rsidP="00DC5685">
            <w:pPr>
              <w:tabs>
                <w:tab w:val="left" w:pos="720"/>
              </w:tabs>
              <w:spacing w:after="240"/>
              <w:jc w:val="center"/>
              <w:rPr>
                <w:rFonts w:ascii="Times New Roman" w:hAnsi="Times New Roman"/>
                <w:b/>
                <w:bCs/>
                <w:sz w:val="20"/>
                <w:lang w:eastAsia="en-US"/>
              </w:rPr>
            </w:pPr>
          </w:p>
        </w:tc>
        <w:tc>
          <w:tcPr>
            <w:tcW w:w="3238" w:type="dxa"/>
          </w:tcPr>
          <w:p w14:paraId="27FC1EF6" w14:textId="77777777" w:rsidR="00DC5685" w:rsidRPr="00A34F10" w:rsidRDefault="00DC5685" w:rsidP="00DC5685">
            <w:pPr>
              <w:tabs>
                <w:tab w:val="left" w:pos="720"/>
              </w:tabs>
              <w:spacing w:after="240"/>
              <w:jc w:val="center"/>
              <w:rPr>
                <w:rFonts w:ascii="Times New Roman" w:hAnsi="Times New Roman"/>
                <w:b/>
                <w:bCs/>
                <w:sz w:val="20"/>
                <w:lang w:eastAsia="en-US"/>
              </w:rPr>
            </w:pPr>
            <w:r w:rsidRPr="00A34F10">
              <w:rPr>
                <w:rFonts w:ascii="Times New Roman" w:hAnsi="Times New Roman"/>
                <w:b/>
                <w:bCs/>
                <w:sz w:val="20"/>
                <w:lang w:eastAsia="en-US"/>
              </w:rPr>
              <w:t>Oral toxicity test</w:t>
            </w:r>
          </w:p>
        </w:tc>
        <w:tc>
          <w:tcPr>
            <w:tcW w:w="3238" w:type="dxa"/>
          </w:tcPr>
          <w:p w14:paraId="0E3C8695" w14:textId="77777777" w:rsidR="00DC5685" w:rsidRPr="00A34F10" w:rsidRDefault="00DC5685" w:rsidP="00DC5685">
            <w:pPr>
              <w:tabs>
                <w:tab w:val="left" w:pos="720"/>
              </w:tabs>
              <w:spacing w:after="240"/>
              <w:jc w:val="center"/>
              <w:rPr>
                <w:rFonts w:ascii="Times New Roman" w:hAnsi="Times New Roman"/>
                <w:b/>
                <w:bCs/>
                <w:sz w:val="20"/>
                <w:lang w:eastAsia="en-US"/>
              </w:rPr>
            </w:pPr>
            <w:r w:rsidRPr="00A34F10">
              <w:rPr>
                <w:rFonts w:ascii="Times New Roman" w:hAnsi="Times New Roman"/>
                <w:b/>
                <w:bCs/>
                <w:sz w:val="20"/>
                <w:lang w:eastAsia="en-US"/>
              </w:rPr>
              <w:t>Contact toxicity test</w:t>
            </w:r>
          </w:p>
        </w:tc>
      </w:tr>
      <w:tr w:rsidR="00DC5685" w:rsidRPr="00A34F10" w14:paraId="75553D10" w14:textId="77777777" w:rsidTr="000470C3">
        <w:trPr>
          <w:trHeight w:hRule="exact" w:val="340"/>
        </w:trPr>
        <w:tc>
          <w:tcPr>
            <w:tcW w:w="2879" w:type="dxa"/>
          </w:tcPr>
          <w:p w14:paraId="7FF63181"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48-hour LD</w:t>
            </w:r>
            <w:r w:rsidRPr="00A34F10">
              <w:rPr>
                <w:rFonts w:ascii="Times New Roman" w:hAnsi="Times New Roman"/>
                <w:sz w:val="20"/>
                <w:vertAlign w:val="subscript"/>
                <w:lang w:eastAsia="en-US"/>
              </w:rPr>
              <w:t>50</w:t>
            </w:r>
            <w:r w:rsidRPr="00A34F10">
              <w:rPr>
                <w:rFonts w:ascii="Times New Roman" w:hAnsi="Times New Roman"/>
                <w:sz w:val="20"/>
                <w:lang w:eastAsia="en-US"/>
              </w:rPr>
              <w:t xml:space="preserve"> (µg product/bee)</w:t>
            </w:r>
          </w:p>
        </w:tc>
        <w:tc>
          <w:tcPr>
            <w:tcW w:w="3238" w:type="dxa"/>
          </w:tcPr>
          <w:p w14:paraId="22D61867"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&gt;844</w:t>
            </w:r>
          </w:p>
        </w:tc>
        <w:tc>
          <w:tcPr>
            <w:tcW w:w="3238" w:type="dxa"/>
          </w:tcPr>
          <w:p w14:paraId="0A72E8AF"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&gt;1000</w:t>
            </w:r>
          </w:p>
        </w:tc>
      </w:tr>
      <w:tr w:rsidR="00DC5685" w:rsidRPr="00A34F10" w14:paraId="46DD47AF" w14:textId="77777777" w:rsidTr="000470C3">
        <w:trPr>
          <w:trHeight w:hRule="exact" w:val="340"/>
        </w:trPr>
        <w:tc>
          <w:tcPr>
            <w:tcW w:w="2879" w:type="dxa"/>
          </w:tcPr>
          <w:p w14:paraId="6214978E"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48-hour LD</w:t>
            </w:r>
            <w:r w:rsidRPr="00A34F10">
              <w:rPr>
                <w:rFonts w:ascii="Times New Roman" w:hAnsi="Times New Roman"/>
                <w:sz w:val="20"/>
                <w:vertAlign w:val="subscript"/>
                <w:lang w:eastAsia="en-US"/>
              </w:rPr>
              <w:t>50</w:t>
            </w:r>
            <w:r w:rsidRPr="00A34F10">
              <w:rPr>
                <w:rFonts w:ascii="Times New Roman" w:hAnsi="Times New Roman"/>
                <w:sz w:val="20"/>
                <w:lang w:eastAsia="en-US"/>
              </w:rPr>
              <w:t xml:space="preserve"> (µg total a.s./bee)</w:t>
            </w:r>
          </w:p>
        </w:tc>
        <w:tc>
          <w:tcPr>
            <w:tcW w:w="3238" w:type="dxa"/>
          </w:tcPr>
          <w:p w14:paraId="4B070F75"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&gt;444.7</w:t>
            </w:r>
          </w:p>
        </w:tc>
        <w:tc>
          <w:tcPr>
            <w:tcW w:w="3238" w:type="dxa"/>
          </w:tcPr>
          <w:p w14:paraId="68E8D26B"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 527.0</w:t>
            </w:r>
          </w:p>
        </w:tc>
      </w:tr>
    </w:tbl>
    <w:p w14:paraId="3213E53C" w14:textId="138B8002" w:rsidR="00405E11" w:rsidRPr="00A34F10" w:rsidRDefault="00405E11" w:rsidP="00DC5685">
      <w:pPr>
        <w:tabs>
          <w:tab w:val="left" w:pos="0"/>
        </w:tabs>
        <w:contextualSpacing/>
        <w:rPr>
          <w:b/>
          <w:bCs/>
          <w:caps/>
          <w:szCs w:val="24"/>
          <w:highlight w:val="yellow"/>
          <w:lang w:val="en-GB"/>
        </w:rPr>
      </w:pPr>
    </w:p>
    <w:p w14:paraId="404DEE69" w14:textId="77777777" w:rsidR="00DC5685" w:rsidRPr="00A34F10" w:rsidRDefault="00DC5685" w:rsidP="00DC5685">
      <w:pPr>
        <w:tabs>
          <w:tab w:val="left" w:pos="0"/>
        </w:tabs>
        <w:contextualSpacing/>
        <w:rPr>
          <w:b/>
          <w:bCs/>
          <w:caps/>
          <w:szCs w:val="24"/>
          <w:highlight w:val="yellow"/>
          <w:lang w:val="en-GB"/>
        </w:rPr>
      </w:pPr>
    </w:p>
    <w:p w14:paraId="08C01428"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D.</w:t>
      </w:r>
      <w:r w:rsidRPr="00A34F10">
        <w:rPr>
          <w:b/>
          <w:bCs/>
          <w:caps/>
          <w:szCs w:val="24"/>
          <w:lang w:val="en-GB"/>
        </w:rPr>
        <w:tab/>
        <w:t>VALIDITY CRITERIA</w:t>
      </w:r>
    </w:p>
    <w:p w14:paraId="4BD1E61F" w14:textId="77777777" w:rsidR="00DC5685" w:rsidRPr="00A34F10" w:rsidRDefault="00DC5685" w:rsidP="00DC5685">
      <w:pPr>
        <w:tabs>
          <w:tab w:val="left" w:pos="720"/>
        </w:tabs>
        <w:spacing w:after="240"/>
        <w:jc w:val="both"/>
        <w:rPr>
          <w:szCs w:val="24"/>
          <w:lang w:val="en-GB"/>
        </w:rPr>
      </w:pPr>
      <w:r w:rsidRPr="00A34F10">
        <w:rPr>
          <w:szCs w:val="24"/>
          <w:lang w:val="en-GB"/>
        </w:rPr>
        <w:t>All validity criteria were met.</w:t>
      </w:r>
    </w:p>
    <w:p w14:paraId="4E7617D1" w14:textId="7F635719" w:rsidR="00DC5685" w:rsidRPr="00A34F10" w:rsidRDefault="003F3EE9" w:rsidP="003F3EE9">
      <w:pPr>
        <w:pStyle w:val="Legenda"/>
        <w:rPr>
          <w:szCs w:val="28"/>
        </w:rPr>
      </w:pPr>
      <w:r>
        <w:t xml:space="preserve">Table A </w:t>
      </w:r>
      <w:r>
        <w:fldChar w:fldCharType="begin"/>
      </w:r>
      <w:r>
        <w:instrText xml:space="preserve"> SEQ Table_A \* ARABIC </w:instrText>
      </w:r>
      <w:r>
        <w:fldChar w:fldCharType="separate"/>
      </w:r>
      <w:r w:rsidR="006F0F3B">
        <w:rPr>
          <w:noProof/>
        </w:rPr>
        <w:t>34</w:t>
      </w:r>
      <w:r>
        <w:fldChar w:fldCharType="end"/>
      </w:r>
      <w:r w:rsidR="00DC5685" w:rsidRPr="00A34F10">
        <w:t>:</w:t>
      </w:r>
      <w:r w:rsidR="00DC5685" w:rsidRPr="00A34F10">
        <w:tab/>
      </w:r>
      <w:r w:rsidR="00DC5685" w:rsidRPr="00A34F10">
        <w:rPr>
          <w:szCs w:val="28"/>
        </w:rPr>
        <w:t>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536"/>
      </w:tblGrid>
      <w:tr w:rsidR="00DC5685" w:rsidRPr="00A34F10" w14:paraId="74C69A1A" w14:textId="77777777" w:rsidTr="000470C3">
        <w:trPr>
          <w:trHeight w:val="270"/>
          <w:tblHeader/>
        </w:trPr>
        <w:tc>
          <w:tcPr>
            <w:tcW w:w="4673" w:type="dxa"/>
            <w:shd w:val="clear" w:color="auto" w:fill="auto"/>
            <w:noWrap/>
          </w:tcPr>
          <w:p w14:paraId="237C7DA0" w14:textId="77777777" w:rsidR="00DC5685" w:rsidRPr="00A34F10" w:rsidRDefault="00DC5685" w:rsidP="00DC5685">
            <w:pPr>
              <w:tabs>
                <w:tab w:val="left" w:pos="720"/>
              </w:tabs>
              <w:spacing w:before="40" w:after="40"/>
              <w:rPr>
                <w:b/>
                <w:bCs/>
                <w:lang w:val="en-GB"/>
              </w:rPr>
            </w:pPr>
            <w:r w:rsidRPr="00A34F10">
              <w:rPr>
                <w:b/>
                <w:bCs/>
                <w:lang w:val="en-GB"/>
              </w:rPr>
              <w:t xml:space="preserve">Validity criteria according to the study plan </w:t>
            </w:r>
          </w:p>
        </w:tc>
        <w:tc>
          <w:tcPr>
            <w:tcW w:w="4536" w:type="dxa"/>
            <w:shd w:val="clear" w:color="auto" w:fill="auto"/>
            <w:noWrap/>
          </w:tcPr>
          <w:p w14:paraId="79EC2EA6" w14:textId="77777777" w:rsidR="00DC5685" w:rsidRPr="00A34F10" w:rsidRDefault="00DC5685" w:rsidP="00DC5685">
            <w:pPr>
              <w:tabs>
                <w:tab w:val="left" w:pos="720"/>
              </w:tabs>
              <w:spacing w:before="40" w:after="40"/>
              <w:rPr>
                <w:b/>
                <w:bCs/>
                <w:lang w:val="en-GB"/>
              </w:rPr>
            </w:pPr>
            <w:r w:rsidRPr="00A34F10">
              <w:rPr>
                <w:b/>
                <w:bCs/>
                <w:lang w:val="en-GB"/>
              </w:rPr>
              <w:t>Obtained in this study</w:t>
            </w:r>
          </w:p>
        </w:tc>
      </w:tr>
      <w:tr w:rsidR="00DC5685" w:rsidRPr="00A34F10" w14:paraId="25136DA5" w14:textId="77777777" w:rsidTr="000470C3">
        <w:trPr>
          <w:trHeight w:val="270"/>
        </w:trPr>
        <w:tc>
          <w:tcPr>
            <w:tcW w:w="9209" w:type="dxa"/>
            <w:gridSpan w:val="2"/>
            <w:shd w:val="clear" w:color="auto" w:fill="auto"/>
            <w:noWrap/>
          </w:tcPr>
          <w:p w14:paraId="0212C4C5" w14:textId="77777777" w:rsidR="00DC5685" w:rsidRPr="00A34F10" w:rsidRDefault="00DC5685" w:rsidP="00DC5685">
            <w:pPr>
              <w:tabs>
                <w:tab w:val="left" w:pos="720"/>
              </w:tabs>
              <w:spacing w:before="40" w:after="40"/>
              <w:jc w:val="center"/>
              <w:rPr>
                <w:b/>
                <w:bCs/>
                <w:lang w:val="en-GB"/>
              </w:rPr>
            </w:pPr>
            <w:r w:rsidRPr="00A34F10">
              <w:rPr>
                <w:b/>
                <w:bCs/>
                <w:lang w:val="en-GB"/>
              </w:rPr>
              <w:t>Oral toxicity test</w:t>
            </w:r>
          </w:p>
        </w:tc>
      </w:tr>
      <w:tr w:rsidR="00DC5685" w:rsidRPr="00A34F10" w14:paraId="3EA4EEBC" w14:textId="77777777" w:rsidTr="000470C3">
        <w:trPr>
          <w:trHeight w:val="270"/>
        </w:trPr>
        <w:tc>
          <w:tcPr>
            <w:tcW w:w="4673" w:type="dxa"/>
            <w:shd w:val="clear" w:color="auto" w:fill="auto"/>
            <w:noWrap/>
          </w:tcPr>
          <w:p w14:paraId="75620FA2"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control, mortality after 48 hours should be ≤10%</w:t>
            </w:r>
          </w:p>
        </w:tc>
        <w:tc>
          <w:tcPr>
            <w:tcW w:w="4536" w:type="dxa"/>
            <w:shd w:val="clear" w:color="auto" w:fill="auto"/>
            <w:noWrap/>
          </w:tcPr>
          <w:p w14:paraId="4DFEAFA3" w14:textId="77777777" w:rsidR="00DC5685" w:rsidRPr="00A34F10" w:rsidRDefault="00DC5685" w:rsidP="00DC5685">
            <w:pPr>
              <w:tabs>
                <w:tab w:val="left" w:pos="720"/>
              </w:tabs>
              <w:spacing w:before="40" w:after="40"/>
              <w:rPr>
                <w:lang w:val="en-GB"/>
              </w:rPr>
            </w:pPr>
            <w:r w:rsidRPr="00A34F10">
              <w:rPr>
                <w:lang w:val="en-GB"/>
              </w:rPr>
              <w:t xml:space="preserve">0.0% </w:t>
            </w:r>
          </w:p>
        </w:tc>
      </w:tr>
      <w:tr w:rsidR="00DC5685" w:rsidRPr="00A34F10" w14:paraId="4990E5D6" w14:textId="77777777" w:rsidTr="000470C3">
        <w:trPr>
          <w:trHeight w:val="270"/>
        </w:trPr>
        <w:tc>
          <w:tcPr>
            <w:tcW w:w="4673" w:type="dxa"/>
            <w:shd w:val="clear" w:color="auto" w:fill="auto"/>
            <w:noWrap/>
          </w:tcPr>
          <w:p w14:paraId="58677910"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The 24-hour LD</w:t>
            </w:r>
            <w:r w:rsidRPr="00A34F10">
              <w:rPr>
                <w:rFonts w:eastAsia="Calibri"/>
                <w:vertAlign w:val="subscript"/>
                <w:lang w:val="en-GB"/>
              </w:rPr>
              <w:t>50</w:t>
            </w:r>
            <w:r w:rsidRPr="00A34F10">
              <w:rPr>
                <w:rFonts w:eastAsia="Calibri"/>
                <w:lang w:val="en-GB"/>
              </w:rPr>
              <w:t xml:space="preserve"> of the reference item should be between 0.10 – 0.35 µg a.s./bee</w:t>
            </w:r>
          </w:p>
        </w:tc>
        <w:tc>
          <w:tcPr>
            <w:tcW w:w="4536" w:type="dxa"/>
            <w:shd w:val="clear" w:color="auto" w:fill="auto"/>
            <w:noWrap/>
          </w:tcPr>
          <w:p w14:paraId="149C41B1" w14:textId="77777777" w:rsidR="00DC5685" w:rsidRPr="00A34F10" w:rsidRDefault="00DC5685" w:rsidP="00DC5685">
            <w:pPr>
              <w:tabs>
                <w:tab w:val="left" w:pos="720"/>
              </w:tabs>
              <w:spacing w:before="40" w:after="40"/>
              <w:rPr>
                <w:lang w:val="en-GB"/>
              </w:rPr>
            </w:pPr>
            <w:r w:rsidRPr="00A34F10">
              <w:rPr>
                <w:lang w:val="en-GB"/>
              </w:rPr>
              <w:t>0.105 µg a.s./bee</w:t>
            </w:r>
          </w:p>
        </w:tc>
      </w:tr>
      <w:tr w:rsidR="00DC5685" w:rsidRPr="00A34F10" w14:paraId="3DE03E25" w14:textId="77777777" w:rsidTr="000470C3">
        <w:trPr>
          <w:trHeight w:val="270"/>
        </w:trPr>
        <w:tc>
          <w:tcPr>
            <w:tcW w:w="9209" w:type="dxa"/>
            <w:gridSpan w:val="2"/>
            <w:shd w:val="clear" w:color="auto" w:fill="auto"/>
            <w:noWrap/>
          </w:tcPr>
          <w:p w14:paraId="56CE27F8" w14:textId="77777777" w:rsidR="00DC5685" w:rsidRPr="00A34F10" w:rsidRDefault="00DC5685" w:rsidP="00DC5685">
            <w:pPr>
              <w:tabs>
                <w:tab w:val="left" w:pos="720"/>
              </w:tabs>
              <w:spacing w:before="40" w:after="40"/>
              <w:jc w:val="center"/>
              <w:rPr>
                <w:b/>
                <w:bCs/>
                <w:lang w:val="en-GB"/>
              </w:rPr>
            </w:pPr>
            <w:r w:rsidRPr="00A34F10">
              <w:rPr>
                <w:b/>
                <w:bCs/>
                <w:lang w:val="en-GB"/>
              </w:rPr>
              <w:t>Contact toxicity test</w:t>
            </w:r>
          </w:p>
        </w:tc>
      </w:tr>
      <w:tr w:rsidR="00DC5685" w:rsidRPr="00A34F10" w14:paraId="30B9776E" w14:textId="77777777" w:rsidTr="000470C3">
        <w:trPr>
          <w:trHeight w:val="270"/>
        </w:trPr>
        <w:tc>
          <w:tcPr>
            <w:tcW w:w="4673" w:type="dxa"/>
            <w:shd w:val="clear" w:color="auto" w:fill="auto"/>
            <w:noWrap/>
          </w:tcPr>
          <w:p w14:paraId="5EBCDE3E"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controls, mortality after 48 hours should be ≤10%</w:t>
            </w:r>
          </w:p>
        </w:tc>
        <w:tc>
          <w:tcPr>
            <w:tcW w:w="4536" w:type="dxa"/>
            <w:shd w:val="clear" w:color="auto" w:fill="auto"/>
            <w:noWrap/>
          </w:tcPr>
          <w:p w14:paraId="0EA6D156" w14:textId="77777777" w:rsidR="00DC5685" w:rsidRPr="00A34F10" w:rsidRDefault="00DC5685" w:rsidP="00DC5685">
            <w:pPr>
              <w:tabs>
                <w:tab w:val="left" w:pos="720"/>
              </w:tabs>
              <w:spacing w:before="40" w:after="40"/>
              <w:rPr>
                <w:lang w:val="en-GB"/>
              </w:rPr>
            </w:pPr>
            <w:r w:rsidRPr="00A34F10">
              <w:rPr>
                <w:lang w:val="en-GB"/>
              </w:rPr>
              <w:t xml:space="preserve">0.0% in both controls </w:t>
            </w:r>
          </w:p>
        </w:tc>
      </w:tr>
      <w:tr w:rsidR="00DC5685" w:rsidRPr="00A34F10" w14:paraId="4C792CF1" w14:textId="77777777" w:rsidTr="000470C3">
        <w:trPr>
          <w:trHeight w:val="270"/>
        </w:trPr>
        <w:tc>
          <w:tcPr>
            <w:tcW w:w="4673" w:type="dxa"/>
            <w:shd w:val="clear" w:color="auto" w:fill="auto"/>
            <w:noWrap/>
          </w:tcPr>
          <w:p w14:paraId="562790B9"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contact toxicity test, the 24-hour LD</w:t>
            </w:r>
            <w:r w:rsidRPr="00A34F10">
              <w:rPr>
                <w:rFonts w:eastAsia="Calibri"/>
                <w:vertAlign w:val="subscript"/>
                <w:lang w:val="en-GB"/>
              </w:rPr>
              <w:t>50</w:t>
            </w:r>
            <w:r w:rsidRPr="00A34F10">
              <w:rPr>
                <w:rFonts w:eastAsia="Calibri"/>
                <w:lang w:val="en-GB"/>
              </w:rPr>
              <w:t xml:space="preserve"> of the reference item should be between 0.10 – 0.30 µg a.s./bee</w:t>
            </w:r>
          </w:p>
        </w:tc>
        <w:tc>
          <w:tcPr>
            <w:tcW w:w="4536" w:type="dxa"/>
            <w:shd w:val="clear" w:color="auto" w:fill="auto"/>
            <w:noWrap/>
          </w:tcPr>
          <w:p w14:paraId="46E7FA46" w14:textId="77777777" w:rsidR="00DC5685" w:rsidRPr="00A34F10" w:rsidRDefault="00DC5685" w:rsidP="00DC5685">
            <w:pPr>
              <w:tabs>
                <w:tab w:val="left" w:pos="720"/>
              </w:tabs>
              <w:spacing w:before="40" w:after="40"/>
              <w:rPr>
                <w:lang w:val="en-GB"/>
              </w:rPr>
            </w:pPr>
            <w:r w:rsidRPr="00A34F10">
              <w:rPr>
                <w:lang w:val="en-GB"/>
              </w:rPr>
              <w:t>0.153 µg a.s./bee</w:t>
            </w:r>
          </w:p>
        </w:tc>
      </w:tr>
    </w:tbl>
    <w:p w14:paraId="5FBDE766" w14:textId="77777777" w:rsidR="00DC5685" w:rsidRPr="00A34F10" w:rsidRDefault="00DC5685" w:rsidP="00DC5685">
      <w:pPr>
        <w:tabs>
          <w:tab w:val="left" w:pos="720"/>
        </w:tabs>
        <w:jc w:val="both"/>
        <w:rPr>
          <w:szCs w:val="24"/>
          <w:highlight w:val="yellow"/>
          <w:lang w:val="en-GB"/>
        </w:rPr>
      </w:pPr>
    </w:p>
    <w:p w14:paraId="5E434BE2"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E.</w:t>
      </w:r>
      <w:r w:rsidRPr="00A34F10">
        <w:rPr>
          <w:b/>
          <w:bCs/>
          <w:caps/>
          <w:szCs w:val="24"/>
          <w:lang w:val="en-GB"/>
        </w:rPr>
        <w:tab/>
        <w:t>DEFICIENCIES</w:t>
      </w:r>
    </w:p>
    <w:p w14:paraId="56C2FC1C"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There were no deficiencies. </w:t>
      </w:r>
    </w:p>
    <w:p w14:paraId="114EA44D" w14:textId="77777777" w:rsidR="00DC5685" w:rsidRPr="00A34F10" w:rsidRDefault="00DC5685" w:rsidP="003347E3">
      <w:pPr>
        <w:tabs>
          <w:tab w:val="left" w:pos="720"/>
        </w:tabs>
        <w:spacing w:after="240"/>
        <w:contextualSpacing/>
        <w:jc w:val="center"/>
        <w:rPr>
          <w:b/>
          <w:bCs/>
          <w:caps/>
          <w:szCs w:val="24"/>
          <w:lang w:val="en-GB"/>
        </w:rPr>
      </w:pPr>
      <w:r w:rsidRPr="00A34F10">
        <w:rPr>
          <w:b/>
          <w:bCs/>
          <w:caps/>
          <w:szCs w:val="24"/>
          <w:lang w:val="en-GB"/>
        </w:rPr>
        <w:t>III.</w:t>
      </w:r>
      <w:r w:rsidRPr="00A34F10">
        <w:rPr>
          <w:b/>
          <w:bCs/>
          <w:caps/>
          <w:szCs w:val="24"/>
          <w:lang w:val="en-GB"/>
        </w:rPr>
        <w:tab/>
        <w:t>Conclusion</w:t>
      </w:r>
    </w:p>
    <w:p w14:paraId="5952EA50" w14:textId="77777777" w:rsidR="003347E3" w:rsidRDefault="003347E3" w:rsidP="003347E3">
      <w:pPr>
        <w:tabs>
          <w:tab w:val="left" w:pos="720"/>
        </w:tabs>
        <w:jc w:val="both"/>
        <w:rPr>
          <w:szCs w:val="24"/>
          <w:lang w:val="en-GB"/>
        </w:rPr>
      </w:pPr>
    </w:p>
    <w:p w14:paraId="1101E78E" w14:textId="5FAF0B57" w:rsidR="00DC5685" w:rsidRPr="00A34F10" w:rsidRDefault="00DC5685" w:rsidP="00DC5685">
      <w:pPr>
        <w:tabs>
          <w:tab w:val="left" w:pos="720"/>
        </w:tabs>
        <w:spacing w:after="240"/>
        <w:jc w:val="both"/>
        <w:rPr>
          <w:szCs w:val="24"/>
          <w:lang w:val="en-GB"/>
        </w:rPr>
      </w:pPr>
      <w:r w:rsidRPr="00A34F10">
        <w:rPr>
          <w:szCs w:val="24"/>
          <w:lang w:val="en-GB"/>
        </w:rPr>
        <w:t xml:space="preserve">The acute contact and oral toxicity of BAS 743 02 F was tested on honeybees under laboratory conditions over 48 hours. </w:t>
      </w:r>
    </w:p>
    <w:p w14:paraId="111CF44D" w14:textId="77777777" w:rsidR="00DC5685" w:rsidRPr="00A34F10" w:rsidRDefault="00DC5685" w:rsidP="00DC5685">
      <w:pPr>
        <w:tabs>
          <w:tab w:val="left" w:pos="720"/>
        </w:tabs>
        <w:spacing w:after="240"/>
        <w:jc w:val="both"/>
        <w:rPr>
          <w:szCs w:val="24"/>
          <w:lang w:val="en-GB"/>
        </w:rPr>
      </w:pPr>
      <w:r w:rsidRPr="00A34F10">
        <w:rPr>
          <w:szCs w:val="24"/>
          <w:lang w:val="en-GB"/>
        </w:rPr>
        <w:t>In the contact toxicity test, no mortality occurred in the control groups either treated with deionised water or 1 % v/v tween solution. In the test item treatment, no mortality was observed after thoracic application of ≤ 1000 μg BAS 743 02 F/bee, after 48 hours. The LD</w:t>
      </w:r>
      <w:r w:rsidRPr="00A34F10">
        <w:rPr>
          <w:szCs w:val="24"/>
          <w:vertAlign w:val="subscript"/>
          <w:lang w:val="en-GB"/>
        </w:rPr>
        <w:t>50</w:t>
      </w:r>
      <w:r w:rsidRPr="00A34F10">
        <w:rPr>
          <w:szCs w:val="24"/>
          <w:lang w:val="en-GB"/>
        </w:rPr>
        <w:t xml:space="preserve"> (48 h) was &gt; 1000 μg BAS 743 02 F/bee, corresponding to &gt; 527.0 μg total a.s./bee. </w:t>
      </w:r>
    </w:p>
    <w:p w14:paraId="1ED4ECEA" w14:textId="77777777" w:rsidR="00DC5685" w:rsidRPr="00A34F10" w:rsidRDefault="00DC5685" w:rsidP="00DC5685">
      <w:pPr>
        <w:tabs>
          <w:tab w:val="left" w:pos="720"/>
        </w:tabs>
        <w:spacing w:after="240"/>
        <w:jc w:val="both"/>
        <w:rPr>
          <w:szCs w:val="24"/>
          <w:lang w:val="en-GB"/>
        </w:rPr>
      </w:pPr>
      <w:r w:rsidRPr="00A34F10">
        <w:rPr>
          <w:szCs w:val="24"/>
          <w:lang w:val="en-GB"/>
        </w:rPr>
        <w:t>In the oral toxicity test, no mortality occurred in the control group fed with pure 50 % w/v sucrose solution. In the test item treatment, statistically significant mortality of 20.0 % was observed after oral consumption of 816 μg BAS 743 02 F/bee, after 48 hours. The LD</w:t>
      </w:r>
      <w:r w:rsidRPr="00A34F10">
        <w:rPr>
          <w:szCs w:val="24"/>
          <w:vertAlign w:val="subscript"/>
          <w:lang w:val="en-GB"/>
        </w:rPr>
        <w:t>50</w:t>
      </w:r>
      <w:r w:rsidRPr="00A34F10">
        <w:rPr>
          <w:szCs w:val="24"/>
          <w:lang w:val="en-GB"/>
        </w:rPr>
        <w:t xml:space="preserve"> (48 h) was &gt; 844 μg BAS 743 02 F/bee, corresponding to &gt; 444.7 μg total a.s./bee.</w:t>
      </w:r>
    </w:p>
    <w:p w14:paraId="1A844746" w14:textId="77777777" w:rsidR="003347E3" w:rsidRDefault="003347E3">
      <w:pPr>
        <w:rPr>
          <w:b/>
          <w:sz w:val="24"/>
        </w:rPr>
      </w:pPr>
      <w:r>
        <w:br w:type="page"/>
      </w:r>
    </w:p>
    <w:p w14:paraId="699196A9" w14:textId="330D2655" w:rsidR="00DC5685" w:rsidRPr="00A34F10" w:rsidRDefault="00DC5685" w:rsidP="00035DE0">
      <w:pPr>
        <w:pStyle w:val="RepAppendix6"/>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18D65A0B" w14:textId="77777777" w:rsidTr="001B094F">
        <w:tc>
          <w:tcPr>
            <w:tcW w:w="1063" w:type="pct"/>
            <w:shd w:val="clear" w:color="auto" w:fill="D9D9D9" w:themeFill="background1" w:themeFillShade="D9"/>
          </w:tcPr>
          <w:p w14:paraId="114DC071"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47EB9C77" w14:textId="2E2B6101" w:rsidR="001B094F" w:rsidRPr="007A6328" w:rsidRDefault="001B094F" w:rsidP="001B094F">
            <w:pPr>
              <w:pStyle w:val="RepStandard"/>
              <w:rPr>
                <w:color w:val="000000"/>
              </w:rPr>
            </w:pPr>
            <w:r w:rsidRPr="007A6328">
              <w:rPr>
                <w:color w:val="000000"/>
              </w:rPr>
              <w:t xml:space="preserve">The study was conducted to </w:t>
            </w:r>
            <w:r w:rsidRPr="00A34F10">
              <w:t>OECD 213</w:t>
            </w:r>
            <w:r w:rsidR="00D554EC">
              <w:t xml:space="preserve"> and 214</w:t>
            </w:r>
            <w:r w:rsidRPr="00A34F10">
              <w:t xml:space="preserve"> </w:t>
            </w:r>
            <w:r w:rsidRPr="007A6328">
              <w:rPr>
                <w:color w:val="000000"/>
              </w:rPr>
              <w:t>and according to the principles of GLP. No deviations to the guideline were noted. All validity criteria were met.</w:t>
            </w:r>
          </w:p>
          <w:p w14:paraId="6EDC69DE" w14:textId="34DE4F02" w:rsidR="00DC5685" w:rsidRPr="00A34F10" w:rsidRDefault="001B094F" w:rsidP="001B094F">
            <w:pPr>
              <w:widowControl w:val="0"/>
              <w:suppressAutoHyphens/>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tbl>
    <w:p w14:paraId="72491D27" w14:textId="77777777" w:rsidR="00DC5685" w:rsidRPr="00A34F10" w:rsidRDefault="00DC5685" w:rsidP="00DC5685">
      <w:pPr>
        <w:suppressAutoHyphens/>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4DABACA2" w14:textId="77777777" w:rsidTr="000470C3">
        <w:trPr>
          <w:trHeight w:val="227"/>
          <w:jc w:val="center"/>
        </w:trPr>
        <w:tc>
          <w:tcPr>
            <w:tcW w:w="1288" w:type="pct"/>
          </w:tcPr>
          <w:p w14:paraId="79F0541B" w14:textId="77777777" w:rsidR="00DC5685" w:rsidRPr="00A34F10" w:rsidRDefault="00DC5685" w:rsidP="00DC5685">
            <w:pPr>
              <w:widowControl w:val="0"/>
              <w:spacing w:after="120"/>
              <w:jc w:val="both"/>
            </w:pPr>
            <w:r w:rsidRPr="00A34F10">
              <w:t xml:space="preserve">Data point: </w:t>
            </w:r>
          </w:p>
        </w:tc>
        <w:tc>
          <w:tcPr>
            <w:tcW w:w="3712" w:type="pct"/>
          </w:tcPr>
          <w:p w14:paraId="13D7823A" w14:textId="77777777" w:rsidR="00DC5685" w:rsidRPr="00A34F10" w:rsidRDefault="00DC5685" w:rsidP="00DC5685">
            <w:pPr>
              <w:keepNext/>
              <w:tabs>
                <w:tab w:val="left" w:pos="360"/>
                <w:tab w:val="left" w:pos="720"/>
              </w:tabs>
              <w:spacing w:before="60" w:after="60"/>
              <w:jc w:val="both"/>
            </w:pPr>
            <w:r w:rsidRPr="00A34F10">
              <w:t>CP 10.3.1.1.1/02</w:t>
            </w:r>
          </w:p>
        </w:tc>
      </w:tr>
      <w:tr w:rsidR="00DC5685" w:rsidRPr="00A34F10" w14:paraId="046060F6" w14:textId="77777777" w:rsidTr="000470C3">
        <w:trPr>
          <w:trHeight w:val="227"/>
          <w:jc w:val="center"/>
        </w:trPr>
        <w:tc>
          <w:tcPr>
            <w:tcW w:w="1288" w:type="pct"/>
          </w:tcPr>
          <w:p w14:paraId="4E0A9A38" w14:textId="77777777" w:rsidR="00DC5685" w:rsidRPr="00A34F10" w:rsidRDefault="00DC5685" w:rsidP="00DC5685">
            <w:pPr>
              <w:widowControl w:val="0"/>
              <w:spacing w:after="120"/>
              <w:jc w:val="both"/>
            </w:pPr>
            <w:r w:rsidRPr="00A34F10">
              <w:t xml:space="preserve">Report </w:t>
            </w:r>
          </w:p>
        </w:tc>
        <w:tc>
          <w:tcPr>
            <w:tcW w:w="3712" w:type="pct"/>
          </w:tcPr>
          <w:p w14:paraId="07CB283E" w14:textId="77777777" w:rsidR="00DC5685" w:rsidRPr="00A34F10" w:rsidRDefault="00DC5685" w:rsidP="00DC5685">
            <w:pPr>
              <w:widowControl w:val="0"/>
              <w:spacing w:after="120"/>
              <w:jc w:val="both"/>
            </w:pPr>
            <w:r w:rsidRPr="00A34F10">
              <w:t xml:space="preserve">Acute toxicity of BAS 743 03 F to the honeybee </w:t>
            </w:r>
            <w:r w:rsidRPr="00A34F10">
              <w:rPr>
                <w:i/>
                <w:iCs/>
              </w:rPr>
              <w:t>Apis mellifera</w:t>
            </w:r>
            <w:r w:rsidRPr="00A34F10">
              <w:t xml:space="preserve"> L. under laboratory conditions</w:t>
            </w:r>
          </w:p>
          <w:p w14:paraId="17D39A75" w14:textId="77777777" w:rsidR="00DC5685" w:rsidRPr="00A34F10" w:rsidRDefault="00DC5685" w:rsidP="00DC5685">
            <w:pPr>
              <w:widowControl w:val="0"/>
              <w:spacing w:after="120"/>
              <w:jc w:val="both"/>
            </w:pPr>
            <w:r w:rsidRPr="00A34F10">
              <w:t>Poráczki, K., 2023b</w:t>
            </w:r>
          </w:p>
          <w:p w14:paraId="2BD93C5E" w14:textId="2B6F7A1D" w:rsidR="00DC5685" w:rsidRPr="00A34F10" w:rsidRDefault="00D007AB" w:rsidP="00DC5685">
            <w:pPr>
              <w:widowControl w:val="0"/>
              <w:spacing w:after="120"/>
              <w:jc w:val="both"/>
            </w:pPr>
            <w:r>
              <w:t>XXXX</w:t>
            </w:r>
            <w:r w:rsidR="00DC5685" w:rsidRPr="00A34F10">
              <w:t xml:space="preserve"> Study ID: </w:t>
            </w:r>
            <w:r w:rsidR="00DC5685" w:rsidRPr="00A34F10">
              <w:rPr>
                <w:lang w:val="en-GB"/>
              </w:rPr>
              <w:t>933750_1</w:t>
            </w:r>
          </w:p>
          <w:p w14:paraId="47EDAF06" w14:textId="0A00A291" w:rsidR="00DC5685" w:rsidRPr="00A34F10" w:rsidRDefault="00D007AB" w:rsidP="00DC5685">
            <w:pPr>
              <w:widowControl w:val="0"/>
              <w:spacing w:after="120"/>
              <w:jc w:val="both"/>
            </w:pPr>
            <w:r>
              <w:t>XXXX</w:t>
            </w:r>
            <w:r w:rsidR="00DC5685" w:rsidRPr="00A34F10">
              <w:t xml:space="preserve"> Doc ID: 2022/2033729</w:t>
            </w:r>
          </w:p>
        </w:tc>
      </w:tr>
      <w:tr w:rsidR="00DC5685" w:rsidRPr="00A34F10" w14:paraId="3B7C086A" w14:textId="77777777" w:rsidTr="000470C3">
        <w:trPr>
          <w:trHeight w:val="227"/>
          <w:jc w:val="center"/>
        </w:trPr>
        <w:tc>
          <w:tcPr>
            <w:tcW w:w="1288" w:type="pct"/>
          </w:tcPr>
          <w:p w14:paraId="00746070" w14:textId="77777777" w:rsidR="00DC5685" w:rsidRPr="00A34F10" w:rsidRDefault="00DC5685" w:rsidP="00DC5685">
            <w:pPr>
              <w:widowControl w:val="0"/>
              <w:spacing w:after="120"/>
              <w:jc w:val="both"/>
            </w:pPr>
            <w:r w:rsidRPr="00A34F10">
              <w:t>Guideline(s):</w:t>
            </w:r>
          </w:p>
        </w:tc>
        <w:tc>
          <w:tcPr>
            <w:tcW w:w="3712" w:type="pct"/>
          </w:tcPr>
          <w:p w14:paraId="0BA45C77" w14:textId="77777777" w:rsidR="00DC5685" w:rsidRPr="00A34F10" w:rsidRDefault="00DC5685" w:rsidP="00DC5685">
            <w:pPr>
              <w:widowControl w:val="0"/>
              <w:spacing w:after="120"/>
              <w:jc w:val="both"/>
            </w:pPr>
            <w:r w:rsidRPr="00A34F10">
              <w:t>OECD 213: Honeybees, Acute Oral Toxicity Test (1998), OECD 214: Honeybees, Acute Contact Toxicity Test (1998)</w:t>
            </w:r>
          </w:p>
        </w:tc>
      </w:tr>
      <w:tr w:rsidR="00DC5685" w:rsidRPr="00A34F10" w14:paraId="0695BE9E" w14:textId="77777777" w:rsidTr="000470C3">
        <w:trPr>
          <w:trHeight w:val="227"/>
          <w:jc w:val="center"/>
        </w:trPr>
        <w:tc>
          <w:tcPr>
            <w:tcW w:w="1288" w:type="pct"/>
          </w:tcPr>
          <w:p w14:paraId="205B9EEB" w14:textId="77777777" w:rsidR="00DC5685" w:rsidRPr="00A34F10" w:rsidRDefault="00DC5685" w:rsidP="00DC5685">
            <w:pPr>
              <w:widowControl w:val="0"/>
              <w:spacing w:after="120"/>
              <w:jc w:val="both"/>
            </w:pPr>
            <w:r w:rsidRPr="00A34F10">
              <w:t xml:space="preserve">Deviations: </w:t>
            </w:r>
          </w:p>
        </w:tc>
        <w:tc>
          <w:tcPr>
            <w:tcW w:w="3712" w:type="pct"/>
          </w:tcPr>
          <w:p w14:paraId="75EC556A" w14:textId="77777777" w:rsidR="00DC5685" w:rsidRPr="00A34F10" w:rsidRDefault="00DC5685" w:rsidP="00DC5685">
            <w:pPr>
              <w:widowControl w:val="0"/>
              <w:spacing w:after="120"/>
              <w:jc w:val="both"/>
            </w:pPr>
            <w:r w:rsidRPr="00A34F10">
              <w:t>No</w:t>
            </w:r>
          </w:p>
        </w:tc>
      </w:tr>
      <w:tr w:rsidR="00DC5685" w:rsidRPr="00A34F10" w14:paraId="5D035A42" w14:textId="77777777" w:rsidTr="000470C3">
        <w:trPr>
          <w:trHeight w:val="227"/>
          <w:jc w:val="center"/>
        </w:trPr>
        <w:tc>
          <w:tcPr>
            <w:tcW w:w="1288" w:type="pct"/>
          </w:tcPr>
          <w:p w14:paraId="39BE77A9" w14:textId="77777777" w:rsidR="00DC5685" w:rsidRPr="00A34F10" w:rsidRDefault="00DC5685" w:rsidP="00DC5685">
            <w:pPr>
              <w:widowControl w:val="0"/>
              <w:spacing w:after="120"/>
              <w:jc w:val="both"/>
            </w:pPr>
            <w:r w:rsidRPr="00A34F10">
              <w:t>GLP:</w:t>
            </w:r>
          </w:p>
        </w:tc>
        <w:tc>
          <w:tcPr>
            <w:tcW w:w="3712" w:type="pct"/>
          </w:tcPr>
          <w:p w14:paraId="5B015414" w14:textId="77777777" w:rsidR="00DC5685" w:rsidRPr="00A34F10" w:rsidRDefault="00DC5685" w:rsidP="00DC5685">
            <w:pPr>
              <w:widowControl w:val="0"/>
              <w:spacing w:after="120"/>
              <w:jc w:val="both"/>
            </w:pPr>
            <w:r w:rsidRPr="00A34F10">
              <w:t>Yes, GLP</w:t>
            </w:r>
          </w:p>
        </w:tc>
      </w:tr>
      <w:tr w:rsidR="00DC5685" w:rsidRPr="00A34F10" w14:paraId="4BE83D6C" w14:textId="77777777" w:rsidTr="000470C3">
        <w:trPr>
          <w:trHeight w:val="227"/>
          <w:jc w:val="center"/>
        </w:trPr>
        <w:tc>
          <w:tcPr>
            <w:tcW w:w="1288" w:type="pct"/>
          </w:tcPr>
          <w:p w14:paraId="64AA6B65" w14:textId="77777777" w:rsidR="00DC5685" w:rsidRPr="00A34F10" w:rsidRDefault="00DC5685" w:rsidP="00DC5685">
            <w:pPr>
              <w:widowControl w:val="0"/>
              <w:spacing w:after="120"/>
              <w:jc w:val="both"/>
            </w:pPr>
            <w:r w:rsidRPr="00A34F10">
              <w:t xml:space="preserve">Acceptability: </w:t>
            </w:r>
          </w:p>
        </w:tc>
        <w:tc>
          <w:tcPr>
            <w:tcW w:w="3712" w:type="pct"/>
          </w:tcPr>
          <w:p w14:paraId="78E6DE3A" w14:textId="77777777" w:rsidR="00DC5685" w:rsidRPr="00A34F10" w:rsidRDefault="00DC5685" w:rsidP="00DC5685">
            <w:pPr>
              <w:widowControl w:val="0"/>
              <w:spacing w:after="120"/>
              <w:jc w:val="both"/>
            </w:pPr>
            <w:r w:rsidRPr="00A34F10">
              <w:t>Yes</w:t>
            </w:r>
          </w:p>
        </w:tc>
      </w:tr>
    </w:tbl>
    <w:p w14:paraId="278936DF" w14:textId="77777777" w:rsidR="00DC5685" w:rsidRPr="00A34F10" w:rsidRDefault="00DC5685" w:rsidP="00DC5685">
      <w:pPr>
        <w:suppressAutoHyphens/>
        <w:rPr>
          <w:color w:val="000000" w:themeColor="text1"/>
        </w:rPr>
      </w:pPr>
    </w:p>
    <w:p w14:paraId="560ACC4C"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47B71AF3"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The acute contact and oral toxicity of BAS 743 03 F was tested on honeybees (</w:t>
      </w:r>
      <w:r w:rsidRPr="00A34F10">
        <w:rPr>
          <w:i/>
          <w:iCs/>
          <w:szCs w:val="24"/>
          <w:lang w:val="en-GB"/>
        </w:rPr>
        <w:t>Apis mellifera</w:t>
      </w:r>
      <w:r w:rsidRPr="00A34F10">
        <w:rPr>
          <w:szCs w:val="24"/>
          <w:lang w:val="en-GB"/>
        </w:rPr>
        <w:t xml:space="preserve"> L.) under laboratory conditions over 48 hours. Nominal test doses were 62.5, 125, 250, 500 and 1000 µg product/bee in both tests, that is corresponding to 464.9, 232.5, 116.2, 58.1 and 29.1 μg total a.s./bee, respectively (based on sum of nominal content of a.s.). Control groups were run in parallel (50% (w/v) sucrose solution in the oral test and a water and a wetting agent control in the contact test). Every treatment group in both tests comprised 3 replicates, with 10 bees per replicate. </w:t>
      </w:r>
    </w:p>
    <w:p w14:paraId="3CE1C722" w14:textId="7A8E7362" w:rsidR="009A48D5" w:rsidRDefault="00DC5685" w:rsidP="003D00A3">
      <w:pPr>
        <w:tabs>
          <w:tab w:val="left" w:pos="720"/>
        </w:tabs>
        <w:spacing w:after="240"/>
        <w:jc w:val="both"/>
        <w:rPr>
          <w:szCs w:val="24"/>
          <w:lang w:val="en-GB"/>
        </w:rPr>
      </w:pPr>
      <w:r w:rsidRPr="00A34F10">
        <w:rPr>
          <w:szCs w:val="24"/>
          <w:lang w:val="en-GB"/>
        </w:rPr>
        <w:t>In the contact toxicity test, no mortality occurred in the control groups either treated with deionised water or 1 % v/v tween solution. In the test item treatment, no mortality was observed after thoracic application of ≤ 1000 μg BAS 743 03 F/bee, after 48 hours. The LD</w:t>
      </w:r>
      <w:r w:rsidRPr="00A34F10">
        <w:rPr>
          <w:szCs w:val="24"/>
          <w:vertAlign w:val="subscript"/>
          <w:lang w:val="en-GB"/>
        </w:rPr>
        <w:t xml:space="preserve">50 </w:t>
      </w:r>
      <w:r w:rsidRPr="00A34F10">
        <w:rPr>
          <w:szCs w:val="24"/>
          <w:lang w:val="en-GB"/>
        </w:rPr>
        <w:t xml:space="preserve">(48 h) was &gt; 1000 μg BAS 743 03 F/bee, corresponding to &gt; 464.9μg total a.s./bee. </w:t>
      </w:r>
    </w:p>
    <w:p w14:paraId="1ED45BB4" w14:textId="77777777" w:rsidR="00DC5685" w:rsidRPr="00A34F10" w:rsidRDefault="00DC5685" w:rsidP="00DC5685">
      <w:pPr>
        <w:tabs>
          <w:tab w:val="left" w:pos="720"/>
        </w:tabs>
        <w:spacing w:after="240"/>
        <w:jc w:val="both"/>
        <w:rPr>
          <w:szCs w:val="24"/>
          <w:lang w:val="en-GB"/>
        </w:rPr>
      </w:pPr>
    </w:p>
    <w:p w14:paraId="2D9FFE9C" w14:textId="77777777" w:rsidR="00DC5685" w:rsidRPr="00A34F10" w:rsidRDefault="00DC5685" w:rsidP="00DC5685">
      <w:pPr>
        <w:tabs>
          <w:tab w:val="left" w:pos="720"/>
        </w:tabs>
        <w:spacing w:after="240"/>
        <w:jc w:val="both"/>
        <w:rPr>
          <w:sz w:val="20"/>
          <w:szCs w:val="20"/>
        </w:rPr>
      </w:pPr>
      <w:r w:rsidRPr="00A34F10">
        <w:rPr>
          <w:szCs w:val="24"/>
          <w:lang w:val="en-GB"/>
        </w:rPr>
        <w:t>In the oral toxicity test, no mortality occurred in the control group fed with pure 50 % w/v sucrose solution. In the test item treatment, statistically significant mortality of 20.0 % was observed after oral consumption of 816 μg BAS 743 03 F/bee, after 48 hours. The LD</w:t>
      </w:r>
      <w:r w:rsidRPr="00A34F10">
        <w:rPr>
          <w:szCs w:val="24"/>
          <w:vertAlign w:val="subscript"/>
          <w:lang w:val="en-GB"/>
        </w:rPr>
        <w:t>50</w:t>
      </w:r>
      <w:r w:rsidRPr="00A34F10">
        <w:rPr>
          <w:szCs w:val="24"/>
          <w:lang w:val="en-GB"/>
        </w:rPr>
        <w:t xml:space="preserve"> (48 h) was &gt; 816 μg BAS 743 02 F/bee, corresponding to &gt; 379.5 μg total a.s./bee.</w:t>
      </w:r>
      <w:r w:rsidRPr="00A34F10">
        <w:rPr>
          <w:sz w:val="20"/>
          <w:szCs w:val="20"/>
        </w:rPr>
        <w:t xml:space="preserve"> </w:t>
      </w:r>
    </w:p>
    <w:p w14:paraId="6DF765FC" w14:textId="77777777" w:rsidR="00DC5685" w:rsidRPr="00A34F10" w:rsidRDefault="00DC5685" w:rsidP="00DC5685">
      <w:pPr>
        <w:tabs>
          <w:tab w:val="left" w:pos="720"/>
        </w:tabs>
        <w:spacing w:after="240"/>
        <w:contextualSpacing/>
        <w:rPr>
          <w:b/>
          <w:bCs/>
          <w:caps/>
          <w:szCs w:val="24"/>
          <w:lang w:val="en-GB"/>
        </w:rPr>
      </w:pPr>
      <w:r w:rsidRPr="00A34F10">
        <w:rPr>
          <w:b/>
          <w:bCs/>
          <w:caps/>
          <w:szCs w:val="24"/>
          <w:lang w:val="en-GB"/>
        </w:rPr>
        <w:t>I.</w:t>
      </w:r>
      <w:r w:rsidRPr="00A34F10">
        <w:rPr>
          <w:b/>
          <w:bCs/>
          <w:caps/>
          <w:szCs w:val="24"/>
          <w:lang w:val="en-GB"/>
        </w:rPr>
        <w:tab/>
        <w:t>MATERIALS AND METHODS</w:t>
      </w:r>
    </w:p>
    <w:p w14:paraId="4710610B" w14:textId="77777777" w:rsidR="00DC5685" w:rsidRPr="00A34F10" w:rsidRDefault="00DC5685" w:rsidP="00DC5685">
      <w:pPr>
        <w:tabs>
          <w:tab w:val="left" w:pos="720"/>
        </w:tabs>
        <w:spacing w:after="240"/>
        <w:contextualSpacing/>
        <w:rPr>
          <w:b/>
          <w:bCs/>
          <w:caps/>
          <w:szCs w:val="24"/>
          <w:lang w:val="en-GB"/>
        </w:rPr>
      </w:pPr>
    </w:p>
    <w:p w14:paraId="5A67BD6F"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A.</w:t>
      </w:r>
      <w:r w:rsidRPr="00A34F10">
        <w:rPr>
          <w:b/>
          <w:bCs/>
          <w:caps/>
          <w:szCs w:val="24"/>
          <w:lang w:val="en-GB"/>
        </w:rPr>
        <w:tab/>
        <w:t>MATERIALS</w:t>
      </w:r>
    </w:p>
    <w:p w14:paraId="58DB2E61" w14:textId="77777777" w:rsidR="00DC5685" w:rsidRPr="00A34F10" w:rsidRDefault="00DC5685" w:rsidP="00DC5685">
      <w:pPr>
        <w:tabs>
          <w:tab w:val="left" w:pos="0"/>
        </w:tabs>
        <w:ind w:left="357" w:hanging="357"/>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76C64E5C" w14:textId="77777777" w:rsidTr="000470C3">
        <w:trPr>
          <w:cantSplit/>
          <w:trHeight w:hRule="exact" w:val="340"/>
        </w:trPr>
        <w:tc>
          <w:tcPr>
            <w:tcW w:w="3969" w:type="dxa"/>
          </w:tcPr>
          <w:p w14:paraId="6B8F1E05"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Test item:</w:t>
            </w:r>
          </w:p>
        </w:tc>
        <w:tc>
          <w:tcPr>
            <w:tcW w:w="5381" w:type="dxa"/>
          </w:tcPr>
          <w:p w14:paraId="6C7F9D66"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BAS 743 03 F</w:t>
            </w:r>
          </w:p>
        </w:tc>
      </w:tr>
      <w:tr w:rsidR="00DC5685" w:rsidRPr="00A34F10" w14:paraId="3F7F661B" w14:textId="77777777" w:rsidTr="000470C3">
        <w:trPr>
          <w:cantSplit/>
          <w:trHeight w:hRule="exact" w:val="340"/>
        </w:trPr>
        <w:tc>
          <w:tcPr>
            <w:tcW w:w="3969" w:type="dxa"/>
          </w:tcPr>
          <w:p w14:paraId="30B90673"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t>Description:</w:t>
            </w:r>
          </w:p>
        </w:tc>
        <w:tc>
          <w:tcPr>
            <w:tcW w:w="5381" w:type="dxa"/>
          </w:tcPr>
          <w:p w14:paraId="45393A53"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Liquid (colour not reported)</w:t>
            </w:r>
          </w:p>
        </w:tc>
      </w:tr>
      <w:tr w:rsidR="00DC5685" w:rsidRPr="00A34F10" w14:paraId="0B20C2F0" w14:textId="77777777" w:rsidTr="000470C3">
        <w:trPr>
          <w:cantSplit/>
          <w:trHeight w:hRule="exact" w:val="340"/>
        </w:trPr>
        <w:tc>
          <w:tcPr>
            <w:tcW w:w="3969" w:type="dxa"/>
          </w:tcPr>
          <w:p w14:paraId="157CFF7D"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t>Lot/Batch:</w:t>
            </w:r>
          </w:p>
        </w:tc>
        <w:tc>
          <w:tcPr>
            <w:tcW w:w="5381" w:type="dxa"/>
          </w:tcPr>
          <w:p w14:paraId="7762248A"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FRE-002223</w:t>
            </w:r>
          </w:p>
        </w:tc>
      </w:tr>
      <w:tr w:rsidR="00DC5685" w:rsidRPr="00A34F10" w14:paraId="2256B312" w14:textId="77777777" w:rsidTr="000470C3">
        <w:trPr>
          <w:cantSplit/>
          <w:trHeight w:hRule="exact" w:val="1304"/>
        </w:trPr>
        <w:tc>
          <w:tcPr>
            <w:tcW w:w="3969" w:type="dxa"/>
          </w:tcPr>
          <w:p w14:paraId="02E32DF5" w14:textId="77777777" w:rsidR="00DC5685" w:rsidRPr="00A34F10" w:rsidRDefault="00DC5685" w:rsidP="00DC5685">
            <w:pPr>
              <w:tabs>
                <w:tab w:val="left" w:pos="851"/>
              </w:tabs>
              <w:spacing w:after="240"/>
              <w:ind w:left="624" w:firstLine="85"/>
              <w:rPr>
                <w:rFonts w:ascii="Times New Roman" w:hAnsi="Times New Roman"/>
                <w:szCs w:val="24"/>
                <w:lang w:eastAsia="en-US"/>
              </w:rPr>
            </w:pPr>
            <w:r w:rsidRPr="00A34F10">
              <w:rPr>
                <w:rFonts w:ascii="Times New Roman" w:hAnsi="Times New Roman"/>
                <w:szCs w:val="24"/>
                <w:lang w:eastAsia="en-US"/>
              </w:rPr>
              <w:lastRenderedPageBreak/>
              <w:t>Active substance content:</w:t>
            </w:r>
          </w:p>
        </w:tc>
        <w:tc>
          <w:tcPr>
            <w:tcW w:w="5381" w:type="dxa"/>
          </w:tcPr>
          <w:p w14:paraId="6066CF64"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 xml:space="preserve">Ametoctradin (BAS 650 F), nominal 120.0 g/L, measured 120.2 g/L; </w:t>
            </w:r>
          </w:p>
          <w:p w14:paraId="632F22CB"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Propamocarb, nominal 378.0 g/L, measured 376.7 g/L</w:t>
            </w:r>
          </w:p>
        </w:tc>
      </w:tr>
      <w:tr w:rsidR="00DC5685" w:rsidRPr="00A34F10" w14:paraId="18AEFE54" w14:textId="77777777" w:rsidTr="000470C3">
        <w:trPr>
          <w:cantSplit/>
          <w:trHeight w:hRule="exact" w:val="397"/>
        </w:trPr>
        <w:tc>
          <w:tcPr>
            <w:tcW w:w="3969" w:type="dxa"/>
          </w:tcPr>
          <w:p w14:paraId="73206D89" w14:textId="77777777" w:rsidR="00DC5685" w:rsidRPr="00A34F10" w:rsidRDefault="00DC5685" w:rsidP="00DC5685">
            <w:pPr>
              <w:tabs>
                <w:tab w:val="left" w:pos="709"/>
              </w:tabs>
              <w:spacing w:after="240"/>
              <w:ind w:left="624" w:firstLine="85"/>
              <w:rPr>
                <w:rFonts w:ascii="Times New Roman" w:hAnsi="Times New Roman"/>
                <w:szCs w:val="24"/>
                <w:lang w:eastAsia="en-US"/>
              </w:rPr>
            </w:pPr>
            <w:r w:rsidRPr="00A34F10">
              <w:rPr>
                <w:rFonts w:ascii="Times New Roman" w:hAnsi="Times New Roman"/>
                <w:szCs w:val="24"/>
                <w:lang w:eastAsia="en-US"/>
              </w:rPr>
              <w:t>Density:</w:t>
            </w:r>
          </w:p>
        </w:tc>
        <w:tc>
          <w:tcPr>
            <w:tcW w:w="5381" w:type="dxa"/>
          </w:tcPr>
          <w:p w14:paraId="3E172338"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1.079 g/cm³ (at 20°C)</w:t>
            </w:r>
          </w:p>
        </w:tc>
      </w:tr>
      <w:tr w:rsidR="00DC5685" w:rsidRPr="00A34F10" w14:paraId="79D70615" w14:textId="77777777" w:rsidTr="000470C3">
        <w:trPr>
          <w:cantSplit/>
          <w:trHeight w:hRule="exact" w:val="907"/>
        </w:trPr>
        <w:tc>
          <w:tcPr>
            <w:tcW w:w="3969" w:type="dxa"/>
          </w:tcPr>
          <w:p w14:paraId="0C5F8DF9"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Control:</w:t>
            </w:r>
          </w:p>
        </w:tc>
        <w:tc>
          <w:tcPr>
            <w:tcW w:w="5381" w:type="dxa"/>
          </w:tcPr>
          <w:p w14:paraId="48D63870" w14:textId="77777777" w:rsidR="00DC5685" w:rsidRPr="00A34F10" w:rsidRDefault="00DC5685" w:rsidP="00DC5685">
            <w:pPr>
              <w:tabs>
                <w:tab w:val="left" w:pos="720"/>
              </w:tabs>
              <w:spacing w:line="276" w:lineRule="auto"/>
              <w:rPr>
                <w:rFonts w:ascii="Times New Roman" w:hAnsi="Times New Roman"/>
                <w:szCs w:val="24"/>
                <w:u w:val="single"/>
                <w:lang w:eastAsia="en-US"/>
              </w:rPr>
            </w:pPr>
            <w:r w:rsidRPr="00A34F10">
              <w:rPr>
                <w:rFonts w:ascii="Times New Roman" w:hAnsi="Times New Roman"/>
                <w:szCs w:val="24"/>
                <w:lang w:eastAsia="en-US"/>
              </w:rPr>
              <w:t>Oral test: 50% (w/v) sucrose solution</w:t>
            </w:r>
          </w:p>
          <w:p w14:paraId="5D3FF641" w14:textId="77777777" w:rsidR="00DC5685" w:rsidRPr="00A34F10" w:rsidRDefault="00DC5685" w:rsidP="00DC5685">
            <w:pPr>
              <w:tabs>
                <w:tab w:val="left" w:pos="720"/>
              </w:tabs>
              <w:spacing w:line="276" w:lineRule="auto"/>
              <w:jc w:val="both"/>
              <w:rPr>
                <w:rFonts w:ascii="Times New Roman" w:hAnsi="Times New Roman"/>
                <w:szCs w:val="24"/>
                <w:lang w:eastAsia="en-US"/>
              </w:rPr>
            </w:pPr>
            <w:r w:rsidRPr="00A34F10">
              <w:rPr>
                <w:rFonts w:ascii="Times New Roman" w:hAnsi="Times New Roman"/>
                <w:szCs w:val="24"/>
                <w:lang w:eastAsia="en-US"/>
              </w:rPr>
              <w:t>Contact test: Control 1: deionised water; Control 2: deionised water + 1% v/v wetting agent Tween 80</w:t>
            </w:r>
          </w:p>
        </w:tc>
      </w:tr>
      <w:tr w:rsidR="00DC5685" w:rsidRPr="00A34F10" w14:paraId="41EC33E1" w14:textId="77777777" w:rsidTr="000470C3">
        <w:trPr>
          <w:cantSplit/>
          <w:trHeight w:hRule="exact" w:val="672"/>
        </w:trPr>
        <w:tc>
          <w:tcPr>
            <w:tcW w:w="3969" w:type="dxa"/>
          </w:tcPr>
          <w:p w14:paraId="4911581A" w14:textId="77777777" w:rsidR="00DC5685" w:rsidRPr="00A34F10" w:rsidRDefault="00DC5685" w:rsidP="00E05ECD">
            <w:pPr>
              <w:numPr>
                <w:ilvl w:val="0"/>
                <w:numId w:val="74"/>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Reference item:</w:t>
            </w:r>
          </w:p>
        </w:tc>
        <w:tc>
          <w:tcPr>
            <w:tcW w:w="5381" w:type="dxa"/>
          </w:tcPr>
          <w:p w14:paraId="396DBCAE"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Dimethoate EC 400 (BAS 152 11 I) (401.7 g/L analysed)</w:t>
            </w:r>
          </w:p>
        </w:tc>
      </w:tr>
      <w:tr w:rsidR="00DC5685" w:rsidRPr="00A34F10" w14:paraId="6A81E2DC" w14:textId="77777777" w:rsidTr="000470C3">
        <w:trPr>
          <w:cantSplit/>
          <w:trHeight w:hRule="exact" w:val="322"/>
        </w:trPr>
        <w:tc>
          <w:tcPr>
            <w:tcW w:w="3969" w:type="dxa"/>
          </w:tcPr>
          <w:p w14:paraId="1D8F2252" w14:textId="77777777" w:rsidR="00DC5685" w:rsidRPr="00A34F10" w:rsidRDefault="00DC5685" w:rsidP="00DC5685">
            <w:pPr>
              <w:tabs>
                <w:tab w:val="left" w:pos="255"/>
              </w:tabs>
              <w:spacing w:after="240"/>
              <w:ind w:left="360" w:hanging="360"/>
              <w:contextualSpacing/>
              <w:rPr>
                <w:rFonts w:ascii="Times New Roman" w:hAnsi="Times New Roman"/>
                <w:b/>
                <w:bCs/>
                <w:szCs w:val="24"/>
                <w:lang w:eastAsia="en-US"/>
              </w:rPr>
            </w:pPr>
          </w:p>
        </w:tc>
        <w:tc>
          <w:tcPr>
            <w:tcW w:w="5381" w:type="dxa"/>
          </w:tcPr>
          <w:p w14:paraId="172466A1" w14:textId="77777777" w:rsidR="00DC5685" w:rsidRPr="00A34F10" w:rsidRDefault="00DC5685" w:rsidP="00DC5685">
            <w:pPr>
              <w:tabs>
                <w:tab w:val="left" w:pos="720"/>
              </w:tabs>
              <w:spacing w:after="240"/>
              <w:jc w:val="both"/>
              <w:rPr>
                <w:rFonts w:ascii="Times New Roman" w:hAnsi="Times New Roman"/>
                <w:szCs w:val="24"/>
                <w:lang w:eastAsia="en-US"/>
              </w:rPr>
            </w:pPr>
          </w:p>
        </w:tc>
      </w:tr>
    </w:tbl>
    <w:p w14:paraId="13E910DA"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6F38497E" w14:textId="77777777" w:rsidR="00DC5685" w:rsidRPr="00A34F10" w:rsidRDefault="00DC5685" w:rsidP="00DC5685">
      <w:pPr>
        <w:tabs>
          <w:tab w:val="left" w:pos="0"/>
        </w:tabs>
        <w:ind w:left="357" w:hanging="357"/>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0B38AD8E" w14:textId="77777777" w:rsidTr="000470C3">
        <w:trPr>
          <w:trHeight w:hRule="exact" w:val="680"/>
        </w:trPr>
        <w:tc>
          <w:tcPr>
            <w:tcW w:w="3969" w:type="dxa"/>
          </w:tcPr>
          <w:p w14:paraId="5D685FDB"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Test species:</w:t>
            </w:r>
          </w:p>
        </w:tc>
        <w:tc>
          <w:tcPr>
            <w:tcW w:w="5381" w:type="dxa"/>
          </w:tcPr>
          <w:p w14:paraId="083242C8" w14:textId="77777777" w:rsidR="00DC5685" w:rsidRPr="00A34F10" w:rsidRDefault="00DC5685" w:rsidP="00DC5685">
            <w:pPr>
              <w:tabs>
                <w:tab w:val="left" w:pos="720"/>
              </w:tabs>
              <w:spacing w:after="240" w:line="276" w:lineRule="auto"/>
              <w:rPr>
                <w:rFonts w:ascii="Times New Roman" w:hAnsi="Times New Roman"/>
                <w:szCs w:val="24"/>
                <w:lang w:eastAsia="en-US"/>
              </w:rPr>
            </w:pPr>
            <w:r w:rsidRPr="00A34F10">
              <w:rPr>
                <w:rFonts w:ascii="Times New Roman" w:hAnsi="Times New Roman"/>
                <w:szCs w:val="24"/>
                <w:lang w:eastAsia="en-US"/>
              </w:rPr>
              <w:t>Honeybee</w:t>
            </w:r>
            <w:r w:rsidRPr="00A34F10">
              <w:rPr>
                <w:rFonts w:ascii="Times New Roman" w:hAnsi="Times New Roman"/>
                <w:i/>
                <w:iCs/>
                <w:szCs w:val="24"/>
                <w:lang w:eastAsia="en-US"/>
              </w:rPr>
              <w:t xml:space="preserve"> Apis mellifera </w:t>
            </w:r>
            <w:r w:rsidRPr="00A34F10">
              <w:rPr>
                <w:rFonts w:ascii="Times New Roman" w:hAnsi="Times New Roman"/>
                <w:szCs w:val="24"/>
                <w:lang w:eastAsia="en-US"/>
              </w:rPr>
              <w:t>L. Buckfast (Insecta, Hymenoptera, Apoidea)</w:t>
            </w:r>
          </w:p>
        </w:tc>
      </w:tr>
      <w:tr w:rsidR="00DC5685" w:rsidRPr="00A34F10" w14:paraId="1C9C0E57" w14:textId="77777777" w:rsidTr="000470C3">
        <w:trPr>
          <w:trHeight w:hRule="exact" w:val="397"/>
        </w:trPr>
        <w:tc>
          <w:tcPr>
            <w:tcW w:w="3969" w:type="dxa"/>
          </w:tcPr>
          <w:p w14:paraId="1866CB39"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 xml:space="preserve">Age/life stage: </w:t>
            </w:r>
          </w:p>
        </w:tc>
        <w:tc>
          <w:tcPr>
            <w:tcW w:w="5381" w:type="dxa"/>
          </w:tcPr>
          <w:p w14:paraId="3A8F0ABF" w14:textId="77777777" w:rsidR="00DC5685" w:rsidRPr="00A34F10" w:rsidRDefault="00DC5685" w:rsidP="00DC5685">
            <w:pPr>
              <w:tabs>
                <w:tab w:val="left" w:pos="720"/>
              </w:tabs>
              <w:spacing w:after="240" w:line="276" w:lineRule="auto"/>
              <w:jc w:val="both"/>
              <w:rPr>
                <w:rFonts w:ascii="Times New Roman" w:hAnsi="Times New Roman"/>
                <w:szCs w:val="24"/>
                <w:lang w:eastAsia="en-US"/>
              </w:rPr>
            </w:pPr>
            <w:r w:rsidRPr="00A34F10">
              <w:rPr>
                <w:rFonts w:ascii="Times New Roman" w:hAnsi="Times New Roman"/>
                <w:szCs w:val="24"/>
                <w:lang w:eastAsia="en-US"/>
              </w:rPr>
              <w:t>Young adult female worker bees (3-5 weeks old)</w:t>
            </w:r>
          </w:p>
        </w:tc>
      </w:tr>
      <w:tr w:rsidR="00DC5685" w:rsidRPr="00902592" w14:paraId="4C0730DB" w14:textId="77777777" w:rsidTr="000470C3">
        <w:trPr>
          <w:trHeight w:hRule="exact" w:val="680"/>
        </w:trPr>
        <w:tc>
          <w:tcPr>
            <w:tcW w:w="3969" w:type="dxa"/>
          </w:tcPr>
          <w:p w14:paraId="29DEE7FD"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Source:</w:t>
            </w:r>
          </w:p>
        </w:tc>
        <w:tc>
          <w:tcPr>
            <w:tcW w:w="5381" w:type="dxa"/>
          </w:tcPr>
          <w:p w14:paraId="67769A37" w14:textId="77777777" w:rsidR="00DC5685" w:rsidRPr="00A34F10" w:rsidRDefault="00DC5685" w:rsidP="00DC5685">
            <w:pPr>
              <w:tabs>
                <w:tab w:val="left" w:pos="720"/>
              </w:tabs>
              <w:spacing w:after="240"/>
              <w:jc w:val="both"/>
              <w:rPr>
                <w:rFonts w:ascii="Times New Roman" w:hAnsi="Times New Roman"/>
                <w:szCs w:val="24"/>
                <w:lang w:val="de-DE" w:eastAsia="en-US"/>
              </w:rPr>
            </w:pPr>
            <w:r w:rsidRPr="00A34F10">
              <w:rPr>
                <w:rFonts w:ascii="Times New Roman" w:hAnsi="Times New Roman"/>
                <w:szCs w:val="24"/>
                <w:lang w:val="de-DE" w:eastAsia="en-US"/>
              </w:rPr>
              <w:t>BioChem agrar GmbH, Kupferstr. 6, 04827 Machern OT Gerichshain, Germany</w:t>
            </w:r>
          </w:p>
        </w:tc>
      </w:tr>
      <w:tr w:rsidR="00DC5685" w:rsidRPr="00A34F10" w14:paraId="7861B657" w14:textId="77777777" w:rsidTr="000470C3">
        <w:trPr>
          <w:trHeight w:hRule="exact" w:val="1191"/>
        </w:trPr>
        <w:tc>
          <w:tcPr>
            <w:tcW w:w="3969" w:type="dxa"/>
          </w:tcPr>
          <w:p w14:paraId="4AEA2B95"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 xml:space="preserve">Diet: </w:t>
            </w:r>
          </w:p>
        </w:tc>
        <w:tc>
          <w:tcPr>
            <w:tcW w:w="5381" w:type="dxa"/>
          </w:tcPr>
          <w:p w14:paraId="1496CDCC"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 xml:space="preserve">50% w/v sucrose solution provided after application (immediately after thoracic application in the contact test and after removal of application feeders in the oral test). Food was provided </w:t>
            </w:r>
            <w:r w:rsidRPr="00A34F10">
              <w:rPr>
                <w:rFonts w:ascii="Times New Roman" w:hAnsi="Times New Roman"/>
                <w:i/>
                <w:iCs/>
                <w:szCs w:val="24"/>
                <w:lang w:eastAsia="en-US"/>
              </w:rPr>
              <w:t>ad libitum</w:t>
            </w:r>
            <w:r w:rsidRPr="00A34F10">
              <w:rPr>
                <w:rFonts w:ascii="Times New Roman" w:hAnsi="Times New Roman"/>
                <w:szCs w:val="24"/>
                <w:lang w:eastAsia="en-US"/>
              </w:rPr>
              <w:t>.</w:t>
            </w:r>
          </w:p>
        </w:tc>
      </w:tr>
      <w:tr w:rsidR="00DC5685" w:rsidRPr="00A34F10" w14:paraId="3FD2AE3A" w14:textId="77777777" w:rsidTr="000470C3">
        <w:trPr>
          <w:trHeight w:hRule="exact" w:val="794"/>
        </w:trPr>
        <w:tc>
          <w:tcPr>
            <w:tcW w:w="3969" w:type="dxa"/>
          </w:tcPr>
          <w:p w14:paraId="579D2064"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Test units:</w:t>
            </w:r>
          </w:p>
        </w:tc>
        <w:tc>
          <w:tcPr>
            <w:tcW w:w="5381" w:type="dxa"/>
          </w:tcPr>
          <w:p w14:paraId="41F06EAD"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 xml:space="preserve">Disposable cardboard cages 95 mm x 50 mm x 65 mm (length x width x height) with holes in the bottom for ventilation and a glass plate at the front </w:t>
            </w:r>
          </w:p>
        </w:tc>
      </w:tr>
      <w:tr w:rsidR="00DC5685" w:rsidRPr="00A34F10" w14:paraId="013BF3E8" w14:textId="77777777" w:rsidTr="000470C3">
        <w:trPr>
          <w:trHeight w:hRule="exact" w:val="340"/>
        </w:trPr>
        <w:tc>
          <w:tcPr>
            <w:tcW w:w="3969" w:type="dxa"/>
          </w:tcPr>
          <w:p w14:paraId="1072B693" w14:textId="77777777" w:rsidR="00DC5685" w:rsidRPr="00A34F10" w:rsidRDefault="00DC5685" w:rsidP="00E05ECD">
            <w:pPr>
              <w:numPr>
                <w:ilvl w:val="0"/>
                <w:numId w:val="74"/>
              </w:numPr>
              <w:tabs>
                <w:tab w:val="left" w:pos="255"/>
                <w:tab w:val="left" w:pos="720"/>
              </w:tabs>
              <w:spacing w:after="240"/>
              <w:contextualSpacing/>
              <w:jc w:val="both"/>
              <w:rPr>
                <w:rFonts w:ascii="Times New Roman" w:hAnsi="Times New Roman"/>
                <w:b/>
                <w:bCs/>
                <w:szCs w:val="24"/>
                <w:lang w:eastAsia="en-US"/>
              </w:rPr>
            </w:pPr>
            <w:r w:rsidRPr="00A34F10">
              <w:rPr>
                <w:rFonts w:ascii="Times New Roman" w:hAnsi="Times New Roman"/>
                <w:b/>
                <w:bCs/>
                <w:szCs w:val="24"/>
                <w:lang w:eastAsia="en-US"/>
              </w:rPr>
              <w:t>Environmental conditions</w:t>
            </w:r>
          </w:p>
        </w:tc>
        <w:tc>
          <w:tcPr>
            <w:tcW w:w="5381" w:type="dxa"/>
          </w:tcPr>
          <w:p w14:paraId="1BD2CE2A" w14:textId="77777777" w:rsidR="00DC5685" w:rsidRPr="00A34F10" w:rsidRDefault="00DC5685" w:rsidP="00DC5685">
            <w:pPr>
              <w:tabs>
                <w:tab w:val="left" w:pos="720"/>
              </w:tabs>
              <w:spacing w:after="240"/>
              <w:jc w:val="both"/>
              <w:rPr>
                <w:rFonts w:ascii="Times New Roman" w:hAnsi="Times New Roman"/>
                <w:szCs w:val="24"/>
                <w:lang w:eastAsia="en-US"/>
              </w:rPr>
            </w:pPr>
          </w:p>
        </w:tc>
      </w:tr>
      <w:tr w:rsidR="00DC5685" w:rsidRPr="00A34F10" w14:paraId="1D81A33D" w14:textId="77777777" w:rsidTr="000470C3">
        <w:trPr>
          <w:trHeight w:hRule="exact" w:val="340"/>
        </w:trPr>
        <w:tc>
          <w:tcPr>
            <w:tcW w:w="3969" w:type="dxa"/>
          </w:tcPr>
          <w:p w14:paraId="7408CC2B"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Temperature:</w:t>
            </w:r>
          </w:p>
        </w:tc>
        <w:tc>
          <w:tcPr>
            <w:tcW w:w="5381" w:type="dxa"/>
          </w:tcPr>
          <w:p w14:paraId="108D7301"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24.2 – 24.4°C</w:t>
            </w:r>
          </w:p>
        </w:tc>
      </w:tr>
      <w:tr w:rsidR="00DC5685" w:rsidRPr="00A34F10" w14:paraId="3E1C5E4A" w14:textId="77777777" w:rsidTr="000470C3">
        <w:trPr>
          <w:trHeight w:hRule="exact" w:val="340"/>
        </w:trPr>
        <w:tc>
          <w:tcPr>
            <w:tcW w:w="3969" w:type="dxa"/>
          </w:tcPr>
          <w:p w14:paraId="116025A4"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Relative humidity:</w:t>
            </w:r>
          </w:p>
        </w:tc>
        <w:tc>
          <w:tcPr>
            <w:tcW w:w="5381" w:type="dxa"/>
          </w:tcPr>
          <w:p w14:paraId="3090CD2F"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59.1 – 62.9%</w:t>
            </w:r>
          </w:p>
        </w:tc>
      </w:tr>
      <w:tr w:rsidR="00DC5685" w:rsidRPr="00A34F10" w14:paraId="26757230" w14:textId="77777777" w:rsidTr="000470C3">
        <w:trPr>
          <w:trHeight w:hRule="exact" w:val="680"/>
        </w:trPr>
        <w:tc>
          <w:tcPr>
            <w:tcW w:w="3969" w:type="dxa"/>
          </w:tcPr>
          <w:p w14:paraId="615A0B08" w14:textId="77777777" w:rsidR="00DC5685" w:rsidRPr="00A34F10" w:rsidRDefault="00DC5685" w:rsidP="00DC5685">
            <w:pPr>
              <w:tabs>
                <w:tab w:val="left" w:pos="624"/>
              </w:tabs>
              <w:spacing w:after="240"/>
              <w:ind w:left="624"/>
              <w:rPr>
                <w:rFonts w:ascii="Times New Roman" w:hAnsi="Times New Roman"/>
                <w:b/>
                <w:bCs/>
                <w:szCs w:val="24"/>
                <w:lang w:eastAsia="en-US"/>
              </w:rPr>
            </w:pPr>
            <w:r w:rsidRPr="00A34F10">
              <w:rPr>
                <w:rFonts w:ascii="Times New Roman" w:hAnsi="Times New Roman"/>
                <w:b/>
                <w:bCs/>
                <w:szCs w:val="24"/>
                <w:lang w:eastAsia="en-US"/>
              </w:rPr>
              <w:t>Photoperiod:</w:t>
            </w:r>
          </w:p>
        </w:tc>
        <w:tc>
          <w:tcPr>
            <w:tcW w:w="5381" w:type="dxa"/>
          </w:tcPr>
          <w:p w14:paraId="56661D0D"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szCs w:val="24"/>
                <w:lang w:eastAsia="en-US"/>
              </w:rPr>
              <w:t>24-hour darkness (except for diffuse artificial light during assessments and handling)</w:t>
            </w:r>
          </w:p>
        </w:tc>
      </w:tr>
    </w:tbl>
    <w:p w14:paraId="02AA5596" w14:textId="77777777" w:rsidR="00DC5685" w:rsidRPr="00A34F10" w:rsidRDefault="00DC5685" w:rsidP="00DC5685">
      <w:pPr>
        <w:numPr>
          <w:ilvl w:val="3"/>
          <w:numId w:val="0"/>
        </w:numPr>
        <w:tabs>
          <w:tab w:val="left" w:pos="0"/>
        </w:tabs>
        <w:ind w:left="360" w:hanging="360"/>
        <w:contextualSpacing/>
        <w:rPr>
          <w:b/>
          <w:bCs/>
          <w:szCs w:val="24"/>
          <w:highlight w:val="yellow"/>
          <w:lang w:val="en-GB"/>
        </w:rPr>
      </w:pPr>
    </w:p>
    <w:p w14:paraId="72E014DE"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Test organism and treatment: </w:t>
      </w:r>
    </w:p>
    <w:p w14:paraId="198D8F39" w14:textId="77777777" w:rsidR="00DC5685" w:rsidRPr="00A34F10" w:rsidRDefault="00DC5685" w:rsidP="00DC5685">
      <w:pPr>
        <w:tabs>
          <w:tab w:val="left" w:pos="720"/>
        </w:tabs>
        <w:jc w:val="both"/>
        <w:rPr>
          <w:szCs w:val="24"/>
          <w:lang w:val="en-GB"/>
        </w:rPr>
      </w:pPr>
      <w:r w:rsidRPr="00A34F10">
        <w:rPr>
          <w:szCs w:val="24"/>
          <w:lang w:val="en-GB"/>
        </w:rPr>
        <w:t xml:space="preserve">Both tests were performed as dose-response tests with 3 replicates per treatment group, each comprising one cage containing 10 bees. </w:t>
      </w:r>
    </w:p>
    <w:p w14:paraId="66BC39DF" w14:textId="77777777" w:rsidR="00DC5685" w:rsidRPr="00A34F10" w:rsidRDefault="00DC5685" w:rsidP="00DC5685">
      <w:pPr>
        <w:tabs>
          <w:tab w:val="left" w:pos="720"/>
        </w:tabs>
        <w:jc w:val="both"/>
        <w:rPr>
          <w:szCs w:val="24"/>
          <w:u w:val="single"/>
          <w:lang w:val="en-GB"/>
        </w:rPr>
      </w:pPr>
    </w:p>
    <w:p w14:paraId="5E051ABE" w14:textId="77777777" w:rsidR="00DC5685" w:rsidRPr="00A34F10" w:rsidRDefault="00DC5685" w:rsidP="00E05ECD">
      <w:pPr>
        <w:numPr>
          <w:ilvl w:val="0"/>
          <w:numId w:val="74"/>
        </w:numPr>
        <w:tabs>
          <w:tab w:val="left" w:pos="720"/>
        </w:tabs>
        <w:jc w:val="both"/>
        <w:rPr>
          <w:b/>
          <w:bCs/>
          <w:szCs w:val="24"/>
          <w:lang w:val="en-GB"/>
        </w:rPr>
      </w:pPr>
      <w:r w:rsidRPr="00A34F10">
        <w:rPr>
          <w:b/>
          <w:bCs/>
          <w:szCs w:val="24"/>
          <w:lang w:val="en-GB"/>
        </w:rPr>
        <w:t>Oral toxicity test</w:t>
      </w:r>
    </w:p>
    <w:p w14:paraId="04DFD919" w14:textId="0B750E20" w:rsidR="00DC5685" w:rsidRPr="00A34F10" w:rsidRDefault="00DC5685" w:rsidP="00DC5685">
      <w:pPr>
        <w:tabs>
          <w:tab w:val="left" w:pos="720"/>
        </w:tabs>
        <w:spacing w:after="240"/>
        <w:jc w:val="both"/>
        <w:rPr>
          <w:szCs w:val="24"/>
          <w:lang w:val="en-GB"/>
        </w:rPr>
      </w:pPr>
      <w:r w:rsidRPr="00A34F10">
        <w:rPr>
          <w:szCs w:val="24"/>
          <w:lang w:val="en-GB"/>
        </w:rPr>
        <w:t>The bees were starved for 60 minutes before the test. At the start of the test, a quantity of 200 µL (corresponding to 0.2376 g) of the test item solution was offered to each cage, equivalent to 20 µL/bee. The test substance and toxic reference were administered in 50% w/v sucrose solution at the doses outlined in</w:t>
      </w:r>
      <w:r w:rsidR="00405E11" w:rsidRPr="00A34F10">
        <w:rPr>
          <w:szCs w:val="24"/>
          <w:lang w:val="en-GB"/>
        </w:rPr>
        <w:t xml:space="preserve"> </w:t>
      </w:r>
      <w:r w:rsidR="00BE7086">
        <w:rPr>
          <w:szCs w:val="24"/>
          <w:lang w:val="en-GB"/>
        </w:rPr>
        <w:t xml:space="preserve"> </w:t>
      </w:r>
      <w:r w:rsidR="00BE7086">
        <w:rPr>
          <w:szCs w:val="24"/>
          <w:lang w:val="en-GB"/>
        </w:rPr>
        <w:fldChar w:fldCharType="begin"/>
      </w:r>
      <w:r w:rsidR="00BE7086">
        <w:rPr>
          <w:szCs w:val="24"/>
          <w:lang w:val="en-GB"/>
        </w:rPr>
        <w:instrText xml:space="preserve"> REF _Ref147907172 \h </w:instrText>
      </w:r>
      <w:r w:rsidR="00BE7086">
        <w:rPr>
          <w:szCs w:val="24"/>
          <w:lang w:val="en-GB"/>
        </w:rPr>
      </w:r>
      <w:r w:rsidR="00BE7086">
        <w:rPr>
          <w:szCs w:val="24"/>
          <w:lang w:val="en-GB"/>
        </w:rPr>
        <w:fldChar w:fldCharType="separate"/>
      </w:r>
      <w:r w:rsidR="006F0F3B">
        <w:t xml:space="preserve">Table A </w:t>
      </w:r>
      <w:r w:rsidR="006F0F3B">
        <w:rPr>
          <w:noProof/>
        </w:rPr>
        <w:t>35</w:t>
      </w:r>
      <w:r w:rsidR="00BE7086">
        <w:rPr>
          <w:szCs w:val="24"/>
          <w:lang w:val="en-GB"/>
        </w:rPr>
        <w:fldChar w:fldCharType="end"/>
      </w:r>
      <w:r w:rsidR="00BE7086">
        <w:rPr>
          <w:szCs w:val="24"/>
          <w:lang w:val="en-GB"/>
        </w:rPr>
        <w:t>.</w:t>
      </w:r>
    </w:p>
    <w:p w14:paraId="1A98410B" w14:textId="77777777" w:rsidR="00DC5685" w:rsidRPr="00A34F10" w:rsidRDefault="00DC5685" w:rsidP="00DC5685">
      <w:pPr>
        <w:tabs>
          <w:tab w:val="left" w:pos="720"/>
        </w:tabs>
        <w:spacing w:after="240"/>
        <w:jc w:val="both"/>
        <w:rPr>
          <w:szCs w:val="24"/>
          <w:lang w:val="en-GB"/>
        </w:rPr>
      </w:pPr>
      <w:r w:rsidRPr="00A34F10">
        <w:rPr>
          <w:szCs w:val="24"/>
          <w:lang w:val="en-GB"/>
        </w:rPr>
        <w:t xml:space="preserve">Honeybees of a distinct group were assumed to consume approximately the same amount of the test item due to their social feeding behaviour. Bees in the control group were fed untreated 50% w/v sucrose solution. </w:t>
      </w:r>
    </w:p>
    <w:p w14:paraId="5E03F5DF" w14:textId="3BEEE766" w:rsidR="00DC5685" w:rsidRPr="00A34F10" w:rsidRDefault="00DC5685" w:rsidP="00DC5685">
      <w:pPr>
        <w:tabs>
          <w:tab w:val="left" w:pos="720"/>
        </w:tabs>
        <w:jc w:val="both"/>
        <w:rPr>
          <w:szCs w:val="24"/>
          <w:lang w:val="en-GB"/>
        </w:rPr>
      </w:pPr>
      <w:r w:rsidRPr="00A34F10">
        <w:rPr>
          <w:szCs w:val="24"/>
          <w:lang w:val="en-GB"/>
        </w:rPr>
        <w:t xml:space="preserve">Feeding tubes were weighed prior to addition of the sucrose solution. The feeders containing the appropriate diet were introduced through a hole in the roof of the cage. The feeding tubes were visibly empty approximately 3.5 hours after application. All feeding tubes were reweighed to determine the exact quantity </w:t>
      </w:r>
      <w:r w:rsidRPr="00A34F10">
        <w:rPr>
          <w:szCs w:val="24"/>
          <w:lang w:val="en-GB"/>
        </w:rPr>
        <w:lastRenderedPageBreak/>
        <w:t>of the test solution consumed and were then replaced with feeding tubes containing untreated 50% w/v sucrose solution.</w:t>
      </w:r>
    </w:p>
    <w:p w14:paraId="573009FF" w14:textId="77777777" w:rsidR="00405E11" w:rsidRPr="00A34F10" w:rsidRDefault="00405E11" w:rsidP="00DC5685">
      <w:pPr>
        <w:tabs>
          <w:tab w:val="left" w:pos="720"/>
        </w:tabs>
        <w:jc w:val="both"/>
        <w:rPr>
          <w:szCs w:val="24"/>
          <w:highlight w:val="yellow"/>
          <w:lang w:val="en-GB"/>
        </w:rPr>
      </w:pPr>
    </w:p>
    <w:p w14:paraId="58FC52AA" w14:textId="4A66B024" w:rsidR="00DC5685" w:rsidRPr="00A34F10" w:rsidRDefault="00BE7086" w:rsidP="00BE7086">
      <w:pPr>
        <w:pStyle w:val="Legenda"/>
      </w:pPr>
      <w:bookmarkStart w:id="1088" w:name="_Ref147907172"/>
      <w:r>
        <w:t xml:space="preserve">Table A </w:t>
      </w:r>
      <w:r>
        <w:fldChar w:fldCharType="begin"/>
      </w:r>
      <w:r>
        <w:instrText xml:space="preserve"> SEQ Table_A \* ARABIC </w:instrText>
      </w:r>
      <w:r>
        <w:fldChar w:fldCharType="separate"/>
      </w:r>
      <w:r w:rsidR="006F0F3B">
        <w:rPr>
          <w:noProof/>
        </w:rPr>
        <w:t>35</w:t>
      </w:r>
      <w:r>
        <w:fldChar w:fldCharType="end"/>
      </w:r>
      <w:bookmarkEnd w:id="1088"/>
      <w:r w:rsidR="00DC5685" w:rsidRPr="00A34F10">
        <w:t>:</w:t>
      </w:r>
      <w:r w:rsidR="00DC5685" w:rsidRPr="00A34F10">
        <w:tab/>
        <w:t>Applied and consumed dosages in the oral toxicity test</w:t>
      </w:r>
    </w:p>
    <w:tbl>
      <w:tblPr>
        <w:tblStyle w:val="TableGrid1"/>
        <w:tblW w:w="5000" w:type="pct"/>
        <w:jc w:val="center"/>
        <w:tblLook w:val="04A0" w:firstRow="1" w:lastRow="0" w:firstColumn="1" w:lastColumn="0" w:noHBand="0" w:noVBand="1"/>
      </w:tblPr>
      <w:tblGrid>
        <w:gridCol w:w="1703"/>
        <w:gridCol w:w="1706"/>
        <w:gridCol w:w="1566"/>
        <w:gridCol w:w="1564"/>
        <w:gridCol w:w="1422"/>
        <w:gridCol w:w="1383"/>
      </w:tblGrid>
      <w:tr w:rsidR="00DC5685" w:rsidRPr="00A34F10" w14:paraId="32B248B3" w14:textId="77777777" w:rsidTr="000470C3">
        <w:trPr>
          <w:tblHeader/>
          <w:jc w:val="center"/>
        </w:trPr>
        <w:tc>
          <w:tcPr>
            <w:tcW w:w="911" w:type="pct"/>
          </w:tcPr>
          <w:p w14:paraId="62FC17C0"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Treatment group</w:t>
            </w:r>
          </w:p>
        </w:tc>
        <w:tc>
          <w:tcPr>
            <w:tcW w:w="913" w:type="pct"/>
          </w:tcPr>
          <w:p w14:paraId="7C281257"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Item applied</w:t>
            </w:r>
          </w:p>
        </w:tc>
        <w:tc>
          <w:tcPr>
            <w:tcW w:w="1675" w:type="pct"/>
            <w:gridSpan w:val="2"/>
          </w:tcPr>
          <w:p w14:paraId="28547B88"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Applied dosages</w:t>
            </w:r>
          </w:p>
        </w:tc>
        <w:tc>
          <w:tcPr>
            <w:tcW w:w="1501" w:type="pct"/>
            <w:gridSpan w:val="2"/>
          </w:tcPr>
          <w:p w14:paraId="4C13E7D9"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Actual uptake of the applied item</w:t>
            </w:r>
          </w:p>
        </w:tc>
      </w:tr>
      <w:tr w:rsidR="00DC5685" w:rsidRPr="00A34F10" w14:paraId="4C3DF353" w14:textId="77777777" w:rsidTr="000470C3">
        <w:trPr>
          <w:jc w:val="center"/>
        </w:trPr>
        <w:tc>
          <w:tcPr>
            <w:tcW w:w="911" w:type="pct"/>
          </w:tcPr>
          <w:p w14:paraId="7C9BBED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Control</w:t>
            </w:r>
          </w:p>
        </w:tc>
        <w:tc>
          <w:tcPr>
            <w:tcW w:w="913" w:type="pct"/>
          </w:tcPr>
          <w:p w14:paraId="7DF5005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Sucrose solution</w:t>
            </w:r>
            <w:r w:rsidRPr="00A34F10">
              <w:rPr>
                <w:rFonts w:ascii="Times New Roman" w:hAnsi="Times New Roman"/>
                <w:sz w:val="20"/>
                <w:vertAlign w:val="superscript"/>
                <w:lang w:eastAsia="en-US"/>
              </w:rPr>
              <w:t>1</w:t>
            </w:r>
          </w:p>
        </w:tc>
        <w:tc>
          <w:tcPr>
            <w:tcW w:w="1675" w:type="pct"/>
            <w:gridSpan w:val="2"/>
          </w:tcPr>
          <w:p w14:paraId="3B1AF95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c>
          <w:tcPr>
            <w:tcW w:w="1501" w:type="pct"/>
            <w:gridSpan w:val="2"/>
          </w:tcPr>
          <w:p w14:paraId="14DBB86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r>
      <w:tr w:rsidR="00DC5685" w:rsidRPr="00A34F10" w14:paraId="3F8988D3" w14:textId="77777777" w:rsidTr="000470C3">
        <w:trPr>
          <w:jc w:val="center"/>
        </w:trPr>
        <w:tc>
          <w:tcPr>
            <w:tcW w:w="1824" w:type="pct"/>
            <w:gridSpan w:val="2"/>
          </w:tcPr>
          <w:p w14:paraId="7FACA1EC"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1CCCD4B8"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837" w:type="pct"/>
          </w:tcPr>
          <w:p w14:paraId="79096597"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c>
          <w:tcPr>
            <w:tcW w:w="761" w:type="pct"/>
          </w:tcPr>
          <w:p w14:paraId="788B4E62"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740" w:type="pct"/>
          </w:tcPr>
          <w:p w14:paraId="134B019C"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r>
      <w:tr w:rsidR="00DC5685" w:rsidRPr="00A34F10" w14:paraId="4A7AA339" w14:textId="77777777" w:rsidTr="000470C3">
        <w:trPr>
          <w:jc w:val="center"/>
        </w:trPr>
        <w:tc>
          <w:tcPr>
            <w:tcW w:w="911" w:type="pct"/>
            <w:vMerge w:val="restart"/>
          </w:tcPr>
          <w:p w14:paraId="1A52E79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Test item</w:t>
            </w:r>
          </w:p>
        </w:tc>
        <w:tc>
          <w:tcPr>
            <w:tcW w:w="913" w:type="pct"/>
            <w:vMerge w:val="restart"/>
          </w:tcPr>
          <w:p w14:paraId="798C272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BAS 743 03 F*</w:t>
            </w:r>
          </w:p>
        </w:tc>
        <w:tc>
          <w:tcPr>
            <w:tcW w:w="838" w:type="pct"/>
          </w:tcPr>
          <w:p w14:paraId="10C7216B"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62.5</w:t>
            </w:r>
          </w:p>
        </w:tc>
        <w:tc>
          <w:tcPr>
            <w:tcW w:w="837" w:type="pct"/>
          </w:tcPr>
          <w:p w14:paraId="4259D15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29.1</w:t>
            </w:r>
          </w:p>
        </w:tc>
        <w:tc>
          <w:tcPr>
            <w:tcW w:w="761" w:type="pct"/>
          </w:tcPr>
          <w:p w14:paraId="0AC033A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62.2</w:t>
            </w:r>
          </w:p>
        </w:tc>
        <w:tc>
          <w:tcPr>
            <w:tcW w:w="740" w:type="pct"/>
          </w:tcPr>
          <w:p w14:paraId="0A8925C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28.9</w:t>
            </w:r>
          </w:p>
        </w:tc>
      </w:tr>
      <w:tr w:rsidR="00DC5685" w:rsidRPr="00A34F10" w14:paraId="6A670D4E" w14:textId="77777777" w:rsidTr="000470C3">
        <w:trPr>
          <w:jc w:val="center"/>
        </w:trPr>
        <w:tc>
          <w:tcPr>
            <w:tcW w:w="911" w:type="pct"/>
            <w:vMerge/>
          </w:tcPr>
          <w:p w14:paraId="5DD4A56F"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41DB8A76"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1E5BA35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125</w:t>
            </w:r>
          </w:p>
        </w:tc>
        <w:tc>
          <w:tcPr>
            <w:tcW w:w="837" w:type="pct"/>
          </w:tcPr>
          <w:p w14:paraId="3C97001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58.1</w:t>
            </w:r>
          </w:p>
        </w:tc>
        <w:tc>
          <w:tcPr>
            <w:tcW w:w="761" w:type="pct"/>
          </w:tcPr>
          <w:p w14:paraId="07EBACB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124</w:t>
            </w:r>
          </w:p>
        </w:tc>
        <w:tc>
          <w:tcPr>
            <w:tcW w:w="740" w:type="pct"/>
          </w:tcPr>
          <w:p w14:paraId="774D454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57.7</w:t>
            </w:r>
          </w:p>
        </w:tc>
      </w:tr>
      <w:tr w:rsidR="00DC5685" w:rsidRPr="00A34F10" w14:paraId="37240DC7" w14:textId="77777777" w:rsidTr="000470C3">
        <w:trPr>
          <w:jc w:val="center"/>
        </w:trPr>
        <w:tc>
          <w:tcPr>
            <w:tcW w:w="911" w:type="pct"/>
            <w:vMerge/>
          </w:tcPr>
          <w:p w14:paraId="0E764DD1"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6B9414A7"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2AE940A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250</w:t>
            </w:r>
          </w:p>
        </w:tc>
        <w:tc>
          <w:tcPr>
            <w:tcW w:w="837" w:type="pct"/>
          </w:tcPr>
          <w:p w14:paraId="5163305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116.2</w:t>
            </w:r>
          </w:p>
        </w:tc>
        <w:tc>
          <w:tcPr>
            <w:tcW w:w="761" w:type="pct"/>
          </w:tcPr>
          <w:p w14:paraId="654297B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250</w:t>
            </w:r>
          </w:p>
        </w:tc>
        <w:tc>
          <w:tcPr>
            <w:tcW w:w="740" w:type="pct"/>
          </w:tcPr>
          <w:p w14:paraId="46C2B84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116.1</w:t>
            </w:r>
          </w:p>
        </w:tc>
      </w:tr>
      <w:tr w:rsidR="00DC5685" w:rsidRPr="00A34F10" w14:paraId="36E1172D" w14:textId="77777777" w:rsidTr="000470C3">
        <w:trPr>
          <w:jc w:val="center"/>
        </w:trPr>
        <w:tc>
          <w:tcPr>
            <w:tcW w:w="911" w:type="pct"/>
            <w:vMerge/>
          </w:tcPr>
          <w:p w14:paraId="7D31558B"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68ABB5EC"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1E6F057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500</w:t>
            </w:r>
          </w:p>
        </w:tc>
        <w:tc>
          <w:tcPr>
            <w:tcW w:w="837" w:type="pct"/>
          </w:tcPr>
          <w:p w14:paraId="24315AD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232.5</w:t>
            </w:r>
          </w:p>
        </w:tc>
        <w:tc>
          <w:tcPr>
            <w:tcW w:w="761" w:type="pct"/>
          </w:tcPr>
          <w:p w14:paraId="1476647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496</w:t>
            </w:r>
          </w:p>
        </w:tc>
        <w:tc>
          <w:tcPr>
            <w:tcW w:w="740" w:type="pct"/>
          </w:tcPr>
          <w:p w14:paraId="1CF9D15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230.9</w:t>
            </w:r>
          </w:p>
        </w:tc>
      </w:tr>
      <w:tr w:rsidR="00DC5685" w:rsidRPr="00A34F10" w14:paraId="0622F38A" w14:textId="77777777" w:rsidTr="000470C3">
        <w:trPr>
          <w:jc w:val="center"/>
        </w:trPr>
        <w:tc>
          <w:tcPr>
            <w:tcW w:w="911" w:type="pct"/>
            <w:vMerge/>
          </w:tcPr>
          <w:p w14:paraId="7442FD00"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48F0D92B"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5AC81D5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1000</w:t>
            </w:r>
          </w:p>
        </w:tc>
        <w:tc>
          <w:tcPr>
            <w:tcW w:w="837" w:type="pct"/>
          </w:tcPr>
          <w:p w14:paraId="4A1965F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464.9</w:t>
            </w:r>
          </w:p>
        </w:tc>
        <w:tc>
          <w:tcPr>
            <w:tcW w:w="761" w:type="pct"/>
          </w:tcPr>
          <w:p w14:paraId="4B69C81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816</w:t>
            </w:r>
          </w:p>
        </w:tc>
        <w:tc>
          <w:tcPr>
            <w:tcW w:w="740" w:type="pct"/>
          </w:tcPr>
          <w:p w14:paraId="342EE56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379.5</w:t>
            </w:r>
          </w:p>
        </w:tc>
      </w:tr>
      <w:tr w:rsidR="00DC5685" w:rsidRPr="00A34F10" w14:paraId="507B0F28" w14:textId="77777777" w:rsidTr="000470C3">
        <w:trPr>
          <w:jc w:val="center"/>
        </w:trPr>
        <w:tc>
          <w:tcPr>
            <w:tcW w:w="911" w:type="pct"/>
            <w:vMerge w:val="restart"/>
          </w:tcPr>
          <w:p w14:paraId="05E5B02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Reference item</w:t>
            </w:r>
          </w:p>
        </w:tc>
        <w:tc>
          <w:tcPr>
            <w:tcW w:w="913" w:type="pct"/>
            <w:vMerge w:val="restart"/>
          </w:tcPr>
          <w:p w14:paraId="57A48D4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Dimethoate EC 400**</w:t>
            </w:r>
          </w:p>
        </w:tc>
        <w:tc>
          <w:tcPr>
            <w:tcW w:w="838" w:type="pct"/>
          </w:tcPr>
          <w:p w14:paraId="5ECCE25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0.144</w:t>
            </w:r>
          </w:p>
        </w:tc>
        <w:tc>
          <w:tcPr>
            <w:tcW w:w="837" w:type="pct"/>
          </w:tcPr>
          <w:p w14:paraId="75130B2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0.054</w:t>
            </w:r>
          </w:p>
        </w:tc>
        <w:tc>
          <w:tcPr>
            <w:tcW w:w="761" w:type="pct"/>
          </w:tcPr>
          <w:p w14:paraId="769EB25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0.144</w:t>
            </w:r>
          </w:p>
        </w:tc>
        <w:tc>
          <w:tcPr>
            <w:tcW w:w="740" w:type="pct"/>
          </w:tcPr>
          <w:p w14:paraId="412C02F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0.054</w:t>
            </w:r>
          </w:p>
        </w:tc>
      </w:tr>
      <w:tr w:rsidR="00DC5685" w:rsidRPr="00A34F10" w14:paraId="697EBBA7" w14:textId="77777777" w:rsidTr="000470C3">
        <w:trPr>
          <w:jc w:val="center"/>
        </w:trPr>
        <w:tc>
          <w:tcPr>
            <w:tcW w:w="911" w:type="pct"/>
            <w:vMerge/>
          </w:tcPr>
          <w:p w14:paraId="1C013F4F"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76E68201"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0416451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0.240</w:t>
            </w:r>
          </w:p>
        </w:tc>
        <w:tc>
          <w:tcPr>
            <w:tcW w:w="837" w:type="pct"/>
          </w:tcPr>
          <w:p w14:paraId="65647BC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0.090</w:t>
            </w:r>
          </w:p>
        </w:tc>
        <w:tc>
          <w:tcPr>
            <w:tcW w:w="761" w:type="pct"/>
          </w:tcPr>
          <w:p w14:paraId="5AEE9DD9"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0.240</w:t>
            </w:r>
          </w:p>
        </w:tc>
        <w:tc>
          <w:tcPr>
            <w:tcW w:w="740" w:type="pct"/>
          </w:tcPr>
          <w:p w14:paraId="0F2A6C0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0.090</w:t>
            </w:r>
          </w:p>
        </w:tc>
      </w:tr>
      <w:tr w:rsidR="00DC5685" w:rsidRPr="00A34F10" w14:paraId="230727DF" w14:textId="77777777" w:rsidTr="000470C3">
        <w:trPr>
          <w:jc w:val="center"/>
        </w:trPr>
        <w:tc>
          <w:tcPr>
            <w:tcW w:w="911" w:type="pct"/>
            <w:vMerge/>
          </w:tcPr>
          <w:p w14:paraId="3DF1EC94"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050DCDB9"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7D99F18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0.401</w:t>
            </w:r>
          </w:p>
        </w:tc>
        <w:tc>
          <w:tcPr>
            <w:tcW w:w="837" w:type="pct"/>
          </w:tcPr>
          <w:p w14:paraId="15D367D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0.150</w:t>
            </w:r>
          </w:p>
        </w:tc>
        <w:tc>
          <w:tcPr>
            <w:tcW w:w="761" w:type="pct"/>
          </w:tcPr>
          <w:p w14:paraId="6A427100"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0.400</w:t>
            </w:r>
          </w:p>
        </w:tc>
        <w:tc>
          <w:tcPr>
            <w:tcW w:w="740" w:type="pct"/>
          </w:tcPr>
          <w:p w14:paraId="11F5F00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0.149</w:t>
            </w:r>
          </w:p>
        </w:tc>
      </w:tr>
      <w:tr w:rsidR="00DC5685" w:rsidRPr="00A34F10" w14:paraId="32D7C2C6" w14:textId="77777777" w:rsidTr="000470C3">
        <w:trPr>
          <w:jc w:val="center"/>
        </w:trPr>
        <w:tc>
          <w:tcPr>
            <w:tcW w:w="911" w:type="pct"/>
            <w:vMerge/>
          </w:tcPr>
          <w:p w14:paraId="6491673B" w14:textId="77777777" w:rsidR="00DC5685" w:rsidRPr="00A34F10" w:rsidRDefault="00DC5685" w:rsidP="00DC5685">
            <w:pPr>
              <w:tabs>
                <w:tab w:val="left" w:pos="720"/>
              </w:tabs>
              <w:jc w:val="center"/>
              <w:rPr>
                <w:rFonts w:ascii="Times New Roman" w:hAnsi="Times New Roman"/>
                <w:sz w:val="20"/>
                <w:lang w:eastAsia="en-US"/>
              </w:rPr>
            </w:pPr>
          </w:p>
        </w:tc>
        <w:tc>
          <w:tcPr>
            <w:tcW w:w="913" w:type="pct"/>
            <w:vMerge/>
          </w:tcPr>
          <w:p w14:paraId="39323EBE" w14:textId="77777777" w:rsidR="00DC5685" w:rsidRPr="00A34F10" w:rsidRDefault="00DC5685" w:rsidP="00DC5685">
            <w:pPr>
              <w:tabs>
                <w:tab w:val="left" w:pos="720"/>
              </w:tabs>
              <w:jc w:val="center"/>
              <w:rPr>
                <w:rFonts w:ascii="Times New Roman" w:hAnsi="Times New Roman"/>
                <w:sz w:val="20"/>
                <w:lang w:eastAsia="en-US"/>
              </w:rPr>
            </w:pPr>
          </w:p>
        </w:tc>
        <w:tc>
          <w:tcPr>
            <w:tcW w:w="838" w:type="pct"/>
          </w:tcPr>
          <w:p w14:paraId="579DBF9C"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0.668</w:t>
            </w:r>
          </w:p>
        </w:tc>
        <w:tc>
          <w:tcPr>
            <w:tcW w:w="837" w:type="pct"/>
          </w:tcPr>
          <w:p w14:paraId="59CCB38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0.250</w:t>
            </w:r>
          </w:p>
        </w:tc>
        <w:tc>
          <w:tcPr>
            <w:tcW w:w="761" w:type="pct"/>
          </w:tcPr>
          <w:p w14:paraId="1D10963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0.667</w:t>
            </w:r>
          </w:p>
        </w:tc>
        <w:tc>
          <w:tcPr>
            <w:tcW w:w="740" w:type="pct"/>
          </w:tcPr>
          <w:p w14:paraId="20608B9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0.249</w:t>
            </w:r>
          </w:p>
        </w:tc>
      </w:tr>
    </w:tbl>
    <w:p w14:paraId="1A57F222" w14:textId="77777777" w:rsidR="00DC5685" w:rsidRPr="00A34F10" w:rsidRDefault="00DC5685" w:rsidP="00DC5685">
      <w:pPr>
        <w:tabs>
          <w:tab w:val="left" w:pos="720"/>
        </w:tabs>
        <w:jc w:val="both"/>
        <w:rPr>
          <w:sz w:val="18"/>
          <w:szCs w:val="20"/>
          <w:lang w:val="en-GB"/>
        </w:rPr>
      </w:pPr>
      <w:r w:rsidRPr="00A34F10">
        <w:rPr>
          <w:sz w:val="18"/>
          <w:szCs w:val="20"/>
          <w:lang w:val="en-GB"/>
        </w:rPr>
        <w:t>* based on sum of nominal content of a.s.</w:t>
      </w:r>
    </w:p>
    <w:p w14:paraId="3AF0D1C7" w14:textId="77777777" w:rsidR="00DC5685" w:rsidRPr="00A34F10" w:rsidRDefault="00DC5685" w:rsidP="00DC5685">
      <w:pPr>
        <w:tabs>
          <w:tab w:val="left" w:pos="720"/>
        </w:tabs>
        <w:jc w:val="both"/>
        <w:rPr>
          <w:sz w:val="18"/>
          <w:szCs w:val="20"/>
          <w:lang w:val="en-GB"/>
        </w:rPr>
      </w:pPr>
      <w:r w:rsidRPr="00A34F10">
        <w:rPr>
          <w:sz w:val="18"/>
          <w:szCs w:val="20"/>
          <w:lang w:val="en-GB"/>
        </w:rPr>
        <w:t>** based on analysed content of a.s.</w:t>
      </w:r>
    </w:p>
    <w:p w14:paraId="43AC8773"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1</w:t>
      </w:r>
      <w:r w:rsidRPr="00A34F10">
        <w:rPr>
          <w:sz w:val="18"/>
          <w:szCs w:val="20"/>
          <w:lang w:val="en-GB"/>
        </w:rPr>
        <w:t xml:space="preserve"> respective solvent control for the test item and reference item treatment</w:t>
      </w:r>
    </w:p>
    <w:p w14:paraId="4CD51D8B" w14:textId="77777777" w:rsidR="00DC5685" w:rsidRDefault="00DC5685" w:rsidP="00DC5685">
      <w:pPr>
        <w:tabs>
          <w:tab w:val="left" w:pos="720"/>
        </w:tabs>
        <w:jc w:val="both"/>
        <w:rPr>
          <w:sz w:val="18"/>
          <w:szCs w:val="20"/>
          <w:lang w:val="en-GB"/>
        </w:rPr>
      </w:pPr>
      <w:r w:rsidRPr="00A34F10">
        <w:rPr>
          <w:sz w:val="18"/>
          <w:szCs w:val="20"/>
          <w:lang w:val="en-GB"/>
        </w:rPr>
        <w:t>Calculations are performed with non-rounded values</w:t>
      </w:r>
    </w:p>
    <w:p w14:paraId="3C51088B" w14:textId="77777777" w:rsidR="003347E3" w:rsidRPr="00A34F10" w:rsidRDefault="003347E3" w:rsidP="00DC5685">
      <w:pPr>
        <w:tabs>
          <w:tab w:val="left" w:pos="720"/>
        </w:tabs>
        <w:jc w:val="both"/>
        <w:rPr>
          <w:sz w:val="18"/>
          <w:szCs w:val="20"/>
          <w:lang w:val="en-GB"/>
        </w:rPr>
      </w:pPr>
    </w:p>
    <w:p w14:paraId="44DAD969" w14:textId="77777777" w:rsidR="00DC5685" w:rsidRPr="00A34F10" w:rsidRDefault="00DC5685" w:rsidP="00E05ECD">
      <w:pPr>
        <w:numPr>
          <w:ilvl w:val="0"/>
          <w:numId w:val="74"/>
        </w:numPr>
        <w:tabs>
          <w:tab w:val="left" w:pos="720"/>
        </w:tabs>
        <w:jc w:val="both"/>
        <w:rPr>
          <w:b/>
          <w:bCs/>
          <w:szCs w:val="24"/>
          <w:lang w:val="en-GB"/>
        </w:rPr>
      </w:pPr>
      <w:r w:rsidRPr="00A34F10">
        <w:rPr>
          <w:b/>
          <w:bCs/>
          <w:szCs w:val="24"/>
          <w:lang w:val="en-GB"/>
        </w:rPr>
        <w:t>Contact toxicity test</w:t>
      </w:r>
    </w:p>
    <w:p w14:paraId="1AD37660" w14:textId="29614180" w:rsidR="00DC5685" w:rsidRPr="00A34F10" w:rsidRDefault="00DC5685" w:rsidP="00DC5685">
      <w:pPr>
        <w:tabs>
          <w:tab w:val="left" w:pos="720"/>
        </w:tabs>
        <w:spacing w:after="240"/>
        <w:jc w:val="both"/>
        <w:rPr>
          <w:szCs w:val="24"/>
          <w:lang w:val="en-GB"/>
        </w:rPr>
      </w:pPr>
      <w:r w:rsidRPr="00A34F10">
        <w:rPr>
          <w:szCs w:val="24"/>
          <w:lang w:val="en-GB"/>
        </w:rPr>
        <w:t>Bees in the test cage were anaesthetised with CO</w:t>
      </w:r>
      <w:r w:rsidRPr="00A34F10">
        <w:rPr>
          <w:szCs w:val="24"/>
          <w:vertAlign w:val="subscript"/>
          <w:lang w:val="en-GB"/>
        </w:rPr>
        <w:t xml:space="preserve">2 </w:t>
      </w:r>
      <w:r w:rsidRPr="00A34F10">
        <w:rPr>
          <w:szCs w:val="24"/>
          <w:lang w:val="en-GB"/>
        </w:rPr>
        <w:t>for approximately 30 seconds and placed into a petri dish prior to application. A single 2 μL droplet of either the test item, control or toxic reference solution was placed on the dorsal bee thorax of each bee using an Eppendorf Micropipette. 1% Tween 80 solution was used as a vehicle to ensure a good penetration or adhesion of the droplet on the bee body. Tween solution is non-toxic to honeybees at the concentration used. Doses used for the test item and reference item are outlined in</w:t>
      </w:r>
      <w:r w:rsidR="00BE7086">
        <w:rPr>
          <w:szCs w:val="24"/>
          <w:lang w:val="en-GB"/>
        </w:rPr>
        <w:t xml:space="preserve"> </w:t>
      </w:r>
      <w:r w:rsidR="00BE7086">
        <w:rPr>
          <w:szCs w:val="24"/>
          <w:lang w:val="en-GB"/>
        </w:rPr>
        <w:fldChar w:fldCharType="begin"/>
      </w:r>
      <w:r w:rsidR="00BE7086">
        <w:rPr>
          <w:szCs w:val="24"/>
          <w:lang w:val="en-GB"/>
        </w:rPr>
        <w:instrText xml:space="preserve"> REF _Ref147907212 \h </w:instrText>
      </w:r>
      <w:r w:rsidR="00BE7086">
        <w:rPr>
          <w:szCs w:val="24"/>
          <w:lang w:val="en-GB"/>
        </w:rPr>
      </w:r>
      <w:r w:rsidR="00BE7086">
        <w:rPr>
          <w:szCs w:val="24"/>
          <w:lang w:val="en-GB"/>
        </w:rPr>
        <w:fldChar w:fldCharType="separate"/>
      </w:r>
      <w:r w:rsidR="006F0F3B">
        <w:t xml:space="preserve">Table A </w:t>
      </w:r>
      <w:r w:rsidR="006F0F3B">
        <w:rPr>
          <w:noProof/>
        </w:rPr>
        <w:t>36</w:t>
      </w:r>
      <w:r w:rsidR="00BE7086">
        <w:rPr>
          <w:szCs w:val="24"/>
          <w:lang w:val="en-GB"/>
        </w:rPr>
        <w:fldChar w:fldCharType="end"/>
      </w:r>
      <w:r w:rsidRPr="00A34F10">
        <w:rPr>
          <w:szCs w:val="24"/>
          <w:lang w:val="en-GB"/>
        </w:rPr>
        <w:t>.</w:t>
      </w:r>
    </w:p>
    <w:p w14:paraId="3D710390" w14:textId="7DFEAFF3" w:rsidR="00DC5685" w:rsidRPr="00A34F10" w:rsidRDefault="00BE7086" w:rsidP="00BE7086">
      <w:pPr>
        <w:pStyle w:val="Legenda"/>
      </w:pPr>
      <w:bookmarkStart w:id="1089" w:name="_Ref147907212"/>
      <w:r>
        <w:t xml:space="preserve">Table A </w:t>
      </w:r>
      <w:r>
        <w:fldChar w:fldCharType="begin"/>
      </w:r>
      <w:r>
        <w:instrText xml:space="preserve"> SEQ Table_A \* ARABIC </w:instrText>
      </w:r>
      <w:r>
        <w:fldChar w:fldCharType="separate"/>
      </w:r>
      <w:r w:rsidR="006F0F3B">
        <w:rPr>
          <w:noProof/>
        </w:rPr>
        <w:t>36</w:t>
      </w:r>
      <w:r>
        <w:fldChar w:fldCharType="end"/>
      </w:r>
      <w:bookmarkEnd w:id="1089"/>
      <w:r w:rsidR="00DC5685" w:rsidRPr="00A34F10">
        <w:t>:</w:t>
      </w:r>
      <w:r w:rsidR="00DC5685" w:rsidRPr="00A34F10">
        <w:tab/>
        <w:t>Applied dosages in the contact toxicity test</w:t>
      </w:r>
    </w:p>
    <w:tbl>
      <w:tblPr>
        <w:tblStyle w:val="TableGrid1"/>
        <w:tblW w:w="5000" w:type="pct"/>
        <w:tblLook w:val="04A0" w:firstRow="1" w:lastRow="0" w:firstColumn="1" w:lastColumn="0" w:noHBand="0" w:noVBand="1"/>
      </w:tblPr>
      <w:tblGrid>
        <w:gridCol w:w="1837"/>
        <w:gridCol w:w="2551"/>
        <w:gridCol w:w="2549"/>
        <w:gridCol w:w="2407"/>
      </w:tblGrid>
      <w:tr w:rsidR="00DC5685" w:rsidRPr="00A34F10" w14:paraId="25A6CA28" w14:textId="77777777" w:rsidTr="000470C3">
        <w:trPr>
          <w:trHeight w:hRule="exact" w:val="283"/>
          <w:tblHeader/>
        </w:trPr>
        <w:tc>
          <w:tcPr>
            <w:tcW w:w="983" w:type="pct"/>
          </w:tcPr>
          <w:p w14:paraId="33A2781D"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Treatment group</w:t>
            </w:r>
          </w:p>
        </w:tc>
        <w:tc>
          <w:tcPr>
            <w:tcW w:w="1365" w:type="pct"/>
          </w:tcPr>
          <w:p w14:paraId="7AE6D157"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Item applied</w:t>
            </w:r>
          </w:p>
        </w:tc>
        <w:tc>
          <w:tcPr>
            <w:tcW w:w="2653" w:type="pct"/>
            <w:gridSpan w:val="2"/>
          </w:tcPr>
          <w:p w14:paraId="03F9EA86"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Dose rates</w:t>
            </w:r>
          </w:p>
        </w:tc>
      </w:tr>
      <w:tr w:rsidR="00DC5685" w:rsidRPr="00A34F10" w14:paraId="11D5715B" w14:textId="77777777" w:rsidTr="000470C3">
        <w:tc>
          <w:tcPr>
            <w:tcW w:w="983" w:type="pct"/>
            <w:vMerge w:val="restart"/>
          </w:tcPr>
          <w:p w14:paraId="0AA6323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Control</w:t>
            </w:r>
          </w:p>
        </w:tc>
        <w:tc>
          <w:tcPr>
            <w:tcW w:w="1365" w:type="pct"/>
          </w:tcPr>
          <w:p w14:paraId="24E0CE4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Deionised water</w:t>
            </w:r>
          </w:p>
        </w:tc>
        <w:tc>
          <w:tcPr>
            <w:tcW w:w="2653" w:type="pct"/>
            <w:gridSpan w:val="2"/>
          </w:tcPr>
          <w:p w14:paraId="5F566E61"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w:t>
            </w:r>
          </w:p>
        </w:tc>
      </w:tr>
      <w:tr w:rsidR="00DC5685" w:rsidRPr="00A34F10" w14:paraId="7669A794" w14:textId="77777777" w:rsidTr="000470C3">
        <w:tc>
          <w:tcPr>
            <w:tcW w:w="983" w:type="pct"/>
            <w:vMerge/>
          </w:tcPr>
          <w:p w14:paraId="446A7C09" w14:textId="77777777" w:rsidR="00DC5685" w:rsidRPr="00A34F10" w:rsidRDefault="00DC5685" w:rsidP="00DC5685">
            <w:pPr>
              <w:tabs>
                <w:tab w:val="left" w:pos="720"/>
              </w:tabs>
              <w:jc w:val="center"/>
              <w:rPr>
                <w:rFonts w:ascii="Times New Roman" w:hAnsi="Times New Roman"/>
                <w:sz w:val="20"/>
                <w:lang w:eastAsia="en-US"/>
              </w:rPr>
            </w:pPr>
          </w:p>
        </w:tc>
        <w:tc>
          <w:tcPr>
            <w:tcW w:w="1365" w:type="pct"/>
          </w:tcPr>
          <w:p w14:paraId="4425462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Tween solution</w:t>
            </w:r>
          </w:p>
        </w:tc>
        <w:tc>
          <w:tcPr>
            <w:tcW w:w="2653" w:type="pct"/>
            <w:gridSpan w:val="2"/>
          </w:tcPr>
          <w:p w14:paraId="65011AAF"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w:t>
            </w:r>
          </w:p>
        </w:tc>
      </w:tr>
      <w:tr w:rsidR="00DC5685" w:rsidRPr="00A34F10" w14:paraId="3E745448" w14:textId="77777777" w:rsidTr="000470C3">
        <w:tc>
          <w:tcPr>
            <w:tcW w:w="2347" w:type="pct"/>
            <w:gridSpan w:val="2"/>
          </w:tcPr>
          <w:p w14:paraId="4E4ECA35"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3FB02D65"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product/bee)</w:t>
            </w:r>
          </w:p>
        </w:tc>
        <w:tc>
          <w:tcPr>
            <w:tcW w:w="1289" w:type="pct"/>
          </w:tcPr>
          <w:p w14:paraId="64CA42DF" w14:textId="77777777" w:rsidR="00DC5685" w:rsidRPr="00A34F10" w:rsidRDefault="00DC5685" w:rsidP="00DC5685">
            <w:pPr>
              <w:tabs>
                <w:tab w:val="left" w:pos="720"/>
              </w:tabs>
              <w:jc w:val="center"/>
              <w:rPr>
                <w:rFonts w:ascii="Times New Roman" w:hAnsi="Times New Roman"/>
                <w:b/>
                <w:bCs/>
                <w:sz w:val="20"/>
                <w:lang w:eastAsia="en-US"/>
              </w:rPr>
            </w:pPr>
            <w:r w:rsidRPr="00A34F10">
              <w:rPr>
                <w:rFonts w:ascii="Times New Roman" w:hAnsi="Times New Roman"/>
                <w:b/>
                <w:bCs/>
                <w:sz w:val="20"/>
                <w:lang w:eastAsia="en-US"/>
              </w:rPr>
              <w:t>(µg total a.s./bee)</w:t>
            </w:r>
          </w:p>
        </w:tc>
      </w:tr>
      <w:tr w:rsidR="00DC5685" w:rsidRPr="00A34F10" w14:paraId="018CFC12" w14:textId="77777777" w:rsidTr="000470C3">
        <w:tc>
          <w:tcPr>
            <w:tcW w:w="983" w:type="pct"/>
            <w:vMerge w:val="restart"/>
          </w:tcPr>
          <w:p w14:paraId="0FD21DE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Test item</w:t>
            </w:r>
          </w:p>
        </w:tc>
        <w:tc>
          <w:tcPr>
            <w:tcW w:w="1365" w:type="pct"/>
            <w:vMerge w:val="restart"/>
          </w:tcPr>
          <w:p w14:paraId="0AD124C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BAS 743 03 F*</w:t>
            </w:r>
          </w:p>
        </w:tc>
        <w:tc>
          <w:tcPr>
            <w:tcW w:w="1364" w:type="pct"/>
          </w:tcPr>
          <w:p w14:paraId="147C5FD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62.5</w:t>
            </w:r>
          </w:p>
        </w:tc>
        <w:tc>
          <w:tcPr>
            <w:tcW w:w="1289" w:type="pct"/>
          </w:tcPr>
          <w:p w14:paraId="0275F03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32.9</w:t>
            </w:r>
          </w:p>
        </w:tc>
      </w:tr>
      <w:tr w:rsidR="00DC5685" w:rsidRPr="00A34F10" w14:paraId="38C2C1AA" w14:textId="77777777" w:rsidTr="000470C3">
        <w:tc>
          <w:tcPr>
            <w:tcW w:w="983" w:type="pct"/>
            <w:vMerge/>
          </w:tcPr>
          <w:p w14:paraId="18AEF7B7"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0B61E24C"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4533348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125</w:t>
            </w:r>
          </w:p>
        </w:tc>
        <w:tc>
          <w:tcPr>
            <w:tcW w:w="1289" w:type="pct"/>
          </w:tcPr>
          <w:p w14:paraId="58726CB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65.9</w:t>
            </w:r>
          </w:p>
        </w:tc>
      </w:tr>
      <w:tr w:rsidR="00DC5685" w:rsidRPr="00A34F10" w14:paraId="406FC1A2" w14:textId="77777777" w:rsidTr="000470C3">
        <w:tc>
          <w:tcPr>
            <w:tcW w:w="983" w:type="pct"/>
            <w:vMerge/>
          </w:tcPr>
          <w:p w14:paraId="228C6E47"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006F5344"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49DA176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250</w:t>
            </w:r>
          </w:p>
        </w:tc>
        <w:tc>
          <w:tcPr>
            <w:tcW w:w="1289" w:type="pct"/>
          </w:tcPr>
          <w:p w14:paraId="4EC0404E"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131.7</w:t>
            </w:r>
          </w:p>
        </w:tc>
      </w:tr>
      <w:tr w:rsidR="00DC5685" w:rsidRPr="00A34F10" w14:paraId="375F6155" w14:textId="77777777" w:rsidTr="000470C3">
        <w:tc>
          <w:tcPr>
            <w:tcW w:w="983" w:type="pct"/>
            <w:vMerge/>
          </w:tcPr>
          <w:p w14:paraId="1A6440C4"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13155BAC"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356A9F5D"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500</w:t>
            </w:r>
          </w:p>
        </w:tc>
        <w:tc>
          <w:tcPr>
            <w:tcW w:w="1289" w:type="pct"/>
          </w:tcPr>
          <w:p w14:paraId="5670905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263.5</w:t>
            </w:r>
          </w:p>
        </w:tc>
      </w:tr>
      <w:tr w:rsidR="00DC5685" w:rsidRPr="00A34F10" w14:paraId="28405719" w14:textId="77777777" w:rsidTr="000470C3">
        <w:tc>
          <w:tcPr>
            <w:tcW w:w="983" w:type="pct"/>
            <w:vMerge/>
          </w:tcPr>
          <w:p w14:paraId="6125C508"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0104A4DE"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2A358DC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1000</w:t>
            </w:r>
          </w:p>
        </w:tc>
        <w:tc>
          <w:tcPr>
            <w:tcW w:w="1289" w:type="pct"/>
          </w:tcPr>
          <w:p w14:paraId="638CB673"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527.0</w:t>
            </w:r>
          </w:p>
        </w:tc>
      </w:tr>
      <w:tr w:rsidR="00DC5685" w:rsidRPr="00A34F10" w14:paraId="668CF229" w14:textId="77777777" w:rsidTr="000470C3">
        <w:tc>
          <w:tcPr>
            <w:tcW w:w="983" w:type="pct"/>
            <w:vMerge w:val="restart"/>
          </w:tcPr>
          <w:p w14:paraId="475A18DF"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Reference item</w:t>
            </w:r>
          </w:p>
        </w:tc>
        <w:tc>
          <w:tcPr>
            <w:tcW w:w="1365" w:type="pct"/>
            <w:vMerge w:val="restart"/>
          </w:tcPr>
          <w:p w14:paraId="66790517"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Dimethoate EC 400**</w:t>
            </w:r>
          </w:p>
        </w:tc>
        <w:tc>
          <w:tcPr>
            <w:tcW w:w="1364" w:type="pct"/>
          </w:tcPr>
          <w:p w14:paraId="4BC53AA4"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0.282</w:t>
            </w:r>
          </w:p>
        </w:tc>
        <w:tc>
          <w:tcPr>
            <w:tcW w:w="1289" w:type="pct"/>
          </w:tcPr>
          <w:p w14:paraId="6867860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0.250</w:t>
            </w:r>
          </w:p>
        </w:tc>
      </w:tr>
      <w:tr w:rsidR="00DC5685" w:rsidRPr="00A34F10" w14:paraId="3B2E7770" w14:textId="77777777" w:rsidTr="000470C3">
        <w:tc>
          <w:tcPr>
            <w:tcW w:w="983" w:type="pct"/>
            <w:vMerge/>
          </w:tcPr>
          <w:p w14:paraId="4832FD44"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672AE288"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73416A86"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0.376</w:t>
            </w:r>
          </w:p>
        </w:tc>
        <w:tc>
          <w:tcPr>
            <w:tcW w:w="1289" w:type="pct"/>
          </w:tcPr>
          <w:p w14:paraId="2FA07ED5"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0.187</w:t>
            </w:r>
          </w:p>
        </w:tc>
      </w:tr>
      <w:tr w:rsidR="00DC5685" w:rsidRPr="00A34F10" w14:paraId="0602C4C4" w14:textId="77777777" w:rsidTr="000470C3">
        <w:tc>
          <w:tcPr>
            <w:tcW w:w="983" w:type="pct"/>
            <w:vMerge/>
          </w:tcPr>
          <w:p w14:paraId="00A8D729"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685300B5"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534EFE2A"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0.501</w:t>
            </w:r>
          </w:p>
        </w:tc>
        <w:tc>
          <w:tcPr>
            <w:tcW w:w="1289" w:type="pct"/>
          </w:tcPr>
          <w:p w14:paraId="1879717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0.141</w:t>
            </w:r>
          </w:p>
        </w:tc>
      </w:tr>
      <w:tr w:rsidR="00DC5685" w:rsidRPr="00A34F10" w14:paraId="24939AE5" w14:textId="77777777" w:rsidTr="000470C3">
        <w:tc>
          <w:tcPr>
            <w:tcW w:w="983" w:type="pct"/>
            <w:vMerge/>
          </w:tcPr>
          <w:p w14:paraId="33434136" w14:textId="77777777" w:rsidR="00DC5685" w:rsidRPr="00A34F10" w:rsidRDefault="00DC5685" w:rsidP="00DC5685">
            <w:pPr>
              <w:tabs>
                <w:tab w:val="left" w:pos="720"/>
              </w:tabs>
              <w:jc w:val="center"/>
              <w:rPr>
                <w:rFonts w:ascii="Times New Roman" w:hAnsi="Times New Roman"/>
                <w:sz w:val="20"/>
                <w:lang w:eastAsia="en-US"/>
              </w:rPr>
            </w:pPr>
          </w:p>
        </w:tc>
        <w:tc>
          <w:tcPr>
            <w:tcW w:w="1365" w:type="pct"/>
            <w:vMerge/>
          </w:tcPr>
          <w:p w14:paraId="36297C53" w14:textId="77777777" w:rsidR="00DC5685" w:rsidRPr="00A34F10" w:rsidRDefault="00DC5685" w:rsidP="00DC5685">
            <w:pPr>
              <w:tabs>
                <w:tab w:val="left" w:pos="720"/>
              </w:tabs>
              <w:jc w:val="center"/>
              <w:rPr>
                <w:rFonts w:ascii="Times New Roman" w:hAnsi="Times New Roman"/>
                <w:sz w:val="20"/>
                <w:lang w:eastAsia="en-US"/>
              </w:rPr>
            </w:pPr>
          </w:p>
        </w:tc>
        <w:tc>
          <w:tcPr>
            <w:tcW w:w="1364" w:type="pct"/>
          </w:tcPr>
          <w:p w14:paraId="70934F78"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0.668</w:t>
            </w:r>
          </w:p>
        </w:tc>
        <w:tc>
          <w:tcPr>
            <w:tcW w:w="1289" w:type="pct"/>
          </w:tcPr>
          <w:p w14:paraId="5E5CAE32" w14:textId="77777777" w:rsidR="00DC5685" w:rsidRPr="00A34F10" w:rsidRDefault="00DC5685" w:rsidP="00DC5685">
            <w:pPr>
              <w:tabs>
                <w:tab w:val="left" w:pos="720"/>
              </w:tabs>
              <w:jc w:val="center"/>
              <w:rPr>
                <w:rFonts w:ascii="Times New Roman" w:hAnsi="Times New Roman"/>
                <w:sz w:val="20"/>
                <w:lang w:eastAsia="en-US"/>
              </w:rPr>
            </w:pPr>
            <w:r w:rsidRPr="00A34F10">
              <w:rPr>
                <w:rFonts w:ascii="Times New Roman" w:hAnsi="Times New Roman"/>
                <w:sz w:val="20"/>
                <w:lang w:eastAsia="en-US"/>
              </w:rPr>
              <w:t>0.105</w:t>
            </w:r>
          </w:p>
        </w:tc>
      </w:tr>
    </w:tbl>
    <w:p w14:paraId="4DA9F7CA" w14:textId="77777777" w:rsidR="00DC5685" w:rsidRPr="00A34F10" w:rsidRDefault="00DC5685" w:rsidP="00DC5685">
      <w:pPr>
        <w:tabs>
          <w:tab w:val="left" w:pos="720"/>
        </w:tabs>
        <w:rPr>
          <w:sz w:val="18"/>
          <w:szCs w:val="20"/>
          <w:lang w:val="en-GB"/>
        </w:rPr>
      </w:pPr>
      <w:r w:rsidRPr="00A34F10">
        <w:rPr>
          <w:sz w:val="18"/>
          <w:szCs w:val="20"/>
          <w:lang w:val="en-GB"/>
        </w:rPr>
        <w:t xml:space="preserve">* based on sum of nominal content of a.s. </w:t>
      </w:r>
      <w:r w:rsidRPr="00A34F10">
        <w:rPr>
          <w:sz w:val="18"/>
          <w:szCs w:val="20"/>
          <w:lang w:val="en-GB"/>
        </w:rPr>
        <w:br/>
        <w:t>** based on analysed content of a.s.</w:t>
      </w:r>
    </w:p>
    <w:p w14:paraId="0C93EDDB" w14:textId="77777777" w:rsidR="00DC5685" w:rsidRPr="00A34F10" w:rsidRDefault="00DC5685" w:rsidP="00DC5685">
      <w:pPr>
        <w:tabs>
          <w:tab w:val="left" w:pos="720"/>
        </w:tabs>
        <w:rPr>
          <w:sz w:val="18"/>
          <w:szCs w:val="20"/>
          <w:lang w:val="en-GB"/>
        </w:rPr>
      </w:pPr>
      <w:r w:rsidRPr="00A34F10">
        <w:rPr>
          <w:sz w:val="18"/>
          <w:szCs w:val="20"/>
          <w:vertAlign w:val="superscript"/>
          <w:lang w:val="en-GB"/>
        </w:rPr>
        <w:t>1</w:t>
      </w:r>
      <w:r w:rsidRPr="00A34F10">
        <w:rPr>
          <w:sz w:val="18"/>
          <w:szCs w:val="20"/>
          <w:lang w:val="en-GB"/>
        </w:rPr>
        <w:t xml:space="preserve"> respective solvent control for the test item and reference item treatment</w:t>
      </w:r>
    </w:p>
    <w:p w14:paraId="2218AC7F" w14:textId="77777777" w:rsidR="00DC5685" w:rsidRPr="00A34F10" w:rsidRDefault="00DC5685" w:rsidP="00DC5685">
      <w:pPr>
        <w:tabs>
          <w:tab w:val="left" w:pos="720"/>
        </w:tabs>
        <w:spacing w:after="240"/>
        <w:jc w:val="both"/>
        <w:rPr>
          <w:sz w:val="18"/>
          <w:szCs w:val="20"/>
          <w:lang w:val="en-GB"/>
        </w:rPr>
      </w:pPr>
      <w:r w:rsidRPr="00A34F10">
        <w:rPr>
          <w:sz w:val="18"/>
          <w:szCs w:val="20"/>
          <w:lang w:val="en-GB"/>
        </w:rPr>
        <w:t>Calculations are performed with non-rounded values</w:t>
      </w:r>
    </w:p>
    <w:p w14:paraId="279E57FC"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Dose preparation: </w:t>
      </w:r>
    </w:p>
    <w:p w14:paraId="00A21BD8" w14:textId="77777777" w:rsidR="00DC5685" w:rsidRPr="00A34F10" w:rsidRDefault="00DC5685" w:rsidP="00DC5685">
      <w:pPr>
        <w:tabs>
          <w:tab w:val="left" w:pos="720"/>
        </w:tabs>
        <w:jc w:val="both"/>
        <w:rPr>
          <w:b/>
          <w:bCs/>
          <w:szCs w:val="24"/>
          <w:lang w:val="en-GB"/>
        </w:rPr>
      </w:pPr>
      <w:r w:rsidRPr="00A34F10">
        <w:rPr>
          <w:b/>
          <w:bCs/>
          <w:szCs w:val="24"/>
          <w:lang w:val="en-GB"/>
        </w:rPr>
        <w:br/>
        <w:t xml:space="preserve">Oral test </w:t>
      </w:r>
    </w:p>
    <w:p w14:paraId="6612D0E8" w14:textId="77777777" w:rsidR="00DC5685" w:rsidRPr="00A34F10" w:rsidRDefault="00DC5685" w:rsidP="00DC5685">
      <w:pPr>
        <w:tabs>
          <w:tab w:val="left" w:pos="720"/>
        </w:tabs>
        <w:jc w:val="both"/>
        <w:rPr>
          <w:szCs w:val="24"/>
          <w:lang w:val="en-GB"/>
        </w:rPr>
      </w:pPr>
      <w:r w:rsidRPr="00A34F10">
        <w:rPr>
          <w:szCs w:val="24"/>
          <w:lang w:val="en-GB"/>
        </w:rPr>
        <w:t xml:space="preserve">0.500 g BAS 743 03 F was weighed out and filled up to 10 mL with 50% w/v sucrose solution which gave a 5.000 % w/v stock solution. This was then diluted sequentially to produce the remaining 4 doses. The application volume was 200 µL/cage (equivalent to 20 µL per bee). </w:t>
      </w:r>
    </w:p>
    <w:p w14:paraId="7AE55142" w14:textId="77777777" w:rsidR="00DC5685" w:rsidRPr="00A34F10" w:rsidRDefault="00DC5685" w:rsidP="00DC5685">
      <w:pPr>
        <w:tabs>
          <w:tab w:val="left" w:pos="720"/>
        </w:tabs>
        <w:jc w:val="both"/>
        <w:rPr>
          <w:b/>
          <w:bCs/>
          <w:szCs w:val="24"/>
          <w:lang w:val="en-GB"/>
        </w:rPr>
      </w:pPr>
    </w:p>
    <w:p w14:paraId="4A6B5BBE" w14:textId="77777777" w:rsidR="00DC5685" w:rsidRPr="00A34F10" w:rsidRDefault="00DC5685" w:rsidP="00DC5685">
      <w:pPr>
        <w:tabs>
          <w:tab w:val="left" w:pos="720"/>
        </w:tabs>
        <w:jc w:val="both"/>
        <w:rPr>
          <w:b/>
          <w:bCs/>
          <w:szCs w:val="24"/>
          <w:lang w:val="en-GB"/>
        </w:rPr>
      </w:pPr>
      <w:r w:rsidRPr="00A34F10">
        <w:rPr>
          <w:b/>
          <w:bCs/>
          <w:szCs w:val="24"/>
          <w:lang w:val="en-GB"/>
        </w:rPr>
        <w:lastRenderedPageBreak/>
        <w:t>Contact test</w:t>
      </w:r>
    </w:p>
    <w:p w14:paraId="13AB7127" w14:textId="77777777" w:rsidR="00DC5685" w:rsidRPr="00A34F10" w:rsidRDefault="00DC5685" w:rsidP="00DC5685">
      <w:pPr>
        <w:tabs>
          <w:tab w:val="left" w:pos="720"/>
        </w:tabs>
        <w:spacing w:after="240"/>
        <w:jc w:val="both"/>
        <w:rPr>
          <w:sz w:val="18"/>
          <w:szCs w:val="20"/>
          <w:lang w:val="en-GB"/>
        </w:rPr>
      </w:pPr>
      <w:r w:rsidRPr="00A34F10">
        <w:rPr>
          <w:szCs w:val="24"/>
          <w:lang w:val="en-GB"/>
        </w:rPr>
        <w:t xml:space="preserve">5.000 g BAS 743 03 F was weighed out and filled up to 10 mL with 1% v/v Tween solution which gave a 50.000 % (w/v) stock solution. This was then diluted to produce the remaining 4 doses. </w:t>
      </w:r>
    </w:p>
    <w:p w14:paraId="33209293"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Measurements and observations: </w:t>
      </w:r>
    </w:p>
    <w:p w14:paraId="03A3EE18" w14:textId="77777777" w:rsidR="00DC5685" w:rsidRPr="00A34F10" w:rsidRDefault="00DC5685" w:rsidP="00DC5685">
      <w:pPr>
        <w:tabs>
          <w:tab w:val="left" w:pos="720"/>
        </w:tabs>
        <w:jc w:val="both"/>
        <w:rPr>
          <w:szCs w:val="24"/>
          <w:lang w:val="en-GB"/>
        </w:rPr>
      </w:pPr>
      <w:r w:rsidRPr="00A34F10">
        <w:rPr>
          <w:szCs w:val="24"/>
          <w:lang w:val="en-GB"/>
        </w:rPr>
        <w:t>In both tests, assessments of bee mortality and behavioural effects were made after 4, 24 and 48 hours. During the behavioural assessments, bees were classified as either healthy (normal), affected (impaired locomotion) or moribund. Other effects such as abnormal quantity/colour of excretion were also observed and recorded. All evaluations were made in comparison with the controls.</w:t>
      </w:r>
    </w:p>
    <w:p w14:paraId="42F1B648" w14:textId="77777777" w:rsidR="00DC5685" w:rsidRPr="00A34F10" w:rsidRDefault="00DC5685" w:rsidP="00DC5685">
      <w:pPr>
        <w:tabs>
          <w:tab w:val="left" w:pos="720"/>
        </w:tabs>
        <w:jc w:val="both"/>
        <w:rPr>
          <w:szCs w:val="24"/>
          <w:u w:val="single"/>
          <w:lang w:val="en-GB"/>
        </w:rPr>
      </w:pPr>
    </w:p>
    <w:p w14:paraId="4DEABE66" w14:textId="77777777" w:rsidR="00DC5685" w:rsidRPr="00A34F10" w:rsidRDefault="00DC5685" w:rsidP="00E05ECD">
      <w:pPr>
        <w:numPr>
          <w:ilvl w:val="0"/>
          <w:numId w:val="74"/>
        </w:numPr>
        <w:tabs>
          <w:tab w:val="left" w:pos="0"/>
        </w:tabs>
        <w:contextualSpacing/>
        <w:rPr>
          <w:b/>
          <w:bCs/>
          <w:szCs w:val="24"/>
          <w:lang w:val="en-GB"/>
        </w:rPr>
      </w:pPr>
      <w:r w:rsidRPr="00A34F10">
        <w:rPr>
          <w:b/>
          <w:bCs/>
          <w:szCs w:val="24"/>
          <w:lang w:val="en-GB"/>
        </w:rPr>
        <w:t xml:space="preserve">Statistical analysis: </w:t>
      </w:r>
    </w:p>
    <w:p w14:paraId="41972B84" w14:textId="77777777" w:rsidR="00DC5685" w:rsidRPr="00A34F10" w:rsidRDefault="00DC5685" w:rsidP="00DC5685">
      <w:pPr>
        <w:tabs>
          <w:tab w:val="left" w:pos="720"/>
        </w:tabs>
        <w:spacing w:after="240"/>
        <w:jc w:val="both"/>
        <w:rPr>
          <w:szCs w:val="24"/>
          <w:lang w:val="en-GB"/>
        </w:rPr>
      </w:pPr>
      <w:r w:rsidRPr="00A34F10">
        <w:rPr>
          <w:szCs w:val="24"/>
          <w:lang w:val="en-GB"/>
        </w:rPr>
        <w:t>For statistical evaluation of the mortality results the Fisher’s Binomial Test with Bonferroni-Holm correction or Step-down Cochran-Armitage Test procedure was used. The accepted significance level was p ≤0.05 (one-sided greater). The median lethal doses (LD</w:t>
      </w:r>
      <w:r w:rsidRPr="00A34F10">
        <w:rPr>
          <w:szCs w:val="24"/>
          <w:vertAlign w:val="subscript"/>
          <w:lang w:val="en-GB"/>
        </w:rPr>
        <w:t>50</w:t>
      </w:r>
      <w:r w:rsidRPr="00A34F10">
        <w:rPr>
          <w:szCs w:val="24"/>
          <w:lang w:val="en-GB"/>
        </w:rPr>
        <w:t xml:space="preserve">) along with the 95 % confidence limits were calculated with Probit analysis, using linear maximum likelihood regression for evaluation of the reference item, only. </w:t>
      </w:r>
    </w:p>
    <w:p w14:paraId="5F6D4656" w14:textId="77777777" w:rsidR="00DC5685" w:rsidRDefault="00DC5685" w:rsidP="00DC5685">
      <w:pPr>
        <w:tabs>
          <w:tab w:val="left" w:pos="720"/>
        </w:tabs>
        <w:spacing w:after="240"/>
        <w:jc w:val="both"/>
        <w:rPr>
          <w:szCs w:val="24"/>
          <w:lang w:val="en-GB"/>
        </w:rPr>
      </w:pPr>
      <w:r w:rsidRPr="00A34F10">
        <w:rPr>
          <w:szCs w:val="24"/>
          <w:lang w:val="en-GB"/>
        </w:rPr>
        <w:t>The statistical calculations were performed with the computer program ToxRat Professional 3.3.0. (2018)</w:t>
      </w:r>
    </w:p>
    <w:p w14:paraId="2AF5710C" w14:textId="77777777" w:rsidR="003347E3" w:rsidRPr="00A34F10" w:rsidRDefault="003347E3" w:rsidP="003347E3">
      <w:pPr>
        <w:tabs>
          <w:tab w:val="left" w:pos="720"/>
        </w:tabs>
        <w:jc w:val="both"/>
        <w:rPr>
          <w:szCs w:val="24"/>
          <w:lang w:val="en-GB"/>
        </w:rPr>
      </w:pPr>
    </w:p>
    <w:p w14:paraId="1A41E72C" w14:textId="77777777" w:rsidR="00DC5685" w:rsidRPr="00A34F10" w:rsidRDefault="00DC5685" w:rsidP="003347E3">
      <w:pPr>
        <w:tabs>
          <w:tab w:val="left" w:pos="720"/>
        </w:tabs>
        <w:spacing w:after="240"/>
        <w:contextualSpacing/>
        <w:jc w:val="center"/>
        <w:rPr>
          <w:b/>
          <w:bCs/>
          <w:caps/>
          <w:szCs w:val="24"/>
          <w:lang w:val="en-GB"/>
        </w:rPr>
      </w:pPr>
      <w:r w:rsidRPr="00A34F10">
        <w:rPr>
          <w:b/>
          <w:bCs/>
          <w:caps/>
          <w:szCs w:val="24"/>
          <w:lang w:val="en-GB"/>
        </w:rPr>
        <w:t>II.</w:t>
      </w:r>
      <w:r w:rsidRPr="00A34F10">
        <w:rPr>
          <w:b/>
          <w:bCs/>
          <w:caps/>
          <w:szCs w:val="24"/>
          <w:lang w:val="en-GB"/>
        </w:rPr>
        <w:tab/>
        <w:t>RESULTS AND DISCUSSION</w:t>
      </w:r>
    </w:p>
    <w:p w14:paraId="6D4E46A4" w14:textId="77777777" w:rsidR="00DC5685" w:rsidRPr="00A34F10" w:rsidRDefault="00DC5685" w:rsidP="00DC5685">
      <w:pPr>
        <w:tabs>
          <w:tab w:val="left" w:pos="720"/>
        </w:tabs>
        <w:spacing w:after="240"/>
        <w:contextualSpacing/>
        <w:rPr>
          <w:b/>
          <w:bCs/>
          <w:caps/>
          <w:szCs w:val="24"/>
          <w:lang w:val="en-GB"/>
        </w:rPr>
      </w:pPr>
    </w:p>
    <w:p w14:paraId="6EF9029A"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C.</w:t>
      </w:r>
      <w:r w:rsidRPr="00A34F10">
        <w:rPr>
          <w:b/>
          <w:bCs/>
          <w:caps/>
          <w:szCs w:val="24"/>
          <w:lang w:val="en-GB"/>
        </w:rPr>
        <w:tab/>
        <w:t>BIOLOGICAL EFFECTS</w:t>
      </w:r>
    </w:p>
    <w:p w14:paraId="61E5C60E" w14:textId="77777777" w:rsidR="00DC5685" w:rsidRPr="00A34F10" w:rsidRDefault="00DC5685" w:rsidP="00DC5685">
      <w:pPr>
        <w:tabs>
          <w:tab w:val="left" w:pos="720"/>
        </w:tabs>
        <w:jc w:val="both"/>
        <w:rPr>
          <w:szCs w:val="24"/>
          <w:lang w:val="en-GB"/>
        </w:rPr>
      </w:pPr>
    </w:p>
    <w:p w14:paraId="46EBE785" w14:textId="77777777" w:rsidR="00DC5685" w:rsidRPr="00A34F10" w:rsidRDefault="00DC5685" w:rsidP="00DC5685">
      <w:pPr>
        <w:keepNext/>
        <w:keepLines/>
        <w:tabs>
          <w:tab w:val="left" w:pos="720"/>
        </w:tabs>
        <w:jc w:val="both"/>
        <w:rPr>
          <w:b/>
          <w:bCs/>
          <w:szCs w:val="24"/>
          <w:lang w:val="en-GB"/>
        </w:rPr>
      </w:pPr>
      <w:r w:rsidRPr="00A34F10">
        <w:rPr>
          <w:b/>
          <w:bCs/>
          <w:szCs w:val="24"/>
          <w:lang w:val="en-GB"/>
        </w:rPr>
        <w:t>Oral test</w:t>
      </w:r>
    </w:p>
    <w:p w14:paraId="631DAA63" w14:textId="77777777" w:rsidR="00DC5685" w:rsidRPr="00A34F10" w:rsidRDefault="00DC5685" w:rsidP="00DC5685">
      <w:pPr>
        <w:autoSpaceDE w:val="0"/>
        <w:autoSpaceDN w:val="0"/>
        <w:adjustRightInd w:val="0"/>
        <w:jc w:val="both"/>
        <w:rPr>
          <w:color w:val="000000"/>
          <w:szCs w:val="24"/>
          <w:lang w:val="en-GB" w:eastAsia="de-DE"/>
        </w:rPr>
      </w:pPr>
      <w:r w:rsidRPr="00A34F10">
        <w:rPr>
          <w:color w:val="000000"/>
          <w:sz w:val="24"/>
          <w:szCs w:val="24"/>
          <w:lang w:val="en-GB" w:eastAsia="de-DE"/>
        </w:rPr>
        <w:t>N</w:t>
      </w:r>
      <w:r w:rsidRPr="00A34F10">
        <w:rPr>
          <w:color w:val="000000"/>
          <w:szCs w:val="24"/>
          <w:lang w:val="en-GB" w:eastAsia="de-DE"/>
        </w:rPr>
        <w:t>o mortality occurred in the control group fed with pure sucrose solution, after 48 hours. In the test item treatment, statistically significant mortality of 20.0 % was observed after oral consumption of 816 μg BAS 743 03 F/bee after 48 hours. Therefore, the LD</w:t>
      </w:r>
      <w:r w:rsidRPr="00A34F10">
        <w:rPr>
          <w:color w:val="000000"/>
          <w:szCs w:val="24"/>
          <w:vertAlign w:val="subscript"/>
          <w:lang w:val="en-GB" w:eastAsia="de-DE"/>
        </w:rPr>
        <w:t>50</w:t>
      </w:r>
      <w:r w:rsidRPr="00A34F10">
        <w:rPr>
          <w:color w:val="000000"/>
          <w:szCs w:val="24"/>
          <w:lang w:val="en-GB" w:eastAsia="de-DE"/>
        </w:rPr>
        <w:t xml:space="preserve"> (48 h) was &gt; 816 μg consumed product/bee that is corresponding to &gt; 379.5 μg total a.s./bee</w:t>
      </w:r>
      <w:r w:rsidRPr="00A34F10">
        <w:rPr>
          <w:color w:val="000000"/>
          <w:sz w:val="24"/>
          <w:szCs w:val="24"/>
          <w:lang w:val="en-GB" w:eastAsia="de-DE"/>
        </w:rPr>
        <w:t xml:space="preserve">. </w:t>
      </w:r>
      <w:r w:rsidRPr="00A34F10">
        <w:rPr>
          <w:color w:val="000000"/>
          <w:szCs w:val="24"/>
          <w:lang w:val="en-GB" w:eastAsia="de-DE"/>
        </w:rPr>
        <w:t xml:space="preserve">No behavioural impairments were observed after oral application of ≤ 816 μg BAS 743 03 F/bee when compared to the control group throughout the oral testing period of 48 hours. </w:t>
      </w:r>
    </w:p>
    <w:p w14:paraId="041E8657" w14:textId="6CB4168A" w:rsidR="00DC5685" w:rsidRPr="00A34F10" w:rsidRDefault="00DC5685" w:rsidP="00DC5685">
      <w:pPr>
        <w:keepNext/>
        <w:keepLines/>
        <w:tabs>
          <w:tab w:val="left" w:pos="720"/>
        </w:tabs>
        <w:spacing w:after="240"/>
        <w:jc w:val="both"/>
        <w:rPr>
          <w:szCs w:val="24"/>
          <w:lang w:val="en-GB"/>
        </w:rPr>
      </w:pPr>
      <w:r w:rsidRPr="00A34F10">
        <w:rPr>
          <w:szCs w:val="24"/>
          <w:lang w:val="en-GB"/>
        </w:rPr>
        <w:t>The 48-hour LD</w:t>
      </w:r>
      <w:r w:rsidRPr="00A34F10">
        <w:rPr>
          <w:szCs w:val="24"/>
          <w:vertAlign w:val="subscript"/>
          <w:lang w:val="en-GB"/>
        </w:rPr>
        <w:t>50</w:t>
      </w:r>
      <w:r w:rsidRPr="00A34F10">
        <w:rPr>
          <w:szCs w:val="24"/>
          <w:lang w:val="en-GB"/>
        </w:rPr>
        <w:t xml:space="preserve"> values are summarised in</w:t>
      </w:r>
      <w:r w:rsidR="00950979">
        <w:rPr>
          <w:szCs w:val="24"/>
          <w:lang w:val="en-GB"/>
        </w:rPr>
        <w:t xml:space="preserve"> </w:t>
      </w:r>
      <w:r w:rsidR="00950979">
        <w:rPr>
          <w:szCs w:val="24"/>
          <w:lang w:val="en-GB"/>
        </w:rPr>
        <w:fldChar w:fldCharType="begin"/>
      </w:r>
      <w:r w:rsidR="00950979">
        <w:rPr>
          <w:szCs w:val="24"/>
          <w:lang w:val="en-GB"/>
        </w:rPr>
        <w:instrText xml:space="preserve"> REF _Ref147907259 \h </w:instrText>
      </w:r>
      <w:r w:rsidR="00950979">
        <w:rPr>
          <w:szCs w:val="24"/>
          <w:lang w:val="en-GB"/>
        </w:rPr>
      </w:r>
      <w:r w:rsidR="00950979">
        <w:rPr>
          <w:szCs w:val="24"/>
          <w:lang w:val="en-GB"/>
        </w:rPr>
        <w:fldChar w:fldCharType="separate"/>
      </w:r>
      <w:r w:rsidR="006F0F3B">
        <w:t xml:space="preserve">Table A </w:t>
      </w:r>
      <w:r w:rsidR="006F0F3B">
        <w:rPr>
          <w:noProof/>
        </w:rPr>
        <w:t>37</w:t>
      </w:r>
      <w:r w:rsidR="00950979">
        <w:rPr>
          <w:szCs w:val="24"/>
          <w:lang w:val="en-GB"/>
        </w:rPr>
        <w:fldChar w:fldCharType="end"/>
      </w:r>
      <w:r w:rsidRPr="00A34F10">
        <w:rPr>
          <w:szCs w:val="24"/>
          <w:lang w:val="en-GB"/>
        </w:rPr>
        <w:t>.</w:t>
      </w:r>
    </w:p>
    <w:p w14:paraId="22145A13" w14:textId="77777777" w:rsidR="00DC5685" w:rsidRPr="00A34F10" w:rsidRDefault="00DC5685" w:rsidP="00DC5685">
      <w:pPr>
        <w:tabs>
          <w:tab w:val="left" w:pos="720"/>
        </w:tabs>
        <w:jc w:val="both"/>
        <w:rPr>
          <w:b/>
          <w:bCs/>
          <w:szCs w:val="24"/>
          <w:lang w:val="en-GB"/>
        </w:rPr>
      </w:pPr>
      <w:r w:rsidRPr="00A34F10">
        <w:rPr>
          <w:b/>
          <w:bCs/>
          <w:szCs w:val="24"/>
          <w:lang w:val="en-GB"/>
        </w:rPr>
        <w:t>Contact test</w:t>
      </w:r>
    </w:p>
    <w:p w14:paraId="01D053A9" w14:textId="77777777" w:rsidR="00DC5685" w:rsidRPr="00A34F10" w:rsidRDefault="00DC5685" w:rsidP="00DC5685">
      <w:pPr>
        <w:keepNext/>
        <w:keepLines/>
        <w:tabs>
          <w:tab w:val="left" w:pos="720"/>
        </w:tabs>
        <w:jc w:val="both"/>
        <w:rPr>
          <w:szCs w:val="24"/>
          <w:lang w:val="en-GB"/>
        </w:rPr>
      </w:pPr>
      <w:r w:rsidRPr="00A34F10">
        <w:rPr>
          <w:szCs w:val="24"/>
          <w:lang w:val="en-GB"/>
        </w:rPr>
        <w:t xml:space="preserve">No mortality occurred in the control groups either treated with deionised water or tween solution after 48 hours. In the test item treatment, no mortality occurred after thoracic application of ≤ 1000 μg BAS 743 03 F/bee, after 48 hours. </w:t>
      </w:r>
    </w:p>
    <w:p w14:paraId="30263C2F" w14:textId="77777777" w:rsidR="00DC5685" w:rsidRPr="00A34F10" w:rsidRDefault="00DC5685" w:rsidP="00DC5685">
      <w:pPr>
        <w:keepNext/>
        <w:keepLines/>
        <w:tabs>
          <w:tab w:val="left" w:pos="720"/>
        </w:tabs>
        <w:jc w:val="both"/>
        <w:rPr>
          <w:szCs w:val="24"/>
          <w:lang w:val="en-GB"/>
        </w:rPr>
      </w:pPr>
      <w:r w:rsidRPr="00A34F10">
        <w:rPr>
          <w:szCs w:val="24"/>
          <w:lang w:val="en-GB"/>
        </w:rPr>
        <w:t>The LD</w:t>
      </w:r>
      <w:r w:rsidRPr="00A34F10">
        <w:rPr>
          <w:szCs w:val="24"/>
          <w:vertAlign w:val="subscript"/>
          <w:lang w:val="en-GB"/>
        </w:rPr>
        <w:t>50</w:t>
      </w:r>
      <w:r w:rsidRPr="00A34F10">
        <w:rPr>
          <w:szCs w:val="24"/>
          <w:lang w:val="en-GB"/>
        </w:rPr>
        <w:t xml:space="preserve"> (48 h) was &gt; 1000 μg BAS 743 03 F/bee that is corresponding to &gt; 464.9 μg total a.s./bee. </w:t>
      </w:r>
    </w:p>
    <w:p w14:paraId="45DF9CFC" w14:textId="643C6382" w:rsidR="00DC5685" w:rsidRPr="00A34F10" w:rsidRDefault="00DC5685" w:rsidP="00DC5685">
      <w:pPr>
        <w:tabs>
          <w:tab w:val="left" w:pos="720"/>
        </w:tabs>
        <w:jc w:val="both"/>
        <w:rPr>
          <w:szCs w:val="24"/>
          <w:lang w:val="en-GB"/>
        </w:rPr>
      </w:pPr>
      <w:r w:rsidRPr="00A34F10">
        <w:rPr>
          <w:szCs w:val="24"/>
          <w:lang w:val="en-GB"/>
        </w:rPr>
        <w:t>The 48-hour LD</w:t>
      </w:r>
      <w:r w:rsidRPr="00A34F10">
        <w:rPr>
          <w:szCs w:val="24"/>
          <w:vertAlign w:val="subscript"/>
          <w:lang w:val="en-GB"/>
        </w:rPr>
        <w:t>50</w:t>
      </w:r>
      <w:r w:rsidRPr="00A34F10">
        <w:rPr>
          <w:szCs w:val="24"/>
          <w:lang w:val="en-GB"/>
        </w:rPr>
        <w:t xml:space="preserve"> values are summarised in.</w:t>
      </w:r>
      <w:r w:rsidR="00950979">
        <w:rPr>
          <w:szCs w:val="24"/>
          <w:lang w:val="en-GB"/>
        </w:rPr>
        <w:fldChar w:fldCharType="begin"/>
      </w:r>
      <w:r w:rsidR="00950979">
        <w:rPr>
          <w:szCs w:val="24"/>
          <w:lang w:val="en-GB"/>
        </w:rPr>
        <w:instrText xml:space="preserve"> REF _Ref147907259 \h </w:instrText>
      </w:r>
      <w:r w:rsidR="00950979">
        <w:rPr>
          <w:szCs w:val="24"/>
          <w:lang w:val="en-GB"/>
        </w:rPr>
      </w:r>
      <w:r w:rsidR="00950979">
        <w:rPr>
          <w:szCs w:val="24"/>
          <w:lang w:val="en-GB"/>
        </w:rPr>
        <w:fldChar w:fldCharType="separate"/>
      </w:r>
      <w:r w:rsidR="006F0F3B">
        <w:t xml:space="preserve">Table A </w:t>
      </w:r>
      <w:r w:rsidR="006F0F3B">
        <w:rPr>
          <w:noProof/>
        </w:rPr>
        <w:t>37</w:t>
      </w:r>
      <w:r w:rsidR="00950979">
        <w:rPr>
          <w:szCs w:val="24"/>
          <w:lang w:val="en-GB"/>
        </w:rPr>
        <w:fldChar w:fldCharType="end"/>
      </w:r>
      <w:r w:rsidR="00993709">
        <w:rPr>
          <w:szCs w:val="24"/>
          <w:lang w:val="en-GB"/>
        </w:rPr>
        <w:t>.</w:t>
      </w:r>
      <w:r w:rsidRPr="00A34F10">
        <w:rPr>
          <w:szCs w:val="24"/>
          <w:lang w:val="en-GB"/>
        </w:rPr>
        <w:t xml:space="preserve"> </w:t>
      </w:r>
    </w:p>
    <w:p w14:paraId="2E964C16" w14:textId="77777777" w:rsidR="00DC5685" w:rsidRPr="00A34F10" w:rsidRDefault="00DC5685" w:rsidP="00DC5685">
      <w:pPr>
        <w:tabs>
          <w:tab w:val="left" w:pos="720"/>
        </w:tabs>
        <w:jc w:val="both"/>
        <w:rPr>
          <w:szCs w:val="24"/>
          <w:lang w:val="en-GB"/>
        </w:rPr>
      </w:pPr>
    </w:p>
    <w:p w14:paraId="56F1A7FB" w14:textId="77777777" w:rsidR="00DC5685" w:rsidRPr="00A34F10" w:rsidRDefault="00DC5685" w:rsidP="00DC5685">
      <w:pPr>
        <w:tabs>
          <w:tab w:val="left" w:pos="720"/>
        </w:tabs>
        <w:spacing w:after="240"/>
        <w:jc w:val="both"/>
        <w:rPr>
          <w:szCs w:val="24"/>
          <w:lang w:val="en-GB"/>
        </w:rPr>
      </w:pPr>
      <w:r w:rsidRPr="00A34F10">
        <w:rPr>
          <w:szCs w:val="24"/>
          <w:lang w:val="en-GB"/>
        </w:rPr>
        <w:t>The 24-hour LD</w:t>
      </w:r>
      <w:r w:rsidRPr="00A34F10">
        <w:rPr>
          <w:szCs w:val="24"/>
          <w:vertAlign w:val="subscript"/>
          <w:lang w:val="en-GB"/>
        </w:rPr>
        <w:t xml:space="preserve">50 </w:t>
      </w:r>
      <w:r w:rsidRPr="00A34F10">
        <w:rPr>
          <w:szCs w:val="24"/>
          <w:lang w:val="en-GB"/>
        </w:rPr>
        <w:t xml:space="preserve">for the reference item was determined to be 0.153 μg a.s./bee (95% confidence limits 0.141 – 0.165 μg a.s./bee). </w:t>
      </w:r>
    </w:p>
    <w:p w14:paraId="0FC626AC" w14:textId="72A044F1" w:rsidR="00DC5685" w:rsidRPr="00A34F10" w:rsidRDefault="00950979" w:rsidP="00950979">
      <w:pPr>
        <w:pStyle w:val="Legenda"/>
      </w:pPr>
      <w:bookmarkStart w:id="1090" w:name="_Ref147907259"/>
      <w:r>
        <w:t xml:space="preserve">Table A </w:t>
      </w:r>
      <w:r>
        <w:fldChar w:fldCharType="begin"/>
      </w:r>
      <w:r>
        <w:instrText xml:space="preserve"> SEQ Table_A \* ARABIC </w:instrText>
      </w:r>
      <w:r>
        <w:fldChar w:fldCharType="separate"/>
      </w:r>
      <w:r w:rsidR="006F0F3B">
        <w:rPr>
          <w:noProof/>
        </w:rPr>
        <w:t>37</w:t>
      </w:r>
      <w:r>
        <w:fldChar w:fldCharType="end"/>
      </w:r>
      <w:bookmarkEnd w:id="1090"/>
      <w:r w:rsidR="00DC5685" w:rsidRPr="00A34F10">
        <w:t>:</w:t>
      </w:r>
      <w:r w:rsidR="00DC5685" w:rsidRPr="00A34F10">
        <w:tab/>
        <w:t>LD</w:t>
      </w:r>
      <w:r w:rsidR="00DC5685" w:rsidRPr="00A34F10">
        <w:rPr>
          <w:vertAlign w:val="subscript"/>
        </w:rPr>
        <w:t>50</w:t>
      </w:r>
      <w:r w:rsidR="00DC5685" w:rsidRPr="00A34F10">
        <w:t xml:space="preserve"> values of the oral and contact toxicity tests with BAS </w:t>
      </w:r>
      <w:r w:rsidR="00DC5685" w:rsidRPr="00A34F10">
        <w:rPr>
          <w:szCs w:val="28"/>
        </w:rPr>
        <w:t>743</w:t>
      </w:r>
      <w:r w:rsidR="00DC5685" w:rsidRPr="00A34F10">
        <w:t xml:space="preserve"> 03 F and the honeybee </w:t>
      </w:r>
      <w:r w:rsidR="00DC5685" w:rsidRPr="00A34F10">
        <w:rPr>
          <w:i/>
          <w:iCs/>
        </w:rPr>
        <w:t xml:space="preserve">Apis mellifera </w:t>
      </w:r>
      <w:r w:rsidR="00DC5685" w:rsidRPr="00A34F10">
        <w:t xml:space="preserve">L. </w:t>
      </w:r>
    </w:p>
    <w:tbl>
      <w:tblPr>
        <w:tblStyle w:val="TableGrid1"/>
        <w:tblW w:w="0" w:type="auto"/>
        <w:tblInd w:w="-5" w:type="dxa"/>
        <w:tblLook w:val="04A0" w:firstRow="1" w:lastRow="0" w:firstColumn="1" w:lastColumn="0" w:noHBand="0" w:noVBand="1"/>
      </w:tblPr>
      <w:tblGrid>
        <w:gridCol w:w="2877"/>
        <w:gridCol w:w="3236"/>
        <w:gridCol w:w="3236"/>
      </w:tblGrid>
      <w:tr w:rsidR="00DC5685" w:rsidRPr="00A34F10" w14:paraId="277AA87A" w14:textId="77777777" w:rsidTr="000470C3">
        <w:trPr>
          <w:trHeight w:hRule="exact" w:val="340"/>
        </w:trPr>
        <w:tc>
          <w:tcPr>
            <w:tcW w:w="2879" w:type="dxa"/>
          </w:tcPr>
          <w:p w14:paraId="3FC649D5" w14:textId="77777777" w:rsidR="00DC5685" w:rsidRPr="00A34F10" w:rsidRDefault="00DC5685" w:rsidP="00DC5685">
            <w:pPr>
              <w:tabs>
                <w:tab w:val="left" w:pos="720"/>
              </w:tabs>
              <w:spacing w:after="240"/>
              <w:jc w:val="center"/>
              <w:rPr>
                <w:rFonts w:ascii="Times New Roman" w:hAnsi="Times New Roman"/>
                <w:b/>
                <w:bCs/>
                <w:sz w:val="20"/>
                <w:lang w:eastAsia="en-US"/>
              </w:rPr>
            </w:pPr>
          </w:p>
        </w:tc>
        <w:tc>
          <w:tcPr>
            <w:tcW w:w="3238" w:type="dxa"/>
          </w:tcPr>
          <w:p w14:paraId="350B56CF" w14:textId="77777777" w:rsidR="00DC5685" w:rsidRPr="00A34F10" w:rsidRDefault="00DC5685" w:rsidP="00DC5685">
            <w:pPr>
              <w:tabs>
                <w:tab w:val="left" w:pos="720"/>
              </w:tabs>
              <w:spacing w:after="240"/>
              <w:jc w:val="center"/>
              <w:rPr>
                <w:rFonts w:ascii="Times New Roman" w:hAnsi="Times New Roman"/>
                <w:b/>
                <w:bCs/>
                <w:sz w:val="20"/>
                <w:lang w:eastAsia="en-US"/>
              </w:rPr>
            </w:pPr>
            <w:r w:rsidRPr="00A34F10">
              <w:rPr>
                <w:rFonts w:ascii="Times New Roman" w:hAnsi="Times New Roman"/>
                <w:b/>
                <w:bCs/>
                <w:sz w:val="20"/>
                <w:lang w:eastAsia="en-US"/>
              </w:rPr>
              <w:t>Oral toxicity test</w:t>
            </w:r>
          </w:p>
        </w:tc>
        <w:tc>
          <w:tcPr>
            <w:tcW w:w="3238" w:type="dxa"/>
          </w:tcPr>
          <w:p w14:paraId="0F0E024B" w14:textId="77777777" w:rsidR="00DC5685" w:rsidRPr="00A34F10" w:rsidRDefault="00DC5685" w:rsidP="00DC5685">
            <w:pPr>
              <w:tabs>
                <w:tab w:val="left" w:pos="720"/>
              </w:tabs>
              <w:spacing w:after="240"/>
              <w:jc w:val="center"/>
              <w:rPr>
                <w:rFonts w:ascii="Times New Roman" w:hAnsi="Times New Roman"/>
                <w:b/>
                <w:bCs/>
                <w:sz w:val="20"/>
                <w:lang w:eastAsia="en-US"/>
              </w:rPr>
            </w:pPr>
            <w:r w:rsidRPr="00A34F10">
              <w:rPr>
                <w:rFonts w:ascii="Times New Roman" w:hAnsi="Times New Roman"/>
                <w:b/>
                <w:bCs/>
                <w:sz w:val="20"/>
                <w:lang w:eastAsia="en-US"/>
              </w:rPr>
              <w:t>Contact toxicity test</w:t>
            </w:r>
          </w:p>
        </w:tc>
      </w:tr>
      <w:tr w:rsidR="00DC5685" w:rsidRPr="00A34F10" w14:paraId="7AF0E1CF" w14:textId="77777777" w:rsidTr="000470C3">
        <w:trPr>
          <w:trHeight w:hRule="exact" w:val="340"/>
        </w:trPr>
        <w:tc>
          <w:tcPr>
            <w:tcW w:w="2879" w:type="dxa"/>
          </w:tcPr>
          <w:p w14:paraId="279E10C3"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48-hour LD</w:t>
            </w:r>
            <w:r w:rsidRPr="00A34F10">
              <w:rPr>
                <w:rFonts w:ascii="Times New Roman" w:hAnsi="Times New Roman"/>
                <w:sz w:val="20"/>
                <w:vertAlign w:val="subscript"/>
                <w:lang w:eastAsia="en-US"/>
              </w:rPr>
              <w:t>50</w:t>
            </w:r>
            <w:r w:rsidRPr="00A34F10">
              <w:rPr>
                <w:rFonts w:ascii="Times New Roman" w:hAnsi="Times New Roman"/>
                <w:sz w:val="20"/>
                <w:lang w:eastAsia="en-US"/>
              </w:rPr>
              <w:t xml:space="preserve"> (µg product/bee)</w:t>
            </w:r>
          </w:p>
        </w:tc>
        <w:tc>
          <w:tcPr>
            <w:tcW w:w="3238" w:type="dxa"/>
          </w:tcPr>
          <w:p w14:paraId="75F5C468"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&gt;816</w:t>
            </w:r>
          </w:p>
        </w:tc>
        <w:tc>
          <w:tcPr>
            <w:tcW w:w="3238" w:type="dxa"/>
          </w:tcPr>
          <w:p w14:paraId="707CB321"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&gt;1000</w:t>
            </w:r>
          </w:p>
        </w:tc>
      </w:tr>
      <w:tr w:rsidR="00DC5685" w:rsidRPr="00A34F10" w14:paraId="277EB5AC" w14:textId="77777777" w:rsidTr="000470C3">
        <w:trPr>
          <w:trHeight w:hRule="exact" w:val="340"/>
        </w:trPr>
        <w:tc>
          <w:tcPr>
            <w:tcW w:w="2879" w:type="dxa"/>
          </w:tcPr>
          <w:p w14:paraId="0613C6E7"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48-hour LD</w:t>
            </w:r>
            <w:r w:rsidRPr="00A34F10">
              <w:rPr>
                <w:rFonts w:ascii="Times New Roman" w:hAnsi="Times New Roman"/>
                <w:sz w:val="20"/>
                <w:vertAlign w:val="subscript"/>
                <w:lang w:eastAsia="en-US"/>
              </w:rPr>
              <w:t>50</w:t>
            </w:r>
            <w:r w:rsidRPr="00A34F10">
              <w:rPr>
                <w:rFonts w:ascii="Times New Roman" w:hAnsi="Times New Roman"/>
                <w:sz w:val="20"/>
                <w:lang w:eastAsia="en-US"/>
              </w:rPr>
              <w:t xml:space="preserve"> (µg total a.s./bee)</w:t>
            </w:r>
          </w:p>
        </w:tc>
        <w:tc>
          <w:tcPr>
            <w:tcW w:w="3238" w:type="dxa"/>
          </w:tcPr>
          <w:p w14:paraId="3FC23368"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&gt;379.5</w:t>
            </w:r>
          </w:p>
        </w:tc>
        <w:tc>
          <w:tcPr>
            <w:tcW w:w="3238" w:type="dxa"/>
          </w:tcPr>
          <w:p w14:paraId="183AEC0F" w14:textId="77777777" w:rsidR="00DC5685" w:rsidRPr="00A34F10" w:rsidRDefault="00DC5685" w:rsidP="00DC5685">
            <w:pPr>
              <w:tabs>
                <w:tab w:val="left" w:pos="720"/>
              </w:tabs>
              <w:spacing w:after="240"/>
              <w:jc w:val="center"/>
              <w:rPr>
                <w:rFonts w:ascii="Times New Roman" w:hAnsi="Times New Roman"/>
                <w:sz w:val="20"/>
                <w:lang w:eastAsia="en-US"/>
              </w:rPr>
            </w:pPr>
            <w:r w:rsidRPr="00A34F10">
              <w:rPr>
                <w:rFonts w:ascii="Times New Roman" w:hAnsi="Times New Roman"/>
                <w:sz w:val="20"/>
                <w:lang w:eastAsia="en-US"/>
              </w:rPr>
              <w:t>&gt; 464.9</w:t>
            </w:r>
          </w:p>
        </w:tc>
      </w:tr>
    </w:tbl>
    <w:p w14:paraId="430C4021" w14:textId="77777777" w:rsidR="00DC5685" w:rsidRPr="00A34F10" w:rsidRDefault="00DC5685" w:rsidP="00DC5685">
      <w:pPr>
        <w:tabs>
          <w:tab w:val="left" w:pos="0"/>
        </w:tabs>
        <w:contextualSpacing/>
        <w:rPr>
          <w:b/>
          <w:bCs/>
          <w:caps/>
          <w:szCs w:val="24"/>
          <w:highlight w:val="yellow"/>
          <w:lang w:val="en-GB"/>
        </w:rPr>
      </w:pPr>
    </w:p>
    <w:p w14:paraId="4805181E" w14:textId="77777777" w:rsidR="00DC5685" w:rsidRPr="00A34F10" w:rsidRDefault="00DC5685" w:rsidP="00DC5685">
      <w:pPr>
        <w:tabs>
          <w:tab w:val="left" w:pos="0"/>
        </w:tabs>
        <w:contextualSpacing/>
        <w:rPr>
          <w:b/>
          <w:bCs/>
          <w:caps/>
          <w:szCs w:val="24"/>
          <w:highlight w:val="yellow"/>
          <w:lang w:val="en-GB"/>
        </w:rPr>
      </w:pPr>
    </w:p>
    <w:p w14:paraId="067B007B"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D.</w:t>
      </w:r>
      <w:r w:rsidRPr="00A34F10">
        <w:rPr>
          <w:b/>
          <w:bCs/>
          <w:caps/>
          <w:szCs w:val="24"/>
          <w:lang w:val="en-GB"/>
        </w:rPr>
        <w:tab/>
        <w:t>VALIDITY CRITERIA</w:t>
      </w:r>
    </w:p>
    <w:p w14:paraId="37CE3066" w14:textId="77777777" w:rsidR="00DC5685" w:rsidRPr="00A34F10" w:rsidRDefault="00DC5685" w:rsidP="00DC5685">
      <w:pPr>
        <w:tabs>
          <w:tab w:val="left" w:pos="720"/>
        </w:tabs>
        <w:spacing w:after="240"/>
        <w:jc w:val="both"/>
        <w:rPr>
          <w:szCs w:val="24"/>
          <w:lang w:val="en-GB"/>
        </w:rPr>
      </w:pPr>
      <w:r w:rsidRPr="00A34F10">
        <w:rPr>
          <w:szCs w:val="24"/>
          <w:lang w:val="en-GB"/>
        </w:rPr>
        <w:t>All validity criteria were met.</w:t>
      </w:r>
    </w:p>
    <w:p w14:paraId="7C2377FE" w14:textId="706A5DAC" w:rsidR="00DC5685" w:rsidRPr="00A34F10" w:rsidRDefault="00993709" w:rsidP="00993709">
      <w:pPr>
        <w:pStyle w:val="Legenda"/>
        <w:rPr>
          <w:szCs w:val="28"/>
        </w:rPr>
      </w:pPr>
      <w:r>
        <w:t xml:space="preserve">Table A </w:t>
      </w:r>
      <w:r>
        <w:fldChar w:fldCharType="begin"/>
      </w:r>
      <w:r>
        <w:instrText xml:space="preserve"> SEQ Table_A \* ARABIC </w:instrText>
      </w:r>
      <w:r>
        <w:fldChar w:fldCharType="separate"/>
      </w:r>
      <w:r w:rsidR="006F0F3B">
        <w:rPr>
          <w:noProof/>
        </w:rPr>
        <w:t>38</w:t>
      </w:r>
      <w:r>
        <w:fldChar w:fldCharType="end"/>
      </w:r>
      <w:r w:rsidR="00DC5685" w:rsidRPr="00A34F10">
        <w:t>:</w:t>
      </w:r>
      <w:r w:rsidR="00DC5685" w:rsidRPr="00A34F10">
        <w:tab/>
      </w:r>
      <w:r w:rsidR="00DC5685" w:rsidRPr="00A34F10">
        <w:rPr>
          <w:szCs w:val="28"/>
        </w:rPr>
        <w:t>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536"/>
      </w:tblGrid>
      <w:tr w:rsidR="00DC5685" w:rsidRPr="00A34F10" w14:paraId="3C5F693A" w14:textId="77777777" w:rsidTr="000470C3">
        <w:trPr>
          <w:trHeight w:val="270"/>
          <w:tblHeader/>
        </w:trPr>
        <w:tc>
          <w:tcPr>
            <w:tcW w:w="4673" w:type="dxa"/>
            <w:shd w:val="clear" w:color="auto" w:fill="auto"/>
            <w:noWrap/>
          </w:tcPr>
          <w:p w14:paraId="77BF3B4A" w14:textId="77777777" w:rsidR="00DC5685" w:rsidRPr="00A34F10" w:rsidRDefault="00DC5685" w:rsidP="00DC5685">
            <w:pPr>
              <w:tabs>
                <w:tab w:val="left" w:pos="720"/>
              </w:tabs>
              <w:spacing w:before="40" w:after="40"/>
              <w:rPr>
                <w:b/>
                <w:bCs/>
                <w:lang w:val="en-GB"/>
              </w:rPr>
            </w:pPr>
            <w:r w:rsidRPr="00A34F10">
              <w:rPr>
                <w:b/>
                <w:bCs/>
                <w:lang w:val="en-GB"/>
              </w:rPr>
              <w:lastRenderedPageBreak/>
              <w:t xml:space="preserve">Validity criteria according to the study plan </w:t>
            </w:r>
          </w:p>
        </w:tc>
        <w:tc>
          <w:tcPr>
            <w:tcW w:w="4536" w:type="dxa"/>
            <w:shd w:val="clear" w:color="auto" w:fill="auto"/>
            <w:noWrap/>
          </w:tcPr>
          <w:p w14:paraId="7E5274FF" w14:textId="77777777" w:rsidR="00DC5685" w:rsidRPr="00A34F10" w:rsidRDefault="00DC5685" w:rsidP="00DC5685">
            <w:pPr>
              <w:tabs>
                <w:tab w:val="left" w:pos="720"/>
              </w:tabs>
              <w:spacing w:before="40" w:after="40"/>
              <w:rPr>
                <w:b/>
                <w:bCs/>
                <w:lang w:val="en-GB"/>
              </w:rPr>
            </w:pPr>
            <w:r w:rsidRPr="00A34F10">
              <w:rPr>
                <w:b/>
                <w:bCs/>
                <w:lang w:val="en-GB"/>
              </w:rPr>
              <w:t>Obtained in this study</w:t>
            </w:r>
          </w:p>
        </w:tc>
      </w:tr>
      <w:tr w:rsidR="00DC5685" w:rsidRPr="00A34F10" w14:paraId="50FEE58F" w14:textId="77777777" w:rsidTr="000470C3">
        <w:trPr>
          <w:trHeight w:val="270"/>
        </w:trPr>
        <w:tc>
          <w:tcPr>
            <w:tcW w:w="9209" w:type="dxa"/>
            <w:gridSpan w:val="2"/>
            <w:shd w:val="clear" w:color="auto" w:fill="auto"/>
            <w:noWrap/>
          </w:tcPr>
          <w:p w14:paraId="3354A306" w14:textId="77777777" w:rsidR="00DC5685" w:rsidRPr="00A34F10" w:rsidRDefault="00DC5685" w:rsidP="00DC5685">
            <w:pPr>
              <w:tabs>
                <w:tab w:val="left" w:pos="720"/>
              </w:tabs>
              <w:spacing w:before="40" w:after="40"/>
              <w:jc w:val="center"/>
              <w:rPr>
                <w:b/>
                <w:bCs/>
                <w:lang w:val="en-GB"/>
              </w:rPr>
            </w:pPr>
            <w:r w:rsidRPr="00A34F10">
              <w:rPr>
                <w:b/>
                <w:bCs/>
                <w:lang w:val="en-GB"/>
              </w:rPr>
              <w:t>Oral toxicity test</w:t>
            </w:r>
          </w:p>
        </w:tc>
      </w:tr>
      <w:tr w:rsidR="00DC5685" w:rsidRPr="00A34F10" w14:paraId="70CDF773" w14:textId="77777777" w:rsidTr="000470C3">
        <w:trPr>
          <w:trHeight w:val="270"/>
        </w:trPr>
        <w:tc>
          <w:tcPr>
            <w:tcW w:w="4673" w:type="dxa"/>
            <w:shd w:val="clear" w:color="auto" w:fill="auto"/>
            <w:noWrap/>
          </w:tcPr>
          <w:p w14:paraId="5DB98A9F"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control, mortality after 48 hours should be ≤10%</w:t>
            </w:r>
          </w:p>
        </w:tc>
        <w:tc>
          <w:tcPr>
            <w:tcW w:w="4536" w:type="dxa"/>
            <w:shd w:val="clear" w:color="auto" w:fill="auto"/>
            <w:noWrap/>
          </w:tcPr>
          <w:p w14:paraId="3207D047" w14:textId="77777777" w:rsidR="00DC5685" w:rsidRPr="00A34F10" w:rsidRDefault="00DC5685" w:rsidP="00DC5685">
            <w:pPr>
              <w:tabs>
                <w:tab w:val="left" w:pos="720"/>
              </w:tabs>
              <w:spacing w:before="40" w:after="40"/>
              <w:rPr>
                <w:lang w:val="en-GB"/>
              </w:rPr>
            </w:pPr>
            <w:r w:rsidRPr="00A34F10">
              <w:rPr>
                <w:lang w:val="en-GB"/>
              </w:rPr>
              <w:t xml:space="preserve">0.0% </w:t>
            </w:r>
          </w:p>
        </w:tc>
      </w:tr>
      <w:tr w:rsidR="00DC5685" w:rsidRPr="00A34F10" w14:paraId="0929137E" w14:textId="77777777" w:rsidTr="000470C3">
        <w:trPr>
          <w:trHeight w:val="270"/>
        </w:trPr>
        <w:tc>
          <w:tcPr>
            <w:tcW w:w="4673" w:type="dxa"/>
            <w:shd w:val="clear" w:color="auto" w:fill="auto"/>
            <w:noWrap/>
          </w:tcPr>
          <w:p w14:paraId="289AF7CE"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The 24-hour LD</w:t>
            </w:r>
            <w:r w:rsidRPr="00A34F10">
              <w:rPr>
                <w:rFonts w:eastAsia="Calibri"/>
                <w:vertAlign w:val="subscript"/>
                <w:lang w:val="en-GB"/>
              </w:rPr>
              <w:t>50</w:t>
            </w:r>
            <w:r w:rsidRPr="00A34F10">
              <w:rPr>
                <w:rFonts w:eastAsia="Calibri"/>
                <w:lang w:val="en-GB"/>
              </w:rPr>
              <w:t xml:space="preserve"> of the reference item should be between 0.10 – 0.35 µg a.s./bee</w:t>
            </w:r>
          </w:p>
        </w:tc>
        <w:tc>
          <w:tcPr>
            <w:tcW w:w="4536" w:type="dxa"/>
            <w:shd w:val="clear" w:color="auto" w:fill="auto"/>
            <w:noWrap/>
          </w:tcPr>
          <w:p w14:paraId="5C216B95" w14:textId="77777777" w:rsidR="00DC5685" w:rsidRPr="00A34F10" w:rsidRDefault="00DC5685" w:rsidP="00DC5685">
            <w:pPr>
              <w:tabs>
                <w:tab w:val="left" w:pos="720"/>
              </w:tabs>
              <w:spacing w:before="40" w:after="40"/>
              <w:rPr>
                <w:lang w:val="en-GB"/>
              </w:rPr>
            </w:pPr>
            <w:r w:rsidRPr="00A34F10">
              <w:rPr>
                <w:lang w:val="en-GB"/>
              </w:rPr>
              <w:t>0.105 µg a.s./bee</w:t>
            </w:r>
          </w:p>
        </w:tc>
      </w:tr>
      <w:tr w:rsidR="00DC5685" w:rsidRPr="00A34F10" w14:paraId="5498D014" w14:textId="77777777" w:rsidTr="000470C3">
        <w:trPr>
          <w:trHeight w:val="270"/>
        </w:trPr>
        <w:tc>
          <w:tcPr>
            <w:tcW w:w="9209" w:type="dxa"/>
            <w:gridSpan w:val="2"/>
            <w:shd w:val="clear" w:color="auto" w:fill="auto"/>
            <w:noWrap/>
          </w:tcPr>
          <w:p w14:paraId="07DD6C85" w14:textId="77777777" w:rsidR="00DC5685" w:rsidRPr="00A34F10" w:rsidRDefault="00DC5685" w:rsidP="00DC5685">
            <w:pPr>
              <w:tabs>
                <w:tab w:val="left" w:pos="720"/>
              </w:tabs>
              <w:spacing w:before="40" w:after="40"/>
              <w:jc w:val="center"/>
              <w:rPr>
                <w:b/>
                <w:bCs/>
                <w:lang w:val="en-GB"/>
              </w:rPr>
            </w:pPr>
            <w:r w:rsidRPr="00A34F10">
              <w:rPr>
                <w:b/>
                <w:bCs/>
                <w:lang w:val="en-GB"/>
              </w:rPr>
              <w:t>Contact toxicity test</w:t>
            </w:r>
          </w:p>
        </w:tc>
      </w:tr>
      <w:tr w:rsidR="00DC5685" w:rsidRPr="00A34F10" w14:paraId="6133D375" w14:textId="77777777" w:rsidTr="000470C3">
        <w:trPr>
          <w:trHeight w:val="270"/>
        </w:trPr>
        <w:tc>
          <w:tcPr>
            <w:tcW w:w="4673" w:type="dxa"/>
            <w:shd w:val="clear" w:color="auto" w:fill="auto"/>
            <w:noWrap/>
          </w:tcPr>
          <w:p w14:paraId="05737E17"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controls, mortality after 48 hours should be ≤10%</w:t>
            </w:r>
          </w:p>
        </w:tc>
        <w:tc>
          <w:tcPr>
            <w:tcW w:w="4536" w:type="dxa"/>
            <w:shd w:val="clear" w:color="auto" w:fill="auto"/>
            <w:noWrap/>
          </w:tcPr>
          <w:p w14:paraId="3AB8DE45" w14:textId="77777777" w:rsidR="00DC5685" w:rsidRPr="00A34F10" w:rsidRDefault="00DC5685" w:rsidP="00DC5685">
            <w:pPr>
              <w:tabs>
                <w:tab w:val="left" w:pos="720"/>
              </w:tabs>
              <w:spacing w:before="40" w:after="40"/>
              <w:rPr>
                <w:lang w:val="en-GB"/>
              </w:rPr>
            </w:pPr>
            <w:r w:rsidRPr="00A34F10">
              <w:rPr>
                <w:lang w:val="en-GB"/>
              </w:rPr>
              <w:t xml:space="preserve">0.0% in both controls </w:t>
            </w:r>
          </w:p>
        </w:tc>
      </w:tr>
      <w:tr w:rsidR="00DC5685" w:rsidRPr="00A34F10" w14:paraId="259744CE" w14:textId="77777777" w:rsidTr="000470C3">
        <w:trPr>
          <w:trHeight w:val="270"/>
        </w:trPr>
        <w:tc>
          <w:tcPr>
            <w:tcW w:w="4673" w:type="dxa"/>
            <w:shd w:val="clear" w:color="auto" w:fill="auto"/>
            <w:noWrap/>
          </w:tcPr>
          <w:p w14:paraId="1C4419E8" w14:textId="77777777" w:rsidR="00DC5685" w:rsidRPr="00A34F10" w:rsidRDefault="00DC5685" w:rsidP="00DC5685">
            <w:pPr>
              <w:tabs>
                <w:tab w:val="left" w:pos="720"/>
              </w:tabs>
              <w:autoSpaceDE w:val="0"/>
              <w:autoSpaceDN w:val="0"/>
              <w:adjustRightInd w:val="0"/>
              <w:spacing w:before="40" w:after="40"/>
              <w:rPr>
                <w:rFonts w:eastAsia="Calibri"/>
                <w:lang w:val="en-GB"/>
              </w:rPr>
            </w:pPr>
            <w:r w:rsidRPr="00A34F10">
              <w:rPr>
                <w:rFonts w:eastAsia="Calibri"/>
                <w:lang w:val="en-GB"/>
              </w:rPr>
              <w:t>In the contact toxicity test, the 24-hour LD</w:t>
            </w:r>
            <w:r w:rsidRPr="00A34F10">
              <w:rPr>
                <w:rFonts w:eastAsia="Calibri"/>
                <w:vertAlign w:val="subscript"/>
                <w:lang w:val="en-GB"/>
              </w:rPr>
              <w:t>50</w:t>
            </w:r>
            <w:r w:rsidRPr="00A34F10">
              <w:rPr>
                <w:rFonts w:eastAsia="Calibri"/>
                <w:lang w:val="en-GB"/>
              </w:rPr>
              <w:t xml:space="preserve"> of the reference item should be between 0.10 – 0.30 µg a.s./bee</w:t>
            </w:r>
          </w:p>
        </w:tc>
        <w:tc>
          <w:tcPr>
            <w:tcW w:w="4536" w:type="dxa"/>
            <w:shd w:val="clear" w:color="auto" w:fill="auto"/>
            <w:noWrap/>
          </w:tcPr>
          <w:p w14:paraId="7BA28A0E" w14:textId="77777777" w:rsidR="00DC5685" w:rsidRPr="00A34F10" w:rsidRDefault="00DC5685" w:rsidP="00DC5685">
            <w:pPr>
              <w:tabs>
                <w:tab w:val="left" w:pos="720"/>
              </w:tabs>
              <w:spacing w:before="40" w:after="40"/>
              <w:rPr>
                <w:lang w:val="en-GB"/>
              </w:rPr>
            </w:pPr>
            <w:r w:rsidRPr="00A34F10">
              <w:rPr>
                <w:lang w:val="en-GB"/>
              </w:rPr>
              <w:t>0.153 µg a.s./bee</w:t>
            </w:r>
          </w:p>
        </w:tc>
      </w:tr>
    </w:tbl>
    <w:p w14:paraId="37376748" w14:textId="77777777" w:rsidR="00DC5685" w:rsidRPr="00A34F10" w:rsidRDefault="00DC5685" w:rsidP="00DC5685">
      <w:pPr>
        <w:tabs>
          <w:tab w:val="left" w:pos="720"/>
        </w:tabs>
        <w:jc w:val="both"/>
        <w:rPr>
          <w:szCs w:val="24"/>
          <w:highlight w:val="yellow"/>
          <w:lang w:val="en-GB"/>
        </w:rPr>
      </w:pPr>
    </w:p>
    <w:p w14:paraId="0DD9D195"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E.</w:t>
      </w:r>
      <w:r w:rsidRPr="00A34F10">
        <w:rPr>
          <w:b/>
          <w:bCs/>
          <w:caps/>
          <w:szCs w:val="24"/>
          <w:lang w:val="en-GB"/>
        </w:rPr>
        <w:tab/>
        <w:t>DEFICIENCIES</w:t>
      </w:r>
    </w:p>
    <w:p w14:paraId="7849F460"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There were no deficiencies. </w:t>
      </w:r>
    </w:p>
    <w:p w14:paraId="4831105E" w14:textId="77777777" w:rsidR="00DC5685" w:rsidRDefault="00DC5685" w:rsidP="003347E3">
      <w:pPr>
        <w:tabs>
          <w:tab w:val="left" w:pos="720"/>
        </w:tabs>
        <w:spacing w:after="240"/>
        <w:contextualSpacing/>
        <w:jc w:val="center"/>
        <w:rPr>
          <w:b/>
          <w:bCs/>
          <w:caps/>
          <w:szCs w:val="24"/>
          <w:lang w:val="en-GB"/>
        </w:rPr>
      </w:pPr>
      <w:r w:rsidRPr="00A34F10">
        <w:rPr>
          <w:b/>
          <w:bCs/>
          <w:caps/>
          <w:szCs w:val="24"/>
          <w:lang w:val="en-GB"/>
        </w:rPr>
        <w:t>III.</w:t>
      </w:r>
      <w:r w:rsidRPr="00A34F10">
        <w:rPr>
          <w:b/>
          <w:bCs/>
          <w:caps/>
          <w:szCs w:val="24"/>
          <w:lang w:val="en-GB"/>
        </w:rPr>
        <w:tab/>
        <w:t>Conclusion</w:t>
      </w:r>
    </w:p>
    <w:p w14:paraId="4D7AB835" w14:textId="77777777" w:rsidR="003347E3" w:rsidRPr="00A34F10" w:rsidRDefault="003347E3" w:rsidP="003347E3">
      <w:pPr>
        <w:tabs>
          <w:tab w:val="left" w:pos="720"/>
        </w:tabs>
        <w:spacing w:after="240"/>
        <w:contextualSpacing/>
        <w:jc w:val="center"/>
        <w:rPr>
          <w:b/>
          <w:bCs/>
          <w:caps/>
          <w:szCs w:val="24"/>
          <w:lang w:val="en-GB"/>
        </w:rPr>
      </w:pPr>
    </w:p>
    <w:p w14:paraId="1D4DCBFA" w14:textId="7B59FAF0" w:rsidR="00DC5685" w:rsidRPr="00A34F10" w:rsidRDefault="00DC5685" w:rsidP="00DC5685">
      <w:pPr>
        <w:tabs>
          <w:tab w:val="left" w:pos="720"/>
        </w:tabs>
        <w:spacing w:after="240"/>
        <w:jc w:val="both"/>
        <w:rPr>
          <w:szCs w:val="24"/>
          <w:lang w:val="en-GB"/>
        </w:rPr>
      </w:pPr>
      <w:r w:rsidRPr="00A34F10">
        <w:rPr>
          <w:szCs w:val="24"/>
          <w:lang w:val="en-GB"/>
        </w:rPr>
        <w:t xml:space="preserve">The acute contact and oral toxicity of BAS 743 03 F was tested on honeybees under laboratory conditions over 48 hours. </w:t>
      </w:r>
    </w:p>
    <w:p w14:paraId="4C9709E4" w14:textId="77777777" w:rsidR="00DC5685" w:rsidRPr="00A34F10" w:rsidRDefault="00DC5685" w:rsidP="00DC5685">
      <w:pPr>
        <w:tabs>
          <w:tab w:val="left" w:pos="720"/>
        </w:tabs>
        <w:spacing w:after="240"/>
        <w:jc w:val="both"/>
        <w:rPr>
          <w:szCs w:val="24"/>
          <w:lang w:val="en-GB"/>
        </w:rPr>
      </w:pPr>
      <w:r w:rsidRPr="00A34F10">
        <w:rPr>
          <w:szCs w:val="24"/>
          <w:lang w:val="en-GB"/>
        </w:rPr>
        <w:t>In the contact toxicity test, no mortality occurred in the control groups either treated with deionised water or 1 % v/v tween solution. In the test item treatment, no mortality was observed after thoracic application of ≤ 1000 μg BAS 743 03 F/bee, after 48 hours. The LD</w:t>
      </w:r>
      <w:r w:rsidRPr="00A34F10">
        <w:rPr>
          <w:szCs w:val="24"/>
          <w:vertAlign w:val="subscript"/>
          <w:lang w:val="en-GB"/>
        </w:rPr>
        <w:t>50</w:t>
      </w:r>
      <w:r w:rsidRPr="00A34F10">
        <w:rPr>
          <w:szCs w:val="24"/>
          <w:lang w:val="en-GB"/>
        </w:rPr>
        <w:t xml:space="preserve"> (48 h) was &gt; 1000 μg BAS 743 03 F/bee, corresponding to &gt; 464.9 μg total a.s./bee. </w:t>
      </w:r>
    </w:p>
    <w:p w14:paraId="59634206" w14:textId="2AA7C005" w:rsidR="00DC5685" w:rsidRDefault="00DC5685" w:rsidP="00DC5685">
      <w:pPr>
        <w:tabs>
          <w:tab w:val="left" w:pos="720"/>
        </w:tabs>
        <w:spacing w:after="240"/>
        <w:jc w:val="both"/>
        <w:rPr>
          <w:szCs w:val="24"/>
          <w:lang w:val="en-GB"/>
        </w:rPr>
      </w:pPr>
      <w:r w:rsidRPr="00A34F10">
        <w:rPr>
          <w:szCs w:val="24"/>
          <w:lang w:val="en-GB"/>
        </w:rPr>
        <w:t>In the oral toxicity test, no mortality occurred in the control group fed with pure 50 % w/v sucrose solution. In the test item treatment, statistically significant mortality of 20.0 % was observed after oral consumption of 816 μg BAS 743 02 F/bee, after 48 hours. The LD</w:t>
      </w:r>
      <w:r w:rsidRPr="00A34F10">
        <w:rPr>
          <w:szCs w:val="24"/>
          <w:vertAlign w:val="subscript"/>
          <w:lang w:val="en-GB"/>
        </w:rPr>
        <w:t>50</w:t>
      </w:r>
      <w:r w:rsidRPr="00A34F10">
        <w:rPr>
          <w:szCs w:val="24"/>
          <w:lang w:val="en-GB"/>
        </w:rPr>
        <w:t xml:space="preserve"> (48 h) was &gt; 816 μg BAS 743 02 F/bee, corresponding to &gt; 379.5 μg total a.s./bee.</w:t>
      </w:r>
    </w:p>
    <w:p w14:paraId="007E4A60" w14:textId="07F7EE17" w:rsidR="00067435" w:rsidRDefault="00067435" w:rsidP="00DC5685">
      <w:pPr>
        <w:tabs>
          <w:tab w:val="left" w:pos="720"/>
        </w:tabs>
        <w:spacing w:after="240"/>
        <w:jc w:val="both"/>
        <w:rPr>
          <w:szCs w:val="24"/>
          <w:lang w:val="en-GB"/>
        </w:rPr>
      </w:pPr>
    </w:p>
    <w:p w14:paraId="49498D3F" w14:textId="77777777" w:rsidR="003347E3" w:rsidRDefault="003347E3">
      <w:pPr>
        <w:rPr>
          <w:b/>
          <w:sz w:val="24"/>
        </w:rPr>
      </w:pPr>
      <w:r>
        <w:br w:type="page"/>
      </w:r>
    </w:p>
    <w:p w14:paraId="33585E05" w14:textId="6B62D31A" w:rsidR="00067435" w:rsidRDefault="00067435" w:rsidP="00067435">
      <w:pPr>
        <w:pStyle w:val="RepAppendix6"/>
      </w:pPr>
      <w:r w:rsidRPr="008848C3">
        <w:lastRenderedPageBreak/>
        <w:t xml:space="preserve">Study </w:t>
      </w:r>
      <w:r>
        <w:t>3</w:t>
      </w:r>
    </w:p>
    <w:p w14:paraId="6C24B345" w14:textId="34A9DC11" w:rsidR="009E4D00" w:rsidRDefault="00D007AB" w:rsidP="009E4D00">
      <w:pPr>
        <w:pStyle w:val="RepStandard"/>
      </w:pPr>
      <w:r>
        <w:t>XXXX</w:t>
      </w:r>
      <w:r w:rsidR="009E4D00">
        <w:t xml:space="preserve"> ha</w:t>
      </w:r>
      <w:r w:rsidR="00CB27D0">
        <w:t>ve</w:t>
      </w:r>
      <w:r w:rsidR="009E4D00">
        <w:t xml:space="preserve"> a Letter of Access allowing them to rely on this study</w:t>
      </w:r>
    </w:p>
    <w:p w14:paraId="7805E84A" w14:textId="77777777" w:rsidR="009E4D00" w:rsidRPr="009E4D00" w:rsidRDefault="009E4D00" w:rsidP="009E4D00">
      <w:pPr>
        <w:pStyle w:val="RepStandard"/>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067435" w:rsidRPr="00151C5B" w14:paraId="43E00C52" w14:textId="77777777" w:rsidTr="003347E3">
        <w:trPr>
          <w:trHeight w:val="412"/>
        </w:trPr>
        <w:tc>
          <w:tcPr>
            <w:tcW w:w="1063" w:type="pct"/>
            <w:shd w:val="clear" w:color="auto" w:fill="D9D9D9" w:themeFill="background1" w:themeFillShade="D9"/>
          </w:tcPr>
          <w:p w14:paraId="601BB5B0" w14:textId="77777777" w:rsidR="00067435" w:rsidRPr="00151C5B" w:rsidRDefault="00067435" w:rsidP="00026175">
            <w:pPr>
              <w:widowControl w:val="0"/>
              <w:suppressAutoHyphens/>
              <w:rPr>
                <w:rFonts w:eastAsia="Batang"/>
              </w:rPr>
            </w:pPr>
            <w:r w:rsidRPr="00151C5B">
              <w:t>Comments of zRMS:</w:t>
            </w:r>
          </w:p>
        </w:tc>
        <w:tc>
          <w:tcPr>
            <w:tcW w:w="3937" w:type="pct"/>
            <w:shd w:val="clear" w:color="auto" w:fill="D9D9D9" w:themeFill="background1" w:themeFillShade="D9"/>
          </w:tcPr>
          <w:p w14:paraId="221612E8" w14:textId="03EF62A8" w:rsidR="00067435" w:rsidRPr="00151C5B" w:rsidRDefault="003D00A3" w:rsidP="00026175">
            <w:pPr>
              <w:widowControl w:val="0"/>
              <w:suppressAutoHyphens/>
              <w:ind w:left="85"/>
              <w:rPr>
                <w:rFonts w:eastAsia="Batang"/>
              </w:rPr>
            </w:pPr>
            <w:r>
              <w:t>Study not evalu</w:t>
            </w:r>
            <w:r w:rsidR="00C75963">
              <w:t>a</w:t>
            </w:r>
            <w:r>
              <w:t>ted.</w:t>
            </w:r>
            <w:fldSimple w:instr=" FORMTEXT "/>
          </w:p>
        </w:tc>
      </w:tr>
    </w:tbl>
    <w:p w14:paraId="05458EEB" w14:textId="77777777" w:rsidR="00067435" w:rsidRPr="00151C5B" w:rsidRDefault="00067435" w:rsidP="00067435">
      <w:pPr>
        <w:suppressAutoHyphens/>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067435" w:rsidRPr="009B5674" w14:paraId="1AC16B1D" w14:textId="77777777" w:rsidTr="00026175">
        <w:trPr>
          <w:gridAfter w:val="1"/>
          <w:wAfter w:w="9" w:type="pct"/>
        </w:trPr>
        <w:tc>
          <w:tcPr>
            <w:tcW w:w="1340" w:type="pct"/>
            <w:shd w:val="clear" w:color="auto" w:fill="auto"/>
          </w:tcPr>
          <w:p w14:paraId="58887AC7" w14:textId="77777777" w:rsidR="00067435" w:rsidRPr="009B5674" w:rsidRDefault="00067435" w:rsidP="00026175">
            <w:pPr>
              <w:widowControl w:val="0"/>
            </w:pPr>
            <w:r w:rsidRPr="009B5674">
              <w:t>Reference:</w:t>
            </w:r>
          </w:p>
        </w:tc>
        <w:tc>
          <w:tcPr>
            <w:tcW w:w="3651" w:type="pct"/>
            <w:shd w:val="clear" w:color="auto" w:fill="auto"/>
          </w:tcPr>
          <w:p w14:paraId="06DB00FC" w14:textId="01D777FA" w:rsidR="00067435" w:rsidRPr="009B5674" w:rsidRDefault="00492133" w:rsidP="00026175">
            <w:pPr>
              <w:widowControl w:val="0"/>
            </w:pPr>
            <w:r>
              <w:t>None</w:t>
            </w:r>
          </w:p>
        </w:tc>
      </w:tr>
      <w:tr w:rsidR="00067435" w:rsidRPr="009B5674" w14:paraId="19CD6421" w14:textId="77777777" w:rsidTr="00026175">
        <w:trPr>
          <w:gridAfter w:val="1"/>
          <w:wAfter w:w="9" w:type="pct"/>
        </w:trPr>
        <w:tc>
          <w:tcPr>
            <w:tcW w:w="1340" w:type="pct"/>
            <w:shd w:val="clear" w:color="auto" w:fill="auto"/>
          </w:tcPr>
          <w:p w14:paraId="0936E76B" w14:textId="77777777" w:rsidR="00067435" w:rsidRPr="009B5674" w:rsidRDefault="00067435" w:rsidP="00026175">
            <w:pPr>
              <w:widowControl w:val="0"/>
              <w:spacing w:after="120"/>
            </w:pPr>
            <w:r w:rsidRPr="009B5674">
              <w:t>Report</w:t>
            </w:r>
          </w:p>
        </w:tc>
        <w:tc>
          <w:tcPr>
            <w:tcW w:w="3651" w:type="pct"/>
            <w:shd w:val="clear" w:color="auto" w:fill="auto"/>
          </w:tcPr>
          <w:p w14:paraId="1A58A9F9" w14:textId="77777777" w:rsidR="00067435" w:rsidRPr="00FC19A5" w:rsidRDefault="00067435" w:rsidP="00026175">
            <w:pPr>
              <w:keepNext/>
              <w:tabs>
                <w:tab w:val="left" w:pos="360"/>
                <w:tab w:val="left" w:pos="720"/>
              </w:tabs>
              <w:spacing w:before="60" w:after="60"/>
              <w:rPr>
                <w:lang w:val="en-GB"/>
              </w:rPr>
            </w:pPr>
            <w:r w:rsidRPr="00FC19A5">
              <w:rPr>
                <w:lang w:val="en-GB"/>
              </w:rPr>
              <w:t>Effects of propamocarb-HCL tech. (Acute Contact and Oral)</w:t>
            </w:r>
          </w:p>
          <w:p w14:paraId="567D6E7A" w14:textId="77777777" w:rsidR="00067435" w:rsidRPr="00FC19A5" w:rsidRDefault="00067435" w:rsidP="00026175">
            <w:pPr>
              <w:keepNext/>
              <w:tabs>
                <w:tab w:val="left" w:pos="360"/>
                <w:tab w:val="left" w:pos="720"/>
              </w:tabs>
              <w:spacing w:before="60" w:after="60"/>
              <w:rPr>
                <w:lang w:val="en-GB"/>
              </w:rPr>
            </w:pPr>
            <w:r w:rsidRPr="00FC19A5">
              <w:rPr>
                <w:lang w:val="en-GB"/>
              </w:rPr>
              <w:t>on Honey Bees (</w:t>
            </w:r>
            <w:r w:rsidRPr="00FC19A5">
              <w:rPr>
                <w:i/>
                <w:iCs/>
                <w:lang w:val="en-GB"/>
              </w:rPr>
              <w:t>Apis mellifera</w:t>
            </w:r>
            <w:r w:rsidRPr="00FC19A5">
              <w:rPr>
                <w:lang w:val="en-GB"/>
              </w:rPr>
              <w:t xml:space="preserve"> L.) in the Laboratory</w:t>
            </w:r>
          </w:p>
          <w:p w14:paraId="250420EE" w14:textId="77777777" w:rsidR="00067435" w:rsidRPr="00FC19A5" w:rsidRDefault="00067435" w:rsidP="00026175">
            <w:pPr>
              <w:keepNext/>
              <w:tabs>
                <w:tab w:val="left" w:pos="360"/>
                <w:tab w:val="left" w:pos="720"/>
              </w:tabs>
              <w:spacing w:before="60" w:after="60"/>
            </w:pPr>
            <w:r w:rsidRPr="00FC19A5">
              <w:t>Schmitzer, S.., 2014</w:t>
            </w:r>
          </w:p>
          <w:p w14:paraId="25A72F46" w14:textId="3CA62582" w:rsidR="00067435" w:rsidRPr="00492133" w:rsidRDefault="00067435" w:rsidP="00492133">
            <w:pPr>
              <w:keepNext/>
              <w:tabs>
                <w:tab w:val="left" w:pos="360"/>
                <w:tab w:val="left" w:pos="720"/>
              </w:tabs>
              <w:spacing w:before="60" w:after="60"/>
            </w:pPr>
            <w:r w:rsidRPr="00FC19A5">
              <w:t>Project ID: 91721035</w:t>
            </w:r>
          </w:p>
        </w:tc>
      </w:tr>
      <w:tr w:rsidR="00067435" w:rsidRPr="009B5674" w14:paraId="16A38666" w14:textId="77777777" w:rsidTr="00026175">
        <w:trPr>
          <w:gridAfter w:val="1"/>
          <w:wAfter w:w="9" w:type="pct"/>
        </w:trPr>
        <w:tc>
          <w:tcPr>
            <w:tcW w:w="1340" w:type="pct"/>
            <w:shd w:val="clear" w:color="auto" w:fill="auto"/>
          </w:tcPr>
          <w:p w14:paraId="7786F557" w14:textId="77777777" w:rsidR="00067435" w:rsidRPr="009B5674" w:rsidRDefault="00067435" w:rsidP="00026175">
            <w:pPr>
              <w:widowControl w:val="0"/>
            </w:pPr>
            <w:r w:rsidRPr="009B5674">
              <w:t>Guideline(s):</w:t>
            </w:r>
          </w:p>
        </w:tc>
        <w:tc>
          <w:tcPr>
            <w:tcW w:w="3651" w:type="pct"/>
            <w:shd w:val="clear" w:color="auto" w:fill="auto"/>
          </w:tcPr>
          <w:p w14:paraId="0F7F0305" w14:textId="77777777" w:rsidR="00067435" w:rsidRPr="009B5674" w:rsidRDefault="00067435" w:rsidP="00026175">
            <w:pPr>
              <w:widowControl w:val="0"/>
            </w:pPr>
            <w:r w:rsidRPr="00FC19A5">
              <w:rPr>
                <w:lang w:val="en-GB"/>
              </w:rPr>
              <w:t>OECD 213 and 214 (1998)</w:t>
            </w:r>
          </w:p>
        </w:tc>
      </w:tr>
      <w:tr w:rsidR="00067435" w:rsidRPr="009B5674" w14:paraId="06B0A3BF" w14:textId="77777777" w:rsidTr="00026175">
        <w:trPr>
          <w:gridAfter w:val="1"/>
          <w:wAfter w:w="9" w:type="pct"/>
        </w:trPr>
        <w:tc>
          <w:tcPr>
            <w:tcW w:w="1340" w:type="pct"/>
            <w:shd w:val="clear" w:color="auto" w:fill="auto"/>
          </w:tcPr>
          <w:p w14:paraId="1A67B7A5" w14:textId="77777777" w:rsidR="00067435" w:rsidRPr="009B5674" w:rsidRDefault="00067435" w:rsidP="00026175">
            <w:pPr>
              <w:widowControl w:val="0"/>
            </w:pPr>
            <w:r w:rsidRPr="009B5674">
              <w:t>Deviations:</w:t>
            </w:r>
          </w:p>
        </w:tc>
        <w:tc>
          <w:tcPr>
            <w:tcW w:w="3651" w:type="pct"/>
            <w:shd w:val="clear" w:color="auto" w:fill="auto"/>
          </w:tcPr>
          <w:p w14:paraId="17FCFE73" w14:textId="77777777" w:rsidR="00067435" w:rsidRPr="00FC19A5" w:rsidRDefault="00067435" w:rsidP="00026175">
            <w:pPr>
              <w:keepNext/>
              <w:tabs>
                <w:tab w:val="left" w:pos="360"/>
                <w:tab w:val="left" w:pos="720"/>
              </w:tabs>
              <w:spacing w:before="60" w:after="60"/>
              <w:rPr>
                <w:lang w:val="en-GB"/>
              </w:rPr>
            </w:pPr>
            <w:r w:rsidRPr="00FC19A5">
              <w:rPr>
                <w:lang w:val="en-GB"/>
              </w:rPr>
              <w:t>Compared to OECD 213 and 2014 (1998):</w:t>
            </w:r>
          </w:p>
          <w:p w14:paraId="5FBA3C85" w14:textId="77777777" w:rsidR="00067435" w:rsidRPr="009B5674" w:rsidRDefault="00067435" w:rsidP="00026175">
            <w:pPr>
              <w:widowControl w:val="0"/>
              <w:spacing w:after="120"/>
              <w:rPr>
                <w:lang w:val="en-GB"/>
              </w:rPr>
            </w:pPr>
            <w:r w:rsidRPr="00FC19A5">
              <w:rPr>
                <w:lang w:val="en-GB"/>
              </w:rPr>
              <w:t>Humidity during the test exceeded the range of 50 – 70% (71%). This deviation is considered minor and has no influence on outcome and integrity of the study.</w:t>
            </w:r>
          </w:p>
        </w:tc>
      </w:tr>
      <w:tr w:rsidR="00067435" w:rsidRPr="009B5674" w14:paraId="16588A8F" w14:textId="77777777" w:rsidTr="00026175">
        <w:tc>
          <w:tcPr>
            <w:tcW w:w="1340" w:type="pct"/>
            <w:shd w:val="clear" w:color="auto" w:fill="auto"/>
          </w:tcPr>
          <w:p w14:paraId="4186794E" w14:textId="77777777" w:rsidR="00067435" w:rsidRPr="009B5674" w:rsidRDefault="00067435" w:rsidP="00026175">
            <w:pPr>
              <w:widowControl w:val="0"/>
            </w:pPr>
            <w:r w:rsidRPr="009B5674">
              <w:t>GLP:</w:t>
            </w:r>
          </w:p>
        </w:tc>
        <w:tc>
          <w:tcPr>
            <w:tcW w:w="3660" w:type="pct"/>
            <w:gridSpan w:val="2"/>
            <w:shd w:val="clear" w:color="auto" w:fill="auto"/>
          </w:tcPr>
          <w:p w14:paraId="5EE87189" w14:textId="619C7E8D" w:rsidR="00067435" w:rsidRPr="009B5674" w:rsidRDefault="006C550F" w:rsidP="00026175">
            <w:pPr>
              <w:tabs>
                <w:tab w:val="left" w:pos="425"/>
                <w:tab w:val="left" w:pos="850"/>
              </w:tabs>
              <w:spacing w:after="120"/>
              <w:ind w:left="1985" w:hanging="1985"/>
              <w:rPr>
                <w:b/>
              </w:rPr>
            </w:pPr>
            <w:r w:rsidRPr="009B5674">
              <w:t>Y</w:t>
            </w:r>
            <w:r w:rsidR="00067435" w:rsidRPr="009B5674">
              <w:t>es</w:t>
            </w:r>
          </w:p>
        </w:tc>
      </w:tr>
      <w:tr w:rsidR="00067435" w:rsidRPr="009B5674" w14:paraId="25162048" w14:textId="77777777" w:rsidTr="00026175">
        <w:trPr>
          <w:gridAfter w:val="1"/>
          <w:wAfter w:w="9" w:type="pct"/>
        </w:trPr>
        <w:tc>
          <w:tcPr>
            <w:tcW w:w="1340" w:type="pct"/>
            <w:shd w:val="clear" w:color="auto" w:fill="auto"/>
          </w:tcPr>
          <w:p w14:paraId="5DC8581B" w14:textId="77777777" w:rsidR="00067435" w:rsidRPr="009B5674" w:rsidRDefault="00067435" w:rsidP="00026175">
            <w:pPr>
              <w:widowControl w:val="0"/>
            </w:pPr>
            <w:r w:rsidRPr="009B5674">
              <w:t>Acceptability:</w:t>
            </w:r>
          </w:p>
        </w:tc>
        <w:tc>
          <w:tcPr>
            <w:tcW w:w="3651" w:type="pct"/>
            <w:shd w:val="clear" w:color="auto" w:fill="auto"/>
          </w:tcPr>
          <w:p w14:paraId="69E8DA93" w14:textId="77777777" w:rsidR="00067435" w:rsidRPr="009B5674" w:rsidRDefault="00067435" w:rsidP="00026175">
            <w:pPr>
              <w:widowControl w:val="0"/>
            </w:pPr>
            <w:r w:rsidRPr="009B5674">
              <w:t xml:space="preserve">Yes </w:t>
            </w:r>
          </w:p>
        </w:tc>
      </w:tr>
      <w:tr w:rsidR="00067435" w:rsidRPr="009B5674" w14:paraId="509C8F17" w14:textId="77777777" w:rsidTr="00026175">
        <w:trPr>
          <w:gridAfter w:val="1"/>
          <w:wAfter w:w="9" w:type="pct"/>
        </w:trPr>
        <w:tc>
          <w:tcPr>
            <w:tcW w:w="1340" w:type="pct"/>
            <w:shd w:val="clear" w:color="auto" w:fill="auto"/>
          </w:tcPr>
          <w:p w14:paraId="5CE12CB1" w14:textId="77777777" w:rsidR="00067435" w:rsidRPr="009B5674" w:rsidRDefault="00067435" w:rsidP="00026175">
            <w:pPr>
              <w:widowControl w:val="0"/>
            </w:pPr>
            <w:r w:rsidRPr="009B5674">
              <w:t xml:space="preserve">Duplication </w:t>
            </w:r>
            <w:r w:rsidRPr="009B5674">
              <w:br/>
              <w:t>(if vertebrate study)</w:t>
            </w:r>
          </w:p>
        </w:tc>
        <w:tc>
          <w:tcPr>
            <w:tcW w:w="3651" w:type="pct"/>
            <w:shd w:val="clear" w:color="auto" w:fill="auto"/>
          </w:tcPr>
          <w:p w14:paraId="457C6787" w14:textId="77777777" w:rsidR="00067435" w:rsidRPr="009B5674" w:rsidRDefault="00067435" w:rsidP="00026175">
            <w:pPr>
              <w:widowControl w:val="0"/>
              <w:spacing w:after="120"/>
            </w:pPr>
            <w:r w:rsidRPr="009B5674">
              <w:t xml:space="preserve">No </w:t>
            </w:r>
          </w:p>
        </w:tc>
      </w:tr>
    </w:tbl>
    <w:p w14:paraId="212A5886" w14:textId="77777777" w:rsidR="00067435" w:rsidRPr="002425D1" w:rsidRDefault="00067435" w:rsidP="00067435">
      <w:pPr>
        <w:pStyle w:val="OECDStandard"/>
        <w:rPr>
          <w:highlight w:val="yellow"/>
          <w:lang w:val="en-GB"/>
        </w:rPr>
      </w:pPr>
    </w:p>
    <w:p w14:paraId="7092C71F" w14:textId="77777777" w:rsidR="00067435" w:rsidRPr="008A231A" w:rsidRDefault="00067435" w:rsidP="00067435">
      <w:pPr>
        <w:pStyle w:val="OECDStandardboldleft"/>
        <w:rPr>
          <w:rFonts w:eastAsia="MS Mincho"/>
        </w:rPr>
      </w:pPr>
      <w:r w:rsidRPr="008A231A">
        <w:rPr>
          <w:rFonts w:eastAsia="MS Mincho"/>
        </w:rPr>
        <w:t>Executive Summary</w:t>
      </w:r>
    </w:p>
    <w:p w14:paraId="49EDE42D" w14:textId="7E3DA749" w:rsidR="00904A2D" w:rsidRDefault="00067435" w:rsidP="00067435">
      <w:pPr>
        <w:pStyle w:val="OECDStandard"/>
        <w:rPr>
          <w:lang w:val="en-GB"/>
        </w:rPr>
      </w:pPr>
      <w:r w:rsidRPr="008A231A">
        <w:rPr>
          <w:lang w:val="en-GB"/>
        </w:rPr>
        <w:t>The purpose of this study was to determine the acute oral and contact toxicity of propamocarb-HCL tech. to the honeybee (</w:t>
      </w:r>
      <w:r w:rsidRPr="008A231A">
        <w:rPr>
          <w:i/>
          <w:iCs/>
          <w:lang w:val="en-GB"/>
        </w:rPr>
        <w:t xml:space="preserve">Apis mellifera </w:t>
      </w:r>
      <w:r w:rsidRPr="008A231A">
        <w:rPr>
          <w:iCs/>
          <w:lang w:val="en-GB"/>
        </w:rPr>
        <w:t>L</w:t>
      </w:r>
      <w:r w:rsidRPr="008A231A">
        <w:rPr>
          <w:i/>
          <w:iCs/>
          <w:lang w:val="en-GB"/>
        </w:rPr>
        <w:t>.</w:t>
      </w:r>
      <w:r w:rsidRPr="008A231A">
        <w:rPr>
          <w:iCs/>
          <w:lang w:val="en-GB"/>
        </w:rPr>
        <w:t>)</w:t>
      </w:r>
      <w:r w:rsidRPr="008A231A">
        <w:rPr>
          <w:lang w:val="en-GB"/>
        </w:rPr>
        <w:t xml:space="preserve">. </w:t>
      </w:r>
      <w:bookmarkStart w:id="1091" w:name="_Hlk31374980"/>
      <w:r w:rsidRPr="008A231A">
        <w:rPr>
          <w:lang w:val="en-GB"/>
        </w:rPr>
        <w:t>Mortality of bees was used as the toxic endpoint. Sublethal effects, such as changes in behaviour, were assessed as well.</w:t>
      </w:r>
      <w:bookmarkEnd w:id="1091"/>
    </w:p>
    <w:p w14:paraId="46576C30" w14:textId="7C726088" w:rsidR="00DB6802" w:rsidRDefault="00067435" w:rsidP="00067435">
      <w:pPr>
        <w:pStyle w:val="OECDStandard"/>
        <w:rPr>
          <w:lang w:val="en-GB"/>
        </w:rPr>
      </w:pPr>
      <w:r w:rsidRPr="008A231A">
        <w:rPr>
          <w:lang w:val="en-GB"/>
        </w:rPr>
        <w:t xml:space="preserve">Under laboratory conditions a total of 10 worker bees per replicate (50 individuals per treatment group) were exposed to a single dose of 109.0 µg a.s. per bee </w:t>
      </w:r>
      <w:r w:rsidRPr="008A231A">
        <w:rPr>
          <w:iCs/>
          <w:lang w:val="en-GB"/>
        </w:rPr>
        <w:t>for</w:t>
      </w:r>
      <w:r w:rsidRPr="008A231A">
        <w:rPr>
          <w:lang w:val="en-GB"/>
        </w:rPr>
        <w:t xml:space="preserve"> 48 hours by topical application (contact limit test). Separate batches of 10 worker bees per replicate and treatment were exposed to a single dose of 122.1 µg a.s./bee by feeding application (oral limit test; value based on the actual intake of the test item).</w:t>
      </w:r>
      <w:bookmarkStart w:id="1092" w:name="_Hlk31375123"/>
      <w:r w:rsidRPr="008A231A">
        <w:rPr>
          <w:lang w:val="en-GB"/>
        </w:rPr>
        <w:t xml:space="preserve"> </w:t>
      </w:r>
      <w:bookmarkEnd w:id="1092"/>
    </w:p>
    <w:p w14:paraId="22DE3F1D" w14:textId="77777777" w:rsidR="00067435" w:rsidRPr="002425D1" w:rsidRDefault="00067435" w:rsidP="00067435">
      <w:pPr>
        <w:pStyle w:val="OECDStandard"/>
        <w:rPr>
          <w:highlight w:val="yellow"/>
          <w:lang w:val="en-GB"/>
        </w:rPr>
      </w:pPr>
      <w:bookmarkStart w:id="1093" w:name="_Hlk31375249"/>
      <w:r w:rsidRPr="008A231A">
        <w:rPr>
          <w:lang w:val="en-GB"/>
        </w:rPr>
        <w:t>The contact test comprised a water control group (tap water with 0.5 % Adhäsit). The oral test comprised a water control group (50 % w/w sucrose solution (in tap water))</w:t>
      </w:r>
      <w:bookmarkStart w:id="1094" w:name="_Hlk31375354"/>
      <w:bookmarkEnd w:id="1093"/>
      <w:r w:rsidRPr="008A231A">
        <w:rPr>
          <w:lang w:val="en-GB"/>
        </w:rPr>
        <w:t xml:space="preserve">. In both tests, a toxic reference item (dimethoate) was included. </w:t>
      </w:r>
      <w:bookmarkStart w:id="1095" w:name="_Hlk31375514"/>
      <w:bookmarkEnd w:id="1094"/>
    </w:p>
    <w:p w14:paraId="4327EE90" w14:textId="77777777" w:rsidR="00067435" w:rsidRPr="008A231A" w:rsidRDefault="00067435" w:rsidP="00067435">
      <w:pPr>
        <w:pStyle w:val="OECDStandard"/>
        <w:rPr>
          <w:lang w:val="en-GB" w:eastAsia="de-DE"/>
        </w:rPr>
      </w:pPr>
      <w:bookmarkStart w:id="1096" w:name="_Hlk31375662"/>
      <w:bookmarkEnd w:id="1095"/>
      <w:r w:rsidRPr="008A231A">
        <w:rPr>
          <w:lang w:val="en-GB"/>
        </w:rPr>
        <w:t xml:space="preserve">In the contact toxicity test the </w:t>
      </w:r>
      <w:bookmarkEnd w:id="1096"/>
      <w:r w:rsidRPr="008A231A">
        <w:rPr>
          <w:lang w:val="en-GB"/>
        </w:rPr>
        <w:t>LD</w:t>
      </w:r>
      <w:r w:rsidRPr="008A231A">
        <w:rPr>
          <w:vertAlign w:val="subscript"/>
          <w:lang w:val="en-GB"/>
        </w:rPr>
        <w:t xml:space="preserve">50 </w:t>
      </w:r>
      <w:r w:rsidRPr="008A231A">
        <w:rPr>
          <w:lang w:val="en-GB"/>
        </w:rPr>
        <w:t>value (48 h) of propamocarb-HCL tech was &gt; 109.0 µg a.s./bee</w:t>
      </w:r>
      <w:bookmarkStart w:id="1097" w:name="_Hlk31375734"/>
      <w:r w:rsidRPr="008A231A">
        <w:rPr>
          <w:lang w:val="en-GB"/>
        </w:rPr>
        <w:t xml:space="preserve">. </w:t>
      </w:r>
    </w:p>
    <w:p w14:paraId="6DF7D889" w14:textId="77777777" w:rsidR="00067435" w:rsidRPr="008A231A" w:rsidRDefault="00067435" w:rsidP="00067435">
      <w:pPr>
        <w:pStyle w:val="OECDStandard"/>
        <w:rPr>
          <w:lang w:val="en-GB"/>
        </w:rPr>
      </w:pPr>
      <w:r w:rsidRPr="008A231A">
        <w:rPr>
          <w:lang w:val="en-GB" w:eastAsia="de-DE"/>
        </w:rPr>
        <w:t xml:space="preserve">In </w:t>
      </w:r>
      <w:r w:rsidRPr="008A231A">
        <w:rPr>
          <w:lang w:val="en-GB"/>
        </w:rPr>
        <w:t>the oral toxicity test the LD</w:t>
      </w:r>
      <w:r w:rsidRPr="008A231A">
        <w:rPr>
          <w:vertAlign w:val="subscript"/>
          <w:lang w:val="en-GB"/>
        </w:rPr>
        <w:t>50</w:t>
      </w:r>
      <w:r w:rsidRPr="008A231A">
        <w:rPr>
          <w:lang w:val="en-GB"/>
        </w:rPr>
        <w:t xml:space="preserve"> value (48 h) was &gt; 122.1 </w:t>
      </w:r>
      <w:r w:rsidRPr="008A231A">
        <w:rPr>
          <w:lang w:val="en-GB" w:eastAsia="de-DE"/>
        </w:rPr>
        <w:t xml:space="preserve">µg a.s./bee. </w:t>
      </w:r>
    </w:p>
    <w:bookmarkEnd w:id="1097"/>
    <w:p w14:paraId="583AF1E2" w14:textId="77777777" w:rsidR="00067435" w:rsidRPr="0094553F" w:rsidRDefault="00067435" w:rsidP="00067435">
      <w:pPr>
        <w:pStyle w:val="OECDStandard"/>
        <w:rPr>
          <w:lang w:val="en-GB"/>
        </w:rPr>
      </w:pPr>
      <w:r w:rsidRPr="0094553F">
        <w:rPr>
          <w:lang w:val="en-GB"/>
        </w:rPr>
        <w:t>The study fulfils all validity criteria of current Guidelines OECD 213 (1998) and OECD 214 (1998).</w:t>
      </w:r>
    </w:p>
    <w:p w14:paraId="685E5D84" w14:textId="77777777" w:rsidR="00067435" w:rsidRPr="008A231A" w:rsidRDefault="00067435" w:rsidP="00067435">
      <w:pPr>
        <w:pStyle w:val="OECDStandard"/>
        <w:rPr>
          <w:lang w:val="en-GB"/>
        </w:rPr>
      </w:pPr>
    </w:p>
    <w:p w14:paraId="073678CF" w14:textId="77777777" w:rsidR="00067435" w:rsidRPr="008A231A" w:rsidRDefault="00067435" w:rsidP="00E05ECD">
      <w:pPr>
        <w:numPr>
          <w:ilvl w:val="0"/>
          <w:numId w:val="26"/>
        </w:numPr>
        <w:tabs>
          <w:tab w:val="left" w:pos="720"/>
        </w:tabs>
        <w:spacing w:after="240"/>
        <w:jc w:val="center"/>
        <w:rPr>
          <w:rFonts w:ascii="Times New Roman Bold" w:hAnsi="Times New Roman Bold"/>
          <w:b/>
          <w:bCs/>
          <w:caps/>
          <w:lang w:val="en-GB"/>
        </w:rPr>
      </w:pPr>
      <w:r w:rsidRPr="008A231A">
        <w:rPr>
          <w:rFonts w:ascii="Times New Roman Bold" w:hAnsi="Times New Roman Bold"/>
          <w:b/>
          <w:bCs/>
          <w:caps/>
          <w:lang w:val="en-GB"/>
        </w:rPr>
        <w:t>MATERIALS AND METHODS</w:t>
      </w:r>
    </w:p>
    <w:p w14:paraId="4FC5473C" w14:textId="77777777" w:rsidR="00067435" w:rsidRPr="008A231A" w:rsidRDefault="00067435" w:rsidP="00E05ECD">
      <w:pPr>
        <w:numPr>
          <w:ilvl w:val="0"/>
          <w:numId w:val="27"/>
        </w:numPr>
        <w:ind w:left="284" w:hanging="284"/>
        <w:contextualSpacing/>
        <w:rPr>
          <w:rFonts w:ascii="Times New Roman Bold" w:hAnsi="Times New Roman Bold"/>
          <w:b/>
          <w:bCs/>
          <w:caps/>
          <w:lang w:val="en-GB"/>
        </w:rPr>
      </w:pPr>
      <w:r w:rsidRPr="008A231A">
        <w:rPr>
          <w:rFonts w:ascii="Times New Roman Bold" w:hAnsi="Times New Roman Bold"/>
          <w:b/>
          <w:bCs/>
          <w:caps/>
          <w:lang w:val="en-GB"/>
        </w:rPr>
        <w:t>MATERIALS</w:t>
      </w:r>
    </w:p>
    <w:p w14:paraId="5E4A9ED0" w14:textId="77777777" w:rsidR="00067435" w:rsidRPr="008A231A" w:rsidRDefault="00067435" w:rsidP="00067435">
      <w:pPr>
        <w:ind w:left="284"/>
        <w:contextualSpacing/>
        <w:rPr>
          <w:rFonts w:ascii="Times New Roman Bold" w:hAnsi="Times New Roman Bold"/>
          <w:b/>
          <w:bCs/>
          <w:caps/>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067435" w:rsidRPr="00FC19A5" w14:paraId="04D6C699" w14:textId="77777777" w:rsidTr="00026175">
        <w:trPr>
          <w:cantSplit/>
          <w:trHeight w:hRule="exact" w:val="340"/>
        </w:trPr>
        <w:tc>
          <w:tcPr>
            <w:tcW w:w="3828" w:type="dxa"/>
          </w:tcPr>
          <w:p w14:paraId="6FBB7F7B" w14:textId="77777777" w:rsidR="00067435" w:rsidRPr="00FC19A5" w:rsidRDefault="00067435" w:rsidP="00026175">
            <w:pPr>
              <w:numPr>
                <w:ilvl w:val="6"/>
                <w:numId w:val="9"/>
              </w:numPr>
              <w:tabs>
                <w:tab w:val="clear" w:pos="2520"/>
                <w:tab w:val="left" w:pos="567"/>
              </w:tabs>
              <w:spacing w:after="240"/>
              <w:ind w:left="284" w:firstLine="0"/>
              <w:contextualSpacing/>
              <w:rPr>
                <w:rFonts w:ascii="Times New Roman" w:hAnsi="Times New Roman"/>
                <w:b/>
                <w:bCs/>
              </w:rPr>
            </w:pPr>
            <w:r w:rsidRPr="00FC19A5">
              <w:rPr>
                <w:rFonts w:ascii="Times New Roman" w:hAnsi="Times New Roman"/>
                <w:b/>
                <w:bCs/>
              </w:rPr>
              <w:t>Test item:</w:t>
            </w:r>
          </w:p>
        </w:tc>
        <w:tc>
          <w:tcPr>
            <w:tcW w:w="5522" w:type="dxa"/>
          </w:tcPr>
          <w:p w14:paraId="07167D6F"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lang w:val="pl-PL"/>
              </w:rPr>
              <w:t>Propamocarb-HCL tech.</w:t>
            </w:r>
          </w:p>
        </w:tc>
      </w:tr>
      <w:tr w:rsidR="00067435" w:rsidRPr="00FC19A5" w14:paraId="6966B2B1" w14:textId="77777777" w:rsidTr="00026175">
        <w:trPr>
          <w:cantSplit/>
          <w:trHeight w:hRule="exact" w:val="340"/>
        </w:trPr>
        <w:tc>
          <w:tcPr>
            <w:tcW w:w="3828" w:type="dxa"/>
          </w:tcPr>
          <w:p w14:paraId="3E8D82B2" w14:textId="77777777" w:rsidR="00067435" w:rsidRPr="00FC19A5" w:rsidRDefault="00067435" w:rsidP="00026175">
            <w:pPr>
              <w:tabs>
                <w:tab w:val="left" w:pos="709"/>
              </w:tabs>
              <w:spacing w:after="240"/>
              <w:ind w:left="567"/>
              <w:rPr>
                <w:rFonts w:ascii="Times New Roman" w:hAnsi="Times New Roman"/>
              </w:rPr>
            </w:pPr>
            <w:r w:rsidRPr="00FC19A5">
              <w:rPr>
                <w:rFonts w:ascii="Times New Roman" w:hAnsi="Times New Roman"/>
              </w:rPr>
              <w:t>Description:</w:t>
            </w:r>
          </w:p>
        </w:tc>
        <w:tc>
          <w:tcPr>
            <w:tcW w:w="5522" w:type="dxa"/>
          </w:tcPr>
          <w:p w14:paraId="55DBB975"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Liquid, colourless</w:t>
            </w:r>
          </w:p>
        </w:tc>
      </w:tr>
      <w:tr w:rsidR="00067435" w:rsidRPr="00FC19A5" w14:paraId="1CC14A55" w14:textId="77777777" w:rsidTr="00026175">
        <w:trPr>
          <w:cantSplit/>
          <w:trHeight w:hRule="exact" w:val="397"/>
        </w:trPr>
        <w:tc>
          <w:tcPr>
            <w:tcW w:w="3828" w:type="dxa"/>
          </w:tcPr>
          <w:p w14:paraId="23E20D70" w14:textId="77777777" w:rsidR="00067435" w:rsidRPr="00FC19A5" w:rsidRDefault="00067435" w:rsidP="00026175">
            <w:pPr>
              <w:tabs>
                <w:tab w:val="left" w:pos="624"/>
                <w:tab w:val="left" w:pos="709"/>
              </w:tabs>
              <w:spacing w:after="240"/>
              <w:ind w:left="567"/>
              <w:rPr>
                <w:rFonts w:ascii="Times New Roman" w:hAnsi="Times New Roman"/>
              </w:rPr>
            </w:pPr>
            <w:r w:rsidRPr="00FC19A5">
              <w:rPr>
                <w:rFonts w:ascii="Times New Roman" w:hAnsi="Times New Roman"/>
              </w:rPr>
              <w:t>Lot/Batch:</w:t>
            </w:r>
          </w:p>
        </w:tc>
        <w:tc>
          <w:tcPr>
            <w:tcW w:w="5522" w:type="dxa"/>
          </w:tcPr>
          <w:p w14:paraId="322A5310"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EK1C000648</w:t>
            </w:r>
          </w:p>
        </w:tc>
      </w:tr>
      <w:tr w:rsidR="00067435" w:rsidRPr="00FC19A5" w14:paraId="0F1D4838" w14:textId="77777777" w:rsidTr="00026175">
        <w:trPr>
          <w:cantSplit/>
          <w:trHeight w:hRule="exact" w:val="644"/>
        </w:trPr>
        <w:tc>
          <w:tcPr>
            <w:tcW w:w="3828" w:type="dxa"/>
          </w:tcPr>
          <w:p w14:paraId="3E4D573A" w14:textId="77777777" w:rsidR="00067435" w:rsidRPr="00FC19A5" w:rsidRDefault="00067435" w:rsidP="00026175">
            <w:pPr>
              <w:tabs>
                <w:tab w:val="left" w:pos="624"/>
                <w:tab w:val="left" w:pos="709"/>
              </w:tabs>
              <w:spacing w:after="240"/>
              <w:ind w:left="567"/>
              <w:rPr>
                <w:rFonts w:ascii="Times New Roman" w:hAnsi="Times New Roman"/>
              </w:rPr>
            </w:pPr>
            <w:r w:rsidRPr="00FC19A5">
              <w:rPr>
                <w:rFonts w:ascii="Times New Roman" w:hAnsi="Times New Roman"/>
              </w:rPr>
              <w:lastRenderedPageBreak/>
              <w:t>Active substance content:</w:t>
            </w:r>
          </w:p>
        </w:tc>
        <w:tc>
          <w:tcPr>
            <w:tcW w:w="5522" w:type="dxa"/>
          </w:tcPr>
          <w:p w14:paraId="38181653" w14:textId="77777777" w:rsidR="00067435" w:rsidRPr="00FC19A5" w:rsidRDefault="00067435" w:rsidP="00026175">
            <w:pPr>
              <w:tabs>
                <w:tab w:val="left" w:pos="720"/>
              </w:tabs>
              <w:spacing w:line="276" w:lineRule="auto"/>
              <w:rPr>
                <w:rFonts w:ascii="Times New Roman" w:hAnsi="Times New Roman"/>
              </w:rPr>
            </w:pPr>
            <w:r w:rsidRPr="00FC19A5">
              <w:rPr>
                <w:rFonts w:ascii="Times New Roman" w:hAnsi="Times New Roman"/>
              </w:rPr>
              <w:t>Propamocarb-hydrochloride (AE B066752): 70.1 % w/w (analytical)</w:t>
            </w:r>
          </w:p>
        </w:tc>
      </w:tr>
      <w:tr w:rsidR="00067435" w:rsidRPr="00FC19A5" w14:paraId="4A3D042B" w14:textId="77777777" w:rsidTr="00026175">
        <w:trPr>
          <w:cantSplit/>
          <w:trHeight w:hRule="exact" w:val="392"/>
        </w:trPr>
        <w:tc>
          <w:tcPr>
            <w:tcW w:w="3828" w:type="dxa"/>
          </w:tcPr>
          <w:p w14:paraId="71684C8E" w14:textId="77777777" w:rsidR="00067435" w:rsidRPr="00FC19A5" w:rsidRDefault="00067435" w:rsidP="00026175">
            <w:pPr>
              <w:tabs>
                <w:tab w:val="left" w:pos="624"/>
                <w:tab w:val="left" w:pos="709"/>
              </w:tabs>
              <w:spacing w:after="240"/>
              <w:ind w:left="567"/>
              <w:rPr>
                <w:rFonts w:ascii="Times New Roman" w:hAnsi="Times New Roman"/>
              </w:rPr>
            </w:pPr>
            <w:r w:rsidRPr="00FC19A5">
              <w:rPr>
                <w:rFonts w:ascii="Times New Roman" w:hAnsi="Times New Roman"/>
              </w:rPr>
              <w:t>Density:</w:t>
            </w:r>
          </w:p>
        </w:tc>
        <w:tc>
          <w:tcPr>
            <w:tcW w:w="5522" w:type="dxa"/>
          </w:tcPr>
          <w:p w14:paraId="494DD6FA" w14:textId="77777777" w:rsidR="00067435" w:rsidRPr="00FC19A5" w:rsidRDefault="00067435" w:rsidP="00026175">
            <w:pPr>
              <w:tabs>
                <w:tab w:val="left" w:pos="720"/>
              </w:tabs>
              <w:rPr>
                <w:rFonts w:ascii="Times New Roman" w:hAnsi="Times New Roman"/>
              </w:rPr>
            </w:pPr>
            <w:r w:rsidRPr="00FC19A5">
              <w:rPr>
                <w:rFonts w:ascii="Times New Roman" w:hAnsi="Times New Roman"/>
              </w:rPr>
              <w:t>1.09 g/mL (20 °C)</w:t>
            </w:r>
          </w:p>
        </w:tc>
      </w:tr>
      <w:tr w:rsidR="00067435" w:rsidRPr="00FC19A5" w14:paraId="3061B084" w14:textId="77777777" w:rsidTr="00026175">
        <w:trPr>
          <w:cantSplit/>
          <w:trHeight w:hRule="exact" w:val="340"/>
        </w:trPr>
        <w:tc>
          <w:tcPr>
            <w:tcW w:w="3828" w:type="dxa"/>
          </w:tcPr>
          <w:p w14:paraId="21D5CD2D" w14:textId="77777777" w:rsidR="00067435" w:rsidRPr="00FC19A5" w:rsidRDefault="00067435" w:rsidP="00026175">
            <w:pPr>
              <w:tabs>
                <w:tab w:val="left" w:pos="624"/>
                <w:tab w:val="left" w:pos="709"/>
              </w:tabs>
              <w:spacing w:after="240"/>
              <w:ind w:left="567"/>
              <w:rPr>
                <w:rFonts w:ascii="Times New Roman" w:hAnsi="Times New Roman"/>
              </w:rPr>
            </w:pPr>
            <w:r w:rsidRPr="00FC19A5">
              <w:rPr>
                <w:rFonts w:ascii="Times New Roman" w:hAnsi="Times New Roman"/>
              </w:rPr>
              <w:t>Storage conditions:</w:t>
            </w:r>
          </w:p>
        </w:tc>
        <w:tc>
          <w:tcPr>
            <w:tcW w:w="5522" w:type="dxa"/>
          </w:tcPr>
          <w:p w14:paraId="222CEBE0" w14:textId="77777777" w:rsidR="00067435" w:rsidRPr="00FC19A5" w:rsidRDefault="00067435" w:rsidP="00026175">
            <w:pPr>
              <w:tabs>
                <w:tab w:val="left" w:pos="720"/>
              </w:tabs>
              <w:rPr>
                <w:rFonts w:ascii="Times New Roman" w:hAnsi="Times New Roman"/>
              </w:rPr>
            </w:pPr>
            <w:r w:rsidRPr="00FC19A5">
              <w:rPr>
                <w:rFonts w:ascii="Times New Roman" w:hAnsi="Times New Roman"/>
                <w:lang w:eastAsia="de-DE"/>
              </w:rPr>
              <w:t>From 10 °C to 30 °C, under dark and dry conditions</w:t>
            </w:r>
          </w:p>
        </w:tc>
      </w:tr>
      <w:tr w:rsidR="00067435" w:rsidRPr="00FC19A5" w14:paraId="0226B121" w14:textId="77777777" w:rsidTr="00026175">
        <w:trPr>
          <w:cantSplit/>
          <w:trHeight w:hRule="exact" w:val="752"/>
        </w:trPr>
        <w:tc>
          <w:tcPr>
            <w:tcW w:w="3828" w:type="dxa"/>
          </w:tcPr>
          <w:p w14:paraId="2EBD7E03" w14:textId="77777777" w:rsidR="00067435" w:rsidRPr="00FC19A5" w:rsidRDefault="00067435" w:rsidP="00026175">
            <w:pPr>
              <w:tabs>
                <w:tab w:val="left" w:pos="624"/>
                <w:tab w:val="left" w:pos="709"/>
              </w:tabs>
              <w:spacing w:after="240"/>
              <w:ind w:left="567"/>
              <w:rPr>
                <w:rFonts w:ascii="Times New Roman" w:hAnsi="Times New Roman"/>
              </w:rPr>
            </w:pPr>
            <w:r w:rsidRPr="00FC19A5">
              <w:rPr>
                <w:rFonts w:ascii="Times New Roman" w:hAnsi="Times New Roman"/>
              </w:rPr>
              <w:t>Stability (expiry date):</w:t>
            </w:r>
          </w:p>
        </w:tc>
        <w:tc>
          <w:tcPr>
            <w:tcW w:w="5522" w:type="dxa"/>
          </w:tcPr>
          <w:p w14:paraId="36980C90" w14:textId="77777777" w:rsidR="00067435" w:rsidRPr="00FC19A5" w:rsidRDefault="00067435" w:rsidP="00026175">
            <w:pPr>
              <w:tabs>
                <w:tab w:val="left" w:pos="720"/>
              </w:tabs>
              <w:rPr>
                <w:rFonts w:ascii="Times New Roman" w:hAnsi="Times New Roman"/>
                <w:lang w:val="x-none"/>
              </w:rPr>
            </w:pPr>
            <w:r w:rsidRPr="00FC19A5">
              <w:rPr>
                <w:rFonts w:ascii="Times New Roman" w:hAnsi="Times New Roman"/>
              </w:rPr>
              <w:t>29.11.2015</w:t>
            </w:r>
          </w:p>
        </w:tc>
      </w:tr>
      <w:tr w:rsidR="00067435" w:rsidRPr="00FC19A5" w14:paraId="5B4E8497" w14:textId="77777777" w:rsidTr="00026175">
        <w:trPr>
          <w:cantSplit/>
          <w:trHeight w:hRule="exact" w:val="986"/>
        </w:trPr>
        <w:tc>
          <w:tcPr>
            <w:tcW w:w="3828" w:type="dxa"/>
          </w:tcPr>
          <w:p w14:paraId="2165F709" w14:textId="77777777" w:rsidR="00067435" w:rsidRPr="00FC19A5" w:rsidRDefault="00067435" w:rsidP="00026175">
            <w:pPr>
              <w:numPr>
                <w:ilvl w:val="6"/>
                <w:numId w:val="9"/>
              </w:numPr>
              <w:tabs>
                <w:tab w:val="clear" w:pos="2520"/>
                <w:tab w:val="left" w:pos="567"/>
              </w:tabs>
              <w:spacing w:after="240"/>
              <w:ind w:left="284" w:firstLine="0"/>
              <w:contextualSpacing/>
              <w:rPr>
                <w:rFonts w:ascii="Times New Roman" w:hAnsi="Times New Roman"/>
                <w:b/>
                <w:bCs/>
              </w:rPr>
            </w:pPr>
            <w:r w:rsidRPr="00FC19A5">
              <w:rPr>
                <w:rFonts w:ascii="Times New Roman" w:hAnsi="Times New Roman"/>
                <w:b/>
                <w:bCs/>
              </w:rPr>
              <w:t>Control:</w:t>
            </w:r>
          </w:p>
        </w:tc>
        <w:tc>
          <w:tcPr>
            <w:tcW w:w="5522" w:type="dxa"/>
          </w:tcPr>
          <w:p w14:paraId="5FC2E904" w14:textId="77777777" w:rsidR="00067435" w:rsidRPr="00FC19A5" w:rsidRDefault="00067435" w:rsidP="00026175">
            <w:pPr>
              <w:tabs>
                <w:tab w:val="left" w:pos="720"/>
              </w:tabs>
              <w:rPr>
                <w:rFonts w:ascii="Times New Roman" w:hAnsi="Times New Roman"/>
              </w:rPr>
            </w:pPr>
            <w:r w:rsidRPr="00FC19A5">
              <w:rPr>
                <w:rFonts w:ascii="Times New Roman" w:hAnsi="Times New Roman"/>
              </w:rPr>
              <w:t>Oral Test: 50 % w/v sucrose solution (500 g sucrose/L tap water)</w:t>
            </w:r>
          </w:p>
          <w:p w14:paraId="537219A4" w14:textId="77777777" w:rsidR="00067435" w:rsidRPr="00FC19A5" w:rsidRDefault="00067435" w:rsidP="00026175">
            <w:pPr>
              <w:tabs>
                <w:tab w:val="left" w:pos="720"/>
              </w:tabs>
              <w:rPr>
                <w:rFonts w:ascii="Times New Roman" w:hAnsi="Times New Roman"/>
              </w:rPr>
            </w:pPr>
            <w:r w:rsidRPr="00FC19A5">
              <w:rPr>
                <w:rFonts w:ascii="Times New Roman" w:hAnsi="Times New Roman"/>
              </w:rPr>
              <w:t>Contact Test: Tap water with 0.5 % Adhäsit* (applied after anesthetization with CO2)</w:t>
            </w:r>
          </w:p>
        </w:tc>
      </w:tr>
      <w:tr w:rsidR="00067435" w:rsidRPr="00FC19A5" w14:paraId="566F75B8" w14:textId="77777777" w:rsidTr="00026175">
        <w:trPr>
          <w:cantSplit/>
          <w:trHeight w:hRule="exact" w:val="644"/>
        </w:trPr>
        <w:tc>
          <w:tcPr>
            <w:tcW w:w="3828" w:type="dxa"/>
          </w:tcPr>
          <w:p w14:paraId="6E4170CA" w14:textId="77777777" w:rsidR="00067435" w:rsidRPr="00FC19A5" w:rsidRDefault="00067435" w:rsidP="00026175">
            <w:pPr>
              <w:numPr>
                <w:ilvl w:val="6"/>
                <w:numId w:val="9"/>
              </w:numPr>
              <w:tabs>
                <w:tab w:val="clear" w:pos="2520"/>
                <w:tab w:val="left" w:pos="567"/>
              </w:tabs>
              <w:spacing w:after="240"/>
              <w:ind w:left="284" w:firstLine="0"/>
              <w:contextualSpacing/>
              <w:rPr>
                <w:rFonts w:ascii="Times New Roman" w:hAnsi="Times New Roman"/>
                <w:b/>
                <w:bCs/>
              </w:rPr>
            </w:pPr>
            <w:r w:rsidRPr="00FC19A5">
              <w:rPr>
                <w:rFonts w:ascii="Times New Roman" w:hAnsi="Times New Roman"/>
                <w:b/>
                <w:bCs/>
              </w:rPr>
              <w:t>Reference item:</w:t>
            </w:r>
          </w:p>
        </w:tc>
        <w:tc>
          <w:tcPr>
            <w:tcW w:w="5522" w:type="dxa"/>
          </w:tcPr>
          <w:p w14:paraId="5F90F0B7"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 xml:space="preserve">Perfekthion EC (BAS 152 11 I), dimethoate: 400.0 g/L (nominal), 400.9 g/L (analytical) </w:t>
            </w:r>
          </w:p>
        </w:tc>
      </w:tr>
    </w:tbl>
    <w:p w14:paraId="0D03FA80" w14:textId="77777777" w:rsidR="00067435" w:rsidRPr="00FC19A5" w:rsidRDefault="00067435" w:rsidP="00067435">
      <w:pPr>
        <w:tabs>
          <w:tab w:val="left" w:pos="0"/>
        </w:tabs>
        <w:spacing w:after="240"/>
        <w:contextualSpacing/>
        <w:rPr>
          <w:b/>
          <w:bCs/>
          <w:caps/>
          <w:lang w:val="en-GB"/>
        </w:rPr>
      </w:pPr>
    </w:p>
    <w:p w14:paraId="6CADAE21" w14:textId="77777777" w:rsidR="00067435" w:rsidRPr="00FC19A5" w:rsidRDefault="00067435" w:rsidP="00E05ECD">
      <w:pPr>
        <w:numPr>
          <w:ilvl w:val="0"/>
          <w:numId w:val="27"/>
        </w:numPr>
        <w:ind w:left="284" w:hanging="284"/>
        <w:contextualSpacing/>
        <w:rPr>
          <w:b/>
          <w:bCs/>
          <w:caps/>
          <w:lang w:val="en-GB"/>
        </w:rPr>
      </w:pPr>
      <w:r w:rsidRPr="00FC19A5">
        <w:rPr>
          <w:b/>
          <w:bCs/>
          <w:caps/>
          <w:lang w:val="en-GB"/>
        </w:rPr>
        <w:t>study design and methods</w:t>
      </w:r>
    </w:p>
    <w:p w14:paraId="5DFE1994" w14:textId="77777777" w:rsidR="00067435" w:rsidRPr="00FC19A5" w:rsidRDefault="00067435" w:rsidP="00067435">
      <w:pPr>
        <w:contextualSpacing/>
        <w:rPr>
          <w:b/>
          <w:bCs/>
          <w:caps/>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5322"/>
      </w:tblGrid>
      <w:tr w:rsidR="00067435" w:rsidRPr="00FC19A5" w14:paraId="24CC352B" w14:textId="77777777" w:rsidTr="00026175">
        <w:trPr>
          <w:trHeight w:hRule="exact" w:val="340"/>
        </w:trPr>
        <w:tc>
          <w:tcPr>
            <w:tcW w:w="3750" w:type="dxa"/>
          </w:tcPr>
          <w:p w14:paraId="78282AB0" w14:textId="77777777" w:rsidR="00067435" w:rsidRPr="00FC19A5" w:rsidRDefault="00067435" w:rsidP="00E05ECD">
            <w:pPr>
              <w:numPr>
                <w:ilvl w:val="0"/>
                <w:numId w:val="115"/>
              </w:numPr>
              <w:tabs>
                <w:tab w:val="left" w:pos="255"/>
                <w:tab w:val="left" w:pos="284"/>
              </w:tabs>
              <w:spacing w:after="240"/>
              <w:ind w:left="350" w:firstLine="10"/>
              <w:contextualSpacing/>
              <w:rPr>
                <w:rFonts w:ascii="Times New Roman" w:hAnsi="Times New Roman"/>
                <w:b/>
                <w:bCs/>
              </w:rPr>
            </w:pPr>
            <w:r w:rsidRPr="00FC19A5">
              <w:rPr>
                <w:rFonts w:ascii="Times New Roman" w:hAnsi="Times New Roman"/>
                <w:b/>
                <w:bCs/>
              </w:rPr>
              <w:t>Test organism:</w:t>
            </w:r>
          </w:p>
        </w:tc>
        <w:tc>
          <w:tcPr>
            <w:tcW w:w="5322" w:type="dxa"/>
          </w:tcPr>
          <w:p w14:paraId="37FA9FAB"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i/>
                <w:iCs/>
              </w:rPr>
              <w:t xml:space="preserve">Apis mellifera </w:t>
            </w:r>
            <w:r w:rsidRPr="00FC19A5">
              <w:rPr>
                <w:rFonts w:ascii="Times New Roman" w:hAnsi="Times New Roman"/>
                <w:iCs/>
              </w:rPr>
              <w:t>L</w:t>
            </w:r>
          </w:p>
        </w:tc>
      </w:tr>
      <w:tr w:rsidR="00067435" w:rsidRPr="00FC19A5" w14:paraId="0D8C0752" w14:textId="77777777" w:rsidTr="00026175">
        <w:trPr>
          <w:trHeight w:hRule="exact" w:val="338"/>
        </w:trPr>
        <w:tc>
          <w:tcPr>
            <w:tcW w:w="3750" w:type="dxa"/>
          </w:tcPr>
          <w:p w14:paraId="4920887D"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Age:</w:t>
            </w:r>
          </w:p>
        </w:tc>
        <w:tc>
          <w:tcPr>
            <w:tcW w:w="5322" w:type="dxa"/>
          </w:tcPr>
          <w:p w14:paraId="00210366"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Adult worker bees</w:t>
            </w:r>
          </w:p>
        </w:tc>
      </w:tr>
      <w:tr w:rsidR="00067435" w:rsidRPr="00FC19A5" w14:paraId="6AD3FB6C" w14:textId="77777777" w:rsidTr="00026175">
        <w:trPr>
          <w:trHeight w:hRule="exact" w:val="365"/>
        </w:trPr>
        <w:tc>
          <w:tcPr>
            <w:tcW w:w="3750" w:type="dxa"/>
          </w:tcPr>
          <w:p w14:paraId="50018F29"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Source:</w:t>
            </w:r>
          </w:p>
        </w:tc>
        <w:tc>
          <w:tcPr>
            <w:tcW w:w="5322" w:type="dxa"/>
          </w:tcPr>
          <w:p w14:paraId="66DDECD8"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In-house culture, from disease-free and queen-right colonies</w:t>
            </w:r>
          </w:p>
        </w:tc>
      </w:tr>
      <w:tr w:rsidR="00067435" w:rsidRPr="00FC19A5" w14:paraId="4DA05C47" w14:textId="77777777" w:rsidTr="00026175">
        <w:trPr>
          <w:trHeight w:hRule="exact" w:val="428"/>
        </w:trPr>
        <w:tc>
          <w:tcPr>
            <w:tcW w:w="3750" w:type="dxa"/>
          </w:tcPr>
          <w:p w14:paraId="61616015"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 xml:space="preserve">Diet: </w:t>
            </w:r>
          </w:p>
        </w:tc>
        <w:tc>
          <w:tcPr>
            <w:tcW w:w="5322" w:type="dxa"/>
          </w:tcPr>
          <w:p w14:paraId="6FAFFD96" w14:textId="77777777" w:rsidR="00067435" w:rsidRPr="00FC19A5" w:rsidRDefault="00067435" w:rsidP="00026175">
            <w:pPr>
              <w:tabs>
                <w:tab w:val="left" w:pos="720"/>
              </w:tabs>
              <w:rPr>
                <w:rFonts w:ascii="Times New Roman" w:hAnsi="Times New Roman"/>
              </w:rPr>
            </w:pPr>
            <w:r w:rsidRPr="00FC19A5">
              <w:rPr>
                <w:rFonts w:ascii="Times New Roman" w:hAnsi="Times New Roman"/>
              </w:rPr>
              <w:t xml:space="preserve">50% w/v sucrose solution (500 g/L) </w:t>
            </w:r>
            <w:r w:rsidRPr="00FC19A5">
              <w:rPr>
                <w:rFonts w:ascii="Times New Roman" w:hAnsi="Times New Roman"/>
                <w:i/>
                <w:iCs/>
              </w:rPr>
              <w:t>ad libitum</w:t>
            </w:r>
          </w:p>
        </w:tc>
      </w:tr>
    </w:tbl>
    <w:p w14:paraId="21FC5BF4" w14:textId="72EBD1AB" w:rsidR="00C51B86" w:rsidRDefault="00C51B86"/>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5322"/>
      </w:tblGrid>
      <w:tr w:rsidR="00067435" w:rsidRPr="00FC19A5" w14:paraId="797F190E" w14:textId="77777777" w:rsidTr="00026175">
        <w:trPr>
          <w:trHeight w:hRule="exact" w:val="1138"/>
        </w:trPr>
        <w:tc>
          <w:tcPr>
            <w:tcW w:w="3750" w:type="dxa"/>
          </w:tcPr>
          <w:p w14:paraId="1C00E224" w14:textId="429D2760" w:rsidR="00067435" w:rsidRPr="00FC19A5" w:rsidRDefault="00067435" w:rsidP="00E05ECD">
            <w:pPr>
              <w:numPr>
                <w:ilvl w:val="0"/>
                <w:numId w:val="115"/>
              </w:numPr>
              <w:tabs>
                <w:tab w:val="left" w:pos="255"/>
                <w:tab w:val="left" w:pos="284"/>
              </w:tabs>
              <w:spacing w:after="240"/>
              <w:ind w:left="426" w:hanging="284"/>
              <w:contextualSpacing/>
              <w:rPr>
                <w:rFonts w:ascii="Times New Roman" w:hAnsi="Times New Roman"/>
                <w:b/>
                <w:bCs/>
              </w:rPr>
            </w:pPr>
            <w:r w:rsidRPr="00FC19A5">
              <w:rPr>
                <w:rFonts w:ascii="Times New Roman" w:hAnsi="Times New Roman"/>
                <w:b/>
                <w:bCs/>
              </w:rPr>
              <w:t>Test units:</w:t>
            </w:r>
          </w:p>
        </w:tc>
        <w:tc>
          <w:tcPr>
            <w:tcW w:w="5322" w:type="dxa"/>
          </w:tcPr>
          <w:p w14:paraId="68F04A74"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Stainless steel cages</w:t>
            </w:r>
            <w:r w:rsidRPr="00FC19A5">
              <w:rPr>
                <w:rFonts w:ascii="Times New Roman" w:hAnsi="Times New Roman"/>
                <w:lang w:val="x-none"/>
              </w:rPr>
              <w:t xml:space="preserve"> </w:t>
            </w:r>
            <w:r w:rsidRPr="00FC19A5">
              <w:rPr>
                <w:rFonts w:ascii="Times New Roman" w:hAnsi="Times New Roman"/>
              </w:rPr>
              <w:t xml:space="preserve">(10 cm x 8.5 cm x 5.5 cm) </w:t>
            </w:r>
            <w:r w:rsidRPr="00FC19A5">
              <w:rPr>
                <w:rFonts w:ascii="Times New Roman" w:hAnsi="Times New Roman"/>
                <w:lang w:val="x-none"/>
              </w:rPr>
              <w:t>with holes in the bottom for ventilation and a glass</w:t>
            </w:r>
            <w:r w:rsidRPr="00FC19A5">
              <w:rPr>
                <w:rFonts w:ascii="Times New Roman" w:hAnsi="Times New Roman"/>
              </w:rPr>
              <w:t xml:space="preserve"> </w:t>
            </w:r>
            <w:r w:rsidRPr="00FC19A5">
              <w:rPr>
                <w:rFonts w:ascii="Times New Roman" w:hAnsi="Times New Roman"/>
                <w:lang w:val="x-none"/>
              </w:rPr>
              <w:t>plate in front</w:t>
            </w:r>
            <w:r w:rsidRPr="00FC19A5">
              <w:rPr>
                <w:rFonts w:ascii="Times New Roman" w:hAnsi="Times New Roman"/>
              </w:rPr>
              <w:t>, lined with filter paper</w:t>
            </w:r>
          </w:p>
          <w:p w14:paraId="65653A00" w14:textId="77777777" w:rsidR="00067435" w:rsidRPr="00FC19A5" w:rsidRDefault="00067435" w:rsidP="00026175">
            <w:pPr>
              <w:tabs>
                <w:tab w:val="left" w:pos="720"/>
              </w:tabs>
              <w:spacing w:after="240"/>
              <w:rPr>
                <w:rFonts w:ascii="Times New Roman" w:hAnsi="Times New Roman"/>
                <w:lang w:val="x-none"/>
              </w:rPr>
            </w:pPr>
          </w:p>
          <w:p w14:paraId="776F077C" w14:textId="77777777" w:rsidR="00067435" w:rsidRPr="00FC19A5" w:rsidRDefault="00067435" w:rsidP="00026175">
            <w:pPr>
              <w:tabs>
                <w:tab w:val="left" w:pos="720"/>
              </w:tabs>
              <w:spacing w:after="240"/>
              <w:rPr>
                <w:rFonts w:ascii="Times New Roman" w:hAnsi="Times New Roman"/>
                <w:lang w:val="x-none"/>
              </w:rPr>
            </w:pPr>
          </w:p>
        </w:tc>
      </w:tr>
      <w:tr w:rsidR="00067435" w:rsidRPr="00FC19A5" w14:paraId="4D461325" w14:textId="77777777" w:rsidTr="00026175">
        <w:trPr>
          <w:trHeight w:hRule="exact" w:val="340"/>
        </w:trPr>
        <w:tc>
          <w:tcPr>
            <w:tcW w:w="3750" w:type="dxa"/>
          </w:tcPr>
          <w:p w14:paraId="1BF1156A" w14:textId="77777777" w:rsidR="00067435" w:rsidRPr="00FC19A5" w:rsidRDefault="00067435" w:rsidP="00E05ECD">
            <w:pPr>
              <w:numPr>
                <w:ilvl w:val="0"/>
                <w:numId w:val="115"/>
              </w:numPr>
              <w:tabs>
                <w:tab w:val="left" w:pos="255"/>
                <w:tab w:val="left" w:pos="284"/>
              </w:tabs>
              <w:spacing w:after="240"/>
              <w:ind w:left="426" w:hanging="284"/>
              <w:contextualSpacing/>
              <w:rPr>
                <w:rFonts w:ascii="Times New Roman" w:hAnsi="Times New Roman"/>
                <w:b/>
                <w:bCs/>
              </w:rPr>
            </w:pPr>
            <w:r w:rsidRPr="00FC19A5">
              <w:rPr>
                <w:rFonts w:ascii="Times New Roman" w:hAnsi="Times New Roman"/>
                <w:b/>
                <w:bCs/>
              </w:rPr>
              <w:t>Environmental conditions</w:t>
            </w:r>
          </w:p>
        </w:tc>
        <w:tc>
          <w:tcPr>
            <w:tcW w:w="5322" w:type="dxa"/>
          </w:tcPr>
          <w:p w14:paraId="0ACF4992" w14:textId="77777777" w:rsidR="00067435" w:rsidRPr="00FC19A5" w:rsidRDefault="00067435" w:rsidP="00026175">
            <w:pPr>
              <w:tabs>
                <w:tab w:val="left" w:pos="720"/>
              </w:tabs>
              <w:spacing w:after="240"/>
              <w:rPr>
                <w:rFonts w:ascii="Times New Roman" w:hAnsi="Times New Roman"/>
              </w:rPr>
            </w:pPr>
          </w:p>
        </w:tc>
      </w:tr>
      <w:tr w:rsidR="00067435" w:rsidRPr="00FC19A5" w14:paraId="3BF039F2" w14:textId="77777777" w:rsidTr="00026175">
        <w:trPr>
          <w:trHeight w:hRule="exact" w:val="340"/>
        </w:trPr>
        <w:tc>
          <w:tcPr>
            <w:tcW w:w="3750" w:type="dxa"/>
          </w:tcPr>
          <w:p w14:paraId="1459599F"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Temperature:</w:t>
            </w:r>
          </w:p>
        </w:tc>
        <w:tc>
          <w:tcPr>
            <w:tcW w:w="5322" w:type="dxa"/>
          </w:tcPr>
          <w:p w14:paraId="42CFE0CF"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24 - 25 °C; short-term deviations (&lt; 2 hours) are not reported</w:t>
            </w:r>
          </w:p>
        </w:tc>
      </w:tr>
      <w:tr w:rsidR="00067435" w:rsidRPr="00FC19A5" w14:paraId="4016F902" w14:textId="77777777" w:rsidTr="00026175">
        <w:trPr>
          <w:trHeight w:hRule="exact" w:val="356"/>
        </w:trPr>
        <w:tc>
          <w:tcPr>
            <w:tcW w:w="3750" w:type="dxa"/>
          </w:tcPr>
          <w:p w14:paraId="09EBBD1A"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Relative humidity:</w:t>
            </w:r>
          </w:p>
        </w:tc>
        <w:tc>
          <w:tcPr>
            <w:tcW w:w="5322" w:type="dxa"/>
          </w:tcPr>
          <w:p w14:paraId="33C24D29" w14:textId="77777777" w:rsidR="00067435" w:rsidRPr="00FC19A5" w:rsidRDefault="00067435" w:rsidP="00026175">
            <w:pPr>
              <w:tabs>
                <w:tab w:val="left" w:pos="720"/>
              </w:tabs>
              <w:spacing w:after="240"/>
              <w:rPr>
                <w:rFonts w:ascii="Times New Roman" w:hAnsi="Times New Roman"/>
              </w:rPr>
            </w:pPr>
            <w:r w:rsidRPr="00FC19A5">
              <w:rPr>
                <w:rFonts w:ascii="Times New Roman" w:hAnsi="Times New Roman"/>
              </w:rPr>
              <w:t>51 - 72 %; short-term deviations (&lt; 2 hours) are not reported</w:t>
            </w:r>
          </w:p>
        </w:tc>
      </w:tr>
      <w:tr w:rsidR="00067435" w:rsidRPr="00FC19A5" w14:paraId="403045B8" w14:textId="77777777" w:rsidTr="00026175">
        <w:trPr>
          <w:trHeight w:hRule="exact" w:val="545"/>
        </w:trPr>
        <w:tc>
          <w:tcPr>
            <w:tcW w:w="3750" w:type="dxa"/>
            <w:shd w:val="clear" w:color="auto" w:fill="auto"/>
          </w:tcPr>
          <w:p w14:paraId="4C5B96C5" w14:textId="77777777" w:rsidR="00067435" w:rsidRPr="00FC19A5" w:rsidRDefault="00067435" w:rsidP="00026175">
            <w:pPr>
              <w:tabs>
                <w:tab w:val="left" w:pos="284"/>
                <w:tab w:val="left" w:pos="624"/>
              </w:tabs>
              <w:spacing w:after="240"/>
              <w:ind w:left="426"/>
              <w:rPr>
                <w:rFonts w:ascii="Times New Roman" w:hAnsi="Times New Roman"/>
                <w:b/>
                <w:bCs/>
              </w:rPr>
            </w:pPr>
            <w:r w:rsidRPr="00FC19A5">
              <w:rPr>
                <w:rFonts w:ascii="Times New Roman" w:hAnsi="Times New Roman"/>
                <w:b/>
                <w:bCs/>
              </w:rPr>
              <w:t>Photoperiod:</w:t>
            </w:r>
          </w:p>
        </w:tc>
        <w:tc>
          <w:tcPr>
            <w:tcW w:w="5322" w:type="dxa"/>
            <w:shd w:val="clear" w:color="auto" w:fill="auto"/>
          </w:tcPr>
          <w:p w14:paraId="25E01A68" w14:textId="77777777" w:rsidR="00067435" w:rsidRDefault="00067435" w:rsidP="00026175">
            <w:pPr>
              <w:tabs>
                <w:tab w:val="left" w:pos="720"/>
              </w:tabs>
              <w:spacing w:after="240"/>
              <w:rPr>
                <w:rFonts w:ascii="Times New Roman" w:hAnsi="Times New Roman"/>
              </w:rPr>
            </w:pPr>
            <w:r w:rsidRPr="00FC19A5">
              <w:rPr>
                <w:rFonts w:ascii="Times New Roman" w:hAnsi="Times New Roman"/>
              </w:rPr>
              <w:t>Darkness, except during observation</w:t>
            </w:r>
          </w:p>
          <w:p w14:paraId="008E3667" w14:textId="77777777" w:rsidR="00080D12" w:rsidRDefault="00080D12" w:rsidP="00026175">
            <w:pPr>
              <w:tabs>
                <w:tab w:val="left" w:pos="720"/>
              </w:tabs>
              <w:spacing w:after="240"/>
              <w:rPr>
                <w:rFonts w:ascii="Times New Roman" w:hAnsi="Times New Roman"/>
              </w:rPr>
            </w:pPr>
          </w:p>
          <w:p w14:paraId="70B3E39F" w14:textId="7D45F9D4" w:rsidR="00080D12" w:rsidRPr="00FC19A5" w:rsidRDefault="00080D12" w:rsidP="00026175">
            <w:pPr>
              <w:tabs>
                <w:tab w:val="left" w:pos="720"/>
              </w:tabs>
              <w:spacing w:after="240"/>
              <w:rPr>
                <w:rFonts w:ascii="Times New Roman" w:hAnsi="Times New Roman"/>
              </w:rPr>
            </w:pPr>
          </w:p>
        </w:tc>
      </w:tr>
    </w:tbl>
    <w:p w14:paraId="16EF8088" w14:textId="77777777" w:rsidR="00067435" w:rsidRPr="00FC19A5" w:rsidRDefault="00067435" w:rsidP="00E05ECD">
      <w:pPr>
        <w:numPr>
          <w:ilvl w:val="0"/>
          <w:numId w:val="115"/>
        </w:numPr>
        <w:tabs>
          <w:tab w:val="left" w:pos="255"/>
          <w:tab w:val="left" w:pos="284"/>
        </w:tabs>
        <w:spacing w:after="240"/>
        <w:ind w:left="426" w:hanging="284"/>
        <w:contextualSpacing/>
        <w:jc w:val="both"/>
        <w:rPr>
          <w:b/>
          <w:bCs/>
          <w:lang w:val="en-GB"/>
        </w:rPr>
      </w:pPr>
      <w:r w:rsidRPr="00FC19A5">
        <w:rPr>
          <w:b/>
          <w:bCs/>
          <w:lang w:val="en-GB"/>
        </w:rPr>
        <w:t xml:space="preserve">Test organism and treatment: </w:t>
      </w:r>
    </w:p>
    <w:p w14:paraId="7D22AF54" w14:textId="77777777" w:rsidR="00067435" w:rsidRPr="00FC19A5" w:rsidRDefault="00067435" w:rsidP="003347E3">
      <w:pPr>
        <w:tabs>
          <w:tab w:val="left" w:pos="255"/>
          <w:tab w:val="left" w:pos="284"/>
        </w:tabs>
        <w:spacing w:after="240"/>
        <w:contextualSpacing/>
        <w:jc w:val="both"/>
        <w:rPr>
          <w:lang w:val="en-GB"/>
        </w:rPr>
      </w:pPr>
      <w:r w:rsidRPr="00FC19A5">
        <w:rPr>
          <w:lang w:val="en-GB"/>
        </w:rPr>
        <w:t>Both tests were performed as limit tests with 5 replicates per treatment group, each containing 10 bees.</w:t>
      </w:r>
    </w:p>
    <w:p w14:paraId="36AD261F" w14:textId="77777777" w:rsidR="00067435" w:rsidRPr="00FC19A5" w:rsidRDefault="00067435" w:rsidP="003347E3">
      <w:pPr>
        <w:tabs>
          <w:tab w:val="left" w:pos="255"/>
          <w:tab w:val="left" w:pos="284"/>
        </w:tabs>
        <w:spacing w:after="240"/>
        <w:contextualSpacing/>
        <w:jc w:val="both"/>
        <w:rPr>
          <w:lang w:val="en-GB"/>
        </w:rPr>
      </w:pPr>
    </w:p>
    <w:p w14:paraId="2B9C4FCD" w14:textId="77777777" w:rsidR="00067435" w:rsidRPr="00FC19A5" w:rsidRDefault="00067435" w:rsidP="003347E3">
      <w:pPr>
        <w:numPr>
          <w:ilvl w:val="0"/>
          <w:numId w:val="115"/>
        </w:numPr>
        <w:tabs>
          <w:tab w:val="left" w:pos="255"/>
          <w:tab w:val="left" w:pos="284"/>
        </w:tabs>
        <w:spacing w:after="240"/>
        <w:ind w:left="426" w:hanging="284"/>
        <w:contextualSpacing/>
        <w:jc w:val="both"/>
        <w:rPr>
          <w:b/>
          <w:bCs/>
          <w:lang w:val="en-GB"/>
        </w:rPr>
      </w:pPr>
      <w:r w:rsidRPr="00FC19A5">
        <w:rPr>
          <w:b/>
          <w:bCs/>
          <w:lang w:val="en-GB"/>
        </w:rPr>
        <w:t>Oral toxicity test</w:t>
      </w:r>
    </w:p>
    <w:p w14:paraId="26AE2B77" w14:textId="5BD78801" w:rsidR="00067435" w:rsidRPr="00FC19A5" w:rsidRDefault="00067435" w:rsidP="003347E3">
      <w:pPr>
        <w:tabs>
          <w:tab w:val="left" w:pos="720"/>
        </w:tabs>
        <w:spacing w:after="240"/>
        <w:jc w:val="both"/>
        <w:rPr>
          <w:lang w:val="en-GB"/>
        </w:rPr>
      </w:pPr>
      <w:r w:rsidRPr="00FC19A5">
        <w:rPr>
          <w:lang w:val="en-GB"/>
        </w:rPr>
        <w:t>The bees were starved for 15 minutes before the test. The test item and reference item were applied in 50 % w/v sucrose solution, in doses outlined in</w:t>
      </w:r>
      <w:r w:rsidR="001C778D">
        <w:rPr>
          <w:lang w:val="en-GB"/>
        </w:rPr>
        <w:t xml:space="preserve"> </w:t>
      </w:r>
      <w:r w:rsidR="001C778D">
        <w:rPr>
          <w:lang w:val="en-GB"/>
        </w:rPr>
        <w:fldChar w:fldCharType="begin"/>
      </w:r>
      <w:r w:rsidR="001C778D">
        <w:rPr>
          <w:lang w:val="en-GB"/>
        </w:rPr>
        <w:instrText xml:space="preserve"> REF _Ref147908232 \h </w:instrText>
      </w:r>
      <w:r w:rsidR="003347E3">
        <w:rPr>
          <w:lang w:val="en-GB"/>
        </w:rPr>
        <w:instrText xml:space="preserve"> \* MERGEFORMAT </w:instrText>
      </w:r>
      <w:r w:rsidR="001C778D">
        <w:rPr>
          <w:lang w:val="en-GB"/>
        </w:rPr>
      </w:r>
      <w:r w:rsidR="001C778D">
        <w:rPr>
          <w:lang w:val="en-GB"/>
        </w:rPr>
        <w:fldChar w:fldCharType="separate"/>
      </w:r>
      <w:r w:rsidR="006F0F3B">
        <w:t xml:space="preserve">Table A </w:t>
      </w:r>
      <w:r w:rsidR="006F0F3B">
        <w:rPr>
          <w:noProof/>
        </w:rPr>
        <w:t>39</w:t>
      </w:r>
      <w:r w:rsidR="001C778D">
        <w:rPr>
          <w:lang w:val="en-GB"/>
        </w:rPr>
        <w:fldChar w:fldCharType="end"/>
      </w:r>
      <w:r w:rsidRPr="00FC19A5">
        <w:rPr>
          <w:lang w:val="en-GB"/>
        </w:rPr>
        <w:t>. For the control pure 50 % w/v sucrose solution was offered to the bees.</w:t>
      </w:r>
    </w:p>
    <w:p w14:paraId="02C62C5B" w14:textId="77777777" w:rsidR="00067435" w:rsidRPr="00FC19A5" w:rsidRDefault="00067435" w:rsidP="003347E3">
      <w:pPr>
        <w:tabs>
          <w:tab w:val="left" w:pos="720"/>
        </w:tabs>
        <w:jc w:val="both"/>
        <w:rPr>
          <w:lang w:val="en-GB"/>
        </w:rPr>
      </w:pPr>
      <w:r w:rsidRPr="00FC19A5">
        <w:rPr>
          <w:lang w:val="en-GB"/>
        </w:rPr>
        <w:t>The treated food was offered in syringes, which were weighed before and after introduction into the cages (duration of uptake was 1 hour 40 minutes for the test item treatments). After a maximum of 1 hour 40 minutes, the uptake was complete and the syringes containing the treated food were removed, weighed and replaced by ones containing fresh, untreated food.</w:t>
      </w:r>
    </w:p>
    <w:p w14:paraId="07A05469" w14:textId="77777777" w:rsidR="00067435" w:rsidRPr="00FC19A5" w:rsidRDefault="00067435" w:rsidP="003347E3">
      <w:pPr>
        <w:tabs>
          <w:tab w:val="left" w:pos="720"/>
        </w:tabs>
        <w:jc w:val="both"/>
        <w:rPr>
          <w:lang w:val="en-GB"/>
        </w:rPr>
      </w:pPr>
      <w:r w:rsidRPr="00FC19A5">
        <w:rPr>
          <w:lang w:val="en-GB"/>
        </w:rPr>
        <w:t>The mean target dose levels (e.g. 100 μg a.s./bee nominal) would have been obtained if exactly 20 mg/bee of the treated food were ingested. In practice, uptake of the treated sucrose solutions differed slightly from the nominal 20 mg/bee and results are given based on the measured consumption.</w:t>
      </w:r>
    </w:p>
    <w:p w14:paraId="2CD30036" w14:textId="77777777" w:rsidR="00067435" w:rsidRPr="00FC19A5" w:rsidRDefault="00067435" w:rsidP="00067435">
      <w:pPr>
        <w:tabs>
          <w:tab w:val="left" w:pos="720"/>
        </w:tabs>
        <w:rPr>
          <w:lang w:val="en-GB"/>
        </w:rPr>
      </w:pPr>
    </w:p>
    <w:p w14:paraId="0FCE6BCF" w14:textId="77777777" w:rsidR="003347E3" w:rsidRDefault="003347E3">
      <w:pPr>
        <w:rPr>
          <w:b/>
          <w:bCs/>
          <w:color w:val="000000" w:themeColor="text1"/>
          <w:lang w:val="en-GB"/>
        </w:rPr>
      </w:pPr>
      <w:bookmarkStart w:id="1098" w:name="_Ref147908232"/>
      <w:r>
        <w:br w:type="page"/>
      </w:r>
    </w:p>
    <w:p w14:paraId="35BBEDB4" w14:textId="76896401" w:rsidR="00067435" w:rsidRPr="00FC19A5" w:rsidRDefault="002F6F94" w:rsidP="002F6F94">
      <w:pPr>
        <w:pStyle w:val="Legenda"/>
        <w:rPr>
          <w:b w:val="0"/>
          <w:bCs w:val="0"/>
        </w:rPr>
      </w:pPr>
      <w:r>
        <w:lastRenderedPageBreak/>
        <w:t xml:space="preserve">Table A </w:t>
      </w:r>
      <w:r>
        <w:fldChar w:fldCharType="begin"/>
      </w:r>
      <w:r>
        <w:instrText xml:space="preserve"> SEQ Table_A \* ARABIC </w:instrText>
      </w:r>
      <w:r>
        <w:fldChar w:fldCharType="separate"/>
      </w:r>
      <w:r w:rsidR="006F0F3B">
        <w:rPr>
          <w:noProof/>
        </w:rPr>
        <w:t>39</w:t>
      </w:r>
      <w:r>
        <w:fldChar w:fldCharType="end"/>
      </w:r>
      <w:bookmarkEnd w:id="1098"/>
      <w:r>
        <w:t>:</w:t>
      </w:r>
      <w:r>
        <w:tab/>
      </w:r>
      <w:r w:rsidR="00067435" w:rsidRPr="00FC19A5">
        <w:t>Applied and consumed dosages in the oral toxicity test</w:t>
      </w:r>
    </w:p>
    <w:tbl>
      <w:tblPr>
        <w:tblStyle w:val="TableGrid1"/>
        <w:tblW w:w="5000" w:type="pct"/>
        <w:jc w:val="center"/>
        <w:tblLook w:val="04A0" w:firstRow="1" w:lastRow="0" w:firstColumn="1" w:lastColumn="0" w:noHBand="0" w:noVBand="1"/>
      </w:tblPr>
      <w:tblGrid>
        <w:gridCol w:w="2500"/>
        <w:gridCol w:w="2514"/>
        <w:gridCol w:w="2300"/>
        <w:gridCol w:w="2030"/>
      </w:tblGrid>
      <w:tr w:rsidR="00067435" w:rsidRPr="00FC19A5" w14:paraId="49A6D3A8" w14:textId="77777777" w:rsidTr="00026175">
        <w:trPr>
          <w:tblHeader/>
          <w:jc w:val="center"/>
        </w:trPr>
        <w:tc>
          <w:tcPr>
            <w:tcW w:w="1338" w:type="pct"/>
            <w:vAlign w:val="center"/>
          </w:tcPr>
          <w:p w14:paraId="059AD1AC"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Treatment group</w:t>
            </w:r>
          </w:p>
        </w:tc>
        <w:tc>
          <w:tcPr>
            <w:tcW w:w="1345" w:type="pct"/>
            <w:vAlign w:val="center"/>
          </w:tcPr>
          <w:p w14:paraId="1F6A62FE"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Item applied</w:t>
            </w:r>
          </w:p>
        </w:tc>
        <w:tc>
          <w:tcPr>
            <w:tcW w:w="1231" w:type="pct"/>
            <w:vAlign w:val="center"/>
          </w:tcPr>
          <w:p w14:paraId="4F6463E5"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Applied dosages</w:t>
            </w:r>
          </w:p>
        </w:tc>
        <w:tc>
          <w:tcPr>
            <w:tcW w:w="1086" w:type="pct"/>
            <w:vAlign w:val="center"/>
          </w:tcPr>
          <w:p w14:paraId="595915D1"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Actual uptake of the applied item</w:t>
            </w:r>
          </w:p>
        </w:tc>
      </w:tr>
      <w:tr w:rsidR="00067435" w:rsidRPr="00FC19A5" w14:paraId="011F81DB" w14:textId="77777777" w:rsidTr="00026175">
        <w:trPr>
          <w:jc w:val="center"/>
        </w:trPr>
        <w:tc>
          <w:tcPr>
            <w:tcW w:w="1338" w:type="pct"/>
            <w:vAlign w:val="center"/>
          </w:tcPr>
          <w:p w14:paraId="2012C0FB"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Control</w:t>
            </w:r>
          </w:p>
        </w:tc>
        <w:tc>
          <w:tcPr>
            <w:tcW w:w="1345" w:type="pct"/>
            <w:vAlign w:val="center"/>
          </w:tcPr>
          <w:p w14:paraId="0A8214B6"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Sucrose solution</w:t>
            </w:r>
          </w:p>
        </w:tc>
        <w:tc>
          <w:tcPr>
            <w:tcW w:w="1231" w:type="pct"/>
            <w:vAlign w:val="center"/>
          </w:tcPr>
          <w:p w14:paraId="3B612E15"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w:t>
            </w:r>
          </w:p>
        </w:tc>
        <w:tc>
          <w:tcPr>
            <w:tcW w:w="1086" w:type="pct"/>
            <w:vAlign w:val="center"/>
          </w:tcPr>
          <w:p w14:paraId="1A31BCAA"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w:t>
            </w:r>
          </w:p>
        </w:tc>
      </w:tr>
      <w:tr w:rsidR="00067435" w:rsidRPr="00FC19A5" w14:paraId="16476845" w14:textId="77777777" w:rsidTr="00026175">
        <w:trPr>
          <w:jc w:val="center"/>
        </w:trPr>
        <w:tc>
          <w:tcPr>
            <w:tcW w:w="2683" w:type="pct"/>
            <w:gridSpan w:val="2"/>
            <w:vAlign w:val="center"/>
          </w:tcPr>
          <w:p w14:paraId="30C55599" w14:textId="77777777" w:rsidR="00067435" w:rsidRPr="00FC19A5" w:rsidRDefault="00067435" w:rsidP="00026175">
            <w:pPr>
              <w:keepNext/>
              <w:keepLines/>
              <w:tabs>
                <w:tab w:val="left" w:pos="720"/>
              </w:tabs>
              <w:jc w:val="center"/>
              <w:rPr>
                <w:rFonts w:ascii="Times New Roman" w:hAnsi="Times New Roman"/>
                <w:sz w:val="20"/>
              </w:rPr>
            </w:pPr>
          </w:p>
        </w:tc>
        <w:tc>
          <w:tcPr>
            <w:tcW w:w="1231" w:type="pct"/>
            <w:vAlign w:val="center"/>
          </w:tcPr>
          <w:p w14:paraId="1D719A6A"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(µg total a.s./bee)</w:t>
            </w:r>
          </w:p>
        </w:tc>
        <w:tc>
          <w:tcPr>
            <w:tcW w:w="1086" w:type="pct"/>
            <w:vAlign w:val="center"/>
          </w:tcPr>
          <w:p w14:paraId="2A3D8C98" w14:textId="77777777" w:rsidR="00067435" w:rsidRPr="00FC19A5" w:rsidRDefault="00067435" w:rsidP="00026175">
            <w:pPr>
              <w:keepNext/>
              <w:keepLines/>
              <w:tabs>
                <w:tab w:val="left" w:pos="720"/>
              </w:tabs>
              <w:jc w:val="center"/>
              <w:rPr>
                <w:rFonts w:ascii="Times New Roman" w:hAnsi="Times New Roman"/>
                <w:b/>
                <w:bCs/>
                <w:sz w:val="20"/>
              </w:rPr>
            </w:pPr>
            <w:r w:rsidRPr="00FC19A5">
              <w:rPr>
                <w:rFonts w:ascii="Times New Roman" w:hAnsi="Times New Roman"/>
                <w:b/>
                <w:bCs/>
                <w:sz w:val="20"/>
              </w:rPr>
              <w:t>(µg total a.s./bee)</w:t>
            </w:r>
          </w:p>
        </w:tc>
      </w:tr>
      <w:tr w:rsidR="00067435" w:rsidRPr="00FC19A5" w14:paraId="1A970469" w14:textId="77777777" w:rsidTr="00026175">
        <w:trPr>
          <w:jc w:val="center"/>
        </w:trPr>
        <w:tc>
          <w:tcPr>
            <w:tcW w:w="1338" w:type="pct"/>
            <w:vAlign w:val="center"/>
          </w:tcPr>
          <w:p w14:paraId="4C77CE02"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Test item</w:t>
            </w:r>
          </w:p>
        </w:tc>
        <w:tc>
          <w:tcPr>
            <w:tcW w:w="1345" w:type="pct"/>
            <w:vAlign w:val="center"/>
          </w:tcPr>
          <w:p w14:paraId="2B2707FE"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Propamocarb</w:t>
            </w:r>
          </w:p>
        </w:tc>
        <w:tc>
          <w:tcPr>
            <w:tcW w:w="1231" w:type="pct"/>
            <w:vAlign w:val="center"/>
          </w:tcPr>
          <w:p w14:paraId="136A7497"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109.0</w:t>
            </w:r>
          </w:p>
        </w:tc>
        <w:tc>
          <w:tcPr>
            <w:tcW w:w="1086" w:type="pct"/>
            <w:vAlign w:val="center"/>
          </w:tcPr>
          <w:p w14:paraId="76078C1C"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122.1</w:t>
            </w:r>
          </w:p>
        </w:tc>
      </w:tr>
      <w:tr w:rsidR="00067435" w:rsidRPr="00FC19A5" w14:paraId="7F23B00F" w14:textId="77777777" w:rsidTr="00026175">
        <w:trPr>
          <w:jc w:val="center"/>
        </w:trPr>
        <w:tc>
          <w:tcPr>
            <w:tcW w:w="1338" w:type="pct"/>
            <w:vMerge w:val="restart"/>
            <w:vAlign w:val="center"/>
          </w:tcPr>
          <w:p w14:paraId="2E90FBE6"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Reference item</w:t>
            </w:r>
          </w:p>
        </w:tc>
        <w:tc>
          <w:tcPr>
            <w:tcW w:w="1345" w:type="pct"/>
            <w:vMerge w:val="restart"/>
            <w:vAlign w:val="center"/>
          </w:tcPr>
          <w:p w14:paraId="0B1C7289"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Dimethoate</w:t>
            </w:r>
          </w:p>
        </w:tc>
        <w:tc>
          <w:tcPr>
            <w:tcW w:w="1231" w:type="pct"/>
            <w:vAlign w:val="center"/>
          </w:tcPr>
          <w:p w14:paraId="5D62AC49"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0.30</w:t>
            </w:r>
          </w:p>
        </w:tc>
        <w:tc>
          <w:tcPr>
            <w:tcW w:w="1086" w:type="pct"/>
            <w:vAlign w:val="center"/>
          </w:tcPr>
          <w:p w14:paraId="2D786767" w14:textId="77777777" w:rsidR="00067435" w:rsidRPr="00FC19A5" w:rsidRDefault="00067435" w:rsidP="00026175">
            <w:pPr>
              <w:keepNext/>
              <w:keepLines/>
              <w:tabs>
                <w:tab w:val="left" w:pos="720"/>
              </w:tabs>
              <w:jc w:val="center"/>
              <w:rPr>
                <w:rFonts w:ascii="Times New Roman" w:hAnsi="Times New Roman"/>
                <w:sz w:val="20"/>
              </w:rPr>
            </w:pPr>
            <w:r w:rsidRPr="00FC19A5">
              <w:rPr>
                <w:rFonts w:ascii="Times New Roman" w:hAnsi="Times New Roman"/>
                <w:sz w:val="20"/>
              </w:rPr>
              <w:t>0.32</w:t>
            </w:r>
          </w:p>
        </w:tc>
      </w:tr>
      <w:tr w:rsidR="00067435" w:rsidRPr="00FC19A5" w14:paraId="40E04BC0" w14:textId="77777777" w:rsidTr="00026175">
        <w:trPr>
          <w:jc w:val="center"/>
        </w:trPr>
        <w:tc>
          <w:tcPr>
            <w:tcW w:w="1338" w:type="pct"/>
            <w:vMerge/>
            <w:vAlign w:val="center"/>
          </w:tcPr>
          <w:p w14:paraId="172620E5" w14:textId="77777777" w:rsidR="00067435" w:rsidRPr="00FC19A5" w:rsidRDefault="00067435" w:rsidP="00026175">
            <w:pPr>
              <w:tabs>
                <w:tab w:val="left" w:pos="720"/>
              </w:tabs>
              <w:jc w:val="center"/>
              <w:rPr>
                <w:rFonts w:ascii="Times New Roman" w:hAnsi="Times New Roman"/>
                <w:sz w:val="20"/>
              </w:rPr>
            </w:pPr>
          </w:p>
        </w:tc>
        <w:tc>
          <w:tcPr>
            <w:tcW w:w="1345" w:type="pct"/>
            <w:vMerge/>
            <w:vAlign w:val="center"/>
          </w:tcPr>
          <w:p w14:paraId="2CC8A4F8" w14:textId="77777777" w:rsidR="00067435" w:rsidRPr="00FC19A5" w:rsidRDefault="00067435" w:rsidP="00026175">
            <w:pPr>
              <w:tabs>
                <w:tab w:val="left" w:pos="720"/>
              </w:tabs>
              <w:jc w:val="center"/>
              <w:rPr>
                <w:rFonts w:ascii="Times New Roman" w:hAnsi="Times New Roman"/>
                <w:sz w:val="20"/>
              </w:rPr>
            </w:pPr>
          </w:p>
        </w:tc>
        <w:tc>
          <w:tcPr>
            <w:tcW w:w="1231" w:type="pct"/>
            <w:vAlign w:val="center"/>
          </w:tcPr>
          <w:p w14:paraId="286D8547"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0.15</w:t>
            </w:r>
          </w:p>
        </w:tc>
        <w:tc>
          <w:tcPr>
            <w:tcW w:w="1086" w:type="pct"/>
            <w:vAlign w:val="center"/>
          </w:tcPr>
          <w:p w14:paraId="0C9EBDB4"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0.16</w:t>
            </w:r>
          </w:p>
        </w:tc>
      </w:tr>
      <w:tr w:rsidR="00067435" w:rsidRPr="00FC19A5" w14:paraId="159E06F1" w14:textId="77777777" w:rsidTr="00026175">
        <w:trPr>
          <w:jc w:val="center"/>
        </w:trPr>
        <w:tc>
          <w:tcPr>
            <w:tcW w:w="1338" w:type="pct"/>
            <w:vMerge/>
            <w:vAlign w:val="center"/>
          </w:tcPr>
          <w:p w14:paraId="77C6E8C7" w14:textId="77777777" w:rsidR="00067435" w:rsidRPr="00FC19A5" w:rsidRDefault="00067435" w:rsidP="00026175">
            <w:pPr>
              <w:tabs>
                <w:tab w:val="left" w:pos="720"/>
              </w:tabs>
              <w:jc w:val="center"/>
              <w:rPr>
                <w:rFonts w:ascii="Times New Roman" w:hAnsi="Times New Roman"/>
                <w:sz w:val="20"/>
              </w:rPr>
            </w:pPr>
          </w:p>
        </w:tc>
        <w:tc>
          <w:tcPr>
            <w:tcW w:w="1345" w:type="pct"/>
            <w:vMerge/>
            <w:vAlign w:val="center"/>
          </w:tcPr>
          <w:p w14:paraId="24DD06F1" w14:textId="77777777" w:rsidR="00067435" w:rsidRPr="00FC19A5" w:rsidRDefault="00067435" w:rsidP="00026175">
            <w:pPr>
              <w:tabs>
                <w:tab w:val="left" w:pos="720"/>
              </w:tabs>
              <w:jc w:val="center"/>
              <w:rPr>
                <w:rFonts w:ascii="Times New Roman" w:hAnsi="Times New Roman"/>
                <w:sz w:val="20"/>
              </w:rPr>
            </w:pPr>
          </w:p>
        </w:tc>
        <w:tc>
          <w:tcPr>
            <w:tcW w:w="1231" w:type="pct"/>
            <w:vAlign w:val="center"/>
          </w:tcPr>
          <w:p w14:paraId="4E600DB6"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0.08</w:t>
            </w:r>
          </w:p>
        </w:tc>
        <w:tc>
          <w:tcPr>
            <w:tcW w:w="1086" w:type="pct"/>
            <w:vAlign w:val="center"/>
          </w:tcPr>
          <w:p w14:paraId="55FAE7DE"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0.08</w:t>
            </w:r>
          </w:p>
        </w:tc>
      </w:tr>
      <w:tr w:rsidR="00067435" w:rsidRPr="00FC19A5" w14:paraId="0203A6FD" w14:textId="77777777" w:rsidTr="00026175">
        <w:trPr>
          <w:jc w:val="center"/>
        </w:trPr>
        <w:tc>
          <w:tcPr>
            <w:tcW w:w="1338" w:type="pct"/>
            <w:vMerge/>
            <w:vAlign w:val="center"/>
          </w:tcPr>
          <w:p w14:paraId="6A7D167A" w14:textId="77777777" w:rsidR="00067435" w:rsidRPr="00FC19A5" w:rsidRDefault="00067435" w:rsidP="00026175">
            <w:pPr>
              <w:tabs>
                <w:tab w:val="left" w:pos="720"/>
              </w:tabs>
              <w:jc w:val="center"/>
              <w:rPr>
                <w:rFonts w:ascii="Times New Roman" w:hAnsi="Times New Roman"/>
                <w:sz w:val="20"/>
              </w:rPr>
            </w:pPr>
          </w:p>
        </w:tc>
        <w:tc>
          <w:tcPr>
            <w:tcW w:w="1345" w:type="pct"/>
            <w:vMerge/>
            <w:vAlign w:val="center"/>
          </w:tcPr>
          <w:p w14:paraId="5BD438BC" w14:textId="77777777" w:rsidR="00067435" w:rsidRPr="00FC19A5" w:rsidRDefault="00067435" w:rsidP="00026175">
            <w:pPr>
              <w:tabs>
                <w:tab w:val="left" w:pos="720"/>
              </w:tabs>
              <w:jc w:val="center"/>
              <w:rPr>
                <w:rFonts w:ascii="Times New Roman" w:hAnsi="Times New Roman"/>
                <w:sz w:val="20"/>
              </w:rPr>
            </w:pPr>
          </w:p>
        </w:tc>
        <w:tc>
          <w:tcPr>
            <w:tcW w:w="1231" w:type="pct"/>
            <w:vAlign w:val="center"/>
          </w:tcPr>
          <w:p w14:paraId="77916C25"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0.05</w:t>
            </w:r>
          </w:p>
        </w:tc>
        <w:tc>
          <w:tcPr>
            <w:tcW w:w="1086" w:type="pct"/>
            <w:vAlign w:val="center"/>
          </w:tcPr>
          <w:p w14:paraId="20EEBE34"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0.05</w:t>
            </w:r>
          </w:p>
        </w:tc>
      </w:tr>
    </w:tbl>
    <w:p w14:paraId="6129E012" w14:textId="77777777" w:rsidR="00067435" w:rsidRPr="00FC19A5" w:rsidRDefault="00067435" w:rsidP="00067435">
      <w:pPr>
        <w:tabs>
          <w:tab w:val="left" w:pos="720"/>
        </w:tabs>
        <w:rPr>
          <w:sz w:val="18"/>
          <w:szCs w:val="20"/>
          <w:lang w:val="en-GB"/>
        </w:rPr>
      </w:pPr>
    </w:p>
    <w:p w14:paraId="1E85FA2B" w14:textId="77777777" w:rsidR="00067435" w:rsidRPr="00FC19A5" w:rsidRDefault="00067435" w:rsidP="00E05ECD">
      <w:pPr>
        <w:numPr>
          <w:ilvl w:val="0"/>
          <w:numId w:val="115"/>
        </w:numPr>
        <w:tabs>
          <w:tab w:val="left" w:pos="255"/>
          <w:tab w:val="left" w:pos="284"/>
        </w:tabs>
        <w:spacing w:after="240"/>
        <w:ind w:left="426" w:hanging="284"/>
        <w:contextualSpacing/>
        <w:jc w:val="both"/>
        <w:rPr>
          <w:b/>
          <w:bCs/>
          <w:lang w:val="en-GB"/>
        </w:rPr>
      </w:pPr>
      <w:r w:rsidRPr="00FC19A5">
        <w:rPr>
          <w:b/>
          <w:bCs/>
          <w:lang w:val="en-GB"/>
        </w:rPr>
        <w:t>Contact toxicity test</w:t>
      </w:r>
    </w:p>
    <w:p w14:paraId="14DB161F" w14:textId="0FF57149" w:rsidR="00C51B86" w:rsidRDefault="00067435" w:rsidP="003347E3">
      <w:pPr>
        <w:tabs>
          <w:tab w:val="left" w:pos="720"/>
        </w:tabs>
        <w:spacing w:after="240"/>
        <w:jc w:val="both"/>
        <w:rPr>
          <w:lang w:val="en-GB"/>
        </w:rPr>
      </w:pPr>
      <w:r w:rsidRPr="00FC19A5">
        <w:rPr>
          <w:lang w:val="en-GB"/>
        </w:rPr>
        <w:t>Bees in the test cage were anaesthetised with CO</w:t>
      </w:r>
      <w:r w:rsidRPr="00FC19A5">
        <w:rPr>
          <w:vertAlign w:val="subscript"/>
          <w:lang w:val="en-GB"/>
        </w:rPr>
        <w:t xml:space="preserve">2 </w:t>
      </w:r>
      <w:r w:rsidRPr="00FC19A5">
        <w:rPr>
          <w:lang w:val="en-GB"/>
        </w:rPr>
        <w:t>for approximately 20 seconds prior to application. The test item was applied as one 5 μL droplet of propamocarb-HCL tech., dissolved in tap water with 0.5 % Adhäsit, placed on the dorsal bee thorax using a calibrated pipette. The reference was applied as one 5 μL droplet of dimethoate, dissolved in tap water with 0.5 % Adhäsit. For the control, one 5 μL droplet of tap water containing 0.5 % Adhäsit was used. A 5 μL droplet was chosen in deviation to the guideline recommendation of a 1 μL droplet, since a higher volume ensured a more reliable dispersion of the test item; higher volumes are suitable and no adverse effects on the outcome of the study are to be expected. Doses used for the test item and reference item are outlined in</w:t>
      </w:r>
      <w:r w:rsidR="00D57B45">
        <w:rPr>
          <w:lang w:val="en-GB"/>
        </w:rPr>
        <w:t xml:space="preserve"> </w:t>
      </w:r>
      <w:r w:rsidR="00D57B45">
        <w:rPr>
          <w:lang w:val="en-GB"/>
        </w:rPr>
        <w:fldChar w:fldCharType="begin"/>
      </w:r>
      <w:r w:rsidR="00D57B45">
        <w:rPr>
          <w:lang w:val="en-GB"/>
        </w:rPr>
        <w:instrText xml:space="preserve"> REF _Ref147908262 \h </w:instrText>
      </w:r>
      <w:r w:rsidR="00D57B45">
        <w:rPr>
          <w:lang w:val="en-GB"/>
        </w:rPr>
      </w:r>
      <w:r w:rsidR="00D57B45">
        <w:rPr>
          <w:lang w:val="en-GB"/>
        </w:rPr>
        <w:fldChar w:fldCharType="separate"/>
      </w:r>
      <w:r w:rsidR="006F0F3B">
        <w:t xml:space="preserve">Table A </w:t>
      </w:r>
      <w:r w:rsidR="006F0F3B">
        <w:rPr>
          <w:noProof/>
        </w:rPr>
        <w:t>40</w:t>
      </w:r>
      <w:r w:rsidR="00D57B45">
        <w:rPr>
          <w:lang w:val="en-GB"/>
        </w:rPr>
        <w:fldChar w:fldCharType="end"/>
      </w:r>
      <w:r w:rsidRPr="00FC19A5">
        <w:rPr>
          <w:lang w:val="en-GB"/>
        </w:rPr>
        <w:t xml:space="preserve">. </w:t>
      </w:r>
    </w:p>
    <w:p w14:paraId="33EC5637" w14:textId="00B9FFA3" w:rsidR="00067435" w:rsidRPr="00FC19A5" w:rsidRDefault="00D57B45" w:rsidP="00D57B45">
      <w:pPr>
        <w:pStyle w:val="Legenda"/>
        <w:rPr>
          <w:b w:val="0"/>
          <w:bCs w:val="0"/>
        </w:rPr>
      </w:pPr>
      <w:bookmarkStart w:id="1099" w:name="_Ref147908262"/>
      <w:r>
        <w:t xml:space="preserve">Table A </w:t>
      </w:r>
      <w:r>
        <w:fldChar w:fldCharType="begin"/>
      </w:r>
      <w:r>
        <w:instrText xml:space="preserve"> SEQ Table_A \* ARABIC </w:instrText>
      </w:r>
      <w:r>
        <w:fldChar w:fldCharType="separate"/>
      </w:r>
      <w:r w:rsidR="006F0F3B">
        <w:rPr>
          <w:noProof/>
        </w:rPr>
        <w:t>40</w:t>
      </w:r>
      <w:r>
        <w:fldChar w:fldCharType="end"/>
      </w:r>
      <w:bookmarkEnd w:id="1099"/>
      <w:r w:rsidR="00067435" w:rsidRPr="00FC19A5">
        <w:t>: Applied dosages in the contact toxicity test</w:t>
      </w:r>
    </w:p>
    <w:tbl>
      <w:tblPr>
        <w:tblStyle w:val="TableGrid1"/>
        <w:tblW w:w="5000" w:type="pct"/>
        <w:jc w:val="center"/>
        <w:tblLook w:val="04A0" w:firstRow="1" w:lastRow="0" w:firstColumn="1" w:lastColumn="0" w:noHBand="0" w:noVBand="1"/>
      </w:tblPr>
      <w:tblGrid>
        <w:gridCol w:w="3194"/>
        <w:gridCol w:w="3212"/>
        <w:gridCol w:w="2938"/>
      </w:tblGrid>
      <w:tr w:rsidR="00067435" w:rsidRPr="00FC19A5" w14:paraId="5AE7467D" w14:textId="77777777" w:rsidTr="00026175">
        <w:trPr>
          <w:tblHeader/>
          <w:jc w:val="center"/>
        </w:trPr>
        <w:tc>
          <w:tcPr>
            <w:tcW w:w="1709" w:type="pct"/>
          </w:tcPr>
          <w:p w14:paraId="0CB4433E" w14:textId="77777777" w:rsidR="00067435" w:rsidRPr="00FC19A5" w:rsidRDefault="00067435" w:rsidP="00026175">
            <w:pPr>
              <w:tabs>
                <w:tab w:val="left" w:pos="720"/>
              </w:tabs>
              <w:jc w:val="center"/>
              <w:rPr>
                <w:rFonts w:ascii="Times New Roman" w:hAnsi="Times New Roman"/>
                <w:b/>
                <w:bCs/>
                <w:sz w:val="20"/>
              </w:rPr>
            </w:pPr>
            <w:r w:rsidRPr="00FC19A5">
              <w:rPr>
                <w:rFonts w:ascii="Times New Roman" w:hAnsi="Times New Roman"/>
                <w:b/>
                <w:bCs/>
                <w:sz w:val="20"/>
              </w:rPr>
              <w:t>Treatment group</w:t>
            </w:r>
          </w:p>
        </w:tc>
        <w:tc>
          <w:tcPr>
            <w:tcW w:w="1719" w:type="pct"/>
          </w:tcPr>
          <w:p w14:paraId="7A844B08" w14:textId="77777777" w:rsidR="00067435" w:rsidRPr="00FC19A5" w:rsidRDefault="00067435" w:rsidP="00026175">
            <w:pPr>
              <w:tabs>
                <w:tab w:val="left" w:pos="720"/>
              </w:tabs>
              <w:jc w:val="center"/>
              <w:rPr>
                <w:rFonts w:ascii="Times New Roman" w:hAnsi="Times New Roman"/>
                <w:b/>
                <w:bCs/>
                <w:sz w:val="20"/>
              </w:rPr>
            </w:pPr>
            <w:r w:rsidRPr="00FC19A5">
              <w:rPr>
                <w:rFonts w:ascii="Times New Roman" w:hAnsi="Times New Roman"/>
                <w:b/>
                <w:bCs/>
                <w:sz w:val="20"/>
              </w:rPr>
              <w:t>Item applied</w:t>
            </w:r>
          </w:p>
        </w:tc>
        <w:tc>
          <w:tcPr>
            <w:tcW w:w="1572" w:type="pct"/>
          </w:tcPr>
          <w:p w14:paraId="403F63DF" w14:textId="77777777" w:rsidR="00067435" w:rsidRPr="00FC19A5" w:rsidRDefault="00067435" w:rsidP="00026175">
            <w:pPr>
              <w:tabs>
                <w:tab w:val="left" w:pos="720"/>
              </w:tabs>
              <w:jc w:val="center"/>
              <w:rPr>
                <w:rFonts w:ascii="Times New Roman" w:hAnsi="Times New Roman"/>
                <w:b/>
                <w:bCs/>
                <w:sz w:val="20"/>
              </w:rPr>
            </w:pPr>
            <w:r w:rsidRPr="00FC19A5">
              <w:rPr>
                <w:rFonts w:ascii="Times New Roman" w:hAnsi="Times New Roman"/>
                <w:b/>
                <w:bCs/>
                <w:sz w:val="20"/>
              </w:rPr>
              <w:t>Applied dosages</w:t>
            </w:r>
          </w:p>
        </w:tc>
      </w:tr>
      <w:tr w:rsidR="00067435" w:rsidRPr="00FC19A5" w14:paraId="65AB37F1" w14:textId="77777777" w:rsidTr="00026175">
        <w:trPr>
          <w:jc w:val="center"/>
        </w:trPr>
        <w:tc>
          <w:tcPr>
            <w:tcW w:w="1709" w:type="pct"/>
          </w:tcPr>
          <w:p w14:paraId="75881980"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Control</w:t>
            </w:r>
          </w:p>
        </w:tc>
        <w:tc>
          <w:tcPr>
            <w:tcW w:w="1719" w:type="pct"/>
          </w:tcPr>
          <w:p w14:paraId="01473984"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tap water with 0.5 % Adhäsit</w:t>
            </w:r>
          </w:p>
        </w:tc>
        <w:tc>
          <w:tcPr>
            <w:tcW w:w="1572" w:type="pct"/>
          </w:tcPr>
          <w:p w14:paraId="247633BA"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w:t>
            </w:r>
          </w:p>
        </w:tc>
      </w:tr>
      <w:tr w:rsidR="00067435" w:rsidRPr="00FC19A5" w14:paraId="49ED0CE4" w14:textId="77777777" w:rsidTr="00026175">
        <w:trPr>
          <w:jc w:val="center"/>
        </w:trPr>
        <w:tc>
          <w:tcPr>
            <w:tcW w:w="3428" w:type="pct"/>
            <w:gridSpan w:val="2"/>
          </w:tcPr>
          <w:p w14:paraId="748E07EE" w14:textId="77777777" w:rsidR="00067435" w:rsidRPr="00FC19A5" w:rsidRDefault="00067435" w:rsidP="00026175">
            <w:pPr>
              <w:tabs>
                <w:tab w:val="left" w:pos="720"/>
              </w:tabs>
              <w:jc w:val="center"/>
              <w:rPr>
                <w:rFonts w:ascii="Times New Roman" w:hAnsi="Times New Roman"/>
                <w:sz w:val="20"/>
              </w:rPr>
            </w:pPr>
          </w:p>
        </w:tc>
        <w:tc>
          <w:tcPr>
            <w:tcW w:w="1572" w:type="pct"/>
          </w:tcPr>
          <w:p w14:paraId="07D322DC" w14:textId="77777777" w:rsidR="00067435" w:rsidRPr="00FC19A5" w:rsidRDefault="00067435" w:rsidP="00026175">
            <w:pPr>
              <w:tabs>
                <w:tab w:val="left" w:pos="720"/>
              </w:tabs>
              <w:jc w:val="center"/>
              <w:rPr>
                <w:rFonts w:ascii="Times New Roman" w:hAnsi="Times New Roman"/>
                <w:b/>
                <w:bCs/>
                <w:sz w:val="20"/>
              </w:rPr>
            </w:pPr>
            <w:r w:rsidRPr="00FC19A5">
              <w:rPr>
                <w:rFonts w:ascii="Times New Roman" w:hAnsi="Times New Roman"/>
                <w:b/>
                <w:bCs/>
                <w:sz w:val="20"/>
              </w:rPr>
              <w:t>(µg total a.s./bee)</w:t>
            </w:r>
          </w:p>
        </w:tc>
      </w:tr>
      <w:tr w:rsidR="00067435" w:rsidRPr="00FC19A5" w14:paraId="5E95E1DF" w14:textId="77777777" w:rsidTr="00026175">
        <w:trPr>
          <w:jc w:val="center"/>
        </w:trPr>
        <w:tc>
          <w:tcPr>
            <w:tcW w:w="1709" w:type="pct"/>
          </w:tcPr>
          <w:p w14:paraId="26145ECC"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Test item</w:t>
            </w:r>
          </w:p>
        </w:tc>
        <w:tc>
          <w:tcPr>
            <w:tcW w:w="1719" w:type="pct"/>
          </w:tcPr>
          <w:p w14:paraId="76857506"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Propamocarb</w:t>
            </w:r>
          </w:p>
        </w:tc>
        <w:tc>
          <w:tcPr>
            <w:tcW w:w="1572" w:type="pct"/>
          </w:tcPr>
          <w:p w14:paraId="78E75ADE"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109.0</w:t>
            </w:r>
          </w:p>
        </w:tc>
      </w:tr>
      <w:tr w:rsidR="00067435" w:rsidRPr="00FC19A5" w14:paraId="2AB54D8F" w14:textId="77777777" w:rsidTr="00026175">
        <w:trPr>
          <w:jc w:val="center"/>
        </w:trPr>
        <w:tc>
          <w:tcPr>
            <w:tcW w:w="1709" w:type="pct"/>
            <w:vMerge w:val="restart"/>
          </w:tcPr>
          <w:p w14:paraId="3706FF27"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Reference item</w:t>
            </w:r>
          </w:p>
        </w:tc>
        <w:tc>
          <w:tcPr>
            <w:tcW w:w="1719" w:type="pct"/>
            <w:vMerge w:val="restart"/>
          </w:tcPr>
          <w:p w14:paraId="22775E86"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 xml:space="preserve">Dimethoate </w:t>
            </w:r>
          </w:p>
        </w:tc>
        <w:tc>
          <w:tcPr>
            <w:tcW w:w="1572" w:type="pct"/>
          </w:tcPr>
          <w:p w14:paraId="58720EF9"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0.30</w:t>
            </w:r>
          </w:p>
        </w:tc>
      </w:tr>
      <w:tr w:rsidR="00067435" w:rsidRPr="00FC19A5" w14:paraId="4FE1490E" w14:textId="77777777" w:rsidTr="00026175">
        <w:trPr>
          <w:jc w:val="center"/>
        </w:trPr>
        <w:tc>
          <w:tcPr>
            <w:tcW w:w="1709" w:type="pct"/>
            <w:vMerge/>
          </w:tcPr>
          <w:p w14:paraId="086D3E65" w14:textId="77777777" w:rsidR="00067435" w:rsidRPr="00FC19A5" w:rsidRDefault="00067435" w:rsidP="00026175">
            <w:pPr>
              <w:tabs>
                <w:tab w:val="left" w:pos="720"/>
              </w:tabs>
              <w:jc w:val="center"/>
              <w:rPr>
                <w:rFonts w:ascii="Times New Roman" w:hAnsi="Times New Roman"/>
                <w:sz w:val="20"/>
              </w:rPr>
            </w:pPr>
          </w:p>
        </w:tc>
        <w:tc>
          <w:tcPr>
            <w:tcW w:w="1719" w:type="pct"/>
            <w:vMerge/>
          </w:tcPr>
          <w:p w14:paraId="61FF5B31" w14:textId="77777777" w:rsidR="00067435" w:rsidRPr="00FC19A5" w:rsidRDefault="00067435" w:rsidP="00026175">
            <w:pPr>
              <w:tabs>
                <w:tab w:val="left" w:pos="720"/>
              </w:tabs>
              <w:jc w:val="center"/>
              <w:rPr>
                <w:rFonts w:ascii="Times New Roman" w:hAnsi="Times New Roman"/>
                <w:sz w:val="20"/>
              </w:rPr>
            </w:pPr>
          </w:p>
        </w:tc>
        <w:tc>
          <w:tcPr>
            <w:tcW w:w="1572" w:type="pct"/>
          </w:tcPr>
          <w:p w14:paraId="1C5A50FA"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0.20</w:t>
            </w:r>
          </w:p>
        </w:tc>
      </w:tr>
      <w:tr w:rsidR="00067435" w:rsidRPr="00FC19A5" w14:paraId="1EEF3670" w14:textId="77777777" w:rsidTr="00026175">
        <w:trPr>
          <w:jc w:val="center"/>
        </w:trPr>
        <w:tc>
          <w:tcPr>
            <w:tcW w:w="1709" w:type="pct"/>
            <w:vMerge/>
          </w:tcPr>
          <w:p w14:paraId="10BC8DCF" w14:textId="77777777" w:rsidR="00067435" w:rsidRPr="00FC19A5" w:rsidRDefault="00067435" w:rsidP="00026175">
            <w:pPr>
              <w:tabs>
                <w:tab w:val="left" w:pos="720"/>
              </w:tabs>
              <w:jc w:val="center"/>
              <w:rPr>
                <w:rFonts w:ascii="Times New Roman" w:hAnsi="Times New Roman"/>
                <w:sz w:val="20"/>
              </w:rPr>
            </w:pPr>
          </w:p>
        </w:tc>
        <w:tc>
          <w:tcPr>
            <w:tcW w:w="1719" w:type="pct"/>
            <w:vMerge/>
          </w:tcPr>
          <w:p w14:paraId="2C98EB02" w14:textId="77777777" w:rsidR="00067435" w:rsidRPr="00FC19A5" w:rsidRDefault="00067435" w:rsidP="00026175">
            <w:pPr>
              <w:tabs>
                <w:tab w:val="left" w:pos="720"/>
              </w:tabs>
              <w:jc w:val="center"/>
              <w:rPr>
                <w:rFonts w:ascii="Times New Roman" w:hAnsi="Times New Roman"/>
                <w:sz w:val="20"/>
              </w:rPr>
            </w:pPr>
          </w:p>
        </w:tc>
        <w:tc>
          <w:tcPr>
            <w:tcW w:w="1572" w:type="pct"/>
          </w:tcPr>
          <w:p w14:paraId="017C7709"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0.15</w:t>
            </w:r>
          </w:p>
        </w:tc>
      </w:tr>
      <w:tr w:rsidR="00067435" w:rsidRPr="00FC19A5" w14:paraId="0B0072AE" w14:textId="77777777" w:rsidTr="00026175">
        <w:trPr>
          <w:jc w:val="center"/>
        </w:trPr>
        <w:tc>
          <w:tcPr>
            <w:tcW w:w="1709" w:type="pct"/>
            <w:vMerge/>
          </w:tcPr>
          <w:p w14:paraId="5A0839EF" w14:textId="77777777" w:rsidR="00067435" w:rsidRPr="00FC19A5" w:rsidRDefault="00067435" w:rsidP="00026175">
            <w:pPr>
              <w:tabs>
                <w:tab w:val="left" w:pos="720"/>
              </w:tabs>
              <w:jc w:val="center"/>
              <w:rPr>
                <w:rFonts w:ascii="Times New Roman" w:hAnsi="Times New Roman"/>
                <w:sz w:val="20"/>
              </w:rPr>
            </w:pPr>
          </w:p>
        </w:tc>
        <w:tc>
          <w:tcPr>
            <w:tcW w:w="1719" w:type="pct"/>
            <w:vMerge/>
          </w:tcPr>
          <w:p w14:paraId="08A3639A" w14:textId="77777777" w:rsidR="00067435" w:rsidRPr="00FC19A5" w:rsidRDefault="00067435" w:rsidP="00026175">
            <w:pPr>
              <w:tabs>
                <w:tab w:val="left" w:pos="720"/>
              </w:tabs>
              <w:jc w:val="center"/>
              <w:rPr>
                <w:rFonts w:ascii="Times New Roman" w:hAnsi="Times New Roman"/>
                <w:sz w:val="20"/>
              </w:rPr>
            </w:pPr>
          </w:p>
        </w:tc>
        <w:tc>
          <w:tcPr>
            <w:tcW w:w="1572" w:type="pct"/>
          </w:tcPr>
          <w:p w14:paraId="7F30B799" w14:textId="77777777" w:rsidR="00067435" w:rsidRPr="00FC19A5" w:rsidRDefault="00067435" w:rsidP="00026175">
            <w:pPr>
              <w:tabs>
                <w:tab w:val="left" w:pos="720"/>
              </w:tabs>
              <w:jc w:val="center"/>
              <w:rPr>
                <w:rFonts w:ascii="Times New Roman" w:hAnsi="Times New Roman"/>
                <w:sz w:val="20"/>
              </w:rPr>
            </w:pPr>
            <w:r w:rsidRPr="00FC19A5">
              <w:rPr>
                <w:rFonts w:ascii="Times New Roman" w:hAnsi="Times New Roman"/>
                <w:sz w:val="20"/>
              </w:rPr>
              <w:t>0.10</w:t>
            </w:r>
          </w:p>
        </w:tc>
      </w:tr>
    </w:tbl>
    <w:p w14:paraId="2B3C27B2" w14:textId="4F670787" w:rsidR="002E78B6" w:rsidRDefault="002E78B6" w:rsidP="00067435">
      <w:pPr>
        <w:tabs>
          <w:tab w:val="left" w:pos="0"/>
        </w:tabs>
        <w:contextualSpacing/>
        <w:rPr>
          <w:b/>
          <w:bCs/>
          <w:lang w:val="en-GB"/>
        </w:rPr>
      </w:pPr>
    </w:p>
    <w:p w14:paraId="3DCBB121" w14:textId="77777777" w:rsidR="00067435" w:rsidRPr="00FC19A5" w:rsidRDefault="00067435" w:rsidP="00E05ECD">
      <w:pPr>
        <w:numPr>
          <w:ilvl w:val="0"/>
          <w:numId w:val="115"/>
        </w:numPr>
        <w:tabs>
          <w:tab w:val="left" w:pos="0"/>
        </w:tabs>
        <w:contextualSpacing/>
        <w:rPr>
          <w:b/>
          <w:bCs/>
          <w:lang w:val="en-GB"/>
        </w:rPr>
      </w:pPr>
      <w:r w:rsidRPr="00FC19A5">
        <w:rPr>
          <w:b/>
          <w:bCs/>
          <w:lang w:val="en-GB"/>
        </w:rPr>
        <w:t xml:space="preserve">Dose preparation: </w:t>
      </w:r>
    </w:p>
    <w:p w14:paraId="4A57142E" w14:textId="77777777" w:rsidR="00067435" w:rsidRPr="00FC19A5" w:rsidRDefault="00067435" w:rsidP="00067435">
      <w:pPr>
        <w:tabs>
          <w:tab w:val="left" w:pos="720"/>
        </w:tabs>
        <w:rPr>
          <w:b/>
          <w:bCs/>
          <w:lang w:val="en-GB"/>
        </w:rPr>
      </w:pPr>
    </w:p>
    <w:p w14:paraId="09AE16B6" w14:textId="77777777" w:rsidR="00067435" w:rsidRPr="00FC19A5" w:rsidRDefault="00067435" w:rsidP="00067435">
      <w:pPr>
        <w:tabs>
          <w:tab w:val="left" w:pos="720"/>
        </w:tabs>
        <w:rPr>
          <w:b/>
          <w:bCs/>
          <w:lang w:val="en-GB"/>
        </w:rPr>
      </w:pPr>
      <w:r w:rsidRPr="00FC19A5">
        <w:rPr>
          <w:b/>
          <w:bCs/>
          <w:lang w:val="en-GB"/>
        </w:rPr>
        <w:t xml:space="preserve">Oral test </w:t>
      </w:r>
    </w:p>
    <w:p w14:paraId="76A9EA1A" w14:textId="77777777" w:rsidR="00067435" w:rsidRPr="00FC19A5" w:rsidRDefault="00067435" w:rsidP="008D2927">
      <w:pPr>
        <w:pStyle w:val="Default"/>
        <w:jc w:val="both"/>
        <w:rPr>
          <w:rFonts w:ascii="Times New Roman" w:hAnsi="Times New Roman" w:cs="Times New Roman"/>
          <w:sz w:val="22"/>
          <w:szCs w:val="22"/>
        </w:rPr>
      </w:pPr>
      <w:r w:rsidRPr="00FC19A5">
        <w:rPr>
          <w:rFonts w:ascii="Times New Roman" w:hAnsi="Times New Roman" w:cs="Times New Roman"/>
          <w:sz w:val="22"/>
          <w:szCs w:val="22"/>
        </w:rPr>
        <w:t>78 mg of the test item was dissolved in 10 g 50 % w/v sucrose solution (stock solution). 20 mg of stock solution contained 109.0 μg of the a.s. of propamocarb-HCL tech. The 109.0 μg a.s./bee dose level would have been obtained if 20 mg of the stock solution per bee was ingested. A dose of 122.1 μg a.s./bee was obtained, because the bees ingested between 22 and 23 mg treated food per bee.</w:t>
      </w:r>
    </w:p>
    <w:p w14:paraId="563C826B" w14:textId="77777777" w:rsidR="00067435" w:rsidRPr="00FC19A5" w:rsidRDefault="00067435" w:rsidP="008D2927">
      <w:pPr>
        <w:pStyle w:val="Default"/>
        <w:jc w:val="both"/>
        <w:rPr>
          <w:rFonts w:ascii="Times New Roman" w:hAnsi="Times New Roman" w:cs="Times New Roman"/>
          <w:b/>
          <w:bCs/>
        </w:rPr>
      </w:pPr>
    </w:p>
    <w:p w14:paraId="25F8B70D" w14:textId="77777777" w:rsidR="00067435" w:rsidRPr="00FC19A5" w:rsidRDefault="00067435" w:rsidP="008D2927">
      <w:pPr>
        <w:tabs>
          <w:tab w:val="left" w:pos="720"/>
        </w:tabs>
        <w:jc w:val="both"/>
        <w:rPr>
          <w:b/>
          <w:bCs/>
          <w:lang w:val="en-GB"/>
        </w:rPr>
      </w:pPr>
      <w:r w:rsidRPr="00FC19A5">
        <w:rPr>
          <w:b/>
          <w:bCs/>
          <w:lang w:val="en-GB"/>
        </w:rPr>
        <w:t>Contact test</w:t>
      </w:r>
    </w:p>
    <w:p w14:paraId="51932CE3" w14:textId="77777777" w:rsidR="00067435" w:rsidRPr="00FC19A5" w:rsidRDefault="00067435" w:rsidP="008D2927">
      <w:pPr>
        <w:pStyle w:val="Akapitzlist"/>
        <w:tabs>
          <w:tab w:val="left" w:pos="0"/>
          <w:tab w:val="left" w:pos="90"/>
        </w:tabs>
        <w:ind w:left="0"/>
        <w:jc w:val="both"/>
        <w:rPr>
          <w:lang w:val="en-GB"/>
        </w:rPr>
      </w:pPr>
      <w:r w:rsidRPr="00FC19A5">
        <w:rPr>
          <w:lang w:val="en-GB"/>
        </w:rPr>
        <w:t>311 mg of the test item was dissolved in 10 mL carrier (= water containing 0.5 % Adhäsit) (stock solution). 5 μL of the stock solution contained 109.0 μg of the a.s. of propamocarb-HCL tech. The 109.0 μg a.i./bee dose was obtained when 5 μL of the stock solution was applied to each bee.</w:t>
      </w:r>
    </w:p>
    <w:p w14:paraId="162DDF07" w14:textId="77777777" w:rsidR="00067435" w:rsidRPr="00FC19A5" w:rsidRDefault="00067435" w:rsidP="008D2927">
      <w:pPr>
        <w:pStyle w:val="Akapitzlist"/>
        <w:tabs>
          <w:tab w:val="left" w:pos="0"/>
          <w:tab w:val="left" w:pos="90"/>
        </w:tabs>
        <w:ind w:left="0"/>
        <w:jc w:val="both"/>
        <w:rPr>
          <w:lang w:val="en-GB"/>
        </w:rPr>
      </w:pPr>
    </w:p>
    <w:p w14:paraId="78D1CBDB" w14:textId="77777777" w:rsidR="00067435" w:rsidRPr="00FC19A5" w:rsidRDefault="00067435" w:rsidP="008D2927">
      <w:pPr>
        <w:numPr>
          <w:ilvl w:val="0"/>
          <w:numId w:val="115"/>
        </w:numPr>
        <w:tabs>
          <w:tab w:val="left" w:pos="0"/>
        </w:tabs>
        <w:contextualSpacing/>
        <w:jc w:val="both"/>
        <w:rPr>
          <w:b/>
          <w:bCs/>
          <w:lang w:val="en-GB"/>
        </w:rPr>
      </w:pPr>
      <w:r w:rsidRPr="00FC19A5">
        <w:rPr>
          <w:b/>
          <w:bCs/>
          <w:lang w:val="en-GB"/>
        </w:rPr>
        <w:t xml:space="preserve">Measurements and observations: </w:t>
      </w:r>
    </w:p>
    <w:p w14:paraId="2386993B" w14:textId="77777777" w:rsidR="00067435" w:rsidRPr="00FC19A5" w:rsidRDefault="00067435" w:rsidP="008D2927">
      <w:pPr>
        <w:tabs>
          <w:tab w:val="left" w:pos="720"/>
        </w:tabs>
        <w:jc w:val="both"/>
        <w:rPr>
          <w:lang w:val="en-GB"/>
        </w:rPr>
      </w:pPr>
      <w:r w:rsidRPr="00FC19A5">
        <w:rPr>
          <w:lang w:val="en-GB"/>
        </w:rPr>
        <w:t>In both tests, assessments of bee mortality and behavioural effects were made after 4, 24 and 48 hours. During the behavioural assessments, bees were classified as either healthy (normal), affected (impaired locomotion), cramps, vomiting, apathy (delayed reactions) or moribund. Other effects such as abnormal quantity/colour of excretion were also observed and recorded. All evaluations were made in comparison with the controls.</w:t>
      </w:r>
    </w:p>
    <w:p w14:paraId="7DB12BE5" w14:textId="77777777" w:rsidR="00067435" w:rsidRPr="00FC19A5" w:rsidRDefault="00067435" w:rsidP="008D2927">
      <w:pPr>
        <w:tabs>
          <w:tab w:val="left" w:pos="720"/>
        </w:tabs>
        <w:jc w:val="both"/>
        <w:rPr>
          <w:lang w:val="en-GB"/>
        </w:rPr>
      </w:pPr>
    </w:p>
    <w:p w14:paraId="10EDEAA1" w14:textId="77777777" w:rsidR="00067435" w:rsidRPr="00FC19A5" w:rsidRDefault="00067435" w:rsidP="008D2927">
      <w:pPr>
        <w:numPr>
          <w:ilvl w:val="0"/>
          <w:numId w:val="115"/>
        </w:numPr>
        <w:tabs>
          <w:tab w:val="left" w:pos="0"/>
        </w:tabs>
        <w:contextualSpacing/>
        <w:jc w:val="both"/>
        <w:rPr>
          <w:b/>
          <w:bCs/>
          <w:lang w:val="en-GB"/>
        </w:rPr>
      </w:pPr>
      <w:r w:rsidRPr="00FC19A5">
        <w:rPr>
          <w:b/>
          <w:bCs/>
          <w:lang w:val="en-GB"/>
        </w:rPr>
        <w:t xml:space="preserve">Statistical analysis: </w:t>
      </w:r>
    </w:p>
    <w:p w14:paraId="124ECE79" w14:textId="77777777" w:rsidR="00067435" w:rsidRPr="00FC19A5" w:rsidRDefault="00067435" w:rsidP="008D2927">
      <w:pPr>
        <w:tabs>
          <w:tab w:val="left" w:pos="720"/>
        </w:tabs>
        <w:jc w:val="both"/>
        <w:rPr>
          <w:lang w:val="en-GB"/>
        </w:rPr>
      </w:pPr>
    </w:p>
    <w:p w14:paraId="7453C355" w14:textId="3EC6F3EE" w:rsidR="00C51B86" w:rsidRDefault="00067435" w:rsidP="008D2927">
      <w:pPr>
        <w:autoSpaceDE w:val="0"/>
        <w:autoSpaceDN w:val="0"/>
        <w:adjustRightInd w:val="0"/>
        <w:jc w:val="both"/>
        <w:rPr>
          <w:rFonts w:eastAsiaTheme="minorHAnsi"/>
          <w:color w:val="000000"/>
          <w:lang w:val="en-GB"/>
        </w:rPr>
      </w:pPr>
      <w:r w:rsidRPr="00FC19A5">
        <w:rPr>
          <w:lang w:val="en-GB"/>
        </w:rPr>
        <w:t>Results obtained from the bees treated with the test item and the reference item were compared to those obtained from the control in both the contact and oral tests. The contact and oral LD</w:t>
      </w:r>
      <w:r w:rsidRPr="00FC19A5">
        <w:rPr>
          <w:vertAlign w:val="subscript"/>
          <w:lang w:val="en-GB"/>
        </w:rPr>
        <w:t xml:space="preserve">50 </w:t>
      </w:r>
      <w:r w:rsidRPr="00FC19A5">
        <w:rPr>
          <w:lang w:val="en-GB"/>
        </w:rPr>
        <w:t xml:space="preserve">values of the reference item were estimated with Probit Analysis. It was not necessary to correct the reference item mortality, since </w:t>
      </w:r>
      <w:r w:rsidRPr="00FC19A5">
        <w:rPr>
          <w:lang w:val="en-GB"/>
        </w:rPr>
        <w:lastRenderedPageBreak/>
        <w:t xml:space="preserve">no control mortality occurred in either the contact or oral toxicity tests, respectively. The NOED of the test item was estimated using Fisher’s Exact Test (pairwise comparison, one-sided greater, α = 0.05), which is a distribution-free test and does not require testing for normality or homogeneity prior to analysis. </w:t>
      </w:r>
      <w:r w:rsidRPr="00FC19A5">
        <w:rPr>
          <w:rFonts w:eastAsiaTheme="minorHAnsi"/>
          <w:color w:val="000000"/>
          <w:lang w:val="en-GB"/>
        </w:rPr>
        <w:t xml:space="preserve">The software used to perform the statistical analysis was ToxRat Professional, Version 2.10.05, ToxRat Solutions GmbH. </w:t>
      </w:r>
    </w:p>
    <w:p w14:paraId="4C7989BE" w14:textId="77777777" w:rsidR="00067435" w:rsidRPr="00FC19A5" w:rsidRDefault="00067435" w:rsidP="008D2927">
      <w:pPr>
        <w:pStyle w:val="OECDStandardboldcentered"/>
        <w:rPr>
          <w:u w:val="single"/>
          <w:lang w:eastAsia="de-DE"/>
        </w:rPr>
      </w:pPr>
      <w:r w:rsidRPr="00FC19A5">
        <w:t>II. Results and Discussion</w:t>
      </w:r>
    </w:p>
    <w:p w14:paraId="6DA60D38" w14:textId="77777777" w:rsidR="00067435" w:rsidRPr="00FC19A5" w:rsidRDefault="00067435" w:rsidP="00067435">
      <w:pPr>
        <w:tabs>
          <w:tab w:val="left" w:pos="0"/>
        </w:tabs>
        <w:ind w:left="357" w:hanging="357"/>
        <w:contextualSpacing/>
        <w:rPr>
          <w:b/>
          <w:bCs/>
          <w:caps/>
          <w:lang w:val="en-GB"/>
        </w:rPr>
      </w:pPr>
      <w:r w:rsidRPr="00FC19A5">
        <w:rPr>
          <w:b/>
          <w:bCs/>
          <w:caps/>
          <w:lang w:val="en-GB"/>
        </w:rPr>
        <w:t>C.</w:t>
      </w:r>
      <w:r w:rsidRPr="00FC19A5">
        <w:rPr>
          <w:b/>
          <w:bCs/>
          <w:caps/>
          <w:lang w:val="en-GB"/>
        </w:rPr>
        <w:tab/>
        <w:t>BIOLOGICAL EFFECTS</w:t>
      </w:r>
    </w:p>
    <w:p w14:paraId="16561D53" w14:textId="77777777" w:rsidR="00067435" w:rsidRPr="00FC19A5" w:rsidRDefault="00067435" w:rsidP="00067435">
      <w:pPr>
        <w:tabs>
          <w:tab w:val="left" w:pos="720"/>
        </w:tabs>
        <w:rPr>
          <w:highlight w:val="yellow"/>
          <w:lang w:val="en-GB"/>
        </w:rPr>
      </w:pPr>
    </w:p>
    <w:p w14:paraId="00AFB5EC" w14:textId="77777777" w:rsidR="00067435" w:rsidRPr="00FC19A5" w:rsidRDefault="00067435" w:rsidP="00067435">
      <w:pPr>
        <w:keepNext/>
        <w:keepLines/>
        <w:tabs>
          <w:tab w:val="left" w:pos="720"/>
        </w:tabs>
        <w:rPr>
          <w:b/>
          <w:bCs/>
          <w:lang w:val="en-GB"/>
        </w:rPr>
      </w:pPr>
      <w:r w:rsidRPr="00FC19A5">
        <w:rPr>
          <w:b/>
          <w:bCs/>
          <w:lang w:val="en-GB"/>
        </w:rPr>
        <w:t>Oral test</w:t>
      </w:r>
    </w:p>
    <w:p w14:paraId="6FE2DE1F" w14:textId="09108D70" w:rsidR="00067435" w:rsidRPr="00942D4A" w:rsidRDefault="00067435" w:rsidP="00067435">
      <w:pPr>
        <w:keepNext/>
        <w:keepLines/>
        <w:tabs>
          <w:tab w:val="left" w:pos="720"/>
        </w:tabs>
        <w:spacing w:after="240"/>
        <w:rPr>
          <w:lang w:val="en-GB"/>
        </w:rPr>
      </w:pPr>
      <w:r w:rsidRPr="00FC19A5">
        <w:rPr>
          <w:lang w:val="en-GB"/>
        </w:rPr>
        <w:t xml:space="preserve">In the oral toxicity test, the maximum nominal test level of propamocarb-HCL tech. (i.e. 109.0 μg a.s./bee) corresponded to an actual intake of 122.1 μg a.s./bee. At this dose level and in the control group (50 % w/v sucrose solution) no mortality occurred after 48 hours, respectively. No test item induced behavioural abnormalities occurred. Since only no mortality </w:t>
      </w:r>
      <w:r w:rsidRPr="00942D4A">
        <w:rPr>
          <w:lang w:val="en-GB"/>
        </w:rPr>
        <w:t>occurred in the 122.1 μg a.s./bee group, the oral LD</w:t>
      </w:r>
      <w:r w:rsidRPr="00942D4A">
        <w:rPr>
          <w:vertAlign w:val="subscript"/>
          <w:lang w:val="en-GB"/>
        </w:rPr>
        <w:t>50</w:t>
      </w:r>
      <w:r w:rsidRPr="00942D4A">
        <w:rPr>
          <w:lang w:val="en-GB"/>
        </w:rPr>
        <w:t xml:space="preserve"> can be considered as &gt; 122.1 μg a.s./bee. 48-hour LD</w:t>
      </w:r>
      <w:r w:rsidRPr="00942D4A">
        <w:rPr>
          <w:vertAlign w:val="subscript"/>
          <w:lang w:val="en-GB"/>
        </w:rPr>
        <w:t>50</w:t>
      </w:r>
      <w:r w:rsidRPr="00942D4A">
        <w:rPr>
          <w:lang w:val="en-GB"/>
        </w:rPr>
        <w:t xml:space="preserve"> values are summarised in</w:t>
      </w:r>
      <w:r w:rsidR="00B66082">
        <w:rPr>
          <w:lang w:val="en-GB"/>
        </w:rPr>
        <w:t xml:space="preserve"> </w:t>
      </w:r>
      <w:r w:rsidR="00B66082">
        <w:rPr>
          <w:lang w:val="en-GB"/>
        </w:rPr>
        <w:fldChar w:fldCharType="begin"/>
      </w:r>
      <w:r w:rsidR="00B66082">
        <w:rPr>
          <w:lang w:val="en-GB"/>
        </w:rPr>
        <w:instrText xml:space="preserve"> REF _Ref147908311 \h </w:instrText>
      </w:r>
      <w:r w:rsidR="00B66082">
        <w:rPr>
          <w:lang w:val="en-GB"/>
        </w:rPr>
      </w:r>
      <w:r w:rsidR="00B66082">
        <w:rPr>
          <w:lang w:val="en-GB"/>
        </w:rPr>
        <w:fldChar w:fldCharType="separate"/>
      </w:r>
      <w:r w:rsidR="006F0F3B">
        <w:t xml:space="preserve">Table A </w:t>
      </w:r>
      <w:r w:rsidR="006F0F3B">
        <w:rPr>
          <w:noProof/>
        </w:rPr>
        <w:t>41</w:t>
      </w:r>
      <w:r w:rsidR="00B66082">
        <w:rPr>
          <w:lang w:val="en-GB"/>
        </w:rPr>
        <w:fldChar w:fldCharType="end"/>
      </w:r>
      <w:r w:rsidRPr="00942D4A">
        <w:rPr>
          <w:lang w:val="en-GB"/>
        </w:rPr>
        <w:t>.</w:t>
      </w:r>
    </w:p>
    <w:p w14:paraId="6D703EBA" w14:textId="6B0A9117" w:rsidR="002E78B6" w:rsidRDefault="00067435" w:rsidP="00067435">
      <w:pPr>
        <w:keepNext/>
        <w:keepLines/>
        <w:tabs>
          <w:tab w:val="left" w:pos="720"/>
        </w:tabs>
        <w:spacing w:after="240"/>
        <w:rPr>
          <w:lang w:val="en-GB"/>
        </w:rPr>
      </w:pPr>
      <w:r w:rsidRPr="00942D4A">
        <w:rPr>
          <w:lang w:val="en-GB"/>
        </w:rPr>
        <w:t>The 24-hour LD</w:t>
      </w:r>
      <w:r w:rsidRPr="00942D4A">
        <w:rPr>
          <w:vertAlign w:val="subscript"/>
          <w:lang w:val="en-GB"/>
        </w:rPr>
        <w:t>50</w:t>
      </w:r>
      <w:r w:rsidRPr="00942D4A">
        <w:rPr>
          <w:lang w:val="en-GB"/>
        </w:rPr>
        <w:t xml:space="preserve"> for the reference item was determined to be 0.15 μg a.s./bee (95% confidence limits 0.14 – 0.17μg a.s./bee) based on actual consumption. Results demonstrated the sensitivity of the test system.</w:t>
      </w:r>
    </w:p>
    <w:p w14:paraId="06234781" w14:textId="77777777" w:rsidR="00067435" w:rsidRPr="00942D4A" w:rsidRDefault="00067435" w:rsidP="00067435">
      <w:pPr>
        <w:tabs>
          <w:tab w:val="left" w:pos="720"/>
        </w:tabs>
        <w:rPr>
          <w:b/>
          <w:bCs/>
          <w:lang w:val="en-GB"/>
        </w:rPr>
      </w:pPr>
      <w:r w:rsidRPr="00942D4A">
        <w:rPr>
          <w:b/>
          <w:bCs/>
          <w:lang w:val="en-GB"/>
        </w:rPr>
        <w:t>Contact test</w:t>
      </w:r>
    </w:p>
    <w:p w14:paraId="127AE2ED" w14:textId="79FA3F21" w:rsidR="00067435" w:rsidRPr="00942D4A" w:rsidRDefault="00067435" w:rsidP="00067435">
      <w:pPr>
        <w:autoSpaceDE w:val="0"/>
        <w:autoSpaceDN w:val="0"/>
        <w:adjustRightInd w:val="0"/>
        <w:rPr>
          <w:lang w:val="en-GB"/>
        </w:rPr>
      </w:pPr>
      <w:r w:rsidRPr="00942D4A">
        <w:rPr>
          <w:rFonts w:eastAsiaTheme="minorHAnsi"/>
          <w:color w:val="000000"/>
          <w:lang w:val="en-GB"/>
        </w:rPr>
        <w:t xml:space="preserve">At the end of the contact toxicity test (48 hours after application), 2 % mortality occurred at 109.0 </w:t>
      </w:r>
      <w:r w:rsidRPr="00942D4A">
        <w:rPr>
          <w:rFonts w:eastAsiaTheme="minorHAnsi"/>
          <w:color w:val="000000"/>
        </w:rPr>
        <w:t>μ</w:t>
      </w:r>
      <w:r w:rsidRPr="00942D4A">
        <w:rPr>
          <w:rFonts w:eastAsiaTheme="minorHAnsi"/>
          <w:color w:val="000000"/>
          <w:lang w:val="en-GB"/>
        </w:rPr>
        <w:t xml:space="preserve">g a.s./bee. There was no mortality in the control (water + 0.5 % Adhäsit). No test item induced behavioural abnormalities occurred. Since only 2.0 % mortality occurred in the 109.0 </w:t>
      </w:r>
      <w:r w:rsidRPr="00942D4A">
        <w:rPr>
          <w:rFonts w:eastAsiaTheme="minorHAnsi"/>
          <w:color w:val="000000"/>
        </w:rPr>
        <w:t>μ</w:t>
      </w:r>
      <w:r w:rsidRPr="00942D4A">
        <w:rPr>
          <w:rFonts w:eastAsiaTheme="minorHAnsi"/>
          <w:color w:val="000000"/>
          <w:lang w:val="en-GB"/>
        </w:rPr>
        <w:t>g a.s./bee group, the contact LD</w:t>
      </w:r>
      <w:r w:rsidRPr="00942D4A">
        <w:rPr>
          <w:rFonts w:eastAsiaTheme="minorHAnsi"/>
          <w:color w:val="000000"/>
          <w:vertAlign w:val="subscript"/>
          <w:lang w:val="en-GB"/>
        </w:rPr>
        <w:t>50</w:t>
      </w:r>
      <w:r w:rsidRPr="00942D4A">
        <w:rPr>
          <w:rFonts w:eastAsiaTheme="minorHAnsi"/>
          <w:color w:val="000000"/>
          <w:lang w:val="en-GB"/>
        </w:rPr>
        <w:t xml:space="preserve"> can be considered as &gt; 109.0 </w:t>
      </w:r>
      <w:r w:rsidRPr="00942D4A">
        <w:rPr>
          <w:rFonts w:eastAsiaTheme="minorHAnsi"/>
          <w:color w:val="000000"/>
        </w:rPr>
        <w:t>μ</w:t>
      </w:r>
      <w:r w:rsidRPr="00942D4A">
        <w:rPr>
          <w:rFonts w:eastAsiaTheme="minorHAnsi"/>
          <w:color w:val="000000"/>
          <w:lang w:val="en-GB"/>
        </w:rPr>
        <w:t xml:space="preserve">g a.s./bee. </w:t>
      </w:r>
      <w:r w:rsidRPr="00942D4A">
        <w:rPr>
          <w:lang w:val="en-GB"/>
        </w:rPr>
        <w:t>48-hour LD</w:t>
      </w:r>
      <w:r w:rsidRPr="00942D4A">
        <w:rPr>
          <w:vertAlign w:val="subscript"/>
          <w:lang w:val="en-GB"/>
        </w:rPr>
        <w:t>50</w:t>
      </w:r>
      <w:r w:rsidRPr="00942D4A">
        <w:rPr>
          <w:lang w:val="en-GB"/>
        </w:rPr>
        <w:t xml:space="preserve"> values are summarised in</w:t>
      </w:r>
      <w:r w:rsidR="00B66082">
        <w:rPr>
          <w:lang w:val="en-GB"/>
        </w:rPr>
        <w:t xml:space="preserve"> </w:t>
      </w:r>
      <w:r w:rsidR="00B66082">
        <w:rPr>
          <w:lang w:val="en-GB"/>
        </w:rPr>
        <w:fldChar w:fldCharType="begin"/>
      </w:r>
      <w:r w:rsidR="00B66082">
        <w:rPr>
          <w:lang w:val="en-GB"/>
        </w:rPr>
        <w:instrText xml:space="preserve"> REF _Ref147908311 \h </w:instrText>
      </w:r>
      <w:r w:rsidR="00B66082">
        <w:rPr>
          <w:lang w:val="en-GB"/>
        </w:rPr>
      </w:r>
      <w:r w:rsidR="00B66082">
        <w:rPr>
          <w:lang w:val="en-GB"/>
        </w:rPr>
        <w:fldChar w:fldCharType="separate"/>
      </w:r>
      <w:r w:rsidR="006F0F3B">
        <w:t xml:space="preserve">Table A </w:t>
      </w:r>
      <w:r w:rsidR="006F0F3B">
        <w:rPr>
          <w:noProof/>
        </w:rPr>
        <w:t>41</w:t>
      </w:r>
      <w:r w:rsidR="00B66082">
        <w:rPr>
          <w:lang w:val="en-GB"/>
        </w:rPr>
        <w:fldChar w:fldCharType="end"/>
      </w:r>
      <w:r w:rsidRPr="00942D4A">
        <w:rPr>
          <w:lang w:val="en-GB"/>
        </w:rPr>
        <w:t xml:space="preserve">. </w:t>
      </w:r>
    </w:p>
    <w:p w14:paraId="0F606761" w14:textId="77777777" w:rsidR="00067435" w:rsidRPr="00942D4A" w:rsidRDefault="00067435" w:rsidP="00067435">
      <w:pPr>
        <w:tabs>
          <w:tab w:val="left" w:pos="720"/>
        </w:tabs>
        <w:spacing w:after="240"/>
        <w:rPr>
          <w:lang w:val="en-GB"/>
        </w:rPr>
      </w:pPr>
      <w:r w:rsidRPr="00942D4A">
        <w:rPr>
          <w:lang w:val="en-GB"/>
        </w:rPr>
        <w:t>The 24-hour LD</w:t>
      </w:r>
      <w:r w:rsidRPr="00942D4A">
        <w:rPr>
          <w:vertAlign w:val="subscript"/>
          <w:lang w:val="en-GB"/>
        </w:rPr>
        <w:t xml:space="preserve">50 </w:t>
      </w:r>
      <w:r w:rsidRPr="00942D4A">
        <w:rPr>
          <w:lang w:val="en-GB"/>
        </w:rPr>
        <w:t xml:space="preserve">for the reference item was determined to be 0.25μg a.s./bee (95% confidence limits 0.22 – 0.29 μg a.s./bee). </w:t>
      </w:r>
    </w:p>
    <w:p w14:paraId="006AC072" w14:textId="7D62C330" w:rsidR="00067435" w:rsidRPr="00FC19A5" w:rsidRDefault="00B66082" w:rsidP="00B66082">
      <w:pPr>
        <w:pStyle w:val="Legenda"/>
        <w:rPr>
          <w:b w:val="0"/>
          <w:bCs w:val="0"/>
          <w:highlight w:val="yellow"/>
        </w:rPr>
      </w:pPr>
      <w:bookmarkStart w:id="1100" w:name="_Ref147908311"/>
      <w:r>
        <w:t xml:space="preserve">Table A </w:t>
      </w:r>
      <w:r>
        <w:fldChar w:fldCharType="begin"/>
      </w:r>
      <w:r>
        <w:instrText xml:space="preserve"> SEQ Table_A \* ARABIC </w:instrText>
      </w:r>
      <w:r>
        <w:fldChar w:fldCharType="separate"/>
      </w:r>
      <w:r w:rsidR="006F0F3B">
        <w:rPr>
          <w:noProof/>
        </w:rPr>
        <w:t>41</w:t>
      </w:r>
      <w:r>
        <w:fldChar w:fldCharType="end"/>
      </w:r>
      <w:bookmarkEnd w:id="1100"/>
      <w:r w:rsidR="00067435" w:rsidRPr="00942D4A">
        <w:t>: LD</w:t>
      </w:r>
      <w:r w:rsidR="00067435" w:rsidRPr="00942D4A">
        <w:rPr>
          <w:vertAlign w:val="subscript"/>
        </w:rPr>
        <w:t>50</w:t>
      </w:r>
      <w:r w:rsidR="00067435" w:rsidRPr="00942D4A">
        <w:t xml:space="preserve"> values of the oral and contact toxicity</w:t>
      </w:r>
      <w:r w:rsidR="00067435" w:rsidRPr="00FC19A5">
        <w:t xml:space="preserve"> tests with Propamocarb and the honeybee </w:t>
      </w:r>
      <w:r w:rsidR="00067435" w:rsidRPr="00FC19A5">
        <w:rPr>
          <w:i/>
          <w:iCs/>
        </w:rPr>
        <w:t xml:space="preserve">Apis mellifera </w:t>
      </w:r>
      <w:r w:rsidR="00067435" w:rsidRPr="00FC19A5">
        <w:t xml:space="preserve">L. </w:t>
      </w:r>
    </w:p>
    <w:tbl>
      <w:tblPr>
        <w:tblStyle w:val="TableGrid1"/>
        <w:tblW w:w="0" w:type="auto"/>
        <w:tblInd w:w="-5" w:type="dxa"/>
        <w:tblLook w:val="04A0" w:firstRow="1" w:lastRow="0" w:firstColumn="1" w:lastColumn="0" w:noHBand="0" w:noVBand="1"/>
      </w:tblPr>
      <w:tblGrid>
        <w:gridCol w:w="2805"/>
        <w:gridCol w:w="3130"/>
        <w:gridCol w:w="3132"/>
      </w:tblGrid>
      <w:tr w:rsidR="00067435" w:rsidRPr="00FC19A5" w14:paraId="6850B7FA" w14:textId="77777777" w:rsidTr="00026175">
        <w:trPr>
          <w:trHeight w:hRule="exact" w:val="340"/>
        </w:trPr>
        <w:tc>
          <w:tcPr>
            <w:tcW w:w="2805" w:type="dxa"/>
          </w:tcPr>
          <w:p w14:paraId="1A657E7A" w14:textId="77777777" w:rsidR="00067435" w:rsidRPr="00FC19A5" w:rsidRDefault="00067435" w:rsidP="00026175">
            <w:pPr>
              <w:tabs>
                <w:tab w:val="left" w:pos="720"/>
              </w:tabs>
              <w:spacing w:after="240"/>
              <w:jc w:val="center"/>
              <w:rPr>
                <w:rFonts w:ascii="Times New Roman" w:hAnsi="Times New Roman"/>
                <w:b/>
                <w:bCs/>
                <w:sz w:val="20"/>
              </w:rPr>
            </w:pPr>
          </w:p>
        </w:tc>
        <w:tc>
          <w:tcPr>
            <w:tcW w:w="3130" w:type="dxa"/>
          </w:tcPr>
          <w:p w14:paraId="42B1D67A" w14:textId="77777777" w:rsidR="00067435" w:rsidRPr="00FC19A5" w:rsidRDefault="00067435" w:rsidP="00026175">
            <w:pPr>
              <w:tabs>
                <w:tab w:val="left" w:pos="720"/>
              </w:tabs>
              <w:spacing w:after="240"/>
              <w:jc w:val="center"/>
              <w:rPr>
                <w:rFonts w:ascii="Times New Roman" w:hAnsi="Times New Roman"/>
                <w:b/>
                <w:bCs/>
                <w:sz w:val="20"/>
              </w:rPr>
            </w:pPr>
            <w:r w:rsidRPr="00FC19A5">
              <w:rPr>
                <w:rFonts w:ascii="Times New Roman" w:hAnsi="Times New Roman"/>
                <w:b/>
                <w:bCs/>
                <w:sz w:val="20"/>
              </w:rPr>
              <w:t>Oral toxicity test</w:t>
            </w:r>
          </w:p>
        </w:tc>
        <w:tc>
          <w:tcPr>
            <w:tcW w:w="3132" w:type="dxa"/>
          </w:tcPr>
          <w:p w14:paraId="3B7DE897" w14:textId="77777777" w:rsidR="00067435" w:rsidRPr="00FC19A5" w:rsidRDefault="00067435" w:rsidP="00026175">
            <w:pPr>
              <w:tabs>
                <w:tab w:val="left" w:pos="720"/>
              </w:tabs>
              <w:spacing w:after="240"/>
              <w:jc w:val="center"/>
              <w:rPr>
                <w:rFonts w:ascii="Times New Roman" w:hAnsi="Times New Roman"/>
                <w:b/>
                <w:bCs/>
                <w:sz w:val="20"/>
              </w:rPr>
            </w:pPr>
            <w:r w:rsidRPr="00FC19A5">
              <w:rPr>
                <w:rFonts w:ascii="Times New Roman" w:hAnsi="Times New Roman"/>
                <w:b/>
                <w:bCs/>
                <w:sz w:val="20"/>
              </w:rPr>
              <w:t>Contact toxicity test</w:t>
            </w:r>
          </w:p>
        </w:tc>
      </w:tr>
      <w:tr w:rsidR="00067435" w:rsidRPr="00FC19A5" w14:paraId="740651FE" w14:textId="77777777" w:rsidTr="00026175">
        <w:trPr>
          <w:trHeight w:hRule="exact" w:val="340"/>
        </w:trPr>
        <w:tc>
          <w:tcPr>
            <w:tcW w:w="2805" w:type="dxa"/>
          </w:tcPr>
          <w:p w14:paraId="7BAEEAD4" w14:textId="77777777" w:rsidR="00067435" w:rsidRPr="00FC19A5" w:rsidRDefault="00067435" w:rsidP="00026175">
            <w:pPr>
              <w:tabs>
                <w:tab w:val="left" w:pos="720"/>
              </w:tabs>
              <w:spacing w:after="240"/>
              <w:jc w:val="center"/>
              <w:rPr>
                <w:rFonts w:ascii="Times New Roman" w:hAnsi="Times New Roman"/>
                <w:sz w:val="20"/>
              </w:rPr>
            </w:pPr>
            <w:r w:rsidRPr="00FC19A5">
              <w:rPr>
                <w:rFonts w:ascii="Times New Roman" w:hAnsi="Times New Roman"/>
                <w:sz w:val="20"/>
              </w:rPr>
              <w:t>48-hour LD</w:t>
            </w:r>
            <w:r w:rsidRPr="00FC19A5">
              <w:rPr>
                <w:rFonts w:ascii="Times New Roman" w:hAnsi="Times New Roman"/>
                <w:sz w:val="20"/>
                <w:vertAlign w:val="subscript"/>
              </w:rPr>
              <w:t>50</w:t>
            </w:r>
            <w:r w:rsidRPr="00FC19A5">
              <w:rPr>
                <w:rFonts w:ascii="Times New Roman" w:hAnsi="Times New Roman"/>
                <w:sz w:val="20"/>
              </w:rPr>
              <w:t xml:space="preserve"> (µg total a.s./bee)</w:t>
            </w:r>
          </w:p>
        </w:tc>
        <w:tc>
          <w:tcPr>
            <w:tcW w:w="3130" w:type="dxa"/>
          </w:tcPr>
          <w:p w14:paraId="0073AE45" w14:textId="77777777" w:rsidR="00067435" w:rsidRPr="00FC19A5" w:rsidRDefault="00067435" w:rsidP="00026175">
            <w:pPr>
              <w:tabs>
                <w:tab w:val="left" w:pos="720"/>
              </w:tabs>
              <w:spacing w:after="240"/>
              <w:jc w:val="center"/>
              <w:rPr>
                <w:rFonts w:ascii="Times New Roman" w:hAnsi="Times New Roman"/>
                <w:sz w:val="20"/>
              </w:rPr>
            </w:pPr>
            <w:r w:rsidRPr="00FC19A5">
              <w:rPr>
                <w:rFonts w:ascii="Times New Roman" w:hAnsi="Times New Roman"/>
                <w:sz w:val="20"/>
              </w:rPr>
              <w:t>&gt;122.1</w:t>
            </w:r>
          </w:p>
        </w:tc>
        <w:tc>
          <w:tcPr>
            <w:tcW w:w="3132" w:type="dxa"/>
          </w:tcPr>
          <w:p w14:paraId="70F14C3A" w14:textId="77777777" w:rsidR="00067435" w:rsidRPr="00FC19A5" w:rsidRDefault="00067435" w:rsidP="00026175">
            <w:pPr>
              <w:tabs>
                <w:tab w:val="left" w:pos="720"/>
              </w:tabs>
              <w:spacing w:after="240"/>
              <w:jc w:val="center"/>
              <w:rPr>
                <w:rFonts w:ascii="Times New Roman" w:hAnsi="Times New Roman"/>
                <w:sz w:val="20"/>
              </w:rPr>
            </w:pPr>
            <w:r w:rsidRPr="00FC19A5">
              <w:rPr>
                <w:rFonts w:ascii="Times New Roman" w:hAnsi="Times New Roman"/>
                <w:sz w:val="20"/>
              </w:rPr>
              <w:t>&gt; 109.0</w:t>
            </w:r>
          </w:p>
        </w:tc>
      </w:tr>
    </w:tbl>
    <w:p w14:paraId="0C2AB2A4" w14:textId="65838399" w:rsidR="00080D12" w:rsidRDefault="00080D12">
      <w:pPr>
        <w:rPr>
          <w:b/>
          <w:bCs/>
          <w:caps/>
          <w:highlight w:val="yellow"/>
          <w:lang w:val="en-GB"/>
        </w:rPr>
      </w:pPr>
    </w:p>
    <w:p w14:paraId="6C61E263" w14:textId="77777777" w:rsidR="00067435" w:rsidRPr="00FC19A5" w:rsidRDefault="00067435" w:rsidP="00067435">
      <w:pPr>
        <w:tabs>
          <w:tab w:val="left" w:pos="0"/>
        </w:tabs>
        <w:contextualSpacing/>
        <w:rPr>
          <w:b/>
          <w:bCs/>
          <w:caps/>
          <w:highlight w:val="yellow"/>
          <w:lang w:val="en-GB"/>
        </w:rPr>
      </w:pPr>
    </w:p>
    <w:p w14:paraId="401CA21B" w14:textId="77777777" w:rsidR="00067435" w:rsidRPr="00FC19A5" w:rsidRDefault="00067435" w:rsidP="00067435">
      <w:pPr>
        <w:tabs>
          <w:tab w:val="left" w:pos="0"/>
        </w:tabs>
        <w:ind w:left="357" w:hanging="357"/>
        <w:contextualSpacing/>
        <w:rPr>
          <w:b/>
          <w:bCs/>
          <w:caps/>
          <w:lang w:val="en-GB"/>
        </w:rPr>
      </w:pPr>
      <w:r w:rsidRPr="00FC19A5">
        <w:rPr>
          <w:b/>
          <w:bCs/>
          <w:caps/>
          <w:lang w:val="en-GB"/>
        </w:rPr>
        <w:t>D.</w:t>
      </w:r>
      <w:r w:rsidRPr="00FC19A5">
        <w:rPr>
          <w:b/>
          <w:bCs/>
          <w:caps/>
          <w:lang w:val="en-GB"/>
        </w:rPr>
        <w:tab/>
        <w:t>VALIDITY CRITERIA</w:t>
      </w:r>
    </w:p>
    <w:p w14:paraId="2583BDC7" w14:textId="30671281" w:rsidR="00067435" w:rsidRPr="00942D4A" w:rsidRDefault="00067435" w:rsidP="00067435">
      <w:pPr>
        <w:tabs>
          <w:tab w:val="left" w:pos="720"/>
        </w:tabs>
        <w:spacing w:after="240"/>
        <w:rPr>
          <w:lang w:val="en-GB"/>
        </w:rPr>
      </w:pPr>
      <w:r w:rsidRPr="00FC19A5">
        <w:rPr>
          <w:lang w:val="en-GB"/>
        </w:rPr>
        <w:t xml:space="preserve">All validity </w:t>
      </w:r>
      <w:r w:rsidRPr="00942D4A">
        <w:rPr>
          <w:lang w:val="en-GB"/>
        </w:rPr>
        <w:t>criteria were met (</w:t>
      </w:r>
      <w:r w:rsidR="00B66082">
        <w:rPr>
          <w:lang w:val="en-GB"/>
        </w:rPr>
        <w:fldChar w:fldCharType="begin"/>
      </w:r>
      <w:r w:rsidR="00B66082">
        <w:rPr>
          <w:lang w:val="en-GB"/>
        </w:rPr>
        <w:instrText xml:space="preserve"> REF _Ref147908349 \h </w:instrText>
      </w:r>
      <w:r w:rsidR="00B66082">
        <w:rPr>
          <w:lang w:val="en-GB"/>
        </w:rPr>
      </w:r>
      <w:r w:rsidR="00B66082">
        <w:rPr>
          <w:lang w:val="en-GB"/>
        </w:rPr>
        <w:fldChar w:fldCharType="separate"/>
      </w:r>
      <w:r w:rsidR="006F0F3B">
        <w:t xml:space="preserve">Table A </w:t>
      </w:r>
      <w:r w:rsidR="006F0F3B">
        <w:rPr>
          <w:noProof/>
        </w:rPr>
        <w:t>42</w:t>
      </w:r>
      <w:r w:rsidR="00B66082">
        <w:rPr>
          <w:lang w:val="en-GB"/>
        </w:rPr>
        <w:fldChar w:fldCharType="end"/>
      </w:r>
      <w:r w:rsidRPr="00942D4A">
        <w:rPr>
          <w:lang w:val="en-GB"/>
        </w:rPr>
        <w:t>).</w:t>
      </w:r>
    </w:p>
    <w:p w14:paraId="4A143836" w14:textId="2E0545E9" w:rsidR="00067435" w:rsidRPr="00942D4A" w:rsidRDefault="00B66082" w:rsidP="00B66082">
      <w:pPr>
        <w:pStyle w:val="Legenda"/>
        <w:rPr>
          <w:b w:val="0"/>
          <w:bCs w:val="0"/>
        </w:rPr>
      </w:pPr>
      <w:bookmarkStart w:id="1101" w:name="_Ref147908349"/>
      <w:bookmarkStart w:id="1102" w:name="_Hlk43051374"/>
      <w:r>
        <w:t xml:space="preserve">Table A </w:t>
      </w:r>
      <w:r>
        <w:fldChar w:fldCharType="begin"/>
      </w:r>
      <w:r>
        <w:instrText xml:space="preserve"> SEQ Table_A \* ARABIC </w:instrText>
      </w:r>
      <w:r>
        <w:fldChar w:fldCharType="separate"/>
      </w:r>
      <w:r w:rsidR="006F0F3B">
        <w:rPr>
          <w:noProof/>
        </w:rPr>
        <w:t>42</w:t>
      </w:r>
      <w:r>
        <w:fldChar w:fldCharType="end"/>
      </w:r>
      <w:bookmarkEnd w:id="1101"/>
      <w:r w:rsidR="00067435" w:rsidRPr="00942D4A">
        <w:t xml:space="preserve">: </w:t>
      </w:r>
      <w:bookmarkEnd w:id="1102"/>
      <w:r w:rsidR="00067435" w:rsidRPr="00942D4A">
        <w:t>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536"/>
      </w:tblGrid>
      <w:tr w:rsidR="00067435" w:rsidRPr="00FC19A5" w14:paraId="750A86FE" w14:textId="77777777" w:rsidTr="00026175">
        <w:trPr>
          <w:trHeight w:val="270"/>
          <w:tblHeader/>
        </w:trPr>
        <w:tc>
          <w:tcPr>
            <w:tcW w:w="4673" w:type="dxa"/>
            <w:shd w:val="clear" w:color="auto" w:fill="auto"/>
            <w:noWrap/>
          </w:tcPr>
          <w:p w14:paraId="04BD3CF2" w14:textId="77777777" w:rsidR="00067435" w:rsidRPr="00942D4A" w:rsidRDefault="00067435" w:rsidP="00026175">
            <w:pPr>
              <w:tabs>
                <w:tab w:val="left" w:pos="720"/>
              </w:tabs>
              <w:spacing w:before="40" w:after="40"/>
              <w:rPr>
                <w:b/>
                <w:bCs/>
                <w:lang w:val="en-GB"/>
              </w:rPr>
            </w:pPr>
            <w:r w:rsidRPr="00942D4A">
              <w:rPr>
                <w:b/>
                <w:bCs/>
                <w:lang w:val="en-GB"/>
              </w:rPr>
              <w:t xml:space="preserve">Validity criteria according to the study plan </w:t>
            </w:r>
          </w:p>
        </w:tc>
        <w:tc>
          <w:tcPr>
            <w:tcW w:w="4536" w:type="dxa"/>
            <w:shd w:val="clear" w:color="auto" w:fill="auto"/>
            <w:noWrap/>
          </w:tcPr>
          <w:p w14:paraId="6AD7D4C5" w14:textId="77777777" w:rsidR="00067435" w:rsidRPr="00FC19A5" w:rsidRDefault="00067435" w:rsidP="00026175">
            <w:pPr>
              <w:tabs>
                <w:tab w:val="left" w:pos="720"/>
              </w:tabs>
              <w:spacing w:before="40" w:after="40"/>
              <w:rPr>
                <w:b/>
                <w:bCs/>
                <w:lang w:val="en-GB"/>
              </w:rPr>
            </w:pPr>
            <w:r w:rsidRPr="00942D4A">
              <w:rPr>
                <w:b/>
                <w:bCs/>
                <w:lang w:val="en-GB"/>
              </w:rPr>
              <w:t>Obtained in this study</w:t>
            </w:r>
          </w:p>
        </w:tc>
      </w:tr>
      <w:tr w:rsidR="00067435" w:rsidRPr="00FC19A5" w14:paraId="35A49B6A" w14:textId="77777777" w:rsidTr="00026175">
        <w:trPr>
          <w:trHeight w:val="270"/>
        </w:trPr>
        <w:tc>
          <w:tcPr>
            <w:tcW w:w="9209" w:type="dxa"/>
            <w:gridSpan w:val="2"/>
            <w:shd w:val="clear" w:color="auto" w:fill="auto"/>
            <w:noWrap/>
          </w:tcPr>
          <w:p w14:paraId="2FE9C12D" w14:textId="77777777" w:rsidR="00067435" w:rsidRPr="00FC19A5" w:rsidRDefault="00067435" w:rsidP="00026175">
            <w:pPr>
              <w:tabs>
                <w:tab w:val="left" w:pos="720"/>
              </w:tabs>
              <w:spacing w:before="40" w:after="40"/>
              <w:jc w:val="center"/>
              <w:rPr>
                <w:b/>
                <w:bCs/>
                <w:lang w:val="en-GB"/>
              </w:rPr>
            </w:pPr>
            <w:r w:rsidRPr="00FC19A5">
              <w:rPr>
                <w:b/>
                <w:bCs/>
                <w:lang w:val="en-GB"/>
              </w:rPr>
              <w:t>Oral toxicity test</w:t>
            </w:r>
          </w:p>
        </w:tc>
      </w:tr>
      <w:tr w:rsidR="00067435" w:rsidRPr="00FC19A5" w14:paraId="37F67FC9" w14:textId="77777777" w:rsidTr="00026175">
        <w:trPr>
          <w:trHeight w:val="270"/>
        </w:trPr>
        <w:tc>
          <w:tcPr>
            <w:tcW w:w="4673" w:type="dxa"/>
            <w:shd w:val="clear" w:color="auto" w:fill="auto"/>
            <w:noWrap/>
          </w:tcPr>
          <w:p w14:paraId="06EAF09A" w14:textId="77777777" w:rsidR="00067435" w:rsidRPr="00FC19A5" w:rsidRDefault="00067435" w:rsidP="00026175">
            <w:pPr>
              <w:tabs>
                <w:tab w:val="left" w:pos="720"/>
              </w:tabs>
              <w:autoSpaceDE w:val="0"/>
              <w:autoSpaceDN w:val="0"/>
              <w:adjustRightInd w:val="0"/>
              <w:spacing w:before="40" w:after="40"/>
              <w:rPr>
                <w:rFonts w:eastAsia="Calibri"/>
                <w:lang w:val="en-GB"/>
              </w:rPr>
            </w:pPr>
            <w:r w:rsidRPr="00FC19A5">
              <w:rPr>
                <w:rFonts w:eastAsia="Calibri"/>
                <w:lang w:val="en-GB"/>
              </w:rPr>
              <w:t>In the control, mortality after 48 hours should be ≤10%</w:t>
            </w:r>
          </w:p>
        </w:tc>
        <w:tc>
          <w:tcPr>
            <w:tcW w:w="4536" w:type="dxa"/>
            <w:shd w:val="clear" w:color="auto" w:fill="auto"/>
            <w:noWrap/>
          </w:tcPr>
          <w:p w14:paraId="7E1CF52B" w14:textId="77777777" w:rsidR="00067435" w:rsidRPr="00FC19A5" w:rsidRDefault="00067435" w:rsidP="00026175">
            <w:pPr>
              <w:tabs>
                <w:tab w:val="left" w:pos="720"/>
              </w:tabs>
              <w:spacing w:before="40" w:after="40"/>
              <w:rPr>
                <w:lang w:val="en-GB"/>
              </w:rPr>
            </w:pPr>
            <w:r w:rsidRPr="00FC19A5">
              <w:rPr>
                <w:lang w:val="en-GB"/>
              </w:rPr>
              <w:t xml:space="preserve">0.0% </w:t>
            </w:r>
          </w:p>
        </w:tc>
      </w:tr>
      <w:tr w:rsidR="00067435" w:rsidRPr="00FC19A5" w14:paraId="3A2D84CD" w14:textId="77777777" w:rsidTr="00026175">
        <w:trPr>
          <w:trHeight w:val="270"/>
        </w:trPr>
        <w:tc>
          <w:tcPr>
            <w:tcW w:w="4673" w:type="dxa"/>
            <w:shd w:val="clear" w:color="auto" w:fill="auto"/>
            <w:noWrap/>
          </w:tcPr>
          <w:p w14:paraId="069123F4" w14:textId="77777777" w:rsidR="00067435" w:rsidRPr="00FC19A5" w:rsidRDefault="00067435" w:rsidP="00026175">
            <w:pPr>
              <w:tabs>
                <w:tab w:val="left" w:pos="720"/>
              </w:tabs>
              <w:autoSpaceDE w:val="0"/>
              <w:autoSpaceDN w:val="0"/>
              <w:adjustRightInd w:val="0"/>
              <w:spacing w:before="40" w:after="40"/>
              <w:rPr>
                <w:rFonts w:eastAsia="Calibri"/>
                <w:lang w:val="en-GB"/>
              </w:rPr>
            </w:pPr>
            <w:r w:rsidRPr="00FC19A5">
              <w:rPr>
                <w:rFonts w:eastAsia="Calibri"/>
                <w:lang w:val="en-GB"/>
              </w:rPr>
              <w:t>The 24-hour LD</w:t>
            </w:r>
            <w:r w:rsidRPr="00FC19A5">
              <w:rPr>
                <w:rFonts w:eastAsia="Calibri"/>
                <w:vertAlign w:val="subscript"/>
                <w:lang w:val="en-GB"/>
              </w:rPr>
              <w:t>50</w:t>
            </w:r>
            <w:r w:rsidRPr="00FC19A5">
              <w:rPr>
                <w:rFonts w:eastAsia="Calibri"/>
                <w:lang w:val="en-GB"/>
              </w:rPr>
              <w:t xml:space="preserve"> of the reference item should be between 0.10 – 0.35 µg a.s./bee</w:t>
            </w:r>
          </w:p>
        </w:tc>
        <w:tc>
          <w:tcPr>
            <w:tcW w:w="4536" w:type="dxa"/>
            <w:shd w:val="clear" w:color="auto" w:fill="auto"/>
            <w:noWrap/>
          </w:tcPr>
          <w:p w14:paraId="091D0AA1" w14:textId="77777777" w:rsidR="00067435" w:rsidRPr="00FC19A5" w:rsidRDefault="00067435" w:rsidP="00026175">
            <w:pPr>
              <w:tabs>
                <w:tab w:val="left" w:pos="720"/>
              </w:tabs>
              <w:spacing w:before="40" w:after="40"/>
              <w:rPr>
                <w:lang w:val="en-GB"/>
              </w:rPr>
            </w:pPr>
            <w:r w:rsidRPr="00FC19A5">
              <w:rPr>
                <w:lang w:val="en-GB"/>
              </w:rPr>
              <w:t>0.17 µg a.s./bee</w:t>
            </w:r>
          </w:p>
        </w:tc>
      </w:tr>
      <w:tr w:rsidR="00067435" w:rsidRPr="00FC19A5" w14:paraId="345C6D29" w14:textId="77777777" w:rsidTr="00026175">
        <w:trPr>
          <w:trHeight w:val="270"/>
        </w:trPr>
        <w:tc>
          <w:tcPr>
            <w:tcW w:w="9209" w:type="dxa"/>
            <w:gridSpan w:val="2"/>
            <w:shd w:val="clear" w:color="auto" w:fill="auto"/>
            <w:noWrap/>
          </w:tcPr>
          <w:p w14:paraId="7F4C7CCB" w14:textId="77777777" w:rsidR="00067435" w:rsidRPr="00FC19A5" w:rsidRDefault="00067435" w:rsidP="00026175">
            <w:pPr>
              <w:tabs>
                <w:tab w:val="left" w:pos="720"/>
              </w:tabs>
              <w:spacing w:before="40" w:after="40"/>
              <w:jc w:val="center"/>
              <w:rPr>
                <w:b/>
                <w:bCs/>
                <w:lang w:val="en-GB"/>
              </w:rPr>
            </w:pPr>
            <w:r w:rsidRPr="00FC19A5">
              <w:rPr>
                <w:b/>
                <w:bCs/>
                <w:lang w:val="en-GB"/>
              </w:rPr>
              <w:t>Contact toxicity test</w:t>
            </w:r>
          </w:p>
        </w:tc>
      </w:tr>
      <w:tr w:rsidR="00067435" w:rsidRPr="00FC19A5" w14:paraId="6E53B809" w14:textId="77777777" w:rsidTr="00026175">
        <w:trPr>
          <w:trHeight w:val="270"/>
        </w:trPr>
        <w:tc>
          <w:tcPr>
            <w:tcW w:w="4673" w:type="dxa"/>
            <w:shd w:val="clear" w:color="auto" w:fill="auto"/>
            <w:noWrap/>
          </w:tcPr>
          <w:p w14:paraId="58D489A5" w14:textId="77777777" w:rsidR="00067435" w:rsidRPr="00FC19A5" w:rsidRDefault="00067435" w:rsidP="00026175">
            <w:pPr>
              <w:tabs>
                <w:tab w:val="left" w:pos="720"/>
              </w:tabs>
              <w:autoSpaceDE w:val="0"/>
              <w:autoSpaceDN w:val="0"/>
              <w:adjustRightInd w:val="0"/>
              <w:spacing w:before="40" w:after="40"/>
              <w:rPr>
                <w:rFonts w:eastAsia="Calibri"/>
                <w:lang w:val="en-GB"/>
              </w:rPr>
            </w:pPr>
            <w:r w:rsidRPr="00FC19A5">
              <w:rPr>
                <w:rFonts w:eastAsia="Calibri"/>
                <w:lang w:val="en-GB"/>
              </w:rPr>
              <w:t>In the controls, mortality after 48 hours should be ≤10%</w:t>
            </w:r>
          </w:p>
        </w:tc>
        <w:tc>
          <w:tcPr>
            <w:tcW w:w="4536" w:type="dxa"/>
            <w:shd w:val="clear" w:color="auto" w:fill="auto"/>
            <w:noWrap/>
          </w:tcPr>
          <w:p w14:paraId="6CB17148" w14:textId="77777777" w:rsidR="00067435" w:rsidRPr="00FC19A5" w:rsidRDefault="00067435" w:rsidP="00026175">
            <w:pPr>
              <w:tabs>
                <w:tab w:val="left" w:pos="720"/>
              </w:tabs>
              <w:spacing w:before="40" w:after="40"/>
              <w:rPr>
                <w:lang w:val="en-GB"/>
              </w:rPr>
            </w:pPr>
            <w:r w:rsidRPr="00FC19A5">
              <w:rPr>
                <w:lang w:val="en-GB"/>
              </w:rPr>
              <w:t xml:space="preserve">0.0% </w:t>
            </w:r>
          </w:p>
        </w:tc>
      </w:tr>
      <w:tr w:rsidR="00067435" w:rsidRPr="00FC19A5" w14:paraId="5A92A567" w14:textId="77777777" w:rsidTr="00026175">
        <w:trPr>
          <w:trHeight w:val="270"/>
        </w:trPr>
        <w:tc>
          <w:tcPr>
            <w:tcW w:w="4673" w:type="dxa"/>
            <w:shd w:val="clear" w:color="auto" w:fill="auto"/>
            <w:noWrap/>
          </w:tcPr>
          <w:p w14:paraId="1CC82C3B" w14:textId="77777777" w:rsidR="00067435" w:rsidRPr="00FC19A5" w:rsidRDefault="00067435" w:rsidP="00026175">
            <w:pPr>
              <w:tabs>
                <w:tab w:val="left" w:pos="720"/>
              </w:tabs>
              <w:autoSpaceDE w:val="0"/>
              <w:autoSpaceDN w:val="0"/>
              <w:adjustRightInd w:val="0"/>
              <w:spacing w:before="40" w:after="40"/>
              <w:rPr>
                <w:rFonts w:eastAsia="Calibri"/>
                <w:lang w:val="en-GB"/>
              </w:rPr>
            </w:pPr>
            <w:r w:rsidRPr="00FC19A5">
              <w:rPr>
                <w:rFonts w:eastAsia="Calibri"/>
                <w:lang w:val="en-GB"/>
              </w:rPr>
              <w:t>In the contact toxicity test, the 24-hour LD</w:t>
            </w:r>
            <w:r w:rsidRPr="00FC19A5">
              <w:rPr>
                <w:rFonts w:eastAsia="Calibri"/>
                <w:vertAlign w:val="subscript"/>
                <w:lang w:val="en-GB"/>
              </w:rPr>
              <w:t>50</w:t>
            </w:r>
            <w:r w:rsidRPr="00FC19A5">
              <w:rPr>
                <w:rFonts w:eastAsia="Calibri"/>
                <w:lang w:val="en-GB"/>
              </w:rPr>
              <w:t xml:space="preserve"> of the reference item should be between 0.10 – 0.30 µg a.s./bee</w:t>
            </w:r>
          </w:p>
        </w:tc>
        <w:tc>
          <w:tcPr>
            <w:tcW w:w="4536" w:type="dxa"/>
            <w:shd w:val="clear" w:color="auto" w:fill="auto"/>
            <w:noWrap/>
          </w:tcPr>
          <w:p w14:paraId="465589C2" w14:textId="77777777" w:rsidR="00067435" w:rsidRPr="00FC19A5" w:rsidRDefault="00067435" w:rsidP="00026175">
            <w:pPr>
              <w:tabs>
                <w:tab w:val="left" w:pos="720"/>
              </w:tabs>
              <w:spacing w:before="40" w:after="40"/>
              <w:rPr>
                <w:lang w:val="en-GB"/>
              </w:rPr>
            </w:pPr>
            <w:r w:rsidRPr="00FC19A5">
              <w:rPr>
                <w:lang w:val="en-GB"/>
              </w:rPr>
              <w:t>0.29 µg a.s./bee</w:t>
            </w:r>
          </w:p>
        </w:tc>
      </w:tr>
    </w:tbl>
    <w:p w14:paraId="46E036A9" w14:textId="097E54E9" w:rsidR="00C51B86" w:rsidRDefault="00C51B86" w:rsidP="00067435">
      <w:pPr>
        <w:tabs>
          <w:tab w:val="left" w:pos="720"/>
        </w:tabs>
        <w:rPr>
          <w:highlight w:val="yellow"/>
          <w:lang w:val="en-GB"/>
        </w:rPr>
      </w:pPr>
    </w:p>
    <w:p w14:paraId="1BAAFB7B" w14:textId="77777777" w:rsidR="00067435" w:rsidRPr="00FC19A5" w:rsidRDefault="00067435" w:rsidP="00067435">
      <w:pPr>
        <w:tabs>
          <w:tab w:val="left" w:pos="720"/>
        </w:tabs>
        <w:rPr>
          <w:highlight w:val="yellow"/>
          <w:lang w:val="en-GB"/>
        </w:rPr>
      </w:pPr>
    </w:p>
    <w:p w14:paraId="229DCDDC" w14:textId="77777777" w:rsidR="00067435" w:rsidRPr="00FC19A5" w:rsidRDefault="00067435" w:rsidP="00067435">
      <w:pPr>
        <w:tabs>
          <w:tab w:val="left" w:pos="0"/>
        </w:tabs>
        <w:ind w:left="357" w:hanging="357"/>
        <w:contextualSpacing/>
        <w:rPr>
          <w:b/>
          <w:bCs/>
          <w:caps/>
          <w:lang w:val="en-GB"/>
        </w:rPr>
      </w:pPr>
      <w:r w:rsidRPr="00FC19A5">
        <w:rPr>
          <w:b/>
          <w:bCs/>
          <w:caps/>
          <w:lang w:val="en-GB"/>
        </w:rPr>
        <w:t>E.</w:t>
      </w:r>
      <w:r w:rsidRPr="00FC19A5">
        <w:rPr>
          <w:b/>
          <w:bCs/>
          <w:caps/>
          <w:lang w:val="en-GB"/>
        </w:rPr>
        <w:tab/>
        <w:t>DEFICIENCIES</w:t>
      </w:r>
    </w:p>
    <w:p w14:paraId="1AEF29F2" w14:textId="77777777" w:rsidR="00067435" w:rsidRPr="00FC19A5" w:rsidRDefault="00067435" w:rsidP="00067435">
      <w:pPr>
        <w:tabs>
          <w:tab w:val="left" w:pos="720"/>
        </w:tabs>
        <w:spacing w:after="240"/>
        <w:rPr>
          <w:lang w:val="en-GB"/>
        </w:rPr>
      </w:pPr>
      <w:r w:rsidRPr="00FC19A5">
        <w:rPr>
          <w:lang w:val="en-GB"/>
        </w:rPr>
        <w:t xml:space="preserve">There were no deficiencies. </w:t>
      </w:r>
    </w:p>
    <w:p w14:paraId="6428E528" w14:textId="77777777" w:rsidR="00067435" w:rsidRPr="00FC19A5" w:rsidRDefault="00067435" w:rsidP="008D2927">
      <w:pPr>
        <w:tabs>
          <w:tab w:val="left" w:pos="720"/>
        </w:tabs>
        <w:spacing w:after="240"/>
        <w:ind w:left="720" w:hanging="431"/>
        <w:contextualSpacing/>
        <w:jc w:val="center"/>
        <w:rPr>
          <w:b/>
          <w:bCs/>
          <w:caps/>
          <w:lang w:val="en-GB"/>
        </w:rPr>
      </w:pPr>
      <w:r w:rsidRPr="00FC19A5">
        <w:rPr>
          <w:b/>
          <w:bCs/>
          <w:caps/>
          <w:lang w:val="en-GB"/>
        </w:rPr>
        <w:t>II.</w:t>
      </w:r>
      <w:r w:rsidRPr="00FC19A5">
        <w:rPr>
          <w:b/>
          <w:bCs/>
          <w:caps/>
          <w:lang w:val="en-GB"/>
        </w:rPr>
        <w:tab/>
        <w:t>Conclusion</w:t>
      </w:r>
    </w:p>
    <w:p w14:paraId="0FEC0ADF" w14:textId="77777777" w:rsidR="00067435" w:rsidRPr="00FC19A5" w:rsidRDefault="00067435" w:rsidP="00067435">
      <w:pPr>
        <w:pStyle w:val="OECDStandard"/>
        <w:widowControl w:val="0"/>
        <w:rPr>
          <w:lang w:val="en-GB"/>
        </w:rPr>
      </w:pPr>
      <w:r w:rsidRPr="00FC19A5">
        <w:rPr>
          <w:lang w:val="en-GB"/>
        </w:rPr>
        <w:t>The toxicity of propamocarb-HCL tech. was tested in both, an acute contact and an acute oral toxicity test on honey bees. The contact LD</w:t>
      </w:r>
      <w:r w:rsidRPr="00FC19A5">
        <w:rPr>
          <w:vertAlign w:val="subscript"/>
          <w:lang w:val="en-GB"/>
        </w:rPr>
        <w:t xml:space="preserve">50 </w:t>
      </w:r>
      <w:r w:rsidRPr="00FC19A5">
        <w:rPr>
          <w:lang w:val="en-GB"/>
        </w:rPr>
        <w:t>(48 h) was &gt; 109.0 μg a.s./bee. The oral LD</w:t>
      </w:r>
      <w:r w:rsidRPr="00FC19A5">
        <w:rPr>
          <w:vertAlign w:val="subscript"/>
          <w:lang w:val="en-GB"/>
        </w:rPr>
        <w:t>50</w:t>
      </w:r>
      <w:r w:rsidRPr="00FC19A5">
        <w:rPr>
          <w:lang w:val="en-GB"/>
        </w:rPr>
        <w:t xml:space="preserve"> (48 h) was &gt; 122.1 μg a.s./bee.</w:t>
      </w:r>
    </w:p>
    <w:p w14:paraId="4D759816" w14:textId="70453999" w:rsidR="007C2E70" w:rsidRDefault="007C2E70">
      <w:pPr>
        <w:rPr>
          <w:szCs w:val="24"/>
          <w:lang w:val="en-GB"/>
        </w:rPr>
      </w:pPr>
    </w:p>
    <w:p w14:paraId="26D7C528" w14:textId="77777777" w:rsidR="00067435" w:rsidRPr="00A34F10" w:rsidRDefault="00067435" w:rsidP="00DC5685">
      <w:pPr>
        <w:tabs>
          <w:tab w:val="left" w:pos="720"/>
        </w:tabs>
        <w:spacing w:after="240"/>
        <w:jc w:val="both"/>
        <w:rPr>
          <w:szCs w:val="24"/>
          <w:lang w:val="en-GB"/>
        </w:rPr>
      </w:pPr>
    </w:p>
    <w:p w14:paraId="7716A7E5" w14:textId="77777777" w:rsidR="008D2927" w:rsidRDefault="008D2927">
      <w:pPr>
        <w:rPr>
          <w:b/>
          <w:sz w:val="24"/>
        </w:rPr>
      </w:pPr>
      <w:r>
        <w:br w:type="page"/>
      </w:r>
    </w:p>
    <w:p w14:paraId="4FE8C3FC" w14:textId="077037BB" w:rsidR="00DC5685" w:rsidRPr="00A34F10" w:rsidRDefault="00DC5685" w:rsidP="00080D12">
      <w:pPr>
        <w:pStyle w:val="RepAppendix6"/>
      </w:pPr>
      <w:r w:rsidRPr="00A34F10">
        <w:lastRenderedPageBreak/>
        <w:t xml:space="preserve">Study </w:t>
      </w:r>
      <w:r w:rsidR="00067435">
        <w:t>4</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7BD170AA" w14:textId="77777777" w:rsidTr="00C75963">
        <w:tc>
          <w:tcPr>
            <w:tcW w:w="1063" w:type="pct"/>
            <w:shd w:val="clear" w:color="auto" w:fill="D9D9D9" w:themeFill="background1" w:themeFillShade="D9"/>
          </w:tcPr>
          <w:p w14:paraId="2FB3724A"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5837EDA4" w14:textId="64A0EE40" w:rsidR="00C75963" w:rsidRPr="007A6328" w:rsidRDefault="00C75963" w:rsidP="00C75963">
            <w:pPr>
              <w:pStyle w:val="RepStandard"/>
              <w:rPr>
                <w:color w:val="000000"/>
              </w:rPr>
            </w:pPr>
            <w:r w:rsidRPr="007A6328">
              <w:rPr>
                <w:color w:val="000000"/>
              </w:rPr>
              <w:t xml:space="preserve">The study was conducted to </w:t>
            </w:r>
            <w:r w:rsidRPr="00A34F10">
              <w:t>OECD 2</w:t>
            </w:r>
            <w:r>
              <w:t>46 and 247</w:t>
            </w:r>
            <w:r w:rsidRPr="00A34F10">
              <w:t xml:space="preserve"> </w:t>
            </w:r>
            <w:r w:rsidRPr="007A6328">
              <w:rPr>
                <w:color w:val="000000"/>
              </w:rPr>
              <w:t>and according to the principles of GLP. No deviations to the guideline were noted. All validity criteria were met.</w:t>
            </w:r>
          </w:p>
          <w:p w14:paraId="12344F43" w14:textId="7A198354" w:rsidR="00DC5685" w:rsidRPr="00A34F10" w:rsidRDefault="00C75963" w:rsidP="00C75963">
            <w:pPr>
              <w:widowControl w:val="0"/>
              <w:suppressAutoHyphens/>
              <w:jc w:val="both"/>
              <w:rPr>
                <w:rFonts w:eastAsia="Batang"/>
                <w:color w:val="000000" w:themeColor="text1"/>
              </w:rPr>
            </w:pPr>
            <w:r w:rsidRPr="007A6328">
              <w:rPr>
                <w:color w:val="000000"/>
              </w:rPr>
              <w:t>The study is considered to be reliabl</w:t>
            </w:r>
            <w:r w:rsidR="00375686">
              <w:rPr>
                <w:color w:val="000000"/>
              </w:rPr>
              <w:t>e</w:t>
            </w:r>
            <w:r w:rsidRPr="007A6328">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tbl>
    <w:p w14:paraId="2CDC13DC" w14:textId="77777777" w:rsidR="00DC5685" w:rsidRPr="00A34F10" w:rsidRDefault="00DC5685" w:rsidP="00DC5685">
      <w:pPr>
        <w:suppressAutoHyphens/>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0813D198" w14:textId="77777777" w:rsidTr="000470C3">
        <w:trPr>
          <w:trHeight w:val="227"/>
          <w:jc w:val="center"/>
        </w:trPr>
        <w:tc>
          <w:tcPr>
            <w:tcW w:w="1364" w:type="pct"/>
          </w:tcPr>
          <w:p w14:paraId="11F29A31"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636" w:type="pct"/>
          </w:tcPr>
          <w:p w14:paraId="23121747" w14:textId="45D2F0D9" w:rsidR="00DC5685" w:rsidRPr="00A34F10" w:rsidRDefault="00DC5685" w:rsidP="00DC5685">
            <w:pPr>
              <w:widowControl w:val="0"/>
              <w:spacing w:after="120"/>
              <w:jc w:val="both"/>
              <w:rPr>
                <w:lang w:val="en-GB"/>
              </w:rPr>
            </w:pPr>
            <w:r w:rsidRPr="00A34F10">
              <w:rPr>
                <w:lang w:val="en-GB"/>
              </w:rPr>
              <w:t>CP 10.3.1.1.1/0</w:t>
            </w:r>
            <w:r w:rsidR="00067435">
              <w:rPr>
                <w:lang w:val="en-GB"/>
              </w:rPr>
              <w:t>4</w:t>
            </w:r>
          </w:p>
        </w:tc>
      </w:tr>
      <w:tr w:rsidR="00DC5685" w:rsidRPr="00A34F10" w14:paraId="0BA4517F" w14:textId="77777777" w:rsidTr="000470C3">
        <w:trPr>
          <w:trHeight w:val="227"/>
          <w:jc w:val="center"/>
        </w:trPr>
        <w:tc>
          <w:tcPr>
            <w:tcW w:w="1364" w:type="pct"/>
          </w:tcPr>
          <w:p w14:paraId="7B5C5CAD"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215C5C59" w14:textId="77777777" w:rsidR="00DC5685" w:rsidRPr="00A34F10" w:rsidRDefault="00DC5685" w:rsidP="00DC5685">
            <w:pPr>
              <w:widowControl w:val="0"/>
              <w:spacing w:after="120"/>
              <w:jc w:val="both"/>
            </w:pPr>
            <w:r w:rsidRPr="00A34F10">
              <w:t xml:space="preserve">Acute toxicity of BAS 743 02 F to the bumblebee </w:t>
            </w:r>
            <w:r w:rsidRPr="00A34F10">
              <w:rPr>
                <w:i/>
                <w:iCs/>
              </w:rPr>
              <w:t>Bombus terrestris</w:t>
            </w:r>
            <w:r w:rsidRPr="00A34F10">
              <w:t xml:space="preserve"> L. under laboratory conditions</w:t>
            </w:r>
          </w:p>
          <w:p w14:paraId="6F4F93C7" w14:textId="77777777" w:rsidR="00DC5685" w:rsidRPr="00A34F10" w:rsidRDefault="00DC5685" w:rsidP="00DC5685">
            <w:pPr>
              <w:widowControl w:val="0"/>
              <w:spacing w:after="120"/>
              <w:jc w:val="both"/>
            </w:pPr>
            <w:r w:rsidRPr="00A34F10">
              <w:t>Amsel, K., 2023</w:t>
            </w:r>
          </w:p>
          <w:p w14:paraId="5AE52424" w14:textId="29DE821E" w:rsidR="00DC5685" w:rsidRPr="00A34F10" w:rsidRDefault="00D007AB" w:rsidP="00DC5685">
            <w:pPr>
              <w:widowControl w:val="0"/>
              <w:spacing w:after="120"/>
              <w:jc w:val="both"/>
            </w:pPr>
            <w:r>
              <w:t>XXXX</w:t>
            </w:r>
            <w:r w:rsidR="00DC5685" w:rsidRPr="00A34F10">
              <w:t xml:space="preserve"> Study ID: 933752_18</w:t>
            </w:r>
          </w:p>
          <w:p w14:paraId="23A853D1" w14:textId="5474D47D"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2022/2033711</w:t>
            </w:r>
          </w:p>
        </w:tc>
      </w:tr>
      <w:tr w:rsidR="00DC5685" w:rsidRPr="00A34F10" w14:paraId="2086A5FC" w14:textId="77777777" w:rsidTr="000470C3">
        <w:trPr>
          <w:trHeight w:val="227"/>
          <w:jc w:val="center"/>
        </w:trPr>
        <w:tc>
          <w:tcPr>
            <w:tcW w:w="1364" w:type="pct"/>
          </w:tcPr>
          <w:p w14:paraId="39D71D13" w14:textId="77777777" w:rsidR="00DC5685" w:rsidRPr="00A34F10" w:rsidRDefault="00DC5685" w:rsidP="00DC5685">
            <w:pPr>
              <w:widowControl w:val="0"/>
              <w:spacing w:after="120"/>
              <w:jc w:val="both"/>
              <w:rPr>
                <w:lang w:val="en-GB"/>
              </w:rPr>
            </w:pPr>
            <w:r w:rsidRPr="00A34F10">
              <w:t>Guideline(s):</w:t>
            </w:r>
          </w:p>
        </w:tc>
        <w:tc>
          <w:tcPr>
            <w:tcW w:w="3636" w:type="pct"/>
          </w:tcPr>
          <w:p w14:paraId="0C8334A0" w14:textId="77777777" w:rsidR="00DC5685" w:rsidRPr="00A34F10" w:rsidRDefault="00DC5685" w:rsidP="00DC5685">
            <w:pPr>
              <w:widowControl w:val="0"/>
              <w:spacing w:after="120"/>
              <w:jc w:val="both"/>
              <w:rPr>
                <w:lang w:val="en-GB"/>
              </w:rPr>
            </w:pPr>
            <w:r w:rsidRPr="00A34F10">
              <w:rPr>
                <w:lang w:val="en-GB"/>
              </w:rPr>
              <w:t>OECD Guidelines 246 (2017) and OECD 247 (2017)</w:t>
            </w:r>
          </w:p>
        </w:tc>
      </w:tr>
      <w:tr w:rsidR="00DC5685" w:rsidRPr="00A34F10" w14:paraId="55919AC2" w14:textId="77777777" w:rsidTr="000470C3">
        <w:trPr>
          <w:trHeight w:val="227"/>
          <w:jc w:val="center"/>
        </w:trPr>
        <w:tc>
          <w:tcPr>
            <w:tcW w:w="1364" w:type="pct"/>
          </w:tcPr>
          <w:p w14:paraId="689A6F70"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tcPr>
          <w:p w14:paraId="07B2130D"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52528A4C" w14:textId="77777777" w:rsidTr="000470C3">
        <w:trPr>
          <w:trHeight w:val="227"/>
          <w:jc w:val="center"/>
        </w:trPr>
        <w:tc>
          <w:tcPr>
            <w:tcW w:w="1364" w:type="pct"/>
          </w:tcPr>
          <w:p w14:paraId="4DEAF7CA"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4A30EF20"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4EEE1E2F" w14:textId="77777777" w:rsidTr="000470C3">
        <w:trPr>
          <w:trHeight w:val="227"/>
          <w:jc w:val="center"/>
        </w:trPr>
        <w:tc>
          <w:tcPr>
            <w:tcW w:w="1364" w:type="pct"/>
          </w:tcPr>
          <w:p w14:paraId="4390601F" w14:textId="77777777" w:rsidR="00DC5685" w:rsidRPr="00A34F10" w:rsidRDefault="00DC5685" w:rsidP="00DC5685">
            <w:pPr>
              <w:widowControl w:val="0"/>
              <w:spacing w:after="120"/>
              <w:jc w:val="both"/>
              <w:rPr>
                <w:lang w:val="en-GB"/>
              </w:rPr>
            </w:pPr>
            <w:r w:rsidRPr="00A34F10">
              <w:rPr>
                <w:lang w:val="en-GB"/>
              </w:rPr>
              <w:t xml:space="preserve">Acceptability/Reliability: </w:t>
            </w:r>
          </w:p>
        </w:tc>
        <w:tc>
          <w:tcPr>
            <w:tcW w:w="3636" w:type="pct"/>
          </w:tcPr>
          <w:p w14:paraId="14C46F4A" w14:textId="77777777" w:rsidR="00DC5685" w:rsidRPr="00A34F10" w:rsidRDefault="00DC5685" w:rsidP="00DC5685">
            <w:pPr>
              <w:widowControl w:val="0"/>
              <w:spacing w:after="120"/>
              <w:jc w:val="both"/>
              <w:rPr>
                <w:lang w:val="en-GB"/>
              </w:rPr>
            </w:pPr>
            <w:r w:rsidRPr="00A34F10">
              <w:rPr>
                <w:lang w:val="en-GB"/>
              </w:rPr>
              <w:t>Yes</w:t>
            </w:r>
          </w:p>
        </w:tc>
      </w:tr>
    </w:tbl>
    <w:p w14:paraId="2008C2AC" w14:textId="77777777" w:rsidR="00DC5685" w:rsidRPr="00A34F10" w:rsidRDefault="00DC5685" w:rsidP="00DC5685">
      <w:pPr>
        <w:keepNext/>
        <w:keepLines/>
        <w:tabs>
          <w:tab w:val="left" w:pos="720"/>
        </w:tabs>
        <w:spacing w:before="240" w:after="240"/>
        <w:jc w:val="both"/>
        <w:rPr>
          <w:b/>
          <w:szCs w:val="32"/>
          <w:lang w:val="en-GB"/>
        </w:rPr>
      </w:pPr>
      <w:r w:rsidRPr="00A34F10">
        <w:rPr>
          <w:b/>
          <w:szCs w:val="32"/>
          <w:lang w:val="en-GB"/>
        </w:rPr>
        <w:t>Executive Summary</w:t>
      </w:r>
    </w:p>
    <w:p w14:paraId="0B2112E9" w14:textId="77777777" w:rsidR="00DC5685" w:rsidRPr="00A34F10" w:rsidRDefault="00DC5685" w:rsidP="00DC5685">
      <w:pPr>
        <w:widowControl w:val="0"/>
        <w:spacing w:after="240"/>
        <w:jc w:val="both"/>
        <w:rPr>
          <w:lang w:val="en-GB"/>
        </w:rPr>
      </w:pPr>
      <w:r w:rsidRPr="00A34F10">
        <w:rPr>
          <w:lang w:val="en-GB"/>
        </w:rPr>
        <w:t>The acute oral and contact toxicity of BAS 743 02 F to the bumblebee (</w:t>
      </w:r>
      <w:r w:rsidRPr="00A34F10">
        <w:rPr>
          <w:i/>
          <w:iCs/>
          <w:lang w:val="en-GB"/>
        </w:rPr>
        <w:t>Bombus terrestris</w:t>
      </w:r>
      <w:r w:rsidRPr="00A34F10">
        <w:rPr>
          <w:lang w:val="en-GB"/>
        </w:rPr>
        <w:t xml:space="preserve"> L.) were assessed in a 48-hour laboratory study. Mortality of bumblebees was used as the toxic endpoint. Sublethal effects, such as changes in behaviour, were assessed as well.</w:t>
      </w:r>
    </w:p>
    <w:p w14:paraId="0EDF20A1" w14:textId="63ACD079" w:rsidR="00054CD1" w:rsidRPr="00A34F10" w:rsidRDefault="00DC5685" w:rsidP="00DC5685">
      <w:pPr>
        <w:widowControl w:val="0"/>
        <w:spacing w:after="240"/>
        <w:jc w:val="both"/>
        <w:rPr>
          <w:lang w:val="en-GB"/>
        </w:rPr>
      </w:pPr>
      <w:r w:rsidRPr="00A34F10">
        <w:rPr>
          <w:lang w:val="en-GB"/>
        </w:rPr>
        <w:t>In the contact toxicity test, bumblebee adults were exposed by topical application</w:t>
      </w:r>
      <w:r w:rsidRPr="00A34F10">
        <w:t xml:space="preserve"> to </w:t>
      </w:r>
      <w:r w:rsidRPr="00A34F10">
        <w:rPr>
          <w:lang w:val="en-GB"/>
        </w:rPr>
        <w:t>a single dose of 1000.0 µg product/bumblebee for 48 hours.</w:t>
      </w:r>
      <w:r w:rsidRPr="00A34F10">
        <w:t xml:space="preserve"> In total, three treatment groups were set up: two control groups, one dose rate of the test item and one dose rate of the reference item with 50 replicates each (30 for the reference item) and one bumblebee per replicate, respectively. N</w:t>
      </w:r>
      <w:r w:rsidRPr="00A34F10">
        <w:rPr>
          <w:lang w:val="en-GB"/>
        </w:rPr>
        <w:t>o mortality occurred in the control groups and in the item treatment group. No behavioural effects of bumblebees were observed at the tested dose rate. The 48- hour LD</w:t>
      </w:r>
      <w:r w:rsidRPr="00A34F10">
        <w:rPr>
          <w:vertAlign w:val="subscript"/>
          <w:lang w:val="en-GB"/>
        </w:rPr>
        <w:t xml:space="preserve">50 oral </w:t>
      </w:r>
      <w:r w:rsidRPr="00A34F10">
        <w:rPr>
          <w:lang w:val="en-GB"/>
        </w:rPr>
        <w:t>was determined to be &gt; 1000.0 µg product/bumblebee and the NOED was ≥ 1000.0 µg product/bumblebee.</w:t>
      </w:r>
    </w:p>
    <w:p w14:paraId="20AB38C0" w14:textId="3BA181BD" w:rsidR="00DC5685" w:rsidRPr="00A34F10" w:rsidRDefault="00DC5685" w:rsidP="00054CD1">
      <w:pPr>
        <w:rPr>
          <w:lang w:val="en-GB"/>
        </w:rPr>
      </w:pPr>
    </w:p>
    <w:p w14:paraId="2873DD27" w14:textId="523D0FC3" w:rsidR="007C2E70" w:rsidRDefault="00DC5685" w:rsidP="00375686">
      <w:pPr>
        <w:widowControl w:val="0"/>
        <w:spacing w:after="240"/>
        <w:jc w:val="both"/>
        <w:rPr>
          <w:lang w:val="en-GB"/>
        </w:rPr>
      </w:pPr>
      <w:r w:rsidRPr="00A34F10">
        <w:rPr>
          <w:lang w:val="en-GB"/>
        </w:rPr>
        <w:t xml:space="preserve">In the oral toxicity test, bumblebee adults were exposed </w:t>
      </w:r>
      <w:r w:rsidRPr="00A34F10">
        <w:rPr>
          <w:color w:val="000000" w:themeColor="text1"/>
        </w:rPr>
        <w:t>by administration of the test item in feeding solution to five nominal doses of 500.0, 250.0, 125.0, 62.5, 31.3 µg product/bumblebee (</w:t>
      </w:r>
      <w:r w:rsidRPr="00A34F10">
        <w:t>oral uptake was 271.2, 203.5, 114.5, 59.2 and 29.1 µg product/bumblebee). In total, three treatment groups were set up: one control group, five dose rates of the test item and one dose rate of the reference item with 30 replicates each with one bumblebee per replicate, respectively. N</w:t>
      </w:r>
      <w:r w:rsidRPr="00A34F10">
        <w:rPr>
          <w:lang w:val="en-GB"/>
        </w:rPr>
        <w:t>o mortality occurred in the control group (50% (w/v) sucrose solution) and in all doses of the test item treatment group. The 48-hour LD</w:t>
      </w:r>
      <w:r w:rsidRPr="00A34F10">
        <w:rPr>
          <w:vertAlign w:val="subscript"/>
          <w:lang w:val="en-GB"/>
        </w:rPr>
        <w:t xml:space="preserve">50 contact </w:t>
      </w:r>
      <w:r w:rsidRPr="00A34F10">
        <w:rPr>
          <w:lang w:val="en-GB"/>
        </w:rPr>
        <w:t>was determined to be &gt; 271.2 µg product/bumblebee and the NOED was ≥ 271.2 µg consumed product/bumblebee.</w:t>
      </w:r>
    </w:p>
    <w:p w14:paraId="3A499326" w14:textId="77777777" w:rsidR="00DC5685" w:rsidRPr="00A34F10" w:rsidRDefault="00DC5685" w:rsidP="00E05ECD">
      <w:pPr>
        <w:keepNext/>
        <w:keepLines/>
        <w:numPr>
          <w:ilvl w:val="0"/>
          <w:numId w:val="53"/>
        </w:numPr>
        <w:tabs>
          <w:tab w:val="left" w:pos="720"/>
        </w:tabs>
        <w:spacing w:after="240"/>
        <w:jc w:val="center"/>
        <w:rPr>
          <w:b/>
          <w:bCs/>
          <w:caps/>
          <w:szCs w:val="24"/>
          <w:lang w:val="en-GB"/>
        </w:rPr>
      </w:pPr>
      <w:r w:rsidRPr="00A34F10">
        <w:rPr>
          <w:b/>
          <w:bCs/>
          <w:caps/>
          <w:szCs w:val="24"/>
          <w:lang w:val="en-GB"/>
        </w:rPr>
        <w:lastRenderedPageBreak/>
        <w:t>MATERIALS AND METHODS</w:t>
      </w:r>
    </w:p>
    <w:p w14:paraId="339EE7EE" w14:textId="77777777" w:rsidR="00DC5685" w:rsidRPr="00A34F10" w:rsidRDefault="00DC5685" w:rsidP="00E05ECD">
      <w:pPr>
        <w:keepNext/>
        <w:keepLines/>
        <w:numPr>
          <w:ilvl w:val="0"/>
          <w:numId w:val="54"/>
        </w:numPr>
        <w:ind w:left="357" w:hanging="357"/>
        <w:contextualSpacing/>
        <w:rPr>
          <w:b/>
          <w:bCs/>
          <w:caps/>
          <w:szCs w:val="24"/>
          <w:lang w:val="en-GB"/>
        </w:rPr>
      </w:pPr>
      <w:bookmarkStart w:id="1103" w:name="_Hlk125725456"/>
      <w:r w:rsidRPr="00A34F10">
        <w:rPr>
          <w:b/>
          <w:bCs/>
          <w:caps/>
          <w:szCs w:val="24"/>
          <w:lang w:val="en-GB"/>
        </w:rPr>
        <w:t>MATERIALS</w:t>
      </w:r>
    </w:p>
    <w:p w14:paraId="7234681B" w14:textId="77777777" w:rsidR="00DC5685" w:rsidRPr="00A34F10" w:rsidRDefault="00DC5685" w:rsidP="00DC5685">
      <w:pPr>
        <w:keepNext/>
        <w:keepLines/>
        <w:ind w:left="284"/>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24063C62" w14:textId="77777777" w:rsidTr="000470C3">
        <w:trPr>
          <w:cantSplit/>
          <w:trHeight w:hRule="exact" w:val="340"/>
        </w:trPr>
        <w:tc>
          <w:tcPr>
            <w:tcW w:w="3828" w:type="dxa"/>
          </w:tcPr>
          <w:p w14:paraId="5F8ABB0F" w14:textId="77777777" w:rsidR="00DC5685" w:rsidRPr="00A34F10" w:rsidRDefault="00DC5685" w:rsidP="00E05ECD">
            <w:pPr>
              <w:keepNext/>
              <w:keepLines/>
              <w:numPr>
                <w:ilvl w:val="0"/>
                <w:numId w:val="56"/>
              </w:numPr>
              <w:spacing w:after="240"/>
              <w:contextualSpacing/>
              <w:rPr>
                <w:rFonts w:ascii="Times New Roman" w:eastAsia="Times New Roman" w:hAnsi="Times New Roman"/>
                <w:b/>
                <w:bCs/>
                <w:szCs w:val="24"/>
                <w:lang w:eastAsia="de-DE"/>
              </w:rPr>
            </w:pPr>
            <w:r w:rsidRPr="00A34F10">
              <w:rPr>
                <w:rFonts w:ascii="Times New Roman" w:hAnsi="Times New Roman"/>
                <w:b/>
                <w:bCs/>
                <w:lang w:eastAsia="en-US"/>
              </w:rPr>
              <w:t>Test item:</w:t>
            </w:r>
          </w:p>
        </w:tc>
        <w:tc>
          <w:tcPr>
            <w:tcW w:w="5522" w:type="dxa"/>
          </w:tcPr>
          <w:p w14:paraId="683713FA" w14:textId="77777777" w:rsidR="00DC5685" w:rsidRPr="00A34F10" w:rsidRDefault="00DC5685" w:rsidP="00DC5685">
            <w:pPr>
              <w:keepNext/>
              <w:keepLines/>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pl-PL" w:eastAsia="de-DE"/>
              </w:rPr>
              <w:t>BAS 743 02 F</w:t>
            </w:r>
          </w:p>
        </w:tc>
      </w:tr>
      <w:tr w:rsidR="00DC5685" w:rsidRPr="00A34F10" w14:paraId="01DB16AE" w14:textId="77777777" w:rsidTr="000470C3">
        <w:trPr>
          <w:cantSplit/>
          <w:trHeight w:hRule="exact" w:val="340"/>
        </w:trPr>
        <w:tc>
          <w:tcPr>
            <w:tcW w:w="3828" w:type="dxa"/>
          </w:tcPr>
          <w:p w14:paraId="1E4737EC" w14:textId="77777777" w:rsidR="00DC5685" w:rsidRPr="00A34F10" w:rsidRDefault="00DC5685" w:rsidP="00DC5685">
            <w:pPr>
              <w:keepNext/>
              <w:keepLines/>
              <w:tabs>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Description:</w:t>
            </w:r>
          </w:p>
        </w:tc>
        <w:tc>
          <w:tcPr>
            <w:tcW w:w="5522" w:type="dxa"/>
          </w:tcPr>
          <w:p w14:paraId="2D3914AE" w14:textId="77777777" w:rsidR="00DC5685" w:rsidRPr="00A34F10" w:rsidRDefault="00DC5685" w:rsidP="00DC5685">
            <w:pPr>
              <w:keepNext/>
              <w:keepLines/>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SC (suspension concentrate)</w:t>
            </w:r>
          </w:p>
        </w:tc>
      </w:tr>
      <w:tr w:rsidR="00DC5685" w:rsidRPr="00A34F10" w14:paraId="1E90287C" w14:textId="77777777" w:rsidTr="000470C3">
        <w:trPr>
          <w:cantSplit/>
          <w:trHeight w:hRule="exact" w:val="397"/>
        </w:trPr>
        <w:tc>
          <w:tcPr>
            <w:tcW w:w="3828" w:type="dxa"/>
          </w:tcPr>
          <w:p w14:paraId="4D01BEEB" w14:textId="77777777" w:rsidR="00DC5685" w:rsidRPr="00A34F10" w:rsidRDefault="00DC5685" w:rsidP="00DC5685">
            <w:pPr>
              <w:keepNext/>
              <w:keepLines/>
              <w:tabs>
                <w:tab w:val="left" w:pos="624"/>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Lot/Batch:</w:t>
            </w:r>
          </w:p>
        </w:tc>
        <w:tc>
          <w:tcPr>
            <w:tcW w:w="5522" w:type="dxa"/>
          </w:tcPr>
          <w:p w14:paraId="57060F92" w14:textId="77777777" w:rsidR="00DC5685" w:rsidRPr="00A34F10" w:rsidRDefault="00DC5685" w:rsidP="00DC5685">
            <w:pPr>
              <w:keepNext/>
              <w:keepLines/>
              <w:tabs>
                <w:tab w:val="left" w:pos="720"/>
              </w:tabs>
              <w:spacing w:after="240"/>
              <w:rPr>
                <w:rFonts w:ascii="Times New Roman" w:eastAsia="Times New Roman" w:hAnsi="Times New Roman"/>
                <w:szCs w:val="24"/>
                <w:lang w:eastAsia="de-DE"/>
              </w:rPr>
            </w:pPr>
            <w:r w:rsidRPr="00A34F10">
              <w:rPr>
                <w:rFonts w:ascii="Times New Roman" w:eastAsia="Times New Roman" w:hAnsi="Times New Roman"/>
                <w:szCs w:val="24"/>
                <w:lang w:val="en-US" w:eastAsia="de-DE"/>
              </w:rPr>
              <w:t>FRE-002224</w:t>
            </w:r>
          </w:p>
        </w:tc>
      </w:tr>
      <w:tr w:rsidR="00DC5685" w:rsidRPr="00A34F10" w14:paraId="7DE2B7D1" w14:textId="77777777" w:rsidTr="000470C3">
        <w:trPr>
          <w:cantSplit/>
          <w:trHeight w:hRule="exact" w:val="634"/>
        </w:trPr>
        <w:tc>
          <w:tcPr>
            <w:tcW w:w="3828" w:type="dxa"/>
          </w:tcPr>
          <w:p w14:paraId="1B6DEBB9" w14:textId="77777777" w:rsidR="00DC5685" w:rsidRPr="00A34F10" w:rsidRDefault="00DC5685" w:rsidP="00DC5685">
            <w:pPr>
              <w:keepNext/>
              <w:keepLines/>
              <w:tabs>
                <w:tab w:val="left" w:pos="624"/>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Active substance content:</w:t>
            </w:r>
          </w:p>
        </w:tc>
        <w:tc>
          <w:tcPr>
            <w:tcW w:w="5522" w:type="dxa"/>
          </w:tcPr>
          <w:p w14:paraId="62F8E768" w14:textId="77777777" w:rsidR="00DC5685" w:rsidRPr="00A34F10" w:rsidRDefault="00DC5685" w:rsidP="00DC5685">
            <w:pPr>
              <w:keepNext/>
              <w:keepLines/>
              <w:tabs>
                <w:tab w:val="left" w:pos="720"/>
              </w:tabs>
              <w:rPr>
                <w:rFonts w:ascii="Times New Roman" w:eastAsia="Times New Roman" w:hAnsi="Times New Roman"/>
                <w:szCs w:val="24"/>
                <w:lang w:val="en-US" w:eastAsia="de-DE"/>
              </w:rPr>
            </w:pPr>
            <w:r w:rsidRPr="00A34F10">
              <w:rPr>
                <w:rFonts w:ascii="Times New Roman" w:eastAsia="Times New Roman" w:hAnsi="Times New Roman"/>
                <w:szCs w:val="24"/>
                <w:lang w:val="en-US" w:eastAsia="de-DE"/>
              </w:rPr>
              <w:t>Propamocarb: nominal 432.0 g/L, analysed 431.0 g/L;</w:t>
            </w:r>
          </w:p>
          <w:p w14:paraId="01D25A66" w14:textId="77777777" w:rsidR="00DC5685" w:rsidRPr="00A34F10" w:rsidRDefault="00DC5685" w:rsidP="00DC5685">
            <w:pPr>
              <w:keepNext/>
              <w:keepLines/>
              <w:tabs>
                <w:tab w:val="left" w:pos="720"/>
              </w:tabs>
              <w:rPr>
                <w:rFonts w:ascii="Times New Roman" w:eastAsia="Times New Roman" w:hAnsi="Times New Roman"/>
                <w:szCs w:val="24"/>
                <w:lang w:eastAsia="de-DE"/>
              </w:rPr>
            </w:pPr>
            <w:r w:rsidRPr="00A34F10">
              <w:rPr>
                <w:rFonts w:ascii="Times New Roman" w:eastAsia="Times New Roman" w:hAnsi="Times New Roman"/>
                <w:szCs w:val="24"/>
                <w:lang w:val="en-US" w:eastAsia="de-DE"/>
              </w:rPr>
              <w:t>Ametoctradin: nominal 137.14 g/L, analysed 137.7 g/L</w:t>
            </w:r>
          </w:p>
        </w:tc>
      </w:tr>
      <w:tr w:rsidR="00DC5685" w:rsidRPr="00A34F10" w14:paraId="3A7915A5" w14:textId="77777777" w:rsidTr="000470C3">
        <w:trPr>
          <w:cantSplit/>
          <w:trHeight w:hRule="exact" w:val="340"/>
        </w:trPr>
        <w:tc>
          <w:tcPr>
            <w:tcW w:w="3828" w:type="dxa"/>
          </w:tcPr>
          <w:p w14:paraId="7DB2D90A" w14:textId="77777777" w:rsidR="00DC5685" w:rsidRPr="00A34F10" w:rsidRDefault="00DC5685" w:rsidP="00DC5685">
            <w:pPr>
              <w:keepNext/>
              <w:keepLines/>
              <w:tabs>
                <w:tab w:val="left" w:pos="624"/>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Density:</w:t>
            </w:r>
          </w:p>
        </w:tc>
        <w:tc>
          <w:tcPr>
            <w:tcW w:w="5522" w:type="dxa"/>
          </w:tcPr>
          <w:p w14:paraId="513D5F2D" w14:textId="77777777" w:rsidR="00DC5685" w:rsidRPr="00A34F10" w:rsidRDefault="00DC5685" w:rsidP="00DC5685">
            <w:pPr>
              <w:keepNext/>
              <w:keepLines/>
              <w:tabs>
                <w:tab w:val="left" w:pos="720"/>
              </w:tabs>
              <w:rPr>
                <w:rFonts w:ascii="Times New Roman" w:eastAsia="Times New Roman" w:hAnsi="Times New Roman"/>
                <w:szCs w:val="24"/>
                <w:lang w:eastAsia="de-DE"/>
              </w:rPr>
            </w:pPr>
            <w:r w:rsidRPr="00A34F10">
              <w:rPr>
                <w:rFonts w:ascii="Times New Roman" w:eastAsia="Times New Roman" w:hAnsi="Times New Roman"/>
                <w:szCs w:val="24"/>
                <w:lang w:eastAsia="de-DE"/>
              </w:rPr>
              <w:t>1.080 g/cm</w:t>
            </w:r>
            <w:r w:rsidRPr="00A34F10">
              <w:rPr>
                <w:rFonts w:ascii="Times New Roman" w:eastAsia="Times New Roman" w:hAnsi="Times New Roman"/>
                <w:szCs w:val="24"/>
                <w:vertAlign w:val="superscript"/>
                <w:lang w:eastAsia="de-DE"/>
              </w:rPr>
              <w:t xml:space="preserve">3 </w:t>
            </w:r>
          </w:p>
        </w:tc>
      </w:tr>
      <w:tr w:rsidR="00DC5685" w:rsidRPr="00A34F10" w14:paraId="4C491488" w14:textId="77777777" w:rsidTr="000470C3">
        <w:trPr>
          <w:cantSplit/>
          <w:trHeight w:hRule="exact" w:val="340"/>
        </w:trPr>
        <w:tc>
          <w:tcPr>
            <w:tcW w:w="3828" w:type="dxa"/>
          </w:tcPr>
          <w:p w14:paraId="52401BAE" w14:textId="77777777" w:rsidR="00DC5685" w:rsidRPr="00A34F10" w:rsidRDefault="00DC5685" w:rsidP="00DC5685">
            <w:pPr>
              <w:keepNext/>
              <w:keepLines/>
              <w:tabs>
                <w:tab w:val="left" w:pos="624"/>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Storage conditions:</w:t>
            </w:r>
          </w:p>
        </w:tc>
        <w:tc>
          <w:tcPr>
            <w:tcW w:w="5522" w:type="dxa"/>
          </w:tcPr>
          <w:p w14:paraId="0072B9A8" w14:textId="77777777" w:rsidR="00DC5685" w:rsidRPr="00A34F10" w:rsidRDefault="00DC5685" w:rsidP="00DC5685">
            <w:pPr>
              <w:keepNext/>
              <w:keepLines/>
              <w:tabs>
                <w:tab w:val="left" w:pos="720"/>
              </w:tabs>
              <w:jc w:val="both"/>
              <w:rPr>
                <w:rFonts w:ascii="Times New Roman" w:eastAsia="Times New Roman" w:hAnsi="Times New Roman"/>
                <w:szCs w:val="24"/>
                <w:lang w:eastAsia="de-DE"/>
              </w:rPr>
            </w:pPr>
            <w:r w:rsidRPr="00A34F10">
              <w:rPr>
                <w:rFonts w:ascii="Times New Roman" w:eastAsia="Times New Roman" w:hAnsi="Times New Roman"/>
                <w:lang w:val="en-US" w:eastAsia="de-DE"/>
              </w:rPr>
              <w:t>At room temperature (+5°C to +35°C)</w:t>
            </w:r>
          </w:p>
        </w:tc>
      </w:tr>
      <w:tr w:rsidR="00DC5685" w:rsidRPr="00A34F10" w14:paraId="1565F0B8" w14:textId="77777777" w:rsidTr="000470C3">
        <w:trPr>
          <w:cantSplit/>
          <w:trHeight w:hRule="exact" w:val="340"/>
        </w:trPr>
        <w:tc>
          <w:tcPr>
            <w:tcW w:w="3828" w:type="dxa"/>
          </w:tcPr>
          <w:p w14:paraId="2AA58F95" w14:textId="77777777" w:rsidR="00DC5685" w:rsidRPr="00A34F10" w:rsidRDefault="00DC5685" w:rsidP="00DC5685">
            <w:pPr>
              <w:keepNext/>
              <w:keepLines/>
              <w:tabs>
                <w:tab w:val="left" w:pos="624"/>
                <w:tab w:val="left" w:pos="709"/>
              </w:tabs>
              <w:spacing w:after="240"/>
              <w:ind w:left="567"/>
              <w:rPr>
                <w:rFonts w:ascii="Times New Roman" w:eastAsia="Times New Roman" w:hAnsi="Times New Roman"/>
                <w:b/>
                <w:bCs/>
                <w:szCs w:val="24"/>
                <w:lang w:eastAsia="de-DE"/>
              </w:rPr>
            </w:pPr>
            <w:r w:rsidRPr="00A34F10">
              <w:rPr>
                <w:rFonts w:ascii="Times New Roman" w:eastAsia="Times New Roman" w:hAnsi="Times New Roman"/>
                <w:b/>
                <w:bCs/>
                <w:szCs w:val="24"/>
                <w:lang w:val="en-US" w:eastAsia="de-DE"/>
              </w:rPr>
              <w:t>Stability (expiry date):</w:t>
            </w:r>
          </w:p>
        </w:tc>
        <w:tc>
          <w:tcPr>
            <w:tcW w:w="5522" w:type="dxa"/>
          </w:tcPr>
          <w:p w14:paraId="2C8214D5" w14:textId="77777777" w:rsidR="00DC5685" w:rsidRPr="00A34F10" w:rsidRDefault="00DC5685" w:rsidP="00DC5685">
            <w:pPr>
              <w:keepNext/>
              <w:keepLines/>
              <w:tabs>
                <w:tab w:val="left" w:pos="720"/>
              </w:tabs>
              <w:jc w:val="both"/>
              <w:rPr>
                <w:rFonts w:ascii="Times New Roman" w:eastAsia="Times New Roman" w:hAnsi="Times New Roman"/>
                <w:szCs w:val="24"/>
                <w:lang w:val="x-none" w:eastAsia="de-DE"/>
              </w:rPr>
            </w:pPr>
            <w:r w:rsidRPr="00A34F10">
              <w:rPr>
                <w:rFonts w:ascii="Times New Roman" w:eastAsia="Times New Roman" w:hAnsi="Times New Roman"/>
                <w:szCs w:val="24"/>
                <w:lang w:val="en-US" w:eastAsia="de-DE"/>
              </w:rPr>
              <w:t>31 January 2024</w:t>
            </w:r>
          </w:p>
        </w:tc>
      </w:tr>
      <w:tr w:rsidR="00DC5685" w:rsidRPr="00A34F10" w14:paraId="31E45AC2" w14:textId="77777777" w:rsidTr="000470C3">
        <w:trPr>
          <w:cantSplit/>
          <w:trHeight w:hRule="exact" w:val="1053"/>
        </w:trPr>
        <w:tc>
          <w:tcPr>
            <w:tcW w:w="3828" w:type="dxa"/>
          </w:tcPr>
          <w:p w14:paraId="02D0854F" w14:textId="77777777" w:rsidR="00DC5685" w:rsidRPr="00A34F10" w:rsidRDefault="00DC5685" w:rsidP="00E05ECD">
            <w:pPr>
              <w:numPr>
                <w:ilvl w:val="0"/>
                <w:numId w:val="56"/>
              </w:numPr>
              <w:spacing w:after="240"/>
              <w:contextualSpacing/>
              <w:rPr>
                <w:rFonts w:ascii="Times New Roman" w:eastAsia="Times New Roman" w:hAnsi="Times New Roman"/>
                <w:b/>
                <w:bCs/>
                <w:szCs w:val="24"/>
                <w:lang w:eastAsia="de-DE"/>
              </w:rPr>
            </w:pPr>
            <w:r w:rsidRPr="00A34F10">
              <w:rPr>
                <w:rFonts w:ascii="Times New Roman" w:hAnsi="Times New Roman"/>
                <w:b/>
                <w:bCs/>
                <w:lang w:eastAsia="en-US"/>
              </w:rPr>
              <w:t>Control:</w:t>
            </w:r>
          </w:p>
        </w:tc>
        <w:tc>
          <w:tcPr>
            <w:tcW w:w="5522" w:type="dxa"/>
          </w:tcPr>
          <w:p w14:paraId="1496DF99" w14:textId="77777777" w:rsidR="00DC5685" w:rsidRPr="00A34F10" w:rsidRDefault="00DC5685" w:rsidP="00DC5685">
            <w:pPr>
              <w:tabs>
                <w:tab w:val="left" w:pos="720"/>
              </w:tabs>
              <w:rPr>
                <w:rFonts w:ascii="Times New Roman" w:eastAsia="Times New Roman" w:hAnsi="Times New Roman"/>
                <w:szCs w:val="24"/>
                <w:lang w:val="en-US" w:eastAsia="de-DE"/>
              </w:rPr>
            </w:pPr>
            <w:r w:rsidRPr="00A34F10">
              <w:rPr>
                <w:rFonts w:ascii="Times New Roman" w:eastAsia="Times New Roman" w:hAnsi="Times New Roman"/>
                <w:szCs w:val="24"/>
                <w:lang w:val="en-US" w:eastAsia="de-DE"/>
              </w:rPr>
              <w:t>Oral test: 50% (w/v) sucrose solution;</w:t>
            </w:r>
          </w:p>
          <w:p w14:paraId="7B0CB763" w14:textId="77777777" w:rsidR="00DC5685" w:rsidRPr="00A34F10" w:rsidRDefault="00DC5685" w:rsidP="00DC5685">
            <w:pPr>
              <w:tabs>
                <w:tab w:val="left" w:pos="720"/>
              </w:tabs>
              <w:rPr>
                <w:rFonts w:ascii="Times New Roman" w:eastAsia="Times New Roman" w:hAnsi="Times New Roman"/>
                <w:szCs w:val="24"/>
                <w:lang w:eastAsia="de-DE"/>
              </w:rPr>
            </w:pPr>
            <w:r w:rsidRPr="00A34F10">
              <w:rPr>
                <w:rFonts w:ascii="Times New Roman" w:eastAsia="Times New Roman" w:hAnsi="Times New Roman"/>
                <w:szCs w:val="24"/>
                <w:lang w:val="en-US" w:eastAsia="de-DE"/>
              </w:rPr>
              <w:t xml:space="preserve">Contact test: water control (deionised water) and solvent control (deionised water with a wetting agent (0.5% (v/v) </w:t>
            </w:r>
            <w:r w:rsidRPr="00A34F10">
              <w:rPr>
                <w:rFonts w:ascii="Times New Roman" w:eastAsia="Times New Roman" w:hAnsi="Times New Roman"/>
                <w:szCs w:val="24"/>
                <w:lang w:eastAsia="de-DE"/>
              </w:rPr>
              <w:t>TritonX)</w:t>
            </w:r>
          </w:p>
        </w:tc>
      </w:tr>
      <w:tr w:rsidR="00DC5685" w:rsidRPr="00A34F10" w14:paraId="2DEBED49" w14:textId="77777777" w:rsidTr="000470C3">
        <w:trPr>
          <w:cantSplit/>
          <w:trHeight w:hRule="exact" w:val="644"/>
        </w:trPr>
        <w:tc>
          <w:tcPr>
            <w:tcW w:w="3828" w:type="dxa"/>
          </w:tcPr>
          <w:p w14:paraId="207A9FD1" w14:textId="77777777" w:rsidR="00DC5685" w:rsidRPr="00A34F10" w:rsidRDefault="00DC5685" w:rsidP="00E05ECD">
            <w:pPr>
              <w:numPr>
                <w:ilvl w:val="0"/>
                <w:numId w:val="56"/>
              </w:numPr>
              <w:spacing w:after="240"/>
              <w:contextualSpacing/>
              <w:rPr>
                <w:rFonts w:ascii="Times New Roman" w:eastAsia="Times New Roman" w:hAnsi="Times New Roman"/>
                <w:b/>
                <w:bCs/>
                <w:szCs w:val="24"/>
                <w:lang w:eastAsia="de-DE"/>
              </w:rPr>
            </w:pPr>
            <w:r w:rsidRPr="00A34F10">
              <w:rPr>
                <w:rFonts w:ascii="Times New Roman" w:hAnsi="Times New Roman"/>
                <w:b/>
                <w:bCs/>
                <w:lang w:eastAsia="en-US"/>
              </w:rPr>
              <w:t>Reference item:</w:t>
            </w:r>
          </w:p>
        </w:tc>
        <w:tc>
          <w:tcPr>
            <w:tcW w:w="5522" w:type="dxa"/>
          </w:tcPr>
          <w:p w14:paraId="1B51D883"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Dimethoate EC 400, analysed content of dimethoate 401.7 g/L</w:t>
            </w:r>
          </w:p>
        </w:tc>
      </w:tr>
    </w:tbl>
    <w:p w14:paraId="4EFADF3D" w14:textId="77777777" w:rsidR="00DC5685" w:rsidRPr="00A34F10" w:rsidRDefault="00DC5685" w:rsidP="00DC5685">
      <w:pPr>
        <w:tabs>
          <w:tab w:val="left" w:pos="0"/>
        </w:tabs>
        <w:spacing w:after="240"/>
        <w:contextualSpacing/>
        <w:rPr>
          <w:b/>
          <w:bCs/>
          <w:caps/>
          <w:szCs w:val="24"/>
          <w:highlight w:val="yellow"/>
          <w:lang w:val="en-GB"/>
        </w:rPr>
      </w:pPr>
    </w:p>
    <w:p w14:paraId="0952F936" w14:textId="77777777" w:rsidR="00DC5685" w:rsidRPr="00A34F10" w:rsidRDefault="00DC5685" w:rsidP="00E05ECD">
      <w:pPr>
        <w:numPr>
          <w:ilvl w:val="0"/>
          <w:numId w:val="54"/>
        </w:numPr>
        <w:ind w:left="284" w:hanging="284"/>
        <w:contextualSpacing/>
        <w:rPr>
          <w:b/>
          <w:bCs/>
          <w:caps/>
          <w:szCs w:val="24"/>
          <w:lang w:val="en-GB"/>
        </w:rPr>
      </w:pPr>
      <w:r w:rsidRPr="00A34F10">
        <w:rPr>
          <w:b/>
          <w:bCs/>
          <w:caps/>
          <w:szCs w:val="24"/>
          <w:lang w:val="en-GB"/>
        </w:rPr>
        <w:t>study design and methods</w:t>
      </w:r>
    </w:p>
    <w:p w14:paraId="4F2F3C1F" w14:textId="77777777" w:rsidR="00DC5685" w:rsidRPr="00A34F10" w:rsidRDefault="00DC5685" w:rsidP="00DC5685">
      <w:pPr>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A34F10" w14:paraId="1127A153" w14:textId="77777777" w:rsidTr="000470C3">
        <w:trPr>
          <w:trHeight w:hRule="exact" w:val="340"/>
        </w:trPr>
        <w:tc>
          <w:tcPr>
            <w:tcW w:w="3826" w:type="dxa"/>
          </w:tcPr>
          <w:p w14:paraId="6222513E" w14:textId="77777777" w:rsidR="00DC5685" w:rsidRPr="00A34F10" w:rsidRDefault="00DC5685" w:rsidP="00E05ECD">
            <w:pPr>
              <w:numPr>
                <w:ilvl w:val="0"/>
                <w:numId w:val="55"/>
              </w:numPr>
              <w:spacing w:after="240"/>
              <w:contextualSpacing/>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 xml:space="preserve">Test </w:t>
            </w:r>
            <w:r w:rsidRPr="00A34F10">
              <w:rPr>
                <w:rFonts w:ascii="Times New Roman" w:hAnsi="Times New Roman"/>
                <w:b/>
                <w:bCs/>
                <w:lang w:eastAsia="en-US"/>
              </w:rPr>
              <w:t>organism</w:t>
            </w:r>
            <w:r w:rsidRPr="00A34F10">
              <w:rPr>
                <w:rFonts w:ascii="Times New Roman" w:eastAsia="Times New Roman" w:hAnsi="Times New Roman"/>
                <w:b/>
                <w:bCs/>
                <w:szCs w:val="24"/>
                <w:lang w:eastAsia="de-DE"/>
              </w:rPr>
              <w:t>:</w:t>
            </w:r>
          </w:p>
        </w:tc>
        <w:tc>
          <w:tcPr>
            <w:tcW w:w="5518" w:type="dxa"/>
          </w:tcPr>
          <w:p w14:paraId="5993AB83"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i/>
                <w:iCs/>
                <w:szCs w:val="24"/>
                <w:lang w:val="en-US" w:eastAsia="de-DE"/>
              </w:rPr>
              <w:t xml:space="preserve">Bombus terrestris </w:t>
            </w:r>
            <w:r w:rsidRPr="00A34F10">
              <w:rPr>
                <w:rFonts w:ascii="Times New Roman" w:eastAsia="Times New Roman" w:hAnsi="Times New Roman"/>
                <w:iCs/>
                <w:szCs w:val="24"/>
                <w:lang w:val="en-US" w:eastAsia="de-DE"/>
              </w:rPr>
              <w:t>L</w:t>
            </w:r>
          </w:p>
        </w:tc>
      </w:tr>
      <w:tr w:rsidR="00DC5685" w:rsidRPr="00A34F10" w14:paraId="3CB00267" w14:textId="77777777" w:rsidTr="000470C3">
        <w:trPr>
          <w:trHeight w:hRule="exact" w:val="300"/>
        </w:trPr>
        <w:tc>
          <w:tcPr>
            <w:tcW w:w="3826" w:type="dxa"/>
          </w:tcPr>
          <w:p w14:paraId="3864B3BC"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Age:</w:t>
            </w:r>
          </w:p>
        </w:tc>
        <w:tc>
          <w:tcPr>
            <w:tcW w:w="5518" w:type="dxa"/>
          </w:tcPr>
          <w:p w14:paraId="0A501130"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 xml:space="preserve">Young adult worker bumblebees </w:t>
            </w:r>
          </w:p>
        </w:tc>
      </w:tr>
      <w:tr w:rsidR="00DC5685" w:rsidRPr="00902592" w14:paraId="4979EF5B" w14:textId="77777777" w:rsidTr="000470C3">
        <w:trPr>
          <w:trHeight w:hRule="exact" w:val="560"/>
        </w:trPr>
        <w:tc>
          <w:tcPr>
            <w:tcW w:w="3826" w:type="dxa"/>
          </w:tcPr>
          <w:p w14:paraId="47590A73"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Source:</w:t>
            </w:r>
          </w:p>
        </w:tc>
        <w:tc>
          <w:tcPr>
            <w:tcW w:w="5518" w:type="dxa"/>
          </w:tcPr>
          <w:p w14:paraId="3DF2C03C" w14:textId="77777777" w:rsidR="00DC5685" w:rsidRPr="00A34F10" w:rsidRDefault="00DC5685" w:rsidP="00DC5685">
            <w:pPr>
              <w:tabs>
                <w:tab w:val="left" w:pos="720"/>
              </w:tabs>
              <w:spacing w:after="240"/>
              <w:jc w:val="both"/>
              <w:rPr>
                <w:rFonts w:ascii="Times New Roman" w:eastAsia="Times New Roman" w:hAnsi="Times New Roman"/>
                <w:szCs w:val="24"/>
                <w:lang w:val="de-DE" w:eastAsia="de-DE"/>
              </w:rPr>
            </w:pPr>
            <w:r w:rsidRPr="00A34F10">
              <w:rPr>
                <w:rFonts w:ascii="Times New Roman" w:eastAsia="Times New Roman" w:hAnsi="Times New Roman"/>
                <w:szCs w:val="24"/>
                <w:lang w:val="de-DE" w:eastAsia="de-DE"/>
              </w:rPr>
              <w:t>Biobest Belgium N.V. Ilse Velden, 18, 2260 Westerlo, Belgium</w:t>
            </w:r>
          </w:p>
          <w:p w14:paraId="24C58B33" w14:textId="77777777" w:rsidR="00DC5685" w:rsidRPr="00A34F10" w:rsidRDefault="00DC5685" w:rsidP="00DC5685">
            <w:pPr>
              <w:tabs>
                <w:tab w:val="left" w:pos="720"/>
              </w:tabs>
              <w:spacing w:after="240"/>
              <w:jc w:val="both"/>
              <w:rPr>
                <w:rFonts w:ascii="Times New Roman" w:eastAsia="Times New Roman" w:hAnsi="Times New Roman"/>
                <w:szCs w:val="24"/>
                <w:lang w:val="de-DE" w:eastAsia="de-DE"/>
              </w:rPr>
            </w:pPr>
            <w:r w:rsidRPr="00A34F10">
              <w:rPr>
                <w:rFonts w:ascii="Times New Roman" w:eastAsia="Times New Roman" w:hAnsi="Times New Roman"/>
                <w:szCs w:val="24"/>
                <w:lang w:val="de-DE" w:eastAsia="de-DE"/>
              </w:rPr>
              <w:t>delivered: Katz Biotech AG, An der Birkenpfuhlheide 10, 15837 Baruth, Germany</w:t>
            </w:r>
          </w:p>
        </w:tc>
      </w:tr>
      <w:tr w:rsidR="00DC5685" w:rsidRPr="00A34F10" w14:paraId="673C0884" w14:textId="77777777" w:rsidTr="000470C3">
        <w:trPr>
          <w:trHeight w:hRule="exact" w:val="1053"/>
        </w:trPr>
        <w:tc>
          <w:tcPr>
            <w:tcW w:w="3826" w:type="dxa"/>
          </w:tcPr>
          <w:p w14:paraId="65E04901"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Acclimatisation:</w:t>
            </w:r>
          </w:p>
        </w:tc>
        <w:tc>
          <w:tcPr>
            <w:tcW w:w="5518" w:type="dxa"/>
          </w:tcPr>
          <w:p w14:paraId="685D881F"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Bees were placed in the environmental test chamber for preconditioning for about 21 hours before application of the treatments with a starving period of 4 hours in the oral toxicity test before application of the treatments.</w:t>
            </w:r>
          </w:p>
        </w:tc>
      </w:tr>
      <w:tr w:rsidR="00DC5685" w:rsidRPr="00A34F10" w14:paraId="1846C98B" w14:textId="77777777" w:rsidTr="000470C3">
        <w:trPr>
          <w:trHeight w:hRule="exact" w:val="270"/>
        </w:trPr>
        <w:tc>
          <w:tcPr>
            <w:tcW w:w="3826" w:type="dxa"/>
          </w:tcPr>
          <w:p w14:paraId="051FA871"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 xml:space="preserve">Diet: </w:t>
            </w:r>
          </w:p>
        </w:tc>
        <w:tc>
          <w:tcPr>
            <w:tcW w:w="5518" w:type="dxa"/>
          </w:tcPr>
          <w:p w14:paraId="2A8DAD86" w14:textId="77777777" w:rsidR="00DC5685" w:rsidRPr="00A34F10" w:rsidRDefault="00DC5685" w:rsidP="00DC5685">
            <w:pPr>
              <w:tabs>
                <w:tab w:val="left" w:pos="720"/>
              </w:tabs>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 xml:space="preserve">50% w/v sucrose solution </w:t>
            </w:r>
          </w:p>
        </w:tc>
      </w:tr>
      <w:tr w:rsidR="00DC5685" w:rsidRPr="00A34F10" w14:paraId="231A7EAD" w14:textId="77777777" w:rsidTr="000470C3">
        <w:trPr>
          <w:trHeight w:hRule="exact" w:val="503"/>
        </w:trPr>
        <w:tc>
          <w:tcPr>
            <w:tcW w:w="3826" w:type="dxa"/>
          </w:tcPr>
          <w:p w14:paraId="6EAEA77E" w14:textId="77777777" w:rsidR="00DC5685" w:rsidRPr="00A34F10" w:rsidRDefault="00DC5685" w:rsidP="00E05ECD">
            <w:pPr>
              <w:numPr>
                <w:ilvl w:val="0"/>
                <w:numId w:val="55"/>
              </w:numPr>
              <w:spacing w:after="240"/>
              <w:contextualSpacing/>
              <w:rPr>
                <w:rFonts w:ascii="Times New Roman" w:eastAsia="Times New Roman" w:hAnsi="Times New Roman"/>
                <w:b/>
                <w:bCs/>
                <w:szCs w:val="24"/>
                <w:lang w:eastAsia="de-DE"/>
              </w:rPr>
            </w:pPr>
            <w:r w:rsidRPr="00A34F10">
              <w:rPr>
                <w:rFonts w:ascii="Times New Roman" w:hAnsi="Times New Roman"/>
                <w:b/>
                <w:bCs/>
                <w:lang w:eastAsia="en-US"/>
              </w:rPr>
              <w:t>Test units:</w:t>
            </w:r>
          </w:p>
        </w:tc>
        <w:tc>
          <w:tcPr>
            <w:tcW w:w="5518" w:type="dxa"/>
          </w:tcPr>
          <w:p w14:paraId="3D5C9059" w14:textId="77777777" w:rsidR="00DC5685" w:rsidRPr="00A34F10" w:rsidRDefault="00DC5685" w:rsidP="00DC5685">
            <w:pPr>
              <w:tabs>
                <w:tab w:val="left" w:pos="720"/>
              </w:tabs>
              <w:spacing w:after="240"/>
              <w:jc w:val="both"/>
              <w:rPr>
                <w:rFonts w:ascii="Times New Roman" w:eastAsia="Times New Roman" w:hAnsi="Times New Roman"/>
                <w:szCs w:val="24"/>
                <w:lang w:val="en-US" w:eastAsia="de-DE"/>
              </w:rPr>
            </w:pPr>
            <w:r w:rsidRPr="00A34F10">
              <w:rPr>
                <w:rFonts w:ascii="Times New Roman" w:eastAsia="Times New Roman" w:hAnsi="Times New Roman"/>
                <w:szCs w:val="24"/>
                <w:lang w:eastAsia="de-DE"/>
              </w:rPr>
              <w:t>Nicot cages (part of the Nicot queen bee rearing system) with a length of 7 cm and a diameter of 2 cm.</w:t>
            </w:r>
          </w:p>
        </w:tc>
      </w:tr>
      <w:tr w:rsidR="00DC5685" w:rsidRPr="00A34F10" w14:paraId="2C21D868" w14:textId="77777777" w:rsidTr="000470C3">
        <w:trPr>
          <w:trHeight w:hRule="exact" w:val="340"/>
        </w:trPr>
        <w:tc>
          <w:tcPr>
            <w:tcW w:w="3826" w:type="dxa"/>
          </w:tcPr>
          <w:p w14:paraId="4A7A6C3E" w14:textId="77777777" w:rsidR="00DC5685" w:rsidRPr="00A34F10" w:rsidRDefault="00DC5685" w:rsidP="00E05ECD">
            <w:pPr>
              <w:numPr>
                <w:ilvl w:val="0"/>
                <w:numId w:val="55"/>
              </w:numPr>
              <w:spacing w:after="240"/>
              <w:contextualSpacing/>
              <w:rPr>
                <w:rFonts w:ascii="Times New Roman" w:eastAsia="Times New Roman" w:hAnsi="Times New Roman"/>
                <w:b/>
                <w:bCs/>
                <w:szCs w:val="24"/>
                <w:lang w:eastAsia="de-DE"/>
              </w:rPr>
            </w:pPr>
            <w:r w:rsidRPr="00A34F10">
              <w:rPr>
                <w:rFonts w:ascii="Times New Roman" w:hAnsi="Times New Roman"/>
                <w:b/>
                <w:bCs/>
                <w:lang w:eastAsia="en-US"/>
              </w:rPr>
              <w:t>Environmental conditions</w:t>
            </w:r>
          </w:p>
        </w:tc>
        <w:tc>
          <w:tcPr>
            <w:tcW w:w="5518" w:type="dxa"/>
          </w:tcPr>
          <w:p w14:paraId="5597659B"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p>
        </w:tc>
      </w:tr>
      <w:tr w:rsidR="00DC5685" w:rsidRPr="00A34F10" w14:paraId="2ACA4974" w14:textId="77777777" w:rsidTr="000470C3">
        <w:trPr>
          <w:trHeight w:hRule="exact" w:val="340"/>
        </w:trPr>
        <w:tc>
          <w:tcPr>
            <w:tcW w:w="3826" w:type="dxa"/>
          </w:tcPr>
          <w:p w14:paraId="2977D33E"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Temperature:</w:t>
            </w:r>
          </w:p>
        </w:tc>
        <w:tc>
          <w:tcPr>
            <w:tcW w:w="5518" w:type="dxa"/>
          </w:tcPr>
          <w:p w14:paraId="74EFB39B" w14:textId="77777777" w:rsidR="00DC5685" w:rsidRPr="00A34F10" w:rsidRDefault="00DC5685" w:rsidP="00DC5685">
            <w:pPr>
              <w:tabs>
                <w:tab w:val="left" w:pos="720"/>
              </w:tabs>
              <w:spacing w:after="240"/>
              <w:jc w:val="both"/>
              <w:rPr>
                <w:rFonts w:ascii="Times New Roman" w:eastAsia="Times New Roman" w:hAnsi="Times New Roman"/>
                <w:szCs w:val="24"/>
                <w:lang w:eastAsia="de-DE"/>
              </w:rPr>
            </w:pPr>
            <w:r w:rsidRPr="00A34F10">
              <w:rPr>
                <w:rFonts w:ascii="Times New Roman" w:eastAsia="Times New Roman" w:hAnsi="Times New Roman"/>
                <w:szCs w:val="24"/>
                <w:lang w:val="en-US" w:eastAsia="de-DE"/>
              </w:rPr>
              <w:t>24.9 – 25.4°C</w:t>
            </w:r>
          </w:p>
        </w:tc>
      </w:tr>
      <w:tr w:rsidR="00DC5685" w:rsidRPr="00A34F10" w14:paraId="1E277A8C" w14:textId="77777777" w:rsidTr="000470C3">
        <w:trPr>
          <w:trHeight w:hRule="exact" w:val="312"/>
        </w:trPr>
        <w:tc>
          <w:tcPr>
            <w:tcW w:w="3826" w:type="dxa"/>
          </w:tcPr>
          <w:p w14:paraId="2D70C2A1"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eastAsia="de-DE"/>
              </w:rPr>
            </w:pPr>
            <w:r w:rsidRPr="00A34F10">
              <w:rPr>
                <w:rFonts w:ascii="Times New Roman" w:eastAsia="Times New Roman" w:hAnsi="Times New Roman"/>
                <w:b/>
                <w:bCs/>
                <w:szCs w:val="24"/>
                <w:lang w:eastAsia="de-DE"/>
              </w:rPr>
              <w:t>Relative humidity:</w:t>
            </w:r>
          </w:p>
        </w:tc>
        <w:tc>
          <w:tcPr>
            <w:tcW w:w="5518" w:type="dxa"/>
          </w:tcPr>
          <w:p w14:paraId="59E76C02" w14:textId="77777777" w:rsidR="00DC5685" w:rsidRPr="00A34F10" w:rsidRDefault="00DC5685" w:rsidP="00DC5685">
            <w:pPr>
              <w:tabs>
                <w:tab w:val="left" w:pos="720"/>
              </w:tabs>
              <w:spacing w:after="240"/>
              <w:rPr>
                <w:rFonts w:ascii="Times New Roman" w:eastAsia="Times New Roman" w:hAnsi="Times New Roman"/>
                <w:szCs w:val="24"/>
                <w:lang w:eastAsia="de-DE"/>
              </w:rPr>
            </w:pPr>
            <w:r w:rsidRPr="00A34F10">
              <w:rPr>
                <w:rFonts w:ascii="Times New Roman" w:eastAsia="Times New Roman" w:hAnsi="Times New Roman"/>
                <w:szCs w:val="24"/>
                <w:lang w:val="en-US" w:eastAsia="de-DE"/>
              </w:rPr>
              <w:t>59 – 66%</w:t>
            </w:r>
          </w:p>
        </w:tc>
      </w:tr>
      <w:tr w:rsidR="00DC5685" w:rsidRPr="00A34F10" w14:paraId="5ADAB164" w14:textId="77777777" w:rsidTr="000470C3">
        <w:trPr>
          <w:trHeight w:hRule="exact" w:val="657"/>
        </w:trPr>
        <w:tc>
          <w:tcPr>
            <w:tcW w:w="3826" w:type="dxa"/>
            <w:shd w:val="clear" w:color="auto" w:fill="auto"/>
          </w:tcPr>
          <w:p w14:paraId="6B94FCF6" w14:textId="77777777" w:rsidR="00DC5685" w:rsidRPr="00A34F10" w:rsidRDefault="00DC5685" w:rsidP="00DC5685">
            <w:pPr>
              <w:tabs>
                <w:tab w:val="left" w:pos="284"/>
                <w:tab w:val="left" w:pos="624"/>
              </w:tabs>
              <w:spacing w:after="240"/>
              <w:ind w:left="426"/>
              <w:rPr>
                <w:rFonts w:ascii="Times New Roman" w:eastAsia="Times New Roman" w:hAnsi="Times New Roman"/>
                <w:b/>
                <w:bCs/>
                <w:szCs w:val="24"/>
                <w:lang w:val="en-US" w:eastAsia="de-DE"/>
              </w:rPr>
            </w:pPr>
            <w:r w:rsidRPr="00A34F10">
              <w:rPr>
                <w:rFonts w:ascii="Times New Roman" w:eastAsia="Times New Roman" w:hAnsi="Times New Roman"/>
                <w:b/>
                <w:bCs/>
                <w:szCs w:val="24"/>
                <w:lang w:eastAsia="de-DE"/>
              </w:rPr>
              <w:t>Photoperiod:</w:t>
            </w:r>
          </w:p>
        </w:tc>
        <w:tc>
          <w:tcPr>
            <w:tcW w:w="5518" w:type="dxa"/>
            <w:shd w:val="clear" w:color="auto" w:fill="auto"/>
          </w:tcPr>
          <w:p w14:paraId="4DB95ABC" w14:textId="77777777" w:rsidR="00DC5685" w:rsidRPr="00A34F10" w:rsidRDefault="00DC5685" w:rsidP="00DC5685">
            <w:pPr>
              <w:tabs>
                <w:tab w:val="left" w:pos="720"/>
              </w:tabs>
              <w:spacing w:after="240"/>
              <w:rPr>
                <w:rFonts w:ascii="Times New Roman" w:eastAsia="Times New Roman" w:hAnsi="Times New Roman"/>
                <w:szCs w:val="24"/>
                <w:lang w:eastAsia="de-DE"/>
              </w:rPr>
            </w:pPr>
            <w:r w:rsidRPr="00A34F10">
              <w:rPr>
                <w:rFonts w:ascii="Times New Roman" w:eastAsia="Times New Roman" w:hAnsi="Times New Roman"/>
                <w:szCs w:val="24"/>
                <w:lang w:val="en-US" w:eastAsia="de-DE"/>
              </w:rPr>
              <w:t>Constant darkness throughout the test (diffuse artificial light only during handling and assessments)</w:t>
            </w:r>
          </w:p>
        </w:tc>
      </w:tr>
      <w:bookmarkEnd w:id="1103"/>
    </w:tbl>
    <w:p w14:paraId="12D43407" w14:textId="55D57FC7" w:rsidR="00054CD1" w:rsidRPr="00A34F10" w:rsidRDefault="00054CD1" w:rsidP="00DC5685">
      <w:pPr>
        <w:numPr>
          <w:ilvl w:val="3"/>
          <w:numId w:val="0"/>
        </w:numPr>
        <w:tabs>
          <w:tab w:val="left" w:pos="0"/>
        </w:tabs>
        <w:spacing w:before="240"/>
        <w:ind w:left="357" w:hanging="357"/>
        <w:contextualSpacing/>
        <w:rPr>
          <w:b/>
          <w:bCs/>
          <w:szCs w:val="24"/>
          <w:lang w:val="en-GB"/>
        </w:rPr>
      </w:pPr>
    </w:p>
    <w:p w14:paraId="71DCBD31" w14:textId="77777777" w:rsidR="00DC5685" w:rsidRPr="00A34F10" w:rsidRDefault="00DC5685" w:rsidP="00E05ECD">
      <w:pPr>
        <w:numPr>
          <w:ilvl w:val="0"/>
          <w:numId w:val="57"/>
        </w:numPr>
        <w:spacing w:before="240"/>
        <w:ind w:left="357" w:hanging="357"/>
        <w:contextualSpacing/>
        <w:rPr>
          <w:b/>
          <w:bCs/>
          <w:szCs w:val="24"/>
          <w:lang w:val="en-GB"/>
        </w:rPr>
      </w:pPr>
      <w:r w:rsidRPr="00A34F10">
        <w:rPr>
          <w:b/>
          <w:bCs/>
          <w:szCs w:val="24"/>
          <w:lang w:val="en-GB"/>
        </w:rPr>
        <w:t xml:space="preserve">Treatment: </w:t>
      </w:r>
    </w:p>
    <w:p w14:paraId="3C52FA09"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 study was conducted at </w:t>
      </w:r>
      <w:r w:rsidRPr="00A34F10">
        <w:rPr>
          <w:szCs w:val="24"/>
        </w:rPr>
        <w:t>BioChem agrar (Labor für biologische und chemische Analytik GmbH, 04827 Machern OT Gerichshain, Germany</w:t>
      </w:r>
      <w:r w:rsidRPr="00A34F10">
        <w:rPr>
          <w:szCs w:val="24"/>
          <w:lang w:val="en-GB"/>
        </w:rPr>
        <w:t xml:space="preserve">) between 27.09.2022 and 29.09.2022. </w:t>
      </w:r>
    </w:p>
    <w:p w14:paraId="564F0136" w14:textId="77777777" w:rsidR="00DC5685" w:rsidRPr="00A34F10" w:rsidRDefault="00DC5685" w:rsidP="00DC5685">
      <w:pPr>
        <w:tabs>
          <w:tab w:val="left" w:pos="720"/>
        </w:tabs>
        <w:spacing w:after="240"/>
        <w:jc w:val="both"/>
        <w:rPr>
          <w:szCs w:val="24"/>
          <w:highlight w:val="cyan"/>
          <w:lang w:val="en-GB"/>
        </w:rPr>
      </w:pPr>
      <w:r w:rsidRPr="00A34F10">
        <w:rPr>
          <w:szCs w:val="24"/>
          <w:lang w:val="en-GB"/>
        </w:rPr>
        <w:t>Under laboratory conditions a total of 50 worker bees per replicate (30 individuals in the positive control) were exposed to a single dose of 1000.0 µg product per bumblebee for 48 hours by topical application (contact limit test). Separate batches of 30 replicates of one bumblebee each were exposed to five nominal doses of 500.0, 250.0, 125.0, 62.5, 31.3 µg product/bumblebee by feeding application (the actual dose based on the actual intake of the test item were 271.2, 203.5, 114.5, 59.2, 29.1 µg product/bumblebee, respectively).</w:t>
      </w:r>
    </w:p>
    <w:p w14:paraId="2FEE5B92" w14:textId="77777777" w:rsidR="00DC5685" w:rsidRPr="00A34F10" w:rsidRDefault="00DC5685" w:rsidP="00DC5685">
      <w:pPr>
        <w:tabs>
          <w:tab w:val="left" w:pos="720"/>
        </w:tabs>
        <w:spacing w:after="240"/>
        <w:jc w:val="both"/>
        <w:rPr>
          <w:szCs w:val="24"/>
          <w:highlight w:val="cyan"/>
          <w:lang w:val="en-GB"/>
        </w:rPr>
      </w:pPr>
      <w:r w:rsidRPr="00A34F10">
        <w:rPr>
          <w:szCs w:val="24"/>
          <w:lang w:val="en-GB"/>
        </w:rPr>
        <w:lastRenderedPageBreak/>
        <w:t xml:space="preserve">The contact test comprised a water control group (deionised water) as well as a solvent control (deionised water with 0.5% (v/v) TritonX solution). The oral test comprised a water control group (50 % w/w sugar (syrup) solution (in tap water)). As a toxic reference dimethoate (Dimethoate EC 400, 400.0 g/L) was applied at an actual dose of 26.8 µg product/bee (referring to 10.0 µg a.s./bee) in the contact test and 4.0 µg product/bee (referring to 1.5µg a.s./bee) in the oral test. </w:t>
      </w:r>
    </w:p>
    <w:p w14:paraId="663BB98B" w14:textId="77777777" w:rsidR="00DC5685" w:rsidRPr="00A34F10" w:rsidRDefault="00DC5685" w:rsidP="00DC5685">
      <w:pPr>
        <w:tabs>
          <w:tab w:val="left" w:pos="720"/>
        </w:tabs>
        <w:spacing w:after="240"/>
        <w:jc w:val="both"/>
        <w:rPr>
          <w:szCs w:val="24"/>
          <w:lang w:val="en-GB"/>
        </w:rPr>
      </w:pPr>
      <w:r w:rsidRPr="00A34F10">
        <w:rPr>
          <w:szCs w:val="24"/>
          <w:u w:val="single"/>
          <w:lang w:val="en-GB"/>
        </w:rPr>
        <w:t>Application in the contact test:</w:t>
      </w:r>
      <w:r w:rsidRPr="00A34F10">
        <w:rPr>
          <w:szCs w:val="24"/>
          <w:lang w:val="en-GB"/>
        </w:rPr>
        <w:t xml:space="preserve"> The test item was applied as one 4-μL droplet of the test solution (BAS 743 02 F in an appropriate carrier (TritonX solution (0.5% v/v)), placed on the dorsal bee thorax using a Eppendorf Micropipette. For the controls, one 4-μL droplet of deionised water or 0.5% (v/v) TritonX solution was used. The reference item was applied in 4-μL deionised water. A 4-µL droplet was chosen in deviation to the guideline recommendation of a 2-µL droplet, since a higher volume ensured a more reliable dispersion of the test item. Bees were anaesthetized with CO</w:t>
      </w:r>
      <w:r w:rsidRPr="00A34F10">
        <w:rPr>
          <w:szCs w:val="24"/>
          <w:vertAlign w:val="subscript"/>
          <w:lang w:val="en-GB"/>
        </w:rPr>
        <w:t>2</w:t>
      </w:r>
      <w:r w:rsidRPr="00A34F10">
        <w:rPr>
          <w:szCs w:val="24"/>
          <w:lang w:val="en-GB"/>
        </w:rPr>
        <w:t xml:space="preserve"> for ca. 20 seconds until they were immobilized immediately before application.</w:t>
      </w:r>
    </w:p>
    <w:p w14:paraId="1C49EA9B" w14:textId="77777777" w:rsidR="00DC5685" w:rsidRPr="00A34F10" w:rsidRDefault="00DC5685" w:rsidP="00DC5685">
      <w:pPr>
        <w:tabs>
          <w:tab w:val="left" w:pos="720"/>
        </w:tabs>
        <w:spacing w:after="240"/>
        <w:jc w:val="both"/>
        <w:rPr>
          <w:szCs w:val="24"/>
          <w:highlight w:val="cyan"/>
          <w:lang w:val="en-GB"/>
        </w:rPr>
      </w:pPr>
      <w:r w:rsidRPr="00A34F10">
        <w:rPr>
          <w:szCs w:val="24"/>
          <w:u w:val="single"/>
          <w:lang w:val="en-GB"/>
        </w:rPr>
        <w:t>Application in the oral test:</w:t>
      </w:r>
      <w:r w:rsidRPr="00A34F10">
        <w:rPr>
          <w:szCs w:val="24"/>
          <w:lang w:val="en-GB"/>
        </w:rPr>
        <w:t xml:space="preserve"> The test item, reference item and controls were applied </w:t>
      </w:r>
      <w:r w:rsidRPr="00A34F10">
        <w:rPr>
          <w:i/>
          <w:iCs/>
          <w:szCs w:val="24"/>
          <w:lang w:val="en-GB"/>
        </w:rPr>
        <w:t>ad libitum</w:t>
      </w:r>
      <w:r w:rsidRPr="00A34F10">
        <w:rPr>
          <w:szCs w:val="24"/>
          <w:lang w:val="en-GB"/>
        </w:rPr>
        <w:t xml:space="preserve"> in 50 % w/v sucrose solution. The treated food was offered in syringes, which were weighed before and after introduction into the cages. After a maximum of 4 hours, the uptake was complete and the syringes containing the treated food were removed, weighed and replaced by ones containing fresh, untreated food.</w:t>
      </w:r>
    </w:p>
    <w:p w14:paraId="5AB9FF5E" w14:textId="77777777" w:rsidR="00DC5685" w:rsidRPr="00A34F10" w:rsidRDefault="00DC5685" w:rsidP="00E05ECD">
      <w:pPr>
        <w:numPr>
          <w:ilvl w:val="0"/>
          <w:numId w:val="57"/>
        </w:numPr>
        <w:spacing w:before="240"/>
        <w:ind w:left="357" w:hanging="357"/>
        <w:contextualSpacing/>
        <w:rPr>
          <w:b/>
          <w:bCs/>
          <w:szCs w:val="24"/>
          <w:lang w:val="en-GB"/>
        </w:rPr>
      </w:pPr>
      <w:r w:rsidRPr="00A34F10">
        <w:rPr>
          <w:b/>
          <w:bCs/>
          <w:szCs w:val="24"/>
          <w:lang w:val="en-GB"/>
        </w:rPr>
        <w:t xml:space="preserve">Dose preparation: </w:t>
      </w:r>
    </w:p>
    <w:p w14:paraId="2C86A8CB" w14:textId="77777777" w:rsidR="00DC5685" w:rsidRPr="00A34F10" w:rsidRDefault="00DC5685" w:rsidP="00DC5685">
      <w:pPr>
        <w:tabs>
          <w:tab w:val="left" w:pos="720"/>
        </w:tabs>
        <w:spacing w:after="240"/>
        <w:jc w:val="both"/>
        <w:rPr>
          <w:szCs w:val="24"/>
          <w:highlight w:val="yellow"/>
          <w:lang w:val="x-none"/>
        </w:rPr>
      </w:pPr>
      <w:r w:rsidRPr="00A34F10">
        <w:rPr>
          <w:szCs w:val="24"/>
          <w:lang w:val="x-none"/>
        </w:rPr>
        <w:t xml:space="preserve">A stock solution of </w:t>
      </w:r>
      <w:r w:rsidRPr="00A34F10">
        <w:rPr>
          <w:szCs w:val="24"/>
          <w:lang w:val="en-GB"/>
        </w:rPr>
        <w:t xml:space="preserve">the </w:t>
      </w:r>
      <w:r w:rsidRPr="00A34F10">
        <w:rPr>
          <w:szCs w:val="24"/>
          <w:lang w:val="x-none"/>
        </w:rPr>
        <w:t>test item was prepared by dissolving</w:t>
      </w:r>
      <w:r w:rsidRPr="00A34F10">
        <w:rPr>
          <w:szCs w:val="24"/>
          <w:lang w:val="en-GB"/>
        </w:rPr>
        <w:t xml:space="preserve"> 6.250 g BAS 743 02 F </w:t>
      </w:r>
      <w:r w:rsidRPr="00A34F10">
        <w:rPr>
          <w:szCs w:val="24"/>
          <w:lang w:val="x-none"/>
        </w:rPr>
        <w:t xml:space="preserve">into </w:t>
      </w:r>
      <w:r w:rsidRPr="00A34F10">
        <w:rPr>
          <w:szCs w:val="24"/>
        </w:rPr>
        <w:t>25</w:t>
      </w:r>
      <w:r w:rsidRPr="00A34F10">
        <w:rPr>
          <w:szCs w:val="24"/>
          <w:lang w:val="x-none"/>
        </w:rPr>
        <w:t xml:space="preserve"> mL with 0.5% (v/v) TritonX solution</w:t>
      </w:r>
      <w:r w:rsidRPr="00A34F10">
        <w:rPr>
          <w:szCs w:val="24"/>
        </w:rPr>
        <w:t xml:space="preserve"> for the contact test. For the oral test,</w:t>
      </w:r>
      <w:r w:rsidRPr="00A34F10">
        <w:rPr>
          <w:szCs w:val="24"/>
          <w:lang w:val="x-none"/>
        </w:rPr>
        <w:t xml:space="preserve"> 0.625 g BAS 743 02 F and filled up to 50 mL with 50% (w/v) sucrose solution</w:t>
      </w:r>
      <w:r w:rsidRPr="00A34F10">
        <w:rPr>
          <w:szCs w:val="24"/>
        </w:rPr>
        <w:t xml:space="preserve">. </w:t>
      </w:r>
      <w:r w:rsidRPr="00A34F10">
        <w:rPr>
          <w:szCs w:val="24"/>
          <w:lang w:val="en-GB"/>
        </w:rPr>
        <w:t>Each of the remaining test concentrations were prepared by dissolving an adequate</w:t>
      </w:r>
      <w:r w:rsidRPr="00A34F10">
        <w:rPr>
          <w:szCs w:val="24"/>
          <w:lang w:val="x-none"/>
        </w:rPr>
        <w:t xml:space="preserve"> volume of </w:t>
      </w:r>
      <w:r w:rsidRPr="00A34F10">
        <w:rPr>
          <w:szCs w:val="24"/>
          <w:lang w:val="en-GB"/>
        </w:rPr>
        <w:t xml:space="preserve">the previous higher test concentration </w:t>
      </w:r>
      <w:r w:rsidRPr="00A34F10">
        <w:rPr>
          <w:szCs w:val="24"/>
          <w:lang w:val="x-none"/>
        </w:rPr>
        <w:t>with</w:t>
      </w:r>
      <w:r w:rsidRPr="00A34F10">
        <w:rPr>
          <w:szCs w:val="24"/>
          <w:lang w:val="en-GB"/>
        </w:rPr>
        <w:t xml:space="preserve"> </w:t>
      </w:r>
      <w:r w:rsidRPr="00A34F10">
        <w:rPr>
          <w:szCs w:val="24"/>
          <w:lang w:val="x-none"/>
        </w:rPr>
        <w:t>50% w/v sucrose solution</w:t>
      </w:r>
      <w:r w:rsidRPr="00A34F10">
        <w:rPr>
          <w:szCs w:val="24"/>
          <w:lang w:val="en-GB"/>
        </w:rPr>
        <w:t xml:space="preserve"> (25 ml)</w:t>
      </w:r>
      <w:r w:rsidRPr="00A34F10">
        <w:rPr>
          <w:szCs w:val="24"/>
          <w:lang w:val="x-none"/>
        </w:rPr>
        <w:t>.</w:t>
      </w:r>
    </w:p>
    <w:p w14:paraId="45063FF3" w14:textId="77777777" w:rsidR="00DC5685" w:rsidRPr="00A34F10" w:rsidRDefault="00DC5685" w:rsidP="00E05ECD">
      <w:pPr>
        <w:numPr>
          <w:ilvl w:val="0"/>
          <w:numId w:val="57"/>
        </w:numPr>
        <w:spacing w:before="240"/>
        <w:ind w:left="357" w:hanging="357"/>
        <w:contextualSpacing/>
        <w:rPr>
          <w:b/>
          <w:bCs/>
          <w:szCs w:val="24"/>
          <w:lang w:val="en-GB"/>
        </w:rPr>
      </w:pPr>
      <w:r w:rsidRPr="00A34F10">
        <w:rPr>
          <w:b/>
          <w:bCs/>
          <w:szCs w:val="24"/>
          <w:lang w:val="en-GB"/>
        </w:rPr>
        <w:t xml:space="preserve">Measurements and observations: </w:t>
      </w:r>
    </w:p>
    <w:p w14:paraId="1BD01CB4"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19E9ED8D" w14:textId="77777777" w:rsidR="00DC5685" w:rsidRPr="00A34F10" w:rsidRDefault="00DC5685" w:rsidP="00DC5685">
      <w:pPr>
        <w:tabs>
          <w:tab w:val="left" w:pos="720"/>
        </w:tabs>
        <w:jc w:val="both"/>
        <w:rPr>
          <w:szCs w:val="24"/>
          <w:highlight w:val="yellow"/>
        </w:rPr>
      </w:pPr>
      <w:r w:rsidRPr="00A34F10">
        <w:rPr>
          <w:szCs w:val="24"/>
        </w:rPr>
        <w:t>Each group of bees was observed for moribund, mortality, lethargy and impaired coordination at 4, 24, and 48 hours post-treatment. Bees showing impaired locomotion were counted as affected.</w:t>
      </w:r>
    </w:p>
    <w:p w14:paraId="3E4AEAA0" w14:textId="77777777" w:rsidR="00DC5685" w:rsidRPr="00A34F10" w:rsidRDefault="00DC5685" w:rsidP="00DC5685">
      <w:pPr>
        <w:tabs>
          <w:tab w:val="left" w:pos="720"/>
        </w:tabs>
        <w:jc w:val="both"/>
        <w:rPr>
          <w:szCs w:val="24"/>
          <w:highlight w:val="yellow"/>
        </w:rPr>
      </w:pPr>
    </w:p>
    <w:p w14:paraId="5B17E300"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3E6C5FE6" w14:textId="77777777" w:rsidR="00DC5685" w:rsidRPr="00A34F10" w:rsidRDefault="00DC5685" w:rsidP="00DC5685">
      <w:pPr>
        <w:tabs>
          <w:tab w:val="left" w:pos="720"/>
          <w:tab w:val="left" w:pos="7890"/>
        </w:tabs>
        <w:jc w:val="both"/>
        <w:rPr>
          <w:szCs w:val="24"/>
        </w:rPr>
      </w:pPr>
      <w:r w:rsidRPr="00A34F10">
        <w:rPr>
          <w:szCs w:val="24"/>
          <w:lang w:val="en-GB"/>
        </w:rPr>
        <w:t>Air</w:t>
      </w:r>
      <w:r w:rsidRPr="00A34F10">
        <w:rPr>
          <w:szCs w:val="24"/>
          <w:lang w:val="x-none"/>
        </w:rPr>
        <w:t xml:space="preserve"> temperature</w:t>
      </w:r>
      <w:r w:rsidRPr="00A34F10">
        <w:rPr>
          <w:szCs w:val="24"/>
          <w:lang w:val="en-GB"/>
        </w:rPr>
        <w:t xml:space="preserve"> and relative humidity were recorded continuously during the study.</w:t>
      </w:r>
      <w:r w:rsidRPr="00A34F10">
        <w:rPr>
          <w:szCs w:val="24"/>
        </w:rPr>
        <w:t xml:space="preserve"> </w:t>
      </w:r>
    </w:p>
    <w:p w14:paraId="5EA7DFC8" w14:textId="77777777" w:rsidR="00DC5685" w:rsidRPr="00A34F10" w:rsidRDefault="00DC5685" w:rsidP="00DC5685">
      <w:pPr>
        <w:tabs>
          <w:tab w:val="left" w:pos="720"/>
          <w:tab w:val="left" w:pos="7890"/>
        </w:tabs>
        <w:jc w:val="both"/>
        <w:rPr>
          <w:szCs w:val="24"/>
        </w:rPr>
      </w:pPr>
    </w:p>
    <w:p w14:paraId="6940E4B4" w14:textId="77777777" w:rsidR="00DC5685" w:rsidRPr="00A34F10" w:rsidRDefault="00DC5685" w:rsidP="00DC5685">
      <w:pPr>
        <w:tabs>
          <w:tab w:val="left" w:pos="720"/>
        </w:tabs>
        <w:jc w:val="both"/>
        <w:rPr>
          <w:szCs w:val="24"/>
        </w:rPr>
      </w:pPr>
      <w:r w:rsidRPr="00A34F10">
        <w:rPr>
          <w:szCs w:val="24"/>
          <w:u w:val="single"/>
        </w:rPr>
        <w:t>Verification of exposure concentration</w:t>
      </w:r>
      <w:r w:rsidRPr="00A34F10">
        <w:rPr>
          <w:szCs w:val="24"/>
        </w:rPr>
        <w:t xml:space="preserve">: </w:t>
      </w:r>
    </w:p>
    <w:p w14:paraId="7992C08D" w14:textId="77777777" w:rsidR="00DC5685" w:rsidRPr="00A34F10" w:rsidRDefault="00DC5685" w:rsidP="00DC5685">
      <w:pPr>
        <w:tabs>
          <w:tab w:val="left" w:pos="720"/>
        </w:tabs>
        <w:jc w:val="both"/>
        <w:rPr>
          <w:szCs w:val="24"/>
        </w:rPr>
      </w:pPr>
      <w:r w:rsidRPr="00A34F10">
        <w:rPr>
          <w:szCs w:val="24"/>
        </w:rPr>
        <w:t>For verification of the exposure concentration, the test item solutions of the highest and lowest test concentration as well as the respective control solutions were sampled directly after preparation. Samples were analysed using high performance liquid chromatography (HPLC) with mass-spectrometric (MS/MS) detection.</w:t>
      </w:r>
    </w:p>
    <w:p w14:paraId="0DF1E866" w14:textId="77777777" w:rsidR="00DC5685" w:rsidRPr="00A34F10" w:rsidRDefault="00DC5685" w:rsidP="00DC5685">
      <w:pPr>
        <w:tabs>
          <w:tab w:val="left" w:pos="720"/>
        </w:tabs>
        <w:jc w:val="both"/>
        <w:rPr>
          <w:szCs w:val="24"/>
          <w:highlight w:val="yellow"/>
        </w:rPr>
      </w:pPr>
    </w:p>
    <w:p w14:paraId="146D383F" w14:textId="77777777" w:rsidR="00DC5685" w:rsidRPr="00A34F10" w:rsidRDefault="00DC5685" w:rsidP="00E05ECD">
      <w:pPr>
        <w:numPr>
          <w:ilvl w:val="0"/>
          <w:numId w:val="57"/>
        </w:numPr>
        <w:spacing w:before="240"/>
        <w:ind w:left="357" w:hanging="357"/>
        <w:contextualSpacing/>
        <w:rPr>
          <w:b/>
          <w:bCs/>
          <w:szCs w:val="24"/>
          <w:lang w:val="en-GB"/>
        </w:rPr>
      </w:pPr>
      <w:r w:rsidRPr="00A34F10">
        <w:rPr>
          <w:b/>
          <w:bCs/>
          <w:szCs w:val="24"/>
          <w:lang w:val="en-GB"/>
        </w:rPr>
        <w:t xml:space="preserve">Statistical analysis: </w:t>
      </w:r>
    </w:p>
    <w:p w14:paraId="3D137C4A" w14:textId="715165A4" w:rsidR="00054CD1" w:rsidRDefault="00DC5685" w:rsidP="00DC5685">
      <w:pPr>
        <w:spacing w:before="240"/>
        <w:contextualSpacing/>
        <w:jc w:val="both"/>
        <w:rPr>
          <w:szCs w:val="24"/>
        </w:rPr>
      </w:pPr>
      <w:r w:rsidRPr="00A34F10">
        <w:rPr>
          <w:szCs w:val="24"/>
        </w:rPr>
        <w:t>No statistical analysis was necessary since no control and test item mortality occurred during the contact and oral toxicity test.</w:t>
      </w:r>
    </w:p>
    <w:p w14:paraId="5AD2C10A" w14:textId="77777777" w:rsidR="008D2927" w:rsidRPr="00A34F10" w:rsidRDefault="008D2927" w:rsidP="00DC5685">
      <w:pPr>
        <w:spacing w:before="240"/>
        <w:contextualSpacing/>
        <w:jc w:val="both"/>
        <w:rPr>
          <w:szCs w:val="24"/>
        </w:rPr>
      </w:pPr>
    </w:p>
    <w:p w14:paraId="590E7100" w14:textId="77777777" w:rsidR="00DC5685" w:rsidRPr="00A34F10" w:rsidRDefault="00DC5685" w:rsidP="00E05ECD">
      <w:pPr>
        <w:numPr>
          <w:ilvl w:val="0"/>
          <w:numId w:val="57"/>
        </w:numPr>
        <w:spacing w:before="240"/>
        <w:ind w:left="357" w:hanging="357"/>
        <w:contextualSpacing/>
        <w:rPr>
          <w:b/>
          <w:bCs/>
          <w:szCs w:val="24"/>
          <w:lang w:val="en-GB"/>
        </w:rPr>
      </w:pPr>
      <w:r w:rsidRPr="00A34F10">
        <w:rPr>
          <w:b/>
          <w:bCs/>
          <w:szCs w:val="24"/>
          <w:lang w:val="en-GB"/>
        </w:rPr>
        <w:t>Description of the analytical procedures</w:t>
      </w:r>
    </w:p>
    <w:p w14:paraId="1A120137" w14:textId="77777777" w:rsidR="00DC5685" w:rsidRPr="00A34F10" w:rsidRDefault="00DC5685" w:rsidP="00DC5685">
      <w:pPr>
        <w:spacing w:before="240"/>
        <w:contextualSpacing/>
        <w:jc w:val="both"/>
        <w:rPr>
          <w:szCs w:val="24"/>
        </w:rPr>
      </w:pPr>
      <w:r w:rsidRPr="00A34F10">
        <w:rPr>
          <w:szCs w:val="24"/>
        </w:rPr>
        <w:t xml:space="preserve">Methodology was validated to quantify the amount of BAS 743 02 F via its active ingredients Propamocarb and Ametoctradin (BAS 650 F) present in recovery samples pre-pared in test item solutions resulting from acute toxicity tests with BAS 743 02 F on bumblebees. The determination was conducted using </w:t>
      </w:r>
      <w:r w:rsidRPr="00A34F10">
        <w:t>high performance liquid chromatography (HPLC) with mass-spectrometric (MS/MS) detection</w:t>
      </w:r>
      <w:r w:rsidRPr="00A34F10">
        <w:rPr>
          <w:szCs w:val="24"/>
        </w:rPr>
        <w:t xml:space="preserve">. All samples were extracted prior to sample analysis with 50/50 (v/v) (acetonitrile + 0.5% (v/v) formic acid))/water. The resulting extracts were further diluted into the range of the calibration curve before injecting into the HPLC-system. The method was fully validated according to the requirements of SANTE/2020/12830, Rev.1 guideline. Five replicate dilutions were analyzed for each selected application solution. Defined limits for acceptance of quality control sample performance in subsequent studies were set at 70 to 110%. Mean recoveries were 99.2% and 102% for Propamocarb and 101% and 105% for BAS 650 F for the fortification levels for the contact toxicity test as well as 97.3% and 97.8% for Propamocarb and 105% and 107% for BAS 650 F for the fortification levels for the oral toxicity test. The analyzed untreated control samples </w:t>
      </w:r>
      <w:r w:rsidRPr="00A34F10">
        <w:rPr>
          <w:szCs w:val="24"/>
        </w:rPr>
        <w:lastRenderedPageBreak/>
        <w:t>showed no residues at or above the LOD. The limit of quantitation was 1.45 mg/kg Propamocarb and 0.459 mg/kg BAS 650 F (contact toxicity test) and 1.52 mg/kg Propamocarb and 0.482 mg/kg BAS 650 F (oral toxicity test).</w:t>
      </w:r>
    </w:p>
    <w:p w14:paraId="3FC56A41" w14:textId="77777777" w:rsidR="00DC5685" w:rsidRPr="00A34F10" w:rsidRDefault="00DC5685" w:rsidP="00E05ECD">
      <w:pPr>
        <w:keepNext/>
        <w:keepLines/>
        <w:numPr>
          <w:ilvl w:val="0"/>
          <w:numId w:val="53"/>
        </w:numPr>
        <w:tabs>
          <w:tab w:val="left" w:pos="720"/>
        </w:tabs>
        <w:spacing w:before="240" w:after="240"/>
        <w:jc w:val="center"/>
        <w:rPr>
          <w:b/>
          <w:bCs/>
          <w:caps/>
          <w:szCs w:val="24"/>
          <w:lang w:val="en-GB"/>
        </w:rPr>
      </w:pPr>
      <w:r w:rsidRPr="00A34F10">
        <w:rPr>
          <w:b/>
          <w:bCs/>
          <w:caps/>
          <w:szCs w:val="24"/>
          <w:lang w:val="en-GB"/>
        </w:rPr>
        <w:t>Results and Discussion</w:t>
      </w:r>
    </w:p>
    <w:p w14:paraId="138A2033" w14:textId="77777777" w:rsidR="00DC5685" w:rsidRPr="00A34F10" w:rsidRDefault="00DC5685" w:rsidP="00E05ECD">
      <w:pPr>
        <w:keepNext/>
        <w:keepLines/>
        <w:numPr>
          <w:ilvl w:val="0"/>
          <w:numId w:val="58"/>
        </w:numPr>
        <w:ind w:left="357" w:hanging="357"/>
        <w:contextualSpacing/>
        <w:rPr>
          <w:b/>
          <w:bCs/>
          <w:caps/>
          <w:szCs w:val="24"/>
          <w:lang w:val="en-GB"/>
        </w:rPr>
      </w:pPr>
      <w:r w:rsidRPr="00A34F10">
        <w:rPr>
          <w:b/>
          <w:bCs/>
          <w:caps/>
          <w:szCs w:val="24"/>
          <w:lang w:val="en-GB"/>
        </w:rPr>
        <w:t>biological effects</w:t>
      </w:r>
    </w:p>
    <w:p w14:paraId="3501FD2D" w14:textId="77777777" w:rsidR="00DC5685" w:rsidRPr="00A34F10" w:rsidRDefault="00DC5685" w:rsidP="00DC5685">
      <w:pPr>
        <w:keepNext/>
        <w:keepLines/>
        <w:ind w:left="357"/>
        <w:contextualSpacing/>
        <w:rPr>
          <w:b/>
          <w:bCs/>
          <w:caps/>
          <w:szCs w:val="24"/>
          <w:lang w:val="en-GB"/>
        </w:rPr>
      </w:pPr>
    </w:p>
    <w:p w14:paraId="285A671D" w14:textId="77777777" w:rsidR="00DC5685" w:rsidRPr="00A34F10" w:rsidRDefault="00DC5685" w:rsidP="00DC5685">
      <w:pPr>
        <w:keepNext/>
        <w:keepLines/>
        <w:widowControl w:val="0"/>
        <w:spacing w:after="240"/>
        <w:jc w:val="both"/>
        <w:rPr>
          <w:lang w:val="en-GB"/>
        </w:rPr>
      </w:pPr>
      <w:r w:rsidRPr="00A34F10">
        <w:rPr>
          <w:lang w:val="en-GB"/>
        </w:rPr>
        <w:t>No mortality occurred in the any of test item groups or controls after 48 hours in the oral and contact toxicity tests. No behavioural effects appeared during the test.</w:t>
      </w:r>
    </w:p>
    <w:p w14:paraId="2F328D1E" w14:textId="7C43DEFD" w:rsidR="00DC5685" w:rsidRPr="00A34F10" w:rsidRDefault="00E25EF3" w:rsidP="00E25EF3">
      <w:pPr>
        <w:pStyle w:val="Legenda"/>
      </w:pPr>
      <w:r>
        <w:t xml:space="preserve">Table A </w:t>
      </w:r>
      <w:r>
        <w:fldChar w:fldCharType="begin"/>
      </w:r>
      <w:r>
        <w:instrText xml:space="preserve"> SEQ Table_A \* ARABIC </w:instrText>
      </w:r>
      <w:r>
        <w:fldChar w:fldCharType="separate"/>
      </w:r>
      <w:r w:rsidR="006F0F3B">
        <w:rPr>
          <w:noProof/>
        </w:rPr>
        <w:t>43</w:t>
      </w:r>
      <w:r>
        <w:fldChar w:fldCharType="end"/>
      </w:r>
      <w:r w:rsidR="00054CD1" w:rsidRPr="00A34F10">
        <w:t>:</w:t>
      </w:r>
      <w:r w:rsidR="00DC5685" w:rsidRPr="00A34F10">
        <w:tab/>
        <w:t xml:space="preserve">Mortality and behaviour of the bees in the contact toxicity test </w:t>
      </w:r>
    </w:p>
    <w:tbl>
      <w:tblPr>
        <w:tblStyle w:val="NormaleTabelle1"/>
        <w:tblW w:w="5000" w:type="pct"/>
        <w:tblInd w:w="0"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42"/>
        <w:gridCol w:w="1805"/>
        <w:gridCol w:w="1805"/>
        <w:gridCol w:w="1596"/>
        <w:gridCol w:w="1596"/>
      </w:tblGrid>
      <w:tr w:rsidR="00DC5685" w:rsidRPr="00A34F10" w14:paraId="55EB851A" w14:textId="77777777" w:rsidTr="000470C3">
        <w:trPr>
          <w:tblHeader/>
        </w:trPr>
        <w:tc>
          <w:tcPr>
            <w:tcW w:w="1360" w:type="pct"/>
            <w:vMerge w:val="restart"/>
            <w:tcBorders>
              <w:top w:val="single" w:sz="4" w:space="0" w:color="auto"/>
              <w:left w:val="single" w:sz="4" w:space="0" w:color="auto"/>
              <w:bottom w:val="single" w:sz="6" w:space="0" w:color="auto"/>
              <w:right w:val="single" w:sz="4" w:space="0" w:color="auto"/>
            </w:tcBorders>
            <w:vAlign w:val="center"/>
            <w:hideMark/>
          </w:tcPr>
          <w:p w14:paraId="415C799C"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bookmarkStart w:id="1104" w:name="_Hlk125999181"/>
            <w:r w:rsidRPr="00A34F10">
              <w:rPr>
                <w:b/>
                <w:bCs/>
                <w:color w:val="000000"/>
                <w:sz w:val="20"/>
                <w:szCs w:val="20"/>
                <w:lang w:eastAsia="de-DE"/>
              </w:rPr>
              <w:t>Treatment group</w:t>
            </w:r>
          </w:p>
        </w:tc>
        <w:tc>
          <w:tcPr>
            <w:tcW w:w="966" w:type="pct"/>
            <w:vMerge w:val="restart"/>
            <w:tcBorders>
              <w:top w:val="single" w:sz="4" w:space="0" w:color="auto"/>
              <w:left w:val="single" w:sz="4" w:space="0" w:color="auto"/>
              <w:bottom w:val="single" w:sz="6" w:space="0" w:color="auto"/>
              <w:right w:val="single" w:sz="4" w:space="0" w:color="auto"/>
            </w:tcBorders>
            <w:vAlign w:val="center"/>
            <w:hideMark/>
          </w:tcPr>
          <w:p w14:paraId="13B23AFA"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Dosage</w:t>
            </w:r>
          </w:p>
        </w:tc>
        <w:tc>
          <w:tcPr>
            <w:tcW w:w="966" w:type="pct"/>
            <w:tcBorders>
              <w:top w:val="single" w:sz="4" w:space="0" w:color="auto"/>
              <w:left w:val="single" w:sz="4" w:space="0" w:color="auto"/>
              <w:bottom w:val="single" w:sz="4" w:space="0" w:color="auto"/>
              <w:right w:val="single" w:sz="4" w:space="0" w:color="auto"/>
            </w:tcBorders>
            <w:vAlign w:val="center"/>
            <w:hideMark/>
          </w:tcPr>
          <w:p w14:paraId="378D527A"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4 hours</w:t>
            </w:r>
          </w:p>
        </w:tc>
        <w:tc>
          <w:tcPr>
            <w:tcW w:w="854" w:type="pct"/>
            <w:tcBorders>
              <w:top w:val="single" w:sz="4" w:space="0" w:color="auto"/>
              <w:left w:val="single" w:sz="4" w:space="0" w:color="auto"/>
              <w:bottom w:val="single" w:sz="4" w:space="0" w:color="auto"/>
              <w:right w:val="single" w:sz="4" w:space="0" w:color="auto"/>
            </w:tcBorders>
            <w:vAlign w:val="center"/>
            <w:hideMark/>
          </w:tcPr>
          <w:p w14:paraId="43A1DB00"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24 hours</w:t>
            </w:r>
          </w:p>
        </w:tc>
        <w:tc>
          <w:tcPr>
            <w:tcW w:w="854" w:type="pct"/>
            <w:tcBorders>
              <w:top w:val="single" w:sz="4" w:space="0" w:color="auto"/>
              <w:left w:val="single" w:sz="4" w:space="0" w:color="auto"/>
              <w:bottom w:val="single" w:sz="4" w:space="0" w:color="auto"/>
              <w:right w:val="single" w:sz="4" w:space="0" w:color="auto"/>
            </w:tcBorders>
            <w:vAlign w:val="center"/>
            <w:hideMark/>
          </w:tcPr>
          <w:p w14:paraId="335B702F"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48 hours</w:t>
            </w:r>
          </w:p>
        </w:tc>
      </w:tr>
      <w:tr w:rsidR="00DC5685" w:rsidRPr="00A34F10" w14:paraId="5E038EA7" w14:textId="77777777" w:rsidTr="000470C3">
        <w:trPr>
          <w:trHeight w:val="253"/>
          <w:tblHeader/>
        </w:trPr>
        <w:tc>
          <w:tcPr>
            <w:tcW w:w="1360" w:type="pct"/>
            <w:vMerge/>
            <w:tcBorders>
              <w:top w:val="single" w:sz="4" w:space="0" w:color="auto"/>
              <w:left w:val="single" w:sz="4" w:space="0" w:color="auto"/>
              <w:bottom w:val="single" w:sz="6" w:space="0" w:color="auto"/>
              <w:right w:val="single" w:sz="4" w:space="0" w:color="auto"/>
            </w:tcBorders>
            <w:vAlign w:val="center"/>
            <w:hideMark/>
          </w:tcPr>
          <w:p w14:paraId="475E21F8" w14:textId="77777777" w:rsidR="00DC5685" w:rsidRPr="00A34F10" w:rsidRDefault="00DC5685" w:rsidP="00DC5685">
            <w:pPr>
              <w:jc w:val="center"/>
              <w:rPr>
                <w:b/>
                <w:bCs/>
                <w:color w:val="000000"/>
                <w:sz w:val="20"/>
                <w:szCs w:val="20"/>
                <w:lang w:eastAsia="de-DE"/>
              </w:rPr>
            </w:pPr>
          </w:p>
        </w:tc>
        <w:tc>
          <w:tcPr>
            <w:tcW w:w="966" w:type="pct"/>
            <w:vMerge/>
            <w:tcBorders>
              <w:top w:val="single" w:sz="4" w:space="0" w:color="auto"/>
              <w:left w:val="single" w:sz="4" w:space="0" w:color="auto"/>
              <w:bottom w:val="single" w:sz="6" w:space="0" w:color="auto"/>
              <w:right w:val="single" w:sz="4" w:space="0" w:color="auto"/>
            </w:tcBorders>
            <w:vAlign w:val="center"/>
            <w:hideMark/>
          </w:tcPr>
          <w:p w14:paraId="0149F3AD" w14:textId="77777777" w:rsidR="00DC5685" w:rsidRPr="00A34F10" w:rsidRDefault="00DC5685" w:rsidP="00DC5685">
            <w:pPr>
              <w:jc w:val="center"/>
              <w:rPr>
                <w:b/>
                <w:bCs/>
                <w:color w:val="000000"/>
                <w:sz w:val="20"/>
                <w:szCs w:val="20"/>
                <w:lang w:eastAsia="de-DE"/>
              </w:rPr>
            </w:pPr>
          </w:p>
        </w:tc>
        <w:tc>
          <w:tcPr>
            <w:tcW w:w="966" w:type="pct"/>
            <w:vMerge w:val="restart"/>
            <w:tcBorders>
              <w:top w:val="single" w:sz="6" w:space="0" w:color="auto"/>
              <w:left w:val="single" w:sz="4" w:space="0" w:color="auto"/>
              <w:bottom w:val="single" w:sz="6" w:space="0" w:color="auto"/>
              <w:right w:val="single" w:sz="6" w:space="0" w:color="auto"/>
            </w:tcBorders>
            <w:vAlign w:val="center"/>
            <w:hideMark/>
          </w:tcPr>
          <w:p w14:paraId="0D15D964"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c>
          <w:tcPr>
            <w:tcW w:w="854" w:type="pct"/>
            <w:vMerge w:val="restart"/>
            <w:tcBorders>
              <w:top w:val="single" w:sz="6" w:space="0" w:color="auto"/>
              <w:left w:val="single" w:sz="6" w:space="0" w:color="auto"/>
              <w:bottom w:val="single" w:sz="6" w:space="0" w:color="auto"/>
              <w:right w:val="single" w:sz="6" w:space="0" w:color="auto"/>
            </w:tcBorders>
            <w:vAlign w:val="center"/>
            <w:hideMark/>
          </w:tcPr>
          <w:p w14:paraId="1A4184E2"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c>
          <w:tcPr>
            <w:tcW w:w="854" w:type="pct"/>
            <w:vMerge w:val="restart"/>
            <w:tcBorders>
              <w:top w:val="single" w:sz="6" w:space="0" w:color="auto"/>
              <w:left w:val="single" w:sz="6" w:space="0" w:color="auto"/>
              <w:bottom w:val="single" w:sz="6" w:space="0" w:color="auto"/>
              <w:right w:val="single" w:sz="6" w:space="0" w:color="auto"/>
            </w:tcBorders>
            <w:vAlign w:val="center"/>
            <w:hideMark/>
          </w:tcPr>
          <w:p w14:paraId="5E938FE1"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r>
      <w:tr w:rsidR="00DC5685" w:rsidRPr="00A34F10" w14:paraId="0CFB0E06" w14:textId="77777777" w:rsidTr="000470C3">
        <w:trPr>
          <w:trHeight w:val="253"/>
          <w:tblHeader/>
        </w:trPr>
        <w:tc>
          <w:tcPr>
            <w:tcW w:w="1360" w:type="pct"/>
            <w:vMerge/>
            <w:tcBorders>
              <w:top w:val="single" w:sz="4" w:space="0" w:color="auto"/>
              <w:left w:val="single" w:sz="4" w:space="0" w:color="auto"/>
              <w:bottom w:val="single" w:sz="6" w:space="0" w:color="auto"/>
              <w:right w:val="single" w:sz="4" w:space="0" w:color="auto"/>
            </w:tcBorders>
            <w:vAlign w:val="center"/>
            <w:hideMark/>
          </w:tcPr>
          <w:p w14:paraId="49849201" w14:textId="77777777" w:rsidR="00DC5685" w:rsidRPr="00A34F10" w:rsidRDefault="00DC5685" w:rsidP="00DC5685">
            <w:pPr>
              <w:jc w:val="center"/>
              <w:rPr>
                <w:b/>
                <w:bCs/>
                <w:color w:val="000000"/>
                <w:sz w:val="20"/>
                <w:szCs w:val="20"/>
                <w:lang w:eastAsia="de-DE"/>
              </w:rPr>
            </w:pPr>
          </w:p>
        </w:tc>
        <w:tc>
          <w:tcPr>
            <w:tcW w:w="966" w:type="pct"/>
            <w:vMerge/>
            <w:tcBorders>
              <w:top w:val="single" w:sz="4" w:space="0" w:color="auto"/>
              <w:left w:val="single" w:sz="4" w:space="0" w:color="auto"/>
              <w:bottom w:val="single" w:sz="6" w:space="0" w:color="auto"/>
              <w:right w:val="single" w:sz="4" w:space="0" w:color="auto"/>
            </w:tcBorders>
            <w:vAlign w:val="center"/>
            <w:hideMark/>
          </w:tcPr>
          <w:p w14:paraId="7DE21B6F" w14:textId="77777777" w:rsidR="00DC5685" w:rsidRPr="00A34F10" w:rsidRDefault="00DC5685" w:rsidP="00DC5685">
            <w:pPr>
              <w:jc w:val="center"/>
              <w:rPr>
                <w:b/>
                <w:bCs/>
                <w:color w:val="000000"/>
                <w:sz w:val="20"/>
                <w:szCs w:val="20"/>
                <w:lang w:eastAsia="de-DE"/>
              </w:rPr>
            </w:pPr>
          </w:p>
        </w:tc>
        <w:tc>
          <w:tcPr>
            <w:tcW w:w="966" w:type="pct"/>
            <w:vMerge/>
            <w:tcBorders>
              <w:top w:val="single" w:sz="6" w:space="0" w:color="auto"/>
              <w:left w:val="single" w:sz="4" w:space="0" w:color="auto"/>
              <w:bottom w:val="single" w:sz="6" w:space="0" w:color="auto"/>
              <w:right w:val="single" w:sz="6" w:space="0" w:color="auto"/>
            </w:tcBorders>
            <w:vAlign w:val="center"/>
            <w:hideMark/>
          </w:tcPr>
          <w:p w14:paraId="664360D1" w14:textId="77777777" w:rsidR="00DC5685" w:rsidRPr="00A34F10" w:rsidRDefault="00DC5685" w:rsidP="00DC5685">
            <w:pPr>
              <w:jc w:val="center"/>
              <w:rPr>
                <w:b/>
                <w:bCs/>
                <w:color w:val="000000"/>
                <w:sz w:val="20"/>
                <w:szCs w:val="20"/>
                <w:lang w:eastAsia="de-DE"/>
              </w:rPr>
            </w:pPr>
          </w:p>
        </w:tc>
        <w:tc>
          <w:tcPr>
            <w:tcW w:w="854" w:type="pct"/>
            <w:vMerge/>
            <w:tcBorders>
              <w:top w:val="single" w:sz="6" w:space="0" w:color="auto"/>
              <w:left w:val="single" w:sz="6" w:space="0" w:color="auto"/>
              <w:bottom w:val="single" w:sz="6" w:space="0" w:color="auto"/>
              <w:right w:val="single" w:sz="6" w:space="0" w:color="auto"/>
            </w:tcBorders>
            <w:vAlign w:val="center"/>
            <w:hideMark/>
          </w:tcPr>
          <w:p w14:paraId="41E6168E" w14:textId="77777777" w:rsidR="00DC5685" w:rsidRPr="00A34F10" w:rsidRDefault="00DC5685" w:rsidP="00DC5685">
            <w:pPr>
              <w:jc w:val="center"/>
              <w:rPr>
                <w:b/>
                <w:bCs/>
                <w:color w:val="000000"/>
                <w:sz w:val="20"/>
                <w:szCs w:val="20"/>
                <w:lang w:eastAsia="de-DE"/>
              </w:rPr>
            </w:pPr>
          </w:p>
        </w:tc>
        <w:tc>
          <w:tcPr>
            <w:tcW w:w="854" w:type="pct"/>
            <w:vMerge/>
            <w:tcBorders>
              <w:top w:val="single" w:sz="6" w:space="0" w:color="auto"/>
              <w:left w:val="single" w:sz="6" w:space="0" w:color="auto"/>
              <w:bottom w:val="single" w:sz="6" w:space="0" w:color="auto"/>
              <w:right w:val="single" w:sz="6" w:space="0" w:color="auto"/>
            </w:tcBorders>
            <w:vAlign w:val="center"/>
            <w:hideMark/>
          </w:tcPr>
          <w:p w14:paraId="32FC1D41" w14:textId="77777777" w:rsidR="00DC5685" w:rsidRPr="00A34F10" w:rsidRDefault="00DC5685" w:rsidP="00DC5685">
            <w:pPr>
              <w:jc w:val="center"/>
              <w:rPr>
                <w:b/>
                <w:bCs/>
                <w:color w:val="000000"/>
                <w:sz w:val="20"/>
                <w:szCs w:val="20"/>
                <w:lang w:eastAsia="de-DE"/>
              </w:rPr>
            </w:pPr>
          </w:p>
        </w:tc>
      </w:tr>
      <w:bookmarkEnd w:id="1104"/>
      <w:tr w:rsidR="00DC5685" w:rsidRPr="00A34F10" w14:paraId="5D97A15B" w14:textId="77777777" w:rsidTr="000470C3">
        <w:tc>
          <w:tcPr>
            <w:tcW w:w="1360" w:type="pct"/>
            <w:vMerge w:val="restart"/>
            <w:tcBorders>
              <w:top w:val="single" w:sz="6" w:space="0" w:color="auto"/>
              <w:left w:val="single" w:sz="2" w:space="0" w:color="auto"/>
              <w:right w:val="single" w:sz="6" w:space="0" w:color="auto"/>
            </w:tcBorders>
            <w:vAlign w:val="center"/>
            <w:hideMark/>
          </w:tcPr>
          <w:p w14:paraId="1655B3A1"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Control</w:t>
            </w:r>
          </w:p>
        </w:tc>
        <w:tc>
          <w:tcPr>
            <w:tcW w:w="966" w:type="pct"/>
            <w:tcBorders>
              <w:top w:val="single" w:sz="6" w:space="0" w:color="auto"/>
              <w:left w:val="single" w:sz="6" w:space="0" w:color="auto"/>
              <w:bottom w:val="single" w:sz="6" w:space="0" w:color="auto"/>
              <w:right w:val="single" w:sz="6" w:space="0" w:color="auto"/>
            </w:tcBorders>
            <w:vAlign w:val="center"/>
            <w:hideMark/>
          </w:tcPr>
          <w:p w14:paraId="70D8EAD9"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Water</w:t>
            </w:r>
          </w:p>
        </w:tc>
        <w:tc>
          <w:tcPr>
            <w:tcW w:w="966" w:type="pct"/>
            <w:tcBorders>
              <w:top w:val="single" w:sz="6" w:space="0" w:color="auto"/>
              <w:left w:val="single" w:sz="6" w:space="0" w:color="auto"/>
              <w:bottom w:val="single" w:sz="6" w:space="0" w:color="auto"/>
              <w:right w:val="single" w:sz="6" w:space="0" w:color="auto"/>
            </w:tcBorders>
            <w:vAlign w:val="center"/>
            <w:hideMark/>
          </w:tcPr>
          <w:p w14:paraId="4CB66BFC"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hideMark/>
          </w:tcPr>
          <w:p w14:paraId="0D5984C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hideMark/>
          </w:tcPr>
          <w:p w14:paraId="3E47A52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r>
      <w:tr w:rsidR="00DC5685" w:rsidRPr="00A34F10" w14:paraId="14E1E3D4" w14:textId="77777777" w:rsidTr="000470C3">
        <w:tc>
          <w:tcPr>
            <w:tcW w:w="1360" w:type="pct"/>
            <w:vMerge/>
            <w:tcBorders>
              <w:left w:val="single" w:sz="2" w:space="0" w:color="auto"/>
              <w:bottom w:val="single" w:sz="6" w:space="0" w:color="auto"/>
              <w:right w:val="single" w:sz="6" w:space="0" w:color="auto"/>
            </w:tcBorders>
            <w:vAlign w:val="center"/>
          </w:tcPr>
          <w:p w14:paraId="1D16183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p>
        </w:tc>
        <w:tc>
          <w:tcPr>
            <w:tcW w:w="966" w:type="pct"/>
            <w:tcBorders>
              <w:top w:val="single" w:sz="6" w:space="0" w:color="auto"/>
              <w:left w:val="single" w:sz="6" w:space="0" w:color="auto"/>
              <w:bottom w:val="single" w:sz="6" w:space="0" w:color="auto"/>
              <w:right w:val="single" w:sz="6" w:space="0" w:color="auto"/>
            </w:tcBorders>
            <w:vAlign w:val="center"/>
          </w:tcPr>
          <w:p w14:paraId="73ACE9D9"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0.5% TritonX</w:t>
            </w:r>
          </w:p>
        </w:tc>
        <w:tc>
          <w:tcPr>
            <w:tcW w:w="966" w:type="pct"/>
            <w:tcBorders>
              <w:top w:val="single" w:sz="6" w:space="0" w:color="auto"/>
              <w:left w:val="single" w:sz="6" w:space="0" w:color="auto"/>
              <w:bottom w:val="single" w:sz="6" w:space="0" w:color="auto"/>
              <w:right w:val="single" w:sz="6" w:space="0" w:color="auto"/>
            </w:tcBorders>
            <w:vAlign w:val="center"/>
          </w:tcPr>
          <w:p w14:paraId="4B94162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tcPr>
          <w:p w14:paraId="0B23AF5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tcPr>
          <w:p w14:paraId="730B55A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r>
      <w:tr w:rsidR="00DC5685" w:rsidRPr="00A34F10" w14:paraId="134C6103" w14:textId="77777777" w:rsidTr="000470C3">
        <w:tc>
          <w:tcPr>
            <w:tcW w:w="1360" w:type="pct"/>
            <w:tcBorders>
              <w:top w:val="single" w:sz="6" w:space="0" w:color="auto"/>
              <w:left w:val="single" w:sz="2" w:space="0" w:color="auto"/>
              <w:bottom w:val="single" w:sz="6" w:space="0" w:color="auto"/>
              <w:right w:val="single" w:sz="6" w:space="0" w:color="auto"/>
            </w:tcBorders>
            <w:vAlign w:val="center"/>
            <w:hideMark/>
          </w:tcPr>
          <w:p w14:paraId="38EDEEB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BAS 743 02 F</w:t>
            </w:r>
          </w:p>
          <w:p w14:paraId="1AECC7B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[µg product/ bumblebee]</w:t>
            </w:r>
          </w:p>
        </w:tc>
        <w:tc>
          <w:tcPr>
            <w:tcW w:w="966" w:type="pct"/>
            <w:tcBorders>
              <w:top w:val="single" w:sz="6" w:space="0" w:color="auto"/>
              <w:left w:val="single" w:sz="6" w:space="0" w:color="auto"/>
              <w:bottom w:val="single" w:sz="6" w:space="0" w:color="auto"/>
              <w:right w:val="single" w:sz="6" w:space="0" w:color="auto"/>
            </w:tcBorders>
            <w:vAlign w:val="center"/>
            <w:hideMark/>
          </w:tcPr>
          <w:p w14:paraId="08B779E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rPr>
              <w:t>1000.0</w:t>
            </w:r>
          </w:p>
        </w:tc>
        <w:tc>
          <w:tcPr>
            <w:tcW w:w="966" w:type="pct"/>
            <w:tcBorders>
              <w:top w:val="single" w:sz="6" w:space="0" w:color="auto"/>
              <w:left w:val="single" w:sz="6" w:space="0" w:color="auto"/>
              <w:bottom w:val="single" w:sz="6" w:space="0" w:color="auto"/>
              <w:right w:val="single" w:sz="6" w:space="0" w:color="auto"/>
            </w:tcBorders>
            <w:vAlign w:val="center"/>
            <w:hideMark/>
          </w:tcPr>
          <w:p w14:paraId="01CC370A"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hideMark/>
          </w:tcPr>
          <w:p w14:paraId="12681CE1"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54" w:type="pct"/>
            <w:tcBorders>
              <w:top w:val="single" w:sz="6" w:space="0" w:color="auto"/>
              <w:left w:val="single" w:sz="6" w:space="0" w:color="auto"/>
              <w:bottom w:val="single" w:sz="6" w:space="0" w:color="auto"/>
              <w:right w:val="single" w:sz="6" w:space="0" w:color="auto"/>
            </w:tcBorders>
            <w:vAlign w:val="center"/>
            <w:hideMark/>
          </w:tcPr>
          <w:p w14:paraId="3F28979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r>
      <w:tr w:rsidR="00DC5685" w:rsidRPr="00A34F10" w14:paraId="1EE42266" w14:textId="77777777" w:rsidTr="000470C3">
        <w:tc>
          <w:tcPr>
            <w:tcW w:w="1360" w:type="pct"/>
            <w:tcBorders>
              <w:top w:val="single" w:sz="6" w:space="0" w:color="auto"/>
              <w:left w:val="single" w:sz="2" w:space="0" w:color="auto"/>
              <w:bottom w:val="single" w:sz="2" w:space="0" w:color="auto"/>
              <w:right w:val="single" w:sz="6" w:space="0" w:color="auto"/>
            </w:tcBorders>
            <w:vAlign w:val="center"/>
            <w:hideMark/>
          </w:tcPr>
          <w:p w14:paraId="74326BC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Reference item</w:t>
            </w:r>
          </w:p>
          <w:p w14:paraId="4D5EB51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[µg a.s./ bumblebee]</w:t>
            </w:r>
          </w:p>
        </w:tc>
        <w:tc>
          <w:tcPr>
            <w:tcW w:w="966" w:type="pct"/>
            <w:tcBorders>
              <w:top w:val="single" w:sz="6" w:space="0" w:color="auto"/>
              <w:left w:val="single" w:sz="6" w:space="0" w:color="auto"/>
              <w:bottom w:val="single" w:sz="6" w:space="0" w:color="auto"/>
              <w:right w:val="single" w:sz="6" w:space="0" w:color="auto"/>
            </w:tcBorders>
            <w:vAlign w:val="center"/>
            <w:hideMark/>
          </w:tcPr>
          <w:p w14:paraId="455746B2"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rPr>
              <w:t>10.0</w:t>
            </w:r>
          </w:p>
        </w:tc>
        <w:tc>
          <w:tcPr>
            <w:tcW w:w="966" w:type="pct"/>
            <w:tcBorders>
              <w:top w:val="single" w:sz="6" w:space="0" w:color="auto"/>
              <w:left w:val="single" w:sz="6" w:space="0" w:color="auto"/>
              <w:bottom w:val="single" w:sz="6" w:space="0" w:color="auto"/>
              <w:right w:val="single" w:sz="6" w:space="0" w:color="auto"/>
            </w:tcBorders>
            <w:vAlign w:val="center"/>
            <w:hideMark/>
          </w:tcPr>
          <w:p w14:paraId="403FEBBD"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20.0</w:t>
            </w:r>
          </w:p>
        </w:tc>
        <w:tc>
          <w:tcPr>
            <w:tcW w:w="854" w:type="pct"/>
            <w:tcBorders>
              <w:top w:val="single" w:sz="6" w:space="0" w:color="auto"/>
              <w:left w:val="single" w:sz="6" w:space="0" w:color="auto"/>
              <w:bottom w:val="single" w:sz="6" w:space="0" w:color="auto"/>
              <w:right w:val="single" w:sz="6" w:space="0" w:color="auto"/>
            </w:tcBorders>
            <w:vAlign w:val="center"/>
            <w:hideMark/>
          </w:tcPr>
          <w:p w14:paraId="6F4379AA"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93.3</w:t>
            </w:r>
          </w:p>
        </w:tc>
        <w:tc>
          <w:tcPr>
            <w:tcW w:w="854" w:type="pct"/>
            <w:tcBorders>
              <w:top w:val="single" w:sz="6" w:space="0" w:color="auto"/>
              <w:left w:val="single" w:sz="6" w:space="0" w:color="auto"/>
              <w:bottom w:val="single" w:sz="6" w:space="0" w:color="auto"/>
              <w:right w:val="single" w:sz="6" w:space="0" w:color="auto"/>
            </w:tcBorders>
            <w:vAlign w:val="center"/>
            <w:hideMark/>
          </w:tcPr>
          <w:p w14:paraId="0A9F5DF4"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100.0</w:t>
            </w:r>
          </w:p>
        </w:tc>
      </w:tr>
    </w:tbl>
    <w:p w14:paraId="310864D8" w14:textId="77777777" w:rsidR="00DC5685" w:rsidRPr="00A34F10" w:rsidRDefault="00DC5685" w:rsidP="00DC5685">
      <w:pPr>
        <w:widowControl w:val="0"/>
        <w:jc w:val="both"/>
        <w:rPr>
          <w:sz w:val="18"/>
          <w:lang w:val="en-GB"/>
        </w:rPr>
      </w:pPr>
      <w:r w:rsidRPr="00A34F10">
        <w:rPr>
          <w:sz w:val="18"/>
          <w:lang w:val="en-GB"/>
        </w:rPr>
        <w:t>Dose levels of the test item are given in µg product/ bumblebee</w:t>
      </w:r>
    </w:p>
    <w:p w14:paraId="2A117861" w14:textId="77777777" w:rsidR="00DC5685" w:rsidRPr="00A34F10" w:rsidRDefault="00DC5685" w:rsidP="00DC5685">
      <w:pPr>
        <w:widowControl w:val="0"/>
        <w:jc w:val="both"/>
        <w:rPr>
          <w:sz w:val="18"/>
          <w:lang w:val="en-GB"/>
        </w:rPr>
      </w:pPr>
      <w:r w:rsidRPr="00A34F10">
        <w:rPr>
          <w:sz w:val="18"/>
          <w:lang w:val="en-GB"/>
        </w:rPr>
        <w:t>Dose levels for the reference item given in μg a.s. (= dimethoate)/bee</w:t>
      </w:r>
    </w:p>
    <w:p w14:paraId="7B43E6C5" w14:textId="7B37DEFA" w:rsidR="00E25EF3" w:rsidRDefault="00DC5685" w:rsidP="00DC5685">
      <w:pPr>
        <w:widowControl w:val="0"/>
        <w:spacing w:after="360"/>
        <w:jc w:val="both"/>
        <w:rPr>
          <w:sz w:val="18"/>
          <w:lang w:val="en-GB"/>
        </w:rPr>
      </w:pPr>
      <w:r w:rsidRPr="00A34F10">
        <w:rPr>
          <w:sz w:val="18"/>
          <w:lang w:val="en-GB"/>
        </w:rPr>
        <w:t>Calculations are performed with non-rounded values</w:t>
      </w:r>
    </w:p>
    <w:p w14:paraId="76F902FB" w14:textId="7D748249" w:rsidR="00DC5685" w:rsidRPr="00A34F10" w:rsidRDefault="00E25EF3" w:rsidP="00E25EF3">
      <w:pPr>
        <w:pStyle w:val="Legenda"/>
      </w:pPr>
      <w:r>
        <w:t xml:space="preserve">Table A </w:t>
      </w:r>
      <w:r>
        <w:fldChar w:fldCharType="begin"/>
      </w:r>
      <w:r>
        <w:instrText xml:space="preserve"> SEQ Table_A \* ARABIC </w:instrText>
      </w:r>
      <w:r>
        <w:fldChar w:fldCharType="separate"/>
      </w:r>
      <w:r w:rsidR="006F0F3B">
        <w:rPr>
          <w:noProof/>
        </w:rPr>
        <w:t>44</w:t>
      </w:r>
      <w:r>
        <w:fldChar w:fldCharType="end"/>
      </w:r>
      <w:r w:rsidR="00054CD1" w:rsidRPr="00A34F10">
        <w:t>:</w:t>
      </w:r>
      <w:r w:rsidR="00DC5685" w:rsidRPr="00A34F10">
        <w:tab/>
        <w:t xml:space="preserve">Mortality and behaviour of the bees in the oral toxicity test </w:t>
      </w:r>
    </w:p>
    <w:tbl>
      <w:tblPr>
        <w:tblStyle w:val="NormaleTabelle1"/>
        <w:tblW w:w="5000" w:type="pct"/>
        <w:tblInd w:w="0"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129"/>
        <w:gridCol w:w="2366"/>
        <w:gridCol w:w="1633"/>
        <w:gridCol w:w="1633"/>
        <w:gridCol w:w="1583"/>
      </w:tblGrid>
      <w:tr w:rsidR="00DC5685" w:rsidRPr="00A34F10" w14:paraId="086DFE2A" w14:textId="77777777" w:rsidTr="000470C3">
        <w:trPr>
          <w:trHeight w:val="290"/>
          <w:tblHeader/>
        </w:trPr>
        <w:tc>
          <w:tcPr>
            <w:tcW w:w="1139" w:type="pct"/>
            <w:vMerge w:val="restart"/>
            <w:tcBorders>
              <w:top w:val="single" w:sz="4" w:space="0" w:color="auto"/>
              <w:left w:val="single" w:sz="4" w:space="0" w:color="auto"/>
              <w:bottom w:val="single" w:sz="6" w:space="0" w:color="auto"/>
              <w:right w:val="single" w:sz="4" w:space="0" w:color="auto"/>
            </w:tcBorders>
            <w:vAlign w:val="center"/>
            <w:hideMark/>
          </w:tcPr>
          <w:p w14:paraId="49F45B48"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Treatment group</w:t>
            </w:r>
          </w:p>
        </w:tc>
        <w:tc>
          <w:tcPr>
            <w:tcW w:w="1266" w:type="pct"/>
            <w:vMerge w:val="restart"/>
            <w:tcBorders>
              <w:top w:val="single" w:sz="4" w:space="0" w:color="auto"/>
              <w:left w:val="single" w:sz="4" w:space="0" w:color="auto"/>
              <w:bottom w:val="single" w:sz="6" w:space="0" w:color="auto"/>
              <w:right w:val="single" w:sz="4" w:space="0" w:color="auto"/>
            </w:tcBorders>
            <w:vAlign w:val="center"/>
            <w:hideMark/>
          </w:tcPr>
          <w:p w14:paraId="3E5EBBFD"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Dosage (consumed)</w:t>
            </w:r>
          </w:p>
        </w:tc>
        <w:tc>
          <w:tcPr>
            <w:tcW w:w="874" w:type="pct"/>
            <w:tcBorders>
              <w:top w:val="single" w:sz="4" w:space="0" w:color="auto"/>
              <w:left w:val="single" w:sz="4" w:space="0" w:color="auto"/>
              <w:bottom w:val="single" w:sz="4" w:space="0" w:color="auto"/>
              <w:right w:val="single" w:sz="4" w:space="0" w:color="auto"/>
            </w:tcBorders>
            <w:vAlign w:val="center"/>
            <w:hideMark/>
          </w:tcPr>
          <w:p w14:paraId="535EA2CA"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4 hours</w:t>
            </w:r>
          </w:p>
        </w:tc>
        <w:tc>
          <w:tcPr>
            <w:tcW w:w="874" w:type="pct"/>
            <w:tcBorders>
              <w:top w:val="single" w:sz="4" w:space="0" w:color="auto"/>
              <w:left w:val="single" w:sz="4" w:space="0" w:color="auto"/>
              <w:bottom w:val="single" w:sz="4" w:space="0" w:color="auto"/>
              <w:right w:val="single" w:sz="4" w:space="0" w:color="auto"/>
            </w:tcBorders>
            <w:vAlign w:val="center"/>
            <w:hideMark/>
          </w:tcPr>
          <w:p w14:paraId="7097FCF7"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24 hours</w:t>
            </w:r>
          </w:p>
        </w:tc>
        <w:tc>
          <w:tcPr>
            <w:tcW w:w="847" w:type="pct"/>
            <w:tcBorders>
              <w:top w:val="single" w:sz="4" w:space="0" w:color="auto"/>
              <w:left w:val="single" w:sz="4" w:space="0" w:color="auto"/>
              <w:bottom w:val="single" w:sz="4" w:space="0" w:color="auto"/>
              <w:right w:val="single" w:sz="4" w:space="0" w:color="auto"/>
            </w:tcBorders>
            <w:vAlign w:val="center"/>
            <w:hideMark/>
          </w:tcPr>
          <w:p w14:paraId="11D08AEA" w14:textId="77777777" w:rsidR="00DC5685" w:rsidRPr="00A34F10" w:rsidRDefault="00DC5685" w:rsidP="00DC5685">
            <w:pPr>
              <w:autoSpaceDE w:val="0"/>
              <w:autoSpaceDN w:val="0"/>
              <w:spacing w:before="60" w:after="60"/>
              <w:ind w:left="57" w:right="57"/>
              <w:jc w:val="center"/>
              <w:rPr>
                <w:b/>
                <w:bCs/>
                <w:color w:val="000000"/>
                <w:sz w:val="20"/>
                <w:szCs w:val="20"/>
              </w:rPr>
            </w:pPr>
            <w:r w:rsidRPr="00A34F10">
              <w:rPr>
                <w:b/>
                <w:bCs/>
                <w:color w:val="000000"/>
                <w:sz w:val="20"/>
                <w:szCs w:val="20"/>
                <w:lang w:eastAsia="de-DE"/>
              </w:rPr>
              <w:t>After 48 hours</w:t>
            </w:r>
          </w:p>
        </w:tc>
      </w:tr>
      <w:tr w:rsidR="00DC5685" w:rsidRPr="00A34F10" w14:paraId="4928CB5E" w14:textId="77777777" w:rsidTr="000470C3">
        <w:trPr>
          <w:trHeight w:val="350"/>
          <w:tblHeader/>
        </w:trPr>
        <w:tc>
          <w:tcPr>
            <w:tcW w:w="1139" w:type="pct"/>
            <w:vMerge/>
            <w:tcBorders>
              <w:top w:val="single" w:sz="4" w:space="0" w:color="auto"/>
              <w:left w:val="single" w:sz="4" w:space="0" w:color="auto"/>
              <w:bottom w:val="single" w:sz="6" w:space="0" w:color="auto"/>
              <w:right w:val="single" w:sz="4" w:space="0" w:color="auto"/>
            </w:tcBorders>
            <w:vAlign w:val="center"/>
            <w:hideMark/>
          </w:tcPr>
          <w:p w14:paraId="7EBC4BD9" w14:textId="77777777" w:rsidR="00DC5685" w:rsidRPr="00A34F10" w:rsidRDefault="00DC5685" w:rsidP="00DC5685">
            <w:pPr>
              <w:jc w:val="center"/>
              <w:rPr>
                <w:b/>
                <w:bCs/>
                <w:color w:val="000000"/>
                <w:sz w:val="20"/>
                <w:szCs w:val="20"/>
                <w:lang w:eastAsia="de-DE"/>
              </w:rPr>
            </w:pPr>
          </w:p>
        </w:tc>
        <w:tc>
          <w:tcPr>
            <w:tcW w:w="1266" w:type="pct"/>
            <w:vMerge/>
            <w:tcBorders>
              <w:top w:val="single" w:sz="4" w:space="0" w:color="auto"/>
              <w:left w:val="single" w:sz="4" w:space="0" w:color="auto"/>
              <w:bottom w:val="single" w:sz="6" w:space="0" w:color="auto"/>
              <w:right w:val="single" w:sz="4" w:space="0" w:color="auto"/>
            </w:tcBorders>
            <w:vAlign w:val="center"/>
            <w:hideMark/>
          </w:tcPr>
          <w:p w14:paraId="18B6C5AF" w14:textId="77777777" w:rsidR="00DC5685" w:rsidRPr="00A34F10" w:rsidRDefault="00DC5685" w:rsidP="00DC5685">
            <w:pPr>
              <w:jc w:val="center"/>
              <w:rPr>
                <w:b/>
                <w:bCs/>
                <w:color w:val="000000"/>
                <w:sz w:val="20"/>
                <w:szCs w:val="20"/>
                <w:lang w:eastAsia="de-DE"/>
              </w:rPr>
            </w:pPr>
          </w:p>
        </w:tc>
        <w:tc>
          <w:tcPr>
            <w:tcW w:w="874" w:type="pct"/>
            <w:vMerge w:val="restart"/>
            <w:tcBorders>
              <w:top w:val="single" w:sz="6" w:space="0" w:color="auto"/>
              <w:left w:val="single" w:sz="4" w:space="0" w:color="auto"/>
              <w:bottom w:val="single" w:sz="6" w:space="0" w:color="auto"/>
              <w:right w:val="single" w:sz="6" w:space="0" w:color="auto"/>
            </w:tcBorders>
            <w:vAlign w:val="center"/>
            <w:hideMark/>
          </w:tcPr>
          <w:p w14:paraId="36CA9C2C"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c>
          <w:tcPr>
            <w:tcW w:w="874" w:type="pct"/>
            <w:vMerge w:val="restart"/>
            <w:tcBorders>
              <w:top w:val="single" w:sz="6" w:space="0" w:color="auto"/>
              <w:left w:val="single" w:sz="6" w:space="0" w:color="auto"/>
              <w:bottom w:val="single" w:sz="6" w:space="0" w:color="auto"/>
              <w:right w:val="single" w:sz="6" w:space="0" w:color="auto"/>
            </w:tcBorders>
            <w:vAlign w:val="center"/>
            <w:hideMark/>
          </w:tcPr>
          <w:p w14:paraId="15D61669"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c>
          <w:tcPr>
            <w:tcW w:w="847" w:type="pct"/>
            <w:vMerge w:val="restart"/>
            <w:tcBorders>
              <w:top w:val="single" w:sz="6" w:space="0" w:color="auto"/>
              <w:left w:val="single" w:sz="6" w:space="0" w:color="auto"/>
              <w:bottom w:val="single" w:sz="6" w:space="0" w:color="auto"/>
              <w:right w:val="single" w:sz="6" w:space="0" w:color="auto"/>
            </w:tcBorders>
            <w:vAlign w:val="center"/>
            <w:hideMark/>
          </w:tcPr>
          <w:p w14:paraId="51266620" w14:textId="77777777" w:rsidR="00DC5685" w:rsidRPr="00A34F10" w:rsidRDefault="00DC5685" w:rsidP="00DC5685">
            <w:pPr>
              <w:autoSpaceDE w:val="0"/>
              <w:autoSpaceDN w:val="0"/>
              <w:spacing w:before="60" w:after="60"/>
              <w:ind w:left="57" w:right="57"/>
              <w:jc w:val="center"/>
              <w:rPr>
                <w:b/>
                <w:bCs/>
                <w:color w:val="000000"/>
                <w:sz w:val="20"/>
                <w:szCs w:val="20"/>
                <w:lang w:eastAsia="de-DE"/>
              </w:rPr>
            </w:pPr>
            <w:r w:rsidRPr="00A34F10">
              <w:rPr>
                <w:b/>
                <w:bCs/>
                <w:color w:val="000000"/>
                <w:sz w:val="20"/>
                <w:szCs w:val="20"/>
                <w:lang w:eastAsia="de-DE"/>
              </w:rPr>
              <w:t>Mortality (%)</w:t>
            </w:r>
          </w:p>
        </w:tc>
      </w:tr>
      <w:tr w:rsidR="00DC5685" w:rsidRPr="00A34F10" w14:paraId="40921A08" w14:textId="77777777" w:rsidTr="000470C3">
        <w:trPr>
          <w:trHeight w:val="350"/>
          <w:tblHeader/>
        </w:trPr>
        <w:tc>
          <w:tcPr>
            <w:tcW w:w="1139" w:type="pct"/>
            <w:vMerge/>
            <w:tcBorders>
              <w:top w:val="single" w:sz="4" w:space="0" w:color="auto"/>
              <w:left w:val="single" w:sz="4" w:space="0" w:color="auto"/>
              <w:bottom w:val="single" w:sz="6" w:space="0" w:color="auto"/>
              <w:right w:val="single" w:sz="4" w:space="0" w:color="auto"/>
            </w:tcBorders>
            <w:vAlign w:val="center"/>
            <w:hideMark/>
          </w:tcPr>
          <w:p w14:paraId="3D0EA4A6" w14:textId="77777777" w:rsidR="00DC5685" w:rsidRPr="00A34F10" w:rsidRDefault="00DC5685" w:rsidP="00DC5685">
            <w:pPr>
              <w:jc w:val="center"/>
              <w:rPr>
                <w:b/>
                <w:bCs/>
                <w:color w:val="000000"/>
                <w:sz w:val="20"/>
                <w:szCs w:val="20"/>
                <w:lang w:eastAsia="de-DE"/>
              </w:rPr>
            </w:pPr>
          </w:p>
        </w:tc>
        <w:tc>
          <w:tcPr>
            <w:tcW w:w="1266" w:type="pct"/>
            <w:vMerge/>
            <w:tcBorders>
              <w:top w:val="single" w:sz="4" w:space="0" w:color="auto"/>
              <w:left w:val="single" w:sz="4" w:space="0" w:color="auto"/>
              <w:bottom w:val="single" w:sz="6" w:space="0" w:color="auto"/>
              <w:right w:val="single" w:sz="4" w:space="0" w:color="auto"/>
            </w:tcBorders>
            <w:vAlign w:val="center"/>
            <w:hideMark/>
          </w:tcPr>
          <w:p w14:paraId="75CF436D" w14:textId="77777777" w:rsidR="00DC5685" w:rsidRPr="00A34F10" w:rsidRDefault="00DC5685" w:rsidP="00DC5685">
            <w:pPr>
              <w:jc w:val="center"/>
              <w:rPr>
                <w:b/>
                <w:bCs/>
                <w:color w:val="000000"/>
                <w:sz w:val="20"/>
                <w:szCs w:val="20"/>
                <w:lang w:eastAsia="de-DE"/>
              </w:rPr>
            </w:pPr>
          </w:p>
        </w:tc>
        <w:tc>
          <w:tcPr>
            <w:tcW w:w="874" w:type="pct"/>
            <w:vMerge/>
            <w:tcBorders>
              <w:top w:val="single" w:sz="6" w:space="0" w:color="auto"/>
              <w:left w:val="single" w:sz="4" w:space="0" w:color="auto"/>
              <w:bottom w:val="single" w:sz="6" w:space="0" w:color="auto"/>
              <w:right w:val="single" w:sz="6" w:space="0" w:color="auto"/>
            </w:tcBorders>
            <w:vAlign w:val="center"/>
            <w:hideMark/>
          </w:tcPr>
          <w:p w14:paraId="2B5AA59C" w14:textId="77777777" w:rsidR="00DC5685" w:rsidRPr="00A34F10" w:rsidRDefault="00DC5685" w:rsidP="00DC5685">
            <w:pPr>
              <w:jc w:val="center"/>
              <w:rPr>
                <w:b/>
                <w:bCs/>
                <w:color w:val="000000"/>
                <w:sz w:val="20"/>
                <w:szCs w:val="20"/>
                <w:lang w:eastAsia="de-DE"/>
              </w:rPr>
            </w:pPr>
          </w:p>
        </w:tc>
        <w:tc>
          <w:tcPr>
            <w:tcW w:w="874" w:type="pct"/>
            <w:vMerge/>
            <w:tcBorders>
              <w:top w:val="single" w:sz="6" w:space="0" w:color="auto"/>
              <w:left w:val="single" w:sz="6" w:space="0" w:color="auto"/>
              <w:bottom w:val="single" w:sz="6" w:space="0" w:color="auto"/>
              <w:right w:val="single" w:sz="6" w:space="0" w:color="auto"/>
            </w:tcBorders>
            <w:vAlign w:val="center"/>
            <w:hideMark/>
          </w:tcPr>
          <w:p w14:paraId="4F9012A2" w14:textId="77777777" w:rsidR="00DC5685" w:rsidRPr="00A34F10" w:rsidRDefault="00DC5685" w:rsidP="00DC5685">
            <w:pPr>
              <w:jc w:val="center"/>
              <w:rPr>
                <w:b/>
                <w:bCs/>
                <w:color w:val="000000"/>
                <w:sz w:val="20"/>
                <w:szCs w:val="20"/>
                <w:lang w:eastAsia="de-DE"/>
              </w:rPr>
            </w:pPr>
          </w:p>
        </w:tc>
        <w:tc>
          <w:tcPr>
            <w:tcW w:w="847" w:type="pct"/>
            <w:vMerge/>
            <w:tcBorders>
              <w:top w:val="single" w:sz="6" w:space="0" w:color="auto"/>
              <w:left w:val="single" w:sz="6" w:space="0" w:color="auto"/>
              <w:bottom w:val="single" w:sz="6" w:space="0" w:color="auto"/>
              <w:right w:val="single" w:sz="6" w:space="0" w:color="auto"/>
            </w:tcBorders>
            <w:vAlign w:val="center"/>
            <w:hideMark/>
          </w:tcPr>
          <w:p w14:paraId="6527BD32" w14:textId="77777777" w:rsidR="00DC5685" w:rsidRPr="00A34F10" w:rsidRDefault="00DC5685" w:rsidP="00DC5685">
            <w:pPr>
              <w:jc w:val="center"/>
              <w:rPr>
                <w:b/>
                <w:bCs/>
                <w:color w:val="000000"/>
                <w:sz w:val="20"/>
                <w:szCs w:val="20"/>
                <w:lang w:eastAsia="de-DE"/>
              </w:rPr>
            </w:pPr>
          </w:p>
        </w:tc>
      </w:tr>
      <w:tr w:rsidR="00DC5685" w:rsidRPr="00A34F10" w14:paraId="5E0A78DD" w14:textId="77777777" w:rsidTr="000470C3">
        <w:tc>
          <w:tcPr>
            <w:tcW w:w="1139" w:type="pct"/>
            <w:tcBorders>
              <w:top w:val="single" w:sz="6" w:space="0" w:color="auto"/>
              <w:left w:val="single" w:sz="2" w:space="0" w:color="auto"/>
              <w:right w:val="single" w:sz="6" w:space="0" w:color="auto"/>
            </w:tcBorders>
            <w:vAlign w:val="center"/>
            <w:hideMark/>
          </w:tcPr>
          <w:p w14:paraId="3FFD69D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Control</w:t>
            </w:r>
          </w:p>
        </w:tc>
        <w:tc>
          <w:tcPr>
            <w:tcW w:w="1266" w:type="pct"/>
            <w:tcBorders>
              <w:top w:val="single" w:sz="6" w:space="0" w:color="auto"/>
              <w:left w:val="single" w:sz="6" w:space="0" w:color="auto"/>
              <w:bottom w:val="single" w:sz="6" w:space="0" w:color="auto"/>
              <w:right w:val="single" w:sz="6" w:space="0" w:color="auto"/>
            </w:tcBorders>
            <w:vAlign w:val="center"/>
          </w:tcPr>
          <w:p w14:paraId="77D23B23"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Sucrose solution</w:t>
            </w:r>
          </w:p>
        </w:tc>
        <w:tc>
          <w:tcPr>
            <w:tcW w:w="874" w:type="pct"/>
            <w:tcBorders>
              <w:top w:val="single" w:sz="6" w:space="0" w:color="auto"/>
              <w:left w:val="single" w:sz="6" w:space="0" w:color="auto"/>
              <w:bottom w:val="single" w:sz="6" w:space="0" w:color="auto"/>
              <w:right w:val="single" w:sz="6" w:space="0" w:color="auto"/>
            </w:tcBorders>
            <w:vAlign w:val="center"/>
            <w:hideMark/>
          </w:tcPr>
          <w:p w14:paraId="5733AC5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74" w:type="pct"/>
            <w:tcBorders>
              <w:top w:val="single" w:sz="6" w:space="0" w:color="auto"/>
              <w:left w:val="single" w:sz="6" w:space="0" w:color="auto"/>
              <w:bottom w:val="single" w:sz="6" w:space="0" w:color="auto"/>
              <w:right w:val="single" w:sz="6" w:space="0" w:color="auto"/>
            </w:tcBorders>
            <w:vAlign w:val="center"/>
            <w:hideMark/>
          </w:tcPr>
          <w:p w14:paraId="746784E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47" w:type="pct"/>
            <w:tcBorders>
              <w:top w:val="single" w:sz="6" w:space="0" w:color="auto"/>
              <w:left w:val="single" w:sz="6" w:space="0" w:color="auto"/>
              <w:bottom w:val="single" w:sz="6" w:space="0" w:color="auto"/>
              <w:right w:val="single" w:sz="6" w:space="0" w:color="auto"/>
            </w:tcBorders>
            <w:vAlign w:val="center"/>
            <w:hideMark/>
          </w:tcPr>
          <w:p w14:paraId="4262A96C"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r>
      <w:tr w:rsidR="00DC5685" w:rsidRPr="00A34F10" w14:paraId="161456F8" w14:textId="77777777" w:rsidTr="000470C3">
        <w:tc>
          <w:tcPr>
            <w:tcW w:w="1139" w:type="pct"/>
            <w:vMerge w:val="restart"/>
            <w:tcBorders>
              <w:top w:val="single" w:sz="6" w:space="0" w:color="auto"/>
              <w:left w:val="single" w:sz="2" w:space="0" w:color="auto"/>
              <w:right w:val="single" w:sz="6" w:space="0" w:color="auto"/>
            </w:tcBorders>
            <w:vAlign w:val="center"/>
            <w:hideMark/>
          </w:tcPr>
          <w:p w14:paraId="52CB8DF3"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BAS 743 02 F</w:t>
            </w:r>
          </w:p>
          <w:p w14:paraId="6611910C"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[µg product/ bumblebee]</w:t>
            </w:r>
          </w:p>
        </w:tc>
        <w:tc>
          <w:tcPr>
            <w:tcW w:w="1266" w:type="pct"/>
            <w:tcBorders>
              <w:top w:val="single" w:sz="6" w:space="0" w:color="auto"/>
              <w:left w:val="single" w:sz="6" w:space="0" w:color="auto"/>
              <w:bottom w:val="single" w:sz="6" w:space="0" w:color="auto"/>
              <w:right w:val="single" w:sz="6" w:space="0" w:color="auto"/>
            </w:tcBorders>
            <w:vAlign w:val="center"/>
            <w:hideMark/>
          </w:tcPr>
          <w:p w14:paraId="4AF6572B"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271.2</w:t>
            </w:r>
          </w:p>
        </w:tc>
        <w:tc>
          <w:tcPr>
            <w:tcW w:w="874" w:type="pct"/>
            <w:tcBorders>
              <w:top w:val="single" w:sz="6" w:space="0" w:color="auto"/>
              <w:left w:val="single" w:sz="6" w:space="0" w:color="auto"/>
              <w:bottom w:val="single" w:sz="6" w:space="0" w:color="auto"/>
              <w:right w:val="single" w:sz="6" w:space="0" w:color="auto"/>
            </w:tcBorders>
            <w:vAlign w:val="center"/>
            <w:hideMark/>
          </w:tcPr>
          <w:p w14:paraId="677AF65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74" w:type="pct"/>
            <w:tcBorders>
              <w:top w:val="single" w:sz="6" w:space="0" w:color="auto"/>
              <w:left w:val="single" w:sz="6" w:space="0" w:color="auto"/>
              <w:bottom w:val="single" w:sz="6" w:space="0" w:color="auto"/>
              <w:right w:val="single" w:sz="6" w:space="0" w:color="auto"/>
            </w:tcBorders>
            <w:vAlign w:val="center"/>
            <w:hideMark/>
          </w:tcPr>
          <w:p w14:paraId="7349731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c>
          <w:tcPr>
            <w:tcW w:w="847" w:type="pct"/>
            <w:tcBorders>
              <w:top w:val="single" w:sz="6" w:space="0" w:color="auto"/>
              <w:left w:val="single" w:sz="6" w:space="0" w:color="auto"/>
              <w:bottom w:val="single" w:sz="6" w:space="0" w:color="auto"/>
              <w:right w:val="single" w:sz="6" w:space="0" w:color="auto"/>
            </w:tcBorders>
            <w:vAlign w:val="center"/>
            <w:hideMark/>
          </w:tcPr>
          <w:p w14:paraId="63D24E5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0.0</w:t>
            </w:r>
          </w:p>
        </w:tc>
      </w:tr>
      <w:tr w:rsidR="00DC5685" w:rsidRPr="00A34F10" w14:paraId="60A3013C" w14:textId="77777777" w:rsidTr="000470C3">
        <w:tc>
          <w:tcPr>
            <w:tcW w:w="1139" w:type="pct"/>
            <w:vMerge/>
            <w:tcBorders>
              <w:left w:val="single" w:sz="2" w:space="0" w:color="auto"/>
              <w:right w:val="single" w:sz="6" w:space="0" w:color="auto"/>
            </w:tcBorders>
            <w:vAlign w:val="center"/>
          </w:tcPr>
          <w:p w14:paraId="25592922" w14:textId="77777777" w:rsidR="00DC5685" w:rsidRPr="00A34F10" w:rsidRDefault="00DC5685" w:rsidP="00DC5685">
            <w:pPr>
              <w:autoSpaceDE w:val="0"/>
              <w:autoSpaceDN w:val="0"/>
              <w:spacing w:before="60" w:after="60"/>
              <w:ind w:left="57" w:right="57"/>
              <w:jc w:val="center"/>
              <w:rPr>
                <w:bCs/>
                <w:color w:val="000000"/>
                <w:sz w:val="20"/>
                <w:szCs w:val="20"/>
                <w:lang w:eastAsia="de-DE"/>
              </w:rPr>
            </w:pPr>
          </w:p>
        </w:tc>
        <w:tc>
          <w:tcPr>
            <w:tcW w:w="1266" w:type="pct"/>
            <w:tcBorders>
              <w:top w:val="single" w:sz="6" w:space="0" w:color="auto"/>
              <w:left w:val="single" w:sz="6" w:space="0" w:color="auto"/>
              <w:bottom w:val="single" w:sz="6" w:space="0" w:color="auto"/>
              <w:right w:val="single" w:sz="6" w:space="0" w:color="auto"/>
            </w:tcBorders>
            <w:vAlign w:val="center"/>
          </w:tcPr>
          <w:p w14:paraId="688BCA4D" w14:textId="77777777" w:rsidR="00DC5685" w:rsidRPr="00A34F10" w:rsidRDefault="00DC5685" w:rsidP="00DC5685">
            <w:pPr>
              <w:autoSpaceDE w:val="0"/>
              <w:autoSpaceDN w:val="0"/>
              <w:spacing w:before="60" w:after="60"/>
              <w:ind w:left="57" w:right="57"/>
              <w:jc w:val="center"/>
              <w:rPr>
                <w:bCs/>
                <w:color w:val="000000"/>
                <w:sz w:val="20"/>
                <w:szCs w:val="20"/>
              </w:rPr>
            </w:pPr>
            <w:r w:rsidRPr="00A34F10">
              <w:rPr>
                <w:sz w:val="20"/>
                <w:szCs w:val="20"/>
              </w:rPr>
              <w:t>203.5</w:t>
            </w:r>
          </w:p>
        </w:tc>
        <w:tc>
          <w:tcPr>
            <w:tcW w:w="874" w:type="pct"/>
            <w:tcBorders>
              <w:top w:val="single" w:sz="6" w:space="0" w:color="auto"/>
              <w:left w:val="single" w:sz="6" w:space="0" w:color="auto"/>
              <w:bottom w:val="single" w:sz="6" w:space="0" w:color="auto"/>
              <w:right w:val="single" w:sz="6" w:space="0" w:color="auto"/>
            </w:tcBorders>
            <w:vAlign w:val="center"/>
          </w:tcPr>
          <w:p w14:paraId="55DCDAB7"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74" w:type="pct"/>
            <w:tcBorders>
              <w:top w:val="single" w:sz="6" w:space="0" w:color="auto"/>
              <w:left w:val="single" w:sz="6" w:space="0" w:color="auto"/>
              <w:bottom w:val="single" w:sz="6" w:space="0" w:color="auto"/>
              <w:right w:val="single" w:sz="6" w:space="0" w:color="auto"/>
            </w:tcBorders>
            <w:vAlign w:val="center"/>
          </w:tcPr>
          <w:p w14:paraId="14BF8A2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47" w:type="pct"/>
            <w:tcBorders>
              <w:top w:val="single" w:sz="6" w:space="0" w:color="auto"/>
              <w:left w:val="single" w:sz="6" w:space="0" w:color="auto"/>
              <w:bottom w:val="single" w:sz="6" w:space="0" w:color="auto"/>
              <w:right w:val="single" w:sz="6" w:space="0" w:color="auto"/>
            </w:tcBorders>
            <w:vAlign w:val="center"/>
          </w:tcPr>
          <w:p w14:paraId="1323D4A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r>
      <w:tr w:rsidR="00DC5685" w:rsidRPr="00A34F10" w14:paraId="70DA43E0" w14:textId="77777777" w:rsidTr="000470C3">
        <w:tc>
          <w:tcPr>
            <w:tcW w:w="1139" w:type="pct"/>
            <w:vMerge/>
            <w:tcBorders>
              <w:left w:val="single" w:sz="2" w:space="0" w:color="auto"/>
              <w:right w:val="single" w:sz="6" w:space="0" w:color="auto"/>
            </w:tcBorders>
            <w:vAlign w:val="center"/>
          </w:tcPr>
          <w:p w14:paraId="68733575" w14:textId="77777777" w:rsidR="00DC5685" w:rsidRPr="00A34F10" w:rsidRDefault="00DC5685" w:rsidP="00DC5685">
            <w:pPr>
              <w:autoSpaceDE w:val="0"/>
              <w:autoSpaceDN w:val="0"/>
              <w:spacing w:before="60" w:after="60"/>
              <w:ind w:left="57" w:right="57"/>
              <w:jc w:val="center"/>
              <w:rPr>
                <w:bCs/>
                <w:color w:val="000000"/>
                <w:sz w:val="20"/>
                <w:szCs w:val="20"/>
                <w:lang w:eastAsia="de-DE"/>
              </w:rPr>
            </w:pPr>
          </w:p>
        </w:tc>
        <w:tc>
          <w:tcPr>
            <w:tcW w:w="1266" w:type="pct"/>
            <w:tcBorders>
              <w:top w:val="single" w:sz="6" w:space="0" w:color="auto"/>
              <w:left w:val="single" w:sz="6" w:space="0" w:color="auto"/>
              <w:bottom w:val="single" w:sz="6" w:space="0" w:color="auto"/>
              <w:right w:val="single" w:sz="6" w:space="0" w:color="auto"/>
            </w:tcBorders>
            <w:vAlign w:val="center"/>
          </w:tcPr>
          <w:p w14:paraId="26D6C177" w14:textId="77777777" w:rsidR="00DC5685" w:rsidRPr="00A34F10" w:rsidRDefault="00DC5685" w:rsidP="00DC5685">
            <w:pPr>
              <w:autoSpaceDE w:val="0"/>
              <w:autoSpaceDN w:val="0"/>
              <w:spacing w:before="60" w:after="60"/>
              <w:ind w:left="57" w:right="57"/>
              <w:jc w:val="center"/>
              <w:rPr>
                <w:bCs/>
                <w:color w:val="000000"/>
                <w:sz w:val="20"/>
                <w:szCs w:val="20"/>
              </w:rPr>
            </w:pPr>
            <w:r w:rsidRPr="00A34F10">
              <w:rPr>
                <w:sz w:val="20"/>
                <w:szCs w:val="20"/>
              </w:rPr>
              <w:t>114.5</w:t>
            </w:r>
          </w:p>
        </w:tc>
        <w:tc>
          <w:tcPr>
            <w:tcW w:w="874" w:type="pct"/>
            <w:tcBorders>
              <w:top w:val="single" w:sz="6" w:space="0" w:color="auto"/>
              <w:left w:val="single" w:sz="6" w:space="0" w:color="auto"/>
              <w:bottom w:val="single" w:sz="6" w:space="0" w:color="auto"/>
              <w:right w:val="single" w:sz="6" w:space="0" w:color="auto"/>
            </w:tcBorders>
            <w:vAlign w:val="center"/>
          </w:tcPr>
          <w:p w14:paraId="17C8C4A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74" w:type="pct"/>
            <w:tcBorders>
              <w:top w:val="single" w:sz="6" w:space="0" w:color="auto"/>
              <w:left w:val="single" w:sz="6" w:space="0" w:color="auto"/>
              <w:bottom w:val="single" w:sz="6" w:space="0" w:color="auto"/>
              <w:right w:val="single" w:sz="6" w:space="0" w:color="auto"/>
            </w:tcBorders>
            <w:vAlign w:val="center"/>
          </w:tcPr>
          <w:p w14:paraId="0C2D0D05"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47" w:type="pct"/>
            <w:tcBorders>
              <w:top w:val="single" w:sz="6" w:space="0" w:color="auto"/>
              <w:left w:val="single" w:sz="6" w:space="0" w:color="auto"/>
              <w:bottom w:val="single" w:sz="6" w:space="0" w:color="auto"/>
              <w:right w:val="single" w:sz="6" w:space="0" w:color="auto"/>
            </w:tcBorders>
            <w:vAlign w:val="center"/>
          </w:tcPr>
          <w:p w14:paraId="37591DD5"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r>
      <w:tr w:rsidR="00DC5685" w:rsidRPr="00A34F10" w14:paraId="19D4848E" w14:textId="77777777" w:rsidTr="000470C3">
        <w:tc>
          <w:tcPr>
            <w:tcW w:w="1139" w:type="pct"/>
            <w:vMerge/>
            <w:tcBorders>
              <w:left w:val="single" w:sz="2" w:space="0" w:color="auto"/>
              <w:right w:val="single" w:sz="6" w:space="0" w:color="auto"/>
            </w:tcBorders>
            <w:vAlign w:val="center"/>
          </w:tcPr>
          <w:p w14:paraId="006ADDDE" w14:textId="77777777" w:rsidR="00DC5685" w:rsidRPr="00A34F10" w:rsidRDefault="00DC5685" w:rsidP="00DC5685">
            <w:pPr>
              <w:autoSpaceDE w:val="0"/>
              <w:autoSpaceDN w:val="0"/>
              <w:spacing w:before="60" w:after="60"/>
              <w:ind w:left="57" w:right="57"/>
              <w:jc w:val="center"/>
              <w:rPr>
                <w:bCs/>
                <w:color w:val="000000"/>
                <w:sz w:val="20"/>
                <w:szCs w:val="20"/>
                <w:lang w:eastAsia="de-DE"/>
              </w:rPr>
            </w:pPr>
          </w:p>
        </w:tc>
        <w:tc>
          <w:tcPr>
            <w:tcW w:w="1266" w:type="pct"/>
            <w:tcBorders>
              <w:top w:val="single" w:sz="6" w:space="0" w:color="auto"/>
              <w:left w:val="single" w:sz="6" w:space="0" w:color="auto"/>
              <w:bottom w:val="single" w:sz="6" w:space="0" w:color="auto"/>
              <w:right w:val="single" w:sz="6" w:space="0" w:color="auto"/>
            </w:tcBorders>
            <w:vAlign w:val="center"/>
          </w:tcPr>
          <w:p w14:paraId="1ECE39EF" w14:textId="77777777" w:rsidR="00DC5685" w:rsidRPr="00A34F10" w:rsidRDefault="00DC5685" w:rsidP="00DC5685">
            <w:pPr>
              <w:autoSpaceDE w:val="0"/>
              <w:autoSpaceDN w:val="0"/>
              <w:spacing w:before="60" w:after="60"/>
              <w:ind w:left="57" w:right="57"/>
              <w:jc w:val="center"/>
              <w:rPr>
                <w:bCs/>
                <w:color w:val="000000"/>
                <w:sz w:val="20"/>
                <w:szCs w:val="20"/>
              </w:rPr>
            </w:pPr>
            <w:r w:rsidRPr="00A34F10">
              <w:rPr>
                <w:sz w:val="20"/>
                <w:szCs w:val="20"/>
              </w:rPr>
              <w:t>59.2</w:t>
            </w:r>
          </w:p>
        </w:tc>
        <w:tc>
          <w:tcPr>
            <w:tcW w:w="874" w:type="pct"/>
            <w:tcBorders>
              <w:top w:val="single" w:sz="6" w:space="0" w:color="auto"/>
              <w:left w:val="single" w:sz="6" w:space="0" w:color="auto"/>
              <w:bottom w:val="single" w:sz="6" w:space="0" w:color="auto"/>
              <w:right w:val="single" w:sz="6" w:space="0" w:color="auto"/>
            </w:tcBorders>
            <w:vAlign w:val="center"/>
          </w:tcPr>
          <w:p w14:paraId="689146B6"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74" w:type="pct"/>
            <w:tcBorders>
              <w:top w:val="single" w:sz="6" w:space="0" w:color="auto"/>
              <w:left w:val="single" w:sz="6" w:space="0" w:color="auto"/>
              <w:bottom w:val="single" w:sz="6" w:space="0" w:color="auto"/>
              <w:right w:val="single" w:sz="6" w:space="0" w:color="auto"/>
            </w:tcBorders>
            <w:vAlign w:val="center"/>
          </w:tcPr>
          <w:p w14:paraId="2852A500"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47" w:type="pct"/>
            <w:tcBorders>
              <w:top w:val="single" w:sz="6" w:space="0" w:color="auto"/>
              <w:left w:val="single" w:sz="6" w:space="0" w:color="auto"/>
              <w:bottom w:val="single" w:sz="6" w:space="0" w:color="auto"/>
              <w:right w:val="single" w:sz="6" w:space="0" w:color="auto"/>
            </w:tcBorders>
            <w:vAlign w:val="center"/>
          </w:tcPr>
          <w:p w14:paraId="0590A9F3"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r>
      <w:tr w:rsidR="00DC5685" w:rsidRPr="00A34F10" w14:paraId="200A80AC" w14:textId="77777777" w:rsidTr="000470C3">
        <w:tc>
          <w:tcPr>
            <w:tcW w:w="1139" w:type="pct"/>
            <w:vMerge/>
            <w:tcBorders>
              <w:left w:val="single" w:sz="2" w:space="0" w:color="auto"/>
              <w:bottom w:val="single" w:sz="6" w:space="0" w:color="auto"/>
              <w:right w:val="single" w:sz="6" w:space="0" w:color="auto"/>
            </w:tcBorders>
            <w:vAlign w:val="center"/>
          </w:tcPr>
          <w:p w14:paraId="08EDF4A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p>
        </w:tc>
        <w:tc>
          <w:tcPr>
            <w:tcW w:w="1266" w:type="pct"/>
            <w:tcBorders>
              <w:top w:val="single" w:sz="6" w:space="0" w:color="auto"/>
              <w:left w:val="single" w:sz="6" w:space="0" w:color="auto"/>
              <w:bottom w:val="single" w:sz="6" w:space="0" w:color="auto"/>
              <w:right w:val="single" w:sz="6" w:space="0" w:color="auto"/>
            </w:tcBorders>
            <w:vAlign w:val="center"/>
          </w:tcPr>
          <w:p w14:paraId="2BD0A0C9" w14:textId="77777777" w:rsidR="00DC5685" w:rsidRPr="00A34F10" w:rsidRDefault="00DC5685" w:rsidP="00DC5685">
            <w:pPr>
              <w:autoSpaceDE w:val="0"/>
              <w:autoSpaceDN w:val="0"/>
              <w:spacing w:before="60" w:after="60"/>
              <w:ind w:left="57" w:right="57"/>
              <w:jc w:val="center"/>
              <w:rPr>
                <w:bCs/>
                <w:color w:val="000000"/>
                <w:sz w:val="20"/>
                <w:szCs w:val="20"/>
              </w:rPr>
            </w:pPr>
            <w:r w:rsidRPr="00A34F10">
              <w:rPr>
                <w:sz w:val="20"/>
                <w:szCs w:val="20"/>
              </w:rPr>
              <w:t>29.1</w:t>
            </w:r>
          </w:p>
        </w:tc>
        <w:tc>
          <w:tcPr>
            <w:tcW w:w="874" w:type="pct"/>
            <w:tcBorders>
              <w:top w:val="single" w:sz="6" w:space="0" w:color="auto"/>
              <w:left w:val="single" w:sz="6" w:space="0" w:color="auto"/>
              <w:bottom w:val="single" w:sz="6" w:space="0" w:color="auto"/>
              <w:right w:val="single" w:sz="6" w:space="0" w:color="auto"/>
            </w:tcBorders>
            <w:vAlign w:val="center"/>
          </w:tcPr>
          <w:p w14:paraId="7DB5163C"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74" w:type="pct"/>
            <w:tcBorders>
              <w:top w:val="single" w:sz="6" w:space="0" w:color="auto"/>
              <w:left w:val="single" w:sz="6" w:space="0" w:color="auto"/>
              <w:bottom w:val="single" w:sz="6" w:space="0" w:color="auto"/>
              <w:right w:val="single" w:sz="6" w:space="0" w:color="auto"/>
            </w:tcBorders>
            <w:vAlign w:val="center"/>
          </w:tcPr>
          <w:p w14:paraId="2722E61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c>
          <w:tcPr>
            <w:tcW w:w="847" w:type="pct"/>
            <w:tcBorders>
              <w:top w:val="single" w:sz="6" w:space="0" w:color="auto"/>
              <w:left w:val="single" w:sz="6" w:space="0" w:color="auto"/>
              <w:bottom w:val="single" w:sz="6" w:space="0" w:color="auto"/>
              <w:right w:val="single" w:sz="6" w:space="0" w:color="auto"/>
            </w:tcBorders>
            <w:vAlign w:val="center"/>
          </w:tcPr>
          <w:p w14:paraId="00E30384"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0.0</w:t>
            </w:r>
          </w:p>
        </w:tc>
      </w:tr>
      <w:tr w:rsidR="00DC5685" w:rsidRPr="00A34F10" w14:paraId="7B7BBE1B" w14:textId="77777777" w:rsidTr="000470C3">
        <w:tc>
          <w:tcPr>
            <w:tcW w:w="1139" w:type="pct"/>
            <w:tcBorders>
              <w:top w:val="single" w:sz="6" w:space="0" w:color="auto"/>
              <w:left w:val="single" w:sz="2" w:space="0" w:color="auto"/>
              <w:bottom w:val="single" w:sz="2" w:space="0" w:color="auto"/>
              <w:right w:val="single" w:sz="6" w:space="0" w:color="auto"/>
            </w:tcBorders>
            <w:vAlign w:val="center"/>
            <w:hideMark/>
          </w:tcPr>
          <w:p w14:paraId="4DF71649"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Reference item</w:t>
            </w:r>
          </w:p>
          <w:p w14:paraId="1B1EBEA8"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[µg a.s./ bumblebee]</w:t>
            </w:r>
          </w:p>
        </w:tc>
        <w:tc>
          <w:tcPr>
            <w:tcW w:w="1266" w:type="pct"/>
            <w:tcBorders>
              <w:top w:val="single" w:sz="6" w:space="0" w:color="auto"/>
              <w:left w:val="single" w:sz="6" w:space="0" w:color="auto"/>
              <w:bottom w:val="single" w:sz="6" w:space="0" w:color="auto"/>
              <w:right w:val="single" w:sz="6" w:space="0" w:color="auto"/>
            </w:tcBorders>
            <w:vAlign w:val="center"/>
            <w:hideMark/>
          </w:tcPr>
          <w:p w14:paraId="058503CF"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rPr>
              <w:t>1.46</w:t>
            </w:r>
          </w:p>
        </w:tc>
        <w:tc>
          <w:tcPr>
            <w:tcW w:w="874" w:type="pct"/>
            <w:tcBorders>
              <w:top w:val="single" w:sz="6" w:space="0" w:color="auto"/>
              <w:left w:val="single" w:sz="6" w:space="0" w:color="auto"/>
              <w:bottom w:val="single" w:sz="6" w:space="0" w:color="auto"/>
              <w:right w:val="single" w:sz="6" w:space="0" w:color="auto"/>
            </w:tcBorders>
            <w:vAlign w:val="center"/>
            <w:hideMark/>
          </w:tcPr>
          <w:p w14:paraId="5AEFC855"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sz w:val="20"/>
                <w:szCs w:val="20"/>
              </w:rPr>
              <w:t>13.3</w:t>
            </w:r>
          </w:p>
        </w:tc>
        <w:tc>
          <w:tcPr>
            <w:tcW w:w="874" w:type="pct"/>
            <w:tcBorders>
              <w:top w:val="single" w:sz="6" w:space="0" w:color="auto"/>
              <w:left w:val="single" w:sz="6" w:space="0" w:color="auto"/>
              <w:bottom w:val="single" w:sz="6" w:space="0" w:color="auto"/>
              <w:right w:val="single" w:sz="6" w:space="0" w:color="auto"/>
            </w:tcBorders>
            <w:vAlign w:val="center"/>
            <w:hideMark/>
          </w:tcPr>
          <w:p w14:paraId="3BE53E32"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93.3</w:t>
            </w:r>
          </w:p>
        </w:tc>
        <w:tc>
          <w:tcPr>
            <w:tcW w:w="847" w:type="pct"/>
            <w:tcBorders>
              <w:top w:val="single" w:sz="6" w:space="0" w:color="auto"/>
              <w:left w:val="single" w:sz="6" w:space="0" w:color="auto"/>
              <w:bottom w:val="single" w:sz="6" w:space="0" w:color="auto"/>
              <w:right w:val="single" w:sz="6" w:space="0" w:color="auto"/>
            </w:tcBorders>
            <w:vAlign w:val="center"/>
            <w:hideMark/>
          </w:tcPr>
          <w:p w14:paraId="648FCB6B" w14:textId="77777777" w:rsidR="00DC5685" w:rsidRPr="00A34F10" w:rsidRDefault="00DC5685" w:rsidP="00DC5685">
            <w:pPr>
              <w:autoSpaceDE w:val="0"/>
              <w:autoSpaceDN w:val="0"/>
              <w:spacing w:before="60" w:after="60"/>
              <w:ind w:left="57" w:right="57"/>
              <w:jc w:val="center"/>
              <w:rPr>
                <w:bCs/>
                <w:color w:val="000000"/>
                <w:sz w:val="20"/>
                <w:szCs w:val="20"/>
                <w:lang w:eastAsia="de-DE"/>
              </w:rPr>
            </w:pPr>
            <w:r w:rsidRPr="00A34F10">
              <w:rPr>
                <w:bCs/>
                <w:color w:val="000000"/>
                <w:sz w:val="20"/>
                <w:szCs w:val="20"/>
                <w:lang w:eastAsia="de-DE"/>
              </w:rPr>
              <w:t>100.0</w:t>
            </w:r>
          </w:p>
        </w:tc>
      </w:tr>
    </w:tbl>
    <w:p w14:paraId="553903C6" w14:textId="77777777" w:rsidR="00DC5685" w:rsidRPr="00A34F10" w:rsidRDefault="00DC5685" w:rsidP="00DC5685">
      <w:pPr>
        <w:widowControl w:val="0"/>
        <w:jc w:val="both"/>
        <w:rPr>
          <w:sz w:val="18"/>
          <w:lang w:val="en-GB"/>
        </w:rPr>
      </w:pPr>
      <w:r w:rsidRPr="00A34F10">
        <w:rPr>
          <w:sz w:val="18"/>
          <w:lang w:val="en-GB"/>
        </w:rPr>
        <w:t>Dose levels of the test item are given in µg product/ bumblebee</w:t>
      </w:r>
    </w:p>
    <w:p w14:paraId="0752A76A" w14:textId="77777777" w:rsidR="00DC5685" w:rsidRPr="00A34F10" w:rsidRDefault="00DC5685" w:rsidP="00DC5685">
      <w:pPr>
        <w:widowControl w:val="0"/>
        <w:jc w:val="both"/>
        <w:rPr>
          <w:sz w:val="18"/>
          <w:lang w:val="en-GB"/>
        </w:rPr>
      </w:pPr>
      <w:r w:rsidRPr="00A34F10">
        <w:rPr>
          <w:sz w:val="18"/>
          <w:lang w:val="en-GB"/>
        </w:rPr>
        <w:t>Dose levels for the reference item given in μg a.s. (= dimethoate)/bee</w:t>
      </w:r>
    </w:p>
    <w:p w14:paraId="08ED30E1" w14:textId="77777777" w:rsidR="00DC5685" w:rsidRPr="00A34F10" w:rsidRDefault="00DC5685" w:rsidP="00DC5685">
      <w:pPr>
        <w:widowControl w:val="0"/>
        <w:spacing w:after="360"/>
        <w:jc w:val="both"/>
        <w:rPr>
          <w:sz w:val="18"/>
          <w:lang w:val="en-GB"/>
        </w:rPr>
      </w:pPr>
      <w:r w:rsidRPr="00A34F10">
        <w:rPr>
          <w:sz w:val="18"/>
          <w:lang w:val="en-GB"/>
        </w:rPr>
        <w:t>Calculations are performed with non-rounded values</w:t>
      </w:r>
    </w:p>
    <w:p w14:paraId="0E78D107" w14:textId="77777777" w:rsidR="00DC5685" w:rsidRPr="00A34F10" w:rsidRDefault="00DC5685" w:rsidP="00E05ECD">
      <w:pPr>
        <w:keepNext/>
        <w:keepLines/>
        <w:numPr>
          <w:ilvl w:val="0"/>
          <w:numId w:val="58"/>
        </w:numPr>
        <w:ind w:left="357" w:hanging="357"/>
        <w:contextualSpacing/>
        <w:rPr>
          <w:b/>
          <w:bCs/>
          <w:caps/>
          <w:szCs w:val="24"/>
          <w:lang w:val="en-GB"/>
        </w:rPr>
      </w:pPr>
      <w:r w:rsidRPr="00A34F10">
        <w:rPr>
          <w:b/>
          <w:bCs/>
          <w:caps/>
          <w:szCs w:val="24"/>
          <w:lang w:val="en-GB"/>
        </w:rPr>
        <w:t>Analytical results</w:t>
      </w:r>
    </w:p>
    <w:p w14:paraId="4BF7B03D" w14:textId="77777777" w:rsidR="00DC5685" w:rsidRPr="00A34F10" w:rsidRDefault="00DC5685" w:rsidP="00DC5685">
      <w:pPr>
        <w:jc w:val="both"/>
        <w:rPr>
          <w:color w:val="000000"/>
          <w:highlight w:val="yellow"/>
          <w:lang w:val="en-GB"/>
        </w:rPr>
      </w:pPr>
    </w:p>
    <w:p w14:paraId="783104ED" w14:textId="77777777" w:rsidR="00DC5685" w:rsidRPr="00A34F10" w:rsidRDefault="00DC5685" w:rsidP="00DC5685">
      <w:pPr>
        <w:jc w:val="both"/>
      </w:pPr>
      <w:r w:rsidRPr="00A34F10">
        <w:rPr>
          <w:u w:val="single"/>
        </w:rPr>
        <w:t>Oral toxicity test solutions</w:t>
      </w:r>
      <w:r w:rsidRPr="00A34F10">
        <w:rPr>
          <w:lang w:val="en-GB"/>
        </w:rPr>
        <w:t>:</w:t>
      </w:r>
      <w:r w:rsidRPr="00A34F10">
        <w:t xml:space="preserve"> The recoveries of BAS 743 02 F analyzed via its active ingredients Propamocarb and BAS 650 F in treated test item solutions were 98.1% Propamocarb and 103% BAS 650 F for the applied test concentration (AT) of the contact toxicity test as well as 102% Propamocarb and 113% BAS 650 F for the applied test concentration (ET) as well as 98.4% Propamocarb and 115% BAS 650 F for the applied test concentration (AT) of the oral toxicity test. No active substance was detected in the control sample.</w:t>
      </w:r>
    </w:p>
    <w:p w14:paraId="0B96E01A" w14:textId="77777777" w:rsidR="00DC5685" w:rsidRPr="00A34F10" w:rsidRDefault="00DC5685" w:rsidP="00DC5685">
      <w:pPr>
        <w:jc w:val="both"/>
        <w:rPr>
          <w:color w:val="000000"/>
          <w:lang w:val="en-GB"/>
        </w:rPr>
      </w:pPr>
    </w:p>
    <w:p w14:paraId="361FFD6B" w14:textId="77777777" w:rsidR="00DC5685" w:rsidRPr="00A34F10" w:rsidRDefault="00DC5685" w:rsidP="00DC5685">
      <w:pPr>
        <w:spacing w:after="360"/>
        <w:jc w:val="both"/>
        <w:rPr>
          <w:color w:val="000000"/>
          <w:lang w:val="en-GB"/>
        </w:rPr>
      </w:pPr>
      <w:r w:rsidRPr="00A34F10">
        <w:rPr>
          <w:u w:val="single"/>
        </w:rPr>
        <w:t>Contact toxicity test solutions</w:t>
      </w:r>
      <w:r w:rsidRPr="00A34F10">
        <w:rPr>
          <w:lang w:val="en-GB"/>
        </w:rPr>
        <w:t>:</w:t>
      </w:r>
      <w:r w:rsidRPr="00A34F10">
        <w:t xml:space="preserve"> the recoveries of BAS 743 02 F in test item solutions of the treatment were 98.1% Propamocarb and 103% Ametoctradin</w:t>
      </w:r>
      <w:r w:rsidRPr="00A34F10">
        <w:rPr>
          <w:rFonts w:eastAsia="Arial"/>
        </w:rPr>
        <w:t>.</w:t>
      </w:r>
      <w:r w:rsidRPr="00A34F10">
        <w:t xml:space="preserve"> No active substance was detected in the control sample</w:t>
      </w:r>
    </w:p>
    <w:p w14:paraId="0449BFA7" w14:textId="77777777" w:rsidR="00DC5685" w:rsidRPr="00A34F10" w:rsidRDefault="00DC5685" w:rsidP="00E05ECD">
      <w:pPr>
        <w:numPr>
          <w:ilvl w:val="0"/>
          <w:numId w:val="58"/>
        </w:numPr>
        <w:ind w:left="284" w:hanging="284"/>
        <w:contextualSpacing/>
        <w:rPr>
          <w:b/>
          <w:bCs/>
          <w:caps/>
          <w:szCs w:val="24"/>
          <w:lang w:val="en-GB"/>
        </w:rPr>
      </w:pPr>
      <w:r w:rsidRPr="00A34F10">
        <w:rPr>
          <w:b/>
          <w:bCs/>
          <w:caps/>
          <w:szCs w:val="24"/>
          <w:lang w:val="en-GB"/>
        </w:rPr>
        <w:t>VALIDITY CRITERIA</w:t>
      </w:r>
    </w:p>
    <w:p w14:paraId="1C4A0B9D" w14:textId="77777777" w:rsidR="00DC5685" w:rsidRPr="00A34F10" w:rsidRDefault="00DC5685" w:rsidP="00DC5685">
      <w:pPr>
        <w:tabs>
          <w:tab w:val="left" w:pos="709"/>
        </w:tabs>
        <w:spacing w:after="240"/>
        <w:contextualSpacing/>
        <w:jc w:val="both"/>
        <w:rPr>
          <w:szCs w:val="24"/>
          <w:lang w:val="en-GB"/>
        </w:rPr>
      </w:pPr>
    </w:p>
    <w:p w14:paraId="5FAC4460" w14:textId="77777777" w:rsidR="00DC5685" w:rsidRPr="00A34F10" w:rsidRDefault="00DC5685" w:rsidP="00DC5685">
      <w:pPr>
        <w:tabs>
          <w:tab w:val="left" w:pos="709"/>
        </w:tabs>
        <w:spacing w:after="240"/>
        <w:contextualSpacing/>
        <w:jc w:val="both"/>
        <w:rPr>
          <w:szCs w:val="24"/>
          <w:lang w:val="en-GB"/>
        </w:rPr>
      </w:pPr>
      <w:r w:rsidRPr="00A34F10">
        <w:rPr>
          <w:szCs w:val="24"/>
          <w:lang w:val="en-GB"/>
        </w:rPr>
        <w:t>All validity criteria were met.</w:t>
      </w:r>
    </w:p>
    <w:p w14:paraId="082265E1" w14:textId="0126C60D" w:rsidR="00DC5685" w:rsidRPr="00A34F10" w:rsidRDefault="008F1600" w:rsidP="008F1600">
      <w:pPr>
        <w:pStyle w:val="Legenda"/>
      </w:pPr>
      <w:r>
        <w:t xml:space="preserve">Table A </w:t>
      </w:r>
      <w:r>
        <w:fldChar w:fldCharType="begin"/>
      </w:r>
      <w:r>
        <w:instrText xml:space="preserve"> SEQ Table_A \* ARABIC </w:instrText>
      </w:r>
      <w:r>
        <w:fldChar w:fldCharType="separate"/>
      </w:r>
      <w:r w:rsidR="006F0F3B">
        <w:rPr>
          <w:noProof/>
        </w:rPr>
        <w:t>45</w:t>
      </w:r>
      <w:r>
        <w:fldChar w:fldCharType="end"/>
      </w:r>
      <w:r w:rsidR="00054CD1" w:rsidRPr="00A34F10">
        <w:t>:</w:t>
      </w:r>
      <w:r w:rsidR="00DC5685" w:rsidRPr="00A34F10">
        <w:tab/>
        <w:t>Validity criteria according to OECD 246 (2017) and OECD 247 (2017)</w:t>
      </w:r>
    </w:p>
    <w:tbl>
      <w:tblPr>
        <w:tblStyle w:val="TableGrid1"/>
        <w:tblW w:w="9360" w:type="dxa"/>
        <w:tblLayout w:type="fixed"/>
        <w:tblLook w:val="04A0" w:firstRow="1" w:lastRow="0" w:firstColumn="1" w:lastColumn="0" w:noHBand="0" w:noVBand="1"/>
      </w:tblPr>
      <w:tblGrid>
        <w:gridCol w:w="1701"/>
        <w:gridCol w:w="1174"/>
        <w:gridCol w:w="2700"/>
        <w:gridCol w:w="1890"/>
        <w:gridCol w:w="1895"/>
      </w:tblGrid>
      <w:tr w:rsidR="00DC5685" w:rsidRPr="00A34F10" w14:paraId="74C78CD7" w14:textId="77777777" w:rsidTr="000470C3">
        <w:trPr>
          <w:trHeight w:val="20"/>
        </w:trPr>
        <w:tc>
          <w:tcPr>
            <w:tcW w:w="5575" w:type="dxa"/>
            <w:gridSpan w:val="3"/>
            <w:vAlign w:val="center"/>
            <w:hideMark/>
          </w:tcPr>
          <w:p w14:paraId="2AAB20B6" w14:textId="77777777" w:rsidR="00DC5685" w:rsidRPr="00A34F10" w:rsidRDefault="00DC5685" w:rsidP="00DC5685">
            <w:pPr>
              <w:spacing w:before="40" w:after="40"/>
              <w:jc w:val="center"/>
              <w:rPr>
                <w:rFonts w:ascii="Times New Roman" w:eastAsia="Times New Roman" w:hAnsi="Times New Roman"/>
                <w:b/>
                <w:bCs/>
                <w:sz w:val="20"/>
                <w:szCs w:val="20"/>
                <w:lang w:val="en-US" w:eastAsia="de-DE"/>
              </w:rPr>
            </w:pPr>
            <w:r w:rsidRPr="00A34F10">
              <w:rPr>
                <w:rFonts w:ascii="Times New Roman" w:eastAsia="Times New Roman" w:hAnsi="Times New Roman"/>
                <w:b/>
                <w:bCs/>
                <w:sz w:val="20"/>
                <w:szCs w:val="20"/>
                <w:lang w:val="en-US" w:eastAsia="de-DE"/>
              </w:rPr>
              <w:t>Validity criterion</w:t>
            </w:r>
          </w:p>
        </w:tc>
        <w:tc>
          <w:tcPr>
            <w:tcW w:w="1890" w:type="dxa"/>
            <w:vAlign w:val="center"/>
            <w:hideMark/>
          </w:tcPr>
          <w:p w14:paraId="0212B3E6" w14:textId="77777777" w:rsidR="00DC5685" w:rsidRPr="00A34F10" w:rsidRDefault="00DC5685" w:rsidP="00DC5685">
            <w:pPr>
              <w:spacing w:before="40" w:after="40"/>
              <w:jc w:val="center"/>
              <w:rPr>
                <w:rFonts w:ascii="Times New Roman" w:eastAsia="Times New Roman" w:hAnsi="Times New Roman"/>
                <w:b/>
                <w:bCs/>
                <w:sz w:val="20"/>
                <w:szCs w:val="20"/>
                <w:lang w:val="en-US" w:eastAsia="de-DE"/>
              </w:rPr>
            </w:pPr>
            <w:r w:rsidRPr="00A34F10">
              <w:rPr>
                <w:rFonts w:ascii="Times New Roman" w:eastAsia="Times New Roman" w:hAnsi="Times New Roman"/>
                <w:b/>
                <w:bCs/>
                <w:sz w:val="20"/>
                <w:szCs w:val="20"/>
                <w:lang w:val="en-US" w:eastAsia="de-DE"/>
              </w:rPr>
              <w:t>Occurred</w:t>
            </w:r>
          </w:p>
        </w:tc>
        <w:tc>
          <w:tcPr>
            <w:tcW w:w="1895" w:type="dxa"/>
            <w:vAlign w:val="center"/>
            <w:hideMark/>
          </w:tcPr>
          <w:p w14:paraId="228C2080" w14:textId="77777777" w:rsidR="00DC5685" w:rsidRPr="00A34F10" w:rsidRDefault="00DC5685" w:rsidP="00DC5685">
            <w:pPr>
              <w:spacing w:before="40" w:after="40"/>
              <w:jc w:val="center"/>
              <w:rPr>
                <w:rFonts w:ascii="Times New Roman" w:eastAsia="Times New Roman" w:hAnsi="Times New Roman"/>
                <w:b/>
                <w:bCs/>
                <w:sz w:val="20"/>
                <w:szCs w:val="20"/>
                <w:lang w:val="en-US" w:eastAsia="de-DE"/>
              </w:rPr>
            </w:pPr>
            <w:r w:rsidRPr="00A34F10">
              <w:rPr>
                <w:rFonts w:ascii="Times New Roman" w:eastAsia="Times New Roman" w:hAnsi="Times New Roman"/>
                <w:b/>
                <w:bCs/>
                <w:sz w:val="20"/>
                <w:szCs w:val="20"/>
                <w:lang w:val="en-US" w:eastAsia="de-DE"/>
              </w:rPr>
              <w:t>Recommended</w:t>
            </w:r>
          </w:p>
        </w:tc>
      </w:tr>
      <w:tr w:rsidR="00DC5685" w:rsidRPr="00A34F10" w14:paraId="02737B05" w14:textId="77777777" w:rsidTr="000470C3">
        <w:trPr>
          <w:trHeight w:val="20"/>
        </w:trPr>
        <w:tc>
          <w:tcPr>
            <w:tcW w:w="1701" w:type="dxa"/>
            <w:vMerge w:val="restart"/>
            <w:vAlign w:val="center"/>
            <w:hideMark/>
          </w:tcPr>
          <w:p w14:paraId="267309BF"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Control mortality</w:t>
            </w:r>
            <w:r w:rsidRPr="00A34F10">
              <w:rPr>
                <w:rFonts w:ascii="Times New Roman" w:eastAsia="Times New Roman" w:hAnsi="Times New Roman"/>
                <w:sz w:val="20"/>
                <w:szCs w:val="20"/>
                <w:lang w:val="en-US" w:eastAsia="de-DE"/>
              </w:rPr>
              <w:br/>
              <w:t>(48 hours)</w:t>
            </w:r>
          </w:p>
        </w:tc>
        <w:tc>
          <w:tcPr>
            <w:tcW w:w="1174" w:type="dxa"/>
            <w:vMerge w:val="restart"/>
            <w:vAlign w:val="center"/>
            <w:hideMark/>
          </w:tcPr>
          <w:p w14:paraId="26499EC2"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Contact test</w:t>
            </w:r>
          </w:p>
        </w:tc>
        <w:tc>
          <w:tcPr>
            <w:tcW w:w="2700" w:type="dxa"/>
            <w:vAlign w:val="center"/>
          </w:tcPr>
          <w:p w14:paraId="715C3F0E"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Deionised water</w:t>
            </w:r>
          </w:p>
        </w:tc>
        <w:tc>
          <w:tcPr>
            <w:tcW w:w="1890" w:type="dxa"/>
            <w:vMerge w:val="restart"/>
            <w:vAlign w:val="center"/>
            <w:hideMark/>
          </w:tcPr>
          <w:p w14:paraId="7AEC0055"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0.0%</w:t>
            </w:r>
            <w:r w:rsidRPr="00A34F10">
              <w:rPr>
                <w:rFonts w:ascii="Times New Roman" w:eastAsia="Times New Roman" w:hAnsi="Times New Roman"/>
                <w:sz w:val="20"/>
                <w:szCs w:val="20"/>
                <w:lang w:val="en-US" w:eastAsia="de-DE"/>
              </w:rPr>
              <w:br/>
              <w:t>0.0%</w:t>
            </w:r>
          </w:p>
        </w:tc>
        <w:tc>
          <w:tcPr>
            <w:tcW w:w="1895" w:type="dxa"/>
            <w:vMerge w:val="restart"/>
            <w:vAlign w:val="center"/>
            <w:hideMark/>
          </w:tcPr>
          <w:p w14:paraId="4AD5ADA5"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 10%</w:t>
            </w:r>
          </w:p>
        </w:tc>
      </w:tr>
      <w:tr w:rsidR="00DC5685" w:rsidRPr="00A34F10" w14:paraId="634DF35F" w14:textId="77777777" w:rsidTr="000470C3">
        <w:trPr>
          <w:trHeight w:val="20"/>
        </w:trPr>
        <w:tc>
          <w:tcPr>
            <w:tcW w:w="1701" w:type="dxa"/>
            <w:vMerge/>
            <w:vAlign w:val="center"/>
          </w:tcPr>
          <w:p w14:paraId="23432DC2"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c>
          <w:tcPr>
            <w:tcW w:w="1174" w:type="dxa"/>
            <w:vMerge/>
            <w:vAlign w:val="center"/>
          </w:tcPr>
          <w:p w14:paraId="633F3522"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c>
          <w:tcPr>
            <w:tcW w:w="2700" w:type="dxa"/>
            <w:vAlign w:val="center"/>
          </w:tcPr>
          <w:p w14:paraId="0AE6390A"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0.5% (v/v) TritonX solution</w:t>
            </w:r>
          </w:p>
        </w:tc>
        <w:tc>
          <w:tcPr>
            <w:tcW w:w="1890" w:type="dxa"/>
            <w:vMerge/>
            <w:vAlign w:val="center"/>
          </w:tcPr>
          <w:p w14:paraId="3D26E663"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c>
          <w:tcPr>
            <w:tcW w:w="1895" w:type="dxa"/>
            <w:vMerge/>
            <w:vAlign w:val="center"/>
          </w:tcPr>
          <w:p w14:paraId="18612ED2"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r>
      <w:tr w:rsidR="00DC5685" w:rsidRPr="00A34F10" w14:paraId="1CBDB8B0" w14:textId="77777777" w:rsidTr="000470C3">
        <w:trPr>
          <w:trHeight w:val="20"/>
        </w:trPr>
        <w:tc>
          <w:tcPr>
            <w:tcW w:w="1701" w:type="dxa"/>
            <w:vMerge/>
            <w:vAlign w:val="center"/>
            <w:hideMark/>
          </w:tcPr>
          <w:p w14:paraId="407E6F7C"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c>
          <w:tcPr>
            <w:tcW w:w="1174" w:type="dxa"/>
            <w:vAlign w:val="center"/>
            <w:hideMark/>
          </w:tcPr>
          <w:p w14:paraId="4D87B812" w14:textId="77777777" w:rsidR="00DC5685" w:rsidRPr="00A34F10" w:rsidRDefault="00DC5685" w:rsidP="00DC5685">
            <w:pPr>
              <w:keepLines/>
              <w:tabs>
                <w:tab w:val="left" w:pos="1206"/>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Oral test</w:t>
            </w:r>
          </w:p>
        </w:tc>
        <w:tc>
          <w:tcPr>
            <w:tcW w:w="2700" w:type="dxa"/>
            <w:vAlign w:val="center"/>
          </w:tcPr>
          <w:p w14:paraId="6AAD6413" w14:textId="77777777" w:rsidR="00DC5685" w:rsidRPr="00A34F10" w:rsidRDefault="00DC5685" w:rsidP="00DC5685">
            <w:pPr>
              <w:keepLines/>
              <w:tabs>
                <w:tab w:val="left" w:pos="1206"/>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Sucrose solution</w:t>
            </w:r>
          </w:p>
        </w:tc>
        <w:tc>
          <w:tcPr>
            <w:tcW w:w="1890" w:type="dxa"/>
            <w:vAlign w:val="center"/>
            <w:hideMark/>
          </w:tcPr>
          <w:p w14:paraId="18E52F6E" w14:textId="77777777" w:rsidR="00DC5685" w:rsidRPr="00A34F10" w:rsidRDefault="00DC5685" w:rsidP="00DC5685">
            <w:pPr>
              <w:keepLines/>
              <w:tabs>
                <w:tab w:val="left" w:pos="720"/>
                <w:tab w:val="left" w:pos="851"/>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0.0%</w:t>
            </w:r>
          </w:p>
        </w:tc>
        <w:tc>
          <w:tcPr>
            <w:tcW w:w="1895" w:type="dxa"/>
            <w:vAlign w:val="center"/>
            <w:hideMark/>
          </w:tcPr>
          <w:p w14:paraId="2B595279" w14:textId="77777777" w:rsidR="00DC5685" w:rsidRPr="00A34F10" w:rsidRDefault="00DC5685" w:rsidP="00DC5685">
            <w:pPr>
              <w:keepLines/>
              <w:tabs>
                <w:tab w:val="left" w:pos="720"/>
                <w:tab w:val="left" w:pos="851"/>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 10%</w:t>
            </w:r>
          </w:p>
        </w:tc>
      </w:tr>
      <w:tr w:rsidR="00DC5685" w:rsidRPr="00A34F10" w14:paraId="150E263D" w14:textId="77777777" w:rsidTr="000470C3">
        <w:trPr>
          <w:trHeight w:val="20"/>
        </w:trPr>
        <w:tc>
          <w:tcPr>
            <w:tcW w:w="1701" w:type="dxa"/>
            <w:vMerge w:val="restart"/>
            <w:vAlign w:val="center"/>
            <w:hideMark/>
          </w:tcPr>
          <w:p w14:paraId="3562EB6A"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Mortality reference item (48 hours)</w:t>
            </w:r>
          </w:p>
        </w:tc>
        <w:tc>
          <w:tcPr>
            <w:tcW w:w="3874" w:type="dxa"/>
            <w:gridSpan w:val="2"/>
            <w:vAlign w:val="center"/>
            <w:hideMark/>
          </w:tcPr>
          <w:p w14:paraId="2EEE132E"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Contact toxicity test</w:t>
            </w:r>
          </w:p>
        </w:tc>
        <w:tc>
          <w:tcPr>
            <w:tcW w:w="1890" w:type="dxa"/>
            <w:vAlign w:val="center"/>
            <w:hideMark/>
          </w:tcPr>
          <w:p w14:paraId="7E62A519"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100.0%</w:t>
            </w:r>
          </w:p>
        </w:tc>
        <w:tc>
          <w:tcPr>
            <w:tcW w:w="1895" w:type="dxa"/>
            <w:vAlign w:val="center"/>
            <w:hideMark/>
          </w:tcPr>
          <w:p w14:paraId="2964A4AC"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r w:rsidRPr="00A34F10">
              <w:rPr>
                <w:rFonts w:ascii="Times New Roman" w:eastAsia="Times New Roman" w:hAnsi="Times New Roman"/>
                <w:sz w:val="20"/>
                <w:szCs w:val="20"/>
                <w:lang w:val="en-US" w:eastAsia="de-DE"/>
              </w:rPr>
              <w:t>≥ 50%</w:t>
            </w:r>
          </w:p>
        </w:tc>
      </w:tr>
      <w:tr w:rsidR="00DC5685" w:rsidRPr="00A34F10" w14:paraId="42403782" w14:textId="77777777" w:rsidTr="000470C3">
        <w:trPr>
          <w:trHeight w:val="20"/>
        </w:trPr>
        <w:tc>
          <w:tcPr>
            <w:tcW w:w="1701" w:type="dxa"/>
            <w:vMerge/>
            <w:hideMark/>
          </w:tcPr>
          <w:p w14:paraId="5ADDBE23" w14:textId="77777777" w:rsidR="00DC5685" w:rsidRPr="00A34F10" w:rsidRDefault="00DC5685" w:rsidP="00DC5685">
            <w:pPr>
              <w:spacing w:before="40" w:after="40"/>
              <w:jc w:val="center"/>
              <w:rPr>
                <w:rFonts w:ascii="Times New Roman" w:eastAsia="Times New Roman" w:hAnsi="Times New Roman"/>
                <w:sz w:val="20"/>
                <w:szCs w:val="20"/>
                <w:lang w:val="en-US" w:eastAsia="de-DE"/>
              </w:rPr>
            </w:pPr>
          </w:p>
        </w:tc>
        <w:tc>
          <w:tcPr>
            <w:tcW w:w="3874" w:type="dxa"/>
            <w:gridSpan w:val="2"/>
            <w:vAlign w:val="center"/>
            <w:hideMark/>
          </w:tcPr>
          <w:p w14:paraId="07D4259A" w14:textId="77777777" w:rsidR="00DC5685" w:rsidRPr="00A34F10" w:rsidRDefault="00DC5685" w:rsidP="00DC5685">
            <w:pPr>
              <w:keepLines/>
              <w:tabs>
                <w:tab w:val="left" w:pos="1206"/>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Oral toxicity test</w:t>
            </w:r>
          </w:p>
        </w:tc>
        <w:tc>
          <w:tcPr>
            <w:tcW w:w="1890" w:type="dxa"/>
            <w:vAlign w:val="center"/>
            <w:hideMark/>
          </w:tcPr>
          <w:p w14:paraId="70B33319" w14:textId="77777777" w:rsidR="00DC5685" w:rsidRPr="00A34F10" w:rsidRDefault="00DC5685" w:rsidP="00DC5685">
            <w:pPr>
              <w:keepLines/>
              <w:tabs>
                <w:tab w:val="left" w:pos="1206"/>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100.0%</w:t>
            </w:r>
          </w:p>
        </w:tc>
        <w:tc>
          <w:tcPr>
            <w:tcW w:w="1895" w:type="dxa"/>
            <w:vAlign w:val="center"/>
            <w:hideMark/>
          </w:tcPr>
          <w:p w14:paraId="25BC4217" w14:textId="77777777" w:rsidR="00DC5685" w:rsidRPr="00A34F10" w:rsidRDefault="00DC5685" w:rsidP="00DC5685">
            <w:pPr>
              <w:keepLines/>
              <w:tabs>
                <w:tab w:val="left" w:pos="1206"/>
                <w:tab w:val="left" w:pos="5387"/>
              </w:tabs>
              <w:spacing w:before="40" w:after="40"/>
              <w:jc w:val="center"/>
              <w:rPr>
                <w:rFonts w:ascii="Times New Roman" w:hAnsi="Times New Roman"/>
                <w:sz w:val="20"/>
                <w:szCs w:val="20"/>
                <w:lang w:val="en-US" w:eastAsia="en-US"/>
              </w:rPr>
            </w:pPr>
            <w:r w:rsidRPr="00A34F10">
              <w:rPr>
                <w:rFonts w:ascii="Times New Roman" w:hAnsi="Times New Roman"/>
                <w:sz w:val="20"/>
                <w:szCs w:val="20"/>
                <w:lang w:val="en-US" w:eastAsia="en-US"/>
              </w:rPr>
              <w:t>≥ 50%</w:t>
            </w:r>
          </w:p>
        </w:tc>
      </w:tr>
    </w:tbl>
    <w:p w14:paraId="349E572F" w14:textId="77777777" w:rsidR="00DC5685" w:rsidRPr="00A34F10" w:rsidRDefault="00DC5685" w:rsidP="00DC5685">
      <w:pPr>
        <w:tabs>
          <w:tab w:val="left" w:pos="720"/>
        </w:tabs>
        <w:spacing w:after="240"/>
        <w:contextualSpacing/>
        <w:jc w:val="both"/>
        <w:rPr>
          <w:highlight w:val="yellow"/>
          <w:lang w:val="en-GB"/>
        </w:rPr>
      </w:pPr>
    </w:p>
    <w:p w14:paraId="050E42D7" w14:textId="77777777" w:rsidR="00DC5685" w:rsidRPr="00A34F10" w:rsidRDefault="00DC5685" w:rsidP="00E05ECD">
      <w:pPr>
        <w:numPr>
          <w:ilvl w:val="0"/>
          <w:numId w:val="58"/>
        </w:numPr>
        <w:ind w:left="284" w:hanging="284"/>
        <w:contextualSpacing/>
        <w:rPr>
          <w:b/>
          <w:bCs/>
          <w:caps/>
          <w:szCs w:val="24"/>
          <w:lang w:val="en-GB"/>
        </w:rPr>
      </w:pPr>
      <w:r w:rsidRPr="00A34F10">
        <w:rPr>
          <w:b/>
          <w:bCs/>
          <w:caps/>
          <w:szCs w:val="24"/>
          <w:lang w:val="en-GB"/>
        </w:rPr>
        <w:t>DEFICIENCIES</w:t>
      </w:r>
    </w:p>
    <w:p w14:paraId="0F26D733" w14:textId="77777777" w:rsidR="00DC5685" w:rsidRPr="00A34F10" w:rsidRDefault="00DC5685" w:rsidP="00DC5685">
      <w:pPr>
        <w:ind w:left="284"/>
        <w:contextualSpacing/>
        <w:rPr>
          <w:b/>
          <w:bCs/>
          <w:caps/>
          <w:szCs w:val="24"/>
          <w:lang w:val="en-GB"/>
        </w:rPr>
      </w:pPr>
    </w:p>
    <w:p w14:paraId="601A6FA1" w14:textId="77777777" w:rsidR="00DC5685"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 xml:space="preserve">. </w:t>
      </w:r>
    </w:p>
    <w:p w14:paraId="713964DA" w14:textId="77777777" w:rsidR="00DC5685" w:rsidRPr="00A34F10" w:rsidRDefault="00DC5685" w:rsidP="00E05ECD">
      <w:pPr>
        <w:numPr>
          <w:ilvl w:val="0"/>
          <w:numId w:val="53"/>
        </w:numPr>
        <w:tabs>
          <w:tab w:val="left" w:pos="720"/>
        </w:tabs>
        <w:spacing w:after="240"/>
        <w:jc w:val="center"/>
        <w:rPr>
          <w:b/>
          <w:bCs/>
          <w:caps/>
          <w:szCs w:val="24"/>
          <w:lang w:val="en-GB"/>
        </w:rPr>
      </w:pPr>
      <w:r w:rsidRPr="00A34F10">
        <w:rPr>
          <w:b/>
          <w:bCs/>
          <w:caps/>
          <w:szCs w:val="24"/>
          <w:lang w:val="en-GB"/>
        </w:rPr>
        <w:t>Conclusion</w:t>
      </w:r>
    </w:p>
    <w:p w14:paraId="41DEF894" w14:textId="79AC683E" w:rsidR="00B84B62" w:rsidRDefault="00DC5685" w:rsidP="00DC5685">
      <w:pPr>
        <w:widowControl w:val="0"/>
        <w:jc w:val="both"/>
        <w:rPr>
          <w:lang w:val="en-GB"/>
        </w:rPr>
      </w:pPr>
      <w:r w:rsidRPr="00A34F10">
        <w:rPr>
          <w:lang w:val="en-GB"/>
        </w:rPr>
        <w:t>The acute contact and oral toxicity of BAS 743 02 F was tested on bumblebees under laboratory conditions for a period of 48 hours. The resulting 48-hour LD</w:t>
      </w:r>
      <w:r w:rsidRPr="00A34F10">
        <w:rPr>
          <w:vertAlign w:val="subscript"/>
          <w:lang w:val="en-GB"/>
        </w:rPr>
        <w:t>50</w:t>
      </w:r>
      <w:r w:rsidRPr="00A34F10">
        <w:rPr>
          <w:lang w:val="en-GB"/>
        </w:rPr>
        <w:t xml:space="preserve"> in the contact test was &gt; 1000.0 µg product/bumblebee and the NOED was ≥ 1000.0 µg product/bumblebee. The resulting 48-hour LD</w:t>
      </w:r>
      <w:r w:rsidRPr="00A34F10">
        <w:rPr>
          <w:vertAlign w:val="subscript"/>
          <w:lang w:val="en-GB"/>
        </w:rPr>
        <w:t>50</w:t>
      </w:r>
      <w:r w:rsidRPr="00A34F10">
        <w:rPr>
          <w:lang w:val="en-GB"/>
        </w:rPr>
        <w:t xml:space="preserve"> in the oral test was &gt; 271.2 µg consumed product/bumblebee and the NOED was ≥ 271.2 µg consumed product/bumblebee.</w:t>
      </w:r>
    </w:p>
    <w:p w14:paraId="6627FEA5" w14:textId="2760DDFA" w:rsidR="00067435" w:rsidRDefault="00067435" w:rsidP="00DC5685">
      <w:pPr>
        <w:widowControl w:val="0"/>
        <w:jc w:val="both"/>
        <w:rPr>
          <w:lang w:val="en-GB"/>
        </w:rPr>
      </w:pPr>
    </w:p>
    <w:p w14:paraId="7725D5C4" w14:textId="77777777" w:rsidR="008D2927" w:rsidRDefault="008D2927">
      <w:pPr>
        <w:rPr>
          <w:b/>
          <w:sz w:val="24"/>
        </w:rPr>
      </w:pPr>
      <w:r>
        <w:br w:type="page"/>
      </w:r>
    </w:p>
    <w:p w14:paraId="45475CC8" w14:textId="62447413" w:rsidR="00067435" w:rsidRDefault="00067435" w:rsidP="00067435">
      <w:pPr>
        <w:pStyle w:val="RepAppendix6"/>
      </w:pPr>
      <w:r w:rsidRPr="008848C3">
        <w:lastRenderedPageBreak/>
        <w:t xml:space="preserve">Study </w:t>
      </w:r>
      <w:r>
        <w:t>5</w:t>
      </w:r>
    </w:p>
    <w:p w14:paraId="16F9CFDD" w14:textId="6D69E2B7" w:rsidR="00293F54" w:rsidRDefault="00D007AB" w:rsidP="00293F54">
      <w:pPr>
        <w:pStyle w:val="RepStandard"/>
      </w:pPr>
      <w:r>
        <w:t>XXXX</w:t>
      </w:r>
      <w:r w:rsidR="00293F54" w:rsidRPr="00293F54">
        <w:t xml:space="preserve"> have a Letter of Access allowing them to rely on this study</w:t>
      </w:r>
    </w:p>
    <w:p w14:paraId="17068700" w14:textId="77777777" w:rsidR="00293F54" w:rsidRPr="00293F54" w:rsidRDefault="00293F54" w:rsidP="00293F54">
      <w:pPr>
        <w:pStyle w:val="RepStandard"/>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067435" w:rsidRPr="001D7BA8" w14:paraId="164315ED" w14:textId="77777777" w:rsidTr="008D2927">
        <w:trPr>
          <w:trHeight w:val="412"/>
        </w:trPr>
        <w:tc>
          <w:tcPr>
            <w:tcW w:w="1063" w:type="pct"/>
            <w:shd w:val="clear" w:color="auto" w:fill="D9D9D9" w:themeFill="background1" w:themeFillShade="D9"/>
          </w:tcPr>
          <w:p w14:paraId="5DBF47DC" w14:textId="77777777" w:rsidR="00067435" w:rsidRPr="001D7BA8" w:rsidRDefault="00067435" w:rsidP="00026175">
            <w:pPr>
              <w:widowControl w:val="0"/>
              <w:suppressAutoHyphens/>
              <w:jc w:val="both"/>
              <w:rPr>
                <w:rFonts w:eastAsia="Batang"/>
              </w:rPr>
            </w:pPr>
            <w:r w:rsidRPr="001D7BA8">
              <w:t>Comments of zRMS:</w:t>
            </w:r>
          </w:p>
        </w:tc>
        <w:tc>
          <w:tcPr>
            <w:tcW w:w="3937" w:type="pct"/>
            <w:shd w:val="clear" w:color="auto" w:fill="D9D9D9" w:themeFill="background1" w:themeFillShade="D9"/>
          </w:tcPr>
          <w:p w14:paraId="0E34AFA5" w14:textId="179FEF97" w:rsidR="00067435" w:rsidRPr="001D7BA8" w:rsidRDefault="00375686" w:rsidP="00026175">
            <w:pPr>
              <w:widowControl w:val="0"/>
              <w:suppressAutoHyphens/>
              <w:ind w:left="85"/>
              <w:jc w:val="both"/>
              <w:rPr>
                <w:rFonts w:eastAsia="Batang"/>
              </w:rPr>
            </w:pPr>
            <w:r>
              <w:t>Study not evaluated.</w:t>
            </w:r>
            <w:fldSimple w:instr=" FORMTEXT "/>
          </w:p>
        </w:tc>
      </w:tr>
    </w:tbl>
    <w:p w14:paraId="26ACD56E" w14:textId="77777777" w:rsidR="00067435" w:rsidRDefault="00067435" w:rsidP="00067435">
      <w:pPr>
        <w:rPr>
          <w:b/>
          <w:szCs w:val="32"/>
          <w:lang w:val="en-GB"/>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067435" w:rsidRPr="00EF7C88" w14:paraId="7B6425F4" w14:textId="77777777" w:rsidTr="00026175">
        <w:trPr>
          <w:trHeight w:val="227"/>
          <w:jc w:val="center"/>
        </w:trPr>
        <w:tc>
          <w:tcPr>
            <w:tcW w:w="1364" w:type="pct"/>
          </w:tcPr>
          <w:p w14:paraId="4F849681" w14:textId="77777777" w:rsidR="00067435" w:rsidRPr="00EF7C88" w:rsidRDefault="00067435" w:rsidP="00026175">
            <w:pPr>
              <w:widowControl w:val="0"/>
              <w:spacing w:after="120"/>
              <w:jc w:val="both"/>
            </w:pPr>
            <w:r w:rsidRPr="00EF7C88">
              <w:t xml:space="preserve">Data point: </w:t>
            </w:r>
          </w:p>
        </w:tc>
        <w:tc>
          <w:tcPr>
            <w:tcW w:w="3636" w:type="pct"/>
          </w:tcPr>
          <w:p w14:paraId="2C8EBFE3" w14:textId="195773E1" w:rsidR="00067435" w:rsidRPr="00EF7C88" w:rsidRDefault="00492133" w:rsidP="00026175">
            <w:pPr>
              <w:widowControl w:val="0"/>
              <w:spacing w:after="120"/>
              <w:jc w:val="both"/>
            </w:pPr>
            <w:r>
              <w:t>None</w:t>
            </w:r>
          </w:p>
        </w:tc>
      </w:tr>
      <w:tr w:rsidR="00067435" w:rsidRPr="00276DE8" w14:paraId="4D3DA7DB" w14:textId="77777777" w:rsidTr="00026175">
        <w:trPr>
          <w:trHeight w:val="227"/>
          <w:jc w:val="center"/>
        </w:trPr>
        <w:tc>
          <w:tcPr>
            <w:tcW w:w="1364" w:type="pct"/>
          </w:tcPr>
          <w:p w14:paraId="4C10EE36" w14:textId="77777777" w:rsidR="00067435" w:rsidRPr="00EF7C88" w:rsidRDefault="00067435" w:rsidP="00026175">
            <w:pPr>
              <w:widowControl w:val="0"/>
              <w:spacing w:after="120"/>
              <w:jc w:val="both"/>
            </w:pPr>
            <w:r w:rsidRPr="00EF7C88">
              <w:t xml:space="preserve">Report </w:t>
            </w:r>
          </w:p>
        </w:tc>
        <w:tc>
          <w:tcPr>
            <w:tcW w:w="3636" w:type="pct"/>
          </w:tcPr>
          <w:p w14:paraId="408F6F19" w14:textId="77777777" w:rsidR="00067435" w:rsidRPr="00276DE8" w:rsidRDefault="00067435" w:rsidP="00026175">
            <w:pPr>
              <w:keepNext/>
              <w:tabs>
                <w:tab w:val="left" w:pos="360"/>
                <w:tab w:val="left" w:pos="720"/>
              </w:tabs>
              <w:spacing w:before="60" w:after="60"/>
              <w:jc w:val="both"/>
              <w:rPr>
                <w:lang w:val="en-GB"/>
              </w:rPr>
            </w:pPr>
            <w:r w:rsidRPr="00276DE8">
              <w:rPr>
                <w:lang w:val="en-GB"/>
              </w:rPr>
              <w:t>Propamocarb-HCL tech.: Effects (Acute Oral) on Bumblebees (</w:t>
            </w:r>
            <w:r w:rsidRPr="00276DE8">
              <w:rPr>
                <w:i/>
                <w:iCs/>
                <w:lang w:val="en-GB"/>
              </w:rPr>
              <w:t>Bombus terrestris</w:t>
            </w:r>
            <w:r w:rsidRPr="00276DE8">
              <w:rPr>
                <w:lang w:val="en-GB"/>
              </w:rPr>
              <w:t xml:space="preserve"> L.) in the Laboratory</w:t>
            </w:r>
          </w:p>
          <w:p w14:paraId="59A5F7FC" w14:textId="77777777" w:rsidR="00067435" w:rsidRPr="00276DE8" w:rsidRDefault="00067435" w:rsidP="00026175">
            <w:pPr>
              <w:keepNext/>
              <w:tabs>
                <w:tab w:val="left" w:pos="360"/>
                <w:tab w:val="left" w:pos="720"/>
              </w:tabs>
              <w:spacing w:before="60" w:after="60"/>
              <w:jc w:val="both"/>
              <w:rPr>
                <w:lang w:val="en-GB"/>
              </w:rPr>
            </w:pPr>
            <w:r w:rsidRPr="00276DE8">
              <w:rPr>
                <w:lang w:val="en-GB"/>
              </w:rPr>
              <w:t>Tänzler, V., 2015</w:t>
            </w:r>
          </w:p>
          <w:p w14:paraId="33A49D92" w14:textId="22A06B6E" w:rsidR="00067435" w:rsidRPr="00276DE8" w:rsidRDefault="00067435" w:rsidP="00492133">
            <w:pPr>
              <w:keepNext/>
              <w:tabs>
                <w:tab w:val="left" w:pos="360"/>
                <w:tab w:val="left" w:pos="720"/>
              </w:tabs>
              <w:spacing w:before="60" w:after="60"/>
              <w:jc w:val="both"/>
              <w:rPr>
                <w:lang w:val="en-GB"/>
              </w:rPr>
            </w:pPr>
            <w:r w:rsidRPr="00276DE8">
              <w:rPr>
                <w:lang w:val="en-GB"/>
              </w:rPr>
              <w:t>Project No: 99901105</w:t>
            </w:r>
          </w:p>
        </w:tc>
      </w:tr>
      <w:tr w:rsidR="00067435" w:rsidRPr="00276DE8" w14:paraId="465FAB29" w14:textId="77777777" w:rsidTr="00026175">
        <w:trPr>
          <w:trHeight w:val="227"/>
          <w:jc w:val="center"/>
        </w:trPr>
        <w:tc>
          <w:tcPr>
            <w:tcW w:w="1364" w:type="pct"/>
          </w:tcPr>
          <w:p w14:paraId="515D50C7" w14:textId="77777777" w:rsidR="00067435" w:rsidRPr="00EF7C88" w:rsidRDefault="00067435" w:rsidP="00026175">
            <w:pPr>
              <w:widowControl w:val="0"/>
              <w:spacing w:after="120"/>
              <w:jc w:val="both"/>
            </w:pPr>
            <w:r w:rsidRPr="00EF7C88">
              <w:t>Guideline(s):</w:t>
            </w:r>
          </w:p>
        </w:tc>
        <w:tc>
          <w:tcPr>
            <w:tcW w:w="3636" w:type="pct"/>
          </w:tcPr>
          <w:p w14:paraId="03F0C26E" w14:textId="77777777" w:rsidR="00067435" w:rsidRPr="00276DE8" w:rsidRDefault="00067435" w:rsidP="00026175">
            <w:pPr>
              <w:widowControl w:val="0"/>
              <w:spacing w:after="120"/>
              <w:jc w:val="both"/>
              <w:rPr>
                <w:lang w:val="en-GB"/>
              </w:rPr>
            </w:pPr>
            <w:r w:rsidRPr="00EF7C88">
              <w:rPr>
                <w:lang w:val="en-GB"/>
              </w:rPr>
              <w:t>van der Steen (2001) and OECD 213 (1998) with modifications and adaptions, Ring test bumblebee acute oral toxicity (ICPPR non-apis group, 2014))</w:t>
            </w:r>
          </w:p>
        </w:tc>
      </w:tr>
      <w:tr w:rsidR="00067435" w:rsidRPr="00EF7C88" w14:paraId="25963F74" w14:textId="77777777" w:rsidTr="00026175">
        <w:trPr>
          <w:trHeight w:val="227"/>
          <w:jc w:val="center"/>
        </w:trPr>
        <w:tc>
          <w:tcPr>
            <w:tcW w:w="1364" w:type="pct"/>
          </w:tcPr>
          <w:p w14:paraId="5F361C62" w14:textId="77777777" w:rsidR="00067435" w:rsidRPr="00EF7C88" w:rsidRDefault="00067435" w:rsidP="00026175">
            <w:pPr>
              <w:widowControl w:val="0"/>
              <w:spacing w:after="120"/>
              <w:jc w:val="both"/>
            </w:pPr>
            <w:r w:rsidRPr="00EF7C88">
              <w:t xml:space="preserve">Deviations: </w:t>
            </w:r>
          </w:p>
        </w:tc>
        <w:tc>
          <w:tcPr>
            <w:tcW w:w="3636" w:type="pct"/>
          </w:tcPr>
          <w:p w14:paraId="39EBC94C" w14:textId="77777777" w:rsidR="00067435" w:rsidRPr="00EF7C88" w:rsidRDefault="00067435" w:rsidP="00026175">
            <w:pPr>
              <w:widowControl w:val="0"/>
              <w:spacing w:after="120"/>
              <w:jc w:val="both"/>
            </w:pPr>
            <w:r w:rsidRPr="00EF7C88">
              <w:t>No</w:t>
            </w:r>
          </w:p>
        </w:tc>
      </w:tr>
      <w:tr w:rsidR="00067435" w:rsidRPr="00EF7C88" w14:paraId="1AE2D7BD" w14:textId="77777777" w:rsidTr="00026175">
        <w:trPr>
          <w:trHeight w:val="227"/>
          <w:jc w:val="center"/>
        </w:trPr>
        <w:tc>
          <w:tcPr>
            <w:tcW w:w="1364" w:type="pct"/>
          </w:tcPr>
          <w:p w14:paraId="100D0CA0" w14:textId="77777777" w:rsidR="00067435" w:rsidRPr="00EF7C88" w:rsidRDefault="00067435" w:rsidP="00026175">
            <w:pPr>
              <w:widowControl w:val="0"/>
              <w:spacing w:after="120"/>
              <w:jc w:val="both"/>
            </w:pPr>
            <w:r w:rsidRPr="00EF7C88">
              <w:t>GLP:</w:t>
            </w:r>
          </w:p>
        </w:tc>
        <w:tc>
          <w:tcPr>
            <w:tcW w:w="3636" w:type="pct"/>
          </w:tcPr>
          <w:p w14:paraId="5FAA148A" w14:textId="77777777" w:rsidR="00067435" w:rsidRPr="00EF7C88" w:rsidRDefault="00067435" w:rsidP="00026175">
            <w:pPr>
              <w:widowControl w:val="0"/>
              <w:spacing w:after="120"/>
              <w:jc w:val="both"/>
            </w:pPr>
            <w:r w:rsidRPr="00EF7C88">
              <w:t>Yes, GLP</w:t>
            </w:r>
          </w:p>
        </w:tc>
      </w:tr>
      <w:tr w:rsidR="00067435" w:rsidRPr="00EF7C88" w14:paraId="5BFDEF4C" w14:textId="77777777" w:rsidTr="00026175">
        <w:trPr>
          <w:trHeight w:val="227"/>
          <w:jc w:val="center"/>
        </w:trPr>
        <w:tc>
          <w:tcPr>
            <w:tcW w:w="1364" w:type="pct"/>
          </w:tcPr>
          <w:p w14:paraId="0B7B2CD4" w14:textId="77777777" w:rsidR="00067435" w:rsidRPr="00EF7C88" w:rsidRDefault="00067435" w:rsidP="00026175">
            <w:pPr>
              <w:widowControl w:val="0"/>
              <w:spacing w:after="120"/>
              <w:jc w:val="both"/>
            </w:pPr>
            <w:r w:rsidRPr="00EF7C88">
              <w:t xml:space="preserve">Acceptability/Reliability: </w:t>
            </w:r>
          </w:p>
        </w:tc>
        <w:tc>
          <w:tcPr>
            <w:tcW w:w="3636" w:type="pct"/>
          </w:tcPr>
          <w:p w14:paraId="0F737937" w14:textId="77777777" w:rsidR="00067435" w:rsidRPr="00EF7C88" w:rsidRDefault="00067435" w:rsidP="00026175">
            <w:pPr>
              <w:widowControl w:val="0"/>
              <w:spacing w:after="120"/>
              <w:jc w:val="both"/>
            </w:pPr>
            <w:r w:rsidRPr="00EF7C88">
              <w:t>Yes</w:t>
            </w:r>
          </w:p>
        </w:tc>
      </w:tr>
    </w:tbl>
    <w:p w14:paraId="37D218EB" w14:textId="77777777" w:rsidR="00067435" w:rsidRPr="009C2EEA" w:rsidRDefault="00067435" w:rsidP="00067435">
      <w:pPr>
        <w:rPr>
          <w:b/>
          <w:szCs w:val="32"/>
          <w:lang w:val="en-GB"/>
        </w:rPr>
      </w:pPr>
      <w:r w:rsidRPr="009C2EEA">
        <w:rPr>
          <w:b/>
          <w:szCs w:val="32"/>
          <w:lang w:val="en-GB"/>
        </w:rPr>
        <w:t>Executive Summary</w:t>
      </w:r>
    </w:p>
    <w:p w14:paraId="1212AED7" w14:textId="77777777" w:rsidR="00067435" w:rsidRPr="001D7BA8" w:rsidRDefault="00067435" w:rsidP="00067435">
      <w:pPr>
        <w:widowControl w:val="0"/>
        <w:spacing w:after="240"/>
        <w:jc w:val="both"/>
        <w:rPr>
          <w:highlight w:val="yellow"/>
          <w:lang w:val="en-GB"/>
        </w:rPr>
      </w:pPr>
      <w:r w:rsidRPr="009C2EEA">
        <w:rPr>
          <w:lang w:val="en-GB"/>
        </w:rPr>
        <w:t>The acute oral toxicity of Propamocarb-HCL tech to the bumblebee (</w:t>
      </w:r>
      <w:r w:rsidRPr="009C2EEA">
        <w:rPr>
          <w:i/>
          <w:iCs/>
          <w:lang w:val="en-GB"/>
        </w:rPr>
        <w:t>Bombus terrestris</w:t>
      </w:r>
      <w:r w:rsidRPr="009C2EEA">
        <w:rPr>
          <w:lang w:val="en-GB"/>
        </w:rPr>
        <w:t xml:space="preserve"> L.) were assessed in a 48h laboratory study. </w:t>
      </w:r>
      <w:r w:rsidRPr="00AE018C">
        <w:rPr>
          <w:lang w:val="en-GB"/>
        </w:rPr>
        <w:t>Mortality of bumblebees was used as the toxic endpoint. Sublethal effects, such as changes in behaviour, were assessed as well.</w:t>
      </w:r>
    </w:p>
    <w:p w14:paraId="71CA1BCF" w14:textId="77777777" w:rsidR="00067435" w:rsidRPr="001D7BA8" w:rsidRDefault="00067435" w:rsidP="00067435">
      <w:pPr>
        <w:widowControl w:val="0"/>
        <w:spacing w:after="240"/>
        <w:jc w:val="both"/>
        <w:rPr>
          <w:highlight w:val="yellow"/>
          <w:lang w:val="en-GB"/>
        </w:rPr>
      </w:pPr>
      <w:r w:rsidRPr="009C2EEA">
        <w:rPr>
          <w:lang w:val="en-GB"/>
        </w:rPr>
        <w:t>Under laboratory conditions a total of 50 replicates of one worker bees each (50 individuals per treatment group) were exposed to a single dose of 250 µg product/bumblebee for 48 h by feeding application (oral limit test)</w:t>
      </w:r>
      <w:r>
        <w:rPr>
          <w:lang w:val="en-GB"/>
        </w:rPr>
        <w:t xml:space="preserve">, </w:t>
      </w:r>
      <w:r w:rsidRPr="009C2EEA">
        <w:rPr>
          <w:lang w:val="en-GB"/>
        </w:rPr>
        <w:t>while the actual dose based on the actual intake of the test item was 198.7 µg product/bumblebee</w:t>
      </w:r>
      <w:r>
        <w:rPr>
          <w:lang w:val="en-GB"/>
        </w:rPr>
        <w:t xml:space="preserve">. </w:t>
      </w:r>
      <w:r w:rsidRPr="009C2EEA">
        <w:rPr>
          <w:lang w:val="en-GB"/>
        </w:rPr>
        <w:t>The oral test comprised a water control group (50 % w/w sugar (syrup) solution (in tap water)) as well as a solvent control group (</w:t>
      </w:r>
      <w:r w:rsidRPr="00276DE8">
        <w:rPr>
          <w:szCs w:val="24"/>
          <w:lang w:val="en-GB"/>
        </w:rPr>
        <w:t>50 % w/v sucrose solution containing 5 % acetone)</w:t>
      </w:r>
      <w:r w:rsidRPr="009C2EEA">
        <w:rPr>
          <w:lang w:val="en-GB"/>
        </w:rPr>
        <w:t xml:space="preserve">. A toxic reference item (dimethoate) was included. </w:t>
      </w:r>
    </w:p>
    <w:p w14:paraId="7199CCC2" w14:textId="77777777" w:rsidR="00067435" w:rsidRPr="001D7BA8" w:rsidRDefault="00067435" w:rsidP="00067435">
      <w:pPr>
        <w:widowControl w:val="0"/>
        <w:spacing w:after="240"/>
        <w:jc w:val="both"/>
        <w:rPr>
          <w:highlight w:val="yellow"/>
          <w:lang w:val="en-GB"/>
        </w:rPr>
      </w:pPr>
      <w:r w:rsidRPr="008F7594">
        <w:rPr>
          <w:lang w:val="en-GB"/>
        </w:rPr>
        <w:t>In the oral toxicity test, no mortality occurred in the control group fed with 50% (w/v) sucrose solution. No mortality was observed after oral consumption of 198.7 µg product/bumblebee within 48 hours. No behavioural effects of bumblebees were observed at the tested dose rate in the oral toxicity test. The 48 h LD</w:t>
      </w:r>
      <w:r w:rsidRPr="008F7594">
        <w:rPr>
          <w:vertAlign w:val="subscript"/>
          <w:lang w:val="en-GB"/>
        </w:rPr>
        <w:t xml:space="preserve">50 </w:t>
      </w:r>
      <w:r w:rsidRPr="008F7594">
        <w:rPr>
          <w:lang w:val="en-GB"/>
        </w:rPr>
        <w:t>was determined to be &gt; 198.7µg a.s./bumblebee and the NOED was ≥ 198.7µg consumed a.s./bumblebee.</w:t>
      </w:r>
    </w:p>
    <w:p w14:paraId="3451125B" w14:textId="26198AE7" w:rsidR="0072178D" w:rsidRDefault="00067435" w:rsidP="00067435">
      <w:pPr>
        <w:widowControl w:val="0"/>
        <w:spacing w:after="240"/>
        <w:jc w:val="both"/>
        <w:rPr>
          <w:lang w:val="en-GB"/>
        </w:rPr>
      </w:pPr>
      <w:r w:rsidRPr="00F5124F">
        <w:rPr>
          <w:lang w:val="en-GB"/>
        </w:rPr>
        <w:t>All validity criteria of the respective test guidelines were met.</w:t>
      </w:r>
    </w:p>
    <w:p w14:paraId="657073DB" w14:textId="77777777" w:rsidR="00067435" w:rsidRPr="00F5124F" w:rsidRDefault="00067435" w:rsidP="00067435">
      <w:pPr>
        <w:widowControl w:val="0"/>
        <w:spacing w:after="240"/>
        <w:jc w:val="both"/>
        <w:rPr>
          <w:lang w:val="en-GB"/>
        </w:rPr>
      </w:pPr>
    </w:p>
    <w:p w14:paraId="253A0BD8" w14:textId="77777777" w:rsidR="00067435" w:rsidRPr="001D7BA8" w:rsidRDefault="00067435" w:rsidP="00067435">
      <w:pPr>
        <w:keepNext/>
        <w:keepLines/>
        <w:tabs>
          <w:tab w:val="left" w:pos="720"/>
        </w:tabs>
        <w:spacing w:after="240"/>
        <w:ind w:left="289"/>
        <w:rPr>
          <w:rFonts w:ascii="Times New Roman Bold" w:hAnsi="Times New Roman Bold"/>
          <w:b/>
          <w:bCs/>
          <w:caps/>
          <w:szCs w:val="24"/>
          <w:lang w:val="en-GB"/>
        </w:rPr>
      </w:pPr>
      <w:r>
        <w:rPr>
          <w:rFonts w:ascii="Times New Roman Bold" w:hAnsi="Times New Roman Bold"/>
          <w:b/>
          <w:bCs/>
          <w:caps/>
          <w:szCs w:val="24"/>
          <w:lang w:val="en-GB"/>
        </w:rPr>
        <w:lastRenderedPageBreak/>
        <w:t>I</w:t>
      </w:r>
      <w:r>
        <w:rPr>
          <w:rFonts w:ascii="Times New Roman Bold" w:hAnsi="Times New Roman Bold"/>
          <w:b/>
          <w:bCs/>
          <w:caps/>
          <w:szCs w:val="24"/>
          <w:lang w:val="en-GB"/>
        </w:rPr>
        <w:tab/>
      </w:r>
      <w:r w:rsidRPr="001D7BA8">
        <w:rPr>
          <w:rFonts w:ascii="Times New Roman Bold" w:hAnsi="Times New Roman Bold"/>
          <w:b/>
          <w:bCs/>
          <w:caps/>
          <w:szCs w:val="24"/>
          <w:lang w:val="en-GB"/>
        </w:rPr>
        <w:t>MATERIALS AND METHODS</w:t>
      </w:r>
    </w:p>
    <w:p w14:paraId="3EE52EB1" w14:textId="77777777" w:rsidR="00067435" w:rsidRPr="001D7BA8" w:rsidRDefault="00067435" w:rsidP="00E05ECD">
      <w:pPr>
        <w:keepNext/>
        <w:keepLines/>
        <w:numPr>
          <w:ilvl w:val="0"/>
          <w:numId w:val="27"/>
        </w:numPr>
        <w:ind w:left="284" w:hanging="284"/>
        <w:contextualSpacing/>
        <w:rPr>
          <w:rFonts w:ascii="Times New Roman Bold" w:hAnsi="Times New Roman Bold"/>
          <w:b/>
          <w:bCs/>
          <w:caps/>
          <w:szCs w:val="24"/>
          <w:lang w:val="en-GB"/>
        </w:rPr>
      </w:pPr>
      <w:r w:rsidRPr="001D7BA8">
        <w:rPr>
          <w:rFonts w:ascii="Times New Roman Bold" w:hAnsi="Times New Roman Bold"/>
          <w:b/>
          <w:bCs/>
          <w:caps/>
          <w:szCs w:val="24"/>
          <w:lang w:val="en-GB"/>
        </w:rPr>
        <w:t>MATERIALS</w:t>
      </w:r>
    </w:p>
    <w:p w14:paraId="793D123E" w14:textId="77777777" w:rsidR="00067435" w:rsidRPr="001D7BA8" w:rsidRDefault="00067435" w:rsidP="00067435">
      <w:pPr>
        <w:keepNext/>
        <w:keepLines/>
        <w:ind w:left="284"/>
        <w:contextualSpacing/>
        <w:rPr>
          <w:rFonts w:ascii="Times New Roman Bold" w:hAnsi="Times New Roman Bold"/>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067435" w:rsidRPr="001D7BA8" w14:paraId="31DC3F81" w14:textId="77777777" w:rsidTr="00026175">
        <w:trPr>
          <w:cantSplit/>
          <w:trHeight w:hRule="exact" w:val="340"/>
        </w:trPr>
        <w:tc>
          <w:tcPr>
            <w:tcW w:w="3828" w:type="dxa"/>
          </w:tcPr>
          <w:p w14:paraId="36F1BB7A" w14:textId="77777777" w:rsidR="00067435" w:rsidRPr="001D7BA8" w:rsidRDefault="00067435" w:rsidP="00026175">
            <w:pPr>
              <w:keepNext/>
              <w:keepLines/>
              <w:numPr>
                <w:ilvl w:val="6"/>
                <w:numId w:val="9"/>
              </w:numPr>
              <w:tabs>
                <w:tab w:val="left" w:pos="567"/>
              </w:tabs>
              <w:spacing w:after="240"/>
              <w:ind w:left="284"/>
              <w:contextualSpacing/>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Test item:</w:t>
            </w:r>
          </w:p>
        </w:tc>
        <w:tc>
          <w:tcPr>
            <w:tcW w:w="5522" w:type="dxa"/>
          </w:tcPr>
          <w:p w14:paraId="72B200F9" w14:textId="77777777" w:rsidR="00067435" w:rsidRPr="001D7BA8" w:rsidRDefault="00067435" w:rsidP="00026175">
            <w:pPr>
              <w:keepNext/>
              <w:keepLines/>
              <w:tabs>
                <w:tab w:val="left" w:pos="720"/>
              </w:tabs>
              <w:spacing w:after="240"/>
              <w:jc w:val="both"/>
              <w:rPr>
                <w:rFonts w:ascii="Times New Roman" w:eastAsia="Times New Roman" w:hAnsi="Times New Roman"/>
                <w:szCs w:val="24"/>
                <w:lang w:eastAsia="de-DE"/>
              </w:rPr>
            </w:pPr>
            <w:r w:rsidRPr="001D7BA8">
              <w:rPr>
                <w:rFonts w:ascii="Times New Roman" w:eastAsia="Times New Roman" w:hAnsi="Times New Roman"/>
                <w:szCs w:val="24"/>
                <w:lang w:val="pl-PL" w:eastAsia="de-DE"/>
              </w:rPr>
              <w:t>Propamocarb-HCL tech</w:t>
            </w:r>
          </w:p>
        </w:tc>
      </w:tr>
      <w:tr w:rsidR="00067435" w:rsidRPr="001D7BA8" w14:paraId="3F12EC40" w14:textId="77777777" w:rsidTr="00026175">
        <w:trPr>
          <w:cantSplit/>
          <w:trHeight w:hRule="exact" w:val="340"/>
        </w:trPr>
        <w:tc>
          <w:tcPr>
            <w:tcW w:w="3828" w:type="dxa"/>
          </w:tcPr>
          <w:p w14:paraId="697CF2D4" w14:textId="77777777" w:rsidR="00067435" w:rsidRPr="001D7BA8" w:rsidRDefault="00067435" w:rsidP="00026175">
            <w:pPr>
              <w:keepNext/>
              <w:keepLines/>
              <w:tabs>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Description:</w:t>
            </w:r>
          </w:p>
        </w:tc>
        <w:tc>
          <w:tcPr>
            <w:tcW w:w="5522" w:type="dxa"/>
          </w:tcPr>
          <w:p w14:paraId="797CAD57" w14:textId="77777777" w:rsidR="00067435" w:rsidRPr="001D7BA8" w:rsidRDefault="00067435" w:rsidP="00026175">
            <w:pPr>
              <w:keepNext/>
              <w:keepLines/>
              <w:tabs>
                <w:tab w:val="left" w:pos="720"/>
              </w:tabs>
              <w:spacing w:after="240"/>
              <w:jc w:val="both"/>
              <w:rPr>
                <w:rFonts w:ascii="Times New Roman" w:eastAsia="Times New Roman" w:hAnsi="Times New Roman"/>
                <w:szCs w:val="24"/>
                <w:lang w:eastAsia="de-DE"/>
              </w:rPr>
            </w:pPr>
            <w:r w:rsidRPr="001D7BA8">
              <w:rPr>
                <w:rFonts w:ascii="Times New Roman" w:eastAsia="Times New Roman" w:hAnsi="Times New Roman"/>
                <w:szCs w:val="24"/>
                <w:lang w:eastAsia="de-DE"/>
              </w:rPr>
              <w:t>Liquid, colourless</w:t>
            </w:r>
          </w:p>
        </w:tc>
      </w:tr>
      <w:tr w:rsidR="00067435" w:rsidRPr="001D7BA8" w14:paraId="05304516" w14:textId="77777777" w:rsidTr="00026175">
        <w:trPr>
          <w:cantSplit/>
          <w:trHeight w:hRule="exact" w:val="397"/>
        </w:trPr>
        <w:tc>
          <w:tcPr>
            <w:tcW w:w="3828" w:type="dxa"/>
          </w:tcPr>
          <w:p w14:paraId="53FE20A6" w14:textId="77777777" w:rsidR="00067435" w:rsidRPr="001D7BA8" w:rsidRDefault="00067435" w:rsidP="00026175">
            <w:pPr>
              <w:keepNext/>
              <w:keepLines/>
              <w:tabs>
                <w:tab w:val="left" w:pos="624"/>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Lot/Batch:</w:t>
            </w:r>
          </w:p>
        </w:tc>
        <w:tc>
          <w:tcPr>
            <w:tcW w:w="5522" w:type="dxa"/>
          </w:tcPr>
          <w:p w14:paraId="5737727F" w14:textId="77777777" w:rsidR="00067435" w:rsidRPr="001D7BA8" w:rsidRDefault="00067435" w:rsidP="00026175">
            <w:pPr>
              <w:keepNext/>
              <w:keepLines/>
              <w:tabs>
                <w:tab w:val="left" w:pos="720"/>
              </w:tabs>
              <w:spacing w:after="240"/>
              <w:rPr>
                <w:rFonts w:ascii="Times New Roman" w:eastAsia="Times New Roman" w:hAnsi="Times New Roman"/>
                <w:szCs w:val="24"/>
                <w:lang w:eastAsia="de-DE"/>
              </w:rPr>
            </w:pPr>
            <w:r w:rsidRPr="001D7BA8">
              <w:rPr>
                <w:rFonts w:ascii="Times New Roman" w:eastAsia="Times New Roman" w:hAnsi="Times New Roman"/>
                <w:szCs w:val="24"/>
                <w:lang w:eastAsia="de-DE"/>
              </w:rPr>
              <w:t>PMC-2014-07-3</w:t>
            </w:r>
          </w:p>
        </w:tc>
      </w:tr>
      <w:tr w:rsidR="00067435" w:rsidRPr="00276DE8" w14:paraId="531B34D4" w14:textId="77777777" w:rsidTr="00026175">
        <w:trPr>
          <w:cantSplit/>
          <w:trHeight w:hRule="exact" w:val="585"/>
        </w:trPr>
        <w:tc>
          <w:tcPr>
            <w:tcW w:w="3828" w:type="dxa"/>
          </w:tcPr>
          <w:p w14:paraId="27D71364" w14:textId="77777777" w:rsidR="00067435" w:rsidRPr="001D7BA8" w:rsidRDefault="00067435" w:rsidP="00026175">
            <w:pPr>
              <w:keepNext/>
              <w:keepLines/>
              <w:tabs>
                <w:tab w:val="left" w:pos="624"/>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Active substance content:</w:t>
            </w:r>
          </w:p>
        </w:tc>
        <w:tc>
          <w:tcPr>
            <w:tcW w:w="5522" w:type="dxa"/>
          </w:tcPr>
          <w:p w14:paraId="010FB83A" w14:textId="77777777" w:rsidR="00067435" w:rsidRPr="001D7BA8" w:rsidRDefault="00067435" w:rsidP="00026175">
            <w:pPr>
              <w:keepNext/>
              <w:keepLines/>
              <w:tabs>
                <w:tab w:val="left" w:pos="720"/>
              </w:tabs>
              <w:rPr>
                <w:rFonts w:ascii="Times New Roman" w:eastAsia="Times New Roman" w:hAnsi="Times New Roman"/>
                <w:szCs w:val="24"/>
                <w:lang w:eastAsia="de-DE"/>
              </w:rPr>
            </w:pPr>
            <w:r w:rsidRPr="001D7BA8">
              <w:rPr>
                <w:rFonts w:ascii="Times New Roman" w:eastAsia="Times New Roman" w:hAnsi="Times New Roman"/>
                <w:szCs w:val="24"/>
                <w:lang w:eastAsia="de-DE"/>
              </w:rPr>
              <w:t>Propamocarb-HCL (AE B066752): 69.7 % w/w (analytical), according to certificate of analysis</w:t>
            </w:r>
          </w:p>
        </w:tc>
      </w:tr>
      <w:tr w:rsidR="00067435" w:rsidRPr="001D7BA8" w14:paraId="626A51A9" w14:textId="77777777" w:rsidTr="00026175">
        <w:trPr>
          <w:cantSplit/>
          <w:trHeight w:hRule="exact" w:val="340"/>
        </w:trPr>
        <w:tc>
          <w:tcPr>
            <w:tcW w:w="3828" w:type="dxa"/>
          </w:tcPr>
          <w:p w14:paraId="55C685DA" w14:textId="77777777" w:rsidR="00067435" w:rsidRPr="001D7BA8" w:rsidRDefault="00067435" w:rsidP="00026175">
            <w:pPr>
              <w:keepNext/>
              <w:keepLines/>
              <w:tabs>
                <w:tab w:val="left" w:pos="624"/>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Density:</w:t>
            </w:r>
          </w:p>
        </w:tc>
        <w:tc>
          <w:tcPr>
            <w:tcW w:w="5522" w:type="dxa"/>
          </w:tcPr>
          <w:p w14:paraId="3C09E386" w14:textId="77777777" w:rsidR="00067435" w:rsidRPr="001D7BA8" w:rsidRDefault="00067435" w:rsidP="00026175">
            <w:pPr>
              <w:keepNext/>
              <w:keepLines/>
              <w:tabs>
                <w:tab w:val="left" w:pos="720"/>
              </w:tabs>
              <w:rPr>
                <w:rFonts w:ascii="Times New Roman" w:eastAsia="Times New Roman" w:hAnsi="Times New Roman"/>
                <w:szCs w:val="24"/>
                <w:lang w:eastAsia="de-DE"/>
              </w:rPr>
            </w:pPr>
            <w:r w:rsidRPr="001D7BA8">
              <w:rPr>
                <w:rFonts w:ascii="Times New Roman" w:eastAsia="Times New Roman" w:hAnsi="Times New Roman"/>
                <w:szCs w:val="24"/>
                <w:lang w:eastAsia="de-DE"/>
              </w:rPr>
              <w:t>Not reported</w:t>
            </w:r>
            <w:r w:rsidRPr="001D7BA8">
              <w:rPr>
                <w:rFonts w:ascii="Times New Roman" w:eastAsia="Times New Roman" w:hAnsi="Times New Roman"/>
                <w:szCs w:val="24"/>
                <w:vertAlign w:val="superscript"/>
                <w:lang w:eastAsia="de-DE"/>
              </w:rPr>
              <w:t xml:space="preserve"> </w:t>
            </w:r>
          </w:p>
        </w:tc>
      </w:tr>
      <w:tr w:rsidR="00067435" w:rsidRPr="00276DE8" w14:paraId="60311977" w14:textId="77777777" w:rsidTr="00026175">
        <w:trPr>
          <w:cantSplit/>
          <w:trHeight w:hRule="exact" w:val="340"/>
        </w:trPr>
        <w:tc>
          <w:tcPr>
            <w:tcW w:w="3828" w:type="dxa"/>
          </w:tcPr>
          <w:p w14:paraId="23CBB343" w14:textId="77777777" w:rsidR="00067435" w:rsidRPr="001D7BA8" w:rsidRDefault="00067435" w:rsidP="00026175">
            <w:pPr>
              <w:keepNext/>
              <w:keepLines/>
              <w:tabs>
                <w:tab w:val="left" w:pos="624"/>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Storage conditions:</w:t>
            </w:r>
          </w:p>
        </w:tc>
        <w:tc>
          <w:tcPr>
            <w:tcW w:w="5522" w:type="dxa"/>
          </w:tcPr>
          <w:p w14:paraId="58A8D646" w14:textId="77777777" w:rsidR="00067435" w:rsidRPr="001D7BA8" w:rsidRDefault="00067435" w:rsidP="00026175">
            <w:pPr>
              <w:keepNext/>
              <w:keepLines/>
              <w:tabs>
                <w:tab w:val="left" w:pos="720"/>
              </w:tabs>
              <w:jc w:val="both"/>
              <w:rPr>
                <w:rFonts w:ascii="Times New Roman" w:eastAsia="Times New Roman" w:hAnsi="Times New Roman"/>
                <w:szCs w:val="24"/>
                <w:lang w:eastAsia="de-DE"/>
              </w:rPr>
            </w:pPr>
            <w:r w:rsidRPr="001D7BA8">
              <w:rPr>
                <w:rFonts w:ascii="Times New Roman" w:eastAsia="Times New Roman" w:hAnsi="Times New Roman"/>
                <w:lang w:eastAsia="de-DE"/>
              </w:rPr>
              <w:t>+10 to +30 °C, in the dark</w:t>
            </w:r>
          </w:p>
        </w:tc>
      </w:tr>
      <w:tr w:rsidR="00067435" w:rsidRPr="001D7BA8" w14:paraId="0C51194E" w14:textId="77777777" w:rsidTr="00026175">
        <w:trPr>
          <w:cantSplit/>
          <w:trHeight w:hRule="exact" w:val="340"/>
        </w:trPr>
        <w:tc>
          <w:tcPr>
            <w:tcW w:w="3828" w:type="dxa"/>
          </w:tcPr>
          <w:p w14:paraId="56AAC27F" w14:textId="77777777" w:rsidR="00067435" w:rsidRPr="001D7BA8" w:rsidRDefault="00067435" w:rsidP="00026175">
            <w:pPr>
              <w:keepNext/>
              <w:keepLines/>
              <w:tabs>
                <w:tab w:val="left" w:pos="624"/>
                <w:tab w:val="left" w:pos="709"/>
              </w:tabs>
              <w:spacing w:after="240"/>
              <w:ind w:left="567"/>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Stability (expiry date):</w:t>
            </w:r>
          </w:p>
        </w:tc>
        <w:tc>
          <w:tcPr>
            <w:tcW w:w="5522" w:type="dxa"/>
          </w:tcPr>
          <w:p w14:paraId="6FF45AED" w14:textId="77777777" w:rsidR="00067435" w:rsidRPr="001D7BA8" w:rsidRDefault="00067435" w:rsidP="00026175">
            <w:pPr>
              <w:keepNext/>
              <w:keepLines/>
              <w:tabs>
                <w:tab w:val="left" w:pos="720"/>
              </w:tabs>
              <w:jc w:val="both"/>
              <w:rPr>
                <w:rFonts w:ascii="Times New Roman" w:eastAsia="Times New Roman" w:hAnsi="Times New Roman"/>
                <w:szCs w:val="24"/>
                <w:lang w:val="x-none" w:eastAsia="de-DE"/>
              </w:rPr>
            </w:pPr>
            <w:r w:rsidRPr="001D7BA8">
              <w:rPr>
                <w:rFonts w:ascii="Times New Roman" w:eastAsia="Times New Roman" w:hAnsi="Times New Roman"/>
                <w:szCs w:val="24"/>
                <w:lang w:eastAsia="de-DE"/>
              </w:rPr>
              <w:t>08 August 2016</w:t>
            </w:r>
          </w:p>
        </w:tc>
      </w:tr>
      <w:tr w:rsidR="00067435" w:rsidRPr="00276DE8" w14:paraId="7E750AC2" w14:textId="77777777" w:rsidTr="00026175">
        <w:trPr>
          <w:cantSplit/>
          <w:trHeight w:hRule="exact" w:val="783"/>
        </w:trPr>
        <w:tc>
          <w:tcPr>
            <w:tcW w:w="3828" w:type="dxa"/>
          </w:tcPr>
          <w:p w14:paraId="1E448BB2" w14:textId="77777777" w:rsidR="00067435" w:rsidRPr="001D7BA8" w:rsidRDefault="00067435" w:rsidP="00026175">
            <w:pPr>
              <w:numPr>
                <w:ilvl w:val="6"/>
                <w:numId w:val="9"/>
              </w:numPr>
              <w:tabs>
                <w:tab w:val="left" w:pos="567"/>
              </w:tabs>
              <w:spacing w:after="240"/>
              <w:ind w:left="284"/>
              <w:contextualSpacing/>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Control:</w:t>
            </w:r>
          </w:p>
        </w:tc>
        <w:tc>
          <w:tcPr>
            <w:tcW w:w="5522" w:type="dxa"/>
          </w:tcPr>
          <w:p w14:paraId="46AFF4A5" w14:textId="77777777" w:rsidR="00067435" w:rsidRPr="001D7BA8" w:rsidRDefault="00067435" w:rsidP="00026175">
            <w:pPr>
              <w:tabs>
                <w:tab w:val="left" w:pos="720"/>
              </w:tabs>
              <w:rPr>
                <w:rFonts w:ascii="Times New Roman" w:eastAsia="Times New Roman" w:hAnsi="Times New Roman"/>
                <w:szCs w:val="24"/>
                <w:lang w:eastAsia="de-DE"/>
              </w:rPr>
            </w:pPr>
            <w:r>
              <w:rPr>
                <w:rFonts w:ascii="Times New Roman" w:eastAsia="Times New Roman" w:hAnsi="Times New Roman"/>
                <w:szCs w:val="24"/>
                <w:lang w:eastAsia="de-DE"/>
              </w:rPr>
              <w:t>Water control</w:t>
            </w:r>
            <w:r w:rsidRPr="001D7BA8">
              <w:rPr>
                <w:rFonts w:ascii="Times New Roman" w:eastAsia="Times New Roman" w:hAnsi="Times New Roman"/>
                <w:szCs w:val="24"/>
                <w:lang w:eastAsia="de-DE"/>
              </w:rPr>
              <w:t xml:space="preserve"> 50% (w/v) sucrose solution;</w:t>
            </w:r>
          </w:p>
          <w:p w14:paraId="674934A2" w14:textId="77777777" w:rsidR="00067435" w:rsidRPr="001D7BA8" w:rsidRDefault="00067435" w:rsidP="00026175">
            <w:pPr>
              <w:tabs>
                <w:tab w:val="left" w:pos="720"/>
              </w:tabs>
              <w:rPr>
                <w:rFonts w:ascii="Times New Roman" w:eastAsia="Times New Roman" w:hAnsi="Times New Roman"/>
                <w:szCs w:val="24"/>
                <w:lang w:eastAsia="de-DE"/>
              </w:rPr>
            </w:pPr>
            <w:r>
              <w:rPr>
                <w:rFonts w:ascii="Times New Roman" w:eastAsia="Times New Roman" w:hAnsi="Times New Roman"/>
                <w:szCs w:val="24"/>
                <w:lang w:eastAsia="de-DE"/>
              </w:rPr>
              <w:t>Solvent control</w:t>
            </w:r>
            <w:r w:rsidRPr="001D7BA8">
              <w:rPr>
                <w:rFonts w:ascii="Times New Roman" w:eastAsia="Times New Roman" w:hAnsi="Times New Roman"/>
                <w:szCs w:val="24"/>
                <w:lang w:eastAsia="de-DE"/>
              </w:rPr>
              <w:t>: 50 % w/v sucrose solution containing 5 % acetone</w:t>
            </w:r>
          </w:p>
        </w:tc>
      </w:tr>
      <w:tr w:rsidR="00067435" w:rsidRPr="00276DE8" w14:paraId="6F2BDB6D" w14:textId="77777777" w:rsidTr="00026175">
        <w:trPr>
          <w:cantSplit/>
          <w:trHeight w:hRule="exact" w:val="644"/>
        </w:trPr>
        <w:tc>
          <w:tcPr>
            <w:tcW w:w="3828" w:type="dxa"/>
          </w:tcPr>
          <w:p w14:paraId="6B2AA17F" w14:textId="77777777" w:rsidR="00067435" w:rsidRPr="001D7BA8" w:rsidRDefault="00067435" w:rsidP="00026175">
            <w:pPr>
              <w:numPr>
                <w:ilvl w:val="6"/>
                <w:numId w:val="9"/>
              </w:numPr>
              <w:tabs>
                <w:tab w:val="left" w:pos="567"/>
              </w:tabs>
              <w:spacing w:after="240"/>
              <w:ind w:left="284"/>
              <w:contextualSpacing/>
              <w:rPr>
                <w:rFonts w:ascii="Times New Roman" w:eastAsia="Times New Roman" w:hAnsi="Times New Roman"/>
                <w:b/>
                <w:bCs/>
                <w:szCs w:val="24"/>
                <w:lang w:eastAsia="de-DE"/>
              </w:rPr>
            </w:pPr>
            <w:r w:rsidRPr="001D7BA8">
              <w:rPr>
                <w:rFonts w:ascii="Times New Roman" w:eastAsia="Times New Roman" w:hAnsi="Times New Roman"/>
                <w:b/>
                <w:bCs/>
                <w:szCs w:val="24"/>
                <w:lang w:eastAsia="de-DE"/>
              </w:rPr>
              <w:t>Reference item:</w:t>
            </w:r>
          </w:p>
        </w:tc>
        <w:tc>
          <w:tcPr>
            <w:tcW w:w="5522" w:type="dxa"/>
          </w:tcPr>
          <w:p w14:paraId="5D826A10" w14:textId="77777777" w:rsidR="00067435" w:rsidRPr="001D7BA8" w:rsidRDefault="00067435" w:rsidP="00026175">
            <w:pPr>
              <w:tabs>
                <w:tab w:val="left" w:pos="720"/>
              </w:tabs>
              <w:spacing w:after="240"/>
              <w:jc w:val="both"/>
              <w:rPr>
                <w:rFonts w:ascii="Times New Roman" w:eastAsia="Times New Roman" w:hAnsi="Times New Roman"/>
                <w:szCs w:val="24"/>
                <w:lang w:eastAsia="de-DE"/>
              </w:rPr>
            </w:pPr>
            <w:r w:rsidRPr="001D7BA8">
              <w:rPr>
                <w:rFonts w:ascii="Times New Roman" w:eastAsia="Times New Roman" w:hAnsi="Times New Roman"/>
                <w:szCs w:val="24"/>
                <w:lang w:eastAsia="de-DE"/>
              </w:rPr>
              <w:t>Dimethoate (BAS 152 11 I), analysed content of dimethoate 400.9 g/L</w:t>
            </w:r>
          </w:p>
        </w:tc>
      </w:tr>
    </w:tbl>
    <w:p w14:paraId="008DC8DB" w14:textId="77777777" w:rsidR="00067435" w:rsidRPr="00F7137D" w:rsidRDefault="00067435" w:rsidP="00067435">
      <w:pPr>
        <w:tabs>
          <w:tab w:val="left" w:pos="0"/>
        </w:tabs>
        <w:spacing w:after="240"/>
        <w:contextualSpacing/>
        <w:rPr>
          <w:rFonts w:ascii="Times New Roman Bold" w:hAnsi="Times New Roman Bold"/>
          <w:b/>
          <w:bCs/>
          <w:caps/>
          <w:szCs w:val="24"/>
          <w:lang w:val="en-GB"/>
        </w:rPr>
      </w:pPr>
    </w:p>
    <w:p w14:paraId="5A5F2E88" w14:textId="77777777" w:rsidR="00067435" w:rsidRPr="00F7137D" w:rsidRDefault="00067435" w:rsidP="00067435">
      <w:pPr>
        <w:ind w:left="360"/>
        <w:contextualSpacing/>
        <w:rPr>
          <w:rFonts w:ascii="Times New Roman Bold" w:hAnsi="Times New Roman Bold"/>
          <w:b/>
          <w:bCs/>
          <w:caps/>
          <w:szCs w:val="24"/>
          <w:lang w:val="en-GB"/>
        </w:rPr>
      </w:pPr>
      <w:r>
        <w:rPr>
          <w:rFonts w:ascii="Times New Roman Bold" w:hAnsi="Times New Roman Bold"/>
          <w:b/>
          <w:bCs/>
          <w:caps/>
          <w:szCs w:val="24"/>
          <w:lang w:val="en-GB"/>
        </w:rPr>
        <w:t>II</w:t>
      </w:r>
      <w:r>
        <w:rPr>
          <w:rFonts w:ascii="Times New Roman Bold" w:hAnsi="Times New Roman Bold"/>
          <w:b/>
          <w:bCs/>
          <w:caps/>
          <w:szCs w:val="24"/>
          <w:lang w:val="en-GB"/>
        </w:rPr>
        <w:tab/>
      </w:r>
      <w:r w:rsidRPr="00F7137D">
        <w:rPr>
          <w:rFonts w:ascii="Times New Roman Bold" w:hAnsi="Times New Roman Bold"/>
          <w:b/>
          <w:bCs/>
          <w:caps/>
          <w:szCs w:val="24"/>
          <w:lang w:val="en-GB"/>
        </w:rPr>
        <w:t>study design and methods</w:t>
      </w:r>
    </w:p>
    <w:p w14:paraId="1089015C" w14:textId="77777777" w:rsidR="00067435" w:rsidRPr="00F7137D" w:rsidRDefault="00067435" w:rsidP="00067435">
      <w:pPr>
        <w:contextualSpacing/>
        <w:rPr>
          <w:rFonts w:ascii="Times New Roman Bold" w:hAnsi="Times New Roman Bold"/>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067435" w:rsidRPr="00F7137D" w14:paraId="1D6CCEC6" w14:textId="77777777" w:rsidTr="00026175">
        <w:trPr>
          <w:trHeight w:hRule="exact" w:val="340"/>
        </w:trPr>
        <w:tc>
          <w:tcPr>
            <w:tcW w:w="3826" w:type="dxa"/>
          </w:tcPr>
          <w:p w14:paraId="7305DF37" w14:textId="77777777" w:rsidR="00067435" w:rsidRPr="00F7137D" w:rsidRDefault="00067435" w:rsidP="00E05ECD">
            <w:pPr>
              <w:numPr>
                <w:ilvl w:val="0"/>
                <w:numId w:val="25"/>
              </w:numPr>
              <w:tabs>
                <w:tab w:val="left" w:pos="255"/>
                <w:tab w:val="left" w:pos="284"/>
              </w:tabs>
              <w:spacing w:after="240"/>
              <w:ind w:left="426" w:hanging="284"/>
              <w:contextualSpacing/>
              <w:jc w:val="both"/>
              <w:rPr>
                <w:rFonts w:ascii="Times New Roman" w:eastAsia="Times New Roman" w:hAnsi="Times New Roman"/>
                <w:b/>
                <w:bCs/>
                <w:szCs w:val="24"/>
                <w:lang w:eastAsia="de-DE"/>
              </w:rPr>
            </w:pPr>
            <w:r w:rsidRPr="00F7137D">
              <w:rPr>
                <w:rFonts w:ascii="Times New Roman" w:eastAsia="Times New Roman" w:hAnsi="Times New Roman"/>
                <w:b/>
                <w:bCs/>
                <w:szCs w:val="24"/>
                <w:lang w:eastAsia="de-DE"/>
              </w:rPr>
              <w:t>Test organism:</w:t>
            </w:r>
          </w:p>
        </w:tc>
        <w:tc>
          <w:tcPr>
            <w:tcW w:w="5518" w:type="dxa"/>
          </w:tcPr>
          <w:p w14:paraId="4351350B" w14:textId="77777777" w:rsidR="00067435" w:rsidRPr="00F7137D" w:rsidRDefault="00067435" w:rsidP="00026175">
            <w:pPr>
              <w:tabs>
                <w:tab w:val="left" w:pos="720"/>
              </w:tabs>
              <w:spacing w:after="240"/>
              <w:jc w:val="both"/>
              <w:rPr>
                <w:rFonts w:ascii="Times New Roman" w:eastAsia="Times New Roman" w:hAnsi="Times New Roman"/>
                <w:szCs w:val="24"/>
                <w:lang w:eastAsia="de-DE"/>
              </w:rPr>
            </w:pPr>
            <w:r w:rsidRPr="00F7137D">
              <w:rPr>
                <w:rFonts w:ascii="Times New Roman" w:eastAsia="Times New Roman" w:hAnsi="Times New Roman"/>
                <w:i/>
                <w:iCs/>
                <w:szCs w:val="24"/>
                <w:lang w:eastAsia="de-DE"/>
              </w:rPr>
              <w:t xml:space="preserve">Bombus terrestris </w:t>
            </w:r>
            <w:r w:rsidRPr="00F7137D">
              <w:rPr>
                <w:rFonts w:ascii="Times New Roman" w:eastAsia="Times New Roman" w:hAnsi="Times New Roman"/>
                <w:iCs/>
                <w:szCs w:val="24"/>
                <w:lang w:eastAsia="de-DE"/>
              </w:rPr>
              <w:t>L</w:t>
            </w:r>
          </w:p>
        </w:tc>
      </w:tr>
      <w:tr w:rsidR="00067435" w:rsidRPr="00276DE8" w14:paraId="3DC87592" w14:textId="77777777" w:rsidTr="00026175">
        <w:trPr>
          <w:trHeight w:hRule="exact" w:val="504"/>
        </w:trPr>
        <w:tc>
          <w:tcPr>
            <w:tcW w:w="3826" w:type="dxa"/>
          </w:tcPr>
          <w:p w14:paraId="72454B5B" w14:textId="77777777" w:rsidR="00067435" w:rsidRPr="00F7137D" w:rsidRDefault="00067435" w:rsidP="00026175">
            <w:pPr>
              <w:tabs>
                <w:tab w:val="left" w:pos="284"/>
                <w:tab w:val="left" w:pos="624"/>
              </w:tabs>
              <w:spacing w:after="240"/>
              <w:ind w:left="426"/>
              <w:rPr>
                <w:rFonts w:ascii="Times New Roman" w:eastAsia="Times New Roman" w:hAnsi="Times New Roman"/>
                <w:b/>
                <w:bCs/>
                <w:szCs w:val="24"/>
                <w:lang w:eastAsia="de-DE"/>
              </w:rPr>
            </w:pPr>
            <w:r w:rsidRPr="00F7137D">
              <w:rPr>
                <w:rFonts w:ascii="Times New Roman" w:eastAsia="Times New Roman" w:hAnsi="Times New Roman"/>
                <w:b/>
                <w:bCs/>
                <w:szCs w:val="24"/>
                <w:lang w:eastAsia="de-DE"/>
              </w:rPr>
              <w:t>Age:</w:t>
            </w:r>
          </w:p>
        </w:tc>
        <w:tc>
          <w:tcPr>
            <w:tcW w:w="5518" w:type="dxa"/>
          </w:tcPr>
          <w:p w14:paraId="6768E28F" w14:textId="77777777" w:rsidR="00067435" w:rsidRPr="00F7137D" w:rsidRDefault="00067435" w:rsidP="00026175">
            <w:pPr>
              <w:tabs>
                <w:tab w:val="left" w:pos="720"/>
              </w:tabs>
              <w:spacing w:after="240"/>
              <w:jc w:val="both"/>
              <w:rPr>
                <w:rFonts w:ascii="Times New Roman" w:eastAsia="Times New Roman" w:hAnsi="Times New Roman"/>
                <w:szCs w:val="24"/>
                <w:lang w:eastAsia="de-DE"/>
              </w:rPr>
            </w:pPr>
            <w:r w:rsidRPr="00F7137D">
              <w:rPr>
                <w:rFonts w:ascii="Times New Roman" w:eastAsia="Times New Roman" w:hAnsi="Times New Roman"/>
                <w:szCs w:val="24"/>
                <w:lang w:eastAsia="de-DE"/>
              </w:rPr>
              <w:t xml:space="preserve">Adult worker bumblebees </w:t>
            </w:r>
            <w:r>
              <w:rPr>
                <w:rFonts w:ascii="Times New Roman" w:eastAsia="Times New Roman" w:hAnsi="Times New Roman"/>
                <w:szCs w:val="24"/>
                <w:lang w:eastAsia="de-DE"/>
              </w:rPr>
              <w:t>from healthy and queen-right colonies</w:t>
            </w:r>
          </w:p>
        </w:tc>
      </w:tr>
      <w:tr w:rsidR="00067435" w:rsidRPr="00902592" w14:paraId="14628408" w14:textId="77777777" w:rsidTr="00026175">
        <w:trPr>
          <w:trHeight w:hRule="exact" w:val="560"/>
        </w:trPr>
        <w:tc>
          <w:tcPr>
            <w:tcW w:w="3826" w:type="dxa"/>
          </w:tcPr>
          <w:p w14:paraId="4E5331E9" w14:textId="77777777" w:rsidR="00067435" w:rsidRPr="00F7137D" w:rsidRDefault="00067435" w:rsidP="00026175">
            <w:pPr>
              <w:tabs>
                <w:tab w:val="left" w:pos="284"/>
                <w:tab w:val="left" w:pos="624"/>
              </w:tabs>
              <w:spacing w:after="240"/>
              <w:ind w:left="426"/>
              <w:rPr>
                <w:rFonts w:ascii="Times New Roman" w:eastAsia="Times New Roman" w:hAnsi="Times New Roman"/>
                <w:b/>
                <w:bCs/>
                <w:szCs w:val="24"/>
                <w:lang w:eastAsia="de-DE"/>
              </w:rPr>
            </w:pPr>
            <w:r w:rsidRPr="00F7137D">
              <w:rPr>
                <w:rFonts w:ascii="Times New Roman" w:eastAsia="Times New Roman" w:hAnsi="Times New Roman"/>
                <w:b/>
                <w:bCs/>
                <w:szCs w:val="24"/>
                <w:lang w:eastAsia="de-DE"/>
              </w:rPr>
              <w:t>Source:</w:t>
            </w:r>
          </w:p>
        </w:tc>
        <w:tc>
          <w:tcPr>
            <w:tcW w:w="5518" w:type="dxa"/>
          </w:tcPr>
          <w:p w14:paraId="68AEA99C" w14:textId="77777777" w:rsidR="00067435" w:rsidRPr="00F7137D" w:rsidRDefault="00067435" w:rsidP="00026175">
            <w:pPr>
              <w:tabs>
                <w:tab w:val="left" w:pos="720"/>
              </w:tabs>
              <w:spacing w:after="240"/>
              <w:jc w:val="both"/>
              <w:rPr>
                <w:rFonts w:ascii="Times New Roman" w:eastAsia="Times New Roman" w:hAnsi="Times New Roman"/>
                <w:szCs w:val="24"/>
                <w:lang w:val="de-DE" w:eastAsia="de-DE"/>
              </w:rPr>
            </w:pPr>
            <w:r w:rsidRPr="00F7137D">
              <w:rPr>
                <w:rFonts w:ascii="Times New Roman" w:eastAsia="Times New Roman" w:hAnsi="Times New Roman"/>
                <w:szCs w:val="24"/>
                <w:lang w:val="de-DE" w:eastAsia="de-DE"/>
              </w:rPr>
              <w:t>Biobest Belgium N.V. Ilse Velden, 18, 2260 Westerlo, Belgium</w:t>
            </w:r>
          </w:p>
          <w:p w14:paraId="0FADAA14" w14:textId="77777777" w:rsidR="00067435" w:rsidRPr="00F7137D" w:rsidRDefault="00067435" w:rsidP="00026175">
            <w:pPr>
              <w:tabs>
                <w:tab w:val="left" w:pos="720"/>
              </w:tabs>
              <w:spacing w:after="240"/>
              <w:jc w:val="both"/>
              <w:rPr>
                <w:rFonts w:ascii="Times New Roman" w:eastAsia="Times New Roman" w:hAnsi="Times New Roman"/>
                <w:szCs w:val="24"/>
                <w:lang w:val="de-DE" w:eastAsia="de-DE"/>
              </w:rPr>
            </w:pPr>
            <w:r w:rsidRPr="00F7137D">
              <w:rPr>
                <w:rFonts w:ascii="Times New Roman" w:eastAsia="Times New Roman" w:hAnsi="Times New Roman"/>
                <w:szCs w:val="24"/>
                <w:lang w:val="de-DE" w:eastAsia="de-DE"/>
              </w:rPr>
              <w:t>delivered: Katz Biotech AG, An der Birkenpfuhlheide 10, 15837 Baruth, Germany</w:t>
            </w:r>
          </w:p>
        </w:tc>
      </w:tr>
      <w:tr w:rsidR="00067435" w:rsidRPr="001D7BA8" w14:paraId="68B7DCAC" w14:textId="77777777" w:rsidTr="00026175">
        <w:trPr>
          <w:trHeight w:hRule="exact" w:val="1053"/>
        </w:trPr>
        <w:tc>
          <w:tcPr>
            <w:tcW w:w="3826" w:type="dxa"/>
          </w:tcPr>
          <w:p w14:paraId="226FD451" w14:textId="77777777" w:rsidR="00067435" w:rsidRPr="00064BAC" w:rsidRDefault="00067435" w:rsidP="00026175">
            <w:pPr>
              <w:tabs>
                <w:tab w:val="left" w:pos="284"/>
                <w:tab w:val="left" w:pos="624"/>
              </w:tabs>
              <w:spacing w:after="240"/>
              <w:ind w:left="426"/>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Acclimatisation:</w:t>
            </w:r>
          </w:p>
        </w:tc>
        <w:tc>
          <w:tcPr>
            <w:tcW w:w="5518" w:type="dxa"/>
          </w:tcPr>
          <w:p w14:paraId="3730DDC0" w14:textId="77777777" w:rsidR="00067435" w:rsidRPr="00064BAC" w:rsidRDefault="00067435" w:rsidP="00026175">
            <w:pPr>
              <w:tabs>
                <w:tab w:val="left" w:pos="720"/>
              </w:tabs>
              <w:spacing w:after="240"/>
              <w:jc w:val="both"/>
              <w:rPr>
                <w:rFonts w:ascii="Times New Roman" w:eastAsia="Times New Roman" w:hAnsi="Times New Roman"/>
                <w:szCs w:val="24"/>
                <w:lang w:eastAsia="de-DE"/>
              </w:rPr>
            </w:pPr>
            <w:r w:rsidRPr="00064BAC">
              <w:rPr>
                <w:rFonts w:ascii="Times New Roman" w:eastAsia="Times New Roman" w:hAnsi="Times New Roman"/>
                <w:szCs w:val="24"/>
                <w:lang w:eastAsia="de-DE"/>
              </w:rPr>
              <w:t>The bumblebees were acclimatised to the test conditions over night with ad libitum access to an untreated 50 % w/v sucrose solution. Acclimatisation period: 23 hours 30 minutes.</w:t>
            </w:r>
          </w:p>
        </w:tc>
      </w:tr>
      <w:tr w:rsidR="00067435" w:rsidRPr="00276DE8" w14:paraId="058DEF0D" w14:textId="77777777" w:rsidTr="00026175">
        <w:trPr>
          <w:trHeight w:hRule="exact" w:val="1035"/>
        </w:trPr>
        <w:tc>
          <w:tcPr>
            <w:tcW w:w="3826" w:type="dxa"/>
          </w:tcPr>
          <w:p w14:paraId="7099AF16" w14:textId="77777777" w:rsidR="00067435" w:rsidRPr="00064BAC" w:rsidRDefault="00067435" w:rsidP="00026175">
            <w:pPr>
              <w:tabs>
                <w:tab w:val="left" w:pos="284"/>
                <w:tab w:val="left" w:pos="624"/>
              </w:tabs>
              <w:spacing w:after="240"/>
              <w:ind w:left="426"/>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 xml:space="preserve">Diet: </w:t>
            </w:r>
          </w:p>
        </w:tc>
        <w:tc>
          <w:tcPr>
            <w:tcW w:w="5518" w:type="dxa"/>
          </w:tcPr>
          <w:p w14:paraId="52DEE1D1" w14:textId="77777777" w:rsidR="00067435" w:rsidRDefault="00067435" w:rsidP="00026175">
            <w:pPr>
              <w:tabs>
                <w:tab w:val="left" w:pos="720"/>
              </w:tabs>
              <w:jc w:val="both"/>
              <w:rPr>
                <w:rFonts w:ascii="Times New Roman" w:eastAsia="Times New Roman" w:hAnsi="Times New Roman"/>
                <w:szCs w:val="24"/>
                <w:lang w:eastAsia="de-DE"/>
              </w:rPr>
            </w:pPr>
            <w:r w:rsidRPr="00064BAC">
              <w:rPr>
                <w:rFonts w:ascii="Times New Roman" w:eastAsia="Times New Roman" w:hAnsi="Times New Roman"/>
                <w:szCs w:val="24"/>
                <w:lang w:eastAsia="de-DE"/>
              </w:rPr>
              <w:t xml:space="preserve">50 % w/v sucrose solution </w:t>
            </w:r>
            <w:r w:rsidRPr="00064BAC">
              <w:rPr>
                <w:rFonts w:ascii="Times New Roman" w:eastAsia="Times New Roman" w:hAnsi="Times New Roman"/>
                <w:i/>
                <w:iCs/>
                <w:szCs w:val="24"/>
                <w:lang w:eastAsia="de-DE"/>
              </w:rPr>
              <w:t>ad libitum</w:t>
            </w:r>
            <w:r w:rsidRPr="00064BAC">
              <w:rPr>
                <w:rFonts w:ascii="Times New Roman" w:eastAsia="Times New Roman" w:hAnsi="Times New Roman"/>
                <w:szCs w:val="24"/>
                <w:lang w:eastAsia="de-DE"/>
              </w:rPr>
              <w:t>; was given directly after treatment using syringes</w:t>
            </w:r>
            <w:r>
              <w:rPr>
                <w:rFonts w:ascii="Times New Roman" w:eastAsia="Times New Roman" w:hAnsi="Times New Roman"/>
                <w:szCs w:val="24"/>
                <w:lang w:eastAsia="de-DE"/>
              </w:rPr>
              <w:t>,</w:t>
            </w:r>
          </w:p>
          <w:p w14:paraId="4B89EE75" w14:textId="77777777" w:rsidR="00067435" w:rsidRPr="00064BAC" w:rsidRDefault="00067435" w:rsidP="00026175">
            <w:pPr>
              <w:tabs>
                <w:tab w:val="left" w:pos="720"/>
              </w:tabs>
              <w:jc w:val="both"/>
              <w:rPr>
                <w:rFonts w:ascii="Times New Roman" w:eastAsia="Times New Roman" w:hAnsi="Times New Roman"/>
                <w:szCs w:val="24"/>
                <w:lang w:eastAsia="de-DE"/>
              </w:rPr>
            </w:pPr>
            <w:r>
              <w:rPr>
                <w:rFonts w:ascii="Times New Roman" w:eastAsia="Times New Roman" w:hAnsi="Times New Roman"/>
                <w:szCs w:val="24"/>
                <w:lang w:eastAsia="de-DE"/>
              </w:rPr>
              <w:t xml:space="preserve">Starvation </w:t>
            </w:r>
            <w:r w:rsidRPr="006108F8">
              <w:rPr>
                <w:rFonts w:ascii="Times New Roman" w:eastAsia="Times New Roman" w:hAnsi="Times New Roman"/>
                <w:szCs w:val="24"/>
                <w:lang w:eastAsia="de-DE"/>
              </w:rPr>
              <w:t>220 to 270 minutes for all treatment groups in the oral test, prior to application</w:t>
            </w:r>
          </w:p>
        </w:tc>
      </w:tr>
      <w:tr w:rsidR="00067435" w:rsidRPr="00276DE8" w14:paraId="1AD222C2" w14:textId="77777777" w:rsidTr="00026175">
        <w:trPr>
          <w:trHeight w:hRule="exact" w:val="1138"/>
        </w:trPr>
        <w:tc>
          <w:tcPr>
            <w:tcW w:w="3826" w:type="dxa"/>
          </w:tcPr>
          <w:p w14:paraId="31187275" w14:textId="77777777" w:rsidR="00067435" w:rsidRPr="00064BAC" w:rsidRDefault="00067435" w:rsidP="00E05ECD">
            <w:pPr>
              <w:numPr>
                <w:ilvl w:val="0"/>
                <w:numId w:val="25"/>
              </w:numPr>
              <w:tabs>
                <w:tab w:val="left" w:pos="255"/>
                <w:tab w:val="left" w:pos="284"/>
              </w:tabs>
              <w:spacing w:after="240"/>
              <w:ind w:left="426" w:hanging="284"/>
              <w:contextualSpacing/>
              <w:jc w:val="both"/>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Test units:</w:t>
            </w:r>
          </w:p>
        </w:tc>
        <w:tc>
          <w:tcPr>
            <w:tcW w:w="5518" w:type="dxa"/>
          </w:tcPr>
          <w:p w14:paraId="11EBB6D7" w14:textId="77777777" w:rsidR="00067435" w:rsidRPr="00064BAC" w:rsidRDefault="00067435" w:rsidP="00026175">
            <w:pPr>
              <w:tabs>
                <w:tab w:val="left" w:pos="720"/>
              </w:tabs>
              <w:spacing w:after="240"/>
              <w:jc w:val="both"/>
              <w:rPr>
                <w:rFonts w:ascii="Times New Roman" w:eastAsia="Times New Roman" w:hAnsi="Times New Roman"/>
                <w:szCs w:val="24"/>
                <w:lang w:val="x-none" w:eastAsia="de-DE"/>
              </w:rPr>
            </w:pPr>
            <w:r w:rsidRPr="00064BAC">
              <w:rPr>
                <w:rFonts w:ascii="Times New Roman" w:eastAsia="Times New Roman" w:hAnsi="Times New Roman"/>
                <w:szCs w:val="24"/>
                <w:lang w:eastAsia="de-DE"/>
              </w:rPr>
              <w:t>Cylindrical, latticed plastic cages with a length of approximately 7 cm and a diameter of 2.2 cm at the large and 1.7 cm at the small opening.</w:t>
            </w:r>
          </w:p>
        </w:tc>
      </w:tr>
      <w:tr w:rsidR="00067435" w:rsidRPr="001D7BA8" w14:paraId="29BC17A4" w14:textId="77777777" w:rsidTr="00026175">
        <w:trPr>
          <w:trHeight w:hRule="exact" w:val="340"/>
        </w:trPr>
        <w:tc>
          <w:tcPr>
            <w:tcW w:w="3826" w:type="dxa"/>
          </w:tcPr>
          <w:p w14:paraId="0A8C3F5A" w14:textId="77777777" w:rsidR="00067435" w:rsidRPr="00064BAC" w:rsidRDefault="00067435" w:rsidP="00E05ECD">
            <w:pPr>
              <w:numPr>
                <w:ilvl w:val="0"/>
                <w:numId w:val="25"/>
              </w:numPr>
              <w:tabs>
                <w:tab w:val="left" w:pos="255"/>
                <w:tab w:val="left" w:pos="284"/>
              </w:tabs>
              <w:spacing w:after="240"/>
              <w:ind w:left="426" w:hanging="284"/>
              <w:contextualSpacing/>
              <w:jc w:val="both"/>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Environmental conditions</w:t>
            </w:r>
          </w:p>
        </w:tc>
        <w:tc>
          <w:tcPr>
            <w:tcW w:w="5518" w:type="dxa"/>
          </w:tcPr>
          <w:p w14:paraId="41670F20" w14:textId="77777777" w:rsidR="00067435" w:rsidRPr="00064BAC" w:rsidRDefault="00067435" w:rsidP="00026175">
            <w:pPr>
              <w:tabs>
                <w:tab w:val="left" w:pos="720"/>
              </w:tabs>
              <w:spacing w:after="240"/>
              <w:jc w:val="both"/>
              <w:rPr>
                <w:rFonts w:ascii="Times New Roman" w:eastAsia="Times New Roman" w:hAnsi="Times New Roman"/>
                <w:szCs w:val="24"/>
                <w:lang w:eastAsia="de-DE"/>
              </w:rPr>
            </w:pPr>
          </w:p>
        </w:tc>
      </w:tr>
      <w:tr w:rsidR="00067435" w:rsidRPr="00276DE8" w14:paraId="33C43BB2" w14:textId="77777777" w:rsidTr="00026175">
        <w:trPr>
          <w:trHeight w:hRule="exact" w:val="333"/>
        </w:trPr>
        <w:tc>
          <w:tcPr>
            <w:tcW w:w="3826" w:type="dxa"/>
          </w:tcPr>
          <w:p w14:paraId="2FE3C054" w14:textId="77777777" w:rsidR="00067435" w:rsidRPr="00064BAC" w:rsidRDefault="00067435" w:rsidP="00026175">
            <w:pPr>
              <w:tabs>
                <w:tab w:val="left" w:pos="284"/>
                <w:tab w:val="left" w:pos="624"/>
              </w:tabs>
              <w:spacing w:after="240"/>
              <w:ind w:left="426"/>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Temperature:</w:t>
            </w:r>
          </w:p>
        </w:tc>
        <w:tc>
          <w:tcPr>
            <w:tcW w:w="5518" w:type="dxa"/>
          </w:tcPr>
          <w:p w14:paraId="4F561082" w14:textId="77777777" w:rsidR="00067435" w:rsidRPr="00064BAC" w:rsidRDefault="00067435" w:rsidP="00026175">
            <w:pPr>
              <w:tabs>
                <w:tab w:val="left" w:pos="720"/>
              </w:tabs>
              <w:spacing w:after="240"/>
              <w:jc w:val="both"/>
              <w:rPr>
                <w:rFonts w:ascii="Times New Roman" w:eastAsia="Times New Roman" w:hAnsi="Times New Roman"/>
                <w:szCs w:val="24"/>
                <w:lang w:eastAsia="de-DE"/>
              </w:rPr>
            </w:pPr>
            <w:r w:rsidRPr="00064BAC">
              <w:rPr>
                <w:rFonts w:ascii="Times New Roman" w:eastAsia="Times New Roman" w:hAnsi="Times New Roman"/>
                <w:szCs w:val="24"/>
                <w:lang w:eastAsia="de-DE"/>
              </w:rPr>
              <w:t>Acclimatisation: mean 25.1 °C, exposure: mean 25.1 °C</w:t>
            </w:r>
          </w:p>
        </w:tc>
      </w:tr>
      <w:tr w:rsidR="00067435" w:rsidRPr="001D7BA8" w14:paraId="5300DA2B" w14:textId="77777777" w:rsidTr="00026175">
        <w:trPr>
          <w:trHeight w:hRule="exact" w:val="312"/>
        </w:trPr>
        <w:tc>
          <w:tcPr>
            <w:tcW w:w="3826" w:type="dxa"/>
          </w:tcPr>
          <w:p w14:paraId="0A32E7CB" w14:textId="77777777" w:rsidR="00067435" w:rsidRPr="00064BAC" w:rsidRDefault="00067435" w:rsidP="00026175">
            <w:pPr>
              <w:tabs>
                <w:tab w:val="left" w:pos="284"/>
                <w:tab w:val="left" w:pos="624"/>
              </w:tabs>
              <w:spacing w:after="240"/>
              <w:ind w:left="426"/>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Relative humidity:</w:t>
            </w:r>
          </w:p>
        </w:tc>
        <w:tc>
          <w:tcPr>
            <w:tcW w:w="5518" w:type="dxa"/>
          </w:tcPr>
          <w:p w14:paraId="5DF31F33" w14:textId="77777777" w:rsidR="00067435" w:rsidRPr="00064BAC" w:rsidRDefault="00067435" w:rsidP="00026175">
            <w:pPr>
              <w:tabs>
                <w:tab w:val="left" w:pos="720"/>
              </w:tabs>
              <w:spacing w:after="240"/>
              <w:rPr>
                <w:rFonts w:ascii="Times New Roman" w:eastAsia="Times New Roman" w:hAnsi="Times New Roman"/>
                <w:szCs w:val="24"/>
                <w:lang w:eastAsia="de-DE"/>
              </w:rPr>
            </w:pPr>
            <w:r w:rsidRPr="00064BAC">
              <w:rPr>
                <w:rFonts w:ascii="Times New Roman" w:eastAsia="Times New Roman" w:hAnsi="Times New Roman"/>
                <w:szCs w:val="24"/>
                <w:lang w:eastAsia="de-DE"/>
              </w:rPr>
              <w:t>Acclimatisation: mean 57.1 %, exposure: mean 56.6 %</w:t>
            </w:r>
          </w:p>
        </w:tc>
      </w:tr>
      <w:tr w:rsidR="00067435" w:rsidRPr="00276DE8" w14:paraId="1868258E" w14:textId="77777777" w:rsidTr="00026175">
        <w:trPr>
          <w:trHeight w:hRule="exact" w:val="657"/>
        </w:trPr>
        <w:tc>
          <w:tcPr>
            <w:tcW w:w="3826" w:type="dxa"/>
            <w:shd w:val="clear" w:color="auto" w:fill="auto"/>
          </w:tcPr>
          <w:p w14:paraId="62BE7A03" w14:textId="77777777" w:rsidR="00067435" w:rsidRPr="00064BAC" w:rsidRDefault="00067435" w:rsidP="00026175">
            <w:pPr>
              <w:tabs>
                <w:tab w:val="left" w:pos="284"/>
                <w:tab w:val="left" w:pos="624"/>
              </w:tabs>
              <w:spacing w:after="240"/>
              <w:ind w:left="426"/>
              <w:rPr>
                <w:rFonts w:ascii="Times New Roman" w:eastAsia="Times New Roman" w:hAnsi="Times New Roman"/>
                <w:b/>
                <w:bCs/>
                <w:szCs w:val="24"/>
                <w:lang w:eastAsia="de-DE"/>
              </w:rPr>
            </w:pPr>
            <w:r w:rsidRPr="00064BAC">
              <w:rPr>
                <w:rFonts w:ascii="Times New Roman" w:eastAsia="Times New Roman" w:hAnsi="Times New Roman"/>
                <w:b/>
                <w:bCs/>
                <w:szCs w:val="24"/>
                <w:lang w:eastAsia="de-DE"/>
              </w:rPr>
              <w:t>Photoperiod:</w:t>
            </w:r>
          </w:p>
        </w:tc>
        <w:tc>
          <w:tcPr>
            <w:tcW w:w="5518" w:type="dxa"/>
            <w:shd w:val="clear" w:color="auto" w:fill="auto"/>
          </w:tcPr>
          <w:p w14:paraId="405BAF7D" w14:textId="77777777" w:rsidR="00067435" w:rsidRPr="00064BAC" w:rsidRDefault="00067435" w:rsidP="00026175">
            <w:pPr>
              <w:tabs>
                <w:tab w:val="left" w:pos="720"/>
              </w:tabs>
              <w:spacing w:after="240"/>
              <w:rPr>
                <w:rFonts w:ascii="Times New Roman" w:eastAsia="Times New Roman" w:hAnsi="Times New Roman"/>
                <w:szCs w:val="24"/>
                <w:lang w:eastAsia="de-DE"/>
              </w:rPr>
            </w:pPr>
            <w:r w:rsidRPr="00064BAC">
              <w:rPr>
                <w:rFonts w:ascii="Times New Roman" w:eastAsia="Times New Roman" w:hAnsi="Times New Roman"/>
                <w:szCs w:val="24"/>
                <w:lang w:eastAsia="de-DE"/>
              </w:rPr>
              <w:t>Constant darkness except during observations</w:t>
            </w:r>
          </w:p>
        </w:tc>
      </w:tr>
    </w:tbl>
    <w:p w14:paraId="6E757593" w14:textId="7F54D7A1" w:rsidR="0072178D" w:rsidRDefault="0072178D" w:rsidP="00067435">
      <w:pPr>
        <w:numPr>
          <w:ilvl w:val="3"/>
          <w:numId w:val="0"/>
        </w:numPr>
        <w:tabs>
          <w:tab w:val="left" w:pos="0"/>
        </w:tabs>
        <w:spacing w:before="240"/>
        <w:ind w:left="357" w:hanging="357"/>
        <w:contextualSpacing/>
        <w:rPr>
          <w:rFonts w:ascii="Times New Roman Bold" w:hAnsi="Times New Roman Bold"/>
          <w:b/>
          <w:bCs/>
          <w:szCs w:val="24"/>
          <w:highlight w:val="yellow"/>
          <w:lang w:val="en-GB"/>
        </w:rPr>
      </w:pPr>
    </w:p>
    <w:p w14:paraId="74E13BD6" w14:textId="77777777" w:rsidR="0072178D" w:rsidRDefault="0072178D">
      <w:pPr>
        <w:rPr>
          <w:rFonts w:ascii="Times New Roman Bold" w:hAnsi="Times New Roman Bold"/>
          <w:b/>
          <w:bCs/>
          <w:szCs w:val="24"/>
          <w:highlight w:val="yellow"/>
          <w:lang w:val="en-GB"/>
        </w:rPr>
      </w:pPr>
      <w:r>
        <w:rPr>
          <w:rFonts w:ascii="Times New Roman Bold" w:hAnsi="Times New Roman Bold"/>
          <w:b/>
          <w:bCs/>
          <w:szCs w:val="24"/>
          <w:highlight w:val="yellow"/>
          <w:lang w:val="en-GB"/>
        </w:rPr>
        <w:br w:type="page"/>
      </w:r>
    </w:p>
    <w:p w14:paraId="3E9899E6" w14:textId="77777777" w:rsidR="00067435" w:rsidRPr="001D7BA8" w:rsidRDefault="00067435" w:rsidP="00067435">
      <w:pPr>
        <w:numPr>
          <w:ilvl w:val="3"/>
          <w:numId w:val="0"/>
        </w:numPr>
        <w:tabs>
          <w:tab w:val="left" w:pos="0"/>
        </w:tabs>
        <w:spacing w:before="240"/>
        <w:ind w:left="357" w:hanging="357"/>
        <w:contextualSpacing/>
        <w:rPr>
          <w:rFonts w:ascii="Times New Roman Bold" w:hAnsi="Times New Roman Bold"/>
          <w:b/>
          <w:bCs/>
          <w:szCs w:val="24"/>
          <w:highlight w:val="yellow"/>
          <w:lang w:val="en-GB"/>
        </w:rPr>
      </w:pPr>
    </w:p>
    <w:p w14:paraId="2B2C8310" w14:textId="77777777" w:rsidR="00067435" w:rsidRPr="005072E1" w:rsidRDefault="00067435" w:rsidP="00E05ECD">
      <w:pPr>
        <w:keepNext/>
        <w:keepLines/>
        <w:numPr>
          <w:ilvl w:val="0"/>
          <w:numId w:val="25"/>
        </w:numPr>
        <w:spacing w:before="240"/>
        <w:ind w:left="284" w:hanging="284"/>
        <w:contextualSpacing/>
        <w:rPr>
          <w:rFonts w:ascii="Times New Roman Bold" w:hAnsi="Times New Roman Bold"/>
          <w:b/>
          <w:bCs/>
          <w:szCs w:val="24"/>
          <w:lang w:val="en-GB"/>
        </w:rPr>
      </w:pPr>
      <w:r w:rsidRPr="005072E1">
        <w:rPr>
          <w:rFonts w:ascii="Times New Roman Bold" w:hAnsi="Times New Roman Bold"/>
          <w:b/>
          <w:bCs/>
          <w:szCs w:val="24"/>
          <w:lang w:val="en-GB"/>
        </w:rPr>
        <w:t xml:space="preserve">Treatment: </w:t>
      </w:r>
    </w:p>
    <w:p w14:paraId="65ACBDA0" w14:textId="77777777" w:rsidR="00067435" w:rsidRPr="005072E1" w:rsidRDefault="00067435" w:rsidP="00067435">
      <w:pPr>
        <w:keepNext/>
        <w:keepLines/>
        <w:tabs>
          <w:tab w:val="left" w:pos="720"/>
        </w:tabs>
        <w:spacing w:after="240"/>
        <w:jc w:val="both"/>
        <w:rPr>
          <w:szCs w:val="24"/>
          <w:lang w:val="en-GB"/>
        </w:rPr>
      </w:pPr>
      <w:r w:rsidRPr="005072E1">
        <w:rPr>
          <w:szCs w:val="24"/>
          <w:lang w:val="en-GB"/>
        </w:rPr>
        <w:t>Under laboratory conditions a total of 50 worker bees per replicate were exposed to a single dose of 250.0 µg product per bumblebee for 48 hours by by feeding application (oral limit test; while the actual dose based on the actual intake of the test item were 198.7 µg product/bumblebee).</w:t>
      </w:r>
    </w:p>
    <w:p w14:paraId="2EF38189" w14:textId="77777777" w:rsidR="00067435" w:rsidRPr="001D7BA8" w:rsidRDefault="00067435" w:rsidP="00067435">
      <w:pPr>
        <w:tabs>
          <w:tab w:val="left" w:pos="720"/>
        </w:tabs>
        <w:spacing w:after="240"/>
        <w:jc w:val="both"/>
        <w:rPr>
          <w:szCs w:val="24"/>
          <w:highlight w:val="yellow"/>
          <w:lang w:val="en-GB"/>
        </w:rPr>
      </w:pPr>
      <w:r w:rsidRPr="009C2EEA">
        <w:rPr>
          <w:lang w:val="en-GB"/>
        </w:rPr>
        <w:t>The oral test comprised a water control group (50 % w/w sugar (syrup) solution (in tap water)) as well as a solvent control group (</w:t>
      </w:r>
      <w:r w:rsidRPr="00276DE8">
        <w:rPr>
          <w:szCs w:val="24"/>
          <w:lang w:val="en-GB"/>
        </w:rPr>
        <w:t>50 % w/v sucrose solution containing 5 % acetone)</w:t>
      </w:r>
      <w:r w:rsidRPr="005072E1">
        <w:rPr>
          <w:lang w:val="en-GB"/>
        </w:rPr>
        <w:t xml:space="preserve">. </w:t>
      </w:r>
      <w:r w:rsidRPr="005072E1">
        <w:rPr>
          <w:szCs w:val="24"/>
          <w:lang w:val="en-GB"/>
        </w:rPr>
        <w:t>As a toxic reference dimethoate (BAS 152 11 I, 400.0 g/L (nominal), 400.9g/L (analytical)) was applied at an actual dose of 4 µg a.s./bee.</w:t>
      </w:r>
    </w:p>
    <w:p w14:paraId="4EBD3983" w14:textId="77777777" w:rsidR="00067435" w:rsidRPr="00AE018C" w:rsidRDefault="00067435" w:rsidP="00067435">
      <w:pPr>
        <w:tabs>
          <w:tab w:val="left" w:pos="720"/>
        </w:tabs>
        <w:spacing w:after="240"/>
        <w:jc w:val="both"/>
        <w:rPr>
          <w:szCs w:val="24"/>
          <w:lang w:val="en-GB"/>
        </w:rPr>
      </w:pPr>
      <w:r w:rsidRPr="00AE018C">
        <w:rPr>
          <w:szCs w:val="24"/>
          <w:u w:val="single"/>
          <w:lang w:val="en-GB"/>
        </w:rPr>
        <w:t>Application in the oral test:</w:t>
      </w:r>
      <w:r w:rsidRPr="00AE018C">
        <w:rPr>
          <w:szCs w:val="24"/>
          <w:lang w:val="en-GB"/>
        </w:rPr>
        <w:t xml:space="preserve"> The test item, reference item and controls were applied </w:t>
      </w:r>
      <w:r w:rsidRPr="00AE018C">
        <w:rPr>
          <w:i/>
          <w:iCs/>
          <w:szCs w:val="24"/>
          <w:lang w:val="en-GB"/>
        </w:rPr>
        <w:t>ad libitum</w:t>
      </w:r>
      <w:r w:rsidRPr="00AE018C">
        <w:rPr>
          <w:szCs w:val="24"/>
          <w:lang w:val="en-GB"/>
        </w:rPr>
        <w:t xml:space="preserve"> in 50 % w/v sucrose solution. The treated food was offered in syringes, which were weighed before and after introduction into the cages. After a maximum of 6 hours, the uptake was complete and the syringes containing the treated food were removed, weighed and replaced by ones containing fresh, untreated food.</w:t>
      </w:r>
    </w:p>
    <w:p w14:paraId="4C544123" w14:textId="77777777" w:rsidR="00067435" w:rsidRPr="00AE018C" w:rsidRDefault="00067435" w:rsidP="00E05ECD">
      <w:pPr>
        <w:numPr>
          <w:ilvl w:val="0"/>
          <w:numId w:val="25"/>
        </w:numPr>
        <w:spacing w:before="240"/>
        <w:ind w:left="284" w:hanging="284"/>
        <w:contextualSpacing/>
        <w:rPr>
          <w:rFonts w:ascii="Times New Roman Bold" w:hAnsi="Times New Roman Bold"/>
          <w:b/>
          <w:bCs/>
          <w:szCs w:val="24"/>
          <w:lang w:val="en-GB"/>
        </w:rPr>
      </w:pPr>
      <w:r w:rsidRPr="00AE018C">
        <w:rPr>
          <w:rFonts w:ascii="Times New Roman Bold" w:hAnsi="Times New Roman Bold"/>
          <w:b/>
          <w:bCs/>
          <w:szCs w:val="24"/>
          <w:lang w:val="en-GB"/>
        </w:rPr>
        <w:t xml:space="preserve">Dose preparation: </w:t>
      </w:r>
    </w:p>
    <w:p w14:paraId="5753C0CB" w14:textId="77777777" w:rsidR="00067435" w:rsidRDefault="00067435" w:rsidP="00067435">
      <w:pPr>
        <w:spacing w:before="240"/>
        <w:contextualSpacing/>
        <w:jc w:val="both"/>
        <w:rPr>
          <w:szCs w:val="24"/>
          <w:lang w:val="x-none"/>
        </w:rPr>
      </w:pPr>
      <w:r w:rsidRPr="00AE018C">
        <w:rPr>
          <w:szCs w:val="24"/>
          <w:lang w:val="x-none"/>
        </w:rPr>
        <w:t>For the test item treatment, Propamocarb-HCL tech. was diluted in 50 % w/v sucrose solution containing 5</w:t>
      </w:r>
      <w:r w:rsidRPr="00276DE8">
        <w:rPr>
          <w:szCs w:val="24"/>
          <w:lang w:val="en-GB"/>
        </w:rPr>
        <w:t> </w:t>
      </w:r>
      <w:r w:rsidRPr="00AE018C">
        <w:rPr>
          <w:szCs w:val="24"/>
          <w:lang w:val="x-none"/>
        </w:rPr>
        <w:t xml:space="preserve">% acetone. </w:t>
      </w:r>
      <w:r w:rsidRPr="00F5124F">
        <w:rPr>
          <w:szCs w:val="24"/>
          <w:lang w:val="x-none"/>
        </w:rPr>
        <w:t>712 mg of the test item were dissolved in 5 ml acetone (stock solution).</w:t>
      </w:r>
      <w:r w:rsidRPr="00276DE8">
        <w:rPr>
          <w:szCs w:val="24"/>
          <w:lang w:val="en-GB"/>
        </w:rPr>
        <w:t xml:space="preserve"> </w:t>
      </w:r>
      <w:r w:rsidRPr="00F5124F">
        <w:rPr>
          <w:szCs w:val="24"/>
          <w:lang w:val="x-none"/>
        </w:rPr>
        <w:t>0.63 ml of the stock solution was added to 9.5 g of 50 % w/v sucrose solution in order to receive the final feeding solution. 40</w:t>
      </w:r>
      <w:r w:rsidRPr="00276DE8">
        <w:rPr>
          <w:szCs w:val="24"/>
          <w:lang w:val="en-GB"/>
        </w:rPr>
        <w:t> </w:t>
      </w:r>
      <w:r w:rsidRPr="00F5124F">
        <w:rPr>
          <w:szCs w:val="24"/>
          <w:lang w:val="x-none"/>
        </w:rPr>
        <w:t>mg of the final feeding solution contained 250 μg of the active ingredient. The 250 μg a.</w:t>
      </w:r>
      <w:r w:rsidRPr="00276DE8">
        <w:rPr>
          <w:szCs w:val="24"/>
          <w:lang w:val="en-GB"/>
        </w:rPr>
        <w:t>s</w:t>
      </w:r>
      <w:r w:rsidRPr="00F5124F">
        <w:rPr>
          <w:szCs w:val="24"/>
          <w:lang w:val="x-none"/>
        </w:rPr>
        <w:t>./bumblebee dose level would be obtained if 40 mg of the final feeding solution per bumblebee were ingested.</w:t>
      </w:r>
      <w:r w:rsidRPr="00276DE8">
        <w:rPr>
          <w:szCs w:val="24"/>
          <w:lang w:val="en-GB"/>
        </w:rPr>
        <w:t xml:space="preserve"> </w:t>
      </w:r>
      <w:r w:rsidRPr="00F5124F">
        <w:rPr>
          <w:szCs w:val="24"/>
          <w:lang w:val="x-none"/>
        </w:rPr>
        <w:t>A mean dose of 198.7 μg a.</w:t>
      </w:r>
      <w:r w:rsidRPr="00276DE8">
        <w:rPr>
          <w:szCs w:val="24"/>
          <w:lang w:val="en-GB"/>
        </w:rPr>
        <w:t>s</w:t>
      </w:r>
      <w:r w:rsidRPr="00F5124F">
        <w:rPr>
          <w:szCs w:val="24"/>
          <w:lang w:val="x-none"/>
        </w:rPr>
        <w:t>./bumblebee was obtained, because the uptake of final feeding solution was not exactly 40 mg per bumblebee.</w:t>
      </w:r>
    </w:p>
    <w:p w14:paraId="431806DC" w14:textId="77777777" w:rsidR="00067435" w:rsidRPr="00AE018C" w:rsidRDefault="00067435" w:rsidP="00067435">
      <w:pPr>
        <w:spacing w:before="240"/>
        <w:contextualSpacing/>
        <w:rPr>
          <w:szCs w:val="24"/>
          <w:lang w:val="x-none"/>
        </w:rPr>
      </w:pPr>
    </w:p>
    <w:p w14:paraId="0BCBFAF8" w14:textId="77777777" w:rsidR="00067435" w:rsidRPr="00AE018C" w:rsidRDefault="00067435" w:rsidP="00E05ECD">
      <w:pPr>
        <w:numPr>
          <w:ilvl w:val="0"/>
          <w:numId w:val="25"/>
        </w:numPr>
        <w:spacing w:before="240"/>
        <w:contextualSpacing/>
        <w:rPr>
          <w:rFonts w:ascii="Times New Roman Bold" w:hAnsi="Times New Roman Bold"/>
          <w:b/>
          <w:bCs/>
          <w:szCs w:val="24"/>
          <w:lang w:val="en-GB"/>
        </w:rPr>
      </w:pPr>
      <w:r w:rsidRPr="00AE018C">
        <w:rPr>
          <w:rFonts w:ascii="Times New Roman Bold" w:hAnsi="Times New Roman Bold"/>
          <w:b/>
          <w:bCs/>
          <w:szCs w:val="24"/>
          <w:lang w:val="en-GB"/>
        </w:rPr>
        <w:t xml:space="preserve">Measurements and observations: </w:t>
      </w:r>
    </w:p>
    <w:p w14:paraId="2B67B5CA" w14:textId="77777777" w:rsidR="00067435" w:rsidRPr="00AE018C" w:rsidRDefault="00067435" w:rsidP="00067435">
      <w:pPr>
        <w:tabs>
          <w:tab w:val="left" w:pos="720"/>
        </w:tabs>
        <w:jc w:val="both"/>
        <w:rPr>
          <w:szCs w:val="24"/>
          <w:lang w:val="en-GB"/>
        </w:rPr>
      </w:pPr>
      <w:r w:rsidRPr="00AE018C">
        <w:rPr>
          <w:szCs w:val="24"/>
          <w:u w:val="single"/>
          <w:lang w:val="en-GB"/>
        </w:rPr>
        <w:t>Biological observations</w:t>
      </w:r>
      <w:r w:rsidRPr="00AE018C">
        <w:rPr>
          <w:szCs w:val="24"/>
          <w:lang w:val="en-GB"/>
        </w:rPr>
        <w:t xml:space="preserve">: </w:t>
      </w:r>
    </w:p>
    <w:p w14:paraId="44B5DAFA" w14:textId="77777777" w:rsidR="00067435" w:rsidRPr="00276DE8" w:rsidRDefault="00067435" w:rsidP="00067435">
      <w:pPr>
        <w:tabs>
          <w:tab w:val="left" w:pos="720"/>
        </w:tabs>
        <w:jc w:val="both"/>
        <w:rPr>
          <w:szCs w:val="24"/>
          <w:lang w:val="en-GB"/>
        </w:rPr>
      </w:pPr>
      <w:r w:rsidRPr="00276DE8">
        <w:rPr>
          <w:szCs w:val="24"/>
          <w:lang w:val="en-GB"/>
        </w:rPr>
        <w:t>After collection from the hive the bumblebees were kept in test units. Care was taken that bumblebee size and variation in size was as similar as technically possible in all treatment groups, by visual inspection. Each bumblebee was weighed individually after anesthetisation with CO</w:t>
      </w:r>
      <w:r w:rsidRPr="00276DE8">
        <w:rPr>
          <w:szCs w:val="24"/>
          <w:vertAlign w:val="subscript"/>
          <w:lang w:val="en-GB"/>
        </w:rPr>
        <w:t>2</w:t>
      </w:r>
      <w:r w:rsidRPr="00276DE8">
        <w:rPr>
          <w:szCs w:val="24"/>
          <w:lang w:val="en-GB"/>
        </w:rPr>
        <w:t>. Each group of bees was observed for moribund, mortality, lethargy and impaired coordination at 4, 24, and 48 hours post-treatment. Bees showing impaired locomotion were counted as affected.</w:t>
      </w:r>
    </w:p>
    <w:p w14:paraId="0F9E856F" w14:textId="77777777" w:rsidR="00067435" w:rsidRPr="00276DE8" w:rsidRDefault="00067435" w:rsidP="00067435">
      <w:pPr>
        <w:tabs>
          <w:tab w:val="left" w:pos="720"/>
        </w:tabs>
        <w:jc w:val="both"/>
        <w:rPr>
          <w:szCs w:val="24"/>
          <w:highlight w:val="yellow"/>
          <w:lang w:val="en-GB"/>
        </w:rPr>
      </w:pPr>
    </w:p>
    <w:p w14:paraId="4F71BA48" w14:textId="77777777" w:rsidR="00067435" w:rsidRPr="00276DE8" w:rsidRDefault="00067435" w:rsidP="00067435">
      <w:pPr>
        <w:tabs>
          <w:tab w:val="left" w:pos="720"/>
        </w:tabs>
        <w:jc w:val="both"/>
        <w:rPr>
          <w:szCs w:val="24"/>
          <w:lang w:val="en-GB"/>
        </w:rPr>
      </w:pPr>
      <w:r w:rsidRPr="00276DE8">
        <w:rPr>
          <w:szCs w:val="24"/>
          <w:u w:val="single"/>
          <w:lang w:val="en-GB"/>
        </w:rPr>
        <w:t>Physicochemical measurements</w:t>
      </w:r>
      <w:r w:rsidRPr="00276DE8">
        <w:rPr>
          <w:szCs w:val="24"/>
          <w:lang w:val="en-GB"/>
        </w:rPr>
        <w:t xml:space="preserve">: </w:t>
      </w:r>
    </w:p>
    <w:p w14:paraId="59043685" w14:textId="77777777" w:rsidR="00067435" w:rsidRPr="00276DE8" w:rsidRDefault="00067435" w:rsidP="00067435">
      <w:pPr>
        <w:tabs>
          <w:tab w:val="left" w:pos="720"/>
          <w:tab w:val="left" w:pos="7890"/>
        </w:tabs>
        <w:jc w:val="both"/>
        <w:rPr>
          <w:szCs w:val="24"/>
          <w:lang w:val="en-GB"/>
        </w:rPr>
      </w:pPr>
      <w:r w:rsidRPr="00AE018C">
        <w:rPr>
          <w:szCs w:val="24"/>
          <w:lang w:val="en-GB"/>
        </w:rPr>
        <w:t>Air</w:t>
      </w:r>
      <w:r w:rsidRPr="00AE018C">
        <w:rPr>
          <w:szCs w:val="24"/>
          <w:lang w:val="x-none"/>
        </w:rPr>
        <w:t xml:space="preserve"> temperature</w:t>
      </w:r>
      <w:r w:rsidRPr="00AE018C">
        <w:rPr>
          <w:szCs w:val="24"/>
          <w:lang w:val="en-GB"/>
        </w:rPr>
        <w:t xml:space="preserve"> and relative humidity were recorded with suitable instruments.</w:t>
      </w:r>
      <w:r w:rsidRPr="00276DE8">
        <w:rPr>
          <w:szCs w:val="24"/>
          <w:lang w:val="en-GB"/>
        </w:rPr>
        <w:t xml:space="preserve"> </w:t>
      </w:r>
    </w:p>
    <w:p w14:paraId="11AC6868" w14:textId="77777777" w:rsidR="00067435" w:rsidRPr="00276DE8" w:rsidRDefault="00067435" w:rsidP="00067435">
      <w:pPr>
        <w:tabs>
          <w:tab w:val="left" w:pos="720"/>
        </w:tabs>
        <w:jc w:val="both"/>
        <w:rPr>
          <w:szCs w:val="24"/>
          <w:highlight w:val="yellow"/>
          <w:lang w:val="en-GB"/>
        </w:rPr>
      </w:pPr>
    </w:p>
    <w:p w14:paraId="1E2E1A53" w14:textId="77777777" w:rsidR="00067435" w:rsidRPr="00F5124F" w:rsidRDefault="00067435" w:rsidP="00E05ECD">
      <w:pPr>
        <w:numPr>
          <w:ilvl w:val="0"/>
          <w:numId w:val="25"/>
        </w:numPr>
        <w:spacing w:before="240"/>
        <w:ind w:left="284" w:hanging="284"/>
        <w:contextualSpacing/>
        <w:rPr>
          <w:rFonts w:ascii="Times New Roman Bold" w:hAnsi="Times New Roman Bold"/>
          <w:b/>
          <w:bCs/>
          <w:szCs w:val="24"/>
          <w:lang w:val="en-GB"/>
        </w:rPr>
      </w:pPr>
      <w:r w:rsidRPr="00F5124F">
        <w:rPr>
          <w:rFonts w:ascii="Times New Roman Bold" w:hAnsi="Times New Roman Bold"/>
          <w:b/>
          <w:bCs/>
          <w:szCs w:val="24"/>
          <w:lang w:val="en-GB"/>
        </w:rPr>
        <w:t xml:space="preserve">Statistical analysis: </w:t>
      </w:r>
    </w:p>
    <w:p w14:paraId="69B4B2FF" w14:textId="77777777" w:rsidR="00067435" w:rsidRDefault="00067435" w:rsidP="00A76A96">
      <w:pPr>
        <w:tabs>
          <w:tab w:val="left" w:pos="720"/>
        </w:tabs>
        <w:spacing w:after="240"/>
        <w:jc w:val="both"/>
        <w:rPr>
          <w:szCs w:val="24"/>
        </w:rPr>
      </w:pPr>
      <w:r w:rsidRPr="00276DE8">
        <w:rPr>
          <w:szCs w:val="24"/>
          <w:lang w:val="en-GB"/>
        </w:rPr>
        <w:t xml:space="preserve">Results obtained from the bumblebees treated with the test item and the reference item were compared to those obtained from the solvent control in the oral test. The NOED was estimated using Fisher Exact Test (pairwise comparison, one-sided greater, </w:t>
      </w:r>
      <w:r w:rsidRPr="00F5124F">
        <w:rPr>
          <w:szCs w:val="24"/>
        </w:rPr>
        <w:t>α</w:t>
      </w:r>
      <w:r w:rsidRPr="00276DE8">
        <w:rPr>
          <w:szCs w:val="24"/>
          <w:lang w:val="en-GB"/>
        </w:rPr>
        <w:t xml:space="preserve"> = 0.05), which is a distribution-free test and does not require testing for normality or homogeneity prior to analysis. </w:t>
      </w:r>
      <w:r w:rsidRPr="00F5124F">
        <w:rPr>
          <w:szCs w:val="24"/>
        </w:rPr>
        <w:t>Satistical analysis was performed using ToxRatPro 2.10.</w:t>
      </w:r>
    </w:p>
    <w:p w14:paraId="5443E077" w14:textId="77777777" w:rsidR="00067435" w:rsidRDefault="00067435" w:rsidP="00067435">
      <w:pPr>
        <w:tabs>
          <w:tab w:val="left" w:pos="720"/>
        </w:tabs>
        <w:spacing w:after="240"/>
        <w:rPr>
          <w:szCs w:val="24"/>
        </w:rPr>
      </w:pPr>
    </w:p>
    <w:p w14:paraId="4B070A6C" w14:textId="77777777" w:rsidR="00067435" w:rsidRPr="00F5124F" w:rsidRDefault="00067435" w:rsidP="008D2927">
      <w:pPr>
        <w:keepNext/>
        <w:keepLines/>
        <w:tabs>
          <w:tab w:val="left" w:pos="720"/>
        </w:tabs>
        <w:spacing w:after="240"/>
        <w:jc w:val="center"/>
        <w:rPr>
          <w:szCs w:val="24"/>
        </w:rPr>
      </w:pPr>
      <w:r>
        <w:rPr>
          <w:rFonts w:ascii="Times New Roman Bold" w:hAnsi="Times New Roman Bold"/>
          <w:b/>
          <w:bCs/>
          <w:caps/>
          <w:szCs w:val="24"/>
          <w:lang w:val="en-GB"/>
        </w:rPr>
        <w:t>III</w:t>
      </w:r>
      <w:r>
        <w:rPr>
          <w:rFonts w:ascii="Times New Roman Bold" w:hAnsi="Times New Roman Bold"/>
          <w:b/>
          <w:bCs/>
          <w:caps/>
          <w:szCs w:val="24"/>
          <w:lang w:val="en-GB"/>
        </w:rPr>
        <w:tab/>
      </w:r>
      <w:r w:rsidRPr="00F5124F">
        <w:rPr>
          <w:rFonts w:ascii="Times New Roman Bold" w:hAnsi="Times New Roman Bold"/>
          <w:b/>
          <w:bCs/>
          <w:caps/>
          <w:szCs w:val="24"/>
          <w:lang w:val="en-GB"/>
        </w:rPr>
        <w:t>Results and Discussion</w:t>
      </w:r>
    </w:p>
    <w:p w14:paraId="6827BF3A" w14:textId="77777777" w:rsidR="00067435" w:rsidRPr="00F5124F" w:rsidRDefault="00067435" w:rsidP="00E05ECD">
      <w:pPr>
        <w:keepNext/>
        <w:keepLines/>
        <w:numPr>
          <w:ilvl w:val="0"/>
          <w:numId w:val="116"/>
        </w:numPr>
        <w:contextualSpacing/>
        <w:rPr>
          <w:b/>
          <w:bCs/>
          <w:caps/>
          <w:szCs w:val="24"/>
          <w:lang w:val="en-GB"/>
        </w:rPr>
      </w:pPr>
      <w:r w:rsidRPr="00F5124F">
        <w:rPr>
          <w:b/>
          <w:bCs/>
          <w:caps/>
          <w:szCs w:val="24"/>
          <w:lang w:val="en-GB"/>
        </w:rPr>
        <w:t>biological effects</w:t>
      </w:r>
    </w:p>
    <w:p w14:paraId="57E006C9" w14:textId="77777777" w:rsidR="00067435" w:rsidRPr="008F7594" w:rsidRDefault="00067435" w:rsidP="00067435">
      <w:pPr>
        <w:keepNext/>
        <w:keepLines/>
        <w:widowControl w:val="0"/>
        <w:spacing w:after="240"/>
        <w:jc w:val="both"/>
        <w:rPr>
          <w:lang w:val="en-GB"/>
        </w:rPr>
      </w:pPr>
      <w:r w:rsidRPr="00F5124F">
        <w:rPr>
          <w:lang w:val="en-GB"/>
        </w:rPr>
        <w:t xml:space="preserve">No mortality occurred in the any of test item groups after 48 hours in the oral toxicity test. No mortality </w:t>
      </w:r>
      <w:r w:rsidRPr="008F7594">
        <w:rPr>
          <w:lang w:val="en-GB"/>
        </w:rPr>
        <w:t>occurred in the controls.</w:t>
      </w:r>
    </w:p>
    <w:p w14:paraId="48712A61" w14:textId="08FA984D" w:rsidR="0072178D" w:rsidRDefault="00067435" w:rsidP="00067435">
      <w:pPr>
        <w:spacing w:after="240"/>
        <w:jc w:val="both"/>
        <w:rPr>
          <w:lang w:val="en-GB"/>
        </w:rPr>
      </w:pPr>
      <w:r w:rsidRPr="008F7594">
        <w:rPr>
          <w:lang w:val="en-GB"/>
        </w:rPr>
        <w:t xml:space="preserve">No </w:t>
      </w:r>
      <w:r w:rsidRPr="007A2FEC">
        <w:rPr>
          <w:lang w:val="en-GB"/>
        </w:rPr>
        <w:t>behavioural effects appeared during the test.</w:t>
      </w:r>
    </w:p>
    <w:p w14:paraId="10B189E8" w14:textId="77777777" w:rsidR="0072178D" w:rsidRDefault="0072178D">
      <w:pPr>
        <w:rPr>
          <w:lang w:val="en-GB"/>
        </w:rPr>
      </w:pPr>
      <w:r>
        <w:rPr>
          <w:lang w:val="en-GB"/>
        </w:rPr>
        <w:br w:type="page"/>
      </w:r>
    </w:p>
    <w:p w14:paraId="3E5CCB93" w14:textId="77777777" w:rsidR="00067435" w:rsidRPr="007A2FEC" w:rsidRDefault="00067435" w:rsidP="00067435">
      <w:pPr>
        <w:spacing w:after="240"/>
        <w:jc w:val="both"/>
        <w:rPr>
          <w:lang w:val="en-GB"/>
        </w:rPr>
      </w:pPr>
    </w:p>
    <w:p w14:paraId="3873B184" w14:textId="325CE11B" w:rsidR="00067435" w:rsidRPr="007A2FEC" w:rsidRDefault="0072178D" w:rsidP="0072178D">
      <w:pPr>
        <w:pStyle w:val="Legenda"/>
        <w:rPr>
          <w:b w:val="0"/>
        </w:rPr>
      </w:pPr>
      <w:r>
        <w:t xml:space="preserve">Table A </w:t>
      </w:r>
      <w:r>
        <w:fldChar w:fldCharType="begin"/>
      </w:r>
      <w:r>
        <w:instrText xml:space="preserve"> SEQ Table_A \* ARABIC </w:instrText>
      </w:r>
      <w:r>
        <w:fldChar w:fldCharType="separate"/>
      </w:r>
      <w:r w:rsidR="006F0F3B">
        <w:rPr>
          <w:noProof/>
        </w:rPr>
        <w:t>46</w:t>
      </w:r>
      <w:r>
        <w:fldChar w:fldCharType="end"/>
      </w:r>
      <w:r w:rsidR="00067435" w:rsidRPr="007A2FEC">
        <w:tab/>
        <w:t xml:space="preserve">Mortality and behaviour of the bees in the oral toxicity test </w:t>
      </w:r>
    </w:p>
    <w:tbl>
      <w:tblPr>
        <w:tblStyle w:val="NormaleTabelle1"/>
        <w:tblW w:w="5000" w:type="pct"/>
        <w:tblInd w:w="0"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433"/>
        <w:gridCol w:w="1906"/>
        <w:gridCol w:w="1209"/>
        <w:gridCol w:w="804"/>
        <w:gridCol w:w="1209"/>
        <w:gridCol w:w="751"/>
        <w:gridCol w:w="1174"/>
        <w:gridCol w:w="858"/>
      </w:tblGrid>
      <w:tr w:rsidR="00067435" w:rsidRPr="007A2FEC" w14:paraId="03CE6F2D" w14:textId="77777777" w:rsidTr="00026175">
        <w:trPr>
          <w:trHeight w:val="290"/>
          <w:tblHeader/>
        </w:trPr>
        <w:tc>
          <w:tcPr>
            <w:tcW w:w="767" w:type="pct"/>
            <w:vMerge w:val="restart"/>
            <w:tcBorders>
              <w:top w:val="single" w:sz="4" w:space="0" w:color="auto"/>
              <w:left w:val="single" w:sz="4" w:space="0" w:color="auto"/>
              <w:bottom w:val="single" w:sz="6" w:space="0" w:color="auto"/>
              <w:right w:val="single" w:sz="4" w:space="0" w:color="auto"/>
            </w:tcBorders>
            <w:vAlign w:val="center"/>
            <w:hideMark/>
          </w:tcPr>
          <w:p w14:paraId="496DEC78" w14:textId="77777777" w:rsidR="00067435" w:rsidRPr="007A2FEC" w:rsidRDefault="00067435" w:rsidP="00026175">
            <w:pPr>
              <w:autoSpaceDE w:val="0"/>
              <w:autoSpaceDN w:val="0"/>
              <w:spacing w:before="60" w:after="60"/>
              <w:ind w:left="57" w:right="57"/>
              <w:rPr>
                <w:b/>
                <w:bCs/>
                <w:color w:val="000000"/>
                <w:szCs w:val="28"/>
                <w:lang w:eastAsia="de-DE"/>
              </w:rPr>
            </w:pPr>
            <w:r w:rsidRPr="007A2FEC">
              <w:rPr>
                <w:b/>
                <w:bCs/>
                <w:color w:val="000000"/>
                <w:szCs w:val="28"/>
                <w:lang w:eastAsia="de-DE"/>
              </w:rPr>
              <w:t xml:space="preserve">Treatment group </w:t>
            </w:r>
          </w:p>
        </w:tc>
        <w:tc>
          <w:tcPr>
            <w:tcW w:w="1020" w:type="pct"/>
            <w:vMerge w:val="restart"/>
            <w:tcBorders>
              <w:top w:val="single" w:sz="4" w:space="0" w:color="auto"/>
              <w:left w:val="single" w:sz="4" w:space="0" w:color="auto"/>
              <w:bottom w:val="single" w:sz="6" w:space="0" w:color="auto"/>
              <w:right w:val="single" w:sz="4" w:space="0" w:color="auto"/>
            </w:tcBorders>
            <w:vAlign w:val="center"/>
            <w:hideMark/>
          </w:tcPr>
          <w:p w14:paraId="1915976E"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 xml:space="preserve">Dosage (consumed) </w:t>
            </w:r>
          </w:p>
          <w:p w14:paraId="6C5F16A6"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(μg a.s./bumblebee)</w:t>
            </w:r>
          </w:p>
        </w:tc>
        <w:tc>
          <w:tcPr>
            <w:tcW w:w="1077" w:type="pct"/>
            <w:gridSpan w:val="2"/>
            <w:tcBorders>
              <w:top w:val="single" w:sz="4" w:space="0" w:color="auto"/>
              <w:left w:val="single" w:sz="4" w:space="0" w:color="auto"/>
              <w:bottom w:val="single" w:sz="4" w:space="0" w:color="auto"/>
              <w:right w:val="single" w:sz="4" w:space="0" w:color="auto"/>
            </w:tcBorders>
            <w:vAlign w:val="center"/>
            <w:hideMark/>
          </w:tcPr>
          <w:p w14:paraId="16F4C748"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After 4 hours</w:t>
            </w:r>
          </w:p>
        </w:tc>
        <w:tc>
          <w:tcPr>
            <w:tcW w:w="1049" w:type="pct"/>
            <w:gridSpan w:val="2"/>
            <w:tcBorders>
              <w:top w:val="single" w:sz="4" w:space="0" w:color="auto"/>
              <w:left w:val="single" w:sz="4" w:space="0" w:color="auto"/>
              <w:bottom w:val="single" w:sz="4" w:space="0" w:color="auto"/>
              <w:right w:val="single" w:sz="4" w:space="0" w:color="auto"/>
            </w:tcBorders>
            <w:vAlign w:val="center"/>
            <w:hideMark/>
          </w:tcPr>
          <w:p w14:paraId="478DDB10"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After 24 hours</w:t>
            </w:r>
          </w:p>
        </w:tc>
        <w:tc>
          <w:tcPr>
            <w:tcW w:w="1087" w:type="pct"/>
            <w:gridSpan w:val="2"/>
            <w:tcBorders>
              <w:top w:val="single" w:sz="4" w:space="0" w:color="auto"/>
              <w:left w:val="single" w:sz="4" w:space="0" w:color="auto"/>
              <w:bottom w:val="single" w:sz="4" w:space="0" w:color="auto"/>
              <w:right w:val="single" w:sz="4" w:space="0" w:color="auto"/>
            </w:tcBorders>
            <w:vAlign w:val="center"/>
            <w:hideMark/>
          </w:tcPr>
          <w:p w14:paraId="2819E0B6"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After 48 hours</w:t>
            </w:r>
          </w:p>
        </w:tc>
      </w:tr>
      <w:tr w:rsidR="00067435" w:rsidRPr="007A2FEC" w14:paraId="5078FD4B" w14:textId="77777777" w:rsidTr="00026175">
        <w:trPr>
          <w:trHeight w:val="462"/>
          <w:tblHeader/>
        </w:trPr>
        <w:tc>
          <w:tcPr>
            <w:tcW w:w="767" w:type="pct"/>
            <w:vMerge/>
            <w:tcBorders>
              <w:top w:val="single" w:sz="4" w:space="0" w:color="auto"/>
              <w:left w:val="single" w:sz="4" w:space="0" w:color="auto"/>
              <w:bottom w:val="single" w:sz="6" w:space="0" w:color="auto"/>
              <w:right w:val="single" w:sz="4" w:space="0" w:color="auto"/>
            </w:tcBorders>
            <w:vAlign w:val="center"/>
            <w:hideMark/>
          </w:tcPr>
          <w:p w14:paraId="218BC8A6" w14:textId="77777777" w:rsidR="00067435" w:rsidRPr="007A2FEC" w:rsidRDefault="00067435" w:rsidP="00026175">
            <w:pPr>
              <w:rPr>
                <w:b/>
                <w:bCs/>
                <w:color w:val="000000"/>
                <w:szCs w:val="28"/>
                <w:lang w:eastAsia="de-DE"/>
              </w:rPr>
            </w:pPr>
          </w:p>
        </w:tc>
        <w:tc>
          <w:tcPr>
            <w:tcW w:w="1020" w:type="pct"/>
            <w:vMerge/>
            <w:tcBorders>
              <w:top w:val="single" w:sz="4" w:space="0" w:color="auto"/>
              <w:left w:val="single" w:sz="4" w:space="0" w:color="auto"/>
              <w:bottom w:val="single" w:sz="6" w:space="0" w:color="auto"/>
              <w:right w:val="single" w:sz="4" w:space="0" w:color="auto"/>
            </w:tcBorders>
            <w:vAlign w:val="center"/>
            <w:hideMark/>
          </w:tcPr>
          <w:p w14:paraId="0A9D3DBB" w14:textId="77777777" w:rsidR="00067435" w:rsidRPr="007A2FEC" w:rsidRDefault="00067435" w:rsidP="00026175">
            <w:pPr>
              <w:rPr>
                <w:b/>
                <w:bCs/>
                <w:color w:val="000000"/>
                <w:szCs w:val="28"/>
                <w:lang w:eastAsia="de-DE"/>
              </w:rPr>
            </w:pPr>
          </w:p>
        </w:tc>
        <w:tc>
          <w:tcPr>
            <w:tcW w:w="647" w:type="pct"/>
            <w:tcBorders>
              <w:top w:val="single" w:sz="6" w:space="0" w:color="auto"/>
              <w:left w:val="single" w:sz="4" w:space="0" w:color="auto"/>
              <w:bottom w:val="single" w:sz="6" w:space="0" w:color="auto"/>
              <w:right w:val="single" w:sz="6" w:space="0" w:color="auto"/>
            </w:tcBorders>
            <w:vAlign w:val="center"/>
            <w:hideMark/>
          </w:tcPr>
          <w:p w14:paraId="4D55F5F7"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Mortality (%)</w:t>
            </w:r>
          </w:p>
        </w:tc>
        <w:tc>
          <w:tcPr>
            <w:tcW w:w="430" w:type="pct"/>
            <w:tcBorders>
              <w:top w:val="single" w:sz="6" w:space="0" w:color="auto"/>
              <w:left w:val="single" w:sz="6" w:space="0" w:color="auto"/>
              <w:right w:val="single" w:sz="6" w:space="0" w:color="auto"/>
            </w:tcBorders>
            <w:vAlign w:val="center"/>
            <w:hideMark/>
          </w:tcPr>
          <w:p w14:paraId="75C9E60F"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BA</w:t>
            </w:r>
          </w:p>
        </w:tc>
        <w:tc>
          <w:tcPr>
            <w:tcW w:w="647" w:type="pct"/>
            <w:tcBorders>
              <w:top w:val="single" w:sz="6" w:space="0" w:color="auto"/>
              <w:left w:val="single" w:sz="6" w:space="0" w:color="auto"/>
              <w:bottom w:val="single" w:sz="6" w:space="0" w:color="auto"/>
              <w:right w:val="single" w:sz="6" w:space="0" w:color="auto"/>
            </w:tcBorders>
            <w:vAlign w:val="center"/>
            <w:hideMark/>
          </w:tcPr>
          <w:p w14:paraId="5D8BCBC7"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Mortality (%)</w:t>
            </w:r>
          </w:p>
        </w:tc>
        <w:tc>
          <w:tcPr>
            <w:tcW w:w="402" w:type="pct"/>
            <w:tcBorders>
              <w:top w:val="single" w:sz="6" w:space="0" w:color="auto"/>
              <w:left w:val="single" w:sz="6" w:space="0" w:color="auto"/>
              <w:right w:val="single" w:sz="6" w:space="0" w:color="auto"/>
            </w:tcBorders>
            <w:vAlign w:val="center"/>
            <w:hideMark/>
          </w:tcPr>
          <w:p w14:paraId="571574B9"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BA</w:t>
            </w:r>
          </w:p>
        </w:tc>
        <w:tc>
          <w:tcPr>
            <w:tcW w:w="628" w:type="pct"/>
            <w:tcBorders>
              <w:top w:val="single" w:sz="6" w:space="0" w:color="auto"/>
              <w:left w:val="single" w:sz="6" w:space="0" w:color="auto"/>
              <w:bottom w:val="single" w:sz="6" w:space="0" w:color="auto"/>
              <w:right w:val="single" w:sz="6" w:space="0" w:color="auto"/>
            </w:tcBorders>
            <w:vAlign w:val="center"/>
            <w:hideMark/>
          </w:tcPr>
          <w:p w14:paraId="6D2BB878"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Mortality (%)</w:t>
            </w:r>
          </w:p>
        </w:tc>
        <w:tc>
          <w:tcPr>
            <w:tcW w:w="459" w:type="pct"/>
            <w:tcBorders>
              <w:top w:val="single" w:sz="6" w:space="0" w:color="auto"/>
              <w:left w:val="single" w:sz="6" w:space="0" w:color="auto"/>
              <w:right w:val="single" w:sz="2" w:space="0" w:color="auto"/>
            </w:tcBorders>
            <w:vAlign w:val="center"/>
            <w:hideMark/>
          </w:tcPr>
          <w:p w14:paraId="4150B693" w14:textId="77777777" w:rsidR="00067435" w:rsidRPr="007A2FEC" w:rsidRDefault="00067435" w:rsidP="00026175">
            <w:pPr>
              <w:autoSpaceDE w:val="0"/>
              <w:autoSpaceDN w:val="0"/>
              <w:spacing w:before="60" w:after="60"/>
              <w:ind w:left="57" w:right="57"/>
              <w:jc w:val="center"/>
              <w:rPr>
                <w:b/>
                <w:bCs/>
                <w:color w:val="000000"/>
                <w:szCs w:val="28"/>
                <w:lang w:eastAsia="de-DE"/>
              </w:rPr>
            </w:pPr>
            <w:r w:rsidRPr="007A2FEC">
              <w:rPr>
                <w:b/>
                <w:bCs/>
                <w:color w:val="000000"/>
                <w:szCs w:val="28"/>
                <w:lang w:eastAsia="de-DE"/>
              </w:rPr>
              <w:t>BA</w:t>
            </w:r>
          </w:p>
        </w:tc>
      </w:tr>
      <w:tr w:rsidR="00067435" w:rsidRPr="007A2FEC" w14:paraId="60970196" w14:textId="77777777" w:rsidTr="00026175">
        <w:tc>
          <w:tcPr>
            <w:tcW w:w="767" w:type="pct"/>
            <w:vMerge w:val="restart"/>
            <w:tcBorders>
              <w:top w:val="single" w:sz="6" w:space="0" w:color="auto"/>
              <w:left w:val="single" w:sz="2" w:space="0" w:color="auto"/>
              <w:right w:val="single" w:sz="6" w:space="0" w:color="auto"/>
            </w:tcBorders>
            <w:vAlign w:val="center"/>
            <w:hideMark/>
          </w:tcPr>
          <w:p w14:paraId="4C9A028F" w14:textId="77777777" w:rsidR="00067435" w:rsidRPr="007A2FEC" w:rsidRDefault="00067435" w:rsidP="00026175">
            <w:pPr>
              <w:autoSpaceDE w:val="0"/>
              <w:autoSpaceDN w:val="0"/>
              <w:spacing w:before="60" w:after="60"/>
              <w:ind w:left="57" w:right="57"/>
              <w:rPr>
                <w:bCs/>
                <w:color w:val="000000"/>
                <w:szCs w:val="28"/>
                <w:lang w:eastAsia="de-DE"/>
              </w:rPr>
            </w:pPr>
            <w:r w:rsidRPr="007A2FEC">
              <w:rPr>
                <w:bCs/>
                <w:color w:val="000000"/>
                <w:szCs w:val="28"/>
                <w:lang w:eastAsia="de-DE"/>
              </w:rPr>
              <w:t>Control</w:t>
            </w:r>
          </w:p>
        </w:tc>
        <w:tc>
          <w:tcPr>
            <w:tcW w:w="1020" w:type="pct"/>
            <w:tcBorders>
              <w:top w:val="single" w:sz="6" w:space="0" w:color="auto"/>
              <w:left w:val="single" w:sz="6" w:space="0" w:color="auto"/>
              <w:bottom w:val="single" w:sz="6" w:space="0" w:color="auto"/>
              <w:right w:val="single" w:sz="6" w:space="0" w:color="auto"/>
            </w:tcBorders>
            <w:vAlign w:val="center"/>
            <w:hideMark/>
          </w:tcPr>
          <w:p w14:paraId="4B60F965"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Water</w:t>
            </w:r>
          </w:p>
        </w:tc>
        <w:tc>
          <w:tcPr>
            <w:tcW w:w="647" w:type="pct"/>
            <w:tcBorders>
              <w:top w:val="single" w:sz="6" w:space="0" w:color="auto"/>
              <w:left w:val="single" w:sz="6" w:space="0" w:color="auto"/>
              <w:bottom w:val="single" w:sz="6" w:space="0" w:color="auto"/>
              <w:right w:val="single" w:sz="6" w:space="0" w:color="auto"/>
            </w:tcBorders>
            <w:vAlign w:val="center"/>
            <w:hideMark/>
          </w:tcPr>
          <w:p w14:paraId="624C828A"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30" w:type="pct"/>
            <w:tcBorders>
              <w:top w:val="single" w:sz="6" w:space="0" w:color="auto"/>
              <w:left w:val="single" w:sz="6" w:space="0" w:color="auto"/>
              <w:bottom w:val="single" w:sz="6" w:space="0" w:color="auto"/>
              <w:right w:val="single" w:sz="6" w:space="0" w:color="auto"/>
            </w:tcBorders>
            <w:vAlign w:val="center"/>
            <w:hideMark/>
          </w:tcPr>
          <w:p w14:paraId="2C38C2B9"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47" w:type="pct"/>
            <w:tcBorders>
              <w:top w:val="single" w:sz="6" w:space="0" w:color="auto"/>
              <w:left w:val="single" w:sz="6" w:space="0" w:color="auto"/>
              <w:bottom w:val="single" w:sz="6" w:space="0" w:color="auto"/>
              <w:right w:val="single" w:sz="6" w:space="0" w:color="auto"/>
            </w:tcBorders>
            <w:vAlign w:val="center"/>
            <w:hideMark/>
          </w:tcPr>
          <w:p w14:paraId="1892FDD7"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02" w:type="pct"/>
            <w:tcBorders>
              <w:top w:val="single" w:sz="6" w:space="0" w:color="auto"/>
              <w:left w:val="single" w:sz="6" w:space="0" w:color="auto"/>
              <w:bottom w:val="single" w:sz="6" w:space="0" w:color="auto"/>
              <w:right w:val="single" w:sz="6" w:space="0" w:color="auto"/>
            </w:tcBorders>
            <w:vAlign w:val="center"/>
            <w:hideMark/>
          </w:tcPr>
          <w:p w14:paraId="5A20D148"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28" w:type="pct"/>
            <w:tcBorders>
              <w:top w:val="single" w:sz="6" w:space="0" w:color="auto"/>
              <w:left w:val="single" w:sz="6" w:space="0" w:color="auto"/>
              <w:bottom w:val="single" w:sz="6" w:space="0" w:color="auto"/>
              <w:right w:val="single" w:sz="6" w:space="0" w:color="auto"/>
            </w:tcBorders>
            <w:vAlign w:val="center"/>
            <w:hideMark/>
          </w:tcPr>
          <w:p w14:paraId="3809AF7E"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59" w:type="pct"/>
            <w:tcBorders>
              <w:top w:val="single" w:sz="6" w:space="0" w:color="auto"/>
              <w:left w:val="single" w:sz="6" w:space="0" w:color="auto"/>
              <w:bottom w:val="single" w:sz="6" w:space="0" w:color="auto"/>
              <w:right w:val="single" w:sz="2" w:space="0" w:color="auto"/>
            </w:tcBorders>
            <w:vAlign w:val="center"/>
            <w:hideMark/>
          </w:tcPr>
          <w:p w14:paraId="669E43AC"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r>
      <w:tr w:rsidR="00067435" w:rsidRPr="007A2FEC" w14:paraId="451FCD56" w14:textId="77777777" w:rsidTr="00026175">
        <w:tc>
          <w:tcPr>
            <w:tcW w:w="767" w:type="pct"/>
            <w:vMerge/>
            <w:tcBorders>
              <w:left w:val="single" w:sz="2" w:space="0" w:color="auto"/>
              <w:bottom w:val="single" w:sz="6" w:space="0" w:color="auto"/>
              <w:right w:val="single" w:sz="6" w:space="0" w:color="auto"/>
            </w:tcBorders>
            <w:vAlign w:val="center"/>
          </w:tcPr>
          <w:p w14:paraId="1C24CB1C" w14:textId="77777777" w:rsidR="00067435" w:rsidRPr="007A2FEC" w:rsidRDefault="00067435" w:rsidP="00026175">
            <w:pPr>
              <w:autoSpaceDE w:val="0"/>
              <w:autoSpaceDN w:val="0"/>
              <w:spacing w:before="60" w:after="60"/>
              <w:ind w:left="57" w:right="57"/>
              <w:rPr>
                <w:bCs/>
                <w:color w:val="000000"/>
                <w:szCs w:val="28"/>
                <w:lang w:eastAsia="de-DE"/>
              </w:rPr>
            </w:pPr>
          </w:p>
        </w:tc>
        <w:tc>
          <w:tcPr>
            <w:tcW w:w="1020" w:type="pct"/>
            <w:tcBorders>
              <w:top w:val="single" w:sz="6" w:space="0" w:color="auto"/>
              <w:left w:val="single" w:sz="6" w:space="0" w:color="auto"/>
              <w:bottom w:val="single" w:sz="6" w:space="0" w:color="auto"/>
              <w:right w:val="single" w:sz="6" w:space="0" w:color="auto"/>
            </w:tcBorders>
            <w:vAlign w:val="center"/>
          </w:tcPr>
          <w:p w14:paraId="4A90AF10"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solvent</w:t>
            </w:r>
          </w:p>
        </w:tc>
        <w:tc>
          <w:tcPr>
            <w:tcW w:w="647" w:type="pct"/>
            <w:tcBorders>
              <w:top w:val="single" w:sz="6" w:space="0" w:color="auto"/>
              <w:left w:val="single" w:sz="6" w:space="0" w:color="auto"/>
              <w:bottom w:val="single" w:sz="6" w:space="0" w:color="auto"/>
              <w:right w:val="single" w:sz="6" w:space="0" w:color="auto"/>
            </w:tcBorders>
            <w:vAlign w:val="center"/>
          </w:tcPr>
          <w:p w14:paraId="2B98D400"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30" w:type="pct"/>
            <w:tcBorders>
              <w:top w:val="single" w:sz="6" w:space="0" w:color="auto"/>
              <w:left w:val="single" w:sz="6" w:space="0" w:color="auto"/>
              <w:bottom w:val="single" w:sz="6" w:space="0" w:color="auto"/>
              <w:right w:val="single" w:sz="6" w:space="0" w:color="auto"/>
            </w:tcBorders>
            <w:vAlign w:val="center"/>
          </w:tcPr>
          <w:p w14:paraId="2109E004"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47" w:type="pct"/>
            <w:tcBorders>
              <w:top w:val="single" w:sz="6" w:space="0" w:color="auto"/>
              <w:left w:val="single" w:sz="6" w:space="0" w:color="auto"/>
              <w:bottom w:val="single" w:sz="6" w:space="0" w:color="auto"/>
              <w:right w:val="single" w:sz="6" w:space="0" w:color="auto"/>
            </w:tcBorders>
            <w:vAlign w:val="center"/>
          </w:tcPr>
          <w:p w14:paraId="12E3AF08"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02" w:type="pct"/>
            <w:tcBorders>
              <w:top w:val="single" w:sz="6" w:space="0" w:color="auto"/>
              <w:left w:val="single" w:sz="6" w:space="0" w:color="auto"/>
              <w:bottom w:val="single" w:sz="6" w:space="0" w:color="auto"/>
              <w:right w:val="single" w:sz="6" w:space="0" w:color="auto"/>
            </w:tcBorders>
            <w:vAlign w:val="center"/>
          </w:tcPr>
          <w:p w14:paraId="43BE7483"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28" w:type="pct"/>
            <w:tcBorders>
              <w:top w:val="single" w:sz="6" w:space="0" w:color="auto"/>
              <w:left w:val="single" w:sz="6" w:space="0" w:color="auto"/>
              <w:bottom w:val="single" w:sz="6" w:space="0" w:color="auto"/>
              <w:right w:val="single" w:sz="6" w:space="0" w:color="auto"/>
            </w:tcBorders>
            <w:vAlign w:val="center"/>
          </w:tcPr>
          <w:p w14:paraId="7C889EAD"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59" w:type="pct"/>
            <w:tcBorders>
              <w:top w:val="single" w:sz="6" w:space="0" w:color="auto"/>
              <w:left w:val="single" w:sz="6" w:space="0" w:color="auto"/>
              <w:bottom w:val="single" w:sz="6" w:space="0" w:color="auto"/>
              <w:right w:val="single" w:sz="2" w:space="0" w:color="auto"/>
            </w:tcBorders>
            <w:vAlign w:val="center"/>
          </w:tcPr>
          <w:p w14:paraId="203C51EE"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r>
      <w:tr w:rsidR="00067435" w:rsidRPr="007A2FEC" w14:paraId="71085581" w14:textId="77777777" w:rsidTr="00026175">
        <w:tc>
          <w:tcPr>
            <w:tcW w:w="767" w:type="pct"/>
            <w:tcBorders>
              <w:top w:val="single" w:sz="6" w:space="0" w:color="auto"/>
              <w:left w:val="single" w:sz="2" w:space="0" w:color="auto"/>
              <w:bottom w:val="single" w:sz="6" w:space="0" w:color="auto"/>
              <w:right w:val="single" w:sz="6" w:space="0" w:color="auto"/>
            </w:tcBorders>
            <w:vAlign w:val="center"/>
            <w:hideMark/>
          </w:tcPr>
          <w:p w14:paraId="701526B8" w14:textId="77777777" w:rsidR="00067435" w:rsidRPr="007A2FEC" w:rsidRDefault="00067435" w:rsidP="00026175">
            <w:pPr>
              <w:autoSpaceDE w:val="0"/>
              <w:autoSpaceDN w:val="0"/>
              <w:spacing w:before="60" w:after="60"/>
              <w:ind w:left="57" w:right="57"/>
              <w:rPr>
                <w:bCs/>
                <w:color w:val="000000"/>
                <w:szCs w:val="28"/>
                <w:lang w:eastAsia="de-DE"/>
              </w:rPr>
            </w:pPr>
            <w:r w:rsidRPr="007A2FEC">
              <w:rPr>
                <w:bCs/>
                <w:color w:val="000000"/>
                <w:szCs w:val="28"/>
                <w:lang w:eastAsia="de-DE"/>
              </w:rPr>
              <w:t>Propamocarb</w:t>
            </w:r>
          </w:p>
        </w:tc>
        <w:tc>
          <w:tcPr>
            <w:tcW w:w="1020" w:type="pct"/>
            <w:tcBorders>
              <w:top w:val="single" w:sz="6" w:space="0" w:color="auto"/>
              <w:left w:val="single" w:sz="6" w:space="0" w:color="auto"/>
              <w:bottom w:val="single" w:sz="6" w:space="0" w:color="auto"/>
              <w:right w:val="single" w:sz="6" w:space="0" w:color="auto"/>
            </w:tcBorders>
            <w:vAlign w:val="center"/>
            <w:hideMark/>
          </w:tcPr>
          <w:p w14:paraId="767B4FCF"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rPr>
              <w:t>198.7</w:t>
            </w:r>
          </w:p>
        </w:tc>
        <w:tc>
          <w:tcPr>
            <w:tcW w:w="647" w:type="pct"/>
            <w:tcBorders>
              <w:top w:val="single" w:sz="6" w:space="0" w:color="auto"/>
              <w:left w:val="single" w:sz="6" w:space="0" w:color="auto"/>
              <w:bottom w:val="single" w:sz="6" w:space="0" w:color="auto"/>
              <w:right w:val="single" w:sz="6" w:space="0" w:color="auto"/>
            </w:tcBorders>
            <w:vAlign w:val="center"/>
            <w:hideMark/>
          </w:tcPr>
          <w:p w14:paraId="73B1B8D9"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30" w:type="pct"/>
            <w:tcBorders>
              <w:top w:val="single" w:sz="6" w:space="0" w:color="auto"/>
              <w:left w:val="single" w:sz="6" w:space="0" w:color="auto"/>
              <w:bottom w:val="single" w:sz="6" w:space="0" w:color="auto"/>
              <w:right w:val="single" w:sz="6" w:space="0" w:color="auto"/>
            </w:tcBorders>
            <w:vAlign w:val="center"/>
            <w:hideMark/>
          </w:tcPr>
          <w:p w14:paraId="040D5865"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47" w:type="pct"/>
            <w:tcBorders>
              <w:top w:val="single" w:sz="6" w:space="0" w:color="auto"/>
              <w:left w:val="single" w:sz="6" w:space="0" w:color="auto"/>
              <w:bottom w:val="single" w:sz="6" w:space="0" w:color="auto"/>
              <w:right w:val="single" w:sz="6" w:space="0" w:color="auto"/>
            </w:tcBorders>
            <w:vAlign w:val="center"/>
            <w:hideMark/>
          </w:tcPr>
          <w:p w14:paraId="0F04BC0A"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02" w:type="pct"/>
            <w:tcBorders>
              <w:top w:val="single" w:sz="6" w:space="0" w:color="auto"/>
              <w:left w:val="single" w:sz="6" w:space="0" w:color="auto"/>
              <w:bottom w:val="single" w:sz="6" w:space="0" w:color="auto"/>
              <w:right w:val="single" w:sz="6" w:space="0" w:color="auto"/>
            </w:tcBorders>
            <w:vAlign w:val="center"/>
            <w:hideMark/>
          </w:tcPr>
          <w:p w14:paraId="43AE7897"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28" w:type="pct"/>
            <w:tcBorders>
              <w:top w:val="single" w:sz="6" w:space="0" w:color="auto"/>
              <w:left w:val="single" w:sz="6" w:space="0" w:color="auto"/>
              <w:bottom w:val="single" w:sz="6" w:space="0" w:color="auto"/>
              <w:right w:val="single" w:sz="6" w:space="0" w:color="auto"/>
            </w:tcBorders>
            <w:vAlign w:val="center"/>
            <w:hideMark/>
          </w:tcPr>
          <w:p w14:paraId="17551219"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59" w:type="pct"/>
            <w:tcBorders>
              <w:top w:val="single" w:sz="6" w:space="0" w:color="auto"/>
              <w:left w:val="single" w:sz="6" w:space="0" w:color="auto"/>
              <w:bottom w:val="single" w:sz="6" w:space="0" w:color="auto"/>
              <w:right w:val="single" w:sz="2" w:space="0" w:color="auto"/>
            </w:tcBorders>
            <w:vAlign w:val="center"/>
            <w:hideMark/>
          </w:tcPr>
          <w:p w14:paraId="35A4095F"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r>
      <w:tr w:rsidR="00067435" w:rsidRPr="007A2FEC" w14:paraId="62D6129D" w14:textId="77777777" w:rsidTr="00026175">
        <w:tc>
          <w:tcPr>
            <w:tcW w:w="767" w:type="pct"/>
            <w:tcBorders>
              <w:top w:val="single" w:sz="6" w:space="0" w:color="auto"/>
              <w:left w:val="single" w:sz="2" w:space="0" w:color="auto"/>
              <w:bottom w:val="single" w:sz="2" w:space="0" w:color="auto"/>
              <w:right w:val="single" w:sz="6" w:space="0" w:color="auto"/>
            </w:tcBorders>
            <w:vAlign w:val="center"/>
            <w:hideMark/>
          </w:tcPr>
          <w:p w14:paraId="67C52774" w14:textId="77777777" w:rsidR="00067435" w:rsidRPr="007A2FEC" w:rsidRDefault="00067435" w:rsidP="00026175">
            <w:pPr>
              <w:autoSpaceDE w:val="0"/>
              <w:autoSpaceDN w:val="0"/>
              <w:spacing w:before="60" w:after="60"/>
              <w:ind w:left="57" w:right="57"/>
              <w:rPr>
                <w:bCs/>
                <w:color w:val="000000"/>
                <w:szCs w:val="28"/>
                <w:lang w:eastAsia="de-DE"/>
              </w:rPr>
            </w:pPr>
            <w:r w:rsidRPr="007A2FEC">
              <w:rPr>
                <w:bCs/>
                <w:color w:val="000000"/>
                <w:szCs w:val="28"/>
                <w:lang w:eastAsia="de-DE"/>
              </w:rPr>
              <w:t>Reference item</w:t>
            </w:r>
          </w:p>
        </w:tc>
        <w:tc>
          <w:tcPr>
            <w:tcW w:w="1020" w:type="pct"/>
            <w:tcBorders>
              <w:top w:val="single" w:sz="6" w:space="0" w:color="auto"/>
              <w:left w:val="single" w:sz="6" w:space="0" w:color="auto"/>
              <w:bottom w:val="single" w:sz="6" w:space="0" w:color="auto"/>
              <w:right w:val="single" w:sz="6" w:space="0" w:color="auto"/>
            </w:tcBorders>
            <w:vAlign w:val="center"/>
            <w:hideMark/>
          </w:tcPr>
          <w:p w14:paraId="11877512"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rPr>
              <w:t>2.4</w:t>
            </w:r>
          </w:p>
        </w:tc>
        <w:tc>
          <w:tcPr>
            <w:tcW w:w="647" w:type="pct"/>
            <w:tcBorders>
              <w:top w:val="single" w:sz="6" w:space="0" w:color="auto"/>
              <w:left w:val="single" w:sz="6" w:space="0" w:color="auto"/>
              <w:bottom w:val="single" w:sz="6" w:space="0" w:color="auto"/>
              <w:right w:val="single" w:sz="6" w:space="0" w:color="auto"/>
            </w:tcBorders>
            <w:vAlign w:val="center"/>
            <w:hideMark/>
          </w:tcPr>
          <w:p w14:paraId="14A2E48C"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0.0</w:t>
            </w:r>
          </w:p>
        </w:tc>
        <w:tc>
          <w:tcPr>
            <w:tcW w:w="430" w:type="pct"/>
            <w:tcBorders>
              <w:top w:val="single" w:sz="6" w:space="0" w:color="auto"/>
              <w:left w:val="single" w:sz="6" w:space="0" w:color="auto"/>
              <w:bottom w:val="single" w:sz="6" w:space="0" w:color="auto"/>
              <w:right w:val="single" w:sz="6" w:space="0" w:color="auto"/>
            </w:tcBorders>
            <w:vAlign w:val="center"/>
            <w:hideMark/>
          </w:tcPr>
          <w:p w14:paraId="48267A64"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20</w:t>
            </w:r>
          </w:p>
        </w:tc>
        <w:tc>
          <w:tcPr>
            <w:tcW w:w="647" w:type="pct"/>
            <w:tcBorders>
              <w:top w:val="single" w:sz="6" w:space="0" w:color="auto"/>
              <w:left w:val="single" w:sz="6" w:space="0" w:color="auto"/>
              <w:bottom w:val="single" w:sz="6" w:space="0" w:color="auto"/>
              <w:right w:val="single" w:sz="6" w:space="0" w:color="auto"/>
            </w:tcBorders>
            <w:vAlign w:val="center"/>
            <w:hideMark/>
          </w:tcPr>
          <w:p w14:paraId="07323CA0"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60.0</w:t>
            </w:r>
          </w:p>
        </w:tc>
        <w:tc>
          <w:tcPr>
            <w:tcW w:w="402" w:type="pct"/>
            <w:tcBorders>
              <w:top w:val="single" w:sz="6" w:space="0" w:color="auto"/>
              <w:left w:val="single" w:sz="6" w:space="0" w:color="auto"/>
              <w:bottom w:val="single" w:sz="6" w:space="0" w:color="auto"/>
              <w:right w:val="single" w:sz="6" w:space="0" w:color="auto"/>
            </w:tcBorders>
            <w:vAlign w:val="center"/>
            <w:hideMark/>
          </w:tcPr>
          <w:p w14:paraId="2D4C87FD"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c>
          <w:tcPr>
            <w:tcW w:w="628" w:type="pct"/>
            <w:tcBorders>
              <w:top w:val="single" w:sz="6" w:space="0" w:color="auto"/>
              <w:left w:val="single" w:sz="6" w:space="0" w:color="auto"/>
              <w:bottom w:val="single" w:sz="6" w:space="0" w:color="auto"/>
              <w:right w:val="single" w:sz="6" w:space="0" w:color="auto"/>
            </w:tcBorders>
            <w:vAlign w:val="center"/>
            <w:hideMark/>
          </w:tcPr>
          <w:p w14:paraId="6C09C1C9"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60.0</w:t>
            </w:r>
          </w:p>
        </w:tc>
        <w:tc>
          <w:tcPr>
            <w:tcW w:w="459" w:type="pct"/>
            <w:tcBorders>
              <w:top w:val="single" w:sz="6" w:space="0" w:color="auto"/>
              <w:left w:val="single" w:sz="6" w:space="0" w:color="auto"/>
              <w:bottom w:val="single" w:sz="6" w:space="0" w:color="auto"/>
              <w:right w:val="single" w:sz="2" w:space="0" w:color="auto"/>
            </w:tcBorders>
            <w:vAlign w:val="center"/>
            <w:hideMark/>
          </w:tcPr>
          <w:p w14:paraId="4D5C23CB" w14:textId="77777777" w:rsidR="00067435" w:rsidRPr="007A2FEC" w:rsidRDefault="00067435" w:rsidP="00026175">
            <w:pPr>
              <w:autoSpaceDE w:val="0"/>
              <w:autoSpaceDN w:val="0"/>
              <w:spacing w:before="60" w:after="60"/>
              <w:ind w:left="57" w:right="57"/>
              <w:jc w:val="center"/>
              <w:rPr>
                <w:bCs/>
                <w:color w:val="000000"/>
                <w:szCs w:val="28"/>
                <w:lang w:eastAsia="de-DE"/>
              </w:rPr>
            </w:pPr>
            <w:r w:rsidRPr="007A2FEC">
              <w:rPr>
                <w:bCs/>
                <w:color w:val="000000"/>
                <w:lang w:eastAsia="de-DE"/>
              </w:rPr>
              <w:t>0</w:t>
            </w:r>
          </w:p>
        </w:tc>
      </w:tr>
    </w:tbl>
    <w:p w14:paraId="4994F224" w14:textId="77777777" w:rsidR="00067435" w:rsidRPr="007A2FEC" w:rsidRDefault="00067435" w:rsidP="00067435">
      <w:pPr>
        <w:widowControl w:val="0"/>
        <w:jc w:val="both"/>
        <w:rPr>
          <w:sz w:val="18"/>
          <w:lang w:val="en-GB"/>
        </w:rPr>
      </w:pPr>
      <w:r w:rsidRPr="007A2FEC">
        <w:rPr>
          <w:sz w:val="18"/>
          <w:lang w:val="en-GB"/>
        </w:rPr>
        <w:t>BA</w:t>
      </w:r>
      <w:r w:rsidRPr="007A2FEC">
        <w:rPr>
          <w:sz w:val="18"/>
          <w:lang w:val="en-GB"/>
        </w:rPr>
        <w:tab/>
        <w:t>Behavioural abnormalities</w:t>
      </w:r>
    </w:p>
    <w:p w14:paraId="721A3880" w14:textId="77777777" w:rsidR="00067435" w:rsidRPr="007A2FEC" w:rsidRDefault="00067435" w:rsidP="00067435">
      <w:pPr>
        <w:spacing w:after="240"/>
        <w:jc w:val="both"/>
        <w:rPr>
          <w:color w:val="000000"/>
          <w:lang w:val="en-GB"/>
        </w:rPr>
      </w:pPr>
    </w:p>
    <w:p w14:paraId="72F67624" w14:textId="77777777" w:rsidR="00067435" w:rsidRPr="007A2FEC" w:rsidRDefault="00067435" w:rsidP="00E05ECD">
      <w:pPr>
        <w:numPr>
          <w:ilvl w:val="0"/>
          <w:numId w:val="116"/>
        </w:numPr>
        <w:ind w:left="284" w:hanging="284"/>
        <w:contextualSpacing/>
        <w:rPr>
          <w:rFonts w:ascii="Times New Roman Bold" w:hAnsi="Times New Roman Bold"/>
          <w:b/>
          <w:bCs/>
          <w:caps/>
          <w:szCs w:val="24"/>
          <w:lang w:val="en-GB"/>
        </w:rPr>
      </w:pPr>
      <w:r w:rsidRPr="007A2FEC">
        <w:rPr>
          <w:b/>
          <w:bCs/>
          <w:caps/>
          <w:szCs w:val="24"/>
          <w:lang w:val="en-GB"/>
        </w:rPr>
        <w:t>VALIDITY</w:t>
      </w:r>
      <w:r w:rsidRPr="007A2FEC">
        <w:rPr>
          <w:rFonts w:ascii="Times New Roman Bold" w:hAnsi="Times New Roman Bold"/>
          <w:b/>
          <w:bCs/>
          <w:caps/>
          <w:szCs w:val="24"/>
          <w:lang w:val="en-GB"/>
        </w:rPr>
        <w:t xml:space="preserve"> CRITERIA</w:t>
      </w:r>
    </w:p>
    <w:p w14:paraId="741F35CA" w14:textId="77777777" w:rsidR="00067435" w:rsidRPr="007A2FEC" w:rsidRDefault="00067435" w:rsidP="00067435">
      <w:pPr>
        <w:tabs>
          <w:tab w:val="left" w:pos="709"/>
        </w:tabs>
        <w:spacing w:after="240"/>
        <w:contextualSpacing/>
        <w:jc w:val="both"/>
        <w:rPr>
          <w:szCs w:val="24"/>
          <w:lang w:val="en-GB"/>
        </w:rPr>
      </w:pPr>
      <w:r w:rsidRPr="007A2FEC">
        <w:rPr>
          <w:szCs w:val="24"/>
          <w:lang w:val="en-GB"/>
        </w:rPr>
        <w:t>All validity criteria were met.</w:t>
      </w:r>
    </w:p>
    <w:p w14:paraId="6C5F8A2E" w14:textId="77777777" w:rsidR="00067435" w:rsidRPr="007A2FEC" w:rsidRDefault="00067435" w:rsidP="00067435">
      <w:pPr>
        <w:tabs>
          <w:tab w:val="left" w:pos="709"/>
        </w:tabs>
        <w:spacing w:after="240"/>
        <w:contextualSpacing/>
        <w:jc w:val="both"/>
        <w:rPr>
          <w:b/>
          <w:bCs/>
          <w:color w:val="000000"/>
          <w:lang w:val="en-GB"/>
        </w:rPr>
      </w:pPr>
    </w:p>
    <w:p w14:paraId="2844F408" w14:textId="22E0CFF6" w:rsidR="00067435" w:rsidRPr="007A2FEC" w:rsidRDefault="0072178D" w:rsidP="0072178D">
      <w:pPr>
        <w:pStyle w:val="Legenda"/>
        <w:rPr>
          <w:b w:val="0"/>
          <w:bCs w:val="0"/>
          <w:color w:val="000000"/>
        </w:rPr>
      </w:pPr>
      <w:r>
        <w:t xml:space="preserve">Table A </w:t>
      </w:r>
      <w:r>
        <w:fldChar w:fldCharType="begin"/>
      </w:r>
      <w:r>
        <w:instrText xml:space="preserve"> SEQ Table_A \* ARABIC </w:instrText>
      </w:r>
      <w:r>
        <w:fldChar w:fldCharType="separate"/>
      </w:r>
      <w:r w:rsidR="006F0F3B">
        <w:rPr>
          <w:noProof/>
        </w:rPr>
        <w:t>47</w:t>
      </w:r>
      <w:r>
        <w:fldChar w:fldCharType="end"/>
      </w:r>
      <w:r w:rsidR="00067435" w:rsidRPr="007A2FEC">
        <w:rPr>
          <w:color w:val="000000"/>
        </w:rPr>
        <w:tab/>
        <w:t>Validity criteria according to OECD 247 (2017)</w:t>
      </w:r>
    </w:p>
    <w:tbl>
      <w:tblPr>
        <w:tblStyle w:val="TableGrid1"/>
        <w:tblW w:w="9360" w:type="dxa"/>
        <w:tblLayout w:type="fixed"/>
        <w:tblLook w:val="04A0" w:firstRow="1" w:lastRow="0" w:firstColumn="1" w:lastColumn="0" w:noHBand="0" w:noVBand="1"/>
      </w:tblPr>
      <w:tblGrid>
        <w:gridCol w:w="1701"/>
        <w:gridCol w:w="1174"/>
        <w:gridCol w:w="2700"/>
        <w:gridCol w:w="1890"/>
        <w:gridCol w:w="1895"/>
      </w:tblGrid>
      <w:tr w:rsidR="00067435" w:rsidRPr="007A2FEC" w14:paraId="05B528B3" w14:textId="77777777" w:rsidTr="00026175">
        <w:trPr>
          <w:trHeight w:val="20"/>
        </w:trPr>
        <w:tc>
          <w:tcPr>
            <w:tcW w:w="5575" w:type="dxa"/>
            <w:gridSpan w:val="3"/>
            <w:vAlign w:val="center"/>
            <w:hideMark/>
          </w:tcPr>
          <w:p w14:paraId="7852B157" w14:textId="77777777" w:rsidR="00067435" w:rsidRPr="007A2FEC" w:rsidRDefault="00067435" w:rsidP="00026175">
            <w:pPr>
              <w:keepNext/>
              <w:keepLines/>
              <w:spacing w:before="40" w:after="40"/>
              <w:jc w:val="center"/>
              <w:rPr>
                <w:rFonts w:ascii="Times New Roman" w:eastAsia="Times New Roman" w:hAnsi="Times New Roman"/>
                <w:b/>
                <w:bCs/>
                <w:sz w:val="20"/>
                <w:szCs w:val="20"/>
                <w:lang w:eastAsia="de-DE"/>
              </w:rPr>
            </w:pPr>
            <w:r w:rsidRPr="007A2FEC">
              <w:rPr>
                <w:rFonts w:ascii="Times New Roman" w:eastAsia="Times New Roman" w:hAnsi="Times New Roman"/>
                <w:b/>
                <w:bCs/>
                <w:sz w:val="20"/>
                <w:szCs w:val="20"/>
                <w:lang w:eastAsia="de-DE"/>
              </w:rPr>
              <w:t>Validity criterion</w:t>
            </w:r>
          </w:p>
        </w:tc>
        <w:tc>
          <w:tcPr>
            <w:tcW w:w="1890" w:type="dxa"/>
            <w:vAlign w:val="center"/>
            <w:hideMark/>
          </w:tcPr>
          <w:p w14:paraId="176A6007" w14:textId="77777777" w:rsidR="00067435" w:rsidRPr="007A2FEC" w:rsidRDefault="00067435" w:rsidP="00026175">
            <w:pPr>
              <w:keepNext/>
              <w:keepLines/>
              <w:spacing w:before="40" w:after="40"/>
              <w:jc w:val="center"/>
              <w:rPr>
                <w:rFonts w:ascii="Times New Roman" w:eastAsia="Times New Roman" w:hAnsi="Times New Roman"/>
                <w:b/>
                <w:bCs/>
                <w:sz w:val="20"/>
                <w:szCs w:val="20"/>
                <w:lang w:eastAsia="de-DE"/>
              </w:rPr>
            </w:pPr>
            <w:r w:rsidRPr="007A2FEC">
              <w:rPr>
                <w:rFonts w:ascii="Times New Roman" w:eastAsia="Times New Roman" w:hAnsi="Times New Roman"/>
                <w:b/>
                <w:bCs/>
                <w:sz w:val="20"/>
                <w:szCs w:val="20"/>
                <w:lang w:eastAsia="de-DE"/>
              </w:rPr>
              <w:t>Occurred</w:t>
            </w:r>
          </w:p>
        </w:tc>
        <w:tc>
          <w:tcPr>
            <w:tcW w:w="1895" w:type="dxa"/>
            <w:vAlign w:val="center"/>
            <w:hideMark/>
          </w:tcPr>
          <w:p w14:paraId="66F2A51D" w14:textId="77777777" w:rsidR="00067435" w:rsidRPr="007A2FEC" w:rsidRDefault="00067435" w:rsidP="00026175">
            <w:pPr>
              <w:keepNext/>
              <w:keepLines/>
              <w:spacing w:before="40" w:after="40"/>
              <w:jc w:val="center"/>
              <w:rPr>
                <w:rFonts w:ascii="Times New Roman" w:eastAsia="Times New Roman" w:hAnsi="Times New Roman"/>
                <w:b/>
                <w:bCs/>
                <w:sz w:val="20"/>
                <w:szCs w:val="20"/>
                <w:lang w:eastAsia="de-DE"/>
              </w:rPr>
            </w:pPr>
            <w:r w:rsidRPr="007A2FEC">
              <w:rPr>
                <w:rFonts w:ascii="Times New Roman" w:eastAsia="Times New Roman" w:hAnsi="Times New Roman"/>
                <w:b/>
                <w:bCs/>
                <w:sz w:val="20"/>
                <w:szCs w:val="20"/>
                <w:lang w:eastAsia="de-DE"/>
              </w:rPr>
              <w:t>Recommended</w:t>
            </w:r>
          </w:p>
        </w:tc>
      </w:tr>
      <w:tr w:rsidR="00067435" w:rsidRPr="007A2FEC" w14:paraId="6AE2C796" w14:textId="77777777" w:rsidTr="00026175">
        <w:trPr>
          <w:trHeight w:val="630"/>
        </w:trPr>
        <w:tc>
          <w:tcPr>
            <w:tcW w:w="1701" w:type="dxa"/>
            <w:vMerge w:val="restart"/>
            <w:vAlign w:val="center"/>
            <w:hideMark/>
          </w:tcPr>
          <w:p w14:paraId="11E7025E" w14:textId="77777777" w:rsidR="00067435" w:rsidRPr="007A2FEC" w:rsidRDefault="00067435" w:rsidP="00026175">
            <w:pPr>
              <w:keepNext/>
              <w:keepLines/>
              <w:spacing w:before="40" w:after="40"/>
              <w:rPr>
                <w:rFonts w:ascii="Times New Roman" w:eastAsia="Times New Roman" w:hAnsi="Times New Roman"/>
                <w:sz w:val="20"/>
                <w:szCs w:val="20"/>
                <w:lang w:eastAsia="de-DE"/>
              </w:rPr>
            </w:pPr>
            <w:r w:rsidRPr="007A2FEC">
              <w:rPr>
                <w:rFonts w:ascii="Times New Roman" w:eastAsia="Times New Roman" w:hAnsi="Times New Roman"/>
                <w:sz w:val="20"/>
                <w:szCs w:val="20"/>
                <w:lang w:eastAsia="de-DE"/>
              </w:rPr>
              <w:t>Control mortality</w:t>
            </w:r>
            <w:r w:rsidRPr="007A2FEC">
              <w:rPr>
                <w:rFonts w:ascii="Times New Roman" w:eastAsia="Times New Roman" w:hAnsi="Times New Roman"/>
                <w:sz w:val="20"/>
                <w:szCs w:val="20"/>
                <w:lang w:eastAsia="de-DE"/>
              </w:rPr>
              <w:br/>
              <w:t>(48 hours)</w:t>
            </w:r>
          </w:p>
        </w:tc>
        <w:tc>
          <w:tcPr>
            <w:tcW w:w="1174" w:type="dxa"/>
            <w:vMerge w:val="restart"/>
            <w:vAlign w:val="center"/>
            <w:hideMark/>
          </w:tcPr>
          <w:p w14:paraId="6652917C" w14:textId="77777777" w:rsidR="00067435" w:rsidRPr="007A2FEC" w:rsidRDefault="00067435" w:rsidP="00026175">
            <w:pPr>
              <w:pStyle w:val="BodyText23"/>
              <w:keepNext/>
              <w:tabs>
                <w:tab w:val="left" w:pos="1206"/>
              </w:tabs>
              <w:spacing w:before="40" w:after="40" w:line="240" w:lineRule="auto"/>
              <w:jc w:val="center"/>
              <w:rPr>
                <w:rFonts w:ascii="Times New Roman" w:hAnsi="Times New Roman"/>
                <w:sz w:val="20"/>
              </w:rPr>
            </w:pPr>
            <w:r w:rsidRPr="007A2FEC">
              <w:rPr>
                <w:rFonts w:ascii="Times New Roman" w:hAnsi="Times New Roman"/>
                <w:sz w:val="20"/>
                <w:lang w:val="en-US"/>
              </w:rPr>
              <w:t>Oral test</w:t>
            </w:r>
          </w:p>
        </w:tc>
        <w:tc>
          <w:tcPr>
            <w:tcW w:w="2700" w:type="dxa"/>
            <w:vAlign w:val="center"/>
          </w:tcPr>
          <w:p w14:paraId="08A42AE0"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eastAsia="Times New Roman" w:hAnsi="Times New Roman"/>
                <w:sz w:val="20"/>
                <w:szCs w:val="20"/>
                <w:lang w:eastAsia="de-DE"/>
              </w:rPr>
              <w:t>Water control</w:t>
            </w:r>
          </w:p>
        </w:tc>
        <w:tc>
          <w:tcPr>
            <w:tcW w:w="1890" w:type="dxa"/>
            <w:vAlign w:val="center"/>
            <w:hideMark/>
          </w:tcPr>
          <w:p w14:paraId="1D0D8B46"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eastAsia="Times New Roman" w:hAnsi="Times New Roman"/>
                <w:sz w:val="20"/>
                <w:szCs w:val="20"/>
                <w:lang w:eastAsia="de-DE"/>
              </w:rPr>
              <w:t>0.0%</w:t>
            </w:r>
          </w:p>
        </w:tc>
        <w:tc>
          <w:tcPr>
            <w:tcW w:w="1895" w:type="dxa"/>
            <w:vAlign w:val="center"/>
            <w:hideMark/>
          </w:tcPr>
          <w:p w14:paraId="2BA4C33D"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eastAsia="Times New Roman" w:hAnsi="Times New Roman"/>
                <w:sz w:val="20"/>
                <w:szCs w:val="20"/>
                <w:lang w:eastAsia="de-DE"/>
              </w:rPr>
              <w:t>≤ 10%</w:t>
            </w:r>
          </w:p>
        </w:tc>
      </w:tr>
      <w:tr w:rsidR="00067435" w:rsidRPr="007A2FEC" w14:paraId="092850F8" w14:textId="77777777" w:rsidTr="00026175">
        <w:trPr>
          <w:trHeight w:val="20"/>
        </w:trPr>
        <w:tc>
          <w:tcPr>
            <w:tcW w:w="1701" w:type="dxa"/>
            <w:vMerge/>
            <w:vAlign w:val="center"/>
            <w:hideMark/>
          </w:tcPr>
          <w:p w14:paraId="190FA9D3" w14:textId="77777777" w:rsidR="00067435" w:rsidRPr="007A2FEC" w:rsidRDefault="00067435" w:rsidP="00026175">
            <w:pPr>
              <w:keepNext/>
              <w:keepLines/>
              <w:spacing w:before="40" w:after="40"/>
              <w:rPr>
                <w:rFonts w:ascii="Times New Roman" w:eastAsia="Times New Roman" w:hAnsi="Times New Roman"/>
                <w:sz w:val="20"/>
                <w:szCs w:val="20"/>
                <w:lang w:eastAsia="de-DE"/>
              </w:rPr>
            </w:pPr>
          </w:p>
        </w:tc>
        <w:tc>
          <w:tcPr>
            <w:tcW w:w="1174" w:type="dxa"/>
            <w:vMerge/>
            <w:vAlign w:val="center"/>
            <w:hideMark/>
          </w:tcPr>
          <w:p w14:paraId="08F2BF86" w14:textId="77777777" w:rsidR="00067435" w:rsidRPr="007A2FEC" w:rsidRDefault="00067435" w:rsidP="00026175">
            <w:pPr>
              <w:pStyle w:val="BodyText23"/>
              <w:keepNext/>
              <w:tabs>
                <w:tab w:val="clear" w:pos="851"/>
                <w:tab w:val="left" w:pos="1206"/>
              </w:tabs>
              <w:spacing w:before="40" w:after="40" w:line="240" w:lineRule="auto"/>
              <w:jc w:val="center"/>
              <w:rPr>
                <w:rFonts w:ascii="Times New Roman" w:hAnsi="Times New Roman"/>
                <w:sz w:val="20"/>
                <w:lang w:val="en-US"/>
              </w:rPr>
            </w:pPr>
          </w:p>
        </w:tc>
        <w:tc>
          <w:tcPr>
            <w:tcW w:w="2700" w:type="dxa"/>
            <w:vAlign w:val="center"/>
          </w:tcPr>
          <w:p w14:paraId="63AA302C" w14:textId="77777777" w:rsidR="00067435" w:rsidRPr="007A2FEC" w:rsidRDefault="00067435" w:rsidP="00026175">
            <w:pPr>
              <w:pStyle w:val="BodyText23"/>
              <w:keepNext/>
              <w:tabs>
                <w:tab w:val="clear" w:pos="851"/>
                <w:tab w:val="left" w:pos="1206"/>
              </w:tabs>
              <w:spacing w:before="40" w:after="40" w:line="240" w:lineRule="auto"/>
              <w:jc w:val="center"/>
              <w:rPr>
                <w:rFonts w:ascii="Times New Roman" w:hAnsi="Times New Roman"/>
                <w:sz w:val="20"/>
                <w:lang w:val="en-US"/>
              </w:rPr>
            </w:pPr>
            <w:r w:rsidRPr="007A2FEC">
              <w:rPr>
                <w:rFonts w:ascii="Times New Roman" w:hAnsi="Times New Roman"/>
                <w:sz w:val="20"/>
                <w:lang w:val="en-US"/>
              </w:rPr>
              <w:t>Solvent control</w:t>
            </w:r>
          </w:p>
        </w:tc>
        <w:tc>
          <w:tcPr>
            <w:tcW w:w="1890" w:type="dxa"/>
            <w:vAlign w:val="center"/>
            <w:hideMark/>
          </w:tcPr>
          <w:p w14:paraId="1307068B" w14:textId="77777777" w:rsidR="00067435" w:rsidRPr="007A2FEC" w:rsidRDefault="00067435" w:rsidP="00026175">
            <w:pPr>
              <w:pStyle w:val="BodyText23"/>
              <w:keepNext/>
              <w:tabs>
                <w:tab w:val="left" w:pos="720"/>
              </w:tabs>
              <w:spacing w:before="40" w:after="40" w:line="240" w:lineRule="auto"/>
              <w:jc w:val="center"/>
              <w:rPr>
                <w:rFonts w:ascii="Times New Roman" w:hAnsi="Times New Roman"/>
                <w:sz w:val="20"/>
                <w:lang w:val="en-US"/>
              </w:rPr>
            </w:pPr>
            <w:r w:rsidRPr="007A2FEC">
              <w:rPr>
                <w:rFonts w:ascii="Times New Roman" w:hAnsi="Times New Roman"/>
                <w:sz w:val="20"/>
                <w:lang w:val="en-US"/>
              </w:rPr>
              <w:t>0.0%</w:t>
            </w:r>
          </w:p>
        </w:tc>
        <w:tc>
          <w:tcPr>
            <w:tcW w:w="1895" w:type="dxa"/>
            <w:vAlign w:val="center"/>
            <w:hideMark/>
          </w:tcPr>
          <w:p w14:paraId="0F92ADF5" w14:textId="77777777" w:rsidR="00067435" w:rsidRPr="007A2FEC" w:rsidRDefault="00067435" w:rsidP="00026175">
            <w:pPr>
              <w:pStyle w:val="BodyText23"/>
              <w:keepNext/>
              <w:tabs>
                <w:tab w:val="left" w:pos="720"/>
              </w:tabs>
              <w:spacing w:before="40" w:after="40" w:line="240" w:lineRule="auto"/>
              <w:jc w:val="center"/>
              <w:rPr>
                <w:rFonts w:ascii="Times New Roman" w:hAnsi="Times New Roman"/>
                <w:sz w:val="20"/>
                <w:lang w:val="en-US"/>
              </w:rPr>
            </w:pPr>
            <w:r w:rsidRPr="007A2FEC">
              <w:rPr>
                <w:rFonts w:ascii="Times New Roman" w:hAnsi="Times New Roman"/>
                <w:sz w:val="20"/>
                <w:lang w:val="en-US"/>
              </w:rPr>
              <w:t>≤ 10%</w:t>
            </w:r>
          </w:p>
        </w:tc>
      </w:tr>
      <w:tr w:rsidR="00067435" w:rsidRPr="007A2FEC" w14:paraId="69B1CD08" w14:textId="77777777" w:rsidTr="00026175">
        <w:trPr>
          <w:trHeight w:val="770"/>
        </w:trPr>
        <w:tc>
          <w:tcPr>
            <w:tcW w:w="1701" w:type="dxa"/>
            <w:vAlign w:val="center"/>
            <w:hideMark/>
          </w:tcPr>
          <w:p w14:paraId="6AB70013" w14:textId="77777777" w:rsidR="00067435" w:rsidRPr="007A2FEC" w:rsidRDefault="00067435" w:rsidP="00026175">
            <w:pPr>
              <w:keepNext/>
              <w:keepLines/>
              <w:spacing w:before="40" w:after="40"/>
              <w:rPr>
                <w:rFonts w:ascii="Times New Roman" w:eastAsia="Times New Roman" w:hAnsi="Times New Roman"/>
                <w:sz w:val="20"/>
                <w:szCs w:val="20"/>
                <w:lang w:eastAsia="de-DE"/>
              </w:rPr>
            </w:pPr>
            <w:r w:rsidRPr="007A2FEC">
              <w:rPr>
                <w:rFonts w:ascii="Times New Roman" w:eastAsia="Times New Roman" w:hAnsi="Times New Roman"/>
                <w:sz w:val="20"/>
                <w:szCs w:val="20"/>
                <w:lang w:eastAsia="de-DE"/>
              </w:rPr>
              <w:t>Mortality reference item (48 hours)</w:t>
            </w:r>
          </w:p>
        </w:tc>
        <w:tc>
          <w:tcPr>
            <w:tcW w:w="3874" w:type="dxa"/>
            <w:gridSpan w:val="2"/>
            <w:vAlign w:val="center"/>
            <w:hideMark/>
          </w:tcPr>
          <w:p w14:paraId="098ACBC5"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hAnsi="Times New Roman"/>
                <w:sz w:val="20"/>
              </w:rPr>
              <w:t>Oral toxicity test</w:t>
            </w:r>
          </w:p>
        </w:tc>
        <w:tc>
          <w:tcPr>
            <w:tcW w:w="1890" w:type="dxa"/>
            <w:vAlign w:val="center"/>
            <w:hideMark/>
          </w:tcPr>
          <w:p w14:paraId="2CB80980"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hAnsi="Times New Roman"/>
                <w:sz w:val="20"/>
              </w:rPr>
              <w:t>60.0%</w:t>
            </w:r>
          </w:p>
        </w:tc>
        <w:tc>
          <w:tcPr>
            <w:tcW w:w="1895" w:type="dxa"/>
            <w:vAlign w:val="center"/>
            <w:hideMark/>
          </w:tcPr>
          <w:p w14:paraId="2B515189" w14:textId="77777777" w:rsidR="00067435" w:rsidRPr="007A2FEC" w:rsidRDefault="00067435" w:rsidP="00026175">
            <w:pPr>
              <w:keepNext/>
              <w:keepLines/>
              <w:spacing w:before="40" w:after="40"/>
              <w:jc w:val="center"/>
              <w:rPr>
                <w:rFonts w:ascii="Times New Roman" w:eastAsia="Times New Roman" w:hAnsi="Times New Roman"/>
                <w:sz w:val="20"/>
                <w:szCs w:val="20"/>
                <w:lang w:eastAsia="de-DE"/>
              </w:rPr>
            </w:pPr>
            <w:r w:rsidRPr="007A2FEC">
              <w:rPr>
                <w:rFonts w:ascii="Times New Roman" w:hAnsi="Times New Roman"/>
                <w:sz w:val="20"/>
              </w:rPr>
              <w:t>≥ 50%</w:t>
            </w:r>
          </w:p>
        </w:tc>
      </w:tr>
    </w:tbl>
    <w:p w14:paraId="6513AB0F" w14:textId="77777777" w:rsidR="00067435" w:rsidRPr="007A2FEC" w:rsidRDefault="00067435" w:rsidP="00067435">
      <w:pPr>
        <w:tabs>
          <w:tab w:val="left" w:pos="720"/>
        </w:tabs>
        <w:spacing w:after="240"/>
        <w:contextualSpacing/>
        <w:jc w:val="both"/>
        <w:rPr>
          <w:lang w:val="en-GB"/>
        </w:rPr>
      </w:pPr>
    </w:p>
    <w:p w14:paraId="3E9641A8" w14:textId="77777777" w:rsidR="00067435" w:rsidRPr="007A2FEC" w:rsidRDefault="00067435" w:rsidP="00067435">
      <w:pPr>
        <w:tabs>
          <w:tab w:val="left" w:pos="720"/>
        </w:tabs>
        <w:spacing w:after="240"/>
        <w:contextualSpacing/>
        <w:jc w:val="both"/>
        <w:rPr>
          <w:lang w:val="en-GB"/>
        </w:rPr>
      </w:pPr>
    </w:p>
    <w:p w14:paraId="25619064" w14:textId="77777777" w:rsidR="00067435" w:rsidRPr="007A2FEC" w:rsidRDefault="00067435" w:rsidP="00E05ECD">
      <w:pPr>
        <w:numPr>
          <w:ilvl w:val="0"/>
          <w:numId w:val="116"/>
        </w:numPr>
        <w:ind w:left="284" w:hanging="284"/>
        <w:contextualSpacing/>
        <w:rPr>
          <w:rFonts w:ascii="Times New Roman Bold" w:hAnsi="Times New Roman Bold"/>
          <w:b/>
          <w:bCs/>
          <w:caps/>
          <w:szCs w:val="24"/>
          <w:lang w:val="en-GB"/>
        </w:rPr>
      </w:pPr>
      <w:r w:rsidRPr="007A2FEC">
        <w:rPr>
          <w:rFonts w:ascii="Times New Roman Bold" w:hAnsi="Times New Roman Bold"/>
          <w:b/>
          <w:bCs/>
          <w:caps/>
          <w:szCs w:val="24"/>
          <w:lang w:val="en-GB"/>
        </w:rPr>
        <w:t>DEFICIENCIES</w:t>
      </w:r>
    </w:p>
    <w:p w14:paraId="2AED154F" w14:textId="77777777" w:rsidR="00067435" w:rsidRPr="007A2FEC" w:rsidRDefault="00067435" w:rsidP="00067435">
      <w:pPr>
        <w:tabs>
          <w:tab w:val="left" w:pos="720"/>
        </w:tabs>
        <w:spacing w:after="240"/>
        <w:jc w:val="both"/>
        <w:rPr>
          <w:szCs w:val="24"/>
          <w:lang w:val="en-GB"/>
        </w:rPr>
      </w:pPr>
      <w:r w:rsidRPr="007A2FEC">
        <w:rPr>
          <w:szCs w:val="24"/>
          <w:lang w:val="en-GB"/>
        </w:rPr>
        <w:t xml:space="preserve">There were no deviations with impact on quality and integrity of the study. </w:t>
      </w:r>
    </w:p>
    <w:p w14:paraId="64574E64" w14:textId="77777777" w:rsidR="00067435" w:rsidRPr="008F7594" w:rsidRDefault="00067435" w:rsidP="008D2927">
      <w:pPr>
        <w:tabs>
          <w:tab w:val="left" w:pos="720"/>
        </w:tabs>
        <w:spacing w:after="240"/>
        <w:ind w:left="289"/>
        <w:jc w:val="center"/>
        <w:rPr>
          <w:rFonts w:ascii="Times New Roman Bold" w:hAnsi="Times New Roman Bold"/>
          <w:b/>
          <w:bCs/>
          <w:caps/>
          <w:szCs w:val="24"/>
          <w:lang w:val="en-GB"/>
        </w:rPr>
      </w:pPr>
      <w:r>
        <w:rPr>
          <w:rFonts w:ascii="Times New Roman Bold" w:hAnsi="Times New Roman Bold"/>
          <w:b/>
          <w:bCs/>
          <w:caps/>
          <w:szCs w:val="24"/>
          <w:lang w:val="en-GB"/>
        </w:rPr>
        <w:t>IV</w:t>
      </w:r>
      <w:r>
        <w:rPr>
          <w:rFonts w:ascii="Times New Roman Bold" w:hAnsi="Times New Roman Bold"/>
          <w:b/>
          <w:bCs/>
          <w:caps/>
          <w:szCs w:val="24"/>
          <w:lang w:val="en-GB"/>
        </w:rPr>
        <w:tab/>
      </w:r>
      <w:r w:rsidRPr="008F7594">
        <w:rPr>
          <w:rFonts w:ascii="Times New Roman Bold" w:hAnsi="Times New Roman Bold"/>
          <w:b/>
          <w:bCs/>
          <w:caps/>
          <w:szCs w:val="24"/>
          <w:lang w:val="en-GB"/>
        </w:rPr>
        <w:t>Conclusion</w:t>
      </w:r>
    </w:p>
    <w:p w14:paraId="0467323E" w14:textId="77777777" w:rsidR="00067435" w:rsidRPr="00EB1B58" w:rsidRDefault="00067435" w:rsidP="00067435">
      <w:pPr>
        <w:spacing w:after="120"/>
        <w:jc w:val="both"/>
        <w:rPr>
          <w:lang w:val="en-GB"/>
        </w:rPr>
      </w:pPr>
      <w:r w:rsidRPr="009C2EEA">
        <w:rPr>
          <w:lang w:val="en-GB"/>
        </w:rPr>
        <w:t>The acute oral toxicity of Propamocarb-HCL tech to the bumblebee (</w:t>
      </w:r>
      <w:r w:rsidRPr="009C2EEA">
        <w:rPr>
          <w:i/>
          <w:iCs/>
          <w:lang w:val="en-GB"/>
        </w:rPr>
        <w:t>Bombus terrestris</w:t>
      </w:r>
      <w:r w:rsidRPr="009C2EEA">
        <w:rPr>
          <w:lang w:val="en-GB"/>
        </w:rPr>
        <w:t xml:space="preserve"> L.) were assessed in a 48h laboratory study. </w:t>
      </w:r>
      <w:r w:rsidRPr="00276DE8">
        <w:rPr>
          <w:szCs w:val="24"/>
          <w:lang w:val="en-GB"/>
        </w:rPr>
        <w:t xml:space="preserve">The oral NOED value was calculated to be ≥ 198.7 </w:t>
      </w:r>
      <w:r w:rsidRPr="00F5124F">
        <w:rPr>
          <w:szCs w:val="24"/>
        </w:rPr>
        <w:t>μ</w:t>
      </w:r>
      <w:r w:rsidRPr="00276DE8">
        <w:rPr>
          <w:szCs w:val="24"/>
          <w:lang w:val="en-GB"/>
        </w:rPr>
        <w:t xml:space="preserve">g a.s./bumblebee. </w:t>
      </w:r>
      <w:r w:rsidRPr="00F5124F">
        <w:rPr>
          <w:szCs w:val="24"/>
        </w:rPr>
        <w:t>The oral LD</w:t>
      </w:r>
      <w:r w:rsidRPr="00F5124F">
        <w:rPr>
          <w:szCs w:val="24"/>
          <w:vertAlign w:val="subscript"/>
        </w:rPr>
        <w:t>50</w:t>
      </w:r>
      <w:r w:rsidRPr="00F5124F">
        <w:rPr>
          <w:szCs w:val="24"/>
        </w:rPr>
        <w:t xml:space="preserve"> value was &gt; 198.7 μg a.</w:t>
      </w:r>
      <w:r>
        <w:rPr>
          <w:szCs w:val="24"/>
        </w:rPr>
        <w:t>s</w:t>
      </w:r>
      <w:r w:rsidRPr="00F5124F">
        <w:rPr>
          <w:szCs w:val="24"/>
        </w:rPr>
        <w:t>./bumblebee.</w:t>
      </w:r>
    </w:p>
    <w:p w14:paraId="21F3297F" w14:textId="77777777" w:rsidR="00DC5685" w:rsidRPr="00A34F10" w:rsidRDefault="00DC5685" w:rsidP="00B84B62">
      <w:pPr>
        <w:pStyle w:val="RepAppendix5"/>
      </w:pPr>
      <w:r w:rsidRPr="00A34F10">
        <w:t>KCP 10.3.1.1.2</w:t>
      </w:r>
      <w:r w:rsidRPr="00A34F10">
        <w:tab/>
        <w:t xml:space="preserve"> Acute contact toxicity to bees</w:t>
      </w:r>
    </w:p>
    <w:p w14:paraId="088BBDEA" w14:textId="77777777" w:rsidR="00DC5685" w:rsidRPr="00A34F10" w:rsidRDefault="00DC5685" w:rsidP="00DC5685">
      <w:pPr>
        <w:widowControl w:val="0"/>
        <w:jc w:val="both"/>
      </w:pPr>
      <w:r w:rsidRPr="00A34F10">
        <w:rPr>
          <w:color w:val="000000" w:themeColor="text1"/>
        </w:rPr>
        <w:t>Please refer to point KCP 10.3.1.1.1.</w:t>
      </w:r>
    </w:p>
    <w:p w14:paraId="08F1269D" w14:textId="77777777" w:rsidR="008D2927" w:rsidRDefault="008D2927">
      <w:pPr>
        <w:rPr>
          <w:b/>
          <w:sz w:val="24"/>
        </w:rPr>
      </w:pPr>
      <w:r>
        <w:br w:type="page"/>
      </w:r>
    </w:p>
    <w:p w14:paraId="74016623" w14:textId="4F6C4DCA" w:rsidR="00DC5685" w:rsidRPr="00A34F10" w:rsidRDefault="00DC5685" w:rsidP="00B84B62">
      <w:pPr>
        <w:pStyle w:val="RepAppendix4"/>
      </w:pPr>
      <w:r w:rsidRPr="00A34F10">
        <w:lastRenderedPageBreak/>
        <w:t xml:space="preserve">KCP 10.3.1.2. </w:t>
      </w:r>
      <w:r w:rsidRPr="00A34F10">
        <w:tab/>
        <w:t>Chronic toxicity to bees</w:t>
      </w:r>
    </w:p>
    <w:p w14:paraId="74B84C64" w14:textId="00C320B9" w:rsidR="00DC5685" w:rsidRPr="00A34F10" w:rsidRDefault="00DC5685" w:rsidP="0009767C">
      <w:pPr>
        <w:pStyle w:val="RepAppendix5"/>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6C7C02A4" w14:textId="77777777" w:rsidTr="008D2927">
        <w:trPr>
          <w:trHeight w:val="429"/>
        </w:trPr>
        <w:tc>
          <w:tcPr>
            <w:tcW w:w="1063" w:type="pct"/>
            <w:shd w:val="clear" w:color="auto" w:fill="D9D9D9" w:themeFill="background1" w:themeFillShade="D9"/>
          </w:tcPr>
          <w:p w14:paraId="5D5785F2" w14:textId="77777777" w:rsidR="00DC5685" w:rsidRPr="00A34F10" w:rsidRDefault="00DC5685" w:rsidP="00DC5685">
            <w:pPr>
              <w:widowControl w:val="0"/>
              <w:jc w:val="both"/>
              <w:rPr>
                <w:rFonts w:eastAsia="Batang"/>
              </w:rPr>
            </w:pPr>
            <w:r w:rsidRPr="00A34F10">
              <w:t>Comments of zRMS:</w:t>
            </w:r>
          </w:p>
        </w:tc>
        <w:tc>
          <w:tcPr>
            <w:tcW w:w="3937" w:type="pct"/>
            <w:shd w:val="clear" w:color="auto" w:fill="D9D9D9" w:themeFill="background1" w:themeFillShade="D9"/>
          </w:tcPr>
          <w:p w14:paraId="01BA8B3B" w14:textId="68E8866A" w:rsidR="00DC5685" w:rsidRPr="00A34F10" w:rsidRDefault="00AF2713" w:rsidP="00DC5685">
            <w:pPr>
              <w:widowControl w:val="0"/>
              <w:ind w:left="85"/>
              <w:jc w:val="both"/>
              <w:rPr>
                <w:rFonts w:eastAsia="Batang"/>
              </w:rPr>
            </w:pPr>
            <w:r>
              <w:t xml:space="preserve">Study not evaluated. </w:t>
            </w:r>
            <w:fldSimple w:instr=" FORMTEXT "/>
          </w:p>
        </w:tc>
      </w:tr>
    </w:tbl>
    <w:p w14:paraId="6C7E2DDC" w14:textId="77777777" w:rsidR="00DC5685" w:rsidRPr="00A34F10" w:rsidRDefault="00DC5685" w:rsidP="00DC5685"/>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5EB7666E" w14:textId="77777777" w:rsidTr="000470C3">
        <w:trPr>
          <w:trHeight w:val="170"/>
          <w:jc w:val="center"/>
        </w:trPr>
        <w:tc>
          <w:tcPr>
            <w:tcW w:w="1288" w:type="pct"/>
          </w:tcPr>
          <w:p w14:paraId="3FB2516D" w14:textId="77777777" w:rsidR="00DC5685" w:rsidRPr="00A34F10" w:rsidRDefault="00DC5685" w:rsidP="00DC5685">
            <w:pPr>
              <w:keepNext/>
              <w:tabs>
                <w:tab w:val="left" w:pos="360"/>
                <w:tab w:val="left" w:pos="720"/>
              </w:tabs>
              <w:spacing w:before="60" w:after="120"/>
              <w:jc w:val="both"/>
              <w:rPr>
                <w:lang w:val="en-GB"/>
              </w:rPr>
            </w:pPr>
            <w:r w:rsidRPr="00A34F10">
              <w:rPr>
                <w:lang w:val="en-GB"/>
              </w:rPr>
              <w:t xml:space="preserve">Data point: </w:t>
            </w:r>
          </w:p>
        </w:tc>
        <w:tc>
          <w:tcPr>
            <w:tcW w:w="3712" w:type="pct"/>
          </w:tcPr>
          <w:p w14:paraId="36EA89DB" w14:textId="77777777" w:rsidR="00DC5685" w:rsidRPr="00A34F10" w:rsidRDefault="00DC5685" w:rsidP="00DC5685">
            <w:pPr>
              <w:keepNext/>
              <w:tabs>
                <w:tab w:val="left" w:pos="360"/>
                <w:tab w:val="left" w:pos="720"/>
              </w:tabs>
              <w:spacing w:before="60" w:after="120"/>
              <w:jc w:val="both"/>
              <w:rPr>
                <w:lang w:val="en-GB"/>
              </w:rPr>
            </w:pPr>
            <w:r w:rsidRPr="00A34F10">
              <w:rPr>
                <w:lang w:val="en-GB"/>
              </w:rPr>
              <w:t>CP 10.3.1.2/01</w:t>
            </w:r>
          </w:p>
        </w:tc>
      </w:tr>
      <w:tr w:rsidR="00DC5685" w:rsidRPr="00A34F10" w14:paraId="32460DAA" w14:textId="77777777" w:rsidTr="000470C3">
        <w:trPr>
          <w:trHeight w:val="1718"/>
          <w:jc w:val="center"/>
        </w:trPr>
        <w:tc>
          <w:tcPr>
            <w:tcW w:w="1288" w:type="pct"/>
          </w:tcPr>
          <w:p w14:paraId="3CE17BED" w14:textId="77777777" w:rsidR="00DC5685" w:rsidRPr="00A34F10" w:rsidRDefault="00DC5685" w:rsidP="00DC5685">
            <w:pPr>
              <w:keepNext/>
              <w:tabs>
                <w:tab w:val="left" w:pos="360"/>
                <w:tab w:val="left" w:pos="720"/>
              </w:tabs>
              <w:spacing w:before="60" w:after="120"/>
              <w:jc w:val="both"/>
              <w:rPr>
                <w:lang w:val="en-GB"/>
              </w:rPr>
            </w:pPr>
            <w:r w:rsidRPr="00A34F10">
              <w:rPr>
                <w:lang w:val="en-GB"/>
              </w:rPr>
              <w:t xml:space="preserve">Report </w:t>
            </w:r>
          </w:p>
        </w:tc>
        <w:tc>
          <w:tcPr>
            <w:tcW w:w="3712" w:type="pct"/>
          </w:tcPr>
          <w:p w14:paraId="315C1781" w14:textId="77777777" w:rsidR="00DC5685" w:rsidRPr="00A34F10" w:rsidRDefault="00DC5685" w:rsidP="00DC5685">
            <w:pPr>
              <w:widowControl w:val="0"/>
              <w:spacing w:before="60" w:after="120"/>
              <w:jc w:val="both"/>
            </w:pPr>
            <w:r w:rsidRPr="00A34F10">
              <w:t>Chronic toxicity of BAS 650 00 F to the honeybee (</w:t>
            </w:r>
            <w:r w:rsidRPr="00A34F10">
              <w:rPr>
                <w:i/>
              </w:rPr>
              <w:t>Apis mellifera</w:t>
            </w:r>
            <w:r w:rsidRPr="00A34F10">
              <w:t xml:space="preserve"> L.) under laboratory conditions</w:t>
            </w:r>
          </w:p>
          <w:p w14:paraId="34FE72A0" w14:textId="77777777" w:rsidR="00DC5685" w:rsidRPr="00A34F10" w:rsidRDefault="00DC5685" w:rsidP="00DC5685">
            <w:pPr>
              <w:widowControl w:val="0"/>
              <w:spacing w:before="60" w:after="120"/>
              <w:jc w:val="both"/>
              <w:rPr>
                <w:lang w:val="de-DE"/>
              </w:rPr>
            </w:pPr>
            <w:r w:rsidRPr="00A34F10">
              <w:rPr>
                <w:lang w:val="de-DE"/>
              </w:rPr>
              <w:t>Ruhland S., 2015</w:t>
            </w:r>
          </w:p>
          <w:p w14:paraId="208037E6" w14:textId="77777777" w:rsidR="00DC5685" w:rsidRPr="00A34F10" w:rsidRDefault="00DC5685" w:rsidP="00DC5685">
            <w:pPr>
              <w:widowControl w:val="0"/>
              <w:spacing w:before="60" w:after="120"/>
              <w:jc w:val="both"/>
              <w:rPr>
                <w:lang w:val="de-DE"/>
              </w:rPr>
            </w:pPr>
            <w:r w:rsidRPr="00A34F10">
              <w:rPr>
                <w:lang w:val="de-DE"/>
              </w:rPr>
              <w:t>Report No EU-141048049B</w:t>
            </w:r>
          </w:p>
          <w:p w14:paraId="71ED28E0" w14:textId="2227777C" w:rsidR="00DC5685" w:rsidRPr="00A34F10" w:rsidRDefault="00D007AB" w:rsidP="00DC5685">
            <w:pPr>
              <w:widowControl w:val="0"/>
              <w:spacing w:before="60" w:after="120"/>
              <w:jc w:val="both"/>
              <w:rPr>
                <w:lang w:val="en-GB"/>
              </w:rPr>
            </w:pPr>
            <w:r>
              <w:t>XXXX</w:t>
            </w:r>
            <w:r w:rsidR="00DC5685" w:rsidRPr="00A34F10">
              <w:t xml:space="preserve"> DocID 2014/1111114</w:t>
            </w:r>
          </w:p>
        </w:tc>
      </w:tr>
      <w:tr w:rsidR="00DC5685" w:rsidRPr="00A34F10" w14:paraId="0E1D8B41" w14:textId="77777777" w:rsidTr="000470C3">
        <w:trPr>
          <w:trHeight w:val="170"/>
          <w:jc w:val="center"/>
        </w:trPr>
        <w:tc>
          <w:tcPr>
            <w:tcW w:w="1288" w:type="pct"/>
          </w:tcPr>
          <w:p w14:paraId="44870900" w14:textId="77777777" w:rsidR="00DC5685" w:rsidRPr="00A34F10" w:rsidRDefault="00DC5685" w:rsidP="00DC5685">
            <w:pPr>
              <w:keepNext/>
              <w:tabs>
                <w:tab w:val="left" w:pos="360"/>
                <w:tab w:val="left" w:pos="720"/>
              </w:tabs>
              <w:spacing w:before="60" w:after="120"/>
              <w:rPr>
                <w:lang w:val="en-GB"/>
              </w:rPr>
            </w:pPr>
            <w:r w:rsidRPr="00A34F10">
              <w:t>Guideline(s):</w:t>
            </w:r>
          </w:p>
        </w:tc>
        <w:tc>
          <w:tcPr>
            <w:tcW w:w="3712" w:type="pct"/>
          </w:tcPr>
          <w:p w14:paraId="0B712177" w14:textId="77777777" w:rsidR="00DC5685" w:rsidRPr="00A34F10" w:rsidRDefault="00DC5685" w:rsidP="00DC5685">
            <w:pPr>
              <w:keepNext/>
              <w:tabs>
                <w:tab w:val="left" w:pos="360"/>
                <w:tab w:val="left" w:pos="720"/>
              </w:tabs>
              <w:spacing w:before="60" w:after="120"/>
              <w:jc w:val="both"/>
              <w:rPr>
                <w:lang w:val="en-GB"/>
              </w:rPr>
            </w:pPr>
            <w:r w:rsidRPr="003B09BC">
              <w:rPr>
                <w:lang w:val="fr-FR"/>
              </w:rPr>
              <w:t xml:space="preserve">OECD 213 (1998), Decourty et al. (2005), Suchail et al. </w:t>
            </w:r>
            <w:r w:rsidRPr="00A34F10">
              <w:t>(2001), CEB No. 230 (2012), Current ring test protocol of the AG-Bienenschutz (2014)</w:t>
            </w:r>
          </w:p>
        </w:tc>
      </w:tr>
      <w:tr w:rsidR="00DC5685" w:rsidRPr="00A34F10" w14:paraId="51746F24" w14:textId="77777777" w:rsidTr="000470C3">
        <w:trPr>
          <w:trHeight w:val="170"/>
          <w:jc w:val="center"/>
        </w:trPr>
        <w:tc>
          <w:tcPr>
            <w:tcW w:w="1288" w:type="pct"/>
          </w:tcPr>
          <w:p w14:paraId="1E73F8DC" w14:textId="77777777" w:rsidR="00DC5685" w:rsidRPr="00A34F10" w:rsidRDefault="00DC5685" w:rsidP="00DC5685">
            <w:pPr>
              <w:keepNext/>
              <w:tabs>
                <w:tab w:val="left" w:pos="360"/>
                <w:tab w:val="left" w:pos="720"/>
              </w:tabs>
              <w:spacing w:before="60" w:after="120"/>
              <w:jc w:val="both"/>
              <w:rPr>
                <w:lang w:val="en-GB"/>
              </w:rPr>
            </w:pPr>
            <w:r w:rsidRPr="00A34F10">
              <w:t>Deviations:</w:t>
            </w:r>
          </w:p>
        </w:tc>
        <w:tc>
          <w:tcPr>
            <w:tcW w:w="3712" w:type="pct"/>
          </w:tcPr>
          <w:p w14:paraId="621EC4E5" w14:textId="77777777" w:rsidR="00DC5685" w:rsidRPr="00A34F10" w:rsidRDefault="00DC5685" w:rsidP="00DC5685">
            <w:pPr>
              <w:tabs>
                <w:tab w:val="left" w:pos="720"/>
              </w:tabs>
              <w:spacing w:before="60" w:after="120"/>
              <w:jc w:val="both"/>
              <w:rPr>
                <w:lang w:val="en-GB"/>
              </w:rPr>
            </w:pPr>
            <w:r w:rsidRPr="00A34F10">
              <w:rPr>
                <w:lang w:val="en-GB"/>
              </w:rPr>
              <w:t xml:space="preserve">No </w:t>
            </w:r>
          </w:p>
        </w:tc>
      </w:tr>
      <w:tr w:rsidR="00DC5685" w:rsidRPr="00902592" w14:paraId="28A6FC91" w14:textId="77777777" w:rsidTr="000470C3">
        <w:trPr>
          <w:trHeight w:val="170"/>
          <w:jc w:val="center"/>
        </w:trPr>
        <w:tc>
          <w:tcPr>
            <w:tcW w:w="1288" w:type="pct"/>
          </w:tcPr>
          <w:p w14:paraId="7AD88BC5" w14:textId="77777777" w:rsidR="00DC5685" w:rsidRPr="00A34F10" w:rsidRDefault="00DC5685" w:rsidP="00DC5685">
            <w:pPr>
              <w:keepNext/>
              <w:tabs>
                <w:tab w:val="left" w:pos="360"/>
                <w:tab w:val="left" w:pos="720"/>
              </w:tabs>
              <w:spacing w:before="60" w:after="120"/>
              <w:rPr>
                <w:lang w:val="en-GB"/>
              </w:rPr>
            </w:pPr>
            <w:r w:rsidRPr="00A34F10">
              <w:t>GLP:</w:t>
            </w:r>
          </w:p>
        </w:tc>
        <w:tc>
          <w:tcPr>
            <w:tcW w:w="3712" w:type="pct"/>
          </w:tcPr>
          <w:p w14:paraId="607700A5" w14:textId="77777777" w:rsidR="00DC5685" w:rsidRPr="00A34F10" w:rsidRDefault="00DC5685" w:rsidP="00DC5685">
            <w:pPr>
              <w:tabs>
                <w:tab w:val="left" w:pos="425"/>
                <w:tab w:val="left" w:pos="850"/>
              </w:tabs>
              <w:spacing w:before="60" w:after="120"/>
              <w:ind w:left="1985" w:hanging="1985"/>
              <w:rPr>
                <w:lang w:val="de-DE"/>
              </w:rPr>
            </w:pPr>
            <w:r w:rsidRPr="00A34F10">
              <w:rPr>
                <w:lang w:val="de-DE"/>
              </w:rPr>
              <w:t>Yes</w:t>
            </w:r>
          </w:p>
          <w:p w14:paraId="5060B25A" w14:textId="77777777" w:rsidR="00DC5685" w:rsidRPr="00A34F10" w:rsidRDefault="00DC5685" w:rsidP="00DC5685">
            <w:pPr>
              <w:keepNext/>
              <w:tabs>
                <w:tab w:val="left" w:pos="360"/>
                <w:tab w:val="left" w:pos="720"/>
              </w:tabs>
              <w:spacing w:before="60" w:after="120"/>
              <w:jc w:val="both"/>
              <w:rPr>
                <w:lang w:val="de-DE"/>
              </w:rPr>
            </w:pPr>
            <w:r w:rsidRPr="00A34F10">
              <w:rPr>
                <w:lang w:val="de-DE"/>
              </w:rPr>
              <w:t>(certified by Saechsisches Staatsministerium fuer Umwelt und Landwirtschaft, Dresden, Germany)</w:t>
            </w:r>
          </w:p>
        </w:tc>
      </w:tr>
      <w:tr w:rsidR="00DC5685" w:rsidRPr="00A34F10" w14:paraId="47F9AB87" w14:textId="77777777" w:rsidTr="000470C3">
        <w:trPr>
          <w:trHeight w:val="170"/>
          <w:jc w:val="center"/>
        </w:trPr>
        <w:tc>
          <w:tcPr>
            <w:tcW w:w="1288" w:type="pct"/>
          </w:tcPr>
          <w:p w14:paraId="2934004C" w14:textId="77777777" w:rsidR="00DC5685" w:rsidRPr="00A34F10" w:rsidRDefault="00DC5685" w:rsidP="00DC5685">
            <w:pPr>
              <w:keepNext/>
              <w:tabs>
                <w:tab w:val="left" w:pos="360"/>
                <w:tab w:val="left" w:pos="720"/>
              </w:tabs>
              <w:spacing w:before="60" w:after="120"/>
              <w:jc w:val="both"/>
              <w:rPr>
                <w:lang w:val="en-GB"/>
              </w:rPr>
            </w:pPr>
            <w:r w:rsidRPr="00A34F10">
              <w:t>Acceptability:</w:t>
            </w:r>
          </w:p>
        </w:tc>
        <w:tc>
          <w:tcPr>
            <w:tcW w:w="3712" w:type="pct"/>
          </w:tcPr>
          <w:p w14:paraId="4AFC313C" w14:textId="77777777" w:rsidR="00DC5685" w:rsidRPr="00A34F10" w:rsidRDefault="00DC5685" w:rsidP="00DC5685">
            <w:pPr>
              <w:keepNext/>
              <w:tabs>
                <w:tab w:val="left" w:pos="360"/>
                <w:tab w:val="left" w:pos="720"/>
              </w:tabs>
              <w:spacing w:before="60" w:after="120"/>
              <w:jc w:val="both"/>
              <w:rPr>
                <w:lang w:val="en-GB"/>
              </w:rPr>
            </w:pPr>
            <w:r w:rsidRPr="00A34F10">
              <w:rPr>
                <w:lang w:val="en-GB"/>
              </w:rPr>
              <w:t>Yes</w:t>
            </w:r>
          </w:p>
        </w:tc>
      </w:tr>
    </w:tbl>
    <w:p w14:paraId="503646FD" w14:textId="77777777" w:rsidR="00DC5685" w:rsidRPr="00A34F10" w:rsidRDefault="00DC5685" w:rsidP="00DC5685">
      <w:pPr>
        <w:rPr>
          <w:b/>
          <w:szCs w:val="32"/>
          <w:lang w:val="en-GB"/>
        </w:rPr>
      </w:pPr>
    </w:p>
    <w:p w14:paraId="4D4E35CB" w14:textId="77777777" w:rsidR="00DC5685" w:rsidRPr="00A34F10" w:rsidRDefault="00DC5685" w:rsidP="00DC5685">
      <w:pPr>
        <w:rPr>
          <w:b/>
          <w:szCs w:val="32"/>
          <w:lang w:val="en-GB"/>
        </w:rPr>
      </w:pPr>
      <w:r w:rsidRPr="00A34F10">
        <w:rPr>
          <w:b/>
          <w:szCs w:val="32"/>
          <w:lang w:val="en-GB"/>
        </w:rPr>
        <w:t>Executive Summary</w:t>
      </w:r>
    </w:p>
    <w:p w14:paraId="4C729D70" w14:textId="77777777" w:rsidR="00DC5685" w:rsidRPr="00A34F10" w:rsidRDefault="00DC5685" w:rsidP="00DC5685">
      <w:pPr>
        <w:rPr>
          <w:b/>
          <w:szCs w:val="32"/>
          <w:lang w:val="en-GB"/>
        </w:rPr>
      </w:pPr>
    </w:p>
    <w:p w14:paraId="640EB2B8" w14:textId="77777777" w:rsidR="00DC5685" w:rsidRPr="00A34F10" w:rsidRDefault="00DC5685" w:rsidP="00DC5685">
      <w:pPr>
        <w:widowControl w:val="0"/>
        <w:tabs>
          <w:tab w:val="left" w:pos="1134"/>
          <w:tab w:val="right" w:pos="8222"/>
        </w:tabs>
        <w:suppressAutoHyphens/>
        <w:jc w:val="both"/>
        <w:rPr>
          <w:snapToGrid w:val="0"/>
        </w:rPr>
      </w:pPr>
      <w:r w:rsidRPr="00A34F10">
        <w:rPr>
          <w:snapToGrid w:val="0"/>
        </w:rPr>
        <w:t>In a 10-day chronic toxicity feeding test, 1-4 day old worker honeybees (</w:t>
      </w:r>
      <w:r w:rsidRPr="00A34F10">
        <w:rPr>
          <w:i/>
          <w:snapToGrid w:val="0"/>
        </w:rPr>
        <w:t>Apis mellifera carnica</w:t>
      </w:r>
      <w:r w:rsidRPr="00A34F10">
        <w:rPr>
          <w:snapToGrid w:val="0"/>
        </w:rPr>
        <w:t xml:space="preserve"> L.) were exposed to BAS 650 00 F. The toxicity of the test item was determined at 2.7, 6.3, 12.1, 26.5 and 47.3 µg consumed a.s./bee/day (equivalent to nominal doses of 3.0, 6.0, 12.0, 23.9 and 47.9 µg a.s./bee/day), corresponding to concentrations of 0.077, 0.154, 0.307, 0.615 and 1.230 g a.s./kg food. Additionally, honeybees were treated with dimethoate as reference item or with an untreated control.</w:t>
      </w:r>
    </w:p>
    <w:p w14:paraId="22EB1F4D" w14:textId="77777777" w:rsidR="00DC5685" w:rsidRPr="00A34F10" w:rsidRDefault="00DC5685" w:rsidP="00DC5685">
      <w:pPr>
        <w:widowControl w:val="0"/>
        <w:tabs>
          <w:tab w:val="left" w:pos="1134"/>
          <w:tab w:val="right" w:pos="8222"/>
        </w:tabs>
        <w:suppressAutoHyphens/>
        <w:jc w:val="both"/>
        <w:rPr>
          <w:snapToGrid w:val="0"/>
        </w:rPr>
      </w:pPr>
    </w:p>
    <w:p w14:paraId="311C9A60" w14:textId="77777777" w:rsidR="00DC5685" w:rsidRPr="00A34F10" w:rsidRDefault="00DC5685" w:rsidP="00DC5685">
      <w:pPr>
        <w:widowControl w:val="0"/>
        <w:suppressAutoHyphens/>
        <w:jc w:val="both"/>
      </w:pPr>
      <w:r w:rsidRPr="00A34F10">
        <w:t>In the chronic toxicity feeding test, the control group showed a mean mortality of 8.3% after 10 days of testing. In the test item group, bees consuming doses of 12.1, 26.5 and 47.3 μg a.s./bee/day revealed mean mortalities of 73.3%, 98.3% and 100.0%, respectively, which were statistically significant increased compared to the control group after 10 days.</w:t>
      </w:r>
    </w:p>
    <w:p w14:paraId="315B20B4" w14:textId="77777777" w:rsidR="00DC5685" w:rsidRPr="00A34F10" w:rsidRDefault="00DC5685" w:rsidP="00DC5685">
      <w:pPr>
        <w:widowControl w:val="0"/>
        <w:suppressAutoHyphens/>
        <w:jc w:val="both"/>
      </w:pPr>
      <w:r w:rsidRPr="00A34F10">
        <w:t>In the course of the test several bees were described as affected in terms of moving uncoordinated or moribund in the three highest test item dosages (12.1, 26.5, and 47.3 μg consumed a.s./bee/day). On the last day of the test, 8 out of 16 remaining bees were described as moribund in 12.1 μg consumed a.s./bee/day treatment while no behavioral abnormalities occurred in the two lowest test item dosages.</w:t>
      </w:r>
    </w:p>
    <w:p w14:paraId="15EA8167" w14:textId="77777777" w:rsidR="008D2927" w:rsidRDefault="008D2927" w:rsidP="00DC5685">
      <w:pPr>
        <w:widowControl w:val="0"/>
        <w:suppressAutoHyphens/>
        <w:jc w:val="both"/>
      </w:pPr>
    </w:p>
    <w:p w14:paraId="4802FC01" w14:textId="73B8DC5B" w:rsidR="00DC5685" w:rsidRPr="00A34F10" w:rsidRDefault="00DC5685" w:rsidP="00DC5685">
      <w:pPr>
        <w:widowControl w:val="0"/>
        <w:suppressAutoHyphens/>
        <w:jc w:val="both"/>
      </w:pPr>
      <w:r w:rsidRPr="00A34F10">
        <w:t>In a 10-day chronic toxicity feeding test with BAS 650 00 F, the LD</w:t>
      </w:r>
      <w:r w:rsidRPr="00A34F10">
        <w:rPr>
          <w:vertAlign w:val="subscript"/>
        </w:rPr>
        <w:t>50</w:t>
      </w:r>
      <w:r w:rsidRPr="00A34F10">
        <w:t xml:space="preserve"> and LC</w:t>
      </w:r>
      <w:r w:rsidRPr="00A34F10">
        <w:rPr>
          <w:vertAlign w:val="subscript"/>
        </w:rPr>
        <w:t>50</w:t>
      </w:r>
      <w:r w:rsidRPr="00A34F10">
        <w:t xml:space="preserve"> were determined to be 10.2 μg consumed a.s./bee/day and 0.254 g a.s./kg food, respectively. The NOED was 6.3 μg consumed a.s./bee/day and the NOEC was 0.154 g a.s./kg food.</w:t>
      </w:r>
    </w:p>
    <w:p w14:paraId="358A8742" w14:textId="77777777" w:rsidR="00DC5685" w:rsidRPr="00A34F10" w:rsidRDefault="00DC5685" w:rsidP="00DC5685">
      <w:pPr>
        <w:tabs>
          <w:tab w:val="left" w:pos="720"/>
        </w:tabs>
        <w:jc w:val="both"/>
        <w:rPr>
          <w:szCs w:val="24"/>
          <w:highlight w:val="green"/>
          <w:lang w:val="en-GB"/>
        </w:rPr>
      </w:pPr>
    </w:p>
    <w:p w14:paraId="1E73C11A" w14:textId="77777777" w:rsidR="00DC5685" w:rsidRPr="00A34F10" w:rsidRDefault="00DC5685" w:rsidP="00DC5685">
      <w:pPr>
        <w:tabs>
          <w:tab w:val="left" w:pos="720"/>
        </w:tabs>
        <w:jc w:val="both"/>
        <w:rPr>
          <w:szCs w:val="24"/>
          <w:highlight w:val="green"/>
          <w:lang w:val="en-GB"/>
        </w:rPr>
      </w:pPr>
    </w:p>
    <w:p w14:paraId="59C3B8EB" w14:textId="77777777" w:rsidR="00DC5685" w:rsidRPr="00A34F10" w:rsidRDefault="00DC5685" w:rsidP="00DC5685">
      <w:pPr>
        <w:tabs>
          <w:tab w:val="left" w:pos="720"/>
        </w:tabs>
        <w:spacing w:after="240"/>
        <w:ind w:left="720" w:hanging="431"/>
        <w:contextualSpacing/>
        <w:jc w:val="center"/>
        <w:rPr>
          <w:b/>
          <w:bCs/>
          <w:szCs w:val="24"/>
          <w:lang w:val="en-GB"/>
        </w:rPr>
      </w:pPr>
      <w:r w:rsidRPr="00A34F10">
        <w:rPr>
          <w:b/>
          <w:bCs/>
          <w:szCs w:val="24"/>
          <w:lang w:val="en-GB"/>
        </w:rPr>
        <w:t>I.</w:t>
      </w:r>
      <w:r w:rsidRPr="00A34F10">
        <w:rPr>
          <w:b/>
          <w:bCs/>
          <w:szCs w:val="24"/>
          <w:lang w:val="en-GB"/>
        </w:rPr>
        <w:tab/>
        <w:t>MATERIALS AND METHODS</w:t>
      </w:r>
    </w:p>
    <w:p w14:paraId="4499EB3C"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A.</w:t>
      </w:r>
      <w:r w:rsidRPr="00A34F10">
        <w:rPr>
          <w:b/>
          <w:bCs/>
          <w:caps/>
          <w:szCs w:val="24"/>
          <w:lang w:val="en-GB"/>
        </w:rPr>
        <w:tab/>
        <w:t>MATERIALS</w:t>
      </w:r>
    </w:p>
    <w:p w14:paraId="5FE22ACC" w14:textId="77777777" w:rsidR="00DC5685" w:rsidRPr="00A34F10" w:rsidRDefault="00DC5685" w:rsidP="00DC5685">
      <w:pPr>
        <w:tabs>
          <w:tab w:val="left" w:pos="0"/>
        </w:tabs>
        <w:ind w:left="357" w:hanging="357"/>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138724C1" w14:textId="77777777" w:rsidTr="000470C3">
        <w:trPr>
          <w:cantSplit/>
          <w:trHeight w:hRule="exact" w:val="340"/>
        </w:trPr>
        <w:tc>
          <w:tcPr>
            <w:tcW w:w="3969" w:type="dxa"/>
          </w:tcPr>
          <w:p w14:paraId="0290B153" w14:textId="77777777" w:rsidR="00DC5685" w:rsidRPr="00A34F10" w:rsidRDefault="00DC5685" w:rsidP="00E05ECD">
            <w:pPr>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Test item:</w:t>
            </w:r>
          </w:p>
        </w:tc>
        <w:tc>
          <w:tcPr>
            <w:tcW w:w="5381" w:type="dxa"/>
          </w:tcPr>
          <w:p w14:paraId="03EF6F22"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BAS 650 00 F</w:t>
            </w:r>
          </w:p>
        </w:tc>
      </w:tr>
      <w:tr w:rsidR="00DC5685" w:rsidRPr="00A34F10" w14:paraId="55D7C0E7" w14:textId="77777777" w:rsidTr="000470C3">
        <w:trPr>
          <w:cantSplit/>
          <w:trHeight w:hRule="exact" w:val="340"/>
        </w:trPr>
        <w:tc>
          <w:tcPr>
            <w:tcW w:w="3969" w:type="dxa"/>
          </w:tcPr>
          <w:p w14:paraId="4299A977"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Description:</w:t>
            </w:r>
          </w:p>
        </w:tc>
        <w:tc>
          <w:tcPr>
            <w:tcW w:w="5381" w:type="dxa"/>
          </w:tcPr>
          <w:p w14:paraId="1C070F04"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Not reported</w:t>
            </w:r>
          </w:p>
        </w:tc>
      </w:tr>
      <w:tr w:rsidR="00DC5685" w:rsidRPr="00A34F10" w14:paraId="155FFDE3" w14:textId="77777777" w:rsidTr="000470C3">
        <w:trPr>
          <w:cantSplit/>
          <w:trHeight w:hRule="exact" w:val="340"/>
        </w:trPr>
        <w:tc>
          <w:tcPr>
            <w:tcW w:w="3969" w:type="dxa"/>
          </w:tcPr>
          <w:p w14:paraId="51103D73"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lastRenderedPageBreak/>
              <w:t>Lot/Batch:</w:t>
            </w:r>
          </w:p>
        </w:tc>
        <w:tc>
          <w:tcPr>
            <w:tcW w:w="5381" w:type="dxa"/>
          </w:tcPr>
          <w:p w14:paraId="77125551"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FRE-001077</w:t>
            </w:r>
          </w:p>
        </w:tc>
      </w:tr>
      <w:tr w:rsidR="00DC5685" w:rsidRPr="00A34F10" w14:paraId="66D05262" w14:textId="77777777" w:rsidTr="000470C3">
        <w:trPr>
          <w:cantSplit/>
          <w:trHeight w:hRule="exact" w:val="726"/>
        </w:trPr>
        <w:tc>
          <w:tcPr>
            <w:tcW w:w="3969" w:type="dxa"/>
          </w:tcPr>
          <w:p w14:paraId="1E9BB1E0"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Active substance content:</w:t>
            </w:r>
          </w:p>
        </w:tc>
        <w:tc>
          <w:tcPr>
            <w:tcW w:w="5381" w:type="dxa"/>
          </w:tcPr>
          <w:p w14:paraId="5603B1FE" w14:textId="77777777" w:rsidR="00DC5685" w:rsidRPr="00A34F10" w:rsidRDefault="00DC5685" w:rsidP="00DC5685">
            <w:pPr>
              <w:numPr>
                <w:ilvl w:val="3"/>
                <w:numId w:val="0"/>
              </w:numPr>
              <w:tabs>
                <w:tab w:val="left" w:pos="0"/>
                <w:tab w:val="left" w:pos="720"/>
              </w:tabs>
              <w:spacing w:line="276" w:lineRule="auto"/>
              <w:contextualSpacing/>
              <w:rPr>
                <w:rFonts w:ascii="Times New Roman" w:hAnsi="Times New Roman"/>
                <w:lang w:eastAsia="en-US"/>
              </w:rPr>
            </w:pPr>
            <w:r w:rsidRPr="00A34F10">
              <w:rPr>
                <w:rFonts w:ascii="Times New Roman" w:hAnsi="Times New Roman"/>
                <w:lang w:val="en-US" w:eastAsia="en-US"/>
              </w:rPr>
              <w:t>Ametoctradin (BAS 650 F, Reg. No. 4 993 353): 205.6 g/L analyzed (200.0 g/L nominal)</w:t>
            </w:r>
          </w:p>
        </w:tc>
      </w:tr>
      <w:tr w:rsidR="00DC5685" w:rsidRPr="00A34F10" w14:paraId="7CB600F8" w14:textId="77777777" w:rsidTr="000470C3">
        <w:trPr>
          <w:cantSplit/>
          <w:trHeight w:hRule="exact" w:val="397"/>
        </w:trPr>
        <w:tc>
          <w:tcPr>
            <w:tcW w:w="3969" w:type="dxa"/>
          </w:tcPr>
          <w:p w14:paraId="60F57621"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Density:</w:t>
            </w:r>
          </w:p>
        </w:tc>
        <w:tc>
          <w:tcPr>
            <w:tcW w:w="5381" w:type="dxa"/>
          </w:tcPr>
          <w:p w14:paraId="43C1CBD8" w14:textId="77777777" w:rsidR="00DC5685" w:rsidRPr="00A34F10" w:rsidRDefault="00DC5685" w:rsidP="00DC5685">
            <w:pPr>
              <w:numPr>
                <w:ilvl w:val="3"/>
                <w:numId w:val="0"/>
              </w:numPr>
              <w:tabs>
                <w:tab w:val="left" w:pos="0"/>
                <w:tab w:val="left" w:pos="720"/>
              </w:tabs>
              <w:spacing w:after="240"/>
              <w:ind w:left="360" w:hanging="360"/>
              <w:contextualSpacing/>
              <w:rPr>
                <w:rFonts w:ascii="Times New Roman" w:hAnsi="Times New Roman"/>
                <w:lang w:eastAsia="en-US"/>
              </w:rPr>
            </w:pPr>
            <w:r w:rsidRPr="00A34F10">
              <w:rPr>
                <w:rFonts w:ascii="Times New Roman" w:hAnsi="Times New Roman"/>
                <w:lang w:eastAsia="en-US"/>
              </w:rPr>
              <w:t>1.042 g/cm</w:t>
            </w:r>
            <w:r w:rsidRPr="00A34F10">
              <w:rPr>
                <w:rFonts w:ascii="Times New Roman" w:hAnsi="Times New Roman"/>
                <w:vertAlign w:val="superscript"/>
                <w:lang w:eastAsia="en-US"/>
              </w:rPr>
              <w:t xml:space="preserve">3 </w:t>
            </w:r>
            <w:r w:rsidRPr="00A34F10">
              <w:rPr>
                <w:rFonts w:ascii="Times New Roman" w:hAnsi="Times New Roman"/>
                <w:lang w:eastAsia="en-US"/>
              </w:rPr>
              <w:t>at 20°C</w:t>
            </w:r>
          </w:p>
        </w:tc>
      </w:tr>
      <w:tr w:rsidR="00DC5685" w:rsidRPr="00A34F10" w14:paraId="2285123F" w14:textId="77777777" w:rsidTr="000470C3">
        <w:trPr>
          <w:cantSplit/>
          <w:trHeight w:hRule="exact" w:val="907"/>
        </w:trPr>
        <w:tc>
          <w:tcPr>
            <w:tcW w:w="3969" w:type="dxa"/>
          </w:tcPr>
          <w:p w14:paraId="6D5032B0" w14:textId="77777777" w:rsidR="00DC5685" w:rsidRPr="00A34F10" w:rsidRDefault="00DC5685" w:rsidP="00E05ECD">
            <w:pPr>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Control:</w:t>
            </w:r>
          </w:p>
        </w:tc>
        <w:tc>
          <w:tcPr>
            <w:tcW w:w="5381" w:type="dxa"/>
          </w:tcPr>
          <w:p w14:paraId="38B568DF" w14:textId="77777777" w:rsidR="00DC5685" w:rsidRPr="00A34F10" w:rsidRDefault="00DC5685" w:rsidP="00DC5685">
            <w:pPr>
              <w:numPr>
                <w:ilvl w:val="3"/>
                <w:numId w:val="0"/>
              </w:numPr>
              <w:tabs>
                <w:tab w:val="left" w:pos="0"/>
                <w:tab w:val="left" w:pos="720"/>
              </w:tabs>
              <w:spacing w:line="276" w:lineRule="auto"/>
              <w:contextualSpacing/>
              <w:rPr>
                <w:rFonts w:ascii="Times New Roman" w:hAnsi="Times New Roman"/>
                <w:lang w:eastAsia="en-US"/>
              </w:rPr>
            </w:pPr>
            <w:r w:rsidRPr="00A34F10">
              <w:rPr>
                <w:rFonts w:ascii="Times New Roman" w:hAnsi="Times New Roman"/>
                <w:lang w:eastAsia="en-US"/>
              </w:rPr>
              <w:t xml:space="preserve">Control 1: untreated 50 % (w/v) aqueous sucrose solution </w:t>
            </w:r>
          </w:p>
        </w:tc>
      </w:tr>
      <w:tr w:rsidR="00DC5685" w:rsidRPr="00A34F10" w14:paraId="31F55A75" w14:textId="77777777" w:rsidTr="000470C3">
        <w:trPr>
          <w:cantSplit/>
          <w:trHeight w:hRule="exact" w:val="672"/>
        </w:trPr>
        <w:tc>
          <w:tcPr>
            <w:tcW w:w="3969" w:type="dxa"/>
          </w:tcPr>
          <w:p w14:paraId="6619CF8E" w14:textId="77777777" w:rsidR="00DC5685" w:rsidRPr="00A34F10" w:rsidRDefault="00DC5685" w:rsidP="00E05ECD">
            <w:pPr>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Reference item:</w:t>
            </w:r>
          </w:p>
        </w:tc>
        <w:tc>
          <w:tcPr>
            <w:tcW w:w="5381" w:type="dxa"/>
          </w:tcPr>
          <w:p w14:paraId="073C5E2B" w14:textId="77777777" w:rsidR="00DC5685" w:rsidRPr="00A34F10" w:rsidRDefault="00DC5685" w:rsidP="00DC5685">
            <w:pPr>
              <w:numPr>
                <w:ilvl w:val="3"/>
                <w:numId w:val="0"/>
              </w:numPr>
              <w:tabs>
                <w:tab w:val="left" w:pos="0"/>
                <w:tab w:val="left" w:pos="720"/>
              </w:tabs>
              <w:spacing w:after="240"/>
              <w:contextualSpacing/>
              <w:rPr>
                <w:rFonts w:ascii="Times New Roman" w:hAnsi="Times New Roman"/>
                <w:lang w:eastAsia="en-US"/>
              </w:rPr>
            </w:pPr>
            <w:r w:rsidRPr="00A34F10">
              <w:rPr>
                <w:rFonts w:ascii="Times New Roman" w:hAnsi="Times New Roman"/>
                <w:lang w:eastAsia="en-US"/>
              </w:rPr>
              <w:t>dimethoate, 400 g/L nominal, 411.20 g/L analysed</w:t>
            </w:r>
          </w:p>
        </w:tc>
      </w:tr>
    </w:tbl>
    <w:p w14:paraId="2C9C153E" w14:textId="77777777" w:rsidR="00DC5685" w:rsidRPr="00A34F10" w:rsidRDefault="00DC5685" w:rsidP="00DC5685">
      <w:pPr>
        <w:tabs>
          <w:tab w:val="left" w:pos="0"/>
        </w:tabs>
        <w:ind w:left="357" w:hanging="357"/>
        <w:contextualSpacing/>
        <w:rPr>
          <w:caps/>
          <w:lang w:val="en-GB"/>
        </w:rPr>
      </w:pPr>
    </w:p>
    <w:p w14:paraId="7AE7C416" w14:textId="77777777" w:rsidR="00DC5685" w:rsidRPr="00A34F10" w:rsidRDefault="00DC5685" w:rsidP="00DC5685">
      <w:pPr>
        <w:tabs>
          <w:tab w:val="left" w:pos="0"/>
        </w:tabs>
        <w:ind w:left="357" w:hanging="357"/>
        <w:contextualSpacing/>
        <w:rPr>
          <w:b/>
          <w:bCs/>
          <w:caps/>
          <w:lang w:val="en-GB"/>
        </w:rPr>
      </w:pPr>
      <w:r w:rsidRPr="00A34F10">
        <w:rPr>
          <w:b/>
          <w:bCs/>
          <w:caps/>
          <w:lang w:val="en-GB"/>
        </w:rPr>
        <w:t>B.</w:t>
      </w:r>
      <w:r w:rsidRPr="00A34F10">
        <w:rPr>
          <w:b/>
          <w:bCs/>
          <w:caps/>
          <w:lang w:val="en-GB"/>
        </w:rPr>
        <w:tab/>
        <w:t>study design and methods</w:t>
      </w:r>
    </w:p>
    <w:p w14:paraId="285A74A8" w14:textId="77777777" w:rsidR="00DC5685" w:rsidRPr="00A34F10" w:rsidRDefault="00DC5685" w:rsidP="00DC5685">
      <w:pPr>
        <w:tabs>
          <w:tab w:val="left" w:pos="0"/>
        </w:tabs>
        <w:ind w:left="357" w:hanging="357"/>
        <w:contextualSpacing/>
        <w:rPr>
          <w:b/>
          <w:bCs/>
          <w:caps/>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47ACF73E" w14:textId="77777777" w:rsidTr="000470C3">
        <w:trPr>
          <w:trHeight w:hRule="exact" w:val="677"/>
        </w:trPr>
        <w:tc>
          <w:tcPr>
            <w:tcW w:w="3969" w:type="dxa"/>
          </w:tcPr>
          <w:p w14:paraId="313A23D4" w14:textId="77777777" w:rsidR="00DC5685" w:rsidRPr="00A34F10" w:rsidRDefault="00DC5685" w:rsidP="00E05ECD">
            <w:pPr>
              <w:numPr>
                <w:ilvl w:val="0"/>
                <w:numId w:val="52"/>
              </w:numPr>
              <w:tabs>
                <w:tab w:val="left" w:pos="0"/>
                <w:tab w:val="left" w:pos="255"/>
                <w:tab w:val="left" w:pos="720"/>
              </w:tabs>
              <w:spacing w:after="240"/>
              <w:contextualSpacing/>
              <w:rPr>
                <w:rFonts w:ascii="Times New Roman" w:hAnsi="Times New Roman"/>
                <w:lang w:eastAsia="en-US"/>
              </w:rPr>
            </w:pPr>
            <w:r w:rsidRPr="00A34F10">
              <w:rPr>
                <w:rFonts w:ascii="Times New Roman" w:hAnsi="Times New Roman"/>
                <w:lang w:eastAsia="en-US"/>
              </w:rPr>
              <w:t>Test species:</w:t>
            </w:r>
          </w:p>
        </w:tc>
        <w:tc>
          <w:tcPr>
            <w:tcW w:w="5381" w:type="dxa"/>
          </w:tcPr>
          <w:p w14:paraId="1E7D4AD8" w14:textId="77777777" w:rsidR="00DC5685" w:rsidRPr="00A34F10" w:rsidRDefault="00DC5685" w:rsidP="00DC5685">
            <w:pPr>
              <w:numPr>
                <w:ilvl w:val="3"/>
                <w:numId w:val="0"/>
              </w:numPr>
              <w:tabs>
                <w:tab w:val="left" w:pos="0"/>
                <w:tab w:val="left" w:pos="720"/>
              </w:tabs>
              <w:spacing w:after="240" w:line="276" w:lineRule="auto"/>
              <w:contextualSpacing/>
              <w:rPr>
                <w:rFonts w:ascii="Times New Roman" w:hAnsi="Times New Roman"/>
                <w:lang w:eastAsia="en-US"/>
              </w:rPr>
            </w:pPr>
            <w:r w:rsidRPr="00A34F10">
              <w:rPr>
                <w:rFonts w:ascii="Times New Roman" w:hAnsi="Times New Roman"/>
                <w:i/>
                <w:iCs/>
                <w:lang w:eastAsia="en-US"/>
              </w:rPr>
              <w:t>Apis mellifera carnica</w:t>
            </w:r>
            <w:r w:rsidRPr="00A34F10">
              <w:rPr>
                <w:rFonts w:ascii="Times New Roman" w:hAnsi="Times New Roman"/>
                <w:lang w:eastAsia="en-US"/>
              </w:rPr>
              <w:t xml:space="preserve"> L. (honeybee), deriving from healthy and queen-right colonies</w:t>
            </w:r>
          </w:p>
        </w:tc>
      </w:tr>
      <w:tr w:rsidR="00DC5685" w:rsidRPr="00A34F10" w14:paraId="54B6D83F" w14:textId="77777777" w:rsidTr="000470C3">
        <w:trPr>
          <w:trHeight w:hRule="exact" w:val="397"/>
        </w:trPr>
        <w:tc>
          <w:tcPr>
            <w:tcW w:w="3969" w:type="dxa"/>
          </w:tcPr>
          <w:p w14:paraId="5195D6E5"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 xml:space="preserve">Age/life stage: </w:t>
            </w:r>
          </w:p>
        </w:tc>
        <w:tc>
          <w:tcPr>
            <w:tcW w:w="5381" w:type="dxa"/>
          </w:tcPr>
          <w:p w14:paraId="7C61F311" w14:textId="77777777" w:rsidR="00DC5685" w:rsidRPr="00A34F10" w:rsidRDefault="00DC5685" w:rsidP="00DC5685">
            <w:pPr>
              <w:numPr>
                <w:ilvl w:val="3"/>
                <w:numId w:val="0"/>
              </w:numPr>
              <w:tabs>
                <w:tab w:val="left" w:pos="0"/>
                <w:tab w:val="left" w:pos="720"/>
              </w:tabs>
              <w:spacing w:after="240" w:line="276" w:lineRule="auto"/>
              <w:ind w:left="360" w:hanging="360"/>
              <w:contextualSpacing/>
              <w:rPr>
                <w:rFonts w:ascii="Times New Roman" w:hAnsi="Times New Roman"/>
                <w:lang w:eastAsia="en-US"/>
              </w:rPr>
            </w:pPr>
            <w:r w:rsidRPr="00A34F10">
              <w:rPr>
                <w:rFonts w:ascii="Times New Roman" w:hAnsi="Times New Roman"/>
                <w:lang w:eastAsia="en-US"/>
              </w:rPr>
              <w:t>Maximum 1-4 days old at test start</w:t>
            </w:r>
          </w:p>
        </w:tc>
      </w:tr>
      <w:tr w:rsidR="00DC5685" w:rsidRPr="00902592" w14:paraId="6E3681AC" w14:textId="77777777" w:rsidTr="000470C3">
        <w:trPr>
          <w:trHeight w:hRule="exact" w:val="680"/>
        </w:trPr>
        <w:tc>
          <w:tcPr>
            <w:tcW w:w="3969" w:type="dxa"/>
          </w:tcPr>
          <w:p w14:paraId="0592D982"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Source:</w:t>
            </w:r>
          </w:p>
        </w:tc>
        <w:tc>
          <w:tcPr>
            <w:tcW w:w="5381" w:type="dxa"/>
          </w:tcPr>
          <w:p w14:paraId="6DAF03ED" w14:textId="77777777" w:rsidR="00DC5685" w:rsidRPr="00A34F10" w:rsidRDefault="00DC5685" w:rsidP="00DC5685">
            <w:pPr>
              <w:numPr>
                <w:ilvl w:val="3"/>
                <w:numId w:val="0"/>
              </w:numPr>
              <w:tabs>
                <w:tab w:val="left" w:pos="0"/>
                <w:tab w:val="left" w:pos="720"/>
              </w:tabs>
              <w:spacing w:after="240"/>
              <w:contextualSpacing/>
              <w:rPr>
                <w:rFonts w:ascii="Times New Roman" w:hAnsi="Times New Roman"/>
                <w:lang w:val="de-DE" w:eastAsia="en-US"/>
              </w:rPr>
            </w:pPr>
            <w:r w:rsidRPr="00A34F10">
              <w:rPr>
                <w:rFonts w:ascii="Times New Roman" w:hAnsi="Times New Roman"/>
                <w:lang w:val="de-DE" w:eastAsia="en-US"/>
              </w:rPr>
              <w:t>Bienenfarm Kern GmbH, Leipzig, Germany.</w:t>
            </w:r>
          </w:p>
        </w:tc>
      </w:tr>
      <w:tr w:rsidR="00DC5685" w:rsidRPr="00A34F10" w14:paraId="495F9085" w14:textId="77777777" w:rsidTr="000470C3">
        <w:trPr>
          <w:trHeight w:hRule="exact" w:val="347"/>
        </w:trPr>
        <w:tc>
          <w:tcPr>
            <w:tcW w:w="3969" w:type="dxa"/>
          </w:tcPr>
          <w:p w14:paraId="3C1996F3"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 xml:space="preserve">Diet: </w:t>
            </w:r>
          </w:p>
        </w:tc>
        <w:tc>
          <w:tcPr>
            <w:tcW w:w="5381" w:type="dxa"/>
          </w:tcPr>
          <w:p w14:paraId="3CC0BEAC" w14:textId="77777777" w:rsidR="00DC5685" w:rsidRPr="00A34F10" w:rsidRDefault="00DC5685" w:rsidP="00DC5685">
            <w:pPr>
              <w:numPr>
                <w:ilvl w:val="3"/>
                <w:numId w:val="0"/>
              </w:numPr>
              <w:tabs>
                <w:tab w:val="left" w:pos="0"/>
                <w:tab w:val="left" w:pos="720"/>
              </w:tabs>
              <w:spacing w:after="240"/>
              <w:contextualSpacing/>
              <w:rPr>
                <w:rFonts w:ascii="Times New Roman" w:hAnsi="Times New Roman"/>
                <w:lang w:eastAsia="en-US"/>
              </w:rPr>
            </w:pPr>
            <w:r w:rsidRPr="00A34F10">
              <w:rPr>
                <w:rFonts w:ascii="Times New Roman" w:hAnsi="Times New Roman"/>
                <w:lang w:eastAsia="en-US"/>
              </w:rPr>
              <w:t xml:space="preserve">50 % (w/v) aqueous sucrose solution, </w:t>
            </w:r>
          </w:p>
        </w:tc>
      </w:tr>
      <w:tr w:rsidR="00DC5685" w:rsidRPr="00A34F10" w14:paraId="39A6285E" w14:textId="77777777" w:rsidTr="000470C3">
        <w:trPr>
          <w:trHeight w:hRule="exact" w:val="1191"/>
        </w:trPr>
        <w:tc>
          <w:tcPr>
            <w:tcW w:w="3969" w:type="dxa"/>
          </w:tcPr>
          <w:p w14:paraId="72381575" w14:textId="77777777" w:rsidR="00DC5685" w:rsidRPr="00A34F10" w:rsidRDefault="00DC5685" w:rsidP="00E05ECD">
            <w:pPr>
              <w:numPr>
                <w:ilvl w:val="0"/>
                <w:numId w:val="52"/>
              </w:numPr>
              <w:tabs>
                <w:tab w:val="left" w:pos="0"/>
                <w:tab w:val="left" w:pos="255"/>
                <w:tab w:val="left" w:pos="720"/>
              </w:tabs>
              <w:spacing w:after="240"/>
              <w:contextualSpacing/>
              <w:rPr>
                <w:rFonts w:ascii="Times New Roman" w:hAnsi="Times New Roman"/>
                <w:lang w:eastAsia="en-US"/>
              </w:rPr>
            </w:pPr>
            <w:r w:rsidRPr="00A34F10">
              <w:rPr>
                <w:rFonts w:ascii="Times New Roman" w:hAnsi="Times New Roman"/>
                <w:lang w:eastAsia="en-US"/>
              </w:rPr>
              <w:t>Test units:</w:t>
            </w:r>
          </w:p>
        </w:tc>
        <w:tc>
          <w:tcPr>
            <w:tcW w:w="5381" w:type="dxa"/>
          </w:tcPr>
          <w:p w14:paraId="6C9C0CDB" w14:textId="77777777" w:rsidR="00DC5685" w:rsidRPr="00A34F10" w:rsidRDefault="00DC5685" w:rsidP="00DC5685">
            <w:pPr>
              <w:numPr>
                <w:ilvl w:val="3"/>
                <w:numId w:val="0"/>
              </w:numPr>
              <w:tabs>
                <w:tab w:val="left" w:pos="0"/>
                <w:tab w:val="left" w:pos="720"/>
              </w:tabs>
              <w:spacing w:after="240"/>
              <w:contextualSpacing/>
              <w:rPr>
                <w:rFonts w:ascii="Times New Roman" w:hAnsi="Times New Roman"/>
                <w:lang w:eastAsia="en-US"/>
              </w:rPr>
            </w:pPr>
            <w:r w:rsidRPr="00A34F10">
              <w:rPr>
                <w:rFonts w:ascii="Times New Roman" w:hAnsi="Times New Roman"/>
                <w:lang w:eastAsia="en-US"/>
              </w:rPr>
              <w:t xml:space="preserve">Aluminium cages with the dimensions (95 mm width × 60 mm depth × 70 mm height) with holes in the lateral walls for ventilation and two glass plates (one in the front and one in the back) for observations </w:t>
            </w:r>
          </w:p>
        </w:tc>
      </w:tr>
      <w:tr w:rsidR="00DC5685" w:rsidRPr="00A34F10" w14:paraId="26B553B4" w14:textId="77777777" w:rsidTr="000470C3">
        <w:trPr>
          <w:trHeight w:hRule="exact" w:val="340"/>
        </w:trPr>
        <w:tc>
          <w:tcPr>
            <w:tcW w:w="3969" w:type="dxa"/>
          </w:tcPr>
          <w:p w14:paraId="36676CE6" w14:textId="77777777" w:rsidR="00DC5685" w:rsidRPr="00A34F10" w:rsidRDefault="00DC5685" w:rsidP="00E05ECD">
            <w:pPr>
              <w:numPr>
                <w:ilvl w:val="0"/>
                <w:numId w:val="52"/>
              </w:numPr>
              <w:tabs>
                <w:tab w:val="left" w:pos="0"/>
                <w:tab w:val="left" w:pos="255"/>
                <w:tab w:val="left" w:pos="720"/>
              </w:tabs>
              <w:spacing w:after="240"/>
              <w:contextualSpacing/>
              <w:jc w:val="both"/>
              <w:rPr>
                <w:rFonts w:ascii="Times New Roman" w:hAnsi="Times New Roman"/>
                <w:lang w:eastAsia="en-US"/>
              </w:rPr>
            </w:pPr>
            <w:r w:rsidRPr="00A34F10">
              <w:rPr>
                <w:rFonts w:ascii="Times New Roman" w:hAnsi="Times New Roman"/>
                <w:lang w:eastAsia="en-US"/>
              </w:rPr>
              <w:t>Environmental conditions</w:t>
            </w:r>
          </w:p>
        </w:tc>
        <w:tc>
          <w:tcPr>
            <w:tcW w:w="5381" w:type="dxa"/>
          </w:tcPr>
          <w:p w14:paraId="38C989B9"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p>
        </w:tc>
      </w:tr>
      <w:tr w:rsidR="00DC5685" w:rsidRPr="00A34F10" w14:paraId="271B2813" w14:textId="77777777" w:rsidTr="000470C3">
        <w:trPr>
          <w:trHeight w:hRule="exact" w:val="340"/>
        </w:trPr>
        <w:tc>
          <w:tcPr>
            <w:tcW w:w="3969" w:type="dxa"/>
          </w:tcPr>
          <w:p w14:paraId="1558DD89"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Temperature:</w:t>
            </w:r>
          </w:p>
        </w:tc>
        <w:tc>
          <w:tcPr>
            <w:tcW w:w="5381" w:type="dxa"/>
          </w:tcPr>
          <w:p w14:paraId="0D378CA4"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32.6 – 33.2°C</w:t>
            </w:r>
          </w:p>
        </w:tc>
      </w:tr>
      <w:tr w:rsidR="00DC5685" w:rsidRPr="00A34F10" w14:paraId="369AD876" w14:textId="77777777" w:rsidTr="000470C3">
        <w:trPr>
          <w:trHeight w:hRule="exact" w:val="340"/>
        </w:trPr>
        <w:tc>
          <w:tcPr>
            <w:tcW w:w="3969" w:type="dxa"/>
          </w:tcPr>
          <w:p w14:paraId="57DD3918"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Relative humidity:</w:t>
            </w:r>
          </w:p>
        </w:tc>
        <w:tc>
          <w:tcPr>
            <w:tcW w:w="5381" w:type="dxa"/>
          </w:tcPr>
          <w:p w14:paraId="5CE41F8A"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57% - 62%</w:t>
            </w:r>
          </w:p>
        </w:tc>
      </w:tr>
      <w:tr w:rsidR="00DC5685" w:rsidRPr="00A34F10" w14:paraId="1EA91F0A" w14:textId="77777777" w:rsidTr="000470C3">
        <w:trPr>
          <w:trHeight w:hRule="exact" w:val="802"/>
        </w:trPr>
        <w:tc>
          <w:tcPr>
            <w:tcW w:w="3969" w:type="dxa"/>
          </w:tcPr>
          <w:p w14:paraId="6D6EECD9"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Photoperiod:</w:t>
            </w:r>
          </w:p>
        </w:tc>
        <w:tc>
          <w:tcPr>
            <w:tcW w:w="5381" w:type="dxa"/>
          </w:tcPr>
          <w:p w14:paraId="538133B2" w14:textId="77777777" w:rsidR="00DC5685" w:rsidRPr="00A34F10" w:rsidRDefault="00DC5685" w:rsidP="00DC5685">
            <w:pPr>
              <w:numPr>
                <w:ilvl w:val="3"/>
                <w:numId w:val="0"/>
              </w:numPr>
              <w:tabs>
                <w:tab w:val="left" w:pos="0"/>
                <w:tab w:val="left" w:pos="720"/>
              </w:tabs>
              <w:spacing w:after="240"/>
              <w:contextualSpacing/>
              <w:jc w:val="both"/>
              <w:rPr>
                <w:rFonts w:ascii="Times New Roman" w:hAnsi="Times New Roman"/>
                <w:lang w:eastAsia="en-US"/>
              </w:rPr>
            </w:pPr>
            <w:r w:rsidRPr="00A34F10">
              <w:rPr>
                <w:rFonts w:ascii="Times New Roman" w:hAnsi="Times New Roman"/>
                <w:lang w:eastAsia="en-US"/>
              </w:rPr>
              <w:t>Constant darkness (artificial light of approx. 100 lux during assessments and exchange of feeders)</w:t>
            </w:r>
          </w:p>
        </w:tc>
      </w:tr>
    </w:tbl>
    <w:p w14:paraId="59188146" w14:textId="11C07507" w:rsidR="00B84B62" w:rsidRPr="00A34F10" w:rsidRDefault="00B84B62" w:rsidP="00DC5685">
      <w:pPr>
        <w:numPr>
          <w:ilvl w:val="3"/>
          <w:numId w:val="0"/>
        </w:numPr>
        <w:tabs>
          <w:tab w:val="left" w:pos="0"/>
        </w:tabs>
        <w:ind w:left="360" w:hanging="360"/>
        <w:contextualSpacing/>
        <w:rPr>
          <w:b/>
          <w:bCs/>
          <w:szCs w:val="24"/>
          <w:highlight w:val="green"/>
          <w:lang w:val="en-GB"/>
        </w:rPr>
      </w:pPr>
    </w:p>
    <w:p w14:paraId="1C242E94" w14:textId="77777777" w:rsidR="00DC5685" w:rsidRPr="00A34F10" w:rsidRDefault="00DC5685" w:rsidP="00E05ECD">
      <w:pPr>
        <w:numPr>
          <w:ilvl w:val="0"/>
          <w:numId w:val="52"/>
        </w:numPr>
        <w:tabs>
          <w:tab w:val="left" w:pos="0"/>
        </w:tabs>
        <w:contextualSpacing/>
        <w:rPr>
          <w:b/>
          <w:bCs/>
          <w:szCs w:val="24"/>
          <w:lang w:val="en-GB"/>
        </w:rPr>
      </w:pPr>
      <w:r w:rsidRPr="00A34F10">
        <w:rPr>
          <w:b/>
          <w:bCs/>
          <w:szCs w:val="24"/>
          <w:lang w:val="en-GB"/>
        </w:rPr>
        <w:t xml:space="preserve">Test organism and treatment: </w:t>
      </w:r>
    </w:p>
    <w:p w14:paraId="331B9691" w14:textId="77777777" w:rsidR="00DC5685" w:rsidRPr="00A34F10" w:rsidRDefault="00DC5685" w:rsidP="00DC5685">
      <w:pPr>
        <w:tabs>
          <w:tab w:val="left" w:pos="720"/>
        </w:tabs>
        <w:spacing w:after="240"/>
        <w:jc w:val="both"/>
        <w:rPr>
          <w:szCs w:val="24"/>
          <w:lang w:val="en-GB"/>
        </w:rPr>
      </w:pPr>
      <w:r w:rsidRPr="00A34F10">
        <w:t xml:space="preserve">In a 10-day test, young adults of </w:t>
      </w:r>
      <w:r w:rsidRPr="00A34F10">
        <w:rPr>
          <w:i/>
        </w:rPr>
        <w:t>Apis mellifera</w:t>
      </w:r>
      <w:r w:rsidRPr="00A34F10">
        <w:t xml:space="preserve"> L. were daily exposed to 5 doses of BAS 650 00 F in treated food (50% (</w:t>
      </w:r>
      <w:r w:rsidRPr="00A34F10">
        <w:rPr>
          <w:i/>
        </w:rPr>
        <w:t>w</w:t>
      </w:r>
      <w:r w:rsidRPr="00A34F10">
        <w:t>/</w:t>
      </w:r>
      <w:r w:rsidRPr="00A34F10">
        <w:rPr>
          <w:i/>
        </w:rPr>
        <w:t>v</w:t>
      </w:r>
      <w:r w:rsidRPr="00A34F10">
        <w:t>) aqueous sucrose solution). In total, 3 treatment groups were set up: 5 doses of the test item, one untreated control group fed with 50% (</w:t>
      </w:r>
      <w:r w:rsidRPr="00A34F10">
        <w:rPr>
          <w:i/>
        </w:rPr>
        <w:t>w/v</w:t>
      </w:r>
      <w:r w:rsidRPr="00A34F10">
        <w:t xml:space="preserve">) aqueous sucrose solution and 4 doses of the reference item with 3 replicates per dose and 20 bees per replicate. Assessments of bee mortality and behavioral effects were done daily during the study. Nominal test concentrations were </w:t>
      </w:r>
      <w:r w:rsidRPr="00A34F10">
        <w:rPr>
          <w:snapToGrid w:val="0"/>
        </w:rPr>
        <w:t>2.7, 6.3, 12.1, 26.5 and 47.3 µg consumed a.s./bee/day</w:t>
      </w:r>
      <w:r w:rsidRPr="00A34F10">
        <w:t xml:space="preserve"> (</w:t>
      </w:r>
      <w:r w:rsidRPr="00A34F10">
        <w:rPr>
          <w:snapToGrid w:val="0"/>
        </w:rPr>
        <w:t>equivalent to nominal doses of 3.0, 6.0, 12.0, 23.9 and 47.9 µg a.s./bee/day</w:t>
      </w:r>
      <w:r w:rsidRPr="00A34F10">
        <w:t xml:space="preserve">), corresponding to concentrations of </w:t>
      </w:r>
      <w:r w:rsidRPr="00A34F10">
        <w:rPr>
          <w:snapToGrid w:val="0"/>
        </w:rPr>
        <w:t>0.077, 0.154, 0.307, 0.615 and 1.230 g a.s./kg food</w:t>
      </w:r>
      <w:r w:rsidRPr="00A34F10">
        <w:t>; reference item: 5.9, 9.8, 16.4 and 27.3 ng dimethoate/bee/day, corresponding to 0.152, 0.253, 0.421 and 0.702 mg a.s./kg food.</w:t>
      </w:r>
      <w:r w:rsidRPr="00A34F10">
        <w:rPr>
          <w:szCs w:val="24"/>
          <w:lang w:val="en-GB"/>
        </w:rPr>
        <w:t xml:space="preserve"> </w:t>
      </w:r>
    </w:p>
    <w:p w14:paraId="446C185C" w14:textId="77777777" w:rsidR="00DC5685" w:rsidRPr="00A34F10" w:rsidRDefault="00DC5685" w:rsidP="00E05ECD">
      <w:pPr>
        <w:numPr>
          <w:ilvl w:val="0"/>
          <w:numId w:val="52"/>
        </w:numPr>
        <w:tabs>
          <w:tab w:val="left" w:pos="0"/>
        </w:tabs>
        <w:contextualSpacing/>
        <w:rPr>
          <w:b/>
          <w:bCs/>
          <w:szCs w:val="24"/>
          <w:lang w:val="en-GB"/>
        </w:rPr>
      </w:pPr>
      <w:r w:rsidRPr="00A34F10">
        <w:rPr>
          <w:b/>
          <w:bCs/>
          <w:szCs w:val="24"/>
          <w:lang w:val="en-GB"/>
        </w:rPr>
        <w:t xml:space="preserve">Measurements and observations: </w:t>
      </w:r>
    </w:p>
    <w:p w14:paraId="01EF598B" w14:textId="77777777" w:rsidR="00DC5685" w:rsidRPr="00A34F10" w:rsidRDefault="00DC5685" w:rsidP="00DC5685">
      <w:pPr>
        <w:tabs>
          <w:tab w:val="left" w:pos="720"/>
        </w:tabs>
        <w:jc w:val="both"/>
        <w:rPr>
          <w:szCs w:val="24"/>
          <w:lang w:val="en-GB"/>
        </w:rPr>
      </w:pPr>
      <w:r w:rsidRPr="00A34F10">
        <w:rPr>
          <w:szCs w:val="24"/>
          <w:lang w:val="en-GB"/>
        </w:rPr>
        <w:t xml:space="preserve">Mortality and behavioural abnormalities were recorded </w:t>
      </w:r>
    </w:p>
    <w:p w14:paraId="0ECD2800" w14:textId="77777777" w:rsidR="00DC5685" w:rsidRPr="00A34F10" w:rsidRDefault="00DC5685" w:rsidP="00DC5685">
      <w:pPr>
        <w:tabs>
          <w:tab w:val="left" w:pos="720"/>
        </w:tabs>
        <w:jc w:val="both"/>
        <w:rPr>
          <w:szCs w:val="24"/>
          <w:lang w:val="en-GB"/>
        </w:rPr>
      </w:pPr>
    </w:p>
    <w:p w14:paraId="6F843E3F" w14:textId="77777777" w:rsidR="00DC5685" w:rsidRPr="00A34F10" w:rsidRDefault="00DC5685" w:rsidP="00E05ECD">
      <w:pPr>
        <w:numPr>
          <w:ilvl w:val="0"/>
          <w:numId w:val="52"/>
        </w:numPr>
        <w:tabs>
          <w:tab w:val="left" w:pos="0"/>
        </w:tabs>
        <w:contextualSpacing/>
        <w:rPr>
          <w:b/>
          <w:bCs/>
          <w:szCs w:val="24"/>
          <w:lang w:val="en-GB"/>
        </w:rPr>
      </w:pPr>
      <w:r w:rsidRPr="00A34F10">
        <w:rPr>
          <w:b/>
          <w:bCs/>
          <w:szCs w:val="24"/>
          <w:lang w:val="en-GB"/>
        </w:rPr>
        <w:t xml:space="preserve">Statistical analysis: </w:t>
      </w:r>
    </w:p>
    <w:p w14:paraId="3F54E435" w14:textId="77777777" w:rsidR="00DC5685" w:rsidRPr="00A34F10" w:rsidRDefault="00DC5685" w:rsidP="00DC5685">
      <w:pPr>
        <w:tabs>
          <w:tab w:val="left" w:pos="720"/>
        </w:tabs>
        <w:spacing w:after="240"/>
        <w:jc w:val="both"/>
        <w:rPr>
          <w:szCs w:val="24"/>
          <w:lang w:val="en-GB"/>
        </w:rPr>
      </w:pPr>
      <w:r w:rsidRPr="00A34F10">
        <w:t xml:space="preserve">Descriptive statistics; Fisher’s Exact Binomial test with Bonferroni Correction for mortality data (one-sided greater, </w:t>
      </w:r>
      <w:r w:rsidRPr="00A34F10">
        <w:sym w:font="Symbol" w:char="F061"/>
      </w:r>
      <w:r w:rsidRPr="00A34F10">
        <w:t> = 0.05); Probit analysis using linear maximum likelihood regression for calculation of LC</w:t>
      </w:r>
      <w:r w:rsidRPr="00A34F10">
        <w:rPr>
          <w:vertAlign w:val="subscript"/>
        </w:rPr>
        <w:t>50</w:t>
      </w:r>
      <w:r w:rsidRPr="00A34F10">
        <w:t>/LD</w:t>
      </w:r>
      <w:r w:rsidRPr="00A34F10">
        <w:rPr>
          <w:vertAlign w:val="subscript"/>
        </w:rPr>
        <w:t>50</w:t>
      </w:r>
      <w:r w:rsidRPr="00A34F10">
        <w:t xml:space="preserve"> of the test item.</w:t>
      </w:r>
    </w:p>
    <w:p w14:paraId="36C39FB1" w14:textId="77777777" w:rsidR="00DC5685" w:rsidRPr="00A34F10" w:rsidRDefault="00DC5685" w:rsidP="00DC5685">
      <w:pPr>
        <w:widowControl w:val="0"/>
        <w:rPr>
          <w:szCs w:val="24"/>
          <w:highlight w:val="green"/>
        </w:rPr>
      </w:pPr>
    </w:p>
    <w:p w14:paraId="09D22C5C" w14:textId="77777777" w:rsidR="00DC5685" w:rsidRPr="00A34F10" w:rsidRDefault="00DC5685" w:rsidP="00DC5685">
      <w:pPr>
        <w:tabs>
          <w:tab w:val="left" w:pos="720"/>
        </w:tabs>
        <w:spacing w:after="480"/>
        <w:ind w:left="720" w:hanging="431"/>
        <w:contextualSpacing/>
        <w:jc w:val="center"/>
        <w:rPr>
          <w:b/>
          <w:bCs/>
          <w:szCs w:val="24"/>
          <w:lang w:val="en-GB"/>
        </w:rPr>
      </w:pPr>
      <w:r w:rsidRPr="00A34F10">
        <w:rPr>
          <w:b/>
          <w:bCs/>
          <w:szCs w:val="24"/>
          <w:lang w:val="en-GB"/>
        </w:rPr>
        <w:lastRenderedPageBreak/>
        <w:t>II. RESULTS AND DISCUSSION</w:t>
      </w:r>
    </w:p>
    <w:p w14:paraId="5EFC7DD7" w14:textId="77777777" w:rsidR="00DC5685" w:rsidRPr="00A34F10" w:rsidRDefault="00DC5685" w:rsidP="00DC5685">
      <w:pPr>
        <w:tabs>
          <w:tab w:val="left" w:pos="720"/>
        </w:tabs>
        <w:spacing w:after="240"/>
        <w:ind w:left="720" w:hanging="431"/>
        <w:contextualSpacing/>
        <w:jc w:val="center"/>
        <w:rPr>
          <w:b/>
          <w:bCs/>
          <w:szCs w:val="24"/>
          <w:lang w:val="en-GB"/>
        </w:rPr>
      </w:pPr>
    </w:p>
    <w:p w14:paraId="177498B2" w14:textId="77777777" w:rsidR="00DC5685" w:rsidRPr="00A34F10" w:rsidRDefault="00DC5685" w:rsidP="00DC5685">
      <w:pPr>
        <w:widowControl w:val="0"/>
        <w:suppressAutoHyphens/>
        <w:jc w:val="both"/>
      </w:pPr>
      <w:r w:rsidRPr="00A34F10">
        <w:t xml:space="preserve">In the chronic toxicity feeding test, the control group showed a mean mortality of 8.3% after 10 days of testing. In the test item group, bees consuming doses of 12.1, 26.5 and 47.3 μg a.s./bee/day revealed mean mortalities of 73.3%, 98.3% and 100.0%, respectively, which were statistically significant increased compared to the control group after 10 days (Fisher’s Exact Binomial test with Bonferroni Correction, one-sided greater, </w:t>
      </w:r>
      <w:r w:rsidRPr="00A34F10">
        <w:sym w:font="Symbol" w:char="F061"/>
      </w:r>
      <w:r w:rsidRPr="00A34F10">
        <w:t> = 0.05). In the course of the test several bees were described as affected in terms of moving uncoordinated or moribund in the three highest test item dosages (12.1, 26.5, and 47.3 μg consumed a.s./bee/day). On the last day of the test 8 out of 16 remaining bees were described as moribund 12.1 μg consumed a.s./bee/day treatment while no behavioral abnormalities occurred in the two lowest test item dosages.</w:t>
      </w:r>
    </w:p>
    <w:p w14:paraId="6F12943E" w14:textId="6F9A7445" w:rsidR="00DC5685" w:rsidRPr="00A34F10" w:rsidRDefault="00DC5685" w:rsidP="00DC5685">
      <w:pPr>
        <w:widowControl w:val="0"/>
        <w:suppressAutoHyphens/>
        <w:jc w:val="both"/>
        <w:rPr>
          <w:snapToGrid w:val="0"/>
        </w:rPr>
      </w:pPr>
      <w:r w:rsidRPr="00A34F10">
        <w:rPr>
          <w:snapToGrid w:val="0"/>
        </w:rPr>
        <w:t>The results are summarized in</w:t>
      </w:r>
      <w:r w:rsidR="00EA5555">
        <w:rPr>
          <w:snapToGrid w:val="0"/>
        </w:rPr>
        <w:t xml:space="preserve"> </w:t>
      </w:r>
      <w:r w:rsidR="00EA5555">
        <w:rPr>
          <w:snapToGrid w:val="0"/>
        </w:rPr>
        <w:fldChar w:fldCharType="begin"/>
      </w:r>
      <w:r w:rsidR="00EA5555">
        <w:rPr>
          <w:snapToGrid w:val="0"/>
        </w:rPr>
        <w:instrText xml:space="preserve"> REF _Ref147909045 \h </w:instrText>
      </w:r>
      <w:r w:rsidR="00EA5555">
        <w:rPr>
          <w:snapToGrid w:val="0"/>
        </w:rPr>
      </w:r>
      <w:r w:rsidR="00EA5555">
        <w:rPr>
          <w:snapToGrid w:val="0"/>
        </w:rPr>
        <w:fldChar w:fldCharType="separate"/>
      </w:r>
      <w:r w:rsidR="006F0F3B">
        <w:t xml:space="preserve">Table A </w:t>
      </w:r>
      <w:r w:rsidR="006F0F3B">
        <w:rPr>
          <w:noProof/>
        </w:rPr>
        <w:t>48</w:t>
      </w:r>
      <w:r w:rsidR="00EA5555">
        <w:rPr>
          <w:snapToGrid w:val="0"/>
        </w:rPr>
        <w:fldChar w:fldCharType="end"/>
      </w:r>
      <w:r w:rsidRPr="00A34F10">
        <w:rPr>
          <w:snapToGrid w:val="0"/>
        </w:rPr>
        <w:t>.</w:t>
      </w:r>
    </w:p>
    <w:p w14:paraId="4A6F96BF" w14:textId="77777777" w:rsidR="00DC5685" w:rsidRPr="00A34F10" w:rsidRDefault="00DC5685" w:rsidP="00DC5685">
      <w:pPr>
        <w:widowControl w:val="0"/>
        <w:suppressAutoHyphens/>
        <w:ind w:left="2124" w:hanging="2124"/>
        <w:jc w:val="both"/>
      </w:pPr>
    </w:p>
    <w:p w14:paraId="164F12FA" w14:textId="41B523ED" w:rsidR="00DC5685" w:rsidRPr="00A34F10" w:rsidRDefault="00EA5555" w:rsidP="00EA5555">
      <w:pPr>
        <w:pStyle w:val="Legenda"/>
      </w:pPr>
      <w:bookmarkStart w:id="1105" w:name="_Ref147909045"/>
      <w:r>
        <w:t xml:space="preserve">Table A </w:t>
      </w:r>
      <w:r>
        <w:fldChar w:fldCharType="begin"/>
      </w:r>
      <w:r>
        <w:instrText xml:space="preserve"> SEQ Table_A \* ARABIC </w:instrText>
      </w:r>
      <w:r>
        <w:fldChar w:fldCharType="separate"/>
      </w:r>
      <w:r w:rsidR="006F0F3B">
        <w:rPr>
          <w:noProof/>
        </w:rPr>
        <w:t>48</w:t>
      </w:r>
      <w:r>
        <w:fldChar w:fldCharType="end"/>
      </w:r>
      <w:bookmarkEnd w:id="1105"/>
      <w:r w:rsidR="00DC5685" w:rsidRPr="00A34F10">
        <w:t>:</w:t>
      </w:r>
      <w:r w:rsidR="00DC5685" w:rsidRPr="00A34F10">
        <w:tab/>
        <w:t xml:space="preserve">Effects of BAS 650 00 F to </w:t>
      </w:r>
      <w:r w:rsidR="00DC5685" w:rsidRPr="00A34F10">
        <w:rPr>
          <w:i/>
        </w:rPr>
        <w:t>Apis mellifera carnica</w:t>
      </w:r>
      <w:r w:rsidR="00DC5685" w:rsidRPr="00A34F10">
        <w:t xml:space="preserve"> L</w:t>
      </w:r>
      <w:r w:rsidR="00DC5685" w:rsidRPr="00A34F10">
        <w:rPr>
          <w:i/>
        </w:rPr>
        <w:t xml:space="preserve">. </w:t>
      </w:r>
      <w:r w:rsidR="00DC5685" w:rsidRPr="00A34F10">
        <w:t>in a 10-day chronic toxicity feeding 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041"/>
        <w:gridCol w:w="480"/>
        <w:gridCol w:w="1521"/>
        <w:gridCol w:w="1389"/>
        <w:gridCol w:w="1476"/>
        <w:gridCol w:w="1919"/>
      </w:tblGrid>
      <w:tr w:rsidR="00DC5685" w:rsidRPr="00A34F10" w14:paraId="379847AE" w14:textId="77777777" w:rsidTr="000470C3">
        <w:tc>
          <w:tcPr>
            <w:tcW w:w="2440" w:type="pct"/>
            <w:gridSpan w:val="4"/>
            <w:vAlign w:val="center"/>
          </w:tcPr>
          <w:p w14:paraId="7297C97F"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Treatment</w:t>
            </w:r>
          </w:p>
        </w:tc>
        <w:tc>
          <w:tcPr>
            <w:tcW w:w="2560" w:type="pct"/>
            <w:gridSpan w:val="3"/>
            <w:vAlign w:val="center"/>
          </w:tcPr>
          <w:p w14:paraId="441A14AF"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Mortality after 10 days</w:t>
            </w:r>
          </w:p>
        </w:tc>
      </w:tr>
      <w:tr w:rsidR="00DC5685" w:rsidRPr="00A34F10" w14:paraId="088D3541" w14:textId="77777777" w:rsidTr="000470C3">
        <w:tc>
          <w:tcPr>
            <w:tcW w:w="812" w:type="pct"/>
            <w:vAlign w:val="center"/>
          </w:tcPr>
          <w:p w14:paraId="6802AA56"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Nominal dosage</w:t>
            </w:r>
            <w:r w:rsidRPr="00A34F10">
              <w:rPr>
                <w:b/>
                <w:sz w:val="20"/>
                <w:szCs w:val="20"/>
              </w:rPr>
              <w:br/>
              <w:t>[µg a.s./bee/day]</w:t>
            </w:r>
          </w:p>
        </w:tc>
        <w:tc>
          <w:tcPr>
            <w:tcW w:w="814" w:type="pct"/>
            <w:gridSpan w:val="2"/>
            <w:vAlign w:val="center"/>
          </w:tcPr>
          <w:p w14:paraId="494D9410"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Consumed dosage</w:t>
            </w:r>
            <w:r w:rsidRPr="00A34F10">
              <w:rPr>
                <w:b/>
                <w:sz w:val="20"/>
                <w:szCs w:val="20"/>
              </w:rPr>
              <w:br/>
              <w:t>[µg a.s./bee/day]</w:t>
            </w:r>
          </w:p>
        </w:tc>
        <w:tc>
          <w:tcPr>
            <w:tcW w:w="814" w:type="pct"/>
            <w:vAlign w:val="center"/>
          </w:tcPr>
          <w:p w14:paraId="4035F617"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Concentration</w:t>
            </w:r>
            <w:r w:rsidRPr="00A34F10">
              <w:rPr>
                <w:b/>
                <w:sz w:val="20"/>
                <w:szCs w:val="20"/>
              </w:rPr>
              <w:br/>
              <w:t>[g a.s./kg food]</w:t>
            </w:r>
          </w:p>
        </w:tc>
        <w:tc>
          <w:tcPr>
            <w:tcW w:w="743" w:type="pct"/>
            <w:vAlign w:val="center"/>
          </w:tcPr>
          <w:p w14:paraId="712EA6BF"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Mean mortality [%]</w:t>
            </w:r>
          </w:p>
        </w:tc>
        <w:tc>
          <w:tcPr>
            <w:tcW w:w="790" w:type="pct"/>
            <w:vAlign w:val="center"/>
          </w:tcPr>
          <w:p w14:paraId="25BFD7C9" w14:textId="77777777" w:rsidR="00DC5685" w:rsidRPr="00A34F10" w:rsidRDefault="00DC5685" w:rsidP="00DC5685">
            <w:pPr>
              <w:widowControl w:val="0"/>
              <w:tabs>
                <w:tab w:val="left" w:pos="1984"/>
              </w:tabs>
              <w:suppressAutoHyphens/>
              <w:spacing w:before="20" w:after="20"/>
              <w:rPr>
                <w:b/>
                <w:sz w:val="20"/>
                <w:szCs w:val="20"/>
                <w:vertAlign w:val="superscript"/>
              </w:rPr>
            </w:pPr>
            <w:r w:rsidRPr="00A34F10">
              <w:rPr>
                <w:b/>
                <w:sz w:val="20"/>
                <w:szCs w:val="20"/>
              </w:rPr>
              <w:t xml:space="preserve">Corrected mortality </w:t>
            </w:r>
            <w:r w:rsidRPr="00A34F10">
              <w:rPr>
                <w:b/>
                <w:sz w:val="20"/>
                <w:szCs w:val="20"/>
                <w:vertAlign w:val="superscript"/>
              </w:rPr>
              <w:t>2)</w:t>
            </w:r>
          </w:p>
        </w:tc>
        <w:tc>
          <w:tcPr>
            <w:tcW w:w="1027" w:type="pct"/>
            <w:vAlign w:val="center"/>
          </w:tcPr>
          <w:p w14:paraId="4BC61129"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 xml:space="preserve">Mean other observations </w:t>
            </w:r>
            <w:r w:rsidRPr="00A34F10">
              <w:rPr>
                <w:b/>
                <w:sz w:val="20"/>
                <w:szCs w:val="20"/>
                <w:vertAlign w:val="superscript"/>
              </w:rPr>
              <w:t>1)</w:t>
            </w:r>
          </w:p>
        </w:tc>
      </w:tr>
      <w:tr w:rsidR="00DC5685" w:rsidRPr="00A34F10" w14:paraId="54CA9110" w14:textId="77777777" w:rsidTr="000470C3">
        <w:tc>
          <w:tcPr>
            <w:tcW w:w="812" w:type="pct"/>
            <w:vAlign w:val="center"/>
          </w:tcPr>
          <w:p w14:paraId="2C40AC8C"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Control</w:t>
            </w:r>
          </w:p>
        </w:tc>
        <w:tc>
          <w:tcPr>
            <w:tcW w:w="814" w:type="pct"/>
            <w:gridSpan w:val="2"/>
            <w:vAlign w:val="center"/>
          </w:tcPr>
          <w:p w14:paraId="48283799"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Control</w:t>
            </w:r>
          </w:p>
        </w:tc>
        <w:tc>
          <w:tcPr>
            <w:tcW w:w="814" w:type="pct"/>
            <w:vAlign w:val="center"/>
          </w:tcPr>
          <w:p w14:paraId="49E9C006"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Control</w:t>
            </w:r>
          </w:p>
        </w:tc>
        <w:tc>
          <w:tcPr>
            <w:tcW w:w="743" w:type="pct"/>
            <w:vAlign w:val="center"/>
          </w:tcPr>
          <w:p w14:paraId="27787F0C"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8.3</w:t>
            </w:r>
          </w:p>
        </w:tc>
        <w:tc>
          <w:tcPr>
            <w:tcW w:w="790" w:type="pct"/>
            <w:vAlign w:val="center"/>
          </w:tcPr>
          <w:p w14:paraId="54AEB32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w:t>
            </w:r>
          </w:p>
        </w:tc>
        <w:tc>
          <w:tcPr>
            <w:tcW w:w="1027" w:type="pct"/>
            <w:vAlign w:val="center"/>
          </w:tcPr>
          <w:p w14:paraId="4D1C6138"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 out of 55</w:t>
            </w:r>
          </w:p>
        </w:tc>
      </w:tr>
      <w:tr w:rsidR="00DC5685" w:rsidRPr="00A34F10" w14:paraId="2CCBCC55" w14:textId="77777777" w:rsidTr="000470C3">
        <w:tc>
          <w:tcPr>
            <w:tcW w:w="812" w:type="pct"/>
            <w:vAlign w:val="center"/>
          </w:tcPr>
          <w:p w14:paraId="7A2BE5F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3.0</w:t>
            </w:r>
          </w:p>
        </w:tc>
        <w:tc>
          <w:tcPr>
            <w:tcW w:w="814" w:type="pct"/>
            <w:gridSpan w:val="2"/>
            <w:vAlign w:val="center"/>
          </w:tcPr>
          <w:p w14:paraId="0122BFD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2.7</w:t>
            </w:r>
          </w:p>
        </w:tc>
        <w:tc>
          <w:tcPr>
            <w:tcW w:w="814" w:type="pct"/>
            <w:vAlign w:val="center"/>
          </w:tcPr>
          <w:p w14:paraId="2D26D6CD"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0.077</w:t>
            </w:r>
          </w:p>
        </w:tc>
        <w:tc>
          <w:tcPr>
            <w:tcW w:w="743" w:type="pct"/>
            <w:vAlign w:val="center"/>
          </w:tcPr>
          <w:p w14:paraId="460B50B0"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1.7</w:t>
            </w:r>
          </w:p>
        </w:tc>
        <w:tc>
          <w:tcPr>
            <w:tcW w:w="790" w:type="pct"/>
            <w:vAlign w:val="center"/>
          </w:tcPr>
          <w:p w14:paraId="3B234997"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0.0</w:t>
            </w:r>
          </w:p>
        </w:tc>
        <w:tc>
          <w:tcPr>
            <w:tcW w:w="1027" w:type="pct"/>
            <w:vAlign w:val="center"/>
          </w:tcPr>
          <w:p w14:paraId="53CAF953"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 out of 59</w:t>
            </w:r>
          </w:p>
        </w:tc>
      </w:tr>
      <w:tr w:rsidR="00DC5685" w:rsidRPr="00A34F10" w14:paraId="47F2CEB9" w14:textId="77777777" w:rsidTr="000470C3">
        <w:tc>
          <w:tcPr>
            <w:tcW w:w="812" w:type="pct"/>
            <w:vAlign w:val="center"/>
          </w:tcPr>
          <w:p w14:paraId="216A90ED"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6.0</w:t>
            </w:r>
          </w:p>
        </w:tc>
        <w:tc>
          <w:tcPr>
            <w:tcW w:w="814" w:type="pct"/>
            <w:gridSpan w:val="2"/>
            <w:vAlign w:val="center"/>
          </w:tcPr>
          <w:p w14:paraId="1046A8D8"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6.3</w:t>
            </w:r>
          </w:p>
        </w:tc>
        <w:tc>
          <w:tcPr>
            <w:tcW w:w="814" w:type="pct"/>
            <w:vAlign w:val="center"/>
          </w:tcPr>
          <w:p w14:paraId="01C82AA8"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0.154</w:t>
            </w:r>
          </w:p>
        </w:tc>
        <w:tc>
          <w:tcPr>
            <w:tcW w:w="743" w:type="pct"/>
            <w:vAlign w:val="center"/>
          </w:tcPr>
          <w:p w14:paraId="77192DBE"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16.7</w:t>
            </w:r>
          </w:p>
        </w:tc>
        <w:tc>
          <w:tcPr>
            <w:tcW w:w="790" w:type="pct"/>
            <w:vAlign w:val="center"/>
          </w:tcPr>
          <w:p w14:paraId="1BFCD381"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9.1</w:t>
            </w:r>
          </w:p>
        </w:tc>
        <w:tc>
          <w:tcPr>
            <w:tcW w:w="1027" w:type="pct"/>
            <w:vAlign w:val="center"/>
          </w:tcPr>
          <w:p w14:paraId="4D4AC19F"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 out of 50</w:t>
            </w:r>
          </w:p>
        </w:tc>
      </w:tr>
      <w:tr w:rsidR="00DC5685" w:rsidRPr="00A34F10" w14:paraId="480AC903" w14:textId="77777777" w:rsidTr="000470C3">
        <w:tc>
          <w:tcPr>
            <w:tcW w:w="812" w:type="pct"/>
            <w:vAlign w:val="center"/>
          </w:tcPr>
          <w:p w14:paraId="48F16081"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12.0</w:t>
            </w:r>
          </w:p>
        </w:tc>
        <w:tc>
          <w:tcPr>
            <w:tcW w:w="814" w:type="pct"/>
            <w:gridSpan w:val="2"/>
            <w:vAlign w:val="center"/>
          </w:tcPr>
          <w:p w14:paraId="6F1011C6"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12.1</w:t>
            </w:r>
          </w:p>
        </w:tc>
        <w:tc>
          <w:tcPr>
            <w:tcW w:w="814" w:type="pct"/>
            <w:vAlign w:val="center"/>
          </w:tcPr>
          <w:p w14:paraId="5686BBC2"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0.307</w:t>
            </w:r>
          </w:p>
        </w:tc>
        <w:tc>
          <w:tcPr>
            <w:tcW w:w="743" w:type="pct"/>
            <w:vAlign w:val="center"/>
          </w:tcPr>
          <w:p w14:paraId="09DDF1CC"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73.3 *</w:t>
            </w:r>
          </w:p>
        </w:tc>
        <w:tc>
          <w:tcPr>
            <w:tcW w:w="790" w:type="pct"/>
            <w:vAlign w:val="center"/>
          </w:tcPr>
          <w:p w14:paraId="2291DD4D"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70.9</w:t>
            </w:r>
          </w:p>
        </w:tc>
        <w:tc>
          <w:tcPr>
            <w:tcW w:w="1027" w:type="pct"/>
            <w:vAlign w:val="center"/>
          </w:tcPr>
          <w:p w14:paraId="50E3A3A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8 out of 16</w:t>
            </w:r>
          </w:p>
        </w:tc>
      </w:tr>
      <w:tr w:rsidR="00DC5685" w:rsidRPr="00A34F10" w14:paraId="0F14700E" w14:textId="77777777" w:rsidTr="000470C3">
        <w:tc>
          <w:tcPr>
            <w:tcW w:w="812" w:type="pct"/>
            <w:vAlign w:val="center"/>
          </w:tcPr>
          <w:p w14:paraId="60CE5586"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23.9</w:t>
            </w:r>
          </w:p>
        </w:tc>
        <w:tc>
          <w:tcPr>
            <w:tcW w:w="814" w:type="pct"/>
            <w:gridSpan w:val="2"/>
            <w:vAlign w:val="center"/>
          </w:tcPr>
          <w:p w14:paraId="66B3E2EC"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26.5</w:t>
            </w:r>
          </w:p>
        </w:tc>
        <w:tc>
          <w:tcPr>
            <w:tcW w:w="814" w:type="pct"/>
            <w:vAlign w:val="center"/>
          </w:tcPr>
          <w:p w14:paraId="1E15717F"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0.615</w:t>
            </w:r>
          </w:p>
        </w:tc>
        <w:tc>
          <w:tcPr>
            <w:tcW w:w="743" w:type="pct"/>
            <w:vAlign w:val="center"/>
          </w:tcPr>
          <w:p w14:paraId="37AFCEF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98.3 *</w:t>
            </w:r>
          </w:p>
        </w:tc>
        <w:tc>
          <w:tcPr>
            <w:tcW w:w="790" w:type="pct"/>
            <w:vAlign w:val="center"/>
          </w:tcPr>
          <w:p w14:paraId="6EA455B6"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98.2</w:t>
            </w:r>
          </w:p>
        </w:tc>
        <w:tc>
          <w:tcPr>
            <w:tcW w:w="1027" w:type="pct"/>
            <w:vAlign w:val="center"/>
          </w:tcPr>
          <w:p w14:paraId="317921DA"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 out of 1</w:t>
            </w:r>
          </w:p>
        </w:tc>
      </w:tr>
      <w:tr w:rsidR="00DC5685" w:rsidRPr="00A34F10" w14:paraId="018D819A" w14:textId="77777777" w:rsidTr="000470C3">
        <w:tc>
          <w:tcPr>
            <w:tcW w:w="812" w:type="pct"/>
            <w:vAlign w:val="center"/>
          </w:tcPr>
          <w:p w14:paraId="1E1B83F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47.9</w:t>
            </w:r>
          </w:p>
        </w:tc>
        <w:tc>
          <w:tcPr>
            <w:tcW w:w="814" w:type="pct"/>
            <w:gridSpan w:val="2"/>
            <w:vAlign w:val="center"/>
          </w:tcPr>
          <w:p w14:paraId="20A3052F"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47.3</w:t>
            </w:r>
          </w:p>
        </w:tc>
        <w:tc>
          <w:tcPr>
            <w:tcW w:w="814" w:type="pct"/>
            <w:vAlign w:val="center"/>
          </w:tcPr>
          <w:p w14:paraId="290A9D1D"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1.230</w:t>
            </w:r>
          </w:p>
        </w:tc>
        <w:tc>
          <w:tcPr>
            <w:tcW w:w="743" w:type="pct"/>
            <w:vAlign w:val="center"/>
          </w:tcPr>
          <w:p w14:paraId="173A2E7D"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100.0 *</w:t>
            </w:r>
          </w:p>
        </w:tc>
        <w:tc>
          <w:tcPr>
            <w:tcW w:w="790" w:type="pct"/>
            <w:vAlign w:val="center"/>
          </w:tcPr>
          <w:p w14:paraId="2E1639CB"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99.9</w:t>
            </w:r>
          </w:p>
        </w:tc>
        <w:tc>
          <w:tcPr>
            <w:tcW w:w="1027" w:type="pct"/>
            <w:vAlign w:val="center"/>
          </w:tcPr>
          <w:p w14:paraId="25B3E60F"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 out of 0</w:t>
            </w:r>
          </w:p>
        </w:tc>
      </w:tr>
      <w:tr w:rsidR="00DC5685" w:rsidRPr="00A34F10" w14:paraId="386A78F9" w14:textId="77777777" w:rsidTr="000470C3">
        <w:tc>
          <w:tcPr>
            <w:tcW w:w="5000" w:type="pct"/>
            <w:gridSpan w:val="7"/>
            <w:vAlign w:val="center"/>
          </w:tcPr>
          <w:p w14:paraId="2CB1B49B"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Endpoints [10 days]</w:t>
            </w:r>
          </w:p>
        </w:tc>
      </w:tr>
      <w:tr w:rsidR="00DC5685" w:rsidRPr="00A34F10" w14:paraId="67A63CD9" w14:textId="77777777" w:rsidTr="000470C3">
        <w:trPr>
          <w:trHeight w:val="500"/>
        </w:trPr>
        <w:tc>
          <w:tcPr>
            <w:tcW w:w="1369" w:type="pct"/>
            <w:gridSpan w:val="2"/>
            <w:vMerge w:val="restart"/>
            <w:vAlign w:val="center"/>
          </w:tcPr>
          <w:p w14:paraId="67AFC58E"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Test item dose</w:t>
            </w:r>
            <w:r w:rsidRPr="00A34F10">
              <w:rPr>
                <w:b/>
                <w:sz w:val="20"/>
                <w:szCs w:val="20"/>
              </w:rPr>
              <w:br/>
              <w:t>[µg consumed a.s./bee/day]</w:t>
            </w:r>
          </w:p>
        </w:tc>
        <w:tc>
          <w:tcPr>
            <w:tcW w:w="1071" w:type="pct"/>
            <w:gridSpan w:val="2"/>
            <w:vAlign w:val="center"/>
          </w:tcPr>
          <w:p w14:paraId="5D3AB9B1"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LD</w:t>
            </w:r>
            <w:r w:rsidRPr="00A34F10">
              <w:rPr>
                <w:b/>
                <w:sz w:val="20"/>
                <w:szCs w:val="20"/>
                <w:vertAlign w:val="subscript"/>
              </w:rPr>
              <w:t>50</w:t>
            </w:r>
            <w:r w:rsidRPr="00A34F10">
              <w:rPr>
                <w:b/>
                <w:sz w:val="20"/>
                <w:szCs w:val="20"/>
              </w:rPr>
              <w:t xml:space="preserve"> </w:t>
            </w:r>
            <w:r w:rsidRPr="00A34F10">
              <w:rPr>
                <w:b/>
                <w:sz w:val="20"/>
                <w:szCs w:val="20"/>
                <w:vertAlign w:val="superscript"/>
              </w:rPr>
              <w:t>3)</w:t>
            </w:r>
          </w:p>
        </w:tc>
        <w:tc>
          <w:tcPr>
            <w:tcW w:w="2560" w:type="pct"/>
            <w:gridSpan w:val="3"/>
            <w:vAlign w:val="center"/>
          </w:tcPr>
          <w:p w14:paraId="30F2A4BA"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10.2</w:t>
            </w:r>
            <w:r w:rsidRPr="00A34F10">
              <w:rPr>
                <w:sz w:val="20"/>
                <w:szCs w:val="20"/>
              </w:rPr>
              <w:br/>
              <w:t>(95% CL: 9.2 – 11.3)</w:t>
            </w:r>
          </w:p>
        </w:tc>
      </w:tr>
      <w:tr w:rsidR="00DC5685" w:rsidRPr="00A34F10" w14:paraId="2904D3E0" w14:textId="77777777" w:rsidTr="000470C3">
        <w:trPr>
          <w:trHeight w:val="500"/>
        </w:trPr>
        <w:tc>
          <w:tcPr>
            <w:tcW w:w="1369" w:type="pct"/>
            <w:gridSpan w:val="2"/>
            <w:vMerge/>
            <w:vAlign w:val="center"/>
          </w:tcPr>
          <w:p w14:paraId="6F794365" w14:textId="77777777" w:rsidR="00DC5685" w:rsidRPr="00A34F10" w:rsidRDefault="00DC5685" w:rsidP="00DC5685">
            <w:pPr>
              <w:widowControl w:val="0"/>
              <w:tabs>
                <w:tab w:val="left" w:pos="1984"/>
              </w:tabs>
              <w:suppressAutoHyphens/>
              <w:spacing w:before="20" w:after="20"/>
              <w:rPr>
                <w:b/>
                <w:sz w:val="20"/>
                <w:szCs w:val="20"/>
              </w:rPr>
            </w:pPr>
          </w:p>
        </w:tc>
        <w:tc>
          <w:tcPr>
            <w:tcW w:w="1071" w:type="pct"/>
            <w:gridSpan w:val="2"/>
            <w:vAlign w:val="center"/>
          </w:tcPr>
          <w:p w14:paraId="1A1B6F7B"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NOED</w:t>
            </w:r>
          </w:p>
        </w:tc>
        <w:tc>
          <w:tcPr>
            <w:tcW w:w="2560" w:type="pct"/>
            <w:gridSpan w:val="3"/>
            <w:vAlign w:val="center"/>
          </w:tcPr>
          <w:p w14:paraId="299089D7"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6.3</w:t>
            </w:r>
          </w:p>
        </w:tc>
      </w:tr>
      <w:tr w:rsidR="00DC5685" w:rsidRPr="00A34F10" w14:paraId="0740AA25" w14:textId="77777777" w:rsidTr="000470C3">
        <w:trPr>
          <w:trHeight w:val="500"/>
        </w:trPr>
        <w:tc>
          <w:tcPr>
            <w:tcW w:w="1369" w:type="pct"/>
            <w:gridSpan w:val="2"/>
            <w:vMerge w:val="restart"/>
            <w:vAlign w:val="center"/>
          </w:tcPr>
          <w:p w14:paraId="3940F8E4"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 xml:space="preserve">Test item concentrations </w:t>
            </w:r>
            <w:r w:rsidRPr="00A34F10">
              <w:rPr>
                <w:b/>
                <w:sz w:val="20"/>
                <w:szCs w:val="20"/>
              </w:rPr>
              <w:br/>
              <w:t>[g a.s./kg food]</w:t>
            </w:r>
          </w:p>
        </w:tc>
        <w:tc>
          <w:tcPr>
            <w:tcW w:w="1071" w:type="pct"/>
            <w:gridSpan w:val="2"/>
            <w:vAlign w:val="center"/>
          </w:tcPr>
          <w:p w14:paraId="0C99055E"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LC</w:t>
            </w:r>
            <w:r w:rsidRPr="00A34F10">
              <w:rPr>
                <w:b/>
                <w:sz w:val="20"/>
                <w:szCs w:val="20"/>
                <w:vertAlign w:val="subscript"/>
              </w:rPr>
              <w:t>50 *</w:t>
            </w:r>
            <w:r w:rsidRPr="00A34F10">
              <w:rPr>
                <w:b/>
                <w:sz w:val="20"/>
                <w:szCs w:val="20"/>
                <w:vertAlign w:val="superscript"/>
              </w:rPr>
              <w:t>3)</w:t>
            </w:r>
          </w:p>
        </w:tc>
        <w:tc>
          <w:tcPr>
            <w:tcW w:w="2560" w:type="pct"/>
            <w:gridSpan w:val="3"/>
            <w:vAlign w:val="center"/>
          </w:tcPr>
          <w:p w14:paraId="656FA603"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0.254</w:t>
            </w:r>
            <w:r w:rsidRPr="00A34F10">
              <w:rPr>
                <w:sz w:val="20"/>
                <w:szCs w:val="20"/>
              </w:rPr>
              <w:br/>
              <w:t>(95% CL: 0.230-0.280)</w:t>
            </w:r>
          </w:p>
        </w:tc>
      </w:tr>
      <w:tr w:rsidR="00DC5685" w:rsidRPr="00A34F10" w14:paraId="70B354E8" w14:textId="77777777" w:rsidTr="000470C3">
        <w:trPr>
          <w:trHeight w:val="500"/>
        </w:trPr>
        <w:tc>
          <w:tcPr>
            <w:tcW w:w="1369" w:type="pct"/>
            <w:gridSpan w:val="2"/>
            <w:vMerge/>
            <w:vAlign w:val="center"/>
          </w:tcPr>
          <w:p w14:paraId="56CBF3E1" w14:textId="77777777" w:rsidR="00DC5685" w:rsidRPr="00A34F10" w:rsidRDefault="00DC5685" w:rsidP="00DC5685">
            <w:pPr>
              <w:widowControl w:val="0"/>
              <w:tabs>
                <w:tab w:val="left" w:pos="1984"/>
              </w:tabs>
              <w:suppressAutoHyphens/>
              <w:spacing w:before="20" w:after="20"/>
              <w:rPr>
                <w:b/>
                <w:sz w:val="20"/>
                <w:szCs w:val="20"/>
              </w:rPr>
            </w:pPr>
          </w:p>
        </w:tc>
        <w:tc>
          <w:tcPr>
            <w:tcW w:w="1071" w:type="pct"/>
            <w:gridSpan w:val="2"/>
            <w:vAlign w:val="center"/>
          </w:tcPr>
          <w:p w14:paraId="6957DF8B" w14:textId="77777777" w:rsidR="00DC5685" w:rsidRPr="00A34F10" w:rsidRDefault="00DC5685" w:rsidP="00DC5685">
            <w:pPr>
              <w:widowControl w:val="0"/>
              <w:tabs>
                <w:tab w:val="left" w:pos="1984"/>
              </w:tabs>
              <w:suppressAutoHyphens/>
              <w:spacing w:before="20" w:after="20"/>
              <w:rPr>
                <w:b/>
                <w:sz w:val="20"/>
                <w:szCs w:val="20"/>
              </w:rPr>
            </w:pPr>
            <w:r w:rsidRPr="00A34F10">
              <w:rPr>
                <w:b/>
                <w:sz w:val="20"/>
                <w:szCs w:val="20"/>
              </w:rPr>
              <w:t>NOEC</w:t>
            </w:r>
          </w:p>
        </w:tc>
        <w:tc>
          <w:tcPr>
            <w:tcW w:w="2560" w:type="pct"/>
            <w:gridSpan w:val="3"/>
            <w:vAlign w:val="center"/>
          </w:tcPr>
          <w:p w14:paraId="6B27CB68" w14:textId="77777777" w:rsidR="00DC5685" w:rsidRPr="00A34F10" w:rsidRDefault="00DC5685" w:rsidP="00DC5685">
            <w:pPr>
              <w:widowControl w:val="0"/>
              <w:tabs>
                <w:tab w:val="left" w:pos="1984"/>
              </w:tabs>
              <w:suppressAutoHyphens/>
              <w:spacing w:before="20" w:after="20"/>
              <w:rPr>
                <w:sz w:val="20"/>
                <w:szCs w:val="20"/>
              </w:rPr>
            </w:pPr>
            <w:r w:rsidRPr="00A34F10">
              <w:rPr>
                <w:sz w:val="20"/>
                <w:szCs w:val="20"/>
              </w:rPr>
              <w:t>0.154</w:t>
            </w:r>
          </w:p>
        </w:tc>
      </w:tr>
    </w:tbl>
    <w:p w14:paraId="2ACD3980" w14:textId="77777777" w:rsidR="00DC5685" w:rsidRPr="00A34F10" w:rsidRDefault="00DC5685" w:rsidP="00DC5685">
      <w:pPr>
        <w:widowControl w:val="0"/>
        <w:tabs>
          <w:tab w:val="left" w:pos="720"/>
        </w:tabs>
        <w:suppressAutoHyphens/>
        <w:ind w:left="284" w:hanging="284"/>
        <w:jc w:val="both"/>
        <w:rPr>
          <w:sz w:val="18"/>
        </w:rPr>
      </w:pPr>
      <w:r w:rsidRPr="00A34F10">
        <w:rPr>
          <w:sz w:val="18"/>
          <w:vertAlign w:val="superscript"/>
        </w:rPr>
        <w:t>1)</w:t>
      </w:r>
      <w:r w:rsidRPr="00A34F10">
        <w:rPr>
          <w:sz w:val="18"/>
        </w:rPr>
        <w:tab/>
        <w:t>Number of bees with behavior abnormalities referring to the number of remaining bees.</w:t>
      </w:r>
    </w:p>
    <w:p w14:paraId="1E23A8A9" w14:textId="77777777" w:rsidR="00DC5685" w:rsidRPr="00A34F10" w:rsidRDefault="00DC5685" w:rsidP="00DC5685">
      <w:pPr>
        <w:widowControl w:val="0"/>
        <w:tabs>
          <w:tab w:val="left" w:pos="720"/>
        </w:tabs>
        <w:suppressAutoHyphens/>
        <w:ind w:left="284" w:hanging="284"/>
        <w:jc w:val="both"/>
        <w:rPr>
          <w:sz w:val="18"/>
        </w:rPr>
      </w:pPr>
      <w:r w:rsidRPr="00A34F10">
        <w:rPr>
          <w:sz w:val="18"/>
          <w:vertAlign w:val="superscript"/>
        </w:rPr>
        <w:t>2)</w:t>
      </w:r>
      <w:r w:rsidRPr="00A34F10">
        <w:rPr>
          <w:sz w:val="18"/>
          <w:vertAlign w:val="superscript"/>
        </w:rPr>
        <w:tab/>
      </w:r>
      <w:r w:rsidRPr="00A34F10">
        <w:rPr>
          <w:sz w:val="18"/>
        </w:rPr>
        <w:t>Corrected mortality according Schneider-Orelli (1947).</w:t>
      </w:r>
    </w:p>
    <w:p w14:paraId="590A27F8" w14:textId="77777777" w:rsidR="00DC5685" w:rsidRPr="00A34F10" w:rsidRDefault="00DC5685" w:rsidP="00DC5685">
      <w:pPr>
        <w:widowControl w:val="0"/>
        <w:tabs>
          <w:tab w:val="left" w:pos="720"/>
        </w:tabs>
        <w:suppressAutoHyphens/>
        <w:ind w:left="284" w:hanging="284"/>
        <w:jc w:val="both"/>
        <w:rPr>
          <w:sz w:val="18"/>
        </w:rPr>
      </w:pPr>
      <w:r w:rsidRPr="00A34F10">
        <w:rPr>
          <w:sz w:val="18"/>
          <w:vertAlign w:val="superscript"/>
        </w:rPr>
        <w:t>3)</w:t>
      </w:r>
      <w:r w:rsidRPr="00A34F10">
        <w:rPr>
          <w:sz w:val="18"/>
          <w:vertAlign w:val="superscript"/>
        </w:rPr>
        <w:tab/>
      </w:r>
      <w:r w:rsidRPr="00A34F10">
        <w:rPr>
          <w:sz w:val="18"/>
        </w:rPr>
        <w:t>Median lethal dose/concentration (and 95% confidence limits / lower-upper) was calculated by using Probit analysis (linear max. likelihood regression).</w:t>
      </w:r>
    </w:p>
    <w:p w14:paraId="75AC475B" w14:textId="77777777" w:rsidR="00DC5685" w:rsidRPr="00A34F10" w:rsidRDefault="00DC5685" w:rsidP="00DC5685">
      <w:pPr>
        <w:widowControl w:val="0"/>
        <w:suppressAutoHyphens/>
        <w:ind w:left="284" w:hanging="284"/>
        <w:jc w:val="both"/>
        <w:rPr>
          <w:sz w:val="18"/>
        </w:rPr>
      </w:pPr>
      <w:r w:rsidRPr="00A34F10">
        <w:rPr>
          <w:sz w:val="18"/>
        </w:rPr>
        <w:t>*</w:t>
      </w:r>
      <w:r w:rsidRPr="00A34F10">
        <w:rPr>
          <w:sz w:val="18"/>
        </w:rPr>
        <w:tab/>
        <w:t>Statistically significant difference in comparison to the control (Fisher`s Exact Binomial Test with Bonferroni Correction; α = 0.05; one sided greater).</w:t>
      </w:r>
    </w:p>
    <w:p w14:paraId="6D3A6E55" w14:textId="77777777" w:rsidR="00DC5685" w:rsidRPr="00A34F10" w:rsidRDefault="00DC5685" w:rsidP="00DC5685">
      <w:pPr>
        <w:widowControl w:val="0"/>
        <w:suppressAutoHyphens/>
        <w:jc w:val="both"/>
        <w:rPr>
          <w:highlight w:val="yellow"/>
        </w:rPr>
      </w:pPr>
    </w:p>
    <w:p w14:paraId="75A7B1E1" w14:textId="77777777" w:rsidR="00DC5685" w:rsidRPr="00A34F10" w:rsidRDefault="00DC5685" w:rsidP="00DC5685">
      <w:pPr>
        <w:widowControl w:val="0"/>
        <w:suppressAutoHyphens/>
        <w:jc w:val="both"/>
      </w:pPr>
      <w:r w:rsidRPr="00A34F10">
        <w:t>For the reference item no LD</w:t>
      </w:r>
      <w:r w:rsidRPr="00A34F10">
        <w:rPr>
          <w:vertAlign w:val="subscript"/>
        </w:rPr>
        <w:t>50</w:t>
      </w:r>
      <w:r w:rsidRPr="00A34F10">
        <w:t>/LC</w:t>
      </w:r>
      <w:r w:rsidRPr="00A34F10">
        <w:rPr>
          <w:vertAlign w:val="subscript"/>
        </w:rPr>
        <w:t>50</w:t>
      </w:r>
      <w:r w:rsidRPr="00A34F10">
        <w:t xml:space="preserve"> could be determined. The highest reference dosage tested in the study was 27.3 ng a.s./bee/day (actual consumption on average per day: 17.5 ng a.s./bee), which caused a mean mortality of 68.3%.</w:t>
      </w:r>
    </w:p>
    <w:p w14:paraId="3D600072" w14:textId="77777777" w:rsidR="00DC5685" w:rsidRPr="00A34F10" w:rsidRDefault="00DC5685" w:rsidP="00DC5685">
      <w:pPr>
        <w:tabs>
          <w:tab w:val="left" w:pos="0"/>
        </w:tabs>
        <w:ind w:left="357" w:hanging="357"/>
        <w:contextualSpacing/>
        <w:rPr>
          <w:b/>
          <w:bCs/>
          <w:caps/>
          <w:szCs w:val="24"/>
          <w:lang w:val="en-GB"/>
        </w:rPr>
      </w:pPr>
    </w:p>
    <w:p w14:paraId="26FDEB0F"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C.</w:t>
      </w:r>
      <w:r w:rsidRPr="00A34F10">
        <w:rPr>
          <w:b/>
          <w:bCs/>
          <w:caps/>
          <w:szCs w:val="24"/>
          <w:lang w:val="en-GB"/>
        </w:rPr>
        <w:tab/>
        <w:t>Validity criteria</w:t>
      </w:r>
    </w:p>
    <w:p w14:paraId="762F6986" w14:textId="0D800FA1" w:rsidR="00DC5685" w:rsidRPr="00A34F10" w:rsidRDefault="00DC5685" w:rsidP="00DC5685">
      <w:pPr>
        <w:tabs>
          <w:tab w:val="left" w:pos="720"/>
        </w:tabs>
        <w:spacing w:after="240"/>
        <w:jc w:val="both"/>
        <w:rPr>
          <w:szCs w:val="24"/>
          <w:lang w:val="en-GB"/>
        </w:rPr>
      </w:pPr>
      <w:r w:rsidRPr="00A34F10">
        <w:rPr>
          <w:szCs w:val="24"/>
          <w:lang w:val="en-GB"/>
        </w:rPr>
        <w:t>All validity criteria were met (</w:t>
      </w:r>
      <w:r w:rsidR="00EA5555">
        <w:rPr>
          <w:szCs w:val="24"/>
          <w:lang w:val="en-GB"/>
        </w:rPr>
        <w:fldChar w:fldCharType="begin"/>
      </w:r>
      <w:r w:rsidR="00EA5555">
        <w:rPr>
          <w:szCs w:val="24"/>
          <w:lang w:val="en-GB"/>
        </w:rPr>
        <w:instrText xml:space="preserve"> REF _Ref147909079 \h </w:instrText>
      </w:r>
      <w:r w:rsidR="00EA5555">
        <w:rPr>
          <w:szCs w:val="24"/>
          <w:lang w:val="en-GB"/>
        </w:rPr>
      </w:r>
      <w:r w:rsidR="00EA5555">
        <w:rPr>
          <w:szCs w:val="24"/>
          <w:lang w:val="en-GB"/>
        </w:rPr>
        <w:fldChar w:fldCharType="separate"/>
      </w:r>
      <w:r w:rsidR="006F0F3B">
        <w:t xml:space="preserve">Table A </w:t>
      </w:r>
      <w:r w:rsidR="006F0F3B">
        <w:rPr>
          <w:noProof/>
        </w:rPr>
        <w:t>49</w:t>
      </w:r>
      <w:r w:rsidR="00EA5555">
        <w:rPr>
          <w:szCs w:val="24"/>
          <w:lang w:val="en-GB"/>
        </w:rPr>
        <w:fldChar w:fldCharType="end"/>
      </w:r>
      <w:r w:rsidRPr="00A34F10">
        <w:rPr>
          <w:szCs w:val="24"/>
          <w:lang w:val="en-GB"/>
        </w:rPr>
        <w:t>).</w:t>
      </w:r>
    </w:p>
    <w:p w14:paraId="13F03A09" w14:textId="0D61F058" w:rsidR="00DC5685" w:rsidRPr="00A34F10" w:rsidRDefault="00EA5555" w:rsidP="00EA5555">
      <w:pPr>
        <w:pStyle w:val="Legenda"/>
        <w:rPr>
          <w:szCs w:val="24"/>
        </w:rPr>
      </w:pPr>
      <w:bookmarkStart w:id="1106" w:name="_Ref147909079"/>
      <w:r>
        <w:t xml:space="preserve">Table A </w:t>
      </w:r>
      <w:r>
        <w:fldChar w:fldCharType="begin"/>
      </w:r>
      <w:r>
        <w:instrText xml:space="preserve"> SEQ Table_A \* ARABIC </w:instrText>
      </w:r>
      <w:r>
        <w:fldChar w:fldCharType="separate"/>
      </w:r>
      <w:r w:rsidR="006F0F3B">
        <w:rPr>
          <w:noProof/>
        </w:rPr>
        <w:t>49</w:t>
      </w:r>
      <w:r>
        <w:fldChar w:fldCharType="end"/>
      </w:r>
      <w:bookmarkEnd w:id="1106"/>
      <w:r w:rsidR="00DC5685" w:rsidRPr="00A34F10">
        <w:rPr>
          <w:szCs w:val="24"/>
        </w:rPr>
        <w:t xml:space="preserve">: </w:t>
      </w:r>
      <w:r w:rsidR="00DC5685" w:rsidRPr="00A34F10">
        <w:rPr>
          <w:szCs w:val="28"/>
        </w:rPr>
        <w:t xml:space="preserve">Validity </w:t>
      </w:r>
      <w:r w:rsidR="00DC5685" w:rsidRPr="00A34F10">
        <w:rPr>
          <w:szCs w:val="24"/>
        </w:rPr>
        <w:t>criteria</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6"/>
        <w:gridCol w:w="2641"/>
      </w:tblGrid>
      <w:tr w:rsidR="00DC5685" w:rsidRPr="00A34F10" w14:paraId="293BF751" w14:textId="77777777" w:rsidTr="000470C3">
        <w:trPr>
          <w:trHeight w:val="270"/>
          <w:tblHeader/>
        </w:trPr>
        <w:tc>
          <w:tcPr>
            <w:tcW w:w="3586" w:type="pct"/>
            <w:shd w:val="clear" w:color="auto" w:fill="auto"/>
            <w:noWrap/>
          </w:tcPr>
          <w:p w14:paraId="01EF2498"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 xml:space="preserve">Validity criteria according to the study plan </w:t>
            </w:r>
          </w:p>
        </w:tc>
        <w:tc>
          <w:tcPr>
            <w:tcW w:w="1414" w:type="pct"/>
            <w:shd w:val="clear" w:color="auto" w:fill="auto"/>
            <w:noWrap/>
          </w:tcPr>
          <w:p w14:paraId="4E5B8CF8"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74BB0EF6" w14:textId="77777777" w:rsidTr="000470C3">
        <w:trPr>
          <w:trHeight w:val="270"/>
        </w:trPr>
        <w:tc>
          <w:tcPr>
            <w:tcW w:w="3586" w:type="pct"/>
            <w:shd w:val="clear" w:color="auto" w:fill="auto"/>
            <w:noWrap/>
          </w:tcPr>
          <w:p w14:paraId="7C8B9425"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mean mortality should be ≤15% after 10 days exposure</w:t>
            </w:r>
          </w:p>
        </w:tc>
        <w:tc>
          <w:tcPr>
            <w:tcW w:w="1414" w:type="pct"/>
            <w:shd w:val="clear" w:color="auto" w:fill="auto"/>
            <w:noWrap/>
          </w:tcPr>
          <w:p w14:paraId="11BF58B7"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 xml:space="preserve">8.3% </w:t>
            </w:r>
          </w:p>
        </w:tc>
      </w:tr>
      <w:tr w:rsidR="00DC5685" w:rsidRPr="00A34F10" w14:paraId="77BB42CB" w14:textId="77777777" w:rsidTr="000470C3">
        <w:trPr>
          <w:trHeight w:val="270"/>
        </w:trPr>
        <w:tc>
          <w:tcPr>
            <w:tcW w:w="3586" w:type="pct"/>
            <w:shd w:val="clear" w:color="auto" w:fill="auto"/>
            <w:noWrap/>
          </w:tcPr>
          <w:p w14:paraId="4739F332"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toxic reference test, mean mortality should be ≥50% after 10 days exposure</w:t>
            </w:r>
          </w:p>
        </w:tc>
        <w:tc>
          <w:tcPr>
            <w:tcW w:w="1414" w:type="pct"/>
            <w:shd w:val="clear" w:color="auto" w:fill="auto"/>
            <w:noWrap/>
          </w:tcPr>
          <w:p w14:paraId="15339A83"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68.3%</w:t>
            </w:r>
          </w:p>
        </w:tc>
      </w:tr>
    </w:tbl>
    <w:p w14:paraId="65FE5038" w14:textId="77777777" w:rsidR="00DC5685" w:rsidRPr="00A34F10" w:rsidRDefault="00DC5685" w:rsidP="00DC5685">
      <w:pPr>
        <w:tabs>
          <w:tab w:val="left" w:pos="0"/>
        </w:tabs>
        <w:ind w:left="357" w:hanging="357"/>
        <w:contextualSpacing/>
        <w:rPr>
          <w:b/>
          <w:bCs/>
          <w:caps/>
          <w:szCs w:val="24"/>
          <w:lang w:val="en-GB"/>
        </w:rPr>
      </w:pPr>
    </w:p>
    <w:p w14:paraId="68585287"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lastRenderedPageBreak/>
        <w:t>D.</w:t>
      </w:r>
      <w:r w:rsidRPr="00A34F10">
        <w:rPr>
          <w:b/>
          <w:bCs/>
          <w:caps/>
          <w:szCs w:val="24"/>
          <w:lang w:val="en-GB"/>
        </w:rPr>
        <w:tab/>
        <w:t>Deficiencies</w:t>
      </w:r>
    </w:p>
    <w:p w14:paraId="1F62EB3F" w14:textId="77777777" w:rsidR="00DC5685" w:rsidRPr="00A34F10" w:rsidRDefault="00DC5685" w:rsidP="00DC5685">
      <w:pPr>
        <w:tabs>
          <w:tab w:val="left" w:pos="720"/>
        </w:tabs>
        <w:spacing w:after="240"/>
        <w:jc w:val="both"/>
        <w:rPr>
          <w:szCs w:val="24"/>
          <w:lang w:val="en-GB"/>
        </w:rPr>
      </w:pPr>
      <w:r w:rsidRPr="00A34F10">
        <w:rPr>
          <w:szCs w:val="24"/>
          <w:lang w:val="en-GB"/>
        </w:rPr>
        <w:t>None</w:t>
      </w:r>
    </w:p>
    <w:p w14:paraId="30E7A070" w14:textId="77777777" w:rsidR="00DC5685" w:rsidRDefault="00DC5685" w:rsidP="00DC5685">
      <w:pPr>
        <w:tabs>
          <w:tab w:val="left" w:pos="720"/>
        </w:tabs>
        <w:spacing w:after="360"/>
        <w:ind w:left="720" w:hanging="431"/>
        <w:contextualSpacing/>
        <w:jc w:val="center"/>
        <w:rPr>
          <w:b/>
          <w:bCs/>
          <w:szCs w:val="24"/>
          <w:lang w:val="en-GB"/>
        </w:rPr>
      </w:pPr>
      <w:r w:rsidRPr="00A34F10">
        <w:rPr>
          <w:b/>
          <w:bCs/>
          <w:szCs w:val="24"/>
          <w:lang w:val="en-GB"/>
        </w:rPr>
        <w:t>III.</w:t>
      </w:r>
      <w:r w:rsidRPr="00A34F10">
        <w:rPr>
          <w:b/>
          <w:bCs/>
          <w:szCs w:val="24"/>
          <w:lang w:val="en-GB"/>
        </w:rPr>
        <w:tab/>
        <w:t>CONCLUSION</w:t>
      </w:r>
    </w:p>
    <w:p w14:paraId="37E3B973" w14:textId="77777777" w:rsidR="008D2927" w:rsidRPr="00A34F10" w:rsidRDefault="008D2927" w:rsidP="00DC5685">
      <w:pPr>
        <w:tabs>
          <w:tab w:val="left" w:pos="720"/>
        </w:tabs>
        <w:spacing w:after="360"/>
        <w:ind w:left="720" w:hanging="431"/>
        <w:contextualSpacing/>
        <w:jc w:val="center"/>
        <w:rPr>
          <w:b/>
          <w:bCs/>
          <w:szCs w:val="24"/>
          <w:lang w:val="en-GB"/>
        </w:rPr>
      </w:pPr>
    </w:p>
    <w:p w14:paraId="5D23A98C" w14:textId="77777777" w:rsidR="008D2927" w:rsidRDefault="008D2927" w:rsidP="00DC5685">
      <w:pPr>
        <w:widowControl w:val="0"/>
        <w:jc w:val="both"/>
        <w:rPr>
          <w:lang w:val="en-GB"/>
        </w:rPr>
      </w:pPr>
    </w:p>
    <w:p w14:paraId="4102A647" w14:textId="286F9E96" w:rsidR="00430E04" w:rsidRDefault="00DC5685" w:rsidP="00DC5685">
      <w:pPr>
        <w:widowControl w:val="0"/>
        <w:jc w:val="both"/>
        <w:rPr>
          <w:lang w:val="en-GB"/>
        </w:rPr>
      </w:pPr>
      <w:r w:rsidRPr="00A34F10">
        <w:rPr>
          <w:lang w:val="en-GB"/>
        </w:rPr>
        <w:t>In a 10-day chronic toxicity feeding test with BAS 650 00 F, the LD</w:t>
      </w:r>
      <w:r w:rsidRPr="00A34F10">
        <w:rPr>
          <w:vertAlign w:val="subscript"/>
          <w:lang w:val="en-GB"/>
        </w:rPr>
        <w:t>50</w:t>
      </w:r>
      <w:r w:rsidRPr="00A34F10">
        <w:rPr>
          <w:lang w:val="en-GB"/>
        </w:rPr>
        <w:t xml:space="preserve"> and LC</w:t>
      </w:r>
      <w:r w:rsidRPr="00A34F10">
        <w:rPr>
          <w:vertAlign w:val="subscript"/>
          <w:lang w:val="en-GB"/>
        </w:rPr>
        <w:t>50</w:t>
      </w:r>
      <w:r w:rsidRPr="00A34F10">
        <w:rPr>
          <w:lang w:val="en-GB"/>
        </w:rPr>
        <w:t xml:space="preserve"> were determined to be 10.2 μg consumed a.s./bee/day and 0.254 g a.s./kg food, respectively. The NOED was 6.3 μg consumed a.s./bee/day and the NOEC was 0.154 g a.s./kg food.</w:t>
      </w:r>
    </w:p>
    <w:p w14:paraId="37CD12D4" w14:textId="77777777" w:rsidR="00430E04" w:rsidRDefault="00430E04">
      <w:pPr>
        <w:rPr>
          <w:lang w:val="en-GB"/>
        </w:rPr>
      </w:pPr>
      <w:r>
        <w:rPr>
          <w:lang w:val="en-GB"/>
        </w:rPr>
        <w:br w:type="page"/>
      </w:r>
    </w:p>
    <w:p w14:paraId="1DB1D779" w14:textId="77777777" w:rsidR="00DC5685" w:rsidRPr="00A34F10" w:rsidRDefault="00DC5685" w:rsidP="00430E04">
      <w:pPr>
        <w:pStyle w:val="RepAppendix5"/>
      </w:pPr>
      <w:bookmarkStart w:id="1107" w:name="_Hlk43100373"/>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495C45CD" w14:textId="77777777" w:rsidTr="00AF2713">
        <w:tc>
          <w:tcPr>
            <w:tcW w:w="1063" w:type="pct"/>
            <w:shd w:val="clear" w:color="auto" w:fill="D9D9D9" w:themeFill="background1" w:themeFillShade="D9"/>
          </w:tcPr>
          <w:p w14:paraId="4AA40317"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3B797D61" w14:textId="684B47C4" w:rsidR="00AF2713" w:rsidRPr="007A6328" w:rsidRDefault="00AF2713" w:rsidP="00AF2713">
            <w:pPr>
              <w:pStyle w:val="RepStandard"/>
              <w:rPr>
                <w:color w:val="000000"/>
              </w:rPr>
            </w:pPr>
            <w:r w:rsidRPr="007A6328">
              <w:rPr>
                <w:color w:val="000000"/>
              </w:rPr>
              <w:t xml:space="preserve">The study was conducted to </w:t>
            </w:r>
            <w:r w:rsidRPr="00A34F10">
              <w:t>OECD 2</w:t>
            </w:r>
            <w:r w:rsidR="00CB0DCB">
              <w:t>45</w:t>
            </w:r>
            <w:r w:rsidRPr="00A34F10">
              <w:t xml:space="preserve"> </w:t>
            </w:r>
            <w:r w:rsidRPr="007A6328">
              <w:rPr>
                <w:color w:val="000000"/>
              </w:rPr>
              <w:t>and according to the principles of GLP. No deviations to the guideline were noted. All validity criteria were met.</w:t>
            </w:r>
          </w:p>
          <w:p w14:paraId="111763CC" w14:textId="3ECBC928" w:rsidR="00DC5685" w:rsidRPr="00A34F10" w:rsidRDefault="00AF2713" w:rsidP="00AF2713">
            <w:pPr>
              <w:widowControl w:val="0"/>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bookmarkEnd w:id="1107"/>
    </w:tbl>
    <w:p w14:paraId="73EEA841" w14:textId="77777777" w:rsidR="00DC5685" w:rsidRPr="00A34F10" w:rsidRDefault="00DC5685" w:rsidP="00DC5685">
      <w:pPr>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3E09998C" w14:textId="77777777" w:rsidTr="000470C3">
        <w:trPr>
          <w:trHeight w:val="170"/>
          <w:jc w:val="center"/>
        </w:trPr>
        <w:tc>
          <w:tcPr>
            <w:tcW w:w="1288" w:type="pct"/>
          </w:tcPr>
          <w:p w14:paraId="25B9BD33"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712" w:type="pct"/>
          </w:tcPr>
          <w:p w14:paraId="619C2378" w14:textId="77777777" w:rsidR="00DC5685" w:rsidRPr="00A34F10" w:rsidRDefault="00DC5685" w:rsidP="00DC5685">
            <w:pPr>
              <w:widowControl w:val="0"/>
              <w:spacing w:after="120"/>
              <w:jc w:val="both"/>
              <w:rPr>
                <w:lang w:val="en-GB"/>
              </w:rPr>
            </w:pPr>
            <w:r w:rsidRPr="00A34F10">
              <w:rPr>
                <w:lang w:val="en-GB"/>
              </w:rPr>
              <w:t>CP 10.3.1.2/0</w:t>
            </w:r>
            <w:r w:rsidRPr="00A34F10">
              <w:t>2</w:t>
            </w:r>
          </w:p>
        </w:tc>
      </w:tr>
      <w:tr w:rsidR="00DC5685" w:rsidRPr="00A34F10" w14:paraId="77FCB401" w14:textId="77777777" w:rsidTr="000470C3">
        <w:trPr>
          <w:trHeight w:val="1502"/>
          <w:jc w:val="center"/>
        </w:trPr>
        <w:tc>
          <w:tcPr>
            <w:tcW w:w="1288" w:type="pct"/>
          </w:tcPr>
          <w:p w14:paraId="1154595E" w14:textId="77777777" w:rsidR="00DC5685" w:rsidRPr="00A34F10" w:rsidRDefault="00DC5685" w:rsidP="00DC5685">
            <w:pPr>
              <w:widowControl w:val="0"/>
              <w:spacing w:after="120"/>
              <w:jc w:val="both"/>
              <w:rPr>
                <w:lang w:val="en-GB"/>
              </w:rPr>
            </w:pPr>
            <w:r w:rsidRPr="00A34F10">
              <w:rPr>
                <w:lang w:val="en-GB"/>
              </w:rPr>
              <w:t xml:space="preserve">Report </w:t>
            </w:r>
          </w:p>
        </w:tc>
        <w:tc>
          <w:tcPr>
            <w:tcW w:w="3712" w:type="pct"/>
          </w:tcPr>
          <w:p w14:paraId="6BF525E4" w14:textId="77777777" w:rsidR="00DC5685" w:rsidRPr="00A34F10" w:rsidRDefault="00DC5685" w:rsidP="00DC5685">
            <w:pPr>
              <w:widowControl w:val="0"/>
              <w:spacing w:after="120"/>
              <w:jc w:val="both"/>
            </w:pPr>
            <w:r w:rsidRPr="00A34F10">
              <w:t>Chronic toxicity of BAS 743 02 F to the honey bee Apis mellifera L. under laboratory conditions</w:t>
            </w:r>
          </w:p>
          <w:p w14:paraId="36BB8541" w14:textId="77777777" w:rsidR="00DC5685" w:rsidRPr="00A34F10" w:rsidRDefault="00DC5685" w:rsidP="00DC5685">
            <w:pPr>
              <w:widowControl w:val="0"/>
              <w:spacing w:after="120"/>
              <w:jc w:val="both"/>
            </w:pPr>
            <w:r w:rsidRPr="00A34F10">
              <w:t>Ruhland S., 2023</w:t>
            </w:r>
          </w:p>
          <w:p w14:paraId="52F3D7F8" w14:textId="77777777" w:rsidR="00DC5685" w:rsidRPr="00A34F10" w:rsidRDefault="00DC5685" w:rsidP="00DC5685">
            <w:pPr>
              <w:widowControl w:val="0"/>
              <w:spacing w:after="120"/>
              <w:jc w:val="both"/>
            </w:pPr>
            <w:r w:rsidRPr="00A34F10">
              <w:t>Study number 933752-2</w:t>
            </w:r>
          </w:p>
          <w:p w14:paraId="6FB11843" w14:textId="6E91E6DC" w:rsidR="00DC5685" w:rsidRPr="00A34F10" w:rsidRDefault="00D007AB" w:rsidP="00DC5685">
            <w:pPr>
              <w:widowControl w:val="0"/>
              <w:spacing w:after="120"/>
              <w:jc w:val="both"/>
              <w:rPr>
                <w:lang w:val="en-GB"/>
              </w:rPr>
            </w:pPr>
            <w:r>
              <w:t>XXXX</w:t>
            </w:r>
            <w:r w:rsidR="00DC5685" w:rsidRPr="00A34F10">
              <w:t xml:space="preserve"> DocID 2022/2033709</w:t>
            </w:r>
          </w:p>
        </w:tc>
      </w:tr>
      <w:tr w:rsidR="00DC5685" w:rsidRPr="00A34F10" w14:paraId="711F22BD" w14:textId="77777777" w:rsidTr="000470C3">
        <w:trPr>
          <w:trHeight w:val="170"/>
          <w:jc w:val="center"/>
        </w:trPr>
        <w:tc>
          <w:tcPr>
            <w:tcW w:w="1288" w:type="pct"/>
          </w:tcPr>
          <w:p w14:paraId="34927955" w14:textId="77777777" w:rsidR="00DC5685" w:rsidRPr="00A34F10" w:rsidRDefault="00DC5685" w:rsidP="00DC5685">
            <w:pPr>
              <w:widowControl w:val="0"/>
              <w:spacing w:after="120"/>
              <w:jc w:val="both"/>
              <w:rPr>
                <w:lang w:val="en-GB"/>
              </w:rPr>
            </w:pPr>
            <w:r w:rsidRPr="00A34F10">
              <w:t>Guideline(s):</w:t>
            </w:r>
          </w:p>
        </w:tc>
        <w:tc>
          <w:tcPr>
            <w:tcW w:w="3712" w:type="pct"/>
          </w:tcPr>
          <w:p w14:paraId="72458C2A" w14:textId="77777777" w:rsidR="00DC5685" w:rsidRPr="00A34F10" w:rsidRDefault="00DC5685" w:rsidP="00DC5685">
            <w:pPr>
              <w:widowControl w:val="0"/>
              <w:spacing w:after="120"/>
              <w:jc w:val="both"/>
              <w:rPr>
                <w:lang w:val="en-GB"/>
              </w:rPr>
            </w:pPr>
            <w:r w:rsidRPr="00A34F10">
              <w:t>OECD 245 (2017)</w:t>
            </w:r>
          </w:p>
        </w:tc>
      </w:tr>
      <w:tr w:rsidR="00DC5685" w:rsidRPr="00A34F10" w14:paraId="211A5401" w14:textId="77777777" w:rsidTr="000470C3">
        <w:trPr>
          <w:trHeight w:val="170"/>
          <w:jc w:val="center"/>
        </w:trPr>
        <w:tc>
          <w:tcPr>
            <w:tcW w:w="1288" w:type="pct"/>
          </w:tcPr>
          <w:p w14:paraId="528493B0" w14:textId="77777777" w:rsidR="00DC5685" w:rsidRPr="00A34F10" w:rsidRDefault="00DC5685" w:rsidP="00DC5685">
            <w:pPr>
              <w:widowControl w:val="0"/>
              <w:spacing w:after="120"/>
              <w:jc w:val="both"/>
              <w:rPr>
                <w:lang w:val="en-GB"/>
              </w:rPr>
            </w:pPr>
            <w:r w:rsidRPr="00A34F10">
              <w:t>Deviations:</w:t>
            </w:r>
          </w:p>
        </w:tc>
        <w:tc>
          <w:tcPr>
            <w:tcW w:w="3712" w:type="pct"/>
          </w:tcPr>
          <w:p w14:paraId="4322977C" w14:textId="77777777" w:rsidR="00DC5685" w:rsidRPr="00A34F10" w:rsidRDefault="00DC5685" w:rsidP="00DC5685">
            <w:pPr>
              <w:widowControl w:val="0"/>
              <w:spacing w:after="120"/>
              <w:jc w:val="both"/>
              <w:rPr>
                <w:lang w:val="en-GB"/>
              </w:rPr>
            </w:pPr>
            <w:r w:rsidRPr="00A34F10">
              <w:rPr>
                <w:lang w:val="en-GB"/>
              </w:rPr>
              <w:t xml:space="preserve">No </w:t>
            </w:r>
          </w:p>
        </w:tc>
      </w:tr>
      <w:tr w:rsidR="00DC5685" w:rsidRPr="00902592" w14:paraId="4CC15068" w14:textId="77777777" w:rsidTr="000470C3">
        <w:trPr>
          <w:trHeight w:val="170"/>
          <w:jc w:val="center"/>
        </w:trPr>
        <w:tc>
          <w:tcPr>
            <w:tcW w:w="1288" w:type="pct"/>
          </w:tcPr>
          <w:p w14:paraId="0A1569AE" w14:textId="77777777" w:rsidR="00DC5685" w:rsidRPr="00A34F10" w:rsidRDefault="00DC5685" w:rsidP="00DC5685">
            <w:pPr>
              <w:widowControl w:val="0"/>
              <w:spacing w:after="120"/>
              <w:jc w:val="both"/>
              <w:rPr>
                <w:lang w:val="en-GB"/>
              </w:rPr>
            </w:pPr>
            <w:r w:rsidRPr="00A34F10">
              <w:t>GLP:</w:t>
            </w:r>
          </w:p>
        </w:tc>
        <w:tc>
          <w:tcPr>
            <w:tcW w:w="3712" w:type="pct"/>
          </w:tcPr>
          <w:p w14:paraId="7283FE57" w14:textId="77777777" w:rsidR="00DC5685" w:rsidRPr="00A34F10" w:rsidRDefault="00DC5685" w:rsidP="00DC5685">
            <w:pPr>
              <w:widowControl w:val="0"/>
              <w:spacing w:after="120"/>
              <w:jc w:val="both"/>
              <w:rPr>
                <w:lang w:val="de-DE"/>
              </w:rPr>
            </w:pPr>
            <w:r w:rsidRPr="00A34F10">
              <w:rPr>
                <w:lang w:val="de-DE"/>
              </w:rPr>
              <w:t>Yes (certified by Saechsisches Staatsministerium fuer Umwelt und Landwirtschaft, Dresden, Germany)</w:t>
            </w:r>
          </w:p>
        </w:tc>
      </w:tr>
      <w:tr w:rsidR="00DC5685" w:rsidRPr="00A34F10" w14:paraId="60936E27" w14:textId="77777777" w:rsidTr="000470C3">
        <w:trPr>
          <w:trHeight w:val="170"/>
          <w:jc w:val="center"/>
        </w:trPr>
        <w:tc>
          <w:tcPr>
            <w:tcW w:w="1288" w:type="pct"/>
          </w:tcPr>
          <w:p w14:paraId="2F3688EA" w14:textId="77777777" w:rsidR="00DC5685" w:rsidRPr="00A34F10" w:rsidRDefault="00DC5685" w:rsidP="00DC5685">
            <w:pPr>
              <w:widowControl w:val="0"/>
              <w:spacing w:after="120"/>
              <w:jc w:val="both"/>
              <w:rPr>
                <w:lang w:val="en-GB"/>
              </w:rPr>
            </w:pPr>
            <w:r w:rsidRPr="00A34F10">
              <w:t>Acceptability:</w:t>
            </w:r>
          </w:p>
        </w:tc>
        <w:tc>
          <w:tcPr>
            <w:tcW w:w="3712" w:type="pct"/>
          </w:tcPr>
          <w:p w14:paraId="5A2F3865" w14:textId="77777777" w:rsidR="00DC5685" w:rsidRPr="00A34F10" w:rsidRDefault="00DC5685" w:rsidP="00DC5685">
            <w:pPr>
              <w:widowControl w:val="0"/>
              <w:spacing w:after="120"/>
              <w:jc w:val="both"/>
              <w:rPr>
                <w:lang w:val="en-GB"/>
              </w:rPr>
            </w:pPr>
            <w:r w:rsidRPr="00A34F10">
              <w:rPr>
                <w:lang w:val="en-GB"/>
              </w:rPr>
              <w:t>Yes</w:t>
            </w:r>
          </w:p>
        </w:tc>
      </w:tr>
    </w:tbl>
    <w:p w14:paraId="12F5CADA" w14:textId="77777777" w:rsidR="00DC5685" w:rsidRPr="00A34F10" w:rsidRDefault="00DC5685" w:rsidP="00DC5685">
      <w:pPr>
        <w:widowControl w:val="0"/>
        <w:tabs>
          <w:tab w:val="left" w:pos="1134"/>
          <w:tab w:val="right" w:pos="8222"/>
        </w:tabs>
        <w:suppressAutoHyphens/>
        <w:jc w:val="both"/>
        <w:rPr>
          <w:lang w:val="en-GB"/>
        </w:rPr>
      </w:pPr>
    </w:p>
    <w:p w14:paraId="7A73CA42" w14:textId="77777777" w:rsidR="00DC5685" w:rsidRPr="00A34F10" w:rsidRDefault="00DC5685" w:rsidP="00DC5685">
      <w:pPr>
        <w:widowControl w:val="0"/>
        <w:tabs>
          <w:tab w:val="left" w:pos="1134"/>
          <w:tab w:val="right" w:pos="8222"/>
        </w:tabs>
        <w:suppressAutoHyphens/>
        <w:jc w:val="both"/>
        <w:rPr>
          <w:b/>
          <w:bCs/>
          <w:lang w:val="en-GB"/>
        </w:rPr>
      </w:pPr>
      <w:r w:rsidRPr="00A34F10">
        <w:rPr>
          <w:b/>
          <w:bCs/>
          <w:lang w:val="en-GB"/>
        </w:rPr>
        <w:t>Executive Summary</w:t>
      </w:r>
    </w:p>
    <w:p w14:paraId="4723479A" w14:textId="77777777" w:rsidR="00DC5685" w:rsidRPr="00A34F10" w:rsidRDefault="00DC5685" w:rsidP="00DC5685">
      <w:pPr>
        <w:widowControl w:val="0"/>
        <w:tabs>
          <w:tab w:val="left" w:pos="1134"/>
          <w:tab w:val="right" w:pos="8222"/>
        </w:tabs>
        <w:suppressAutoHyphens/>
        <w:jc w:val="both"/>
        <w:rPr>
          <w:b/>
          <w:bCs/>
          <w:lang w:val="en-GB"/>
        </w:rPr>
      </w:pPr>
    </w:p>
    <w:p w14:paraId="2F7EC214" w14:textId="77777777" w:rsidR="00DC5685" w:rsidRPr="00A34F10" w:rsidRDefault="00DC5685" w:rsidP="00DC5685">
      <w:pPr>
        <w:widowControl w:val="0"/>
        <w:tabs>
          <w:tab w:val="left" w:pos="1134"/>
          <w:tab w:val="right" w:pos="8222"/>
        </w:tabs>
        <w:suppressAutoHyphens/>
        <w:jc w:val="both"/>
        <w:rPr>
          <w:snapToGrid w:val="0"/>
          <w:highlight w:val="yellow"/>
        </w:rPr>
      </w:pPr>
      <w:r w:rsidRPr="00A34F10">
        <w:rPr>
          <w:lang w:val="en-GB"/>
        </w:rPr>
        <w:t xml:space="preserve">The chronic oral toxicity of </w:t>
      </w:r>
      <w:r w:rsidRPr="00A34F10">
        <w:rPr>
          <w:snapToGrid w:val="0"/>
        </w:rPr>
        <w:t>BAS 743 02 F to 2-day old worker honeybees (</w:t>
      </w:r>
      <w:r w:rsidRPr="00A34F10">
        <w:rPr>
          <w:i/>
          <w:snapToGrid w:val="0"/>
        </w:rPr>
        <w:t xml:space="preserve">Apis mellifera </w:t>
      </w:r>
      <w:r w:rsidRPr="00A34F10">
        <w:rPr>
          <w:snapToGrid w:val="0"/>
        </w:rPr>
        <w:t>L. subspecies Buckfast) was determined in a 10-day toxicity feeding test. The toxicity of the test item was determined at 190, 95.5, 58.0, 41.7 and 15.9 µg consumed product/bee/day (equivalent to nominal doses of 800, 320, 128, 51.2 and 20.5 µg product/bee/day), corresponding to concentrations of 20.370, 8.148, 3.259, 1.304 and 0.521 g product/kg food. Additionally, honeybees were treated with dimethoate as reference item or with an untreated control and viscosifier control.</w:t>
      </w:r>
      <w:r w:rsidRPr="00A34F10">
        <w:rPr>
          <w:lang w:val="en-GB"/>
        </w:rPr>
        <w:t xml:space="preserve"> Assessments of bee mortality, food consumption and behavioural abnormalities were conducted daily.</w:t>
      </w:r>
    </w:p>
    <w:p w14:paraId="2CE838A8" w14:textId="77777777" w:rsidR="00DC5685" w:rsidRPr="00A34F10" w:rsidRDefault="00DC5685" w:rsidP="00DC5685">
      <w:pPr>
        <w:widowControl w:val="0"/>
        <w:tabs>
          <w:tab w:val="left" w:pos="1134"/>
          <w:tab w:val="right" w:pos="8222"/>
        </w:tabs>
        <w:suppressAutoHyphens/>
        <w:jc w:val="both"/>
        <w:rPr>
          <w:snapToGrid w:val="0"/>
          <w:highlight w:val="yellow"/>
        </w:rPr>
      </w:pPr>
    </w:p>
    <w:p w14:paraId="63D25221" w14:textId="77777777" w:rsidR="00DC5685" w:rsidRPr="00A34F10" w:rsidRDefault="00DC5685" w:rsidP="00DC5685">
      <w:pPr>
        <w:widowControl w:val="0"/>
        <w:suppressAutoHyphens/>
        <w:jc w:val="both"/>
        <w:rPr>
          <w:highlight w:val="yellow"/>
          <w:lang w:val="en-GB"/>
        </w:rPr>
      </w:pPr>
      <w:r w:rsidRPr="00A34F10">
        <w:t xml:space="preserve">The blank control group showed a mean mortality of 3.3% after 10 days of testing while in the viscosifier control groups, a mean mortality of 0% was observed. In the test item group, bees consuming doses of 190, 95.5, 58.0, 41.7 and 15.9 µg product/bee/day revealed mean mortalities of 100.0, 66.7, 23.3, 3.3 and 0.0% respectively. Mortalities in the 190, 95.5 and 58.0 µg consumed product/bee/day treatment groups were statistically significantly increased compared to the viscosifier control group. There were no behavioural abnormalities in any of the treatment groups observed in the final assessment on the last day of the test. </w:t>
      </w:r>
    </w:p>
    <w:p w14:paraId="16A5B8AC" w14:textId="77777777" w:rsidR="00DC5685" w:rsidRPr="00A34F10" w:rsidRDefault="00DC5685" w:rsidP="00DC5685">
      <w:pPr>
        <w:widowControl w:val="0"/>
        <w:tabs>
          <w:tab w:val="left" w:pos="1134"/>
          <w:tab w:val="right" w:pos="8222"/>
        </w:tabs>
        <w:suppressAutoHyphens/>
        <w:spacing w:line="-240" w:lineRule="auto"/>
        <w:jc w:val="both"/>
        <w:rPr>
          <w:snapToGrid w:val="0"/>
          <w:highlight w:val="yellow"/>
        </w:rPr>
      </w:pPr>
    </w:p>
    <w:p w14:paraId="6EAA5B8C" w14:textId="77777777" w:rsidR="00DC5685" w:rsidRPr="00A34F10" w:rsidRDefault="00DC5685" w:rsidP="00DC5685">
      <w:pPr>
        <w:tabs>
          <w:tab w:val="left" w:pos="720"/>
        </w:tabs>
        <w:jc w:val="both"/>
        <w:rPr>
          <w:szCs w:val="24"/>
          <w:highlight w:val="yellow"/>
          <w:lang w:val="en-GB"/>
        </w:rPr>
      </w:pPr>
      <w:bookmarkStart w:id="1108" w:name="_Hlk126075278"/>
      <w:r w:rsidRPr="00A34F10">
        <w:t>The LDD</w:t>
      </w:r>
      <w:r w:rsidRPr="00A34F10">
        <w:rPr>
          <w:vertAlign w:val="subscript"/>
        </w:rPr>
        <w:t>50</w:t>
      </w:r>
      <w:r w:rsidRPr="00A34F10">
        <w:t xml:space="preserve"> was determined to be 78.6 µg consumed product/bee/day. The corresponding LC</w:t>
      </w:r>
      <w:r w:rsidRPr="00A34F10">
        <w:rPr>
          <w:vertAlign w:val="subscript"/>
        </w:rPr>
        <w:t>50</w:t>
      </w:r>
      <w:r w:rsidRPr="00A34F10">
        <w:t xml:space="preserve"> was determined to be 5.394 g product/kg food. The NOEDD was determined to be 41.7 µg consumed product/bee/day. The corresponding NOEC was determined to be 1.304 g product/kg food.</w:t>
      </w:r>
    </w:p>
    <w:bookmarkEnd w:id="1108"/>
    <w:p w14:paraId="18870B7D" w14:textId="0B4E2232" w:rsidR="00430E04" w:rsidRDefault="00430E04">
      <w:pPr>
        <w:rPr>
          <w:szCs w:val="24"/>
          <w:highlight w:val="yellow"/>
          <w:lang w:val="en-GB"/>
        </w:rPr>
      </w:pPr>
      <w:r>
        <w:rPr>
          <w:szCs w:val="24"/>
          <w:highlight w:val="yellow"/>
          <w:lang w:val="en-GB"/>
        </w:rPr>
        <w:br w:type="page"/>
      </w:r>
    </w:p>
    <w:p w14:paraId="4F829634" w14:textId="77777777" w:rsidR="00DC5685" w:rsidRPr="00A34F10" w:rsidRDefault="00DC5685" w:rsidP="00DC5685">
      <w:pPr>
        <w:tabs>
          <w:tab w:val="left" w:pos="720"/>
        </w:tabs>
        <w:jc w:val="both"/>
        <w:rPr>
          <w:szCs w:val="24"/>
          <w:highlight w:val="yellow"/>
          <w:lang w:val="en-GB"/>
        </w:rPr>
      </w:pPr>
    </w:p>
    <w:p w14:paraId="0FD0772E" w14:textId="77777777" w:rsidR="00DC5685" w:rsidRPr="00A34F10" w:rsidRDefault="00DC5685" w:rsidP="00DC5685">
      <w:pPr>
        <w:keepNext/>
        <w:keepLines/>
        <w:tabs>
          <w:tab w:val="left" w:pos="720"/>
        </w:tabs>
        <w:spacing w:after="240"/>
        <w:ind w:left="720" w:hanging="431"/>
        <w:contextualSpacing/>
        <w:jc w:val="center"/>
        <w:rPr>
          <w:b/>
          <w:bCs/>
          <w:szCs w:val="24"/>
          <w:lang w:val="en-GB"/>
        </w:rPr>
      </w:pPr>
      <w:r w:rsidRPr="00A34F10">
        <w:rPr>
          <w:b/>
          <w:bCs/>
          <w:szCs w:val="24"/>
          <w:lang w:val="en-GB"/>
        </w:rPr>
        <w:t>I.</w:t>
      </w:r>
      <w:r w:rsidRPr="00A34F10">
        <w:rPr>
          <w:b/>
          <w:bCs/>
          <w:szCs w:val="24"/>
          <w:lang w:val="en-GB"/>
        </w:rPr>
        <w:tab/>
        <w:t>MATERIALS AND METHODS</w:t>
      </w:r>
    </w:p>
    <w:p w14:paraId="4B78DF1A" w14:textId="77777777" w:rsidR="00DC5685" w:rsidRPr="00A34F10" w:rsidRDefault="00DC5685" w:rsidP="00DC5685">
      <w:pPr>
        <w:keepNext/>
        <w:keepLines/>
        <w:tabs>
          <w:tab w:val="left" w:pos="0"/>
        </w:tabs>
        <w:ind w:left="357" w:hanging="357"/>
        <w:contextualSpacing/>
        <w:rPr>
          <w:b/>
          <w:bCs/>
          <w:caps/>
          <w:szCs w:val="24"/>
          <w:lang w:val="en-GB"/>
        </w:rPr>
      </w:pPr>
      <w:r w:rsidRPr="00A34F10">
        <w:rPr>
          <w:b/>
          <w:bCs/>
          <w:caps/>
          <w:szCs w:val="24"/>
          <w:lang w:val="en-GB"/>
        </w:rPr>
        <w:t>A.</w:t>
      </w:r>
      <w:r w:rsidRPr="00A34F10">
        <w:rPr>
          <w:b/>
          <w:bCs/>
          <w:caps/>
          <w:szCs w:val="24"/>
          <w:lang w:val="en-GB"/>
        </w:rPr>
        <w:tab/>
        <w:t>MATERIALS</w:t>
      </w:r>
    </w:p>
    <w:p w14:paraId="7713B58B" w14:textId="77777777" w:rsidR="00DC5685" w:rsidRPr="00A34F10" w:rsidRDefault="00DC5685" w:rsidP="00DC5685">
      <w:pPr>
        <w:keepNext/>
        <w:keepLines/>
        <w:tabs>
          <w:tab w:val="left" w:pos="0"/>
        </w:tabs>
        <w:ind w:left="357" w:hanging="357"/>
        <w:contextualSpacing/>
        <w:rPr>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76D6CC8D" w14:textId="77777777" w:rsidTr="000470C3">
        <w:trPr>
          <w:cantSplit/>
          <w:trHeight w:hRule="exact" w:val="340"/>
        </w:trPr>
        <w:tc>
          <w:tcPr>
            <w:tcW w:w="3969" w:type="dxa"/>
          </w:tcPr>
          <w:p w14:paraId="4A28922D" w14:textId="77777777" w:rsidR="00DC5685" w:rsidRPr="00A34F10" w:rsidRDefault="00DC5685" w:rsidP="00E05ECD">
            <w:pPr>
              <w:keepNext/>
              <w:keepLines/>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Test item:</w:t>
            </w:r>
          </w:p>
        </w:tc>
        <w:tc>
          <w:tcPr>
            <w:tcW w:w="5381" w:type="dxa"/>
          </w:tcPr>
          <w:p w14:paraId="117CABC8" w14:textId="77777777" w:rsidR="00DC5685" w:rsidRPr="00A34F10" w:rsidRDefault="00DC5685" w:rsidP="00DC5685">
            <w:pPr>
              <w:keepNext/>
              <w:keepLines/>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BAS 743 02 F</w:t>
            </w:r>
          </w:p>
        </w:tc>
      </w:tr>
      <w:tr w:rsidR="00DC5685" w:rsidRPr="00A34F10" w14:paraId="3AC496FD" w14:textId="77777777" w:rsidTr="000470C3">
        <w:trPr>
          <w:cantSplit/>
          <w:trHeight w:hRule="exact" w:val="340"/>
        </w:trPr>
        <w:tc>
          <w:tcPr>
            <w:tcW w:w="3969" w:type="dxa"/>
          </w:tcPr>
          <w:p w14:paraId="29724691"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Description:</w:t>
            </w:r>
          </w:p>
        </w:tc>
        <w:tc>
          <w:tcPr>
            <w:tcW w:w="5381" w:type="dxa"/>
          </w:tcPr>
          <w:p w14:paraId="200A0092" w14:textId="77777777" w:rsidR="00DC5685" w:rsidRPr="00A34F10" w:rsidRDefault="00DC5685" w:rsidP="00DC5685">
            <w:pPr>
              <w:keepNext/>
              <w:keepLines/>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SC (suspension concentrate)</w:t>
            </w:r>
          </w:p>
        </w:tc>
      </w:tr>
      <w:tr w:rsidR="00DC5685" w:rsidRPr="00A34F10" w14:paraId="15AD98DF" w14:textId="77777777" w:rsidTr="000470C3">
        <w:trPr>
          <w:cantSplit/>
          <w:trHeight w:hRule="exact" w:val="340"/>
        </w:trPr>
        <w:tc>
          <w:tcPr>
            <w:tcW w:w="3969" w:type="dxa"/>
          </w:tcPr>
          <w:p w14:paraId="22E1395C"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Lot/Batch:</w:t>
            </w:r>
          </w:p>
        </w:tc>
        <w:tc>
          <w:tcPr>
            <w:tcW w:w="5381" w:type="dxa"/>
          </w:tcPr>
          <w:p w14:paraId="356242E8" w14:textId="77777777" w:rsidR="00DC5685" w:rsidRPr="00A34F10" w:rsidRDefault="00DC5685" w:rsidP="00DC5685">
            <w:pPr>
              <w:keepNext/>
              <w:keepLines/>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FRE-002224</w:t>
            </w:r>
          </w:p>
        </w:tc>
      </w:tr>
      <w:tr w:rsidR="00DC5685" w:rsidRPr="00A34F10" w14:paraId="68EA62D8" w14:textId="77777777" w:rsidTr="000470C3">
        <w:trPr>
          <w:cantSplit/>
          <w:trHeight w:hRule="exact" w:val="708"/>
        </w:trPr>
        <w:tc>
          <w:tcPr>
            <w:tcW w:w="3969" w:type="dxa"/>
          </w:tcPr>
          <w:p w14:paraId="3FCE6DA4"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Active substance content:</w:t>
            </w:r>
          </w:p>
        </w:tc>
        <w:tc>
          <w:tcPr>
            <w:tcW w:w="5381" w:type="dxa"/>
          </w:tcPr>
          <w:p w14:paraId="6D51031E" w14:textId="77777777" w:rsidR="00DC5685" w:rsidRPr="00A34F10" w:rsidRDefault="00DC5685" w:rsidP="00DC5685">
            <w:pPr>
              <w:keepNext/>
              <w:keepLines/>
              <w:numPr>
                <w:ilvl w:val="3"/>
                <w:numId w:val="0"/>
              </w:numPr>
              <w:tabs>
                <w:tab w:val="left" w:pos="0"/>
                <w:tab w:val="left" w:pos="720"/>
              </w:tabs>
              <w:spacing w:line="276" w:lineRule="auto"/>
              <w:contextualSpacing/>
              <w:rPr>
                <w:rFonts w:ascii="Times New Roman" w:hAnsi="Times New Roman"/>
                <w:lang w:val="en-US" w:eastAsia="en-US"/>
              </w:rPr>
            </w:pPr>
            <w:r w:rsidRPr="00A34F10">
              <w:rPr>
                <w:rFonts w:ascii="Times New Roman" w:hAnsi="Times New Roman"/>
                <w:lang w:val="en-US" w:eastAsia="en-US"/>
              </w:rPr>
              <w:t>Propamocarb: nominal 432.0 g/L; analysed 431.0 g/L</w:t>
            </w:r>
          </w:p>
          <w:p w14:paraId="57F18E3B" w14:textId="77777777" w:rsidR="00DC5685" w:rsidRPr="00A34F10" w:rsidRDefault="00DC5685" w:rsidP="00DC5685">
            <w:pPr>
              <w:keepNext/>
              <w:keepLines/>
              <w:numPr>
                <w:ilvl w:val="3"/>
                <w:numId w:val="0"/>
              </w:numPr>
              <w:tabs>
                <w:tab w:val="left" w:pos="0"/>
                <w:tab w:val="left" w:pos="720"/>
              </w:tabs>
              <w:spacing w:line="276" w:lineRule="auto"/>
              <w:contextualSpacing/>
              <w:rPr>
                <w:rFonts w:ascii="Times New Roman" w:hAnsi="Times New Roman"/>
                <w:lang w:eastAsia="en-US"/>
              </w:rPr>
            </w:pPr>
            <w:r w:rsidRPr="00A34F10">
              <w:rPr>
                <w:rFonts w:ascii="Times New Roman" w:hAnsi="Times New Roman"/>
                <w:lang w:val="en-US" w:eastAsia="en-US"/>
              </w:rPr>
              <w:t>Ametoctradin: nominal 137.14 g/L; analysed 137.7 g/L</w:t>
            </w:r>
          </w:p>
        </w:tc>
      </w:tr>
      <w:tr w:rsidR="00DC5685" w:rsidRPr="00A34F10" w14:paraId="2ED49A97" w14:textId="77777777" w:rsidTr="000470C3">
        <w:trPr>
          <w:cantSplit/>
          <w:trHeight w:hRule="exact" w:val="397"/>
        </w:trPr>
        <w:tc>
          <w:tcPr>
            <w:tcW w:w="3969" w:type="dxa"/>
          </w:tcPr>
          <w:p w14:paraId="02DEEA83"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lang w:eastAsia="en-US"/>
              </w:rPr>
            </w:pPr>
            <w:r w:rsidRPr="00A34F10">
              <w:rPr>
                <w:rFonts w:ascii="Times New Roman" w:hAnsi="Times New Roman"/>
                <w:lang w:eastAsia="en-US"/>
              </w:rPr>
              <w:t>Density:</w:t>
            </w:r>
          </w:p>
        </w:tc>
        <w:tc>
          <w:tcPr>
            <w:tcW w:w="5381" w:type="dxa"/>
          </w:tcPr>
          <w:p w14:paraId="3CD76899" w14:textId="77777777" w:rsidR="00DC5685" w:rsidRPr="00A34F10" w:rsidRDefault="00DC5685" w:rsidP="00DC5685">
            <w:pPr>
              <w:keepNext/>
              <w:keepLines/>
              <w:numPr>
                <w:ilvl w:val="3"/>
                <w:numId w:val="0"/>
              </w:numPr>
              <w:tabs>
                <w:tab w:val="left" w:pos="0"/>
                <w:tab w:val="left" w:pos="720"/>
              </w:tabs>
              <w:spacing w:after="240"/>
              <w:ind w:left="360" w:hanging="360"/>
              <w:contextualSpacing/>
              <w:rPr>
                <w:rFonts w:ascii="Times New Roman" w:hAnsi="Times New Roman"/>
                <w:lang w:eastAsia="en-US"/>
              </w:rPr>
            </w:pPr>
            <w:r w:rsidRPr="00A34F10">
              <w:rPr>
                <w:rFonts w:ascii="Times New Roman" w:hAnsi="Times New Roman"/>
                <w:lang w:eastAsia="en-US"/>
              </w:rPr>
              <w:t>1.080 g/cm</w:t>
            </w:r>
            <w:r w:rsidRPr="00A34F10">
              <w:rPr>
                <w:rFonts w:ascii="Times New Roman" w:hAnsi="Times New Roman"/>
                <w:vertAlign w:val="superscript"/>
                <w:lang w:eastAsia="en-US"/>
              </w:rPr>
              <w:t xml:space="preserve">3 </w:t>
            </w:r>
          </w:p>
        </w:tc>
      </w:tr>
      <w:tr w:rsidR="00DC5685" w:rsidRPr="00A34F10" w14:paraId="75336219" w14:textId="77777777" w:rsidTr="000470C3">
        <w:trPr>
          <w:cantSplit/>
          <w:trHeight w:hRule="exact" w:val="1215"/>
        </w:trPr>
        <w:tc>
          <w:tcPr>
            <w:tcW w:w="3969" w:type="dxa"/>
          </w:tcPr>
          <w:p w14:paraId="2D3B57A4" w14:textId="77777777" w:rsidR="00DC5685" w:rsidRPr="00A34F10" w:rsidRDefault="00DC5685" w:rsidP="00E05ECD">
            <w:pPr>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Control:</w:t>
            </w:r>
          </w:p>
        </w:tc>
        <w:tc>
          <w:tcPr>
            <w:tcW w:w="5381" w:type="dxa"/>
          </w:tcPr>
          <w:p w14:paraId="589DFEAD" w14:textId="77777777" w:rsidR="00DC5685" w:rsidRPr="00A34F10" w:rsidRDefault="00DC5685" w:rsidP="00DC5685">
            <w:pPr>
              <w:numPr>
                <w:ilvl w:val="3"/>
                <w:numId w:val="0"/>
              </w:numPr>
              <w:tabs>
                <w:tab w:val="left" w:pos="0"/>
                <w:tab w:val="left" w:pos="720"/>
              </w:tabs>
              <w:spacing w:line="276" w:lineRule="auto"/>
              <w:contextualSpacing/>
              <w:jc w:val="both"/>
              <w:rPr>
                <w:rFonts w:ascii="Times New Roman" w:hAnsi="Times New Roman"/>
                <w:lang w:eastAsia="en-US"/>
              </w:rPr>
            </w:pPr>
            <w:r w:rsidRPr="00A34F10">
              <w:rPr>
                <w:rFonts w:ascii="Times New Roman" w:hAnsi="Times New Roman"/>
                <w:lang w:eastAsia="en-US"/>
              </w:rPr>
              <w:t xml:space="preserve">Blank control: untreated 50 % (w/v) aqueous sucrose solution </w:t>
            </w:r>
          </w:p>
          <w:p w14:paraId="4040135B" w14:textId="77777777" w:rsidR="00DC5685" w:rsidRPr="00A34F10" w:rsidRDefault="00DC5685" w:rsidP="00DC5685">
            <w:pPr>
              <w:numPr>
                <w:ilvl w:val="3"/>
                <w:numId w:val="0"/>
              </w:numPr>
              <w:tabs>
                <w:tab w:val="left" w:pos="0"/>
                <w:tab w:val="left" w:pos="720"/>
              </w:tabs>
              <w:spacing w:line="276" w:lineRule="auto"/>
              <w:contextualSpacing/>
              <w:jc w:val="both"/>
              <w:rPr>
                <w:rFonts w:ascii="Times New Roman" w:hAnsi="Times New Roman"/>
                <w:lang w:eastAsia="en-US"/>
              </w:rPr>
            </w:pPr>
            <w:r w:rsidRPr="00A34F10">
              <w:rPr>
                <w:rFonts w:ascii="Times New Roman" w:hAnsi="Times New Roman"/>
                <w:lang w:eastAsia="en-US"/>
              </w:rPr>
              <w:t>Viscosifier control: untreated 50% (w/v) sucrose solution containing 0.1% (w/v) xanthan</w:t>
            </w:r>
          </w:p>
        </w:tc>
      </w:tr>
      <w:tr w:rsidR="00DC5685" w:rsidRPr="00A34F10" w14:paraId="15AA19F8" w14:textId="77777777" w:rsidTr="000470C3">
        <w:trPr>
          <w:cantSplit/>
          <w:trHeight w:hRule="exact" w:val="672"/>
        </w:trPr>
        <w:tc>
          <w:tcPr>
            <w:tcW w:w="3969" w:type="dxa"/>
          </w:tcPr>
          <w:p w14:paraId="4F474354" w14:textId="77777777" w:rsidR="00DC5685" w:rsidRPr="00A34F10" w:rsidRDefault="00DC5685" w:rsidP="00E05ECD">
            <w:pPr>
              <w:numPr>
                <w:ilvl w:val="0"/>
                <w:numId w:val="52"/>
              </w:numPr>
              <w:tabs>
                <w:tab w:val="left" w:pos="255"/>
              </w:tabs>
              <w:spacing w:after="240"/>
              <w:contextualSpacing/>
              <w:rPr>
                <w:rFonts w:ascii="Times New Roman" w:hAnsi="Times New Roman"/>
                <w:lang w:eastAsia="en-US"/>
              </w:rPr>
            </w:pPr>
            <w:r w:rsidRPr="00A34F10">
              <w:rPr>
                <w:rFonts w:ascii="Times New Roman" w:hAnsi="Times New Roman"/>
                <w:lang w:eastAsia="en-US"/>
              </w:rPr>
              <w:t>Reference item:</w:t>
            </w:r>
          </w:p>
        </w:tc>
        <w:tc>
          <w:tcPr>
            <w:tcW w:w="5381" w:type="dxa"/>
          </w:tcPr>
          <w:p w14:paraId="7BEEDD3B" w14:textId="77777777" w:rsidR="00DC5685" w:rsidRPr="00A34F10" w:rsidRDefault="00DC5685" w:rsidP="00DC5685">
            <w:pPr>
              <w:numPr>
                <w:ilvl w:val="3"/>
                <w:numId w:val="0"/>
              </w:numPr>
              <w:tabs>
                <w:tab w:val="left" w:pos="0"/>
                <w:tab w:val="left" w:pos="720"/>
              </w:tabs>
              <w:spacing w:after="240"/>
              <w:contextualSpacing/>
              <w:jc w:val="both"/>
              <w:rPr>
                <w:rFonts w:ascii="Times New Roman" w:hAnsi="Times New Roman"/>
                <w:lang w:eastAsia="en-US"/>
              </w:rPr>
            </w:pPr>
            <w:r w:rsidRPr="00A34F10">
              <w:rPr>
                <w:rFonts w:ascii="Times New Roman" w:hAnsi="Times New Roman"/>
                <w:lang w:eastAsia="en-US"/>
              </w:rPr>
              <w:t>Dimethoate (Danadim Progress), 400 g/L nominal, 401.7 g/L analysed</w:t>
            </w:r>
          </w:p>
        </w:tc>
      </w:tr>
    </w:tbl>
    <w:p w14:paraId="39B30A8C" w14:textId="77777777" w:rsidR="00DC5685" w:rsidRPr="00A34F10" w:rsidRDefault="00DC5685" w:rsidP="00DC5685">
      <w:pPr>
        <w:tabs>
          <w:tab w:val="left" w:pos="0"/>
        </w:tabs>
        <w:ind w:left="357" w:hanging="357"/>
        <w:contextualSpacing/>
        <w:rPr>
          <w:caps/>
          <w:lang w:val="en-GB"/>
        </w:rPr>
      </w:pPr>
    </w:p>
    <w:p w14:paraId="24A87354" w14:textId="77777777" w:rsidR="00DC5685" w:rsidRPr="00A34F10" w:rsidRDefault="00DC5685" w:rsidP="00DC5685">
      <w:pPr>
        <w:tabs>
          <w:tab w:val="left" w:pos="0"/>
        </w:tabs>
        <w:ind w:left="357" w:hanging="357"/>
        <w:contextualSpacing/>
        <w:rPr>
          <w:b/>
          <w:bCs/>
          <w:caps/>
          <w:lang w:val="en-GB"/>
        </w:rPr>
      </w:pPr>
      <w:r w:rsidRPr="00A34F10">
        <w:rPr>
          <w:b/>
          <w:bCs/>
          <w:caps/>
          <w:lang w:val="en-GB"/>
        </w:rPr>
        <w:t>B.</w:t>
      </w:r>
      <w:r w:rsidRPr="00A34F10">
        <w:rPr>
          <w:b/>
          <w:bCs/>
          <w:caps/>
          <w:lang w:val="en-GB"/>
        </w:rPr>
        <w:tab/>
        <w:t>study design and methods</w:t>
      </w:r>
    </w:p>
    <w:p w14:paraId="6D5D2884" w14:textId="77777777" w:rsidR="00DC5685" w:rsidRPr="00A34F10" w:rsidRDefault="00DC5685" w:rsidP="00DC5685">
      <w:pPr>
        <w:tabs>
          <w:tab w:val="left" w:pos="0"/>
        </w:tabs>
        <w:ind w:left="357" w:hanging="357"/>
        <w:contextualSpacing/>
        <w:rPr>
          <w:b/>
          <w:bCs/>
          <w:caps/>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2339603B" w14:textId="77777777" w:rsidTr="000470C3">
        <w:trPr>
          <w:trHeight w:hRule="exact" w:val="677"/>
        </w:trPr>
        <w:tc>
          <w:tcPr>
            <w:tcW w:w="3969" w:type="dxa"/>
          </w:tcPr>
          <w:p w14:paraId="29E84957" w14:textId="77777777" w:rsidR="00DC5685" w:rsidRPr="00A34F10" w:rsidRDefault="00DC5685" w:rsidP="00E05ECD">
            <w:pPr>
              <w:numPr>
                <w:ilvl w:val="0"/>
                <w:numId w:val="73"/>
              </w:numPr>
              <w:tabs>
                <w:tab w:val="left" w:pos="0"/>
                <w:tab w:val="left" w:pos="255"/>
                <w:tab w:val="left" w:pos="720"/>
              </w:tabs>
              <w:spacing w:after="240"/>
              <w:contextualSpacing/>
              <w:rPr>
                <w:rFonts w:ascii="Times New Roman" w:hAnsi="Times New Roman"/>
                <w:lang w:eastAsia="en-US"/>
              </w:rPr>
            </w:pPr>
            <w:r w:rsidRPr="00A34F10">
              <w:rPr>
                <w:rFonts w:ascii="Times New Roman" w:hAnsi="Times New Roman"/>
                <w:lang w:eastAsia="en-US"/>
              </w:rPr>
              <w:t>Test species:</w:t>
            </w:r>
          </w:p>
        </w:tc>
        <w:tc>
          <w:tcPr>
            <w:tcW w:w="5381" w:type="dxa"/>
          </w:tcPr>
          <w:p w14:paraId="4F524BF9" w14:textId="77777777" w:rsidR="00DC5685" w:rsidRPr="00A34F10" w:rsidRDefault="00DC5685" w:rsidP="00DC5685">
            <w:pPr>
              <w:numPr>
                <w:ilvl w:val="3"/>
                <w:numId w:val="0"/>
              </w:numPr>
              <w:tabs>
                <w:tab w:val="left" w:pos="0"/>
                <w:tab w:val="left" w:pos="720"/>
              </w:tabs>
              <w:spacing w:after="240" w:line="276" w:lineRule="auto"/>
              <w:contextualSpacing/>
              <w:jc w:val="both"/>
              <w:rPr>
                <w:rFonts w:ascii="Times New Roman" w:hAnsi="Times New Roman"/>
                <w:lang w:eastAsia="en-US"/>
              </w:rPr>
            </w:pPr>
            <w:r w:rsidRPr="00A34F10">
              <w:rPr>
                <w:rFonts w:ascii="Times New Roman" w:hAnsi="Times New Roman"/>
                <w:i/>
                <w:iCs/>
                <w:lang w:eastAsia="en-US"/>
              </w:rPr>
              <w:t xml:space="preserve">Apis mellifera </w:t>
            </w:r>
            <w:r w:rsidRPr="00A34F10">
              <w:rPr>
                <w:rFonts w:ascii="Times New Roman" w:hAnsi="Times New Roman"/>
                <w:lang w:eastAsia="en-US"/>
              </w:rPr>
              <w:t>L. subspecies Buckfast, deriving from healthy and queen-right colonies</w:t>
            </w:r>
          </w:p>
        </w:tc>
      </w:tr>
      <w:tr w:rsidR="00DC5685" w:rsidRPr="00A34F10" w14:paraId="2B21C18D" w14:textId="77777777" w:rsidTr="000470C3">
        <w:trPr>
          <w:trHeight w:hRule="exact" w:val="397"/>
        </w:trPr>
        <w:tc>
          <w:tcPr>
            <w:tcW w:w="3969" w:type="dxa"/>
          </w:tcPr>
          <w:p w14:paraId="6B2D89ED"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 xml:space="preserve">Age/life stage: </w:t>
            </w:r>
          </w:p>
        </w:tc>
        <w:tc>
          <w:tcPr>
            <w:tcW w:w="5381" w:type="dxa"/>
          </w:tcPr>
          <w:p w14:paraId="4D1148C6" w14:textId="77777777" w:rsidR="00DC5685" w:rsidRPr="00A34F10" w:rsidRDefault="00DC5685" w:rsidP="00DC5685">
            <w:pPr>
              <w:numPr>
                <w:ilvl w:val="3"/>
                <w:numId w:val="0"/>
              </w:numPr>
              <w:tabs>
                <w:tab w:val="left" w:pos="0"/>
                <w:tab w:val="left" w:pos="720"/>
              </w:tabs>
              <w:spacing w:after="240" w:line="276" w:lineRule="auto"/>
              <w:ind w:left="360" w:hanging="360"/>
              <w:contextualSpacing/>
              <w:rPr>
                <w:rFonts w:ascii="Times New Roman" w:hAnsi="Times New Roman"/>
                <w:lang w:eastAsia="en-US"/>
              </w:rPr>
            </w:pPr>
            <w:r w:rsidRPr="00A34F10">
              <w:rPr>
                <w:rFonts w:ascii="Times New Roman" w:hAnsi="Times New Roman"/>
                <w:lang w:eastAsia="en-US"/>
              </w:rPr>
              <w:t>Maximum 2 days old at test start</w:t>
            </w:r>
          </w:p>
        </w:tc>
      </w:tr>
      <w:tr w:rsidR="00DC5685" w:rsidRPr="00A34F10" w14:paraId="59A93DFA" w14:textId="77777777" w:rsidTr="000470C3">
        <w:trPr>
          <w:trHeight w:hRule="exact" w:val="849"/>
        </w:trPr>
        <w:tc>
          <w:tcPr>
            <w:tcW w:w="3969" w:type="dxa"/>
          </w:tcPr>
          <w:p w14:paraId="490B0E19"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Source:</w:t>
            </w:r>
          </w:p>
        </w:tc>
        <w:tc>
          <w:tcPr>
            <w:tcW w:w="5381" w:type="dxa"/>
          </w:tcPr>
          <w:p w14:paraId="4828A0AF" w14:textId="77777777" w:rsidR="00DC5685" w:rsidRPr="00A34F10" w:rsidRDefault="00DC5685" w:rsidP="00DC5685">
            <w:pPr>
              <w:numPr>
                <w:ilvl w:val="3"/>
                <w:numId w:val="0"/>
              </w:numPr>
              <w:tabs>
                <w:tab w:val="left" w:pos="0"/>
                <w:tab w:val="left" w:pos="720"/>
              </w:tabs>
              <w:spacing w:after="240"/>
              <w:contextualSpacing/>
              <w:jc w:val="both"/>
              <w:rPr>
                <w:rFonts w:ascii="Times New Roman" w:hAnsi="Times New Roman"/>
                <w:lang w:val="en-US" w:eastAsia="en-US"/>
              </w:rPr>
            </w:pPr>
            <w:r w:rsidRPr="00A34F10">
              <w:rPr>
                <w:rFonts w:ascii="Times New Roman" w:hAnsi="Times New Roman"/>
                <w:lang w:val="en-US" w:eastAsia="en-US"/>
              </w:rPr>
              <w:t>On-site apiary maintained by BioChem agrar GmbH, Kupferstraße 6, 04827 Machern OT Gerichshain, Germany</w:t>
            </w:r>
          </w:p>
        </w:tc>
      </w:tr>
      <w:tr w:rsidR="00DC5685" w:rsidRPr="00A34F10" w14:paraId="700C3942" w14:textId="77777777" w:rsidTr="000470C3">
        <w:trPr>
          <w:trHeight w:hRule="exact" w:val="360"/>
        </w:trPr>
        <w:tc>
          <w:tcPr>
            <w:tcW w:w="3969" w:type="dxa"/>
          </w:tcPr>
          <w:p w14:paraId="4CBB88F2"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 xml:space="preserve">Diet: </w:t>
            </w:r>
          </w:p>
        </w:tc>
        <w:tc>
          <w:tcPr>
            <w:tcW w:w="5381" w:type="dxa"/>
          </w:tcPr>
          <w:p w14:paraId="51817FAF" w14:textId="77777777" w:rsidR="00DC5685" w:rsidRPr="00A34F10" w:rsidRDefault="00DC5685" w:rsidP="00DC5685">
            <w:pPr>
              <w:numPr>
                <w:ilvl w:val="3"/>
                <w:numId w:val="0"/>
              </w:numPr>
              <w:tabs>
                <w:tab w:val="left" w:pos="0"/>
                <w:tab w:val="left" w:pos="720"/>
              </w:tabs>
              <w:spacing w:after="240"/>
              <w:contextualSpacing/>
              <w:rPr>
                <w:rFonts w:ascii="Times New Roman" w:hAnsi="Times New Roman"/>
                <w:lang w:eastAsia="en-US"/>
              </w:rPr>
            </w:pPr>
            <w:r w:rsidRPr="00A34F10">
              <w:rPr>
                <w:rFonts w:ascii="Times New Roman" w:hAnsi="Times New Roman"/>
                <w:lang w:eastAsia="en-US"/>
              </w:rPr>
              <w:t>50 % (w/v) aqueous sucrose solution</w:t>
            </w:r>
          </w:p>
        </w:tc>
      </w:tr>
      <w:tr w:rsidR="00DC5685" w:rsidRPr="00A34F10" w14:paraId="5F9F0360" w14:textId="77777777" w:rsidTr="000470C3">
        <w:trPr>
          <w:trHeight w:hRule="exact" w:val="1191"/>
        </w:trPr>
        <w:tc>
          <w:tcPr>
            <w:tcW w:w="3969" w:type="dxa"/>
          </w:tcPr>
          <w:p w14:paraId="1FFD8D44" w14:textId="77777777" w:rsidR="00DC5685" w:rsidRPr="00A34F10" w:rsidRDefault="00DC5685" w:rsidP="00E05ECD">
            <w:pPr>
              <w:numPr>
                <w:ilvl w:val="0"/>
                <w:numId w:val="73"/>
              </w:numPr>
              <w:tabs>
                <w:tab w:val="left" w:pos="0"/>
                <w:tab w:val="left" w:pos="255"/>
                <w:tab w:val="left" w:pos="720"/>
              </w:tabs>
              <w:spacing w:after="240"/>
              <w:contextualSpacing/>
              <w:rPr>
                <w:rFonts w:ascii="Times New Roman" w:hAnsi="Times New Roman"/>
                <w:lang w:eastAsia="en-US"/>
              </w:rPr>
            </w:pPr>
            <w:r w:rsidRPr="00A34F10">
              <w:rPr>
                <w:rFonts w:ascii="Times New Roman" w:hAnsi="Times New Roman"/>
                <w:lang w:eastAsia="en-US"/>
              </w:rPr>
              <w:t>Test units:</w:t>
            </w:r>
          </w:p>
        </w:tc>
        <w:tc>
          <w:tcPr>
            <w:tcW w:w="5381" w:type="dxa"/>
          </w:tcPr>
          <w:p w14:paraId="5D213FF2" w14:textId="77777777" w:rsidR="00DC5685" w:rsidRPr="00A34F10" w:rsidRDefault="00DC5685" w:rsidP="00DC5685">
            <w:pPr>
              <w:numPr>
                <w:ilvl w:val="3"/>
                <w:numId w:val="0"/>
              </w:numPr>
              <w:tabs>
                <w:tab w:val="left" w:pos="0"/>
                <w:tab w:val="left" w:pos="720"/>
              </w:tabs>
              <w:spacing w:after="240"/>
              <w:contextualSpacing/>
              <w:jc w:val="both"/>
              <w:rPr>
                <w:rFonts w:ascii="Times New Roman" w:hAnsi="Times New Roman"/>
                <w:lang w:eastAsia="en-US"/>
              </w:rPr>
            </w:pPr>
            <w:r w:rsidRPr="00A34F10">
              <w:rPr>
                <w:rFonts w:ascii="Times New Roman" w:hAnsi="Times New Roman"/>
                <w:lang w:eastAsia="en-US"/>
              </w:rPr>
              <w:t xml:space="preserve">Aluminium cages with the dimensions (95 mm width × 60 mm depth × 70 mm height) with holes in the lateral walls for ventilation and two glass plates (one in the front and one in the back) for observations </w:t>
            </w:r>
          </w:p>
        </w:tc>
      </w:tr>
      <w:tr w:rsidR="00DC5685" w:rsidRPr="00A34F10" w14:paraId="0B60FE78" w14:textId="77777777" w:rsidTr="000470C3">
        <w:trPr>
          <w:trHeight w:hRule="exact" w:val="340"/>
        </w:trPr>
        <w:tc>
          <w:tcPr>
            <w:tcW w:w="3969" w:type="dxa"/>
          </w:tcPr>
          <w:p w14:paraId="72515942" w14:textId="77777777" w:rsidR="00DC5685" w:rsidRPr="00A34F10" w:rsidRDefault="00DC5685" w:rsidP="00E05ECD">
            <w:pPr>
              <w:numPr>
                <w:ilvl w:val="0"/>
                <w:numId w:val="73"/>
              </w:numPr>
              <w:tabs>
                <w:tab w:val="left" w:pos="0"/>
                <w:tab w:val="left" w:pos="255"/>
                <w:tab w:val="left" w:pos="720"/>
              </w:tabs>
              <w:spacing w:after="240"/>
              <w:contextualSpacing/>
              <w:jc w:val="both"/>
              <w:rPr>
                <w:rFonts w:ascii="Times New Roman" w:hAnsi="Times New Roman"/>
                <w:lang w:eastAsia="en-US"/>
              </w:rPr>
            </w:pPr>
            <w:r w:rsidRPr="00A34F10">
              <w:rPr>
                <w:rFonts w:ascii="Times New Roman" w:hAnsi="Times New Roman"/>
                <w:lang w:eastAsia="en-US"/>
              </w:rPr>
              <w:t>Environmental conditions</w:t>
            </w:r>
          </w:p>
        </w:tc>
        <w:tc>
          <w:tcPr>
            <w:tcW w:w="5381" w:type="dxa"/>
          </w:tcPr>
          <w:p w14:paraId="35DA1B95"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p>
        </w:tc>
      </w:tr>
      <w:tr w:rsidR="00DC5685" w:rsidRPr="00A34F10" w14:paraId="37123080" w14:textId="77777777" w:rsidTr="000470C3">
        <w:trPr>
          <w:trHeight w:hRule="exact" w:val="340"/>
        </w:trPr>
        <w:tc>
          <w:tcPr>
            <w:tcW w:w="3969" w:type="dxa"/>
          </w:tcPr>
          <w:p w14:paraId="230F052E"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Temperature:</w:t>
            </w:r>
          </w:p>
        </w:tc>
        <w:tc>
          <w:tcPr>
            <w:tcW w:w="5381" w:type="dxa"/>
          </w:tcPr>
          <w:p w14:paraId="12468969"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32.6 – 33.3°C</w:t>
            </w:r>
          </w:p>
        </w:tc>
      </w:tr>
      <w:tr w:rsidR="00DC5685" w:rsidRPr="00A34F10" w14:paraId="404C3F8E" w14:textId="77777777" w:rsidTr="000470C3">
        <w:trPr>
          <w:trHeight w:hRule="exact" w:val="340"/>
        </w:trPr>
        <w:tc>
          <w:tcPr>
            <w:tcW w:w="3969" w:type="dxa"/>
          </w:tcPr>
          <w:p w14:paraId="4FDB708C"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Relative humidity:</w:t>
            </w:r>
          </w:p>
        </w:tc>
        <w:tc>
          <w:tcPr>
            <w:tcW w:w="5381" w:type="dxa"/>
          </w:tcPr>
          <w:p w14:paraId="307980BA" w14:textId="77777777" w:rsidR="00DC5685" w:rsidRPr="00A34F10" w:rsidRDefault="00DC5685" w:rsidP="00DC5685">
            <w:pPr>
              <w:numPr>
                <w:ilvl w:val="3"/>
                <w:numId w:val="0"/>
              </w:numPr>
              <w:tabs>
                <w:tab w:val="left" w:pos="0"/>
                <w:tab w:val="left" w:pos="720"/>
              </w:tabs>
              <w:spacing w:after="240"/>
              <w:ind w:left="360" w:hanging="360"/>
              <w:contextualSpacing/>
              <w:jc w:val="both"/>
              <w:rPr>
                <w:rFonts w:ascii="Times New Roman" w:hAnsi="Times New Roman"/>
                <w:lang w:eastAsia="en-US"/>
              </w:rPr>
            </w:pPr>
            <w:r w:rsidRPr="00A34F10">
              <w:rPr>
                <w:rFonts w:ascii="Times New Roman" w:hAnsi="Times New Roman"/>
                <w:lang w:eastAsia="en-US"/>
              </w:rPr>
              <w:t>53.3 – 68.8%</w:t>
            </w:r>
          </w:p>
        </w:tc>
      </w:tr>
      <w:tr w:rsidR="00DC5685" w:rsidRPr="00A34F10" w14:paraId="70811346" w14:textId="77777777" w:rsidTr="000470C3">
        <w:trPr>
          <w:trHeight w:hRule="exact" w:val="543"/>
        </w:trPr>
        <w:tc>
          <w:tcPr>
            <w:tcW w:w="3969" w:type="dxa"/>
          </w:tcPr>
          <w:p w14:paraId="482EF836" w14:textId="77777777" w:rsidR="00DC5685" w:rsidRPr="00A34F10" w:rsidRDefault="00DC5685" w:rsidP="00DC5685">
            <w:pPr>
              <w:numPr>
                <w:ilvl w:val="3"/>
                <w:numId w:val="0"/>
              </w:numPr>
              <w:tabs>
                <w:tab w:val="left" w:pos="0"/>
                <w:tab w:val="left" w:pos="624"/>
              </w:tabs>
              <w:spacing w:after="240"/>
              <w:ind w:left="984" w:hanging="275"/>
              <w:contextualSpacing/>
              <w:rPr>
                <w:rFonts w:ascii="Times New Roman" w:hAnsi="Times New Roman"/>
                <w:lang w:eastAsia="en-US"/>
              </w:rPr>
            </w:pPr>
            <w:r w:rsidRPr="00A34F10">
              <w:rPr>
                <w:rFonts w:ascii="Times New Roman" w:hAnsi="Times New Roman"/>
                <w:lang w:eastAsia="en-US"/>
              </w:rPr>
              <w:t>Photoperiod:</w:t>
            </w:r>
          </w:p>
        </w:tc>
        <w:tc>
          <w:tcPr>
            <w:tcW w:w="5381" w:type="dxa"/>
          </w:tcPr>
          <w:p w14:paraId="4CF51059" w14:textId="77777777" w:rsidR="00DC5685" w:rsidRPr="00A34F10" w:rsidRDefault="00DC5685" w:rsidP="00DC5685">
            <w:pPr>
              <w:numPr>
                <w:ilvl w:val="3"/>
                <w:numId w:val="0"/>
              </w:numPr>
              <w:tabs>
                <w:tab w:val="left" w:pos="0"/>
                <w:tab w:val="left" w:pos="720"/>
              </w:tabs>
              <w:spacing w:after="240"/>
              <w:contextualSpacing/>
              <w:jc w:val="both"/>
              <w:rPr>
                <w:rFonts w:ascii="Times New Roman" w:hAnsi="Times New Roman"/>
                <w:lang w:eastAsia="en-US"/>
              </w:rPr>
            </w:pPr>
            <w:r w:rsidRPr="00A34F10">
              <w:rPr>
                <w:rFonts w:ascii="Times New Roman" w:hAnsi="Times New Roman"/>
                <w:lang w:eastAsia="en-US"/>
              </w:rPr>
              <w:t>Constant darkness (diffuse artificial light only during assessments and exchange of feeders)</w:t>
            </w:r>
          </w:p>
        </w:tc>
      </w:tr>
    </w:tbl>
    <w:p w14:paraId="22CD68AE" w14:textId="206342F8" w:rsidR="00430E04" w:rsidRDefault="00430E04" w:rsidP="00DC5685">
      <w:pPr>
        <w:numPr>
          <w:ilvl w:val="3"/>
          <w:numId w:val="0"/>
        </w:numPr>
        <w:tabs>
          <w:tab w:val="left" w:pos="0"/>
        </w:tabs>
        <w:ind w:left="360" w:hanging="360"/>
        <w:contextualSpacing/>
        <w:rPr>
          <w:b/>
          <w:bCs/>
          <w:szCs w:val="24"/>
          <w:highlight w:val="yellow"/>
          <w:lang w:val="en-GB"/>
        </w:rPr>
      </w:pPr>
    </w:p>
    <w:p w14:paraId="02E182CA" w14:textId="77777777" w:rsidR="00DC5685" w:rsidRPr="00A34F10" w:rsidRDefault="00DC5685" w:rsidP="00DC5685">
      <w:pPr>
        <w:numPr>
          <w:ilvl w:val="3"/>
          <w:numId w:val="0"/>
        </w:numPr>
        <w:tabs>
          <w:tab w:val="left" w:pos="0"/>
        </w:tabs>
        <w:ind w:left="360" w:hanging="360"/>
        <w:contextualSpacing/>
        <w:rPr>
          <w:b/>
          <w:bCs/>
          <w:szCs w:val="24"/>
          <w:highlight w:val="yellow"/>
          <w:lang w:val="en-GB"/>
        </w:rPr>
      </w:pPr>
    </w:p>
    <w:p w14:paraId="3D35A59D" w14:textId="77777777" w:rsidR="00DC5685" w:rsidRPr="00A34F10" w:rsidRDefault="00DC5685" w:rsidP="00E05ECD">
      <w:pPr>
        <w:numPr>
          <w:ilvl w:val="0"/>
          <w:numId w:val="73"/>
        </w:numPr>
        <w:tabs>
          <w:tab w:val="left" w:pos="0"/>
        </w:tabs>
        <w:ind w:left="357" w:hanging="357"/>
        <w:contextualSpacing/>
        <w:rPr>
          <w:b/>
          <w:bCs/>
          <w:szCs w:val="24"/>
          <w:lang w:val="en-GB"/>
        </w:rPr>
      </w:pPr>
      <w:r w:rsidRPr="00A34F10">
        <w:rPr>
          <w:b/>
          <w:bCs/>
          <w:szCs w:val="24"/>
          <w:lang w:val="en-GB"/>
        </w:rPr>
        <w:t xml:space="preserve">Test organism and treatment: </w:t>
      </w:r>
    </w:p>
    <w:p w14:paraId="4E1F6009" w14:textId="77777777" w:rsidR="00DC5685" w:rsidRPr="00A34F10" w:rsidRDefault="00DC5685" w:rsidP="00DC5685">
      <w:pPr>
        <w:widowControl w:val="0"/>
        <w:tabs>
          <w:tab w:val="left" w:pos="1134"/>
          <w:tab w:val="right" w:pos="8222"/>
        </w:tabs>
        <w:suppressAutoHyphens/>
        <w:spacing w:after="120"/>
        <w:jc w:val="both"/>
        <w:rPr>
          <w:snapToGrid w:val="0"/>
        </w:rPr>
      </w:pPr>
      <w:r w:rsidRPr="00A34F10">
        <w:rPr>
          <w:snapToGrid w:val="0"/>
        </w:rPr>
        <w:t>In a 10-day chronic toxicity feeding test, max. 2-day old worker honeybees (</w:t>
      </w:r>
      <w:r w:rsidRPr="00A34F10">
        <w:rPr>
          <w:i/>
          <w:snapToGrid w:val="0"/>
        </w:rPr>
        <w:t xml:space="preserve">Apis mellifera </w:t>
      </w:r>
      <w:r w:rsidRPr="00A34F10">
        <w:rPr>
          <w:snapToGrid w:val="0"/>
        </w:rPr>
        <w:t>L. subspecies Buckfast) were exposed to BAS 743 02 F in treated food (50% (w/v) aqueous sucrose solution). In total, four treatment groups were set up: five doses of the test item, one untreated control group fed with 50% (w/v) aqueous sucrose solution, a viscosifier control group containing untreated 50% (w/v) sucrose solution containing 0.1% (w/v) xanthan and one dose of the reference item with three replicates per dose and 10 bees per replicate. Assessments of bee mortality and behavioral effects were done daily during the study. Nominal test concentrations were 190, 95.5, 58.0, 41.7 and 15.9 µg consumed product/bee/day (equivalent to nominal doses of 800, 320, 128, 51.2 and 20.5 µg product/bee/day), corresponding to concentrations of 20.370, 8.148, 3.259, 1.304 and 0.521 g product/kg food.</w:t>
      </w:r>
      <w:r w:rsidRPr="00A34F10">
        <w:t xml:space="preserve"> </w:t>
      </w:r>
      <w:r w:rsidRPr="00A34F10">
        <w:rPr>
          <w:snapToGrid w:val="0"/>
        </w:rPr>
        <w:t xml:space="preserve">An additional group of honeybees was exposed to a daily application of dimethoate diluted in 50% (w/v) sucrose solution as a reference item at a nominal </w:t>
      </w:r>
      <w:r w:rsidRPr="00A34F10">
        <w:rPr>
          <w:snapToGrid w:val="0"/>
        </w:rPr>
        <w:lastRenderedPageBreak/>
        <w:t>dose of 27.3 ng a.s./bee/day.</w:t>
      </w:r>
    </w:p>
    <w:p w14:paraId="24B4179B" w14:textId="77777777" w:rsidR="00DC5685" w:rsidRPr="00A34F10" w:rsidRDefault="00DC5685" w:rsidP="00DC5685">
      <w:pPr>
        <w:tabs>
          <w:tab w:val="left" w:pos="3402"/>
        </w:tabs>
        <w:jc w:val="both"/>
        <w:rPr>
          <w:lang w:val="en-GB"/>
        </w:rPr>
      </w:pPr>
      <w:r w:rsidRPr="00A34F10">
        <w:rPr>
          <w:lang w:val="en-GB"/>
        </w:rPr>
        <w:t xml:space="preserve">The treated/untreated food was provided </w:t>
      </w:r>
      <w:r w:rsidRPr="00A34F10">
        <w:rPr>
          <w:i/>
          <w:iCs/>
          <w:lang w:val="en-GB"/>
        </w:rPr>
        <w:t>ad libitum</w:t>
      </w:r>
      <w:r w:rsidRPr="00A34F10">
        <w:rPr>
          <w:lang w:val="en-GB"/>
        </w:rPr>
        <w:t xml:space="preserve"> in a plastic syringe for about 24 hours (± 2 hours), then, old feeders were replaced by new feeders. The possible evaporation of feeding solutions from the feeders was investigated in additional test cages that contained no bees, only pre-weighed feeders containing diet of untreated control feeding solutions.</w:t>
      </w:r>
    </w:p>
    <w:p w14:paraId="2BFA6316" w14:textId="77777777" w:rsidR="00DC5685" w:rsidRPr="00A34F10" w:rsidRDefault="00DC5685" w:rsidP="00DC5685">
      <w:pPr>
        <w:tabs>
          <w:tab w:val="left" w:pos="3402"/>
        </w:tabs>
        <w:jc w:val="both"/>
        <w:rPr>
          <w:snapToGrid w:val="0"/>
        </w:rPr>
      </w:pPr>
    </w:p>
    <w:p w14:paraId="3FB80B4C" w14:textId="77777777" w:rsidR="00DC5685" w:rsidRPr="00A34F10" w:rsidRDefault="00DC5685" w:rsidP="00E05ECD">
      <w:pPr>
        <w:numPr>
          <w:ilvl w:val="0"/>
          <w:numId w:val="73"/>
        </w:numPr>
        <w:tabs>
          <w:tab w:val="left" w:pos="0"/>
        </w:tabs>
        <w:ind w:left="357" w:hanging="357"/>
        <w:contextualSpacing/>
        <w:rPr>
          <w:b/>
          <w:bCs/>
          <w:szCs w:val="24"/>
          <w:lang w:val="en-GB"/>
        </w:rPr>
      </w:pPr>
      <w:r w:rsidRPr="00A34F10">
        <w:rPr>
          <w:b/>
          <w:bCs/>
          <w:szCs w:val="24"/>
          <w:lang w:val="en-GB"/>
        </w:rPr>
        <w:t xml:space="preserve">Dose preparation: </w:t>
      </w:r>
    </w:p>
    <w:p w14:paraId="12964751" w14:textId="77777777" w:rsidR="00DC5685" w:rsidRPr="00A34F10" w:rsidRDefault="00DC5685" w:rsidP="00DC5685">
      <w:pPr>
        <w:widowControl w:val="0"/>
        <w:tabs>
          <w:tab w:val="left" w:pos="1134"/>
          <w:tab w:val="right" w:pos="8222"/>
        </w:tabs>
        <w:suppressAutoHyphens/>
        <w:spacing w:after="120"/>
        <w:jc w:val="both"/>
        <w:rPr>
          <w:snapToGrid w:val="0"/>
          <w:color w:val="000000" w:themeColor="text1"/>
        </w:rPr>
      </w:pPr>
      <w:r w:rsidRPr="00A34F10">
        <w:rPr>
          <w:lang w:val="en-GB"/>
        </w:rPr>
        <w:t xml:space="preserve">The test item </w:t>
      </w:r>
      <w:r w:rsidRPr="00A34F10">
        <w:rPr>
          <w:color w:val="000000" w:themeColor="text1"/>
          <w:lang w:val="en-GB"/>
        </w:rPr>
        <w:t xml:space="preserve">feeding solutions were prepared freshly every day just before administration of food. </w:t>
      </w:r>
      <w:r w:rsidRPr="00A34F10">
        <w:rPr>
          <w:snapToGrid w:val="0"/>
          <w:color w:val="000000" w:themeColor="text1"/>
        </w:rPr>
        <w:t>A stock solution was prepared by mixing 1.212 g of BAS 743 02 F with 50 mL</w:t>
      </w:r>
      <w:r w:rsidRPr="00A34F10">
        <w:rPr>
          <w:color w:val="000000" w:themeColor="text1"/>
          <w:lang w:val="en-GB"/>
        </w:rPr>
        <w:t xml:space="preserve"> of 50% (w/v) sucrose solution containing 0.1% (w/v) xanthan</w:t>
      </w:r>
      <w:r w:rsidRPr="00A34F10">
        <w:rPr>
          <w:snapToGrid w:val="0"/>
          <w:color w:val="000000" w:themeColor="text1"/>
        </w:rPr>
        <w:t>. Serial dilutions were then performed to prepare the remaining four stock solutions.</w:t>
      </w:r>
    </w:p>
    <w:p w14:paraId="2A3AA6B3" w14:textId="77777777" w:rsidR="00DC5685" w:rsidRPr="00A34F10" w:rsidRDefault="00DC5685" w:rsidP="00DC5685">
      <w:pPr>
        <w:widowControl w:val="0"/>
        <w:tabs>
          <w:tab w:val="left" w:pos="1134"/>
          <w:tab w:val="right" w:pos="8222"/>
        </w:tabs>
        <w:suppressAutoHyphens/>
        <w:spacing w:after="120"/>
        <w:jc w:val="both"/>
        <w:rPr>
          <w:snapToGrid w:val="0"/>
          <w:color w:val="000000" w:themeColor="text1"/>
        </w:rPr>
      </w:pPr>
      <w:r w:rsidRPr="00A34F10">
        <w:rPr>
          <w:snapToGrid w:val="0"/>
          <w:color w:val="000000" w:themeColor="text1"/>
        </w:rPr>
        <w:t>A stock solution of the reference item was prepared</w:t>
      </w:r>
      <w:r w:rsidRPr="00A34F10">
        <w:rPr>
          <w:color w:val="000000" w:themeColor="text1"/>
          <w:lang w:val="en-GB"/>
        </w:rPr>
        <w:t xml:space="preserve"> </w:t>
      </w:r>
      <w:r w:rsidRPr="00A34F10">
        <w:rPr>
          <w:snapToGrid w:val="0"/>
          <w:color w:val="000000" w:themeColor="text1"/>
        </w:rPr>
        <w:t xml:space="preserve">with 50 % w/v sucrose solution </w:t>
      </w:r>
      <w:r w:rsidRPr="00A34F10">
        <w:rPr>
          <w:color w:val="000000" w:themeColor="text1"/>
          <w:lang w:val="en-GB"/>
        </w:rPr>
        <w:t>once and stored in the refrigerator. The reference item feeding solution was prepared at least every 4 days and stored in the refrigerator.</w:t>
      </w:r>
    </w:p>
    <w:p w14:paraId="2719E451" w14:textId="77777777" w:rsidR="00DC5685" w:rsidRPr="00A34F10" w:rsidRDefault="00DC5685" w:rsidP="00DC5685">
      <w:pPr>
        <w:widowControl w:val="0"/>
        <w:tabs>
          <w:tab w:val="left" w:pos="1134"/>
          <w:tab w:val="right" w:pos="8222"/>
        </w:tabs>
        <w:suppressAutoHyphens/>
        <w:spacing w:after="120"/>
        <w:jc w:val="both"/>
        <w:rPr>
          <w:snapToGrid w:val="0"/>
          <w:color w:val="4472C4" w:themeColor="accent1"/>
        </w:rPr>
      </w:pPr>
      <w:r w:rsidRPr="00A34F10">
        <w:rPr>
          <w:lang w:val="en-GB"/>
        </w:rPr>
        <w:t>The 50% (w/v) sucrose solution and 50% (w/v) sucrose solution containing 0.1% (w/v) xanthan for the preparation of dilutions and feeding of the control groups was freshly prepared every day.</w:t>
      </w:r>
    </w:p>
    <w:p w14:paraId="2758AF40" w14:textId="77777777" w:rsidR="00DC5685" w:rsidRPr="00A34F10" w:rsidRDefault="00DC5685" w:rsidP="00E05ECD">
      <w:pPr>
        <w:numPr>
          <w:ilvl w:val="0"/>
          <w:numId w:val="73"/>
        </w:numPr>
        <w:tabs>
          <w:tab w:val="left" w:pos="0"/>
        </w:tabs>
        <w:ind w:left="357" w:hanging="357"/>
        <w:contextualSpacing/>
        <w:rPr>
          <w:b/>
          <w:bCs/>
          <w:szCs w:val="24"/>
          <w:lang w:val="en-GB"/>
        </w:rPr>
      </w:pPr>
      <w:r w:rsidRPr="00A34F10">
        <w:rPr>
          <w:b/>
          <w:bCs/>
          <w:szCs w:val="24"/>
          <w:lang w:val="en-GB"/>
        </w:rPr>
        <w:t xml:space="preserve">Measurements and observations: </w:t>
      </w:r>
    </w:p>
    <w:p w14:paraId="1047EA18" w14:textId="77777777" w:rsidR="00DC5685" w:rsidRPr="00A34F10" w:rsidRDefault="00DC5685" w:rsidP="00DC5685">
      <w:pPr>
        <w:tabs>
          <w:tab w:val="left" w:pos="0"/>
        </w:tabs>
        <w:contextualSpacing/>
        <w:rPr>
          <w:b/>
          <w:bCs/>
          <w:szCs w:val="24"/>
          <w:lang w:val="en-GB"/>
        </w:rPr>
      </w:pPr>
      <w:r w:rsidRPr="00A34F10">
        <w:rPr>
          <w:szCs w:val="24"/>
          <w:u w:val="single"/>
          <w:lang w:val="en-GB"/>
        </w:rPr>
        <w:t>Biological observations</w:t>
      </w:r>
      <w:r w:rsidRPr="00A34F10">
        <w:rPr>
          <w:szCs w:val="24"/>
          <w:lang w:val="en-GB"/>
        </w:rPr>
        <w:t xml:space="preserve">: </w:t>
      </w:r>
    </w:p>
    <w:p w14:paraId="31EC44E8" w14:textId="77777777" w:rsidR="00DC5685" w:rsidRPr="00A34F10" w:rsidRDefault="00DC5685" w:rsidP="00DC5685">
      <w:pPr>
        <w:tabs>
          <w:tab w:val="left" w:pos="720"/>
        </w:tabs>
        <w:jc w:val="both"/>
        <w:rPr>
          <w:szCs w:val="24"/>
          <w:lang w:val="en-GB"/>
        </w:rPr>
      </w:pPr>
      <w:r w:rsidRPr="00A34F10">
        <w:rPr>
          <w:szCs w:val="24"/>
          <w:lang w:val="en-GB"/>
        </w:rPr>
        <w:t>Mortality and behavioural abnormalities were recorded daily.</w:t>
      </w:r>
    </w:p>
    <w:p w14:paraId="501C35DF" w14:textId="77777777" w:rsidR="00DC5685" w:rsidRPr="00A34F10" w:rsidRDefault="00DC5685" w:rsidP="00DC5685">
      <w:pPr>
        <w:jc w:val="both"/>
        <w:rPr>
          <w:color w:val="000000" w:themeColor="text1"/>
        </w:rPr>
      </w:pPr>
      <w:r w:rsidRPr="00A34F10">
        <w:rPr>
          <w:color w:val="000000" w:themeColor="text1"/>
        </w:rPr>
        <w:t>The syringes were replaced daily and food consumption was determined by weighing the syringes before being introduced into the cages and after they were replaced by new ones. The evaporation figure was then subtracted from the calculated uptake to give the real uptake accounting the loss by evaporation.</w:t>
      </w:r>
    </w:p>
    <w:p w14:paraId="654B91B0" w14:textId="77777777" w:rsidR="00DC5685" w:rsidRPr="00A34F10" w:rsidRDefault="00DC5685" w:rsidP="00DC5685">
      <w:pPr>
        <w:tabs>
          <w:tab w:val="left" w:pos="720"/>
        </w:tabs>
        <w:jc w:val="both"/>
        <w:rPr>
          <w:color w:val="000000" w:themeColor="text1"/>
          <w:szCs w:val="24"/>
          <w:u w:val="single"/>
        </w:rPr>
      </w:pPr>
    </w:p>
    <w:p w14:paraId="1F20F970"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4F0DF1C3" w14:textId="77777777" w:rsidR="00DC5685" w:rsidRPr="00A34F10" w:rsidRDefault="00DC5685" w:rsidP="00DC5685">
      <w:pPr>
        <w:tabs>
          <w:tab w:val="left" w:pos="720"/>
        </w:tabs>
        <w:jc w:val="both"/>
        <w:rPr>
          <w:szCs w:val="24"/>
          <w:lang w:val="en-GB"/>
        </w:rPr>
      </w:pPr>
      <w:r w:rsidRPr="00A34F10">
        <w:rPr>
          <w:szCs w:val="24"/>
          <w:lang w:val="en-GB"/>
        </w:rPr>
        <w:t>Temperature and humidity were recorded continuously during the study.</w:t>
      </w:r>
    </w:p>
    <w:p w14:paraId="6500A8E5" w14:textId="77777777" w:rsidR="00DC5685" w:rsidRPr="00A34F10" w:rsidRDefault="00DC5685" w:rsidP="00DC5685">
      <w:pPr>
        <w:tabs>
          <w:tab w:val="left" w:pos="720"/>
        </w:tabs>
        <w:jc w:val="both"/>
        <w:rPr>
          <w:szCs w:val="24"/>
          <w:lang w:val="en-GB"/>
        </w:rPr>
      </w:pPr>
    </w:p>
    <w:p w14:paraId="655C37F9" w14:textId="77777777" w:rsidR="00DC5685" w:rsidRPr="00A34F10" w:rsidRDefault="00DC5685" w:rsidP="00DC5685">
      <w:pPr>
        <w:tabs>
          <w:tab w:val="left" w:pos="720"/>
        </w:tabs>
        <w:jc w:val="both"/>
        <w:rPr>
          <w:szCs w:val="24"/>
        </w:rPr>
      </w:pPr>
      <w:r w:rsidRPr="00A34F10">
        <w:rPr>
          <w:szCs w:val="24"/>
          <w:u w:val="single"/>
        </w:rPr>
        <w:t>Verification of exposure concentration</w:t>
      </w:r>
      <w:r w:rsidRPr="00A34F10">
        <w:rPr>
          <w:szCs w:val="24"/>
        </w:rPr>
        <w:t xml:space="preserve">: </w:t>
      </w:r>
    </w:p>
    <w:p w14:paraId="1DDC430C" w14:textId="77777777" w:rsidR="00DC5685" w:rsidRPr="00A34F10" w:rsidRDefault="00DC5685" w:rsidP="00DC5685">
      <w:pPr>
        <w:tabs>
          <w:tab w:val="left" w:pos="720"/>
        </w:tabs>
        <w:jc w:val="both"/>
        <w:rPr>
          <w:szCs w:val="24"/>
        </w:rPr>
      </w:pPr>
      <w:r w:rsidRPr="00A34F10">
        <w:rPr>
          <w:szCs w:val="24"/>
        </w:rPr>
        <w:t>For verification of the exposure concentration, t</w:t>
      </w:r>
      <w:r w:rsidRPr="00A34F10">
        <w:rPr>
          <w:lang w:val="en-GB"/>
        </w:rPr>
        <w:t xml:space="preserve">he concentration of both active ingredients in </w:t>
      </w:r>
      <w:r w:rsidRPr="00A34F10">
        <w:rPr>
          <w:szCs w:val="24"/>
        </w:rPr>
        <w:t xml:space="preserve">the highest and lowest test item feeding solutions as well as in the respective control solutions applied on </w:t>
      </w:r>
      <w:r w:rsidRPr="00A34F10">
        <w:rPr>
          <w:lang w:val="en-GB"/>
        </w:rPr>
        <w:t xml:space="preserve">the first and last day of application (day 0 and day 9) </w:t>
      </w:r>
      <w:r w:rsidRPr="00A34F10">
        <w:rPr>
          <w:szCs w:val="24"/>
        </w:rPr>
        <w:t xml:space="preserve">were analysed using </w:t>
      </w:r>
      <w:r w:rsidRPr="00A34F10">
        <w:rPr>
          <w:lang w:val="en-GB"/>
        </w:rPr>
        <w:t>reversed phase high-performance liquid chromatography combined with mass spectrometry detection (RP-HPLC-MS/MS)</w:t>
      </w:r>
      <w:r w:rsidRPr="00A34F10">
        <w:rPr>
          <w:szCs w:val="24"/>
        </w:rPr>
        <w:t>.</w:t>
      </w:r>
    </w:p>
    <w:p w14:paraId="2604D2F1" w14:textId="77777777" w:rsidR="00DC5685" w:rsidRPr="00A34F10" w:rsidRDefault="00DC5685" w:rsidP="00DC5685">
      <w:pPr>
        <w:tabs>
          <w:tab w:val="left" w:pos="720"/>
        </w:tabs>
        <w:jc w:val="both"/>
        <w:rPr>
          <w:szCs w:val="24"/>
          <w:lang w:val="en-GB"/>
        </w:rPr>
      </w:pPr>
    </w:p>
    <w:p w14:paraId="221D2824" w14:textId="77777777" w:rsidR="00DC5685" w:rsidRPr="00A34F10" w:rsidRDefault="00DC5685" w:rsidP="00E05ECD">
      <w:pPr>
        <w:numPr>
          <w:ilvl w:val="0"/>
          <w:numId w:val="73"/>
        </w:numPr>
        <w:tabs>
          <w:tab w:val="left" w:pos="0"/>
        </w:tabs>
        <w:ind w:left="357" w:hanging="357"/>
        <w:contextualSpacing/>
        <w:rPr>
          <w:b/>
          <w:bCs/>
          <w:szCs w:val="24"/>
          <w:lang w:val="en-GB"/>
        </w:rPr>
      </w:pPr>
      <w:r w:rsidRPr="00A34F10">
        <w:rPr>
          <w:b/>
          <w:bCs/>
          <w:szCs w:val="24"/>
          <w:lang w:val="en-GB"/>
        </w:rPr>
        <w:t xml:space="preserve">Statistical analysis: </w:t>
      </w:r>
    </w:p>
    <w:p w14:paraId="5399B695" w14:textId="33CD3513" w:rsidR="00430E04" w:rsidRDefault="00DC5685" w:rsidP="00DC5685">
      <w:pPr>
        <w:tabs>
          <w:tab w:val="left" w:pos="720"/>
        </w:tabs>
        <w:spacing w:after="240"/>
        <w:jc w:val="both"/>
        <w:rPr>
          <w:szCs w:val="24"/>
          <w:lang w:val="en-GB"/>
        </w:rPr>
      </w:pPr>
      <w:r w:rsidRPr="00A34F10">
        <w:rPr>
          <w:szCs w:val="24"/>
          <w:lang w:val="en-GB"/>
        </w:rPr>
        <w:t>If control mortality occurred, the corrected mortality was calculated for each concentration according to Abbott (1925)</w:t>
      </w:r>
      <w:r w:rsidRPr="00A34F10">
        <w:rPr>
          <w:lang w:val="en-GB"/>
        </w:rPr>
        <w:t xml:space="preserve">), modified by </w:t>
      </w:r>
      <w:r w:rsidRPr="00A34F10">
        <w:rPr>
          <w:szCs w:val="24"/>
          <w:lang w:val="en-GB"/>
        </w:rPr>
        <w:t>Schneider-Orelli (1947). Step-down Cochran-Armitage Test Procedure for mortality data and determination of NOEDD/NOEC (α = 0.05, one-sided greater) was used. LDD</w:t>
      </w:r>
      <w:r w:rsidRPr="00A34F10">
        <w:rPr>
          <w:szCs w:val="24"/>
          <w:vertAlign w:val="subscript"/>
          <w:lang w:val="en-GB"/>
        </w:rPr>
        <w:t>x</w:t>
      </w:r>
      <w:r w:rsidRPr="00A34F10">
        <w:rPr>
          <w:szCs w:val="24"/>
          <w:lang w:val="en-GB"/>
        </w:rPr>
        <w:t xml:space="preserve"> and LC</w:t>
      </w:r>
      <w:r w:rsidRPr="00A34F10">
        <w:rPr>
          <w:szCs w:val="24"/>
          <w:vertAlign w:val="subscript"/>
          <w:lang w:val="en-GB"/>
        </w:rPr>
        <w:t>x</w:t>
      </w:r>
      <w:r w:rsidRPr="00A34F10">
        <w:rPr>
          <w:szCs w:val="24"/>
          <w:lang w:val="en-GB"/>
        </w:rPr>
        <w:t xml:space="preserve"> values were calculated by Probit analysis using linear max. likelihood regression.</w:t>
      </w:r>
      <w:bookmarkStart w:id="1109" w:name="_Hlk75339261"/>
      <w:r w:rsidRPr="00A34F10">
        <w:rPr>
          <w:szCs w:val="24"/>
          <w:lang w:val="en-GB"/>
        </w:rPr>
        <w:t xml:space="preserve"> The statistical software ToxRat Professional 3.3.0 (2018) was used.</w:t>
      </w:r>
      <w:bookmarkEnd w:id="1109"/>
    </w:p>
    <w:p w14:paraId="4AFE533C" w14:textId="77777777" w:rsidR="00DC5685" w:rsidRPr="00A34F10" w:rsidRDefault="00DC5685" w:rsidP="00E05ECD">
      <w:pPr>
        <w:numPr>
          <w:ilvl w:val="0"/>
          <w:numId w:val="73"/>
        </w:numPr>
        <w:tabs>
          <w:tab w:val="left" w:pos="0"/>
        </w:tabs>
        <w:ind w:left="357" w:hanging="357"/>
        <w:contextualSpacing/>
        <w:rPr>
          <w:b/>
          <w:bCs/>
          <w:szCs w:val="24"/>
          <w:lang w:val="en-GB"/>
        </w:rPr>
      </w:pPr>
      <w:r w:rsidRPr="00A34F10">
        <w:rPr>
          <w:b/>
          <w:bCs/>
          <w:szCs w:val="24"/>
          <w:lang w:val="en-GB"/>
        </w:rPr>
        <w:t>Description of the analytical procedures</w:t>
      </w:r>
    </w:p>
    <w:p w14:paraId="19CC0E39" w14:textId="77777777" w:rsidR="00DC5685" w:rsidRPr="00A34F10" w:rsidRDefault="00DC5685" w:rsidP="00DC5685">
      <w:pPr>
        <w:tabs>
          <w:tab w:val="left" w:pos="720"/>
        </w:tabs>
        <w:spacing w:after="240"/>
        <w:jc w:val="both"/>
        <w:rPr>
          <w:szCs w:val="24"/>
        </w:rPr>
      </w:pPr>
      <w:r w:rsidRPr="00A34F10">
        <w:rPr>
          <w:szCs w:val="24"/>
        </w:rPr>
        <w:t xml:space="preserve">Methodology was validated to quantify the amount of BAS 743 02 F via its active ingredients Propamocarb and BAS 650 F present in recovery samples pre-pared in test item feeding solutions. The determination was conducted using reversed phase high performance liquid chromatography (RP-HPLC) with tandem mass spectrometric (MS/MS) detection. All samples were extracted prior to sample analysis with 50/50 (v/v) (acetonitrile + 0.5% (v/v) formic acid))/water. The resulting extracts were further diluted into the range of the calibration curve before injecting into the HPLC-system. The method was fully validated according to the requirements of SANTE/2020/12830, Rev.1 guideline. The validation levels were 1.44 mg/kg (46% of lowest concentration in feeding solution) and 10926 mg/kg (134% of highest concentration in feeding solution) of Propamocarb as well as 0.459 mg/kg (46% of lowest concentration in feeding solution) and 3469 mg/kg (134% of highest concentration in feeding solution) of BAS 650 F corresponding to 3.61 mg/kg and 27315 mg/kg BAS 743 02 F. Five replicate dilutions were analyzed for each selected application solution. Defined limits for acceptance of quality control sample performance in subsequent studies were set at 70 to 110%. The recoveries of BAS 743 02 F in feeding solutions were in the range of 97.3% to 104% for Propamocarb and 92.6% to 104% for BAS 650 F. The analyzed untreated control samples showed no </w:t>
      </w:r>
      <w:r w:rsidRPr="00A34F10">
        <w:rPr>
          <w:szCs w:val="24"/>
        </w:rPr>
        <w:lastRenderedPageBreak/>
        <w:t>residues at or above the LOD. The limit of quantitation was 1.44 mg/kg for Propamocarb and 0.459 mg/kg for BAS 650 F. The limit of detection was 0.311 mg/kg for Propamocarb and 0.0988 mg/kg for BAS 650 F.</w:t>
      </w:r>
    </w:p>
    <w:p w14:paraId="444A69FD" w14:textId="77777777" w:rsidR="00DC5685" w:rsidRPr="00A34F10" w:rsidRDefault="00DC5685" w:rsidP="00DC5685">
      <w:pPr>
        <w:tabs>
          <w:tab w:val="left" w:pos="720"/>
        </w:tabs>
        <w:spacing w:after="480"/>
        <w:ind w:left="720" w:hanging="431"/>
        <w:contextualSpacing/>
        <w:jc w:val="center"/>
        <w:rPr>
          <w:b/>
          <w:bCs/>
          <w:szCs w:val="24"/>
          <w:lang w:val="en-GB"/>
        </w:rPr>
      </w:pPr>
      <w:r w:rsidRPr="00A34F10">
        <w:rPr>
          <w:b/>
          <w:bCs/>
          <w:szCs w:val="24"/>
          <w:lang w:val="en-GB"/>
        </w:rPr>
        <w:t>II. RESULTS AND DISCUSSION</w:t>
      </w:r>
    </w:p>
    <w:p w14:paraId="75D0DB1C" w14:textId="77777777" w:rsidR="00DC5685" w:rsidRPr="00A34F10" w:rsidRDefault="00DC5685" w:rsidP="00DC5685">
      <w:pPr>
        <w:tabs>
          <w:tab w:val="left" w:pos="720"/>
        </w:tabs>
        <w:spacing w:after="240"/>
        <w:ind w:left="720" w:hanging="431"/>
        <w:contextualSpacing/>
        <w:jc w:val="center"/>
        <w:rPr>
          <w:b/>
          <w:bCs/>
          <w:szCs w:val="24"/>
          <w:highlight w:val="yellow"/>
          <w:lang w:val="en-GB"/>
        </w:rPr>
      </w:pPr>
    </w:p>
    <w:p w14:paraId="6872B6F5" w14:textId="77777777" w:rsidR="00DC5685" w:rsidRPr="00A34F10" w:rsidRDefault="00DC5685" w:rsidP="00E05ECD">
      <w:pPr>
        <w:keepNext/>
        <w:keepLines/>
        <w:numPr>
          <w:ilvl w:val="0"/>
          <w:numId w:val="59"/>
        </w:numPr>
        <w:ind w:left="357" w:hanging="357"/>
        <w:contextualSpacing/>
        <w:rPr>
          <w:b/>
          <w:bCs/>
          <w:caps/>
          <w:szCs w:val="24"/>
          <w:lang w:val="en-GB"/>
        </w:rPr>
      </w:pPr>
      <w:r w:rsidRPr="00A34F10">
        <w:rPr>
          <w:b/>
          <w:bCs/>
          <w:caps/>
          <w:szCs w:val="24"/>
          <w:lang w:val="en-GB"/>
        </w:rPr>
        <w:t>biological effects</w:t>
      </w:r>
    </w:p>
    <w:p w14:paraId="13E1C387" w14:textId="77777777" w:rsidR="00DC5685" w:rsidRPr="00A34F10" w:rsidRDefault="00DC5685" w:rsidP="00DC5685">
      <w:pPr>
        <w:widowControl w:val="0"/>
        <w:suppressAutoHyphens/>
        <w:jc w:val="both"/>
      </w:pPr>
    </w:p>
    <w:p w14:paraId="5716C272" w14:textId="522B20E4" w:rsidR="00B6569A" w:rsidRPr="00A34F10" w:rsidRDefault="00DC5685" w:rsidP="00DC5685">
      <w:pPr>
        <w:widowControl w:val="0"/>
        <w:suppressAutoHyphens/>
        <w:jc w:val="both"/>
        <w:rPr>
          <w:snapToGrid w:val="0"/>
        </w:rPr>
      </w:pPr>
      <w:r w:rsidRPr="00A34F10">
        <w:t xml:space="preserve">After 10 days of continuous exposure, a mean mortality of 3.3% and 0% was observed in the blank control and viscosifier control groups, respectively. In the reference item group, a mean mortality of 76.7% was recorded. Taking into account the actual food uptake and evaporated amount of feeding solution, the bees in the test item group effectively consumed doses of 190, 95.5, 58.0, 41.7 and 15.9 µg product/bee/day which resulted in mortalities of 100.0, 66.7, 23.3, 3.3 and 0.0% after 10 days, respectively. Mortalities in the 190, 95.5 and 58.0 µg consumed product/bee/day treatment groups were statistically significantly increased compared to the viscosifier control group. </w:t>
      </w:r>
      <w:r w:rsidRPr="00A34F10">
        <w:rPr>
          <w:snapToGrid w:val="0"/>
        </w:rPr>
        <w:t>The results are summarized in</w:t>
      </w:r>
      <w:r w:rsidR="00430E04">
        <w:rPr>
          <w:snapToGrid w:val="0"/>
        </w:rPr>
        <w:t xml:space="preserve"> </w:t>
      </w:r>
      <w:r w:rsidR="00430E04">
        <w:rPr>
          <w:snapToGrid w:val="0"/>
        </w:rPr>
        <w:fldChar w:fldCharType="begin"/>
      </w:r>
      <w:r w:rsidR="00430E04">
        <w:rPr>
          <w:snapToGrid w:val="0"/>
        </w:rPr>
        <w:instrText xml:space="preserve"> REF _Ref147909204 \h </w:instrText>
      </w:r>
      <w:r w:rsidR="00430E04">
        <w:rPr>
          <w:snapToGrid w:val="0"/>
        </w:rPr>
      </w:r>
      <w:r w:rsidR="00430E04">
        <w:rPr>
          <w:snapToGrid w:val="0"/>
        </w:rPr>
        <w:fldChar w:fldCharType="separate"/>
      </w:r>
      <w:r w:rsidR="006F0F3B">
        <w:t xml:space="preserve">Table A </w:t>
      </w:r>
      <w:r w:rsidR="006F0F3B">
        <w:rPr>
          <w:noProof/>
        </w:rPr>
        <w:t>50</w:t>
      </w:r>
      <w:r w:rsidR="00430E04">
        <w:rPr>
          <w:snapToGrid w:val="0"/>
        </w:rPr>
        <w:fldChar w:fldCharType="end"/>
      </w:r>
      <w:r w:rsidRPr="00A34F10">
        <w:rPr>
          <w:snapToGrid w:val="0"/>
        </w:rPr>
        <w:t>.</w:t>
      </w:r>
    </w:p>
    <w:p w14:paraId="359156A7" w14:textId="77777777" w:rsidR="008D2927" w:rsidRDefault="008D2927" w:rsidP="00430E04">
      <w:pPr>
        <w:pStyle w:val="Legenda"/>
      </w:pPr>
      <w:bookmarkStart w:id="1110" w:name="_Ref147909204"/>
    </w:p>
    <w:p w14:paraId="547CDDC8" w14:textId="2ADB2E70" w:rsidR="00DC5685" w:rsidRPr="00A34F10" w:rsidRDefault="00430E04" w:rsidP="00430E04">
      <w:pPr>
        <w:pStyle w:val="Legenda"/>
        <w:rPr>
          <w:highlight w:val="yellow"/>
        </w:rPr>
      </w:pPr>
      <w:r>
        <w:t xml:space="preserve">Table A </w:t>
      </w:r>
      <w:r>
        <w:fldChar w:fldCharType="begin"/>
      </w:r>
      <w:r>
        <w:instrText xml:space="preserve"> SEQ Table_A \* ARABIC </w:instrText>
      </w:r>
      <w:r>
        <w:fldChar w:fldCharType="separate"/>
      </w:r>
      <w:r w:rsidR="006F0F3B">
        <w:rPr>
          <w:noProof/>
        </w:rPr>
        <w:t>50</w:t>
      </w:r>
      <w:r>
        <w:fldChar w:fldCharType="end"/>
      </w:r>
      <w:bookmarkEnd w:id="1110"/>
      <w:r w:rsidR="00DC5685" w:rsidRPr="00A34F10">
        <w:t xml:space="preserve">: Effects of BAS 743 02 F to </w:t>
      </w:r>
      <w:r w:rsidR="00DC5685" w:rsidRPr="00A34F10">
        <w:rPr>
          <w:i/>
        </w:rPr>
        <w:t xml:space="preserve">Apis mellifera </w:t>
      </w:r>
      <w:r w:rsidR="00DC5685" w:rsidRPr="00A34F10">
        <w:t>L</w:t>
      </w:r>
      <w:r w:rsidR="00DC5685" w:rsidRPr="00A34F10">
        <w:rPr>
          <w:i/>
        </w:rPr>
        <w:t xml:space="preserve">. </w:t>
      </w:r>
      <w:r w:rsidR="00DC5685" w:rsidRPr="00A34F10">
        <w:t>in a 10-day toxicity feeding 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537"/>
        <w:gridCol w:w="1367"/>
        <w:gridCol w:w="1450"/>
        <w:gridCol w:w="1101"/>
        <w:gridCol w:w="1537"/>
        <w:gridCol w:w="1466"/>
      </w:tblGrid>
      <w:tr w:rsidR="00DC5685" w:rsidRPr="00A34F10" w14:paraId="2383C5F9" w14:textId="77777777" w:rsidTr="000470C3">
        <w:tc>
          <w:tcPr>
            <w:tcW w:w="2796" w:type="pct"/>
            <w:gridSpan w:val="4"/>
            <w:vAlign w:val="center"/>
          </w:tcPr>
          <w:p w14:paraId="555526E2"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Treatment</w:t>
            </w:r>
          </w:p>
        </w:tc>
        <w:tc>
          <w:tcPr>
            <w:tcW w:w="2204" w:type="pct"/>
            <w:gridSpan w:val="3"/>
            <w:vAlign w:val="center"/>
          </w:tcPr>
          <w:p w14:paraId="3EC19527"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Mortality after 10 days</w:t>
            </w:r>
          </w:p>
        </w:tc>
      </w:tr>
      <w:tr w:rsidR="00DC5685" w:rsidRPr="00A34F10" w14:paraId="403691F3" w14:textId="77777777" w:rsidTr="000470C3">
        <w:tc>
          <w:tcPr>
            <w:tcW w:w="1012" w:type="pct"/>
            <w:vAlign w:val="center"/>
          </w:tcPr>
          <w:p w14:paraId="114E9BE7"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Nominal dosage</w:t>
            </w:r>
            <w:r w:rsidRPr="00A34F10">
              <w:rPr>
                <w:b/>
                <w:sz w:val="20"/>
                <w:szCs w:val="20"/>
              </w:rPr>
              <w:br/>
              <w:t>[µg product/ bee/day]</w:t>
            </w:r>
          </w:p>
        </w:tc>
        <w:tc>
          <w:tcPr>
            <w:tcW w:w="1024" w:type="pct"/>
            <w:gridSpan w:val="2"/>
            <w:vAlign w:val="center"/>
          </w:tcPr>
          <w:p w14:paraId="0FBFBA79"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 xml:space="preserve">Consumed dosage </w:t>
            </w:r>
            <w:r w:rsidRPr="00A34F10">
              <w:rPr>
                <w:b/>
                <w:sz w:val="20"/>
                <w:szCs w:val="20"/>
                <w:vertAlign w:val="superscript"/>
              </w:rPr>
              <w:t>1)</w:t>
            </w:r>
            <w:r w:rsidRPr="00A34F10">
              <w:rPr>
                <w:b/>
                <w:sz w:val="20"/>
                <w:szCs w:val="20"/>
              </w:rPr>
              <w:br/>
              <w:t>[µg product/ bee/day]</w:t>
            </w:r>
          </w:p>
        </w:tc>
        <w:tc>
          <w:tcPr>
            <w:tcW w:w="760" w:type="pct"/>
            <w:vAlign w:val="center"/>
          </w:tcPr>
          <w:p w14:paraId="4961675C"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Concentration</w:t>
            </w:r>
            <w:r w:rsidRPr="00A34F10">
              <w:rPr>
                <w:b/>
                <w:sz w:val="20"/>
                <w:szCs w:val="20"/>
              </w:rPr>
              <w:br/>
              <w:t>[g product/kg food]</w:t>
            </w:r>
          </w:p>
        </w:tc>
        <w:tc>
          <w:tcPr>
            <w:tcW w:w="592" w:type="pct"/>
            <w:vAlign w:val="center"/>
          </w:tcPr>
          <w:p w14:paraId="38C6FF20"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Mean mortality [%]</w:t>
            </w:r>
          </w:p>
        </w:tc>
        <w:tc>
          <w:tcPr>
            <w:tcW w:w="825" w:type="pct"/>
            <w:vAlign w:val="center"/>
          </w:tcPr>
          <w:p w14:paraId="45364C23" w14:textId="77777777" w:rsidR="00DC5685" w:rsidRPr="00A34F10" w:rsidRDefault="00DC5685" w:rsidP="00DC5685">
            <w:pPr>
              <w:keepNext/>
              <w:keepLines/>
              <w:widowControl w:val="0"/>
              <w:tabs>
                <w:tab w:val="left" w:pos="1984"/>
              </w:tabs>
              <w:suppressAutoHyphens/>
              <w:spacing w:before="20" w:after="20"/>
              <w:jc w:val="center"/>
              <w:rPr>
                <w:b/>
                <w:sz w:val="20"/>
                <w:szCs w:val="20"/>
                <w:vertAlign w:val="superscript"/>
              </w:rPr>
            </w:pPr>
            <w:r w:rsidRPr="00A34F10">
              <w:rPr>
                <w:b/>
                <w:sz w:val="20"/>
                <w:szCs w:val="20"/>
              </w:rPr>
              <w:t>Corrected mortality[%]</w:t>
            </w:r>
          </w:p>
        </w:tc>
        <w:tc>
          <w:tcPr>
            <w:tcW w:w="787" w:type="pct"/>
            <w:vAlign w:val="center"/>
          </w:tcPr>
          <w:p w14:paraId="4F13A891"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 xml:space="preserve">Mean other observations </w:t>
            </w:r>
            <w:r w:rsidRPr="00A34F10">
              <w:rPr>
                <w:b/>
                <w:sz w:val="20"/>
                <w:szCs w:val="20"/>
                <w:vertAlign w:val="superscript"/>
              </w:rPr>
              <w:t>2)</w:t>
            </w:r>
          </w:p>
        </w:tc>
      </w:tr>
      <w:tr w:rsidR="00DC5685" w:rsidRPr="00A34F10" w14:paraId="07158215" w14:textId="77777777" w:rsidTr="000470C3">
        <w:tc>
          <w:tcPr>
            <w:tcW w:w="1012" w:type="pct"/>
            <w:vAlign w:val="center"/>
          </w:tcPr>
          <w:p w14:paraId="0889F7DD"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Blank control</w:t>
            </w:r>
          </w:p>
        </w:tc>
        <w:tc>
          <w:tcPr>
            <w:tcW w:w="1024" w:type="pct"/>
            <w:gridSpan w:val="2"/>
            <w:vAlign w:val="center"/>
          </w:tcPr>
          <w:p w14:paraId="2FF691EF"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sz w:val="20"/>
                <w:szCs w:val="20"/>
              </w:rPr>
              <w:t>Control</w:t>
            </w:r>
          </w:p>
        </w:tc>
        <w:tc>
          <w:tcPr>
            <w:tcW w:w="760" w:type="pct"/>
            <w:vAlign w:val="center"/>
          </w:tcPr>
          <w:p w14:paraId="21493D97"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Control</w:t>
            </w:r>
          </w:p>
        </w:tc>
        <w:tc>
          <w:tcPr>
            <w:tcW w:w="592" w:type="pct"/>
            <w:vAlign w:val="center"/>
          </w:tcPr>
          <w:p w14:paraId="11CC937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3.3</w:t>
            </w:r>
          </w:p>
        </w:tc>
        <w:tc>
          <w:tcPr>
            <w:tcW w:w="825" w:type="pct"/>
            <w:vAlign w:val="center"/>
          </w:tcPr>
          <w:p w14:paraId="7040F166"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0679BB5D"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sz w:val="20"/>
                <w:szCs w:val="20"/>
              </w:rPr>
              <w:t>0 out of 29</w:t>
            </w:r>
          </w:p>
        </w:tc>
      </w:tr>
      <w:tr w:rsidR="00DC5685" w:rsidRPr="00A34F10" w14:paraId="1E1DF284" w14:textId="77777777" w:rsidTr="000470C3">
        <w:tc>
          <w:tcPr>
            <w:tcW w:w="1012" w:type="pct"/>
            <w:vAlign w:val="center"/>
          </w:tcPr>
          <w:p w14:paraId="5F2C01F2"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Viscosifier control</w:t>
            </w:r>
          </w:p>
        </w:tc>
        <w:tc>
          <w:tcPr>
            <w:tcW w:w="1024" w:type="pct"/>
            <w:gridSpan w:val="2"/>
            <w:vAlign w:val="center"/>
          </w:tcPr>
          <w:p w14:paraId="36538219"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Control</w:t>
            </w:r>
          </w:p>
        </w:tc>
        <w:tc>
          <w:tcPr>
            <w:tcW w:w="760" w:type="pct"/>
            <w:vAlign w:val="center"/>
          </w:tcPr>
          <w:p w14:paraId="3CB2C31D"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Control</w:t>
            </w:r>
          </w:p>
        </w:tc>
        <w:tc>
          <w:tcPr>
            <w:tcW w:w="592" w:type="pct"/>
            <w:vAlign w:val="center"/>
          </w:tcPr>
          <w:p w14:paraId="30F3F4B2"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0.0</w:t>
            </w:r>
          </w:p>
        </w:tc>
        <w:tc>
          <w:tcPr>
            <w:tcW w:w="825" w:type="pct"/>
            <w:vAlign w:val="center"/>
          </w:tcPr>
          <w:p w14:paraId="19FF1D3E"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6B119F6C"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 out of 30</w:t>
            </w:r>
          </w:p>
        </w:tc>
      </w:tr>
      <w:tr w:rsidR="00DC5685" w:rsidRPr="00A34F10" w14:paraId="1086FC42" w14:textId="77777777" w:rsidTr="000470C3">
        <w:tc>
          <w:tcPr>
            <w:tcW w:w="1012" w:type="pct"/>
            <w:vAlign w:val="center"/>
          </w:tcPr>
          <w:p w14:paraId="7DED643A"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20.5</w:t>
            </w:r>
          </w:p>
        </w:tc>
        <w:tc>
          <w:tcPr>
            <w:tcW w:w="1024" w:type="pct"/>
            <w:gridSpan w:val="2"/>
            <w:vAlign w:val="center"/>
          </w:tcPr>
          <w:p w14:paraId="172B00B4"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15.9</w:t>
            </w:r>
          </w:p>
        </w:tc>
        <w:tc>
          <w:tcPr>
            <w:tcW w:w="760" w:type="pct"/>
            <w:vAlign w:val="center"/>
          </w:tcPr>
          <w:p w14:paraId="67C6C823"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0.521</w:t>
            </w:r>
          </w:p>
        </w:tc>
        <w:tc>
          <w:tcPr>
            <w:tcW w:w="592" w:type="pct"/>
            <w:vAlign w:val="center"/>
          </w:tcPr>
          <w:p w14:paraId="4FF8E33F"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0.0</w:t>
            </w:r>
          </w:p>
        </w:tc>
        <w:tc>
          <w:tcPr>
            <w:tcW w:w="825" w:type="pct"/>
            <w:vAlign w:val="center"/>
          </w:tcPr>
          <w:p w14:paraId="1A32BD62"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279815BF"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 out of 30</w:t>
            </w:r>
          </w:p>
        </w:tc>
      </w:tr>
      <w:tr w:rsidR="00DC5685" w:rsidRPr="00A34F10" w14:paraId="04A4C8AB" w14:textId="77777777" w:rsidTr="000470C3">
        <w:tc>
          <w:tcPr>
            <w:tcW w:w="1012" w:type="pct"/>
            <w:vAlign w:val="center"/>
          </w:tcPr>
          <w:p w14:paraId="25882879"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51.2</w:t>
            </w:r>
          </w:p>
        </w:tc>
        <w:tc>
          <w:tcPr>
            <w:tcW w:w="1024" w:type="pct"/>
            <w:gridSpan w:val="2"/>
            <w:vAlign w:val="center"/>
          </w:tcPr>
          <w:p w14:paraId="73858225"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41.7</w:t>
            </w:r>
          </w:p>
        </w:tc>
        <w:tc>
          <w:tcPr>
            <w:tcW w:w="760" w:type="pct"/>
            <w:vAlign w:val="center"/>
          </w:tcPr>
          <w:p w14:paraId="63DEBDA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1.304</w:t>
            </w:r>
          </w:p>
        </w:tc>
        <w:tc>
          <w:tcPr>
            <w:tcW w:w="592" w:type="pct"/>
            <w:vAlign w:val="center"/>
          </w:tcPr>
          <w:p w14:paraId="731D8A73"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3.3</w:t>
            </w:r>
          </w:p>
        </w:tc>
        <w:tc>
          <w:tcPr>
            <w:tcW w:w="825" w:type="pct"/>
            <w:vAlign w:val="center"/>
          </w:tcPr>
          <w:p w14:paraId="4F554A2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16097A48"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 out of 29</w:t>
            </w:r>
          </w:p>
        </w:tc>
      </w:tr>
      <w:tr w:rsidR="00DC5685" w:rsidRPr="00A34F10" w14:paraId="15D661D9" w14:textId="77777777" w:rsidTr="000470C3">
        <w:tc>
          <w:tcPr>
            <w:tcW w:w="1012" w:type="pct"/>
            <w:vAlign w:val="center"/>
          </w:tcPr>
          <w:p w14:paraId="40B2F78D"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128</w:t>
            </w:r>
          </w:p>
        </w:tc>
        <w:tc>
          <w:tcPr>
            <w:tcW w:w="1024" w:type="pct"/>
            <w:gridSpan w:val="2"/>
            <w:vAlign w:val="center"/>
          </w:tcPr>
          <w:p w14:paraId="2CCFB53D"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58.0</w:t>
            </w:r>
          </w:p>
        </w:tc>
        <w:tc>
          <w:tcPr>
            <w:tcW w:w="760" w:type="pct"/>
            <w:vAlign w:val="center"/>
          </w:tcPr>
          <w:p w14:paraId="3768B6E8"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3.259</w:t>
            </w:r>
          </w:p>
        </w:tc>
        <w:tc>
          <w:tcPr>
            <w:tcW w:w="592" w:type="pct"/>
            <w:vAlign w:val="center"/>
          </w:tcPr>
          <w:p w14:paraId="473DC2A4"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23.3*</w:t>
            </w:r>
          </w:p>
        </w:tc>
        <w:tc>
          <w:tcPr>
            <w:tcW w:w="825" w:type="pct"/>
            <w:vAlign w:val="center"/>
          </w:tcPr>
          <w:p w14:paraId="2760D7AF"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493F20B3"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 out of 23</w:t>
            </w:r>
          </w:p>
        </w:tc>
      </w:tr>
      <w:tr w:rsidR="00DC5685" w:rsidRPr="00A34F10" w14:paraId="5C622016" w14:textId="77777777" w:rsidTr="000470C3">
        <w:tc>
          <w:tcPr>
            <w:tcW w:w="1012" w:type="pct"/>
            <w:vAlign w:val="center"/>
          </w:tcPr>
          <w:p w14:paraId="5C748E1C"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320</w:t>
            </w:r>
          </w:p>
        </w:tc>
        <w:tc>
          <w:tcPr>
            <w:tcW w:w="1024" w:type="pct"/>
            <w:gridSpan w:val="2"/>
            <w:vAlign w:val="center"/>
          </w:tcPr>
          <w:p w14:paraId="7E7C9E9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95.5</w:t>
            </w:r>
          </w:p>
        </w:tc>
        <w:tc>
          <w:tcPr>
            <w:tcW w:w="760" w:type="pct"/>
            <w:vAlign w:val="center"/>
          </w:tcPr>
          <w:p w14:paraId="0DDBE4B7"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8.148</w:t>
            </w:r>
          </w:p>
        </w:tc>
        <w:tc>
          <w:tcPr>
            <w:tcW w:w="592" w:type="pct"/>
            <w:vAlign w:val="center"/>
          </w:tcPr>
          <w:p w14:paraId="47E1F142"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66.7*</w:t>
            </w:r>
          </w:p>
        </w:tc>
        <w:tc>
          <w:tcPr>
            <w:tcW w:w="825" w:type="pct"/>
            <w:vAlign w:val="center"/>
          </w:tcPr>
          <w:p w14:paraId="41F15455"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623D152C"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0 out of 10</w:t>
            </w:r>
          </w:p>
        </w:tc>
      </w:tr>
      <w:tr w:rsidR="00DC5685" w:rsidRPr="00A34F10" w14:paraId="4C21651A" w14:textId="77777777" w:rsidTr="000470C3">
        <w:tc>
          <w:tcPr>
            <w:tcW w:w="1012" w:type="pct"/>
            <w:vAlign w:val="center"/>
          </w:tcPr>
          <w:p w14:paraId="3B75C36F"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800</w:t>
            </w:r>
          </w:p>
        </w:tc>
        <w:tc>
          <w:tcPr>
            <w:tcW w:w="1024" w:type="pct"/>
            <w:gridSpan w:val="2"/>
            <w:vAlign w:val="center"/>
          </w:tcPr>
          <w:p w14:paraId="2FD75231"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190</w:t>
            </w:r>
          </w:p>
        </w:tc>
        <w:tc>
          <w:tcPr>
            <w:tcW w:w="760" w:type="pct"/>
            <w:vAlign w:val="center"/>
          </w:tcPr>
          <w:p w14:paraId="7278E59C"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20.370</w:t>
            </w:r>
          </w:p>
        </w:tc>
        <w:tc>
          <w:tcPr>
            <w:tcW w:w="592" w:type="pct"/>
            <w:vAlign w:val="center"/>
          </w:tcPr>
          <w:p w14:paraId="230D7A46"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100.0*</w:t>
            </w:r>
          </w:p>
        </w:tc>
        <w:tc>
          <w:tcPr>
            <w:tcW w:w="825" w:type="pct"/>
            <w:vAlign w:val="center"/>
          </w:tcPr>
          <w:p w14:paraId="571898C9"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c>
          <w:tcPr>
            <w:tcW w:w="787" w:type="pct"/>
            <w:vAlign w:val="center"/>
          </w:tcPr>
          <w:p w14:paraId="65AA2A3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w:t>
            </w:r>
          </w:p>
        </w:tc>
      </w:tr>
      <w:tr w:rsidR="00DC5685" w:rsidRPr="00A34F10" w14:paraId="38782DDA" w14:textId="77777777" w:rsidTr="000470C3">
        <w:tc>
          <w:tcPr>
            <w:tcW w:w="5000" w:type="pct"/>
            <w:gridSpan w:val="7"/>
            <w:vAlign w:val="center"/>
          </w:tcPr>
          <w:p w14:paraId="38308557"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Endpoints [10 days]</w:t>
            </w:r>
          </w:p>
        </w:tc>
      </w:tr>
      <w:tr w:rsidR="00DC5685" w:rsidRPr="00A34F10" w14:paraId="4789D52B" w14:textId="77777777" w:rsidTr="000470C3">
        <w:trPr>
          <w:trHeight w:val="288"/>
        </w:trPr>
        <w:tc>
          <w:tcPr>
            <w:tcW w:w="1302" w:type="pct"/>
            <w:gridSpan w:val="2"/>
            <w:vMerge w:val="restart"/>
            <w:vAlign w:val="center"/>
          </w:tcPr>
          <w:p w14:paraId="7583D677"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 xml:space="preserve">Test item dose </w:t>
            </w:r>
            <w:r w:rsidRPr="00A34F10">
              <w:rPr>
                <w:b/>
                <w:sz w:val="20"/>
                <w:szCs w:val="20"/>
                <w:vertAlign w:val="superscript"/>
              </w:rPr>
              <w:t>1)</w:t>
            </w:r>
            <w:r w:rsidRPr="00A34F10">
              <w:rPr>
                <w:b/>
                <w:sz w:val="20"/>
                <w:szCs w:val="20"/>
              </w:rPr>
              <w:br/>
              <w:t>[µg consumed a.s./bee/day]</w:t>
            </w:r>
          </w:p>
        </w:tc>
        <w:tc>
          <w:tcPr>
            <w:tcW w:w="1494" w:type="pct"/>
            <w:gridSpan w:val="2"/>
            <w:vAlign w:val="center"/>
          </w:tcPr>
          <w:p w14:paraId="5DC77E00"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LDD</w:t>
            </w:r>
            <w:r w:rsidRPr="00A34F10">
              <w:rPr>
                <w:sz w:val="20"/>
                <w:szCs w:val="20"/>
                <w:vertAlign w:val="subscript"/>
              </w:rPr>
              <w:t>50</w:t>
            </w:r>
            <w:r w:rsidRPr="00A34F10">
              <w:rPr>
                <w:sz w:val="20"/>
                <w:szCs w:val="20"/>
              </w:rPr>
              <w:t xml:space="preserve"> </w:t>
            </w:r>
            <w:r w:rsidRPr="00A34F10">
              <w:rPr>
                <w:sz w:val="20"/>
                <w:szCs w:val="20"/>
                <w:vertAlign w:val="superscript"/>
              </w:rPr>
              <w:t>3)</w:t>
            </w:r>
          </w:p>
        </w:tc>
        <w:tc>
          <w:tcPr>
            <w:tcW w:w="2204" w:type="pct"/>
            <w:gridSpan w:val="3"/>
            <w:vAlign w:val="center"/>
          </w:tcPr>
          <w:p w14:paraId="4939C00F"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78.6 (70.2 – 89.6)</w:t>
            </w:r>
          </w:p>
        </w:tc>
      </w:tr>
      <w:tr w:rsidR="00DC5685" w:rsidRPr="00A34F10" w14:paraId="4FFD34D1" w14:textId="77777777" w:rsidTr="000470C3">
        <w:trPr>
          <w:trHeight w:val="288"/>
        </w:trPr>
        <w:tc>
          <w:tcPr>
            <w:tcW w:w="1302" w:type="pct"/>
            <w:gridSpan w:val="2"/>
            <w:vMerge/>
            <w:vAlign w:val="center"/>
          </w:tcPr>
          <w:p w14:paraId="0DC3A4AC"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259109FE"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LDD</w:t>
            </w:r>
            <w:r w:rsidRPr="00A34F10">
              <w:rPr>
                <w:sz w:val="20"/>
                <w:szCs w:val="20"/>
                <w:vertAlign w:val="subscript"/>
              </w:rPr>
              <w:t>20</w:t>
            </w:r>
            <w:r w:rsidRPr="00A34F10">
              <w:rPr>
                <w:sz w:val="20"/>
                <w:szCs w:val="20"/>
              </w:rPr>
              <w:t xml:space="preserve"> </w:t>
            </w:r>
            <w:r w:rsidRPr="00A34F10">
              <w:rPr>
                <w:sz w:val="20"/>
                <w:szCs w:val="20"/>
                <w:vertAlign w:val="superscript"/>
              </w:rPr>
              <w:t>3)</w:t>
            </w:r>
          </w:p>
        </w:tc>
        <w:tc>
          <w:tcPr>
            <w:tcW w:w="2204" w:type="pct"/>
            <w:gridSpan w:val="3"/>
            <w:vAlign w:val="center"/>
          </w:tcPr>
          <w:p w14:paraId="48390EE5"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57.9 (49.2 – 65.1)</w:t>
            </w:r>
          </w:p>
        </w:tc>
      </w:tr>
      <w:tr w:rsidR="00DC5685" w:rsidRPr="00A34F10" w14:paraId="7FD77D14" w14:textId="77777777" w:rsidTr="000470C3">
        <w:trPr>
          <w:trHeight w:val="288"/>
        </w:trPr>
        <w:tc>
          <w:tcPr>
            <w:tcW w:w="1302" w:type="pct"/>
            <w:gridSpan w:val="2"/>
            <w:vMerge/>
            <w:vAlign w:val="center"/>
          </w:tcPr>
          <w:p w14:paraId="3FE016A9"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12D217FB"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LDD</w:t>
            </w:r>
            <w:r w:rsidRPr="00A34F10">
              <w:rPr>
                <w:sz w:val="20"/>
                <w:szCs w:val="20"/>
                <w:vertAlign w:val="subscript"/>
              </w:rPr>
              <w:t>10</w:t>
            </w:r>
            <w:r w:rsidRPr="00A34F10">
              <w:rPr>
                <w:sz w:val="20"/>
                <w:szCs w:val="20"/>
              </w:rPr>
              <w:t xml:space="preserve"> </w:t>
            </w:r>
            <w:r w:rsidRPr="00A34F10">
              <w:rPr>
                <w:sz w:val="20"/>
                <w:szCs w:val="20"/>
                <w:vertAlign w:val="superscript"/>
              </w:rPr>
              <w:t>3)</w:t>
            </w:r>
          </w:p>
        </w:tc>
        <w:tc>
          <w:tcPr>
            <w:tcW w:w="2204" w:type="pct"/>
            <w:gridSpan w:val="3"/>
            <w:vAlign w:val="center"/>
          </w:tcPr>
          <w:p w14:paraId="20EEAFB5"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49.3 (39.8 – 56.5)</w:t>
            </w:r>
          </w:p>
        </w:tc>
      </w:tr>
      <w:tr w:rsidR="00DC5685" w:rsidRPr="00A34F10" w14:paraId="6A17834C" w14:textId="77777777" w:rsidTr="000470C3">
        <w:trPr>
          <w:trHeight w:val="288"/>
        </w:trPr>
        <w:tc>
          <w:tcPr>
            <w:tcW w:w="1302" w:type="pct"/>
            <w:gridSpan w:val="2"/>
            <w:vMerge/>
            <w:vAlign w:val="center"/>
          </w:tcPr>
          <w:p w14:paraId="08E66FAA"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0B5688EE"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 xml:space="preserve">NOEDD </w:t>
            </w:r>
            <w:r w:rsidRPr="00A34F10">
              <w:rPr>
                <w:sz w:val="20"/>
                <w:szCs w:val="20"/>
                <w:vertAlign w:val="superscript"/>
              </w:rPr>
              <w:t>4)</w:t>
            </w:r>
          </w:p>
        </w:tc>
        <w:tc>
          <w:tcPr>
            <w:tcW w:w="2204" w:type="pct"/>
            <w:gridSpan w:val="3"/>
            <w:vAlign w:val="center"/>
          </w:tcPr>
          <w:p w14:paraId="11CFC078"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41.7</w:t>
            </w:r>
          </w:p>
        </w:tc>
      </w:tr>
      <w:tr w:rsidR="00DC5685" w:rsidRPr="00A34F10" w14:paraId="4409602C" w14:textId="77777777" w:rsidTr="000470C3">
        <w:trPr>
          <w:trHeight w:val="288"/>
        </w:trPr>
        <w:tc>
          <w:tcPr>
            <w:tcW w:w="1302" w:type="pct"/>
            <w:gridSpan w:val="2"/>
            <w:vMerge w:val="restart"/>
            <w:vAlign w:val="center"/>
          </w:tcPr>
          <w:p w14:paraId="2314F44C" w14:textId="77777777" w:rsidR="00DC5685" w:rsidRPr="00A34F10" w:rsidRDefault="00DC5685" w:rsidP="00DC5685">
            <w:pPr>
              <w:keepNext/>
              <w:keepLines/>
              <w:widowControl w:val="0"/>
              <w:tabs>
                <w:tab w:val="left" w:pos="1984"/>
              </w:tabs>
              <w:suppressAutoHyphens/>
              <w:spacing w:before="20" w:after="20"/>
              <w:jc w:val="center"/>
              <w:rPr>
                <w:b/>
                <w:sz w:val="20"/>
                <w:szCs w:val="20"/>
              </w:rPr>
            </w:pPr>
            <w:r w:rsidRPr="00A34F10">
              <w:rPr>
                <w:b/>
                <w:sz w:val="20"/>
                <w:szCs w:val="20"/>
              </w:rPr>
              <w:t xml:space="preserve">Test item concentrations </w:t>
            </w:r>
            <w:r w:rsidRPr="00A34F10">
              <w:rPr>
                <w:b/>
                <w:sz w:val="20"/>
                <w:szCs w:val="20"/>
              </w:rPr>
              <w:br/>
              <w:t>[g a.s./kg food]</w:t>
            </w:r>
          </w:p>
        </w:tc>
        <w:tc>
          <w:tcPr>
            <w:tcW w:w="1494" w:type="pct"/>
            <w:gridSpan w:val="2"/>
            <w:vAlign w:val="center"/>
          </w:tcPr>
          <w:p w14:paraId="75ECBA7C"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LC</w:t>
            </w:r>
            <w:r w:rsidRPr="00A34F10">
              <w:rPr>
                <w:sz w:val="20"/>
                <w:szCs w:val="20"/>
                <w:vertAlign w:val="subscript"/>
              </w:rPr>
              <w:t>50</w:t>
            </w:r>
            <w:r w:rsidRPr="00A34F10">
              <w:rPr>
                <w:sz w:val="20"/>
                <w:szCs w:val="20"/>
              </w:rPr>
              <w:t xml:space="preserve"> </w:t>
            </w:r>
            <w:r w:rsidRPr="00A34F10">
              <w:rPr>
                <w:sz w:val="20"/>
                <w:szCs w:val="20"/>
                <w:vertAlign w:val="superscript"/>
              </w:rPr>
              <w:t>3)</w:t>
            </w:r>
          </w:p>
        </w:tc>
        <w:tc>
          <w:tcPr>
            <w:tcW w:w="2204" w:type="pct"/>
            <w:gridSpan w:val="3"/>
            <w:vAlign w:val="center"/>
          </w:tcPr>
          <w:p w14:paraId="15BB0DB4"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5.394 (4.327 – 6.738)</w:t>
            </w:r>
          </w:p>
        </w:tc>
      </w:tr>
      <w:tr w:rsidR="00DC5685" w:rsidRPr="00A34F10" w14:paraId="76FCDAE5" w14:textId="77777777" w:rsidTr="000470C3">
        <w:trPr>
          <w:trHeight w:val="288"/>
        </w:trPr>
        <w:tc>
          <w:tcPr>
            <w:tcW w:w="1302" w:type="pct"/>
            <w:gridSpan w:val="2"/>
            <w:vMerge/>
            <w:vAlign w:val="center"/>
          </w:tcPr>
          <w:p w14:paraId="36BB5126"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4B24FE7D"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LC</w:t>
            </w:r>
            <w:r w:rsidRPr="00A34F10">
              <w:rPr>
                <w:sz w:val="20"/>
                <w:szCs w:val="20"/>
                <w:vertAlign w:val="subscript"/>
              </w:rPr>
              <w:t>20</w:t>
            </w:r>
            <w:r w:rsidRPr="00A34F10">
              <w:rPr>
                <w:sz w:val="20"/>
                <w:szCs w:val="20"/>
              </w:rPr>
              <w:t xml:space="preserve"> </w:t>
            </w:r>
            <w:r w:rsidRPr="00A34F10">
              <w:rPr>
                <w:sz w:val="20"/>
                <w:szCs w:val="20"/>
                <w:vertAlign w:val="superscript"/>
              </w:rPr>
              <w:t>3)</w:t>
            </w:r>
          </w:p>
        </w:tc>
        <w:tc>
          <w:tcPr>
            <w:tcW w:w="2204" w:type="pct"/>
            <w:gridSpan w:val="3"/>
            <w:vAlign w:val="center"/>
          </w:tcPr>
          <w:p w14:paraId="6543D986"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3.018 (2.163 – 3.809)</w:t>
            </w:r>
          </w:p>
        </w:tc>
      </w:tr>
      <w:tr w:rsidR="00DC5685" w:rsidRPr="00A34F10" w14:paraId="130DC031" w14:textId="77777777" w:rsidTr="000470C3">
        <w:trPr>
          <w:trHeight w:val="288"/>
        </w:trPr>
        <w:tc>
          <w:tcPr>
            <w:tcW w:w="1302" w:type="pct"/>
            <w:gridSpan w:val="2"/>
            <w:vMerge/>
            <w:vAlign w:val="center"/>
          </w:tcPr>
          <w:p w14:paraId="5D666EA3"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3DAF4F56"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LC</w:t>
            </w:r>
            <w:r w:rsidRPr="00A34F10">
              <w:rPr>
                <w:sz w:val="20"/>
                <w:szCs w:val="20"/>
                <w:vertAlign w:val="subscript"/>
              </w:rPr>
              <w:t>10</w:t>
            </w:r>
            <w:r w:rsidRPr="00A34F10">
              <w:rPr>
                <w:sz w:val="20"/>
                <w:szCs w:val="20"/>
              </w:rPr>
              <w:t xml:space="preserve"> </w:t>
            </w:r>
            <w:r w:rsidRPr="00A34F10">
              <w:rPr>
                <w:sz w:val="20"/>
                <w:szCs w:val="20"/>
                <w:vertAlign w:val="superscript"/>
              </w:rPr>
              <w:t>3)</w:t>
            </w:r>
          </w:p>
        </w:tc>
        <w:tc>
          <w:tcPr>
            <w:tcW w:w="2204" w:type="pct"/>
            <w:gridSpan w:val="3"/>
            <w:vAlign w:val="center"/>
          </w:tcPr>
          <w:p w14:paraId="09837435"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2.228 (1.455 – 2.925)</w:t>
            </w:r>
          </w:p>
        </w:tc>
      </w:tr>
      <w:tr w:rsidR="00DC5685" w:rsidRPr="00A34F10" w14:paraId="4398844D" w14:textId="77777777" w:rsidTr="000470C3">
        <w:trPr>
          <w:trHeight w:val="288"/>
        </w:trPr>
        <w:tc>
          <w:tcPr>
            <w:tcW w:w="1302" w:type="pct"/>
            <w:gridSpan w:val="2"/>
            <w:vMerge/>
            <w:vAlign w:val="center"/>
          </w:tcPr>
          <w:p w14:paraId="1192CE5A" w14:textId="77777777" w:rsidR="00DC5685" w:rsidRPr="00A34F10" w:rsidRDefault="00DC5685" w:rsidP="00DC5685">
            <w:pPr>
              <w:keepNext/>
              <w:keepLines/>
              <w:widowControl w:val="0"/>
              <w:tabs>
                <w:tab w:val="left" w:pos="1984"/>
              </w:tabs>
              <w:suppressAutoHyphens/>
              <w:spacing w:before="20" w:after="20"/>
              <w:jc w:val="center"/>
              <w:rPr>
                <w:b/>
                <w:sz w:val="20"/>
                <w:szCs w:val="20"/>
              </w:rPr>
            </w:pPr>
          </w:p>
        </w:tc>
        <w:tc>
          <w:tcPr>
            <w:tcW w:w="1494" w:type="pct"/>
            <w:gridSpan w:val="2"/>
            <w:vAlign w:val="center"/>
          </w:tcPr>
          <w:p w14:paraId="48030F2A"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 xml:space="preserve">NOEC </w:t>
            </w:r>
            <w:r w:rsidRPr="00A34F10">
              <w:rPr>
                <w:sz w:val="20"/>
                <w:szCs w:val="20"/>
                <w:vertAlign w:val="superscript"/>
              </w:rPr>
              <w:t>4)</w:t>
            </w:r>
          </w:p>
        </w:tc>
        <w:tc>
          <w:tcPr>
            <w:tcW w:w="2204" w:type="pct"/>
            <w:gridSpan w:val="3"/>
            <w:vAlign w:val="center"/>
          </w:tcPr>
          <w:p w14:paraId="38698823" w14:textId="77777777" w:rsidR="00DC5685" w:rsidRPr="00A34F10" w:rsidRDefault="00DC5685" w:rsidP="00DC5685">
            <w:pPr>
              <w:keepNext/>
              <w:keepLines/>
              <w:widowControl w:val="0"/>
              <w:tabs>
                <w:tab w:val="left" w:pos="1984"/>
              </w:tabs>
              <w:suppressAutoHyphens/>
              <w:spacing w:before="20" w:after="20"/>
              <w:jc w:val="center"/>
              <w:rPr>
                <w:sz w:val="20"/>
                <w:szCs w:val="20"/>
              </w:rPr>
            </w:pPr>
            <w:r w:rsidRPr="00A34F10">
              <w:rPr>
                <w:sz w:val="20"/>
                <w:szCs w:val="20"/>
              </w:rPr>
              <w:t>1.304</w:t>
            </w:r>
          </w:p>
        </w:tc>
      </w:tr>
    </w:tbl>
    <w:p w14:paraId="4D1852CA" w14:textId="77777777" w:rsidR="00DC5685" w:rsidRPr="00A34F10" w:rsidRDefault="00DC5685" w:rsidP="00DC5685">
      <w:pPr>
        <w:keepNext/>
        <w:keepLines/>
        <w:widowControl w:val="0"/>
        <w:tabs>
          <w:tab w:val="left" w:pos="720"/>
        </w:tabs>
        <w:suppressAutoHyphens/>
        <w:jc w:val="both"/>
        <w:rPr>
          <w:sz w:val="18"/>
        </w:rPr>
      </w:pPr>
      <w:r w:rsidRPr="00A34F10">
        <w:rPr>
          <w:sz w:val="18"/>
          <w:vertAlign w:val="superscript"/>
        </w:rPr>
        <w:t>1)</w:t>
      </w:r>
      <w:r w:rsidRPr="00A34F10">
        <w:rPr>
          <w:sz w:val="18"/>
        </w:rPr>
        <w:t xml:space="preserve"> Taking into account the actual food uptake and evaporation</w:t>
      </w:r>
    </w:p>
    <w:p w14:paraId="392D00E6" w14:textId="77777777" w:rsidR="00DC5685" w:rsidRPr="00A34F10" w:rsidRDefault="00DC5685" w:rsidP="00DC5685">
      <w:pPr>
        <w:keepNext/>
        <w:keepLines/>
        <w:widowControl w:val="0"/>
        <w:tabs>
          <w:tab w:val="left" w:pos="720"/>
        </w:tabs>
        <w:suppressAutoHyphens/>
        <w:jc w:val="both"/>
        <w:rPr>
          <w:sz w:val="18"/>
          <w:vertAlign w:val="superscript"/>
          <w:lang w:val="en-GB"/>
        </w:rPr>
      </w:pPr>
      <w:r w:rsidRPr="00A34F10">
        <w:rPr>
          <w:sz w:val="18"/>
          <w:vertAlign w:val="superscript"/>
        </w:rPr>
        <w:t xml:space="preserve">2) </w:t>
      </w:r>
      <w:r w:rsidRPr="00A34F10">
        <w:rPr>
          <w:sz w:val="18"/>
        </w:rPr>
        <w:t>Number of bees showing behavioural abnormalities referring to the number of remaining bees</w:t>
      </w:r>
    </w:p>
    <w:p w14:paraId="0E885884" w14:textId="77777777" w:rsidR="00DC5685" w:rsidRPr="00A34F10" w:rsidRDefault="00DC5685" w:rsidP="00DC5685">
      <w:pPr>
        <w:keepNext/>
        <w:keepLines/>
        <w:widowControl w:val="0"/>
        <w:tabs>
          <w:tab w:val="left" w:pos="720"/>
        </w:tabs>
        <w:suppressAutoHyphens/>
        <w:jc w:val="both"/>
        <w:rPr>
          <w:sz w:val="18"/>
        </w:rPr>
      </w:pPr>
      <w:r w:rsidRPr="00A34F10">
        <w:rPr>
          <w:sz w:val="18"/>
          <w:vertAlign w:val="superscript"/>
        </w:rPr>
        <w:t xml:space="preserve">3) </w:t>
      </w:r>
      <w:r w:rsidRPr="00A34F10">
        <w:rPr>
          <w:sz w:val="18"/>
        </w:rPr>
        <w:t>Lethal dietary doses/concentrations (95%-cl lower/upper) were calculated by Probit analysis using linear max. likelihood regression</w:t>
      </w:r>
    </w:p>
    <w:p w14:paraId="1FB87514" w14:textId="77777777" w:rsidR="00DC5685" w:rsidRPr="00A34F10" w:rsidRDefault="00DC5685" w:rsidP="00DC5685">
      <w:pPr>
        <w:keepNext/>
        <w:keepLines/>
        <w:widowControl w:val="0"/>
        <w:tabs>
          <w:tab w:val="left" w:pos="720"/>
        </w:tabs>
        <w:suppressAutoHyphens/>
        <w:jc w:val="both"/>
        <w:rPr>
          <w:sz w:val="18"/>
        </w:rPr>
      </w:pPr>
      <w:r w:rsidRPr="00A34F10">
        <w:rPr>
          <w:sz w:val="18"/>
          <w:vertAlign w:val="superscript"/>
        </w:rPr>
        <w:t xml:space="preserve">4) </w:t>
      </w:r>
      <w:r w:rsidRPr="00A34F10">
        <w:rPr>
          <w:sz w:val="18"/>
        </w:rPr>
        <w:t>No observed effect dietary dose/concentration were determined using Step-down Cochran-Armitage Test Procedure (α = 0.05, one-sided greater)</w:t>
      </w:r>
    </w:p>
    <w:p w14:paraId="027051CB" w14:textId="77777777" w:rsidR="00DC5685" w:rsidRPr="00A34F10" w:rsidRDefault="00DC5685" w:rsidP="00DC5685">
      <w:pPr>
        <w:keepNext/>
        <w:keepLines/>
        <w:widowControl w:val="0"/>
        <w:suppressAutoHyphens/>
        <w:jc w:val="both"/>
        <w:rPr>
          <w:sz w:val="18"/>
        </w:rPr>
      </w:pPr>
      <w:r w:rsidRPr="00A34F10">
        <w:rPr>
          <w:sz w:val="18"/>
        </w:rPr>
        <w:t>* Statistically significant difference in pairwise comparison between treatment and untreated viscosifier control (Step-down Cochran-Armitage Test Procedure; α = 0.05; one-sided greater)</w:t>
      </w:r>
    </w:p>
    <w:p w14:paraId="29FE7DD6" w14:textId="77777777" w:rsidR="00DC5685" w:rsidRPr="00A34F10" w:rsidRDefault="00DC5685" w:rsidP="00DC5685">
      <w:pPr>
        <w:widowControl w:val="0"/>
        <w:suppressAutoHyphens/>
        <w:ind w:left="284" w:hanging="284"/>
        <w:jc w:val="both"/>
      </w:pPr>
    </w:p>
    <w:p w14:paraId="232E5137" w14:textId="77777777" w:rsidR="00DC5685" w:rsidRPr="00A34F10" w:rsidRDefault="00DC5685" w:rsidP="00DC5685">
      <w:pPr>
        <w:widowControl w:val="0"/>
        <w:suppressAutoHyphens/>
        <w:jc w:val="both"/>
        <w:rPr>
          <w:color w:val="000000" w:themeColor="text1"/>
          <w:lang w:val="en-GB"/>
        </w:rPr>
      </w:pPr>
      <w:r w:rsidRPr="00A34F10">
        <w:rPr>
          <w:color w:val="000000" w:themeColor="text1"/>
          <w:lang w:val="en-GB"/>
        </w:rPr>
        <w:t>In the test item treatment group, the overall mean daily food consumption ranged between 9.32 and 32.0 mg feeding solution/bee/day which corresponds to 23.7% and 81.5% of the expected daily amount. In blank control group, the bees consumed on average 36.1 mg feeding solution/bee/day (corresponding to 92.0% of the expected daily amount). In the viscosifier control group, the bees consumed on average 37.0 mg feeding solution/bee/day (corresponding to 94.2% of the expected daily amount).</w:t>
      </w:r>
    </w:p>
    <w:p w14:paraId="42EE66A0" w14:textId="77777777" w:rsidR="00DC5685" w:rsidRPr="00A34F10" w:rsidRDefault="00DC5685" w:rsidP="00DC5685">
      <w:pPr>
        <w:widowControl w:val="0"/>
        <w:suppressAutoHyphens/>
        <w:jc w:val="both"/>
      </w:pPr>
    </w:p>
    <w:p w14:paraId="4EE3D214" w14:textId="77777777" w:rsidR="00DC5685" w:rsidRPr="00A34F10" w:rsidRDefault="00DC5685" w:rsidP="00DC5685">
      <w:pPr>
        <w:widowControl w:val="0"/>
        <w:suppressAutoHyphens/>
        <w:spacing w:after="360"/>
        <w:jc w:val="both"/>
      </w:pPr>
      <w:r w:rsidRPr="00A34F10">
        <w:lastRenderedPageBreak/>
        <w:t>For the reference item group (nominal dose of 27.3 ng a.s./bee/day, equivalent to an actual consumption of 14.4 ng a.s./bee), a mean mortality of 76.7% was recorded.</w:t>
      </w:r>
    </w:p>
    <w:p w14:paraId="14FF2DD3" w14:textId="77777777" w:rsidR="00DC5685" w:rsidRPr="00A34F10" w:rsidRDefault="00DC5685" w:rsidP="00E05ECD">
      <w:pPr>
        <w:keepNext/>
        <w:keepLines/>
        <w:numPr>
          <w:ilvl w:val="0"/>
          <w:numId w:val="59"/>
        </w:numPr>
        <w:ind w:left="357" w:hanging="357"/>
        <w:contextualSpacing/>
        <w:rPr>
          <w:b/>
          <w:bCs/>
          <w:caps/>
          <w:szCs w:val="24"/>
          <w:lang w:val="en-GB"/>
        </w:rPr>
      </w:pPr>
      <w:r w:rsidRPr="00A34F10">
        <w:rPr>
          <w:b/>
          <w:bCs/>
          <w:caps/>
          <w:szCs w:val="24"/>
          <w:lang w:val="en-GB"/>
        </w:rPr>
        <w:t>ANALyTICAL RESULST</w:t>
      </w:r>
    </w:p>
    <w:p w14:paraId="1C8DA1FD" w14:textId="77777777" w:rsidR="00DC5685" w:rsidRPr="00A34F10" w:rsidRDefault="00DC5685" w:rsidP="00DC5685">
      <w:pPr>
        <w:keepNext/>
        <w:keepLines/>
        <w:ind w:left="357"/>
        <w:contextualSpacing/>
        <w:rPr>
          <w:b/>
          <w:bCs/>
          <w:caps/>
          <w:szCs w:val="24"/>
          <w:lang w:val="en-GB"/>
        </w:rPr>
      </w:pPr>
    </w:p>
    <w:p w14:paraId="008C3271" w14:textId="77777777" w:rsidR="00DC5685" w:rsidRPr="00A34F10" w:rsidRDefault="00DC5685" w:rsidP="00DC5685">
      <w:pPr>
        <w:widowControl w:val="0"/>
        <w:suppressAutoHyphens/>
        <w:jc w:val="both"/>
        <w:rPr>
          <w:lang w:val="en-GB"/>
        </w:rPr>
      </w:pPr>
      <w:r w:rsidRPr="00A34F10">
        <w:rPr>
          <w:lang w:val="en-GB"/>
        </w:rPr>
        <w:t>The recovery rates of the active ingredients in the analysed samples of the test item feeding solutions were between ± 20% of the nominal concentrations. Therefore, the concentrations of active ingredients in the applied test item feeding solutions were verified and endpoints have been based on nominal concentrations. Furthermore, no residues of the active ingredients were found in the control samples, i.e., the concentrations of active ingredients were below 30% of the LOQ (limit of quantification). Since the samples of the test item feeding solutions were analysed within 30 days, storage stability of the active ingredients in sample matrix (50% (w/v) sucrose solution containing 0.1% (w/v) xanthan) was not addressed within the framework of the analytical phase of the study.</w:t>
      </w:r>
    </w:p>
    <w:p w14:paraId="1E27629B" w14:textId="77777777" w:rsidR="008D2927" w:rsidRDefault="008D2927" w:rsidP="00430E04">
      <w:pPr>
        <w:pStyle w:val="Legenda"/>
      </w:pPr>
    </w:p>
    <w:p w14:paraId="18782283" w14:textId="23B627F3" w:rsidR="00DC5685" w:rsidRPr="00A34F10" w:rsidRDefault="00430E04" w:rsidP="00430E04">
      <w:pPr>
        <w:pStyle w:val="Legenda"/>
        <w:rPr>
          <w:szCs w:val="28"/>
        </w:rPr>
      </w:pPr>
      <w:r>
        <w:t xml:space="preserve">Table A </w:t>
      </w:r>
      <w:r>
        <w:fldChar w:fldCharType="begin"/>
      </w:r>
      <w:r>
        <w:instrText xml:space="preserve"> SEQ Table_A \* ARABIC </w:instrText>
      </w:r>
      <w:r>
        <w:fldChar w:fldCharType="separate"/>
      </w:r>
      <w:r w:rsidR="006F0F3B">
        <w:rPr>
          <w:noProof/>
        </w:rPr>
        <w:t>51</w:t>
      </w:r>
      <w:r>
        <w:fldChar w:fldCharType="end"/>
      </w:r>
      <w:r w:rsidR="00DC5685" w:rsidRPr="00A34F10">
        <w:rPr>
          <w:szCs w:val="28"/>
        </w:rPr>
        <w:t>: Analytical results</w:t>
      </w:r>
    </w:p>
    <w:tbl>
      <w:tblPr>
        <w:tblStyle w:val="RepTableBorder"/>
        <w:tblW w:w="5000" w:type="pct"/>
        <w:tblLook w:val="0000" w:firstRow="0" w:lastRow="0" w:firstColumn="0" w:lastColumn="0" w:noHBand="0" w:noVBand="0"/>
      </w:tblPr>
      <w:tblGrid>
        <w:gridCol w:w="1561"/>
        <w:gridCol w:w="1562"/>
        <w:gridCol w:w="1549"/>
        <w:gridCol w:w="1566"/>
        <w:gridCol w:w="1553"/>
        <w:gridCol w:w="1553"/>
      </w:tblGrid>
      <w:tr w:rsidR="00DC5685" w:rsidRPr="00A34F10" w14:paraId="3C2D79CE" w14:textId="77777777" w:rsidTr="000470C3">
        <w:trPr>
          <w:trHeight w:val="20"/>
        </w:trPr>
        <w:tc>
          <w:tcPr>
            <w:tcW w:w="2500" w:type="pct"/>
            <w:gridSpan w:val="3"/>
          </w:tcPr>
          <w:p w14:paraId="53D0B41F" w14:textId="52D81FEE" w:rsidR="00DC5685" w:rsidRPr="00A34F10" w:rsidRDefault="00144D9E" w:rsidP="00DC5685">
            <w:pPr>
              <w:keepNext/>
              <w:keepLines/>
              <w:kinsoku w:val="0"/>
              <w:overflowPunct w:val="0"/>
              <w:autoSpaceDE w:val="0"/>
              <w:autoSpaceDN w:val="0"/>
              <w:adjustRightInd w:val="0"/>
              <w:spacing w:before="60"/>
              <w:jc w:val="center"/>
              <w:rPr>
                <w:b/>
                <w:bCs/>
                <w:sz w:val="20"/>
                <w:szCs w:val="20"/>
              </w:rPr>
            </w:pPr>
            <w:r>
              <w:rPr>
                <w:b/>
                <w:bCs/>
                <w:sz w:val="20"/>
                <w:szCs w:val="20"/>
              </w:rPr>
              <w:t>Propamocarb</w:t>
            </w:r>
          </w:p>
        </w:tc>
        <w:tc>
          <w:tcPr>
            <w:tcW w:w="2500" w:type="pct"/>
            <w:gridSpan w:val="3"/>
          </w:tcPr>
          <w:p w14:paraId="089AF81F" w14:textId="6A38D8CA" w:rsidR="00DC5685" w:rsidRPr="00A34F10" w:rsidRDefault="00144D9E" w:rsidP="00DC5685">
            <w:pPr>
              <w:keepNext/>
              <w:keepLines/>
              <w:kinsoku w:val="0"/>
              <w:overflowPunct w:val="0"/>
              <w:autoSpaceDE w:val="0"/>
              <w:autoSpaceDN w:val="0"/>
              <w:adjustRightInd w:val="0"/>
              <w:spacing w:before="60"/>
              <w:jc w:val="center"/>
              <w:rPr>
                <w:b/>
                <w:bCs/>
                <w:sz w:val="20"/>
                <w:szCs w:val="20"/>
              </w:rPr>
            </w:pPr>
            <w:r>
              <w:rPr>
                <w:b/>
                <w:bCs/>
                <w:sz w:val="20"/>
                <w:szCs w:val="20"/>
              </w:rPr>
              <w:t>Ametoctradin</w:t>
            </w:r>
          </w:p>
        </w:tc>
      </w:tr>
      <w:tr w:rsidR="00DC5685" w:rsidRPr="00A34F10" w14:paraId="400BA7A5" w14:textId="77777777" w:rsidTr="000470C3">
        <w:trPr>
          <w:trHeight w:val="20"/>
        </w:trPr>
        <w:tc>
          <w:tcPr>
            <w:tcW w:w="835" w:type="pct"/>
          </w:tcPr>
          <w:p w14:paraId="37A6A4AF" w14:textId="77777777" w:rsidR="00DC5685" w:rsidRPr="00A34F10" w:rsidRDefault="00DC5685" w:rsidP="00DC5685">
            <w:pPr>
              <w:keepNext/>
              <w:keepLines/>
              <w:kinsoku w:val="0"/>
              <w:overflowPunct w:val="0"/>
              <w:autoSpaceDE w:val="0"/>
              <w:autoSpaceDN w:val="0"/>
              <w:adjustRightInd w:val="0"/>
              <w:jc w:val="center"/>
              <w:rPr>
                <w:b/>
                <w:sz w:val="20"/>
                <w:szCs w:val="20"/>
              </w:rPr>
            </w:pPr>
            <w:r w:rsidRPr="00A34F10">
              <w:rPr>
                <w:b/>
                <w:sz w:val="20"/>
                <w:szCs w:val="20"/>
              </w:rPr>
              <w:t xml:space="preserve">Nominal </w:t>
            </w:r>
          </w:p>
          <w:p w14:paraId="0F08A70B" w14:textId="77777777" w:rsidR="00DC5685" w:rsidRPr="00A34F10" w:rsidRDefault="00DC5685" w:rsidP="00DC5685">
            <w:pPr>
              <w:keepNext/>
              <w:keepLines/>
              <w:kinsoku w:val="0"/>
              <w:overflowPunct w:val="0"/>
              <w:autoSpaceDE w:val="0"/>
              <w:autoSpaceDN w:val="0"/>
              <w:adjustRightInd w:val="0"/>
              <w:jc w:val="center"/>
              <w:rPr>
                <w:b/>
                <w:sz w:val="20"/>
                <w:szCs w:val="20"/>
              </w:rPr>
            </w:pPr>
            <w:r w:rsidRPr="00A34F10">
              <w:rPr>
                <w:b/>
                <w:sz w:val="20"/>
                <w:szCs w:val="20"/>
              </w:rPr>
              <w:t>Concentration</w:t>
            </w:r>
          </w:p>
          <w:p w14:paraId="59FCFFD3" w14:textId="77777777" w:rsidR="00DC5685" w:rsidRPr="00A34F10" w:rsidRDefault="00DC5685" w:rsidP="00DC5685">
            <w:pPr>
              <w:keepNext/>
              <w:keepLines/>
              <w:kinsoku w:val="0"/>
              <w:overflowPunct w:val="0"/>
              <w:autoSpaceDE w:val="0"/>
              <w:autoSpaceDN w:val="0"/>
              <w:adjustRightInd w:val="0"/>
              <w:jc w:val="center"/>
              <w:rPr>
                <w:b/>
                <w:sz w:val="20"/>
                <w:szCs w:val="20"/>
              </w:rPr>
            </w:pPr>
            <w:r w:rsidRPr="00A34F10">
              <w:rPr>
                <w:b/>
                <w:sz w:val="20"/>
                <w:szCs w:val="20"/>
              </w:rPr>
              <w:t>[mg/kg]</w:t>
            </w:r>
          </w:p>
        </w:tc>
        <w:tc>
          <w:tcPr>
            <w:tcW w:w="836" w:type="pct"/>
          </w:tcPr>
          <w:p w14:paraId="59EF2FA5"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 xml:space="preserve">Residue </w:t>
            </w:r>
          </w:p>
          <w:p w14:paraId="4803BFA8"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Concentration [mg/kg]</w:t>
            </w:r>
          </w:p>
        </w:tc>
        <w:tc>
          <w:tcPr>
            <w:tcW w:w="829" w:type="pct"/>
          </w:tcPr>
          <w:p w14:paraId="52DC6D64"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Mean Recovery</w:t>
            </w:r>
          </w:p>
          <w:p w14:paraId="6D5D7B9A"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w:t>
            </w:r>
          </w:p>
        </w:tc>
        <w:tc>
          <w:tcPr>
            <w:tcW w:w="838" w:type="pct"/>
          </w:tcPr>
          <w:p w14:paraId="365BC0D3" w14:textId="77777777" w:rsidR="00DC5685" w:rsidRPr="00A34F10" w:rsidRDefault="00DC5685" w:rsidP="00DC5685">
            <w:pPr>
              <w:keepNext/>
              <w:keepLines/>
              <w:kinsoku w:val="0"/>
              <w:overflowPunct w:val="0"/>
              <w:autoSpaceDE w:val="0"/>
              <w:autoSpaceDN w:val="0"/>
              <w:adjustRightInd w:val="0"/>
              <w:jc w:val="center"/>
              <w:rPr>
                <w:b/>
                <w:sz w:val="20"/>
                <w:szCs w:val="20"/>
              </w:rPr>
            </w:pPr>
            <w:r w:rsidRPr="00A34F10">
              <w:rPr>
                <w:b/>
                <w:sz w:val="20"/>
                <w:szCs w:val="20"/>
              </w:rPr>
              <w:t xml:space="preserve">Nominal </w:t>
            </w:r>
          </w:p>
          <w:p w14:paraId="79013E7C" w14:textId="77777777" w:rsidR="00DC5685" w:rsidRPr="00A34F10" w:rsidRDefault="00DC5685" w:rsidP="00DC5685">
            <w:pPr>
              <w:keepNext/>
              <w:keepLines/>
              <w:kinsoku w:val="0"/>
              <w:overflowPunct w:val="0"/>
              <w:autoSpaceDE w:val="0"/>
              <w:autoSpaceDN w:val="0"/>
              <w:adjustRightInd w:val="0"/>
              <w:jc w:val="center"/>
              <w:rPr>
                <w:b/>
                <w:sz w:val="20"/>
                <w:szCs w:val="20"/>
              </w:rPr>
            </w:pPr>
            <w:r w:rsidRPr="00A34F10">
              <w:rPr>
                <w:b/>
                <w:sz w:val="20"/>
                <w:szCs w:val="20"/>
              </w:rPr>
              <w:t>Concentration</w:t>
            </w:r>
          </w:p>
          <w:p w14:paraId="3FC70119"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[mg/kg]</w:t>
            </w:r>
          </w:p>
        </w:tc>
        <w:tc>
          <w:tcPr>
            <w:tcW w:w="831" w:type="pct"/>
          </w:tcPr>
          <w:p w14:paraId="50820535"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 xml:space="preserve">Residue </w:t>
            </w:r>
          </w:p>
          <w:p w14:paraId="270E9607"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Concentration [mg/kg]</w:t>
            </w:r>
          </w:p>
        </w:tc>
        <w:tc>
          <w:tcPr>
            <w:tcW w:w="831" w:type="pct"/>
          </w:tcPr>
          <w:p w14:paraId="759E40DD"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Mean Recovery</w:t>
            </w:r>
          </w:p>
          <w:p w14:paraId="532B5293" w14:textId="77777777" w:rsidR="00DC5685" w:rsidRPr="00A34F10" w:rsidRDefault="00DC5685" w:rsidP="00DC5685">
            <w:pPr>
              <w:keepNext/>
              <w:keepLines/>
              <w:kinsoku w:val="0"/>
              <w:overflowPunct w:val="0"/>
              <w:autoSpaceDE w:val="0"/>
              <w:autoSpaceDN w:val="0"/>
              <w:adjustRightInd w:val="0"/>
              <w:spacing w:before="60"/>
              <w:jc w:val="center"/>
              <w:rPr>
                <w:b/>
                <w:sz w:val="20"/>
                <w:szCs w:val="20"/>
              </w:rPr>
            </w:pPr>
            <w:r w:rsidRPr="00A34F10">
              <w:rPr>
                <w:b/>
                <w:sz w:val="20"/>
                <w:szCs w:val="20"/>
              </w:rPr>
              <w:t>[%]</w:t>
            </w:r>
          </w:p>
        </w:tc>
      </w:tr>
      <w:tr w:rsidR="00DC5685" w:rsidRPr="00A34F10" w14:paraId="2ECCEF2F" w14:textId="77777777" w:rsidTr="000470C3">
        <w:trPr>
          <w:trHeight w:hRule="exact" w:val="331"/>
        </w:trPr>
        <w:tc>
          <w:tcPr>
            <w:tcW w:w="835" w:type="pct"/>
          </w:tcPr>
          <w:p w14:paraId="1A2B4168"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0.000</w:t>
            </w:r>
          </w:p>
        </w:tc>
        <w:tc>
          <w:tcPr>
            <w:tcW w:w="836" w:type="pct"/>
          </w:tcPr>
          <w:p w14:paraId="0878EBCE"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&lt;LOD</w:t>
            </w:r>
          </w:p>
        </w:tc>
        <w:tc>
          <w:tcPr>
            <w:tcW w:w="829" w:type="pct"/>
          </w:tcPr>
          <w:p w14:paraId="21FAFA15"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w:t>
            </w:r>
          </w:p>
        </w:tc>
        <w:tc>
          <w:tcPr>
            <w:tcW w:w="838" w:type="pct"/>
          </w:tcPr>
          <w:p w14:paraId="3458AC9B"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0.000</w:t>
            </w:r>
          </w:p>
        </w:tc>
        <w:tc>
          <w:tcPr>
            <w:tcW w:w="831" w:type="pct"/>
          </w:tcPr>
          <w:p w14:paraId="48E279E5"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&lt;LOD</w:t>
            </w:r>
          </w:p>
        </w:tc>
        <w:tc>
          <w:tcPr>
            <w:tcW w:w="831" w:type="pct"/>
          </w:tcPr>
          <w:p w14:paraId="336B19E3"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w:t>
            </w:r>
          </w:p>
        </w:tc>
      </w:tr>
      <w:tr w:rsidR="00DC5685" w:rsidRPr="00A34F10" w14:paraId="74770E08" w14:textId="77777777" w:rsidTr="000470C3">
        <w:trPr>
          <w:trHeight w:hRule="exact" w:val="331"/>
        </w:trPr>
        <w:tc>
          <w:tcPr>
            <w:tcW w:w="835" w:type="pct"/>
          </w:tcPr>
          <w:p w14:paraId="0700B020"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0.000</w:t>
            </w:r>
          </w:p>
        </w:tc>
        <w:tc>
          <w:tcPr>
            <w:tcW w:w="836" w:type="pct"/>
          </w:tcPr>
          <w:p w14:paraId="40716B21"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&lt;LOD</w:t>
            </w:r>
          </w:p>
        </w:tc>
        <w:tc>
          <w:tcPr>
            <w:tcW w:w="829" w:type="pct"/>
          </w:tcPr>
          <w:p w14:paraId="5A27B0F8"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w:t>
            </w:r>
          </w:p>
        </w:tc>
        <w:tc>
          <w:tcPr>
            <w:tcW w:w="838" w:type="pct"/>
          </w:tcPr>
          <w:p w14:paraId="3FBD0E15"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0.000</w:t>
            </w:r>
          </w:p>
        </w:tc>
        <w:tc>
          <w:tcPr>
            <w:tcW w:w="831" w:type="pct"/>
          </w:tcPr>
          <w:p w14:paraId="52D21C5C"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&lt;LOD</w:t>
            </w:r>
          </w:p>
        </w:tc>
        <w:tc>
          <w:tcPr>
            <w:tcW w:w="831" w:type="pct"/>
          </w:tcPr>
          <w:p w14:paraId="6196E25E"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w:t>
            </w:r>
          </w:p>
        </w:tc>
      </w:tr>
      <w:tr w:rsidR="00DC5685" w:rsidRPr="00A34F10" w14:paraId="7C978C01" w14:textId="77777777" w:rsidTr="000470C3">
        <w:trPr>
          <w:trHeight w:hRule="exact" w:val="331"/>
        </w:trPr>
        <w:tc>
          <w:tcPr>
            <w:tcW w:w="835" w:type="pct"/>
          </w:tcPr>
          <w:p w14:paraId="1662399A"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209</w:t>
            </w:r>
          </w:p>
        </w:tc>
        <w:tc>
          <w:tcPr>
            <w:tcW w:w="836" w:type="pct"/>
          </w:tcPr>
          <w:p w14:paraId="5148839D"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217</w:t>
            </w:r>
          </w:p>
        </w:tc>
        <w:tc>
          <w:tcPr>
            <w:tcW w:w="829" w:type="pct"/>
          </w:tcPr>
          <w:p w14:paraId="65EE007D"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104</w:t>
            </w:r>
          </w:p>
        </w:tc>
        <w:tc>
          <w:tcPr>
            <w:tcW w:w="838" w:type="pct"/>
          </w:tcPr>
          <w:p w14:paraId="7695AF2C"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66.2</w:t>
            </w:r>
          </w:p>
        </w:tc>
        <w:tc>
          <w:tcPr>
            <w:tcW w:w="831" w:type="pct"/>
          </w:tcPr>
          <w:p w14:paraId="676E1D2C"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66.3</w:t>
            </w:r>
          </w:p>
        </w:tc>
        <w:tc>
          <w:tcPr>
            <w:tcW w:w="831" w:type="pct"/>
          </w:tcPr>
          <w:p w14:paraId="06621A4C"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100</w:t>
            </w:r>
          </w:p>
        </w:tc>
      </w:tr>
      <w:tr w:rsidR="00DC5685" w:rsidRPr="00A34F10" w14:paraId="1E7B90DD" w14:textId="77777777" w:rsidTr="000470C3">
        <w:trPr>
          <w:trHeight w:hRule="exact" w:val="331"/>
        </w:trPr>
        <w:tc>
          <w:tcPr>
            <w:tcW w:w="835" w:type="pct"/>
          </w:tcPr>
          <w:p w14:paraId="5CE2FD9E"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209</w:t>
            </w:r>
          </w:p>
        </w:tc>
        <w:tc>
          <w:tcPr>
            <w:tcW w:w="836" w:type="pct"/>
          </w:tcPr>
          <w:p w14:paraId="0B288EF6"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203</w:t>
            </w:r>
          </w:p>
        </w:tc>
        <w:tc>
          <w:tcPr>
            <w:tcW w:w="829" w:type="pct"/>
          </w:tcPr>
          <w:p w14:paraId="2E0130CF"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97.3</w:t>
            </w:r>
          </w:p>
        </w:tc>
        <w:tc>
          <w:tcPr>
            <w:tcW w:w="838" w:type="pct"/>
          </w:tcPr>
          <w:p w14:paraId="7EBA4CF0"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66.2</w:t>
            </w:r>
          </w:p>
        </w:tc>
        <w:tc>
          <w:tcPr>
            <w:tcW w:w="831" w:type="pct"/>
          </w:tcPr>
          <w:p w14:paraId="4C2687ED"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61.3</w:t>
            </w:r>
          </w:p>
        </w:tc>
        <w:tc>
          <w:tcPr>
            <w:tcW w:w="831" w:type="pct"/>
          </w:tcPr>
          <w:p w14:paraId="7D3968EF"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92.6</w:t>
            </w:r>
          </w:p>
        </w:tc>
      </w:tr>
      <w:tr w:rsidR="00DC5685" w:rsidRPr="00A34F10" w14:paraId="2149C3AC" w14:textId="77777777" w:rsidTr="000470C3">
        <w:trPr>
          <w:trHeight w:hRule="exact" w:val="331"/>
        </w:trPr>
        <w:tc>
          <w:tcPr>
            <w:tcW w:w="835" w:type="pct"/>
          </w:tcPr>
          <w:p w14:paraId="05712177"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8148</w:t>
            </w:r>
          </w:p>
        </w:tc>
        <w:tc>
          <w:tcPr>
            <w:tcW w:w="836" w:type="pct"/>
          </w:tcPr>
          <w:p w14:paraId="601D8807"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8436</w:t>
            </w:r>
          </w:p>
        </w:tc>
        <w:tc>
          <w:tcPr>
            <w:tcW w:w="829" w:type="pct"/>
          </w:tcPr>
          <w:p w14:paraId="67F85E6A"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color w:val="000000"/>
                <w:sz w:val="20"/>
                <w:szCs w:val="20"/>
              </w:rPr>
              <w:t>104</w:t>
            </w:r>
          </w:p>
        </w:tc>
        <w:tc>
          <w:tcPr>
            <w:tcW w:w="838" w:type="pct"/>
          </w:tcPr>
          <w:p w14:paraId="3E4AFB99"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2587</w:t>
            </w:r>
          </w:p>
        </w:tc>
        <w:tc>
          <w:tcPr>
            <w:tcW w:w="831" w:type="pct"/>
          </w:tcPr>
          <w:p w14:paraId="5DA2F66B"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2681</w:t>
            </w:r>
          </w:p>
        </w:tc>
        <w:tc>
          <w:tcPr>
            <w:tcW w:w="831" w:type="pct"/>
          </w:tcPr>
          <w:p w14:paraId="4FD45EE8"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104</w:t>
            </w:r>
          </w:p>
        </w:tc>
      </w:tr>
      <w:tr w:rsidR="00DC5685" w:rsidRPr="00A34F10" w14:paraId="1CA4C76A" w14:textId="77777777" w:rsidTr="000470C3">
        <w:trPr>
          <w:trHeight w:hRule="exact" w:val="331"/>
        </w:trPr>
        <w:tc>
          <w:tcPr>
            <w:tcW w:w="835" w:type="pct"/>
          </w:tcPr>
          <w:p w14:paraId="25E46BB6"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8148</w:t>
            </w:r>
          </w:p>
        </w:tc>
        <w:tc>
          <w:tcPr>
            <w:tcW w:w="836" w:type="pct"/>
          </w:tcPr>
          <w:p w14:paraId="4704F0DF"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8078</w:t>
            </w:r>
          </w:p>
        </w:tc>
        <w:tc>
          <w:tcPr>
            <w:tcW w:w="829" w:type="pct"/>
          </w:tcPr>
          <w:p w14:paraId="239966FE"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99.1</w:t>
            </w:r>
          </w:p>
        </w:tc>
        <w:tc>
          <w:tcPr>
            <w:tcW w:w="838" w:type="pct"/>
          </w:tcPr>
          <w:p w14:paraId="4F10D8CB"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2587</w:t>
            </w:r>
          </w:p>
        </w:tc>
        <w:tc>
          <w:tcPr>
            <w:tcW w:w="831" w:type="pct"/>
          </w:tcPr>
          <w:p w14:paraId="5459B844"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2648</w:t>
            </w:r>
          </w:p>
        </w:tc>
        <w:tc>
          <w:tcPr>
            <w:tcW w:w="831" w:type="pct"/>
          </w:tcPr>
          <w:p w14:paraId="10FEDE59" w14:textId="77777777" w:rsidR="00DC5685" w:rsidRPr="00A34F10" w:rsidRDefault="00DC5685" w:rsidP="00DC5685">
            <w:pPr>
              <w:keepNext/>
              <w:keepLines/>
              <w:kinsoku w:val="0"/>
              <w:overflowPunct w:val="0"/>
              <w:autoSpaceDE w:val="0"/>
              <w:autoSpaceDN w:val="0"/>
              <w:adjustRightInd w:val="0"/>
              <w:spacing w:line="228" w:lineRule="exact"/>
              <w:jc w:val="center"/>
              <w:rPr>
                <w:sz w:val="20"/>
                <w:szCs w:val="20"/>
              </w:rPr>
            </w:pPr>
            <w:r w:rsidRPr="00A34F10">
              <w:rPr>
                <w:sz w:val="20"/>
                <w:szCs w:val="20"/>
              </w:rPr>
              <w:t>102</w:t>
            </w:r>
          </w:p>
        </w:tc>
      </w:tr>
    </w:tbl>
    <w:p w14:paraId="7882E121" w14:textId="77777777" w:rsidR="00DC5685" w:rsidRPr="00A34F10" w:rsidRDefault="00DC5685" w:rsidP="00DC5685">
      <w:pPr>
        <w:keepNext/>
        <w:keepLines/>
        <w:widowControl w:val="0"/>
        <w:suppressAutoHyphens/>
        <w:jc w:val="both"/>
        <w:rPr>
          <w:lang w:val="en-GB"/>
        </w:rPr>
      </w:pPr>
    </w:p>
    <w:p w14:paraId="5003B4F6" w14:textId="77777777" w:rsidR="00DC5685" w:rsidRPr="00A34F10" w:rsidRDefault="00DC5685" w:rsidP="00DC5685">
      <w:pPr>
        <w:tabs>
          <w:tab w:val="left" w:pos="0"/>
        </w:tabs>
        <w:ind w:left="357" w:hanging="357"/>
        <w:contextualSpacing/>
        <w:rPr>
          <w:b/>
          <w:bCs/>
          <w:caps/>
          <w:szCs w:val="24"/>
          <w:highlight w:val="yellow"/>
          <w:lang w:val="en-GB"/>
        </w:rPr>
      </w:pPr>
    </w:p>
    <w:p w14:paraId="39421284"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C.</w:t>
      </w:r>
      <w:r w:rsidRPr="00A34F10">
        <w:rPr>
          <w:b/>
          <w:bCs/>
          <w:caps/>
          <w:szCs w:val="24"/>
          <w:lang w:val="en-GB"/>
        </w:rPr>
        <w:tab/>
        <w:t>Validity criteria</w:t>
      </w:r>
    </w:p>
    <w:p w14:paraId="36CD20EE" w14:textId="77777777" w:rsidR="00DC5685" w:rsidRPr="00A34F10" w:rsidRDefault="00DC5685" w:rsidP="00DC5685">
      <w:pPr>
        <w:tabs>
          <w:tab w:val="left" w:pos="0"/>
        </w:tabs>
        <w:ind w:left="357" w:hanging="357"/>
        <w:contextualSpacing/>
        <w:rPr>
          <w:b/>
          <w:bCs/>
          <w:caps/>
          <w:szCs w:val="24"/>
          <w:lang w:val="en-GB"/>
        </w:rPr>
      </w:pPr>
    </w:p>
    <w:p w14:paraId="76750F2B" w14:textId="26185806" w:rsidR="00DC5685" w:rsidRPr="00A34F10" w:rsidRDefault="00DC5685" w:rsidP="00DC5685">
      <w:pPr>
        <w:tabs>
          <w:tab w:val="left" w:pos="720"/>
        </w:tabs>
        <w:spacing w:after="240"/>
        <w:jc w:val="both"/>
        <w:rPr>
          <w:szCs w:val="24"/>
          <w:highlight w:val="yellow"/>
          <w:lang w:val="en-GB"/>
        </w:rPr>
      </w:pPr>
      <w:r w:rsidRPr="00A34F10">
        <w:rPr>
          <w:szCs w:val="24"/>
          <w:lang w:val="en-GB"/>
        </w:rPr>
        <w:t>All validity criteria were met (</w:t>
      </w:r>
      <w:r w:rsidR="00430E04">
        <w:rPr>
          <w:szCs w:val="24"/>
          <w:lang w:val="en-GB"/>
        </w:rPr>
        <w:fldChar w:fldCharType="begin"/>
      </w:r>
      <w:r w:rsidR="00430E04">
        <w:rPr>
          <w:szCs w:val="24"/>
          <w:lang w:val="en-GB"/>
        </w:rPr>
        <w:instrText xml:space="preserve"> REF _Ref147909256 \h </w:instrText>
      </w:r>
      <w:r w:rsidR="00430E04">
        <w:rPr>
          <w:szCs w:val="24"/>
          <w:lang w:val="en-GB"/>
        </w:rPr>
      </w:r>
      <w:r w:rsidR="00430E04">
        <w:rPr>
          <w:szCs w:val="24"/>
          <w:lang w:val="en-GB"/>
        </w:rPr>
        <w:fldChar w:fldCharType="separate"/>
      </w:r>
      <w:r w:rsidR="006F0F3B">
        <w:t xml:space="preserve">Table A </w:t>
      </w:r>
      <w:r w:rsidR="006F0F3B">
        <w:rPr>
          <w:noProof/>
        </w:rPr>
        <w:t>52</w:t>
      </w:r>
      <w:r w:rsidR="00430E04">
        <w:rPr>
          <w:szCs w:val="24"/>
          <w:lang w:val="en-GB"/>
        </w:rPr>
        <w:fldChar w:fldCharType="end"/>
      </w:r>
      <w:r w:rsidRPr="00A34F10">
        <w:rPr>
          <w:szCs w:val="24"/>
          <w:lang w:val="en-GB"/>
        </w:rPr>
        <w:t>).</w:t>
      </w:r>
    </w:p>
    <w:p w14:paraId="03D3D41E" w14:textId="035C427A" w:rsidR="00DC5685" w:rsidRPr="00A34F10" w:rsidRDefault="00430E04" w:rsidP="00430E04">
      <w:pPr>
        <w:pStyle w:val="Legenda"/>
        <w:rPr>
          <w:szCs w:val="28"/>
        </w:rPr>
      </w:pPr>
      <w:bookmarkStart w:id="1111" w:name="_Ref147909256"/>
      <w:r>
        <w:t xml:space="preserve">Table A </w:t>
      </w:r>
      <w:r>
        <w:fldChar w:fldCharType="begin"/>
      </w:r>
      <w:r>
        <w:instrText xml:space="preserve"> SEQ Table_A \* ARABIC </w:instrText>
      </w:r>
      <w:r>
        <w:fldChar w:fldCharType="separate"/>
      </w:r>
      <w:r w:rsidR="006F0F3B">
        <w:rPr>
          <w:noProof/>
        </w:rPr>
        <w:t>52</w:t>
      </w:r>
      <w:r>
        <w:fldChar w:fldCharType="end"/>
      </w:r>
      <w:bookmarkEnd w:id="1111"/>
      <w:r w:rsidR="00DC5685" w:rsidRPr="00A34F10">
        <w:rPr>
          <w:szCs w:val="28"/>
        </w:rPr>
        <w:t>: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2"/>
        <w:gridCol w:w="2652"/>
      </w:tblGrid>
      <w:tr w:rsidR="00DC5685" w:rsidRPr="00A34F10" w14:paraId="1284AEA8" w14:textId="77777777" w:rsidTr="000470C3">
        <w:trPr>
          <w:trHeight w:val="270"/>
          <w:tblHeader/>
        </w:trPr>
        <w:tc>
          <w:tcPr>
            <w:tcW w:w="3523" w:type="pct"/>
            <w:shd w:val="clear" w:color="auto" w:fill="auto"/>
            <w:noWrap/>
            <w:vAlign w:val="center"/>
          </w:tcPr>
          <w:p w14:paraId="707D4129"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 xml:space="preserve">Validity criteria according to the study plan </w:t>
            </w:r>
          </w:p>
        </w:tc>
        <w:tc>
          <w:tcPr>
            <w:tcW w:w="1477" w:type="pct"/>
            <w:shd w:val="clear" w:color="auto" w:fill="auto"/>
            <w:noWrap/>
            <w:vAlign w:val="center"/>
          </w:tcPr>
          <w:p w14:paraId="1039BFED"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6D091C99" w14:textId="77777777" w:rsidTr="000470C3">
        <w:trPr>
          <w:trHeight w:val="270"/>
        </w:trPr>
        <w:tc>
          <w:tcPr>
            <w:tcW w:w="3523" w:type="pct"/>
            <w:shd w:val="clear" w:color="auto" w:fill="auto"/>
            <w:noWrap/>
            <w:vAlign w:val="center"/>
          </w:tcPr>
          <w:p w14:paraId="072D286B"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mean mortality should be ≤15% after 10 days exposure</w:t>
            </w:r>
          </w:p>
        </w:tc>
        <w:tc>
          <w:tcPr>
            <w:tcW w:w="1477" w:type="pct"/>
            <w:shd w:val="clear" w:color="auto" w:fill="auto"/>
            <w:noWrap/>
            <w:vAlign w:val="center"/>
          </w:tcPr>
          <w:p w14:paraId="6A744BFD"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 xml:space="preserve">3.3% (blank control) </w:t>
            </w:r>
          </w:p>
          <w:p w14:paraId="0A940ED1"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0.0% (viscosifier control)</w:t>
            </w:r>
          </w:p>
        </w:tc>
      </w:tr>
      <w:tr w:rsidR="00DC5685" w:rsidRPr="00A34F10" w14:paraId="3372FF99" w14:textId="77777777" w:rsidTr="000470C3">
        <w:trPr>
          <w:trHeight w:val="270"/>
        </w:trPr>
        <w:tc>
          <w:tcPr>
            <w:tcW w:w="3523" w:type="pct"/>
            <w:shd w:val="clear" w:color="auto" w:fill="auto"/>
            <w:noWrap/>
            <w:vAlign w:val="center"/>
          </w:tcPr>
          <w:p w14:paraId="119B0E06"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toxic reference test, mean mortality should be ≥50% after 10 days exposure</w:t>
            </w:r>
          </w:p>
        </w:tc>
        <w:tc>
          <w:tcPr>
            <w:tcW w:w="1477" w:type="pct"/>
            <w:shd w:val="clear" w:color="auto" w:fill="auto"/>
            <w:noWrap/>
            <w:vAlign w:val="center"/>
          </w:tcPr>
          <w:p w14:paraId="0475BA26"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76.7%</w:t>
            </w:r>
          </w:p>
        </w:tc>
      </w:tr>
    </w:tbl>
    <w:p w14:paraId="5DC46879" w14:textId="77777777" w:rsidR="00DC5685" w:rsidRPr="00A34F10" w:rsidRDefault="00DC5685" w:rsidP="00DC5685">
      <w:pPr>
        <w:tabs>
          <w:tab w:val="left" w:pos="0"/>
        </w:tabs>
        <w:ind w:left="357" w:hanging="357"/>
        <w:contextualSpacing/>
        <w:rPr>
          <w:b/>
          <w:bCs/>
          <w:caps/>
          <w:szCs w:val="24"/>
          <w:highlight w:val="yellow"/>
          <w:lang w:val="en-GB"/>
        </w:rPr>
      </w:pPr>
    </w:p>
    <w:p w14:paraId="52E8C645"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D.</w:t>
      </w:r>
      <w:r w:rsidRPr="00A34F10">
        <w:rPr>
          <w:b/>
          <w:bCs/>
          <w:caps/>
          <w:szCs w:val="24"/>
          <w:lang w:val="en-GB"/>
        </w:rPr>
        <w:tab/>
        <w:t>Deficiencies</w:t>
      </w:r>
    </w:p>
    <w:p w14:paraId="470B1683" w14:textId="77777777" w:rsidR="00DC5685" w:rsidRPr="00A34F10" w:rsidRDefault="00DC5685" w:rsidP="00DC5685">
      <w:pPr>
        <w:tabs>
          <w:tab w:val="left" w:pos="0"/>
        </w:tabs>
        <w:ind w:left="357" w:hanging="357"/>
        <w:contextualSpacing/>
        <w:rPr>
          <w:b/>
          <w:bCs/>
          <w:caps/>
          <w:szCs w:val="24"/>
          <w:lang w:val="en-GB"/>
        </w:rPr>
      </w:pPr>
    </w:p>
    <w:p w14:paraId="0F6B8A71" w14:textId="77777777" w:rsidR="00DC5685" w:rsidRPr="00A34F10" w:rsidRDefault="00DC5685" w:rsidP="00DC5685">
      <w:pPr>
        <w:tabs>
          <w:tab w:val="left" w:pos="720"/>
        </w:tabs>
        <w:spacing w:after="240"/>
        <w:jc w:val="both"/>
        <w:rPr>
          <w:szCs w:val="24"/>
          <w:lang w:val="en-GB"/>
        </w:rPr>
      </w:pPr>
      <w:r w:rsidRPr="00A34F10">
        <w:rPr>
          <w:szCs w:val="24"/>
          <w:lang w:val="en-GB"/>
        </w:rPr>
        <w:t>None</w:t>
      </w:r>
    </w:p>
    <w:p w14:paraId="2BAAC547" w14:textId="77777777" w:rsidR="00DC5685" w:rsidRPr="00A34F10" w:rsidRDefault="00DC5685" w:rsidP="00DC5685">
      <w:pPr>
        <w:keepNext/>
        <w:keepLines/>
        <w:tabs>
          <w:tab w:val="left" w:pos="720"/>
        </w:tabs>
        <w:spacing w:after="240"/>
        <w:ind w:left="720" w:hanging="431"/>
        <w:jc w:val="center"/>
        <w:rPr>
          <w:b/>
          <w:bCs/>
          <w:szCs w:val="24"/>
          <w:lang w:val="en-GB"/>
        </w:rPr>
      </w:pPr>
      <w:r w:rsidRPr="00A34F10">
        <w:rPr>
          <w:b/>
          <w:bCs/>
          <w:szCs w:val="24"/>
          <w:lang w:val="en-GB"/>
        </w:rPr>
        <w:t>III.</w:t>
      </w:r>
      <w:r w:rsidRPr="00A34F10">
        <w:rPr>
          <w:b/>
          <w:bCs/>
          <w:szCs w:val="24"/>
          <w:lang w:val="en-GB"/>
        </w:rPr>
        <w:tab/>
        <w:t>CONCLUSION</w:t>
      </w:r>
    </w:p>
    <w:p w14:paraId="4FC16EE3" w14:textId="67FE992A" w:rsidR="00070CEC" w:rsidRDefault="00DC5685" w:rsidP="008D2927">
      <w:pPr>
        <w:widowControl w:val="0"/>
        <w:jc w:val="both"/>
      </w:pPr>
      <w:r w:rsidRPr="00A34F10">
        <w:t>The chronic oral toxicity of BAS 743 02 F to young adult honeybees (</w:t>
      </w:r>
      <w:r w:rsidRPr="00A34F10">
        <w:rPr>
          <w:i/>
          <w:iCs/>
        </w:rPr>
        <w:t>Apis mellifera</w:t>
      </w:r>
      <w:r w:rsidRPr="00A34F10">
        <w:t xml:space="preserve"> L.) was investigated in a 10-day chronic dose-response feeding study under laboratory conditions. The LDD</w:t>
      </w:r>
      <w:r w:rsidRPr="00A34F10">
        <w:rPr>
          <w:vertAlign w:val="subscript"/>
        </w:rPr>
        <w:t>50</w:t>
      </w:r>
      <w:r w:rsidRPr="00A34F10">
        <w:t xml:space="preserve"> was determined to be 78.6 µg consumed product/bee/day. The corresponding LC</w:t>
      </w:r>
      <w:r w:rsidRPr="00A34F10">
        <w:rPr>
          <w:vertAlign w:val="subscript"/>
        </w:rPr>
        <w:t>50</w:t>
      </w:r>
      <w:r w:rsidRPr="00A34F10">
        <w:t xml:space="preserve"> was determined to be 5.394 g product/kg food. The NOEDD was determined to be 41.7 µg consumed product/bee/day. The corresponding NOEC was determined to be 1.304 g product/kg food.</w:t>
      </w:r>
      <w:r w:rsidR="00070CEC">
        <w:br w:type="page"/>
      </w:r>
    </w:p>
    <w:p w14:paraId="7718CFB0" w14:textId="0DE4983D" w:rsidR="00067435" w:rsidRDefault="00067435" w:rsidP="00DC5685">
      <w:pPr>
        <w:widowControl w:val="0"/>
        <w:jc w:val="both"/>
      </w:pPr>
    </w:p>
    <w:p w14:paraId="63DAD8C1" w14:textId="6EB86B0D" w:rsidR="00067435" w:rsidRDefault="00067435" w:rsidP="00067435">
      <w:pPr>
        <w:pStyle w:val="RepAppendix5"/>
        <w:outlineLvl w:val="2"/>
      </w:pPr>
      <w:r w:rsidRPr="008848C3">
        <w:t xml:space="preserve">Study </w:t>
      </w:r>
      <w:r>
        <w:t>3</w:t>
      </w:r>
    </w:p>
    <w:p w14:paraId="33EFB262" w14:textId="62F546F1" w:rsidR="00070CEC" w:rsidRDefault="00D007AB" w:rsidP="00070CEC">
      <w:pPr>
        <w:pStyle w:val="RepStandard"/>
      </w:pPr>
      <w:r>
        <w:t>XXXX</w:t>
      </w:r>
      <w:r w:rsidR="00070CEC" w:rsidRPr="00070CEC">
        <w:t xml:space="preserve"> have a Letter of Access allowing them to rely on this study</w:t>
      </w:r>
    </w:p>
    <w:p w14:paraId="2E429569" w14:textId="77777777" w:rsidR="00070CEC" w:rsidRPr="00070CEC" w:rsidRDefault="00070CEC" w:rsidP="00070CEC">
      <w:pPr>
        <w:pStyle w:val="RepStandard"/>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067435" w:rsidRPr="003C20AD" w14:paraId="6ED25300" w14:textId="77777777" w:rsidTr="008D2927">
        <w:trPr>
          <w:trHeight w:val="379"/>
        </w:trPr>
        <w:tc>
          <w:tcPr>
            <w:tcW w:w="1063" w:type="pct"/>
            <w:shd w:val="clear" w:color="auto" w:fill="D9D9D9" w:themeFill="background1" w:themeFillShade="D9"/>
          </w:tcPr>
          <w:p w14:paraId="5DBA6344" w14:textId="77777777" w:rsidR="00067435" w:rsidRPr="0074022D" w:rsidRDefault="00067435" w:rsidP="00026175">
            <w:pPr>
              <w:widowControl w:val="0"/>
              <w:jc w:val="both"/>
              <w:rPr>
                <w:rFonts w:eastAsia="Batang"/>
                <w:lang w:val="en-GB"/>
              </w:rPr>
            </w:pPr>
            <w:r w:rsidRPr="0074022D">
              <w:rPr>
                <w:lang w:val="en-GB"/>
              </w:rPr>
              <w:t>Comments of zRMS:</w:t>
            </w:r>
          </w:p>
        </w:tc>
        <w:tc>
          <w:tcPr>
            <w:tcW w:w="3937" w:type="pct"/>
            <w:shd w:val="clear" w:color="auto" w:fill="D9D9D9" w:themeFill="background1" w:themeFillShade="D9"/>
          </w:tcPr>
          <w:p w14:paraId="527F0AE8" w14:textId="262CB02E" w:rsidR="00067435" w:rsidRPr="0074022D" w:rsidRDefault="00CB0DCB" w:rsidP="00026175">
            <w:pPr>
              <w:widowControl w:val="0"/>
              <w:ind w:left="85"/>
              <w:jc w:val="both"/>
              <w:rPr>
                <w:rFonts w:eastAsia="Batang"/>
                <w:lang w:val="en-GB"/>
              </w:rPr>
            </w:pPr>
            <w:r>
              <w:rPr>
                <w:lang w:val="en-GB"/>
              </w:rPr>
              <w:t xml:space="preserve">Study not evaluated. </w:t>
            </w:r>
            <w:r w:rsidR="00067435" w:rsidRPr="0074022D">
              <w:rPr>
                <w:lang w:val="en-GB"/>
              </w:rPr>
              <w:fldChar w:fldCharType="begin"/>
            </w:r>
            <w:r w:rsidR="00067435" w:rsidRPr="0074022D">
              <w:rPr>
                <w:lang w:val="en-GB"/>
              </w:rPr>
              <w:instrText xml:space="preserve"> FORMTEXT </w:instrText>
            </w:r>
            <w:r w:rsidR="00067435" w:rsidRPr="0074022D">
              <w:rPr>
                <w:lang w:val="en-GB"/>
              </w:rPr>
              <w:fldChar w:fldCharType="separate"/>
            </w:r>
            <w:r w:rsidR="00067435" w:rsidRPr="0074022D">
              <w:rPr>
                <w:lang w:val="en-GB"/>
              </w:rPr>
              <w:fldChar w:fldCharType="end"/>
            </w:r>
          </w:p>
        </w:tc>
      </w:tr>
    </w:tbl>
    <w:p w14:paraId="15C71659" w14:textId="77777777" w:rsidR="00067435" w:rsidRDefault="00067435" w:rsidP="00067435">
      <w:pPr>
        <w:rPr>
          <w:highlight w:val="yellow"/>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067435" w:rsidRPr="008848C3" w14:paraId="1007F5C7" w14:textId="77777777" w:rsidTr="00026175">
        <w:trPr>
          <w:trHeight w:val="170"/>
          <w:jc w:val="center"/>
        </w:trPr>
        <w:tc>
          <w:tcPr>
            <w:tcW w:w="1288" w:type="pct"/>
          </w:tcPr>
          <w:p w14:paraId="11B104D0" w14:textId="77777777" w:rsidR="00067435" w:rsidRPr="00050AA0" w:rsidRDefault="00067435" w:rsidP="00026175">
            <w:pPr>
              <w:widowControl w:val="0"/>
              <w:spacing w:after="120"/>
              <w:jc w:val="both"/>
            </w:pPr>
            <w:r w:rsidRPr="00050AA0">
              <w:t xml:space="preserve">Data point: </w:t>
            </w:r>
          </w:p>
        </w:tc>
        <w:tc>
          <w:tcPr>
            <w:tcW w:w="3712" w:type="pct"/>
          </w:tcPr>
          <w:p w14:paraId="4F12670B" w14:textId="6F590202" w:rsidR="00067435" w:rsidRPr="00050AA0" w:rsidRDefault="00492133" w:rsidP="00026175">
            <w:pPr>
              <w:widowControl w:val="0"/>
              <w:spacing w:after="120"/>
              <w:jc w:val="both"/>
            </w:pPr>
            <w:r>
              <w:t>None</w:t>
            </w:r>
          </w:p>
        </w:tc>
      </w:tr>
      <w:tr w:rsidR="00067435" w:rsidRPr="00513CA4" w14:paraId="666A6DB1" w14:textId="77777777" w:rsidTr="00026175">
        <w:trPr>
          <w:trHeight w:val="298"/>
          <w:jc w:val="center"/>
        </w:trPr>
        <w:tc>
          <w:tcPr>
            <w:tcW w:w="1288" w:type="pct"/>
          </w:tcPr>
          <w:p w14:paraId="1C6C9289" w14:textId="77777777" w:rsidR="00067435" w:rsidRPr="00050AA0" w:rsidRDefault="00067435" w:rsidP="00026175">
            <w:pPr>
              <w:widowControl w:val="0"/>
              <w:spacing w:after="120"/>
              <w:jc w:val="both"/>
            </w:pPr>
            <w:r w:rsidRPr="00050AA0">
              <w:t xml:space="preserve">Report </w:t>
            </w:r>
          </w:p>
        </w:tc>
        <w:tc>
          <w:tcPr>
            <w:tcW w:w="3712" w:type="pct"/>
          </w:tcPr>
          <w:p w14:paraId="0C3E50F0" w14:textId="77777777" w:rsidR="00067435" w:rsidRPr="00EE3426" w:rsidRDefault="00067435" w:rsidP="00026175">
            <w:pPr>
              <w:widowControl w:val="0"/>
              <w:spacing w:before="60" w:after="120"/>
              <w:jc w:val="both"/>
              <w:rPr>
                <w:lang w:val="en-GB"/>
              </w:rPr>
            </w:pPr>
            <w:r w:rsidRPr="00EE3426">
              <w:rPr>
                <w:lang w:val="en-GB"/>
              </w:rPr>
              <w:t xml:space="preserve">Propamocarb-HCL SL 722 - Assessment of Effects on the Adult Honey Bee, </w:t>
            </w:r>
            <w:r w:rsidRPr="00EE3426">
              <w:rPr>
                <w:i/>
                <w:iCs/>
                <w:lang w:val="en-GB"/>
              </w:rPr>
              <w:t>Apis mellifera</w:t>
            </w:r>
            <w:r w:rsidRPr="00EE3426">
              <w:rPr>
                <w:lang w:val="en-GB"/>
              </w:rPr>
              <w:t xml:space="preserve"> L., in a 10 Days Chronic Feeding Test under Laboratory Conditions</w:t>
            </w:r>
          </w:p>
          <w:p w14:paraId="4DB3BF62" w14:textId="77777777" w:rsidR="00067435" w:rsidRPr="00EE3426" w:rsidRDefault="00067435" w:rsidP="00026175">
            <w:pPr>
              <w:widowControl w:val="0"/>
              <w:spacing w:before="60" w:after="120"/>
              <w:jc w:val="both"/>
              <w:rPr>
                <w:lang w:val="en-GB"/>
              </w:rPr>
            </w:pPr>
            <w:r w:rsidRPr="00EE3426">
              <w:rPr>
                <w:lang w:val="en-GB"/>
              </w:rPr>
              <w:t>Pfeiffer, S., 2015</w:t>
            </w:r>
          </w:p>
          <w:p w14:paraId="42EBAD76" w14:textId="05655B5B" w:rsidR="00067435" w:rsidRPr="00050AA0" w:rsidRDefault="00067435" w:rsidP="00492133">
            <w:pPr>
              <w:widowControl w:val="0"/>
              <w:spacing w:before="60" w:after="120"/>
              <w:jc w:val="both"/>
              <w:rPr>
                <w:lang w:val="en-GB"/>
              </w:rPr>
            </w:pPr>
            <w:r w:rsidRPr="00EE3426">
              <w:rPr>
                <w:lang w:val="en-GB"/>
              </w:rPr>
              <w:t>Study number S14-00178</w:t>
            </w:r>
          </w:p>
        </w:tc>
      </w:tr>
      <w:tr w:rsidR="00067435" w:rsidRPr="00EE3426" w14:paraId="0677AC95" w14:textId="77777777" w:rsidTr="00026175">
        <w:trPr>
          <w:trHeight w:val="170"/>
          <w:jc w:val="center"/>
        </w:trPr>
        <w:tc>
          <w:tcPr>
            <w:tcW w:w="1288" w:type="pct"/>
          </w:tcPr>
          <w:p w14:paraId="1BFF19BC" w14:textId="77777777" w:rsidR="00067435" w:rsidRPr="00050AA0" w:rsidRDefault="00067435" w:rsidP="00026175">
            <w:pPr>
              <w:widowControl w:val="0"/>
              <w:spacing w:after="120"/>
              <w:jc w:val="both"/>
            </w:pPr>
            <w:r w:rsidRPr="00050AA0">
              <w:t>Guideline(s):</w:t>
            </w:r>
          </w:p>
        </w:tc>
        <w:tc>
          <w:tcPr>
            <w:tcW w:w="3712" w:type="pct"/>
          </w:tcPr>
          <w:p w14:paraId="248B137F" w14:textId="77777777" w:rsidR="00067435" w:rsidRPr="00EE3426" w:rsidRDefault="00067435" w:rsidP="00026175">
            <w:pPr>
              <w:widowControl w:val="0"/>
              <w:spacing w:after="120"/>
              <w:jc w:val="both"/>
              <w:rPr>
                <w:lang w:val="en-GB"/>
              </w:rPr>
            </w:pPr>
            <w:r w:rsidRPr="00EE3426">
              <w:rPr>
                <w:lang w:val="en-GB"/>
              </w:rPr>
              <w:t>no specific guideline available. Based on OECD Guideline No. 213 (1998), CEB No. 230 (2012) and OECD Guideline Proposal (2013)</w:t>
            </w:r>
          </w:p>
        </w:tc>
      </w:tr>
      <w:tr w:rsidR="00067435" w:rsidRPr="008848C3" w14:paraId="079ABBA3" w14:textId="77777777" w:rsidTr="00026175">
        <w:trPr>
          <w:trHeight w:val="170"/>
          <w:jc w:val="center"/>
        </w:trPr>
        <w:tc>
          <w:tcPr>
            <w:tcW w:w="1288" w:type="pct"/>
          </w:tcPr>
          <w:p w14:paraId="38248182" w14:textId="77777777" w:rsidR="00067435" w:rsidRPr="00050AA0" w:rsidRDefault="00067435" w:rsidP="00026175">
            <w:pPr>
              <w:widowControl w:val="0"/>
              <w:spacing w:after="120"/>
              <w:jc w:val="both"/>
            </w:pPr>
            <w:r w:rsidRPr="00050AA0">
              <w:t>Deviations:</w:t>
            </w:r>
          </w:p>
        </w:tc>
        <w:tc>
          <w:tcPr>
            <w:tcW w:w="3712" w:type="pct"/>
          </w:tcPr>
          <w:p w14:paraId="6B892699" w14:textId="77777777" w:rsidR="00067435" w:rsidRPr="00050AA0" w:rsidRDefault="00067435" w:rsidP="00026175">
            <w:pPr>
              <w:widowControl w:val="0"/>
              <w:spacing w:after="120"/>
              <w:jc w:val="both"/>
            </w:pPr>
            <w:r w:rsidRPr="00050AA0">
              <w:t xml:space="preserve">No </w:t>
            </w:r>
          </w:p>
        </w:tc>
      </w:tr>
      <w:tr w:rsidR="00067435" w:rsidRPr="00902592" w14:paraId="7940B802" w14:textId="77777777" w:rsidTr="00026175">
        <w:trPr>
          <w:trHeight w:val="170"/>
          <w:jc w:val="center"/>
        </w:trPr>
        <w:tc>
          <w:tcPr>
            <w:tcW w:w="1288" w:type="pct"/>
          </w:tcPr>
          <w:p w14:paraId="561D2006" w14:textId="77777777" w:rsidR="00067435" w:rsidRPr="00050AA0" w:rsidRDefault="00067435" w:rsidP="00026175">
            <w:pPr>
              <w:widowControl w:val="0"/>
              <w:spacing w:after="120"/>
              <w:jc w:val="both"/>
            </w:pPr>
            <w:r w:rsidRPr="00050AA0">
              <w:t>GLP:</w:t>
            </w:r>
          </w:p>
        </w:tc>
        <w:tc>
          <w:tcPr>
            <w:tcW w:w="3712" w:type="pct"/>
          </w:tcPr>
          <w:p w14:paraId="36626EC8" w14:textId="77777777" w:rsidR="00067435" w:rsidRPr="00067435" w:rsidRDefault="00067435" w:rsidP="00026175">
            <w:pPr>
              <w:widowControl w:val="0"/>
              <w:spacing w:after="120"/>
              <w:jc w:val="both"/>
              <w:rPr>
                <w:lang w:val="de-DE"/>
              </w:rPr>
            </w:pPr>
            <w:r w:rsidRPr="00067435">
              <w:rPr>
                <w:lang w:val="de-DE"/>
              </w:rPr>
              <w:t>Yes (certified by Saechsisches Staatsministerium fuer Umwelt und Landwirtschaft, Dresden, Germany)</w:t>
            </w:r>
          </w:p>
        </w:tc>
      </w:tr>
      <w:tr w:rsidR="00067435" w:rsidRPr="008848C3" w14:paraId="30323137" w14:textId="77777777" w:rsidTr="00026175">
        <w:trPr>
          <w:trHeight w:val="170"/>
          <w:jc w:val="center"/>
        </w:trPr>
        <w:tc>
          <w:tcPr>
            <w:tcW w:w="1288" w:type="pct"/>
          </w:tcPr>
          <w:p w14:paraId="42E01E43" w14:textId="77777777" w:rsidR="00067435" w:rsidRPr="00050AA0" w:rsidRDefault="00067435" w:rsidP="00026175">
            <w:pPr>
              <w:widowControl w:val="0"/>
              <w:spacing w:after="120"/>
              <w:jc w:val="both"/>
            </w:pPr>
            <w:r w:rsidRPr="00050AA0">
              <w:t>Acceptability:</w:t>
            </w:r>
          </w:p>
        </w:tc>
        <w:tc>
          <w:tcPr>
            <w:tcW w:w="3712" w:type="pct"/>
          </w:tcPr>
          <w:p w14:paraId="2AF5BBCB" w14:textId="77777777" w:rsidR="00067435" w:rsidRPr="00050AA0" w:rsidRDefault="00067435" w:rsidP="00026175">
            <w:pPr>
              <w:widowControl w:val="0"/>
              <w:spacing w:after="120"/>
              <w:jc w:val="both"/>
            </w:pPr>
            <w:r w:rsidRPr="00050AA0">
              <w:t>Yes</w:t>
            </w:r>
          </w:p>
        </w:tc>
      </w:tr>
    </w:tbl>
    <w:p w14:paraId="1096D5FD" w14:textId="77777777" w:rsidR="00067435" w:rsidRPr="003C20AD" w:rsidRDefault="00067435" w:rsidP="00067435">
      <w:pPr>
        <w:rPr>
          <w:b/>
          <w:szCs w:val="32"/>
          <w:highlight w:val="yellow"/>
          <w:lang w:val="en-GB"/>
        </w:rPr>
      </w:pPr>
    </w:p>
    <w:p w14:paraId="059BF792" w14:textId="77777777" w:rsidR="00067435" w:rsidRPr="0074022D" w:rsidRDefault="00067435" w:rsidP="00067435">
      <w:pPr>
        <w:rPr>
          <w:b/>
          <w:szCs w:val="32"/>
          <w:lang w:val="en-GB"/>
        </w:rPr>
      </w:pPr>
      <w:r w:rsidRPr="0074022D">
        <w:rPr>
          <w:b/>
          <w:szCs w:val="32"/>
          <w:lang w:val="en-GB"/>
        </w:rPr>
        <w:t>Executive Summary</w:t>
      </w:r>
    </w:p>
    <w:p w14:paraId="4B755968" w14:textId="77777777" w:rsidR="00067435" w:rsidRPr="00EE3426" w:rsidRDefault="00067435" w:rsidP="00067435">
      <w:pPr>
        <w:widowControl w:val="0"/>
        <w:tabs>
          <w:tab w:val="left" w:pos="1134"/>
          <w:tab w:val="right" w:pos="8222"/>
        </w:tabs>
        <w:suppressAutoHyphens/>
        <w:jc w:val="both"/>
        <w:rPr>
          <w:snapToGrid w:val="0"/>
          <w:lang w:val="en-GB"/>
        </w:rPr>
      </w:pPr>
      <w:r w:rsidRPr="00EE3426">
        <w:rPr>
          <w:snapToGrid w:val="0"/>
          <w:lang w:val="en-GB"/>
        </w:rPr>
        <w:t>In a 10-day chronic toxicity feeding test, max. 4-day old worker honeybees (</w:t>
      </w:r>
      <w:r w:rsidRPr="00EE3426">
        <w:rPr>
          <w:i/>
          <w:snapToGrid w:val="0"/>
          <w:lang w:val="en-GB"/>
        </w:rPr>
        <w:t xml:space="preserve">Apis mellifera </w:t>
      </w:r>
      <w:r w:rsidRPr="00EE3426">
        <w:rPr>
          <w:snapToGrid w:val="0"/>
          <w:lang w:val="en-GB"/>
        </w:rPr>
        <w:t>L.) were exposed to Propamocarb-HCL SL 722. The toxicity of the test item was determined at 187.5, 375, 750, 1500 and 3000 mg propamocarb-hydrochloride/kg feeding solution corresponding to test concentrations of 7.13, 13.6, 27.7, 52.9 and 85.7 µg a.s./bee/day. Additionally, honeybees were treated with dimethoate as reference item or with an untreated control.</w:t>
      </w:r>
    </w:p>
    <w:p w14:paraId="6FF3BB8D" w14:textId="77777777" w:rsidR="00067435" w:rsidRPr="00EE3426" w:rsidRDefault="00067435" w:rsidP="00067435">
      <w:pPr>
        <w:widowControl w:val="0"/>
        <w:tabs>
          <w:tab w:val="left" w:pos="1134"/>
          <w:tab w:val="right" w:pos="8222"/>
        </w:tabs>
        <w:suppressAutoHyphens/>
        <w:jc w:val="both"/>
        <w:rPr>
          <w:snapToGrid w:val="0"/>
          <w:highlight w:val="yellow"/>
          <w:lang w:val="en-GB"/>
        </w:rPr>
      </w:pPr>
    </w:p>
    <w:p w14:paraId="746F0914" w14:textId="77777777" w:rsidR="00067435" w:rsidRPr="00EE3426" w:rsidRDefault="00067435" w:rsidP="00067435">
      <w:pPr>
        <w:widowControl w:val="0"/>
        <w:suppressAutoHyphens/>
        <w:jc w:val="both"/>
        <w:rPr>
          <w:lang w:val="en-GB"/>
        </w:rPr>
      </w:pPr>
      <w:r w:rsidRPr="00EE3426">
        <w:rPr>
          <w:lang w:val="en-GB"/>
        </w:rPr>
        <w:t>In the chronic toxicity feeding test, the control group showed a mean mortality of 2.5% after 10 days of testing. The cumulative mortality at the concentration levels of 187.5, 375, 750, 1500 and 3000 mg product/kg feeding solution was 2.5, 0.0, 5.0, 0.0 and 7.5 %, respectively (corrected: 0.0, -2.6, 2.6, -2.6 and 5.1 %, respectively) at the final assessment. No significant differences were found.</w:t>
      </w:r>
    </w:p>
    <w:p w14:paraId="62BC4404" w14:textId="77777777" w:rsidR="00067435" w:rsidRPr="003C20AD" w:rsidRDefault="00067435" w:rsidP="00067435">
      <w:pPr>
        <w:widowControl w:val="0"/>
        <w:suppressAutoHyphens/>
        <w:jc w:val="both"/>
        <w:rPr>
          <w:highlight w:val="yellow"/>
          <w:lang w:val="en-GB"/>
        </w:rPr>
      </w:pPr>
    </w:p>
    <w:p w14:paraId="6B8A421D" w14:textId="77777777" w:rsidR="00067435" w:rsidRPr="00EE3426" w:rsidRDefault="00067435" w:rsidP="00067435">
      <w:pPr>
        <w:widowControl w:val="0"/>
        <w:tabs>
          <w:tab w:val="left" w:pos="1134"/>
          <w:tab w:val="right" w:pos="8222"/>
        </w:tabs>
        <w:suppressAutoHyphens/>
        <w:spacing w:line="-240" w:lineRule="auto"/>
        <w:jc w:val="both"/>
        <w:rPr>
          <w:lang w:val="en-GB"/>
        </w:rPr>
      </w:pPr>
      <w:r w:rsidRPr="00EE3426">
        <w:rPr>
          <w:lang w:val="en-GB"/>
        </w:rPr>
        <w:t>In the control group and in the test item treatment group at the concentration levels of 375, 750 and 1500 mg product/kg feeding solution, no sub-lethal effects could be observed. At the concentration levels of 187.5 and 3000 mg product/kg feeding solution only one and two affected bees, respectively could be observed. The overall mean daily consumption of feeding solution (i.e. the average consumption/bee over 10 days) at the concentration levels of 187.5, 375, 750 and 1500 mg product/kg feeding solution was not statistically significantly different (lower) when compared to the untreated control group (38.0, 36.2, 36.9, and 35.3 mg/bee/day at 187.5, 375, 750, and 1500 mg product/kg feeding solution, respectively compared to 39.4 mg/bee/day in the control group. At the concentration level of 3000 mg product/kg feeding solution, the overall mean daily consumption of feeding solution was statistically significantly lower when compared to the untreated control group (28.6 mg/bee/day at 3000 mg product/kg feeding solution compared to 39.4 mg/bee/day in the control group).</w:t>
      </w:r>
    </w:p>
    <w:p w14:paraId="2F5F39E6" w14:textId="77777777" w:rsidR="00067435" w:rsidRPr="00EE3426" w:rsidRDefault="00067435" w:rsidP="00067435">
      <w:pPr>
        <w:widowControl w:val="0"/>
        <w:tabs>
          <w:tab w:val="left" w:pos="1134"/>
          <w:tab w:val="right" w:pos="8222"/>
        </w:tabs>
        <w:suppressAutoHyphens/>
        <w:spacing w:line="-240" w:lineRule="auto"/>
        <w:jc w:val="both"/>
        <w:rPr>
          <w:lang w:val="en-GB"/>
        </w:rPr>
      </w:pPr>
    </w:p>
    <w:p w14:paraId="42BCDA9E" w14:textId="77777777" w:rsidR="00067435" w:rsidRPr="00EE3426" w:rsidRDefault="00067435" w:rsidP="00067435">
      <w:pPr>
        <w:tabs>
          <w:tab w:val="left" w:pos="720"/>
        </w:tabs>
        <w:jc w:val="both"/>
        <w:rPr>
          <w:lang w:val="en-GB"/>
        </w:rPr>
      </w:pPr>
      <w:r w:rsidRPr="00EE3426">
        <w:rPr>
          <w:lang w:val="en-GB"/>
        </w:rPr>
        <w:t xml:space="preserve">The NOEC for mortality after 10 days of continuous exposure was determined to be 3000 mg product/kg feeding solution. The corresponding NOEDD, based on the actual consumption of the respective feeding solutions, was determined to be 85.68 </w:t>
      </w:r>
      <w:r w:rsidRPr="00FF3564">
        <w:t>μ</w:t>
      </w:r>
      <w:r w:rsidRPr="00EE3426">
        <w:rPr>
          <w:lang w:val="en-GB"/>
        </w:rPr>
        <w:t>g a.s./bee/day.</w:t>
      </w:r>
    </w:p>
    <w:p w14:paraId="621BC0A7" w14:textId="77777777" w:rsidR="00067435" w:rsidRPr="00EE3426" w:rsidRDefault="00067435" w:rsidP="00067435">
      <w:pPr>
        <w:tabs>
          <w:tab w:val="left" w:pos="720"/>
        </w:tabs>
        <w:jc w:val="both"/>
        <w:rPr>
          <w:lang w:val="en-GB"/>
        </w:rPr>
      </w:pPr>
      <w:r w:rsidRPr="00EE3426">
        <w:rPr>
          <w:lang w:val="en-GB"/>
        </w:rPr>
        <w:t>The LC</w:t>
      </w:r>
      <w:r w:rsidRPr="00EE3426">
        <w:rPr>
          <w:vertAlign w:val="subscript"/>
          <w:lang w:val="en-GB"/>
        </w:rPr>
        <w:t>50</w:t>
      </w:r>
      <w:r w:rsidRPr="00EE3426">
        <w:rPr>
          <w:lang w:val="en-GB"/>
        </w:rPr>
        <w:t xml:space="preserve"> after 10 days of continuous exposure was determined to be &gt; 3000 mg product/kg feeding solution. The corresponding LDD</w:t>
      </w:r>
      <w:r w:rsidRPr="00EE3426">
        <w:rPr>
          <w:vertAlign w:val="subscript"/>
          <w:lang w:val="en-GB"/>
        </w:rPr>
        <w:t>50</w:t>
      </w:r>
      <w:r w:rsidRPr="00EE3426">
        <w:rPr>
          <w:lang w:val="en-GB"/>
        </w:rPr>
        <w:t xml:space="preserve">, based on the actual consumption of the respective feeding solutions, was determined to be &gt;85.68 </w:t>
      </w:r>
      <w:r w:rsidRPr="00FF3564">
        <w:t>μ</w:t>
      </w:r>
      <w:r w:rsidRPr="00EE3426">
        <w:rPr>
          <w:lang w:val="en-GB"/>
        </w:rPr>
        <w:t>g a.s./bee/day.</w:t>
      </w:r>
    </w:p>
    <w:p w14:paraId="5DBABE07" w14:textId="77777777" w:rsidR="00067435" w:rsidRPr="003C20AD" w:rsidRDefault="00067435" w:rsidP="00067435">
      <w:pPr>
        <w:tabs>
          <w:tab w:val="left" w:pos="720"/>
        </w:tabs>
        <w:jc w:val="both"/>
        <w:rPr>
          <w:szCs w:val="24"/>
          <w:highlight w:val="yellow"/>
          <w:lang w:val="en-GB"/>
        </w:rPr>
      </w:pPr>
    </w:p>
    <w:p w14:paraId="6018F9F1" w14:textId="77777777" w:rsidR="00067435" w:rsidRPr="000F7706" w:rsidRDefault="00067435" w:rsidP="00067435">
      <w:pPr>
        <w:keepNext/>
        <w:keepLines/>
        <w:tabs>
          <w:tab w:val="left" w:pos="720"/>
        </w:tabs>
        <w:spacing w:after="240"/>
        <w:ind w:left="720" w:hanging="431"/>
        <w:contextualSpacing/>
        <w:jc w:val="center"/>
        <w:rPr>
          <w:b/>
          <w:bCs/>
          <w:szCs w:val="24"/>
          <w:lang w:val="en-GB"/>
        </w:rPr>
      </w:pPr>
      <w:r w:rsidRPr="000F7706">
        <w:rPr>
          <w:b/>
          <w:bCs/>
          <w:szCs w:val="24"/>
          <w:lang w:val="en-GB"/>
        </w:rPr>
        <w:t>I.</w:t>
      </w:r>
      <w:r w:rsidRPr="000F7706">
        <w:rPr>
          <w:b/>
          <w:bCs/>
          <w:szCs w:val="24"/>
          <w:lang w:val="en-GB"/>
        </w:rPr>
        <w:tab/>
        <w:t>MATERIALS AND METHODS</w:t>
      </w:r>
    </w:p>
    <w:p w14:paraId="393985DE" w14:textId="77777777" w:rsidR="00067435" w:rsidRPr="000F7706" w:rsidRDefault="00067435" w:rsidP="00067435">
      <w:pPr>
        <w:keepNext/>
        <w:keepLines/>
        <w:tabs>
          <w:tab w:val="left" w:pos="0"/>
        </w:tabs>
        <w:ind w:left="357" w:hanging="357"/>
        <w:contextualSpacing/>
        <w:rPr>
          <w:rFonts w:ascii="Times New Roman Bold" w:hAnsi="Times New Roman Bold"/>
          <w:b/>
          <w:bCs/>
          <w:caps/>
          <w:szCs w:val="24"/>
          <w:lang w:val="en-GB"/>
        </w:rPr>
      </w:pPr>
      <w:r w:rsidRPr="000F7706">
        <w:rPr>
          <w:rFonts w:ascii="Times New Roman Bold" w:hAnsi="Times New Roman Bold"/>
          <w:b/>
          <w:bCs/>
          <w:caps/>
          <w:szCs w:val="24"/>
          <w:lang w:val="en-GB"/>
        </w:rPr>
        <w:t>A.</w:t>
      </w:r>
      <w:r w:rsidRPr="000F7706">
        <w:rPr>
          <w:rFonts w:ascii="Times New Roman Bold" w:hAnsi="Times New Roman Bold"/>
          <w:b/>
          <w:bCs/>
          <w:caps/>
          <w:szCs w:val="24"/>
          <w:lang w:val="en-GB"/>
        </w:rPr>
        <w:tab/>
        <w:t>MATERIALS</w:t>
      </w:r>
    </w:p>
    <w:p w14:paraId="6ED15E07" w14:textId="77777777" w:rsidR="00067435" w:rsidRPr="000F7706" w:rsidRDefault="00067435" w:rsidP="00067435">
      <w:pPr>
        <w:keepNext/>
        <w:keepLines/>
        <w:tabs>
          <w:tab w:val="left" w:pos="0"/>
        </w:tabs>
        <w:ind w:left="357" w:hanging="357"/>
        <w:contextualSpacing/>
        <w:rPr>
          <w:rFonts w:ascii="Times New Roman Bold" w:hAnsi="Times New Roman Bold"/>
          <w:b/>
          <w:bCs/>
          <w:caps/>
          <w:szCs w:val="24"/>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0F7706" w14:paraId="5EF2F1BE" w14:textId="77777777" w:rsidTr="00026175">
        <w:trPr>
          <w:cantSplit/>
          <w:trHeight w:hRule="exact" w:val="340"/>
        </w:trPr>
        <w:tc>
          <w:tcPr>
            <w:tcW w:w="3969" w:type="dxa"/>
          </w:tcPr>
          <w:p w14:paraId="71111E36" w14:textId="77777777" w:rsidR="00067435" w:rsidRPr="000F7706" w:rsidRDefault="00067435" w:rsidP="00E05ECD">
            <w:pPr>
              <w:keepNext/>
              <w:keepLines/>
              <w:numPr>
                <w:ilvl w:val="0"/>
                <w:numId w:val="117"/>
              </w:numPr>
              <w:tabs>
                <w:tab w:val="left" w:pos="255"/>
              </w:tabs>
              <w:spacing w:after="240"/>
              <w:contextualSpacing/>
              <w:rPr>
                <w:rFonts w:ascii="Times New Roman" w:hAnsi="Times New Roman"/>
                <w:b/>
                <w:bCs/>
              </w:rPr>
            </w:pPr>
            <w:r w:rsidRPr="000F7706">
              <w:rPr>
                <w:rFonts w:ascii="Times New Roman" w:hAnsi="Times New Roman"/>
                <w:b/>
                <w:bCs/>
              </w:rPr>
              <w:t>Test item:</w:t>
            </w:r>
          </w:p>
        </w:tc>
        <w:tc>
          <w:tcPr>
            <w:tcW w:w="5381" w:type="dxa"/>
          </w:tcPr>
          <w:p w14:paraId="38C0FE92" w14:textId="77777777" w:rsidR="00067435" w:rsidRPr="000F7706" w:rsidRDefault="00067435" w:rsidP="00026175">
            <w:pPr>
              <w:keepNext/>
              <w:keepLines/>
              <w:numPr>
                <w:ilvl w:val="3"/>
                <w:numId w:val="0"/>
              </w:numPr>
              <w:tabs>
                <w:tab w:val="left" w:pos="0"/>
                <w:tab w:val="left" w:pos="720"/>
              </w:tabs>
              <w:spacing w:after="240"/>
              <w:ind w:left="360" w:hanging="360"/>
              <w:contextualSpacing/>
              <w:jc w:val="both"/>
              <w:rPr>
                <w:rFonts w:ascii="Times New Roman" w:hAnsi="Times New Roman"/>
              </w:rPr>
            </w:pPr>
            <w:r w:rsidRPr="000F7706">
              <w:rPr>
                <w:rFonts w:ascii="Times New Roman" w:hAnsi="Times New Roman"/>
              </w:rPr>
              <w:t>Propamocarb-hydrochloride SL 722</w:t>
            </w:r>
          </w:p>
        </w:tc>
      </w:tr>
      <w:tr w:rsidR="00067435" w:rsidRPr="000F7706" w14:paraId="34D7BF09" w14:textId="77777777" w:rsidTr="00026175">
        <w:trPr>
          <w:cantSplit/>
          <w:trHeight w:hRule="exact" w:val="340"/>
        </w:trPr>
        <w:tc>
          <w:tcPr>
            <w:tcW w:w="3969" w:type="dxa"/>
          </w:tcPr>
          <w:p w14:paraId="2930E389" w14:textId="77777777" w:rsidR="00067435" w:rsidRPr="000F7706" w:rsidRDefault="00067435" w:rsidP="00026175">
            <w:pPr>
              <w:keepNext/>
              <w:keepLines/>
              <w:numPr>
                <w:ilvl w:val="3"/>
                <w:numId w:val="0"/>
              </w:numPr>
              <w:tabs>
                <w:tab w:val="left" w:pos="0"/>
                <w:tab w:val="left" w:pos="624"/>
              </w:tabs>
              <w:spacing w:after="240"/>
              <w:ind w:left="1068" w:hanging="359"/>
              <w:contextualSpacing/>
              <w:rPr>
                <w:rFonts w:ascii="Times New Roman" w:hAnsi="Times New Roman"/>
              </w:rPr>
            </w:pPr>
            <w:r w:rsidRPr="000F7706">
              <w:rPr>
                <w:rFonts w:ascii="Times New Roman" w:hAnsi="Times New Roman"/>
              </w:rPr>
              <w:t>Description:</w:t>
            </w:r>
          </w:p>
        </w:tc>
        <w:tc>
          <w:tcPr>
            <w:tcW w:w="5381" w:type="dxa"/>
          </w:tcPr>
          <w:p w14:paraId="5395CC9F" w14:textId="77777777" w:rsidR="00067435" w:rsidRPr="000F7706" w:rsidRDefault="00067435" w:rsidP="00026175">
            <w:pPr>
              <w:keepNext/>
              <w:keepLines/>
              <w:numPr>
                <w:ilvl w:val="3"/>
                <w:numId w:val="0"/>
              </w:numPr>
              <w:tabs>
                <w:tab w:val="left" w:pos="0"/>
                <w:tab w:val="left" w:pos="720"/>
              </w:tabs>
              <w:spacing w:after="240"/>
              <w:ind w:left="360" w:hanging="360"/>
              <w:contextualSpacing/>
              <w:jc w:val="both"/>
              <w:rPr>
                <w:rFonts w:ascii="Times New Roman" w:hAnsi="Times New Roman"/>
              </w:rPr>
            </w:pPr>
            <w:r w:rsidRPr="000F7706">
              <w:rPr>
                <w:rFonts w:ascii="Times New Roman" w:hAnsi="Times New Roman"/>
              </w:rPr>
              <w:t>liquid / colourless</w:t>
            </w:r>
          </w:p>
        </w:tc>
      </w:tr>
      <w:tr w:rsidR="00067435" w:rsidRPr="000F7706" w14:paraId="04CA4F06" w14:textId="77777777" w:rsidTr="00026175">
        <w:trPr>
          <w:cantSplit/>
          <w:trHeight w:hRule="exact" w:val="340"/>
        </w:trPr>
        <w:tc>
          <w:tcPr>
            <w:tcW w:w="3969" w:type="dxa"/>
          </w:tcPr>
          <w:p w14:paraId="53C89CDA" w14:textId="77777777" w:rsidR="00067435" w:rsidRPr="000F7706" w:rsidRDefault="00067435" w:rsidP="00026175">
            <w:pPr>
              <w:keepNext/>
              <w:keepLines/>
              <w:numPr>
                <w:ilvl w:val="3"/>
                <w:numId w:val="0"/>
              </w:numPr>
              <w:tabs>
                <w:tab w:val="left" w:pos="0"/>
                <w:tab w:val="left" w:pos="624"/>
              </w:tabs>
              <w:spacing w:after="240"/>
              <w:ind w:left="1068" w:hanging="359"/>
              <w:contextualSpacing/>
              <w:rPr>
                <w:rFonts w:ascii="Times New Roman" w:hAnsi="Times New Roman"/>
              </w:rPr>
            </w:pPr>
            <w:r w:rsidRPr="000F7706">
              <w:rPr>
                <w:rFonts w:ascii="Times New Roman" w:hAnsi="Times New Roman"/>
              </w:rPr>
              <w:t>Lot/Batch:</w:t>
            </w:r>
          </w:p>
        </w:tc>
        <w:tc>
          <w:tcPr>
            <w:tcW w:w="5381" w:type="dxa"/>
          </w:tcPr>
          <w:p w14:paraId="52363634" w14:textId="77777777" w:rsidR="00067435" w:rsidRPr="000F7706" w:rsidRDefault="00067435" w:rsidP="00026175">
            <w:pPr>
              <w:keepNext/>
              <w:keepLines/>
              <w:numPr>
                <w:ilvl w:val="3"/>
                <w:numId w:val="0"/>
              </w:numPr>
              <w:tabs>
                <w:tab w:val="left" w:pos="0"/>
                <w:tab w:val="left" w:pos="720"/>
              </w:tabs>
              <w:spacing w:after="240"/>
              <w:ind w:left="360" w:hanging="360"/>
              <w:contextualSpacing/>
              <w:jc w:val="both"/>
              <w:rPr>
                <w:rFonts w:ascii="Times New Roman" w:hAnsi="Times New Roman"/>
              </w:rPr>
            </w:pPr>
            <w:r w:rsidRPr="000F7706">
              <w:rPr>
                <w:rFonts w:ascii="Times New Roman" w:hAnsi="Times New Roman"/>
              </w:rPr>
              <w:t>2014-002016-01</w:t>
            </w:r>
          </w:p>
        </w:tc>
      </w:tr>
      <w:tr w:rsidR="00067435" w:rsidRPr="00EE3426" w14:paraId="53470281" w14:textId="77777777" w:rsidTr="00026175">
        <w:trPr>
          <w:cantSplit/>
          <w:trHeight w:hRule="exact" w:val="594"/>
        </w:trPr>
        <w:tc>
          <w:tcPr>
            <w:tcW w:w="3969" w:type="dxa"/>
          </w:tcPr>
          <w:p w14:paraId="60463C65" w14:textId="77777777" w:rsidR="00067435" w:rsidRPr="000F7706" w:rsidRDefault="00067435" w:rsidP="00026175">
            <w:pPr>
              <w:keepNext/>
              <w:keepLines/>
              <w:numPr>
                <w:ilvl w:val="3"/>
                <w:numId w:val="0"/>
              </w:numPr>
              <w:tabs>
                <w:tab w:val="left" w:pos="0"/>
                <w:tab w:val="left" w:pos="624"/>
              </w:tabs>
              <w:spacing w:after="240"/>
              <w:ind w:left="1068" w:hanging="359"/>
              <w:contextualSpacing/>
              <w:rPr>
                <w:rFonts w:ascii="Times New Roman" w:hAnsi="Times New Roman"/>
              </w:rPr>
            </w:pPr>
            <w:r w:rsidRPr="000F7706">
              <w:rPr>
                <w:rFonts w:ascii="Times New Roman" w:hAnsi="Times New Roman"/>
              </w:rPr>
              <w:t>Active substance content:</w:t>
            </w:r>
          </w:p>
        </w:tc>
        <w:tc>
          <w:tcPr>
            <w:tcW w:w="5381" w:type="dxa"/>
          </w:tcPr>
          <w:p w14:paraId="0187D6C5" w14:textId="77777777" w:rsidR="00067435" w:rsidRPr="000F7706" w:rsidRDefault="00067435" w:rsidP="00026175">
            <w:pPr>
              <w:keepNext/>
              <w:keepLines/>
              <w:numPr>
                <w:ilvl w:val="3"/>
                <w:numId w:val="0"/>
              </w:numPr>
              <w:tabs>
                <w:tab w:val="left" w:pos="0"/>
                <w:tab w:val="left" w:pos="720"/>
              </w:tabs>
              <w:spacing w:line="276" w:lineRule="auto"/>
              <w:contextualSpacing/>
              <w:rPr>
                <w:rFonts w:ascii="Times New Roman" w:hAnsi="Times New Roman"/>
              </w:rPr>
            </w:pPr>
            <w:r w:rsidRPr="000F7706">
              <w:rPr>
                <w:rFonts w:ascii="Times New Roman" w:hAnsi="Times New Roman"/>
              </w:rPr>
              <w:t>propamocarb-hydrochloride, nominal 722 g/L; analysed 716.0 g/L (66.2 % w/w)</w:t>
            </w:r>
          </w:p>
        </w:tc>
      </w:tr>
      <w:tr w:rsidR="00067435" w:rsidRPr="003C20AD" w14:paraId="03F5620E" w14:textId="77777777" w:rsidTr="00026175">
        <w:trPr>
          <w:cantSplit/>
          <w:trHeight w:hRule="exact" w:val="397"/>
        </w:trPr>
        <w:tc>
          <w:tcPr>
            <w:tcW w:w="3969" w:type="dxa"/>
          </w:tcPr>
          <w:p w14:paraId="6637FEE1" w14:textId="77777777" w:rsidR="00067435" w:rsidRPr="000F7706" w:rsidRDefault="00067435" w:rsidP="00026175">
            <w:pPr>
              <w:keepNext/>
              <w:keepLines/>
              <w:numPr>
                <w:ilvl w:val="3"/>
                <w:numId w:val="0"/>
              </w:numPr>
              <w:tabs>
                <w:tab w:val="left" w:pos="0"/>
                <w:tab w:val="left" w:pos="624"/>
              </w:tabs>
              <w:spacing w:after="240"/>
              <w:ind w:left="1068" w:hanging="359"/>
              <w:contextualSpacing/>
              <w:rPr>
                <w:rFonts w:ascii="Times New Roman" w:hAnsi="Times New Roman"/>
              </w:rPr>
            </w:pPr>
            <w:r w:rsidRPr="000F7706">
              <w:rPr>
                <w:rFonts w:ascii="Times New Roman" w:hAnsi="Times New Roman"/>
              </w:rPr>
              <w:t>Density:</w:t>
            </w:r>
          </w:p>
        </w:tc>
        <w:tc>
          <w:tcPr>
            <w:tcW w:w="5381" w:type="dxa"/>
          </w:tcPr>
          <w:p w14:paraId="0D39F840" w14:textId="77777777" w:rsidR="00067435" w:rsidRPr="000F7706" w:rsidRDefault="00067435" w:rsidP="00026175">
            <w:pPr>
              <w:keepNext/>
              <w:keepLines/>
              <w:numPr>
                <w:ilvl w:val="3"/>
                <w:numId w:val="0"/>
              </w:numPr>
              <w:tabs>
                <w:tab w:val="left" w:pos="0"/>
                <w:tab w:val="left" w:pos="720"/>
              </w:tabs>
              <w:spacing w:after="240"/>
              <w:ind w:left="360" w:hanging="360"/>
              <w:contextualSpacing/>
              <w:rPr>
                <w:rFonts w:ascii="Times New Roman" w:hAnsi="Times New Roman"/>
              </w:rPr>
            </w:pPr>
            <w:r w:rsidRPr="000F7706">
              <w:rPr>
                <w:rFonts w:ascii="Times New Roman" w:hAnsi="Times New Roman"/>
              </w:rPr>
              <w:t>1.082 g/cm</w:t>
            </w:r>
            <w:r w:rsidRPr="000F7706">
              <w:rPr>
                <w:rFonts w:ascii="Times New Roman" w:hAnsi="Times New Roman"/>
                <w:vertAlign w:val="superscript"/>
              </w:rPr>
              <w:t xml:space="preserve">3 </w:t>
            </w:r>
          </w:p>
        </w:tc>
      </w:tr>
      <w:tr w:rsidR="00067435" w:rsidRPr="00EE3426" w14:paraId="18B8A769" w14:textId="77777777" w:rsidTr="00026175">
        <w:trPr>
          <w:cantSplit/>
          <w:trHeight w:hRule="exact" w:val="414"/>
        </w:trPr>
        <w:tc>
          <w:tcPr>
            <w:tcW w:w="3969" w:type="dxa"/>
          </w:tcPr>
          <w:p w14:paraId="77BF6C67" w14:textId="77777777" w:rsidR="00067435" w:rsidRPr="000F7706" w:rsidRDefault="00067435" w:rsidP="00E05ECD">
            <w:pPr>
              <w:numPr>
                <w:ilvl w:val="0"/>
                <w:numId w:val="117"/>
              </w:numPr>
              <w:tabs>
                <w:tab w:val="left" w:pos="255"/>
              </w:tabs>
              <w:spacing w:after="240"/>
              <w:contextualSpacing/>
              <w:rPr>
                <w:rFonts w:ascii="Times New Roman" w:hAnsi="Times New Roman"/>
                <w:b/>
                <w:bCs/>
              </w:rPr>
            </w:pPr>
            <w:r w:rsidRPr="000F7706">
              <w:rPr>
                <w:rFonts w:ascii="Times New Roman" w:hAnsi="Times New Roman"/>
                <w:b/>
                <w:bCs/>
              </w:rPr>
              <w:t>Control:</w:t>
            </w:r>
          </w:p>
        </w:tc>
        <w:tc>
          <w:tcPr>
            <w:tcW w:w="5381" w:type="dxa"/>
          </w:tcPr>
          <w:p w14:paraId="05AEA9E7" w14:textId="77777777" w:rsidR="00067435" w:rsidRPr="000F7706" w:rsidRDefault="00067435" w:rsidP="00026175">
            <w:pPr>
              <w:numPr>
                <w:ilvl w:val="3"/>
                <w:numId w:val="0"/>
              </w:numPr>
              <w:tabs>
                <w:tab w:val="left" w:pos="0"/>
                <w:tab w:val="left" w:pos="720"/>
              </w:tabs>
              <w:spacing w:line="276" w:lineRule="auto"/>
              <w:contextualSpacing/>
              <w:rPr>
                <w:rFonts w:ascii="Times New Roman" w:hAnsi="Times New Roman"/>
              </w:rPr>
            </w:pPr>
            <w:r w:rsidRPr="000F7706">
              <w:rPr>
                <w:rFonts w:ascii="Times New Roman" w:hAnsi="Times New Roman"/>
              </w:rPr>
              <w:t xml:space="preserve">untreated 50 % (w/v) aqueous sucrose solution </w:t>
            </w:r>
          </w:p>
        </w:tc>
      </w:tr>
      <w:tr w:rsidR="00067435" w:rsidRPr="00EE3426" w14:paraId="1DE80B19" w14:textId="77777777" w:rsidTr="00026175">
        <w:trPr>
          <w:cantSplit/>
          <w:trHeight w:hRule="exact" w:val="672"/>
        </w:trPr>
        <w:tc>
          <w:tcPr>
            <w:tcW w:w="3969" w:type="dxa"/>
          </w:tcPr>
          <w:p w14:paraId="7EFB2C3A" w14:textId="77777777" w:rsidR="00067435" w:rsidRPr="000F7706" w:rsidRDefault="00067435" w:rsidP="00E05ECD">
            <w:pPr>
              <w:numPr>
                <w:ilvl w:val="0"/>
                <w:numId w:val="117"/>
              </w:numPr>
              <w:tabs>
                <w:tab w:val="left" w:pos="255"/>
              </w:tabs>
              <w:spacing w:after="240"/>
              <w:contextualSpacing/>
              <w:rPr>
                <w:rFonts w:ascii="Times New Roman" w:hAnsi="Times New Roman"/>
                <w:b/>
                <w:bCs/>
              </w:rPr>
            </w:pPr>
            <w:r w:rsidRPr="000F7706">
              <w:rPr>
                <w:rFonts w:ascii="Times New Roman" w:hAnsi="Times New Roman"/>
                <w:b/>
                <w:bCs/>
              </w:rPr>
              <w:t>Reference item:</w:t>
            </w:r>
          </w:p>
        </w:tc>
        <w:tc>
          <w:tcPr>
            <w:tcW w:w="5381" w:type="dxa"/>
          </w:tcPr>
          <w:p w14:paraId="04DC990C" w14:textId="77777777" w:rsidR="00067435" w:rsidRPr="000F7706" w:rsidRDefault="00067435" w:rsidP="00026175">
            <w:pPr>
              <w:numPr>
                <w:ilvl w:val="3"/>
                <w:numId w:val="0"/>
              </w:numPr>
              <w:tabs>
                <w:tab w:val="left" w:pos="0"/>
                <w:tab w:val="left" w:pos="720"/>
              </w:tabs>
              <w:spacing w:after="240"/>
              <w:contextualSpacing/>
              <w:rPr>
                <w:rFonts w:ascii="Times New Roman" w:hAnsi="Times New Roman"/>
              </w:rPr>
            </w:pPr>
            <w:r w:rsidRPr="000F7706">
              <w:rPr>
                <w:rFonts w:ascii="Times New Roman" w:hAnsi="Times New Roman"/>
              </w:rPr>
              <w:t>dimethoate (Perfekthion / BAS 152), 400 g/L nominal, 400.9 g/L analysed</w:t>
            </w:r>
          </w:p>
        </w:tc>
      </w:tr>
    </w:tbl>
    <w:p w14:paraId="69FE7839" w14:textId="77777777" w:rsidR="00067435" w:rsidRPr="003C20AD" w:rsidRDefault="00067435" w:rsidP="00067435">
      <w:pPr>
        <w:tabs>
          <w:tab w:val="left" w:pos="0"/>
        </w:tabs>
        <w:ind w:left="357" w:hanging="357"/>
        <w:contextualSpacing/>
        <w:rPr>
          <w:caps/>
          <w:highlight w:val="yellow"/>
          <w:lang w:val="en-GB"/>
        </w:rPr>
      </w:pPr>
    </w:p>
    <w:p w14:paraId="6257211C" w14:textId="77777777" w:rsidR="00067435" w:rsidRPr="00021D31" w:rsidRDefault="00067435" w:rsidP="00067435">
      <w:pPr>
        <w:tabs>
          <w:tab w:val="left" w:pos="0"/>
        </w:tabs>
        <w:ind w:left="357" w:hanging="357"/>
        <w:contextualSpacing/>
        <w:rPr>
          <w:b/>
          <w:bCs/>
          <w:caps/>
          <w:lang w:val="en-GB"/>
        </w:rPr>
      </w:pPr>
      <w:r w:rsidRPr="00021D31">
        <w:rPr>
          <w:b/>
          <w:bCs/>
          <w:caps/>
          <w:lang w:val="en-GB"/>
        </w:rPr>
        <w:t>B.</w:t>
      </w:r>
      <w:r w:rsidRPr="00021D31">
        <w:rPr>
          <w:b/>
          <w:bCs/>
          <w:caps/>
          <w:lang w:val="en-GB"/>
        </w:rPr>
        <w:tab/>
        <w:t>study design and methods</w:t>
      </w:r>
    </w:p>
    <w:p w14:paraId="439E196C" w14:textId="77777777" w:rsidR="00067435" w:rsidRPr="00021D31" w:rsidRDefault="00067435" w:rsidP="00067435">
      <w:pPr>
        <w:tabs>
          <w:tab w:val="left" w:pos="0"/>
        </w:tabs>
        <w:ind w:left="357" w:hanging="357"/>
        <w:contextualSpacing/>
        <w:rPr>
          <w:b/>
          <w:bCs/>
          <w:caps/>
          <w:lang w:val="en-GB"/>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EE3426" w14:paraId="030F5D12" w14:textId="77777777" w:rsidTr="00026175">
        <w:trPr>
          <w:trHeight w:hRule="exact" w:val="648"/>
        </w:trPr>
        <w:tc>
          <w:tcPr>
            <w:tcW w:w="3969" w:type="dxa"/>
          </w:tcPr>
          <w:p w14:paraId="23420D71" w14:textId="77777777" w:rsidR="00067435" w:rsidRPr="00021D31" w:rsidRDefault="00067435" w:rsidP="00E05ECD">
            <w:pPr>
              <w:numPr>
                <w:ilvl w:val="0"/>
                <w:numId w:val="117"/>
              </w:numPr>
              <w:tabs>
                <w:tab w:val="left" w:pos="0"/>
                <w:tab w:val="left" w:pos="255"/>
                <w:tab w:val="left" w:pos="720"/>
              </w:tabs>
              <w:spacing w:after="240"/>
              <w:contextualSpacing/>
              <w:rPr>
                <w:rFonts w:ascii="Times New Roman" w:hAnsi="Times New Roman"/>
                <w:b/>
                <w:bCs/>
              </w:rPr>
            </w:pPr>
            <w:r w:rsidRPr="00021D31">
              <w:rPr>
                <w:rFonts w:ascii="Times New Roman" w:hAnsi="Times New Roman"/>
                <w:b/>
                <w:bCs/>
              </w:rPr>
              <w:t>Test species:</w:t>
            </w:r>
          </w:p>
        </w:tc>
        <w:tc>
          <w:tcPr>
            <w:tcW w:w="5381" w:type="dxa"/>
          </w:tcPr>
          <w:p w14:paraId="380A6D49" w14:textId="77777777" w:rsidR="00067435" w:rsidRPr="00021D31" w:rsidRDefault="00067435" w:rsidP="00026175">
            <w:pPr>
              <w:numPr>
                <w:ilvl w:val="3"/>
                <w:numId w:val="0"/>
              </w:numPr>
              <w:tabs>
                <w:tab w:val="left" w:pos="0"/>
                <w:tab w:val="left" w:pos="720"/>
              </w:tabs>
              <w:spacing w:after="240" w:line="276" w:lineRule="auto"/>
              <w:contextualSpacing/>
              <w:jc w:val="both"/>
              <w:rPr>
                <w:rFonts w:ascii="Times New Roman" w:hAnsi="Times New Roman"/>
              </w:rPr>
            </w:pPr>
            <w:r w:rsidRPr="00021D31">
              <w:rPr>
                <w:rFonts w:ascii="Times New Roman" w:hAnsi="Times New Roman"/>
                <w:i/>
                <w:iCs/>
              </w:rPr>
              <w:t xml:space="preserve">Apis mellifera </w:t>
            </w:r>
            <w:r w:rsidRPr="00021D31">
              <w:rPr>
                <w:rFonts w:ascii="Times New Roman" w:hAnsi="Times New Roman"/>
              </w:rPr>
              <w:t>(honeybee), deriving from healthy and queen-right colonies</w:t>
            </w:r>
          </w:p>
        </w:tc>
      </w:tr>
      <w:tr w:rsidR="00067435" w:rsidRPr="00EE3426" w14:paraId="0AE3D25F" w14:textId="77777777" w:rsidTr="00026175">
        <w:trPr>
          <w:trHeight w:hRule="exact" w:val="397"/>
        </w:trPr>
        <w:tc>
          <w:tcPr>
            <w:tcW w:w="3969" w:type="dxa"/>
          </w:tcPr>
          <w:p w14:paraId="7F721CF4" w14:textId="77777777" w:rsidR="00067435" w:rsidRPr="00021D31" w:rsidRDefault="00067435" w:rsidP="00026175">
            <w:pPr>
              <w:numPr>
                <w:ilvl w:val="3"/>
                <w:numId w:val="0"/>
              </w:numPr>
              <w:tabs>
                <w:tab w:val="left" w:pos="0"/>
                <w:tab w:val="left" w:pos="624"/>
              </w:tabs>
              <w:spacing w:after="240"/>
              <w:ind w:left="984" w:hanging="275"/>
              <w:contextualSpacing/>
              <w:rPr>
                <w:rFonts w:ascii="Times New Roman" w:hAnsi="Times New Roman"/>
              </w:rPr>
            </w:pPr>
            <w:r w:rsidRPr="00021D31">
              <w:rPr>
                <w:rFonts w:ascii="Times New Roman" w:hAnsi="Times New Roman"/>
              </w:rPr>
              <w:t xml:space="preserve">Age/life stage: </w:t>
            </w:r>
          </w:p>
        </w:tc>
        <w:tc>
          <w:tcPr>
            <w:tcW w:w="5381" w:type="dxa"/>
          </w:tcPr>
          <w:p w14:paraId="57CDBD4B" w14:textId="77777777" w:rsidR="00067435" w:rsidRPr="00021D31" w:rsidRDefault="00067435" w:rsidP="00026175">
            <w:pPr>
              <w:numPr>
                <w:ilvl w:val="3"/>
                <w:numId w:val="0"/>
              </w:numPr>
              <w:tabs>
                <w:tab w:val="left" w:pos="0"/>
                <w:tab w:val="left" w:pos="720"/>
              </w:tabs>
              <w:spacing w:after="240" w:line="276" w:lineRule="auto"/>
              <w:ind w:left="360" w:hanging="360"/>
              <w:contextualSpacing/>
              <w:rPr>
                <w:rFonts w:ascii="Times New Roman" w:hAnsi="Times New Roman"/>
              </w:rPr>
            </w:pPr>
            <w:r w:rsidRPr="00021D31">
              <w:rPr>
                <w:rFonts w:ascii="Times New Roman" w:hAnsi="Times New Roman"/>
              </w:rPr>
              <w:t>Maximum 4 days old at test start</w:t>
            </w:r>
          </w:p>
        </w:tc>
      </w:tr>
      <w:tr w:rsidR="00067435" w:rsidRPr="003C20AD" w14:paraId="798F9D80" w14:textId="77777777" w:rsidTr="00026175">
        <w:trPr>
          <w:trHeight w:hRule="exact" w:val="774"/>
        </w:trPr>
        <w:tc>
          <w:tcPr>
            <w:tcW w:w="3969" w:type="dxa"/>
          </w:tcPr>
          <w:p w14:paraId="610A3E1B" w14:textId="77777777" w:rsidR="00067435" w:rsidRPr="00021D31" w:rsidRDefault="00067435" w:rsidP="00026175">
            <w:pPr>
              <w:numPr>
                <w:ilvl w:val="3"/>
                <w:numId w:val="0"/>
              </w:numPr>
              <w:tabs>
                <w:tab w:val="left" w:pos="0"/>
                <w:tab w:val="left" w:pos="624"/>
              </w:tabs>
              <w:spacing w:after="240"/>
              <w:ind w:left="984" w:hanging="275"/>
              <w:contextualSpacing/>
              <w:rPr>
                <w:rFonts w:ascii="Times New Roman" w:hAnsi="Times New Roman"/>
              </w:rPr>
            </w:pPr>
            <w:r w:rsidRPr="00021D31">
              <w:rPr>
                <w:rFonts w:ascii="Times New Roman" w:hAnsi="Times New Roman"/>
              </w:rPr>
              <w:t>Source:</w:t>
            </w:r>
          </w:p>
        </w:tc>
        <w:tc>
          <w:tcPr>
            <w:tcW w:w="5381" w:type="dxa"/>
          </w:tcPr>
          <w:p w14:paraId="60FD8978" w14:textId="77777777" w:rsidR="00067435" w:rsidRPr="003C20AD" w:rsidRDefault="00067435" w:rsidP="00026175">
            <w:pPr>
              <w:numPr>
                <w:ilvl w:val="3"/>
                <w:numId w:val="0"/>
              </w:numPr>
              <w:tabs>
                <w:tab w:val="left" w:pos="0"/>
                <w:tab w:val="left" w:pos="720"/>
              </w:tabs>
              <w:spacing w:after="240"/>
              <w:contextualSpacing/>
              <w:jc w:val="both"/>
              <w:rPr>
                <w:rFonts w:ascii="Times New Roman" w:hAnsi="Times New Roman"/>
                <w:highlight w:val="yellow"/>
              </w:rPr>
            </w:pPr>
            <w:r w:rsidRPr="00021D31">
              <w:rPr>
                <w:rFonts w:ascii="Times New Roman" w:hAnsi="Times New Roman"/>
              </w:rPr>
              <w:t>breeding line of a beekeeper in Tiefenbronn, Germany (Klaus Hampel, Mühlhausenerstr. 1/1, 75233 Tiefenbronn, Germany).</w:t>
            </w:r>
          </w:p>
        </w:tc>
      </w:tr>
      <w:tr w:rsidR="00067435" w:rsidRPr="00EE3426" w14:paraId="6B5AAFF3" w14:textId="77777777" w:rsidTr="00026175">
        <w:trPr>
          <w:trHeight w:hRule="exact" w:val="360"/>
        </w:trPr>
        <w:tc>
          <w:tcPr>
            <w:tcW w:w="3969" w:type="dxa"/>
          </w:tcPr>
          <w:p w14:paraId="159A40B2" w14:textId="77777777" w:rsidR="00067435" w:rsidRPr="000F7706" w:rsidRDefault="00067435" w:rsidP="00026175">
            <w:pPr>
              <w:numPr>
                <w:ilvl w:val="3"/>
                <w:numId w:val="0"/>
              </w:numPr>
              <w:tabs>
                <w:tab w:val="left" w:pos="0"/>
                <w:tab w:val="left" w:pos="624"/>
              </w:tabs>
              <w:spacing w:after="240"/>
              <w:ind w:left="984" w:hanging="275"/>
              <w:contextualSpacing/>
              <w:rPr>
                <w:rFonts w:ascii="Times New Roman" w:hAnsi="Times New Roman"/>
              </w:rPr>
            </w:pPr>
            <w:r w:rsidRPr="000F7706">
              <w:rPr>
                <w:rFonts w:ascii="Times New Roman" w:hAnsi="Times New Roman"/>
              </w:rPr>
              <w:t xml:space="preserve">Diet: </w:t>
            </w:r>
          </w:p>
        </w:tc>
        <w:tc>
          <w:tcPr>
            <w:tcW w:w="5381" w:type="dxa"/>
          </w:tcPr>
          <w:p w14:paraId="59B0B69E" w14:textId="77777777" w:rsidR="00067435" w:rsidRPr="000F7706" w:rsidRDefault="00067435" w:rsidP="00026175">
            <w:pPr>
              <w:numPr>
                <w:ilvl w:val="3"/>
                <w:numId w:val="0"/>
              </w:numPr>
              <w:tabs>
                <w:tab w:val="left" w:pos="0"/>
                <w:tab w:val="left" w:pos="720"/>
              </w:tabs>
              <w:spacing w:after="240"/>
              <w:contextualSpacing/>
              <w:rPr>
                <w:rFonts w:ascii="Times New Roman" w:hAnsi="Times New Roman"/>
              </w:rPr>
            </w:pPr>
            <w:r w:rsidRPr="000F7706">
              <w:rPr>
                <w:rFonts w:ascii="Times New Roman" w:hAnsi="Times New Roman"/>
              </w:rPr>
              <w:t>50 % (w/v) aqueous sucrose solution</w:t>
            </w:r>
          </w:p>
        </w:tc>
      </w:tr>
      <w:tr w:rsidR="00067435" w:rsidRPr="00EE3426" w14:paraId="24F4CAA9" w14:textId="77777777" w:rsidTr="00026175">
        <w:trPr>
          <w:trHeight w:hRule="exact" w:val="1611"/>
        </w:trPr>
        <w:tc>
          <w:tcPr>
            <w:tcW w:w="3969" w:type="dxa"/>
          </w:tcPr>
          <w:p w14:paraId="111CF457" w14:textId="77777777" w:rsidR="00067435" w:rsidRPr="000F7706" w:rsidRDefault="00067435" w:rsidP="00E05ECD">
            <w:pPr>
              <w:numPr>
                <w:ilvl w:val="0"/>
                <w:numId w:val="117"/>
              </w:numPr>
              <w:tabs>
                <w:tab w:val="left" w:pos="0"/>
                <w:tab w:val="left" w:pos="255"/>
                <w:tab w:val="left" w:pos="720"/>
              </w:tabs>
              <w:spacing w:after="240"/>
              <w:contextualSpacing/>
              <w:rPr>
                <w:rFonts w:ascii="Times New Roman" w:hAnsi="Times New Roman"/>
                <w:b/>
                <w:bCs/>
              </w:rPr>
            </w:pPr>
            <w:r w:rsidRPr="000F7706">
              <w:rPr>
                <w:rFonts w:ascii="Times New Roman" w:hAnsi="Times New Roman"/>
                <w:b/>
                <w:bCs/>
              </w:rPr>
              <w:t>Test units:</w:t>
            </w:r>
          </w:p>
        </w:tc>
        <w:tc>
          <w:tcPr>
            <w:tcW w:w="5381" w:type="dxa"/>
          </w:tcPr>
          <w:p w14:paraId="1ED67936" w14:textId="77777777" w:rsidR="00067435" w:rsidRPr="000F7706" w:rsidRDefault="00067435" w:rsidP="00026175">
            <w:pPr>
              <w:numPr>
                <w:ilvl w:val="3"/>
                <w:numId w:val="0"/>
              </w:numPr>
              <w:tabs>
                <w:tab w:val="left" w:pos="0"/>
                <w:tab w:val="left" w:pos="720"/>
              </w:tabs>
              <w:spacing w:after="240"/>
              <w:contextualSpacing/>
              <w:rPr>
                <w:rFonts w:ascii="Times New Roman" w:hAnsi="Times New Roman"/>
              </w:rPr>
            </w:pPr>
            <w:r w:rsidRPr="000F7706">
              <w:rPr>
                <w:rFonts w:ascii="Times New Roman" w:hAnsi="Times New Roman"/>
              </w:rPr>
              <w:t>Stainless steel cages (base: 8 cm x 4 cm; height: 6 cm), front side of the cages were equipped with a transparent pane for observation, bottom perforated board for air supply, lined with filter paper.</w:t>
            </w:r>
          </w:p>
        </w:tc>
      </w:tr>
      <w:tr w:rsidR="00067435" w:rsidRPr="003C20AD" w14:paraId="09D7E8AA" w14:textId="77777777" w:rsidTr="00026175">
        <w:trPr>
          <w:trHeight w:hRule="exact" w:val="340"/>
        </w:trPr>
        <w:tc>
          <w:tcPr>
            <w:tcW w:w="3969" w:type="dxa"/>
          </w:tcPr>
          <w:p w14:paraId="5E0F7827" w14:textId="77777777" w:rsidR="00067435" w:rsidRPr="000F7706" w:rsidRDefault="00067435" w:rsidP="00394607">
            <w:pPr>
              <w:keepNext/>
              <w:keepLines/>
              <w:widowControl w:val="0"/>
              <w:numPr>
                <w:ilvl w:val="0"/>
                <w:numId w:val="117"/>
              </w:numPr>
              <w:tabs>
                <w:tab w:val="left" w:pos="0"/>
                <w:tab w:val="left" w:pos="255"/>
                <w:tab w:val="left" w:pos="720"/>
              </w:tabs>
              <w:spacing w:after="240"/>
              <w:contextualSpacing/>
              <w:jc w:val="both"/>
              <w:rPr>
                <w:rFonts w:ascii="Times New Roman" w:hAnsi="Times New Roman"/>
                <w:b/>
                <w:bCs/>
              </w:rPr>
            </w:pPr>
            <w:r w:rsidRPr="000F7706">
              <w:rPr>
                <w:rFonts w:ascii="Times New Roman" w:hAnsi="Times New Roman"/>
                <w:b/>
                <w:bCs/>
              </w:rPr>
              <w:t>Environmental conditions</w:t>
            </w:r>
          </w:p>
        </w:tc>
        <w:tc>
          <w:tcPr>
            <w:tcW w:w="5381" w:type="dxa"/>
          </w:tcPr>
          <w:p w14:paraId="12816A4E" w14:textId="77777777" w:rsidR="00067435" w:rsidRPr="000F7706" w:rsidRDefault="00067435" w:rsidP="00394607">
            <w:pPr>
              <w:keepNext/>
              <w:keepLines/>
              <w:widowControl w:val="0"/>
              <w:numPr>
                <w:ilvl w:val="3"/>
                <w:numId w:val="0"/>
              </w:numPr>
              <w:tabs>
                <w:tab w:val="left" w:pos="0"/>
                <w:tab w:val="left" w:pos="720"/>
              </w:tabs>
              <w:spacing w:after="240"/>
              <w:ind w:left="360" w:hanging="360"/>
              <w:contextualSpacing/>
              <w:jc w:val="both"/>
              <w:rPr>
                <w:rFonts w:ascii="Times New Roman" w:hAnsi="Times New Roman"/>
              </w:rPr>
            </w:pPr>
          </w:p>
        </w:tc>
      </w:tr>
      <w:tr w:rsidR="00067435" w:rsidRPr="003C20AD" w14:paraId="5AB3205E" w14:textId="77777777" w:rsidTr="00026175">
        <w:trPr>
          <w:trHeight w:hRule="exact" w:val="340"/>
        </w:trPr>
        <w:tc>
          <w:tcPr>
            <w:tcW w:w="3969" w:type="dxa"/>
          </w:tcPr>
          <w:p w14:paraId="3B056952" w14:textId="77777777" w:rsidR="00067435" w:rsidRPr="000F7706" w:rsidRDefault="00067435" w:rsidP="00394607">
            <w:pPr>
              <w:keepNext/>
              <w:keepLines/>
              <w:widowControl w:val="0"/>
              <w:numPr>
                <w:ilvl w:val="3"/>
                <w:numId w:val="0"/>
              </w:numPr>
              <w:tabs>
                <w:tab w:val="left" w:pos="0"/>
                <w:tab w:val="left" w:pos="624"/>
              </w:tabs>
              <w:spacing w:after="240"/>
              <w:ind w:left="984" w:hanging="275"/>
              <w:contextualSpacing/>
              <w:rPr>
                <w:rFonts w:ascii="Times New Roman" w:hAnsi="Times New Roman"/>
              </w:rPr>
            </w:pPr>
            <w:r w:rsidRPr="000F7706">
              <w:rPr>
                <w:rFonts w:ascii="Times New Roman" w:hAnsi="Times New Roman"/>
              </w:rPr>
              <w:t>Temperature:</w:t>
            </w:r>
          </w:p>
        </w:tc>
        <w:tc>
          <w:tcPr>
            <w:tcW w:w="5381" w:type="dxa"/>
          </w:tcPr>
          <w:p w14:paraId="59A64508" w14:textId="77777777" w:rsidR="00067435" w:rsidRPr="000F7706" w:rsidRDefault="00067435" w:rsidP="00394607">
            <w:pPr>
              <w:keepNext/>
              <w:keepLines/>
              <w:widowControl w:val="0"/>
              <w:numPr>
                <w:ilvl w:val="3"/>
                <w:numId w:val="0"/>
              </w:numPr>
              <w:tabs>
                <w:tab w:val="left" w:pos="0"/>
                <w:tab w:val="left" w:pos="720"/>
              </w:tabs>
              <w:spacing w:after="240"/>
              <w:ind w:left="360" w:hanging="360"/>
              <w:contextualSpacing/>
              <w:jc w:val="both"/>
              <w:rPr>
                <w:rFonts w:ascii="Times New Roman" w:hAnsi="Times New Roman"/>
              </w:rPr>
            </w:pPr>
            <w:r w:rsidRPr="000F7706">
              <w:rPr>
                <w:rFonts w:ascii="Times New Roman" w:hAnsi="Times New Roman"/>
              </w:rPr>
              <w:t>32.2 – 33.8°C</w:t>
            </w:r>
          </w:p>
        </w:tc>
      </w:tr>
      <w:tr w:rsidR="00067435" w:rsidRPr="003C20AD" w14:paraId="76C5FF6D" w14:textId="77777777" w:rsidTr="00026175">
        <w:trPr>
          <w:trHeight w:hRule="exact" w:val="340"/>
        </w:trPr>
        <w:tc>
          <w:tcPr>
            <w:tcW w:w="3969" w:type="dxa"/>
          </w:tcPr>
          <w:p w14:paraId="24ED9589" w14:textId="77777777" w:rsidR="00067435" w:rsidRPr="000F7706" w:rsidRDefault="00067435" w:rsidP="00394607">
            <w:pPr>
              <w:keepNext/>
              <w:keepLines/>
              <w:widowControl w:val="0"/>
              <w:numPr>
                <w:ilvl w:val="3"/>
                <w:numId w:val="0"/>
              </w:numPr>
              <w:tabs>
                <w:tab w:val="left" w:pos="0"/>
                <w:tab w:val="left" w:pos="624"/>
              </w:tabs>
              <w:spacing w:after="240"/>
              <w:ind w:left="984" w:hanging="275"/>
              <w:contextualSpacing/>
              <w:rPr>
                <w:rFonts w:ascii="Times New Roman" w:hAnsi="Times New Roman"/>
              </w:rPr>
            </w:pPr>
            <w:r w:rsidRPr="000F7706">
              <w:rPr>
                <w:rFonts w:ascii="Times New Roman" w:hAnsi="Times New Roman"/>
              </w:rPr>
              <w:t>Relative humidity:</w:t>
            </w:r>
          </w:p>
        </w:tc>
        <w:tc>
          <w:tcPr>
            <w:tcW w:w="5381" w:type="dxa"/>
          </w:tcPr>
          <w:p w14:paraId="498E6503" w14:textId="77777777" w:rsidR="00067435" w:rsidRPr="000F7706" w:rsidRDefault="00067435" w:rsidP="00394607">
            <w:pPr>
              <w:keepNext/>
              <w:keepLines/>
              <w:widowControl w:val="0"/>
              <w:numPr>
                <w:ilvl w:val="3"/>
                <w:numId w:val="0"/>
              </w:numPr>
              <w:tabs>
                <w:tab w:val="left" w:pos="0"/>
                <w:tab w:val="left" w:pos="720"/>
              </w:tabs>
              <w:spacing w:after="240"/>
              <w:ind w:left="360" w:hanging="360"/>
              <w:contextualSpacing/>
              <w:jc w:val="both"/>
              <w:rPr>
                <w:rFonts w:ascii="Times New Roman" w:hAnsi="Times New Roman"/>
              </w:rPr>
            </w:pPr>
            <w:r w:rsidRPr="000F7706">
              <w:rPr>
                <w:rFonts w:ascii="Times New Roman" w:hAnsi="Times New Roman"/>
              </w:rPr>
              <w:t>54.0 – 62.7 %</w:t>
            </w:r>
          </w:p>
        </w:tc>
      </w:tr>
      <w:tr w:rsidR="00067435" w:rsidRPr="00EE3426" w14:paraId="0B93250C" w14:textId="77777777" w:rsidTr="00026175">
        <w:trPr>
          <w:trHeight w:hRule="exact" w:val="802"/>
        </w:trPr>
        <w:tc>
          <w:tcPr>
            <w:tcW w:w="3969" w:type="dxa"/>
          </w:tcPr>
          <w:p w14:paraId="24E4E28C" w14:textId="352B9958" w:rsidR="00067435" w:rsidRPr="000F7706" w:rsidRDefault="00067435" w:rsidP="00394607">
            <w:pPr>
              <w:keepNext/>
              <w:keepLines/>
              <w:widowControl w:val="0"/>
              <w:numPr>
                <w:ilvl w:val="3"/>
                <w:numId w:val="0"/>
              </w:numPr>
              <w:tabs>
                <w:tab w:val="left" w:pos="0"/>
                <w:tab w:val="left" w:pos="624"/>
              </w:tabs>
              <w:spacing w:after="240"/>
              <w:ind w:left="984" w:hanging="275"/>
              <w:contextualSpacing/>
              <w:rPr>
                <w:rFonts w:ascii="Times New Roman" w:hAnsi="Times New Roman"/>
              </w:rPr>
            </w:pPr>
            <w:r w:rsidRPr="000F7706">
              <w:rPr>
                <w:rFonts w:ascii="Times New Roman" w:hAnsi="Times New Roman"/>
              </w:rPr>
              <w:t>Photoperiod:</w:t>
            </w:r>
          </w:p>
        </w:tc>
        <w:tc>
          <w:tcPr>
            <w:tcW w:w="5381" w:type="dxa"/>
          </w:tcPr>
          <w:p w14:paraId="410F9F7F" w14:textId="77777777" w:rsidR="00D20F62" w:rsidRDefault="00067435" w:rsidP="00394607">
            <w:pPr>
              <w:keepNext/>
              <w:keepLines/>
              <w:widowControl w:val="0"/>
              <w:numPr>
                <w:ilvl w:val="3"/>
                <w:numId w:val="0"/>
              </w:numPr>
              <w:tabs>
                <w:tab w:val="left" w:pos="0"/>
                <w:tab w:val="left" w:pos="720"/>
              </w:tabs>
              <w:spacing w:after="240"/>
              <w:contextualSpacing/>
              <w:jc w:val="both"/>
              <w:rPr>
                <w:rFonts w:ascii="Times New Roman" w:hAnsi="Times New Roman"/>
              </w:rPr>
            </w:pPr>
            <w:r w:rsidRPr="000F7706">
              <w:rPr>
                <w:rFonts w:ascii="Times New Roman" w:hAnsi="Times New Roman"/>
              </w:rPr>
              <w:t>Constant darkness except during assessments</w:t>
            </w:r>
          </w:p>
          <w:p w14:paraId="6F07C5AC" w14:textId="77777777" w:rsidR="00394607" w:rsidRDefault="00394607" w:rsidP="00394607">
            <w:pPr>
              <w:keepNext/>
              <w:keepLines/>
              <w:widowControl w:val="0"/>
              <w:numPr>
                <w:ilvl w:val="3"/>
                <w:numId w:val="0"/>
              </w:numPr>
              <w:tabs>
                <w:tab w:val="left" w:pos="0"/>
                <w:tab w:val="left" w:pos="720"/>
              </w:tabs>
              <w:spacing w:after="240"/>
              <w:contextualSpacing/>
              <w:jc w:val="both"/>
              <w:rPr>
                <w:rFonts w:ascii="Times New Roman" w:hAnsi="Times New Roman"/>
              </w:rPr>
            </w:pPr>
          </w:p>
          <w:p w14:paraId="1BF5863D" w14:textId="77777777" w:rsidR="00394607" w:rsidRDefault="00394607" w:rsidP="00394607">
            <w:pPr>
              <w:keepNext/>
              <w:keepLines/>
              <w:widowControl w:val="0"/>
              <w:numPr>
                <w:ilvl w:val="3"/>
                <w:numId w:val="0"/>
              </w:numPr>
              <w:tabs>
                <w:tab w:val="left" w:pos="0"/>
                <w:tab w:val="left" w:pos="720"/>
              </w:tabs>
              <w:spacing w:after="240"/>
              <w:contextualSpacing/>
              <w:jc w:val="both"/>
              <w:rPr>
                <w:rFonts w:ascii="Times New Roman" w:hAnsi="Times New Roman"/>
              </w:rPr>
            </w:pPr>
          </w:p>
          <w:p w14:paraId="7BD3E8B3" w14:textId="4ECCAF0F" w:rsidR="00394607" w:rsidRPr="000F7706" w:rsidRDefault="00394607" w:rsidP="00394607">
            <w:pPr>
              <w:keepNext/>
              <w:keepLines/>
              <w:widowControl w:val="0"/>
              <w:numPr>
                <w:ilvl w:val="3"/>
                <w:numId w:val="0"/>
              </w:numPr>
              <w:tabs>
                <w:tab w:val="left" w:pos="0"/>
                <w:tab w:val="left" w:pos="720"/>
              </w:tabs>
              <w:spacing w:after="240"/>
              <w:contextualSpacing/>
              <w:jc w:val="both"/>
              <w:rPr>
                <w:rFonts w:ascii="Times New Roman" w:hAnsi="Times New Roman"/>
              </w:rPr>
            </w:pPr>
          </w:p>
        </w:tc>
      </w:tr>
    </w:tbl>
    <w:p w14:paraId="27010751" w14:textId="77777777" w:rsidR="00067435" w:rsidRPr="004A79E5" w:rsidRDefault="00067435" w:rsidP="00394607">
      <w:pPr>
        <w:keepNext/>
        <w:keepLines/>
        <w:widowControl w:val="0"/>
        <w:numPr>
          <w:ilvl w:val="0"/>
          <w:numId w:val="117"/>
        </w:numPr>
        <w:tabs>
          <w:tab w:val="left" w:pos="0"/>
        </w:tabs>
        <w:contextualSpacing/>
        <w:rPr>
          <w:rFonts w:ascii="Times New Roman Bold" w:hAnsi="Times New Roman Bold"/>
          <w:b/>
          <w:bCs/>
          <w:szCs w:val="24"/>
          <w:lang w:val="en-GB"/>
        </w:rPr>
      </w:pPr>
      <w:r w:rsidRPr="004A79E5">
        <w:rPr>
          <w:rFonts w:ascii="Times New Roman Bold" w:hAnsi="Times New Roman Bold"/>
          <w:b/>
          <w:bCs/>
          <w:szCs w:val="24"/>
          <w:lang w:val="en-GB"/>
        </w:rPr>
        <w:t xml:space="preserve">Test organism and treatment: </w:t>
      </w:r>
    </w:p>
    <w:p w14:paraId="6D826C9D" w14:textId="77777777" w:rsidR="00067435" w:rsidRPr="00D02BF4" w:rsidRDefault="00067435" w:rsidP="00394607">
      <w:pPr>
        <w:keepNext/>
        <w:keepLines/>
        <w:widowControl w:val="0"/>
        <w:tabs>
          <w:tab w:val="left" w:pos="1134"/>
          <w:tab w:val="right" w:pos="8222"/>
        </w:tabs>
        <w:suppressAutoHyphens/>
        <w:jc w:val="both"/>
        <w:rPr>
          <w:snapToGrid w:val="0"/>
          <w:lang w:val="en-GB"/>
        </w:rPr>
      </w:pPr>
      <w:r w:rsidRPr="00EE3426">
        <w:rPr>
          <w:snapToGrid w:val="0"/>
          <w:lang w:val="en-GB"/>
        </w:rPr>
        <w:t>In a 10-day chronic toxicity feeding test, max. 4-day old worker honeybees (</w:t>
      </w:r>
      <w:r w:rsidRPr="00EE3426">
        <w:rPr>
          <w:i/>
          <w:snapToGrid w:val="0"/>
          <w:lang w:val="en-GB"/>
        </w:rPr>
        <w:t xml:space="preserve">Apis mellifera) </w:t>
      </w:r>
      <w:r w:rsidRPr="00EE3426">
        <w:rPr>
          <w:snapToGrid w:val="0"/>
          <w:lang w:val="en-GB"/>
        </w:rPr>
        <w:t>were exposed to Propamocarb-hydrochloride SL 722 in treated food (50% (w/v) aqueous sucrose solution). In total, 3 treatment groups were set up: 5 doses of the test item, one untreated control group fed with 50% (w/v) aqueous sucrose solution and 1 dose of the reference item with 4 replicates per dose and 10 bees per replicate. Assessments of bee mortality and behavioral effects were done daily during the study. Test concentrations were 7.13, 13.6, 27.7, 52.9 and 85.7 µg a.s./bee/day corresponding to concentrations of 187.5, 375, 750, 1500 and 3000 mg product/kg food.</w:t>
      </w:r>
      <w:r w:rsidRPr="00EE3426">
        <w:rPr>
          <w:lang w:val="en-GB"/>
        </w:rPr>
        <w:t xml:space="preserve"> </w:t>
      </w:r>
      <w:r w:rsidRPr="00EE3426">
        <w:rPr>
          <w:snapToGrid w:val="0"/>
          <w:lang w:val="en-GB"/>
        </w:rPr>
        <w:t>An additional group of honeybees was exposed to a daily application of dimethoate diluted in 50% (w/v) sucrose solution as a reference item at a nominal dose of 0.90 mg dimethoate/kg feeding solution.</w:t>
      </w:r>
    </w:p>
    <w:p w14:paraId="3F8DBA19" w14:textId="77777777" w:rsidR="00067435" w:rsidRPr="00EE3426" w:rsidRDefault="00067435" w:rsidP="00067435">
      <w:pPr>
        <w:tabs>
          <w:tab w:val="left" w:pos="720"/>
        </w:tabs>
        <w:spacing w:after="240"/>
        <w:jc w:val="both"/>
        <w:rPr>
          <w:szCs w:val="24"/>
          <w:highlight w:val="yellow"/>
          <w:lang w:val="en-GB"/>
        </w:rPr>
      </w:pPr>
    </w:p>
    <w:p w14:paraId="3B291CAF" w14:textId="77777777" w:rsidR="00067435" w:rsidRPr="00F20FA1" w:rsidRDefault="00067435" w:rsidP="00E05ECD">
      <w:pPr>
        <w:numPr>
          <w:ilvl w:val="0"/>
          <w:numId w:val="117"/>
        </w:numPr>
        <w:tabs>
          <w:tab w:val="left" w:pos="0"/>
        </w:tabs>
        <w:contextualSpacing/>
        <w:rPr>
          <w:rFonts w:ascii="Times New Roman Bold" w:hAnsi="Times New Roman Bold"/>
          <w:b/>
          <w:bCs/>
          <w:szCs w:val="24"/>
          <w:lang w:val="en-GB"/>
        </w:rPr>
      </w:pPr>
      <w:r w:rsidRPr="00F20FA1">
        <w:rPr>
          <w:rFonts w:ascii="Times New Roman Bold" w:hAnsi="Times New Roman Bold"/>
          <w:b/>
          <w:bCs/>
          <w:szCs w:val="24"/>
          <w:lang w:val="en-GB"/>
        </w:rPr>
        <w:t xml:space="preserve">Measurements and observations: </w:t>
      </w:r>
    </w:p>
    <w:p w14:paraId="333E49FB" w14:textId="77777777" w:rsidR="00067435" w:rsidRDefault="00067435" w:rsidP="00067435">
      <w:pPr>
        <w:tabs>
          <w:tab w:val="left" w:pos="720"/>
        </w:tabs>
        <w:jc w:val="both"/>
        <w:rPr>
          <w:szCs w:val="24"/>
          <w:lang w:val="en-GB"/>
        </w:rPr>
      </w:pPr>
      <w:r w:rsidRPr="00F20FA1">
        <w:rPr>
          <w:szCs w:val="24"/>
          <w:lang w:val="en-GB"/>
        </w:rPr>
        <w:t>Mortality and behavioural abnormalities were recorded daily.</w:t>
      </w:r>
    </w:p>
    <w:p w14:paraId="77A8E4F1" w14:textId="77777777" w:rsidR="00067435" w:rsidRPr="00F20FA1" w:rsidRDefault="00067435" w:rsidP="00067435">
      <w:pPr>
        <w:tabs>
          <w:tab w:val="left" w:pos="720"/>
        </w:tabs>
        <w:jc w:val="both"/>
        <w:rPr>
          <w:szCs w:val="24"/>
          <w:lang w:val="en-GB"/>
        </w:rPr>
      </w:pPr>
    </w:p>
    <w:p w14:paraId="2563EBB0" w14:textId="77777777" w:rsidR="00067435" w:rsidRPr="00827E4E" w:rsidRDefault="00067435" w:rsidP="00E05ECD">
      <w:pPr>
        <w:numPr>
          <w:ilvl w:val="0"/>
          <w:numId w:val="117"/>
        </w:numPr>
        <w:tabs>
          <w:tab w:val="left" w:pos="0"/>
        </w:tabs>
        <w:contextualSpacing/>
        <w:rPr>
          <w:rFonts w:ascii="Times New Roman Bold" w:hAnsi="Times New Roman Bold"/>
          <w:b/>
          <w:bCs/>
          <w:szCs w:val="24"/>
          <w:lang w:val="en-GB"/>
        </w:rPr>
      </w:pPr>
      <w:r>
        <w:rPr>
          <w:rFonts w:ascii="Times New Roman Bold" w:hAnsi="Times New Roman Bold"/>
          <w:b/>
          <w:bCs/>
          <w:szCs w:val="24"/>
          <w:lang w:val="en-GB"/>
        </w:rPr>
        <w:t>Analytical dose verification</w:t>
      </w:r>
      <w:r w:rsidRPr="00827E4E">
        <w:rPr>
          <w:rFonts w:ascii="Times New Roman Bold" w:hAnsi="Times New Roman Bold"/>
          <w:b/>
          <w:bCs/>
          <w:szCs w:val="24"/>
          <w:lang w:val="en-GB"/>
        </w:rPr>
        <w:t xml:space="preserve">: </w:t>
      </w:r>
    </w:p>
    <w:p w14:paraId="0555756A" w14:textId="77777777" w:rsidR="00067435" w:rsidRPr="00E26EB9" w:rsidRDefault="00067435" w:rsidP="00067435">
      <w:pPr>
        <w:tabs>
          <w:tab w:val="left" w:pos="720"/>
        </w:tabs>
        <w:jc w:val="both"/>
        <w:rPr>
          <w:szCs w:val="24"/>
          <w:lang w:val="en-GB"/>
        </w:rPr>
      </w:pPr>
      <w:r>
        <w:rPr>
          <w:szCs w:val="24"/>
          <w:lang w:val="en-GB"/>
        </w:rPr>
        <w:t xml:space="preserve">Samples of the </w:t>
      </w:r>
      <w:r w:rsidRPr="00E26EB9">
        <w:rPr>
          <w:szCs w:val="24"/>
          <w:lang w:val="en-GB"/>
        </w:rPr>
        <w:t>solutions prepared freshly every day throughout the 10 days continuous feeding period were taken daily for subsequent chemical analysis in order to reveal the actual concentration of the active substance of test item.</w:t>
      </w:r>
      <w:r>
        <w:rPr>
          <w:szCs w:val="24"/>
          <w:lang w:val="en-GB"/>
        </w:rPr>
        <w:t xml:space="preserve"> Analytical </w:t>
      </w:r>
      <w:r w:rsidRPr="00E26EB9">
        <w:rPr>
          <w:szCs w:val="24"/>
          <w:lang w:val="en-GB"/>
        </w:rPr>
        <w:t>samples of the feeding solutions of the control group and the test item groups were taken directly after the daily preparation of the feeding solutions</w:t>
      </w:r>
      <w:r>
        <w:rPr>
          <w:szCs w:val="24"/>
          <w:lang w:val="en-GB"/>
        </w:rPr>
        <w:t xml:space="preserve">. All samples were stored </w:t>
      </w:r>
      <w:r w:rsidRPr="00E26EB9">
        <w:rPr>
          <w:szCs w:val="24"/>
          <w:lang w:val="en-GB"/>
        </w:rPr>
        <w:t xml:space="preserve">deep frozen (typically at </w:t>
      </w:r>
      <w:r>
        <w:rPr>
          <w:szCs w:val="24"/>
          <w:lang w:val="en-GB"/>
        </w:rPr>
        <w:t>≤</w:t>
      </w:r>
      <w:r w:rsidRPr="00E26EB9">
        <w:rPr>
          <w:szCs w:val="24"/>
          <w:lang w:val="en-GB"/>
        </w:rPr>
        <w:t xml:space="preserve"> - 18°C) immediately after sampling and maintained in a deep frozen condition and adequately separated during storage and shipment for subsequent chemical analysis. </w:t>
      </w:r>
      <w:r>
        <w:rPr>
          <w:szCs w:val="24"/>
          <w:lang w:val="en-GB"/>
        </w:rPr>
        <w:t>Analysis of the test item was conducted using Bayer CropScience method 01163 by means of reversed phase HPLC coupled with electrospray and mass spectrometry (MS/MS) detection.</w:t>
      </w:r>
    </w:p>
    <w:p w14:paraId="3A861902" w14:textId="77777777" w:rsidR="00067435" w:rsidRPr="003C20AD" w:rsidRDefault="00067435" w:rsidP="00067435">
      <w:pPr>
        <w:tabs>
          <w:tab w:val="left" w:pos="720"/>
        </w:tabs>
        <w:jc w:val="both"/>
        <w:rPr>
          <w:szCs w:val="24"/>
          <w:highlight w:val="yellow"/>
          <w:lang w:val="en-GB"/>
        </w:rPr>
      </w:pPr>
    </w:p>
    <w:p w14:paraId="457A2FBA" w14:textId="77777777" w:rsidR="00067435" w:rsidRPr="00827E4E" w:rsidRDefault="00067435" w:rsidP="00E05ECD">
      <w:pPr>
        <w:numPr>
          <w:ilvl w:val="0"/>
          <w:numId w:val="117"/>
        </w:numPr>
        <w:tabs>
          <w:tab w:val="left" w:pos="0"/>
        </w:tabs>
        <w:contextualSpacing/>
        <w:rPr>
          <w:rFonts w:ascii="Times New Roman Bold" w:hAnsi="Times New Roman Bold"/>
          <w:b/>
          <w:bCs/>
          <w:szCs w:val="24"/>
          <w:lang w:val="en-GB"/>
        </w:rPr>
      </w:pPr>
      <w:r w:rsidRPr="00827E4E">
        <w:rPr>
          <w:rFonts w:ascii="Times New Roman Bold" w:hAnsi="Times New Roman Bold"/>
          <w:b/>
          <w:bCs/>
          <w:szCs w:val="24"/>
          <w:lang w:val="en-GB"/>
        </w:rPr>
        <w:t xml:space="preserve">Statistical analysis: </w:t>
      </w:r>
    </w:p>
    <w:p w14:paraId="7B85CFC7" w14:textId="77777777" w:rsidR="00067435" w:rsidRPr="00EE3426" w:rsidRDefault="00067435" w:rsidP="00067435">
      <w:pPr>
        <w:widowControl w:val="0"/>
        <w:suppressAutoHyphens/>
        <w:jc w:val="both"/>
        <w:rPr>
          <w:lang w:val="en-GB"/>
        </w:rPr>
      </w:pPr>
      <w:r w:rsidRPr="00EE3426">
        <w:rPr>
          <w:lang w:val="en-GB"/>
        </w:rPr>
        <w:t>Fisher’s Exact Test (Bonferroni-Holms corrected, right-sided, p ≤ 0.05) was used to evaluate whether there are significant differences between the mortality data of the control and the test item treatment group and to determine the NOEC and NOEDD based on mortality.</w:t>
      </w:r>
    </w:p>
    <w:p w14:paraId="578103FF" w14:textId="77777777" w:rsidR="00067435" w:rsidRPr="00EE3426" w:rsidRDefault="00067435" w:rsidP="00067435">
      <w:pPr>
        <w:widowControl w:val="0"/>
        <w:suppressAutoHyphens/>
        <w:jc w:val="both"/>
        <w:rPr>
          <w:lang w:val="en-GB"/>
        </w:rPr>
      </w:pPr>
      <w:r w:rsidRPr="00EE3426">
        <w:rPr>
          <w:lang w:val="en-GB"/>
        </w:rPr>
        <w:t xml:space="preserve">For the statistical comparison of the food consumption, non-rounded mean values per replicate over the entire test period were taken. Data of food consumption were statistically analysed by using the Williams t-test (left-sided, </w:t>
      </w:r>
      <w:r w:rsidRPr="00827E4E">
        <w:t>α</w:t>
      </w:r>
      <w:r w:rsidRPr="00EE3426">
        <w:rPr>
          <w:lang w:val="en-GB"/>
        </w:rPr>
        <w:t xml:space="preserve"> = 0.05) depending on the results of the pre-test of Shapiro Wilks and F-Test (</w:t>
      </w:r>
      <w:r w:rsidRPr="00827E4E">
        <w:t>α</w:t>
      </w:r>
      <w:r w:rsidRPr="00EE3426">
        <w:rPr>
          <w:lang w:val="en-GB"/>
        </w:rPr>
        <w:t xml:space="preserve"> = 0.05).</w:t>
      </w:r>
    </w:p>
    <w:p w14:paraId="0B832D79" w14:textId="77777777" w:rsidR="00067435" w:rsidRPr="00EE3426" w:rsidRDefault="00067435" w:rsidP="00067435">
      <w:pPr>
        <w:widowControl w:val="0"/>
        <w:suppressAutoHyphens/>
        <w:jc w:val="both"/>
        <w:rPr>
          <w:lang w:val="en-GB"/>
        </w:rPr>
      </w:pPr>
      <w:r w:rsidRPr="00EE3426">
        <w:rPr>
          <w:lang w:val="en-GB"/>
        </w:rPr>
        <w:t>Statistical calculations were made by using the statistical program TOXRAT Professional 2.10.</w:t>
      </w:r>
    </w:p>
    <w:p w14:paraId="7C2A34A5" w14:textId="77777777" w:rsidR="00067435" w:rsidRPr="00EE3426" w:rsidRDefault="00067435" w:rsidP="00067435">
      <w:pPr>
        <w:widowControl w:val="0"/>
        <w:rPr>
          <w:szCs w:val="24"/>
          <w:highlight w:val="yellow"/>
          <w:lang w:val="en-GB"/>
        </w:rPr>
      </w:pPr>
    </w:p>
    <w:p w14:paraId="7FFAB4EA" w14:textId="77777777" w:rsidR="00067435" w:rsidRPr="001727AC" w:rsidRDefault="00067435" w:rsidP="00067435">
      <w:pPr>
        <w:tabs>
          <w:tab w:val="left" w:pos="720"/>
        </w:tabs>
        <w:spacing w:after="480"/>
        <w:ind w:left="720" w:hanging="431"/>
        <w:contextualSpacing/>
        <w:jc w:val="center"/>
        <w:rPr>
          <w:b/>
          <w:bCs/>
          <w:szCs w:val="24"/>
          <w:lang w:val="en-GB"/>
        </w:rPr>
      </w:pPr>
      <w:r w:rsidRPr="001727AC">
        <w:rPr>
          <w:b/>
          <w:bCs/>
          <w:szCs w:val="24"/>
          <w:lang w:val="en-GB"/>
        </w:rPr>
        <w:t>II. RESULTS AND DISCUSSION</w:t>
      </w:r>
    </w:p>
    <w:p w14:paraId="4FFB6134" w14:textId="77777777" w:rsidR="00067435" w:rsidRPr="00E21437" w:rsidRDefault="00067435" w:rsidP="00067435">
      <w:pPr>
        <w:tabs>
          <w:tab w:val="left" w:pos="0"/>
        </w:tabs>
        <w:contextualSpacing/>
        <w:rPr>
          <w:rFonts w:ascii="Times New Roman Bold" w:hAnsi="Times New Roman Bold"/>
          <w:b/>
          <w:bCs/>
          <w:szCs w:val="24"/>
          <w:lang w:val="en-GB"/>
        </w:rPr>
      </w:pPr>
      <w:r w:rsidRPr="00E21437">
        <w:rPr>
          <w:rFonts w:ascii="Times New Roman Bold" w:hAnsi="Times New Roman Bold"/>
          <w:b/>
          <w:bCs/>
          <w:szCs w:val="24"/>
          <w:lang w:val="en-GB"/>
        </w:rPr>
        <w:t>Analytical results</w:t>
      </w:r>
    </w:p>
    <w:p w14:paraId="79CCECD1" w14:textId="77777777" w:rsidR="00067435" w:rsidRDefault="00067435" w:rsidP="00067435">
      <w:pPr>
        <w:tabs>
          <w:tab w:val="left" w:pos="720"/>
        </w:tabs>
        <w:spacing w:after="240"/>
        <w:contextualSpacing/>
        <w:rPr>
          <w:b/>
          <w:bCs/>
          <w:szCs w:val="24"/>
          <w:lang w:val="en-GB"/>
        </w:rPr>
      </w:pPr>
    </w:p>
    <w:p w14:paraId="45A60177" w14:textId="77777777" w:rsidR="00067435" w:rsidRPr="001D05C9" w:rsidRDefault="00067435" w:rsidP="00067435">
      <w:pPr>
        <w:tabs>
          <w:tab w:val="left" w:pos="720"/>
        </w:tabs>
        <w:spacing w:after="240"/>
        <w:contextualSpacing/>
        <w:jc w:val="both"/>
        <w:rPr>
          <w:lang w:val="en-GB"/>
        </w:rPr>
      </w:pPr>
      <w:r w:rsidRPr="00EE3426">
        <w:rPr>
          <w:lang w:val="en-GB"/>
        </w:rPr>
        <w:t xml:space="preserve">Mean recoveries of the test item in the tested solutions were in the range of 107 to 116% of nominal values. Since </w:t>
      </w:r>
      <w:r w:rsidRPr="001D05C9">
        <w:rPr>
          <w:lang w:val="en-GB"/>
        </w:rPr>
        <w:t>the recoveries were in the range of 70 – 120% of nominal, results are based on the nominal values.</w:t>
      </w:r>
    </w:p>
    <w:p w14:paraId="0C930FAB" w14:textId="67F9F661" w:rsidR="00067435" w:rsidRPr="001D05C9" w:rsidRDefault="00067435" w:rsidP="00067435">
      <w:pPr>
        <w:tabs>
          <w:tab w:val="left" w:pos="720"/>
        </w:tabs>
        <w:spacing w:after="240"/>
        <w:contextualSpacing/>
        <w:rPr>
          <w:lang w:val="en-GB"/>
        </w:rPr>
      </w:pPr>
      <w:r w:rsidRPr="001D05C9">
        <w:rPr>
          <w:lang w:val="en-GB"/>
        </w:rPr>
        <w:t>Results are summarized in</w:t>
      </w:r>
      <w:r w:rsidR="00D20F62">
        <w:rPr>
          <w:lang w:val="en-GB"/>
        </w:rPr>
        <w:t xml:space="preserve"> </w:t>
      </w:r>
      <w:r w:rsidR="00D20F62">
        <w:rPr>
          <w:lang w:val="en-GB"/>
        </w:rPr>
        <w:fldChar w:fldCharType="begin"/>
      </w:r>
      <w:r w:rsidR="00D20F62">
        <w:rPr>
          <w:lang w:val="en-GB"/>
        </w:rPr>
        <w:instrText xml:space="preserve"> REF _Ref147909420 \h </w:instrText>
      </w:r>
      <w:r w:rsidR="00D20F62">
        <w:rPr>
          <w:lang w:val="en-GB"/>
        </w:rPr>
      </w:r>
      <w:r w:rsidR="00D20F62">
        <w:rPr>
          <w:lang w:val="en-GB"/>
        </w:rPr>
        <w:fldChar w:fldCharType="separate"/>
      </w:r>
      <w:r w:rsidR="006F0F3B">
        <w:t xml:space="preserve">Table A </w:t>
      </w:r>
      <w:r w:rsidR="006F0F3B">
        <w:rPr>
          <w:noProof/>
        </w:rPr>
        <w:t>53</w:t>
      </w:r>
      <w:r w:rsidR="00D20F62">
        <w:rPr>
          <w:lang w:val="en-GB"/>
        </w:rPr>
        <w:fldChar w:fldCharType="end"/>
      </w:r>
      <w:r w:rsidRPr="001D05C9">
        <w:rPr>
          <w:lang w:val="en-GB"/>
        </w:rPr>
        <w:t>.</w:t>
      </w:r>
    </w:p>
    <w:p w14:paraId="00CCDA02" w14:textId="574DDBED" w:rsidR="00067435" w:rsidRPr="001D05C9" w:rsidRDefault="00D20F62" w:rsidP="00D20F62">
      <w:pPr>
        <w:pStyle w:val="Legenda"/>
        <w:rPr>
          <w:b w:val="0"/>
          <w:bCs w:val="0"/>
        </w:rPr>
      </w:pPr>
      <w:bookmarkStart w:id="1112" w:name="_Ref147909420"/>
      <w:r>
        <w:t xml:space="preserve">Table A </w:t>
      </w:r>
      <w:r>
        <w:fldChar w:fldCharType="begin"/>
      </w:r>
      <w:r>
        <w:instrText xml:space="preserve"> SEQ Table_A \* ARABIC </w:instrText>
      </w:r>
      <w:r>
        <w:fldChar w:fldCharType="separate"/>
      </w:r>
      <w:r w:rsidR="006F0F3B">
        <w:rPr>
          <w:noProof/>
        </w:rPr>
        <w:t>53</w:t>
      </w:r>
      <w:r>
        <w:fldChar w:fldCharType="end"/>
      </w:r>
      <w:bookmarkEnd w:id="1112"/>
      <w:r w:rsidR="00067435" w:rsidRPr="001D05C9">
        <w:t>: Summary of actual test item concentrations in the feeding solutions of the control and test item treatment group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6"/>
        <w:gridCol w:w="2343"/>
        <w:gridCol w:w="2515"/>
        <w:gridCol w:w="2170"/>
      </w:tblGrid>
      <w:tr w:rsidR="00067435" w:rsidRPr="00781D5C" w14:paraId="50825992" w14:textId="77777777" w:rsidTr="00026175">
        <w:tc>
          <w:tcPr>
            <w:tcW w:w="1239" w:type="pct"/>
            <w:vAlign w:val="center"/>
          </w:tcPr>
          <w:p w14:paraId="4DD42BC2" w14:textId="77777777" w:rsidR="00067435" w:rsidRPr="001D05C9" w:rsidRDefault="00067435" w:rsidP="00026175">
            <w:pPr>
              <w:keepNext/>
              <w:keepLines/>
              <w:widowControl w:val="0"/>
              <w:tabs>
                <w:tab w:val="left" w:pos="1984"/>
              </w:tabs>
              <w:suppressAutoHyphens/>
              <w:spacing w:before="20" w:after="20"/>
              <w:rPr>
                <w:b/>
                <w:sz w:val="20"/>
                <w:szCs w:val="20"/>
                <w:lang w:val="en-GB"/>
              </w:rPr>
            </w:pPr>
            <w:r w:rsidRPr="001D05C9">
              <w:rPr>
                <w:b/>
                <w:sz w:val="20"/>
                <w:szCs w:val="20"/>
                <w:lang w:val="en-GB"/>
              </w:rPr>
              <w:t>Nominal dosage</w:t>
            </w:r>
            <w:r w:rsidRPr="001D05C9">
              <w:rPr>
                <w:b/>
                <w:sz w:val="20"/>
                <w:szCs w:val="20"/>
                <w:lang w:val="en-GB"/>
              </w:rPr>
              <w:br/>
              <w:t>[mg a.s./kg]</w:t>
            </w:r>
          </w:p>
        </w:tc>
        <w:tc>
          <w:tcPr>
            <w:tcW w:w="1254" w:type="pct"/>
            <w:vAlign w:val="center"/>
          </w:tcPr>
          <w:p w14:paraId="5F9F91AF" w14:textId="77777777" w:rsidR="00067435" w:rsidRPr="001D05C9" w:rsidRDefault="00067435" w:rsidP="00026175">
            <w:pPr>
              <w:keepNext/>
              <w:keepLines/>
              <w:widowControl w:val="0"/>
              <w:tabs>
                <w:tab w:val="left" w:pos="1984"/>
              </w:tabs>
              <w:suppressAutoHyphens/>
              <w:spacing w:before="20" w:after="20"/>
              <w:rPr>
                <w:b/>
                <w:sz w:val="20"/>
                <w:szCs w:val="20"/>
                <w:lang w:val="en-GB"/>
              </w:rPr>
            </w:pPr>
            <w:r w:rsidRPr="001D05C9">
              <w:rPr>
                <w:b/>
                <w:sz w:val="20"/>
                <w:szCs w:val="20"/>
                <w:lang w:val="en-GB"/>
              </w:rPr>
              <w:t xml:space="preserve">Mean actual concentration </w:t>
            </w:r>
          </w:p>
          <w:p w14:paraId="07A4D493" w14:textId="77777777" w:rsidR="00067435" w:rsidRPr="001D05C9" w:rsidRDefault="00067435" w:rsidP="00026175">
            <w:pPr>
              <w:keepNext/>
              <w:keepLines/>
              <w:widowControl w:val="0"/>
              <w:tabs>
                <w:tab w:val="left" w:pos="1984"/>
              </w:tabs>
              <w:suppressAutoHyphens/>
              <w:spacing w:before="20" w:after="20"/>
              <w:rPr>
                <w:b/>
                <w:sz w:val="20"/>
                <w:szCs w:val="20"/>
                <w:lang w:val="en-GB"/>
              </w:rPr>
            </w:pPr>
            <w:r w:rsidRPr="001D05C9">
              <w:rPr>
                <w:b/>
                <w:sz w:val="20"/>
                <w:szCs w:val="20"/>
                <w:lang w:val="en-GB"/>
              </w:rPr>
              <w:t>[mg a.s./kg]</w:t>
            </w:r>
          </w:p>
        </w:tc>
        <w:tc>
          <w:tcPr>
            <w:tcW w:w="1346" w:type="pct"/>
            <w:vAlign w:val="center"/>
          </w:tcPr>
          <w:p w14:paraId="597BB164" w14:textId="77777777" w:rsidR="00067435" w:rsidRPr="001D05C9" w:rsidRDefault="00067435" w:rsidP="00026175">
            <w:pPr>
              <w:keepNext/>
              <w:keepLines/>
              <w:widowControl w:val="0"/>
              <w:tabs>
                <w:tab w:val="left" w:pos="1984"/>
              </w:tabs>
              <w:suppressAutoHyphens/>
              <w:spacing w:before="20" w:after="20"/>
              <w:rPr>
                <w:b/>
                <w:sz w:val="20"/>
                <w:szCs w:val="20"/>
                <w:lang w:val="en-GB"/>
              </w:rPr>
            </w:pPr>
            <w:r w:rsidRPr="001D05C9">
              <w:rPr>
                <w:b/>
                <w:sz w:val="20"/>
                <w:szCs w:val="20"/>
                <w:lang w:val="en-GB"/>
              </w:rPr>
              <w:t xml:space="preserve">Mean calculated concentration </w:t>
            </w:r>
          </w:p>
          <w:p w14:paraId="795126B0" w14:textId="77777777" w:rsidR="00067435" w:rsidRPr="001D05C9" w:rsidRDefault="00067435" w:rsidP="00026175">
            <w:pPr>
              <w:keepNext/>
              <w:keepLines/>
              <w:widowControl w:val="0"/>
              <w:tabs>
                <w:tab w:val="left" w:pos="1984"/>
              </w:tabs>
              <w:suppressAutoHyphens/>
              <w:spacing w:before="20" w:after="20"/>
              <w:rPr>
                <w:b/>
                <w:sz w:val="20"/>
                <w:szCs w:val="20"/>
                <w:lang w:val="en-GB"/>
              </w:rPr>
            </w:pPr>
            <w:r w:rsidRPr="001D05C9">
              <w:rPr>
                <w:b/>
                <w:sz w:val="20"/>
                <w:szCs w:val="20"/>
                <w:lang w:val="en-GB"/>
              </w:rPr>
              <w:t>[mg product/kg]</w:t>
            </w:r>
          </w:p>
        </w:tc>
        <w:tc>
          <w:tcPr>
            <w:tcW w:w="1161" w:type="pct"/>
            <w:vAlign w:val="center"/>
          </w:tcPr>
          <w:p w14:paraId="39461437" w14:textId="77777777" w:rsidR="00067435" w:rsidRPr="00781D5C" w:rsidRDefault="00067435" w:rsidP="00026175">
            <w:pPr>
              <w:keepNext/>
              <w:keepLines/>
              <w:widowControl w:val="0"/>
              <w:tabs>
                <w:tab w:val="left" w:pos="1984"/>
              </w:tabs>
              <w:suppressAutoHyphens/>
              <w:spacing w:before="20" w:after="20"/>
              <w:rPr>
                <w:b/>
                <w:sz w:val="20"/>
                <w:szCs w:val="20"/>
              </w:rPr>
            </w:pPr>
            <w:r w:rsidRPr="001D05C9">
              <w:rPr>
                <w:b/>
                <w:sz w:val="20"/>
                <w:szCs w:val="20"/>
              </w:rPr>
              <w:t>Mean Recovery [%]</w:t>
            </w:r>
          </w:p>
        </w:tc>
      </w:tr>
      <w:tr w:rsidR="00067435" w:rsidRPr="00781D5C" w14:paraId="603F16F7" w14:textId="77777777" w:rsidTr="00026175">
        <w:tc>
          <w:tcPr>
            <w:tcW w:w="1239" w:type="pct"/>
            <w:vAlign w:val="center"/>
          </w:tcPr>
          <w:p w14:paraId="33B31CD7"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Control</w:t>
            </w:r>
          </w:p>
        </w:tc>
        <w:tc>
          <w:tcPr>
            <w:tcW w:w="1254" w:type="pct"/>
            <w:vAlign w:val="center"/>
          </w:tcPr>
          <w:p w14:paraId="79664609" w14:textId="77777777" w:rsidR="00067435" w:rsidRPr="00781D5C" w:rsidRDefault="00067435" w:rsidP="00026175">
            <w:pPr>
              <w:keepNext/>
              <w:keepLines/>
              <w:widowControl w:val="0"/>
              <w:tabs>
                <w:tab w:val="left" w:pos="1984"/>
              </w:tabs>
              <w:suppressAutoHyphens/>
              <w:spacing w:before="20" w:after="20"/>
              <w:rPr>
                <w:b/>
                <w:sz w:val="20"/>
                <w:szCs w:val="20"/>
              </w:rPr>
            </w:pPr>
            <w:r>
              <w:rPr>
                <w:sz w:val="20"/>
                <w:szCs w:val="20"/>
              </w:rPr>
              <w:t>&lt;LOD</w:t>
            </w:r>
          </w:p>
        </w:tc>
        <w:tc>
          <w:tcPr>
            <w:tcW w:w="1346" w:type="pct"/>
            <w:vAlign w:val="center"/>
          </w:tcPr>
          <w:p w14:paraId="6399B09E"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&lt;LOD</w:t>
            </w:r>
          </w:p>
        </w:tc>
        <w:tc>
          <w:tcPr>
            <w:tcW w:w="1161" w:type="pct"/>
            <w:vAlign w:val="center"/>
          </w:tcPr>
          <w:p w14:paraId="1A19863A"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w:t>
            </w:r>
          </w:p>
        </w:tc>
      </w:tr>
      <w:tr w:rsidR="00067435" w:rsidRPr="00781D5C" w14:paraId="201B3BF8" w14:textId="77777777" w:rsidTr="00026175">
        <w:tc>
          <w:tcPr>
            <w:tcW w:w="1239" w:type="pct"/>
            <w:vAlign w:val="center"/>
          </w:tcPr>
          <w:p w14:paraId="6F60EEE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187.5</w:t>
            </w:r>
          </w:p>
        </w:tc>
        <w:tc>
          <w:tcPr>
            <w:tcW w:w="1254" w:type="pct"/>
            <w:vAlign w:val="center"/>
          </w:tcPr>
          <w:p w14:paraId="74B9E058"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182</w:t>
            </w:r>
          </w:p>
        </w:tc>
        <w:tc>
          <w:tcPr>
            <w:tcW w:w="1346" w:type="pct"/>
            <w:vAlign w:val="center"/>
          </w:tcPr>
          <w:p w14:paraId="19E0744D"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217</w:t>
            </w:r>
          </w:p>
        </w:tc>
        <w:tc>
          <w:tcPr>
            <w:tcW w:w="1161" w:type="pct"/>
            <w:vAlign w:val="center"/>
          </w:tcPr>
          <w:p w14:paraId="52DA69D7"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116</w:t>
            </w:r>
          </w:p>
        </w:tc>
      </w:tr>
      <w:tr w:rsidR="00067435" w:rsidRPr="00781D5C" w14:paraId="50270DC6" w14:textId="77777777" w:rsidTr="00026175">
        <w:tc>
          <w:tcPr>
            <w:tcW w:w="1239" w:type="pct"/>
            <w:vAlign w:val="center"/>
          </w:tcPr>
          <w:p w14:paraId="4FD84AEC"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375</w:t>
            </w:r>
          </w:p>
        </w:tc>
        <w:tc>
          <w:tcPr>
            <w:tcW w:w="1254" w:type="pct"/>
            <w:vAlign w:val="center"/>
          </w:tcPr>
          <w:p w14:paraId="37BF118F"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336</w:t>
            </w:r>
          </w:p>
        </w:tc>
        <w:tc>
          <w:tcPr>
            <w:tcW w:w="1346" w:type="pct"/>
            <w:vAlign w:val="center"/>
          </w:tcPr>
          <w:p w14:paraId="38115BEA"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400</w:t>
            </w:r>
          </w:p>
        </w:tc>
        <w:tc>
          <w:tcPr>
            <w:tcW w:w="1161" w:type="pct"/>
            <w:vAlign w:val="center"/>
          </w:tcPr>
          <w:p w14:paraId="0CFFE5FF"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107</w:t>
            </w:r>
          </w:p>
        </w:tc>
      </w:tr>
      <w:tr w:rsidR="00067435" w:rsidRPr="00781D5C" w14:paraId="3D14D582" w14:textId="77777777" w:rsidTr="00026175">
        <w:tc>
          <w:tcPr>
            <w:tcW w:w="1239" w:type="pct"/>
            <w:vAlign w:val="center"/>
          </w:tcPr>
          <w:p w14:paraId="0548503B"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750</w:t>
            </w:r>
          </w:p>
        </w:tc>
        <w:tc>
          <w:tcPr>
            <w:tcW w:w="1254" w:type="pct"/>
            <w:vAlign w:val="center"/>
          </w:tcPr>
          <w:p w14:paraId="423A9F1B"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683</w:t>
            </w:r>
          </w:p>
        </w:tc>
        <w:tc>
          <w:tcPr>
            <w:tcW w:w="1346" w:type="pct"/>
            <w:vAlign w:val="center"/>
          </w:tcPr>
          <w:p w14:paraId="5DF6A713"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815</w:t>
            </w:r>
          </w:p>
        </w:tc>
        <w:tc>
          <w:tcPr>
            <w:tcW w:w="1161" w:type="pct"/>
            <w:vAlign w:val="center"/>
          </w:tcPr>
          <w:p w14:paraId="5A745CB1"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109</w:t>
            </w:r>
          </w:p>
        </w:tc>
      </w:tr>
      <w:tr w:rsidR="00067435" w:rsidRPr="00781D5C" w14:paraId="6DEE1919" w14:textId="77777777" w:rsidTr="00026175">
        <w:tc>
          <w:tcPr>
            <w:tcW w:w="1239" w:type="pct"/>
            <w:vAlign w:val="center"/>
          </w:tcPr>
          <w:p w14:paraId="634FA295"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1500</w:t>
            </w:r>
          </w:p>
        </w:tc>
        <w:tc>
          <w:tcPr>
            <w:tcW w:w="1254" w:type="pct"/>
            <w:vAlign w:val="center"/>
          </w:tcPr>
          <w:p w14:paraId="011D1D7A"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1357</w:t>
            </w:r>
          </w:p>
        </w:tc>
        <w:tc>
          <w:tcPr>
            <w:tcW w:w="1346" w:type="pct"/>
            <w:vAlign w:val="center"/>
          </w:tcPr>
          <w:p w14:paraId="550081A6" w14:textId="77777777" w:rsidR="00067435" w:rsidRPr="00781D5C" w:rsidRDefault="00067435" w:rsidP="00026175">
            <w:pPr>
              <w:pStyle w:val="Default"/>
              <w:keepNext/>
              <w:keepLines/>
              <w:rPr>
                <w:rFonts w:eastAsia="Times New Roman"/>
                <w:sz w:val="20"/>
                <w:szCs w:val="20"/>
                <w:lang w:eastAsia="de-DE"/>
              </w:rPr>
            </w:pPr>
            <w:r>
              <w:rPr>
                <w:rFonts w:eastAsia="Times New Roman"/>
                <w:color w:val="auto"/>
                <w:sz w:val="20"/>
                <w:szCs w:val="20"/>
                <w:lang w:eastAsia="de-DE"/>
              </w:rPr>
              <w:t>1620</w:t>
            </w:r>
            <w:r w:rsidRPr="00781D5C">
              <w:rPr>
                <w:rFonts w:eastAsia="Times New Roman"/>
                <w:color w:val="auto"/>
                <w:sz w:val="20"/>
                <w:szCs w:val="20"/>
                <w:lang w:eastAsia="de-DE"/>
              </w:rPr>
              <w:t xml:space="preserve"> </w:t>
            </w:r>
          </w:p>
        </w:tc>
        <w:tc>
          <w:tcPr>
            <w:tcW w:w="1161" w:type="pct"/>
            <w:vAlign w:val="center"/>
          </w:tcPr>
          <w:p w14:paraId="0F7A9D38"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108</w:t>
            </w:r>
          </w:p>
        </w:tc>
      </w:tr>
      <w:tr w:rsidR="00067435" w:rsidRPr="00781D5C" w14:paraId="05CDF443" w14:textId="77777777" w:rsidTr="00026175">
        <w:tc>
          <w:tcPr>
            <w:tcW w:w="1239" w:type="pct"/>
            <w:vAlign w:val="center"/>
          </w:tcPr>
          <w:p w14:paraId="6245D748"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3000</w:t>
            </w:r>
          </w:p>
        </w:tc>
        <w:tc>
          <w:tcPr>
            <w:tcW w:w="1254" w:type="pct"/>
            <w:vAlign w:val="center"/>
          </w:tcPr>
          <w:p w14:paraId="2C60C118"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2748</w:t>
            </w:r>
          </w:p>
        </w:tc>
        <w:tc>
          <w:tcPr>
            <w:tcW w:w="1346" w:type="pct"/>
            <w:vAlign w:val="center"/>
          </w:tcPr>
          <w:p w14:paraId="16DC8AB1"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3280</w:t>
            </w:r>
          </w:p>
        </w:tc>
        <w:tc>
          <w:tcPr>
            <w:tcW w:w="1161" w:type="pct"/>
            <w:vAlign w:val="center"/>
          </w:tcPr>
          <w:p w14:paraId="25C15B07" w14:textId="77777777" w:rsidR="00067435" w:rsidRPr="00781D5C" w:rsidRDefault="00067435" w:rsidP="00026175">
            <w:pPr>
              <w:keepNext/>
              <w:keepLines/>
              <w:widowControl w:val="0"/>
              <w:tabs>
                <w:tab w:val="left" w:pos="1984"/>
              </w:tabs>
              <w:suppressAutoHyphens/>
              <w:spacing w:before="20" w:after="20"/>
              <w:rPr>
                <w:sz w:val="20"/>
                <w:szCs w:val="20"/>
              </w:rPr>
            </w:pPr>
            <w:r>
              <w:rPr>
                <w:sz w:val="20"/>
                <w:szCs w:val="20"/>
              </w:rPr>
              <w:t>109</w:t>
            </w:r>
          </w:p>
        </w:tc>
      </w:tr>
    </w:tbl>
    <w:p w14:paraId="49206437" w14:textId="77777777" w:rsidR="00067435" w:rsidRPr="00EE3426" w:rsidRDefault="00067435" w:rsidP="00067435">
      <w:pPr>
        <w:keepNext/>
        <w:keepLines/>
        <w:widowControl w:val="0"/>
        <w:tabs>
          <w:tab w:val="left" w:pos="720"/>
        </w:tabs>
        <w:suppressAutoHyphens/>
        <w:ind w:left="284" w:hanging="284"/>
        <w:jc w:val="both"/>
        <w:rPr>
          <w:sz w:val="18"/>
          <w:lang w:val="en-GB"/>
        </w:rPr>
      </w:pPr>
      <w:r w:rsidRPr="00EE3426">
        <w:rPr>
          <w:sz w:val="18"/>
          <w:lang w:val="en-GB"/>
        </w:rPr>
        <w:t>LOQ = Limit of Quantification = 0.01 mg/kg for propamocarb HCL</w:t>
      </w:r>
    </w:p>
    <w:p w14:paraId="7AB15C75" w14:textId="77777777" w:rsidR="00067435" w:rsidRPr="00EE3426" w:rsidRDefault="00067435" w:rsidP="00067435">
      <w:pPr>
        <w:keepNext/>
        <w:keepLines/>
        <w:widowControl w:val="0"/>
        <w:tabs>
          <w:tab w:val="left" w:pos="720"/>
        </w:tabs>
        <w:suppressAutoHyphens/>
        <w:ind w:left="284" w:hanging="284"/>
        <w:jc w:val="both"/>
        <w:rPr>
          <w:sz w:val="18"/>
          <w:lang w:val="en-GB"/>
        </w:rPr>
      </w:pPr>
      <w:r w:rsidRPr="00EE3426">
        <w:rPr>
          <w:sz w:val="18"/>
          <w:lang w:val="en-GB"/>
        </w:rPr>
        <w:t>LOD = Limit of Detection = 0.003 mg/kg for propamocarb HCL</w:t>
      </w:r>
    </w:p>
    <w:p w14:paraId="6FEA09B6" w14:textId="77777777" w:rsidR="00067435" w:rsidRDefault="00067435" w:rsidP="00067435">
      <w:pPr>
        <w:tabs>
          <w:tab w:val="left" w:pos="720"/>
        </w:tabs>
        <w:spacing w:after="240"/>
        <w:contextualSpacing/>
        <w:rPr>
          <w:b/>
          <w:bCs/>
          <w:szCs w:val="24"/>
          <w:lang w:val="en-GB"/>
        </w:rPr>
      </w:pPr>
    </w:p>
    <w:p w14:paraId="6507733E" w14:textId="77777777" w:rsidR="00067435" w:rsidRPr="00E21437" w:rsidRDefault="00067435" w:rsidP="00067435">
      <w:pPr>
        <w:tabs>
          <w:tab w:val="left" w:pos="0"/>
        </w:tabs>
        <w:contextualSpacing/>
        <w:rPr>
          <w:rFonts w:ascii="Times New Roman Bold" w:hAnsi="Times New Roman Bold"/>
          <w:b/>
          <w:bCs/>
          <w:szCs w:val="24"/>
          <w:lang w:val="en-GB"/>
        </w:rPr>
      </w:pPr>
      <w:r w:rsidRPr="00E21437">
        <w:rPr>
          <w:rFonts w:ascii="Times New Roman Bold" w:hAnsi="Times New Roman Bold"/>
          <w:b/>
          <w:bCs/>
          <w:szCs w:val="24"/>
          <w:lang w:val="en-GB"/>
        </w:rPr>
        <w:t>Biological results</w:t>
      </w:r>
    </w:p>
    <w:p w14:paraId="69DD0D01" w14:textId="77777777" w:rsidR="00067435" w:rsidRPr="00EE3426" w:rsidRDefault="00067435" w:rsidP="00067435">
      <w:pPr>
        <w:widowControl w:val="0"/>
        <w:suppressAutoHyphens/>
        <w:jc w:val="both"/>
        <w:rPr>
          <w:lang w:val="en-GB"/>
        </w:rPr>
      </w:pPr>
      <w:r w:rsidRPr="00EE3426">
        <w:rPr>
          <w:lang w:val="en-GB"/>
        </w:rPr>
        <w:t xml:space="preserve">After 10 days of continuous exposure, a mean mortality of 2.5% was observed in the control group. In the reference item group, a mean mortality of 65.0 % (corrected 64.1 %) was recorded. </w:t>
      </w:r>
    </w:p>
    <w:p w14:paraId="6048D1DA" w14:textId="77777777" w:rsidR="00067435" w:rsidRPr="001D05C9" w:rsidRDefault="00067435" w:rsidP="00067435">
      <w:pPr>
        <w:widowControl w:val="0"/>
        <w:suppressAutoHyphens/>
        <w:jc w:val="both"/>
        <w:rPr>
          <w:lang w:val="en-GB"/>
        </w:rPr>
      </w:pPr>
      <w:r w:rsidRPr="00EE3426">
        <w:rPr>
          <w:lang w:val="en-GB"/>
        </w:rPr>
        <w:t>Taking into account the actual food uptake and evaporated amount of feeding solution, the bees in the test item group effectively consumed doses of 7.13, 13.6, 27.7, 52.9 and 85.7 µg a.s./bee/day which resulted in mortalities of 2.5, 0.0, 5.0, 0.0 and 7.5% after 10 days, respectively. (corrected: 0.0, -2.6, 2.6, -2.6 and 5.1 %, respectively). A LDD</w:t>
      </w:r>
      <w:r w:rsidRPr="00EE3426">
        <w:rPr>
          <w:vertAlign w:val="subscript"/>
          <w:lang w:val="en-GB"/>
        </w:rPr>
        <w:t>50</w:t>
      </w:r>
      <w:r w:rsidRPr="00EE3426">
        <w:rPr>
          <w:lang w:val="en-GB"/>
        </w:rPr>
        <w:t xml:space="preserve"> of &gt; 85.68 </w:t>
      </w:r>
      <w:r w:rsidRPr="00EE401F">
        <w:t>μ</w:t>
      </w:r>
      <w:r w:rsidRPr="00EE3426">
        <w:rPr>
          <w:lang w:val="en-GB"/>
        </w:rPr>
        <w:t xml:space="preserve">g a.s./bee/day and a NOEDD of 85.68 </w:t>
      </w:r>
      <w:r w:rsidRPr="00EE401F">
        <w:t>μ</w:t>
      </w:r>
      <w:r w:rsidRPr="00EE3426">
        <w:rPr>
          <w:lang w:val="en-GB"/>
        </w:rPr>
        <w:t xml:space="preserve">g a.s./bee/day could be determined. In the control group and in the test item treatment group at the concentration levels of 375, 750 and 1500 mg poduct/kg feeding solution, no su-lethal effects could be observed. At the concentration levels of 187.5 and 3000 mg </w:t>
      </w:r>
      <w:r w:rsidRPr="001D05C9">
        <w:rPr>
          <w:lang w:val="en-GB"/>
        </w:rPr>
        <w:t>product/kg feeding solution only one and two affected bees, respectively could be observed.</w:t>
      </w:r>
    </w:p>
    <w:p w14:paraId="64A78703" w14:textId="77777777" w:rsidR="00067435" w:rsidRPr="001D05C9" w:rsidRDefault="00067435" w:rsidP="00067435">
      <w:pPr>
        <w:widowControl w:val="0"/>
        <w:suppressAutoHyphens/>
        <w:jc w:val="both"/>
        <w:rPr>
          <w:lang w:val="en-GB"/>
        </w:rPr>
      </w:pPr>
    </w:p>
    <w:p w14:paraId="09F370BC" w14:textId="2B5F5255" w:rsidR="00067435" w:rsidRPr="001D05C9" w:rsidRDefault="00067435" w:rsidP="00067435">
      <w:pPr>
        <w:widowControl w:val="0"/>
        <w:suppressAutoHyphens/>
        <w:jc w:val="both"/>
        <w:rPr>
          <w:snapToGrid w:val="0"/>
          <w:lang w:val="en-GB"/>
        </w:rPr>
      </w:pPr>
      <w:r w:rsidRPr="001D05C9">
        <w:rPr>
          <w:snapToGrid w:val="0"/>
          <w:lang w:val="en-GB"/>
        </w:rPr>
        <w:t>The results are summarized in</w:t>
      </w:r>
      <w:r w:rsidR="00D20F62">
        <w:rPr>
          <w:lang w:val="en-GB"/>
        </w:rPr>
        <w:t xml:space="preserve"> </w:t>
      </w:r>
      <w:r w:rsidR="00D20F62">
        <w:rPr>
          <w:lang w:val="en-GB"/>
        </w:rPr>
        <w:fldChar w:fldCharType="begin"/>
      </w:r>
      <w:r w:rsidR="00D20F62">
        <w:rPr>
          <w:lang w:val="en-GB"/>
        </w:rPr>
        <w:instrText xml:space="preserve"> REF _Ref147909454 \h </w:instrText>
      </w:r>
      <w:r w:rsidR="00D20F62">
        <w:rPr>
          <w:lang w:val="en-GB"/>
        </w:rPr>
      </w:r>
      <w:r w:rsidR="00D20F62">
        <w:rPr>
          <w:lang w:val="en-GB"/>
        </w:rPr>
        <w:fldChar w:fldCharType="separate"/>
      </w:r>
      <w:r w:rsidR="006F0F3B">
        <w:t xml:space="preserve">Table A </w:t>
      </w:r>
      <w:r w:rsidR="006F0F3B">
        <w:rPr>
          <w:noProof/>
        </w:rPr>
        <w:t>54</w:t>
      </w:r>
      <w:r w:rsidR="00D20F62">
        <w:rPr>
          <w:lang w:val="en-GB"/>
        </w:rPr>
        <w:fldChar w:fldCharType="end"/>
      </w:r>
      <w:r w:rsidRPr="001D05C9">
        <w:rPr>
          <w:snapToGrid w:val="0"/>
          <w:lang w:val="en-GB"/>
        </w:rPr>
        <w:t>.</w:t>
      </w:r>
    </w:p>
    <w:p w14:paraId="5B388C53" w14:textId="77777777" w:rsidR="00067435" w:rsidRPr="00EE3426" w:rsidRDefault="00067435" w:rsidP="00067435">
      <w:pPr>
        <w:widowControl w:val="0"/>
        <w:suppressAutoHyphens/>
        <w:ind w:left="2124" w:hanging="2124"/>
        <w:jc w:val="both"/>
        <w:rPr>
          <w:highlight w:val="yellow"/>
          <w:lang w:val="en-GB"/>
        </w:rPr>
      </w:pPr>
    </w:p>
    <w:p w14:paraId="236C368D" w14:textId="3DB59355" w:rsidR="00067435" w:rsidRPr="00EE3426" w:rsidRDefault="00D20F62" w:rsidP="00D20F62">
      <w:pPr>
        <w:pStyle w:val="Legenda"/>
        <w:rPr>
          <w:b w:val="0"/>
          <w:bCs w:val="0"/>
          <w:highlight w:val="yellow"/>
        </w:rPr>
      </w:pPr>
      <w:bookmarkStart w:id="1113" w:name="_Ref147909454"/>
      <w:r>
        <w:lastRenderedPageBreak/>
        <w:t xml:space="preserve">Table A </w:t>
      </w:r>
      <w:r>
        <w:fldChar w:fldCharType="begin"/>
      </w:r>
      <w:r>
        <w:instrText xml:space="preserve"> SEQ Table_A \* ARABIC </w:instrText>
      </w:r>
      <w:r>
        <w:fldChar w:fldCharType="separate"/>
      </w:r>
      <w:r w:rsidR="006F0F3B">
        <w:rPr>
          <w:noProof/>
        </w:rPr>
        <w:t>54</w:t>
      </w:r>
      <w:r>
        <w:fldChar w:fldCharType="end"/>
      </w:r>
      <w:bookmarkEnd w:id="1113"/>
      <w:r w:rsidR="00067435" w:rsidRPr="001D05C9">
        <w:t xml:space="preserve">: </w:t>
      </w:r>
      <w:r w:rsidR="00067435" w:rsidRPr="00EE3426">
        <w:t xml:space="preserve">Effects of Propamocarb-hydrochloride SL 722 to </w:t>
      </w:r>
      <w:r w:rsidR="00067435" w:rsidRPr="00EE3426">
        <w:rPr>
          <w:i/>
        </w:rPr>
        <w:t xml:space="preserve">Apis mellifera </w:t>
      </w:r>
      <w:r w:rsidR="00067435" w:rsidRPr="00EE3426">
        <w:t>L</w:t>
      </w:r>
      <w:r w:rsidR="00067435" w:rsidRPr="00EE3426">
        <w:rPr>
          <w:i/>
        </w:rPr>
        <w:t xml:space="preserve">. </w:t>
      </w:r>
      <w:r w:rsidR="00067435" w:rsidRPr="00EE3426">
        <w:t>in a 10-day chronic toxicity feeding 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759"/>
        <w:gridCol w:w="757"/>
        <w:gridCol w:w="1626"/>
        <w:gridCol w:w="1402"/>
        <w:gridCol w:w="1504"/>
        <w:gridCol w:w="1800"/>
      </w:tblGrid>
      <w:tr w:rsidR="00067435" w:rsidRPr="00781D5C" w14:paraId="1633A660" w14:textId="77777777" w:rsidTr="00026175">
        <w:tc>
          <w:tcPr>
            <w:tcW w:w="2482" w:type="pct"/>
            <w:gridSpan w:val="4"/>
            <w:vAlign w:val="center"/>
          </w:tcPr>
          <w:p w14:paraId="0975965E"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b/>
                <w:sz w:val="20"/>
                <w:szCs w:val="20"/>
              </w:rPr>
              <w:t>Treatment</w:t>
            </w:r>
          </w:p>
        </w:tc>
        <w:tc>
          <w:tcPr>
            <w:tcW w:w="2518" w:type="pct"/>
            <w:gridSpan w:val="3"/>
            <w:vAlign w:val="center"/>
          </w:tcPr>
          <w:p w14:paraId="7F165123"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b/>
                <w:sz w:val="20"/>
                <w:szCs w:val="20"/>
              </w:rPr>
              <w:t>Mortality after 10 days</w:t>
            </w:r>
          </w:p>
        </w:tc>
      </w:tr>
      <w:tr w:rsidR="00067435" w:rsidRPr="00781D5C" w14:paraId="7F479086" w14:textId="77777777" w:rsidTr="00026175">
        <w:tc>
          <w:tcPr>
            <w:tcW w:w="801" w:type="pct"/>
            <w:vAlign w:val="center"/>
          </w:tcPr>
          <w:p w14:paraId="568271B0" w14:textId="77777777" w:rsidR="00067435" w:rsidRPr="00EE3426" w:rsidRDefault="00067435" w:rsidP="00026175">
            <w:pPr>
              <w:keepNext/>
              <w:keepLines/>
              <w:widowControl w:val="0"/>
              <w:tabs>
                <w:tab w:val="left" w:pos="1984"/>
              </w:tabs>
              <w:suppressAutoHyphens/>
              <w:spacing w:before="20" w:after="20"/>
              <w:rPr>
                <w:b/>
                <w:sz w:val="20"/>
                <w:szCs w:val="20"/>
                <w:lang w:val="en-GB"/>
              </w:rPr>
            </w:pPr>
            <w:r w:rsidRPr="00EE3426">
              <w:rPr>
                <w:b/>
                <w:sz w:val="20"/>
                <w:szCs w:val="20"/>
                <w:lang w:val="en-GB"/>
              </w:rPr>
              <w:t>Nominal dosage</w:t>
            </w:r>
            <w:r w:rsidRPr="00EE3426">
              <w:rPr>
                <w:b/>
                <w:sz w:val="20"/>
                <w:szCs w:val="20"/>
                <w:lang w:val="en-GB"/>
              </w:rPr>
              <w:br/>
              <w:t>[mg a.s./kg]</w:t>
            </w:r>
          </w:p>
        </w:tc>
        <w:tc>
          <w:tcPr>
            <w:tcW w:w="811" w:type="pct"/>
            <w:gridSpan w:val="2"/>
            <w:vAlign w:val="center"/>
          </w:tcPr>
          <w:p w14:paraId="65504B58" w14:textId="77777777" w:rsidR="00067435" w:rsidRPr="00EE3426" w:rsidRDefault="00067435" w:rsidP="00026175">
            <w:pPr>
              <w:keepNext/>
              <w:keepLines/>
              <w:widowControl w:val="0"/>
              <w:tabs>
                <w:tab w:val="left" w:pos="1984"/>
              </w:tabs>
              <w:suppressAutoHyphens/>
              <w:spacing w:before="20" w:after="20"/>
              <w:rPr>
                <w:b/>
                <w:sz w:val="20"/>
                <w:szCs w:val="20"/>
                <w:lang w:val="en-GB"/>
              </w:rPr>
            </w:pPr>
            <w:r w:rsidRPr="00EE3426">
              <w:rPr>
                <w:b/>
                <w:sz w:val="20"/>
                <w:szCs w:val="20"/>
                <w:lang w:val="en-GB"/>
              </w:rPr>
              <w:t>Dietary Dose</w:t>
            </w:r>
            <w:r w:rsidRPr="00EE3426">
              <w:rPr>
                <w:b/>
                <w:sz w:val="20"/>
                <w:szCs w:val="20"/>
                <w:vertAlign w:val="superscript"/>
                <w:lang w:val="en-GB"/>
              </w:rPr>
              <w:t>2)</w:t>
            </w:r>
            <w:r w:rsidRPr="00EE3426">
              <w:rPr>
                <w:b/>
                <w:sz w:val="20"/>
                <w:szCs w:val="20"/>
                <w:lang w:val="en-GB"/>
              </w:rPr>
              <w:br/>
              <w:t>[µg a.s./ bee/day]</w:t>
            </w:r>
          </w:p>
        </w:tc>
        <w:tc>
          <w:tcPr>
            <w:tcW w:w="870" w:type="pct"/>
            <w:vAlign w:val="center"/>
          </w:tcPr>
          <w:p w14:paraId="54676A13" w14:textId="77777777" w:rsidR="00067435" w:rsidRPr="00EE3426" w:rsidRDefault="00067435" w:rsidP="00026175">
            <w:pPr>
              <w:keepNext/>
              <w:keepLines/>
              <w:widowControl w:val="0"/>
              <w:tabs>
                <w:tab w:val="left" w:pos="1984"/>
              </w:tabs>
              <w:suppressAutoHyphens/>
              <w:spacing w:before="20" w:after="20"/>
              <w:rPr>
                <w:b/>
                <w:sz w:val="20"/>
                <w:szCs w:val="20"/>
                <w:lang w:val="en-GB"/>
              </w:rPr>
            </w:pPr>
            <w:r w:rsidRPr="00EE3426">
              <w:rPr>
                <w:b/>
                <w:sz w:val="20"/>
                <w:szCs w:val="20"/>
                <w:lang w:val="en-GB"/>
              </w:rPr>
              <w:t>Overall mean consumption of feeding solution</w:t>
            </w:r>
            <w:r w:rsidRPr="00EE3426">
              <w:rPr>
                <w:b/>
                <w:sz w:val="20"/>
                <w:szCs w:val="20"/>
                <w:lang w:val="en-GB"/>
              </w:rPr>
              <w:br/>
              <w:t>[mg/bee/day]</w:t>
            </w:r>
          </w:p>
        </w:tc>
        <w:tc>
          <w:tcPr>
            <w:tcW w:w="750" w:type="pct"/>
            <w:vAlign w:val="center"/>
          </w:tcPr>
          <w:p w14:paraId="1E5D4574"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b/>
                <w:sz w:val="20"/>
                <w:szCs w:val="20"/>
              </w:rPr>
              <w:t>Mean mortality [%]</w:t>
            </w:r>
          </w:p>
        </w:tc>
        <w:tc>
          <w:tcPr>
            <w:tcW w:w="805" w:type="pct"/>
            <w:vAlign w:val="center"/>
          </w:tcPr>
          <w:p w14:paraId="7B3E31DA" w14:textId="77777777" w:rsidR="00067435" w:rsidRPr="00781D5C" w:rsidRDefault="00067435" w:rsidP="00026175">
            <w:pPr>
              <w:keepNext/>
              <w:keepLines/>
              <w:widowControl w:val="0"/>
              <w:tabs>
                <w:tab w:val="left" w:pos="1984"/>
              </w:tabs>
              <w:suppressAutoHyphens/>
              <w:spacing w:before="20" w:after="20"/>
              <w:rPr>
                <w:b/>
                <w:sz w:val="20"/>
                <w:szCs w:val="20"/>
                <w:vertAlign w:val="superscript"/>
              </w:rPr>
            </w:pPr>
            <w:r w:rsidRPr="00781D5C">
              <w:rPr>
                <w:b/>
                <w:sz w:val="20"/>
                <w:szCs w:val="20"/>
              </w:rPr>
              <w:t>Corrected mortality</w:t>
            </w:r>
            <w:r w:rsidRPr="00781D5C">
              <w:rPr>
                <w:b/>
                <w:sz w:val="20"/>
                <w:szCs w:val="20"/>
                <w:vertAlign w:val="superscript"/>
              </w:rPr>
              <w:t>1)</w:t>
            </w:r>
          </w:p>
        </w:tc>
        <w:tc>
          <w:tcPr>
            <w:tcW w:w="963" w:type="pct"/>
            <w:vAlign w:val="center"/>
          </w:tcPr>
          <w:p w14:paraId="1C0B79AD"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b/>
                <w:sz w:val="20"/>
                <w:szCs w:val="20"/>
              </w:rPr>
              <w:t xml:space="preserve">Mean other observations </w:t>
            </w:r>
          </w:p>
        </w:tc>
      </w:tr>
      <w:tr w:rsidR="00067435" w:rsidRPr="00781D5C" w14:paraId="29E62C52" w14:textId="77777777" w:rsidTr="00026175">
        <w:tc>
          <w:tcPr>
            <w:tcW w:w="801" w:type="pct"/>
            <w:vAlign w:val="center"/>
          </w:tcPr>
          <w:p w14:paraId="77806B1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Control</w:t>
            </w:r>
          </w:p>
        </w:tc>
        <w:tc>
          <w:tcPr>
            <w:tcW w:w="811" w:type="pct"/>
            <w:gridSpan w:val="2"/>
            <w:vAlign w:val="center"/>
          </w:tcPr>
          <w:p w14:paraId="14999931"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sz w:val="20"/>
                <w:szCs w:val="20"/>
              </w:rPr>
              <w:t>Control</w:t>
            </w:r>
          </w:p>
        </w:tc>
        <w:tc>
          <w:tcPr>
            <w:tcW w:w="870" w:type="pct"/>
            <w:vAlign w:val="center"/>
          </w:tcPr>
          <w:p w14:paraId="6396B10F"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39.4</w:t>
            </w:r>
          </w:p>
        </w:tc>
        <w:tc>
          <w:tcPr>
            <w:tcW w:w="750" w:type="pct"/>
            <w:vAlign w:val="center"/>
          </w:tcPr>
          <w:p w14:paraId="2713787F"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2.5</w:t>
            </w:r>
          </w:p>
        </w:tc>
        <w:tc>
          <w:tcPr>
            <w:tcW w:w="805" w:type="pct"/>
            <w:vAlign w:val="center"/>
          </w:tcPr>
          <w:p w14:paraId="31027721"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w:t>
            </w:r>
          </w:p>
        </w:tc>
        <w:tc>
          <w:tcPr>
            <w:tcW w:w="963" w:type="pct"/>
            <w:vAlign w:val="center"/>
          </w:tcPr>
          <w:p w14:paraId="46A10268"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sz w:val="20"/>
                <w:szCs w:val="20"/>
              </w:rPr>
              <w:t xml:space="preserve">0 </w:t>
            </w:r>
          </w:p>
        </w:tc>
      </w:tr>
      <w:tr w:rsidR="00067435" w:rsidRPr="00781D5C" w14:paraId="2BFED133" w14:textId="77777777" w:rsidTr="00026175">
        <w:tc>
          <w:tcPr>
            <w:tcW w:w="801" w:type="pct"/>
            <w:vAlign w:val="center"/>
          </w:tcPr>
          <w:p w14:paraId="7E3F05C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187.5</w:t>
            </w:r>
          </w:p>
        </w:tc>
        <w:tc>
          <w:tcPr>
            <w:tcW w:w="811" w:type="pct"/>
            <w:gridSpan w:val="2"/>
            <w:vAlign w:val="center"/>
          </w:tcPr>
          <w:p w14:paraId="52CD81C7"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7.13</w:t>
            </w:r>
          </w:p>
        </w:tc>
        <w:tc>
          <w:tcPr>
            <w:tcW w:w="870" w:type="pct"/>
            <w:vAlign w:val="center"/>
          </w:tcPr>
          <w:p w14:paraId="30F88B15"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38.0</w:t>
            </w:r>
          </w:p>
        </w:tc>
        <w:tc>
          <w:tcPr>
            <w:tcW w:w="750" w:type="pct"/>
            <w:vAlign w:val="center"/>
          </w:tcPr>
          <w:p w14:paraId="49FC6BA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2.5</w:t>
            </w:r>
          </w:p>
        </w:tc>
        <w:tc>
          <w:tcPr>
            <w:tcW w:w="805" w:type="pct"/>
            <w:vAlign w:val="center"/>
          </w:tcPr>
          <w:p w14:paraId="73BB13B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0.0</w:t>
            </w:r>
          </w:p>
        </w:tc>
        <w:tc>
          <w:tcPr>
            <w:tcW w:w="963" w:type="pct"/>
            <w:vAlign w:val="center"/>
          </w:tcPr>
          <w:p w14:paraId="6AF09E8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 xml:space="preserve">1 </w:t>
            </w:r>
          </w:p>
        </w:tc>
      </w:tr>
      <w:tr w:rsidR="00067435" w:rsidRPr="00781D5C" w14:paraId="625AE783" w14:textId="77777777" w:rsidTr="00026175">
        <w:tc>
          <w:tcPr>
            <w:tcW w:w="801" w:type="pct"/>
            <w:vAlign w:val="center"/>
          </w:tcPr>
          <w:p w14:paraId="69AC6CDD"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375</w:t>
            </w:r>
          </w:p>
        </w:tc>
        <w:tc>
          <w:tcPr>
            <w:tcW w:w="811" w:type="pct"/>
            <w:gridSpan w:val="2"/>
            <w:vAlign w:val="center"/>
          </w:tcPr>
          <w:p w14:paraId="16D9443D"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13.6</w:t>
            </w:r>
          </w:p>
        </w:tc>
        <w:tc>
          <w:tcPr>
            <w:tcW w:w="870" w:type="pct"/>
            <w:vAlign w:val="center"/>
          </w:tcPr>
          <w:p w14:paraId="281B857E"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36.2</w:t>
            </w:r>
          </w:p>
        </w:tc>
        <w:tc>
          <w:tcPr>
            <w:tcW w:w="750" w:type="pct"/>
            <w:vAlign w:val="center"/>
          </w:tcPr>
          <w:p w14:paraId="42DD087E"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0.0</w:t>
            </w:r>
          </w:p>
        </w:tc>
        <w:tc>
          <w:tcPr>
            <w:tcW w:w="805" w:type="pct"/>
            <w:vAlign w:val="center"/>
          </w:tcPr>
          <w:p w14:paraId="349B9BD2"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-2.6</w:t>
            </w:r>
          </w:p>
        </w:tc>
        <w:tc>
          <w:tcPr>
            <w:tcW w:w="963" w:type="pct"/>
            <w:vAlign w:val="center"/>
          </w:tcPr>
          <w:p w14:paraId="50B59D28"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 xml:space="preserve">0 </w:t>
            </w:r>
          </w:p>
        </w:tc>
      </w:tr>
      <w:tr w:rsidR="00067435" w:rsidRPr="00781D5C" w14:paraId="6F0EFF4C" w14:textId="77777777" w:rsidTr="00026175">
        <w:tc>
          <w:tcPr>
            <w:tcW w:w="801" w:type="pct"/>
            <w:vAlign w:val="center"/>
          </w:tcPr>
          <w:p w14:paraId="54708094"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750</w:t>
            </w:r>
          </w:p>
        </w:tc>
        <w:tc>
          <w:tcPr>
            <w:tcW w:w="811" w:type="pct"/>
            <w:gridSpan w:val="2"/>
            <w:vAlign w:val="center"/>
          </w:tcPr>
          <w:p w14:paraId="7B018E7F"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27.7</w:t>
            </w:r>
          </w:p>
        </w:tc>
        <w:tc>
          <w:tcPr>
            <w:tcW w:w="870" w:type="pct"/>
            <w:vAlign w:val="center"/>
          </w:tcPr>
          <w:p w14:paraId="05C48B1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36.9</w:t>
            </w:r>
          </w:p>
        </w:tc>
        <w:tc>
          <w:tcPr>
            <w:tcW w:w="750" w:type="pct"/>
            <w:vAlign w:val="center"/>
          </w:tcPr>
          <w:p w14:paraId="601882AA"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5.0</w:t>
            </w:r>
          </w:p>
        </w:tc>
        <w:tc>
          <w:tcPr>
            <w:tcW w:w="805" w:type="pct"/>
            <w:vAlign w:val="center"/>
          </w:tcPr>
          <w:p w14:paraId="27598C0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2.6</w:t>
            </w:r>
          </w:p>
        </w:tc>
        <w:tc>
          <w:tcPr>
            <w:tcW w:w="963" w:type="pct"/>
            <w:vAlign w:val="center"/>
          </w:tcPr>
          <w:p w14:paraId="315D9AF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0</w:t>
            </w:r>
          </w:p>
        </w:tc>
      </w:tr>
      <w:tr w:rsidR="00067435" w:rsidRPr="00781D5C" w14:paraId="419CCD4E" w14:textId="77777777" w:rsidTr="00026175">
        <w:tc>
          <w:tcPr>
            <w:tcW w:w="801" w:type="pct"/>
            <w:vAlign w:val="center"/>
          </w:tcPr>
          <w:p w14:paraId="2D64F355"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1500</w:t>
            </w:r>
          </w:p>
        </w:tc>
        <w:tc>
          <w:tcPr>
            <w:tcW w:w="811" w:type="pct"/>
            <w:gridSpan w:val="2"/>
            <w:vAlign w:val="center"/>
          </w:tcPr>
          <w:p w14:paraId="14D7CCF0"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52.9</w:t>
            </w:r>
          </w:p>
        </w:tc>
        <w:tc>
          <w:tcPr>
            <w:tcW w:w="870" w:type="pct"/>
            <w:vAlign w:val="center"/>
          </w:tcPr>
          <w:p w14:paraId="35DDCA7C" w14:textId="77777777" w:rsidR="00067435" w:rsidRPr="00781D5C" w:rsidRDefault="00067435" w:rsidP="00026175">
            <w:pPr>
              <w:pStyle w:val="Default"/>
              <w:rPr>
                <w:rFonts w:eastAsia="Times New Roman"/>
                <w:sz w:val="20"/>
                <w:szCs w:val="20"/>
                <w:lang w:eastAsia="de-DE"/>
              </w:rPr>
            </w:pPr>
            <w:r w:rsidRPr="00781D5C">
              <w:rPr>
                <w:rFonts w:eastAsia="Times New Roman"/>
                <w:color w:val="auto"/>
                <w:sz w:val="20"/>
                <w:szCs w:val="20"/>
                <w:lang w:eastAsia="de-DE"/>
              </w:rPr>
              <w:t xml:space="preserve">35.3 </w:t>
            </w:r>
          </w:p>
        </w:tc>
        <w:tc>
          <w:tcPr>
            <w:tcW w:w="750" w:type="pct"/>
            <w:vAlign w:val="center"/>
          </w:tcPr>
          <w:p w14:paraId="18ADD2D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0.0</w:t>
            </w:r>
          </w:p>
        </w:tc>
        <w:tc>
          <w:tcPr>
            <w:tcW w:w="805" w:type="pct"/>
            <w:vAlign w:val="center"/>
          </w:tcPr>
          <w:p w14:paraId="5F7E22C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-2.6</w:t>
            </w:r>
          </w:p>
        </w:tc>
        <w:tc>
          <w:tcPr>
            <w:tcW w:w="963" w:type="pct"/>
            <w:vAlign w:val="center"/>
          </w:tcPr>
          <w:p w14:paraId="0508E744"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 xml:space="preserve">0 </w:t>
            </w:r>
          </w:p>
        </w:tc>
      </w:tr>
      <w:tr w:rsidR="00067435" w:rsidRPr="00781D5C" w14:paraId="40375AF9" w14:textId="77777777" w:rsidTr="00026175">
        <w:tc>
          <w:tcPr>
            <w:tcW w:w="801" w:type="pct"/>
            <w:vAlign w:val="center"/>
          </w:tcPr>
          <w:p w14:paraId="377D0C9E"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3000</w:t>
            </w:r>
          </w:p>
        </w:tc>
        <w:tc>
          <w:tcPr>
            <w:tcW w:w="811" w:type="pct"/>
            <w:gridSpan w:val="2"/>
            <w:vAlign w:val="center"/>
          </w:tcPr>
          <w:p w14:paraId="5359D6B9"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85.7</w:t>
            </w:r>
          </w:p>
        </w:tc>
        <w:tc>
          <w:tcPr>
            <w:tcW w:w="870" w:type="pct"/>
            <w:vAlign w:val="center"/>
          </w:tcPr>
          <w:p w14:paraId="388F626E"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28.6*</w:t>
            </w:r>
          </w:p>
        </w:tc>
        <w:tc>
          <w:tcPr>
            <w:tcW w:w="750" w:type="pct"/>
            <w:vAlign w:val="center"/>
          </w:tcPr>
          <w:p w14:paraId="6FBFED06"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7.5</w:t>
            </w:r>
          </w:p>
        </w:tc>
        <w:tc>
          <w:tcPr>
            <w:tcW w:w="805" w:type="pct"/>
            <w:vAlign w:val="center"/>
          </w:tcPr>
          <w:p w14:paraId="30F501EE"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5.1</w:t>
            </w:r>
          </w:p>
        </w:tc>
        <w:tc>
          <w:tcPr>
            <w:tcW w:w="963" w:type="pct"/>
            <w:vAlign w:val="center"/>
          </w:tcPr>
          <w:p w14:paraId="4257DFF4" w14:textId="77777777" w:rsidR="00067435" w:rsidRPr="00781D5C" w:rsidRDefault="00067435" w:rsidP="00026175">
            <w:pPr>
              <w:keepNext/>
              <w:keepLines/>
              <w:widowControl w:val="0"/>
              <w:tabs>
                <w:tab w:val="left" w:pos="1984"/>
              </w:tabs>
              <w:suppressAutoHyphens/>
              <w:spacing w:before="20" w:after="20"/>
              <w:rPr>
                <w:sz w:val="20"/>
                <w:szCs w:val="20"/>
              </w:rPr>
            </w:pPr>
            <w:r w:rsidRPr="00781D5C">
              <w:rPr>
                <w:sz w:val="20"/>
                <w:szCs w:val="20"/>
              </w:rPr>
              <w:t xml:space="preserve">2 </w:t>
            </w:r>
          </w:p>
        </w:tc>
      </w:tr>
      <w:tr w:rsidR="00067435" w:rsidRPr="00781D5C" w14:paraId="5D022674" w14:textId="77777777" w:rsidTr="00026175">
        <w:tc>
          <w:tcPr>
            <w:tcW w:w="5000" w:type="pct"/>
            <w:gridSpan w:val="7"/>
            <w:vAlign w:val="center"/>
          </w:tcPr>
          <w:p w14:paraId="26A9D94D" w14:textId="77777777" w:rsidR="00067435" w:rsidRPr="00781D5C" w:rsidRDefault="00067435" w:rsidP="00026175">
            <w:pPr>
              <w:keepNext/>
              <w:keepLines/>
              <w:widowControl w:val="0"/>
              <w:tabs>
                <w:tab w:val="left" w:pos="1984"/>
              </w:tabs>
              <w:suppressAutoHyphens/>
              <w:spacing w:before="20" w:after="20"/>
              <w:rPr>
                <w:b/>
                <w:sz w:val="20"/>
                <w:szCs w:val="20"/>
              </w:rPr>
            </w:pPr>
            <w:r w:rsidRPr="00781D5C">
              <w:rPr>
                <w:b/>
                <w:sz w:val="20"/>
                <w:szCs w:val="20"/>
              </w:rPr>
              <w:t>Endpoints [10 days]</w:t>
            </w:r>
          </w:p>
        </w:tc>
      </w:tr>
      <w:tr w:rsidR="00067435" w:rsidRPr="00781D5C" w14:paraId="1E12431C" w14:textId="77777777" w:rsidTr="00026175">
        <w:trPr>
          <w:trHeight w:val="288"/>
        </w:trPr>
        <w:tc>
          <w:tcPr>
            <w:tcW w:w="1207" w:type="pct"/>
            <w:gridSpan w:val="2"/>
            <w:vMerge w:val="restart"/>
            <w:vAlign w:val="center"/>
          </w:tcPr>
          <w:p w14:paraId="368A14EC" w14:textId="77777777" w:rsidR="00067435" w:rsidRPr="00EE3426" w:rsidRDefault="00067435" w:rsidP="00026175">
            <w:pPr>
              <w:keepNext/>
              <w:keepLines/>
              <w:widowControl w:val="0"/>
              <w:tabs>
                <w:tab w:val="left" w:pos="1984"/>
              </w:tabs>
              <w:suppressAutoHyphens/>
              <w:spacing w:before="20" w:after="20"/>
              <w:rPr>
                <w:b/>
                <w:sz w:val="20"/>
                <w:szCs w:val="20"/>
                <w:lang w:val="en-GB"/>
              </w:rPr>
            </w:pPr>
            <w:r w:rsidRPr="00EE3426">
              <w:rPr>
                <w:b/>
                <w:sz w:val="20"/>
                <w:szCs w:val="20"/>
                <w:lang w:val="en-GB"/>
              </w:rPr>
              <w:t xml:space="preserve">Test item dose </w:t>
            </w:r>
            <w:r w:rsidRPr="00EE3426">
              <w:rPr>
                <w:b/>
                <w:sz w:val="20"/>
                <w:szCs w:val="20"/>
                <w:lang w:val="en-GB"/>
              </w:rPr>
              <w:br/>
              <w:t xml:space="preserve">[µg consumed a.s./bee/day] </w:t>
            </w:r>
          </w:p>
        </w:tc>
        <w:tc>
          <w:tcPr>
            <w:tcW w:w="1275" w:type="pct"/>
            <w:gridSpan w:val="2"/>
            <w:vAlign w:val="center"/>
          </w:tcPr>
          <w:p w14:paraId="6A5160F9"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LDD</w:t>
            </w:r>
            <w:r w:rsidRPr="00781D5C">
              <w:rPr>
                <w:sz w:val="20"/>
                <w:szCs w:val="20"/>
                <w:vertAlign w:val="subscript"/>
              </w:rPr>
              <w:t>50</w:t>
            </w:r>
            <w:r w:rsidRPr="00781D5C">
              <w:rPr>
                <w:sz w:val="20"/>
                <w:szCs w:val="20"/>
              </w:rPr>
              <w:t xml:space="preserve"> </w:t>
            </w:r>
            <w:r w:rsidRPr="00781D5C">
              <w:rPr>
                <w:sz w:val="20"/>
                <w:szCs w:val="20"/>
                <w:vertAlign w:val="superscript"/>
              </w:rPr>
              <w:t>2</w:t>
            </w:r>
          </w:p>
        </w:tc>
        <w:tc>
          <w:tcPr>
            <w:tcW w:w="2518" w:type="pct"/>
            <w:gridSpan w:val="3"/>
            <w:vAlign w:val="center"/>
          </w:tcPr>
          <w:p w14:paraId="4F0215FC"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&gt; 85.68</w:t>
            </w:r>
          </w:p>
        </w:tc>
      </w:tr>
      <w:tr w:rsidR="00067435" w:rsidRPr="00781D5C" w14:paraId="6BC812C4" w14:textId="77777777" w:rsidTr="00026175">
        <w:trPr>
          <w:trHeight w:val="288"/>
        </w:trPr>
        <w:tc>
          <w:tcPr>
            <w:tcW w:w="1207" w:type="pct"/>
            <w:gridSpan w:val="2"/>
            <w:vMerge/>
            <w:vAlign w:val="center"/>
          </w:tcPr>
          <w:p w14:paraId="3DA5457D" w14:textId="77777777" w:rsidR="00067435" w:rsidRPr="00781D5C" w:rsidRDefault="00067435" w:rsidP="00026175">
            <w:pPr>
              <w:keepNext/>
              <w:keepLines/>
              <w:widowControl w:val="0"/>
              <w:tabs>
                <w:tab w:val="left" w:pos="1984"/>
              </w:tabs>
              <w:suppressAutoHyphens/>
              <w:spacing w:before="20" w:after="20"/>
              <w:rPr>
                <w:b/>
                <w:sz w:val="20"/>
                <w:szCs w:val="20"/>
              </w:rPr>
            </w:pPr>
          </w:p>
        </w:tc>
        <w:tc>
          <w:tcPr>
            <w:tcW w:w="1275" w:type="pct"/>
            <w:gridSpan w:val="2"/>
            <w:vAlign w:val="center"/>
          </w:tcPr>
          <w:p w14:paraId="0867AEB8"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 xml:space="preserve">NOEDD </w:t>
            </w:r>
            <w:r w:rsidRPr="00781D5C">
              <w:rPr>
                <w:sz w:val="20"/>
                <w:szCs w:val="20"/>
                <w:vertAlign w:val="superscript"/>
              </w:rPr>
              <w:t>3</w:t>
            </w:r>
          </w:p>
        </w:tc>
        <w:tc>
          <w:tcPr>
            <w:tcW w:w="2518" w:type="pct"/>
            <w:gridSpan w:val="3"/>
            <w:vAlign w:val="center"/>
          </w:tcPr>
          <w:p w14:paraId="0CA68850"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85.68</w:t>
            </w:r>
          </w:p>
        </w:tc>
      </w:tr>
      <w:tr w:rsidR="00067435" w:rsidRPr="00781D5C" w14:paraId="56B85FB6" w14:textId="77777777" w:rsidTr="00026175">
        <w:trPr>
          <w:trHeight w:val="288"/>
        </w:trPr>
        <w:tc>
          <w:tcPr>
            <w:tcW w:w="1207" w:type="pct"/>
            <w:gridSpan w:val="2"/>
            <w:vMerge w:val="restart"/>
            <w:vAlign w:val="center"/>
          </w:tcPr>
          <w:p w14:paraId="7584E1C3" w14:textId="77777777" w:rsidR="00067435" w:rsidRPr="00EE3426" w:rsidRDefault="00067435" w:rsidP="00026175">
            <w:pPr>
              <w:keepNext/>
              <w:keepLines/>
              <w:widowControl w:val="0"/>
              <w:tabs>
                <w:tab w:val="left" w:pos="1984"/>
              </w:tabs>
              <w:suppressAutoHyphens/>
              <w:spacing w:before="20" w:after="20"/>
              <w:rPr>
                <w:b/>
                <w:sz w:val="20"/>
                <w:szCs w:val="20"/>
                <w:lang w:val="en-GB"/>
              </w:rPr>
            </w:pPr>
            <w:r w:rsidRPr="00EE3426">
              <w:rPr>
                <w:b/>
                <w:sz w:val="20"/>
                <w:szCs w:val="20"/>
                <w:lang w:val="en-GB"/>
              </w:rPr>
              <w:t xml:space="preserve">Test item concentrations </w:t>
            </w:r>
            <w:r w:rsidRPr="00EE3426">
              <w:rPr>
                <w:b/>
                <w:sz w:val="20"/>
                <w:szCs w:val="20"/>
                <w:lang w:val="en-GB"/>
              </w:rPr>
              <w:br/>
              <w:t>[g a.s./kg food]</w:t>
            </w:r>
          </w:p>
        </w:tc>
        <w:tc>
          <w:tcPr>
            <w:tcW w:w="1275" w:type="pct"/>
            <w:gridSpan w:val="2"/>
            <w:vAlign w:val="center"/>
          </w:tcPr>
          <w:p w14:paraId="05D5D9B9"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LC</w:t>
            </w:r>
            <w:r w:rsidRPr="00781D5C">
              <w:rPr>
                <w:sz w:val="20"/>
                <w:szCs w:val="20"/>
                <w:vertAlign w:val="subscript"/>
              </w:rPr>
              <w:t>50</w:t>
            </w:r>
            <w:r w:rsidRPr="00781D5C">
              <w:rPr>
                <w:sz w:val="20"/>
                <w:szCs w:val="20"/>
              </w:rPr>
              <w:t xml:space="preserve"> </w:t>
            </w:r>
            <w:r w:rsidRPr="00781D5C">
              <w:rPr>
                <w:sz w:val="20"/>
                <w:szCs w:val="20"/>
                <w:vertAlign w:val="superscript"/>
              </w:rPr>
              <w:t>2</w:t>
            </w:r>
          </w:p>
        </w:tc>
        <w:tc>
          <w:tcPr>
            <w:tcW w:w="2518" w:type="pct"/>
            <w:gridSpan w:val="3"/>
            <w:vAlign w:val="center"/>
          </w:tcPr>
          <w:p w14:paraId="780E46A0"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&gt; 3000</w:t>
            </w:r>
          </w:p>
        </w:tc>
      </w:tr>
      <w:tr w:rsidR="00067435" w:rsidRPr="00781D5C" w14:paraId="39204796" w14:textId="77777777" w:rsidTr="00026175">
        <w:trPr>
          <w:trHeight w:val="288"/>
        </w:trPr>
        <w:tc>
          <w:tcPr>
            <w:tcW w:w="1207" w:type="pct"/>
            <w:gridSpan w:val="2"/>
            <w:vMerge/>
            <w:vAlign w:val="center"/>
          </w:tcPr>
          <w:p w14:paraId="7A3C9F0F" w14:textId="77777777" w:rsidR="00067435" w:rsidRPr="00781D5C" w:rsidRDefault="00067435" w:rsidP="00026175">
            <w:pPr>
              <w:keepNext/>
              <w:keepLines/>
              <w:widowControl w:val="0"/>
              <w:tabs>
                <w:tab w:val="left" w:pos="1984"/>
              </w:tabs>
              <w:suppressAutoHyphens/>
              <w:spacing w:before="20" w:after="20"/>
              <w:rPr>
                <w:b/>
                <w:sz w:val="20"/>
                <w:szCs w:val="20"/>
              </w:rPr>
            </w:pPr>
          </w:p>
        </w:tc>
        <w:tc>
          <w:tcPr>
            <w:tcW w:w="1275" w:type="pct"/>
            <w:gridSpan w:val="2"/>
            <w:vAlign w:val="center"/>
          </w:tcPr>
          <w:p w14:paraId="02AEE968"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 xml:space="preserve">NOEC </w:t>
            </w:r>
            <w:r w:rsidRPr="00781D5C">
              <w:rPr>
                <w:sz w:val="20"/>
                <w:szCs w:val="20"/>
                <w:vertAlign w:val="superscript"/>
              </w:rPr>
              <w:t>3</w:t>
            </w:r>
          </w:p>
        </w:tc>
        <w:tc>
          <w:tcPr>
            <w:tcW w:w="2518" w:type="pct"/>
            <w:gridSpan w:val="3"/>
            <w:vAlign w:val="center"/>
          </w:tcPr>
          <w:p w14:paraId="0B3CDE13" w14:textId="77777777" w:rsidR="00067435" w:rsidRPr="00781D5C" w:rsidRDefault="00067435" w:rsidP="00026175">
            <w:pPr>
              <w:keepNext/>
              <w:keepLines/>
              <w:widowControl w:val="0"/>
              <w:tabs>
                <w:tab w:val="left" w:pos="1984"/>
              </w:tabs>
              <w:suppressAutoHyphens/>
              <w:spacing w:before="20" w:after="20"/>
              <w:jc w:val="center"/>
              <w:rPr>
                <w:sz w:val="20"/>
                <w:szCs w:val="20"/>
              </w:rPr>
            </w:pPr>
            <w:r w:rsidRPr="00781D5C">
              <w:rPr>
                <w:sz w:val="20"/>
                <w:szCs w:val="20"/>
              </w:rPr>
              <w:t>3000</w:t>
            </w:r>
          </w:p>
        </w:tc>
      </w:tr>
    </w:tbl>
    <w:p w14:paraId="2667174E" w14:textId="77777777" w:rsidR="00067435" w:rsidRPr="00EE3426" w:rsidRDefault="00067435" w:rsidP="00067435">
      <w:pPr>
        <w:keepNext/>
        <w:keepLines/>
        <w:widowControl w:val="0"/>
        <w:tabs>
          <w:tab w:val="left" w:pos="720"/>
        </w:tabs>
        <w:suppressAutoHyphens/>
        <w:ind w:left="284" w:hanging="284"/>
        <w:jc w:val="both"/>
        <w:rPr>
          <w:sz w:val="18"/>
          <w:lang w:val="en-GB"/>
        </w:rPr>
      </w:pPr>
      <w:r w:rsidRPr="00EE3426">
        <w:rPr>
          <w:sz w:val="18"/>
          <w:vertAlign w:val="superscript"/>
          <w:lang w:val="en-GB"/>
        </w:rPr>
        <w:t>1)</w:t>
      </w:r>
      <w:r w:rsidRPr="00EE3426">
        <w:rPr>
          <w:sz w:val="18"/>
          <w:lang w:val="en-GB"/>
        </w:rPr>
        <w:tab/>
        <w:t>Corrected morality according to SCHNEIDER-ORELLI (1947)</w:t>
      </w:r>
    </w:p>
    <w:p w14:paraId="5BF5E360" w14:textId="77777777" w:rsidR="00067435" w:rsidRPr="00EE3426" w:rsidRDefault="00067435" w:rsidP="00067435">
      <w:pPr>
        <w:keepNext/>
        <w:keepLines/>
        <w:widowControl w:val="0"/>
        <w:tabs>
          <w:tab w:val="left" w:pos="720"/>
        </w:tabs>
        <w:suppressAutoHyphens/>
        <w:ind w:left="284" w:hanging="284"/>
        <w:jc w:val="both"/>
        <w:rPr>
          <w:sz w:val="18"/>
          <w:lang w:val="en-GB"/>
        </w:rPr>
      </w:pPr>
      <w:r w:rsidRPr="00EE3426">
        <w:rPr>
          <w:sz w:val="18"/>
          <w:vertAlign w:val="superscript"/>
          <w:lang w:val="en-GB"/>
        </w:rPr>
        <w:t>2)</w:t>
      </w:r>
      <w:r w:rsidRPr="00EE3426">
        <w:rPr>
          <w:sz w:val="18"/>
          <w:vertAlign w:val="superscript"/>
          <w:lang w:val="en-GB"/>
        </w:rPr>
        <w:tab/>
      </w:r>
      <w:r w:rsidRPr="00EE3426">
        <w:rPr>
          <w:sz w:val="18"/>
          <w:lang w:val="en-GB"/>
        </w:rPr>
        <w:t>Dietary Dose (DD): mean uptake of test item (calculation based on the replicate values)</w:t>
      </w:r>
    </w:p>
    <w:p w14:paraId="0320C421" w14:textId="77777777" w:rsidR="00067435" w:rsidRPr="00EE3426" w:rsidRDefault="00067435" w:rsidP="00067435">
      <w:pPr>
        <w:keepNext/>
        <w:keepLines/>
        <w:widowControl w:val="0"/>
        <w:suppressAutoHyphens/>
        <w:ind w:left="284" w:hanging="284"/>
        <w:jc w:val="both"/>
        <w:rPr>
          <w:sz w:val="18"/>
          <w:lang w:val="en-GB"/>
        </w:rPr>
      </w:pPr>
      <w:r w:rsidRPr="00EE3426">
        <w:rPr>
          <w:sz w:val="18"/>
          <w:lang w:val="en-GB"/>
        </w:rPr>
        <w:t>*</w:t>
      </w:r>
      <w:r w:rsidRPr="00EE3426">
        <w:rPr>
          <w:sz w:val="18"/>
          <w:lang w:val="en-GB"/>
        </w:rPr>
        <w:tab/>
        <w:t>statistically significantly different compared to the control; Williams t-test (</w:t>
      </w:r>
      <w:r w:rsidRPr="00781D5C">
        <w:rPr>
          <w:sz w:val="18"/>
        </w:rPr>
        <w:t>α</w:t>
      </w:r>
      <w:r w:rsidRPr="00EE3426">
        <w:rPr>
          <w:sz w:val="18"/>
          <w:lang w:val="en-GB"/>
        </w:rPr>
        <w:t xml:space="preserve"> = 0.05)</w:t>
      </w:r>
    </w:p>
    <w:p w14:paraId="1B10C8D5" w14:textId="77777777" w:rsidR="00067435" w:rsidRPr="00EE3426" w:rsidRDefault="00067435" w:rsidP="00067435">
      <w:pPr>
        <w:keepNext/>
        <w:keepLines/>
        <w:widowControl w:val="0"/>
        <w:suppressAutoHyphens/>
        <w:ind w:left="284" w:hanging="284"/>
        <w:jc w:val="both"/>
        <w:rPr>
          <w:sz w:val="18"/>
          <w:highlight w:val="yellow"/>
          <w:lang w:val="en-GB"/>
        </w:rPr>
      </w:pPr>
    </w:p>
    <w:p w14:paraId="6DF5589D" w14:textId="77777777" w:rsidR="00067435" w:rsidRPr="001D05C9" w:rsidRDefault="00067435" w:rsidP="00067435">
      <w:pPr>
        <w:keepNext/>
        <w:keepLines/>
        <w:widowControl w:val="0"/>
        <w:suppressAutoHyphens/>
        <w:jc w:val="both"/>
        <w:rPr>
          <w:lang w:val="en-GB"/>
        </w:rPr>
      </w:pPr>
      <w:r w:rsidRPr="00EE3426">
        <w:rPr>
          <w:lang w:val="en-GB"/>
        </w:rPr>
        <w:t>For the reference item no LD</w:t>
      </w:r>
      <w:r w:rsidRPr="00EE3426">
        <w:rPr>
          <w:vertAlign w:val="subscript"/>
          <w:lang w:val="en-GB"/>
        </w:rPr>
        <w:t>50</w:t>
      </w:r>
      <w:r w:rsidRPr="00EE3426">
        <w:rPr>
          <w:lang w:val="en-GB"/>
        </w:rPr>
        <w:t>/LC</w:t>
      </w:r>
      <w:r w:rsidRPr="00EE3426">
        <w:rPr>
          <w:vertAlign w:val="subscript"/>
          <w:lang w:val="en-GB"/>
        </w:rPr>
        <w:t>50</w:t>
      </w:r>
      <w:r w:rsidRPr="00EE3426">
        <w:rPr>
          <w:lang w:val="en-GB"/>
        </w:rPr>
        <w:t xml:space="preserve"> could be determined. The highest reference dosage tested in the study was 0.90 mg dimethoate/kg feeding solution (dietary dose of 0.03 </w:t>
      </w:r>
      <w:r w:rsidRPr="00B80389">
        <w:t>μ</w:t>
      </w:r>
      <w:r w:rsidRPr="00EE3426">
        <w:rPr>
          <w:lang w:val="en-GB"/>
        </w:rPr>
        <w:t xml:space="preserve">g a.s./bee/day), which caused a mean </w:t>
      </w:r>
      <w:r w:rsidRPr="001D05C9">
        <w:rPr>
          <w:lang w:val="en-GB"/>
        </w:rPr>
        <w:t>mortality of 65.0 %.</w:t>
      </w:r>
    </w:p>
    <w:p w14:paraId="7DA954F0" w14:textId="77777777" w:rsidR="00067435" w:rsidRPr="001D05C9" w:rsidRDefault="00067435" w:rsidP="00067435">
      <w:pPr>
        <w:tabs>
          <w:tab w:val="left" w:pos="0"/>
        </w:tabs>
        <w:ind w:left="357" w:hanging="357"/>
        <w:contextualSpacing/>
        <w:rPr>
          <w:rFonts w:ascii="Times New Roman Bold" w:hAnsi="Times New Roman Bold"/>
          <w:b/>
          <w:bCs/>
          <w:caps/>
          <w:szCs w:val="24"/>
          <w:lang w:val="en-GB"/>
        </w:rPr>
      </w:pPr>
    </w:p>
    <w:p w14:paraId="7FC05E5A" w14:textId="77777777" w:rsidR="00067435" w:rsidRPr="001D05C9" w:rsidRDefault="00067435" w:rsidP="00067435">
      <w:pPr>
        <w:tabs>
          <w:tab w:val="left" w:pos="0"/>
        </w:tabs>
        <w:ind w:left="357" w:hanging="357"/>
        <w:contextualSpacing/>
        <w:rPr>
          <w:rFonts w:ascii="Times New Roman Bold" w:hAnsi="Times New Roman Bold"/>
          <w:b/>
          <w:bCs/>
          <w:caps/>
          <w:szCs w:val="24"/>
          <w:lang w:val="en-GB"/>
        </w:rPr>
      </w:pPr>
      <w:r w:rsidRPr="001D05C9">
        <w:rPr>
          <w:rFonts w:ascii="Times New Roman Bold" w:hAnsi="Times New Roman Bold"/>
          <w:b/>
          <w:bCs/>
          <w:caps/>
          <w:szCs w:val="24"/>
          <w:lang w:val="en-GB"/>
        </w:rPr>
        <w:t>C.</w:t>
      </w:r>
      <w:r w:rsidRPr="001D05C9">
        <w:rPr>
          <w:rFonts w:ascii="Times New Roman Bold" w:hAnsi="Times New Roman Bold"/>
          <w:b/>
          <w:bCs/>
          <w:caps/>
          <w:szCs w:val="24"/>
          <w:lang w:val="en-GB"/>
        </w:rPr>
        <w:tab/>
        <w:t>Validity criteria</w:t>
      </w:r>
    </w:p>
    <w:p w14:paraId="11F0B230" w14:textId="4D8DA940" w:rsidR="00067435" w:rsidRPr="001D05C9" w:rsidRDefault="00067435" w:rsidP="00067435">
      <w:pPr>
        <w:tabs>
          <w:tab w:val="left" w:pos="720"/>
        </w:tabs>
        <w:spacing w:after="240"/>
        <w:jc w:val="both"/>
        <w:rPr>
          <w:szCs w:val="24"/>
          <w:lang w:val="en-GB"/>
        </w:rPr>
      </w:pPr>
      <w:r w:rsidRPr="001D05C9">
        <w:rPr>
          <w:szCs w:val="24"/>
          <w:lang w:val="en-GB"/>
        </w:rPr>
        <w:t xml:space="preserve">All validity criteria of </w:t>
      </w:r>
      <w:r w:rsidRPr="001D05C9">
        <w:rPr>
          <w:sz w:val="20"/>
          <w:szCs w:val="20"/>
          <w:lang w:val="en-GB"/>
        </w:rPr>
        <w:t xml:space="preserve">OECD TG 245 </w:t>
      </w:r>
      <w:r w:rsidRPr="001D05C9">
        <w:rPr>
          <w:szCs w:val="24"/>
          <w:lang w:val="en-GB"/>
        </w:rPr>
        <w:t>were met (</w:t>
      </w:r>
      <w:r w:rsidR="002C09A0">
        <w:rPr>
          <w:szCs w:val="24"/>
          <w:lang w:val="en-GB"/>
        </w:rPr>
        <w:fldChar w:fldCharType="begin"/>
      </w:r>
      <w:r w:rsidR="002C09A0">
        <w:rPr>
          <w:szCs w:val="24"/>
          <w:lang w:val="en-GB"/>
        </w:rPr>
        <w:instrText xml:space="preserve"> REF _Ref147909820 \h </w:instrText>
      </w:r>
      <w:r w:rsidR="002C09A0">
        <w:rPr>
          <w:szCs w:val="24"/>
          <w:lang w:val="en-GB"/>
        </w:rPr>
      </w:r>
      <w:r w:rsidR="002C09A0">
        <w:rPr>
          <w:szCs w:val="24"/>
          <w:lang w:val="en-GB"/>
        </w:rPr>
        <w:fldChar w:fldCharType="separate"/>
      </w:r>
      <w:r w:rsidR="006F0F3B">
        <w:t xml:space="preserve">Table A </w:t>
      </w:r>
      <w:r w:rsidR="006F0F3B">
        <w:rPr>
          <w:noProof/>
        </w:rPr>
        <w:t>55</w:t>
      </w:r>
      <w:r w:rsidR="002C09A0">
        <w:rPr>
          <w:szCs w:val="24"/>
          <w:lang w:val="en-GB"/>
        </w:rPr>
        <w:fldChar w:fldCharType="end"/>
      </w:r>
      <w:r w:rsidRPr="001D05C9">
        <w:rPr>
          <w:szCs w:val="24"/>
          <w:lang w:val="en-GB"/>
        </w:rPr>
        <w:t>).</w:t>
      </w:r>
    </w:p>
    <w:p w14:paraId="59F088EB" w14:textId="7A187339" w:rsidR="00067435" w:rsidRPr="001D05C9" w:rsidRDefault="002C09A0" w:rsidP="002C09A0">
      <w:pPr>
        <w:pStyle w:val="Legenda"/>
        <w:rPr>
          <w:b w:val="0"/>
          <w:bCs w:val="0"/>
          <w:szCs w:val="24"/>
        </w:rPr>
      </w:pPr>
      <w:bookmarkStart w:id="1114" w:name="_Ref147909820"/>
      <w:r>
        <w:t xml:space="preserve">Table A </w:t>
      </w:r>
      <w:r>
        <w:fldChar w:fldCharType="begin"/>
      </w:r>
      <w:r>
        <w:instrText xml:space="preserve"> SEQ Table_A \* ARABIC </w:instrText>
      </w:r>
      <w:r>
        <w:fldChar w:fldCharType="separate"/>
      </w:r>
      <w:r w:rsidR="006F0F3B">
        <w:rPr>
          <w:noProof/>
        </w:rPr>
        <w:t>55</w:t>
      </w:r>
      <w:r>
        <w:fldChar w:fldCharType="end"/>
      </w:r>
      <w:bookmarkEnd w:id="1114"/>
      <w:r w:rsidR="00067435" w:rsidRPr="001D05C9">
        <w:rPr>
          <w:szCs w:val="24"/>
        </w:rPr>
        <w:t>: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2"/>
        <w:gridCol w:w="2652"/>
      </w:tblGrid>
      <w:tr w:rsidR="00067435" w:rsidRPr="00B80389" w14:paraId="428BC606" w14:textId="77777777" w:rsidTr="00026175">
        <w:trPr>
          <w:trHeight w:val="270"/>
          <w:tblHeader/>
        </w:trPr>
        <w:tc>
          <w:tcPr>
            <w:tcW w:w="2741" w:type="pct"/>
            <w:shd w:val="clear" w:color="auto" w:fill="auto"/>
            <w:noWrap/>
          </w:tcPr>
          <w:p w14:paraId="7BC18306" w14:textId="77777777" w:rsidR="00067435" w:rsidRPr="001D05C9" w:rsidRDefault="00067435" w:rsidP="00026175">
            <w:pPr>
              <w:tabs>
                <w:tab w:val="left" w:pos="720"/>
              </w:tabs>
              <w:spacing w:before="40" w:after="40"/>
              <w:rPr>
                <w:b/>
                <w:bCs/>
                <w:sz w:val="20"/>
                <w:szCs w:val="20"/>
                <w:lang w:val="en-GB"/>
              </w:rPr>
            </w:pPr>
            <w:r w:rsidRPr="001D05C9">
              <w:rPr>
                <w:b/>
                <w:bCs/>
                <w:sz w:val="20"/>
                <w:szCs w:val="20"/>
                <w:lang w:val="en-GB"/>
              </w:rPr>
              <w:t xml:space="preserve">Validity criteria according to the study plan </w:t>
            </w:r>
          </w:p>
        </w:tc>
        <w:tc>
          <w:tcPr>
            <w:tcW w:w="2259" w:type="pct"/>
            <w:shd w:val="clear" w:color="auto" w:fill="auto"/>
            <w:noWrap/>
          </w:tcPr>
          <w:p w14:paraId="49CC6D59" w14:textId="77777777" w:rsidR="00067435" w:rsidRPr="00B80389" w:rsidRDefault="00067435" w:rsidP="00026175">
            <w:pPr>
              <w:tabs>
                <w:tab w:val="left" w:pos="720"/>
              </w:tabs>
              <w:spacing w:before="40" w:after="40"/>
              <w:rPr>
                <w:b/>
                <w:bCs/>
                <w:sz w:val="20"/>
                <w:szCs w:val="20"/>
                <w:lang w:val="en-GB"/>
              </w:rPr>
            </w:pPr>
            <w:r w:rsidRPr="001D05C9">
              <w:rPr>
                <w:b/>
                <w:bCs/>
                <w:sz w:val="20"/>
                <w:szCs w:val="20"/>
                <w:lang w:val="en-GB"/>
              </w:rPr>
              <w:t>Obtained in this study</w:t>
            </w:r>
          </w:p>
        </w:tc>
      </w:tr>
      <w:tr w:rsidR="00067435" w:rsidRPr="00B80389" w14:paraId="7780EA1E" w14:textId="77777777" w:rsidTr="00026175">
        <w:trPr>
          <w:trHeight w:val="270"/>
        </w:trPr>
        <w:tc>
          <w:tcPr>
            <w:tcW w:w="2741" w:type="pct"/>
            <w:shd w:val="clear" w:color="auto" w:fill="auto"/>
            <w:noWrap/>
          </w:tcPr>
          <w:p w14:paraId="0738B417" w14:textId="77777777" w:rsidR="00067435" w:rsidRPr="00B80389" w:rsidRDefault="00067435" w:rsidP="00026175">
            <w:pPr>
              <w:tabs>
                <w:tab w:val="left" w:pos="720"/>
              </w:tabs>
              <w:autoSpaceDE w:val="0"/>
              <w:autoSpaceDN w:val="0"/>
              <w:adjustRightInd w:val="0"/>
              <w:spacing w:before="40" w:after="40"/>
              <w:rPr>
                <w:rFonts w:eastAsia="Calibri"/>
                <w:sz w:val="20"/>
                <w:szCs w:val="20"/>
                <w:lang w:val="en-GB"/>
              </w:rPr>
            </w:pPr>
            <w:r w:rsidRPr="00B80389">
              <w:rPr>
                <w:rFonts w:eastAsia="Calibri"/>
                <w:sz w:val="20"/>
                <w:szCs w:val="20"/>
                <w:lang w:val="en-GB"/>
              </w:rPr>
              <w:t>In the control(s), mean mortality should be ≤15% after 10 days exposure</w:t>
            </w:r>
          </w:p>
        </w:tc>
        <w:tc>
          <w:tcPr>
            <w:tcW w:w="2259" w:type="pct"/>
            <w:shd w:val="clear" w:color="auto" w:fill="auto"/>
            <w:noWrap/>
          </w:tcPr>
          <w:p w14:paraId="25619D04" w14:textId="77777777" w:rsidR="00067435" w:rsidRPr="00B80389" w:rsidRDefault="00067435" w:rsidP="00026175">
            <w:pPr>
              <w:tabs>
                <w:tab w:val="left" w:pos="720"/>
              </w:tabs>
              <w:spacing w:before="40" w:after="40"/>
              <w:rPr>
                <w:sz w:val="20"/>
                <w:szCs w:val="20"/>
                <w:lang w:val="en-GB"/>
              </w:rPr>
            </w:pPr>
            <w:r w:rsidRPr="00B80389">
              <w:rPr>
                <w:sz w:val="20"/>
                <w:szCs w:val="20"/>
                <w:lang w:val="en-GB"/>
              </w:rPr>
              <w:t xml:space="preserve">2.5% </w:t>
            </w:r>
          </w:p>
          <w:p w14:paraId="2CD160F2" w14:textId="77777777" w:rsidR="00067435" w:rsidRPr="00B80389" w:rsidRDefault="00067435" w:rsidP="00026175">
            <w:pPr>
              <w:tabs>
                <w:tab w:val="left" w:pos="720"/>
              </w:tabs>
              <w:spacing w:before="40" w:after="40"/>
              <w:rPr>
                <w:sz w:val="20"/>
                <w:szCs w:val="20"/>
                <w:lang w:val="en-GB"/>
              </w:rPr>
            </w:pPr>
          </w:p>
        </w:tc>
      </w:tr>
      <w:tr w:rsidR="00067435" w:rsidRPr="00B80389" w14:paraId="43E9E33F" w14:textId="77777777" w:rsidTr="00026175">
        <w:trPr>
          <w:trHeight w:val="270"/>
        </w:trPr>
        <w:tc>
          <w:tcPr>
            <w:tcW w:w="2741" w:type="pct"/>
            <w:shd w:val="clear" w:color="auto" w:fill="auto"/>
            <w:noWrap/>
          </w:tcPr>
          <w:p w14:paraId="27A288AC" w14:textId="77777777" w:rsidR="00067435" w:rsidRPr="00B80389" w:rsidRDefault="00067435" w:rsidP="00026175">
            <w:pPr>
              <w:tabs>
                <w:tab w:val="left" w:pos="720"/>
              </w:tabs>
              <w:autoSpaceDE w:val="0"/>
              <w:autoSpaceDN w:val="0"/>
              <w:adjustRightInd w:val="0"/>
              <w:spacing w:before="40" w:after="40"/>
              <w:rPr>
                <w:rFonts w:eastAsia="Calibri"/>
                <w:sz w:val="20"/>
                <w:szCs w:val="20"/>
                <w:lang w:val="en-GB"/>
              </w:rPr>
            </w:pPr>
            <w:r w:rsidRPr="00B80389">
              <w:rPr>
                <w:rFonts w:eastAsia="Calibri"/>
                <w:sz w:val="20"/>
                <w:szCs w:val="20"/>
                <w:lang w:val="en-GB"/>
              </w:rPr>
              <w:t>In the toxic reference test, mean mortality should be ≥50% after 10 days exposure</w:t>
            </w:r>
          </w:p>
        </w:tc>
        <w:tc>
          <w:tcPr>
            <w:tcW w:w="2259" w:type="pct"/>
            <w:shd w:val="clear" w:color="auto" w:fill="auto"/>
            <w:noWrap/>
          </w:tcPr>
          <w:p w14:paraId="2161E70F" w14:textId="77777777" w:rsidR="00067435" w:rsidRPr="00B80389" w:rsidRDefault="00067435" w:rsidP="00026175">
            <w:pPr>
              <w:tabs>
                <w:tab w:val="left" w:pos="720"/>
              </w:tabs>
              <w:spacing w:before="40" w:after="40"/>
              <w:rPr>
                <w:sz w:val="20"/>
                <w:szCs w:val="20"/>
                <w:lang w:val="en-GB"/>
              </w:rPr>
            </w:pPr>
            <w:r w:rsidRPr="00B80389">
              <w:rPr>
                <w:sz w:val="20"/>
                <w:szCs w:val="20"/>
                <w:lang w:val="en-GB"/>
              </w:rPr>
              <w:t>65.0%</w:t>
            </w:r>
          </w:p>
        </w:tc>
      </w:tr>
    </w:tbl>
    <w:p w14:paraId="7EBFB595" w14:textId="77777777" w:rsidR="00067435" w:rsidRPr="003C20AD" w:rsidRDefault="00067435" w:rsidP="00067435">
      <w:pPr>
        <w:tabs>
          <w:tab w:val="left" w:pos="0"/>
        </w:tabs>
        <w:ind w:left="357" w:hanging="357"/>
        <w:contextualSpacing/>
        <w:rPr>
          <w:rFonts w:ascii="Times New Roman Bold" w:hAnsi="Times New Roman Bold"/>
          <w:b/>
          <w:bCs/>
          <w:caps/>
          <w:szCs w:val="24"/>
          <w:highlight w:val="yellow"/>
          <w:lang w:val="en-GB"/>
        </w:rPr>
      </w:pPr>
    </w:p>
    <w:p w14:paraId="1BA62332" w14:textId="77777777" w:rsidR="00067435" w:rsidRPr="00D84C61" w:rsidRDefault="00067435" w:rsidP="00067435">
      <w:pPr>
        <w:tabs>
          <w:tab w:val="left" w:pos="0"/>
        </w:tabs>
        <w:ind w:left="357" w:hanging="357"/>
        <w:contextualSpacing/>
        <w:rPr>
          <w:rFonts w:ascii="Times New Roman Bold" w:hAnsi="Times New Roman Bold"/>
          <w:b/>
          <w:bCs/>
          <w:caps/>
          <w:szCs w:val="24"/>
          <w:lang w:val="en-GB"/>
        </w:rPr>
      </w:pPr>
      <w:r w:rsidRPr="00D84C61">
        <w:rPr>
          <w:rFonts w:ascii="Times New Roman Bold" w:hAnsi="Times New Roman Bold"/>
          <w:b/>
          <w:bCs/>
          <w:caps/>
          <w:szCs w:val="24"/>
          <w:lang w:val="en-GB"/>
        </w:rPr>
        <w:t>D.</w:t>
      </w:r>
      <w:r w:rsidRPr="00D84C61">
        <w:rPr>
          <w:rFonts w:ascii="Times New Roman Bold" w:hAnsi="Times New Roman Bold"/>
          <w:b/>
          <w:bCs/>
          <w:caps/>
          <w:szCs w:val="24"/>
          <w:lang w:val="en-GB"/>
        </w:rPr>
        <w:tab/>
        <w:t>Deficiencies</w:t>
      </w:r>
    </w:p>
    <w:p w14:paraId="4FA0F7A0" w14:textId="77777777" w:rsidR="00067435" w:rsidRPr="00D84C61" w:rsidRDefault="00067435" w:rsidP="00067435">
      <w:pPr>
        <w:tabs>
          <w:tab w:val="left" w:pos="720"/>
        </w:tabs>
        <w:spacing w:after="240"/>
        <w:jc w:val="both"/>
        <w:rPr>
          <w:szCs w:val="24"/>
          <w:lang w:val="en-GB"/>
        </w:rPr>
      </w:pPr>
      <w:r w:rsidRPr="00D84C61">
        <w:rPr>
          <w:szCs w:val="24"/>
          <w:lang w:val="en-GB"/>
        </w:rPr>
        <w:t>Honey bees were up to 4 days old at test start. The study was conducted before the publication of the current guidance document and this deviation is considered minor and did not influence the integrity and outcome of the study.</w:t>
      </w:r>
    </w:p>
    <w:p w14:paraId="6D489362" w14:textId="77777777" w:rsidR="00067435" w:rsidRPr="00B80389" w:rsidRDefault="00067435" w:rsidP="008D2927">
      <w:pPr>
        <w:keepNext/>
        <w:keepLines/>
        <w:tabs>
          <w:tab w:val="left" w:pos="720"/>
        </w:tabs>
        <w:spacing w:after="360"/>
        <w:ind w:left="720" w:hanging="431"/>
        <w:contextualSpacing/>
        <w:jc w:val="center"/>
        <w:rPr>
          <w:b/>
          <w:bCs/>
          <w:szCs w:val="24"/>
          <w:lang w:val="en-GB"/>
        </w:rPr>
      </w:pPr>
      <w:r w:rsidRPr="00B80389">
        <w:rPr>
          <w:b/>
          <w:bCs/>
          <w:szCs w:val="24"/>
          <w:lang w:val="en-GB"/>
        </w:rPr>
        <w:t>III.</w:t>
      </w:r>
      <w:r w:rsidRPr="00B80389">
        <w:rPr>
          <w:b/>
          <w:bCs/>
          <w:szCs w:val="24"/>
          <w:lang w:val="en-GB"/>
        </w:rPr>
        <w:tab/>
        <w:t>CONCLUSION</w:t>
      </w:r>
    </w:p>
    <w:p w14:paraId="2F1E113F" w14:textId="77777777" w:rsidR="00A76A96" w:rsidRDefault="00A76A96" w:rsidP="00067435">
      <w:pPr>
        <w:widowControl w:val="0"/>
        <w:jc w:val="both"/>
        <w:rPr>
          <w:lang w:val="en-GB"/>
        </w:rPr>
      </w:pPr>
    </w:p>
    <w:p w14:paraId="15B11509" w14:textId="461BAF3A" w:rsidR="00067435" w:rsidRPr="00A34F10" w:rsidRDefault="00067435" w:rsidP="00067435">
      <w:pPr>
        <w:widowControl w:val="0"/>
        <w:jc w:val="both"/>
      </w:pPr>
      <w:r w:rsidRPr="00EE3426">
        <w:rPr>
          <w:lang w:val="en-GB"/>
        </w:rPr>
        <w:t>The chronic oral toxicity of Propamocarb-hydrochloride SL 722 to young adult honeybees (</w:t>
      </w:r>
      <w:r w:rsidRPr="00EE3426">
        <w:rPr>
          <w:i/>
          <w:iCs/>
          <w:lang w:val="en-GB"/>
        </w:rPr>
        <w:t>Apis mellifera</w:t>
      </w:r>
      <w:r w:rsidRPr="00EE3426">
        <w:rPr>
          <w:lang w:val="en-GB"/>
        </w:rPr>
        <w:t>) was investigated in a 10-day chronic, dose-response feeding study under laboratory conditions. The LDD</w:t>
      </w:r>
      <w:r w:rsidRPr="00EE3426">
        <w:rPr>
          <w:vertAlign w:val="subscript"/>
          <w:lang w:val="en-GB"/>
        </w:rPr>
        <w:t>50</w:t>
      </w:r>
      <w:r w:rsidRPr="00EE3426">
        <w:rPr>
          <w:lang w:val="en-GB"/>
        </w:rPr>
        <w:t xml:space="preserve"> was determined to be &gt; 85.68 µg consumed a.s./bee/day. The corresponding LC</w:t>
      </w:r>
      <w:r w:rsidRPr="00EE3426">
        <w:rPr>
          <w:vertAlign w:val="subscript"/>
          <w:lang w:val="en-GB"/>
        </w:rPr>
        <w:t>50</w:t>
      </w:r>
      <w:r w:rsidRPr="00EE3426">
        <w:rPr>
          <w:lang w:val="en-GB"/>
        </w:rPr>
        <w:t xml:space="preserve"> was determined to be &gt; 3000 a.s. product/kg food. The NOEDD was determined to be 85.68 µg consumed a.s./bee/day. The corresponding NOEC was determined to be 3000 g a.s./kg food.</w:t>
      </w:r>
    </w:p>
    <w:p w14:paraId="304A27CB" w14:textId="77777777" w:rsidR="00DC5685" w:rsidRPr="00A34F10" w:rsidRDefault="00B6569A" w:rsidP="00B6569A">
      <w:r w:rsidRPr="00A34F10">
        <w:br w:type="page"/>
      </w:r>
    </w:p>
    <w:p w14:paraId="4479A8C7" w14:textId="77777777" w:rsidR="00DC5685" w:rsidRPr="00A34F10" w:rsidRDefault="00DC5685" w:rsidP="00B6569A">
      <w:pPr>
        <w:pStyle w:val="RepAppendix4"/>
      </w:pPr>
      <w:r w:rsidRPr="00A34F10">
        <w:lastRenderedPageBreak/>
        <w:t xml:space="preserve">KCP 10.3.1.3 </w:t>
      </w:r>
      <w:r w:rsidRPr="00A34F10">
        <w:tab/>
        <w:t>Effects on honey bee development and other honey bee life stages</w:t>
      </w:r>
    </w:p>
    <w:p w14:paraId="0A4CAC45" w14:textId="77777777" w:rsidR="00DC5685" w:rsidRPr="00A34F10" w:rsidRDefault="00DC5685" w:rsidP="00853DA6">
      <w:pPr>
        <w:pStyle w:val="RepAppendix5"/>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2C206AFA" w14:textId="77777777" w:rsidTr="008D2927">
        <w:trPr>
          <w:trHeight w:val="429"/>
        </w:trPr>
        <w:tc>
          <w:tcPr>
            <w:tcW w:w="1063" w:type="pct"/>
            <w:shd w:val="clear" w:color="auto" w:fill="D9D9D9" w:themeFill="background1" w:themeFillShade="D9"/>
          </w:tcPr>
          <w:p w14:paraId="3A797B9A" w14:textId="77777777" w:rsidR="00DC5685" w:rsidRPr="00A34F10" w:rsidRDefault="00DC5685" w:rsidP="00DC5685">
            <w:pPr>
              <w:widowControl w:val="0"/>
              <w:jc w:val="both"/>
              <w:rPr>
                <w:rFonts w:eastAsia="Batang"/>
              </w:rPr>
            </w:pPr>
            <w:r w:rsidRPr="00A34F10">
              <w:t>Comments of zRMS:</w:t>
            </w:r>
          </w:p>
        </w:tc>
        <w:tc>
          <w:tcPr>
            <w:tcW w:w="3937" w:type="pct"/>
            <w:shd w:val="clear" w:color="auto" w:fill="D9D9D9" w:themeFill="background1" w:themeFillShade="D9"/>
          </w:tcPr>
          <w:p w14:paraId="6187A70C" w14:textId="3EF62F78" w:rsidR="00DC5685" w:rsidRPr="00A34F10" w:rsidRDefault="00CB0DCB" w:rsidP="00DC5685">
            <w:pPr>
              <w:widowControl w:val="0"/>
              <w:ind w:left="85"/>
              <w:jc w:val="both"/>
              <w:rPr>
                <w:rFonts w:eastAsia="Batang"/>
              </w:rPr>
            </w:pPr>
            <w:r>
              <w:t xml:space="preserve">Study not evaluated. </w:t>
            </w:r>
            <w:fldSimple w:instr=" FORMTEXT "/>
          </w:p>
        </w:tc>
      </w:tr>
    </w:tbl>
    <w:p w14:paraId="72B4B6B5" w14:textId="77777777" w:rsidR="00DC5685" w:rsidRPr="00A34F10" w:rsidRDefault="00DC5685" w:rsidP="00DC5685"/>
    <w:tbl>
      <w:tblPr>
        <w:tblW w:w="5000" w:type="pct"/>
        <w:jc w:val="center"/>
        <w:tblCellMar>
          <w:left w:w="71" w:type="dxa"/>
          <w:right w:w="71" w:type="dxa"/>
        </w:tblCellMar>
        <w:tblLook w:val="0000" w:firstRow="0" w:lastRow="0" w:firstColumn="0" w:lastColumn="0" w:noHBand="0" w:noVBand="0"/>
      </w:tblPr>
      <w:tblGrid>
        <w:gridCol w:w="2552"/>
        <w:gridCol w:w="6802"/>
      </w:tblGrid>
      <w:tr w:rsidR="00DC5685" w:rsidRPr="00A34F10" w14:paraId="17666524" w14:textId="77777777" w:rsidTr="000470C3">
        <w:trPr>
          <w:jc w:val="center"/>
        </w:trPr>
        <w:tc>
          <w:tcPr>
            <w:tcW w:w="1364" w:type="pct"/>
          </w:tcPr>
          <w:p w14:paraId="19D23F4F"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 xml:space="preserve">Data point: </w:t>
            </w:r>
          </w:p>
        </w:tc>
        <w:tc>
          <w:tcPr>
            <w:tcW w:w="3636" w:type="pct"/>
          </w:tcPr>
          <w:p w14:paraId="31D36F6D"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CP 10.3.1.3/01</w:t>
            </w:r>
          </w:p>
        </w:tc>
      </w:tr>
      <w:tr w:rsidR="00DC5685" w:rsidRPr="00A34F10" w14:paraId="6DF4A3DC" w14:textId="77777777" w:rsidTr="000470C3">
        <w:trPr>
          <w:trHeight w:val="1678"/>
          <w:jc w:val="center"/>
        </w:trPr>
        <w:tc>
          <w:tcPr>
            <w:tcW w:w="1364" w:type="pct"/>
          </w:tcPr>
          <w:p w14:paraId="4E42E6ED"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Report</w:t>
            </w:r>
          </w:p>
          <w:p w14:paraId="77A1EB8F"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 xml:space="preserve"> </w:t>
            </w:r>
          </w:p>
        </w:tc>
        <w:tc>
          <w:tcPr>
            <w:tcW w:w="3636" w:type="pct"/>
          </w:tcPr>
          <w:p w14:paraId="19D6C882" w14:textId="77777777" w:rsidR="00DC5685" w:rsidRPr="00A34F10" w:rsidRDefault="00DC5685" w:rsidP="00DC5685">
            <w:pPr>
              <w:widowControl w:val="0"/>
              <w:suppressAutoHyphens/>
              <w:spacing w:after="120"/>
              <w:jc w:val="both"/>
            </w:pPr>
            <w:r w:rsidRPr="00A34F10">
              <w:t xml:space="preserve">Repeated exposure of BAS 650 00 F to honey bee </w:t>
            </w:r>
            <w:r w:rsidRPr="00A34F10">
              <w:rPr>
                <w:i/>
              </w:rPr>
              <w:t>(Apis mellifera</w:t>
            </w:r>
            <w:r w:rsidRPr="00A34F10">
              <w:t>) larvae under laboratory conditions (</w:t>
            </w:r>
            <w:r w:rsidRPr="00A34F10">
              <w:rPr>
                <w:i/>
              </w:rPr>
              <w:t>in vitro</w:t>
            </w:r>
            <w:r w:rsidRPr="00A34F10">
              <w:t>)</w:t>
            </w:r>
          </w:p>
          <w:p w14:paraId="5FD6EAEE" w14:textId="77777777" w:rsidR="00DC5685" w:rsidRPr="00A34F10" w:rsidRDefault="00DC5685" w:rsidP="00DC5685">
            <w:pPr>
              <w:widowControl w:val="0"/>
              <w:spacing w:after="120"/>
              <w:jc w:val="both"/>
            </w:pPr>
            <w:r w:rsidRPr="00A34F10">
              <w:t>Kleebaum K., 2016</w:t>
            </w:r>
          </w:p>
          <w:p w14:paraId="52FFA625" w14:textId="77777777" w:rsidR="00DC5685" w:rsidRPr="00A34F10" w:rsidRDefault="00DC5685" w:rsidP="00DC5685">
            <w:pPr>
              <w:widowControl w:val="0"/>
              <w:suppressAutoHyphens/>
              <w:spacing w:after="120"/>
              <w:jc w:val="both"/>
            </w:pPr>
            <w:r w:rsidRPr="00A34F10">
              <w:t xml:space="preserve">Report No </w:t>
            </w:r>
            <w:r w:rsidRPr="00A34F10">
              <w:rPr>
                <w:bCs/>
              </w:rPr>
              <w:t>14 10 48 061 B</w:t>
            </w:r>
          </w:p>
          <w:p w14:paraId="3495B2AF" w14:textId="58A7EDEA" w:rsidR="00DC5685" w:rsidRPr="00A34F10" w:rsidRDefault="00D007AB" w:rsidP="00DC5685">
            <w:pPr>
              <w:widowControl w:val="0"/>
              <w:suppressAutoHyphens/>
              <w:spacing w:after="120"/>
              <w:jc w:val="both"/>
            </w:pPr>
            <w:r>
              <w:t>XXXX</w:t>
            </w:r>
            <w:r w:rsidR="00DC5685" w:rsidRPr="00A34F10">
              <w:t xml:space="preserve"> DocID: 2014/1111115</w:t>
            </w:r>
          </w:p>
        </w:tc>
      </w:tr>
      <w:tr w:rsidR="00DC5685" w:rsidRPr="00A34F10" w14:paraId="61A9C965" w14:textId="77777777" w:rsidTr="000470C3">
        <w:trPr>
          <w:jc w:val="center"/>
        </w:trPr>
        <w:tc>
          <w:tcPr>
            <w:tcW w:w="1364" w:type="pct"/>
          </w:tcPr>
          <w:p w14:paraId="5D3F2947" w14:textId="77777777" w:rsidR="00DC5685" w:rsidRPr="00A34F10" w:rsidRDefault="00DC5685" w:rsidP="00DC5685">
            <w:pPr>
              <w:tabs>
                <w:tab w:val="left" w:pos="360"/>
                <w:tab w:val="left" w:pos="720"/>
              </w:tabs>
              <w:spacing w:beforeLines="60" w:before="144" w:after="120"/>
              <w:jc w:val="both"/>
              <w:rPr>
                <w:lang w:val="en-GB"/>
              </w:rPr>
            </w:pPr>
            <w:r w:rsidRPr="00A34F10">
              <w:t>Guideline(s):</w:t>
            </w:r>
          </w:p>
        </w:tc>
        <w:tc>
          <w:tcPr>
            <w:tcW w:w="3636" w:type="pct"/>
          </w:tcPr>
          <w:p w14:paraId="5B1F7A75" w14:textId="77777777" w:rsidR="00DC5685" w:rsidRPr="00A34F10" w:rsidRDefault="00DC5685" w:rsidP="00DC5685">
            <w:pPr>
              <w:tabs>
                <w:tab w:val="left" w:pos="360"/>
                <w:tab w:val="left" w:pos="720"/>
              </w:tabs>
              <w:spacing w:beforeLines="60" w:before="144" w:after="120"/>
              <w:jc w:val="both"/>
              <w:rPr>
                <w:lang w:val="en-GB"/>
              </w:rPr>
            </w:pPr>
            <w:r w:rsidRPr="00A34F10">
              <w:t>OECD 237 (2013) &amp; OECD DRAFT Guidance Document for testing chemicals: Honey bee (</w:t>
            </w:r>
            <w:r w:rsidRPr="00A34F10">
              <w:rPr>
                <w:i/>
              </w:rPr>
              <w:t>Apis mellifera</w:t>
            </w:r>
            <w:r w:rsidRPr="00A34F10">
              <w:t>) larval toxicity test, repeated exposure (February 2014)</w:t>
            </w:r>
          </w:p>
        </w:tc>
      </w:tr>
      <w:tr w:rsidR="00DC5685" w:rsidRPr="00A34F10" w14:paraId="36AE8A4C" w14:textId="77777777" w:rsidTr="000470C3">
        <w:trPr>
          <w:jc w:val="center"/>
        </w:trPr>
        <w:tc>
          <w:tcPr>
            <w:tcW w:w="1364" w:type="pct"/>
          </w:tcPr>
          <w:p w14:paraId="49A0214D" w14:textId="77777777" w:rsidR="00DC5685" w:rsidRPr="00A34F10" w:rsidRDefault="00DC5685" w:rsidP="00DC5685">
            <w:pPr>
              <w:tabs>
                <w:tab w:val="left" w:pos="360"/>
                <w:tab w:val="left" w:pos="720"/>
              </w:tabs>
              <w:spacing w:beforeLines="60" w:before="144" w:after="120"/>
              <w:jc w:val="both"/>
              <w:rPr>
                <w:lang w:val="en-GB"/>
              </w:rPr>
            </w:pPr>
            <w:r w:rsidRPr="00A34F10">
              <w:t>Deviations:</w:t>
            </w:r>
          </w:p>
        </w:tc>
        <w:tc>
          <w:tcPr>
            <w:tcW w:w="3636" w:type="pct"/>
            <w:shd w:val="clear" w:color="auto" w:fill="auto"/>
          </w:tcPr>
          <w:p w14:paraId="1F2A593F"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None</w:t>
            </w:r>
          </w:p>
        </w:tc>
      </w:tr>
      <w:tr w:rsidR="00DC5685" w:rsidRPr="00902592" w14:paraId="036C103F" w14:textId="77777777" w:rsidTr="000470C3">
        <w:trPr>
          <w:jc w:val="center"/>
        </w:trPr>
        <w:tc>
          <w:tcPr>
            <w:tcW w:w="1364" w:type="pct"/>
          </w:tcPr>
          <w:p w14:paraId="60FC593A" w14:textId="77777777" w:rsidR="00DC5685" w:rsidRPr="00A34F10" w:rsidRDefault="00DC5685" w:rsidP="00DC5685">
            <w:pPr>
              <w:tabs>
                <w:tab w:val="left" w:pos="360"/>
                <w:tab w:val="left" w:pos="720"/>
              </w:tabs>
              <w:spacing w:beforeLines="60" w:before="144" w:after="120"/>
              <w:jc w:val="both"/>
              <w:rPr>
                <w:lang w:val="en-GB"/>
              </w:rPr>
            </w:pPr>
            <w:r w:rsidRPr="00A34F10">
              <w:t>GLP:</w:t>
            </w:r>
          </w:p>
        </w:tc>
        <w:tc>
          <w:tcPr>
            <w:tcW w:w="3636" w:type="pct"/>
            <w:shd w:val="clear" w:color="auto" w:fill="auto"/>
          </w:tcPr>
          <w:p w14:paraId="4BF7FB2F" w14:textId="77777777" w:rsidR="00DC5685" w:rsidRPr="00A34F10" w:rsidRDefault="00DC5685" w:rsidP="00DC5685">
            <w:pPr>
              <w:tabs>
                <w:tab w:val="left" w:pos="360"/>
                <w:tab w:val="left" w:pos="720"/>
              </w:tabs>
              <w:spacing w:beforeLines="60" w:before="144" w:after="120"/>
              <w:jc w:val="both"/>
              <w:rPr>
                <w:lang w:val="de-DE"/>
              </w:rPr>
            </w:pPr>
            <w:r w:rsidRPr="00A34F10">
              <w:rPr>
                <w:lang w:val="de-DE"/>
              </w:rPr>
              <w:t>Yes, (certified by Saechsisches Staatsministerium fuer Umwelt und Landwirtschaft, Dresden, Germany)</w:t>
            </w:r>
          </w:p>
        </w:tc>
      </w:tr>
      <w:tr w:rsidR="00DC5685" w:rsidRPr="00A34F10" w14:paraId="171B153D" w14:textId="77777777" w:rsidTr="000470C3">
        <w:trPr>
          <w:jc w:val="center"/>
        </w:trPr>
        <w:tc>
          <w:tcPr>
            <w:tcW w:w="1364" w:type="pct"/>
          </w:tcPr>
          <w:p w14:paraId="63B7F004" w14:textId="77777777" w:rsidR="00DC5685" w:rsidRPr="00A34F10" w:rsidRDefault="00DC5685" w:rsidP="00DC5685">
            <w:pPr>
              <w:tabs>
                <w:tab w:val="left" w:pos="360"/>
                <w:tab w:val="left" w:pos="720"/>
              </w:tabs>
              <w:spacing w:beforeLines="60" w:before="144" w:after="120"/>
              <w:jc w:val="both"/>
              <w:rPr>
                <w:lang w:val="en-GB"/>
              </w:rPr>
            </w:pPr>
            <w:r w:rsidRPr="00A34F10">
              <w:t>Acceptability:</w:t>
            </w:r>
          </w:p>
        </w:tc>
        <w:tc>
          <w:tcPr>
            <w:tcW w:w="3636" w:type="pct"/>
            <w:shd w:val="clear" w:color="auto" w:fill="auto"/>
          </w:tcPr>
          <w:p w14:paraId="227FACF6" w14:textId="77777777" w:rsidR="00DC5685" w:rsidRPr="00A34F10" w:rsidRDefault="00DC5685" w:rsidP="00DC5685">
            <w:pPr>
              <w:tabs>
                <w:tab w:val="left" w:pos="360"/>
                <w:tab w:val="left" w:pos="720"/>
              </w:tabs>
              <w:spacing w:beforeLines="60" w:before="144" w:after="120"/>
              <w:jc w:val="both"/>
              <w:rPr>
                <w:lang w:val="en-GB"/>
              </w:rPr>
            </w:pPr>
            <w:r w:rsidRPr="00A34F10">
              <w:rPr>
                <w:lang w:val="en-GB"/>
              </w:rPr>
              <w:t>Yes</w:t>
            </w:r>
          </w:p>
        </w:tc>
      </w:tr>
    </w:tbl>
    <w:p w14:paraId="050A7DA9" w14:textId="77777777" w:rsidR="00DC5685" w:rsidRPr="00A34F10" w:rsidRDefault="00DC5685" w:rsidP="00DC5685">
      <w:pPr>
        <w:tabs>
          <w:tab w:val="left" w:pos="720"/>
        </w:tabs>
        <w:jc w:val="both"/>
        <w:rPr>
          <w:b/>
          <w:bCs/>
          <w:sz w:val="24"/>
          <w:szCs w:val="24"/>
          <w:lang w:val="en-GB"/>
        </w:rPr>
      </w:pPr>
    </w:p>
    <w:p w14:paraId="7E836E38" w14:textId="77777777" w:rsidR="00DC5685" w:rsidRPr="00A34F10" w:rsidRDefault="00DC5685" w:rsidP="00DC5685">
      <w:pPr>
        <w:tabs>
          <w:tab w:val="left" w:pos="720"/>
        </w:tabs>
        <w:jc w:val="both"/>
        <w:rPr>
          <w:b/>
          <w:bCs/>
          <w:sz w:val="24"/>
          <w:szCs w:val="24"/>
          <w:lang w:val="en-GB"/>
        </w:rPr>
      </w:pPr>
      <w:r w:rsidRPr="00A34F10">
        <w:rPr>
          <w:b/>
          <w:bCs/>
          <w:sz w:val="24"/>
          <w:szCs w:val="24"/>
          <w:lang w:val="en-GB"/>
        </w:rPr>
        <w:t>Executive summary</w:t>
      </w:r>
    </w:p>
    <w:p w14:paraId="13285288" w14:textId="77777777" w:rsidR="00DC5685" w:rsidRPr="00A34F10" w:rsidRDefault="00DC5685" w:rsidP="00DC5685">
      <w:pPr>
        <w:tabs>
          <w:tab w:val="left" w:pos="720"/>
        </w:tabs>
        <w:jc w:val="both"/>
        <w:rPr>
          <w:b/>
          <w:bCs/>
          <w:sz w:val="24"/>
          <w:szCs w:val="24"/>
          <w:lang w:val="en-GB"/>
        </w:rPr>
      </w:pPr>
    </w:p>
    <w:p w14:paraId="0CF2EC5F" w14:textId="77777777" w:rsidR="00DC5685" w:rsidRPr="00A34F10" w:rsidRDefault="00DC5685" w:rsidP="00DC5685">
      <w:pPr>
        <w:widowControl w:val="0"/>
        <w:suppressAutoHyphens/>
        <w:jc w:val="both"/>
      </w:pPr>
      <w:r w:rsidRPr="00A34F10">
        <w:rPr>
          <w:snapToGrid w:val="0"/>
        </w:rPr>
        <w:t>In a repeated exposure feeding toxicity test, f</w:t>
      </w:r>
      <w:r w:rsidRPr="00A34F10">
        <w:t>irst instar larvae (L1) of honeybees (</w:t>
      </w:r>
      <w:r w:rsidRPr="00A34F10">
        <w:rPr>
          <w:i/>
          <w:iCs/>
        </w:rPr>
        <w:t xml:space="preserve">Apis mellifera </w:t>
      </w:r>
      <w:r w:rsidRPr="00A34F10">
        <w:rPr>
          <w:iCs/>
        </w:rPr>
        <w:t xml:space="preserve">L., ssp. </w:t>
      </w:r>
      <w:r w:rsidRPr="00A34F10">
        <w:rPr>
          <w:i/>
          <w:iCs/>
        </w:rPr>
        <w:t>Buckfast</w:t>
      </w:r>
      <w:r w:rsidRPr="00A34F10">
        <w:t>) were repeatedly exposed to BAS 650 00 F diluted in the larvae food on four consecutive days (D3 to D6 after grafting). The toxicity of the test item was determined at total doses of 37.1, 92.6, 231.6, 579.0 and 1447.6 µg product/larva (corresponding to 7.1, 17.8, 44.4, 111.0, and 277.6 µg a.s./larva). The concentrations of the test item in the diet were 241, 602, 1504, 3760 and 9400 mg product/kg food (corresponding to 46, 115, 288, 721 and 1802 mg a.s./kg food). Additionally, honey bee larvae were treated with Dimethoate tech. as reference item. Untreated diet served as a control. Assessments of larval mortality were done 24, 48, 72, 96 and 120 hours after start of the treatment. Additionally, qualitative observations were assessed after 96 and 120 hours. Pupal mortality was assessed at D15, and emergence of adults was evaluated at D22.</w:t>
      </w:r>
    </w:p>
    <w:p w14:paraId="5E62BE7E" w14:textId="77777777" w:rsidR="00DC5685" w:rsidRPr="00A34F10" w:rsidRDefault="00DC5685" w:rsidP="00DC5685">
      <w:pPr>
        <w:widowControl w:val="0"/>
        <w:suppressAutoHyphens/>
        <w:jc w:val="both"/>
      </w:pPr>
    </w:p>
    <w:p w14:paraId="0D32DAA4" w14:textId="77777777" w:rsidR="00DC5685" w:rsidRPr="00A34F10" w:rsidRDefault="00DC5685" w:rsidP="00DC5685">
      <w:pPr>
        <w:widowControl w:val="0"/>
        <w:suppressAutoHyphens/>
        <w:jc w:val="both"/>
      </w:pPr>
      <w:r w:rsidRPr="00A34F10">
        <w:t>After 120 hours of oral exposure, a larval mortality of 8.3% was observed in the control. Pupal mortality between D8 and D22 was 12.1%. Thus, the control group showed a total mortality of 19.4% at D22. In the test item group, larval mortalities at D8 ranged between 0.0% and 25.0%. Pupal mortalities ranged between 31.4% and 90.3% in the same treatment groups. Thus, total mortalities at D22 ranged between 33.3% and 91.7%. None of the recorded mortality rates were statistically significantly different compared to the control.</w:t>
      </w:r>
    </w:p>
    <w:p w14:paraId="72FA8A82" w14:textId="77777777" w:rsidR="00DC5685" w:rsidRPr="00A34F10" w:rsidRDefault="00DC5685" w:rsidP="00DC5685">
      <w:pPr>
        <w:widowControl w:val="0"/>
        <w:suppressAutoHyphens/>
        <w:jc w:val="both"/>
      </w:pPr>
    </w:p>
    <w:p w14:paraId="10A0A1A1" w14:textId="77777777" w:rsidR="00DC5685" w:rsidRPr="00A34F10" w:rsidRDefault="00DC5685" w:rsidP="00DC5685">
      <w:pPr>
        <w:widowControl w:val="0"/>
        <w:suppressAutoHyphens/>
        <w:jc w:val="both"/>
      </w:pPr>
      <w:r w:rsidRPr="00A34F10">
        <w:t>At D8, larvae of all treatments, as well as larvae of control and reference item, had completely consumed their offered food. No additional abnormalities regarding body size were observed.</w:t>
      </w:r>
    </w:p>
    <w:p w14:paraId="7D654F76" w14:textId="30DC7A0F" w:rsidR="001F741C" w:rsidRDefault="001F741C">
      <w:r>
        <w:br w:type="page"/>
      </w:r>
    </w:p>
    <w:p w14:paraId="1543624D" w14:textId="77777777" w:rsidR="00DC5685" w:rsidRPr="00A34F10" w:rsidRDefault="00DC5685" w:rsidP="00DC5685">
      <w:pPr>
        <w:widowControl w:val="0"/>
        <w:suppressAutoHyphens/>
        <w:jc w:val="both"/>
      </w:pPr>
    </w:p>
    <w:p w14:paraId="32A667FD" w14:textId="77777777" w:rsidR="00DC5685" w:rsidRPr="00A34F10" w:rsidRDefault="00DC5685" w:rsidP="00DC5685">
      <w:pPr>
        <w:widowControl w:val="0"/>
        <w:suppressAutoHyphens/>
        <w:jc w:val="both"/>
      </w:pPr>
      <w:r w:rsidRPr="00A34F10">
        <w:t>In the final assessment at D22, an adult emergence rate of 80.6% was determined for the honeybees in the control group. Adult honeybees emerged at rates of 66.7%, 38.9%, 25.0%, 16.7% and 8.3% following an application of 7.1, 17.8, 44.4, 111.0 and 277.6 µg a.s./larva, respectively, during the larval stages. Hence, statistically significant effects on adult emergence occurred at the four highest test item doses (17.8, 44.4, 111.0 and 277.6 µg a.s./larva, respectively).</w:t>
      </w:r>
    </w:p>
    <w:p w14:paraId="34F03425" w14:textId="77777777" w:rsidR="00DC5685" w:rsidRPr="00A34F10" w:rsidRDefault="00DC5685" w:rsidP="00DC5685">
      <w:pPr>
        <w:widowControl w:val="0"/>
        <w:suppressAutoHyphens/>
        <w:jc w:val="both"/>
      </w:pPr>
    </w:p>
    <w:p w14:paraId="7E0D441B" w14:textId="77777777" w:rsidR="00DC5685" w:rsidRPr="00A34F10" w:rsidRDefault="00DC5685" w:rsidP="00DC5685">
      <w:pPr>
        <w:widowControl w:val="0"/>
        <w:suppressAutoHyphens/>
        <w:jc w:val="both"/>
      </w:pPr>
      <w:r w:rsidRPr="00A34F10">
        <w:t>In a repeated exposure larval toxicity study with BAS 650 00 F, the LD</w:t>
      </w:r>
      <w:r w:rsidRPr="00A34F10">
        <w:rPr>
          <w:vertAlign w:val="subscript"/>
        </w:rPr>
        <w:t>50</w:t>
      </w:r>
      <w:r w:rsidRPr="00A34F10">
        <w:t xml:space="preserve"> (larval mortality on D8) was determined to be &gt; 1447.6 µg BAS 650 00 F/larva (&gt; 277.6 µg a.s./larva), which is equivalent to an LC</w:t>
      </w:r>
      <w:r w:rsidRPr="00A34F10">
        <w:rPr>
          <w:vertAlign w:val="subscript"/>
        </w:rPr>
        <w:t>50</w:t>
      </w:r>
      <w:r w:rsidRPr="00A34F10">
        <w:t xml:space="preserve"> of &gt; 9400 mg BAS 650 00 F/kg food (&gt; 1802 mg a.s./kg food). The respective NOED was ≥ 1447.6 µg BAS 650 00 F/larva (≥ 277.6 µg a.s./larva) and the corresponding NOEC was ≥ 9400 mg BAS 650 00 F/kg food (≥ 1802 mg a.s./kg food).</w:t>
      </w:r>
    </w:p>
    <w:p w14:paraId="5DFAC9C0" w14:textId="77777777" w:rsidR="00DC5685" w:rsidRPr="00A34F10" w:rsidRDefault="00DC5685" w:rsidP="00DC5685">
      <w:pPr>
        <w:widowControl w:val="0"/>
        <w:suppressAutoHyphens/>
        <w:jc w:val="both"/>
      </w:pPr>
    </w:p>
    <w:p w14:paraId="791AB405" w14:textId="77777777" w:rsidR="00DC5685" w:rsidRPr="00A34F10" w:rsidRDefault="00DC5685" w:rsidP="00DC5685">
      <w:pPr>
        <w:widowControl w:val="0"/>
        <w:suppressAutoHyphens/>
        <w:jc w:val="both"/>
      </w:pPr>
      <w:r w:rsidRPr="00A34F10">
        <w:t>In a repeated exposure larval toxicity study with BAS 650 00 F, the ED</w:t>
      </w:r>
      <w:r w:rsidRPr="00A34F10">
        <w:rPr>
          <w:vertAlign w:val="subscript"/>
        </w:rPr>
        <w:t>50</w:t>
      </w:r>
      <w:r w:rsidRPr="00A34F10">
        <w:t xml:space="preserve"> (successful adult emergence up to D22) was determined to be 120.3 µg BAS 650 00 F/larva (23.1 µg a.s./larva), which is equivalent to an EC</w:t>
      </w:r>
      <w:r w:rsidRPr="00A34F10">
        <w:rPr>
          <w:vertAlign w:val="subscript"/>
        </w:rPr>
        <w:t>50</w:t>
      </w:r>
      <w:r w:rsidRPr="00A34F10">
        <w:t xml:space="preserve"> of 781 mg BAS 650 00 F/kg food (149 mg a.s./kg food). The respective NOED was 37.1 µg BAS 650 00 F/larva (7.1 µg a.s./larva) and the corresponding NOEC was 241 mg BAS 650 00 F/kg food (46 mg a.s./kg food).</w:t>
      </w:r>
    </w:p>
    <w:p w14:paraId="10792BE4" w14:textId="77777777" w:rsidR="00DC5685" w:rsidRPr="00A34F10" w:rsidRDefault="00DC5685" w:rsidP="00DC5685">
      <w:pPr>
        <w:tabs>
          <w:tab w:val="left" w:pos="720"/>
        </w:tabs>
        <w:jc w:val="both"/>
        <w:rPr>
          <w:highlight w:val="green"/>
          <w:lang w:val="en-GB"/>
        </w:rPr>
      </w:pPr>
    </w:p>
    <w:p w14:paraId="139577E9" w14:textId="77777777" w:rsidR="00DC5685" w:rsidRPr="00A34F10" w:rsidRDefault="00DC5685" w:rsidP="00E05ECD">
      <w:pPr>
        <w:numPr>
          <w:ilvl w:val="0"/>
          <w:numId w:val="76"/>
        </w:numPr>
        <w:tabs>
          <w:tab w:val="left" w:pos="720"/>
        </w:tabs>
        <w:jc w:val="center"/>
        <w:rPr>
          <w:b/>
          <w:bCs/>
          <w:lang w:val="en-GB"/>
        </w:rPr>
      </w:pPr>
      <w:r w:rsidRPr="00A34F10">
        <w:rPr>
          <w:b/>
          <w:bCs/>
          <w:lang w:val="en-GB"/>
        </w:rPr>
        <w:t>MATERIALS AND METHODS</w:t>
      </w:r>
    </w:p>
    <w:p w14:paraId="6825F451" w14:textId="77777777" w:rsidR="00DC5685" w:rsidRPr="00A34F10" w:rsidRDefault="00DC5685" w:rsidP="00E05ECD">
      <w:pPr>
        <w:numPr>
          <w:ilvl w:val="0"/>
          <w:numId w:val="77"/>
        </w:numPr>
        <w:tabs>
          <w:tab w:val="left" w:pos="720"/>
        </w:tabs>
        <w:ind w:left="357" w:hanging="357"/>
        <w:jc w:val="both"/>
        <w:rPr>
          <w:b/>
          <w:bCs/>
          <w:lang w:val="en-GB"/>
        </w:rPr>
      </w:pPr>
      <w:r w:rsidRPr="00A34F10">
        <w:rPr>
          <w:b/>
          <w:bCs/>
          <w:lang w:val="en-GB"/>
        </w:rPr>
        <w:t>MATERIALS</w:t>
      </w:r>
    </w:p>
    <w:p w14:paraId="131ABCFE" w14:textId="77777777" w:rsidR="00DC5685" w:rsidRPr="00A34F10" w:rsidRDefault="00DC5685" w:rsidP="00DC5685">
      <w:pPr>
        <w:tabs>
          <w:tab w:val="left" w:pos="720"/>
        </w:tabs>
        <w:jc w:val="both"/>
        <w:rPr>
          <w:b/>
          <w:bCs/>
          <w:lang w:val="en-GB"/>
        </w:rPr>
      </w:pPr>
    </w:p>
    <w:tbl>
      <w:tblPr>
        <w:tblStyle w:val="TableGrid1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4"/>
      </w:tblGrid>
      <w:tr w:rsidR="00DC5685" w:rsidRPr="00A34F10" w14:paraId="63076CF3" w14:textId="77777777" w:rsidTr="000470C3">
        <w:tc>
          <w:tcPr>
            <w:tcW w:w="4673" w:type="dxa"/>
            <w:vAlign w:val="center"/>
          </w:tcPr>
          <w:p w14:paraId="03D10F87" w14:textId="77777777" w:rsidR="00DC5685" w:rsidRPr="00A34F10" w:rsidRDefault="00DC5685" w:rsidP="00E05ECD">
            <w:pPr>
              <w:numPr>
                <w:ilvl w:val="0"/>
                <w:numId w:val="78"/>
              </w:numPr>
              <w:tabs>
                <w:tab w:val="left" w:pos="720"/>
              </w:tabs>
              <w:spacing w:before="20" w:after="20"/>
              <w:ind w:left="612" w:hanging="357"/>
              <w:rPr>
                <w:b/>
                <w:bCs/>
              </w:rPr>
            </w:pPr>
            <w:r w:rsidRPr="00A34F10">
              <w:rPr>
                <w:b/>
                <w:bCs/>
              </w:rPr>
              <w:t xml:space="preserve">Test item: </w:t>
            </w:r>
          </w:p>
        </w:tc>
        <w:tc>
          <w:tcPr>
            <w:tcW w:w="4674" w:type="dxa"/>
            <w:vAlign w:val="center"/>
          </w:tcPr>
          <w:p w14:paraId="064D6AD0" w14:textId="77777777" w:rsidR="00DC5685" w:rsidRPr="00A34F10" w:rsidRDefault="00DC5685" w:rsidP="00DC5685">
            <w:pPr>
              <w:tabs>
                <w:tab w:val="left" w:pos="720"/>
              </w:tabs>
              <w:spacing w:before="20" w:after="20"/>
            </w:pPr>
            <w:r w:rsidRPr="00A34F10">
              <w:t>BAS 650 00 F</w:t>
            </w:r>
          </w:p>
        </w:tc>
      </w:tr>
      <w:tr w:rsidR="00DC5685" w:rsidRPr="00A34F10" w14:paraId="08C5C10A" w14:textId="77777777" w:rsidTr="000470C3">
        <w:trPr>
          <w:trHeight w:val="187"/>
        </w:trPr>
        <w:tc>
          <w:tcPr>
            <w:tcW w:w="4673" w:type="dxa"/>
          </w:tcPr>
          <w:p w14:paraId="2EEB99BE" w14:textId="77777777" w:rsidR="00DC5685" w:rsidRPr="00A34F10" w:rsidRDefault="00DC5685" w:rsidP="00DC5685">
            <w:pPr>
              <w:tabs>
                <w:tab w:val="left" w:pos="720"/>
              </w:tabs>
              <w:spacing w:before="20" w:after="20"/>
              <w:ind w:left="624" w:firstLine="85"/>
            </w:pPr>
            <w:r w:rsidRPr="00A34F10">
              <w:t>Active substance content:</w:t>
            </w:r>
          </w:p>
        </w:tc>
        <w:tc>
          <w:tcPr>
            <w:tcW w:w="4674" w:type="dxa"/>
            <w:vAlign w:val="center"/>
          </w:tcPr>
          <w:p w14:paraId="1F75E458" w14:textId="77777777" w:rsidR="00DC5685" w:rsidRPr="00A34F10" w:rsidRDefault="00DC5685" w:rsidP="00DC5685">
            <w:pPr>
              <w:tabs>
                <w:tab w:val="left" w:pos="720"/>
              </w:tabs>
              <w:spacing w:before="20" w:after="20"/>
            </w:pPr>
            <w:r w:rsidRPr="00A34F10">
              <w:t>Ametoctradin (BAS 650 F, Reg. No. 4 993 353): 202.5 g/L analyzed (200 g/L nominal)</w:t>
            </w:r>
          </w:p>
        </w:tc>
      </w:tr>
      <w:tr w:rsidR="00DC5685" w:rsidRPr="00A34F10" w14:paraId="2A78FAC8" w14:textId="77777777" w:rsidTr="000470C3">
        <w:trPr>
          <w:trHeight w:val="187"/>
        </w:trPr>
        <w:tc>
          <w:tcPr>
            <w:tcW w:w="4673" w:type="dxa"/>
            <w:vAlign w:val="center"/>
          </w:tcPr>
          <w:p w14:paraId="258B5189" w14:textId="77777777" w:rsidR="00DC5685" w:rsidRPr="00A34F10" w:rsidRDefault="00DC5685" w:rsidP="00DC5685">
            <w:pPr>
              <w:tabs>
                <w:tab w:val="left" w:pos="720"/>
              </w:tabs>
              <w:spacing w:before="20" w:after="20"/>
              <w:ind w:left="624" w:firstLine="85"/>
            </w:pPr>
            <w:r w:rsidRPr="00A34F10">
              <w:t>Description:</w:t>
            </w:r>
          </w:p>
        </w:tc>
        <w:tc>
          <w:tcPr>
            <w:tcW w:w="4674" w:type="dxa"/>
            <w:vAlign w:val="center"/>
          </w:tcPr>
          <w:p w14:paraId="6CC3B162" w14:textId="77777777" w:rsidR="00DC5685" w:rsidRPr="00A34F10" w:rsidRDefault="00DC5685" w:rsidP="00DC5685">
            <w:pPr>
              <w:tabs>
                <w:tab w:val="left" w:pos="720"/>
              </w:tabs>
              <w:spacing w:before="20" w:after="20"/>
            </w:pPr>
            <w:r w:rsidRPr="00A34F10">
              <w:t>Not reported</w:t>
            </w:r>
          </w:p>
        </w:tc>
      </w:tr>
      <w:tr w:rsidR="00DC5685" w:rsidRPr="00A34F10" w14:paraId="5CC8A64C" w14:textId="77777777" w:rsidTr="000470C3">
        <w:tc>
          <w:tcPr>
            <w:tcW w:w="4673" w:type="dxa"/>
            <w:vAlign w:val="center"/>
          </w:tcPr>
          <w:p w14:paraId="7E399FFF" w14:textId="77777777" w:rsidR="00DC5685" w:rsidRPr="00A34F10" w:rsidRDefault="00DC5685" w:rsidP="00DC5685">
            <w:pPr>
              <w:tabs>
                <w:tab w:val="left" w:pos="720"/>
              </w:tabs>
              <w:spacing w:before="20" w:after="20"/>
              <w:ind w:left="624" w:firstLine="85"/>
            </w:pPr>
            <w:r w:rsidRPr="00A34F10">
              <w:t>Lot/batch:</w:t>
            </w:r>
          </w:p>
        </w:tc>
        <w:tc>
          <w:tcPr>
            <w:tcW w:w="4674" w:type="dxa"/>
            <w:vAlign w:val="center"/>
          </w:tcPr>
          <w:p w14:paraId="03BBF592" w14:textId="77777777" w:rsidR="00DC5685" w:rsidRPr="00A34F10" w:rsidRDefault="00DC5685" w:rsidP="00DC5685">
            <w:pPr>
              <w:tabs>
                <w:tab w:val="left" w:pos="720"/>
              </w:tabs>
              <w:spacing w:before="20" w:after="20"/>
            </w:pPr>
            <w:r w:rsidRPr="00A34F10">
              <w:t>FRE-001643</w:t>
            </w:r>
          </w:p>
        </w:tc>
      </w:tr>
      <w:tr w:rsidR="00DC5685" w:rsidRPr="00A34F10" w14:paraId="2979749A" w14:textId="77777777" w:rsidTr="000470C3">
        <w:tc>
          <w:tcPr>
            <w:tcW w:w="4673" w:type="dxa"/>
            <w:vAlign w:val="center"/>
          </w:tcPr>
          <w:p w14:paraId="18A09DA9" w14:textId="77777777" w:rsidR="00DC5685" w:rsidRPr="00A34F10" w:rsidRDefault="00DC5685" w:rsidP="00DC5685">
            <w:pPr>
              <w:tabs>
                <w:tab w:val="left" w:pos="720"/>
              </w:tabs>
              <w:spacing w:before="20" w:after="20"/>
              <w:ind w:left="624" w:firstLine="85"/>
            </w:pPr>
            <w:r w:rsidRPr="00A34F10">
              <w:t>Density:</w:t>
            </w:r>
          </w:p>
        </w:tc>
        <w:tc>
          <w:tcPr>
            <w:tcW w:w="4674" w:type="dxa"/>
            <w:vAlign w:val="center"/>
          </w:tcPr>
          <w:p w14:paraId="64CD0D05" w14:textId="77777777" w:rsidR="00DC5685" w:rsidRPr="00A34F10" w:rsidRDefault="00DC5685" w:rsidP="00DC5685">
            <w:pPr>
              <w:tabs>
                <w:tab w:val="left" w:pos="720"/>
              </w:tabs>
              <w:spacing w:before="20" w:after="20"/>
            </w:pPr>
            <w:r w:rsidRPr="00A34F10">
              <w:t>1.043 g/cm</w:t>
            </w:r>
            <w:r w:rsidRPr="00A34F10">
              <w:rPr>
                <w:vertAlign w:val="superscript"/>
              </w:rPr>
              <w:t>3</w:t>
            </w:r>
          </w:p>
        </w:tc>
      </w:tr>
      <w:tr w:rsidR="00DC5685" w:rsidRPr="00A34F10" w14:paraId="44A104BC" w14:textId="77777777" w:rsidTr="000470C3">
        <w:trPr>
          <w:trHeight w:val="213"/>
        </w:trPr>
        <w:tc>
          <w:tcPr>
            <w:tcW w:w="4673" w:type="dxa"/>
            <w:vAlign w:val="center"/>
          </w:tcPr>
          <w:p w14:paraId="337AEE1F" w14:textId="77777777" w:rsidR="00DC5685" w:rsidRPr="00A34F10" w:rsidRDefault="00DC5685" w:rsidP="00DC5685">
            <w:pPr>
              <w:tabs>
                <w:tab w:val="left" w:pos="720"/>
              </w:tabs>
              <w:ind w:firstLine="85"/>
              <w:rPr>
                <w:highlight w:val="green"/>
              </w:rPr>
            </w:pPr>
          </w:p>
        </w:tc>
        <w:tc>
          <w:tcPr>
            <w:tcW w:w="4674" w:type="dxa"/>
            <w:vAlign w:val="center"/>
          </w:tcPr>
          <w:p w14:paraId="0E0DDB41" w14:textId="77777777" w:rsidR="00DC5685" w:rsidRPr="00A34F10" w:rsidRDefault="00DC5685" w:rsidP="00DC5685">
            <w:pPr>
              <w:tabs>
                <w:tab w:val="left" w:pos="720"/>
              </w:tabs>
              <w:rPr>
                <w:highlight w:val="green"/>
              </w:rPr>
            </w:pPr>
          </w:p>
        </w:tc>
      </w:tr>
      <w:tr w:rsidR="00DC5685" w:rsidRPr="00A34F10" w14:paraId="68D4A0B2" w14:textId="77777777" w:rsidTr="000470C3">
        <w:tc>
          <w:tcPr>
            <w:tcW w:w="4673" w:type="dxa"/>
            <w:shd w:val="clear" w:color="auto" w:fill="auto"/>
          </w:tcPr>
          <w:p w14:paraId="703F7C02" w14:textId="77777777" w:rsidR="00DC5685" w:rsidRPr="00A34F10" w:rsidRDefault="00DC5685" w:rsidP="00E05ECD">
            <w:pPr>
              <w:numPr>
                <w:ilvl w:val="0"/>
                <w:numId w:val="78"/>
              </w:numPr>
              <w:tabs>
                <w:tab w:val="left" w:pos="720"/>
              </w:tabs>
              <w:spacing w:before="20" w:after="20"/>
              <w:ind w:left="612" w:hanging="357"/>
              <w:rPr>
                <w:b/>
                <w:bCs/>
              </w:rPr>
            </w:pPr>
            <w:r w:rsidRPr="00A34F10">
              <w:rPr>
                <w:b/>
                <w:bCs/>
              </w:rPr>
              <w:t>Control:</w:t>
            </w:r>
          </w:p>
        </w:tc>
        <w:tc>
          <w:tcPr>
            <w:tcW w:w="4674" w:type="dxa"/>
            <w:shd w:val="clear" w:color="auto" w:fill="auto"/>
            <w:vAlign w:val="center"/>
          </w:tcPr>
          <w:p w14:paraId="4E853F27" w14:textId="77777777" w:rsidR="00DC5685" w:rsidRPr="00A34F10" w:rsidRDefault="00DC5685" w:rsidP="00DC5685">
            <w:pPr>
              <w:tabs>
                <w:tab w:val="left" w:pos="720"/>
              </w:tabs>
              <w:spacing w:before="20" w:after="20"/>
            </w:pPr>
            <w:r w:rsidRPr="00A34F10">
              <w:t>Control: untreated diet</w:t>
            </w:r>
          </w:p>
        </w:tc>
      </w:tr>
      <w:tr w:rsidR="00DC5685" w:rsidRPr="00A34F10" w14:paraId="61E49445" w14:textId="77777777" w:rsidTr="000470C3">
        <w:trPr>
          <w:trHeight w:val="135"/>
        </w:trPr>
        <w:tc>
          <w:tcPr>
            <w:tcW w:w="4673" w:type="dxa"/>
          </w:tcPr>
          <w:p w14:paraId="4025AB39" w14:textId="77777777" w:rsidR="00DC5685" w:rsidRPr="00A34F10" w:rsidRDefault="00DC5685" w:rsidP="00DC5685">
            <w:pPr>
              <w:tabs>
                <w:tab w:val="left" w:pos="720"/>
              </w:tabs>
              <w:rPr>
                <w:b/>
                <w:bCs/>
              </w:rPr>
            </w:pPr>
          </w:p>
        </w:tc>
        <w:tc>
          <w:tcPr>
            <w:tcW w:w="4674" w:type="dxa"/>
            <w:vAlign w:val="center"/>
          </w:tcPr>
          <w:p w14:paraId="00268C64" w14:textId="77777777" w:rsidR="00DC5685" w:rsidRPr="00A34F10" w:rsidRDefault="00DC5685" w:rsidP="00DC5685">
            <w:pPr>
              <w:tabs>
                <w:tab w:val="left" w:pos="720"/>
              </w:tabs>
            </w:pPr>
          </w:p>
        </w:tc>
      </w:tr>
      <w:tr w:rsidR="00DC5685" w:rsidRPr="00A34F10" w14:paraId="267E34B5" w14:textId="77777777" w:rsidTr="000470C3">
        <w:tc>
          <w:tcPr>
            <w:tcW w:w="4673" w:type="dxa"/>
          </w:tcPr>
          <w:p w14:paraId="191900E6" w14:textId="77777777" w:rsidR="00DC5685" w:rsidRPr="00A34F10" w:rsidRDefault="00DC5685" w:rsidP="00E05ECD">
            <w:pPr>
              <w:numPr>
                <w:ilvl w:val="0"/>
                <w:numId w:val="78"/>
              </w:numPr>
              <w:tabs>
                <w:tab w:val="left" w:pos="720"/>
              </w:tabs>
              <w:spacing w:before="20" w:after="20"/>
              <w:ind w:left="612" w:hanging="357"/>
              <w:rPr>
                <w:b/>
                <w:bCs/>
              </w:rPr>
            </w:pPr>
            <w:r w:rsidRPr="00A34F10">
              <w:rPr>
                <w:b/>
                <w:bCs/>
              </w:rPr>
              <w:t>Reference item:</w:t>
            </w:r>
          </w:p>
        </w:tc>
        <w:tc>
          <w:tcPr>
            <w:tcW w:w="4674" w:type="dxa"/>
            <w:vAlign w:val="center"/>
          </w:tcPr>
          <w:p w14:paraId="6F4433A5" w14:textId="77777777" w:rsidR="00DC5685" w:rsidRPr="00A34F10" w:rsidRDefault="00DC5685" w:rsidP="00DC5685">
            <w:pPr>
              <w:tabs>
                <w:tab w:val="left" w:pos="720"/>
              </w:tabs>
              <w:spacing w:before="20" w:after="20"/>
            </w:pPr>
            <w:r w:rsidRPr="00A34F10">
              <w:t>Dimethoate tech. (analysed purity: 98.8 ± 0.5%)</w:t>
            </w:r>
          </w:p>
        </w:tc>
      </w:tr>
    </w:tbl>
    <w:p w14:paraId="52B8CFA8" w14:textId="77777777" w:rsidR="00DC5685" w:rsidRPr="00A34F10" w:rsidRDefault="00DC5685" w:rsidP="00DC5685">
      <w:pPr>
        <w:tabs>
          <w:tab w:val="left" w:pos="720"/>
        </w:tabs>
        <w:jc w:val="both"/>
        <w:rPr>
          <w:b/>
          <w:bCs/>
          <w:lang w:val="en-GB"/>
        </w:rPr>
      </w:pPr>
    </w:p>
    <w:p w14:paraId="170339F3" w14:textId="77777777" w:rsidR="00DC5685" w:rsidRPr="00A34F10" w:rsidRDefault="00DC5685" w:rsidP="00E05ECD">
      <w:pPr>
        <w:keepNext/>
        <w:numPr>
          <w:ilvl w:val="0"/>
          <w:numId w:val="77"/>
        </w:numPr>
        <w:tabs>
          <w:tab w:val="left" w:pos="720"/>
        </w:tabs>
        <w:ind w:left="357" w:hanging="357"/>
        <w:jc w:val="both"/>
        <w:rPr>
          <w:b/>
          <w:bCs/>
          <w:lang w:val="en-GB"/>
        </w:rPr>
      </w:pPr>
      <w:r w:rsidRPr="00A34F10">
        <w:rPr>
          <w:b/>
          <w:bCs/>
          <w:lang w:val="en-GB"/>
        </w:rPr>
        <w:t>STUDY DESIGN AND METHODS</w:t>
      </w:r>
    </w:p>
    <w:p w14:paraId="71D2D18D" w14:textId="77777777" w:rsidR="00DC5685" w:rsidRPr="00A34F10" w:rsidRDefault="00DC5685" w:rsidP="00DC5685">
      <w:pPr>
        <w:keepNext/>
        <w:tabs>
          <w:tab w:val="left" w:pos="720"/>
        </w:tabs>
        <w:jc w:val="both"/>
        <w:rPr>
          <w:b/>
          <w:bCs/>
          <w:lang w:val="en-GB"/>
        </w:rPr>
      </w:pPr>
    </w:p>
    <w:tbl>
      <w:tblPr>
        <w:tblStyle w:val="TableGrid1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4"/>
      </w:tblGrid>
      <w:tr w:rsidR="00DC5685" w:rsidRPr="00A34F10" w14:paraId="5045DDDE" w14:textId="77777777" w:rsidTr="000470C3">
        <w:tc>
          <w:tcPr>
            <w:tcW w:w="4673" w:type="dxa"/>
          </w:tcPr>
          <w:p w14:paraId="3FBE09DB" w14:textId="77777777" w:rsidR="00DC5685" w:rsidRPr="00A34F10" w:rsidRDefault="00DC5685" w:rsidP="00E05ECD">
            <w:pPr>
              <w:numPr>
                <w:ilvl w:val="0"/>
                <w:numId w:val="79"/>
              </w:numPr>
              <w:tabs>
                <w:tab w:val="left" w:pos="720"/>
              </w:tabs>
              <w:spacing w:before="20" w:after="20"/>
              <w:ind w:left="612" w:hanging="357"/>
              <w:rPr>
                <w:b/>
                <w:bCs/>
              </w:rPr>
            </w:pPr>
            <w:r w:rsidRPr="00A34F10">
              <w:rPr>
                <w:b/>
                <w:bCs/>
              </w:rPr>
              <w:t>Test species:</w:t>
            </w:r>
          </w:p>
        </w:tc>
        <w:tc>
          <w:tcPr>
            <w:tcW w:w="4674" w:type="dxa"/>
          </w:tcPr>
          <w:p w14:paraId="788CE54E" w14:textId="77777777" w:rsidR="00DC5685" w:rsidRPr="00A34F10" w:rsidRDefault="00DC5685" w:rsidP="00DC5685">
            <w:pPr>
              <w:tabs>
                <w:tab w:val="left" w:pos="720"/>
              </w:tabs>
              <w:spacing w:before="20" w:after="20"/>
            </w:pPr>
            <w:r w:rsidRPr="00A34F10">
              <w:t>Honeybee (</w:t>
            </w:r>
            <w:r w:rsidRPr="00A34F10">
              <w:rPr>
                <w:i/>
                <w:iCs/>
              </w:rPr>
              <w:t xml:space="preserve">Apis mellifera </w:t>
            </w:r>
            <w:r w:rsidRPr="00A34F10">
              <w:t>L.)</w:t>
            </w:r>
          </w:p>
        </w:tc>
      </w:tr>
      <w:tr w:rsidR="00DC5685" w:rsidRPr="00A34F10" w14:paraId="176DED25" w14:textId="77777777" w:rsidTr="000470C3">
        <w:tc>
          <w:tcPr>
            <w:tcW w:w="4673" w:type="dxa"/>
          </w:tcPr>
          <w:p w14:paraId="235D634B" w14:textId="77777777" w:rsidR="00DC5685" w:rsidRPr="00A34F10" w:rsidRDefault="00DC5685" w:rsidP="00DC5685">
            <w:pPr>
              <w:tabs>
                <w:tab w:val="left" w:pos="720"/>
              </w:tabs>
              <w:spacing w:before="20" w:after="20"/>
              <w:ind w:left="624" w:firstLine="85"/>
            </w:pPr>
            <w:r w:rsidRPr="00A34F10">
              <w:t>Age:</w:t>
            </w:r>
          </w:p>
        </w:tc>
        <w:tc>
          <w:tcPr>
            <w:tcW w:w="4674" w:type="dxa"/>
          </w:tcPr>
          <w:p w14:paraId="50B6FF53" w14:textId="77777777" w:rsidR="00DC5685" w:rsidRPr="00A34F10" w:rsidRDefault="00DC5685" w:rsidP="00DC5685">
            <w:pPr>
              <w:tabs>
                <w:tab w:val="left" w:pos="720"/>
              </w:tabs>
              <w:spacing w:before="20" w:after="20"/>
            </w:pPr>
            <w:r w:rsidRPr="00A34F10">
              <w:t>First instar larvae</w:t>
            </w:r>
          </w:p>
        </w:tc>
      </w:tr>
      <w:tr w:rsidR="00DC5685" w:rsidRPr="00A34F10" w14:paraId="706BED0A" w14:textId="77777777" w:rsidTr="000470C3">
        <w:tc>
          <w:tcPr>
            <w:tcW w:w="4673" w:type="dxa"/>
          </w:tcPr>
          <w:p w14:paraId="6F2F5DAF" w14:textId="77777777" w:rsidR="00DC5685" w:rsidRPr="00A34F10" w:rsidRDefault="00DC5685" w:rsidP="00DC5685">
            <w:pPr>
              <w:tabs>
                <w:tab w:val="left" w:pos="720"/>
              </w:tabs>
              <w:spacing w:before="20" w:after="20"/>
              <w:ind w:left="624" w:firstLine="85"/>
            </w:pPr>
            <w:r w:rsidRPr="00A34F10">
              <w:t>Source:</w:t>
            </w:r>
          </w:p>
        </w:tc>
        <w:tc>
          <w:tcPr>
            <w:tcW w:w="4674" w:type="dxa"/>
          </w:tcPr>
          <w:p w14:paraId="0729FA17" w14:textId="77777777" w:rsidR="00DC5685" w:rsidRPr="00A34F10" w:rsidRDefault="00DC5685" w:rsidP="00DC5685">
            <w:pPr>
              <w:tabs>
                <w:tab w:val="left" w:pos="720"/>
              </w:tabs>
              <w:spacing w:before="20" w:after="20"/>
            </w:pPr>
            <w:r w:rsidRPr="00A34F10">
              <w:t>In-house colony</w:t>
            </w:r>
          </w:p>
        </w:tc>
      </w:tr>
      <w:tr w:rsidR="00DC5685" w:rsidRPr="00A34F10" w14:paraId="478F1D61" w14:textId="77777777" w:rsidTr="000470C3">
        <w:tc>
          <w:tcPr>
            <w:tcW w:w="4673" w:type="dxa"/>
          </w:tcPr>
          <w:p w14:paraId="77718AAC" w14:textId="77777777" w:rsidR="00DC5685" w:rsidRPr="00A34F10" w:rsidRDefault="00DC5685" w:rsidP="00DC5685">
            <w:pPr>
              <w:tabs>
                <w:tab w:val="left" w:pos="720"/>
              </w:tabs>
              <w:spacing w:before="20" w:after="20"/>
              <w:ind w:left="624" w:firstLine="85"/>
            </w:pPr>
            <w:r w:rsidRPr="00A34F10">
              <w:t>Diet:</w:t>
            </w:r>
          </w:p>
        </w:tc>
        <w:tc>
          <w:tcPr>
            <w:tcW w:w="4674" w:type="dxa"/>
          </w:tcPr>
          <w:p w14:paraId="59E1D401" w14:textId="77777777" w:rsidR="00DC5685" w:rsidRPr="00A34F10" w:rsidRDefault="00DC5685" w:rsidP="00DC5685">
            <w:pPr>
              <w:tabs>
                <w:tab w:val="left" w:pos="720"/>
              </w:tabs>
              <w:spacing w:before="20" w:after="20"/>
            </w:pPr>
            <w:r w:rsidRPr="00A34F10">
              <w:t xml:space="preserve">50% aqueous yeast/sugar solution and 50% royal jelly </w:t>
            </w:r>
          </w:p>
        </w:tc>
      </w:tr>
      <w:tr w:rsidR="00DC5685" w:rsidRPr="00A34F10" w14:paraId="324634BF" w14:textId="77777777" w:rsidTr="000470C3">
        <w:tc>
          <w:tcPr>
            <w:tcW w:w="4673" w:type="dxa"/>
          </w:tcPr>
          <w:p w14:paraId="5866E51C" w14:textId="77777777" w:rsidR="00DC5685" w:rsidRPr="00A34F10" w:rsidRDefault="00DC5685" w:rsidP="00DC5685">
            <w:pPr>
              <w:tabs>
                <w:tab w:val="left" w:pos="720"/>
              </w:tabs>
              <w:rPr>
                <w:highlight w:val="green"/>
              </w:rPr>
            </w:pPr>
          </w:p>
        </w:tc>
        <w:tc>
          <w:tcPr>
            <w:tcW w:w="4674" w:type="dxa"/>
          </w:tcPr>
          <w:p w14:paraId="7E7038F6" w14:textId="77777777" w:rsidR="00DC5685" w:rsidRPr="00A34F10" w:rsidRDefault="00DC5685" w:rsidP="00DC5685">
            <w:pPr>
              <w:tabs>
                <w:tab w:val="left" w:pos="720"/>
              </w:tabs>
              <w:rPr>
                <w:highlight w:val="green"/>
              </w:rPr>
            </w:pPr>
          </w:p>
        </w:tc>
      </w:tr>
      <w:tr w:rsidR="00DC5685" w:rsidRPr="00A34F10" w14:paraId="0674E53A" w14:textId="77777777" w:rsidTr="000470C3">
        <w:tc>
          <w:tcPr>
            <w:tcW w:w="4673" w:type="dxa"/>
            <w:shd w:val="clear" w:color="auto" w:fill="auto"/>
          </w:tcPr>
          <w:p w14:paraId="4A625522" w14:textId="77777777" w:rsidR="00DC5685" w:rsidRPr="00A34F10" w:rsidRDefault="00DC5685" w:rsidP="00E05ECD">
            <w:pPr>
              <w:numPr>
                <w:ilvl w:val="0"/>
                <w:numId w:val="79"/>
              </w:numPr>
              <w:tabs>
                <w:tab w:val="left" w:pos="720"/>
              </w:tabs>
              <w:spacing w:before="20" w:after="20"/>
              <w:ind w:left="612" w:hanging="357"/>
              <w:rPr>
                <w:b/>
                <w:bCs/>
              </w:rPr>
            </w:pPr>
            <w:r w:rsidRPr="00A34F10">
              <w:rPr>
                <w:b/>
                <w:bCs/>
              </w:rPr>
              <w:t>Environmental conditions</w:t>
            </w:r>
          </w:p>
        </w:tc>
        <w:tc>
          <w:tcPr>
            <w:tcW w:w="4674" w:type="dxa"/>
            <w:shd w:val="clear" w:color="auto" w:fill="auto"/>
          </w:tcPr>
          <w:p w14:paraId="3968D9B6" w14:textId="77777777" w:rsidR="00DC5685" w:rsidRPr="00A34F10" w:rsidRDefault="00DC5685" w:rsidP="00DC5685">
            <w:pPr>
              <w:tabs>
                <w:tab w:val="left" w:pos="720"/>
              </w:tabs>
              <w:spacing w:before="20" w:after="20"/>
            </w:pPr>
          </w:p>
        </w:tc>
      </w:tr>
      <w:tr w:rsidR="00DC5685" w:rsidRPr="00A34F10" w14:paraId="032AA1CF" w14:textId="77777777" w:rsidTr="000470C3">
        <w:tc>
          <w:tcPr>
            <w:tcW w:w="4673" w:type="dxa"/>
            <w:shd w:val="clear" w:color="auto" w:fill="auto"/>
          </w:tcPr>
          <w:p w14:paraId="4D8A87D5" w14:textId="77777777" w:rsidR="00DC5685" w:rsidRPr="00A34F10" w:rsidRDefault="00DC5685" w:rsidP="00DC5685">
            <w:pPr>
              <w:tabs>
                <w:tab w:val="left" w:pos="720"/>
              </w:tabs>
              <w:spacing w:before="20" w:after="20"/>
              <w:ind w:left="624" w:firstLine="85"/>
            </w:pPr>
            <w:r w:rsidRPr="00A34F10">
              <w:t>Temperature:</w:t>
            </w:r>
          </w:p>
        </w:tc>
        <w:tc>
          <w:tcPr>
            <w:tcW w:w="4674" w:type="dxa"/>
            <w:shd w:val="clear" w:color="auto" w:fill="auto"/>
          </w:tcPr>
          <w:p w14:paraId="5689E532" w14:textId="77777777" w:rsidR="00DC5685" w:rsidRPr="00A34F10" w:rsidRDefault="00DC5685" w:rsidP="00DC5685">
            <w:pPr>
              <w:tabs>
                <w:tab w:val="left" w:pos="720"/>
              </w:tabs>
              <w:spacing w:before="20" w:after="20"/>
            </w:pPr>
            <w:r w:rsidRPr="00A34F10">
              <w:t>34 - 35°C</w:t>
            </w:r>
          </w:p>
        </w:tc>
      </w:tr>
      <w:tr w:rsidR="00DC5685" w:rsidRPr="00A34F10" w14:paraId="42B10565" w14:textId="77777777" w:rsidTr="000470C3">
        <w:tc>
          <w:tcPr>
            <w:tcW w:w="4673" w:type="dxa"/>
            <w:shd w:val="clear" w:color="auto" w:fill="auto"/>
          </w:tcPr>
          <w:p w14:paraId="158E323B" w14:textId="77777777" w:rsidR="00DC5685" w:rsidRPr="00A34F10" w:rsidRDefault="00DC5685" w:rsidP="00DC5685">
            <w:pPr>
              <w:tabs>
                <w:tab w:val="left" w:pos="720"/>
              </w:tabs>
              <w:spacing w:before="20" w:after="20"/>
              <w:ind w:left="624" w:firstLine="85"/>
            </w:pPr>
            <w:r w:rsidRPr="00A34F10">
              <w:t xml:space="preserve">Relative humidity: </w:t>
            </w:r>
          </w:p>
        </w:tc>
        <w:tc>
          <w:tcPr>
            <w:tcW w:w="4674" w:type="dxa"/>
            <w:shd w:val="clear" w:color="auto" w:fill="auto"/>
          </w:tcPr>
          <w:p w14:paraId="0B29C579" w14:textId="77777777" w:rsidR="00DC5685" w:rsidRPr="00A34F10" w:rsidRDefault="00DC5685" w:rsidP="00DC5685">
            <w:pPr>
              <w:tabs>
                <w:tab w:val="left" w:pos="720"/>
              </w:tabs>
              <w:spacing w:before="20" w:after="20"/>
            </w:pPr>
            <w:r w:rsidRPr="00A34F10">
              <w:t>D1 - D8: 90 - 97%</w:t>
            </w:r>
          </w:p>
          <w:p w14:paraId="5C897ABD" w14:textId="77777777" w:rsidR="00DC5685" w:rsidRPr="00A34F10" w:rsidRDefault="00DC5685" w:rsidP="00DC5685">
            <w:pPr>
              <w:tabs>
                <w:tab w:val="left" w:pos="720"/>
              </w:tabs>
              <w:spacing w:before="20" w:after="20"/>
            </w:pPr>
            <w:r w:rsidRPr="00A34F10">
              <w:t>D8 – D15: 78 - 82%</w:t>
            </w:r>
          </w:p>
          <w:p w14:paraId="21367EF3" w14:textId="77777777" w:rsidR="00DC5685" w:rsidRPr="00A34F10" w:rsidRDefault="00DC5685" w:rsidP="00DC5685">
            <w:pPr>
              <w:tabs>
                <w:tab w:val="left" w:pos="720"/>
              </w:tabs>
              <w:spacing w:before="20" w:after="20"/>
            </w:pPr>
            <w:r w:rsidRPr="00A34F10">
              <w:t>D15 – D22: 49% - 52%</w:t>
            </w:r>
          </w:p>
        </w:tc>
      </w:tr>
      <w:tr w:rsidR="00DC5685" w:rsidRPr="00A34F10" w14:paraId="627C2169" w14:textId="77777777" w:rsidTr="000470C3">
        <w:trPr>
          <w:trHeight w:val="70"/>
        </w:trPr>
        <w:tc>
          <w:tcPr>
            <w:tcW w:w="4673" w:type="dxa"/>
            <w:shd w:val="clear" w:color="auto" w:fill="auto"/>
          </w:tcPr>
          <w:p w14:paraId="1C28DAB8" w14:textId="77777777" w:rsidR="00DC5685" w:rsidRPr="00A34F10" w:rsidRDefault="00DC5685" w:rsidP="00DC5685">
            <w:pPr>
              <w:tabs>
                <w:tab w:val="left" w:pos="720"/>
              </w:tabs>
              <w:spacing w:before="20" w:after="20"/>
              <w:ind w:left="624" w:firstLine="85"/>
            </w:pPr>
            <w:r w:rsidRPr="00A34F10">
              <w:t>Photoperiod:</w:t>
            </w:r>
          </w:p>
        </w:tc>
        <w:tc>
          <w:tcPr>
            <w:tcW w:w="4674" w:type="dxa"/>
            <w:shd w:val="clear" w:color="auto" w:fill="auto"/>
          </w:tcPr>
          <w:p w14:paraId="665B9551" w14:textId="77777777" w:rsidR="00DC5685" w:rsidRPr="00A34F10" w:rsidRDefault="00DC5685" w:rsidP="00DC5685">
            <w:pPr>
              <w:tabs>
                <w:tab w:val="left" w:pos="720"/>
              </w:tabs>
              <w:spacing w:before="20" w:after="20"/>
            </w:pPr>
            <w:r w:rsidRPr="00A34F10">
              <w:t>Darkness (except during observations)</w:t>
            </w:r>
          </w:p>
        </w:tc>
      </w:tr>
    </w:tbl>
    <w:p w14:paraId="4F1AA2F1" w14:textId="23EB4B38" w:rsidR="00ED1101" w:rsidRPr="00A34F10" w:rsidRDefault="00ED1101" w:rsidP="00DC5685">
      <w:pPr>
        <w:tabs>
          <w:tab w:val="left" w:pos="720"/>
        </w:tabs>
        <w:spacing w:before="20"/>
        <w:jc w:val="both"/>
        <w:rPr>
          <w:b/>
          <w:bCs/>
          <w:highlight w:val="green"/>
          <w:lang w:val="en-GB"/>
        </w:rPr>
      </w:pPr>
    </w:p>
    <w:p w14:paraId="7967F33C" w14:textId="77777777" w:rsidR="00DC5685" w:rsidRPr="00A34F10" w:rsidRDefault="00ED1101" w:rsidP="00DC5685">
      <w:pPr>
        <w:tabs>
          <w:tab w:val="left" w:pos="720"/>
        </w:tabs>
        <w:spacing w:before="20"/>
        <w:jc w:val="both"/>
        <w:rPr>
          <w:b/>
          <w:bCs/>
          <w:highlight w:val="green"/>
          <w:lang w:val="en-GB"/>
        </w:rPr>
      </w:pPr>
      <w:r w:rsidRPr="00A34F10">
        <w:rPr>
          <w:b/>
          <w:bCs/>
          <w:highlight w:val="green"/>
          <w:lang w:val="en-GB"/>
        </w:rPr>
        <w:br w:type="page"/>
      </w:r>
    </w:p>
    <w:p w14:paraId="4BE9E3AC" w14:textId="77777777" w:rsidR="00DC5685" w:rsidRPr="00A34F10" w:rsidRDefault="00DC5685" w:rsidP="00E05ECD">
      <w:pPr>
        <w:keepNext/>
        <w:numPr>
          <w:ilvl w:val="0"/>
          <w:numId w:val="79"/>
        </w:numPr>
        <w:tabs>
          <w:tab w:val="left" w:pos="720"/>
        </w:tabs>
        <w:spacing w:before="20"/>
        <w:ind w:left="714" w:hanging="357"/>
        <w:jc w:val="both"/>
        <w:rPr>
          <w:b/>
          <w:bCs/>
          <w:lang w:val="en-GB"/>
        </w:rPr>
      </w:pPr>
      <w:r w:rsidRPr="00A34F10">
        <w:rPr>
          <w:b/>
          <w:bCs/>
          <w:lang w:val="en-GB"/>
        </w:rPr>
        <w:lastRenderedPageBreak/>
        <w:t xml:space="preserve">Test organism and treatment: </w:t>
      </w:r>
    </w:p>
    <w:p w14:paraId="66D01B71" w14:textId="77777777" w:rsidR="00DC5685" w:rsidRPr="00A34F10" w:rsidRDefault="00DC5685" w:rsidP="00DC5685">
      <w:pPr>
        <w:tabs>
          <w:tab w:val="left" w:pos="720"/>
        </w:tabs>
        <w:jc w:val="both"/>
        <w:rPr>
          <w:snapToGrid w:val="0"/>
        </w:rPr>
      </w:pPr>
      <w:r w:rsidRPr="00A34F10">
        <w:rPr>
          <w:snapToGrid w:val="0"/>
          <w:lang w:val="en-GB"/>
        </w:rPr>
        <w:t>Honeybee (</w:t>
      </w:r>
      <w:r w:rsidRPr="00A34F10">
        <w:rPr>
          <w:i/>
          <w:iCs/>
          <w:snapToGrid w:val="0"/>
          <w:lang w:val="en-GB"/>
        </w:rPr>
        <w:t xml:space="preserve">Apis mellifera </w:t>
      </w:r>
      <w:r w:rsidRPr="00A34F10">
        <w:rPr>
          <w:snapToGrid w:val="0"/>
          <w:lang w:val="en-GB"/>
        </w:rPr>
        <w:t xml:space="preserve">L.) L1 larva </w:t>
      </w:r>
      <w:r w:rsidRPr="00A34F10">
        <w:rPr>
          <w:snapToGrid w:val="0"/>
        </w:rPr>
        <w:t>were transferred from brood combs to polystyrene grafting cells in 48-well cell culture plates 2 days before start of the treatment. Larvae were repeatedly exposed to BAS 650 00 F diluted in the larval food (aqueous yeast/sugar solution mixed with royal jelly 1:1 (w/w)) on four consecutive days (D3 to D6 after grafting). After the applications, no additional feeding of the larvae took place.</w:t>
      </w:r>
    </w:p>
    <w:p w14:paraId="58B9B5B6" w14:textId="77777777" w:rsidR="00DC5685" w:rsidRPr="00A34F10" w:rsidRDefault="00DC5685" w:rsidP="00DC5685">
      <w:pPr>
        <w:tabs>
          <w:tab w:val="left" w:pos="720"/>
        </w:tabs>
        <w:jc w:val="both"/>
        <w:rPr>
          <w:snapToGrid w:val="0"/>
        </w:rPr>
      </w:pPr>
      <w:r w:rsidRPr="00A34F10">
        <w:rPr>
          <w:snapToGrid w:val="0"/>
        </w:rPr>
        <w:t xml:space="preserve">In total, 7 treatment groups, each comprising 12 larvae per replicate, were set up: 5 doses of the test item, 1 control group (untreated control group (AC)), and 1 dose of the reference item with 3 replicates per dose, respectively. </w:t>
      </w:r>
    </w:p>
    <w:p w14:paraId="677CE407" w14:textId="77777777" w:rsidR="00DC5685" w:rsidRPr="00A34F10" w:rsidRDefault="00DC5685" w:rsidP="00DC5685">
      <w:pPr>
        <w:tabs>
          <w:tab w:val="left" w:pos="720"/>
        </w:tabs>
        <w:jc w:val="both"/>
        <w:rPr>
          <w:snapToGrid w:val="0"/>
        </w:rPr>
      </w:pPr>
      <w:r w:rsidRPr="00A34F10">
        <w:rPr>
          <w:snapToGrid w:val="0"/>
        </w:rPr>
        <w:t>Assessments of larval mortality were done 24, 48, 72, 96 and 120 hours after start of the treatment (respectively D4, D5, D6, D7, and D8). Additionally, other observations, such as small body size or large quantities of remaining food after 96 and 120 hours (on D7 and D8) were noted. Pupal mortality was assessed at D15, and emergence of adults was evaluated at D22.</w:t>
      </w:r>
    </w:p>
    <w:p w14:paraId="3D44C360" w14:textId="77777777" w:rsidR="00DC5685" w:rsidRPr="00A34F10" w:rsidRDefault="00DC5685" w:rsidP="00DC5685">
      <w:pPr>
        <w:tabs>
          <w:tab w:val="left" w:pos="720"/>
        </w:tabs>
        <w:jc w:val="both"/>
        <w:rPr>
          <w:snapToGrid w:val="0"/>
        </w:rPr>
      </w:pPr>
      <w:r w:rsidRPr="00A34F10">
        <w:rPr>
          <w:snapToGrid w:val="0"/>
        </w:rPr>
        <w:t>In an analytical phase of the study, the concentration of the active substance in the base stock solution, sampled at D3, was determined.</w:t>
      </w:r>
    </w:p>
    <w:p w14:paraId="120803C2" w14:textId="77777777" w:rsidR="00DC5685" w:rsidRPr="00A34F10" w:rsidRDefault="00DC5685" w:rsidP="00DC5685">
      <w:pPr>
        <w:tabs>
          <w:tab w:val="left" w:pos="720"/>
        </w:tabs>
        <w:jc w:val="both"/>
        <w:rPr>
          <w:lang w:val="en-GB"/>
        </w:rPr>
      </w:pPr>
    </w:p>
    <w:p w14:paraId="5884E0B3" w14:textId="77777777" w:rsidR="00DC5685" w:rsidRPr="00A34F10" w:rsidRDefault="00DC5685" w:rsidP="00E05ECD">
      <w:pPr>
        <w:keepNext/>
        <w:numPr>
          <w:ilvl w:val="0"/>
          <w:numId w:val="79"/>
        </w:numPr>
        <w:tabs>
          <w:tab w:val="left" w:pos="720"/>
        </w:tabs>
        <w:ind w:left="714" w:hanging="357"/>
        <w:jc w:val="both"/>
        <w:rPr>
          <w:b/>
          <w:bCs/>
          <w:lang w:val="en-GB"/>
        </w:rPr>
      </w:pPr>
      <w:r w:rsidRPr="00A34F10">
        <w:rPr>
          <w:b/>
          <w:bCs/>
          <w:lang w:val="en-GB"/>
        </w:rPr>
        <w:t xml:space="preserve">Test dose: </w:t>
      </w:r>
    </w:p>
    <w:p w14:paraId="7CAD07D8" w14:textId="77777777" w:rsidR="00DC5685" w:rsidRPr="00A34F10" w:rsidRDefault="00DC5685" w:rsidP="00DC5685">
      <w:pPr>
        <w:widowControl w:val="0"/>
        <w:suppressAutoHyphens/>
        <w:ind w:left="2040" w:hanging="2040"/>
        <w:jc w:val="both"/>
      </w:pPr>
      <w:r w:rsidRPr="00A34F10">
        <w:t>Control: untreated diet (50% aqueous sugar solution with 50% royal jelly (w/w)).</w:t>
      </w:r>
    </w:p>
    <w:p w14:paraId="1512DAFD" w14:textId="77777777" w:rsidR="00DC5685" w:rsidRPr="00A34F10" w:rsidRDefault="00DC5685" w:rsidP="00DC5685">
      <w:pPr>
        <w:widowControl w:val="0"/>
        <w:suppressAutoHyphens/>
        <w:jc w:val="both"/>
      </w:pPr>
      <w:r w:rsidRPr="00A34F10">
        <w:t>Test item treatments:</w:t>
      </w:r>
    </w:p>
    <w:tbl>
      <w:tblPr>
        <w:tblStyle w:val="Tabela-Siatka"/>
        <w:tblW w:w="0" w:type="auto"/>
        <w:tblInd w:w="98" w:type="dxa"/>
        <w:tblLook w:val="04A0" w:firstRow="1" w:lastRow="0" w:firstColumn="1" w:lastColumn="0" w:noHBand="0" w:noVBand="1"/>
      </w:tblPr>
      <w:tblGrid>
        <w:gridCol w:w="1944"/>
        <w:gridCol w:w="1307"/>
        <w:gridCol w:w="2187"/>
        <w:gridCol w:w="1994"/>
      </w:tblGrid>
      <w:tr w:rsidR="00DC5685" w:rsidRPr="00A34F10" w14:paraId="16B72E1C" w14:textId="77777777" w:rsidTr="000470C3">
        <w:tc>
          <w:tcPr>
            <w:tcW w:w="3251" w:type="dxa"/>
            <w:gridSpan w:val="2"/>
            <w:vAlign w:val="center"/>
          </w:tcPr>
          <w:p w14:paraId="0F67D695" w14:textId="77777777" w:rsidR="00DC5685" w:rsidRPr="00A34F10" w:rsidRDefault="00DC5685" w:rsidP="00DC5685">
            <w:pPr>
              <w:widowControl w:val="0"/>
              <w:suppressAutoHyphens/>
              <w:jc w:val="both"/>
              <w:rPr>
                <w:b/>
                <w:bCs/>
                <w:sz w:val="20"/>
                <w:szCs w:val="20"/>
              </w:rPr>
            </w:pPr>
            <w:r w:rsidRPr="00A34F10">
              <w:rPr>
                <w:b/>
                <w:bCs/>
                <w:sz w:val="20"/>
                <w:szCs w:val="20"/>
              </w:rPr>
              <w:t>Nominal doses</w:t>
            </w:r>
          </w:p>
        </w:tc>
        <w:tc>
          <w:tcPr>
            <w:tcW w:w="4181" w:type="dxa"/>
            <w:gridSpan w:val="2"/>
            <w:vAlign w:val="center"/>
          </w:tcPr>
          <w:p w14:paraId="1D9FCE39" w14:textId="77777777" w:rsidR="00DC5685" w:rsidRPr="00A34F10" w:rsidRDefault="00DC5685" w:rsidP="00DC5685">
            <w:pPr>
              <w:widowControl w:val="0"/>
              <w:suppressAutoHyphens/>
              <w:jc w:val="both"/>
              <w:rPr>
                <w:b/>
                <w:bCs/>
                <w:sz w:val="20"/>
                <w:szCs w:val="20"/>
              </w:rPr>
            </w:pPr>
            <w:r w:rsidRPr="00A34F10">
              <w:rPr>
                <w:b/>
                <w:bCs/>
                <w:sz w:val="20"/>
                <w:szCs w:val="20"/>
              </w:rPr>
              <w:t>Nominal concentrations</w:t>
            </w:r>
          </w:p>
        </w:tc>
      </w:tr>
      <w:tr w:rsidR="00DC5685" w:rsidRPr="00A34F10" w14:paraId="58D49625" w14:textId="77777777" w:rsidTr="000470C3">
        <w:tc>
          <w:tcPr>
            <w:tcW w:w="1944" w:type="dxa"/>
            <w:vAlign w:val="center"/>
          </w:tcPr>
          <w:p w14:paraId="0C70B401" w14:textId="77777777" w:rsidR="00DC5685" w:rsidRPr="00A34F10" w:rsidRDefault="00DC5685" w:rsidP="00DC5685">
            <w:pPr>
              <w:widowControl w:val="0"/>
              <w:suppressAutoHyphens/>
              <w:jc w:val="both"/>
              <w:rPr>
                <w:b/>
                <w:bCs/>
                <w:sz w:val="20"/>
                <w:szCs w:val="20"/>
              </w:rPr>
            </w:pPr>
            <w:r w:rsidRPr="00A34F10">
              <w:rPr>
                <w:b/>
                <w:bCs/>
                <w:sz w:val="20"/>
                <w:szCs w:val="20"/>
              </w:rPr>
              <w:t>[µg BAS 650 00 F/larva]</w:t>
            </w:r>
          </w:p>
        </w:tc>
        <w:tc>
          <w:tcPr>
            <w:tcW w:w="1307" w:type="dxa"/>
            <w:vAlign w:val="center"/>
          </w:tcPr>
          <w:p w14:paraId="5AB636F2" w14:textId="77777777" w:rsidR="00DC5685" w:rsidRPr="00A34F10" w:rsidRDefault="00DC5685" w:rsidP="00DC5685">
            <w:pPr>
              <w:widowControl w:val="0"/>
              <w:suppressAutoHyphens/>
              <w:jc w:val="both"/>
              <w:rPr>
                <w:b/>
                <w:bCs/>
                <w:sz w:val="20"/>
                <w:szCs w:val="20"/>
              </w:rPr>
            </w:pPr>
            <w:r w:rsidRPr="00A34F10">
              <w:rPr>
                <w:b/>
                <w:bCs/>
                <w:sz w:val="20"/>
                <w:szCs w:val="20"/>
              </w:rPr>
              <w:t>[µg a.s./larva]</w:t>
            </w:r>
          </w:p>
        </w:tc>
        <w:tc>
          <w:tcPr>
            <w:tcW w:w="2187" w:type="dxa"/>
            <w:vAlign w:val="center"/>
          </w:tcPr>
          <w:p w14:paraId="1B66BEAE" w14:textId="77777777" w:rsidR="00DC5685" w:rsidRPr="00A34F10" w:rsidRDefault="00DC5685" w:rsidP="00DC5685">
            <w:pPr>
              <w:widowControl w:val="0"/>
              <w:suppressAutoHyphens/>
              <w:jc w:val="both"/>
              <w:rPr>
                <w:b/>
                <w:bCs/>
                <w:sz w:val="20"/>
                <w:szCs w:val="20"/>
              </w:rPr>
            </w:pPr>
            <w:r w:rsidRPr="00A34F10">
              <w:rPr>
                <w:b/>
                <w:bCs/>
                <w:sz w:val="20"/>
                <w:szCs w:val="20"/>
              </w:rPr>
              <w:t>[mg BAS 650 00 F/kg food]</w:t>
            </w:r>
          </w:p>
        </w:tc>
        <w:tc>
          <w:tcPr>
            <w:tcW w:w="1994" w:type="dxa"/>
            <w:vAlign w:val="center"/>
          </w:tcPr>
          <w:p w14:paraId="4FADC7BE" w14:textId="77777777" w:rsidR="00DC5685" w:rsidRPr="00A34F10" w:rsidRDefault="00DC5685" w:rsidP="00DC5685">
            <w:pPr>
              <w:widowControl w:val="0"/>
              <w:suppressAutoHyphens/>
              <w:jc w:val="both"/>
              <w:rPr>
                <w:b/>
                <w:bCs/>
                <w:sz w:val="20"/>
                <w:szCs w:val="20"/>
              </w:rPr>
            </w:pPr>
            <w:r w:rsidRPr="00A34F10">
              <w:rPr>
                <w:b/>
                <w:bCs/>
                <w:sz w:val="20"/>
                <w:szCs w:val="20"/>
              </w:rPr>
              <w:t>[mg a.s./kg food]</w:t>
            </w:r>
          </w:p>
        </w:tc>
      </w:tr>
      <w:tr w:rsidR="00DC5685" w:rsidRPr="00A34F10" w14:paraId="62BE4F05" w14:textId="77777777" w:rsidTr="000470C3">
        <w:tc>
          <w:tcPr>
            <w:tcW w:w="1944" w:type="dxa"/>
            <w:vAlign w:val="center"/>
          </w:tcPr>
          <w:p w14:paraId="6E90E646" w14:textId="77777777" w:rsidR="00DC5685" w:rsidRPr="00A34F10" w:rsidRDefault="00DC5685" w:rsidP="00DC5685">
            <w:pPr>
              <w:widowControl w:val="0"/>
              <w:suppressAutoHyphens/>
              <w:jc w:val="both"/>
              <w:rPr>
                <w:sz w:val="20"/>
                <w:szCs w:val="20"/>
              </w:rPr>
            </w:pPr>
            <w:r w:rsidRPr="00A34F10">
              <w:rPr>
                <w:sz w:val="20"/>
                <w:szCs w:val="20"/>
              </w:rPr>
              <w:t>37.1</w:t>
            </w:r>
          </w:p>
        </w:tc>
        <w:tc>
          <w:tcPr>
            <w:tcW w:w="1307" w:type="dxa"/>
            <w:vAlign w:val="center"/>
          </w:tcPr>
          <w:p w14:paraId="47DF0DA8" w14:textId="77777777" w:rsidR="00DC5685" w:rsidRPr="00A34F10" w:rsidRDefault="00DC5685" w:rsidP="00DC5685">
            <w:pPr>
              <w:widowControl w:val="0"/>
              <w:suppressAutoHyphens/>
              <w:jc w:val="both"/>
              <w:rPr>
                <w:sz w:val="20"/>
                <w:szCs w:val="20"/>
              </w:rPr>
            </w:pPr>
            <w:r w:rsidRPr="00A34F10">
              <w:rPr>
                <w:sz w:val="20"/>
                <w:szCs w:val="20"/>
              </w:rPr>
              <w:t>7.1</w:t>
            </w:r>
          </w:p>
        </w:tc>
        <w:tc>
          <w:tcPr>
            <w:tcW w:w="2187" w:type="dxa"/>
            <w:vAlign w:val="center"/>
          </w:tcPr>
          <w:p w14:paraId="531BB42E" w14:textId="77777777" w:rsidR="00DC5685" w:rsidRPr="00A34F10" w:rsidRDefault="00DC5685" w:rsidP="00DC5685">
            <w:pPr>
              <w:widowControl w:val="0"/>
              <w:suppressAutoHyphens/>
              <w:jc w:val="both"/>
              <w:rPr>
                <w:sz w:val="20"/>
                <w:szCs w:val="20"/>
              </w:rPr>
            </w:pPr>
            <w:r w:rsidRPr="00A34F10">
              <w:rPr>
                <w:sz w:val="20"/>
                <w:szCs w:val="20"/>
              </w:rPr>
              <w:t>241</w:t>
            </w:r>
          </w:p>
        </w:tc>
        <w:tc>
          <w:tcPr>
            <w:tcW w:w="1994" w:type="dxa"/>
            <w:vAlign w:val="center"/>
          </w:tcPr>
          <w:p w14:paraId="68DC33DB" w14:textId="77777777" w:rsidR="00DC5685" w:rsidRPr="00A34F10" w:rsidRDefault="00DC5685" w:rsidP="00DC5685">
            <w:pPr>
              <w:widowControl w:val="0"/>
              <w:suppressAutoHyphens/>
              <w:jc w:val="both"/>
              <w:rPr>
                <w:sz w:val="20"/>
                <w:szCs w:val="20"/>
              </w:rPr>
            </w:pPr>
            <w:r w:rsidRPr="00A34F10">
              <w:rPr>
                <w:sz w:val="20"/>
                <w:szCs w:val="20"/>
              </w:rPr>
              <w:t>46</w:t>
            </w:r>
          </w:p>
        </w:tc>
      </w:tr>
      <w:tr w:rsidR="00DC5685" w:rsidRPr="00A34F10" w14:paraId="24651B70" w14:textId="77777777" w:rsidTr="000470C3">
        <w:tc>
          <w:tcPr>
            <w:tcW w:w="1944" w:type="dxa"/>
            <w:vAlign w:val="center"/>
          </w:tcPr>
          <w:p w14:paraId="39EA5353" w14:textId="77777777" w:rsidR="00DC5685" w:rsidRPr="00A34F10" w:rsidRDefault="00DC5685" w:rsidP="00DC5685">
            <w:pPr>
              <w:widowControl w:val="0"/>
              <w:suppressAutoHyphens/>
              <w:jc w:val="both"/>
              <w:rPr>
                <w:sz w:val="20"/>
                <w:szCs w:val="20"/>
              </w:rPr>
            </w:pPr>
            <w:r w:rsidRPr="00A34F10">
              <w:rPr>
                <w:sz w:val="20"/>
                <w:szCs w:val="20"/>
              </w:rPr>
              <w:t>92.6</w:t>
            </w:r>
          </w:p>
        </w:tc>
        <w:tc>
          <w:tcPr>
            <w:tcW w:w="1307" w:type="dxa"/>
            <w:vAlign w:val="center"/>
          </w:tcPr>
          <w:p w14:paraId="6D8B6F31" w14:textId="77777777" w:rsidR="00DC5685" w:rsidRPr="00A34F10" w:rsidRDefault="00DC5685" w:rsidP="00DC5685">
            <w:pPr>
              <w:widowControl w:val="0"/>
              <w:suppressAutoHyphens/>
              <w:jc w:val="both"/>
              <w:rPr>
                <w:sz w:val="20"/>
                <w:szCs w:val="20"/>
              </w:rPr>
            </w:pPr>
            <w:r w:rsidRPr="00A34F10">
              <w:rPr>
                <w:sz w:val="20"/>
                <w:szCs w:val="20"/>
              </w:rPr>
              <w:t>17.8</w:t>
            </w:r>
          </w:p>
        </w:tc>
        <w:tc>
          <w:tcPr>
            <w:tcW w:w="2187" w:type="dxa"/>
            <w:vAlign w:val="center"/>
          </w:tcPr>
          <w:p w14:paraId="1935950D" w14:textId="77777777" w:rsidR="00DC5685" w:rsidRPr="00A34F10" w:rsidRDefault="00DC5685" w:rsidP="00DC5685">
            <w:pPr>
              <w:widowControl w:val="0"/>
              <w:suppressAutoHyphens/>
              <w:jc w:val="both"/>
              <w:rPr>
                <w:sz w:val="20"/>
                <w:szCs w:val="20"/>
              </w:rPr>
            </w:pPr>
            <w:r w:rsidRPr="00A34F10">
              <w:rPr>
                <w:sz w:val="20"/>
                <w:szCs w:val="20"/>
              </w:rPr>
              <w:t>602</w:t>
            </w:r>
          </w:p>
        </w:tc>
        <w:tc>
          <w:tcPr>
            <w:tcW w:w="1994" w:type="dxa"/>
            <w:vAlign w:val="center"/>
          </w:tcPr>
          <w:p w14:paraId="37A3DD14" w14:textId="77777777" w:rsidR="00DC5685" w:rsidRPr="00A34F10" w:rsidRDefault="00DC5685" w:rsidP="00DC5685">
            <w:pPr>
              <w:widowControl w:val="0"/>
              <w:suppressAutoHyphens/>
              <w:jc w:val="both"/>
              <w:rPr>
                <w:sz w:val="20"/>
                <w:szCs w:val="20"/>
              </w:rPr>
            </w:pPr>
            <w:r w:rsidRPr="00A34F10">
              <w:rPr>
                <w:sz w:val="20"/>
                <w:szCs w:val="20"/>
              </w:rPr>
              <w:t>115</w:t>
            </w:r>
          </w:p>
        </w:tc>
      </w:tr>
      <w:tr w:rsidR="00DC5685" w:rsidRPr="00A34F10" w14:paraId="31D51954" w14:textId="77777777" w:rsidTr="000470C3">
        <w:tc>
          <w:tcPr>
            <w:tcW w:w="1944" w:type="dxa"/>
            <w:vAlign w:val="center"/>
          </w:tcPr>
          <w:p w14:paraId="55DA62FD" w14:textId="77777777" w:rsidR="00DC5685" w:rsidRPr="00A34F10" w:rsidRDefault="00DC5685" w:rsidP="00DC5685">
            <w:pPr>
              <w:widowControl w:val="0"/>
              <w:suppressAutoHyphens/>
              <w:jc w:val="both"/>
              <w:rPr>
                <w:sz w:val="20"/>
                <w:szCs w:val="20"/>
              </w:rPr>
            </w:pPr>
            <w:r w:rsidRPr="00A34F10">
              <w:rPr>
                <w:sz w:val="20"/>
                <w:szCs w:val="20"/>
              </w:rPr>
              <w:t>231.6</w:t>
            </w:r>
          </w:p>
        </w:tc>
        <w:tc>
          <w:tcPr>
            <w:tcW w:w="1307" w:type="dxa"/>
            <w:vAlign w:val="center"/>
          </w:tcPr>
          <w:p w14:paraId="361472CE" w14:textId="77777777" w:rsidR="00DC5685" w:rsidRPr="00A34F10" w:rsidRDefault="00DC5685" w:rsidP="00DC5685">
            <w:pPr>
              <w:widowControl w:val="0"/>
              <w:suppressAutoHyphens/>
              <w:jc w:val="both"/>
              <w:rPr>
                <w:sz w:val="20"/>
                <w:szCs w:val="20"/>
              </w:rPr>
            </w:pPr>
            <w:r w:rsidRPr="00A34F10">
              <w:rPr>
                <w:sz w:val="20"/>
                <w:szCs w:val="20"/>
              </w:rPr>
              <w:t>44.4</w:t>
            </w:r>
          </w:p>
        </w:tc>
        <w:tc>
          <w:tcPr>
            <w:tcW w:w="2187" w:type="dxa"/>
            <w:vAlign w:val="center"/>
          </w:tcPr>
          <w:p w14:paraId="49851C15" w14:textId="77777777" w:rsidR="00DC5685" w:rsidRPr="00A34F10" w:rsidRDefault="00DC5685" w:rsidP="00DC5685">
            <w:pPr>
              <w:widowControl w:val="0"/>
              <w:suppressAutoHyphens/>
              <w:jc w:val="both"/>
              <w:rPr>
                <w:sz w:val="20"/>
                <w:szCs w:val="20"/>
              </w:rPr>
            </w:pPr>
            <w:r w:rsidRPr="00A34F10">
              <w:rPr>
                <w:sz w:val="20"/>
                <w:szCs w:val="20"/>
              </w:rPr>
              <w:t>1504</w:t>
            </w:r>
          </w:p>
        </w:tc>
        <w:tc>
          <w:tcPr>
            <w:tcW w:w="1994" w:type="dxa"/>
            <w:vAlign w:val="center"/>
          </w:tcPr>
          <w:p w14:paraId="129323E7" w14:textId="77777777" w:rsidR="00DC5685" w:rsidRPr="00A34F10" w:rsidRDefault="00DC5685" w:rsidP="00DC5685">
            <w:pPr>
              <w:widowControl w:val="0"/>
              <w:suppressAutoHyphens/>
              <w:jc w:val="both"/>
              <w:rPr>
                <w:sz w:val="20"/>
                <w:szCs w:val="20"/>
              </w:rPr>
            </w:pPr>
            <w:r w:rsidRPr="00A34F10">
              <w:rPr>
                <w:sz w:val="20"/>
                <w:szCs w:val="20"/>
              </w:rPr>
              <w:t>288</w:t>
            </w:r>
          </w:p>
        </w:tc>
      </w:tr>
      <w:tr w:rsidR="00DC5685" w:rsidRPr="00A34F10" w14:paraId="35ABF75D" w14:textId="77777777" w:rsidTr="000470C3">
        <w:tc>
          <w:tcPr>
            <w:tcW w:w="1944" w:type="dxa"/>
            <w:vAlign w:val="center"/>
          </w:tcPr>
          <w:p w14:paraId="57397F22" w14:textId="77777777" w:rsidR="00DC5685" w:rsidRPr="00A34F10" w:rsidRDefault="00DC5685" w:rsidP="00DC5685">
            <w:pPr>
              <w:widowControl w:val="0"/>
              <w:suppressAutoHyphens/>
              <w:jc w:val="both"/>
              <w:rPr>
                <w:sz w:val="20"/>
                <w:szCs w:val="20"/>
              </w:rPr>
            </w:pPr>
            <w:r w:rsidRPr="00A34F10">
              <w:rPr>
                <w:sz w:val="20"/>
                <w:szCs w:val="20"/>
              </w:rPr>
              <w:t>579.0</w:t>
            </w:r>
          </w:p>
        </w:tc>
        <w:tc>
          <w:tcPr>
            <w:tcW w:w="1307" w:type="dxa"/>
            <w:vAlign w:val="center"/>
          </w:tcPr>
          <w:p w14:paraId="53CF3077" w14:textId="77777777" w:rsidR="00DC5685" w:rsidRPr="00A34F10" w:rsidRDefault="00DC5685" w:rsidP="00DC5685">
            <w:pPr>
              <w:widowControl w:val="0"/>
              <w:suppressAutoHyphens/>
              <w:jc w:val="both"/>
              <w:rPr>
                <w:sz w:val="20"/>
                <w:szCs w:val="20"/>
              </w:rPr>
            </w:pPr>
            <w:r w:rsidRPr="00A34F10">
              <w:rPr>
                <w:sz w:val="20"/>
                <w:szCs w:val="20"/>
              </w:rPr>
              <w:t>111.0</w:t>
            </w:r>
          </w:p>
        </w:tc>
        <w:tc>
          <w:tcPr>
            <w:tcW w:w="2187" w:type="dxa"/>
            <w:vAlign w:val="center"/>
          </w:tcPr>
          <w:p w14:paraId="4E831B66" w14:textId="77777777" w:rsidR="00DC5685" w:rsidRPr="00A34F10" w:rsidRDefault="00DC5685" w:rsidP="00DC5685">
            <w:pPr>
              <w:widowControl w:val="0"/>
              <w:suppressAutoHyphens/>
              <w:jc w:val="both"/>
              <w:rPr>
                <w:sz w:val="20"/>
                <w:szCs w:val="20"/>
              </w:rPr>
            </w:pPr>
            <w:r w:rsidRPr="00A34F10">
              <w:rPr>
                <w:sz w:val="20"/>
                <w:szCs w:val="20"/>
              </w:rPr>
              <w:t>3760</w:t>
            </w:r>
          </w:p>
        </w:tc>
        <w:tc>
          <w:tcPr>
            <w:tcW w:w="1994" w:type="dxa"/>
            <w:vAlign w:val="center"/>
          </w:tcPr>
          <w:p w14:paraId="16BEED8D" w14:textId="77777777" w:rsidR="00DC5685" w:rsidRPr="00A34F10" w:rsidRDefault="00DC5685" w:rsidP="00DC5685">
            <w:pPr>
              <w:widowControl w:val="0"/>
              <w:suppressAutoHyphens/>
              <w:jc w:val="both"/>
              <w:rPr>
                <w:sz w:val="20"/>
                <w:szCs w:val="20"/>
              </w:rPr>
            </w:pPr>
            <w:r w:rsidRPr="00A34F10">
              <w:rPr>
                <w:sz w:val="20"/>
                <w:szCs w:val="20"/>
              </w:rPr>
              <w:t>721</w:t>
            </w:r>
          </w:p>
        </w:tc>
      </w:tr>
      <w:tr w:rsidR="00DC5685" w:rsidRPr="00A34F10" w14:paraId="4E482EA6" w14:textId="77777777" w:rsidTr="000470C3">
        <w:tc>
          <w:tcPr>
            <w:tcW w:w="1944" w:type="dxa"/>
            <w:vAlign w:val="center"/>
          </w:tcPr>
          <w:p w14:paraId="213D8D05" w14:textId="77777777" w:rsidR="00DC5685" w:rsidRPr="00A34F10" w:rsidRDefault="00DC5685" w:rsidP="00DC5685">
            <w:pPr>
              <w:widowControl w:val="0"/>
              <w:suppressAutoHyphens/>
              <w:jc w:val="both"/>
              <w:rPr>
                <w:sz w:val="20"/>
                <w:szCs w:val="20"/>
              </w:rPr>
            </w:pPr>
            <w:r w:rsidRPr="00A34F10">
              <w:rPr>
                <w:sz w:val="20"/>
                <w:szCs w:val="20"/>
              </w:rPr>
              <w:t>1447.6</w:t>
            </w:r>
          </w:p>
        </w:tc>
        <w:tc>
          <w:tcPr>
            <w:tcW w:w="1307" w:type="dxa"/>
            <w:vAlign w:val="center"/>
          </w:tcPr>
          <w:p w14:paraId="5157B150" w14:textId="77777777" w:rsidR="00DC5685" w:rsidRPr="00A34F10" w:rsidRDefault="00DC5685" w:rsidP="00DC5685">
            <w:pPr>
              <w:widowControl w:val="0"/>
              <w:suppressAutoHyphens/>
              <w:jc w:val="both"/>
              <w:rPr>
                <w:sz w:val="20"/>
                <w:szCs w:val="20"/>
              </w:rPr>
            </w:pPr>
            <w:r w:rsidRPr="00A34F10">
              <w:rPr>
                <w:sz w:val="20"/>
                <w:szCs w:val="20"/>
              </w:rPr>
              <w:t>277.6</w:t>
            </w:r>
          </w:p>
        </w:tc>
        <w:tc>
          <w:tcPr>
            <w:tcW w:w="2187" w:type="dxa"/>
            <w:vAlign w:val="center"/>
          </w:tcPr>
          <w:p w14:paraId="2C3A2241" w14:textId="77777777" w:rsidR="00DC5685" w:rsidRPr="00A34F10" w:rsidRDefault="00DC5685" w:rsidP="00DC5685">
            <w:pPr>
              <w:widowControl w:val="0"/>
              <w:suppressAutoHyphens/>
              <w:jc w:val="both"/>
              <w:rPr>
                <w:sz w:val="20"/>
                <w:szCs w:val="20"/>
              </w:rPr>
            </w:pPr>
            <w:r w:rsidRPr="00A34F10">
              <w:rPr>
                <w:sz w:val="20"/>
                <w:szCs w:val="20"/>
              </w:rPr>
              <w:t>9400</w:t>
            </w:r>
          </w:p>
        </w:tc>
        <w:tc>
          <w:tcPr>
            <w:tcW w:w="1994" w:type="dxa"/>
            <w:vAlign w:val="center"/>
          </w:tcPr>
          <w:p w14:paraId="4D40E96F" w14:textId="77777777" w:rsidR="00DC5685" w:rsidRPr="00A34F10" w:rsidRDefault="00DC5685" w:rsidP="00DC5685">
            <w:pPr>
              <w:widowControl w:val="0"/>
              <w:suppressAutoHyphens/>
              <w:jc w:val="both"/>
              <w:rPr>
                <w:sz w:val="20"/>
                <w:szCs w:val="20"/>
              </w:rPr>
            </w:pPr>
            <w:r w:rsidRPr="00A34F10">
              <w:rPr>
                <w:sz w:val="20"/>
                <w:szCs w:val="20"/>
              </w:rPr>
              <w:t>1802</w:t>
            </w:r>
          </w:p>
        </w:tc>
      </w:tr>
    </w:tbl>
    <w:p w14:paraId="423282A7" w14:textId="77777777" w:rsidR="00DC5685" w:rsidRPr="00A34F10" w:rsidRDefault="00DC5685" w:rsidP="00DC5685">
      <w:pPr>
        <w:widowControl w:val="0"/>
        <w:suppressAutoHyphens/>
        <w:jc w:val="both"/>
      </w:pPr>
    </w:p>
    <w:p w14:paraId="26CB0D2C" w14:textId="77777777" w:rsidR="00DC5685" w:rsidRPr="00A34F10" w:rsidRDefault="00DC5685" w:rsidP="00DC5685">
      <w:pPr>
        <w:widowControl w:val="0"/>
        <w:suppressAutoHyphens/>
        <w:jc w:val="both"/>
      </w:pPr>
      <w:r w:rsidRPr="00A34F10">
        <w:t>Reference item: treated diet with a dose of 6.2 µg dimethoate/larva (corresponding concentration: 40 mg a.s./kg food).</w:t>
      </w:r>
    </w:p>
    <w:p w14:paraId="56C515EB" w14:textId="77777777" w:rsidR="00DC5685" w:rsidRPr="00A34F10" w:rsidRDefault="00DC5685" w:rsidP="00DC5685">
      <w:pPr>
        <w:tabs>
          <w:tab w:val="left" w:pos="720"/>
        </w:tabs>
        <w:jc w:val="both"/>
        <w:rPr>
          <w:highlight w:val="green"/>
          <w:lang w:val="en-GB"/>
        </w:rPr>
      </w:pPr>
    </w:p>
    <w:p w14:paraId="61E6B668" w14:textId="77777777" w:rsidR="00DC5685" w:rsidRPr="00A34F10" w:rsidRDefault="00DC5685" w:rsidP="00E05ECD">
      <w:pPr>
        <w:keepNext/>
        <w:numPr>
          <w:ilvl w:val="0"/>
          <w:numId w:val="79"/>
        </w:numPr>
        <w:tabs>
          <w:tab w:val="left" w:pos="720"/>
        </w:tabs>
        <w:ind w:left="714" w:hanging="357"/>
        <w:jc w:val="both"/>
        <w:rPr>
          <w:b/>
          <w:bCs/>
          <w:lang w:val="en-GB"/>
        </w:rPr>
      </w:pPr>
      <w:r w:rsidRPr="00A34F10">
        <w:rPr>
          <w:b/>
          <w:bCs/>
          <w:lang w:val="en-GB"/>
        </w:rPr>
        <w:t>Measurements and observations:</w:t>
      </w:r>
    </w:p>
    <w:p w14:paraId="6AF08C0B" w14:textId="77777777" w:rsidR="00DC5685" w:rsidRPr="00A34F10" w:rsidRDefault="00DC5685" w:rsidP="00DC5685">
      <w:pPr>
        <w:widowControl w:val="0"/>
        <w:suppressAutoHyphens/>
        <w:jc w:val="both"/>
      </w:pPr>
      <w:r w:rsidRPr="00A34F10">
        <w:t>Successful adult emergence (dose-effect relationship), mortality, qualitative observations: body size, remaining food.</w:t>
      </w:r>
    </w:p>
    <w:p w14:paraId="44518351" w14:textId="77777777" w:rsidR="00DC5685" w:rsidRPr="00A34F10" w:rsidRDefault="00DC5685" w:rsidP="00DC5685">
      <w:pPr>
        <w:tabs>
          <w:tab w:val="left" w:pos="1578"/>
        </w:tabs>
        <w:jc w:val="both"/>
        <w:rPr>
          <w:highlight w:val="green"/>
          <w:lang w:val="en-GB"/>
        </w:rPr>
      </w:pPr>
    </w:p>
    <w:p w14:paraId="0627A5A7" w14:textId="77777777" w:rsidR="00DC5685" w:rsidRPr="00A34F10" w:rsidRDefault="00DC5685" w:rsidP="00E05ECD">
      <w:pPr>
        <w:keepNext/>
        <w:numPr>
          <w:ilvl w:val="0"/>
          <w:numId w:val="79"/>
        </w:numPr>
        <w:tabs>
          <w:tab w:val="left" w:pos="720"/>
        </w:tabs>
        <w:ind w:left="714" w:hanging="357"/>
        <w:jc w:val="both"/>
        <w:rPr>
          <w:b/>
          <w:bCs/>
          <w:lang w:val="en-GB"/>
        </w:rPr>
      </w:pPr>
      <w:r w:rsidRPr="00A34F10">
        <w:rPr>
          <w:b/>
          <w:bCs/>
          <w:lang w:val="en-GB"/>
        </w:rPr>
        <w:t xml:space="preserve">Statistical analysis: </w:t>
      </w:r>
    </w:p>
    <w:p w14:paraId="3A0AA85F" w14:textId="77777777" w:rsidR="00DC5685" w:rsidRPr="00A34F10" w:rsidRDefault="00DC5685" w:rsidP="00DC5685">
      <w:pPr>
        <w:widowControl w:val="0"/>
        <w:suppressAutoHyphens/>
        <w:jc w:val="both"/>
      </w:pPr>
      <w:r w:rsidRPr="00A34F10">
        <w:t xml:space="preserve">Descriptive statistics: Step-down Cochran-Armitage Test for mortality data and adult emergence on D22 or Chi² 2x2 Table Test with Bonferroni Correction for mortality data on D8 (both one-sided greater, </w:t>
      </w:r>
      <w:r w:rsidRPr="00A34F10">
        <w:sym w:font="Symbol" w:char="F061"/>
      </w:r>
      <w:r w:rsidRPr="00A34F10">
        <w:t xml:space="preserve"> = 0.05) for determination of NOED/NOEC; Probit analysis (linear max. likelihood regression) for determination of ED</w:t>
      </w:r>
      <w:r w:rsidRPr="00A34F10">
        <w:rPr>
          <w:vertAlign w:val="subscript"/>
        </w:rPr>
        <w:t>50</w:t>
      </w:r>
      <w:r w:rsidRPr="00A34F10">
        <w:t>/EC</w:t>
      </w:r>
      <w:r w:rsidRPr="00A34F10">
        <w:rPr>
          <w:vertAlign w:val="subscript"/>
        </w:rPr>
        <w:t>50.</w:t>
      </w:r>
    </w:p>
    <w:p w14:paraId="019F31FD" w14:textId="77777777" w:rsidR="00DC5685" w:rsidRPr="00A34F10" w:rsidRDefault="00DC5685" w:rsidP="00DC5685">
      <w:pPr>
        <w:tabs>
          <w:tab w:val="left" w:pos="720"/>
        </w:tabs>
        <w:jc w:val="both"/>
        <w:rPr>
          <w:lang w:val="en-GB"/>
        </w:rPr>
      </w:pPr>
    </w:p>
    <w:p w14:paraId="41FCEFF8" w14:textId="77777777" w:rsidR="00DC5685" w:rsidRPr="00A34F10" w:rsidRDefault="00DC5685" w:rsidP="00E05ECD">
      <w:pPr>
        <w:keepNext/>
        <w:numPr>
          <w:ilvl w:val="0"/>
          <w:numId w:val="76"/>
        </w:numPr>
        <w:tabs>
          <w:tab w:val="left" w:pos="720"/>
        </w:tabs>
        <w:jc w:val="center"/>
        <w:rPr>
          <w:lang w:val="en-GB"/>
        </w:rPr>
      </w:pPr>
      <w:r w:rsidRPr="00A34F10">
        <w:rPr>
          <w:b/>
          <w:bCs/>
          <w:lang w:val="en-GB"/>
        </w:rPr>
        <w:t>RESULTS AND DISCUSSION</w:t>
      </w:r>
    </w:p>
    <w:p w14:paraId="1F8EE3D3" w14:textId="77777777" w:rsidR="00DC5685" w:rsidRPr="00A34F10" w:rsidRDefault="00DC5685" w:rsidP="00DC5685">
      <w:pPr>
        <w:keepNext/>
        <w:tabs>
          <w:tab w:val="left" w:pos="720"/>
        </w:tabs>
        <w:jc w:val="both"/>
        <w:rPr>
          <w:lang w:val="en-GB"/>
        </w:rPr>
      </w:pPr>
    </w:p>
    <w:p w14:paraId="47C6CA40" w14:textId="77777777" w:rsidR="00DC5685" w:rsidRPr="00A34F10" w:rsidRDefault="00DC5685" w:rsidP="00DC5685">
      <w:pPr>
        <w:widowControl w:val="0"/>
        <w:suppressAutoHyphens/>
        <w:jc w:val="both"/>
      </w:pPr>
      <w:r w:rsidRPr="00A34F10">
        <w:t xml:space="preserve">After 120 hours of oral exposure, a larval mortality of 8.3% was observed in the control. Pupal mortality (between D8 and D22) was 12.1%. Thus, the control group showed a total mortality of 19.4% at D22. In the test item group, larval mortalities at D8 ranged between 0.0% and 25.0%. Pupal mortalities ranged between 31.4% and 90.3% in the same treatment groups. Thus, total mortalities at D22 ranged between 33.3% and 91.7%. None of the recorded mortality rates were statistically significantly different compared to the control (Step-down Cochran-Armitage Test for mortality data on D22 or Chi² 2x2 Table Test with Bonferroni Correction for mortality data on D8, both one-sided greater, </w:t>
      </w:r>
      <w:r w:rsidRPr="00A34F10">
        <w:sym w:font="Symbol" w:char="F061"/>
      </w:r>
      <w:r w:rsidRPr="00A34F10">
        <w:t xml:space="preserve"> = 0.05).</w:t>
      </w:r>
    </w:p>
    <w:p w14:paraId="3049E6B9" w14:textId="77777777" w:rsidR="00DC5685" w:rsidRPr="00A34F10" w:rsidRDefault="00DC5685" w:rsidP="00DC5685">
      <w:pPr>
        <w:widowControl w:val="0"/>
        <w:suppressAutoHyphens/>
        <w:jc w:val="both"/>
      </w:pPr>
    </w:p>
    <w:p w14:paraId="1E250925" w14:textId="46888BB7" w:rsidR="001F741C" w:rsidRDefault="00DC5685" w:rsidP="00DC5685">
      <w:pPr>
        <w:widowControl w:val="0"/>
        <w:suppressAutoHyphens/>
        <w:jc w:val="both"/>
      </w:pPr>
      <w:r w:rsidRPr="00A34F10">
        <w:t>At D8, larvae of all treatments, as well as larvae of control and reference item, had completely consumed their offered food. No additional abnormalities regarding body size were observed.</w:t>
      </w:r>
    </w:p>
    <w:p w14:paraId="0DDCA44A" w14:textId="77777777" w:rsidR="00DC5685" w:rsidRPr="00A34F10" w:rsidRDefault="00DC5685" w:rsidP="00DC5685">
      <w:pPr>
        <w:widowControl w:val="0"/>
        <w:suppressAutoHyphens/>
        <w:jc w:val="both"/>
      </w:pPr>
    </w:p>
    <w:p w14:paraId="6497682C" w14:textId="6E6D35F7" w:rsidR="00DC5685" w:rsidRPr="00A34F10" w:rsidRDefault="00DC5685" w:rsidP="00DC5685">
      <w:pPr>
        <w:widowControl w:val="0"/>
        <w:suppressAutoHyphens/>
        <w:jc w:val="both"/>
      </w:pPr>
      <w:r w:rsidRPr="00A34F10">
        <w:t xml:space="preserve">In the final assessment at D22, an adult emergence rate of 80.6% was determined for the honeybees in the control group. Adult honeybees emerged at rates of 66.7%, 38.9%, 25.0%, 16.7% and 8.3% following an </w:t>
      </w:r>
      <w:r w:rsidRPr="00A34F10">
        <w:lastRenderedPageBreak/>
        <w:t xml:space="preserve">application of 7.1, 17.8, 44.4, 111.0 and 277.6 µg a.s./larva, respectively, during the larval stages. Hence, statistically significant effects on adult emergence occurred at the four highest test item doses of 17.8, 44.4, 111.0 and 277.6 µg a.s./larva, respectively (Step-down Cochran-Armitage Test, one-sided greater, </w:t>
      </w:r>
      <w:r w:rsidRPr="00A34F10">
        <w:sym w:font="Symbol" w:char="F061"/>
      </w:r>
      <w:r w:rsidRPr="00A34F10">
        <w:t xml:space="preserve"> = 0.05). The results are summarized in </w:t>
      </w:r>
      <w:r w:rsidR="001F741C">
        <w:fldChar w:fldCharType="begin"/>
      </w:r>
      <w:r w:rsidR="001F741C">
        <w:instrText xml:space="preserve"> REF _Ref147910231 \h </w:instrText>
      </w:r>
      <w:r w:rsidR="001F741C">
        <w:fldChar w:fldCharType="separate"/>
      </w:r>
      <w:r w:rsidR="006F0F3B">
        <w:t xml:space="preserve">Table A </w:t>
      </w:r>
      <w:r w:rsidR="006F0F3B">
        <w:rPr>
          <w:noProof/>
        </w:rPr>
        <w:t>56</w:t>
      </w:r>
      <w:r w:rsidR="001F741C">
        <w:fldChar w:fldCharType="end"/>
      </w:r>
      <w:r w:rsidR="001F741C">
        <w:t xml:space="preserve"> </w:t>
      </w:r>
      <w:r w:rsidRPr="00A34F10">
        <w:t>below.</w:t>
      </w:r>
    </w:p>
    <w:p w14:paraId="046E03D4" w14:textId="77777777" w:rsidR="00DC5685" w:rsidRPr="00A34F10" w:rsidRDefault="00DC5685" w:rsidP="00DC5685">
      <w:pPr>
        <w:tabs>
          <w:tab w:val="left" w:pos="720"/>
        </w:tabs>
        <w:jc w:val="both"/>
        <w:rPr>
          <w:lang w:val="en-GB"/>
        </w:rPr>
      </w:pPr>
    </w:p>
    <w:p w14:paraId="3203BEC9" w14:textId="23CC7CBC" w:rsidR="00DC5685" w:rsidRPr="00A34F10" w:rsidRDefault="001F741C" w:rsidP="001F741C">
      <w:pPr>
        <w:pStyle w:val="Legenda"/>
      </w:pPr>
      <w:bookmarkStart w:id="1115" w:name="_Ref147910231"/>
      <w:r>
        <w:t xml:space="preserve">Table A </w:t>
      </w:r>
      <w:r>
        <w:fldChar w:fldCharType="begin"/>
      </w:r>
      <w:r>
        <w:instrText xml:space="preserve"> SEQ Table_A \* ARABIC </w:instrText>
      </w:r>
      <w:r>
        <w:fldChar w:fldCharType="separate"/>
      </w:r>
      <w:r w:rsidR="006F0F3B">
        <w:rPr>
          <w:noProof/>
        </w:rPr>
        <w:t>56</w:t>
      </w:r>
      <w:r>
        <w:fldChar w:fldCharType="end"/>
      </w:r>
      <w:bookmarkEnd w:id="1115"/>
      <w:r w:rsidR="00DC5685" w:rsidRPr="00A34F10">
        <w:t>:</w:t>
      </w:r>
      <w:r w:rsidR="00DC5685" w:rsidRPr="00A34F10">
        <w:tab/>
        <w:t xml:space="preserve">Effects of BAS 650 00 F to </w:t>
      </w:r>
      <w:r w:rsidR="00DC5685" w:rsidRPr="00A34F10">
        <w:rPr>
          <w:i/>
        </w:rPr>
        <w:t xml:space="preserve">Apis mellifera </w:t>
      </w:r>
      <w:r w:rsidR="00DC5685" w:rsidRPr="00A34F10">
        <w:t>L</w:t>
      </w:r>
      <w:r w:rsidR="00DC5685" w:rsidRPr="00A34F10">
        <w:rPr>
          <w:i/>
        </w:rPr>
        <w:t xml:space="preserve">. </w:t>
      </w:r>
      <w:r w:rsidR="00DC5685" w:rsidRPr="00A34F10">
        <w:t>in a repeated exposure larval toxicity test</w:t>
      </w:r>
    </w:p>
    <w:tbl>
      <w:tblPr>
        <w:tblStyle w:val="Tabela-Siatka"/>
        <w:tblW w:w="5000" w:type="pct"/>
        <w:tblLook w:val="04A0" w:firstRow="1" w:lastRow="0" w:firstColumn="1" w:lastColumn="0" w:noHBand="0" w:noVBand="1"/>
      </w:tblPr>
      <w:tblGrid>
        <w:gridCol w:w="1119"/>
        <w:gridCol w:w="656"/>
        <w:gridCol w:w="1174"/>
        <w:gridCol w:w="769"/>
        <w:gridCol w:w="846"/>
        <w:gridCol w:w="596"/>
        <w:gridCol w:w="256"/>
        <w:gridCol w:w="543"/>
        <w:gridCol w:w="846"/>
        <w:gridCol w:w="769"/>
        <w:gridCol w:w="846"/>
        <w:gridCol w:w="924"/>
      </w:tblGrid>
      <w:tr w:rsidR="00DC5685" w:rsidRPr="00A34F10" w14:paraId="18CFE736" w14:textId="77777777" w:rsidTr="000470C3">
        <w:tc>
          <w:tcPr>
            <w:tcW w:w="725" w:type="pct"/>
            <w:vMerge w:val="restart"/>
            <w:vAlign w:val="center"/>
          </w:tcPr>
          <w:p w14:paraId="54BAFDF5" w14:textId="77777777" w:rsidR="00DC5685" w:rsidRPr="00A34F10" w:rsidRDefault="00DC5685" w:rsidP="00DC5685">
            <w:pPr>
              <w:widowControl w:val="0"/>
              <w:suppressAutoHyphens/>
              <w:jc w:val="left"/>
              <w:rPr>
                <w:b/>
                <w:bCs/>
                <w:sz w:val="18"/>
                <w:szCs w:val="18"/>
              </w:rPr>
            </w:pPr>
            <w:r w:rsidRPr="00A34F10">
              <w:rPr>
                <w:b/>
                <w:bCs/>
                <w:sz w:val="18"/>
                <w:szCs w:val="18"/>
              </w:rPr>
              <w:t>Treatment</w:t>
            </w:r>
          </w:p>
        </w:tc>
        <w:tc>
          <w:tcPr>
            <w:tcW w:w="445" w:type="pct"/>
            <w:vMerge w:val="restart"/>
            <w:vAlign w:val="center"/>
          </w:tcPr>
          <w:p w14:paraId="24AD9126" w14:textId="77777777" w:rsidR="00DC5685" w:rsidRPr="00A34F10" w:rsidRDefault="00DC5685" w:rsidP="00DC5685">
            <w:pPr>
              <w:widowControl w:val="0"/>
              <w:suppressAutoHyphens/>
              <w:jc w:val="left"/>
              <w:rPr>
                <w:b/>
                <w:bCs/>
                <w:sz w:val="18"/>
                <w:szCs w:val="18"/>
              </w:rPr>
            </w:pPr>
            <w:r w:rsidRPr="00A34F10">
              <w:rPr>
                <w:b/>
                <w:bCs/>
                <w:sz w:val="18"/>
                <w:szCs w:val="18"/>
              </w:rPr>
              <w:t>Dose [µg /larva]</w:t>
            </w:r>
          </w:p>
        </w:tc>
        <w:tc>
          <w:tcPr>
            <w:tcW w:w="516" w:type="pct"/>
            <w:vMerge w:val="restart"/>
            <w:vAlign w:val="center"/>
          </w:tcPr>
          <w:p w14:paraId="31A61CEC" w14:textId="77777777" w:rsidR="00DC5685" w:rsidRPr="00A34F10" w:rsidRDefault="00DC5685" w:rsidP="00DC5685">
            <w:pPr>
              <w:widowControl w:val="0"/>
              <w:suppressAutoHyphens/>
              <w:jc w:val="left"/>
              <w:rPr>
                <w:b/>
                <w:bCs/>
                <w:sz w:val="18"/>
                <w:szCs w:val="18"/>
              </w:rPr>
            </w:pPr>
            <w:r w:rsidRPr="00A34F10">
              <w:rPr>
                <w:b/>
                <w:bCs/>
                <w:sz w:val="18"/>
                <w:szCs w:val="18"/>
              </w:rPr>
              <w:t>Concentration [mg/kg food]</w:t>
            </w:r>
          </w:p>
        </w:tc>
        <w:tc>
          <w:tcPr>
            <w:tcW w:w="889" w:type="pct"/>
            <w:gridSpan w:val="2"/>
            <w:vAlign w:val="center"/>
          </w:tcPr>
          <w:p w14:paraId="4CB05377" w14:textId="77777777" w:rsidR="00DC5685" w:rsidRPr="00A34F10" w:rsidRDefault="00DC5685" w:rsidP="00DC5685">
            <w:pPr>
              <w:widowControl w:val="0"/>
              <w:suppressAutoHyphens/>
              <w:jc w:val="left"/>
              <w:rPr>
                <w:b/>
                <w:bCs/>
                <w:sz w:val="18"/>
                <w:szCs w:val="18"/>
              </w:rPr>
            </w:pPr>
            <w:r w:rsidRPr="00A34F10">
              <w:rPr>
                <w:b/>
                <w:bCs/>
                <w:sz w:val="18"/>
                <w:szCs w:val="18"/>
              </w:rPr>
              <w:t>Mean larval mortality D3 – D8 [%]</w:t>
            </w:r>
          </w:p>
        </w:tc>
        <w:tc>
          <w:tcPr>
            <w:tcW w:w="371" w:type="pct"/>
            <w:vMerge w:val="restart"/>
            <w:vAlign w:val="center"/>
          </w:tcPr>
          <w:p w14:paraId="237ECBE2" w14:textId="77777777" w:rsidR="00DC5685" w:rsidRPr="00A34F10" w:rsidRDefault="00DC5685" w:rsidP="00DC5685">
            <w:pPr>
              <w:widowControl w:val="0"/>
              <w:suppressAutoHyphens/>
              <w:jc w:val="left"/>
              <w:rPr>
                <w:b/>
                <w:bCs/>
                <w:sz w:val="18"/>
                <w:szCs w:val="18"/>
              </w:rPr>
            </w:pPr>
            <w:r w:rsidRPr="00A34F10">
              <w:rPr>
                <w:b/>
                <w:bCs/>
                <w:sz w:val="18"/>
                <w:szCs w:val="18"/>
              </w:rPr>
              <w:t>Mean OO [%]</w:t>
            </w:r>
          </w:p>
        </w:tc>
        <w:tc>
          <w:tcPr>
            <w:tcW w:w="816" w:type="pct"/>
            <w:gridSpan w:val="3"/>
            <w:vAlign w:val="center"/>
          </w:tcPr>
          <w:p w14:paraId="526053CC" w14:textId="77777777" w:rsidR="00DC5685" w:rsidRPr="00A34F10" w:rsidRDefault="00DC5685" w:rsidP="00DC5685">
            <w:pPr>
              <w:widowControl w:val="0"/>
              <w:suppressAutoHyphens/>
              <w:jc w:val="left"/>
              <w:rPr>
                <w:b/>
                <w:bCs/>
                <w:sz w:val="18"/>
                <w:szCs w:val="18"/>
              </w:rPr>
            </w:pPr>
            <w:r w:rsidRPr="00A34F10">
              <w:rPr>
                <w:b/>
                <w:bCs/>
                <w:sz w:val="18"/>
                <w:szCs w:val="18"/>
              </w:rPr>
              <w:t>Mean pupal mortality D8 – D22 [%]</w:t>
            </w:r>
            <w:r w:rsidRPr="00A34F10">
              <w:rPr>
                <w:b/>
                <w:bCs/>
                <w:sz w:val="18"/>
                <w:szCs w:val="18"/>
                <w:vertAlign w:val="superscript"/>
              </w:rPr>
              <w:t xml:space="preserve"> 2)</w:t>
            </w:r>
          </w:p>
        </w:tc>
        <w:tc>
          <w:tcPr>
            <w:tcW w:w="816" w:type="pct"/>
            <w:gridSpan w:val="2"/>
            <w:vAlign w:val="center"/>
          </w:tcPr>
          <w:p w14:paraId="547BA9E0" w14:textId="77777777" w:rsidR="00DC5685" w:rsidRPr="00A34F10" w:rsidRDefault="00DC5685" w:rsidP="00DC5685">
            <w:pPr>
              <w:widowControl w:val="0"/>
              <w:suppressAutoHyphens/>
              <w:jc w:val="left"/>
              <w:rPr>
                <w:b/>
                <w:bCs/>
                <w:sz w:val="18"/>
                <w:szCs w:val="18"/>
              </w:rPr>
            </w:pPr>
            <w:r w:rsidRPr="00A34F10">
              <w:rPr>
                <w:b/>
                <w:bCs/>
                <w:sz w:val="18"/>
                <w:szCs w:val="18"/>
              </w:rPr>
              <w:t>Mean larval and pupal mortality D3 – D22 [%]</w:t>
            </w:r>
          </w:p>
        </w:tc>
        <w:tc>
          <w:tcPr>
            <w:tcW w:w="422" w:type="pct"/>
            <w:vMerge w:val="restart"/>
            <w:vAlign w:val="center"/>
          </w:tcPr>
          <w:p w14:paraId="2730DE61" w14:textId="77777777" w:rsidR="00DC5685" w:rsidRPr="00A34F10" w:rsidRDefault="00DC5685" w:rsidP="00DC5685">
            <w:pPr>
              <w:widowControl w:val="0"/>
              <w:suppressAutoHyphens/>
              <w:jc w:val="left"/>
              <w:rPr>
                <w:b/>
                <w:bCs/>
                <w:sz w:val="18"/>
                <w:szCs w:val="18"/>
              </w:rPr>
            </w:pPr>
            <w:r w:rsidRPr="00A34F10">
              <w:rPr>
                <w:b/>
                <w:bCs/>
                <w:sz w:val="18"/>
                <w:szCs w:val="18"/>
              </w:rPr>
              <w:t>Adult emergence [%]</w:t>
            </w:r>
          </w:p>
        </w:tc>
      </w:tr>
      <w:tr w:rsidR="00DC5685" w:rsidRPr="00A34F10" w14:paraId="62425216" w14:textId="77777777" w:rsidTr="000470C3">
        <w:tc>
          <w:tcPr>
            <w:tcW w:w="725" w:type="pct"/>
            <w:vMerge/>
            <w:vAlign w:val="center"/>
          </w:tcPr>
          <w:p w14:paraId="7AE5D064" w14:textId="77777777" w:rsidR="00DC5685" w:rsidRPr="00A34F10" w:rsidRDefault="00DC5685" w:rsidP="00DC5685">
            <w:pPr>
              <w:widowControl w:val="0"/>
              <w:suppressAutoHyphens/>
              <w:jc w:val="left"/>
              <w:rPr>
                <w:b/>
                <w:bCs/>
                <w:sz w:val="18"/>
                <w:szCs w:val="18"/>
              </w:rPr>
            </w:pPr>
          </w:p>
        </w:tc>
        <w:tc>
          <w:tcPr>
            <w:tcW w:w="445" w:type="pct"/>
            <w:vMerge/>
            <w:vAlign w:val="center"/>
          </w:tcPr>
          <w:p w14:paraId="5D787AFF" w14:textId="77777777" w:rsidR="00DC5685" w:rsidRPr="00A34F10" w:rsidRDefault="00DC5685" w:rsidP="00DC5685">
            <w:pPr>
              <w:widowControl w:val="0"/>
              <w:suppressAutoHyphens/>
              <w:jc w:val="left"/>
              <w:rPr>
                <w:b/>
                <w:bCs/>
                <w:sz w:val="18"/>
                <w:szCs w:val="18"/>
              </w:rPr>
            </w:pPr>
          </w:p>
        </w:tc>
        <w:tc>
          <w:tcPr>
            <w:tcW w:w="516" w:type="pct"/>
            <w:vMerge/>
            <w:vAlign w:val="center"/>
          </w:tcPr>
          <w:p w14:paraId="72136D6A" w14:textId="77777777" w:rsidR="00DC5685" w:rsidRPr="00A34F10" w:rsidRDefault="00DC5685" w:rsidP="00DC5685">
            <w:pPr>
              <w:widowControl w:val="0"/>
              <w:suppressAutoHyphens/>
              <w:jc w:val="left"/>
              <w:rPr>
                <w:b/>
                <w:bCs/>
                <w:sz w:val="18"/>
                <w:szCs w:val="18"/>
              </w:rPr>
            </w:pPr>
          </w:p>
        </w:tc>
        <w:tc>
          <w:tcPr>
            <w:tcW w:w="371" w:type="pct"/>
            <w:vAlign w:val="center"/>
          </w:tcPr>
          <w:p w14:paraId="6E59611C" w14:textId="77777777" w:rsidR="00DC5685" w:rsidRPr="00A34F10" w:rsidRDefault="00DC5685" w:rsidP="00DC5685">
            <w:pPr>
              <w:widowControl w:val="0"/>
              <w:suppressAutoHyphens/>
              <w:jc w:val="left"/>
              <w:rPr>
                <w:b/>
                <w:bCs/>
                <w:sz w:val="18"/>
                <w:szCs w:val="18"/>
              </w:rPr>
            </w:pPr>
            <w:r w:rsidRPr="00A34F10">
              <w:rPr>
                <w:b/>
                <w:bCs/>
                <w:sz w:val="18"/>
                <w:szCs w:val="18"/>
              </w:rPr>
              <w:t>absolute</w:t>
            </w:r>
          </w:p>
        </w:tc>
        <w:tc>
          <w:tcPr>
            <w:tcW w:w="518" w:type="pct"/>
            <w:vAlign w:val="center"/>
          </w:tcPr>
          <w:p w14:paraId="75EF54B2" w14:textId="77777777" w:rsidR="00DC5685" w:rsidRPr="00A34F10" w:rsidRDefault="00DC5685" w:rsidP="00DC5685">
            <w:pPr>
              <w:widowControl w:val="0"/>
              <w:suppressAutoHyphens/>
              <w:jc w:val="left"/>
              <w:rPr>
                <w:b/>
                <w:bCs/>
                <w:sz w:val="18"/>
                <w:szCs w:val="18"/>
              </w:rPr>
            </w:pPr>
            <w:r w:rsidRPr="00A34F10">
              <w:rPr>
                <w:b/>
                <w:bCs/>
                <w:sz w:val="18"/>
                <w:szCs w:val="18"/>
              </w:rPr>
              <w:t>corrected</w:t>
            </w:r>
            <w:r w:rsidRPr="00A34F10">
              <w:rPr>
                <w:b/>
                <w:bCs/>
                <w:sz w:val="18"/>
                <w:szCs w:val="18"/>
                <w:vertAlign w:val="superscript"/>
              </w:rPr>
              <w:t xml:space="preserve"> 1)</w:t>
            </w:r>
          </w:p>
        </w:tc>
        <w:tc>
          <w:tcPr>
            <w:tcW w:w="371" w:type="pct"/>
            <w:vMerge/>
            <w:vAlign w:val="center"/>
          </w:tcPr>
          <w:p w14:paraId="799135A9" w14:textId="77777777" w:rsidR="00DC5685" w:rsidRPr="00A34F10" w:rsidRDefault="00DC5685" w:rsidP="00DC5685">
            <w:pPr>
              <w:widowControl w:val="0"/>
              <w:suppressAutoHyphens/>
              <w:jc w:val="left"/>
              <w:rPr>
                <w:b/>
                <w:bCs/>
                <w:sz w:val="18"/>
                <w:szCs w:val="18"/>
              </w:rPr>
            </w:pPr>
          </w:p>
        </w:tc>
        <w:tc>
          <w:tcPr>
            <w:tcW w:w="370" w:type="pct"/>
            <w:gridSpan w:val="2"/>
            <w:vAlign w:val="center"/>
          </w:tcPr>
          <w:p w14:paraId="52C47E1E" w14:textId="77777777" w:rsidR="00DC5685" w:rsidRPr="00A34F10" w:rsidRDefault="00DC5685" w:rsidP="00DC5685">
            <w:pPr>
              <w:widowControl w:val="0"/>
              <w:suppressAutoHyphens/>
              <w:jc w:val="left"/>
              <w:rPr>
                <w:b/>
                <w:bCs/>
                <w:sz w:val="18"/>
                <w:szCs w:val="18"/>
              </w:rPr>
            </w:pPr>
            <w:r w:rsidRPr="00A34F10">
              <w:rPr>
                <w:b/>
                <w:bCs/>
                <w:sz w:val="18"/>
                <w:szCs w:val="18"/>
              </w:rPr>
              <w:t>absolute</w:t>
            </w:r>
          </w:p>
        </w:tc>
        <w:tc>
          <w:tcPr>
            <w:tcW w:w="446" w:type="pct"/>
            <w:vAlign w:val="center"/>
          </w:tcPr>
          <w:p w14:paraId="57272A20" w14:textId="77777777" w:rsidR="00DC5685" w:rsidRPr="00A34F10" w:rsidRDefault="00DC5685" w:rsidP="00DC5685">
            <w:pPr>
              <w:widowControl w:val="0"/>
              <w:suppressAutoHyphens/>
              <w:jc w:val="left"/>
              <w:rPr>
                <w:b/>
                <w:bCs/>
                <w:sz w:val="18"/>
                <w:szCs w:val="18"/>
              </w:rPr>
            </w:pPr>
            <w:r w:rsidRPr="00A34F10">
              <w:rPr>
                <w:b/>
                <w:bCs/>
                <w:sz w:val="18"/>
                <w:szCs w:val="18"/>
              </w:rPr>
              <w:t>corrected</w:t>
            </w:r>
            <w:r w:rsidRPr="00A34F10">
              <w:rPr>
                <w:b/>
                <w:bCs/>
                <w:sz w:val="18"/>
                <w:szCs w:val="18"/>
                <w:vertAlign w:val="superscript"/>
              </w:rPr>
              <w:t xml:space="preserve"> 1)</w:t>
            </w:r>
          </w:p>
        </w:tc>
        <w:tc>
          <w:tcPr>
            <w:tcW w:w="445" w:type="pct"/>
            <w:vAlign w:val="center"/>
          </w:tcPr>
          <w:p w14:paraId="1487F6AD" w14:textId="77777777" w:rsidR="00DC5685" w:rsidRPr="00A34F10" w:rsidRDefault="00DC5685" w:rsidP="00DC5685">
            <w:pPr>
              <w:widowControl w:val="0"/>
              <w:suppressAutoHyphens/>
              <w:jc w:val="left"/>
              <w:rPr>
                <w:b/>
                <w:bCs/>
                <w:sz w:val="18"/>
                <w:szCs w:val="18"/>
              </w:rPr>
            </w:pPr>
            <w:r w:rsidRPr="00A34F10">
              <w:rPr>
                <w:b/>
                <w:bCs/>
                <w:sz w:val="18"/>
                <w:szCs w:val="18"/>
              </w:rPr>
              <w:t>absolute</w:t>
            </w:r>
          </w:p>
        </w:tc>
        <w:tc>
          <w:tcPr>
            <w:tcW w:w="371" w:type="pct"/>
            <w:vAlign w:val="center"/>
          </w:tcPr>
          <w:p w14:paraId="3F0F17A6" w14:textId="77777777" w:rsidR="00DC5685" w:rsidRPr="00A34F10" w:rsidRDefault="00DC5685" w:rsidP="00DC5685">
            <w:pPr>
              <w:widowControl w:val="0"/>
              <w:suppressAutoHyphens/>
              <w:jc w:val="left"/>
              <w:rPr>
                <w:b/>
                <w:bCs/>
                <w:sz w:val="18"/>
                <w:szCs w:val="18"/>
              </w:rPr>
            </w:pPr>
            <w:r w:rsidRPr="00A34F10">
              <w:rPr>
                <w:b/>
                <w:bCs/>
                <w:sz w:val="18"/>
                <w:szCs w:val="18"/>
              </w:rPr>
              <w:t>corrected</w:t>
            </w:r>
            <w:r w:rsidRPr="00A34F10">
              <w:rPr>
                <w:b/>
                <w:bCs/>
                <w:sz w:val="18"/>
                <w:szCs w:val="18"/>
                <w:vertAlign w:val="superscript"/>
              </w:rPr>
              <w:t xml:space="preserve"> 1)</w:t>
            </w:r>
          </w:p>
        </w:tc>
        <w:tc>
          <w:tcPr>
            <w:tcW w:w="422" w:type="pct"/>
            <w:vMerge/>
            <w:vAlign w:val="center"/>
          </w:tcPr>
          <w:p w14:paraId="410B1C1D" w14:textId="77777777" w:rsidR="00DC5685" w:rsidRPr="00A34F10" w:rsidRDefault="00DC5685" w:rsidP="00DC5685">
            <w:pPr>
              <w:widowControl w:val="0"/>
              <w:suppressAutoHyphens/>
              <w:jc w:val="left"/>
              <w:rPr>
                <w:b/>
                <w:bCs/>
                <w:sz w:val="18"/>
                <w:szCs w:val="18"/>
              </w:rPr>
            </w:pPr>
          </w:p>
        </w:tc>
      </w:tr>
      <w:tr w:rsidR="00DC5685" w:rsidRPr="00A34F10" w14:paraId="23A86AD2" w14:textId="77777777" w:rsidTr="000470C3">
        <w:trPr>
          <w:trHeight w:val="283"/>
        </w:trPr>
        <w:tc>
          <w:tcPr>
            <w:tcW w:w="725" w:type="pct"/>
            <w:vAlign w:val="center"/>
          </w:tcPr>
          <w:p w14:paraId="2553EFC2" w14:textId="77777777" w:rsidR="00DC5685" w:rsidRPr="00A34F10" w:rsidRDefault="00DC5685" w:rsidP="00DC5685">
            <w:pPr>
              <w:widowControl w:val="0"/>
              <w:suppressAutoHyphens/>
              <w:jc w:val="left"/>
              <w:rPr>
                <w:b/>
                <w:bCs/>
                <w:sz w:val="18"/>
                <w:szCs w:val="18"/>
              </w:rPr>
            </w:pPr>
            <w:r w:rsidRPr="00A34F10">
              <w:rPr>
                <w:b/>
                <w:bCs/>
                <w:sz w:val="18"/>
                <w:szCs w:val="18"/>
              </w:rPr>
              <w:t>Control</w:t>
            </w:r>
          </w:p>
        </w:tc>
        <w:tc>
          <w:tcPr>
            <w:tcW w:w="445" w:type="pct"/>
            <w:vAlign w:val="center"/>
          </w:tcPr>
          <w:p w14:paraId="2021B02F" w14:textId="77777777" w:rsidR="00DC5685" w:rsidRPr="00A34F10" w:rsidRDefault="00DC5685" w:rsidP="00DC5685">
            <w:pPr>
              <w:widowControl w:val="0"/>
              <w:suppressAutoHyphens/>
              <w:jc w:val="left"/>
              <w:rPr>
                <w:b/>
                <w:bCs/>
                <w:sz w:val="18"/>
                <w:szCs w:val="18"/>
              </w:rPr>
            </w:pPr>
            <w:r w:rsidRPr="00A34F10">
              <w:rPr>
                <w:b/>
                <w:bCs/>
                <w:sz w:val="18"/>
                <w:szCs w:val="18"/>
              </w:rPr>
              <w:t>--</w:t>
            </w:r>
          </w:p>
        </w:tc>
        <w:tc>
          <w:tcPr>
            <w:tcW w:w="516" w:type="pct"/>
            <w:vAlign w:val="center"/>
          </w:tcPr>
          <w:p w14:paraId="4770B239" w14:textId="77777777" w:rsidR="00DC5685" w:rsidRPr="00A34F10" w:rsidRDefault="00DC5685" w:rsidP="00DC5685">
            <w:pPr>
              <w:widowControl w:val="0"/>
              <w:suppressAutoHyphens/>
              <w:jc w:val="left"/>
              <w:rPr>
                <w:b/>
                <w:bCs/>
                <w:sz w:val="18"/>
                <w:szCs w:val="18"/>
              </w:rPr>
            </w:pPr>
            <w:r w:rsidRPr="00A34F10">
              <w:rPr>
                <w:b/>
                <w:bCs/>
                <w:sz w:val="18"/>
                <w:szCs w:val="18"/>
              </w:rPr>
              <w:t>--</w:t>
            </w:r>
          </w:p>
        </w:tc>
        <w:tc>
          <w:tcPr>
            <w:tcW w:w="371" w:type="pct"/>
            <w:vAlign w:val="center"/>
          </w:tcPr>
          <w:p w14:paraId="4972028F" w14:textId="77777777" w:rsidR="00DC5685" w:rsidRPr="00A34F10" w:rsidRDefault="00DC5685" w:rsidP="00DC5685">
            <w:pPr>
              <w:widowControl w:val="0"/>
              <w:suppressAutoHyphens/>
              <w:jc w:val="left"/>
              <w:rPr>
                <w:bCs/>
                <w:sz w:val="18"/>
                <w:szCs w:val="18"/>
              </w:rPr>
            </w:pPr>
            <w:r w:rsidRPr="00A34F10">
              <w:rPr>
                <w:bCs/>
                <w:sz w:val="18"/>
                <w:szCs w:val="18"/>
              </w:rPr>
              <w:t>8.3</w:t>
            </w:r>
          </w:p>
        </w:tc>
        <w:tc>
          <w:tcPr>
            <w:tcW w:w="518" w:type="pct"/>
            <w:vAlign w:val="center"/>
          </w:tcPr>
          <w:p w14:paraId="35D8F739" w14:textId="77777777" w:rsidR="00DC5685" w:rsidRPr="00A34F10" w:rsidRDefault="00DC5685" w:rsidP="00DC5685">
            <w:pPr>
              <w:widowControl w:val="0"/>
              <w:suppressAutoHyphens/>
              <w:jc w:val="left"/>
              <w:rPr>
                <w:bCs/>
                <w:sz w:val="18"/>
                <w:szCs w:val="18"/>
              </w:rPr>
            </w:pPr>
            <w:r w:rsidRPr="00A34F10">
              <w:rPr>
                <w:bCs/>
                <w:sz w:val="18"/>
                <w:szCs w:val="18"/>
              </w:rPr>
              <w:t>--</w:t>
            </w:r>
          </w:p>
        </w:tc>
        <w:tc>
          <w:tcPr>
            <w:tcW w:w="371" w:type="pct"/>
            <w:vAlign w:val="center"/>
          </w:tcPr>
          <w:p w14:paraId="5F91264A"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5E76C3E4" w14:textId="77777777" w:rsidR="00DC5685" w:rsidRPr="00A34F10" w:rsidRDefault="00DC5685" w:rsidP="00DC5685">
            <w:pPr>
              <w:widowControl w:val="0"/>
              <w:suppressAutoHyphens/>
              <w:jc w:val="left"/>
              <w:rPr>
                <w:bCs/>
                <w:sz w:val="18"/>
                <w:szCs w:val="18"/>
              </w:rPr>
            </w:pPr>
            <w:r w:rsidRPr="00A34F10">
              <w:rPr>
                <w:bCs/>
                <w:sz w:val="18"/>
                <w:szCs w:val="18"/>
              </w:rPr>
              <w:t>12.1</w:t>
            </w:r>
          </w:p>
        </w:tc>
        <w:tc>
          <w:tcPr>
            <w:tcW w:w="446" w:type="pct"/>
            <w:vAlign w:val="center"/>
          </w:tcPr>
          <w:p w14:paraId="0D45E7F5" w14:textId="77777777" w:rsidR="00DC5685" w:rsidRPr="00A34F10" w:rsidRDefault="00DC5685" w:rsidP="00DC5685">
            <w:pPr>
              <w:widowControl w:val="0"/>
              <w:suppressAutoHyphens/>
              <w:jc w:val="left"/>
              <w:rPr>
                <w:bCs/>
                <w:sz w:val="18"/>
                <w:szCs w:val="18"/>
              </w:rPr>
            </w:pPr>
            <w:r w:rsidRPr="00A34F10">
              <w:rPr>
                <w:bCs/>
                <w:sz w:val="18"/>
                <w:szCs w:val="18"/>
              </w:rPr>
              <w:t>--</w:t>
            </w:r>
          </w:p>
        </w:tc>
        <w:tc>
          <w:tcPr>
            <w:tcW w:w="445" w:type="pct"/>
            <w:vAlign w:val="center"/>
          </w:tcPr>
          <w:p w14:paraId="4DE06B95" w14:textId="77777777" w:rsidR="00DC5685" w:rsidRPr="00A34F10" w:rsidRDefault="00DC5685" w:rsidP="00DC5685">
            <w:pPr>
              <w:widowControl w:val="0"/>
              <w:suppressAutoHyphens/>
              <w:jc w:val="left"/>
              <w:rPr>
                <w:bCs/>
                <w:sz w:val="18"/>
                <w:szCs w:val="18"/>
              </w:rPr>
            </w:pPr>
            <w:r w:rsidRPr="00A34F10">
              <w:rPr>
                <w:bCs/>
                <w:sz w:val="18"/>
                <w:szCs w:val="18"/>
              </w:rPr>
              <w:t>19.4</w:t>
            </w:r>
          </w:p>
        </w:tc>
        <w:tc>
          <w:tcPr>
            <w:tcW w:w="371" w:type="pct"/>
            <w:vAlign w:val="center"/>
          </w:tcPr>
          <w:p w14:paraId="358C1B35" w14:textId="77777777" w:rsidR="00DC5685" w:rsidRPr="00A34F10" w:rsidRDefault="00DC5685" w:rsidP="00DC5685">
            <w:pPr>
              <w:widowControl w:val="0"/>
              <w:suppressAutoHyphens/>
              <w:jc w:val="left"/>
              <w:rPr>
                <w:bCs/>
                <w:sz w:val="18"/>
                <w:szCs w:val="18"/>
              </w:rPr>
            </w:pPr>
            <w:r w:rsidRPr="00A34F10">
              <w:rPr>
                <w:bCs/>
                <w:sz w:val="18"/>
                <w:szCs w:val="18"/>
              </w:rPr>
              <w:t>--</w:t>
            </w:r>
          </w:p>
        </w:tc>
        <w:tc>
          <w:tcPr>
            <w:tcW w:w="422" w:type="pct"/>
            <w:vAlign w:val="center"/>
          </w:tcPr>
          <w:p w14:paraId="5AFC7F31" w14:textId="77777777" w:rsidR="00DC5685" w:rsidRPr="00A34F10" w:rsidRDefault="00DC5685" w:rsidP="00DC5685">
            <w:pPr>
              <w:widowControl w:val="0"/>
              <w:suppressAutoHyphens/>
              <w:jc w:val="left"/>
              <w:rPr>
                <w:bCs/>
                <w:sz w:val="18"/>
                <w:szCs w:val="18"/>
              </w:rPr>
            </w:pPr>
            <w:r w:rsidRPr="00A34F10">
              <w:rPr>
                <w:bCs/>
                <w:sz w:val="18"/>
                <w:szCs w:val="18"/>
              </w:rPr>
              <w:t>80.6</w:t>
            </w:r>
          </w:p>
        </w:tc>
      </w:tr>
      <w:tr w:rsidR="00DC5685" w:rsidRPr="00A34F10" w14:paraId="0502E178" w14:textId="77777777" w:rsidTr="000470C3">
        <w:trPr>
          <w:trHeight w:val="283"/>
        </w:trPr>
        <w:tc>
          <w:tcPr>
            <w:tcW w:w="725" w:type="pct"/>
            <w:vMerge w:val="restart"/>
            <w:vAlign w:val="center"/>
          </w:tcPr>
          <w:p w14:paraId="0F16C2F9" w14:textId="77777777" w:rsidR="00DC5685" w:rsidRPr="00A34F10" w:rsidRDefault="00DC5685" w:rsidP="00DC5685">
            <w:pPr>
              <w:widowControl w:val="0"/>
              <w:suppressAutoHyphens/>
              <w:jc w:val="left"/>
              <w:rPr>
                <w:b/>
                <w:bCs/>
                <w:sz w:val="18"/>
                <w:szCs w:val="18"/>
              </w:rPr>
            </w:pPr>
            <w:r w:rsidRPr="00A34F10">
              <w:rPr>
                <w:b/>
                <w:bCs/>
                <w:sz w:val="18"/>
                <w:szCs w:val="18"/>
              </w:rPr>
              <w:t>BAS 650 00 F</w:t>
            </w:r>
          </w:p>
        </w:tc>
        <w:tc>
          <w:tcPr>
            <w:tcW w:w="445" w:type="pct"/>
            <w:vAlign w:val="center"/>
          </w:tcPr>
          <w:p w14:paraId="77428546" w14:textId="77777777" w:rsidR="00DC5685" w:rsidRPr="00A34F10" w:rsidRDefault="00DC5685" w:rsidP="00DC5685">
            <w:pPr>
              <w:widowControl w:val="0"/>
              <w:suppressAutoHyphens/>
              <w:jc w:val="left"/>
              <w:rPr>
                <w:sz w:val="18"/>
                <w:szCs w:val="18"/>
              </w:rPr>
            </w:pPr>
            <w:r w:rsidRPr="00A34F10">
              <w:rPr>
                <w:sz w:val="18"/>
                <w:szCs w:val="18"/>
              </w:rPr>
              <w:t>37.1</w:t>
            </w:r>
          </w:p>
        </w:tc>
        <w:tc>
          <w:tcPr>
            <w:tcW w:w="516" w:type="pct"/>
            <w:vAlign w:val="center"/>
          </w:tcPr>
          <w:p w14:paraId="4DFFBED2" w14:textId="77777777" w:rsidR="00DC5685" w:rsidRPr="00A34F10" w:rsidRDefault="00DC5685" w:rsidP="00DC5685">
            <w:pPr>
              <w:widowControl w:val="0"/>
              <w:suppressAutoHyphens/>
              <w:jc w:val="left"/>
              <w:rPr>
                <w:sz w:val="18"/>
                <w:szCs w:val="18"/>
              </w:rPr>
            </w:pPr>
            <w:r w:rsidRPr="00A34F10">
              <w:rPr>
                <w:sz w:val="18"/>
                <w:szCs w:val="18"/>
              </w:rPr>
              <w:t>241</w:t>
            </w:r>
          </w:p>
        </w:tc>
        <w:tc>
          <w:tcPr>
            <w:tcW w:w="371" w:type="pct"/>
            <w:vAlign w:val="center"/>
          </w:tcPr>
          <w:p w14:paraId="674869CF" w14:textId="77777777" w:rsidR="00DC5685" w:rsidRPr="00A34F10" w:rsidRDefault="00DC5685" w:rsidP="00DC5685">
            <w:pPr>
              <w:widowControl w:val="0"/>
              <w:suppressAutoHyphens/>
              <w:jc w:val="left"/>
              <w:rPr>
                <w:bCs/>
                <w:sz w:val="18"/>
                <w:szCs w:val="18"/>
              </w:rPr>
            </w:pPr>
            <w:r w:rsidRPr="00A34F10">
              <w:rPr>
                <w:bCs/>
                <w:sz w:val="18"/>
                <w:szCs w:val="18"/>
              </w:rPr>
              <w:t>2.8</w:t>
            </w:r>
          </w:p>
        </w:tc>
        <w:tc>
          <w:tcPr>
            <w:tcW w:w="518" w:type="pct"/>
            <w:vAlign w:val="center"/>
          </w:tcPr>
          <w:p w14:paraId="60101D23"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1" w:type="pct"/>
            <w:vAlign w:val="center"/>
          </w:tcPr>
          <w:p w14:paraId="653AB9FB"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18FDAC1A" w14:textId="77777777" w:rsidR="00DC5685" w:rsidRPr="00A34F10" w:rsidRDefault="00DC5685" w:rsidP="00DC5685">
            <w:pPr>
              <w:widowControl w:val="0"/>
              <w:suppressAutoHyphens/>
              <w:jc w:val="left"/>
              <w:rPr>
                <w:bCs/>
                <w:sz w:val="18"/>
                <w:szCs w:val="18"/>
              </w:rPr>
            </w:pPr>
            <w:r w:rsidRPr="00A34F10">
              <w:rPr>
                <w:bCs/>
                <w:sz w:val="18"/>
                <w:szCs w:val="18"/>
              </w:rPr>
              <w:t>31.4</w:t>
            </w:r>
          </w:p>
        </w:tc>
        <w:tc>
          <w:tcPr>
            <w:tcW w:w="446" w:type="pct"/>
            <w:vAlign w:val="center"/>
          </w:tcPr>
          <w:p w14:paraId="56C013B9" w14:textId="77777777" w:rsidR="00DC5685" w:rsidRPr="00A34F10" w:rsidRDefault="00DC5685" w:rsidP="00DC5685">
            <w:pPr>
              <w:widowControl w:val="0"/>
              <w:suppressAutoHyphens/>
              <w:jc w:val="left"/>
              <w:rPr>
                <w:bCs/>
                <w:sz w:val="18"/>
                <w:szCs w:val="18"/>
              </w:rPr>
            </w:pPr>
            <w:r w:rsidRPr="00A34F10">
              <w:rPr>
                <w:bCs/>
                <w:sz w:val="18"/>
                <w:szCs w:val="18"/>
              </w:rPr>
              <w:t>22.0</w:t>
            </w:r>
          </w:p>
        </w:tc>
        <w:tc>
          <w:tcPr>
            <w:tcW w:w="445" w:type="pct"/>
            <w:vAlign w:val="center"/>
          </w:tcPr>
          <w:p w14:paraId="21C1757A" w14:textId="77777777" w:rsidR="00DC5685" w:rsidRPr="00A34F10" w:rsidRDefault="00DC5685" w:rsidP="00DC5685">
            <w:pPr>
              <w:widowControl w:val="0"/>
              <w:suppressAutoHyphens/>
              <w:jc w:val="left"/>
              <w:rPr>
                <w:bCs/>
                <w:sz w:val="18"/>
                <w:szCs w:val="18"/>
              </w:rPr>
            </w:pPr>
            <w:r w:rsidRPr="00A34F10">
              <w:rPr>
                <w:bCs/>
                <w:sz w:val="18"/>
                <w:szCs w:val="18"/>
              </w:rPr>
              <w:t>33.3</w:t>
            </w:r>
          </w:p>
        </w:tc>
        <w:tc>
          <w:tcPr>
            <w:tcW w:w="371" w:type="pct"/>
            <w:vAlign w:val="center"/>
          </w:tcPr>
          <w:p w14:paraId="15C497EC" w14:textId="77777777" w:rsidR="00DC5685" w:rsidRPr="00A34F10" w:rsidRDefault="00DC5685" w:rsidP="00DC5685">
            <w:pPr>
              <w:widowControl w:val="0"/>
              <w:suppressAutoHyphens/>
              <w:jc w:val="left"/>
              <w:rPr>
                <w:bCs/>
                <w:sz w:val="18"/>
                <w:szCs w:val="18"/>
              </w:rPr>
            </w:pPr>
            <w:r w:rsidRPr="00A34F10">
              <w:rPr>
                <w:bCs/>
                <w:sz w:val="18"/>
                <w:szCs w:val="18"/>
              </w:rPr>
              <w:t>17.2</w:t>
            </w:r>
          </w:p>
        </w:tc>
        <w:tc>
          <w:tcPr>
            <w:tcW w:w="422" w:type="pct"/>
            <w:vAlign w:val="center"/>
          </w:tcPr>
          <w:p w14:paraId="320500F7" w14:textId="77777777" w:rsidR="00DC5685" w:rsidRPr="00A34F10" w:rsidRDefault="00DC5685" w:rsidP="00DC5685">
            <w:pPr>
              <w:widowControl w:val="0"/>
              <w:suppressAutoHyphens/>
              <w:jc w:val="left"/>
              <w:rPr>
                <w:bCs/>
                <w:sz w:val="18"/>
                <w:szCs w:val="18"/>
              </w:rPr>
            </w:pPr>
            <w:r w:rsidRPr="00A34F10">
              <w:rPr>
                <w:bCs/>
                <w:sz w:val="18"/>
                <w:szCs w:val="18"/>
              </w:rPr>
              <w:t>66.7</w:t>
            </w:r>
          </w:p>
        </w:tc>
      </w:tr>
      <w:tr w:rsidR="00DC5685" w:rsidRPr="00A34F10" w14:paraId="12284F23" w14:textId="77777777" w:rsidTr="000470C3">
        <w:trPr>
          <w:trHeight w:val="283"/>
        </w:trPr>
        <w:tc>
          <w:tcPr>
            <w:tcW w:w="725" w:type="pct"/>
            <w:vMerge/>
            <w:vAlign w:val="center"/>
          </w:tcPr>
          <w:p w14:paraId="5A9074FC" w14:textId="77777777" w:rsidR="00DC5685" w:rsidRPr="00A34F10" w:rsidRDefault="00DC5685" w:rsidP="00DC5685">
            <w:pPr>
              <w:widowControl w:val="0"/>
              <w:suppressAutoHyphens/>
              <w:jc w:val="left"/>
              <w:rPr>
                <w:bCs/>
                <w:sz w:val="18"/>
                <w:szCs w:val="18"/>
              </w:rPr>
            </w:pPr>
          </w:p>
        </w:tc>
        <w:tc>
          <w:tcPr>
            <w:tcW w:w="445" w:type="pct"/>
            <w:vAlign w:val="center"/>
          </w:tcPr>
          <w:p w14:paraId="72E4D0D1" w14:textId="77777777" w:rsidR="00DC5685" w:rsidRPr="00A34F10" w:rsidRDefault="00DC5685" w:rsidP="00DC5685">
            <w:pPr>
              <w:widowControl w:val="0"/>
              <w:suppressAutoHyphens/>
              <w:jc w:val="left"/>
              <w:rPr>
                <w:sz w:val="18"/>
                <w:szCs w:val="18"/>
              </w:rPr>
            </w:pPr>
            <w:r w:rsidRPr="00A34F10">
              <w:rPr>
                <w:sz w:val="18"/>
                <w:szCs w:val="18"/>
              </w:rPr>
              <w:t>92.6</w:t>
            </w:r>
          </w:p>
        </w:tc>
        <w:tc>
          <w:tcPr>
            <w:tcW w:w="516" w:type="pct"/>
            <w:vAlign w:val="center"/>
          </w:tcPr>
          <w:p w14:paraId="4F2BE9FF" w14:textId="77777777" w:rsidR="00DC5685" w:rsidRPr="00A34F10" w:rsidRDefault="00DC5685" w:rsidP="00DC5685">
            <w:pPr>
              <w:widowControl w:val="0"/>
              <w:suppressAutoHyphens/>
              <w:jc w:val="left"/>
              <w:rPr>
                <w:sz w:val="18"/>
                <w:szCs w:val="18"/>
              </w:rPr>
            </w:pPr>
            <w:r w:rsidRPr="00A34F10">
              <w:rPr>
                <w:sz w:val="18"/>
                <w:szCs w:val="18"/>
              </w:rPr>
              <w:t>602</w:t>
            </w:r>
          </w:p>
        </w:tc>
        <w:tc>
          <w:tcPr>
            <w:tcW w:w="371" w:type="pct"/>
            <w:vAlign w:val="center"/>
          </w:tcPr>
          <w:p w14:paraId="62BCB014"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518" w:type="pct"/>
            <w:vAlign w:val="center"/>
          </w:tcPr>
          <w:p w14:paraId="7BBBE44D"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1" w:type="pct"/>
            <w:vAlign w:val="center"/>
          </w:tcPr>
          <w:p w14:paraId="72325388"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0FBB8876" w14:textId="77777777" w:rsidR="00DC5685" w:rsidRPr="00A34F10" w:rsidRDefault="00DC5685" w:rsidP="00DC5685">
            <w:pPr>
              <w:widowControl w:val="0"/>
              <w:suppressAutoHyphens/>
              <w:jc w:val="left"/>
              <w:rPr>
                <w:bCs/>
                <w:sz w:val="18"/>
                <w:szCs w:val="18"/>
              </w:rPr>
            </w:pPr>
            <w:r w:rsidRPr="00A34F10">
              <w:rPr>
                <w:bCs/>
                <w:sz w:val="18"/>
                <w:szCs w:val="18"/>
              </w:rPr>
              <w:t>61.1</w:t>
            </w:r>
          </w:p>
        </w:tc>
        <w:tc>
          <w:tcPr>
            <w:tcW w:w="446" w:type="pct"/>
            <w:vAlign w:val="center"/>
          </w:tcPr>
          <w:p w14:paraId="286EDAAE" w14:textId="77777777" w:rsidR="00DC5685" w:rsidRPr="00A34F10" w:rsidRDefault="00DC5685" w:rsidP="00DC5685">
            <w:pPr>
              <w:widowControl w:val="0"/>
              <w:suppressAutoHyphens/>
              <w:jc w:val="left"/>
              <w:rPr>
                <w:bCs/>
                <w:sz w:val="18"/>
                <w:szCs w:val="18"/>
              </w:rPr>
            </w:pPr>
            <w:r w:rsidRPr="00A34F10">
              <w:rPr>
                <w:bCs/>
                <w:sz w:val="18"/>
                <w:szCs w:val="18"/>
              </w:rPr>
              <w:t>55.7</w:t>
            </w:r>
          </w:p>
        </w:tc>
        <w:tc>
          <w:tcPr>
            <w:tcW w:w="445" w:type="pct"/>
            <w:vAlign w:val="center"/>
          </w:tcPr>
          <w:p w14:paraId="3FC80773" w14:textId="77777777" w:rsidR="00DC5685" w:rsidRPr="00A34F10" w:rsidRDefault="00DC5685" w:rsidP="00DC5685">
            <w:pPr>
              <w:widowControl w:val="0"/>
              <w:suppressAutoHyphens/>
              <w:jc w:val="left"/>
              <w:rPr>
                <w:bCs/>
                <w:sz w:val="18"/>
                <w:szCs w:val="18"/>
              </w:rPr>
            </w:pPr>
            <w:r w:rsidRPr="00A34F10">
              <w:rPr>
                <w:bCs/>
                <w:sz w:val="18"/>
                <w:szCs w:val="18"/>
              </w:rPr>
              <w:t>61.1</w:t>
            </w:r>
          </w:p>
        </w:tc>
        <w:tc>
          <w:tcPr>
            <w:tcW w:w="371" w:type="pct"/>
            <w:vAlign w:val="center"/>
          </w:tcPr>
          <w:p w14:paraId="77D29021" w14:textId="77777777" w:rsidR="00DC5685" w:rsidRPr="00A34F10" w:rsidRDefault="00DC5685" w:rsidP="00DC5685">
            <w:pPr>
              <w:widowControl w:val="0"/>
              <w:suppressAutoHyphens/>
              <w:jc w:val="left"/>
              <w:rPr>
                <w:bCs/>
                <w:sz w:val="18"/>
                <w:szCs w:val="18"/>
              </w:rPr>
            </w:pPr>
            <w:r w:rsidRPr="00A34F10">
              <w:rPr>
                <w:bCs/>
                <w:sz w:val="18"/>
                <w:szCs w:val="18"/>
              </w:rPr>
              <w:t>51.7</w:t>
            </w:r>
          </w:p>
        </w:tc>
        <w:tc>
          <w:tcPr>
            <w:tcW w:w="422" w:type="pct"/>
            <w:vAlign w:val="center"/>
          </w:tcPr>
          <w:p w14:paraId="63F03B85" w14:textId="77777777" w:rsidR="00DC5685" w:rsidRPr="00A34F10" w:rsidRDefault="00DC5685" w:rsidP="00DC5685">
            <w:pPr>
              <w:widowControl w:val="0"/>
              <w:suppressAutoHyphens/>
              <w:jc w:val="left"/>
              <w:rPr>
                <w:bCs/>
                <w:sz w:val="18"/>
                <w:szCs w:val="18"/>
              </w:rPr>
            </w:pPr>
            <w:r w:rsidRPr="00A34F10">
              <w:rPr>
                <w:bCs/>
                <w:sz w:val="18"/>
                <w:szCs w:val="18"/>
              </w:rPr>
              <w:t>38.9</w:t>
            </w:r>
            <w:r w:rsidRPr="00A34F10">
              <w:rPr>
                <w:bCs/>
                <w:sz w:val="18"/>
                <w:szCs w:val="18"/>
                <w:vertAlign w:val="superscript"/>
              </w:rPr>
              <w:t xml:space="preserve"> *</w:t>
            </w:r>
          </w:p>
        </w:tc>
      </w:tr>
      <w:tr w:rsidR="00DC5685" w:rsidRPr="00A34F10" w14:paraId="2FCC6883" w14:textId="77777777" w:rsidTr="000470C3">
        <w:trPr>
          <w:trHeight w:val="283"/>
        </w:trPr>
        <w:tc>
          <w:tcPr>
            <w:tcW w:w="725" w:type="pct"/>
            <w:vMerge/>
            <w:vAlign w:val="center"/>
          </w:tcPr>
          <w:p w14:paraId="2F70A1D2" w14:textId="77777777" w:rsidR="00DC5685" w:rsidRPr="00A34F10" w:rsidRDefault="00DC5685" w:rsidP="00DC5685">
            <w:pPr>
              <w:widowControl w:val="0"/>
              <w:suppressAutoHyphens/>
              <w:jc w:val="left"/>
              <w:rPr>
                <w:bCs/>
                <w:sz w:val="18"/>
                <w:szCs w:val="18"/>
              </w:rPr>
            </w:pPr>
          </w:p>
        </w:tc>
        <w:tc>
          <w:tcPr>
            <w:tcW w:w="445" w:type="pct"/>
            <w:vAlign w:val="center"/>
          </w:tcPr>
          <w:p w14:paraId="0EFCC04C" w14:textId="77777777" w:rsidR="00DC5685" w:rsidRPr="00A34F10" w:rsidRDefault="00DC5685" w:rsidP="00DC5685">
            <w:pPr>
              <w:widowControl w:val="0"/>
              <w:suppressAutoHyphens/>
              <w:jc w:val="left"/>
              <w:rPr>
                <w:sz w:val="18"/>
                <w:szCs w:val="18"/>
              </w:rPr>
            </w:pPr>
            <w:r w:rsidRPr="00A34F10">
              <w:rPr>
                <w:sz w:val="18"/>
                <w:szCs w:val="18"/>
              </w:rPr>
              <w:t>231.6</w:t>
            </w:r>
          </w:p>
        </w:tc>
        <w:tc>
          <w:tcPr>
            <w:tcW w:w="516" w:type="pct"/>
            <w:vAlign w:val="center"/>
          </w:tcPr>
          <w:p w14:paraId="1169D045" w14:textId="77777777" w:rsidR="00DC5685" w:rsidRPr="00A34F10" w:rsidRDefault="00DC5685" w:rsidP="00DC5685">
            <w:pPr>
              <w:widowControl w:val="0"/>
              <w:suppressAutoHyphens/>
              <w:jc w:val="left"/>
              <w:rPr>
                <w:sz w:val="18"/>
                <w:szCs w:val="18"/>
              </w:rPr>
            </w:pPr>
            <w:r w:rsidRPr="00A34F10">
              <w:rPr>
                <w:sz w:val="18"/>
                <w:szCs w:val="18"/>
              </w:rPr>
              <w:t>1504</w:t>
            </w:r>
          </w:p>
        </w:tc>
        <w:tc>
          <w:tcPr>
            <w:tcW w:w="371" w:type="pct"/>
            <w:vAlign w:val="center"/>
          </w:tcPr>
          <w:p w14:paraId="2367A46F" w14:textId="77777777" w:rsidR="00DC5685" w:rsidRPr="00A34F10" w:rsidRDefault="00DC5685" w:rsidP="00DC5685">
            <w:pPr>
              <w:widowControl w:val="0"/>
              <w:suppressAutoHyphens/>
              <w:jc w:val="left"/>
              <w:rPr>
                <w:bCs/>
                <w:sz w:val="18"/>
                <w:szCs w:val="18"/>
              </w:rPr>
            </w:pPr>
            <w:r w:rsidRPr="00A34F10">
              <w:rPr>
                <w:bCs/>
                <w:sz w:val="18"/>
                <w:szCs w:val="18"/>
              </w:rPr>
              <w:t>8.3</w:t>
            </w:r>
          </w:p>
        </w:tc>
        <w:tc>
          <w:tcPr>
            <w:tcW w:w="518" w:type="pct"/>
            <w:vAlign w:val="center"/>
          </w:tcPr>
          <w:p w14:paraId="5A1C0718"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1" w:type="pct"/>
            <w:vAlign w:val="center"/>
          </w:tcPr>
          <w:p w14:paraId="00491C95"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0FDA3315" w14:textId="77777777" w:rsidR="00DC5685" w:rsidRPr="00A34F10" w:rsidRDefault="00DC5685" w:rsidP="00DC5685">
            <w:pPr>
              <w:widowControl w:val="0"/>
              <w:suppressAutoHyphens/>
              <w:jc w:val="left"/>
              <w:rPr>
                <w:bCs/>
                <w:sz w:val="18"/>
                <w:szCs w:val="18"/>
              </w:rPr>
            </w:pPr>
            <w:r w:rsidRPr="00A34F10">
              <w:rPr>
                <w:bCs/>
                <w:sz w:val="18"/>
                <w:szCs w:val="18"/>
              </w:rPr>
              <w:t>72.7</w:t>
            </w:r>
          </w:p>
        </w:tc>
        <w:tc>
          <w:tcPr>
            <w:tcW w:w="446" w:type="pct"/>
            <w:vAlign w:val="center"/>
          </w:tcPr>
          <w:p w14:paraId="40E673E3" w14:textId="77777777" w:rsidR="00DC5685" w:rsidRPr="00A34F10" w:rsidRDefault="00DC5685" w:rsidP="00DC5685">
            <w:pPr>
              <w:widowControl w:val="0"/>
              <w:suppressAutoHyphens/>
              <w:jc w:val="left"/>
              <w:rPr>
                <w:bCs/>
                <w:sz w:val="18"/>
                <w:szCs w:val="18"/>
              </w:rPr>
            </w:pPr>
            <w:r w:rsidRPr="00A34F10">
              <w:rPr>
                <w:bCs/>
                <w:sz w:val="18"/>
                <w:szCs w:val="18"/>
              </w:rPr>
              <w:t>69.0</w:t>
            </w:r>
          </w:p>
        </w:tc>
        <w:tc>
          <w:tcPr>
            <w:tcW w:w="445" w:type="pct"/>
            <w:vAlign w:val="center"/>
          </w:tcPr>
          <w:p w14:paraId="63F8A9B4" w14:textId="77777777" w:rsidR="00DC5685" w:rsidRPr="00A34F10" w:rsidRDefault="00DC5685" w:rsidP="00DC5685">
            <w:pPr>
              <w:widowControl w:val="0"/>
              <w:suppressAutoHyphens/>
              <w:jc w:val="left"/>
              <w:rPr>
                <w:bCs/>
                <w:sz w:val="18"/>
                <w:szCs w:val="18"/>
              </w:rPr>
            </w:pPr>
            <w:r w:rsidRPr="00A34F10">
              <w:rPr>
                <w:bCs/>
                <w:sz w:val="18"/>
                <w:szCs w:val="18"/>
              </w:rPr>
              <w:t>75.0</w:t>
            </w:r>
          </w:p>
        </w:tc>
        <w:tc>
          <w:tcPr>
            <w:tcW w:w="371" w:type="pct"/>
            <w:vAlign w:val="center"/>
          </w:tcPr>
          <w:p w14:paraId="5593536D" w14:textId="77777777" w:rsidR="00DC5685" w:rsidRPr="00A34F10" w:rsidRDefault="00DC5685" w:rsidP="00DC5685">
            <w:pPr>
              <w:widowControl w:val="0"/>
              <w:suppressAutoHyphens/>
              <w:jc w:val="left"/>
              <w:rPr>
                <w:bCs/>
                <w:sz w:val="18"/>
                <w:szCs w:val="18"/>
              </w:rPr>
            </w:pPr>
            <w:r w:rsidRPr="00A34F10">
              <w:rPr>
                <w:bCs/>
                <w:sz w:val="18"/>
                <w:szCs w:val="18"/>
              </w:rPr>
              <w:t>69.0</w:t>
            </w:r>
          </w:p>
        </w:tc>
        <w:tc>
          <w:tcPr>
            <w:tcW w:w="422" w:type="pct"/>
            <w:vAlign w:val="center"/>
          </w:tcPr>
          <w:p w14:paraId="0FF4722A" w14:textId="77777777" w:rsidR="00DC5685" w:rsidRPr="00A34F10" w:rsidRDefault="00DC5685" w:rsidP="00DC5685">
            <w:pPr>
              <w:widowControl w:val="0"/>
              <w:suppressAutoHyphens/>
              <w:jc w:val="left"/>
              <w:rPr>
                <w:bCs/>
                <w:sz w:val="18"/>
                <w:szCs w:val="18"/>
              </w:rPr>
            </w:pPr>
            <w:r w:rsidRPr="00A34F10">
              <w:rPr>
                <w:bCs/>
                <w:sz w:val="18"/>
                <w:szCs w:val="18"/>
              </w:rPr>
              <w:t>25.0</w:t>
            </w:r>
            <w:r w:rsidRPr="00A34F10">
              <w:rPr>
                <w:bCs/>
                <w:sz w:val="18"/>
                <w:szCs w:val="18"/>
                <w:vertAlign w:val="superscript"/>
              </w:rPr>
              <w:t xml:space="preserve"> *</w:t>
            </w:r>
          </w:p>
        </w:tc>
      </w:tr>
      <w:tr w:rsidR="00DC5685" w:rsidRPr="00A34F10" w14:paraId="76549D25" w14:textId="77777777" w:rsidTr="000470C3">
        <w:trPr>
          <w:trHeight w:val="283"/>
        </w:trPr>
        <w:tc>
          <w:tcPr>
            <w:tcW w:w="725" w:type="pct"/>
            <w:vMerge/>
            <w:vAlign w:val="center"/>
          </w:tcPr>
          <w:p w14:paraId="4FD2265B" w14:textId="77777777" w:rsidR="00DC5685" w:rsidRPr="00A34F10" w:rsidRDefault="00DC5685" w:rsidP="00DC5685">
            <w:pPr>
              <w:widowControl w:val="0"/>
              <w:suppressAutoHyphens/>
              <w:jc w:val="left"/>
              <w:rPr>
                <w:bCs/>
                <w:sz w:val="18"/>
                <w:szCs w:val="18"/>
              </w:rPr>
            </w:pPr>
          </w:p>
        </w:tc>
        <w:tc>
          <w:tcPr>
            <w:tcW w:w="445" w:type="pct"/>
            <w:vAlign w:val="center"/>
          </w:tcPr>
          <w:p w14:paraId="4C1656D0" w14:textId="77777777" w:rsidR="00DC5685" w:rsidRPr="00A34F10" w:rsidRDefault="00DC5685" w:rsidP="00DC5685">
            <w:pPr>
              <w:widowControl w:val="0"/>
              <w:suppressAutoHyphens/>
              <w:jc w:val="left"/>
              <w:rPr>
                <w:sz w:val="18"/>
                <w:szCs w:val="18"/>
              </w:rPr>
            </w:pPr>
            <w:r w:rsidRPr="00A34F10">
              <w:rPr>
                <w:sz w:val="18"/>
                <w:szCs w:val="18"/>
              </w:rPr>
              <w:t>579.0</w:t>
            </w:r>
          </w:p>
        </w:tc>
        <w:tc>
          <w:tcPr>
            <w:tcW w:w="516" w:type="pct"/>
            <w:vAlign w:val="center"/>
          </w:tcPr>
          <w:p w14:paraId="100D36AB" w14:textId="77777777" w:rsidR="00DC5685" w:rsidRPr="00A34F10" w:rsidRDefault="00DC5685" w:rsidP="00DC5685">
            <w:pPr>
              <w:widowControl w:val="0"/>
              <w:suppressAutoHyphens/>
              <w:jc w:val="left"/>
              <w:rPr>
                <w:sz w:val="18"/>
                <w:szCs w:val="18"/>
              </w:rPr>
            </w:pPr>
            <w:r w:rsidRPr="00A34F10">
              <w:rPr>
                <w:sz w:val="18"/>
                <w:szCs w:val="18"/>
              </w:rPr>
              <w:t>3760</w:t>
            </w:r>
          </w:p>
        </w:tc>
        <w:tc>
          <w:tcPr>
            <w:tcW w:w="371" w:type="pct"/>
            <w:vAlign w:val="center"/>
          </w:tcPr>
          <w:p w14:paraId="65F6EE13" w14:textId="77777777" w:rsidR="00DC5685" w:rsidRPr="00A34F10" w:rsidRDefault="00DC5685" w:rsidP="00DC5685">
            <w:pPr>
              <w:widowControl w:val="0"/>
              <w:suppressAutoHyphens/>
              <w:jc w:val="left"/>
              <w:rPr>
                <w:bCs/>
                <w:sz w:val="18"/>
                <w:szCs w:val="18"/>
              </w:rPr>
            </w:pPr>
            <w:r w:rsidRPr="00A34F10">
              <w:rPr>
                <w:bCs/>
                <w:sz w:val="18"/>
                <w:szCs w:val="18"/>
              </w:rPr>
              <w:t>25.0</w:t>
            </w:r>
          </w:p>
        </w:tc>
        <w:tc>
          <w:tcPr>
            <w:tcW w:w="518" w:type="pct"/>
            <w:vAlign w:val="center"/>
          </w:tcPr>
          <w:p w14:paraId="4D183255" w14:textId="77777777" w:rsidR="00DC5685" w:rsidRPr="00A34F10" w:rsidRDefault="00DC5685" w:rsidP="00DC5685">
            <w:pPr>
              <w:widowControl w:val="0"/>
              <w:suppressAutoHyphens/>
              <w:jc w:val="left"/>
              <w:rPr>
                <w:bCs/>
                <w:sz w:val="18"/>
                <w:szCs w:val="18"/>
              </w:rPr>
            </w:pPr>
            <w:r w:rsidRPr="00A34F10">
              <w:rPr>
                <w:bCs/>
                <w:sz w:val="18"/>
                <w:szCs w:val="18"/>
              </w:rPr>
              <w:t>18.2</w:t>
            </w:r>
          </w:p>
        </w:tc>
        <w:tc>
          <w:tcPr>
            <w:tcW w:w="371" w:type="pct"/>
            <w:vAlign w:val="center"/>
          </w:tcPr>
          <w:p w14:paraId="344FC225"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72D7C20E" w14:textId="77777777" w:rsidR="00DC5685" w:rsidRPr="00A34F10" w:rsidRDefault="00DC5685" w:rsidP="00DC5685">
            <w:pPr>
              <w:widowControl w:val="0"/>
              <w:suppressAutoHyphens/>
              <w:jc w:val="left"/>
              <w:rPr>
                <w:bCs/>
                <w:sz w:val="18"/>
                <w:szCs w:val="18"/>
              </w:rPr>
            </w:pPr>
            <w:r w:rsidRPr="00A34F10">
              <w:rPr>
                <w:bCs/>
                <w:sz w:val="18"/>
                <w:szCs w:val="18"/>
              </w:rPr>
              <w:t>77.8</w:t>
            </w:r>
          </w:p>
        </w:tc>
        <w:tc>
          <w:tcPr>
            <w:tcW w:w="446" w:type="pct"/>
            <w:vAlign w:val="center"/>
          </w:tcPr>
          <w:p w14:paraId="5A3C9144" w14:textId="77777777" w:rsidR="00DC5685" w:rsidRPr="00A34F10" w:rsidRDefault="00DC5685" w:rsidP="00DC5685">
            <w:pPr>
              <w:widowControl w:val="0"/>
              <w:suppressAutoHyphens/>
              <w:jc w:val="left"/>
              <w:rPr>
                <w:bCs/>
                <w:sz w:val="18"/>
                <w:szCs w:val="18"/>
              </w:rPr>
            </w:pPr>
            <w:r w:rsidRPr="00A34F10">
              <w:rPr>
                <w:bCs/>
                <w:sz w:val="18"/>
                <w:szCs w:val="18"/>
              </w:rPr>
              <w:t>74.7</w:t>
            </w:r>
          </w:p>
        </w:tc>
        <w:tc>
          <w:tcPr>
            <w:tcW w:w="445" w:type="pct"/>
            <w:vAlign w:val="center"/>
          </w:tcPr>
          <w:p w14:paraId="609DB30B" w14:textId="77777777" w:rsidR="00DC5685" w:rsidRPr="00A34F10" w:rsidRDefault="00DC5685" w:rsidP="00DC5685">
            <w:pPr>
              <w:widowControl w:val="0"/>
              <w:suppressAutoHyphens/>
              <w:jc w:val="left"/>
              <w:rPr>
                <w:bCs/>
                <w:sz w:val="18"/>
                <w:szCs w:val="18"/>
              </w:rPr>
            </w:pPr>
            <w:r w:rsidRPr="00A34F10">
              <w:rPr>
                <w:bCs/>
                <w:sz w:val="18"/>
                <w:szCs w:val="18"/>
              </w:rPr>
              <w:t>83.3</w:t>
            </w:r>
          </w:p>
        </w:tc>
        <w:tc>
          <w:tcPr>
            <w:tcW w:w="371" w:type="pct"/>
            <w:vAlign w:val="center"/>
          </w:tcPr>
          <w:p w14:paraId="1CEAA8EE" w14:textId="77777777" w:rsidR="00DC5685" w:rsidRPr="00A34F10" w:rsidRDefault="00DC5685" w:rsidP="00DC5685">
            <w:pPr>
              <w:widowControl w:val="0"/>
              <w:suppressAutoHyphens/>
              <w:jc w:val="left"/>
              <w:rPr>
                <w:bCs/>
                <w:sz w:val="18"/>
                <w:szCs w:val="18"/>
              </w:rPr>
            </w:pPr>
            <w:r w:rsidRPr="00A34F10">
              <w:rPr>
                <w:bCs/>
                <w:sz w:val="18"/>
                <w:szCs w:val="18"/>
              </w:rPr>
              <w:t>79.3</w:t>
            </w:r>
          </w:p>
        </w:tc>
        <w:tc>
          <w:tcPr>
            <w:tcW w:w="422" w:type="pct"/>
            <w:vAlign w:val="center"/>
          </w:tcPr>
          <w:p w14:paraId="715F7691" w14:textId="77777777" w:rsidR="00DC5685" w:rsidRPr="00A34F10" w:rsidRDefault="00DC5685" w:rsidP="00DC5685">
            <w:pPr>
              <w:widowControl w:val="0"/>
              <w:suppressAutoHyphens/>
              <w:jc w:val="left"/>
              <w:rPr>
                <w:bCs/>
                <w:sz w:val="18"/>
                <w:szCs w:val="18"/>
              </w:rPr>
            </w:pPr>
            <w:r w:rsidRPr="00A34F10">
              <w:rPr>
                <w:bCs/>
                <w:sz w:val="18"/>
                <w:szCs w:val="18"/>
              </w:rPr>
              <w:t>16.7</w:t>
            </w:r>
            <w:r w:rsidRPr="00A34F10">
              <w:rPr>
                <w:bCs/>
                <w:sz w:val="18"/>
                <w:szCs w:val="18"/>
                <w:vertAlign w:val="superscript"/>
              </w:rPr>
              <w:t xml:space="preserve"> *</w:t>
            </w:r>
          </w:p>
        </w:tc>
      </w:tr>
      <w:tr w:rsidR="00DC5685" w:rsidRPr="00A34F10" w14:paraId="5DBD760C" w14:textId="77777777" w:rsidTr="000470C3">
        <w:trPr>
          <w:trHeight w:val="283"/>
        </w:trPr>
        <w:tc>
          <w:tcPr>
            <w:tcW w:w="725" w:type="pct"/>
            <w:vMerge/>
            <w:vAlign w:val="center"/>
          </w:tcPr>
          <w:p w14:paraId="271D9A0A" w14:textId="77777777" w:rsidR="00DC5685" w:rsidRPr="00A34F10" w:rsidRDefault="00DC5685" w:rsidP="00DC5685">
            <w:pPr>
              <w:widowControl w:val="0"/>
              <w:suppressAutoHyphens/>
              <w:jc w:val="left"/>
              <w:rPr>
                <w:bCs/>
                <w:sz w:val="18"/>
                <w:szCs w:val="18"/>
              </w:rPr>
            </w:pPr>
          </w:p>
        </w:tc>
        <w:tc>
          <w:tcPr>
            <w:tcW w:w="445" w:type="pct"/>
            <w:vAlign w:val="center"/>
          </w:tcPr>
          <w:p w14:paraId="35AB4661" w14:textId="77777777" w:rsidR="00DC5685" w:rsidRPr="00A34F10" w:rsidRDefault="00DC5685" w:rsidP="00DC5685">
            <w:pPr>
              <w:widowControl w:val="0"/>
              <w:suppressAutoHyphens/>
              <w:jc w:val="left"/>
              <w:rPr>
                <w:sz w:val="18"/>
                <w:szCs w:val="18"/>
              </w:rPr>
            </w:pPr>
            <w:r w:rsidRPr="00A34F10">
              <w:rPr>
                <w:sz w:val="18"/>
                <w:szCs w:val="18"/>
              </w:rPr>
              <w:t>1447.6</w:t>
            </w:r>
          </w:p>
        </w:tc>
        <w:tc>
          <w:tcPr>
            <w:tcW w:w="516" w:type="pct"/>
            <w:vAlign w:val="center"/>
          </w:tcPr>
          <w:p w14:paraId="06B7BB6D" w14:textId="77777777" w:rsidR="00DC5685" w:rsidRPr="00A34F10" w:rsidRDefault="00DC5685" w:rsidP="00DC5685">
            <w:pPr>
              <w:widowControl w:val="0"/>
              <w:suppressAutoHyphens/>
              <w:jc w:val="left"/>
              <w:rPr>
                <w:sz w:val="18"/>
                <w:szCs w:val="18"/>
              </w:rPr>
            </w:pPr>
            <w:r w:rsidRPr="00A34F10">
              <w:rPr>
                <w:sz w:val="18"/>
                <w:szCs w:val="18"/>
              </w:rPr>
              <w:t>9400</w:t>
            </w:r>
          </w:p>
        </w:tc>
        <w:tc>
          <w:tcPr>
            <w:tcW w:w="371" w:type="pct"/>
            <w:vAlign w:val="center"/>
          </w:tcPr>
          <w:p w14:paraId="519E0350" w14:textId="77777777" w:rsidR="00DC5685" w:rsidRPr="00A34F10" w:rsidRDefault="00DC5685" w:rsidP="00DC5685">
            <w:pPr>
              <w:widowControl w:val="0"/>
              <w:suppressAutoHyphens/>
              <w:jc w:val="left"/>
              <w:rPr>
                <w:bCs/>
                <w:sz w:val="18"/>
                <w:szCs w:val="18"/>
              </w:rPr>
            </w:pPr>
            <w:r w:rsidRPr="00A34F10">
              <w:rPr>
                <w:bCs/>
                <w:sz w:val="18"/>
                <w:szCs w:val="18"/>
              </w:rPr>
              <w:t>13.9</w:t>
            </w:r>
          </w:p>
        </w:tc>
        <w:tc>
          <w:tcPr>
            <w:tcW w:w="518" w:type="pct"/>
            <w:vAlign w:val="center"/>
          </w:tcPr>
          <w:p w14:paraId="35F1EF2D" w14:textId="77777777" w:rsidR="00DC5685" w:rsidRPr="00A34F10" w:rsidRDefault="00DC5685" w:rsidP="00DC5685">
            <w:pPr>
              <w:widowControl w:val="0"/>
              <w:suppressAutoHyphens/>
              <w:jc w:val="left"/>
              <w:rPr>
                <w:bCs/>
                <w:sz w:val="18"/>
                <w:szCs w:val="18"/>
              </w:rPr>
            </w:pPr>
            <w:r w:rsidRPr="00A34F10">
              <w:rPr>
                <w:bCs/>
                <w:sz w:val="18"/>
                <w:szCs w:val="18"/>
              </w:rPr>
              <w:t>6.1</w:t>
            </w:r>
          </w:p>
        </w:tc>
        <w:tc>
          <w:tcPr>
            <w:tcW w:w="371" w:type="pct"/>
            <w:vAlign w:val="center"/>
          </w:tcPr>
          <w:p w14:paraId="1D716665" w14:textId="77777777" w:rsidR="00DC5685" w:rsidRPr="00A34F10" w:rsidRDefault="00DC5685" w:rsidP="00DC5685">
            <w:pPr>
              <w:widowControl w:val="0"/>
              <w:suppressAutoHyphens/>
              <w:jc w:val="left"/>
              <w:rPr>
                <w:bCs/>
                <w:sz w:val="18"/>
                <w:szCs w:val="18"/>
              </w:rPr>
            </w:pPr>
            <w:r w:rsidRPr="00A34F10">
              <w:rPr>
                <w:bCs/>
                <w:sz w:val="18"/>
                <w:szCs w:val="18"/>
              </w:rPr>
              <w:t>0.0</w:t>
            </w:r>
          </w:p>
        </w:tc>
        <w:tc>
          <w:tcPr>
            <w:tcW w:w="370" w:type="pct"/>
            <w:gridSpan w:val="2"/>
            <w:vAlign w:val="center"/>
          </w:tcPr>
          <w:p w14:paraId="2271EA63" w14:textId="77777777" w:rsidR="00DC5685" w:rsidRPr="00A34F10" w:rsidRDefault="00DC5685" w:rsidP="00DC5685">
            <w:pPr>
              <w:widowControl w:val="0"/>
              <w:suppressAutoHyphens/>
              <w:jc w:val="left"/>
              <w:rPr>
                <w:bCs/>
                <w:sz w:val="18"/>
                <w:szCs w:val="18"/>
              </w:rPr>
            </w:pPr>
            <w:r w:rsidRPr="00A34F10">
              <w:rPr>
                <w:bCs/>
                <w:sz w:val="18"/>
                <w:szCs w:val="18"/>
              </w:rPr>
              <w:t>90.3</w:t>
            </w:r>
          </w:p>
        </w:tc>
        <w:tc>
          <w:tcPr>
            <w:tcW w:w="446" w:type="pct"/>
            <w:vAlign w:val="center"/>
          </w:tcPr>
          <w:p w14:paraId="0739AC90" w14:textId="77777777" w:rsidR="00DC5685" w:rsidRPr="00A34F10" w:rsidRDefault="00DC5685" w:rsidP="00DC5685">
            <w:pPr>
              <w:widowControl w:val="0"/>
              <w:suppressAutoHyphens/>
              <w:jc w:val="left"/>
              <w:rPr>
                <w:bCs/>
                <w:sz w:val="18"/>
                <w:szCs w:val="18"/>
              </w:rPr>
            </w:pPr>
            <w:r w:rsidRPr="00A34F10">
              <w:rPr>
                <w:bCs/>
                <w:sz w:val="18"/>
                <w:szCs w:val="18"/>
              </w:rPr>
              <w:t>89.0</w:t>
            </w:r>
          </w:p>
        </w:tc>
        <w:tc>
          <w:tcPr>
            <w:tcW w:w="445" w:type="pct"/>
            <w:vAlign w:val="center"/>
          </w:tcPr>
          <w:p w14:paraId="4A9DC68F" w14:textId="77777777" w:rsidR="00DC5685" w:rsidRPr="00A34F10" w:rsidRDefault="00DC5685" w:rsidP="00DC5685">
            <w:pPr>
              <w:widowControl w:val="0"/>
              <w:suppressAutoHyphens/>
              <w:jc w:val="left"/>
              <w:rPr>
                <w:bCs/>
                <w:sz w:val="18"/>
                <w:szCs w:val="18"/>
              </w:rPr>
            </w:pPr>
            <w:r w:rsidRPr="00A34F10">
              <w:rPr>
                <w:bCs/>
                <w:sz w:val="18"/>
                <w:szCs w:val="18"/>
              </w:rPr>
              <w:t>91.7</w:t>
            </w:r>
          </w:p>
        </w:tc>
        <w:tc>
          <w:tcPr>
            <w:tcW w:w="371" w:type="pct"/>
            <w:vAlign w:val="center"/>
          </w:tcPr>
          <w:p w14:paraId="21D74946" w14:textId="77777777" w:rsidR="00DC5685" w:rsidRPr="00A34F10" w:rsidRDefault="00DC5685" w:rsidP="00DC5685">
            <w:pPr>
              <w:widowControl w:val="0"/>
              <w:suppressAutoHyphens/>
              <w:jc w:val="left"/>
              <w:rPr>
                <w:bCs/>
                <w:sz w:val="18"/>
                <w:szCs w:val="18"/>
              </w:rPr>
            </w:pPr>
            <w:r w:rsidRPr="00A34F10">
              <w:rPr>
                <w:bCs/>
                <w:sz w:val="18"/>
                <w:szCs w:val="18"/>
              </w:rPr>
              <w:t>89.7</w:t>
            </w:r>
          </w:p>
        </w:tc>
        <w:tc>
          <w:tcPr>
            <w:tcW w:w="422" w:type="pct"/>
            <w:vAlign w:val="center"/>
          </w:tcPr>
          <w:p w14:paraId="5B22B66E" w14:textId="77777777" w:rsidR="00DC5685" w:rsidRPr="00A34F10" w:rsidRDefault="00DC5685" w:rsidP="00DC5685">
            <w:pPr>
              <w:widowControl w:val="0"/>
              <w:suppressAutoHyphens/>
              <w:jc w:val="left"/>
              <w:rPr>
                <w:bCs/>
                <w:sz w:val="18"/>
                <w:szCs w:val="18"/>
              </w:rPr>
            </w:pPr>
            <w:r w:rsidRPr="00A34F10">
              <w:rPr>
                <w:bCs/>
                <w:sz w:val="18"/>
                <w:szCs w:val="18"/>
              </w:rPr>
              <w:t>8.3</w:t>
            </w:r>
            <w:r w:rsidRPr="00A34F10">
              <w:rPr>
                <w:bCs/>
                <w:sz w:val="18"/>
                <w:szCs w:val="18"/>
                <w:vertAlign w:val="superscript"/>
              </w:rPr>
              <w:t xml:space="preserve"> *</w:t>
            </w:r>
          </w:p>
        </w:tc>
      </w:tr>
      <w:tr w:rsidR="00DC5685" w:rsidRPr="00A34F10" w14:paraId="21463A8E" w14:textId="77777777" w:rsidTr="000470C3">
        <w:trPr>
          <w:trHeight w:val="283"/>
        </w:trPr>
        <w:tc>
          <w:tcPr>
            <w:tcW w:w="5000" w:type="pct"/>
            <w:gridSpan w:val="12"/>
            <w:vAlign w:val="center"/>
          </w:tcPr>
          <w:p w14:paraId="48668D44" w14:textId="77777777" w:rsidR="00DC5685" w:rsidRPr="00A34F10" w:rsidRDefault="00DC5685" w:rsidP="00DC5685">
            <w:pPr>
              <w:widowControl w:val="0"/>
              <w:suppressAutoHyphens/>
              <w:jc w:val="left"/>
              <w:rPr>
                <w:b/>
                <w:bCs/>
                <w:sz w:val="18"/>
                <w:szCs w:val="18"/>
              </w:rPr>
            </w:pPr>
            <w:r w:rsidRPr="00A34F10">
              <w:rPr>
                <w:b/>
                <w:bCs/>
                <w:sz w:val="18"/>
                <w:szCs w:val="18"/>
              </w:rPr>
              <w:t>Endpoints</w:t>
            </w:r>
          </w:p>
        </w:tc>
      </w:tr>
      <w:tr w:rsidR="00DC5685" w:rsidRPr="00A34F10" w14:paraId="40909122" w14:textId="77777777" w:rsidTr="000470C3">
        <w:trPr>
          <w:trHeight w:val="283"/>
        </w:trPr>
        <w:tc>
          <w:tcPr>
            <w:tcW w:w="5000" w:type="pct"/>
            <w:gridSpan w:val="12"/>
            <w:vAlign w:val="center"/>
          </w:tcPr>
          <w:p w14:paraId="1E410CB0" w14:textId="77777777" w:rsidR="00DC5685" w:rsidRPr="00A34F10" w:rsidRDefault="00DC5685" w:rsidP="00DC5685">
            <w:pPr>
              <w:widowControl w:val="0"/>
              <w:suppressAutoHyphens/>
              <w:jc w:val="left"/>
              <w:rPr>
                <w:bCs/>
                <w:sz w:val="18"/>
                <w:szCs w:val="18"/>
              </w:rPr>
            </w:pPr>
            <w:r w:rsidRPr="00A34F10">
              <w:rPr>
                <w:b/>
                <w:bCs/>
                <w:sz w:val="18"/>
                <w:szCs w:val="18"/>
              </w:rPr>
              <w:t>Larval mortality (D8)</w:t>
            </w:r>
          </w:p>
        </w:tc>
      </w:tr>
      <w:tr w:rsidR="00DC5685" w:rsidRPr="00A34F10" w14:paraId="2C0D7E49" w14:textId="77777777" w:rsidTr="000470C3">
        <w:trPr>
          <w:trHeight w:val="283"/>
        </w:trPr>
        <w:tc>
          <w:tcPr>
            <w:tcW w:w="1170" w:type="pct"/>
            <w:gridSpan w:val="2"/>
            <w:vAlign w:val="center"/>
          </w:tcPr>
          <w:p w14:paraId="051C8CFD" w14:textId="77777777" w:rsidR="00DC5685" w:rsidRPr="00A34F10" w:rsidRDefault="00DC5685" w:rsidP="00DC5685">
            <w:pPr>
              <w:widowControl w:val="0"/>
              <w:suppressAutoHyphens/>
              <w:jc w:val="left"/>
              <w:rPr>
                <w:b/>
                <w:bCs/>
                <w:sz w:val="18"/>
                <w:szCs w:val="18"/>
              </w:rPr>
            </w:pPr>
            <w:r w:rsidRPr="00A34F10">
              <w:rPr>
                <w:b/>
                <w:bCs/>
                <w:sz w:val="18"/>
                <w:szCs w:val="18"/>
              </w:rPr>
              <w:t>Test item dose</w:t>
            </w:r>
          </w:p>
        </w:tc>
        <w:tc>
          <w:tcPr>
            <w:tcW w:w="1889" w:type="pct"/>
            <w:gridSpan w:val="5"/>
            <w:vAlign w:val="center"/>
          </w:tcPr>
          <w:p w14:paraId="33596BE6" w14:textId="77777777" w:rsidR="00DC5685" w:rsidRPr="00A34F10" w:rsidRDefault="00DC5685" w:rsidP="00DC5685">
            <w:pPr>
              <w:widowControl w:val="0"/>
              <w:suppressAutoHyphens/>
              <w:jc w:val="left"/>
              <w:rPr>
                <w:b/>
                <w:bCs/>
                <w:sz w:val="18"/>
                <w:szCs w:val="18"/>
              </w:rPr>
            </w:pPr>
            <w:r w:rsidRPr="00A34F10">
              <w:rPr>
                <w:b/>
                <w:bCs/>
                <w:sz w:val="18"/>
                <w:szCs w:val="18"/>
              </w:rPr>
              <w:t>BAS 650 00 F</w:t>
            </w:r>
          </w:p>
        </w:tc>
        <w:tc>
          <w:tcPr>
            <w:tcW w:w="1941" w:type="pct"/>
            <w:gridSpan w:val="5"/>
            <w:vAlign w:val="center"/>
          </w:tcPr>
          <w:p w14:paraId="088D33EB" w14:textId="77777777" w:rsidR="00DC5685" w:rsidRPr="00A34F10" w:rsidRDefault="00DC5685" w:rsidP="00DC5685">
            <w:pPr>
              <w:widowControl w:val="0"/>
              <w:suppressAutoHyphens/>
              <w:jc w:val="left"/>
              <w:rPr>
                <w:b/>
                <w:bCs/>
                <w:sz w:val="18"/>
                <w:szCs w:val="18"/>
              </w:rPr>
            </w:pPr>
            <w:r w:rsidRPr="00A34F10">
              <w:rPr>
                <w:b/>
                <w:bCs/>
                <w:sz w:val="18"/>
                <w:szCs w:val="18"/>
              </w:rPr>
              <w:t>a.s.</w:t>
            </w:r>
          </w:p>
        </w:tc>
      </w:tr>
      <w:tr w:rsidR="00DC5685" w:rsidRPr="00A34F10" w14:paraId="4C08371C" w14:textId="77777777" w:rsidTr="000470C3">
        <w:trPr>
          <w:trHeight w:val="283"/>
        </w:trPr>
        <w:tc>
          <w:tcPr>
            <w:tcW w:w="1170" w:type="pct"/>
            <w:gridSpan w:val="2"/>
            <w:vAlign w:val="center"/>
          </w:tcPr>
          <w:p w14:paraId="1CB28E0A" w14:textId="77777777" w:rsidR="00DC5685" w:rsidRPr="00A34F10" w:rsidRDefault="00DC5685" w:rsidP="00DC5685">
            <w:pPr>
              <w:widowControl w:val="0"/>
              <w:suppressAutoHyphens/>
              <w:jc w:val="left"/>
              <w:rPr>
                <w:b/>
                <w:bCs/>
                <w:sz w:val="18"/>
                <w:szCs w:val="18"/>
              </w:rPr>
            </w:pPr>
            <w:r w:rsidRPr="00A34F10">
              <w:rPr>
                <w:b/>
                <w:bCs/>
                <w:sz w:val="18"/>
                <w:szCs w:val="18"/>
              </w:rPr>
              <w:t>LD</w:t>
            </w:r>
            <w:r w:rsidRPr="00A34F10">
              <w:rPr>
                <w:b/>
                <w:bCs/>
                <w:sz w:val="18"/>
                <w:szCs w:val="18"/>
                <w:vertAlign w:val="subscript"/>
              </w:rPr>
              <w:t xml:space="preserve">50 </w:t>
            </w:r>
            <w:r w:rsidRPr="00A34F10">
              <w:rPr>
                <w:b/>
                <w:bCs/>
                <w:sz w:val="18"/>
                <w:szCs w:val="18"/>
              </w:rPr>
              <w:t>[µg/larva]</w:t>
            </w:r>
            <w:r w:rsidRPr="00A34F10">
              <w:rPr>
                <w:b/>
                <w:bCs/>
                <w:sz w:val="18"/>
                <w:szCs w:val="18"/>
                <w:vertAlign w:val="superscript"/>
              </w:rPr>
              <w:t xml:space="preserve"> 3)</w:t>
            </w:r>
          </w:p>
        </w:tc>
        <w:tc>
          <w:tcPr>
            <w:tcW w:w="1889" w:type="pct"/>
            <w:gridSpan w:val="5"/>
            <w:vAlign w:val="center"/>
          </w:tcPr>
          <w:p w14:paraId="08FFCF1B" w14:textId="77777777" w:rsidR="00DC5685" w:rsidRPr="00A34F10" w:rsidRDefault="00DC5685" w:rsidP="00DC5685">
            <w:pPr>
              <w:widowControl w:val="0"/>
              <w:suppressAutoHyphens/>
              <w:jc w:val="left"/>
              <w:rPr>
                <w:bCs/>
                <w:sz w:val="18"/>
                <w:szCs w:val="18"/>
              </w:rPr>
            </w:pPr>
            <w:r w:rsidRPr="00A34F10">
              <w:rPr>
                <w:bCs/>
                <w:sz w:val="18"/>
                <w:szCs w:val="18"/>
              </w:rPr>
              <w:t>&gt; 1447.6</w:t>
            </w:r>
          </w:p>
        </w:tc>
        <w:tc>
          <w:tcPr>
            <w:tcW w:w="1941" w:type="pct"/>
            <w:gridSpan w:val="5"/>
            <w:vAlign w:val="center"/>
          </w:tcPr>
          <w:p w14:paraId="58B8FE7F" w14:textId="77777777" w:rsidR="00DC5685" w:rsidRPr="00A34F10" w:rsidRDefault="00DC5685" w:rsidP="00DC5685">
            <w:pPr>
              <w:widowControl w:val="0"/>
              <w:suppressAutoHyphens/>
              <w:jc w:val="left"/>
              <w:rPr>
                <w:bCs/>
                <w:sz w:val="18"/>
                <w:szCs w:val="18"/>
              </w:rPr>
            </w:pPr>
            <w:r w:rsidRPr="00A34F10">
              <w:rPr>
                <w:bCs/>
                <w:sz w:val="18"/>
                <w:szCs w:val="18"/>
              </w:rPr>
              <w:t>&gt; 277.6</w:t>
            </w:r>
          </w:p>
        </w:tc>
      </w:tr>
      <w:tr w:rsidR="00DC5685" w:rsidRPr="00A34F10" w14:paraId="223F5836" w14:textId="77777777" w:rsidTr="000470C3">
        <w:trPr>
          <w:trHeight w:val="283"/>
        </w:trPr>
        <w:tc>
          <w:tcPr>
            <w:tcW w:w="1170" w:type="pct"/>
            <w:gridSpan w:val="2"/>
            <w:vAlign w:val="center"/>
          </w:tcPr>
          <w:p w14:paraId="7237195E" w14:textId="77777777" w:rsidR="00DC5685" w:rsidRPr="00A34F10" w:rsidRDefault="00DC5685" w:rsidP="00DC5685">
            <w:pPr>
              <w:widowControl w:val="0"/>
              <w:suppressAutoHyphens/>
              <w:jc w:val="left"/>
              <w:rPr>
                <w:b/>
                <w:bCs/>
                <w:sz w:val="18"/>
                <w:szCs w:val="18"/>
              </w:rPr>
            </w:pPr>
            <w:r w:rsidRPr="00A34F10">
              <w:rPr>
                <w:b/>
                <w:bCs/>
                <w:sz w:val="18"/>
                <w:szCs w:val="18"/>
              </w:rPr>
              <w:t>NOED [µg/larva]</w:t>
            </w:r>
            <w:r w:rsidRPr="00A34F10">
              <w:rPr>
                <w:b/>
                <w:bCs/>
                <w:sz w:val="18"/>
                <w:szCs w:val="18"/>
                <w:vertAlign w:val="superscript"/>
              </w:rPr>
              <w:t xml:space="preserve"> 4)</w:t>
            </w:r>
          </w:p>
        </w:tc>
        <w:tc>
          <w:tcPr>
            <w:tcW w:w="1889" w:type="pct"/>
            <w:gridSpan w:val="5"/>
            <w:vAlign w:val="center"/>
          </w:tcPr>
          <w:p w14:paraId="46D51014" w14:textId="77777777" w:rsidR="00DC5685" w:rsidRPr="00A34F10" w:rsidRDefault="00DC5685" w:rsidP="00DC5685">
            <w:pPr>
              <w:widowControl w:val="0"/>
              <w:suppressAutoHyphens/>
              <w:jc w:val="left"/>
              <w:rPr>
                <w:bCs/>
                <w:sz w:val="18"/>
                <w:szCs w:val="18"/>
              </w:rPr>
            </w:pPr>
            <w:r w:rsidRPr="00A34F10">
              <w:rPr>
                <w:bCs/>
                <w:sz w:val="18"/>
                <w:szCs w:val="18"/>
              </w:rPr>
              <w:t>≥ 1447.6</w:t>
            </w:r>
          </w:p>
        </w:tc>
        <w:tc>
          <w:tcPr>
            <w:tcW w:w="1941" w:type="pct"/>
            <w:gridSpan w:val="5"/>
            <w:vAlign w:val="center"/>
          </w:tcPr>
          <w:p w14:paraId="76D69C84" w14:textId="77777777" w:rsidR="00DC5685" w:rsidRPr="00A34F10" w:rsidRDefault="00DC5685" w:rsidP="00DC5685">
            <w:pPr>
              <w:widowControl w:val="0"/>
              <w:suppressAutoHyphens/>
              <w:jc w:val="left"/>
              <w:rPr>
                <w:bCs/>
                <w:sz w:val="18"/>
                <w:szCs w:val="18"/>
              </w:rPr>
            </w:pPr>
            <w:r w:rsidRPr="00A34F10">
              <w:rPr>
                <w:bCs/>
                <w:sz w:val="18"/>
                <w:szCs w:val="18"/>
              </w:rPr>
              <w:t>≥ 277.6</w:t>
            </w:r>
          </w:p>
        </w:tc>
      </w:tr>
      <w:tr w:rsidR="00DC5685" w:rsidRPr="00A34F10" w14:paraId="5522CEDD" w14:textId="77777777" w:rsidTr="000470C3">
        <w:trPr>
          <w:trHeight w:val="283"/>
        </w:trPr>
        <w:tc>
          <w:tcPr>
            <w:tcW w:w="1170" w:type="pct"/>
            <w:gridSpan w:val="2"/>
            <w:vAlign w:val="center"/>
          </w:tcPr>
          <w:p w14:paraId="7327C497" w14:textId="77777777" w:rsidR="00DC5685" w:rsidRPr="00A34F10" w:rsidRDefault="00DC5685" w:rsidP="00DC5685">
            <w:pPr>
              <w:widowControl w:val="0"/>
              <w:suppressAutoHyphens/>
              <w:jc w:val="left"/>
              <w:rPr>
                <w:b/>
                <w:bCs/>
                <w:sz w:val="18"/>
                <w:szCs w:val="18"/>
              </w:rPr>
            </w:pPr>
            <w:r w:rsidRPr="00A34F10">
              <w:rPr>
                <w:b/>
                <w:bCs/>
                <w:sz w:val="18"/>
                <w:szCs w:val="18"/>
              </w:rPr>
              <w:t>Test item concentration</w:t>
            </w:r>
          </w:p>
        </w:tc>
        <w:tc>
          <w:tcPr>
            <w:tcW w:w="1889" w:type="pct"/>
            <w:gridSpan w:val="5"/>
            <w:vAlign w:val="center"/>
          </w:tcPr>
          <w:p w14:paraId="57ADBECE" w14:textId="77777777" w:rsidR="00DC5685" w:rsidRPr="00A34F10" w:rsidRDefault="00DC5685" w:rsidP="00DC5685">
            <w:pPr>
              <w:widowControl w:val="0"/>
              <w:suppressAutoHyphens/>
              <w:jc w:val="left"/>
              <w:rPr>
                <w:b/>
                <w:bCs/>
                <w:sz w:val="18"/>
                <w:szCs w:val="18"/>
              </w:rPr>
            </w:pPr>
            <w:r w:rsidRPr="00A34F10">
              <w:rPr>
                <w:b/>
                <w:bCs/>
                <w:sz w:val="18"/>
                <w:szCs w:val="18"/>
              </w:rPr>
              <w:t>BAS 650 00 F</w:t>
            </w:r>
          </w:p>
        </w:tc>
        <w:tc>
          <w:tcPr>
            <w:tcW w:w="1941" w:type="pct"/>
            <w:gridSpan w:val="5"/>
            <w:vAlign w:val="center"/>
          </w:tcPr>
          <w:p w14:paraId="3F7DB8AE" w14:textId="77777777" w:rsidR="00DC5685" w:rsidRPr="00A34F10" w:rsidRDefault="00DC5685" w:rsidP="00DC5685">
            <w:pPr>
              <w:widowControl w:val="0"/>
              <w:suppressAutoHyphens/>
              <w:jc w:val="left"/>
              <w:rPr>
                <w:b/>
                <w:bCs/>
                <w:sz w:val="18"/>
                <w:szCs w:val="18"/>
              </w:rPr>
            </w:pPr>
            <w:r w:rsidRPr="00A34F10">
              <w:rPr>
                <w:b/>
                <w:bCs/>
                <w:sz w:val="18"/>
                <w:szCs w:val="18"/>
              </w:rPr>
              <w:t>a.s.</w:t>
            </w:r>
          </w:p>
        </w:tc>
      </w:tr>
      <w:tr w:rsidR="00DC5685" w:rsidRPr="00A34F10" w14:paraId="636D9EA6" w14:textId="77777777" w:rsidTr="000470C3">
        <w:trPr>
          <w:trHeight w:val="283"/>
        </w:trPr>
        <w:tc>
          <w:tcPr>
            <w:tcW w:w="1170" w:type="pct"/>
            <w:gridSpan w:val="2"/>
            <w:vAlign w:val="center"/>
          </w:tcPr>
          <w:p w14:paraId="3366E474" w14:textId="77777777" w:rsidR="00DC5685" w:rsidRPr="00A34F10" w:rsidRDefault="00DC5685" w:rsidP="00DC5685">
            <w:pPr>
              <w:widowControl w:val="0"/>
              <w:suppressAutoHyphens/>
              <w:jc w:val="left"/>
              <w:rPr>
                <w:b/>
                <w:bCs/>
                <w:sz w:val="18"/>
                <w:szCs w:val="18"/>
              </w:rPr>
            </w:pPr>
            <w:r w:rsidRPr="00A34F10">
              <w:rPr>
                <w:b/>
                <w:bCs/>
                <w:sz w:val="18"/>
                <w:szCs w:val="18"/>
              </w:rPr>
              <w:t>LC</w:t>
            </w:r>
            <w:r w:rsidRPr="00A34F10">
              <w:rPr>
                <w:b/>
                <w:bCs/>
                <w:sz w:val="18"/>
                <w:szCs w:val="18"/>
                <w:vertAlign w:val="subscript"/>
              </w:rPr>
              <w:t xml:space="preserve">50 </w:t>
            </w:r>
            <w:r w:rsidRPr="00A34F10">
              <w:rPr>
                <w:b/>
                <w:bCs/>
                <w:sz w:val="18"/>
                <w:szCs w:val="18"/>
              </w:rPr>
              <w:t>[mg/kg food]</w:t>
            </w:r>
            <w:r w:rsidRPr="00A34F10">
              <w:rPr>
                <w:b/>
                <w:bCs/>
                <w:sz w:val="18"/>
                <w:szCs w:val="18"/>
                <w:vertAlign w:val="superscript"/>
              </w:rPr>
              <w:t xml:space="preserve"> 3)</w:t>
            </w:r>
          </w:p>
        </w:tc>
        <w:tc>
          <w:tcPr>
            <w:tcW w:w="1889" w:type="pct"/>
            <w:gridSpan w:val="5"/>
            <w:vAlign w:val="center"/>
          </w:tcPr>
          <w:p w14:paraId="0D570CC3" w14:textId="77777777" w:rsidR="00DC5685" w:rsidRPr="00A34F10" w:rsidRDefault="00DC5685" w:rsidP="00DC5685">
            <w:pPr>
              <w:widowControl w:val="0"/>
              <w:suppressAutoHyphens/>
              <w:jc w:val="left"/>
              <w:rPr>
                <w:bCs/>
                <w:sz w:val="18"/>
                <w:szCs w:val="18"/>
              </w:rPr>
            </w:pPr>
            <w:r w:rsidRPr="00A34F10">
              <w:rPr>
                <w:bCs/>
                <w:sz w:val="18"/>
                <w:szCs w:val="18"/>
              </w:rPr>
              <w:t>&gt; 9400</w:t>
            </w:r>
          </w:p>
        </w:tc>
        <w:tc>
          <w:tcPr>
            <w:tcW w:w="1941" w:type="pct"/>
            <w:gridSpan w:val="5"/>
            <w:vAlign w:val="center"/>
          </w:tcPr>
          <w:p w14:paraId="5F91476A" w14:textId="77777777" w:rsidR="00DC5685" w:rsidRPr="00A34F10" w:rsidRDefault="00DC5685" w:rsidP="00DC5685">
            <w:pPr>
              <w:widowControl w:val="0"/>
              <w:suppressAutoHyphens/>
              <w:jc w:val="left"/>
              <w:rPr>
                <w:bCs/>
                <w:sz w:val="18"/>
                <w:szCs w:val="18"/>
              </w:rPr>
            </w:pPr>
            <w:r w:rsidRPr="00A34F10">
              <w:rPr>
                <w:bCs/>
                <w:sz w:val="18"/>
                <w:szCs w:val="18"/>
              </w:rPr>
              <w:t>&gt; 1802</w:t>
            </w:r>
          </w:p>
        </w:tc>
      </w:tr>
      <w:tr w:rsidR="00DC5685" w:rsidRPr="00A34F10" w14:paraId="5B3A4130" w14:textId="77777777" w:rsidTr="000470C3">
        <w:trPr>
          <w:trHeight w:val="283"/>
        </w:trPr>
        <w:tc>
          <w:tcPr>
            <w:tcW w:w="1170" w:type="pct"/>
            <w:gridSpan w:val="2"/>
            <w:vAlign w:val="center"/>
          </w:tcPr>
          <w:p w14:paraId="7F6C2AC8" w14:textId="77777777" w:rsidR="00DC5685" w:rsidRPr="00A34F10" w:rsidRDefault="00DC5685" w:rsidP="00DC5685">
            <w:pPr>
              <w:widowControl w:val="0"/>
              <w:suppressAutoHyphens/>
              <w:jc w:val="left"/>
              <w:rPr>
                <w:b/>
                <w:bCs/>
                <w:sz w:val="18"/>
                <w:szCs w:val="18"/>
              </w:rPr>
            </w:pPr>
            <w:r w:rsidRPr="00A34F10">
              <w:rPr>
                <w:b/>
                <w:bCs/>
                <w:sz w:val="18"/>
                <w:szCs w:val="18"/>
              </w:rPr>
              <w:t>NOEC [mg/kg food]</w:t>
            </w:r>
            <w:r w:rsidRPr="00A34F10">
              <w:rPr>
                <w:b/>
                <w:bCs/>
                <w:sz w:val="18"/>
                <w:szCs w:val="18"/>
                <w:vertAlign w:val="superscript"/>
              </w:rPr>
              <w:t xml:space="preserve"> 4)</w:t>
            </w:r>
          </w:p>
        </w:tc>
        <w:tc>
          <w:tcPr>
            <w:tcW w:w="1889" w:type="pct"/>
            <w:gridSpan w:val="5"/>
            <w:vAlign w:val="center"/>
          </w:tcPr>
          <w:p w14:paraId="73B22ABF" w14:textId="77777777" w:rsidR="00DC5685" w:rsidRPr="00A34F10" w:rsidRDefault="00DC5685" w:rsidP="00DC5685">
            <w:pPr>
              <w:widowControl w:val="0"/>
              <w:suppressAutoHyphens/>
              <w:jc w:val="left"/>
              <w:rPr>
                <w:bCs/>
                <w:sz w:val="18"/>
                <w:szCs w:val="18"/>
              </w:rPr>
            </w:pPr>
            <w:r w:rsidRPr="00A34F10">
              <w:rPr>
                <w:bCs/>
                <w:sz w:val="18"/>
                <w:szCs w:val="18"/>
              </w:rPr>
              <w:t>≥ 9400</w:t>
            </w:r>
          </w:p>
        </w:tc>
        <w:tc>
          <w:tcPr>
            <w:tcW w:w="1941" w:type="pct"/>
            <w:gridSpan w:val="5"/>
            <w:vAlign w:val="center"/>
          </w:tcPr>
          <w:p w14:paraId="151ED767" w14:textId="77777777" w:rsidR="00DC5685" w:rsidRPr="00A34F10" w:rsidRDefault="00DC5685" w:rsidP="00DC5685">
            <w:pPr>
              <w:widowControl w:val="0"/>
              <w:suppressAutoHyphens/>
              <w:jc w:val="left"/>
              <w:rPr>
                <w:bCs/>
                <w:sz w:val="18"/>
                <w:szCs w:val="18"/>
              </w:rPr>
            </w:pPr>
            <w:r w:rsidRPr="00A34F10">
              <w:rPr>
                <w:bCs/>
                <w:sz w:val="18"/>
                <w:szCs w:val="18"/>
              </w:rPr>
              <w:t>≥ 1802</w:t>
            </w:r>
          </w:p>
        </w:tc>
      </w:tr>
      <w:tr w:rsidR="00DC5685" w:rsidRPr="00A34F10" w14:paraId="113669DE" w14:textId="77777777" w:rsidTr="000470C3">
        <w:trPr>
          <w:trHeight w:val="283"/>
        </w:trPr>
        <w:tc>
          <w:tcPr>
            <w:tcW w:w="5000" w:type="pct"/>
            <w:gridSpan w:val="12"/>
            <w:vAlign w:val="center"/>
          </w:tcPr>
          <w:p w14:paraId="64E3C62C" w14:textId="77777777" w:rsidR="00DC5685" w:rsidRPr="00A34F10" w:rsidRDefault="00DC5685" w:rsidP="00DC5685">
            <w:pPr>
              <w:widowControl w:val="0"/>
              <w:suppressAutoHyphens/>
              <w:jc w:val="left"/>
              <w:rPr>
                <w:b/>
                <w:bCs/>
                <w:sz w:val="18"/>
                <w:szCs w:val="18"/>
              </w:rPr>
            </w:pPr>
            <w:r w:rsidRPr="00A34F10">
              <w:rPr>
                <w:b/>
                <w:bCs/>
                <w:sz w:val="18"/>
                <w:szCs w:val="18"/>
              </w:rPr>
              <w:t>Adult emergence (D22)</w:t>
            </w:r>
          </w:p>
        </w:tc>
      </w:tr>
      <w:tr w:rsidR="00DC5685" w:rsidRPr="00A34F10" w14:paraId="325A0A47" w14:textId="77777777" w:rsidTr="000470C3">
        <w:trPr>
          <w:trHeight w:val="283"/>
        </w:trPr>
        <w:tc>
          <w:tcPr>
            <w:tcW w:w="1170" w:type="pct"/>
            <w:gridSpan w:val="2"/>
            <w:vAlign w:val="center"/>
          </w:tcPr>
          <w:p w14:paraId="6F8821FE" w14:textId="77777777" w:rsidR="00DC5685" w:rsidRPr="00A34F10" w:rsidRDefault="00DC5685" w:rsidP="00DC5685">
            <w:pPr>
              <w:widowControl w:val="0"/>
              <w:suppressAutoHyphens/>
              <w:jc w:val="left"/>
              <w:rPr>
                <w:b/>
                <w:bCs/>
                <w:sz w:val="18"/>
                <w:szCs w:val="18"/>
              </w:rPr>
            </w:pPr>
            <w:r w:rsidRPr="00A34F10">
              <w:rPr>
                <w:b/>
                <w:bCs/>
                <w:sz w:val="18"/>
                <w:szCs w:val="18"/>
              </w:rPr>
              <w:t>Test item dose</w:t>
            </w:r>
          </w:p>
        </w:tc>
        <w:tc>
          <w:tcPr>
            <w:tcW w:w="1889" w:type="pct"/>
            <w:gridSpan w:val="5"/>
            <w:vAlign w:val="center"/>
          </w:tcPr>
          <w:p w14:paraId="548CFDE4" w14:textId="77777777" w:rsidR="00DC5685" w:rsidRPr="00A34F10" w:rsidRDefault="00DC5685" w:rsidP="00DC5685">
            <w:pPr>
              <w:widowControl w:val="0"/>
              <w:suppressAutoHyphens/>
              <w:jc w:val="left"/>
              <w:rPr>
                <w:b/>
                <w:bCs/>
                <w:sz w:val="18"/>
                <w:szCs w:val="18"/>
              </w:rPr>
            </w:pPr>
            <w:r w:rsidRPr="00A34F10">
              <w:rPr>
                <w:b/>
                <w:bCs/>
                <w:sz w:val="18"/>
                <w:szCs w:val="18"/>
              </w:rPr>
              <w:t>BAS 650 00 F</w:t>
            </w:r>
          </w:p>
        </w:tc>
        <w:tc>
          <w:tcPr>
            <w:tcW w:w="1941" w:type="pct"/>
            <w:gridSpan w:val="5"/>
            <w:vAlign w:val="center"/>
          </w:tcPr>
          <w:p w14:paraId="3FF4EDF8" w14:textId="77777777" w:rsidR="00DC5685" w:rsidRPr="00A34F10" w:rsidRDefault="00DC5685" w:rsidP="00DC5685">
            <w:pPr>
              <w:widowControl w:val="0"/>
              <w:suppressAutoHyphens/>
              <w:jc w:val="left"/>
              <w:rPr>
                <w:b/>
                <w:bCs/>
                <w:sz w:val="18"/>
                <w:szCs w:val="18"/>
              </w:rPr>
            </w:pPr>
            <w:r w:rsidRPr="00A34F10">
              <w:rPr>
                <w:b/>
                <w:bCs/>
                <w:sz w:val="18"/>
                <w:szCs w:val="18"/>
              </w:rPr>
              <w:t>a.s.</w:t>
            </w:r>
          </w:p>
        </w:tc>
      </w:tr>
      <w:tr w:rsidR="00DC5685" w:rsidRPr="00A34F10" w14:paraId="08789BF1" w14:textId="77777777" w:rsidTr="000470C3">
        <w:trPr>
          <w:trHeight w:val="283"/>
        </w:trPr>
        <w:tc>
          <w:tcPr>
            <w:tcW w:w="1170" w:type="pct"/>
            <w:gridSpan w:val="2"/>
            <w:vAlign w:val="center"/>
          </w:tcPr>
          <w:p w14:paraId="43490EB3" w14:textId="77777777" w:rsidR="00DC5685" w:rsidRPr="00A34F10" w:rsidRDefault="00DC5685" w:rsidP="00DC5685">
            <w:pPr>
              <w:widowControl w:val="0"/>
              <w:suppressAutoHyphens/>
              <w:jc w:val="left"/>
              <w:rPr>
                <w:b/>
                <w:bCs/>
                <w:sz w:val="18"/>
                <w:szCs w:val="18"/>
              </w:rPr>
            </w:pPr>
            <w:r w:rsidRPr="00A34F10">
              <w:rPr>
                <w:b/>
                <w:bCs/>
                <w:sz w:val="18"/>
                <w:szCs w:val="18"/>
              </w:rPr>
              <w:t>ED</w:t>
            </w:r>
            <w:r w:rsidRPr="00A34F10">
              <w:rPr>
                <w:b/>
                <w:bCs/>
                <w:sz w:val="18"/>
                <w:szCs w:val="18"/>
                <w:vertAlign w:val="subscript"/>
              </w:rPr>
              <w:t xml:space="preserve">50 </w:t>
            </w:r>
            <w:r w:rsidRPr="00A34F10">
              <w:rPr>
                <w:b/>
                <w:bCs/>
                <w:sz w:val="18"/>
                <w:szCs w:val="18"/>
              </w:rPr>
              <w:t>[µg/larva]</w:t>
            </w:r>
            <w:r w:rsidRPr="00A34F10">
              <w:rPr>
                <w:b/>
                <w:bCs/>
                <w:sz w:val="18"/>
                <w:szCs w:val="18"/>
              </w:rPr>
              <w:br/>
              <w:t>(95% CL)</w:t>
            </w:r>
            <w:r w:rsidRPr="00A34F10">
              <w:rPr>
                <w:b/>
                <w:bCs/>
                <w:sz w:val="18"/>
                <w:szCs w:val="18"/>
                <w:vertAlign w:val="superscript"/>
              </w:rPr>
              <w:t xml:space="preserve"> 5)</w:t>
            </w:r>
          </w:p>
        </w:tc>
        <w:tc>
          <w:tcPr>
            <w:tcW w:w="1889" w:type="pct"/>
            <w:gridSpan w:val="5"/>
            <w:vAlign w:val="center"/>
          </w:tcPr>
          <w:p w14:paraId="64C5B8C0" w14:textId="77777777" w:rsidR="00DC5685" w:rsidRPr="00A34F10" w:rsidRDefault="00DC5685" w:rsidP="00DC5685">
            <w:pPr>
              <w:widowControl w:val="0"/>
              <w:suppressAutoHyphens/>
              <w:jc w:val="left"/>
              <w:rPr>
                <w:bCs/>
                <w:sz w:val="18"/>
                <w:szCs w:val="18"/>
              </w:rPr>
            </w:pPr>
            <w:r w:rsidRPr="00A34F10">
              <w:rPr>
                <w:bCs/>
                <w:sz w:val="18"/>
                <w:szCs w:val="18"/>
              </w:rPr>
              <w:t>120.3</w:t>
            </w:r>
            <w:r w:rsidRPr="00A34F10">
              <w:rPr>
                <w:bCs/>
                <w:sz w:val="18"/>
                <w:szCs w:val="18"/>
              </w:rPr>
              <w:br/>
              <w:t>(82.4 – 175.4)</w:t>
            </w:r>
          </w:p>
        </w:tc>
        <w:tc>
          <w:tcPr>
            <w:tcW w:w="1941" w:type="pct"/>
            <w:gridSpan w:val="5"/>
            <w:vAlign w:val="center"/>
          </w:tcPr>
          <w:p w14:paraId="104D81C8" w14:textId="77777777" w:rsidR="00DC5685" w:rsidRPr="00A34F10" w:rsidRDefault="00DC5685" w:rsidP="00DC5685">
            <w:pPr>
              <w:widowControl w:val="0"/>
              <w:suppressAutoHyphens/>
              <w:jc w:val="left"/>
              <w:rPr>
                <w:bCs/>
                <w:sz w:val="18"/>
                <w:szCs w:val="18"/>
              </w:rPr>
            </w:pPr>
            <w:r w:rsidRPr="00A34F10">
              <w:rPr>
                <w:bCs/>
                <w:sz w:val="18"/>
                <w:szCs w:val="18"/>
              </w:rPr>
              <w:t>23.1</w:t>
            </w:r>
            <w:r w:rsidRPr="00A34F10">
              <w:rPr>
                <w:bCs/>
                <w:sz w:val="18"/>
                <w:szCs w:val="18"/>
              </w:rPr>
              <w:br/>
              <w:t>(15.8 – 33.6)</w:t>
            </w:r>
          </w:p>
        </w:tc>
      </w:tr>
      <w:tr w:rsidR="00DC5685" w:rsidRPr="00A34F10" w14:paraId="6EDC1B12" w14:textId="77777777" w:rsidTr="000470C3">
        <w:trPr>
          <w:trHeight w:val="283"/>
        </w:trPr>
        <w:tc>
          <w:tcPr>
            <w:tcW w:w="1170" w:type="pct"/>
            <w:gridSpan w:val="2"/>
            <w:vAlign w:val="center"/>
          </w:tcPr>
          <w:p w14:paraId="16032E91" w14:textId="77777777" w:rsidR="00DC5685" w:rsidRPr="00A34F10" w:rsidRDefault="00DC5685" w:rsidP="00DC5685">
            <w:pPr>
              <w:widowControl w:val="0"/>
              <w:suppressAutoHyphens/>
              <w:jc w:val="left"/>
              <w:rPr>
                <w:b/>
                <w:bCs/>
                <w:sz w:val="18"/>
                <w:szCs w:val="18"/>
              </w:rPr>
            </w:pPr>
            <w:r w:rsidRPr="00A34F10">
              <w:rPr>
                <w:b/>
                <w:bCs/>
                <w:sz w:val="18"/>
                <w:szCs w:val="18"/>
              </w:rPr>
              <w:t>NOED [µg/larva]</w:t>
            </w:r>
            <w:r w:rsidRPr="00A34F10">
              <w:rPr>
                <w:b/>
                <w:bCs/>
                <w:sz w:val="18"/>
                <w:szCs w:val="18"/>
                <w:vertAlign w:val="superscript"/>
              </w:rPr>
              <w:t xml:space="preserve"> 6)</w:t>
            </w:r>
          </w:p>
        </w:tc>
        <w:tc>
          <w:tcPr>
            <w:tcW w:w="1889" w:type="pct"/>
            <w:gridSpan w:val="5"/>
            <w:vAlign w:val="center"/>
          </w:tcPr>
          <w:p w14:paraId="131E2521" w14:textId="77777777" w:rsidR="00DC5685" w:rsidRPr="00A34F10" w:rsidRDefault="00DC5685" w:rsidP="00DC5685">
            <w:pPr>
              <w:widowControl w:val="0"/>
              <w:suppressAutoHyphens/>
              <w:jc w:val="left"/>
              <w:rPr>
                <w:bCs/>
                <w:sz w:val="18"/>
                <w:szCs w:val="18"/>
              </w:rPr>
            </w:pPr>
            <w:r w:rsidRPr="00A34F10">
              <w:rPr>
                <w:bCs/>
                <w:sz w:val="18"/>
                <w:szCs w:val="18"/>
              </w:rPr>
              <w:t>37.1</w:t>
            </w:r>
          </w:p>
        </w:tc>
        <w:tc>
          <w:tcPr>
            <w:tcW w:w="1941" w:type="pct"/>
            <w:gridSpan w:val="5"/>
            <w:vAlign w:val="center"/>
          </w:tcPr>
          <w:p w14:paraId="06831C2A" w14:textId="77777777" w:rsidR="00DC5685" w:rsidRPr="00A34F10" w:rsidRDefault="00DC5685" w:rsidP="00DC5685">
            <w:pPr>
              <w:widowControl w:val="0"/>
              <w:suppressAutoHyphens/>
              <w:jc w:val="left"/>
              <w:rPr>
                <w:bCs/>
                <w:sz w:val="18"/>
                <w:szCs w:val="18"/>
              </w:rPr>
            </w:pPr>
            <w:r w:rsidRPr="00A34F10">
              <w:rPr>
                <w:bCs/>
                <w:sz w:val="18"/>
                <w:szCs w:val="18"/>
              </w:rPr>
              <w:t>7.1</w:t>
            </w:r>
          </w:p>
        </w:tc>
      </w:tr>
      <w:tr w:rsidR="00DC5685" w:rsidRPr="00A34F10" w14:paraId="11BB6BF5" w14:textId="77777777" w:rsidTr="000470C3">
        <w:trPr>
          <w:trHeight w:val="283"/>
        </w:trPr>
        <w:tc>
          <w:tcPr>
            <w:tcW w:w="1170" w:type="pct"/>
            <w:gridSpan w:val="2"/>
            <w:vAlign w:val="center"/>
          </w:tcPr>
          <w:p w14:paraId="0D077B00" w14:textId="77777777" w:rsidR="00DC5685" w:rsidRPr="00A34F10" w:rsidRDefault="00DC5685" w:rsidP="00DC5685">
            <w:pPr>
              <w:widowControl w:val="0"/>
              <w:suppressAutoHyphens/>
              <w:jc w:val="left"/>
              <w:rPr>
                <w:b/>
                <w:bCs/>
                <w:sz w:val="18"/>
                <w:szCs w:val="18"/>
              </w:rPr>
            </w:pPr>
            <w:r w:rsidRPr="00A34F10">
              <w:rPr>
                <w:b/>
                <w:bCs/>
                <w:sz w:val="18"/>
                <w:szCs w:val="18"/>
              </w:rPr>
              <w:t>Test item concentration</w:t>
            </w:r>
          </w:p>
        </w:tc>
        <w:tc>
          <w:tcPr>
            <w:tcW w:w="1889" w:type="pct"/>
            <w:gridSpan w:val="5"/>
            <w:vAlign w:val="center"/>
          </w:tcPr>
          <w:p w14:paraId="73067368" w14:textId="77777777" w:rsidR="00DC5685" w:rsidRPr="00A34F10" w:rsidRDefault="00DC5685" w:rsidP="00DC5685">
            <w:pPr>
              <w:widowControl w:val="0"/>
              <w:suppressAutoHyphens/>
              <w:jc w:val="left"/>
              <w:rPr>
                <w:b/>
                <w:bCs/>
                <w:sz w:val="18"/>
                <w:szCs w:val="18"/>
              </w:rPr>
            </w:pPr>
            <w:r w:rsidRPr="00A34F10">
              <w:rPr>
                <w:b/>
                <w:bCs/>
                <w:sz w:val="18"/>
                <w:szCs w:val="18"/>
              </w:rPr>
              <w:t>BAS 650 00 F</w:t>
            </w:r>
          </w:p>
        </w:tc>
        <w:tc>
          <w:tcPr>
            <w:tcW w:w="1941" w:type="pct"/>
            <w:gridSpan w:val="5"/>
            <w:vAlign w:val="center"/>
          </w:tcPr>
          <w:p w14:paraId="598656C3" w14:textId="77777777" w:rsidR="00DC5685" w:rsidRPr="00A34F10" w:rsidRDefault="00DC5685" w:rsidP="00DC5685">
            <w:pPr>
              <w:widowControl w:val="0"/>
              <w:suppressAutoHyphens/>
              <w:jc w:val="left"/>
              <w:rPr>
                <w:b/>
                <w:bCs/>
                <w:sz w:val="18"/>
                <w:szCs w:val="18"/>
              </w:rPr>
            </w:pPr>
            <w:r w:rsidRPr="00A34F10">
              <w:rPr>
                <w:b/>
                <w:bCs/>
                <w:sz w:val="18"/>
                <w:szCs w:val="18"/>
              </w:rPr>
              <w:t>a.s.</w:t>
            </w:r>
          </w:p>
        </w:tc>
      </w:tr>
      <w:tr w:rsidR="00DC5685" w:rsidRPr="00A34F10" w14:paraId="21296912" w14:textId="77777777" w:rsidTr="000470C3">
        <w:trPr>
          <w:trHeight w:val="283"/>
        </w:trPr>
        <w:tc>
          <w:tcPr>
            <w:tcW w:w="1170" w:type="pct"/>
            <w:gridSpan w:val="2"/>
            <w:vAlign w:val="center"/>
          </w:tcPr>
          <w:p w14:paraId="5E2945CF" w14:textId="77777777" w:rsidR="00DC5685" w:rsidRPr="00A34F10" w:rsidRDefault="00DC5685" w:rsidP="00DC5685">
            <w:pPr>
              <w:widowControl w:val="0"/>
              <w:suppressAutoHyphens/>
              <w:jc w:val="left"/>
              <w:rPr>
                <w:b/>
                <w:bCs/>
                <w:sz w:val="18"/>
                <w:szCs w:val="18"/>
              </w:rPr>
            </w:pPr>
            <w:r w:rsidRPr="00A34F10">
              <w:rPr>
                <w:b/>
                <w:bCs/>
                <w:sz w:val="18"/>
                <w:szCs w:val="18"/>
              </w:rPr>
              <w:t>EC</w:t>
            </w:r>
            <w:r w:rsidRPr="00A34F10">
              <w:rPr>
                <w:b/>
                <w:bCs/>
                <w:sz w:val="18"/>
                <w:szCs w:val="18"/>
                <w:vertAlign w:val="subscript"/>
              </w:rPr>
              <w:t xml:space="preserve">50 </w:t>
            </w:r>
            <w:r w:rsidRPr="00A34F10">
              <w:rPr>
                <w:b/>
                <w:bCs/>
                <w:sz w:val="18"/>
                <w:szCs w:val="18"/>
              </w:rPr>
              <w:t>[mg/kg food]</w:t>
            </w:r>
            <w:r w:rsidRPr="00A34F10">
              <w:rPr>
                <w:b/>
                <w:bCs/>
                <w:sz w:val="18"/>
                <w:szCs w:val="18"/>
              </w:rPr>
              <w:br/>
              <w:t>(95% CL)</w:t>
            </w:r>
            <w:r w:rsidRPr="00A34F10">
              <w:rPr>
                <w:b/>
                <w:bCs/>
                <w:sz w:val="18"/>
                <w:szCs w:val="18"/>
                <w:vertAlign w:val="superscript"/>
              </w:rPr>
              <w:t xml:space="preserve"> 5)</w:t>
            </w:r>
          </w:p>
        </w:tc>
        <w:tc>
          <w:tcPr>
            <w:tcW w:w="1889" w:type="pct"/>
            <w:gridSpan w:val="5"/>
            <w:vAlign w:val="center"/>
          </w:tcPr>
          <w:p w14:paraId="7067EBB1" w14:textId="77777777" w:rsidR="00DC5685" w:rsidRPr="00A34F10" w:rsidRDefault="00DC5685" w:rsidP="00DC5685">
            <w:pPr>
              <w:widowControl w:val="0"/>
              <w:suppressAutoHyphens/>
              <w:jc w:val="left"/>
              <w:rPr>
                <w:bCs/>
                <w:sz w:val="18"/>
                <w:szCs w:val="18"/>
              </w:rPr>
            </w:pPr>
            <w:r w:rsidRPr="00A34F10">
              <w:rPr>
                <w:bCs/>
                <w:sz w:val="18"/>
                <w:szCs w:val="18"/>
              </w:rPr>
              <w:t>781</w:t>
            </w:r>
            <w:r w:rsidRPr="00A34F10">
              <w:rPr>
                <w:bCs/>
                <w:sz w:val="18"/>
                <w:szCs w:val="18"/>
              </w:rPr>
              <w:br/>
              <w:t>(536 – 1140)</w:t>
            </w:r>
          </w:p>
        </w:tc>
        <w:tc>
          <w:tcPr>
            <w:tcW w:w="1941" w:type="pct"/>
            <w:gridSpan w:val="5"/>
            <w:vAlign w:val="center"/>
          </w:tcPr>
          <w:p w14:paraId="5DC9C8CE" w14:textId="77777777" w:rsidR="00DC5685" w:rsidRPr="00A34F10" w:rsidRDefault="00DC5685" w:rsidP="00DC5685">
            <w:pPr>
              <w:widowControl w:val="0"/>
              <w:suppressAutoHyphens/>
              <w:jc w:val="left"/>
              <w:rPr>
                <w:bCs/>
                <w:sz w:val="18"/>
                <w:szCs w:val="18"/>
              </w:rPr>
            </w:pPr>
            <w:r w:rsidRPr="00A34F10">
              <w:rPr>
                <w:bCs/>
                <w:sz w:val="18"/>
                <w:szCs w:val="18"/>
              </w:rPr>
              <w:t>149</w:t>
            </w:r>
            <w:r w:rsidRPr="00A34F10">
              <w:rPr>
                <w:bCs/>
                <w:sz w:val="18"/>
                <w:szCs w:val="18"/>
              </w:rPr>
              <w:br/>
              <w:t>(102 – 218)</w:t>
            </w:r>
          </w:p>
        </w:tc>
      </w:tr>
      <w:tr w:rsidR="00DC5685" w:rsidRPr="00A34F10" w14:paraId="63801043" w14:textId="77777777" w:rsidTr="000470C3">
        <w:trPr>
          <w:trHeight w:val="283"/>
        </w:trPr>
        <w:tc>
          <w:tcPr>
            <w:tcW w:w="1170" w:type="pct"/>
            <w:gridSpan w:val="2"/>
            <w:vAlign w:val="center"/>
          </w:tcPr>
          <w:p w14:paraId="4CB09009" w14:textId="77777777" w:rsidR="00DC5685" w:rsidRPr="00A34F10" w:rsidRDefault="00DC5685" w:rsidP="00DC5685">
            <w:pPr>
              <w:widowControl w:val="0"/>
              <w:suppressAutoHyphens/>
              <w:jc w:val="left"/>
              <w:rPr>
                <w:b/>
                <w:bCs/>
                <w:sz w:val="18"/>
                <w:szCs w:val="18"/>
              </w:rPr>
            </w:pPr>
            <w:r w:rsidRPr="00A34F10">
              <w:rPr>
                <w:b/>
                <w:bCs/>
                <w:sz w:val="18"/>
                <w:szCs w:val="18"/>
              </w:rPr>
              <w:t>NOEC [mg/kg food]</w:t>
            </w:r>
            <w:r w:rsidRPr="00A34F10">
              <w:rPr>
                <w:b/>
                <w:bCs/>
                <w:sz w:val="18"/>
                <w:szCs w:val="18"/>
                <w:vertAlign w:val="superscript"/>
              </w:rPr>
              <w:t xml:space="preserve"> 6)</w:t>
            </w:r>
          </w:p>
        </w:tc>
        <w:tc>
          <w:tcPr>
            <w:tcW w:w="1889" w:type="pct"/>
            <w:gridSpan w:val="5"/>
            <w:vAlign w:val="center"/>
          </w:tcPr>
          <w:p w14:paraId="2C928176" w14:textId="77777777" w:rsidR="00DC5685" w:rsidRPr="00A34F10" w:rsidRDefault="00DC5685" w:rsidP="00DC5685">
            <w:pPr>
              <w:widowControl w:val="0"/>
              <w:suppressAutoHyphens/>
              <w:jc w:val="left"/>
              <w:rPr>
                <w:bCs/>
                <w:sz w:val="18"/>
                <w:szCs w:val="18"/>
              </w:rPr>
            </w:pPr>
            <w:r w:rsidRPr="00A34F10">
              <w:rPr>
                <w:bCs/>
                <w:sz w:val="18"/>
                <w:szCs w:val="18"/>
              </w:rPr>
              <w:t>241</w:t>
            </w:r>
          </w:p>
        </w:tc>
        <w:tc>
          <w:tcPr>
            <w:tcW w:w="1941" w:type="pct"/>
            <w:gridSpan w:val="5"/>
            <w:vAlign w:val="center"/>
          </w:tcPr>
          <w:p w14:paraId="0B7D5DB1" w14:textId="77777777" w:rsidR="00DC5685" w:rsidRPr="00A34F10" w:rsidRDefault="00DC5685" w:rsidP="00DC5685">
            <w:pPr>
              <w:widowControl w:val="0"/>
              <w:suppressAutoHyphens/>
              <w:jc w:val="left"/>
              <w:rPr>
                <w:bCs/>
                <w:sz w:val="18"/>
                <w:szCs w:val="18"/>
              </w:rPr>
            </w:pPr>
            <w:r w:rsidRPr="00A34F10">
              <w:rPr>
                <w:bCs/>
                <w:sz w:val="18"/>
                <w:szCs w:val="18"/>
              </w:rPr>
              <w:t>46</w:t>
            </w:r>
          </w:p>
        </w:tc>
      </w:tr>
    </w:tbl>
    <w:p w14:paraId="42FCC6B0" w14:textId="77777777" w:rsidR="00DC5685" w:rsidRPr="00A34F10" w:rsidRDefault="00DC5685" w:rsidP="00DC5685">
      <w:pPr>
        <w:widowControl w:val="0"/>
        <w:suppressAutoHyphens/>
        <w:spacing w:before="40"/>
        <w:ind w:left="284" w:hanging="284"/>
        <w:jc w:val="both"/>
        <w:rPr>
          <w:sz w:val="18"/>
          <w:szCs w:val="16"/>
        </w:rPr>
      </w:pPr>
      <w:r w:rsidRPr="00A34F10">
        <w:rPr>
          <w:sz w:val="18"/>
          <w:szCs w:val="16"/>
        </w:rPr>
        <w:t>OO: Other observations (large quantities of remaining food and/or body size)</w:t>
      </w:r>
    </w:p>
    <w:p w14:paraId="765F1A70" w14:textId="77777777" w:rsidR="00DC5685" w:rsidRPr="00A34F10" w:rsidRDefault="00DC5685" w:rsidP="00DC5685">
      <w:pPr>
        <w:widowControl w:val="0"/>
        <w:suppressAutoHyphens/>
        <w:ind w:left="284" w:hanging="284"/>
        <w:jc w:val="both"/>
        <w:rPr>
          <w:sz w:val="18"/>
          <w:szCs w:val="16"/>
        </w:rPr>
      </w:pPr>
      <w:r w:rsidRPr="00A34F10">
        <w:rPr>
          <w:sz w:val="18"/>
          <w:szCs w:val="16"/>
        </w:rPr>
        <w:t>95% CL = upper / lower 95% confidence limits.</w:t>
      </w:r>
    </w:p>
    <w:p w14:paraId="398625FC"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1)</w:t>
      </w:r>
      <w:r w:rsidRPr="00A34F10">
        <w:rPr>
          <w:sz w:val="18"/>
          <w:szCs w:val="16"/>
        </w:rPr>
        <w:tab/>
        <w:t xml:space="preserve">According to </w:t>
      </w:r>
      <w:r w:rsidRPr="00A34F10">
        <w:rPr>
          <w:smallCaps/>
          <w:sz w:val="18"/>
          <w:szCs w:val="16"/>
        </w:rPr>
        <w:t>Schneider-Orelli 1947</w:t>
      </w:r>
      <w:r w:rsidRPr="00A34F10">
        <w:rPr>
          <w:sz w:val="18"/>
          <w:szCs w:val="16"/>
        </w:rPr>
        <w:t>.</w:t>
      </w:r>
    </w:p>
    <w:p w14:paraId="6A6C1294"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2)</w:t>
      </w:r>
      <w:r w:rsidRPr="00A34F10">
        <w:rPr>
          <w:sz w:val="18"/>
          <w:szCs w:val="16"/>
        </w:rPr>
        <w:tab/>
        <w:t>Mean mortality of pupae was calculated by the product of the number of dead pupae on D22 (death occurred between D8 and D22) and 100, divided by the number of larvae alive on D8 as being the baseline value.</w:t>
      </w:r>
    </w:p>
    <w:p w14:paraId="4F11B665"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3)</w:t>
      </w:r>
      <w:r w:rsidRPr="00A34F10">
        <w:rPr>
          <w:sz w:val="18"/>
          <w:szCs w:val="16"/>
        </w:rPr>
        <w:tab/>
        <w:t>Estimated.</w:t>
      </w:r>
    </w:p>
    <w:p w14:paraId="758F197A"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4)</w:t>
      </w:r>
      <w:r w:rsidRPr="00A34F10">
        <w:rPr>
          <w:sz w:val="18"/>
          <w:szCs w:val="16"/>
        </w:rPr>
        <w:tab/>
        <w:t>Chi² 2x2 Table Test with Bonferroni Correction; α = 0.05, one sided greater.</w:t>
      </w:r>
    </w:p>
    <w:p w14:paraId="0DD166E4"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5)</w:t>
      </w:r>
      <w:r w:rsidRPr="00A34F10">
        <w:rPr>
          <w:sz w:val="18"/>
          <w:szCs w:val="16"/>
        </w:rPr>
        <w:tab/>
        <w:t>Median effect dose/concentration of exposure was calculated using a Logit analysis (using linear max. likelihood regression).</w:t>
      </w:r>
    </w:p>
    <w:p w14:paraId="3564FF30"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6)</w:t>
      </w:r>
      <w:r w:rsidRPr="00A34F10">
        <w:rPr>
          <w:sz w:val="18"/>
          <w:szCs w:val="16"/>
        </w:rPr>
        <w:tab/>
        <w:t>Step-down Cochran-Armitage Test; α = 0.05; one sided greater.</w:t>
      </w:r>
    </w:p>
    <w:p w14:paraId="7E9E9D6A" w14:textId="77777777" w:rsidR="00DC5685" w:rsidRPr="00A34F10" w:rsidRDefault="00DC5685" w:rsidP="00DC5685">
      <w:pPr>
        <w:widowControl w:val="0"/>
        <w:suppressAutoHyphens/>
        <w:ind w:left="284" w:hanging="284"/>
        <w:jc w:val="both"/>
        <w:rPr>
          <w:sz w:val="18"/>
          <w:szCs w:val="16"/>
        </w:rPr>
      </w:pPr>
      <w:r w:rsidRPr="00A34F10">
        <w:rPr>
          <w:sz w:val="18"/>
          <w:szCs w:val="16"/>
          <w:vertAlign w:val="superscript"/>
        </w:rPr>
        <w:t>*</w:t>
      </w:r>
      <w:r w:rsidRPr="00A34F10">
        <w:rPr>
          <w:sz w:val="18"/>
          <w:szCs w:val="16"/>
        </w:rPr>
        <w:tab/>
        <w:t>Statistically significant difference in pairwise comparison between treatment and untreated control.</w:t>
      </w:r>
    </w:p>
    <w:p w14:paraId="2609E891" w14:textId="162A00F8" w:rsidR="00DC5685" w:rsidRPr="00A34F10" w:rsidRDefault="00772D00" w:rsidP="00DC5685">
      <w:pPr>
        <w:tabs>
          <w:tab w:val="left" w:pos="720"/>
        </w:tabs>
        <w:jc w:val="both"/>
        <w:rPr>
          <w:highlight w:val="green"/>
          <w:lang w:val="en-GB"/>
        </w:rPr>
      </w:pPr>
      <w:r w:rsidRPr="00A34F10">
        <w:rPr>
          <w:highlight w:val="green"/>
          <w:lang w:val="en-GB"/>
        </w:rPr>
        <w:br w:type="page"/>
      </w:r>
    </w:p>
    <w:p w14:paraId="652BBC4B" w14:textId="77777777" w:rsidR="00DC5685" w:rsidRPr="00A34F10" w:rsidRDefault="00DC5685" w:rsidP="00DC5685">
      <w:pPr>
        <w:tabs>
          <w:tab w:val="left" w:pos="720"/>
        </w:tabs>
        <w:ind w:left="360"/>
        <w:jc w:val="both"/>
        <w:rPr>
          <w:b/>
          <w:bCs/>
          <w:lang w:val="en-GB"/>
        </w:rPr>
      </w:pPr>
      <w:r w:rsidRPr="00A34F10">
        <w:rPr>
          <w:b/>
          <w:bCs/>
          <w:lang w:val="en-GB"/>
        </w:rPr>
        <w:lastRenderedPageBreak/>
        <w:t>C.</w:t>
      </w:r>
      <w:r w:rsidRPr="00A34F10">
        <w:rPr>
          <w:b/>
          <w:bCs/>
          <w:lang w:val="en-GB"/>
        </w:rPr>
        <w:tab/>
        <w:t>VALIDITY CRITERIA</w:t>
      </w:r>
    </w:p>
    <w:p w14:paraId="16B07002" w14:textId="77777777" w:rsidR="008D2927" w:rsidRDefault="008D2927" w:rsidP="00DC5685">
      <w:pPr>
        <w:tabs>
          <w:tab w:val="left" w:pos="720"/>
        </w:tabs>
        <w:jc w:val="both"/>
        <w:rPr>
          <w:lang w:val="en-GB"/>
        </w:rPr>
      </w:pPr>
    </w:p>
    <w:p w14:paraId="59E37D3C" w14:textId="1DC7D7D9" w:rsidR="00DC5685" w:rsidRPr="00A34F10" w:rsidRDefault="00DC5685" w:rsidP="00DC5685">
      <w:pPr>
        <w:tabs>
          <w:tab w:val="left" w:pos="720"/>
        </w:tabs>
        <w:jc w:val="both"/>
        <w:rPr>
          <w:lang w:val="en-GB"/>
        </w:rPr>
      </w:pPr>
      <w:r w:rsidRPr="00A34F10">
        <w:rPr>
          <w:lang w:val="en-GB"/>
        </w:rPr>
        <w:t>The study fulfilled the validity criteria outlined in the study, as detailed below:</w:t>
      </w:r>
    </w:p>
    <w:p w14:paraId="07484788" w14:textId="77777777" w:rsidR="00DC5685" w:rsidRPr="00A34F10" w:rsidRDefault="00DC5685" w:rsidP="00E05ECD">
      <w:pPr>
        <w:numPr>
          <w:ilvl w:val="0"/>
          <w:numId w:val="75"/>
        </w:numPr>
        <w:tabs>
          <w:tab w:val="left" w:pos="720"/>
        </w:tabs>
        <w:jc w:val="both"/>
        <w:rPr>
          <w:lang w:val="en-GB"/>
        </w:rPr>
      </w:pPr>
      <w:r w:rsidRPr="00A34F10">
        <w:rPr>
          <w:lang w:val="en-GB"/>
        </w:rPr>
        <w:t>Larval mortality should be ≤15% across all control replicates between day 3 and day 8.3% larval mortality was observed across the control replicates; therefore, this criterion was met.</w:t>
      </w:r>
    </w:p>
    <w:p w14:paraId="7AECF2FC" w14:textId="77777777" w:rsidR="00DC5685" w:rsidRPr="00A34F10" w:rsidRDefault="00DC5685" w:rsidP="00E05ECD">
      <w:pPr>
        <w:numPr>
          <w:ilvl w:val="0"/>
          <w:numId w:val="75"/>
        </w:numPr>
        <w:tabs>
          <w:tab w:val="left" w:pos="720"/>
        </w:tabs>
        <w:jc w:val="both"/>
        <w:rPr>
          <w:lang w:val="en-GB"/>
        </w:rPr>
      </w:pPr>
      <w:r w:rsidRPr="00A34F10">
        <w:rPr>
          <w:lang w:val="en-GB"/>
        </w:rPr>
        <w:t xml:space="preserve">Adult emergence rate should be ≥70% across all control replicates between day 3 and day 22. 80.6% of bees emerged across all control replicates up to day 22, therefore this criterion was met. </w:t>
      </w:r>
    </w:p>
    <w:p w14:paraId="6F32B1CB" w14:textId="77777777" w:rsidR="00DC5685" w:rsidRPr="00A34F10" w:rsidRDefault="00DC5685" w:rsidP="00E05ECD">
      <w:pPr>
        <w:numPr>
          <w:ilvl w:val="0"/>
          <w:numId w:val="75"/>
        </w:numPr>
        <w:tabs>
          <w:tab w:val="left" w:pos="720"/>
        </w:tabs>
        <w:jc w:val="both"/>
        <w:rPr>
          <w:lang w:val="en-GB"/>
        </w:rPr>
      </w:pPr>
      <w:r w:rsidRPr="00A34F10">
        <w:rPr>
          <w:lang w:val="en-GB"/>
        </w:rPr>
        <w:t>Larval mortality in the reference item treatment group should be ≥50% across all replicates. 72.2% mortality was observed in the reference item treatment group between day 3 and day 8, therefore this criterion was met.</w:t>
      </w:r>
    </w:p>
    <w:p w14:paraId="06DBA984" w14:textId="77777777" w:rsidR="00DC5685" w:rsidRPr="00A34F10" w:rsidRDefault="00DC5685" w:rsidP="00DC5685">
      <w:pPr>
        <w:tabs>
          <w:tab w:val="left" w:pos="720"/>
        </w:tabs>
        <w:jc w:val="both"/>
        <w:rPr>
          <w:lang w:val="en-GB"/>
        </w:rPr>
      </w:pPr>
    </w:p>
    <w:p w14:paraId="3402EEAB" w14:textId="77777777" w:rsidR="00DC5685" w:rsidRPr="00A34F10" w:rsidRDefault="00DC5685" w:rsidP="00E05ECD">
      <w:pPr>
        <w:keepNext/>
        <w:numPr>
          <w:ilvl w:val="0"/>
          <w:numId w:val="76"/>
        </w:numPr>
        <w:tabs>
          <w:tab w:val="left" w:pos="720"/>
        </w:tabs>
        <w:ind w:left="1077"/>
        <w:jc w:val="center"/>
        <w:rPr>
          <w:b/>
          <w:bCs/>
          <w:lang w:val="en-GB"/>
        </w:rPr>
      </w:pPr>
      <w:r w:rsidRPr="00A34F10">
        <w:rPr>
          <w:b/>
          <w:bCs/>
          <w:lang w:val="en-GB"/>
        </w:rPr>
        <w:t xml:space="preserve"> CONCLUSION</w:t>
      </w:r>
    </w:p>
    <w:p w14:paraId="6F8AD50F" w14:textId="77777777" w:rsidR="00DC5685" w:rsidRPr="00A34F10" w:rsidRDefault="00DC5685" w:rsidP="00DC5685">
      <w:pPr>
        <w:keepNext/>
        <w:tabs>
          <w:tab w:val="left" w:pos="720"/>
        </w:tabs>
        <w:jc w:val="both"/>
        <w:rPr>
          <w:b/>
          <w:bCs/>
          <w:lang w:val="en-GB"/>
        </w:rPr>
      </w:pPr>
    </w:p>
    <w:p w14:paraId="3C1C9078" w14:textId="77777777" w:rsidR="00DC5685" w:rsidRPr="00A34F10" w:rsidRDefault="00DC5685" w:rsidP="00DC5685">
      <w:pPr>
        <w:widowControl w:val="0"/>
        <w:suppressAutoHyphens/>
        <w:jc w:val="both"/>
      </w:pPr>
      <w:r w:rsidRPr="00A34F10">
        <w:t>In a repeated exposure larval toxicity study with BAS 650 00 F, the LD</w:t>
      </w:r>
      <w:r w:rsidRPr="00A34F10">
        <w:rPr>
          <w:vertAlign w:val="subscript"/>
        </w:rPr>
        <w:t>50</w:t>
      </w:r>
      <w:r w:rsidRPr="00A34F10">
        <w:t xml:space="preserve"> (larval mortality on D8) was determined to be &gt; 1447.6 µg BAS 650 00 F/larva (&gt; 277.6 µg a.s./larva), which is equivalent to an LC</w:t>
      </w:r>
      <w:r w:rsidRPr="00A34F10">
        <w:rPr>
          <w:vertAlign w:val="subscript"/>
        </w:rPr>
        <w:t>50</w:t>
      </w:r>
      <w:r w:rsidRPr="00A34F10">
        <w:t xml:space="preserve"> of &gt; 9400 mg BAS 650 00 F/kg food (&gt; 1802 mg a.s./kg food). The respective NOED was ≥ 1447.6 µg BAS 650 00 F/larva (≥ 277.6 µg a.s./larva) and the corresponding NOEC was ≥ 9400 mg BAS 650 00 F/kg food (≥ 1802 mg a.s./kg food).</w:t>
      </w:r>
    </w:p>
    <w:p w14:paraId="2EDF145A" w14:textId="77777777" w:rsidR="00DC5685" w:rsidRPr="00A34F10" w:rsidRDefault="00DC5685" w:rsidP="00DC5685">
      <w:pPr>
        <w:widowControl w:val="0"/>
        <w:suppressAutoHyphens/>
        <w:jc w:val="both"/>
      </w:pPr>
    </w:p>
    <w:p w14:paraId="3F1C827C" w14:textId="77777777" w:rsidR="00DC5685" w:rsidRPr="00A34F10" w:rsidRDefault="00DC5685" w:rsidP="00DC5685">
      <w:pPr>
        <w:widowControl w:val="0"/>
        <w:jc w:val="both"/>
      </w:pPr>
      <w:r w:rsidRPr="00A34F10">
        <w:t>In a repeated exposure larval toxicity study with BAS 650 00 F, the ED</w:t>
      </w:r>
      <w:r w:rsidRPr="00A34F10">
        <w:rPr>
          <w:vertAlign w:val="subscript"/>
        </w:rPr>
        <w:t>50</w:t>
      </w:r>
      <w:r w:rsidRPr="00A34F10">
        <w:t xml:space="preserve"> (successful adult emergence up to D22) was determined to be 120.3 µg BAS 650 00 F/larva (23.1 µg a.s./larva), which is equivalent to an EC</w:t>
      </w:r>
      <w:r w:rsidRPr="00A34F10">
        <w:rPr>
          <w:vertAlign w:val="subscript"/>
        </w:rPr>
        <w:t>50</w:t>
      </w:r>
      <w:r w:rsidRPr="00A34F10">
        <w:t xml:space="preserve"> of 781 mg BAS 650 00 F/kg food (149 mg a.s./kg food). The respective NOED was 37.1 µg BAS 650 00 F/larva (7.1 µg a.s./larva) and the corresponding NOEC was 241 mg BAS 650 00 F/kg food (46 mg a.s./kg food).</w:t>
      </w:r>
    </w:p>
    <w:p w14:paraId="30B7FF3F" w14:textId="77777777" w:rsidR="008D2927" w:rsidRDefault="008D2927">
      <w:pPr>
        <w:rPr>
          <w:b/>
          <w:bCs/>
          <w:sz w:val="24"/>
        </w:rPr>
      </w:pPr>
      <w:bookmarkStart w:id="1116" w:name="_Hlk43101269"/>
      <w:r>
        <w:br w:type="page"/>
      </w:r>
    </w:p>
    <w:p w14:paraId="43C694F4" w14:textId="718259B2" w:rsidR="00DC5685" w:rsidRPr="00A34F10" w:rsidRDefault="00DC5685" w:rsidP="00014BDE">
      <w:pPr>
        <w:pStyle w:val="RepAppendix5"/>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46CD8A19" w14:textId="77777777" w:rsidTr="00CB0DCB">
        <w:tc>
          <w:tcPr>
            <w:tcW w:w="1063" w:type="pct"/>
            <w:shd w:val="clear" w:color="auto" w:fill="D9D9D9" w:themeFill="background1" w:themeFillShade="D9"/>
          </w:tcPr>
          <w:p w14:paraId="344D408A" w14:textId="77777777" w:rsidR="00DC5685" w:rsidRPr="00A34F10" w:rsidRDefault="00DC5685" w:rsidP="00DC5685">
            <w:pPr>
              <w:keepNext/>
              <w:keepLines/>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01B1AF16" w14:textId="0CF84C94" w:rsidR="00C4331C" w:rsidRPr="007A6328" w:rsidRDefault="00DC5685" w:rsidP="00C4331C">
            <w:pPr>
              <w:pStyle w:val="RepStandard"/>
              <w:rPr>
                <w:color w:val="000000"/>
              </w:rPr>
            </w:pPr>
            <w:r w:rsidRPr="00A34F10">
              <w:rPr>
                <w:color w:val="000000" w:themeColor="text1"/>
              </w:rPr>
              <w:t xml:space="preserve"> </w:t>
            </w:r>
            <w:r w:rsidR="00C4331C" w:rsidRPr="007A6328">
              <w:rPr>
                <w:color w:val="000000"/>
              </w:rPr>
              <w:t xml:space="preserve">The study was conducted to </w:t>
            </w:r>
            <w:r w:rsidR="00C4331C" w:rsidRPr="00A34F10">
              <w:t>OECD 2</w:t>
            </w:r>
            <w:r w:rsidR="00C4331C">
              <w:t>39</w:t>
            </w:r>
            <w:r w:rsidR="00C4331C" w:rsidRPr="00A34F10">
              <w:t xml:space="preserve"> </w:t>
            </w:r>
            <w:r w:rsidR="00C4331C" w:rsidRPr="007A6328">
              <w:rPr>
                <w:color w:val="000000"/>
              </w:rPr>
              <w:t>and according to the principles of GLP. No deviations to the guideline were noted. All validity criteria were met.</w:t>
            </w:r>
          </w:p>
          <w:p w14:paraId="12B1B731" w14:textId="189698D7" w:rsidR="00DC5685" w:rsidRPr="00A34F10" w:rsidRDefault="00C4331C" w:rsidP="00C4331C">
            <w:pPr>
              <w:keepNext/>
              <w:keepLines/>
              <w:widowControl w:val="0"/>
              <w:jc w:val="both"/>
              <w:rPr>
                <w:rFonts w:eastAsia="Batang"/>
                <w:color w:val="000000" w:themeColor="text1"/>
              </w:rPr>
            </w:pPr>
            <w:r w:rsidRPr="007A6328">
              <w:rPr>
                <w:color w:val="000000"/>
              </w:rPr>
              <w:t xml:space="preserve">The study is considered to be reliable </w:t>
            </w:r>
            <w:r w:rsidRPr="007A6328">
              <w:t>and suitable for the risk assessment</w:t>
            </w:r>
            <w:r w:rsidRPr="007A6328">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bookmarkEnd w:id="1116"/>
    </w:tbl>
    <w:p w14:paraId="5637BCDE" w14:textId="77777777" w:rsidR="00DC5685" w:rsidRPr="00A34F10" w:rsidRDefault="00DC5685" w:rsidP="00DC5685">
      <w:pPr>
        <w:keepNext/>
        <w:keepLines/>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0590677C" w14:textId="77777777" w:rsidTr="000470C3">
        <w:trPr>
          <w:trHeight w:val="227"/>
          <w:jc w:val="center"/>
        </w:trPr>
        <w:tc>
          <w:tcPr>
            <w:tcW w:w="1364" w:type="pct"/>
          </w:tcPr>
          <w:p w14:paraId="33557E0B" w14:textId="77777777" w:rsidR="00DC5685" w:rsidRPr="00A34F10" w:rsidRDefault="00DC5685" w:rsidP="00DC5685">
            <w:pPr>
              <w:widowControl w:val="0"/>
              <w:spacing w:after="120"/>
              <w:jc w:val="both"/>
              <w:rPr>
                <w:lang w:val="en-GB"/>
              </w:rPr>
            </w:pPr>
            <w:bookmarkStart w:id="1117" w:name="_Hlk135687319"/>
            <w:r w:rsidRPr="00A34F10">
              <w:rPr>
                <w:lang w:val="en-GB"/>
              </w:rPr>
              <w:t xml:space="preserve">Data point: </w:t>
            </w:r>
          </w:p>
        </w:tc>
        <w:tc>
          <w:tcPr>
            <w:tcW w:w="3636" w:type="pct"/>
          </w:tcPr>
          <w:p w14:paraId="71D14D53" w14:textId="77777777" w:rsidR="00DC5685" w:rsidRPr="00A34F10" w:rsidRDefault="00DC5685" w:rsidP="00DC5685">
            <w:pPr>
              <w:widowControl w:val="0"/>
              <w:spacing w:after="120"/>
              <w:jc w:val="both"/>
              <w:rPr>
                <w:lang w:val="en-GB"/>
              </w:rPr>
            </w:pPr>
            <w:r w:rsidRPr="00A34F10">
              <w:rPr>
                <w:lang w:val="en-GB"/>
              </w:rPr>
              <w:t>CP 10.3.1.3/0</w:t>
            </w:r>
            <w:r w:rsidRPr="00A34F10">
              <w:t>2</w:t>
            </w:r>
          </w:p>
        </w:tc>
      </w:tr>
      <w:tr w:rsidR="00DC5685" w:rsidRPr="00A34F10" w14:paraId="46DA6DF9" w14:textId="77777777" w:rsidTr="000470C3">
        <w:trPr>
          <w:trHeight w:val="227"/>
          <w:jc w:val="center"/>
        </w:trPr>
        <w:tc>
          <w:tcPr>
            <w:tcW w:w="1364" w:type="pct"/>
          </w:tcPr>
          <w:p w14:paraId="0FDEBD1E"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6F09DCCC" w14:textId="77777777" w:rsidR="00DC5685" w:rsidRPr="00A34F10" w:rsidRDefault="00DC5685" w:rsidP="00DC5685">
            <w:pPr>
              <w:widowControl w:val="0"/>
              <w:spacing w:after="120"/>
              <w:jc w:val="both"/>
            </w:pPr>
            <w:r w:rsidRPr="00A34F10">
              <w:t>Repeated exposure of honey bee (</w:t>
            </w:r>
            <w:r w:rsidRPr="00A34F10">
              <w:rPr>
                <w:i/>
                <w:iCs/>
              </w:rPr>
              <w:t>Apis mellifera</w:t>
            </w:r>
            <w:r w:rsidRPr="00A34F10">
              <w:t xml:space="preserve"> L.) larvae to BAS 743 02 F under laboratory conditions</w:t>
            </w:r>
          </w:p>
          <w:p w14:paraId="68686116" w14:textId="77777777" w:rsidR="00DC5685" w:rsidRPr="00A34F10" w:rsidRDefault="00DC5685" w:rsidP="00DC5685">
            <w:pPr>
              <w:widowControl w:val="0"/>
              <w:spacing w:after="120"/>
              <w:jc w:val="both"/>
            </w:pPr>
            <w:r w:rsidRPr="00A34F10">
              <w:t>Schmidt, K., 2022</w:t>
            </w:r>
          </w:p>
          <w:p w14:paraId="07618740" w14:textId="066007E6" w:rsidR="00DC5685" w:rsidRPr="00A34F10" w:rsidRDefault="00D007AB" w:rsidP="00DC5685">
            <w:pPr>
              <w:widowControl w:val="0"/>
              <w:spacing w:after="120"/>
              <w:jc w:val="both"/>
            </w:pPr>
            <w:r>
              <w:t>XXXX</w:t>
            </w:r>
            <w:r w:rsidR="00DC5685" w:rsidRPr="00A34F10">
              <w:t xml:space="preserve"> Study ID: 933752_3</w:t>
            </w:r>
          </w:p>
          <w:p w14:paraId="438E5833" w14:textId="1B5DF1B6"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2022/2033710</w:t>
            </w:r>
          </w:p>
        </w:tc>
      </w:tr>
      <w:tr w:rsidR="00DC5685" w:rsidRPr="00A34F10" w14:paraId="6B01E4B9" w14:textId="77777777" w:rsidTr="000470C3">
        <w:trPr>
          <w:trHeight w:val="227"/>
          <w:jc w:val="center"/>
        </w:trPr>
        <w:tc>
          <w:tcPr>
            <w:tcW w:w="1364" w:type="pct"/>
          </w:tcPr>
          <w:p w14:paraId="44B9D44E"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28128EED" w14:textId="77777777" w:rsidR="00DC5685" w:rsidRPr="00A34F10" w:rsidRDefault="00DC5685" w:rsidP="00DC5685">
            <w:pPr>
              <w:widowControl w:val="0"/>
              <w:spacing w:after="120"/>
              <w:jc w:val="both"/>
            </w:pPr>
            <w:r w:rsidRPr="00A34F10">
              <w:t>OECD 239 (2021)</w:t>
            </w:r>
          </w:p>
        </w:tc>
      </w:tr>
      <w:tr w:rsidR="00DC5685" w:rsidRPr="00A34F10" w14:paraId="2519C600" w14:textId="77777777" w:rsidTr="000470C3">
        <w:trPr>
          <w:trHeight w:val="227"/>
          <w:jc w:val="center"/>
        </w:trPr>
        <w:tc>
          <w:tcPr>
            <w:tcW w:w="1364" w:type="pct"/>
          </w:tcPr>
          <w:p w14:paraId="42B08A1D"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09AF4C96"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1E1352B3" w14:textId="77777777" w:rsidTr="000470C3">
        <w:trPr>
          <w:trHeight w:val="227"/>
          <w:jc w:val="center"/>
        </w:trPr>
        <w:tc>
          <w:tcPr>
            <w:tcW w:w="1364" w:type="pct"/>
          </w:tcPr>
          <w:p w14:paraId="68CDA79E"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34A44C63"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51FD7947" w14:textId="77777777" w:rsidTr="000470C3">
        <w:trPr>
          <w:trHeight w:val="227"/>
          <w:jc w:val="center"/>
        </w:trPr>
        <w:tc>
          <w:tcPr>
            <w:tcW w:w="1364" w:type="pct"/>
          </w:tcPr>
          <w:p w14:paraId="6658639C"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67F2358E" w14:textId="77777777" w:rsidR="00DC5685" w:rsidRPr="00A34F10" w:rsidRDefault="00DC5685" w:rsidP="00DC5685">
            <w:pPr>
              <w:widowControl w:val="0"/>
              <w:spacing w:after="120"/>
              <w:jc w:val="both"/>
              <w:rPr>
                <w:lang w:val="en-GB"/>
              </w:rPr>
            </w:pPr>
            <w:r w:rsidRPr="00A34F10">
              <w:rPr>
                <w:lang w:val="en-GB"/>
              </w:rPr>
              <w:t>Yes</w:t>
            </w:r>
          </w:p>
        </w:tc>
      </w:tr>
    </w:tbl>
    <w:p w14:paraId="042279D4" w14:textId="3036A6F2" w:rsidR="00772D00" w:rsidRPr="00A34F10" w:rsidRDefault="00772D00" w:rsidP="00DC5685">
      <w:pPr>
        <w:widowControl w:val="0"/>
        <w:spacing w:after="120"/>
        <w:jc w:val="both"/>
        <w:rPr>
          <w:lang w:val="en-GB"/>
        </w:rPr>
      </w:pPr>
    </w:p>
    <w:p w14:paraId="39A8761C" w14:textId="77777777" w:rsidR="00DC5685" w:rsidRPr="00A34F10" w:rsidRDefault="00DC5685" w:rsidP="00DC5685">
      <w:pPr>
        <w:keepNext/>
        <w:keepLines/>
        <w:tabs>
          <w:tab w:val="left" w:pos="720"/>
        </w:tabs>
        <w:jc w:val="both"/>
        <w:rPr>
          <w:b/>
          <w:szCs w:val="32"/>
          <w:lang w:val="en-GB"/>
        </w:rPr>
      </w:pPr>
      <w:r w:rsidRPr="00A34F10">
        <w:rPr>
          <w:b/>
          <w:szCs w:val="32"/>
          <w:lang w:val="en-GB"/>
        </w:rPr>
        <w:t>Executive Summary</w:t>
      </w:r>
    </w:p>
    <w:p w14:paraId="0EC7DD93" w14:textId="77777777" w:rsidR="00DC5685" w:rsidRPr="00A34F10" w:rsidRDefault="00DC5685" w:rsidP="00DC5685">
      <w:pPr>
        <w:keepNext/>
        <w:keepLines/>
        <w:tabs>
          <w:tab w:val="left" w:pos="720"/>
        </w:tabs>
        <w:jc w:val="both"/>
        <w:rPr>
          <w:b/>
          <w:szCs w:val="32"/>
          <w:lang w:val="en-GB"/>
        </w:rPr>
      </w:pPr>
    </w:p>
    <w:p w14:paraId="248C1C3B" w14:textId="77777777" w:rsidR="00DC5685" w:rsidRPr="00A34F10" w:rsidRDefault="00DC5685" w:rsidP="00DC5685">
      <w:pPr>
        <w:keepNext/>
        <w:jc w:val="both"/>
        <w:rPr>
          <w:color w:val="000000" w:themeColor="text1"/>
          <w:highlight w:val="yellow"/>
        </w:rPr>
      </w:pPr>
      <w:r w:rsidRPr="00A34F10">
        <w:t>In a feeding toxicity test with repeated exposure, honey bee larvae (</w:t>
      </w:r>
      <w:r w:rsidRPr="00A34F10">
        <w:rPr>
          <w:i/>
          <w:iCs/>
        </w:rPr>
        <w:t>Apis mellifera</w:t>
      </w:r>
      <w:r w:rsidRPr="00A34F10">
        <w:t xml:space="preserve"> L.) were exposed to BAS 743 02 F diluted in the larval food. The toxicity of the test item was determined at total doses of 352.2, 117.3, 39.1, 13.0 and 4.4 µg product/larva (equivalent to concentrations of 2226.1, 741.3, 247.1, 82.4 and 27.6 mg product/kg food, respectively). Additionally, honey bee larvae were treated with Dimethoate tech. as reference item at a dose of 7.4 µg a.s./larva (concentration: 47 mg a.s./kg food). Untreated diet served as control.</w:t>
      </w:r>
      <w:r w:rsidRPr="00A34F10">
        <w:rPr>
          <w:color w:val="000000" w:themeColor="text1"/>
        </w:rPr>
        <w:t xml:space="preserve"> Three replicates were used per treatment, each containing 12 larvae, established from three different colonies. </w:t>
      </w:r>
      <w:r w:rsidRPr="00A34F10">
        <w:t>Assessments of larval mortality were done on days 4, 5, 6, 7 and 8. Additionally, other observations such as small body size or large quantities of remaining food on day 8 were noted. Pupal mortality was assessed at day 15 and emergence of adults was evaluated at day 22.</w:t>
      </w:r>
    </w:p>
    <w:p w14:paraId="2E23D661" w14:textId="77777777" w:rsidR="00DC5685" w:rsidRPr="00A34F10" w:rsidRDefault="00DC5685" w:rsidP="00DC5685">
      <w:pPr>
        <w:rPr>
          <w:color w:val="000000" w:themeColor="text1"/>
          <w:highlight w:val="yellow"/>
        </w:rPr>
      </w:pPr>
    </w:p>
    <w:p w14:paraId="2FE42400" w14:textId="77777777" w:rsidR="00DC5685" w:rsidRPr="00A34F10" w:rsidRDefault="00DC5685" w:rsidP="00DC5685">
      <w:pPr>
        <w:spacing w:after="240"/>
        <w:jc w:val="both"/>
      </w:pPr>
      <w:r w:rsidRPr="00A34F10">
        <w:t>The 8-day LD</w:t>
      </w:r>
      <w:r w:rsidRPr="00A34F10">
        <w:rPr>
          <w:vertAlign w:val="subscript"/>
        </w:rPr>
        <w:t>50</w:t>
      </w:r>
      <w:r w:rsidRPr="00A34F10">
        <w:t xml:space="preserve"> was estimated to be &gt; 352.2 µg product/larva, the highest dose tested, equivalent to LC</w:t>
      </w:r>
      <w:r w:rsidRPr="00A34F10">
        <w:rPr>
          <w:vertAlign w:val="subscript"/>
        </w:rPr>
        <w:t>50</w:t>
      </w:r>
      <w:r w:rsidRPr="00A34F10">
        <w:t xml:space="preserve"> &gt; 2226.1 mg product/kg food. The respective NOED was estimated to be ≥ 352.2 µg product/larva and the corresponding NOEC was estimated to be ≥ 2226.1 mg product/kg food.</w:t>
      </w:r>
    </w:p>
    <w:p w14:paraId="5E45E8E4" w14:textId="77777777" w:rsidR="00DC5685" w:rsidRDefault="00DC5685" w:rsidP="00DC5685">
      <w:pPr>
        <w:spacing w:after="240"/>
        <w:jc w:val="both"/>
      </w:pPr>
      <w:r w:rsidRPr="00A34F10">
        <w:t>The 22-day ED</w:t>
      </w:r>
      <w:r w:rsidRPr="00A34F10">
        <w:rPr>
          <w:vertAlign w:val="subscript"/>
        </w:rPr>
        <w:t>50</w:t>
      </w:r>
      <w:r w:rsidRPr="00A34F10">
        <w:t xml:space="preserve"> (successful adult emergence) was calculated to be &gt; 352.2 µg product/larva, the highest dose tested, equivalent to EC</w:t>
      </w:r>
      <w:r w:rsidRPr="00A34F10">
        <w:rPr>
          <w:vertAlign w:val="subscript"/>
        </w:rPr>
        <w:t>50</w:t>
      </w:r>
      <w:r w:rsidRPr="00A34F10">
        <w:t xml:space="preserve"> &gt; 2226.1 mg product/kg food. The 22-day ED</w:t>
      </w:r>
      <w:r w:rsidRPr="00A34F10">
        <w:rPr>
          <w:vertAlign w:val="subscript"/>
        </w:rPr>
        <w:t>20</w:t>
      </w:r>
      <w:r w:rsidRPr="00A34F10">
        <w:t xml:space="preserve"> and ED</w:t>
      </w:r>
      <w:r w:rsidRPr="00A34F10">
        <w:rPr>
          <w:vertAlign w:val="subscript"/>
        </w:rPr>
        <w:t>10</w:t>
      </w:r>
      <w:r w:rsidRPr="00A34F10">
        <w:t xml:space="preserve"> values were determined to be 93.3 and 44.5 µg product/larva, respectively. The respective NOED was determined to be 39.1 µg product/larva and the corresponding NOEC was determined to be 247.1 mg product/kg food.</w:t>
      </w:r>
    </w:p>
    <w:p w14:paraId="3B046B50" w14:textId="77777777" w:rsidR="00DC5685" w:rsidRPr="00A34F10" w:rsidRDefault="00DC5685" w:rsidP="00E05ECD">
      <w:pPr>
        <w:numPr>
          <w:ilvl w:val="0"/>
          <w:numId w:val="50"/>
        </w:numPr>
        <w:tabs>
          <w:tab w:val="left" w:pos="720"/>
        </w:tabs>
        <w:spacing w:after="240"/>
        <w:jc w:val="center"/>
        <w:rPr>
          <w:b/>
          <w:bCs/>
          <w:caps/>
          <w:szCs w:val="24"/>
          <w:lang w:val="en-GB"/>
        </w:rPr>
      </w:pPr>
      <w:r w:rsidRPr="00A34F10">
        <w:rPr>
          <w:b/>
          <w:bCs/>
          <w:caps/>
          <w:szCs w:val="24"/>
          <w:lang w:val="en-GB"/>
        </w:rPr>
        <w:t>MATERIALS AND METHODS</w:t>
      </w:r>
    </w:p>
    <w:p w14:paraId="3395B8E6" w14:textId="77777777" w:rsidR="00DC5685" w:rsidRPr="00A34F10" w:rsidRDefault="00DC5685" w:rsidP="00E05ECD">
      <w:pPr>
        <w:numPr>
          <w:ilvl w:val="0"/>
          <w:numId w:val="51"/>
        </w:numPr>
        <w:ind w:left="284" w:hanging="284"/>
        <w:contextualSpacing/>
        <w:rPr>
          <w:b/>
          <w:bCs/>
          <w:caps/>
          <w:szCs w:val="24"/>
          <w:lang w:val="en-GB"/>
        </w:rPr>
      </w:pPr>
      <w:r w:rsidRPr="00A34F10">
        <w:rPr>
          <w:b/>
          <w:bCs/>
          <w:caps/>
          <w:szCs w:val="24"/>
          <w:lang w:val="en-GB"/>
        </w:rPr>
        <w:t>MATERIALS</w:t>
      </w:r>
    </w:p>
    <w:p w14:paraId="11E32B6B" w14:textId="77777777" w:rsidR="00DC5685" w:rsidRPr="00A34F10" w:rsidRDefault="00DC5685" w:rsidP="00DC5685">
      <w:pPr>
        <w:ind w:left="284"/>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DC5685" w:rsidRPr="00A34F10" w14:paraId="5B3F680C" w14:textId="77777777" w:rsidTr="000470C3">
        <w:trPr>
          <w:cantSplit/>
          <w:trHeight w:hRule="exact" w:val="340"/>
        </w:trPr>
        <w:tc>
          <w:tcPr>
            <w:tcW w:w="3828" w:type="dxa"/>
          </w:tcPr>
          <w:p w14:paraId="530575DF" w14:textId="77777777" w:rsidR="00DC5685" w:rsidRPr="00A34F10" w:rsidRDefault="00DC5685" w:rsidP="00E05ECD">
            <w:pPr>
              <w:numPr>
                <w:ilvl w:val="0"/>
                <w:numId w:val="60"/>
              </w:numPr>
              <w:tabs>
                <w:tab w:val="left" w:pos="255"/>
              </w:tabs>
              <w:spacing w:after="240"/>
              <w:contextualSpacing/>
              <w:rPr>
                <w:rFonts w:ascii="Times New Roman" w:hAnsi="Times New Roman"/>
                <w:b/>
                <w:bCs/>
                <w:szCs w:val="24"/>
                <w:lang w:eastAsia="en-US"/>
              </w:rPr>
            </w:pPr>
            <w:r w:rsidRPr="00A34F10">
              <w:rPr>
                <w:rFonts w:ascii="Times New Roman" w:hAnsi="Times New Roman"/>
                <w:b/>
                <w:bCs/>
                <w:lang w:eastAsia="en-US"/>
              </w:rPr>
              <w:t>Test item:</w:t>
            </w:r>
          </w:p>
        </w:tc>
        <w:tc>
          <w:tcPr>
            <w:tcW w:w="5522" w:type="dxa"/>
          </w:tcPr>
          <w:p w14:paraId="1387C93A"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pl-PL" w:eastAsia="en-US"/>
              </w:rPr>
              <w:t>BAS 743 02 F</w:t>
            </w:r>
          </w:p>
        </w:tc>
      </w:tr>
      <w:tr w:rsidR="00DC5685" w:rsidRPr="00A34F10" w14:paraId="754D6747" w14:textId="77777777" w:rsidTr="000470C3">
        <w:trPr>
          <w:cantSplit/>
          <w:trHeight w:hRule="exact" w:val="340"/>
        </w:trPr>
        <w:tc>
          <w:tcPr>
            <w:tcW w:w="3828" w:type="dxa"/>
          </w:tcPr>
          <w:p w14:paraId="2A87741F"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szCs w:val="24"/>
                <w:lang w:eastAsia="en-US"/>
              </w:rPr>
            </w:pPr>
            <w:r w:rsidRPr="00A34F10">
              <w:rPr>
                <w:rFonts w:ascii="Times New Roman" w:hAnsi="Times New Roman"/>
                <w:b/>
                <w:bCs/>
                <w:lang w:eastAsia="en-US"/>
              </w:rPr>
              <w:t>Description</w:t>
            </w:r>
            <w:r w:rsidRPr="00A34F10">
              <w:rPr>
                <w:rFonts w:ascii="Times New Roman" w:hAnsi="Times New Roman"/>
                <w:b/>
                <w:bCs/>
                <w:szCs w:val="24"/>
                <w:lang w:eastAsia="en-US"/>
              </w:rPr>
              <w:t>:</w:t>
            </w:r>
          </w:p>
        </w:tc>
        <w:tc>
          <w:tcPr>
            <w:tcW w:w="5522" w:type="dxa"/>
          </w:tcPr>
          <w:p w14:paraId="297E81FC"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x-none" w:eastAsia="en-US"/>
              </w:rPr>
              <w:t>SC (suspension concentrate)</w:t>
            </w:r>
          </w:p>
        </w:tc>
      </w:tr>
      <w:tr w:rsidR="00DC5685" w:rsidRPr="00A34F10" w14:paraId="62E5F3B2" w14:textId="77777777" w:rsidTr="000470C3">
        <w:trPr>
          <w:cantSplit/>
          <w:trHeight w:hRule="exact" w:val="397"/>
        </w:trPr>
        <w:tc>
          <w:tcPr>
            <w:tcW w:w="3828" w:type="dxa"/>
          </w:tcPr>
          <w:p w14:paraId="357FFA9E"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Lot/Batch:</w:t>
            </w:r>
          </w:p>
        </w:tc>
        <w:tc>
          <w:tcPr>
            <w:tcW w:w="5522" w:type="dxa"/>
          </w:tcPr>
          <w:p w14:paraId="09BE4190"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en-US" w:eastAsia="en-US"/>
              </w:rPr>
              <w:t>FRE-002224</w:t>
            </w:r>
          </w:p>
        </w:tc>
      </w:tr>
      <w:tr w:rsidR="00DC5685" w:rsidRPr="00A34F10" w14:paraId="7258C80A" w14:textId="77777777" w:rsidTr="000470C3">
        <w:trPr>
          <w:cantSplit/>
          <w:trHeight w:hRule="exact" w:val="719"/>
        </w:trPr>
        <w:tc>
          <w:tcPr>
            <w:tcW w:w="3828" w:type="dxa"/>
          </w:tcPr>
          <w:p w14:paraId="2AC2F152"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Active substance content:</w:t>
            </w:r>
          </w:p>
        </w:tc>
        <w:tc>
          <w:tcPr>
            <w:tcW w:w="5522" w:type="dxa"/>
          </w:tcPr>
          <w:p w14:paraId="13B0A1B8" w14:textId="77777777" w:rsidR="00DC5685" w:rsidRPr="00A34F10" w:rsidRDefault="00DC5685" w:rsidP="00DC5685">
            <w:pPr>
              <w:tabs>
                <w:tab w:val="left" w:pos="720"/>
              </w:tabs>
              <w:spacing w:line="276" w:lineRule="auto"/>
              <w:rPr>
                <w:rFonts w:ascii="Times New Roman" w:hAnsi="Times New Roman"/>
                <w:szCs w:val="24"/>
                <w:lang w:val="en-US" w:eastAsia="en-US"/>
              </w:rPr>
            </w:pPr>
            <w:r w:rsidRPr="00A34F10">
              <w:rPr>
                <w:rFonts w:ascii="Times New Roman" w:hAnsi="Times New Roman"/>
                <w:szCs w:val="24"/>
                <w:lang w:val="en-US" w:eastAsia="en-US"/>
              </w:rPr>
              <w:t>Propamocarb: nominal 432.0 g/L, analysed 431.0 g/L;</w:t>
            </w:r>
          </w:p>
          <w:p w14:paraId="7A38DBE5" w14:textId="77777777" w:rsidR="00DC5685" w:rsidRPr="00A34F10" w:rsidRDefault="00DC5685" w:rsidP="00DC5685">
            <w:pPr>
              <w:tabs>
                <w:tab w:val="left" w:pos="720"/>
              </w:tabs>
              <w:spacing w:line="276" w:lineRule="auto"/>
              <w:rPr>
                <w:rFonts w:ascii="Times New Roman" w:hAnsi="Times New Roman"/>
                <w:szCs w:val="24"/>
                <w:lang w:val="en-US" w:eastAsia="en-US"/>
              </w:rPr>
            </w:pPr>
            <w:r w:rsidRPr="00A34F10">
              <w:rPr>
                <w:rFonts w:ascii="Times New Roman" w:hAnsi="Times New Roman"/>
                <w:szCs w:val="24"/>
                <w:lang w:val="en-US" w:eastAsia="en-US"/>
              </w:rPr>
              <w:t>Ametoctradin: nominal 137.14 g/L, analysed 137.7 g/L</w:t>
            </w:r>
          </w:p>
        </w:tc>
      </w:tr>
      <w:tr w:rsidR="00DC5685" w:rsidRPr="00A34F10" w14:paraId="5D256753" w14:textId="77777777" w:rsidTr="000470C3">
        <w:trPr>
          <w:cantSplit/>
          <w:trHeight w:hRule="exact" w:val="340"/>
        </w:trPr>
        <w:tc>
          <w:tcPr>
            <w:tcW w:w="3828" w:type="dxa"/>
          </w:tcPr>
          <w:p w14:paraId="52FF1E8B"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Density:</w:t>
            </w:r>
          </w:p>
        </w:tc>
        <w:tc>
          <w:tcPr>
            <w:tcW w:w="5522" w:type="dxa"/>
          </w:tcPr>
          <w:p w14:paraId="20439E87" w14:textId="77777777" w:rsidR="00DC5685" w:rsidRPr="00A34F10" w:rsidRDefault="00DC5685" w:rsidP="00DC5685">
            <w:pPr>
              <w:tabs>
                <w:tab w:val="left" w:pos="720"/>
              </w:tabs>
              <w:rPr>
                <w:rFonts w:ascii="Times New Roman" w:hAnsi="Times New Roman"/>
                <w:szCs w:val="24"/>
                <w:lang w:eastAsia="en-US"/>
              </w:rPr>
            </w:pPr>
            <w:r w:rsidRPr="00A34F10">
              <w:rPr>
                <w:rFonts w:ascii="Times New Roman" w:hAnsi="Times New Roman"/>
                <w:szCs w:val="24"/>
                <w:lang w:eastAsia="en-US"/>
              </w:rPr>
              <w:t>1.080 g/cm³</w:t>
            </w:r>
          </w:p>
        </w:tc>
      </w:tr>
      <w:tr w:rsidR="00DC5685" w:rsidRPr="00A34F10" w14:paraId="73616D17" w14:textId="77777777" w:rsidTr="000470C3">
        <w:trPr>
          <w:cantSplit/>
          <w:trHeight w:hRule="exact" w:val="340"/>
        </w:trPr>
        <w:tc>
          <w:tcPr>
            <w:tcW w:w="3828" w:type="dxa"/>
          </w:tcPr>
          <w:p w14:paraId="7EF9C386"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lastRenderedPageBreak/>
              <w:t>Storage conditions:</w:t>
            </w:r>
          </w:p>
        </w:tc>
        <w:tc>
          <w:tcPr>
            <w:tcW w:w="5522" w:type="dxa"/>
          </w:tcPr>
          <w:p w14:paraId="4ECEECDB" w14:textId="77777777" w:rsidR="00DC5685" w:rsidRPr="00A34F10" w:rsidRDefault="00DC5685" w:rsidP="00DC5685">
            <w:pPr>
              <w:tabs>
                <w:tab w:val="left" w:pos="720"/>
              </w:tabs>
              <w:rPr>
                <w:rFonts w:ascii="Times New Roman" w:hAnsi="Times New Roman"/>
                <w:szCs w:val="24"/>
                <w:lang w:eastAsia="en-US"/>
              </w:rPr>
            </w:pPr>
            <w:r w:rsidRPr="00A34F10">
              <w:rPr>
                <w:rFonts w:ascii="Times New Roman" w:hAnsi="Times New Roman"/>
                <w:szCs w:val="24"/>
                <w:lang w:val="en-US" w:eastAsia="en-US"/>
              </w:rPr>
              <w:t>At room temperature (typically +5°C to +35°C)</w:t>
            </w:r>
          </w:p>
        </w:tc>
      </w:tr>
      <w:tr w:rsidR="00DC5685" w:rsidRPr="00A34F10" w14:paraId="2B9B7FD2" w14:textId="77777777" w:rsidTr="000470C3">
        <w:trPr>
          <w:cantSplit/>
          <w:trHeight w:hRule="exact" w:val="340"/>
        </w:trPr>
        <w:tc>
          <w:tcPr>
            <w:tcW w:w="3828" w:type="dxa"/>
          </w:tcPr>
          <w:p w14:paraId="7BA2FBE5" w14:textId="77777777" w:rsidR="00DC5685" w:rsidRPr="00A34F10" w:rsidRDefault="00DC5685" w:rsidP="00DC5685">
            <w:pPr>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Stability (expiry date):</w:t>
            </w:r>
          </w:p>
        </w:tc>
        <w:tc>
          <w:tcPr>
            <w:tcW w:w="5522" w:type="dxa"/>
          </w:tcPr>
          <w:p w14:paraId="36A679CD" w14:textId="77777777" w:rsidR="00DC5685" w:rsidRPr="00A34F10" w:rsidRDefault="00DC5685" w:rsidP="00DC5685">
            <w:pPr>
              <w:tabs>
                <w:tab w:val="left" w:pos="720"/>
              </w:tabs>
              <w:rPr>
                <w:rFonts w:ascii="Times New Roman" w:hAnsi="Times New Roman"/>
                <w:szCs w:val="24"/>
                <w:lang w:eastAsia="en-US"/>
              </w:rPr>
            </w:pPr>
            <w:r w:rsidRPr="00A34F10">
              <w:rPr>
                <w:rFonts w:ascii="Times New Roman" w:hAnsi="Times New Roman"/>
                <w:szCs w:val="24"/>
                <w:lang w:eastAsia="en-US"/>
              </w:rPr>
              <w:t>31.01.2024</w:t>
            </w:r>
          </w:p>
        </w:tc>
      </w:tr>
      <w:tr w:rsidR="00DC5685" w:rsidRPr="00A34F10" w14:paraId="2F0E0BE3" w14:textId="77777777" w:rsidTr="000470C3">
        <w:trPr>
          <w:cantSplit/>
          <w:trHeight w:hRule="exact" w:val="340"/>
        </w:trPr>
        <w:tc>
          <w:tcPr>
            <w:tcW w:w="3828" w:type="dxa"/>
          </w:tcPr>
          <w:p w14:paraId="078366AC" w14:textId="77777777" w:rsidR="00DC5685" w:rsidRPr="00A34F10" w:rsidRDefault="00DC5685" w:rsidP="00E05ECD">
            <w:pPr>
              <w:keepNext/>
              <w:keepLines/>
              <w:numPr>
                <w:ilvl w:val="0"/>
                <w:numId w:val="60"/>
              </w:numPr>
              <w:tabs>
                <w:tab w:val="left" w:pos="255"/>
              </w:tabs>
              <w:spacing w:after="240"/>
              <w:contextualSpacing/>
              <w:rPr>
                <w:rFonts w:ascii="Times New Roman" w:hAnsi="Times New Roman"/>
                <w:b/>
                <w:bCs/>
                <w:szCs w:val="24"/>
                <w:lang w:eastAsia="en-US"/>
              </w:rPr>
            </w:pPr>
            <w:r w:rsidRPr="00A34F10">
              <w:rPr>
                <w:rFonts w:ascii="Times New Roman" w:hAnsi="Times New Roman"/>
                <w:b/>
                <w:bCs/>
                <w:lang w:eastAsia="en-US"/>
              </w:rPr>
              <w:t>Control:</w:t>
            </w:r>
          </w:p>
        </w:tc>
        <w:tc>
          <w:tcPr>
            <w:tcW w:w="5522" w:type="dxa"/>
          </w:tcPr>
          <w:p w14:paraId="57067D9E"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szCs w:val="24"/>
                <w:lang w:val="en-US" w:eastAsia="en-US"/>
              </w:rPr>
              <w:t>Untreated larval diet</w:t>
            </w:r>
          </w:p>
        </w:tc>
      </w:tr>
      <w:tr w:rsidR="00DC5685" w:rsidRPr="00A34F10" w14:paraId="44692F9D" w14:textId="77777777" w:rsidTr="000470C3">
        <w:trPr>
          <w:cantSplit/>
          <w:trHeight w:hRule="exact" w:val="355"/>
        </w:trPr>
        <w:tc>
          <w:tcPr>
            <w:tcW w:w="3828" w:type="dxa"/>
          </w:tcPr>
          <w:p w14:paraId="48EAD61C" w14:textId="77777777" w:rsidR="00DC5685" w:rsidRPr="00A34F10" w:rsidRDefault="00DC5685" w:rsidP="00E05ECD">
            <w:pPr>
              <w:keepNext/>
              <w:keepLines/>
              <w:numPr>
                <w:ilvl w:val="0"/>
                <w:numId w:val="60"/>
              </w:numPr>
              <w:tabs>
                <w:tab w:val="left" w:pos="255"/>
              </w:tabs>
              <w:spacing w:after="240"/>
              <w:contextualSpacing/>
              <w:rPr>
                <w:rFonts w:ascii="Times New Roman" w:hAnsi="Times New Roman"/>
                <w:b/>
                <w:bCs/>
                <w:szCs w:val="24"/>
                <w:lang w:eastAsia="en-US"/>
              </w:rPr>
            </w:pPr>
            <w:r w:rsidRPr="00A34F10">
              <w:rPr>
                <w:rFonts w:ascii="Times New Roman" w:hAnsi="Times New Roman"/>
                <w:b/>
                <w:bCs/>
                <w:lang w:eastAsia="en-US"/>
              </w:rPr>
              <w:t>Reference item:</w:t>
            </w:r>
          </w:p>
        </w:tc>
        <w:tc>
          <w:tcPr>
            <w:tcW w:w="5522" w:type="dxa"/>
          </w:tcPr>
          <w:p w14:paraId="7424D76C" w14:textId="77777777" w:rsidR="00DC5685" w:rsidRPr="00A34F10" w:rsidRDefault="00DC5685" w:rsidP="00DC5685">
            <w:pPr>
              <w:tabs>
                <w:tab w:val="left" w:pos="720"/>
                <w:tab w:val="left" w:pos="2057"/>
              </w:tabs>
              <w:spacing w:after="240"/>
              <w:jc w:val="both"/>
              <w:rPr>
                <w:rFonts w:ascii="Times New Roman" w:hAnsi="Times New Roman"/>
                <w:szCs w:val="24"/>
                <w:lang w:eastAsia="en-US"/>
              </w:rPr>
            </w:pPr>
            <w:r w:rsidRPr="00A34F10">
              <w:rPr>
                <w:rFonts w:ascii="Times New Roman" w:hAnsi="Times New Roman"/>
                <w:szCs w:val="24"/>
                <w:lang w:val="en-US" w:eastAsia="en-US"/>
              </w:rPr>
              <w:t>Dimethoate tech. (analyzed purity: 99.32 % w/w)</w:t>
            </w:r>
          </w:p>
        </w:tc>
      </w:tr>
    </w:tbl>
    <w:p w14:paraId="12546ABC" w14:textId="7CFA418A" w:rsidR="00772D00" w:rsidRPr="00A34F10" w:rsidRDefault="00772D00" w:rsidP="00DC5685">
      <w:pPr>
        <w:ind w:left="284"/>
        <w:contextualSpacing/>
        <w:rPr>
          <w:b/>
          <w:bCs/>
          <w:caps/>
          <w:szCs w:val="24"/>
          <w:lang w:val="en-GB"/>
        </w:rPr>
      </w:pPr>
    </w:p>
    <w:p w14:paraId="4B8F79D3" w14:textId="77777777" w:rsidR="00DC5685" w:rsidRPr="00A34F10" w:rsidRDefault="00DC5685" w:rsidP="00E05ECD">
      <w:pPr>
        <w:numPr>
          <w:ilvl w:val="0"/>
          <w:numId w:val="51"/>
        </w:numPr>
        <w:ind w:left="284" w:hanging="284"/>
        <w:contextualSpacing/>
        <w:rPr>
          <w:b/>
          <w:bCs/>
          <w:caps/>
          <w:szCs w:val="24"/>
          <w:lang w:val="en-GB"/>
        </w:rPr>
      </w:pPr>
      <w:r w:rsidRPr="00A34F10">
        <w:rPr>
          <w:b/>
          <w:bCs/>
          <w:caps/>
          <w:szCs w:val="24"/>
          <w:lang w:val="en-GB"/>
        </w:rPr>
        <w:t>study design and methods</w:t>
      </w:r>
    </w:p>
    <w:p w14:paraId="5A417116" w14:textId="77777777" w:rsidR="00DC5685" w:rsidRPr="00A34F10" w:rsidRDefault="00DC5685" w:rsidP="00DC5685">
      <w:pPr>
        <w:contextualSpacing/>
        <w:rPr>
          <w:b/>
          <w:bCs/>
          <w:caps/>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6"/>
        <w:gridCol w:w="5518"/>
      </w:tblGrid>
      <w:tr w:rsidR="00DC5685" w:rsidRPr="00A34F10" w14:paraId="7C27D8CA" w14:textId="77777777" w:rsidTr="000470C3">
        <w:trPr>
          <w:trHeight w:hRule="exact" w:val="340"/>
        </w:trPr>
        <w:tc>
          <w:tcPr>
            <w:tcW w:w="3826" w:type="dxa"/>
          </w:tcPr>
          <w:p w14:paraId="1B9C463D" w14:textId="77777777" w:rsidR="00DC5685" w:rsidRPr="00A34F10" w:rsidRDefault="00DC5685" w:rsidP="00E05ECD">
            <w:pPr>
              <w:keepNext/>
              <w:keepLines/>
              <w:numPr>
                <w:ilvl w:val="0"/>
                <w:numId w:val="61"/>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Test organism:</w:t>
            </w:r>
          </w:p>
        </w:tc>
        <w:tc>
          <w:tcPr>
            <w:tcW w:w="5518" w:type="dxa"/>
          </w:tcPr>
          <w:p w14:paraId="553F658E"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i/>
                <w:iCs/>
                <w:szCs w:val="24"/>
                <w:lang w:val="en-US" w:eastAsia="en-US"/>
              </w:rPr>
              <w:t xml:space="preserve">Apis mellifera </w:t>
            </w:r>
            <w:r w:rsidRPr="00A34F10">
              <w:rPr>
                <w:rFonts w:ascii="Times New Roman" w:hAnsi="Times New Roman"/>
                <w:szCs w:val="24"/>
                <w:lang w:val="en-US" w:eastAsia="en-US"/>
              </w:rPr>
              <w:t>L. subspecies</w:t>
            </w:r>
            <w:r w:rsidRPr="00A34F10">
              <w:rPr>
                <w:rFonts w:ascii="Times New Roman" w:hAnsi="Times New Roman"/>
                <w:i/>
                <w:iCs/>
                <w:szCs w:val="24"/>
                <w:lang w:val="en-US" w:eastAsia="en-US"/>
              </w:rPr>
              <w:t xml:space="preserve"> </w:t>
            </w:r>
            <w:r w:rsidRPr="00A34F10">
              <w:rPr>
                <w:rFonts w:ascii="Times New Roman" w:hAnsi="Times New Roman"/>
                <w:szCs w:val="24"/>
                <w:lang w:val="en-US" w:eastAsia="en-US"/>
              </w:rPr>
              <w:t>Buckfast</w:t>
            </w:r>
          </w:p>
        </w:tc>
      </w:tr>
      <w:tr w:rsidR="00DC5685" w:rsidRPr="00A34F10" w14:paraId="038A00D7" w14:textId="77777777" w:rsidTr="000470C3">
        <w:trPr>
          <w:trHeight w:hRule="exact" w:val="333"/>
        </w:trPr>
        <w:tc>
          <w:tcPr>
            <w:tcW w:w="3826" w:type="dxa"/>
          </w:tcPr>
          <w:p w14:paraId="1FB4C647"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Age:</w:t>
            </w:r>
          </w:p>
        </w:tc>
        <w:tc>
          <w:tcPr>
            <w:tcW w:w="5518" w:type="dxa"/>
          </w:tcPr>
          <w:p w14:paraId="7527663C"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eastAsia="Times New Roman" w:hAnsi="Times New Roman"/>
                <w:lang w:val="en-US" w:eastAsia="de-DE"/>
              </w:rPr>
              <w:t>One day old, first instar larvae</w:t>
            </w:r>
          </w:p>
        </w:tc>
      </w:tr>
      <w:tr w:rsidR="00DC5685" w:rsidRPr="00A34F10" w14:paraId="16619D2C" w14:textId="77777777" w:rsidTr="000470C3">
        <w:trPr>
          <w:trHeight w:hRule="exact" w:val="1422"/>
        </w:trPr>
        <w:tc>
          <w:tcPr>
            <w:tcW w:w="3826" w:type="dxa"/>
          </w:tcPr>
          <w:p w14:paraId="604EE117"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Source:</w:t>
            </w:r>
          </w:p>
        </w:tc>
        <w:tc>
          <w:tcPr>
            <w:tcW w:w="5518" w:type="dxa"/>
          </w:tcPr>
          <w:p w14:paraId="4D1E16E8" w14:textId="77777777" w:rsidR="00DC5685" w:rsidRPr="00A34F10" w:rsidRDefault="00DC5685" w:rsidP="00DC5685">
            <w:pPr>
              <w:tabs>
                <w:tab w:val="left" w:pos="0"/>
              </w:tabs>
              <w:jc w:val="both"/>
              <w:rPr>
                <w:rFonts w:ascii="Times New Roman" w:hAnsi="Times New Roman"/>
                <w:lang w:val="en-US" w:eastAsia="en-US"/>
              </w:rPr>
            </w:pPr>
            <w:r w:rsidRPr="00A34F10">
              <w:rPr>
                <w:rFonts w:ascii="Times New Roman" w:hAnsi="Times New Roman"/>
                <w:lang w:val="en-US" w:eastAsia="en-US"/>
              </w:rPr>
              <w:t>The colonies were reared in the test facility. All larvae used in the test derived from healthy (free of clinical symptoms of any disease) and queen-right bee colonies. The larvae were taken from hives that had not received treatments with chemical substances for at least one month.</w:t>
            </w:r>
          </w:p>
        </w:tc>
      </w:tr>
      <w:tr w:rsidR="00DC5685" w:rsidRPr="00A34F10" w14:paraId="57C6E30B" w14:textId="77777777" w:rsidTr="000470C3">
        <w:trPr>
          <w:trHeight w:hRule="exact" w:val="3094"/>
        </w:trPr>
        <w:tc>
          <w:tcPr>
            <w:tcW w:w="3826" w:type="dxa"/>
          </w:tcPr>
          <w:p w14:paraId="39D76120" w14:textId="77777777" w:rsidR="00DC5685" w:rsidRPr="00A34F10" w:rsidRDefault="00DC5685" w:rsidP="00DC5685">
            <w:pPr>
              <w:keepNext/>
              <w:keepLines/>
              <w:numPr>
                <w:ilvl w:val="3"/>
                <w:numId w:val="0"/>
              </w:numPr>
              <w:tabs>
                <w:tab w:val="left" w:pos="0"/>
                <w:tab w:val="left" w:pos="624"/>
              </w:tabs>
              <w:spacing w:after="240"/>
              <w:ind w:left="709"/>
              <w:contextualSpacing/>
              <w:rPr>
                <w:rFonts w:ascii="Times New Roman" w:hAnsi="Times New Roman"/>
                <w:b/>
                <w:bCs/>
                <w:szCs w:val="24"/>
                <w:highlight w:val="yellow"/>
                <w:lang w:eastAsia="en-US"/>
              </w:rPr>
            </w:pPr>
            <w:r w:rsidRPr="00A34F10">
              <w:rPr>
                <w:rFonts w:ascii="Times New Roman" w:hAnsi="Times New Roman"/>
                <w:b/>
                <w:bCs/>
                <w:lang w:eastAsia="en-US"/>
              </w:rPr>
              <w:t>Methods for producing the larvae:</w:t>
            </w:r>
          </w:p>
        </w:tc>
        <w:tc>
          <w:tcPr>
            <w:tcW w:w="5518" w:type="dxa"/>
          </w:tcPr>
          <w:p w14:paraId="16B5CEB0" w14:textId="77777777" w:rsidR="00DC5685" w:rsidRPr="00A34F10" w:rsidRDefault="00DC5685" w:rsidP="00DC5685">
            <w:pPr>
              <w:tabs>
                <w:tab w:val="left" w:pos="720"/>
              </w:tabs>
              <w:spacing w:after="240"/>
              <w:jc w:val="both"/>
              <w:rPr>
                <w:rFonts w:ascii="Times New Roman" w:hAnsi="Times New Roman"/>
                <w:szCs w:val="24"/>
                <w:highlight w:val="yellow"/>
                <w:lang w:eastAsia="en-US"/>
              </w:rPr>
            </w:pPr>
            <w:r w:rsidRPr="00A34F10">
              <w:rPr>
                <w:rFonts w:ascii="Times New Roman" w:hAnsi="Times New Roman"/>
                <w:lang w:val="en-US" w:eastAsia="en-US"/>
              </w:rPr>
              <w:t>Three colonies were used in the test. Each of the three colonies used in the test was treated in parallel the same way: On day -3 the respective queen of the colony was caged on an empty brood comb, which was fitted in an excluder cage and thereafter placed in the hive. The queen laid her eggs solely on this comb. The caging time was approximately 25 hours. In the afternoon of day -2 the queen was released from the excluder. The comb was checked for the presence of freshly laid eggs, was confined in the excluder again in order to avoid any additional egg laying and was placed near to frames containing open brood in the hive. The eggs were incubated within the hive between day -2 and day 1.</w:t>
            </w:r>
          </w:p>
        </w:tc>
      </w:tr>
      <w:tr w:rsidR="00DC5685" w:rsidRPr="00A34F10" w14:paraId="7134A939" w14:textId="77777777" w:rsidTr="000470C3">
        <w:trPr>
          <w:trHeight w:hRule="exact" w:val="6384"/>
        </w:trPr>
        <w:tc>
          <w:tcPr>
            <w:tcW w:w="3826" w:type="dxa"/>
          </w:tcPr>
          <w:p w14:paraId="0401042D" w14:textId="77777777" w:rsidR="00DC5685" w:rsidRPr="00A34F10" w:rsidRDefault="00DC5685" w:rsidP="00DC5685">
            <w:pPr>
              <w:tabs>
                <w:tab w:val="left" w:pos="284"/>
                <w:tab w:val="left" w:pos="624"/>
              </w:tabs>
              <w:spacing w:after="240"/>
              <w:ind w:left="567"/>
              <w:rPr>
                <w:rFonts w:ascii="Times New Roman" w:hAnsi="Times New Roman"/>
                <w:b/>
                <w:bCs/>
                <w:szCs w:val="24"/>
                <w:lang w:eastAsia="en-US"/>
              </w:rPr>
            </w:pPr>
            <w:r w:rsidRPr="00A34F10">
              <w:rPr>
                <w:rFonts w:ascii="Times New Roman" w:hAnsi="Times New Roman"/>
                <w:b/>
                <w:bCs/>
                <w:lang w:eastAsia="en-US"/>
              </w:rPr>
              <w:t>Diet:</w:t>
            </w:r>
            <w:r w:rsidRPr="00A34F10">
              <w:rPr>
                <w:rFonts w:ascii="Times New Roman" w:hAnsi="Times New Roman"/>
                <w:b/>
                <w:bCs/>
                <w:szCs w:val="24"/>
                <w:lang w:eastAsia="en-US"/>
              </w:rPr>
              <w:t xml:space="preserve"> </w:t>
            </w:r>
          </w:p>
        </w:tc>
        <w:tc>
          <w:tcPr>
            <w:tcW w:w="5518" w:type="dxa"/>
          </w:tcPr>
          <w:p w14:paraId="3609EA65" w14:textId="77777777" w:rsidR="00DC5685" w:rsidRPr="00A34F10" w:rsidRDefault="00DC5685" w:rsidP="00DC5685">
            <w:pPr>
              <w:tabs>
                <w:tab w:val="left" w:pos="720"/>
              </w:tabs>
              <w:jc w:val="both"/>
              <w:rPr>
                <w:rFonts w:ascii="Times New Roman" w:eastAsia="Times New Roman" w:hAnsi="Times New Roman"/>
                <w:lang w:val="en-US" w:eastAsia="de-DE"/>
              </w:rPr>
            </w:pPr>
            <w:r w:rsidRPr="00A34F10">
              <w:rPr>
                <w:rFonts w:ascii="Times New Roman" w:eastAsia="Times New Roman" w:hAnsi="Times New Roman"/>
                <w:lang w:val="en-US" w:eastAsia="de-DE"/>
              </w:rPr>
              <w:t xml:space="preserve">A sufficient amount of food was present in the bee hives. The aqueous yeast/sugar solutions as one component of the artificial diets were prepared and stored in a fridge until use on day 2, 4, 5 and 6. The sugar solution was mixed with royal jelly every day before each feeding occasion. Each larva was fed separately using a sterile pipette. The food drop was placed next to the larvae to avoid drowning. Before feeding, the final diets were warmed to about 34.5°C. During the process the culture plate in operation was placed on a warming plate to prevent the larvae from cooling down. </w:t>
            </w:r>
            <w:r w:rsidRPr="00A34F10">
              <w:rPr>
                <w:rFonts w:ascii="Times New Roman" w:hAnsi="Times New Roman"/>
                <w:szCs w:val="24"/>
                <w:lang w:val="en-US" w:eastAsia="en-US"/>
              </w:rPr>
              <w:t xml:space="preserve">Three different diets depending on developmental stage: </w:t>
            </w:r>
          </w:p>
          <w:p w14:paraId="3571F970" w14:textId="77777777" w:rsidR="00DC5685" w:rsidRPr="00A34F10" w:rsidRDefault="00DC5685" w:rsidP="00DC5685">
            <w:pPr>
              <w:tabs>
                <w:tab w:val="left" w:pos="720"/>
              </w:tabs>
              <w:jc w:val="both"/>
              <w:rPr>
                <w:rFonts w:ascii="Times New Roman" w:hAnsi="Times New Roman"/>
                <w:szCs w:val="24"/>
                <w:lang w:val="en-US" w:eastAsia="en-US"/>
              </w:rPr>
            </w:pPr>
          </w:p>
          <w:p w14:paraId="707B01DF" w14:textId="77777777" w:rsidR="00DC5685" w:rsidRPr="00A34F10" w:rsidRDefault="00DC5685" w:rsidP="00DC5685">
            <w:pPr>
              <w:tabs>
                <w:tab w:val="left" w:pos="720"/>
              </w:tabs>
              <w:jc w:val="both"/>
              <w:rPr>
                <w:rFonts w:ascii="Times New Roman" w:hAnsi="Times New Roman"/>
                <w:szCs w:val="24"/>
                <w:lang w:val="en-US" w:eastAsia="en-US"/>
              </w:rPr>
            </w:pPr>
            <w:r w:rsidRPr="00A34F10">
              <w:rPr>
                <w:rFonts w:ascii="Times New Roman" w:hAnsi="Times New Roman"/>
                <w:szCs w:val="24"/>
                <w:u w:val="single"/>
                <w:lang w:val="en-US" w:eastAsia="en-US"/>
              </w:rPr>
              <w:t>Diet A (day 1)</w:t>
            </w:r>
            <w:r w:rsidRPr="00A34F10">
              <w:rPr>
                <w:rFonts w:ascii="Times New Roman" w:hAnsi="Times New Roman"/>
                <w:szCs w:val="24"/>
                <w:lang w:val="en-US" w:eastAsia="en-US"/>
              </w:rPr>
              <w:t>: 50% w/w fresh royal jelly + 50% w/w aqueous solution containing 2% w/v yeast extract, 12% w/v glucose and 12% w/v fructose</w:t>
            </w:r>
          </w:p>
          <w:p w14:paraId="3A03AD17" w14:textId="77777777" w:rsidR="00DC5685" w:rsidRPr="00A34F10" w:rsidRDefault="00DC5685" w:rsidP="00DC5685">
            <w:pPr>
              <w:tabs>
                <w:tab w:val="left" w:pos="720"/>
              </w:tabs>
              <w:jc w:val="both"/>
              <w:rPr>
                <w:rFonts w:ascii="Times New Roman" w:hAnsi="Times New Roman"/>
                <w:szCs w:val="24"/>
                <w:lang w:val="en-US" w:eastAsia="en-US"/>
              </w:rPr>
            </w:pPr>
          </w:p>
          <w:p w14:paraId="3A14268B" w14:textId="77777777" w:rsidR="00DC5685" w:rsidRPr="00A34F10" w:rsidRDefault="00DC5685" w:rsidP="00DC5685">
            <w:pPr>
              <w:tabs>
                <w:tab w:val="left" w:pos="720"/>
              </w:tabs>
              <w:jc w:val="both"/>
              <w:rPr>
                <w:rFonts w:ascii="Times New Roman" w:hAnsi="Times New Roman"/>
                <w:szCs w:val="24"/>
                <w:lang w:val="en-US" w:eastAsia="en-US"/>
              </w:rPr>
            </w:pPr>
            <w:r w:rsidRPr="00A34F10">
              <w:rPr>
                <w:rFonts w:ascii="Times New Roman" w:hAnsi="Times New Roman"/>
                <w:szCs w:val="24"/>
                <w:u w:val="single"/>
                <w:lang w:val="en-US" w:eastAsia="en-US"/>
              </w:rPr>
              <w:t>Diet B (day 3)</w:t>
            </w:r>
            <w:r w:rsidRPr="00A34F10">
              <w:rPr>
                <w:rFonts w:ascii="Times New Roman" w:hAnsi="Times New Roman"/>
                <w:szCs w:val="24"/>
                <w:lang w:val="en-US" w:eastAsia="en-US"/>
              </w:rPr>
              <w:t>: 50% w/w fresh royal jelly + 50% w/w aqueous solution containing 3% w/v yeast extract, 15% w/v glucose and 15% w/v fructose</w:t>
            </w:r>
          </w:p>
          <w:p w14:paraId="32177E82" w14:textId="77777777" w:rsidR="00DC5685" w:rsidRPr="00A34F10" w:rsidRDefault="00DC5685" w:rsidP="00DC5685">
            <w:pPr>
              <w:tabs>
                <w:tab w:val="left" w:pos="720"/>
              </w:tabs>
              <w:jc w:val="both"/>
              <w:rPr>
                <w:rFonts w:ascii="Times New Roman" w:hAnsi="Times New Roman"/>
                <w:szCs w:val="24"/>
                <w:lang w:val="en-US" w:eastAsia="en-US"/>
              </w:rPr>
            </w:pPr>
          </w:p>
          <w:p w14:paraId="4A5D1D2A" w14:textId="77777777" w:rsidR="00DC5685" w:rsidRPr="00A34F10" w:rsidRDefault="00DC5685" w:rsidP="00DC5685">
            <w:pPr>
              <w:tabs>
                <w:tab w:val="left" w:pos="720"/>
              </w:tabs>
              <w:jc w:val="both"/>
              <w:rPr>
                <w:rFonts w:ascii="Times New Roman" w:hAnsi="Times New Roman"/>
                <w:szCs w:val="24"/>
                <w:lang w:val="en-US" w:eastAsia="en-US"/>
              </w:rPr>
            </w:pPr>
            <w:r w:rsidRPr="00A34F10">
              <w:rPr>
                <w:rFonts w:ascii="Times New Roman" w:hAnsi="Times New Roman"/>
                <w:szCs w:val="24"/>
                <w:u w:val="single"/>
                <w:lang w:val="en-US" w:eastAsia="en-US"/>
              </w:rPr>
              <w:t>Diet C (days 4 – 6):</w:t>
            </w:r>
            <w:r w:rsidRPr="00A34F10">
              <w:rPr>
                <w:rFonts w:ascii="Times New Roman" w:hAnsi="Times New Roman"/>
                <w:szCs w:val="24"/>
                <w:lang w:val="en-US" w:eastAsia="en-US"/>
              </w:rPr>
              <w:t xml:space="preserve"> 50% w/w fresh royal jelly + 50% w/w aqueous solution containing 4% w/v yeast extract, 18% % w/v glucose and 18% w/v fructose</w:t>
            </w:r>
          </w:p>
        </w:tc>
      </w:tr>
      <w:tr w:rsidR="00DC5685" w:rsidRPr="00A34F10" w14:paraId="6C40C171" w14:textId="77777777" w:rsidTr="000470C3">
        <w:trPr>
          <w:trHeight w:hRule="exact" w:val="587"/>
        </w:trPr>
        <w:tc>
          <w:tcPr>
            <w:tcW w:w="3826" w:type="dxa"/>
          </w:tcPr>
          <w:p w14:paraId="0C4CEF2A" w14:textId="77777777" w:rsidR="00DC5685" w:rsidRPr="00A34F10" w:rsidRDefault="00DC5685" w:rsidP="00E05ECD">
            <w:pPr>
              <w:keepNext/>
              <w:keepLines/>
              <w:numPr>
                <w:ilvl w:val="0"/>
                <w:numId w:val="61"/>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lastRenderedPageBreak/>
              <w:t>Test units:</w:t>
            </w:r>
          </w:p>
        </w:tc>
        <w:tc>
          <w:tcPr>
            <w:tcW w:w="5518" w:type="dxa"/>
          </w:tcPr>
          <w:p w14:paraId="7E7FD0AE" w14:textId="77777777" w:rsidR="00DC5685" w:rsidRPr="00A34F10" w:rsidRDefault="00DC5685" w:rsidP="00DC5685">
            <w:pPr>
              <w:spacing w:after="240"/>
              <w:jc w:val="both"/>
              <w:rPr>
                <w:rFonts w:ascii="Times New Roman" w:hAnsi="Times New Roman"/>
                <w:szCs w:val="24"/>
                <w:lang w:val="x-none" w:eastAsia="en-US"/>
              </w:rPr>
            </w:pPr>
            <w:r w:rsidRPr="00A34F10">
              <w:rPr>
                <w:rFonts w:ascii="Times New Roman" w:hAnsi="Times New Roman"/>
                <w:szCs w:val="24"/>
                <w:lang w:val="x-none" w:eastAsia="en-US"/>
              </w:rPr>
              <w:t>Crystal polystyrene grafting cells (CNE Nicotplast, internal</w:t>
            </w:r>
            <w:r w:rsidRPr="00A34F10">
              <w:rPr>
                <w:rFonts w:ascii="Times New Roman" w:hAnsi="Times New Roman"/>
                <w:szCs w:val="24"/>
                <w:lang w:eastAsia="en-US"/>
              </w:rPr>
              <w:t xml:space="preserve"> </w:t>
            </w:r>
            <w:r w:rsidRPr="00A34F10">
              <w:rPr>
                <w:rFonts w:ascii="Times New Roman" w:hAnsi="Times New Roman"/>
                <w:szCs w:val="24"/>
                <w:lang w:val="x-none" w:eastAsia="en-US"/>
              </w:rPr>
              <w:t xml:space="preserve">diameter 9 mm) placed in 48 well </w:t>
            </w:r>
            <w:r w:rsidRPr="00A34F10">
              <w:rPr>
                <w:rFonts w:ascii="Times New Roman" w:hAnsi="Times New Roman"/>
                <w:szCs w:val="24"/>
                <w:lang w:eastAsia="en-US"/>
              </w:rPr>
              <w:t xml:space="preserve">culture </w:t>
            </w:r>
            <w:r w:rsidRPr="00A34F10">
              <w:rPr>
                <w:rFonts w:ascii="Times New Roman" w:hAnsi="Times New Roman"/>
                <w:szCs w:val="24"/>
                <w:lang w:val="x-none" w:eastAsia="en-US"/>
              </w:rPr>
              <w:t>plates</w:t>
            </w:r>
            <w:r w:rsidRPr="00A34F10">
              <w:rPr>
                <w:rFonts w:ascii="Times New Roman" w:hAnsi="Times New Roman"/>
                <w:szCs w:val="24"/>
                <w:lang w:eastAsia="en-US"/>
              </w:rPr>
              <w:t>.</w:t>
            </w:r>
            <w:r w:rsidRPr="00A34F10">
              <w:rPr>
                <w:rFonts w:ascii="Times New Roman" w:hAnsi="Times New Roman"/>
                <w:szCs w:val="24"/>
                <w:lang w:val="x-none" w:eastAsia="en-US"/>
              </w:rPr>
              <w:t xml:space="preserve"> </w:t>
            </w:r>
          </w:p>
          <w:p w14:paraId="0875ACC8" w14:textId="77777777" w:rsidR="00DC5685" w:rsidRPr="00A34F10" w:rsidRDefault="00DC5685" w:rsidP="00DC5685">
            <w:pPr>
              <w:spacing w:after="240"/>
              <w:jc w:val="both"/>
              <w:rPr>
                <w:rFonts w:ascii="Times New Roman" w:hAnsi="Times New Roman"/>
                <w:szCs w:val="24"/>
                <w:lang w:val="x-none" w:eastAsia="en-US"/>
              </w:rPr>
            </w:pPr>
          </w:p>
          <w:p w14:paraId="25723B04" w14:textId="77777777" w:rsidR="00DC5685" w:rsidRPr="00A34F10" w:rsidRDefault="00DC5685" w:rsidP="00DC5685">
            <w:pPr>
              <w:spacing w:after="240"/>
              <w:jc w:val="both"/>
              <w:rPr>
                <w:rFonts w:ascii="Times New Roman" w:hAnsi="Times New Roman"/>
                <w:szCs w:val="24"/>
                <w:lang w:val="x-none" w:eastAsia="en-US"/>
              </w:rPr>
            </w:pPr>
          </w:p>
          <w:p w14:paraId="2A4ED16F" w14:textId="77777777" w:rsidR="00DC5685" w:rsidRPr="00A34F10" w:rsidRDefault="00DC5685" w:rsidP="00DC5685">
            <w:pPr>
              <w:spacing w:after="240"/>
              <w:jc w:val="both"/>
              <w:rPr>
                <w:rFonts w:ascii="Times New Roman" w:hAnsi="Times New Roman"/>
                <w:szCs w:val="24"/>
                <w:lang w:val="x-none" w:eastAsia="en-US"/>
              </w:rPr>
            </w:pPr>
          </w:p>
          <w:p w14:paraId="2CC56605" w14:textId="77777777" w:rsidR="00DC5685" w:rsidRPr="00A34F10" w:rsidRDefault="00DC5685" w:rsidP="00DC5685">
            <w:pPr>
              <w:spacing w:after="240"/>
              <w:jc w:val="both"/>
              <w:rPr>
                <w:rFonts w:ascii="Times New Roman" w:hAnsi="Times New Roman"/>
                <w:szCs w:val="24"/>
                <w:lang w:val="x-none" w:eastAsia="en-US"/>
              </w:rPr>
            </w:pPr>
          </w:p>
          <w:p w14:paraId="2BE7875D" w14:textId="77777777" w:rsidR="00DC5685" w:rsidRPr="00A34F10" w:rsidRDefault="00DC5685" w:rsidP="00DC5685">
            <w:pPr>
              <w:spacing w:after="240"/>
              <w:jc w:val="both"/>
              <w:rPr>
                <w:rFonts w:ascii="Times New Roman" w:hAnsi="Times New Roman"/>
                <w:szCs w:val="24"/>
                <w:lang w:val="x-none" w:eastAsia="en-US"/>
              </w:rPr>
            </w:pPr>
          </w:p>
        </w:tc>
      </w:tr>
      <w:tr w:rsidR="00DC5685" w:rsidRPr="00A34F10" w14:paraId="0D23EE90" w14:textId="77777777" w:rsidTr="000470C3">
        <w:trPr>
          <w:trHeight w:hRule="exact" w:val="340"/>
        </w:trPr>
        <w:tc>
          <w:tcPr>
            <w:tcW w:w="3826" w:type="dxa"/>
          </w:tcPr>
          <w:p w14:paraId="0B49F0E8" w14:textId="77777777" w:rsidR="00DC5685" w:rsidRPr="00A34F10" w:rsidRDefault="00DC5685" w:rsidP="00E05ECD">
            <w:pPr>
              <w:keepNext/>
              <w:keepLines/>
              <w:numPr>
                <w:ilvl w:val="0"/>
                <w:numId w:val="61"/>
              </w:numPr>
              <w:tabs>
                <w:tab w:val="left" w:pos="255"/>
              </w:tabs>
              <w:spacing w:after="240"/>
              <w:contextualSpacing/>
              <w:rPr>
                <w:rFonts w:ascii="Times New Roman" w:hAnsi="Times New Roman"/>
                <w:b/>
                <w:bCs/>
                <w:szCs w:val="24"/>
                <w:lang w:eastAsia="en-US"/>
              </w:rPr>
            </w:pPr>
            <w:r w:rsidRPr="00A34F10">
              <w:rPr>
                <w:rFonts w:ascii="Times New Roman" w:hAnsi="Times New Roman"/>
                <w:b/>
                <w:bCs/>
                <w:szCs w:val="24"/>
                <w:lang w:eastAsia="en-US"/>
              </w:rPr>
              <w:t>Environmental conditions</w:t>
            </w:r>
          </w:p>
        </w:tc>
        <w:tc>
          <w:tcPr>
            <w:tcW w:w="5518" w:type="dxa"/>
          </w:tcPr>
          <w:p w14:paraId="2EABBAA4" w14:textId="77777777" w:rsidR="00DC5685" w:rsidRPr="00A34F10" w:rsidRDefault="00DC5685" w:rsidP="00DC5685">
            <w:pPr>
              <w:tabs>
                <w:tab w:val="left" w:pos="720"/>
              </w:tabs>
              <w:spacing w:after="240"/>
              <w:jc w:val="both"/>
              <w:rPr>
                <w:rFonts w:ascii="Times New Roman" w:hAnsi="Times New Roman"/>
                <w:szCs w:val="24"/>
                <w:lang w:eastAsia="en-US"/>
              </w:rPr>
            </w:pPr>
          </w:p>
        </w:tc>
      </w:tr>
      <w:tr w:rsidR="00DC5685" w:rsidRPr="00A34F10" w14:paraId="5A8B5311" w14:textId="77777777" w:rsidTr="000470C3">
        <w:trPr>
          <w:trHeight w:hRule="exact" w:val="340"/>
        </w:trPr>
        <w:tc>
          <w:tcPr>
            <w:tcW w:w="3826" w:type="dxa"/>
          </w:tcPr>
          <w:p w14:paraId="3683BAA4"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Temperature:</w:t>
            </w:r>
          </w:p>
        </w:tc>
        <w:tc>
          <w:tcPr>
            <w:tcW w:w="5518" w:type="dxa"/>
          </w:tcPr>
          <w:p w14:paraId="769C057C" w14:textId="77777777" w:rsidR="00DC5685" w:rsidRPr="00A34F10" w:rsidRDefault="00DC5685" w:rsidP="00DC5685">
            <w:pPr>
              <w:tabs>
                <w:tab w:val="left" w:pos="720"/>
              </w:tabs>
              <w:spacing w:after="240"/>
              <w:jc w:val="both"/>
              <w:rPr>
                <w:rFonts w:ascii="Times New Roman" w:hAnsi="Times New Roman"/>
                <w:szCs w:val="24"/>
                <w:lang w:eastAsia="en-US"/>
              </w:rPr>
            </w:pPr>
            <w:r w:rsidRPr="00A34F10">
              <w:rPr>
                <w:rFonts w:ascii="Times New Roman" w:hAnsi="Times New Roman"/>
                <w:lang w:val="en-US" w:eastAsia="en-US"/>
              </w:rPr>
              <w:t>34.0 °C – 34.9 °C</w:t>
            </w:r>
          </w:p>
        </w:tc>
      </w:tr>
      <w:tr w:rsidR="00DC5685" w:rsidRPr="00A34F10" w14:paraId="6F5E8D92" w14:textId="77777777" w:rsidTr="000470C3">
        <w:trPr>
          <w:trHeight w:hRule="exact" w:val="801"/>
        </w:trPr>
        <w:tc>
          <w:tcPr>
            <w:tcW w:w="3826" w:type="dxa"/>
          </w:tcPr>
          <w:p w14:paraId="2DFE981B"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b/>
                <w:bCs/>
                <w:lang w:eastAsia="en-US"/>
              </w:rPr>
            </w:pPr>
            <w:r w:rsidRPr="00A34F10">
              <w:rPr>
                <w:rFonts w:ascii="Times New Roman" w:hAnsi="Times New Roman"/>
                <w:b/>
                <w:bCs/>
                <w:lang w:eastAsia="en-US"/>
              </w:rPr>
              <w:t>Relative humidity:</w:t>
            </w:r>
          </w:p>
        </w:tc>
        <w:tc>
          <w:tcPr>
            <w:tcW w:w="5518" w:type="dxa"/>
          </w:tcPr>
          <w:p w14:paraId="1B1E10FD" w14:textId="77777777" w:rsidR="00DC5685" w:rsidRPr="00A34F10" w:rsidRDefault="00DC5685" w:rsidP="00DC5685">
            <w:pPr>
              <w:tabs>
                <w:tab w:val="left" w:pos="720"/>
              </w:tabs>
              <w:rPr>
                <w:rFonts w:ascii="Times New Roman" w:eastAsia="Times New Roman" w:hAnsi="Times New Roman"/>
                <w:lang w:val="en-US" w:eastAsia="de-DE"/>
              </w:rPr>
            </w:pPr>
            <w:r w:rsidRPr="00A34F10">
              <w:rPr>
                <w:rFonts w:ascii="Times New Roman" w:eastAsia="Times New Roman" w:hAnsi="Times New Roman"/>
                <w:lang w:val="en-US" w:eastAsia="de-DE"/>
              </w:rPr>
              <w:t>D1 – D8: 93.4 – 100.0%</w:t>
            </w:r>
          </w:p>
          <w:p w14:paraId="6B7E70D5" w14:textId="77777777" w:rsidR="00DC5685" w:rsidRPr="00A34F10" w:rsidRDefault="00DC5685" w:rsidP="00DC5685">
            <w:pPr>
              <w:tabs>
                <w:tab w:val="left" w:pos="720"/>
              </w:tabs>
              <w:rPr>
                <w:rFonts w:ascii="Times New Roman" w:eastAsia="Times New Roman" w:hAnsi="Times New Roman"/>
                <w:lang w:val="en-US" w:eastAsia="de-DE"/>
              </w:rPr>
            </w:pPr>
            <w:r w:rsidRPr="00A34F10">
              <w:rPr>
                <w:rFonts w:ascii="Times New Roman" w:eastAsia="Times New Roman" w:hAnsi="Times New Roman"/>
                <w:lang w:val="en-US" w:eastAsia="de-DE"/>
              </w:rPr>
              <w:t>D8 – D15: 81.3 – 83.4%</w:t>
            </w:r>
          </w:p>
          <w:p w14:paraId="6CBB7AAF" w14:textId="77777777" w:rsidR="00DC5685" w:rsidRPr="00A34F10" w:rsidRDefault="00DC5685" w:rsidP="00DC5685">
            <w:pPr>
              <w:tabs>
                <w:tab w:val="left" w:pos="720"/>
              </w:tabs>
              <w:rPr>
                <w:rFonts w:ascii="Times New Roman" w:hAnsi="Times New Roman"/>
                <w:szCs w:val="24"/>
                <w:lang w:eastAsia="en-US"/>
              </w:rPr>
            </w:pPr>
            <w:r w:rsidRPr="00A34F10">
              <w:rPr>
                <w:rFonts w:ascii="Times New Roman" w:eastAsia="Times New Roman" w:hAnsi="Times New Roman"/>
                <w:lang w:val="en-US" w:eastAsia="de-DE"/>
              </w:rPr>
              <w:t>D15 – D22: 52.1 – 65.4%</w:t>
            </w:r>
          </w:p>
        </w:tc>
      </w:tr>
      <w:tr w:rsidR="00DC5685" w:rsidRPr="00A34F10" w14:paraId="26AF3D1E" w14:textId="77777777" w:rsidTr="000470C3">
        <w:trPr>
          <w:trHeight w:hRule="exact" w:val="312"/>
        </w:trPr>
        <w:tc>
          <w:tcPr>
            <w:tcW w:w="3826" w:type="dxa"/>
            <w:shd w:val="clear" w:color="auto" w:fill="auto"/>
          </w:tcPr>
          <w:p w14:paraId="196A1FF0" w14:textId="77777777" w:rsidR="00DC5685" w:rsidRPr="00A34F10" w:rsidRDefault="00DC5685" w:rsidP="00DC5685">
            <w:pPr>
              <w:keepNext/>
              <w:keepLines/>
              <w:numPr>
                <w:ilvl w:val="3"/>
                <w:numId w:val="0"/>
              </w:numPr>
              <w:tabs>
                <w:tab w:val="left" w:pos="0"/>
                <w:tab w:val="left" w:pos="624"/>
              </w:tabs>
              <w:spacing w:after="240"/>
              <w:ind w:left="1068" w:hanging="359"/>
              <w:contextualSpacing/>
              <w:rPr>
                <w:rFonts w:ascii="Times New Roman" w:hAnsi="Times New Roman"/>
                <w:b/>
                <w:bCs/>
                <w:szCs w:val="24"/>
                <w:lang w:val="en-US" w:eastAsia="en-US"/>
              </w:rPr>
            </w:pPr>
            <w:r w:rsidRPr="00A34F10">
              <w:rPr>
                <w:rFonts w:ascii="Times New Roman" w:hAnsi="Times New Roman"/>
                <w:b/>
                <w:bCs/>
                <w:lang w:eastAsia="en-US"/>
              </w:rPr>
              <w:t>Photoperiod:</w:t>
            </w:r>
          </w:p>
        </w:tc>
        <w:tc>
          <w:tcPr>
            <w:tcW w:w="5518" w:type="dxa"/>
          </w:tcPr>
          <w:p w14:paraId="17580472" w14:textId="77777777" w:rsidR="00DC5685" w:rsidRPr="00A34F10" w:rsidRDefault="00DC5685" w:rsidP="00DC5685">
            <w:pPr>
              <w:tabs>
                <w:tab w:val="left" w:pos="720"/>
              </w:tabs>
              <w:spacing w:after="240"/>
              <w:rPr>
                <w:rFonts w:ascii="Times New Roman" w:hAnsi="Times New Roman"/>
                <w:szCs w:val="24"/>
                <w:lang w:eastAsia="en-US"/>
              </w:rPr>
            </w:pPr>
            <w:r w:rsidRPr="00A34F10">
              <w:rPr>
                <w:rFonts w:ascii="Times New Roman" w:hAnsi="Times New Roman"/>
                <w:lang w:val="en-US" w:eastAsia="en-US"/>
              </w:rPr>
              <w:t>Darkness, except during observation</w:t>
            </w:r>
          </w:p>
        </w:tc>
      </w:tr>
    </w:tbl>
    <w:p w14:paraId="2BC8681D" w14:textId="77777777" w:rsidR="00DC5685" w:rsidRPr="00A34F10" w:rsidRDefault="00DC5685" w:rsidP="00DC5685">
      <w:pPr>
        <w:numPr>
          <w:ilvl w:val="3"/>
          <w:numId w:val="0"/>
        </w:numPr>
        <w:tabs>
          <w:tab w:val="left" w:pos="0"/>
        </w:tabs>
        <w:spacing w:before="240"/>
        <w:ind w:left="357" w:hanging="357"/>
        <w:contextualSpacing/>
        <w:rPr>
          <w:b/>
          <w:bCs/>
          <w:szCs w:val="24"/>
          <w:highlight w:val="yellow"/>
          <w:lang w:val="en-GB"/>
        </w:rPr>
      </w:pPr>
    </w:p>
    <w:p w14:paraId="424EED90" w14:textId="77777777" w:rsidR="00DC5685" w:rsidRPr="00A34F10" w:rsidRDefault="00DC5685" w:rsidP="00E05ECD">
      <w:pPr>
        <w:keepNext/>
        <w:keepLines/>
        <w:numPr>
          <w:ilvl w:val="0"/>
          <w:numId w:val="61"/>
        </w:numPr>
        <w:tabs>
          <w:tab w:val="left" w:pos="255"/>
        </w:tabs>
        <w:spacing w:after="240"/>
        <w:ind w:left="357" w:hanging="357"/>
        <w:contextualSpacing/>
        <w:rPr>
          <w:b/>
          <w:bCs/>
          <w:szCs w:val="24"/>
          <w:lang w:val="en-GB"/>
        </w:rPr>
      </w:pPr>
      <w:r w:rsidRPr="00A34F10">
        <w:rPr>
          <w:b/>
          <w:bCs/>
          <w:szCs w:val="24"/>
          <w:lang w:val="en-GB"/>
        </w:rPr>
        <w:t xml:space="preserve">Test </w:t>
      </w:r>
      <w:r w:rsidRPr="00A34F10">
        <w:rPr>
          <w:rFonts w:eastAsia="Calibri"/>
          <w:b/>
          <w:bCs/>
          <w:szCs w:val="24"/>
          <w:lang w:val="en-GB"/>
        </w:rPr>
        <w:t>organism</w:t>
      </w:r>
      <w:r w:rsidRPr="00A34F10">
        <w:rPr>
          <w:b/>
          <w:bCs/>
          <w:szCs w:val="24"/>
          <w:lang w:val="en-GB"/>
        </w:rPr>
        <w:t xml:space="preserve"> and treatment: </w:t>
      </w:r>
    </w:p>
    <w:p w14:paraId="68FC7CA9" w14:textId="77777777" w:rsidR="00DC5685" w:rsidRPr="00A34F10" w:rsidRDefault="00DC5685" w:rsidP="00DC5685">
      <w:pPr>
        <w:tabs>
          <w:tab w:val="left" w:pos="720"/>
        </w:tabs>
        <w:spacing w:after="240"/>
        <w:jc w:val="both"/>
        <w:rPr>
          <w:szCs w:val="24"/>
          <w:highlight w:val="yellow"/>
          <w:lang w:val="x-none"/>
        </w:rPr>
      </w:pPr>
      <w:r w:rsidRPr="00A34F10">
        <w:rPr>
          <w:szCs w:val="24"/>
          <w:lang w:val="en-GB"/>
        </w:rPr>
        <w:t xml:space="preserve">The study was conducted at </w:t>
      </w:r>
      <w:r w:rsidRPr="00A34F10">
        <w:rPr>
          <w:bCs/>
          <w:szCs w:val="24"/>
        </w:rPr>
        <w:t xml:space="preserve">BioChem agrar (Labor für biologische und chemische Analytik GmbH </w:t>
      </w:r>
      <w:r w:rsidRPr="00A34F10">
        <w:rPr>
          <w:szCs w:val="24"/>
        </w:rPr>
        <w:t>Kupferstr. 6, 04827 Machern OT Gerichshain, Germany)</w:t>
      </w:r>
      <w:r w:rsidRPr="00A34F10">
        <w:rPr>
          <w:szCs w:val="24"/>
          <w:lang w:val="en-GB"/>
        </w:rPr>
        <w:t xml:space="preserve"> between 19.09.2022 and 10.10.2022. </w:t>
      </w:r>
      <w:r w:rsidRPr="00A34F10">
        <w:rPr>
          <w:szCs w:val="24"/>
        </w:rPr>
        <w:t>First-instar (one day old) honeybee</w:t>
      </w:r>
      <w:r w:rsidRPr="00A34F10">
        <w:rPr>
          <w:szCs w:val="24"/>
          <w:lang w:val="en-GB"/>
        </w:rPr>
        <w:t xml:space="preserve"> larvae </w:t>
      </w:r>
      <w:r w:rsidRPr="00A34F10">
        <w:rPr>
          <w:szCs w:val="24"/>
        </w:rPr>
        <w:t xml:space="preserve">of </w:t>
      </w:r>
      <w:r w:rsidRPr="00A34F10">
        <w:rPr>
          <w:i/>
          <w:iCs/>
          <w:szCs w:val="24"/>
        </w:rPr>
        <w:t>Apis mellifera</w:t>
      </w:r>
      <w:r w:rsidRPr="00A34F10">
        <w:rPr>
          <w:szCs w:val="24"/>
        </w:rPr>
        <w:t xml:space="preserve"> L. were transferred from brood combs to crystal polystyrene grafting cells in 48-well cell culture plates 3 days before start of the treatment. On 4 successive days (day 3 to day 6) the larvae were chronically exposed to </w:t>
      </w:r>
      <w:r w:rsidRPr="003B09BC">
        <w:rPr>
          <w:szCs w:val="24"/>
          <w:lang w:val="en-GB"/>
        </w:rPr>
        <w:t>BAS 743 02 F</w:t>
      </w:r>
      <w:r w:rsidRPr="00A34F10">
        <w:rPr>
          <w:szCs w:val="24"/>
        </w:rPr>
        <w:t xml:space="preserve"> diluted in the larvae’s food (aqueous sugar solution mixed with royal jelly). After the applications, no additional feedings of the larvae took place.</w:t>
      </w:r>
      <w:r w:rsidRPr="00A34F10">
        <w:rPr>
          <w:szCs w:val="24"/>
          <w:lang w:val="en-GB"/>
        </w:rPr>
        <w:t xml:space="preserve"> The test duration was 22 days.</w:t>
      </w:r>
    </w:p>
    <w:p w14:paraId="394746F2" w14:textId="77777777" w:rsidR="00DC5685" w:rsidRPr="00A34F10" w:rsidRDefault="00DC5685" w:rsidP="00DC5685">
      <w:pPr>
        <w:tabs>
          <w:tab w:val="left" w:pos="720"/>
        </w:tabs>
        <w:spacing w:after="240"/>
        <w:jc w:val="both"/>
        <w:rPr>
          <w:szCs w:val="24"/>
          <w:lang w:val="en-GB"/>
        </w:rPr>
      </w:pPr>
      <w:r w:rsidRPr="00A34F10">
        <w:rPr>
          <w:szCs w:val="24"/>
          <w:lang w:val="x-none"/>
        </w:rPr>
        <w:t xml:space="preserve">In total, </w:t>
      </w:r>
      <w:r w:rsidRPr="00A34F10">
        <w:rPr>
          <w:szCs w:val="24"/>
          <w:lang w:val="en-GB"/>
        </w:rPr>
        <w:t>seven</w:t>
      </w:r>
      <w:r w:rsidRPr="00A34F10">
        <w:rPr>
          <w:szCs w:val="24"/>
          <w:lang w:val="x-none"/>
        </w:rPr>
        <w:t xml:space="preserve"> treatment groups, each comprising 12 larvae per replicate,</w:t>
      </w:r>
      <w:r w:rsidRPr="00A34F10">
        <w:rPr>
          <w:szCs w:val="24"/>
          <w:lang w:val="en-GB"/>
        </w:rPr>
        <w:t xml:space="preserve"> </w:t>
      </w:r>
      <w:r w:rsidRPr="00A34F10">
        <w:rPr>
          <w:szCs w:val="24"/>
          <w:lang w:val="x-none"/>
        </w:rPr>
        <w:t xml:space="preserve">were set up: </w:t>
      </w:r>
      <w:r w:rsidRPr="00A34F10">
        <w:rPr>
          <w:szCs w:val="24"/>
          <w:lang w:val="en-GB"/>
        </w:rPr>
        <w:t>five</w:t>
      </w:r>
      <w:r w:rsidRPr="00A34F10">
        <w:rPr>
          <w:szCs w:val="24"/>
          <w:lang w:val="x-none"/>
        </w:rPr>
        <w:t xml:space="preserve"> doses of the test item</w:t>
      </w:r>
      <w:r w:rsidRPr="00A34F10">
        <w:rPr>
          <w:szCs w:val="24"/>
          <w:lang w:val="en-GB"/>
        </w:rPr>
        <w:t xml:space="preserve"> </w:t>
      </w:r>
      <w:r w:rsidRPr="003B09BC">
        <w:rPr>
          <w:szCs w:val="24"/>
          <w:lang w:val="en-GB"/>
        </w:rPr>
        <w:t>BAS 743 02 F</w:t>
      </w:r>
      <w:r w:rsidRPr="00A34F10">
        <w:rPr>
          <w:color w:val="000000"/>
          <w:lang w:val="en-GB"/>
        </w:rPr>
        <w:t xml:space="preserve"> diluted in the larval food</w:t>
      </w:r>
      <w:r w:rsidRPr="00A34F10">
        <w:rPr>
          <w:szCs w:val="24"/>
          <w:lang w:val="x-none"/>
        </w:rPr>
        <w:t xml:space="preserve">, </w:t>
      </w:r>
      <w:r w:rsidRPr="00A34F10">
        <w:rPr>
          <w:szCs w:val="24"/>
          <w:lang w:val="en-GB"/>
        </w:rPr>
        <w:t>one</w:t>
      </w:r>
      <w:r w:rsidRPr="00A34F10">
        <w:rPr>
          <w:szCs w:val="24"/>
          <w:lang w:val="x-none"/>
        </w:rPr>
        <w:t xml:space="preserve"> control </w:t>
      </w:r>
      <w:r w:rsidRPr="00A34F10">
        <w:rPr>
          <w:szCs w:val="24"/>
          <w:lang w:val="en-GB"/>
        </w:rPr>
        <w:t xml:space="preserve">(untreated diet) </w:t>
      </w:r>
      <w:r w:rsidRPr="00A34F10">
        <w:rPr>
          <w:szCs w:val="24"/>
          <w:lang w:val="x-none"/>
        </w:rPr>
        <w:t xml:space="preserve">and </w:t>
      </w:r>
      <w:r w:rsidRPr="00A34F10">
        <w:rPr>
          <w:szCs w:val="24"/>
          <w:lang w:val="en-GB"/>
        </w:rPr>
        <w:t>one</w:t>
      </w:r>
      <w:r w:rsidRPr="00A34F10">
        <w:rPr>
          <w:szCs w:val="24"/>
          <w:lang w:val="x-none"/>
        </w:rPr>
        <w:t xml:space="preserve"> dose</w:t>
      </w:r>
      <w:r w:rsidRPr="00A34F10">
        <w:rPr>
          <w:szCs w:val="24"/>
          <w:lang w:val="en-GB"/>
        </w:rPr>
        <w:t xml:space="preserve"> (</w:t>
      </w:r>
      <w:r w:rsidRPr="00A34F10">
        <w:rPr>
          <w:color w:val="000000"/>
          <w:lang w:val="en-GB"/>
        </w:rPr>
        <w:t>7.4 µg a.s./larva)</w:t>
      </w:r>
      <w:r w:rsidRPr="00A34F10">
        <w:rPr>
          <w:szCs w:val="24"/>
          <w:lang w:val="x-none"/>
        </w:rPr>
        <w:t xml:space="preserve"> of the</w:t>
      </w:r>
      <w:r w:rsidRPr="00A34F10">
        <w:rPr>
          <w:szCs w:val="24"/>
          <w:lang w:val="en-GB"/>
        </w:rPr>
        <w:t xml:space="preserve"> </w:t>
      </w:r>
      <w:r w:rsidRPr="00A34F10">
        <w:rPr>
          <w:szCs w:val="24"/>
          <w:lang w:val="x-none"/>
        </w:rPr>
        <w:t>reference item</w:t>
      </w:r>
      <w:r w:rsidRPr="00A34F10">
        <w:rPr>
          <w:szCs w:val="24"/>
          <w:lang w:val="en-GB"/>
        </w:rPr>
        <w:t xml:space="preserve"> Dimethoate tech.</w:t>
      </w:r>
      <w:r w:rsidRPr="00A34F10">
        <w:rPr>
          <w:szCs w:val="24"/>
          <w:lang w:val="x-none"/>
        </w:rPr>
        <w:t xml:space="preserve"> with </w:t>
      </w:r>
      <w:r w:rsidRPr="00A34F10">
        <w:rPr>
          <w:szCs w:val="24"/>
          <w:lang w:val="en-GB"/>
        </w:rPr>
        <w:t>three</w:t>
      </w:r>
      <w:r w:rsidRPr="00A34F10">
        <w:rPr>
          <w:szCs w:val="24"/>
          <w:lang w:val="x-none"/>
        </w:rPr>
        <w:t xml:space="preserve"> replicates per </w:t>
      </w:r>
      <w:r w:rsidRPr="00A34F10">
        <w:rPr>
          <w:szCs w:val="24"/>
          <w:lang w:val="en-GB"/>
        </w:rPr>
        <w:t>treatment group</w:t>
      </w:r>
      <w:r w:rsidRPr="00A34F10">
        <w:rPr>
          <w:szCs w:val="24"/>
          <w:lang w:val="x-none"/>
        </w:rPr>
        <w:t>, respectively.</w:t>
      </w:r>
      <w:r w:rsidRPr="00A34F10">
        <w:t xml:space="preserve"> The </w:t>
      </w:r>
      <w:r w:rsidRPr="00A34F10">
        <w:rPr>
          <w:szCs w:val="24"/>
        </w:rPr>
        <w:t xml:space="preserve">nominal doses of </w:t>
      </w:r>
      <w:r w:rsidRPr="003B09BC">
        <w:rPr>
          <w:szCs w:val="24"/>
          <w:lang w:val="en-GB"/>
        </w:rPr>
        <w:t>BAS 743 02 F</w:t>
      </w:r>
      <w:r w:rsidRPr="00A34F10">
        <w:rPr>
          <w:szCs w:val="24"/>
        </w:rPr>
        <w:t xml:space="preserve"> used were: 352.2, 117.3, 39.1, 13.0 and 4.4</w:t>
      </w:r>
      <w:r w:rsidRPr="00A34F10">
        <w:rPr>
          <w:szCs w:val="24"/>
          <w:lang w:val="en-GB"/>
        </w:rPr>
        <w:t xml:space="preserve">µg product/larva (equivalent to 140.9, 46.9, 15.6, 5.2 and 1.7µg propamocarb/larva and 44.7, 14.9. 5.0, 1.7 and 0.6 µg ametoctradin/larva, respectively). The respective concentrations of test item in the diet were 2226.1, 741.3, 247.1, 82.4 and 27.6 mg product/kg food (equivalent 890.4, 296.5, 98.8, 32.9 and 11.0 mg propamocarb/kg food and 282.7, 94.1, 31.4, 10.5 and 3.5 mg ametoctradin/kg food). </w:t>
      </w:r>
    </w:p>
    <w:p w14:paraId="7E798CCC" w14:textId="77777777" w:rsidR="00DC5685" w:rsidRPr="00A34F10" w:rsidRDefault="00DC5685" w:rsidP="00E05ECD">
      <w:pPr>
        <w:keepNext/>
        <w:keepLines/>
        <w:numPr>
          <w:ilvl w:val="0"/>
          <w:numId w:val="61"/>
        </w:numPr>
        <w:tabs>
          <w:tab w:val="left" w:pos="255"/>
        </w:tabs>
        <w:spacing w:after="240"/>
        <w:ind w:left="357" w:hanging="357"/>
        <w:contextualSpacing/>
        <w:rPr>
          <w:b/>
          <w:bCs/>
          <w:szCs w:val="24"/>
          <w:lang w:val="en-GB"/>
        </w:rPr>
      </w:pPr>
      <w:r w:rsidRPr="00A34F10">
        <w:rPr>
          <w:b/>
          <w:bCs/>
          <w:szCs w:val="24"/>
          <w:lang w:val="en-GB"/>
        </w:rPr>
        <w:t xml:space="preserve">Dose </w:t>
      </w:r>
      <w:r w:rsidRPr="00A34F10">
        <w:rPr>
          <w:rFonts w:eastAsia="Calibri"/>
          <w:b/>
          <w:bCs/>
          <w:szCs w:val="24"/>
          <w:lang w:val="en-GB"/>
        </w:rPr>
        <w:t>preparation</w:t>
      </w:r>
      <w:r w:rsidRPr="00A34F10">
        <w:rPr>
          <w:b/>
          <w:bCs/>
          <w:szCs w:val="24"/>
          <w:lang w:val="en-GB"/>
        </w:rPr>
        <w:t xml:space="preserve">: </w:t>
      </w:r>
    </w:p>
    <w:p w14:paraId="181B7AFA" w14:textId="77777777" w:rsidR="00DC5685" w:rsidRPr="00A34F10" w:rsidRDefault="00DC5685" w:rsidP="00DC5685">
      <w:pPr>
        <w:spacing w:before="240" w:after="120"/>
        <w:contextualSpacing/>
        <w:jc w:val="both"/>
        <w:rPr>
          <w:color w:val="000000" w:themeColor="text1"/>
        </w:rPr>
      </w:pPr>
      <w:r w:rsidRPr="00A34F10">
        <w:rPr>
          <w:color w:val="000000" w:themeColor="text1"/>
        </w:rPr>
        <w:t xml:space="preserve">A base stock solution was prepared by dissolving 0.128 g test item in the corresponding aqueous sugar solution (for diets on day 3/ days 4-6, respectively). Serial dilutions were conducted to prepare the lower stock solutions. The final diets were produced by mixing each stock solution with royal jelly at a ratio of 1:1 (based on w/w) in order to produce final diets. </w:t>
      </w:r>
      <w:r w:rsidRPr="00A34F10">
        <w:rPr>
          <w:snapToGrid w:val="0"/>
        </w:rPr>
        <w:t xml:space="preserve">To ensure a homogenous distribution of the test item within the larval food, the final diets were placed on a multitube vortex shaker at 2500 rpm for 5 minutes at room temperature. </w:t>
      </w:r>
    </w:p>
    <w:p w14:paraId="71498EE0" w14:textId="77777777" w:rsidR="00DC5685" w:rsidRPr="00A34F10" w:rsidRDefault="00DC5685" w:rsidP="00DC5685">
      <w:pPr>
        <w:spacing w:before="240" w:after="120"/>
        <w:contextualSpacing/>
        <w:jc w:val="both"/>
        <w:rPr>
          <w:color w:val="000000" w:themeColor="text1"/>
        </w:rPr>
      </w:pPr>
    </w:p>
    <w:p w14:paraId="2DFB2136" w14:textId="77777777" w:rsidR="00DC5685" w:rsidRPr="00A34F10" w:rsidRDefault="00DC5685" w:rsidP="00DC5685">
      <w:pPr>
        <w:spacing w:before="240" w:after="120"/>
        <w:contextualSpacing/>
        <w:jc w:val="both"/>
        <w:rPr>
          <w:color w:val="000000" w:themeColor="text1"/>
        </w:rPr>
      </w:pPr>
      <w:r w:rsidRPr="00A34F10">
        <w:rPr>
          <w:color w:val="000000" w:themeColor="text1"/>
        </w:rPr>
        <w:t>The reference item base stock solution was prepared by dissolving 0.048 g dimethoate tech. in in the corresponding aqueous sugar solution to a total volume of 100 mL. The reference stock solution was prepared by mixing the base stock solution with royal jelly at a weight ratio of 1:1 in order to produce final diet.</w:t>
      </w:r>
    </w:p>
    <w:p w14:paraId="1635D595" w14:textId="77777777" w:rsidR="00DC5685" w:rsidRPr="00A34F10" w:rsidRDefault="00DC5685" w:rsidP="00DC5685">
      <w:pPr>
        <w:spacing w:before="240" w:after="120"/>
        <w:contextualSpacing/>
        <w:rPr>
          <w:b/>
          <w:bCs/>
          <w:szCs w:val="24"/>
          <w:lang w:val="en-GB"/>
        </w:rPr>
      </w:pPr>
    </w:p>
    <w:p w14:paraId="2A4F7B1D" w14:textId="77777777" w:rsidR="00DC5685" w:rsidRPr="00A34F10" w:rsidRDefault="00DC5685" w:rsidP="00E05ECD">
      <w:pPr>
        <w:keepNext/>
        <w:keepLines/>
        <w:numPr>
          <w:ilvl w:val="0"/>
          <w:numId w:val="61"/>
        </w:numPr>
        <w:tabs>
          <w:tab w:val="left" w:pos="255"/>
        </w:tabs>
        <w:spacing w:after="240"/>
        <w:ind w:left="357" w:hanging="357"/>
        <w:contextualSpacing/>
        <w:rPr>
          <w:b/>
          <w:bCs/>
          <w:szCs w:val="24"/>
          <w:lang w:val="en-GB"/>
        </w:rPr>
      </w:pPr>
      <w:r w:rsidRPr="00A34F10">
        <w:rPr>
          <w:rFonts w:eastAsia="Calibri"/>
          <w:b/>
          <w:bCs/>
          <w:szCs w:val="24"/>
          <w:lang w:val="en-GB"/>
        </w:rPr>
        <w:t>Measurements</w:t>
      </w:r>
      <w:r w:rsidRPr="00A34F10">
        <w:rPr>
          <w:b/>
          <w:bCs/>
          <w:szCs w:val="24"/>
          <w:lang w:val="en-GB"/>
        </w:rPr>
        <w:t xml:space="preserve"> and observations: </w:t>
      </w:r>
    </w:p>
    <w:p w14:paraId="4632D409"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26FD4892" w14:textId="77777777" w:rsidR="00DC5685" w:rsidRPr="00A34F10" w:rsidRDefault="00DC5685" w:rsidP="00DC5685">
      <w:pPr>
        <w:tabs>
          <w:tab w:val="left" w:pos="720"/>
        </w:tabs>
        <w:spacing w:after="240"/>
        <w:jc w:val="both"/>
        <w:rPr>
          <w:bCs/>
          <w:szCs w:val="24"/>
          <w:lang w:val="en-GB"/>
        </w:rPr>
      </w:pPr>
      <w:r w:rsidRPr="00A34F10">
        <w:rPr>
          <w:bCs/>
          <w:szCs w:val="24"/>
          <w:lang w:val="en-GB"/>
        </w:rPr>
        <w:t xml:space="preserve">The number of dead larvae (an immobile larva or one which does not react to contact is noted as dead) was recorded daily from  days 4 to 8 (larvae), on day 15 (pupae) and on day 22. “Larval mortality” includes all individuals which had died between days 3 and day 8, while dead individuals between day 8 and day 15 are summarised as “pupal mortality”. The sum of all dead individuals between day 3 and day 22 is described as “total mortality”. </w:t>
      </w:r>
    </w:p>
    <w:p w14:paraId="5DD5C0B6" w14:textId="26FE070C" w:rsidR="001805B3" w:rsidRDefault="00DC5685" w:rsidP="00DC5685">
      <w:pPr>
        <w:tabs>
          <w:tab w:val="left" w:pos="720"/>
        </w:tabs>
        <w:spacing w:after="240"/>
        <w:jc w:val="both"/>
        <w:rPr>
          <w:bCs/>
          <w:szCs w:val="24"/>
          <w:lang w:val="en-GB"/>
        </w:rPr>
      </w:pPr>
      <w:r w:rsidRPr="00A34F10">
        <w:rPr>
          <w:bCs/>
          <w:szCs w:val="24"/>
          <w:lang w:val="en-GB"/>
        </w:rPr>
        <w:t>The numbers of bees which emerged successfully were counted at test end, i.e. on day 22. In order to correct the effects observed in the treatment group by background mortality (observed as control mortality) any calculations were performed using “mortality” instead of “adult emergence”.</w:t>
      </w:r>
    </w:p>
    <w:p w14:paraId="7A61243C" w14:textId="77777777" w:rsidR="001805B3" w:rsidRDefault="001805B3">
      <w:pPr>
        <w:rPr>
          <w:bCs/>
          <w:szCs w:val="24"/>
          <w:lang w:val="en-GB"/>
        </w:rPr>
      </w:pPr>
      <w:r>
        <w:rPr>
          <w:bCs/>
          <w:szCs w:val="24"/>
          <w:lang w:val="en-GB"/>
        </w:rPr>
        <w:br w:type="page"/>
      </w:r>
    </w:p>
    <w:p w14:paraId="41EFC8FA" w14:textId="77777777" w:rsidR="00DC5685" w:rsidRPr="00A34F10" w:rsidRDefault="00DC5685" w:rsidP="00DC5685">
      <w:pPr>
        <w:tabs>
          <w:tab w:val="left" w:pos="720"/>
        </w:tabs>
        <w:spacing w:after="240"/>
        <w:jc w:val="both"/>
        <w:rPr>
          <w:bCs/>
          <w:szCs w:val="24"/>
          <w:highlight w:val="yellow"/>
          <w:lang w:val="en-GB"/>
        </w:rPr>
      </w:pPr>
    </w:p>
    <w:p w14:paraId="6C4EDE61" w14:textId="77777777" w:rsidR="00DC5685" w:rsidRPr="00A34F10" w:rsidRDefault="00DC5685" w:rsidP="00DC5685">
      <w:pPr>
        <w:tabs>
          <w:tab w:val="left" w:pos="720"/>
        </w:tabs>
        <w:spacing w:after="240"/>
        <w:jc w:val="both"/>
        <w:rPr>
          <w:bCs/>
          <w:szCs w:val="24"/>
          <w:lang w:val="en-GB"/>
        </w:rPr>
      </w:pPr>
      <w:r w:rsidRPr="00A34F10">
        <w:rPr>
          <w:bCs/>
          <w:szCs w:val="24"/>
        </w:rPr>
        <w:t>Large amounts of unconsumed food and/or discolourations and/or abnormal behavior and/or substantially undersized larvae on day 8 were notified in order to support in the interpretation of mortality data.</w:t>
      </w:r>
    </w:p>
    <w:p w14:paraId="28B62E65"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701E959B" w14:textId="77777777" w:rsidR="00DC5685" w:rsidRPr="00A34F10" w:rsidRDefault="00DC5685" w:rsidP="00DC5685">
      <w:pPr>
        <w:tabs>
          <w:tab w:val="left" w:pos="720"/>
        </w:tabs>
        <w:jc w:val="both"/>
        <w:rPr>
          <w:szCs w:val="24"/>
        </w:rPr>
      </w:pPr>
      <w:r w:rsidRPr="00A34F10">
        <w:rPr>
          <w:szCs w:val="24"/>
          <w:lang w:val="en-GB"/>
        </w:rPr>
        <w:t>Air</w:t>
      </w:r>
      <w:r w:rsidRPr="00A34F10">
        <w:rPr>
          <w:szCs w:val="24"/>
          <w:lang w:val="x-none"/>
        </w:rPr>
        <w:t xml:space="preserve"> temperature</w:t>
      </w:r>
      <w:r w:rsidRPr="00A34F10">
        <w:rPr>
          <w:szCs w:val="24"/>
          <w:lang w:val="en-GB"/>
        </w:rPr>
        <w:t xml:space="preserve"> and relative humidity were recorded continuously during the study.</w:t>
      </w:r>
      <w:r w:rsidRPr="00A34F10">
        <w:rPr>
          <w:szCs w:val="24"/>
        </w:rPr>
        <w:t xml:space="preserve"> </w:t>
      </w:r>
    </w:p>
    <w:p w14:paraId="605E4EFF" w14:textId="77777777" w:rsidR="00DC5685" w:rsidRPr="00A34F10" w:rsidRDefault="00DC5685" w:rsidP="00DC5685">
      <w:pPr>
        <w:tabs>
          <w:tab w:val="left" w:pos="720"/>
        </w:tabs>
        <w:jc w:val="both"/>
        <w:rPr>
          <w:szCs w:val="24"/>
          <w:highlight w:val="yellow"/>
        </w:rPr>
      </w:pPr>
    </w:p>
    <w:p w14:paraId="1D0977DD" w14:textId="77777777" w:rsidR="00DC5685" w:rsidRPr="00A34F10" w:rsidRDefault="00DC5685" w:rsidP="00DC5685">
      <w:pPr>
        <w:tabs>
          <w:tab w:val="left" w:pos="720"/>
        </w:tabs>
        <w:jc w:val="both"/>
        <w:rPr>
          <w:szCs w:val="24"/>
          <w:lang w:val="en-GB"/>
        </w:rPr>
      </w:pPr>
      <w:r w:rsidRPr="00A34F10">
        <w:rPr>
          <w:szCs w:val="24"/>
          <w:u w:val="single"/>
          <w:lang w:val="en-GB"/>
        </w:rPr>
        <w:t>Analytical verification:</w:t>
      </w:r>
    </w:p>
    <w:p w14:paraId="0F4809FE" w14:textId="77777777" w:rsidR="00DC5685" w:rsidRPr="00A34F10" w:rsidRDefault="00DC5685" w:rsidP="00DC5685">
      <w:pPr>
        <w:tabs>
          <w:tab w:val="left" w:pos="720"/>
        </w:tabs>
        <w:spacing w:after="240"/>
        <w:jc w:val="both"/>
        <w:rPr>
          <w:bCs/>
          <w:szCs w:val="24"/>
          <w:highlight w:val="yellow"/>
        </w:rPr>
      </w:pPr>
      <w:r w:rsidRPr="00A34F10">
        <w:rPr>
          <w:szCs w:val="24"/>
        </w:rPr>
        <w:t>For verification of the exposure concentrations</w:t>
      </w:r>
      <w:r w:rsidRPr="00A34F10">
        <w:rPr>
          <w:bCs/>
          <w:szCs w:val="24"/>
          <w:lang w:val="en-GB"/>
        </w:rPr>
        <w:t xml:space="preserve">, all final diets were sampled in triplicate as specimens for analysis and retention directly before feeding on D3, D4, D5, and D6. Until analysis the specimens were stored at ≤ -18°C. </w:t>
      </w:r>
    </w:p>
    <w:p w14:paraId="59B40B4C" w14:textId="77777777" w:rsidR="00DC5685" w:rsidRPr="00A34F10" w:rsidRDefault="00DC5685" w:rsidP="00E05ECD">
      <w:pPr>
        <w:keepNext/>
        <w:keepLines/>
        <w:numPr>
          <w:ilvl w:val="0"/>
          <w:numId w:val="61"/>
        </w:numPr>
        <w:tabs>
          <w:tab w:val="left" w:pos="255"/>
        </w:tabs>
        <w:spacing w:after="240"/>
        <w:ind w:left="357" w:hanging="357"/>
        <w:contextualSpacing/>
        <w:rPr>
          <w:b/>
          <w:bCs/>
          <w:szCs w:val="24"/>
          <w:lang w:val="en-GB"/>
        </w:rPr>
      </w:pPr>
      <w:r w:rsidRPr="00A34F10">
        <w:rPr>
          <w:rFonts w:eastAsia="Calibri"/>
          <w:b/>
          <w:bCs/>
          <w:szCs w:val="24"/>
          <w:lang w:val="en-GB"/>
        </w:rPr>
        <w:t>Statistical</w:t>
      </w:r>
      <w:r w:rsidRPr="00A34F10">
        <w:rPr>
          <w:b/>
          <w:bCs/>
          <w:szCs w:val="24"/>
          <w:lang w:val="en-GB"/>
        </w:rPr>
        <w:t xml:space="preserve"> analysis: </w:t>
      </w:r>
    </w:p>
    <w:p w14:paraId="6B223B06" w14:textId="77777777" w:rsidR="00DC5685" w:rsidRPr="00A34F10" w:rsidRDefault="00DC5685" w:rsidP="00DC5685">
      <w:pPr>
        <w:tabs>
          <w:tab w:val="left" w:pos="720"/>
        </w:tabs>
        <w:jc w:val="both"/>
        <w:rPr>
          <w:bCs/>
          <w:szCs w:val="24"/>
          <w:lang w:val="en-GB"/>
        </w:rPr>
      </w:pPr>
      <w:r w:rsidRPr="00A34F10">
        <w:rPr>
          <w:bCs/>
          <w:szCs w:val="24"/>
        </w:rPr>
        <w:t xml:space="preserve">Mortality of control and reference item on day 8 and day 22 were compared using the Fisher’s Exact Binominal Test (alpha = 0.05, one-sided greater). </w:t>
      </w:r>
      <w:r w:rsidRPr="00A34F10">
        <w:rPr>
          <w:bCs/>
          <w:szCs w:val="24"/>
          <w:lang w:val="en-GB"/>
        </w:rPr>
        <w:t>For statistical evaluation of the mortality results after test item treatment and for determination of NOEC/NOED the Fisher Test After Bonferroni-Holm (day 8) and the Step-down Cochran-Armitage Test (day 22) were used. The accepted significance level was p ≤ 0.05 (one-sided greater).</w:t>
      </w:r>
    </w:p>
    <w:p w14:paraId="1B3F3BE9" w14:textId="77777777" w:rsidR="00DC5685" w:rsidRPr="00A34F10" w:rsidRDefault="00DC5685" w:rsidP="00DC5685">
      <w:pPr>
        <w:tabs>
          <w:tab w:val="left" w:pos="720"/>
        </w:tabs>
        <w:jc w:val="both"/>
        <w:rPr>
          <w:bCs/>
          <w:szCs w:val="24"/>
          <w:lang w:val="en-GB"/>
        </w:rPr>
      </w:pPr>
    </w:p>
    <w:p w14:paraId="63EA0E51" w14:textId="77777777" w:rsidR="00DC5685" w:rsidRPr="00A34F10" w:rsidRDefault="00DC5685" w:rsidP="00DC5685">
      <w:pPr>
        <w:tabs>
          <w:tab w:val="left" w:pos="720"/>
        </w:tabs>
        <w:spacing w:after="240"/>
        <w:jc w:val="both"/>
        <w:rPr>
          <w:bCs/>
          <w:szCs w:val="24"/>
          <w:highlight w:val="yellow"/>
          <w:lang w:val="en-GB"/>
        </w:rPr>
      </w:pPr>
      <w:r w:rsidRPr="00A34F10">
        <w:t>LD/LC</w:t>
      </w:r>
      <w:r w:rsidRPr="00A34F10">
        <w:rPr>
          <w:vertAlign w:val="subscript"/>
        </w:rPr>
        <w:t xml:space="preserve">50 </w:t>
      </w:r>
      <w:r w:rsidRPr="00A34F10">
        <w:t xml:space="preserve">values (day 8) were estimated based on the raw data (due to effects &lt;50%, the values were estimated to be higher than the highest dose/concentration). </w:t>
      </w:r>
      <w:r w:rsidRPr="00A34F10">
        <w:rPr>
          <w:bCs/>
          <w:szCs w:val="24"/>
          <w:lang w:val="en-GB"/>
        </w:rPr>
        <w:t>ED/EC</w:t>
      </w:r>
      <w:r w:rsidRPr="00A34F10">
        <w:rPr>
          <w:bCs/>
          <w:szCs w:val="24"/>
          <w:vertAlign w:val="subscript"/>
          <w:lang w:val="en-GB"/>
        </w:rPr>
        <w:t>50/20/10</w:t>
      </w:r>
      <w:r w:rsidRPr="00A34F10">
        <w:rPr>
          <w:bCs/>
          <w:szCs w:val="24"/>
          <w:lang w:val="en-GB"/>
        </w:rPr>
        <w:t xml:space="preserve"> calculations on day 22 were performed with the Probit analysis using linear max. likelihood regression. </w:t>
      </w:r>
      <w:r w:rsidRPr="00A34F10">
        <w:rPr>
          <w:bCs/>
          <w:szCs w:val="24"/>
        </w:rPr>
        <w:t>The statistical calculations were performed with the computer program ToxRatPro 3.3.0 (Ratte, 2018).</w:t>
      </w:r>
    </w:p>
    <w:p w14:paraId="25342DDE" w14:textId="77777777" w:rsidR="00DC5685" w:rsidRPr="00A34F10" w:rsidRDefault="00DC5685" w:rsidP="00E05ECD">
      <w:pPr>
        <w:keepNext/>
        <w:keepLines/>
        <w:numPr>
          <w:ilvl w:val="0"/>
          <w:numId w:val="61"/>
        </w:numPr>
        <w:tabs>
          <w:tab w:val="left" w:pos="255"/>
        </w:tabs>
        <w:spacing w:after="240"/>
        <w:ind w:left="357" w:hanging="357"/>
        <w:contextualSpacing/>
        <w:rPr>
          <w:b/>
          <w:bCs/>
          <w:szCs w:val="24"/>
          <w:lang w:val="en-GB"/>
        </w:rPr>
      </w:pPr>
      <w:r w:rsidRPr="00A34F10">
        <w:rPr>
          <w:rFonts w:eastAsia="Calibri"/>
          <w:b/>
          <w:bCs/>
          <w:szCs w:val="24"/>
          <w:lang w:val="en-GB"/>
        </w:rPr>
        <w:t>Description</w:t>
      </w:r>
      <w:r w:rsidRPr="00A34F10">
        <w:rPr>
          <w:b/>
          <w:bCs/>
          <w:szCs w:val="24"/>
          <w:lang w:val="en-GB"/>
        </w:rPr>
        <w:t xml:space="preserve"> of the analytical procedures</w:t>
      </w:r>
    </w:p>
    <w:p w14:paraId="5DD05B76" w14:textId="77777777" w:rsidR="00DC5685" w:rsidRPr="00A34F10" w:rsidRDefault="00DC5685" w:rsidP="00DC5685">
      <w:pPr>
        <w:widowControl w:val="0"/>
        <w:tabs>
          <w:tab w:val="left" w:pos="720"/>
        </w:tabs>
        <w:spacing w:after="240"/>
        <w:jc w:val="both"/>
        <w:rPr>
          <w:highlight w:val="yellow"/>
        </w:rPr>
      </w:pPr>
      <w:r w:rsidRPr="00A34F10">
        <w:rPr>
          <w:szCs w:val="24"/>
        </w:rPr>
        <w:t>Methodology was validated to quantify the amount of BAS 743 02 F via its active ingredients Propamocarb and BAS 650 F present in recovery samples pre-pared in test item feeding solutions. The determination was conducted using reversed phase high performance liquid chromatography (RP-HPLC) with tandem mass spectrometric (MS/MS) detection. All samples were extracted prior to sample analysis with 50/50 (v/v) (acetonitrile + 0.5% (v/v) formic acid))/water. The resulting extracts were further diluted into the range of the calibration curve before injecting into the HPLC-system. The method was fully validated according to the requirements of SANTE/2020/12830, Rev.1 guideline. Five replicate dilutions were analyzed for each selected application solution. Defined limits for acceptance of quality control sample performance in subsequent studies were set at 70 to 110%. The mean recoveries of BAS 743 02 F in final diets were in the range of 100% to 106% Propamocarb and 105% to 107% BAS 650 F. The analyzed untreated control samples showed no residues at or above the LOD. The limit of quantitation (LOQ) was 1.48 mg/kg for Propamocarb and 0.469 mg/kg for BAS 650 F. The limit of detection was 0.311 mg/kg for Propamocarb and 0.0988 mg/kg for BAS 650 F.</w:t>
      </w:r>
    </w:p>
    <w:p w14:paraId="1D51B874" w14:textId="77777777" w:rsidR="00DC5685" w:rsidRPr="00A34F10" w:rsidRDefault="00DC5685" w:rsidP="00E05ECD">
      <w:pPr>
        <w:numPr>
          <w:ilvl w:val="0"/>
          <w:numId w:val="50"/>
        </w:numPr>
        <w:tabs>
          <w:tab w:val="left" w:pos="720"/>
        </w:tabs>
        <w:spacing w:after="240"/>
        <w:jc w:val="center"/>
        <w:rPr>
          <w:b/>
          <w:bCs/>
          <w:caps/>
          <w:szCs w:val="24"/>
          <w:lang w:val="en-GB"/>
        </w:rPr>
      </w:pPr>
      <w:r w:rsidRPr="00A34F10">
        <w:rPr>
          <w:b/>
          <w:bCs/>
          <w:caps/>
          <w:szCs w:val="24"/>
          <w:lang w:val="en-GB"/>
        </w:rPr>
        <w:t>Results and Discussion</w:t>
      </w:r>
    </w:p>
    <w:p w14:paraId="631DF3E9" w14:textId="77777777" w:rsidR="00DC5685" w:rsidRPr="00A34F10" w:rsidRDefault="00DC5685" w:rsidP="00E05ECD">
      <w:pPr>
        <w:numPr>
          <w:ilvl w:val="0"/>
          <w:numId w:val="62"/>
        </w:numPr>
        <w:ind w:left="357" w:hanging="357"/>
        <w:contextualSpacing/>
        <w:rPr>
          <w:b/>
          <w:bCs/>
          <w:caps/>
          <w:szCs w:val="24"/>
          <w:lang w:val="en-GB"/>
        </w:rPr>
      </w:pPr>
      <w:r w:rsidRPr="00A34F10">
        <w:rPr>
          <w:b/>
          <w:bCs/>
          <w:caps/>
          <w:szCs w:val="24"/>
          <w:lang w:val="en-GB"/>
        </w:rPr>
        <w:t>biological effects</w:t>
      </w:r>
    </w:p>
    <w:p w14:paraId="0F230D36" w14:textId="77777777" w:rsidR="00DC5685" w:rsidRPr="00A34F10" w:rsidRDefault="00DC5685" w:rsidP="00DC5685">
      <w:pPr>
        <w:ind w:left="357"/>
        <w:contextualSpacing/>
        <w:rPr>
          <w:b/>
          <w:bCs/>
          <w:caps/>
          <w:szCs w:val="24"/>
          <w:lang w:val="en-GB"/>
        </w:rPr>
      </w:pPr>
    </w:p>
    <w:p w14:paraId="4EBE82BE" w14:textId="77777777" w:rsidR="00DC5685" w:rsidRPr="00A34F10" w:rsidRDefault="00DC5685" w:rsidP="00DC5685">
      <w:pPr>
        <w:widowControl w:val="0"/>
        <w:jc w:val="both"/>
        <w:rPr>
          <w:u w:val="single"/>
          <w:lang w:val="en-GB"/>
        </w:rPr>
      </w:pPr>
      <w:r w:rsidRPr="00A34F10">
        <w:rPr>
          <w:u w:val="single"/>
          <w:lang w:val="en-GB"/>
        </w:rPr>
        <w:t>Cumulative mortality</w:t>
      </w:r>
    </w:p>
    <w:p w14:paraId="7DAAA0B7" w14:textId="77777777" w:rsidR="00DC5685" w:rsidRPr="00A34F10" w:rsidRDefault="00DC5685" w:rsidP="00DC5685">
      <w:pPr>
        <w:widowControl w:val="0"/>
        <w:spacing w:after="240"/>
        <w:jc w:val="both"/>
        <w:rPr>
          <w:lang w:val="en-GB"/>
        </w:rPr>
      </w:pPr>
      <w:r w:rsidRPr="00A34F10">
        <w:rPr>
          <w:lang w:val="en-GB"/>
        </w:rPr>
        <w:t xml:space="preserve">Larval mortality (day 8) in the control group was 0.0% while pupal mortality (between day 8 and 15) was 2.8%. The control group showed a total mortality of 16.7% on day 22. In the test item groups, larval mortalities at day 8 ranged between 0.0 and 13.9%. Pupal mortalities ranged between 6.1 and 23.3% in the test item treatment groups. Total mortalities on day 22 ranged between 11.1 and 55.6%. Mortality in the reference group was above 50% across all replicates on day 8, being 90.6%. </w:t>
      </w:r>
    </w:p>
    <w:p w14:paraId="15E489B0" w14:textId="5EFCB676" w:rsidR="001805B3" w:rsidRDefault="00DC5685" w:rsidP="00DC5685">
      <w:pPr>
        <w:widowControl w:val="0"/>
        <w:spacing w:after="240"/>
        <w:jc w:val="both"/>
        <w:rPr>
          <w:lang w:val="en-GB"/>
        </w:rPr>
      </w:pPr>
      <w:r w:rsidRPr="00A34F10">
        <w:rPr>
          <w:lang w:val="en-GB"/>
        </w:rPr>
        <w:t>Based on the above-mentioned results, the LD</w:t>
      </w:r>
      <w:r w:rsidRPr="00A34F10">
        <w:rPr>
          <w:vertAlign w:val="subscript"/>
          <w:lang w:val="en-GB"/>
        </w:rPr>
        <w:t>50</w:t>
      </w:r>
      <w:r w:rsidRPr="00A34F10">
        <w:rPr>
          <w:lang w:val="en-GB"/>
        </w:rPr>
        <w:t xml:space="preserve"> was estimated to be &gt; 352.2 µg product/larva, which is equivalent to an LC</w:t>
      </w:r>
      <w:r w:rsidRPr="00A34F10">
        <w:rPr>
          <w:vertAlign w:val="subscript"/>
          <w:lang w:val="en-GB"/>
        </w:rPr>
        <w:t xml:space="preserve">50 </w:t>
      </w:r>
      <w:r w:rsidRPr="00A34F10">
        <w:rPr>
          <w:lang w:val="en-GB"/>
        </w:rPr>
        <w:t>&gt; 2226.1 mg product/kg food. The respective NOED was ≥ 352.2 µg product/larva and the corresponding NOEC was ≥ 2226.1 mg product/kg food.</w:t>
      </w:r>
    </w:p>
    <w:p w14:paraId="1FF0BD43" w14:textId="77777777" w:rsidR="001805B3" w:rsidRDefault="001805B3">
      <w:pPr>
        <w:rPr>
          <w:lang w:val="en-GB"/>
        </w:rPr>
      </w:pPr>
      <w:r>
        <w:rPr>
          <w:lang w:val="en-GB"/>
        </w:rPr>
        <w:br w:type="page"/>
      </w:r>
    </w:p>
    <w:p w14:paraId="5BEE45E8" w14:textId="77777777" w:rsidR="00DC5685" w:rsidRPr="00A34F10" w:rsidRDefault="00DC5685" w:rsidP="00DC5685">
      <w:pPr>
        <w:widowControl w:val="0"/>
        <w:spacing w:after="240"/>
        <w:jc w:val="both"/>
        <w:rPr>
          <w:lang w:val="en-GB"/>
        </w:rPr>
      </w:pPr>
    </w:p>
    <w:p w14:paraId="7B82EC7E" w14:textId="77777777" w:rsidR="00DC5685" w:rsidRPr="00A34F10" w:rsidRDefault="00DC5685" w:rsidP="00DC5685">
      <w:pPr>
        <w:widowControl w:val="0"/>
        <w:jc w:val="both"/>
        <w:rPr>
          <w:u w:val="single"/>
          <w:lang w:val="en-GB"/>
        </w:rPr>
      </w:pPr>
      <w:r w:rsidRPr="00A34F10">
        <w:rPr>
          <w:u w:val="single"/>
          <w:lang w:val="en-GB"/>
        </w:rPr>
        <w:t>Adult emergence success:</w:t>
      </w:r>
    </w:p>
    <w:p w14:paraId="68B78985" w14:textId="77777777" w:rsidR="00DC5685" w:rsidRPr="00A34F10" w:rsidRDefault="00DC5685" w:rsidP="00DC5685">
      <w:pPr>
        <w:widowControl w:val="0"/>
        <w:jc w:val="both"/>
        <w:rPr>
          <w:lang w:val="en-GB"/>
        </w:rPr>
      </w:pPr>
      <w:r w:rsidRPr="00A34F10">
        <w:rPr>
          <w:lang w:val="en-GB"/>
        </w:rPr>
        <w:t>In the final assessment on day 22, an adult emergence rate of 83.3% was determined for the honey bees in the control group. In the test item treated groups, the adult honey bees emerged at rates of 44.4, 61.1, 77.8, 80.6 and 88.9% following an application of 352.2, 117.3, 39.1, 13.0 and 4.4 µg product/larva during the larval stages. On day 22, larvae treated with 352.2 and 117.3 µg product/larva, showed adult emergence, which was statistically significantly decreased if compared to the control.</w:t>
      </w:r>
    </w:p>
    <w:p w14:paraId="642394F2" w14:textId="77777777" w:rsidR="00DC5685" w:rsidRPr="00A34F10" w:rsidRDefault="00DC5685" w:rsidP="00DC5685">
      <w:pPr>
        <w:widowControl w:val="0"/>
        <w:jc w:val="both"/>
        <w:rPr>
          <w:lang w:val="en-GB"/>
        </w:rPr>
      </w:pPr>
    </w:p>
    <w:p w14:paraId="4415FBC1" w14:textId="77777777" w:rsidR="00DC5685" w:rsidRPr="00A34F10" w:rsidRDefault="00DC5685" w:rsidP="00DC5685">
      <w:pPr>
        <w:widowControl w:val="0"/>
        <w:jc w:val="both"/>
        <w:rPr>
          <w:lang w:val="en-GB"/>
        </w:rPr>
      </w:pPr>
      <w:r w:rsidRPr="00A34F10">
        <w:rPr>
          <w:lang w:val="en-GB"/>
        </w:rPr>
        <w:t>Based on the observed emergence rates the ED</w:t>
      </w:r>
      <w:r w:rsidRPr="00A34F10">
        <w:rPr>
          <w:vertAlign w:val="subscript"/>
          <w:lang w:val="en-GB"/>
        </w:rPr>
        <w:t>50</w:t>
      </w:r>
      <w:r w:rsidRPr="00A34F10">
        <w:rPr>
          <w:lang w:val="en-GB"/>
        </w:rPr>
        <w:t xml:space="preserve"> was determined to be &gt; 352.2 µg product/larva, which is equivalent to an EC</w:t>
      </w:r>
      <w:r w:rsidRPr="00A34F10">
        <w:rPr>
          <w:vertAlign w:val="subscript"/>
          <w:lang w:val="en-GB"/>
        </w:rPr>
        <w:t>50</w:t>
      </w:r>
      <w:r w:rsidRPr="00A34F10">
        <w:rPr>
          <w:lang w:val="en-GB"/>
        </w:rPr>
        <w:t xml:space="preserve"> of &gt; 2226.1 mg product/kg food. The respective NOED was 39.1 µg product/larva and the corresponding NOEC was 247.1 mg product/kg food.</w:t>
      </w:r>
    </w:p>
    <w:p w14:paraId="1A67EDE9" w14:textId="77777777" w:rsidR="00DC5685" w:rsidRPr="00A34F10" w:rsidRDefault="00DC5685" w:rsidP="00DC5685">
      <w:pPr>
        <w:widowControl w:val="0"/>
        <w:jc w:val="both"/>
        <w:rPr>
          <w:lang w:val="en-GB"/>
        </w:rPr>
      </w:pPr>
    </w:p>
    <w:p w14:paraId="201ED279" w14:textId="77777777" w:rsidR="00DC5685" w:rsidRPr="00A34F10" w:rsidRDefault="00DC5685" w:rsidP="00DC5685">
      <w:pPr>
        <w:widowControl w:val="0"/>
        <w:jc w:val="both"/>
        <w:rPr>
          <w:u w:val="single"/>
          <w:lang w:val="en-GB"/>
        </w:rPr>
      </w:pPr>
      <w:r w:rsidRPr="00A34F10">
        <w:rPr>
          <w:u w:val="single"/>
          <w:lang w:val="en-GB"/>
        </w:rPr>
        <w:t>Other observations</w:t>
      </w:r>
    </w:p>
    <w:p w14:paraId="597D22BA" w14:textId="77777777" w:rsidR="00DC5685" w:rsidRPr="00A34F10" w:rsidRDefault="00DC5685" w:rsidP="00DC5685">
      <w:pPr>
        <w:spacing w:after="240"/>
        <w:jc w:val="both"/>
        <w:rPr>
          <w:lang w:val="en-GB"/>
        </w:rPr>
      </w:pPr>
      <w:r w:rsidRPr="00A34F10">
        <w:rPr>
          <w:lang w:val="en-GB"/>
        </w:rPr>
        <w:t>On day 8, 2.8% of the remaining larvae in the control treatment and 14.4%, 3.3%, 9.1% and 2.8% of the remaining larvae treated with 352.2, 39.1, 13.0 and 4.4 µg product/larva in the test item treatment showed remaining food.</w:t>
      </w:r>
    </w:p>
    <w:p w14:paraId="30AA314F" w14:textId="77777777" w:rsidR="00DC5685" w:rsidRPr="00A34F10" w:rsidRDefault="00DC5685" w:rsidP="00DC5685">
      <w:pPr>
        <w:spacing w:after="240"/>
        <w:jc w:val="both"/>
        <w:rPr>
          <w:color w:val="000000"/>
          <w:szCs w:val="24"/>
          <w:lang w:val="en-GB"/>
        </w:rPr>
      </w:pPr>
      <w:r w:rsidRPr="00A34F10">
        <w:rPr>
          <w:color w:val="000000"/>
          <w:szCs w:val="24"/>
          <w:lang w:val="en-GB"/>
        </w:rPr>
        <w:t>The biological results are summarised in following table.</w:t>
      </w:r>
    </w:p>
    <w:p w14:paraId="0C326138" w14:textId="34B73AEB" w:rsidR="00DC5685" w:rsidRPr="00A34F10" w:rsidRDefault="001805B3" w:rsidP="001805B3">
      <w:pPr>
        <w:pStyle w:val="Legenda"/>
        <w:rPr>
          <w:highlight w:val="yellow"/>
        </w:rPr>
      </w:pPr>
      <w:r>
        <w:t xml:space="preserve">Table A </w:t>
      </w:r>
      <w:r>
        <w:fldChar w:fldCharType="begin"/>
      </w:r>
      <w:r>
        <w:instrText xml:space="preserve"> SEQ Table_A \* ARABIC </w:instrText>
      </w:r>
      <w:r>
        <w:fldChar w:fldCharType="separate"/>
      </w:r>
      <w:r w:rsidR="006F0F3B">
        <w:rPr>
          <w:noProof/>
        </w:rPr>
        <w:t>57</w:t>
      </w:r>
      <w:r>
        <w:fldChar w:fldCharType="end"/>
      </w:r>
      <w:r w:rsidR="00DC5685" w:rsidRPr="00A34F10">
        <w:t>:</w:t>
      </w:r>
      <w:r w:rsidR="00772D00" w:rsidRPr="00A34F10">
        <w:tab/>
      </w:r>
      <w:r w:rsidR="00DC5685" w:rsidRPr="00A34F10">
        <w:t xml:space="preserve"> Cumulated mortality and other observations of larvae in the chronic toxicity test</w:t>
      </w:r>
    </w:p>
    <w:tbl>
      <w:tblPr>
        <w:tblStyle w:val="NormaleTabelle1"/>
        <w:tblW w:w="5000" w:type="pct"/>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040"/>
        <w:gridCol w:w="646"/>
        <w:gridCol w:w="1363"/>
        <w:gridCol w:w="506"/>
        <w:gridCol w:w="423"/>
        <w:gridCol w:w="618"/>
        <w:gridCol w:w="605"/>
        <w:gridCol w:w="605"/>
        <w:gridCol w:w="704"/>
        <w:gridCol w:w="703"/>
        <w:gridCol w:w="610"/>
        <w:gridCol w:w="475"/>
        <w:gridCol w:w="1040"/>
      </w:tblGrid>
      <w:tr w:rsidR="00DC5685" w:rsidRPr="00A34F10" w14:paraId="2FA2A1CA" w14:textId="77777777" w:rsidTr="000470C3">
        <w:trPr>
          <w:tblHeader/>
          <w:jc w:val="center"/>
        </w:trPr>
        <w:tc>
          <w:tcPr>
            <w:tcW w:w="555" w:type="pct"/>
            <w:vMerge w:val="restart"/>
            <w:tcBorders>
              <w:top w:val="single" w:sz="6" w:space="0" w:color="auto"/>
              <w:left w:val="single" w:sz="6" w:space="0" w:color="auto"/>
              <w:right w:val="single" w:sz="6" w:space="0" w:color="auto"/>
            </w:tcBorders>
            <w:vAlign w:val="center"/>
            <w:hideMark/>
          </w:tcPr>
          <w:p w14:paraId="03C859B2"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Treatment group</w:t>
            </w:r>
          </w:p>
        </w:tc>
        <w:tc>
          <w:tcPr>
            <w:tcW w:w="345" w:type="pct"/>
            <w:vMerge w:val="restart"/>
            <w:tcBorders>
              <w:top w:val="single" w:sz="6" w:space="0" w:color="auto"/>
              <w:left w:val="single" w:sz="6" w:space="0" w:color="auto"/>
              <w:right w:val="single" w:sz="6" w:space="0" w:color="auto"/>
            </w:tcBorders>
            <w:vAlign w:val="center"/>
            <w:hideMark/>
          </w:tcPr>
          <w:p w14:paraId="3825A58E"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Dose</w:t>
            </w:r>
          </w:p>
          <w:p w14:paraId="174D12A7"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[µg prod./ larva]</w:t>
            </w:r>
          </w:p>
        </w:tc>
        <w:tc>
          <w:tcPr>
            <w:tcW w:w="727" w:type="pct"/>
            <w:vMerge w:val="restart"/>
            <w:tcBorders>
              <w:top w:val="single" w:sz="6" w:space="0" w:color="auto"/>
              <w:left w:val="single" w:sz="6" w:space="0" w:color="auto"/>
              <w:right w:val="single" w:sz="6" w:space="0" w:color="auto"/>
            </w:tcBorders>
            <w:vAlign w:val="center"/>
            <w:hideMark/>
          </w:tcPr>
          <w:p w14:paraId="02D150E3"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Concentration</w:t>
            </w:r>
          </w:p>
          <w:p w14:paraId="3318BB21"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[mg prod./kg food]</w:t>
            </w:r>
          </w:p>
        </w:tc>
        <w:tc>
          <w:tcPr>
            <w:tcW w:w="826" w:type="pct"/>
            <w:gridSpan w:val="3"/>
            <w:tcBorders>
              <w:top w:val="single" w:sz="6" w:space="0" w:color="auto"/>
              <w:left w:val="single" w:sz="6" w:space="0" w:color="auto"/>
              <w:bottom w:val="single" w:sz="6" w:space="0" w:color="auto"/>
              <w:right w:val="single" w:sz="6" w:space="0" w:color="auto"/>
            </w:tcBorders>
            <w:vAlign w:val="center"/>
            <w:hideMark/>
          </w:tcPr>
          <w:p w14:paraId="56CFB057"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On D8</w:t>
            </w:r>
          </w:p>
        </w:tc>
        <w:tc>
          <w:tcPr>
            <w:tcW w:w="652" w:type="pct"/>
            <w:gridSpan w:val="2"/>
            <w:tcBorders>
              <w:top w:val="single" w:sz="6" w:space="0" w:color="auto"/>
              <w:left w:val="single" w:sz="6" w:space="0" w:color="auto"/>
              <w:bottom w:val="single" w:sz="6" w:space="0" w:color="auto"/>
              <w:right w:val="single" w:sz="6" w:space="0" w:color="auto"/>
            </w:tcBorders>
          </w:tcPr>
          <w:p w14:paraId="78ACD1CB"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On D15</w:t>
            </w:r>
          </w:p>
        </w:tc>
        <w:tc>
          <w:tcPr>
            <w:tcW w:w="1896" w:type="pct"/>
            <w:gridSpan w:val="5"/>
            <w:tcBorders>
              <w:top w:val="single" w:sz="6" w:space="0" w:color="auto"/>
              <w:left w:val="single" w:sz="6" w:space="0" w:color="auto"/>
              <w:bottom w:val="single" w:sz="6" w:space="0" w:color="auto"/>
              <w:right w:val="single" w:sz="6" w:space="0" w:color="auto"/>
            </w:tcBorders>
            <w:vAlign w:val="center"/>
            <w:hideMark/>
          </w:tcPr>
          <w:p w14:paraId="18F950EF"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On D22</w:t>
            </w:r>
          </w:p>
        </w:tc>
      </w:tr>
      <w:tr w:rsidR="00DC5685" w:rsidRPr="00A34F10" w14:paraId="4050713D" w14:textId="77777777" w:rsidTr="000470C3">
        <w:trPr>
          <w:trHeight w:val="798"/>
          <w:tblHeader/>
          <w:jc w:val="center"/>
        </w:trPr>
        <w:tc>
          <w:tcPr>
            <w:tcW w:w="555" w:type="pct"/>
            <w:vMerge/>
            <w:tcBorders>
              <w:left w:val="single" w:sz="6" w:space="0" w:color="auto"/>
              <w:right w:val="single" w:sz="6" w:space="0" w:color="auto"/>
            </w:tcBorders>
            <w:vAlign w:val="center"/>
            <w:hideMark/>
          </w:tcPr>
          <w:p w14:paraId="0D25885F" w14:textId="77777777" w:rsidR="00DC5685" w:rsidRPr="00A34F10" w:rsidRDefault="00DC5685" w:rsidP="00DC5685">
            <w:pPr>
              <w:keepNext/>
              <w:keepLines/>
              <w:rPr>
                <w:b/>
                <w:bCs/>
                <w:color w:val="000000"/>
                <w:sz w:val="20"/>
                <w:szCs w:val="20"/>
              </w:rPr>
            </w:pPr>
          </w:p>
        </w:tc>
        <w:tc>
          <w:tcPr>
            <w:tcW w:w="345" w:type="pct"/>
            <w:vMerge/>
            <w:tcBorders>
              <w:left w:val="single" w:sz="6" w:space="0" w:color="auto"/>
              <w:right w:val="single" w:sz="6" w:space="0" w:color="auto"/>
            </w:tcBorders>
            <w:vAlign w:val="center"/>
            <w:hideMark/>
          </w:tcPr>
          <w:p w14:paraId="73ED4AA6" w14:textId="77777777" w:rsidR="00DC5685" w:rsidRPr="00A34F10" w:rsidRDefault="00DC5685" w:rsidP="00DC5685">
            <w:pPr>
              <w:keepNext/>
              <w:keepLines/>
              <w:rPr>
                <w:b/>
                <w:bCs/>
                <w:color w:val="000000"/>
                <w:sz w:val="20"/>
                <w:szCs w:val="20"/>
              </w:rPr>
            </w:pPr>
          </w:p>
        </w:tc>
        <w:tc>
          <w:tcPr>
            <w:tcW w:w="727" w:type="pct"/>
            <w:vMerge/>
            <w:tcBorders>
              <w:left w:val="single" w:sz="6" w:space="0" w:color="auto"/>
              <w:right w:val="single" w:sz="6" w:space="0" w:color="auto"/>
            </w:tcBorders>
            <w:vAlign w:val="center"/>
            <w:hideMark/>
          </w:tcPr>
          <w:p w14:paraId="7155AD99" w14:textId="77777777" w:rsidR="00DC5685" w:rsidRPr="00A34F10" w:rsidRDefault="00DC5685" w:rsidP="00DC5685">
            <w:pPr>
              <w:keepNext/>
              <w:keepLines/>
              <w:rPr>
                <w:b/>
                <w:bCs/>
                <w:color w:val="000000"/>
                <w:sz w:val="20"/>
                <w:szCs w:val="20"/>
              </w:rPr>
            </w:pPr>
          </w:p>
        </w:tc>
        <w:tc>
          <w:tcPr>
            <w:tcW w:w="496" w:type="pct"/>
            <w:gridSpan w:val="2"/>
            <w:tcBorders>
              <w:top w:val="single" w:sz="6" w:space="0" w:color="auto"/>
              <w:left w:val="single" w:sz="6" w:space="0" w:color="auto"/>
              <w:right w:val="single" w:sz="6" w:space="0" w:color="auto"/>
            </w:tcBorders>
            <w:vAlign w:val="center"/>
            <w:hideMark/>
          </w:tcPr>
          <w:p w14:paraId="7EF1CAFA"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 xml:space="preserve">Larval mortality </w:t>
            </w:r>
          </w:p>
          <w:p w14:paraId="1D04D787"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D3 to D8</w:t>
            </w:r>
          </w:p>
          <w:p w14:paraId="5DCD0F83"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c>
          <w:tcPr>
            <w:tcW w:w="330" w:type="pct"/>
            <w:tcBorders>
              <w:top w:val="single" w:sz="6" w:space="0" w:color="auto"/>
              <w:left w:val="single" w:sz="6" w:space="0" w:color="auto"/>
              <w:right w:val="single" w:sz="6" w:space="0" w:color="auto"/>
            </w:tcBorders>
            <w:vAlign w:val="center"/>
            <w:hideMark/>
          </w:tcPr>
          <w:p w14:paraId="1ED8FAA5"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Mean OO</w:t>
            </w:r>
          </w:p>
          <w:p w14:paraId="05144E8E"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c>
          <w:tcPr>
            <w:tcW w:w="652" w:type="pct"/>
            <w:gridSpan w:val="2"/>
            <w:tcBorders>
              <w:top w:val="single" w:sz="6" w:space="0" w:color="auto"/>
              <w:left w:val="single" w:sz="6" w:space="0" w:color="auto"/>
              <w:right w:val="single" w:sz="6" w:space="0" w:color="auto"/>
            </w:tcBorders>
          </w:tcPr>
          <w:p w14:paraId="7716636B"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Pupal mortality</w:t>
            </w:r>
          </w:p>
          <w:p w14:paraId="30F0E4CD"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D8-D15</w:t>
            </w:r>
          </w:p>
          <w:p w14:paraId="248659BA"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c>
          <w:tcPr>
            <w:tcW w:w="757" w:type="pct"/>
            <w:gridSpan w:val="2"/>
            <w:tcBorders>
              <w:top w:val="single" w:sz="6" w:space="0" w:color="auto"/>
              <w:left w:val="single" w:sz="6" w:space="0" w:color="auto"/>
              <w:right w:val="single" w:sz="6" w:space="0" w:color="auto"/>
            </w:tcBorders>
            <w:vAlign w:val="center"/>
            <w:hideMark/>
          </w:tcPr>
          <w:p w14:paraId="512CF276"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Pupal mortality</w:t>
            </w:r>
          </w:p>
          <w:p w14:paraId="445E740E"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D8-D22</w:t>
            </w:r>
          </w:p>
          <w:p w14:paraId="76971918"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c>
          <w:tcPr>
            <w:tcW w:w="584" w:type="pct"/>
            <w:gridSpan w:val="2"/>
            <w:tcBorders>
              <w:top w:val="single" w:sz="6" w:space="0" w:color="auto"/>
              <w:left w:val="single" w:sz="6" w:space="0" w:color="auto"/>
              <w:right w:val="single" w:sz="6" w:space="0" w:color="auto"/>
            </w:tcBorders>
            <w:vAlign w:val="center"/>
            <w:hideMark/>
          </w:tcPr>
          <w:p w14:paraId="1DAAB005"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 xml:space="preserve">Total mortality </w:t>
            </w:r>
          </w:p>
          <w:p w14:paraId="382F84DC"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D3-D22</w:t>
            </w:r>
          </w:p>
          <w:p w14:paraId="1208CBFC"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c>
          <w:tcPr>
            <w:tcW w:w="555" w:type="pct"/>
            <w:tcBorders>
              <w:top w:val="single" w:sz="6" w:space="0" w:color="auto"/>
              <w:left w:val="single" w:sz="6" w:space="0" w:color="auto"/>
              <w:right w:val="single" w:sz="6" w:space="0" w:color="auto"/>
            </w:tcBorders>
            <w:vAlign w:val="center"/>
            <w:hideMark/>
          </w:tcPr>
          <w:p w14:paraId="768630C6"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Adult emergence</w:t>
            </w:r>
          </w:p>
          <w:p w14:paraId="150A1EE8" w14:textId="77777777" w:rsidR="00DC5685" w:rsidRPr="00A34F10" w:rsidRDefault="00DC5685" w:rsidP="00DC5685">
            <w:pPr>
              <w:keepNext/>
              <w:keepLines/>
              <w:autoSpaceDE w:val="0"/>
              <w:autoSpaceDN w:val="0"/>
              <w:spacing w:before="60" w:after="60"/>
              <w:ind w:left="57" w:right="57"/>
              <w:jc w:val="center"/>
              <w:rPr>
                <w:b/>
                <w:bCs/>
                <w:color w:val="000000"/>
                <w:sz w:val="20"/>
                <w:szCs w:val="20"/>
              </w:rPr>
            </w:pPr>
            <w:r w:rsidRPr="00A34F10">
              <w:rPr>
                <w:b/>
                <w:bCs/>
                <w:color w:val="000000"/>
                <w:sz w:val="20"/>
                <w:szCs w:val="20"/>
              </w:rPr>
              <w:t>[%]</w:t>
            </w:r>
          </w:p>
        </w:tc>
      </w:tr>
      <w:tr w:rsidR="00DC5685" w:rsidRPr="00A34F10" w14:paraId="7F87D9D8" w14:textId="77777777" w:rsidTr="000470C3">
        <w:trPr>
          <w:tblHeader/>
          <w:jc w:val="center"/>
        </w:trPr>
        <w:tc>
          <w:tcPr>
            <w:tcW w:w="555" w:type="pct"/>
            <w:vMerge/>
            <w:tcBorders>
              <w:left w:val="single" w:sz="6" w:space="0" w:color="auto"/>
              <w:bottom w:val="single" w:sz="6" w:space="0" w:color="auto"/>
              <w:right w:val="single" w:sz="6" w:space="0" w:color="auto"/>
            </w:tcBorders>
            <w:vAlign w:val="center"/>
          </w:tcPr>
          <w:p w14:paraId="69150B86" w14:textId="77777777" w:rsidR="00DC5685" w:rsidRPr="00A34F10" w:rsidRDefault="00DC5685" w:rsidP="00DC5685">
            <w:pPr>
              <w:keepNext/>
              <w:keepLines/>
              <w:autoSpaceDE w:val="0"/>
              <w:autoSpaceDN w:val="0"/>
              <w:spacing w:before="60" w:after="60"/>
              <w:ind w:left="57" w:right="57"/>
              <w:rPr>
                <w:b/>
                <w:bCs/>
                <w:color w:val="000000"/>
                <w:sz w:val="20"/>
                <w:szCs w:val="20"/>
              </w:rPr>
            </w:pPr>
          </w:p>
        </w:tc>
        <w:tc>
          <w:tcPr>
            <w:tcW w:w="345" w:type="pct"/>
            <w:vMerge/>
            <w:tcBorders>
              <w:left w:val="single" w:sz="6" w:space="0" w:color="auto"/>
              <w:bottom w:val="single" w:sz="6" w:space="0" w:color="auto"/>
              <w:right w:val="single" w:sz="6" w:space="0" w:color="auto"/>
            </w:tcBorders>
            <w:vAlign w:val="center"/>
            <w:hideMark/>
          </w:tcPr>
          <w:p w14:paraId="6767EFC4" w14:textId="77777777" w:rsidR="00DC5685" w:rsidRPr="00A34F10" w:rsidRDefault="00DC5685" w:rsidP="00DC5685">
            <w:pPr>
              <w:keepNext/>
              <w:keepLines/>
              <w:jc w:val="center"/>
              <w:rPr>
                <w:color w:val="000000"/>
                <w:sz w:val="20"/>
                <w:szCs w:val="20"/>
              </w:rPr>
            </w:pPr>
          </w:p>
        </w:tc>
        <w:tc>
          <w:tcPr>
            <w:tcW w:w="727" w:type="pct"/>
            <w:vMerge/>
            <w:tcBorders>
              <w:left w:val="single" w:sz="6" w:space="0" w:color="auto"/>
              <w:bottom w:val="single" w:sz="6" w:space="0" w:color="auto"/>
              <w:right w:val="single" w:sz="6" w:space="0" w:color="auto"/>
            </w:tcBorders>
            <w:vAlign w:val="center"/>
            <w:hideMark/>
          </w:tcPr>
          <w:p w14:paraId="1966151C" w14:textId="77777777" w:rsidR="00DC5685" w:rsidRPr="00A34F10" w:rsidRDefault="00DC5685" w:rsidP="00DC5685">
            <w:pPr>
              <w:keepNext/>
              <w:keepLines/>
              <w:jc w:val="center"/>
              <w:rPr>
                <w:color w:val="000000"/>
                <w:sz w:val="20"/>
                <w:szCs w:val="20"/>
              </w:rPr>
            </w:pPr>
          </w:p>
        </w:tc>
        <w:tc>
          <w:tcPr>
            <w:tcW w:w="270" w:type="pct"/>
            <w:tcBorders>
              <w:top w:val="single" w:sz="6" w:space="0" w:color="auto"/>
              <w:left w:val="single" w:sz="6" w:space="0" w:color="auto"/>
              <w:bottom w:val="single" w:sz="6" w:space="0" w:color="auto"/>
              <w:right w:val="single" w:sz="6" w:space="0" w:color="auto"/>
            </w:tcBorders>
            <w:vAlign w:val="center"/>
            <w:hideMark/>
          </w:tcPr>
          <w:p w14:paraId="7C44A404" w14:textId="77777777" w:rsidR="00DC5685" w:rsidRPr="00A34F10" w:rsidRDefault="00DC5685" w:rsidP="00DC5685">
            <w:pPr>
              <w:keepNext/>
              <w:keepLines/>
              <w:jc w:val="center"/>
              <w:rPr>
                <w:color w:val="000000"/>
                <w:sz w:val="20"/>
                <w:szCs w:val="20"/>
              </w:rPr>
            </w:pPr>
            <w:r w:rsidRPr="00A34F10">
              <w:rPr>
                <w:color w:val="000000"/>
                <w:sz w:val="20"/>
                <w:szCs w:val="20"/>
              </w:rPr>
              <w:t>abs.</w:t>
            </w:r>
          </w:p>
        </w:tc>
        <w:tc>
          <w:tcPr>
            <w:tcW w:w="226" w:type="pct"/>
            <w:tcBorders>
              <w:top w:val="single" w:sz="6" w:space="0" w:color="auto"/>
              <w:left w:val="single" w:sz="6" w:space="0" w:color="auto"/>
              <w:bottom w:val="single" w:sz="6" w:space="0" w:color="auto"/>
              <w:right w:val="single" w:sz="6" w:space="0" w:color="auto"/>
            </w:tcBorders>
            <w:vAlign w:val="center"/>
            <w:hideMark/>
          </w:tcPr>
          <w:p w14:paraId="70552D47" w14:textId="77777777" w:rsidR="00DC5685" w:rsidRPr="00A34F10" w:rsidRDefault="00DC5685" w:rsidP="00DC5685">
            <w:pPr>
              <w:keepNext/>
              <w:keepLines/>
              <w:jc w:val="center"/>
              <w:rPr>
                <w:color w:val="000000"/>
                <w:sz w:val="20"/>
                <w:szCs w:val="20"/>
              </w:rPr>
            </w:pPr>
            <w:r w:rsidRPr="00A34F10">
              <w:rPr>
                <w:color w:val="000000"/>
                <w:sz w:val="20"/>
                <w:szCs w:val="20"/>
              </w:rPr>
              <w:t>corr.</w:t>
            </w:r>
          </w:p>
        </w:tc>
        <w:tc>
          <w:tcPr>
            <w:tcW w:w="330" w:type="pct"/>
            <w:tcBorders>
              <w:top w:val="single" w:sz="6" w:space="0" w:color="auto"/>
              <w:left w:val="single" w:sz="6" w:space="0" w:color="auto"/>
              <w:bottom w:val="single" w:sz="6" w:space="0" w:color="auto"/>
              <w:right w:val="single" w:sz="6" w:space="0" w:color="auto"/>
            </w:tcBorders>
            <w:vAlign w:val="center"/>
          </w:tcPr>
          <w:p w14:paraId="0EB6F881" w14:textId="77777777" w:rsidR="00DC5685" w:rsidRPr="00A34F10" w:rsidRDefault="00DC5685" w:rsidP="00DC5685">
            <w:pPr>
              <w:keepNext/>
              <w:keepLines/>
              <w:jc w:val="center"/>
              <w:rPr>
                <w:color w:val="000000"/>
                <w:sz w:val="20"/>
                <w:szCs w:val="20"/>
              </w:rPr>
            </w:pPr>
          </w:p>
        </w:tc>
        <w:tc>
          <w:tcPr>
            <w:tcW w:w="326" w:type="pct"/>
            <w:tcBorders>
              <w:top w:val="single" w:sz="6" w:space="0" w:color="auto"/>
              <w:left w:val="single" w:sz="6" w:space="0" w:color="auto"/>
              <w:bottom w:val="single" w:sz="6" w:space="0" w:color="auto"/>
              <w:right w:val="single" w:sz="6" w:space="0" w:color="auto"/>
            </w:tcBorders>
            <w:vAlign w:val="center"/>
          </w:tcPr>
          <w:p w14:paraId="1C681C25" w14:textId="77777777" w:rsidR="00DC5685" w:rsidRPr="00A34F10" w:rsidRDefault="00DC5685" w:rsidP="00DC5685">
            <w:pPr>
              <w:keepNext/>
              <w:keepLines/>
              <w:jc w:val="center"/>
              <w:rPr>
                <w:color w:val="000000"/>
                <w:sz w:val="20"/>
                <w:szCs w:val="20"/>
              </w:rPr>
            </w:pPr>
            <w:r w:rsidRPr="00A34F10">
              <w:rPr>
                <w:color w:val="000000"/>
                <w:sz w:val="20"/>
                <w:szCs w:val="20"/>
              </w:rPr>
              <w:t>abs.</w:t>
            </w:r>
          </w:p>
        </w:tc>
        <w:tc>
          <w:tcPr>
            <w:tcW w:w="326" w:type="pct"/>
            <w:tcBorders>
              <w:top w:val="single" w:sz="6" w:space="0" w:color="auto"/>
              <w:left w:val="single" w:sz="6" w:space="0" w:color="auto"/>
              <w:bottom w:val="single" w:sz="6" w:space="0" w:color="auto"/>
              <w:right w:val="single" w:sz="6" w:space="0" w:color="auto"/>
            </w:tcBorders>
            <w:vAlign w:val="center"/>
          </w:tcPr>
          <w:p w14:paraId="610C8285" w14:textId="77777777" w:rsidR="00DC5685" w:rsidRPr="00A34F10" w:rsidRDefault="00DC5685" w:rsidP="00DC5685">
            <w:pPr>
              <w:keepNext/>
              <w:keepLines/>
              <w:jc w:val="center"/>
              <w:rPr>
                <w:color w:val="000000"/>
                <w:sz w:val="20"/>
                <w:szCs w:val="20"/>
              </w:rPr>
            </w:pPr>
            <w:r w:rsidRPr="00A34F10">
              <w:rPr>
                <w:color w:val="000000"/>
                <w:sz w:val="20"/>
                <w:szCs w:val="20"/>
              </w:rPr>
              <w:t>corr.</w:t>
            </w:r>
          </w:p>
        </w:tc>
        <w:tc>
          <w:tcPr>
            <w:tcW w:w="379" w:type="pct"/>
            <w:tcBorders>
              <w:top w:val="single" w:sz="6" w:space="0" w:color="auto"/>
              <w:left w:val="single" w:sz="6" w:space="0" w:color="auto"/>
              <w:bottom w:val="single" w:sz="6" w:space="0" w:color="auto"/>
              <w:right w:val="single" w:sz="6" w:space="0" w:color="auto"/>
            </w:tcBorders>
            <w:vAlign w:val="center"/>
            <w:hideMark/>
          </w:tcPr>
          <w:p w14:paraId="37F8024E" w14:textId="77777777" w:rsidR="00DC5685" w:rsidRPr="00A34F10" w:rsidRDefault="00DC5685" w:rsidP="00DC5685">
            <w:pPr>
              <w:keepNext/>
              <w:keepLines/>
              <w:jc w:val="center"/>
              <w:rPr>
                <w:color w:val="000000"/>
                <w:sz w:val="20"/>
                <w:szCs w:val="20"/>
              </w:rPr>
            </w:pPr>
            <w:r w:rsidRPr="00A34F10">
              <w:rPr>
                <w:color w:val="000000"/>
                <w:sz w:val="20"/>
                <w:szCs w:val="20"/>
              </w:rPr>
              <w:t>abs.</w:t>
            </w:r>
          </w:p>
        </w:tc>
        <w:tc>
          <w:tcPr>
            <w:tcW w:w="378" w:type="pct"/>
            <w:tcBorders>
              <w:top w:val="single" w:sz="6" w:space="0" w:color="auto"/>
              <w:left w:val="single" w:sz="6" w:space="0" w:color="auto"/>
              <w:bottom w:val="single" w:sz="6" w:space="0" w:color="auto"/>
              <w:right w:val="single" w:sz="6" w:space="0" w:color="auto"/>
            </w:tcBorders>
            <w:vAlign w:val="center"/>
            <w:hideMark/>
          </w:tcPr>
          <w:p w14:paraId="407D49F2" w14:textId="77777777" w:rsidR="00DC5685" w:rsidRPr="00A34F10" w:rsidRDefault="00DC5685" w:rsidP="00DC5685">
            <w:pPr>
              <w:keepNext/>
              <w:keepLines/>
              <w:jc w:val="center"/>
              <w:rPr>
                <w:color w:val="000000"/>
                <w:sz w:val="20"/>
                <w:szCs w:val="20"/>
              </w:rPr>
            </w:pPr>
            <w:r w:rsidRPr="00A34F10">
              <w:rPr>
                <w:color w:val="000000"/>
                <w:sz w:val="20"/>
                <w:szCs w:val="20"/>
              </w:rPr>
              <w:t>corr.</w:t>
            </w:r>
          </w:p>
        </w:tc>
        <w:tc>
          <w:tcPr>
            <w:tcW w:w="328" w:type="pct"/>
            <w:tcBorders>
              <w:top w:val="single" w:sz="6" w:space="0" w:color="auto"/>
              <w:left w:val="single" w:sz="6" w:space="0" w:color="auto"/>
              <w:bottom w:val="single" w:sz="6" w:space="0" w:color="auto"/>
              <w:right w:val="single" w:sz="6" w:space="0" w:color="auto"/>
            </w:tcBorders>
            <w:vAlign w:val="center"/>
            <w:hideMark/>
          </w:tcPr>
          <w:p w14:paraId="218A9A10" w14:textId="77777777" w:rsidR="00DC5685" w:rsidRPr="00A34F10" w:rsidRDefault="00DC5685" w:rsidP="00DC5685">
            <w:pPr>
              <w:keepNext/>
              <w:keepLines/>
              <w:jc w:val="center"/>
              <w:rPr>
                <w:color w:val="000000"/>
                <w:sz w:val="20"/>
                <w:szCs w:val="20"/>
              </w:rPr>
            </w:pPr>
            <w:r w:rsidRPr="00A34F10">
              <w:rPr>
                <w:color w:val="000000"/>
                <w:sz w:val="20"/>
                <w:szCs w:val="20"/>
              </w:rPr>
              <w:t>abs.</w:t>
            </w:r>
          </w:p>
        </w:tc>
        <w:tc>
          <w:tcPr>
            <w:tcW w:w="256" w:type="pct"/>
            <w:tcBorders>
              <w:top w:val="single" w:sz="6" w:space="0" w:color="auto"/>
              <w:left w:val="single" w:sz="6" w:space="0" w:color="auto"/>
              <w:bottom w:val="single" w:sz="6" w:space="0" w:color="auto"/>
              <w:right w:val="single" w:sz="6" w:space="0" w:color="auto"/>
            </w:tcBorders>
            <w:vAlign w:val="center"/>
            <w:hideMark/>
          </w:tcPr>
          <w:p w14:paraId="5D4526C9" w14:textId="77777777" w:rsidR="00DC5685" w:rsidRPr="00A34F10" w:rsidRDefault="00DC5685" w:rsidP="00DC5685">
            <w:pPr>
              <w:keepNext/>
              <w:keepLines/>
              <w:jc w:val="center"/>
              <w:rPr>
                <w:color w:val="000000"/>
                <w:sz w:val="20"/>
                <w:szCs w:val="20"/>
              </w:rPr>
            </w:pPr>
            <w:r w:rsidRPr="00A34F10">
              <w:rPr>
                <w:color w:val="000000"/>
                <w:sz w:val="20"/>
                <w:szCs w:val="20"/>
              </w:rPr>
              <w:t>corr.</w:t>
            </w:r>
          </w:p>
        </w:tc>
        <w:tc>
          <w:tcPr>
            <w:tcW w:w="555" w:type="pct"/>
            <w:tcBorders>
              <w:top w:val="single" w:sz="6" w:space="0" w:color="auto"/>
              <w:left w:val="single" w:sz="6" w:space="0" w:color="auto"/>
              <w:bottom w:val="single" w:sz="6" w:space="0" w:color="auto"/>
              <w:right w:val="single" w:sz="6" w:space="0" w:color="auto"/>
            </w:tcBorders>
            <w:vAlign w:val="center"/>
            <w:hideMark/>
          </w:tcPr>
          <w:p w14:paraId="40EDD818" w14:textId="77777777" w:rsidR="00DC5685" w:rsidRPr="00A34F10" w:rsidRDefault="00DC5685" w:rsidP="00DC5685">
            <w:pPr>
              <w:keepNext/>
              <w:keepLines/>
              <w:jc w:val="center"/>
              <w:rPr>
                <w:color w:val="000000"/>
                <w:sz w:val="20"/>
                <w:szCs w:val="20"/>
              </w:rPr>
            </w:pPr>
            <w:r w:rsidRPr="00A34F10">
              <w:rPr>
                <w:color w:val="000000"/>
                <w:sz w:val="20"/>
                <w:szCs w:val="20"/>
              </w:rPr>
              <w:t>abs.</w:t>
            </w:r>
          </w:p>
        </w:tc>
      </w:tr>
      <w:tr w:rsidR="00DC5685" w:rsidRPr="00A34F10" w14:paraId="659D184F" w14:textId="77777777" w:rsidTr="000470C3">
        <w:trPr>
          <w:jc w:val="center"/>
        </w:trPr>
        <w:tc>
          <w:tcPr>
            <w:tcW w:w="555" w:type="pct"/>
            <w:tcBorders>
              <w:top w:val="single" w:sz="6" w:space="0" w:color="auto"/>
              <w:left w:val="single" w:sz="6" w:space="0" w:color="auto"/>
              <w:bottom w:val="single" w:sz="6" w:space="0" w:color="auto"/>
              <w:right w:val="single" w:sz="6" w:space="0" w:color="auto"/>
            </w:tcBorders>
            <w:vAlign w:val="center"/>
            <w:hideMark/>
          </w:tcPr>
          <w:p w14:paraId="19BD3E77" w14:textId="77777777" w:rsidR="00DC5685" w:rsidRPr="00A34F10" w:rsidRDefault="00DC5685" w:rsidP="00DC5685">
            <w:pPr>
              <w:keepNext/>
              <w:keepLines/>
              <w:autoSpaceDE w:val="0"/>
              <w:autoSpaceDN w:val="0"/>
              <w:spacing w:before="60" w:after="60"/>
              <w:ind w:left="57" w:right="57"/>
              <w:rPr>
                <w:b/>
                <w:bCs/>
                <w:color w:val="000000"/>
                <w:sz w:val="20"/>
                <w:szCs w:val="20"/>
              </w:rPr>
            </w:pPr>
            <w:r w:rsidRPr="00A34F10">
              <w:rPr>
                <w:b/>
                <w:bCs/>
                <w:color w:val="000000"/>
                <w:sz w:val="20"/>
                <w:szCs w:val="20"/>
              </w:rPr>
              <w:t>Control</w:t>
            </w:r>
          </w:p>
        </w:tc>
        <w:tc>
          <w:tcPr>
            <w:tcW w:w="345" w:type="pct"/>
            <w:tcBorders>
              <w:top w:val="single" w:sz="6" w:space="0" w:color="auto"/>
              <w:left w:val="single" w:sz="6" w:space="0" w:color="auto"/>
              <w:bottom w:val="single" w:sz="6" w:space="0" w:color="auto"/>
              <w:right w:val="single" w:sz="6" w:space="0" w:color="auto"/>
            </w:tcBorders>
            <w:vAlign w:val="center"/>
            <w:hideMark/>
          </w:tcPr>
          <w:p w14:paraId="0C120C9D" w14:textId="77777777" w:rsidR="00DC5685" w:rsidRPr="00A34F10" w:rsidRDefault="00DC5685" w:rsidP="00DC5685">
            <w:pPr>
              <w:keepNext/>
              <w:keepLines/>
              <w:jc w:val="center"/>
              <w:rPr>
                <w:color w:val="000000"/>
                <w:sz w:val="20"/>
                <w:szCs w:val="20"/>
              </w:rPr>
            </w:pPr>
            <w:r w:rsidRPr="00A34F10">
              <w:rPr>
                <w:sz w:val="20"/>
                <w:szCs w:val="20"/>
              </w:rPr>
              <w:t>-</w:t>
            </w:r>
          </w:p>
        </w:tc>
        <w:tc>
          <w:tcPr>
            <w:tcW w:w="727" w:type="pct"/>
            <w:tcBorders>
              <w:top w:val="single" w:sz="6" w:space="0" w:color="auto"/>
              <w:left w:val="single" w:sz="6" w:space="0" w:color="auto"/>
              <w:bottom w:val="single" w:sz="6" w:space="0" w:color="auto"/>
              <w:right w:val="single" w:sz="6" w:space="0" w:color="auto"/>
            </w:tcBorders>
            <w:vAlign w:val="center"/>
            <w:hideMark/>
          </w:tcPr>
          <w:p w14:paraId="2B7A8B0C" w14:textId="77777777" w:rsidR="00DC5685" w:rsidRPr="00A34F10" w:rsidRDefault="00DC5685" w:rsidP="00DC5685">
            <w:pPr>
              <w:keepNext/>
              <w:keepLines/>
              <w:jc w:val="center"/>
              <w:rPr>
                <w:color w:val="000000"/>
                <w:sz w:val="20"/>
                <w:szCs w:val="20"/>
              </w:rPr>
            </w:pPr>
            <w:r w:rsidRPr="00A34F10">
              <w:rPr>
                <w:sz w:val="20"/>
                <w:szCs w:val="20"/>
              </w:rPr>
              <w:t>-</w:t>
            </w:r>
          </w:p>
        </w:tc>
        <w:tc>
          <w:tcPr>
            <w:tcW w:w="270" w:type="pct"/>
            <w:tcBorders>
              <w:top w:val="single" w:sz="6" w:space="0" w:color="auto"/>
              <w:left w:val="single" w:sz="6" w:space="0" w:color="auto"/>
              <w:bottom w:val="single" w:sz="6" w:space="0" w:color="auto"/>
              <w:right w:val="single" w:sz="6" w:space="0" w:color="auto"/>
            </w:tcBorders>
            <w:vAlign w:val="center"/>
            <w:hideMark/>
          </w:tcPr>
          <w:p w14:paraId="1735250D" w14:textId="77777777" w:rsidR="00DC5685" w:rsidRPr="00A34F10" w:rsidRDefault="00DC5685" w:rsidP="00DC5685">
            <w:pPr>
              <w:keepNext/>
              <w:keepLines/>
              <w:jc w:val="center"/>
              <w:rPr>
                <w:color w:val="000000"/>
                <w:sz w:val="20"/>
                <w:szCs w:val="20"/>
              </w:rPr>
            </w:pPr>
            <w:r w:rsidRPr="00A34F10">
              <w:rPr>
                <w:sz w:val="20"/>
                <w:szCs w:val="20"/>
              </w:rPr>
              <w:t>0.0</w:t>
            </w:r>
          </w:p>
        </w:tc>
        <w:tc>
          <w:tcPr>
            <w:tcW w:w="226" w:type="pct"/>
            <w:tcBorders>
              <w:top w:val="single" w:sz="6" w:space="0" w:color="auto"/>
              <w:left w:val="single" w:sz="6" w:space="0" w:color="auto"/>
              <w:bottom w:val="single" w:sz="6" w:space="0" w:color="auto"/>
              <w:right w:val="single" w:sz="6" w:space="0" w:color="auto"/>
            </w:tcBorders>
            <w:vAlign w:val="center"/>
            <w:hideMark/>
          </w:tcPr>
          <w:p w14:paraId="6CDB2775"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2E859523" w14:textId="77777777" w:rsidR="00DC5685" w:rsidRPr="00A34F10" w:rsidRDefault="00DC5685" w:rsidP="00DC5685">
            <w:pPr>
              <w:keepNext/>
              <w:keepLines/>
              <w:jc w:val="center"/>
              <w:rPr>
                <w:color w:val="000000"/>
                <w:sz w:val="20"/>
                <w:szCs w:val="20"/>
              </w:rPr>
            </w:pPr>
            <w:r w:rsidRPr="00A34F10">
              <w:rPr>
                <w:sz w:val="20"/>
                <w:szCs w:val="20"/>
              </w:rPr>
              <w:t>2.8</w:t>
            </w:r>
          </w:p>
        </w:tc>
        <w:tc>
          <w:tcPr>
            <w:tcW w:w="326" w:type="pct"/>
            <w:tcBorders>
              <w:top w:val="single" w:sz="6" w:space="0" w:color="auto"/>
              <w:left w:val="single" w:sz="6" w:space="0" w:color="auto"/>
              <w:bottom w:val="single" w:sz="6" w:space="0" w:color="auto"/>
              <w:right w:val="single" w:sz="6" w:space="0" w:color="auto"/>
            </w:tcBorders>
            <w:vAlign w:val="center"/>
          </w:tcPr>
          <w:p w14:paraId="55B72D44" w14:textId="77777777" w:rsidR="00DC5685" w:rsidRPr="00A34F10" w:rsidRDefault="00DC5685" w:rsidP="00DC5685">
            <w:pPr>
              <w:keepNext/>
              <w:keepLines/>
              <w:jc w:val="center"/>
              <w:rPr>
                <w:sz w:val="20"/>
                <w:szCs w:val="20"/>
              </w:rPr>
            </w:pPr>
            <w:r w:rsidRPr="00A34F10">
              <w:rPr>
                <w:sz w:val="20"/>
                <w:szCs w:val="20"/>
              </w:rPr>
              <w:t>2.8</w:t>
            </w:r>
          </w:p>
        </w:tc>
        <w:tc>
          <w:tcPr>
            <w:tcW w:w="326" w:type="pct"/>
            <w:tcBorders>
              <w:top w:val="single" w:sz="6" w:space="0" w:color="auto"/>
              <w:left w:val="single" w:sz="6" w:space="0" w:color="auto"/>
              <w:bottom w:val="single" w:sz="6" w:space="0" w:color="auto"/>
              <w:right w:val="single" w:sz="6" w:space="0" w:color="auto"/>
            </w:tcBorders>
            <w:vAlign w:val="center"/>
          </w:tcPr>
          <w:p w14:paraId="6F506377" w14:textId="77777777" w:rsidR="00DC5685" w:rsidRPr="00A34F10" w:rsidRDefault="00DC5685" w:rsidP="00DC5685">
            <w:pPr>
              <w:keepNext/>
              <w:keepLines/>
              <w:jc w:val="center"/>
              <w:rPr>
                <w:sz w:val="20"/>
                <w:szCs w:val="20"/>
              </w:rPr>
            </w:pPr>
            <w:r w:rsidRPr="00A34F10">
              <w:rPr>
                <w:sz w:val="20"/>
                <w:szCs w:val="20"/>
              </w:rPr>
              <w:t>0.0</w:t>
            </w:r>
          </w:p>
        </w:tc>
        <w:tc>
          <w:tcPr>
            <w:tcW w:w="379" w:type="pct"/>
            <w:tcBorders>
              <w:top w:val="single" w:sz="6" w:space="0" w:color="auto"/>
              <w:left w:val="single" w:sz="6" w:space="0" w:color="auto"/>
              <w:bottom w:val="single" w:sz="6" w:space="0" w:color="auto"/>
              <w:right w:val="single" w:sz="6" w:space="0" w:color="auto"/>
            </w:tcBorders>
            <w:vAlign w:val="center"/>
          </w:tcPr>
          <w:p w14:paraId="7A04BD4B" w14:textId="77777777" w:rsidR="00DC5685" w:rsidRPr="00A34F10" w:rsidRDefault="00DC5685" w:rsidP="00DC5685">
            <w:pPr>
              <w:keepNext/>
              <w:keepLines/>
              <w:jc w:val="center"/>
              <w:rPr>
                <w:color w:val="000000"/>
                <w:sz w:val="20"/>
                <w:szCs w:val="20"/>
              </w:rPr>
            </w:pPr>
            <w:r w:rsidRPr="00A34F10">
              <w:rPr>
                <w:sz w:val="18"/>
                <w:szCs w:val="18"/>
              </w:rPr>
              <w:t>16.7</w:t>
            </w:r>
          </w:p>
        </w:tc>
        <w:tc>
          <w:tcPr>
            <w:tcW w:w="378" w:type="pct"/>
            <w:tcBorders>
              <w:top w:val="single" w:sz="6" w:space="0" w:color="auto"/>
              <w:left w:val="single" w:sz="6" w:space="0" w:color="auto"/>
              <w:bottom w:val="single" w:sz="6" w:space="0" w:color="auto"/>
              <w:right w:val="single" w:sz="6" w:space="0" w:color="auto"/>
            </w:tcBorders>
            <w:vAlign w:val="center"/>
          </w:tcPr>
          <w:p w14:paraId="22DEEA32" w14:textId="77777777" w:rsidR="00DC5685" w:rsidRPr="00A34F10" w:rsidRDefault="00DC5685" w:rsidP="00DC5685">
            <w:pPr>
              <w:keepNext/>
              <w:keepLines/>
              <w:jc w:val="center"/>
              <w:rPr>
                <w:color w:val="000000"/>
                <w:sz w:val="20"/>
                <w:szCs w:val="20"/>
              </w:rPr>
            </w:pPr>
            <w:r w:rsidRPr="00A34F10">
              <w:rPr>
                <w:sz w:val="18"/>
                <w:szCs w:val="18"/>
              </w:rPr>
              <w:t>0.0</w:t>
            </w:r>
          </w:p>
        </w:tc>
        <w:tc>
          <w:tcPr>
            <w:tcW w:w="328" w:type="pct"/>
            <w:tcBorders>
              <w:top w:val="single" w:sz="6" w:space="0" w:color="auto"/>
              <w:left w:val="single" w:sz="6" w:space="0" w:color="auto"/>
              <w:bottom w:val="single" w:sz="6" w:space="0" w:color="auto"/>
              <w:right w:val="single" w:sz="6" w:space="0" w:color="auto"/>
            </w:tcBorders>
            <w:hideMark/>
          </w:tcPr>
          <w:p w14:paraId="5CCB550E" w14:textId="77777777" w:rsidR="00DC5685" w:rsidRPr="00A34F10" w:rsidRDefault="00DC5685" w:rsidP="00DC5685">
            <w:pPr>
              <w:keepNext/>
              <w:keepLines/>
              <w:jc w:val="center"/>
              <w:rPr>
                <w:color w:val="000000"/>
                <w:sz w:val="20"/>
                <w:szCs w:val="20"/>
              </w:rPr>
            </w:pPr>
            <w:r w:rsidRPr="00A34F10">
              <w:rPr>
                <w:sz w:val="20"/>
                <w:szCs w:val="20"/>
              </w:rPr>
              <w:t>16.7</w:t>
            </w:r>
          </w:p>
        </w:tc>
        <w:tc>
          <w:tcPr>
            <w:tcW w:w="256" w:type="pct"/>
            <w:tcBorders>
              <w:top w:val="single" w:sz="6" w:space="0" w:color="auto"/>
              <w:left w:val="single" w:sz="6" w:space="0" w:color="auto"/>
              <w:bottom w:val="single" w:sz="6" w:space="0" w:color="auto"/>
              <w:right w:val="single" w:sz="6" w:space="0" w:color="auto"/>
            </w:tcBorders>
            <w:hideMark/>
          </w:tcPr>
          <w:p w14:paraId="7F8AF291" w14:textId="77777777" w:rsidR="00DC5685" w:rsidRPr="00A34F10" w:rsidRDefault="00DC5685" w:rsidP="00DC5685">
            <w:pPr>
              <w:keepNext/>
              <w:keepLines/>
              <w:jc w:val="center"/>
              <w:rPr>
                <w:color w:val="000000"/>
                <w:sz w:val="20"/>
                <w:szCs w:val="20"/>
              </w:rPr>
            </w:pPr>
            <w:r w:rsidRPr="00A34F10">
              <w:rPr>
                <w:sz w:val="20"/>
                <w:szCs w:val="20"/>
              </w:rPr>
              <w:t>0.0</w:t>
            </w:r>
          </w:p>
        </w:tc>
        <w:tc>
          <w:tcPr>
            <w:tcW w:w="555" w:type="pct"/>
            <w:tcBorders>
              <w:top w:val="single" w:sz="6" w:space="0" w:color="auto"/>
              <w:left w:val="single" w:sz="6" w:space="0" w:color="auto"/>
              <w:bottom w:val="single" w:sz="6" w:space="0" w:color="auto"/>
              <w:right w:val="single" w:sz="6" w:space="0" w:color="auto"/>
            </w:tcBorders>
            <w:vAlign w:val="center"/>
            <w:hideMark/>
          </w:tcPr>
          <w:p w14:paraId="1088A7E1" w14:textId="77777777" w:rsidR="00DC5685" w:rsidRPr="00A34F10" w:rsidRDefault="00DC5685" w:rsidP="00DC5685">
            <w:pPr>
              <w:keepNext/>
              <w:keepLines/>
              <w:jc w:val="center"/>
              <w:rPr>
                <w:color w:val="000000"/>
                <w:sz w:val="20"/>
                <w:szCs w:val="20"/>
              </w:rPr>
            </w:pPr>
            <w:r w:rsidRPr="00A34F10">
              <w:rPr>
                <w:color w:val="000000"/>
                <w:sz w:val="20"/>
                <w:szCs w:val="20"/>
              </w:rPr>
              <w:t>83.3</w:t>
            </w:r>
          </w:p>
        </w:tc>
      </w:tr>
      <w:tr w:rsidR="00DC5685" w:rsidRPr="00A34F10" w14:paraId="22B07EBF" w14:textId="77777777" w:rsidTr="000470C3">
        <w:trPr>
          <w:jc w:val="center"/>
        </w:trPr>
        <w:tc>
          <w:tcPr>
            <w:tcW w:w="555" w:type="pct"/>
            <w:vMerge w:val="restart"/>
            <w:tcBorders>
              <w:top w:val="single" w:sz="6" w:space="0" w:color="auto"/>
              <w:left w:val="single" w:sz="6" w:space="0" w:color="auto"/>
              <w:bottom w:val="single" w:sz="6" w:space="0" w:color="auto"/>
              <w:right w:val="single" w:sz="6" w:space="0" w:color="auto"/>
            </w:tcBorders>
            <w:vAlign w:val="center"/>
            <w:hideMark/>
          </w:tcPr>
          <w:p w14:paraId="56BA8A08" w14:textId="77777777" w:rsidR="00DC5685" w:rsidRPr="00A34F10" w:rsidRDefault="00DC5685" w:rsidP="00DC5685">
            <w:pPr>
              <w:keepNext/>
              <w:keepLines/>
              <w:autoSpaceDE w:val="0"/>
              <w:autoSpaceDN w:val="0"/>
              <w:spacing w:before="60" w:after="60"/>
              <w:ind w:left="57" w:right="57"/>
              <w:rPr>
                <w:b/>
                <w:bCs/>
                <w:color w:val="000000"/>
                <w:sz w:val="20"/>
                <w:szCs w:val="20"/>
              </w:rPr>
            </w:pPr>
            <w:r w:rsidRPr="00A34F10">
              <w:rPr>
                <w:b/>
                <w:bCs/>
                <w:color w:val="000000"/>
                <w:sz w:val="20"/>
                <w:szCs w:val="20"/>
              </w:rPr>
              <w:t>Test item</w:t>
            </w:r>
          </w:p>
        </w:tc>
        <w:tc>
          <w:tcPr>
            <w:tcW w:w="345" w:type="pct"/>
            <w:tcBorders>
              <w:top w:val="single" w:sz="6" w:space="0" w:color="auto"/>
              <w:left w:val="single" w:sz="6" w:space="0" w:color="auto"/>
              <w:bottom w:val="single" w:sz="6" w:space="0" w:color="auto"/>
              <w:right w:val="single" w:sz="6" w:space="0" w:color="auto"/>
            </w:tcBorders>
            <w:vAlign w:val="bottom"/>
            <w:hideMark/>
          </w:tcPr>
          <w:p w14:paraId="4D4E2DFF" w14:textId="77777777" w:rsidR="00DC5685" w:rsidRPr="00A34F10" w:rsidRDefault="00DC5685" w:rsidP="00DC5685">
            <w:pPr>
              <w:keepNext/>
              <w:keepLines/>
              <w:jc w:val="center"/>
              <w:rPr>
                <w:color w:val="000000"/>
                <w:sz w:val="20"/>
                <w:szCs w:val="20"/>
              </w:rPr>
            </w:pPr>
            <w:r w:rsidRPr="00A34F10">
              <w:rPr>
                <w:sz w:val="20"/>
                <w:szCs w:val="20"/>
              </w:rPr>
              <w:t>352.2</w:t>
            </w:r>
          </w:p>
        </w:tc>
        <w:tc>
          <w:tcPr>
            <w:tcW w:w="727" w:type="pct"/>
            <w:tcBorders>
              <w:top w:val="single" w:sz="6" w:space="0" w:color="auto"/>
              <w:left w:val="single" w:sz="6" w:space="0" w:color="auto"/>
              <w:bottom w:val="single" w:sz="6" w:space="0" w:color="auto"/>
              <w:right w:val="single" w:sz="6" w:space="0" w:color="auto"/>
            </w:tcBorders>
            <w:vAlign w:val="bottom"/>
            <w:hideMark/>
          </w:tcPr>
          <w:p w14:paraId="4B47685A" w14:textId="77777777" w:rsidR="00DC5685" w:rsidRPr="00A34F10" w:rsidRDefault="00DC5685" w:rsidP="00DC5685">
            <w:pPr>
              <w:keepNext/>
              <w:keepLines/>
              <w:jc w:val="center"/>
              <w:rPr>
                <w:color w:val="000000"/>
                <w:sz w:val="20"/>
                <w:szCs w:val="20"/>
              </w:rPr>
            </w:pPr>
            <w:r w:rsidRPr="00A34F10">
              <w:rPr>
                <w:sz w:val="20"/>
                <w:szCs w:val="20"/>
              </w:rPr>
              <w:t>2226.1</w:t>
            </w:r>
          </w:p>
        </w:tc>
        <w:tc>
          <w:tcPr>
            <w:tcW w:w="270" w:type="pct"/>
            <w:tcBorders>
              <w:top w:val="single" w:sz="6" w:space="0" w:color="auto"/>
              <w:left w:val="single" w:sz="6" w:space="0" w:color="auto"/>
              <w:bottom w:val="single" w:sz="6" w:space="0" w:color="auto"/>
              <w:right w:val="single" w:sz="6" w:space="0" w:color="auto"/>
            </w:tcBorders>
            <w:vAlign w:val="center"/>
            <w:hideMark/>
          </w:tcPr>
          <w:p w14:paraId="0D7B20EF" w14:textId="77777777" w:rsidR="00DC5685" w:rsidRPr="00A34F10" w:rsidRDefault="00DC5685" w:rsidP="00DC5685">
            <w:pPr>
              <w:keepNext/>
              <w:keepLines/>
              <w:jc w:val="center"/>
              <w:rPr>
                <w:color w:val="000000"/>
                <w:sz w:val="20"/>
                <w:szCs w:val="20"/>
              </w:rPr>
            </w:pPr>
            <w:r w:rsidRPr="00A34F10">
              <w:rPr>
                <w:sz w:val="20"/>
                <w:szCs w:val="20"/>
              </w:rPr>
              <w:t>13.9</w:t>
            </w:r>
          </w:p>
        </w:tc>
        <w:tc>
          <w:tcPr>
            <w:tcW w:w="226" w:type="pct"/>
            <w:tcBorders>
              <w:top w:val="single" w:sz="6" w:space="0" w:color="auto"/>
              <w:left w:val="single" w:sz="6" w:space="0" w:color="auto"/>
              <w:bottom w:val="single" w:sz="6" w:space="0" w:color="auto"/>
              <w:right w:val="single" w:sz="6" w:space="0" w:color="auto"/>
            </w:tcBorders>
            <w:vAlign w:val="center"/>
            <w:hideMark/>
          </w:tcPr>
          <w:p w14:paraId="47AB3B4E"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0F0EE7F2" w14:textId="77777777" w:rsidR="00DC5685" w:rsidRPr="00A34F10" w:rsidRDefault="00DC5685" w:rsidP="00DC5685">
            <w:pPr>
              <w:keepNext/>
              <w:keepLines/>
              <w:jc w:val="center"/>
              <w:rPr>
                <w:color w:val="000000"/>
                <w:sz w:val="20"/>
                <w:szCs w:val="20"/>
              </w:rPr>
            </w:pPr>
            <w:r w:rsidRPr="00A34F10">
              <w:rPr>
                <w:sz w:val="20"/>
                <w:szCs w:val="20"/>
              </w:rPr>
              <w:t>14.4</w:t>
            </w:r>
          </w:p>
        </w:tc>
        <w:tc>
          <w:tcPr>
            <w:tcW w:w="326" w:type="pct"/>
            <w:tcBorders>
              <w:top w:val="single" w:sz="6" w:space="0" w:color="auto"/>
              <w:left w:val="single" w:sz="6" w:space="0" w:color="auto"/>
              <w:bottom w:val="single" w:sz="6" w:space="0" w:color="auto"/>
              <w:right w:val="single" w:sz="6" w:space="0" w:color="auto"/>
            </w:tcBorders>
            <w:vAlign w:val="center"/>
          </w:tcPr>
          <w:p w14:paraId="49E4E2C4" w14:textId="77777777" w:rsidR="00DC5685" w:rsidRPr="00A34F10" w:rsidRDefault="00DC5685" w:rsidP="00DC5685">
            <w:pPr>
              <w:keepNext/>
              <w:keepLines/>
              <w:jc w:val="center"/>
              <w:rPr>
                <w:sz w:val="20"/>
                <w:szCs w:val="20"/>
              </w:rPr>
            </w:pPr>
            <w:r w:rsidRPr="00A34F10">
              <w:rPr>
                <w:sz w:val="20"/>
                <w:szCs w:val="20"/>
              </w:rPr>
              <w:t>23.3</w:t>
            </w:r>
          </w:p>
        </w:tc>
        <w:tc>
          <w:tcPr>
            <w:tcW w:w="326" w:type="pct"/>
            <w:tcBorders>
              <w:top w:val="single" w:sz="6" w:space="0" w:color="auto"/>
              <w:left w:val="single" w:sz="6" w:space="0" w:color="auto"/>
              <w:bottom w:val="single" w:sz="6" w:space="0" w:color="auto"/>
              <w:right w:val="single" w:sz="6" w:space="0" w:color="auto"/>
            </w:tcBorders>
            <w:vAlign w:val="center"/>
          </w:tcPr>
          <w:p w14:paraId="6CDC475A" w14:textId="77777777" w:rsidR="00DC5685" w:rsidRPr="00A34F10" w:rsidRDefault="00DC5685" w:rsidP="00DC5685">
            <w:pPr>
              <w:keepNext/>
              <w:keepLines/>
              <w:jc w:val="center"/>
              <w:rPr>
                <w:sz w:val="20"/>
                <w:szCs w:val="20"/>
              </w:rPr>
            </w:pPr>
            <w:r w:rsidRPr="00A34F10">
              <w:rPr>
                <w:sz w:val="20"/>
                <w:szCs w:val="20"/>
              </w:rPr>
              <w:t>21.1</w:t>
            </w:r>
          </w:p>
        </w:tc>
        <w:tc>
          <w:tcPr>
            <w:tcW w:w="379" w:type="pct"/>
            <w:tcBorders>
              <w:top w:val="single" w:sz="6" w:space="0" w:color="auto"/>
              <w:left w:val="single" w:sz="6" w:space="0" w:color="auto"/>
              <w:bottom w:val="single" w:sz="6" w:space="0" w:color="auto"/>
              <w:right w:val="single" w:sz="6" w:space="0" w:color="auto"/>
            </w:tcBorders>
            <w:vAlign w:val="center"/>
          </w:tcPr>
          <w:p w14:paraId="59AA32D7" w14:textId="77777777" w:rsidR="00DC5685" w:rsidRPr="00A34F10" w:rsidRDefault="00DC5685" w:rsidP="00DC5685">
            <w:pPr>
              <w:keepNext/>
              <w:keepLines/>
              <w:jc w:val="center"/>
              <w:rPr>
                <w:color w:val="000000"/>
                <w:sz w:val="20"/>
                <w:szCs w:val="20"/>
              </w:rPr>
            </w:pPr>
            <w:r w:rsidRPr="00A34F10">
              <w:rPr>
                <w:sz w:val="18"/>
                <w:szCs w:val="18"/>
              </w:rPr>
              <w:t>50.6</w:t>
            </w:r>
          </w:p>
        </w:tc>
        <w:tc>
          <w:tcPr>
            <w:tcW w:w="378" w:type="pct"/>
            <w:tcBorders>
              <w:top w:val="single" w:sz="6" w:space="0" w:color="auto"/>
              <w:left w:val="single" w:sz="6" w:space="0" w:color="auto"/>
              <w:bottom w:val="single" w:sz="6" w:space="0" w:color="auto"/>
              <w:right w:val="single" w:sz="6" w:space="0" w:color="auto"/>
            </w:tcBorders>
            <w:vAlign w:val="center"/>
          </w:tcPr>
          <w:p w14:paraId="716D58B7" w14:textId="77777777" w:rsidR="00DC5685" w:rsidRPr="00A34F10" w:rsidRDefault="00DC5685" w:rsidP="00DC5685">
            <w:pPr>
              <w:keepNext/>
              <w:keepLines/>
              <w:jc w:val="center"/>
              <w:rPr>
                <w:color w:val="000000"/>
                <w:sz w:val="20"/>
                <w:szCs w:val="20"/>
              </w:rPr>
            </w:pPr>
            <w:r w:rsidRPr="00A34F10">
              <w:rPr>
                <w:sz w:val="18"/>
                <w:szCs w:val="18"/>
              </w:rPr>
              <w:t>40.7</w:t>
            </w:r>
          </w:p>
        </w:tc>
        <w:tc>
          <w:tcPr>
            <w:tcW w:w="328" w:type="pct"/>
            <w:tcBorders>
              <w:top w:val="single" w:sz="6" w:space="0" w:color="auto"/>
              <w:left w:val="single" w:sz="6" w:space="0" w:color="auto"/>
              <w:bottom w:val="single" w:sz="6" w:space="0" w:color="auto"/>
              <w:right w:val="single" w:sz="6" w:space="0" w:color="auto"/>
            </w:tcBorders>
            <w:hideMark/>
          </w:tcPr>
          <w:p w14:paraId="0AF152EE" w14:textId="77777777" w:rsidR="00DC5685" w:rsidRPr="00A34F10" w:rsidRDefault="00DC5685" w:rsidP="00DC5685">
            <w:pPr>
              <w:keepNext/>
              <w:keepLines/>
              <w:jc w:val="center"/>
              <w:rPr>
                <w:color w:val="000000"/>
                <w:sz w:val="20"/>
                <w:szCs w:val="20"/>
              </w:rPr>
            </w:pPr>
            <w:r w:rsidRPr="00A34F10">
              <w:rPr>
                <w:sz w:val="20"/>
                <w:szCs w:val="20"/>
              </w:rPr>
              <w:t>55.6</w:t>
            </w:r>
          </w:p>
        </w:tc>
        <w:tc>
          <w:tcPr>
            <w:tcW w:w="256" w:type="pct"/>
            <w:tcBorders>
              <w:top w:val="single" w:sz="6" w:space="0" w:color="auto"/>
              <w:left w:val="single" w:sz="6" w:space="0" w:color="auto"/>
              <w:bottom w:val="single" w:sz="6" w:space="0" w:color="auto"/>
              <w:right w:val="single" w:sz="6" w:space="0" w:color="auto"/>
            </w:tcBorders>
            <w:hideMark/>
          </w:tcPr>
          <w:p w14:paraId="67071E0B" w14:textId="77777777" w:rsidR="00DC5685" w:rsidRPr="00A34F10" w:rsidRDefault="00DC5685" w:rsidP="00DC5685">
            <w:pPr>
              <w:keepNext/>
              <w:keepLines/>
              <w:jc w:val="center"/>
              <w:rPr>
                <w:color w:val="000000"/>
                <w:sz w:val="20"/>
                <w:szCs w:val="20"/>
              </w:rPr>
            </w:pPr>
            <w:r w:rsidRPr="00A34F10">
              <w:rPr>
                <w:sz w:val="20"/>
                <w:szCs w:val="20"/>
              </w:rPr>
              <w:t>46.7</w:t>
            </w:r>
          </w:p>
        </w:tc>
        <w:tc>
          <w:tcPr>
            <w:tcW w:w="555" w:type="pct"/>
            <w:tcBorders>
              <w:top w:val="single" w:sz="6" w:space="0" w:color="auto"/>
              <w:left w:val="single" w:sz="6" w:space="0" w:color="auto"/>
              <w:bottom w:val="single" w:sz="6" w:space="0" w:color="auto"/>
              <w:right w:val="single" w:sz="6" w:space="0" w:color="auto"/>
            </w:tcBorders>
            <w:vAlign w:val="center"/>
            <w:hideMark/>
          </w:tcPr>
          <w:p w14:paraId="171884EF" w14:textId="77777777" w:rsidR="00DC5685" w:rsidRPr="00A34F10" w:rsidRDefault="00DC5685" w:rsidP="00DC5685">
            <w:pPr>
              <w:keepNext/>
              <w:keepLines/>
              <w:jc w:val="center"/>
              <w:rPr>
                <w:color w:val="000000"/>
                <w:sz w:val="20"/>
                <w:szCs w:val="20"/>
              </w:rPr>
            </w:pPr>
            <w:r w:rsidRPr="00A34F10">
              <w:rPr>
                <w:sz w:val="20"/>
                <w:szCs w:val="20"/>
              </w:rPr>
              <w:t>44.4*</w:t>
            </w:r>
          </w:p>
        </w:tc>
      </w:tr>
      <w:tr w:rsidR="00DC5685" w:rsidRPr="00A34F10" w14:paraId="68B74D7D" w14:textId="77777777" w:rsidTr="000470C3">
        <w:trPr>
          <w:jc w:val="center"/>
        </w:trPr>
        <w:tc>
          <w:tcPr>
            <w:tcW w:w="555" w:type="pct"/>
            <w:vMerge/>
            <w:tcBorders>
              <w:top w:val="single" w:sz="6" w:space="0" w:color="auto"/>
              <w:left w:val="single" w:sz="6" w:space="0" w:color="auto"/>
              <w:bottom w:val="single" w:sz="6" w:space="0" w:color="auto"/>
              <w:right w:val="single" w:sz="6" w:space="0" w:color="auto"/>
            </w:tcBorders>
            <w:vAlign w:val="center"/>
            <w:hideMark/>
          </w:tcPr>
          <w:p w14:paraId="67FB2885" w14:textId="77777777" w:rsidR="00DC5685" w:rsidRPr="00A34F10" w:rsidRDefault="00DC5685" w:rsidP="00DC5685">
            <w:pPr>
              <w:keepNext/>
              <w:keepLines/>
              <w:rPr>
                <w:b/>
                <w:bCs/>
                <w:color w:val="000000"/>
                <w:sz w:val="20"/>
                <w:szCs w:val="20"/>
              </w:rPr>
            </w:pPr>
          </w:p>
        </w:tc>
        <w:tc>
          <w:tcPr>
            <w:tcW w:w="345" w:type="pct"/>
            <w:tcBorders>
              <w:top w:val="single" w:sz="6" w:space="0" w:color="auto"/>
              <w:left w:val="single" w:sz="6" w:space="0" w:color="auto"/>
              <w:bottom w:val="single" w:sz="6" w:space="0" w:color="auto"/>
              <w:right w:val="single" w:sz="6" w:space="0" w:color="auto"/>
            </w:tcBorders>
            <w:vAlign w:val="bottom"/>
            <w:hideMark/>
          </w:tcPr>
          <w:p w14:paraId="294E6CEE" w14:textId="77777777" w:rsidR="00DC5685" w:rsidRPr="00A34F10" w:rsidRDefault="00DC5685" w:rsidP="00DC5685">
            <w:pPr>
              <w:keepNext/>
              <w:keepLines/>
              <w:jc w:val="center"/>
              <w:rPr>
                <w:color w:val="000000"/>
                <w:sz w:val="20"/>
                <w:szCs w:val="20"/>
              </w:rPr>
            </w:pPr>
            <w:r w:rsidRPr="00A34F10">
              <w:rPr>
                <w:sz w:val="20"/>
                <w:szCs w:val="20"/>
              </w:rPr>
              <w:t>117.3</w:t>
            </w:r>
          </w:p>
        </w:tc>
        <w:tc>
          <w:tcPr>
            <w:tcW w:w="727" w:type="pct"/>
            <w:tcBorders>
              <w:top w:val="single" w:sz="6" w:space="0" w:color="auto"/>
              <w:left w:val="single" w:sz="6" w:space="0" w:color="auto"/>
              <w:bottom w:val="single" w:sz="6" w:space="0" w:color="auto"/>
              <w:right w:val="single" w:sz="6" w:space="0" w:color="auto"/>
            </w:tcBorders>
            <w:vAlign w:val="bottom"/>
            <w:hideMark/>
          </w:tcPr>
          <w:p w14:paraId="40B5AE8B" w14:textId="77777777" w:rsidR="00DC5685" w:rsidRPr="00A34F10" w:rsidRDefault="00DC5685" w:rsidP="00DC5685">
            <w:pPr>
              <w:keepNext/>
              <w:keepLines/>
              <w:jc w:val="center"/>
              <w:rPr>
                <w:color w:val="000000"/>
                <w:sz w:val="20"/>
                <w:szCs w:val="20"/>
              </w:rPr>
            </w:pPr>
            <w:r w:rsidRPr="00A34F10">
              <w:rPr>
                <w:sz w:val="20"/>
                <w:szCs w:val="20"/>
              </w:rPr>
              <w:t>741.3</w:t>
            </w:r>
          </w:p>
        </w:tc>
        <w:tc>
          <w:tcPr>
            <w:tcW w:w="270" w:type="pct"/>
            <w:tcBorders>
              <w:top w:val="single" w:sz="6" w:space="0" w:color="auto"/>
              <w:left w:val="single" w:sz="6" w:space="0" w:color="auto"/>
              <w:bottom w:val="single" w:sz="6" w:space="0" w:color="auto"/>
              <w:right w:val="single" w:sz="6" w:space="0" w:color="auto"/>
            </w:tcBorders>
            <w:vAlign w:val="center"/>
            <w:hideMark/>
          </w:tcPr>
          <w:p w14:paraId="14F5DA4C" w14:textId="77777777" w:rsidR="00DC5685" w:rsidRPr="00A34F10" w:rsidRDefault="00DC5685" w:rsidP="00DC5685">
            <w:pPr>
              <w:keepNext/>
              <w:keepLines/>
              <w:jc w:val="center"/>
              <w:rPr>
                <w:color w:val="000000"/>
                <w:sz w:val="20"/>
                <w:szCs w:val="20"/>
              </w:rPr>
            </w:pPr>
            <w:r w:rsidRPr="00A34F10">
              <w:rPr>
                <w:sz w:val="20"/>
                <w:szCs w:val="20"/>
              </w:rPr>
              <w:t>5.6</w:t>
            </w:r>
          </w:p>
        </w:tc>
        <w:tc>
          <w:tcPr>
            <w:tcW w:w="226" w:type="pct"/>
            <w:tcBorders>
              <w:top w:val="single" w:sz="6" w:space="0" w:color="auto"/>
              <w:left w:val="single" w:sz="6" w:space="0" w:color="auto"/>
              <w:bottom w:val="single" w:sz="6" w:space="0" w:color="auto"/>
              <w:right w:val="single" w:sz="6" w:space="0" w:color="auto"/>
            </w:tcBorders>
            <w:vAlign w:val="center"/>
            <w:hideMark/>
          </w:tcPr>
          <w:p w14:paraId="36C45A3F"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25C6E50D" w14:textId="77777777" w:rsidR="00DC5685" w:rsidRPr="00A34F10" w:rsidRDefault="00DC5685" w:rsidP="00DC5685">
            <w:pPr>
              <w:keepNext/>
              <w:keepLines/>
              <w:jc w:val="center"/>
              <w:rPr>
                <w:color w:val="000000"/>
                <w:sz w:val="20"/>
                <w:szCs w:val="20"/>
              </w:rPr>
            </w:pPr>
            <w:r w:rsidRPr="00A34F10">
              <w:rPr>
                <w:sz w:val="20"/>
                <w:szCs w:val="20"/>
              </w:rPr>
              <w:t>0.0</w:t>
            </w:r>
          </w:p>
        </w:tc>
        <w:tc>
          <w:tcPr>
            <w:tcW w:w="326" w:type="pct"/>
            <w:tcBorders>
              <w:top w:val="single" w:sz="6" w:space="0" w:color="auto"/>
              <w:left w:val="single" w:sz="6" w:space="0" w:color="auto"/>
              <w:bottom w:val="single" w:sz="6" w:space="0" w:color="auto"/>
              <w:right w:val="single" w:sz="6" w:space="0" w:color="auto"/>
            </w:tcBorders>
            <w:vAlign w:val="center"/>
          </w:tcPr>
          <w:p w14:paraId="5A4DE61C" w14:textId="77777777" w:rsidR="00DC5685" w:rsidRPr="00A34F10" w:rsidRDefault="00DC5685" w:rsidP="00DC5685">
            <w:pPr>
              <w:keepNext/>
              <w:keepLines/>
              <w:jc w:val="center"/>
              <w:rPr>
                <w:sz w:val="20"/>
                <w:szCs w:val="20"/>
              </w:rPr>
            </w:pPr>
            <w:r w:rsidRPr="00A34F10">
              <w:rPr>
                <w:sz w:val="20"/>
                <w:szCs w:val="20"/>
              </w:rPr>
              <w:t>8.8</w:t>
            </w:r>
          </w:p>
        </w:tc>
        <w:tc>
          <w:tcPr>
            <w:tcW w:w="326" w:type="pct"/>
            <w:tcBorders>
              <w:top w:val="single" w:sz="6" w:space="0" w:color="auto"/>
              <w:left w:val="single" w:sz="6" w:space="0" w:color="auto"/>
              <w:bottom w:val="single" w:sz="6" w:space="0" w:color="auto"/>
              <w:right w:val="single" w:sz="6" w:space="0" w:color="auto"/>
            </w:tcBorders>
            <w:vAlign w:val="center"/>
          </w:tcPr>
          <w:p w14:paraId="79819776" w14:textId="77777777" w:rsidR="00DC5685" w:rsidRPr="00A34F10" w:rsidRDefault="00DC5685" w:rsidP="00DC5685">
            <w:pPr>
              <w:keepNext/>
              <w:keepLines/>
              <w:jc w:val="center"/>
              <w:rPr>
                <w:sz w:val="20"/>
                <w:szCs w:val="20"/>
              </w:rPr>
            </w:pPr>
            <w:r w:rsidRPr="00A34F10">
              <w:rPr>
                <w:sz w:val="20"/>
                <w:szCs w:val="20"/>
              </w:rPr>
              <w:t>6.2</w:t>
            </w:r>
          </w:p>
        </w:tc>
        <w:tc>
          <w:tcPr>
            <w:tcW w:w="379" w:type="pct"/>
            <w:tcBorders>
              <w:top w:val="single" w:sz="6" w:space="0" w:color="auto"/>
              <w:left w:val="single" w:sz="6" w:space="0" w:color="auto"/>
              <w:bottom w:val="single" w:sz="6" w:space="0" w:color="auto"/>
              <w:right w:val="single" w:sz="6" w:space="0" w:color="auto"/>
            </w:tcBorders>
            <w:vAlign w:val="center"/>
          </w:tcPr>
          <w:p w14:paraId="7B9C7B28" w14:textId="77777777" w:rsidR="00DC5685" w:rsidRPr="00A34F10" w:rsidRDefault="00DC5685" w:rsidP="00DC5685">
            <w:pPr>
              <w:keepNext/>
              <w:keepLines/>
              <w:jc w:val="center"/>
              <w:rPr>
                <w:color w:val="000000"/>
                <w:sz w:val="20"/>
                <w:szCs w:val="20"/>
              </w:rPr>
            </w:pPr>
            <w:r w:rsidRPr="00A34F10">
              <w:rPr>
                <w:sz w:val="18"/>
                <w:szCs w:val="18"/>
              </w:rPr>
              <w:t>35.6</w:t>
            </w:r>
          </w:p>
        </w:tc>
        <w:tc>
          <w:tcPr>
            <w:tcW w:w="378" w:type="pct"/>
            <w:tcBorders>
              <w:top w:val="single" w:sz="6" w:space="0" w:color="auto"/>
              <w:left w:val="single" w:sz="6" w:space="0" w:color="auto"/>
              <w:bottom w:val="single" w:sz="6" w:space="0" w:color="auto"/>
              <w:right w:val="single" w:sz="6" w:space="0" w:color="auto"/>
            </w:tcBorders>
            <w:vAlign w:val="center"/>
          </w:tcPr>
          <w:p w14:paraId="3D2D9FF2" w14:textId="77777777" w:rsidR="00DC5685" w:rsidRPr="00A34F10" w:rsidRDefault="00DC5685" w:rsidP="00DC5685">
            <w:pPr>
              <w:keepNext/>
              <w:keepLines/>
              <w:jc w:val="center"/>
              <w:rPr>
                <w:color w:val="000000"/>
                <w:sz w:val="20"/>
                <w:szCs w:val="20"/>
              </w:rPr>
            </w:pPr>
            <w:r w:rsidRPr="00A34F10">
              <w:rPr>
                <w:sz w:val="18"/>
                <w:szCs w:val="18"/>
              </w:rPr>
              <w:t>22.7</w:t>
            </w:r>
          </w:p>
        </w:tc>
        <w:tc>
          <w:tcPr>
            <w:tcW w:w="328" w:type="pct"/>
            <w:tcBorders>
              <w:top w:val="single" w:sz="6" w:space="0" w:color="auto"/>
              <w:left w:val="single" w:sz="6" w:space="0" w:color="auto"/>
              <w:bottom w:val="single" w:sz="6" w:space="0" w:color="auto"/>
              <w:right w:val="single" w:sz="6" w:space="0" w:color="auto"/>
            </w:tcBorders>
            <w:hideMark/>
          </w:tcPr>
          <w:p w14:paraId="1A5DEED8" w14:textId="77777777" w:rsidR="00DC5685" w:rsidRPr="00A34F10" w:rsidRDefault="00DC5685" w:rsidP="00DC5685">
            <w:pPr>
              <w:keepNext/>
              <w:keepLines/>
              <w:jc w:val="center"/>
              <w:rPr>
                <w:color w:val="000000"/>
                <w:sz w:val="20"/>
                <w:szCs w:val="20"/>
              </w:rPr>
            </w:pPr>
            <w:r w:rsidRPr="00A34F10">
              <w:rPr>
                <w:sz w:val="20"/>
                <w:szCs w:val="20"/>
              </w:rPr>
              <w:t>38.9</w:t>
            </w:r>
          </w:p>
        </w:tc>
        <w:tc>
          <w:tcPr>
            <w:tcW w:w="256" w:type="pct"/>
            <w:tcBorders>
              <w:top w:val="single" w:sz="6" w:space="0" w:color="auto"/>
              <w:left w:val="single" w:sz="6" w:space="0" w:color="auto"/>
              <w:bottom w:val="single" w:sz="6" w:space="0" w:color="auto"/>
              <w:right w:val="single" w:sz="6" w:space="0" w:color="auto"/>
            </w:tcBorders>
            <w:hideMark/>
          </w:tcPr>
          <w:p w14:paraId="20A08579" w14:textId="77777777" w:rsidR="00DC5685" w:rsidRPr="00A34F10" w:rsidRDefault="00DC5685" w:rsidP="00DC5685">
            <w:pPr>
              <w:keepNext/>
              <w:keepLines/>
              <w:jc w:val="center"/>
              <w:rPr>
                <w:color w:val="000000"/>
                <w:sz w:val="20"/>
                <w:szCs w:val="20"/>
              </w:rPr>
            </w:pPr>
            <w:r w:rsidRPr="00A34F10">
              <w:rPr>
                <w:sz w:val="20"/>
                <w:szCs w:val="20"/>
              </w:rPr>
              <w:t>26.7</w:t>
            </w:r>
          </w:p>
        </w:tc>
        <w:tc>
          <w:tcPr>
            <w:tcW w:w="555" w:type="pct"/>
            <w:tcBorders>
              <w:top w:val="single" w:sz="6" w:space="0" w:color="auto"/>
              <w:left w:val="single" w:sz="6" w:space="0" w:color="auto"/>
              <w:bottom w:val="single" w:sz="6" w:space="0" w:color="auto"/>
              <w:right w:val="single" w:sz="6" w:space="0" w:color="auto"/>
            </w:tcBorders>
            <w:vAlign w:val="center"/>
            <w:hideMark/>
          </w:tcPr>
          <w:p w14:paraId="492D44DA" w14:textId="77777777" w:rsidR="00DC5685" w:rsidRPr="00A34F10" w:rsidRDefault="00DC5685" w:rsidP="00DC5685">
            <w:pPr>
              <w:keepNext/>
              <w:keepLines/>
              <w:jc w:val="center"/>
              <w:rPr>
                <w:color w:val="000000"/>
                <w:sz w:val="20"/>
                <w:szCs w:val="20"/>
              </w:rPr>
            </w:pPr>
            <w:r w:rsidRPr="00A34F10">
              <w:rPr>
                <w:sz w:val="20"/>
                <w:szCs w:val="20"/>
              </w:rPr>
              <w:t>61.1*</w:t>
            </w:r>
          </w:p>
        </w:tc>
      </w:tr>
      <w:tr w:rsidR="00DC5685" w:rsidRPr="00A34F10" w14:paraId="72F48796" w14:textId="77777777" w:rsidTr="000470C3">
        <w:trPr>
          <w:jc w:val="center"/>
        </w:trPr>
        <w:tc>
          <w:tcPr>
            <w:tcW w:w="555" w:type="pct"/>
            <w:vMerge/>
            <w:tcBorders>
              <w:top w:val="single" w:sz="6" w:space="0" w:color="auto"/>
              <w:left w:val="single" w:sz="6" w:space="0" w:color="auto"/>
              <w:bottom w:val="single" w:sz="6" w:space="0" w:color="auto"/>
              <w:right w:val="single" w:sz="6" w:space="0" w:color="auto"/>
            </w:tcBorders>
            <w:vAlign w:val="center"/>
            <w:hideMark/>
          </w:tcPr>
          <w:p w14:paraId="5B249CA2" w14:textId="77777777" w:rsidR="00DC5685" w:rsidRPr="00A34F10" w:rsidRDefault="00DC5685" w:rsidP="00DC5685">
            <w:pPr>
              <w:keepNext/>
              <w:keepLines/>
              <w:rPr>
                <w:b/>
                <w:bCs/>
                <w:color w:val="000000"/>
                <w:sz w:val="20"/>
                <w:szCs w:val="20"/>
              </w:rPr>
            </w:pPr>
          </w:p>
        </w:tc>
        <w:tc>
          <w:tcPr>
            <w:tcW w:w="345" w:type="pct"/>
            <w:tcBorders>
              <w:top w:val="single" w:sz="6" w:space="0" w:color="auto"/>
              <w:left w:val="single" w:sz="6" w:space="0" w:color="auto"/>
              <w:bottom w:val="single" w:sz="6" w:space="0" w:color="auto"/>
              <w:right w:val="single" w:sz="6" w:space="0" w:color="auto"/>
            </w:tcBorders>
            <w:vAlign w:val="bottom"/>
            <w:hideMark/>
          </w:tcPr>
          <w:p w14:paraId="2699E618" w14:textId="77777777" w:rsidR="00DC5685" w:rsidRPr="00A34F10" w:rsidRDefault="00DC5685" w:rsidP="00DC5685">
            <w:pPr>
              <w:keepNext/>
              <w:keepLines/>
              <w:jc w:val="center"/>
              <w:rPr>
                <w:color w:val="000000"/>
                <w:sz w:val="20"/>
                <w:szCs w:val="20"/>
              </w:rPr>
            </w:pPr>
            <w:r w:rsidRPr="00A34F10">
              <w:rPr>
                <w:sz w:val="20"/>
                <w:szCs w:val="20"/>
              </w:rPr>
              <w:t>39.1</w:t>
            </w:r>
          </w:p>
        </w:tc>
        <w:tc>
          <w:tcPr>
            <w:tcW w:w="727" w:type="pct"/>
            <w:tcBorders>
              <w:top w:val="single" w:sz="6" w:space="0" w:color="auto"/>
              <w:left w:val="single" w:sz="6" w:space="0" w:color="auto"/>
              <w:bottom w:val="single" w:sz="6" w:space="0" w:color="auto"/>
              <w:right w:val="single" w:sz="6" w:space="0" w:color="auto"/>
            </w:tcBorders>
            <w:vAlign w:val="bottom"/>
            <w:hideMark/>
          </w:tcPr>
          <w:p w14:paraId="791CE821" w14:textId="77777777" w:rsidR="00DC5685" w:rsidRPr="00A34F10" w:rsidRDefault="00DC5685" w:rsidP="00DC5685">
            <w:pPr>
              <w:keepNext/>
              <w:keepLines/>
              <w:jc w:val="center"/>
              <w:rPr>
                <w:color w:val="000000"/>
                <w:sz w:val="20"/>
                <w:szCs w:val="20"/>
              </w:rPr>
            </w:pPr>
            <w:r w:rsidRPr="00A34F10">
              <w:rPr>
                <w:sz w:val="20"/>
                <w:szCs w:val="20"/>
              </w:rPr>
              <w:t>247.1</w:t>
            </w:r>
          </w:p>
        </w:tc>
        <w:tc>
          <w:tcPr>
            <w:tcW w:w="270" w:type="pct"/>
            <w:tcBorders>
              <w:top w:val="single" w:sz="6" w:space="0" w:color="auto"/>
              <w:left w:val="single" w:sz="6" w:space="0" w:color="auto"/>
              <w:bottom w:val="single" w:sz="6" w:space="0" w:color="auto"/>
              <w:right w:val="single" w:sz="6" w:space="0" w:color="auto"/>
            </w:tcBorders>
            <w:vAlign w:val="center"/>
            <w:hideMark/>
          </w:tcPr>
          <w:p w14:paraId="650229C8" w14:textId="77777777" w:rsidR="00DC5685" w:rsidRPr="00A34F10" w:rsidRDefault="00DC5685" w:rsidP="00DC5685">
            <w:pPr>
              <w:keepNext/>
              <w:keepLines/>
              <w:jc w:val="center"/>
              <w:rPr>
                <w:color w:val="000000"/>
                <w:sz w:val="20"/>
                <w:szCs w:val="20"/>
              </w:rPr>
            </w:pPr>
            <w:r w:rsidRPr="00A34F10">
              <w:rPr>
                <w:sz w:val="20"/>
                <w:szCs w:val="20"/>
              </w:rPr>
              <w:t>5.6</w:t>
            </w:r>
          </w:p>
        </w:tc>
        <w:tc>
          <w:tcPr>
            <w:tcW w:w="226" w:type="pct"/>
            <w:tcBorders>
              <w:top w:val="single" w:sz="6" w:space="0" w:color="auto"/>
              <w:left w:val="single" w:sz="6" w:space="0" w:color="auto"/>
              <w:bottom w:val="single" w:sz="6" w:space="0" w:color="auto"/>
              <w:right w:val="single" w:sz="6" w:space="0" w:color="auto"/>
            </w:tcBorders>
            <w:vAlign w:val="center"/>
            <w:hideMark/>
          </w:tcPr>
          <w:p w14:paraId="1F09B7CC"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52DCD44A" w14:textId="77777777" w:rsidR="00DC5685" w:rsidRPr="00A34F10" w:rsidRDefault="00DC5685" w:rsidP="00DC5685">
            <w:pPr>
              <w:keepNext/>
              <w:keepLines/>
              <w:jc w:val="center"/>
              <w:rPr>
                <w:color w:val="000000"/>
                <w:sz w:val="20"/>
                <w:szCs w:val="20"/>
              </w:rPr>
            </w:pPr>
            <w:r w:rsidRPr="00A34F10">
              <w:rPr>
                <w:sz w:val="20"/>
                <w:szCs w:val="20"/>
              </w:rPr>
              <w:t>3.3</w:t>
            </w:r>
          </w:p>
        </w:tc>
        <w:tc>
          <w:tcPr>
            <w:tcW w:w="326" w:type="pct"/>
            <w:tcBorders>
              <w:top w:val="single" w:sz="6" w:space="0" w:color="auto"/>
              <w:left w:val="single" w:sz="6" w:space="0" w:color="auto"/>
              <w:bottom w:val="single" w:sz="6" w:space="0" w:color="auto"/>
              <w:right w:val="single" w:sz="6" w:space="0" w:color="auto"/>
            </w:tcBorders>
            <w:vAlign w:val="center"/>
          </w:tcPr>
          <w:p w14:paraId="7CC90A26" w14:textId="77777777" w:rsidR="00DC5685" w:rsidRPr="00A34F10" w:rsidRDefault="00DC5685" w:rsidP="00DC5685">
            <w:pPr>
              <w:keepNext/>
              <w:keepLines/>
              <w:jc w:val="center"/>
              <w:rPr>
                <w:sz w:val="20"/>
                <w:szCs w:val="20"/>
              </w:rPr>
            </w:pPr>
            <w:r w:rsidRPr="00A34F10">
              <w:rPr>
                <w:sz w:val="20"/>
                <w:szCs w:val="20"/>
              </w:rPr>
              <w:t>8.9</w:t>
            </w:r>
          </w:p>
        </w:tc>
        <w:tc>
          <w:tcPr>
            <w:tcW w:w="326" w:type="pct"/>
            <w:tcBorders>
              <w:top w:val="single" w:sz="6" w:space="0" w:color="auto"/>
              <w:left w:val="single" w:sz="6" w:space="0" w:color="auto"/>
              <w:bottom w:val="single" w:sz="6" w:space="0" w:color="auto"/>
              <w:right w:val="single" w:sz="6" w:space="0" w:color="auto"/>
            </w:tcBorders>
            <w:vAlign w:val="center"/>
          </w:tcPr>
          <w:p w14:paraId="479749E4" w14:textId="77777777" w:rsidR="00DC5685" w:rsidRPr="00A34F10" w:rsidRDefault="00DC5685" w:rsidP="00DC5685">
            <w:pPr>
              <w:keepNext/>
              <w:keepLines/>
              <w:jc w:val="center"/>
              <w:rPr>
                <w:sz w:val="20"/>
                <w:szCs w:val="20"/>
              </w:rPr>
            </w:pPr>
            <w:r w:rsidRPr="00A34F10">
              <w:rPr>
                <w:sz w:val="20"/>
                <w:szCs w:val="20"/>
              </w:rPr>
              <w:t>6.3</w:t>
            </w:r>
          </w:p>
        </w:tc>
        <w:tc>
          <w:tcPr>
            <w:tcW w:w="379" w:type="pct"/>
            <w:tcBorders>
              <w:top w:val="single" w:sz="6" w:space="0" w:color="auto"/>
              <w:left w:val="single" w:sz="6" w:space="0" w:color="auto"/>
              <w:bottom w:val="single" w:sz="6" w:space="0" w:color="auto"/>
              <w:right w:val="single" w:sz="6" w:space="0" w:color="auto"/>
            </w:tcBorders>
            <w:vAlign w:val="center"/>
          </w:tcPr>
          <w:p w14:paraId="11FA93DC" w14:textId="77777777" w:rsidR="00DC5685" w:rsidRPr="00A34F10" w:rsidRDefault="00DC5685" w:rsidP="00DC5685">
            <w:pPr>
              <w:keepNext/>
              <w:keepLines/>
              <w:jc w:val="center"/>
              <w:rPr>
                <w:color w:val="000000"/>
                <w:sz w:val="20"/>
                <w:szCs w:val="20"/>
              </w:rPr>
            </w:pPr>
            <w:r w:rsidRPr="00A34F10">
              <w:rPr>
                <w:sz w:val="18"/>
                <w:szCs w:val="18"/>
              </w:rPr>
              <w:t>17.8</w:t>
            </w:r>
          </w:p>
        </w:tc>
        <w:tc>
          <w:tcPr>
            <w:tcW w:w="378" w:type="pct"/>
            <w:tcBorders>
              <w:top w:val="single" w:sz="6" w:space="0" w:color="auto"/>
              <w:left w:val="single" w:sz="6" w:space="0" w:color="auto"/>
              <w:bottom w:val="single" w:sz="6" w:space="0" w:color="auto"/>
              <w:right w:val="single" w:sz="6" w:space="0" w:color="auto"/>
            </w:tcBorders>
            <w:vAlign w:val="center"/>
          </w:tcPr>
          <w:p w14:paraId="55072534" w14:textId="77777777" w:rsidR="00DC5685" w:rsidRPr="00A34F10" w:rsidRDefault="00DC5685" w:rsidP="00DC5685">
            <w:pPr>
              <w:keepNext/>
              <w:keepLines/>
              <w:jc w:val="center"/>
              <w:rPr>
                <w:color w:val="000000"/>
                <w:sz w:val="20"/>
                <w:szCs w:val="20"/>
              </w:rPr>
            </w:pPr>
            <w:r w:rsidRPr="00A34F10">
              <w:rPr>
                <w:sz w:val="18"/>
                <w:szCs w:val="18"/>
              </w:rPr>
              <w:t>1.3</w:t>
            </w:r>
          </w:p>
        </w:tc>
        <w:tc>
          <w:tcPr>
            <w:tcW w:w="328" w:type="pct"/>
            <w:tcBorders>
              <w:top w:val="single" w:sz="6" w:space="0" w:color="auto"/>
              <w:left w:val="single" w:sz="6" w:space="0" w:color="auto"/>
              <w:bottom w:val="single" w:sz="6" w:space="0" w:color="auto"/>
              <w:right w:val="single" w:sz="6" w:space="0" w:color="auto"/>
            </w:tcBorders>
            <w:hideMark/>
          </w:tcPr>
          <w:p w14:paraId="0E2B2445" w14:textId="77777777" w:rsidR="00DC5685" w:rsidRPr="00A34F10" w:rsidRDefault="00DC5685" w:rsidP="00DC5685">
            <w:pPr>
              <w:keepNext/>
              <w:keepLines/>
              <w:jc w:val="center"/>
              <w:rPr>
                <w:color w:val="000000"/>
                <w:sz w:val="20"/>
                <w:szCs w:val="20"/>
              </w:rPr>
            </w:pPr>
            <w:r w:rsidRPr="00A34F10">
              <w:rPr>
                <w:sz w:val="20"/>
                <w:szCs w:val="20"/>
              </w:rPr>
              <w:t>22.2</w:t>
            </w:r>
          </w:p>
        </w:tc>
        <w:tc>
          <w:tcPr>
            <w:tcW w:w="256" w:type="pct"/>
            <w:tcBorders>
              <w:top w:val="single" w:sz="6" w:space="0" w:color="auto"/>
              <w:left w:val="single" w:sz="6" w:space="0" w:color="auto"/>
              <w:bottom w:val="single" w:sz="6" w:space="0" w:color="auto"/>
              <w:right w:val="single" w:sz="6" w:space="0" w:color="auto"/>
            </w:tcBorders>
            <w:hideMark/>
          </w:tcPr>
          <w:p w14:paraId="281B1F85" w14:textId="77777777" w:rsidR="00DC5685" w:rsidRPr="00A34F10" w:rsidRDefault="00DC5685" w:rsidP="00DC5685">
            <w:pPr>
              <w:keepNext/>
              <w:keepLines/>
              <w:jc w:val="center"/>
              <w:rPr>
                <w:color w:val="000000"/>
                <w:sz w:val="20"/>
                <w:szCs w:val="20"/>
              </w:rPr>
            </w:pPr>
            <w:r w:rsidRPr="00A34F10">
              <w:rPr>
                <w:sz w:val="20"/>
                <w:szCs w:val="20"/>
              </w:rPr>
              <w:t>6.7</w:t>
            </w:r>
          </w:p>
        </w:tc>
        <w:tc>
          <w:tcPr>
            <w:tcW w:w="555" w:type="pct"/>
            <w:tcBorders>
              <w:top w:val="single" w:sz="6" w:space="0" w:color="auto"/>
              <w:left w:val="single" w:sz="6" w:space="0" w:color="auto"/>
              <w:bottom w:val="single" w:sz="6" w:space="0" w:color="auto"/>
              <w:right w:val="single" w:sz="6" w:space="0" w:color="auto"/>
            </w:tcBorders>
            <w:vAlign w:val="center"/>
            <w:hideMark/>
          </w:tcPr>
          <w:p w14:paraId="3394EA7D" w14:textId="77777777" w:rsidR="00DC5685" w:rsidRPr="00A34F10" w:rsidRDefault="00DC5685" w:rsidP="00DC5685">
            <w:pPr>
              <w:keepNext/>
              <w:keepLines/>
              <w:jc w:val="center"/>
              <w:rPr>
                <w:color w:val="000000"/>
                <w:sz w:val="20"/>
                <w:szCs w:val="20"/>
              </w:rPr>
            </w:pPr>
            <w:r w:rsidRPr="00A34F10">
              <w:rPr>
                <w:sz w:val="20"/>
                <w:szCs w:val="20"/>
              </w:rPr>
              <w:t>77.8</w:t>
            </w:r>
          </w:p>
        </w:tc>
      </w:tr>
      <w:tr w:rsidR="00DC5685" w:rsidRPr="00A34F10" w14:paraId="7DA6AD6C" w14:textId="77777777" w:rsidTr="000470C3">
        <w:trPr>
          <w:jc w:val="center"/>
        </w:trPr>
        <w:tc>
          <w:tcPr>
            <w:tcW w:w="555" w:type="pct"/>
            <w:vMerge/>
            <w:tcBorders>
              <w:top w:val="single" w:sz="6" w:space="0" w:color="auto"/>
              <w:left w:val="single" w:sz="6" w:space="0" w:color="auto"/>
              <w:bottom w:val="single" w:sz="6" w:space="0" w:color="auto"/>
              <w:right w:val="single" w:sz="6" w:space="0" w:color="auto"/>
            </w:tcBorders>
            <w:vAlign w:val="center"/>
            <w:hideMark/>
          </w:tcPr>
          <w:p w14:paraId="2A027EF4" w14:textId="77777777" w:rsidR="00DC5685" w:rsidRPr="00A34F10" w:rsidRDefault="00DC5685" w:rsidP="00DC5685">
            <w:pPr>
              <w:keepNext/>
              <w:keepLines/>
              <w:rPr>
                <w:b/>
                <w:bCs/>
                <w:color w:val="000000"/>
                <w:sz w:val="20"/>
                <w:szCs w:val="20"/>
              </w:rPr>
            </w:pPr>
          </w:p>
        </w:tc>
        <w:tc>
          <w:tcPr>
            <w:tcW w:w="345" w:type="pct"/>
            <w:tcBorders>
              <w:top w:val="single" w:sz="6" w:space="0" w:color="auto"/>
              <w:left w:val="single" w:sz="6" w:space="0" w:color="auto"/>
              <w:bottom w:val="single" w:sz="6" w:space="0" w:color="auto"/>
              <w:right w:val="single" w:sz="6" w:space="0" w:color="auto"/>
            </w:tcBorders>
            <w:vAlign w:val="bottom"/>
            <w:hideMark/>
          </w:tcPr>
          <w:p w14:paraId="3CCD1B0D" w14:textId="77777777" w:rsidR="00DC5685" w:rsidRPr="00A34F10" w:rsidRDefault="00DC5685" w:rsidP="00DC5685">
            <w:pPr>
              <w:keepNext/>
              <w:keepLines/>
              <w:jc w:val="center"/>
              <w:rPr>
                <w:color w:val="000000"/>
                <w:sz w:val="20"/>
                <w:szCs w:val="20"/>
              </w:rPr>
            </w:pPr>
            <w:r w:rsidRPr="00A34F10">
              <w:rPr>
                <w:sz w:val="20"/>
                <w:szCs w:val="20"/>
              </w:rPr>
              <w:t>13.0</w:t>
            </w:r>
          </w:p>
        </w:tc>
        <w:tc>
          <w:tcPr>
            <w:tcW w:w="727" w:type="pct"/>
            <w:tcBorders>
              <w:top w:val="single" w:sz="6" w:space="0" w:color="auto"/>
              <w:left w:val="single" w:sz="6" w:space="0" w:color="auto"/>
              <w:bottom w:val="single" w:sz="6" w:space="0" w:color="auto"/>
              <w:right w:val="single" w:sz="6" w:space="0" w:color="auto"/>
            </w:tcBorders>
            <w:vAlign w:val="bottom"/>
            <w:hideMark/>
          </w:tcPr>
          <w:p w14:paraId="23939558" w14:textId="77777777" w:rsidR="00DC5685" w:rsidRPr="00A34F10" w:rsidRDefault="00DC5685" w:rsidP="00DC5685">
            <w:pPr>
              <w:keepNext/>
              <w:keepLines/>
              <w:jc w:val="center"/>
              <w:rPr>
                <w:color w:val="000000"/>
                <w:sz w:val="20"/>
                <w:szCs w:val="20"/>
              </w:rPr>
            </w:pPr>
            <w:r w:rsidRPr="00A34F10">
              <w:rPr>
                <w:sz w:val="20"/>
                <w:szCs w:val="20"/>
              </w:rPr>
              <w:t>82.4</w:t>
            </w:r>
          </w:p>
        </w:tc>
        <w:tc>
          <w:tcPr>
            <w:tcW w:w="270" w:type="pct"/>
            <w:tcBorders>
              <w:top w:val="single" w:sz="6" w:space="0" w:color="auto"/>
              <w:left w:val="single" w:sz="6" w:space="0" w:color="auto"/>
              <w:bottom w:val="single" w:sz="6" w:space="0" w:color="auto"/>
              <w:right w:val="single" w:sz="6" w:space="0" w:color="auto"/>
            </w:tcBorders>
            <w:vAlign w:val="center"/>
            <w:hideMark/>
          </w:tcPr>
          <w:p w14:paraId="6FD51FB7" w14:textId="77777777" w:rsidR="00DC5685" w:rsidRPr="00A34F10" w:rsidRDefault="00DC5685" w:rsidP="00DC5685">
            <w:pPr>
              <w:keepNext/>
              <w:keepLines/>
              <w:jc w:val="center"/>
              <w:rPr>
                <w:color w:val="000000"/>
                <w:sz w:val="20"/>
                <w:szCs w:val="20"/>
              </w:rPr>
            </w:pPr>
            <w:r w:rsidRPr="00A34F10">
              <w:rPr>
                <w:sz w:val="20"/>
                <w:szCs w:val="20"/>
              </w:rPr>
              <w:t>5.6</w:t>
            </w:r>
          </w:p>
        </w:tc>
        <w:tc>
          <w:tcPr>
            <w:tcW w:w="226" w:type="pct"/>
            <w:tcBorders>
              <w:top w:val="single" w:sz="6" w:space="0" w:color="auto"/>
              <w:left w:val="single" w:sz="6" w:space="0" w:color="auto"/>
              <w:bottom w:val="single" w:sz="6" w:space="0" w:color="auto"/>
              <w:right w:val="single" w:sz="6" w:space="0" w:color="auto"/>
            </w:tcBorders>
            <w:vAlign w:val="center"/>
            <w:hideMark/>
          </w:tcPr>
          <w:p w14:paraId="5E2EAC03"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3F89C4BC" w14:textId="77777777" w:rsidR="00DC5685" w:rsidRPr="00A34F10" w:rsidRDefault="00DC5685" w:rsidP="00DC5685">
            <w:pPr>
              <w:keepNext/>
              <w:keepLines/>
              <w:jc w:val="center"/>
              <w:rPr>
                <w:color w:val="000000"/>
                <w:sz w:val="20"/>
                <w:szCs w:val="20"/>
              </w:rPr>
            </w:pPr>
            <w:r w:rsidRPr="00A34F10">
              <w:rPr>
                <w:sz w:val="20"/>
                <w:szCs w:val="20"/>
              </w:rPr>
              <w:t>9.1</w:t>
            </w:r>
          </w:p>
        </w:tc>
        <w:tc>
          <w:tcPr>
            <w:tcW w:w="326" w:type="pct"/>
            <w:tcBorders>
              <w:top w:val="single" w:sz="6" w:space="0" w:color="auto"/>
              <w:left w:val="single" w:sz="6" w:space="0" w:color="auto"/>
              <w:bottom w:val="single" w:sz="6" w:space="0" w:color="auto"/>
              <w:right w:val="single" w:sz="6" w:space="0" w:color="auto"/>
            </w:tcBorders>
            <w:vAlign w:val="center"/>
          </w:tcPr>
          <w:p w14:paraId="234D2B61" w14:textId="77777777" w:rsidR="00DC5685" w:rsidRPr="00A34F10" w:rsidRDefault="00DC5685" w:rsidP="00DC5685">
            <w:pPr>
              <w:keepNext/>
              <w:keepLines/>
              <w:jc w:val="center"/>
              <w:rPr>
                <w:sz w:val="20"/>
                <w:szCs w:val="20"/>
              </w:rPr>
            </w:pPr>
            <w:r w:rsidRPr="00A34F10">
              <w:rPr>
                <w:sz w:val="20"/>
                <w:szCs w:val="20"/>
              </w:rPr>
              <w:t>6.1</w:t>
            </w:r>
          </w:p>
        </w:tc>
        <w:tc>
          <w:tcPr>
            <w:tcW w:w="326" w:type="pct"/>
            <w:tcBorders>
              <w:top w:val="single" w:sz="6" w:space="0" w:color="auto"/>
              <w:left w:val="single" w:sz="6" w:space="0" w:color="auto"/>
              <w:bottom w:val="single" w:sz="6" w:space="0" w:color="auto"/>
              <w:right w:val="single" w:sz="6" w:space="0" w:color="auto"/>
            </w:tcBorders>
            <w:vAlign w:val="center"/>
          </w:tcPr>
          <w:p w14:paraId="6285DBDD" w14:textId="77777777" w:rsidR="00DC5685" w:rsidRPr="00A34F10" w:rsidRDefault="00DC5685" w:rsidP="00DC5685">
            <w:pPr>
              <w:keepNext/>
              <w:keepLines/>
              <w:jc w:val="center"/>
              <w:rPr>
                <w:sz w:val="20"/>
                <w:szCs w:val="20"/>
              </w:rPr>
            </w:pPr>
            <w:r w:rsidRPr="00A34F10">
              <w:rPr>
                <w:sz w:val="20"/>
                <w:szCs w:val="20"/>
              </w:rPr>
              <w:t>3.4</w:t>
            </w:r>
          </w:p>
        </w:tc>
        <w:tc>
          <w:tcPr>
            <w:tcW w:w="379" w:type="pct"/>
            <w:tcBorders>
              <w:top w:val="single" w:sz="6" w:space="0" w:color="auto"/>
              <w:left w:val="single" w:sz="6" w:space="0" w:color="auto"/>
              <w:bottom w:val="single" w:sz="6" w:space="0" w:color="auto"/>
              <w:right w:val="single" w:sz="6" w:space="0" w:color="auto"/>
            </w:tcBorders>
            <w:vAlign w:val="center"/>
          </w:tcPr>
          <w:p w14:paraId="44508CE5" w14:textId="77777777" w:rsidR="00DC5685" w:rsidRPr="00A34F10" w:rsidRDefault="00DC5685" w:rsidP="00DC5685">
            <w:pPr>
              <w:keepNext/>
              <w:keepLines/>
              <w:jc w:val="center"/>
              <w:rPr>
                <w:color w:val="000000"/>
                <w:sz w:val="20"/>
                <w:szCs w:val="20"/>
              </w:rPr>
            </w:pPr>
            <w:r w:rsidRPr="00A34F10">
              <w:rPr>
                <w:sz w:val="18"/>
                <w:szCs w:val="18"/>
              </w:rPr>
              <w:t>14.9</w:t>
            </w:r>
          </w:p>
        </w:tc>
        <w:tc>
          <w:tcPr>
            <w:tcW w:w="378" w:type="pct"/>
            <w:tcBorders>
              <w:top w:val="single" w:sz="6" w:space="0" w:color="auto"/>
              <w:left w:val="single" w:sz="6" w:space="0" w:color="auto"/>
              <w:bottom w:val="single" w:sz="6" w:space="0" w:color="auto"/>
              <w:right w:val="single" w:sz="6" w:space="0" w:color="auto"/>
            </w:tcBorders>
            <w:vAlign w:val="center"/>
          </w:tcPr>
          <w:p w14:paraId="6139FE56" w14:textId="77777777" w:rsidR="00DC5685" w:rsidRPr="00A34F10" w:rsidRDefault="00DC5685" w:rsidP="00DC5685">
            <w:pPr>
              <w:keepNext/>
              <w:keepLines/>
              <w:jc w:val="center"/>
              <w:rPr>
                <w:color w:val="000000"/>
                <w:sz w:val="20"/>
                <w:szCs w:val="20"/>
              </w:rPr>
            </w:pPr>
            <w:r w:rsidRPr="00A34F10">
              <w:rPr>
                <w:sz w:val="18"/>
                <w:szCs w:val="18"/>
              </w:rPr>
              <w:t>0.0</w:t>
            </w:r>
          </w:p>
        </w:tc>
        <w:tc>
          <w:tcPr>
            <w:tcW w:w="328" w:type="pct"/>
            <w:tcBorders>
              <w:top w:val="single" w:sz="6" w:space="0" w:color="auto"/>
              <w:left w:val="single" w:sz="6" w:space="0" w:color="auto"/>
              <w:bottom w:val="single" w:sz="6" w:space="0" w:color="auto"/>
              <w:right w:val="single" w:sz="6" w:space="0" w:color="auto"/>
            </w:tcBorders>
            <w:hideMark/>
          </w:tcPr>
          <w:p w14:paraId="08DF1E95" w14:textId="77777777" w:rsidR="00DC5685" w:rsidRPr="00A34F10" w:rsidRDefault="00DC5685" w:rsidP="00DC5685">
            <w:pPr>
              <w:keepNext/>
              <w:keepLines/>
              <w:jc w:val="center"/>
              <w:rPr>
                <w:color w:val="000000"/>
                <w:sz w:val="20"/>
                <w:szCs w:val="20"/>
              </w:rPr>
            </w:pPr>
            <w:r w:rsidRPr="00A34F10">
              <w:rPr>
                <w:sz w:val="20"/>
                <w:szCs w:val="20"/>
              </w:rPr>
              <w:t>19.4</w:t>
            </w:r>
          </w:p>
        </w:tc>
        <w:tc>
          <w:tcPr>
            <w:tcW w:w="256" w:type="pct"/>
            <w:tcBorders>
              <w:top w:val="single" w:sz="6" w:space="0" w:color="auto"/>
              <w:left w:val="single" w:sz="6" w:space="0" w:color="auto"/>
              <w:bottom w:val="single" w:sz="6" w:space="0" w:color="auto"/>
              <w:right w:val="single" w:sz="6" w:space="0" w:color="auto"/>
            </w:tcBorders>
            <w:hideMark/>
          </w:tcPr>
          <w:p w14:paraId="72A4FED6" w14:textId="77777777" w:rsidR="00DC5685" w:rsidRPr="00A34F10" w:rsidRDefault="00DC5685" w:rsidP="00DC5685">
            <w:pPr>
              <w:keepNext/>
              <w:keepLines/>
              <w:jc w:val="center"/>
              <w:rPr>
                <w:color w:val="000000"/>
                <w:sz w:val="20"/>
                <w:szCs w:val="20"/>
              </w:rPr>
            </w:pPr>
            <w:r w:rsidRPr="00A34F10">
              <w:rPr>
                <w:sz w:val="20"/>
                <w:szCs w:val="20"/>
              </w:rPr>
              <w:t>3.3</w:t>
            </w:r>
          </w:p>
        </w:tc>
        <w:tc>
          <w:tcPr>
            <w:tcW w:w="555" w:type="pct"/>
            <w:tcBorders>
              <w:top w:val="single" w:sz="6" w:space="0" w:color="auto"/>
              <w:left w:val="single" w:sz="6" w:space="0" w:color="auto"/>
              <w:bottom w:val="single" w:sz="6" w:space="0" w:color="auto"/>
              <w:right w:val="single" w:sz="6" w:space="0" w:color="auto"/>
            </w:tcBorders>
            <w:vAlign w:val="center"/>
            <w:hideMark/>
          </w:tcPr>
          <w:p w14:paraId="3ED1473C" w14:textId="77777777" w:rsidR="00DC5685" w:rsidRPr="00A34F10" w:rsidRDefault="00DC5685" w:rsidP="00DC5685">
            <w:pPr>
              <w:keepNext/>
              <w:keepLines/>
              <w:jc w:val="center"/>
              <w:rPr>
                <w:color w:val="000000"/>
                <w:sz w:val="20"/>
                <w:szCs w:val="20"/>
              </w:rPr>
            </w:pPr>
            <w:r w:rsidRPr="00A34F10">
              <w:rPr>
                <w:sz w:val="20"/>
                <w:szCs w:val="20"/>
              </w:rPr>
              <w:t>80.6</w:t>
            </w:r>
          </w:p>
        </w:tc>
      </w:tr>
      <w:tr w:rsidR="00DC5685" w:rsidRPr="00A34F10" w14:paraId="1A49B7B4" w14:textId="77777777" w:rsidTr="000470C3">
        <w:trPr>
          <w:jc w:val="center"/>
        </w:trPr>
        <w:tc>
          <w:tcPr>
            <w:tcW w:w="555" w:type="pct"/>
            <w:vMerge/>
            <w:tcBorders>
              <w:top w:val="single" w:sz="6" w:space="0" w:color="auto"/>
              <w:left w:val="single" w:sz="6" w:space="0" w:color="auto"/>
              <w:bottom w:val="single" w:sz="6" w:space="0" w:color="auto"/>
              <w:right w:val="single" w:sz="6" w:space="0" w:color="auto"/>
            </w:tcBorders>
            <w:vAlign w:val="center"/>
            <w:hideMark/>
          </w:tcPr>
          <w:p w14:paraId="7E580643" w14:textId="77777777" w:rsidR="00DC5685" w:rsidRPr="00A34F10" w:rsidRDefault="00DC5685" w:rsidP="00DC5685">
            <w:pPr>
              <w:keepNext/>
              <w:keepLines/>
              <w:rPr>
                <w:b/>
                <w:bCs/>
                <w:color w:val="000000"/>
                <w:sz w:val="20"/>
                <w:szCs w:val="20"/>
              </w:rPr>
            </w:pPr>
          </w:p>
        </w:tc>
        <w:tc>
          <w:tcPr>
            <w:tcW w:w="345" w:type="pct"/>
            <w:tcBorders>
              <w:top w:val="single" w:sz="6" w:space="0" w:color="auto"/>
              <w:left w:val="single" w:sz="6" w:space="0" w:color="auto"/>
              <w:bottom w:val="single" w:sz="6" w:space="0" w:color="auto"/>
              <w:right w:val="single" w:sz="6" w:space="0" w:color="auto"/>
            </w:tcBorders>
            <w:vAlign w:val="bottom"/>
            <w:hideMark/>
          </w:tcPr>
          <w:p w14:paraId="11F52643" w14:textId="77777777" w:rsidR="00DC5685" w:rsidRPr="00A34F10" w:rsidRDefault="00DC5685" w:rsidP="00DC5685">
            <w:pPr>
              <w:keepNext/>
              <w:keepLines/>
              <w:jc w:val="center"/>
              <w:rPr>
                <w:color w:val="000000"/>
                <w:sz w:val="20"/>
                <w:szCs w:val="20"/>
              </w:rPr>
            </w:pPr>
            <w:r w:rsidRPr="00A34F10">
              <w:rPr>
                <w:sz w:val="20"/>
                <w:szCs w:val="20"/>
              </w:rPr>
              <w:t>4.4</w:t>
            </w:r>
          </w:p>
        </w:tc>
        <w:tc>
          <w:tcPr>
            <w:tcW w:w="727" w:type="pct"/>
            <w:tcBorders>
              <w:top w:val="single" w:sz="6" w:space="0" w:color="auto"/>
              <w:left w:val="single" w:sz="6" w:space="0" w:color="auto"/>
              <w:bottom w:val="single" w:sz="6" w:space="0" w:color="auto"/>
              <w:right w:val="single" w:sz="6" w:space="0" w:color="auto"/>
            </w:tcBorders>
            <w:vAlign w:val="bottom"/>
            <w:hideMark/>
          </w:tcPr>
          <w:p w14:paraId="04C99DCD" w14:textId="77777777" w:rsidR="00DC5685" w:rsidRPr="00A34F10" w:rsidRDefault="00DC5685" w:rsidP="00DC5685">
            <w:pPr>
              <w:keepNext/>
              <w:keepLines/>
              <w:jc w:val="center"/>
              <w:rPr>
                <w:color w:val="000000"/>
                <w:sz w:val="20"/>
                <w:szCs w:val="20"/>
              </w:rPr>
            </w:pPr>
            <w:r w:rsidRPr="00A34F10">
              <w:rPr>
                <w:sz w:val="20"/>
                <w:szCs w:val="20"/>
              </w:rPr>
              <w:t>27.6</w:t>
            </w:r>
          </w:p>
        </w:tc>
        <w:tc>
          <w:tcPr>
            <w:tcW w:w="270" w:type="pct"/>
            <w:tcBorders>
              <w:top w:val="single" w:sz="6" w:space="0" w:color="auto"/>
              <w:left w:val="single" w:sz="6" w:space="0" w:color="auto"/>
              <w:bottom w:val="single" w:sz="6" w:space="0" w:color="auto"/>
              <w:right w:val="single" w:sz="6" w:space="0" w:color="auto"/>
            </w:tcBorders>
            <w:vAlign w:val="center"/>
            <w:hideMark/>
          </w:tcPr>
          <w:p w14:paraId="45B7838F" w14:textId="77777777" w:rsidR="00DC5685" w:rsidRPr="00A34F10" w:rsidRDefault="00DC5685" w:rsidP="00DC5685">
            <w:pPr>
              <w:keepNext/>
              <w:keepLines/>
              <w:jc w:val="center"/>
              <w:rPr>
                <w:color w:val="000000"/>
                <w:sz w:val="20"/>
                <w:szCs w:val="20"/>
              </w:rPr>
            </w:pPr>
            <w:r w:rsidRPr="00A34F10">
              <w:rPr>
                <w:sz w:val="20"/>
                <w:szCs w:val="20"/>
              </w:rPr>
              <w:t>0.0</w:t>
            </w:r>
          </w:p>
        </w:tc>
        <w:tc>
          <w:tcPr>
            <w:tcW w:w="226" w:type="pct"/>
            <w:tcBorders>
              <w:top w:val="single" w:sz="6" w:space="0" w:color="auto"/>
              <w:left w:val="single" w:sz="6" w:space="0" w:color="auto"/>
              <w:bottom w:val="single" w:sz="6" w:space="0" w:color="auto"/>
              <w:right w:val="single" w:sz="6" w:space="0" w:color="auto"/>
            </w:tcBorders>
            <w:vAlign w:val="center"/>
            <w:hideMark/>
          </w:tcPr>
          <w:p w14:paraId="2C3EE6BB" w14:textId="77777777" w:rsidR="00DC5685" w:rsidRPr="00A34F10" w:rsidRDefault="00DC5685" w:rsidP="00DC5685">
            <w:pPr>
              <w:keepNext/>
              <w:keepLines/>
              <w:jc w:val="center"/>
              <w:rPr>
                <w:color w:val="000000"/>
                <w:sz w:val="20"/>
                <w:szCs w:val="20"/>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04266F5A" w14:textId="77777777" w:rsidR="00DC5685" w:rsidRPr="00A34F10" w:rsidRDefault="00DC5685" w:rsidP="00DC5685">
            <w:pPr>
              <w:keepNext/>
              <w:keepLines/>
              <w:jc w:val="center"/>
              <w:rPr>
                <w:color w:val="000000"/>
                <w:sz w:val="20"/>
                <w:szCs w:val="20"/>
              </w:rPr>
            </w:pPr>
            <w:r w:rsidRPr="00A34F10">
              <w:rPr>
                <w:sz w:val="20"/>
                <w:szCs w:val="20"/>
              </w:rPr>
              <w:t>2.8</w:t>
            </w:r>
          </w:p>
        </w:tc>
        <w:tc>
          <w:tcPr>
            <w:tcW w:w="326" w:type="pct"/>
            <w:tcBorders>
              <w:top w:val="single" w:sz="6" w:space="0" w:color="auto"/>
              <w:left w:val="single" w:sz="6" w:space="0" w:color="auto"/>
              <w:bottom w:val="single" w:sz="6" w:space="0" w:color="auto"/>
              <w:right w:val="single" w:sz="6" w:space="0" w:color="auto"/>
            </w:tcBorders>
            <w:vAlign w:val="center"/>
          </w:tcPr>
          <w:p w14:paraId="518A73E3" w14:textId="77777777" w:rsidR="00DC5685" w:rsidRPr="00A34F10" w:rsidRDefault="00DC5685" w:rsidP="00DC5685">
            <w:pPr>
              <w:keepNext/>
              <w:keepLines/>
              <w:jc w:val="center"/>
              <w:rPr>
                <w:sz w:val="20"/>
                <w:szCs w:val="20"/>
              </w:rPr>
            </w:pPr>
            <w:r w:rsidRPr="00A34F10">
              <w:rPr>
                <w:sz w:val="20"/>
                <w:szCs w:val="20"/>
              </w:rPr>
              <w:t>8.3</w:t>
            </w:r>
          </w:p>
        </w:tc>
        <w:tc>
          <w:tcPr>
            <w:tcW w:w="326" w:type="pct"/>
            <w:tcBorders>
              <w:top w:val="single" w:sz="6" w:space="0" w:color="auto"/>
              <w:left w:val="single" w:sz="6" w:space="0" w:color="auto"/>
              <w:bottom w:val="single" w:sz="6" w:space="0" w:color="auto"/>
              <w:right w:val="single" w:sz="6" w:space="0" w:color="auto"/>
            </w:tcBorders>
            <w:vAlign w:val="center"/>
          </w:tcPr>
          <w:p w14:paraId="478C9B0A" w14:textId="77777777" w:rsidR="00DC5685" w:rsidRPr="00A34F10" w:rsidRDefault="00DC5685" w:rsidP="00DC5685">
            <w:pPr>
              <w:keepNext/>
              <w:keepLines/>
              <w:jc w:val="center"/>
              <w:rPr>
                <w:sz w:val="20"/>
                <w:szCs w:val="20"/>
              </w:rPr>
            </w:pPr>
            <w:r w:rsidRPr="00A34F10">
              <w:rPr>
                <w:sz w:val="20"/>
                <w:szCs w:val="20"/>
              </w:rPr>
              <w:t>5.7</w:t>
            </w:r>
          </w:p>
        </w:tc>
        <w:tc>
          <w:tcPr>
            <w:tcW w:w="379" w:type="pct"/>
            <w:tcBorders>
              <w:top w:val="single" w:sz="6" w:space="0" w:color="auto"/>
              <w:left w:val="single" w:sz="6" w:space="0" w:color="auto"/>
              <w:bottom w:val="single" w:sz="6" w:space="0" w:color="auto"/>
              <w:right w:val="single" w:sz="6" w:space="0" w:color="auto"/>
            </w:tcBorders>
            <w:vAlign w:val="center"/>
          </w:tcPr>
          <w:p w14:paraId="7824A4B9" w14:textId="77777777" w:rsidR="00DC5685" w:rsidRPr="00A34F10" w:rsidRDefault="00DC5685" w:rsidP="00DC5685">
            <w:pPr>
              <w:keepNext/>
              <w:keepLines/>
              <w:jc w:val="center"/>
              <w:rPr>
                <w:color w:val="000000"/>
                <w:sz w:val="20"/>
                <w:szCs w:val="20"/>
              </w:rPr>
            </w:pPr>
            <w:r w:rsidRPr="00A34F10">
              <w:rPr>
                <w:sz w:val="18"/>
                <w:szCs w:val="18"/>
              </w:rPr>
              <w:t>11.1</w:t>
            </w:r>
          </w:p>
        </w:tc>
        <w:tc>
          <w:tcPr>
            <w:tcW w:w="378" w:type="pct"/>
            <w:tcBorders>
              <w:top w:val="single" w:sz="6" w:space="0" w:color="auto"/>
              <w:left w:val="single" w:sz="6" w:space="0" w:color="auto"/>
              <w:bottom w:val="single" w:sz="6" w:space="0" w:color="auto"/>
              <w:right w:val="single" w:sz="6" w:space="0" w:color="auto"/>
            </w:tcBorders>
            <w:vAlign w:val="center"/>
          </w:tcPr>
          <w:p w14:paraId="30D04219" w14:textId="77777777" w:rsidR="00DC5685" w:rsidRPr="00A34F10" w:rsidRDefault="00DC5685" w:rsidP="00DC5685">
            <w:pPr>
              <w:keepNext/>
              <w:keepLines/>
              <w:jc w:val="center"/>
              <w:rPr>
                <w:color w:val="000000"/>
                <w:sz w:val="20"/>
                <w:szCs w:val="20"/>
              </w:rPr>
            </w:pPr>
            <w:r w:rsidRPr="00A34F10">
              <w:rPr>
                <w:sz w:val="18"/>
                <w:szCs w:val="18"/>
              </w:rPr>
              <w:t>0.0</w:t>
            </w:r>
          </w:p>
        </w:tc>
        <w:tc>
          <w:tcPr>
            <w:tcW w:w="328" w:type="pct"/>
            <w:tcBorders>
              <w:top w:val="single" w:sz="6" w:space="0" w:color="auto"/>
              <w:left w:val="single" w:sz="6" w:space="0" w:color="auto"/>
              <w:bottom w:val="single" w:sz="6" w:space="0" w:color="auto"/>
              <w:right w:val="single" w:sz="6" w:space="0" w:color="auto"/>
            </w:tcBorders>
            <w:hideMark/>
          </w:tcPr>
          <w:p w14:paraId="40847A58" w14:textId="77777777" w:rsidR="00DC5685" w:rsidRPr="00A34F10" w:rsidRDefault="00DC5685" w:rsidP="00DC5685">
            <w:pPr>
              <w:keepNext/>
              <w:keepLines/>
              <w:jc w:val="center"/>
              <w:rPr>
                <w:color w:val="000000"/>
                <w:sz w:val="20"/>
                <w:szCs w:val="20"/>
              </w:rPr>
            </w:pPr>
            <w:r w:rsidRPr="00A34F10">
              <w:rPr>
                <w:sz w:val="20"/>
                <w:szCs w:val="20"/>
              </w:rPr>
              <w:t>11.1</w:t>
            </w:r>
          </w:p>
        </w:tc>
        <w:tc>
          <w:tcPr>
            <w:tcW w:w="256" w:type="pct"/>
            <w:tcBorders>
              <w:top w:val="single" w:sz="6" w:space="0" w:color="auto"/>
              <w:left w:val="single" w:sz="6" w:space="0" w:color="auto"/>
              <w:bottom w:val="single" w:sz="6" w:space="0" w:color="auto"/>
              <w:right w:val="single" w:sz="6" w:space="0" w:color="auto"/>
            </w:tcBorders>
            <w:hideMark/>
          </w:tcPr>
          <w:p w14:paraId="355663D3" w14:textId="77777777" w:rsidR="00DC5685" w:rsidRPr="00A34F10" w:rsidRDefault="00DC5685" w:rsidP="00DC5685">
            <w:pPr>
              <w:keepNext/>
              <w:keepLines/>
              <w:jc w:val="center"/>
              <w:rPr>
                <w:color w:val="000000"/>
                <w:sz w:val="20"/>
                <w:szCs w:val="20"/>
              </w:rPr>
            </w:pPr>
            <w:r w:rsidRPr="00A34F10">
              <w:rPr>
                <w:sz w:val="20"/>
                <w:szCs w:val="20"/>
              </w:rPr>
              <w:t>0.0</w:t>
            </w:r>
          </w:p>
        </w:tc>
        <w:tc>
          <w:tcPr>
            <w:tcW w:w="555" w:type="pct"/>
            <w:tcBorders>
              <w:top w:val="single" w:sz="6" w:space="0" w:color="auto"/>
              <w:left w:val="single" w:sz="6" w:space="0" w:color="auto"/>
              <w:bottom w:val="single" w:sz="6" w:space="0" w:color="auto"/>
              <w:right w:val="single" w:sz="6" w:space="0" w:color="auto"/>
            </w:tcBorders>
            <w:vAlign w:val="center"/>
            <w:hideMark/>
          </w:tcPr>
          <w:p w14:paraId="4E407808" w14:textId="77777777" w:rsidR="00DC5685" w:rsidRPr="00A34F10" w:rsidRDefault="00DC5685" w:rsidP="00DC5685">
            <w:pPr>
              <w:keepNext/>
              <w:keepLines/>
              <w:jc w:val="center"/>
              <w:rPr>
                <w:color w:val="000000"/>
                <w:sz w:val="20"/>
                <w:szCs w:val="20"/>
              </w:rPr>
            </w:pPr>
            <w:r w:rsidRPr="00A34F10">
              <w:rPr>
                <w:sz w:val="20"/>
                <w:szCs w:val="20"/>
              </w:rPr>
              <w:t>88.9</w:t>
            </w:r>
          </w:p>
        </w:tc>
      </w:tr>
      <w:tr w:rsidR="00DC5685" w:rsidRPr="00A34F10" w14:paraId="11929CE4" w14:textId="77777777" w:rsidTr="000470C3">
        <w:trPr>
          <w:jc w:val="center"/>
        </w:trPr>
        <w:tc>
          <w:tcPr>
            <w:tcW w:w="555" w:type="pct"/>
            <w:tcBorders>
              <w:top w:val="single" w:sz="6" w:space="0" w:color="auto"/>
              <w:left w:val="single" w:sz="6" w:space="0" w:color="auto"/>
              <w:bottom w:val="single" w:sz="6" w:space="0" w:color="auto"/>
              <w:right w:val="single" w:sz="6" w:space="0" w:color="auto"/>
            </w:tcBorders>
            <w:vAlign w:val="center"/>
            <w:hideMark/>
          </w:tcPr>
          <w:p w14:paraId="19194458" w14:textId="77777777" w:rsidR="00DC5685" w:rsidRPr="00A34F10" w:rsidRDefault="00DC5685" w:rsidP="00DC5685">
            <w:pPr>
              <w:keepNext/>
              <w:keepLines/>
              <w:autoSpaceDE w:val="0"/>
              <w:autoSpaceDN w:val="0"/>
              <w:spacing w:before="60" w:after="60"/>
              <w:ind w:left="57" w:right="57"/>
              <w:rPr>
                <w:b/>
                <w:bCs/>
                <w:color w:val="000000"/>
                <w:sz w:val="20"/>
                <w:szCs w:val="20"/>
              </w:rPr>
            </w:pPr>
            <w:r w:rsidRPr="00A34F10">
              <w:rPr>
                <w:b/>
                <w:bCs/>
                <w:color w:val="000000"/>
                <w:sz w:val="20"/>
                <w:szCs w:val="20"/>
              </w:rPr>
              <w:t>Reference</w:t>
            </w:r>
          </w:p>
        </w:tc>
        <w:tc>
          <w:tcPr>
            <w:tcW w:w="345" w:type="pct"/>
            <w:tcBorders>
              <w:top w:val="single" w:sz="6" w:space="0" w:color="auto"/>
              <w:left w:val="single" w:sz="6" w:space="0" w:color="auto"/>
              <w:bottom w:val="single" w:sz="6" w:space="0" w:color="auto"/>
              <w:right w:val="single" w:sz="6" w:space="0" w:color="auto"/>
            </w:tcBorders>
            <w:vAlign w:val="center"/>
            <w:hideMark/>
          </w:tcPr>
          <w:p w14:paraId="795F902C" w14:textId="77777777" w:rsidR="00DC5685" w:rsidRPr="00A34F10" w:rsidRDefault="00DC5685" w:rsidP="00DC5685">
            <w:pPr>
              <w:keepNext/>
              <w:keepLines/>
              <w:jc w:val="center"/>
              <w:rPr>
                <w:color w:val="000000"/>
                <w:sz w:val="20"/>
                <w:szCs w:val="20"/>
              </w:rPr>
            </w:pPr>
            <w:r w:rsidRPr="00A34F10">
              <w:rPr>
                <w:sz w:val="20"/>
                <w:szCs w:val="20"/>
              </w:rPr>
              <w:t>7.4</w:t>
            </w:r>
          </w:p>
        </w:tc>
        <w:tc>
          <w:tcPr>
            <w:tcW w:w="727" w:type="pct"/>
            <w:tcBorders>
              <w:top w:val="single" w:sz="6" w:space="0" w:color="auto"/>
              <w:left w:val="single" w:sz="6" w:space="0" w:color="auto"/>
              <w:bottom w:val="single" w:sz="6" w:space="0" w:color="auto"/>
              <w:right w:val="single" w:sz="6" w:space="0" w:color="auto"/>
            </w:tcBorders>
            <w:vAlign w:val="center"/>
            <w:hideMark/>
          </w:tcPr>
          <w:p w14:paraId="622AEEA1" w14:textId="77777777" w:rsidR="00DC5685" w:rsidRPr="00A34F10" w:rsidRDefault="00DC5685" w:rsidP="00DC5685">
            <w:pPr>
              <w:keepNext/>
              <w:keepLines/>
              <w:jc w:val="center"/>
              <w:rPr>
                <w:color w:val="000000"/>
                <w:sz w:val="20"/>
                <w:szCs w:val="20"/>
              </w:rPr>
            </w:pPr>
            <w:r w:rsidRPr="00A34F10">
              <w:rPr>
                <w:color w:val="000000"/>
                <w:sz w:val="20"/>
                <w:szCs w:val="20"/>
              </w:rPr>
              <w:t>47</w:t>
            </w:r>
          </w:p>
        </w:tc>
        <w:tc>
          <w:tcPr>
            <w:tcW w:w="270" w:type="pct"/>
            <w:tcBorders>
              <w:top w:val="single" w:sz="6" w:space="0" w:color="auto"/>
              <w:left w:val="single" w:sz="6" w:space="0" w:color="auto"/>
              <w:bottom w:val="single" w:sz="6" w:space="0" w:color="auto"/>
              <w:right w:val="single" w:sz="6" w:space="0" w:color="auto"/>
            </w:tcBorders>
            <w:vAlign w:val="center"/>
            <w:hideMark/>
          </w:tcPr>
          <w:p w14:paraId="24118010" w14:textId="77777777" w:rsidR="00DC5685" w:rsidRPr="00A34F10" w:rsidRDefault="00DC5685" w:rsidP="00DC5685">
            <w:pPr>
              <w:keepNext/>
              <w:keepLines/>
              <w:jc w:val="center"/>
              <w:rPr>
                <w:color w:val="000000"/>
                <w:sz w:val="20"/>
                <w:szCs w:val="20"/>
                <w:highlight w:val="yellow"/>
              </w:rPr>
            </w:pPr>
            <w:r w:rsidRPr="00A34F10">
              <w:rPr>
                <w:sz w:val="20"/>
                <w:szCs w:val="20"/>
              </w:rPr>
              <w:t>80.6*</w:t>
            </w:r>
          </w:p>
        </w:tc>
        <w:tc>
          <w:tcPr>
            <w:tcW w:w="226" w:type="pct"/>
            <w:tcBorders>
              <w:top w:val="single" w:sz="6" w:space="0" w:color="auto"/>
              <w:left w:val="single" w:sz="6" w:space="0" w:color="auto"/>
              <w:bottom w:val="single" w:sz="6" w:space="0" w:color="auto"/>
              <w:right w:val="single" w:sz="6" w:space="0" w:color="auto"/>
            </w:tcBorders>
            <w:vAlign w:val="center"/>
            <w:hideMark/>
          </w:tcPr>
          <w:p w14:paraId="4E6ABD07" w14:textId="77777777" w:rsidR="00DC5685" w:rsidRPr="00A34F10" w:rsidRDefault="00DC5685" w:rsidP="00DC5685">
            <w:pPr>
              <w:keepNext/>
              <w:keepLines/>
              <w:jc w:val="center"/>
              <w:rPr>
                <w:color w:val="000000"/>
                <w:sz w:val="20"/>
                <w:szCs w:val="20"/>
                <w:highlight w:val="yellow"/>
              </w:rPr>
            </w:pPr>
            <w:r w:rsidRPr="00A34F10">
              <w:rPr>
                <w:sz w:val="20"/>
                <w:szCs w:val="20"/>
              </w:rPr>
              <w:t>-</w:t>
            </w:r>
          </w:p>
        </w:tc>
        <w:tc>
          <w:tcPr>
            <w:tcW w:w="330" w:type="pct"/>
            <w:tcBorders>
              <w:top w:val="single" w:sz="6" w:space="0" w:color="auto"/>
              <w:left w:val="single" w:sz="6" w:space="0" w:color="auto"/>
              <w:bottom w:val="single" w:sz="6" w:space="0" w:color="auto"/>
              <w:right w:val="single" w:sz="6" w:space="0" w:color="auto"/>
            </w:tcBorders>
            <w:vAlign w:val="center"/>
            <w:hideMark/>
          </w:tcPr>
          <w:p w14:paraId="6FE29FDD" w14:textId="77777777" w:rsidR="00DC5685" w:rsidRPr="00A34F10" w:rsidRDefault="00DC5685" w:rsidP="00DC5685">
            <w:pPr>
              <w:keepNext/>
              <w:keepLines/>
              <w:jc w:val="center"/>
              <w:rPr>
                <w:color w:val="000000"/>
                <w:sz w:val="20"/>
                <w:szCs w:val="20"/>
                <w:highlight w:val="yellow"/>
              </w:rPr>
            </w:pPr>
            <w:r w:rsidRPr="00A34F10">
              <w:rPr>
                <w:sz w:val="20"/>
                <w:szCs w:val="20"/>
              </w:rPr>
              <w:t>16.7</w:t>
            </w:r>
          </w:p>
        </w:tc>
        <w:tc>
          <w:tcPr>
            <w:tcW w:w="326" w:type="pct"/>
            <w:tcBorders>
              <w:top w:val="single" w:sz="6" w:space="0" w:color="auto"/>
              <w:left w:val="single" w:sz="6" w:space="0" w:color="auto"/>
              <w:bottom w:val="single" w:sz="6" w:space="0" w:color="auto"/>
              <w:right w:val="single" w:sz="6" w:space="0" w:color="auto"/>
            </w:tcBorders>
            <w:vAlign w:val="center"/>
          </w:tcPr>
          <w:p w14:paraId="641BD7D2" w14:textId="77777777" w:rsidR="00DC5685" w:rsidRPr="00A34F10" w:rsidRDefault="00DC5685" w:rsidP="00DC5685">
            <w:pPr>
              <w:keepNext/>
              <w:keepLines/>
              <w:jc w:val="center"/>
              <w:rPr>
                <w:sz w:val="20"/>
                <w:szCs w:val="20"/>
              </w:rPr>
            </w:pPr>
            <w:r w:rsidRPr="00A34F10">
              <w:rPr>
                <w:sz w:val="20"/>
                <w:szCs w:val="20"/>
              </w:rPr>
              <w:t>25.0</w:t>
            </w:r>
          </w:p>
        </w:tc>
        <w:tc>
          <w:tcPr>
            <w:tcW w:w="326" w:type="pct"/>
            <w:tcBorders>
              <w:top w:val="single" w:sz="6" w:space="0" w:color="auto"/>
              <w:left w:val="single" w:sz="6" w:space="0" w:color="auto"/>
              <w:bottom w:val="single" w:sz="6" w:space="0" w:color="auto"/>
              <w:right w:val="single" w:sz="6" w:space="0" w:color="auto"/>
            </w:tcBorders>
            <w:vAlign w:val="center"/>
          </w:tcPr>
          <w:p w14:paraId="1B337AEB" w14:textId="77777777" w:rsidR="00DC5685" w:rsidRPr="00A34F10" w:rsidRDefault="00DC5685" w:rsidP="00DC5685">
            <w:pPr>
              <w:keepNext/>
              <w:keepLines/>
              <w:jc w:val="center"/>
              <w:rPr>
                <w:sz w:val="20"/>
                <w:szCs w:val="20"/>
              </w:rPr>
            </w:pPr>
            <w:r w:rsidRPr="00A34F10">
              <w:rPr>
                <w:sz w:val="20"/>
                <w:szCs w:val="20"/>
              </w:rPr>
              <w:t>22.9</w:t>
            </w:r>
          </w:p>
        </w:tc>
        <w:tc>
          <w:tcPr>
            <w:tcW w:w="379" w:type="pct"/>
            <w:tcBorders>
              <w:top w:val="single" w:sz="6" w:space="0" w:color="auto"/>
              <w:left w:val="single" w:sz="6" w:space="0" w:color="auto"/>
              <w:bottom w:val="single" w:sz="6" w:space="0" w:color="auto"/>
              <w:right w:val="single" w:sz="6" w:space="0" w:color="auto"/>
            </w:tcBorders>
            <w:vAlign w:val="center"/>
          </w:tcPr>
          <w:p w14:paraId="20FF44DE" w14:textId="77777777" w:rsidR="00DC5685" w:rsidRPr="00A34F10" w:rsidRDefault="00DC5685" w:rsidP="00DC5685">
            <w:pPr>
              <w:keepNext/>
              <w:keepLines/>
              <w:jc w:val="center"/>
              <w:rPr>
                <w:color w:val="000000"/>
                <w:sz w:val="20"/>
                <w:szCs w:val="20"/>
                <w:highlight w:val="yellow"/>
              </w:rPr>
            </w:pPr>
            <w:r w:rsidRPr="00A34F10">
              <w:rPr>
                <w:sz w:val="20"/>
                <w:szCs w:val="20"/>
              </w:rPr>
              <w:t>41.7</w:t>
            </w:r>
          </w:p>
        </w:tc>
        <w:tc>
          <w:tcPr>
            <w:tcW w:w="378" w:type="pct"/>
            <w:tcBorders>
              <w:top w:val="single" w:sz="6" w:space="0" w:color="auto"/>
              <w:left w:val="single" w:sz="6" w:space="0" w:color="auto"/>
              <w:bottom w:val="single" w:sz="6" w:space="0" w:color="auto"/>
              <w:right w:val="single" w:sz="6" w:space="0" w:color="auto"/>
            </w:tcBorders>
            <w:vAlign w:val="center"/>
          </w:tcPr>
          <w:p w14:paraId="7C01B4AA" w14:textId="77777777" w:rsidR="00DC5685" w:rsidRPr="00A34F10" w:rsidRDefault="00DC5685" w:rsidP="00DC5685">
            <w:pPr>
              <w:keepNext/>
              <w:keepLines/>
              <w:jc w:val="center"/>
              <w:rPr>
                <w:color w:val="000000"/>
                <w:sz w:val="20"/>
                <w:szCs w:val="20"/>
                <w:highlight w:val="yellow"/>
              </w:rPr>
            </w:pPr>
            <w:r w:rsidRPr="00A34F10">
              <w:rPr>
                <w:sz w:val="20"/>
                <w:szCs w:val="20"/>
              </w:rPr>
              <w:t>30.0</w:t>
            </w:r>
          </w:p>
        </w:tc>
        <w:tc>
          <w:tcPr>
            <w:tcW w:w="328" w:type="pct"/>
            <w:tcBorders>
              <w:top w:val="single" w:sz="6" w:space="0" w:color="auto"/>
              <w:left w:val="single" w:sz="6" w:space="0" w:color="auto"/>
              <w:bottom w:val="single" w:sz="6" w:space="0" w:color="auto"/>
              <w:right w:val="single" w:sz="6" w:space="0" w:color="auto"/>
            </w:tcBorders>
            <w:vAlign w:val="center"/>
          </w:tcPr>
          <w:p w14:paraId="687CCA8D" w14:textId="77777777" w:rsidR="00DC5685" w:rsidRPr="00A34F10" w:rsidRDefault="00DC5685" w:rsidP="00DC5685">
            <w:pPr>
              <w:keepNext/>
              <w:keepLines/>
              <w:jc w:val="center"/>
              <w:rPr>
                <w:color w:val="000000"/>
                <w:sz w:val="20"/>
                <w:szCs w:val="20"/>
                <w:highlight w:val="yellow"/>
              </w:rPr>
            </w:pPr>
            <w:r w:rsidRPr="00A34F10">
              <w:rPr>
                <w:sz w:val="18"/>
                <w:szCs w:val="18"/>
              </w:rPr>
              <w:t>94.4</w:t>
            </w:r>
          </w:p>
        </w:tc>
        <w:tc>
          <w:tcPr>
            <w:tcW w:w="256" w:type="pct"/>
            <w:tcBorders>
              <w:top w:val="single" w:sz="6" w:space="0" w:color="auto"/>
              <w:left w:val="single" w:sz="6" w:space="0" w:color="auto"/>
              <w:bottom w:val="single" w:sz="6" w:space="0" w:color="auto"/>
              <w:right w:val="single" w:sz="6" w:space="0" w:color="auto"/>
            </w:tcBorders>
            <w:vAlign w:val="center"/>
          </w:tcPr>
          <w:p w14:paraId="1673798A" w14:textId="77777777" w:rsidR="00DC5685" w:rsidRPr="00A34F10" w:rsidRDefault="00DC5685" w:rsidP="00DC5685">
            <w:pPr>
              <w:keepNext/>
              <w:keepLines/>
              <w:jc w:val="center"/>
              <w:rPr>
                <w:color w:val="000000"/>
                <w:sz w:val="20"/>
                <w:szCs w:val="20"/>
                <w:highlight w:val="yellow"/>
              </w:rPr>
            </w:pPr>
            <w:r w:rsidRPr="00A34F10">
              <w:rPr>
                <w:sz w:val="18"/>
                <w:szCs w:val="18"/>
              </w:rPr>
              <w:t>93.3</w:t>
            </w:r>
          </w:p>
        </w:tc>
        <w:tc>
          <w:tcPr>
            <w:tcW w:w="555" w:type="pct"/>
            <w:tcBorders>
              <w:top w:val="single" w:sz="6" w:space="0" w:color="auto"/>
              <w:left w:val="single" w:sz="6" w:space="0" w:color="auto"/>
              <w:bottom w:val="single" w:sz="6" w:space="0" w:color="auto"/>
              <w:right w:val="single" w:sz="6" w:space="0" w:color="auto"/>
            </w:tcBorders>
            <w:vAlign w:val="center"/>
            <w:hideMark/>
          </w:tcPr>
          <w:p w14:paraId="670A4F57" w14:textId="77777777" w:rsidR="00DC5685" w:rsidRPr="00A34F10" w:rsidRDefault="00DC5685" w:rsidP="00DC5685">
            <w:pPr>
              <w:keepNext/>
              <w:keepLines/>
              <w:jc w:val="center"/>
              <w:rPr>
                <w:color w:val="000000"/>
                <w:sz w:val="20"/>
                <w:szCs w:val="20"/>
                <w:highlight w:val="yellow"/>
              </w:rPr>
            </w:pPr>
            <w:r w:rsidRPr="00A34F10">
              <w:rPr>
                <w:sz w:val="20"/>
                <w:szCs w:val="20"/>
              </w:rPr>
              <w:t>5.6*</w:t>
            </w:r>
          </w:p>
        </w:tc>
      </w:tr>
    </w:tbl>
    <w:p w14:paraId="409999F7" w14:textId="77777777" w:rsidR="00DC5685" w:rsidRPr="00A34F10" w:rsidRDefault="00DC5685" w:rsidP="00DC5685">
      <w:pPr>
        <w:keepNext/>
        <w:keepLines/>
        <w:jc w:val="both"/>
        <w:rPr>
          <w:sz w:val="18"/>
          <w:szCs w:val="18"/>
          <w:lang w:val="en-GB"/>
        </w:rPr>
      </w:pPr>
      <w:r w:rsidRPr="00A34F10">
        <w:rPr>
          <w:sz w:val="18"/>
          <w:szCs w:val="18"/>
          <w:lang w:val="en-GB"/>
        </w:rPr>
        <w:t>corr.: corrected mortality (according to schneider-Orelli 1947); abs.: absolute; OO: Other observations (e.g. remaining food, smaller body size, discolourations); Calculations were performed with non-rounded values;</w:t>
      </w:r>
    </w:p>
    <w:p w14:paraId="5FB468FA" w14:textId="77777777" w:rsidR="00DC5685" w:rsidRPr="00A34F10" w:rsidRDefault="00DC5685" w:rsidP="00DC5685">
      <w:pPr>
        <w:spacing w:after="360"/>
        <w:jc w:val="both"/>
        <w:rPr>
          <w:sz w:val="18"/>
          <w:szCs w:val="18"/>
          <w:lang w:val="en-GB"/>
        </w:rPr>
      </w:pPr>
      <w:r w:rsidRPr="00A34F10">
        <w:rPr>
          <w:sz w:val="18"/>
          <w:szCs w:val="18"/>
          <w:lang w:val="en-GB"/>
        </w:rPr>
        <w:t>* Statistically significant difference compared to the control (Fisher’s Exact Binomial Test and Step-down Cochran-Armitage Test Procedure)</w:t>
      </w:r>
    </w:p>
    <w:p w14:paraId="272C2D44" w14:textId="352AB6D6" w:rsidR="001805B3" w:rsidRDefault="00DC5685" w:rsidP="00DC5685">
      <w:pPr>
        <w:jc w:val="both"/>
        <w:rPr>
          <w:color w:val="000000"/>
          <w:lang w:val="en-GB"/>
        </w:rPr>
      </w:pPr>
      <w:r w:rsidRPr="00A34F10">
        <w:rPr>
          <w:color w:val="000000"/>
          <w:lang w:val="en-GB"/>
        </w:rPr>
        <w:t xml:space="preserve">Toxicity endpoints for </w:t>
      </w:r>
      <w:r w:rsidRPr="003B09BC">
        <w:rPr>
          <w:szCs w:val="24"/>
          <w:lang w:val="en-GB"/>
        </w:rPr>
        <w:t>BAS 743 02 F</w:t>
      </w:r>
      <w:r w:rsidRPr="00A34F10">
        <w:rPr>
          <w:color w:val="000000"/>
          <w:lang w:val="en-GB"/>
        </w:rPr>
        <w:t xml:space="preserve"> are summarised in following table.</w:t>
      </w:r>
    </w:p>
    <w:p w14:paraId="64D15980" w14:textId="77777777" w:rsidR="00DC5685" w:rsidRPr="00A34F10" w:rsidRDefault="00DC5685" w:rsidP="00DC5685">
      <w:pPr>
        <w:jc w:val="both"/>
        <w:rPr>
          <w:color w:val="000000"/>
          <w:highlight w:val="yellow"/>
          <w:lang w:val="en-GB"/>
        </w:rPr>
      </w:pPr>
    </w:p>
    <w:p w14:paraId="4E636E7F" w14:textId="0935B14C" w:rsidR="00DC5685" w:rsidRPr="00A34F10" w:rsidRDefault="001805B3" w:rsidP="001805B3">
      <w:pPr>
        <w:pStyle w:val="Legenda"/>
      </w:pPr>
      <w:r>
        <w:t xml:space="preserve">Table A </w:t>
      </w:r>
      <w:r>
        <w:fldChar w:fldCharType="begin"/>
      </w:r>
      <w:r>
        <w:instrText xml:space="preserve"> SEQ Table_A \* ARABIC </w:instrText>
      </w:r>
      <w:r>
        <w:fldChar w:fldCharType="separate"/>
      </w:r>
      <w:r w:rsidR="006F0F3B">
        <w:rPr>
          <w:noProof/>
        </w:rPr>
        <w:t>58</w:t>
      </w:r>
      <w:r>
        <w:fldChar w:fldCharType="end"/>
      </w:r>
      <w:r w:rsidR="00DC5685" w:rsidRPr="00A34F10">
        <w:t>:</w:t>
      </w:r>
      <w:r w:rsidR="00772D00" w:rsidRPr="00A34F10">
        <w:tab/>
      </w:r>
      <w:r w:rsidR="00DC5685" w:rsidRPr="00A34F10">
        <w:t xml:space="preserve"> Calculated endpoints of the repeated exposure larvae toxicity test</w:t>
      </w:r>
    </w:p>
    <w:tbl>
      <w:tblPr>
        <w:tblStyle w:val="NormaleTabelle1"/>
        <w:tblW w:w="5000" w:type="pct"/>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082"/>
        <w:gridCol w:w="4150"/>
        <w:gridCol w:w="3106"/>
      </w:tblGrid>
      <w:tr w:rsidR="00DC5685" w:rsidRPr="00A34F10" w14:paraId="06422B3B" w14:textId="77777777" w:rsidTr="000470C3">
        <w:trPr>
          <w:jc w:val="center"/>
        </w:trPr>
        <w:tc>
          <w:tcPr>
            <w:tcW w:w="1115" w:type="pct"/>
            <w:tcBorders>
              <w:top w:val="single" w:sz="6" w:space="0" w:color="auto"/>
              <w:left w:val="single" w:sz="6" w:space="0" w:color="auto"/>
              <w:bottom w:val="single" w:sz="6" w:space="0" w:color="auto"/>
              <w:right w:val="single" w:sz="6" w:space="0" w:color="auto"/>
            </w:tcBorders>
            <w:vAlign w:val="center"/>
            <w:hideMark/>
          </w:tcPr>
          <w:p w14:paraId="5792E6A9"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Treatment</w:t>
            </w:r>
          </w:p>
        </w:tc>
        <w:tc>
          <w:tcPr>
            <w:tcW w:w="2222" w:type="pct"/>
            <w:tcBorders>
              <w:top w:val="single" w:sz="6" w:space="0" w:color="auto"/>
              <w:left w:val="single" w:sz="6" w:space="0" w:color="auto"/>
              <w:bottom w:val="single" w:sz="6" w:space="0" w:color="auto"/>
              <w:right w:val="single" w:sz="6" w:space="0" w:color="auto"/>
            </w:tcBorders>
            <w:vAlign w:val="center"/>
            <w:hideMark/>
          </w:tcPr>
          <w:p w14:paraId="39A7CA25"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Endpoint: larval mortality</w:t>
            </w:r>
          </w:p>
        </w:tc>
        <w:tc>
          <w:tcPr>
            <w:tcW w:w="1663" w:type="pct"/>
            <w:tcBorders>
              <w:top w:val="single" w:sz="6" w:space="0" w:color="auto"/>
              <w:left w:val="single" w:sz="6" w:space="0" w:color="auto"/>
              <w:bottom w:val="single" w:sz="6" w:space="0" w:color="auto"/>
              <w:right w:val="single" w:sz="6" w:space="0" w:color="auto"/>
            </w:tcBorders>
            <w:vAlign w:val="center"/>
            <w:hideMark/>
          </w:tcPr>
          <w:p w14:paraId="7502C4BB"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D8 [product]</w:t>
            </w:r>
          </w:p>
        </w:tc>
      </w:tr>
      <w:tr w:rsidR="00DC5685" w:rsidRPr="00A34F10" w14:paraId="58A26FEA" w14:textId="77777777" w:rsidTr="000470C3">
        <w:trPr>
          <w:jc w:val="center"/>
        </w:trPr>
        <w:tc>
          <w:tcPr>
            <w:tcW w:w="1115" w:type="pct"/>
            <w:vMerge w:val="restart"/>
            <w:tcBorders>
              <w:top w:val="single" w:sz="6" w:space="0" w:color="auto"/>
              <w:left w:val="single" w:sz="6" w:space="0" w:color="auto"/>
              <w:bottom w:val="single" w:sz="6" w:space="0" w:color="auto"/>
              <w:right w:val="single" w:sz="6" w:space="0" w:color="auto"/>
            </w:tcBorders>
            <w:vAlign w:val="center"/>
            <w:hideMark/>
          </w:tcPr>
          <w:p w14:paraId="33811C20" w14:textId="77777777" w:rsidR="00DC5685" w:rsidRPr="00A34F10" w:rsidRDefault="00DC5685" w:rsidP="00DC5685">
            <w:pPr>
              <w:keepNext/>
              <w:autoSpaceDE w:val="0"/>
              <w:autoSpaceDN w:val="0"/>
              <w:spacing w:before="60" w:after="60"/>
              <w:ind w:left="57" w:right="57"/>
              <w:jc w:val="center"/>
              <w:rPr>
                <w:color w:val="000000"/>
                <w:sz w:val="20"/>
                <w:szCs w:val="20"/>
              </w:rPr>
            </w:pPr>
            <w:r w:rsidRPr="00A34F10">
              <w:rPr>
                <w:color w:val="000000"/>
                <w:sz w:val="20"/>
                <w:szCs w:val="20"/>
              </w:rPr>
              <w:t>Test item doses</w:t>
            </w:r>
          </w:p>
        </w:tc>
        <w:tc>
          <w:tcPr>
            <w:tcW w:w="2222" w:type="pct"/>
            <w:tcBorders>
              <w:top w:val="single" w:sz="6" w:space="0" w:color="auto"/>
              <w:left w:val="single" w:sz="6" w:space="0" w:color="auto"/>
              <w:bottom w:val="single" w:sz="6" w:space="0" w:color="auto"/>
              <w:right w:val="single" w:sz="6" w:space="0" w:color="auto"/>
            </w:tcBorders>
            <w:vAlign w:val="center"/>
            <w:hideMark/>
          </w:tcPr>
          <w:p w14:paraId="7B20B91C" w14:textId="77777777" w:rsidR="00DC5685" w:rsidRPr="00A34F10" w:rsidRDefault="00DC5685" w:rsidP="00DC5685">
            <w:pPr>
              <w:keepNext/>
              <w:jc w:val="center"/>
              <w:rPr>
                <w:color w:val="000000"/>
                <w:sz w:val="20"/>
                <w:szCs w:val="20"/>
              </w:rPr>
            </w:pPr>
            <w:r w:rsidRPr="00A34F10">
              <w:rPr>
                <w:color w:val="000000"/>
                <w:sz w:val="20"/>
                <w:szCs w:val="20"/>
              </w:rPr>
              <w:t>LD</w:t>
            </w:r>
            <w:r w:rsidRPr="00A34F10">
              <w:rPr>
                <w:sz w:val="20"/>
                <w:szCs w:val="20"/>
                <w:vertAlign w:val="subscript"/>
              </w:rPr>
              <w:t>50</w:t>
            </w:r>
            <w:r w:rsidRPr="00A34F10">
              <w:rPr>
                <w:color w:val="000000"/>
                <w:sz w:val="20"/>
                <w:szCs w:val="20"/>
              </w:rPr>
              <w:t xml:space="preserve"> [µg /larva] </w:t>
            </w:r>
            <w:r w:rsidRPr="00A34F10">
              <w:rPr>
                <w:color w:val="000000"/>
                <w:sz w:val="20"/>
                <w:szCs w:val="20"/>
                <w:vertAlign w:val="superscript"/>
              </w:rPr>
              <w:t>3)</w:t>
            </w:r>
          </w:p>
        </w:tc>
        <w:tc>
          <w:tcPr>
            <w:tcW w:w="1663" w:type="pct"/>
            <w:tcBorders>
              <w:top w:val="single" w:sz="6" w:space="0" w:color="auto"/>
              <w:left w:val="single" w:sz="6" w:space="0" w:color="auto"/>
              <w:bottom w:val="single" w:sz="6" w:space="0" w:color="auto"/>
              <w:right w:val="single" w:sz="6" w:space="0" w:color="auto"/>
            </w:tcBorders>
            <w:vAlign w:val="center"/>
            <w:hideMark/>
          </w:tcPr>
          <w:p w14:paraId="316A5DEF" w14:textId="77777777" w:rsidR="00DC5685" w:rsidRPr="00A34F10" w:rsidRDefault="00DC5685" w:rsidP="00DC5685">
            <w:pPr>
              <w:keepNext/>
              <w:jc w:val="center"/>
              <w:rPr>
                <w:color w:val="000000"/>
                <w:sz w:val="20"/>
                <w:szCs w:val="20"/>
              </w:rPr>
            </w:pPr>
            <w:r w:rsidRPr="00A34F10">
              <w:rPr>
                <w:rFonts w:eastAsia="MS Mincho"/>
                <w:snapToGrid w:val="0"/>
                <w:sz w:val="20"/>
                <w:szCs w:val="20"/>
              </w:rPr>
              <w:t>&gt; 352.2</w:t>
            </w:r>
          </w:p>
        </w:tc>
      </w:tr>
      <w:tr w:rsidR="00DC5685" w:rsidRPr="00A34F10" w14:paraId="48541230"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6AAC58E5" w14:textId="77777777" w:rsidR="00DC5685" w:rsidRPr="00A34F10" w:rsidRDefault="00DC5685" w:rsidP="00DC5685">
            <w:pPr>
              <w:rPr>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70DB30D1" w14:textId="77777777" w:rsidR="00DC5685" w:rsidRPr="00A34F10" w:rsidRDefault="00DC5685" w:rsidP="00DC5685">
            <w:pPr>
              <w:keepNext/>
              <w:jc w:val="center"/>
              <w:rPr>
                <w:color w:val="000000"/>
                <w:sz w:val="20"/>
                <w:szCs w:val="20"/>
              </w:rPr>
            </w:pPr>
            <w:r w:rsidRPr="00A34F10">
              <w:rPr>
                <w:color w:val="000000"/>
                <w:sz w:val="20"/>
                <w:szCs w:val="20"/>
              </w:rPr>
              <w:t xml:space="preserve">NOED [µg /larva] </w:t>
            </w:r>
            <w:r w:rsidRPr="00A34F10">
              <w:rPr>
                <w:color w:val="000000"/>
                <w:sz w:val="20"/>
                <w:szCs w:val="20"/>
                <w:vertAlign w:val="superscript"/>
              </w:rPr>
              <w:t>1)</w:t>
            </w:r>
          </w:p>
        </w:tc>
        <w:tc>
          <w:tcPr>
            <w:tcW w:w="1663" w:type="pct"/>
            <w:tcBorders>
              <w:top w:val="single" w:sz="6" w:space="0" w:color="auto"/>
              <w:left w:val="single" w:sz="6" w:space="0" w:color="auto"/>
              <w:bottom w:val="single" w:sz="6" w:space="0" w:color="auto"/>
              <w:right w:val="single" w:sz="6" w:space="0" w:color="auto"/>
            </w:tcBorders>
            <w:vAlign w:val="center"/>
            <w:hideMark/>
          </w:tcPr>
          <w:p w14:paraId="23ECA3C9" w14:textId="77777777" w:rsidR="00DC5685" w:rsidRPr="00A34F10" w:rsidRDefault="00DC5685" w:rsidP="00DC5685">
            <w:pPr>
              <w:keepNext/>
              <w:jc w:val="center"/>
              <w:rPr>
                <w:color w:val="000000"/>
                <w:sz w:val="20"/>
                <w:szCs w:val="20"/>
              </w:rPr>
            </w:pPr>
            <w:r w:rsidRPr="00A34F10">
              <w:rPr>
                <w:rFonts w:eastAsia="MS Mincho"/>
                <w:snapToGrid w:val="0"/>
                <w:sz w:val="20"/>
                <w:szCs w:val="20"/>
              </w:rPr>
              <w:t>≥ 352.2</w:t>
            </w:r>
          </w:p>
        </w:tc>
      </w:tr>
      <w:tr w:rsidR="00DC5685" w:rsidRPr="00A34F10" w14:paraId="5503BF2F" w14:textId="77777777" w:rsidTr="000470C3">
        <w:trPr>
          <w:jc w:val="center"/>
        </w:trPr>
        <w:tc>
          <w:tcPr>
            <w:tcW w:w="1115" w:type="pct"/>
            <w:vMerge w:val="restart"/>
            <w:tcBorders>
              <w:top w:val="single" w:sz="6" w:space="0" w:color="auto"/>
              <w:left w:val="single" w:sz="6" w:space="0" w:color="auto"/>
              <w:bottom w:val="single" w:sz="6" w:space="0" w:color="auto"/>
              <w:right w:val="single" w:sz="6" w:space="0" w:color="auto"/>
            </w:tcBorders>
            <w:vAlign w:val="center"/>
            <w:hideMark/>
          </w:tcPr>
          <w:p w14:paraId="5C4A8FCE" w14:textId="77777777" w:rsidR="00DC5685" w:rsidRPr="00A34F10" w:rsidRDefault="00DC5685" w:rsidP="00DC5685">
            <w:pPr>
              <w:keepNext/>
              <w:autoSpaceDE w:val="0"/>
              <w:autoSpaceDN w:val="0"/>
              <w:spacing w:before="60" w:after="60"/>
              <w:ind w:left="57" w:right="57"/>
              <w:jc w:val="center"/>
              <w:rPr>
                <w:color w:val="000000"/>
                <w:sz w:val="20"/>
                <w:szCs w:val="20"/>
              </w:rPr>
            </w:pPr>
            <w:r w:rsidRPr="00A34F10">
              <w:rPr>
                <w:color w:val="000000"/>
                <w:sz w:val="20"/>
                <w:szCs w:val="20"/>
              </w:rPr>
              <w:t xml:space="preserve">Test item </w:t>
            </w:r>
            <w:r w:rsidRPr="00A34F10">
              <w:rPr>
                <w:color w:val="000000"/>
                <w:sz w:val="20"/>
                <w:szCs w:val="20"/>
              </w:rPr>
              <w:br/>
              <w:t>concentrations</w:t>
            </w:r>
          </w:p>
        </w:tc>
        <w:tc>
          <w:tcPr>
            <w:tcW w:w="2222" w:type="pct"/>
            <w:tcBorders>
              <w:top w:val="single" w:sz="6" w:space="0" w:color="auto"/>
              <w:left w:val="single" w:sz="6" w:space="0" w:color="auto"/>
              <w:bottom w:val="single" w:sz="6" w:space="0" w:color="auto"/>
              <w:right w:val="single" w:sz="6" w:space="0" w:color="auto"/>
            </w:tcBorders>
            <w:vAlign w:val="center"/>
            <w:hideMark/>
          </w:tcPr>
          <w:p w14:paraId="337BBFE8" w14:textId="77777777" w:rsidR="00DC5685" w:rsidRPr="00A34F10" w:rsidRDefault="00DC5685" w:rsidP="00DC5685">
            <w:pPr>
              <w:keepNext/>
              <w:jc w:val="center"/>
              <w:rPr>
                <w:color w:val="000000"/>
                <w:sz w:val="20"/>
                <w:szCs w:val="20"/>
              </w:rPr>
            </w:pPr>
            <w:r w:rsidRPr="00A34F10">
              <w:rPr>
                <w:color w:val="000000"/>
                <w:sz w:val="20"/>
                <w:szCs w:val="20"/>
              </w:rPr>
              <w:t>LC</w:t>
            </w:r>
            <w:r w:rsidRPr="00A34F10">
              <w:rPr>
                <w:sz w:val="20"/>
                <w:szCs w:val="20"/>
                <w:vertAlign w:val="subscript"/>
              </w:rPr>
              <w:t>50</w:t>
            </w:r>
            <w:r w:rsidRPr="00A34F10">
              <w:rPr>
                <w:color w:val="000000"/>
                <w:sz w:val="20"/>
                <w:szCs w:val="20"/>
              </w:rPr>
              <w:t xml:space="preserve"> [mg /kg food] </w:t>
            </w:r>
            <w:r w:rsidRPr="00A34F10">
              <w:rPr>
                <w:color w:val="000000"/>
                <w:sz w:val="20"/>
                <w:szCs w:val="20"/>
                <w:vertAlign w:val="superscript"/>
              </w:rPr>
              <w:t>3)</w:t>
            </w:r>
          </w:p>
        </w:tc>
        <w:tc>
          <w:tcPr>
            <w:tcW w:w="1663" w:type="pct"/>
            <w:tcBorders>
              <w:top w:val="single" w:sz="6" w:space="0" w:color="auto"/>
              <w:left w:val="single" w:sz="6" w:space="0" w:color="auto"/>
              <w:bottom w:val="single" w:sz="6" w:space="0" w:color="auto"/>
              <w:right w:val="single" w:sz="6" w:space="0" w:color="auto"/>
            </w:tcBorders>
            <w:vAlign w:val="center"/>
            <w:hideMark/>
          </w:tcPr>
          <w:p w14:paraId="2D7DFA9A" w14:textId="77777777" w:rsidR="00DC5685" w:rsidRPr="00A34F10" w:rsidRDefault="00DC5685" w:rsidP="00DC5685">
            <w:pPr>
              <w:keepNext/>
              <w:jc w:val="center"/>
              <w:rPr>
                <w:color w:val="000000"/>
                <w:sz w:val="20"/>
                <w:szCs w:val="20"/>
              </w:rPr>
            </w:pPr>
            <w:r w:rsidRPr="00A34F10">
              <w:rPr>
                <w:rFonts w:eastAsia="MS Mincho"/>
                <w:snapToGrid w:val="0"/>
                <w:sz w:val="20"/>
                <w:szCs w:val="20"/>
              </w:rPr>
              <w:t>&gt; 2226.1</w:t>
            </w:r>
          </w:p>
        </w:tc>
      </w:tr>
      <w:tr w:rsidR="00DC5685" w:rsidRPr="00A34F10" w14:paraId="0B2705D9"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0BCA54BB" w14:textId="77777777" w:rsidR="00DC5685" w:rsidRPr="00A34F10" w:rsidRDefault="00DC5685" w:rsidP="00DC5685">
            <w:pPr>
              <w:rPr>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6C213790" w14:textId="77777777" w:rsidR="00DC5685" w:rsidRPr="00A34F10" w:rsidRDefault="00DC5685" w:rsidP="00DC5685">
            <w:pPr>
              <w:keepNext/>
              <w:jc w:val="center"/>
              <w:rPr>
                <w:color w:val="000000"/>
                <w:sz w:val="20"/>
                <w:szCs w:val="20"/>
              </w:rPr>
            </w:pPr>
            <w:r w:rsidRPr="00A34F10">
              <w:rPr>
                <w:color w:val="000000"/>
                <w:sz w:val="20"/>
                <w:szCs w:val="20"/>
              </w:rPr>
              <w:t xml:space="preserve">NOEC [mg /kg food] </w:t>
            </w:r>
            <w:r w:rsidRPr="00A34F10">
              <w:rPr>
                <w:color w:val="000000"/>
                <w:sz w:val="20"/>
                <w:szCs w:val="20"/>
                <w:vertAlign w:val="superscript"/>
              </w:rPr>
              <w:t>1)</w:t>
            </w:r>
          </w:p>
        </w:tc>
        <w:tc>
          <w:tcPr>
            <w:tcW w:w="1663" w:type="pct"/>
            <w:tcBorders>
              <w:top w:val="single" w:sz="6" w:space="0" w:color="auto"/>
              <w:left w:val="single" w:sz="6" w:space="0" w:color="auto"/>
              <w:bottom w:val="single" w:sz="6" w:space="0" w:color="auto"/>
              <w:right w:val="single" w:sz="6" w:space="0" w:color="auto"/>
            </w:tcBorders>
            <w:vAlign w:val="center"/>
            <w:hideMark/>
          </w:tcPr>
          <w:p w14:paraId="515D80E7" w14:textId="77777777" w:rsidR="00DC5685" w:rsidRPr="00A34F10" w:rsidRDefault="00DC5685" w:rsidP="00DC5685">
            <w:pPr>
              <w:keepNext/>
              <w:jc w:val="center"/>
              <w:rPr>
                <w:color w:val="000000"/>
                <w:sz w:val="20"/>
                <w:szCs w:val="20"/>
              </w:rPr>
            </w:pPr>
            <w:r w:rsidRPr="00A34F10">
              <w:rPr>
                <w:rFonts w:eastAsia="MS Mincho"/>
                <w:snapToGrid w:val="0"/>
                <w:sz w:val="20"/>
                <w:szCs w:val="20"/>
              </w:rPr>
              <w:t>≥ 2226.1</w:t>
            </w:r>
          </w:p>
        </w:tc>
      </w:tr>
      <w:tr w:rsidR="00DC5685" w:rsidRPr="00A34F10" w14:paraId="5034AB66" w14:textId="77777777" w:rsidTr="000470C3">
        <w:trPr>
          <w:jc w:val="center"/>
        </w:trPr>
        <w:tc>
          <w:tcPr>
            <w:tcW w:w="1115" w:type="pct"/>
            <w:tcBorders>
              <w:top w:val="single" w:sz="6" w:space="0" w:color="auto"/>
              <w:left w:val="single" w:sz="6" w:space="0" w:color="auto"/>
              <w:bottom w:val="single" w:sz="6" w:space="0" w:color="auto"/>
              <w:right w:val="single" w:sz="6" w:space="0" w:color="auto"/>
            </w:tcBorders>
            <w:vAlign w:val="center"/>
            <w:hideMark/>
          </w:tcPr>
          <w:p w14:paraId="731806D5"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Treatment</w:t>
            </w:r>
          </w:p>
        </w:tc>
        <w:tc>
          <w:tcPr>
            <w:tcW w:w="2222" w:type="pct"/>
            <w:tcBorders>
              <w:top w:val="single" w:sz="6" w:space="0" w:color="auto"/>
              <w:left w:val="single" w:sz="6" w:space="0" w:color="auto"/>
              <w:bottom w:val="single" w:sz="6" w:space="0" w:color="auto"/>
              <w:right w:val="single" w:sz="6" w:space="0" w:color="auto"/>
            </w:tcBorders>
            <w:vAlign w:val="center"/>
            <w:hideMark/>
          </w:tcPr>
          <w:p w14:paraId="7BCB11A3"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 xml:space="preserve">Endpoint: Successful adult </w:t>
            </w:r>
            <w:r w:rsidRPr="00A34F10">
              <w:rPr>
                <w:b/>
                <w:bCs/>
                <w:color w:val="000000"/>
                <w:sz w:val="20"/>
                <w:szCs w:val="20"/>
              </w:rPr>
              <w:br/>
              <w:t>emergence</w:t>
            </w:r>
          </w:p>
        </w:tc>
        <w:tc>
          <w:tcPr>
            <w:tcW w:w="1663" w:type="pct"/>
            <w:tcBorders>
              <w:top w:val="single" w:sz="6" w:space="0" w:color="auto"/>
              <w:left w:val="single" w:sz="6" w:space="0" w:color="auto"/>
              <w:bottom w:val="single" w:sz="6" w:space="0" w:color="auto"/>
              <w:right w:val="single" w:sz="6" w:space="0" w:color="auto"/>
            </w:tcBorders>
            <w:vAlign w:val="center"/>
            <w:hideMark/>
          </w:tcPr>
          <w:p w14:paraId="38708896" w14:textId="77777777" w:rsidR="00DC5685" w:rsidRPr="00A34F10" w:rsidRDefault="00DC5685" w:rsidP="00DC5685">
            <w:pPr>
              <w:keepNext/>
              <w:autoSpaceDE w:val="0"/>
              <w:autoSpaceDN w:val="0"/>
              <w:spacing w:before="60" w:after="60"/>
              <w:ind w:left="57" w:right="57"/>
              <w:jc w:val="center"/>
              <w:rPr>
                <w:b/>
                <w:bCs/>
                <w:color w:val="000000"/>
                <w:sz w:val="20"/>
                <w:szCs w:val="20"/>
              </w:rPr>
            </w:pPr>
            <w:r w:rsidRPr="00A34F10">
              <w:rPr>
                <w:b/>
                <w:bCs/>
                <w:color w:val="000000"/>
                <w:sz w:val="20"/>
                <w:szCs w:val="20"/>
              </w:rPr>
              <w:t>Up to D22 [product]</w:t>
            </w:r>
          </w:p>
        </w:tc>
      </w:tr>
      <w:tr w:rsidR="00DC5685" w:rsidRPr="00A34F10" w14:paraId="264A21B4" w14:textId="77777777" w:rsidTr="000470C3">
        <w:trPr>
          <w:jc w:val="center"/>
        </w:trPr>
        <w:tc>
          <w:tcPr>
            <w:tcW w:w="1115" w:type="pct"/>
            <w:vMerge w:val="restart"/>
            <w:tcBorders>
              <w:top w:val="single" w:sz="6" w:space="0" w:color="auto"/>
              <w:left w:val="single" w:sz="6" w:space="0" w:color="auto"/>
              <w:bottom w:val="single" w:sz="6" w:space="0" w:color="auto"/>
              <w:right w:val="single" w:sz="6" w:space="0" w:color="auto"/>
            </w:tcBorders>
            <w:vAlign w:val="center"/>
            <w:hideMark/>
          </w:tcPr>
          <w:p w14:paraId="0FA037C8" w14:textId="77777777" w:rsidR="00DC5685" w:rsidRPr="00A34F10" w:rsidRDefault="00DC5685" w:rsidP="00DC5685">
            <w:pPr>
              <w:keepNext/>
              <w:autoSpaceDE w:val="0"/>
              <w:autoSpaceDN w:val="0"/>
              <w:spacing w:before="60" w:after="60"/>
              <w:ind w:left="57" w:right="57"/>
              <w:jc w:val="center"/>
              <w:rPr>
                <w:color w:val="000000"/>
                <w:sz w:val="20"/>
                <w:szCs w:val="20"/>
              </w:rPr>
            </w:pPr>
            <w:r w:rsidRPr="00A34F10">
              <w:rPr>
                <w:color w:val="000000"/>
                <w:sz w:val="20"/>
                <w:szCs w:val="20"/>
              </w:rPr>
              <w:t>Test item doses</w:t>
            </w:r>
          </w:p>
        </w:tc>
        <w:tc>
          <w:tcPr>
            <w:tcW w:w="2222" w:type="pct"/>
            <w:tcBorders>
              <w:top w:val="single" w:sz="6" w:space="0" w:color="auto"/>
              <w:left w:val="single" w:sz="6" w:space="0" w:color="auto"/>
              <w:bottom w:val="single" w:sz="6" w:space="0" w:color="auto"/>
              <w:right w:val="single" w:sz="6" w:space="0" w:color="auto"/>
            </w:tcBorders>
            <w:vAlign w:val="center"/>
            <w:hideMark/>
          </w:tcPr>
          <w:p w14:paraId="1088B153" w14:textId="77777777" w:rsidR="00DC5685" w:rsidRPr="00A34F10" w:rsidRDefault="00DC5685" w:rsidP="00DC5685">
            <w:pPr>
              <w:keepNext/>
              <w:jc w:val="center"/>
              <w:rPr>
                <w:color w:val="000000"/>
                <w:sz w:val="20"/>
                <w:szCs w:val="20"/>
              </w:rPr>
            </w:pPr>
            <w:r w:rsidRPr="00A34F10">
              <w:rPr>
                <w:color w:val="000000"/>
                <w:sz w:val="20"/>
                <w:szCs w:val="20"/>
              </w:rPr>
              <w:t>ED</w:t>
            </w:r>
            <w:r w:rsidRPr="00A34F10">
              <w:rPr>
                <w:sz w:val="20"/>
                <w:szCs w:val="20"/>
                <w:vertAlign w:val="subscript"/>
              </w:rPr>
              <w:t>50</w:t>
            </w:r>
            <w:r w:rsidRPr="00A34F10">
              <w:rPr>
                <w:color w:val="000000"/>
                <w:sz w:val="20"/>
                <w:szCs w:val="20"/>
              </w:rPr>
              <w:t xml:space="preserve"> [µg /larva] </w:t>
            </w:r>
            <w:r w:rsidRPr="00A34F10">
              <w:rPr>
                <w:color w:val="000000"/>
                <w:sz w:val="20"/>
                <w:szCs w:val="20"/>
                <w:vertAlign w:val="superscript"/>
              </w:rPr>
              <w:t xml:space="preserve">4) </w:t>
            </w:r>
            <w:r w:rsidRPr="00A34F10">
              <w:rPr>
                <w:color w:val="000000"/>
                <w:sz w:val="20"/>
                <w:szCs w:val="20"/>
              </w:rPr>
              <w:t>(95%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6707836F" w14:textId="77777777" w:rsidR="00DC5685" w:rsidRPr="00A34F10" w:rsidRDefault="00DC5685" w:rsidP="00DC5685">
            <w:pPr>
              <w:keepNext/>
              <w:jc w:val="center"/>
              <w:rPr>
                <w:color w:val="000000"/>
                <w:sz w:val="20"/>
                <w:szCs w:val="20"/>
              </w:rPr>
            </w:pPr>
            <w:r w:rsidRPr="00A34F10">
              <w:rPr>
                <w:rFonts w:eastAsia="MS Mincho"/>
                <w:snapToGrid w:val="0"/>
                <w:sz w:val="20"/>
                <w:szCs w:val="20"/>
              </w:rPr>
              <w:t>&gt; 352.2</w:t>
            </w:r>
          </w:p>
        </w:tc>
      </w:tr>
      <w:tr w:rsidR="00DC5685" w:rsidRPr="00A34F10" w14:paraId="20A70F93"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04FBAAD8" w14:textId="77777777" w:rsidR="00DC5685" w:rsidRPr="00A34F10" w:rsidRDefault="00DC5685" w:rsidP="00DC5685">
            <w:pPr>
              <w:rPr>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45D5D9A4" w14:textId="77777777" w:rsidR="00DC5685" w:rsidRPr="00A34F10" w:rsidRDefault="00DC5685" w:rsidP="00DC5685">
            <w:pPr>
              <w:keepNext/>
              <w:jc w:val="center"/>
              <w:rPr>
                <w:color w:val="000000"/>
                <w:sz w:val="20"/>
                <w:szCs w:val="20"/>
              </w:rPr>
            </w:pPr>
            <w:r w:rsidRPr="00A34F10">
              <w:rPr>
                <w:color w:val="000000"/>
                <w:sz w:val="20"/>
                <w:szCs w:val="20"/>
              </w:rPr>
              <w:t>ED</w:t>
            </w:r>
            <w:r w:rsidRPr="00A34F10">
              <w:rPr>
                <w:sz w:val="20"/>
                <w:szCs w:val="20"/>
                <w:vertAlign w:val="subscript"/>
              </w:rPr>
              <w:t>20</w:t>
            </w:r>
            <w:r w:rsidRPr="00A34F10">
              <w:rPr>
                <w:color w:val="000000"/>
                <w:sz w:val="20"/>
                <w:szCs w:val="20"/>
              </w:rPr>
              <w:t xml:space="preserve"> [µg /larva] </w:t>
            </w:r>
            <w:r w:rsidRPr="00A34F10">
              <w:rPr>
                <w:color w:val="000000"/>
                <w:sz w:val="20"/>
                <w:szCs w:val="20"/>
                <w:vertAlign w:val="superscript"/>
              </w:rPr>
              <w:t xml:space="preserve">4 </w:t>
            </w:r>
            <w:r w:rsidRPr="00A34F10">
              <w:rPr>
                <w:color w:val="000000"/>
                <w:sz w:val="20"/>
                <w:szCs w:val="20"/>
              </w:rPr>
              <w:t>(95%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380B32C2" w14:textId="77777777" w:rsidR="00DC5685" w:rsidRPr="00A34F10" w:rsidRDefault="00DC5685" w:rsidP="00DC5685">
            <w:pPr>
              <w:keepNext/>
              <w:jc w:val="center"/>
              <w:rPr>
                <w:color w:val="000000"/>
                <w:sz w:val="20"/>
                <w:szCs w:val="20"/>
              </w:rPr>
            </w:pPr>
            <w:r w:rsidRPr="00A34F10">
              <w:rPr>
                <w:rFonts w:eastAsia="MS Mincho"/>
                <w:snapToGrid w:val="0"/>
                <w:sz w:val="20"/>
                <w:szCs w:val="20"/>
              </w:rPr>
              <w:t>93.3 (60.4 – 144.2)</w:t>
            </w:r>
          </w:p>
        </w:tc>
      </w:tr>
      <w:tr w:rsidR="00DC5685" w:rsidRPr="00A34F10" w14:paraId="38CC669E"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440D3EBD" w14:textId="77777777" w:rsidR="00DC5685" w:rsidRPr="00A34F10" w:rsidRDefault="00DC5685" w:rsidP="00DC5685">
            <w:pPr>
              <w:rPr>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4B2CA550" w14:textId="77777777" w:rsidR="00DC5685" w:rsidRPr="00A34F10" w:rsidRDefault="00DC5685" w:rsidP="00DC5685">
            <w:pPr>
              <w:keepNext/>
              <w:jc w:val="center"/>
              <w:rPr>
                <w:color w:val="000000"/>
                <w:sz w:val="20"/>
                <w:szCs w:val="20"/>
              </w:rPr>
            </w:pPr>
            <w:r w:rsidRPr="00A34F10">
              <w:rPr>
                <w:color w:val="000000"/>
                <w:sz w:val="20"/>
                <w:szCs w:val="20"/>
              </w:rPr>
              <w:t>ED</w:t>
            </w:r>
            <w:r w:rsidRPr="00A34F10">
              <w:rPr>
                <w:sz w:val="20"/>
                <w:szCs w:val="20"/>
                <w:vertAlign w:val="subscript"/>
              </w:rPr>
              <w:t>10</w:t>
            </w:r>
            <w:r w:rsidRPr="00A34F10">
              <w:rPr>
                <w:color w:val="000000"/>
                <w:sz w:val="20"/>
                <w:szCs w:val="20"/>
              </w:rPr>
              <w:t xml:space="preserve"> [µg /larva] </w:t>
            </w:r>
            <w:r w:rsidRPr="00A34F10">
              <w:rPr>
                <w:color w:val="000000"/>
                <w:sz w:val="20"/>
                <w:szCs w:val="20"/>
                <w:vertAlign w:val="superscript"/>
              </w:rPr>
              <w:t xml:space="preserve">4) </w:t>
            </w:r>
            <w:r w:rsidRPr="00A34F10">
              <w:rPr>
                <w:color w:val="000000"/>
                <w:sz w:val="20"/>
                <w:szCs w:val="20"/>
              </w:rPr>
              <w:t>(95%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0ACEC0F0" w14:textId="77777777" w:rsidR="00DC5685" w:rsidRPr="00A34F10" w:rsidRDefault="00DC5685" w:rsidP="00DC5685">
            <w:pPr>
              <w:keepNext/>
              <w:jc w:val="center"/>
              <w:rPr>
                <w:color w:val="000000"/>
                <w:sz w:val="20"/>
                <w:szCs w:val="20"/>
              </w:rPr>
            </w:pPr>
            <w:r w:rsidRPr="00A34F10">
              <w:rPr>
                <w:rFonts w:eastAsia="MS Mincho"/>
                <w:snapToGrid w:val="0"/>
                <w:sz w:val="20"/>
                <w:szCs w:val="20"/>
              </w:rPr>
              <w:t>44.5 (25.6 – 77.6)</w:t>
            </w:r>
          </w:p>
        </w:tc>
      </w:tr>
      <w:tr w:rsidR="00DC5685" w:rsidRPr="00A34F10" w14:paraId="72745BB5"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1489946B" w14:textId="77777777" w:rsidR="00DC5685" w:rsidRPr="00A34F10" w:rsidRDefault="00DC5685" w:rsidP="00DC5685">
            <w:pPr>
              <w:rPr>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7D0F7840" w14:textId="77777777" w:rsidR="00DC5685" w:rsidRPr="00A34F10" w:rsidRDefault="00DC5685" w:rsidP="00DC5685">
            <w:pPr>
              <w:keepNext/>
              <w:jc w:val="center"/>
              <w:rPr>
                <w:color w:val="000000"/>
                <w:sz w:val="20"/>
                <w:szCs w:val="20"/>
              </w:rPr>
            </w:pPr>
            <w:r w:rsidRPr="00A34F10">
              <w:rPr>
                <w:color w:val="000000"/>
                <w:sz w:val="20"/>
                <w:szCs w:val="20"/>
              </w:rPr>
              <w:t xml:space="preserve">NOED [µg /larva] </w:t>
            </w:r>
            <w:r w:rsidRPr="00A34F10">
              <w:rPr>
                <w:color w:val="000000"/>
                <w:sz w:val="20"/>
                <w:szCs w:val="20"/>
                <w:vertAlign w:val="superscript"/>
              </w:rPr>
              <w:t>2)</w:t>
            </w:r>
          </w:p>
        </w:tc>
        <w:tc>
          <w:tcPr>
            <w:tcW w:w="1663" w:type="pct"/>
            <w:tcBorders>
              <w:top w:val="single" w:sz="6" w:space="0" w:color="auto"/>
              <w:left w:val="single" w:sz="6" w:space="0" w:color="auto"/>
              <w:bottom w:val="single" w:sz="6" w:space="0" w:color="auto"/>
              <w:right w:val="single" w:sz="6" w:space="0" w:color="auto"/>
            </w:tcBorders>
            <w:vAlign w:val="center"/>
            <w:hideMark/>
          </w:tcPr>
          <w:p w14:paraId="558535F8" w14:textId="77777777" w:rsidR="00DC5685" w:rsidRPr="00A34F10" w:rsidRDefault="00DC5685" w:rsidP="00DC5685">
            <w:pPr>
              <w:keepNext/>
              <w:jc w:val="center"/>
              <w:rPr>
                <w:color w:val="000000"/>
                <w:sz w:val="20"/>
                <w:szCs w:val="20"/>
              </w:rPr>
            </w:pPr>
            <w:r w:rsidRPr="00A34F10">
              <w:rPr>
                <w:rFonts w:eastAsia="MS Mincho"/>
                <w:snapToGrid w:val="0"/>
                <w:sz w:val="20"/>
                <w:szCs w:val="20"/>
              </w:rPr>
              <w:t>39.1</w:t>
            </w:r>
          </w:p>
        </w:tc>
      </w:tr>
      <w:tr w:rsidR="00DC5685" w:rsidRPr="00A34F10" w14:paraId="11EC32A6" w14:textId="77777777" w:rsidTr="000470C3">
        <w:trPr>
          <w:jc w:val="center"/>
        </w:trPr>
        <w:tc>
          <w:tcPr>
            <w:tcW w:w="1115" w:type="pct"/>
            <w:vMerge w:val="restart"/>
            <w:tcBorders>
              <w:top w:val="single" w:sz="6" w:space="0" w:color="auto"/>
              <w:left w:val="single" w:sz="6" w:space="0" w:color="auto"/>
              <w:bottom w:val="single" w:sz="6" w:space="0" w:color="auto"/>
              <w:right w:val="single" w:sz="6" w:space="0" w:color="auto"/>
            </w:tcBorders>
            <w:vAlign w:val="center"/>
            <w:hideMark/>
          </w:tcPr>
          <w:p w14:paraId="74EF2F2E" w14:textId="77777777" w:rsidR="00DC5685" w:rsidRPr="00A34F10" w:rsidRDefault="00DC5685" w:rsidP="00DC5685">
            <w:pPr>
              <w:keepNext/>
              <w:autoSpaceDE w:val="0"/>
              <w:autoSpaceDN w:val="0"/>
              <w:spacing w:before="60" w:after="60"/>
              <w:ind w:left="57" w:right="57"/>
              <w:jc w:val="center"/>
              <w:rPr>
                <w:color w:val="000000"/>
                <w:sz w:val="20"/>
                <w:szCs w:val="20"/>
              </w:rPr>
            </w:pPr>
            <w:r w:rsidRPr="00A34F10">
              <w:rPr>
                <w:color w:val="000000"/>
                <w:sz w:val="20"/>
                <w:szCs w:val="20"/>
              </w:rPr>
              <w:t xml:space="preserve">Test item </w:t>
            </w:r>
            <w:r w:rsidRPr="00A34F10">
              <w:rPr>
                <w:color w:val="000000"/>
                <w:sz w:val="20"/>
                <w:szCs w:val="20"/>
              </w:rPr>
              <w:br/>
              <w:t>concentrations</w:t>
            </w:r>
          </w:p>
        </w:tc>
        <w:tc>
          <w:tcPr>
            <w:tcW w:w="2222" w:type="pct"/>
            <w:tcBorders>
              <w:top w:val="single" w:sz="6" w:space="0" w:color="auto"/>
              <w:left w:val="single" w:sz="6" w:space="0" w:color="auto"/>
              <w:bottom w:val="single" w:sz="6" w:space="0" w:color="auto"/>
              <w:right w:val="single" w:sz="6" w:space="0" w:color="auto"/>
            </w:tcBorders>
            <w:vAlign w:val="center"/>
            <w:hideMark/>
          </w:tcPr>
          <w:p w14:paraId="16F1DE71" w14:textId="77777777" w:rsidR="00DC5685" w:rsidRPr="00A34F10" w:rsidRDefault="00DC5685" w:rsidP="00DC5685">
            <w:pPr>
              <w:keepNext/>
              <w:jc w:val="center"/>
              <w:rPr>
                <w:color w:val="000000"/>
                <w:sz w:val="20"/>
                <w:szCs w:val="20"/>
              </w:rPr>
            </w:pPr>
            <w:r w:rsidRPr="00A34F10">
              <w:rPr>
                <w:color w:val="000000"/>
                <w:sz w:val="20"/>
                <w:szCs w:val="20"/>
              </w:rPr>
              <w:t>EC</w:t>
            </w:r>
            <w:r w:rsidRPr="00A34F10">
              <w:rPr>
                <w:sz w:val="20"/>
                <w:szCs w:val="20"/>
                <w:vertAlign w:val="subscript"/>
              </w:rPr>
              <w:t>50</w:t>
            </w:r>
            <w:r w:rsidRPr="00A34F10">
              <w:rPr>
                <w:color w:val="000000"/>
                <w:sz w:val="20"/>
                <w:szCs w:val="20"/>
              </w:rPr>
              <w:t xml:space="preserve"> [mg /kg food] </w:t>
            </w:r>
            <w:r w:rsidRPr="00A34F10">
              <w:rPr>
                <w:color w:val="000000"/>
                <w:sz w:val="20"/>
                <w:szCs w:val="20"/>
                <w:vertAlign w:val="superscript"/>
              </w:rPr>
              <w:t xml:space="preserve">4) </w:t>
            </w:r>
            <w:r w:rsidRPr="00A34F10">
              <w:rPr>
                <w:color w:val="000000"/>
                <w:sz w:val="20"/>
                <w:szCs w:val="20"/>
              </w:rPr>
              <w:t>(95%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57EF49B9" w14:textId="77777777" w:rsidR="00DC5685" w:rsidRPr="00A34F10" w:rsidRDefault="00DC5685" w:rsidP="00DC5685">
            <w:pPr>
              <w:keepNext/>
              <w:jc w:val="center"/>
              <w:rPr>
                <w:color w:val="000000"/>
                <w:sz w:val="20"/>
                <w:szCs w:val="20"/>
              </w:rPr>
            </w:pPr>
            <w:r w:rsidRPr="00A34F10">
              <w:rPr>
                <w:rFonts w:eastAsia="MS Mincho"/>
                <w:snapToGrid w:val="0"/>
                <w:sz w:val="20"/>
                <w:szCs w:val="20"/>
              </w:rPr>
              <w:t>&gt; 2226.1</w:t>
            </w:r>
          </w:p>
        </w:tc>
      </w:tr>
      <w:tr w:rsidR="00DC5685" w:rsidRPr="00A34F10" w14:paraId="184B6C7E"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2D5FC81F" w14:textId="77777777" w:rsidR="00DC5685" w:rsidRPr="00A34F10" w:rsidRDefault="00DC5685" w:rsidP="00DC5685">
            <w:pPr>
              <w:rPr>
                <w:b/>
                <w:bCs/>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4E8D217B" w14:textId="77777777" w:rsidR="00DC5685" w:rsidRPr="00A34F10" w:rsidRDefault="00DC5685" w:rsidP="00DC5685">
            <w:pPr>
              <w:keepNext/>
              <w:jc w:val="center"/>
              <w:rPr>
                <w:color w:val="000000"/>
                <w:sz w:val="20"/>
                <w:szCs w:val="20"/>
              </w:rPr>
            </w:pPr>
            <w:r w:rsidRPr="00A34F10">
              <w:rPr>
                <w:color w:val="000000"/>
                <w:sz w:val="20"/>
                <w:szCs w:val="20"/>
              </w:rPr>
              <w:t>EC</w:t>
            </w:r>
            <w:r w:rsidRPr="00A34F10">
              <w:rPr>
                <w:sz w:val="20"/>
                <w:szCs w:val="20"/>
                <w:vertAlign w:val="subscript"/>
              </w:rPr>
              <w:t>20</w:t>
            </w:r>
            <w:r w:rsidRPr="00A34F10">
              <w:rPr>
                <w:color w:val="000000"/>
                <w:sz w:val="20"/>
                <w:szCs w:val="20"/>
              </w:rPr>
              <w:t xml:space="preserve"> [mg /kg food] </w:t>
            </w:r>
            <w:r w:rsidRPr="00A34F10">
              <w:rPr>
                <w:color w:val="000000"/>
                <w:sz w:val="20"/>
                <w:szCs w:val="20"/>
                <w:vertAlign w:val="superscript"/>
              </w:rPr>
              <w:t>4)</w:t>
            </w:r>
            <w:r w:rsidRPr="00A34F10">
              <w:rPr>
                <w:color w:val="000000"/>
                <w:sz w:val="20"/>
                <w:szCs w:val="20"/>
              </w:rPr>
              <w:t xml:space="preserve"> (95%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174A4BD2" w14:textId="77777777" w:rsidR="00DC5685" w:rsidRPr="00A34F10" w:rsidRDefault="00DC5685" w:rsidP="00DC5685">
            <w:pPr>
              <w:keepNext/>
              <w:jc w:val="center"/>
              <w:rPr>
                <w:color w:val="000000"/>
                <w:sz w:val="20"/>
                <w:szCs w:val="20"/>
              </w:rPr>
            </w:pPr>
            <w:r w:rsidRPr="00A34F10">
              <w:rPr>
                <w:rFonts w:eastAsia="MS Mincho"/>
                <w:snapToGrid w:val="0"/>
                <w:sz w:val="20"/>
                <w:szCs w:val="20"/>
              </w:rPr>
              <w:t>589.8 (381.8 – 911.2)</w:t>
            </w:r>
          </w:p>
        </w:tc>
      </w:tr>
      <w:tr w:rsidR="00DC5685" w:rsidRPr="00A34F10" w14:paraId="00CEAE48"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208DCFE7" w14:textId="77777777" w:rsidR="00DC5685" w:rsidRPr="00A34F10" w:rsidRDefault="00DC5685" w:rsidP="00DC5685">
            <w:pPr>
              <w:rPr>
                <w:b/>
                <w:bCs/>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7B6D983F" w14:textId="77777777" w:rsidR="00DC5685" w:rsidRPr="00A34F10" w:rsidRDefault="00DC5685" w:rsidP="00DC5685">
            <w:pPr>
              <w:keepNext/>
              <w:jc w:val="center"/>
              <w:rPr>
                <w:color w:val="000000"/>
                <w:sz w:val="20"/>
                <w:szCs w:val="20"/>
              </w:rPr>
            </w:pPr>
            <w:r w:rsidRPr="00A34F10">
              <w:rPr>
                <w:color w:val="000000"/>
                <w:sz w:val="20"/>
                <w:szCs w:val="20"/>
              </w:rPr>
              <w:t>EC</w:t>
            </w:r>
            <w:r w:rsidRPr="00A34F10">
              <w:rPr>
                <w:sz w:val="20"/>
                <w:szCs w:val="20"/>
                <w:vertAlign w:val="subscript"/>
              </w:rPr>
              <w:t>10</w:t>
            </w:r>
            <w:r w:rsidRPr="00A34F10">
              <w:rPr>
                <w:color w:val="000000"/>
                <w:sz w:val="20"/>
                <w:szCs w:val="20"/>
              </w:rPr>
              <w:t xml:space="preserve"> [mg /kg food] </w:t>
            </w:r>
            <w:r w:rsidRPr="00A34F10">
              <w:rPr>
                <w:color w:val="000000"/>
                <w:sz w:val="20"/>
                <w:szCs w:val="20"/>
                <w:vertAlign w:val="superscript"/>
              </w:rPr>
              <w:t>4)</w:t>
            </w:r>
            <w:r w:rsidRPr="00A34F10">
              <w:rPr>
                <w:color w:val="000000"/>
                <w:sz w:val="20"/>
                <w:szCs w:val="20"/>
              </w:rPr>
              <w:t xml:space="preserve"> (95% CL)</w:t>
            </w:r>
          </w:p>
        </w:tc>
        <w:tc>
          <w:tcPr>
            <w:tcW w:w="1663" w:type="pct"/>
            <w:tcBorders>
              <w:top w:val="single" w:sz="6" w:space="0" w:color="auto"/>
              <w:left w:val="single" w:sz="6" w:space="0" w:color="auto"/>
              <w:bottom w:val="single" w:sz="6" w:space="0" w:color="auto"/>
              <w:right w:val="single" w:sz="6" w:space="0" w:color="auto"/>
            </w:tcBorders>
            <w:vAlign w:val="center"/>
            <w:hideMark/>
          </w:tcPr>
          <w:p w14:paraId="3676A618" w14:textId="77777777" w:rsidR="00DC5685" w:rsidRPr="00A34F10" w:rsidRDefault="00DC5685" w:rsidP="00DC5685">
            <w:pPr>
              <w:keepNext/>
              <w:jc w:val="center"/>
              <w:rPr>
                <w:color w:val="000000"/>
                <w:sz w:val="20"/>
                <w:szCs w:val="20"/>
              </w:rPr>
            </w:pPr>
            <w:r w:rsidRPr="00A34F10">
              <w:rPr>
                <w:rFonts w:eastAsia="MS Mincho"/>
                <w:snapToGrid w:val="0"/>
                <w:sz w:val="20"/>
                <w:szCs w:val="20"/>
              </w:rPr>
              <w:t>281.5 (161.5 – 490.6)</w:t>
            </w:r>
          </w:p>
        </w:tc>
      </w:tr>
      <w:tr w:rsidR="00DC5685" w:rsidRPr="00A34F10" w14:paraId="6A650298" w14:textId="77777777" w:rsidTr="000470C3">
        <w:trPr>
          <w:jc w:val="center"/>
        </w:trPr>
        <w:tc>
          <w:tcPr>
            <w:tcW w:w="1115" w:type="pct"/>
            <w:vMerge/>
            <w:tcBorders>
              <w:top w:val="single" w:sz="6" w:space="0" w:color="auto"/>
              <w:left w:val="single" w:sz="6" w:space="0" w:color="auto"/>
              <w:bottom w:val="single" w:sz="6" w:space="0" w:color="auto"/>
              <w:right w:val="single" w:sz="6" w:space="0" w:color="auto"/>
            </w:tcBorders>
            <w:vAlign w:val="center"/>
            <w:hideMark/>
          </w:tcPr>
          <w:p w14:paraId="14009F2E" w14:textId="77777777" w:rsidR="00DC5685" w:rsidRPr="00A34F10" w:rsidRDefault="00DC5685" w:rsidP="00DC5685">
            <w:pPr>
              <w:rPr>
                <w:b/>
                <w:bCs/>
                <w:color w:val="000000"/>
                <w:sz w:val="20"/>
                <w:szCs w:val="20"/>
              </w:rPr>
            </w:pPr>
          </w:p>
        </w:tc>
        <w:tc>
          <w:tcPr>
            <w:tcW w:w="2222" w:type="pct"/>
            <w:tcBorders>
              <w:top w:val="single" w:sz="6" w:space="0" w:color="auto"/>
              <w:left w:val="single" w:sz="6" w:space="0" w:color="auto"/>
              <w:bottom w:val="single" w:sz="6" w:space="0" w:color="auto"/>
              <w:right w:val="single" w:sz="6" w:space="0" w:color="auto"/>
            </w:tcBorders>
            <w:vAlign w:val="center"/>
            <w:hideMark/>
          </w:tcPr>
          <w:p w14:paraId="76E762D4" w14:textId="77777777" w:rsidR="00DC5685" w:rsidRPr="00A34F10" w:rsidRDefault="00DC5685" w:rsidP="00DC5685">
            <w:pPr>
              <w:keepNext/>
              <w:jc w:val="center"/>
              <w:rPr>
                <w:color w:val="000000"/>
                <w:sz w:val="20"/>
                <w:szCs w:val="20"/>
              </w:rPr>
            </w:pPr>
            <w:r w:rsidRPr="00A34F10">
              <w:rPr>
                <w:color w:val="000000"/>
                <w:sz w:val="20"/>
                <w:szCs w:val="20"/>
              </w:rPr>
              <w:t xml:space="preserve">NOEC [mg /kg food] </w:t>
            </w:r>
            <w:r w:rsidRPr="00A34F10">
              <w:rPr>
                <w:color w:val="000000"/>
                <w:sz w:val="20"/>
                <w:szCs w:val="20"/>
                <w:vertAlign w:val="superscript"/>
              </w:rPr>
              <w:t>2)</w:t>
            </w:r>
          </w:p>
        </w:tc>
        <w:tc>
          <w:tcPr>
            <w:tcW w:w="1663" w:type="pct"/>
            <w:tcBorders>
              <w:top w:val="single" w:sz="6" w:space="0" w:color="auto"/>
              <w:left w:val="single" w:sz="6" w:space="0" w:color="auto"/>
              <w:bottom w:val="single" w:sz="6" w:space="0" w:color="auto"/>
              <w:right w:val="single" w:sz="6" w:space="0" w:color="auto"/>
            </w:tcBorders>
            <w:vAlign w:val="center"/>
            <w:hideMark/>
          </w:tcPr>
          <w:p w14:paraId="25C7506C" w14:textId="77777777" w:rsidR="00DC5685" w:rsidRPr="00A34F10" w:rsidRDefault="00DC5685" w:rsidP="00DC5685">
            <w:pPr>
              <w:keepNext/>
              <w:jc w:val="center"/>
              <w:rPr>
                <w:color w:val="000000"/>
                <w:sz w:val="20"/>
                <w:szCs w:val="20"/>
              </w:rPr>
            </w:pPr>
            <w:r w:rsidRPr="00A34F10">
              <w:rPr>
                <w:rFonts w:eastAsia="MS Mincho"/>
                <w:snapToGrid w:val="0"/>
                <w:sz w:val="20"/>
                <w:szCs w:val="20"/>
              </w:rPr>
              <w:t>247.1</w:t>
            </w:r>
          </w:p>
        </w:tc>
      </w:tr>
    </w:tbl>
    <w:p w14:paraId="4021665F" w14:textId="77777777" w:rsidR="00DC5685" w:rsidRPr="00A34F10" w:rsidRDefault="00DC5685" w:rsidP="00DC5685">
      <w:pPr>
        <w:widowControl w:val="0"/>
        <w:jc w:val="both"/>
        <w:rPr>
          <w:sz w:val="18"/>
          <w:lang w:val="en-GB"/>
        </w:rPr>
      </w:pPr>
      <w:r w:rsidRPr="00A34F10">
        <w:rPr>
          <w:sz w:val="18"/>
          <w:vertAlign w:val="superscript"/>
          <w:lang w:val="en-GB"/>
        </w:rPr>
        <w:t xml:space="preserve">1 </w:t>
      </w:r>
      <w:r w:rsidRPr="00A34F10">
        <w:rPr>
          <w:sz w:val="18"/>
          <w:lang w:val="en-GB"/>
        </w:rPr>
        <w:t>Multiple Sequentially-rejective Fisher Test After Bonferroni-Holm; α=0.05; one-sided greater</w:t>
      </w:r>
    </w:p>
    <w:p w14:paraId="5C612C97" w14:textId="77777777" w:rsidR="00DC5685" w:rsidRPr="00A34F10" w:rsidRDefault="00DC5685" w:rsidP="00DC5685">
      <w:pPr>
        <w:widowControl w:val="0"/>
        <w:jc w:val="both"/>
        <w:rPr>
          <w:sz w:val="18"/>
          <w:lang w:val="en-GB"/>
        </w:rPr>
      </w:pPr>
      <w:r w:rsidRPr="00A34F10">
        <w:rPr>
          <w:sz w:val="18"/>
          <w:vertAlign w:val="superscript"/>
          <w:lang w:val="en-GB"/>
        </w:rPr>
        <w:t xml:space="preserve">2 </w:t>
      </w:r>
      <w:r w:rsidRPr="00A34F10">
        <w:rPr>
          <w:sz w:val="18"/>
          <w:lang w:val="en-GB"/>
        </w:rPr>
        <w:t>Step-down Cochran-Armitage Test Procedure; α=0.05; one-sided greater</w:t>
      </w:r>
    </w:p>
    <w:p w14:paraId="16F89425" w14:textId="77777777" w:rsidR="00DC5685" w:rsidRPr="00A34F10" w:rsidRDefault="00DC5685" w:rsidP="00DC5685">
      <w:pPr>
        <w:widowControl w:val="0"/>
        <w:jc w:val="both"/>
        <w:rPr>
          <w:sz w:val="18"/>
          <w:lang w:val="en-GB"/>
        </w:rPr>
      </w:pPr>
      <w:r w:rsidRPr="00A34F10">
        <w:rPr>
          <w:sz w:val="18"/>
          <w:vertAlign w:val="superscript"/>
          <w:lang w:val="en-GB"/>
        </w:rPr>
        <w:t xml:space="preserve">3 </w:t>
      </w:r>
      <w:r w:rsidRPr="00A34F10">
        <w:rPr>
          <w:sz w:val="18"/>
          <w:lang w:val="en-GB"/>
        </w:rPr>
        <w:t>due to effects &lt;50%, the values were estimated to be higher than the highest dose/concentration</w:t>
      </w:r>
    </w:p>
    <w:p w14:paraId="59580982" w14:textId="77777777" w:rsidR="00DC5685" w:rsidRPr="00A34F10" w:rsidRDefault="00DC5685" w:rsidP="00DC5685">
      <w:pPr>
        <w:widowControl w:val="0"/>
        <w:jc w:val="both"/>
        <w:rPr>
          <w:sz w:val="18"/>
          <w:lang w:val="en-GB"/>
        </w:rPr>
      </w:pPr>
      <w:r w:rsidRPr="00A34F10">
        <w:rPr>
          <w:sz w:val="18"/>
          <w:vertAlign w:val="superscript"/>
          <w:lang w:val="en-GB"/>
        </w:rPr>
        <w:t xml:space="preserve">4 </w:t>
      </w:r>
      <w:r w:rsidRPr="00A34F10">
        <w:rPr>
          <w:sz w:val="18"/>
          <w:lang w:val="en-GB"/>
        </w:rPr>
        <w:t xml:space="preserve">Probit analysis using linear maximum likelihood regression </w:t>
      </w:r>
    </w:p>
    <w:p w14:paraId="2171B7AA" w14:textId="77777777" w:rsidR="00DC5685" w:rsidRPr="00A34F10" w:rsidRDefault="00DC5685" w:rsidP="00DC5685">
      <w:pPr>
        <w:widowControl w:val="0"/>
        <w:jc w:val="both"/>
        <w:rPr>
          <w:sz w:val="18"/>
          <w:lang w:val="en-GB"/>
        </w:rPr>
      </w:pPr>
      <w:r w:rsidRPr="00A34F10">
        <w:rPr>
          <w:sz w:val="18"/>
          <w:lang w:val="en-GB"/>
        </w:rPr>
        <w:t>CL: confidence limits</w:t>
      </w:r>
    </w:p>
    <w:p w14:paraId="229FBCC4" w14:textId="77777777" w:rsidR="00DC5685" w:rsidRPr="00A34F10" w:rsidRDefault="00DC5685" w:rsidP="00DC5685">
      <w:pPr>
        <w:widowControl w:val="0"/>
        <w:jc w:val="both"/>
        <w:rPr>
          <w:highlight w:val="yellow"/>
          <w:lang w:val="en-GB"/>
        </w:rPr>
      </w:pPr>
    </w:p>
    <w:p w14:paraId="65197408" w14:textId="77777777" w:rsidR="00DC5685" w:rsidRPr="00A34F10" w:rsidRDefault="00DC5685" w:rsidP="00E05ECD">
      <w:pPr>
        <w:numPr>
          <w:ilvl w:val="0"/>
          <w:numId w:val="62"/>
        </w:numPr>
        <w:ind w:left="284" w:hanging="284"/>
        <w:contextualSpacing/>
        <w:rPr>
          <w:b/>
          <w:bCs/>
          <w:caps/>
          <w:szCs w:val="24"/>
          <w:lang w:val="en-GB"/>
        </w:rPr>
      </w:pPr>
      <w:r w:rsidRPr="00A34F10">
        <w:rPr>
          <w:b/>
          <w:bCs/>
          <w:caps/>
          <w:szCs w:val="24"/>
          <w:lang w:val="en-GB"/>
        </w:rPr>
        <w:t>ANALYTICAL RESULTS</w:t>
      </w:r>
      <w:r w:rsidRPr="00A34F10">
        <w:rPr>
          <w:color w:val="000000"/>
          <w:sz w:val="18"/>
          <w:szCs w:val="18"/>
          <w:lang w:val="x-none"/>
        </w:rPr>
        <w:t xml:space="preserve"> </w:t>
      </w:r>
    </w:p>
    <w:p w14:paraId="1C854607" w14:textId="77777777" w:rsidR="00DC5685" w:rsidRPr="00A34F10" w:rsidRDefault="00DC5685" w:rsidP="00DC5685">
      <w:pPr>
        <w:ind w:left="284"/>
        <w:contextualSpacing/>
        <w:rPr>
          <w:b/>
          <w:bCs/>
          <w:caps/>
          <w:szCs w:val="24"/>
          <w:highlight w:val="yellow"/>
          <w:lang w:val="en-GB"/>
        </w:rPr>
      </w:pPr>
    </w:p>
    <w:p w14:paraId="3FDC3C55" w14:textId="50C6346B" w:rsidR="00DC5685" w:rsidRPr="00A34F10" w:rsidRDefault="001805B3" w:rsidP="001805B3">
      <w:pPr>
        <w:pStyle w:val="Legenda"/>
      </w:pPr>
      <w:r>
        <w:t xml:space="preserve">Table A </w:t>
      </w:r>
      <w:r>
        <w:fldChar w:fldCharType="begin"/>
      </w:r>
      <w:r>
        <w:instrText xml:space="preserve"> SEQ Table_A \* ARABIC </w:instrText>
      </w:r>
      <w:r>
        <w:fldChar w:fldCharType="separate"/>
      </w:r>
      <w:r w:rsidR="006F0F3B">
        <w:rPr>
          <w:noProof/>
        </w:rPr>
        <w:t>59</w:t>
      </w:r>
      <w:r>
        <w:fldChar w:fldCharType="end"/>
      </w:r>
      <w:r w:rsidR="00DC5685" w:rsidRPr="00A34F10">
        <w:t>:</w:t>
      </w:r>
      <w:r w:rsidR="00772D00" w:rsidRPr="00A34F10">
        <w:tab/>
      </w:r>
      <w:r w:rsidR="00DC5685" w:rsidRPr="00A34F10">
        <w:t xml:space="preserve"> Measured concentrations of Propamocarb and Ametoctradin </w:t>
      </w:r>
      <w:r w:rsidR="00DC5685" w:rsidRPr="00A34F10">
        <w:rPr>
          <w:lang w:val="x-none"/>
        </w:rPr>
        <w:t xml:space="preserve">in </w:t>
      </w:r>
      <w:r w:rsidR="00DC5685" w:rsidRPr="00A34F10">
        <w:t xml:space="preserve">test feeding solutions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1346"/>
        <w:gridCol w:w="1347"/>
        <w:gridCol w:w="1134"/>
        <w:gridCol w:w="1347"/>
        <w:gridCol w:w="1347"/>
        <w:gridCol w:w="1134"/>
      </w:tblGrid>
      <w:tr w:rsidR="00DC5685" w:rsidRPr="00A34F10" w14:paraId="06BA9343" w14:textId="77777777" w:rsidTr="000470C3">
        <w:trPr>
          <w:trHeight w:hRule="exact" w:val="378"/>
        </w:trPr>
        <w:tc>
          <w:tcPr>
            <w:tcW w:w="1843" w:type="dxa"/>
            <w:vMerge w:val="restart"/>
            <w:shd w:val="clear" w:color="auto" w:fill="auto"/>
            <w:vAlign w:val="center"/>
          </w:tcPr>
          <w:p w14:paraId="7F034EC9" w14:textId="77777777" w:rsidR="00DC5685" w:rsidRPr="00A34F10" w:rsidRDefault="00DC5685" w:rsidP="00DC5685">
            <w:pPr>
              <w:tabs>
                <w:tab w:val="left" w:pos="1305"/>
              </w:tabs>
              <w:kinsoku w:val="0"/>
              <w:overflowPunct w:val="0"/>
              <w:autoSpaceDE w:val="0"/>
              <w:autoSpaceDN w:val="0"/>
              <w:adjustRightInd w:val="0"/>
              <w:spacing w:before="60"/>
              <w:ind w:left="113"/>
              <w:jc w:val="center"/>
              <w:rPr>
                <w:b/>
                <w:sz w:val="18"/>
                <w:szCs w:val="18"/>
              </w:rPr>
            </w:pPr>
            <w:r w:rsidRPr="00A34F10">
              <w:rPr>
                <w:b/>
                <w:sz w:val="18"/>
                <w:szCs w:val="18"/>
              </w:rPr>
              <w:t>Treatment</w:t>
            </w:r>
          </w:p>
        </w:tc>
        <w:tc>
          <w:tcPr>
            <w:tcW w:w="3827" w:type="dxa"/>
            <w:gridSpan w:val="3"/>
            <w:tcBorders>
              <w:top w:val="single" w:sz="4" w:space="0" w:color="auto"/>
              <w:bottom w:val="nil"/>
              <w:right w:val="single" w:sz="12" w:space="0" w:color="auto"/>
            </w:tcBorders>
            <w:shd w:val="clear" w:color="auto" w:fill="auto"/>
            <w:vAlign w:val="center"/>
          </w:tcPr>
          <w:p w14:paraId="3CF260EB" w14:textId="7C134DE3" w:rsidR="00DC5685" w:rsidRPr="00A34F10" w:rsidRDefault="00144D9E" w:rsidP="00DC5685">
            <w:pPr>
              <w:kinsoku w:val="0"/>
              <w:overflowPunct w:val="0"/>
              <w:autoSpaceDE w:val="0"/>
              <w:autoSpaceDN w:val="0"/>
              <w:adjustRightInd w:val="0"/>
              <w:spacing w:before="60"/>
              <w:jc w:val="center"/>
              <w:rPr>
                <w:b/>
                <w:bCs/>
                <w:sz w:val="18"/>
                <w:szCs w:val="18"/>
              </w:rPr>
            </w:pPr>
            <w:r>
              <w:rPr>
                <w:b/>
                <w:bCs/>
                <w:sz w:val="18"/>
                <w:szCs w:val="18"/>
              </w:rPr>
              <w:t>Propamocarb</w:t>
            </w:r>
          </w:p>
        </w:tc>
        <w:tc>
          <w:tcPr>
            <w:tcW w:w="3828" w:type="dxa"/>
            <w:gridSpan w:val="3"/>
            <w:tcBorders>
              <w:top w:val="single" w:sz="4" w:space="0" w:color="auto"/>
              <w:bottom w:val="nil"/>
              <w:right w:val="single" w:sz="4" w:space="0" w:color="auto"/>
            </w:tcBorders>
            <w:vAlign w:val="center"/>
          </w:tcPr>
          <w:p w14:paraId="397CE06D" w14:textId="21390FF4" w:rsidR="00DC5685" w:rsidRPr="00A34F10" w:rsidRDefault="00144D9E" w:rsidP="00DC5685">
            <w:pPr>
              <w:kinsoku w:val="0"/>
              <w:overflowPunct w:val="0"/>
              <w:autoSpaceDE w:val="0"/>
              <w:autoSpaceDN w:val="0"/>
              <w:adjustRightInd w:val="0"/>
              <w:spacing w:before="60"/>
              <w:jc w:val="center"/>
              <w:rPr>
                <w:b/>
                <w:bCs/>
                <w:sz w:val="18"/>
                <w:szCs w:val="18"/>
              </w:rPr>
            </w:pPr>
            <w:r>
              <w:rPr>
                <w:b/>
                <w:bCs/>
                <w:sz w:val="18"/>
                <w:szCs w:val="18"/>
              </w:rPr>
              <w:t>Ametoctradin</w:t>
            </w:r>
          </w:p>
        </w:tc>
      </w:tr>
      <w:tr w:rsidR="00DC5685" w:rsidRPr="00A34F10" w14:paraId="6D315ACE" w14:textId="77777777" w:rsidTr="000470C3">
        <w:trPr>
          <w:trHeight w:hRule="exact" w:val="810"/>
        </w:trPr>
        <w:tc>
          <w:tcPr>
            <w:tcW w:w="1843" w:type="dxa"/>
            <w:vMerge/>
            <w:tcBorders>
              <w:bottom w:val="single" w:sz="12" w:space="0" w:color="auto"/>
            </w:tcBorders>
            <w:shd w:val="clear" w:color="auto" w:fill="auto"/>
            <w:vAlign w:val="center"/>
          </w:tcPr>
          <w:p w14:paraId="3EB026C4" w14:textId="77777777" w:rsidR="00DC5685" w:rsidRPr="00A34F10" w:rsidRDefault="00DC5685" w:rsidP="00DC5685">
            <w:pPr>
              <w:tabs>
                <w:tab w:val="left" w:pos="1305"/>
              </w:tabs>
              <w:kinsoku w:val="0"/>
              <w:overflowPunct w:val="0"/>
              <w:autoSpaceDE w:val="0"/>
              <w:autoSpaceDN w:val="0"/>
              <w:adjustRightInd w:val="0"/>
              <w:spacing w:before="60"/>
              <w:ind w:left="113"/>
              <w:jc w:val="center"/>
              <w:rPr>
                <w:b/>
                <w:sz w:val="18"/>
                <w:szCs w:val="18"/>
              </w:rPr>
            </w:pPr>
          </w:p>
        </w:tc>
        <w:tc>
          <w:tcPr>
            <w:tcW w:w="1346" w:type="dxa"/>
            <w:tcBorders>
              <w:top w:val="nil"/>
              <w:bottom w:val="single" w:sz="12" w:space="0" w:color="auto"/>
            </w:tcBorders>
            <w:shd w:val="clear" w:color="auto" w:fill="auto"/>
            <w:vAlign w:val="center"/>
          </w:tcPr>
          <w:p w14:paraId="06CBF43D" w14:textId="77777777" w:rsidR="00DC5685" w:rsidRPr="00A34F10" w:rsidRDefault="00DC5685" w:rsidP="00DC5685">
            <w:pPr>
              <w:kinsoku w:val="0"/>
              <w:overflowPunct w:val="0"/>
              <w:autoSpaceDE w:val="0"/>
              <w:autoSpaceDN w:val="0"/>
              <w:adjustRightInd w:val="0"/>
              <w:jc w:val="center"/>
              <w:rPr>
                <w:b/>
                <w:sz w:val="18"/>
                <w:szCs w:val="18"/>
              </w:rPr>
            </w:pPr>
            <w:r w:rsidRPr="00A34F10">
              <w:rPr>
                <w:b/>
                <w:sz w:val="18"/>
                <w:szCs w:val="18"/>
              </w:rPr>
              <w:t>Nominal Concentration</w:t>
            </w:r>
          </w:p>
          <w:p w14:paraId="59658321" w14:textId="77777777" w:rsidR="00DC5685" w:rsidRPr="00A34F10" w:rsidRDefault="00DC5685" w:rsidP="00DC5685">
            <w:pPr>
              <w:kinsoku w:val="0"/>
              <w:overflowPunct w:val="0"/>
              <w:autoSpaceDE w:val="0"/>
              <w:autoSpaceDN w:val="0"/>
              <w:adjustRightInd w:val="0"/>
              <w:jc w:val="center"/>
              <w:rPr>
                <w:b/>
                <w:sz w:val="18"/>
                <w:szCs w:val="18"/>
              </w:rPr>
            </w:pPr>
            <w:r w:rsidRPr="00A34F10">
              <w:rPr>
                <w:b/>
                <w:sz w:val="18"/>
                <w:szCs w:val="18"/>
              </w:rPr>
              <w:t>[mg/kg]</w:t>
            </w:r>
          </w:p>
        </w:tc>
        <w:tc>
          <w:tcPr>
            <w:tcW w:w="1347" w:type="dxa"/>
            <w:tcBorders>
              <w:top w:val="nil"/>
              <w:bottom w:val="single" w:sz="12" w:space="0" w:color="auto"/>
            </w:tcBorders>
            <w:shd w:val="clear" w:color="auto" w:fill="auto"/>
            <w:vAlign w:val="center"/>
          </w:tcPr>
          <w:p w14:paraId="266460F5"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Mean Residue Concentration [mg/kg]</w:t>
            </w:r>
          </w:p>
        </w:tc>
        <w:tc>
          <w:tcPr>
            <w:tcW w:w="1134" w:type="dxa"/>
            <w:tcBorders>
              <w:top w:val="nil"/>
              <w:bottom w:val="single" w:sz="12" w:space="0" w:color="auto"/>
              <w:right w:val="single" w:sz="12" w:space="0" w:color="auto"/>
            </w:tcBorders>
            <w:shd w:val="clear" w:color="auto" w:fill="auto"/>
            <w:vAlign w:val="center"/>
          </w:tcPr>
          <w:p w14:paraId="73E853EB"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Mean Recovery</w:t>
            </w:r>
          </w:p>
          <w:p w14:paraId="32E85210"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w:t>
            </w:r>
          </w:p>
        </w:tc>
        <w:tc>
          <w:tcPr>
            <w:tcW w:w="1347" w:type="dxa"/>
            <w:tcBorders>
              <w:top w:val="nil"/>
              <w:bottom w:val="single" w:sz="12" w:space="0" w:color="auto"/>
            </w:tcBorders>
            <w:vAlign w:val="center"/>
          </w:tcPr>
          <w:p w14:paraId="15A0F4AD" w14:textId="77777777" w:rsidR="00DC5685" w:rsidRPr="00A34F10" w:rsidRDefault="00DC5685" w:rsidP="00DC5685">
            <w:pPr>
              <w:kinsoku w:val="0"/>
              <w:overflowPunct w:val="0"/>
              <w:autoSpaceDE w:val="0"/>
              <w:autoSpaceDN w:val="0"/>
              <w:adjustRightInd w:val="0"/>
              <w:jc w:val="center"/>
              <w:rPr>
                <w:b/>
                <w:sz w:val="18"/>
                <w:szCs w:val="18"/>
              </w:rPr>
            </w:pPr>
            <w:r w:rsidRPr="00A34F10">
              <w:rPr>
                <w:b/>
                <w:sz w:val="18"/>
                <w:szCs w:val="18"/>
              </w:rPr>
              <w:t>Nominal Concentration</w:t>
            </w:r>
          </w:p>
          <w:p w14:paraId="5AD7418D"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[mg/kg]</w:t>
            </w:r>
          </w:p>
        </w:tc>
        <w:tc>
          <w:tcPr>
            <w:tcW w:w="1347" w:type="dxa"/>
            <w:tcBorders>
              <w:top w:val="nil"/>
              <w:bottom w:val="single" w:sz="12" w:space="0" w:color="auto"/>
            </w:tcBorders>
            <w:vAlign w:val="center"/>
          </w:tcPr>
          <w:p w14:paraId="0EFA9A9D"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Mean Residue Concentration [mg/kg]</w:t>
            </w:r>
          </w:p>
        </w:tc>
        <w:tc>
          <w:tcPr>
            <w:tcW w:w="1134" w:type="dxa"/>
            <w:tcBorders>
              <w:top w:val="nil"/>
              <w:bottom w:val="single" w:sz="12" w:space="0" w:color="auto"/>
              <w:right w:val="single" w:sz="4" w:space="0" w:color="auto"/>
            </w:tcBorders>
            <w:vAlign w:val="center"/>
          </w:tcPr>
          <w:p w14:paraId="3F0A2B16"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Mean Recovery</w:t>
            </w:r>
          </w:p>
          <w:p w14:paraId="0423D1B9" w14:textId="77777777" w:rsidR="00DC5685" w:rsidRPr="00A34F10" w:rsidRDefault="00DC5685" w:rsidP="00DC5685">
            <w:pPr>
              <w:kinsoku w:val="0"/>
              <w:overflowPunct w:val="0"/>
              <w:autoSpaceDE w:val="0"/>
              <w:autoSpaceDN w:val="0"/>
              <w:adjustRightInd w:val="0"/>
              <w:spacing w:before="60"/>
              <w:jc w:val="center"/>
              <w:rPr>
                <w:b/>
                <w:sz w:val="18"/>
                <w:szCs w:val="18"/>
              </w:rPr>
            </w:pPr>
            <w:r w:rsidRPr="00A34F10">
              <w:rPr>
                <w:b/>
                <w:sz w:val="18"/>
                <w:szCs w:val="18"/>
              </w:rPr>
              <w:t>[%]</w:t>
            </w:r>
          </w:p>
        </w:tc>
      </w:tr>
      <w:tr w:rsidR="00DC5685" w:rsidRPr="00A34F10" w14:paraId="051D0A9C" w14:textId="77777777" w:rsidTr="000470C3">
        <w:trPr>
          <w:trHeight w:val="454"/>
        </w:trPr>
        <w:tc>
          <w:tcPr>
            <w:tcW w:w="1843" w:type="dxa"/>
            <w:tcBorders>
              <w:top w:val="single" w:sz="12" w:space="0" w:color="auto"/>
              <w:bottom w:val="single" w:sz="4" w:space="0" w:color="auto"/>
            </w:tcBorders>
            <w:shd w:val="clear" w:color="auto" w:fill="auto"/>
            <w:vAlign w:val="center"/>
          </w:tcPr>
          <w:p w14:paraId="19757E4F"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AC</w:t>
            </w:r>
          </w:p>
        </w:tc>
        <w:tc>
          <w:tcPr>
            <w:tcW w:w="1346" w:type="dxa"/>
            <w:tcBorders>
              <w:top w:val="single" w:sz="12" w:space="0" w:color="auto"/>
              <w:bottom w:val="single" w:sz="4" w:space="0" w:color="auto"/>
            </w:tcBorders>
            <w:shd w:val="clear" w:color="auto" w:fill="auto"/>
            <w:vAlign w:val="center"/>
          </w:tcPr>
          <w:p w14:paraId="4B7B5EB6"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0.000</w:t>
            </w:r>
          </w:p>
        </w:tc>
        <w:tc>
          <w:tcPr>
            <w:tcW w:w="1347" w:type="dxa"/>
            <w:tcBorders>
              <w:top w:val="single" w:sz="12" w:space="0" w:color="auto"/>
              <w:bottom w:val="single" w:sz="4" w:space="0" w:color="auto"/>
            </w:tcBorders>
            <w:shd w:val="clear" w:color="auto" w:fill="auto"/>
            <w:vAlign w:val="center"/>
          </w:tcPr>
          <w:p w14:paraId="56ED46EE"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&lt;LOD</w:t>
            </w:r>
          </w:p>
        </w:tc>
        <w:tc>
          <w:tcPr>
            <w:tcW w:w="1134" w:type="dxa"/>
            <w:tcBorders>
              <w:top w:val="single" w:sz="12" w:space="0" w:color="auto"/>
              <w:bottom w:val="single" w:sz="4" w:space="0" w:color="auto"/>
              <w:right w:val="single" w:sz="12" w:space="0" w:color="auto"/>
            </w:tcBorders>
            <w:shd w:val="clear" w:color="auto" w:fill="auto"/>
            <w:vAlign w:val="center"/>
          </w:tcPr>
          <w:p w14:paraId="67C6F7FE"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w:t>
            </w:r>
          </w:p>
        </w:tc>
        <w:tc>
          <w:tcPr>
            <w:tcW w:w="1347" w:type="dxa"/>
            <w:tcBorders>
              <w:top w:val="single" w:sz="12" w:space="0" w:color="auto"/>
              <w:bottom w:val="single" w:sz="4" w:space="0" w:color="auto"/>
            </w:tcBorders>
            <w:vAlign w:val="center"/>
          </w:tcPr>
          <w:p w14:paraId="5724BBD1"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0.000</w:t>
            </w:r>
          </w:p>
        </w:tc>
        <w:tc>
          <w:tcPr>
            <w:tcW w:w="1347" w:type="dxa"/>
            <w:tcBorders>
              <w:top w:val="single" w:sz="12" w:space="0" w:color="auto"/>
              <w:bottom w:val="single" w:sz="4" w:space="0" w:color="auto"/>
            </w:tcBorders>
            <w:vAlign w:val="center"/>
          </w:tcPr>
          <w:p w14:paraId="37461406"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&lt;LOD</w:t>
            </w:r>
          </w:p>
        </w:tc>
        <w:tc>
          <w:tcPr>
            <w:tcW w:w="1134" w:type="dxa"/>
            <w:tcBorders>
              <w:top w:val="single" w:sz="12" w:space="0" w:color="auto"/>
              <w:bottom w:val="single" w:sz="4" w:space="0" w:color="auto"/>
              <w:right w:val="single" w:sz="4" w:space="0" w:color="auto"/>
            </w:tcBorders>
            <w:vAlign w:val="center"/>
          </w:tcPr>
          <w:p w14:paraId="167AEE8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w:t>
            </w:r>
          </w:p>
        </w:tc>
      </w:tr>
      <w:tr w:rsidR="00DC5685" w:rsidRPr="00A34F10" w14:paraId="4C1F06AD" w14:textId="77777777" w:rsidTr="000470C3">
        <w:trPr>
          <w:trHeight w:val="454"/>
        </w:trPr>
        <w:tc>
          <w:tcPr>
            <w:tcW w:w="1843" w:type="dxa"/>
            <w:tcBorders>
              <w:bottom w:val="single" w:sz="4" w:space="0" w:color="auto"/>
            </w:tcBorders>
            <w:shd w:val="clear" w:color="auto" w:fill="auto"/>
            <w:vAlign w:val="center"/>
          </w:tcPr>
          <w:p w14:paraId="462CAF2E"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ET</w:t>
            </w:r>
          </w:p>
        </w:tc>
        <w:tc>
          <w:tcPr>
            <w:tcW w:w="1346" w:type="dxa"/>
            <w:tcBorders>
              <w:bottom w:val="single" w:sz="4" w:space="0" w:color="auto"/>
            </w:tcBorders>
            <w:shd w:val="clear" w:color="auto" w:fill="auto"/>
            <w:vAlign w:val="center"/>
          </w:tcPr>
          <w:p w14:paraId="3B494D81"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11.0</w:t>
            </w:r>
          </w:p>
        </w:tc>
        <w:tc>
          <w:tcPr>
            <w:tcW w:w="1347" w:type="dxa"/>
            <w:tcBorders>
              <w:bottom w:val="single" w:sz="4" w:space="0" w:color="auto"/>
            </w:tcBorders>
            <w:shd w:val="clear" w:color="auto" w:fill="auto"/>
            <w:vAlign w:val="center"/>
          </w:tcPr>
          <w:p w14:paraId="062F26E2"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11.7</w:t>
            </w:r>
          </w:p>
        </w:tc>
        <w:tc>
          <w:tcPr>
            <w:tcW w:w="1134" w:type="dxa"/>
            <w:tcBorders>
              <w:bottom w:val="single" w:sz="4" w:space="0" w:color="auto"/>
              <w:right w:val="single" w:sz="12" w:space="0" w:color="auto"/>
            </w:tcBorders>
            <w:shd w:val="clear" w:color="auto" w:fill="auto"/>
            <w:vAlign w:val="center"/>
          </w:tcPr>
          <w:p w14:paraId="59F3577C"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106</w:t>
            </w:r>
          </w:p>
        </w:tc>
        <w:tc>
          <w:tcPr>
            <w:tcW w:w="1347" w:type="dxa"/>
            <w:tcBorders>
              <w:bottom w:val="single" w:sz="4" w:space="0" w:color="auto"/>
            </w:tcBorders>
            <w:vAlign w:val="center"/>
          </w:tcPr>
          <w:p w14:paraId="67701067"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3.51</w:t>
            </w:r>
          </w:p>
        </w:tc>
        <w:tc>
          <w:tcPr>
            <w:tcW w:w="1347" w:type="dxa"/>
            <w:tcBorders>
              <w:bottom w:val="single" w:sz="4" w:space="0" w:color="auto"/>
            </w:tcBorders>
            <w:vAlign w:val="center"/>
          </w:tcPr>
          <w:p w14:paraId="51322FE2"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3.75</w:t>
            </w:r>
          </w:p>
        </w:tc>
        <w:tc>
          <w:tcPr>
            <w:tcW w:w="1134" w:type="dxa"/>
            <w:tcBorders>
              <w:bottom w:val="single" w:sz="4" w:space="0" w:color="auto"/>
              <w:right w:val="single" w:sz="4" w:space="0" w:color="auto"/>
            </w:tcBorders>
            <w:vAlign w:val="center"/>
          </w:tcPr>
          <w:p w14:paraId="0D63E398"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107</w:t>
            </w:r>
          </w:p>
        </w:tc>
      </w:tr>
      <w:tr w:rsidR="00DC5685" w:rsidRPr="00A34F10" w14:paraId="23EC4CC3" w14:textId="77777777" w:rsidTr="000470C3">
        <w:trPr>
          <w:trHeight w:val="454"/>
        </w:trPr>
        <w:tc>
          <w:tcPr>
            <w:tcW w:w="1843" w:type="dxa"/>
            <w:tcBorders>
              <w:bottom w:val="single" w:sz="4" w:space="0" w:color="auto"/>
            </w:tcBorders>
            <w:shd w:val="clear" w:color="auto" w:fill="auto"/>
            <w:vAlign w:val="center"/>
          </w:tcPr>
          <w:p w14:paraId="5D4FE720"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DT</w:t>
            </w:r>
          </w:p>
        </w:tc>
        <w:tc>
          <w:tcPr>
            <w:tcW w:w="1346" w:type="dxa"/>
            <w:tcBorders>
              <w:bottom w:val="single" w:sz="4" w:space="0" w:color="auto"/>
            </w:tcBorders>
            <w:shd w:val="clear" w:color="auto" w:fill="auto"/>
            <w:vAlign w:val="center"/>
          </w:tcPr>
          <w:p w14:paraId="5D628D0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32.9</w:t>
            </w:r>
          </w:p>
        </w:tc>
        <w:tc>
          <w:tcPr>
            <w:tcW w:w="1347" w:type="dxa"/>
            <w:tcBorders>
              <w:bottom w:val="single" w:sz="4" w:space="0" w:color="auto"/>
            </w:tcBorders>
            <w:shd w:val="clear" w:color="auto" w:fill="auto"/>
            <w:vAlign w:val="center"/>
          </w:tcPr>
          <w:p w14:paraId="28C8BCDA"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34.1</w:t>
            </w:r>
          </w:p>
        </w:tc>
        <w:tc>
          <w:tcPr>
            <w:tcW w:w="1134" w:type="dxa"/>
            <w:tcBorders>
              <w:bottom w:val="single" w:sz="4" w:space="0" w:color="auto"/>
              <w:right w:val="single" w:sz="12" w:space="0" w:color="auto"/>
            </w:tcBorders>
            <w:shd w:val="clear" w:color="auto" w:fill="auto"/>
            <w:vAlign w:val="center"/>
          </w:tcPr>
          <w:p w14:paraId="3801CE56"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103</w:t>
            </w:r>
          </w:p>
        </w:tc>
        <w:tc>
          <w:tcPr>
            <w:tcW w:w="1347" w:type="dxa"/>
            <w:tcBorders>
              <w:bottom w:val="single" w:sz="4" w:space="0" w:color="auto"/>
            </w:tcBorders>
            <w:vAlign w:val="center"/>
          </w:tcPr>
          <w:p w14:paraId="38559C99"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10.5</w:t>
            </w:r>
          </w:p>
        </w:tc>
        <w:tc>
          <w:tcPr>
            <w:tcW w:w="1347" w:type="dxa"/>
            <w:tcBorders>
              <w:bottom w:val="single" w:sz="4" w:space="0" w:color="auto"/>
            </w:tcBorders>
            <w:vAlign w:val="center"/>
          </w:tcPr>
          <w:p w14:paraId="47656DE0"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11.0</w:t>
            </w:r>
          </w:p>
        </w:tc>
        <w:tc>
          <w:tcPr>
            <w:tcW w:w="1134" w:type="dxa"/>
            <w:tcBorders>
              <w:bottom w:val="single" w:sz="4" w:space="0" w:color="auto"/>
              <w:right w:val="single" w:sz="4" w:space="0" w:color="auto"/>
            </w:tcBorders>
            <w:vAlign w:val="center"/>
          </w:tcPr>
          <w:p w14:paraId="1935117B"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105</w:t>
            </w:r>
          </w:p>
        </w:tc>
      </w:tr>
      <w:tr w:rsidR="00DC5685" w:rsidRPr="00A34F10" w14:paraId="59176BAD" w14:textId="77777777" w:rsidTr="000470C3">
        <w:trPr>
          <w:trHeight w:val="454"/>
        </w:trPr>
        <w:tc>
          <w:tcPr>
            <w:tcW w:w="1843" w:type="dxa"/>
            <w:tcBorders>
              <w:bottom w:val="single" w:sz="4" w:space="0" w:color="auto"/>
            </w:tcBorders>
            <w:shd w:val="clear" w:color="auto" w:fill="auto"/>
            <w:vAlign w:val="center"/>
          </w:tcPr>
          <w:p w14:paraId="3B49ADB5"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CT</w:t>
            </w:r>
          </w:p>
        </w:tc>
        <w:tc>
          <w:tcPr>
            <w:tcW w:w="1346" w:type="dxa"/>
            <w:tcBorders>
              <w:bottom w:val="single" w:sz="4" w:space="0" w:color="auto"/>
            </w:tcBorders>
            <w:shd w:val="clear" w:color="auto" w:fill="auto"/>
            <w:vAlign w:val="center"/>
          </w:tcPr>
          <w:p w14:paraId="1499BC91"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98.8</w:t>
            </w:r>
          </w:p>
        </w:tc>
        <w:tc>
          <w:tcPr>
            <w:tcW w:w="1347" w:type="dxa"/>
            <w:tcBorders>
              <w:bottom w:val="single" w:sz="4" w:space="0" w:color="auto"/>
            </w:tcBorders>
            <w:shd w:val="clear" w:color="auto" w:fill="auto"/>
            <w:vAlign w:val="center"/>
          </w:tcPr>
          <w:p w14:paraId="68E3C8E9"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102</w:t>
            </w:r>
          </w:p>
        </w:tc>
        <w:tc>
          <w:tcPr>
            <w:tcW w:w="1134" w:type="dxa"/>
            <w:tcBorders>
              <w:bottom w:val="single" w:sz="4" w:space="0" w:color="auto"/>
              <w:right w:val="single" w:sz="12" w:space="0" w:color="auto"/>
            </w:tcBorders>
            <w:shd w:val="clear" w:color="auto" w:fill="auto"/>
            <w:vAlign w:val="center"/>
          </w:tcPr>
          <w:p w14:paraId="059F825E"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103</w:t>
            </w:r>
          </w:p>
        </w:tc>
        <w:tc>
          <w:tcPr>
            <w:tcW w:w="1347" w:type="dxa"/>
            <w:tcBorders>
              <w:bottom w:val="single" w:sz="4" w:space="0" w:color="auto"/>
            </w:tcBorders>
            <w:vAlign w:val="center"/>
          </w:tcPr>
          <w:p w14:paraId="5358FCF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31.4</w:t>
            </w:r>
          </w:p>
        </w:tc>
        <w:tc>
          <w:tcPr>
            <w:tcW w:w="1347" w:type="dxa"/>
            <w:tcBorders>
              <w:bottom w:val="single" w:sz="4" w:space="0" w:color="auto"/>
            </w:tcBorders>
            <w:vAlign w:val="center"/>
          </w:tcPr>
          <w:p w14:paraId="17ED0E4F"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32.9</w:t>
            </w:r>
          </w:p>
        </w:tc>
        <w:tc>
          <w:tcPr>
            <w:tcW w:w="1134" w:type="dxa"/>
            <w:tcBorders>
              <w:bottom w:val="single" w:sz="4" w:space="0" w:color="auto"/>
              <w:right w:val="single" w:sz="4" w:space="0" w:color="auto"/>
            </w:tcBorders>
            <w:vAlign w:val="center"/>
          </w:tcPr>
          <w:p w14:paraId="7C4AB53A"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105</w:t>
            </w:r>
          </w:p>
        </w:tc>
      </w:tr>
      <w:tr w:rsidR="00DC5685" w:rsidRPr="00A34F10" w14:paraId="71EA25C8" w14:textId="77777777" w:rsidTr="000470C3">
        <w:trPr>
          <w:trHeight w:val="454"/>
        </w:trPr>
        <w:tc>
          <w:tcPr>
            <w:tcW w:w="1843" w:type="dxa"/>
            <w:tcBorders>
              <w:bottom w:val="single" w:sz="4" w:space="0" w:color="auto"/>
            </w:tcBorders>
            <w:shd w:val="clear" w:color="auto" w:fill="auto"/>
            <w:vAlign w:val="center"/>
          </w:tcPr>
          <w:p w14:paraId="728AC48E"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BT</w:t>
            </w:r>
          </w:p>
        </w:tc>
        <w:tc>
          <w:tcPr>
            <w:tcW w:w="1346" w:type="dxa"/>
            <w:tcBorders>
              <w:bottom w:val="single" w:sz="4" w:space="0" w:color="auto"/>
            </w:tcBorders>
            <w:shd w:val="clear" w:color="auto" w:fill="auto"/>
            <w:vAlign w:val="center"/>
          </w:tcPr>
          <w:p w14:paraId="50A36D5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297</w:t>
            </w:r>
          </w:p>
        </w:tc>
        <w:tc>
          <w:tcPr>
            <w:tcW w:w="1347" w:type="dxa"/>
            <w:tcBorders>
              <w:bottom w:val="single" w:sz="4" w:space="0" w:color="auto"/>
            </w:tcBorders>
            <w:shd w:val="clear" w:color="auto" w:fill="auto"/>
            <w:vAlign w:val="center"/>
          </w:tcPr>
          <w:p w14:paraId="28A5FF2B"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296</w:t>
            </w:r>
          </w:p>
        </w:tc>
        <w:tc>
          <w:tcPr>
            <w:tcW w:w="1134" w:type="dxa"/>
            <w:tcBorders>
              <w:bottom w:val="single" w:sz="4" w:space="0" w:color="auto"/>
              <w:right w:val="single" w:sz="12" w:space="0" w:color="auto"/>
            </w:tcBorders>
            <w:shd w:val="clear" w:color="auto" w:fill="auto"/>
            <w:vAlign w:val="center"/>
          </w:tcPr>
          <w:p w14:paraId="033ACB53"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100</w:t>
            </w:r>
          </w:p>
        </w:tc>
        <w:tc>
          <w:tcPr>
            <w:tcW w:w="1347" w:type="dxa"/>
            <w:tcBorders>
              <w:bottom w:val="single" w:sz="4" w:space="0" w:color="auto"/>
            </w:tcBorders>
            <w:vAlign w:val="center"/>
          </w:tcPr>
          <w:p w14:paraId="0196D332"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94.1</w:t>
            </w:r>
          </w:p>
        </w:tc>
        <w:tc>
          <w:tcPr>
            <w:tcW w:w="1347" w:type="dxa"/>
            <w:tcBorders>
              <w:bottom w:val="single" w:sz="4" w:space="0" w:color="auto"/>
            </w:tcBorders>
            <w:vAlign w:val="center"/>
          </w:tcPr>
          <w:p w14:paraId="1230E6CF"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98.5</w:t>
            </w:r>
          </w:p>
        </w:tc>
        <w:tc>
          <w:tcPr>
            <w:tcW w:w="1134" w:type="dxa"/>
            <w:tcBorders>
              <w:bottom w:val="single" w:sz="4" w:space="0" w:color="auto"/>
              <w:right w:val="single" w:sz="4" w:space="0" w:color="auto"/>
            </w:tcBorders>
            <w:vAlign w:val="center"/>
          </w:tcPr>
          <w:p w14:paraId="79133BCD"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105</w:t>
            </w:r>
          </w:p>
        </w:tc>
      </w:tr>
      <w:tr w:rsidR="00DC5685" w:rsidRPr="00A34F10" w14:paraId="73AB5E23" w14:textId="77777777" w:rsidTr="000470C3">
        <w:trPr>
          <w:trHeight w:val="454"/>
        </w:trPr>
        <w:tc>
          <w:tcPr>
            <w:tcW w:w="1843" w:type="dxa"/>
            <w:tcBorders>
              <w:top w:val="single" w:sz="4" w:space="0" w:color="auto"/>
              <w:bottom w:val="single" w:sz="12" w:space="0" w:color="auto"/>
            </w:tcBorders>
            <w:shd w:val="clear" w:color="auto" w:fill="auto"/>
            <w:vAlign w:val="center"/>
          </w:tcPr>
          <w:p w14:paraId="3EB854E1"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AT</w:t>
            </w:r>
          </w:p>
        </w:tc>
        <w:tc>
          <w:tcPr>
            <w:tcW w:w="1346" w:type="dxa"/>
            <w:tcBorders>
              <w:top w:val="single" w:sz="4" w:space="0" w:color="auto"/>
              <w:bottom w:val="single" w:sz="12" w:space="0" w:color="auto"/>
            </w:tcBorders>
            <w:shd w:val="clear" w:color="auto" w:fill="auto"/>
            <w:vAlign w:val="center"/>
          </w:tcPr>
          <w:p w14:paraId="409D12E1"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890</w:t>
            </w:r>
          </w:p>
        </w:tc>
        <w:tc>
          <w:tcPr>
            <w:tcW w:w="1347" w:type="dxa"/>
            <w:tcBorders>
              <w:top w:val="single" w:sz="4" w:space="0" w:color="auto"/>
              <w:bottom w:val="single" w:sz="12" w:space="0" w:color="auto"/>
            </w:tcBorders>
            <w:shd w:val="clear" w:color="auto" w:fill="auto"/>
            <w:vAlign w:val="center"/>
          </w:tcPr>
          <w:p w14:paraId="64EA2517"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908</w:t>
            </w:r>
          </w:p>
        </w:tc>
        <w:tc>
          <w:tcPr>
            <w:tcW w:w="1134" w:type="dxa"/>
            <w:tcBorders>
              <w:top w:val="single" w:sz="4" w:space="0" w:color="auto"/>
              <w:bottom w:val="single" w:sz="12" w:space="0" w:color="auto"/>
              <w:right w:val="single" w:sz="12" w:space="0" w:color="auto"/>
            </w:tcBorders>
            <w:shd w:val="clear" w:color="auto" w:fill="auto"/>
            <w:vAlign w:val="center"/>
          </w:tcPr>
          <w:p w14:paraId="059DDE0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102</w:t>
            </w:r>
          </w:p>
        </w:tc>
        <w:tc>
          <w:tcPr>
            <w:tcW w:w="1347" w:type="dxa"/>
            <w:tcBorders>
              <w:top w:val="single" w:sz="4" w:space="0" w:color="auto"/>
              <w:bottom w:val="single" w:sz="12" w:space="0" w:color="auto"/>
            </w:tcBorders>
            <w:vAlign w:val="center"/>
          </w:tcPr>
          <w:p w14:paraId="145B0032"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283</w:t>
            </w:r>
          </w:p>
        </w:tc>
        <w:tc>
          <w:tcPr>
            <w:tcW w:w="1347" w:type="dxa"/>
            <w:tcBorders>
              <w:top w:val="single" w:sz="4" w:space="0" w:color="auto"/>
              <w:bottom w:val="single" w:sz="12" w:space="0" w:color="auto"/>
            </w:tcBorders>
            <w:vAlign w:val="center"/>
          </w:tcPr>
          <w:p w14:paraId="02232F3F"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301</w:t>
            </w:r>
          </w:p>
        </w:tc>
        <w:tc>
          <w:tcPr>
            <w:tcW w:w="1134" w:type="dxa"/>
            <w:tcBorders>
              <w:top w:val="single" w:sz="4" w:space="0" w:color="auto"/>
              <w:bottom w:val="single" w:sz="12" w:space="0" w:color="auto"/>
              <w:right w:val="single" w:sz="4" w:space="0" w:color="auto"/>
            </w:tcBorders>
            <w:vAlign w:val="center"/>
          </w:tcPr>
          <w:p w14:paraId="1AD83664" w14:textId="77777777" w:rsidR="00DC5685" w:rsidRPr="00A34F10" w:rsidRDefault="00DC5685" w:rsidP="00DC5685">
            <w:pPr>
              <w:kinsoku w:val="0"/>
              <w:overflowPunct w:val="0"/>
              <w:autoSpaceDE w:val="0"/>
              <w:autoSpaceDN w:val="0"/>
              <w:adjustRightInd w:val="0"/>
              <w:spacing w:line="228" w:lineRule="exact"/>
              <w:jc w:val="center"/>
              <w:rPr>
                <w:sz w:val="18"/>
                <w:szCs w:val="18"/>
              </w:rPr>
            </w:pPr>
            <w:r w:rsidRPr="00A34F10">
              <w:rPr>
                <w:sz w:val="18"/>
                <w:szCs w:val="18"/>
              </w:rPr>
              <w:t>106</w:t>
            </w:r>
          </w:p>
        </w:tc>
      </w:tr>
    </w:tbl>
    <w:p w14:paraId="10476452" w14:textId="77777777" w:rsidR="00DC5685" w:rsidRPr="00A34F10" w:rsidRDefault="00DC5685" w:rsidP="00DC5685">
      <w:pPr>
        <w:autoSpaceDE w:val="0"/>
        <w:autoSpaceDN w:val="0"/>
        <w:adjustRightInd w:val="0"/>
        <w:snapToGrid w:val="0"/>
        <w:ind w:left="567" w:hanging="567"/>
        <w:rPr>
          <w:color w:val="000000"/>
          <w:sz w:val="18"/>
          <w:szCs w:val="18"/>
          <w:lang w:val="en-GB"/>
        </w:rPr>
      </w:pPr>
      <w:r w:rsidRPr="00A34F10">
        <w:rPr>
          <w:color w:val="000000"/>
          <w:sz w:val="18"/>
          <w:szCs w:val="18"/>
          <w:lang w:val="en-GB"/>
        </w:rPr>
        <w:t>LOQ: 1.48 mg/kg Propamocarb, LOQ: 0.469 mg/kg BAS 650 F</w:t>
      </w:r>
    </w:p>
    <w:p w14:paraId="1DE05E28" w14:textId="77777777" w:rsidR="00DC5685" w:rsidRPr="00A34F10" w:rsidRDefault="00DC5685" w:rsidP="00DC5685">
      <w:pPr>
        <w:autoSpaceDE w:val="0"/>
        <w:autoSpaceDN w:val="0"/>
        <w:adjustRightInd w:val="0"/>
        <w:snapToGrid w:val="0"/>
        <w:ind w:left="567" w:hanging="567"/>
        <w:rPr>
          <w:color w:val="000000"/>
          <w:sz w:val="18"/>
          <w:szCs w:val="18"/>
          <w:highlight w:val="yellow"/>
          <w:lang w:val="x-none"/>
        </w:rPr>
      </w:pPr>
      <w:r w:rsidRPr="00A34F10">
        <w:rPr>
          <w:color w:val="000000"/>
          <w:sz w:val="18"/>
          <w:szCs w:val="18"/>
          <w:lang w:val="en-GB"/>
        </w:rPr>
        <w:t>LOD: 0.311 mg/kg Propamocarb, LOD: 0.0988 mg/kg BAS 650 F</w:t>
      </w:r>
    </w:p>
    <w:p w14:paraId="01A55788" w14:textId="77777777" w:rsidR="00DC5685" w:rsidRPr="00A34F10" w:rsidRDefault="00DC5685" w:rsidP="00DC5685">
      <w:pPr>
        <w:widowControl w:val="0"/>
        <w:jc w:val="both"/>
        <w:rPr>
          <w:highlight w:val="yellow"/>
          <w:lang w:val="x-none"/>
        </w:rPr>
      </w:pPr>
    </w:p>
    <w:p w14:paraId="73FEB475" w14:textId="77777777" w:rsidR="00DC5685" w:rsidRPr="00A34F10" w:rsidRDefault="00DC5685" w:rsidP="00E05ECD">
      <w:pPr>
        <w:numPr>
          <w:ilvl w:val="0"/>
          <w:numId w:val="62"/>
        </w:numPr>
        <w:ind w:left="284" w:hanging="284"/>
        <w:contextualSpacing/>
        <w:rPr>
          <w:b/>
          <w:bCs/>
          <w:caps/>
          <w:szCs w:val="24"/>
          <w:lang w:val="en-GB"/>
        </w:rPr>
      </w:pPr>
      <w:r w:rsidRPr="00A34F10">
        <w:rPr>
          <w:b/>
          <w:bCs/>
          <w:caps/>
          <w:szCs w:val="24"/>
          <w:lang w:val="en-GB"/>
        </w:rPr>
        <w:t>VALIDITY CRITERIA</w:t>
      </w:r>
    </w:p>
    <w:p w14:paraId="0D5DD4CF" w14:textId="77777777" w:rsidR="00DC5685" w:rsidRPr="00A34F10" w:rsidRDefault="00DC5685" w:rsidP="00DC5685">
      <w:pPr>
        <w:tabs>
          <w:tab w:val="left" w:pos="720"/>
        </w:tabs>
        <w:spacing w:after="240"/>
        <w:contextualSpacing/>
        <w:jc w:val="both"/>
        <w:rPr>
          <w:szCs w:val="24"/>
          <w:lang w:val="en-GB"/>
        </w:rPr>
      </w:pPr>
    </w:p>
    <w:p w14:paraId="63B9B6AE" w14:textId="77777777" w:rsidR="00DC5685" w:rsidRPr="00A34F10" w:rsidRDefault="00DC5685" w:rsidP="00DC5685">
      <w:pPr>
        <w:tabs>
          <w:tab w:val="left" w:pos="720"/>
        </w:tabs>
        <w:spacing w:after="240"/>
        <w:contextualSpacing/>
        <w:jc w:val="both"/>
        <w:rPr>
          <w:szCs w:val="24"/>
          <w:lang w:val="en-GB"/>
        </w:rPr>
      </w:pPr>
      <w:r w:rsidRPr="00A34F10">
        <w:rPr>
          <w:szCs w:val="24"/>
          <w:lang w:val="en-GB"/>
        </w:rPr>
        <w:t>All validity criteria were met.</w:t>
      </w:r>
    </w:p>
    <w:p w14:paraId="66A214DD" w14:textId="77777777" w:rsidR="00DC5685" w:rsidRPr="00A34F10" w:rsidRDefault="00DC5685" w:rsidP="00DC5685">
      <w:pPr>
        <w:tabs>
          <w:tab w:val="left" w:pos="720"/>
        </w:tabs>
        <w:spacing w:after="240"/>
        <w:contextualSpacing/>
        <w:jc w:val="both"/>
        <w:rPr>
          <w:szCs w:val="24"/>
          <w:lang w:val="en-GB"/>
        </w:rPr>
      </w:pPr>
    </w:p>
    <w:p w14:paraId="73075273" w14:textId="60934ABD" w:rsidR="00DC5685" w:rsidRPr="00A34F10" w:rsidRDefault="001805B3" w:rsidP="001805B3">
      <w:pPr>
        <w:pStyle w:val="Legenda"/>
        <w:rPr>
          <w:color w:val="000000"/>
        </w:rPr>
      </w:pPr>
      <w:r>
        <w:t xml:space="preserve">Table A </w:t>
      </w:r>
      <w:r>
        <w:fldChar w:fldCharType="begin"/>
      </w:r>
      <w:r>
        <w:instrText xml:space="preserve"> SEQ Table_A \* ARABIC </w:instrText>
      </w:r>
      <w:r>
        <w:fldChar w:fldCharType="separate"/>
      </w:r>
      <w:r w:rsidR="006F0F3B">
        <w:rPr>
          <w:noProof/>
        </w:rPr>
        <w:t>60</w:t>
      </w:r>
      <w:r>
        <w:fldChar w:fldCharType="end"/>
      </w:r>
      <w:r w:rsidR="00DC5685" w:rsidRPr="00A34F10">
        <w:rPr>
          <w:color w:val="000000"/>
        </w:rPr>
        <w:t>:</w:t>
      </w:r>
      <w:r w:rsidR="00772D00" w:rsidRPr="00A34F10">
        <w:rPr>
          <w:color w:val="000000"/>
        </w:rPr>
        <w:tab/>
      </w:r>
      <w:r w:rsidR="00DC5685" w:rsidRPr="00A34F10">
        <w:rPr>
          <w:color w:val="000000"/>
        </w:rPr>
        <w:t xml:space="preserve"> Validity criteria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92"/>
        <w:gridCol w:w="1202"/>
      </w:tblGrid>
      <w:tr w:rsidR="00DC5685" w:rsidRPr="00A34F10" w14:paraId="217FC4BA" w14:textId="77777777" w:rsidTr="000470C3">
        <w:trPr>
          <w:trHeight w:val="270"/>
        </w:trPr>
        <w:tc>
          <w:tcPr>
            <w:tcW w:w="8292" w:type="dxa"/>
            <w:shd w:val="clear" w:color="auto" w:fill="auto"/>
            <w:noWrap/>
            <w:hideMark/>
          </w:tcPr>
          <w:p w14:paraId="7AF302C1" w14:textId="77777777" w:rsidR="00DC5685" w:rsidRPr="00A34F10" w:rsidRDefault="00DC5685" w:rsidP="00DC5685">
            <w:pPr>
              <w:spacing w:before="40" w:after="40"/>
              <w:rPr>
                <w:b/>
                <w:bCs/>
                <w:sz w:val="20"/>
                <w:szCs w:val="20"/>
              </w:rPr>
            </w:pPr>
            <w:r w:rsidRPr="00A34F10">
              <w:rPr>
                <w:b/>
                <w:bCs/>
                <w:sz w:val="20"/>
                <w:szCs w:val="20"/>
              </w:rPr>
              <w:t>Validity criteria according to OECD 239 (2016)</w:t>
            </w:r>
          </w:p>
        </w:tc>
        <w:tc>
          <w:tcPr>
            <w:tcW w:w="1202" w:type="dxa"/>
            <w:shd w:val="clear" w:color="auto" w:fill="auto"/>
            <w:noWrap/>
            <w:hideMark/>
          </w:tcPr>
          <w:p w14:paraId="57BDA56A" w14:textId="77777777" w:rsidR="00DC5685" w:rsidRPr="00A34F10" w:rsidRDefault="00DC5685" w:rsidP="00DC5685">
            <w:pPr>
              <w:spacing w:before="40" w:after="40"/>
              <w:rPr>
                <w:b/>
                <w:bCs/>
                <w:sz w:val="20"/>
                <w:szCs w:val="20"/>
              </w:rPr>
            </w:pPr>
            <w:r w:rsidRPr="00A34F10">
              <w:rPr>
                <w:b/>
                <w:bCs/>
                <w:sz w:val="20"/>
                <w:szCs w:val="20"/>
              </w:rPr>
              <w:t>Obtained in this study</w:t>
            </w:r>
          </w:p>
        </w:tc>
      </w:tr>
      <w:tr w:rsidR="00DC5685" w:rsidRPr="00A34F10" w14:paraId="4E75E59A" w14:textId="77777777" w:rsidTr="000470C3">
        <w:trPr>
          <w:trHeight w:val="270"/>
        </w:trPr>
        <w:tc>
          <w:tcPr>
            <w:tcW w:w="8292" w:type="dxa"/>
            <w:shd w:val="clear" w:color="auto" w:fill="auto"/>
            <w:noWrap/>
          </w:tcPr>
          <w:p w14:paraId="3DAAD8A8" w14:textId="77777777" w:rsidR="00DC5685" w:rsidRPr="00A34F10" w:rsidRDefault="00DC5685" w:rsidP="00DC5685">
            <w:pPr>
              <w:autoSpaceDE w:val="0"/>
              <w:autoSpaceDN w:val="0"/>
              <w:adjustRightInd w:val="0"/>
              <w:snapToGrid w:val="0"/>
              <w:rPr>
                <w:color w:val="000000"/>
                <w:sz w:val="20"/>
                <w:szCs w:val="20"/>
                <w:lang w:val="x-none"/>
              </w:rPr>
            </w:pPr>
            <w:r w:rsidRPr="00A34F10">
              <w:rPr>
                <w:color w:val="000000"/>
                <w:sz w:val="20"/>
                <w:szCs w:val="20"/>
                <w:lang w:val="x-none"/>
              </w:rPr>
              <w:t>In the control plate(s), cumulative larval mortality from D3 to D8 should be ≤15% across all</w:t>
            </w:r>
            <w:r w:rsidRPr="00A34F10">
              <w:rPr>
                <w:color w:val="000000"/>
                <w:sz w:val="20"/>
                <w:szCs w:val="20"/>
                <w:lang w:val="en-GB"/>
              </w:rPr>
              <w:t xml:space="preserve"> </w:t>
            </w:r>
            <w:r w:rsidRPr="00A34F10">
              <w:rPr>
                <w:color w:val="000000"/>
                <w:sz w:val="20"/>
                <w:szCs w:val="20"/>
                <w:lang w:val="x-none"/>
              </w:rPr>
              <w:t>replicates.</w:t>
            </w:r>
          </w:p>
        </w:tc>
        <w:tc>
          <w:tcPr>
            <w:tcW w:w="1202" w:type="dxa"/>
            <w:shd w:val="clear" w:color="auto" w:fill="auto"/>
            <w:noWrap/>
          </w:tcPr>
          <w:p w14:paraId="5E466AA3" w14:textId="77777777" w:rsidR="00DC5685" w:rsidRPr="00A34F10" w:rsidRDefault="00DC5685" w:rsidP="00DC5685">
            <w:pPr>
              <w:spacing w:before="40" w:after="40"/>
              <w:rPr>
                <w:sz w:val="20"/>
                <w:szCs w:val="20"/>
              </w:rPr>
            </w:pPr>
            <w:r w:rsidRPr="00A34F10">
              <w:rPr>
                <w:sz w:val="20"/>
                <w:szCs w:val="20"/>
              </w:rPr>
              <w:t>0.0%</w:t>
            </w:r>
          </w:p>
        </w:tc>
      </w:tr>
      <w:tr w:rsidR="00DC5685" w:rsidRPr="00A34F10" w14:paraId="2AAA7621" w14:textId="77777777" w:rsidTr="000470C3">
        <w:trPr>
          <w:trHeight w:val="270"/>
        </w:trPr>
        <w:tc>
          <w:tcPr>
            <w:tcW w:w="8292" w:type="dxa"/>
            <w:shd w:val="clear" w:color="auto" w:fill="auto"/>
            <w:noWrap/>
          </w:tcPr>
          <w:p w14:paraId="1BF61E7D" w14:textId="77777777" w:rsidR="00DC5685" w:rsidRPr="00A34F10" w:rsidRDefault="00DC5685" w:rsidP="00DC5685">
            <w:pPr>
              <w:autoSpaceDE w:val="0"/>
              <w:autoSpaceDN w:val="0"/>
              <w:adjustRightInd w:val="0"/>
              <w:spacing w:before="40" w:after="40"/>
              <w:rPr>
                <w:rFonts w:eastAsia="Calibri"/>
                <w:sz w:val="20"/>
                <w:szCs w:val="20"/>
                <w:lang w:val="en-GB"/>
              </w:rPr>
            </w:pPr>
            <w:r w:rsidRPr="00A34F10">
              <w:rPr>
                <w:rFonts w:eastAsia="Calibri"/>
                <w:sz w:val="20"/>
                <w:szCs w:val="20"/>
                <w:lang w:val="x-none"/>
              </w:rPr>
              <w:t>In the control plate(s), the adult emergence rate on D22 should be ≥70% across all replicates</w:t>
            </w:r>
            <w:r w:rsidRPr="00A34F10">
              <w:rPr>
                <w:rFonts w:eastAsia="Calibri"/>
                <w:sz w:val="20"/>
                <w:szCs w:val="20"/>
                <w:lang w:val="en-GB"/>
              </w:rPr>
              <w:t>.</w:t>
            </w:r>
          </w:p>
        </w:tc>
        <w:tc>
          <w:tcPr>
            <w:tcW w:w="1202" w:type="dxa"/>
            <w:shd w:val="clear" w:color="auto" w:fill="auto"/>
            <w:noWrap/>
          </w:tcPr>
          <w:p w14:paraId="4BFC5735" w14:textId="77777777" w:rsidR="00DC5685" w:rsidRPr="00A34F10" w:rsidRDefault="00DC5685" w:rsidP="00DC5685">
            <w:pPr>
              <w:spacing w:before="40" w:after="40"/>
              <w:rPr>
                <w:sz w:val="20"/>
                <w:szCs w:val="20"/>
              </w:rPr>
            </w:pPr>
            <w:r w:rsidRPr="00A34F10">
              <w:rPr>
                <w:sz w:val="20"/>
                <w:szCs w:val="20"/>
              </w:rPr>
              <w:t>83.3%</w:t>
            </w:r>
          </w:p>
        </w:tc>
      </w:tr>
      <w:tr w:rsidR="00DC5685" w:rsidRPr="00A34F10" w14:paraId="52D70576" w14:textId="77777777" w:rsidTr="000470C3">
        <w:trPr>
          <w:trHeight w:val="270"/>
        </w:trPr>
        <w:tc>
          <w:tcPr>
            <w:tcW w:w="8292" w:type="dxa"/>
            <w:shd w:val="clear" w:color="auto" w:fill="auto"/>
            <w:noWrap/>
          </w:tcPr>
          <w:p w14:paraId="68829CB6" w14:textId="77777777" w:rsidR="00DC5685" w:rsidRPr="00A34F10" w:rsidRDefault="00DC5685" w:rsidP="00DC5685">
            <w:pPr>
              <w:autoSpaceDE w:val="0"/>
              <w:autoSpaceDN w:val="0"/>
              <w:adjustRightInd w:val="0"/>
              <w:spacing w:before="40" w:after="40"/>
              <w:rPr>
                <w:sz w:val="20"/>
                <w:szCs w:val="20"/>
                <w:lang w:val="en-GB"/>
              </w:rPr>
            </w:pPr>
            <w:r w:rsidRPr="00A34F10">
              <w:rPr>
                <w:sz w:val="20"/>
                <w:szCs w:val="20"/>
                <w:lang w:val="x-none"/>
              </w:rPr>
              <w:t>Positive control: if dimethoate is used, larval mortality should be ≥50% on D8 across all replicates</w:t>
            </w:r>
            <w:r w:rsidRPr="00A34F10">
              <w:rPr>
                <w:sz w:val="20"/>
                <w:szCs w:val="20"/>
                <w:lang w:val="en-GB"/>
              </w:rPr>
              <w:t>.</w:t>
            </w:r>
          </w:p>
        </w:tc>
        <w:tc>
          <w:tcPr>
            <w:tcW w:w="1202" w:type="dxa"/>
            <w:shd w:val="clear" w:color="auto" w:fill="auto"/>
            <w:noWrap/>
          </w:tcPr>
          <w:p w14:paraId="75C2F251" w14:textId="77777777" w:rsidR="00DC5685" w:rsidRPr="00A34F10" w:rsidRDefault="00DC5685" w:rsidP="00DC5685">
            <w:pPr>
              <w:spacing w:before="40" w:after="40"/>
              <w:rPr>
                <w:sz w:val="20"/>
                <w:szCs w:val="20"/>
              </w:rPr>
            </w:pPr>
            <w:r w:rsidRPr="00A34F10">
              <w:rPr>
                <w:sz w:val="20"/>
                <w:szCs w:val="20"/>
              </w:rPr>
              <w:t>80.6%</w:t>
            </w:r>
          </w:p>
        </w:tc>
      </w:tr>
    </w:tbl>
    <w:p w14:paraId="1DF95969" w14:textId="77777777" w:rsidR="00DC5685" w:rsidRPr="00A34F10" w:rsidRDefault="00DC5685" w:rsidP="00DC5685">
      <w:pPr>
        <w:ind w:left="284"/>
        <w:contextualSpacing/>
        <w:rPr>
          <w:b/>
          <w:bCs/>
          <w:caps/>
          <w:szCs w:val="24"/>
          <w:lang w:val="en-GB"/>
        </w:rPr>
      </w:pPr>
    </w:p>
    <w:p w14:paraId="01E7C6F2" w14:textId="77777777" w:rsidR="00DC5685" w:rsidRPr="00A34F10" w:rsidRDefault="00DC5685" w:rsidP="00E05ECD">
      <w:pPr>
        <w:numPr>
          <w:ilvl w:val="0"/>
          <w:numId w:val="62"/>
        </w:numPr>
        <w:ind w:left="284" w:hanging="284"/>
        <w:contextualSpacing/>
        <w:rPr>
          <w:b/>
          <w:bCs/>
          <w:caps/>
          <w:szCs w:val="24"/>
          <w:lang w:val="en-GB"/>
        </w:rPr>
      </w:pPr>
      <w:r w:rsidRPr="00A34F10">
        <w:rPr>
          <w:b/>
          <w:bCs/>
          <w:caps/>
          <w:szCs w:val="24"/>
          <w:lang w:val="en-GB"/>
        </w:rPr>
        <w:t>DEFICIENCIES</w:t>
      </w:r>
    </w:p>
    <w:p w14:paraId="33C7F56D" w14:textId="77777777" w:rsidR="00DC5685" w:rsidRPr="00A34F10" w:rsidRDefault="00DC5685" w:rsidP="00DC5685">
      <w:pPr>
        <w:ind w:left="284"/>
        <w:contextualSpacing/>
        <w:rPr>
          <w:b/>
          <w:bCs/>
          <w:caps/>
          <w:szCs w:val="24"/>
          <w:lang w:val="en-GB"/>
        </w:rPr>
      </w:pPr>
    </w:p>
    <w:p w14:paraId="191F2354" w14:textId="77777777" w:rsidR="00DC5685" w:rsidRDefault="00DC5685" w:rsidP="00DC5685">
      <w:pPr>
        <w:tabs>
          <w:tab w:val="left" w:pos="720"/>
        </w:tabs>
        <w:spacing w:after="240"/>
        <w:jc w:val="both"/>
        <w:rPr>
          <w:szCs w:val="24"/>
          <w:lang w:val="en-GB"/>
        </w:rPr>
      </w:pPr>
      <w:r w:rsidRPr="00A34F10">
        <w:rPr>
          <w:szCs w:val="24"/>
          <w:lang w:val="en-GB"/>
        </w:rPr>
        <w:t xml:space="preserve">There were no deviations </w:t>
      </w:r>
      <w:r w:rsidRPr="00A34F10">
        <w:rPr>
          <w:szCs w:val="24"/>
        </w:rPr>
        <w:t>with impact on quality and integrity of the study</w:t>
      </w:r>
      <w:r w:rsidRPr="00A34F10">
        <w:rPr>
          <w:szCs w:val="24"/>
          <w:lang w:val="en-GB"/>
        </w:rPr>
        <w:t xml:space="preserve">. </w:t>
      </w:r>
    </w:p>
    <w:p w14:paraId="0210B507" w14:textId="77777777" w:rsidR="008D2927" w:rsidRPr="00A34F10" w:rsidRDefault="008D2927" w:rsidP="00DC5685">
      <w:pPr>
        <w:tabs>
          <w:tab w:val="left" w:pos="720"/>
        </w:tabs>
        <w:spacing w:after="240"/>
        <w:jc w:val="both"/>
        <w:rPr>
          <w:szCs w:val="24"/>
          <w:lang w:val="en-GB"/>
        </w:rPr>
      </w:pPr>
    </w:p>
    <w:p w14:paraId="7BCF5185" w14:textId="77777777" w:rsidR="008D2927" w:rsidRDefault="008D2927">
      <w:pPr>
        <w:rPr>
          <w:b/>
          <w:bCs/>
          <w:caps/>
          <w:szCs w:val="24"/>
          <w:lang w:val="en-GB"/>
        </w:rPr>
      </w:pPr>
      <w:r>
        <w:rPr>
          <w:b/>
          <w:bCs/>
          <w:caps/>
          <w:szCs w:val="24"/>
          <w:lang w:val="en-GB"/>
        </w:rPr>
        <w:br w:type="page"/>
      </w:r>
    </w:p>
    <w:p w14:paraId="5A9B17FE" w14:textId="55FD91CD" w:rsidR="00DC5685" w:rsidRPr="00A34F10" w:rsidRDefault="00DC5685" w:rsidP="00E05ECD">
      <w:pPr>
        <w:numPr>
          <w:ilvl w:val="0"/>
          <w:numId w:val="50"/>
        </w:numPr>
        <w:tabs>
          <w:tab w:val="left" w:pos="720"/>
        </w:tabs>
        <w:spacing w:after="240"/>
        <w:jc w:val="center"/>
        <w:rPr>
          <w:b/>
          <w:bCs/>
          <w:caps/>
          <w:szCs w:val="24"/>
          <w:lang w:val="en-GB"/>
        </w:rPr>
      </w:pPr>
      <w:r w:rsidRPr="00A34F10">
        <w:rPr>
          <w:b/>
          <w:bCs/>
          <w:caps/>
          <w:szCs w:val="24"/>
          <w:lang w:val="en-GB"/>
        </w:rPr>
        <w:lastRenderedPageBreak/>
        <w:t>Conclusion</w:t>
      </w:r>
    </w:p>
    <w:p w14:paraId="0AF45A3F" w14:textId="77777777" w:rsidR="00DC5685" w:rsidRPr="00A34F10" w:rsidRDefault="00DC5685" w:rsidP="00DC5685">
      <w:pPr>
        <w:jc w:val="both"/>
        <w:rPr>
          <w:lang w:val="en-GB"/>
        </w:rPr>
      </w:pPr>
      <w:r w:rsidRPr="00A34F10">
        <w:rPr>
          <w:lang w:val="en-GB"/>
        </w:rPr>
        <w:t>In a repeated exposure larval toxicity study with BAS 743 02 F, the 8- day LD</w:t>
      </w:r>
      <w:r w:rsidRPr="00A34F10">
        <w:rPr>
          <w:vertAlign w:val="subscript"/>
          <w:lang w:val="en-GB"/>
        </w:rPr>
        <w:t>50</w:t>
      </w:r>
      <w:r w:rsidRPr="00A34F10">
        <w:rPr>
          <w:lang w:val="en-GB"/>
        </w:rPr>
        <w:t xml:space="preserve"> was estimated to be &gt; 352.2 µg product/larva, corresponding to an LC</w:t>
      </w:r>
      <w:r w:rsidRPr="00A34F10">
        <w:rPr>
          <w:vertAlign w:val="subscript"/>
          <w:lang w:val="en-GB"/>
        </w:rPr>
        <w:t>50</w:t>
      </w:r>
      <w:r w:rsidRPr="00A34F10">
        <w:rPr>
          <w:lang w:val="en-GB"/>
        </w:rPr>
        <w:t xml:space="preserve"> of &gt; 2226.1 mg product/kg food. The respective NOED was ≥ 352.2 µg product/larva and the corresponding NOEC was ≥ 2226.1 mg product/kg food. </w:t>
      </w:r>
    </w:p>
    <w:p w14:paraId="5B36D6BC" w14:textId="6105D051" w:rsidR="00772D00" w:rsidRPr="00A34F10" w:rsidRDefault="00DC5685" w:rsidP="00DC5685">
      <w:pPr>
        <w:widowControl w:val="0"/>
        <w:jc w:val="both"/>
        <w:rPr>
          <w:lang w:val="en-GB"/>
        </w:rPr>
      </w:pPr>
      <w:r w:rsidRPr="00A34F10">
        <w:rPr>
          <w:lang w:val="en-GB"/>
        </w:rPr>
        <w:t>The 22-day ED</w:t>
      </w:r>
      <w:r w:rsidRPr="00A34F10">
        <w:rPr>
          <w:vertAlign w:val="subscript"/>
          <w:lang w:val="en-GB"/>
        </w:rPr>
        <w:t>50</w:t>
      </w:r>
      <w:r w:rsidRPr="00A34F10">
        <w:rPr>
          <w:lang w:val="en-GB"/>
        </w:rPr>
        <w:t xml:space="preserve"> (successful adult emergence) was determined to be &gt; 352.2 µg product/larva, corresponding to an EC</w:t>
      </w:r>
      <w:r w:rsidRPr="00A34F10">
        <w:rPr>
          <w:vertAlign w:val="subscript"/>
          <w:lang w:val="en-GB"/>
        </w:rPr>
        <w:t>50</w:t>
      </w:r>
      <w:r w:rsidRPr="00A34F10">
        <w:rPr>
          <w:lang w:val="en-GB"/>
        </w:rPr>
        <w:t xml:space="preserve"> of &gt; 2226.1 mg product/kg food. </w:t>
      </w:r>
      <w:r w:rsidRPr="00A34F10">
        <w:t>The 22-day ED</w:t>
      </w:r>
      <w:r w:rsidRPr="00A34F10">
        <w:rPr>
          <w:vertAlign w:val="subscript"/>
        </w:rPr>
        <w:t>20</w:t>
      </w:r>
      <w:r w:rsidRPr="00A34F10">
        <w:t xml:space="preserve"> and ED</w:t>
      </w:r>
      <w:r w:rsidRPr="00A34F10">
        <w:rPr>
          <w:vertAlign w:val="subscript"/>
        </w:rPr>
        <w:t>10</w:t>
      </w:r>
      <w:r w:rsidRPr="00A34F10">
        <w:t xml:space="preserve"> values were determined to be 93.3 and 44.5 µg product/larva, respectively. </w:t>
      </w:r>
      <w:r w:rsidRPr="00A34F10">
        <w:rPr>
          <w:lang w:val="en-GB"/>
        </w:rPr>
        <w:t>The respective NOED was 39.1 µg product/larva and the corresponding NOEC was 247.1 mg product/kg food.</w:t>
      </w:r>
      <w:bookmarkEnd w:id="1117"/>
    </w:p>
    <w:p w14:paraId="61D8DECF" w14:textId="77777777" w:rsidR="00DC5685" w:rsidRPr="00A34F10" w:rsidRDefault="00DC5685" w:rsidP="00772D00">
      <w:pPr>
        <w:pStyle w:val="RepAppendix4"/>
      </w:pPr>
      <w:r w:rsidRPr="00A34F10">
        <w:t xml:space="preserve">KCP 10.3.1.4 </w:t>
      </w:r>
      <w:r w:rsidRPr="00A34F10">
        <w:tab/>
        <w:t>Sub-lethal effects</w:t>
      </w:r>
    </w:p>
    <w:p w14:paraId="57E89658" w14:textId="77777777" w:rsidR="00DC5685" w:rsidRPr="00A34F10" w:rsidRDefault="00DC5685" w:rsidP="00DC5685">
      <w:pPr>
        <w:widowControl w:val="0"/>
        <w:jc w:val="both"/>
      </w:pPr>
      <w:bookmarkStart w:id="1118" w:name="_Hlk135687346"/>
      <w:r w:rsidRPr="00A34F10">
        <w:rPr>
          <w:color w:val="000000" w:themeColor="text1"/>
        </w:rPr>
        <w:t>As BAS 743 03 F does not pose an unacceptable risk to honeybees, further tests are not necessary.</w:t>
      </w:r>
      <w:bookmarkEnd w:id="1118"/>
    </w:p>
    <w:p w14:paraId="10DCA46F" w14:textId="77777777" w:rsidR="00DC5685" w:rsidRPr="00A34F10" w:rsidRDefault="00DC5685" w:rsidP="00772D00">
      <w:pPr>
        <w:pStyle w:val="RepAppendix4"/>
      </w:pPr>
      <w:r w:rsidRPr="00A34F10">
        <w:t xml:space="preserve">KCP 10.3.1.5 </w:t>
      </w:r>
      <w:r w:rsidRPr="00A34F10">
        <w:tab/>
        <w:t>Cage and tunnel tests</w:t>
      </w:r>
    </w:p>
    <w:p w14:paraId="7B9CF077" w14:textId="77777777" w:rsidR="00DC5685" w:rsidRPr="00A34F10" w:rsidRDefault="00DC5685" w:rsidP="00DC5685">
      <w:pPr>
        <w:widowControl w:val="0"/>
        <w:jc w:val="both"/>
      </w:pPr>
      <w:bookmarkStart w:id="1119" w:name="_Hlk137153574"/>
      <w:r w:rsidRPr="00A34F10">
        <w:rPr>
          <w:color w:val="000000" w:themeColor="text1"/>
        </w:rPr>
        <w:t>No data submitted.</w:t>
      </w:r>
      <w:bookmarkEnd w:id="1119"/>
    </w:p>
    <w:p w14:paraId="4EC203A2" w14:textId="77777777" w:rsidR="00DC5685" w:rsidRPr="00A34F10" w:rsidRDefault="00DC5685" w:rsidP="00772D00">
      <w:pPr>
        <w:pStyle w:val="RepAppendix4"/>
      </w:pPr>
      <w:r w:rsidRPr="00A34F10">
        <w:t xml:space="preserve">KCP 10.3.1.6 </w:t>
      </w:r>
      <w:r w:rsidRPr="00A34F10">
        <w:tab/>
        <w:t>Field tests with honeybees</w:t>
      </w:r>
    </w:p>
    <w:p w14:paraId="0412482E" w14:textId="77777777" w:rsidR="00DC5685" w:rsidRPr="00A34F10" w:rsidRDefault="00DC5685" w:rsidP="00DC5685">
      <w:pPr>
        <w:widowControl w:val="0"/>
        <w:jc w:val="both"/>
      </w:pPr>
      <w:r w:rsidRPr="00A34F10">
        <w:rPr>
          <w:color w:val="000000" w:themeColor="text1"/>
        </w:rPr>
        <w:t>No data submitted.</w:t>
      </w:r>
    </w:p>
    <w:p w14:paraId="4C67B685" w14:textId="5B77494F" w:rsidR="00DC5685" w:rsidRPr="00A34F10" w:rsidRDefault="00DC5685" w:rsidP="00772D00">
      <w:pPr>
        <w:pStyle w:val="RepAppendix3"/>
      </w:pPr>
      <w:bookmarkStart w:id="1120" w:name="_Toc181625027"/>
      <w:r w:rsidRPr="00A34F10">
        <w:t>KCP 10.3.2</w:t>
      </w:r>
      <w:r w:rsidRPr="00A34F10">
        <w:tab/>
        <w:t>Effects on non-target arthropods other than bees</w:t>
      </w:r>
      <w:bookmarkEnd w:id="1120"/>
    </w:p>
    <w:p w14:paraId="41D1F3CB" w14:textId="77777777" w:rsidR="00DC5685" w:rsidRPr="00A34F10" w:rsidRDefault="00DC5685" w:rsidP="00772D00">
      <w:pPr>
        <w:pStyle w:val="RepAppendix4"/>
      </w:pPr>
      <w:r w:rsidRPr="00A34F10">
        <w:t>KCP 10.3.2.1</w:t>
      </w:r>
      <w:r w:rsidRPr="00A34F10">
        <w:tab/>
        <w:t>Standard laboratory testing for non-target arthropods</w:t>
      </w:r>
    </w:p>
    <w:p w14:paraId="2E8286AB" w14:textId="77777777" w:rsidR="00DC5685" w:rsidRPr="00A34F10" w:rsidRDefault="00DC5685" w:rsidP="00AD2950">
      <w:pPr>
        <w:pStyle w:val="RepAppendix5"/>
      </w:pPr>
      <w:bookmarkStart w:id="1121" w:name="_Hlk137153621"/>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1FA46A83" w14:textId="77777777" w:rsidTr="00C4331C">
        <w:tc>
          <w:tcPr>
            <w:tcW w:w="1063" w:type="pct"/>
            <w:shd w:val="clear" w:color="auto" w:fill="D9D9D9" w:themeFill="background1" w:themeFillShade="D9"/>
          </w:tcPr>
          <w:p w14:paraId="60751261"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064EFF4A" w14:textId="6CC894E8" w:rsidR="00DC5685" w:rsidRPr="00A34F10" w:rsidRDefault="00DC5685" w:rsidP="006C3A24">
            <w:pPr>
              <w:pStyle w:val="RepStandard"/>
              <w:rPr>
                <w:rFonts w:eastAsia="Batang"/>
                <w:color w:val="000000" w:themeColor="text1"/>
              </w:rPr>
            </w:pPr>
            <w:r w:rsidRPr="00A34F10">
              <w:rPr>
                <w:color w:val="000000" w:themeColor="text1"/>
              </w:rPr>
              <w:t xml:space="preserve"> </w:t>
            </w:r>
            <w:r w:rsidR="006C3A24" w:rsidRPr="0037666C">
              <w:rPr>
                <w:rFonts w:eastAsia="Batang"/>
              </w:rPr>
              <w:t xml:space="preserve">The study was conducted to the guideline and according to the principles of GLP. All validity criterions were met. </w:t>
            </w:r>
            <w:r w:rsidR="006C3A24" w:rsidRPr="0037666C">
              <w:rPr>
                <w:color w:val="000000"/>
              </w:rPr>
              <w:t xml:space="preserve">The study is considered to be reliable </w:t>
            </w:r>
            <w:r w:rsidR="006C3A24" w:rsidRPr="0037666C">
              <w:t>and suitable for the risk assessment</w:t>
            </w:r>
            <w:r w:rsidR="006C3A24" w:rsidRPr="0037666C">
              <w:rPr>
                <w:color w:val="000000"/>
              </w:rPr>
              <w:t>.</w:t>
            </w:r>
            <w:r w:rsidRPr="00A34F10">
              <w:rPr>
                <w:color w:val="000000" w:themeColor="text1"/>
              </w:rPr>
              <w:fldChar w:fldCharType="begin"/>
            </w:r>
            <w:r w:rsidRPr="00A34F10">
              <w:rPr>
                <w:color w:val="000000" w:themeColor="text1"/>
              </w:rPr>
              <w:instrText xml:space="preserve"> FORMTEXT </w:instrText>
            </w:r>
            <w:r w:rsidRPr="00A34F10">
              <w:rPr>
                <w:color w:val="000000" w:themeColor="text1"/>
              </w:rPr>
              <w:fldChar w:fldCharType="separate"/>
            </w:r>
            <w:r w:rsidRPr="00A34F10">
              <w:rPr>
                <w:color w:val="000000" w:themeColor="text1"/>
              </w:rPr>
              <w:fldChar w:fldCharType="end"/>
            </w:r>
          </w:p>
        </w:tc>
      </w:tr>
    </w:tbl>
    <w:p w14:paraId="0196F903" w14:textId="77777777" w:rsidR="00DC5685" w:rsidRPr="00A34F10" w:rsidRDefault="00DC5685" w:rsidP="00DC5685">
      <w:pPr>
        <w:rPr>
          <w:color w:val="000000" w:themeColor="text1"/>
          <w:highlight w:val="yellow"/>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1B31AE4A" w14:textId="77777777" w:rsidTr="000470C3">
        <w:trPr>
          <w:trHeight w:val="227"/>
          <w:jc w:val="center"/>
        </w:trPr>
        <w:tc>
          <w:tcPr>
            <w:tcW w:w="1288" w:type="pct"/>
          </w:tcPr>
          <w:p w14:paraId="17DB9E44" w14:textId="77777777" w:rsidR="00DC5685" w:rsidRPr="00A34F10" w:rsidRDefault="00DC5685" w:rsidP="00DC5685">
            <w:pPr>
              <w:widowControl w:val="0"/>
              <w:spacing w:after="120"/>
              <w:jc w:val="both"/>
              <w:rPr>
                <w:lang w:val="en-GB"/>
              </w:rPr>
            </w:pPr>
            <w:bookmarkStart w:id="1122" w:name="_Hlk135687425"/>
            <w:r w:rsidRPr="00A34F10">
              <w:rPr>
                <w:lang w:val="en-GB"/>
              </w:rPr>
              <w:t xml:space="preserve">Data point: </w:t>
            </w:r>
          </w:p>
        </w:tc>
        <w:tc>
          <w:tcPr>
            <w:tcW w:w="3712" w:type="pct"/>
          </w:tcPr>
          <w:p w14:paraId="5F5356B1" w14:textId="77777777" w:rsidR="00DC5685" w:rsidRPr="00A34F10" w:rsidRDefault="00DC5685" w:rsidP="00DC5685">
            <w:pPr>
              <w:widowControl w:val="0"/>
              <w:spacing w:after="120"/>
              <w:jc w:val="both"/>
              <w:rPr>
                <w:lang w:val="en-GB"/>
              </w:rPr>
            </w:pPr>
            <w:r w:rsidRPr="00A34F10">
              <w:rPr>
                <w:lang w:val="en-GB"/>
              </w:rPr>
              <w:t>CP 10.3.2.1/01</w:t>
            </w:r>
          </w:p>
        </w:tc>
      </w:tr>
      <w:tr w:rsidR="00DC5685" w:rsidRPr="00A34F10" w14:paraId="3D079C80" w14:textId="77777777" w:rsidTr="000470C3">
        <w:trPr>
          <w:trHeight w:val="227"/>
          <w:jc w:val="center"/>
        </w:trPr>
        <w:tc>
          <w:tcPr>
            <w:tcW w:w="1288" w:type="pct"/>
          </w:tcPr>
          <w:p w14:paraId="5BF810EB" w14:textId="77777777" w:rsidR="00DC5685" w:rsidRPr="00A34F10" w:rsidRDefault="00DC5685" w:rsidP="00DC5685">
            <w:pPr>
              <w:widowControl w:val="0"/>
              <w:spacing w:after="120"/>
              <w:jc w:val="both"/>
              <w:rPr>
                <w:lang w:val="en-GB"/>
              </w:rPr>
            </w:pPr>
            <w:r w:rsidRPr="00A34F10">
              <w:rPr>
                <w:lang w:val="en-GB"/>
              </w:rPr>
              <w:t xml:space="preserve">Report </w:t>
            </w:r>
          </w:p>
        </w:tc>
        <w:tc>
          <w:tcPr>
            <w:tcW w:w="3712" w:type="pct"/>
          </w:tcPr>
          <w:p w14:paraId="56ADDE83" w14:textId="77777777" w:rsidR="00DC5685" w:rsidRPr="00A34F10" w:rsidRDefault="00DC5685" w:rsidP="00DC5685">
            <w:pPr>
              <w:widowControl w:val="0"/>
              <w:spacing w:after="120"/>
              <w:jc w:val="both"/>
            </w:pPr>
            <w:r w:rsidRPr="00A34F10">
              <w:t xml:space="preserve">Effects of BAS 743 02 F on the predatory mite </w:t>
            </w:r>
            <w:r w:rsidRPr="00A34F10">
              <w:rPr>
                <w:i/>
                <w:iCs/>
              </w:rPr>
              <w:t>Typhlodromus pyri</w:t>
            </w:r>
            <w:r w:rsidRPr="00A34F10">
              <w:t xml:space="preserve"> SCHEUTEN in a laboratory test </w:t>
            </w:r>
          </w:p>
          <w:p w14:paraId="673E2AF1" w14:textId="77777777" w:rsidR="00DC5685" w:rsidRPr="00A34F10" w:rsidRDefault="00DC5685" w:rsidP="00DC5685">
            <w:pPr>
              <w:widowControl w:val="0"/>
              <w:spacing w:after="120"/>
              <w:jc w:val="both"/>
              <w:rPr>
                <w:lang w:val="en-GB"/>
              </w:rPr>
            </w:pPr>
            <w:r w:rsidRPr="00A34F10">
              <w:rPr>
                <w:lang w:val="en-GB"/>
              </w:rPr>
              <w:t>Röhlig, U., 2022a</w:t>
            </w:r>
          </w:p>
          <w:p w14:paraId="57025A35" w14:textId="7137EF0D" w:rsidR="00DC5685" w:rsidRPr="00A34F10" w:rsidRDefault="00D007AB" w:rsidP="00DC5685">
            <w:pPr>
              <w:widowControl w:val="0"/>
              <w:spacing w:after="120"/>
              <w:jc w:val="both"/>
            </w:pPr>
            <w:r>
              <w:t>XXXX</w:t>
            </w:r>
            <w:r w:rsidR="00DC5685" w:rsidRPr="00A34F10">
              <w:t xml:space="preserve"> Study ID: 933752_16</w:t>
            </w:r>
          </w:p>
          <w:p w14:paraId="104B8A5C" w14:textId="5D63C47E"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2022/2033725</w:t>
            </w:r>
          </w:p>
        </w:tc>
      </w:tr>
      <w:tr w:rsidR="00DC5685" w:rsidRPr="00A34F10" w14:paraId="517EFF9A" w14:textId="77777777" w:rsidTr="000470C3">
        <w:trPr>
          <w:trHeight w:val="227"/>
          <w:jc w:val="center"/>
        </w:trPr>
        <w:tc>
          <w:tcPr>
            <w:tcW w:w="1288" w:type="pct"/>
          </w:tcPr>
          <w:p w14:paraId="680BB35D"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712" w:type="pct"/>
            <w:shd w:val="clear" w:color="auto" w:fill="auto"/>
          </w:tcPr>
          <w:p w14:paraId="23ECE0F6" w14:textId="77777777" w:rsidR="00DC5685" w:rsidRPr="00A34F10" w:rsidRDefault="00DC5685" w:rsidP="00DC5685">
            <w:pPr>
              <w:widowControl w:val="0"/>
              <w:spacing w:after="120"/>
              <w:jc w:val="both"/>
            </w:pPr>
            <w:r w:rsidRPr="00A34F10">
              <w:rPr>
                <w:lang w:val="en-GB"/>
              </w:rPr>
              <w:t>IOBC (Blümel et al. 2000)</w:t>
            </w:r>
          </w:p>
        </w:tc>
      </w:tr>
      <w:tr w:rsidR="00DC5685" w:rsidRPr="00A34F10" w14:paraId="459267C4" w14:textId="77777777" w:rsidTr="000470C3">
        <w:trPr>
          <w:trHeight w:val="227"/>
          <w:jc w:val="center"/>
        </w:trPr>
        <w:tc>
          <w:tcPr>
            <w:tcW w:w="1288" w:type="pct"/>
          </w:tcPr>
          <w:p w14:paraId="1020A6AB"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712" w:type="pct"/>
            <w:shd w:val="clear" w:color="auto" w:fill="auto"/>
          </w:tcPr>
          <w:p w14:paraId="4FA69AED"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3C17EBC5" w14:textId="77777777" w:rsidTr="000470C3">
        <w:trPr>
          <w:trHeight w:val="227"/>
          <w:jc w:val="center"/>
        </w:trPr>
        <w:tc>
          <w:tcPr>
            <w:tcW w:w="1288" w:type="pct"/>
          </w:tcPr>
          <w:p w14:paraId="1CA392BC" w14:textId="77777777" w:rsidR="00DC5685" w:rsidRPr="00A34F10" w:rsidRDefault="00DC5685" w:rsidP="00DC5685">
            <w:pPr>
              <w:widowControl w:val="0"/>
              <w:spacing w:after="120"/>
              <w:jc w:val="both"/>
              <w:rPr>
                <w:lang w:val="en-GB"/>
              </w:rPr>
            </w:pPr>
            <w:r w:rsidRPr="00A34F10">
              <w:rPr>
                <w:lang w:val="en-GB"/>
              </w:rPr>
              <w:t>GLP:</w:t>
            </w:r>
          </w:p>
        </w:tc>
        <w:tc>
          <w:tcPr>
            <w:tcW w:w="3712" w:type="pct"/>
          </w:tcPr>
          <w:p w14:paraId="4A41098B"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038687CE" w14:textId="77777777" w:rsidTr="000470C3">
        <w:trPr>
          <w:trHeight w:val="227"/>
          <w:jc w:val="center"/>
        </w:trPr>
        <w:tc>
          <w:tcPr>
            <w:tcW w:w="1288" w:type="pct"/>
          </w:tcPr>
          <w:p w14:paraId="7CBCA8F9"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712" w:type="pct"/>
          </w:tcPr>
          <w:p w14:paraId="6CAB5270" w14:textId="77777777" w:rsidR="00DC5685" w:rsidRPr="00A34F10" w:rsidRDefault="00DC5685" w:rsidP="00DC5685">
            <w:pPr>
              <w:widowControl w:val="0"/>
              <w:spacing w:after="120"/>
              <w:jc w:val="both"/>
              <w:rPr>
                <w:lang w:val="en-GB"/>
              </w:rPr>
            </w:pPr>
            <w:r w:rsidRPr="00A34F10">
              <w:rPr>
                <w:lang w:val="en-GB"/>
              </w:rPr>
              <w:t>Yes</w:t>
            </w:r>
          </w:p>
        </w:tc>
      </w:tr>
    </w:tbl>
    <w:p w14:paraId="5B1499B7" w14:textId="77777777" w:rsidR="00DC5685" w:rsidRPr="00A34F10" w:rsidRDefault="00DC5685" w:rsidP="00DC5685">
      <w:pPr>
        <w:rPr>
          <w:color w:val="000000" w:themeColor="text1"/>
          <w:highlight w:val="yellow"/>
        </w:rPr>
      </w:pPr>
    </w:p>
    <w:p w14:paraId="4059DDF1" w14:textId="77777777" w:rsidR="00DC5685" w:rsidRPr="00A34F10" w:rsidRDefault="00DC5685" w:rsidP="00DC5685">
      <w:pPr>
        <w:keepNext/>
        <w:keepLines/>
        <w:tabs>
          <w:tab w:val="left" w:pos="720"/>
        </w:tabs>
        <w:spacing w:before="240"/>
        <w:jc w:val="both"/>
        <w:rPr>
          <w:b/>
          <w:color w:val="000000" w:themeColor="text1"/>
          <w:szCs w:val="32"/>
          <w:lang w:val="en-GB"/>
        </w:rPr>
      </w:pPr>
      <w:r w:rsidRPr="00A34F10">
        <w:rPr>
          <w:b/>
          <w:color w:val="000000" w:themeColor="text1"/>
          <w:szCs w:val="32"/>
          <w:lang w:val="en-GB"/>
        </w:rPr>
        <w:lastRenderedPageBreak/>
        <w:t>Executive Summary</w:t>
      </w:r>
    </w:p>
    <w:p w14:paraId="52A445EF" w14:textId="77777777" w:rsidR="00DC5685" w:rsidRPr="00A34F10" w:rsidRDefault="00DC5685" w:rsidP="00DC5685">
      <w:pPr>
        <w:keepNext/>
        <w:keepLines/>
        <w:tabs>
          <w:tab w:val="left" w:pos="720"/>
        </w:tabs>
        <w:jc w:val="both"/>
        <w:rPr>
          <w:b/>
          <w:color w:val="000000" w:themeColor="text1"/>
          <w:szCs w:val="32"/>
          <w:lang w:val="en-GB"/>
        </w:rPr>
      </w:pPr>
    </w:p>
    <w:p w14:paraId="031BC46F" w14:textId="77777777" w:rsidR="00DC5685" w:rsidRPr="00A34F10" w:rsidRDefault="00DC5685" w:rsidP="00DC5685">
      <w:pPr>
        <w:tabs>
          <w:tab w:val="left" w:pos="720"/>
        </w:tabs>
        <w:jc w:val="both"/>
        <w:rPr>
          <w:szCs w:val="24"/>
          <w:lang w:val="en-GB"/>
        </w:rPr>
      </w:pPr>
      <w:r w:rsidRPr="00A34F10">
        <w:rPr>
          <w:szCs w:val="24"/>
          <w:lang w:val="en-GB"/>
        </w:rPr>
        <w:t xml:space="preserve">A study to determine the effects of BAS 743 02 F (active substances Propamocarb and BAS 650 F) on protonymphs of the predatory mite </w:t>
      </w:r>
      <w:r w:rsidRPr="00A34F10">
        <w:rPr>
          <w:i/>
          <w:iCs/>
          <w:szCs w:val="24"/>
          <w:lang w:val="en-GB"/>
        </w:rPr>
        <w:t>Typhlodromus pyri</w:t>
      </w:r>
      <w:r w:rsidRPr="00A34F10">
        <w:rPr>
          <w:szCs w:val="24"/>
          <w:lang w:val="en-GB"/>
        </w:rPr>
        <w:t xml:space="preserve"> was performed over 14 days in the laboratory. Protnymphs were exposed to freshly dried residues of the test item on glass plates. The test comprised seven treatment groups; five nominal test item rates of 0.1875, 0.375, 0.75, 1.5 and 3 L product/ha, a water control and toxic reference item group, with fvie replicates (consisting of 20 protonymphs) per treatment group. Mortality assessments were carried out 3 and 7 days after exposure of the mites and additionally after 9, 11 and 14 days. In addition, for all test item rates, and the control, the reproduction, i.e. number of eggs per female, was determined in three assessments at 9, 11 and 14 days after application.</w:t>
      </w:r>
    </w:p>
    <w:p w14:paraId="79C6FBAC" w14:textId="77777777" w:rsidR="00DC5685" w:rsidRPr="00A34F10" w:rsidRDefault="00DC5685" w:rsidP="00DC5685">
      <w:pPr>
        <w:tabs>
          <w:tab w:val="left" w:pos="720"/>
        </w:tabs>
        <w:jc w:val="both"/>
        <w:rPr>
          <w:highlight w:val="yellow"/>
          <w:lang w:val="en-GB"/>
        </w:rPr>
      </w:pPr>
    </w:p>
    <w:p w14:paraId="7C2BCC8F" w14:textId="77777777" w:rsidR="00DC5685" w:rsidRPr="00A34F10" w:rsidRDefault="00DC5685" w:rsidP="00DC5685">
      <w:pPr>
        <w:tabs>
          <w:tab w:val="left" w:pos="720"/>
        </w:tabs>
        <w:spacing w:after="240"/>
        <w:jc w:val="both"/>
        <w:rPr>
          <w:szCs w:val="24"/>
          <w:lang w:val="en-GB"/>
        </w:rPr>
      </w:pPr>
      <w:r w:rsidRPr="00A34F10">
        <w:rPr>
          <w:lang w:val="en-GB"/>
        </w:rPr>
        <w:t>The LR</w:t>
      </w:r>
      <w:r w:rsidRPr="00A34F10">
        <w:rPr>
          <w:vertAlign w:val="subscript"/>
          <w:lang w:val="en-GB"/>
        </w:rPr>
        <w:t>50</w:t>
      </w:r>
      <w:r w:rsidRPr="00A34F10">
        <w:rPr>
          <w:lang w:val="en-GB"/>
        </w:rPr>
        <w:t xml:space="preserve"> for </w:t>
      </w:r>
      <w:r w:rsidRPr="00A34F10">
        <w:rPr>
          <w:i/>
          <w:iCs/>
          <w:lang w:val="en-GB"/>
        </w:rPr>
        <w:t>Typhlodromus pyri</w:t>
      </w:r>
      <w:r w:rsidRPr="00A34F10">
        <w:rPr>
          <w:lang w:val="en-GB"/>
        </w:rPr>
        <w:t xml:space="preserve"> was estimated to be &gt; 3 L product/ha and the NOER for mortality was determined to be 0.375 L product/ha. The ER</w:t>
      </w:r>
      <w:r w:rsidRPr="00A34F10">
        <w:rPr>
          <w:vertAlign w:val="subscript"/>
          <w:lang w:val="en-GB"/>
        </w:rPr>
        <w:t xml:space="preserve">50 </w:t>
      </w:r>
      <w:r w:rsidRPr="00A34F10">
        <w:rPr>
          <w:lang w:val="en-GB"/>
        </w:rPr>
        <w:t>was estimated to be &gt; 3 L product/ha and the NOER for reproduction was determined to be 3 L product/ha.</w:t>
      </w:r>
    </w:p>
    <w:p w14:paraId="375374A6" w14:textId="77777777" w:rsidR="00DC5685" w:rsidRPr="00A34F10" w:rsidRDefault="00DC5685" w:rsidP="00DC5685">
      <w:pPr>
        <w:tabs>
          <w:tab w:val="left" w:pos="720"/>
        </w:tabs>
        <w:spacing w:after="240"/>
        <w:ind w:left="720" w:hanging="431"/>
        <w:contextualSpacing/>
        <w:jc w:val="center"/>
        <w:rPr>
          <w:b/>
          <w:bCs/>
          <w:caps/>
          <w:szCs w:val="24"/>
          <w:lang w:val="en-GB"/>
        </w:rPr>
      </w:pPr>
      <w:r w:rsidRPr="00A34F10">
        <w:rPr>
          <w:b/>
          <w:bCs/>
          <w:caps/>
          <w:szCs w:val="24"/>
          <w:lang w:val="en-GB"/>
        </w:rPr>
        <w:t>I. MATERIALS AND METHODS</w:t>
      </w:r>
    </w:p>
    <w:p w14:paraId="17AED0F6" w14:textId="77777777" w:rsidR="00DC5685" w:rsidRPr="00A34F10" w:rsidRDefault="00DC5685" w:rsidP="00E05ECD">
      <w:pPr>
        <w:numPr>
          <w:ilvl w:val="0"/>
          <w:numId w:val="64"/>
        </w:numPr>
        <w:ind w:left="357" w:hanging="357"/>
        <w:contextualSpacing/>
        <w:rPr>
          <w:b/>
          <w:bCs/>
          <w:caps/>
          <w:szCs w:val="24"/>
          <w:lang w:val="en-GB"/>
        </w:rPr>
      </w:pPr>
      <w:r w:rsidRPr="00A34F10">
        <w:rPr>
          <w:b/>
          <w:bCs/>
          <w:caps/>
          <w:szCs w:val="24"/>
          <w:lang w:val="en-GB"/>
        </w:rPr>
        <w:t>MATERIALS</w:t>
      </w:r>
    </w:p>
    <w:p w14:paraId="289319E0" w14:textId="77777777" w:rsidR="00DC5685" w:rsidRPr="00A34F10" w:rsidRDefault="00DC5685" w:rsidP="00DC5685">
      <w:pPr>
        <w:tabs>
          <w:tab w:val="left" w:pos="0"/>
        </w:tabs>
        <w:ind w:left="357" w:hanging="357"/>
        <w:contextualSpacing/>
        <w:rPr>
          <w:b/>
          <w:bCs/>
          <w:caps/>
          <w:szCs w:val="24"/>
          <w:lang w:val="en-GB"/>
        </w:rPr>
      </w:pP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12047CF7" w14:textId="77777777" w:rsidTr="000470C3">
        <w:trPr>
          <w:cantSplit/>
          <w:trHeight w:hRule="exact" w:val="340"/>
        </w:trPr>
        <w:tc>
          <w:tcPr>
            <w:tcW w:w="3969" w:type="dxa"/>
            <w:hideMark/>
          </w:tcPr>
          <w:p w14:paraId="2E547C2B" w14:textId="77777777" w:rsidR="00DC5685" w:rsidRPr="00A34F10" w:rsidRDefault="00DC5685" w:rsidP="00E05ECD">
            <w:pPr>
              <w:numPr>
                <w:ilvl w:val="0"/>
                <w:numId w:val="63"/>
              </w:numPr>
              <w:tabs>
                <w:tab w:val="left" w:pos="255"/>
              </w:tabs>
              <w:spacing w:after="240"/>
              <w:contextualSpacing/>
              <w:rPr>
                <w:b/>
                <w:bCs/>
                <w:szCs w:val="24"/>
                <w:lang w:val="en-GB"/>
              </w:rPr>
            </w:pPr>
            <w:r w:rsidRPr="00A34F10">
              <w:rPr>
                <w:b/>
                <w:bCs/>
                <w:lang w:val="en-GB"/>
              </w:rPr>
              <w:t>Test</w:t>
            </w:r>
            <w:r w:rsidRPr="00A34F10">
              <w:rPr>
                <w:b/>
                <w:bCs/>
                <w:szCs w:val="24"/>
                <w:lang w:val="en-GB"/>
              </w:rPr>
              <w:t xml:space="preserve"> item:</w:t>
            </w:r>
          </w:p>
        </w:tc>
        <w:tc>
          <w:tcPr>
            <w:tcW w:w="5381" w:type="dxa"/>
            <w:hideMark/>
          </w:tcPr>
          <w:p w14:paraId="7A2C56A2" w14:textId="77777777" w:rsidR="00DC5685" w:rsidRPr="00A34F10" w:rsidRDefault="00DC5685" w:rsidP="00DC5685">
            <w:pPr>
              <w:tabs>
                <w:tab w:val="left" w:pos="720"/>
              </w:tabs>
              <w:spacing w:after="240"/>
              <w:jc w:val="both"/>
              <w:rPr>
                <w:szCs w:val="24"/>
                <w:lang w:val="en-GB"/>
              </w:rPr>
            </w:pPr>
            <w:r w:rsidRPr="00A34F10">
              <w:rPr>
                <w:szCs w:val="24"/>
                <w:lang w:val="en-GB"/>
              </w:rPr>
              <w:t>BAS 743 02 F</w:t>
            </w:r>
          </w:p>
        </w:tc>
      </w:tr>
      <w:tr w:rsidR="00DC5685" w:rsidRPr="00A34F10" w14:paraId="14D558DE" w14:textId="77777777" w:rsidTr="000470C3">
        <w:trPr>
          <w:cantSplit/>
          <w:trHeight w:hRule="exact" w:val="340"/>
        </w:trPr>
        <w:tc>
          <w:tcPr>
            <w:tcW w:w="3969" w:type="dxa"/>
            <w:hideMark/>
          </w:tcPr>
          <w:p w14:paraId="513AC9CD"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Description:</w:t>
            </w:r>
          </w:p>
        </w:tc>
        <w:tc>
          <w:tcPr>
            <w:tcW w:w="5381" w:type="dxa"/>
            <w:hideMark/>
          </w:tcPr>
          <w:p w14:paraId="575C8E8B" w14:textId="77777777" w:rsidR="00DC5685" w:rsidRPr="00A34F10" w:rsidRDefault="00DC5685" w:rsidP="00DC5685">
            <w:pPr>
              <w:tabs>
                <w:tab w:val="left" w:pos="720"/>
              </w:tabs>
              <w:spacing w:after="240"/>
              <w:jc w:val="both"/>
              <w:rPr>
                <w:szCs w:val="24"/>
                <w:lang w:val="en-GB"/>
              </w:rPr>
            </w:pPr>
            <w:r w:rsidRPr="00A34F10">
              <w:rPr>
                <w:szCs w:val="24"/>
                <w:lang w:val="en-GB"/>
              </w:rPr>
              <w:t>Liquid, soluble concentrate (SC)</w:t>
            </w:r>
          </w:p>
        </w:tc>
      </w:tr>
      <w:tr w:rsidR="00DC5685" w:rsidRPr="00A34F10" w14:paraId="3E4A98D7" w14:textId="77777777" w:rsidTr="000470C3">
        <w:trPr>
          <w:cantSplit/>
          <w:trHeight w:hRule="exact" w:val="340"/>
        </w:trPr>
        <w:tc>
          <w:tcPr>
            <w:tcW w:w="3969" w:type="dxa"/>
            <w:hideMark/>
          </w:tcPr>
          <w:p w14:paraId="57BF057A" w14:textId="77777777" w:rsidR="00DC5685" w:rsidRPr="00A34F10" w:rsidRDefault="00DC5685" w:rsidP="00DC5685">
            <w:pPr>
              <w:tabs>
                <w:tab w:val="left" w:pos="624"/>
              </w:tabs>
              <w:spacing w:after="240"/>
              <w:ind w:left="624"/>
              <w:rPr>
                <w:b/>
                <w:bCs/>
                <w:szCs w:val="24"/>
                <w:lang w:val="en-GB"/>
              </w:rPr>
            </w:pPr>
            <w:r w:rsidRPr="00A34F10">
              <w:rPr>
                <w:b/>
                <w:bCs/>
                <w:szCs w:val="24"/>
                <w:lang w:val="en-GB"/>
              </w:rPr>
              <w:t>Lot/Batch:</w:t>
            </w:r>
          </w:p>
        </w:tc>
        <w:tc>
          <w:tcPr>
            <w:tcW w:w="5381" w:type="dxa"/>
            <w:hideMark/>
          </w:tcPr>
          <w:p w14:paraId="56420870" w14:textId="77777777" w:rsidR="00DC5685" w:rsidRPr="00A34F10" w:rsidRDefault="00DC5685" w:rsidP="00DC5685">
            <w:pPr>
              <w:tabs>
                <w:tab w:val="left" w:pos="720"/>
              </w:tabs>
              <w:spacing w:after="240"/>
              <w:jc w:val="both"/>
              <w:rPr>
                <w:szCs w:val="24"/>
                <w:lang w:val="en-GB"/>
              </w:rPr>
            </w:pPr>
            <w:r w:rsidRPr="00A34F10">
              <w:rPr>
                <w:szCs w:val="24"/>
                <w:lang w:val="en-GB"/>
              </w:rPr>
              <w:t>FRE-002224</w:t>
            </w:r>
          </w:p>
        </w:tc>
      </w:tr>
      <w:tr w:rsidR="00DC5685" w:rsidRPr="00A34F10" w14:paraId="274C6765" w14:textId="77777777" w:rsidTr="000470C3">
        <w:trPr>
          <w:cantSplit/>
          <w:trHeight w:hRule="exact" w:val="542"/>
        </w:trPr>
        <w:tc>
          <w:tcPr>
            <w:tcW w:w="3969" w:type="dxa"/>
            <w:hideMark/>
          </w:tcPr>
          <w:p w14:paraId="4ED63603" w14:textId="77777777" w:rsidR="00DC5685" w:rsidRPr="00A34F10" w:rsidRDefault="00DC5685" w:rsidP="00DC5685">
            <w:pPr>
              <w:tabs>
                <w:tab w:val="left" w:pos="624"/>
              </w:tabs>
              <w:spacing w:after="240"/>
              <w:ind w:left="624"/>
              <w:rPr>
                <w:b/>
                <w:bCs/>
                <w:szCs w:val="24"/>
                <w:lang w:val="en-GB"/>
              </w:rPr>
            </w:pPr>
            <w:r w:rsidRPr="00A34F10">
              <w:rPr>
                <w:b/>
                <w:bCs/>
                <w:szCs w:val="24"/>
                <w:lang w:val="en-GB"/>
              </w:rPr>
              <w:t>Active substance content:</w:t>
            </w:r>
          </w:p>
        </w:tc>
        <w:tc>
          <w:tcPr>
            <w:tcW w:w="5381" w:type="dxa"/>
            <w:hideMark/>
          </w:tcPr>
          <w:p w14:paraId="0AE2FCFD" w14:textId="77777777" w:rsidR="00DC5685" w:rsidRPr="00A34F10" w:rsidRDefault="00DC5685" w:rsidP="00DC5685">
            <w:pPr>
              <w:tabs>
                <w:tab w:val="left" w:pos="720"/>
              </w:tabs>
              <w:jc w:val="both"/>
              <w:rPr>
                <w:szCs w:val="24"/>
                <w:lang w:val="en-GB"/>
              </w:rPr>
            </w:pPr>
            <w:r w:rsidRPr="00A34F10">
              <w:rPr>
                <w:szCs w:val="24"/>
                <w:lang w:val="en-GB"/>
              </w:rPr>
              <w:t xml:space="preserve">Propamocarb: </w:t>
            </w:r>
            <w:r w:rsidRPr="00A34F10">
              <w:rPr>
                <w:szCs w:val="24"/>
              </w:rPr>
              <w:t>nominal 432.0 g/L, analysed 431.0 g/L;</w:t>
            </w:r>
          </w:p>
          <w:p w14:paraId="41103EF7" w14:textId="77777777" w:rsidR="00DC5685" w:rsidRPr="00A34F10" w:rsidRDefault="00DC5685" w:rsidP="00DC5685">
            <w:pPr>
              <w:tabs>
                <w:tab w:val="left" w:pos="720"/>
              </w:tabs>
              <w:jc w:val="both"/>
              <w:rPr>
                <w:szCs w:val="24"/>
                <w:lang w:val="en-GB"/>
              </w:rPr>
            </w:pPr>
            <w:r w:rsidRPr="00A34F10">
              <w:rPr>
                <w:szCs w:val="24"/>
                <w:lang w:val="en-GB"/>
              </w:rPr>
              <w:t xml:space="preserve">Ametoctradin: </w:t>
            </w:r>
            <w:r w:rsidRPr="00A34F10">
              <w:rPr>
                <w:szCs w:val="24"/>
              </w:rPr>
              <w:t>nominal 137.14 g/L, analysed 137.7 g/L</w:t>
            </w:r>
          </w:p>
        </w:tc>
      </w:tr>
      <w:tr w:rsidR="00DC5685" w:rsidRPr="00A34F10" w14:paraId="59FF37CB" w14:textId="77777777" w:rsidTr="000470C3">
        <w:trPr>
          <w:cantSplit/>
          <w:trHeight w:hRule="exact" w:val="340"/>
        </w:trPr>
        <w:tc>
          <w:tcPr>
            <w:tcW w:w="3969" w:type="dxa"/>
            <w:hideMark/>
          </w:tcPr>
          <w:p w14:paraId="3927431E"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Density:</w:t>
            </w:r>
          </w:p>
        </w:tc>
        <w:tc>
          <w:tcPr>
            <w:tcW w:w="5381" w:type="dxa"/>
            <w:hideMark/>
          </w:tcPr>
          <w:p w14:paraId="32469CEE" w14:textId="77777777" w:rsidR="00DC5685" w:rsidRPr="00A34F10" w:rsidRDefault="00DC5685" w:rsidP="00DC5685">
            <w:pPr>
              <w:tabs>
                <w:tab w:val="left" w:pos="720"/>
              </w:tabs>
              <w:spacing w:after="240"/>
              <w:jc w:val="both"/>
              <w:rPr>
                <w:szCs w:val="24"/>
                <w:lang w:val="en-GB"/>
              </w:rPr>
            </w:pPr>
            <w:r w:rsidRPr="00A34F10">
              <w:rPr>
                <w:szCs w:val="24"/>
                <w:lang w:val="en-GB"/>
              </w:rPr>
              <w:t>1.080 g/cm</w:t>
            </w:r>
            <w:r w:rsidRPr="00A34F10">
              <w:rPr>
                <w:szCs w:val="24"/>
                <w:vertAlign w:val="superscript"/>
                <w:lang w:val="en-GB"/>
              </w:rPr>
              <w:t>3</w:t>
            </w:r>
            <w:r w:rsidRPr="00A34F10">
              <w:rPr>
                <w:szCs w:val="24"/>
                <w:lang w:val="en-GB"/>
              </w:rPr>
              <w:t xml:space="preserve"> </w:t>
            </w:r>
          </w:p>
        </w:tc>
      </w:tr>
      <w:tr w:rsidR="00DC5685" w:rsidRPr="00A34F10" w14:paraId="2B2BA962" w14:textId="77777777" w:rsidTr="000470C3">
        <w:trPr>
          <w:cantSplit/>
          <w:trHeight w:hRule="exact" w:val="340"/>
        </w:trPr>
        <w:tc>
          <w:tcPr>
            <w:tcW w:w="3969" w:type="dxa"/>
            <w:hideMark/>
          </w:tcPr>
          <w:p w14:paraId="2F0C3EB7" w14:textId="77777777" w:rsidR="00DC5685" w:rsidRPr="00A34F10" w:rsidRDefault="00DC5685" w:rsidP="00E05ECD">
            <w:pPr>
              <w:numPr>
                <w:ilvl w:val="0"/>
                <w:numId w:val="63"/>
              </w:numPr>
              <w:tabs>
                <w:tab w:val="left" w:pos="255"/>
              </w:tabs>
              <w:spacing w:after="240"/>
              <w:contextualSpacing/>
              <w:rPr>
                <w:b/>
                <w:bCs/>
                <w:szCs w:val="24"/>
                <w:lang w:val="en-GB"/>
              </w:rPr>
            </w:pPr>
            <w:r w:rsidRPr="00A34F10">
              <w:rPr>
                <w:b/>
                <w:bCs/>
                <w:szCs w:val="24"/>
                <w:lang w:val="en-GB"/>
              </w:rPr>
              <w:t>Control:</w:t>
            </w:r>
          </w:p>
        </w:tc>
        <w:tc>
          <w:tcPr>
            <w:tcW w:w="5381" w:type="dxa"/>
            <w:hideMark/>
          </w:tcPr>
          <w:p w14:paraId="03CEAF67" w14:textId="77777777" w:rsidR="00DC5685" w:rsidRPr="00A34F10" w:rsidRDefault="00DC5685" w:rsidP="00DC5685">
            <w:pPr>
              <w:tabs>
                <w:tab w:val="left" w:pos="720"/>
              </w:tabs>
              <w:spacing w:after="240"/>
              <w:rPr>
                <w:szCs w:val="24"/>
                <w:lang w:val="en-GB"/>
              </w:rPr>
            </w:pPr>
            <w:r w:rsidRPr="00A34F10">
              <w:rPr>
                <w:szCs w:val="24"/>
                <w:lang w:val="en-GB"/>
              </w:rPr>
              <w:t>Purified water</w:t>
            </w:r>
          </w:p>
        </w:tc>
      </w:tr>
      <w:tr w:rsidR="00DC5685" w:rsidRPr="00A34F10" w14:paraId="55195F36" w14:textId="77777777" w:rsidTr="000470C3">
        <w:trPr>
          <w:cantSplit/>
          <w:trHeight w:hRule="exact" w:val="624"/>
        </w:trPr>
        <w:tc>
          <w:tcPr>
            <w:tcW w:w="3969" w:type="dxa"/>
            <w:hideMark/>
          </w:tcPr>
          <w:p w14:paraId="450DD976" w14:textId="77777777" w:rsidR="00DC5685" w:rsidRPr="00A34F10" w:rsidRDefault="00DC5685" w:rsidP="00E05ECD">
            <w:pPr>
              <w:numPr>
                <w:ilvl w:val="0"/>
                <w:numId w:val="63"/>
              </w:numPr>
              <w:tabs>
                <w:tab w:val="left" w:pos="255"/>
              </w:tabs>
              <w:spacing w:after="240"/>
              <w:contextualSpacing/>
              <w:rPr>
                <w:b/>
                <w:bCs/>
                <w:szCs w:val="24"/>
                <w:lang w:val="en-GB"/>
              </w:rPr>
            </w:pPr>
            <w:r w:rsidRPr="00A34F10">
              <w:rPr>
                <w:b/>
                <w:bCs/>
                <w:szCs w:val="24"/>
                <w:lang w:val="en-GB"/>
              </w:rPr>
              <w:t>Reference item:</w:t>
            </w:r>
          </w:p>
        </w:tc>
        <w:tc>
          <w:tcPr>
            <w:tcW w:w="5381" w:type="dxa"/>
            <w:hideMark/>
          </w:tcPr>
          <w:p w14:paraId="3F5C5AEF" w14:textId="77777777" w:rsidR="00DC5685" w:rsidRPr="00A34F10" w:rsidRDefault="00DC5685" w:rsidP="00DC5685">
            <w:pPr>
              <w:tabs>
                <w:tab w:val="left" w:pos="720"/>
              </w:tabs>
              <w:spacing w:after="240"/>
              <w:jc w:val="both"/>
              <w:rPr>
                <w:szCs w:val="24"/>
                <w:lang w:val="en-GB"/>
              </w:rPr>
            </w:pPr>
            <w:r w:rsidRPr="00A34F10">
              <w:rPr>
                <w:szCs w:val="24"/>
                <w:lang w:val="en-GB"/>
              </w:rPr>
              <w:t>DANADIM PROGRESS, a.s. dimethoate, nominal 400 g/L, analysed 401.7 g/L</w:t>
            </w:r>
          </w:p>
        </w:tc>
      </w:tr>
    </w:tbl>
    <w:p w14:paraId="49667308" w14:textId="77777777" w:rsidR="00DC5685" w:rsidRPr="00A34F10" w:rsidRDefault="00DC5685" w:rsidP="00DC5685">
      <w:pPr>
        <w:tabs>
          <w:tab w:val="left" w:pos="0"/>
        </w:tabs>
        <w:ind w:left="357" w:hanging="357"/>
        <w:contextualSpacing/>
        <w:rPr>
          <w:b/>
          <w:bCs/>
          <w:caps/>
          <w:szCs w:val="24"/>
          <w:highlight w:val="yellow"/>
          <w:lang w:val="en-GB"/>
        </w:rPr>
      </w:pPr>
    </w:p>
    <w:p w14:paraId="7A57E0A1" w14:textId="77777777" w:rsidR="00DC5685" w:rsidRPr="00A34F10" w:rsidRDefault="00DC5685" w:rsidP="00E05ECD">
      <w:pPr>
        <w:numPr>
          <w:ilvl w:val="0"/>
          <w:numId w:val="64"/>
        </w:numPr>
        <w:ind w:left="357" w:hanging="357"/>
        <w:contextualSpacing/>
        <w:rPr>
          <w:b/>
          <w:bCs/>
          <w:caps/>
          <w:szCs w:val="24"/>
          <w:lang w:val="en-GB"/>
        </w:rPr>
      </w:pPr>
      <w:r w:rsidRPr="00A34F10">
        <w:rPr>
          <w:b/>
          <w:bCs/>
          <w:caps/>
          <w:szCs w:val="24"/>
          <w:lang w:val="en-GB"/>
        </w:rPr>
        <w:t>study design and methods</w:t>
      </w:r>
    </w:p>
    <w:p w14:paraId="185181D1" w14:textId="77777777" w:rsidR="00DC5685" w:rsidRPr="00A34F10" w:rsidRDefault="00DC5685" w:rsidP="00DC5685">
      <w:pPr>
        <w:tabs>
          <w:tab w:val="left" w:pos="0"/>
        </w:tabs>
        <w:ind w:left="357" w:hanging="357"/>
        <w:contextualSpacing/>
        <w:rPr>
          <w:b/>
          <w:bCs/>
          <w:caps/>
          <w:szCs w:val="24"/>
          <w:lang w:val="en-GB"/>
        </w:rPr>
      </w:pP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68378DE1" w14:textId="77777777" w:rsidTr="000470C3">
        <w:trPr>
          <w:trHeight w:hRule="exact" w:val="680"/>
        </w:trPr>
        <w:tc>
          <w:tcPr>
            <w:tcW w:w="3969" w:type="dxa"/>
            <w:hideMark/>
          </w:tcPr>
          <w:p w14:paraId="09EDF630" w14:textId="77777777" w:rsidR="00DC5685" w:rsidRPr="00A34F10" w:rsidRDefault="00DC5685" w:rsidP="00E05ECD">
            <w:pPr>
              <w:numPr>
                <w:ilvl w:val="0"/>
                <w:numId w:val="65"/>
              </w:numPr>
              <w:tabs>
                <w:tab w:val="left" w:pos="255"/>
              </w:tabs>
              <w:spacing w:after="240"/>
              <w:contextualSpacing/>
              <w:rPr>
                <w:b/>
                <w:bCs/>
                <w:szCs w:val="24"/>
                <w:lang w:val="en-GB"/>
              </w:rPr>
            </w:pPr>
            <w:r w:rsidRPr="00A34F10">
              <w:rPr>
                <w:b/>
                <w:bCs/>
                <w:szCs w:val="24"/>
                <w:lang w:val="en-GB"/>
              </w:rPr>
              <w:t xml:space="preserve">Test </w:t>
            </w:r>
            <w:r w:rsidRPr="00A34F10">
              <w:rPr>
                <w:rFonts w:eastAsia="Calibri"/>
                <w:b/>
                <w:bCs/>
                <w:szCs w:val="24"/>
                <w:lang w:val="en-GB"/>
              </w:rPr>
              <w:t>species</w:t>
            </w:r>
            <w:r w:rsidRPr="00A34F10">
              <w:rPr>
                <w:b/>
                <w:bCs/>
                <w:szCs w:val="24"/>
                <w:lang w:val="en-GB"/>
              </w:rPr>
              <w:t>:</w:t>
            </w:r>
          </w:p>
        </w:tc>
        <w:tc>
          <w:tcPr>
            <w:tcW w:w="5381" w:type="dxa"/>
            <w:hideMark/>
          </w:tcPr>
          <w:p w14:paraId="090A38F4" w14:textId="77777777" w:rsidR="00DC5685" w:rsidRPr="00A34F10" w:rsidRDefault="00DC5685" w:rsidP="00DC5685">
            <w:pPr>
              <w:tabs>
                <w:tab w:val="left" w:pos="720"/>
              </w:tabs>
              <w:spacing w:after="240"/>
              <w:jc w:val="both"/>
              <w:rPr>
                <w:szCs w:val="24"/>
                <w:lang w:val="en-GB"/>
              </w:rPr>
            </w:pPr>
            <w:r w:rsidRPr="00A34F10">
              <w:rPr>
                <w:szCs w:val="24"/>
                <w:lang w:val="en-GB"/>
              </w:rPr>
              <w:t xml:space="preserve">Predatory mite </w:t>
            </w:r>
            <w:r w:rsidRPr="00A34F10">
              <w:rPr>
                <w:i/>
                <w:iCs/>
                <w:szCs w:val="24"/>
                <w:lang w:val="en-GB"/>
              </w:rPr>
              <w:t>Typhlodromus pyri</w:t>
            </w:r>
            <w:r w:rsidRPr="00A34F10">
              <w:rPr>
                <w:szCs w:val="24"/>
                <w:lang w:val="en-GB"/>
              </w:rPr>
              <w:t xml:space="preserve"> Scheuten (Acari: Phytoseiidae)</w:t>
            </w:r>
          </w:p>
        </w:tc>
      </w:tr>
      <w:tr w:rsidR="00DC5685" w:rsidRPr="00A34F10" w14:paraId="735131A8" w14:textId="77777777" w:rsidTr="000470C3">
        <w:trPr>
          <w:trHeight w:hRule="exact" w:val="397"/>
        </w:trPr>
        <w:tc>
          <w:tcPr>
            <w:tcW w:w="3969" w:type="dxa"/>
            <w:hideMark/>
          </w:tcPr>
          <w:p w14:paraId="364AD525"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Age/life stage: </w:t>
            </w:r>
          </w:p>
        </w:tc>
        <w:tc>
          <w:tcPr>
            <w:tcW w:w="5381" w:type="dxa"/>
            <w:hideMark/>
          </w:tcPr>
          <w:p w14:paraId="6FDFAF33" w14:textId="77777777" w:rsidR="00DC5685" w:rsidRPr="00A34F10" w:rsidRDefault="00DC5685" w:rsidP="00DC5685">
            <w:pPr>
              <w:tabs>
                <w:tab w:val="left" w:pos="720"/>
              </w:tabs>
              <w:spacing w:after="240"/>
              <w:jc w:val="both"/>
              <w:rPr>
                <w:szCs w:val="24"/>
                <w:lang w:val="en-GB"/>
              </w:rPr>
            </w:pPr>
            <w:r w:rsidRPr="00A34F10">
              <w:rPr>
                <w:szCs w:val="24"/>
                <w:lang w:val="en-GB"/>
              </w:rPr>
              <w:t>Protonymphs (&lt; 24 hours old)</w:t>
            </w:r>
          </w:p>
        </w:tc>
      </w:tr>
      <w:tr w:rsidR="00DC5685" w:rsidRPr="00902592" w14:paraId="0ED8BD7C" w14:textId="77777777" w:rsidTr="000470C3">
        <w:trPr>
          <w:trHeight w:hRule="exact" w:val="695"/>
        </w:trPr>
        <w:tc>
          <w:tcPr>
            <w:tcW w:w="3969" w:type="dxa"/>
            <w:hideMark/>
          </w:tcPr>
          <w:p w14:paraId="0CEAFD3C" w14:textId="77777777" w:rsidR="00DC5685" w:rsidRPr="00A34F10" w:rsidRDefault="00DC5685" w:rsidP="00DC5685">
            <w:pPr>
              <w:tabs>
                <w:tab w:val="left" w:pos="624"/>
              </w:tabs>
              <w:spacing w:after="240"/>
              <w:ind w:left="624"/>
              <w:rPr>
                <w:b/>
                <w:bCs/>
                <w:szCs w:val="24"/>
                <w:lang w:val="en-GB"/>
              </w:rPr>
            </w:pPr>
            <w:r w:rsidRPr="00A34F10">
              <w:rPr>
                <w:b/>
                <w:bCs/>
                <w:szCs w:val="24"/>
                <w:lang w:val="en-GB"/>
              </w:rPr>
              <w:t>Source:</w:t>
            </w:r>
          </w:p>
        </w:tc>
        <w:tc>
          <w:tcPr>
            <w:tcW w:w="5381" w:type="dxa"/>
            <w:hideMark/>
          </w:tcPr>
          <w:p w14:paraId="2E019C5F" w14:textId="77777777" w:rsidR="00DC5685" w:rsidRPr="00A34F10" w:rsidRDefault="00DC5685" w:rsidP="00DC5685">
            <w:pPr>
              <w:tabs>
                <w:tab w:val="left" w:pos="720"/>
              </w:tabs>
              <w:spacing w:after="240"/>
              <w:jc w:val="both"/>
              <w:rPr>
                <w:szCs w:val="24"/>
                <w:lang w:val="de-CH"/>
              </w:rPr>
            </w:pPr>
            <w:r w:rsidRPr="00A34F10">
              <w:rPr>
                <w:szCs w:val="24"/>
                <w:lang w:val="de-CH"/>
              </w:rPr>
              <w:t>Purchased from “Katz Biotech AG”, An der Birkenpfuhlheide 10, 15837 Baruth, Germany</w:t>
            </w:r>
          </w:p>
        </w:tc>
      </w:tr>
      <w:tr w:rsidR="00DC5685" w:rsidRPr="00A34F10" w14:paraId="0A0CFA2F" w14:textId="77777777" w:rsidTr="000470C3">
        <w:trPr>
          <w:trHeight w:hRule="exact" w:val="435"/>
        </w:trPr>
        <w:tc>
          <w:tcPr>
            <w:tcW w:w="3969" w:type="dxa"/>
            <w:hideMark/>
          </w:tcPr>
          <w:p w14:paraId="2BE9F0C6"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Diet: </w:t>
            </w:r>
          </w:p>
        </w:tc>
        <w:tc>
          <w:tcPr>
            <w:tcW w:w="5381" w:type="dxa"/>
            <w:hideMark/>
          </w:tcPr>
          <w:p w14:paraId="48C6B4A5" w14:textId="77777777" w:rsidR="00DC5685" w:rsidRPr="00A34F10" w:rsidRDefault="00DC5685" w:rsidP="00DC5685">
            <w:pPr>
              <w:tabs>
                <w:tab w:val="left" w:pos="720"/>
              </w:tabs>
              <w:spacing w:after="240"/>
              <w:jc w:val="both"/>
              <w:rPr>
                <w:szCs w:val="24"/>
                <w:highlight w:val="yellow"/>
              </w:rPr>
            </w:pPr>
            <w:r w:rsidRPr="00A34F10">
              <w:rPr>
                <w:szCs w:val="24"/>
                <w:lang w:val="en-GB"/>
              </w:rPr>
              <w:t>Pollen: pine (</w:t>
            </w:r>
            <w:r w:rsidRPr="00A34F10">
              <w:rPr>
                <w:i/>
                <w:iCs/>
                <w:szCs w:val="24"/>
                <w:lang w:val="en-GB"/>
              </w:rPr>
              <w:t>Pinus nigra</w:t>
            </w:r>
            <w:r w:rsidRPr="00A34F10">
              <w:rPr>
                <w:szCs w:val="24"/>
                <w:lang w:val="en-GB"/>
              </w:rPr>
              <w:t>) and birch (</w:t>
            </w:r>
            <w:r w:rsidRPr="00A34F10">
              <w:rPr>
                <w:i/>
                <w:iCs/>
                <w:szCs w:val="24"/>
                <w:lang w:val="en-GB"/>
              </w:rPr>
              <w:t>Betula pendula</w:t>
            </w:r>
            <w:r w:rsidRPr="00A34F10">
              <w:rPr>
                <w:szCs w:val="24"/>
                <w:lang w:val="en-GB"/>
              </w:rPr>
              <w:t>), 1:1</w:t>
            </w:r>
          </w:p>
        </w:tc>
      </w:tr>
      <w:tr w:rsidR="00DC5685" w:rsidRPr="00A34F10" w14:paraId="2D6458FF" w14:textId="77777777" w:rsidTr="000470C3">
        <w:trPr>
          <w:trHeight w:hRule="exact" w:val="1845"/>
        </w:trPr>
        <w:tc>
          <w:tcPr>
            <w:tcW w:w="3969" w:type="dxa"/>
            <w:hideMark/>
          </w:tcPr>
          <w:p w14:paraId="2EE68131" w14:textId="77777777" w:rsidR="00DC5685" w:rsidRPr="00A34F10" w:rsidRDefault="00DC5685" w:rsidP="00E05ECD">
            <w:pPr>
              <w:numPr>
                <w:ilvl w:val="0"/>
                <w:numId w:val="65"/>
              </w:numPr>
              <w:tabs>
                <w:tab w:val="left" w:pos="255"/>
              </w:tabs>
              <w:spacing w:after="240"/>
              <w:contextualSpacing/>
              <w:rPr>
                <w:b/>
                <w:bCs/>
                <w:szCs w:val="24"/>
                <w:lang w:val="en-GB"/>
              </w:rPr>
            </w:pPr>
            <w:r w:rsidRPr="00A34F10">
              <w:rPr>
                <w:b/>
                <w:bCs/>
                <w:szCs w:val="24"/>
                <w:lang w:val="en-GB"/>
              </w:rPr>
              <w:t>Test units:</w:t>
            </w:r>
          </w:p>
        </w:tc>
        <w:tc>
          <w:tcPr>
            <w:tcW w:w="5381" w:type="dxa"/>
            <w:hideMark/>
          </w:tcPr>
          <w:p w14:paraId="5BF6FD68" w14:textId="77777777" w:rsidR="00DC5685" w:rsidRPr="00A34F10" w:rsidRDefault="00DC5685" w:rsidP="00DC5685">
            <w:pPr>
              <w:tabs>
                <w:tab w:val="left" w:pos="720"/>
              </w:tabs>
              <w:jc w:val="both"/>
              <w:rPr>
                <w:szCs w:val="24"/>
                <w:highlight w:val="yellow"/>
                <w:lang w:val="en-GB"/>
              </w:rPr>
            </w:pPr>
            <w:r w:rsidRPr="00A34F10">
              <w:rPr>
                <w:szCs w:val="24"/>
                <w:lang w:val="en-GB"/>
              </w:rPr>
              <w:t xml:space="preserve">Two glass plates (cover glasses: 50 mm × 22 mm stuck together along their longitudinal sides) with a barrier of sticky glue </w:t>
            </w:r>
            <w:r w:rsidRPr="00A34F10">
              <w:rPr>
                <w:szCs w:val="24"/>
              </w:rPr>
              <w:t xml:space="preserve">(Temmen-Insektenleim, Temmen GmbH, Germany) on </w:t>
            </w:r>
            <w:r w:rsidRPr="00A34F10">
              <w:rPr>
                <w:szCs w:val="24"/>
                <w:lang w:val="en-GB"/>
              </w:rPr>
              <w:t>moistened filter paper on a sponge placed in a plastic tray (inside dimensions: about 165 mm × 120 mm x 60 mm) filled with tap water up to a height of approx. 15 mm</w:t>
            </w:r>
          </w:p>
        </w:tc>
      </w:tr>
      <w:tr w:rsidR="00DC5685" w:rsidRPr="00A34F10" w14:paraId="2DE9BFDF" w14:textId="77777777" w:rsidTr="000470C3">
        <w:trPr>
          <w:trHeight w:hRule="exact" w:val="340"/>
        </w:trPr>
        <w:tc>
          <w:tcPr>
            <w:tcW w:w="3969" w:type="dxa"/>
            <w:hideMark/>
          </w:tcPr>
          <w:p w14:paraId="7DB6FCC9" w14:textId="77777777" w:rsidR="00DC5685" w:rsidRPr="00A34F10" w:rsidRDefault="00DC5685" w:rsidP="00E05ECD">
            <w:pPr>
              <w:numPr>
                <w:ilvl w:val="0"/>
                <w:numId w:val="65"/>
              </w:numPr>
              <w:tabs>
                <w:tab w:val="left" w:pos="255"/>
              </w:tabs>
              <w:spacing w:after="240"/>
              <w:contextualSpacing/>
              <w:rPr>
                <w:b/>
                <w:bCs/>
                <w:szCs w:val="24"/>
                <w:lang w:val="en-GB"/>
              </w:rPr>
            </w:pPr>
            <w:r w:rsidRPr="00A34F10">
              <w:rPr>
                <w:b/>
                <w:bCs/>
                <w:szCs w:val="24"/>
                <w:lang w:val="en-GB"/>
              </w:rPr>
              <w:t>Environmental conditions</w:t>
            </w:r>
          </w:p>
        </w:tc>
        <w:tc>
          <w:tcPr>
            <w:tcW w:w="5381" w:type="dxa"/>
          </w:tcPr>
          <w:p w14:paraId="700C962A" w14:textId="77777777" w:rsidR="00DC5685" w:rsidRPr="00A34F10" w:rsidRDefault="00DC5685" w:rsidP="00DC5685">
            <w:pPr>
              <w:tabs>
                <w:tab w:val="left" w:pos="720"/>
              </w:tabs>
              <w:spacing w:after="240"/>
              <w:jc w:val="both"/>
              <w:rPr>
                <w:szCs w:val="24"/>
                <w:lang w:val="en-GB"/>
              </w:rPr>
            </w:pPr>
          </w:p>
        </w:tc>
      </w:tr>
      <w:tr w:rsidR="00DC5685" w:rsidRPr="00A34F10" w14:paraId="3D82AAFE" w14:textId="77777777" w:rsidTr="000470C3">
        <w:trPr>
          <w:trHeight w:hRule="exact" w:val="340"/>
        </w:trPr>
        <w:tc>
          <w:tcPr>
            <w:tcW w:w="3969" w:type="dxa"/>
            <w:hideMark/>
          </w:tcPr>
          <w:p w14:paraId="7B72962A" w14:textId="77777777" w:rsidR="00DC5685" w:rsidRPr="00A34F10" w:rsidRDefault="00DC5685" w:rsidP="00DC5685">
            <w:pPr>
              <w:tabs>
                <w:tab w:val="left" w:pos="624"/>
              </w:tabs>
              <w:spacing w:after="240"/>
              <w:ind w:left="624"/>
              <w:rPr>
                <w:b/>
                <w:bCs/>
                <w:szCs w:val="24"/>
                <w:lang w:val="en-GB"/>
              </w:rPr>
            </w:pPr>
            <w:r w:rsidRPr="00A34F10">
              <w:rPr>
                <w:b/>
                <w:bCs/>
                <w:szCs w:val="24"/>
                <w:lang w:val="en-GB"/>
              </w:rPr>
              <w:t>Temperature:</w:t>
            </w:r>
          </w:p>
        </w:tc>
        <w:tc>
          <w:tcPr>
            <w:tcW w:w="5381" w:type="dxa"/>
            <w:hideMark/>
          </w:tcPr>
          <w:p w14:paraId="75F7C663" w14:textId="77777777" w:rsidR="00DC5685" w:rsidRPr="00A34F10" w:rsidRDefault="00DC5685" w:rsidP="00DC5685">
            <w:pPr>
              <w:tabs>
                <w:tab w:val="left" w:pos="720"/>
              </w:tabs>
              <w:spacing w:after="240"/>
              <w:jc w:val="both"/>
              <w:rPr>
                <w:szCs w:val="24"/>
                <w:lang w:val="en-GB"/>
              </w:rPr>
            </w:pPr>
            <w:r w:rsidRPr="00A34F10">
              <w:rPr>
                <w:szCs w:val="24"/>
                <w:lang w:val="en-GB"/>
              </w:rPr>
              <w:t>24 – 27°C</w:t>
            </w:r>
          </w:p>
        </w:tc>
      </w:tr>
      <w:tr w:rsidR="00DC5685" w:rsidRPr="00A34F10" w14:paraId="008ACE35" w14:textId="77777777" w:rsidTr="000470C3">
        <w:trPr>
          <w:trHeight w:hRule="exact" w:val="340"/>
        </w:trPr>
        <w:tc>
          <w:tcPr>
            <w:tcW w:w="3969" w:type="dxa"/>
            <w:hideMark/>
          </w:tcPr>
          <w:p w14:paraId="58E6A2D2" w14:textId="77777777" w:rsidR="00DC5685" w:rsidRPr="00A34F10" w:rsidRDefault="00DC5685" w:rsidP="00DC5685">
            <w:pPr>
              <w:tabs>
                <w:tab w:val="left" w:pos="624"/>
              </w:tabs>
              <w:spacing w:after="240"/>
              <w:ind w:left="624"/>
              <w:rPr>
                <w:b/>
                <w:bCs/>
                <w:szCs w:val="24"/>
                <w:lang w:val="en-GB"/>
              </w:rPr>
            </w:pPr>
            <w:r w:rsidRPr="00A34F10">
              <w:rPr>
                <w:b/>
                <w:bCs/>
                <w:szCs w:val="24"/>
                <w:lang w:val="en-GB"/>
              </w:rPr>
              <w:t>Relative humidity:</w:t>
            </w:r>
          </w:p>
        </w:tc>
        <w:tc>
          <w:tcPr>
            <w:tcW w:w="5381" w:type="dxa"/>
            <w:hideMark/>
          </w:tcPr>
          <w:p w14:paraId="2301363F" w14:textId="77777777" w:rsidR="00DC5685" w:rsidRPr="00A34F10" w:rsidRDefault="00DC5685" w:rsidP="00DC5685">
            <w:pPr>
              <w:tabs>
                <w:tab w:val="left" w:pos="720"/>
              </w:tabs>
              <w:spacing w:after="240"/>
              <w:jc w:val="both"/>
              <w:rPr>
                <w:szCs w:val="24"/>
                <w:lang w:val="en-GB"/>
              </w:rPr>
            </w:pPr>
            <w:r w:rsidRPr="00A34F10">
              <w:rPr>
                <w:szCs w:val="24"/>
                <w:lang w:val="en-GB"/>
              </w:rPr>
              <w:t>70 – 86%</w:t>
            </w:r>
          </w:p>
        </w:tc>
      </w:tr>
      <w:tr w:rsidR="00DC5685" w:rsidRPr="00A34F10" w14:paraId="587C3AEB" w14:textId="77777777" w:rsidTr="000470C3">
        <w:trPr>
          <w:trHeight w:hRule="exact" w:val="513"/>
        </w:trPr>
        <w:tc>
          <w:tcPr>
            <w:tcW w:w="3969" w:type="dxa"/>
            <w:hideMark/>
          </w:tcPr>
          <w:p w14:paraId="68156705" w14:textId="77777777" w:rsidR="00DC5685" w:rsidRPr="00A34F10" w:rsidRDefault="00DC5685" w:rsidP="00DC5685">
            <w:pPr>
              <w:tabs>
                <w:tab w:val="left" w:pos="624"/>
              </w:tabs>
              <w:spacing w:after="240"/>
              <w:ind w:left="624"/>
              <w:rPr>
                <w:b/>
                <w:bCs/>
                <w:szCs w:val="24"/>
                <w:lang w:val="en-GB"/>
              </w:rPr>
            </w:pPr>
            <w:r w:rsidRPr="00A34F10">
              <w:rPr>
                <w:b/>
                <w:bCs/>
                <w:szCs w:val="24"/>
                <w:lang w:val="en-GB"/>
              </w:rPr>
              <w:t>Photoperiod:</w:t>
            </w:r>
          </w:p>
        </w:tc>
        <w:tc>
          <w:tcPr>
            <w:tcW w:w="5381" w:type="dxa"/>
            <w:hideMark/>
          </w:tcPr>
          <w:p w14:paraId="181E2B9F" w14:textId="77777777" w:rsidR="00DC5685" w:rsidRPr="00A34F10" w:rsidRDefault="00DC5685" w:rsidP="00DC5685">
            <w:pPr>
              <w:tabs>
                <w:tab w:val="left" w:pos="720"/>
              </w:tabs>
              <w:spacing w:after="240"/>
              <w:jc w:val="both"/>
              <w:rPr>
                <w:szCs w:val="24"/>
              </w:rPr>
            </w:pPr>
            <w:r w:rsidRPr="00A34F10">
              <w:rPr>
                <w:szCs w:val="24"/>
                <w:lang w:val="en-GB"/>
              </w:rPr>
              <w:t>16 h light : 8 h dark; 2070 lux</w:t>
            </w:r>
          </w:p>
        </w:tc>
      </w:tr>
    </w:tbl>
    <w:p w14:paraId="30ED2024" w14:textId="77777777" w:rsidR="00DC5685" w:rsidRPr="00A34F10" w:rsidRDefault="00DC5685" w:rsidP="00DC5685">
      <w:pPr>
        <w:tabs>
          <w:tab w:val="left" w:pos="0"/>
        </w:tabs>
        <w:ind w:left="360" w:hanging="360"/>
        <w:contextualSpacing/>
        <w:rPr>
          <w:b/>
          <w:bCs/>
          <w:szCs w:val="24"/>
          <w:lang w:val="en-GB"/>
        </w:rPr>
      </w:pPr>
    </w:p>
    <w:p w14:paraId="13F6C598" w14:textId="77777777" w:rsidR="00DC5685" w:rsidRPr="00A34F10" w:rsidRDefault="00DC5685" w:rsidP="00E05ECD">
      <w:pPr>
        <w:numPr>
          <w:ilvl w:val="0"/>
          <w:numId w:val="66"/>
        </w:numPr>
        <w:spacing w:before="240"/>
        <w:ind w:left="357" w:hanging="357"/>
        <w:contextualSpacing/>
        <w:rPr>
          <w:b/>
          <w:bCs/>
          <w:szCs w:val="24"/>
          <w:lang w:val="en-GB"/>
        </w:rPr>
      </w:pPr>
      <w:r w:rsidRPr="00A34F10">
        <w:rPr>
          <w:b/>
          <w:bCs/>
          <w:szCs w:val="24"/>
          <w:lang w:val="en-GB"/>
        </w:rPr>
        <w:lastRenderedPageBreak/>
        <w:t xml:space="preserve">Test organism and treatment: </w:t>
      </w:r>
    </w:p>
    <w:p w14:paraId="7D071AC0" w14:textId="00483F5B" w:rsidR="00772D00" w:rsidRPr="00A34F10" w:rsidRDefault="00DC5685" w:rsidP="00DC5685">
      <w:pPr>
        <w:tabs>
          <w:tab w:val="left" w:pos="720"/>
        </w:tabs>
        <w:spacing w:after="240"/>
        <w:jc w:val="both"/>
        <w:rPr>
          <w:szCs w:val="24"/>
          <w:lang w:val="en-GB"/>
        </w:rPr>
      </w:pPr>
      <w:r w:rsidRPr="00A34F10">
        <w:rPr>
          <w:szCs w:val="24"/>
          <w:lang w:val="en-GB"/>
        </w:rPr>
        <w:t>The study comprised seven treatment groups; five nominal application rates of the test item, a water control and a toxic reference. There were five replicate arenas per treatment, each containing 20 protonymphs. The test item rates and their respective active substance contents are summarised in</w:t>
      </w:r>
      <w:r w:rsidR="00827562">
        <w:rPr>
          <w:szCs w:val="24"/>
          <w:lang w:val="en-GB"/>
        </w:rPr>
        <w:t xml:space="preserve"> </w:t>
      </w:r>
      <w:r w:rsidR="00827562">
        <w:rPr>
          <w:szCs w:val="24"/>
          <w:lang w:val="en-GB"/>
        </w:rPr>
        <w:fldChar w:fldCharType="begin"/>
      </w:r>
      <w:r w:rsidR="00827562">
        <w:rPr>
          <w:szCs w:val="24"/>
          <w:lang w:val="en-GB"/>
        </w:rPr>
        <w:instrText xml:space="preserve"> REF _Ref147910881 \h </w:instrText>
      </w:r>
      <w:r w:rsidR="00827562">
        <w:rPr>
          <w:szCs w:val="24"/>
          <w:lang w:val="en-GB"/>
        </w:rPr>
      </w:r>
      <w:r w:rsidR="00827562">
        <w:rPr>
          <w:szCs w:val="24"/>
          <w:lang w:val="en-GB"/>
        </w:rPr>
        <w:fldChar w:fldCharType="separate"/>
      </w:r>
      <w:r w:rsidR="006F0F3B">
        <w:t xml:space="preserve">Table A </w:t>
      </w:r>
      <w:r w:rsidR="006F0F3B">
        <w:rPr>
          <w:noProof/>
        </w:rPr>
        <w:t>61</w:t>
      </w:r>
      <w:r w:rsidR="00827562">
        <w:rPr>
          <w:szCs w:val="24"/>
          <w:lang w:val="en-GB"/>
        </w:rPr>
        <w:fldChar w:fldCharType="end"/>
      </w:r>
      <w:r w:rsidRPr="00A34F10">
        <w:rPr>
          <w:szCs w:val="24"/>
          <w:lang w:val="en-GB"/>
        </w:rPr>
        <w:t xml:space="preserve">. </w:t>
      </w:r>
    </w:p>
    <w:p w14:paraId="149A4358" w14:textId="06044442" w:rsidR="00DC5685" w:rsidRPr="00A34F10" w:rsidRDefault="00827562" w:rsidP="00827562">
      <w:pPr>
        <w:pStyle w:val="Legenda"/>
      </w:pPr>
      <w:bookmarkStart w:id="1123" w:name="_Ref147910881"/>
      <w:r>
        <w:t xml:space="preserve">Table A </w:t>
      </w:r>
      <w:r>
        <w:fldChar w:fldCharType="begin"/>
      </w:r>
      <w:r>
        <w:instrText xml:space="preserve"> SEQ Table_A \* ARABIC </w:instrText>
      </w:r>
      <w:r>
        <w:fldChar w:fldCharType="separate"/>
      </w:r>
      <w:r w:rsidR="006F0F3B">
        <w:rPr>
          <w:noProof/>
        </w:rPr>
        <w:t>61</w:t>
      </w:r>
      <w:r>
        <w:fldChar w:fldCharType="end"/>
      </w:r>
      <w:bookmarkEnd w:id="1123"/>
      <w:r w:rsidR="00DC5685" w:rsidRPr="00A34F10">
        <w:t>:</w:t>
      </w:r>
      <w:r w:rsidR="00772D00" w:rsidRPr="00A34F10">
        <w:tab/>
      </w:r>
      <w:r w:rsidR="00DC5685" w:rsidRPr="00A34F10">
        <w:t xml:space="preserve"> Test item rates and active substance content </w:t>
      </w:r>
    </w:p>
    <w:tbl>
      <w:tblPr>
        <w:tblStyle w:val="TableGrid42"/>
        <w:tblW w:w="5000" w:type="pct"/>
        <w:tblLook w:val="04A0" w:firstRow="1" w:lastRow="0" w:firstColumn="1" w:lastColumn="0" w:noHBand="0" w:noVBand="1"/>
      </w:tblPr>
      <w:tblGrid>
        <w:gridCol w:w="2284"/>
        <w:gridCol w:w="3549"/>
        <w:gridCol w:w="3511"/>
      </w:tblGrid>
      <w:tr w:rsidR="00DC5685" w:rsidRPr="00A34F10" w14:paraId="616DB9DD" w14:textId="77777777" w:rsidTr="000470C3">
        <w:trPr>
          <w:trHeight w:hRule="exact" w:val="510"/>
          <w:tblHeader/>
        </w:trPr>
        <w:tc>
          <w:tcPr>
            <w:tcW w:w="1222" w:type="pct"/>
            <w:tcBorders>
              <w:top w:val="single" w:sz="4" w:space="0" w:color="auto"/>
              <w:left w:val="single" w:sz="4" w:space="0" w:color="auto"/>
              <w:bottom w:val="single" w:sz="4" w:space="0" w:color="auto"/>
              <w:right w:val="single" w:sz="4" w:space="0" w:color="auto"/>
            </w:tcBorders>
            <w:vAlign w:val="center"/>
            <w:hideMark/>
          </w:tcPr>
          <w:p w14:paraId="7D1649BA"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BAS 743 02 F</w:t>
            </w:r>
            <w:r w:rsidRPr="00A34F10">
              <w:rPr>
                <w:b/>
                <w:bCs/>
                <w:sz w:val="20"/>
                <w:szCs w:val="20"/>
                <w:lang w:val="en-GB"/>
              </w:rPr>
              <w:br/>
              <w:t>(L product/ha)</w:t>
            </w:r>
          </w:p>
        </w:tc>
        <w:tc>
          <w:tcPr>
            <w:tcW w:w="1899" w:type="pct"/>
            <w:tcBorders>
              <w:top w:val="single" w:sz="4" w:space="0" w:color="auto"/>
              <w:left w:val="single" w:sz="4" w:space="0" w:color="auto"/>
              <w:bottom w:val="single" w:sz="4" w:space="0" w:color="auto"/>
              <w:right w:val="single" w:sz="4" w:space="0" w:color="auto"/>
            </w:tcBorders>
            <w:vAlign w:val="center"/>
            <w:hideMark/>
          </w:tcPr>
          <w:p w14:paraId="5B175EB4" w14:textId="77777777" w:rsidR="00DC5685" w:rsidRPr="00A34F10" w:rsidRDefault="00DC5685" w:rsidP="00DC5685">
            <w:pPr>
              <w:tabs>
                <w:tab w:val="left" w:pos="720"/>
              </w:tabs>
              <w:jc w:val="center"/>
              <w:rPr>
                <w:b/>
                <w:bCs/>
                <w:sz w:val="20"/>
                <w:szCs w:val="20"/>
                <w:lang w:val="es-ES"/>
              </w:rPr>
            </w:pPr>
            <w:r w:rsidRPr="00A34F10">
              <w:rPr>
                <w:b/>
                <w:bCs/>
                <w:sz w:val="20"/>
                <w:szCs w:val="20"/>
                <w:lang w:val="es-ES"/>
              </w:rPr>
              <w:t>Propamocarb</w:t>
            </w:r>
          </w:p>
          <w:p w14:paraId="2A98FC3A" w14:textId="77777777" w:rsidR="00DC5685" w:rsidRPr="00A34F10" w:rsidRDefault="00DC5685" w:rsidP="00DC5685">
            <w:pPr>
              <w:tabs>
                <w:tab w:val="left" w:pos="720"/>
              </w:tabs>
              <w:jc w:val="center"/>
              <w:rPr>
                <w:b/>
                <w:bCs/>
                <w:sz w:val="20"/>
                <w:szCs w:val="20"/>
                <w:lang w:val="es-ES"/>
              </w:rPr>
            </w:pPr>
            <w:r w:rsidRPr="00A34F10">
              <w:rPr>
                <w:b/>
                <w:bCs/>
                <w:sz w:val="20"/>
                <w:szCs w:val="20"/>
                <w:lang w:val="es-ES"/>
              </w:rPr>
              <w:t xml:space="preserve"> (g a.s./ha)</w:t>
            </w:r>
            <w:r w:rsidRPr="00A34F10">
              <w:rPr>
                <w:b/>
                <w:bCs/>
                <w:sz w:val="20"/>
                <w:szCs w:val="20"/>
                <w:vertAlign w:val="superscript"/>
                <w:lang w:val="es-ES"/>
              </w:rPr>
              <w:t>1</w:t>
            </w:r>
          </w:p>
        </w:tc>
        <w:tc>
          <w:tcPr>
            <w:tcW w:w="1879" w:type="pct"/>
            <w:tcBorders>
              <w:top w:val="single" w:sz="4" w:space="0" w:color="auto"/>
              <w:left w:val="single" w:sz="4" w:space="0" w:color="auto"/>
              <w:bottom w:val="single" w:sz="4" w:space="0" w:color="auto"/>
              <w:right w:val="single" w:sz="4" w:space="0" w:color="auto"/>
            </w:tcBorders>
            <w:vAlign w:val="center"/>
            <w:hideMark/>
          </w:tcPr>
          <w:p w14:paraId="4A1118EF"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Ametoctradin</w:t>
            </w:r>
          </w:p>
          <w:p w14:paraId="0CF656D4"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(g a.s./ha)</w:t>
            </w:r>
            <w:r w:rsidRPr="00A34F10">
              <w:rPr>
                <w:b/>
                <w:bCs/>
                <w:sz w:val="20"/>
                <w:szCs w:val="20"/>
                <w:vertAlign w:val="superscript"/>
                <w:lang w:val="en-GB"/>
              </w:rPr>
              <w:t>1</w:t>
            </w:r>
          </w:p>
        </w:tc>
      </w:tr>
      <w:tr w:rsidR="00DC5685" w:rsidRPr="00A34F10" w14:paraId="5858D92B" w14:textId="77777777" w:rsidTr="000470C3">
        <w:trPr>
          <w:trHeight w:hRule="exact" w:val="283"/>
        </w:trPr>
        <w:tc>
          <w:tcPr>
            <w:tcW w:w="1222" w:type="pct"/>
            <w:tcBorders>
              <w:top w:val="single" w:sz="4" w:space="0" w:color="auto"/>
              <w:left w:val="single" w:sz="4" w:space="0" w:color="auto"/>
              <w:bottom w:val="single" w:sz="4" w:space="0" w:color="auto"/>
              <w:right w:val="single" w:sz="4" w:space="0" w:color="auto"/>
            </w:tcBorders>
            <w:vAlign w:val="center"/>
            <w:hideMark/>
          </w:tcPr>
          <w:p w14:paraId="49802BA0" w14:textId="77777777" w:rsidR="00DC5685" w:rsidRPr="00A34F10" w:rsidRDefault="00DC5685" w:rsidP="00DC5685">
            <w:pPr>
              <w:tabs>
                <w:tab w:val="left" w:pos="720"/>
              </w:tabs>
              <w:jc w:val="center"/>
              <w:rPr>
                <w:sz w:val="20"/>
                <w:szCs w:val="20"/>
                <w:lang w:val="en-GB"/>
              </w:rPr>
            </w:pPr>
            <w:r w:rsidRPr="00A34F10">
              <w:rPr>
                <w:sz w:val="20"/>
                <w:szCs w:val="20"/>
              </w:rPr>
              <w:t>0.1875</w:t>
            </w:r>
          </w:p>
        </w:tc>
        <w:tc>
          <w:tcPr>
            <w:tcW w:w="1899" w:type="pct"/>
            <w:tcBorders>
              <w:top w:val="single" w:sz="4" w:space="0" w:color="auto"/>
              <w:left w:val="single" w:sz="4" w:space="0" w:color="auto"/>
              <w:bottom w:val="single" w:sz="4" w:space="0" w:color="auto"/>
              <w:right w:val="single" w:sz="4" w:space="0" w:color="auto"/>
            </w:tcBorders>
            <w:vAlign w:val="center"/>
            <w:hideMark/>
          </w:tcPr>
          <w:p w14:paraId="551678E2" w14:textId="77777777" w:rsidR="00DC5685" w:rsidRPr="00A34F10" w:rsidRDefault="00DC5685" w:rsidP="00DC5685">
            <w:pPr>
              <w:tabs>
                <w:tab w:val="left" w:pos="720"/>
              </w:tabs>
              <w:jc w:val="center"/>
              <w:rPr>
                <w:sz w:val="20"/>
                <w:szCs w:val="20"/>
                <w:lang w:val="en-GB"/>
              </w:rPr>
            </w:pPr>
            <w:r w:rsidRPr="00A34F10">
              <w:rPr>
                <w:sz w:val="20"/>
                <w:szCs w:val="20"/>
                <w:lang w:val="en-GB"/>
              </w:rPr>
              <w:t>81</w:t>
            </w:r>
          </w:p>
        </w:tc>
        <w:tc>
          <w:tcPr>
            <w:tcW w:w="1879" w:type="pct"/>
            <w:tcBorders>
              <w:top w:val="single" w:sz="4" w:space="0" w:color="auto"/>
              <w:left w:val="single" w:sz="4" w:space="0" w:color="auto"/>
              <w:bottom w:val="single" w:sz="4" w:space="0" w:color="auto"/>
              <w:right w:val="single" w:sz="4" w:space="0" w:color="auto"/>
            </w:tcBorders>
            <w:vAlign w:val="center"/>
            <w:hideMark/>
          </w:tcPr>
          <w:p w14:paraId="5A28552F" w14:textId="77777777" w:rsidR="00DC5685" w:rsidRPr="00A34F10" w:rsidRDefault="00DC5685" w:rsidP="00DC5685">
            <w:pPr>
              <w:tabs>
                <w:tab w:val="left" w:pos="720"/>
              </w:tabs>
              <w:jc w:val="center"/>
              <w:rPr>
                <w:sz w:val="20"/>
                <w:szCs w:val="20"/>
                <w:lang w:val="en-GB"/>
              </w:rPr>
            </w:pPr>
            <w:r w:rsidRPr="00A34F10">
              <w:rPr>
                <w:sz w:val="20"/>
                <w:szCs w:val="20"/>
                <w:lang w:val="en-GB"/>
              </w:rPr>
              <w:t>25.714</w:t>
            </w:r>
          </w:p>
        </w:tc>
      </w:tr>
      <w:tr w:rsidR="00DC5685" w:rsidRPr="00A34F10" w14:paraId="42273E92" w14:textId="77777777" w:rsidTr="000470C3">
        <w:trPr>
          <w:trHeight w:hRule="exact" w:val="283"/>
        </w:trPr>
        <w:tc>
          <w:tcPr>
            <w:tcW w:w="1222" w:type="pct"/>
            <w:tcBorders>
              <w:top w:val="single" w:sz="4" w:space="0" w:color="auto"/>
              <w:left w:val="single" w:sz="4" w:space="0" w:color="auto"/>
              <w:bottom w:val="single" w:sz="4" w:space="0" w:color="auto"/>
              <w:right w:val="single" w:sz="4" w:space="0" w:color="auto"/>
            </w:tcBorders>
            <w:vAlign w:val="center"/>
            <w:hideMark/>
          </w:tcPr>
          <w:p w14:paraId="63903271" w14:textId="77777777" w:rsidR="00DC5685" w:rsidRPr="00A34F10" w:rsidRDefault="00DC5685" w:rsidP="00DC5685">
            <w:pPr>
              <w:tabs>
                <w:tab w:val="left" w:pos="720"/>
              </w:tabs>
              <w:jc w:val="center"/>
              <w:rPr>
                <w:sz w:val="20"/>
                <w:szCs w:val="20"/>
                <w:lang w:val="en-GB"/>
              </w:rPr>
            </w:pPr>
            <w:r w:rsidRPr="00A34F10">
              <w:rPr>
                <w:sz w:val="20"/>
                <w:szCs w:val="20"/>
              </w:rPr>
              <w:t>0.375</w:t>
            </w:r>
          </w:p>
        </w:tc>
        <w:tc>
          <w:tcPr>
            <w:tcW w:w="1899" w:type="pct"/>
            <w:tcBorders>
              <w:top w:val="single" w:sz="4" w:space="0" w:color="auto"/>
              <w:left w:val="single" w:sz="4" w:space="0" w:color="auto"/>
              <w:bottom w:val="single" w:sz="4" w:space="0" w:color="auto"/>
              <w:right w:val="single" w:sz="4" w:space="0" w:color="auto"/>
            </w:tcBorders>
            <w:vAlign w:val="center"/>
            <w:hideMark/>
          </w:tcPr>
          <w:p w14:paraId="2DEC0181" w14:textId="77777777" w:rsidR="00DC5685" w:rsidRPr="00A34F10" w:rsidRDefault="00DC5685" w:rsidP="00DC5685">
            <w:pPr>
              <w:tabs>
                <w:tab w:val="left" w:pos="720"/>
              </w:tabs>
              <w:jc w:val="center"/>
              <w:rPr>
                <w:sz w:val="20"/>
                <w:szCs w:val="20"/>
                <w:lang w:val="en-GB"/>
              </w:rPr>
            </w:pPr>
            <w:r w:rsidRPr="00A34F10">
              <w:rPr>
                <w:sz w:val="20"/>
                <w:szCs w:val="20"/>
                <w:lang w:val="en-GB"/>
              </w:rPr>
              <w:t>162</w:t>
            </w:r>
          </w:p>
        </w:tc>
        <w:tc>
          <w:tcPr>
            <w:tcW w:w="1879" w:type="pct"/>
            <w:tcBorders>
              <w:top w:val="single" w:sz="4" w:space="0" w:color="auto"/>
              <w:left w:val="single" w:sz="4" w:space="0" w:color="auto"/>
              <w:bottom w:val="single" w:sz="4" w:space="0" w:color="auto"/>
              <w:right w:val="single" w:sz="4" w:space="0" w:color="auto"/>
            </w:tcBorders>
            <w:vAlign w:val="center"/>
            <w:hideMark/>
          </w:tcPr>
          <w:p w14:paraId="52026D48" w14:textId="77777777" w:rsidR="00DC5685" w:rsidRPr="00A34F10" w:rsidRDefault="00DC5685" w:rsidP="00DC5685">
            <w:pPr>
              <w:tabs>
                <w:tab w:val="left" w:pos="720"/>
              </w:tabs>
              <w:jc w:val="center"/>
              <w:rPr>
                <w:sz w:val="20"/>
                <w:szCs w:val="20"/>
                <w:lang w:val="en-GB"/>
              </w:rPr>
            </w:pPr>
            <w:r w:rsidRPr="00A34F10">
              <w:rPr>
                <w:sz w:val="20"/>
                <w:szCs w:val="20"/>
                <w:lang w:val="en-GB"/>
              </w:rPr>
              <w:t>51.428</w:t>
            </w:r>
          </w:p>
        </w:tc>
      </w:tr>
      <w:tr w:rsidR="00DC5685" w:rsidRPr="00A34F10" w14:paraId="7E7F1E5E" w14:textId="77777777" w:rsidTr="000470C3">
        <w:trPr>
          <w:trHeight w:hRule="exact" w:val="283"/>
        </w:trPr>
        <w:tc>
          <w:tcPr>
            <w:tcW w:w="1222" w:type="pct"/>
            <w:tcBorders>
              <w:top w:val="single" w:sz="4" w:space="0" w:color="auto"/>
              <w:left w:val="single" w:sz="4" w:space="0" w:color="auto"/>
              <w:bottom w:val="single" w:sz="4" w:space="0" w:color="auto"/>
              <w:right w:val="single" w:sz="4" w:space="0" w:color="auto"/>
            </w:tcBorders>
            <w:vAlign w:val="center"/>
            <w:hideMark/>
          </w:tcPr>
          <w:p w14:paraId="76983197" w14:textId="77777777" w:rsidR="00DC5685" w:rsidRPr="00A34F10" w:rsidRDefault="00DC5685" w:rsidP="00DC5685">
            <w:pPr>
              <w:tabs>
                <w:tab w:val="left" w:pos="720"/>
              </w:tabs>
              <w:jc w:val="center"/>
              <w:rPr>
                <w:sz w:val="20"/>
                <w:szCs w:val="20"/>
                <w:lang w:val="en-GB"/>
              </w:rPr>
            </w:pPr>
            <w:r w:rsidRPr="00A34F10">
              <w:rPr>
                <w:sz w:val="20"/>
                <w:szCs w:val="20"/>
              </w:rPr>
              <w:t>0.75</w:t>
            </w:r>
          </w:p>
        </w:tc>
        <w:tc>
          <w:tcPr>
            <w:tcW w:w="1899" w:type="pct"/>
            <w:tcBorders>
              <w:top w:val="single" w:sz="4" w:space="0" w:color="auto"/>
              <w:left w:val="single" w:sz="4" w:space="0" w:color="auto"/>
              <w:bottom w:val="single" w:sz="4" w:space="0" w:color="auto"/>
              <w:right w:val="single" w:sz="4" w:space="0" w:color="auto"/>
            </w:tcBorders>
            <w:vAlign w:val="center"/>
            <w:hideMark/>
          </w:tcPr>
          <w:p w14:paraId="47B363CB" w14:textId="77777777" w:rsidR="00DC5685" w:rsidRPr="00A34F10" w:rsidRDefault="00DC5685" w:rsidP="00DC5685">
            <w:pPr>
              <w:tabs>
                <w:tab w:val="left" w:pos="720"/>
              </w:tabs>
              <w:jc w:val="center"/>
              <w:rPr>
                <w:sz w:val="20"/>
                <w:szCs w:val="20"/>
                <w:lang w:val="en-GB"/>
              </w:rPr>
            </w:pPr>
            <w:r w:rsidRPr="00A34F10">
              <w:rPr>
                <w:sz w:val="20"/>
                <w:szCs w:val="20"/>
                <w:lang w:val="en-GB"/>
              </w:rPr>
              <w:t>324</w:t>
            </w:r>
          </w:p>
        </w:tc>
        <w:tc>
          <w:tcPr>
            <w:tcW w:w="1879" w:type="pct"/>
            <w:tcBorders>
              <w:top w:val="single" w:sz="4" w:space="0" w:color="auto"/>
              <w:left w:val="single" w:sz="4" w:space="0" w:color="auto"/>
              <w:bottom w:val="single" w:sz="4" w:space="0" w:color="auto"/>
              <w:right w:val="single" w:sz="4" w:space="0" w:color="auto"/>
            </w:tcBorders>
            <w:vAlign w:val="center"/>
            <w:hideMark/>
          </w:tcPr>
          <w:p w14:paraId="480838FD" w14:textId="77777777" w:rsidR="00DC5685" w:rsidRPr="00A34F10" w:rsidRDefault="00DC5685" w:rsidP="00DC5685">
            <w:pPr>
              <w:tabs>
                <w:tab w:val="left" w:pos="720"/>
              </w:tabs>
              <w:jc w:val="center"/>
              <w:rPr>
                <w:sz w:val="20"/>
                <w:szCs w:val="20"/>
                <w:lang w:val="en-GB"/>
              </w:rPr>
            </w:pPr>
            <w:r w:rsidRPr="00A34F10">
              <w:rPr>
                <w:sz w:val="20"/>
                <w:szCs w:val="20"/>
                <w:lang w:val="en-GB"/>
              </w:rPr>
              <w:t>102.855</w:t>
            </w:r>
          </w:p>
        </w:tc>
      </w:tr>
      <w:tr w:rsidR="00DC5685" w:rsidRPr="00A34F10" w14:paraId="388AF220" w14:textId="77777777" w:rsidTr="000470C3">
        <w:trPr>
          <w:trHeight w:hRule="exact" w:val="283"/>
        </w:trPr>
        <w:tc>
          <w:tcPr>
            <w:tcW w:w="1222" w:type="pct"/>
            <w:tcBorders>
              <w:top w:val="single" w:sz="4" w:space="0" w:color="auto"/>
              <w:left w:val="single" w:sz="4" w:space="0" w:color="auto"/>
              <w:bottom w:val="single" w:sz="4" w:space="0" w:color="auto"/>
              <w:right w:val="single" w:sz="4" w:space="0" w:color="auto"/>
            </w:tcBorders>
            <w:vAlign w:val="center"/>
            <w:hideMark/>
          </w:tcPr>
          <w:p w14:paraId="6DBD01E5" w14:textId="77777777" w:rsidR="00DC5685" w:rsidRPr="00A34F10" w:rsidRDefault="00DC5685" w:rsidP="00DC5685">
            <w:pPr>
              <w:tabs>
                <w:tab w:val="left" w:pos="720"/>
              </w:tabs>
              <w:jc w:val="center"/>
              <w:rPr>
                <w:sz w:val="20"/>
                <w:szCs w:val="20"/>
                <w:lang w:val="en-GB"/>
              </w:rPr>
            </w:pPr>
            <w:r w:rsidRPr="00A34F10">
              <w:rPr>
                <w:sz w:val="20"/>
                <w:szCs w:val="20"/>
              </w:rPr>
              <w:t>1.5</w:t>
            </w:r>
          </w:p>
        </w:tc>
        <w:tc>
          <w:tcPr>
            <w:tcW w:w="1899" w:type="pct"/>
            <w:tcBorders>
              <w:top w:val="single" w:sz="4" w:space="0" w:color="auto"/>
              <w:left w:val="single" w:sz="4" w:space="0" w:color="auto"/>
              <w:bottom w:val="single" w:sz="4" w:space="0" w:color="auto"/>
              <w:right w:val="single" w:sz="4" w:space="0" w:color="auto"/>
            </w:tcBorders>
            <w:vAlign w:val="center"/>
            <w:hideMark/>
          </w:tcPr>
          <w:p w14:paraId="06FE90E0" w14:textId="77777777" w:rsidR="00DC5685" w:rsidRPr="00A34F10" w:rsidRDefault="00DC5685" w:rsidP="00DC5685">
            <w:pPr>
              <w:tabs>
                <w:tab w:val="left" w:pos="720"/>
              </w:tabs>
              <w:jc w:val="center"/>
              <w:rPr>
                <w:sz w:val="20"/>
                <w:szCs w:val="20"/>
                <w:lang w:val="en-GB"/>
              </w:rPr>
            </w:pPr>
            <w:r w:rsidRPr="00A34F10">
              <w:rPr>
                <w:sz w:val="20"/>
                <w:szCs w:val="20"/>
                <w:lang w:val="en-GB"/>
              </w:rPr>
              <w:t>648</w:t>
            </w:r>
          </w:p>
        </w:tc>
        <w:tc>
          <w:tcPr>
            <w:tcW w:w="1879" w:type="pct"/>
            <w:tcBorders>
              <w:top w:val="single" w:sz="4" w:space="0" w:color="auto"/>
              <w:left w:val="single" w:sz="4" w:space="0" w:color="auto"/>
              <w:bottom w:val="single" w:sz="4" w:space="0" w:color="auto"/>
              <w:right w:val="single" w:sz="4" w:space="0" w:color="auto"/>
            </w:tcBorders>
            <w:vAlign w:val="center"/>
            <w:hideMark/>
          </w:tcPr>
          <w:p w14:paraId="6F089D64" w14:textId="77777777" w:rsidR="00DC5685" w:rsidRPr="00A34F10" w:rsidRDefault="00DC5685" w:rsidP="00DC5685">
            <w:pPr>
              <w:tabs>
                <w:tab w:val="left" w:pos="720"/>
              </w:tabs>
              <w:jc w:val="center"/>
              <w:rPr>
                <w:sz w:val="20"/>
                <w:szCs w:val="20"/>
                <w:lang w:val="en-GB"/>
              </w:rPr>
            </w:pPr>
            <w:r w:rsidRPr="00A34F10">
              <w:rPr>
                <w:sz w:val="20"/>
                <w:szCs w:val="20"/>
                <w:lang w:val="en-GB"/>
              </w:rPr>
              <w:t>205.71</w:t>
            </w:r>
          </w:p>
        </w:tc>
      </w:tr>
      <w:tr w:rsidR="00DC5685" w:rsidRPr="00A34F10" w14:paraId="3953A629" w14:textId="77777777" w:rsidTr="000470C3">
        <w:trPr>
          <w:trHeight w:hRule="exact" w:val="283"/>
        </w:trPr>
        <w:tc>
          <w:tcPr>
            <w:tcW w:w="1222" w:type="pct"/>
            <w:tcBorders>
              <w:top w:val="single" w:sz="4" w:space="0" w:color="auto"/>
              <w:left w:val="single" w:sz="4" w:space="0" w:color="auto"/>
              <w:bottom w:val="single" w:sz="4" w:space="0" w:color="auto"/>
              <w:right w:val="single" w:sz="4" w:space="0" w:color="auto"/>
            </w:tcBorders>
            <w:vAlign w:val="center"/>
            <w:hideMark/>
          </w:tcPr>
          <w:p w14:paraId="45778593" w14:textId="77777777" w:rsidR="00DC5685" w:rsidRPr="00A34F10" w:rsidRDefault="00DC5685" w:rsidP="00DC5685">
            <w:pPr>
              <w:tabs>
                <w:tab w:val="left" w:pos="720"/>
              </w:tabs>
              <w:jc w:val="center"/>
              <w:rPr>
                <w:sz w:val="20"/>
                <w:szCs w:val="20"/>
                <w:lang w:val="en-GB"/>
              </w:rPr>
            </w:pPr>
            <w:r w:rsidRPr="00A34F10">
              <w:rPr>
                <w:sz w:val="20"/>
                <w:szCs w:val="20"/>
              </w:rPr>
              <w:t>3</w:t>
            </w:r>
          </w:p>
        </w:tc>
        <w:tc>
          <w:tcPr>
            <w:tcW w:w="1899" w:type="pct"/>
            <w:tcBorders>
              <w:top w:val="single" w:sz="4" w:space="0" w:color="auto"/>
              <w:left w:val="single" w:sz="4" w:space="0" w:color="auto"/>
              <w:bottom w:val="single" w:sz="4" w:space="0" w:color="auto"/>
              <w:right w:val="single" w:sz="4" w:space="0" w:color="auto"/>
            </w:tcBorders>
            <w:vAlign w:val="center"/>
            <w:hideMark/>
          </w:tcPr>
          <w:p w14:paraId="154C2AFA" w14:textId="77777777" w:rsidR="00DC5685" w:rsidRPr="00A34F10" w:rsidRDefault="00DC5685" w:rsidP="00DC5685">
            <w:pPr>
              <w:tabs>
                <w:tab w:val="left" w:pos="720"/>
              </w:tabs>
              <w:jc w:val="center"/>
              <w:rPr>
                <w:sz w:val="20"/>
                <w:szCs w:val="20"/>
                <w:lang w:val="en-GB"/>
              </w:rPr>
            </w:pPr>
            <w:r w:rsidRPr="00A34F10">
              <w:rPr>
                <w:sz w:val="20"/>
                <w:szCs w:val="20"/>
                <w:lang w:val="en-GB"/>
              </w:rPr>
              <w:t>1296</w:t>
            </w:r>
          </w:p>
        </w:tc>
        <w:tc>
          <w:tcPr>
            <w:tcW w:w="1879" w:type="pct"/>
            <w:tcBorders>
              <w:top w:val="single" w:sz="4" w:space="0" w:color="auto"/>
              <w:left w:val="single" w:sz="4" w:space="0" w:color="auto"/>
              <w:bottom w:val="single" w:sz="4" w:space="0" w:color="auto"/>
              <w:right w:val="single" w:sz="4" w:space="0" w:color="auto"/>
            </w:tcBorders>
            <w:vAlign w:val="center"/>
            <w:hideMark/>
          </w:tcPr>
          <w:p w14:paraId="261972BE" w14:textId="77777777" w:rsidR="00DC5685" w:rsidRPr="00A34F10" w:rsidRDefault="00DC5685" w:rsidP="00DC5685">
            <w:pPr>
              <w:tabs>
                <w:tab w:val="left" w:pos="720"/>
              </w:tabs>
              <w:jc w:val="center"/>
              <w:rPr>
                <w:sz w:val="20"/>
                <w:szCs w:val="20"/>
                <w:lang w:val="en-GB"/>
              </w:rPr>
            </w:pPr>
            <w:r w:rsidRPr="00A34F10">
              <w:rPr>
                <w:sz w:val="20"/>
                <w:szCs w:val="20"/>
                <w:lang w:val="en-GB"/>
              </w:rPr>
              <w:t>411.42</w:t>
            </w:r>
          </w:p>
        </w:tc>
      </w:tr>
    </w:tbl>
    <w:p w14:paraId="591A4324" w14:textId="77777777" w:rsidR="00DC5685" w:rsidRPr="00A34F10" w:rsidRDefault="00DC5685" w:rsidP="00DC5685">
      <w:pPr>
        <w:tabs>
          <w:tab w:val="left" w:pos="720"/>
        </w:tabs>
        <w:spacing w:after="120"/>
        <w:jc w:val="both"/>
        <w:rPr>
          <w:sz w:val="18"/>
          <w:szCs w:val="20"/>
          <w:lang w:val="en-GB"/>
        </w:rPr>
      </w:pPr>
      <w:r w:rsidRPr="00A34F10">
        <w:rPr>
          <w:sz w:val="18"/>
          <w:szCs w:val="20"/>
          <w:vertAlign w:val="superscript"/>
          <w:lang w:val="en-GB"/>
        </w:rPr>
        <w:t>1</w:t>
      </w:r>
      <w:r w:rsidRPr="00A34F10">
        <w:rPr>
          <w:sz w:val="18"/>
          <w:szCs w:val="20"/>
          <w:lang w:val="en-GB"/>
        </w:rPr>
        <w:t>Based on nominal content of active substances</w:t>
      </w:r>
    </w:p>
    <w:p w14:paraId="5F8EAA85" w14:textId="77777777" w:rsidR="00DC5685" w:rsidRPr="00A34F10" w:rsidRDefault="00DC5685" w:rsidP="00DC5685">
      <w:pPr>
        <w:tabs>
          <w:tab w:val="left" w:pos="720"/>
        </w:tabs>
        <w:jc w:val="both"/>
        <w:rPr>
          <w:szCs w:val="24"/>
          <w:lang w:val="en-GB"/>
        </w:rPr>
      </w:pPr>
      <w:r w:rsidRPr="00A34F10">
        <w:rPr>
          <w:szCs w:val="24"/>
          <w:lang w:val="en-GB"/>
        </w:rPr>
        <w:t xml:space="preserve">The treatments were applied to glass plates from directly above using a calibrated laboratory track-sprayer and the residues were left to dry. The spray pressure selected was 3.4 bar and the moving spray boom was fitted with a single 90° flat-fan nozzle (Lechler ES 90-015). All treatments were applied at a volume rate of 200 L spray solution/ha. </w:t>
      </w:r>
    </w:p>
    <w:p w14:paraId="7F30A67A" w14:textId="77777777" w:rsidR="00DC5685" w:rsidRPr="00A34F10" w:rsidRDefault="00DC5685" w:rsidP="00DC5685">
      <w:pPr>
        <w:tabs>
          <w:tab w:val="left" w:pos="720"/>
        </w:tabs>
        <w:jc w:val="both"/>
        <w:rPr>
          <w:szCs w:val="24"/>
          <w:lang w:val="en-GB"/>
        </w:rPr>
      </w:pPr>
    </w:p>
    <w:p w14:paraId="086F8152" w14:textId="77777777" w:rsidR="00DC5685" w:rsidRPr="00A34F10" w:rsidRDefault="00DC5685" w:rsidP="00DC5685">
      <w:pPr>
        <w:tabs>
          <w:tab w:val="left" w:pos="720"/>
        </w:tabs>
        <w:spacing w:after="240"/>
        <w:jc w:val="both"/>
        <w:rPr>
          <w:szCs w:val="24"/>
          <w:lang w:val="en-GB"/>
        </w:rPr>
      </w:pPr>
      <w:r w:rsidRPr="00A34F10">
        <w:rPr>
          <w:szCs w:val="24"/>
          <w:lang w:val="en-GB"/>
        </w:rPr>
        <w:t>Approximately 1 hour after treatment, the test units were assembled along their longitudinal side parallel to one another and touching. The treated surface was placed upwards on moistened filter paper on a sponge placed in a plastic tray. A band of sticky insect glue was applied around the edges of the arena to form a barrier to prevent the mites from escaping. Then the protonymphs were put in the test arena by means of a moistened brush. The test apparatus was placed in a controlled environment room.</w:t>
      </w:r>
    </w:p>
    <w:p w14:paraId="38C0E8F4" w14:textId="77777777" w:rsidR="00DC5685" w:rsidRPr="00A34F10" w:rsidRDefault="00DC5685" w:rsidP="00E05ECD">
      <w:pPr>
        <w:numPr>
          <w:ilvl w:val="0"/>
          <w:numId w:val="66"/>
        </w:numPr>
        <w:spacing w:before="240"/>
        <w:ind w:left="357" w:hanging="357"/>
        <w:contextualSpacing/>
        <w:rPr>
          <w:b/>
          <w:bCs/>
          <w:szCs w:val="24"/>
          <w:lang w:val="en-GB"/>
        </w:rPr>
      </w:pPr>
      <w:r w:rsidRPr="00A34F10">
        <w:rPr>
          <w:b/>
          <w:bCs/>
          <w:szCs w:val="24"/>
          <w:lang w:val="en-GB"/>
        </w:rPr>
        <w:t xml:space="preserve">Dose preparation: </w:t>
      </w:r>
    </w:p>
    <w:p w14:paraId="5BB59B07"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 volume application rate for the test was 200 L spray solution/ha. All dilutions were prepared shortly before their application. A stock solution, also used as the highest test item solution, was prepared by dissolving </w:t>
      </w:r>
      <w:r w:rsidRPr="00A34F10">
        <w:rPr>
          <w:rFonts w:eastAsia="Calibri"/>
          <w:color w:val="000000"/>
          <w:lang w:val="en-GB"/>
        </w:rPr>
        <w:t>1.620 g BAS 743 02 F in 100 mL deionised water.</w:t>
      </w:r>
      <w:r w:rsidRPr="00A34F10">
        <w:rPr>
          <w:color w:val="000000" w:themeColor="text1"/>
        </w:rPr>
        <w:t xml:space="preserve"> Serial dilutions were conducted to prepare the lower test item spray solutions.</w:t>
      </w:r>
    </w:p>
    <w:p w14:paraId="610932D5" w14:textId="77777777" w:rsidR="00DC5685" w:rsidRPr="00A34F10" w:rsidRDefault="00DC5685" w:rsidP="00E05ECD">
      <w:pPr>
        <w:numPr>
          <w:ilvl w:val="0"/>
          <w:numId w:val="66"/>
        </w:numPr>
        <w:spacing w:before="240"/>
        <w:ind w:left="357" w:hanging="357"/>
        <w:contextualSpacing/>
        <w:rPr>
          <w:b/>
          <w:bCs/>
          <w:szCs w:val="24"/>
          <w:lang w:val="en-GB"/>
        </w:rPr>
      </w:pPr>
      <w:r w:rsidRPr="00A34F10">
        <w:rPr>
          <w:b/>
          <w:bCs/>
          <w:szCs w:val="24"/>
          <w:lang w:val="en-GB"/>
        </w:rPr>
        <w:t xml:space="preserve">Measurements and observations: </w:t>
      </w:r>
    </w:p>
    <w:p w14:paraId="38F006AC"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6B3CC089" w14:textId="77777777" w:rsidR="00DC5685" w:rsidRPr="00A34F10" w:rsidRDefault="00DC5685" w:rsidP="00DC5685">
      <w:pPr>
        <w:tabs>
          <w:tab w:val="left" w:pos="720"/>
        </w:tabs>
        <w:jc w:val="both"/>
        <w:rPr>
          <w:szCs w:val="24"/>
          <w:lang w:val="en-GB"/>
        </w:rPr>
      </w:pPr>
      <w:r w:rsidRPr="00A34F10">
        <w:rPr>
          <w:szCs w:val="24"/>
          <w:lang w:val="en-GB"/>
        </w:rPr>
        <w:t xml:space="preserve">Mortality assessments were carried out 3 and 7 days after exposure of the mites and additionally after 9, 11 and 14 days. Mites were classified as surviving, dead and escaped (trapped or not found). In addition, for all test item treatments, and the control, the reproduction, i.e. number of eggs laid per female, was determined in three assessments at 9, 11 and 14 days after application. </w:t>
      </w:r>
    </w:p>
    <w:p w14:paraId="14B32FA0" w14:textId="77777777" w:rsidR="00DC5685" w:rsidRPr="00A34F10" w:rsidRDefault="00DC5685" w:rsidP="00DC5685">
      <w:pPr>
        <w:tabs>
          <w:tab w:val="left" w:pos="720"/>
        </w:tabs>
        <w:jc w:val="both"/>
        <w:rPr>
          <w:szCs w:val="24"/>
          <w:highlight w:val="yellow"/>
          <w:lang w:val="en-GB"/>
        </w:rPr>
      </w:pPr>
    </w:p>
    <w:p w14:paraId="3936B74F"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032335A8" w14:textId="77777777" w:rsidR="00DC5685" w:rsidRPr="00A34F10" w:rsidRDefault="00DC5685" w:rsidP="00DC5685">
      <w:pPr>
        <w:tabs>
          <w:tab w:val="left" w:pos="720"/>
        </w:tabs>
        <w:jc w:val="both"/>
        <w:rPr>
          <w:szCs w:val="24"/>
          <w:u w:val="single"/>
          <w:lang w:val="en-GB"/>
        </w:rPr>
      </w:pPr>
      <w:r w:rsidRPr="00A34F10">
        <w:rPr>
          <w:szCs w:val="24"/>
          <w:lang w:val="en-GB"/>
        </w:rPr>
        <w:t xml:space="preserve">Light levels were recorded at the start of the test and temperature and humidity measurements were taken continuously throughout the test. </w:t>
      </w:r>
    </w:p>
    <w:p w14:paraId="78CE2D58" w14:textId="77777777" w:rsidR="00DC5685" w:rsidRPr="00A34F10" w:rsidRDefault="00DC5685" w:rsidP="00DC5685">
      <w:pPr>
        <w:tabs>
          <w:tab w:val="left" w:pos="720"/>
        </w:tabs>
        <w:jc w:val="both"/>
        <w:rPr>
          <w:szCs w:val="24"/>
          <w:highlight w:val="yellow"/>
          <w:u w:val="single"/>
          <w:lang w:val="en-GB"/>
        </w:rPr>
      </w:pPr>
    </w:p>
    <w:p w14:paraId="18AE7578" w14:textId="77777777" w:rsidR="00DC5685" w:rsidRPr="00A34F10" w:rsidRDefault="00DC5685" w:rsidP="00E05ECD">
      <w:pPr>
        <w:numPr>
          <w:ilvl w:val="0"/>
          <w:numId w:val="66"/>
        </w:numPr>
        <w:spacing w:before="240"/>
        <w:ind w:left="357" w:hanging="357"/>
        <w:contextualSpacing/>
        <w:rPr>
          <w:b/>
          <w:bCs/>
          <w:szCs w:val="24"/>
          <w:lang w:val="en-GB"/>
        </w:rPr>
      </w:pPr>
      <w:r w:rsidRPr="00A34F10">
        <w:rPr>
          <w:b/>
          <w:bCs/>
          <w:szCs w:val="24"/>
          <w:lang w:val="en-GB"/>
        </w:rPr>
        <w:t xml:space="preserve">Statistical analysis: </w:t>
      </w:r>
    </w:p>
    <w:p w14:paraId="77DD47BE" w14:textId="77777777" w:rsidR="00DC5685" w:rsidRPr="00A34F10" w:rsidRDefault="00DC5685" w:rsidP="00DC5685">
      <w:pPr>
        <w:tabs>
          <w:tab w:val="left" w:pos="720"/>
        </w:tabs>
        <w:jc w:val="both"/>
        <w:rPr>
          <w:szCs w:val="24"/>
          <w:lang w:val="en-GB"/>
        </w:rPr>
      </w:pPr>
      <w:r w:rsidRPr="00A34F10">
        <w:rPr>
          <w:szCs w:val="24"/>
          <w:lang w:val="en-GB"/>
        </w:rPr>
        <w:t>For statistical analysis of the results, the computer program ToxRat Professional 3.3.0 (RATTE, 2018) was used. Mortality was analysed for statistical significance using the Step-down Cochran-Armitage Test for the test item and the Chi</w:t>
      </w:r>
      <w:r w:rsidRPr="00A34F10">
        <w:rPr>
          <w:szCs w:val="24"/>
          <w:vertAlign w:val="superscript"/>
          <w:lang w:val="en-GB"/>
        </w:rPr>
        <w:t>2</w:t>
      </w:r>
      <w:r w:rsidRPr="00A34F10">
        <w:rPr>
          <w:szCs w:val="24"/>
          <w:lang w:val="en-GB"/>
        </w:rPr>
        <w:t>-2x2 Table test for reference item as distribution-free tests (α = 0.05, one-sided greater) which do not require testing for normality or homoscedasticity prior to analysis. Reproduction was analysed for statistical significance using Williams-t-test, α = 0.05, one-sided smaller, following Shapiro-Wilk’s test for normal distribution, Levene’s test procedure for variance homogeneity.</w:t>
      </w:r>
    </w:p>
    <w:p w14:paraId="7F164B57" w14:textId="77777777" w:rsidR="00DC5685" w:rsidRPr="00A34F10" w:rsidRDefault="00DC5685" w:rsidP="00DC5685">
      <w:pPr>
        <w:tabs>
          <w:tab w:val="left" w:pos="720"/>
        </w:tabs>
        <w:jc w:val="both"/>
        <w:rPr>
          <w:szCs w:val="24"/>
          <w:lang w:val="en-GB"/>
        </w:rPr>
      </w:pPr>
    </w:p>
    <w:p w14:paraId="15554A9C" w14:textId="36EBA5F2" w:rsidR="00772D00" w:rsidRPr="00A34F10" w:rsidRDefault="00DC5685" w:rsidP="00DC5685">
      <w:pPr>
        <w:tabs>
          <w:tab w:val="left" w:pos="720"/>
        </w:tabs>
        <w:jc w:val="both"/>
        <w:rPr>
          <w:szCs w:val="24"/>
          <w:lang w:val="en-GB"/>
        </w:rPr>
      </w:pPr>
      <w:r w:rsidRPr="00A34F10">
        <w:rPr>
          <w:szCs w:val="24"/>
          <w:lang w:val="en-GB"/>
        </w:rPr>
        <w:t>Since there were only low effects (&lt; 50 %) for mortality and reproduction assessments in the test item treatment groups, the calculation of the LR</w:t>
      </w:r>
      <w:r w:rsidRPr="00A34F10">
        <w:rPr>
          <w:szCs w:val="24"/>
          <w:vertAlign w:val="subscript"/>
          <w:lang w:val="en-GB"/>
        </w:rPr>
        <w:t>50</w:t>
      </w:r>
      <w:r w:rsidRPr="00A34F10">
        <w:rPr>
          <w:szCs w:val="24"/>
          <w:lang w:val="en-GB"/>
        </w:rPr>
        <w:t xml:space="preserve"> and ER</w:t>
      </w:r>
      <w:r w:rsidRPr="00A34F10">
        <w:rPr>
          <w:szCs w:val="24"/>
          <w:vertAlign w:val="subscript"/>
          <w:lang w:val="en-GB"/>
        </w:rPr>
        <w:t>50</w:t>
      </w:r>
      <w:r w:rsidRPr="00A34F10">
        <w:rPr>
          <w:szCs w:val="24"/>
          <w:lang w:val="en-GB"/>
        </w:rPr>
        <w:t xml:space="preserve"> was not possible.</w:t>
      </w:r>
    </w:p>
    <w:p w14:paraId="041BFBD9" w14:textId="77777777" w:rsidR="00DC5685" w:rsidRPr="00A34F10" w:rsidRDefault="00DC5685" w:rsidP="00DC5685">
      <w:pPr>
        <w:tabs>
          <w:tab w:val="left" w:pos="720"/>
        </w:tabs>
        <w:spacing w:after="240"/>
        <w:ind w:left="720" w:hanging="431"/>
        <w:contextualSpacing/>
        <w:jc w:val="center"/>
        <w:rPr>
          <w:szCs w:val="24"/>
          <w:highlight w:val="yellow"/>
          <w:lang w:val="en-GB"/>
        </w:rPr>
      </w:pPr>
    </w:p>
    <w:p w14:paraId="409957A6"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55C44E66" w14:textId="77777777" w:rsidR="00DC5685" w:rsidRPr="00A34F10" w:rsidRDefault="00DC5685" w:rsidP="00E05ECD">
      <w:pPr>
        <w:numPr>
          <w:ilvl w:val="0"/>
          <w:numId w:val="67"/>
        </w:numPr>
        <w:ind w:left="357" w:hanging="357"/>
        <w:contextualSpacing/>
        <w:rPr>
          <w:b/>
          <w:bCs/>
          <w:caps/>
          <w:szCs w:val="24"/>
          <w:lang w:val="en-GB"/>
        </w:rPr>
      </w:pPr>
      <w:r w:rsidRPr="00A34F10">
        <w:rPr>
          <w:b/>
          <w:bCs/>
          <w:caps/>
          <w:szCs w:val="24"/>
          <w:lang w:val="en-GB"/>
        </w:rPr>
        <w:lastRenderedPageBreak/>
        <w:t xml:space="preserve"> biological effects</w:t>
      </w:r>
    </w:p>
    <w:p w14:paraId="670089C0" w14:textId="77777777" w:rsidR="00DC5685" w:rsidRPr="00A34F10" w:rsidRDefault="00DC5685" w:rsidP="00DC5685">
      <w:pPr>
        <w:tabs>
          <w:tab w:val="left" w:pos="0"/>
        </w:tabs>
        <w:ind w:left="357" w:hanging="357"/>
        <w:contextualSpacing/>
        <w:rPr>
          <w:b/>
          <w:bCs/>
          <w:caps/>
          <w:szCs w:val="24"/>
          <w:lang w:val="en-GB"/>
        </w:rPr>
      </w:pPr>
    </w:p>
    <w:p w14:paraId="1AB17DC4" w14:textId="77777777" w:rsidR="00DC5685" w:rsidRPr="00A34F10" w:rsidRDefault="00DC5685" w:rsidP="00DC5685">
      <w:pPr>
        <w:autoSpaceDE w:val="0"/>
        <w:autoSpaceDN w:val="0"/>
        <w:adjustRightInd w:val="0"/>
        <w:jc w:val="both"/>
        <w:rPr>
          <w:szCs w:val="24"/>
          <w:lang w:val="en-GB"/>
        </w:rPr>
      </w:pPr>
      <w:r w:rsidRPr="00A34F10">
        <w:rPr>
          <w:szCs w:val="24"/>
          <w:lang w:val="en-GB"/>
        </w:rPr>
        <w:t>After 7 days, a mean mortality of 1.0 % was observed in the control. In the test item treatments, mean (corrected) mortalities ranged between 1.0 % and 35.4 %. No statistically significant effects on mortality were determined at treatment rates up to and including 0.375 L product/ha compared to the control. The LR</w:t>
      </w:r>
      <w:r w:rsidRPr="00A34F10">
        <w:rPr>
          <w:szCs w:val="24"/>
          <w:vertAlign w:val="subscript"/>
          <w:lang w:val="en-GB"/>
        </w:rPr>
        <w:t>50</w:t>
      </w:r>
      <w:r w:rsidRPr="00A34F10">
        <w:rPr>
          <w:szCs w:val="24"/>
          <w:lang w:val="en-GB"/>
        </w:rPr>
        <w:t xml:space="preserve"> was estimated to be &gt; 3 L product/ha. The NOER for mortality was determined to be 0.375 L product/ha. The reference item caused 76.0 % mortality in exposed mites, resulting in a corrected mortality of 75.8 %.</w:t>
      </w:r>
    </w:p>
    <w:p w14:paraId="26329B13" w14:textId="77777777" w:rsidR="00DC5685" w:rsidRPr="00A34F10" w:rsidRDefault="00DC5685" w:rsidP="00DC5685">
      <w:pPr>
        <w:autoSpaceDE w:val="0"/>
        <w:autoSpaceDN w:val="0"/>
        <w:adjustRightInd w:val="0"/>
        <w:jc w:val="both"/>
        <w:rPr>
          <w:szCs w:val="24"/>
          <w:lang w:val="en-GB"/>
        </w:rPr>
      </w:pPr>
    </w:p>
    <w:p w14:paraId="7E73FDB1" w14:textId="77777777" w:rsidR="00DC5685" w:rsidRPr="00A34F10" w:rsidRDefault="00DC5685" w:rsidP="00DC5685">
      <w:pPr>
        <w:autoSpaceDE w:val="0"/>
        <w:autoSpaceDN w:val="0"/>
        <w:adjustRightInd w:val="0"/>
        <w:jc w:val="both"/>
        <w:rPr>
          <w:szCs w:val="24"/>
          <w:lang w:val="en-GB"/>
        </w:rPr>
      </w:pPr>
      <w:r w:rsidRPr="00A34F10">
        <w:rPr>
          <w:szCs w:val="24"/>
          <w:lang w:val="en-GB"/>
        </w:rPr>
        <w:t>The mean reproduction rate in the control was 6.36 eggs/female. The mean reproduction rates in the test item treated groups were between 6.13 and 6.59 eggs/female. Thus, an effect on reproduction between - 3.6 % and 3.6 % was calculated for the test item treated groups compared to the control. No statistically significant effects on reproduction were determined at all test item rates compared to the control. The ER</w:t>
      </w:r>
      <w:r w:rsidRPr="00A34F10">
        <w:rPr>
          <w:szCs w:val="24"/>
          <w:vertAlign w:val="subscript"/>
          <w:lang w:val="en-GB"/>
        </w:rPr>
        <w:t>50</w:t>
      </w:r>
      <w:r w:rsidRPr="00A34F10">
        <w:rPr>
          <w:szCs w:val="24"/>
          <w:lang w:val="en-GB"/>
        </w:rPr>
        <w:t xml:space="preserve"> was estimated to be &gt; 3 L product/ha and the NOER for reproduction was determined to be 3 L product/ha.</w:t>
      </w:r>
    </w:p>
    <w:p w14:paraId="42D86EAE" w14:textId="77777777" w:rsidR="00DC5685" w:rsidRPr="00A34F10" w:rsidRDefault="00DC5685" w:rsidP="00DC5685">
      <w:pPr>
        <w:autoSpaceDE w:val="0"/>
        <w:autoSpaceDN w:val="0"/>
        <w:adjustRightInd w:val="0"/>
        <w:jc w:val="both"/>
        <w:rPr>
          <w:szCs w:val="24"/>
          <w:lang w:val="en-GB"/>
        </w:rPr>
      </w:pPr>
    </w:p>
    <w:p w14:paraId="041ADAF6" w14:textId="77777777" w:rsidR="00DC5685" w:rsidRPr="00A34F10" w:rsidRDefault="00DC5685" w:rsidP="00DC5685">
      <w:pPr>
        <w:autoSpaceDE w:val="0"/>
        <w:autoSpaceDN w:val="0"/>
        <w:adjustRightInd w:val="0"/>
        <w:jc w:val="both"/>
        <w:rPr>
          <w:szCs w:val="24"/>
          <w:lang w:val="en-GB"/>
        </w:rPr>
      </w:pPr>
      <w:r w:rsidRPr="00A34F10">
        <w:rPr>
          <w:szCs w:val="24"/>
          <w:lang w:val="en-GB"/>
        </w:rPr>
        <w:t>No unusual observations regarding behaviour were noted in the control and the test item treatment groups at any observation point during the test.</w:t>
      </w:r>
    </w:p>
    <w:p w14:paraId="154EC95D" w14:textId="77777777" w:rsidR="00DC5685" w:rsidRPr="00A34F10" w:rsidRDefault="00DC5685" w:rsidP="00DC5685">
      <w:pPr>
        <w:autoSpaceDE w:val="0"/>
        <w:autoSpaceDN w:val="0"/>
        <w:adjustRightInd w:val="0"/>
        <w:jc w:val="both"/>
        <w:rPr>
          <w:szCs w:val="24"/>
          <w:lang w:val="en-GB"/>
        </w:rPr>
      </w:pPr>
    </w:p>
    <w:p w14:paraId="0A8FBEE5" w14:textId="3722A7A8" w:rsidR="00DC5685" w:rsidRPr="00A34F10" w:rsidRDefault="00DC5685" w:rsidP="00DC5685">
      <w:pPr>
        <w:autoSpaceDE w:val="0"/>
        <w:autoSpaceDN w:val="0"/>
        <w:adjustRightInd w:val="0"/>
        <w:jc w:val="both"/>
        <w:rPr>
          <w:szCs w:val="24"/>
          <w:lang w:val="en-GB"/>
        </w:rPr>
      </w:pPr>
      <w:r w:rsidRPr="00A34F10">
        <w:rPr>
          <w:szCs w:val="24"/>
          <w:lang w:val="en-GB"/>
        </w:rPr>
        <w:t>Results are summarised in</w:t>
      </w:r>
      <w:r w:rsidR="00913A96">
        <w:rPr>
          <w:szCs w:val="24"/>
          <w:lang w:val="en-GB"/>
        </w:rPr>
        <w:t xml:space="preserve"> </w:t>
      </w:r>
      <w:r w:rsidR="00913A96">
        <w:rPr>
          <w:szCs w:val="24"/>
          <w:lang w:val="en-GB"/>
        </w:rPr>
        <w:fldChar w:fldCharType="begin"/>
      </w:r>
      <w:r w:rsidR="00913A96">
        <w:rPr>
          <w:szCs w:val="24"/>
          <w:lang w:val="en-GB"/>
        </w:rPr>
        <w:instrText xml:space="preserve"> REF _Ref147910916 \h </w:instrText>
      </w:r>
      <w:r w:rsidR="00913A96">
        <w:rPr>
          <w:szCs w:val="24"/>
          <w:lang w:val="en-GB"/>
        </w:rPr>
      </w:r>
      <w:r w:rsidR="00913A96">
        <w:rPr>
          <w:szCs w:val="24"/>
          <w:lang w:val="en-GB"/>
        </w:rPr>
        <w:fldChar w:fldCharType="separate"/>
      </w:r>
      <w:r w:rsidR="006F0F3B">
        <w:t xml:space="preserve">Table A </w:t>
      </w:r>
      <w:r w:rsidR="006F0F3B">
        <w:rPr>
          <w:noProof/>
        </w:rPr>
        <w:t>62</w:t>
      </w:r>
      <w:r w:rsidR="00913A96">
        <w:rPr>
          <w:szCs w:val="24"/>
          <w:lang w:val="en-GB"/>
        </w:rPr>
        <w:fldChar w:fldCharType="end"/>
      </w:r>
      <w:r w:rsidRPr="00A34F10">
        <w:rPr>
          <w:szCs w:val="24"/>
          <w:lang w:val="en-GB"/>
        </w:rPr>
        <w:t xml:space="preserve">. </w:t>
      </w:r>
    </w:p>
    <w:p w14:paraId="479AFCF5" w14:textId="77777777" w:rsidR="00DC5685" w:rsidRPr="00A34F10" w:rsidRDefault="00DC5685" w:rsidP="00DC5685">
      <w:pPr>
        <w:autoSpaceDE w:val="0"/>
        <w:autoSpaceDN w:val="0"/>
        <w:adjustRightInd w:val="0"/>
        <w:jc w:val="both"/>
        <w:rPr>
          <w:szCs w:val="24"/>
          <w:lang w:val="en-GB"/>
        </w:rPr>
      </w:pPr>
    </w:p>
    <w:p w14:paraId="1FE70B76" w14:textId="798115DE" w:rsidR="00DC5685" w:rsidRPr="00A34F10" w:rsidRDefault="00913A96" w:rsidP="00913A96">
      <w:pPr>
        <w:pStyle w:val="Legenda"/>
        <w:rPr>
          <w:highlight w:val="yellow"/>
        </w:rPr>
      </w:pPr>
      <w:bookmarkStart w:id="1124" w:name="_Ref147910916"/>
      <w:r>
        <w:t xml:space="preserve">Table A </w:t>
      </w:r>
      <w:r>
        <w:fldChar w:fldCharType="begin"/>
      </w:r>
      <w:r>
        <w:instrText xml:space="preserve"> SEQ Table_A \* ARABIC </w:instrText>
      </w:r>
      <w:r>
        <w:fldChar w:fldCharType="separate"/>
      </w:r>
      <w:r w:rsidR="006F0F3B">
        <w:rPr>
          <w:noProof/>
        </w:rPr>
        <w:t>62</w:t>
      </w:r>
      <w:r>
        <w:fldChar w:fldCharType="end"/>
      </w:r>
      <w:bookmarkEnd w:id="1124"/>
      <w:r w:rsidR="00DC5685" w:rsidRPr="00A34F10">
        <w:t>:</w:t>
      </w:r>
      <w:r w:rsidR="00772D00" w:rsidRPr="00A34F10">
        <w:tab/>
      </w:r>
      <w:r w:rsidR="00DC5685" w:rsidRPr="00A34F10">
        <w:t xml:space="preserve"> Effects on predatory mite </w:t>
      </w:r>
      <w:r w:rsidR="00DC5685" w:rsidRPr="00A34F10">
        <w:rPr>
          <w:i/>
          <w:iCs/>
        </w:rPr>
        <w:t>Typhlodromus pyri</w:t>
      </w:r>
      <w:r w:rsidR="00DC5685" w:rsidRPr="00A34F10">
        <w:t xml:space="preserve"> exposed to residues of BAS 743 02 F in a worst-case laboratory test</w:t>
      </w:r>
    </w:p>
    <w:tbl>
      <w:tblPr>
        <w:tblStyle w:val="TableGrid42"/>
        <w:tblW w:w="5000" w:type="pct"/>
        <w:tblLook w:val="04A0" w:firstRow="1" w:lastRow="0" w:firstColumn="1" w:lastColumn="0" w:noHBand="0" w:noVBand="1"/>
      </w:tblPr>
      <w:tblGrid>
        <w:gridCol w:w="1575"/>
        <w:gridCol w:w="766"/>
        <w:gridCol w:w="1218"/>
        <w:gridCol w:w="1663"/>
        <w:gridCol w:w="2051"/>
        <w:gridCol w:w="2071"/>
      </w:tblGrid>
      <w:tr w:rsidR="00DC5685" w:rsidRPr="00A34F10" w14:paraId="504E93F8" w14:textId="77777777" w:rsidTr="000470C3">
        <w:trPr>
          <w:trHeight w:hRule="exact" w:val="804"/>
          <w:tblHeader/>
        </w:trPr>
        <w:tc>
          <w:tcPr>
            <w:tcW w:w="845" w:type="pct"/>
            <w:tcBorders>
              <w:top w:val="single" w:sz="4" w:space="0" w:color="auto"/>
              <w:left w:val="single" w:sz="4" w:space="0" w:color="auto"/>
              <w:bottom w:val="single" w:sz="4" w:space="0" w:color="auto"/>
              <w:right w:val="single" w:sz="4" w:space="0" w:color="auto"/>
            </w:tcBorders>
            <w:vAlign w:val="center"/>
          </w:tcPr>
          <w:p w14:paraId="7DAF7A24" w14:textId="77777777" w:rsidR="00DC5685" w:rsidRPr="00A34F10" w:rsidRDefault="00DC5685" w:rsidP="00DC5685">
            <w:pPr>
              <w:tabs>
                <w:tab w:val="left" w:pos="720"/>
              </w:tabs>
              <w:jc w:val="center"/>
              <w:rPr>
                <w:b/>
                <w:bCs/>
                <w:sz w:val="20"/>
                <w:szCs w:val="20"/>
                <w:lang w:val="en-GB"/>
              </w:rPr>
            </w:pPr>
            <w:r w:rsidRPr="00A34F10">
              <w:rPr>
                <w:b/>
                <w:bCs/>
                <w:color w:val="000000" w:themeColor="text1"/>
                <w:sz w:val="20"/>
                <w:szCs w:val="20"/>
                <w:lang w:val="en-GB"/>
              </w:rPr>
              <w:t>Treatment</w:t>
            </w:r>
          </w:p>
        </w:tc>
        <w:tc>
          <w:tcPr>
            <w:tcW w:w="400" w:type="pct"/>
            <w:tcBorders>
              <w:top w:val="single" w:sz="4" w:space="0" w:color="auto"/>
              <w:left w:val="single" w:sz="4" w:space="0" w:color="auto"/>
              <w:bottom w:val="single" w:sz="4" w:space="0" w:color="auto"/>
              <w:right w:val="single" w:sz="4" w:space="0" w:color="auto"/>
            </w:tcBorders>
            <w:vAlign w:val="center"/>
            <w:hideMark/>
          </w:tcPr>
          <w:p w14:paraId="4FEDB3D5"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Rate</w:t>
            </w:r>
            <w:r w:rsidRPr="00A34F10">
              <w:rPr>
                <w:b/>
                <w:bCs/>
                <w:sz w:val="20"/>
                <w:szCs w:val="20"/>
                <w:vertAlign w:val="superscript"/>
                <w:lang w:val="en-GB"/>
              </w:rPr>
              <w:t>1</w:t>
            </w:r>
            <w:r w:rsidRPr="00A34F10">
              <w:rPr>
                <w:b/>
                <w:bCs/>
                <w:sz w:val="20"/>
                <w:szCs w:val="20"/>
                <w:lang w:val="en-GB"/>
              </w:rPr>
              <w:t xml:space="preserve"> </w:t>
            </w:r>
          </w:p>
        </w:tc>
        <w:tc>
          <w:tcPr>
            <w:tcW w:w="654" w:type="pct"/>
            <w:tcBorders>
              <w:top w:val="single" w:sz="4" w:space="0" w:color="auto"/>
              <w:left w:val="single" w:sz="4" w:space="0" w:color="auto"/>
              <w:bottom w:val="single" w:sz="4" w:space="0" w:color="auto"/>
              <w:right w:val="single" w:sz="4" w:space="0" w:color="auto"/>
            </w:tcBorders>
            <w:vAlign w:val="center"/>
            <w:hideMark/>
          </w:tcPr>
          <w:p w14:paraId="6D18DCD9"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Mortality (%)</w:t>
            </w:r>
          </w:p>
        </w:tc>
        <w:tc>
          <w:tcPr>
            <w:tcW w:w="892" w:type="pct"/>
            <w:tcBorders>
              <w:top w:val="single" w:sz="4" w:space="0" w:color="auto"/>
              <w:left w:val="single" w:sz="4" w:space="0" w:color="auto"/>
              <w:bottom w:val="single" w:sz="4" w:space="0" w:color="auto"/>
              <w:right w:val="single" w:sz="4" w:space="0" w:color="auto"/>
            </w:tcBorders>
            <w:vAlign w:val="center"/>
            <w:hideMark/>
          </w:tcPr>
          <w:p w14:paraId="6DDD754E"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Corrected mortality</w:t>
            </w:r>
            <w:r w:rsidRPr="00A34F10">
              <w:rPr>
                <w:b/>
                <w:bCs/>
                <w:sz w:val="20"/>
                <w:szCs w:val="20"/>
                <w:vertAlign w:val="superscript"/>
                <w:lang w:val="en-GB"/>
              </w:rPr>
              <w:t>2</w:t>
            </w:r>
            <w:r w:rsidRPr="00A34F10">
              <w:rPr>
                <w:b/>
                <w:bCs/>
                <w:sz w:val="20"/>
                <w:szCs w:val="20"/>
                <w:lang w:val="en-GB"/>
              </w:rPr>
              <w:t xml:space="preserve"> (%)</w:t>
            </w:r>
          </w:p>
        </w:tc>
        <w:tc>
          <w:tcPr>
            <w:tcW w:w="1099" w:type="pct"/>
            <w:tcBorders>
              <w:top w:val="single" w:sz="4" w:space="0" w:color="auto"/>
              <w:left w:val="single" w:sz="4" w:space="0" w:color="auto"/>
              <w:bottom w:val="single" w:sz="4" w:space="0" w:color="auto"/>
              <w:right w:val="single" w:sz="4" w:space="0" w:color="auto"/>
            </w:tcBorders>
            <w:vAlign w:val="center"/>
          </w:tcPr>
          <w:p w14:paraId="63EA1091" w14:textId="77777777" w:rsidR="00DC5685" w:rsidRPr="00A34F10" w:rsidRDefault="00DC5685" w:rsidP="00DC5685">
            <w:pPr>
              <w:tabs>
                <w:tab w:val="left" w:pos="720"/>
              </w:tabs>
              <w:jc w:val="center"/>
              <w:rPr>
                <w:b/>
                <w:bCs/>
                <w:sz w:val="20"/>
                <w:szCs w:val="20"/>
                <w:vertAlign w:val="superscript"/>
                <w:lang w:val="en-GB"/>
              </w:rPr>
            </w:pPr>
            <w:r w:rsidRPr="00A34F10">
              <w:rPr>
                <w:b/>
                <w:bCs/>
                <w:sz w:val="20"/>
                <w:szCs w:val="20"/>
                <w:lang w:val="en-GB"/>
              </w:rPr>
              <w:t>Reproduction</w:t>
            </w:r>
            <w:r w:rsidRPr="00A34F10">
              <w:rPr>
                <w:b/>
                <w:bCs/>
                <w:sz w:val="20"/>
                <w:szCs w:val="20"/>
                <w:vertAlign w:val="superscript"/>
                <w:lang w:val="en-GB"/>
              </w:rPr>
              <w:t>3</w:t>
            </w:r>
          </w:p>
          <w:p w14:paraId="258A85C9"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(mean number of eggs/female)</w:t>
            </w:r>
          </w:p>
        </w:tc>
        <w:tc>
          <w:tcPr>
            <w:tcW w:w="1109" w:type="pct"/>
            <w:tcBorders>
              <w:top w:val="single" w:sz="4" w:space="0" w:color="auto"/>
              <w:left w:val="single" w:sz="4" w:space="0" w:color="auto"/>
              <w:bottom w:val="single" w:sz="4" w:space="0" w:color="auto"/>
              <w:right w:val="single" w:sz="4" w:space="0" w:color="auto"/>
            </w:tcBorders>
            <w:vAlign w:val="center"/>
          </w:tcPr>
          <w:p w14:paraId="4E3B3434"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Inhibition of reproduction</w:t>
            </w:r>
            <w:r w:rsidRPr="00A34F10">
              <w:rPr>
                <w:b/>
                <w:bCs/>
                <w:sz w:val="20"/>
                <w:szCs w:val="20"/>
                <w:vertAlign w:val="superscript"/>
                <w:lang w:val="en-GB"/>
              </w:rPr>
              <w:t xml:space="preserve">5 </w:t>
            </w:r>
            <w:r w:rsidRPr="00A34F10">
              <w:rPr>
                <w:b/>
                <w:bCs/>
                <w:sz w:val="20"/>
                <w:szCs w:val="20"/>
                <w:lang w:val="en-GB"/>
              </w:rPr>
              <w:t>(%)</w:t>
            </w:r>
          </w:p>
        </w:tc>
      </w:tr>
      <w:tr w:rsidR="00DC5685" w:rsidRPr="00A34F10" w14:paraId="7EE34394" w14:textId="77777777" w:rsidTr="000470C3">
        <w:trPr>
          <w:trHeight w:hRule="exact" w:val="284"/>
        </w:trPr>
        <w:tc>
          <w:tcPr>
            <w:tcW w:w="845" w:type="pct"/>
            <w:tcBorders>
              <w:top w:val="single" w:sz="4" w:space="0" w:color="auto"/>
              <w:left w:val="single" w:sz="4" w:space="0" w:color="auto"/>
              <w:bottom w:val="single" w:sz="4" w:space="0" w:color="auto"/>
              <w:right w:val="single" w:sz="4" w:space="0" w:color="auto"/>
            </w:tcBorders>
            <w:vAlign w:val="center"/>
            <w:hideMark/>
          </w:tcPr>
          <w:p w14:paraId="718F6C34" w14:textId="77777777" w:rsidR="00DC5685" w:rsidRPr="00A34F10" w:rsidRDefault="00DC5685" w:rsidP="00DC5685">
            <w:pPr>
              <w:tabs>
                <w:tab w:val="left" w:pos="720"/>
              </w:tabs>
              <w:jc w:val="center"/>
              <w:rPr>
                <w:sz w:val="20"/>
                <w:szCs w:val="20"/>
                <w:lang w:val="en-GB"/>
              </w:rPr>
            </w:pPr>
            <w:r w:rsidRPr="00A34F10">
              <w:rPr>
                <w:sz w:val="20"/>
                <w:szCs w:val="20"/>
                <w:lang w:val="en-GB"/>
              </w:rPr>
              <w:t>Control</w:t>
            </w:r>
          </w:p>
        </w:tc>
        <w:tc>
          <w:tcPr>
            <w:tcW w:w="400" w:type="pct"/>
            <w:tcBorders>
              <w:top w:val="single" w:sz="4" w:space="0" w:color="auto"/>
              <w:left w:val="single" w:sz="4" w:space="0" w:color="auto"/>
              <w:bottom w:val="single" w:sz="4" w:space="0" w:color="auto"/>
              <w:right w:val="single" w:sz="4" w:space="0" w:color="auto"/>
            </w:tcBorders>
            <w:vAlign w:val="center"/>
            <w:hideMark/>
          </w:tcPr>
          <w:p w14:paraId="2637024D"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654" w:type="pct"/>
            <w:tcBorders>
              <w:top w:val="single" w:sz="4" w:space="0" w:color="auto"/>
              <w:left w:val="single" w:sz="4" w:space="0" w:color="auto"/>
              <w:bottom w:val="single" w:sz="4" w:space="0" w:color="auto"/>
              <w:right w:val="single" w:sz="4" w:space="0" w:color="auto"/>
            </w:tcBorders>
            <w:vAlign w:val="center"/>
            <w:hideMark/>
          </w:tcPr>
          <w:p w14:paraId="275FFDBF" w14:textId="77777777" w:rsidR="00DC5685" w:rsidRPr="00A34F10" w:rsidRDefault="00DC5685" w:rsidP="00DC5685">
            <w:pPr>
              <w:tabs>
                <w:tab w:val="left" w:pos="720"/>
              </w:tabs>
              <w:jc w:val="center"/>
              <w:rPr>
                <w:sz w:val="20"/>
                <w:szCs w:val="20"/>
                <w:lang w:val="en-GB"/>
              </w:rPr>
            </w:pPr>
            <w:r w:rsidRPr="00A34F10">
              <w:rPr>
                <w:sz w:val="20"/>
                <w:szCs w:val="20"/>
                <w:lang w:val="en-GB"/>
              </w:rPr>
              <w:t>1.0</w:t>
            </w:r>
          </w:p>
        </w:tc>
        <w:tc>
          <w:tcPr>
            <w:tcW w:w="892" w:type="pct"/>
            <w:tcBorders>
              <w:top w:val="single" w:sz="4" w:space="0" w:color="auto"/>
              <w:left w:val="single" w:sz="4" w:space="0" w:color="auto"/>
              <w:bottom w:val="single" w:sz="4" w:space="0" w:color="auto"/>
              <w:right w:val="single" w:sz="4" w:space="0" w:color="auto"/>
            </w:tcBorders>
            <w:vAlign w:val="center"/>
            <w:hideMark/>
          </w:tcPr>
          <w:p w14:paraId="28963D96"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1099" w:type="pct"/>
            <w:tcBorders>
              <w:top w:val="single" w:sz="4" w:space="0" w:color="auto"/>
              <w:left w:val="single" w:sz="4" w:space="0" w:color="auto"/>
              <w:bottom w:val="single" w:sz="4" w:space="0" w:color="auto"/>
              <w:right w:val="single" w:sz="4" w:space="0" w:color="auto"/>
            </w:tcBorders>
            <w:vAlign w:val="center"/>
          </w:tcPr>
          <w:p w14:paraId="26C57BFC" w14:textId="77777777" w:rsidR="00DC5685" w:rsidRPr="00A34F10" w:rsidRDefault="00DC5685" w:rsidP="00DC5685">
            <w:pPr>
              <w:tabs>
                <w:tab w:val="left" w:pos="720"/>
              </w:tabs>
              <w:jc w:val="center"/>
              <w:rPr>
                <w:sz w:val="20"/>
                <w:szCs w:val="20"/>
                <w:lang w:val="en-GB"/>
              </w:rPr>
            </w:pPr>
            <w:r w:rsidRPr="00A34F10">
              <w:rPr>
                <w:sz w:val="20"/>
                <w:szCs w:val="20"/>
                <w:lang w:val="en-GB"/>
              </w:rPr>
              <w:t>6.36</w:t>
            </w:r>
          </w:p>
        </w:tc>
        <w:tc>
          <w:tcPr>
            <w:tcW w:w="1109" w:type="pct"/>
            <w:tcBorders>
              <w:top w:val="single" w:sz="4" w:space="0" w:color="auto"/>
              <w:left w:val="single" w:sz="4" w:space="0" w:color="auto"/>
              <w:bottom w:val="single" w:sz="4" w:space="0" w:color="auto"/>
              <w:right w:val="single" w:sz="4" w:space="0" w:color="auto"/>
            </w:tcBorders>
            <w:vAlign w:val="center"/>
          </w:tcPr>
          <w:p w14:paraId="013239E2"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r>
      <w:tr w:rsidR="00DC5685" w:rsidRPr="00A34F10" w14:paraId="6D380493" w14:textId="77777777" w:rsidTr="000470C3">
        <w:trPr>
          <w:trHeight w:hRule="exact" w:val="284"/>
        </w:trPr>
        <w:tc>
          <w:tcPr>
            <w:tcW w:w="845" w:type="pct"/>
            <w:vMerge w:val="restart"/>
            <w:tcBorders>
              <w:top w:val="single" w:sz="4" w:space="0" w:color="auto"/>
              <w:left w:val="single" w:sz="4" w:space="0" w:color="auto"/>
              <w:bottom w:val="single" w:sz="4" w:space="0" w:color="auto"/>
              <w:right w:val="single" w:sz="4" w:space="0" w:color="auto"/>
            </w:tcBorders>
            <w:vAlign w:val="center"/>
            <w:hideMark/>
          </w:tcPr>
          <w:p w14:paraId="6FA4729C" w14:textId="77777777" w:rsidR="00DC5685" w:rsidRPr="00A34F10" w:rsidRDefault="00DC5685" w:rsidP="00DC5685">
            <w:pPr>
              <w:tabs>
                <w:tab w:val="left" w:pos="720"/>
              </w:tabs>
              <w:jc w:val="center"/>
              <w:rPr>
                <w:sz w:val="20"/>
                <w:szCs w:val="20"/>
                <w:lang w:val="en-GB"/>
              </w:rPr>
            </w:pPr>
            <w:r w:rsidRPr="00A34F10">
              <w:rPr>
                <w:sz w:val="20"/>
                <w:szCs w:val="20"/>
                <w:lang w:val="en-GB"/>
              </w:rPr>
              <w:t>BAS 743 02 F</w:t>
            </w:r>
          </w:p>
          <w:p w14:paraId="12CDBAFE" w14:textId="77777777" w:rsidR="00DC5685" w:rsidRPr="00A34F10" w:rsidRDefault="00DC5685" w:rsidP="00DC5685">
            <w:pPr>
              <w:tabs>
                <w:tab w:val="left" w:pos="720"/>
              </w:tabs>
              <w:jc w:val="center"/>
              <w:rPr>
                <w:sz w:val="20"/>
                <w:szCs w:val="20"/>
                <w:lang w:val="es-ES"/>
              </w:rPr>
            </w:pPr>
            <w:r w:rsidRPr="00A34F10">
              <w:rPr>
                <w:sz w:val="20"/>
                <w:szCs w:val="20"/>
                <w:lang w:val="es-ES"/>
              </w:rPr>
              <w:t>[L product/ha</w:t>
            </w:r>
            <w:r w:rsidRPr="00A34F10">
              <w:rPr>
                <w:color w:val="71777D"/>
                <w:sz w:val="20"/>
                <w:szCs w:val="20"/>
                <w:shd w:val="clear" w:color="auto" w:fill="FFFFFF"/>
              </w:rPr>
              <w:t>]</w:t>
            </w:r>
          </w:p>
        </w:tc>
        <w:tc>
          <w:tcPr>
            <w:tcW w:w="400" w:type="pct"/>
            <w:tcBorders>
              <w:top w:val="single" w:sz="4" w:space="0" w:color="auto"/>
              <w:left w:val="single" w:sz="4" w:space="0" w:color="auto"/>
              <w:bottom w:val="single" w:sz="4" w:space="0" w:color="auto"/>
              <w:right w:val="single" w:sz="4" w:space="0" w:color="auto"/>
            </w:tcBorders>
            <w:vAlign w:val="center"/>
            <w:hideMark/>
          </w:tcPr>
          <w:p w14:paraId="798B6089" w14:textId="77777777" w:rsidR="00DC5685" w:rsidRPr="00A34F10" w:rsidRDefault="00DC5685" w:rsidP="00DC5685">
            <w:pPr>
              <w:tabs>
                <w:tab w:val="left" w:pos="720"/>
              </w:tabs>
              <w:jc w:val="center"/>
              <w:rPr>
                <w:sz w:val="20"/>
                <w:szCs w:val="20"/>
                <w:lang w:val="en-GB"/>
              </w:rPr>
            </w:pPr>
            <w:r w:rsidRPr="00A34F10">
              <w:rPr>
                <w:sz w:val="20"/>
                <w:szCs w:val="20"/>
              </w:rPr>
              <w:t>0.1875</w:t>
            </w:r>
          </w:p>
        </w:tc>
        <w:tc>
          <w:tcPr>
            <w:tcW w:w="654" w:type="pct"/>
            <w:tcBorders>
              <w:top w:val="single" w:sz="4" w:space="0" w:color="auto"/>
              <w:left w:val="single" w:sz="4" w:space="0" w:color="auto"/>
              <w:bottom w:val="single" w:sz="4" w:space="0" w:color="auto"/>
              <w:right w:val="single" w:sz="4" w:space="0" w:color="auto"/>
            </w:tcBorders>
            <w:vAlign w:val="center"/>
            <w:hideMark/>
          </w:tcPr>
          <w:p w14:paraId="730365CC" w14:textId="77777777" w:rsidR="00DC5685" w:rsidRPr="00A34F10" w:rsidRDefault="00DC5685" w:rsidP="00DC5685">
            <w:pPr>
              <w:tabs>
                <w:tab w:val="left" w:pos="720"/>
              </w:tabs>
              <w:jc w:val="center"/>
              <w:rPr>
                <w:sz w:val="20"/>
                <w:szCs w:val="20"/>
                <w:lang w:val="en-GB"/>
              </w:rPr>
            </w:pPr>
            <w:r w:rsidRPr="00A34F10">
              <w:rPr>
                <w:sz w:val="20"/>
                <w:szCs w:val="20"/>
                <w:lang w:val="en-GB"/>
              </w:rPr>
              <w:t>2.0 n.s.</w:t>
            </w:r>
          </w:p>
        </w:tc>
        <w:tc>
          <w:tcPr>
            <w:tcW w:w="892" w:type="pct"/>
            <w:tcBorders>
              <w:top w:val="single" w:sz="4" w:space="0" w:color="auto"/>
              <w:left w:val="single" w:sz="4" w:space="0" w:color="auto"/>
              <w:bottom w:val="single" w:sz="4" w:space="0" w:color="auto"/>
              <w:right w:val="single" w:sz="4" w:space="0" w:color="auto"/>
            </w:tcBorders>
            <w:vAlign w:val="center"/>
            <w:hideMark/>
          </w:tcPr>
          <w:p w14:paraId="64653107" w14:textId="77777777" w:rsidR="00DC5685" w:rsidRPr="00A34F10" w:rsidRDefault="00DC5685" w:rsidP="00DC5685">
            <w:pPr>
              <w:tabs>
                <w:tab w:val="left" w:pos="720"/>
              </w:tabs>
              <w:jc w:val="center"/>
              <w:rPr>
                <w:sz w:val="20"/>
                <w:szCs w:val="20"/>
                <w:lang w:val="en-GB"/>
              </w:rPr>
            </w:pPr>
            <w:r w:rsidRPr="00A34F10">
              <w:rPr>
                <w:sz w:val="20"/>
                <w:szCs w:val="20"/>
                <w:lang w:val="en-GB"/>
              </w:rPr>
              <w:t>1.0</w:t>
            </w:r>
          </w:p>
        </w:tc>
        <w:tc>
          <w:tcPr>
            <w:tcW w:w="1099" w:type="pct"/>
            <w:tcBorders>
              <w:top w:val="single" w:sz="4" w:space="0" w:color="auto"/>
              <w:left w:val="single" w:sz="4" w:space="0" w:color="auto"/>
              <w:bottom w:val="single" w:sz="4" w:space="0" w:color="auto"/>
              <w:right w:val="single" w:sz="4" w:space="0" w:color="auto"/>
            </w:tcBorders>
            <w:vAlign w:val="center"/>
          </w:tcPr>
          <w:p w14:paraId="1916C55E" w14:textId="77777777" w:rsidR="00DC5685" w:rsidRPr="00A34F10" w:rsidRDefault="00DC5685" w:rsidP="00DC5685">
            <w:pPr>
              <w:tabs>
                <w:tab w:val="left" w:pos="720"/>
              </w:tabs>
              <w:jc w:val="center"/>
              <w:rPr>
                <w:sz w:val="20"/>
                <w:szCs w:val="20"/>
                <w:lang w:val="en-GB"/>
              </w:rPr>
            </w:pPr>
            <w:r w:rsidRPr="00A34F10">
              <w:rPr>
                <w:sz w:val="20"/>
                <w:szCs w:val="20"/>
                <w:lang w:val="en-GB"/>
              </w:rPr>
              <w:t>6.59 n.s.</w:t>
            </w:r>
          </w:p>
        </w:tc>
        <w:tc>
          <w:tcPr>
            <w:tcW w:w="1109" w:type="pct"/>
            <w:tcBorders>
              <w:top w:val="single" w:sz="4" w:space="0" w:color="auto"/>
              <w:left w:val="single" w:sz="4" w:space="0" w:color="auto"/>
              <w:bottom w:val="single" w:sz="4" w:space="0" w:color="auto"/>
              <w:right w:val="single" w:sz="4" w:space="0" w:color="auto"/>
            </w:tcBorders>
            <w:vAlign w:val="center"/>
          </w:tcPr>
          <w:p w14:paraId="199E693D" w14:textId="77777777" w:rsidR="00DC5685" w:rsidRPr="00A34F10" w:rsidRDefault="00DC5685" w:rsidP="00DC5685">
            <w:pPr>
              <w:tabs>
                <w:tab w:val="left" w:pos="720"/>
              </w:tabs>
              <w:jc w:val="center"/>
              <w:rPr>
                <w:sz w:val="20"/>
                <w:szCs w:val="20"/>
                <w:lang w:val="en-GB"/>
              </w:rPr>
            </w:pPr>
            <w:r w:rsidRPr="00A34F10">
              <w:rPr>
                <w:sz w:val="20"/>
                <w:szCs w:val="20"/>
                <w:lang w:val="en-GB"/>
              </w:rPr>
              <w:t>-3.6</w:t>
            </w:r>
          </w:p>
        </w:tc>
      </w:tr>
      <w:tr w:rsidR="00DC5685" w:rsidRPr="00A34F10" w14:paraId="05C23785" w14:textId="77777777" w:rsidTr="000470C3">
        <w:trPr>
          <w:trHeight w:hRule="exact" w:val="284"/>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19147D2E" w14:textId="77777777" w:rsidR="00DC5685" w:rsidRPr="00A34F10" w:rsidRDefault="00DC5685" w:rsidP="00DC5685">
            <w:pPr>
              <w:jc w:val="center"/>
              <w:rPr>
                <w:sz w:val="20"/>
                <w:szCs w:val="20"/>
                <w:lang w:val="en-GB"/>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42131844" w14:textId="77777777" w:rsidR="00DC5685" w:rsidRPr="00A34F10" w:rsidRDefault="00DC5685" w:rsidP="00DC5685">
            <w:pPr>
              <w:tabs>
                <w:tab w:val="left" w:pos="720"/>
              </w:tabs>
              <w:jc w:val="center"/>
              <w:rPr>
                <w:sz w:val="20"/>
                <w:szCs w:val="20"/>
                <w:lang w:val="en-GB"/>
              </w:rPr>
            </w:pPr>
            <w:r w:rsidRPr="00A34F10">
              <w:rPr>
                <w:sz w:val="20"/>
                <w:szCs w:val="20"/>
              </w:rPr>
              <w:t>0.375</w:t>
            </w:r>
          </w:p>
        </w:tc>
        <w:tc>
          <w:tcPr>
            <w:tcW w:w="654" w:type="pct"/>
            <w:tcBorders>
              <w:top w:val="single" w:sz="4" w:space="0" w:color="auto"/>
              <w:left w:val="single" w:sz="4" w:space="0" w:color="auto"/>
              <w:bottom w:val="single" w:sz="4" w:space="0" w:color="auto"/>
              <w:right w:val="single" w:sz="4" w:space="0" w:color="auto"/>
            </w:tcBorders>
            <w:vAlign w:val="center"/>
            <w:hideMark/>
          </w:tcPr>
          <w:p w14:paraId="7196B846" w14:textId="77777777" w:rsidR="00DC5685" w:rsidRPr="00A34F10" w:rsidRDefault="00DC5685" w:rsidP="00DC5685">
            <w:pPr>
              <w:tabs>
                <w:tab w:val="left" w:pos="720"/>
              </w:tabs>
              <w:jc w:val="center"/>
              <w:rPr>
                <w:sz w:val="20"/>
                <w:szCs w:val="20"/>
                <w:lang w:val="en-GB"/>
              </w:rPr>
            </w:pPr>
            <w:r w:rsidRPr="00A34F10">
              <w:rPr>
                <w:sz w:val="20"/>
                <w:szCs w:val="20"/>
                <w:lang w:val="en-GB"/>
              </w:rPr>
              <w:t>2.0 n.s.</w:t>
            </w:r>
          </w:p>
        </w:tc>
        <w:tc>
          <w:tcPr>
            <w:tcW w:w="892" w:type="pct"/>
            <w:tcBorders>
              <w:top w:val="single" w:sz="4" w:space="0" w:color="auto"/>
              <w:left w:val="single" w:sz="4" w:space="0" w:color="auto"/>
              <w:bottom w:val="single" w:sz="4" w:space="0" w:color="auto"/>
              <w:right w:val="single" w:sz="4" w:space="0" w:color="auto"/>
            </w:tcBorders>
            <w:vAlign w:val="center"/>
            <w:hideMark/>
          </w:tcPr>
          <w:p w14:paraId="3E2851E3" w14:textId="77777777" w:rsidR="00DC5685" w:rsidRPr="00A34F10" w:rsidRDefault="00DC5685" w:rsidP="00DC5685">
            <w:pPr>
              <w:tabs>
                <w:tab w:val="left" w:pos="720"/>
              </w:tabs>
              <w:jc w:val="center"/>
              <w:rPr>
                <w:sz w:val="20"/>
                <w:szCs w:val="20"/>
                <w:lang w:val="en-GB"/>
              </w:rPr>
            </w:pPr>
            <w:r w:rsidRPr="00A34F10">
              <w:rPr>
                <w:sz w:val="20"/>
                <w:szCs w:val="20"/>
                <w:lang w:val="en-GB"/>
              </w:rPr>
              <w:t>1.0</w:t>
            </w:r>
          </w:p>
        </w:tc>
        <w:tc>
          <w:tcPr>
            <w:tcW w:w="1099" w:type="pct"/>
            <w:tcBorders>
              <w:top w:val="single" w:sz="4" w:space="0" w:color="auto"/>
              <w:left w:val="single" w:sz="4" w:space="0" w:color="auto"/>
              <w:bottom w:val="single" w:sz="4" w:space="0" w:color="auto"/>
              <w:right w:val="single" w:sz="4" w:space="0" w:color="auto"/>
            </w:tcBorders>
            <w:vAlign w:val="center"/>
          </w:tcPr>
          <w:p w14:paraId="2BDA4011" w14:textId="77777777" w:rsidR="00DC5685" w:rsidRPr="00A34F10" w:rsidRDefault="00DC5685" w:rsidP="00DC5685">
            <w:pPr>
              <w:tabs>
                <w:tab w:val="left" w:pos="720"/>
              </w:tabs>
              <w:jc w:val="center"/>
              <w:rPr>
                <w:sz w:val="20"/>
                <w:szCs w:val="20"/>
                <w:lang w:val="en-GB"/>
              </w:rPr>
            </w:pPr>
            <w:r w:rsidRPr="00A34F10">
              <w:rPr>
                <w:sz w:val="20"/>
                <w:szCs w:val="20"/>
                <w:lang w:val="en-GB"/>
              </w:rPr>
              <w:t>6.38 n.s.</w:t>
            </w:r>
          </w:p>
        </w:tc>
        <w:tc>
          <w:tcPr>
            <w:tcW w:w="1109" w:type="pct"/>
            <w:tcBorders>
              <w:top w:val="single" w:sz="4" w:space="0" w:color="auto"/>
              <w:left w:val="single" w:sz="4" w:space="0" w:color="auto"/>
              <w:bottom w:val="single" w:sz="4" w:space="0" w:color="auto"/>
              <w:right w:val="single" w:sz="4" w:space="0" w:color="auto"/>
            </w:tcBorders>
            <w:vAlign w:val="center"/>
          </w:tcPr>
          <w:p w14:paraId="6ED89467" w14:textId="77777777" w:rsidR="00DC5685" w:rsidRPr="00A34F10" w:rsidRDefault="00DC5685" w:rsidP="00DC5685">
            <w:pPr>
              <w:tabs>
                <w:tab w:val="left" w:pos="720"/>
              </w:tabs>
              <w:jc w:val="center"/>
              <w:rPr>
                <w:sz w:val="20"/>
                <w:szCs w:val="20"/>
                <w:lang w:val="en-GB"/>
              </w:rPr>
            </w:pPr>
            <w:r w:rsidRPr="00A34F10">
              <w:rPr>
                <w:sz w:val="20"/>
                <w:szCs w:val="20"/>
                <w:lang w:val="en-GB"/>
              </w:rPr>
              <w:t>-0.3</w:t>
            </w:r>
          </w:p>
        </w:tc>
      </w:tr>
      <w:tr w:rsidR="00DC5685" w:rsidRPr="00A34F10" w14:paraId="41933A7A" w14:textId="77777777" w:rsidTr="000470C3">
        <w:trPr>
          <w:trHeight w:hRule="exact" w:val="284"/>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06D8A5CA" w14:textId="77777777" w:rsidR="00DC5685" w:rsidRPr="00A34F10" w:rsidRDefault="00DC5685" w:rsidP="00DC5685">
            <w:pPr>
              <w:jc w:val="center"/>
              <w:rPr>
                <w:sz w:val="20"/>
                <w:szCs w:val="20"/>
                <w:lang w:val="en-GB"/>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405CD9E6" w14:textId="77777777" w:rsidR="00DC5685" w:rsidRPr="00A34F10" w:rsidRDefault="00DC5685" w:rsidP="00DC5685">
            <w:pPr>
              <w:tabs>
                <w:tab w:val="left" w:pos="720"/>
              </w:tabs>
              <w:jc w:val="center"/>
              <w:rPr>
                <w:sz w:val="20"/>
                <w:szCs w:val="20"/>
                <w:lang w:val="en-GB"/>
              </w:rPr>
            </w:pPr>
            <w:r w:rsidRPr="00A34F10">
              <w:rPr>
                <w:sz w:val="20"/>
                <w:szCs w:val="20"/>
              </w:rPr>
              <w:t>0.75</w:t>
            </w:r>
          </w:p>
        </w:tc>
        <w:tc>
          <w:tcPr>
            <w:tcW w:w="654" w:type="pct"/>
            <w:tcBorders>
              <w:top w:val="single" w:sz="4" w:space="0" w:color="auto"/>
              <w:left w:val="single" w:sz="4" w:space="0" w:color="auto"/>
              <w:bottom w:val="single" w:sz="4" w:space="0" w:color="auto"/>
              <w:right w:val="single" w:sz="4" w:space="0" w:color="auto"/>
            </w:tcBorders>
            <w:vAlign w:val="center"/>
            <w:hideMark/>
          </w:tcPr>
          <w:p w14:paraId="45202A24" w14:textId="77777777" w:rsidR="00DC5685" w:rsidRPr="00A34F10" w:rsidRDefault="00DC5685" w:rsidP="00DC5685">
            <w:pPr>
              <w:tabs>
                <w:tab w:val="left" w:pos="720"/>
              </w:tabs>
              <w:jc w:val="center"/>
              <w:rPr>
                <w:sz w:val="20"/>
                <w:szCs w:val="20"/>
                <w:lang w:val="en-GB"/>
              </w:rPr>
            </w:pPr>
            <w:r w:rsidRPr="00A34F10">
              <w:rPr>
                <w:sz w:val="20"/>
                <w:szCs w:val="20"/>
                <w:lang w:val="en-GB"/>
              </w:rPr>
              <w:t>15.0*</w:t>
            </w:r>
          </w:p>
        </w:tc>
        <w:tc>
          <w:tcPr>
            <w:tcW w:w="892" w:type="pct"/>
            <w:tcBorders>
              <w:top w:val="single" w:sz="4" w:space="0" w:color="auto"/>
              <w:left w:val="single" w:sz="4" w:space="0" w:color="auto"/>
              <w:bottom w:val="single" w:sz="4" w:space="0" w:color="auto"/>
              <w:right w:val="single" w:sz="4" w:space="0" w:color="auto"/>
            </w:tcBorders>
            <w:vAlign w:val="center"/>
            <w:hideMark/>
          </w:tcPr>
          <w:p w14:paraId="7DFD7BE5" w14:textId="77777777" w:rsidR="00DC5685" w:rsidRPr="00A34F10" w:rsidRDefault="00DC5685" w:rsidP="00DC5685">
            <w:pPr>
              <w:tabs>
                <w:tab w:val="left" w:pos="720"/>
              </w:tabs>
              <w:jc w:val="center"/>
              <w:rPr>
                <w:sz w:val="20"/>
                <w:szCs w:val="20"/>
                <w:lang w:val="en-GB"/>
              </w:rPr>
            </w:pPr>
            <w:r w:rsidRPr="00A34F10">
              <w:rPr>
                <w:sz w:val="20"/>
                <w:szCs w:val="20"/>
                <w:lang w:val="en-GB"/>
              </w:rPr>
              <w:t>14.1</w:t>
            </w:r>
          </w:p>
        </w:tc>
        <w:tc>
          <w:tcPr>
            <w:tcW w:w="1099" w:type="pct"/>
            <w:tcBorders>
              <w:top w:val="single" w:sz="4" w:space="0" w:color="auto"/>
              <w:left w:val="single" w:sz="4" w:space="0" w:color="auto"/>
              <w:bottom w:val="single" w:sz="4" w:space="0" w:color="auto"/>
              <w:right w:val="single" w:sz="4" w:space="0" w:color="auto"/>
            </w:tcBorders>
            <w:vAlign w:val="center"/>
          </w:tcPr>
          <w:p w14:paraId="0086F1B6" w14:textId="77777777" w:rsidR="00DC5685" w:rsidRPr="00A34F10" w:rsidRDefault="00DC5685" w:rsidP="00DC5685">
            <w:pPr>
              <w:tabs>
                <w:tab w:val="left" w:pos="720"/>
              </w:tabs>
              <w:jc w:val="center"/>
              <w:rPr>
                <w:sz w:val="20"/>
                <w:szCs w:val="20"/>
                <w:lang w:val="en-GB"/>
              </w:rPr>
            </w:pPr>
            <w:r w:rsidRPr="00A34F10">
              <w:rPr>
                <w:sz w:val="20"/>
                <w:szCs w:val="20"/>
                <w:lang w:val="en-GB"/>
              </w:rPr>
              <w:t>6.51 n.s.</w:t>
            </w:r>
          </w:p>
        </w:tc>
        <w:tc>
          <w:tcPr>
            <w:tcW w:w="1109" w:type="pct"/>
            <w:tcBorders>
              <w:top w:val="single" w:sz="4" w:space="0" w:color="auto"/>
              <w:left w:val="single" w:sz="4" w:space="0" w:color="auto"/>
              <w:bottom w:val="single" w:sz="4" w:space="0" w:color="auto"/>
              <w:right w:val="single" w:sz="4" w:space="0" w:color="auto"/>
            </w:tcBorders>
            <w:vAlign w:val="center"/>
          </w:tcPr>
          <w:p w14:paraId="53F38DC9" w14:textId="77777777" w:rsidR="00DC5685" w:rsidRPr="00A34F10" w:rsidRDefault="00DC5685" w:rsidP="00DC5685">
            <w:pPr>
              <w:tabs>
                <w:tab w:val="left" w:pos="720"/>
              </w:tabs>
              <w:jc w:val="center"/>
              <w:rPr>
                <w:sz w:val="20"/>
                <w:szCs w:val="20"/>
                <w:lang w:val="en-GB"/>
              </w:rPr>
            </w:pPr>
            <w:r w:rsidRPr="00A34F10">
              <w:rPr>
                <w:sz w:val="20"/>
                <w:szCs w:val="20"/>
                <w:lang w:val="en-GB"/>
              </w:rPr>
              <w:t>-2.4</w:t>
            </w:r>
          </w:p>
        </w:tc>
      </w:tr>
      <w:tr w:rsidR="00DC5685" w:rsidRPr="00A34F10" w14:paraId="18D7AE3F" w14:textId="77777777" w:rsidTr="000470C3">
        <w:trPr>
          <w:trHeight w:hRule="exact" w:val="284"/>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4837332F" w14:textId="77777777" w:rsidR="00DC5685" w:rsidRPr="00A34F10" w:rsidRDefault="00DC5685" w:rsidP="00DC5685">
            <w:pPr>
              <w:jc w:val="center"/>
              <w:rPr>
                <w:sz w:val="20"/>
                <w:szCs w:val="20"/>
                <w:lang w:val="en-GB"/>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08B37C40" w14:textId="77777777" w:rsidR="00DC5685" w:rsidRPr="00A34F10" w:rsidRDefault="00DC5685" w:rsidP="00DC5685">
            <w:pPr>
              <w:tabs>
                <w:tab w:val="left" w:pos="720"/>
              </w:tabs>
              <w:jc w:val="center"/>
              <w:rPr>
                <w:sz w:val="20"/>
                <w:szCs w:val="20"/>
                <w:lang w:val="en-GB"/>
              </w:rPr>
            </w:pPr>
            <w:r w:rsidRPr="00A34F10">
              <w:rPr>
                <w:sz w:val="20"/>
                <w:szCs w:val="20"/>
              </w:rPr>
              <w:t>1.5</w:t>
            </w:r>
          </w:p>
        </w:tc>
        <w:tc>
          <w:tcPr>
            <w:tcW w:w="654" w:type="pct"/>
            <w:tcBorders>
              <w:top w:val="single" w:sz="4" w:space="0" w:color="auto"/>
              <w:left w:val="single" w:sz="4" w:space="0" w:color="auto"/>
              <w:bottom w:val="single" w:sz="4" w:space="0" w:color="auto"/>
              <w:right w:val="single" w:sz="4" w:space="0" w:color="auto"/>
            </w:tcBorders>
            <w:vAlign w:val="center"/>
            <w:hideMark/>
          </w:tcPr>
          <w:p w14:paraId="68B2657C" w14:textId="77777777" w:rsidR="00DC5685" w:rsidRPr="00A34F10" w:rsidRDefault="00DC5685" w:rsidP="00DC5685">
            <w:pPr>
              <w:tabs>
                <w:tab w:val="left" w:pos="720"/>
              </w:tabs>
              <w:jc w:val="center"/>
              <w:rPr>
                <w:sz w:val="20"/>
                <w:szCs w:val="20"/>
                <w:lang w:val="en-GB"/>
              </w:rPr>
            </w:pPr>
            <w:r w:rsidRPr="00A34F10">
              <w:rPr>
                <w:sz w:val="20"/>
                <w:szCs w:val="20"/>
                <w:lang w:val="en-GB"/>
              </w:rPr>
              <w:t>24.0*.</w:t>
            </w:r>
          </w:p>
        </w:tc>
        <w:tc>
          <w:tcPr>
            <w:tcW w:w="892" w:type="pct"/>
            <w:tcBorders>
              <w:top w:val="single" w:sz="4" w:space="0" w:color="auto"/>
              <w:left w:val="single" w:sz="4" w:space="0" w:color="auto"/>
              <w:bottom w:val="single" w:sz="4" w:space="0" w:color="auto"/>
              <w:right w:val="single" w:sz="4" w:space="0" w:color="auto"/>
            </w:tcBorders>
            <w:vAlign w:val="center"/>
            <w:hideMark/>
          </w:tcPr>
          <w:p w14:paraId="1EEC35C4" w14:textId="77777777" w:rsidR="00DC5685" w:rsidRPr="00A34F10" w:rsidRDefault="00DC5685" w:rsidP="00DC5685">
            <w:pPr>
              <w:tabs>
                <w:tab w:val="left" w:pos="720"/>
              </w:tabs>
              <w:jc w:val="center"/>
              <w:rPr>
                <w:sz w:val="20"/>
                <w:szCs w:val="20"/>
                <w:lang w:val="en-GB"/>
              </w:rPr>
            </w:pPr>
            <w:r w:rsidRPr="00A34F10">
              <w:rPr>
                <w:sz w:val="20"/>
                <w:szCs w:val="20"/>
                <w:lang w:val="en-GB"/>
              </w:rPr>
              <w:t>23.2</w:t>
            </w:r>
          </w:p>
        </w:tc>
        <w:tc>
          <w:tcPr>
            <w:tcW w:w="1099" w:type="pct"/>
            <w:tcBorders>
              <w:top w:val="single" w:sz="4" w:space="0" w:color="auto"/>
              <w:left w:val="single" w:sz="4" w:space="0" w:color="auto"/>
              <w:bottom w:val="single" w:sz="4" w:space="0" w:color="auto"/>
              <w:right w:val="single" w:sz="4" w:space="0" w:color="auto"/>
            </w:tcBorders>
            <w:vAlign w:val="center"/>
          </w:tcPr>
          <w:p w14:paraId="66D7735F" w14:textId="77777777" w:rsidR="00DC5685" w:rsidRPr="00A34F10" w:rsidRDefault="00DC5685" w:rsidP="00DC5685">
            <w:pPr>
              <w:tabs>
                <w:tab w:val="left" w:pos="720"/>
              </w:tabs>
              <w:jc w:val="center"/>
              <w:rPr>
                <w:sz w:val="20"/>
                <w:szCs w:val="20"/>
                <w:lang w:val="en-GB"/>
              </w:rPr>
            </w:pPr>
            <w:r w:rsidRPr="00A34F10">
              <w:rPr>
                <w:sz w:val="20"/>
                <w:szCs w:val="20"/>
                <w:lang w:val="en-GB"/>
              </w:rPr>
              <w:t>6.47 n.s.</w:t>
            </w:r>
          </w:p>
        </w:tc>
        <w:tc>
          <w:tcPr>
            <w:tcW w:w="1109" w:type="pct"/>
            <w:tcBorders>
              <w:top w:val="single" w:sz="4" w:space="0" w:color="auto"/>
              <w:left w:val="single" w:sz="4" w:space="0" w:color="auto"/>
              <w:bottom w:val="single" w:sz="4" w:space="0" w:color="auto"/>
              <w:right w:val="single" w:sz="4" w:space="0" w:color="auto"/>
            </w:tcBorders>
            <w:vAlign w:val="center"/>
          </w:tcPr>
          <w:p w14:paraId="7271F52D" w14:textId="77777777" w:rsidR="00DC5685" w:rsidRPr="00A34F10" w:rsidRDefault="00DC5685" w:rsidP="00DC5685">
            <w:pPr>
              <w:tabs>
                <w:tab w:val="left" w:pos="720"/>
              </w:tabs>
              <w:jc w:val="center"/>
              <w:rPr>
                <w:sz w:val="20"/>
                <w:szCs w:val="20"/>
                <w:lang w:val="en-GB"/>
              </w:rPr>
            </w:pPr>
            <w:r w:rsidRPr="00A34F10">
              <w:rPr>
                <w:sz w:val="20"/>
                <w:szCs w:val="20"/>
                <w:lang w:val="en-GB"/>
              </w:rPr>
              <w:t>-1.7</w:t>
            </w:r>
          </w:p>
        </w:tc>
      </w:tr>
      <w:tr w:rsidR="00DC5685" w:rsidRPr="00A34F10" w14:paraId="181A5DE3" w14:textId="77777777" w:rsidTr="000470C3">
        <w:trPr>
          <w:trHeight w:hRule="exact" w:val="284"/>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254453C5" w14:textId="77777777" w:rsidR="00DC5685" w:rsidRPr="00A34F10" w:rsidRDefault="00DC5685" w:rsidP="00DC5685">
            <w:pPr>
              <w:jc w:val="center"/>
              <w:rPr>
                <w:sz w:val="20"/>
                <w:szCs w:val="20"/>
                <w:lang w:val="en-GB"/>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494E7ED6" w14:textId="77777777" w:rsidR="00DC5685" w:rsidRPr="00A34F10" w:rsidRDefault="00DC5685" w:rsidP="00DC5685">
            <w:pPr>
              <w:tabs>
                <w:tab w:val="left" w:pos="720"/>
              </w:tabs>
              <w:jc w:val="center"/>
              <w:rPr>
                <w:sz w:val="20"/>
                <w:szCs w:val="20"/>
                <w:lang w:val="en-GB"/>
              </w:rPr>
            </w:pPr>
            <w:r w:rsidRPr="00A34F10">
              <w:rPr>
                <w:sz w:val="20"/>
                <w:szCs w:val="20"/>
              </w:rPr>
              <w:t>3</w:t>
            </w:r>
          </w:p>
        </w:tc>
        <w:tc>
          <w:tcPr>
            <w:tcW w:w="654" w:type="pct"/>
            <w:tcBorders>
              <w:top w:val="single" w:sz="4" w:space="0" w:color="auto"/>
              <w:left w:val="single" w:sz="4" w:space="0" w:color="auto"/>
              <w:bottom w:val="single" w:sz="4" w:space="0" w:color="auto"/>
              <w:right w:val="single" w:sz="4" w:space="0" w:color="auto"/>
            </w:tcBorders>
            <w:vAlign w:val="center"/>
            <w:hideMark/>
          </w:tcPr>
          <w:p w14:paraId="6364C283" w14:textId="77777777" w:rsidR="00DC5685" w:rsidRPr="00A34F10" w:rsidRDefault="00DC5685" w:rsidP="00DC5685">
            <w:pPr>
              <w:tabs>
                <w:tab w:val="left" w:pos="720"/>
              </w:tabs>
              <w:jc w:val="center"/>
              <w:rPr>
                <w:sz w:val="20"/>
                <w:szCs w:val="20"/>
                <w:lang w:val="en-GB"/>
              </w:rPr>
            </w:pPr>
            <w:r w:rsidRPr="00A34F10">
              <w:rPr>
                <w:sz w:val="20"/>
                <w:szCs w:val="20"/>
                <w:lang w:val="en-GB"/>
              </w:rPr>
              <w:t>36.0*</w:t>
            </w:r>
          </w:p>
        </w:tc>
        <w:tc>
          <w:tcPr>
            <w:tcW w:w="892" w:type="pct"/>
            <w:tcBorders>
              <w:top w:val="single" w:sz="4" w:space="0" w:color="auto"/>
              <w:left w:val="single" w:sz="4" w:space="0" w:color="auto"/>
              <w:bottom w:val="single" w:sz="4" w:space="0" w:color="auto"/>
              <w:right w:val="single" w:sz="4" w:space="0" w:color="auto"/>
            </w:tcBorders>
            <w:vAlign w:val="center"/>
            <w:hideMark/>
          </w:tcPr>
          <w:p w14:paraId="2B871593" w14:textId="77777777" w:rsidR="00DC5685" w:rsidRPr="00A34F10" w:rsidRDefault="00DC5685" w:rsidP="00DC5685">
            <w:pPr>
              <w:tabs>
                <w:tab w:val="left" w:pos="720"/>
              </w:tabs>
              <w:jc w:val="center"/>
              <w:rPr>
                <w:sz w:val="20"/>
                <w:szCs w:val="20"/>
                <w:lang w:val="en-GB"/>
              </w:rPr>
            </w:pPr>
            <w:r w:rsidRPr="00A34F10">
              <w:rPr>
                <w:sz w:val="20"/>
                <w:szCs w:val="20"/>
                <w:lang w:val="en-GB"/>
              </w:rPr>
              <w:t>35.4</w:t>
            </w:r>
          </w:p>
        </w:tc>
        <w:tc>
          <w:tcPr>
            <w:tcW w:w="1099" w:type="pct"/>
            <w:tcBorders>
              <w:top w:val="single" w:sz="4" w:space="0" w:color="auto"/>
              <w:left w:val="single" w:sz="4" w:space="0" w:color="auto"/>
              <w:bottom w:val="single" w:sz="4" w:space="0" w:color="auto"/>
              <w:right w:val="single" w:sz="4" w:space="0" w:color="auto"/>
            </w:tcBorders>
            <w:vAlign w:val="center"/>
          </w:tcPr>
          <w:p w14:paraId="78537726" w14:textId="77777777" w:rsidR="00DC5685" w:rsidRPr="00A34F10" w:rsidRDefault="00DC5685" w:rsidP="00DC5685">
            <w:pPr>
              <w:tabs>
                <w:tab w:val="left" w:pos="720"/>
              </w:tabs>
              <w:jc w:val="center"/>
              <w:rPr>
                <w:sz w:val="20"/>
                <w:szCs w:val="20"/>
                <w:lang w:val="en-GB"/>
              </w:rPr>
            </w:pPr>
            <w:r w:rsidRPr="00A34F10">
              <w:rPr>
                <w:sz w:val="20"/>
                <w:szCs w:val="20"/>
                <w:lang w:val="en-GB"/>
              </w:rPr>
              <w:t>6.13 n.s.</w:t>
            </w:r>
          </w:p>
        </w:tc>
        <w:tc>
          <w:tcPr>
            <w:tcW w:w="1109" w:type="pct"/>
            <w:tcBorders>
              <w:top w:val="single" w:sz="4" w:space="0" w:color="auto"/>
              <w:left w:val="single" w:sz="4" w:space="0" w:color="auto"/>
              <w:bottom w:val="single" w:sz="4" w:space="0" w:color="auto"/>
              <w:right w:val="single" w:sz="4" w:space="0" w:color="auto"/>
            </w:tcBorders>
            <w:vAlign w:val="center"/>
          </w:tcPr>
          <w:p w14:paraId="350EE956" w14:textId="77777777" w:rsidR="00DC5685" w:rsidRPr="00A34F10" w:rsidRDefault="00DC5685" w:rsidP="00DC5685">
            <w:pPr>
              <w:tabs>
                <w:tab w:val="left" w:pos="720"/>
              </w:tabs>
              <w:jc w:val="center"/>
              <w:rPr>
                <w:sz w:val="20"/>
                <w:szCs w:val="20"/>
                <w:lang w:val="en-GB"/>
              </w:rPr>
            </w:pPr>
            <w:r w:rsidRPr="00A34F10">
              <w:rPr>
                <w:sz w:val="20"/>
                <w:szCs w:val="20"/>
                <w:lang w:val="en-GB"/>
              </w:rPr>
              <w:t>3.6</w:t>
            </w:r>
          </w:p>
        </w:tc>
      </w:tr>
      <w:tr w:rsidR="00DC5685" w:rsidRPr="00A34F10" w14:paraId="295EE6F4" w14:textId="77777777" w:rsidTr="000470C3">
        <w:trPr>
          <w:trHeight w:hRule="exact" w:val="1046"/>
        </w:trPr>
        <w:tc>
          <w:tcPr>
            <w:tcW w:w="845" w:type="pct"/>
            <w:tcBorders>
              <w:top w:val="single" w:sz="4" w:space="0" w:color="auto"/>
              <w:left w:val="single" w:sz="4" w:space="0" w:color="auto"/>
              <w:bottom w:val="single" w:sz="4" w:space="0" w:color="auto"/>
              <w:right w:val="single" w:sz="4" w:space="0" w:color="auto"/>
            </w:tcBorders>
            <w:vAlign w:val="center"/>
          </w:tcPr>
          <w:p w14:paraId="4690988B" w14:textId="77777777" w:rsidR="00DC5685" w:rsidRPr="00A34F10" w:rsidRDefault="00DC5685" w:rsidP="00DC5685">
            <w:pPr>
              <w:jc w:val="center"/>
              <w:rPr>
                <w:sz w:val="20"/>
                <w:szCs w:val="20"/>
                <w:lang w:val="en-GB"/>
              </w:rPr>
            </w:pPr>
            <w:r w:rsidRPr="00A34F10">
              <w:rPr>
                <w:sz w:val="20"/>
                <w:szCs w:val="20"/>
                <w:lang w:val="en-GB"/>
              </w:rPr>
              <w:t>Danadim Progress</w:t>
            </w:r>
          </w:p>
          <w:p w14:paraId="3438E67C" w14:textId="77777777" w:rsidR="00DC5685" w:rsidRPr="00A34F10" w:rsidRDefault="00DC5685" w:rsidP="00DC5685">
            <w:pPr>
              <w:jc w:val="center"/>
              <w:rPr>
                <w:sz w:val="20"/>
                <w:szCs w:val="20"/>
                <w:lang w:val="en-GB"/>
              </w:rPr>
            </w:pPr>
            <w:r w:rsidRPr="00A34F10">
              <w:rPr>
                <w:sz w:val="20"/>
                <w:szCs w:val="20"/>
                <w:lang w:val="en-GB"/>
              </w:rPr>
              <w:t>[</w:t>
            </w:r>
            <w:r w:rsidRPr="00A34F10">
              <w:rPr>
                <w:sz w:val="20"/>
                <w:szCs w:val="20"/>
              </w:rPr>
              <w:t>mL product/ha</w:t>
            </w:r>
            <w:r w:rsidRPr="00A34F10">
              <w:rPr>
                <w:color w:val="71777D"/>
                <w:sz w:val="20"/>
                <w:szCs w:val="20"/>
                <w:shd w:val="clear" w:color="auto" w:fill="FFFFFF"/>
              </w:rPr>
              <w:t>]</w:t>
            </w:r>
          </w:p>
        </w:tc>
        <w:tc>
          <w:tcPr>
            <w:tcW w:w="400" w:type="pct"/>
            <w:tcBorders>
              <w:top w:val="single" w:sz="4" w:space="0" w:color="auto"/>
              <w:left w:val="single" w:sz="4" w:space="0" w:color="auto"/>
              <w:bottom w:val="single" w:sz="4" w:space="0" w:color="auto"/>
              <w:right w:val="single" w:sz="4" w:space="0" w:color="auto"/>
            </w:tcBorders>
            <w:vAlign w:val="center"/>
          </w:tcPr>
          <w:p w14:paraId="05EF02A9" w14:textId="77777777" w:rsidR="00DC5685" w:rsidRPr="00A34F10" w:rsidRDefault="00DC5685" w:rsidP="00DC5685">
            <w:pPr>
              <w:tabs>
                <w:tab w:val="left" w:pos="720"/>
              </w:tabs>
              <w:jc w:val="center"/>
              <w:rPr>
                <w:sz w:val="20"/>
                <w:szCs w:val="20"/>
              </w:rPr>
            </w:pPr>
            <w:r w:rsidRPr="00A34F10">
              <w:rPr>
                <w:sz w:val="20"/>
                <w:szCs w:val="20"/>
              </w:rPr>
              <w:t xml:space="preserve">15 </w:t>
            </w:r>
          </w:p>
        </w:tc>
        <w:tc>
          <w:tcPr>
            <w:tcW w:w="654" w:type="pct"/>
            <w:tcBorders>
              <w:top w:val="single" w:sz="4" w:space="0" w:color="auto"/>
              <w:left w:val="single" w:sz="4" w:space="0" w:color="auto"/>
              <w:bottom w:val="single" w:sz="4" w:space="0" w:color="auto"/>
              <w:right w:val="single" w:sz="4" w:space="0" w:color="auto"/>
            </w:tcBorders>
            <w:vAlign w:val="center"/>
          </w:tcPr>
          <w:p w14:paraId="3D45B82E" w14:textId="77777777" w:rsidR="00DC5685" w:rsidRPr="00A34F10" w:rsidRDefault="00DC5685" w:rsidP="00DC5685">
            <w:pPr>
              <w:tabs>
                <w:tab w:val="left" w:pos="720"/>
              </w:tabs>
              <w:jc w:val="center"/>
              <w:rPr>
                <w:sz w:val="20"/>
                <w:szCs w:val="20"/>
              </w:rPr>
            </w:pPr>
            <w:r w:rsidRPr="00A34F10">
              <w:rPr>
                <w:sz w:val="20"/>
                <w:szCs w:val="20"/>
              </w:rPr>
              <w:t>76.0*</w:t>
            </w:r>
          </w:p>
        </w:tc>
        <w:tc>
          <w:tcPr>
            <w:tcW w:w="892" w:type="pct"/>
            <w:tcBorders>
              <w:top w:val="single" w:sz="4" w:space="0" w:color="auto"/>
              <w:left w:val="single" w:sz="4" w:space="0" w:color="auto"/>
              <w:bottom w:val="single" w:sz="4" w:space="0" w:color="auto"/>
              <w:right w:val="single" w:sz="4" w:space="0" w:color="auto"/>
            </w:tcBorders>
            <w:vAlign w:val="center"/>
          </w:tcPr>
          <w:p w14:paraId="36B78BB0" w14:textId="77777777" w:rsidR="00DC5685" w:rsidRPr="00A34F10" w:rsidRDefault="00DC5685" w:rsidP="00DC5685">
            <w:pPr>
              <w:tabs>
                <w:tab w:val="left" w:pos="720"/>
              </w:tabs>
              <w:jc w:val="center"/>
              <w:rPr>
                <w:sz w:val="20"/>
                <w:szCs w:val="20"/>
              </w:rPr>
            </w:pPr>
            <w:r w:rsidRPr="00A34F10">
              <w:rPr>
                <w:sz w:val="20"/>
                <w:szCs w:val="20"/>
              </w:rPr>
              <w:t>75.8</w:t>
            </w:r>
          </w:p>
        </w:tc>
        <w:tc>
          <w:tcPr>
            <w:tcW w:w="1099" w:type="pct"/>
            <w:tcBorders>
              <w:top w:val="single" w:sz="4" w:space="0" w:color="auto"/>
              <w:left w:val="single" w:sz="4" w:space="0" w:color="auto"/>
              <w:bottom w:val="single" w:sz="4" w:space="0" w:color="auto"/>
              <w:right w:val="single" w:sz="4" w:space="0" w:color="auto"/>
            </w:tcBorders>
            <w:vAlign w:val="center"/>
          </w:tcPr>
          <w:p w14:paraId="3A76A3A6" w14:textId="77777777" w:rsidR="00DC5685" w:rsidRPr="00A34F10" w:rsidRDefault="00DC5685" w:rsidP="00DC5685">
            <w:pPr>
              <w:tabs>
                <w:tab w:val="left" w:pos="720"/>
              </w:tabs>
              <w:jc w:val="center"/>
              <w:rPr>
                <w:sz w:val="20"/>
                <w:szCs w:val="20"/>
              </w:rPr>
            </w:pPr>
            <w:r w:rsidRPr="00A34F10">
              <w:rPr>
                <w:sz w:val="20"/>
                <w:szCs w:val="20"/>
              </w:rPr>
              <w:t>n.d.</w:t>
            </w:r>
          </w:p>
        </w:tc>
        <w:tc>
          <w:tcPr>
            <w:tcW w:w="1109" w:type="pct"/>
            <w:tcBorders>
              <w:top w:val="single" w:sz="4" w:space="0" w:color="auto"/>
              <w:left w:val="single" w:sz="4" w:space="0" w:color="auto"/>
              <w:bottom w:val="single" w:sz="4" w:space="0" w:color="auto"/>
              <w:right w:val="single" w:sz="4" w:space="0" w:color="auto"/>
            </w:tcBorders>
            <w:vAlign w:val="center"/>
          </w:tcPr>
          <w:p w14:paraId="7470E06F" w14:textId="77777777" w:rsidR="00DC5685" w:rsidRPr="00A34F10" w:rsidRDefault="00DC5685" w:rsidP="00DC5685">
            <w:pPr>
              <w:tabs>
                <w:tab w:val="left" w:pos="720"/>
              </w:tabs>
              <w:jc w:val="center"/>
              <w:rPr>
                <w:sz w:val="20"/>
                <w:szCs w:val="20"/>
              </w:rPr>
            </w:pPr>
            <w:r w:rsidRPr="00A34F10">
              <w:rPr>
                <w:sz w:val="20"/>
                <w:szCs w:val="20"/>
              </w:rPr>
              <w:t>-</w:t>
            </w:r>
          </w:p>
        </w:tc>
      </w:tr>
      <w:tr w:rsidR="00DC5685" w:rsidRPr="00A34F10" w14:paraId="76CEDBF9" w14:textId="77777777" w:rsidTr="000470C3">
        <w:trPr>
          <w:trHeight w:hRule="exact" w:val="26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8CEF662" w14:textId="77777777" w:rsidR="00DC5685" w:rsidRPr="00A34F10" w:rsidRDefault="00DC5685" w:rsidP="00DC5685">
            <w:pPr>
              <w:tabs>
                <w:tab w:val="left" w:pos="720"/>
              </w:tabs>
              <w:jc w:val="center"/>
              <w:rPr>
                <w:sz w:val="20"/>
                <w:szCs w:val="20"/>
                <w:lang w:val="en-GB"/>
              </w:rPr>
            </w:pPr>
            <w:r w:rsidRPr="00A34F10">
              <w:rPr>
                <w:b/>
                <w:bCs/>
                <w:sz w:val="20"/>
                <w:szCs w:val="20"/>
                <w:lang w:val="en-GB"/>
              </w:rPr>
              <w:t xml:space="preserve">Endpoint </w:t>
            </w:r>
            <w:r w:rsidRPr="00A34F10">
              <w:rPr>
                <w:sz w:val="20"/>
                <w:szCs w:val="20"/>
                <w:lang w:val="es-ES"/>
              </w:rPr>
              <w:t>[</w:t>
            </w:r>
            <w:r w:rsidRPr="00A34F10">
              <w:rPr>
                <w:b/>
                <w:bCs/>
                <w:sz w:val="20"/>
                <w:szCs w:val="20"/>
                <w:lang w:val="en-GB"/>
              </w:rPr>
              <w:t>L product/ha</w:t>
            </w:r>
            <w:r w:rsidRPr="00A34F10">
              <w:rPr>
                <w:color w:val="71777D"/>
                <w:sz w:val="20"/>
                <w:szCs w:val="20"/>
                <w:shd w:val="clear" w:color="auto" w:fill="FFFFFF"/>
              </w:rPr>
              <w:t>]</w:t>
            </w:r>
          </w:p>
        </w:tc>
      </w:tr>
      <w:tr w:rsidR="00DC5685" w:rsidRPr="00A34F10" w14:paraId="6291F9BA" w14:textId="77777777" w:rsidTr="000470C3">
        <w:trPr>
          <w:trHeight w:hRule="exact" w:val="288"/>
        </w:trPr>
        <w:tc>
          <w:tcPr>
            <w:tcW w:w="845" w:type="pct"/>
            <w:tcBorders>
              <w:top w:val="single" w:sz="4" w:space="0" w:color="auto"/>
              <w:left w:val="single" w:sz="4" w:space="0" w:color="auto"/>
              <w:bottom w:val="single" w:sz="4" w:space="0" w:color="auto"/>
              <w:right w:val="single" w:sz="4" w:space="0" w:color="auto"/>
            </w:tcBorders>
            <w:vAlign w:val="center"/>
          </w:tcPr>
          <w:p w14:paraId="78D9DF82" w14:textId="77777777" w:rsidR="00DC5685" w:rsidRPr="00A34F10" w:rsidRDefault="00DC5685" w:rsidP="00DC5685">
            <w:pPr>
              <w:tabs>
                <w:tab w:val="left" w:pos="720"/>
              </w:tabs>
              <w:jc w:val="center"/>
              <w:rPr>
                <w:sz w:val="20"/>
                <w:szCs w:val="20"/>
                <w:lang w:val="en-GB"/>
              </w:rPr>
            </w:pPr>
            <w:r w:rsidRPr="00A34F10">
              <w:rPr>
                <w:sz w:val="20"/>
                <w:szCs w:val="20"/>
                <w:lang w:val="en-GB"/>
              </w:rPr>
              <w:t>LR</w:t>
            </w:r>
            <w:r w:rsidRPr="00A34F10">
              <w:rPr>
                <w:sz w:val="20"/>
                <w:szCs w:val="20"/>
                <w:vertAlign w:val="subscript"/>
                <w:lang w:val="en-GB"/>
              </w:rPr>
              <w:t>50</w:t>
            </w:r>
          </w:p>
        </w:tc>
        <w:tc>
          <w:tcPr>
            <w:tcW w:w="4155" w:type="pct"/>
            <w:gridSpan w:val="5"/>
            <w:tcBorders>
              <w:top w:val="single" w:sz="4" w:space="0" w:color="auto"/>
              <w:left w:val="single" w:sz="4" w:space="0" w:color="auto"/>
              <w:bottom w:val="single" w:sz="4" w:space="0" w:color="auto"/>
              <w:right w:val="single" w:sz="4" w:space="0" w:color="auto"/>
            </w:tcBorders>
            <w:vAlign w:val="center"/>
          </w:tcPr>
          <w:p w14:paraId="59606866" w14:textId="77777777" w:rsidR="00DC5685" w:rsidRPr="00A34F10" w:rsidRDefault="00DC5685" w:rsidP="00DC5685">
            <w:pPr>
              <w:tabs>
                <w:tab w:val="left" w:pos="720"/>
              </w:tabs>
              <w:jc w:val="center"/>
              <w:rPr>
                <w:sz w:val="20"/>
                <w:szCs w:val="20"/>
                <w:lang w:val="en-GB"/>
              </w:rPr>
            </w:pPr>
            <w:r w:rsidRPr="00A34F10">
              <w:rPr>
                <w:sz w:val="20"/>
                <w:szCs w:val="20"/>
                <w:lang w:val="en-GB"/>
              </w:rPr>
              <w:t>&gt;3</w:t>
            </w:r>
          </w:p>
        </w:tc>
      </w:tr>
      <w:tr w:rsidR="00DC5685" w:rsidRPr="00A34F10" w14:paraId="264EC239" w14:textId="77777777" w:rsidTr="000470C3">
        <w:trPr>
          <w:trHeight w:hRule="exact" w:val="288"/>
        </w:trPr>
        <w:tc>
          <w:tcPr>
            <w:tcW w:w="845" w:type="pct"/>
            <w:tcBorders>
              <w:top w:val="single" w:sz="4" w:space="0" w:color="auto"/>
              <w:left w:val="single" w:sz="4" w:space="0" w:color="auto"/>
              <w:bottom w:val="single" w:sz="4" w:space="0" w:color="auto"/>
              <w:right w:val="single" w:sz="4" w:space="0" w:color="auto"/>
            </w:tcBorders>
            <w:vAlign w:val="center"/>
          </w:tcPr>
          <w:p w14:paraId="15264B42"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155" w:type="pct"/>
            <w:gridSpan w:val="5"/>
            <w:tcBorders>
              <w:top w:val="single" w:sz="4" w:space="0" w:color="auto"/>
              <w:left w:val="single" w:sz="4" w:space="0" w:color="auto"/>
              <w:bottom w:val="single" w:sz="4" w:space="0" w:color="auto"/>
              <w:right w:val="single" w:sz="4" w:space="0" w:color="auto"/>
            </w:tcBorders>
            <w:vAlign w:val="center"/>
          </w:tcPr>
          <w:p w14:paraId="7921F206" w14:textId="77777777" w:rsidR="00DC5685" w:rsidRPr="00A34F10" w:rsidRDefault="00DC5685" w:rsidP="00DC5685">
            <w:pPr>
              <w:tabs>
                <w:tab w:val="left" w:pos="720"/>
              </w:tabs>
              <w:jc w:val="center"/>
              <w:rPr>
                <w:sz w:val="20"/>
                <w:szCs w:val="20"/>
                <w:lang w:val="en-GB"/>
              </w:rPr>
            </w:pPr>
            <w:r w:rsidRPr="00A34F10">
              <w:rPr>
                <w:sz w:val="20"/>
                <w:szCs w:val="20"/>
                <w:lang w:val="en-GB"/>
              </w:rPr>
              <w:t>0.375</w:t>
            </w:r>
          </w:p>
        </w:tc>
      </w:tr>
      <w:tr w:rsidR="00DC5685" w:rsidRPr="00A34F10" w14:paraId="6E7F7AF8" w14:textId="77777777" w:rsidTr="000470C3">
        <w:trPr>
          <w:trHeight w:hRule="exact" w:val="288"/>
        </w:trPr>
        <w:tc>
          <w:tcPr>
            <w:tcW w:w="845" w:type="pct"/>
            <w:tcBorders>
              <w:top w:val="single" w:sz="4" w:space="0" w:color="auto"/>
              <w:left w:val="single" w:sz="4" w:space="0" w:color="auto"/>
              <w:bottom w:val="single" w:sz="4" w:space="0" w:color="auto"/>
              <w:right w:val="single" w:sz="4" w:space="0" w:color="auto"/>
            </w:tcBorders>
            <w:vAlign w:val="center"/>
          </w:tcPr>
          <w:p w14:paraId="367DC9DE" w14:textId="77777777" w:rsidR="00DC5685" w:rsidRPr="00A34F10" w:rsidRDefault="00DC5685" w:rsidP="00DC5685">
            <w:pPr>
              <w:tabs>
                <w:tab w:val="left" w:pos="720"/>
              </w:tabs>
              <w:jc w:val="center"/>
              <w:rPr>
                <w:sz w:val="20"/>
                <w:szCs w:val="20"/>
                <w:lang w:val="en-GB"/>
              </w:rPr>
            </w:pPr>
            <w:r w:rsidRPr="00A34F10">
              <w:rPr>
                <w:sz w:val="20"/>
                <w:szCs w:val="20"/>
                <w:lang w:val="en-GB"/>
              </w:rPr>
              <w:t>ER</w:t>
            </w:r>
            <w:r w:rsidRPr="00A34F10">
              <w:rPr>
                <w:sz w:val="20"/>
                <w:szCs w:val="20"/>
                <w:vertAlign w:val="subscript"/>
                <w:lang w:val="en-GB"/>
              </w:rPr>
              <w:t>50</w:t>
            </w:r>
          </w:p>
        </w:tc>
        <w:tc>
          <w:tcPr>
            <w:tcW w:w="4155" w:type="pct"/>
            <w:gridSpan w:val="5"/>
            <w:tcBorders>
              <w:top w:val="single" w:sz="4" w:space="0" w:color="auto"/>
              <w:left w:val="single" w:sz="4" w:space="0" w:color="auto"/>
              <w:bottom w:val="single" w:sz="4" w:space="0" w:color="auto"/>
              <w:right w:val="single" w:sz="4" w:space="0" w:color="auto"/>
            </w:tcBorders>
            <w:vAlign w:val="center"/>
          </w:tcPr>
          <w:p w14:paraId="12B6163A" w14:textId="77777777" w:rsidR="00DC5685" w:rsidRPr="00A34F10" w:rsidRDefault="00DC5685" w:rsidP="00DC5685">
            <w:pPr>
              <w:tabs>
                <w:tab w:val="left" w:pos="720"/>
              </w:tabs>
              <w:jc w:val="center"/>
              <w:rPr>
                <w:sz w:val="20"/>
                <w:szCs w:val="20"/>
                <w:lang w:val="en-GB"/>
              </w:rPr>
            </w:pPr>
            <w:r w:rsidRPr="00A34F10">
              <w:rPr>
                <w:sz w:val="20"/>
                <w:szCs w:val="20"/>
                <w:lang w:val="en-GB"/>
              </w:rPr>
              <w:t>&gt;3</w:t>
            </w:r>
          </w:p>
        </w:tc>
      </w:tr>
      <w:tr w:rsidR="00DC5685" w:rsidRPr="00A34F10" w14:paraId="0039AA71" w14:textId="77777777" w:rsidTr="000470C3">
        <w:trPr>
          <w:trHeight w:hRule="exact" w:val="288"/>
        </w:trPr>
        <w:tc>
          <w:tcPr>
            <w:tcW w:w="845" w:type="pct"/>
            <w:tcBorders>
              <w:top w:val="single" w:sz="4" w:space="0" w:color="auto"/>
              <w:left w:val="single" w:sz="4" w:space="0" w:color="auto"/>
              <w:bottom w:val="single" w:sz="4" w:space="0" w:color="auto"/>
              <w:right w:val="single" w:sz="4" w:space="0" w:color="auto"/>
            </w:tcBorders>
            <w:vAlign w:val="center"/>
          </w:tcPr>
          <w:p w14:paraId="2B9D7C5F"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155" w:type="pct"/>
            <w:gridSpan w:val="5"/>
            <w:tcBorders>
              <w:top w:val="single" w:sz="4" w:space="0" w:color="auto"/>
              <w:left w:val="single" w:sz="4" w:space="0" w:color="auto"/>
              <w:bottom w:val="single" w:sz="4" w:space="0" w:color="auto"/>
              <w:right w:val="single" w:sz="4" w:space="0" w:color="auto"/>
            </w:tcBorders>
            <w:vAlign w:val="center"/>
          </w:tcPr>
          <w:p w14:paraId="53B92127" w14:textId="77777777" w:rsidR="00DC5685" w:rsidRPr="00A34F10" w:rsidRDefault="00DC5685" w:rsidP="00DC5685">
            <w:pPr>
              <w:tabs>
                <w:tab w:val="left" w:pos="720"/>
              </w:tabs>
              <w:jc w:val="center"/>
              <w:rPr>
                <w:sz w:val="20"/>
                <w:szCs w:val="20"/>
                <w:lang w:val="en-GB"/>
              </w:rPr>
            </w:pPr>
            <w:r w:rsidRPr="00A34F10">
              <w:rPr>
                <w:sz w:val="20"/>
                <w:szCs w:val="20"/>
                <w:lang w:val="en-GB"/>
              </w:rPr>
              <w:t>3</w:t>
            </w:r>
          </w:p>
        </w:tc>
      </w:tr>
    </w:tbl>
    <w:p w14:paraId="3F4C594A"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 xml:space="preserve">1 </w:t>
      </w:r>
      <w:r w:rsidRPr="00A34F10">
        <w:rPr>
          <w:sz w:val="18"/>
          <w:szCs w:val="20"/>
          <w:lang w:val="en-GB"/>
        </w:rPr>
        <w:t>Application rate in 200 L water/ha</w:t>
      </w:r>
    </w:p>
    <w:p w14:paraId="6F0A341D"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2</w:t>
      </w:r>
      <w:r w:rsidRPr="00A34F10">
        <w:rPr>
          <w:sz w:val="18"/>
          <w:szCs w:val="20"/>
          <w:lang w:val="en-GB"/>
        </w:rPr>
        <w:t xml:space="preserve"> Corrected mortality according to Abbott (1925)</w:t>
      </w:r>
    </w:p>
    <w:p w14:paraId="757E28A7"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3</w:t>
      </w:r>
      <w:r w:rsidRPr="00A34F10">
        <w:rPr>
          <w:sz w:val="18"/>
          <w:szCs w:val="20"/>
          <w:lang w:val="en-GB"/>
        </w:rPr>
        <w:t>Results for reproduction compared by Williams-t-test (α = 0.05, one-sided smaller)</w:t>
      </w:r>
    </w:p>
    <w:p w14:paraId="03EA9312"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4</w:t>
      </w:r>
      <w:r w:rsidRPr="00A34F10">
        <w:rPr>
          <w:sz w:val="18"/>
          <w:szCs w:val="20"/>
          <w:lang w:val="en-GB"/>
        </w:rPr>
        <w:t xml:space="preserve"> Reproduction performance, relative to control. A positive value indicates a lower reproduction performance and a negative value indicates a higher reproduction performance relative to the control.</w:t>
      </w:r>
    </w:p>
    <w:p w14:paraId="5918CB84" w14:textId="77777777" w:rsidR="00DC5685" w:rsidRPr="00A34F10" w:rsidRDefault="00DC5685" w:rsidP="00DC5685">
      <w:pPr>
        <w:tabs>
          <w:tab w:val="left" w:pos="720"/>
        </w:tabs>
        <w:jc w:val="both"/>
        <w:rPr>
          <w:sz w:val="18"/>
          <w:szCs w:val="20"/>
          <w:lang w:val="en-GB"/>
        </w:rPr>
      </w:pPr>
      <w:r w:rsidRPr="00A34F10">
        <w:rPr>
          <w:sz w:val="18"/>
          <w:szCs w:val="20"/>
          <w:lang w:val="en-GB"/>
        </w:rPr>
        <w:t>n.s. Not statistically significantly different compared to the control</w:t>
      </w:r>
    </w:p>
    <w:p w14:paraId="274466B7" w14:textId="2A51FCE2" w:rsidR="00CD77F5" w:rsidRDefault="00DC5685" w:rsidP="00DC5685">
      <w:pPr>
        <w:tabs>
          <w:tab w:val="left" w:pos="720"/>
        </w:tabs>
        <w:spacing w:after="360"/>
        <w:jc w:val="both"/>
        <w:rPr>
          <w:sz w:val="18"/>
          <w:szCs w:val="20"/>
          <w:lang w:val="en-GB"/>
        </w:rPr>
      </w:pPr>
      <w:r w:rsidRPr="00A34F10">
        <w:rPr>
          <w:sz w:val="18"/>
          <w:szCs w:val="20"/>
          <w:lang w:val="en-GB"/>
        </w:rPr>
        <w:t>* Statistically significantly different compared to the control. The results for mortality in individual test item treatments were compared to those in the control using Step-down Cochran-Armitage Test (α = 0.05, one-sided greater) (test item) and Chi</w:t>
      </w:r>
      <w:r w:rsidRPr="00A34F10">
        <w:rPr>
          <w:sz w:val="18"/>
          <w:szCs w:val="20"/>
          <w:vertAlign w:val="superscript"/>
          <w:lang w:val="en-GB"/>
        </w:rPr>
        <w:t>2</w:t>
      </w:r>
      <w:r w:rsidRPr="00A34F10">
        <w:rPr>
          <w:sz w:val="18"/>
          <w:szCs w:val="20"/>
          <w:lang w:val="en-GB"/>
        </w:rPr>
        <w:t>-2x2 Table test (α = 0.05, one-sided greater) (reference item).</w:t>
      </w:r>
    </w:p>
    <w:p w14:paraId="06253334" w14:textId="77777777" w:rsidR="00DC5685" w:rsidRPr="00A34F10" w:rsidRDefault="00DC5685" w:rsidP="00DC5685">
      <w:pPr>
        <w:tabs>
          <w:tab w:val="left" w:pos="720"/>
        </w:tabs>
        <w:spacing w:after="240"/>
        <w:jc w:val="both"/>
        <w:rPr>
          <w:szCs w:val="24"/>
          <w:lang w:val="en-GB"/>
        </w:rPr>
      </w:pPr>
      <w:r w:rsidRPr="00A34F10">
        <w:rPr>
          <w:szCs w:val="24"/>
          <w:lang w:val="en-GB"/>
        </w:rPr>
        <w:t xml:space="preserve">In the toxic reference treatment, 76% mortality was observed in exposed mites (75.8% corrected mortality), which demonstrated the sensitivity of the test system. </w:t>
      </w:r>
    </w:p>
    <w:p w14:paraId="5C2A189F" w14:textId="77777777" w:rsidR="00DC5685" w:rsidRPr="00A34F10" w:rsidRDefault="00DC5685" w:rsidP="00E05ECD">
      <w:pPr>
        <w:keepNext/>
        <w:keepLines/>
        <w:numPr>
          <w:ilvl w:val="0"/>
          <w:numId w:val="67"/>
        </w:numPr>
        <w:ind w:left="357" w:hanging="357"/>
        <w:contextualSpacing/>
        <w:rPr>
          <w:b/>
          <w:bCs/>
          <w:caps/>
          <w:szCs w:val="24"/>
          <w:lang w:val="en-GB"/>
        </w:rPr>
      </w:pPr>
      <w:r w:rsidRPr="00A34F10">
        <w:rPr>
          <w:b/>
          <w:bCs/>
          <w:caps/>
          <w:szCs w:val="24"/>
          <w:lang w:val="en-GB"/>
        </w:rPr>
        <w:lastRenderedPageBreak/>
        <w:t>VALIDITY CRITERIA</w:t>
      </w:r>
    </w:p>
    <w:p w14:paraId="55FF7795" w14:textId="77777777" w:rsidR="00DC5685" w:rsidRPr="00A34F10" w:rsidRDefault="00DC5685" w:rsidP="00DC5685">
      <w:pPr>
        <w:keepNext/>
        <w:keepLines/>
        <w:tabs>
          <w:tab w:val="left" w:pos="0"/>
        </w:tabs>
        <w:ind w:left="357" w:hanging="357"/>
        <w:contextualSpacing/>
        <w:rPr>
          <w:caps/>
          <w:szCs w:val="24"/>
          <w:lang w:val="en-GB"/>
        </w:rPr>
      </w:pPr>
    </w:p>
    <w:p w14:paraId="449B7794" w14:textId="07C2059E" w:rsidR="00DC5685" w:rsidRPr="00A34F10" w:rsidRDefault="00DC5685" w:rsidP="00DC5685">
      <w:pPr>
        <w:keepNext/>
        <w:keepLines/>
        <w:tabs>
          <w:tab w:val="left" w:pos="720"/>
        </w:tabs>
        <w:spacing w:after="240"/>
        <w:jc w:val="both"/>
        <w:rPr>
          <w:szCs w:val="24"/>
          <w:highlight w:val="yellow"/>
          <w:lang w:val="en-GB"/>
        </w:rPr>
      </w:pPr>
      <w:r w:rsidRPr="00A34F10">
        <w:rPr>
          <w:szCs w:val="24"/>
          <w:lang w:val="en-GB"/>
        </w:rPr>
        <w:t>All validity criteria were met (</w:t>
      </w:r>
      <w:r w:rsidR="00CD77F5">
        <w:rPr>
          <w:szCs w:val="24"/>
          <w:lang w:val="en-GB"/>
        </w:rPr>
        <w:fldChar w:fldCharType="begin"/>
      </w:r>
      <w:r w:rsidR="00CD77F5">
        <w:rPr>
          <w:szCs w:val="24"/>
          <w:lang w:val="en-GB"/>
        </w:rPr>
        <w:instrText xml:space="preserve"> REF _Ref147910953 \h </w:instrText>
      </w:r>
      <w:r w:rsidR="00CD77F5">
        <w:rPr>
          <w:szCs w:val="24"/>
          <w:lang w:val="en-GB"/>
        </w:rPr>
      </w:r>
      <w:r w:rsidR="00CD77F5">
        <w:rPr>
          <w:szCs w:val="24"/>
          <w:lang w:val="en-GB"/>
        </w:rPr>
        <w:fldChar w:fldCharType="separate"/>
      </w:r>
      <w:r w:rsidR="006F0F3B">
        <w:t xml:space="preserve">Table A </w:t>
      </w:r>
      <w:r w:rsidR="006F0F3B">
        <w:rPr>
          <w:noProof/>
        </w:rPr>
        <w:t>63</w:t>
      </w:r>
      <w:r w:rsidR="00CD77F5">
        <w:rPr>
          <w:szCs w:val="24"/>
          <w:lang w:val="en-GB"/>
        </w:rPr>
        <w:fldChar w:fldCharType="end"/>
      </w:r>
      <w:r w:rsidRPr="00A34F10">
        <w:rPr>
          <w:szCs w:val="24"/>
          <w:lang w:val="en-GB"/>
        </w:rPr>
        <w:t xml:space="preserve">). </w:t>
      </w:r>
    </w:p>
    <w:p w14:paraId="1B474A8D" w14:textId="73FF24C9" w:rsidR="00DC5685" w:rsidRPr="00A34F10" w:rsidRDefault="00CD77F5" w:rsidP="00CD77F5">
      <w:pPr>
        <w:pStyle w:val="Legenda"/>
        <w:rPr>
          <w:szCs w:val="28"/>
        </w:rPr>
      </w:pPr>
      <w:bookmarkStart w:id="1125" w:name="_Ref147910953"/>
      <w:r>
        <w:t xml:space="preserve">Table A </w:t>
      </w:r>
      <w:r>
        <w:fldChar w:fldCharType="begin"/>
      </w:r>
      <w:r>
        <w:instrText xml:space="preserve"> SEQ Table_A \* ARABIC </w:instrText>
      </w:r>
      <w:r>
        <w:fldChar w:fldCharType="separate"/>
      </w:r>
      <w:r w:rsidR="006F0F3B">
        <w:rPr>
          <w:noProof/>
        </w:rPr>
        <w:t>63</w:t>
      </w:r>
      <w:r>
        <w:fldChar w:fldCharType="end"/>
      </w:r>
      <w:bookmarkEnd w:id="1125"/>
      <w:r w:rsidR="00DC5685" w:rsidRPr="00A34F10">
        <w:rPr>
          <w:szCs w:val="28"/>
        </w:rPr>
        <w:t>:</w:t>
      </w:r>
      <w:r w:rsidR="00772D00" w:rsidRPr="00A34F10">
        <w:rPr>
          <w:szCs w:val="28"/>
        </w:rPr>
        <w:tab/>
      </w:r>
      <w:r w:rsidR="00DC5685" w:rsidRPr="00A34F10">
        <w:rPr>
          <w:szCs w:val="28"/>
        </w:rPr>
        <w:t xml:space="preserve">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1"/>
        <w:gridCol w:w="4678"/>
      </w:tblGrid>
      <w:tr w:rsidR="00DC5685" w:rsidRPr="00A34F10" w14:paraId="11F4D620" w14:textId="77777777" w:rsidTr="000470C3">
        <w:trPr>
          <w:trHeight w:val="270"/>
          <w:tblHeader/>
        </w:trPr>
        <w:tc>
          <w:tcPr>
            <w:tcW w:w="4531" w:type="dxa"/>
            <w:tcBorders>
              <w:top w:val="single" w:sz="4" w:space="0" w:color="auto"/>
              <w:left w:val="single" w:sz="4" w:space="0" w:color="auto"/>
              <w:bottom w:val="single" w:sz="4" w:space="0" w:color="auto"/>
              <w:right w:val="single" w:sz="4" w:space="0" w:color="auto"/>
            </w:tcBorders>
            <w:noWrap/>
            <w:hideMark/>
          </w:tcPr>
          <w:p w14:paraId="1903B846"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Validity criteria according to the study plan</w:t>
            </w:r>
          </w:p>
        </w:tc>
        <w:tc>
          <w:tcPr>
            <w:tcW w:w="4678" w:type="dxa"/>
            <w:tcBorders>
              <w:top w:val="single" w:sz="4" w:space="0" w:color="auto"/>
              <w:left w:val="single" w:sz="4" w:space="0" w:color="auto"/>
              <w:bottom w:val="single" w:sz="4" w:space="0" w:color="auto"/>
              <w:right w:val="single" w:sz="4" w:space="0" w:color="auto"/>
            </w:tcBorders>
            <w:noWrap/>
            <w:hideMark/>
          </w:tcPr>
          <w:p w14:paraId="3EC11FFC"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510509C1" w14:textId="77777777" w:rsidTr="000470C3">
        <w:trPr>
          <w:trHeight w:val="270"/>
        </w:trPr>
        <w:tc>
          <w:tcPr>
            <w:tcW w:w="4531" w:type="dxa"/>
            <w:tcBorders>
              <w:top w:val="single" w:sz="4" w:space="0" w:color="auto"/>
              <w:left w:val="single" w:sz="4" w:space="0" w:color="auto"/>
              <w:bottom w:val="single" w:sz="4" w:space="0" w:color="auto"/>
              <w:right w:val="single" w:sz="4" w:space="0" w:color="auto"/>
            </w:tcBorders>
            <w:noWrap/>
            <w:hideMark/>
          </w:tcPr>
          <w:p w14:paraId="78C7395A"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In the control(s), mortality should be ≤20% (dead and escaped mites) on day 7</w:t>
            </w:r>
          </w:p>
        </w:tc>
        <w:tc>
          <w:tcPr>
            <w:tcW w:w="4678" w:type="dxa"/>
            <w:tcBorders>
              <w:top w:val="single" w:sz="4" w:space="0" w:color="auto"/>
              <w:left w:val="single" w:sz="4" w:space="0" w:color="auto"/>
              <w:bottom w:val="single" w:sz="4" w:space="0" w:color="auto"/>
              <w:right w:val="single" w:sz="4" w:space="0" w:color="auto"/>
            </w:tcBorders>
            <w:noWrap/>
            <w:hideMark/>
          </w:tcPr>
          <w:p w14:paraId="0DF02696"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1.0%</w:t>
            </w:r>
          </w:p>
        </w:tc>
      </w:tr>
      <w:tr w:rsidR="00DC5685" w:rsidRPr="00A34F10" w14:paraId="7C618CC0" w14:textId="77777777" w:rsidTr="000470C3">
        <w:trPr>
          <w:trHeight w:val="270"/>
        </w:trPr>
        <w:tc>
          <w:tcPr>
            <w:tcW w:w="4531" w:type="dxa"/>
            <w:tcBorders>
              <w:top w:val="single" w:sz="4" w:space="0" w:color="auto"/>
              <w:left w:val="single" w:sz="4" w:space="0" w:color="auto"/>
              <w:bottom w:val="single" w:sz="4" w:space="0" w:color="auto"/>
              <w:right w:val="single" w:sz="4" w:space="0" w:color="auto"/>
            </w:tcBorders>
            <w:noWrap/>
            <w:hideMark/>
          </w:tcPr>
          <w:p w14:paraId="495412F8"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Mortality in the toxic reference treatment should be ≥50% on day 7</w:t>
            </w:r>
          </w:p>
        </w:tc>
        <w:tc>
          <w:tcPr>
            <w:tcW w:w="4678" w:type="dxa"/>
            <w:tcBorders>
              <w:top w:val="single" w:sz="4" w:space="0" w:color="auto"/>
              <w:left w:val="single" w:sz="4" w:space="0" w:color="auto"/>
              <w:bottom w:val="single" w:sz="4" w:space="0" w:color="auto"/>
              <w:right w:val="single" w:sz="4" w:space="0" w:color="auto"/>
            </w:tcBorders>
            <w:noWrap/>
            <w:hideMark/>
          </w:tcPr>
          <w:p w14:paraId="3968967A"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75.8%</w:t>
            </w:r>
          </w:p>
        </w:tc>
      </w:tr>
      <w:tr w:rsidR="00DC5685" w:rsidRPr="00A34F10" w14:paraId="20CE1FC2" w14:textId="77777777" w:rsidTr="000470C3">
        <w:trPr>
          <w:trHeight w:val="270"/>
        </w:trPr>
        <w:tc>
          <w:tcPr>
            <w:tcW w:w="4531" w:type="dxa"/>
            <w:tcBorders>
              <w:top w:val="single" w:sz="4" w:space="0" w:color="auto"/>
              <w:left w:val="single" w:sz="4" w:space="0" w:color="auto"/>
              <w:bottom w:val="single" w:sz="4" w:space="0" w:color="auto"/>
              <w:right w:val="single" w:sz="4" w:space="0" w:color="auto"/>
            </w:tcBorders>
            <w:noWrap/>
          </w:tcPr>
          <w:p w14:paraId="45619810"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Mean reproduction in the control group should be ≥4 eggs per female</w:t>
            </w:r>
          </w:p>
        </w:tc>
        <w:tc>
          <w:tcPr>
            <w:tcW w:w="4678" w:type="dxa"/>
            <w:tcBorders>
              <w:top w:val="single" w:sz="4" w:space="0" w:color="auto"/>
              <w:left w:val="single" w:sz="4" w:space="0" w:color="auto"/>
              <w:bottom w:val="single" w:sz="4" w:space="0" w:color="auto"/>
              <w:right w:val="single" w:sz="4" w:space="0" w:color="auto"/>
            </w:tcBorders>
            <w:noWrap/>
          </w:tcPr>
          <w:p w14:paraId="4C137075" w14:textId="77777777" w:rsidR="00DC5685" w:rsidRPr="00A34F10" w:rsidRDefault="00DC5685" w:rsidP="00DC5685">
            <w:pPr>
              <w:tabs>
                <w:tab w:val="left" w:pos="720"/>
              </w:tabs>
              <w:autoSpaceDE w:val="0"/>
              <w:autoSpaceDN w:val="0"/>
              <w:adjustRightInd w:val="0"/>
              <w:spacing w:before="40" w:after="40"/>
              <w:rPr>
                <w:sz w:val="20"/>
                <w:szCs w:val="20"/>
                <w:lang w:val="en-GB"/>
              </w:rPr>
            </w:pPr>
            <w:r w:rsidRPr="00A34F10">
              <w:rPr>
                <w:rFonts w:eastAsia="Calibri"/>
                <w:sz w:val="20"/>
                <w:szCs w:val="20"/>
                <w:lang w:val="en-GB"/>
              </w:rPr>
              <w:t>6.36</w:t>
            </w:r>
          </w:p>
        </w:tc>
      </w:tr>
    </w:tbl>
    <w:p w14:paraId="1EA5147E" w14:textId="77777777" w:rsidR="00DC5685" w:rsidRPr="00A34F10" w:rsidRDefault="00DC5685" w:rsidP="00E05ECD">
      <w:pPr>
        <w:numPr>
          <w:ilvl w:val="0"/>
          <w:numId w:val="67"/>
        </w:numPr>
        <w:spacing w:before="360"/>
        <w:ind w:left="357" w:hanging="357"/>
        <w:rPr>
          <w:b/>
          <w:bCs/>
          <w:caps/>
          <w:szCs w:val="24"/>
          <w:lang w:val="en-GB"/>
        </w:rPr>
      </w:pPr>
      <w:r w:rsidRPr="00A34F10">
        <w:rPr>
          <w:b/>
          <w:bCs/>
          <w:caps/>
          <w:szCs w:val="24"/>
          <w:lang w:val="en-GB"/>
        </w:rPr>
        <w:t>DEFICIENCIES</w:t>
      </w:r>
    </w:p>
    <w:p w14:paraId="3E0FF666" w14:textId="77777777" w:rsidR="00DC5685" w:rsidRPr="00A34F10" w:rsidRDefault="00DC5685" w:rsidP="00DC5685">
      <w:pPr>
        <w:tabs>
          <w:tab w:val="left" w:pos="0"/>
        </w:tabs>
        <w:ind w:left="357" w:hanging="357"/>
        <w:contextualSpacing/>
        <w:rPr>
          <w:caps/>
          <w:szCs w:val="24"/>
          <w:lang w:val="en-GB"/>
        </w:rPr>
      </w:pPr>
    </w:p>
    <w:p w14:paraId="056C6B9E" w14:textId="77777777" w:rsidR="00DC5685" w:rsidRPr="00A34F10" w:rsidRDefault="00DC5685" w:rsidP="00DC5685">
      <w:pPr>
        <w:tabs>
          <w:tab w:val="left" w:pos="720"/>
        </w:tabs>
        <w:spacing w:after="240"/>
        <w:jc w:val="both"/>
        <w:rPr>
          <w:szCs w:val="24"/>
          <w:lang w:val="en-GB"/>
        </w:rPr>
      </w:pPr>
      <w:r w:rsidRPr="00A34F10">
        <w:rPr>
          <w:szCs w:val="24"/>
          <w:lang w:val="en-GB"/>
        </w:rPr>
        <w:t>None.</w:t>
      </w:r>
    </w:p>
    <w:p w14:paraId="2B694798" w14:textId="330C1AB1"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III. Conclusion</w:t>
      </w:r>
    </w:p>
    <w:p w14:paraId="00EC58BB" w14:textId="11BDC4D5" w:rsidR="00772D00" w:rsidRPr="00A34F10" w:rsidRDefault="00DC5685" w:rsidP="00DC5685">
      <w:pPr>
        <w:tabs>
          <w:tab w:val="left" w:pos="720"/>
        </w:tabs>
        <w:spacing w:after="240"/>
        <w:jc w:val="both"/>
        <w:rPr>
          <w:lang w:val="en-GB"/>
        </w:rPr>
      </w:pPr>
      <w:r w:rsidRPr="00A34F10">
        <w:rPr>
          <w:szCs w:val="24"/>
          <w:lang w:val="en-GB"/>
        </w:rPr>
        <w:t xml:space="preserve">A study to determine the effects of BAS 743 02 F on protonymphs of the predatory mite </w:t>
      </w:r>
      <w:r w:rsidRPr="00A34F10">
        <w:rPr>
          <w:i/>
          <w:iCs/>
          <w:szCs w:val="24"/>
          <w:lang w:val="en-GB"/>
        </w:rPr>
        <w:t>Typhlodromus pyri</w:t>
      </w:r>
      <w:r w:rsidRPr="00A34F10">
        <w:rPr>
          <w:szCs w:val="24"/>
          <w:lang w:val="en-GB"/>
        </w:rPr>
        <w:t xml:space="preserve"> was performed over 14 days in the laboratory. Protnymphs were exposed to freshly dried residues of the test item on glass plates. Effects on mortality and reproduction were subsequently assessed. </w:t>
      </w:r>
      <w:r w:rsidRPr="00A34F10">
        <w:rPr>
          <w:lang w:val="en-GB"/>
        </w:rPr>
        <w:t>The LR</w:t>
      </w:r>
      <w:r w:rsidRPr="00A34F10">
        <w:rPr>
          <w:vertAlign w:val="subscript"/>
          <w:lang w:val="en-GB"/>
        </w:rPr>
        <w:t>50</w:t>
      </w:r>
      <w:r w:rsidRPr="00A34F10">
        <w:rPr>
          <w:lang w:val="en-GB"/>
        </w:rPr>
        <w:t xml:space="preserve"> for </w:t>
      </w:r>
      <w:r w:rsidRPr="00A34F10">
        <w:rPr>
          <w:i/>
          <w:iCs/>
          <w:lang w:val="en-GB"/>
        </w:rPr>
        <w:t>Typhlodromus pyri</w:t>
      </w:r>
      <w:r w:rsidRPr="00A34F10">
        <w:rPr>
          <w:lang w:val="en-GB"/>
        </w:rPr>
        <w:t xml:space="preserve"> was estimated to be &gt; 3 L product/ha. The NOER for mortality was determined to be 0.375 L product/ha. The ER</w:t>
      </w:r>
      <w:r w:rsidRPr="00A34F10">
        <w:rPr>
          <w:vertAlign w:val="subscript"/>
          <w:lang w:val="en-GB"/>
        </w:rPr>
        <w:t xml:space="preserve">50 </w:t>
      </w:r>
      <w:r w:rsidRPr="00A34F10">
        <w:rPr>
          <w:lang w:val="en-GB"/>
        </w:rPr>
        <w:t>was estimated to be &gt; 3 L product/ha and the NOER for reproduction was determined to be 3 L product/ha.</w:t>
      </w:r>
    </w:p>
    <w:p w14:paraId="4259FFF9" w14:textId="77777777" w:rsidR="00DC5685" w:rsidRPr="00A34F10" w:rsidRDefault="00772D00" w:rsidP="00772D00">
      <w:pPr>
        <w:rPr>
          <w:lang w:val="en-GB"/>
        </w:rPr>
      </w:pPr>
      <w:r w:rsidRPr="00A34F10">
        <w:rPr>
          <w:lang w:val="en-GB"/>
        </w:rPr>
        <w:br w:type="page"/>
      </w:r>
    </w:p>
    <w:p w14:paraId="0614AE7E" w14:textId="77777777" w:rsidR="00DC5685" w:rsidRPr="00A34F10" w:rsidRDefault="00DC5685" w:rsidP="006335AD">
      <w:pPr>
        <w:pStyle w:val="RepAppendix5"/>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45D290EC" w14:textId="77777777" w:rsidTr="009B1385">
        <w:tc>
          <w:tcPr>
            <w:tcW w:w="1063" w:type="pct"/>
            <w:shd w:val="clear" w:color="auto" w:fill="D9D9D9" w:themeFill="background1" w:themeFillShade="D9"/>
          </w:tcPr>
          <w:p w14:paraId="6276BFDC"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00AB4715" w14:textId="08F212C3" w:rsidR="00DC5685" w:rsidRPr="00A34F10" w:rsidRDefault="00DC5685" w:rsidP="00DC5685">
            <w:pPr>
              <w:widowControl w:val="0"/>
              <w:ind w:left="85"/>
              <w:jc w:val="both"/>
              <w:rPr>
                <w:rFonts w:eastAsia="Batang"/>
                <w:color w:val="000000" w:themeColor="text1"/>
              </w:rPr>
            </w:pPr>
            <w:r w:rsidRPr="00A34F10">
              <w:rPr>
                <w:color w:val="000000" w:themeColor="text1"/>
              </w:rPr>
              <w:t xml:space="preserve"> </w:t>
            </w:r>
            <w:r w:rsidR="009B1385" w:rsidRPr="0037666C">
              <w:rPr>
                <w:rFonts w:eastAsia="Batang"/>
              </w:rPr>
              <w:t xml:space="preserve">The study was conducted to the guideline and according to the principles of GLP. All validity criterions were met. </w:t>
            </w:r>
            <w:r w:rsidR="009B1385" w:rsidRPr="0037666C">
              <w:rPr>
                <w:color w:val="000000"/>
              </w:rPr>
              <w:t xml:space="preserve">The study is considered to be reliable </w:t>
            </w:r>
            <w:r w:rsidR="009B1385" w:rsidRPr="0037666C">
              <w:t>and suitable for the risk assessment</w:t>
            </w:r>
            <w:r w:rsidR="009B1385" w:rsidRPr="0037666C">
              <w:rPr>
                <w:color w:val="000000"/>
              </w:rPr>
              <w:t>.</w:t>
            </w:r>
            <w:r w:rsidRPr="00A34F10">
              <w:rPr>
                <w:color w:val="000000" w:themeColor="text1"/>
              </w:rPr>
              <w:fldChar w:fldCharType="begin"/>
            </w:r>
            <w:r w:rsidRPr="00A34F10">
              <w:rPr>
                <w:color w:val="000000" w:themeColor="text1"/>
              </w:rPr>
              <w:instrText xml:space="preserve"> FORMTEXT </w:instrText>
            </w:r>
            <w:r w:rsidRPr="00A34F10">
              <w:rPr>
                <w:color w:val="000000" w:themeColor="text1"/>
              </w:rPr>
              <w:fldChar w:fldCharType="separate"/>
            </w:r>
            <w:r w:rsidRPr="00A34F10">
              <w:rPr>
                <w:color w:val="000000" w:themeColor="text1"/>
              </w:rPr>
              <w:fldChar w:fldCharType="end"/>
            </w:r>
          </w:p>
        </w:tc>
      </w:tr>
    </w:tbl>
    <w:p w14:paraId="3A0E9297" w14:textId="77777777" w:rsidR="00DC5685" w:rsidRPr="00A34F10" w:rsidRDefault="00DC5685" w:rsidP="00DC5685">
      <w:pPr>
        <w:rPr>
          <w:color w:val="000000" w:themeColor="text1"/>
          <w:highlight w:val="yellow"/>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4171108D" w14:textId="77777777" w:rsidTr="000470C3">
        <w:trPr>
          <w:trHeight w:val="227"/>
          <w:jc w:val="center"/>
        </w:trPr>
        <w:tc>
          <w:tcPr>
            <w:tcW w:w="1364" w:type="pct"/>
          </w:tcPr>
          <w:p w14:paraId="5C1A7C87"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636" w:type="pct"/>
          </w:tcPr>
          <w:p w14:paraId="7F28206E" w14:textId="77777777" w:rsidR="00DC5685" w:rsidRPr="00A34F10" w:rsidRDefault="00DC5685" w:rsidP="00DC5685">
            <w:pPr>
              <w:widowControl w:val="0"/>
              <w:spacing w:after="120"/>
              <w:jc w:val="both"/>
              <w:rPr>
                <w:lang w:val="en-GB"/>
              </w:rPr>
            </w:pPr>
            <w:r w:rsidRPr="00A34F10">
              <w:rPr>
                <w:lang w:val="en-GB"/>
              </w:rPr>
              <w:t>CP 10.3.2.1/02</w:t>
            </w:r>
          </w:p>
        </w:tc>
      </w:tr>
      <w:tr w:rsidR="00DC5685" w:rsidRPr="00A34F10" w14:paraId="0B029069" w14:textId="77777777" w:rsidTr="000470C3">
        <w:trPr>
          <w:trHeight w:val="227"/>
          <w:jc w:val="center"/>
        </w:trPr>
        <w:tc>
          <w:tcPr>
            <w:tcW w:w="1364" w:type="pct"/>
          </w:tcPr>
          <w:p w14:paraId="2994BCFA"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4A228ECC" w14:textId="77777777" w:rsidR="00DC5685" w:rsidRPr="00A34F10" w:rsidRDefault="00DC5685" w:rsidP="00DC5685">
            <w:pPr>
              <w:widowControl w:val="0"/>
              <w:spacing w:after="120"/>
              <w:jc w:val="both"/>
              <w:rPr>
                <w:lang w:val="en-GB"/>
              </w:rPr>
            </w:pPr>
            <w:r w:rsidRPr="00A34F10">
              <w:rPr>
                <w:lang w:val="en-GB"/>
              </w:rPr>
              <w:t xml:space="preserve">Effects of BAS 743 02 F on the parasitic wasp </w:t>
            </w:r>
            <w:r w:rsidRPr="00A34F10">
              <w:rPr>
                <w:i/>
                <w:iCs/>
                <w:lang w:val="en-GB"/>
              </w:rPr>
              <w:t>Aphidius rhopalosiphi</w:t>
            </w:r>
            <w:r w:rsidRPr="00A34F10">
              <w:rPr>
                <w:lang w:val="en-GB"/>
              </w:rPr>
              <w:t xml:space="preserve"> (DESTEPHANI-PEREZ) in a laboratory test</w:t>
            </w:r>
          </w:p>
          <w:p w14:paraId="2ACD08FE" w14:textId="77777777" w:rsidR="00DC5685" w:rsidRPr="00A34F10" w:rsidRDefault="00DC5685" w:rsidP="00DC5685">
            <w:pPr>
              <w:widowControl w:val="0"/>
              <w:spacing w:after="120"/>
              <w:jc w:val="both"/>
              <w:rPr>
                <w:lang w:val="en-GB"/>
              </w:rPr>
            </w:pPr>
            <w:r w:rsidRPr="00A34F10">
              <w:rPr>
                <w:lang w:val="en-GB"/>
              </w:rPr>
              <w:t>Röhlig, U., 2022b</w:t>
            </w:r>
          </w:p>
          <w:p w14:paraId="16DECCCC" w14:textId="7F1BF9EA" w:rsidR="00DC5685" w:rsidRPr="00A34F10" w:rsidRDefault="00D007AB" w:rsidP="00DC5685">
            <w:pPr>
              <w:widowControl w:val="0"/>
              <w:spacing w:after="120"/>
              <w:jc w:val="both"/>
              <w:rPr>
                <w:lang w:val="en-GB"/>
              </w:rPr>
            </w:pPr>
            <w:r>
              <w:t>XXXX</w:t>
            </w:r>
            <w:r w:rsidR="00DC5685" w:rsidRPr="00A34F10">
              <w:t xml:space="preserve"> Study ID: </w:t>
            </w:r>
            <w:r w:rsidR="00DC5685" w:rsidRPr="00A34F10">
              <w:rPr>
                <w:lang w:val="en-GB"/>
              </w:rPr>
              <w:t>933752_17</w:t>
            </w:r>
          </w:p>
          <w:p w14:paraId="7C635D63" w14:textId="41614101"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2022/2033728</w:t>
            </w:r>
          </w:p>
        </w:tc>
      </w:tr>
      <w:tr w:rsidR="00DC5685" w:rsidRPr="00A34F10" w14:paraId="20D80B6E" w14:textId="77777777" w:rsidTr="000470C3">
        <w:trPr>
          <w:trHeight w:val="227"/>
          <w:jc w:val="center"/>
        </w:trPr>
        <w:tc>
          <w:tcPr>
            <w:tcW w:w="1364" w:type="pct"/>
          </w:tcPr>
          <w:p w14:paraId="7C6ABFEB"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265187EB" w14:textId="77777777" w:rsidR="00DC5685" w:rsidRPr="00A34F10" w:rsidRDefault="00DC5685" w:rsidP="00DC5685">
            <w:pPr>
              <w:widowControl w:val="0"/>
              <w:spacing w:after="120"/>
              <w:jc w:val="both"/>
            </w:pPr>
            <w:r w:rsidRPr="00A34F10">
              <w:rPr>
                <w:lang w:val="en-GB"/>
              </w:rPr>
              <w:t>IOBC (Mead-Briggs et al. 2000)</w:t>
            </w:r>
          </w:p>
        </w:tc>
      </w:tr>
      <w:tr w:rsidR="00DC5685" w:rsidRPr="00A34F10" w14:paraId="362BCB3C" w14:textId="77777777" w:rsidTr="000470C3">
        <w:trPr>
          <w:trHeight w:val="227"/>
          <w:jc w:val="center"/>
        </w:trPr>
        <w:tc>
          <w:tcPr>
            <w:tcW w:w="1364" w:type="pct"/>
          </w:tcPr>
          <w:p w14:paraId="1B3B3243"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4903E9C3"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75BF86EB" w14:textId="77777777" w:rsidTr="000470C3">
        <w:trPr>
          <w:trHeight w:val="227"/>
          <w:jc w:val="center"/>
        </w:trPr>
        <w:tc>
          <w:tcPr>
            <w:tcW w:w="1364" w:type="pct"/>
          </w:tcPr>
          <w:p w14:paraId="49209E21"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035F2FF5"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0CE3408E" w14:textId="77777777" w:rsidTr="000470C3">
        <w:trPr>
          <w:trHeight w:val="227"/>
          <w:jc w:val="center"/>
        </w:trPr>
        <w:tc>
          <w:tcPr>
            <w:tcW w:w="1364" w:type="pct"/>
          </w:tcPr>
          <w:p w14:paraId="4FA7D90F"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753EFFAB" w14:textId="77777777" w:rsidR="00DC5685" w:rsidRPr="00A34F10" w:rsidRDefault="00DC5685" w:rsidP="00DC5685">
            <w:pPr>
              <w:widowControl w:val="0"/>
              <w:spacing w:after="120"/>
              <w:jc w:val="both"/>
              <w:rPr>
                <w:lang w:val="en-GB"/>
              </w:rPr>
            </w:pPr>
            <w:r w:rsidRPr="00A34F10">
              <w:rPr>
                <w:lang w:val="en-GB"/>
              </w:rPr>
              <w:t>Yes</w:t>
            </w:r>
          </w:p>
        </w:tc>
      </w:tr>
    </w:tbl>
    <w:p w14:paraId="05303DC3" w14:textId="77777777" w:rsidR="00DC5685" w:rsidRPr="00A34F10" w:rsidRDefault="00DC5685" w:rsidP="00DC5685">
      <w:pPr>
        <w:widowControl w:val="0"/>
        <w:spacing w:after="120"/>
        <w:jc w:val="both"/>
      </w:pPr>
    </w:p>
    <w:p w14:paraId="26BE21D5"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6724A080" w14:textId="77777777" w:rsidR="00DC5685" w:rsidRPr="00A34F10" w:rsidRDefault="00DC5685" w:rsidP="00DC5685">
      <w:pPr>
        <w:keepNext/>
        <w:keepLines/>
        <w:tabs>
          <w:tab w:val="left" w:pos="720"/>
        </w:tabs>
        <w:jc w:val="both"/>
        <w:rPr>
          <w:b/>
          <w:color w:val="000000" w:themeColor="text1"/>
          <w:szCs w:val="32"/>
          <w:lang w:val="en-GB"/>
        </w:rPr>
      </w:pPr>
    </w:p>
    <w:p w14:paraId="032E2A37" w14:textId="77777777" w:rsidR="00DC5685" w:rsidRPr="00A34F10" w:rsidRDefault="00DC5685" w:rsidP="00DC5685">
      <w:pPr>
        <w:tabs>
          <w:tab w:val="left" w:pos="720"/>
        </w:tabs>
        <w:spacing w:after="240"/>
        <w:jc w:val="both"/>
        <w:rPr>
          <w:highlight w:val="yellow"/>
          <w:lang w:val="en-GB"/>
        </w:rPr>
      </w:pPr>
      <w:r w:rsidRPr="00A34F10">
        <w:rPr>
          <w:szCs w:val="24"/>
          <w:lang w:val="en-GB"/>
        </w:rPr>
        <w:t xml:space="preserve">A study to determine the effects of BAS 743 02 F on the parasitic wasp </w:t>
      </w:r>
      <w:r w:rsidRPr="00A34F10">
        <w:rPr>
          <w:i/>
          <w:iCs/>
          <w:szCs w:val="24"/>
          <w:lang w:val="en-GB"/>
        </w:rPr>
        <w:t>Aphidius rhopalosiphi</w:t>
      </w:r>
      <w:r w:rsidRPr="00A34F10">
        <w:rPr>
          <w:szCs w:val="24"/>
          <w:lang w:val="en-GB"/>
        </w:rPr>
        <w:t xml:space="preserve"> was performed over 14 days in the laboratory. Wasps were exposed to freshly dried residues of the test item on glass plates for 48 hours. The test comprised seven treatment groups; five nominal test item rates of 0.1875, 0.375, 0.75, 1.5 and 3 L product/ha, a water control and toxic reference item. There were four replicate arenas per treatment, each with 10 wasps (seven females and three males). </w:t>
      </w:r>
      <w:r w:rsidRPr="00A34F10">
        <w:rPr>
          <w:lang w:val="en-GB"/>
        </w:rPr>
        <w:t>Assessments of wasp mortality were made after 2, 24 and 48 hours.</w:t>
      </w:r>
      <w:r w:rsidRPr="00A34F10">
        <w:rPr>
          <w:szCs w:val="24"/>
          <w:lang w:val="en-GB"/>
        </w:rPr>
        <w:t xml:space="preserve"> After 48 hours, surviving wasps (15 females per treatment group) were removed and their reproductive capacity was assessed by confining them individually for 24 hours in reproduction test units.</w:t>
      </w:r>
      <w:r w:rsidRPr="00A34F10">
        <w:t xml:space="preserve"> </w:t>
      </w:r>
      <w:r w:rsidRPr="00A34F10">
        <w:rPr>
          <w:szCs w:val="24"/>
          <w:lang w:val="en-GB"/>
        </w:rPr>
        <w:t>Assessment of reproduction capacity, i.e. number of mummies per female, was made after 14 days.</w:t>
      </w:r>
    </w:p>
    <w:p w14:paraId="1D16400C" w14:textId="77777777" w:rsidR="00DC5685" w:rsidRPr="00A34F10" w:rsidRDefault="00DC5685" w:rsidP="00DC5685">
      <w:pPr>
        <w:tabs>
          <w:tab w:val="left" w:pos="720"/>
        </w:tabs>
        <w:spacing w:after="240"/>
        <w:jc w:val="both"/>
        <w:rPr>
          <w:szCs w:val="24"/>
          <w:highlight w:val="yellow"/>
          <w:lang w:val="en-GB"/>
        </w:rPr>
      </w:pPr>
      <w:r w:rsidRPr="00A34F10">
        <w:rPr>
          <w:lang w:val="en-GB"/>
        </w:rPr>
        <w:t>The 48-hour LR</w:t>
      </w:r>
      <w:r w:rsidRPr="00A34F10">
        <w:rPr>
          <w:vertAlign w:val="subscript"/>
          <w:lang w:val="en-GB"/>
        </w:rPr>
        <w:t>50</w:t>
      </w:r>
      <w:r w:rsidRPr="00A34F10">
        <w:rPr>
          <w:lang w:val="en-GB"/>
        </w:rPr>
        <w:t xml:space="preserve"> and the 14-day ER</w:t>
      </w:r>
      <w:r w:rsidRPr="00A34F10">
        <w:rPr>
          <w:vertAlign w:val="subscript"/>
          <w:lang w:val="en-GB"/>
        </w:rPr>
        <w:t xml:space="preserve">50 </w:t>
      </w:r>
      <w:r w:rsidRPr="00A34F10">
        <w:rPr>
          <w:lang w:val="en-GB"/>
        </w:rPr>
        <w:t>were estimated to be &gt; 3 L product/ha. T</w:t>
      </w:r>
      <w:r w:rsidRPr="00A34F10">
        <w:rPr>
          <w:szCs w:val="24"/>
          <w:lang w:val="en-GB"/>
        </w:rPr>
        <w:t>he NOER for mortality and reproduction were determined to be 3 L product/ha.</w:t>
      </w:r>
    </w:p>
    <w:p w14:paraId="79A3CB73" w14:textId="77777777" w:rsidR="00DC5685" w:rsidRPr="00A34F10" w:rsidRDefault="00DC5685" w:rsidP="00DC5685">
      <w:pPr>
        <w:tabs>
          <w:tab w:val="left" w:pos="720"/>
        </w:tabs>
        <w:spacing w:after="240"/>
        <w:ind w:left="720" w:hanging="431"/>
        <w:contextualSpacing/>
        <w:jc w:val="center"/>
        <w:rPr>
          <w:b/>
          <w:bCs/>
          <w:caps/>
          <w:szCs w:val="24"/>
          <w:lang w:val="en-GB"/>
        </w:rPr>
      </w:pPr>
      <w:r w:rsidRPr="00A34F10">
        <w:rPr>
          <w:b/>
          <w:bCs/>
          <w:caps/>
          <w:szCs w:val="24"/>
          <w:lang w:val="en-GB"/>
        </w:rPr>
        <w:t>I. MATERIALS AND METHODS</w:t>
      </w:r>
    </w:p>
    <w:p w14:paraId="1BC0E960" w14:textId="77777777" w:rsidR="00DC5685" w:rsidRPr="00A34F10" w:rsidRDefault="00DC5685" w:rsidP="00E05ECD">
      <w:pPr>
        <w:numPr>
          <w:ilvl w:val="0"/>
          <w:numId w:val="68"/>
        </w:numPr>
        <w:ind w:left="357" w:hanging="357"/>
        <w:contextualSpacing/>
        <w:rPr>
          <w:b/>
          <w:bCs/>
          <w:caps/>
          <w:szCs w:val="24"/>
          <w:lang w:val="en-GB"/>
        </w:rPr>
      </w:pPr>
      <w:r w:rsidRPr="00A34F10">
        <w:rPr>
          <w:b/>
          <w:bCs/>
          <w:caps/>
          <w:szCs w:val="24"/>
          <w:lang w:val="en-GB"/>
        </w:rPr>
        <w:t>MATERIALS</w:t>
      </w:r>
    </w:p>
    <w:p w14:paraId="52C5BF3F" w14:textId="77777777" w:rsidR="00DC5685" w:rsidRPr="00A34F10" w:rsidRDefault="00DC5685" w:rsidP="00DC5685">
      <w:pPr>
        <w:tabs>
          <w:tab w:val="left" w:pos="0"/>
        </w:tabs>
        <w:ind w:left="357" w:hanging="357"/>
        <w:contextualSpacing/>
        <w:rPr>
          <w:b/>
          <w:bCs/>
          <w:caps/>
          <w:szCs w:val="24"/>
          <w:lang w:val="en-GB"/>
        </w:rPr>
      </w:pP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3D167EE7" w14:textId="77777777" w:rsidTr="000470C3">
        <w:trPr>
          <w:cantSplit/>
          <w:trHeight w:hRule="exact" w:val="340"/>
        </w:trPr>
        <w:tc>
          <w:tcPr>
            <w:tcW w:w="3969" w:type="dxa"/>
            <w:hideMark/>
          </w:tcPr>
          <w:p w14:paraId="0746B6A5" w14:textId="77777777" w:rsidR="00DC5685" w:rsidRPr="00A34F10" w:rsidRDefault="00DC5685" w:rsidP="00E05ECD">
            <w:pPr>
              <w:numPr>
                <w:ilvl w:val="0"/>
                <w:numId w:val="69"/>
              </w:numPr>
              <w:tabs>
                <w:tab w:val="left" w:pos="255"/>
              </w:tabs>
              <w:spacing w:after="240"/>
              <w:contextualSpacing/>
              <w:rPr>
                <w:b/>
                <w:bCs/>
                <w:szCs w:val="24"/>
                <w:lang w:val="en-GB"/>
              </w:rPr>
            </w:pPr>
            <w:r w:rsidRPr="00A34F10">
              <w:rPr>
                <w:b/>
                <w:bCs/>
                <w:szCs w:val="24"/>
                <w:lang w:val="en-GB"/>
              </w:rPr>
              <w:t xml:space="preserve">Test </w:t>
            </w:r>
            <w:r w:rsidRPr="00A34F10">
              <w:rPr>
                <w:b/>
                <w:bCs/>
                <w:lang w:val="en-GB"/>
              </w:rPr>
              <w:t>item</w:t>
            </w:r>
            <w:r w:rsidRPr="00A34F10">
              <w:rPr>
                <w:b/>
                <w:bCs/>
                <w:szCs w:val="24"/>
                <w:lang w:val="en-GB"/>
              </w:rPr>
              <w:t>:</w:t>
            </w:r>
          </w:p>
        </w:tc>
        <w:tc>
          <w:tcPr>
            <w:tcW w:w="5381" w:type="dxa"/>
            <w:hideMark/>
          </w:tcPr>
          <w:p w14:paraId="3ED99ADA" w14:textId="77777777" w:rsidR="00DC5685" w:rsidRPr="00A34F10" w:rsidRDefault="00DC5685" w:rsidP="00DC5685">
            <w:pPr>
              <w:tabs>
                <w:tab w:val="left" w:pos="720"/>
              </w:tabs>
              <w:spacing w:after="240"/>
              <w:jc w:val="both"/>
              <w:rPr>
                <w:szCs w:val="24"/>
                <w:lang w:val="en-GB"/>
              </w:rPr>
            </w:pPr>
            <w:r w:rsidRPr="00A34F10">
              <w:rPr>
                <w:szCs w:val="24"/>
                <w:lang w:val="en-GB"/>
              </w:rPr>
              <w:t>BAS 743 02 F</w:t>
            </w:r>
          </w:p>
        </w:tc>
      </w:tr>
      <w:tr w:rsidR="00DC5685" w:rsidRPr="00A34F10" w14:paraId="77547C10" w14:textId="77777777" w:rsidTr="000470C3">
        <w:trPr>
          <w:cantSplit/>
          <w:trHeight w:hRule="exact" w:val="340"/>
        </w:trPr>
        <w:tc>
          <w:tcPr>
            <w:tcW w:w="3969" w:type="dxa"/>
            <w:hideMark/>
          </w:tcPr>
          <w:p w14:paraId="230F385D"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Description:</w:t>
            </w:r>
          </w:p>
        </w:tc>
        <w:tc>
          <w:tcPr>
            <w:tcW w:w="5381" w:type="dxa"/>
            <w:hideMark/>
          </w:tcPr>
          <w:p w14:paraId="19F21676" w14:textId="77777777" w:rsidR="00DC5685" w:rsidRPr="00A34F10" w:rsidRDefault="00DC5685" w:rsidP="00DC5685">
            <w:pPr>
              <w:tabs>
                <w:tab w:val="left" w:pos="720"/>
              </w:tabs>
              <w:spacing w:after="240"/>
              <w:jc w:val="both"/>
              <w:rPr>
                <w:szCs w:val="24"/>
                <w:lang w:val="en-GB"/>
              </w:rPr>
            </w:pPr>
            <w:r w:rsidRPr="00A34F10">
              <w:rPr>
                <w:szCs w:val="24"/>
                <w:lang w:val="en-GB"/>
              </w:rPr>
              <w:t>Liquid, soluble concentrate (SC)</w:t>
            </w:r>
          </w:p>
        </w:tc>
      </w:tr>
      <w:tr w:rsidR="00DC5685" w:rsidRPr="00A34F10" w14:paraId="62EBC86A" w14:textId="77777777" w:rsidTr="000470C3">
        <w:trPr>
          <w:cantSplit/>
          <w:trHeight w:hRule="exact" w:val="340"/>
        </w:trPr>
        <w:tc>
          <w:tcPr>
            <w:tcW w:w="3969" w:type="dxa"/>
            <w:hideMark/>
          </w:tcPr>
          <w:p w14:paraId="7F2871C9" w14:textId="77777777" w:rsidR="00DC5685" w:rsidRPr="00A34F10" w:rsidRDefault="00DC5685" w:rsidP="00DC5685">
            <w:pPr>
              <w:tabs>
                <w:tab w:val="left" w:pos="624"/>
              </w:tabs>
              <w:spacing w:after="240"/>
              <w:ind w:left="624"/>
              <w:rPr>
                <w:b/>
                <w:bCs/>
                <w:szCs w:val="24"/>
                <w:lang w:val="en-GB"/>
              </w:rPr>
            </w:pPr>
            <w:r w:rsidRPr="00A34F10">
              <w:rPr>
                <w:b/>
                <w:bCs/>
                <w:szCs w:val="24"/>
                <w:lang w:val="en-GB"/>
              </w:rPr>
              <w:t>Lot/Batch:</w:t>
            </w:r>
          </w:p>
        </w:tc>
        <w:tc>
          <w:tcPr>
            <w:tcW w:w="5381" w:type="dxa"/>
            <w:hideMark/>
          </w:tcPr>
          <w:p w14:paraId="4DA23583"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FRE-002224</w:t>
            </w:r>
          </w:p>
        </w:tc>
      </w:tr>
      <w:tr w:rsidR="00DC5685" w:rsidRPr="00A34F10" w14:paraId="74E0018A" w14:textId="77777777" w:rsidTr="000470C3">
        <w:trPr>
          <w:cantSplit/>
          <w:trHeight w:hRule="exact" w:val="566"/>
        </w:trPr>
        <w:tc>
          <w:tcPr>
            <w:tcW w:w="3969" w:type="dxa"/>
            <w:hideMark/>
          </w:tcPr>
          <w:p w14:paraId="0A7484F2" w14:textId="77777777" w:rsidR="00DC5685" w:rsidRPr="00A34F10" w:rsidRDefault="00DC5685" w:rsidP="00DC5685">
            <w:pPr>
              <w:tabs>
                <w:tab w:val="left" w:pos="624"/>
              </w:tabs>
              <w:spacing w:after="240"/>
              <w:ind w:left="624"/>
              <w:rPr>
                <w:b/>
                <w:bCs/>
                <w:szCs w:val="24"/>
                <w:lang w:val="en-GB"/>
              </w:rPr>
            </w:pPr>
            <w:r w:rsidRPr="00A34F10">
              <w:rPr>
                <w:b/>
                <w:bCs/>
                <w:szCs w:val="24"/>
                <w:lang w:val="en-GB"/>
              </w:rPr>
              <w:t>Active substance content:</w:t>
            </w:r>
          </w:p>
        </w:tc>
        <w:tc>
          <w:tcPr>
            <w:tcW w:w="5381" w:type="dxa"/>
            <w:hideMark/>
          </w:tcPr>
          <w:p w14:paraId="331CE3C0" w14:textId="77777777" w:rsidR="00DC5685" w:rsidRPr="00A34F10" w:rsidRDefault="00DC5685" w:rsidP="00DC5685">
            <w:pPr>
              <w:tabs>
                <w:tab w:val="left" w:pos="720"/>
              </w:tabs>
              <w:jc w:val="both"/>
              <w:rPr>
                <w:szCs w:val="24"/>
                <w:lang w:val="en-GB"/>
              </w:rPr>
            </w:pPr>
            <w:r w:rsidRPr="00A34F10">
              <w:rPr>
                <w:szCs w:val="24"/>
                <w:lang w:val="en-GB"/>
              </w:rPr>
              <w:t xml:space="preserve">Propamocarb: </w:t>
            </w:r>
            <w:r w:rsidRPr="00A34F10">
              <w:rPr>
                <w:szCs w:val="24"/>
              </w:rPr>
              <w:t>nominal 432.0 g/L, analysed 431.0 g/L;</w:t>
            </w:r>
          </w:p>
          <w:p w14:paraId="7659FA30" w14:textId="77777777" w:rsidR="00DC5685" w:rsidRPr="00A34F10" w:rsidRDefault="00DC5685" w:rsidP="00DC5685">
            <w:pPr>
              <w:tabs>
                <w:tab w:val="left" w:pos="720"/>
              </w:tabs>
              <w:jc w:val="both"/>
              <w:rPr>
                <w:szCs w:val="24"/>
                <w:highlight w:val="yellow"/>
                <w:lang w:val="en-GB"/>
              </w:rPr>
            </w:pPr>
            <w:r w:rsidRPr="00A34F10">
              <w:rPr>
                <w:szCs w:val="24"/>
                <w:lang w:val="en-GB"/>
              </w:rPr>
              <w:t xml:space="preserve">Ametoctradin: </w:t>
            </w:r>
            <w:r w:rsidRPr="00A34F10">
              <w:rPr>
                <w:szCs w:val="24"/>
              </w:rPr>
              <w:t>nominal 137.14 g/L, analysed 137.7 g/L</w:t>
            </w:r>
          </w:p>
        </w:tc>
      </w:tr>
      <w:tr w:rsidR="00DC5685" w:rsidRPr="00A34F10" w14:paraId="6381F1E3" w14:textId="77777777" w:rsidTr="000470C3">
        <w:trPr>
          <w:cantSplit/>
          <w:trHeight w:hRule="exact" w:val="340"/>
        </w:trPr>
        <w:tc>
          <w:tcPr>
            <w:tcW w:w="3969" w:type="dxa"/>
            <w:hideMark/>
          </w:tcPr>
          <w:p w14:paraId="50A7FFF2"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Density:</w:t>
            </w:r>
          </w:p>
        </w:tc>
        <w:tc>
          <w:tcPr>
            <w:tcW w:w="5381" w:type="dxa"/>
            <w:hideMark/>
          </w:tcPr>
          <w:p w14:paraId="5812C7A5" w14:textId="77777777" w:rsidR="00DC5685" w:rsidRPr="00A34F10" w:rsidRDefault="00DC5685" w:rsidP="00DC5685">
            <w:pPr>
              <w:tabs>
                <w:tab w:val="left" w:pos="720"/>
              </w:tabs>
              <w:spacing w:after="240"/>
              <w:jc w:val="both"/>
              <w:rPr>
                <w:szCs w:val="24"/>
                <w:lang w:val="en-GB"/>
              </w:rPr>
            </w:pPr>
            <w:r w:rsidRPr="00A34F10">
              <w:rPr>
                <w:szCs w:val="24"/>
                <w:lang w:val="en-GB"/>
              </w:rPr>
              <w:t>1.080 g/cm</w:t>
            </w:r>
            <w:r w:rsidRPr="00A34F10">
              <w:rPr>
                <w:szCs w:val="24"/>
                <w:vertAlign w:val="superscript"/>
                <w:lang w:val="en-GB"/>
              </w:rPr>
              <w:t>3</w:t>
            </w:r>
          </w:p>
        </w:tc>
      </w:tr>
      <w:tr w:rsidR="00DC5685" w:rsidRPr="00A34F10" w14:paraId="059EB937" w14:textId="77777777" w:rsidTr="000470C3">
        <w:trPr>
          <w:cantSplit/>
          <w:trHeight w:hRule="exact" w:val="340"/>
        </w:trPr>
        <w:tc>
          <w:tcPr>
            <w:tcW w:w="3969" w:type="dxa"/>
            <w:hideMark/>
          </w:tcPr>
          <w:p w14:paraId="0B296F5B" w14:textId="77777777" w:rsidR="00DC5685" w:rsidRPr="00A34F10" w:rsidRDefault="00DC5685" w:rsidP="00E05ECD">
            <w:pPr>
              <w:numPr>
                <w:ilvl w:val="0"/>
                <w:numId w:val="69"/>
              </w:numPr>
              <w:tabs>
                <w:tab w:val="left" w:pos="255"/>
              </w:tabs>
              <w:spacing w:after="240"/>
              <w:contextualSpacing/>
              <w:rPr>
                <w:b/>
                <w:bCs/>
                <w:szCs w:val="24"/>
                <w:lang w:val="en-GB"/>
              </w:rPr>
            </w:pPr>
            <w:r w:rsidRPr="00A34F10">
              <w:rPr>
                <w:b/>
                <w:bCs/>
                <w:lang w:val="en-GB"/>
              </w:rPr>
              <w:t>Control</w:t>
            </w:r>
            <w:r w:rsidRPr="00A34F10">
              <w:rPr>
                <w:b/>
                <w:bCs/>
                <w:szCs w:val="24"/>
                <w:lang w:val="en-GB"/>
              </w:rPr>
              <w:t>:</w:t>
            </w:r>
          </w:p>
        </w:tc>
        <w:tc>
          <w:tcPr>
            <w:tcW w:w="5381" w:type="dxa"/>
            <w:hideMark/>
          </w:tcPr>
          <w:p w14:paraId="4FA19A06" w14:textId="77777777" w:rsidR="00DC5685" w:rsidRPr="00A34F10" w:rsidRDefault="00DC5685" w:rsidP="00DC5685">
            <w:pPr>
              <w:tabs>
                <w:tab w:val="left" w:pos="720"/>
              </w:tabs>
              <w:spacing w:after="240"/>
              <w:rPr>
                <w:szCs w:val="24"/>
                <w:lang w:val="en-GB"/>
              </w:rPr>
            </w:pPr>
            <w:r w:rsidRPr="00A34F10">
              <w:rPr>
                <w:szCs w:val="24"/>
                <w:lang w:val="en-GB"/>
              </w:rPr>
              <w:t>Purified water</w:t>
            </w:r>
          </w:p>
        </w:tc>
      </w:tr>
      <w:tr w:rsidR="00DC5685" w:rsidRPr="00A34F10" w14:paraId="2017B12A" w14:textId="77777777" w:rsidTr="000470C3">
        <w:trPr>
          <w:cantSplit/>
          <w:trHeight w:hRule="exact" w:val="624"/>
        </w:trPr>
        <w:tc>
          <w:tcPr>
            <w:tcW w:w="3969" w:type="dxa"/>
            <w:hideMark/>
          </w:tcPr>
          <w:p w14:paraId="35342F13" w14:textId="77777777" w:rsidR="00DC5685" w:rsidRPr="00A34F10" w:rsidRDefault="00DC5685" w:rsidP="00E05ECD">
            <w:pPr>
              <w:numPr>
                <w:ilvl w:val="0"/>
                <w:numId w:val="69"/>
              </w:numPr>
              <w:tabs>
                <w:tab w:val="left" w:pos="255"/>
              </w:tabs>
              <w:spacing w:after="240"/>
              <w:contextualSpacing/>
              <w:rPr>
                <w:b/>
                <w:bCs/>
                <w:szCs w:val="24"/>
                <w:lang w:val="en-GB"/>
              </w:rPr>
            </w:pPr>
            <w:r w:rsidRPr="00A34F10">
              <w:rPr>
                <w:b/>
                <w:bCs/>
                <w:lang w:val="en-GB"/>
              </w:rPr>
              <w:t>Reference</w:t>
            </w:r>
            <w:r w:rsidRPr="00A34F10">
              <w:rPr>
                <w:b/>
                <w:bCs/>
                <w:szCs w:val="24"/>
                <w:lang w:val="en-GB"/>
              </w:rPr>
              <w:t xml:space="preserve"> item:</w:t>
            </w:r>
          </w:p>
        </w:tc>
        <w:tc>
          <w:tcPr>
            <w:tcW w:w="5381" w:type="dxa"/>
            <w:hideMark/>
          </w:tcPr>
          <w:p w14:paraId="2DFEB94E" w14:textId="77777777" w:rsidR="00DC5685" w:rsidRPr="00A34F10" w:rsidRDefault="00DC5685" w:rsidP="00DC5685">
            <w:pPr>
              <w:tabs>
                <w:tab w:val="left" w:pos="720"/>
              </w:tabs>
              <w:spacing w:after="240"/>
              <w:jc w:val="both"/>
              <w:rPr>
                <w:szCs w:val="24"/>
                <w:lang w:val="en-GB"/>
              </w:rPr>
            </w:pPr>
            <w:r w:rsidRPr="00A34F10">
              <w:rPr>
                <w:szCs w:val="24"/>
                <w:lang w:val="en-GB"/>
              </w:rPr>
              <w:t>DANADIM PROGRESS, a.s. dimethoate, nominal 400 g/L, measured 401.7 g/L</w:t>
            </w:r>
          </w:p>
        </w:tc>
      </w:tr>
    </w:tbl>
    <w:p w14:paraId="47F46B34" w14:textId="483A372C" w:rsidR="00772D00" w:rsidRPr="00A34F10" w:rsidRDefault="00772D00" w:rsidP="00DC5685">
      <w:pPr>
        <w:tabs>
          <w:tab w:val="left" w:pos="0"/>
        </w:tabs>
        <w:ind w:left="357" w:hanging="357"/>
        <w:contextualSpacing/>
        <w:rPr>
          <w:b/>
          <w:bCs/>
          <w:caps/>
          <w:szCs w:val="24"/>
          <w:highlight w:val="yellow"/>
          <w:lang w:val="en-GB"/>
        </w:rPr>
      </w:pPr>
    </w:p>
    <w:p w14:paraId="5F0B1BE6" w14:textId="77777777" w:rsidR="00DC5685" w:rsidRPr="00A34F10" w:rsidRDefault="00772D00" w:rsidP="00772D00">
      <w:pPr>
        <w:rPr>
          <w:highlight w:val="yellow"/>
          <w:lang w:val="en-GB"/>
        </w:rPr>
      </w:pPr>
      <w:r w:rsidRPr="00A34F10">
        <w:rPr>
          <w:highlight w:val="yellow"/>
          <w:lang w:val="en-GB"/>
        </w:rPr>
        <w:br w:type="page"/>
      </w:r>
    </w:p>
    <w:p w14:paraId="06C186A8"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lastRenderedPageBreak/>
        <w:t>B.</w:t>
      </w:r>
      <w:r w:rsidRPr="00A34F10">
        <w:rPr>
          <w:b/>
          <w:bCs/>
          <w:caps/>
          <w:szCs w:val="24"/>
          <w:lang w:val="en-GB"/>
        </w:rPr>
        <w:tab/>
        <w:t>study design and methods</w:t>
      </w:r>
    </w:p>
    <w:p w14:paraId="49578990" w14:textId="77777777" w:rsidR="00DC5685" w:rsidRPr="00A34F10" w:rsidRDefault="00DC5685" w:rsidP="00DC5685">
      <w:pPr>
        <w:tabs>
          <w:tab w:val="left" w:pos="0"/>
        </w:tabs>
        <w:ind w:left="357" w:hanging="357"/>
        <w:contextualSpacing/>
        <w:rPr>
          <w:b/>
          <w:bCs/>
          <w:caps/>
          <w:szCs w:val="24"/>
          <w:lang w:val="en-GB"/>
        </w:rPr>
      </w:pP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5FB1E6C1" w14:textId="77777777" w:rsidTr="000470C3">
        <w:trPr>
          <w:trHeight w:hRule="exact" w:val="614"/>
        </w:trPr>
        <w:tc>
          <w:tcPr>
            <w:tcW w:w="3969" w:type="dxa"/>
            <w:hideMark/>
          </w:tcPr>
          <w:p w14:paraId="3E452B6F" w14:textId="77777777" w:rsidR="00DC5685" w:rsidRPr="00A34F10" w:rsidRDefault="00DC5685" w:rsidP="00E05ECD">
            <w:pPr>
              <w:numPr>
                <w:ilvl w:val="0"/>
                <w:numId w:val="70"/>
              </w:numPr>
              <w:tabs>
                <w:tab w:val="left" w:pos="255"/>
              </w:tabs>
              <w:spacing w:after="240"/>
              <w:contextualSpacing/>
              <w:rPr>
                <w:b/>
                <w:bCs/>
                <w:szCs w:val="24"/>
                <w:lang w:val="en-GB"/>
              </w:rPr>
            </w:pPr>
            <w:r w:rsidRPr="00A34F10">
              <w:rPr>
                <w:b/>
                <w:bCs/>
                <w:szCs w:val="24"/>
                <w:lang w:val="en-GB"/>
              </w:rPr>
              <w:t>Test species:</w:t>
            </w:r>
          </w:p>
        </w:tc>
        <w:tc>
          <w:tcPr>
            <w:tcW w:w="5381" w:type="dxa"/>
            <w:hideMark/>
          </w:tcPr>
          <w:p w14:paraId="7EA01E28" w14:textId="77777777" w:rsidR="00DC5685" w:rsidRPr="00A34F10" w:rsidRDefault="00DC5685" w:rsidP="00DC5685">
            <w:pPr>
              <w:tabs>
                <w:tab w:val="left" w:pos="720"/>
              </w:tabs>
              <w:spacing w:after="240"/>
              <w:jc w:val="both"/>
              <w:rPr>
                <w:szCs w:val="24"/>
                <w:lang w:val="en-GB"/>
              </w:rPr>
            </w:pPr>
            <w:r w:rsidRPr="00A34F10">
              <w:rPr>
                <w:szCs w:val="24"/>
                <w:lang w:val="en-GB"/>
              </w:rPr>
              <w:t>Parasitic wasp</w:t>
            </w:r>
            <w:r w:rsidRPr="00A34F10">
              <w:rPr>
                <w:i/>
                <w:iCs/>
                <w:szCs w:val="24"/>
                <w:lang w:val="en-GB"/>
              </w:rPr>
              <w:t xml:space="preserve"> Aphidius rhopalosiphi </w:t>
            </w:r>
            <w:r w:rsidRPr="00A34F10">
              <w:rPr>
                <w:szCs w:val="24"/>
                <w:lang w:val="en-GB"/>
              </w:rPr>
              <w:t>(Destephani-Perez)</w:t>
            </w:r>
            <w:r w:rsidRPr="00A34F10">
              <w:rPr>
                <w:i/>
                <w:iCs/>
                <w:szCs w:val="24"/>
                <w:lang w:val="en-GB"/>
              </w:rPr>
              <w:t xml:space="preserve"> </w:t>
            </w:r>
            <w:r w:rsidRPr="00A34F10">
              <w:rPr>
                <w:szCs w:val="24"/>
                <w:lang w:val="en-GB"/>
              </w:rPr>
              <w:t>(Hymenoptera, Braconidae)</w:t>
            </w:r>
          </w:p>
        </w:tc>
      </w:tr>
      <w:tr w:rsidR="00DC5685" w:rsidRPr="00A34F10" w14:paraId="3BE6DC87" w14:textId="77777777" w:rsidTr="000470C3">
        <w:trPr>
          <w:trHeight w:hRule="exact" w:val="397"/>
        </w:trPr>
        <w:tc>
          <w:tcPr>
            <w:tcW w:w="3969" w:type="dxa"/>
            <w:hideMark/>
          </w:tcPr>
          <w:p w14:paraId="46EE6EA0"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Age/life stage: </w:t>
            </w:r>
          </w:p>
        </w:tc>
        <w:tc>
          <w:tcPr>
            <w:tcW w:w="5381" w:type="dxa"/>
            <w:hideMark/>
          </w:tcPr>
          <w:p w14:paraId="4416DB46" w14:textId="77777777" w:rsidR="00DC5685" w:rsidRPr="00A34F10" w:rsidRDefault="00DC5685" w:rsidP="00DC5685">
            <w:pPr>
              <w:tabs>
                <w:tab w:val="left" w:pos="720"/>
              </w:tabs>
              <w:spacing w:after="240"/>
              <w:jc w:val="both"/>
              <w:rPr>
                <w:szCs w:val="24"/>
                <w:lang w:val="en-GB"/>
              </w:rPr>
            </w:pPr>
            <w:r w:rsidRPr="00A34F10">
              <w:rPr>
                <w:szCs w:val="24"/>
                <w:lang w:val="en-GB"/>
              </w:rPr>
              <w:t>Adults &lt;48 hours old at test start</w:t>
            </w:r>
          </w:p>
        </w:tc>
      </w:tr>
      <w:tr w:rsidR="00DC5685" w:rsidRPr="00A34F10" w14:paraId="3FB3E897" w14:textId="77777777" w:rsidTr="000470C3">
        <w:trPr>
          <w:trHeight w:hRule="exact" w:val="810"/>
        </w:trPr>
        <w:tc>
          <w:tcPr>
            <w:tcW w:w="3969" w:type="dxa"/>
            <w:hideMark/>
          </w:tcPr>
          <w:p w14:paraId="22A7078D" w14:textId="77777777" w:rsidR="00DC5685" w:rsidRPr="00A34F10" w:rsidRDefault="00DC5685" w:rsidP="00DC5685">
            <w:pPr>
              <w:tabs>
                <w:tab w:val="left" w:pos="624"/>
              </w:tabs>
              <w:spacing w:after="240"/>
              <w:ind w:left="624"/>
              <w:rPr>
                <w:b/>
                <w:bCs/>
                <w:szCs w:val="24"/>
                <w:lang w:val="en-GB"/>
              </w:rPr>
            </w:pPr>
            <w:r w:rsidRPr="00A34F10">
              <w:rPr>
                <w:b/>
                <w:bCs/>
                <w:szCs w:val="24"/>
                <w:lang w:val="en-GB"/>
              </w:rPr>
              <w:t>Source:</w:t>
            </w:r>
          </w:p>
        </w:tc>
        <w:tc>
          <w:tcPr>
            <w:tcW w:w="5381" w:type="dxa"/>
            <w:hideMark/>
          </w:tcPr>
          <w:p w14:paraId="7CD98443" w14:textId="77777777" w:rsidR="00DC5685" w:rsidRPr="00A34F10" w:rsidRDefault="00DC5685" w:rsidP="00DC5685">
            <w:pPr>
              <w:tabs>
                <w:tab w:val="left" w:pos="720"/>
              </w:tabs>
              <w:spacing w:after="240"/>
              <w:jc w:val="both"/>
              <w:rPr>
                <w:szCs w:val="24"/>
                <w:highlight w:val="yellow"/>
                <w:lang w:val="en-GB"/>
              </w:rPr>
            </w:pPr>
            <w:r w:rsidRPr="00A34F10">
              <w:rPr>
                <w:szCs w:val="24"/>
              </w:rPr>
              <w:t xml:space="preserve">Purchased from “Katz Biotech AG”, An der Birkenpfuhlheide 10, 15837 Baruth, Germany, </w:t>
            </w:r>
            <w:r w:rsidRPr="00A34F10">
              <w:rPr>
                <w:szCs w:val="24"/>
                <w:lang w:val="en-GB"/>
              </w:rPr>
              <w:t>(in the stage of mummies)</w:t>
            </w:r>
          </w:p>
        </w:tc>
      </w:tr>
      <w:tr w:rsidR="00DC5685" w:rsidRPr="00A34F10" w14:paraId="1A53D4D7" w14:textId="77777777" w:rsidTr="000470C3">
        <w:trPr>
          <w:trHeight w:hRule="exact" w:val="540"/>
        </w:trPr>
        <w:tc>
          <w:tcPr>
            <w:tcW w:w="3969" w:type="dxa"/>
            <w:hideMark/>
          </w:tcPr>
          <w:p w14:paraId="73EEB235"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Diet: </w:t>
            </w:r>
          </w:p>
        </w:tc>
        <w:tc>
          <w:tcPr>
            <w:tcW w:w="5381" w:type="dxa"/>
            <w:hideMark/>
          </w:tcPr>
          <w:p w14:paraId="273794CA"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Cotton wool soaked with a 1:3 v/v solution of honey and water using capillary force</w:t>
            </w:r>
          </w:p>
        </w:tc>
      </w:tr>
      <w:tr w:rsidR="00DC5685" w:rsidRPr="00A34F10" w14:paraId="423B3863" w14:textId="77777777" w:rsidTr="000470C3">
        <w:trPr>
          <w:trHeight w:hRule="exact" w:val="5340"/>
        </w:trPr>
        <w:tc>
          <w:tcPr>
            <w:tcW w:w="3969" w:type="dxa"/>
            <w:hideMark/>
          </w:tcPr>
          <w:p w14:paraId="1D18EC36" w14:textId="77777777" w:rsidR="00DC5685" w:rsidRPr="00A34F10" w:rsidRDefault="00DC5685" w:rsidP="00E05ECD">
            <w:pPr>
              <w:numPr>
                <w:ilvl w:val="0"/>
                <w:numId w:val="70"/>
              </w:numPr>
              <w:tabs>
                <w:tab w:val="left" w:pos="255"/>
              </w:tabs>
              <w:spacing w:after="240"/>
              <w:contextualSpacing/>
              <w:rPr>
                <w:b/>
                <w:bCs/>
                <w:szCs w:val="24"/>
                <w:lang w:val="en-GB"/>
              </w:rPr>
            </w:pPr>
            <w:r w:rsidRPr="00A34F10">
              <w:rPr>
                <w:b/>
                <w:bCs/>
                <w:szCs w:val="24"/>
                <w:lang w:val="en-GB"/>
              </w:rPr>
              <w:t>Test units:</w:t>
            </w:r>
          </w:p>
        </w:tc>
        <w:tc>
          <w:tcPr>
            <w:tcW w:w="5381" w:type="dxa"/>
            <w:hideMark/>
          </w:tcPr>
          <w:p w14:paraId="602A9E9E" w14:textId="77777777" w:rsidR="00DC5685" w:rsidRPr="00A34F10" w:rsidRDefault="00DC5685" w:rsidP="00DC5685">
            <w:pPr>
              <w:tabs>
                <w:tab w:val="left" w:pos="720"/>
              </w:tabs>
              <w:jc w:val="both"/>
              <w:rPr>
                <w:szCs w:val="24"/>
                <w:lang w:val="en-GB"/>
              </w:rPr>
            </w:pPr>
            <w:r w:rsidRPr="00A34F10">
              <w:rPr>
                <w:szCs w:val="24"/>
                <w:u w:val="single"/>
                <w:lang w:val="en-GB"/>
              </w:rPr>
              <w:t>Mortality assessment:</w:t>
            </w:r>
            <w:r w:rsidRPr="00A34F10">
              <w:rPr>
                <w:szCs w:val="24"/>
                <w:lang w:val="en-GB"/>
              </w:rPr>
              <w:t xml:space="preserve"> test arena, made of 2 square glass plates (13 cm × 13 cm), held apart by an aluminium frame (13 cm × 13 cm × 1.4 cm) with gauze covered holes for forced air ventilation (blowing air; flow rate: 2.5 L/min). Both glass plates were fitted with the treated surface inwards directed onto a square aluminium frame as floor and ceiling. Three sides of the frame contained six ventilation holes each (1 cm diameter). The inside surface of the frame was coated with black tight cotton material to seal the ventilation holes. The fourth side of the frame contained an oval hole which was used for the introduction of the wasps and closed from the outside with black paper and adhesive tape. </w:t>
            </w:r>
          </w:p>
          <w:p w14:paraId="5E140CC8" w14:textId="77777777" w:rsidR="00DC5685" w:rsidRPr="00A34F10" w:rsidRDefault="00DC5685" w:rsidP="00DC5685">
            <w:pPr>
              <w:tabs>
                <w:tab w:val="left" w:pos="720"/>
              </w:tabs>
              <w:jc w:val="both"/>
              <w:rPr>
                <w:szCs w:val="24"/>
                <w:highlight w:val="yellow"/>
                <w:lang w:val="en-GB"/>
              </w:rPr>
            </w:pPr>
            <w:r w:rsidRPr="00A34F10">
              <w:rPr>
                <w:szCs w:val="24"/>
                <w:u w:val="single"/>
                <w:lang w:val="en-GB"/>
              </w:rPr>
              <w:t>Reproduction assessment</w:t>
            </w:r>
            <w:r w:rsidRPr="00A34F10">
              <w:rPr>
                <w:szCs w:val="24"/>
                <w:lang w:val="en-GB"/>
              </w:rPr>
              <w:t xml:space="preserve">: acrylic cylinders (about 11 cm Ø, 20 cm high), containing a pot grown with wheat seedlings and itself infested with &gt; 100 adult and nymphal aphids of </w:t>
            </w:r>
            <w:r w:rsidRPr="00A34F10">
              <w:rPr>
                <w:i/>
                <w:iCs/>
                <w:szCs w:val="24"/>
                <w:lang w:val="en-GB"/>
              </w:rPr>
              <w:t xml:space="preserve">Rhopalosiphum padi </w:t>
            </w:r>
            <w:r w:rsidRPr="00A34F10">
              <w:rPr>
                <w:szCs w:val="24"/>
                <w:lang w:val="en-GB"/>
              </w:rPr>
              <w:t>and covered with gauze at the top of the cylinder.</w:t>
            </w:r>
          </w:p>
        </w:tc>
      </w:tr>
      <w:tr w:rsidR="00DC5685" w:rsidRPr="00A34F10" w14:paraId="57AEB6EB" w14:textId="77777777" w:rsidTr="000470C3">
        <w:trPr>
          <w:trHeight w:hRule="exact" w:val="340"/>
        </w:trPr>
        <w:tc>
          <w:tcPr>
            <w:tcW w:w="3969" w:type="dxa"/>
            <w:hideMark/>
          </w:tcPr>
          <w:p w14:paraId="74EEFEBC" w14:textId="77777777" w:rsidR="00DC5685" w:rsidRPr="00A34F10" w:rsidRDefault="00DC5685" w:rsidP="00E05ECD">
            <w:pPr>
              <w:numPr>
                <w:ilvl w:val="0"/>
                <w:numId w:val="70"/>
              </w:numPr>
              <w:tabs>
                <w:tab w:val="left" w:pos="255"/>
              </w:tabs>
              <w:spacing w:after="240"/>
              <w:contextualSpacing/>
              <w:rPr>
                <w:b/>
                <w:bCs/>
                <w:szCs w:val="24"/>
                <w:lang w:val="en-GB"/>
              </w:rPr>
            </w:pPr>
            <w:r w:rsidRPr="00A34F10">
              <w:rPr>
                <w:b/>
                <w:bCs/>
                <w:szCs w:val="24"/>
                <w:lang w:val="en-GB"/>
              </w:rPr>
              <w:t>Environmental conditions</w:t>
            </w:r>
          </w:p>
        </w:tc>
        <w:tc>
          <w:tcPr>
            <w:tcW w:w="5381" w:type="dxa"/>
          </w:tcPr>
          <w:p w14:paraId="0FAF6B29" w14:textId="77777777" w:rsidR="00DC5685" w:rsidRPr="00A34F10" w:rsidRDefault="00DC5685" w:rsidP="00DC5685">
            <w:pPr>
              <w:tabs>
                <w:tab w:val="left" w:pos="720"/>
              </w:tabs>
              <w:spacing w:after="240"/>
              <w:jc w:val="both"/>
              <w:rPr>
                <w:szCs w:val="24"/>
                <w:lang w:val="en-GB"/>
              </w:rPr>
            </w:pPr>
          </w:p>
        </w:tc>
      </w:tr>
      <w:tr w:rsidR="00DC5685" w:rsidRPr="00A34F10" w14:paraId="0F5C273E" w14:textId="77777777" w:rsidTr="000470C3">
        <w:trPr>
          <w:trHeight w:hRule="exact" w:val="340"/>
        </w:trPr>
        <w:tc>
          <w:tcPr>
            <w:tcW w:w="3969" w:type="dxa"/>
            <w:hideMark/>
          </w:tcPr>
          <w:p w14:paraId="64AC49F5" w14:textId="77777777" w:rsidR="00DC5685" w:rsidRPr="00A34F10" w:rsidRDefault="00DC5685" w:rsidP="00DC5685">
            <w:pPr>
              <w:tabs>
                <w:tab w:val="left" w:pos="624"/>
              </w:tabs>
              <w:spacing w:after="240"/>
              <w:ind w:left="624"/>
              <w:rPr>
                <w:b/>
                <w:bCs/>
                <w:szCs w:val="24"/>
                <w:lang w:val="en-GB"/>
              </w:rPr>
            </w:pPr>
            <w:r w:rsidRPr="00A34F10">
              <w:rPr>
                <w:b/>
                <w:bCs/>
                <w:szCs w:val="24"/>
                <w:lang w:val="en-GB"/>
              </w:rPr>
              <w:t>Temperature:</w:t>
            </w:r>
          </w:p>
        </w:tc>
        <w:tc>
          <w:tcPr>
            <w:tcW w:w="5381" w:type="dxa"/>
            <w:hideMark/>
          </w:tcPr>
          <w:p w14:paraId="409E2E1F" w14:textId="77777777" w:rsidR="00DC5685" w:rsidRPr="00A34F10" w:rsidRDefault="00DC5685" w:rsidP="00DC5685">
            <w:pPr>
              <w:tabs>
                <w:tab w:val="left" w:pos="720"/>
              </w:tabs>
              <w:spacing w:after="240"/>
              <w:jc w:val="both"/>
              <w:rPr>
                <w:szCs w:val="24"/>
                <w:lang w:val="en-GB"/>
              </w:rPr>
            </w:pPr>
            <w:r w:rsidRPr="00A34F10">
              <w:rPr>
                <w:szCs w:val="24"/>
                <w:lang w:val="en-GB"/>
              </w:rPr>
              <w:t>20 – 22°C</w:t>
            </w:r>
          </w:p>
        </w:tc>
      </w:tr>
      <w:tr w:rsidR="00DC5685" w:rsidRPr="00A34F10" w14:paraId="46BE9F99" w14:textId="77777777" w:rsidTr="000470C3">
        <w:trPr>
          <w:trHeight w:hRule="exact" w:val="340"/>
        </w:trPr>
        <w:tc>
          <w:tcPr>
            <w:tcW w:w="3969" w:type="dxa"/>
            <w:hideMark/>
          </w:tcPr>
          <w:p w14:paraId="5D5A300A" w14:textId="77777777" w:rsidR="00DC5685" w:rsidRPr="00A34F10" w:rsidRDefault="00DC5685" w:rsidP="00DC5685">
            <w:pPr>
              <w:tabs>
                <w:tab w:val="left" w:pos="624"/>
              </w:tabs>
              <w:spacing w:after="240"/>
              <w:ind w:left="624"/>
              <w:rPr>
                <w:b/>
                <w:bCs/>
                <w:szCs w:val="24"/>
                <w:lang w:val="en-GB"/>
              </w:rPr>
            </w:pPr>
            <w:r w:rsidRPr="00A34F10">
              <w:rPr>
                <w:b/>
                <w:bCs/>
                <w:szCs w:val="24"/>
                <w:lang w:val="en-GB"/>
              </w:rPr>
              <w:t>Relative humidity:</w:t>
            </w:r>
          </w:p>
        </w:tc>
        <w:tc>
          <w:tcPr>
            <w:tcW w:w="5381" w:type="dxa"/>
            <w:hideMark/>
          </w:tcPr>
          <w:p w14:paraId="67F1EA83" w14:textId="77777777" w:rsidR="00DC5685" w:rsidRPr="00A34F10" w:rsidRDefault="00DC5685" w:rsidP="00DC5685">
            <w:pPr>
              <w:tabs>
                <w:tab w:val="left" w:pos="720"/>
              </w:tabs>
              <w:spacing w:after="240"/>
              <w:jc w:val="both"/>
              <w:rPr>
                <w:szCs w:val="24"/>
                <w:lang w:val="en-GB"/>
              </w:rPr>
            </w:pPr>
            <w:r w:rsidRPr="00A34F10">
              <w:rPr>
                <w:szCs w:val="24"/>
                <w:lang w:val="en-GB"/>
              </w:rPr>
              <w:t>66 – 74%</w:t>
            </w:r>
          </w:p>
        </w:tc>
      </w:tr>
      <w:tr w:rsidR="00DC5685" w:rsidRPr="00A34F10" w14:paraId="737C7B35" w14:textId="77777777" w:rsidTr="000470C3">
        <w:trPr>
          <w:trHeight w:hRule="exact" w:val="668"/>
        </w:trPr>
        <w:tc>
          <w:tcPr>
            <w:tcW w:w="3969" w:type="dxa"/>
            <w:hideMark/>
          </w:tcPr>
          <w:p w14:paraId="19FD7BAA" w14:textId="77777777" w:rsidR="00DC5685" w:rsidRPr="00A34F10" w:rsidRDefault="00DC5685" w:rsidP="00DC5685">
            <w:pPr>
              <w:tabs>
                <w:tab w:val="left" w:pos="624"/>
              </w:tabs>
              <w:spacing w:after="240"/>
              <w:ind w:left="624"/>
              <w:rPr>
                <w:b/>
                <w:bCs/>
                <w:szCs w:val="24"/>
                <w:lang w:val="en-GB"/>
              </w:rPr>
            </w:pPr>
            <w:r w:rsidRPr="00A34F10">
              <w:rPr>
                <w:b/>
                <w:bCs/>
                <w:szCs w:val="24"/>
                <w:lang w:val="en-GB"/>
              </w:rPr>
              <w:t>Photoperiod:</w:t>
            </w:r>
          </w:p>
        </w:tc>
        <w:tc>
          <w:tcPr>
            <w:tcW w:w="5381" w:type="dxa"/>
            <w:hideMark/>
          </w:tcPr>
          <w:p w14:paraId="2C7DDC63" w14:textId="77777777" w:rsidR="00DC5685" w:rsidRPr="00A34F10" w:rsidRDefault="00DC5685" w:rsidP="00DC5685">
            <w:pPr>
              <w:tabs>
                <w:tab w:val="left" w:pos="720"/>
              </w:tabs>
              <w:jc w:val="both"/>
              <w:rPr>
                <w:szCs w:val="24"/>
                <w:lang w:val="en-GB"/>
              </w:rPr>
            </w:pPr>
            <w:r w:rsidRPr="00A34F10">
              <w:rPr>
                <w:szCs w:val="24"/>
                <w:lang w:val="en-GB"/>
              </w:rPr>
              <w:t>16 h light : 8 h dark; 1050 lux (exposure phase), 2670 lux (parasitisation phase), 6520 lux (reproduction phase)</w:t>
            </w:r>
          </w:p>
        </w:tc>
      </w:tr>
    </w:tbl>
    <w:p w14:paraId="098F97C5" w14:textId="77777777" w:rsidR="00DC5685" w:rsidRPr="00A34F10" w:rsidRDefault="00DC5685" w:rsidP="00DC5685">
      <w:pPr>
        <w:tabs>
          <w:tab w:val="left" w:pos="0"/>
        </w:tabs>
        <w:ind w:left="360" w:hanging="360"/>
        <w:contextualSpacing/>
        <w:rPr>
          <w:b/>
          <w:bCs/>
          <w:szCs w:val="24"/>
          <w:lang w:val="en-GB"/>
        </w:rPr>
      </w:pPr>
    </w:p>
    <w:p w14:paraId="64BE0940" w14:textId="77777777" w:rsidR="00DC5685" w:rsidRPr="00A34F10" w:rsidRDefault="00DC5685" w:rsidP="00E05ECD">
      <w:pPr>
        <w:numPr>
          <w:ilvl w:val="0"/>
          <w:numId w:val="71"/>
        </w:numPr>
        <w:spacing w:before="240"/>
        <w:ind w:left="357" w:hanging="357"/>
        <w:contextualSpacing/>
        <w:rPr>
          <w:b/>
          <w:bCs/>
          <w:szCs w:val="24"/>
          <w:lang w:val="en-GB"/>
        </w:rPr>
      </w:pPr>
      <w:r w:rsidRPr="00A34F10">
        <w:rPr>
          <w:b/>
          <w:bCs/>
          <w:szCs w:val="24"/>
          <w:lang w:val="en-GB"/>
        </w:rPr>
        <w:t xml:space="preserve">Test organism and treatment: </w:t>
      </w:r>
    </w:p>
    <w:p w14:paraId="6975CE4A" w14:textId="02A7672C" w:rsidR="003B6941" w:rsidRDefault="00DC5685" w:rsidP="00DC5685">
      <w:pPr>
        <w:tabs>
          <w:tab w:val="left" w:pos="720"/>
        </w:tabs>
        <w:spacing w:after="240"/>
        <w:jc w:val="both"/>
        <w:rPr>
          <w:szCs w:val="24"/>
          <w:lang w:val="en-GB"/>
        </w:rPr>
      </w:pPr>
      <w:r w:rsidRPr="00A34F10">
        <w:rPr>
          <w:szCs w:val="24"/>
          <w:lang w:val="en-GB"/>
        </w:rPr>
        <w:t>The study comprised seven treatment groups; five nominal application rates of the test item, a water control and a toxic reference. There were four replicate arenas per treatment, each containing 10 wasps with seven females and three males per replicate (i.e. a total of 40 per treatment). The test item rates and their respective active substance contents are summarised in</w:t>
      </w:r>
      <w:r w:rsidR="003B6941">
        <w:rPr>
          <w:szCs w:val="24"/>
          <w:lang w:val="en-GB"/>
        </w:rPr>
        <w:t xml:space="preserve"> </w:t>
      </w:r>
      <w:r w:rsidR="003B6941">
        <w:rPr>
          <w:szCs w:val="24"/>
          <w:lang w:val="en-GB"/>
        </w:rPr>
        <w:fldChar w:fldCharType="begin"/>
      </w:r>
      <w:r w:rsidR="003B6941">
        <w:rPr>
          <w:szCs w:val="24"/>
          <w:lang w:val="en-GB"/>
        </w:rPr>
        <w:instrText xml:space="preserve"> REF _Ref147911033 \h </w:instrText>
      </w:r>
      <w:r w:rsidR="003B6941">
        <w:rPr>
          <w:szCs w:val="24"/>
          <w:lang w:val="en-GB"/>
        </w:rPr>
      </w:r>
      <w:r w:rsidR="003B6941">
        <w:rPr>
          <w:szCs w:val="24"/>
          <w:lang w:val="en-GB"/>
        </w:rPr>
        <w:fldChar w:fldCharType="separate"/>
      </w:r>
      <w:r w:rsidR="006F0F3B">
        <w:t xml:space="preserve">Table A </w:t>
      </w:r>
      <w:r w:rsidR="006F0F3B">
        <w:rPr>
          <w:noProof/>
        </w:rPr>
        <w:t>64</w:t>
      </w:r>
      <w:r w:rsidR="003B6941">
        <w:rPr>
          <w:szCs w:val="24"/>
          <w:lang w:val="en-GB"/>
        </w:rPr>
        <w:fldChar w:fldCharType="end"/>
      </w:r>
      <w:r w:rsidRPr="00A34F10">
        <w:rPr>
          <w:szCs w:val="24"/>
          <w:lang w:val="en-GB"/>
        </w:rPr>
        <w:t xml:space="preserve">. </w:t>
      </w:r>
    </w:p>
    <w:p w14:paraId="6777D841" w14:textId="2B12BDD8" w:rsidR="00DC5685" w:rsidRPr="00A34F10" w:rsidRDefault="003B6941" w:rsidP="003B6941">
      <w:pPr>
        <w:pStyle w:val="Legenda"/>
      </w:pPr>
      <w:bookmarkStart w:id="1126" w:name="_Ref147911033"/>
      <w:r>
        <w:t xml:space="preserve">Table A </w:t>
      </w:r>
      <w:r>
        <w:fldChar w:fldCharType="begin"/>
      </w:r>
      <w:r>
        <w:instrText xml:space="preserve"> SEQ Table_A \* ARABIC </w:instrText>
      </w:r>
      <w:r>
        <w:fldChar w:fldCharType="separate"/>
      </w:r>
      <w:r w:rsidR="006F0F3B">
        <w:rPr>
          <w:noProof/>
        </w:rPr>
        <w:t>64</w:t>
      </w:r>
      <w:r>
        <w:fldChar w:fldCharType="end"/>
      </w:r>
      <w:bookmarkEnd w:id="1126"/>
      <w:r w:rsidR="00DC5685" w:rsidRPr="00A34F10">
        <w:t>:</w:t>
      </w:r>
      <w:r w:rsidR="00772D00" w:rsidRPr="00A34F10">
        <w:tab/>
      </w:r>
      <w:r w:rsidR="00DC5685" w:rsidRPr="00A34F10">
        <w:t xml:space="preserve"> Test item rates and active substance content </w:t>
      </w:r>
    </w:p>
    <w:tbl>
      <w:tblPr>
        <w:tblStyle w:val="TableGrid42"/>
        <w:tblW w:w="5000" w:type="pct"/>
        <w:tblLook w:val="04A0" w:firstRow="1" w:lastRow="0" w:firstColumn="1" w:lastColumn="0" w:noHBand="0" w:noVBand="1"/>
      </w:tblPr>
      <w:tblGrid>
        <w:gridCol w:w="3114"/>
        <w:gridCol w:w="3115"/>
        <w:gridCol w:w="3115"/>
      </w:tblGrid>
      <w:tr w:rsidR="00DC5685" w:rsidRPr="00A34F10" w14:paraId="465CB4A8" w14:textId="77777777" w:rsidTr="000470C3">
        <w:trPr>
          <w:trHeight w:hRule="exact" w:val="510"/>
          <w:tblHeader/>
        </w:trPr>
        <w:tc>
          <w:tcPr>
            <w:tcW w:w="1666" w:type="pct"/>
            <w:tcBorders>
              <w:top w:val="single" w:sz="4" w:space="0" w:color="auto"/>
              <w:left w:val="single" w:sz="4" w:space="0" w:color="auto"/>
              <w:bottom w:val="single" w:sz="4" w:space="0" w:color="auto"/>
              <w:right w:val="single" w:sz="4" w:space="0" w:color="auto"/>
            </w:tcBorders>
            <w:hideMark/>
          </w:tcPr>
          <w:p w14:paraId="7BB01A9D" w14:textId="77777777" w:rsidR="00DC5685" w:rsidRPr="00A34F10" w:rsidRDefault="00DC5685" w:rsidP="00DC5685">
            <w:pPr>
              <w:tabs>
                <w:tab w:val="left" w:pos="720"/>
              </w:tabs>
              <w:jc w:val="center"/>
              <w:rPr>
                <w:b/>
                <w:bCs/>
                <w:lang w:val="en-GB"/>
              </w:rPr>
            </w:pPr>
            <w:r w:rsidRPr="00A34F10">
              <w:rPr>
                <w:b/>
                <w:bCs/>
                <w:sz w:val="20"/>
                <w:szCs w:val="20"/>
                <w:lang w:val="en-GB"/>
              </w:rPr>
              <w:t>BAS 743 02 F</w:t>
            </w:r>
            <w:r w:rsidRPr="00A34F10">
              <w:rPr>
                <w:b/>
                <w:bCs/>
                <w:sz w:val="20"/>
                <w:szCs w:val="20"/>
                <w:lang w:val="en-GB"/>
              </w:rPr>
              <w:br/>
              <w:t>(L product/ha)</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DF9F38B" w14:textId="77777777" w:rsidR="00DC5685" w:rsidRPr="00A34F10" w:rsidRDefault="00DC5685" w:rsidP="00DC5685">
            <w:pPr>
              <w:tabs>
                <w:tab w:val="left" w:pos="720"/>
              </w:tabs>
              <w:jc w:val="center"/>
              <w:rPr>
                <w:b/>
                <w:bCs/>
                <w:sz w:val="20"/>
                <w:szCs w:val="20"/>
                <w:lang w:val="es-ES"/>
              </w:rPr>
            </w:pPr>
            <w:r w:rsidRPr="00A34F10">
              <w:rPr>
                <w:b/>
                <w:bCs/>
                <w:sz w:val="20"/>
                <w:szCs w:val="20"/>
                <w:lang w:val="es-ES"/>
              </w:rPr>
              <w:t>Propamocarb</w:t>
            </w:r>
          </w:p>
          <w:p w14:paraId="6900F4BC" w14:textId="77777777" w:rsidR="00DC5685" w:rsidRPr="00A34F10" w:rsidRDefault="00DC5685" w:rsidP="00DC5685">
            <w:pPr>
              <w:tabs>
                <w:tab w:val="left" w:pos="720"/>
              </w:tabs>
              <w:jc w:val="center"/>
              <w:rPr>
                <w:b/>
                <w:bCs/>
                <w:lang w:val="es-ES"/>
              </w:rPr>
            </w:pPr>
            <w:r w:rsidRPr="00A34F10">
              <w:rPr>
                <w:b/>
                <w:bCs/>
                <w:sz w:val="20"/>
                <w:szCs w:val="20"/>
                <w:lang w:val="es-ES"/>
              </w:rPr>
              <w:t xml:space="preserve"> (g a.s./ha)</w:t>
            </w:r>
            <w:r w:rsidRPr="00A34F10">
              <w:rPr>
                <w:b/>
                <w:bCs/>
                <w:sz w:val="20"/>
                <w:szCs w:val="20"/>
                <w:vertAlign w:val="superscript"/>
                <w:lang w:val="es-ES"/>
              </w:rPr>
              <w:t>1</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4B9B6F2"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Ametoctradin</w:t>
            </w:r>
          </w:p>
          <w:p w14:paraId="43AC5C46" w14:textId="77777777" w:rsidR="00DC5685" w:rsidRPr="00A34F10" w:rsidRDefault="00DC5685" w:rsidP="00DC5685">
            <w:pPr>
              <w:tabs>
                <w:tab w:val="left" w:pos="720"/>
              </w:tabs>
              <w:jc w:val="center"/>
              <w:rPr>
                <w:b/>
                <w:bCs/>
                <w:lang w:val="en-GB"/>
              </w:rPr>
            </w:pPr>
            <w:r w:rsidRPr="00A34F10">
              <w:rPr>
                <w:b/>
                <w:bCs/>
                <w:sz w:val="20"/>
                <w:szCs w:val="20"/>
                <w:lang w:val="en-GB"/>
              </w:rPr>
              <w:t>(g a.s./ha)</w:t>
            </w:r>
            <w:r w:rsidRPr="00A34F10">
              <w:rPr>
                <w:b/>
                <w:bCs/>
                <w:sz w:val="20"/>
                <w:szCs w:val="20"/>
                <w:vertAlign w:val="superscript"/>
                <w:lang w:val="en-GB"/>
              </w:rPr>
              <w:t>1</w:t>
            </w:r>
          </w:p>
        </w:tc>
      </w:tr>
      <w:tr w:rsidR="00DC5685" w:rsidRPr="00A34F10" w14:paraId="5B422FD1"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6D8B78F4" w14:textId="77777777" w:rsidR="00DC5685" w:rsidRPr="00A34F10" w:rsidRDefault="00DC5685" w:rsidP="00DC5685">
            <w:pPr>
              <w:tabs>
                <w:tab w:val="left" w:pos="720"/>
              </w:tabs>
              <w:jc w:val="center"/>
              <w:rPr>
                <w:sz w:val="20"/>
                <w:szCs w:val="20"/>
                <w:lang w:val="en-GB"/>
              </w:rPr>
            </w:pPr>
            <w:r w:rsidRPr="00A34F10">
              <w:rPr>
                <w:sz w:val="20"/>
                <w:szCs w:val="20"/>
              </w:rPr>
              <w:t>0.1875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AAC265F" w14:textId="77777777" w:rsidR="00DC5685" w:rsidRPr="00A34F10" w:rsidRDefault="00DC5685" w:rsidP="00DC5685">
            <w:pPr>
              <w:tabs>
                <w:tab w:val="left" w:pos="720"/>
              </w:tabs>
              <w:jc w:val="center"/>
              <w:rPr>
                <w:sz w:val="20"/>
                <w:szCs w:val="20"/>
                <w:lang w:val="en-GB"/>
              </w:rPr>
            </w:pPr>
            <w:r w:rsidRPr="00A34F10">
              <w:rPr>
                <w:sz w:val="20"/>
                <w:szCs w:val="20"/>
                <w:lang w:val="en-GB"/>
              </w:rPr>
              <w:t>81</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948DC8F" w14:textId="77777777" w:rsidR="00DC5685" w:rsidRPr="00A34F10" w:rsidRDefault="00DC5685" w:rsidP="00DC5685">
            <w:pPr>
              <w:tabs>
                <w:tab w:val="left" w:pos="720"/>
              </w:tabs>
              <w:jc w:val="center"/>
              <w:rPr>
                <w:sz w:val="20"/>
                <w:szCs w:val="20"/>
                <w:lang w:val="en-GB"/>
              </w:rPr>
            </w:pPr>
            <w:r w:rsidRPr="00A34F10">
              <w:rPr>
                <w:sz w:val="20"/>
                <w:szCs w:val="20"/>
                <w:lang w:val="en-GB"/>
              </w:rPr>
              <w:t>25.714</w:t>
            </w:r>
          </w:p>
        </w:tc>
      </w:tr>
      <w:tr w:rsidR="00DC5685" w:rsidRPr="00A34F10" w14:paraId="332A460E"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153144E9" w14:textId="77777777" w:rsidR="00DC5685" w:rsidRPr="00A34F10" w:rsidRDefault="00DC5685" w:rsidP="00DC5685">
            <w:pPr>
              <w:tabs>
                <w:tab w:val="left" w:pos="720"/>
              </w:tabs>
              <w:jc w:val="center"/>
              <w:rPr>
                <w:sz w:val="20"/>
                <w:szCs w:val="20"/>
                <w:lang w:val="en-GB"/>
              </w:rPr>
            </w:pPr>
            <w:r w:rsidRPr="00A34F10">
              <w:rPr>
                <w:sz w:val="20"/>
                <w:szCs w:val="20"/>
              </w:rPr>
              <w:t>0.375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E2D6C46" w14:textId="77777777" w:rsidR="00DC5685" w:rsidRPr="00A34F10" w:rsidRDefault="00DC5685" w:rsidP="00DC5685">
            <w:pPr>
              <w:tabs>
                <w:tab w:val="left" w:pos="720"/>
              </w:tabs>
              <w:jc w:val="center"/>
              <w:rPr>
                <w:sz w:val="20"/>
                <w:szCs w:val="20"/>
                <w:lang w:val="en-GB"/>
              </w:rPr>
            </w:pPr>
            <w:r w:rsidRPr="00A34F10">
              <w:rPr>
                <w:sz w:val="20"/>
                <w:szCs w:val="20"/>
                <w:lang w:val="en-GB"/>
              </w:rPr>
              <w:t>162</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F9F73CC" w14:textId="77777777" w:rsidR="00DC5685" w:rsidRPr="00A34F10" w:rsidRDefault="00DC5685" w:rsidP="00DC5685">
            <w:pPr>
              <w:tabs>
                <w:tab w:val="left" w:pos="720"/>
              </w:tabs>
              <w:jc w:val="center"/>
              <w:rPr>
                <w:sz w:val="20"/>
                <w:szCs w:val="20"/>
                <w:lang w:val="en-GB"/>
              </w:rPr>
            </w:pPr>
            <w:r w:rsidRPr="00A34F10">
              <w:rPr>
                <w:sz w:val="20"/>
                <w:szCs w:val="20"/>
                <w:lang w:val="en-GB"/>
              </w:rPr>
              <w:t>51.428</w:t>
            </w:r>
          </w:p>
        </w:tc>
      </w:tr>
      <w:tr w:rsidR="00DC5685" w:rsidRPr="00A34F10" w14:paraId="1A5E332E"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77CE64F8" w14:textId="77777777" w:rsidR="00DC5685" w:rsidRPr="00A34F10" w:rsidRDefault="00DC5685" w:rsidP="00DC5685">
            <w:pPr>
              <w:tabs>
                <w:tab w:val="left" w:pos="720"/>
              </w:tabs>
              <w:jc w:val="center"/>
              <w:rPr>
                <w:sz w:val="20"/>
                <w:szCs w:val="20"/>
                <w:lang w:val="en-GB"/>
              </w:rPr>
            </w:pPr>
            <w:r w:rsidRPr="00A34F10">
              <w:rPr>
                <w:sz w:val="20"/>
                <w:szCs w:val="20"/>
              </w:rPr>
              <w:t>0.75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4046EC9" w14:textId="77777777" w:rsidR="00DC5685" w:rsidRPr="00A34F10" w:rsidRDefault="00DC5685" w:rsidP="00DC5685">
            <w:pPr>
              <w:tabs>
                <w:tab w:val="left" w:pos="720"/>
              </w:tabs>
              <w:jc w:val="center"/>
              <w:rPr>
                <w:sz w:val="20"/>
                <w:szCs w:val="20"/>
                <w:lang w:val="en-GB"/>
              </w:rPr>
            </w:pPr>
            <w:r w:rsidRPr="00A34F10">
              <w:rPr>
                <w:sz w:val="20"/>
                <w:szCs w:val="20"/>
                <w:lang w:val="en-GB"/>
              </w:rPr>
              <w:t>324</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91AF60C" w14:textId="77777777" w:rsidR="00DC5685" w:rsidRPr="00A34F10" w:rsidRDefault="00DC5685" w:rsidP="00DC5685">
            <w:pPr>
              <w:tabs>
                <w:tab w:val="left" w:pos="720"/>
              </w:tabs>
              <w:jc w:val="center"/>
              <w:rPr>
                <w:sz w:val="20"/>
                <w:szCs w:val="20"/>
                <w:lang w:val="en-GB"/>
              </w:rPr>
            </w:pPr>
            <w:r w:rsidRPr="00A34F10">
              <w:rPr>
                <w:sz w:val="20"/>
                <w:szCs w:val="20"/>
                <w:lang w:val="en-GB"/>
              </w:rPr>
              <w:t>102.855</w:t>
            </w:r>
          </w:p>
        </w:tc>
      </w:tr>
      <w:tr w:rsidR="00DC5685" w:rsidRPr="00A34F10" w14:paraId="252E5E1A"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2ADE3943" w14:textId="77777777" w:rsidR="00DC5685" w:rsidRPr="00A34F10" w:rsidRDefault="00DC5685" w:rsidP="00DC5685">
            <w:pPr>
              <w:tabs>
                <w:tab w:val="left" w:pos="720"/>
              </w:tabs>
              <w:jc w:val="center"/>
              <w:rPr>
                <w:sz w:val="20"/>
                <w:szCs w:val="20"/>
                <w:lang w:val="en-GB"/>
              </w:rPr>
            </w:pPr>
            <w:r w:rsidRPr="00A34F10">
              <w:rPr>
                <w:sz w:val="20"/>
                <w:szCs w:val="20"/>
              </w:rPr>
              <w:t>1.5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A47991B" w14:textId="77777777" w:rsidR="00DC5685" w:rsidRPr="00A34F10" w:rsidRDefault="00DC5685" w:rsidP="00DC5685">
            <w:pPr>
              <w:tabs>
                <w:tab w:val="left" w:pos="720"/>
              </w:tabs>
              <w:jc w:val="center"/>
              <w:rPr>
                <w:sz w:val="20"/>
                <w:szCs w:val="20"/>
                <w:lang w:val="en-GB"/>
              </w:rPr>
            </w:pPr>
            <w:r w:rsidRPr="00A34F10">
              <w:rPr>
                <w:sz w:val="20"/>
                <w:szCs w:val="20"/>
                <w:lang w:val="en-GB"/>
              </w:rPr>
              <w:t>648</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7C96B84" w14:textId="77777777" w:rsidR="00DC5685" w:rsidRPr="00A34F10" w:rsidRDefault="00DC5685" w:rsidP="00DC5685">
            <w:pPr>
              <w:tabs>
                <w:tab w:val="left" w:pos="720"/>
              </w:tabs>
              <w:jc w:val="center"/>
              <w:rPr>
                <w:sz w:val="20"/>
                <w:szCs w:val="20"/>
                <w:lang w:val="en-GB"/>
              </w:rPr>
            </w:pPr>
            <w:r w:rsidRPr="00A34F10">
              <w:rPr>
                <w:sz w:val="20"/>
                <w:szCs w:val="20"/>
                <w:lang w:val="en-GB"/>
              </w:rPr>
              <w:t>205.71</w:t>
            </w:r>
          </w:p>
        </w:tc>
      </w:tr>
      <w:tr w:rsidR="00DC5685" w:rsidRPr="00A34F10" w14:paraId="3B1D5D66"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7EDCD94B" w14:textId="77777777" w:rsidR="00DC5685" w:rsidRPr="00A34F10" w:rsidRDefault="00DC5685" w:rsidP="00DC5685">
            <w:pPr>
              <w:tabs>
                <w:tab w:val="left" w:pos="720"/>
              </w:tabs>
              <w:jc w:val="center"/>
              <w:rPr>
                <w:sz w:val="20"/>
                <w:szCs w:val="20"/>
                <w:lang w:val="en-GB"/>
              </w:rPr>
            </w:pPr>
            <w:r w:rsidRPr="00A34F10">
              <w:rPr>
                <w:sz w:val="20"/>
                <w:szCs w:val="20"/>
              </w:rPr>
              <w:t>3</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98907E1" w14:textId="77777777" w:rsidR="00DC5685" w:rsidRPr="00A34F10" w:rsidRDefault="00DC5685" w:rsidP="00DC5685">
            <w:pPr>
              <w:tabs>
                <w:tab w:val="left" w:pos="720"/>
              </w:tabs>
              <w:jc w:val="center"/>
              <w:rPr>
                <w:sz w:val="20"/>
                <w:szCs w:val="20"/>
                <w:lang w:val="en-GB"/>
              </w:rPr>
            </w:pPr>
            <w:r w:rsidRPr="00A34F10">
              <w:rPr>
                <w:sz w:val="20"/>
                <w:szCs w:val="20"/>
                <w:lang w:val="en-GB"/>
              </w:rPr>
              <w:t>1296</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90049D6" w14:textId="77777777" w:rsidR="00DC5685" w:rsidRPr="00A34F10" w:rsidRDefault="00DC5685" w:rsidP="00DC5685">
            <w:pPr>
              <w:tabs>
                <w:tab w:val="left" w:pos="720"/>
              </w:tabs>
              <w:jc w:val="center"/>
              <w:rPr>
                <w:sz w:val="20"/>
                <w:szCs w:val="20"/>
                <w:lang w:val="en-GB"/>
              </w:rPr>
            </w:pPr>
            <w:r w:rsidRPr="00A34F10">
              <w:rPr>
                <w:sz w:val="20"/>
                <w:szCs w:val="20"/>
                <w:lang w:val="en-GB"/>
              </w:rPr>
              <w:t>411.42</w:t>
            </w:r>
          </w:p>
        </w:tc>
      </w:tr>
    </w:tbl>
    <w:p w14:paraId="7094F6E8" w14:textId="77777777" w:rsidR="00DC5685" w:rsidRPr="00A34F10" w:rsidRDefault="00DC5685" w:rsidP="00DC5685">
      <w:pPr>
        <w:tabs>
          <w:tab w:val="left" w:pos="720"/>
        </w:tabs>
        <w:spacing w:after="240"/>
        <w:jc w:val="both"/>
        <w:rPr>
          <w:sz w:val="18"/>
          <w:szCs w:val="20"/>
          <w:lang w:val="en-GB"/>
        </w:rPr>
      </w:pPr>
      <w:r w:rsidRPr="00A34F10">
        <w:rPr>
          <w:sz w:val="18"/>
          <w:szCs w:val="20"/>
          <w:vertAlign w:val="superscript"/>
          <w:lang w:val="en-GB"/>
        </w:rPr>
        <w:lastRenderedPageBreak/>
        <w:t>1</w:t>
      </w:r>
      <w:r w:rsidRPr="00A34F10">
        <w:rPr>
          <w:sz w:val="18"/>
          <w:szCs w:val="20"/>
          <w:lang w:val="en-GB"/>
        </w:rPr>
        <w:t>Based on nominal content of active substances</w:t>
      </w:r>
    </w:p>
    <w:p w14:paraId="1DD10EDB" w14:textId="77777777" w:rsidR="00DC5685" w:rsidRPr="00A34F10" w:rsidRDefault="00DC5685" w:rsidP="00DC5685">
      <w:pPr>
        <w:tabs>
          <w:tab w:val="left" w:pos="720"/>
        </w:tabs>
        <w:spacing w:after="240"/>
        <w:jc w:val="both"/>
        <w:rPr>
          <w:szCs w:val="24"/>
          <w:highlight w:val="yellow"/>
          <w:lang w:val="en-GB"/>
        </w:rPr>
      </w:pPr>
      <w:r w:rsidRPr="00A34F10">
        <w:rPr>
          <w:szCs w:val="24"/>
          <w:lang w:val="en-GB"/>
        </w:rPr>
        <w:t xml:space="preserve">The treatments were applied to glass plates from directly above using a calibrated laboratory track-sprayer and the residues were left to dry. The spray pressure selected was 3.4 bar and the moving spray boom was fitted with a single 90° flat-fan nozzle (Lechler ES 90-015). All treatments were applied at a volume rate of 200 L spray solution/ha. </w:t>
      </w:r>
    </w:p>
    <w:p w14:paraId="7833A2AD" w14:textId="77777777" w:rsidR="00DC5685" w:rsidRPr="00A34F10" w:rsidRDefault="00DC5685" w:rsidP="00DC5685">
      <w:pPr>
        <w:tabs>
          <w:tab w:val="left" w:pos="720"/>
        </w:tabs>
        <w:spacing w:after="240"/>
        <w:jc w:val="both"/>
        <w:rPr>
          <w:szCs w:val="24"/>
          <w:lang w:val="en-GB"/>
        </w:rPr>
      </w:pPr>
      <w:r w:rsidRPr="00A34F10">
        <w:rPr>
          <w:szCs w:val="24"/>
          <w:lang w:val="en-GB"/>
        </w:rPr>
        <w:t>Approximately 1 hour after treatment, the test units were assembled with the treated surfaces facing inwards (top and bottom). The wasps were transferred into each arena using an aspirator. The sex of the individual wasps was determined beforehand. The test apparatus was placed in a controlled environment room.</w:t>
      </w:r>
    </w:p>
    <w:p w14:paraId="6FF4ACBF" w14:textId="77777777" w:rsidR="00DC5685" w:rsidRPr="00A34F10" w:rsidRDefault="00DC5685" w:rsidP="00E05ECD">
      <w:pPr>
        <w:numPr>
          <w:ilvl w:val="0"/>
          <w:numId w:val="71"/>
        </w:numPr>
        <w:spacing w:before="240"/>
        <w:ind w:left="357" w:hanging="357"/>
        <w:contextualSpacing/>
        <w:rPr>
          <w:b/>
          <w:bCs/>
          <w:szCs w:val="24"/>
          <w:lang w:val="en-GB"/>
        </w:rPr>
      </w:pPr>
      <w:r w:rsidRPr="00A34F10">
        <w:rPr>
          <w:b/>
          <w:bCs/>
          <w:szCs w:val="24"/>
          <w:lang w:val="en-GB"/>
        </w:rPr>
        <w:t xml:space="preserve">Dose preparation: </w:t>
      </w:r>
    </w:p>
    <w:p w14:paraId="18941CCA"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 volume application rate for the test was 200 L spray solution/ha. All dilutions were prepared shortly before their application. A stock solution, also used as the highest test item solution, was prepared by dissolving </w:t>
      </w:r>
      <w:r w:rsidRPr="00A34F10">
        <w:rPr>
          <w:rFonts w:eastAsia="Calibri"/>
          <w:color w:val="000000"/>
          <w:lang w:val="en-GB"/>
        </w:rPr>
        <w:t>1.620 g BAS 743 02 F in 100 mL deionised water.</w:t>
      </w:r>
      <w:r w:rsidRPr="00A34F10">
        <w:rPr>
          <w:color w:val="000000" w:themeColor="text1"/>
        </w:rPr>
        <w:t xml:space="preserve"> Serial dilutions were conducted to prepare the lower test item spray solutions.</w:t>
      </w:r>
    </w:p>
    <w:p w14:paraId="05213F89" w14:textId="77777777" w:rsidR="00DC5685" w:rsidRPr="00A34F10" w:rsidRDefault="00DC5685" w:rsidP="00E05ECD">
      <w:pPr>
        <w:numPr>
          <w:ilvl w:val="0"/>
          <w:numId w:val="71"/>
        </w:numPr>
        <w:spacing w:before="240"/>
        <w:ind w:left="357" w:hanging="357"/>
        <w:contextualSpacing/>
        <w:rPr>
          <w:b/>
          <w:bCs/>
          <w:szCs w:val="24"/>
          <w:lang w:val="en-GB"/>
        </w:rPr>
      </w:pPr>
      <w:r w:rsidRPr="00A34F10">
        <w:rPr>
          <w:b/>
          <w:bCs/>
          <w:szCs w:val="24"/>
          <w:lang w:val="en-GB"/>
        </w:rPr>
        <w:t xml:space="preserve">Measurements and observations: </w:t>
      </w:r>
    </w:p>
    <w:p w14:paraId="678F2F8D" w14:textId="77777777" w:rsidR="00DC5685" w:rsidRPr="00A34F10" w:rsidRDefault="00DC5685" w:rsidP="00DC5685">
      <w:pPr>
        <w:tabs>
          <w:tab w:val="left" w:pos="720"/>
        </w:tabs>
        <w:jc w:val="both"/>
        <w:rPr>
          <w:szCs w:val="24"/>
          <w:u w:val="single"/>
          <w:lang w:val="en-GB"/>
        </w:rPr>
      </w:pPr>
      <w:r w:rsidRPr="00A34F10">
        <w:rPr>
          <w:szCs w:val="24"/>
          <w:u w:val="single"/>
          <w:lang w:val="en-GB"/>
        </w:rPr>
        <w:t>Biological observations:</w:t>
      </w:r>
    </w:p>
    <w:p w14:paraId="7B202AAE" w14:textId="77777777" w:rsidR="00DC5685" w:rsidRPr="00A34F10" w:rsidRDefault="00DC5685" w:rsidP="00DC5685">
      <w:pPr>
        <w:tabs>
          <w:tab w:val="left" w:pos="720"/>
        </w:tabs>
        <w:jc w:val="both"/>
        <w:rPr>
          <w:color w:val="000000" w:themeColor="text1"/>
          <w:szCs w:val="24"/>
          <w:lang w:val="en-GB"/>
        </w:rPr>
      </w:pPr>
      <w:r w:rsidRPr="00A34F10">
        <w:rPr>
          <w:szCs w:val="24"/>
          <w:lang w:val="en-GB"/>
        </w:rPr>
        <w:t xml:space="preserve">The condition of the wasps was recorded after approximately 2, 24 and 48 hours. Wasps were classified as alive, affected, moribund or dead. After 48 hours, any moribund wasps were included with the dead insects for calculations of percentage </w:t>
      </w:r>
      <w:r w:rsidRPr="00A34F10">
        <w:rPr>
          <w:color w:val="000000" w:themeColor="text1"/>
          <w:szCs w:val="24"/>
          <w:lang w:val="en-GB"/>
        </w:rPr>
        <w:t xml:space="preserve">mortality. In addition, for all test item treatments, and the control, the reproduction, i.e. number of parasitized aphids (mummies), was determined 14 days after application. </w:t>
      </w:r>
    </w:p>
    <w:p w14:paraId="1C125C16" w14:textId="77777777" w:rsidR="00DC5685" w:rsidRPr="00A34F10" w:rsidRDefault="00DC5685" w:rsidP="00DC5685">
      <w:pPr>
        <w:tabs>
          <w:tab w:val="left" w:pos="720"/>
        </w:tabs>
        <w:jc w:val="both"/>
        <w:rPr>
          <w:szCs w:val="24"/>
          <w:highlight w:val="yellow"/>
          <w:lang w:val="en-GB"/>
        </w:rPr>
      </w:pPr>
    </w:p>
    <w:p w14:paraId="076369AC"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0BD9AF5F" w14:textId="77777777" w:rsidR="00DC5685" w:rsidRPr="00A34F10" w:rsidRDefault="00DC5685" w:rsidP="00DC5685">
      <w:pPr>
        <w:tabs>
          <w:tab w:val="left" w:pos="720"/>
        </w:tabs>
        <w:jc w:val="both"/>
        <w:rPr>
          <w:szCs w:val="24"/>
          <w:u w:val="single"/>
          <w:lang w:val="en-GB"/>
        </w:rPr>
      </w:pPr>
      <w:r w:rsidRPr="00A34F10">
        <w:rPr>
          <w:szCs w:val="24"/>
          <w:lang w:val="en-GB"/>
        </w:rPr>
        <w:t xml:space="preserve">Light levels were recorded at the start of the test and temperature and humidity measurements were taken continuously throughout the test. </w:t>
      </w:r>
    </w:p>
    <w:p w14:paraId="392998B8" w14:textId="77777777" w:rsidR="00DC5685" w:rsidRPr="00A34F10" w:rsidRDefault="00DC5685" w:rsidP="00DC5685">
      <w:pPr>
        <w:tabs>
          <w:tab w:val="left" w:pos="720"/>
        </w:tabs>
        <w:jc w:val="both"/>
        <w:rPr>
          <w:szCs w:val="24"/>
          <w:highlight w:val="yellow"/>
          <w:u w:val="single"/>
          <w:lang w:val="en-GB"/>
        </w:rPr>
      </w:pPr>
    </w:p>
    <w:p w14:paraId="0BD49015" w14:textId="77777777" w:rsidR="00DC5685" w:rsidRPr="00A34F10" w:rsidRDefault="00DC5685" w:rsidP="00E05ECD">
      <w:pPr>
        <w:numPr>
          <w:ilvl w:val="0"/>
          <w:numId w:val="71"/>
        </w:numPr>
        <w:spacing w:before="240"/>
        <w:ind w:left="357" w:hanging="357"/>
        <w:contextualSpacing/>
        <w:rPr>
          <w:b/>
          <w:bCs/>
          <w:szCs w:val="24"/>
          <w:lang w:val="en-GB"/>
        </w:rPr>
      </w:pPr>
      <w:r w:rsidRPr="00A34F10">
        <w:rPr>
          <w:b/>
          <w:bCs/>
          <w:szCs w:val="24"/>
          <w:lang w:val="en-GB"/>
        </w:rPr>
        <w:t xml:space="preserve">Statistical analysis: </w:t>
      </w:r>
    </w:p>
    <w:p w14:paraId="74A822CF" w14:textId="77777777" w:rsidR="00DC5685" w:rsidRPr="00A34F10" w:rsidRDefault="00DC5685" w:rsidP="00DC5685">
      <w:pPr>
        <w:tabs>
          <w:tab w:val="left" w:pos="720"/>
        </w:tabs>
        <w:jc w:val="both"/>
        <w:rPr>
          <w:szCs w:val="24"/>
          <w:lang w:val="en-GB"/>
        </w:rPr>
      </w:pPr>
      <w:r w:rsidRPr="00A34F10">
        <w:rPr>
          <w:szCs w:val="24"/>
          <w:lang w:val="en-GB"/>
        </w:rPr>
        <w:t>For statistical analysis of the results, the computer program ToxRat Professional 3.3.0 (RATTE, 2018) was used. Mortality was analysed for statistical significance using the Multiple Sequentially-rejective Fisher Test after Bonferroni-Holm (test item) and Chi</w:t>
      </w:r>
      <w:r w:rsidRPr="00A34F10">
        <w:rPr>
          <w:szCs w:val="24"/>
          <w:vertAlign w:val="superscript"/>
          <w:lang w:val="en-GB"/>
        </w:rPr>
        <w:t>2</w:t>
      </w:r>
      <w:r w:rsidRPr="00A34F10">
        <w:rPr>
          <w:szCs w:val="24"/>
          <w:lang w:val="en-GB"/>
        </w:rPr>
        <w:t xml:space="preserve"> 2x2 Table Test (reference item) as distribution-free tests (α = 0.05, one-sided greater) which do not require testing for normality or homoscedasticity prior to analysis. Reproductive capacity was analysed for statistical significance using Williams Multiple Sequential t-Test (α = 0.05, one-sided smaller) following Shapiro-Wilk’s test on normal distribution, Levene’s test on variance homogeneity.</w:t>
      </w:r>
    </w:p>
    <w:p w14:paraId="714C4D57" w14:textId="77777777" w:rsidR="00DC5685" w:rsidRPr="00A34F10" w:rsidRDefault="00DC5685" w:rsidP="00DC5685">
      <w:pPr>
        <w:tabs>
          <w:tab w:val="left" w:pos="720"/>
        </w:tabs>
        <w:jc w:val="both"/>
        <w:rPr>
          <w:szCs w:val="24"/>
          <w:lang w:val="en-GB"/>
        </w:rPr>
      </w:pPr>
    </w:p>
    <w:p w14:paraId="17400369" w14:textId="46A8C48D" w:rsidR="003B6941" w:rsidRDefault="00DC5685" w:rsidP="00DC5685">
      <w:pPr>
        <w:tabs>
          <w:tab w:val="left" w:pos="720"/>
        </w:tabs>
        <w:jc w:val="both"/>
        <w:rPr>
          <w:szCs w:val="24"/>
          <w:lang w:val="en-GB"/>
        </w:rPr>
      </w:pPr>
      <w:r w:rsidRPr="00A34F10">
        <w:rPr>
          <w:szCs w:val="24"/>
          <w:lang w:val="en-GB"/>
        </w:rPr>
        <w:t>Since there were only low effects (&lt; 50 %) for mortality and reproduction in the test item treatment groups, the calculation of the LR</w:t>
      </w:r>
      <w:r w:rsidRPr="00A34F10">
        <w:rPr>
          <w:szCs w:val="24"/>
          <w:vertAlign w:val="subscript"/>
          <w:lang w:val="en-GB"/>
        </w:rPr>
        <w:t>50</w:t>
      </w:r>
      <w:r w:rsidRPr="00A34F10">
        <w:rPr>
          <w:szCs w:val="24"/>
          <w:lang w:val="en-GB"/>
        </w:rPr>
        <w:t xml:space="preserve"> and ER</w:t>
      </w:r>
      <w:r w:rsidRPr="00A34F10">
        <w:rPr>
          <w:szCs w:val="24"/>
          <w:vertAlign w:val="subscript"/>
          <w:lang w:val="en-GB"/>
        </w:rPr>
        <w:t>50</w:t>
      </w:r>
      <w:r w:rsidRPr="00A34F10">
        <w:rPr>
          <w:szCs w:val="24"/>
          <w:lang w:val="en-GB"/>
        </w:rPr>
        <w:t xml:space="preserve"> was not possible.</w:t>
      </w:r>
    </w:p>
    <w:p w14:paraId="5B4A2636" w14:textId="77777777" w:rsidR="00DC5685" w:rsidRPr="00A34F10" w:rsidRDefault="00DC5685" w:rsidP="00DC5685">
      <w:pPr>
        <w:tabs>
          <w:tab w:val="left" w:pos="720"/>
        </w:tabs>
        <w:jc w:val="both"/>
        <w:rPr>
          <w:szCs w:val="24"/>
          <w:lang w:val="en-GB"/>
        </w:rPr>
      </w:pPr>
    </w:p>
    <w:p w14:paraId="0DCF8FEA" w14:textId="77777777" w:rsidR="00DC5685" w:rsidRPr="00A34F10" w:rsidRDefault="00DC5685" w:rsidP="00DC5685">
      <w:pPr>
        <w:tabs>
          <w:tab w:val="left" w:pos="720"/>
        </w:tabs>
        <w:spacing w:before="240"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6ED0C365" w14:textId="77777777" w:rsidR="00DC5685" w:rsidRPr="00A34F10" w:rsidRDefault="00DC5685" w:rsidP="00E05ECD">
      <w:pPr>
        <w:numPr>
          <w:ilvl w:val="0"/>
          <w:numId w:val="72"/>
        </w:numPr>
        <w:ind w:left="357" w:hanging="357"/>
        <w:contextualSpacing/>
        <w:rPr>
          <w:b/>
          <w:bCs/>
          <w:caps/>
          <w:szCs w:val="24"/>
          <w:lang w:val="en-GB"/>
        </w:rPr>
      </w:pPr>
      <w:r w:rsidRPr="00A34F10">
        <w:rPr>
          <w:b/>
          <w:bCs/>
          <w:caps/>
          <w:szCs w:val="24"/>
          <w:lang w:val="en-GB"/>
        </w:rPr>
        <w:t>biological effects</w:t>
      </w:r>
    </w:p>
    <w:p w14:paraId="59E4ED28" w14:textId="77777777" w:rsidR="00DC5685" w:rsidRPr="00A34F10" w:rsidRDefault="00DC5685" w:rsidP="00DC5685">
      <w:pPr>
        <w:tabs>
          <w:tab w:val="left" w:pos="0"/>
        </w:tabs>
        <w:ind w:left="357" w:hanging="357"/>
        <w:contextualSpacing/>
        <w:rPr>
          <w:b/>
          <w:bCs/>
          <w:caps/>
          <w:szCs w:val="24"/>
          <w:lang w:val="en-GB"/>
        </w:rPr>
      </w:pPr>
    </w:p>
    <w:p w14:paraId="3E6AEDED" w14:textId="77777777" w:rsidR="00DC5685" w:rsidRPr="00A34F10" w:rsidRDefault="00DC5685" w:rsidP="00DC5685">
      <w:pPr>
        <w:autoSpaceDE w:val="0"/>
        <w:autoSpaceDN w:val="0"/>
        <w:adjustRightInd w:val="0"/>
        <w:jc w:val="both"/>
        <w:rPr>
          <w:szCs w:val="24"/>
          <w:lang w:val="en-GB"/>
        </w:rPr>
      </w:pPr>
      <w:r w:rsidRPr="00A34F10">
        <w:rPr>
          <w:szCs w:val="24"/>
          <w:lang w:val="en-GB"/>
        </w:rPr>
        <w:t>After 48 hours, in the water-treated control, a mean mortality of 0 % was observed. In the test item treatments, the mean mortality ranged between 0 and 2.5 %. No statistically significantly increased mortalities were determined in all test item rates compared to the control. The LR</w:t>
      </w:r>
      <w:r w:rsidRPr="00A34F10">
        <w:rPr>
          <w:szCs w:val="24"/>
          <w:vertAlign w:val="subscript"/>
          <w:lang w:val="en-GB"/>
        </w:rPr>
        <w:t xml:space="preserve">50 </w:t>
      </w:r>
      <w:r w:rsidRPr="00A34F10">
        <w:rPr>
          <w:szCs w:val="24"/>
          <w:lang w:val="en-GB"/>
        </w:rPr>
        <w:t>was estimated to be &gt; 3 L product/ha and the NOER for mortality was determined to be 3 L product/ha. The reference item caused 100 % mortality in exposed wasp.</w:t>
      </w:r>
    </w:p>
    <w:p w14:paraId="27366122" w14:textId="77777777" w:rsidR="00DC5685" w:rsidRPr="00A34F10" w:rsidRDefault="00DC5685" w:rsidP="00DC5685">
      <w:pPr>
        <w:autoSpaceDE w:val="0"/>
        <w:autoSpaceDN w:val="0"/>
        <w:adjustRightInd w:val="0"/>
        <w:jc w:val="both"/>
        <w:rPr>
          <w:szCs w:val="24"/>
          <w:lang w:val="en-GB"/>
        </w:rPr>
      </w:pPr>
    </w:p>
    <w:p w14:paraId="6C392C7E" w14:textId="77777777" w:rsidR="00DC5685" w:rsidRPr="00A34F10" w:rsidRDefault="00DC5685" w:rsidP="00DC5685">
      <w:pPr>
        <w:autoSpaceDE w:val="0"/>
        <w:autoSpaceDN w:val="0"/>
        <w:adjustRightInd w:val="0"/>
        <w:jc w:val="both"/>
        <w:rPr>
          <w:szCs w:val="24"/>
          <w:lang w:val="en-GB"/>
        </w:rPr>
      </w:pPr>
      <w:r w:rsidRPr="00A34F10">
        <w:rPr>
          <w:szCs w:val="24"/>
          <w:lang w:val="en-GB"/>
        </w:rPr>
        <w:t>The mean numbers of mummies produced per female in the respective test item treatment groups were between 15.8 and 17.8, compared to the control value of 17.1 mummies/female. No statistically significantly different reproduction rates were observed in all the test item rates compared to the control. The ER</w:t>
      </w:r>
      <w:r w:rsidRPr="00A34F10">
        <w:rPr>
          <w:szCs w:val="24"/>
          <w:vertAlign w:val="subscript"/>
          <w:lang w:val="en-GB"/>
        </w:rPr>
        <w:t>50</w:t>
      </w:r>
      <w:r w:rsidRPr="00A34F10">
        <w:rPr>
          <w:szCs w:val="24"/>
          <w:lang w:val="en-GB"/>
        </w:rPr>
        <w:t xml:space="preserve"> was estimated to be &gt; 3 L product/ha and the NOER for reproduction was determined to be 3 L </w:t>
      </w:r>
      <w:r w:rsidRPr="00A34F10">
        <w:rPr>
          <w:szCs w:val="24"/>
          <w:lang w:val="en-GB"/>
        </w:rPr>
        <w:lastRenderedPageBreak/>
        <w:t xml:space="preserve">product/ha. No unusual observations regarding behaviour were noted in the control and the test item treatment groups at any observation point during the test. </w:t>
      </w:r>
    </w:p>
    <w:p w14:paraId="686CC120" w14:textId="77777777" w:rsidR="00DC5685" w:rsidRPr="00A34F10" w:rsidRDefault="00DC5685" w:rsidP="00DC5685">
      <w:pPr>
        <w:autoSpaceDE w:val="0"/>
        <w:autoSpaceDN w:val="0"/>
        <w:adjustRightInd w:val="0"/>
        <w:jc w:val="both"/>
        <w:rPr>
          <w:szCs w:val="24"/>
          <w:lang w:val="en-GB"/>
        </w:rPr>
      </w:pPr>
    </w:p>
    <w:p w14:paraId="2F39E36F" w14:textId="417F73FF" w:rsidR="00DC5685" w:rsidRPr="00A34F10" w:rsidRDefault="00DC5685" w:rsidP="00DC5685">
      <w:pPr>
        <w:autoSpaceDE w:val="0"/>
        <w:autoSpaceDN w:val="0"/>
        <w:adjustRightInd w:val="0"/>
        <w:jc w:val="both"/>
        <w:rPr>
          <w:szCs w:val="24"/>
          <w:lang w:val="en-GB"/>
        </w:rPr>
      </w:pPr>
      <w:r w:rsidRPr="00A34F10">
        <w:rPr>
          <w:szCs w:val="24"/>
          <w:lang w:val="en-GB"/>
        </w:rPr>
        <w:t>Results are summarised in</w:t>
      </w:r>
      <w:r w:rsidR="003B6941">
        <w:rPr>
          <w:szCs w:val="24"/>
          <w:lang w:val="en-GB"/>
        </w:rPr>
        <w:t xml:space="preserve"> </w:t>
      </w:r>
      <w:r w:rsidR="003B6941">
        <w:rPr>
          <w:szCs w:val="24"/>
          <w:lang w:val="en-GB"/>
        </w:rPr>
        <w:fldChar w:fldCharType="begin"/>
      </w:r>
      <w:r w:rsidR="003B6941">
        <w:rPr>
          <w:szCs w:val="24"/>
          <w:lang w:val="en-GB"/>
        </w:rPr>
        <w:instrText xml:space="preserve"> REF _Ref147911074 \h </w:instrText>
      </w:r>
      <w:r w:rsidR="003B6941">
        <w:rPr>
          <w:szCs w:val="24"/>
          <w:lang w:val="en-GB"/>
        </w:rPr>
      </w:r>
      <w:r w:rsidR="003B6941">
        <w:rPr>
          <w:szCs w:val="24"/>
          <w:lang w:val="en-GB"/>
        </w:rPr>
        <w:fldChar w:fldCharType="separate"/>
      </w:r>
      <w:r w:rsidR="006F0F3B">
        <w:t xml:space="preserve">Table A </w:t>
      </w:r>
      <w:r w:rsidR="006F0F3B">
        <w:rPr>
          <w:noProof/>
        </w:rPr>
        <w:t>65</w:t>
      </w:r>
      <w:r w:rsidR="003B6941">
        <w:rPr>
          <w:szCs w:val="24"/>
          <w:lang w:val="en-GB"/>
        </w:rPr>
        <w:fldChar w:fldCharType="end"/>
      </w:r>
      <w:r w:rsidRPr="00A34F10">
        <w:rPr>
          <w:szCs w:val="24"/>
          <w:lang w:val="en-GB"/>
        </w:rPr>
        <w:t>.</w:t>
      </w:r>
    </w:p>
    <w:p w14:paraId="5AD6E7FF" w14:textId="77777777" w:rsidR="00DC5685" w:rsidRPr="00A34F10" w:rsidRDefault="00DC5685" w:rsidP="00DC5685">
      <w:pPr>
        <w:autoSpaceDE w:val="0"/>
        <w:autoSpaceDN w:val="0"/>
        <w:adjustRightInd w:val="0"/>
        <w:jc w:val="both"/>
        <w:rPr>
          <w:szCs w:val="24"/>
          <w:lang w:val="en-GB"/>
        </w:rPr>
      </w:pPr>
    </w:p>
    <w:p w14:paraId="018F1734" w14:textId="5D4FE103" w:rsidR="00DC5685" w:rsidRPr="00A34F10" w:rsidRDefault="003B6941" w:rsidP="003B6941">
      <w:pPr>
        <w:pStyle w:val="Legenda"/>
        <w:rPr>
          <w:highlight w:val="yellow"/>
        </w:rPr>
      </w:pPr>
      <w:bookmarkStart w:id="1127" w:name="_Ref147911074"/>
      <w:r>
        <w:t xml:space="preserve">Table A </w:t>
      </w:r>
      <w:r>
        <w:fldChar w:fldCharType="begin"/>
      </w:r>
      <w:r>
        <w:instrText xml:space="preserve"> SEQ Table_A \* ARABIC </w:instrText>
      </w:r>
      <w:r>
        <w:fldChar w:fldCharType="separate"/>
      </w:r>
      <w:r w:rsidR="006F0F3B">
        <w:rPr>
          <w:noProof/>
        </w:rPr>
        <w:t>65</w:t>
      </w:r>
      <w:r>
        <w:fldChar w:fldCharType="end"/>
      </w:r>
      <w:bookmarkEnd w:id="1127"/>
      <w:r w:rsidR="00DC5685" w:rsidRPr="00A34F10">
        <w:t>:</w:t>
      </w:r>
      <w:r w:rsidR="00A45A3F" w:rsidRPr="00A34F10">
        <w:tab/>
      </w:r>
      <w:r w:rsidR="00DC5685" w:rsidRPr="00A34F10">
        <w:t xml:space="preserve"> Effects on the parasitic wasp </w:t>
      </w:r>
      <w:r w:rsidR="00DC5685" w:rsidRPr="00A34F10">
        <w:rPr>
          <w:i/>
          <w:iCs/>
        </w:rPr>
        <w:t>Aphidius rhopalosiphi</w:t>
      </w:r>
      <w:r w:rsidR="00DC5685" w:rsidRPr="00A34F10">
        <w:t xml:space="preserve"> exposed to residues of BAS 743 02 F in a worst-case laboratory test</w:t>
      </w:r>
    </w:p>
    <w:tbl>
      <w:tblPr>
        <w:tblStyle w:val="TableGrid42"/>
        <w:tblW w:w="5000" w:type="pct"/>
        <w:tblLook w:val="04A0" w:firstRow="1" w:lastRow="0" w:firstColumn="1" w:lastColumn="0" w:noHBand="0" w:noVBand="1"/>
      </w:tblPr>
      <w:tblGrid>
        <w:gridCol w:w="1766"/>
        <w:gridCol w:w="839"/>
        <w:gridCol w:w="1170"/>
        <w:gridCol w:w="1306"/>
        <w:gridCol w:w="2635"/>
        <w:gridCol w:w="1628"/>
      </w:tblGrid>
      <w:tr w:rsidR="00DC5685" w:rsidRPr="00A34F10" w14:paraId="30762849" w14:textId="77777777" w:rsidTr="000470C3">
        <w:trPr>
          <w:trHeight w:hRule="exact" w:val="910"/>
          <w:tblHeader/>
        </w:trPr>
        <w:tc>
          <w:tcPr>
            <w:tcW w:w="945" w:type="pct"/>
            <w:tcBorders>
              <w:top w:val="single" w:sz="4" w:space="0" w:color="auto"/>
              <w:left w:val="single" w:sz="4" w:space="0" w:color="auto"/>
              <w:bottom w:val="single" w:sz="4" w:space="0" w:color="auto"/>
              <w:right w:val="single" w:sz="4" w:space="0" w:color="auto"/>
            </w:tcBorders>
            <w:vAlign w:val="center"/>
          </w:tcPr>
          <w:p w14:paraId="6979D924" w14:textId="77777777" w:rsidR="00DC5685" w:rsidRPr="00A34F10" w:rsidRDefault="00DC5685" w:rsidP="00DC5685">
            <w:pPr>
              <w:tabs>
                <w:tab w:val="left" w:pos="720"/>
              </w:tabs>
              <w:jc w:val="center"/>
              <w:rPr>
                <w:sz w:val="20"/>
                <w:szCs w:val="20"/>
                <w:highlight w:val="yellow"/>
                <w:lang w:val="en-GB"/>
              </w:rPr>
            </w:pPr>
            <w:r w:rsidRPr="00A34F10">
              <w:rPr>
                <w:b/>
                <w:bCs/>
                <w:color w:val="000000" w:themeColor="text1"/>
                <w:sz w:val="20"/>
                <w:szCs w:val="20"/>
                <w:lang w:val="en-GB"/>
              </w:rPr>
              <w:t>Treatment</w:t>
            </w:r>
          </w:p>
        </w:tc>
        <w:tc>
          <w:tcPr>
            <w:tcW w:w="449" w:type="pct"/>
            <w:tcBorders>
              <w:top w:val="single" w:sz="4" w:space="0" w:color="auto"/>
              <w:left w:val="single" w:sz="4" w:space="0" w:color="auto"/>
              <w:bottom w:val="single" w:sz="4" w:space="0" w:color="auto"/>
              <w:right w:val="single" w:sz="4" w:space="0" w:color="auto"/>
            </w:tcBorders>
            <w:vAlign w:val="center"/>
            <w:hideMark/>
          </w:tcPr>
          <w:p w14:paraId="028C1D37"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Rate</w:t>
            </w:r>
            <w:r w:rsidRPr="00A34F10">
              <w:rPr>
                <w:b/>
                <w:bCs/>
                <w:sz w:val="20"/>
                <w:szCs w:val="20"/>
                <w:vertAlign w:val="superscript"/>
                <w:lang w:val="en-GB"/>
              </w:rPr>
              <w:t>1</w:t>
            </w:r>
          </w:p>
        </w:tc>
        <w:tc>
          <w:tcPr>
            <w:tcW w:w="626" w:type="pct"/>
            <w:tcBorders>
              <w:top w:val="single" w:sz="4" w:space="0" w:color="auto"/>
              <w:left w:val="single" w:sz="4" w:space="0" w:color="auto"/>
              <w:bottom w:val="single" w:sz="4" w:space="0" w:color="auto"/>
              <w:right w:val="single" w:sz="4" w:space="0" w:color="auto"/>
            </w:tcBorders>
            <w:vAlign w:val="center"/>
            <w:hideMark/>
          </w:tcPr>
          <w:p w14:paraId="54496B78"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Mortality (%)</w:t>
            </w:r>
          </w:p>
        </w:tc>
        <w:tc>
          <w:tcPr>
            <w:tcW w:w="699" w:type="pct"/>
            <w:tcBorders>
              <w:top w:val="single" w:sz="4" w:space="0" w:color="auto"/>
              <w:left w:val="single" w:sz="4" w:space="0" w:color="auto"/>
              <w:bottom w:val="single" w:sz="4" w:space="0" w:color="auto"/>
              <w:right w:val="single" w:sz="4" w:space="0" w:color="auto"/>
            </w:tcBorders>
            <w:vAlign w:val="center"/>
            <w:hideMark/>
          </w:tcPr>
          <w:p w14:paraId="1FACC60C"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Corrected mortality</w:t>
            </w:r>
            <w:r w:rsidRPr="00A34F10">
              <w:rPr>
                <w:b/>
                <w:bCs/>
                <w:sz w:val="20"/>
                <w:szCs w:val="20"/>
                <w:vertAlign w:val="superscript"/>
                <w:lang w:val="en-GB"/>
              </w:rPr>
              <w:t xml:space="preserve">2 </w:t>
            </w:r>
            <w:r w:rsidRPr="00A34F10">
              <w:rPr>
                <w:b/>
                <w:bCs/>
                <w:sz w:val="20"/>
                <w:szCs w:val="20"/>
                <w:lang w:val="en-GB"/>
              </w:rPr>
              <w:t>(%)</w:t>
            </w:r>
          </w:p>
        </w:tc>
        <w:tc>
          <w:tcPr>
            <w:tcW w:w="1410" w:type="pct"/>
            <w:tcBorders>
              <w:top w:val="single" w:sz="4" w:space="0" w:color="auto"/>
              <w:left w:val="single" w:sz="4" w:space="0" w:color="auto"/>
              <w:bottom w:val="single" w:sz="4" w:space="0" w:color="auto"/>
              <w:right w:val="single" w:sz="4" w:space="0" w:color="auto"/>
            </w:tcBorders>
            <w:vAlign w:val="center"/>
          </w:tcPr>
          <w:p w14:paraId="4236709C" w14:textId="77777777" w:rsidR="00DC5685" w:rsidRPr="00A34F10" w:rsidRDefault="00DC5685" w:rsidP="00DC5685">
            <w:pPr>
              <w:tabs>
                <w:tab w:val="left" w:pos="720"/>
              </w:tabs>
              <w:jc w:val="center"/>
              <w:rPr>
                <w:b/>
                <w:bCs/>
                <w:sz w:val="20"/>
                <w:szCs w:val="20"/>
                <w:vertAlign w:val="superscript"/>
                <w:lang w:val="en-GB"/>
              </w:rPr>
            </w:pPr>
            <w:r w:rsidRPr="00A34F10">
              <w:rPr>
                <w:b/>
                <w:bCs/>
                <w:sz w:val="20"/>
                <w:szCs w:val="20"/>
                <w:lang w:val="en-GB"/>
              </w:rPr>
              <w:t>Reproduction</w:t>
            </w:r>
            <w:r w:rsidRPr="00A34F10">
              <w:rPr>
                <w:b/>
                <w:bCs/>
                <w:sz w:val="20"/>
                <w:szCs w:val="20"/>
                <w:vertAlign w:val="superscript"/>
                <w:lang w:val="en-GB"/>
              </w:rPr>
              <w:t xml:space="preserve">3 </w:t>
            </w:r>
          </w:p>
          <w:p w14:paraId="3D8AD7A1"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(mean number of mummies/female)</w:t>
            </w:r>
          </w:p>
        </w:tc>
        <w:tc>
          <w:tcPr>
            <w:tcW w:w="871" w:type="pct"/>
            <w:tcBorders>
              <w:top w:val="single" w:sz="4" w:space="0" w:color="auto"/>
              <w:left w:val="single" w:sz="4" w:space="0" w:color="auto"/>
              <w:bottom w:val="single" w:sz="4" w:space="0" w:color="auto"/>
              <w:right w:val="single" w:sz="4" w:space="0" w:color="auto"/>
            </w:tcBorders>
            <w:vAlign w:val="center"/>
          </w:tcPr>
          <w:p w14:paraId="127F15DB"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Inhibition of reproduction</w:t>
            </w:r>
            <w:r w:rsidRPr="00A34F10">
              <w:rPr>
                <w:b/>
                <w:bCs/>
                <w:sz w:val="20"/>
                <w:szCs w:val="20"/>
                <w:vertAlign w:val="superscript"/>
                <w:lang w:val="en-GB"/>
              </w:rPr>
              <w:t xml:space="preserve">4 </w:t>
            </w:r>
            <w:r w:rsidRPr="00A34F10">
              <w:rPr>
                <w:b/>
                <w:bCs/>
                <w:sz w:val="20"/>
                <w:szCs w:val="20"/>
                <w:lang w:val="en-GB"/>
              </w:rPr>
              <w:t>(%)</w:t>
            </w:r>
          </w:p>
        </w:tc>
      </w:tr>
      <w:tr w:rsidR="00DC5685" w:rsidRPr="00A34F10" w14:paraId="0AB456D7" w14:textId="77777777" w:rsidTr="000470C3">
        <w:trPr>
          <w:trHeight w:hRule="exact" w:val="284"/>
        </w:trPr>
        <w:tc>
          <w:tcPr>
            <w:tcW w:w="945" w:type="pct"/>
            <w:tcBorders>
              <w:top w:val="single" w:sz="4" w:space="0" w:color="auto"/>
              <w:left w:val="single" w:sz="4" w:space="0" w:color="auto"/>
              <w:bottom w:val="single" w:sz="4" w:space="0" w:color="auto"/>
              <w:right w:val="single" w:sz="4" w:space="0" w:color="auto"/>
            </w:tcBorders>
            <w:vAlign w:val="center"/>
            <w:hideMark/>
          </w:tcPr>
          <w:p w14:paraId="3FF43510" w14:textId="77777777" w:rsidR="00DC5685" w:rsidRPr="00A34F10" w:rsidRDefault="00DC5685" w:rsidP="00DC5685">
            <w:pPr>
              <w:tabs>
                <w:tab w:val="left" w:pos="720"/>
              </w:tabs>
              <w:jc w:val="center"/>
              <w:rPr>
                <w:sz w:val="20"/>
                <w:szCs w:val="20"/>
                <w:lang w:val="en-GB"/>
              </w:rPr>
            </w:pPr>
            <w:r w:rsidRPr="00A34F10">
              <w:rPr>
                <w:sz w:val="20"/>
                <w:szCs w:val="20"/>
                <w:lang w:val="en-GB"/>
              </w:rPr>
              <w:t>Control</w:t>
            </w:r>
          </w:p>
        </w:tc>
        <w:tc>
          <w:tcPr>
            <w:tcW w:w="449" w:type="pct"/>
            <w:tcBorders>
              <w:top w:val="single" w:sz="4" w:space="0" w:color="auto"/>
              <w:left w:val="single" w:sz="4" w:space="0" w:color="auto"/>
              <w:bottom w:val="single" w:sz="4" w:space="0" w:color="auto"/>
              <w:right w:val="single" w:sz="4" w:space="0" w:color="auto"/>
            </w:tcBorders>
            <w:vAlign w:val="center"/>
            <w:hideMark/>
          </w:tcPr>
          <w:p w14:paraId="16A477AA"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626" w:type="pct"/>
            <w:tcBorders>
              <w:top w:val="single" w:sz="4" w:space="0" w:color="auto"/>
              <w:left w:val="single" w:sz="4" w:space="0" w:color="auto"/>
              <w:bottom w:val="single" w:sz="4" w:space="0" w:color="auto"/>
              <w:right w:val="single" w:sz="4" w:space="0" w:color="auto"/>
            </w:tcBorders>
            <w:vAlign w:val="center"/>
            <w:hideMark/>
          </w:tcPr>
          <w:p w14:paraId="3E8F67DC"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699" w:type="pct"/>
            <w:tcBorders>
              <w:top w:val="single" w:sz="4" w:space="0" w:color="auto"/>
              <w:left w:val="single" w:sz="4" w:space="0" w:color="auto"/>
              <w:bottom w:val="single" w:sz="4" w:space="0" w:color="auto"/>
              <w:right w:val="single" w:sz="4" w:space="0" w:color="auto"/>
            </w:tcBorders>
            <w:vAlign w:val="center"/>
            <w:hideMark/>
          </w:tcPr>
          <w:p w14:paraId="1E90381E"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1410" w:type="pct"/>
            <w:tcBorders>
              <w:top w:val="single" w:sz="4" w:space="0" w:color="auto"/>
              <w:left w:val="single" w:sz="4" w:space="0" w:color="auto"/>
              <w:bottom w:val="single" w:sz="4" w:space="0" w:color="auto"/>
              <w:right w:val="single" w:sz="4" w:space="0" w:color="auto"/>
            </w:tcBorders>
            <w:vAlign w:val="center"/>
          </w:tcPr>
          <w:p w14:paraId="1DC59E88" w14:textId="77777777" w:rsidR="00DC5685" w:rsidRPr="00A34F10" w:rsidRDefault="00DC5685" w:rsidP="00DC5685">
            <w:pPr>
              <w:tabs>
                <w:tab w:val="left" w:pos="720"/>
              </w:tabs>
              <w:jc w:val="center"/>
              <w:rPr>
                <w:sz w:val="20"/>
                <w:szCs w:val="20"/>
                <w:lang w:val="en-GB"/>
              </w:rPr>
            </w:pPr>
            <w:r w:rsidRPr="00A34F10">
              <w:rPr>
                <w:sz w:val="20"/>
                <w:szCs w:val="20"/>
                <w:lang w:val="en-GB"/>
              </w:rPr>
              <w:t>17.1</w:t>
            </w:r>
          </w:p>
        </w:tc>
        <w:tc>
          <w:tcPr>
            <w:tcW w:w="871" w:type="pct"/>
            <w:tcBorders>
              <w:top w:val="single" w:sz="4" w:space="0" w:color="auto"/>
              <w:left w:val="single" w:sz="4" w:space="0" w:color="auto"/>
              <w:bottom w:val="single" w:sz="4" w:space="0" w:color="auto"/>
              <w:right w:val="single" w:sz="4" w:space="0" w:color="auto"/>
            </w:tcBorders>
            <w:vAlign w:val="center"/>
          </w:tcPr>
          <w:p w14:paraId="415F93C2"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r>
      <w:tr w:rsidR="00DC5685" w:rsidRPr="00A34F10" w14:paraId="158F5346" w14:textId="77777777" w:rsidTr="000470C3">
        <w:trPr>
          <w:trHeight w:hRule="exact" w:val="284"/>
        </w:trPr>
        <w:tc>
          <w:tcPr>
            <w:tcW w:w="945" w:type="pct"/>
            <w:vMerge w:val="restart"/>
            <w:tcBorders>
              <w:top w:val="single" w:sz="4" w:space="0" w:color="auto"/>
              <w:left w:val="single" w:sz="4" w:space="0" w:color="auto"/>
              <w:bottom w:val="single" w:sz="4" w:space="0" w:color="auto"/>
              <w:right w:val="single" w:sz="4" w:space="0" w:color="auto"/>
            </w:tcBorders>
            <w:vAlign w:val="center"/>
            <w:hideMark/>
          </w:tcPr>
          <w:p w14:paraId="43743605" w14:textId="77777777" w:rsidR="00DC5685" w:rsidRPr="00A34F10" w:rsidRDefault="00DC5685" w:rsidP="00DC5685">
            <w:pPr>
              <w:tabs>
                <w:tab w:val="left" w:pos="720"/>
              </w:tabs>
              <w:jc w:val="center"/>
              <w:rPr>
                <w:sz w:val="20"/>
                <w:szCs w:val="20"/>
                <w:lang w:val="en-GB"/>
              </w:rPr>
            </w:pPr>
            <w:r w:rsidRPr="00A34F10">
              <w:rPr>
                <w:sz w:val="20"/>
                <w:szCs w:val="20"/>
                <w:lang w:val="en-GB"/>
              </w:rPr>
              <w:t>BAS 743 02 F</w:t>
            </w:r>
          </w:p>
          <w:p w14:paraId="5C493555" w14:textId="77777777" w:rsidR="00DC5685" w:rsidRPr="00A34F10" w:rsidRDefault="00DC5685" w:rsidP="00DC5685">
            <w:pPr>
              <w:tabs>
                <w:tab w:val="left" w:pos="720"/>
              </w:tabs>
              <w:jc w:val="center"/>
              <w:rPr>
                <w:sz w:val="20"/>
                <w:szCs w:val="20"/>
                <w:lang w:val="en-GB"/>
              </w:rPr>
            </w:pPr>
            <w:r w:rsidRPr="00A34F10">
              <w:rPr>
                <w:sz w:val="20"/>
                <w:szCs w:val="20"/>
                <w:lang w:val="es-ES"/>
              </w:rPr>
              <w:t>[L product/ha</w:t>
            </w:r>
            <w:r w:rsidRPr="00A34F10">
              <w:rPr>
                <w:color w:val="71777D"/>
                <w:sz w:val="20"/>
                <w:szCs w:val="20"/>
                <w:shd w:val="clear" w:color="auto" w:fill="FFFFFF"/>
              </w:rPr>
              <w:t>]</w:t>
            </w:r>
          </w:p>
        </w:tc>
        <w:tc>
          <w:tcPr>
            <w:tcW w:w="449" w:type="pct"/>
            <w:tcBorders>
              <w:top w:val="single" w:sz="4" w:space="0" w:color="auto"/>
              <w:left w:val="single" w:sz="4" w:space="0" w:color="auto"/>
              <w:bottom w:val="single" w:sz="4" w:space="0" w:color="auto"/>
              <w:right w:val="single" w:sz="4" w:space="0" w:color="auto"/>
            </w:tcBorders>
            <w:vAlign w:val="center"/>
            <w:hideMark/>
          </w:tcPr>
          <w:p w14:paraId="7F8FDDB5" w14:textId="77777777" w:rsidR="00DC5685" w:rsidRPr="00A34F10" w:rsidRDefault="00DC5685" w:rsidP="00DC5685">
            <w:pPr>
              <w:tabs>
                <w:tab w:val="left" w:pos="720"/>
              </w:tabs>
              <w:jc w:val="center"/>
              <w:rPr>
                <w:sz w:val="20"/>
                <w:szCs w:val="20"/>
                <w:lang w:val="en-GB"/>
              </w:rPr>
            </w:pPr>
            <w:r w:rsidRPr="00A34F10">
              <w:rPr>
                <w:sz w:val="20"/>
                <w:szCs w:val="20"/>
              </w:rPr>
              <w:t>0.1875</w:t>
            </w:r>
          </w:p>
        </w:tc>
        <w:tc>
          <w:tcPr>
            <w:tcW w:w="626" w:type="pct"/>
            <w:tcBorders>
              <w:top w:val="single" w:sz="4" w:space="0" w:color="auto"/>
              <w:left w:val="single" w:sz="4" w:space="0" w:color="auto"/>
              <w:bottom w:val="single" w:sz="4" w:space="0" w:color="auto"/>
              <w:right w:val="single" w:sz="4" w:space="0" w:color="auto"/>
            </w:tcBorders>
            <w:vAlign w:val="center"/>
            <w:hideMark/>
          </w:tcPr>
          <w:p w14:paraId="4D39752B" w14:textId="77777777" w:rsidR="00DC5685" w:rsidRPr="00A34F10" w:rsidRDefault="00DC5685" w:rsidP="00DC5685">
            <w:pPr>
              <w:tabs>
                <w:tab w:val="left" w:pos="720"/>
              </w:tabs>
              <w:jc w:val="center"/>
              <w:rPr>
                <w:sz w:val="20"/>
                <w:szCs w:val="20"/>
                <w:lang w:val="en-GB"/>
              </w:rPr>
            </w:pPr>
            <w:r w:rsidRPr="00A34F10">
              <w:rPr>
                <w:sz w:val="20"/>
                <w:szCs w:val="20"/>
                <w:lang w:val="en-GB"/>
              </w:rPr>
              <w:t>0 n.s.</w:t>
            </w:r>
          </w:p>
        </w:tc>
        <w:tc>
          <w:tcPr>
            <w:tcW w:w="699" w:type="pct"/>
            <w:tcBorders>
              <w:top w:val="single" w:sz="4" w:space="0" w:color="auto"/>
              <w:left w:val="single" w:sz="4" w:space="0" w:color="auto"/>
              <w:bottom w:val="single" w:sz="4" w:space="0" w:color="auto"/>
              <w:right w:val="single" w:sz="4" w:space="0" w:color="auto"/>
            </w:tcBorders>
            <w:vAlign w:val="center"/>
            <w:hideMark/>
          </w:tcPr>
          <w:p w14:paraId="3050DBBF"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1410" w:type="pct"/>
            <w:tcBorders>
              <w:top w:val="single" w:sz="4" w:space="0" w:color="auto"/>
              <w:left w:val="single" w:sz="4" w:space="0" w:color="auto"/>
              <w:bottom w:val="single" w:sz="4" w:space="0" w:color="auto"/>
              <w:right w:val="single" w:sz="4" w:space="0" w:color="auto"/>
            </w:tcBorders>
            <w:vAlign w:val="center"/>
          </w:tcPr>
          <w:p w14:paraId="290B0229" w14:textId="77777777" w:rsidR="00DC5685" w:rsidRPr="00A34F10" w:rsidRDefault="00DC5685" w:rsidP="00DC5685">
            <w:pPr>
              <w:tabs>
                <w:tab w:val="left" w:pos="720"/>
              </w:tabs>
              <w:jc w:val="center"/>
              <w:rPr>
                <w:sz w:val="20"/>
                <w:szCs w:val="20"/>
                <w:lang w:val="en-GB"/>
              </w:rPr>
            </w:pPr>
            <w:r w:rsidRPr="00A34F10">
              <w:rPr>
                <w:sz w:val="20"/>
                <w:szCs w:val="20"/>
                <w:lang w:val="en-GB"/>
              </w:rPr>
              <w:t>17.8 n.s.</w:t>
            </w:r>
          </w:p>
        </w:tc>
        <w:tc>
          <w:tcPr>
            <w:tcW w:w="871" w:type="pct"/>
            <w:tcBorders>
              <w:top w:val="single" w:sz="4" w:space="0" w:color="auto"/>
              <w:left w:val="single" w:sz="4" w:space="0" w:color="auto"/>
              <w:bottom w:val="single" w:sz="4" w:space="0" w:color="auto"/>
              <w:right w:val="single" w:sz="4" w:space="0" w:color="auto"/>
            </w:tcBorders>
            <w:vAlign w:val="center"/>
          </w:tcPr>
          <w:p w14:paraId="265E9538" w14:textId="77777777" w:rsidR="00DC5685" w:rsidRPr="00A34F10" w:rsidRDefault="00DC5685" w:rsidP="00DC5685">
            <w:pPr>
              <w:tabs>
                <w:tab w:val="left" w:pos="720"/>
              </w:tabs>
              <w:jc w:val="center"/>
              <w:rPr>
                <w:sz w:val="20"/>
                <w:szCs w:val="20"/>
                <w:lang w:val="en-GB"/>
              </w:rPr>
            </w:pPr>
            <w:r w:rsidRPr="00A34F10">
              <w:rPr>
                <w:sz w:val="20"/>
                <w:szCs w:val="20"/>
                <w:lang w:val="en-GB"/>
              </w:rPr>
              <w:t>-4.1</w:t>
            </w:r>
          </w:p>
        </w:tc>
      </w:tr>
      <w:tr w:rsidR="00DC5685" w:rsidRPr="00A34F10" w14:paraId="5CD6167D" w14:textId="77777777" w:rsidTr="000470C3">
        <w:trPr>
          <w:trHeight w:hRule="exact" w:val="284"/>
        </w:trPr>
        <w:tc>
          <w:tcPr>
            <w:tcW w:w="945" w:type="pct"/>
            <w:vMerge/>
            <w:tcBorders>
              <w:top w:val="single" w:sz="4" w:space="0" w:color="auto"/>
              <w:left w:val="single" w:sz="4" w:space="0" w:color="auto"/>
              <w:bottom w:val="single" w:sz="4" w:space="0" w:color="auto"/>
              <w:right w:val="single" w:sz="4" w:space="0" w:color="auto"/>
            </w:tcBorders>
            <w:vAlign w:val="center"/>
            <w:hideMark/>
          </w:tcPr>
          <w:p w14:paraId="367A544F" w14:textId="77777777" w:rsidR="00DC5685" w:rsidRPr="00A34F10" w:rsidRDefault="00DC5685" w:rsidP="00DC5685">
            <w:pPr>
              <w:jc w:val="center"/>
              <w:rPr>
                <w:sz w:val="20"/>
                <w:szCs w:val="20"/>
                <w:highlight w:val="yellow"/>
                <w:lang w:val="en-GB"/>
              </w:rPr>
            </w:pPr>
          </w:p>
        </w:tc>
        <w:tc>
          <w:tcPr>
            <w:tcW w:w="449" w:type="pct"/>
            <w:tcBorders>
              <w:top w:val="single" w:sz="4" w:space="0" w:color="auto"/>
              <w:left w:val="single" w:sz="4" w:space="0" w:color="auto"/>
              <w:bottom w:val="single" w:sz="4" w:space="0" w:color="auto"/>
              <w:right w:val="single" w:sz="4" w:space="0" w:color="auto"/>
            </w:tcBorders>
            <w:vAlign w:val="center"/>
            <w:hideMark/>
          </w:tcPr>
          <w:p w14:paraId="0E01372A" w14:textId="77777777" w:rsidR="00DC5685" w:rsidRPr="00A34F10" w:rsidRDefault="00DC5685" w:rsidP="00DC5685">
            <w:pPr>
              <w:tabs>
                <w:tab w:val="left" w:pos="720"/>
              </w:tabs>
              <w:jc w:val="center"/>
              <w:rPr>
                <w:sz w:val="20"/>
                <w:szCs w:val="20"/>
                <w:lang w:val="en-GB"/>
              </w:rPr>
            </w:pPr>
            <w:r w:rsidRPr="00A34F10">
              <w:rPr>
                <w:sz w:val="20"/>
                <w:szCs w:val="20"/>
              </w:rPr>
              <w:t>0.375</w:t>
            </w:r>
          </w:p>
        </w:tc>
        <w:tc>
          <w:tcPr>
            <w:tcW w:w="626" w:type="pct"/>
            <w:tcBorders>
              <w:top w:val="single" w:sz="4" w:space="0" w:color="auto"/>
              <w:left w:val="single" w:sz="4" w:space="0" w:color="auto"/>
              <w:bottom w:val="single" w:sz="4" w:space="0" w:color="auto"/>
              <w:right w:val="single" w:sz="4" w:space="0" w:color="auto"/>
            </w:tcBorders>
            <w:vAlign w:val="center"/>
            <w:hideMark/>
          </w:tcPr>
          <w:p w14:paraId="5FADFF47" w14:textId="77777777" w:rsidR="00DC5685" w:rsidRPr="00A34F10" w:rsidRDefault="00DC5685" w:rsidP="00DC5685">
            <w:pPr>
              <w:tabs>
                <w:tab w:val="left" w:pos="720"/>
              </w:tabs>
              <w:jc w:val="center"/>
              <w:rPr>
                <w:sz w:val="20"/>
                <w:szCs w:val="20"/>
                <w:lang w:val="en-GB"/>
              </w:rPr>
            </w:pPr>
            <w:r w:rsidRPr="00A34F10">
              <w:rPr>
                <w:sz w:val="20"/>
                <w:szCs w:val="20"/>
                <w:lang w:val="en-GB"/>
              </w:rPr>
              <w:t>0 n.s.</w:t>
            </w:r>
          </w:p>
        </w:tc>
        <w:tc>
          <w:tcPr>
            <w:tcW w:w="699" w:type="pct"/>
            <w:tcBorders>
              <w:top w:val="single" w:sz="4" w:space="0" w:color="auto"/>
              <w:left w:val="single" w:sz="4" w:space="0" w:color="auto"/>
              <w:bottom w:val="single" w:sz="4" w:space="0" w:color="auto"/>
              <w:right w:val="single" w:sz="4" w:space="0" w:color="auto"/>
            </w:tcBorders>
            <w:vAlign w:val="center"/>
            <w:hideMark/>
          </w:tcPr>
          <w:p w14:paraId="31272966"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1410" w:type="pct"/>
            <w:tcBorders>
              <w:top w:val="single" w:sz="4" w:space="0" w:color="auto"/>
              <w:left w:val="single" w:sz="4" w:space="0" w:color="auto"/>
              <w:bottom w:val="single" w:sz="4" w:space="0" w:color="auto"/>
              <w:right w:val="single" w:sz="4" w:space="0" w:color="auto"/>
            </w:tcBorders>
            <w:vAlign w:val="center"/>
          </w:tcPr>
          <w:p w14:paraId="466C0964" w14:textId="77777777" w:rsidR="00DC5685" w:rsidRPr="00A34F10" w:rsidRDefault="00DC5685" w:rsidP="00DC5685">
            <w:pPr>
              <w:tabs>
                <w:tab w:val="left" w:pos="720"/>
              </w:tabs>
              <w:jc w:val="center"/>
              <w:rPr>
                <w:sz w:val="20"/>
                <w:szCs w:val="20"/>
                <w:lang w:val="en-GB"/>
              </w:rPr>
            </w:pPr>
            <w:r w:rsidRPr="00A34F10">
              <w:rPr>
                <w:sz w:val="20"/>
                <w:szCs w:val="20"/>
                <w:lang w:val="en-GB"/>
              </w:rPr>
              <w:t>15.9 n.s.</w:t>
            </w:r>
          </w:p>
        </w:tc>
        <w:tc>
          <w:tcPr>
            <w:tcW w:w="871" w:type="pct"/>
            <w:tcBorders>
              <w:top w:val="single" w:sz="4" w:space="0" w:color="auto"/>
              <w:left w:val="single" w:sz="4" w:space="0" w:color="auto"/>
              <w:bottom w:val="single" w:sz="4" w:space="0" w:color="auto"/>
              <w:right w:val="single" w:sz="4" w:space="0" w:color="auto"/>
            </w:tcBorders>
            <w:vAlign w:val="center"/>
          </w:tcPr>
          <w:p w14:paraId="39B12B47" w14:textId="77777777" w:rsidR="00DC5685" w:rsidRPr="00A34F10" w:rsidRDefault="00DC5685" w:rsidP="00DC5685">
            <w:pPr>
              <w:tabs>
                <w:tab w:val="left" w:pos="720"/>
              </w:tabs>
              <w:jc w:val="center"/>
              <w:rPr>
                <w:sz w:val="20"/>
                <w:szCs w:val="20"/>
                <w:lang w:val="en-GB"/>
              </w:rPr>
            </w:pPr>
            <w:r w:rsidRPr="00A34F10">
              <w:rPr>
                <w:sz w:val="20"/>
                <w:szCs w:val="20"/>
                <w:lang w:val="en-GB"/>
              </w:rPr>
              <w:t>7.0</w:t>
            </w:r>
          </w:p>
        </w:tc>
      </w:tr>
      <w:tr w:rsidR="00DC5685" w:rsidRPr="00A34F10" w14:paraId="61899F54" w14:textId="77777777" w:rsidTr="000470C3">
        <w:trPr>
          <w:trHeight w:hRule="exact" w:val="284"/>
        </w:trPr>
        <w:tc>
          <w:tcPr>
            <w:tcW w:w="945" w:type="pct"/>
            <w:vMerge/>
            <w:tcBorders>
              <w:top w:val="single" w:sz="4" w:space="0" w:color="auto"/>
              <w:left w:val="single" w:sz="4" w:space="0" w:color="auto"/>
              <w:bottom w:val="single" w:sz="4" w:space="0" w:color="auto"/>
              <w:right w:val="single" w:sz="4" w:space="0" w:color="auto"/>
            </w:tcBorders>
            <w:vAlign w:val="center"/>
            <w:hideMark/>
          </w:tcPr>
          <w:p w14:paraId="1C298F21" w14:textId="77777777" w:rsidR="00DC5685" w:rsidRPr="00A34F10" w:rsidRDefault="00DC5685" w:rsidP="00DC5685">
            <w:pPr>
              <w:jc w:val="center"/>
              <w:rPr>
                <w:sz w:val="20"/>
                <w:szCs w:val="20"/>
                <w:highlight w:val="yellow"/>
                <w:lang w:val="en-GB"/>
              </w:rPr>
            </w:pPr>
          </w:p>
        </w:tc>
        <w:tc>
          <w:tcPr>
            <w:tcW w:w="449" w:type="pct"/>
            <w:tcBorders>
              <w:top w:val="single" w:sz="4" w:space="0" w:color="auto"/>
              <w:left w:val="single" w:sz="4" w:space="0" w:color="auto"/>
              <w:bottom w:val="single" w:sz="4" w:space="0" w:color="auto"/>
              <w:right w:val="single" w:sz="4" w:space="0" w:color="auto"/>
            </w:tcBorders>
            <w:vAlign w:val="center"/>
            <w:hideMark/>
          </w:tcPr>
          <w:p w14:paraId="0164B70A" w14:textId="77777777" w:rsidR="00DC5685" w:rsidRPr="00A34F10" w:rsidRDefault="00DC5685" w:rsidP="00DC5685">
            <w:pPr>
              <w:tabs>
                <w:tab w:val="left" w:pos="720"/>
              </w:tabs>
              <w:jc w:val="center"/>
              <w:rPr>
                <w:sz w:val="20"/>
                <w:szCs w:val="20"/>
                <w:lang w:val="en-GB"/>
              </w:rPr>
            </w:pPr>
            <w:r w:rsidRPr="00A34F10">
              <w:rPr>
                <w:sz w:val="20"/>
                <w:szCs w:val="20"/>
              </w:rPr>
              <w:t>0.75</w:t>
            </w:r>
          </w:p>
        </w:tc>
        <w:tc>
          <w:tcPr>
            <w:tcW w:w="626" w:type="pct"/>
            <w:tcBorders>
              <w:top w:val="single" w:sz="4" w:space="0" w:color="auto"/>
              <w:left w:val="single" w:sz="4" w:space="0" w:color="auto"/>
              <w:bottom w:val="single" w:sz="4" w:space="0" w:color="auto"/>
              <w:right w:val="single" w:sz="4" w:space="0" w:color="auto"/>
            </w:tcBorders>
            <w:vAlign w:val="center"/>
            <w:hideMark/>
          </w:tcPr>
          <w:p w14:paraId="0FCEAA24"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699" w:type="pct"/>
            <w:tcBorders>
              <w:top w:val="single" w:sz="4" w:space="0" w:color="auto"/>
              <w:left w:val="single" w:sz="4" w:space="0" w:color="auto"/>
              <w:bottom w:val="single" w:sz="4" w:space="0" w:color="auto"/>
              <w:right w:val="single" w:sz="4" w:space="0" w:color="auto"/>
            </w:tcBorders>
            <w:vAlign w:val="center"/>
            <w:hideMark/>
          </w:tcPr>
          <w:p w14:paraId="0661E0B4"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410" w:type="pct"/>
            <w:tcBorders>
              <w:top w:val="single" w:sz="4" w:space="0" w:color="auto"/>
              <w:left w:val="single" w:sz="4" w:space="0" w:color="auto"/>
              <w:bottom w:val="single" w:sz="4" w:space="0" w:color="auto"/>
              <w:right w:val="single" w:sz="4" w:space="0" w:color="auto"/>
            </w:tcBorders>
            <w:vAlign w:val="center"/>
          </w:tcPr>
          <w:p w14:paraId="73F60C27" w14:textId="77777777" w:rsidR="00DC5685" w:rsidRPr="00A34F10" w:rsidRDefault="00DC5685" w:rsidP="00DC5685">
            <w:pPr>
              <w:tabs>
                <w:tab w:val="left" w:pos="720"/>
              </w:tabs>
              <w:jc w:val="center"/>
              <w:rPr>
                <w:sz w:val="20"/>
                <w:szCs w:val="20"/>
                <w:lang w:val="en-GB"/>
              </w:rPr>
            </w:pPr>
            <w:r w:rsidRPr="00A34F10">
              <w:rPr>
                <w:sz w:val="20"/>
                <w:szCs w:val="20"/>
                <w:lang w:val="en-GB"/>
              </w:rPr>
              <w:t>17.3 n.s.</w:t>
            </w:r>
          </w:p>
        </w:tc>
        <w:tc>
          <w:tcPr>
            <w:tcW w:w="871" w:type="pct"/>
            <w:tcBorders>
              <w:top w:val="single" w:sz="4" w:space="0" w:color="auto"/>
              <w:left w:val="single" w:sz="4" w:space="0" w:color="auto"/>
              <w:bottom w:val="single" w:sz="4" w:space="0" w:color="auto"/>
              <w:right w:val="single" w:sz="4" w:space="0" w:color="auto"/>
            </w:tcBorders>
            <w:vAlign w:val="center"/>
          </w:tcPr>
          <w:p w14:paraId="413D238D" w14:textId="77777777" w:rsidR="00DC5685" w:rsidRPr="00A34F10" w:rsidRDefault="00DC5685" w:rsidP="00DC5685">
            <w:pPr>
              <w:tabs>
                <w:tab w:val="left" w:pos="720"/>
              </w:tabs>
              <w:jc w:val="center"/>
              <w:rPr>
                <w:sz w:val="20"/>
                <w:szCs w:val="20"/>
                <w:lang w:val="en-GB"/>
              </w:rPr>
            </w:pPr>
            <w:r w:rsidRPr="00A34F10">
              <w:rPr>
                <w:sz w:val="20"/>
                <w:szCs w:val="20"/>
                <w:lang w:val="en-GB"/>
              </w:rPr>
              <w:t>-1.2</w:t>
            </w:r>
          </w:p>
        </w:tc>
      </w:tr>
      <w:tr w:rsidR="00DC5685" w:rsidRPr="00A34F10" w14:paraId="2983912F" w14:textId="77777777" w:rsidTr="000470C3">
        <w:trPr>
          <w:trHeight w:hRule="exact" w:val="284"/>
        </w:trPr>
        <w:tc>
          <w:tcPr>
            <w:tcW w:w="945" w:type="pct"/>
            <w:vMerge/>
            <w:tcBorders>
              <w:top w:val="single" w:sz="4" w:space="0" w:color="auto"/>
              <w:left w:val="single" w:sz="4" w:space="0" w:color="auto"/>
              <w:bottom w:val="single" w:sz="4" w:space="0" w:color="auto"/>
              <w:right w:val="single" w:sz="4" w:space="0" w:color="auto"/>
            </w:tcBorders>
            <w:vAlign w:val="center"/>
            <w:hideMark/>
          </w:tcPr>
          <w:p w14:paraId="77B241D0" w14:textId="77777777" w:rsidR="00DC5685" w:rsidRPr="00A34F10" w:rsidRDefault="00DC5685" w:rsidP="00DC5685">
            <w:pPr>
              <w:jc w:val="center"/>
              <w:rPr>
                <w:sz w:val="20"/>
                <w:szCs w:val="20"/>
                <w:highlight w:val="yellow"/>
                <w:lang w:val="en-GB"/>
              </w:rPr>
            </w:pPr>
          </w:p>
        </w:tc>
        <w:tc>
          <w:tcPr>
            <w:tcW w:w="449" w:type="pct"/>
            <w:tcBorders>
              <w:top w:val="single" w:sz="4" w:space="0" w:color="auto"/>
              <w:left w:val="single" w:sz="4" w:space="0" w:color="auto"/>
              <w:bottom w:val="single" w:sz="4" w:space="0" w:color="auto"/>
              <w:right w:val="single" w:sz="4" w:space="0" w:color="auto"/>
            </w:tcBorders>
            <w:vAlign w:val="center"/>
            <w:hideMark/>
          </w:tcPr>
          <w:p w14:paraId="0C93C2C6" w14:textId="77777777" w:rsidR="00DC5685" w:rsidRPr="00A34F10" w:rsidRDefault="00DC5685" w:rsidP="00DC5685">
            <w:pPr>
              <w:tabs>
                <w:tab w:val="left" w:pos="720"/>
              </w:tabs>
              <w:jc w:val="center"/>
              <w:rPr>
                <w:sz w:val="20"/>
                <w:szCs w:val="20"/>
                <w:lang w:val="en-GB"/>
              </w:rPr>
            </w:pPr>
            <w:r w:rsidRPr="00A34F10">
              <w:rPr>
                <w:sz w:val="20"/>
                <w:szCs w:val="20"/>
              </w:rPr>
              <w:t>1.5</w:t>
            </w:r>
          </w:p>
        </w:tc>
        <w:tc>
          <w:tcPr>
            <w:tcW w:w="626" w:type="pct"/>
            <w:tcBorders>
              <w:top w:val="single" w:sz="4" w:space="0" w:color="auto"/>
              <w:left w:val="single" w:sz="4" w:space="0" w:color="auto"/>
              <w:bottom w:val="single" w:sz="4" w:space="0" w:color="auto"/>
              <w:right w:val="single" w:sz="4" w:space="0" w:color="auto"/>
            </w:tcBorders>
            <w:vAlign w:val="center"/>
            <w:hideMark/>
          </w:tcPr>
          <w:p w14:paraId="1BA3E34C"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699" w:type="pct"/>
            <w:tcBorders>
              <w:top w:val="single" w:sz="4" w:space="0" w:color="auto"/>
              <w:left w:val="single" w:sz="4" w:space="0" w:color="auto"/>
              <w:bottom w:val="single" w:sz="4" w:space="0" w:color="auto"/>
              <w:right w:val="single" w:sz="4" w:space="0" w:color="auto"/>
            </w:tcBorders>
            <w:vAlign w:val="center"/>
            <w:hideMark/>
          </w:tcPr>
          <w:p w14:paraId="7953AB61"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410" w:type="pct"/>
            <w:tcBorders>
              <w:top w:val="single" w:sz="4" w:space="0" w:color="auto"/>
              <w:left w:val="single" w:sz="4" w:space="0" w:color="auto"/>
              <w:bottom w:val="single" w:sz="4" w:space="0" w:color="auto"/>
              <w:right w:val="single" w:sz="4" w:space="0" w:color="auto"/>
            </w:tcBorders>
            <w:vAlign w:val="center"/>
          </w:tcPr>
          <w:p w14:paraId="19E2A11A" w14:textId="77777777" w:rsidR="00DC5685" w:rsidRPr="00A34F10" w:rsidRDefault="00DC5685" w:rsidP="00DC5685">
            <w:pPr>
              <w:tabs>
                <w:tab w:val="left" w:pos="720"/>
              </w:tabs>
              <w:jc w:val="center"/>
              <w:rPr>
                <w:sz w:val="20"/>
                <w:szCs w:val="20"/>
                <w:lang w:val="en-GB"/>
              </w:rPr>
            </w:pPr>
            <w:r w:rsidRPr="00A34F10">
              <w:rPr>
                <w:sz w:val="20"/>
                <w:szCs w:val="20"/>
                <w:lang w:val="en-GB"/>
              </w:rPr>
              <w:t>15.8 n.s.</w:t>
            </w:r>
          </w:p>
        </w:tc>
        <w:tc>
          <w:tcPr>
            <w:tcW w:w="871" w:type="pct"/>
            <w:tcBorders>
              <w:top w:val="single" w:sz="4" w:space="0" w:color="auto"/>
              <w:left w:val="single" w:sz="4" w:space="0" w:color="auto"/>
              <w:bottom w:val="single" w:sz="4" w:space="0" w:color="auto"/>
              <w:right w:val="single" w:sz="4" w:space="0" w:color="auto"/>
            </w:tcBorders>
            <w:vAlign w:val="center"/>
          </w:tcPr>
          <w:p w14:paraId="264B1579" w14:textId="77777777" w:rsidR="00DC5685" w:rsidRPr="00A34F10" w:rsidRDefault="00DC5685" w:rsidP="00DC5685">
            <w:pPr>
              <w:tabs>
                <w:tab w:val="left" w:pos="720"/>
              </w:tabs>
              <w:jc w:val="center"/>
              <w:rPr>
                <w:sz w:val="20"/>
                <w:szCs w:val="20"/>
                <w:lang w:val="en-GB"/>
              </w:rPr>
            </w:pPr>
            <w:r w:rsidRPr="00A34F10">
              <w:rPr>
                <w:sz w:val="20"/>
                <w:szCs w:val="20"/>
                <w:lang w:val="en-GB"/>
              </w:rPr>
              <w:t>7.6</w:t>
            </w:r>
          </w:p>
        </w:tc>
      </w:tr>
      <w:tr w:rsidR="00DC5685" w:rsidRPr="00A34F10" w14:paraId="7EA14B35" w14:textId="77777777" w:rsidTr="000470C3">
        <w:trPr>
          <w:trHeight w:hRule="exact" w:val="284"/>
        </w:trPr>
        <w:tc>
          <w:tcPr>
            <w:tcW w:w="945" w:type="pct"/>
            <w:vMerge/>
            <w:tcBorders>
              <w:top w:val="single" w:sz="4" w:space="0" w:color="auto"/>
              <w:left w:val="single" w:sz="4" w:space="0" w:color="auto"/>
              <w:bottom w:val="single" w:sz="4" w:space="0" w:color="auto"/>
              <w:right w:val="single" w:sz="4" w:space="0" w:color="auto"/>
            </w:tcBorders>
            <w:vAlign w:val="center"/>
            <w:hideMark/>
          </w:tcPr>
          <w:p w14:paraId="376583D4" w14:textId="77777777" w:rsidR="00DC5685" w:rsidRPr="00A34F10" w:rsidRDefault="00DC5685" w:rsidP="00DC5685">
            <w:pPr>
              <w:jc w:val="center"/>
              <w:rPr>
                <w:sz w:val="20"/>
                <w:szCs w:val="20"/>
                <w:highlight w:val="yellow"/>
                <w:lang w:val="en-GB"/>
              </w:rPr>
            </w:pPr>
          </w:p>
        </w:tc>
        <w:tc>
          <w:tcPr>
            <w:tcW w:w="449" w:type="pct"/>
            <w:tcBorders>
              <w:top w:val="single" w:sz="4" w:space="0" w:color="auto"/>
              <w:left w:val="single" w:sz="4" w:space="0" w:color="auto"/>
              <w:bottom w:val="single" w:sz="4" w:space="0" w:color="auto"/>
              <w:right w:val="single" w:sz="4" w:space="0" w:color="auto"/>
            </w:tcBorders>
            <w:vAlign w:val="center"/>
            <w:hideMark/>
          </w:tcPr>
          <w:p w14:paraId="4C7F27FE" w14:textId="77777777" w:rsidR="00DC5685" w:rsidRPr="00A34F10" w:rsidRDefault="00DC5685" w:rsidP="00DC5685">
            <w:pPr>
              <w:tabs>
                <w:tab w:val="left" w:pos="720"/>
              </w:tabs>
              <w:jc w:val="center"/>
              <w:rPr>
                <w:sz w:val="20"/>
                <w:szCs w:val="20"/>
                <w:lang w:val="en-GB"/>
              </w:rPr>
            </w:pPr>
            <w:r w:rsidRPr="00A34F10">
              <w:rPr>
                <w:sz w:val="20"/>
                <w:szCs w:val="20"/>
              </w:rPr>
              <w:t>3</w:t>
            </w:r>
          </w:p>
        </w:tc>
        <w:tc>
          <w:tcPr>
            <w:tcW w:w="626" w:type="pct"/>
            <w:tcBorders>
              <w:top w:val="single" w:sz="4" w:space="0" w:color="auto"/>
              <w:left w:val="single" w:sz="4" w:space="0" w:color="auto"/>
              <w:bottom w:val="single" w:sz="4" w:space="0" w:color="auto"/>
              <w:right w:val="single" w:sz="4" w:space="0" w:color="auto"/>
            </w:tcBorders>
            <w:vAlign w:val="center"/>
            <w:hideMark/>
          </w:tcPr>
          <w:p w14:paraId="452E1C28"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699" w:type="pct"/>
            <w:tcBorders>
              <w:top w:val="single" w:sz="4" w:space="0" w:color="auto"/>
              <w:left w:val="single" w:sz="4" w:space="0" w:color="auto"/>
              <w:bottom w:val="single" w:sz="4" w:space="0" w:color="auto"/>
              <w:right w:val="single" w:sz="4" w:space="0" w:color="auto"/>
            </w:tcBorders>
            <w:vAlign w:val="center"/>
            <w:hideMark/>
          </w:tcPr>
          <w:p w14:paraId="14FAFF0E"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410" w:type="pct"/>
            <w:tcBorders>
              <w:top w:val="single" w:sz="4" w:space="0" w:color="auto"/>
              <w:left w:val="single" w:sz="4" w:space="0" w:color="auto"/>
              <w:bottom w:val="single" w:sz="4" w:space="0" w:color="auto"/>
              <w:right w:val="single" w:sz="4" w:space="0" w:color="auto"/>
            </w:tcBorders>
            <w:vAlign w:val="center"/>
          </w:tcPr>
          <w:p w14:paraId="7C176B5D" w14:textId="77777777" w:rsidR="00DC5685" w:rsidRPr="00A34F10" w:rsidRDefault="00DC5685" w:rsidP="00DC5685">
            <w:pPr>
              <w:tabs>
                <w:tab w:val="left" w:pos="720"/>
              </w:tabs>
              <w:jc w:val="center"/>
              <w:rPr>
                <w:sz w:val="20"/>
                <w:szCs w:val="20"/>
                <w:lang w:val="en-GB"/>
              </w:rPr>
            </w:pPr>
            <w:r w:rsidRPr="00A34F10">
              <w:rPr>
                <w:sz w:val="20"/>
                <w:szCs w:val="20"/>
                <w:lang w:val="en-GB"/>
              </w:rPr>
              <w:t>16.0 n.s.</w:t>
            </w:r>
          </w:p>
        </w:tc>
        <w:tc>
          <w:tcPr>
            <w:tcW w:w="871" w:type="pct"/>
            <w:tcBorders>
              <w:top w:val="single" w:sz="4" w:space="0" w:color="auto"/>
              <w:left w:val="single" w:sz="4" w:space="0" w:color="auto"/>
              <w:bottom w:val="single" w:sz="4" w:space="0" w:color="auto"/>
              <w:right w:val="single" w:sz="4" w:space="0" w:color="auto"/>
            </w:tcBorders>
            <w:vAlign w:val="center"/>
          </w:tcPr>
          <w:p w14:paraId="297EC03A" w14:textId="77777777" w:rsidR="00DC5685" w:rsidRPr="00A34F10" w:rsidRDefault="00DC5685" w:rsidP="00DC5685">
            <w:pPr>
              <w:tabs>
                <w:tab w:val="left" w:pos="720"/>
              </w:tabs>
              <w:jc w:val="center"/>
              <w:rPr>
                <w:sz w:val="20"/>
                <w:szCs w:val="20"/>
                <w:lang w:val="en-GB"/>
              </w:rPr>
            </w:pPr>
            <w:r w:rsidRPr="00A34F10">
              <w:rPr>
                <w:sz w:val="20"/>
                <w:szCs w:val="20"/>
                <w:lang w:val="en-GB"/>
              </w:rPr>
              <w:t>6.4</w:t>
            </w:r>
          </w:p>
        </w:tc>
      </w:tr>
      <w:tr w:rsidR="00DC5685" w:rsidRPr="00A34F10" w14:paraId="7C911784" w14:textId="77777777" w:rsidTr="000470C3">
        <w:trPr>
          <w:trHeight w:hRule="exact" w:val="554"/>
        </w:trPr>
        <w:tc>
          <w:tcPr>
            <w:tcW w:w="945" w:type="pct"/>
            <w:tcBorders>
              <w:top w:val="single" w:sz="4" w:space="0" w:color="auto"/>
              <w:left w:val="single" w:sz="4" w:space="0" w:color="auto"/>
              <w:bottom w:val="single" w:sz="4" w:space="0" w:color="auto"/>
              <w:right w:val="single" w:sz="4" w:space="0" w:color="auto"/>
            </w:tcBorders>
            <w:vAlign w:val="center"/>
          </w:tcPr>
          <w:p w14:paraId="0CCF1DCD" w14:textId="77777777" w:rsidR="00DC5685" w:rsidRPr="00A34F10" w:rsidRDefault="00DC5685" w:rsidP="00DC5685">
            <w:pPr>
              <w:jc w:val="center"/>
              <w:rPr>
                <w:sz w:val="20"/>
                <w:szCs w:val="20"/>
                <w:lang w:val="en-GB"/>
              </w:rPr>
            </w:pPr>
            <w:r w:rsidRPr="00A34F10">
              <w:rPr>
                <w:sz w:val="20"/>
                <w:szCs w:val="20"/>
                <w:lang w:val="en-GB"/>
              </w:rPr>
              <w:t>Danadim Progress</w:t>
            </w:r>
          </w:p>
          <w:p w14:paraId="00B70A88" w14:textId="77777777" w:rsidR="00DC5685" w:rsidRPr="00A34F10" w:rsidRDefault="00DC5685" w:rsidP="00DC5685">
            <w:pPr>
              <w:jc w:val="center"/>
              <w:rPr>
                <w:sz w:val="20"/>
                <w:szCs w:val="20"/>
                <w:highlight w:val="yellow"/>
                <w:lang w:val="en-GB"/>
              </w:rPr>
            </w:pPr>
            <w:r w:rsidRPr="00A34F10">
              <w:rPr>
                <w:sz w:val="20"/>
                <w:szCs w:val="20"/>
                <w:lang w:val="en-GB"/>
              </w:rPr>
              <w:t>[</w:t>
            </w:r>
            <w:r w:rsidRPr="00A34F10">
              <w:rPr>
                <w:sz w:val="20"/>
                <w:szCs w:val="20"/>
              </w:rPr>
              <w:t>mL product/ha</w:t>
            </w:r>
            <w:r w:rsidRPr="00A34F10">
              <w:rPr>
                <w:color w:val="71777D"/>
                <w:sz w:val="20"/>
                <w:szCs w:val="20"/>
                <w:shd w:val="clear" w:color="auto" w:fill="FFFFFF"/>
              </w:rPr>
              <w:t>]</w:t>
            </w:r>
          </w:p>
        </w:tc>
        <w:tc>
          <w:tcPr>
            <w:tcW w:w="449" w:type="pct"/>
            <w:tcBorders>
              <w:top w:val="single" w:sz="4" w:space="0" w:color="auto"/>
              <w:left w:val="single" w:sz="4" w:space="0" w:color="auto"/>
              <w:bottom w:val="single" w:sz="4" w:space="0" w:color="auto"/>
              <w:right w:val="single" w:sz="4" w:space="0" w:color="auto"/>
            </w:tcBorders>
            <w:vAlign w:val="center"/>
          </w:tcPr>
          <w:p w14:paraId="091BBAB5" w14:textId="77777777" w:rsidR="00DC5685" w:rsidRPr="00A34F10" w:rsidRDefault="00DC5685" w:rsidP="00DC5685">
            <w:pPr>
              <w:tabs>
                <w:tab w:val="left" w:pos="720"/>
              </w:tabs>
              <w:jc w:val="center"/>
              <w:rPr>
                <w:sz w:val="20"/>
                <w:szCs w:val="20"/>
              </w:rPr>
            </w:pPr>
            <w:r w:rsidRPr="00A34F10">
              <w:rPr>
                <w:sz w:val="20"/>
                <w:szCs w:val="20"/>
              </w:rPr>
              <w:t>0.3</w:t>
            </w:r>
          </w:p>
        </w:tc>
        <w:tc>
          <w:tcPr>
            <w:tcW w:w="626" w:type="pct"/>
            <w:tcBorders>
              <w:top w:val="single" w:sz="4" w:space="0" w:color="auto"/>
              <w:left w:val="single" w:sz="4" w:space="0" w:color="auto"/>
              <w:bottom w:val="single" w:sz="4" w:space="0" w:color="auto"/>
              <w:right w:val="single" w:sz="4" w:space="0" w:color="auto"/>
            </w:tcBorders>
            <w:vAlign w:val="center"/>
          </w:tcPr>
          <w:p w14:paraId="07D6672F" w14:textId="77777777" w:rsidR="00DC5685" w:rsidRPr="00A34F10" w:rsidRDefault="00DC5685" w:rsidP="00DC5685">
            <w:pPr>
              <w:tabs>
                <w:tab w:val="left" w:pos="720"/>
              </w:tabs>
              <w:jc w:val="center"/>
              <w:rPr>
                <w:sz w:val="20"/>
                <w:szCs w:val="20"/>
              </w:rPr>
            </w:pPr>
            <w:r w:rsidRPr="00A34F10">
              <w:rPr>
                <w:sz w:val="20"/>
                <w:szCs w:val="20"/>
              </w:rPr>
              <w:t>100*</w:t>
            </w:r>
          </w:p>
        </w:tc>
        <w:tc>
          <w:tcPr>
            <w:tcW w:w="699" w:type="pct"/>
            <w:tcBorders>
              <w:top w:val="single" w:sz="4" w:space="0" w:color="auto"/>
              <w:left w:val="single" w:sz="4" w:space="0" w:color="auto"/>
              <w:bottom w:val="single" w:sz="4" w:space="0" w:color="auto"/>
              <w:right w:val="single" w:sz="4" w:space="0" w:color="auto"/>
            </w:tcBorders>
            <w:vAlign w:val="center"/>
          </w:tcPr>
          <w:p w14:paraId="4741223F" w14:textId="77777777" w:rsidR="00DC5685" w:rsidRPr="00A34F10" w:rsidRDefault="00DC5685" w:rsidP="00DC5685">
            <w:pPr>
              <w:tabs>
                <w:tab w:val="left" w:pos="720"/>
              </w:tabs>
              <w:jc w:val="center"/>
              <w:rPr>
                <w:sz w:val="20"/>
                <w:szCs w:val="20"/>
              </w:rPr>
            </w:pPr>
            <w:r w:rsidRPr="00A34F10">
              <w:rPr>
                <w:sz w:val="20"/>
                <w:szCs w:val="20"/>
              </w:rPr>
              <w:t>100</w:t>
            </w:r>
          </w:p>
        </w:tc>
        <w:tc>
          <w:tcPr>
            <w:tcW w:w="1410" w:type="pct"/>
            <w:tcBorders>
              <w:top w:val="single" w:sz="4" w:space="0" w:color="auto"/>
              <w:left w:val="single" w:sz="4" w:space="0" w:color="auto"/>
              <w:bottom w:val="single" w:sz="4" w:space="0" w:color="auto"/>
              <w:right w:val="single" w:sz="4" w:space="0" w:color="auto"/>
            </w:tcBorders>
            <w:vAlign w:val="center"/>
          </w:tcPr>
          <w:p w14:paraId="28CB9481" w14:textId="77777777" w:rsidR="00DC5685" w:rsidRPr="00A34F10" w:rsidRDefault="00DC5685" w:rsidP="00DC5685">
            <w:pPr>
              <w:tabs>
                <w:tab w:val="left" w:pos="720"/>
              </w:tabs>
              <w:jc w:val="center"/>
              <w:rPr>
                <w:sz w:val="20"/>
                <w:szCs w:val="20"/>
              </w:rPr>
            </w:pPr>
            <w:r w:rsidRPr="00A34F10">
              <w:rPr>
                <w:sz w:val="20"/>
                <w:szCs w:val="20"/>
              </w:rPr>
              <w:t>n.d.</w:t>
            </w:r>
          </w:p>
        </w:tc>
        <w:tc>
          <w:tcPr>
            <w:tcW w:w="871" w:type="pct"/>
            <w:tcBorders>
              <w:top w:val="single" w:sz="4" w:space="0" w:color="auto"/>
              <w:left w:val="single" w:sz="4" w:space="0" w:color="auto"/>
              <w:bottom w:val="single" w:sz="4" w:space="0" w:color="auto"/>
              <w:right w:val="single" w:sz="4" w:space="0" w:color="auto"/>
            </w:tcBorders>
            <w:vAlign w:val="center"/>
          </w:tcPr>
          <w:p w14:paraId="250CF148" w14:textId="77777777" w:rsidR="00DC5685" w:rsidRPr="00A34F10" w:rsidRDefault="00DC5685" w:rsidP="00DC5685">
            <w:pPr>
              <w:tabs>
                <w:tab w:val="left" w:pos="720"/>
              </w:tabs>
              <w:jc w:val="center"/>
              <w:rPr>
                <w:sz w:val="20"/>
                <w:szCs w:val="20"/>
              </w:rPr>
            </w:pPr>
            <w:r w:rsidRPr="00A34F10">
              <w:rPr>
                <w:sz w:val="20"/>
                <w:szCs w:val="20"/>
              </w:rPr>
              <w:t>-</w:t>
            </w:r>
          </w:p>
        </w:tc>
      </w:tr>
      <w:tr w:rsidR="00DC5685" w:rsidRPr="00A34F10" w14:paraId="68BCA569" w14:textId="77777777" w:rsidTr="000470C3">
        <w:trPr>
          <w:trHeight w:hRule="exact" w:val="26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65402447" w14:textId="77777777" w:rsidR="00DC5685" w:rsidRPr="00A34F10" w:rsidRDefault="00DC5685" w:rsidP="00DC5685">
            <w:pPr>
              <w:tabs>
                <w:tab w:val="left" w:pos="720"/>
              </w:tabs>
              <w:jc w:val="center"/>
              <w:rPr>
                <w:sz w:val="20"/>
                <w:szCs w:val="20"/>
                <w:highlight w:val="yellow"/>
                <w:lang w:val="en-GB"/>
              </w:rPr>
            </w:pPr>
            <w:r w:rsidRPr="00A34F10">
              <w:rPr>
                <w:b/>
                <w:bCs/>
                <w:sz w:val="20"/>
                <w:szCs w:val="20"/>
                <w:lang w:val="en-GB"/>
              </w:rPr>
              <w:t xml:space="preserve">Endpoint </w:t>
            </w:r>
            <w:r w:rsidRPr="00A34F10">
              <w:rPr>
                <w:sz w:val="20"/>
                <w:szCs w:val="20"/>
                <w:lang w:val="es-ES"/>
              </w:rPr>
              <w:t>[</w:t>
            </w:r>
            <w:r w:rsidRPr="00A34F10">
              <w:rPr>
                <w:b/>
                <w:bCs/>
                <w:sz w:val="20"/>
                <w:szCs w:val="20"/>
                <w:lang w:val="en-GB"/>
              </w:rPr>
              <w:t>L product/ha</w:t>
            </w:r>
            <w:r w:rsidRPr="00A34F10">
              <w:rPr>
                <w:color w:val="71777D"/>
                <w:sz w:val="20"/>
                <w:szCs w:val="20"/>
                <w:shd w:val="clear" w:color="auto" w:fill="FFFFFF"/>
              </w:rPr>
              <w:t>]</w:t>
            </w:r>
          </w:p>
        </w:tc>
      </w:tr>
      <w:tr w:rsidR="00DC5685" w:rsidRPr="00A34F10" w14:paraId="3ADB594C" w14:textId="77777777" w:rsidTr="000470C3">
        <w:trPr>
          <w:trHeight w:hRule="exact" w:val="288"/>
        </w:trPr>
        <w:tc>
          <w:tcPr>
            <w:tcW w:w="945" w:type="pct"/>
            <w:tcBorders>
              <w:top w:val="single" w:sz="4" w:space="0" w:color="auto"/>
              <w:left w:val="single" w:sz="4" w:space="0" w:color="auto"/>
              <w:bottom w:val="single" w:sz="4" w:space="0" w:color="auto"/>
              <w:right w:val="single" w:sz="4" w:space="0" w:color="auto"/>
            </w:tcBorders>
            <w:vAlign w:val="center"/>
          </w:tcPr>
          <w:p w14:paraId="2822A362" w14:textId="77777777" w:rsidR="00DC5685" w:rsidRPr="00A34F10" w:rsidRDefault="00DC5685" w:rsidP="00DC5685">
            <w:pPr>
              <w:tabs>
                <w:tab w:val="left" w:pos="720"/>
              </w:tabs>
              <w:jc w:val="center"/>
              <w:rPr>
                <w:sz w:val="20"/>
                <w:szCs w:val="20"/>
                <w:lang w:val="en-GB"/>
              </w:rPr>
            </w:pPr>
            <w:r w:rsidRPr="00A34F10">
              <w:rPr>
                <w:sz w:val="20"/>
                <w:szCs w:val="20"/>
                <w:lang w:val="en-GB"/>
              </w:rPr>
              <w:t>LR</w:t>
            </w:r>
            <w:r w:rsidRPr="00A34F10">
              <w:rPr>
                <w:sz w:val="20"/>
                <w:szCs w:val="20"/>
                <w:vertAlign w:val="subscript"/>
                <w:lang w:val="en-GB"/>
              </w:rPr>
              <w:t>50</w:t>
            </w:r>
          </w:p>
        </w:tc>
        <w:tc>
          <w:tcPr>
            <w:tcW w:w="4055" w:type="pct"/>
            <w:gridSpan w:val="5"/>
            <w:tcBorders>
              <w:top w:val="single" w:sz="4" w:space="0" w:color="auto"/>
              <w:left w:val="single" w:sz="4" w:space="0" w:color="auto"/>
              <w:bottom w:val="single" w:sz="4" w:space="0" w:color="auto"/>
              <w:right w:val="single" w:sz="4" w:space="0" w:color="auto"/>
            </w:tcBorders>
            <w:vAlign w:val="center"/>
          </w:tcPr>
          <w:p w14:paraId="53E2B234" w14:textId="77777777" w:rsidR="00DC5685" w:rsidRPr="00A34F10" w:rsidRDefault="00DC5685" w:rsidP="00DC5685">
            <w:pPr>
              <w:tabs>
                <w:tab w:val="left" w:pos="720"/>
              </w:tabs>
              <w:jc w:val="center"/>
              <w:rPr>
                <w:sz w:val="20"/>
                <w:szCs w:val="20"/>
                <w:lang w:val="en-GB"/>
              </w:rPr>
            </w:pPr>
            <w:r w:rsidRPr="00A34F10">
              <w:rPr>
                <w:sz w:val="20"/>
                <w:szCs w:val="20"/>
                <w:lang w:val="en-GB"/>
              </w:rPr>
              <w:t>&gt;3</w:t>
            </w:r>
          </w:p>
        </w:tc>
      </w:tr>
      <w:tr w:rsidR="00DC5685" w:rsidRPr="00A34F10" w14:paraId="4B2109D8" w14:textId="77777777" w:rsidTr="000470C3">
        <w:trPr>
          <w:trHeight w:hRule="exact" w:val="288"/>
        </w:trPr>
        <w:tc>
          <w:tcPr>
            <w:tcW w:w="945" w:type="pct"/>
            <w:tcBorders>
              <w:top w:val="single" w:sz="4" w:space="0" w:color="auto"/>
              <w:left w:val="single" w:sz="4" w:space="0" w:color="auto"/>
              <w:bottom w:val="single" w:sz="4" w:space="0" w:color="auto"/>
              <w:right w:val="single" w:sz="4" w:space="0" w:color="auto"/>
            </w:tcBorders>
            <w:vAlign w:val="center"/>
          </w:tcPr>
          <w:p w14:paraId="0BFD7B60"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055" w:type="pct"/>
            <w:gridSpan w:val="5"/>
            <w:tcBorders>
              <w:top w:val="single" w:sz="4" w:space="0" w:color="auto"/>
              <w:left w:val="single" w:sz="4" w:space="0" w:color="auto"/>
              <w:bottom w:val="single" w:sz="4" w:space="0" w:color="auto"/>
              <w:right w:val="single" w:sz="4" w:space="0" w:color="auto"/>
            </w:tcBorders>
            <w:vAlign w:val="center"/>
          </w:tcPr>
          <w:p w14:paraId="1672BF49" w14:textId="77777777" w:rsidR="00DC5685" w:rsidRPr="00A34F10" w:rsidRDefault="00DC5685" w:rsidP="00DC5685">
            <w:pPr>
              <w:tabs>
                <w:tab w:val="left" w:pos="720"/>
              </w:tabs>
              <w:jc w:val="center"/>
              <w:rPr>
                <w:sz w:val="20"/>
                <w:szCs w:val="20"/>
                <w:lang w:val="en-GB"/>
              </w:rPr>
            </w:pPr>
            <w:r w:rsidRPr="00A34F10">
              <w:rPr>
                <w:sz w:val="20"/>
                <w:szCs w:val="20"/>
                <w:lang w:val="en-GB"/>
              </w:rPr>
              <w:t>3</w:t>
            </w:r>
          </w:p>
        </w:tc>
      </w:tr>
      <w:tr w:rsidR="00DC5685" w:rsidRPr="00A34F10" w14:paraId="50CA7E49" w14:textId="77777777" w:rsidTr="000470C3">
        <w:trPr>
          <w:trHeight w:hRule="exact" w:val="288"/>
        </w:trPr>
        <w:tc>
          <w:tcPr>
            <w:tcW w:w="945" w:type="pct"/>
            <w:tcBorders>
              <w:top w:val="single" w:sz="4" w:space="0" w:color="auto"/>
              <w:left w:val="single" w:sz="4" w:space="0" w:color="auto"/>
              <w:bottom w:val="single" w:sz="4" w:space="0" w:color="auto"/>
              <w:right w:val="single" w:sz="4" w:space="0" w:color="auto"/>
            </w:tcBorders>
            <w:vAlign w:val="center"/>
          </w:tcPr>
          <w:p w14:paraId="4D837165" w14:textId="77777777" w:rsidR="00DC5685" w:rsidRPr="00A34F10" w:rsidRDefault="00DC5685" w:rsidP="00DC5685">
            <w:pPr>
              <w:tabs>
                <w:tab w:val="left" w:pos="720"/>
              </w:tabs>
              <w:jc w:val="center"/>
              <w:rPr>
                <w:sz w:val="20"/>
                <w:szCs w:val="20"/>
                <w:lang w:val="en-GB"/>
              </w:rPr>
            </w:pPr>
            <w:r w:rsidRPr="00A34F10">
              <w:rPr>
                <w:sz w:val="20"/>
                <w:szCs w:val="20"/>
                <w:lang w:val="en-GB"/>
              </w:rPr>
              <w:t>ER</w:t>
            </w:r>
            <w:r w:rsidRPr="00A34F10">
              <w:rPr>
                <w:sz w:val="20"/>
                <w:szCs w:val="20"/>
                <w:vertAlign w:val="subscript"/>
                <w:lang w:val="en-GB"/>
              </w:rPr>
              <w:t>50</w:t>
            </w:r>
          </w:p>
        </w:tc>
        <w:tc>
          <w:tcPr>
            <w:tcW w:w="4055" w:type="pct"/>
            <w:gridSpan w:val="5"/>
            <w:tcBorders>
              <w:top w:val="single" w:sz="4" w:space="0" w:color="auto"/>
              <w:left w:val="single" w:sz="4" w:space="0" w:color="auto"/>
              <w:bottom w:val="single" w:sz="4" w:space="0" w:color="auto"/>
              <w:right w:val="single" w:sz="4" w:space="0" w:color="auto"/>
            </w:tcBorders>
            <w:vAlign w:val="center"/>
          </w:tcPr>
          <w:p w14:paraId="46A205EF" w14:textId="77777777" w:rsidR="00DC5685" w:rsidRPr="00A34F10" w:rsidRDefault="00DC5685" w:rsidP="00DC5685">
            <w:pPr>
              <w:tabs>
                <w:tab w:val="left" w:pos="720"/>
              </w:tabs>
              <w:jc w:val="center"/>
              <w:rPr>
                <w:sz w:val="20"/>
                <w:szCs w:val="20"/>
                <w:lang w:val="en-GB"/>
              </w:rPr>
            </w:pPr>
            <w:r w:rsidRPr="00A34F10">
              <w:rPr>
                <w:sz w:val="20"/>
                <w:szCs w:val="20"/>
                <w:lang w:val="en-GB"/>
              </w:rPr>
              <w:t>&gt;3</w:t>
            </w:r>
          </w:p>
        </w:tc>
      </w:tr>
      <w:tr w:rsidR="00DC5685" w:rsidRPr="00A34F10" w14:paraId="734B6D04" w14:textId="77777777" w:rsidTr="000470C3">
        <w:trPr>
          <w:trHeight w:hRule="exact" w:val="288"/>
        </w:trPr>
        <w:tc>
          <w:tcPr>
            <w:tcW w:w="945" w:type="pct"/>
            <w:tcBorders>
              <w:top w:val="single" w:sz="4" w:space="0" w:color="auto"/>
              <w:left w:val="single" w:sz="4" w:space="0" w:color="auto"/>
              <w:bottom w:val="single" w:sz="4" w:space="0" w:color="auto"/>
              <w:right w:val="single" w:sz="4" w:space="0" w:color="auto"/>
            </w:tcBorders>
            <w:vAlign w:val="center"/>
          </w:tcPr>
          <w:p w14:paraId="035B95E8"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055" w:type="pct"/>
            <w:gridSpan w:val="5"/>
            <w:tcBorders>
              <w:top w:val="single" w:sz="4" w:space="0" w:color="auto"/>
              <w:left w:val="single" w:sz="4" w:space="0" w:color="auto"/>
              <w:bottom w:val="single" w:sz="4" w:space="0" w:color="auto"/>
              <w:right w:val="single" w:sz="4" w:space="0" w:color="auto"/>
            </w:tcBorders>
            <w:vAlign w:val="center"/>
          </w:tcPr>
          <w:p w14:paraId="6B92A185" w14:textId="77777777" w:rsidR="00DC5685" w:rsidRPr="00A34F10" w:rsidRDefault="00DC5685" w:rsidP="00DC5685">
            <w:pPr>
              <w:tabs>
                <w:tab w:val="left" w:pos="720"/>
              </w:tabs>
              <w:jc w:val="center"/>
              <w:rPr>
                <w:sz w:val="20"/>
                <w:szCs w:val="20"/>
                <w:lang w:val="en-GB"/>
              </w:rPr>
            </w:pPr>
            <w:r w:rsidRPr="00A34F10">
              <w:rPr>
                <w:sz w:val="20"/>
                <w:szCs w:val="20"/>
                <w:lang w:val="en-GB"/>
              </w:rPr>
              <w:t>3</w:t>
            </w:r>
          </w:p>
        </w:tc>
      </w:tr>
    </w:tbl>
    <w:p w14:paraId="2FA21C7A"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 xml:space="preserve">1 </w:t>
      </w:r>
      <w:r w:rsidRPr="00A34F10">
        <w:rPr>
          <w:sz w:val="18"/>
          <w:szCs w:val="20"/>
          <w:lang w:val="en-GB"/>
        </w:rPr>
        <w:t>Application rate in 200 L water/ha</w:t>
      </w:r>
    </w:p>
    <w:p w14:paraId="792B4F0E"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2</w:t>
      </w:r>
      <w:r w:rsidRPr="00A34F10">
        <w:rPr>
          <w:sz w:val="18"/>
          <w:szCs w:val="20"/>
          <w:lang w:val="en-GB"/>
        </w:rPr>
        <w:t xml:space="preserve"> Corrected mortality according to ABBOTT (1925).</w:t>
      </w:r>
    </w:p>
    <w:p w14:paraId="0D84CB05"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3</w:t>
      </w:r>
      <w:r w:rsidRPr="00A34F10">
        <w:rPr>
          <w:sz w:val="18"/>
          <w:szCs w:val="20"/>
          <w:lang w:val="en-GB"/>
        </w:rPr>
        <w:t xml:space="preserve"> Reproduction: mean number of parasitised aphids (mummies)/surviving female. The results for the test item treatments and control were compared by Williams Multiple Sequentially t-Test (α = 0.05, one-sided smaller).</w:t>
      </w:r>
    </w:p>
    <w:p w14:paraId="3A6D26E7"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4</w:t>
      </w:r>
      <w:r w:rsidRPr="00A34F10">
        <w:rPr>
          <w:sz w:val="18"/>
          <w:szCs w:val="20"/>
          <w:lang w:val="en-GB"/>
        </w:rPr>
        <w:t xml:space="preserve"> Reduction of the reproduction performance relative to the control. A positive value indicates a lower reproduction performance and a negative value indicates a higher reproduction performance relative to the control.</w:t>
      </w:r>
    </w:p>
    <w:p w14:paraId="087A4C94" w14:textId="77777777" w:rsidR="00DC5685" w:rsidRPr="00A34F10" w:rsidRDefault="00DC5685" w:rsidP="00DC5685">
      <w:pPr>
        <w:tabs>
          <w:tab w:val="left" w:pos="720"/>
        </w:tabs>
        <w:jc w:val="both"/>
        <w:rPr>
          <w:sz w:val="18"/>
          <w:szCs w:val="20"/>
          <w:lang w:val="en-GB"/>
        </w:rPr>
      </w:pPr>
      <w:r w:rsidRPr="00A34F10">
        <w:rPr>
          <w:sz w:val="18"/>
          <w:szCs w:val="20"/>
          <w:lang w:val="en-GB"/>
        </w:rPr>
        <w:t>n.s. Not statistically significantly different compared to the control</w:t>
      </w:r>
    </w:p>
    <w:p w14:paraId="56D88961" w14:textId="77777777" w:rsidR="00DC5685" w:rsidRPr="00A34F10" w:rsidRDefault="00DC5685" w:rsidP="00DC5685">
      <w:pPr>
        <w:tabs>
          <w:tab w:val="left" w:pos="720"/>
        </w:tabs>
        <w:spacing w:after="360"/>
        <w:jc w:val="both"/>
        <w:rPr>
          <w:sz w:val="18"/>
          <w:szCs w:val="20"/>
          <w:lang w:val="en-GB"/>
        </w:rPr>
      </w:pPr>
      <w:r w:rsidRPr="00A34F10">
        <w:rPr>
          <w:sz w:val="18"/>
          <w:szCs w:val="20"/>
          <w:lang w:val="en-GB"/>
        </w:rPr>
        <w:t>* Statistically significantly different compared to the control: Chi2 2x2 Table Test (α = 0.05, one-sided greater) for reference item</w:t>
      </w:r>
    </w:p>
    <w:p w14:paraId="4C1B303E" w14:textId="7F873006" w:rsidR="00013E0E" w:rsidRDefault="00DC5685" w:rsidP="00DC5685">
      <w:pPr>
        <w:tabs>
          <w:tab w:val="left" w:pos="720"/>
        </w:tabs>
        <w:spacing w:after="240"/>
        <w:jc w:val="both"/>
        <w:rPr>
          <w:szCs w:val="24"/>
          <w:lang w:val="en-GB"/>
        </w:rPr>
      </w:pPr>
      <w:r w:rsidRPr="00A34F10">
        <w:rPr>
          <w:szCs w:val="24"/>
          <w:lang w:val="en-GB"/>
        </w:rPr>
        <w:t xml:space="preserve">In the toxic reference treatment, 100% mortality was observed after 48 hours which demonstrated the sensitivity of the test system. </w:t>
      </w:r>
    </w:p>
    <w:p w14:paraId="4A16AAD7" w14:textId="77777777" w:rsidR="00DC5685" w:rsidRPr="00A34F10" w:rsidRDefault="00DC5685" w:rsidP="00E05ECD">
      <w:pPr>
        <w:keepNext/>
        <w:keepLines/>
        <w:numPr>
          <w:ilvl w:val="0"/>
          <w:numId w:val="72"/>
        </w:numPr>
        <w:ind w:left="357" w:hanging="357"/>
        <w:contextualSpacing/>
        <w:rPr>
          <w:b/>
          <w:bCs/>
          <w:caps/>
          <w:szCs w:val="24"/>
          <w:lang w:val="en-GB"/>
        </w:rPr>
      </w:pPr>
      <w:r w:rsidRPr="00A34F10">
        <w:rPr>
          <w:b/>
          <w:bCs/>
          <w:caps/>
          <w:szCs w:val="24"/>
          <w:lang w:val="en-GB"/>
        </w:rPr>
        <w:t>VALIDITY CRITERIA</w:t>
      </w:r>
    </w:p>
    <w:p w14:paraId="62A4DEA8" w14:textId="77777777" w:rsidR="00DC5685" w:rsidRPr="00A34F10" w:rsidRDefault="00DC5685" w:rsidP="00DC5685">
      <w:pPr>
        <w:tabs>
          <w:tab w:val="left" w:pos="0"/>
        </w:tabs>
        <w:ind w:left="357" w:hanging="357"/>
        <w:contextualSpacing/>
        <w:rPr>
          <w:b/>
          <w:bCs/>
          <w:caps/>
          <w:szCs w:val="24"/>
          <w:lang w:val="en-GB"/>
        </w:rPr>
      </w:pPr>
    </w:p>
    <w:p w14:paraId="69FECA17" w14:textId="6767BCC5" w:rsidR="00DC5685" w:rsidRPr="00A34F10" w:rsidRDefault="00DC5685" w:rsidP="00DC5685">
      <w:pPr>
        <w:tabs>
          <w:tab w:val="left" w:pos="720"/>
        </w:tabs>
        <w:spacing w:after="240"/>
        <w:jc w:val="both"/>
        <w:rPr>
          <w:szCs w:val="24"/>
          <w:lang w:val="en-GB"/>
        </w:rPr>
      </w:pPr>
      <w:r w:rsidRPr="00A34F10">
        <w:rPr>
          <w:szCs w:val="24"/>
          <w:lang w:val="en-GB"/>
        </w:rPr>
        <w:t>All validity criteria were met (</w:t>
      </w:r>
      <w:r w:rsidR="00013E0E">
        <w:rPr>
          <w:szCs w:val="24"/>
          <w:lang w:val="en-GB"/>
        </w:rPr>
        <w:fldChar w:fldCharType="begin"/>
      </w:r>
      <w:r w:rsidR="00013E0E">
        <w:rPr>
          <w:szCs w:val="24"/>
          <w:lang w:val="en-GB"/>
        </w:rPr>
        <w:instrText xml:space="preserve"> REF _Ref147911158 \h </w:instrText>
      </w:r>
      <w:r w:rsidR="00013E0E">
        <w:rPr>
          <w:szCs w:val="24"/>
          <w:lang w:val="en-GB"/>
        </w:rPr>
      </w:r>
      <w:r w:rsidR="00013E0E">
        <w:rPr>
          <w:szCs w:val="24"/>
          <w:lang w:val="en-GB"/>
        </w:rPr>
        <w:fldChar w:fldCharType="separate"/>
      </w:r>
      <w:r w:rsidR="006F0F3B">
        <w:t xml:space="preserve">Table A </w:t>
      </w:r>
      <w:r w:rsidR="006F0F3B">
        <w:rPr>
          <w:noProof/>
        </w:rPr>
        <w:t>66</w:t>
      </w:r>
      <w:r w:rsidR="00013E0E">
        <w:rPr>
          <w:szCs w:val="24"/>
          <w:lang w:val="en-GB"/>
        </w:rPr>
        <w:fldChar w:fldCharType="end"/>
      </w:r>
      <w:r w:rsidRPr="00A34F10">
        <w:rPr>
          <w:szCs w:val="24"/>
          <w:lang w:val="en-GB"/>
        </w:rPr>
        <w:t xml:space="preserve">). </w:t>
      </w:r>
    </w:p>
    <w:p w14:paraId="6E9BC63E" w14:textId="1A41380C" w:rsidR="00DC5685" w:rsidRPr="00A34F10" w:rsidRDefault="00013E0E" w:rsidP="00013E0E">
      <w:pPr>
        <w:pStyle w:val="Legenda"/>
        <w:rPr>
          <w:szCs w:val="28"/>
        </w:rPr>
      </w:pPr>
      <w:bookmarkStart w:id="1128" w:name="_Ref147911158"/>
      <w:r>
        <w:t xml:space="preserve">Table A </w:t>
      </w:r>
      <w:r>
        <w:fldChar w:fldCharType="begin"/>
      </w:r>
      <w:r>
        <w:instrText xml:space="preserve"> SEQ Table_A \* ARABIC </w:instrText>
      </w:r>
      <w:r>
        <w:fldChar w:fldCharType="separate"/>
      </w:r>
      <w:r w:rsidR="006F0F3B">
        <w:rPr>
          <w:noProof/>
        </w:rPr>
        <w:t>66</w:t>
      </w:r>
      <w:r>
        <w:fldChar w:fldCharType="end"/>
      </w:r>
      <w:bookmarkEnd w:id="1128"/>
      <w:r w:rsidR="00DC5685" w:rsidRPr="00A34F10">
        <w:rPr>
          <w:szCs w:val="28"/>
        </w:rPr>
        <w:t>:</w:t>
      </w:r>
      <w:r w:rsidR="00A45A3F" w:rsidRPr="00A34F10">
        <w:rPr>
          <w:szCs w:val="28"/>
        </w:rPr>
        <w:tab/>
      </w:r>
      <w:r w:rsidR="00DC5685" w:rsidRPr="00A34F10">
        <w:rPr>
          <w:szCs w:val="28"/>
        </w:rPr>
        <w:t xml:space="preserve">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0"/>
        <w:gridCol w:w="3404"/>
      </w:tblGrid>
      <w:tr w:rsidR="00DC5685" w:rsidRPr="00A34F10" w14:paraId="2D382389" w14:textId="77777777" w:rsidTr="000470C3">
        <w:trPr>
          <w:trHeight w:val="270"/>
          <w:tblHeader/>
        </w:trPr>
        <w:tc>
          <w:tcPr>
            <w:tcW w:w="2460" w:type="pct"/>
            <w:tcBorders>
              <w:top w:val="single" w:sz="4" w:space="0" w:color="auto"/>
              <w:left w:val="single" w:sz="4" w:space="0" w:color="auto"/>
              <w:bottom w:val="single" w:sz="4" w:space="0" w:color="auto"/>
              <w:right w:val="single" w:sz="4" w:space="0" w:color="auto"/>
            </w:tcBorders>
            <w:noWrap/>
            <w:hideMark/>
          </w:tcPr>
          <w:p w14:paraId="69113C52"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Validity criteria according to the study plan</w:t>
            </w:r>
          </w:p>
        </w:tc>
        <w:tc>
          <w:tcPr>
            <w:tcW w:w="2540" w:type="pct"/>
            <w:tcBorders>
              <w:top w:val="single" w:sz="4" w:space="0" w:color="auto"/>
              <w:left w:val="single" w:sz="4" w:space="0" w:color="auto"/>
              <w:bottom w:val="single" w:sz="4" w:space="0" w:color="auto"/>
              <w:right w:val="single" w:sz="4" w:space="0" w:color="auto"/>
            </w:tcBorders>
            <w:noWrap/>
            <w:hideMark/>
          </w:tcPr>
          <w:p w14:paraId="5544031C"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2A2F7414"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hideMark/>
          </w:tcPr>
          <w:p w14:paraId="5DB81ADB"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In the control(s), mortality should be ≤13% (i.e. 5 wasps from 40) after 48 hours</w:t>
            </w:r>
          </w:p>
        </w:tc>
        <w:tc>
          <w:tcPr>
            <w:tcW w:w="2540" w:type="pct"/>
            <w:tcBorders>
              <w:top w:val="single" w:sz="4" w:space="0" w:color="auto"/>
              <w:left w:val="single" w:sz="4" w:space="0" w:color="auto"/>
              <w:bottom w:val="single" w:sz="4" w:space="0" w:color="auto"/>
              <w:right w:val="single" w:sz="4" w:space="0" w:color="auto"/>
            </w:tcBorders>
            <w:noWrap/>
            <w:hideMark/>
          </w:tcPr>
          <w:p w14:paraId="7AEB2676"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0%</w:t>
            </w:r>
          </w:p>
        </w:tc>
      </w:tr>
      <w:tr w:rsidR="00DC5685" w:rsidRPr="00A34F10" w14:paraId="13278EAA"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hideMark/>
          </w:tcPr>
          <w:p w14:paraId="7984FCCD"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Mortality in the toxic reference treatment should be ≥50% after 48 hours</w:t>
            </w:r>
          </w:p>
        </w:tc>
        <w:tc>
          <w:tcPr>
            <w:tcW w:w="2540" w:type="pct"/>
            <w:tcBorders>
              <w:top w:val="single" w:sz="4" w:space="0" w:color="auto"/>
              <w:left w:val="single" w:sz="4" w:space="0" w:color="auto"/>
              <w:bottom w:val="single" w:sz="4" w:space="0" w:color="auto"/>
              <w:right w:val="single" w:sz="4" w:space="0" w:color="auto"/>
            </w:tcBorders>
            <w:noWrap/>
            <w:hideMark/>
          </w:tcPr>
          <w:p w14:paraId="7DE346FF"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92.5%</w:t>
            </w:r>
          </w:p>
        </w:tc>
      </w:tr>
      <w:tr w:rsidR="00DC5685" w:rsidRPr="00A34F10" w14:paraId="3DFA19D2"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tcPr>
          <w:p w14:paraId="6F98C421"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Mean reproduction in the control group should be ≥5 mummies per female*</w:t>
            </w:r>
          </w:p>
        </w:tc>
        <w:tc>
          <w:tcPr>
            <w:tcW w:w="2540" w:type="pct"/>
            <w:tcBorders>
              <w:top w:val="single" w:sz="4" w:space="0" w:color="auto"/>
              <w:left w:val="single" w:sz="4" w:space="0" w:color="auto"/>
              <w:bottom w:val="single" w:sz="4" w:space="0" w:color="auto"/>
              <w:right w:val="single" w:sz="4" w:space="0" w:color="auto"/>
            </w:tcBorders>
            <w:noWrap/>
          </w:tcPr>
          <w:p w14:paraId="52A924EA" w14:textId="77777777" w:rsidR="00DC5685" w:rsidRPr="00A34F10" w:rsidRDefault="00DC5685" w:rsidP="00DC5685">
            <w:pPr>
              <w:tabs>
                <w:tab w:val="left" w:pos="720"/>
              </w:tabs>
              <w:autoSpaceDE w:val="0"/>
              <w:autoSpaceDN w:val="0"/>
              <w:adjustRightInd w:val="0"/>
              <w:spacing w:before="40" w:after="40"/>
              <w:rPr>
                <w:sz w:val="20"/>
                <w:szCs w:val="20"/>
                <w:lang w:val="en-GB"/>
              </w:rPr>
            </w:pPr>
            <w:r w:rsidRPr="00A34F10">
              <w:rPr>
                <w:rFonts w:eastAsia="Calibri"/>
                <w:sz w:val="20"/>
                <w:szCs w:val="20"/>
                <w:lang w:val="en-GB"/>
              </w:rPr>
              <w:t>17.1 with 1 control replicate with zero values</w:t>
            </w:r>
          </w:p>
        </w:tc>
      </w:tr>
    </w:tbl>
    <w:p w14:paraId="3EBD6DF2" w14:textId="77777777" w:rsidR="00DC5685" w:rsidRPr="00A34F10" w:rsidRDefault="00DC5685" w:rsidP="00DC5685">
      <w:pPr>
        <w:tabs>
          <w:tab w:val="left" w:pos="720"/>
        </w:tabs>
        <w:spacing w:after="360"/>
        <w:jc w:val="both"/>
        <w:rPr>
          <w:sz w:val="18"/>
          <w:szCs w:val="20"/>
          <w:lang w:val="en-GB"/>
        </w:rPr>
      </w:pPr>
      <w:r w:rsidRPr="00A34F10">
        <w:rPr>
          <w:sz w:val="18"/>
          <w:szCs w:val="20"/>
          <w:lang w:val="en-GB"/>
        </w:rPr>
        <w:t>*There should be no more than 2 control replicates (with surviving wasps) with zero values</w:t>
      </w:r>
    </w:p>
    <w:p w14:paraId="042FC2E5" w14:textId="77777777" w:rsidR="00DC5685" w:rsidRPr="00A34F10" w:rsidRDefault="00DC5685" w:rsidP="00E05ECD">
      <w:pPr>
        <w:numPr>
          <w:ilvl w:val="0"/>
          <w:numId w:val="72"/>
        </w:numPr>
        <w:ind w:left="357" w:hanging="357"/>
        <w:contextualSpacing/>
        <w:rPr>
          <w:b/>
          <w:bCs/>
          <w:caps/>
          <w:szCs w:val="24"/>
          <w:lang w:val="en-GB"/>
        </w:rPr>
      </w:pPr>
      <w:r w:rsidRPr="00A34F10">
        <w:rPr>
          <w:b/>
          <w:bCs/>
          <w:caps/>
          <w:szCs w:val="24"/>
          <w:lang w:val="en-GB"/>
        </w:rPr>
        <w:t>DEFICIENCIES</w:t>
      </w:r>
    </w:p>
    <w:p w14:paraId="375486D6" w14:textId="77777777" w:rsidR="00DC5685" w:rsidRPr="00A34F10" w:rsidRDefault="00DC5685" w:rsidP="00DC5685">
      <w:pPr>
        <w:tabs>
          <w:tab w:val="left" w:pos="0"/>
        </w:tabs>
        <w:ind w:left="357" w:hanging="357"/>
        <w:contextualSpacing/>
        <w:rPr>
          <w:b/>
          <w:bCs/>
          <w:caps/>
          <w:szCs w:val="24"/>
          <w:lang w:val="en-GB"/>
        </w:rPr>
      </w:pPr>
    </w:p>
    <w:p w14:paraId="40C589B2" w14:textId="77777777" w:rsidR="00DC5685" w:rsidRPr="00A34F10" w:rsidRDefault="00DC5685" w:rsidP="00DC5685">
      <w:pPr>
        <w:tabs>
          <w:tab w:val="left" w:pos="720"/>
        </w:tabs>
        <w:spacing w:after="240"/>
        <w:jc w:val="both"/>
        <w:rPr>
          <w:szCs w:val="24"/>
          <w:lang w:val="en-GB"/>
        </w:rPr>
      </w:pPr>
      <w:r w:rsidRPr="00A34F10">
        <w:rPr>
          <w:szCs w:val="24"/>
          <w:lang w:val="en-GB"/>
        </w:rPr>
        <w:t>None.</w:t>
      </w:r>
    </w:p>
    <w:p w14:paraId="75405637"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lastRenderedPageBreak/>
        <w:t>III. Conclusion</w:t>
      </w:r>
    </w:p>
    <w:p w14:paraId="4038730B" w14:textId="77777777" w:rsidR="00DC5685" w:rsidRPr="00A34F10" w:rsidRDefault="00DC5685" w:rsidP="00DC5685">
      <w:pPr>
        <w:tabs>
          <w:tab w:val="left" w:pos="720"/>
        </w:tabs>
        <w:jc w:val="both"/>
        <w:rPr>
          <w:szCs w:val="24"/>
          <w:lang w:val="en-GB"/>
        </w:rPr>
      </w:pPr>
      <w:r w:rsidRPr="00A34F10">
        <w:rPr>
          <w:szCs w:val="24"/>
          <w:lang w:val="en-GB"/>
        </w:rPr>
        <w:t xml:space="preserve">A study to determine the effects of BAS 743 02 F on the parasitic wasp </w:t>
      </w:r>
      <w:r w:rsidRPr="00A34F10">
        <w:rPr>
          <w:i/>
          <w:iCs/>
          <w:szCs w:val="24"/>
          <w:lang w:val="en-GB"/>
        </w:rPr>
        <w:t>Aphidius rhopalosiphi</w:t>
      </w:r>
      <w:r w:rsidRPr="00A34F10">
        <w:rPr>
          <w:szCs w:val="24"/>
          <w:lang w:val="en-GB"/>
        </w:rPr>
        <w:t xml:space="preserve"> was performed over 14 days in the laboratory. Wasps were exposed to freshly dried residues of the test item on glass plates for 48 hours. Effects on reproduction were subsequently assessed by the number of parasitised aphids (mummies) produced per surviving female. The 48-hour LR</w:t>
      </w:r>
      <w:r w:rsidRPr="00A34F10">
        <w:rPr>
          <w:szCs w:val="24"/>
          <w:vertAlign w:val="subscript"/>
          <w:lang w:val="en-GB"/>
        </w:rPr>
        <w:t>50</w:t>
      </w:r>
      <w:r w:rsidRPr="00A34F10">
        <w:rPr>
          <w:szCs w:val="24"/>
          <w:lang w:val="en-GB"/>
        </w:rPr>
        <w:t xml:space="preserve"> was estimated to be &gt; 3 L product/ha and the NOER for mortality was determined to be 3 L product/ha. The ER</w:t>
      </w:r>
      <w:r w:rsidRPr="00A34F10">
        <w:rPr>
          <w:szCs w:val="24"/>
          <w:vertAlign w:val="subscript"/>
          <w:lang w:val="en-GB"/>
        </w:rPr>
        <w:t>50</w:t>
      </w:r>
      <w:r w:rsidRPr="00A34F10">
        <w:rPr>
          <w:szCs w:val="24"/>
          <w:lang w:val="en-GB"/>
        </w:rPr>
        <w:t xml:space="preserve"> was estimated to be &gt; 3 L product/ha and the NOER for reproduction was determined to be 3 L product/ha.</w:t>
      </w:r>
      <w:bookmarkEnd w:id="1122"/>
    </w:p>
    <w:p w14:paraId="50A23899" w14:textId="1A8B4540" w:rsidR="00794D56" w:rsidRDefault="00794D56">
      <w:pPr>
        <w:rPr>
          <w:szCs w:val="24"/>
          <w:lang w:val="en-GB"/>
        </w:rPr>
      </w:pPr>
      <w:r>
        <w:rPr>
          <w:szCs w:val="24"/>
          <w:lang w:val="en-GB"/>
        </w:rPr>
        <w:br w:type="page"/>
      </w:r>
    </w:p>
    <w:p w14:paraId="7A6229FC" w14:textId="77777777" w:rsidR="00DC5685" w:rsidRPr="00A34F10" w:rsidRDefault="00DC5685" w:rsidP="00794D56">
      <w:pPr>
        <w:pStyle w:val="RepAppendix5"/>
      </w:pPr>
      <w:r w:rsidRPr="00A34F10">
        <w:lastRenderedPageBreak/>
        <w:t>Study 3</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29B3452C" w14:textId="77777777" w:rsidTr="009B1385">
        <w:tc>
          <w:tcPr>
            <w:tcW w:w="1063" w:type="pct"/>
            <w:shd w:val="clear" w:color="auto" w:fill="D9D9D9" w:themeFill="background1" w:themeFillShade="D9"/>
          </w:tcPr>
          <w:p w14:paraId="22F191AC"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286E4755" w14:textId="660CA622" w:rsidR="00DC5685" w:rsidRPr="00A34F10" w:rsidRDefault="009B1385" w:rsidP="00DC5685">
            <w:pPr>
              <w:widowControl w:val="0"/>
              <w:ind w:left="85"/>
              <w:jc w:val="both"/>
              <w:rPr>
                <w:rFonts w:eastAsia="Batang"/>
                <w:color w:val="000000" w:themeColor="text1"/>
              </w:rPr>
            </w:pPr>
            <w:r w:rsidRPr="0037666C">
              <w:rPr>
                <w:rFonts w:eastAsia="Batang"/>
              </w:rPr>
              <w:t xml:space="preserve">The study was conducted to 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r w:rsidR="00DC5685" w:rsidRPr="00A34F10">
              <w:rPr>
                <w:color w:val="000000" w:themeColor="text1"/>
              </w:rPr>
              <w:fldChar w:fldCharType="begin"/>
            </w:r>
            <w:r w:rsidR="00DC5685" w:rsidRPr="00A34F10">
              <w:rPr>
                <w:color w:val="000000" w:themeColor="text1"/>
              </w:rPr>
              <w:instrText xml:space="preserve"> FORMTEXT </w:instrText>
            </w:r>
            <w:r w:rsidR="00DC5685" w:rsidRPr="00A34F10">
              <w:rPr>
                <w:color w:val="000000" w:themeColor="text1"/>
              </w:rPr>
              <w:fldChar w:fldCharType="separate"/>
            </w:r>
            <w:r w:rsidR="00DC5685" w:rsidRPr="00A34F10">
              <w:rPr>
                <w:color w:val="000000" w:themeColor="text1"/>
              </w:rPr>
              <w:fldChar w:fldCharType="end"/>
            </w:r>
          </w:p>
        </w:tc>
      </w:tr>
    </w:tbl>
    <w:p w14:paraId="5D7172CA" w14:textId="77777777" w:rsidR="00DC5685" w:rsidRPr="00A34F10" w:rsidRDefault="00DC5685" w:rsidP="00DC5685">
      <w:pPr>
        <w:rPr>
          <w:color w:val="000000" w:themeColor="text1"/>
          <w:highlight w:val="yellow"/>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4DB79654" w14:textId="77777777" w:rsidTr="000470C3">
        <w:trPr>
          <w:trHeight w:val="227"/>
          <w:jc w:val="center"/>
        </w:trPr>
        <w:tc>
          <w:tcPr>
            <w:tcW w:w="1364" w:type="pct"/>
          </w:tcPr>
          <w:p w14:paraId="644D85FF" w14:textId="77777777" w:rsidR="00DC5685" w:rsidRPr="00A34F10" w:rsidRDefault="00DC5685" w:rsidP="00DC5685">
            <w:pPr>
              <w:keepNext/>
              <w:keepLines/>
              <w:tabs>
                <w:tab w:val="left" w:pos="360"/>
                <w:tab w:val="left" w:pos="720"/>
              </w:tabs>
              <w:spacing w:before="60" w:after="60"/>
              <w:jc w:val="both"/>
              <w:rPr>
                <w:highlight w:val="yellow"/>
                <w:lang w:val="en-GB"/>
              </w:rPr>
            </w:pPr>
            <w:r w:rsidRPr="00A34F10">
              <w:rPr>
                <w:lang w:val="en-GB"/>
              </w:rPr>
              <w:t xml:space="preserve">Data point: </w:t>
            </w:r>
          </w:p>
        </w:tc>
        <w:tc>
          <w:tcPr>
            <w:tcW w:w="3636" w:type="pct"/>
          </w:tcPr>
          <w:p w14:paraId="0D1A86F1" w14:textId="77777777" w:rsidR="00DC5685" w:rsidRPr="00A34F10" w:rsidRDefault="00DC5685" w:rsidP="00DC5685">
            <w:pPr>
              <w:keepNext/>
              <w:keepLines/>
              <w:tabs>
                <w:tab w:val="left" w:pos="360"/>
                <w:tab w:val="left" w:pos="720"/>
              </w:tabs>
              <w:spacing w:before="60" w:after="60"/>
              <w:jc w:val="both"/>
              <w:rPr>
                <w:highlight w:val="yellow"/>
                <w:lang w:val="en-GB"/>
              </w:rPr>
            </w:pPr>
            <w:r w:rsidRPr="00A34F10">
              <w:rPr>
                <w:color w:val="000000" w:themeColor="text1"/>
                <w:lang w:val="en-GB"/>
              </w:rPr>
              <w:t>CP 10.3.2.1/03</w:t>
            </w:r>
          </w:p>
        </w:tc>
      </w:tr>
      <w:tr w:rsidR="00DC5685" w:rsidRPr="00A34F10" w14:paraId="72CC8FF7" w14:textId="77777777" w:rsidTr="000470C3">
        <w:trPr>
          <w:trHeight w:val="227"/>
          <w:jc w:val="center"/>
        </w:trPr>
        <w:tc>
          <w:tcPr>
            <w:tcW w:w="1364" w:type="pct"/>
          </w:tcPr>
          <w:p w14:paraId="170EF8FF"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 xml:space="preserve">Report </w:t>
            </w:r>
          </w:p>
        </w:tc>
        <w:tc>
          <w:tcPr>
            <w:tcW w:w="3636" w:type="pct"/>
          </w:tcPr>
          <w:p w14:paraId="3473185E" w14:textId="77777777" w:rsidR="00DC5685" w:rsidRPr="00A34F10" w:rsidRDefault="00DC5685" w:rsidP="00DC5685">
            <w:pPr>
              <w:keepNext/>
              <w:tabs>
                <w:tab w:val="left" w:pos="360"/>
                <w:tab w:val="left" w:pos="720"/>
              </w:tabs>
              <w:spacing w:before="60" w:after="120"/>
              <w:jc w:val="both"/>
              <w:rPr>
                <w:lang w:val="en-GB"/>
              </w:rPr>
            </w:pPr>
            <w:r w:rsidRPr="00A34F10">
              <w:rPr>
                <w:lang w:val="en-GB"/>
              </w:rPr>
              <w:t xml:space="preserve">Effects of BAS 743 03 F on the parasitic wasp </w:t>
            </w:r>
            <w:r w:rsidRPr="00A34F10">
              <w:rPr>
                <w:i/>
                <w:iCs/>
                <w:lang w:val="en-GB"/>
              </w:rPr>
              <w:t>Aphidius rhopalosiphi</w:t>
            </w:r>
            <w:r w:rsidRPr="00A34F10">
              <w:rPr>
                <w:lang w:val="en-GB"/>
              </w:rPr>
              <w:t xml:space="preserve"> (DESTEPHANI-PEREZ) in a laboratory test</w:t>
            </w:r>
          </w:p>
          <w:p w14:paraId="3E7A9DCC" w14:textId="77777777" w:rsidR="00DC5685" w:rsidRPr="00A34F10" w:rsidRDefault="00DC5685" w:rsidP="00DC5685">
            <w:pPr>
              <w:keepNext/>
              <w:tabs>
                <w:tab w:val="left" w:pos="360"/>
                <w:tab w:val="left" w:pos="720"/>
              </w:tabs>
              <w:spacing w:before="60" w:after="120"/>
              <w:jc w:val="both"/>
              <w:rPr>
                <w:color w:val="000000" w:themeColor="text1"/>
                <w:lang w:val="en-GB"/>
              </w:rPr>
            </w:pPr>
            <w:r w:rsidRPr="00A34F10">
              <w:rPr>
                <w:color w:val="000000" w:themeColor="text1"/>
                <w:lang w:val="en-GB"/>
              </w:rPr>
              <w:t>Röhlig, U., 2022c</w:t>
            </w:r>
          </w:p>
          <w:p w14:paraId="0104782D" w14:textId="38065A31" w:rsidR="00DC5685" w:rsidRPr="00A34F10" w:rsidRDefault="00D007AB" w:rsidP="00DC5685">
            <w:pPr>
              <w:keepNext/>
              <w:tabs>
                <w:tab w:val="left" w:pos="360"/>
                <w:tab w:val="left" w:pos="720"/>
              </w:tabs>
              <w:spacing w:before="60" w:after="120"/>
              <w:jc w:val="both"/>
              <w:rPr>
                <w:color w:val="000000" w:themeColor="text1"/>
                <w:highlight w:val="yellow"/>
                <w:lang w:val="en-GB"/>
              </w:rPr>
            </w:pPr>
            <w:r>
              <w:rPr>
                <w:color w:val="000000" w:themeColor="text1"/>
              </w:rPr>
              <w:t>XXXX</w:t>
            </w:r>
            <w:r w:rsidR="00DC5685" w:rsidRPr="00A34F10">
              <w:rPr>
                <w:color w:val="000000" w:themeColor="text1"/>
              </w:rPr>
              <w:t xml:space="preserve"> Study ID: </w:t>
            </w:r>
            <w:r w:rsidR="00DC5685" w:rsidRPr="00A34F10">
              <w:rPr>
                <w:color w:val="000000" w:themeColor="text1"/>
                <w:lang w:val="en-GB"/>
              </w:rPr>
              <w:t>933750_4</w:t>
            </w:r>
          </w:p>
          <w:p w14:paraId="2382FA64" w14:textId="516FB22B" w:rsidR="00DC5685" w:rsidRPr="00A34F10" w:rsidRDefault="00D007AB" w:rsidP="00DC5685">
            <w:pPr>
              <w:keepNext/>
              <w:keepLines/>
              <w:tabs>
                <w:tab w:val="left" w:pos="360"/>
                <w:tab w:val="left" w:pos="720"/>
              </w:tabs>
              <w:spacing w:before="60" w:after="60"/>
              <w:jc w:val="both"/>
              <w:rPr>
                <w:color w:val="000000" w:themeColor="text1"/>
                <w:lang w:val="en-GB"/>
              </w:rPr>
            </w:pPr>
            <w:r>
              <w:rPr>
                <w:color w:val="000000" w:themeColor="text1"/>
                <w:lang w:val="en-GB"/>
              </w:rPr>
              <w:t>XXXX</w:t>
            </w:r>
            <w:r w:rsidR="00DC5685" w:rsidRPr="00A34F10">
              <w:rPr>
                <w:color w:val="000000" w:themeColor="text1"/>
                <w:lang w:val="en-GB"/>
              </w:rPr>
              <w:t xml:space="preserve"> Doc ID: </w:t>
            </w:r>
            <w:r w:rsidR="00DC5685" w:rsidRPr="00A34F10">
              <w:rPr>
                <w:lang w:val="en-GB"/>
              </w:rPr>
              <w:t>2022/2033732</w:t>
            </w:r>
          </w:p>
        </w:tc>
      </w:tr>
      <w:tr w:rsidR="00DC5685" w:rsidRPr="00A34F10" w14:paraId="0CF2B8F9" w14:textId="77777777" w:rsidTr="000470C3">
        <w:trPr>
          <w:trHeight w:val="227"/>
          <w:jc w:val="center"/>
        </w:trPr>
        <w:tc>
          <w:tcPr>
            <w:tcW w:w="1364" w:type="pct"/>
          </w:tcPr>
          <w:p w14:paraId="2CBBE091" w14:textId="77777777" w:rsidR="00DC5685" w:rsidRPr="00A34F10" w:rsidRDefault="00DC5685" w:rsidP="00DC5685">
            <w:pPr>
              <w:keepNext/>
              <w:keepLines/>
              <w:tabs>
                <w:tab w:val="left" w:pos="360"/>
                <w:tab w:val="left" w:pos="720"/>
              </w:tabs>
              <w:spacing w:before="60" w:after="60"/>
              <w:rPr>
                <w:color w:val="000000" w:themeColor="text1"/>
                <w:highlight w:val="yellow"/>
                <w:lang w:val="en-GB"/>
              </w:rPr>
            </w:pPr>
            <w:r w:rsidRPr="00A34F10">
              <w:rPr>
                <w:color w:val="000000" w:themeColor="text1"/>
                <w:lang w:val="en-GB"/>
              </w:rPr>
              <w:t xml:space="preserve">Guidelines: </w:t>
            </w:r>
          </w:p>
        </w:tc>
        <w:tc>
          <w:tcPr>
            <w:tcW w:w="3636" w:type="pct"/>
            <w:shd w:val="clear" w:color="auto" w:fill="auto"/>
          </w:tcPr>
          <w:p w14:paraId="3EA2F736" w14:textId="77777777" w:rsidR="00DC5685" w:rsidRPr="00A34F10" w:rsidRDefault="00DC5685" w:rsidP="00DC5685">
            <w:pPr>
              <w:keepNext/>
              <w:keepLines/>
              <w:tabs>
                <w:tab w:val="left" w:pos="360"/>
                <w:tab w:val="left" w:pos="720"/>
              </w:tabs>
              <w:spacing w:before="60" w:after="60"/>
              <w:jc w:val="both"/>
              <w:rPr>
                <w:color w:val="000000" w:themeColor="text1"/>
                <w:highlight w:val="yellow"/>
              </w:rPr>
            </w:pPr>
            <w:r w:rsidRPr="00A34F10">
              <w:rPr>
                <w:color w:val="000000" w:themeColor="text1"/>
                <w:lang w:val="en-GB"/>
              </w:rPr>
              <w:t>IOBC (Mead-Briggs et al. 2000)</w:t>
            </w:r>
          </w:p>
        </w:tc>
      </w:tr>
      <w:tr w:rsidR="00DC5685" w:rsidRPr="00A34F10" w14:paraId="74DD53BF" w14:textId="77777777" w:rsidTr="000470C3">
        <w:trPr>
          <w:trHeight w:val="227"/>
          <w:jc w:val="center"/>
        </w:trPr>
        <w:tc>
          <w:tcPr>
            <w:tcW w:w="1364" w:type="pct"/>
          </w:tcPr>
          <w:p w14:paraId="56AEE094" w14:textId="77777777" w:rsidR="00DC5685" w:rsidRPr="00A34F10" w:rsidRDefault="00DC5685" w:rsidP="00DC5685">
            <w:pPr>
              <w:keepNext/>
              <w:keepLines/>
              <w:tabs>
                <w:tab w:val="left" w:pos="360"/>
                <w:tab w:val="left" w:pos="720"/>
              </w:tabs>
              <w:spacing w:before="60" w:after="60"/>
              <w:jc w:val="both"/>
              <w:rPr>
                <w:color w:val="000000" w:themeColor="text1"/>
                <w:highlight w:val="yellow"/>
                <w:lang w:val="en-GB"/>
              </w:rPr>
            </w:pPr>
            <w:r w:rsidRPr="00A34F10">
              <w:rPr>
                <w:color w:val="000000" w:themeColor="text1"/>
                <w:lang w:val="en-GB"/>
              </w:rPr>
              <w:t xml:space="preserve">Deviations: </w:t>
            </w:r>
          </w:p>
        </w:tc>
        <w:tc>
          <w:tcPr>
            <w:tcW w:w="3636" w:type="pct"/>
            <w:shd w:val="clear" w:color="auto" w:fill="auto"/>
          </w:tcPr>
          <w:p w14:paraId="0DEA697B" w14:textId="77777777" w:rsidR="00DC5685" w:rsidRPr="00A34F10" w:rsidRDefault="00DC5685" w:rsidP="00DC5685">
            <w:pPr>
              <w:keepNext/>
              <w:keepLines/>
              <w:tabs>
                <w:tab w:val="left" w:pos="360"/>
                <w:tab w:val="left" w:pos="720"/>
              </w:tabs>
              <w:spacing w:before="60" w:after="60"/>
              <w:jc w:val="both"/>
              <w:rPr>
                <w:color w:val="000000" w:themeColor="text1"/>
                <w:highlight w:val="yellow"/>
                <w:lang w:val="en-GB"/>
              </w:rPr>
            </w:pPr>
            <w:r w:rsidRPr="00A34F10">
              <w:rPr>
                <w:color w:val="000000" w:themeColor="text1"/>
                <w:lang w:val="en-GB"/>
              </w:rPr>
              <w:t>No</w:t>
            </w:r>
          </w:p>
        </w:tc>
      </w:tr>
      <w:tr w:rsidR="00DC5685" w:rsidRPr="00A34F10" w14:paraId="3AFD0935" w14:textId="77777777" w:rsidTr="000470C3">
        <w:trPr>
          <w:trHeight w:val="227"/>
          <w:jc w:val="center"/>
        </w:trPr>
        <w:tc>
          <w:tcPr>
            <w:tcW w:w="1364" w:type="pct"/>
          </w:tcPr>
          <w:p w14:paraId="69E2ABD6" w14:textId="77777777" w:rsidR="00DC5685" w:rsidRPr="00A34F10" w:rsidRDefault="00DC5685" w:rsidP="00DC5685">
            <w:pPr>
              <w:keepNext/>
              <w:keepLines/>
              <w:tabs>
                <w:tab w:val="left" w:pos="360"/>
                <w:tab w:val="left" w:pos="720"/>
              </w:tabs>
              <w:spacing w:before="60" w:after="60"/>
              <w:rPr>
                <w:color w:val="000000" w:themeColor="text1"/>
                <w:lang w:val="en-GB"/>
              </w:rPr>
            </w:pPr>
            <w:r w:rsidRPr="00A34F10">
              <w:rPr>
                <w:color w:val="000000" w:themeColor="text1"/>
                <w:lang w:val="en-GB"/>
              </w:rPr>
              <w:t>GLP:</w:t>
            </w:r>
          </w:p>
        </w:tc>
        <w:tc>
          <w:tcPr>
            <w:tcW w:w="3636" w:type="pct"/>
          </w:tcPr>
          <w:p w14:paraId="37E72ED9"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Yes, GLP</w:t>
            </w:r>
          </w:p>
        </w:tc>
      </w:tr>
      <w:tr w:rsidR="00DC5685" w:rsidRPr="00A34F10" w14:paraId="566D13EF" w14:textId="77777777" w:rsidTr="000470C3">
        <w:trPr>
          <w:trHeight w:val="227"/>
          <w:jc w:val="center"/>
        </w:trPr>
        <w:tc>
          <w:tcPr>
            <w:tcW w:w="1364" w:type="pct"/>
          </w:tcPr>
          <w:p w14:paraId="18570FF2"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 xml:space="preserve">Acceptability: </w:t>
            </w:r>
          </w:p>
        </w:tc>
        <w:tc>
          <w:tcPr>
            <w:tcW w:w="3636" w:type="pct"/>
          </w:tcPr>
          <w:p w14:paraId="5F0B7AA6" w14:textId="77777777" w:rsidR="00DC5685" w:rsidRPr="00A34F10" w:rsidRDefault="00DC5685" w:rsidP="00DC5685">
            <w:pPr>
              <w:keepNext/>
              <w:keepLines/>
              <w:tabs>
                <w:tab w:val="left" w:pos="360"/>
                <w:tab w:val="left" w:pos="720"/>
              </w:tabs>
              <w:spacing w:before="60" w:after="60"/>
              <w:jc w:val="both"/>
              <w:rPr>
                <w:color w:val="000000" w:themeColor="text1"/>
                <w:lang w:val="en-GB"/>
              </w:rPr>
            </w:pPr>
            <w:r w:rsidRPr="00A34F10">
              <w:rPr>
                <w:color w:val="000000" w:themeColor="text1"/>
                <w:lang w:val="en-GB"/>
              </w:rPr>
              <w:t>Yes</w:t>
            </w:r>
          </w:p>
        </w:tc>
      </w:tr>
    </w:tbl>
    <w:p w14:paraId="31A2ABAA" w14:textId="77777777" w:rsidR="00DC5685" w:rsidRPr="00A34F10" w:rsidRDefault="00DC5685" w:rsidP="00DC5685">
      <w:pPr>
        <w:tabs>
          <w:tab w:val="left" w:pos="720"/>
        </w:tabs>
        <w:jc w:val="both"/>
        <w:rPr>
          <w:szCs w:val="24"/>
          <w:lang w:val="en-GB"/>
        </w:rPr>
      </w:pPr>
    </w:p>
    <w:p w14:paraId="48A06B8E"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4D4AF569" w14:textId="77777777" w:rsidR="00DC5685" w:rsidRPr="00A34F10" w:rsidRDefault="00DC5685" w:rsidP="00DC5685">
      <w:pPr>
        <w:keepNext/>
        <w:keepLines/>
        <w:tabs>
          <w:tab w:val="left" w:pos="720"/>
        </w:tabs>
        <w:jc w:val="both"/>
        <w:rPr>
          <w:b/>
          <w:color w:val="000000" w:themeColor="text1"/>
          <w:szCs w:val="32"/>
          <w:lang w:val="en-GB"/>
        </w:rPr>
      </w:pPr>
    </w:p>
    <w:p w14:paraId="4FB59A48" w14:textId="77777777" w:rsidR="00DC5685" w:rsidRPr="00A34F10" w:rsidRDefault="00DC5685" w:rsidP="00DC5685">
      <w:pPr>
        <w:tabs>
          <w:tab w:val="left" w:pos="720"/>
        </w:tabs>
        <w:spacing w:after="240"/>
        <w:jc w:val="both"/>
        <w:rPr>
          <w:highlight w:val="yellow"/>
          <w:lang w:val="en-GB"/>
        </w:rPr>
      </w:pPr>
      <w:r w:rsidRPr="00A34F10">
        <w:rPr>
          <w:szCs w:val="24"/>
          <w:lang w:val="en-GB"/>
        </w:rPr>
        <w:t xml:space="preserve">A study to determine the effects of BAS 743 03 F on the parasitic wasp </w:t>
      </w:r>
      <w:r w:rsidRPr="00A34F10">
        <w:rPr>
          <w:i/>
          <w:iCs/>
          <w:szCs w:val="24"/>
          <w:lang w:val="en-GB"/>
        </w:rPr>
        <w:t>Aphidius rhopalosiphi</w:t>
      </w:r>
      <w:r w:rsidRPr="00A34F10">
        <w:rPr>
          <w:szCs w:val="24"/>
          <w:lang w:val="en-GB"/>
        </w:rPr>
        <w:t xml:space="preserve"> was performed over 14 days in the laboratory. Wasps were exposed to freshly dried residues of the test item on glass plates for 48 hours. The test comprised seven treatment groups; five nominal test item rates of 0.2875, 0.575, 1.15, 2.3 and 4.6 L product/ha, a water control and toxic reference item. There were four replicate arenas per treatment, each with 10 wasps (seven females and three males). </w:t>
      </w:r>
      <w:r w:rsidRPr="00A34F10">
        <w:rPr>
          <w:lang w:val="en-GB"/>
        </w:rPr>
        <w:t>Assessments of wasp mortality were made after 2, 24 and 48 hours.</w:t>
      </w:r>
      <w:r w:rsidRPr="00A34F10">
        <w:rPr>
          <w:szCs w:val="24"/>
          <w:lang w:val="en-GB"/>
        </w:rPr>
        <w:t xml:space="preserve"> After 48 hours, surviving wasps (15 females per treatment group) were removed and their reproductive capacity was assessed by confining them individually for 24 hours in reproduction test units.</w:t>
      </w:r>
      <w:r w:rsidRPr="00A34F10">
        <w:t xml:space="preserve"> </w:t>
      </w:r>
      <w:r w:rsidRPr="00A34F10">
        <w:rPr>
          <w:szCs w:val="24"/>
          <w:lang w:val="en-GB"/>
        </w:rPr>
        <w:t>Assessment of reproduction capacity, i.e. number of mummies per female, was made after 14 days.</w:t>
      </w:r>
    </w:p>
    <w:p w14:paraId="04EC8D88" w14:textId="77777777" w:rsidR="00DC5685" w:rsidRPr="00A34F10" w:rsidRDefault="00DC5685" w:rsidP="00DC5685">
      <w:pPr>
        <w:tabs>
          <w:tab w:val="left" w:pos="720"/>
        </w:tabs>
        <w:spacing w:after="240"/>
        <w:jc w:val="both"/>
        <w:rPr>
          <w:szCs w:val="24"/>
          <w:lang w:val="en-GB"/>
        </w:rPr>
      </w:pPr>
      <w:r w:rsidRPr="00A34F10">
        <w:rPr>
          <w:lang w:val="en-GB"/>
        </w:rPr>
        <w:t>The 48-hour LR</w:t>
      </w:r>
      <w:r w:rsidRPr="00A34F10">
        <w:rPr>
          <w:vertAlign w:val="subscript"/>
          <w:lang w:val="en-GB"/>
        </w:rPr>
        <w:t>50</w:t>
      </w:r>
      <w:r w:rsidRPr="00A34F10">
        <w:rPr>
          <w:lang w:val="en-GB"/>
        </w:rPr>
        <w:t xml:space="preserve"> and the 14-day ER</w:t>
      </w:r>
      <w:r w:rsidRPr="00A34F10">
        <w:rPr>
          <w:vertAlign w:val="subscript"/>
          <w:lang w:val="en-GB"/>
        </w:rPr>
        <w:t xml:space="preserve">50 </w:t>
      </w:r>
      <w:r w:rsidRPr="00A34F10">
        <w:rPr>
          <w:lang w:val="en-GB"/>
        </w:rPr>
        <w:t xml:space="preserve">were estimated to be &gt; 4.6 L product/ha. The NOER for mortality and </w:t>
      </w:r>
      <w:r w:rsidRPr="00A34F10">
        <w:rPr>
          <w:szCs w:val="24"/>
          <w:lang w:val="en-GB"/>
        </w:rPr>
        <w:t>reproduction were</w:t>
      </w:r>
      <w:r w:rsidRPr="00A34F10">
        <w:rPr>
          <w:lang w:val="en-GB"/>
        </w:rPr>
        <w:t xml:space="preserve"> determined to be 4.6 L product/ha. </w:t>
      </w:r>
    </w:p>
    <w:p w14:paraId="01FE57ED" w14:textId="77777777" w:rsidR="00DC5685" w:rsidRPr="00A34F10" w:rsidRDefault="00DC5685" w:rsidP="00DC5685">
      <w:pPr>
        <w:tabs>
          <w:tab w:val="left" w:pos="720"/>
        </w:tabs>
        <w:spacing w:after="240"/>
        <w:ind w:left="720" w:hanging="431"/>
        <w:contextualSpacing/>
        <w:jc w:val="center"/>
        <w:rPr>
          <w:b/>
          <w:bCs/>
          <w:caps/>
          <w:szCs w:val="24"/>
          <w:lang w:val="en-GB"/>
        </w:rPr>
      </w:pPr>
      <w:r w:rsidRPr="00A34F10">
        <w:rPr>
          <w:b/>
          <w:bCs/>
          <w:caps/>
          <w:szCs w:val="24"/>
          <w:lang w:val="en-GB"/>
        </w:rPr>
        <w:t>I. MATERIALS AND METHODS</w:t>
      </w:r>
    </w:p>
    <w:p w14:paraId="157FD772"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A. MATERIALS</w:t>
      </w:r>
    </w:p>
    <w:p w14:paraId="6478FAAB" w14:textId="77777777" w:rsidR="00DC5685" w:rsidRPr="00A34F10" w:rsidRDefault="00DC5685" w:rsidP="00DC5685">
      <w:pPr>
        <w:tabs>
          <w:tab w:val="left" w:pos="0"/>
        </w:tabs>
        <w:ind w:left="357" w:hanging="357"/>
        <w:contextualSpacing/>
        <w:rPr>
          <w:b/>
          <w:bCs/>
          <w:caps/>
          <w:szCs w:val="24"/>
          <w:lang w:val="en-GB"/>
        </w:rPr>
      </w:pP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6C900920" w14:textId="77777777" w:rsidTr="000470C3">
        <w:trPr>
          <w:cantSplit/>
          <w:trHeight w:hRule="exact" w:val="340"/>
        </w:trPr>
        <w:tc>
          <w:tcPr>
            <w:tcW w:w="3969" w:type="dxa"/>
            <w:hideMark/>
          </w:tcPr>
          <w:p w14:paraId="10356331" w14:textId="77777777" w:rsidR="00DC5685" w:rsidRPr="00A34F10" w:rsidRDefault="00DC5685" w:rsidP="00E05ECD">
            <w:pPr>
              <w:numPr>
                <w:ilvl w:val="0"/>
                <w:numId w:val="80"/>
              </w:numPr>
              <w:tabs>
                <w:tab w:val="left" w:pos="255"/>
              </w:tabs>
              <w:spacing w:after="240"/>
              <w:contextualSpacing/>
              <w:rPr>
                <w:b/>
                <w:bCs/>
                <w:szCs w:val="24"/>
                <w:lang w:val="en-GB"/>
              </w:rPr>
            </w:pPr>
            <w:r w:rsidRPr="00A34F10">
              <w:rPr>
                <w:b/>
                <w:bCs/>
                <w:szCs w:val="24"/>
                <w:lang w:val="en-GB"/>
              </w:rPr>
              <w:t>Test item:</w:t>
            </w:r>
          </w:p>
        </w:tc>
        <w:tc>
          <w:tcPr>
            <w:tcW w:w="5381" w:type="dxa"/>
            <w:hideMark/>
          </w:tcPr>
          <w:p w14:paraId="6B2B05F2" w14:textId="77777777" w:rsidR="00DC5685" w:rsidRPr="00A34F10" w:rsidRDefault="00DC5685" w:rsidP="00DC5685">
            <w:pPr>
              <w:tabs>
                <w:tab w:val="left" w:pos="720"/>
              </w:tabs>
              <w:spacing w:after="240"/>
              <w:jc w:val="both"/>
              <w:rPr>
                <w:szCs w:val="24"/>
                <w:lang w:val="en-GB"/>
              </w:rPr>
            </w:pPr>
            <w:r w:rsidRPr="00A34F10">
              <w:rPr>
                <w:szCs w:val="24"/>
                <w:lang w:val="en-GB"/>
              </w:rPr>
              <w:t>BAS 743 03 F,</w:t>
            </w:r>
          </w:p>
        </w:tc>
      </w:tr>
      <w:tr w:rsidR="00DC5685" w:rsidRPr="00A34F10" w14:paraId="33CE3E95" w14:textId="77777777" w:rsidTr="000470C3">
        <w:trPr>
          <w:cantSplit/>
          <w:trHeight w:hRule="exact" w:val="340"/>
        </w:trPr>
        <w:tc>
          <w:tcPr>
            <w:tcW w:w="3969" w:type="dxa"/>
            <w:hideMark/>
          </w:tcPr>
          <w:p w14:paraId="6CBB0656"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Description:</w:t>
            </w:r>
          </w:p>
        </w:tc>
        <w:tc>
          <w:tcPr>
            <w:tcW w:w="5381" w:type="dxa"/>
            <w:hideMark/>
          </w:tcPr>
          <w:p w14:paraId="5DEEF8DE" w14:textId="77777777" w:rsidR="00DC5685" w:rsidRPr="00A34F10" w:rsidRDefault="00DC5685" w:rsidP="00DC5685">
            <w:pPr>
              <w:tabs>
                <w:tab w:val="left" w:pos="720"/>
              </w:tabs>
              <w:spacing w:after="240"/>
              <w:jc w:val="both"/>
              <w:rPr>
                <w:szCs w:val="24"/>
                <w:lang w:val="en-GB"/>
              </w:rPr>
            </w:pPr>
            <w:r w:rsidRPr="00A34F10">
              <w:rPr>
                <w:szCs w:val="24"/>
                <w:lang w:val="en-GB"/>
              </w:rPr>
              <w:t>Liquid, soluble concentrate (SC)</w:t>
            </w:r>
          </w:p>
        </w:tc>
      </w:tr>
      <w:tr w:rsidR="00DC5685" w:rsidRPr="00A34F10" w14:paraId="1CFEC9F1" w14:textId="77777777" w:rsidTr="000470C3">
        <w:trPr>
          <w:cantSplit/>
          <w:trHeight w:hRule="exact" w:val="340"/>
        </w:trPr>
        <w:tc>
          <w:tcPr>
            <w:tcW w:w="3969" w:type="dxa"/>
            <w:hideMark/>
          </w:tcPr>
          <w:p w14:paraId="0A439D1E" w14:textId="77777777" w:rsidR="00DC5685" w:rsidRPr="00A34F10" w:rsidRDefault="00DC5685" w:rsidP="00DC5685">
            <w:pPr>
              <w:tabs>
                <w:tab w:val="left" w:pos="624"/>
              </w:tabs>
              <w:spacing w:after="240"/>
              <w:ind w:left="624"/>
              <w:rPr>
                <w:b/>
                <w:bCs/>
                <w:szCs w:val="24"/>
                <w:lang w:val="en-GB"/>
              </w:rPr>
            </w:pPr>
            <w:r w:rsidRPr="00A34F10">
              <w:rPr>
                <w:b/>
                <w:bCs/>
                <w:szCs w:val="24"/>
                <w:lang w:val="en-GB"/>
              </w:rPr>
              <w:t>Lot/Batch:</w:t>
            </w:r>
          </w:p>
        </w:tc>
        <w:tc>
          <w:tcPr>
            <w:tcW w:w="5381" w:type="dxa"/>
            <w:hideMark/>
          </w:tcPr>
          <w:p w14:paraId="5EEF4A35" w14:textId="77777777" w:rsidR="00DC5685" w:rsidRPr="00A34F10" w:rsidRDefault="00DC5685" w:rsidP="00DC5685">
            <w:pPr>
              <w:tabs>
                <w:tab w:val="left" w:pos="720"/>
              </w:tabs>
              <w:spacing w:after="240"/>
              <w:jc w:val="both"/>
              <w:rPr>
                <w:szCs w:val="24"/>
                <w:lang w:val="en-GB"/>
              </w:rPr>
            </w:pPr>
            <w:r w:rsidRPr="00A34F10">
              <w:rPr>
                <w:szCs w:val="24"/>
                <w:lang w:val="en-GB"/>
              </w:rPr>
              <w:t>FRE-002223</w:t>
            </w:r>
          </w:p>
        </w:tc>
      </w:tr>
      <w:tr w:rsidR="00DC5685" w:rsidRPr="00A34F10" w14:paraId="2ACDEC19" w14:textId="77777777" w:rsidTr="000470C3">
        <w:trPr>
          <w:cantSplit/>
          <w:trHeight w:hRule="exact" w:val="630"/>
        </w:trPr>
        <w:tc>
          <w:tcPr>
            <w:tcW w:w="3969" w:type="dxa"/>
            <w:hideMark/>
          </w:tcPr>
          <w:p w14:paraId="7595F199" w14:textId="77777777" w:rsidR="00DC5685" w:rsidRPr="00A34F10" w:rsidRDefault="00DC5685" w:rsidP="00DC5685">
            <w:pPr>
              <w:tabs>
                <w:tab w:val="left" w:pos="624"/>
              </w:tabs>
              <w:spacing w:after="240"/>
              <w:ind w:left="624"/>
              <w:rPr>
                <w:b/>
                <w:bCs/>
                <w:szCs w:val="24"/>
                <w:lang w:val="en-GB"/>
              </w:rPr>
            </w:pPr>
            <w:r w:rsidRPr="00A34F10">
              <w:rPr>
                <w:b/>
                <w:bCs/>
                <w:szCs w:val="24"/>
                <w:lang w:val="en-GB"/>
              </w:rPr>
              <w:t>Active substance content:</w:t>
            </w:r>
          </w:p>
        </w:tc>
        <w:tc>
          <w:tcPr>
            <w:tcW w:w="5381" w:type="dxa"/>
            <w:hideMark/>
          </w:tcPr>
          <w:p w14:paraId="14626CA0" w14:textId="77777777" w:rsidR="00DC5685" w:rsidRPr="00A34F10" w:rsidRDefault="00DC5685" w:rsidP="00DC5685">
            <w:pPr>
              <w:tabs>
                <w:tab w:val="left" w:pos="720"/>
              </w:tabs>
              <w:jc w:val="both"/>
              <w:rPr>
                <w:szCs w:val="24"/>
                <w:lang w:val="en-GB"/>
              </w:rPr>
            </w:pPr>
            <w:r w:rsidRPr="00A34F10">
              <w:rPr>
                <w:szCs w:val="24"/>
                <w:lang w:val="en-GB"/>
              </w:rPr>
              <w:t xml:space="preserve">Propamocarb: </w:t>
            </w:r>
            <w:r w:rsidRPr="00A34F10">
              <w:rPr>
                <w:szCs w:val="24"/>
              </w:rPr>
              <w:t xml:space="preserve">nominal </w:t>
            </w:r>
            <w:r w:rsidRPr="00A34F10">
              <w:rPr>
                <w:szCs w:val="24"/>
                <w:lang w:val="en-GB"/>
              </w:rPr>
              <w:t>378.0 g/L, analysed 376.7 g/L;</w:t>
            </w:r>
          </w:p>
          <w:p w14:paraId="1EEDFB49" w14:textId="77777777" w:rsidR="00DC5685" w:rsidRPr="00A34F10" w:rsidRDefault="00DC5685" w:rsidP="00DC5685">
            <w:pPr>
              <w:tabs>
                <w:tab w:val="left" w:pos="720"/>
              </w:tabs>
              <w:jc w:val="both"/>
              <w:rPr>
                <w:szCs w:val="24"/>
              </w:rPr>
            </w:pPr>
            <w:r w:rsidRPr="00A34F10">
              <w:rPr>
                <w:szCs w:val="24"/>
                <w:lang w:val="en-GB"/>
              </w:rPr>
              <w:t>Ametoctradin:  nominal 120.0 g/L, analysed 120.2 g/L</w:t>
            </w:r>
          </w:p>
        </w:tc>
      </w:tr>
      <w:tr w:rsidR="00DC5685" w:rsidRPr="00A34F10" w14:paraId="26138682" w14:textId="77777777" w:rsidTr="000470C3">
        <w:trPr>
          <w:cantSplit/>
          <w:trHeight w:hRule="exact" w:val="340"/>
        </w:trPr>
        <w:tc>
          <w:tcPr>
            <w:tcW w:w="3969" w:type="dxa"/>
            <w:hideMark/>
          </w:tcPr>
          <w:p w14:paraId="38E746FC" w14:textId="77777777" w:rsidR="00DC5685" w:rsidRPr="00A34F10" w:rsidRDefault="00DC5685" w:rsidP="00DC5685">
            <w:pPr>
              <w:tabs>
                <w:tab w:val="left" w:pos="624"/>
              </w:tabs>
              <w:spacing w:after="240"/>
              <w:ind w:left="624"/>
              <w:rPr>
                <w:b/>
                <w:bCs/>
                <w:szCs w:val="24"/>
                <w:lang w:val="en-GB"/>
              </w:rPr>
            </w:pPr>
            <w:r w:rsidRPr="00A34F10">
              <w:rPr>
                <w:b/>
                <w:bCs/>
                <w:szCs w:val="24"/>
                <w:lang w:val="en-GB"/>
              </w:rPr>
              <w:t>Density:</w:t>
            </w:r>
          </w:p>
        </w:tc>
        <w:tc>
          <w:tcPr>
            <w:tcW w:w="5381" w:type="dxa"/>
            <w:hideMark/>
          </w:tcPr>
          <w:p w14:paraId="1B9B0B77" w14:textId="77777777" w:rsidR="00DC5685" w:rsidRPr="00A34F10" w:rsidRDefault="00DC5685" w:rsidP="00DC5685">
            <w:pPr>
              <w:tabs>
                <w:tab w:val="left" w:pos="720"/>
              </w:tabs>
              <w:spacing w:after="240"/>
              <w:jc w:val="both"/>
              <w:rPr>
                <w:szCs w:val="24"/>
                <w:lang w:val="en-GB"/>
              </w:rPr>
            </w:pPr>
            <w:r w:rsidRPr="00A34F10">
              <w:rPr>
                <w:szCs w:val="24"/>
                <w:lang w:val="en-GB"/>
              </w:rPr>
              <w:t>1.071 g/cm</w:t>
            </w:r>
            <w:r w:rsidRPr="00A34F10">
              <w:rPr>
                <w:szCs w:val="24"/>
                <w:vertAlign w:val="superscript"/>
                <w:lang w:val="en-GB"/>
              </w:rPr>
              <w:t>3</w:t>
            </w:r>
            <w:r w:rsidRPr="00A34F10">
              <w:rPr>
                <w:szCs w:val="24"/>
                <w:lang w:val="en-GB"/>
              </w:rPr>
              <w:t xml:space="preserve"> at 20°C</w:t>
            </w:r>
          </w:p>
        </w:tc>
      </w:tr>
      <w:tr w:rsidR="00DC5685" w:rsidRPr="00A34F10" w14:paraId="77FE46E3" w14:textId="77777777" w:rsidTr="000470C3">
        <w:trPr>
          <w:cantSplit/>
          <w:trHeight w:hRule="exact" w:val="340"/>
        </w:trPr>
        <w:tc>
          <w:tcPr>
            <w:tcW w:w="3969" w:type="dxa"/>
            <w:hideMark/>
          </w:tcPr>
          <w:p w14:paraId="561BFE7E" w14:textId="77777777" w:rsidR="00DC5685" w:rsidRPr="00A34F10" w:rsidRDefault="00DC5685" w:rsidP="00E05ECD">
            <w:pPr>
              <w:numPr>
                <w:ilvl w:val="0"/>
                <w:numId w:val="80"/>
              </w:numPr>
              <w:tabs>
                <w:tab w:val="left" w:pos="255"/>
              </w:tabs>
              <w:spacing w:after="240"/>
              <w:contextualSpacing/>
              <w:rPr>
                <w:b/>
                <w:bCs/>
                <w:szCs w:val="24"/>
                <w:lang w:val="en-GB"/>
              </w:rPr>
            </w:pPr>
            <w:r w:rsidRPr="00A34F10">
              <w:rPr>
                <w:b/>
                <w:bCs/>
                <w:szCs w:val="24"/>
                <w:lang w:val="en-GB"/>
              </w:rPr>
              <w:t>Control:</w:t>
            </w:r>
          </w:p>
        </w:tc>
        <w:tc>
          <w:tcPr>
            <w:tcW w:w="5381" w:type="dxa"/>
            <w:hideMark/>
          </w:tcPr>
          <w:p w14:paraId="0AFF1CBD" w14:textId="77777777" w:rsidR="00DC5685" w:rsidRPr="00A34F10" w:rsidRDefault="00DC5685" w:rsidP="00DC5685">
            <w:pPr>
              <w:tabs>
                <w:tab w:val="left" w:pos="720"/>
              </w:tabs>
              <w:spacing w:after="240"/>
              <w:rPr>
                <w:szCs w:val="24"/>
                <w:lang w:val="en-GB"/>
              </w:rPr>
            </w:pPr>
            <w:r w:rsidRPr="00A34F10">
              <w:rPr>
                <w:szCs w:val="24"/>
                <w:lang w:val="en-GB"/>
              </w:rPr>
              <w:t>Deionised water</w:t>
            </w:r>
          </w:p>
        </w:tc>
      </w:tr>
      <w:tr w:rsidR="00DC5685" w:rsidRPr="00A34F10" w14:paraId="4DBE3665" w14:textId="77777777" w:rsidTr="000470C3">
        <w:trPr>
          <w:cantSplit/>
          <w:trHeight w:hRule="exact" w:val="624"/>
        </w:trPr>
        <w:tc>
          <w:tcPr>
            <w:tcW w:w="3969" w:type="dxa"/>
            <w:hideMark/>
          </w:tcPr>
          <w:p w14:paraId="70F27690" w14:textId="77777777" w:rsidR="00DC5685" w:rsidRPr="00A34F10" w:rsidRDefault="00DC5685" w:rsidP="00E05ECD">
            <w:pPr>
              <w:numPr>
                <w:ilvl w:val="0"/>
                <w:numId w:val="80"/>
              </w:numPr>
              <w:tabs>
                <w:tab w:val="left" w:pos="255"/>
              </w:tabs>
              <w:spacing w:after="240"/>
              <w:contextualSpacing/>
              <w:rPr>
                <w:b/>
                <w:bCs/>
                <w:szCs w:val="24"/>
                <w:lang w:val="en-GB"/>
              </w:rPr>
            </w:pPr>
            <w:r w:rsidRPr="00A34F10">
              <w:rPr>
                <w:b/>
                <w:bCs/>
                <w:szCs w:val="24"/>
                <w:lang w:val="en-GB"/>
              </w:rPr>
              <w:t>Reference item:</w:t>
            </w:r>
          </w:p>
        </w:tc>
        <w:tc>
          <w:tcPr>
            <w:tcW w:w="5381" w:type="dxa"/>
            <w:hideMark/>
          </w:tcPr>
          <w:p w14:paraId="20BB5525" w14:textId="77777777" w:rsidR="00DC5685" w:rsidRPr="00A34F10" w:rsidRDefault="00DC5685" w:rsidP="00DC5685">
            <w:pPr>
              <w:tabs>
                <w:tab w:val="left" w:pos="720"/>
              </w:tabs>
              <w:spacing w:after="240"/>
              <w:jc w:val="both"/>
              <w:rPr>
                <w:szCs w:val="24"/>
                <w:lang w:val="en-GB"/>
              </w:rPr>
            </w:pPr>
            <w:r w:rsidRPr="00A34F10">
              <w:rPr>
                <w:szCs w:val="24"/>
                <w:lang w:val="en-GB"/>
              </w:rPr>
              <w:t>DANADIM PROGRESS, a.s. dimethoate, nominal 400 g/L, measured 401.7 g/L</w:t>
            </w:r>
          </w:p>
        </w:tc>
      </w:tr>
    </w:tbl>
    <w:p w14:paraId="1539A540" w14:textId="5127D1FC" w:rsidR="0066662D" w:rsidRDefault="0066662D" w:rsidP="00DC5685">
      <w:pPr>
        <w:tabs>
          <w:tab w:val="left" w:pos="0"/>
        </w:tabs>
        <w:ind w:left="357" w:hanging="357"/>
        <w:contextualSpacing/>
        <w:rPr>
          <w:b/>
          <w:bCs/>
          <w:caps/>
          <w:szCs w:val="24"/>
          <w:highlight w:val="yellow"/>
          <w:lang w:val="en-GB"/>
        </w:rPr>
      </w:pPr>
    </w:p>
    <w:p w14:paraId="7FAF9698" w14:textId="77777777" w:rsidR="0066662D" w:rsidRDefault="0066662D">
      <w:pPr>
        <w:rPr>
          <w:b/>
          <w:bCs/>
          <w:caps/>
          <w:szCs w:val="24"/>
          <w:highlight w:val="yellow"/>
          <w:lang w:val="en-GB"/>
        </w:rPr>
      </w:pPr>
      <w:r>
        <w:rPr>
          <w:b/>
          <w:bCs/>
          <w:caps/>
          <w:szCs w:val="24"/>
          <w:highlight w:val="yellow"/>
          <w:lang w:val="en-GB"/>
        </w:rPr>
        <w:br w:type="page"/>
      </w:r>
    </w:p>
    <w:p w14:paraId="041C6A54" w14:textId="77777777" w:rsidR="00DC5685" w:rsidRPr="00A34F10" w:rsidRDefault="00DC5685" w:rsidP="00DC5685">
      <w:pPr>
        <w:tabs>
          <w:tab w:val="left" w:pos="0"/>
        </w:tabs>
        <w:ind w:left="357" w:hanging="357"/>
        <w:contextualSpacing/>
        <w:rPr>
          <w:b/>
          <w:bCs/>
          <w:caps/>
          <w:szCs w:val="24"/>
          <w:highlight w:val="yellow"/>
          <w:lang w:val="en-GB"/>
        </w:rPr>
      </w:pPr>
    </w:p>
    <w:p w14:paraId="5F853295"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tbl>
      <w:tblPr>
        <w:tblStyle w:val="TableGrid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2A607D7F" w14:textId="77777777" w:rsidTr="000470C3">
        <w:trPr>
          <w:trHeight w:hRule="exact" w:val="680"/>
        </w:trPr>
        <w:tc>
          <w:tcPr>
            <w:tcW w:w="3969" w:type="dxa"/>
            <w:hideMark/>
          </w:tcPr>
          <w:p w14:paraId="13F27006" w14:textId="77777777" w:rsidR="00DC5685" w:rsidRPr="00A34F10" w:rsidRDefault="00DC5685" w:rsidP="00E05ECD">
            <w:pPr>
              <w:numPr>
                <w:ilvl w:val="0"/>
                <w:numId w:val="81"/>
              </w:numPr>
              <w:tabs>
                <w:tab w:val="left" w:pos="255"/>
              </w:tabs>
              <w:spacing w:after="240"/>
              <w:contextualSpacing/>
              <w:rPr>
                <w:b/>
                <w:bCs/>
                <w:szCs w:val="24"/>
                <w:lang w:val="en-GB"/>
              </w:rPr>
            </w:pPr>
            <w:r w:rsidRPr="00A34F10">
              <w:rPr>
                <w:b/>
                <w:bCs/>
                <w:szCs w:val="24"/>
                <w:lang w:val="en-GB"/>
              </w:rPr>
              <w:t>Test species:</w:t>
            </w:r>
          </w:p>
        </w:tc>
        <w:tc>
          <w:tcPr>
            <w:tcW w:w="5381" w:type="dxa"/>
            <w:hideMark/>
          </w:tcPr>
          <w:p w14:paraId="56C04D40" w14:textId="77777777" w:rsidR="00DC5685" w:rsidRPr="00A34F10" w:rsidRDefault="00DC5685" w:rsidP="00DC5685">
            <w:pPr>
              <w:tabs>
                <w:tab w:val="left" w:pos="720"/>
              </w:tabs>
              <w:spacing w:after="240"/>
              <w:jc w:val="both"/>
              <w:rPr>
                <w:szCs w:val="24"/>
                <w:lang w:val="en-GB"/>
              </w:rPr>
            </w:pPr>
            <w:r w:rsidRPr="00A34F10">
              <w:rPr>
                <w:szCs w:val="24"/>
                <w:lang w:val="en-GB"/>
              </w:rPr>
              <w:t>Parasitic wasp</w:t>
            </w:r>
            <w:r w:rsidRPr="00A34F10">
              <w:rPr>
                <w:i/>
                <w:iCs/>
                <w:szCs w:val="24"/>
                <w:lang w:val="en-GB"/>
              </w:rPr>
              <w:t xml:space="preserve"> Aphidius rhopalosiphi </w:t>
            </w:r>
            <w:r w:rsidRPr="00A34F10">
              <w:rPr>
                <w:szCs w:val="24"/>
                <w:lang w:val="en-GB"/>
              </w:rPr>
              <w:t>(Destephani-Perez)</w:t>
            </w:r>
            <w:r w:rsidRPr="00A34F10">
              <w:rPr>
                <w:i/>
                <w:iCs/>
                <w:szCs w:val="24"/>
                <w:lang w:val="en-GB"/>
              </w:rPr>
              <w:t xml:space="preserve"> </w:t>
            </w:r>
            <w:r w:rsidRPr="00A34F10">
              <w:rPr>
                <w:szCs w:val="24"/>
                <w:lang w:val="en-GB"/>
              </w:rPr>
              <w:t>(Hymenoptera, Braconidae)</w:t>
            </w:r>
          </w:p>
        </w:tc>
      </w:tr>
      <w:tr w:rsidR="00DC5685" w:rsidRPr="00A34F10" w14:paraId="581B6A91" w14:textId="77777777" w:rsidTr="000470C3">
        <w:trPr>
          <w:trHeight w:hRule="exact" w:val="297"/>
        </w:trPr>
        <w:tc>
          <w:tcPr>
            <w:tcW w:w="3969" w:type="dxa"/>
            <w:hideMark/>
          </w:tcPr>
          <w:p w14:paraId="52BB4488"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Age/life stage: </w:t>
            </w:r>
          </w:p>
        </w:tc>
        <w:tc>
          <w:tcPr>
            <w:tcW w:w="5381" w:type="dxa"/>
            <w:hideMark/>
          </w:tcPr>
          <w:p w14:paraId="7540F59C" w14:textId="77777777" w:rsidR="00DC5685" w:rsidRPr="00A34F10" w:rsidRDefault="00DC5685" w:rsidP="00DC5685">
            <w:pPr>
              <w:tabs>
                <w:tab w:val="left" w:pos="720"/>
              </w:tabs>
              <w:spacing w:after="240"/>
              <w:jc w:val="both"/>
              <w:rPr>
                <w:szCs w:val="24"/>
                <w:lang w:val="en-GB"/>
              </w:rPr>
            </w:pPr>
            <w:r w:rsidRPr="00A34F10">
              <w:rPr>
                <w:szCs w:val="24"/>
                <w:lang w:val="en-GB"/>
              </w:rPr>
              <w:t>Adults &lt;48 hours old at test start</w:t>
            </w:r>
          </w:p>
        </w:tc>
      </w:tr>
      <w:tr w:rsidR="00DC5685" w:rsidRPr="00A34F10" w14:paraId="0BA7E664" w14:textId="77777777" w:rsidTr="000470C3">
        <w:trPr>
          <w:trHeight w:hRule="exact" w:val="810"/>
        </w:trPr>
        <w:tc>
          <w:tcPr>
            <w:tcW w:w="3969" w:type="dxa"/>
            <w:hideMark/>
          </w:tcPr>
          <w:p w14:paraId="2ED4111F" w14:textId="77777777" w:rsidR="00DC5685" w:rsidRPr="00A34F10" w:rsidRDefault="00DC5685" w:rsidP="00DC5685">
            <w:pPr>
              <w:tabs>
                <w:tab w:val="left" w:pos="624"/>
              </w:tabs>
              <w:spacing w:after="240"/>
              <w:ind w:left="624"/>
              <w:rPr>
                <w:b/>
                <w:bCs/>
                <w:szCs w:val="24"/>
                <w:highlight w:val="yellow"/>
                <w:lang w:val="en-GB"/>
              </w:rPr>
            </w:pPr>
            <w:r w:rsidRPr="00A34F10">
              <w:rPr>
                <w:b/>
                <w:bCs/>
                <w:szCs w:val="24"/>
                <w:lang w:val="en-GB"/>
              </w:rPr>
              <w:t>Source:</w:t>
            </w:r>
          </w:p>
        </w:tc>
        <w:tc>
          <w:tcPr>
            <w:tcW w:w="5381" w:type="dxa"/>
            <w:hideMark/>
          </w:tcPr>
          <w:p w14:paraId="18A1A0F0" w14:textId="77777777" w:rsidR="00DC5685" w:rsidRPr="00A34F10" w:rsidRDefault="00DC5685" w:rsidP="00DC5685">
            <w:pPr>
              <w:tabs>
                <w:tab w:val="left" w:pos="720"/>
              </w:tabs>
              <w:spacing w:after="240"/>
              <w:jc w:val="both"/>
              <w:rPr>
                <w:szCs w:val="24"/>
                <w:highlight w:val="yellow"/>
                <w:lang w:val="en-GB"/>
              </w:rPr>
            </w:pPr>
            <w:r w:rsidRPr="00A34F10">
              <w:rPr>
                <w:szCs w:val="24"/>
              </w:rPr>
              <w:t xml:space="preserve">Purchased from “Katz Biotech AG”, An der Birkenpfuhlheide 10, 15837 Baruth, Germany, </w:t>
            </w:r>
            <w:r w:rsidRPr="00A34F10">
              <w:rPr>
                <w:szCs w:val="24"/>
                <w:lang w:val="en-GB"/>
              </w:rPr>
              <w:t>(in the stage of mummies)</w:t>
            </w:r>
          </w:p>
        </w:tc>
      </w:tr>
      <w:tr w:rsidR="00DC5685" w:rsidRPr="00A34F10" w14:paraId="6D32EBF1" w14:textId="77777777" w:rsidTr="000470C3">
        <w:trPr>
          <w:trHeight w:hRule="exact" w:val="540"/>
        </w:trPr>
        <w:tc>
          <w:tcPr>
            <w:tcW w:w="3969" w:type="dxa"/>
            <w:hideMark/>
          </w:tcPr>
          <w:p w14:paraId="433E3D94" w14:textId="77777777" w:rsidR="00DC5685" w:rsidRPr="00A34F10" w:rsidRDefault="00DC5685" w:rsidP="00DC5685">
            <w:pPr>
              <w:tabs>
                <w:tab w:val="left" w:pos="624"/>
              </w:tabs>
              <w:spacing w:after="240"/>
              <w:ind w:left="624"/>
              <w:rPr>
                <w:b/>
                <w:bCs/>
                <w:szCs w:val="24"/>
                <w:lang w:val="en-GB"/>
              </w:rPr>
            </w:pPr>
            <w:r w:rsidRPr="00A34F10">
              <w:rPr>
                <w:b/>
                <w:bCs/>
                <w:szCs w:val="24"/>
                <w:lang w:val="en-GB"/>
              </w:rPr>
              <w:t xml:space="preserve">Diet: </w:t>
            </w:r>
          </w:p>
        </w:tc>
        <w:tc>
          <w:tcPr>
            <w:tcW w:w="5381" w:type="dxa"/>
            <w:hideMark/>
          </w:tcPr>
          <w:p w14:paraId="45CD39E5" w14:textId="77777777" w:rsidR="00DC5685" w:rsidRPr="00A34F10" w:rsidRDefault="00DC5685" w:rsidP="00DC5685">
            <w:pPr>
              <w:tabs>
                <w:tab w:val="left" w:pos="720"/>
              </w:tabs>
              <w:spacing w:after="240"/>
              <w:jc w:val="both"/>
              <w:rPr>
                <w:szCs w:val="24"/>
                <w:lang w:val="en-GB"/>
              </w:rPr>
            </w:pPr>
            <w:r w:rsidRPr="00A34F10">
              <w:rPr>
                <w:szCs w:val="24"/>
                <w:lang w:val="en-GB"/>
              </w:rPr>
              <w:t>Cotton wool soaked with a 1:3 v/v solution of honey and water using capillary force</w:t>
            </w:r>
          </w:p>
        </w:tc>
      </w:tr>
      <w:tr w:rsidR="00DC5685" w:rsidRPr="00A34F10" w14:paraId="102C9ACB" w14:textId="77777777" w:rsidTr="000470C3">
        <w:trPr>
          <w:trHeight w:hRule="exact" w:val="4635"/>
        </w:trPr>
        <w:tc>
          <w:tcPr>
            <w:tcW w:w="3969" w:type="dxa"/>
            <w:hideMark/>
          </w:tcPr>
          <w:p w14:paraId="55927004" w14:textId="77777777" w:rsidR="00DC5685" w:rsidRPr="00A34F10" w:rsidRDefault="00DC5685" w:rsidP="00E05ECD">
            <w:pPr>
              <w:numPr>
                <w:ilvl w:val="0"/>
                <w:numId w:val="81"/>
              </w:numPr>
              <w:tabs>
                <w:tab w:val="left" w:pos="255"/>
              </w:tabs>
              <w:spacing w:after="240"/>
              <w:contextualSpacing/>
              <w:rPr>
                <w:b/>
                <w:bCs/>
                <w:szCs w:val="24"/>
                <w:lang w:val="en-GB"/>
              </w:rPr>
            </w:pPr>
            <w:r w:rsidRPr="00A34F10">
              <w:rPr>
                <w:b/>
                <w:bCs/>
                <w:szCs w:val="24"/>
                <w:lang w:val="en-GB"/>
              </w:rPr>
              <w:t>Test units:</w:t>
            </w:r>
          </w:p>
        </w:tc>
        <w:tc>
          <w:tcPr>
            <w:tcW w:w="5381" w:type="dxa"/>
            <w:hideMark/>
          </w:tcPr>
          <w:p w14:paraId="6DE01FD8" w14:textId="77777777" w:rsidR="00DC5685" w:rsidRPr="00A34F10" w:rsidRDefault="00DC5685" w:rsidP="00DC5685">
            <w:pPr>
              <w:tabs>
                <w:tab w:val="left" w:pos="720"/>
              </w:tabs>
              <w:jc w:val="both"/>
              <w:rPr>
                <w:szCs w:val="24"/>
                <w:lang w:val="en-GB"/>
              </w:rPr>
            </w:pPr>
            <w:r w:rsidRPr="00A34F10">
              <w:rPr>
                <w:szCs w:val="24"/>
                <w:u w:val="single"/>
                <w:lang w:val="en-GB"/>
              </w:rPr>
              <w:t>Mortality assessment:</w:t>
            </w:r>
            <w:r w:rsidRPr="00A34F10">
              <w:rPr>
                <w:szCs w:val="24"/>
                <w:lang w:val="en-GB"/>
              </w:rPr>
              <w:t xml:space="preserve"> test arena, made of 2 square glass plates (13 cm × 13 cm), held apart by an aluminium frame (13 cm × 13 cm × 1.4 cm) with gauze covered holes for forced air ventilation (blowing air; flow rate: 2.5 L/min). Both glass plates were fitted with the treated surface inwards directed onto a square aluminium frame as floor and ceiling. Three sides of the frame contained six ventilation holes each (1 cm diameter). The inside surface of the frame was coated with black tight cotton material to seal the ventilation holes. The fourth side of the frame contained an oval hole which was used for the introduction of the wasps and closed from the outside with black paper and adhesive tape. </w:t>
            </w:r>
          </w:p>
          <w:p w14:paraId="4A328BDE" w14:textId="77777777" w:rsidR="00DC5685" w:rsidRPr="00A34F10" w:rsidRDefault="00DC5685" w:rsidP="00DC5685">
            <w:pPr>
              <w:tabs>
                <w:tab w:val="left" w:pos="720"/>
              </w:tabs>
              <w:jc w:val="both"/>
              <w:rPr>
                <w:szCs w:val="24"/>
                <w:lang w:val="en-GB"/>
              </w:rPr>
            </w:pPr>
            <w:r w:rsidRPr="00A34F10">
              <w:rPr>
                <w:szCs w:val="24"/>
                <w:u w:val="single"/>
                <w:lang w:val="en-GB"/>
              </w:rPr>
              <w:t>Reproduction assessment</w:t>
            </w:r>
            <w:r w:rsidRPr="00A34F10">
              <w:rPr>
                <w:szCs w:val="24"/>
                <w:lang w:val="en-GB"/>
              </w:rPr>
              <w:t xml:space="preserve">: acrylic cylinders (about 11 cm Ø, 20 cm high), containing a pot grown with wheat seedlings and itself infested with &gt; 100 adult and nymphal aphids of </w:t>
            </w:r>
            <w:r w:rsidRPr="00A34F10">
              <w:rPr>
                <w:i/>
                <w:iCs/>
                <w:szCs w:val="24"/>
                <w:lang w:val="en-GB"/>
              </w:rPr>
              <w:t xml:space="preserve">Rhopalosiphum padi </w:t>
            </w:r>
            <w:r w:rsidRPr="00A34F10">
              <w:rPr>
                <w:szCs w:val="24"/>
                <w:lang w:val="en-GB"/>
              </w:rPr>
              <w:t>and covered with gauze at the top of the cylinder.</w:t>
            </w:r>
          </w:p>
        </w:tc>
      </w:tr>
      <w:tr w:rsidR="00DC5685" w:rsidRPr="00A34F10" w14:paraId="3561AFBE" w14:textId="77777777" w:rsidTr="000470C3">
        <w:trPr>
          <w:trHeight w:hRule="exact" w:val="340"/>
        </w:trPr>
        <w:tc>
          <w:tcPr>
            <w:tcW w:w="3969" w:type="dxa"/>
            <w:hideMark/>
          </w:tcPr>
          <w:p w14:paraId="1A3B1ABE" w14:textId="77777777" w:rsidR="00DC5685" w:rsidRPr="00A34F10" w:rsidRDefault="00DC5685" w:rsidP="00E05ECD">
            <w:pPr>
              <w:numPr>
                <w:ilvl w:val="0"/>
                <w:numId w:val="81"/>
              </w:numPr>
              <w:tabs>
                <w:tab w:val="left" w:pos="255"/>
              </w:tabs>
              <w:spacing w:after="240"/>
              <w:contextualSpacing/>
              <w:rPr>
                <w:b/>
                <w:bCs/>
                <w:szCs w:val="24"/>
                <w:lang w:val="en-GB"/>
              </w:rPr>
            </w:pPr>
            <w:r w:rsidRPr="00A34F10">
              <w:rPr>
                <w:b/>
                <w:bCs/>
                <w:szCs w:val="24"/>
                <w:lang w:val="en-GB"/>
              </w:rPr>
              <w:t>Environmental conditions</w:t>
            </w:r>
          </w:p>
        </w:tc>
        <w:tc>
          <w:tcPr>
            <w:tcW w:w="5381" w:type="dxa"/>
          </w:tcPr>
          <w:p w14:paraId="687D98F4" w14:textId="77777777" w:rsidR="00DC5685" w:rsidRPr="00A34F10" w:rsidRDefault="00DC5685" w:rsidP="00DC5685">
            <w:pPr>
              <w:tabs>
                <w:tab w:val="left" w:pos="720"/>
              </w:tabs>
              <w:spacing w:after="240"/>
              <w:jc w:val="both"/>
              <w:rPr>
                <w:szCs w:val="24"/>
                <w:lang w:val="en-GB"/>
              </w:rPr>
            </w:pPr>
          </w:p>
        </w:tc>
      </w:tr>
      <w:tr w:rsidR="00DC5685" w:rsidRPr="00A34F10" w14:paraId="1F29F40B" w14:textId="77777777" w:rsidTr="000470C3">
        <w:trPr>
          <w:trHeight w:hRule="exact" w:val="340"/>
        </w:trPr>
        <w:tc>
          <w:tcPr>
            <w:tcW w:w="3969" w:type="dxa"/>
            <w:hideMark/>
          </w:tcPr>
          <w:p w14:paraId="7F9FE376" w14:textId="77777777" w:rsidR="00DC5685" w:rsidRPr="00A34F10" w:rsidRDefault="00DC5685" w:rsidP="00DC5685">
            <w:pPr>
              <w:tabs>
                <w:tab w:val="left" w:pos="624"/>
              </w:tabs>
              <w:spacing w:after="240"/>
              <w:ind w:left="624"/>
              <w:rPr>
                <w:b/>
                <w:bCs/>
                <w:szCs w:val="24"/>
                <w:lang w:val="en-GB"/>
              </w:rPr>
            </w:pPr>
            <w:r w:rsidRPr="00A34F10">
              <w:rPr>
                <w:b/>
                <w:bCs/>
                <w:szCs w:val="24"/>
                <w:lang w:val="en-GB"/>
              </w:rPr>
              <w:t>Temperature:</w:t>
            </w:r>
          </w:p>
        </w:tc>
        <w:tc>
          <w:tcPr>
            <w:tcW w:w="5381" w:type="dxa"/>
            <w:hideMark/>
          </w:tcPr>
          <w:p w14:paraId="33E62519" w14:textId="77777777" w:rsidR="00DC5685" w:rsidRPr="00A34F10" w:rsidRDefault="00DC5685" w:rsidP="00DC5685">
            <w:pPr>
              <w:tabs>
                <w:tab w:val="left" w:pos="720"/>
              </w:tabs>
              <w:spacing w:after="240"/>
              <w:jc w:val="both"/>
              <w:rPr>
                <w:szCs w:val="24"/>
                <w:lang w:val="en-GB"/>
              </w:rPr>
            </w:pPr>
            <w:r w:rsidRPr="00A34F10">
              <w:rPr>
                <w:szCs w:val="24"/>
                <w:lang w:val="en-GB"/>
              </w:rPr>
              <w:t>20 – 22°C</w:t>
            </w:r>
          </w:p>
        </w:tc>
      </w:tr>
      <w:tr w:rsidR="00DC5685" w:rsidRPr="00A34F10" w14:paraId="44385200" w14:textId="77777777" w:rsidTr="000470C3">
        <w:trPr>
          <w:trHeight w:hRule="exact" w:val="340"/>
        </w:trPr>
        <w:tc>
          <w:tcPr>
            <w:tcW w:w="3969" w:type="dxa"/>
            <w:hideMark/>
          </w:tcPr>
          <w:p w14:paraId="27841A2C" w14:textId="77777777" w:rsidR="00DC5685" w:rsidRPr="00A34F10" w:rsidRDefault="00DC5685" w:rsidP="00DC5685">
            <w:pPr>
              <w:tabs>
                <w:tab w:val="left" w:pos="624"/>
              </w:tabs>
              <w:spacing w:after="240"/>
              <w:ind w:left="624"/>
              <w:rPr>
                <w:b/>
                <w:bCs/>
                <w:szCs w:val="24"/>
                <w:lang w:val="en-GB"/>
              </w:rPr>
            </w:pPr>
            <w:r w:rsidRPr="00A34F10">
              <w:rPr>
                <w:b/>
                <w:bCs/>
                <w:szCs w:val="24"/>
                <w:lang w:val="en-GB"/>
              </w:rPr>
              <w:t>Relative humidity:</w:t>
            </w:r>
          </w:p>
        </w:tc>
        <w:tc>
          <w:tcPr>
            <w:tcW w:w="5381" w:type="dxa"/>
            <w:hideMark/>
          </w:tcPr>
          <w:p w14:paraId="11ECCB1A" w14:textId="77777777" w:rsidR="00DC5685" w:rsidRPr="00A34F10" w:rsidRDefault="00DC5685" w:rsidP="00DC5685">
            <w:pPr>
              <w:tabs>
                <w:tab w:val="left" w:pos="720"/>
              </w:tabs>
              <w:spacing w:after="240"/>
              <w:jc w:val="both"/>
              <w:rPr>
                <w:szCs w:val="24"/>
                <w:lang w:val="en-GB"/>
              </w:rPr>
            </w:pPr>
            <w:r w:rsidRPr="00A34F10">
              <w:rPr>
                <w:szCs w:val="24"/>
                <w:lang w:val="en-GB"/>
              </w:rPr>
              <w:t>66 – 75%</w:t>
            </w:r>
          </w:p>
        </w:tc>
      </w:tr>
      <w:tr w:rsidR="00DC5685" w:rsidRPr="00A34F10" w14:paraId="32EE9331" w14:textId="77777777" w:rsidTr="000470C3">
        <w:trPr>
          <w:trHeight w:hRule="exact" w:val="600"/>
        </w:trPr>
        <w:tc>
          <w:tcPr>
            <w:tcW w:w="3969" w:type="dxa"/>
            <w:hideMark/>
          </w:tcPr>
          <w:p w14:paraId="3FAEB4A0" w14:textId="77777777" w:rsidR="00DC5685" w:rsidRPr="00A34F10" w:rsidRDefault="00DC5685" w:rsidP="00DC5685">
            <w:pPr>
              <w:tabs>
                <w:tab w:val="left" w:pos="624"/>
              </w:tabs>
              <w:spacing w:after="240"/>
              <w:ind w:left="624"/>
              <w:rPr>
                <w:b/>
                <w:bCs/>
                <w:szCs w:val="24"/>
                <w:lang w:val="en-GB"/>
              </w:rPr>
            </w:pPr>
            <w:r w:rsidRPr="00A34F10">
              <w:rPr>
                <w:b/>
                <w:bCs/>
                <w:szCs w:val="24"/>
                <w:lang w:val="en-GB"/>
              </w:rPr>
              <w:t>Photoperiod:</w:t>
            </w:r>
          </w:p>
        </w:tc>
        <w:tc>
          <w:tcPr>
            <w:tcW w:w="5381" w:type="dxa"/>
            <w:hideMark/>
          </w:tcPr>
          <w:p w14:paraId="2C5423CF" w14:textId="77777777" w:rsidR="00DC5685" w:rsidRPr="00A34F10" w:rsidRDefault="00DC5685" w:rsidP="00DC5685">
            <w:pPr>
              <w:tabs>
                <w:tab w:val="left" w:pos="720"/>
              </w:tabs>
              <w:spacing w:after="240"/>
              <w:jc w:val="both"/>
              <w:rPr>
                <w:szCs w:val="24"/>
              </w:rPr>
            </w:pPr>
            <w:r w:rsidRPr="00A34F10">
              <w:rPr>
                <w:szCs w:val="24"/>
                <w:lang w:val="en-GB"/>
              </w:rPr>
              <w:t>16 h light : 8 h dark; 1020 lx (exposure phase), 2590 lx (parasitisation phase), 6410 lx (reproduction phase)</w:t>
            </w:r>
          </w:p>
        </w:tc>
      </w:tr>
    </w:tbl>
    <w:p w14:paraId="05919439" w14:textId="77777777" w:rsidR="00DC5685" w:rsidRPr="00A34F10" w:rsidRDefault="00DC5685" w:rsidP="00DC5685">
      <w:pPr>
        <w:tabs>
          <w:tab w:val="left" w:pos="0"/>
        </w:tabs>
        <w:ind w:left="360" w:hanging="360"/>
        <w:contextualSpacing/>
        <w:rPr>
          <w:b/>
          <w:bCs/>
          <w:szCs w:val="24"/>
          <w:highlight w:val="yellow"/>
          <w:lang w:val="en-GB"/>
        </w:rPr>
      </w:pPr>
    </w:p>
    <w:p w14:paraId="3CF004E1" w14:textId="77777777" w:rsidR="00DC5685" w:rsidRPr="00A34F10" w:rsidRDefault="00DC5685" w:rsidP="00E05ECD">
      <w:pPr>
        <w:numPr>
          <w:ilvl w:val="0"/>
          <w:numId w:val="82"/>
        </w:numPr>
        <w:spacing w:before="240"/>
        <w:ind w:left="357" w:hanging="357"/>
        <w:contextualSpacing/>
        <w:rPr>
          <w:b/>
          <w:bCs/>
          <w:szCs w:val="24"/>
          <w:lang w:val="en-GB"/>
        </w:rPr>
      </w:pPr>
      <w:r w:rsidRPr="00A34F10">
        <w:rPr>
          <w:b/>
          <w:bCs/>
          <w:szCs w:val="24"/>
          <w:lang w:val="en-GB"/>
        </w:rPr>
        <w:t xml:space="preserve">Test organism and treatment: </w:t>
      </w:r>
    </w:p>
    <w:p w14:paraId="5EF81217" w14:textId="7FF88D0C" w:rsidR="00DC5685" w:rsidRPr="00A34F10" w:rsidRDefault="00DC5685" w:rsidP="00DC5685">
      <w:pPr>
        <w:tabs>
          <w:tab w:val="left" w:pos="720"/>
        </w:tabs>
        <w:spacing w:after="240"/>
        <w:jc w:val="both"/>
        <w:rPr>
          <w:szCs w:val="24"/>
          <w:lang w:val="en-GB"/>
        </w:rPr>
      </w:pPr>
      <w:r w:rsidRPr="00A34F10">
        <w:rPr>
          <w:szCs w:val="24"/>
          <w:lang w:val="en-GB"/>
        </w:rPr>
        <w:t>The study comprised seven treatment groups; five nominal application rates of the test item, a water control and a toxic reference. There were four replicate arenas per treatment, each containing 10 wasps with seven females and three males per replicate (i.e. a total of 40 per treatment). The test item rates and their respective active substance contents are summarised in</w:t>
      </w:r>
      <w:r w:rsidR="0066662D">
        <w:rPr>
          <w:szCs w:val="24"/>
          <w:lang w:val="en-GB"/>
        </w:rPr>
        <w:t xml:space="preserve"> </w:t>
      </w:r>
      <w:r w:rsidR="0066662D">
        <w:rPr>
          <w:szCs w:val="24"/>
          <w:lang w:val="en-GB"/>
        </w:rPr>
        <w:fldChar w:fldCharType="begin"/>
      </w:r>
      <w:r w:rsidR="0066662D">
        <w:rPr>
          <w:szCs w:val="24"/>
          <w:lang w:val="en-GB"/>
        </w:rPr>
        <w:instrText xml:space="preserve"> REF _Ref147911313 \h </w:instrText>
      </w:r>
      <w:r w:rsidR="0066662D">
        <w:rPr>
          <w:szCs w:val="24"/>
          <w:lang w:val="en-GB"/>
        </w:rPr>
      </w:r>
      <w:r w:rsidR="0066662D">
        <w:rPr>
          <w:szCs w:val="24"/>
          <w:lang w:val="en-GB"/>
        </w:rPr>
        <w:fldChar w:fldCharType="separate"/>
      </w:r>
      <w:r w:rsidR="006F0F3B">
        <w:t xml:space="preserve">Table A </w:t>
      </w:r>
      <w:r w:rsidR="006F0F3B">
        <w:rPr>
          <w:noProof/>
        </w:rPr>
        <w:t>67</w:t>
      </w:r>
      <w:r w:rsidR="0066662D">
        <w:rPr>
          <w:szCs w:val="24"/>
          <w:lang w:val="en-GB"/>
        </w:rPr>
        <w:fldChar w:fldCharType="end"/>
      </w:r>
      <w:r w:rsidRPr="00A34F10">
        <w:rPr>
          <w:szCs w:val="24"/>
          <w:lang w:val="en-GB"/>
        </w:rPr>
        <w:t xml:space="preserve">. </w:t>
      </w:r>
    </w:p>
    <w:p w14:paraId="6DDADAD6" w14:textId="7B37A1A0" w:rsidR="00DC5685" w:rsidRPr="00A34F10" w:rsidRDefault="0066662D" w:rsidP="0066662D">
      <w:pPr>
        <w:pStyle w:val="Legenda"/>
      </w:pPr>
      <w:bookmarkStart w:id="1129" w:name="_Ref147911313"/>
      <w:r>
        <w:t xml:space="preserve">Table A </w:t>
      </w:r>
      <w:r>
        <w:fldChar w:fldCharType="begin"/>
      </w:r>
      <w:r>
        <w:instrText xml:space="preserve"> SEQ Table_A \* ARABIC </w:instrText>
      </w:r>
      <w:r>
        <w:fldChar w:fldCharType="separate"/>
      </w:r>
      <w:r w:rsidR="006F0F3B">
        <w:rPr>
          <w:noProof/>
        </w:rPr>
        <w:t>67</w:t>
      </w:r>
      <w:r>
        <w:fldChar w:fldCharType="end"/>
      </w:r>
      <w:bookmarkEnd w:id="1129"/>
      <w:r w:rsidR="00DC5685" w:rsidRPr="00A34F10">
        <w:t xml:space="preserve">: Test item rates and active substance content </w:t>
      </w:r>
    </w:p>
    <w:tbl>
      <w:tblPr>
        <w:tblStyle w:val="TableGrid42"/>
        <w:tblW w:w="5000" w:type="pct"/>
        <w:tblLook w:val="04A0" w:firstRow="1" w:lastRow="0" w:firstColumn="1" w:lastColumn="0" w:noHBand="0" w:noVBand="1"/>
      </w:tblPr>
      <w:tblGrid>
        <w:gridCol w:w="3114"/>
        <w:gridCol w:w="3115"/>
        <w:gridCol w:w="3115"/>
      </w:tblGrid>
      <w:tr w:rsidR="00DC5685" w:rsidRPr="00A34F10" w14:paraId="094A64CF" w14:textId="77777777" w:rsidTr="000470C3">
        <w:trPr>
          <w:trHeight w:hRule="exact" w:val="510"/>
          <w:tblHeader/>
        </w:trPr>
        <w:tc>
          <w:tcPr>
            <w:tcW w:w="1666" w:type="pct"/>
            <w:tcBorders>
              <w:top w:val="single" w:sz="4" w:space="0" w:color="auto"/>
              <w:left w:val="single" w:sz="4" w:space="0" w:color="auto"/>
              <w:bottom w:val="single" w:sz="4" w:space="0" w:color="auto"/>
              <w:right w:val="single" w:sz="4" w:space="0" w:color="auto"/>
            </w:tcBorders>
            <w:vAlign w:val="center"/>
            <w:hideMark/>
          </w:tcPr>
          <w:p w14:paraId="000A45D2" w14:textId="77777777" w:rsidR="00DC5685" w:rsidRPr="00A34F10" w:rsidRDefault="00DC5685" w:rsidP="00DC5685">
            <w:pPr>
              <w:keepNext/>
              <w:keepLines/>
              <w:tabs>
                <w:tab w:val="left" w:pos="720"/>
              </w:tabs>
              <w:jc w:val="center"/>
              <w:rPr>
                <w:b/>
                <w:bCs/>
                <w:sz w:val="20"/>
                <w:szCs w:val="20"/>
                <w:lang w:val="en-GB"/>
              </w:rPr>
            </w:pPr>
            <w:r w:rsidRPr="00A34F10">
              <w:rPr>
                <w:b/>
                <w:bCs/>
                <w:sz w:val="20"/>
                <w:szCs w:val="20"/>
                <w:lang w:val="en-GB"/>
              </w:rPr>
              <w:t>BAS 743 02 F</w:t>
            </w:r>
            <w:r w:rsidRPr="00A34F10">
              <w:rPr>
                <w:b/>
                <w:bCs/>
                <w:sz w:val="20"/>
                <w:szCs w:val="20"/>
                <w:lang w:val="en-GB"/>
              </w:rPr>
              <w:br/>
              <w:t>(L product/ha)</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525495B" w14:textId="77777777" w:rsidR="00DC5685" w:rsidRPr="00A34F10" w:rsidRDefault="00DC5685" w:rsidP="00DC5685">
            <w:pPr>
              <w:tabs>
                <w:tab w:val="left" w:pos="720"/>
              </w:tabs>
              <w:jc w:val="center"/>
              <w:rPr>
                <w:b/>
                <w:bCs/>
                <w:sz w:val="20"/>
                <w:szCs w:val="20"/>
                <w:lang w:val="es-ES"/>
              </w:rPr>
            </w:pPr>
            <w:r w:rsidRPr="00A34F10">
              <w:rPr>
                <w:b/>
                <w:bCs/>
                <w:sz w:val="20"/>
                <w:szCs w:val="20"/>
                <w:lang w:val="es-ES"/>
              </w:rPr>
              <w:t>Propamocarb</w:t>
            </w:r>
          </w:p>
          <w:p w14:paraId="227BE727" w14:textId="77777777" w:rsidR="00DC5685" w:rsidRPr="00A34F10" w:rsidRDefault="00DC5685" w:rsidP="00DC5685">
            <w:pPr>
              <w:keepNext/>
              <w:keepLines/>
              <w:tabs>
                <w:tab w:val="left" w:pos="720"/>
              </w:tabs>
              <w:jc w:val="center"/>
              <w:rPr>
                <w:b/>
                <w:bCs/>
                <w:sz w:val="20"/>
                <w:szCs w:val="20"/>
                <w:lang w:val="es-ES"/>
              </w:rPr>
            </w:pPr>
            <w:r w:rsidRPr="00A34F10">
              <w:rPr>
                <w:b/>
                <w:bCs/>
                <w:sz w:val="20"/>
                <w:szCs w:val="20"/>
                <w:lang w:val="es-ES"/>
              </w:rPr>
              <w:t>(g a.s./ha)</w:t>
            </w:r>
            <w:r w:rsidRPr="00A34F10">
              <w:rPr>
                <w:b/>
                <w:bCs/>
                <w:sz w:val="20"/>
                <w:szCs w:val="20"/>
                <w:vertAlign w:val="superscript"/>
                <w:lang w:val="es-ES"/>
              </w:rPr>
              <w:t>1</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65F8209" w14:textId="77777777" w:rsidR="00DC5685" w:rsidRPr="00A34F10" w:rsidRDefault="00DC5685" w:rsidP="00DC5685">
            <w:pPr>
              <w:tabs>
                <w:tab w:val="left" w:pos="720"/>
              </w:tabs>
              <w:jc w:val="center"/>
              <w:rPr>
                <w:b/>
                <w:bCs/>
                <w:sz w:val="20"/>
                <w:szCs w:val="20"/>
                <w:lang w:val="en-GB"/>
              </w:rPr>
            </w:pPr>
            <w:r w:rsidRPr="00A34F10">
              <w:rPr>
                <w:b/>
                <w:bCs/>
                <w:sz w:val="20"/>
                <w:szCs w:val="20"/>
                <w:lang w:val="en-GB"/>
              </w:rPr>
              <w:t>Ametoctradin</w:t>
            </w:r>
          </w:p>
          <w:p w14:paraId="190C55F5" w14:textId="77777777" w:rsidR="00DC5685" w:rsidRPr="00A34F10" w:rsidRDefault="00DC5685" w:rsidP="00DC5685">
            <w:pPr>
              <w:keepNext/>
              <w:keepLines/>
              <w:tabs>
                <w:tab w:val="left" w:pos="720"/>
              </w:tabs>
              <w:jc w:val="center"/>
              <w:rPr>
                <w:b/>
                <w:bCs/>
                <w:sz w:val="20"/>
                <w:szCs w:val="20"/>
                <w:lang w:val="en-GB"/>
              </w:rPr>
            </w:pPr>
            <w:r w:rsidRPr="00A34F10">
              <w:rPr>
                <w:b/>
                <w:bCs/>
                <w:sz w:val="20"/>
                <w:szCs w:val="20"/>
                <w:lang w:val="en-GB"/>
              </w:rPr>
              <w:t>(g a.s./ha)</w:t>
            </w:r>
            <w:r w:rsidRPr="00A34F10">
              <w:rPr>
                <w:b/>
                <w:bCs/>
                <w:sz w:val="20"/>
                <w:szCs w:val="20"/>
                <w:vertAlign w:val="superscript"/>
                <w:lang w:val="en-GB"/>
              </w:rPr>
              <w:t>1</w:t>
            </w:r>
          </w:p>
        </w:tc>
      </w:tr>
      <w:tr w:rsidR="00DC5685" w:rsidRPr="00A34F10" w14:paraId="0F96C5D7"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060A13A6" w14:textId="77777777" w:rsidR="00DC5685" w:rsidRPr="00A34F10" w:rsidRDefault="00DC5685" w:rsidP="00DC5685">
            <w:pPr>
              <w:keepNext/>
              <w:keepLines/>
              <w:tabs>
                <w:tab w:val="left" w:pos="720"/>
              </w:tabs>
              <w:jc w:val="center"/>
              <w:rPr>
                <w:sz w:val="20"/>
                <w:szCs w:val="20"/>
                <w:lang w:val="en-GB"/>
              </w:rPr>
            </w:pPr>
            <w:r w:rsidRPr="00A34F10">
              <w:rPr>
                <w:sz w:val="20"/>
                <w:szCs w:val="20"/>
              </w:rPr>
              <w:t>0.2875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4BA06E7E" w14:textId="77777777" w:rsidR="00DC5685" w:rsidRPr="00A34F10" w:rsidRDefault="00DC5685" w:rsidP="00DC5685">
            <w:pPr>
              <w:keepNext/>
              <w:keepLines/>
              <w:tabs>
                <w:tab w:val="left" w:pos="720"/>
              </w:tabs>
              <w:jc w:val="center"/>
              <w:rPr>
                <w:sz w:val="20"/>
                <w:szCs w:val="20"/>
                <w:lang w:val="en-GB"/>
              </w:rPr>
            </w:pPr>
            <w:r w:rsidRPr="00A34F10">
              <w:rPr>
                <w:sz w:val="20"/>
                <w:szCs w:val="20"/>
              </w:rPr>
              <w:t>108.675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4BBB189" w14:textId="77777777" w:rsidR="00DC5685" w:rsidRPr="00A34F10" w:rsidRDefault="00DC5685" w:rsidP="00DC5685">
            <w:pPr>
              <w:keepNext/>
              <w:keepLines/>
              <w:tabs>
                <w:tab w:val="left" w:pos="720"/>
              </w:tabs>
              <w:jc w:val="center"/>
              <w:rPr>
                <w:sz w:val="20"/>
                <w:szCs w:val="20"/>
                <w:lang w:val="en-GB"/>
              </w:rPr>
            </w:pPr>
            <w:r w:rsidRPr="00A34F10">
              <w:rPr>
                <w:sz w:val="20"/>
                <w:szCs w:val="20"/>
              </w:rPr>
              <w:t>34.5</w:t>
            </w:r>
          </w:p>
        </w:tc>
      </w:tr>
      <w:tr w:rsidR="00DC5685" w:rsidRPr="00A34F10" w14:paraId="42DE6C72"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26308041" w14:textId="77777777" w:rsidR="00DC5685" w:rsidRPr="00A34F10" w:rsidRDefault="00DC5685" w:rsidP="00DC5685">
            <w:pPr>
              <w:keepNext/>
              <w:keepLines/>
              <w:tabs>
                <w:tab w:val="left" w:pos="720"/>
              </w:tabs>
              <w:jc w:val="center"/>
              <w:rPr>
                <w:sz w:val="20"/>
                <w:szCs w:val="20"/>
                <w:lang w:val="en-GB"/>
              </w:rPr>
            </w:pPr>
            <w:r w:rsidRPr="00A34F10">
              <w:rPr>
                <w:sz w:val="20"/>
                <w:szCs w:val="20"/>
              </w:rPr>
              <w:t>0.575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2DB50B77" w14:textId="77777777" w:rsidR="00DC5685" w:rsidRPr="00A34F10" w:rsidRDefault="00DC5685" w:rsidP="00DC5685">
            <w:pPr>
              <w:keepNext/>
              <w:keepLines/>
              <w:tabs>
                <w:tab w:val="left" w:pos="720"/>
              </w:tabs>
              <w:jc w:val="center"/>
              <w:rPr>
                <w:sz w:val="20"/>
                <w:szCs w:val="20"/>
                <w:lang w:val="en-GB"/>
              </w:rPr>
            </w:pPr>
            <w:r w:rsidRPr="00A34F10">
              <w:rPr>
                <w:sz w:val="20"/>
                <w:szCs w:val="20"/>
              </w:rPr>
              <w:t>217.35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585A382" w14:textId="77777777" w:rsidR="00DC5685" w:rsidRPr="00A34F10" w:rsidRDefault="00DC5685" w:rsidP="00DC5685">
            <w:pPr>
              <w:keepNext/>
              <w:keepLines/>
              <w:tabs>
                <w:tab w:val="left" w:pos="720"/>
              </w:tabs>
              <w:jc w:val="center"/>
              <w:rPr>
                <w:sz w:val="20"/>
                <w:szCs w:val="20"/>
                <w:lang w:val="en-GB"/>
              </w:rPr>
            </w:pPr>
            <w:r w:rsidRPr="00A34F10">
              <w:rPr>
                <w:sz w:val="20"/>
                <w:szCs w:val="20"/>
              </w:rPr>
              <w:t>69</w:t>
            </w:r>
          </w:p>
        </w:tc>
      </w:tr>
      <w:tr w:rsidR="00DC5685" w:rsidRPr="00A34F10" w14:paraId="77DC79DC"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69F3306C" w14:textId="77777777" w:rsidR="00DC5685" w:rsidRPr="00A34F10" w:rsidRDefault="00DC5685" w:rsidP="00DC5685">
            <w:pPr>
              <w:keepNext/>
              <w:keepLines/>
              <w:tabs>
                <w:tab w:val="left" w:pos="720"/>
              </w:tabs>
              <w:jc w:val="center"/>
              <w:rPr>
                <w:sz w:val="20"/>
                <w:szCs w:val="20"/>
                <w:lang w:val="en-GB"/>
              </w:rPr>
            </w:pPr>
            <w:r w:rsidRPr="00A34F10">
              <w:rPr>
                <w:sz w:val="20"/>
                <w:szCs w:val="20"/>
              </w:rPr>
              <w:t>1.15</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195855D" w14:textId="77777777" w:rsidR="00DC5685" w:rsidRPr="00A34F10" w:rsidRDefault="00DC5685" w:rsidP="00DC5685">
            <w:pPr>
              <w:keepNext/>
              <w:keepLines/>
              <w:tabs>
                <w:tab w:val="left" w:pos="720"/>
              </w:tabs>
              <w:jc w:val="center"/>
              <w:rPr>
                <w:sz w:val="20"/>
                <w:szCs w:val="20"/>
                <w:lang w:val="en-GB"/>
              </w:rPr>
            </w:pPr>
            <w:r w:rsidRPr="00A34F10">
              <w:rPr>
                <w:sz w:val="20"/>
                <w:szCs w:val="20"/>
              </w:rPr>
              <w:t>434.7</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02A0A5D" w14:textId="77777777" w:rsidR="00DC5685" w:rsidRPr="00A34F10" w:rsidRDefault="00DC5685" w:rsidP="00DC5685">
            <w:pPr>
              <w:keepNext/>
              <w:keepLines/>
              <w:tabs>
                <w:tab w:val="left" w:pos="720"/>
              </w:tabs>
              <w:jc w:val="center"/>
              <w:rPr>
                <w:sz w:val="20"/>
                <w:szCs w:val="20"/>
                <w:lang w:val="en-GB"/>
              </w:rPr>
            </w:pPr>
            <w:r w:rsidRPr="00A34F10">
              <w:rPr>
                <w:sz w:val="20"/>
                <w:szCs w:val="20"/>
              </w:rPr>
              <w:t>138</w:t>
            </w:r>
          </w:p>
        </w:tc>
      </w:tr>
      <w:tr w:rsidR="00DC5685" w:rsidRPr="00A34F10" w14:paraId="59F56495"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603BD239" w14:textId="77777777" w:rsidR="00DC5685" w:rsidRPr="00A34F10" w:rsidRDefault="00DC5685" w:rsidP="00DC5685">
            <w:pPr>
              <w:keepNext/>
              <w:keepLines/>
              <w:tabs>
                <w:tab w:val="left" w:pos="720"/>
              </w:tabs>
              <w:jc w:val="center"/>
              <w:rPr>
                <w:sz w:val="20"/>
                <w:szCs w:val="20"/>
                <w:lang w:val="en-GB"/>
              </w:rPr>
            </w:pPr>
            <w:r w:rsidRPr="00A34F10">
              <w:rPr>
                <w:sz w:val="20"/>
                <w:szCs w:val="20"/>
              </w:rPr>
              <w:t>2.3</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1FCC4B9" w14:textId="77777777" w:rsidR="00DC5685" w:rsidRPr="00A34F10" w:rsidRDefault="00DC5685" w:rsidP="00DC5685">
            <w:pPr>
              <w:keepNext/>
              <w:keepLines/>
              <w:tabs>
                <w:tab w:val="left" w:pos="720"/>
              </w:tabs>
              <w:jc w:val="center"/>
              <w:rPr>
                <w:sz w:val="20"/>
                <w:szCs w:val="20"/>
                <w:lang w:val="en-GB"/>
              </w:rPr>
            </w:pPr>
            <w:r w:rsidRPr="00A34F10">
              <w:rPr>
                <w:sz w:val="20"/>
                <w:szCs w:val="20"/>
              </w:rPr>
              <w:t>869.4</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913DC41" w14:textId="77777777" w:rsidR="00DC5685" w:rsidRPr="00A34F10" w:rsidRDefault="00DC5685" w:rsidP="00DC5685">
            <w:pPr>
              <w:keepNext/>
              <w:keepLines/>
              <w:tabs>
                <w:tab w:val="left" w:pos="720"/>
              </w:tabs>
              <w:jc w:val="center"/>
              <w:rPr>
                <w:sz w:val="20"/>
                <w:szCs w:val="20"/>
                <w:lang w:val="en-GB"/>
              </w:rPr>
            </w:pPr>
            <w:r w:rsidRPr="00A34F10">
              <w:rPr>
                <w:sz w:val="20"/>
                <w:szCs w:val="20"/>
              </w:rPr>
              <w:t>276</w:t>
            </w:r>
          </w:p>
        </w:tc>
      </w:tr>
      <w:tr w:rsidR="00DC5685" w:rsidRPr="00A34F10" w14:paraId="374DB060" w14:textId="77777777" w:rsidTr="000470C3">
        <w:trPr>
          <w:trHeight w:hRule="exact" w:val="283"/>
        </w:trPr>
        <w:tc>
          <w:tcPr>
            <w:tcW w:w="1666" w:type="pct"/>
            <w:tcBorders>
              <w:top w:val="single" w:sz="4" w:space="0" w:color="auto"/>
              <w:left w:val="single" w:sz="4" w:space="0" w:color="auto"/>
              <w:bottom w:val="single" w:sz="4" w:space="0" w:color="auto"/>
              <w:right w:val="single" w:sz="4" w:space="0" w:color="auto"/>
            </w:tcBorders>
            <w:vAlign w:val="center"/>
            <w:hideMark/>
          </w:tcPr>
          <w:p w14:paraId="36208018" w14:textId="77777777" w:rsidR="00DC5685" w:rsidRPr="00A34F10" w:rsidRDefault="00DC5685" w:rsidP="00DC5685">
            <w:pPr>
              <w:keepNext/>
              <w:keepLines/>
              <w:tabs>
                <w:tab w:val="left" w:pos="720"/>
              </w:tabs>
              <w:jc w:val="center"/>
              <w:rPr>
                <w:sz w:val="20"/>
                <w:szCs w:val="20"/>
                <w:lang w:val="en-GB"/>
              </w:rPr>
            </w:pPr>
            <w:r w:rsidRPr="00A34F10">
              <w:rPr>
                <w:sz w:val="20"/>
                <w:szCs w:val="20"/>
              </w:rPr>
              <w:t>4.6</w:t>
            </w:r>
          </w:p>
        </w:tc>
        <w:tc>
          <w:tcPr>
            <w:tcW w:w="1667" w:type="pct"/>
            <w:tcBorders>
              <w:top w:val="single" w:sz="4" w:space="0" w:color="auto"/>
              <w:left w:val="single" w:sz="4" w:space="0" w:color="auto"/>
              <w:bottom w:val="single" w:sz="4" w:space="0" w:color="auto"/>
              <w:right w:val="single" w:sz="4" w:space="0" w:color="auto"/>
            </w:tcBorders>
            <w:vAlign w:val="center"/>
            <w:hideMark/>
          </w:tcPr>
          <w:p w14:paraId="17DEFC00" w14:textId="77777777" w:rsidR="00DC5685" w:rsidRPr="00A34F10" w:rsidRDefault="00DC5685" w:rsidP="00DC5685">
            <w:pPr>
              <w:keepNext/>
              <w:keepLines/>
              <w:tabs>
                <w:tab w:val="left" w:pos="720"/>
              </w:tabs>
              <w:jc w:val="center"/>
              <w:rPr>
                <w:sz w:val="20"/>
                <w:szCs w:val="20"/>
                <w:lang w:val="en-GB"/>
              </w:rPr>
            </w:pPr>
            <w:r w:rsidRPr="00A34F10">
              <w:rPr>
                <w:sz w:val="20"/>
                <w:szCs w:val="20"/>
              </w:rPr>
              <w:t>1738.8</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0765953" w14:textId="77777777" w:rsidR="00DC5685" w:rsidRPr="00A34F10" w:rsidRDefault="00DC5685" w:rsidP="00DC5685">
            <w:pPr>
              <w:keepNext/>
              <w:keepLines/>
              <w:tabs>
                <w:tab w:val="left" w:pos="720"/>
              </w:tabs>
              <w:jc w:val="center"/>
              <w:rPr>
                <w:sz w:val="20"/>
                <w:szCs w:val="20"/>
                <w:lang w:val="en-GB"/>
              </w:rPr>
            </w:pPr>
            <w:r w:rsidRPr="00A34F10">
              <w:rPr>
                <w:sz w:val="20"/>
                <w:szCs w:val="20"/>
              </w:rPr>
              <w:t>552</w:t>
            </w:r>
          </w:p>
        </w:tc>
      </w:tr>
    </w:tbl>
    <w:p w14:paraId="3A7429F1" w14:textId="77777777" w:rsidR="00DC5685" w:rsidRPr="00A34F10" w:rsidRDefault="00DC5685" w:rsidP="00DC5685">
      <w:pPr>
        <w:keepNext/>
        <w:keepLines/>
        <w:tabs>
          <w:tab w:val="left" w:pos="720"/>
        </w:tabs>
        <w:spacing w:after="240"/>
        <w:jc w:val="both"/>
        <w:rPr>
          <w:sz w:val="18"/>
          <w:szCs w:val="20"/>
          <w:lang w:val="en-GB"/>
        </w:rPr>
      </w:pPr>
      <w:r w:rsidRPr="00A34F10">
        <w:rPr>
          <w:sz w:val="18"/>
          <w:szCs w:val="20"/>
          <w:vertAlign w:val="superscript"/>
          <w:lang w:val="en-GB"/>
        </w:rPr>
        <w:t>1</w:t>
      </w:r>
      <w:r w:rsidRPr="00A34F10">
        <w:rPr>
          <w:sz w:val="18"/>
          <w:szCs w:val="20"/>
          <w:lang w:val="en-GB"/>
        </w:rPr>
        <w:t>Based on nominal content of active substances</w:t>
      </w:r>
    </w:p>
    <w:p w14:paraId="1579DEF1"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 treatments were applied to glass plates from directly above using a calibrated laboratory track-sprayer and the residues were left to dry. The spray pressure selected was 3.4 bar and the moving spray boom was </w:t>
      </w:r>
      <w:r w:rsidRPr="00A34F10">
        <w:rPr>
          <w:szCs w:val="24"/>
          <w:lang w:val="en-GB"/>
        </w:rPr>
        <w:lastRenderedPageBreak/>
        <w:t xml:space="preserve">fitted with a single 90° flat-fan nozzle (Lechler ES 90-015). All treatments were applied at a volume rate of 200 L spray solution/ha. </w:t>
      </w:r>
    </w:p>
    <w:p w14:paraId="7F6A7599" w14:textId="77777777" w:rsidR="00DC5685" w:rsidRPr="00A34F10" w:rsidRDefault="00DC5685" w:rsidP="00DC5685">
      <w:pPr>
        <w:tabs>
          <w:tab w:val="left" w:pos="720"/>
        </w:tabs>
        <w:spacing w:after="240"/>
        <w:jc w:val="both"/>
        <w:rPr>
          <w:szCs w:val="24"/>
          <w:lang w:val="en-GB"/>
        </w:rPr>
      </w:pPr>
      <w:r w:rsidRPr="00A34F10">
        <w:rPr>
          <w:szCs w:val="24"/>
          <w:lang w:val="en-GB"/>
        </w:rPr>
        <w:t>Approximately 1 hour after treatment, the test units were assembled with the treated surfaces facing inwards (top and bottom). The wasps were transferred into each arena using an aspirator. The sex of the individual wasps was determined beforehand. The test apparatus was placed in a controlled environment room.</w:t>
      </w:r>
    </w:p>
    <w:p w14:paraId="322E7BAC" w14:textId="77777777" w:rsidR="00DC5685" w:rsidRPr="00A34F10" w:rsidRDefault="00DC5685" w:rsidP="00E05ECD">
      <w:pPr>
        <w:numPr>
          <w:ilvl w:val="0"/>
          <w:numId w:val="82"/>
        </w:numPr>
        <w:spacing w:before="240"/>
        <w:ind w:left="357" w:hanging="357"/>
        <w:contextualSpacing/>
        <w:rPr>
          <w:b/>
          <w:bCs/>
          <w:szCs w:val="24"/>
          <w:lang w:val="en-GB"/>
        </w:rPr>
      </w:pPr>
      <w:r w:rsidRPr="00A34F10">
        <w:rPr>
          <w:b/>
          <w:bCs/>
          <w:szCs w:val="24"/>
          <w:lang w:val="en-GB"/>
        </w:rPr>
        <w:t xml:space="preserve">Dose preparation: </w:t>
      </w:r>
    </w:p>
    <w:p w14:paraId="3C4B5086"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 volume application rate for the test was 200 L spray solution/ha. All dilutions were prepared shortly before their </w:t>
      </w:r>
      <w:r w:rsidRPr="00A34F10">
        <w:rPr>
          <w:color w:val="000000" w:themeColor="text1"/>
          <w:szCs w:val="24"/>
          <w:lang w:val="en-GB"/>
        </w:rPr>
        <w:t xml:space="preserve">application. A stock solution, also used as the highest test item solution, was prepared by dissolving </w:t>
      </w:r>
      <w:r w:rsidRPr="00A34F10">
        <w:rPr>
          <w:rFonts w:eastAsia="Calibri"/>
          <w:color w:val="000000" w:themeColor="text1"/>
          <w:lang w:val="en-GB"/>
        </w:rPr>
        <w:t>2.463 g BAS 743 03 F in 100 mL deionised water.</w:t>
      </w:r>
      <w:r w:rsidRPr="00A34F10">
        <w:rPr>
          <w:color w:val="000000" w:themeColor="text1"/>
        </w:rPr>
        <w:t xml:space="preserve"> Serial dilutions were conducted to prepare the lower test item spray solutions.</w:t>
      </w:r>
    </w:p>
    <w:p w14:paraId="305CF2C2" w14:textId="77777777" w:rsidR="00DC5685" w:rsidRPr="00A34F10" w:rsidRDefault="00DC5685" w:rsidP="00E05ECD">
      <w:pPr>
        <w:numPr>
          <w:ilvl w:val="0"/>
          <w:numId w:val="82"/>
        </w:numPr>
        <w:spacing w:before="240"/>
        <w:ind w:left="357" w:hanging="357"/>
        <w:contextualSpacing/>
        <w:rPr>
          <w:b/>
          <w:bCs/>
          <w:szCs w:val="24"/>
          <w:lang w:val="en-GB"/>
        </w:rPr>
      </w:pPr>
      <w:r w:rsidRPr="00A34F10">
        <w:rPr>
          <w:b/>
          <w:bCs/>
          <w:szCs w:val="24"/>
          <w:lang w:val="en-GB"/>
        </w:rPr>
        <w:t xml:space="preserve">Measurements and observations: </w:t>
      </w:r>
    </w:p>
    <w:p w14:paraId="78D9BA4A" w14:textId="77777777" w:rsidR="00DC5685" w:rsidRPr="00A34F10" w:rsidRDefault="00DC5685" w:rsidP="00DC5685">
      <w:pPr>
        <w:tabs>
          <w:tab w:val="left" w:pos="720"/>
        </w:tabs>
        <w:jc w:val="both"/>
        <w:rPr>
          <w:szCs w:val="24"/>
          <w:u w:val="single"/>
          <w:lang w:val="en-GB"/>
        </w:rPr>
      </w:pPr>
      <w:r w:rsidRPr="00A34F10">
        <w:rPr>
          <w:szCs w:val="24"/>
          <w:u w:val="single"/>
          <w:lang w:val="en-GB"/>
        </w:rPr>
        <w:t>Biological observations:</w:t>
      </w:r>
    </w:p>
    <w:p w14:paraId="53CCA377" w14:textId="77777777" w:rsidR="00DC5685" w:rsidRPr="00A34F10" w:rsidRDefault="00DC5685" w:rsidP="00DC5685">
      <w:pPr>
        <w:tabs>
          <w:tab w:val="left" w:pos="720"/>
        </w:tabs>
        <w:jc w:val="both"/>
        <w:rPr>
          <w:szCs w:val="24"/>
          <w:highlight w:val="yellow"/>
          <w:lang w:val="en-GB"/>
        </w:rPr>
      </w:pPr>
      <w:r w:rsidRPr="00A34F10">
        <w:rPr>
          <w:szCs w:val="24"/>
          <w:lang w:val="en-GB"/>
        </w:rPr>
        <w:t>The condition of the wasps was recorded after approximately 2, 24 and 48 hours. Wasps were classified as alive, affected, moribund or dead. After 48 hours, any moribund wasps were included with the dead insects for calculations of percentage mortality. After 48 hours, surviving wasps (15 females per treatment group) were removed and their reproductive capacity</w:t>
      </w:r>
      <w:r w:rsidRPr="00A34F10">
        <w:rPr>
          <w:color w:val="000000" w:themeColor="text1"/>
          <w:szCs w:val="24"/>
          <w:lang w:val="en-GB"/>
        </w:rPr>
        <w:t>, i.e. number of parasitized aphids (mummies), was determined 14 days after application</w:t>
      </w:r>
      <w:r w:rsidRPr="00A34F10">
        <w:rPr>
          <w:szCs w:val="24"/>
          <w:lang w:val="en-GB"/>
        </w:rPr>
        <w:t>.</w:t>
      </w:r>
    </w:p>
    <w:p w14:paraId="6CA7EC5C" w14:textId="77777777" w:rsidR="00DC5685" w:rsidRPr="00A34F10" w:rsidRDefault="00DC5685" w:rsidP="00DC5685">
      <w:pPr>
        <w:tabs>
          <w:tab w:val="left" w:pos="720"/>
        </w:tabs>
        <w:jc w:val="both"/>
        <w:rPr>
          <w:szCs w:val="24"/>
          <w:highlight w:val="yellow"/>
          <w:lang w:val="en-GB"/>
        </w:rPr>
      </w:pPr>
    </w:p>
    <w:p w14:paraId="0123875A"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4B0C39F9" w14:textId="77777777" w:rsidR="00DC5685" w:rsidRPr="00A34F10" w:rsidRDefault="00DC5685" w:rsidP="00DC5685">
      <w:pPr>
        <w:tabs>
          <w:tab w:val="left" w:pos="720"/>
        </w:tabs>
        <w:jc w:val="both"/>
        <w:rPr>
          <w:szCs w:val="24"/>
          <w:u w:val="single"/>
          <w:lang w:val="en-GB"/>
        </w:rPr>
      </w:pPr>
      <w:r w:rsidRPr="00A34F10">
        <w:rPr>
          <w:szCs w:val="24"/>
          <w:lang w:val="en-GB"/>
        </w:rPr>
        <w:t xml:space="preserve">Light levels were recorded at the start of the test and temperature and humidity measurements were taken continuously throughout the test. </w:t>
      </w:r>
    </w:p>
    <w:p w14:paraId="2F18DABA" w14:textId="77777777" w:rsidR="00DC5685" w:rsidRPr="00A34F10" w:rsidRDefault="00DC5685" w:rsidP="00DC5685">
      <w:pPr>
        <w:tabs>
          <w:tab w:val="left" w:pos="720"/>
        </w:tabs>
        <w:jc w:val="both"/>
        <w:rPr>
          <w:szCs w:val="24"/>
          <w:highlight w:val="yellow"/>
          <w:u w:val="single"/>
          <w:lang w:val="en-GB"/>
        </w:rPr>
      </w:pPr>
    </w:p>
    <w:p w14:paraId="678BEBA2" w14:textId="77777777" w:rsidR="00DC5685" w:rsidRPr="00A34F10" w:rsidRDefault="00DC5685" w:rsidP="00E05ECD">
      <w:pPr>
        <w:numPr>
          <w:ilvl w:val="0"/>
          <w:numId w:val="82"/>
        </w:numPr>
        <w:spacing w:before="240"/>
        <w:ind w:left="357" w:hanging="357"/>
        <w:contextualSpacing/>
        <w:rPr>
          <w:b/>
          <w:bCs/>
          <w:szCs w:val="24"/>
          <w:lang w:val="en-GB"/>
        </w:rPr>
      </w:pPr>
      <w:r w:rsidRPr="00A34F10">
        <w:rPr>
          <w:b/>
          <w:bCs/>
          <w:szCs w:val="24"/>
          <w:lang w:val="en-GB"/>
        </w:rPr>
        <w:t xml:space="preserve">Statistical analysis: </w:t>
      </w:r>
    </w:p>
    <w:p w14:paraId="7DDB8C6D" w14:textId="77777777" w:rsidR="00DC5685" w:rsidRPr="00A34F10" w:rsidRDefault="00DC5685" w:rsidP="00DC5685">
      <w:pPr>
        <w:tabs>
          <w:tab w:val="left" w:pos="720"/>
        </w:tabs>
        <w:jc w:val="both"/>
        <w:rPr>
          <w:szCs w:val="24"/>
          <w:highlight w:val="yellow"/>
          <w:lang w:val="en-GB"/>
        </w:rPr>
      </w:pPr>
      <w:r w:rsidRPr="00A34F10">
        <w:rPr>
          <w:szCs w:val="24"/>
          <w:lang w:val="en-GB"/>
        </w:rPr>
        <w:t>For statistical analysis of the results, the computer program ToxRat Professional 3.3.0 (RATTE, 2018) was used. Mortality was analysed for statistical significance using the Multiple Sequentially-rejective Fisher Test after Bonferroni-Holm (test item) and Chi</w:t>
      </w:r>
      <w:r w:rsidRPr="00A34F10">
        <w:rPr>
          <w:szCs w:val="24"/>
          <w:vertAlign w:val="superscript"/>
          <w:lang w:val="en-GB"/>
        </w:rPr>
        <w:t>2</w:t>
      </w:r>
      <w:r w:rsidRPr="00A34F10">
        <w:rPr>
          <w:szCs w:val="24"/>
          <w:lang w:val="en-GB"/>
        </w:rPr>
        <w:t xml:space="preserve"> 2x2 Table Test (reference item) as distribution-free tests (α = 0.05, one-sided greater) which do not require testing for normality or homoscedasticity prior to analysis. Reproductive capacity was analysed for statistical significance using Williams Multiple Sequential t-Test (α = 0.05, one-sided smaller) following Shapiro-Wilk’s test on normal distribution, Levene’s test on variance homogeneity.</w:t>
      </w:r>
    </w:p>
    <w:p w14:paraId="6AA724FC" w14:textId="77777777" w:rsidR="00DC5685" w:rsidRPr="00A34F10" w:rsidRDefault="00DC5685" w:rsidP="00DC5685">
      <w:pPr>
        <w:tabs>
          <w:tab w:val="left" w:pos="720"/>
        </w:tabs>
        <w:jc w:val="both"/>
        <w:rPr>
          <w:szCs w:val="24"/>
          <w:highlight w:val="yellow"/>
          <w:lang w:val="en-GB"/>
        </w:rPr>
      </w:pPr>
    </w:p>
    <w:p w14:paraId="2942CD43" w14:textId="361048AC" w:rsidR="00A45A3F" w:rsidRPr="00A34F10" w:rsidRDefault="00DC5685" w:rsidP="00DC5685">
      <w:pPr>
        <w:tabs>
          <w:tab w:val="left" w:pos="720"/>
        </w:tabs>
        <w:jc w:val="both"/>
        <w:rPr>
          <w:szCs w:val="24"/>
          <w:lang w:val="en-GB"/>
        </w:rPr>
      </w:pPr>
      <w:r w:rsidRPr="00A34F10">
        <w:rPr>
          <w:szCs w:val="24"/>
          <w:lang w:val="en-GB"/>
        </w:rPr>
        <w:t>Since there were only low effects (&lt; 50 %) for mortality and reproduction assessments in the test item treatment groups, the calculation of the LR</w:t>
      </w:r>
      <w:r w:rsidRPr="00A34F10">
        <w:rPr>
          <w:szCs w:val="24"/>
          <w:vertAlign w:val="subscript"/>
          <w:lang w:val="en-GB"/>
        </w:rPr>
        <w:t>50</w:t>
      </w:r>
      <w:r w:rsidRPr="00A34F10">
        <w:rPr>
          <w:szCs w:val="24"/>
          <w:lang w:val="en-GB"/>
        </w:rPr>
        <w:t xml:space="preserve"> and ER</w:t>
      </w:r>
      <w:r w:rsidRPr="00A34F10">
        <w:rPr>
          <w:szCs w:val="24"/>
          <w:vertAlign w:val="subscript"/>
          <w:lang w:val="en-GB"/>
        </w:rPr>
        <w:t>50</w:t>
      </w:r>
      <w:r w:rsidRPr="00A34F10">
        <w:rPr>
          <w:szCs w:val="24"/>
          <w:lang w:val="en-GB"/>
        </w:rPr>
        <w:t xml:space="preserve"> was not possible.</w:t>
      </w:r>
    </w:p>
    <w:p w14:paraId="02C94488" w14:textId="77777777" w:rsidR="00DC5685" w:rsidRPr="00A34F10" w:rsidRDefault="00DC5685" w:rsidP="00DC5685">
      <w:pPr>
        <w:tabs>
          <w:tab w:val="left" w:pos="720"/>
        </w:tabs>
        <w:spacing w:before="240"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7E56C9ED" w14:textId="77777777" w:rsidR="00DC5685" w:rsidRPr="00A34F10" w:rsidRDefault="00DC5685" w:rsidP="00E05ECD">
      <w:pPr>
        <w:numPr>
          <w:ilvl w:val="0"/>
          <w:numId w:val="83"/>
        </w:numPr>
        <w:ind w:left="357" w:hanging="357"/>
        <w:contextualSpacing/>
        <w:rPr>
          <w:b/>
          <w:bCs/>
          <w:caps/>
          <w:szCs w:val="24"/>
          <w:lang w:val="en-GB"/>
        </w:rPr>
      </w:pPr>
      <w:r w:rsidRPr="00A34F10">
        <w:rPr>
          <w:b/>
          <w:bCs/>
          <w:caps/>
          <w:szCs w:val="24"/>
          <w:lang w:val="en-GB"/>
        </w:rPr>
        <w:t>biological effects</w:t>
      </w:r>
    </w:p>
    <w:p w14:paraId="628D95F7" w14:textId="77777777" w:rsidR="00DC5685" w:rsidRPr="00A34F10" w:rsidRDefault="00DC5685" w:rsidP="00DC5685">
      <w:pPr>
        <w:tabs>
          <w:tab w:val="left" w:pos="0"/>
        </w:tabs>
        <w:ind w:left="357" w:hanging="357"/>
        <w:contextualSpacing/>
        <w:rPr>
          <w:b/>
          <w:bCs/>
          <w:caps/>
          <w:szCs w:val="24"/>
          <w:lang w:val="en-GB"/>
        </w:rPr>
      </w:pPr>
    </w:p>
    <w:p w14:paraId="6CBF01DD" w14:textId="77777777" w:rsidR="00DC5685" w:rsidRPr="00A34F10" w:rsidRDefault="00DC5685" w:rsidP="00DC5685">
      <w:pPr>
        <w:tabs>
          <w:tab w:val="left" w:pos="720"/>
        </w:tabs>
        <w:spacing w:after="240"/>
        <w:jc w:val="both"/>
        <w:rPr>
          <w:szCs w:val="24"/>
          <w:lang w:val="en-GB"/>
        </w:rPr>
      </w:pPr>
      <w:r w:rsidRPr="00A34F10">
        <w:rPr>
          <w:szCs w:val="24"/>
          <w:lang w:val="en-GB"/>
        </w:rPr>
        <w:t>After 48 hours, in the water-treated control, a mean mortality of 0 % was observed. In the test item treatments, the mean mortality ranged between 0 and 2.5 %. No statistically significantly increased mortalities were determined in all test item rates compared to the control. The LR</w:t>
      </w:r>
      <w:r w:rsidRPr="00A34F10">
        <w:rPr>
          <w:szCs w:val="24"/>
          <w:vertAlign w:val="subscript"/>
          <w:lang w:val="en-GB"/>
        </w:rPr>
        <w:t>50</w:t>
      </w:r>
      <w:r w:rsidRPr="00A34F10">
        <w:rPr>
          <w:szCs w:val="24"/>
          <w:lang w:val="en-GB"/>
        </w:rPr>
        <w:t xml:space="preserve"> was estimated to be &gt; 4.6 L product/ha and the NOER for mortality was determined to be 4.6 L product/ha. </w:t>
      </w:r>
    </w:p>
    <w:p w14:paraId="76B77304" w14:textId="77777777" w:rsidR="00DC5685" w:rsidRPr="00A34F10" w:rsidRDefault="00DC5685" w:rsidP="00DC5685">
      <w:pPr>
        <w:autoSpaceDE w:val="0"/>
        <w:autoSpaceDN w:val="0"/>
        <w:adjustRightInd w:val="0"/>
        <w:jc w:val="both"/>
        <w:rPr>
          <w:szCs w:val="24"/>
          <w:lang w:val="en-GB"/>
        </w:rPr>
      </w:pPr>
      <w:r w:rsidRPr="00A34F10">
        <w:rPr>
          <w:szCs w:val="24"/>
          <w:lang w:val="en-GB"/>
        </w:rPr>
        <w:t>The mean numbers of mummies produced per female in the respective test item treatment groups were between 15.5 and 17.2, compared to the control value of 16.7 mummies/female. No statistically significantly different reproduction rates were observed in all the test item rates compared to the control. The ER</w:t>
      </w:r>
      <w:r w:rsidRPr="00A34F10">
        <w:rPr>
          <w:szCs w:val="24"/>
          <w:vertAlign w:val="subscript"/>
          <w:lang w:val="en-GB"/>
        </w:rPr>
        <w:t>50</w:t>
      </w:r>
      <w:r w:rsidRPr="00A34F10">
        <w:rPr>
          <w:szCs w:val="24"/>
          <w:lang w:val="en-GB"/>
        </w:rPr>
        <w:t xml:space="preserve"> was estimated to be &gt; 4.6 L product/ha and the NOER for reproduction was determined to be 4.6 L product/ha. No unusual observations regarding behaviour were noted in the control and the test item treatment groups at any observation point during the test. </w:t>
      </w:r>
    </w:p>
    <w:p w14:paraId="76C46AD8" w14:textId="77777777" w:rsidR="00DC5685" w:rsidRPr="00A34F10" w:rsidRDefault="00DC5685" w:rsidP="00DC5685">
      <w:pPr>
        <w:autoSpaceDE w:val="0"/>
        <w:autoSpaceDN w:val="0"/>
        <w:adjustRightInd w:val="0"/>
        <w:jc w:val="both"/>
        <w:rPr>
          <w:szCs w:val="24"/>
          <w:lang w:val="en-GB"/>
        </w:rPr>
      </w:pPr>
    </w:p>
    <w:p w14:paraId="6843CD30" w14:textId="4A483081" w:rsidR="00DC5685" w:rsidRPr="00A34F10" w:rsidRDefault="00DC5685" w:rsidP="00DC5685">
      <w:pPr>
        <w:autoSpaceDE w:val="0"/>
        <w:autoSpaceDN w:val="0"/>
        <w:adjustRightInd w:val="0"/>
        <w:jc w:val="both"/>
        <w:rPr>
          <w:szCs w:val="24"/>
          <w:lang w:val="en-GB"/>
        </w:rPr>
      </w:pPr>
      <w:r w:rsidRPr="00A34F10">
        <w:rPr>
          <w:szCs w:val="24"/>
          <w:lang w:val="en-GB"/>
        </w:rPr>
        <w:t>Results are summarised in</w:t>
      </w:r>
      <w:r w:rsidR="00A45A3F" w:rsidRPr="00A34F10">
        <w:rPr>
          <w:szCs w:val="24"/>
          <w:lang w:val="en-GB"/>
        </w:rPr>
        <w:t xml:space="preserve"> </w:t>
      </w:r>
      <w:r w:rsidR="00733D66">
        <w:rPr>
          <w:szCs w:val="24"/>
          <w:lang w:val="en-GB"/>
        </w:rPr>
        <w:fldChar w:fldCharType="begin"/>
      </w:r>
      <w:r w:rsidR="00733D66">
        <w:rPr>
          <w:szCs w:val="24"/>
          <w:lang w:val="en-GB"/>
        </w:rPr>
        <w:instrText xml:space="preserve"> REF _Ref147911373 \h </w:instrText>
      </w:r>
      <w:r w:rsidR="00733D66">
        <w:rPr>
          <w:szCs w:val="24"/>
          <w:lang w:val="en-GB"/>
        </w:rPr>
      </w:r>
      <w:r w:rsidR="00733D66">
        <w:rPr>
          <w:szCs w:val="24"/>
          <w:lang w:val="en-GB"/>
        </w:rPr>
        <w:fldChar w:fldCharType="separate"/>
      </w:r>
      <w:r w:rsidR="006F0F3B">
        <w:t xml:space="preserve">Table A </w:t>
      </w:r>
      <w:r w:rsidR="006F0F3B">
        <w:rPr>
          <w:noProof/>
        </w:rPr>
        <w:t>68</w:t>
      </w:r>
      <w:r w:rsidR="00733D66">
        <w:rPr>
          <w:szCs w:val="24"/>
          <w:lang w:val="en-GB"/>
        </w:rPr>
        <w:fldChar w:fldCharType="end"/>
      </w:r>
      <w:r w:rsidR="00733D66">
        <w:rPr>
          <w:szCs w:val="24"/>
          <w:lang w:val="en-GB"/>
        </w:rPr>
        <w:t>.</w:t>
      </w:r>
    </w:p>
    <w:p w14:paraId="0C2399DC" w14:textId="77777777" w:rsidR="00DC5685" w:rsidRPr="00A34F10" w:rsidRDefault="00DC5685" w:rsidP="00DC5685">
      <w:pPr>
        <w:autoSpaceDE w:val="0"/>
        <w:autoSpaceDN w:val="0"/>
        <w:adjustRightInd w:val="0"/>
        <w:jc w:val="both"/>
        <w:rPr>
          <w:szCs w:val="24"/>
          <w:highlight w:val="yellow"/>
          <w:lang w:val="en-GB"/>
        </w:rPr>
      </w:pPr>
    </w:p>
    <w:p w14:paraId="4CD24438" w14:textId="7F3EBCAC" w:rsidR="00DC5685" w:rsidRPr="00A34F10" w:rsidRDefault="00733D66" w:rsidP="00733D66">
      <w:pPr>
        <w:pStyle w:val="Legenda"/>
      </w:pPr>
      <w:bookmarkStart w:id="1130" w:name="_Ref147911373"/>
      <w:r>
        <w:lastRenderedPageBreak/>
        <w:t xml:space="preserve">Table A </w:t>
      </w:r>
      <w:r>
        <w:fldChar w:fldCharType="begin"/>
      </w:r>
      <w:r>
        <w:instrText xml:space="preserve"> SEQ Table_A \* ARABIC </w:instrText>
      </w:r>
      <w:r>
        <w:fldChar w:fldCharType="separate"/>
      </w:r>
      <w:r w:rsidR="006F0F3B">
        <w:rPr>
          <w:noProof/>
        </w:rPr>
        <w:t>68</w:t>
      </w:r>
      <w:r>
        <w:fldChar w:fldCharType="end"/>
      </w:r>
      <w:bookmarkEnd w:id="1130"/>
      <w:r w:rsidR="00DC5685" w:rsidRPr="00A34F10">
        <w:t>:</w:t>
      </w:r>
      <w:r w:rsidR="00A45A3F" w:rsidRPr="00A34F10">
        <w:tab/>
      </w:r>
      <w:r w:rsidR="00DC5685" w:rsidRPr="00A34F10">
        <w:t xml:space="preserve"> Effects on the parasitic wasp </w:t>
      </w:r>
      <w:r w:rsidR="00DC5685" w:rsidRPr="00A34F10">
        <w:rPr>
          <w:i/>
          <w:iCs/>
        </w:rPr>
        <w:t>Aphidius rhopalosiphi</w:t>
      </w:r>
      <w:r w:rsidR="00DC5685" w:rsidRPr="00A34F10">
        <w:t xml:space="preserve"> exposed to residues of BAS 743 03 F in a worst-case laboratory test</w:t>
      </w:r>
    </w:p>
    <w:tbl>
      <w:tblPr>
        <w:tblStyle w:val="TableGrid42"/>
        <w:tblW w:w="5000" w:type="pct"/>
        <w:tblLook w:val="04A0" w:firstRow="1" w:lastRow="0" w:firstColumn="1" w:lastColumn="0" w:noHBand="0" w:noVBand="1"/>
      </w:tblPr>
      <w:tblGrid>
        <w:gridCol w:w="1709"/>
        <w:gridCol w:w="1047"/>
        <w:gridCol w:w="1224"/>
        <w:gridCol w:w="1461"/>
        <w:gridCol w:w="2186"/>
        <w:gridCol w:w="1717"/>
      </w:tblGrid>
      <w:tr w:rsidR="00DC5685" w:rsidRPr="00A34F10" w14:paraId="3C931C43" w14:textId="77777777" w:rsidTr="000470C3">
        <w:trPr>
          <w:trHeight w:hRule="exact" w:val="773"/>
          <w:tblHeader/>
        </w:trPr>
        <w:tc>
          <w:tcPr>
            <w:tcW w:w="914" w:type="pct"/>
            <w:tcBorders>
              <w:top w:val="single" w:sz="4" w:space="0" w:color="auto"/>
              <w:left w:val="single" w:sz="4" w:space="0" w:color="auto"/>
              <w:bottom w:val="single" w:sz="4" w:space="0" w:color="auto"/>
              <w:right w:val="single" w:sz="4" w:space="0" w:color="auto"/>
            </w:tcBorders>
            <w:vAlign w:val="center"/>
          </w:tcPr>
          <w:p w14:paraId="398FF422" w14:textId="77777777" w:rsidR="00DC5685" w:rsidRPr="00A34F10" w:rsidRDefault="00DC5685" w:rsidP="00DC5685">
            <w:pPr>
              <w:tabs>
                <w:tab w:val="left" w:pos="720"/>
              </w:tabs>
              <w:jc w:val="both"/>
              <w:rPr>
                <w:lang w:val="en-GB"/>
              </w:rPr>
            </w:pPr>
            <w:r w:rsidRPr="00A34F10">
              <w:rPr>
                <w:b/>
                <w:bCs/>
                <w:color w:val="000000" w:themeColor="text1"/>
                <w:sz w:val="20"/>
                <w:szCs w:val="20"/>
                <w:lang w:val="en-GB"/>
              </w:rPr>
              <w:t>Treatment</w:t>
            </w:r>
          </w:p>
        </w:tc>
        <w:tc>
          <w:tcPr>
            <w:tcW w:w="560" w:type="pct"/>
            <w:tcBorders>
              <w:top w:val="single" w:sz="4" w:space="0" w:color="auto"/>
              <w:left w:val="single" w:sz="4" w:space="0" w:color="auto"/>
              <w:bottom w:val="single" w:sz="4" w:space="0" w:color="auto"/>
              <w:right w:val="single" w:sz="4" w:space="0" w:color="auto"/>
            </w:tcBorders>
            <w:vAlign w:val="center"/>
            <w:hideMark/>
          </w:tcPr>
          <w:p w14:paraId="62958362" w14:textId="77777777" w:rsidR="00DC5685" w:rsidRPr="00A34F10" w:rsidRDefault="00DC5685" w:rsidP="00DC5685">
            <w:pPr>
              <w:tabs>
                <w:tab w:val="left" w:pos="720"/>
              </w:tabs>
              <w:jc w:val="center"/>
              <w:rPr>
                <w:b/>
                <w:bCs/>
                <w:lang w:val="en-GB"/>
              </w:rPr>
            </w:pPr>
            <w:r w:rsidRPr="00A34F10">
              <w:rPr>
                <w:b/>
                <w:bCs/>
                <w:sz w:val="20"/>
                <w:szCs w:val="20"/>
                <w:lang w:val="en-GB"/>
              </w:rPr>
              <w:t>Rate</w:t>
            </w:r>
            <w:r w:rsidRPr="00A34F10">
              <w:rPr>
                <w:b/>
                <w:bCs/>
                <w:sz w:val="20"/>
                <w:szCs w:val="20"/>
                <w:vertAlign w:val="superscript"/>
                <w:lang w:val="en-GB"/>
              </w:rPr>
              <w:t>1</w:t>
            </w:r>
          </w:p>
        </w:tc>
        <w:tc>
          <w:tcPr>
            <w:tcW w:w="655" w:type="pct"/>
            <w:tcBorders>
              <w:top w:val="single" w:sz="4" w:space="0" w:color="auto"/>
              <w:left w:val="single" w:sz="4" w:space="0" w:color="auto"/>
              <w:bottom w:val="single" w:sz="4" w:space="0" w:color="auto"/>
              <w:right w:val="single" w:sz="4" w:space="0" w:color="auto"/>
            </w:tcBorders>
            <w:vAlign w:val="center"/>
            <w:hideMark/>
          </w:tcPr>
          <w:p w14:paraId="1CDE27F0" w14:textId="77777777" w:rsidR="00DC5685" w:rsidRPr="00A34F10" w:rsidRDefault="00DC5685" w:rsidP="00DC5685">
            <w:pPr>
              <w:tabs>
                <w:tab w:val="left" w:pos="720"/>
              </w:tabs>
              <w:jc w:val="center"/>
              <w:rPr>
                <w:b/>
                <w:bCs/>
                <w:lang w:val="en-GB"/>
              </w:rPr>
            </w:pPr>
            <w:r w:rsidRPr="00A34F10">
              <w:rPr>
                <w:b/>
                <w:bCs/>
                <w:sz w:val="20"/>
                <w:szCs w:val="20"/>
                <w:lang w:val="en-GB"/>
              </w:rPr>
              <w:t>Mortality (%)</w:t>
            </w:r>
          </w:p>
        </w:tc>
        <w:tc>
          <w:tcPr>
            <w:tcW w:w="782" w:type="pct"/>
            <w:tcBorders>
              <w:top w:val="single" w:sz="4" w:space="0" w:color="auto"/>
              <w:left w:val="single" w:sz="4" w:space="0" w:color="auto"/>
              <w:bottom w:val="single" w:sz="4" w:space="0" w:color="auto"/>
              <w:right w:val="single" w:sz="4" w:space="0" w:color="auto"/>
            </w:tcBorders>
            <w:vAlign w:val="center"/>
            <w:hideMark/>
          </w:tcPr>
          <w:p w14:paraId="11AED3CB" w14:textId="77777777" w:rsidR="00DC5685" w:rsidRPr="00A34F10" w:rsidRDefault="00DC5685" w:rsidP="00DC5685">
            <w:pPr>
              <w:tabs>
                <w:tab w:val="left" w:pos="720"/>
              </w:tabs>
              <w:jc w:val="center"/>
              <w:rPr>
                <w:b/>
                <w:bCs/>
                <w:lang w:val="en-GB"/>
              </w:rPr>
            </w:pPr>
            <w:r w:rsidRPr="00A34F10">
              <w:rPr>
                <w:b/>
                <w:bCs/>
                <w:sz w:val="20"/>
                <w:szCs w:val="20"/>
                <w:lang w:val="en-GB"/>
              </w:rPr>
              <w:t>Corrected mortality</w:t>
            </w:r>
            <w:r w:rsidRPr="00A34F10">
              <w:rPr>
                <w:b/>
                <w:bCs/>
                <w:sz w:val="20"/>
                <w:szCs w:val="20"/>
                <w:vertAlign w:val="superscript"/>
                <w:lang w:val="en-GB"/>
              </w:rPr>
              <w:t xml:space="preserve">2 </w:t>
            </w:r>
            <w:r w:rsidRPr="00A34F10">
              <w:rPr>
                <w:b/>
                <w:bCs/>
                <w:sz w:val="20"/>
                <w:szCs w:val="20"/>
                <w:lang w:val="en-GB"/>
              </w:rPr>
              <w:t>(%)</w:t>
            </w:r>
          </w:p>
        </w:tc>
        <w:tc>
          <w:tcPr>
            <w:tcW w:w="1170" w:type="pct"/>
            <w:tcBorders>
              <w:top w:val="single" w:sz="4" w:space="0" w:color="auto"/>
              <w:left w:val="single" w:sz="4" w:space="0" w:color="auto"/>
              <w:bottom w:val="single" w:sz="4" w:space="0" w:color="auto"/>
              <w:right w:val="single" w:sz="4" w:space="0" w:color="auto"/>
            </w:tcBorders>
            <w:vAlign w:val="center"/>
          </w:tcPr>
          <w:p w14:paraId="7AFFCFA9" w14:textId="77777777" w:rsidR="00DC5685" w:rsidRPr="00A34F10" w:rsidRDefault="00DC5685" w:rsidP="00DC5685">
            <w:pPr>
              <w:tabs>
                <w:tab w:val="left" w:pos="720"/>
              </w:tabs>
              <w:jc w:val="center"/>
              <w:rPr>
                <w:b/>
                <w:bCs/>
                <w:sz w:val="20"/>
                <w:szCs w:val="20"/>
                <w:vertAlign w:val="superscript"/>
                <w:lang w:val="en-GB"/>
              </w:rPr>
            </w:pPr>
            <w:r w:rsidRPr="00A34F10">
              <w:rPr>
                <w:b/>
                <w:bCs/>
                <w:sz w:val="20"/>
                <w:szCs w:val="20"/>
                <w:lang w:val="en-GB"/>
              </w:rPr>
              <w:t>Reproduction</w:t>
            </w:r>
            <w:r w:rsidRPr="00A34F10">
              <w:rPr>
                <w:b/>
                <w:bCs/>
                <w:sz w:val="20"/>
                <w:szCs w:val="20"/>
                <w:vertAlign w:val="superscript"/>
                <w:lang w:val="en-GB"/>
              </w:rPr>
              <w:t xml:space="preserve">3 </w:t>
            </w:r>
          </w:p>
          <w:p w14:paraId="42CE7A15" w14:textId="77777777" w:rsidR="00DC5685" w:rsidRPr="00A34F10" w:rsidRDefault="00DC5685" w:rsidP="00DC5685">
            <w:pPr>
              <w:tabs>
                <w:tab w:val="left" w:pos="720"/>
              </w:tabs>
              <w:jc w:val="center"/>
              <w:rPr>
                <w:b/>
                <w:bCs/>
                <w:lang w:val="en-GB"/>
              </w:rPr>
            </w:pPr>
            <w:r w:rsidRPr="00A34F10">
              <w:rPr>
                <w:b/>
                <w:bCs/>
                <w:sz w:val="20"/>
                <w:szCs w:val="20"/>
                <w:lang w:val="en-GB"/>
              </w:rPr>
              <w:t>(mean number of mummies/female)</w:t>
            </w:r>
          </w:p>
        </w:tc>
        <w:tc>
          <w:tcPr>
            <w:tcW w:w="919" w:type="pct"/>
            <w:tcBorders>
              <w:top w:val="single" w:sz="4" w:space="0" w:color="auto"/>
              <w:left w:val="single" w:sz="4" w:space="0" w:color="auto"/>
              <w:bottom w:val="single" w:sz="4" w:space="0" w:color="auto"/>
              <w:right w:val="single" w:sz="4" w:space="0" w:color="auto"/>
            </w:tcBorders>
            <w:vAlign w:val="center"/>
          </w:tcPr>
          <w:p w14:paraId="062E62DB" w14:textId="77777777" w:rsidR="00DC5685" w:rsidRPr="00A34F10" w:rsidRDefault="00DC5685" w:rsidP="00DC5685">
            <w:pPr>
              <w:tabs>
                <w:tab w:val="left" w:pos="720"/>
              </w:tabs>
              <w:jc w:val="center"/>
              <w:rPr>
                <w:b/>
                <w:bCs/>
                <w:lang w:val="en-GB"/>
              </w:rPr>
            </w:pPr>
            <w:r w:rsidRPr="00A34F10">
              <w:rPr>
                <w:b/>
                <w:bCs/>
                <w:sz w:val="20"/>
                <w:szCs w:val="20"/>
                <w:lang w:val="en-GB"/>
              </w:rPr>
              <w:t>Inhibition of reproduction</w:t>
            </w:r>
            <w:r w:rsidRPr="00A34F10">
              <w:rPr>
                <w:b/>
                <w:bCs/>
                <w:sz w:val="20"/>
                <w:szCs w:val="20"/>
                <w:vertAlign w:val="superscript"/>
                <w:lang w:val="en-GB"/>
              </w:rPr>
              <w:t xml:space="preserve">4 </w:t>
            </w:r>
            <w:r w:rsidRPr="00A34F10">
              <w:rPr>
                <w:b/>
                <w:bCs/>
                <w:sz w:val="20"/>
                <w:szCs w:val="20"/>
                <w:lang w:val="en-GB"/>
              </w:rPr>
              <w:t>(%)</w:t>
            </w:r>
          </w:p>
        </w:tc>
      </w:tr>
      <w:tr w:rsidR="00DC5685" w:rsidRPr="00A34F10" w14:paraId="315E55C6" w14:textId="77777777" w:rsidTr="000470C3">
        <w:trPr>
          <w:trHeight w:hRule="exact" w:val="284"/>
        </w:trPr>
        <w:tc>
          <w:tcPr>
            <w:tcW w:w="914" w:type="pct"/>
            <w:tcBorders>
              <w:top w:val="single" w:sz="4" w:space="0" w:color="auto"/>
              <w:left w:val="single" w:sz="4" w:space="0" w:color="auto"/>
              <w:bottom w:val="single" w:sz="4" w:space="0" w:color="auto"/>
              <w:right w:val="single" w:sz="4" w:space="0" w:color="auto"/>
            </w:tcBorders>
            <w:vAlign w:val="center"/>
            <w:hideMark/>
          </w:tcPr>
          <w:p w14:paraId="72B012B9" w14:textId="77777777" w:rsidR="00DC5685" w:rsidRPr="00A34F10" w:rsidRDefault="00DC5685" w:rsidP="00DC5685">
            <w:pPr>
              <w:tabs>
                <w:tab w:val="left" w:pos="720"/>
              </w:tabs>
              <w:jc w:val="center"/>
              <w:rPr>
                <w:sz w:val="20"/>
                <w:szCs w:val="20"/>
                <w:lang w:val="en-GB"/>
              </w:rPr>
            </w:pPr>
            <w:r w:rsidRPr="00A34F10">
              <w:rPr>
                <w:sz w:val="20"/>
                <w:szCs w:val="20"/>
                <w:lang w:val="en-GB"/>
              </w:rPr>
              <w:t>Control</w:t>
            </w:r>
          </w:p>
        </w:tc>
        <w:tc>
          <w:tcPr>
            <w:tcW w:w="560" w:type="pct"/>
            <w:tcBorders>
              <w:top w:val="single" w:sz="4" w:space="0" w:color="auto"/>
              <w:left w:val="single" w:sz="4" w:space="0" w:color="auto"/>
              <w:bottom w:val="single" w:sz="4" w:space="0" w:color="auto"/>
              <w:right w:val="single" w:sz="4" w:space="0" w:color="auto"/>
            </w:tcBorders>
            <w:vAlign w:val="center"/>
            <w:hideMark/>
          </w:tcPr>
          <w:p w14:paraId="67CB41FC"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655" w:type="pct"/>
            <w:tcBorders>
              <w:top w:val="single" w:sz="4" w:space="0" w:color="auto"/>
              <w:left w:val="single" w:sz="4" w:space="0" w:color="auto"/>
              <w:bottom w:val="single" w:sz="4" w:space="0" w:color="auto"/>
              <w:right w:val="single" w:sz="4" w:space="0" w:color="auto"/>
            </w:tcBorders>
            <w:vAlign w:val="center"/>
            <w:hideMark/>
          </w:tcPr>
          <w:p w14:paraId="7BAF4745"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782" w:type="pct"/>
            <w:tcBorders>
              <w:top w:val="single" w:sz="4" w:space="0" w:color="auto"/>
              <w:left w:val="single" w:sz="4" w:space="0" w:color="auto"/>
              <w:bottom w:val="single" w:sz="4" w:space="0" w:color="auto"/>
              <w:right w:val="single" w:sz="4" w:space="0" w:color="auto"/>
            </w:tcBorders>
            <w:vAlign w:val="center"/>
            <w:hideMark/>
          </w:tcPr>
          <w:p w14:paraId="0E4E2365"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c>
          <w:tcPr>
            <w:tcW w:w="1170" w:type="pct"/>
            <w:tcBorders>
              <w:top w:val="single" w:sz="4" w:space="0" w:color="auto"/>
              <w:left w:val="single" w:sz="4" w:space="0" w:color="auto"/>
              <w:bottom w:val="single" w:sz="4" w:space="0" w:color="auto"/>
              <w:right w:val="single" w:sz="4" w:space="0" w:color="auto"/>
            </w:tcBorders>
            <w:vAlign w:val="center"/>
          </w:tcPr>
          <w:p w14:paraId="66B0A0F2" w14:textId="77777777" w:rsidR="00DC5685" w:rsidRPr="00A34F10" w:rsidRDefault="00DC5685" w:rsidP="00DC5685">
            <w:pPr>
              <w:tabs>
                <w:tab w:val="left" w:pos="720"/>
              </w:tabs>
              <w:jc w:val="center"/>
              <w:rPr>
                <w:sz w:val="20"/>
                <w:szCs w:val="20"/>
                <w:lang w:val="en-GB"/>
              </w:rPr>
            </w:pPr>
            <w:r w:rsidRPr="00A34F10">
              <w:rPr>
                <w:sz w:val="20"/>
                <w:szCs w:val="20"/>
                <w:lang w:val="en-GB"/>
              </w:rPr>
              <w:t>16.7</w:t>
            </w:r>
          </w:p>
        </w:tc>
        <w:tc>
          <w:tcPr>
            <w:tcW w:w="919" w:type="pct"/>
            <w:tcBorders>
              <w:top w:val="single" w:sz="4" w:space="0" w:color="auto"/>
              <w:left w:val="single" w:sz="4" w:space="0" w:color="auto"/>
              <w:bottom w:val="single" w:sz="4" w:space="0" w:color="auto"/>
              <w:right w:val="single" w:sz="4" w:space="0" w:color="auto"/>
            </w:tcBorders>
            <w:vAlign w:val="center"/>
          </w:tcPr>
          <w:p w14:paraId="211B5A27" w14:textId="77777777" w:rsidR="00DC5685" w:rsidRPr="00A34F10" w:rsidRDefault="00DC5685" w:rsidP="00DC5685">
            <w:pPr>
              <w:tabs>
                <w:tab w:val="left" w:pos="720"/>
              </w:tabs>
              <w:jc w:val="center"/>
              <w:rPr>
                <w:sz w:val="20"/>
                <w:szCs w:val="20"/>
                <w:lang w:val="en-GB"/>
              </w:rPr>
            </w:pPr>
            <w:r w:rsidRPr="00A34F10">
              <w:rPr>
                <w:sz w:val="20"/>
                <w:szCs w:val="20"/>
                <w:lang w:val="en-GB"/>
              </w:rPr>
              <w:t>-</w:t>
            </w:r>
          </w:p>
        </w:tc>
      </w:tr>
      <w:tr w:rsidR="00DC5685" w:rsidRPr="00A34F10" w14:paraId="0C88CC19" w14:textId="77777777" w:rsidTr="000470C3">
        <w:trPr>
          <w:trHeight w:hRule="exact" w:val="284"/>
        </w:trPr>
        <w:tc>
          <w:tcPr>
            <w:tcW w:w="914" w:type="pct"/>
            <w:vMerge w:val="restart"/>
            <w:tcBorders>
              <w:top w:val="single" w:sz="4" w:space="0" w:color="auto"/>
              <w:left w:val="single" w:sz="4" w:space="0" w:color="auto"/>
              <w:bottom w:val="single" w:sz="4" w:space="0" w:color="auto"/>
              <w:right w:val="single" w:sz="4" w:space="0" w:color="auto"/>
            </w:tcBorders>
            <w:vAlign w:val="center"/>
            <w:hideMark/>
          </w:tcPr>
          <w:p w14:paraId="0B0D4AF9" w14:textId="77777777" w:rsidR="00DC5685" w:rsidRPr="00A34F10" w:rsidRDefault="00DC5685" w:rsidP="00DC5685">
            <w:pPr>
              <w:tabs>
                <w:tab w:val="left" w:pos="720"/>
              </w:tabs>
              <w:jc w:val="center"/>
              <w:rPr>
                <w:sz w:val="20"/>
                <w:szCs w:val="20"/>
                <w:lang w:val="en-GB"/>
              </w:rPr>
            </w:pPr>
            <w:r w:rsidRPr="00A34F10">
              <w:rPr>
                <w:sz w:val="20"/>
                <w:szCs w:val="20"/>
                <w:lang w:val="en-GB"/>
              </w:rPr>
              <w:t>BAS 743 02 F</w:t>
            </w:r>
          </w:p>
          <w:p w14:paraId="1801F539" w14:textId="77777777" w:rsidR="00DC5685" w:rsidRPr="00A34F10" w:rsidRDefault="00DC5685" w:rsidP="00DC5685">
            <w:pPr>
              <w:tabs>
                <w:tab w:val="left" w:pos="720"/>
              </w:tabs>
              <w:jc w:val="center"/>
              <w:rPr>
                <w:sz w:val="20"/>
                <w:szCs w:val="20"/>
                <w:lang w:val="en-GB"/>
              </w:rPr>
            </w:pPr>
            <w:r w:rsidRPr="00A34F10">
              <w:rPr>
                <w:sz w:val="20"/>
                <w:szCs w:val="20"/>
                <w:lang w:val="es-ES"/>
              </w:rPr>
              <w:t>[L product/ha</w:t>
            </w:r>
            <w:r w:rsidRPr="00A34F10">
              <w:rPr>
                <w:color w:val="71777D"/>
                <w:sz w:val="20"/>
                <w:szCs w:val="20"/>
                <w:shd w:val="clear" w:color="auto" w:fill="FFFFFF"/>
              </w:rPr>
              <w:t>]</w:t>
            </w:r>
          </w:p>
        </w:tc>
        <w:tc>
          <w:tcPr>
            <w:tcW w:w="560" w:type="pct"/>
            <w:tcBorders>
              <w:top w:val="single" w:sz="4" w:space="0" w:color="auto"/>
              <w:left w:val="single" w:sz="4" w:space="0" w:color="auto"/>
              <w:bottom w:val="single" w:sz="4" w:space="0" w:color="auto"/>
              <w:right w:val="single" w:sz="4" w:space="0" w:color="auto"/>
            </w:tcBorders>
            <w:vAlign w:val="center"/>
            <w:hideMark/>
          </w:tcPr>
          <w:p w14:paraId="1E29391E" w14:textId="77777777" w:rsidR="00DC5685" w:rsidRPr="00A34F10" w:rsidRDefault="00DC5685" w:rsidP="00DC5685">
            <w:pPr>
              <w:tabs>
                <w:tab w:val="left" w:pos="720"/>
              </w:tabs>
              <w:jc w:val="center"/>
              <w:rPr>
                <w:sz w:val="20"/>
                <w:szCs w:val="20"/>
                <w:lang w:val="en-GB"/>
              </w:rPr>
            </w:pPr>
            <w:r w:rsidRPr="00A34F10">
              <w:rPr>
                <w:sz w:val="20"/>
                <w:szCs w:val="20"/>
              </w:rPr>
              <w:t>0.2875</w:t>
            </w:r>
          </w:p>
        </w:tc>
        <w:tc>
          <w:tcPr>
            <w:tcW w:w="655" w:type="pct"/>
            <w:tcBorders>
              <w:top w:val="single" w:sz="4" w:space="0" w:color="auto"/>
              <w:left w:val="single" w:sz="4" w:space="0" w:color="auto"/>
              <w:bottom w:val="single" w:sz="4" w:space="0" w:color="auto"/>
              <w:right w:val="single" w:sz="4" w:space="0" w:color="auto"/>
            </w:tcBorders>
            <w:vAlign w:val="center"/>
            <w:hideMark/>
          </w:tcPr>
          <w:p w14:paraId="2E80EA39" w14:textId="77777777" w:rsidR="00DC5685" w:rsidRPr="00A34F10" w:rsidRDefault="00DC5685" w:rsidP="00DC5685">
            <w:pPr>
              <w:tabs>
                <w:tab w:val="left" w:pos="720"/>
              </w:tabs>
              <w:jc w:val="center"/>
              <w:rPr>
                <w:sz w:val="20"/>
                <w:szCs w:val="20"/>
                <w:lang w:val="en-GB"/>
              </w:rPr>
            </w:pPr>
            <w:r w:rsidRPr="00A34F10">
              <w:rPr>
                <w:sz w:val="20"/>
                <w:szCs w:val="20"/>
                <w:lang w:val="en-GB"/>
              </w:rPr>
              <w:t>0 n.s.</w:t>
            </w:r>
          </w:p>
        </w:tc>
        <w:tc>
          <w:tcPr>
            <w:tcW w:w="782" w:type="pct"/>
            <w:tcBorders>
              <w:top w:val="single" w:sz="4" w:space="0" w:color="auto"/>
              <w:left w:val="single" w:sz="4" w:space="0" w:color="auto"/>
              <w:bottom w:val="single" w:sz="4" w:space="0" w:color="auto"/>
              <w:right w:val="single" w:sz="4" w:space="0" w:color="auto"/>
            </w:tcBorders>
            <w:vAlign w:val="center"/>
            <w:hideMark/>
          </w:tcPr>
          <w:p w14:paraId="22A65AA2"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1170" w:type="pct"/>
            <w:tcBorders>
              <w:top w:val="single" w:sz="4" w:space="0" w:color="auto"/>
              <w:left w:val="single" w:sz="4" w:space="0" w:color="auto"/>
              <w:bottom w:val="single" w:sz="4" w:space="0" w:color="auto"/>
              <w:right w:val="single" w:sz="4" w:space="0" w:color="auto"/>
            </w:tcBorders>
            <w:vAlign w:val="center"/>
          </w:tcPr>
          <w:p w14:paraId="62EFCF18" w14:textId="77777777" w:rsidR="00DC5685" w:rsidRPr="00A34F10" w:rsidRDefault="00DC5685" w:rsidP="00DC5685">
            <w:pPr>
              <w:tabs>
                <w:tab w:val="left" w:pos="720"/>
              </w:tabs>
              <w:jc w:val="center"/>
              <w:rPr>
                <w:sz w:val="20"/>
                <w:szCs w:val="20"/>
                <w:lang w:val="en-GB"/>
              </w:rPr>
            </w:pPr>
            <w:r w:rsidRPr="00A34F10">
              <w:rPr>
                <w:sz w:val="20"/>
                <w:szCs w:val="20"/>
                <w:lang w:val="en-GB"/>
              </w:rPr>
              <w:t>16.9 n.s.</w:t>
            </w:r>
          </w:p>
        </w:tc>
        <w:tc>
          <w:tcPr>
            <w:tcW w:w="919" w:type="pct"/>
            <w:tcBorders>
              <w:top w:val="single" w:sz="4" w:space="0" w:color="auto"/>
              <w:left w:val="single" w:sz="4" w:space="0" w:color="auto"/>
              <w:bottom w:val="single" w:sz="4" w:space="0" w:color="auto"/>
              <w:right w:val="single" w:sz="4" w:space="0" w:color="auto"/>
            </w:tcBorders>
            <w:vAlign w:val="center"/>
          </w:tcPr>
          <w:p w14:paraId="24E8A82F" w14:textId="77777777" w:rsidR="00DC5685" w:rsidRPr="00A34F10" w:rsidRDefault="00DC5685" w:rsidP="00DC5685">
            <w:pPr>
              <w:tabs>
                <w:tab w:val="left" w:pos="720"/>
              </w:tabs>
              <w:jc w:val="center"/>
              <w:rPr>
                <w:sz w:val="20"/>
                <w:szCs w:val="20"/>
                <w:lang w:val="en-GB"/>
              </w:rPr>
            </w:pPr>
            <w:r w:rsidRPr="00A34F10">
              <w:rPr>
                <w:sz w:val="20"/>
                <w:szCs w:val="20"/>
                <w:lang w:val="en-GB"/>
              </w:rPr>
              <w:t>-1.2</w:t>
            </w:r>
          </w:p>
        </w:tc>
      </w:tr>
      <w:tr w:rsidR="00DC5685" w:rsidRPr="00A34F10" w14:paraId="2E631DDB" w14:textId="77777777" w:rsidTr="000470C3">
        <w:trPr>
          <w:trHeight w:hRule="exact" w:val="284"/>
        </w:trPr>
        <w:tc>
          <w:tcPr>
            <w:tcW w:w="914" w:type="pct"/>
            <w:vMerge/>
            <w:tcBorders>
              <w:top w:val="single" w:sz="4" w:space="0" w:color="auto"/>
              <w:left w:val="single" w:sz="4" w:space="0" w:color="auto"/>
              <w:bottom w:val="single" w:sz="4" w:space="0" w:color="auto"/>
              <w:right w:val="single" w:sz="4" w:space="0" w:color="auto"/>
            </w:tcBorders>
            <w:vAlign w:val="center"/>
            <w:hideMark/>
          </w:tcPr>
          <w:p w14:paraId="770A9752" w14:textId="77777777" w:rsidR="00DC5685" w:rsidRPr="00A34F10" w:rsidRDefault="00DC5685" w:rsidP="00DC5685">
            <w:pPr>
              <w:jc w:val="center"/>
              <w:rPr>
                <w:sz w:val="20"/>
                <w:szCs w:val="20"/>
                <w:lang w:val="en-GB"/>
              </w:rPr>
            </w:pPr>
          </w:p>
        </w:tc>
        <w:tc>
          <w:tcPr>
            <w:tcW w:w="560" w:type="pct"/>
            <w:tcBorders>
              <w:top w:val="single" w:sz="4" w:space="0" w:color="auto"/>
              <w:left w:val="single" w:sz="4" w:space="0" w:color="auto"/>
              <w:bottom w:val="single" w:sz="4" w:space="0" w:color="auto"/>
              <w:right w:val="single" w:sz="4" w:space="0" w:color="auto"/>
            </w:tcBorders>
            <w:vAlign w:val="center"/>
            <w:hideMark/>
          </w:tcPr>
          <w:p w14:paraId="6C5C267D" w14:textId="77777777" w:rsidR="00DC5685" w:rsidRPr="00A34F10" w:rsidRDefault="00DC5685" w:rsidP="00DC5685">
            <w:pPr>
              <w:tabs>
                <w:tab w:val="left" w:pos="720"/>
              </w:tabs>
              <w:jc w:val="center"/>
              <w:rPr>
                <w:sz w:val="20"/>
                <w:szCs w:val="20"/>
                <w:lang w:val="en-GB"/>
              </w:rPr>
            </w:pPr>
            <w:r w:rsidRPr="00A34F10">
              <w:rPr>
                <w:sz w:val="20"/>
                <w:szCs w:val="20"/>
              </w:rPr>
              <w:t>0.575</w:t>
            </w:r>
          </w:p>
        </w:tc>
        <w:tc>
          <w:tcPr>
            <w:tcW w:w="655" w:type="pct"/>
            <w:tcBorders>
              <w:top w:val="single" w:sz="4" w:space="0" w:color="auto"/>
              <w:left w:val="single" w:sz="4" w:space="0" w:color="auto"/>
              <w:bottom w:val="single" w:sz="4" w:space="0" w:color="auto"/>
              <w:right w:val="single" w:sz="4" w:space="0" w:color="auto"/>
            </w:tcBorders>
            <w:vAlign w:val="center"/>
            <w:hideMark/>
          </w:tcPr>
          <w:p w14:paraId="263D7370" w14:textId="77777777" w:rsidR="00DC5685" w:rsidRPr="00A34F10" w:rsidRDefault="00DC5685" w:rsidP="00DC5685">
            <w:pPr>
              <w:tabs>
                <w:tab w:val="left" w:pos="720"/>
              </w:tabs>
              <w:jc w:val="center"/>
              <w:rPr>
                <w:sz w:val="20"/>
                <w:szCs w:val="20"/>
                <w:lang w:val="en-GB"/>
              </w:rPr>
            </w:pPr>
            <w:r w:rsidRPr="00A34F10">
              <w:rPr>
                <w:sz w:val="20"/>
                <w:szCs w:val="20"/>
                <w:lang w:val="en-GB"/>
              </w:rPr>
              <w:t>0 n.s.</w:t>
            </w:r>
          </w:p>
        </w:tc>
        <w:tc>
          <w:tcPr>
            <w:tcW w:w="782" w:type="pct"/>
            <w:tcBorders>
              <w:top w:val="single" w:sz="4" w:space="0" w:color="auto"/>
              <w:left w:val="single" w:sz="4" w:space="0" w:color="auto"/>
              <w:bottom w:val="single" w:sz="4" w:space="0" w:color="auto"/>
              <w:right w:val="single" w:sz="4" w:space="0" w:color="auto"/>
            </w:tcBorders>
            <w:vAlign w:val="center"/>
            <w:hideMark/>
          </w:tcPr>
          <w:p w14:paraId="1E824411" w14:textId="77777777" w:rsidR="00DC5685" w:rsidRPr="00A34F10" w:rsidRDefault="00DC5685" w:rsidP="00DC5685">
            <w:pPr>
              <w:tabs>
                <w:tab w:val="left" w:pos="720"/>
              </w:tabs>
              <w:jc w:val="center"/>
              <w:rPr>
                <w:sz w:val="20"/>
                <w:szCs w:val="20"/>
                <w:lang w:val="en-GB"/>
              </w:rPr>
            </w:pPr>
            <w:r w:rsidRPr="00A34F10">
              <w:rPr>
                <w:sz w:val="20"/>
                <w:szCs w:val="20"/>
                <w:lang w:val="en-GB"/>
              </w:rPr>
              <w:t>0</w:t>
            </w:r>
          </w:p>
        </w:tc>
        <w:tc>
          <w:tcPr>
            <w:tcW w:w="1170" w:type="pct"/>
            <w:tcBorders>
              <w:top w:val="single" w:sz="4" w:space="0" w:color="auto"/>
              <w:left w:val="single" w:sz="4" w:space="0" w:color="auto"/>
              <w:bottom w:val="single" w:sz="4" w:space="0" w:color="auto"/>
              <w:right w:val="single" w:sz="4" w:space="0" w:color="auto"/>
            </w:tcBorders>
            <w:vAlign w:val="center"/>
          </w:tcPr>
          <w:p w14:paraId="0679F262" w14:textId="77777777" w:rsidR="00DC5685" w:rsidRPr="00A34F10" w:rsidRDefault="00DC5685" w:rsidP="00DC5685">
            <w:pPr>
              <w:tabs>
                <w:tab w:val="left" w:pos="720"/>
              </w:tabs>
              <w:jc w:val="center"/>
              <w:rPr>
                <w:sz w:val="20"/>
                <w:szCs w:val="20"/>
                <w:lang w:val="en-GB"/>
              </w:rPr>
            </w:pPr>
            <w:r w:rsidRPr="00A34F10">
              <w:rPr>
                <w:sz w:val="20"/>
                <w:szCs w:val="20"/>
                <w:lang w:val="en-GB"/>
              </w:rPr>
              <w:t>16.2 n.s.</w:t>
            </w:r>
          </w:p>
        </w:tc>
        <w:tc>
          <w:tcPr>
            <w:tcW w:w="919" w:type="pct"/>
            <w:tcBorders>
              <w:top w:val="single" w:sz="4" w:space="0" w:color="auto"/>
              <w:left w:val="single" w:sz="4" w:space="0" w:color="auto"/>
              <w:bottom w:val="single" w:sz="4" w:space="0" w:color="auto"/>
              <w:right w:val="single" w:sz="4" w:space="0" w:color="auto"/>
            </w:tcBorders>
            <w:vAlign w:val="center"/>
          </w:tcPr>
          <w:p w14:paraId="0F54418B" w14:textId="77777777" w:rsidR="00DC5685" w:rsidRPr="00A34F10" w:rsidRDefault="00DC5685" w:rsidP="00DC5685">
            <w:pPr>
              <w:tabs>
                <w:tab w:val="left" w:pos="720"/>
              </w:tabs>
              <w:jc w:val="center"/>
              <w:rPr>
                <w:sz w:val="20"/>
                <w:szCs w:val="20"/>
                <w:lang w:val="en-GB"/>
              </w:rPr>
            </w:pPr>
            <w:r w:rsidRPr="00A34F10">
              <w:rPr>
                <w:sz w:val="20"/>
                <w:szCs w:val="20"/>
                <w:lang w:val="en-GB"/>
              </w:rPr>
              <w:t>3.0</w:t>
            </w:r>
          </w:p>
        </w:tc>
      </w:tr>
      <w:tr w:rsidR="00DC5685" w:rsidRPr="00A34F10" w14:paraId="46763157" w14:textId="77777777" w:rsidTr="000470C3">
        <w:trPr>
          <w:trHeight w:hRule="exact" w:val="284"/>
        </w:trPr>
        <w:tc>
          <w:tcPr>
            <w:tcW w:w="914" w:type="pct"/>
            <w:vMerge/>
            <w:tcBorders>
              <w:top w:val="single" w:sz="4" w:space="0" w:color="auto"/>
              <w:left w:val="single" w:sz="4" w:space="0" w:color="auto"/>
              <w:bottom w:val="single" w:sz="4" w:space="0" w:color="auto"/>
              <w:right w:val="single" w:sz="4" w:space="0" w:color="auto"/>
            </w:tcBorders>
            <w:vAlign w:val="center"/>
            <w:hideMark/>
          </w:tcPr>
          <w:p w14:paraId="2B7D226B" w14:textId="77777777" w:rsidR="00DC5685" w:rsidRPr="00A34F10" w:rsidRDefault="00DC5685" w:rsidP="00DC5685">
            <w:pPr>
              <w:jc w:val="center"/>
              <w:rPr>
                <w:sz w:val="20"/>
                <w:szCs w:val="20"/>
                <w:lang w:val="en-GB"/>
              </w:rPr>
            </w:pPr>
          </w:p>
        </w:tc>
        <w:tc>
          <w:tcPr>
            <w:tcW w:w="560" w:type="pct"/>
            <w:tcBorders>
              <w:top w:val="single" w:sz="4" w:space="0" w:color="auto"/>
              <w:left w:val="single" w:sz="4" w:space="0" w:color="auto"/>
              <w:bottom w:val="single" w:sz="4" w:space="0" w:color="auto"/>
              <w:right w:val="single" w:sz="4" w:space="0" w:color="auto"/>
            </w:tcBorders>
            <w:vAlign w:val="center"/>
            <w:hideMark/>
          </w:tcPr>
          <w:p w14:paraId="7A9E1DC3" w14:textId="77777777" w:rsidR="00DC5685" w:rsidRPr="00A34F10" w:rsidRDefault="00DC5685" w:rsidP="00DC5685">
            <w:pPr>
              <w:tabs>
                <w:tab w:val="left" w:pos="720"/>
              </w:tabs>
              <w:jc w:val="center"/>
              <w:rPr>
                <w:sz w:val="20"/>
                <w:szCs w:val="20"/>
                <w:lang w:val="en-GB"/>
              </w:rPr>
            </w:pPr>
            <w:r w:rsidRPr="00A34F10">
              <w:rPr>
                <w:sz w:val="20"/>
                <w:szCs w:val="20"/>
              </w:rPr>
              <w:t>1.15</w:t>
            </w:r>
          </w:p>
        </w:tc>
        <w:tc>
          <w:tcPr>
            <w:tcW w:w="655" w:type="pct"/>
            <w:tcBorders>
              <w:top w:val="single" w:sz="4" w:space="0" w:color="auto"/>
              <w:left w:val="single" w:sz="4" w:space="0" w:color="auto"/>
              <w:bottom w:val="single" w:sz="4" w:space="0" w:color="auto"/>
              <w:right w:val="single" w:sz="4" w:space="0" w:color="auto"/>
            </w:tcBorders>
            <w:vAlign w:val="center"/>
            <w:hideMark/>
          </w:tcPr>
          <w:p w14:paraId="1EE8B934"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782" w:type="pct"/>
            <w:tcBorders>
              <w:top w:val="single" w:sz="4" w:space="0" w:color="auto"/>
              <w:left w:val="single" w:sz="4" w:space="0" w:color="auto"/>
              <w:bottom w:val="single" w:sz="4" w:space="0" w:color="auto"/>
              <w:right w:val="single" w:sz="4" w:space="0" w:color="auto"/>
            </w:tcBorders>
            <w:vAlign w:val="center"/>
            <w:hideMark/>
          </w:tcPr>
          <w:p w14:paraId="6115C100"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170" w:type="pct"/>
            <w:tcBorders>
              <w:top w:val="single" w:sz="4" w:space="0" w:color="auto"/>
              <w:left w:val="single" w:sz="4" w:space="0" w:color="auto"/>
              <w:bottom w:val="single" w:sz="4" w:space="0" w:color="auto"/>
              <w:right w:val="single" w:sz="4" w:space="0" w:color="auto"/>
            </w:tcBorders>
            <w:vAlign w:val="center"/>
          </w:tcPr>
          <w:p w14:paraId="1A9A1749" w14:textId="77777777" w:rsidR="00DC5685" w:rsidRPr="00A34F10" w:rsidRDefault="00DC5685" w:rsidP="00DC5685">
            <w:pPr>
              <w:tabs>
                <w:tab w:val="left" w:pos="720"/>
              </w:tabs>
              <w:jc w:val="center"/>
              <w:rPr>
                <w:sz w:val="20"/>
                <w:szCs w:val="20"/>
                <w:lang w:val="en-GB"/>
              </w:rPr>
            </w:pPr>
            <w:r w:rsidRPr="00A34F10">
              <w:rPr>
                <w:sz w:val="20"/>
                <w:szCs w:val="20"/>
                <w:lang w:val="en-GB"/>
              </w:rPr>
              <w:t>17.2 n.s.</w:t>
            </w:r>
          </w:p>
        </w:tc>
        <w:tc>
          <w:tcPr>
            <w:tcW w:w="919" w:type="pct"/>
            <w:tcBorders>
              <w:top w:val="single" w:sz="4" w:space="0" w:color="auto"/>
              <w:left w:val="single" w:sz="4" w:space="0" w:color="auto"/>
              <w:bottom w:val="single" w:sz="4" w:space="0" w:color="auto"/>
              <w:right w:val="single" w:sz="4" w:space="0" w:color="auto"/>
            </w:tcBorders>
            <w:vAlign w:val="center"/>
          </w:tcPr>
          <w:p w14:paraId="247C0FC8" w14:textId="77777777" w:rsidR="00DC5685" w:rsidRPr="00A34F10" w:rsidRDefault="00DC5685" w:rsidP="00DC5685">
            <w:pPr>
              <w:tabs>
                <w:tab w:val="left" w:pos="720"/>
              </w:tabs>
              <w:jc w:val="center"/>
              <w:rPr>
                <w:sz w:val="20"/>
                <w:szCs w:val="20"/>
                <w:lang w:val="en-GB"/>
              </w:rPr>
            </w:pPr>
            <w:r w:rsidRPr="00A34F10">
              <w:rPr>
                <w:sz w:val="20"/>
                <w:szCs w:val="20"/>
                <w:lang w:val="en-GB"/>
              </w:rPr>
              <w:t>-3.0</w:t>
            </w:r>
          </w:p>
        </w:tc>
      </w:tr>
      <w:tr w:rsidR="00DC5685" w:rsidRPr="00A34F10" w14:paraId="5B69ADB6" w14:textId="77777777" w:rsidTr="000470C3">
        <w:trPr>
          <w:trHeight w:hRule="exact" w:val="284"/>
        </w:trPr>
        <w:tc>
          <w:tcPr>
            <w:tcW w:w="914" w:type="pct"/>
            <w:vMerge/>
            <w:tcBorders>
              <w:top w:val="single" w:sz="4" w:space="0" w:color="auto"/>
              <w:left w:val="single" w:sz="4" w:space="0" w:color="auto"/>
              <w:bottom w:val="single" w:sz="4" w:space="0" w:color="auto"/>
              <w:right w:val="single" w:sz="4" w:space="0" w:color="auto"/>
            </w:tcBorders>
            <w:vAlign w:val="center"/>
            <w:hideMark/>
          </w:tcPr>
          <w:p w14:paraId="3F4FAD99" w14:textId="77777777" w:rsidR="00DC5685" w:rsidRPr="00A34F10" w:rsidRDefault="00DC5685" w:rsidP="00DC5685">
            <w:pPr>
              <w:jc w:val="center"/>
              <w:rPr>
                <w:sz w:val="20"/>
                <w:szCs w:val="20"/>
                <w:lang w:val="en-GB"/>
              </w:rPr>
            </w:pPr>
          </w:p>
        </w:tc>
        <w:tc>
          <w:tcPr>
            <w:tcW w:w="560" w:type="pct"/>
            <w:tcBorders>
              <w:top w:val="single" w:sz="4" w:space="0" w:color="auto"/>
              <w:left w:val="single" w:sz="4" w:space="0" w:color="auto"/>
              <w:bottom w:val="single" w:sz="4" w:space="0" w:color="auto"/>
              <w:right w:val="single" w:sz="4" w:space="0" w:color="auto"/>
            </w:tcBorders>
            <w:vAlign w:val="center"/>
            <w:hideMark/>
          </w:tcPr>
          <w:p w14:paraId="6EC39BFF" w14:textId="77777777" w:rsidR="00DC5685" w:rsidRPr="00A34F10" w:rsidRDefault="00DC5685" w:rsidP="00DC5685">
            <w:pPr>
              <w:tabs>
                <w:tab w:val="left" w:pos="720"/>
              </w:tabs>
              <w:jc w:val="center"/>
              <w:rPr>
                <w:sz w:val="20"/>
                <w:szCs w:val="20"/>
                <w:lang w:val="en-GB"/>
              </w:rPr>
            </w:pPr>
            <w:r w:rsidRPr="00A34F10">
              <w:rPr>
                <w:sz w:val="20"/>
                <w:szCs w:val="20"/>
              </w:rPr>
              <w:t>2.3</w:t>
            </w:r>
          </w:p>
        </w:tc>
        <w:tc>
          <w:tcPr>
            <w:tcW w:w="655" w:type="pct"/>
            <w:tcBorders>
              <w:top w:val="single" w:sz="4" w:space="0" w:color="auto"/>
              <w:left w:val="single" w:sz="4" w:space="0" w:color="auto"/>
              <w:bottom w:val="single" w:sz="4" w:space="0" w:color="auto"/>
              <w:right w:val="single" w:sz="4" w:space="0" w:color="auto"/>
            </w:tcBorders>
            <w:vAlign w:val="center"/>
            <w:hideMark/>
          </w:tcPr>
          <w:p w14:paraId="61448889"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782" w:type="pct"/>
            <w:tcBorders>
              <w:top w:val="single" w:sz="4" w:space="0" w:color="auto"/>
              <w:left w:val="single" w:sz="4" w:space="0" w:color="auto"/>
              <w:bottom w:val="single" w:sz="4" w:space="0" w:color="auto"/>
              <w:right w:val="single" w:sz="4" w:space="0" w:color="auto"/>
            </w:tcBorders>
            <w:vAlign w:val="center"/>
            <w:hideMark/>
          </w:tcPr>
          <w:p w14:paraId="1D36D633"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170" w:type="pct"/>
            <w:tcBorders>
              <w:top w:val="single" w:sz="4" w:space="0" w:color="auto"/>
              <w:left w:val="single" w:sz="4" w:space="0" w:color="auto"/>
              <w:bottom w:val="single" w:sz="4" w:space="0" w:color="auto"/>
              <w:right w:val="single" w:sz="4" w:space="0" w:color="auto"/>
            </w:tcBorders>
            <w:vAlign w:val="center"/>
          </w:tcPr>
          <w:p w14:paraId="5BC4219E" w14:textId="77777777" w:rsidR="00DC5685" w:rsidRPr="00A34F10" w:rsidRDefault="00DC5685" w:rsidP="00DC5685">
            <w:pPr>
              <w:tabs>
                <w:tab w:val="left" w:pos="720"/>
              </w:tabs>
              <w:jc w:val="center"/>
              <w:rPr>
                <w:sz w:val="20"/>
                <w:szCs w:val="20"/>
                <w:lang w:val="en-GB"/>
              </w:rPr>
            </w:pPr>
            <w:r w:rsidRPr="00A34F10">
              <w:rPr>
                <w:sz w:val="20"/>
                <w:szCs w:val="20"/>
                <w:lang w:val="en-GB"/>
              </w:rPr>
              <w:t>15.5 n.s.</w:t>
            </w:r>
          </w:p>
        </w:tc>
        <w:tc>
          <w:tcPr>
            <w:tcW w:w="919" w:type="pct"/>
            <w:tcBorders>
              <w:top w:val="single" w:sz="4" w:space="0" w:color="auto"/>
              <w:left w:val="single" w:sz="4" w:space="0" w:color="auto"/>
              <w:bottom w:val="single" w:sz="4" w:space="0" w:color="auto"/>
              <w:right w:val="single" w:sz="4" w:space="0" w:color="auto"/>
            </w:tcBorders>
            <w:vAlign w:val="center"/>
          </w:tcPr>
          <w:p w14:paraId="0E4A81FE" w14:textId="77777777" w:rsidR="00DC5685" w:rsidRPr="00A34F10" w:rsidRDefault="00DC5685" w:rsidP="00DC5685">
            <w:pPr>
              <w:tabs>
                <w:tab w:val="left" w:pos="720"/>
              </w:tabs>
              <w:jc w:val="center"/>
              <w:rPr>
                <w:sz w:val="20"/>
                <w:szCs w:val="20"/>
                <w:lang w:val="en-GB"/>
              </w:rPr>
            </w:pPr>
            <w:r w:rsidRPr="00A34F10">
              <w:rPr>
                <w:sz w:val="20"/>
                <w:szCs w:val="20"/>
                <w:lang w:val="en-GB"/>
              </w:rPr>
              <w:t>7.2</w:t>
            </w:r>
          </w:p>
        </w:tc>
      </w:tr>
      <w:tr w:rsidR="00DC5685" w:rsidRPr="00A34F10" w14:paraId="45099FC9" w14:textId="77777777" w:rsidTr="000470C3">
        <w:trPr>
          <w:trHeight w:hRule="exact" w:val="284"/>
        </w:trPr>
        <w:tc>
          <w:tcPr>
            <w:tcW w:w="914" w:type="pct"/>
            <w:vMerge/>
            <w:tcBorders>
              <w:top w:val="single" w:sz="4" w:space="0" w:color="auto"/>
              <w:left w:val="single" w:sz="4" w:space="0" w:color="auto"/>
              <w:bottom w:val="single" w:sz="4" w:space="0" w:color="auto"/>
              <w:right w:val="single" w:sz="4" w:space="0" w:color="auto"/>
            </w:tcBorders>
            <w:vAlign w:val="center"/>
            <w:hideMark/>
          </w:tcPr>
          <w:p w14:paraId="003A010D" w14:textId="77777777" w:rsidR="00DC5685" w:rsidRPr="00A34F10" w:rsidRDefault="00DC5685" w:rsidP="00DC5685">
            <w:pPr>
              <w:jc w:val="center"/>
              <w:rPr>
                <w:sz w:val="20"/>
                <w:szCs w:val="20"/>
                <w:lang w:val="en-GB"/>
              </w:rPr>
            </w:pPr>
          </w:p>
        </w:tc>
        <w:tc>
          <w:tcPr>
            <w:tcW w:w="560" w:type="pct"/>
            <w:tcBorders>
              <w:top w:val="single" w:sz="4" w:space="0" w:color="auto"/>
              <w:left w:val="single" w:sz="4" w:space="0" w:color="auto"/>
              <w:bottom w:val="single" w:sz="4" w:space="0" w:color="auto"/>
              <w:right w:val="single" w:sz="4" w:space="0" w:color="auto"/>
            </w:tcBorders>
            <w:vAlign w:val="center"/>
            <w:hideMark/>
          </w:tcPr>
          <w:p w14:paraId="4C4712B5" w14:textId="77777777" w:rsidR="00DC5685" w:rsidRPr="00A34F10" w:rsidRDefault="00DC5685" w:rsidP="00DC5685">
            <w:pPr>
              <w:tabs>
                <w:tab w:val="left" w:pos="720"/>
              </w:tabs>
              <w:jc w:val="center"/>
              <w:rPr>
                <w:sz w:val="20"/>
                <w:szCs w:val="20"/>
                <w:lang w:val="en-GB"/>
              </w:rPr>
            </w:pPr>
            <w:r w:rsidRPr="00A34F10">
              <w:rPr>
                <w:sz w:val="20"/>
                <w:szCs w:val="20"/>
              </w:rPr>
              <w:t>4.6</w:t>
            </w:r>
          </w:p>
        </w:tc>
        <w:tc>
          <w:tcPr>
            <w:tcW w:w="655" w:type="pct"/>
            <w:tcBorders>
              <w:top w:val="single" w:sz="4" w:space="0" w:color="auto"/>
              <w:left w:val="single" w:sz="4" w:space="0" w:color="auto"/>
              <w:bottom w:val="single" w:sz="4" w:space="0" w:color="auto"/>
              <w:right w:val="single" w:sz="4" w:space="0" w:color="auto"/>
            </w:tcBorders>
            <w:vAlign w:val="center"/>
            <w:hideMark/>
          </w:tcPr>
          <w:p w14:paraId="5DA5926E" w14:textId="77777777" w:rsidR="00DC5685" w:rsidRPr="00A34F10" w:rsidRDefault="00DC5685" w:rsidP="00DC5685">
            <w:pPr>
              <w:tabs>
                <w:tab w:val="left" w:pos="720"/>
              </w:tabs>
              <w:jc w:val="center"/>
              <w:rPr>
                <w:sz w:val="20"/>
                <w:szCs w:val="20"/>
                <w:lang w:val="en-GB"/>
              </w:rPr>
            </w:pPr>
            <w:r w:rsidRPr="00A34F10">
              <w:rPr>
                <w:sz w:val="20"/>
                <w:szCs w:val="20"/>
                <w:lang w:val="en-GB"/>
              </w:rPr>
              <w:t>2.5 n.s.</w:t>
            </w:r>
          </w:p>
        </w:tc>
        <w:tc>
          <w:tcPr>
            <w:tcW w:w="782" w:type="pct"/>
            <w:tcBorders>
              <w:top w:val="single" w:sz="4" w:space="0" w:color="auto"/>
              <w:left w:val="single" w:sz="4" w:space="0" w:color="auto"/>
              <w:bottom w:val="single" w:sz="4" w:space="0" w:color="auto"/>
              <w:right w:val="single" w:sz="4" w:space="0" w:color="auto"/>
            </w:tcBorders>
            <w:vAlign w:val="center"/>
            <w:hideMark/>
          </w:tcPr>
          <w:p w14:paraId="33EF64AC" w14:textId="77777777" w:rsidR="00DC5685" w:rsidRPr="00A34F10" w:rsidRDefault="00DC5685" w:rsidP="00DC5685">
            <w:pPr>
              <w:tabs>
                <w:tab w:val="left" w:pos="720"/>
              </w:tabs>
              <w:jc w:val="center"/>
              <w:rPr>
                <w:sz w:val="20"/>
                <w:szCs w:val="20"/>
                <w:lang w:val="en-GB"/>
              </w:rPr>
            </w:pPr>
            <w:r w:rsidRPr="00A34F10">
              <w:rPr>
                <w:sz w:val="20"/>
                <w:szCs w:val="20"/>
                <w:lang w:val="en-GB"/>
              </w:rPr>
              <w:t>2.5</w:t>
            </w:r>
          </w:p>
        </w:tc>
        <w:tc>
          <w:tcPr>
            <w:tcW w:w="1170" w:type="pct"/>
            <w:tcBorders>
              <w:top w:val="single" w:sz="4" w:space="0" w:color="auto"/>
              <w:left w:val="single" w:sz="4" w:space="0" w:color="auto"/>
              <w:bottom w:val="single" w:sz="4" w:space="0" w:color="auto"/>
              <w:right w:val="single" w:sz="4" w:space="0" w:color="auto"/>
            </w:tcBorders>
            <w:vAlign w:val="center"/>
          </w:tcPr>
          <w:p w14:paraId="01F5E4BE" w14:textId="77777777" w:rsidR="00DC5685" w:rsidRPr="00A34F10" w:rsidRDefault="00DC5685" w:rsidP="00DC5685">
            <w:pPr>
              <w:tabs>
                <w:tab w:val="left" w:pos="720"/>
              </w:tabs>
              <w:jc w:val="center"/>
              <w:rPr>
                <w:sz w:val="20"/>
                <w:szCs w:val="20"/>
                <w:lang w:val="en-GB"/>
              </w:rPr>
            </w:pPr>
            <w:r w:rsidRPr="00A34F10">
              <w:rPr>
                <w:sz w:val="20"/>
                <w:szCs w:val="20"/>
                <w:lang w:val="en-GB"/>
              </w:rPr>
              <w:t>17.1 n.s.</w:t>
            </w:r>
          </w:p>
        </w:tc>
        <w:tc>
          <w:tcPr>
            <w:tcW w:w="919" w:type="pct"/>
            <w:tcBorders>
              <w:top w:val="single" w:sz="4" w:space="0" w:color="auto"/>
              <w:left w:val="single" w:sz="4" w:space="0" w:color="auto"/>
              <w:bottom w:val="single" w:sz="4" w:space="0" w:color="auto"/>
              <w:right w:val="single" w:sz="4" w:space="0" w:color="auto"/>
            </w:tcBorders>
            <w:vAlign w:val="center"/>
          </w:tcPr>
          <w:p w14:paraId="515500B9" w14:textId="77777777" w:rsidR="00DC5685" w:rsidRPr="00A34F10" w:rsidRDefault="00DC5685" w:rsidP="00DC5685">
            <w:pPr>
              <w:tabs>
                <w:tab w:val="left" w:pos="720"/>
              </w:tabs>
              <w:jc w:val="center"/>
              <w:rPr>
                <w:sz w:val="20"/>
                <w:szCs w:val="20"/>
                <w:lang w:val="en-GB"/>
              </w:rPr>
            </w:pPr>
            <w:r w:rsidRPr="00A34F10">
              <w:rPr>
                <w:sz w:val="20"/>
                <w:szCs w:val="20"/>
                <w:lang w:val="en-GB"/>
              </w:rPr>
              <w:t>2.4</w:t>
            </w:r>
          </w:p>
        </w:tc>
      </w:tr>
      <w:tr w:rsidR="00DC5685" w:rsidRPr="00A34F10" w14:paraId="31CB57FF" w14:textId="77777777" w:rsidTr="000470C3">
        <w:trPr>
          <w:trHeight w:hRule="exact" w:val="566"/>
        </w:trPr>
        <w:tc>
          <w:tcPr>
            <w:tcW w:w="914" w:type="pct"/>
            <w:tcBorders>
              <w:top w:val="single" w:sz="4" w:space="0" w:color="auto"/>
              <w:left w:val="single" w:sz="4" w:space="0" w:color="auto"/>
              <w:bottom w:val="single" w:sz="4" w:space="0" w:color="auto"/>
              <w:right w:val="single" w:sz="4" w:space="0" w:color="auto"/>
            </w:tcBorders>
            <w:vAlign w:val="center"/>
          </w:tcPr>
          <w:p w14:paraId="1D43C60D" w14:textId="77777777" w:rsidR="00DC5685" w:rsidRPr="00A34F10" w:rsidRDefault="00DC5685" w:rsidP="00DC5685">
            <w:pPr>
              <w:jc w:val="center"/>
              <w:rPr>
                <w:sz w:val="20"/>
                <w:szCs w:val="20"/>
                <w:lang w:val="en-GB"/>
              </w:rPr>
            </w:pPr>
            <w:r w:rsidRPr="00A34F10">
              <w:rPr>
                <w:sz w:val="20"/>
                <w:szCs w:val="20"/>
                <w:lang w:val="en-GB"/>
              </w:rPr>
              <w:t>Danadim Progress</w:t>
            </w:r>
          </w:p>
          <w:p w14:paraId="4C11A701" w14:textId="77777777" w:rsidR="00DC5685" w:rsidRPr="00A34F10" w:rsidRDefault="00DC5685" w:rsidP="00DC5685">
            <w:pPr>
              <w:jc w:val="center"/>
              <w:rPr>
                <w:sz w:val="20"/>
                <w:szCs w:val="20"/>
                <w:lang w:val="en-GB"/>
              </w:rPr>
            </w:pPr>
            <w:r w:rsidRPr="00A34F10">
              <w:rPr>
                <w:sz w:val="20"/>
                <w:szCs w:val="20"/>
                <w:lang w:val="en-GB"/>
              </w:rPr>
              <w:t>[</w:t>
            </w:r>
            <w:r w:rsidRPr="00A34F10">
              <w:rPr>
                <w:sz w:val="20"/>
                <w:szCs w:val="20"/>
              </w:rPr>
              <w:t>mL product/ha</w:t>
            </w:r>
            <w:r w:rsidRPr="00A34F10">
              <w:rPr>
                <w:color w:val="71777D"/>
                <w:sz w:val="20"/>
                <w:szCs w:val="20"/>
                <w:shd w:val="clear" w:color="auto" w:fill="FFFFFF"/>
              </w:rPr>
              <w:t>]</w:t>
            </w:r>
          </w:p>
        </w:tc>
        <w:tc>
          <w:tcPr>
            <w:tcW w:w="560" w:type="pct"/>
            <w:tcBorders>
              <w:top w:val="single" w:sz="4" w:space="0" w:color="auto"/>
              <w:left w:val="single" w:sz="4" w:space="0" w:color="auto"/>
              <w:bottom w:val="single" w:sz="4" w:space="0" w:color="auto"/>
              <w:right w:val="single" w:sz="4" w:space="0" w:color="auto"/>
            </w:tcBorders>
            <w:vAlign w:val="center"/>
          </w:tcPr>
          <w:p w14:paraId="5C40B9BD" w14:textId="77777777" w:rsidR="00DC5685" w:rsidRPr="00A34F10" w:rsidRDefault="00DC5685" w:rsidP="00DC5685">
            <w:pPr>
              <w:tabs>
                <w:tab w:val="left" w:pos="720"/>
              </w:tabs>
              <w:jc w:val="center"/>
              <w:rPr>
                <w:sz w:val="20"/>
                <w:szCs w:val="20"/>
              </w:rPr>
            </w:pPr>
            <w:r w:rsidRPr="00A34F10">
              <w:rPr>
                <w:sz w:val="20"/>
                <w:szCs w:val="20"/>
              </w:rPr>
              <w:t>0.3</w:t>
            </w:r>
          </w:p>
        </w:tc>
        <w:tc>
          <w:tcPr>
            <w:tcW w:w="655" w:type="pct"/>
            <w:tcBorders>
              <w:top w:val="single" w:sz="4" w:space="0" w:color="auto"/>
              <w:left w:val="single" w:sz="4" w:space="0" w:color="auto"/>
              <w:bottom w:val="single" w:sz="4" w:space="0" w:color="auto"/>
              <w:right w:val="single" w:sz="4" w:space="0" w:color="auto"/>
            </w:tcBorders>
            <w:vAlign w:val="center"/>
          </w:tcPr>
          <w:p w14:paraId="3A226279" w14:textId="77777777" w:rsidR="00DC5685" w:rsidRPr="00A34F10" w:rsidRDefault="00DC5685" w:rsidP="00DC5685">
            <w:pPr>
              <w:tabs>
                <w:tab w:val="left" w:pos="720"/>
              </w:tabs>
              <w:jc w:val="center"/>
              <w:rPr>
                <w:sz w:val="20"/>
                <w:szCs w:val="20"/>
              </w:rPr>
            </w:pPr>
            <w:r w:rsidRPr="00A34F10">
              <w:rPr>
                <w:sz w:val="20"/>
                <w:szCs w:val="20"/>
              </w:rPr>
              <w:t>100*</w:t>
            </w:r>
          </w:p>
        </w:tc>
        <w:tc>
          <w:tcPr>
            <w:tcW w:w="782" w:type="pct"/>
            <w:tcBorders>
              <w:top w:val="single" w:sz="4" w:space="0" w:color="auto"/>
              <w:left w:val="single" w:sz="4" w:space="0" w:color="auto"/>
              <w:bottom w:val="single" w:sz="4" w:space="0" w:color="auto"/>
              <w:right w:val="single" w:sz="4" w:space="0" w:color="auto"/>
            </w:tcBorders>
            <w:vAlign w:val="center"/>
          </w:tcPr>
          <w:p w14:paraId="54289B7D" w14:textId="77777777" w:rsidR="00DC5685" w:rsidRPr="00A34F10" w:rsidRDefault="00DC5685" w:rsidP="00DC5685">
            <w:pPr>
              <w:tabs>
                <w:tab w:val="left" w:pos="720"/>
              </w:tabs>
              <w:jc w:val="center"/>
              <w:rPr>
                <w:sz w:val="20"/>
                <w:szCs w:val="20"/>
              </w:rPr>
            </w:pPr>
            <w:r w:rsidRPr="00A34F10">
              <w:rPr>
                <w:sz w:val="20"/>
                <w:szCs w:val="20"/>
              </w:rPr>
              <w:t>100</w:t>
            </w:r>
          </w:p>
        </w:tc>
        <w:tc>
          <w:tcPr>
            <w:tcW w:w="1170" w:type="pct"/>
            <w:tcBorders>
              <w:top w:val="single" w:sz="4" w:space="0" w:color="auto"/>
              <w:left w:val="single" w:sz="4" w:space="0" w:color="auto"/>
              <w:bottom w:val="single" w:sz="4" w:space="0" w:color="auto"/>
              <w:right w:val="single" w:sz="4" w:space="0" w:color="auto"/>
            </w:tcBorders>
            <w:vAlign w:val="center"/>
          </w:tcPr>
          <w:p w14:paraId="34E1FAF4" w14:textId="77777777" w:rsidR="00DC5685" w:rsidRPr="00A34F10" w:rsidRDefault="00DC5685" w:rsidP="00DC5685">
            <w:pPr>
              <w:tabs>
                <w:tab w:val="left" w:pos="720"/>
              </w:tabs>
              <w:jc w:val="center"/>
              <w:rPr>
                <w:sz w:val="20"/>
                <w:szCs w:val="20"/>
              </w:rPr>
            </w:pPr>
            <w:r w:rsidRPr="00A34F10">
              <w:rPr>
                <w:sz w:val="20"/>
                <w:szCs w:val="20"/>
              </w:rPr>
              <w:t>n.d.</w:t>
            </w:r>
          </w:p>
        </w:tc>
        <w:tc>
          <w:tcPr>
            <w:tcW w:w="919" w:type="pct"/>
            <w:tcBorders>
              <w:top w:val="single" w:sz="4" w:space="0" w:color="auto"/>
              <w:left w:val="single" w:sz="4" w:space="0" w:color="auto"/>
              <w:bottom w:val="single" w:sz="4" w:space="0" w:color="auto"/>
              <w:right w:val="single" w:sz="4" w:space="0" w:color="auto"/>
            </w:tcBorders>
            <w:vAlign w:val="center"/>
          </w:tcPr>
          <w:p w14:paraId="5C6535BC" w14:textId="77777777" w:rsidR="00DC5685" w:rsidRPr="00A34F10" w:rsidRDefault="00DC5685" w:rsidP="00DC5685">
            <w:pPr>
              <w:tabs>
                <w:tab w:val="left" w:pos="720"/>
              </w:tabs>
              <w:jc w:val="center"/>
              <w:rPr>
                <w:sz w:val="20"/>
                <w:szCs w:val="20"/>
              </w:rPr>
            </w:pPr>
            <w:r w:rsidRPr="00A34F10">
              <w:rPr>
                <w:sz w:val="20"/>
                <w:szCs w:val="20"/>
              </w:rPr>
              <w:t>-</w:t>
            </w:r>
          </w:p>
        </w:tc>
      </w:tr>
      <w:tr w:rsidR="00DC5685" w:rsidRPr="00A34F10" w14:paraId="2FF44FC1" w14:textId="77777777" w:rsidTr="000470C3">
        <w:trPr>
          <w:trHeight w:hRule="exact" w:val="262"/>
        </w:trPr>
        <w:tc>
          <w:tcPr>
            <w:tcW w:w="5000" w:type="pct"/>
            <w:gridSpan w:val="6"/>
            <w:tcBorders>
              <w:top w:val="single" w:sz="4" w:space="0" w:color="auto"/>
              <w:left w:val="single" w:sz="4" w:space="0" w:color="auto"/>
              <w:bottom w:val="single" w:sz="4" w:space="0" w:color="auto"/>
              <w:right w:val="single" w:sz="4" w:space="0" w:color="auto"/>
            </w:tcBorders>
            <w:vAlign w:val="center"/>
          </w:tcPr>
          <w:p w14:paraId="60FB9E49" w14:textId="77777777" w:rsidR="00DC5685" w:rsidRPr="00A34F10" w:rsidRDefault="00DC5685" w:rsidP="00DC5685">
            <w:pPr>
              <w:tabs>
                <w:tab w:val="left" w:pos="720"/>
              </w:tabs>
              <w:jc w:val="center"/>
              <w:rPr>
                <w:sz w:val="20"/>
                <w:szCs w:val="20"/>
                <w:lang w:val="en-GB"/>
              </w:rPr>
            </w:pPr>
            <w:r w:rsidRPr="00A34F10">
              <w:rPr>
                <w:b/>
                <w:bCs/>
                <w:sz w:val="20"/>
                <w:szCs w:val="20"/>
                <w:lang w:val="en-GB"/>
              </w:rPr>
              <w:t xml:space="preserve">Endpoint </w:t>
            </w:r>
            <w:r w:rsidRPr="00A34F10">
              <w:rPr>
                <w:sz w:val="20"/>
                <w:szCs w:val="20"/>
                <w:lang w:val="es-ES"/>
              </w:rPr>
              <w:t>[</w:t>
            </w:r>
            <w:r w:rsidRPr="00A34F10">
              <w:rPr>
                <w:b/>
                <w:bCs/>
                <w:sz w:val="20"/>
                <w:szCs w:val="20"/>
                <w:lang w:val="en-GB"/>
              </w:rPr>
              <w:t>L product/ha</w:t>
            </w:r>
            <w:r w:rsidRPr="00A34F10">
              <w:rPr>
                <w:color w:val="71777D"/>
                <w:sz w:val="20"/>
                <w:szCs w:val="20"/>
                <w:shd w:val="clear" w:color="auto" w:fill="FFFFFF"/>
              </w:rPr>
              <w:t>]</w:t>
            </w:r>
          </w:p>
        </w:tc>
      </w:tr>
      <w:tr w:rsidR="00DC5685" w:rsidRPr="00A34F10" w14:paraId="1D75525C" w14:textId="77777777" w:rsidTr="000470C3">
        <w:trPr>
          <w:trHeight w:hRule="exact" w:val="288"/>
        </w:trPr>
        <w:tc>
          <w:tcPr>
            <w:tcW w:w="914" w:type="pct"/>
            <w:tcBorders>
              <w:top w:val="single" w:sz="4" w:space="0" w:color="auto"/>
              <w:left w:val="single" w:sz="4" w:space="0" w:color="auto"/>
              <w:bottom w:val="single" w:sz="4" w:space="0" w:color="auto"/>
              <w:right w:val="single" w:sz="4" w:space="0" w:color="auto"/>
            </w:tcBorders>
            <w:vAlign w:val="center"/>
          </w:tcPr>
          <w:p w14:paraId="4AA474E8" w14:textId="77777777" w:rsidR="00DC5685" w:rsidRPr="00A34F10" w:rsidRDefault="00DC5685" w:rsidP="00DC5685">
            <w:pPr>
              <w:tabs>
                <w:tab w:val="left" w:pos="720"/>
              </w:tabs>
              <w:jc w:val="center"/>
              <w:rPr>
                <w:sz w:val="20"/>
                <w:szCs w:val="20"/>
                <w:lang w:val="en-GB"/>
              </w:rPr>
            </w:pPr>
            <w:r w:rsidRPr="00A34F10">
              <w:rPr>
                <w:sz w:val="20"/>
                <w:szCs w:val="20"/>
                <w:lang w:val="en-GB"/>
              </w:rPr>
              <w:t>LR</w:t>
            </w:r>
            <w:r w:rsidRPr="00A34F10">
              <w:rPr>
                <w:sz w:val="20"/>
                <w:szCs w:val="20"/>
                <w:vertAlign w:val="subscript"/>
                <w:lang w:val="en-GB"/>
              </w:rPr>
              <w:t>50</w:t>
            </w:r>
          </w:p>
        </w:tc>
        <w:tc>
          <w:tcPr>
            <w:tcW w:w="4086" w:type="pct"/>
            <w:gridSpan w:val="5"/>
            <w:tcBorders>
              <w:top w:val="single" w:sz="4" w:space="0" w:color="auto"/>
              <w:left w:val="single" w:sz="4" w:space="0" w:color="auto"/>
              <w:bottom w:val="single" w:sz="4" w:space="0" w:color="auto"/>
              <w:right w:val="single" w:sz="4" w:space="0" w:color="auto"/>
            </w:tcBorders>
            <w:vAlign w:val="center"/>
          </w:tcPr>
          <w:p w14:paraId="2225C14C" w14:textId="77777777" w:rsidR="00DC5685" w:rsidRPr="00A34F10" w:rsidRDefault="00DC5685" w:rsidP="00DC5685">
            <w:pPr>
              <w:tabs>
                <w:tab w:val="left" w:pos="720"/>
              </w:tabs>
              <w:jc w:val="center"/>
              <w:rPr>
                <w:sz w:val="20"/>
                <w:szCs w:val="20"/>
                <w:lang w:val="en-GB"/>
              </w:rPr>
            </w:pPr>
            <w:r w:rsidRPr="00A34F10">
              <w:rPr>
                <w:sz w:val="20"/>
                <w:szCs w:val="20"/>
                <w:lang w:val="en-GB"/>
              </w:rPr>
              <w:t>&gt;4.6</w:t>
            </w:r>
          </w:p>
        </w:tc>
      </w:tr>
      <w:tr w:rsidR="00DC5685" w:rsidRPr="00A34F10" w14:paraId="24B901F3" w14:textId="77777777" w:rsidTr="000470C3">
        <w:trPr>
          <w:trHeight w:hRule="exact" w:val="288"/>
        </w:trPr>
        <w:tc>
          <w:tcPr>
            <w:tcW w:w="914" w:type="pct"/>
            <w:tcBorders>
              <w:top w:val="single" w:sz="4" w:space="0" w:color="auto"/>
              <w:left w:val="single" w:sz="4" w:space="0" w:color="auto"/>
              <w:bottom w:val="single" w:sz="4" w:space="0" w:color="auto"/>
              <w:right w:val="single" w:sz="4" w:space="0" w:color="auto"/>
            </w:tcBorders>
            <w:vAlign w:val="center"/>
          </w:tcPr>
          <w:p w14:paraId="38E54D6B"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086" w:type="pct"/>
            <w:gridSpan w:val="5"/>
            <w:tcBorders>
              <w:top w:val="single" w:sz="4" w:space="0" w:color="auto"/>
              <w:left w:val="single" w:sz="4" w:space="0" w:color="auto"/>
              <w:bottom w:val="single" w:sz="4" w:space="0" w:color="auto"/>
              <w:right w:val="single" w:sz="4" w:space="0" w:color="auto"/>
            </w:tcBorders>
            <w:vAlign w:val="center"/>
          </w:tcPr>
          <w:p w14:paraId="4FD7CBF9" w14:textId="77777777" w:rsidR="00DC5685" w:rsidRPr="00A34F10" w:rsidRDefault="00DC5685" w:rsidP="00DC5685">
            <w:pPr>
              <w:tabs>
                <w:tab w:val="left" w:pos="720"/>
              </w:tabs>
              <w:jc w:val="center"/>
              <w:rPr>
                <w:sz w:val="20"/>
                <w:szCs w:val="20"/>
                <w:lang w:val="en-GB"/>
              </w:rPr>
            </w:pPr>
            <w:r w:rsidRPr="00A34F10">
              <w:rPr>
                <w:sz w:val="20"/>
                <w:szCs w:val="20"/>
                <w:lang w:val="en-GB"/>
              </w:rPr>
              <w:t>4.6</w:t>
            </w:r>
          </w:p>
        </w:tc>
      </w:tr>
      <w:tr w:rsidR="00DC5685" w:rsidRPr="00A34F10" w14:paraId="1AC43CCC" w14:textId="77777777" w:rsidTr="000470C3">
        <w:trPr>
          <w:trHeight w:hRule="exact" w:val="288"/>
        </w:trPr>
        <w:tc>
          <w:tcPr>
            <w:tcW w:w="914" w:type="pct"/>
            <w:tcBorders>
              <w:top w:val="single" w:sz="4" w:space="0" w:color="auto"/>
              <w:left w:val="single" w:sz="4" w:space="0" w:color="auto"/>
              <w:bottom w:val="single" w:sz="4" w:space="0" w:color="auto"/>
              <w:right w:val="single" w:sz="4" w:space="0" w:color="auto"/>
            </w:tcBorders>
            <w:vAlign w:val="center"/>
          </w:tcPr>
          <w:p w14:paraId="688C8FBB" w14:textId="77777777" w:rsidR="00DC5685" w:rsidRPr="00A34F10" w:rsidRDefault="00DC5685" w:rsidP="00DC5685">
            <w:pPr>
              <w:tabs>
                <w:tab w:val="left" w:pos="720"/>
              </w:tabs>
              <w:jc w:val="center"/>
              <w:rPr>
                <w:sz w:val="20"/>
                <w:szCs w:val="20"/>
                <w:lang w:val="en-GB"/>
              </w:rPr>
            </w:pPr>
            <w:r w:rsidRPr="00A34F10">
              <w:rPr>
                <w:sz w:val="20"/>
                <w:szCs w:val="20"/>
                <w:lang w:val="en-GB"/>
              </w:rPr>
              <w:t>ER</w:t>
            </w:r>
            <w:r w:rsidRPr="00A34F10">
              <w:rPr>
                <w:sz w:val="20"/>
                <w:szCs w:val="20"/>
                <w:vertAlign w:val="subscript"/>
                <w:lang w:val="en-GB"/>
              </w:rPr>
              <w:t>50</w:t>
            </w:r>
          </w:p>
        </w:tc>
        <w:tc>
          <w:tcPr>
            <w:tcW w:w="4086" w:type="pct"/>
            <w:gridSpan w:val="5"/>
            <w:tcBorders>
              <w:top w:val="single" w:sz="4" w:space="0" w:color="auto"/>
              <w:left w:val="single" w:sz="4" w:space="0" w:color="auto"/>
              <w:bottom w:val="single" w:sz="4" w:space="0" w:color="auto"/>
              <w:right w:val="single" w:sz="4" w:space="0" w:color="auto"/>
            </w:tcBorders>
            <w:vAlign w:val="center"/>
          </w:tcPr>
          <w:p w14:paraId="7372EB92" w14:textId="77777777" w:rsidR="00DC5685" w:rsidRPr="00A34F10" w:rsidRDefault="00DC5685" w:rsidP="00DC5685">
            <w:pPr>
              <w:tabs>
                <w:tab w:val="left" w:pos="720"/>
              </w:tabs>
              <w:jc w:val="center"/>
              <w:rPr>
                <w:sz w:val="20"/>
                <w:szCs w:val="20"/>
                <w:lang w:val="en-GB"/>
              </w:rPr>
            </w:pPr>
            <w:r w:rsidRPr="00A34F10">
              <w:rPr>
                <w:sz w:val="20"/>
                <w:szCs w:val="20"/>
                <w:lang w:val="en-GB"/>
              </w:rPr>
              <w:t>&gt;4.6</w:t>
            </w:r>
          </w:p>
        </w:tc>
      </w:tr>
      <w:tr w:rsidR="00DC5685" w:rsidRPr="00A34F10" w14:paraId="5FDCED5F" w14:textId="77777777" w:rsidTr="000470C3">
        <w:trPr>
          <w:trHeight w:hRule="exact" w:val="288"/>
        </w:trPr>
        <w:tc>
          <w:tcPr>
            <w:tcW w:w="914" w:type="pct"/>
            <w:tcBorders>
              <w:top w:val="single" w:sz="4" w:space="0" w:color="auto"/>
              <w:left w:val="single" w:sz="4" w:space="0" w:color="auto"/>
              <w:bottom w:val="single" w:sz="4" w:space="0" w:color="auto"/>
              <w:right w:val="single" w:sz="4" w:space="0" w:color="auto"/>
            </w:tcBorders>
            <w:vAlign w:val="center"/>
          </w:tcPr>
          <w:p w14:paraId="755D2237" w14:textId="77777777" w:rsidR="00DC5685" w:rsidRPr="00A34F10" w:rsidRDefault="00DC5685" w:rsidP="00DC5685">
            <w:pPr>
              <w:tabs>
                <w:tab w:val="left" w:pos="720"/>
              </w:tabs>
              <w:jc w:val="center"/>
              <w:rPr>
                <w:sz w:val="20"/>
                <w:szCs w:val="20"/>
                <w:lang w:val="en-GB"/>
              </w:rPr>
            </w:pPr>
            <w:r w:rsidRPr="00A34F10">
              <w:rPr>
                <w:sz w:val="20"/>
                <w:szCs w:val="20"/>
                <w:lang w:val="en-GB"/>
              </w:rPr>
              <w:t>NOER</w:t>
            </w:r>
          </w:p>
        </w:tc>
        <w:tc>
          <w:tcPr>
            <w:tcW w:w="4086" w:type="pct"/>
            <w:gridSpan w:val="5"/>
            <w:tcBorders>
              <w:top w:val="single" w:sz="4" w:space="0" w:color="auto"/>
              <w:left w:val="single" w:sz="4" w:space="0" w:color="auto"/>
              <w:bottom w:val="single" w:sz="4" w:space="0" w:color="auto"/>
              <w:right w:val="single" w:sz="4" w:space="0" w:color="auto"/>
            </w:tcBorders>
            <w:vAlign w:val="center"/>
          </w:tcPr>
          <w:p w14:paraId="10F69C75" w14:textId="77777777" w:rsidR="00DC5685" w:rsidRPr="00A34F10" w:rsidRDefault="00DC5685" w:rsidP="00DC5685">
            <w:pPr>
              <w:tabs>
                <w:tab w:val="left" w:pos="720"/>
              </w:tabs>
              <w:jc w:val="center"/>
              <w:rPr>
                <w:sz w:val="20"/>
                <w:szCs w:val="20"/>
                <w:lang w:val="en-GB"/>
              </w:rPr>
            </w:pPr>
            <w:r w:rsidRPr="00A34F10">
              <w:rPr>
                <w:sz w:val="20"/>
                <w:szCs w:val="20"/>
                <w:lang w:val="en-GB"/>
              </w:rPr>
              <w:t>4.6</w:t>
            </w:r>
          </w:p>
        </w:tc>
      </w:tr>
    </w:tbl>
    <w:p w14:paraId="398B508B"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 xml:space="preserve">1 </w:t>
      </w:r>
      <w:r w:rsidRPr="00A34F10">
        <w:rPr>
          <w:sz w:val="18"/>
          <w:szCs w:val="20"/>
          <w:lang w:val="en-GB"/>
        </w:rPr>
        <w:t>Application rate in 200 L water/ha</w:t>
      </w:r>
    </w:p>
    <w:p w14:paraId="309DC814"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2</w:t>
      </w:r>
      <w:r w:rsidRPr="00A34F10">
        <w:rPr>
          <w:sz w:val="18"/>
          <w:szCs w:val="20"/>
          <w:lang w:val="en-GB"/>
        </w:rPr>
        <w:t xml:space="preserve"> Corrected mortality according to ABBOTT (1925).</w:t>
      </w:r>
    </w:p>
    <w:p w14:paraId="30116A1A"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3</w:t>
      </w:r>
      <w:r w:rsidRPr="00A34F10">
        <w:rPr>
          <w:sz w:val="18"/>
          <w:szCs w:val="20"/>
          <w:lang w:val="en-GB"/>
        </w:rPr>
        <w:t xml:space="preserve"> Reproduction: mean number of parasitised aphids (mummies)/surviving female. The results for the test item treatments and control were compared by Williams Multiple Sequentially t-Test (α = 0.05, one-sided smaller).</w:t>
      </w:r>
    </w:p>
    <w:p w14:paraId="2720422F" w14:textId="77777777" w:rsidR="00DC5685" w:rsidRPr="00A34F10" w:rsidRDefault="00DC5685" w:rsidP="00DC5685">
      <w:pPr>
        <w:tabs>
          <w:tab w:val="left" w:pos="720"/>
        </w:tabs>
        <w:jc w:val="both"/>
        <w:rPr>
          <w:sz w:val="18"/>
          <w:szCs w:val="20"/>
          <w:lang w:val="en-GB"/>
        </w:rPr>
      </w:pPr>
      <w:r w:rsidRPr="00A34F10">
        <w:rPr>
          <w:sz w:val="18"/>
          <w:szCs w:val="20"/>
          <w:vertAlign w:val="superscript"/>
          <w:lang w:val="en-GB"/>
        </w:rPr>
        <w:t>4</w:t>
      </w:r>
      <w:r w:rsidRPr="00A34F10">
        <w:rPr>
          <w:sz w:val="18"/>
          <w:szCs w:val="20"/>
          <w:lang w:val="en-GB"/>
        </w:rPr>
        <w:t xml:space="preserve"> Reduction of the reproduction performance relative to the control. A positive value indicates a lower reproduction performance and a negative value indicates a higher </w:t>
      </w:r>
      <w:bookmarkStart w:id="1131" w:name="_Hlk133417026"/>
      <w:r w:rsidRPr="00A34F10">
        <w:rPr>
          <w:sz w:val="18"/>
          <w:szCs w:val="20"/>
          <w:lang w:val="en-GB"/>
        </w:rPr>
        <w:t xml:space="preserve">reproduction performance </w:t>
      </w:r>
      <w:bookmarkEnd w:id="1131"/>
      <w:r w:rsidRPr="00A34F10">
        <w:rPr>
          <w:sz w:val="18"/>
          <w:szCs w:val="20"/>
          <w:lang w:val="en-GB"/>
        </w:rPr>
        <w:t>relative to the control.</w:t>
      </w:r>
    </w:p>
    <w:p w14:paraId="1B97DDA4" w14:textId="77777777" w:rsidR="00DC5685" w:rsidRPr="00A34F10" w:rsidRDefault="00DC5685" w:rsidP="00DC5685">
      <w:pPr>
        <w:tabs>
          <w:tab w:val="left" w:pos="720"/>
        </w:tabs>
        <w:jc w:val="both"/>
        <w:rPr>
          <w:sz w:val="18"/>
          <w:szCs w:val="20"/>
          <w:lang w:val="en-GB"/>
        </w:rPr>
      </w:pPr>
      <w:r w:rsidRPr="00A34F10">
        <w:rPr>
          <w:sz w:val="18"/>
          <w:szCs w:val="20"/>
          <w:lang w:val="en-GB"/>
        </w:rPr>
        <w:t>n.s. Not statistically significantly different compared to the control</w:t>
      </w:r>
    </w:p>
    <w:p w14:paraId="2C1EAAE1" w14:textId="77777777" w:rsidR="00DC5685" w:rsidRPr="00A34F10" w:rsidRDefault="00DC5685" w:rsidP="00DC5685">
      <w:pPr>
        <w:tabs>
          <w:tab w:val="left" w:pos="720"/>
        </w:tabs>
        <w:spacing w:after="360"/>
        <w:jc w:val="both"/>
        <w:rPr>
          <w:sz w:val="18"/>
          <w:szCs w:val="20"/>
          <w:lang w:val="en-GB"/>
        </w:rPr>
      </w:pPr>
      <w:r w:rsidRPr="00A34F10">
        <w:rPr>
          <w:sz w:val="18"/>
          <w:szCs w:val="20"/>
          <w:lang w:val="en-GB"/>
        </w:rPr>
        <w:t>* Statistically significantly different compared to the control: Chi2 2x2 Table Test (α = 0.05, one-sided greater) for reference item</w:t>
      </w:r>
    </w:p>
    <w:p w14:paraId="2F8E4C76" w14:textId="7CE2F238" w:rsidR="00B72433" w:rsidRDefault="00DC5685" w:rsidP="00DC5685">
      <w:pPr>
        <w:tabs>
          <w:tab w:val="left" w:pos="720"/>
        </w:tabs>
        <w:spacing w:after="240"/>
        <w:jc w:val="both"/>
        <w:rPr>
          <w:szCs w:val="24"/>
          <w:lang w:val="en-GB"/>
        </w:rPr>
      </w:pPr>
      <w:r w:rsidRPr="00A34F10">
        <w:rPr>
          <w:szCs w:val="24"/>
          <w:lang w:val="en-GB"/>
        </w:rPr>
        <w:t xml:space="preserve">In the toxic reference treatment, 100% mortality was observed after 48 hours which demonstrated the sensitivity of the test system. </w:t>
      </w:r>
    </w:p>
    <w:p w14:paraId="011812BA" w14:textId="77777777" w:rsidR="00DC5685" w:rsidRPr="00A34F10" w:rsidRDefault="00DC5685" w:rsidP="00E05ECD">
      <w:pPr>
        <w:keepNext/>
        <w:keepLines/>
        <w:numPr>
          <w:ilvl w:val="0"/>
          <w:numId w:val="83"/>
        </w:numPr>
        <w:ind w:left="357" w:hanging="357"/>
        <w:contextualSpacing/>
        <w:rPr>
          <w:b/>
          <w:bCs/>
          <w:caps/>
          <w:szCs w:val="24"/>
          <w:lang w:val="en-GB"/>
        </w:rPr>
      </w:pPr>
      <w:r w:rsidRPr="00A34F10">
        <w:rPr>
          <w:b/>
          <w:bCs/>
          <w:caps/>
          <w:szCs w:val="24"/>
          <w:lang w:val="en-GB"/>
        </w:rPr>
        <w:t>VALIDITY CRITERIA</w:t>
      </w:r>
    </w:p>
    <w:p w14:paraId="13932478" w14:textId="77777777" w:rsidR="00DC5685" w:rsidRPr="00A34F10" w:rsidRDefault="00DC5685" w:rsidP="00DC5685">
      <w:pPr>
        <w:tabs>
          <w:tab w:val="left" w:pos="0"/>
        </w:tabs>
        <w:ind w:left="357" w:hanging="357"/>
        <w:contextualSpacing/>
        <w:rPr>
          <w:b/>
          <w:bCs/>
          <w:caps/>
          <w:szCs w:val="24"/>
          <w:lang w:val="en-GB"/>
        </w:rPr>
      </w:pPr>
    </w:p>
    <w:p w14:paraId="0EEABA3C" w14:textId="1E6B198A" w:rsidR="00DC5685" w:rsidRPr="00A34F10" w:rsidRDefault="00DC5685" w:rsidP="00DC5685">
      <w:pPr>
        <w:tabs>
          <w:tab w:val="left" w:pos="720"/>
        </w:tabs>
        <w:spacing w:after="240"/>
        <w:jc w:val="both"/>
        <w:rPr>
          <w:szCs w:val="24"/>
          <w:lang w:val="en-GB"/>
        </w:rPr>
      </w:pPr>
      <w:r w:rsidRPr="00A34F10">
        <w:rPr>
          <w:szCs w:val="24"/>
          <w:lang w:val="en-GB"/>
        </w:rPr>
        <w:t>All validity criteria were met (</w:t>
      </w:r>
      <w:r w:rsidR="00B72433">
        <w:rPr>
          <w:szCs w:val="24"/>
          <w:lang w:val="en-GB"/>
        </w:rPr>
        <w:fldChar w:fldCharType="begin"/>
      </w:r>
      <w:r w:rsidR="00B72433">
        <w:rPr>
          <w:szCs w:val="24"/>
          <w:lang w:val="en-GB"/>
        </w:rPr>
        <w:instrText xml:space="preserve"> REF _Ref147911409 \h </w:instrText>
      </w:r>
      <w:r w:rsidR="00B72433">
        <w:rPr>
          <w:szCs w:val="24"/>
          <w:lang w:val="en-GB"/>
        </w:rPr>
      </w:r>
      <w:r w:rsidR="00B72433">
        <w:rPr>
          <w:szCs w:val="24"/>
          <w:lang w:val="en-GB"/>
        </w:rPr>
        <w:fldChar w:fldCharType="separate"/>
      </w:r>
      <w:r w:rsidR="006F0F3B">
        <w:t xml:space="preserve">Table A </w:t>
      </w:r>
      <w:r w:rsidR="006F0F3B">
        <w:rPr>
          <w:noProof/>
        </w:rPr>
        <w:t>69</w:t>
      </w:r>
      <w:r w:rsidR="00B72433">
        <w:rPr>
          <w:szCs w:val="24"/>
          <w:lang w:val="en-GB"/>
        </w:rPr>
        <w:fldChar w:fldCharType="end"/>
      </w:r>
      <w:r w:rsidRPr="00A34F10">
        <w:rPr>
          <w:szCs w:val="24"/>
          <w:lang w:val="en-GB"/>
        </w:rPr>
        <w:t xml:space="preserve">). </w:t>
      </w:r>
    </w:p>
    <w:p w14:paraId="5DF735F9" w14:textId="5CE3D0AC" w:rsidR="00DC5685" w:rsidRPr="00A34F10" w:rsidRDefault="00B72433" w:rsidP="00B72433">
      <w:pPr>
        <w:pStyle w:val="Legenda"/>
        <w:rPr>
          <w:szCs w:val="28"/>
        </w:rPr>
      </w:pPr>
      <w:bookmarkStart w:id="1132" w:name="_Ref147911409"/>
      <w:r>
        <w:t xml:space="preserve">Table A </w:t>
      </w:r>
      <w:r>
        <w:fldChar w:fldCharType="begin"/>
      </w:r>
      <w:r>
        <w:instrText xml:space="preserve"> SEQ Table_A \* ARABIC </w:instrText>
      </w:r>
      <w:r>
        <w:fldChar w:fldCharType="separate"/>
      </w:r>
      <w:r w:rsidR="006F0F3B">
        <w:rPr>
          <w:noProof/>
        </w:rPr>
        <w:t>69</w:t>
      </w:r>
      <w:r>
        <w:fldChar w:fldCharType="end"/>
      </w:r>
      <w:bookmarkEnd w:id="1132"/>
      <w:r w:rsidR="00A45A3F" w:rsidRPr="00A34F10">
        <w:rPr>
          <w:szCs w:val="28"/>
        </w:rPr>
        <w:tab/>
      </w:r>
      <w:r w:rsidR="00DC5685" w:rsidRPr="00A34F10">
        <w:rPr>
          <w:szCs w:val="28"/>
        </w:rPr>
        <w:t xml:space="preserve">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0"/>
        <w:gridCol w:w="3404"/>
      </w:tblGrid>
      <w:tr w:rsidR="00DC5685" w:rsidRPr="00A34F10" w14:paraId="09DA0FEA" w14:textId="77777777" w:rsidTr="000470C3">
        <w:trPr>
          <w:trHeight w:val="270"/>
          <w:tblHeader/>
        </w:trPr>
        <w:tc>
          <w:tcPr>
            <w:tcW w:w="2460" w:type="pct"/>
            <w:tcBorders>
              <w:top w:val="single" w:sz="4" w:space="0" w:color="auto"/>
              <w:left w:val="single" w:sz="4" w:space="0" w:color="auto"/>
              <w:bottom w:val="single" w:sz="4" w:space="0" w:color="auto"/>
              <w:right w:val="single" w:sz="4" w:space="0" w:color="auto"/>
            </w:tcBorders>
            <w:noWrap/>
            <w:hideMark/>
          </w:tcPr>
          <w:p w14:paraId="6FDE6D0E"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Validity criteria according to the study plan</w:t>
            </w:r>
          </w:p>
        </w:tc>
        <w:tc>
          <w:tcPr>
            <w:tcW w:w="2540" w:type="pct"/>
            <w:tcBorders>
              <w:top w:val="single" w:sz="4" w:space="0" w:color="auto"/>
              <w:left w:val="single" w:sz="4" w:space="0" w:color="auto"/>
              <w:bottom w:val="single" w:sz="4" w:space="0" w:color="auto"/>
              <w:right w:val="single" w:sz="4" w:space="0" w:color="auto"/>
            </w:tcBorders>
            <w:noWrap/>
            <w:hideMark/>
          </w:tcPr>
          <w:p w14:paraId="430AA148"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276CAA5A"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hideMark/>
          </w:tcPr>
          <w:p w14:paraId="0DA145CC"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In the control(s), mortality should be ≤13% (i.e. 5 wasps from 40) after 48 hours</w:t>
            </w:r>
          </w:p>
        </w:tc>
        <w:tc>
          <w:tcPr>
            <w:tcW w:w="2540" w:type="pct"/>
            <w:tcBorders>
              <w:top w:val="single" w:sz="4" w:space="0" w:color="auto"/>
              <w:left w:val="single" w:sz="4" w:space="0" w:color="auto"/>
              <w:bottom w:val="single" w:sz="4" w:space="0" w:color="auto"/>
              <w:right w:val="single" w:sz="4" w:space="0" w:color="auto"/>
            </w:tcBorders>
            <w:noWrap/>
            <w:hideMark/>
          </w:tcPr>
          <w:p w14:paraId="7EFF6904"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0%</w:t>
            </w:r>
          </w:p>
        </w:tc>
      </w:tr>
      <w:tr w:rsidR="00DC5685" w:rsidRPr="00A34F10" w14:paraId="16EF4DEF"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hideMark/>
          </w:tcPr>
          <w:p w14:paraId="0ED007C1"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Mortality in the toxic reference treatment should be ≥50% after 48 hours</w:t>
            </w:r>
          </w:p>
        </w:tc>
        <w:tc>
          <w:tcPr>
            <w:tcW w:w="2540" w:type="pct"/>
            <w:tcBorders>
              <w:top w:val="single" w:sz="4" w:space="0" w:color="auto"/>
              <w:left w:val="single" w:sz="4" w:space="0" w:color="auto"/>
              <w:bottom w:val="single" w:sz="4" w:space="0" w:color="auto"/>
              <w:right w:val="single" w:sz="4" w:space="0" w:color="auto"/>
            </w:tcBorders>
            <w:noWrap/>
            <w:hideMark/>
          </w:tcPr>
          <w:p w14:paraId="5DC62E69"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100%</w:t>
            </w:r>
          </w:p>
        </w:tc>
      </w:tr>
      <w:tr w:rsidR="00DC5685" w:rsidRPr="00A34F10" w14:paraId="02AABCDF" w14:textId="77777777" w:rsidTr="000470C3">
        <w:trPr>
          <w:trHeight w:val="270"/>
        </w:trPr>
        <w:tc>
          <w:tcPr>
            <w:tcW w:w="2460" w:type="pct"/>
            <w:tcBorders>
              <w:top w:val="single" w:sz="4" w:space="0" w:color="auto"/>
              <w:left w:val="single" w:sz="4" w:space="0" w:color="auto"/>
              <w:bottom w:val="single" w:sz="4" w:space="0" w:color="auto"/>
              <w:right w:val="single" w:sz="4" w:space="0" w:color="auto"/>
            </w:tcBorders>
            <w:noWrap/>
          </w:tcPr>
          <w:p w14:paraId="758D90DA"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Mean reproduction in the control group should be ≥5 mummies per female*</w:t>
            </w:r>
          </w:p>
        </w:tc>
        <w:tc>
          <w:tcPr>
            <w:tcW w:w="2540" w:type="pct"/>
            <w:tcBorders>
              <w:top w:val="single" w:sz="4" w:space="0" w:color="auto"/>
              <w:left w:val="single" w:sz="4" w:space="0" w:color="auto"/>
              <w:bottom w:val="single" w:sz="4" w:space="0" w:color="auto"/>
              <w:right w:val="single" w:sz="4" w:space="0" w:color="auto"/>
            </w:tcBorders>
            <w:noWrap/>
          </w:tcPr>
          <w:p w14:paraId="52FB02E4" w14:textId="77777777" w:rsidR="00DC5685" w:rsidRPr="00A34F10" w:rsidRDefault="00DC5685" w:rsidP="00DC5685">
            <w:pPr>
              <w:tabs>
                <w:tab w:val="left" w:pos="720"/>
              </w:tabs>
              <w:autoSpaceDE w:val="0"/>
              <w:autoSpaceDN w:val="0"/>
              <w:adjustRightInd w:val="0"/>
              <w:spacing w:before="40" w:after="40"/>
              <w:rPr>
                <w:sz w:val="20"/>
                <w:szCs w:val="20"/>
                <w:lang w:val="en-GB"/>
              </w:rPr>
            </w:pPr>
            <w:r w:rsidRPr="00A34F10">
              <w:rPr>
                <w:rFonts w:eastAsia="Calibri"/>
                <w:sz w:val="20"/>
                <w:szCs w:val="20"/>
                <w:lang w:val="en-GB"/>
              </w:rPr>
              <w:t>16.7 with 1 control replicate with zero values</w:t>
            </w:r>
          </w:p>
        </w:tc>
      </w:tr>
    </w:tbl>
    <w:p w14:paraId="6B1C7AE5" w14:textId="77777777" w:rsidR="00DC5685" w:rsidRPr="00A34F10" w:rsidRDefault="00DC5685" w:rsidP="00DC5685">
      <w:pPr>
        <w:tabs>
          <w:tab w:val="left" w:pos="720"/>
        </w:tabs>
        <w:spacing w:after="360"/>
        <w:jc w:val="both"/>
        <w:rPr>
          <w:sz w:val="18"/>
          <w:szCs w:val="20"/>
          <w:lang w:val="en-GB"/>
        </w:rPr>
      </w:pPr>
      <w:r w:rsidRPr="00A34F10">
        <w:rPr>
          <w:sz w:val="18"/>
          <w:szCs w:val="20"/>
          <w:lang w:val="en-GB"/>
        </w:rPr>
        <w:t>*There should be no more than 2 control replicates (with surviving wasps) with zero values</w:t>
      </w:r>
    </w:p>
    <w:p w14:paraId="3EA392C3" w14:textId="77777777" w:rsidR="00DC5685" w:rsidRPr="00A34F10" w:rsidRDefault="00DC5685" w:rsidP="00E05ECD">
      <w:pPr>
        <w:numPr>
          <w:ilvl w:val="0"/>
          <w:numId w:val="83"/>
        </w:numPr>
        <w:ind w:left="357" w:hanging="357"/>
        <w:contextualSpacing/>
        <w:rPr>
          <w:b/>
          <w:bCs/>
          <w:caps/>
          <w:szCs w:val="24"/>
          <w:lang w:val="en-GB"/>
        </w:rPr>
      </w:pPr>
      <w:r w:rsidRPr="00A34F10">
        <w:rPr>
          <w:b/>
          <w:bCs/>
          <w:caps/>
          <w:szCs w:val="24"/>
          <w:lang w:val="en-GB"/>
        </w:rPr>
        <w:t>DEFICIENCIES</w:t>
      </w:r>
    </w:p>
    <w:p w14:paraId="24421F14" w14:textId="77777777" w:rsidR="00DC5685" w:rsidRPr="00A34F10" w:rsidRDefault="00DC5685" w:rsidP="00DC5685">
      <w:pPr>
        <w:tabs>
          <w:tab w:val="left" w:pos="720"/>
        </w:tabs>
        <w:jc w:val="both"/>
        <w:rPr>
          <w:szCs w:val="24"/>
          <w:highlight w:val="yellow"/>
          <w:lang w:val="en-GB"/>
        </w:rPr>
      </w:pPr>
    </w:p>
    <w:p w14:paraId="17AF0CBF" w14:textId="77777777" w:rsidR="00DC5685" w:rsidRPr="00A34F10" w:rsidRDefault="00DC5685" w:rsidP="00DC5685">
      <w:pPr>
        <w:tabs>
          <w:tab w:val="left" w:pos="720"/>
        </w:tabs>
        <w:spacing w:after="240"/>
        <w:jc w:val="both"/>
        <w:rPr>
          <w:szCs w:val="24"/>
          <w:lang w:val="en-GB"/>
        </w:rPr>
      </w:pPr>
      <w:r w:rsidRPr="00A34F10">
        <w:rPr>
          <w:szCs w:val="24"/>
          <w:lang w:val="en-GB"/>
        </w:rPr>
        <w:t>None.</w:t>
      </w:r>
    </w:p>
    <w:p w14:paraId="3188C3FE"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III. Conclusion</w:t>
      </w:r>
    </w:p>
    <w:p w14:paraId="66D3C17C" w14:textId="1593163D" w:rsidR="00B706F2" w:rsidRDefault="00DC5685" w:rsidP="00DC5685">
      <w:pPr>
        <w:widowControl w:val="0"/>
        <w:jc w:val="both"/>
        <w:rPr>
          <w:szCs w:val="24"/>
          <w:lang w:val="en-GB"/>
        </w:rPr>
      </w:pPr>
      <w:r w:rsidRPr="00A34F10">
        <w:rPr>
          <w:szCs w:val="24"/>
          <w:lang w:val="en-GB"/>
        </w:rPr>
        <w:t xml:space="preserve">A study to determine the effects of BAS 743 03 F on the parasitic wasp </w:t>
      </w:r>
      <w:r w:rsidRPr="00A34F10">
        <w:rPr>
          <w:i/>
          <w:iCs/>
          <w:szCs w:val="24"/>
          <w:lang w:val="en-GB"/>
        </w:rPr>
        <w:t>Aphidius rhopalosiphi</w:t>
      </w:r>
      <w:r w:rsidRPr="00A34F10">
        <w:rPr>
          <w:szCs w:val="24"/>
          <w:lang w:val="en-GB"/>
        </w:rPr>
        <w:t xml:space="preserve"> was performed over 14 days in the laboratory. Wasps were exposed to freshly dried residues of the test item on glass plates for 48 hours. Effects on reproduction were subsequently assessed by the number of parasitised </w:t>
      </w:r>
      <w:r w:rsidRPr="00A34F10">
        <w:rPr>
          <w:szCs w:val="24"/>
          <w:lang w:val="en-GB"/>
        </w:rPr>
        <w:lastRenderedPageBreak/>
        <w:t>aphids (mummies) produced per surviving female. The 48-hour LR</w:t>
      </w:r>
      <w:r w:rsidRPr="00A34F10">
        <w:rPr>
          <w:szCs w:val="24"/>
          <w:vertAlign w:val="subscript"/>
          <w:lang w:val="en-GB"/>
        </w:rPr>
        <w:t>50</w:t>
      </w:r>
      <w:r w:rsidRPr="00A34F10">
        <w:rPr>
          <w:szCs w:val="24"/>
          <w:lang w:val="en-GB"/>
        </w:rPr>
        <w:t xml:space="preserve"> was estimated to be &gt; 4.6 L product/ha and the NOER for mortality was determined to be 4.6 L product/ha. The ER</w:t>
      </w:r>
      <w:r w:rsidRPr="00A34F10">
        <w:rPr>
          <w:szCs w:val="24"/>
          <w:vertAlign w:val="subscript"/>
          <w:lang w:val="en-GB"/>
        </w:rPr>
        <w:t>50</w:t>
      </w:r>
      <w:r w:rsidRPr="00A34F10">
        <w:rPr>
          <w:szCs w:val="24"/>
          <w:lang w:val="en-GB"/>
        </w:rPr>
        <w:t xml:space="preserve"> was estimated to be &gt; 4.6 L product/ha and the NOER for reproduction was determined to be 4.6 L product/ha.</w:t>
      </w:r>
      <w:bookmarkEnd w:id="1121"/>
    </w:p>
    <w:p w14:paraId="64B2A68F" w14:textId="77777777" w:rsidR="00DC5685" w:rsidRPr="00A34F10" w:rsidRDefault="00DC5685" w:rsidP="00A45A3F">
      <w:pPr>
        <w:pStyle w:val="RepAppendix4"/>
      </w:pPr>
      <w:r w:rsidRPr="00A34F10">
        <w:t>KCP 10.3.2.2</w:t>
      </w:r>
      <w:r w:rsidRPr="00A34F10">
        <w:tab/>
        <w:t>Extended laboratory testing, aged residue studies with non-target arthropods</w:t>
      </w:r>
    </w:p>
    <w:p w14:paraId="34ACA719" w14:textId="77777777" w:rsidR="00DC5685" w:rsidRDefault="00DC5685" w:rsidP="00DC5685">
      <w:pPr>
        <w:widowControl w:val="0"/>
        <w:jc w:val="both"/>
        <w:rPr>
          <w:color w:val="000000" w:themeColor="text1"/>
        </w:rPr>
      </w:pPr>
      <w:bookmarkStart w:id="1133" w:name="_Hlk135687443"/>
      <w:r w:rsidRPr="00A34F10">
        <w:rPr>
          <w:color w:val="000000" w:themeColor="text1"/>
        </w:rPr>
        <w:t>No data submitted.</w:t>
      </w:r>
      <w:bookmarkEnd w:id="1133"/>
    </w:p>
    <w:p w14:paraId="5E933A2E" w14:textId="77777777" w:rsidR="00DC5685" w:rsidRPr="00A34F10" w:rsidRDefault="00DC5685" w:rsidP="00A45A3F">
      <w:pPr>
        <w:pStyle w:val="RepAppendix4"/>
      </w:pPr>
      <w:r w:rsidRPr="00A34F10">
        <w:t>KCP 10.3.2.3</w:t>
      </w:r>
      <w:r w:rsidRPr="00A34F10">
        <w:tab/>
        <w:t>Semi-field studies with non-target arthropods</w:t>
      </w:r>
    </w:p>
    <w:p w14:paraId="512BD738" w14:textId="77777777" w:rsidR="00DC5685" w:rsidRDefault="00DC5685" w:rsidP="00DC5685">
      <w:pPr>
        <w:widowControl w:val="0"/>
        <w:jc w:val="both"/>
        <w:rPr>
          <w:color w:val="000000" w:themeColor="text1"/>
        </w:rPr>
      </w:pPr>
      <w:r w:rsidRPr="00A34F10">
        <w:rPr>
          <w:color w:val="000000" w:themeColor="text1"/>
        </w:rPr>
        <w:t>No data submitted.</w:t>
      </w:r>
    </w:p>
    <w:p w14:paraId="19EC5763" w14:textId="77777777" w:rsidR="00DC5685" w:rsidRPr="00A34F10" w:rsidRDefault="00DC5685" w:rsidP="00A45A3F">
      <w:pPr>
        <w:pStyle w:val="RepAppendix4"/>
      </w:pPr>
      <w:r w:rsidRPr="00A34F10">
        <w:t>KCP 10.3.2.4</w:t>
      </w:r>
      <w:r w:rsidRPr="00A34F10">
        <w:tab/>
        <w:t>Field studies with non-target arthropods</w:t>
      </w:r>
    </w:p>
    <w:p w14:paraId="1AE134DA" w14:textId="77777777" w:rsidR="00DC5685" w:rsidRDefault="00DC5685" w:rsidP="00DC5685">
      <w:pPr>
        <w:widowControl w:val="0"/>
        <w:jc w:val="both"/>
        <w:rPr>
          <w:color w:val="000000" w:themeColor="text1"/>
        </w:rPr>
      </w:pPr>
      <w:r w:rsidRPr="00A34F10">
        <w:rPr>
          <w:color w:val="000000" w:themeColor="text1"/>
        </w:rPr>
        <w:t>No data submitted.</w:t>
      </w:r>
    </w:p>
    <w:p w14:paraId="4CB55866" w14:textId="77777777" w:rsidR="00DC5685" w:rsidRPr="00A34F10" w:rsidRDefault="00DC5685" w:rsidP="00A45A3F">
      <w:pPr>
        <w:pStyle w:val="RepAppendix4"/>
      </w:pPr>
      <w:r w:rsidRPr="00A34F10">
        <w:t>KCP 10.3.2.5</w:t>
      </w:r>
      <w:r w:rsidRPr="00A34F10">
        <w:tab/>
        <w:t>Other routes of exposure for non-target arthropods</w:t>
      </w:r>
    </w:p>
    <w:p w14:paraId="640D2CA6" w14:textId="77777777" w:rsidR="00DC5685" w:rsidRPr="00A34F10" w:rsidRDefault="00DC5685" w:rsidP="00DC5685">
      <w:pPr>
        <w:jc w:val="both"/>
        <w:rPr>
          <w:color w:val="000000"/>
        </w:rPr>
      </w:pPr>
      <w:bookmarkStart w:id="1134" w:name="_Hlk135687479"/>
      <w:r w:rsidRPr="00A34F10">
        <w:rPr>
          <w:color w:val="000000" w:themeColor="text1"/>
        </w:rPr>
        <w:t>All relevant routes of exposure for non-target arthropods have been adequately covered in the submitted studies and the risk assessment performed.</w:t>
      </w:r>
      <w:bookmarkEnd w:id="1134"/>
    </w:p>
    <w:p w14:paraId="282E40C8" w14:textId="77777777" w:rsidR="00DC5685" w:rsidRPr="00A34F10" w:rsidRDefault="00DC5685" w:rsidP="002E7F42">
      <w:pPr>
        <w:pStyle w:val="StyleOECD-BASIS-TEXTLeft"/>
        <w:rPr>
          <w:sz w:val="22"/>
          <w:lang w:val="en-US"/>
        </w:rPr>
        <w:sectPr w:rsidR="00DC5685" w:rsidRPr="00A34F10" w:rsidSect="00D20BDB">
          <w:pgSz w:w="11906" w:h="16838"/>
          <w:pgMar w:top="1418" w:right="1134" w:bottom="1134" w:left="1418" w:header="709" w:footer="709" w:gutter="0"/>
          <w:pgNumType w:chapSep="period"/>
          <w:cols w:space="708"/>
          <w:docGrid w:linePitch="360"/>
        </w:sectPr>
      </w:pPr>
    </w:p>
    <w:p w14:paraId="6F80FCAF" w14:textId="77777777" w:rsidR="00DC5685" w:rsidRPr="00A34F10" w:rsidRDefault="00DC5685" w:rsidP="00A34F10">
      <w:pPr>
        <w:pStyle w:val="RepAppendix2"/>
      </w:pPr>
      <w:bookmarkStart w:id="1135" w:name="_Toc413922102"/>
      <w:bookmarkStart w:id="1136" w:name="_Toc413922591"/>
      <w:bookmarkStart w:id="1137" w:name="_Toc413922695"/>
      <w:bookmarkStart w:id="1138" w:name="_Toc414955332"/>
      <w:bookmarkStart w:id="1139" w:name="_Toc415214639"/>
      <w:bookmarkStart w:id="1140" w:name="_Toc181625028"/>
      <w:r w:rsidRPr="00A34F10">
        <w:lastRenderedPageBreak/>
        <w:t xml:space="preserve">KCP 10.4 </w:t>
      </w:r>
      <w:r w:rsidRPr="00A34F10">
        <w:tab/>
        <w:t>Effects on non-target soil meso- and macrofauna</w:t>
      </w:r>
      <w:bookmarkEnd w:id="1135"/>
      <w:bookmarkEnd w:id="1136"/>
      <w:bookmarkEnd w:id="1137"/>
      <w:bookmarkEnd w:id="1138"/>
      <w:bookmarkEnd w:id="1139"/>
      <w:bookmarkEnd w:id="1140"/>
    </w:p>
    <w:p w14:paraId="426AB9CA" w14:textId="77777777" w:rsidR="00DC5685" w:rsidRPr="00A34F10" w:rsidRDefault="00DC5685" w:rsidP="00A34F10">
      <w:pPr>
        <w:pStyle w:val="RepAppendix3"/>
      </w:pPr>
      <w:bookmarkStart w:id="1141" w:name="_Toc413922103"/>
      <w:bookmarkStart w:id="1142" w:name="_Toc413922592"/>
      <w:bookmarkStart w:id="1143" w:name="_Toc413922696"/>
      <w:bookmarkStart w:id="1144" w:name="_Toc414955333"/>
      <w:bookmarkStart w:id="1145" w:name="_Toc415214640"/>
      <w:bookmarkStart w:id="1146" w:name="_Toc181625029"/>
      <w:r w:rsidRPr="00A34F10">
        <w:t xml:space="preserve">KCP 10.4.1 </w:t>
      </w:r>
      <w:r w:rsidRPr="00A34F10">
        <w:tab/>
        <w:t>Earthworms</w:t>
      </w:r>
      <w:bookmarkEnd w:id="1141"/>
      <w:bookmarkEnd w:id="1142"/>
      <w:bookmarkEnd w:id="1143"/>
      <w:bookmarkEnd w:id="1144"/>
      <w:bookmarkEnd w:id="1145"/>
      <w:bookmarkEnd w:id="1146"/>
    </w:p>
    <w:p w14:paraId="136649BC" w14:textId="77777777" w:rsidR="00DC5685" w:rsidRPr="00A34F10" w:rsidRDefault="00DC5685" w:rsidP="00A34F10">
      <w:pPr>
        <w:pStyle w:val="RepAppendix4"/>
      </w:pPr>
      <w:r w:rsidRPr="00A34F10">
        <w:t xml:space="preserve">KCP 10.4.1.1 </w:t>
      </w:r>
      <w:r w:rsidRPr="00A34F10">
        <w:tab/>
        <w:t>Earthworms - sub-lethal effects</w:t>
      </w:r>
    </w:p>
    <w:p w14:paraId="5627727C" w14:textId="77777777" w:rsidR="00DC5685" w:rsidRPr="00A34F10" w:rsidRDefault="00DC5685" w:rsidP="00B706F2">
      <w:pPr>
        <w:pStyle w:val="RepAppendix5"/>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7E6C3892" w14:textId="77777777" w:rsidTr="009B1385">
        <w:tc>
          <w:tcPr>
            <w:tcW w:w="1063" w:type="pct"/>
            <w:shd w:val="clear" w:color="auto" w:fill="D9D9D9" w:themeFill="background1" w:themeFillShade="D9"/>
          </w:tcPr>
          <w:p w14:paraId="425FD9EF"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72388C53" w14:textId="41B1C295" w:rsidR="00DC5685" w:rsidRPr="00A34F10" w:rsidRDefault="009B1385" w:rsidP="00DC5685">
            <w:pPr>
              <w:widowControl w:val="0"/>
              <w:suppressAutoHyphens/>
              <w:ind w:left="85"/>
              <w:jc w:val="both"/>
              <w:rPr>
                <w:rFonts w:eastAsia="Batang"/>
                <w:color w:val="000000" w:themeColor="text1"/>
              </w:rPr>
            </w:pPr>
            <w:r w:rsidRPr="0037666C">
              <w:rPr>
                <w:rFonts w:eastAsia="Batang"/>
              </w:rPr>
              <w:t xml:space="preserve">The study was conducted to </w:t>
            </w:r>
            <w:r w:rsidR="00AF0AF4" w:rsidRPr="00A34F10">
              <w:rPr>
                <w:lang w:val="en-GB"/>
              </w:rPr>
              <w:t xml:space="preserve">OECD 222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18C332F3" w14:textId="77777777" w:rsidR="00DC5685" w:rsidRPr="00A34F10" w:rsidRDefault="00DC5685" w:rsidP="00DC5685">
      <w:pPr>
        <w:suppressAutoHyphens/>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460BE2AB" w14:textId="77777777" w:rsidTr="000470C3">
        <w:trPr>
          <w:trHeight w:val="227"/>
          <w:jc w:val="center"/>
        </w:trPr>
        <w:tc>
          <w:tcPr>
            <w:tcW w:w="1288" w:type="pct"/>
          </w:tcPr>
          <w:p w14:paraId="13865C23"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712" w:type="pct"/>
          </w:tcPr>
          <w:p w14:paraId="2489659C" w14:textId="77777777" w:rsidR="00DC5685" w:rsidRPr="00A34F10" w:rsidRDefault="00DC5685" w:rsidP="00DC5685">
            <w:pPr>
              <w:widowControl w:val="0"/>
              <w:spacing w:after="120"/>
              <w:jc w:val="both"/>
              <w:rPr>
                <w:lang w:val="en-GB"/>
              </w:rPr>
            </w:pPr>
            <w:r w:rsidRPr="00A34F10">
              <w:rPr>
                <w:lang w:val="en-GB"/>
              </w:rPr>
              <w:t>CP 10.4.1.1/01</w:t>
            </w:r>
          </w:p>
        </w:tc>
      </w:tr>
      <w:tr w:rsidR="00DC5685" w:rsidRPr="00A34F10" w14:paraId="35D5E5D0" w14:textId="77777777" w:rsidTr="000470C3">
        <w:trPr>
          <w:trHeight w:val="227"/>
          <w:jc w:val="center"/>
        </w:trPr>
        <w:tc>
          <w:tcPr>
            <w:tcW w:w="1288" w:type="pct"/>
          </w:tcPr>
          <w:p w14:paraId="5103A185" w14:textId="77777777" w:rsidR="00DC5685" w:rsidRPr="00A34F10" w:rsidRDefault="00DC5685" w:rsidP="00DC5685">
            <w:pPr>
              <w:widowControl w:val="0"/>
              <w:spacing w:after="120"/>
              <w:jc w:val="both"/>
              <w:rPr>
                <w:lang w:val="en-GB"/>
              </w:rPr>
            </w:pPr>
            <w:r w:rsidRPr="00A34F10">
              <w:rPr>
                <w:lang w:val="en-GB"/>
              </w:rPr>
              <w:t xml:space="preserve">Report </w:t>
            </w:r>
          </w:p>
        </w:tc>
        <w:tc>
          <w:tcPr>
            <w:tcW w:w="3712" w:type="pct"/>
          </w:tcPr>
          <w:p w14:paraId="13585EA2" w14:textId="77777777" w:rsidR="00DC5685" w:rsidRPr="00A34F10" w:rsidRDefault="00DC5685" w:rsidP="00DC5685">
            <w:pPr>
              <w:widowControl w:val="0"/>
              <w:spacing w:after="120"/>
              <w:jc w:val="both"/>
              <w:rPr>
                <w:lang w:val="en-GB"/>
              </w:rPr>
            </w:pPr>
            <w:r w:rsidRPr="00A34F10">
              <w:rPr>
                <w:lang w:val="en-GB"/>
              </w:rPr>
              <w:t xml:space="preserve">Effects of BAS 743 02 F on the reproduction of the earthworm </w:t>
            </w:r>
            <w:r w:rsidRPr="00A34F10">
              <w:rPr>
                <w:i/>
                <w:iCs/>
                <w:lang w:val="en-GB"/>
              </w:rPr>
              <w:t>Eisenia andrei</w:t>
            </w:r>
            <w:r w:rsidRPr="00A34F10">
              <w:rPr>
                <w:lang w:val="en-GB"/>
              </w:rPr>
              <w:t xml:space="preserve"> in artificial soil</w:t>
            </w:r>
          </w:p>
          <w:p w14:paraId="4033353C" w14:textId="77777777" w:rsidR="00DC5685" w:rsidRPr="00A34F10" w:rsidRDefault="00DC5685" w:rsidP="00DC5685">
            <w:pPr>
              <w:widowControl w:val="0"/>
              <w:spacing w:after="120"/>
              <w:jc w:val="both"/>
              <w:rPr>
                <w:lang w:val="en-GB"/>
              </w:rPr>
            </w:pPr>
            <w:r w:rsidRPr="00A34F10">
              <w:rPr>
                <w:lang w:val="en-GB"/>
              </w:rPr>
              <w:t>Friedrich, S., 2022a</w:t>
            </w:r>
          </w:p>
          <w:p w14:paraId="078E041C" w14:textId="03EC50C3" w:rsidR="00DC5685" w:rsidRPr="00A34F10" w:rsidRDefault="00D007AB" w:rsidP="00DC5685">
            <w:pPr>
              <w:widowControl w:val="0"/>
              <w:spacing w:after="120"/>
              <w:jc w:val="both"/>
              <w:rPr>
                <w:lang w:val="en-GB"/>
              </w:rPr>
            </w:pPr>
            <w:r>
              <w:t>XXXX</w:t>
            </w:r>
            <w:r w:rsidR="00DC5685" w:rsidRPr="00A34F10">
              <w:t xml:space="preserve"> Study ID:</w:t>
            </w:r>
            <w:r w:rsidR="00DC5685" w:rsidRPr="00A34F10">
              <w:rPr>
                <w:lang w:val="en-GB"/>
              </w:rPr>
              <w:t xml:space="preserve"> 933752_10</w:t>
            </w:r>
          </w:p>
          <w:p w14:paraId="6E405A52" w14:textId="184D8265"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2022/2033719</w:t>
            </w:r>
          </w:p>
        </w:tc>
      </w:tr>
      <w:tr w:rsidR="00DC5685" w:rsidRPr="00A34F10" w14:paraId="489D456F" w14:textId="77777777" w:rsidTr="000470C3">
        <w:trPr>
          <w:trHeight w:val="227"/>
          <w:jc w:val="center"/>
        </w:trPr>
        <w:tc>
          <w:tcPr>
            <w:tcW w:w="1288" w:type="pct"/>
          </w:tcPr>
          <w:p w14:paraId="69DE374C" w14:textId="77777777" w:rsidR="00DC5685" w:rsidRPr="00A34F10" w:rsidRDefault="00DC5685" w:rsidP="00DC5685">
            <w:pPr>
              <w:widowControl w:val="0"/>
              <w:spacing w:after="120"/>
              <w:jc w:val="both"/>
              <w:rPr>
                <w:lang w:val="en-GB"/>
              </w:rPr>
            </w:pPr>
            <w:r w:rsidRPr="00A34F10">
              <w:rPr>
                <w:lang w:val="en-GB"/>
              </w:rPr>
              <w:t xml:space="preserve">Guideline(s): </w:t>
            </w:r>
          </w:p>
        </w:tc>
        <w:tc>
          <w:tcPr>
            <w:tcW w:w="3712" w:type="pct"/>
            <w:shd w:val="clear" w:color="auto" w:fill="auto"/>
          </w:tcPr>
          <w:p w14:paraId="0CFC5D8B" w14:textId="77777777" w:rsidR="00DC5685" w:rsidRPr="00A34F10" w:rsidRDefault="00DC5685" w:rsidP="00DC5685">
            <w:pPr>
              <w:widowControl w:val="0"/>
              <w:spacing w:after="120"/>
              <w:jc w:val="both"/>
            </w:pPr>
            <w:r w:rsidRPr="00A34F10">
              <w:rPr>
                <w:lang w:val="en-GB"/>
              </w:rPr>
              <w:t>OECD 222 (2016)</w:t>
            </w:r>
          </w:p>
        </w:tc>
      </w:tr>
      <w:tr w:rsidR="00DC5685" w:rsidRPr="00A34F10" w14:paraId="15D5193E" w14:textId="77777777" w:rsidTr="000470C3">
        <w:trPr>
          <w:trHeight w:val="227"/>
          <w:jc w:val="center"/>
        </w:trPr>
        <w:tc>
          <w:tcPr>
            <w:tcW w:w="1288" w:type="pct"/>
          </w:tcPr>
          <w:p w14:paraId="547D860B"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712" w:type="pct"/>
            <w:shd w:val="clear" w:color="auto" w:fill="auto"/>
          </w:tcPr>
          <w:p w14:paraId="6E8C4237" w14:textId="77777777" w:rsidR="00DC5685" w:rsidRPr="00A34F10" w:rsidRDefault="00DC5685" w:rsidP="00DC5685">
            <w:pPr>
              <w:widowControl w:val="0"/>
              <w:spacing w:after="120"/>
              <w:jc w:val="both"/>
              <w:rPr>
                <w:lang w:val="en-GB"/>
              </w:rPr>
            </w:pPr>
            <w:r w:rsidRPr="00A34F10">
              <w:rPr>
                <w:lang w:val="en-GB"/>
              </w:rPr>
              <w:t>No</w:t>
            </w:r>
          </w:p>
        </w:tc>
      </w:tr>
      <w:tr w:rsidR="00DC5685" w:rsidRPr="00902592" w14:paraId="64687C8E" w14:textId="77777777" w:rsidTr="000470C3">
        <w:trPr>
          <w:trHeight w:val="227"/>
          <w:jc w:val="center"/>
        </w:trPr>
        <w:tc>
          <w:tcPr>
            <w:tcW w:w="1288" w:type="pct"/>
          </w:tcPr>
          <w:p w14:paraId="2B360A4F" w14:textId="77777777" w:rsidR="00DC5685" w:rsidRPr="00A34F10" w:rsidRDefault="00DC5685" w:rsidP="00DC5685">
            <w:pPr>
              <w:widowControl w:val="0"/>
              <w:spacing w:after="120"/>
              <w:jc w:val="both"/>
              <w:rPr>
                <w:lang w:val="en-GB"/>
              </w:rPr>
            </w:pPr>
            <w:r w:rsidRPr="00A34F10">
              <w:rPr>
                <w:lang w:val="en-GB"/>
              </w:rPr>
              <w:t>GLP:</w:t>
            </w:r>
          </w:p>
        </w:tc>
        <w:tc>
          <w:tcPr>
            <w:tcW w:w="3712" w:type="pct"/>
          </w:tcPr>
          <w:p w14:paraId="533647AC" w14:textId="77777777" w:rsidR="00DC5685" w:rsidRPr="00A34F10" w:rsidRDefault="00DC5685" w:rsidP="00DC5685">
            <w:pPr>
              <w:widowControl w:val="0"/>
              <w:spacing w:after="120"/>
              <w:jc w:val="both"/>
              <w:rPr>
                <w:lang w:val="de-DE"/>
              </w:rPr>
            </w:pPr>
            <w:r w:rsidRPr="00A34F10">
              <w:rPr>
                <w:lang w:val="de-DE"/>
              </w:rPr>
              <w:t>Yes, (certified by Saechsisches Staatsministerium fuer Umwelt und Landwirtschaft, Dresden, Germany)</w:t>
            </w:r>
          </w:p>
        </w:tc>
      </w:tr>
      <w:tr w:rsidR="00DC5685" w:rsidRPr="00A34F10" w14:paraId="30093ADC" w14:textId="77777777" w:rsidTr="000470C3">
        <w:trPr>
          <w:trHeight w:val="227"/>
          <w:jc w:val="center"/>
        </w:trPr>
        <w:tc>
          <w:tcPr>
            <w:tcW w:w="1288" w:type="pct"/>
          </w:tcPr>
          <w:p w14:paraId="177F4315"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712" w:type="pct"/>
          </w:tcPr>
          <w:p w14:paraId="083D3AE6" w14:textId="77777777" w:rsidR="00DC5685" w:rsidRPr="00A34F10" w:rsidRDefault="00DC5685" w:rsidP="00DC5685">
            <w:pPr>
              <w:widowControl w:val="0"/>
              <w:spacing w:after="120"/>
              <w:jc w:val="both"/>
              <w:rPr>
                <w:lang w:val="en-GB"/>
              </w:rPr>
            </w:pPr>
            <w:r w:rsidRPr="00A34F10">
              <w:rPr>
                <w:lang w:val="en-GB"/>
              </w:rPr>
              <w:t>Yes</w:t>
            </w:r>
          </w:p>
        </w:tc>
      </w:tr>
    </w:tbl>
    <w:p w14:paraId="6D23D153" w14:textId="77777777" w:rsidR="00DC5685" w:rsidRPr="00A34F10" w:rsidRDefault="00DC5685" w:rsidP="00DC5685">
      <w:pPr>
        <w:suppressAutoHyphens/>
        <w:rPr>
          <w:color w:val="000000" w:themeColor="text1"/>
        </w:rPr>
      </w:pPr>
    </w:p>
    <w:p w14:paraId="12226154"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4BFC96E0" w14:textId="77777777" w:rsidR="00DC5685" w:rsidRPr="00A34F10" w:rsidRDefault="00DC5685" w:rsidP="00DC5685">
      <w:pPr>
        <w:keepNext/>
        <w:keepLines/>
        <w:tabs>
          <w:tab w:val="left" w:pos="720"/>
        </w:tabs>
        <w:jc w:val="both"/>
        <w:rPr>
          <w:b/>
          <w:color w:val="000000" w:themeColor="text1"/>
          <w:szCs w:val="32"/>
          <w:highlight w:val="yellow"/>
          <w:lang w:val="en-GB"/>
        </w:rPr>
      </w:pPr>
    </w:p>
    <w:p w14:paraId="3434F487" w14:textId="77777777" w:rsidR="00DC5685" w:rsidRPr="00A34F10" w:rsidRDefault="00DC5685" w:rsidP="00DC5685">
      <w:pPr>
        <w:tabs>
          <w:tab w:val="left" w:pos="720"/>
        </w:tabs>
        <w:jc w:val="both"/>
        <w:rPr>
          <w:szCs w:val="24"/>
          <w:lang w:val="en-GB"/>
        </w:rPr>
      </w:pPr>
      <w:r w:rsidRPr="00A34F10">
        <w:rPr>
          <w:szCs w:val="24"/>
          <w:lang w:val="en-GB"/>
        </w:rPr>
        <w:t xml:space="preserve">A study to determine the effects of BAS 743 02 F on the mortality, biomass development and reproduction of the earthworm </w:t>
      </w:r>
      <w:r w:rsidRPr="00A34F10">
        <w:rPr>
          <w:i/>
          <w:iCs/>
          <w:szCs w:val="24"/>
          <w:lang w:val="en-GB"/>
        </w:rPr>
        <w:t>Eisenia andrei</w:t>
      </w:r>
      <w:r w:rsidRPr="00A34F10">
        <w:rPr>
          <w:szCs w:val="24"/>
          <w:lang w:val="en-GB"/>
        </w:rPr>
        <w:t xml:space="preserve"> was performed over 56 days in artificial soil. The test comprised nine treatment groups; eight nominal test item concentrations between 16.3 and 1000 mg product/kg </w:t>
      </w:r>
      <w:r w:rsidRPr="00A34F10">
        <w:t xml:space="preserve">soil </w:t>
      </w:r>
      <w:bookmarkStart w:id="1147" w:name="_Hlk133574370"/>
      <w:r w:rsidRPr="00A34F10">
        <w:t>dry weight (</w:t>
      </w:r>
      <w:r w:rsidRPr="00A34F10">
        <w:rPr>
          <w:szCs w:val="24"/>
          <w:lang w:val="en-GB"/>
        </w:rPr>
        <w:t xml:space="preserve">dw) </w:t>
      </w:r>
      <w:bookmarkEnd w:id="1147"/>
      <w:r w:rsidRPr="00A34F10">
        <w:rPr>
          <w:szCs w:val="24"/>
          <w:lang w:val="en-GB"/>
        </w:rPr>
        <w:t>and an untreated control. Four replicates were used for the test item treatments and eight replicates were used for the control. Each replicate contained 10 earthworms. Assessment of adult worm mortality, behavioural effects and biomass development after 28 days was done. Reproduction after additional 28 days (56 days after application) was determined.</w:t>
      </w:r>
    </w:p>
    <w:p w14:paraId="6E95C11F" w14:textId="77777777" w:rsidR="00DC5685" w:rsidRPr="00A34F10" w:rsidRDefault="00DC5685" w:rsidP="00DC5685">
      <w:pPr>
        <w:tabs>
          <w:tab w:val="left" w:pos="720"/>
        </w:tabs>
        <w:jc w:val="both"/>
        <w:rPr>
          <w:szCs w:val="24"/>
          <w:highlight w:val="yellow"/>
          <w:lang w:val="en-GB"/>
        </w:rPr>
      </w:pPr>
    </w:p>
    <w:p w14:paraId="021EB98D" w14:textId="1724172F" w:rsidR="00A34F10" w:rsidRPr="00A34F10" w:rsidRDefault="00DC5685" w:rsidP="00DC5685">
      <w:pPr>
        <w:tabs>
          <w:tab w:val="left" w:pos="720"/>
        </w:tabs>
        <w:spacing w:after="240"/>
        <w:jc w:val="both"/>
      </w:pPr>
      <w:r w:rsidRPr="00A34F10">
        <w:t xml:space="preserve">BAS 743 02 F </w:t>
      </w:r>
      <w:r w:rsidRPr="00A34F10">
        <w:rPr>
          <w:bCs/>
        </w:rPr>
        <w:t xml:space="preserve">did not show any statistically significant effects on mortality and body weight. </w:t>
      </w:r>
      <w:bookmarkStart w:id="1148" w:name="_Hlk133574458"/>
      <w:r w:rsidRPr="00A34F10">
        <w:rPr>
          <w:lang w:val="en-GB"/>
        </w:rPr>
        <w:t>Statistically significant effects on</w:t>
      </w:r>
      <w:r w:rsidRPr="00A34F10">
        <w:rPr>
          <w:bCs/>
        </w:rPr>
        <w:t xml:space="preserve"> reproduction compared to the control were recorded at concentrations ≥ 309 mg product/kg soil dw. </w:t>
      </w:r>
      <w:bookmarkEnd w:id="1148"/>
      <w:r w:rsidRPr="00A34F10">
        <w:t xml:space="preserve">The NOEC for mortality and biomass was determined to be </w:t>
      </w:r>
      <w:r w:rsidRPr="00A34F10">
        <w:rPr>
          <w:u w:val="single"/>
        </w:rPr>
        <w:t xml:space="preserve">&gt; </w:t>
      </w:r>
      <w:r w:rsidRPr="00A34F10">
        <w:t xml:space="preserve">1000 </w:t>
      </w:r>
      <w:bookmarkStart w:id="1149" w:name="_Hlk133574568"/>
      <w:r w:rsidRPr="00A34F10">
        <w:t xml:space="preserve">mg </w:t>
      </w:r>
      <w:r w:rsidRPr="00A34F10">
        <w:rPr>
          <w:bCs/>
          <w:lang w:val="en-GB"/>
        </w:rPr>
        <w:t>product</w:t>
      </w:r>
      <w:r w:rsidRPr="00A34F10">
        <w:t xml:space="preserve">/kg soil dw, corresponding to a total amount of </w:t>
      </w:r>
      <w:r w:rsidRPr="00A34F10">
        <w:rPr>
          <w:color w:val="000000"/>
        </w:rPr>
        <w:t xml:space="preserve">527.0 </w:t>
      </w:r>
      <w:r w:rsidRPr="00A34F10">
        <w:t xml:space="preserve">mg a.s./kg soil dw (sum of active substances) respectively, 400.0 mg </w:t>
      </w:r>
      <w:bookmarkStart w:id="1150" w:name="_Hlk117492110"/>
      <w:r w:rsidRPr="00A34F10">
        <w:rPr>
          <w:lang w:val="en-GB"/>
        </w:rPr>
        <w:t>propamocarb</w:t>
      </w:r>
      <w:bookmarkEnd w:id="1150"/>
      <w:r w:rsidRPr="00A34F10">
        <w:t xml:space="preserve">/kg soil dw and 127.0 mg ametoctradin /kg soil dw. </w:t>
      </w:r>
      <w:bookmarkStart w:id="1151" w:name="_Hlk133574599"/>
      <w:bookmarkEnd w:id="1149"/>
      <w:r w:rsidRPr="00A34F10">
        <w:t xml:space="preserve">The NOEC for reproduction was determined to be 171 mg </w:t>
      </w:r>
      <w:r w:rsidRPr="00A34F10">
        <w:rPr>
          <w:bCs/>
          <w:lang w:val="en-GB"/>
        </w:rPr>
        <w:t>product</w:t>
      </w:r>
      <w:r w:rsidRPr="00A34F10">
        <w:t xml:space="preserve">/kg soil dw corresponding to a total amount of 90.4 mg a.s./kg soil dw (sum of active substances) respectively, </w:t>
      </w:r>
      <w:r w:rsidRPr="00A34F10">
        <w:rPr>
          <w:color w:val="000000"/>
        </w:rPr>
        <w:t xml:space="preserve">68.6 </w:t>
      </w:r>
      <w:r w:rsidRPr="00A34F10">
        <w:t xml:space="preserve">mg </w:t>
      </w:r>
      <w:r w:rsidRPr="00A34F10">
        <w:rPr>
          <w:lang w:val="en-GB"/>
        </w:rPr>
        <w:t>propamocarb</w:t>
      </w:r>
      <w:r w:rsidRPr="00A34F10">
        <w:t xml:space="preserve">/kg soil dw and </w:t>
      </w:r>
      <w:r w:rsidRPr="00A34F10">
        <w:rPr>
          <w:color w:val="000000"/>
        </w:rPr>
        <w:t xml:space="preserve">21.8 </w:t>
      </w:r>
      <w:r w:rsidRPr="00A34F10">
        <w:t xml:space="preserve">mg ametoctradin/kg soil dw. </w:t>
      </w:r>
      <w:bookmarkEnd w:id="1151"/>
      <w:r w:rsidRPr="00A34F10">
        <w:t>The EC</w:t>
      </w:r>
      <w:r w:rsidRPr="00A34F10">
        <w:rPr>
          <w:vertAlign w:val="subscript"/>
        </w:rPr>
        <w:t>10</w:t>
      </w:r>
      <w:r w:rsidRPr="00A34F10">
        <w:t xml:space="preserve"> and EC</w:t>
      </w:r>
      <w:r w:rsidRPr="00A34F10">
        <w:rPr>
          <w:vertAlign w:val="subscript"/>
        </w:rPr>
        <w:t>20</w:t>
      </w:r>
      <w:r w:rsidRPr="00A34F10">
        <w:t xml:space="preserve"> values for reproduction were considered not reliable </w:t>
      </w:r>
      <w:bookmarkStart w:id="1152" w:name="_Hlk133574623"/>
      <w:r w:rsidRPr="00A34F10">
        <w:t>and the EC</w:t>
      </w:r>
      <w:r w:rsidRPr="00A34F10">
        <w:rPr>
          <w:vertAlign w:val="subscript"/>
        </w:rPr>
        <w:t>50</w:t>
      </w:r>
      <w:r w:rsidRPr="00A34F10">
        <w:t xml:space="preserve"> value could not be determined but it can be concluded that it is &gt; 1000 mg product/kg soil dw.</w:t>
      </w:r>
      <w:bookmarkEnd w:id="1152"/>
    </w:p>
    <w:p w14:paraId="4D217220" w14:textId="39AEEE24" w:rsidR="00DC5685" w:rsidRPr="00A34F10" w:rsidRDefault="00DC5685" w:rsidP="00A34F10"/>
    <w:p w14:paraId="6FC1104A" w14:textId="77777777" w:rsidR="00DC5685" w:rsidRPr="00A34F10" w:rsidRDefault="00DC5685" w:rsidP="00DC5685">
      <w:pPr>
        <w:tabs>
          <w:tab w:val="left" w:pos="720"/>
        </w:tabs>
        <w:spacing w:after="240"/>
        <w:ind w:left="720" w:hanging="431"/>
        <w:contextualSpacing/>
        <w:jc w:val="center"/>
        <w:rPr>
          <w:b/>
          <w:bCs/>
          <w:caps/>
          <w:szCs w:val="24"/>
          <w:lang w:val="en-GB"/>
        </w:rPr>
      </w:pPr>
      <w:bookmarkStart w:id="1153" w:name="_Hlk133574662"/>
      <w:r w:rsidRPr="00A34F10">
        <w:rPr>
          <w:b/>
          <w:bCs/>
          <w:caps/>
          <w:szCs w:val="24"/>
          <w:lang w:val="en-GB"/>
        </w:rPr>
        <w:t>I. MATERIALS AND METHODS</w:t>
      </w:r>
    </w:p>
    <w:p w14:paraId="5C9ADE52" w14:textId="77777777" w:rsidR="00DC5685" w:rsidRPr="00A34F10" w:rsidRDefault="00DC5685" w:rsidP="00E05ECD">
      <w:pPr>
        <w:numPr>
          <w:ilvl w:val="0"/>
          <w:numId w:val="84"/>
        </w:numPr>
        <w:ind w:left="357" w:hanging="357"/>
        <w:contextualSpacing/>
        <w:rPr>
          <w:b/>
          <w:bCs/>
          <w:caps/>
          <w:szCs w:val="24"/>
          <w:lang w:val="en-GB"/>
        </w:rPr>
      </w:pPr>
      <w:r w:rsidRPr="00A34F10">
        <w:rPr>
          <w:b/>
          <w:bCs/>
          <w:caps/>
          <w:szCs w:val="24"/>
          <w:lang w:val="en-GB"/>
        </w:rPr>
        <w:lastRenderedPageBreak/>
        <w:t>MATERIALS</w:t>
      </w:r>
    </w:p>
    <w:p w14:paraId="3C4FCEE0"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7BD2E1EF" w14:textId="77777777" w:rsidTr="000470C3">
        <w:trPr>
          <w:cantSplit/>
          <w:trHeight w:hRule="exact" w:val="340"/>
        </w:trPr>
        <w:tc>
          <w:tcPr>
            <w:tcW w:w="3969" w:type="dxa"/>
          </w:tcPr>
          <w:p w14:paraId="5CC02E1B" w14:textId="77777777" w:rsidR="00DC5685" w:rsidRPr="00A34F10" w:rsidRDefault="00DC5685" w:rsidP="00E05ECD">
            <w:pPr>
              <w:numPr>
                <w:ilvl w:val="0"/>
                <w:numId w:val="85"/>
              </w:numPr>
              <w:tabs>
                <w:tab w:val="left" w:pos="255"/>
              </w:tabs>
              <w:spacing w:after="240"/>
              <w:contextualSpacing/>
              <w:rPr>
                <w:rFonts w:ascii="Times New Roman" w:hAnsi="Times New Roman"/>
                <w:b/>
                <w:szCs w:val="24"/>
              </w:rPr>
            </w:pPr>
            <w:r w:rsidRPr="00A34F10">
              <w:rPr>
                <w:rFonts w:ascii="Times New Roman" w:hAnsi="Times New Roman"/>
                <w:b/>
                <w:szCs w:val="24"/>
              </w:rPr>
              <w:t>Test item:</w:t>
            </w:r>
          </w:p>
        </w:tc>
        <w:tc>
          <w:tcPr>
            <w:tcW w:w="5381" w:type="dxa"/>
          </w:tcPr>
          <w:p w14:paraId="53B5ADA1"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BAS 743 02 F</w:t>
            </w:r>
          </w:p>
        </w:tc>
      </w:tr>
      <w:tr w:rsidR="00DC5685" w:rsidRPr="00A34F10" w14:paraId="17C4F3A7" w14:textId="77777777" w:rsidTr="000470C3">
        <w:trPr>
          <w:cantSplit/>
          <w:trHeight w:hRule="exact" w:val="340"/>
        </w:trPr>
        <w:tc>
          <w:tcPr>
            <w:tcW w:w="3969" w:type="dxa"/>
          </w:tcPr>
          <w:p w14:paraId="643295F8"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Description:</w:t>
            </w:r>
          </w:p>
        </w:tc>
        <w:tc>
          <w:tcPr>
            <w:tcW w:w="5381" w:type="dxa"/>
          </w:tcPr>
          <w:p w14:paraId="03B0269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Soluble concentrate (SC)</w:t>
            </w:r>
          </w:p>
        </w:tc>
      </w:tr>
      <w:tr w:rsidR="00DC5685" w:rsidRPr="00A34F10" w14:paraId="11312117" w14:textId="77777777" w:rsidTr="000470C3">
        <w:trPr>
          <w:cantSplit/>
          <w:trHeight w:hRule="exact" w:val="340"/>
        </w:trPr>
        <w:tc>
          <w:tcPr>
            <w:tcW w:w="3969" w:type="dxa"/>
          </w:tcPr>
          <w:p w14:paraId="79C4191E"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Lot/Batch:</w:t>
            </w:r>
          </w:p>
        </w:tc>
        <w:tc>
          <w:tcPr>
            <w:tcW w:w="5381" w:type="dxa"/>
          </w:tcPr>
          <w:p w14:paraId="730490BA"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FRE-002224</w:t>
            </w:r>
          </w:p>
        </w:tc>
      </w:tr>
      <w:tr w:rsidR="00DC5685" w:rsidRPr="00A34F10" w14:paraId="4F9C653A" w14:textId="77777777" w:rsidTr="000470C3">
        <w:trPr>
          <w:cantSplit/>
          <w:trHeight w:hRule="exact" w:val="616"/>
        </w:trPr>
        <w:tc>
          <w:tcPr>
            <w:tcW w:w="3969" w:type="dxa"/>
          </w:tcPr>
          <w:p w14:paraId="24CF2A07"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Active substance content:</w:t>
            </w:r>
          </w:p>
        </w:tc>
        <w:tc>
          <w:tcPr>
            <w:tcW w:w="5381" w:type="dxa"/>
          </w:tcPr>
          <w:p w14:paraId="3A8C0AA3"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Propamocarb: nominal 432.0 g/L, analysed 431.0 g/L;</w:t>
            </w:r>
          </w:p>
          <w:p w14:paraId="2980DC9E" w14:textId="77777777" w:rsidR="00DC5685" w:rsidRPr="00A34F10" w:rsidRDefault="00DC5685" w:rsidP="00DC5685">
            <w:pPr>
              <w:tabs>
                <w:tab w:val="left" w:pos="720"/>
              </w:tabs>
              <w:rPr>
                <w:rFonts w:ascii="Times New Roman" w:hAnsi="Times New Roman"/>
                <w:szCs w:val="24"/>
                <w:u w:val="single"/>
              </w:rPr>
            </w:pPr>
            <w:r w:rsidRPr="00A34F10">
              <w:rPr>
                <w:rFonts w:ascii="Times New Roman" w:hAnsi="Times New Roman"/>
                <w:szCs w:val="24"/>
              </w:rPr>
              <w:t>Ametoctradin: nominal 137.14 g/L, analysed 137.7 g/L</w:t>
            </w:r>
          </w:p>
        </w:tc>
      </w:tr>
      <w:tr w:rsidR="00DC5685" w:rsidRPr="00A34F10" w14:paraId="0CCB8DE1" w14:textId="77777777" w:rsidTr="000470C3">
        <w:trPr>
          <w:cantSplit/>
          <w:trHeight w:hRule="exact" w:val="340"/>
        </w:trPr>
        <w:tc>
          <w:tcPr>
            <w:tcW w:w="3969" w:type="dxa"/>
          </w:tcPr>
          <w:p w14:paraId="3DE43504"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Density:</w:t>
            </w:r>
          </w:p>
        </w:tc>
        <w:tc>
          <w:tcPr>
            <w:tcW w:w="5381" w:type="dxa"/>
          </w:tcPr>
          <w:p w14:paraId="76D2B73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1.080 g/cm</w:t>
            </w:r>
            <w:r w:rsidRPr="00A34F10">
              <w:rPr>
                <w:rFonts w:ascii="Times New Roman" w:hAnsi="Times New Roman"/>
                <w:szCs w:val="24"/>
                <w:vertAlign w:val="superscript"/>
              </w:rPr>
              <w:t xml:space="preserve">3 </w:t>
            </w:r>
          </w:p>
        </w:tc>
      </w:tr>
      <w:tr w:rsidR="00DC5685" w:rsidRPr="00A34F10" w14:paraId="108AE637" w14:textId="77777777" w:rsidTr="000470C3">
        <w:trPr>
          <w:cantSplit/>
          <w:trHeight w:hRule="exact" w:val="340"/>
        </w:trPr>
        <w:tc>
          <w:tcPr>
            <w:tcW w:w="3969" w:type="dxa"/>
          </w:tcPr>
          <w:p w14:paraId="780E9C91" w14:textId="77777777" w:rsidR="00DC5685" w:rsidRPr="00A34F10" w:rsidRDefault="00DC5685" w:rsidP="00E05ECD">
            <w:pPr>
              <w:numPr>
                <w:ilvl w:val="0"/>
                <w:numId w:val="85"/>
              </w:numPr>
              <w:tabs>
                <w:tab w:val="left" w:pos="255"/>
              </w:tabs>
              <w:spacing w:after="240"/>
              <w:contextualSpacing/>
              <w:rPr>
                <w:rFonts w:ascii="Times New Roman" w:hAnsi="Times New Roman"/>
                <w:b/>
                <w:szCs w:val="24"/>
              </w:rPr>
            </w:pPr>
            <w:r w:rsidRPr="00A34F10">
              <w:rPr>
                <w:rFonts w:ascii="Times New Roman" w:hAnsi="Times New Roman"/>
                <w:b/>
                <w:szCs w:val="24"/>
              </w:rPr>
              <w:t>Control:</w:t>
            </w:r>
          </w:p>
        </w:tc>
        <w:tc>
          <w:tcPr>
            <w:tcW w:w="5381" w:type="dxa"/>
          </w:tcPr>
          <w:p w14:paraId="639970D7"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Untreated substrate</w:t>
            </w:r>
          </w:p>
        </w:tc>
      </w:tr>
      <w:tr w:rsidR="00DC5685" w:rsidRPr="00A34F10" w14:paraId="7F25B776" w14:textId="77777777" w:rsidTr="000470C3">
        <w:trPr>
          <w:cantSplit/>
        </w:trPr>
        <w:tc>
          <w:tcPr>
            <w:tcW w:w="3969" w:type="dxa"/>
          </w:tcPr>
          <w:p w14:paraId="3BAE73FE" w14:textId="77777777" w:rsidR="00DC5685" w:rsidRPr="00A34F10" w:rsidRDefault="00DC5685" w:rsidP="00E05ECD">
            <w:pPr>
              <w:numPr>
                <w:ilvl w:val="0"/>
                <w:numId w:val="85"/>
              </w:numPr>
              <w:tabs>
                <w:tab w:val="left" w:pos="255"/>
              </w:tabs>
              <w:spacing w:after="240"/>
              <w:contextualSpacing/>
              <w:rPr>
                <w:rFonts w:ascii="Times New Roman" w:hAnsi="Times New Roman"/>
                <w:b/>
                <w:szCs w:val="24"/>
              </w:rPr>
            </w:pPr>
            <w:r w:rsidRPr="00A34F10">
              <w:rPr>
                <w:rFonts w:ascii="Times New Roman" w:hAnsi="Times New Roman"/>
                <w:b/>
                <w:szCs w:val="24"/>
              </w:rPr>
              <w:t>Reference item:</w:t>
            </w:r>
          </w:p>
        </w:tc>
        <w:tc>
          <w:tcPr>
            <w:tcW w:w="5381" w:type="dxa"/>
          </w:tcPr>
          <w:p w14:paraId="2EA4B0F7"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Maypon Flow (Carbendazim, SC 500), investigated in a separate study</w:t>
            </w:r>
          </w:p>
        </w:tc>
      </w:tr>
    </w:tbl>
    <w:p w14:paraId="64FC31DC" w14:textId="77777777" w:rsidR="00DC5685" w:rsidRPr="00A34F10" w:rsidRDefault="00DC5685" w:rsidP="00DC5685">
      <w:pPr>
        <w:tabs>
          <w:tab w:val="left" w:pos="0"/>
        </w:tabs>
        <w:ind w:left="357" w:hanging="357"/>
        <w:contextualSpacing/>
        <w:rPr>
          <w:b/>
          <w:bCs/>
          <w:caps/>
          <w:szCs w:val="24"/>
          <w:lang w:val="en-GB"/>
        </w:rPr>
      </w:pPr>
    </w:p>
    <w:p w14:paraId="3A11B8D6"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54ECC381"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241C254F" w14:textId="77777777" w:rsidTr="000470C3">
        <w:trPr>
          <w:trHeight w:hRule="exact" w:val="340"/>
        </w:trPr>
        <w:tc>
          <w:tcPr>
            <w:tcW w:w="3969" w:type="dxa"/>
          </w:tcPr>
          <w:p w14:paraId="1A151CEF" w14:textId="77777777" w:rsidR="00DC5685" w:rsidRPr="00A34F10" w:rsidRDefault="00DC5685" w:rsidP="00E05ECD">
            <w:pPr>
              <w:numPr>
                <w:ilvl w:val="0"/>
                <w:numId w:val="86"/>
              </w:numPr>
              <w:tabs>
                <w:tab w:val="left" w:pos="255"/>
              </w:tabs>
              <w:spacing w:after="240"/>
              <w:contextualSpacing/>
              <w:rPr>
                <w:rFonts w:ascii="Times New Roman" w:hAnsi="Times New Roman"/>
                <w:b/>
                <w:szCs w:val="24"/>
              </w:rPr>
            </w:pPr>
            <w:r w:rsidRPr="00A34F10">
              <w:rPr>
                <w:rFonts w:ascii="Times New Roman" w:hAnsi="Times New Roman"/>
                <w:b/>
                <w:szCs w:val="24"/>
              </w:rPr>
              <w:t>Test species:</w:t>
            </w:r>
          </w:p>
        </w:tc>
        <w:tc>
          <w:tcPr>
            <w:tcW w:w="5381" w:type="dxa"/>
          </w:tcPr>
          <w:p w14:paraId="3703B3F9"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Earthworm (</w:t>
            </w:r>
            <w:r w:rsidRPr="00A34F10">
              <w:rPr>
                <w:rFonts w:ascii="Times New Roman" w:hAnsi="Times New Roman"/>
                <w:i/>
                <w:iCs/>
                <w:szCs w:val="24"/>
              </w:rPr>
              <w:t>Eisenia andrei</w:t>
            </w:r>
            <w:r w:rsidRPr="00A34F10">
              <w:rPr>
                <w:rFonts w:ascii="Times New Roman" w:hAnsi="Times New Roman"/>
                <w:szCs w:val="24"/>
              </w:rPr>
              <w:t>)</w:t>
            </w:r>
          </w:p>
        </w:tc>
      </w:tr>
      <w:tr w:rsidR="00DC5685" w:rsidRPr="00A34F10" w14:paraId="332F71A5" w14:textId="77777777" w:rsidTr="000470C3">
        <w:trPr>
          <w:trHeight w:hRule="exact" w:val="340"/>
        </w:trPr>
        <w:tc>
          <w:tcPr>
            <w:tcW w:w="3969" w:type="dxa"/>
          </w:tcPr>
          <w:p w14:paraId="66D016F9"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 xml:space="preserve">Age/life stage: </w:t>
            </w:r>
          </w:p>
        </w:tc>
        <w:tc>
          <w:tcPr>
            <w:tcW w:w="5381" w:type="dxa"/>
          </w:tcPr>
          <w:p w14:paraId="580E2F0A"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Adults approx. 5 months old with clitellum</w:t>
            </w:r>
          </w:p>
        </w:tc>
      </w:tr>
      <w:tr w:rsidR="00DC5685" w:rsidRPr="00A34F10" w14:paraId="5A257FF4" w14:textId="77777777" w:rsidTr="000470C3">
        <w:trPr>
          <w:trHeight w:hRule="exact" w:val="340"/>
        </w:trPr>
        <w:tc>
          <w:tcPr>
            <w:tcW w:w="3969" w:type="dxa"/>
          </w:tcPr>
          <w:p w14:paraId="3E2786B5"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Body weight:</w:t>
            </w:r>
          </w:p>
        </w:tc>
        <w:tc>
          <w:tcPr>
            <w:tcW w:w="5381" w:type="dxa"/>
          </w:tcPr>
          <w:p w14:paraId="0D67975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300 – 499 mg</w:t>
            </w:r>
          </w:p>
        </w:tc>
      </w:tr>
      <w:tr w:rsidR="00DC5685" w:rsidRPr="00A34F10" w14:paraId="270BBACC" w14:textId="77777777" w:rsidTr="000470C3">
        <w:trPr>
          <w:trHeight w:hRule="exact" w:val="624"/>
        </w:trPr>
        <w:tc>
          <w:tcPr>
            <w:tcW w:w="3969" w:type="dxa"/>
          </w:tcPr>
          <w:p w14:paraId="6BAA98F1"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Source:</w:t>
            </w:r>
          </w:p>
        </w:tc>
        <w:tc>
          <w:tcPr>
            <w:tcW w:w="5381" w:type="dxa"/>
          </w:tcPr>
          <w:p w14:paraId="0ABA4592"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In-house culture, originally obtained from W. Neudorff GmbH KG</w:t>
            </w:r>
          </w:p>
        </w:tc>
      </w:tr>
      <w:tr w:rsidR="00DC5685" w:rsidRPr="00A34F10" w14:paraId="772B90C3" w14:textId="77777777" w:rsidTr="000470C3">
        <w:trPr>
          <w:trHeight w:hRule="exact" w:val="624"/>
        </w:trPr>
        <w:tc>
          <w:tcPr>
            <w:tcW w:w="3969" w:type="dxa"/>
          </w:tcPr>
          <w:p w14:paraId="0809E5E6"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Acclimatisation:</w:t>
            </w:r>
          </w:p>
        </w:tc>
        <w:tc>
          <w:tcPr>
            <w:tcW w:w="5381" w:type="dxa"/>
          </w:tcPr>
          <w:p w14:paraId="7EC56E7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At least 24 hours prior to test start in a separate batch of the artificial soil mixed with horse manure</w:t>
            </w:r>
          </w:p>
        </w:tc>
      </w:tr>
      <w:tr w:rsidR="00DC5685" w:rsidRPr="00A34F10" w14:paraId="2B0D7DE0" w14:textId="77777777" w:rsidTr="000470C3">
        <w:tc>
          <w:tcPr>
            <w:tcW w:w="3969" w:type="dxa"/>
          </w:tcPr>
          <w:p w14:paraId="5D5D7842" w14:textId="77777777" w:rsidR="00DC5685" w:rsidRPr="00A34F10" w:rsidRDefault="00DC5685" w:rsidP="00DC5685">
            <w:pPr>
              <w:tabs>
                <w:tab w:val="left" w:pos="624"/>
              </w:tabs>
              <w:ind w:left="624"/>
              <w:rPr>
                <w:rFonts w:ascii="Times New Roman" w:hAnsi="Times New Roman"/>
                <w:b/>
                <w:szCs w:val="24"/>
              </w:rPr>
            </w:pPr>
            <w:r w:rsidRPr="00A34F10">
              <w:rPr>
                <w:rFonts w:ascii="Times New Roman" w:hAnsi="Times New Roman"/>
                <w:b/>
                <w:szCs w:val="24"/>
              </w:rPr>
              <w:t xml:space="preserve">Diet: </w:t>
            </w:r>
          </w:p>
        </w:tc>
        <w:tc>
          <w:tcPr>
            <w:tcW w:w="5381" w:type="dxa"/>
          </w:tcPr>
          <w:p w14:paraId="65DB59B6"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1 day after application, 5 g air-dried and finely ground horse manure was scattered on the soil surface of each test vessel, which was moistened with 5 mL deionised water. Earthworms were fed weekly during the first 4 weeks. The weekly amount of manure (5 g) was dependent on feeding activity, which was assessed by visual estimation of the food remaining on the surface. After adult worms were removed from the test vessels (4 weeks)</w:t>
            </w:r>
            <w:r w:rsidRPr="00A34F10">
              <w:rPr>
                <w:rFonts w:ascii="Times New Roman" w:hAnsi="Times New Roman"/>
              </w:rPr>
              <w:t xml:space="preserve"> </w:t>
            </w:r>
            <w:r w:rsidRPr="00A34F10">
              <w:rPr>
                <w:rFonts w:ascii="Times New Roman" w:hAnsi="Times New Roman"/>
                <w:szCs w:val="24"/>
              </w:rPr>
              <w:t>the soil of each vessel was mixed carefully with 5 g manure. This was the last feeding occasion of the test.</w:t>
            </w:r>
          </w:p>
        </w:tc>
      </w:tr>
      <w:tr w:rsidR="00DC5685" w:rsidRPr="00A34F10" w14:paraId="1B383484" w14:textId="77777777" w:rsidTr="000470C3">
        <w:tc>
          <w:tcPr>
            <w:tcW w:w="3969" w:type="dxa"/>
          </w:tcPr>
          <w:p w14:paraId="3FA2BD49" w14:textId="77777777" w:rsidR="00DC5685" w:rsidRPr="00A34F10" w:rsidRDefault="00DC5685" w:rsidP="00E05ECD">
            <w:pPr>
              <w:numPr>
                <w:ilvl w:val="0"/>
                <w:numId w:val="86"/>
              </w:numPr>
              <w:tabs>
                <w:tab w:val="left" w:pos="255"/>
              </w:tabs>
              <w:spacing w:after="240"/>
              <w:contextualSpacing/>
              <w:rPr>
                <w:rFonts w:ascii="Times New Roman" w:hAnsi="Times New Roman"/>
                <w:b/>
                <w:szCs w:val="24"/>
              </w:rPr>
            </w:pPr>
            <w:r w:rsidRPr="00A34F10">
              <w:rPr>
                <w:rFonts w:ascii="Times New Roman" w:hAnsi="Times New Roman"/>
                <w:b/>
                <w:szCs w:val="24"/>
              </w:rPr>
              <w:t>Test units:</w:t>
            </w:r>
          </w:p>
        </w:tc>
        <w:tc>
          <w:tcPr>
            <w:tcW w:w="5381" w:type="dxa"/>
          </w:tcPr>
          <w:p w14:paraId="61447B39" w14:textId="77777777" w:rsidR="00DC5685" w:rsidRPr="00A34F10" w:rsidRDefault="00DC5685" w:rsidP="00DC5685">
            <w:pPr>
              <w:tabs>
                <w:tab w:val="left" w:pos="720"/>
              </w:tabs>
              <w:rPr>
                <w:rFonts w:ascii="Times New Roman" w:hAnsi="Times New Roman"/>
                <w:szCs w:val="24"/>
              </w:rPr>
            </w:pPr>
            <w:r w:rsidRPr="003B09BC">
              <w:rPr>
                <w:rFonts w:ascii="Times New Roman" w:hAnsi="Times New Roman"/>
                <w:szCs w:val="24"/>
                <w:lang w:val="fr-FR"/>
              </w:rPr>
              <w:t xml:space="preserve">Plastic vessels (inside dimensions approx. </w:t>
            </w:r>
            <w:r w:rsidRPr="00A34F10">
              <w:rPr>
                <w:rFonts w:ascii="Times New Roman" w:hAnsi="Times New Roman"/>
                <w:szCs w:val="24"/>
              </w:rPr>
              <w:t>16.5 cm × 12 cm × 6 cm) with a lid pervious to air and light. Approx. 810 g wet weight soil (600 g soil dw) per vessel.</w:t>
            </w:r>
          </w:p>
        </w:tc>
      </w:tr>
      <w:tr w:rsidR="00DC5685" w:rsidRPr="00A34F10" w14:paraId="0518D68E" w14:textId="77777777" w:rsidTr="000470C3">
        <w:trPr>
          <w:trHeight w:hRule="exact" w:val="340"/>
        </w:trPr>
        <w:tc>
          <w:tcPr>
            <w:tcW w:w="3969" w:type="dxa"/>
          </w:tcPr>
          <w:p w14:paraId="56437AA0" w14:textId="77777777" w:rsidR="00DC5685" w:rsidRPr="00A34F10" w:rsidRDefault="00DC5685" w:rsidP="00E05ECD">
            <w:pPr>
              <w:numPr>
                <w:ilvl w:val="0"/>
                <w:numId w:val="86"/>
              </w:numPr>
              <w:tabs>
                <w:tab w:val="left" w:pos="255"/>
              </w:tabs>
              <w:spacing w:after="240"/>
              <w:contextualSpacing/>
              <w:rPr>
                <w:rFonts w:ascii="Times New Roman" w:hAnsi="Times New Roman"/>
                <w:b/>
                <w:szCs w:val="24"/>
              </w:rPr>
            </w:pPr>
            <w:r w:rsidRPr="00A34F10">
              <w:rPr>
                <w:rFonts w:ascii="Times New Roman" w:hAnsi="Times New Roman"/>
                <w:b/>
                <w:szCs w:val="24"/>
              </w:rPr>
              <w:t>Environmental conditions</w:t>
            </w:r>
          </w:p>
        </w:tc>
        <w:tc>
          <w:tcPr>
            <w:tcW w:w="5381" w:type="dxa"/>
          </w:tcPr>
          <w:p w14:paraId="75C441AF" w14:textId="77777777" w:rsidR="00DC5685" w:rsidRPr="00A34F10" w:rsidRDefault="00DC5685" w:rsidP="00DC5685">
            <w:pPr>
              <w:tabs>
                <w:tab w:val="left" w:pos="720"/>
              </w:tabs>
              <w:spacing w:after="240"/>
              <w:rPr>
                <w:rFonts w:ascii="Times New Roman" w:hAnsi="Times New Roman"/>
                <w:szCs w:val="24"/>
              </w:rPr>
            </w:pPr>
          </w:p>
        </w:tc>
      </w:tr>
      <w:tr w:rsidR="00DC5685" w:rsidRPr="00A34F10" w14:paraId="2794F4E1" w14:textId="77777777" w:rsidTr="000470C3">
        <w:trPr>
          <w:trHeight w:hRule="exact" w:val="850"/>
        </w:trPr>
        <w:tc>
          <w:tcPr>
            <w:tcW w:w="3969" w:type="dxa"/>
          </w:tcPr>
          <w:p w14:paraId="24EBC25B"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Test soil:</w:t>
            </w:r>
          </w:p>
        </w:tc>
        <w:tc>
          <w:tcPr>
            <w:tcW w:w="5381" w:type="dxa"/>
          </w:tcPr>
          <w:p w14:paraId="038BDC74"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Artificial soil according to OECD 222: 10% sphagnum peat, 20% kaolin clay, 0.5% calcium carbonate and 69.5% industrial quartz sand</w:t>
            </w:r>
          </w:p>
        </w:tc>
      </w:tr>
      <w:tr w:rsidR="00DC5685" w:rsidRPr="00A34F10" w14:paraId="11E67138" w14:textId="77777777" w:rsidTr="000470C3">
        <w:trPr>
          <w:trHeight w:hRule="exact" w:val="340"/>
        </w:trPr>
        <w:tc>
          <w:tcPr>
            <w:tcW w:w="3969" w:type="dxa"/>
          </w:tcPr>
          <w:p w14:paraId="1883320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Temperature:</w:t>
            </w:r>
          </w:p>
        </w:tc>
        <w:tc>
          <w:tcPr>
            <w:tcW w:w="5381" w:type="dxa"/>
          </w:tcPr>
          <w:p w14:paraId="7C242683"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19.8 – 21.9°C</w:t>
            </w:r>
          </w:p>
        </w:tc>
      </w:tr>
      <w:tr w:rsidR="00DC5685" w:rsidRPr="00A34F10" w14:paraId="5FD8DCD8" w14:textId="77777777" w:rsidTr="000470C3">
        <w:trPr>
          <w:trHeight w:hRule="exact" w:val="624"/>
        </w:trPr>
        <w:tc>
          <w:tcPr>
            <w:tcW w:w="3969" w:type="dxa"/>
          </w:tcPr>
          <w:p w14:paraId="50922E1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w:t>
            </w:r>
          </w:p>
        </w:tc>
        <w:tc>
          <w:tcPr>
            <w:tcW w:w="5381" w:type="dxa"/>
          </w:tcPr>
          <w:p w14:paraId="12FFCDED"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6.04 – 6.10</w:t>
            </w:r>
          </w:p>
          <w:p w14:paraId="7A8BCA32"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end: 5.68 – 5.79</w:t>
            </w:r>
          </w:p>
        </w:tc>
      </w:tr>
      <w:tr w:rsidR="00DC5685" w:rsidRPr="00A34F10" w14:paraId="5F2A53E8" w14:textId="77777777" w:rsidTr="000470C3">
        <w:trPr>
          <w:trHeight w:hRule="exact" w:val="397"/>
        </w:trPr>
        <w:tc>
          <w:tcPr>
            <w:tcW w:w="3969" w:type="dxa"/>
          </w:tcPr>
          <w:p w14:paraId="1D9D2DE7"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WHC</w:t>
            </w:r>
            <w:r w:rsidRPr="00A34F10">
              <w:rPr>
                <w:rFonts w:ascii="Times New Roman" w:hAnsi="Times New Roman"/>
                <w:b/>
                <w:szCs w:val="24"/>
                <w:vertAlign w:val="subscript"/>
              </w:rPr>
              <w:t>max</w:t>
            </w:r>
            <w:r w:rsidRPr="00A34F10">
              <w:rPr>
                <w:rFonts w:ascii="Times New Roman" w:hAnsi="Times New Roman"/>
                <w:b/>
                <w:szCs w:val="24"/>
              </w:rPr>
              <w:t>:</w:t>
            </w:r>
          </w:p>
        </w:tc>
        <w:tc>
          <w:tcPr>
            <w:tcW w:w="5381" w:type="dxa"/>
          </w:tcPr>
          <w:p w14:paraId="31F6ABD2"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62.0 (g/100 g dry soil)</w:t>
            </w:r>
          </w:p>
        </w:tc>
      </w:tr>
      <w:tr w:rsidR="00DC5685" w:rsidRPr="00A34F10" w14:paraId="1919B7AE" w14:textId="77777777" w:rsidTr="000470C3">
        <w:trPr>
          <w:trHeight w:hRule="exact" w:val="624"/>
        </w:trPr>
        <w:tc>
          <w:tcPr>
            <w:tcW w:w="3969" w:type="dxa"/>
          </w:tcPr>
          <w:p w14:paraId="75E1C318"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Water content:</w:t>
            </w:r>
          </w:p>
        </w:tc>
        <w:tc>
          <w:tcPr>
            <w:tcW w:w="5381" w:type="dxa"/>
          </w:tcPr>
          <w:p w14:paraId="71066B6C"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56.3 – 56.5% of WHC</w:t>
            </w:r>
            <w:r w:rsidRPr="00A34F10">
              <w:rPr>
                <w:rFonts w:ascii="Times New Roman" w:hAnsi="Times New Roman"/>
                <w:szCs w:val="24"/>
                <w:vertAlign w:val="subscript"/>
              </w:rPr>
              <w:t>max</w:t>
            </w:r>
          </w:p>
          <w:p w14:paraId="1E540A3E"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end: 55.0 – 55.8% of WHC</w:t>
            </w:r>
            <w:r w:rsidRPr="00A34F10">
              <w:rPr>
                <w:rFonts w:ascii="Times New Roman" w:hAnsi="Times New Roman"/>
                <w:szCs w:val="24"/>
                <w:vertAlign w:val="subscript"/>
              </w:rPr>
              <w:t>max</w:t>
            </w:r>
          </w:p>
        </w:tc>
      </w:tr>
      <w:tr w:rsidR="00DC5685" w:rsidRPr="00A34F10" w14:paraId="4AE05BAD" w14:textId="77777777" w:rsidTr="000470C3">
        <w:trPr>
          <w:trHeight w:hRule="exact" w:val="340"/>
        </w:trPr>
        <w:tc>
          <w:tcPr>
            <w:tcW w:w="3969" w:type="dxa"/>
          </w:tcPr>
          <w:p w14:paraId="0AA848C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Photoperiod:</w:t>
            </w:r>
          </w:p>
        </w:tc>
        <w:tc>
          <w:tcPr>
            <w:tcW w:w="5381" w:type="dxa"/>
          </w:tcPr>
          <w:p w14:paraId="74FDE252"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16 h light: 8 h dark (620 lux)</w:t>
            </w:r>
          </w:p>
        </w:tc>
      </w:tr>
    </w:tbl>
    <w:p w14:paraId="1018AE44" w14:textId="06F2BF69" w:rsidR="00040826" w:rsidRDefault="00040826">
      <w:pPr>
        <w:rPr>
          <w:b/>
          <w:bCs/>
          <w:szCs w:val="24"/>
          <w:lang w:val="en-GB"/>
        </w:rPr>
      </w:pPr>
    </w:p>
    <w:p w14:paraId="345D8195" w14:textId="77777777" w:rsidR="00DC5685" w:rsidRPr="00A34F10" w:rsidRDefault="00DC5685" w:rsidP="00DC5685">
      <w:pPr>
        <w:numPr>
          <w:ilvl w:val="3"/>
          <w:numId w:val="0"/>
        </w:numPr>
        <w:tabs>
          <w:tab w:val="left" w:pos="0"/>
        </w:tabs>
        <w:ind w:left="360" w:hanging="360"/>
        <w:contextualSpacing/>
        <w:rPr>
          <w:b/>
          <w:bCs/>
          <w:szCs w:val="24"/>
          <w:lang w:val="en-GB"/>
        </w:rPr>
      </w:pPr>
    </w:p>
    <w:p w14:paraId="09CFAB72" w14:textId="77777777" w:rsidR="00DC5685" w:rsidRPr="00A34F10" w:rsidRDefault="00DC5685" w:rsidP="00E05ECD">
      <w:pPr>
        <w:numPr>
          <w:ilvl w:val="0"/>
          <w:numId w:val="86"/>
        </w:numPr>
        <w:tabs>
          <w:tab w:val="left" w:pos="0"/>
        </w:tabs>
        <w:ind w:left="357" w:hanging="357"/>
        <w:contextualSpacing/>
        <w:rPr>
          <w:b/>
          <w:bCs/>
          <w:szCs w:val="24"/>
          <w:lang w:val="en-GB"/>
        </w:rPr>
      </w:pPr>
      <w:r w:rsidRPr="00A34F10">
        <w:rPr>
          <w:b/>
          <w:bCs/>
          <w:szCs w:val="24"/>
          <w:lang w:val="en-GB"/>
        </w:rPr>
        <w:t xml:space="preserve">Test organism and treatment: </w:t>
      </w:r>
    </w:p>
    <w:p w14:paraId="7EF0D90D" w14:textId="54C74F56" w:rsidR="00DC5685" w:rsidRPr="00A34F10" w:rsidRDefault="00DC5685" w:rsidP="00DC5685">
      <w:pPr>
        <w:tabs>
          <w:tab w:val="left" w:pos="720"/>
        </w:tabs>
        <w:spacing w:after="240"/>
        <w:jc w:val="both"/>
        <w:rPr>
          <w:szCs w:val="24"/>
          <w:lang w:val="en-GB"/>
        </w:rPr>
      </w:pPr>
      <w:r w:rsidRPr="00A34F10">
        <w:rPr>
          <w:szCs w:val="24"/>
          <w:lang w:val="en-GB"/>
        </w:rPr>
        <w:lastRenderedPageBreak/>
        <w:t>The study comprised nine treatment groups (eight test item concentrations and a control). The test item concentrations and their respective active substance contents are summarised in</w:t>
      </w:r>
      <w:r w:rsidR="00040826">
        <w:rPr>
          <w:szCs w:val="24"/>
          <w:lang w:val="en-GB"/>
        </w:rPr>
        <w:t xml:space="preserve"> </w:t>
      </w:r>
      <w:r w:rsidR="00040826">
        <w:rPr>
          <w:szCs w:val="24"/>
          <w:lang w:val="en-GB"/>
        </w:rPr>
        <w:fldChar w:fldCharType="begin"/>
      </w:r>
      <w:r w:rsidR="00040826">
        <w:rPr>
          <w:szCs w:val="24"/>
          <w:lang w:val="en-GB"/>
        </w:rPr>
        <w:instrText xml:space="preserve"> REF _Ref147911565 \h </w:instrText>
      </w:r>
      <w:r w:rsidR="00040826">
        <w:rPr>
          <w:szCs w:val="24"/>
          <w:lang w:val="en-GB"/>
        </w:rPr>
      </w:r>
      <w:r w:rsidR="00040826">
        <w:rPr>
          <w:szCs w:val="24"/>
          <w:lang w:val="en-GB"/>
        </w:rPr>
        <w:fldChar w:fldCharType="separate"/>
      </w:r>
      <w:r w:rsidR="006F0F3B">
        <w:t xml:space="preserve">Table A </w:t>
      </w:r>
      <w:r w:rsidR="006F0F3B">
        <w:rPr>
          <w:noProof/>
        </w:rPr>
        <w:t>70</w:t>
      </w:r>
      <w:r w:rsidR="00040826">
        <w:rPr>
          <w:szCs w:val="24"/>
          <w:lang w:val="en-GB"/>
        </w:rPr>
        <w:fldChar w:fldCharType="end"/>
      </w:r>
      <w:r w:rsidRPr="00A34F10">
        <w:rPr>
          <w:szCs w:val="24"/>
          <w:lang w:val="en-GB"/>
        </w:rPr>
        <w:t xml:space="preserve">. Four replicates were used per test item treatment and eight replicates were used in the control. Each replicate contained 10 earthworms. </w:t>
      </w:r>
    </w:p>
    <w:p w14:paraId="78C3C11A" w14:textId="622DD9DC" w:rsidR="00DC5685" w:rsidRPr="00A34F10" w:rsidRDefault="00040826" w:rsidP="00040826">
      <w:pPr>
        <w:pStyle w:val="Legenda"/>
      </w:pPr>
      <w:bookmarkStart w:id="1154" w:name="_Ref147911565"/>
      <w:bookmarkEnd w:id="1153"/>
      <w:r>
        <w:t xml:space="preserve">Table A </w:t>
      </w:r>
      <w:r>
        <w:fldChar w:fldCharType="begin"/>
      </w:r>
      <w:r>
        <w:instrText xml:space="preserve"> SEQ Table_A \* ARABIC </w:instrText>
      </w:r>
      <w:r>
        <w:fldChar w:fldCharType="separate"/>
      </w:r>
      <w:r w:rsidR="006F0F3B">
        <w:rPr>
          <w:noProof/>
        </w:rPr>
        <w:t>70</w:t>
      </w:r>
      <w:r>
        <w:fldChar w:fldCharType="end"/>
      </w:r>
      <w:bookmarkEnd w:id="1154"/>
      <w:r w:rsidR="00DC5685" w:rsidRPr="00A34F10">
        <w:t>:</w:t>
      </w:r>
      <w:r w:rsidR="00A34F10" w:rsidRPr="00A34F10">
        <w:tab/>
      </w:r>
      <w:r w:rsidR="00DC5685" w:rsidRPr="00A34F10">
        <w:t xml:space="preserve"> Active substance content of the test item at each test concentration</w:t>
      </w:r>
    </w:p>
    <w:tbl>
      <w:tblPr>
        <w:tblStyle w:val="TableGrid8"/>
        <w:tblW w:w="5000" w:type="pct"/>
        <w:tblLook w:val="04A0" w:firstRow="1" w:lastRow="0" w:firstColumn="1" w:lastColumn="0" w:noHBand="0" w:noVBand="1"/>
      </w:tblPr>
      <w:tblGrid>
        <w:gridCol w:w="3114"/>
        <w:gridCol w:w="3115"/>
        <w:gridCol w:w="3115"/>
      </w:tblGrid>
      <w:tr w:rsidR="00DC5685" w:rsidRPr="00A34F10" w14:paraId="3CD4BD80" w14:textId="77777777" w:rsidTr="000470C3">
        <w:tc>
          <w:tcPr>
            <w:tcW w:w="1650" w:type="pct"/>
            <w:noWrap/>
            <w:vAlign w:val="center"/>
          </w:tcPr>
          <w:p w14:paraId="08D40C8B"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BAS 743 02 F</w:t>
            </w:r>
            <w:r w:rsidRPr="003B09BC">
              <w:rPr>
                <w:rFonts w:ascii="Times New Roman" w:hAnsi="Times New Roman"/>
                <w:b/>
                <w:sz w:val="20"/>
                <w:szCs w:val="20"/>
                <w:lang w:val="fr-FR"/>
              </w:rPr>
              <w:br/>
              <w:t>(mg/kg soil dw)</w:t>
            </w:r>
          </w:p>
        </w:tc>
        <w:tc>
          <w:tcPr>
            <w:tcW w:w="1650" w:type="pct"/>
            <w:noWrap/>
            <w:vAlign w:val="center"/>
          </w:tcPr>
          <w:p w14:paraId="49F1DAFB"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Propamocarb</w:t>
            </w:r>
            <w:r w:rsidRPr="003B09BC">
              <w:rPr>
                <w:rFonts w:ascii="Times New Roman" w:hAnsi="Times New Roman"/>
                <w:b/>
                <w:sz w:val="20"/>
                <w:szCs w:val="20"/>
                <w:lang w:val="fr-FR"/>
              </w:rPr>
              <w:br/>
              <w:t>(mg a.s./kg soil dw)*</w:t>
            </w:r>
          </w:p>
        </w:tc>
        <w:tc>
          <w:tcPr>
            <w:tcW w:w="1650" w:type="pct"/>
            <w:noWrap/>
            <w:vAlign w:val="center"/>
          </w:tcPr>
          <w:p w14:paraId="5E6AA8A5"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Ametoctradin (BAS 650 F)</w:t>
            </w:r>
            <w:r w:rsidRPr="00A34F10">
              <w:rPr>
                <w:rFonts w:ascii="Times New Roman" w:hAnsi="Times New Roman"/>
                <w:b/>
                <w:sz w:val="20"/>
                <w:szCs w:val="20"/>
              </w:rPr>
              <w:br/>
              <w:t>(mg a.s./kg soil dw)*</w:t>
            </w:r>
          </w:p>
        </w:tc>
      </w:tr>
      <w:tr w:rsidR="00DC5685" w:rsidRPr="00A34F10" w14:paraId="184F8908" w14:textId="77777777" w:rsidTr="000470C3">
        <w:tc>
          <w:tcPr>
            <w:tcW w:w="1650" w:type="pct"/>
            <w:noWrap/>
            <w:vAlign w:val="center"/>
          </w:tcPr>
          <w:p w14:paraId="48769F2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16.3</w:t>
            </w:r>
          </w:p>
        </w:tc>
        <w:tc>
          <w:tcPr>
            <w:tcW w:w="1650" w:type="pct"/>
            <w:noWrap/>
            <w:vAlign w:val="center"/>
          </w:tcPr>
          <w:p w14:paraId="09C3A7B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6.53</w:t>
            </w:r>
          </w:p>
        </w:tc>
        <w:tc>
          <w:tcPr>
            <w:tcW w:w="1650" w:type="pct"/>
            <w:noWrap/>
            <w:vAlign w:val="center"/>
          </w:tcPr>
          <w:p w14:paraId="320581C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2.07</w:t>
            </w:r>
          </w:p>
        </w:tc>
      </w:tr>
      <w:tr w:rsidR="00DC5685" w:rsidRPr="00A34F10" w14:paraId="47056E3A" w14:textId="77777777" w:rsidTr="000470C3">
        <w:tc>
          <w:tcPr>
            <w:tcW w:w="1650" w:type="pct"/>
            <w:noWrap/>
            <w:vAlign w:val="center"/>
          </w:tcPr>
          <w:p w14:paraId="3E48A90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29.4</w:t>
            </w:r>
          </w:p>
        </w:tc>
        <w:tc>
          <w:tcPr>
            <w:tcW w:w="1650" w:type="pct"/>
            <w:noWrap/>
            <w:vAlign w:val="center"/>
          </w:tcPr>
          <w:p w14:paraId="048A844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11.8</w:t>
            </w:r>
          </w:p>
        </w:tc>
        <w:tc>
          <w:tcPr>
            <w:tcW w:w="1650" w:type="pct"/>
            <w:noWrap/>
            <w:vAlign w:val="center"/>
          </w:tcPr>
          <w:p w14:paraId="5101A43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3.73</w:t>
            </w:r>
          </w:p>
        </w:tc>
      </w:tr>
      <w:tr w:rsidR="00DC5685" w:rsidRPr="00A34F10" w14:paraId="2EE389FB" w14:textId="77777777" w:rsidTr="000470C3">
        <w:tc>
          <w:tcPr>
            <w:tcW w:w="1650" w:type="pct"/>
            <w:noWrap/>
            <w:vAlign w:val="center"/>
          </w:tcPr>
          <w:p w14:paraId="3662934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52.9</w:t>
            </w:r>
          </w:p>
        </w:tc>
        <w:tc>
          <w:tcPr>
            <w:tcW w:w="1650" w:type="pct"/>
            <w:noWrap/>
            <w:vAlign w:val="center"/>
          </w:tcPr>
          <w:p w14:paraId="7EB87CA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21.2</w:t>
            </w:r>
          </w:p>
        </w:tc>
        <w:tc>
          <w:tcPr>
            <w:tcW w:w="1650" w:type="pct"/>
            <w:noWrap/>
            <w:vAlign w:val="center"/>
          </w:tcPr>
          <w:p w14:paraId="0692200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6.7</w:t>
            </w:r>
          </w:p>
        </w:tc>
      </w:tr>
      <w:tr w:rsidR="00DC5685" w:rsidRPr="00A34F10" w14:paraId="5E8ED46A" w14:textId="77777777" w:rsidTr="000470C3">
        <w:tc>
          <w:tcPr>
            <w:tcW w:w="1650" w:type="pct"/>
            <w:noWrap/>
            <w:vAlign w:val="center"/>
          </w:tcPr>
          <w:p w14:paraId="6A31291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95.3</w:t>
            </w:r>
          </w:p>
        </w:tc>
        <w:tc>
          <w:tcPr>
            <w:tcW w:w="1650" w:type="pct"/>
            <w:noWrap/>
            <w:vAlign w:val="center"/>
          </w:tcPr>
          <w:p w14:paraId="7B01449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38.1</w:t>
            </w:r>
          </w:p>
        </w:tc>
        <w:tc>
          <w:tcPr>
            <w:tcW w:w="1650" w:type="pct"/>
            <w:noWrap/>
            <w:vAlign w:val="center"/>
          </w:tcPr>
          <w:p w14:paraId="7AB0753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12.1</w:t>
            </w:r>
          </w:p>
        </w:tc>
      </w:tr>
      <w:tr w:rsidR="00DC5685" w:rsidRPr="00A34F10" w14:paraId="0F4E5E8F" w14:textId="77777777" w:rsidTr="000470C3">
        <w:tc>
          <w:tcPr>
            <w:tcW w:w="1650" w:type="pct"/>
            <w:noWrap/>
            <w:vAlign w:val="center"/>
          </w:tcPr>
          <w:p w14:paraId="2877E15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171</w:t>
            </w:r>
          </w:p>
        </w:tc>
        <w:tc>
          <w:tcPr>
            <w:tcW w:w="1650" w:type="pct"/>
            <w:noWrap/>
            <w:vAlign w:val="center"/>
          </w:tcPr>
          <w:p w14:paraId="1A0BAF1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68.6</w:t>
            </w:r>
          </w:p>
        </w:tc>
        <w:tc>
          <w:tcPr>
            <w:tcW w:w="1650" w:type="pct"/>
            <w:noWrap/>
            <w:vAlign w:val="center"/>
          </w:tcPr>
          <w:p w14:paraId="4D4947A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21.8</w:t>
            </w:r>
          </w:p>
        </w:tc>
      </w:tr>
      <w:tr w:rsidR="00DC5685" w:rsidRPr="00A34F10" w14:paraId="108FA1E0" w14:textId="77777777" w:rsidTr="000470C3">
        <w:tc>
          <w:tcPr>
            <w:tcW w:w="1650" w:type="pct"/>
            <w:noWrap/>
            <w:vAlign w:val="center"/>
          </w:tcPr>
          <w:p w14:paraId="4C8E50B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309</w:t>
            </w:r>
          </w:p>
        </w:tc>
        <w:tc>
          <w:tcPr>
            <w:tcW w:w="1650" w:type="pct"/>
            <w:noWrap/>
            <w:vAlign w:val="center"/>
          </w:tcPr>
          <w:p w14:paraId="0ABB623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123.5</w:t>
            </w:r>
          </w:p>
        </w:tc>
        <w:tc>
          <w:tcPr>
            <w:tcW w:w="1650" w:type="pct"/>
            <w:noWrap/>
            <w:vAlign w:val="center"/>
          </w:tcPr>
          <w:p w14:paraId="51B464E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39.2</w:t>
            </w:r>
          </w:p>
        </w:tc>
      </w:tr>
      <w:tr w:rsidR="00DC5685" w:rsidRPr="00A34F10" w14:paraId="10C42E8E" w14:textId="77777777" w:rsidTr="000470C3">
        <w:tc>
          <w:tcPr>
            <w:tcW w:w="1650" w:type="pct"/>
            <w:noWrap/>
            <w:vAlign w:val="center"/>
          </w:tcPr>
          <w:p w14:paraId="7141CB7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556</w:t>
            </w:r>
          </w:p>
        </w:tc>
        <w:tc>
          <w:tcPr>
            <w:tcW w:w="1650" w:type="pct"/>
            <w:noWrap/>
            <w:vAlign w:val="center"/>
          </w:tcPr>
          <w:p w14:paraId="0426895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222.2</w:t>
            </w:r>
          </w:p>
        </w:tc>
        <w:tc>
          <w:tcPr>
            <w:tcW w:w="1650" w:type="pct"/>
            <w:noWrap/>
            <w:vAlign w:val="center"/>
          </w:tcPr>
          <w:p w14:paraId="556EA53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70.5</w:t>
            </w:r>
          </w:p>
        </w:tc>
      </w:tr>
      <w:tr w:rsidR="00DC5685" w:rsidRPr="00A34F10" w14:paraId="5ECA5642" w14:textId="77777777" w:rsidTr="000470C3">
        <w:tc>
          <w:tcPr>
            <w:tcW w:w="1650" w:type="pct"/>
            <w:noWrap/>
            <w:vAlign w:val="center"/>
          </w:tcPr>
          <w:p w14:paraId="513ACAB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1000</w:t>
            </w:r>
          </w:p>
        </w:tc>
        <w:tc>
          <w:tcPr>
            <w:tcW w:w="1650" w:type="pct"/>
            <w:noWrap/>
            <w:vAlign w:val="center"/>
          </w:tcPr>
          <w:p w14:paraId="577E984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400.0</w:t>
            </w:r>
          </w:p>
        </w:tc>
        <w:tc>
          <w:tcPr>
            <w:tcW w:w="1650" w:type="pct"/>
            <w:noWrap/>
            <w:vAlign w:val="center"/>
          </w:tcPr>
          <w:p w14:paraId="2EA3D90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127.0</w:t>
            </w:r>
          </w:p>
        </w:tc>
      </w:tr>
    </w:tbl>
    <w:p w14:paraId="135C04F6" w14:textId="19155FDE" w:rsidR="00DC5685" w:rsidRPr="00A34F10" w:rsidRDefault="00DC5685" w:rsidP="00DC5685">
      <w:pPr>
        <w:keepNext/>
        <w:keepLines/>
        <w:tabs>
          <w:tab w:val="left" w:pos="720"/>
        </w:tabs>
        <w:spacing w:after="360"/>
        <w:jc w:val="both"/>
        <w:rPr>
          <w:sz w:val="18"/>
          <w:szCs w:val="20"/>
          <w:lang w:val="en-GB"/>
        </w:rPr>
      </w:pPr>
      <w:r w:rsidRPr="00A34F10">
        <w:rPr>
          <w:sz w:val="18"/>
          <w:szCs w:val="20"/>
          <w:lang w:val="en-GB"/>
        </w:rPr>
        <w:t xml:space="preserve">* The amounts of Propamocarb and BAS 650 F were calculated based on the nominal contents a.s. The density (1.080 g/cm³) was taken into account. </w:t>
      </w:r>
    </w:p>
    <w:p w14:paraId="4C3702D2" w14:textId="77777777" w:rsidR="00DC5685" w:rsidRPr="00A34F10" w:rsidRDefault="00DC5685" w:rsidP="00DC5685">
      <w:pPr>
        <w:tabs>
          <w:tab w:val="left" w:pos="720"/>
        </w:tabs>
        <w:spacing w:after="240"/>
        <w:jc w:val="both"/>
        <w:rPr>
          <w:szCs w:val="24"/>
          <w:lang w:val="en-GB"/>
        </w:rPr>
      </w:pPr>
      <w:r w:rsidRPr="00A34F10">
        <w:rPr>
          <w:szCs w:val="24"/>
          <w:lang w:val="en-GB"/>
        </w:rPr>
        <w:t xml:space="preserve">One day prior to test start, the dry artificial soil was pre-moistened by adding deionised water to obtain approximately half of the final water content. </w:t>
      </w:r>
    </w:p>
    <w:p w14:paraId="757407A1" w14:textId="77777777" w:rsidR="00DC5685" w:rsidRPr="00A34F10" w:rsidRDefault="00DC5685" w:rsidP="00DC5685">
      <w:pPr>
        <w:tabs>
          <w:tab w:val="left" w:pos="720"/>
        </w:tabs>
        <w:spacing w:after="240"/>
        <w:jc w:val="both"/>
        <w:rPr>
          <w:szCs w:val="24"/>
          <w:lang w:val="en-GB"/>
        </w:rPr>
      </w:pPr>
      <w:r w:rsidRPr="00A34F10">
        <w:rPr>
          <w:szCs w:val="24"/>
          <w:lang w:val="en-GB"/>
        </w:rPr>
        <w:t>On the day of the test start, the test item was introduced by dispersing the quantity of test item required to obtain the desired test concentration in the volume of water required to hydrate the soil to 40-60% of its WHC. The control substrate contained the corresponding amount of deionised water only. Each test vessel was filled with the treated soil and groups of 10 worms were randomly assigned to each treatment group. After approximately 5 minutes, the test vessels were closed with perforated transparent lids, which allowed gas exchange between substrate and atmosphere and access of light but prevented worms from escaping. The test vessels were set up at random in a controlled-environment room.</w:t>
      </w:r>
    </w:p>
    <w:p w14:paraId="7F55A76B" w14:textId="77777777" w:rsidR="00DC5685" w:rsidRPr="00A34F10" w:rsidRDefault="00DC5685" w:rsidP="00E05ECD">
      <w:pPr>
        <w:numPr>
          <w:ilvl w:val="0"/>
          <w:numId w:val="86"/>
        </w:numPr>
        <w:tabs>
          <w:tab w:val="left" w:pos="0"/>
        </w:tabs>
        <w:ind w:left="357" w:hanging="357"/>
        <w:contextualSpacing/>
        <w:rPr>
          <w:b/>
          <w:bCs/>
          <w:szCs w:val="24"/>
          <w:lang w:val="en-GB"/>
        </w:rPr>
      </w:pPr>
      <w:r w:rsidRPr="00A34F10">
        <w:rPr>
          <w:b/>
          <w:bCs/>
          <w:szCs w:val="24"/>
          <w:lang w:val="en-GB"/>
        </w:rPr>
        <w:t xml:space="preserve">Dose preparation: </w:t>
      </w:r>
    </w:p>
    <w:p w14:paraId="14049E7F" w14:textId="77777777" w:rsidR="00DC5685" w:rsidRPr="00A34F10" w:rsidRDefault="00DC5685" w:rsidP="00DC5685">
      <w:pPr>
        <w:tabs>
          <w:tab w:val="left" w:pos="720"/>
        </w:tabs>
        <w:spacing w:after="240"/>
        <w:jc w:val="both"/>
        <w:rPr>
          <w:szCs w:val="24"/>
          <w:lang w:val="en-GB"/>
        </w:rPr>
      </w:pPr>
      <w:r w:rsidRPr="00A34F10">
        <w:rPr>
          <w:szCs w:val="24"/>
          <w:lang w:val="en-GB"/>
        </w:rPr>
        <w:t>An exact amount of the test item (10 g) was weighed and dispersed in deionised water to make up a final volume of 1000 mL, and the solution was mixed. This stock solution was diluted with deionised water to prepare further test solutions (serial dilution). Afterwards 60 mL of the test solutions were thoroughly mixed with the artificial soil (750 g wet weight) separately for each replicate by intensive stirring in a laboratory mixer.</w:t>
      </w:r>
    </w:p>
    <w:p w14:paraId="104133E6" w14:textId="77777777" w:rsidR="00DC5685" w:rsidRPr="00A34F10" w:rsidRDefault="00DC5685" w:rsidP="00E05ECD">
      <w:pPr>
        <w:numPr>
          <w:ilvl w:val="0"/>
          <w:numId w:val="86"/>
        </w:numPr>
        <w:tabs>
          <w:tab w:val="left" w:pos="0"/>
        </w:tabs>
        <w:ind w:left="357" w:hanging="357"/>
        <w:contextualSpacing/>
        <w:rPr>
          <w:b/>
          <w:bCs/>
          <w:szCs w:val="24"/>
          <w:lang w:val="en-GB"/>
        </w:rPr>
      </w:pPr>
      <w:r w:rsidRPr="00A34F10">
        <w:rPr>
          <w:b/>
          <w:bCs/>
          <w:szCs w:val="24"/>
          <w:lang w:val="en-GB"/>
        </w:rPr>
        <w:t xml:space="preserve">Measurements and observations: </w:t>
      </w:r>
    </w:p>
    <w:p w14:paraId="3070B627" w14:textId="77777777" w:rsidR="00DC5685" w:rsidRPr="00A34F10" w:rsidRDefault="00DC5685" w:rsidP="00DC5685">
      <w:pPr>
        <w:tabs>
          <w:tab w:val="left" w:pos="0"/>
        </w:tabs>
        <w:contextualSpacing/>
        <w:rPr>
          <w:b/>
          <w:bCs/>
          <w:szCs w:val="24"/>
          <w:lang w:val="en-GB"/>
        </w:rPr>
      </w:pPr>
      <w:r w:rsidRPr="00A34F10">
        <w:rPr>
          <w:szCs w:val="24"/>
          <w:u w:val="single"/>
          <w:lang w:val="en-GB"/>
        </w:rPr>
        <w:t>Biological observations:</w:t>
      </w:r>
    </w:p>
    <w:p w14:paraId="6F08C776" w14:textId="17AD5615" w:rsidR="00040826" w:rsidRDefault="00DC5685" w:rsidP="00DC5685">
      <w:pPr>
        <w:tabs>
          <w:tab w:val="left" w:pos="720"/>
        </w:tabs>
        <w:jc w:val="both"/>
        <w:rPr>
          <w:color w:val="000000" w:themeColor="text1"/>
          <w:szCs w:val="24"/>
          <w:lang w:val="en-GB"/>
        </w:rPr>
      </w:pPr>
      <w:r w:rsidRPr="00A34F10">
        <w:rPr>
          <w:color w:val="000000" w:themeColor="text1"/>
          <w:szCs w:val="24"/>
          <w:lang w:val="en-GB"/>
        </w:rPr>
        <w:t xml:space="preserve">Individual fresh weight of each adult worm was determined at the start of the test. Observations of behavioural and pathological symptoms (including feeding activity) were made weekly for the test duration. After 4 weeks, the adult worms were removed from the test vessels. The number of surviving worms (adult mortality) and their biomass change were determined, behaviour (including feeding activity) and pathological symptoms were recorded. The adult worms were discarded after counting and weighing. At the final assessment after 8 weeks, the number of hatched juvenile earthworms in each test vessel was determined. </w:t>
      </w:r>
    </w:p>
    <w:p w14:paraId="3ED8FD24" w14:textId="77777777" w:rsidR="00DC5685" w:rsidRPr="00A34F10" w:rsidRDefault="00DC5685" w:rsidP="00DC5685">
      <w:pPr>
        <w:tabs>
          <w:tab w:val="left" w:pos="720"/>
        </w:tabs>
        <w:jc w:val="both"/>
        <w:rPr>
          <w:szCs w:val="24"/>
          <w:lang w:val="en-GB"/>
        </w:rPr>
      </w:pPr>
    </w:p>
    <w:p w14:paraId="257430E9" w14:textId="77777777" w:rsidR="00DC5685" w:rsidRPr="00A34F10" w:rsidRDefault="00DC5685" w:rsidP="00DC5685">
      <w:pPr>
        <w:keepNext/>
        <w:tabs>
          <w:tab w:val="left" w:pos="720"/>
        </w:tabs>
        <w:jc w:val="both"/>
        <w:rPr>
          <w:szCs w:val="24"/>
        </w:rPr>
      </w:pPr>
      <w:r w:rsidRPr="00A34F10">
        <w:rPr>
          <w:szCs w:val="24"/>
          <w:u w:val="single"/>
        </w:rPr>
        <w:t>Physicochemical measurements</w:t>
      </w:r>
      <w:r w:rsidRPr="00A34F10">
        <w:rPr>
          <w:szCs w:val="24"/>
        </w:rPr>
        <w:t xml:space="preserve">: </w:t>
      </w:r>
    </w:p>
    <w:p w14:paraId="75852485" w14:textId="77777777" w:rsidR="00DC5685" w:rsidRPr="00A34F10" w:rsidRDefault="00DC5685" w:rsidP="00DC5685">
      <w:pPr>
        <w:tabs>
          <w:tab w:val="left" w:pos="0"/>
        </w:tabs>
        <w:spacing w:after="240"/>
        <w:rPr>
          <w:szCs w:val="24"/>
          <w:lang w:val="en-GB"/>
        </w:rPr>
      </w:pPr>
      <w:r w:rsidRPr="00A34F10">
        <w:rPr>
          <w:szCs w:val="24"/>
          <w:lang w:val="en-GB"/>
        </w:rPr>
        <w:t>Determination of water content and pH of the artificial soil was done at the start and end of the test.</w:t>
      </w:r>
    </w:p>
    <w:p w14:paraId="0FD70645" w14:textId="77777777" w:rsidR="00DC5685" w:rsidRPr="00A34F10" w:rsidRDefault="00DC5685" w:rsidP="00E05ECD">
      <w:pPr>
        <w:numPr>
          <w:ilvl w:val="0"/>
          <w:numId w:val="86"/>
        </w:numPr>
        <w:tabs>
          <w:tab w:val="left" w:pos="0"/>
        </w:tabs>
        <w:ind w:left="357" w:hanging="357"/>
        <w:contextualSpacing/>
        <w:rPr>
          <w:b/>
          <w:bCs/>
          <w:szCs w:val="24"/>
          <w:lang w:val="en-GB"/>
        </w:rPr>
      </w:pPr>
      <w:r w:rsidRPr="00A34F10">
        <w:rPr>
          <w:b/>
          <w:bCs/>
          <w:szCs w:val="24"/>
          <w:lang w:val="en-GB"/>
        </w:rPr>
        <w:t xml:space="preserve">Statistical analysis: </w:t>
      </w:r>
    </w:p>
    <w:p w14:paraId="47183399" w14:textId="77777777" w:rsidR="00DC5685" w:rsidRPr="00A34F10" w:rsidRDefault="00DC5685" w:rsidP="00DC5685">
      <w:pPr>
        <w:tabs>
          <w:tab w:val="left" w:pos="720"/>
        </w:tabs>
        <w:spacing w:after="240"/>
        <w:jc w:val="both"/>
        <w:rPr>
          <w:szCs w:val="24"/>
          <w:lang w:val="en-GB"/>
        </w:rPr>
      </w:pPr>
      <w:r w:rsidRPr="00A34F10">
        <w:rPr>
          <w:szCs w:val="24"/>
          <w:lang w:val="en-GB"/>
        </w:rPr>
        <w:t>The arithmetic mean and the standard deviation per treatment and per control for reproduction, mortality and biomass were calculated.</w:t>
      </w:r>
    </w:p>
    <w:p w14:paraId="068046B5" w14:textId="77777777" w:rsidR="00DC5685" w:rsidRPr="00A34F10" w:rsidRDefault="00DC5685" w:rsidP="00DC5685">
      <w:pPr>
        <w:tabs>
          <w:tab w:val="left" w:pos="720"/>
        </w:tabs>
        <w:spacing w:after="240"/>
        <w:jc w:val="both"/>
        <w:rPr>
          <w:szCs w:val="24"/>
          <w:lang w:val="en-GB"/>
        </w:rPr>
      </w:pPr>
      <w:r w:rsidRPr="00A34F10">
        <w:rPr>
          <w:szCs w:val="24"/>
          <w:lang w:val="en-GB"/>
        </w:rPr>
        <w:lastRenderedPageBreak/>
        <w:t>The EC</w:t>
      </w:r>
      <w:r w:rsidRPr="00A34F10">
        <w:rPr>
          <w:szCs w:val="24"/>
          <w:vertAlign w:val="subscript"/>
          <w:lang w:val="en-GB"/>
        </w:rPr>
        <w:t>10</w:t>
      </w:r>
      <w:r w:rsidRPr="00A34F10">
        <w:rPr>
          <w:szCs w:val="24"/>
          <w:lang w:val="en-GB"/>
        </w:rPr>
        <w:t>, EC</w:t>
      </w:r>
      <w:r w:rsidRPr="00A34F10">
        <w:rPr>
          <w:szCs w:val="24"/>
          <w:vertAlign w:val="subscript"/>
          <w:lang w:val="en-GB"/>
        </w:rPr>
        <w:t>20</w:t>
      </w:r>
      <w:r w:rsidRPr="00A34F10">
        <w:rPr>
          <w:szCs w:val="24"/>
          <w:lang w:val="en-GB"/>
        </w:rPr>
        <w:t xml:space="preserve"> and EC</w:t>
      </w:r>
      <w:r w:rsidRPr="00A34F10">
        <w:rPr>
          <w:szCs w:val="24"/>
          <w:vertAlign w:val="subscript"/>
          <w:lang w:val="en-GB"/>
        </w:rPr>
        <w:t>50</w:t>
      </w:r>
      <w:r w:rsidRPr="00A34F10">
        <w:rPr>
          <w:szCs w:val="24"/>
          <w:lang w:val="en-GB"/>
        </w:rPr>
        <w:t xml:space="preserve"> values (number of juveniles) were calculated using the Logit analysis using the maximum likelihood method. Confidence limits (95 %) of the EC</w:t>
      </w:r>
      <w:r w:rsidRPr="00A34F10">
        <w:rPr>
          <w:szCs w:val="24"/>
          <w:vertAlign w:val="subscript"/>
          <w:lang w:val="en-GB"/>
        </w:rPr>
        <w:t>x</w:t>
      </w:r>
      <w:r w:rsidRPr="00A34F10">
        <w:rPr>
          <w:szCs w:val="24"/>
          <w:lang w:val="en-GB"/>
        </w:rPr>
        <w:t xml:space="preserve"> values were computed by normal approximation. For identifying the NOEC values Williams-t-test and Dunnett-t-test were used to compare the control with the independent test item groups. For statistical evaluation of the biomass change, the changed mean fresh weight of surviving worms per replicate was used.</w:t>
      </w:r>
    </w:p>
    <w:p w14:paraId="0225443B" w14:textId="77777777" w:rsidR="00DC5685" w:rsidRPr="00A34F10" w:rsidRDefault="00DC5685" w:rsidP="00DC5685">
      <w:pPr>
        <w:tabs>
          <w:tab w:val="left" w:pos="720"/>
        </w:tabs>
        <w:spacing w:after="240"/>
        <w:jc w:val="both"/>
        <w:rPr>
          <w:szCs w:val="24"/>
          <w:lang w:val="en-GB"/>
        </w:rPr>
      </w:pPr>
      <w:r w:rsidRPr="00A34F10">
        <w:rPr>
          <w:szCs w:val="24"/>
          <w:lang w:val="en-GB"/>
        </w:rPr>
        <w:t>The statistical analysis was performed with the software ToxRat Professional 3.3.0. (2018).</w:t>
      </w:r>
    </w:p>
    <w:p w14:paraId="6AB740EE"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1342DED4" w14:textId="77777777" w:rsidR="00DC5685" w:rsidRPr="00A34F10" w:rsidRDefault="00DC5685" w:rsidP="00E05ECD">
      <w:pPr>
        <w:numPr>
          <w:ilvl w:val="0"/>
          <w:numId w:val="87"/>
        </w:numPr>
        <w:ind w:left="357" w:hanging="357"/>
        <w:contextualSpacing/>
        <w:rPr>
          <w:b/>
          <w:bCs/>
          <w:caps/>
          <w:szCs w:val="24"/>
          <w:lang w:val="en-GB"/>
        </w:rPr>
      </w:pPr>
      <w:r w:rsidRPr="00A34F10">
        <w:rPr>
          <w:b/>
          <w:bCs/>
          <w:caps/>
          <w:szCs w:val="24"/>
          <w:lang w:val="en-GB"/>
        </w:rPr>
        <w:t>biological effects</w:t>
      </w:r>
    </w:p>
    <w:p w14:paraId="076B38DF" w14:textId="77777777" w:rsidR="00DC5685" w:rsidRPr="00A34F10" w:rsidRDefault="00DC5685" w:rsidP="00DC5685">
      <w:pPr>
        <w:tabs>
          <w:tab w:val="left" w:pos="720"/>
        </w:tabs>
        <w:jc w:val="both"/>
        <w:rPr>
          <w:szCs w:val="24"/>
          <w:lang w:val="en-GB"/>
        </w:rPr>
      </w:pPr>
    </w:p>
    <w:p w14:paraId="37716BEC" w14:textId="77777777" w:rsidR="00DC5685" w:rsidRPr="00A34F10" w:rsidRDefault="00DC5685" w:rsidP="00DC5685">
      <w:pPr>
        <w:tabs>
          <w:tab w:val="left" w:pos="720"/>
        </w:tabs>
        <w:jc w:val="both"/>
        <w:rPr>
          <w:szCs w:val="24"/>
          <w:lang w:val="en-GB"/>
        </w:rPr>
      </w:pPr>
      <w:r w:rsidRPr="00A34F10">
        <w:rPr>
          <w:szCs w:val="24"/>
          <w:lang w:val="en-GB"/>
        </w:rPr>
        <w:t>Mortality rates of 0 % were recorded in the test item treatment groups and in the control. No pathological symptoms and no further effects on behaviour of the worms were observed. No effects on behaviour (including feeding activity) of the worms were observed during the test. The test item caused no statistically significant change in biomass (change in fresh weight after 4 weeks relative to initial fresh weight) compared to the control group at any concentration tested.</w:t>
      </w:r>
    </w:p>
    <w:p w14:paraId="15461D52" w14:textId="77777777" w:rsidR="00DC5685" w:rsidRPr="00A34F10" w:rsidRDefault="00DC5685" w:rsidP="00DC5685">
      <w:pPr>
        <w:tabs>
          <w:tab w:val="left" w:pos="720"/>
        </w:tabs>
        <w:jc w:val="both"/>
        <w:rPr>
          <w:szCs w:val="24"/>
          <w:lang w:val="en-GB"/>
        </w:rPr>
      </w:pPr>
    </w:p>
    <w:p w14:paraId="3DDF8B6F" w14:textId="77777777" w:rsidR="00DC5685" w:rsidRPr="00A34F10" w:rsidRDefault="00DC5685" w:rsidP="00DC5685">
      <w:pPr>
        <w:tabs>
          <w:tab w:val="left" w:pos="720"/>
        </w:tabs>
        <w:jc w:val="both"/>
        <w:rPr>
          <w:szCs w:val="24"/>
          <w:lang w:val="en-GB"/>
        </w:rPr>
      </w:pPr>
      <w:r w:rsidRPr="00A34F10">
        <w:rPr>
          <w:szCs w:val="24"/>
          <w:lang w:val="en-GB"/>
        </w:rPr>
        <w:t xml:space="preserve">Statistically significant effects on the number of juveniles compared to the control group were recorded at concentrations of 309, 556 and 1000 mg product/kg </w:t>
      </w:r>
      <w:bookmarkStart w:id="1155" w:name="_Hlk132964028"/>
      <w:r w:rsidRPr="00A34F10">
        <w:rPr>
          <w:szCs w:val="24"/>
          <w:lang w:val="en-GB"/>
        </w:rPr>
        <w:t>soil dw</w:t>
      </w:r>
      <w:bookmarkEnd w:id="1155"/>
      <w:r w:rsidRPr="00A34F10">
        <w:rPr>
          <w:szCs w:val="24"/>
          <w:lang w:val="en-GB"/>
        </w:rPr>
        <w:t>.</w:t>
      </w:r>
    </w:p>
    <w:p w14:paraId="43F50774" w14:textId="77777777" w:rsidR="00DC5685" w:rsidRPr="00A34F10" w:rsidRDefault="00DC5685" w:rsidP="00DC5685">
      <w:pPr>
        <w:tabs>
          <w:tab w:val="left" w:pos="720"/>
        </w:tabs>
        <w:jc w:val="both"/>
        <w:rPr>
          <w:szCs w:val="24"/>
          <w:lang w:val="en-GB"/>
        </w:rPr>
      </w:pPr>
    </w:p>
    <w:p w14:paraId="2A2BB6B9" w14:textId="0D99B039" w:rsidR="00DC5685" w:rsidRPr="00A34F10" w:rsidRDefault="00040826" w:rsidP="00040826">
      <w:pPr>
        <w:pStyle w:val="Legenda"/>
      </w:pPr>
      <w:r>
        <w:t xml:space="preserve">Table A </w:t>
      </w:r>
      <w:r>
        <w:fldChar w:fldCharType="begin"/>
      </w:r>
      <w:r>
        <w:instrText xml:space="preserve"> SEQ Table_A \* ARABIC </w:instrText>
      </w:r>
      <w:r>
        <w:fldChar w:fldCharType="separate"/>
      </w:r>
      <w:r w:rsidR="006F0F3B">
        <w:rPr>
          <w:noProof/>
        </w:rPr>
        <w:t>71</w:t>
      </w:r>
      <w:r>
        <w:fldChar w:fldCharType="end"/>
      </w:r>
      <w:r w:rsidR="00DC5685" w:rsidRPr="00A34F10">
        <w:t>:</w:t>
      </w:r>
      <w:r w:rsidR="00A34F10" w:rsidRPr="00A34F10">
        <w:tab/>
      </w:r>
      <w:r w:rsidR="00DC5685" w:rsidRPr="00A34F10">
        <w:t xml:space="preserve"> Summary of effects on mortality and reproduction of the earthworm </w:t>
      </w:r>
      <w:r w:rsidR="00DC5685" w:rsidRPr="00A34F10">
        <w:rPr>
          <w:i/>
          <w:iCs/>
        </w:rPr>
        <w:t>Eisenia andrei</w:t>
      </w:r>
      <w:r w:rsidR="00DC5685" w:rsidRPr="00A34F10">
        <w:t xml:space="preserve"> following exposure to BAS 743 02 F </w:t>
      </w:r>
    </w:p>
    <w:tbl>
      <w:tblPr>
        <w:tblStyle w:val="TableGrid8"/>
        <w:tblW w:w="5000" w:type="pct"/>
        <w:jc w:val="center"/>
        <w:tblCellMar>
          <w:left w:w="0" w:type="dxa"/>
          <w:right w:w="0" w:type="dxa"/>
        </w:tblCellMar>
        <w:tblLook w:val="04A0" w:firstRow="1" w:lastRow="0" w:firstColumn="1" w:lastColumn="0" w:noHBand="0" w:noVBand="1"/>
      </w:tblPr>
      <w:tblGrid>
        <w:gridCol w:w="2550"/>
        <w:gridCol w:w="862"/>
        <w:gridCol w:w="761"/>
        <w:gridCol w:w="761"/>
        <w:gridCol w:w="761"/>
        <w:gridCol w:w="761"/>
        <w:gridCol w:w="761"/>
        <w:gridCol w:w="761"/>
        <w:gridCol w:w="761"/>
        <w:gridCol w:w="605"/>
      </w:tblGrid>
      <w:tr w:rsidR="00DC5685" w:rsidRPr="00A34F10" w14:paraId="55AD3A80" w14:textId="77777777" w:rsidTr="000470C3">
        <w:trPr>
          <w:trHeight w:val="283"/>
          <w:tblHeader/>
          <w:jc w:val="center"/>
        </w:trPr>
        <w:tc>
          <w:tcPr>
            <w:tcW w:w="1365" w:type="pct"/>
            <w:vMerge w:val="restart"/>
            <w:noWrap/>
            <w:vAlign w:val="center"/>
          </w:tcPr>
          <w:p w14:paraId="6A0D98EB"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r w:rsidRPr="00A34F10">
              <w:rPr>
                <w:rFonts w:ascii="Times New Roman" w:hAnsi="Times New Roman"/>
                <w:b/>
                <w:sz w:val="20"/>
                <w:szCs w:val="20"/>
              </w:rPr>
              <w:t>Treatment group</w:t>
            </w:r>
          </w:p>
        </w:tc>
        <w:tc>
          <w:tcPr>
            <w:tcW w:w="3635" w:type="pct"/>
            <w:gridSpan w:val="9"/>
            <w:noWrap/>
            <w:vAlign w:val="center"/>
          </w:tcPr>
          <w:p w14:paraId="26B054AD"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BAS 743 02 F (mg product/kg soil dw)</w:t>
            </w:r>
          </w:p>
        </w:tc>
      </w:tr>
      <w:tr w:rsidR="00DC5685" w:rsidRPr="00A34F10" w14:paraId="3530F80F" w14:textId="77777777" w:rsidTr="000470C3">
        <w:trPr>
          <w:trHeight w:val="283"/>
          <w:tblHeader/>
          <w:jc w:val="center"/>
        </w:trPr>
        <w:tc>
          <w:tcPr>
            <w:tcW w:w="1365" w:type="pct"/>
            <w:vMerge/>
            <w:noWrap/>
            <w:vAlign w:val="center"/>
          </w:tcPr>
          <w:p w14:paraId="71AA2F8B" w14:textId="77777777" w:rsidR="00DC5685" w:rsidRPr="00A34F10" w:rsidRDefault="00DC5685" w:rsidP="00DC5685">
            <w:pPr>
              <w:keepNext/>
              <w:keepLines/>
              <w:tabs>
                <w:tab w:val="left" w:pos="720"/>
              </w:tabs>
              <w:spacing w:before="60"/>
              <w:jc w:val="center"/>
              <w:rPr>
                <w:rFonts w:ascii="Times New Roman" w:hAnsi="Times New Roman"/>
                <w:sz w:val="20"/>
                <w:szCs w:val="20"/>
                <w:highlight w:val="yellow"/>
              </w:rPr>
            </w:pPr>
          </w:p>
        </w:tc>
        <w:tc>
          <w:tcPr>
            <w:tcW w:w="462" w:type="pct"/>
            <w:noWrap/>
            <w:vAlign w:val="center"/>
          </w:tcPr>
          <w:p w14:paraId="28EEC8AE"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Control</w:t>
            </w:r>
          </w:p>
        </w:tc>
        <w:tc>
          <w:tcPr>
            <w:tcW w:w="407" w:type="pct"/>
            <w:noWrap/>
            <w:vAlign w:val="center"/>
          </w:tcPr>
          <w:p w14:paraId="6B958550"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16.3</w:t>
            </w:r>
          </w:p>
        </w:tc>
        <w:tc>
          <w:tcPr>
            <w:tcW w:w="407" w:type="pct"/>
            <w:noWrap/>
            <w:vAlign w:val="center"/>
          </w:tcPr>
          <w:p w14:paraId="6228408D"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29.4</w:t>
            </w:r>
          </w:p>
        </w:tc>
        <w:tc>
          <w:tcPr>
            <w:tcW w:w="407" w:type="pct"/>
            <w:noWrap/>
            <w:vAlign w:val="center"/>
          </w:tcPr>
          <w:p w14:paraId="3D41500B"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52.9</w:t>
            </w:r>
          </w:p>
        </w:tc>
        <w:tc>
          <w:tcPr>
            <w:tcW w:w="407" w:type="pct"/>
            <w:noWrap/>
            <w:vAlign w:val="center"/>
          </w:tcPr>
          <w:p w14:paraId="0DA88247"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95.3</w:t>
            </w:r>
          </w:p>
        </w:tc>
        <w:tc>
          <w:tcPr>
            <w:tcW w:w="407" w:type="pct"/>
            <w:noWrap/>
            <w:vAlign w:val="center"/>
          </w:tcPr>
          <w:p w14:paraId="149A8DD3"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171</w:t>
            </w:r>
          </w:p>
        </w:tc>
        <w:tc>
          <w:tcPr>
            <w:tcW w:w="407" w:type="pct"/>
            <w:noWrap/>
            <w:vAlign w:val="center"/>
          </w:tcPr>
          <w:p w14:paraId="083F9BB1"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309</w:t>
            </w:r>
          </w:p>
        </w:tc>
        <w:tc>
          <w:tcPr>
            <w:tcW w:w="407" w:type="pct"/>
            <w:noWrap/>
            <w:vAlign w:val="center"/>
          </w:tcPr>
          <w:p w14:paraId="0B448615"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556</w:t>
            </w:r>
          </w:p>
        </w:tc>
        <w:tc>
          <w:tcPr>
            <w:tcW w:w="326" w:type="pct"/>
            <w:noWrap/>
            <w:vAlign w:val="center"/>
          </w:tcPr>
          <w:p w14:paraId="5ED8909E"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1000</w:t>
            </w:r>
          </w:p>
        </w:tc>
      </w:tr>
      <w:tr w:rsidR="00DC5685" w:rsidRPr="00A34F10" w14:paraId="16A512C1" w14:textId="77777777" w:rsidTr="000470C3">
        <w:trPr>
          <w:trHeight w:val="283"/>
          <w:tblHeader/>
          <w:jc w:val="center"/>
        </w:trPr>
        <w:tc>
          <w:tcPr>
            <w:tcW w:w="1365" w:type="pct"/>
            <w:noWrap/>
            <w:vAlign w:val="center"/>
          </w:tcPr>
          <w:p w14:paraId="32A9183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Mortality (%) day 28</w:t>
            </w:r>
          </w:p>
        </w:tc>
        <w:tc>
          <w:tcPr>
            <w:tcW w:w="462" w:type="pct"/>
            <w:noWrap/>
            <w:vAlign w:val="center"/>
          </w:tcPr>
          <w:p w14:paraId="1C11C0E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7021509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491E0E1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21107D9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10AE40B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07F5EEA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00D0157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49D3550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326" w:type="pct"/>
            <w:noWrap/>
            <w:vAlign w:val="center"/>
          </w:tcPr>
          <w:p w14:paraId="4B730574"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r>
      <w:tr w:rsidR="00DC5685" w:rsidRPr="00A34F10" w14:paraId="2BA75A0F" w14:textId="77777777" w:rsidTr="000470C3">
        <w:trPr>
          <w:trHeight w:val="283"/>
          <w:tblHeader/>
          <w:jc w:val="center"/>
        </w:trPr>
        <w:tc>
          <w:tcPr>
            <w:tcW w:w="1365" w:type="pct"/>
            <w:noWrap/>
            <w:vAlign w:val="center"/>
          </w:tcPr>
          <w:p w14:paraId="55CD20E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Weight change (%) day 28</w:t>
            </w:r>
          </w:p>
        </w:tc>
        <w:tc>
          <w:tcPr>
            <w:tcW w:w="462" w:type="pct"/>
            <w:noWrap/>
            <w:vAlign w:val="center"/>
          </w:tcPr>
          <w:p w14:paraId="3973E68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20.8</w:t>
            </w:r>
          </w:p>
        </w:tc>
        <w:tc>
          <w:tcPr>
            <w:tcW w:w="407" w:type="pct"/>
            <w:noWrap/>
            <w:vAlign w:val="center"/>
          </w:tcPr>
          <w:p w14:paraId="2E5FB41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21.4</w:t>
            </w:r>
          </w:p>
        </w:tc>
        <w:tc>
          <w:tcPr>
            <w:tcW w:w="407" w:type="pct"/>
            <w:noWrap/>
            <w:vAlign w:val="center"/>
          </w:tcPr>
          <w:p w14:paraId="288DAC0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18.9</w:t>
            </w:r>
          </w:p>
        </w:tc>
        <w:tc>
          <w:tcPr>
            <w:tcW w:w="407" w:type="pct"/>
            <w:noWrap/>
            <w:vAlign w:val="center"/>
          </w:tcPr>
          <w:p w14:paraId="5E0D6D2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20.4</w:t>
            </w:r>
          </w:p>
        </w:tc>
        <w:tc>
          <w:tcPr>
            <w:tcW w:w="407" w:type="pct"/>
            <w:noWrap/>
            <w:vAlign w:val="center"/>
          </w:tcPr>
          <w:p w14:paraId="442208A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23.4</w:t>
            </w:r>
          </w:p>
        </w:tc>
        <w:tc>
          <w:tcPr>
            <w:tcW w:w="407" w:type="pct"/>
            <w:noWrap/>
            <w:vAlign w:val="center"/>
          </w:tcPr>
          <w:p w14:paraId="68B2B61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22.8</w:t>
            </w:r>
          </w:p>
        </w:tc>
        <w:tc>
          <w:tcPr>
            <w:tcW w:w="407" w:type="pct"/>
            <w:noWrap/>
            <w:vAlign w:val="center"/>
          </w:tcPr>
          <w:p w14:paraId="2AFFD4B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19.8.</w:t>
            </w:r>
          </w:p>
        </w:tc>
        <w:tc>
          <w:tcPr>
            <w:tcW w:w="407" w:type="pct"/>
            <w:noWrap/>
            <w:vAlign w:val="center"/>
          </w:tcPr>
          <w:p w14:paraId="339033D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20.1</w:t>
            </w:r>
          </w:p>
        </w:tc>
        <w:tc>
          <w:tcPr>
            <w:tcW w:w="326" w:type="pct"/>
            <w:noWrap/>
            <w:vAlign w:val="center"/>
          </w:tcPr>
          <w:p w14:paraId="3E21A44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21.0</w:t>
            </w:r>
          </w:p>
        </w:tc>
      </w:tr>
      <w:tr w:rsidR="00DC5685" w:rsidRPr="00A34F10" w14:paraId="5BC661D3" w14:textId="77777777" w:rsidTr="000470C3">
        <w:trPr>
          <w:trHeight w:val="283"/>
          <w:tblHeader/>
          <w:jc w:val="center"/>
        </w:trPr>
        <w:tc>
          <w:tcPr>
            <w:tcW w:w="1365" w:type="pct"/>
            <w:noWrap/>
            <w:vAlign w:val="center"/>
          </w:tcPr>
          <w:p w14:paraId="4E36C25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Number of juveniles day 56</w:t>
            </w:r>
          </w:p>
        </w:tc>
        <w:tc>
          <w:tcPr>
            <w:tcW w:w="462" w:type="pct"/>
            <w:noWrap/>
            <w:vAlign w:val="center"/>
          </w:tcPr>
          <w:p w14:paraId="25CB96F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234.1</w:t>
            </w:r>
          </w:p>
        </w:tc>
        <w:tc>
          <w:tcPr>
            <w:tcW w:w="407" w:type="pct"/>
            <w:noWrap/>
            <w:vAlign w:val="center"/>
          </w:tcPr>
          <w:p w14:paraId="0E6A92F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236.5</w:t>
            </w:r>
          </w:p>
        </w:tc>
        <w:tc>
          <w:tcPr>
            <w:tcW w:w="407" w:type="pct"/>
            <w:noWrap/>
            <w:vAlign w:val="center"/>
          </w:tcPr>
          <w:p w14:paraId="2995BBE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224.8</w:t>
            </w:r>
          </w:p>
        </w:tc>
        <w:tc>
          <w:tcPr>
            <w:tcW w:w="407" w:type="pct"/>
            <w:noWrap/>
            <w:vAlign w:val="center"/>
          </w:tcPr>
          <w:p w14:paraId="7056EF3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230.8</w:t>
            </w:r>
          </w:p>
        </w:tc>
        <w:tc>
          <w:tcPr>
            <w:tcW w:w="407" w:type="pct"/>
            <w:noWrap/>
            <w:vAlign w:val="center"/>
          </w:tcPr>
          <w:p w14:paraId="522366A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238.3</w:t>
            </w:r>
          </w:p>
        </w:tc>
        <w:tc>
          <w:tcPr>
            <w:tcW w:w="407" w:type="pct"/>
            <w:noWrap/>
            <w:vAlign w:val="center"/>
          </w:tcPr>
          <w:p w14:paraId="3325B02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213.3</w:t>
            </w:r>
          </w:p>
        </w:tc>
        <w:tc>
          <w:tcPr>
            <w:tcW w:w="407" w:type="pct"/>
            <w:noWrap/>
            <w:vAlign w:val="center"/>
          </w:tcPr>
          <w:p w14:paraId="47E42E7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202.3*</w:t>
            </w:r>
          </w:p>
        </w:tc>
        <w:tc>
          <w:tcPr>
            <w:tcW w:w="407" w:type="pct"/>
            <w:noWrap/>
            <w:vAlign w:val="center"/>
          </w:tcPr>
          <w:p w14:paraId="17D8A5E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182.8*</w:t>
            </w:r>
          </w:p>
        </w:tc>
        <w:tc>
          <w:tcPr>
            <w:tcW w:w="326" w:type="pct"/>
            <w:noWrap/>
            <w:vAlign w:val="center"/>
          </w:tcPr>
          <w:p w14:paraId="6D61CB6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174.5*</w:t>
            </w:r>
          </w:p>
        </w:tc>
      </w:tr>
      <w:tr w:rsidR="00DC5685" w:rsidRPr="00A34F10" w14:paraId="15E2CC10" w14:textId="77777777" w:rsidTr="000470C3">
        <w:trPr>
          <w:trHeight w:val="283"/>
          <w:tblHeader/>
          <w:jc w:val="center"/>
        </w:trPr>
        <w:tc>
          <w:tcPr>
            <w:tcW w:w="1365" w:type="pct"/>
            <w:noWrap/>
            <w:vAlign w:val="center"/>
          </w:tcPr>
          <w:p w14:paraId="64A3C94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Reproduction in (%) of control</w:t>
            </w:r>
          </w:p>
        </w:tc>
        <w:tc>
          <w:tcPr>
            <w:tcW w:w="462" w:type="pct"/>
            <w:noWrap/>
            <w:vAlign w:val="center"/>
          </w:tcPr>
          <w:p w14:paraId="7A6D524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w:t>
            </w:r>
          </w:p>
        </w:tc>
        <w:tc>
          <w:tcPr>
            <w:tcW w:w="407" w:type="pct"/>
            <w:noWrap/>
            <w:vAlign w:val="center"/>
          </w:tcPr>
          <w:p w14:paraId="4EFB45F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101.0</w:t>
            </w:r>
          </w:p>
        </w:tc>
        <w:tc>
          <w:tcPr>
            <w:tcW w:w="407" w:type="pct"/>
            <w:noWrap/>
            <w:vAlign w:val="center"/>
          </w:tcPr>
          <w:p w14:paraId="18B6ECA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96.0</w:t>
            </w:r>
          </w:p>
        </w:tc>
        <w:tc>
          <w:tcPr>
            <w:tcW w:w="407" w:type="pct"/>
            <w:noWrap/>
            <w:vAlign w:val="center"/>
          </w:tcPr>
          <w:p w14:paraId="3CA225D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98.6</w:t>
            </w:r>
          </w:p>
        </w:tc>
        <w:tc>
          <w:tcPr>
            <w:tcW w:w="407" w:type="pct"/>
            <w:noWrap/>
            <w:vAlign w:val="center"/>
          </w:tcPr>
          <w:p w14:paraId="3392EBD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101.8</w:t>
            </w:r>
          </w:p>
        </w:tc>
        <w:tc>
          <w:tcPr>
            <w:tcW w:w="407" w:type="pct"/>
            <w:noWrap/>
            <w:vAlign w:val="center"/>
          </w:tcPr>
          <w:p w14:paraId="266E9A8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91.1</w:t>
            </w:r>
          </w:p>
        </w:tc>
        <w:tc>
          <w:tcPr>
            <w:tcW w:w="407" w:type="pct"/>
            <w:noWrap/>
            <w:vAlign w:val="center"/>
          </w:tcPr>
          <w:p w14:paraId="7C2B1DC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86.4</w:t>
            </w:r>
          </w:p>
        </w:tc>
        <w:tc>
          <w:tcPr>
            <w:tcW w:w="407" w:type="pct"/>
            <w:noWrap/>
            <w:vAlign w:val="center"/>
          </w:tcPr>
          <w:p w14:paraId="1D237634"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78.1</w:t>
            </w:r>
          </w:p>
        </w:tc>
        <w:tc>
          <w:tcPr>
            <w:tcW w:w="326" w:type="pct"/>
            <w:noWrap/>
            <w:vAlign w:val="center"/>
          </w:tcPr>
          <w:p w14:paraId="747A60D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74.5</w:t>
            </w:r>
          </w:p>
        </w:tc>
      </w:tr>
      <w:tr w:rsidR="00DC5685" w:rsidRPr="00A34F10" w14:paraId="6862D75C" w14:textId="77777777" w:rsidTr="000470C3">
        <w:trPr>
          <w:trHeight w:val="283"/>
          <w:tblHeader/>
          <w:jc w:val="center"/>
        </w:trPr>
        <w:tc>
          <w:tcPr>
            <w:tcW w:w="1365" w:type="pct"/>
            <w:tcBorders>
              <w:top w:val="nil"/>
              <w:left w:val="single" w:sz="4" w:space="0" w:color="auto"/>
              <w:bottom w:val="nil"/>
              <w:right w:val="nil"/>
            </w:tcBorders>
            <w:noWrap/>
            <w:vAlign w:val="center"/>
          </w:tcPr>
          <w:p w14:paraId="38BB4A45"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p>
        </w:tc>
        <w:tc>
          <w:tcPr>
            <w:tcW w:w="3635" w:type="pct"/>
            <w:gridSpan w:val="9"/>
            <w:tcBorders>
              <w:left w:val="nil"/>
            </w:tcBorders>
            <w:vAlign w:val="center"/>
          </w:tcPr>
          <w:p w14:paraId="041D0559"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r w:rsidRPr="00A34F10">
              <w:rPr>
                <w:rFonts w:ascii="Times New Roman" w:hAnsi="Times New Roman"/>
                <w:b/>
                <w:sz w:val="20"/>
                <w:szCs w:val="20"/>
              </w:rPr>
              <w:t>Endpoint (mg product/kg soil dw)</w:t>
            </w:r>
          </w:p>
        </w:tc>
      </w:tr>
      <w:tr w:rsidR="00DC5685" w:rsidRPr="00A34F10" w14:paraId="0FF3D052" w14:textId="77777777" w:rsidTr="000470C3">
        <w:trPr>
          <w:trHeight w:val="283"/>
          <w:tblHeader/>
          <w:jc w:val="center"/>
        </w:trPr>
        <w:tc>
          <w:tcPr>
            <w:tcW w:w="1365" w:type="pct"/>
            <w:noWrap/>
            <w:vAlign w:val="center"/>
          </w:tcPr>
          <w:p w14:paraId="32ECCED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28-day NOEC (mortality)</w:t>
            </w:r>
          </w:p>
        </w:tc>
        <w:tc>
          <w:tcPr>
            <w:tcW w:w="3635" w:type="pct"/>
            <w:gridSpan w:val="9"/>
            <w:noWrap/>
            <w:vAlign w:val="center"/>
          </w:tcPr>
          <w:p w14:paraId="41C7256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33130F5B" w14:textId="77777777" w:rsidTr="000470C3">
        <w:trPr>
          <w:trHeight w:val="283"/>
          <w:tblHeader/>
          <w:jc w:val="center"/>
        </w:trPr>
        <w:tc>
          <w:tcPr>
            <w:tcW w:w="1365" w:type="pct"/>
            <w:noWrap/>
            <w:vAlign w:val="center"/>
          </w:tcPr>
          <w:p w14:paraId="178B87B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28-day NOEC (biomass)</w:t>
            </w:r>
          </w:p>
        </w:tc>
        <w:tc>
          <w:tcPr>
            <w:tcW w:w="3635" w:type="pct"/>
            <w:gridSpan w:val="9"/>
            <w:noWrap/>
            <w:vAlign w:val="center"/>
          </w:tcPr>
          <w:p w14:paraId="5EE284F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7FF455F4" w14:textId="77777777" w:rsidTr="000470C3">
        <w:trPr>
          <w:trHeight w:val="283"/>
          <w:tblHeader/>
          <w:jc w:val="center"/>
        </w:trPr>
        <w:tc>
          <w:tcPr>
            <w:tcW w:w="1365" w:type="pct"/>
            <w:noWrap/>
            <w:vAlign w:val="center"/>
          </w:tcPr>
          <w:p w14:paraId="7D40EEE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56-day NOEC (reproduction)</w:t>
            </w:r>
          </w:p>
        </w:tc>
        <w:tc>
          <w:tcPr>
            <w:tcW w:w="3635" w:type="pct"/>
            <w:gridSpan w:val="9"/>
            <w:noWrap/>
            <w:vAlign w:val="center"/>
          </w:tcPr>
          <w:p w14:paraId="3F1ABDE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171</w:t>
            </w:r>
          </w:p>
        </w:tc>
      </w:tr>
      <w:tr w:rsidR="00DC5685" w:rsidRPr="00A34F10" w14:paraId="4D15DF5A" w14:textId="77777777" w:rsidTr="000470C3">
        <w:trPr>
          <w:trHeight w:val="283"/>
          <w:tblHeader/>
          <w:jc w:val="center"/>
        </w:trPr>
        <w:tc>
          <w:tcPr>
            <w:tcW w:w="1365" w:type="pct"/>
            <w:noWrap/>
            <w:vAlign w:val="center"/>
          </w:tcPr>
          <w:p w14:paraId="5B92685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28-day LC</w:t>
            </w:r>
            <w:r w:rsidRPr="00A34F10">
              <w:rPr>
                <w:rFonts w:ascii="Times New Roman" w:hAnsi="Times New Roman"/>
                <w:sz w:val="20"/>
                <w:szCs w:val="20"/>
                <w:vertAlign w:val="subscript"/>
              </w:rPr>
              <w:t>50</w:t>
            </w:r>
            <w:r w:rsidRPr="00A34F10">
              <w:rPr>
                <w:rFonts w:ascii="Times New Roman" w:hAnsi="Times New Roman"/>
                <w:sz w:val="20"/>
                <w:szCs w:val="20"/>
              </w:rPr>
              <w:t xml:space="preserve"> (mortality)</w:t>
            </w:r>
            <w:r w:rsidRPr="00A34F10">
              <w:rPr>
                <w:rFonts w:ascii="Times New Roman" w:hAnsi="Times New Roman"/>
                <w:sz w:val="20"/>
                <w:szCs w:val="20"/>
                <w:vertAlign w:val="superscript"/>
              </w:rPr>
              <w:t>1</w:t>
            </w:r>
          </w:p>
        </w:tc>
        <w:tc>
          <w:tcPr>
            <w:tcW w:w="3635" w:type="pct"/>
            <w:gridSpan w:val="9"/>
            <w:noWrap/>
            <w:vAlign w:val="center"/>
          </w:tcPr>
          <w:p w14:paraId="1AB92D9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&gt; 1000</w:t>
            </w:r>
          </w:p>
        </w:tc>
      </w:tr>
      <w:tr w:rsidR="00DC5685" w:rsidRPr="00A34F10" w14:paraId="7D9EC8DA" w14:textId="77777777" w:rsidTr="000470C3">
        <w:trPr>
          <w:trHeight w:val="283"/>
          <w:tblHeader/>
          <w:jc w:val="center"/>
        </w:trPr>
        <w:tc>
          <w:tcPr>
            <w:tcW w:w="1365" w:type="pct"/>
            <w:noWrap/>
            <w:vAlign w:val="center"/>
          </w:tcPr>
          <w:p w14:paraId="5B266B1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56-day EC</w:t>
            </w:r>
            <w:r w:rsidRPr="00A34F10">
              <w:rPr>
                <w:rFonts w:ascii="Times New Roman" w:hAnsi="Times New Roman"/>
                <w:sz w:val="20"/>
                <w:szCs w:val="20"/>
                <w:vertAlign w:val="subscript"/>
              </w:rPr>
              <w:t xml:space="preserve">10 </w:t>
            </w:r>
            <w:r w:rsidRPr="00A34F10">
              <w:rPr>
                <w:rFonts w:ascii="Times New Roman" w:hAnsi="Times New Roman"/>
                <w:sz w:val="20"/>
                <w:szCs w:val="20"/>
              </w:rPr>
              <w:t>(reproduction)</w:t>
            </w:r>
            <w:r w:rsidRPr="00A34F10">
              <w:rPr>
                <w:rFonts w:ascii="Times New Roman" w:hAnsi="Times New Roman"/>
                <w:sz w:val="20"/>
                <w:szCs w:val="20"/>
                <w:vertAlign w:val="superscript"/>
              </w:rPr>
              <w:t>2</w:t>
            </w:r>
          </w:p>
        </w:tc>
        <w:tc>
          <w:tcPr>
            <w:tcW w:w="3635" w:type="pct"/>
            <w:gridSpan w:val="9"/>
            <w:noWrap/>
            <w:vAlign w:val="center"/>
          </w:tcPr>
          <w:p w14:paraId="6BE6502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n.r.</w:t>
            </w:r>
          </w:p>
        </w:tc>
      </w:tr>
      <w:tr w:rsidR="00DC5685" w:rsidRPr="00A34F10" w14:paraId="297DE6B5" w14:textId="77777777" w:rsidTr="000470C3">
        <w:trPr>
          <w:trHeight w:val="283"/>
          <w:tblHeader/>
          <w:jc w:val="center"/>
        </w:trPr>
        <w:tc>
          <w:tcPr>
            <w:tcW w:w="1365" w:type="pct"/>
            <w:noWrap/>
            <w:vAlign w:val="center"/>
          </w:tcPr>
          <w:p w14:paraId="4F8C52C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56-day EC</w:t>
            </w:r>
            <w:r w:rsidRPr="00A34F10">
              <w:rPr>
                <w:rFonts w:ascii="Times New Roman" w:hAnsi="Times New Roman"/>
                <w:sz w:val="20"/>
                <w:szCs w:val="20"/>
                <w:vertAlign w:val="subscript"/>
              </w:rPr>
              <w:t>20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2</w:t>
            </w:r>
          </w:p>
        </w:tc>
        <w:tc>
          <w:tcPr>
            <w:tcW w:w="3635" w:type="pct"/>
            <w:gridSpan w:val="9"/>
            <w:noWrap/>
            <w:vAlign w:val="center"/>
          </w:tcPr>
          <w:p w14:paraId="555142D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n.r.</w:t>
            </w:r>
          </w:p>
        </w:tc>
      </w:tr>
      <w:tr w:rsidR="00DC5685" w:rsidRPr="00A34F10" w14:paraId="6846D28D" w14:textId="77777777" w:rsidTr="000470C3">
        <w:trPr>
          <w:trHeight w:val="283"/>
          <w:tblHeader/>
          <w:jc w:val="center"/>
        </w:trPr>
        <w:tc>
          <w:tcPr>
            <w:tcW w:w="1365" w:type="pct"/>
            <w:noWrap/>
            <w:vAlign w:val="center"/>
          </w:tcPr>
          <w:p w14:paraId="5E0874D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56-day EC</w:t>
            </w:r>
            <w:r w:rsidRPr="00A34F10">
              <w:rPr>
                <w:rFonts w:ascii="Times New Roman" w:hAnsi="Times New Roman"/>
                <w:sz w:val="20"/>
                <w:szCs w:val="20"/>
                <w:vertAlign w:val="subscript"/>
              </w:rPr>
              <w:t>50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2</w:t>
            </w:r>
          </w:p>
        </w:tc>
        <w:tc>
          <w:tcPr>
            <w:tcW w:w="3635" w:type="pct"/>
            <w:gridSpan w:val="9"/>
            <w:noWrap/>
            <w:vAlign w:val="center"/>
          </w:tcPr>
          <w:p w14:paraId="0578043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n.d.</w:t>
            </w:r>
          </w:p>
        </w:tc>
      </w:tr>
    </w:tbl>
    <w:p w14:paraId="00084EE2" w14:textId="77777777" w:rsidR="00DC5685" w:rsidRPr="00A34F10" w:rsidRDefault="00DC5685" w:rsidP="00DC5685">
      <w:pPr>
        <w:keepNext/>
        <w:keepLines/>
        <w:rPr>
          <w:bCs/>
          <w:sz w:val="18"/>
          <w:szCs w:val="18"/>
        </w:rPr>
      </w:pPr>
      <w:r w:rsidRPr="00A34F10">
        <w:rPr>
          <w:bCs/>
          <w:sz w:val="18"/>
          <w:szCs w:val="18"/>
        </w:rPr>
        <w:t>n.d.: not determined due to mathematical reasons (inappropriate data) or value is beyond the tested concentrations</w:t>
      </w:r>
    </w:p>
    <w:p w14:paraId="59C6D78B" w14:textId="77777777" w:rsidR="00DC5685" w:rsidRPr="00A34F10" w:rsidRDefault="00DC5685" w:rsidP="00DC5685">
      <w:pPr>
        <w:keepNext/>
        <w:keepLines/>
        <w:rPr>
          <w:bCs/>
          <w:sz w:val="18"/>
          <w:szCs w:val="18"/>
        </w:rPr>
      </w:pPr>
      <w:r w:rsidRPr="00A34F10">
        <w:rPr>
          <w:bCs/>
          <w:sz w:val="18"/>
          <w:szCs w:val="18"/>
        </w:rPr>
        <w:t>n.r.: values considered not reliable</w:t>
      </w:r>
    </w:p>
    <w:p w14:paraId="3C47C61D" w14:textId="77777777" w:rsidR="00DC5685" w:rsidRPr="00A34F10" w:rsidRDefault="00DC5685" w:rsidP="00DC5685">
      <w:pPr>
        <w:keepNext/>
        <w:keepLines/>
        <w:tabs>
          <w:tab w:val="left" w:pos="720"/>
        </w:tabs>
        <w:jc w:val="both"/>
        <w:rPr>
          <w:sz w:val="18"/>
          <w:szCs w:val="20"/>
          <w:lang w:val="en-GB"/>
        </w:rPr>
      </w:pPr>
      <w:r w:rsidRPr="00A34F10">
        <w:rPr>
          <w:sz w:val="18"/>
          <w:szCs w:val="20"/>
          <w:lang w:val="en-GB"/>
        </w:rPr>
        <w:t>*: statistically significantly different from the control (Williams-t-test for reproduction, α = 0.05, one-sided smaller)</w:t>
      </w:r>
    </w:p>
    <w:p w14:paraId="28882D1D" w14:textId="77777777" w:rsidR="00DC5685" w:rsidRPr="00A34F10" w:rsidRDefault="00DC5685" w:rsidP="00DC5685">
      <w:pPr>
        <w:keepNext/>
        <w:keepLines/>
        <w:tabs>
          <w:tab w:val="left" w:pos="720"/>
        </w:tabs>
        <w:jc w:val="both"/>
        <w:rPr>
          <w:sz w:val="18"/>
          <w:szCs w:val="20"/>
          <w:lang w:val="en-GB"/>
        </w:rPr>
      </w:pPr>
      <w:r w:rsidRPr="00A34F10">
        <w:rPr>
          <w:sz w:val="18"/>
          <w:szCs w:val="20"/>
          <w:vertAlign w:val="superscript"/>
          <w:lang w:val="en-GB"/>
        </w:rPr>
        <w:t>1</w:t>
      </w:r>
      <w:r w:rsidRPr="00A34F10">
        <w:rPr>
          <w:sz w:val="18"/>
          <w:szCs w:val="20"/>
          <w:lang w:val="en-GB"/>
        </w:rPr>
        <w:t xml:space="preserve"> based on estimation of the data</w:t>
      </w:r>
    </w:p>
    <w:p w14:paraId="0B377E91" w14:textId="28981B0D" w:rsidR="00A34F10" w:rsidRPr="003B09BC" w:rsidRDefault="00DC5685" w:rsidP="00DC5685">
      <w:pPr>
        <w:keepNext/>
        <w:keepLines/>
        <w:tabs>
          <w:tab w:val="left" w:pos="720"/>
        </w:tabs>
        <w:spacing w:after="360"/>
        <w:jc w:val="both"/>
        <w:rPr>
          <w:sz w:val="18"/>
          <w:szCs w:val="18"/>
          <w:lang w:val="en-GB"/>
        </w:rPr>
      </w:pPr>
      <w:r w:rsidRPr="00A34F10">
        <w:rPr>
          <w:sz w:val="18"/>
          <w:szCs w:val="20"/>
          <w:vertAlign w:val="superscript"/>
          <w:lang w:val="en-GB"/>
        </w:rPr>
        <w:t>2</w:t>
      </w:r>
      <w:r w:rsidRPr="00A34F10">
        <w:rPr>
          <w:sz w:val="18"/>
          <w:szCs w:val="20"/>
          <w:lang w:val="en-GB"/>
        </w:rPr>
        <w:t xml:space="preserve"> </w:t>
      </w:r>
      <w:r w:rsidRPr="003B09BC">
        <w:rPr>
          <w:sz w:val="18"/>
          <w:szCs w:val="18"/>
          <w:lang w:val="en-GB"/>
        </w:rPr>
        <w:t>based on Logit analysis.</w:t>
      </w:r>
    </w:p>
    <w:p w14:paraId="6AFF29A9" w14:textId="77777777" w:rsidR="00DC5685" w:rsidRPr="00A34F10" w:rsidRDefault="00DC5685" w:rsidP="00DC5685">
      <w:pPr>
        <w:spacing w:line="240" w:lineRule="exact"/>
        <w:jc w:val="both"/>
        <w:rPr>
          <w:szCs w:val="24"/>
          <w:lang w:val="en-GB"/>
        </w:rPr>
      </w:pPr>
      <w:r w:rsidRPr="00A34F10">
        <w:rPr>
          <w:szCs w:val="24"/>
          <w:lang w:val="en-GB"/>
        </w:rPr>
        <w:t xml:space="preserve">In a separate study (BioChem project No. 22 48 TEC 0003, reported 28 Jan 2022), the reference item Maypon Flow (Carbendazim, SC 500) had a significant effect on biomass increase and reproduction of earthworms. The number of juveniles was reduced by 51.6 and 99.9 % at concentrations of 5 and 10 mg product/kg soil dw (mean number of juveniles = 130.5 and 0.3) after 8 weeks of test duration when compared to control (mean number of juveniles = 269.8). The results of the reference test demonstrated the sensitivity of the test system. </w:t>
      </w:r>
    </w:p>
    <w:p w14:paraId="59EE1FF2" w14:textId="77777777" w:rsidR="00DC5685" w:rsidRPr="00A34F10" w:rsidRDefault="00DC5685" w:rsidP="00DC5685">
      <w:pPr>
        <w:tabs>
          <w:tab w:val="left" w:pos="0"/>
        </w:tabs>
        <w:ind w:left="357" w:hanging="357"/>
        <w:contextualSpacing/>
        <w:rPr>
          <w:b/>
          <w:bCs/>
          <w:caps/>
          <w:szCs w:val="24"/>
          <w:lang w:val="en-GB"/>
        </w:rPr>
      </w:pPr>
    </w:p>
    <w:p w14:paraId="1F4C61F4"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VALIDITY CRITERIA</w:t>
      </w:r>
    </w:p>
    <w:p w14:paraId="50569BB7" w14:textId="77777777" w:rsidR="00DC5685" w:rsidRPr="00A34F10" w:rsidRDefault="00DC5685" w:rsidP="00DC5685">
      <w:pPr>
        <w:tabs>
          <w:tab w:val="left" w:pos="720"/>
        </w:tabs>
        <w:jc w:val="both"/>
        <w:rPr>
          <w:szCs w:val="24"/>
          <w:lang w:val="en-GB"/>
        </w:rPr>
      </w:pPr>
    </w:p>
    <w:p w14:paraId="25A09FA9" w14:textId="77777777" w:rsidR="00DC5685" w:rsidRPr="00A34F10" w:rsidRDefault="00DC5685" w:rsidP="00DC5685">
      <w:pPr>
        <w:tabs>
          <w:tab w:val="left" w:pos="720"/>
        </w:tabs>
        <w:jc w:val="both"/>
        <w:rPr>
          <w:szCs w:val="24"/>
          <w:lang w:val="en-GB"/>
        </w:rPr>
      </w:pPr>
      <w:r w:rsidRPr="00A34F10">
        <w:rPr>
          <w:szCs w:val="24"/>
          <w:lang w:val="en-GB"/>
        </w:rPr>
        <w:t>All validity criteria were met.</w:t>
      </w:r>
    </w:p>
    <w:p w14:paraId="1E19EA9E" w14:textId="77777777" w:rsidR="00DC5685" w:rsidRPr="00A34F10" w:rsidRDefault="00DC5685" w:rsidP="00DC5685">
      <w:pPr>
        <w:tabs>
          <w:tab w:val="left" w:pos="720"/>
        </w:tabs>
        <w:jc w:val="both"/>
        <w:rPr>
          <w:szCs w:val="24"/>
          <w:lang w:val="en-GB"/>
        </w:rPr>
      </w:pPr>
    </w:p>
    <w:p w14:paraId="634A692B" w14:textId="6E5B83D3" w:rsidR="00DC5685" w:rsidRPr="00A34F10" w:rsidRDefault="00040826" w:rsidP="00040826">
      <w:pPr>
        <w:pStyle w:val="Legenda"/>
        <w:rPr>
          <w:szCs w:val="28"/>
        </w:rPr>
      </w:pPr>
      <w:r>
        <w:t xml:space="preserve">Table A </w:t>
      </w:r>
      <w:r>
        <w:fldChar w:fldCharType="begin"/>
      </w:r>
      <w:r>
        <w:instrText xml:space="preserve"> SEQ Table_A \* ARABIC </w:instrText>
      </w:r>
      <w:r>
        <w:fldChar w:fldCharType="separate"/>
      </w:r>
      <w:r w:rsidR="006F0F3B">
        <w:rPr>
          <w:noProof/>
        </w:rPr>
        <w:t>72</w:t>
      </w:r>
      <w:r>
        <w:fldChar w:fldCharType="end"/>
      </w:r>
      <w:r w:rsidR="00DC5685" w:rsidRPr="00A34F10">
        <w:t>:</w:t>
      </w:r>
      <w:r w:rsidR="00A34F10" w:rsidRPr="00A34F10">
        <w:tab/>
      </w:r>
      <w:r w:rsidR="00DC5685" w:rsidRPr="00A34F10">
        <w:t xml:space="preserve"> </w:t>
      </w:r>
      <w:r w:rsidR="00DC5685" w:rsidRPr="00A34F10">
        <w:rPr>
          <w:szCs w:val="28"/>
        </w:rPr>
        <w:t>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4"/>
        <w:gridCol w:w="2360"/>
      </w:tblGrid>
      <w:tr w:rsidR="00DC5685" w:rsidRPr="00A34F10" w14:paraId="778A7B01" w14:textId="77777777" w:rsidTr="000470C3">
        <w:trPr>
          <w:trHeight w:val="270"/>
          <w:tblHeader/>
        </w:trPr>
        <w:tc>
          <w:tcPr>
            <w:tcW w:w="3737" w:type="pct"/>
            <w:shd w:val="clear" w:color="auto" w:fill="auto"/>
            <w:noWrap/>
            <w:hideMark/>
          </w:tcPr>
          <w:p w14:paraId="38B1722F" w14:textId="77777777" w:rsidR="00DC5685" w:rsidRPr="00A34F10" w:rsidRDefault="00DC5685" w:rsidP="00DC5685">
            <w:pPr>
              <w:keepNext/>
              <w:keepLines/>
              <w:tabs>
                <w:tab w:val="left" w:pos="720"/>
              </w:tabs>
              <w:spacing w:before="40" w:after="40"/>
              <w:rPr>
                <w:b/>
                <w:bCs/>
                <w:lang w:val="en-GB"/>
              </w:rPr>
            </w:pPr>
            <w:r w:rsidRPr="00A34F10">
              <w:rPr>
                <w:b/>
                <w:bCs/>
                <w:lang w:val="en-GB"/>
              </w:rPr>
              <w:t>Validity criteria according to OECD 222 (2016)</w:t>
            </w:r>
          </w:p>
        </w:tc>
        <w:tc>
          <w:tcPr>
            <w:tcW w:w="1263" w:type="pct"/>
            <w:shd w:val="clear" w:color="auto" w:fill="auto"/>
            <w:noWrap/>
            <w:hideMark/>
          </w:tcPr>
          <w:p w14:paraId="0A764D91" w14:textId="77777777" w:rsidR="00DC5685" w:rsidRPr="00A34F10" w:rsidRDefault="00DC5685" w:rsidP="00DC5685">
            <w:pPr>
              <w:keepNext/>
              <w:keepLines/>
              <w:tabs>
                <w:tab w:val="left" w:pos="720"/>
              </w:tabs>
              <w:spacing w:before="40" w:after="40"/>
              <w:jc w:val="both"/>
              <w:rPr>
                <w:b/>
                <w:bCs/>
                <w:lang w:val="en-GB"/>
              </w:rPr>
            </w:pPr>
            <w:r w:rsidRPr="00A34F10">
              <w:rPr>
                <w:b/>
                <w:bCs/>
                <w:lang w:val="en-GB"/>
              </w:rPr>
              <w:t>Obtained in this study</w:t>
            </w:r>
          </w:p>
        </w:tc>
      </w:tr>
      <w:tr w:rsidR="00DC5685" w:rsidRPr="00A34F10" w14:paraId="0F9E9CF8" w14:textId="77777777" w:rsidTr="000470C3">
        <w:trPr>
          <w:trHeight w:val="270"/>
        </w:trPr>
        <w:tc>
          <w:tcPr>
            <w:tcW w:w="3737" w:type="pct"/>
            <w:shd w:val="clear" w:color="auto" w:fill="auto"/>
            <w:noWrap/>
          </w:tcPr>
          <w:p w14:paraId="169DD292" w14:textId="77777777" w:rsidR="00DC5685" w:rsidRPr="00A34F10" w:rsidRDefault="00DC5685" w:rsidP="00DC5685">
            <w:pPr>
              <w:keepNext/>
              <w:keepLines/>
              <w:tabs>
                <w:tab w:val="left" w:pos="720"/>
              </w:tabs>
              <w:spacing w:before="40" w:after="40"/>
              <w:rPr>
                <w:lang w:val="en-GB"/>
              </w:rPr>
            </w:pPr>
            <w:r w:rsidRPr="00A34F10">
              <w:rPr>
                <w:lang w:val="en-GB"/>
              </w:rPr>
              <w:t>In the control(s), adult mortality after 4 weeks should be ≤10%</w:t>
            </w:r>
          </w:p>
        </w:tc>
        <w:tc>
          <w:tcPr>
            <w:tcW w:w="1263" w:type="pct"/>
            <w:shd w:val="clear" w:color="auto" w:fill="auto"/>
            <w:noWrap/>
          </w:tcPr>
          <w:p w14:paraId="3FA3F299" w14:textId="77777777" w:rsidR="00DC5685" w:rsidRPr="00A34F10" w:rsidRDefault="00DC5685" w:rsidP="00DC5685">
            <w:pPr>
              <w:keepNext/>
              <w:keepLines/>
              <w:tabs>
                <w:tab w:val="left" w:pos="720"/>
              </w:tabs>
              <w:spacing w:before="40" w:after="40"/>
              <w:jc w:val="both"/>
              <w:rPr>
                <w:lang w:val="en-GB"/>
              </w:rPr>
            </w:pPr>
            <w:r w:rsidRPr="00A34F10">
              <w:rPr>
                <w:lang w:val="en-GB"/>
              </w:rPr>
              <w:t>0 %</w:t>
            </w:r>
          </w:p>
        </w:tc>
      </w:tr>
      <w:tr w:rsidR="00DC5685" w:rsidRPr="00A34F10" w14:paraId="66858B5A" w14:textId="77777777" w:rsidTr="000470C3">
        <w:trPr>
          <w:trHeight w:val="270"/>
        </w:trPr>
        <w:tc>
          <w:tcPr>
            <w:tcW w:w="3737" w:type="pct"/>
            <w:shd w:val="clear" w:color="auto" w:fill="auto"/>
            <w:noWrap/>
          </w:tcPr>
          <w:p w14:paraId="52F89136" w14:textId="77777777" w:rsidR="00DC5685" w:rsidRPr="00A34F10" w:rsidRDefault="00DC5685" w:rsidP="00DC5685">
            <w:pPr>
              <w:keepNext/>
              <w:keepLines/>
              <w:tabs>
                <w:tab w:val="left" w:pos="720"/>
              </w:tabs>
              <w:autoSpaceDE w:val="0"/>
              <w:autoSpaceDN w:val="0"/>
              <w:adjustRightInd w:val="0"/>
              <w:spacing w:before="40" w:after="40"/>
              <w:rPr>
                <w:rFonts w:eastAsia="Calibri"/>
                <w:lang w:val="en-GB"/>
              </w:rPr>
            </w:pPr>
            <w:r w:rsidRPr="00A34F10">
              <w:rPr>
                <w:lang w:val="en-GB"/>
              </w:rPr>
              <w:t>In the control(s), number of juveniles per replicate should be ≥30</w:t>
            </w:r>
          </w:p>
        </w:tc>
        <w:tc>
          <w:tcPr>
            <w:tcW w:w="1263" w:type="pct"/>
            <w:shd w:val="clear" w:color="auto" w:fill="auto"/>
            <w:noWrap/>
          </w:tcPr>
          <w:p w14:paraId="24E7AA86" w14:textId="77777777" w:rsidR="00DC5685" w:rsidRPr="00A34F10" w:rsidRDefault="00DC5685" w:rsidP="00DC5685">
            <w:pPr>
              <w:keepNext/>
              <w:keepLines/>
              <w:tabs>
                <w:tab w:val="left" w:pos="720"/>
              </w:tabs>
              <w:spacing w:before="40" w:after="40"/>
              <w:jc w:val="both"/>
              <w:rPr>
                <w:lang w:val="en-GB"/>
              </w:rPr>
            </w:pPr>
            <w:r w:rsidRPr="00A34F10">
              <w:rPr>
                <w:lang w:val="en-GB"/>
              </w:rPr>
              <w:t>194 – 276</w:t>
            </w:r>
          </w:p>
        </w:tc>
      </w:tr>
      <w:tr w:rsidR="00DC5685" w:rsidRPr="00A34F10" w14:paraId="1E7531A1" w14:textId="77777777" w:rsidTr="000470C3">
        <w:trPr>
          <w:trHeight w:val="270"/>
        </w:trPr>
        <w:tc>
          <w:tcPr>
            <w:tcW w:w="3737" w:type="pct"/>
            <w:shd w:val="clear" w:color="auto" w:fill="auto"/>
            <w:noWrap/>
          </w:tcPr>
          <w:p w14:paraId="2C3FF023" w14:textId="77777777" w:rsidR="00DC5685" w:rsidRPr="00A34F10" w:rsidRDefault="00DC5685" w:rsidP="00DC5685">
            <w:pPr>
              <w:keepNext/>
              <w:keepLines/>
              <w:tabs>
                <w:tab w:val="left" w:pos="720"/>
              </w:tabs>
              <w:autoSpaceDE w:val="0"/>
              <w:autoSpaceDN w:val="0"/>
              <w:adjustRightInd w:val="0"/>
              <w:spacing w:before="40" w:after="40"/>
              <w:rPr>
                <w:rFonts w:eastAsia="Calibri"/>
                <w:lang w:val="en-GB"/>
              </w:rPr>
            </w:pPr>
            <w:r w:rsidRPr="00A34F10">
              <w:rPr>
                <w:lang w:val="en-GB"/>
              </w:rPr>
              <w:t>In the control(s), coefficient of variation of reproduction should be ≤30%</w:t>
            </w:r>
          </w:p>
        </w:tc>
        <w:tc>
          <w:tcPr>
            <w:tcW w:w="1263" w:type="pct"/>
            <w:shd w:val="clear" w:color="auto" w:fill="auto"/>
            <w:noWrap/>
          </w:tcPr>
          <w:p w14:paraId="2BEC2C88" w14:textId="77777777" w:rsidR="00DC5685" w:rsidRPr="00A34F10" w:rsidRDefault="00DC5685" w:rsidP="00DC5685">
            <w:pPr>
              <w:keepNext/>
              <w:keepLines/>
              <w:tabs>
                <w:tab w:val="left" w:pos="720"/>
              </w:tabs>
              <w:spacing w:before="40" w:after="40"/>
              <w:jc w:val="both"/>
              <w:rPr>
                <w:lang w:val="en-GB"/>
              </w:rPr>
            </w:pPr>
            <w:r w:rsidRPr="00A34F10">
              <w:rPr>
                <w:lang w:val="en-GB"/>
              </w:rPr>
              <w:t>12.5%</w:t>
            </w:r>
          </w:p>
        </w:tc>
      </w:tr>
    </w:tbl>
    <w:p w14:paraId="10FDA743" w14:textId="77777777" w:rsidR="00DC5685" w:rsidRPr="00A34F10" w:rsidRDefault="00DC5685" w:rsidP="00DC5685">
      <w:pPr>
        <w:tabs>
          <w:tab w:val="left" w:pos="720"/>
        </w:tabs>
        <w:spacing w:after="360"/>
        <w:jc w:val="both"/>
        <w:rPr>
          <w:szCs w:val="24"/>
          <w:lang w:val="en-GB"/>
        </w:rPr>
      </w:pPr>
    </w:p>
    <w:p w14:paraId="6E066A89"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C.</w:t>
      </w:r>
      <w:r w:rsidRPr="00A34F10">
        <w:rPr>
          <w:b/>
          <w:bCs/>
          <w:caps/>
          <w:szCs w:val="24"/>
          <w:lang w:val="en-GB"/>
        </w:rPr>
        <w:tab/>
        <w:t>DEFICIENCIES</w:t>
      </w:r>
    </w:p>
    <w:p w14:paraId="073208A0" w14:textId="77777777" w:rsidR="00DC5685" w:rsidRPr="00A34F10" w:rsidRDefault="00DC5685" w:rsidP="00DC5685">
      <w:pPr>
        <w:tabs>
          <w:tab w:val="left" w:pos="0"/>
        </w:tabs>
        <w:ind w:left="357" w:hanging="357"/>
        <w:contextualSpacing/>
        <w:rPr>
          <w:b/>
          <w:bCs/>
          <w:caps/>
          <w:szCs w:val="24"/>
          <w:lang w:val="en-GB"/>
        </w:rPr>
      </w:pPr>
    </w:p>
    <w:p w14:paraId="2581A989"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There were no deviations from the study plan. </w:t>
      </w:r>
    </w:p>
    <w:p w14:paraId="7A51A437" w14:textId="77777777" w:rsidR="00DC5685" w:rsidRPr="00A34F10" w:rsidRDefault="00DC5685" w:rsidP="00DC5685">
      <w:pPr>
        <w:keepNext/>
        <w:keepLines/>
        <w:tabs>
          <w:tab w:val="left" w:pos="720"/>
        </w:tabs>
        <w:spacing w:after="240"/>
        <w:ind w:left="720" w:hanging="431"/>
        <w:jc w:val="center"/>
        <w:rPr>
          <w:b/>
          <w:bCs/>
          <w:caps/>
          <w:szCs w:val="24"/>
          <w:lang w:val="en-GB"/>
        </w:rPr>
      </w:pPr>
      <w:r w:rsidRPr="00A34F10">
        <w:rPr>
          <w:b/>
          <w:bCs/>
          <w:caps/>
          <w:szCs w:val="24"/>
          <w:lang w:val="en-GB"/>
        </w:rPr>
        <w:t>III.</w:t>
      </w:r>
      <w:r w:rsidRPr="00A34F10">
        <w:rPr>
          <w:b/>
          <w:bCs/>
          <w:caps/>
          <w:szCs w:val="24"/>
          <w:lang w:val="en-GB"/>
        </w:rPr>
        <w:tab/>
        <w:t>Conclusion</w:t>
      </w:r>
    </w:p>
    <w:p w14:paraId="2915BBB5" w14:textId="4F238396" w:rsidR="00A34F10" w:rsidRPr="00A34F10" w:rsidRDefault="00DC5685" w:rsidP="00DC5685">
      <w:pPr>
        <w:keepNext/>
        <w:keepLines/>
        <w:tabs>
          <w:tab w:val="left" w:pos="720"/>
        </w:tabs>
        <w:spacing w:after="240"/>
        <w:jc w:val="both"/>
        <w:rPr>
          <w:szCs w:val="24"/>
          <w:lang w:val="en-GB"/>
        </w:rPr>
      </w:pPr>
      <w:r w:rsidRPr="00A34F10">
        <w:rPr>
          <w:szCs w:val="24"/>
          <w:lang w:val="en-GB"/>
        </w:rPr>
        <w:t xml:space="preserve">In a 56-day earthworm </w:t>
      </w:r>
      <w:r w:rsidRPr="00A34F10">
        <w:rPr>
          <w:i/>
          <w:iCs/>
          <w:szCs w:val="24"/>
          <w:lang w:val="en-GB"/>
        </w:rPr>
        <w:t xml:space="preserve">Eisenia andrei </w:t>
      </w:r>
      <w:r w:rsidRPr="00A34F10">
        <w:rPr>
          <w:szCs w:val="24"/>
          <w:lang w:val="en-GB"/>
        </w:rPr>
        <w:t xml:space="preserve">reproduction study with BAS 743 02 F, no adverse effects on survival and biomass development could be determined at all concentrations tested up to and including 1000 mg product/kg soil dw. The NOEC for mortality and biomass was determined to be ≥1000 mg product/kg soil dw (corresponding to </w:t>
      </w:r>
      <w:r w:rsidRPr="00A34F10">
        <w:t xml:space="preserve">a total amount of </w:t>
      </w:r>
      <w:r w:rsidRPr="00A34F10">
        <w:rPr>
          <w:color w:val="000000"/>
        </w:rPr>
        <w:t xml:space="preserve">527.0 </w:t>
      </w:r>
      <w:r w:rsidRPr="00A34F10">
        <w:t>mg a.s./kg soil dw as sum of active substances)</w:t>
      </w:r>
      <w:r w:rsidRPr="00A34F10">
        <w:rPr>
          <w:szCs w:val="24"/>
          <w:lang w:val="en-GB"/>
        </w:rPr>
        <w:t xml:space="preserve">. The NOEC for reproduction was determined to be 171 mg product/kg soil dw (corresponding to </w:t>
      </w:r>
      <w:r w:rsidRPr="00A34F10">
        <w:t>90.4 mg a.s./kg soil dw as sum of active substances)</w:t>
      </w:r>
      <w:r w:rsidRPr="00A34F10">
        <w:rPr>
          <w:szCs w:val="24"/>
          <w:lang w:val="en-GB"/>
        </w:rPr>
        <w:t>. The EC</w:t>
      </w:r>
      <w:r w:rsidRPr="00A34F10">
        <w:rPr>
          <w:szCs w:val="24"/>
          <w:vertAlign w:val="subscript"/>
          <w:lang w:val="en-GB"/>
        </w:rPr>
        <w:t>10</w:t>
      </w:r>
      <w:r w:rsidRPr="00A34F10">
        <w:rPr>
          <w:szCs w:val="24"/>
          <w:lang w:val="en-GB"/>
        </w:rPr>
        <w:t xml:space="preserve"> and EC</w:t>
      </w:r>
      <w:r w:rsidRPr="00A34F10">
        <w:rPr>
          <w:szCs w:val="24"/>
          <w:vertAlign w:val="subscript"/>
          <w:lang w:val="en-GB"/>
        </w:rPr>
        <w:t>20</w:t>
      </w:r>
      <w:r w:rsidRPr="00A34F10">
        <w:rPr>
          <w:szCs w:val="24"/>
          <w:lang w:val="en-GB"/>
        </w:rPr>
        <w:t xml:space="preserve"> values for reproduction were considered not reliable and the EC</w:t>
      </w:r>
      <w:r w:rsidRPr="00A34F10">
        <w:rPr>
          <w:szCs w:val="24"/>
          <w:vertAlign w:val="subscript"/>
          <w:lang w:val="en-GB"/>
        </w:rPr>
        <w:t xml:space="preserve">50 </w:t>
      </w:r>
      <w:r w:rsidRPr="00A34F10">
        <w:rPr>
          <w:szCs w:val="24"/>
          <w:lang w:val="en-GB"/>
        </w:rPr>
        <w:t>value could not be determined but it can be concluded that it is &gt; 1000 mg product/kg soil dw. All validity criteria for the study were met.</w:t>
      </w:r>
    </w:p>
    <w:p w14:paraId="039390B8" w14:textId="77777777" w:rsidR="00DC5685" w:rsidRPr="00A34F10" w:rsidRDefault="00A34F10" w:rsidP="00A34F10">
      <w:pPr>
        <w:rPr>
          <w:lang w:val="en-GB"/>
        </w:rPr>
      </w:pPr>
      <w:r w:rsidRPr="00A34F10">
        <w:rPr>
          <w:lang w:val="en-GB"/>
        </w:rPr>
        <w:br w:type="page"/>
      </w:r>
    </w:p>
    <w:p w14:paraId="41CECD9E" w14:textId="77777777" w:rsidR="00DC5685" w:rsidRPr="00A34F10" w:rsidRDefault="00DC5685" w:rsidP="00F9282A">
      <w:pPr>
        <w:pStyle w:val="RepAppendix5"/>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76E5BD92" w14:textId="77777777" w:rsidTr="00561588">
        <w:tc>
          <w:tcPr>
            <w:tcW w:w="1063" w:type="pct"/>
            <w:shd w:val="clear" w:color="auto" w:fill="D9D9D9" w:themeFill="background1" w:themeFillShade="D9"/>
          </w:tcPr>
          <w:p w14:paraId="35B30F73"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31647B94" w14:textId="32CAC142" w:rsidR="00DC5685" w:rsidRPr="00A34F10" w:rsidRDefault="00561588" w:rsidP="00DC5685">
            <w:pPr>
              <w:widowControl w:val="0"/>
              <w:suppressAutoHyphens/>
              <w:ind w:left="85"/>
              <w:jc w:val="both"/>
              <w:rPr>
                <w:rFonts w:eastAsia="Batang"/>
                <w:color w:val="000000" w:themeColor="text1"/>
              </w:rPr>
            </w:pPr>
            <w:r w:rsidRPr="0037666C">
              <w:rPr>
                <w:rFonts w:eastAsia="Batang"/>
              </w:rPr>
              <w:t xml:space="preserve">The study was conducted to </w:t>
            </w:r>
            <w:r w:rsidRPr="00A34F10">
              <w:rPr>
                <w:lang w:val="en-GB"/>
              </w:rPr>
              <w:t xml:space="preserve">OECD 222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66A67DF3" w14:textId="77777777" w:rsidR="00DC5685" w:rsidRPr="00A34F10" w:rsidRDefault="00DC5685" w:rsidP="00DC5685">
      <w:pPr>
        <w:suppressAutoHyphens/>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1DEB6773" w14:textId="77777777" w:rsidTr="000470C3">
        <w:trPr>
          <w:trHeight w:val="227"/>
          <w:jc w:val="center"/>
        </w:trPr>
        <w:tc>
          <w:tcPr>
            <w:tcW w:w="1288" w:type="pct"/>
          </w:tcPr>
          <w:p w14:paraId="1C3AD37B" w14:textId="77777777" w:rsidR="00DC5685" w:rsidRPr="00A34F10" w:rsidRDefault="00DC5685" w:rsidP="00DC5685">
            <w:pPr>
              <w:keepNext/>
              <w:keepLines/>
              <w:tabs>
                <w:tab w:val="left" w:pos="360"/>
                <w:tab w:val="left" w:pos="720"/>
              </w:tabs>
              <w:spacing w:after="120"/>
              <w:jc w:val="both"/>
              <w:rPr>
                <w:highlight w:val="yellow"/>
                <w:lang w:val="en-GB"/>
              </w:rPr>
            </w:pPr>
            <w:r w:rsidRPr="00A34F10">
              <w:rPr>
                <w:lang w:val="en-GB"/>
              </w:rPr>
              <w:t xml:space="preserve">Data point: </w:t>
            </w:r>
          </w:p>
        </w:tc>
        <w:tc>
          <w:tcPr>
            <w:tcW w:w="3712" w:type="pct"/>
          </w:tcPr>
          <w:p w14:paraId="17CFE75C" w14:textId="77777777" w:rsidR="00DC5685" w:rsidRPr="00A34F10" w:rsidRDefault="00DC5685" w:rsidP="00DC5685">
            <w:pPr>
              <w:keepNext/>
              <w:keepLines/>
              <w:tabs>
                <w:tab w:val="left" w:pos="360"/>
                <w:tab w:val="left" w:pos="720"/>
              </w:tabs>
              <w:spacing w:after="120"/>
              <w:jc w:val="both"/>
              <w:rPr>
                <w:highlight w:val="yellow"/>
                <w:lang w:val="en-GB"/>
              </w:rPr>
            </w:pPr>
            <w:r w:rsidRPr="00A34F10">
              <w:rPr>
                <w:color w:val="000000" w:themeColor="text1"/>
                <w:lang w:val="en-GB"/>
              </w:rPr>
              <w:t>CP 10.4.1.1/02</w:t>
            </w:r>
          </w:p>
        </w:tc>
      </w:tr>
      <w:tr w:rsidR="00DC5685" w:rsidRPr="00A34F10" w14:paraId="3F88DCFC" w14:textId="77777777" w:rsidTr="000470C3">
        <w:trPr>
          <w:trHeight w:val="227"/>
          <w:jc w:val="center"/>
        </w:trPr>
        <w:tc>
          <w:tcPr>
            <w:tcW w:w="1288" w:type="pct"/>
          </w:tcPr>
          <w:p w14:paraId="6AEC7500" w14:textId="77777777" w:rsidR="00DC5685" w:rsidRPr="00A34F10" w:rsidRDefault="00DC5685" w:rsidP="00DC5685">
            <w:pPr>
              <w:keepNext/>
              <w:keepLines/>
              <w:tabs>
                <w:tab w:val="left" w:pos="360"/>
                <w:tab w:val="left" w:pos="720"/>
              </w:tabs>
              <w:spacing w:after="120"/>
              <w:jc w:val="both"/>
              <w:rPr>
                <w:color w:val="000000" w:themeColor="text1"/>
                <w:lang w:val="en-GB"/>
              </w:rPr>
            </w:pPr>
            <w:r w:rsidRPr="00A34F10">
              <w:rPr>
                <w:color w:val="000000" w:themeColor="text1"/>
                <w:lang w:val="en-GB"/>
              </w:rPr>
              <w:t xml:space="preserve">Report </w:t>
            </w:r>
          </w:p>
        </w:tc>
        <w:tc>
          <w:tcPr>
            <w:tcW w:w="3712" w:type="pct"/>
          </w:tcPr>
          <w:p w14:paraId="0C51731F" w14:textId="77777777" w:rsidR="00DC5685" w:rsidRPr="00A34F10" w:rsidRDefault="00DC5685" w:rsidP="00DC5685">
            <w:pPr>
              <w:keepNext/>
              <w:tabs>
                <w:tab w:val="left" w:pos="360"/>
                <w:tab w:val="left" w:pos="720"/>
              </w:tabs>
              <w:spacing w:after="120"/>
              <w:jc w:val="both"/>
              <w:rPr>
                <w:lang w:val="en-GB"/>
              </w:rPr>
            </w:pPr>
            <w:r w:rsidRPr="00A34F10">
              <w:rPr>
                <w:lang w:val="en-GB"/>
              </w:rPr>
              <w:t xml:space="preserve">Effects of BAS 743 03 F on the reproduction of the earthworm </w:t>
            </w:r>
            <w:r w:rsidRPr="00A34F10">
              <w:rPr>
                <w:i/>
                <w:iCs/>
                <w:lang w:val="en-GB"/>
              </w:rPr>
              <w:t>Eisenia andrei</w:t>
            </w:r>
            <w:r w:rsidRPr="00A34F10">
              <w:rPr>
                <w:lang w:val="en-GB"/>
              </w:rPr>
              <w:t xml:space="preserve"> in artificial soil</w:t>
            </w:r>
          </w:p>
          <w:p w14:paraId="2BBA11F4" w14:textId="77777777" w:rsidR="00DC5685" w:rsidRPr="00A34F10" w:rsidRDefault="00DC5685" w:rsidP="00DC5685">
            <w:pPr>
              <w:keepNext/>
              <w:tabs>
                <w:tab w:val="left" w:pos="360"/>
                <w:tab w:val="left" w:pos="720"/>
              </w:tabs>
              <w:spacing w:after="120"/>
              <w:jc w:val="both"/>
              <w:rPr>
                <w:color w:val="000000" w:themeColor="text1"/>
                <w:lang w:val="en-GB"/>
              </w:rPr>
            </w:pPr>
            <w:r w:rsidRPr="00A34F10">
              <w:rPr>
                <w:lang w:val="en-GB"/>
              </w:rPr>
              <w:t>Friedrich, S., 2022b</w:t>
            </w:r>
          </w:p>
          <w:p w14:paraId="1C4F7F21" w14:textId="6DC69FB8" w:rsidR="00DC5685" w:rsidRPr="00A34F10" w:rsidRDefault="00D007AB" w:rsidP="00DC5685">
            <w:pPr>
              <w:keepNext/>
              <w:tabs>
                <w:tab w:val="left" w:pos="360"/>
                <w:tab w:val="left" w:pos="720"/>
              </w:tabs>
              <w:spacing w:after="120"/>
              <w:jc w:val="both"/>
              <w:rPr>
                <w:color w:val="000000" w:themeColor="text1"/>
                <w:highlight w:val="yellow"/>
              </w:rPr>
            </w:pPr>
            <w:r>
              <w:rPr>
                <w:color w:val="000000" w:themeColor="text1"/>
              </w:rPr>
              <w:t>XXXX</w:t>
            </w:r>
            <w:r w:rsidR="00DC5685" w:rsidRPr="00A34F10">
              <w:rPr>
                <w:color w:val="000000" w:themeColor="text1"/>
              </w:rPr>
              <w:t xml:space="preserve"> Study ID:</w:t>
            </w:r>
            <w:r w:rsidR="00DC5685" w:rsidRPr="00A34F10">
              <w:rPr>
                <w:color w:val="000000" w:themeColor="text1"/>
                <w:lang w:val="en-GB"/>
              </w:rPr>
              <w:t xml:space="preserve"> 933750_3</w:t>
            </w:r>
          </w:p>
          <w:p w14:paraId="30CCE563" w14:textId="2A6BAFD4" w:rsidR="00DC5685" w:rsidRPr="00A34F10" w:rsidRDefault="00D007AB" w:rsidP="00DC5685">
            <w:pPr>
              <w:keepNext/>
              <w:keepLines/>
              <w:tabs>
                <w:tab w:val="left" w:pos="360"/>
                <w:tab w:val="left" w:pos="720"/>
              </w:tabs>
              <w:spacing w:after="120"/>
              <w:jc w:val="both"/>
              <w:rPr>
                <w:color w:val="000000" w:themeColor="text1"/>
                <w:lang w:val="en-GB"/>
              </w:rPr>
            </w:pPr>
            <w:r>
              <w:rPr>
                <w:color w:val="000000" w:themeColor="text1"/>
                <w:lang w:val="en-GB"/>
              </w:rPr>
              <w:t>XXXX</w:t>
            </w:r>
            <w:r w:rsidR="00DC5685" w:rsidRPr="00A34F10">
              <w:rPr>
                <w:color w:val="000000" w:themeColor="text1"/>
                <w:lang w:val="en-GB"/>
              </w:rPr>
              <w:t xml:space="preserve"> Doc ID: 2022/2033731</w:t>
            </w:r>
          </w:p>
        </w:tc>
      </w:tr>
      <w:tr w:rsidR="00DC5685" w:rsidRPr="00A34F10" w14:paraId="4D109548" w14:textId="77777777" w:rsidTr="000470C3">
        <w:trPr>
          <w:trHeight w:val="227"/>
          <w:jc w:val="center"/>
        </w:trPr>
        <w:tc>
          <w:tcPr>
            <w:tcW w:w="1288" w:type="pct"/>
          </w:tcPr>
          <w:p w14:paraId="0092771C" w14:textId="77777777" w:rsidR="00DC5685" w:rsidRPr="00A34F10" w:rsidRDefault="00DC5685" w:rsidP="00DC5685">
            <w:pPr>
              <w:keepNext/>
              <w:keepLines/>
              <w:tabs>
                <w:tab w:val="left" w:pos="360"/>
                <w:tab w:val="left" w:pos="720"/>
              </w:tabs>
              <w:spacing w:after="120"/>
              <w:rPr>
                <w:color w:val="000000" w:themeColor="text1"/>
                <w:highlight w:val="yellow"/>
                <w:lang w:val="en-GB"/>
              </w:rPr>
            </w:pPr>
            <w:r w:rsidRPr="00A34F10">
              <w:rPr>
                <w:color w:val="000000" w:themeColor="text1"/>
                <w:lang w:val="en-GB"/>
              </w:rPr>
              <w:t xml:space="preserve">Guideline(s): </w:t>
            </w:r>
          </w:p>
        </w:tc>
        <w:tc>
          <w:tcPr>
            <w:tcW w:w="3712" w:type="pct"/>
            <w:shd w:val="clear" w:color="auto" w:fill="auto"/>
          </w:tcPr>
          <w:p w14:paraId="0DF00C32" w14:textId="77777777" w:rsidR="00DC5685" w:rsidRPr="00A34F10" w:rsidRDefault="00DC5685" w:rsidP="00DC5685">
            <w:pPr>
              <w:keepNext/>
              <w:keepLines/>
              <w:tabs>
                <w:tab w:val="left" w:pos="360"/>
                <w:tab w:val="left" w:pos="720"/>
              </w:tabs>
              <w:spacing w:after="120"/>
              <w:jc w:val="both"/>
              <w:rPr>
                <w:color w:val="000000" w:themeColor="text1"/>
                <w:highlight w:val="yellow"/>
              </w:rPr>
            </w:pPr>
            <w:r w:rsidRPr="00A34F10">
              <w:rPr>
                <w:color w:val="000000" w:themeColor="text1"/>
                <w:lang w:val="en-GB"/>
              </w:rPr>
              <w:t>OECD 222 (2016)</w:t>
            </w:r>
          </w:p>
        </w:tc>
      </w:tr>
      <w:tr w:rsidR="00DC5685" w:rsidRPr="00A34F10" w14:paraId="23F322C5" w14:textId="77777777" w:rsidTr="000470C3">
        <w:trPr>
          <w:trHeight w:val="227"/>
          <w:jc w:val="center"/>
        </w:trPr>
        <w:tc>
          <w:tcPr>
            <w:tcW w:w="1288" w:type="pct"/>
          </w:tcPr>
          <w:p w14:paraId="103BDC90" w14:textId="77777777" w:rsidR="00DC5685" w:rsidRPr="00A34F10" w:rsidRDefault="00DC5685" w:rsidP="00DC5685">
            <w:pPr>
              <w:keepNext/>
              <w:keepLines/>
              <w:tabs>
                <w:tab w:val="left" w:pos="360"/>
                <w:tab w:val="left" w:pos="720"/>
              </w:tabs>
              <w:spacing w:after="120"/>
              <w:jc w:val="both"/>
              <w:rPr>
                <w:color w:val="000000" w:themeColor="text1"/>
                <w:highlight w:val="yellow"/>
                <w:lang w:val="en-GB"/>
              </w:rPr>
            </w:pPr>
            <w:r w:rsidRPr="00A34F10">
              <w:rPr>
                <w:color w:val="000000" w:themeColor="text1"/>
                <w:lang w:val="en-GB"/>
              </w:rPr>
              <w:t xml:space="preserve">Deviations: </w:t>
            </w:r>
          </w:p>
        </w:tc>
        <w:tc>
          <w:tcPr>
            <w:tcW w:w="3712" w:type="pct"/>
            <w:shd w:val="clear" w:color="auto" w:fill="auto"/>
          </w:tcPr>
          <w:p w14:paraId="63894399" w14:textId="77777777" w:rsidR="00DC5685" w:rsidRPr="00A34F10" w:rsidRDefault="00DC5685" w:rsidP="00DC5685">
            <w:pPr>
              <w:keepNext/>
              <w:keepLines/>
              <w:tabs>
                <w:tab w:val="left" w:pos="360"/>
                <w:tab w:val="left" w:pos="720"/>
              </w:tabs>
              <w:spacing w:after="120"/>
              <w:jc w:val="both"/>
              <w:rPr>
                <w:color w:val="000000" w:themeColor="text1"/>
                <w:highlight w:val="yellow"/>
                <w:lang w:val="en-GB"/>
              </w:rPr>
            </w:pPr>
            <w:r w:rsidRPr="00A34F10">
              <w:rPr>
                <w:color w:val="000000" w:themeColor="text1"/>
                <w:lang w:val="en-GB"/>
              </w:rPr>
              <w:t>No</w:t>
            </w:r>
          </w:p>
        </w:tc>
      </w:tr>
      <w:tr w:rsidR="00DC5685" w:rsidRPr="00902592" w14:paraId="5BFF5F78" w14:textId="77777777" w:rsidTr="000470C3">
        <w:trPr>
          <w:trHeight w:val="227"/>
          <w:jc w:val="center"/>
        </w:trPr>
        <w:tc>
          <w:tcPr>
            <w:tcW w:w="1288" w:type="pct"/>
          </w:tcPr>
          <w:p w14:paraId="41899F68" w14:textId="77777777" w:rsidR="00DC5685" w:rsidRPr="00A34F10" w:rsidRDefault="00DC5685" w:rsidP="00DC5685">
            <w:pPr>
              <w:keepNext/>
              <w:keepLines/>
              <w:tabs>
                <w:tab w:val="left" w:pos="360"/>
                <w:tab w:val="left" w:pos="720"/>
              </w:tabs>
              <w:spacing w:after="120"/>
              <w:rPr>
                <w:color w:val="000000" w:themeColor="text1"/>
                <w:lang w:val="en-GB"/>
              </w:rPr>
            </w:pPr>
            <w:r w:rsidRPr="00A34F10">
              <w:rPr>
                <w:color w:val="000000" w:themeColor="text1"/>
                <w:lang w:val="en-GB"/>
              </w:rPr>
              <w:t>GLP:</w:t>
            </w:r>
          </w:p>
        </w:tc>
        <w:tc>
          <w:tcPr>
            <w:tcW w:w="3712" w:type="pct"/>
          </w:tcPr>
          <w:p w14:paraId="57B52954" w14:textId="77777777" w:rsidR="00DC5685" w:rsidRPr="00A34F10" w:rsidRDefault="00DC5685" w:rsidP="00DC5685">
            <w:pPr>
              <w:keepNext/>
              <w:keepLines/>
              <w:tabs>
                <w:tab w:val="left" w:pos="360"/>
                <w:tab w:val="left" w:pos="720"/>
              </w:tabs>
              <w:spacing w:after="120"/>
              <w:jc w:val="both"/>
              <w:rPr>
                <w:color w:val="000000" w:themeColor="text1"/>
                <w:lang w:val="de-CH"/>
              </w:rPr>
            </w:pPr>
            <w:r w:rsidRPr="00A34F10">
              <w:rPr>
                <w:color w:val="000000" w:themeColor="text1"/>
                <w:lang w:val="de-CH"/>
              </w:rPr>
              <w:t>Yes, (certified by Saechsisches Staatsministerium fuer Umwelt und Landwirtschaft, Dresden, Germany)</w:t>
            </w:r>
          </w:p>
        </w:tc>
      </w:tr>
      <w:tr w:rsidR="00DC5685" w:rsidRPr="00A34F10" w14:paraId="781849BF" w14:textId="77777777" w:rsidTr="000470C3">
        <w:trPr>
          <w:trHeight w:val="227"/>
          <w:jc w:val="center"/>
        </w:trPr>
        <w:tc>
          <w:tcPr>
            <w:tcW w:w="1288" w:type="pct"/>
          </w:tcPr>
          <w:p w14:paraId="6EFE6445" w14:textId="77777777" w:rsidR="00DC5685" w:rsidRPr="00A34F10" w:rsidRDefault="00DC5685" w:rsidP="00DC5685">
            <w:pPr>
              <w:keepNext/>
              <w:keepLines/>
              <w:tabs>
                <w:tab w:val="left" w:pos="360"/>
                <w:tab w:val="left" w:pos="720"/>
              </w:tabs>
              <w:spacing w:after="120"/>
              <w:jc w:val="both"/>
              <w:rPr>
                <w:color w:val="000000" w:themeColor="text1"/>
                <w:lang w:val="en-GB"/>
              </w:rPr>
            </w:pPr>
            <w:r w:rsidRPr="00A34F10">
              <w:rPr>
                <w:color w:val="000000" w:themeColor="text1"/>
                <w:lang w:val="en-GB"/>
              </w:rPr>
              <w:t xml:space="preserve">Acceptability: </w:t>
            </w:r>
          </w:p>
        </w:tc>
        <w:tc>
          <w:tcPr>
            <w:tcW w:w="3712" w:type="pct"/>
          </w:tcPr>
          <w:p w14:paraId="30599790" w14:textId="77777777" w:rsidR="00DC5685" w:rsidRPr="00A34F10" w:rsidRDefault="00DC5685" w:rsidP="00DC5685">
            <w:pPr>
              <w:keepNext/>
              <w:keepLines/>
              <w:tabs>
                <w:tab w:val="left" w:pos="360"/>
                <w:tab w:val="left" w:pos="720"/>
              </w:tabs>
              <w:spacing w:after="120"/>
              <w:jc w:val="both"/>
              <w:rPr>
                <w:color w:val="000000" w:themeColor="text1"/>
                <w:lang w:val="en-GB"/>
              </w:rPr>
            </w:pPr>
            <w:r w:rsidRPr="00A34F10">
              <w:rPr>
                <w:color w:val="000000" w:themeColor="text1"/>
                <w:lang w:val="en-GB"/>
              </w:rPr>
              <w:t>Yes</w:t>
            </w:r>
          </w:p>
        </w:tc>
      </w:tr>
    </w:tbl>
    <w:p w14:paraId="56D22DCE" w14:textId="77777777" w:rsidR="00DC5685" w:rsidRPr="00A34F10" w:rsidRDefault="00DC5685" w:rsidP="00DC5685">
      <w:pPr>
        <w:suppressAutoHyphens/>
        <w:rPr>
          <w:color w:val="000000" w:themeColor="text1"/>
        </w:rPr>
      </w:pPr>
    </w:p>
    <w:p w14:paraId="583416C5"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615A62B9" w14:textId="77777777" w:rsidR="00DC5685" w:rsidRPr="00A34F10" w:rsidRDefault="00DC5685" w:rsidP="00DC5685">
      <w:pPr>
        <w:keepNext/>
        <w:keepLines/>
        <w:tabs>
          <w:tab w:val="left" w:pos="720"/>
        </w:tabs>
        <w:jc w:val="both"/>
        <w:rPr>
          <w:b/>
          <w:color w:val="000000" w:themeColor="text1"/>
          <w:szCs w:val="32"/>
          <w:lang w:val="en-GB"/>
        </w:rPr>
      </w:pPr>
    </w:p>
    <w:p w14:paraId="638A4745" w14:textId="77777777" w:rsidR="00DC5685" w:rsidRPr="00A34F10" w:rsidRDefault="00DC5685" w:rsidP="00DC5685">
      <w:pPr>
        <w:tabs>
          <w:tab w:val="left" w:pos="720"/>
        </w:tabs>
        <w:jc w:val="both"/>
        <w:rPr>
          <w:szCs w:val="24"/>
          <w:lang w:val="en-GB"/>
        </w:rPr>
      </w:pPr>
      <w:r w:rsidRPr="00A34F10">
        <w:rPr>
          <w:szCs w:val="24"/>
          <w:lang w:val="en-GB"/>
        </w:rPr>
        <w:t xml:space="preserve">A study to determine the effects of BAS 743 03 F on the mortality, biomass development and reproduction of the earthworm </w:t>
      </w:r>
      <w:r w:rsidRPr="00A34F10">
        <w:rPr>
          <w:i/>
          <w:iCs/>
          <w:szCs w:val="24"/>
          <w:lang w:val="en-GB"/>
        </w:rPr>
        <w:t>Eisenia andrei</w:t>
      </w:r>
      <w:r w:rsidRPr="00A34F10">
        <w:rPr>
          <w:szCs w:val="24"/>
          <w:lang w:val="en-GB"/>
        </w:rPr>
        <w:t xml:space="preserve"> was performed over 56 days in artificial soil. The test comprised nine treatment groups; eight nominal test item concentrations between 16.3 and 1000 mg product/kg soil </w:t>
      </w:r>
      <w:r w:rsidRPr="00A34F10">
        <w:t>dry weight (</w:t>
      </w:r>
      <w:r w:rsidRPr="00A34F10">
        <w:rPr>
          <w:szCs w:val="24"/>
          <w:lang w:val="en-GB"/>
        </w:rPr>
        <w:t>dw) and an untreated control. Four replicates were used for the test item treatments and eight replicates were used for the control. Each replicate contained 10 earthworms. Assessment of adult worm mortality, behavioural effects and biomass development after 28 days was done. Reproduction after additional 28 days (56 days after application) was determined.</w:t>
      </w:r>
    </w:p>
    <w:p w14:paraId="4ADD09C4" w14:textId="77777777" w:rsidR="00DC5685" w:rsidRPr="00A34F10" w:rsidRDefault="00DC5685" w:rsidP="00DC5685">
      <w:pPr>
        <w:tabs>
          <w:tab w:val="left" w:pos="720"/>
        </w:tabs>
        <w:jc w:val="both"/>
        <w:rPr>
          <w:szCs w:val="24"/>
          <w:lang w:val="en-GB"/>
        </w:rPr>
      </w:pPr>
    </w:p>
    <w:p w14:paraId="1CCC8D08" w14:textId="77777777" w:rsidR="00DC5685" w:rsidRPr="00A34F10" w:rsidRDefault="00DC5685" w:rsidP="00DC5685">
      <w:pPr>
        <w:tabs>
          <w:tab w:val="left" w:pos="720"/>
        </w:tabs>
        <w:spacing w:after="240"/>
        <w:jc w:val="both"/>
      </w:pPr>
      <w:r w:rsidRPr="00A34F10">
        <w:t xml:space="preserve">BAS 743 02 F </w:t>
      </w:r>
      <w:r w:rsidRPr="00A34F10">
        <w:rPr>
          <w:bCs/>
        </w:rPr>
        <w:t>did not show any statistically significant effects on mortality and body weight.</w:t>
      </w:r>
      <w:r w:rsidRPr="00A34F10">
        <w:rPr>
          <w:lang w:val="en-GB"/>
        </w:rPr>
        <w:t xml:space="preserve"> Statistically significant effects on</w:t>
      </w:r>
      <w:r w:rsidRPr="00A34F10">
        <w:rPr>
          <w:bCs/>
        </w:rPr>
        <w:t xml:space="preserve"> reproduction compared to the control were recorded at concentrations ≥ 309 mg product/kg soil dw. </w:t>
      </w:r>
      <w:r w:rsidRPr="00A34F10">
        <w:rPr>
          <w:szCs w:val="24"/>
          <w:lang w:val="en-GB"/>
        </w:rPr>
        <w:t xml:space="preserve">The NOEC for mortality and biomass was determined to be ≥ 1000 </w:t>
      </w:r>
      <w:r w:rsidRPr="00A34F10">
        <w:t xml:space="preserve">mg </w:t>
      </w:r>
      <w:r w:rsidRPr="00A34F10">
        <w:rPr>
          <w:bCs/>
          <w:lang w:val="en-GB"/>
        </w:rPr>
        <w:t>product</w:t>
      </w:r>
      <w:r w:rsidRPr="00A34F10">
        <w:t xml:space="preserve">/kg soil dw. The NOEC for reproduction was determined to be 171 mg </w:t>
      </w:r>
      <w:r w:rsidRPr="00A34F10">
        <w:rPr>
          <w:bCs/>
          <w:lang w:val="en-GB"/>
        </w:rPr>
        <w:t>product</w:t>
      </w:r>
      <w:r w:rsidRPr="00A34F10">
        <w:t>/kg soil dw.</w:t>
      </w:r>
      <w:r w:rsidRPr="00A34F10">
        <w:rPr>
          <w:szCs w:val="24"/>
        </w:rPr>
        <w:t xml:space="preserve"> </w:t>
      </w:r>
      <w:r w:rsidRPr="00A34F10">
        <w:rPr>
          <w:szCs w:val="24"/>
          <w:lang w:val="en-GB"/>
        </w:rPr>
        <w:t>The EC</w:t>
      </w:r>
      <w:r w:rsidRPr="00A34F10">
        <w:rPr>
          <w:szCs w:val="24"/>
          <w:vertAlign w:val="subscript"/>
          <w:lang w:val="en-GB"/>
        </w:rPr>
        <w:t>10</w:t>
      </w:r>
      <w:r w:rsidRPr="00A34F10">
        <w:rPr>
          <w:szCs w:val="24"/>
          <w:lang w:val="en-GB"/>
        </w:rPr>
        <w:t xml:space="preserve"> and EC</w:t>
      </w:r>
      <w:r w:rsidRPr="00A34F10">
        <w:rPr>
          <w:szCs w:val="24"/>
          <w:vertAlign w:val="subscript"/>
          <w:lang w:val="en-GB"/>
        </w:rPr>
        <w:t>20</w:t>
      </w:r>
      <w:r w:rsidRPr="00A34F10">
        <w:rPr>
          <w:szCs w:val="24"/>
          <w:lang w:val="en-GB"/>
        </w:rPr>
        <w:t xml:space="preserve"> values for reproduction were considered not reliable</w:t>
      </w:r>
      <w:r w:rsidRPr="00A34F10">
        <w:t xml:space="preserve"> and the EC</w:t>
      </w:r>
      <w:r w:rsidRPr="00A34F10">
        <w:rPr>
          <w:vertAlign w:val="subscript"/>
        </w:rPr>
        <w:t>50</w:t>
      </w:r>
      <w:r w:rsidRPr="00A34F10">
        <w:t xml:space="preserve"> value could not be determined but it can be concluded that it is &gt; 1000 mg product/kg soil dw.</w:t>
      </w:r>
    </w:p>
    <w:p w14:paraId="6E4B23CD" w14:textId="77777777" w:rsidR="00DC5685" w:rsidRPr="00A34F10" w:rsidRDefault="00DC5685" w:rsidP="00DC5685">
      <w:pPr>
        <w:tabs>
          <w:tab w:val="left" w:pos="720"/>
        </w:tabs>
        <w:spacing w:after="240"/>
        <w:ind w:left="720" w:hanging="431"/>
        <w:contextualSpacing/>
        <w:jc w:val="center"/>
        <w:rPr>
          <w:b/>
          <w:bCs/>
          <w:caps/>
          <w:szCs w:val="24"/>
          <w:lang w:val="en-GB"/>
        </w:rPr>
      </w:pPr>
      <w:r w:rsidRPr="00A34F10">
        <w:rPr>
          <w:b/>
          <w:bCs/>
          <w:caps/>
          <w:szCs w:val="24"/>
          <w:lang w:val="en-GB"/>
        </w:rPr>
        <w:t>I. MATERIALS AND METHODS</w:t>
      </w:r>
    </w:p>
    <w:p w14:paraId="53A95CA4" w14:textId="77777777" w:rsidR="00DC5685" w:rsidRPr="00A34F10" w:rsidRDefault="00DC5685" w:rsidP="00E05ECD">
      <w:pPr>
        <w:numPr>
          <w:ilvl w:val="0"/>
          <w:numId w:val="95"/>
        </w:numPr>
        <w:ind w:left="357" w:hanging="357"/>
        <w:contextualSpacing/>
        <w:rPr>
          <w:b/>
          <w:bCs/>
          <w:caps/>
          <w:szCs w:val="24"/>
          <w:lang w:val="en-GB"/>
        </w:rPr>
      </w:pPr>
      <w:r w:rsidRPr="00A34F10">
        <w:rPr>
          <w:b/>
          <w:bCs/>
          <w:caps/>
          <w:szCs w:val="24"/>
          <w:lang w:val="en-GB"/>
        </w:rPr>
        <w:t>MATERIALS</w:t>
      </w:r>
    </w:p>
    <w:p w14:paraId="2353F272"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0D6DB66B" w14:textId="77777777" w:rsidTr="000470C3">
        <w:trPr>
          <w:cantSplit/>
          <w:trHeight w:hRule="exact" w:val="340"/>
        </w:trPr>
        <w:tc>
          <w:tcPr>
            <w:tcW w:w="3969" w:type="dxa"/>
          </w:tcPr>
          <w:p w14:paraId="6688C459" w14:textId="77777777" w:rsidR="00DC5685" w:rsidRPr="00A34F10" w:rsidRDefault="00DC5685" w:rsidP="00E05ECD">
            <w:pPr>
              <w:numPr>
                <w:ilvl w:val="0"/>
                <w:numId w:val="96"/>
              </w:numPr>
              <w:tabs>
                <w:tab w:val="left" w:pos="255"/>
              </w:tabs>
              <w:spacing w:after="240"/>
              <w:contextualSpacing/>
              <w:rPr>
                <w:rFonts w:ascii="Times New Roman" w:hAnsi="Times New Roman"/>
                <w:b/>
                <w:szCs w:val="24"/>
              </w:rPr>
            </w:pPr>
            <w:r w:rsidRPr="00A34F10">
              <w:rPr>
                <w:rFonts w:ascii="Times New Roman" w:hAnsi="Times New Roman"/>
                <w:b/>
                <w:szCs w:val="24"/>
              </w:rPr>
              <w:t>Test item:</w:t>
            </w:r>
          </w:p>
        </w:tc>
        <w:tc>
          <w:tcPr>
            <w:tcW w:w="5381" w:type="dxa"/>
          </w:tcPr>
          <w:p w14:paraId="27E1685E"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BAS 743 03 F</w:t>
            </w:r>
          </w:p>
        </w:tc>
      </w:tr>
      <w:tr w:rsidR="00DC5685" w:rsidRPr="00A34F10" w14:paraId="0D53E749" w14:textId="77777777" w:rsidTr="000470C3">
        <w:trPr>
          <w:cantSplit/>
          <w:trHeight w:hRule="exact" w:val="340"/>
        </w:trPr>
        <w:tc>
          <w:tcPr>
            <w:tcW w:w="3969" w:type="dxa"/>
          </w:tcPr>
          <w:p w14:paraId="44FBD94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Description:</w:t>
            </w:r>
          </w:p>
        </w:tc>
        <w:tc>
          <w:tcPr>
            <w:tcW w:w="5381" w:type="dxa"/>
          </w:tcPr>
          <w:p w14:paraId="0CCC1BD1"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Soluble concentrate (SC)</w:t>
            </w:r>
          </w:p>
        </w:tc>
      </w:tr>
      <w:tr w:rsidR="00DC5685" w:rsidRPr="00A34F10" w14:paraId="3AC4CCB6" w14:textId="77777777" w:rsidTr="000470C3">
        <w:trPr>
          <w:cantSplit/>
          <w:trHeight w:hRule="exact" w:val="340"/>
        </w:trPr>
        <w:tc>
          <w:tcPr>
            <w:tcW w:w="3969" w:type="dxa"/>
          </w:tcPr>
          <w:p w14:paraId="66DCA47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Lot/Batch:</w:t>
            </w:r>
          </w:p>
        </w:tc>
        <w:tc>
          <w:tcPr>
            <w:tcW w:w="5381" w:type="dxa"/>
          </w:tcPr>
          <w:p w14:paraId="399F9931"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FRE-002223</w:t>
            </w:r>
          </w:p>
        </w:tc>
      </w:tr>
      <w:tr w:rsidR="00DC5685" w:rsidRPr="00A34F10" w14:paraId="664A9B7A" w14:textId="77777777" w:rsidTr="000470C3">
        <w:trPr>
          <w:cantSplit/>
          <w:trHeight w:hRule="exact" w:val="616"/>
        </w:trPr>
        <w:tc>
          <w:tcPr>
            <w:tcW w:w="3969" w:type="dxa"/>
          </w:tcPr>
          <w:p w14:paraId="2AEE28C7"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Active substance content:</w:t>
            </w:r>
          </w:p>
        </w:tc>
        <w:tc>
          <w:tcPr>
            <w:tcW w:w="5381" w:type="dxa"/>
          </w:tcPr>
          <w:p w14:paraId="0D9F18C9"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Propamocarb: nominal 378.0 g/L, analysed 376.7 g/L;</w:t>
            </w:r>
          </w:p>
          <w:p w14:paraId="2B869D3B" w14:textId="77777777" w:rsidR="00DC5685" w:rsidRPr="00A34F10" w:rsidRDefault="00DC5685" w:rsidP="00DC5685">
            <w:pPr>
              <w:tabs>
                <w:tab w:val="left" w:pos="720"/>
              </w:tabs>
              <w:rPr>
                <w:rFonts w:ascii="Times New Roman" w:hAnsi="Times New Roman"/>
                <w:szCs w:val="24"/>
                <w:u w:val="single"/>
              </w:rPr>
            </w:pPr>
            <w:r w:rsidRPr="00A34F10">
              <w:rPr>
                <w:rFonts w:ascii="Times New Roman" w:hAnsi="Times New Roman"/>
                <w:szCs w:val="24"/>
              </w:rPr>
              <w:t>Ametoctradin: nominal 120.0 g/L, analysed 120.2 g/L</w:t>
            </w:r>
          </w:p>
        </w:tc>
      </w:tr>
      <w:tr w:rsidR="00DC5685" w:rsidRPr="00A34F10" w14:paraId="3B56CBA2" w14:textId="77777777" w:rsidTr="000470C3">
        <w:trPr>
          <w:cantSplit/>
          <w:trHeight w:hRule="exact" w:val="340"/>
        </w:trPr>
        <w:tc>
          <w:tcPr>
            <w:tcW w:w="3969" w:type="dxa"/>
          </w:tcPr>
          <w:p w14:paraId="573B7641"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Density:</w:t>
            </w:r>
          </w:p>
        </w:tc>
        <w:tc>
          <w:tcPr>
            <w:tcW w:w="5381" w:type="dxa"/>
          </w:tcPr>
          <w:p w14:paraId="1F347AC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1.080 g/cm</w:t>
            </w:r>
            <w:r w:rsidRPr="00A34F10">
              <w:rPr>
                <w:rFonts w:ascii="Times New Roman" w:hAnsi="Times New Roman"/>
                <w:szCs w:val="24"/>
                <w:vertAlign w:val="superscript"/>
              </w:rPr>
              <w:t xml:space="preserve">3 </w:t>
            </w:r>
          </w:p>
        </w:tc>
      </w:tr>
      <w:tr w:rsidR="00DC5685" w:rsidRPr="00A34F10" w14:paraId="54859999" w14:textId="77777777" w:rsidTr="000470C3">
        <w:trPr>
          <w:cantSplit/>
          <w:trHeight w:hRule="exact" w:val="340"/>
        </w:trPr>
        <w:tc>
          <w:tcPr>
            <w:tcW w:w="3969" w:type="dxa"/>
          </w:tcPr>
          <w:p w14:paraId="0BCEC731" w14:textId="77777777" w:rsidR="00DC5685" w:rsidRPr="00A34F10" w:rsidRDefault="00DC5685" w:rsidP="00E05ECD">
            <w:pPr>
              <w:numPr>
                <w:ilvl w:val="0"/>
                <w:numId w:val="96"/>
              </w:numPr>
              <w:tabs>
                <w:tab w:val="left" w:pos="255"/>
              </w:tabs>
              <w:spacing w:after="240"/>
              <w:contextualSpacing/>
              <w:rPr>
                <w:rFonts w:ascii="Times New Roman" w:hAnsi="Times New Roman"/>
                <w:b/>
                <w:szCs w:val="24"/>
              </w:rPr>
            </w:pPr>
            <w:r w:rsidRPr="00A34F10">
              <w:rPr>
                <w:rFonts w:ascii="Times New Roman" w:hAnsi="Times New Roman"/>
                <w:b/>
                <w:szCs w:val="24"/>
              </w:rPr>
              <w:t>Control:</w:t>
            </w:r>
          </w:p>
        </w:tc>
        <w:tc>
          <w:tcPr>
            <w:tcW w:w="5381" w:type="dxa"/>
          </w:tcPr>
          <w:p w14:paraId="16BC6544"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Untreated substrate</w:t>
            </w:r>
          </w:p>
        </w:tc>
      </w:tr>
      <w:tr w:rsidR="00DC5685" w:rsidRPr="00A34F10" w14:paraId="38D59176" w14:textId="77777777" w:rsidTr="000470C3">
        <w:trPr>
          <w:cantSplit/>
        </w:trPr>
        <w:tc>
          <w:tcPr>
            <w:tcW w:w="3969" w:type="dxa"/>
          </w:tcPr>
          <w:p w14:paraId="24626FC1" w14:textId="77777777" w:rsidR="00DC5685" w:rsidRPr="00A34F10" w:rsidRDefault="00DC5685" w:rsidP="00E05ECD">
            <w:pPr>
              <w:numPr>
                <w:ilvl w:val="0"/>
                <w:numId w:val="96"/>
              </w:numPr>
              <w:tabs>
                <w:tab w:val="left" w:pos="255"/>
              </w:tabs>
              <w:spacing w:after="240"/>
              <w:contextualSpacing/>
              <w:rPr>
                <w:rFonts w:ascii="Times New Roman" w:hAnsi="Times New Roman"/>
                <w:b/>
                <w:szCs w:val="24"/>
              </w:rPr>
            </w:pPr>
            <w:r w:rsidRPr="00A34F10">
              <w:rPr>
                <w:rFonts w:ascii="Times New Roman" w:hAnsi="Times New Roman"/>
                <w:b/>
                <w:szCs w:val="24"/>
              </w:rPr>
              <w:t>Reference item:</w:t>
            </w:r>
          </w:p>
        </w:tc>
        <w:tc>
          <w:tcPr>
            <w:tcW w:w="5381" w:type="dxa"/>
          </w:tcPr>
          <w:p w14:paraId="6F660B8A"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Maypon Flow (Carbendazim, SC 500), investigated in a separate study</w:t>
            </w:r>
          </w:p>
        </w:tc>
      </w:tr>
    </w:tbl>
    <w:p w14:paraId="743A3E18" w14:textId="2F22850F" w:rsidR="00F9282A" w:rsidRDefault="00F9282A" w:rsidP="00DC5685">
      <w:pPr>
        <w:tabs>
          <w:tab w:val="left" w:pos="0"/>
        </w:tabs>
        <w:ind w:left="357" w:hanging="357"/>
        <w:contextualSpacing/>
        <w:rPr>
          <w:b/>
          <w:bCs/>
          <w:caps/>
          <w:szCs w:val="24"/>
          <w:lang w:val="en-GB"/>
        </w:rPr>
      </w:pPr>
    </w:p>
    <w:p w14:paraId="5A575AB4" w14:textId="77777777" w:rsidR="00F9282A" w:rsidRDefault="00F9282A">
      <w:pPr>
        <w:rPr>
          <w:b/>
          <w:bCs/>
          <w:caps/>
          <w:szCs w:val="24"/>
          <w:lang w:val="en-GB"/>
        </w:rPr>
      </w:pPr>
      <w:r>
        <w:rPr>
          <w:b/>
          <w:bCs/>
          <w:caps/>
          <w:szCs w:val="24"/>
          <w:lang w:val="en-GB"/>
        </w:rPr>
        <w:br w:type="page"/>
      </w:r>
    </w:p>
    <w:p w14:paraId="788C082C" w14:textId="77777777" w:rsidR="00DC5685" w:rsidRPr="00A34F10" w:rsidRDefault="00DC5685" w:rsidP="00DC5685">
      <w:pPr>
        <w:tabs>
          <w:tab w:val="left" w:pos="0"/>
        </w:tabs>
        <w:ind w:left="357" w:hanging="357"/>
        <w:contextualSpacing/>
        <w:rPr>
          <w:b/>
          <w:bCs/>
          <w:caps/>
          <w:szCs w:val="24"/>
          <w:lang w:val="en-GB"/>
        </w:rPr>
      </w:pPr>
    </w:p>
    <w:p w14:paraId="796D23F0"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6B08ACE4"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4E55C942" w14:textId="77777777" w:rsidTr="000470C3">
        <w:trPr>
          <w:trHeight w:hRule="exact" w:val="340"/>
        </w:trPr>
        <w:tc>
          <w:tcPr>
            <w:tcW w:w="3969" w:type="dxa"/>
          </w:tcPr>
          <w:p w14:paraId="46DD86A9" w14:textId="77777777" w:rsidR="00DC5685" w:rsidRPr="00A34F10" w:rsidRDefault="00DC5685" w:rsidP="00E05ECD">
            <w:pPr>
              <w:numPr>
                <w:ilvl w:val="0"/>
                <w:numId w:val="97"/>
              </w:numPr>
              <w:tabs>
                <w:tab w:val="left" w:pos="255"/>
              </w:tabs>
              <w:spacing w:after="240"/>
              <w:contextualSpacing/>
              <w:rPr>
                <w:rFonts w:ascii="Times New Roman" w:hAnsi="Times New Roman"/>
                <w:b/>
                <w:szCs w:val="24"/>
              </w:rPr>
            </w:pPr>
            <w:r w:rsidRPr="00A34F10">
              <w:rPr>
                <w:rFonts w:ascii="Times New Roman" w:hAnsi="Times New Roman"/>
                <w:b/>
                <w:szCs w:val="24"/>
              </w:rPr>
              <w:t>Test species:</w:t>
            </w:r>
          </w:p>
        </w:tc>
        <w:tc>
          <w:tcPr>
            <w:tcW w:w="5381" w:type="dxa"/>
          </w:tcPr>
          <w:p w14:paraId="3B83E786"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Earthworm (</w:t>
            </w:r>
            <w:r w:rsidRPr="00A34F10">
              <w:rPr>
                <w:rFonts w:ascii="Times New Roman" w:hAnsi="Times New Roman"/>
                <w:i/>
                <w:iCs/>
                <w:szCs w:val="24"/>
              </w:rPr>
              <w:t>Eisenia andrei</w:t>
            </w:r>
            <w:r w:rsidRPr="00A34F10">
              <w:rPr>
                <w:rFonts w:ascii="Times New Roman" w:hAnsi="Times New Roman"/>
                <w:szCs w:val="24"/>
              </w:rPr>
              <w:t>)</w:t>
            </w:r>
          </w:p>
        </w:tc>
      </w:tr>
      <w:tr w:rsidR="00DC5685" w:rsidRPr="00A34F10" w14:paraId="28B96733" w14:textId="77777777" w:rsidTr="000470C3">
        <w:trPr>
          <w:trHeight w:hRule="exact" w:val="340"/>
        </w:trPr>
        <w:tc>
          <w:tcPr>
            <w:tcW w:w="3969" w:type="dxa"/>
          </w:tcPr>
          <w:p w14:paraId="4C16D10D"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 xml:space="preserve">Age/life stage: </w:t>
            </w:r>
          </w:p>
        </w:tc>
        <w:tc>
          <w:tcPr>
            <w:tcW w:w="5381" w:type="dxa"/>
          </w:tcPr>
          <w:p w14:paraId="225EC507"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Adults approx. 5 months old with clitellum</w:t>
            </w:r>
          </w:p>
        </w:tc>
      </w:tr>
      <w:tr w:rsidR="00DC5685" w:rsidRPr="00A34F10" w14:paraId="3C7374CB" w14:textId="77777777" w:rsidTr="000470C3">
        <w:trPr>
          <w:trHeight w:hRule="exact" w:val="340"/>
        </w:trPr>
        <w:tc>
          <w:tcPr>
            <w:tcW w:w="3969" w:type="dxa"/>
          </w:tcPr>
          <w:p w14:paraId="6BB8D835"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Body weight:</w:t>
            </w:r>
          </w:p>
        </w:tc>
        <w:tc>
          <w:tcPr>
            <w:tcW w:w="5381" w:type="dxa"/>
          </w:tcPr>
          <w:p w14:paraId="2D4B4A70"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301 – 500 mg</w:t>
            </w:r>
          </w:p>
        </w:tc>
      </w:tr>
      <w:tr w:rsidR="00DC5685" w:rsidRPr="00A34F10" w14:paraId="1EA37FA9" w14:textId="77777777" w:rsidTr="000470C3">
        <w:trPr>
          <w:trHeight w:hRule="exact" w:val="624"/>
        </w:trPr>
        <w:tc>
          <w:tcPr>
            <w:tcW w:w="3969" w:type="dxa"/>
          </w:tcPr>
          <w:p w14:paraId="34545BE0"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Source:</w:t>
            </w:r>
          </w:p>
        </w:tc>
        <w:tc>
          <w:tcPr>
            <w:tcW w:w="5381" w:type="dxa"/>
          </w:tcPr>
          <w:p w14:paraId="235568D5"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In-house culture, originally obtained from W. Neudorff GmbH KG</w:t>
            </w:r>
          </w:p>
        </w:tc>
      </w:tr>
      <w:tr w:rsidR="00DC5685" w:rsidRPr="00A34F10" w14:paraId="65E608FE" w14:textId="77777777" w:rsidTr="000470C3">
        <w:trPr>
          <w:trHeight w:hRule="exact" w:val="624"/>
        </w:trPr>
        <w:tc>
          <w:tcPr>
            <w:tcW w:w="3969" w:type="dxa"/>
          </w:tcPr>
          <w:p w14:paraId="0165266D"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Acclimatisation:</w:t>
            </w:r>
          </w:p>
        </w:tc>
        <w:tc>
          <w:tcPr>
            <w:tcW w:w="5381" w:type="dxa"/>
          </w:tcPr>
          <w:p w14:paraId="207FE7A3"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At least 24 hours prior to test start in a separate batch of the artificial soil mixed with horse manure</w:t>
            </w:r>
          </w:p>
        </w:tc>
      </w:tr>
      <w:tr w:rsidR="00DC5685" w:rsidRPr="00A34F10" w14:paraId="242C850B" w14:textId="77777777" w:rsidTr="000470C3">
        <w:tc>
          <w:tcPr>
            <w:tcW w:w="3969" w:type="dxa"/>
          </w:tcPr>
          <w:p w14:paraId="44F3E721" w14:textId="77777777" w:rsidR="00DC5685" w:rsidRPr="00A34F10" w:rsidRDefault="00DC5685" w:rsidP="00DC5685">
            <w:pPr>
              <w:tabs>
                <w:tab w:val="left" w:pos="624"/>
              </w:tabs>
              <w:ind w:left="624"/>
              <w:rPr>
                <w:rFonts w:ascii="Times New Roman" w:hAnsi="Times New Roman"/>
                <w:b/>
                <w:szCs w:val="24"/>
              </w:rPr>
            </w:pPr>
            <w:r w:rsidRPr="00A34F10">
              <w:rPr>
                <w:rFonts w:ascii="Times New Roman" w:hAnsi="Times New Roman"/>
                <w:b/>
                <w:szCs w:val="24"/>
              </w:rPr>
              <w:t xml:space="preserve">Diet: </w:t>
            </w:r>
          </w:p>
        </w:tc>
        <w:tc>
          <w:tcPr>
            <w:tcW w:w="5381" w:type="dxa"/>
          </w:tcPr>
          <w:p w14:paraId="5BF6BFE4"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1 day after application, 5 g air-dried and finely ground horse manure was scattered on the soil surface of each test vessel, which was moistened with 5 mL deionised water. Earthworms were fed weekly during the first 4 weeks. The weekly amount of manure (5 g) was dependent on feeding activity, which was assessed by visual estimation of the food remaining on the surface. After adult worms were removed from the test vessels (4 weeks)</w:t>
            </w:r>
            <w:r w:rsidRPr="00A34F10">
              <w:rPr>
                <w:rFonts w:ascii="Times New Roman" w:hAnsi="Times New Roman"/>
              </w:rPr>
              <w:t xml:space="preserve"> </w:t>
            </w:r>
            <w:r w:rsidRPr="00A34F10">
              <w:rPr>
                <w:rFonts w:ascii="Times New Roman" w:hAnsi="Times New Roman"/>
                <w:szCs w:val="24"/>
              </w:rPr>
              <w:t>the soil of each vessel was mixed carefully with 5 g manure. This was the last feeding occasion of the test.</w:t>
            </w:r>
          </w:p>
        </w:tc>
      </w:tr>
      <w:tr w:rsidR="00DC5685" w:rsidRPr="00A34F10" w14:paraId="3ED4A96D" w14:textId="77777777" w:rsidTr="000470C3">
        <w:tc>
          <w:tcPr>
            <w:tcW w:w="3969" w:type="dxa"/>
          </w:tcPr>
          <w:p w14:paraId="5AF8AA19" w14:textId="77777777" w:rsidR="00DC5685" w:rsidRPr="00A34F10" w:rsidRDefault="00DC5685" w:rsidP="00E05ECD">
            <w:pPr>
              <w:numPr>
                <w:ilvl w:val="0"/>
                <w:numId w:val="97"/>
              </w:numPr>
              <w:tabs>
                <w:tab w:val="left" w:pos="255"/>
              </w:tabs>
              <w:spacing w:after="240"/>
              <w:contextualSpacing/>
              <w:rPr>
                <w:rFonts w:ascii="Times New Roman" w:hAnsi="Times New Roman"/>
                <w:b/>
                <w:szCs w:val="24"/>
              </w:rPr>
            </w:pPr>
            <w:r w:rsidRPr="00A34F10">
              <w:rPr>
                <w:rFonts w:ascii="Times New Roman" w:hAnsi="Times New Roman"/>
                <w:b/>
                <w:szCs w:val="24"/>
              </w:rPr>
              <w:t>Test units:</w:t>
            </w:r>
          </w:p>
        </w:tc>
        <w:tc>
          <w:tcPr>
            <w:tcW w:w="5381" w:type="dxa"/>
          </w:tcPr>
          <w:p w14:paraId="10A25647" w14:textId="77777777" w:rsidR="00DC5685" w:rsidRPr="00A34F10" w:rsidRDefault="00DC5685" w:rsidP="00DC5685">
            <w:pPr>
              <w:tabs>
                <w:tab w:val="left" w:pos="720"/>
              </w:tabs>
              <w:rPr>
                <w:rFonts w:ascii="Times New Roman" w:hAnsi="Times New Roman"/>
                <w:szCs w:val="24"/>
              </w:rPr>
            </w:pPr>
            <w:r w:rsidRPr="003B09BC">
              <w:rPr>
                <w:rFonts w:ascii="Times New Roman" w:hAnsi="Times New Roman"/>
                <w:szCs w:val="24"/>
                <w:lang w:val="fr-FR"/>
              </w:rPr>
              <w:t xml:space="preserve">Plastic vessels (inside dimensions approx. </w:t>
            </w:r>
            <w:r w:rsidRPr="00A34F10">
              <w:rPr>
                <w:rFonts w:ascii="Times New Roman" w:hAnsi="Times New Roman"/>
                <w:szCs w:val="24"/>
              </w:rPr>
              <w:t>16.5 cm × 12 cm × 6 cm) with a lid pervious to air and light. Approx. 810 g wet weight soil (600 g soil dw) per vessel.</w:t>
            </w:r>
          </w:p>
        </w:tc>
      </w:tr>
      <w:tr w:rsidR="00DC5685" w:rsidRPr="00A34F10" w14:paraId="600154A4" w14:textId="77777777" w:rsidTr="000470C3">
        <w:trPr>
          <w:trHeight w:hRule="exact" w:val="340"/>
        </w:trPr>
        <w:tc>
          <w:tcPr>
            <w:tcW w:w="3969" w:type="dxa"/>
          </w:tcPr>
          <w:p w14:paraId="7F7486F2" w14:textId="77777777" w:rsidR="00DC5685" w:rsidRPr="00A34F10" w:rsidRDefault="00DC5685" w:rsidP="00E05ECD">
            <w:pPr>
              <w:numPr>
                <w:ilvl w:val="0"/>
                <w:numId w:val="97"/>
              </w:numPr>
              <w:tabs>
                <w:tab w:val="left" w:pos="255"/>
              </w:tabs>
              <w:spacing w:after="240"/>
              <w:contextualSpacing/>
              <w:rPr>
                <w:rFonts w:ascii="Times New Roman" w:hAnsi="Times New Roman"/>
                <w:b/>
                <w:szCs w:val="24"/>
              </w:rPr>
            </w:pPr>
            <w:r w:rsidRPr="00A34F10">
              <w:rPr>
                <w:rFonts w:ascii="Times New Roman" w:hAnsi="Times New Roman"/>
                <w:b/>
                <w:szCs w:val="24"/>
              </w:rPr>
              <w:t>Environmental conditions</w:t>
            </w:r>
          </w:p>
        </w:tc>
        <w:tc>
          <w:tcPr>
            <w:tcW w:w="5381" w:type="dxa"/>
          </w:tcPr>
          <w:p w14:paraId="3469F5A4" w14:textId="77777777" w:rsidR="00DC5685" w:rsidRPr="00A34F10" w:rsidRDefault="00DC5685" w:rsidP="00DC5685">
            <w:pPr>
              <w:tabs>
                <w:tab w:val="left" w:pos="720"/>
              </w:tabs>
              <w:spacing w:after="240"/>
              <w:rPr>
                <w:rFonts w:ascii="Times New Roman" w:hAnsi="Times New Roman"/>
                <w:szCs w:val="24"/>
              </w:rPr>
            </w:pPr>
          </w:p>
        </w:tc>
      </w:tr>
      <w:tr w:rsidR="00DC5685" w:rsidRPr="00A34F10" w14:paraId="6C1D35F0" w14:textId="77777777" w:rsidTr="000470C3">
        <w:trPr>
          <w:trHeight w:hRule="exact" w:val="850"/>
        </w:trPr>
        <w:tc>
          <w:tcPr>
            <w:tcW w:w="3969" w:type="dxa"/>
          </w:tcPr>
          <w:p w14:paraId="2E18FD08"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Test soil:</w:t>
            </w:r>
          </w:p>
        </w:tc>
        <w:tc>
          <w:tcPr>
            <w:tcW w:w="5381" w:type="dxa"/>
          </w:tcPr>
          <w:p w14:paraId="0FAFF380"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Artificial soil according to OECD 222: 10% sphagnum peat, 20% kaolin clay, 0.5% calcium carbonate and 69.5% industrial quartz sand</w:t>
            </w:r>
          </w:p>
        </w:tc>
      </w:tr>
      <w:tr w:rsidR="00DC5685" w:rsidRPr="00A34F10" w14:paraId="73656B6E" w14:textId="77777777" w:rsidTr="000470C3">
        <w:trPr>
          <w:trHeight w:hRule="exact" w:val="340"/>
        </w:trPr>
        <w:tc>
          <w:tcPr>
            <w:tcW w:w="3969" w:type="dxa"/>
          </w:tcPr>
          <w:p w14:paraId="37AB1A1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Temperature:</w:t>
            </w:r>
          </w:p>
        </w:tc>
        <w:tc>
          <w:tcPr>
            <w:tcW w:w="5381" w:type="dxa"/>
          </w:tcPr>
          <w:p w14:paraId="3A15DA53"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18.9 – 21.4°C</w:t>
            </w:r>
          </w:p>
        </w:tc>
      </w:tr>
      <w:tr w:rsidR="00DC5685" w:rsidRPr="00A34F10" w14:paraId="2F3E3869" w14:textId="77777777" w:rsidTr="000470C3">
        <w:trPr>
          <w:trHeight w:hRule="exact" w:val="624"/>
        </w:trPr>
        <w:tc>
          <w:tcPr>
            <w:tcW w:w="3969" w:type="dxa"/>
          </w:tcPr>
          <w:p w14:paraId="14D74D87"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w:t>
            </w:r>
          </w:p>
        </w:tc>
        <w:tc>
          <w:tcPr>
            <w:tcW w:w="5381" w:type="dxa"/>
          </w:tcPr>
          <w:p w14:paraId="22C6038B"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5.95 – 6.04</w:t>
            </w:r>
          </w:p>
          <w:p w14:paraId="2182BA9F"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end: 5.70 – 5.85</w:t>
            </w:r>
          </w:p>
        </w:tc>
      </w:tr>
      <w:tr w:rsidR="00DC5685" w:rsidRPr="00A34F10" w14:paraId="4B64B625" w14:textId="77777777" w:rsidTr="000470C3">
        <w:trPr>
          <w:trHeight w:hRule="exact" w:val="397"/>
        </w:trPr>
        <w:tc>
          <w:tcPr>
            <w:tcW w:w="3969" w:type="dxa"/>
          </w:tcPr>
          <w:p w14:paraId="0106D509"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WHC</w:t>
            </w:r>
            <w:r w:rsidRPr="00A34F10">
              <w:rPr>
                <w:rFonts w:ascii="Times New Roman" w:hAnsi="Times New Roman"/>
                <w:b/>
                <w:szCs w:val="24"/>
                <w:vertAlign w:val="subscript"/>
              </w:rPr>
              <w:t>max</w:t>
            </w:r>
            <w:r w:rsidRPr="00A34F10">
              <w:rPr>
                <w:rFonts w:ascii="Times New Roman" w:hAnsi="Times New Roman"/>
                <w:b/>
                <w:szCs w:val="24"/>
              </w:rPr>
              <w:t>:</w:t>
            </w:r>
          </w:p>
        </w:tc>
        <w:tc>
          <w:tcPr>
            <w:tcW w:w="5381" w:type="dxa"/>
          </w:tcPr>
          <w:p w14:paraId="7E277948"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62.0 (g/100 g dry soil)</w:t>
            </w:r>
          </w:p>
        </w:tc>
      </w:tr>
      <w:tr w:rsidR="00DC5685" w:rsidRPr="00A34F10" w14:paraId="3CB351A6" w14:textId="77777777" w:rsidTr="000470C3">
        <w:trPr>
          <w:trHeight w:hRule="exact" w:val="624"/>
        </w:trPr>
        <w:tc>
          <w:tcPr>
            <w:tcW w:w="3969" w:type="dxa"/>
          </w:tcPr>
          <w:p w14:paraId="71AC7989"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Water content:</w:t>
            </w:r>
          </w:p>
        </w:tc>
        <w:tc>
          <w:tcPr>
            <w:tcW w:w="5381" w:type="dxa"/>
          </w:tcPr>
          <w:p w14:paraId="00BF83A5"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56.3 – 56.5% of WHC</w:t>
            </w:r>
            <w:r w:rsidRPr="00A34F10">
              <w:rPr>
                <w:rFonts w:ascii="Times New Roman" w:hAnsi="Times New Roman"/>
                <w:szCs w:val="24"/>
                <w:vertAlign w:val="subscript"/>
              </w:rPr>
              <w:t>max</w:t>
            </w:r>
          </w:p>
          <w:p w14:paraId="4E2A029E"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end: 55.3 – 56.1% of WHC</w:t>
            </w:r>
            <w:r w:rsidRPr="00A34F10">
              <w:rPr>
                <w:rFonts w:ascii="Times New Roman" w:hAnsi="Times New Roman"/>
                <w:szCs w:val="24"/>
                <w:vertAlign w:val="subscript"/>
              </w:rPr>
              <w:t>max</w:t>
            </w:r>
          </w:p>
        </w:tc>
      </w:tr>
      <w:tr w:rsidR="00DC5685" w:rsidRPr="00A34F10" w14:paraId="70404954" w14:textId="77777777" w:rsidTr="00A34F10">
        <w:trPr>
          <w:trHeight w:hRule="exact" w:val="978"/>
        </w:trPr>
        <w:tc>
          <w:tcPr>
            <w:tcW w:w="3969" w:type="dxa"/>
          </w:tcPr>
          <w:p w14:paraId="465021F9"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Photoperiod:</w:t>
            </w:r>
          </w:p>
        </w:tc>
        <w:tc>
          <w:tcPr>
            <w:tcW w:w="5381" w:type="dxa"/>
          </w:tcPr>
          <w:p w14:paraId="0B34310A"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5.95 – 6.04</w:t>
            </w:r>
          </w:p>
          <w:p w14:paraId="6C4A0F77"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end: 5.70 – 5.85</w:t>
            </w:r>
          </w:p>
        </w:tc>
      </w:tr>
    </w:tbl>
    <w:p w14:paraId="6D4A1A84" w14:textId="62090A4B" w:rsidR="00DC5685" w:rsidRDefault="00DC5685" w:rsidP="00DC5685">
      <w:pPr>
        <w:numPr>
          <w:ilvl w:val="3"/>
          <w:numId w:val="0"/>
        </w:numPr>
        <w:tabs>
          <w:tab w:val="left" w:pos="0"/>
        </w:tabs>
        <w:ind w:left="360" w:hanging="360"/>
        <w:contextualSpacing/>
        <w:rPr>
          <w:b/>
          <w:bCs/>
          <w:szCs w:val="24"/>
          <w:lang w:val="en-GB"/>
        </w:rPr>
      </w:pPr>
    </w:p>
    <w:p w14:paraId="0FDCDB8E" w14:textId="77777777" w:rsidR="00A34F10" w:rsidRPr="00A34F10" w:rsidRDefault="00A34F10" w:rsidP="00DC5685">
      <w:pPr>
        <w:numPr>
          <w:ilvl w:val="3"/>
          <w:numId w:val="0"/>
        </w:numPr>
        <w:tabs>
          <w:tab w:val="left" w:pos="0"/>
        </w:tabs>
        <w:ind w:left="360" w:hanging="360"/>
        <w:contextualSpacing/>
        <w:rPr>
          <w:b/>
          <w:bCs/>
          <w:szCs w:val="24"/>
          <w:lang w:val="en-GB"/>
        </w:rPr>
      </w:pPr>
    </w:p>
    <w:p w14:paraId="4EE835A9" w14:textId="77777777" w:rsidR="00DC5685" w:rsidRPr="00A34F10" w:rsidRDefault="00DC5685" w:rsidP="00E05ECD">
      <w:pPr>
        <w:numPr>
          <w:ilvl w:val="0"/>
          <w:numId w:val="97"/>
        </w:numPr>
        <w:tabs>
          <w:tab w:val="left" w:pos="0"/>
        </w:tabs>
        <w:ind w:left="357" w:hanging="357"/>
        <w:contextualSpacing/>
        <w:rPr>
          <w:b/>
          <w:bCs/>
          <w:szCs w:val="24"/>
          <w:lang w:val="en-GB"/>
        </w:rPr>
      </w:pPr>
      <w:r w:rsidRPr="00A34F10">
        <w:rPr>
          <w:b/>
          <w:bCs/>
          <w:szCs w:val="24"/>
          <w:lang w:val="en-GB"/>
        </w:rPr>
        <w:t xml:space="preserve">Test organism and treatment: </w:t>
      </w:r>
    </w:p>
    <w:p w14:paraId="3D5F6A0A" w14:textId="1799A83B" w:rsidR="00A34F10" w:rsidRDefault="00DC5685" w:rsidP="00DC5685">
      <w:pPr>
        <w:tabs>
          <w:tab w:val="left" w:pos="720"/>
        </w:tabs>
        <w:spacing w:after="240"/>
        <w:jc w:val="both"/>
        <w:rPr>
          <w:szCs w:val="24"/>
          <w:lang w:val="en-GB"/>
        </w:rPr>
      </w:pPr>
      <w:r w:rsidRPr="00A34F10">
        <w:rPr>
          <w:szCs w:val="24"/>
          <w:lang w:val="en-GB"/>
        </w:rPr>
        <w:t>The study comprised nine treatment groups (eight test item concentrations and a control). The test item concentrations and their respective active substance contents are summarised in</w:t>
      </w:r>
      <w:r w:rsidR="00F9282A">
        <w:rPr>
          <w:szCs w:val="24"/>
          <w:lang w:val="en-GB"/>
        </w:rPr>
        <w:t xml:space="preserve"> </w:t>
      </w:r>
      <w:r w:rsidR="00F9282A">
        <w:rPr>
          <w:szCs w:val="24"/>
          <w:lang w:val="en-GB"/>
        </w:rPr>
        <w:fldChar w:fldCharType="begin"/>
      </w:r>
      <w:r w:rsidR="00F9282A">
        <w:rPr>
          <w:szCs w:val="24"/>
          <w:lang w:val="en-GB"/>
        </w:rPr>
        <w:instrText xml:space="preserve"> REF _Ref147911727 \h </w:instrText>
      </w:r>
      <w:r w:rsidR="00F9282A">
        <w:rPr>
          <w:szCs w:val="24"/>
          <w:lang w:val="en-GB"/>
        </w:rPr>
      </w:r>
      <w:r w:rsidR="00F9282A">
        <w:rPr>
          <w:szCs w:val="24"/>
          <w:lang w:val="en-GB"/>
        </w:rPr>
        <w:fldChar w:fldCharType="separate"/>
      </w:r>
      <w:r w:rsidR="006F0F3B">
        <w:t xml:space="preserve">Table A </w:t>
      </w:r>
      <w:r w:rsidR="006F0F3B">
        <w:rPr>
          <w:noProof/>
        </w:rPr>
        <w:t>73</w:t>
      </w:r>
      <w:r w:rsidR="00F9282A">
        <w:rPr>
          <w:szCs w:val="24"/>
          <w:lang w:val="en-GB"/>
        </w:rPr>
        <w:fldChar w:fldCharType="end"/>
      </w:r>
      <w:r w:rsidRPr="00A34F10">
        <w:rPr>
          <w:szCs w:val="24"/>
          <w:lang w:val="en-GB"/>
        </w:rPr>
        <w:t xml:space="preserve">. Four replicates were used per test item treatment and eight replicates were used in the control. Each replicate contained 10 earthworms. </w:t>
      </w:r>
    </w:p>
    <w:p w14:paraId="2974C29F" w14:textId="77777777" w:rsidR="00DC5685" w:rsidRPr="00A34F10" w:rsidRDefault="00A34F10" w:rsidP="00A34F10">
      <w:pPr>
        <w:rPr>
          <w:lang w:val="en-GB"/>
        </w:rPr>
      </w:pPr>
      <w:r>
        <w:rPr>
          <w:lang w:val="en-GB"/>
        </w:rPr>
        <w:br w:type="page"/>
      </w:r>
    </w:p>
    <w:p w14:paraId="1073CCB7" w14:textId="590E0194" w:rsidR="00DC5685" w:rsidRPr="00A34F10" w:rsidRDefault="00F9282A" w:rsidP="00F9282A">
      <w:pPr>
        <w:pStyle w:val="Legenda"/>
      </w:pPr>
      <w:bookmarkStart w:id="1156" w:name="_Ref147911727"/>
      <w:r>
        <w:lastRenderedPageBreak/>
        <w:t xml:space="preserve">Table A </w:t>
      </w:r>
      <w:r>
        <w:fldChar w:fldCharType="begin"/>
      </w:r>
      <w:r>
        <w:instrText xml:space="preserve"> SEQ Table_A \* ARABIC </w:instrText>
      </w:r>
      <w:r>
        <w:fldChar w:fldCharType="separate"/>
      </w:r>
      <w:r w:rsidR="006F0F3B">
        <w:rPr>
          <w:noProof/>
        </w:rPr>
        <w:t>73</w:t>
      </w:r>
      <w:r>
        <w:fldChar w:fldCharType="end"/>
      </w:r>
      <w:bookmarkEnd w:id="1156"/>
      <w:r w:rsidR="00DC5685" w:rsidRPr="00A34F10">
        <w:t>:</w:t>
      </w:r>
      <w:r w:rsidR="00A34F10" w:rsidRPr="00A34F10">
        <w:tab/>
      </w:r>
      <w:r w:rsidR="00DC5685" w:rsidRPr="00A34F10">
        <w:t xml:space="preserve"> Active substance content of the test item at each test concentration</w:t>
      </w:r>
    </w:p>
    <w:tbl>
      <w:tblPr>
        <w:tblStyle w:val="TableGrid8"/>
        <w:tblW w:w="5000" w:type="pct"/>
        <w:tblLook w:val="04A0" w:firstRow="1" w:lastRow="0" w:firstColumn="1" w:lastColumn="0" w:noHBand="0" w:noVBand="1"/>
      </w:tblPr>
      <w:tblGrid>
        <w:gridCol w:w="3116"/>
        <w:gridCol w:w="3115"/>
        <w:gridCol w:w="3113"/>
      </w:tblGrid>
      <w:tr w:rsidR="00DC5685" w:rsidRPr="00A34F10" w14:paraId="16126FCB" w14:textId="77777777" w:rsidTr="000470C3">
        <w:tc>
          <w:tcPr>
            <w:tcW w:w="1667" w:type="pct"/>
            <w:noWrap/>
            <w:vAlign w:val="center"/>
          </w:tcPr>
          <w:p w14:paraId="45813C1B"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BAS 743 02 F</w:t>
            </w:r>
            <w:r w:rsidRPr="003B09BC">
              <w:rPr>
                <w:rFonts w:ascii="Times New Roman" w:hAnsi="Times New Roman"/>
                <w:b/>
                <w:sz w:val="20"/>
                <w:szCs w:val="20"/>
                <w:lang w:val="fr-FR"/>
              </w:rPr>
              <w:br/>
              <w:t>(mg/kg soil dw)</w:t>
            </w:r>
          </w:p>
        </w:tc>
        <w:tc>
          <w:tcPr>
            <w:tcW w:w="1667" w:type="pct"/>
            <w:noWrap/>
            <w:vAlign w:val="center"/>
          </w:tcPr>
          <w:p w14:paraId="09EBB76C"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Propamocarb</w:t>
            </w:r>
            <w:r w:rsidRPr="003B09BC">
              <w:rPr>
                <w:rFonts w:ascii="Times New Roman" w:hAnsi="Times New Roman"/>
                <w:b/>
                <w:sz w:val="20"/>
                <w:szCs w:val="20"/>
                <w:lang w:val="fr-FR"/>
              </w:rPr>
              <w:br/>
              <w:t>(mg a.s./kg soil dw)*</w:t>
            </w:r>
          </w:p>
        </w:tc>
        <w:tc>
          <w:tcPr>
            <w:tcW w:w="1666" w:type="pct"/>
            <w:noWrap/>
            <w:vAlign w:val="center"/>
          </w:tcPr>
          <w:p w14:paraId="32E85505"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Ametoctradin (BAS 650 F)</w:t>
            </w:r>
            <w:r w:rsidRPr="00A34F10">
              <w:rPr>
                <w:rFonts w:ascii="Times New Roman" w:hAnsi="Times New Roman"/>
                <w:b/>
                <w:sz w:val="20"/>
                <w:szCs w:val="20"/>
              </w:rPr>
              <w:br/>
              <w:t>(mg a.s./kg soil dw)*</w:t>
            </w:r>
          </w:p>
        </w:tc>
      </w:tr>
      <w:tr w:rsidR="00DC5685" w:rsidRPr="00A34F10" w14:paraId="3CAA0D5A" w14:textId="77777777" w:rsidTr="000470C3">
        <w:tc>
          <w:tcPr>
            <w:tcW w:w="1667" w:type="pct"/>
            <w:noWrap/>
            <w:vAlign w:val="center"/>
          </w:tcPr>
          <w:p w14:paraId="5C578374"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16.3</w:t>
            </w:r>
          </w:p>
        </w:tc>
        <w:tc>
          <w:tcPr>
            <w:tcW w:w="1667" w:type="pct"/>
            <w:noWrap/>
          </w:tcPr>
          <w:p w14:paraId="245AE8A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5.76</w:t>
            </w:r>
          </w:p>
        </w:tc>
        <w:tc>
          <w:tcPr>
            <w:tcW w:w="1666" w:type="pct"/>
            <w:noWrap/>
          </w:tcPr>
          <w:p w14:paraId="4E9B737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1.83</w:t>
            </w:r>
          </w:p>
        </w:tc>
      </w:tr>
      <w:tr w:rsidR="00DC5685" w:rsidRPr="00A34F10" w14:paraId="16F17F66" w14:textId="77777777" w:rsidTr="000470C3">
        <w:tc>
          <w:tcPr>
            <w:tcW w:w="1667" w:type="pct"/>
            <w:noWrap/>
            <w:vAlign w:val="center"/>
          </w:tcPr>
          <w:p w14:paraId="62CEFD1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29.4</w:t>
            </w:r>
          </w:p>
        </w:tc>
        <w:tc>
          <w:tcPr>
            <w:tcW w:w="1667" w:type="pct"/>
            <w:noWrap/>
          </w:tcPr>
          <w:p w14:paraId="39D0AC4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10.4</w:t>
            </w:r>
          </w:p>
        </w:tc>
        <w:tc>
          <w:tcPr>
            <w:tcW w:w="1666" w:type="pct"/>
            <w:noWrap/>
          </w:tcPr>
          <w:p w14:paraId="156D235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3.29</w:t>
            </w:r>
          </w:p>
        </w:tc>
      </w:tr>
      <w:tr w:rsidR="00DC5685" w:rsidRPr="00A34F10" w14:paraId="6F278F8F" w14:textId="77777777" w:rsidTr="000470C3">
        <w:tc>
          <w:tcPr>
            <w:tcW w:w="1667" w:type="pct"/>
            <w:noWrap/>
            <w:vAlign w:val="center"/>
          </w:tcPr>
          <w:p w14:paraId="49B127C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52.9</w:t>
            </w:r>
          </w:p>
        </w:tc>
        <w:tc>
          <w:tcPr>
            <w:tcW w:w="1667" w:type="pct"/>
            <w:noWrap/>
          </w:tcPr>
          <w:p w14:paraId="2C4FA7D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18.7</w:t>
            </w:r>
          </w:p>
        </w:tc>
        <w:tc>
          <w:tcPr>
            <w:tcW w:w="1666" w:type="pct"/>
            <w:noWrap/>
          </w:tcPr>
          <w:p w14:paraId="06E736A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5.93</w:t>
            </w:r>
          </w:p>
        </w:tc>
      </w:tr>
      <w:tr w:rsidR="00DC5685" w:rsidRPr="00A34F10" w14:paraId="493572FE" w14:textId="77777777" w:rsidTr="000470C3">
        <w:tc>
          <w:tcPr>
            <w:tcW w:w="1667" w:type="pct"/>
            <w:noWrap/>
            <w:vAlign w:val="center"/>
          </w:tcPr>
          <w:p w14:paraId="5BBB4F5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95.3</w:t>
            </w:r>
          </w:p>
        </w:tc>
        <w:tc>
          <w:tcPr>
            <w:tcW w:w="1667" w:type="pct"/>
            <w:noWrap/>
          </w:tcPr>
          <w:p w14:paraId="3BDEC5B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33.6</w:t>
            </w:r>
          </w:p>
        </w:tc>
        <w:tc>
          <w:tcPr>
            <w:tcW w:w="1666" w:type="pct"/>
            <w:noWrap/>
          </w:tcPr>
          <w:p w14:paraId="6C530D6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10.7</w:t>
            </w:r>
          </w:p>
        </w:tc>
      </w:tr>
      <w:tr w:rsidR="00DC5685" w:rsidRPr="00A34F10" w14:paraId="3B987B44" w14:textId="77777777" w:rsidTr="000470C3">
        <w:tc>
          <w:tcPr>
            <w:tcW w:w="1667" w:type="pct"/>
            <w:noWrap/>
            <w:vAlign w:val="center"/>
          </w:tcPr>
          <w:p w14:paraId="228966F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171</w:t>
            </w:r>
          </w:p>
        </w:tc>
        <w:tc>
          <w:tcPr>
            <w:tcW w:w="1667" w:type="pct"/>
            <w:noWrap/>
          </w:tcPr>
          <w:p w14:paraId="0C410D9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60.5</w:t>
            </w:r>
          </w:p>
        </w:tc>
        <w:tc>
          <w:tcPr>
            <w:tcW w:w="1666" w:type="pct"/>
            <w:noWrap/>
          </w:tcPr>
          <w:p w14:paraId="36B43D1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19.2</w:t>
            </w:r>
          </w:p>
        </w:tc>
      </w:tr>
      <w:tr w:rsidR="00DC5685" w:rsidRPr="00A34F10" w14:paraId="27173F7C" w14:textId="77777777" w:rsidTr="000470C3">
        <w:tc>
          <w:tcPr>
            <w:tcW w:w="1667" w:type="pct"/>
            <w:noWrap/>
            <w:vAlign w:val="center"/>
          </w:tcPr>
          <w:p w14:paraId="63BDA65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309</w:t>
            </w:r>
          </w:p>
        </w:tc>
        <w:tc>
          <w:tcPr>
            <w:tcW w:w="1667" w:type="pct"/>
            <w:noWrap/>
          </w:tcPr>
          <w:p w14:paraId="7DA3FC4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108.9</w:t>
            </w:r>
          </w:p>
        </w:tc>
        <w:tc>
          <w:tcPr>
            <w:tcW w:w="1666" w:type="pct"/>
            <w:noWrap/>
          </w:tcPr>
          <w:p w14:paraId="1711F60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34.6</w:t>
            </w:r>
          </w:p>
        </w:tc>
      </w:tr>
      <w:tr w:rsidR="00DC5685" w:rsidRPr="00A34F10" w14:paraId="14363604" w14:textId="77777777" w:rsidTr="000470C3">
        <w:tc>
          <w:tcPr>
            <w:tcW w:w="1667" w:type="pct"/>
            <w:noWrap/>
            <w:vAlign w:val="center"/>
          </w:tcPr>
          <w:p w14:paraId="41EB379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556</w:t>
            </w:r>
          </w:p>
        </w:tc>
        <w:tc>
          <w:tcPr>
            <w:tcW w:w="1667" w:type="pct"/>
            <w:noWrap/>
          </w:tcPr>
          <w:p w14:paraId="77C0508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196.1</w:t>
            </w:r>
          </w:p>
        </w:tc>
        <w:tc>
          <w:tcPr>
            <w:tcW w:w="1666" w:type="pct"/>
            <w:noWrap/>
          </w:tcPr>
          <w:p w14:paraId="27DE3F7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62.2</w:t>
            </w:r>
          </w:p>
        </w:tc>
      </w:tr>
      <w:tr w:rsidR="00DC5685" w:rsidRPr="00A34F10" w14:paraId="4FC968A0" w14:textId="77777777" w:rsidTr="000470C3">
        <w:tc>
          <w:tcPr>
            <w:tcW w:w="1667" w:type="pct"/>
            <w:noWrap/>
            <w:vAlign w:val="center"/>
          </w:tcPr>
          <w:p w14:paraId="7EC2F33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1000</w:t>
            </w:r>
          </w:p>
        </w:tc>
        <w:tc>
          <w:tcPr>
            <w:tcW w:w="1667" w:type="pct"/>
            <w:noWrap/>
          </w:tcPr>
          <w:p w14:paraId="17FA8FC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352.9</w:t>
            </w:r>
          </w:p>
        </w:tc>
        <w:tc>
          <w:tcPr>
            <w:tcW w:w="1666" w:type="pct"/>
            <w:noWrap/>
          </w:tcPr>
          <w:p w14:paraId="026AA1A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112.0</w:t>
            </w:r>
          </w:p>
        </w:tc>
      </w:tr>
    </w:tbl>
    <w:p w14:paraId="7CBFA8DA" w14:textId="77777777" w:rsidR="00DC5685" w:rsidRPr="00A34F10" w:rsidRDefault="00DC5685" w:rsidP="00DC5685">
      <w:pPr>
        <w:keepNext/>
        <w:keepLines/>
        <w:tabs>
          <w:tab w:val="left" w:pos="720"/>
        </w:tabs>
        <w:spacing w:after="360"/>
        <w:jc w:val="both"/>
        <w:rPr>
          <w:sz w:val="18"/>
          <w:szCs w:val="20"/>
          <w:lang w:val="en-GB"/>
        </w:rPr>
      </w:pPr>
      <w:r w:rsidRPr="00A34F10">
        <w:rPr>
          <w:sz w:val="18"/>
          <w:szCs w:val="20"/>
          <w:lang w:val="en-GB"/>
        </w:rPr>
        <w:t xml:space="preserve">* The amounts of Propamocarb and BAS 650 F were calculated based on the nominal contents a.s. The density (1.071 g/cm³) was taken into account. </w:t>
      </w:r>
    </w:p>
    <w:p w14:paraId="5FBDA529" w14:textId="77777777" w:rsidR="00DC5685" w:rsidRPr="00A34F10" w:rsidRDefault="00DC5685" w:rsidP="00DC5685">
      <w:pPr>
        <w:tabs>
          <w:tab w:val="left" w:pos="720"/>
        </w:tabs>
        <w:spacing w:after="240"/>
        <w:jc w:val="both"/>
        <w:rPr>
          <w:szCs w:val="24"/>
          <w:lang w:val="en-GB"/>
        </w:rPr>
      </w:pPr>
      <w:r w:rsidRPr="00A34F10">
        <w:rPr>
          <w:szCs w:val="24"/>
          <w:lang w:val="en-GB"/>
        </w:rPr>
        <w:t xml:space="preserve">One day prior to test start, the dry artificial soil was pre-moistened by adding deionised water to obtain approximately half of the final water content. </w:t>
      </w:r>
    </w:p>
    <w:p w14:paraId="0975FA61" w14:textId="77777777" w:rsidR="00DC5685" w:rsidRPr="00A34F10" w:rsidRDefault="00DC5685" w:rsidP="00DC5685">
      <w:pPr>
        <w:tabs>
          <w:tab w:val="left" w:pos="720"/>
        </w:tabs>
        <w:spacing w:after="240"/>
        <w:jc w:val="both"/>
        <w:rPr>
          <w:szCs w:val="24"/>
          <w:lang w:val="en-GB"/>
        </w:rPr>
      </w:pPr>
      <w:r w:rsidRPr="00A34F10">
        <w:rPr>
          <w:szCs w:val="24"/>
          <w:lang w:val="en-GB"/>
        </w:rPr>
        <w:t>On the day of the test start, the test item was introduced by dispersing the quantity of test item required to obtain the desired test concentration in the volume of water required to hydrate the soil to 40-60% of its WHC. The control substrate contained the corresponding amount of deionised water only. Each test vessel was filled with the treated soil and groups of 10 worms were randomly assigned to each treatment group. After approximately 5 minutes, the test vessels were closed with perforated transparent lids, which allowed gas exchange between substrate and atmosphere and access of light but prevented worms from escaping. The test vessels were set up at random in a controlled-environment room.</w:t>
      </w:r>
    </w:p>
    <w:p w14:paraId="0E12FE9C" w14:textId="77777777" w:rsidR="00DC5685" w:rsidRPr="00A34F10" w:rsidRDefault="00DC5685" w:rsidP="00E05ECD">
      <w:pPr>
        <w:numPr>
          <w:ilvl w:val="0"/>
          <w:numId w:val="97"/>
        </w:numPr>
        <w:tabs>
          <w:tab w:val="left" w:pos="0"/>
        </w:tabs>
        <w:ind w:left="357" w:hanging="357"/>
        <w:contextualSpacing/>
        <w:rPr>
          <w:b/>
          <w:bCs/>
          <w:color w:val="000000" w:themeColor="text1"/>
          <w:szCs w:val="24"/>
          <w:lang w:val="en-GB"/>
        </w:rPr>
      </w:pPr>
      <w:r w:rsidRPr="00A34F10">
        <w:rPr>
          <w:b/>
          <w:bCs/>
          <w:color w:val="000000" w:themeColor="text1"/>
          <w:szCs w:val="24"/>
          <w:lang w:val="en-GB"/>
        </w:rPr>
        <w:t xml:space="preserve">Dose preparation: </w:t>
      </w:r>
    </w:p>
    <w:p w14:paraId="09BE4FF6" w14:textId="77777777" w:rsidR="00DC5685" w:rsidRPr="00A34F10"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An exact amount of the test item (10 g) was weighed and dispersed in deionised water to make up a final volume of 1000 mL, and the solution was mixed. This stock solution was diluted with deionised water to prepare further test solutions (serial dilution). Afterwards 60 mL of the test solutions were thoroughly mixed with the artificial soil (750 g wet weight) separately for each replicate by intensive stirring in a laboratory mixer.</w:t>
      </w:r>
    </w:p>
    <w:p w14:paraId="650E4710" w14:textId="77777777" w:rsidR="00DC5685" w:rsidRPr="00A34F10" w:rsidRDefault="00DC5685" w:rsidP="00E05ECD">
      <w:pPr>
        <w:numPr>
          <w:ilvl w:val="0"/>
          <w:numId w:val="97"/>
        </w:numPr>
        <w:tabs>
          <w:tab w:val="left" w:pos="0"/>
        </w:tabs>
        <w:ind w:left="357" w:hanging="357"/>
        <w:contextualSpacing/>
        <w:rPr>
          <w:b/>
          <w:bCs/>
          <w:color w:val="000000" w:themeColor="text1"/>
          <w:szCs w:val="24"/>
          <w:lang w:val="en-GB"/>
        </w:rPr>
      </w:pPr>
      <w:r w:rsidRPr="00A34F10">
        <w:rPr>
          <w:b/>
          <w:bCs/>
          <w:color w:val="000000" w:themeColor="text1"/>
          <w:szCs w:val="24"/>
          <w:lang w:val="en-GB"/>
        </w:rPr>
        <w:t xml:space="preserve">Measurements and observations: </w:t>
      </w:r>
    </w:p>
    <w:p w14:paraId="6FC92194" w14:textId="77777777" w:rsidR="00DC5685" w:rsidRPr="00A34F10" w:rsidRDefault="00DC5685" w:rsidP="00DC5685">
      <w:pPr>
        <w:tabs>
          <w:tab w:val="left" w:pos="0"/>
        </w:tabs>
        <w:contextualSpacing/>
        <w:rPr>
          <w:b/>
          <w:bCs/>
          <w:color w:val="000000" w:themeColor="text1"/>
          <w:szCs w:val="24"/>
          <w:lang w:val="en-GB"/>
        </w:rPr>
      </w:pPr>
      <w:r w:rsidRPr="00A34F10">
        <w:rPr>
          <w:color w:val="000000" w:themeColor="text1"/>
          <w:szCs w:val="24"/>
          <w:u w:val="single"/>
          <w:lang w:val="en-GB"/>
        </w:rPr>
        <w:t>Biological observations:</w:t>
      </w:r>
    </w:p>
    <w:p w14:paraId="121A12C5" w14:textId="77777777" w:rsidR="00DC5685" w:rsidRPr="00A34F10" w:rsidRDefault="00DC5685" w:rsidP="00DC5685">
      <w:pPr>
        <w:tabs>
          <w:tab w:val="left" w:pos="720"/>
        </w:tabs>
        <w:jc w:val="both"/>
        <w:rPr>
          <w:color w:val="000000" w:themeColor="text1"/>
          <w:szCs w:val="24"/>
          <w:lang w:val="en-GB"/>
        </w:rPr>
      </w:pPr>
      <w:bookmarkStart w:id="1157" w:name="_Hlk133576149"/>
      <w:r w:rsidRPr="00A34F10">
        <w:rPr>
          <w:color w:val="000000" w:themeColor="text1"/>
          <w:szCs w:val="24"/>
          <w:lang w:val="en-GB"/>
        </w:rPr>
        <w:t xml:space="preserve">Individual fresh weight of each adult worm was determined at the start of the test. Observations of behavioural and pathological symptoms (including feeding activity) were made weekly for the test duration. After 4 weeks, the adult worms were removed from the test vessels. The number of surviving worms (adult mortality) and their biomass change were determined, behaviour (including feeding activity) and pathological symptoms were recorded. The adult worms were discarded after counting and weighing. At the final assessment after 8 weeks, the number of hatched juvenile earthworms in each test vessel was determined. </w:t>
      </w:r>
    </w:p>
    <w:bookmarkEnd w:id="1157"/>
    <w:p w14:paraId="0D4EC78B" w14:textId="77777777" w:rsidR="00DC5685" w:rsidRPr="00A34F10" w:rsidRDefault="00DC5685" w:rsidP="00DC5685">
      <w:pPr>
        <w:tabs>
          <w:tab w:val="left" w:pos="720"/>
        </w:tabs>
        <w:jc w:val="both"/>
        <w:rPr>
          <w:color w:val="000000" w:themeColor="text1"/>
          <w:szCs w:val="24"/>
          <w:lang w:val="en-GB"/>
        </w:rPr>
      </w:pPr>
    </w:p>
    <w:p w14:paraId="2249C6E9" w14:textId="77777777" w:rsidR="00DC5685" w:rsidRPr="00A34F10" w:rsidRDefault="00DC5685" w:rsidP="00DC5685">
      <w:pPr>
        <w:keepNext/>
        <w:tabs>
          <w:tab w:val="left" w:pos="720"/>
        </w:tabs>
        <w:jc w:val="both"/>
        <w:rPr>
          <w:color w:val="000000" w:themeColor="text1"/>
          <w:szCs w:val="24"/>
        </w:rPr>
      </w:pPr>
      <w:r w:rsidRPr="00A34F10">
        <w:rPr>
          <w:color w:val="000000" w:themeColor="text1"/>
          <w:szCs w:val="24"/>
          <w:u w:val="single"/>
        </w:rPr>
        <w:t>Physicochemical measurements</w:t>
      </w:r>
      <w:r w:rsidRPr="00A34F10">
        <w:rPr>
          <w:color w:val="000000" w:themeColor="text1"/>
          <w:szCs w:val="24"/>
        </w:rPr>
        <w:t xml:space="preserve">: </w:t>
      </w:r>
    </w:p>
    <w:p w14:paraId="0360A0F4" w14:textId="77777777" w:rsidR="00DC5685" w:rsidRPr="00A34F10" w:rsidRDefault="00DC5685" w:rsidP="00DC5685">
      <w:pPr>
        <w:tabs>
          <w:tab w:val="left" w:pos="0"/>
        </w:tabs>
        <w:spacing w:after="240"/>
        <w:rPr>
          <w:color w:val="000000" w:themeColor="text1"/>
          <w:szCs w:val="24"/>
          <w:lang w:val="en-GB"/>
        </w:rPr>
      </w:pPr>
      <w:r w:rsidRPr="00A34F10">
        <w:rPr>
          <w:color w:val="000000" w:themeColor="text1"/>
          <w:szCs w:val="24"/>
          <w:lang w:val="en-GB"/>
        </w:rPr>
        <w:t>Determination of water content and pH of the artificial soil was done at the start and end of the test.</w:t>
      </w:r>
    </w:p>
    <w:p w14:paraId="2D0B6EFC" w14:textId="77777777" w:rsidR="00DC5685" w:rsidRPr="00A34F10" w:rsidRDefault="00DC5685" w:rsidP="00E05ECD">
      <w:pPr>
        <w:numPr>
          <w:ilvl w:val="0"/>
          <w:numId w:val="97"/>
        </w:numPr>
        <w:tabs>
          <w:tab w:val="left" w:pos="0"/>
        </w:tabs>
        <w:ind w:left="357" w:hanging="357"/>
        <w:contextualSpacing/>
        <w:rPr>
          <w:b/>
          <w:bCs/>
          <w:color w:val="000000" w:themeColor="text1"/>
          <w:szCs w:val="24"/>
          <w:lang w:val="en-GB"/>
        </w:rPr>
      </w:pPr>
      <w:r w:rsidRPr="00A34F10">
        <w:rPr>
          <w:b/>
          <w:bCs/>
          <w:color w:val="000000" w:themeColor="text1"/>
          <w:szCs w:val="24"/>
          <w:lang w:val="en-GB"/>
        </w:rPr>
        <w:t xml:space="preserve">Statistical analysis: </w:t>
      </w:r>
    </w:p>
    <w:p w14:paraId="2AAD71D2" w14:textId="65CCFA42" w:rsidR="00423375"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The arithmetic mean and the standard deviation per treatment and per control for reproduction, mortality and biomass were calculated.</w:t>
      </w:r>
    </w:p>
    <w:p w14:paraId="03A9937E" w14:textId="77777777" w:rsidR="00423375" w:rsidRDefault="00423375">
      <w:pPr>
        <w:rPr>
          <w:color w:val="000000" w:themeColor="text1"/>
          <w:szCs w:val="24"/>
          <w:lang w:val="en-GB"/>
        </w:rPr>
      </w:pPr>
      <w:r>
        <w:rPr>
          <w:color w:val="000000" w:themeColor="text1"/>
          <w:szCs w:val="24"/>
          <w:lang w:val="en-GB"/>
        </w:rPr>
        <w:br w:type="page"/>
      </w:r>
    </w:p>
    <w:p w14:paraId="48C918E6" w14:textId="77777777" w:rsidR="00DC5685" w:rsidRPr="00A34F10" w:rsidRDefault="00DC5685" w:rsidP="00DC5685">
      <w:pPr>
        <w:tabs>
          <w:tab w:val="left" w:pos="720"/>
        </w:tabs>
        <w:spacing w:after="240"/>
        <w:jc w:val="both"/>
        <w:rPr>
          <w:color w:val="000000" w:themeColor="text1"/>
          <w:szCs w:val="24"/>
          <w:lang w:val="en-GB"/>
        </w:rPr>
      </w:pPr>
    </w:p>
    <w:p w14:paraId="5AF44893" w14:textId="77777777" w:rsidR="00DC5685" w:rsidRPr="00A34F10"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The EC</w:t>
      </w:r>
      <w:r w:rsidRPr="00A34F10">
        <w:rPr>
          <w:color w:val="000000" w:themeColor="text1"/>
          <w:szCs w:val="24"/>
          <w:vertAlign w:val="subscript"/>
          <w:lang w:val="en-GB"/>
        </w:rPr>
        <w:t>10</w:t>
      </w:r>
      <w:r w:rsidRPr="00A34F10">
        <w:rPr>
          <w:color w:val="000000" w:themeColor="text1"/>
          <w:szCs w:val="24"/>
          <w:lang w:val="en-GB"/>
        </w:rPr>
        <w:t>, EC</w:t>
      </w:r>
      <w:r w:rsidRPr="00A34F10">
        <w:rPr>
          <w:color w:val="000000" w:themeColor="text1"/>
          <w:szCs w:val="24"/>
          <w:vertAlign w:val="subscript"/>
          <w:lang w:val="en-GB"/>
        </w:rPr>
        <w:t>20</w:t>
      </w:r>
      <w:r w:rsidRPr="00A34F10">
        <w:rPr>
          <w:color w:val="000000" w:themeColor="text1"/>
          <w:szCs w:val="24"/>
          <w:lang w:val="en-GB"/>
        </w:rPr>
        <w:t xml:space="preserve"> and EC</w:t>
      </w:r>
      <w:r w:rsidRPr="00A34F10">
        <w:rPr>
          <w:color w:val="000000" w:themeColor="text1"/>
          <w:szCs w:val="24"/>
          <w:vertAlign w:val="subscript"/>
          <w:lang w:val="en-GB"/>
        </w:rPr>
        <w:t>50</w:t>
      </w:r>
      <w:r w:rsidRPr="00A34F10">
        <w:rPr>
          <w:color w:val="000000" w:themeColor="text1"/>
          <w:szCs w:val="24"/>
          <w:lang w:val="en-GB"/>
        </w:rPr>
        <w:t xml:space="preserve"> values (number of juveniles) were calculated using the Logit analysis using the maximum likelihood method. Confidence limits (95 %) of the EC</w:t>
      </w:r>
      <w:r w:rsidRPr="00A34F10">
        <w:rPr>
          <w:color w:val="000000" w:themeColor="text1"/>
          <w:szCs w:val="24"/>
          <w:vertAlign w:val="subscript"/>
          <w:lang w:val="en-GB"/>
        </w:rPr>
        <w:t>x</w:t>
      </w:r>
      <w:r w:rsidRPr="00A34F10">
        <w:rPr>
          <w:color w:val="000000" w:themeColor="text1"/>
          <w:szCs w:val="24"/>
          <w:lang w:val="en-GB"/>
        </w:rPr>
        <w:t xml:space="preserve"> values were computed by normal approximation. For identifying the NOEC values Multiple Sequentially-rejective Fisher Test after Bonferroni-Holm, Williams-t-test and Dunnett-t-test were used to compare the control with the independent test item groups. For statistical evaluation of the biomass change, the changed mean fresh weight of surviving worms per replicate was used.</w:t>
      </w:r>
    </w:p>
    <w:p w14:paraId="68910D96" w14:textId="77777777" w:rsidR="00DC5685" w:rsidRPr="00A34F10"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The statistical analysis was performed with the software ToxRat Professional 3.3.0. (2018).</w:t>
      </w:r>
    </w:p>
    <w:p w14:paraId="1FC319B2" w14:textId="77777777" w:rsidR="00DC5685" w:rsidRPr="00A34F10" w:rsidRDefault="00DC5685" w:rsidP="00DC5685">
      <w:pPr>
        <w:tabs>
          <w:tab w:val="left" w:pos="720"/>
        </w:tabs>
        <w:spacing w:after="240"/>
        <w:ind w:left="720" w:hanging="431"/>
        <w:jc w:val="center"/>
        <w:rPr>
          <w:b/>
          <w:bCs/>
          <w:caps/>
          <w:color w:val="000000" w:themeColor="text1"/>
          <w:szCs w:val="24"/>
          <w:lang w:val="en-GB"/>
        </w:rPr>
      </w:pPr>
      <w:r w:rsidRPr="00A34F10">
        <w:rPr>
          <w:b/>
          <w:bCs/>
          <w:caps/>
          <w:color w:val="000000" w:themeColor="text1"/>
          <w:szCs w:val="24"/>
          <w:lang w:val="en-GB"/>
        </w:rPr>
        <w:t>II.</w:t>
      </w:r>
      <w:r w:rsidRPr="00A34F10">
        <w:rPr>
          <w:b/>
          <w:bCs/>
          <w:caps/>
          <w:color w:val="000000" w:themeColor="text1"/>
          <w:szCs w:val="24"/>
          <w:lang w:val="en-GB"/>
        </w:rPr>
        <w:tab/>
        <w:t>Results and Discussion</w:t>
      </w:r>
    </w:p>
    <w:p w14:paraId="1ABD9237" w14:textId="77777777" w:rsidR="00DC5685" w:rsidRPr="00A34F10" w:rsidRDefault="00DC5685" w:rsidP="00E05ECD">
      <w:pPr>
        <w:numPr>
          <w:ilvl w:val="0"/>
          <w:numId w:val="98"/>
        </w:numPr>
        <w:ind w:left="357" w:hanging="357"/>
        <w:contextualSpacing/>
        <w:rPr>
          <w:b/>
          <w:bCs/>
          <w:caps/>
          <w:color w:val="000000" w:themeColor="text1"/>
          <w:szCs w:val="24"/>
          <w:lang w:val="en-GB"/>
        </w:rPr>
      </w:pPr>
      <w:r w:rsidRPr="00A34F10">
        <w:rPr>
          <w:b/>
          <w:bCs/>
          <w:caps/>
          <w:color w:val="000000" w:themeColor="text1"/>
          <w:szCs w:val="24"/>
          <w:lang w:val="en-GB"/>
        </w:rPr>
        <w:t>biological effects</w:t>
      </w:r>
    </w:p>
    <w:p w14:paraId="759F0592" w14:textId="77777777" w:rsidR="00DC5685" w:rsidRPr="00A34F10" w:rsidRDefault="00DC5685" w:rsidP="00DC5685">
      <w:pPr>
        <w:tabs>
          <w:tab w:val="left" w:pos="720"/>
        </w:tabs>
        <w:jc w:val="both"/>
        <w:rPr>
          <w:color w:val="000000" w:themeColor="text1"/>
          <w:szCs w:val="24"/>
          <w:lang w:val="en-GB"/>
        </w:rPr>
      </w:pPr>
    </w:p>
    <w:p w14:paraId="70A597B7" w14:textId="77777777" w:rsidR="00DC5685" w:rsidRPr="00A34F10" w:rsidRDefault="00DC5685" w:rsidP="00DC5685">
      <w:pPr>
        <w:tabs>
          <w:tab w:val="left" w:pos="720"/>
        </w:tabs>
        <w:jc w:val="both"/>
        <w:rPr>
          <w:color w:val="000000" w:themeColor="text1"/>
          <w:szCs w:val="24"/>
          <w:lang w:val="en-GB"/>
        </w:rPr>
      </w:pPr>
      <w:r w:rsidRPr="00A34F10">
        <w:rPr>
          <w:color w:val="000000" w:themeColor="text1"/>
          <w:szCs w:val="24"/>
          <w:lang w:val="en-GB"/>
        </w:rPr>
        <w:t>Mortality rates of 0 – 2.5 % were recorded in the test item treatment groups and 1.3 % in the control. No statistically significant mortality compared to the control was observed at any concentration tested. No pathological symptoms and no further effects on behaviour of the worms were observed. The test item caused no statistically significant change in biomass (change in fresh weight after 4 weeks relative to initial fresh weight) compared to the control group at any concentration tested.</w:t>
      </w:r>
    </w:p>
    <w:p w14:paraId="1BBA340E" w14:textId="77777777" w:rsidR="00DC5685" w:rsidRPr="00A34F10" w:rsidRDefault="00DC5685" w:rsidP="00DC5685">
      <w:pPr>
        <w:tabs>
          <w:tab w:val="left" w:pos="720"/>
        </w:tabs>
        <w:jc w:val="both"/>
        <w:rPr>
          <w:color w:val="000000" w:themeColor="text1"/>
          <w:szCs w:val="24"/>
          <w:lang w:val="en-GB"/>
        </w:rPr>
      </w:pPr>
    </w:p>
    <w:p w14:paraId="516BB834" w14:textId="77777777" w:rsidR="00DC5685" w:rsidRPr="00A34F10" w:rsidRDefault="00DC5685" w:rsidP="00DC5685">
      <w:pPr>
        <w:tabs>
          <w:tab w:val="left" w:pos="720"/>
        </w:tabs>
        <w:jc w:val="both"/>
        <w:rPr>
          <w:color w:val="000000" w:themeColor="text1"/>
          <w:szCs w:val="24"/>
          <w:lang w:val="en-GB"/>
        </w:rPr>
      </w:pPr>
      <w:r w:rsidRPr="00A34F10">
        <w:rPr>
          <w:color w:val="000000" w:themeColor="text1"/>
          <w:szCs w:val="24"/>
          <w:lang w:val="en-GB"/>
        </w:rPr>
        <w:t>Statistically significant effects on the number of juveniles compared to the control group were recorded at concentrations of 309, 556 and 1000 mg product/kg soil dw.</w:t>
      </w:r>
    </w:p>
    <w:p w14:paraId="2C8688CB" w14:textId="77777777" w:rsidR="00DC5685" w:rsidRPr="00A34F10" w:rsidRDefault="00DC5685" w:rsidP="00DC5685">
      <w:pPr>
        <w:tabs>
          <w:tab w:val="left" w:pos="720"/>
        </w:tabs>
        <w:jc w:val="both"/>
        <w:rPr>
          <w:color w:val="000000" w:themeColor="text1"/>
          <w:szCs w:val="24"/>
          <w:lang w:val="en-GB"/>
        </w:rPr>
      </w:pPr>
    </w:p>
    <w:p w14:paraId="403AAEC9" w14:textId="693FBBC7" w:rsidR="00DC5685" w:rsidRPr="0060455A" w:rsidRDefault="00423375" w:rsidP="00423375">
      <w:pPr>
        <w:pStyle w:val="Legenda"/>
      </w:pPr>
      <w:r>
        <w:t xml:space="preserve">Table A </w:t>
      </w:r>
      <w:r>
        <w:fldChar w:fldCharType="begin"/>
      </w:r>
      <w:r>
        <w:instrText xml:space="preserve"> SEQ Table_A \* ARABIC </w:instrText>
      </w:r>
      <w:r>
        <w:fldChar w:fldCharType="separate"/>
      </w:r>
      <w:r w:rsidR="006F0F3B">
        <w:rPr>
          <w:noProof/>
        </w:rPr>
        <w:t>74</w:t>
      </w:r>
      <w:r>
        <w:fldChar w:fldCharType="end"/>
      </w:r>
      <w:r w:rsidR="00DC5685" w:rsidRPr="0060455A">
        <w:t>:</w:t>
      </w:r>
      <w:r w:rsidR="0060455A" w:rsidRPr="0060455A">
        <w:tab/>
      </w:r>
      <w:r w:rsidR="00DC5685" w:rsidRPr="0060455A">
        <w:t xml:space="preserve"> Summary of effects on mortality and reproduction of the earthworm </w:t>
      </w:r>
      <w:r w:rsidR="00DC5685" w:rsidRPr="0060455A">
        <w:rPr>
          <w:i/>
          <w:iCs/>
        </w:rPr>
        <w:t>Eisenia andrei</w:t>
      </w:r>
      <w:r w:rsidR="00DC5685" w:rsidRPr="0060455A">
        <w:t xml:space="preserve"> following exposure to BAS 743 03 F </w:t>
      </w:r>
    </w:p>
    <w:tbl>
      <w:tblPr>
        <w:tblStyle w:val="TableGrid8"/>
        <w:tblW w:w="5000" w:type="pct"/>
        <w:jc w:val="center"/>
        <w:tblCellMar>
          <w:left w:w="0" w:type="dxa"/>
          <w:right w:w="0" w:type="dxa"/>
        </w:tblCellMar>
        <w:tblLook w:val="04A0" w:firstRow="1" w:lastRow="0" w:firstColumn="1" w:lastColumn="0" w:noHBand="0" w:noVBand="1"/>
      </w:tblPr>
      <w:tblGrid>
        <w:gridCol w:w="2548"/>
        <w:gridCol w:w="863"/>
        <w:gridCol w:w="759"/>
        <w:gridCol w:w="759"/>
        <w:gridCol w:w="759"/>
        <w:gridCol w:w="759"/>
        <w:gridCol w:w="759"/>
        <w:gridCol w:w="759"/>
        <w:gridCol w:w="759"/>
        <w:gridCol w:w="620"/>
      </w:tblGrid>
      <w:tr w:rsidR="00DC5685" w:rsidRPr="00A34F10" w14:paraId="3E56D2C6" w14:textId="77777777" w:rsidTr="000470C3">
        <w:trPr>
          <w:trHeight w:val="283"/>
          <w:tblHeader/>
          <w:jc w:val="center"/>
        </w:trPr>
        <w:tc>
          <w:tcPr>
            <w:tcW w:w="1364" w:type="pct"/>
            <w:vMerge w:val="restart"/>
            <w:noWrap/>
            <w:vAlign w:val="center"/>
          </w:tcPr>
          <w:p w14:paraId="26502319"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highlight w:val="yellow"/>
              </w:rPr>
            </w:pPr>
            <w:r w:rsidRPr="00A34F10">
              <w:rPr>
                <w:rFonts w:ascii="Times New Roman" w:hAnsi="Times New Roman"/>
                <w:b/>
                <w:color w:val="000000" w:themeColor="text1"/>
                <w:sz w:val="20"/>
                <w:szCs w:val="20"/>
              </w:rPr>
              <w:t>Treatment group</w:t>
            </w:r>
          </w:p>
        </w:tc>
        <w:tc>
          <w:tcPr>
            <w:tcW w:w="3636" w:type="pct"/>
            <w:gridSpan w:val="9"/>
            <w:noWrap/>
            <w:vAlign w:val="center"/>
          </w:tcPr>
          <w:p w14:paraId="6B5F33E5"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BAS 743 03 F (mg product/kg soil dw)</w:t>
            </w:r>
          </w:p>
        </w:tc>
      </w:tr>
      <w:tr w:rsidR="00DC5685" w:rsidRPr="00A34F10" w14:paraId="05E1B628" w14:textId="77777777" w:rsidTr="000470C3">
        <w:trPr>
          <w:trHeight w:val="283"/>
          <w:tblHeader/>
          <w:jc w:val="center"/>
        </w:trPr>
        <w:tc>
          <w:tcPr>
            <w:tcW w:w="1364" w:type="pct"/>
            <w:vMerge/>
            <w:noWrap/>
            <w:vAlign w:val="center"/>
          </w:tcPr>
          <w:p w14:paraId="23E0D611"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highlight w:val="yellow"/>
              </w:rPr>
            </w:pPr>
          </w:p>
        </w:tc>
        <w:tc>
          <w:tcPr>
            <w:tcW w:w="462" w:type="pct"/>
            <w:noWrap/>
            <w:vAlign w:val="center"/>
          </w:tcPr>
          <w:p w14:paraId="0380FF61"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Control</w:t>
            </w:r>
          </w:p>
        </w:tc>
        <w:tc>
          <w:tcPr>
            <w:tcW w:w="406" w:type="pct"/>
            <w:noWrap/>
            <w:vAlign w:val="center"/>
          </w:tcPr>
          <w:p w14:paraId="06D1DE5E"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16.3</w:t>
            </w:r>
          </w:p>
        </w:tc>
        <w:tc>
          <w:tcPr>
            <w:tcW w:w="406" w:type="pct"/>
            <w:noWrap/>
            <w:vAlign w:val="center"/>
          </w:tcPr>
          <w:p w14:paraId="3C4C837B"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29.4</w:t>
            </w:r>
          </w:p>
        </w:tc>
        <w:tc>
          <w:tcPr>
            <w:tcW w:w="406" w:type="pct"/>
            <w:noWrap/>
            <w:vAlign w:val="center"/>
          </w:tcPr>
          <w:p w14:paraId="5E5CDC86"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52.9</w:t>
            </w:r>
          </w:p>
        </w:tc>
        <w:tc>
          <w:tcPr>
            <w:tcW w:w="406" w:type="pct"/>
            <w:noWrap/>
            <w:vAlign w:val="center"/>
          </w:tcPr>
          <w:p w14:paraId="2B84EE87"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95.3</w:t>
            </w:r>
          </w:p>
        </w:tc>
        <w:tc>
          <w:tcPr>
            <w:tcW w:w="406" w:type="pct"/>
            <w:noWrap/>
            <w:vAlign w:val="center"/>
          </w:tcPr>
          <w:p w14:paraId="25BF6F76"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171</w:t>
            </w:r>
          </w:p>
        </w:tc>
        <w:tc>
          <w:tcPr>
            <w:tcW w:w="406" w:type="pct"/>
            <w:noWrap/>
            <w:vAlign w:val="center"/>
          </w:tcPr>
          <w:p w14:paraId="3C23C11B"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309</w:t>
            </w:r>
          </w:p>
        </w:tc>
        <w:tc>
          <w:tcPr>
            <w:tcW w:w="406" w:type="pct"/>
            <w:noWrap/>
            <w:vAlign w:val="center"/>
          </w:tcPr>
          <w:p w14:paraId="42B40E56"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556</w:t>
            </w:r>
          </w:p>
        </w:tc>
        <w:tc>
          <w:tcPr>
            <w:tcW w:w="332" w:type="pct"/>
            <w:noWrap/>
            <w:vAlign w:val="center"/>
          </w:tcPr>
          <w:p w14:paraId="1096D7CE"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rPr>
            </w:pPr>
            <w:r w:rsidRPr="00A34F10">
              <w:rPr>
                <w:rFonts w:ascii="Times New Roman" w:hAnsi="Times New Roman"/>
                <w:b/>
                <w:color w:val="000000" w:themeColor="text1"/>
                <w:sz w:val="20"/>
                <w:szCs w:val="20"/>
              </w:rPr>
              <w:t>1000</w:t>
            </w:r>
          </w:p>
        </w:tc>
      </w:tr>
      <w:tr w:rsidR="00DC5685" w:rsidRPr="00A34F10" w14:paraId="2DE1CB5A" w14:textId="77777777" w:rsidTr="000470C3">
        <w:trPr>
          <w:trHeight w:val="283"/>
          <w:tblHeader/>
          <w:jc w:val="center"/>
        </w:trPr>
        <w:tc>
          <w:tcPr>
            <w:tcW w:w="1364" w:type="pct"/>
            <w:noWrap/>
            <w:vAlign w:val="center"/>
          </w:tcPr>
          <w:p w14:paraId="3F15D879"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Mortality (%) day 28</w:t>
            </w:r>
          </w:p>
        </w:tc>
        <w:tc>
          <w:tcPr>
            <w:tcW w:w="462" w:type="pct"/>
            <w:noWrap/>
            <w:vAlign w:val="center"/>
          </w:tcPr>
          <w:p w14:paraId="441E7FC9"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1.3</w:t>
            </w:r>
          </w:p>
        </w:tc>
        <w:tc>
          <w:tcPr>
            <w:tcW w:w="406" w:type="pct"/>
            <w:noWrap/>
            <w:vAlign w:val="center"/>
          </w:tcPr>
          <w:p w14:paraId="6119161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406" w:type="pct"/>
            <w:noWrap/>
            <w:vAlign w:val="center"/>
          </w:tcPr>
          <w:p w14:paraId="1A71428E"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406" w:type="pct"/>
            <w:noWrap/>
            <w:vAlign w:val="center"/>
          </w:tcPr>
          <w:p w14:paraId="0612FF08"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406" w:type="pct"/>
            <w:noWrap/>
            <w:vAlign w:val="center"/>
          </w:tcPr>
          <w:p w14:paraId="21CE8749"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406" w:type="pct"/>
            <w:noWrap/>
            <w:vAlign w:val="center"/>
          </w:tcPr>
          <w:p w14:paraId="0B28C9E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406" w:type="pct"/>
            <w:noWrap/>
            <w:vAlign w:val="center"/>
          </w:tcPr>
          <w:p w14:paraId="36D62FE2"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2.5</w:t>
            </w:r>
          </w:p>
        </w:tc>
        <w:tc>
          <w:tcPr>
            <w:tcW w:w="406" w:type="pct"/>
            <w:noWrap/>
            <w:vAlign w:val="center"/>
          </w:tcPr>
          <w:p w14:paraId="51F7B4D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0.0</w:t>
            </w:r>
          </w:p>
        </w:tc>
        <w:tc>
          <w:tcPr>
            <w:tcW w:w="332" w:type="pct"/>
            <w:noWrap/>
            <w:vAlign w:val="center"/>
          </w:tcPr>
          <w:p w14:paraId="26E1576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2.5</w:t>
            </w:r>
          </w:p>
        </w:tc>
      </w:tr>
      <w:tr w:rsidR="00DC5685" w:rsidRPr="00A34F10" w14:paraId="493EFCE9" w14:textId="77777777" w:rsidTr="000470C3">
        <w:trPr>
          <w:trHeight w:val="283"/>
          <w:tblHeader/>
          <w:jc w:val="center"/>
        </w:trPr>
        <w:tc>
          <w:tcPr>
            <w:tcW w:w="1364" w:type="pct"/>
            <w:noWrap/>
            <w:vAlign w:val="center"/>
          </w:tcPr>
          <w:p w14:paraId="4A430E7E"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Weight change (%) day 28</w:t>
            </w:r>
          </w:p>
        </w:tc>
        <w:tc>
          <w:tcPr>
            <w:tcW w:w="462" w:type="pct"/>
            <w:noWrap/>
          </w:tcPr>
          <w:p w14:paraId="098FC69A"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27.5</w:t>
            </w:r>
          </w:p>
        </w:tc>
        <w:tc>
          <w:tcPr>
            <w:tcW w:w="406" w:type="pct"/>
            <w:noWrap/>
          </w:tcPr>
          <w:p w14:paraId="6BC2B8B7"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26.1</w:t>
            </w:r>
          </w:p>
        </w:tc>
        <w:tc>
          <w:tcPr>
            <w:tcW w:w="406" w:type="pct"/>
            <w:noWrap/>
          </w:tcPr>
          <w:p w14:paraId="28353C38"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29.2</w:t>
            </w:r>
          </w:p>
        </w:tc>
        <w:tc>
          <w:tcPr>
            <w:tcW w:w="406" w:type="pct"/>
            <w:noWrap/>
          </w:tcPr>
          <w:p w14:paraId="1D53EE03"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27.8</w:t>
            </w:r>
          </w:p>
        </w:tc>
        <w:tc>
          <w:tcPr>
            <w:tcW w:w="406" w:type="pct"/>
            <w:noWrap/>
          </w:tcPr>
          <w:p w14:paraId="37DEAF6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24.7</w:t>
            </w:r>
          </w:p>
        </w:tc>
        <w:tc>
          <w:tcPr>
            <w:tcW w:w="406" w:type="pct"/>
            <w:noWrap/>
          </w:tcPr>
          <w:p w14:paraId="74FAB7E2"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26.8</w:t>
            </w:r>
          </w:p>
        </w:tc>
        <w:tc>
          <w:tcPr>
            <w:tcW w:w="406" w:type="pct"/>
            <w:noWrap/>
          </w:tcPr>
          <w:p w14:paraId="516D5A47"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25.0</w:t>
            </w:r>
          </w:p>
        </w:tc>
        <w:tc>
          <w:tcPr>
            <w:tcW w:w="406" w:type="pct"/>
            <w:noWrap/>
          </w:tcPr>
          <w:p w14:paraId="6B2D3553"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27.3</w:t>
            </w:r>
          </w:p>
        </w:tc>
        <w:tc>
          <w:tcPr>
            <w:tcW w:w="332" w:type="pct"/>
            <w:noWrap/>
          </w:tcPr>
          <w:p w14:paraId="4063A1B2"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26.2</w:t>
            </w:r>
          </w:p>
        </w:tc>
      </w:tr>
      <w:tr w:rsidR="00DC5685" w:rsidRPr="00A34F10" w14:paraId="3C28E413" w14:textId="77777777" w:rsidTr="000470C3">
        <w:trPr>
          <w:trHeight w:val="283"/>
          <w:tblHeader/>
          <w:jc w:val="center"/>
        </w:trPr>
        <w:tc>
          <w:tcPr>
            <w:tcW w:w="1364" w:type="pct"/>
            <w:noWrap/>
            <w:vAlign w:val="center"/>
          </w:tcPr>
          <w:p w14:paraId="107948E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Number of juveniles day 56</w:t>
            </w:r>
          </w:p>
        </w:tc>
        <w:tc>
          <w:tcPr>
            <w:tcW w:w="462" w:type="pct"/>
            <w:noWrap/>
          </w:tcPr>
          <w:p w14:paraId="17EF23C9"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187.8</w:t>
            </w:r>
          </w:p>
        </w:tc>
        <w:tc>
          <w:tcPr>
            <w:tcW w:w="406" w:type="pct"/>
            <w:noWrap/>
          </w:tcPr>
          <w:p w14:paraId="4C3C8347"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190.8</w:t>
            </w:r>
          </w:p>
        </w:tc>
        <w:tc>
          <w:tcPr>
            <w:tcW w:w="406" w:type="pct"/>
            <w:noWrap/>
          </w:tcPr>
          <w:p w14:paraId="4885098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187.8</w:t>
            </w:r>
          </w:p>
        </w:tc>
        <w:tc>
          <w:tcPr>
            <w:tcW w:w="406" w:type="pct"/>
            <w:noWrap/>
          </w:tcPr>
          <w:p w14:paraId="32CBEFAA"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187.0</w:t>
            </w:r>
          </w:p>
        </w:tc>
        <w:tc>
          <w:tcPr>
            <w:tcW w:w="406" w:type="pct"/>
            <w:noWrap/>
          </w:tcPr>
          <w:p w14:paraId="54B6224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191.5</w:t>
            </w:r>
          </w:p>
        </w:tc>
        <w:tc>
          <w:tcPr>
            <w:tcW w:w="406" w:type="pct"/>
            <w:noWrap/>
          </w:tcPr>
          <w:p w14:paraId="6A4CD4C1"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178.3</w:t>
            </w:r>
          </w:p>
        </w:tc>
        <w:tc>
          <w:tcPr>
            <w:tcW w:w="406" w:type="pct"/>
            <w:noWrap/>
          </w:tcPr>
          <w:p w14:paraId="208AD259"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159.0*</w:t>
            </w:r>
          </w:p>
        </w:tc>
        <w:tc>
          <w:tcPr>
            <w:tcW w:w="406" w:type="pct"/>
            <w:noWrap/>
          </w:tcPr>
          <w:p w14:paraId="08B458D5"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153.3*</w:t>
            </w:r>
          </w:p>
        </w:tc>
        <w:tc>
          <w:tcPr>
            <w:tcW w:w="332" w:type="pct"/>
            <w:noWrap/>
          </w:tcPr>
          <w:p w14:paraId="09C0953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146.5*</w:t>
            </w:r>
          </w:p>
        </w:tc>
      </w:tr>
      <w:tr w:rsidR="00DC5685" w:rsidRPr="00A34F10" w14:paraId="143D7E06" w14:textId="77777777" w:rsidTr="000470C3">
        <w:trPr>
          <w:trHeight w:val="283"/>
          <w:tblHeader/>
          <w:jc w:val="center"/>
        </w:trPr>
        <w:tc>
          <w:tcPr>
            <w:tcW w:w="1364" w:type="pct"/>
            <w:noWrap/>
            <w:vAlign w:val="center"/>
          </w:tcPr>
          <w:p w14:paraId="07C2943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Reproduction in (%) of control</w:t>
            </w:r>
          </w:p>
        </w:tc>
        <w:tc>
          <w:tcPr>
            <w:tcW w:w="462" w:type="pct"/>
            <w:noWrap/>
            <w:vAlign w:val="center"/>
          </w:tcPr>
          <w:p w14:paraId="4EBD616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100.0</w:t>
            </w:r>
          </w:p>
        </w:tc>
        <w:tc>
          <w:tcPr>
            <w:tcW w:w="406" w:type="pct"/>
            <w:noWrap/>
            <w:vAlign w:val="center"/>
          </w:tcPr>
          <w:p w14:paraId="524F125F"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101.6</w:t>
            </w:r>
          </w:p>
        </w:tc>
        <w:tc>
          <w:tcPr>
            <w:tcW w:w="406" w:type="pct"/>
            <w:noWrap/>
            <w:vAlign w:val="center"/>
          </w:tcPr>
          <w:p w14:paraId="3E80B1CF"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100.0</w:t>
            </w:r>
          </w:p>
        </w:tc>
        <w:tc>
          <w:tcPr>
            <w:tcW w:w="406" w:type="pct"/>
            <w:noWrap/>
            <w:vAlign w:val="center"/>
          </w:tcPr>
          <w:p w14:paraId="6A32303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99.6</w:t>
            </w:r>
          </w:p>
        </w:tc>
        <w:tc>
          <w:tcPr>
            <w:tcW w:w="406" w:type="pct"/>
            <w:noWrap/>
            <w:vAlign w:val="center"/>
          </w:tcPr>
          <w:p w14:paraId="22714611"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102.0</w:t>
            </w:r>
          </w:p>
        </w:tc>
        <w:tc>
          <w:tcPr>
            <w:tcW w:w="406" w:type="pct"/>
            <w:noWrap/>
            <w:vAlign w:val="center"/>
          </w:tcPr>
          <w:p w14:paraId="6E99AC9A"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94.9</w:t>
            </w:r>
          </w:p>
        </w:tc>
        <w:tc>
          <w:tcPr>
            <w:tcW w:w="406" w:type="pct"/>
            <w:noWrap/>
            <w:vAlign w:val="center"/>
          </w:tcPr>
          <w:p w14:paraId="187F7327"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84.7</w:t>
            </w:r>
          </w:p>
        </w:tc>
        <w:tc>
          <w:tcPr>
            <w:tcW w:w="406" w:type="pct"/>
            <w:noWrap/>
            <w:vAlign w:val="center"/>
          </w:tcPr>
          <w:p w14:paraId="6C71658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81.6</w:t>
            </w:r>
          </w:p>
        </w:tc>
        <w:tc>
          <w:tcPr>
            <w:tcW w:w="332" w:type="pct"/>
            <w:noWrap/>
            <w:vAlign w:val="center"/>
          </w:tcPr>
          <w:p w14:paraId="5550B50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78.0</w:t>
            </w:r>
          </w:p>
        </w:tc>
      </w:tr>
      <w:tr w:rsidR="00DC5685" w:rsidRPr="00A34F10" w14:paraId="575F2096" w14:textId="77777777" w:rsidTr="000470C3">
        <w:trPr>
          <w:trHeight w:val="283"/>
          <w:tblHeader/>
          <w:jc w:val="center"/>
        </w:trPr>
        <w:tc>
          <w:tcPr>
            <w:tcW w:w="1364" w:type="pct"/>
            <w:tcBorders>
              <w:top w:val="nil"/>
              <w:left w:val="single" w:sz="4" w:space="0" w:color="auto"/>
              <w:bottom w:val="nil"/>
              <w:right w:val="nil"/>
            </w:tcBorders>
            <w:noWrap/>
            <w:vAlign w:val="center"/>
          </w:tcPr>
          <w:p w14:paraId="161873AA"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highlight w:val="yellow"/>
              </w:rPr>
            </w:pPr>
          </w:p>
        </w:tc>
        <w:tc>
          <w:tcPr>
            <w:tcW w:w="3636" w:type="pct"/>
            <w:gridSpan w:val="9"/>
            <w:tcBorders>
              <w:left w:val="nil"/>
            </w:tcBorders>
            <w:vAlign w:val="center"/>
          </w:tcPr>
          <w:p w14:paraId="4319FF2C" w14:textId="77777777" w:rsidR="00DC5685" w:rsidRPr="00A34F10" w:rsidRDefault="00DC5685" w:rsidP="00DC5685">
            <w:pPr>
              <w:keepNext/>
              <w:keepLines/>
              <w:tabs>
                <w:tab w:val="left" w:pos="720"/>
              </w:tabs>
              <w:spacing w:before="60"/>
              <w:jc w:val="center"/>
              <w:rPr>
                <w:rFonts w:ascii="Times New Roman" w:hAnsi="Times New Roman"/>
                <w:b/>
                <w:color w:val="000000" w:themeColor="text1"/>
                <w:sz w:val="20"/>
                <w:szCs w:val="20"/>
                <w:highlight w:val="yellow"/>
              </w:rPr>
            </w:pPr>
            <w:r w:rsidRPr="00A34F10">
              <w:rPr>
                <w:rFonts w:ascii="Times New Roman" w:hAnsi="Times New Roman"/>
                <w:b/>
                <w:color w:val="000000" w:themeColor="text1"/>
                <w:sz w:val="20"/>
                <w:szCs w:val="20"/>
              </w:rPr>
              <w:t>Endpoint (mg product/kg soil dw)</w:t>
            </w:r>
          </w:p>
        </w:tc>
      </w:tr>
      <w:tr w:rsidR="00DC5685" w:rsidRPr="00A34F10" w14:paraId="6703ABB4" w14:textId="77777777" w:rsidTr="000470C3">
        <w:trPr>
          <w:trHeight w:val="283"/>
          <w:tblHeader/>
          <w:jc w:val="center"/>
        </w:trPr>
        <w:tc>
          <w:tcPr>
            <w:tcW w:w="1364" w:type="pct"/>
            <w:noWrap/>
            <w:vAlign w:val="center"/>
          </w:tcPr>
          <w:p w14:paraId="77720004"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28-day NOEC (mortality)</w:t>
            </w:r>
          </w:p>
        </w:tc>
        <w:tc>
          <w:tcPr>
            <w:tcW w:w="3636" w:type="pct"/>
            <w:gridSpan w:val="9"/>
            <w:noWrap/>
            <w:vAlign w:val="center"/>
          </w:tcPr>
          <w:p w14:paraId="6B779E6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sym w:font="Symbol" w:char="F0B3"/>
            </w:r>
            <w:r w:rsidRPr="00A34F10">
              <w:rPr>
                <w:rFonts w:ascii="Times New Roman" w:hAnsi="Times New Roman"/>
                <w:color w:val="000000" w:themeColor="text1"/>
                <w:sz w:val="20"/>
                <w:szCs w:val="20"/>
              </w:rPr>
              <w:t xml:space="preserve"> 1000</w:t>
            </w:r>
          </w:p>
        </w:tc>
      </w:tr>
      <w:tr w:rsidR="00DC5685" w:rsidRPr="00A34F10" w14:paraId="5B3F6365" w14:textId="77777777" w:rsidTr="000470C3">
        <w:trPr>
          <w:trHeight w:val="283"/>
          <w:tblHeader/>
          <w:jc w:val="center"/>
        </w:trPr>
        <w:tc>
          <w:tcPr>
            <w:tcW w:w="1364" w:type="pct"/>
            <w:noWrap/>
            <w:vAlign w:val="center"/>
          </w:tcPr>
          <w:p w14:paraId="12DF08B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28-day NOEC (biomass)</w:t>
            </w:r>
          </w:p>
        </w:tc>
        <w:tc>
          <w:tcPr>
            <w:tcW w:w="3636" w:type="pct"/>
            <w:gridSpan w:val="9"/>
            <w:noWrap/>
            <w:vAlign w:val="center"/>
          </w:tcPr>
          <w:p w14:paraId="115DEC5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sym w:font="Symbol" w:char="F0B3"/>
            </w:r>
            <w:r w:rsidRPr="00A34F10">
              <w:rPr>
                <w:rFonts w:ascii="Times New Roman" w:hAnsi="Times New Roman"/>
                <w:color w:val="000000" w:themeColor="text1"/>
                <w:sz w:val="20"/>
                <w:szCs w:val="20"/>
              </w:rPr>
              <w:t xml:space="preserve"> 1000</w:t>
            </w:r>
          </w:p>
        </w:tc>
      </w:tr>
      <w:tr w:rsidR="00DC5685" w:rsidRPr="00A34F10" w14:paraId="0695F190" w14:textId="77777777" w:rsidTr="000470C3">
        <w:trPr>
          <w:trHeight w:val="283"/>
          <w:tblHeader/>
          <w:jc w:val="center"/>
        </w:trPr>
        <w:tc>
          <w:tcPr>
            <w:tcW w:w="1364" w:type="pct"/>
            <w:noWrap/>
            <w:vAlign w:val="center"/>
          </w:tcPr>
          <w:p w14:paraId="29D50B96"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56-day NOEC (reproduction)</w:t>
            </w:r>
          </w:p>
        </w:tc>
        <w:tc>
          <w:tcPr>
            <w:tcW w:w="3636" w:type="pct"/>
            <w:gridSpan w:val="9"/>
            <w:noWrap/>
            <w:vAlign w:val="center"/>
          </w:tcPr>
          <w:p w14:paraId="6D2A309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171</w:t>
            </w:r>
          </w:p>
        </w:tc>
      </w:tr>
      <w:tr w:rsidR="00DC5685" w:rsidRPr="00A34F10" w14:paraId="2D9002A9" w14:textId="77777777" w:rsidTr="000470C3">
        <w:trPr>
          <w:trHeight w:val="283"/>
          <w:tblHeader/>
          <w:jc w:val="center"/>
        </w:trPr>
        <w:tc>
          <w:tcPr>
            <w:tcW w:w="1364" w:type="pct"/>
            <w:noWrap/>
            <w:vAlign w:val="center"/>
          </w:tcPr>
          <w:p w14:paraId="4160CE7F"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28-day LC</w:t>
            </w:r>
            <w:r w:rsidRPr="00A34F10">
              <w:rPr>
                <w:rFonts w:ascii="Times New Roman" w:hAnsi="Times New Roman"/>
                <w:color w:val="000000" w:themeColor="text1"/>
                <w:sz w:val="20"/>
                <w:szCs w:val="20"/>
                <w:vertAlign w:val="subscript"/>
              </w:rPr>
              <w:t>50</w:t>
            </w:r>
            <w:r w:rsidRPr="00A34F10">
              <w:rPr>
                <w:rFonts w:ascii="Times New Roman" w:hAnsi="Times New Roman"/>
                <w:color w:val="000000" w:themeColor="text1"/>
                <w:sz w:val="20"/>
                <w:szCs w:val="20"/>
              </w:rPr>
              <w:t xml:space="preserve"> (mortality)</w:t>
            </w:r>
            <w:r w:rsidRPr="00A34F10">
              <w:rPr>
                <w:rFonts w:ascii="Times New Roman" w:hAnsi="Times New Roman"/>
                <w:color w:val="000000" w:themeColor="text1"/>
                <w:sz w:val="20"/>
                <w:szCs w:val="20"/>
                <w:vertAlign w:val="superscript"/>
              </w:rPr>
              <w:t>1</w:t>
            </w:r>
          </w:p>
        </w:tc>
        <w:tc>
          <w:tcPr>
            <w:tcW w:w="3636" w:type="pct"/>
            <w:gridSpan w:val="9"/>
            <w:noWrap/>
            <w:vAlign w:val="center"/>
          </w:tcPr>
          <w:p w14:paraId="39DEA5E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&gt; 1000</w:t>
            </w:r>
          </w:p>
        </w:tc>
      </w:tr>
      <w:tr w:rsidR="00DC5685" w:rsidRPr="00A34F10" w14:paraId="2A0357E0" w14:textId="77777777" w:rsidTr="000470C3">
        <w:trPr>
          <w:trHeight w:val="283"/>
          <w:tblHeader/>
          <w:jc w:val="center"/>
        </w:trPr>
        <w:tc>
          <w:tcPr>
            <w:tcW w:w="1364" w:type="pct"/>
            <w:noWrap/>
            <w:vAlign w:val="center"/>
          </w:tcPr>
          <w:p w14:paraId="08C2E284"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56-day EC</w:t>
            </w:r>
            <w:r w:rsidRPr="00A34F10">
              <w:rPr>
                <w:rFonts w:ascii="Times New Roman" w:hAnsi="Times New Roman"/>
                <w:color w:val="000000" w:themeColor="text1"/>
                <w:sz w:val="20"/>
                <w:szCs w:val="20"/>
                <w:vertAlign w:val="subscript"/>
              </w:rPr>
              <w:t xml:space="preserve">10 </w:t>
            </w:r>
            <w:r w:rsidRPr="00A34F10">
              <w:rPr>
                <w:rFonts w:ascii="Times New Roman" w:hAnsi="Times New Roman"/>
                <w:color w:val="000000" w:themeColor="text1"/>
                <w:sz w:val="20"/>
                <w:szCs w:val="20"/>
              </w:rPr>
              <w:t>(reproduction)</w:t>
            </w:r>
            <w:r w:rsidRPr="00A34F10">
              <w:rPr>
                <w:rFonts w:ascii="Times New Roman" w:hAnsi="Times New Roman"/>
                <w:color w:val="000000" w:themeColor="text1"/>
                <w:sz w:val="20"/>
                <w:szCs w:val="20"/>
                <w:vertAlign w:val="superscript"/>
              </w:rPr>
              <w:t>2</w:t>
            </w:r>
          </w:p>
        </w:tc>
        <w:tc>
          <w:tcPr>
            <w:tcW w:w="3636" w:type="pct"/>
            <w:gridSpan w:val="9"/>
            <w:noWrap/>
            <w:vAlign w:val="center"/>
          </w:tcPr>
          <w:p w14:paraId="3778A29E"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n.r.</w:t>
            </w:r>
          </w:p>
        </w:tc>
      </w:tr>
      <w:tr w:rsidR="00DC5685" w:rsidRPr="00A34F10" w14:paraId="3139A072" w14:textId="77777777" w:rsidTr="000470C3">
        <w:trPr>
          <w:trHeight w:val="283"/>
          <w:tblHeader/>
          <w:jc w:val="center"/>
        </w:trPr>
        <w:tc>
          <w:tcPr>
            <w:tcW w:w="1364" w:type="pct"/>
            <w:noWrap/>
            <w:vAlign w:val="center"/>
          </w:tcPr>
          <w:p w14:paraId="5D4EE2FF"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56-day EC</w:t>
            </w:r>
            <w:r w:rsidRPr="00A34F10">
              <w:rPr>
                <w:rFonts w:ascii="Times New Roman" w:hAnsi="Times New Roman"/>
                <w:color w:val="000000" w:themeColor="text1"/>
                <w:sz w:val="20"/>
                <w:szCs w:val="20"/>
                <w:vertAlign w:val="subscript"/>
              </w:rPr>
              <w:t>20</w:t>
            </w:r>
            <w:r w:rsidRPr="00A34F10">
              <w:rPr>
                <w:rFonts w:ascii="Times New Roman" w:hAnsi="Times New Roman"/>
                <w:color w:val="000000" w:themeColor="text1"/>
                <w:sz w:val="20"/>
                <w:szCs w:val="20"/>
              </w:rPr>
              <w:t xml:space="preserve"> (reproduction)</w:t>
            </w:r>
            <w:r w:rsidRPr="00A34F10">
              <w:rPr>
                <w:rFonts w:ascii="Times New Roman" w:hAnsi="Times New Roman"/>
                <w:color w:val="000000" w:themeColor="text1"/>
                <w:sz w:val="20"/>
                <w:szCs w:val="20"/>
                <w:vertAlign w:val="superscript"/>
              </w:rPr>
              <w:t>2</w:t>
            </w:r>
          </w:p>
        </w:tc>
        <w:tc>
          <w:tcPr>
            <w:tcW w:w="3636" w:type="pct"/>
            <w:gridSpan w:val="9"/>
            <w:noWrap/>
            <w:vAlign w:val="center"/>
          </w:tcPr>
          <w:p w14:paraId="36673A70"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n.r.</w:t>
            </w:r>
          </w:p>
        </w:tc>
      </w:tr>
      <w:tr w:rsidR="00DC5685" w:rsidRPr="00A34F10" w14:paraId="0CB843E6" w14:textId="77777777" w:rsidTr="000470C3">
        <w:trPr>
          <w:trHeight w:val="283"/>
          <w:tblHeader/>
          <w:jc w:val="center"/>
        </w:trPr>
        <w:tc>
          <w:tcPr>
            <w:tcW w:w="1364" w:type="pct"/>
            <w:noWrap/>
            <w:vAlign w:val="center"/>
          </w:tcPr>
          <w:p w14:paraId="0ACD1361"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56-day EC</w:t>
            </w:r>
            <w:r w:rsidRPr="00A34F10">
              <w:rPr>
                <w:rFonts w:ascii="Times New Roman" w:hAnsi="Times New Roman"/>
                <w:color w:val="000000" w:themeColor="text1"/>
                <w:sz w:val="20"/>
                <w:szCs w:val="20"/>
                <w:vertAlign w:val="subscript"/>
              </w:rPr>
              <w:t>50</w:t>
            </w:r>
            <w:r w:rsidRPr="00A34F10">
              <w:rPr>
                <w:rFonts w:ascii="Times New Roman" w:hAnsi="Times New Roman"/>
                <w:color w:val="000000" w:themeColor="text1"/>
                <w:sz w:val="20"/>
                <w:szCs w:val="20"/>
              </w:rPr>
              <w:t xml:space="preserve"> (reproduction)</w:t>
            </w:r>
            <w:r w:rsidRPr="00A34F10">
              <w:rPr>
                <w:rFonts w:ascii="Times New Roman" w:hAnsi="Times New Roman"/>
                <w:color w:val="000000" w:themeColor="text1"/>
                <w:sz w:val="20"/>
                <w:szCs w:val="20"/>
                <w:vertAlign w:val="superscript"/>
              </w:rPr>
              <w:t>2</w:t>
            </w:r>
          </w:p>
        </w:tc>
        <w:tc>
          <w:tcPr>
            <w:tcW w:w="3636" w:type="pct"/>
            <w:gridSpan w:val="9"/>
            <w:noWrap/>
            <w:vAlign w:val="center"/>
          </w:tcPr>
          <w:p w14:paraId="786D1B2B" w14:textId="77777777" w:rsidR="00DC5685" w:rsidRPr="00A34F10" w:rsidRDefault="00DC5685" w:rsidP="00DC5685">
            <w:pPr>
              <w:keepNext/>
              <w:keepLines/>
              <w:tabs>
                <w:tab w:val="left" w:pos="720"/>
              </w:tabs>
              <w:spacing w:before="60"/>
              <w:jc w:val="center"/>
              <w:rPr>
                <w:rFonts w:ascii="Times New Roman" w:hAnsi="Times New Roman"/>
                <w:color w:val="000000" w:themeColor="text1"/>
                <w:sz w:val="20"/>
                <w:szCs w:val="20"/>
              </w:rPr>
            </w:pPr>
            <w:r w:rsidRPr="00A34F10">
              <w:rPr>
                <w:rFonts w:ascii="Times New Roman" w:hAnsi="Times New Roman"/>
                <w:color w:val="000000" w:themeColor="text1"/>
                <w:sz w:val="20"/>
                <w:szCs w:val="20"/>
              </w:rPr>
              <w:t>n.d.</w:t>
            </w:r>
          </w:p>
        </w:tc>
      </w:tr>
    </w:tbl>
    <w:p w14:paraId="14118B06" w14:textId="77777777" w:rsidR="00DC5685" w:rsidRPr="00A34F10" w:rsidRDefault="00DC5685" w:rsidP="00DC5685">
      <w:pPr>
        <w:keepNext/>
        <w:keepLines/>
        <w:rPr>
          <w:bCs/>
          <w:color w:val="000000" w:themeColor="text1"/>
          <w:sz w:val="18"/>
          <w:szCs w:val="18"/>
        </w:rPr>
      </w:pPr>
      <w:r w:rsidRPr="00A34F10">
        <w:rPr>
          <w:bCs/>
          <w:color w:val="000000" w:themeColor="text1"/>
          <w:sz w:val="18"/>
          <w:szCs w:val="18"/>
        </w:rPr>
        <w:t>n.d.: not determined due to mathematical reasons (inappropriate data) or value is beyond the tested concentrations</w:t>
      </w:r>
    </w:p>
    <w:p w14:paraId="000F2F10" w14:textId="77777777" w:rsidR="00DC5685" w:rsidRPr="00A34F10" w:rsidRDefault="00DC5685" w:rsidP="00DC5685">
      <w:pPr>
        <w:keepNext/>
        <w:keepLines/>
        <w:rPr>
          <w:bCs/>
          <w:color w:val="000000" w:themeColor="text1"/>
          <w:sz w:val="18"/>
          <w:szCs w:val="18"/>
        </w:rPr>
      </w:pPr>
      <w:r w:rsidRPr="00A34F10">
        <w:rPr>
          <w:bCs/>
          <w:color w:val="000000" w:themeColor="text1"/>
          <w:sz w:val="18"/>
          <w:szCs w:val="18"/>
        </w:rPr>
        <w:t>n.r.: values considered not reliable</w:t>
      </w:r>
    </w:p>
    <w:p w14:paraId="618D3008" w14:textId="77777777" w:rsidR="00DC5685" w:rsidRPr="00A34F10" w:rsidRDefault="00DC5685" w:rsidP="00DC5685">
      <w:pPr>
        <w:keepNext/>
        <w:keepLines/>
        <w:tabs>
          <w:tab w:val="left" w:pos="720"/>
        </w:tabs>
        <w:jc w:val="both"/>
        <w:rPr>
          <w:color w:val="000000" w:themeColor="text1"/>
          <w:sz w:val="18"/>
          <w:szCs w:val="20"/>
          <w:lang w:val="en-GB"/>
        </w:rPr>
      </w:pPr>
      <w:r w:rsidRPr="00A34F10">
        <w:rPr>
          <w:color w:val="000000" w:themeColor="text1"/>
          <w:sz w:val="18"/>
          <w:szCs w:val="20"/>
          <w:lang w:val="en-GB"/>
        </w:rPr>
        <w:t>*: statistically significantly different from the control (Williams-t-test for reproduction, α = 0.05, one-sided smaller)</w:t>
      </w:r>
    </w:p>
    <w:p w14:paraId="00789E18" w14:textId="77777777" w:rsidR="00DC5685" w:rsidRPr="00A34F10" w:rsidRDefault="00DC5685" w:rsidP="00DC5685">
      <w:pPr>
        <w:keepNext/>
        <w:keepLines/>
        <w:tabs>
          <w:tab w:val="left" w:pos="720"/>
        </w:tabs>
        <w:jc w:val="both"/>
        <w:rPr>
          <w:color w:val="000000" w:themeColor="text1"/>
          <w:sz w:val="18"/>
          <w:szCs w:val="20"/>
          <w:lang w:val="en-GB"/>
        </w:rPr>
      </w:pPr>
      <w:r w:rsidRPr="00A34F10">
        <w:rPr>
          <w:color w:val="000000" w:themeColor="text1"/>
          <w:sz w:val="18"/>
          <w:szCs w:val="20"/>
          <w:vertAlign w:val="superscript"/>
          <w:lang w:val="en-GB"/>
        </w:rPr>
        <w:t>1</w:t>
      </w:r>
      <w:r w:rsidRPr="00A34F10">
        <w:rPr>
          <w:color w:val="000000" w:themeColor="text1"/>
          <w:sz w:val="18"/>
          <w:szCs w:val="20"/>
          <w:lang w:val="en-GB"/>
        </w:rPr>
        <w:t xml:space="preserve"> based on estimation of the data</w:t>
      </w:r>
    </w:p>
    <w:p w14:paraId="2E55B126" w14:textId="77777777" w:rsidR="00DC5685" w:rsidRPr="00A34F10" w:rsidRDefault="00DC5685" w:rsidP="00DC5685">
      <w:pPr>
        <w:keepNext/>
        <w:keepLines/>
        <w:tabs>
          <w:tab w:val="left" w:pos="720"/>
        </w:tabs>
        <w:spacing w:after="360"/>
        <w:jc w:val="both"/>
        <w:rPr>
          <w:color w:val="000000" w:themeColor="text1"/>
          <w:szCs w:val="24"/>
          <w:lang w:val="en-GB"/>
        </w:rPr>
      </w:pPr>
      <w:r w:rsidRPr="00A34F10">
        <w:rPr>
          <w:color w:val="000000" w:themeColor="text1"/>
          <w:sz w:val="18"/>
          <w:szCs w:val="20"/>
          <w:vertAlign w:val="superscript"/>
          <w:lang w:val="en-GB"/>
        </w:rPr>
        <w:t>2</w:t>
      </w:r>
      <w:r w:rsidRPr="00A34F10">
        <w:rPr>
          <w:color w:val="000000" w:themeColor="text1"/>
          <w:sz w:val="18"/>
          <w:szCs w:val="20"/>
          <w:lang w:val="en-GB"/>
        </w:rPr>
        <w:t xml:space="preserve"> </w:t>
      </w:r>
      <w:r w:rsidRPr="003B09BC">
        <w:rPr>
          <w:color w:val="000000" w:themeColor="text1"/>
          <w:sz w:val="18"/>
          <w:szCs w:val="18"/>
          <w:lang w:val="en-GB"/>
        </w:rPr>
        <w:t>based on Logit analysis.</w:t>
      </w:r>
    </w:p>
    <w:p w14:paraId="2879BBA6" w14:textId="77777777" w:rsidR="00DC5685" w:rsidRPr="00A34F10" w:rsidRDefault="00DC5685" w:rsidP="00DC5685">
      <w:pPr>
        <w:spacing w:line="240" w:lineRule="exact"/>
        <w:jc w:val="both"/>
        <w:rPr>
          <w:color w:val="000000" w:themeColor="text1"/>
          <w:szCs w:val="24"/>
          <w:lang w:val="en-GB"/>
        </w:rPr>
      </w:pPr>
      <w:r w:rsidRPr="00A34F10">
        <w:rPr>
          <w:szCs w:val="24"/>
          <w:lang w:val="en-GB"/>
        </w:rPr>
        <w:t xml:space="preserve">In a separate study (BioChem project No. 22 48 TEC 0003, reported 28 Jan 2022), the reference item Maypon Flow (Carbendazim, SC 500) had a significant effect on biomass increase and reproduction of earthworms. The number of juveniles was </w:t>
      </w:r>
      <w:r w:rsidRPr="00A34F10">
        <w:rPr>
          <w:color w:val="000000" w:themeColor="text1"/>
          <w:szCs w:val="24"/>
          <w:lang w:val="en-GB"/>
        </w:rPr>
        <w:t xml:space="preserve">reduced by 51.6 and 99.9 % at concentrations of 5 and 10 mg product/kg soil dry weight (mean number of juveniles = 130.5 and 0.3) after 8 weeks of test duration when compared to control (mean number of juveniles = 269.8). The results of the reference test demonstrated the sensitivity of the test system. </w:t>
      </w:r>
    </w:p>
    <w:p w14:paraId="6120A12A" w14:textId="7ABCB827" w:rsidR="00DC5685" w:rsidRPr="00A34F10" w:rsidRDefault="0060455A" w:rsidP="00DC5685">
      <w:pPr>
        <w:tabs>
          <w:tab w:val="left" w:pos="0"/>
        </w:tabs>
        <w:ind w:left="357" w:hanging="357"/>
        <w:contextualSpacing/>
        <w:rPr>
          <w:b/>
          <w:bCs/>
          <w:caps/>
          <w:color w:val="000000" w:themeColor="text1"/>
          <w:szCs w:val="24"/>
          <w:lang w:val="en-GB"/>
        </w:rPr>
      </w:pPr>
      <w:r>
        <w:rPr>
          <w:b/>
          <w:bCs/>
          <w:caps/>
          <w:color w:val="000000" w:themeColor="text1"/>
          <w:szCs w:val="24"/>
          <w:lang w:val="en-GB"/>
        </w:rPr>
        <w:br w:type="page"/>
      </w:r>
    </w:p>
    <w:p w14:paraId="3BD39FE3" w14:textId="77777777" w:rsidR="00DC5685" w:rsidRPr="00A34F10" w:rsidRDefault="00DC5685" w:rsidP="00DC5685">
      <w:pPr>
        <w:tabs>
          <w:tab w:val="left" w:pos="0"/>
        </w:tabs>
        <w:ind w:left="357" w:hanging="357"/>
        <w:contextualSpacing/>
        <w:rPr>
          <w:b/>
          <w:bCs/>
          <w:caps/>
          <w:color w:val="000000" w:themeColor="text1"/>
          <w:szCs w:val="24"/>
          <w:lang w:val="en-GB"/>
        </w:rPr>
      </w:pPr>
      <w:r w:rsidRPr="00A34F10">
        <w:rPr>
          <w:b/>
          <w:bCs/>
          <w:caps/>
          <w:color w:val="000000" w:themeColor="text1"/>
          <w:szCs w:val="24"/>
          <w:lang w:val="en-GB"/>
        </w:rPr>
        <w:lastRenderedPageBreak/>
        <w:t>B.</w:t>
      </w:r>
      <w:r w:rsidRPr="00A34F10">
        <w:rPr>
          <w:b/>
          <w:bCs/>
          <w:caps/>
          <w:color w:val="000000" w:themeColor="text1"/>
          <w:szCs w:val="24"/>
          <w:lang w:val="en-GB"/>
        </w:rPr>
        <w:tab/>
        <w:t>VALIDITY CRITERIA</w:t>
      </w:r>
    </w:p>
    <w:p w14:paraId="40A99E88" w14:textId="77777777" w:rsidR="00DC5685" w:rsidRPr="00A34F10" w:rsidRDefault="00DC5685" w:rsidP="00DC5685">
      <w:pPr>
        <w:tabs>
          <w:tab w:val="left" w:pos="720"/>
        </w:tabs>
        <w:jc w:val="both"/>
        <w:rPr>
          <w:color w:val="000000" w:themeColor="text1"/>
          <w:szCs w:val="24"/>
          <w:lang w:val="en-GB"/>
        </w:rPr>
      </w:pPr>
    </w:p>
    <w:p w14:paraId="4633A3CB" w14:textId="77777777" w:rsidR="00DC5685" w:rsidRPr="00A34F10" w:rsidRDefault="00DC5685" w:rsidP="00DC5685">
      <w:pPr>
        <w:tabs>
          <w:tab w:val="left" w:pos="720"/>
        </w:tabs>
        <w:jc w:val="both"/>
        <w:rPr>
          <w:color w:val="000000" w:themeColor="text1"/>
          <w:szCs w:val="24"/>
          <w:lang w:val="en-GB"/>
        </w:rPr>
      </w:pPr>
      <w:r w:rsidRPr="00A34F10">
        <w:rPr>
          <w:color w:val="000000" w:themeColor="text1"/>
          <w:szCs w:val="24"/>
          <w:lang w:val="en-GB"/>
        </w:rPr>
        <w:t>All validity criteria were met.</w:t>
      </w:r>
    </w:p>
    <w:p w14:paraId="461F7B29" w14:textId="77777777" w:rsidR="00DC5685" w:rsidRPr="00A34F10" w:rsidRDefault="00DC5685" w:rsidP="00DC5685">
      <w:pPr>
        <w:tabs>
          <w:tab w:val="left" w:pos="720"/>
        </w:tabs>
        <w:jc w:val="both"/>
        <w:rPr>
          <w:color w:val="000000" w:themeColor="text1"/>
          <w:szCs w:val="24"/>
          <w:lang w:val="en-GB"/>
        </w:rPr>
      </w:pPr>
    </w:p>
    <w:p w14:paraId="40C4BA9F" w14:textId="60D34E78" w:rsidR="00DC5685" w:rsidRPr="0060455A" w:rsidRDefault="00C174BA" w:rsidP="00C174BA">
      <w:pPr>
        <w:pStyle w:val="Legenda"/>
        <w:rPr>
          <w:szCs w:val="28"/>
        </w:rPr>
      </w:pPr>
      <w:r>
        <w:t xml:space="preserve">Table A </w:t>
      </w:r>
      <w:r>
        <w:fldChar w:fldCharType="begin"/>
      </w:r>
      <w:r>
        <w:instrText xml:space="preserve"> SEQ Table_A \* ARABIC </w:instrText>
      </w:r>
      <w:r>
        <w:fldChar w:fldCharType="separate"/>
      </w:r>
      <w:r w:rsidR="006F0F3B">
        <w:rPr>
          <w:noProof/>
        </w:rPr>
        <w:t>75</w:t>
      </w:r>
      <w:r>
        <w:fldChar w:fldCharType="end"/>
      </w:r>
      <w:r w:rsidR="00DC5685" w:rsidRPr="0060455A">
        <w:t>:</w:t>
      </w:r>
      <w:r w:rsidR="0060455A" w:rsidRPr="0060455A">
        <w:tab/>
      </w:r>
      <w:r w:rsidR="00DC5685" w:rsidRPr="0060455A">
        <w:t xml:space="preserve"> </w:t>
      </w:r>
      <w:r w:rsidR="00DC5685" w:rsidRPr="0060455A">
        <w:rPr>
          <w:szCs w:val="28"/>
        </w:rPr>
        <w:t>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84"/>
        <w:gridCol w:w="2360"/>
      </w:tblGrid>
      <w:tr w:rsidR="00DC5685" w:rsidRPr="00A34F10" w14:paraId="7AF96325" w14:textId="77777777" w:rsidTr="000470C3">
        <w:trPr>
          <w:trHeight w:val="270"/>
          <w:tblHeader/>
        </w:trPr>
        <w:tc>
          <w:tcPr>
            <w:tcW w:w="3737" w:type="pct"/>
            <w:shd w:val="clear" w:color="auto" w:fill="auto"/>
            <w:noWrap/>
            <w:hideMark/>
          </w:tcPr>
          <w:p w14:paraId="563840B9" w14:textId="77777777" w:rsidR="00DC5685" w:rsidRPr="00A34F10" w:rsidRDefault="00DC5685" w:rsidP="00DC5685">
            <w:pPr>
              <w:keepNext/>
              <w:keepLines/>
              <w:tabs>
                <w:tab w:val="left" w:pos="720"/>
              </w:tabs>
              <w:spacing w:before="40" w:after="40"/>
              <w:rPr>
                <w:b/>
                <w:bCs/>
                <w:color w:val="000000" w:themeColor="text1"/>
                <w:lang w:val="en-GB"/>
              </w:rPr>
            </w:pPr>
            <w:r w:rsidRPr="00A34F10">
              <w:rPr>
                <w:b/>
                <w:bCs/>
                <w:color w:val="000000" w:themeColor="text1"/>
                <w:lang w:val="en-GB"/>
              </w:rPr>
              <w:t>Validity criteria according to OECD 222 (2016)</w:t>
            </w:r>
          </w:p>
        </w:tc>
        <w:tc>
          <w:tcPr>
            <w:tcW w:w="1263" w:type="pct"/>
            <w:shd w:val="clear" w:color="auto" w:fill="auto"/>
            <w:noWrap/>
            <w:hideMark/>
          </w:tcPr>
          <w:p w14:paraId="4717E6AD" w14:textId="77777777" w:rsidR="00DC5685" w:rsidRPr="00A34F10" w:rsidRDefault="00DC5685" w:rsidP="00DC5685">
            <w:pPr>
              <w:keepNext/>
              <w:keepLines/>
              <w:tabs>
                <w:tab w:val="left" w:pos="720"/>
              </w:tabs>
              <w:spacing w:before="40" w:after="40"/>
              <w:jc w:val="both"/>
              <w:rPr>
                <w:b/>
                <w:bCs/>
                <w:color w:val="000000" w:themeColor="text1"/>
                <w:lang w:val="en-GB"/>
              </w:rPr>
            </w:pPr>
            <w:r w:rsidRPr="00A34F10">
              <w:rPr>
                <w:b/>
                <w:bCs/>
                <w:color w:val="000000" w:themeColor="text1"/>
                <w:lang w:val="en-GB"/>
              </w:rPr>
              <w:t>Obtained in this study</w:t>
            </w:r>
          </w:p>
        </w:tc>
      </w:tr>
      <w:tr w:rsidR="00DC5685" w:rsidRPr="00A34F10" w14:paraId="10D0BA0C" w14:textId="77777777" w:rsidTr="000470C3">
        <w:trPr>
          <w:trHeight w:val="270"/>
        </w:trPr>
        <w:tc>
          <w:tcPr>
            <w:tcW w:w="3737" w:type="pct"/>
            <w:shd w:val="clear" w:color="auto" w:fill="auto"/>
            <w:noWrap/>
          </w:tcPr>
          <w:p w14:paraId="4C5D7CA6" w14:textId="77777777" w:rsidR="00DC5685" w:rsidRPr="00A34F10" w:rsidRDefault="00DC5685" w:rsidP="00DC5685">
            <w:pPr>
              <w:keepNext/>
              <w:keepLines/>
              <w:tabs>
                <w:tab w:val="left" w:pos="720"/>
              </w:tabs>
              <w:spacing w:before="40" w:after="40"/>
              <w:rPr>
                <w:color w:val="000000" w:themeColor="text1"/>
                <w:lang w:val="en-GB"/>
              </w:rPr>
            </w:pPr>
            <w:r w:rsidRPr="00A34F10">
              <w:rPr>
                <w:color w:val="000000" w:themeColor="text1"/>
                <w:lang w:val="en-GB"/>
              </w:rPr>
              <w:t>In the control(s), adult mortality after 4 weeks should be ≤10%</w:t>
            </w:r>
          </w:p>
        </w:tc>
        <w:tc>
          <w:tcPr>
            <w:tcW w:w="1263" w:type="pct"/>
            <w:shd w:val="clear" w:color="auto" w:fill="auto"/>
            <w:noWrap/>
          </w:tcPr>
          <w:p w14:paraId="3983D009" w14:textId="77777777" w:rsidR="00DC5685" w:rsidRPr="00A34F10" w:rsidRDefault="00DC5685" w:rsidP="00DC5685">
            <w:pPr>
              <w:keepNext/>
              <w:keepLines/>
              <w:tabs>
                <w:tab w:val="left" w:pos="720"/>
              </w:tabs>
              <w:spacing w:before="40" w:after="40"/>
              <w:jc w:val="both"/>
              <w:rPr>
                <w:color w:val="000000" w:themeColor="text1"/>
                <w:lang w:val="en-GB"/>
              </w:rPr>
            </w:pPr>
            <w:r w:rsidRPr="00A34F10">
              <w:rPr>
                <w:color w:val="000000" w:themeColor="text1"/>
                <w:lang w:val="en-GB"/>
              </w:rPr>
              <w:t>1.3 %</w:t>
            </w:r>
          </w:p>
        </w:tc>
      </w:tr>
      <w:tr w:rsidR="00DC5685" w:rsidRPr="00A34F10" w14:paraId="53B1029D" w14:textId="77777777" w:rsidTr="000470C3">
        <w:trPr>
          <w:trHeight w:val="270"/>
        </w:trPr>
        <w:tc>
          <w:tcPr>
            <w:tcW w:w="3737" w:type="pct"/>
            <w:shd w:val="clear" w:color="auto" w:fill="auto"/>
            <w:noWrap/>
          </w:tcPr>
          <w:p w14:paraId="327E0A7E" w14:textId="77777777" w:rsidR="00DC5685" w:rsidRPr="00A34F10" w:rsidRDefault="00DC5685" w:rsidP="00DC5685">
            <w:pPr>
              <w:keepNext/>
              <w:keepLines/>
              <w:tabs>
                <w:tab w:val="left" w:pos="720"/>
              </w:tabs>
              <w:autoSpaceDE w:val="0"/>
              <w:autoSpaceDN w:val="0"/>
              <w:adjustRightInd w:val="0"/>
              <w:spacing w:before="40" w:after="40"/>
              <w:rPr>
                <w:rFonts w:eastAsia="Calibri"/>
                <w:color w:val="000000" w:themeColor="text1"/>
                <w:lang w:val="en-GB"/>
              </w:rPr>
            </w:pPr>
            <w:r w:rsidRPr="00A34F10">
              <w:rPr>
                <w:color w:val="000000" w:themeColor="text1"/>
                <w:lang w:val="en-GB"/>
              </w:rPr>
              <w:t>In the control(s), number of juveniles per replicate should be ≥30</w:t>
            </w:r>
          </w:p>
        </w:tc>
        <w:tc>
          <w:tcPr>
            <w:tcW w:w="1263" w:type="pct"/>
            <w:shd w:val="clear" w:color="auto" w:fill="auto"/>
            <w:noWrap/>
          </w:tcPr>
          <w:p w14:paraId="28655D17" w14:textId="77777777" w:rsidR="00DC5685" w:rsidRPr="00A34F10" w:rsidRDefault="00DC5685" w:rsidP="00DC5685">
            <w:pPr>
              <w:keepNext/>
              <w:keepLines/>
              <w:tabs>
                <w:tab w:val="left" w:pos="720"/>
              </w:tabs>
              <w:spacing w:before="40" w:after="40"/>
              <w:jc w:val="both"/>
              <w:rPr>
                <w:color w:val="000000" w:themeColor="text1"/>
                <w:lang w:val="en-GB"/>
              </w:rPr>
            </w:pPr>
            <w:r w:rsidRPr="00A34F10">
              <w:rPr>
                <w:color w:val="000000" w:themeColor="text1"/>
                <w:lang w:val="en-GB"/>
              </w:rPr>
              <w:t>162 – 220</w:t>
            </w:r>
          </w:p>
        </w:tc>
      </w:tr>
      <w:tr w:rsidR="00DC5685" w:rsidRPr="00A34F10" w14:paraId="6F7A034A" w14:textId="77777777" w:rsidTr="000470C3">
        <w:trPr>
          <w:trHeight w:val="270"/>
        </w:trPr>
        <w:tc>
          <w:tcPr>
            <w:tcW w:w="3737" w:type="pct"/>
            <w:shd w:val="clear" w:color="auto" w:fill="auto"/>
            <w:noWrap/>
          </w:tcPr>
          <w:p w14:paraId="48BE10E9" w14:textId="77777777" w:rsidR="00DC5685" w:rsidRPr="00A34F10" w:rsidRDefault="00DC5685" w:rsidP="00DC5685">
            <w:pPr>
              <w:keepNext/>
              <w:keepLines/>
              <w:tabs>
                <w:tab w:val="left" w:pos="720"/>
              </w:tabs>
              <w:autoSpaceDE w:val="0"/>
              <w:autoSpaceDN w:val="0"/>
              <w:adjustRightInd w:val="0"/>
              <w:spacing w:before="40" w:after="40"/>
              <w:rPr>
                <w:rFonts w:eastAsia="Calibri"/>
                <w:color w:val="000000" w:themeColor="text1"/>
                <w:lang w:val="en-GB"/>
              </w:rPr>
            </w:pPr>
            <w:r w:rsidRPr="00A34F10">
              <w:rPr>
                <w:color w:val="000000" w:themeColor="text1"/>
                <w:lang w:val="en-GB"/>
              </w:rPr>
              <w:t>In the control(s), coefficient of variation of reproduction should be ≤30%</w:t>
            </w:r>
          </w:p>
        </w:tc>
        <w:tc>
          <w:tcPr>
            <w:tcW w:w="1263" w:type="pct"/>
            <w:shd w:val="clear" w:color="auto" w:fill="auto"/>
            <w:noWrap/>
          </w:tcPr>
          <w:p w14:paraId="3E9B863F" w14:textId="77777777" w:rsidR="00DC5685" w:rsidRPr="00A34F10" w:rsidRDefault="00DC5685" w:rsidP="00DC5685">
            <w:pPr>
              <w:keepNext/>
              <w:keepLines/>
              <w:tabs>
                <w:tab w:val="left" w:pos="720"/>
              </w:tabs>
              <w:spacing w:before="40" w:after="40"/>
              <w:jc w:val="both"/>
              <w:rPr>
                <w:color w:val="000000" w:themeColor="text1"/>
                <w:lang w:val="en-GB"/>
              </w:rPr>
            </w:pPr>
            <w:r w:rsidRPr="00A34F10">
              <w:rPr>
                <w:color w:val="000000" w:themeColor="text1"/>
                <w:lang w:val="en-GB"/>
              </w:rPr>
              <w:t>12.3%</w:t>
            </w:r>
          </w:p>
        </w:tc>
      </w:tr>
    </w:tbl>
    <w:p w14:paraId="36DD1702" w14:textId="77777777" w:rsidR="00DC5685" w:rsidRPr="00A34F10" w:rsidRDefault="00DC5685" w:rsidP="00DC5685">
      <w:pPr>
        <w:tabs>
          <w:tab w:val="left" w:pos="720"/>
        </w:tabs>
        <w:spacing w:after="360"/>
        <w:jc w:val="both"/>
        <w:rPr>
          <w:color w:val="000000" w:themeColor="text1"/>
          <w:szCs w:val="24"/>
          <w:lang w:val="en-GB"/>
        </w:rPr>
      </w:pPr>
    </w:p>
    <w:p w14:paraId="5AC87B92" w14:textId="77777777" w:rsidR="00DC5685" w:rsidRPr="00A34F10" w:rsidRDefault="00DC5685" w:rsidP="00DC5685">
      <w:pPr>
        <w:tabs>
          <w:tab w:val="left" w:pos="0"/>
        </w:tabs>
        <w:ind w:left="357" w:hanging="357"/>
        <w:contextualSpacing/>
        <w:rPr>
          <w:b/>
          <w:bCs/>
          <w:caps/>
          <w:color w:val="000000" w:themeColor="text1"/>
          <w:szCs w:val="24"/>
          <w:lang w:val="en-GB"/>
        </w:rPr>
      </w:pPr>
      <w:r w:rsidRPr="00A34F10">
        <w:rPr>
          <w:b/>
          <w:bCs/>
          <w:caps/>
          <w:color w:val="000000" w:themeColor="text1"/>
          <w:szCs w:val="24"/>
          <w:lang w:val="en-GB"/>
        </w:rPr>
        <w:t>C.</w:t>
      </w:r>
      <w:r w:rsidRPr="00A34F10">
        <w:rPr>
          <w:b/>
          <w:bCs/>
          <w:caps/>
          <w:color w:val="000000" w:themeColor="text1"/>
          <w:szCs w:val="24"/>
          <w:lang w:val="en-GB"/>
        </w:rPr>
        <w:tab/>
        <w:t>DEFICIENCIES</w:t>
      </w:r>
    </w:p>
    <w:p w14:paraId="583973B1" w14:textId="77777777" w:rsidR="00DC5685" w:rsidRPr="00A34F10" w:rsidRDefault="00DC5685" w:rsidP="00DC5685">
      <w:pPr>
        <w:tabs>
          <w:tab w:val="left" w:pos="0"/>
        </w:tabs>
        <w:ind w:left="357" w:hanging="357"/>
        <w:contextualSpacing/>
        <w:rPr>
          <w:b/>
          <w:bCs/>
          <w:caps/>
          <w:color w:val="000000" w:themeColor="text1"/>
          <w:szCs w:val="24"/>
          <w:lang w:val="en-GB"/>
        </w:rPr>
      </w:pPr>
    </w:p>
    <w:p w14:paraId="2F183D78" w14:textId="77777777" w:rsidR="00DC5685"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 xml:space="preserve">There were no deviations from the study plan. </w:t>
      </w:r>
    </w:p>
    <w:p w14:paraId="58256804" w14:textId="77777777" w:rsidR="008D2927" w:rsidRPr="00A34F10" w:rsidRDefault="008D2927" w:rsidP="008D2927">
      <w:pPr>
        <w:tabs>
          <w:tab w:val="left" w:pos="720"/>
        </w:tabs>
        <w:jc w:val="both"/>
        <w:rPr>
          <w:color w:val="000000" w:themeColor="text1"/>
          <w:szCs w:val="24"/>
          <w:lang w:val="en-GB"/>
        </w:rPr>
      </w:pPr>
    </w:p>
    <w:p w14:paraId="4FFAFB36" w14:textId="77777777" w:rsidR="00DC5685" w:rsidRPr="00A34F10" w:rsidRDefault="00DC5685" w:rsidP="00DC5685">
      <w:pPr>
        <w:keepNext/>
        <w:keepLines/>
        <w:tabs>
          <w:tab w:val="left" w:pos="720"/>
        </w:tabs>
        <w:spacing w:after="240"/>
        <w:ind w:left="720" w:hanging="431"/>
        <w:jc w:val="center"/>
        <w:rPr>
          <w:b/>
          <w:bCs/>
          <w:caps/>
          <w:color w:val="000000" w:themeColor="text1"/>
          <w:szCs w:val="24"/>
          <w:lang w:val="en-GB"/>
        </w:rPr>
      </w:pPr>
      <w:r w:rsidRPr="00A34F10">
        <w:rPr>
          <w:b/>
          <w:bCs/>
          <w:caps/>
          <w:color w:val="000000" w:themeColor="text1"/>
          <w:szCs w:val="24"/>
          <w:lang w:val="en-GB"/>
        </w:rPr>
        <w:t>III.</w:t>
      </w:r>
      <w:r w:rsidRPr="00A34F10">
        <w:rPr>
          <w:b/>
          <w:bCs/>
          <w:caps/>
          <w:color w:val="000000" w:themeColor="text1"/>
          <w:szCs w:val="24"/>
          <w:lang w:val="en-GB"/>
        </w:rPr>
        <w:tab/>
        <w:t>Conclusion</w:t>
      </w:r>
    </w:p>
    <w:p w14:paraId="6A841F8E" w14:textId="251EECE5" w:rsidR="00DC5685" w:rsidRDefault="00DC5685" w:rsidP="00DC5685">
      <w:pPr>
        <w:widowControl w:val="0"/>
        <w:jc w:val="both"/>
        <w:rPr>
          <w:color w:val="000000" w:themeColor="text1"/>
          <w:szCs w:val="24"/>
          <w:lang w:val="en-GB"/>
        </w:rPr>
      </w:pPr>
      <w:r w:rsidRPr="00A34F10">
        <w:rPr>
          <w:color w:val="000000" w:themeColor="text1"/>
          <w:szCs w:val="24"/>
          <w:lang w:val="en-GB"/>
        </w:rPr>
        <w:t xml:space="preserve">In a 56-day earthworm </w:t>
      </w:r>
      <w:r w:rsidRPr="00A34F10">
        <w:rPr>
          <w:i/>
          <w:iCs/>
          <w:color w:val="000000" w:themeColor="text1"/>
          <w:szCs w:val="24"/>
          <w:lang w:val="en-GB"/>
        </w:rPr>
        <w:t xml:space="preserve">Eisenia andrei </w:t>
      </w:r>
      <w:r w:rsidRPr="00A34F10">
        <w:rPr>
          <w:color w:val="000000" w:themeColor="text1"/>
          <w:szCs w:val="24"/>
          <w:lang w:val="en-GB"/>
        </w:rPr>
        <w:t>reproduction study with BAS 743 03 F, no adverse effects on survival and biomass development could be determined at all concentrations tested up to and including 1000 mg product/kg soil dw. The NOEC for mortality and biomass was determined to be ≥1000 mg product/kg soil dw. The NOEC for reproduction was determined to be 171 mg product/kg soil dw. The EC</w:t>
      </w:r>
      <w:r w:rsidRPr="00A34F10">
        <w:rPr>
          <w:color w:val="000000" w:themeColor="text1"/>
          <w:szCs w:val="24"/>
          <w:vertAlign w:val="subscript"/>
          <w:lang w:val="en-GB"/>
        </w:rPr>
        <w:t>10</w:t>
      </w:r>
      <w:r w:rsidRPr="00A34F10">
        <w:rPr>
          <w:color w:val="000000" w:themeColor="text1"/>
          <w:szCs w:val="24"/>
          <w:lang w:val="en-GB"/>
        </w:rPr>
        <w:t xml:space="preserve"> and EC</w:t>
      </w:r>
      <w:r w:rsidRPr="00A34F10">
        <w:rPr>
          <w:color w:val="000000" w:themeColor="text1"/>
          <w:szCs w:val="24"/>
          <w:vertAlign w:val="subscript"/>
          <w:lang w:val="en-GB"/>
        </w:rPr>
        <w:t>20</w:t>
      </w:r>
      <w:r w:rsidRPr="00A34F10">
        <w:rPr>
          <w:color w:val="000000" w:themeColor="text1"/>
          <w:szCs w:val="24"/>
          <w:lang w:val="en-GB"/>
        </w:rPr>
        <w:t xml:space="preserve"> values for reproduction were considered not reliable and the EC</w:t>
      </w:r>
      <w:r w:rsidRPr="00A34F10">
        <w:rPr>
          <w:color w:val="000000" w:themeColor="text1"/>
          <w:szCs w:val="24"/>
          <w:vertAlign w:val="subscript"/>
          <w:lang w:val="en-GB"/>
        </w:rPr>
        <w:t xml:space="preserve">50 </w:t>
      </w:r>
      <w:r w:rsidRPr="00A34F10">
        <w:rPr>
          <w:color w:val="000000" w:themeColor="text1"/>
          <w:szCs w:val="24"/>
          <w:lang w:val="en-GB"/>
        </w:rPr>
        <w:t>value could not be determined but it can be concluded that it is &gt; 1000 mg product/kg soil dw. All validity criteria for the study were met.</w:t>
      </w:r>
    </w:p>
    <w:p w14:paraId="02E3E649" w14:textId="77777777" w:rsidR="008D2927" w:rsidRDefault="008D2927">
      <w:pPr>
        <w:rPr>
          <w:b/>
          <w:bCs/>
          <w:color w:val="000000" w:themeColor="text1"/>
          <w:sz w:val="24"/>
        </w:rPr>
      </w:pPr>
      <w:r>
        <w:rPr>
          <w:color w:val="000000" w:themeColor="text1"/>
        </w:rPr>
        <w:br w:type="page"/>
      </w:r>
    </w:p>
    <w:p w14:paraId="6D19CE58" w14:textId="36840C98" w:rsidR="00C31BC1" w:rsidRPr="00517DE7" w:rsidRDefault="00C31BC1" w:rsidP="00C31BC1">
      <w:pPr>
        <w:pStyle w:val="RepAppendix5"/>
        <w:suppressAutoHyphens/>
        <w:outlineLvl w:val="2"/>
        <w:rPr>
          <w:color w:val="000000" w:themeColor="text1"/>
        </w:rPr>
      </w:pPr>
      <w:r w:rsidRPr="00517DE7">
        <w:rPr>
          <w:color w:val="000000" w:themeColor="text1"/>
        </w:rPr>
        <w:lastRenderedPageBreak/>
        <w:t xml:space="preserve">Study </w:t>
      </w:r>
      <w:r>
        <w:rPr>
          <w:color w:val="000000" w:themeColor="text1"/>
        </w:rPr>
        <w:t>3</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C31BC1" w:rsidRPr="00517DE7" w14:paraId="2244F3B0" w14:textId="77777777" w:rsidTr="008D2927">
        <w:trPr>
          <w:trHeight w:val="366"/>
        </w:trPr>
        <w:tc>
          <w:tcPr>
            <w:tcW w:w="1063" w:type="pct"/>
            <w:shd w:val="clear" w:color="auto" w:fill="D9D9D9" w:themeFill="background1" w:themeFillShade="D9"/>
          </w:tcPr>
          <w:p w14:paraId="3C5DB6C5" w14:textId="77777777" w:rsidR="00C31BC1" w:rsidRPr="00517DE7" w:rsidRDefault="00C31BC1" w:rsidP="00070B0B">
            <w:pPr>
              <w:pStyle w:val="RepStandard"/>
              <w:suppressAutoHyphens/>
              <w:rPr>
                <w:rFonts w:eastAsia="Batang"/>
                <w:color w:val="000000" w:themeColor="text1"/>
              </w:rPr>
            </w:pPr>
            <w:r w:rsidRPr="00517DE7">
              <w:rPr>
                <w:color w:val="000000" w:themeColor="text1"/>
              </w:rPr>
              <w:t>Comments of zRMS:</w:t>
            </w:r>
          </w:p>
        </w:tc>
        <w:tc>
          <w:tcPr>
            <w:tcW w:w="3937" w:type="pct"/>
            <w:shd w:val="clear" w:color="auto" w:fill="D9D9D9" w:themeFill="background1" w:themeFillShade="D9"/>
          </w:tcPr>
          <w:p w14:paraId="72397B88" w14:textId="2BE6C256" w:rsidR="00C31BC1" w:rsidRPr="00517DE7" w:rsidRDefault="00561588" w:rsidP="00070B0B">
            <w:pPr>
              <w:pStyle w:val="RepStandard"/>
              <w:suppressAutoHyphens/>
              <w:ind w:left="85"/>
              <w:rPr>
                <w:rFonts w:eastAsia="Batang"/>
                <w:color w:val="000000" w:themeColor="text1"/>
              </w:rPr>
            </w:pPr>
            <w:r>
              <w:rPr>
                <w:rFonts w:eastAsia="Batang"/>
                <w:color w:val="000000" w:themeColor="text1"/>
              </w:rPr>
              <w:t>Study not evaluated.</w:t>
            </w:r>
          </w:p>
        </w:tc>
      </w:tr>
    </w:tbl>
    <w:p w14:paraId="4A457457" w14:textId="77777777" w:rsidR="00C31BC1" w:rsidRDefault="00C31BC1" w:rsidP="00C31BC1">
      <w:pPr>
        <w:suppressAutoHyphens/>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C31BC1" w:rsidRPr="00590D1E" w14:paraId="6AAD35D3" w14:textId="77777777" w:rsidTr="00070B0B">
        <w:trPr>
          <w:trHeight w:val="227"/>
          <w:jc w:val="center"/>
        </w:trPr>
        <w:tc>
          <w:tcPr>
            <w:tcW w:w="1288" w:type="pct"/>
          </w:tcPr>
          <w:p w14:paraId="658CF96E" w14:textId="77777777" w:rsidR="00C31BC1" w:rsidRPr="006C137C" w:rsidRDefault="00C31BC1" w:rsidP="00070B0B">
            <w:pPr>
              <w:keepNext/>
              <w:keepLines/>
              <w:tabs>
                <w:tab w:val="left" w:pos="360"/>
                <w:tab w:val="left" w:pos="720"/>
              </w:tabs>
              <w:spacing w:after="120"/>
              <w:jc w:val="both"/>
              <w:rPr>
                <w:lang w:val="en-GB"/>
              </w:rPr>
            </w:pPr>
            <w:r w:rsidRPr="006C137C">
              <w:rPr>
                <w:lang w:val="en-GB"/>
              </w:rPr>
              <w:t xml:space="preserve">Data point: </w:t>
            </w:r>
          </w:p>
        </w:tc>
        <w:tc>
          <w:tcPr>
            <w:tcW w:w="3712" w:type="pct"/>
          </w:tcPr>
          <w:p w14:paraId="6C49EA44" w14:textId="77777777" w:rsidR="00C31BC1" w:rsidRPr="006C137C" w:rsidRDefault="00C31BC1" w:rsidP="00070B0B">
            <w:pPr>
              <w:keepNext/>
              <w:keepLines/>
              <w:tabs>
                <w:tab w:val="left" w:pos="360"/>
                <w:tab w:val="left" w:pos="720"/>
              </w:tabs>
              <w:spacing w:after="120"/>
              <w:jc w:val="both"/>
              <w:rPr>
                <w:lang w:val="en-GB"/>
              </w:rPr>
            </w:pPr>
            <w:r w:rsidRPr="006C137C">
              <w:rPr>
                <w:color w:val="000000" w:themeColor="text1"/>
                <w:lang w:val="en-GB"/>
              </w:rPr>
              <w:t>CP 10.4.1.1/03</w:t>
            </w:r>
          </w:p>
        </w:tc>
      </w:tr>
      <w:tr w:rsidR="00C31BC1" w:rsidRPr="00590D1E" w14:paraId="73974CBD" w14:textId="77777777" w:rsidTr="00070B0B">
        <w:trPr>
          <w:trHeight w:val="227"/>
          <w:jc w:val="center"/>
        </w:trPr>
        <w:tc>
          <w:tcPr>
            <w:tcW w:w="1288" w:type="pct"/>
          </w:tcPr>
          <w:p w14:paraId="11F6DB10" w14:textId="77777777" w:rsidR="00C31BC1" w:rsidRPr="0079688A" w:rsidRDefault="00C31BC1" w:rsidP="00070B0B">
            <w:pPr>
              <w:keepNext/>
              <w:keepLines/>
              <w:tabs>
                <w:tab w:val="left" w:pos="360"/>
                <w:tab w:val="left" w:pos="720"/>
              </w:tabs>
              <w:spacing w:after="120"/>
              <w:jc w:val="both"/>
              <w:rPr>
                <w:color w:val="000000" w:themeColor="text1"/>
                <w:lang w:val="en-GB"/>
              </w:rPr>
            </w:pPr>
            <w:r w:rsidRPr="0079688A">
              <w:rPr>
                <w:color w:val="000000" w:themeColor="text1"/>
                <w:lang w:val="en-GB"/>
              </w:rPr>
              <w:t xml:space="preserve">Report </w:t>
            </w:r>
          </w:p>
        </w:tc>
        <w:tc>
          <w:tcPr>
            <w:tcW w:w="3712" w:type="pct"/>
          </w:tcPr>
          <w:p w14:paraId="463EAE82" w14:textId="77777777" w:rsidR="00C31BC1" w:rsidRPr="0079688A" w:rsidRDefault="00C31BC1" w:rsidP="00070B0B">
            <w:pPr>
              <w:keepNext/>
              <w:tabs>
                <w:tab w:val="left" w:pos="360"/>
                <w:tab w:val="left" w:pos="720"/>
              </w:tabs>
              <w:spacing w:after="120"/>
              <w:jc w:val="both"/>
              <w:rPr>
                <w:lang w:val="en-GB"/>
              </w:rPr>
            </w:pPr>
            <w:r w:rsidRPr="0079688A">
              <w:t xml:space="preserve">Sublethal toxicity of BAS 650 00 F to the earthworm </w:t>
            </w:r>
            <w:r w:rsidRPr="0079688A">
              <w:rPr>
                <w:i/>
              </w:rPr>
              <w:t>Eisenia fetida</w:t>
            </w:r>
            <w:r w:rsidRPr="0079688A">
              <w:t xml:space="preserve"> in artificial soil with 5% peat</w:t>
            </w:r>
          </w:p>
          <w:p w14:paraId="6DB985D1" w14:textId="77777777" w:rsidR="00C31BC1" w:rsidRPr="00C31BC1" w:rsidRDefault="00C31BC1" w:rsidP="00070B0B">
            <w:pPr>
              <w:keepNext/>
              <w:tabs>
                <w:tab w:val="left" w:pos="360"/>
                <w:tab w:val="left" w:pos="720"/>
              </w:tabs>
              <w:spacing w:after="120"/>
              <w:jc w:val="both"/>
              <w:rPr>
                <w:color w:val="000000" w:themeColor="text1"/>
                <w:lang w:val="de-DE"/>
              </w:rPr>
            </w:pPr>
            <w:r w:rsidRPr="00C31BC1">
              <w:rPr>
                <w:lang w:val="de-DE"/>
              </w:rPr>
              <w:t>Friedrich, S., 2007</w:t>
            </w:r>
          </w:p>
          <w:p w14:paraId="014FA5E8" w14:textId="77777777" w:rsidR="00C31BC1" w:rsidRPr="00C31BC1" w:rsidRDefault="00C31BC1" w:rsidP="00070B0B">
            <w:pPr>
              <w:keepNext/>
              <w:tabs>
                <w:tab w:val="left" w:pos="360"/>
                <w:tab w:val="left" w:pos="720"/>
              </w:tabs>
              <w:spacing w:after="120"/>
              <w:jc w:val="both"/>
              <w:rPr>
                <w:color w:val="000000" w:themeColor="text1"/>
                <w:lang w:val="de-DE"/>
              </w:rPr>
            </w:pPr>
            <w:r w:rsidRPr="00C31BC1">
              <w:rPr>
                <w:color w:val="000000" w:themeColor="text1"/>
                <w:lang w:val="de-DE"/>
              </w:rPr>
              <w:t>Report No: EU-250291, EU-07 10 48 045 S, EU-66 39 22</w:t>
            </w:r>
          </w:p>
          <w:p w14:paraId="679C55DF" w14:textId="4C8A4533" w:rsidR="00C31BC1" w:rsidRPr="00383847" w:rsidRDefault="00D007AB" w:rsidP="00070B0B">
            <w:pPr>
              <w:keepNext/>
              <w:keepLines/>
              <w:tabs>
                <w:tab w:val="left" w:pos="360"/>
                <w:tab w:val="left" w:pos="720"/>
              </w:tabs>
              <w:spacing w:after="120"/>
              <w:jc w:val="both"/>
              <w:rPr>
                <w:color w:val="000000" w:themeColor="text1"/>
              </w:rPr>
            </w:pPr>
            <w:r>
              <w:rPr>
                <w:color w:val="000000" w:themeColor="text1"/>
              </w:rPr>
              <w:t>XXXX</w:t>
            </w:r>
            <w:r w:rsidR="00C31BC1" w:rsidRPr="0079688A">
              <w:rPr>
                <w:color w:val="000000" w:themeColor="text1"/>
              </w:rPr>
              <w:t xml:space="preserve"> Doc ID: </w:t>
            </w:r>
            <w:r w:rsidR="00A977C8" w:rsidRPr="00A977C8">
              <w:rPr>
                <w:color w:val="000000" w:themeColor="text1"/>
              </w:rPr>
              <w:t>2007/1037733</w:t>
            </w:r>
          </w:p>
        </w:tc>
      </w:tr>
      <w:tr w:rsidR="00C31BC1" w:rsidRPr="00590D1E" w14:paraId="3032EB1C" w14:textId="77777777" w:rsidTr="00070B0B">
        <w:trPr>
          <w:trHeight w:val="227"/>
          <w:jc w:val="center"/>
        </w:trPr>
        <w:tc>
          <w:tcPr>
            <w:tcW w:w="1288" w:type="pct"/>
          </w:tcPr>
          <w:p w14:paraId="0E67D637" w14:textId="77777777" w:rsidR="00C31BC1" w:rsidRPr="00590D1E" w:rsidRDefault="00C31BC1" w:rsidP="00070B0B">
            <w:pPr>
              <w:keepNext/>
              <w:keepLines/>
              <w:tabs>
                <w:tab w:val="left" w:pos="360"/>
                <w:tab w:val="left" w:pos="720"/>
              </w:tabs>
              <w:spacing w:after="120"/>
              <w:rPr>
                <w:color w:val="000000" w:themeColor="text1"/>
                <w:highlight w:val="yellow"/>
                <w:lang w:val="en-GB"/>
              </w:rPr>
            </w:pPr>
            <w:r w:rsidRPr="00590D1E">
              <w:rPr>
                <w:color w:val="000000" w:themeColor="text1"/>
                <w:lang w:val="en-GB"/>
              </w:rPr>
              <w:t>Guideline</w:t>
            </w:r>
            <w:r>
              <w:rPr>
                <w:color w:val="000000" w:themeColor="text1"/>
                <w:lang w:val="en-GB"/>
              </w:rPr>
              <w:t>(</w:t>
            </w:r>
            <w:r w:rsidRPr="00590D1E">
              <w:rPr>
                <w:color w:val="000000" w:themeColor="text1"/>
                <w:lang w:val="en-GB"/>
              </w:rPr>
              <w:t>s</w:t>
            </w:r>
            <w:r>
              <w:rPr>
                <w:color w:val="000000" w:themeColor="text1"/>
                <w:lang w:val="en-GB"/>
              </w:rPr>
              <w:t>)</w:t>
            </w:r>
            <w:r w:rsidRPr="00590D1E">
              <w:rPr>
                <w:color w:val="000000" w:themeColor="text1"/>
                <w:lang w:val="en-GB"/>
              </w:rPr>
              <w:t xml:space="preserve">: </w:t>
            </w:r>
          </w:p>
        </w:tc>
        <w:tc>
          <w:tcPr>
            <w:tcW w:w="3712" w:type="pct"/>
            <w:shd w:val="clear" w:color="auto" w:fill="auto"/>
          </w:tcPr>
          <w:p w14:paraId="4091B0A8" w14:textId="77777777" w:rsidR="00C31BC1" w:rsidRPr="00590D1E" w:rsidRDefault="00C31BC1" w:rsidP="00070B0B">
            <w:pPr>
              <w:keepNext/>
              <w:keepLines/>
              <w:tabs>
                <w:tab w:val="left" w:pos="360"/>
                <w:tab w:val="left" w:pos="720"/>
              </w:tabs>
              <w:spacing w:after="120"/>
              <w:jc w:val="both"/>
              <w:rPr>
                <w:color w:val="000000" w:themeColor="text1"/>
                <w:highlight w:val="yellow"/>
              </w:rPr>
            </w:pPr>
            <w:r w:rsidRPr="00590D1E">
              <w:rPr>
                <w:color w:val="000000" w:themeColor="text1"/>
                <w:lang w:val="en-GB"/>
              </w:rPr>
              <w:t>OECD 222</w:t>
            </w:r>
          </w:p>
        </w:tc>
      </w:tr>
      <w:tr w:rsidR="00C31BC1" w:rsidRPr="00590D1E" w14:paraId="000A1620" w14:textId="77777777" w:rsidTr="00070B0B">
        <w:trPr>
          <w:trHeight w:val="227"/>
          <w:jc w:val="center"/>
        </w:trPr>
        <w:tc>
          <w:tcPr>
            <w:tcW w:w="1288" w:type="pct"/>
          </w:tcPr>
          <w:p w14:paraId="2C724EFD" w14:textId="77777777" w:rsidR="00C31BC1" w:rsidRPr="00590D1E" w:rsidRDefault="00C31BC1" w:rsidP="00070B0B">
            <w:pPr>
              <w:keepNext/>
              <w:keepLines/>
              <w:tabs>
                <w:tab w:val="left" w:pos="360"/>
                <w:tab w:val="left" w:pos="720"/>
              </w:tabs>
              <w:spacing w:after="120"/>
              <w:jc w:val="both"/>
              <w:rPr>
                <w:color w:val="000000" w:themeColor="text1"/>
                <w:highlight w:val="yellow"/>
                <w:lang w:val="en-GB"/>
              </w:rPr>
            </w:pPr>
            <w:r w:rsidRPr="00590D1E">
              <w:rPr>
                <w:color w:val="000000" w:themeColor="text1"/>
                <w:lang w:val="en-GB"/>
              </w:rPr>
              <w:t xml:space="preserve">Deviations: </w:t>
            </w:r>
          </w:p>
        </w:tc>
        <w:tc>
          <w:tcPr>
            <w:tcW w:w="3712" w:type="pct"/>
            <w:shd w:val="clear" w:color="auto" w:fill="auto"/>
          </w:tcPr>
          <w:p w14:paraId="384D1421" w14:textId="77777777" w:rsidR="00C31BC1" w:rsidRPr="00590D1E" w:rsidRDefault="00C31BC1" w:rsidP="00070B0B">
            <w:pPr>
              <w:keepNext/>
              <w:keepLines/>
              <w:tabs>
                <w:tab w:val="left" w:pos="360"/>
                <w:tab w:val="left" w:pos="720"/>
              </w:tabs>
              <w:spacing w:after="120"/>
              <w:jc w:val="both"/>
              <w:rPr>
                <w:color w:val="000000" w:themeColor="text1"/>
                <w:highlight w:val="yellow"/>
                <w:lang w:val="en-GB"/>
              </w:rPr>
            </w:pPr>
            <w:r w:rsidRPr="00590D1E">
              <w:rPr>
                <w:color w:val="000000" w:themeColor="text1"/>
                <w:lang w:val="en-GB"/>
              </w:rPr>
              <w:t>No</w:t>
            </w:r>
          </w:p>
        </w:tc>
      </w:tr>
      <w:tr w:rsidR="00C31BC1" w:rsidRPr="00902592" w14:paraId="43838969" w14:textId="77777777" w:rsidTr="00070B0B">
        <w:trPr>
          <w:trHeight w:val="227"/>
          <w:jc w:val="center"/>
        </w:trPr>
        <w:tc>
          <w:tcPr>
            <w:tcW w:w="1288" w:type="pct"/>
          </w:tcPr>
          <w:p w14:paraId="1DFF7ED4" w14:textId="77777777" w:rsidR="00C31BC1" w:rsidRPr="00590D1E" w:rsidRDefault="00C31BC1" w:rsidP="00070B0B">
            <w:pPr>
              <w:keepNext/>
              <w:keepLines/>
              <w:tabs>
                <w:tab w:val="left" w:pos="360"/>
                <w:tab w:val="left" w:pos="720"/>
              </w:tabs>
              <w:spacing w:after="120"/>
              <w:rPr>
                <w:color w:val="000000" w:themeColor="text1"/>
                <w:lang w:val="en-GB"/>
              </w:rPr>
            </w:pPr>
            <w:r w:rsidRPr="00590D1E">
              <w:rPr>
                <w:color w:val="000000" w:themeColor="text1"/>
                <w:lang w:val="en-GB"/>
              </w:rPr>
              <w:t>GLP:</w:t>
            </w:r>
          </w:p>
        </w:tc>
        <w:tc>
          <w:tcPr>
            <w:tcW w:w="3712" w:type="pct"/>
          </w:tcPr>
          <w:p w14:paraId="6DB13D24" w14:textId="77777777" w:rsidR="00C31BC1" w:rsidRPr="00590D1E" w:rsidRDefault="00C31BC1" w:rsidP="00070B0B">
            <w:pPr>
              <w:keepNext/>
              <w:keepLines/>
              <w:tabs>
                <w:tab w:val="left" w:pos="360"/>
                <w:tab w:val="left" w:pos="720"/>
              </w:tabs>
              <w:spacing w:after="120"/>
              <w:jc w:val="both"/>
              <w:rPr>
                <w:color w:val="000000" w:themeColor="text1"/>
                <w:lang w:val="de-CH"/>
              </w:rPr>
            </w:pPr>
            <w:r w:rsidRPr="00590D1E">
              <w:rPr>
                <w:color w:val="000000" w:themeColor="text1"/>
                <w:lang w:val="de-CH"/>
              </w:rPr>
              <w:t>Yes, (certified by Saechsisches Staatsministerium fuer Umwelt und Landwirtschaft, Dresden, Germany)</w:t>
            </w:r>
          </w:p>
        </w:tc>
      </w:tr>
      <w:tr w:rsidR="00C31BC1" w:rsidRPr="00590D1E" w14:paraId="1A6BB99C" w14:textId="77777777" w:rsidTr="00070B0B">
        <w:trPr>
          <w:trHeight w:val="227"/>
          <w:jc w:val="center"/>
        </w:trPr>
        <w:tc>
          <w:tcPr>
            <w:tcW w:w="1288" w:type="pct"/>
          </w:tcPr>
          <w:p w14:paraId="283B5A63" w14:textId="77777777" w:rsidR="00C31BC1" w:rsidRPr="00590D1E" w:rsidRDefault="00C31BC1" w:rsidP="00070B0B">
            <w:pPr>
              <w:keepNext/>
              <w:keepLines/>
              <w:tabs>
                <w:tab w:val="left" w:pos="360"/>
                <w:tab w:val="left" w:pos="720"/>
              </w:tabs>
              <w:spacing w:after="120"/>
              <w:jc w:val="both"/>
              <w:rPr>
                <w:color w:val="000000" w:themeColor="text1"/>
                <w:lang w:val="en-GB"/>
              </w:rPr>
            </w:pPr>
            <w:r w:rsidRPr="00590D1E">
              <w:rPr>
                <w:color w:val="000000" w:themeColor="text1"/>
                <w:lang w:val="en-GB"/>
              </w:rPr>
              <w:t xml:space="preserve">Acceptability: </w:t>
            </w:r>
          </w:p>
        </w:tc>
        <w:tc>
          <w:tcPr>
            <w:tcW w:w="3712" w:type="pct"/>
          </w:tcPr>
          <w:p w14:paraId="08074842" w14:textId="77777777" w:rsidR="00C31BC1" w:rsidRPr="00590D1E" w:rsidRDefault="00C31BC1" w:rsidP="00070B0B">
            <w:pPr>
              <w:keepNext/>
              <w:keepLines/>
              <w:tabs>
                <w:tab w:val="left" w:pos="360"/>
                <w:tab w:val="left" w:pos="720"/>
              </w:tabs>
              <w:spacing w:after="120"/>
              <w:jc w:val="both"/>
              <w:rPr>
                <w:color w:val="000000" w:themeColor="text1"/>
                <w:lang w:val="en-GB"/>
              </w:rPr>
            </w:pPr>
            <w:r w:rsidRPr="00590D1E">
              <w:rPr>
                <w:color w:val="000000" w:themeColor="text1"/>
                <w:lang w:val="en-GB"/>
              </w:rPr>
              <w:t>Yes</w:t>
            </w:r>
          </w:p>
        </w:tc>
      </w:tr>
    </w:tbl>
    <w:p w14:paraId="31BC60E7" w14:textId="6A952E8C" w:rsidR="00C174BA" w:rsidRDefault="00C174BA" w:rsidP="00C31BC1">
      <w:pPr>
        <w:pStyle w:val="RepStandard"/>
        <w:rPr>
          <w:color w:val="000000" w:themeColor="text1"/>
          <w:szCs w:val="24"/>
          <w:lang w:val="en-GB"/>
        </w:rPr>
      </w:pPr>
    </w:p>
    <w:p w14:paraId="22DE3F7B" w14:textId="77777777" w:rsidR="00C31BC1" w:rsidRPr="00E11870" w:rsidRDefault="00C31BC1" w:rsidP="00C31BC1">
      <w:pPr>
        <w:rPr>
          <w:b/>
          <w:szCs w:val="32"/>
          <w:lang w:val="en-GB"/>
        </w:rPr>
      </w:pPr>
      <w:r w:rsidRPr="00E11870">
        <w:rPr>
          <w:b/>
          <w:szCs w:val="32"/>
          <w:lang w:val="en-GB"/>
        </w:rPr>
        <w:t>Executive Summary</w:t>
      </w:r>
    </w:p>
    <w:p w14:paraId="4336290D" w14:textId="77777777" w:rsidR="00C31BC1" w:rsidRPr="0032751D" w:rsidRDefault="00C31BC1" w:rsidP="00C31BC1">
      <w:pPr>
        <w:widowControl w:val="0"/>
        <w:suppressAutoHyphens/>
        <w:jc w:val="both"/>
        <w:rPr>
          <w:lang w:val="en-GB"/>
        </w:rPr>
      </w:pPr>
      <w:r w:rsidRPr="0032751D">
        <w:rPr>
          <w:lang w:val="en-GB"/>
        </w:rPr>
        <w:t xml:space="preserve">In a chronic toxicity study, adults of </w:t>
      </w:r>
      <w:r w:rsidRPr="0032751D">
        <w:rPr>
          <w:i/>
          <w:lang w:val="en-GB"/>
        </w:rPr>
        <w:t xml:space="preserve">Eisenia fetida </w:t>
      </w:r>
      <w:r w:rsidRPr="0032751D">
        <w:rPr>
          <w:lang w:val="en-GB"/>
        </w:rPr>
        <w:t>(Annelida: Oligochaeta) were exposed to BAS 650 00 F. The test item was incorporated into artificial soil at concentrations of 6.7, 13.4, 26.9, 53.7 and 107.4 mg BAS 650 00 F/kg dry soil. For the control treatment, the soil was left untreated. The artificial test soil had an organic content of 5% (peat). Assessment of adult earthworm mortality, body weight and feeding activity was carried out after 28 days and reproduction (number of juveniles) was assessed after 56 days.</w:t>
      </w:r>
    </w:p>
    <w:p w14:paraId="0FD1A99F" w14:textId="77777777" w:rsidR="00C31BC1" w:rsidRPr="0032751D" w:rsidRDefault="00C31BC1" w:rsidP="00C31BC1">
      <w:pPr>
        <w:widowControl w:val="0"/>
        <w:suppressAutoHyphens/>
        <w:jc w:val="both"/>
        <w:rPr>
          <w:lang w:val="en-GB"/>
        </w:rPr>
      </w:pPr>
    </w:p>
    <w:p w14:paraId="796500B1" w14:textId="77777777" w:rsidR="00C31BC1" w:rsidRPr="0032751D" w:rsidRDefault="00C31BC1" w:rsidP="00C31BC1">
      <w:pPr>
        <w:widowControl w:val="0"/>
        <w:suppressAutoHyphens/>
        <w:jc w:val="both"/>
        <w:rPr>
          <w:lang w:val="en-GB"/>
        </w:rPr>
      </w:pPr>
      <w:r w:rsidRPr="0032751D">
        <w:rPr>
          <w:lang w:val="en-GB"/>
        </w:rPr>
        <w:t xml:space="preserve">No mortality was observed in any of the treatment groups and the control.  No statistically significant effects on body weight change were observed at any of the test item rates. In the control, a mean number of 130.5 juveniles was counted. In the treatment groups, mean numbers of juveniles between 123.3 and 142.8 were counted. This is corresponding to reproduction rates relative to the control between 94.4% and 109.4%. These differences were not statistically significant compared to the control. No behavioral abnormalities were observed in any of the treatment groups. The feeding activity in all test item treated groups was comparable to the control. </w:t>
      </w:r>
    </w:p>
    <w:p w14:paraId="32D86E87" w14:textId="77777777" w:rsidR="00C31BC1" w:rsidRPr="0032751D" w:rsidRDefault="00C31BC1" w:rsidP="00C31BC1">
      <w:pPr>
        <w:widowControl w:val="0"/>
        <w:suppressAutoHyphens/>
        <w:jc w:val="both"/>
        <w:rPr>
          <w:lang w:val="en-GB"/>
        </w:rPr>
      </w:pPr>
    </w:p>
    <w:p w14:paraId="3414FDFF" w14:textId="77777777" w:rsidR="00C31BC1" w:rsidRPr="0032751D" w:rsidRDefault="00C31BC1" w:rsidP="00C31BC1">
      <w:pPr>
        <w:widowControl w:val="0"/>
        <w:suppressAutoHyphens/>
        <w:jc w:val="both"/>
        <w:rPr>
          <w:bCs/>
          <w:lang w:val="en-GB"/>
        </w:rPr>
      </w:pPr>
      <w:r w:rsidRPr="0032751D">
        <w:rPr>
          <w:bCs/>
          <w:lang w:val="en-GB"/>
        </w:rPr>
        <w:t>In a 56-day reproduction study with BAS 650 00 F</w:t>
      </w:r>
      <w:r w:rsidRPr="0032751D">
        <w:rPr>
          <w:bCs/>
          <w:i/>
          <w:lang w:val="en-GB"/>
        </w:rPr>
        <w:t xml:space="preserve"> </w:t>
      </w:r>
      <w:r w:rsidRPr="0032751D">
        <w:rPr>
          <w:bCs/>
          <w:iCs/>
          <w:lang w:val="en-GB"/>
        </w:rPr>
        <w:t>on earthworms (</w:t>
      </w:r>
      <w:r w:rsidRPr="0032751D">
        <w:rPr>
          <w:bCs/>
          <w:i/>
          <w:lang w:val="en-GB"/>
        </w:rPr>
        <w:t>Eisenia fetida</w:t>
      </w:r>
      <w:r w:rsidRPr="0032751D">
        <w:rPr>
          <w:bCs/>
          <w:iCs/>
          <w:lang w:val="en-GB"/>
        </w:rPr>
        <w:t>),</w:t>
      </w:r>
      <w:r w:rsidRPr="0032751D">
        <w:rPr>
          <w:bCs/>
          <w:lang w:val="en-GB"/>
        </w:rPr>
        <w:t xml:space="preserve"> the NOEC for mortality, biomass, reproduction and feeding activity was 107.4 mg BAS 650 00 F/kg dry soil.</w:t>
      </w:r>
    </w:p>
    <w:p w14:paraId="2460E805" w14:textId="77777777" w:rsidR="00C31BC1" w:rsidRPr="00E11870" w:rsidRDefault="00C31BC1" w:rsidP="00C31BC1">
      <w:pPr>
        <w:tabs>
          <w:tab w:val="left" w:pos="720"/>
        </w:tabs>
        <w:spacing w:after="240"/>
        <w:jc w:val="both"/>
        <w:rPr>
          <w:szCs w:val="24"/>
          <w:highlight w:val="yellow"/>
          <w:lang w:val="en-GB"/>
        </w:rPr>
      </w:pPr>
    </w:p>
    <w:p w14:paraId="34B1CD20" w14:textId="77777777" w:rsidR="00C31BC1" w:rsidRPr="00E11870" w:rsidRDefault="00C31BC1" w:rsidP="00C31BC1">
      <w:pPr>
        <w:tabs>
          <w:tab w:val="left" w:pos="720"/>
        </w:tabs>
        <w:spacing w:after="240"/>
        <w:ind w:left="720" w:hanging="431"/>
        <w:contextualSpacing/>
        <w:jc w:val="center"/>
        <w:rPr>
          <w:rFonts w:ascii="Times New Roman Bold" w:hAnsi="Times New Roman Bold"/>
          <w:b/>
          <w:bCs/>
          <w:caps/>
          <w:szCs w:val="24"/>
          <w:lang w:val="en-GB"/>
        </w:rPr>
      </w:pPr>
      <w:r w:rsidRPr="00E11870">
        <w:rPr>
          <w:rFonts w:ascii="Times New Roman Bold" w:hAnsi="Times New Roman Bold"/>
          <w:b/>
          <w:bCs/>
          <w:caps/>
          <w:szCs w:val="24"/>
          <w:lang w:val="en-GB"/>
        </w:rPr>
        <w:t>II.</w:t>
      </w:r>
      <w:r w:rsidRPr="00E11870">
        <w:rPr>
          <w:rFonts w:ascii="Times New Roman Bold" w:hAnsi="Times New Roman Bold"/>
          <w:b/>
          <w:bCs/>
          <w:caps/>
          <w:szCs w:val="24"/>
          <w:lang w:val="en-GB"/>
        </w:rPr>
        <w:tab/>
        <w:t>MATERIALS AND METHODS</w:t>
      </w:r>
    </w:p>
    <w:p w14:paraId="24171F24" w14:textId="77777777" w:rsidR="00C31BC1" w:rsidRPr="00E11870" w:rsidRDefault="00C31BC1" w:rsidP="00C31BC1">
      <w:pPr>
        <w:tabs>
          <w:tab w:val="left" w:pos="0"/>
        </w:tabs>
        <w:ind w:left="357" w:hanging="357"/>
        <w:contextualSpacing/>
        <w:rPr>
          <w:rFonts w:ascii="Times New Roman Bold" w:hAnsi="Times New Roman Bold"/>
          <w:b/>
          <w:bCs/>
          <w:caps/>
          <w:szCs w:val="24"/>
          <w:lang w:val="en-GB"/>
        </w:rPr>
      </w:pPr>
      <w:r w:rsidRPr="00E11870">
        <w:rPr>
          <w:rFonts w:ascii="Times New Roman Bold" w:hAnsi="Times New Roman Bold"/>
          <w:b/>
          <w:bCs/>
          <w:caps/>
          <w:szCs w:val="24"/>
          <w:lang w:val="en-GB"/>
        </w:rPr>
        <w:t>A.</w:t>
      </w:r>
      <w:r w:rsidRPr="00E11870">
        <w:rPr>
          <w:rFonts w:ascii="Times New Roman Bold" w:hAnsi="Times New Roman Bold"/>
          <w:b/>
          <w:bCs/>
          <w:caps/>
          <w:szCs w:val="24"/>
          <w:lang w:val="en-GB"/>
        </w:rPr>
        <w:tab/>
        <w:t>MATERIALS</w:t>
      </w:r>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C31BC1" w:rsidRPr="00E11870" w14:paraId="68319DBF" w14:textId="77777777" w:rsidTr="00070B0B">
        <w:trPr>
          <w:cantSplit/>
          <w:trHeight w:hRule="exact" w:val="340"/>
        </w:trPr>
        <w:tc>
          <w:tcPr>
            <w:tcW w:w="3828" w:type="dxa"/>
          </w:tcPr>
          <w:p w14:paraId="26126BBE" w14:textId="77777777" w:rsidR="00C31BC1" w:rsidRPr="00E11870" w:rsidRDefault="00C31BC1" w:rsidP="00E05ECD">
            <w:pPr>
              <w:numPr>
                <w:ilvl w:val="0"/>
                <w:numId w:val="125"/>
              </w:numPr>
              <w:tabs>
                <w:tab w:val="left" w:pos="255"/>
              </w:tabs>
              <w:spacing w:after="240"/>
              <w:contextualSpacing/>
              <w:rPr>
                <w:rFonts w:ascii="Times New Roman" w:hAnsi="Times New Roman"/>
                <w:b/>
                <w:bCs/>
                <w:szCs w:val="24"/>
                <w:lang w:val="en-GB"/>
              </w:rPr>
            </w:pPr>
            <w:r w:rsidRPr="00E11870">
              <w:rPr>
                <w:rFonts w:ascii="Times New Roman" w:hAnsi="Times New Roman"/>
                <w:b/>
                <w:bCs/>
                <w:szCs w:val="24"/>
                <w:lang w:val="en-GB"/>
              </w:rPr>
              <w:t>Test item:</w:t>
            </w:r>
          </w:p>
        </w:tc>
        <w:tc>
          <w:tcPr>
            <w:tcW w:w="5522" w:type="dxa"/>
          </w:tcPr>
          <w:p w14:paraId="2BBC0C53" w14:textId="77777777" w:rsidR="00C31BC1" w:rsidRPr="00E11870" w:rsidRDefault="00C31BC1" w:rsidP="00070B0B">
            <w:pPr>
              <w:tabs>
                <w:tab w:val="left" w:pos="720"/>
              </w:tabs>
              <w:spacing w:after="240"/>
              <w:jc w:val="both"/>
              <w:rPr>
                <w:rFonts w:ascii="Times New Roman" w:hAnsi="Times New Roman"/>
                <w:szCs w:val="24"/>
                <w:lang w:val="en-GB"/>
              </w:rPr>
            </w:pPr>
            <w:r w:rsidRPr="00E11870">
              <w:rPr>
                <w:rFonts w:ascii="Times New Roman" w:hAnsi="Times New Roman"/>
                <w:szCs w:val="24"/>
                <w:lang w:val="en-GB"/>
              </w:rPr>
              <w:t>BAS 650 00 F</w:t>
            </w:r>
          </w:p>
        </w:tc>
      </w:tr>
      <w:tr w:rsidR="00C31BC1" w:rsidRPr="00E11870" w14:paraId="76637341" w14:textId="77777777" w:rsidTr="00070B0B">
        <w:trPr>
          <w:cantSplit/>
          <w:trHeight w:hRule="exact" w:val="397"/>
        </w:trPr>
        <w:tc>
          <w:tcPr>
            <w:tcW w:w="3828" w:type="dxa"/>
          </w:tcPr>
          <w:p w14:paraId="527DA12C" w14:textId="77777777" w:rsidR="00C31BC1" w:rsidRPr="00E11870" w:rsidRDefault="00C31BC1" w:rsidP="00070B0B">
            <w:pPr>
              <w:tabs>
                <w:tab w:val="left" w:pos="624"/>
              </w:tabs>
              <w:spacing w:after="240"/>
              <w:ind w:left="624"/>
              <w:rPr>
                <w:rFonts w:ascii="Times New Roman" w:hAnsi="Times New Roman"/>
                <w:b/>
                <w:bCs/>
                <w:szCs w:val="24"/>
                <w:lang w:val="en-GB"/>
              </w:rPr>
            </w:pPr>
            <w:r w:rsidRPr="00E11870">
              <w:rPr>
                <w:rFonts w:ascii="Times New Roman" w:hAnsi="Times New Roman"/>
                <w:b/>
                <w:bCs/>
                <w:szCs w:val="24"/>
                <w:lang w:val="en-GB"/>
              </w:rPr>
              <w:t>Lot/Batch:</w:t>
            </w:r>
          </w:p>
        </w:tc>
        <w:tc>
          <w:tcPr>
            <w:tcW w:w="5522" w:type="dxa"/>
          </w:tcPr>
          <w:p w14:paraId="389CE755" w14:textId="77777777" w:rsidR="00C31BC1" w:rsidRPr="00E11870" w:rsidRDefault="00C31BC1" w:rsidP="00070B0B">
            <w:pPr>
              <w:tabs>
                <w:tab w:val="left" w:pos="720"/>
              </w:tabs>
              <w:spacing w:after="240"/>
              <w:jc w:val="both"/>
              <w:rPr>
                <w:rFonts w:ascii="Times New Roman" w:hAnsi="Times New Roman"/>
                <w:szCs w:val="24"/>
                <w:lang w:val="en-GB"/>
              </w:rPr>
            </w:pPr>
            <w:r w:rsidRPr="00E11870">
              <w:rPr>
                <w:rFonts w:ascii="Times New Roman" w:hAnsi="Times New Roman"/>
                <w:szCs w:val="24"/>
                <w:lang w:val="en-GB"/>
              </w:rPr>
              <w:t>41022</w:t>
            </w:r>
          </w:p>
        </w:tc>
      </w:tr>
      <w:tr w:rsidR="00C31BC1" w:rsidRPr="003B7355" w14:paraId="7198ECEE" w14:textId="77777777" w:rsidTr="00070B0B">
        <w:trPr>
          <w:cantSplit/>
          <w:trHeight w:hRule="exact" w:val="1247"/>
        </w:trPr>
        <w:tc>
          <w:tcPr>
            <w:tcW w:w="3828" w:type="dxa"/>
          </w:tcPr>
          <w:p w14:paraId="60497A79" w14:textId="77777777" w:rsidR="00C31BC1" w:rsidRPr="00E11870" w:rsidRDefault="00C31BC1" w:rsidP="00070B0B">
            <w:pPr>
              <w:tabs>
                <w:tab w:val="left" w:pos="624"/>
              </w:tabs>
              <w:spacing w:after="240"/>
              <w:ind w:left="624"/>
              <w:rPr>
                <w:rFonts w:ascii="Times New Roman" w:hAnsi="Times New Roman"/>
                <w:b/>
                <w:bCs/>
                <w:szCs w:val="24"/>
                <w:lang w:val="en-GB"/>
              </w:rPr>
            </w:pPr>
            <w:r w:rsidRPr="00E11870">
              <w:rPr>
                <w:rFonts w:ascii="Times New Roman" w:hAnsi="Times New Roman"/>
                <w:b/>
                <w:bCs/>
                <w:szCs w:val="24"/>
                <w:lang w:val="en-GB"/>
              </w:rPr>
              <w:t>Active substance content:</w:t>
            </w:r>
          </w:p>
        </w:tc>
        <w:tc>
          <w:tcPr>
            <w:tcW w:w="5522" w:type="dxa"/>
          </w:tcPr>
          <w:p w14:paraId="7DEC6984" w14:textId="77777777" w:rsidR="00C31BC1" w:rsidRPr="00E11870" w:rsidRDefault="00C31BC1" w:rsidP="00070B0B">
            <w:pPr>
              <w:tabs>
                <w:tab w:val="left" w:pos="720"/>
              </w:tabs>
              <w:spacing w:line="276" w:lineRule="auto"/>
              <w:jc w:val="both"/>
              <w:rPr>
                <w:rFonts w:ascii="Times New Roman" w:hAnsi="Times New Roman"/>
                <w:szCs w:val="24"/>
                <w:lang w:val="en-GB"/>
              </w:rPr>
            </w:pPr>
            <w:r w:rsidRPr="00E11870">
              <w:rPr>
                <w:rFonts w:ascii="Times New Roman" w:hAnsi="Times New Roman"/>
                <w:szCs w:val="24"/>
                <w:lang w:val="en-GB"/>
              </w:rPr>
              <w:t>Ametoctradin (BAS 650 F, Reg. No. 4 993 353), 204.4 g/L (nominal: 200.0 g/L)</w:t>
            </w:r>
          </w:p>
        </w:tc>
      </w:tr>
      <w:tr w:rsidR="00C31BC1" w:rsidRPr="00E11870" w14:paraId="55870CA5" w14:textId="77777777" w:rsidTr="00070B0B">
        <w:trPr>
          <w:cantSplit/>
          <w:trHeight w:hRule="exact" w:val="340"/>
        </w:trPr>
        <w:tc>
          <w:tcPr>
            <w:tcW w:w="3828" w:type="dxa"/>
          </w:tcPr>
          <w:p w14:paraId="12C64998" w14:textId="77777777" w:rsidR="00C31BC1" w:rsidRPr="00E11870" w:rsidRDefault="00C31BC1" w:rsidP="00070B0B">
            <w:pPr>
              <w:tabs>
                <w:tab w:val="left" w:pos="624"/>
              </w:tabs>
              <w:spacing w:after="240"/>
              <w:ind w:left="624"/>
              <w:rPr>
                <w:rFonts w:ascii="Times New Roman" w:hAnsi="Times New Roman"/>
                <w:b/>
                <w:bCs/>
                <w:szCs w:val="24"/>
                <w:lang w:val="en-GB"/>
              </w:rPr>
            </w:pPr>
            <w:r w:rsidRPr="00E11870">
              <w:rPr>
                <w:rFonts w:ascii="Times New Roman" w:hAnsi="Times New Roman"/>
                <w:b/>
                <w:bCs/>
                <w:szCs w:val="24"/>
                <w:lang w:val="en-GB"/>
              </w:rPr>
              <w:t>Density:</w:t>
            </w:r>
          </w:p>
        </w:tc>
        <w:tc>
          <w:tcPr>
            <w:tcW w:w="5522" w:type="dxa"/>
          </w:tcPr>
          <w:p w14:paraId="5C020BAE" w14:textId="77777777" w:rsidR="00C31BC1" w:rsidRPr="00E11870" w:rsidRDefault="00C31BC1" w:rsidP="00070B0B">
            <w:pPr>
              <w:tabs>
                <w:tab w:val="left" w:pos="720"/>
              </w:tabs>
              <w:jc w:val="both"/>
              <w:rPr>
                <w:rFonts w:ascii="Times New Roman" w:hAnsi="Times New Roman"/>
                <w:szCs w:val="24"/>
                <w:lang w:val="en-GB"/>
              </w:rPr>
            </w:pPr>
            <w:r w:rsidRPr="00E11870">
              <w:rPr>
                <w:rFonts w:ascii="Times New Roman" w:hAnsi="Times New Roman"/>
                <w:szCs w:val="24"/>
                <w:lang w:val="en-GB"/>
              </w:rPr>
              <w:t>1.049 g/cm</w:t>
            </w:r>
            <w:r w:rsidRPr="00E11870">
              <w:rPr>
                <w:rFonts w:ascii="Times New Roman" w:hAnsi="Times New Roman"/>
                <w:szCs w:val="24"/>
                <w:vertAlign w:val="superscript"/>
                <w:lang w:val="en-GB"/>
              </w:rPr>
              <w:t>3</w:t>
            </w:r>
          </w:p>
        </w:tc>
      </w:tr>
      <w:tr w:rsidR="00C31BC1" w:rsidRPr="00E11870" w14:paraId="2F9D480F" w14:textId="77777777" w:rsidTr="00070B0B">
        <w:trPr>
          <w:cantSplit/>
          <w:trHeight w:hRule="exact" w:val="340"/>
        </w:trPr>
        <w:tc>
          <w:tcPr>
            <w:tcW w:w="3828" w:type="dxa"/>
          </w:tcPr>
          <w:p w14:paraId="38FCE823" w14:textId="77777777" w:rsidR="00C31BC1" w:rsidRPr="00E11870" w:rsidRDefault="00C31BC1" w:rsidP="00E05ECD">
            <w:pPr>
              <w:numPr>
                <w:ilvl w:val="0"/>
                <w:numId w:val="125"/>
              </w:numPr>
              <w:tabs>
                <w:tab w:val="left" w:pos="255"/>
              </w:tabs>
              <w:spacing w:after="240"/>
              <w:contextualSpacing/>
              <w:rPr>
                <w:rFonts w:ascii="Times New Roman" w:hAnsi="Times New Roman"/>
                <w:b/>
                <w:bCs/>
                <w:szCs w:val="24"/>
                <w:lang w:val="en-GB"/>
              </w:rPr>
            </w:pPr>
            <w:r w:rsidRPr="00E11870">
              <w:rPr>
                <w:rFonts w:ascii="Times New Roman" w:hAnsi="Times New Roman"/>
                <w:b/>
                <w:bCs/>
                <w:szCs w:val="24"/>
                <w:lang w:val="en-GB"/>
              </w:rPr>
              <w:t>Control:</w:t>
            </w:r>
          </w:p>
        </w:tc>
        <w:tc>
          <w:tcPr>
            <w:tcW w:w="5522" w:type="dxa"/>
          </w:tcPr>
          <w:p w14:paraId="59626A85" w14:textId="77777777" w:rsidR="00C31BC1" w:rsidRPr="00E11870" w:rsidRDefault="00C31BC1" w:rsidP="00070B0B">
            <w:pPr>
              <w:tabs>
                <w:tab w:val="left" w:pos="720"/>
              </w:tabs>
              <w:spacing w:after="240"/>
              <w:rPr>
                <w:rFonts w:ascii="Times New Roman" w:hAnsi="Times New Roman"/>
                <w:szCs w:val="24"/>
                <w:lang w:val="en-GB"/>
              </w:rPr>
            </w:pPr>
            <w:r w:rsidRPr="00E11870">
              <w:rPr>
                <w:rFonts w:ascii="Times New Roman" w:hAnsi="Times New Roman"/>
                <w:szCs w:val="24"/>
                <w:lang w:val="en-GB"/>
              </w:rPr>
              <w:t>Untreated substrate</w:t>
            </w:r>
          </w:p>
        </w:tc>
      </w:tr>
      <w:tr w:rsidR="00C31BC1" w:rsidRPr="003B7355" w14:paraId="48CE28B4" w14:textId="77777777" w:rsidTr="00070B0B">
        <w:trPr>
          <w:cantSplit/>
          <w:trHeight w:hRule="exact" w:val="624"/>
        </w:trPr>
        <w:tc>
          <w:tcPr>
            <w:tcW w:w="3828" w:type="dxa"/>
          </w:tcPr>
          <w:p w14:paraId="3FE235D3" w14:textId="77777777" w:rsidR="00C31BC1" w:rsidRPr="00E11870" w:rsidRDefault="00C31BC1" w:rsidP="00E05ECD">
            <w:pPr>
              <w:numPr>
                <w:ilvl w:val="0"/>
                <w:numId w:val="125"/>
              </w:numPr>
              <w:tabs>
                <w:tab w:val="left" w:pos="255"/>
              </w:tabs>
              <w:spacing w:after="240"/>
              <w:contextualSpacing/>
              <w:rPr>
                <w:rFonts w:ascii="Times New Roman" w:hAnsi="Times New Roman"/>
                <w:b/>
                <w:bCs/>
                <w:szCs w:val="24"/>
                <w:lang w:val="en-GB"/>
              </w:rPr>
            </w:pPr>
            <w:r w:rsidRPr="00E11870">
              <w:rPr>
                <w:rFonts w:ascii="Times New Roman" w:hAnsi="Times New Roman"/>
                <w:b/>
                <w:bCs/>
                <w:szCs w:val="24"/>
                <w:lang w:val="en-GB"/>
              </w:rPr>
              <w:t>Reference item:</w:t>
            </w:r>
          </w:p>
        </w:tc>
        <w:tc>
          <w:tcPr>
            <w:tcW w:w="5522" w:type="dxa"/>
          </w:tcPr>
          <w:p w14:paraId="6437B957" w14:textId="77777777" w:rsidR="00C31BC1" w:rsidRPr="00E11870" w:rsidRDefault="00C31BC1" w:rsidP="00070B0B">
            <w:pPr>
              <w:tabs>
                <w:tab w:val="left" w:pos="720"/>
              </w:tabs>
              <w:spacing w:after="240"/>
              <w:jc w:val="both"/>
              <w:rPr>
                <w:rFonts w:ascii="Times New Roman" w:hAnsi="Times New Roman"/>
                <w:szCs w:val="24"/>
                <w:lang w:val="en-GB"/>
              </w:rPr>
            </w:pPr>
            <w:r w:rsidRPr="00E11870">
              <w:rPr>
                <w:rFonts w:ascii="Times New Roman" w:hAnsi="Times New Roman"/>
                <w:szCs w:val="24"/>
                <w:lang w:val="en-GB"/>
              </w:rPr>
              <w:t>Benlate® (benomyl, 500g/kg nominal). The effects of the toxic standard were investigated in a separate study.</w:t>
            </w:r>
          </w:p>
        </w:tc>
      </w:tr>
    </w:tbl>
    <w:p w14:paraId="27FC6306" w14:textId="77777777" w:rsidR="00C31BC1" w:rsidRPr="00E11870" w:rsidRDefault="00C31BC1" w:rsidP="00C31BC1">
      <w:pPr>
        <w:tabs>
          <w:tab w:val="left" w:pos="0"/>
        </w:tabs>
        <w:spacing w:after="240"/>
        <w:ind w:left="357" w:hanging="357"/>
        <w:contextualSpacing/>
        <w:rPr>
          <w:b/>
          <w:bCs/>
          <w:caps/>
          <w:szCs w:val="24"/>
          <w:highlight w:val="yellow"/>
          <w:lang w:val="en-GB"/>
        </w:rPr>
      </w:pPr>
    </w:p>
    <w:p w14:paraId="186FAAA9" w14:textId="77777777" w:rsidR="00C31BC1" w:rsidRPr="00DF671A" w:rsidRDefault="00C31BC1" w:rsidP="00C31BC1">
      <w:pPr>
        <w:tabs>
          <w:tab w:val="left" w:pos="0"/>
        </w:tabs>
        <w:spacing w:after="240"/>
        <w:ind w:left="357" w:hanging="357"/>
        <w:contextualSpacing/>
        <w:rPr>
          <w:b/>
          <w:bCs/>
          <w:caps/>
          <w:szCs w:val="24"/>
          <w:lang w:val="en-GB"/>
        </w:rPr>
      </w:pPr>
      <w:r w:rsidRPr="00DF671A">
        <w:rPr>
          <w:b/>
          <w:bCs/>
          <w:caps/>
          <w:szCs w:val="24"/>
          <w:lang w:val="en-GB"/>
        </w:rPr>
        <w:lastRenderedPageBreak/>
        <w:t>B.</w:t>
      </w:r>
      <w:r w:rsidRPr="00DF671A">
        <w:rPr>
          <w:b/>
          <w:bCs/>
          <w:caps/>
          <w:szCs w:val="24"/>
          <w:lang w:val="en-GB"/>
        </w:rPr>
        <w:tab/>
        <w:t>study design and methods</w:t>
      </w:r>
    </w:p>
    <w:tbl>
      <w:tblPr>
        <w:tblStyle w:val="TableGrid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2"/>
      </w:tblGrid>
      <w:tr w:rsidR="00C31BC1" w:rsidRPr="00DF671A" w14:paraId="0C47053F" w14:textId="77777777" w:rsidTr="00070B0B">
        <w:trPr>
          <w:trHeight w:hRule="exact" w:val="340"/>
        </w:trPr>
        <w:tc>
          <w:tcPr>
            <w:tcW w:w="3828" w:type="dxa"/>
          </w:tcPr>
          <w:p w14:paraId="0EF2C1D5" w14:textId="77777777" w:rsidR="00C31BC1" w:rsidRPr="00DF671A" w:rsidRDefault="00C31BC1" w:rsidP="00E05ECD">
            <w:pPr>
              <w:numPr>
                <w:ilvl w:val="0"/>
                <w:numId w:val="125"/>
              </w:numPr>
              <w:tabs>
                <w:tab w:val="left" w:pos="255"/>
                <w:tab w:val="left" w:pos="720"/>
              </w:tabs>
              <w:spacing w:after="240"/>
              <w:contextualSpacing/>
              <w:jc w:val="both"/>
              <w:rPr>
                <w:rFonts w:ascii="Times New Roman" w:hAnsi="Times New Roman"/>
                <w:b/>
                <w:bCs/>
                <w:szCs w:val="24"/>
                <w:lang w:val="en-GB"/>
              </w:rPr>
            </w:pPr>
            <w:r w:rsidRPr="00DF671A">
              <w:rPr>
                <w:rFonts w:ascii="Times New Roman" w:hAnsi="Times New Roman"/>
                <w:b/>
                <w:bCs/>
                <w:szCs w:val="24"/>
                <w:lang w:val="en-GB"/>
              </w:rPr>
              <w:t>Test organism:</w:t>
            </w:r>
          </w:p>
        </w:tc>
        <w:tc>
          <w:tcPr>
            <w:tcW w:w="5522" w:type="dxa"/>
          </w:tcPr>
          <w:p w14:paraId="1202B0D8"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Earthworm (</w:t>
            </w:r>
            <w:r w:rsidRPr="00DF671A">
              <w:rPr>
                <w:rFonts w:ascii="Times New Roman" w:hAnsi="Times New Roman"/>
                <w:i/>
                <w:iCs/>
                <w:szCs w:val="24"/>
                <w:lang w:val="en-GB"/>
              </w:rPr>
              <w:t>Eisenia fetida</w:t>
            </w:r>
            <w:r w:rsidRPr="00DF671A">
              <w:rPr>
                <w:rFonts w:ascii="Times New Roman" w:hAnsi="Times New Roman"/>
                <w:szCs w:val="24"/>
                <w:lang w:val="en-GB"/>
              </w:rPr>
              <w:t>)</w:t>
            </w:r>
          </w:p>
        </w:tc>
      </w:tr>
      <w:tr w:rsidR="00C31BC1" w:rsidRPr="00DF671A" w14:paraId="10A91E40" w14:textId="77777777" w:rsidTr="00070B0B">
        <w:trPr>
          <w:trHeight w:hRule="exact" w:val="340"/>
        </w:trPr>
        <w:tc>
          <w:tcPr>
            <w:tcW w:w="3828" w:type="dxa"/>
          </w:tcPr>
          <w:p w14:paraId="1BA0ECE6"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 xml:space="preserve">Age/life stage: </w:t>
            </w:r>
          </w:p>
        </w:tc>
        <w:tc>
          <w:tcPr>
            <w:tcW w:w="5522" w:type="dxa"/>
          </w:tcPr>
          <w:p w14:paraId="07ACF113"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Adults approx. 3 months old</w:t>
            </w:r>
          </w:p>
        </w:tc>
      </w:tr>
      <w:tr w:rsidR="00C31BC1" w:rsidRPr="00DF671A" w14:paraId="12A1DFAD" w14:textId="77777777" w:rsidTr="00070B0B">
        <w:trPr>
          <w:trHeight w:hRule="exact" w:val="340"/>
        </w:trPr>
        <w:tc>
          <w:tcPr>
            <w:tcW w:w="3828" w:type="dxa"/>
          </w:tcPr>
          <w:p w14:paraId="42FA4781"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Body weight:</w:t>
            </w:r>
          </w:p>
        </w:tc>
        <w:tc>
          <w:tcPr>
            <w:tcW w:w="5522" w:type="dxa"/>
          </w:tcPr>
          <w:p w14:paraId="1695F9EE"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260 – 449 mg</w:t>
            </w:r>
          </w:p>
        </w:tc>
      </w:tr>
      <w:tr w:rsidR="00C31BC1" w:rsidRPr="003B7355" w14:paraId="6C9F1CC1" w14:textId="77777777" w:rsidTr="00070B0B">
        <w:trPr>
          <w:trHeight w:hRule="exact" w:val="567"/>
        </w:trPr>
        <w:tc>
          <w:tcPr>
            <w:tcW w:w="3828" w:type="dxa"/>
          </w:tcPr>
          <w:p w14:paraId="670EBCDF"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Source:</w:t>
            </w:r>
          </w:p>
        </w:tc>
        <w:tc>
          <w:tcPr>
            <w:tcW w:w="5522" w:type="dxa"/>
          </w:tcPr>
          <w:p w14:paraId="3B70ACBA"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In-house culture, originally obtained from W. Neudorff GmbH KG</w:t>
            </w:r>
          </w:p>
        </w:tc>
      </w:tr>
      <w:tr w:rsidR="00C31BC1" w:rsidRPr="00DF671A" w14:paraId="0B7E1BD1" w14:textId="77777777" w:rsidTr="00070B0B">
        <w:trPr>
          <w:trHeight w:hRule="exact" w:val="340"/>
        </w:trPr>
        <w:tc>
          <w:tcPr>
            <w:tcW w:w="3828" w:type="dxa"/>
          </w:tcPr>
          <w:p w14:paraId="2F1F195E" w14:textId="77777777" w:rsidR="00C31BC1" w:rsidRPr="00DF671A" w:rsidRDefault="00C31BC1" w:rsidP="00E05ECD">
            <w:pPr>
              <w:numPr>
                <w:ilvl w:val="0"/>
                <w:numId w:val="125"/>
              </w:numPr>
              <w:tabs>
                <w:tab w:val="left" w:pos="255"/>
                <w:tab w:val="left" w:pos="720"/>
              </w:tabs>
              <w:spacing w:after="240"/>
              <w:contextualSpacing/>
              <w:jc w:val="both"/>
              <w:rPr>
                <w:rFonts w:ascii="Times New Roman" w:hAnsi="Times New Roman"/>
                <w:b/>
                <w:bCs/>
                <w:szCs w:val="24"/>
                <w:lang w:val="en-GB"/>
              </w:rPr>
            </w:pPr>
            <w:r w:rsidRPr="00DF671A">
              <w:rPr>
                <w:rFonts w:ascii="Times New Roman" w:hAnsi="Times New Roman"/>
                <w:b/>
                <w:bCs/>
                <w:szCs w:val="24"/>
                <w:lang w:val="en-GB"/>
              </w:rPr>
              <w:t>Environmental conditions</w:t>
            </w:r>
          </w:p>
        </w:tc>
        <w:tc>
          <w:tcPr>
            <w:tcW w:w="5522" w:type="dxa"/>
          </w:tcPr>
          <w:p w14:paraId="571CEB5C" w14:textId="77777777" w:rsidR="00C31BC1" w:rsidRPr="00DF671A" w:rsidRDefault="00C31BC1" w:rsidP="00070B0B">
            <w:pPr>
              <w:tabs>
                <w:tab w:val="left" w:pos="720"/>
              </w:tabs>
              <w:spacing w:after="240"/>
              <w:jc w:val="both"/>
              <w:rPr>
                <w:rFonts w:ascii="Times New Roman" w:hAnsi="Times New Roman"/>
                <w:szCs w:val="24"/>
                <w:lang w:val="en-GB"/>
              </w:rPr>
            </w:pPr>
          </w:p>
        </w:tc>
      </w:tr>
      <w:tr w:rsidR="00C31BC1" w:rsidRPr="003B7355" w14:paraId="67477433" w14:textId="77777777" w:rsidTr="00070B0B">
        <w:trPr>
          <w:trHeight w:hRule="exact" w:val="365"/>
        </w:trPr>
        <w:tc>
          <w:tcPr>
            <w:tcW w:w="3828" w:type="dxa"/>
          </w:tcPr>
          <w:p w14:paraId="7FFDC9E8"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Test substrate:</w:t>
            </w:r>
          </w:p>
        </w:tc>
        <w:tc>
          <w:tcPr>
            <w:tcW w:w="5522" w:type="dxa"/>
          </w:tcPr>
          <w:p w14:paraId="4637D732"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Artificial soil according to OECD 222: 5% sphagnum peat</w:t>
            </w:r>
          </w:p>
        </w:tc>
      </w:tr>
      <w:tr w:rsidR="00C31BC1" w:rsidRPr="00DF671A" w14:paraId="370345DD" w14:textId="77777777" w:rsidTr="00070B0B">
        <w:trPr>
          <w:trHeight w:hRule="exact" w:val="340"/>
        </w:trPr>
        <w:tc>
          <w:tcPr>
            <w:tcW w:w="3828" w:type="dxa"/>
          </w:tcPr>
          <w:p w14:paraId="3B41BCF7"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Temperature:</w:t>
            </w:r>
          </w:p>
        </w:tc>
        <w:tc>
          <w:tcPr>
            <w:tcW w:w="5522" w:type="dxa"/>
          </w:tcPr>
          <w:p w14:paraId="63FB33E8"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18 – 21°C</w:t>
            </w:r>
          </w:p>
        </w:tc>
      </w:tr>
      <w:tr w:rsidR="00C31BC1" w:rsidRPr="003B7355" w14:paraId="39C4BA42" w14:textId="77777777" w:rsidTr="00070B0B">
        <w:trPr>
          <w:trHeight w:hRule="exact" w:val="624"/>
        </w:trPr>
        <w:tc>
          <w:tcPr>
            <w:tcW w:w="3828" w:type="dxa"/>
          </w:tcPr>
          <w:p w14:paraId="139C0F6C"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pH:</w:t>
            </w:r>
          </w:p>
        </w:tc>
        <w:tc>
          <w:tcPr>
            <w:tcW w:w="5522" w:type="dxa"/>
          </w:tcPr>
          <w:p w14:paraId="6508576E" w14:textId="77777777" w:rsidR="00C31BC1" w:rsidRPr="00DF671A" w:rsidRDefault="00C31BC1" w:rsidP="00070B0B">
            <w:pPr>
              <w:tabs>
                <w:tab w:val="left" w:pos="720"/>
              </w:tabs>
              <w:rPr>
                <w:rFonts w:ascii="Times New Roman" w:hAnsi="Times New Roman"/>
                <w:szCs w:val="24"/>
                <w:lang w:val="en-GB"/>
              </w:rPr>
            </w:pPr>
            <w:r w:rsidRPr="00DF671A">
              <w:rPr>
                <w:rFonts w:ascii="Times New Roman" w:hAnsi="Times New Roman"/>
                <w:szCs w:val="24"/>
                <w:lang w:val="en-GB"/>
              </w:rPr>
              <w:t xml:space="preserve">6.3 – 6.4 at test initiation, </w:t>
            </w:r>
          </w:p>
          <w:p w14:paraId="0C0F15D1" w14:textId="77777777" w:rsidR="00C31BC1" w:rsidRPr="00DF671A" w:rsidRDefault="00C31BC1" w:rsidP="00070B0B">
            <w:pPr>
              <w:tabs>
                <w:tab w:val="left" w:pos="720"/>
              </w:tabs>
              <w:rPr>
                <w:rFonts w:ascii="Times New Roman" w:hAnsi="Times New Roman"/>
                <w:szCs w:val="24"/>
                <w:lang w:val="en-GB"/>
              </w:rPr>
            </w:pPr>
            <w:r w:rsidRPr="00DF671A">
              <w:rPr>
                <w:rFonts w:ascii="Times New Roman" w:hAnsi="Times New Roman"/>
                <w:szCs w:val="24"/>
                <w:lang w:val="en-GB"/>
              </w:rPr>
              <w:t>6.2 – 6.3 at test termination</w:t>
            </w:r>
          </w:p>
        </w:tc>
      </w:tr>
      <w:tr w:rsidR="00C31BC1" w:rsidRPr="003B7355" w14:paraId="7DE8F957" w14:textId="77777777" w:rsidTr="00070B0B">
        <w:trPr>
          <w:trHeight w:hRule="exact" w:val="780"/>
        </w:trPr>
        <w:tc>
          <w:tcPr>
            <w:tcW w:w="3828" w:type="dxa"/>
          </w:tcPr>
          <w:p w14:paraId="4B2A4CD1"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Water content:</w:t>
            </w:r>
          </w:p>
        </w:tc>
        <w:tc>
          <w:tcPr>
            <w:tcW w:w="5522" w:type="dxa"/>
          </w:tcPr>
          <w:p w14:paraId="30D1DBC6" w14:textId="77777777" w:rsidR="00C31BC1" w:rsidRPr="00DF671A" w:rsidRDefault="00C31BC1" w:rsidP="00070B0B">
            <w:pPr>
              <w:tabs>
                <w:tab w:val="left" w:pos="720"/>
              </w:tabs>
              <w:spacing w:after="240"/>
              <w:rPr>
                <w:rFonts w:ascii="Times New Roman" w:hAnsi="Times New Roman"/>
                <w:szCs w:val="24"/>
                <w:lang w:val="en-GB"/>
              </w:rPr>
            </w:pPr>
            <w:r w:rsidRPr="00DF671A">
              <w:rPr>
                <w:rFonts w:ascii="Times New Roman" w:hAnsi="Times New Roman"/>
                <w:szCs w:val="24"/>
                <w:lang w:val="en-GB"/>
              </w:rPr>
              <w:t>58.3% - 59.0% of the maximum water holding capacity (WHC) at test initiation and 56.9% - 58.0% of WHC at test termination</w:t>
            </w:r>
          </w:p>
        </w:tc>
      </w:tr>
      <w:tr w:rsidR="00C31BC1" w:rsidRPr="003B7355" w14:paraId="0738E150" w14:textId="77777777" w:rsidTr="00070B0B">
        <w:trPr>
          <w:trHeight w:hRule="exact" w:val="454"/>
        </w:trPr>
        <w:tc>
          <w:tcPr>
            <w:tcW w:w="3828" w:type="dxa"/>
          </w:tcPr>
          <w:p w14:paraId="6DB28A92" w14:textId="77777777" w:rsidR="00C31BC1" w:rsidRPr="00DF671A" w:rsidRDefault="00C31BC1" w:rsidP="00070B0B">
            <w:pPr>
              <w:tabs>
                <w:tab w:val="left" w:pos="624"/>
              </w:tabs>
              <w:spacing w:after="240"/>
              <w:ind w:left="624"/>
              <w:rPr>
                <w:rFonts w:ascii="Times New Roman" w:hAnsi="Times New Roman"/>
                <w:b/>
                <w:bCs/>
                <w:szCs w:val="24"/>
                <w:lang w:val="en-GB"/>
              </w:rPr>
            </w:pPr>
            <w:r w:rsidRPr="00DF671A">
              <w:rPr>
                <w:rFonts w:ascii="Times New Roman" w:hAnsi="Times New Roman"/>
                <w:b/>
                <w:bCs/>
                <w:szCs w:val="24"/>
                <w:lang w:val="en-GB"/>
              </w:rPr>
              <w:t>Photoperiod:</w:t>
            </w:r>
          </w:p>
        </w:tc>
        <w:tc>
          <w:tcPr>
            <w:tcW w:w="5522" w:type="dxa"/>
          </w:tcPr>
          <w:p w14:paraId="757AE890" w14:textId="77777777" w:rsidR="00C31BC1" w:rsidRPr="00DF671A" w:rsidRDefault="00C31BC1" w:rsidP="00070B0B">
            <w:pPr>
              <w:tabs>
                <w:tab w:val="left" w:pos="720"/>
              </w:tabs>
              <w:spacing w:after="240"/>
              <w:jc w:val="both"/>
              <w:rPr>
                <w:rFonts w:ascii="Times New Roman" w:hAnsi="Times New Roman"/>
                <w:szCs w:val="24"/>
                <w:lang w:val="en-GB"/>
              </w:rPr>
            </w:pPr>
            <w:r w:rsidRPr="00DF671A">
              <w:rPr>
                <w:rFonts w:ascii="Times New Roman" w:hAnsi="Times New Roman"/>
                <w:szCs w:val="24"/>
                <w:lang w:val="en-GB"/>
              </w:rPr>
              <w:t>16 h light : 8 h dark (580 lux)</w:t>
            </w:r>
          </w:p>
        </w:tc>
      </w:tr>
    </w:tbl>
    <w:p w14:paraId="243D10A0" w14:textId="77777777" w:rsidR="00C31BC1" w:rsidRPr="00E11870" w:rsidRDefault="00C31BC1" w:rsidP="00C31BC1">
      <w:pPr>
        <w:numPr>
          <w:ilvl w:val="3"/>
          <w:numId w:val="0"/>
        </w:numPr>
        <w:tabs>
          <w:tab w:val="left" w:pos="0"/>
        </w:tabs>
        <w:spacing w:before="120"/>
        <w:ind w:left="357" w:hanging="357"/>
        <w:contextualSpacing/>
        <w:rPr>
          <w:b/>
          <w:bCs/>
          <w:szCs w:val="24"/>
          <w:highlight w:val="yellow"/>
          <w:lang w:val="en-GB"/>
        </w:rPr>
      </w:pPr>
    </w:p>
    <w:p w14:paraId="28607D64" w14:textId="77777777" w:rsidR="00C31BC1" w:rsidRPr="00DF671A" w:rsidRDefault="00C31BC1" w:rsidP="00E05ECD">
      <w:pPr>
        <w:numPr>
          <w:ilvl w:val="0"/>
          <w:numId w:val="126"/>
        </w:numPr>
        <w:tabs>
          <w:tab w:val="left" w:pos="0"/>
        </w:tabs>
        <w:spacing w:before="120"/>
        <w:contextualSpacing/>
        <w:rPr>
          <w:b/>
          <w:bCs/>
          <w:szCs w:val="24"/>
          <w:lang w:val="en-GB"/>
        </w:rPr>
      </w:pPr>
      <w:r w:rsidRPr="00DF671A">
        <w:rPr>
          <w:b/>
          <w:bCs/>
          <w:szCs w:val="24"/>
          <w:lang w:val="en-GB"/>
        </w:rPr>
        <w:t xml:space="preserve">Test </w:t>
      </w:r>
      <w:r>
        <w:rPr>
          <w:b/>
          <w:bCs/>
          <w:szCs w:val="24"/>
          <w:lang w:val="en-GB"/>
        </w:rPr>
        <w:t>concentrations</w:t>
      </w:r>
      <w:r w:rsidRPr="00DF671A">
        <w:rPr>
          <w:b/>
          <w:bCs/>
          <w:szCs w:val="24"/>
          <w:lang w:val="en-GB"/>
        </w:rPr>
        <w:t xml:space="preserve">: </w:t>
      </w:r>
    </w:p>
    <w:p w14:paraId="18B7210C" w14:textId="77777777" w:rsidR="00C31BC1" w:rsidRPr="00DF671A" w:rsidRDefault="00C31BC1" w:rsidP="00C31BC1">
      <w:pPr>
        <w:tabs>
          <w:tab w:val="left" w:pos="720"/>
        </w:tabs>
        <w:spacing w:after="240"/>
        <w:jc w:val="both"/>
        <w:rPr>
          <w:szCs w:val="24"/>
          <w:lang w:val="en-GB"/>
        </w:rPr>
      </w:pPr>
      <w:r w:rsidRPr="00DF671A">
        <w:rPr>
          <w:szCs w:val="24"/>
          <w:lang w:val="en-GB"/>
        </w:rPr>
        <w:t xml:space="preserve">The study comprised 6 treatment groups (5 test item concentrations and a control). The test concentrations were 6.7, 13.4, 26.9, 53.9 and 107.4 mg BAS 650 00 F/kg dry soil (nominal). </w:t>
      </w:r>
    </w:p>
    <w:p w14:paraId="447B9A48" w14:textId="77777777" w:rsidR="00C31BC1" w:rsidRPr="00DF671A" w:rsidRDefault="00C31BC1" w:rsidP="00E05ECD">
      <w:pPr>
        <w:numPr>
          <w:ilvl w:val="0"/>
          <w:numId w:val="126"/>
        </w:numPr>
        <w:tabs>
          <w:tab w:val="left" w:pos="0"/>
        </w:tabs>
        <w:contextualSpacing/>
        <w:rPr>
          <w:rFonts w:ascii="Times New Roman Bold" w:hAnsi="Times New Roman Bold"/>
          <w:b/>
          <w:bCs/>
          <w:szCs w:val="24"/>
          <w:lang w:val="en-GB"/>
        </w:rPr>
      </w:pPr>
      <w:r w:rsidRPr="00DF671A">
        <w:rPr>
          <w:rFonts w:ascii="Times New Roman Bold" w:hAnsi="Times New Roman Bold"/>
          <w:b/>
          <w:bCs/>
          <w:szCs w:val="24"/>
          <w:lang w:val="en-GB"/>
        </w:rPr>
        <w:t xml:space="preserve">Measurements and observations: </w:t>
      </w:r>
    </w:p>
    <w:p w14:paraId="54DA9C97" w14:textId="77777777" w:rsidR="00C31BC1" w:rsidRPr="00DF671A" w:rsidRDefault="00C31BC1" w:rsidP="00C31BC1">
      <w:pPr>
        <w:tabs>
          <w:tab w:val="left" w:pos="720"/>
        </w:tabs>
        <w:spacing w:after="240"/>
        <w:jc w:val="both"/>
        <w:rPr>
          <w:szCs w:val="24"/>
          <w:lang w:val="en-GB"/>
        </w:rPr>
      </w:pPr>
      <w:r w:rsidRPr="00DF671A">
        <w:rPr>
          <w:szCs w:val="24"/>
          <w:lang w:val="en-GB"/>
        </w:rPr>
        <w:t>Mortality, feeding activity, weight change and reproduction rate.</w:t>
      </w:r>
    </w:p>
    <w:p w14:paraId="61B61DED" w14:textId="77777777" w:rsidR="00C31BC1" w:rsidRPr="00DF671A" w:rsidRDefault="00C31BC1" w:rsidP="00E05ECD">
      <w:pPr>
        <w:numPr>
          <w:ilvl w:val="0"/>
          <w:numId w:val="126"/>
        </w:numPr>
        <w:tabs>
          <w:tab w:val="left" w:pos="0"/>
        </w:tabs>
        <w:contextualSpacing/>
        <w:rPr>
          <w:rFonts w:ascii="Times New Roman Bold" w:hAnsi="Times New Roman Bold"/>
          <w:b/>
          <w:bCs/>
          <w:szCs w:val="24"/>
          <w:lang w:val="en-GB"/>
        </w:rPr>
      </w:pPr>
      <w:r w:rsidRPr="00DF671A">
        <w:rPr>
          <w:rFonts w:ascii="Times New Roman Bold" w:hAnsi="Times New Roman Bold"/>
          <w:b/>
          <w:bCs/>
          <w:szCs w:val="24"/>
          <w:lang w:val="en-GB"/>
        </w:rPr>
        <w:t xml:space="preserve">Statistical analysis: </w:t>
      </w:r>
    </w:p>
    <w:p w14:paraId="22A6FB78" w14:textId="77777777" w:rsidR="00C31BC1" w:rsidRDefault="00C31BC1" w:rsidP="00C31BC1">
      <w:pPr>
        <w:tabs>
          <w:tab w:val="left" w:pos="720"/>
        </w:tabs>
        <w:spacing w:after="240"/>
        <w:jc w:val="both"/>
        <w:rPr>
          <w:szCs w:val="24"/>
          <w:lang w:val="en-GB"/>
        </w:rPr>
      </w:pPr>
      <w:r w:rsidRPr="00DF671A">
        <w:rPr>
          <w:szCs w:val="24"/>
          <w:lang w:val="en-GB"/>
        </w:rPr>
        <w:t>Descriptive statistics; Dunnett test for weight change and reproduction data (α = 0.05).</w:t>
      </w:r>
    </w:p>
    <w:p w14:paraId="42C7CF74" w14:textId="77777777" w:rsidR="008D2927" w:rsidRDefault="008D2927" w:rsidP="00C31BC1">
      <w:pPr>
        <w:tabs>
          <w:tab w:val="left" w:pos="720"/>
        </w:tabs>
        <w:spacing w:after="240"/>
        <w:jc w:val="both"/>
        <w:rPr>
          <w:szCs w:val="24"/>
          <w:lang w:val="en-GB"/>
        </w:rPr>
      </w:pPr>
    </w:p>
    <w:p w14:paraId="47CC655A" w14:textId="77777777" w:rsidR="00C31BC1" w:rsidRPr="00DF671A" w:rsidRDefault="00C31BC1" w:rsidP="008D2927">
      <w:pPr>
        <w:tabs>
          <w:tab w:val="left" w:pos="720"/>
        </w:tabs>
        <w:spacing w:after="240"/>
        <w:ind w:left="720" w:hanging="431"/>
        <w:contextualSpacing/>
        <w:jc w:val="center"/>
        <w:rPr>
          <w:rFonts w:ascii="Times New Roman Bold" w:hAnsi="Times New Roman Bold"/>
          <w:b/>
          <w:bCs/>
          <w:caps/>
          <w:szCs w:val="24"/>
          <w:lang w:val="en-GB"/>
        </w:rPr>
      </w:pPr>
      <w:r w:rsidRPr="00DF671A">
        <w:rPr>
          <w:rFonts w:ascii="Times New Roman Bold" w:hAnsi="Times New Roman Bold"/>
          <w:b/>
          <w:bCs/>
          <w:caps/>
          <w:szCs w:val="24"/>
          <w:lang w:val="en-GB"/>
        </w:rPr>
        <w:t>II.</w:t>
      </w:r>
      <w:r w:rsidRPr="00DF671A">
        <w:rPr>
          <w:rFonts w:ascii="Times New Roman Bold" w:hAnsi="Times New Roman Bold"/>
          <w:b/>
          <w:bCs/>
          <w:caps/>
          <w:szCs w:val="24"/>
          <w:lang w:val="en-GB"/>
        </w:rPr>
        <w:tab/>
        <w:t>Results and Discussion</w:t>
      </w:r>
    </w:p>
    <w:p w14:paraId="075915ED" w14:textId="77777777" w:rsidR="00C31BC1" w:rsidRPr="00DF671A" w:rsidRDefault="00C31BC1" w:rsidP="00C31BC1">
      <w:pPr>
        <w:tabs>
          <w:tab w:val="left" w:pos="0"/>
        </w:tabs>
        <w:ind w:left="357" w:hanging="357"/>
        <w:contextualSpacing/>
        <w:rPr>
          <w:rFonts w:ascii="Times New Roman Bold" w:hAnsi="Times New Roman Bold"/>
          <w:b/>
          <w:bCs/>
          <w:caps/>
          <w:szCs w:val="24"/>
          <w:lang w:val="en-GB"/>
        </w:rPr>
      </w:pPr>
      <w:r w:rsidRPr="00DF671A">
        <w:rPr>
          <w:rFonts w:ascii="Times New Roman Bold" w:hAnsi="Times New Roman Bold"/>
          <w:b/>
          <w:bCs/>
          <w:caps/>
          <w:szCs w:val="24"/>
          <w:lang w:val="en-GB"/>
        </w:rPr>
        <w:t>C.</w:t>
      </w:r>
      <w:r w:rsidRPr="00DF671A">
        <w:rPr>
          <w:rFonts w:ascii="Times New Roman Bold" w:hAnsi="Times New Roman Bold"/>
          <w:b/>
          <w:bCs/>
          <w:caps/>
          <w:szCs w:val="24"/>
          <w:lang w:val="en-GB"/>
        </w:rPr>
        <w:tab/>
        <w:t>biological effects</w:t>
      </w:r>
    </w:p>
    <w:p w14:paraId="7FAACB9B" w14:textId="77777777" w:rsidR="00C31BC1" w:rsidRDefault="00C31BC1" w:rsidP="00C31BC1">
      <w:pPr>
        <w:widowControl w:val="0"/>
        <w:suppressAutoHyphens/>
        <w:jc w:val="both"/>
      </w:pPr>
      <w:r w:rsidRPr="0032751D">
        <w:rPr>
          <w:lang w:val="en-GB"/>
        </w:rPr>
        <w:t xml:space="preserve">No mortality was observed in any of the treatment groups and the control.  No statistically significant effects on body weight change were observed at any of the test item rates (Dunnett-test, </w:t>
      </w:r>
      <w:r w:rsidRPr="00DF671A">
        <w:sym w:font="Symbol" w:char="F061"/>
      </w:r>
      <w:r w:rsidRPr="0032751D">
        <w:rPr>
          <w:lang w:val="en-GB"/>
        </w:rPr>
        <w:t xml:space="preserve"> = 0.05). In the control, a mean number of 130.5 juveniles was counted. In the treatment groups, mean numbers of juveniles between 123.3 and 142.8 were counted. This is corresponding to reproduction rates relative to the control between 94.4% and 109.4%. These differences were not statistically significant different compared to the control (Dunnett-test, </w:t>
      </w:r>
      <w:r w:rsidRPr="00C70FBD">
        <w:sym w:font="Symbol" w:char="F061"/>
      </w:r>
      <w:r w:rsidRPr="0032751D">
        <w:rPr>
          <w:lang w:val="en-GB"/>
        </w:rPr>
        <w:t xml:space="preserve"> = 0.05). No behavioral abnormalities were observed in any of the treatment groups. The feeding activity in all test item treated groups was comparable to the control. </w:t>
      </w:r>
      <w:r w:rsidRPr="00D32E29">
        <w:t>These results are summarized in the table below.</w:t>
      </w:r>
    </w:p>
    <w:p w14:paraId="56520772" w14:textId="77777777" w:rsidR="00C31BC1" w:rsidRDefault="00C31BC1" w:rsidP="00C31BC1">
      <w:pPr>
        <w:widowControl w:val="0"/>
        <w:suppressAutoHyphens/>
        <w:jc w:val="both"/>
      </w:pPr>
    </w:p>
    <w:p w14:paraId="23F49049" w14:textId="5A4CA2BD" w:rsidR="00C31BC1" w:rsidRPr="0032751D" w:rsidRDefault="00C174BA" w:rsidP="00C174BA">
      <w:pPr>
        <w:pStyle w:val="Legenda"/>
      </w:pPr>
      <w:r>
        <w:t xml:space="preserve">Table A </w:t>
      </w:r>
      <w:r>
        <w:fldChar w:fldCharType="begin"/>
      </w:r>
      <w:r>
        <w:instrText xml:space="preserve"> SEQ Table_A \* ARABIC </w:instrText>
      </w:r>
      <w:r>
        <w:fldChar w:fldCharType="separate"/>
      </w:r>
      <w:r w:rsidR="006F0F3B">
        <w:rPr>
          <w:noProof/>
        </w:rPr>
        <w:t>76</w:t>
      </w:r>
      <w:r>
        <w:fldChar w:fldCharType="end"/>
      </w:r>
      <w:r w:rsidR="00C31BC1" w:rsidRPr="0032751D">
        <w:t>:</w:t>
      </w:r>
      <w:r w:rsidR="00C31BC1" w:rsidRPr="0032751D">
        <w:tab/>
        <w:t xml:space="preserve">Effects of BAS 650 00 F on </w:t>
      </w:r>
      <w:r w:rsidR="00C31BC1" w:rsidRPr="0032751D">
        <w:rPr>
          <w:i/>
        </w:rPr>
        <w:t>Eisenia fetida</w:t>
      </w:r>
      <w:r w:rsidR="00C31BC1" w:rsidRPr="0032751D">
        <w:t xml:space="preserve"> in a 56-day reproduction study</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064"/>
        <w:gridCol w:w="1058"/>
        <w:gridCol w:w="1059"/>
        <w:gridCol w:w="1059"/>
        <w:gridCol w:w="1059"/>
        <w:gridCol w:w="1059"/>
        <w:gridCol w:w="1061"/>
      </w:tblGrid>
      <w:tr w:rsidR="00C31BC1" w:rsidRPr="00C70FBD" w14:paraId="62E814A9" w14:textId="77777777" w:rsidTr="00070B0B">
        <w:trPr>
          <w:cantSplit/>
        </w:trPr>
        <w:tc>
          <w:tcPr>
            <w:tcW w:w="1627" w:type="pct"/>
            <w:shd w:val="clear" w:color="auto" w:fill="auto"/>
            <w:vAlign w:val="center"/>
          </w:tcPr>
          <w:p w14:paraId="784FFB43" w14:textId="77777777" w:rsidR="00C31BC1" w:rsidRPr="0032751D" w:rsidRDefault="00C31BC1" w:rsidP="00070B0B">
            <w:pPr>
              <w:widowControl w:val="0"/>
              <w:suppressAutoHyphens/>
              <w:spacing w:before="40" w:after="40"/>
              <w:rPr>
                <w:b/>
                <w:bCs/>
                <w:sz w:val="20"/>
                <w:szCs w:val="20"/>
                <w:lang w:val="en-GB"/>
              </w:rPr>
            </w:pPr>
            <w:r w:rsidRPr="0032751D">
              <w:rPr>
                <w:b/>
                <w:bCs/>
                <w:sz w:val="20"/>
                <w:szCs w:val="20"/>
                <w:lang w:val="en-GB"/>
              </w:rPr>
              <w:t>BAS 650 00 F</w:t>
            </w:r>
            <w:r w:rsidRPr="0032751D">
              <w:rPr>
                <w:b/>
                <w:bCs/>
                <w:sz w:val="20"/>
                <w:szCs w:val="20"/>
                <w:lang w:val="en-GB"/>
              </w:rPr>
              <w:br/>
            </w:r>
            <w:r w:rsidRPr="00C70FBD">
              <w:rPr>
                <w:b/>
                <w:bCs/>
                <w:sz w:val="20"/>
                <w:szCs w:val="20"/>
              </w:rPr>
              <w:sym w:font="Symbol" w:char="F05B"/>
            </w:r>
            <w:r w:rsidRPr="0032751D">
              <w:rPr>
                <w:b/>
                <w:bCs/>
                <w:sz w:val="20"/>
                <w:szCs w:val="20"/>
                <w:lang w:val="en-GB"/>
              </w:rPr>
              <w:t>mg/kg dry soil</w:t>
            </w:r>
            <w:r w:rsidRPr="00C70FBD">
              <w:rPr>
                <w:b/>
                <w:bCs/>
                <w:sz w:val="20"/>
                <w:szCs w:val="20"/>
              </w:rPr>
              <w:sym w:font="Symbol" w:char="F05D"/>
            </w:r>
          </w:p>
        </w:tc>
        <w:tc>
          <w:tcPr>
            <w:tcW w:w="562" w:type="pct"/>
            <w:shd w:val="clear" w:color="auto" w:fill="auto"/>
            <w:vAlign w:val="center"/>
          </w:tcPr>
          <w:p w14:paraId="2F6722C4" w14:textId="77777777" w:rsidR="00C31BC1" w:rsidRPr="00C70FBD" w:rsidRDefault="00C31BC1" w:rsidP="00070B0B">
            <w:pPr>
              <w:widowControl w:val="0"/>
              <w:suppressAutoHyphens/>
              <w:spacing w:before="40" w:after="40"/>
              <w:rPr>
                <w:b/>
                <w:bCs/>
                <w:sz w:val="20"/>
                <w:szCs w:val="20"/>
              </w:rPr>
            </w:pPr>
            <w:r w:rsidRPr="00C70FBD">
              <w:rPr>
                <w:b/>
                <w:bCs/>
                <w:sz w:val="20"/>
                <w:szCs w:val="20"/>
              </w:rPr>
              <w:t>Control</w:t>
            </w:r>
          </w:p>
        </w:tc>
        <w:tc>
          <w:tcPr>
            <w:tcW w:w="562" w:type="pct"/>
            <w:shd w:val="clear" w:color="auto" w:fill="auto"/>
            <w:vAlign w:val="center"/>
          </w:tcPr>
          <w:p w14:paraId="22AD828F" w14:textId="77777777" w:rsidR="00C31BC1" w:rsidRPr="00C70FBD" w:rsidRDefault="00C31BC1" w:rsidP="00070B0B">
            <w:pPr>
              <w:widowControl w:val="0"/>
              <w:suppressAutoHyphens/>
              <w:spacing w:before="40" w:after="40"/>
              <w:rPr>
                <w:b/>
                <w:bCs/>
                <w:sz w:val="20"/>
                <w:szCs w:val="20"/>
              </w:rPr>
            </w:pPr>
            <w:r w:rsidRPr="00C70FBD">
              <w:rPr>
                <w:b/>
                <w:bCs/>
                <w:sz w:val="20"/>
                <w:szCs w:val="20"/>
              </w:rPr>
              <w:t>6.7</w:t>
            </w:r>
          </w:p>
        </w:tc>
        <w:tc>
          <w:tcPr>
            <w:tcW w:w="562" w:type="pct"/>
            <w:shd w:val="clear" w:color="auto" w:fill="auto"/>
            <w:vAlign w:val="center"/>
          </w:tcPr>
          <w:p w14:paraId="75767B1E" w14:textId="77777777" w:rsidR="00C31BC1" w:rsidRPr="00C70FBD" w:rsidRDefault="00C31BC1" w:rsidP="00070B0B">
            <w:pPr>
              <w:widowControl w:val="0"/>
              <w:suppressAutoHyphens/>
              <w:spacing w:before="40" w:after="40"/>
              <w:rPr>
                <w:b/>
                <w:bCs/>
                <w:sz w:val="20"/>
                <w:szCs w:val="20"/>
              </w:rPr>
            </w:pPr>
            <w:r w:rsidRPr="00C70FBD">
              <w:rPr>
                <w:b/>
                <w:bCs/>
                <w:sz w:val="20"/>
                <w:szCs w:val="20"/>
              </w:rPr>
              <w:t>13.4</w:t>
            </w:r>
          </w:p>
        </w:tc>
        <w:tc>
          <w:tcPr>
            <w:tcW w:w="562" w:type="pct"/>
            <w:shd w:val="clear" w:color="auto" w:fill="auto"/>
            <w:vAlign w:val="center"/>
          </w:tcPr>
          <w:p w14:paraId="5D5E1F90" w14:textId="77777777" w:rsidR="00C31BC1" w:rsidRPr="00C70FBD" w:rsidRDefault="00C31BC1" w:rsidP="00070B0B">
            <w:pPr>
              <w:widowControl w:val="0"/>
              <w:suppressAutoHyphens/>
              <w:spacing w:before="40" w:after="40"/>
              <w:rPr>
                <w:b/>
                <w:bCs/>
                <w:sz w:val="20"/>
                <w:szCs w:val="20"/>
              </w:rPr>
            </w:pPr>
            <w:r w:rsidRPr="00C70FBD">
              <w:rPr>
                <w:b/>
                <w:bCs/>
                <w:sz w:val="20"/>
                <w:szCs w:val="20"/>
              </w:rPr>
              <w:t>26.9</w:t>
            </w:r>
          </w:p>
        </w:tc>
        <w:tc>
          <w:tcPr>
            <w:tcW w:w="562" w:type="pct"/>
            <w:shd w:val="clear" w:color="auto" w:fill="auto"/>
            <w:vAlign w:val="center"/>
          </w:tcPr>
          <w:p w14:paraId="7EEDC647" w14:textId="77777777" w:rsidR="00C31BC1" w:rsidRPr="00C70FBD" w:rsidRDefault="00C31BC1" w:rsidP="00070B0B">
            <w:pPr>
              <w:widowControl w:val="0"/>
              <w:suppressAutoHyphens/>
              <w:spacing w:before="40" w:after="40"/>
              <w:rPr>
                <w:b/>
                <w:bCs/>
                <w:sz w:val="20"/>
                <w:szCs w:val="20"/>
              </w:rPr>
            </w:pPr>
            <w:r w:rsidRPr="00C70FBD">
              <w:rPr>
                <w:b/>
                <w:bCs/>
                <w:sz w:val="20"/>
                <w:szCs w:val="20"/>
              </w:rPr>
              <w:t>53.7</w:t>
            </w:r>
          </w:p>
        </w:tc>
        <w:tc>
          <w:tcPr>
            <w:tcW w:w="561" w:type="pct"/>
            <w:shd w:val="clear" w:color="auto" w:fill="auto"/>
            <w:vAlign w:val="center"/>
          </w:tcPr>
          <w:p w14:paraId="02DC9260" w14:textId="77777777" w:rsidR="00C31BC1" w:rsidRPr="00C70FBD" w:rsidRDefault="00C31BC1" w:rsidP="00070B0B">
            <w:pPr>
              <w:widowControl w:val="0"/>
              <w:suppressAutoHyphens/>
              <w:spacing w:before="40" w:after="40"/>
              <w:rPr>
                <w:b/>
                <w:bCs/>
                <w:sz w:val="20"/>
                <w:szCs w:val="20"/>
              </w:rPr>
            </w:pPr>
            <w:r w:rsidRPr="00C70FBD">
              <w:rPr>
                <w:b/>
                <w:bCs/>
                <w:sz w:val="20"/>
                <w:szCs w:val="20"/>
              </w:rPr>
              <w:t>107.4</w:t>
            </w:r>
          </w:p>
        </w:tc>
      </w:tr>
      <w:tr w:rsidR="00C31BC1" w:rsidRPr="00C70FBD" w14:paraId="031BF23E" w14:textId="77777777" w:rsidTr="00070B0B">
        <w:trPr>
          <w:cantSplit/>
          <w:trHeight w:val="340"/>
        </w:trPr>
        <w:tc>
          <w:tcPr>
            <w:tcW w:w="1627" w:type="pct"/>
            <w:shd w:val="clear" w:color="auto" w:fill="auto"/>
            <w:vAlign w:val="center"/>
          </w:tcPr>
          <w:p w14:paraId="7C6D828A" w14:textId="77777777" w:rsidR="00C31BC1" w:rsidRPr="00C70FBD" w:rsidRDefault="00C31BC1" w:rsidP="00070B0B">
            <w:pPr>
              <w:widowControl w:val="0"/>
              <w:suppressAutoHyphens/>
              <w:spacing w:before="40" w:after="40"/>
              <w:rPr>
                <w:sz w:val="20"/>
                <w:szCs w:val="20"/>
              </w:rPr>
            </w:pPr>
            <w:r w:rsidRPr="00C70FBD">
              <w:rPr>
                <w:sz w:val="20"/>
                <w:szCs w:val="20"/>
              </w:rPr>
              <w:t>Mortality (28 d) [%]</w:t>
            </w:r>
          </w:p>
        </w:tc>
        <w:tc>
          <w:tcPr>
            <w:tcW w:w="562" w:type="pct"/>
            <w:shd w:val="clear" w:color="auto" w:fill="auto"/>
            <w:vAlign w:val="center"/>
          </w:tcPr>
          <w:p w14:paraId="1035F59A" w14:textId="77777777" w:rsidR="00C31BC1" w:rsidRPr="00C70FBD" w:rsidRDefault="00C31BC1" w:rsidP="00070B0B">
            <w:pPr>
              <w:widowControl w:val="0"/>
              <w:suppressAutoHyphens/>
              <w:spacing w:before="40" w:after="40"/>
              <w:rPr>
                <w:sz w:val="20"/>
                <w:szCs w:val="20"/>
              </w:rPr>
            </w:pPr>
            <w:r w:rsidRPr="00C70FBD">
              <w:rPr>
                <w:sz w:val="20"/>
                <w:szCs w:val="20"/>
              </w:rPr>
              <w:t>0.0</w:t>
            </w:r>
          </w:p>
        </w:tc>
        <w:tc>
          <w:tcPr>
            <w:tcW w:w="562" w:type="pct"/>
            <w:shd w:val="clear" w:color="auto" w:fill="auto"/>
            <w:vAlign w:val="center"/>
          </w:tcPr>
          <w:p w14:paraId="011BC607" w14:textId="77777777" w:rsidR="00C31BC1" w:rsidRPr="00C70FBD" w:rsidRDefault="00C31BC1" w:rsidP="00070B0B">
            <w:pPr>
              <w:widowControl w:val="0"/>
              <w:suppressAutoHyphens/>
              <w:spacing w:before="40" w:after="40"/>
              <w:rPr>
                <w:sz w:val="20"/>
                <w:szCs w:val="20"/>
              </w:rPr>
            </w:pPr>
            <w:r w:rsidRPr="00C70FBD">
              <w:rPr>
                <w:sz w:val="20"/>
                <w:szCs w:val="20"/>
              </w:rPr>
              <w:t>0.0</w:t>
            </w:r>
          </w:p>
        </w:tc>
        <w:tc>
          <w:tcPr>
            <w:tcW w:w="562" w:type="pct"/>
            <w:shd w:val="clear" w:color="auto" w:fill="auto"/>
            <w:vAlign w:val="center"/>
          </w:tcPr>
          <w:p w14:paraId="2188AD0C" w14:textId="77777777" w:rsidR="00C31BC1" w:rsidRPr="00C70FBD" w:rsidRDefault="00C31BC1" w:rsidP="00070B0B">
            <w:pPr>
              <w:widowControl w:val="0"/>
              <w:suppressAutoHyphens/>
              <w:spacing w:before="40" w:after="40"/>
              <w:rPr>
                <w:sz w:val="20"/>
                <w:szCs w:val="20"/>
              </w:rPr>
            </w:pPr>
            <w:r w:rsidRPr="00C70FBD">
              <w:rPr>
                <w:sz w:val="20"/>
                <w:szCs w:val="20"/>
              </w:rPr>
              <w:t>0.0</w:t>
            </w:r>
          </w:p>
        </w:tc>
        <w:tc>
          <w:tcPr>
            <w:tcW w:w="562" w:type="pct"/>
            <w:shd w:val="clear" w:color="auto" w:fill="auto"/>
            <w:vAlign w:val="center"/>
          </w:tcPr>
          <w:p w14:paraId="1363692C" w14:textId="77777777" w:rsidR="00C31BC1" w:rsidRPr="00C70FBD" w:rsidRDefault="00C31BC1" w:rsidP="00070B0B">
            <w:pPr>
              <w:widowControl w:val="0"/>
              <w:suppressAutoHyphens/>
              <w:spacing w:before="40" w:after="40"/>
              <w:rPr>
                <w:sz w:val="20"/>
                <w:szCs w:val="20"/>
              </w:rPr>
            </w:pPr>
            <w:r w:rsidRPr="00C70FBD">
              <w:rPr>
                <w:sz w:val="20"/>
                <w:szCs w:val="20"/>
              </w:rPr>
              <w:t>0.0</w:t>
            </w:r>
          </w:p>
        </w:tc>
        <w:tc>
          <w:tcPr>
            <w:tcW w:w="562" w:type="pct"/>
            <w:shd w:val="clear" w:color="auto" w:fill="auto"/>
            <w:vAlign w:val="center"/>
          </w:tcPr>
          <w:p w14:paraId="67C68AB8" w14:textId="77777777" w:rsidR="00C31BC1" w:rsidRPr="00C70FBD" w:rsidRDefault="00C31BC1" w:rsidP="00070B0B">
            <w:pPr>
              <w:widowControl w:val="0"/>
              <w:suppressAutoHyphens/>
              <w:spacing w:before="40" w:after="40"/>
              <w:rPr>
                <w:sz w:val="20"/>
                <w:szCs w:val="20"/>
              </w:rPr>
            </w:pPr>
            <w:r w:rsidRPr="00C70FBD">
              <w:rPr>
                <w:sz w:val="20"/>
                <w:szCs w:val="20"/>
              </w:rPr>
              <w:t>0.0</w:t>
            </w:r>
          </w:p>
        </w:tc>
        <w:tc>
          <w:tcPr>
            <w:tcW w:w="561" w:type="pct"/>
            <w:shd w:val="clear" w:color="auto" w:fill="auto"/>
            <w:vAlign w:val="center"/>
          </w:tcPr>
          <w:p w14:paraId="46C4B336" w14:textId="77777777" w:rsidR="00C31BC1" w:rsidRPr="00C70FBD" w:rsidRDefault="00C31BC1" w:rsidP="00070B0B">
            <w:pPr>
              <w:widowControl w:val="0"/>
              <w:suppressAutoHyphens/>
              <w:spacing w:before="40" w:after="40"/>
              <w:rPr>
                <w:sz w:val="20"/>
                <w:szCs w:val="20"/>
              </w:rPr>
            </w:pPr>
            <w:r w:rsidRPr="00C70FBD">
              <w:rPr>
                <w:sz w:val="20"/>
                <w:szCs w:val="20"/>
              </w:rPr>
              <w:t>0.0</w:t>
            </w:r>
          </w:p>
        </w:tc>
      </w:tr>
      <w:tr w:rsidR="00C31BC1" w:rsidRPr="00C70FBD" w14:paraId="77C1C943" w14:textId="77777777" w:rsidTr="00070B0B">
        <w:trPr>
          <w:cantSplit/>
          <w:trHeight w:val="340"/>
        </w:trPr>
        <w:tc>
          <w:tcPr>
            <w:tcW w:w="1627" w:type="pct"/>
            <w:shd w:val="clear" w:color="auto" w:fill="auto"/>
            <w:vAlign w:val="center"/>
          </w:tcPr>
          <w:p w14:paraId="6228DCE8" w14:textId="77777777" w:rsidR="00C31BC1" w:rsidRPr="00C70FBD" w:rsidRDefault="00C31BC1" w:rsidP="00070B0B">
            <w:pPr>
              <w:widowControl w:val="0"/>
              <w:suppressAutoHyphens/>
              <w:spacing w:before="40" w:after="40"/>
              <w:rPr>
                <w:sz w:val="20"/>
                <w:szCs w:val="20"/>
              </w:rPr>
            </w:pPr>
            <w:r w:rsidRPr="00C70FBD">
              <w:rPr>
                <w:sz w:val="20"/>
                <w:szCs w:val="20"/>
              </w:rPr>
              <w:t>Weight change (28 d) [%]</w:t>
            </w:r>
          </w:p>
        </w:tc>
        <w:tc>
          <w:tcPr>
            <w:tcW w:w="562" w:type="pct"/>
            <w:shd w:val="clear" w:color="auto" w:fill="auto"/>
            <w:vAlign w:val="center"/>
          </w:tcPr>
          <w:p w14:paraId="54AFACD0" w14:textId="77777777" w:rsidR="00C31BC1" w:rsidRPr="00C70FBD" w:rsidRDefault="00C31BC1" w:rsidP="00070B0B">
            <w:pPr>
              <w:widowControl w:val="0"/>
              <w:suppressAutoHyphens/>
              <w:spacing w:before="40" w:after="40"/>
              <w:rPr>
                <w:sz w:val="20"/>
                <w:szCs w:val="20"/>
              </w:rPr>
            </w:pPr>
            <w:r w:rsidRPr="00C70FBD">
              <w:rPr>
                <w:sz w:val="20"/>
                <w:szCs w:val="20"/>
              </w:rPr>
              <w:t>43.9</w:t>
            </w:r>
          </w:p>
        </w:tc>
        <w:tc>
          <w:tcPr>
            <w:tcW w:w="562" w:type="pct"/>
            <w:shd w:val="clear" w:color="auto" w:fill="auto"/>
            <w:vAlign w:val="center"/>
          </w:tcPr>
          <w:p w14:paraId="7285940E" w14:textId="77777777" w:rsidR="00C31BC1" w:rsidRPr="00C70FBD" w:rsidRDefault="00C31BC1" w:rsidP="00070B0B">
            <w:pPr>
              <w:widowControl w:val="0"/>
              <w:suppressAutoHyphens/>
              <w:spacing w:before="40" w:after="40"/>
              <w:rPr>
                <w:sz w:val="20"/>
                <w:szCs w:val="20"/>
              </w:rPr>
            </w:pPr>
            <w:r w:rsidRPr="00C70FBD">
              <w:rPr>
                <w:sz w:val="20"/>
                <w:szCs w:val="20"/>
              </w:rPr>
              <w:t>43.9</w:t>
            </w:r>
          </w:p>
        </w:tc>
        <w:tc>
          <w:tcPr>
            <w:tcW w:w="562" w:type="pct"/>
            <w:shd w:val="clear" w:color="auto" w:fill="auto"/>
            <w:vAlign w:val="center"/>
          </w:tcPr>
          <w:p w14:paraId="098DDDE4" w14:textId="77777777" w:rsidR="00C31BC1" w:rsidRPr="00C70FBD" w:rsidRDefault="00C31BC1" w:rsidP="00070B0B">
            <w:pPr>
              <w:widowControl w:val="0"/>
              <w:suppressAutoHyphens/>
              <w:spacing w:before="40" w:after="40"/>
              <w:rPr>
                <w:sz w:val="20"/>
                <w:szCs w:val="20"/>
              </w:rPr>
            </w:pPr>
            <w:r w:rsidRPr="00C70FBD">
              <w:rPr>
                <w:sz w:val="20"/>
                <w:szCs w:val="20"/>
              </w:rPr>
              <w:t>46.6</w:t>
            </w:r>
          </w:p>
        </w:tc>
        <w:tc>
          <w:tcPr>
            <w:tcW w:w="562" w:type="pct"/>
            <w:shd w:val="clear" w:color="auto" w:fill="auto"/>
            <w:vAlign w:val="center"/>
          </w:tcPr>
          <w:p w14:paraId="22863099" w14:textId="77777777" w:rsidR="00C31BC1" w:rsidRPr="00C70FBD" w:rsidRDefault="00C31BC1" w:rsidP="00070B0B">
            <w:pPr>
              <w:widowControl w:val="0"/>
              <w:suppressAutoHyphens/>
              <w:spacing w:before="40" w:after="40"/>
              <w:rPr>
                <w:sz w:val="20"/>
                <w:szCs w:val="20"/>
              </w:rPr>
            </w:pPr>
            <w:r w:rsidRPr="00C70FBD">
              <w:rPr>
                <w:sz w:val="20"/>
                <w:szCs w:val="20"/>
              </w:rPr>
              <w:t>42.0</w:t>
            </w:r>
          </w:p>
        </w:tc>
        <w:tc>
          <w:tcPr>
            <w:tcW w:w="562" w:type="pct"/>
            <w:shd w:val="clear" w:color="auto" w:fill="auto"/>
            <w:vAlign w:val="center"/>
          </w:tcPr>
          <w:p w14:paraId="11031CF9" w14:textId="77777777" w:rsidR="00C31BC1" w:rsidRPr="00C70FBD" w:rsidRDefault="00C31BC1" w:rsidP="00070B0B">
            <w:pPr>
              <w:widowControl w:val="0"/>
              <w:suppressAutoHyphens/>
              <w:spacing w:before="40" w:after="40"/>
              <w:rPr>
                <w:sz w:val="20"/>
                <w:szCs w:val="20"/>
              </w:rPr>
            </w:pPr>
            <w:r w:rsidRPr="00C70FBD">
              <w:rPr>
                <w:sz w:val="20"/>
                <w:szCs w:val="20"/>
              </w:rPr>
              <w:t>45.5</w:t>
            </w:r>
          </w:p>
        </w:tc>
        <w:tc>
          <w:tcPr>
            <w:tcW w:w="561" w:type="pct"/>
            <w:shd w:val="clear" w:color="auto" w:fill="auto"/>
            <w:vAlign w:val="center"/>
          </w:tcPr>
          <w:p w14:paraId="3F7B498F" w14:textId="77777777" w:rsidR="00C31BC1" w:rsidRPr="00C70FBD" w:rsidRDefault="00C31BC1" w:rsidP="00070B0B">
            <w:pPr>
              <w:widowControl w:val="0"/>
              <w:suppressAutoHyphens/>
              <w:spacing w:before="40" w:after="40"/>
              <w:rPr>
                <w:sz w:val="20"/>
                <w:szCs w:val="20"/>
              </w:rPr>
            </w:pPr>
            <w:r w:rsidRPr="00C70FBD">
              <w:rPr>
                <w:sz w:val="20"/>
                <w:szCs w:val="20"/>
              </w:rPr>
              <w:t>39.0</w:t>
            </w:r>
          </w:p>
        </w:tc>
      </w:tr>
      <w:tr w:rsidR="00C31BC1" w:rsidRPr="00C70FBD" w14:paraId="7B393DDB" w14:textId="77777777" w:rsidTr="00070B0B">
        <w:trPr>
          <w:cantSplit/>
          <w:trHeight w:val="340"/>
        </w:trPr>
        <w:tc>
          <w:tcPr>
            <w:tcW w:w="1627" w:type="pct"/>
            <w:shd w:val="clear" w:color="auto" w:fill="auto"/>
            <w:vAlign w:val="center"/>
          </w:tcPr>
          <w:p w14:paraId="60531922" w14:textId="77777777" w:rsidR="00C31BC1" w:rsidRPr="00C70FBD" w:rsidRDefault="00C31BC1" w:rsidP="00070B0B">
            <w:pPr>
              <w:widowControl w:val="0"/>
              <w:suppressAutoHyphens/>
              <w:spacing w:before="40" w:after="40"/>
              <w:rPr>
                <w:sz w:val="20"/>
                <w:szCs w:val="20"/>
              </w:rPr>
            </w:pPr>
            <w:r w:rsidRPr="00C70FBD">
              <w:rPr>
                <w:sz w:val="20"/>
                <w:szCs w:val="20"/>
              </w:rPr>
              <w:t>Number of juveniles (56 d)</w:t>
            </w:r>
          </w:p>
        </w:tc>
        <w:tc>
          <w:tcPr>
            <w:tcW w:w="562" w:type="pct"/>
            <w:shd w:val="clear" w:color="auto" w:fill="auto"/>
            <w:vAlign w:val="center"/>
          </w:tcPr>
          <w:p w14:paraId="6EF808B0" w14:textId="77777777" w:rsidR="00C31BC1" w:rsidRPr="00C70FBD" w:rsidRDefault="00C31BC1" w:rsidP="00070B0B">
            <w:pPr>
              <w:widowControl w:val="0"/>
              <w:suppressAutoHyphens/>
              <w:spacing w:before="40" w:after="40"/>
              <w:rPr>
                <w:sz w:val="20"/>
                <w:szCs w:val="20"/>
              </w:rPr>
            </w:pPr>
            <w:r w:rsidRPr="00C70FBD">
              <w:rPr>
                <w:sz w:val="20"/>
                <w:szCs w:val="20"/>
              </w:rPr>
              <w:t>130.5</w:t>
            </w:r>
          </w:p>
        </w:tc>
        <w:tc>
          <w:tcPr>
            <w:tcW w:w="562" w:type="pct"/>
            <w:shd w:val="clear" w:color="auto" w:fill="auto"/>
            <w:vAlign w:val="center"/>
          </w:tcPr>
          <w:p w14:paraId="3C7231E3" w14:textId="77777777" w:rsidR="00C31BC1" w:rsidRPr="00C70FBD" w:rsidRDefault="00C31BC1" w:rsidP="00070B0B">
            <w:pPr>
              <w:widowControl w:val="0"/>
              <w:suppressAutoHyphens/>
              <w:spacing w:before="40" w:after="40"/>
              <w:rPr>
                <w:sz w:val="20"/>
                <w:szCs w:val="20"/>
              </w:rPr>
            </w:pPr>
            <w:r w:rsidRPr="00C70FBD">
              <w:rPr>
                <w:sz w:val="20"/>
                <w:szCs w:val="20"/>
              </w:rPr>
              <w:t>141.8</w:t>
            </w:r>
          </w:p>
        </w:tc>
        <w:tc>
          <w:tcPr>
            <w:tcW w:w="562" w:type="pct"/>
            <w:shd w:val="clear" w:color="auto" w:fill="auto"/>
            <w:vAlign w:val="center"/>
          </w:tcPr>
          <w:p w14:paraId="03F0A550" w14:textId="77777777" w:rsidR="00C31BC1" w:rsidRPr="00C70FBD" w:rsidRDefault="00C31BC1" w:rsidP="00070B0B">
            <w:pPr>
              <w:widowControl w:val="0"/>
              <w:suppressAutoHyphens/>
              <w:spacing w:before="40" w:after="40"/>
              <w:rPr>
                <w:sz w:val="20"/>
                <w:szCs w:val="20"/>
              </w:rPr>
            </w:pPr>
            <w:r w:rsidRPr="00C70FBD">
              <w:rPr>
                <w:sz w:val="20"/>
                <w:szCs w:val="20"/>
              </w:rPr>
              <w:t>142.8</w:t>
            </w:r>
          </w:p>
        </w:tc>
        <w:tc>
          <w:tcPr>
            <w:tcW w:w="562" w:type="pct"/>
            <w:shd w:val="clear" w:color="auto" w:fill="auto"/>
            <w:vAlign w:val="center"/>
          </w:tcPr>
          <w:p w14:paraId="4202AB5B" w14:textId="77777777" w:rsidR="00C31BC1" w:rsidRPr="00C70FBD" w:rsidRDefault="00C31BC1" w:rsidP="00070B0B">
            <w:pPr>
              <w:widowControl w:val="0"/>
              <w:suppressAutoHyphens/>
              <w:spacing w:before="40" w:after="40"/>
              <w:rPr>
                <w:sz w:val="20"/>
                <w:szCs w:val="20"/>
              </w:rPr>
            </w:pPr>
            <w:r w:rsidRPr="00C70FBD">
              <w:rPr>
                <w:sz w:val="20"/>
                <w:szCs w:val="20"/>
              </w:rPr>
              <w:t>123.3</w:t>
            </w:r>
          </w:p>
        </w:tc>
        <w:tc>
          <w:tcPr>
            <w:tcW w:w="562" w:type="pct"/>
            <w:shd w:val="clear" w:color="auto" w:fill="auto"/>
            <w:vAlign w:val="center"/>
          </w:tcPr>
          <w:p w14:paraId="7B748BDC" w14:textId="77777777" w:rsidR="00C31BC1" w:rsidRPr="00C70FBD" w:rsidRDefault="00C31BC1" w:rsidP="00070B0B">
            <w:pPr>
              <w:widowControl w:val="0"/>
              <w:suppressAutoHyphens/>
              <w:spacing w:before="40" w:after="40"/>
              <w:rPr>
                <w:sz w:val="20"/>
                <w:szCs w:val="20"/>
              </w:rPr>
            </w:pPr>
            <w:r w:rsidRPr="00C70FBD">
              <w:rPr>
                <w:sz w:val="20"/>
                <w:szCs w:val="20"/>
              </w:rPr>
              <w:t>131.5</w:t>
            </w:r>
          </w:p>
        </w:tc>
        <w:tc>
          <w:tcPr>
            <w:tcW w:w="561" w:type="pct"/>
            <w:shd w:val="clear" w:color="auto" w:fill="auto"/>
            <w:vAlign w:val="center"/>
          </w:tcPr>
          <w:p w14:paraId="412673E7" w14:textId="77777777" w:rsidR="00C31BC1" w:rsidRPr="00C70FBD" w:rsidRDefault="00C31BC1" w:rsidP="00070B0B">
            <w:pPr>
              <w:widowControl w:val="0"/>
              <w:suppressAutoHyphens/>
              <w:spacing w:before="40" w:after="40"/>
              <w:rPr>
                <w:sz w:val="20"/>
                <w:szCs w:val="20"/>
              </w:rPr>
            </w:pPr>
            <w:r w:rsidRPr="00C70FBD">
              <w:rPr>
                <w:sz w:val="20"/>
                <w:szCs w:val="20"/>
              </w:rPr>
              <w:t>125.3</w:t>
            </w:r>
          </w:p>
        </w:tc>
      </w:tr>
      <w:tr w:rsidR="00C31BC1" w:rsidRPr="00C70FBD" w14:paraId="5B3FA72A" w14:textId="77777777" w:rsidTr="00070B0B">
        <w:trPr>
          <w:cantSplit/>
          <w:trHeight w:val="340"/>
        </w:trPr>
        <w:tc>
          <w:tcPr>
            <w:tcW w:w="1627" w:type="pct"/>
            <w:shd w:val="clear" w:color="auto" w:fill="auto"/>
            <w:vAlign w:val="center"/>
          </w:tcPr>
          <w:p w14:paraId="5E06EBB3" w14:textId="77777777" w:rsidR="00C31BC1" w:rsidRPr="0032751D" w:rsidRDefault="00C31BC1" w:rsidP="00070B0B">
            <w:pPr>
              <w:widowControl w:val="0"/>
              <w:suppressAutoHyphens/>
              <w:spacing w:before="40" w:after="40"/>
              <w:rPr>
                <w:sz w:val="20"/>
                <w:szCs w:val="20"/>
                <w:lang w:val="en-GB"/>
              </w:rPr>
            </w:pPr>
            <w:r w:rsidRPr="0032751D">
              <w:rPr>
                <w:sz w:val="20"/>
                <w:szCs w:val="20"/>
                <w:lang w:val="en-GB"/>
              </w:rPr>
              <w:t>Reproduction in [%] of control (56 d)</w:t>
            </w:r>
          </w:p>
        </w:tc>
        <w:tc>
          <w:tcPr>
            <w:tcW w:w="562" w:type="pct"/>
            <w:shd w:val="clear" w:color="auto" w:fill="auto"/>
            <w:vAlign w:val="center"/>
          </w:tcPr>
          <w:p w14:paraId="4A8D16A8" w14:textId="77777777" w:rsidR="00C31BC1" w:rsidRPr="00C70FBD" w:rsidRDefault="00C31BC1" w:rsidP="00070B0B">
            <w:pPr>
              <w:widowControl w:val="0"/>
              <w:suppressAutoHyphens/>
              <w:spacing w:before="40" w:after="40"/>
              <w:rPr>
                <w:sz w:val="20"/>
                <w:szCs w:val="20"/>
              </w:rPr>
            </w:pPr>
            <w:r w:rsidRPr="00C70FBD">
              <w:rPr>
                <w:sz w:val="20"/>
                <w:szCs w:val="20"/>
              </w:rPr>
              <w:t>100</w:t>
            </w:r>
          </w:p>
        </w:tc>
        <w:tc>
          <w:tcPr>
            <w:tcW w:w="562" w:type="pct"/>
            <w:shd w:val="clear" w:color="auto" w:fill="auto"/>
            <w:vAlign w:val="center"/>
          </w:tcPr>
          <w:p w14:paraId="21AB02B3" w14:textId="77777777" w:rsidR="00C31BC1" w:rsidRPr="00C70FBD" w:rsidRDefault="00C31BC1" w:rsidP="00070B0B">
            <w:pPr>
              <w:widowControl w:val="0"/>
              <w:suppressAutoHyphens/>
              <w:spacing w:before="40" w:after="40"/>
              <w:rPr>
                <w:sz w:val="20"/>
                <w:szCs w:val="20"/>
              </w:rPr>
            </w:pPr>
            <w:r w:rsidRPr="00C70FBD">
              <w:rPr>
                <w:sz w:val="20"/>
                <w:szCs w:val="20"/>
              </w:rPr>
              <w:t>108.6</w:t>
            </w:r>
          </w:p>
        </w:tc>
        <w:tc>
          <w:tcPr>
            <w:tcW w:w="562" w:type="pct"/>
            <w:shd w:val="clear" w:color="auto" w:fill="auto"/>
            <w:vAlign w:val="center"/>
          </w:tcPr>
          <w:p w14:paraId="3893546F" w14:textId="77777777" w:rsidR="00C31BC1" w:rsidRPr="00C70FBD" w:rsidRDefault="00C31BC1" w:rsidP="00070B0B">
            <w:pPr>
              <w:widowControl w:val="0"/>
              <w:suppressAutoHyphens/>
              <w:spacing w:before="40" w:after="40"/>
              <w:rPr>
                <w:sz w:val="20"/>
                <w:szCs w:val="20"/>
              </w:rPr>
            </w:pPr>
            <w:r w:rsidRPr="00C70FBD">
              <w:rPr>
                <w:sz w:val="20"/>
                <w:szCs w:val="20"/>
              </w:rPr>
              <w:t>109.4</w:t>
            </w:r>
          </w:p>
        </w:tc>
        <w:tc>
          <w:tcPr>
            <w:tcW w:w="562" w:type="pct"/>
            <w:shd w:val="clear" w:color="auto" w:fill="auto"/>
            <w:vAlign w:val="center"/>
          </w:tcPr>
          <w:p w14:paraId="071B0423" w14:textId="77777777" w:rsidR="00C31BC1" w:rsidRPr="00C70FBD" w:rsidRDefault="00C31BC1" w:rsidP="00070B0B">
            <w:pPr>
              <w:widowControl w:val="0"/>
              <w:suppressAutoHyphens/>
              <w:spacing w:before="40" w:after="40"/>
              <w:rPr>
                <w:sz w:val="20"/>
                <w:szCs w:val="20"/>
              </w:rPr>
            </w:pPr>
            <w:r w:rsidRPr="00C70FBD">
              <w:rPr>
                <w:sz w:val="20"/>
                <w:szCs w:val="20"/>
              </w:rPr>
              <w:t>94.4</w:t>
            </w:r>
          </w:p>
        </w:tc>
        <w:tc>
          <w:tcPr>
            <w:tcW w:w="562" w:type="pct"/>
            <w:shd w:val="clear" w:color="auto" w:fill="auto"/>
            <w:vAlign w:val="center"/>
          </w:tcPr>
          <w:p w14:paraId="327A7614" w14:textId="77777777" w:rsidR="00C31BC1" w:rsidRPr="00C70FBD" w:rsidRDefault="00C31BC1" w:rsidP="00070B0B">
            <w:pPr>
              <w:widowControl w:val="0"/>
              <w:suppressAutoHyphens/>
              <w:spacing w:before="40" w:after="40"/>
              <w:rPr>
                <w:sz w:val="20"/>
                <w:szCs w:val="20"/>
              </w:rPr>
            </w:pPr>
            <w:r w:rsidRPr="00C70FBD">
              <w:rPr>
                <w:sz w:val="20"/>
                <w:szCs w:val="20"/>
              </w:rPr>
              <w:t>100.8</w:t>
            </w:r>
          </w:p>
        </w:tc>
        <w:tc>
          <w:tcPr>
            <w:tcW w:w="561" w:type="pct"/>
            <w:shd w:val="clear" w:color="auto" w:fill="auto"/>
            <w:vAlign w:val="center"/>
          </w:tcPr>
          <w:p w14:paraId="1F109C0F" w14:textId="77777777" w:rsidR="00C31BC1" w:rsidRPr="00C70FBD" w:rsidRDefault="00C31BC1" w:rsidP="00070B0B">
            <w:pPr>
              <w:widowControl w:val="0"/>
              <w:suppressAutoHyphens/>
              <w:spacing w:before="40" w:after="40"/>
              <w:rPr>
                <w:sz w:val="20"/>
                <w:szCs w:val="20"/>
              </w:rPr>
            </w:pPr>
            <w:r w:rsidRPr="00C70FBD">
              <w:rPr>
                <w:sz w:val="20"/>
                <w:szCs w:val="20"/>
              </w:rPr>
              <w:t>96.0</w:t>
            </w:r>
          </w:p>
        </w:tc>
      </w:tr>
      <w:tr w:rsidR="00C31BC1" w:rsidRPr="003B7355" w14:paraId="56B5F488" w14:textId="77777777" w:rsidTr="00070B0B">
        <w:trPr>
          <w:cantSplit/>
          <w:trHeight w:val="340"/>
        </w:trPr>
        <w:tc>
          <w:tcPr>
            <w:tcW w:w="1627" w:type="pct"/>
            <w:shd w:val="clear" w:color="auto" w:fill="auto"/>
            <w:vAlign w:val="center"/>
          </w:tcPr>
          <w:p w14:paraId="33FCED8B" w14:textId="77777777" w:rsidR="00C31BC1" w:rsidRPr="00C70FBD" w:rsidRDefault="00C31BC1" w:rsidP="00070B0B">
            <w:pPr>
              <w:widowControl w:val="0"/>
              <w:suppressAutoHyphens/>
              <w:spacing w:before="40" w:after="40"/>
              <w:rPr>
                <w:sz w:val="20"/>
                <w:szCs w:val="20"/>
              </w:rPr>
            </w:pPr>
          </w:p>
        </w:tc>
        <w:tc>
          <w:tcPr>
            <w:tcW w:w="3373" w:type="pct"/>
            <w:gridSpan w:val="6"/>
            <w:shd w:val="clear" w:color="auto" w:fill="auto"/>
            <w:vAlign w:val="center"/>
          </w:tcPr>
          <w:p w14:paraId="0931CDEF" w14:textId="77777777" w:rsidR="00C31BC1" w:rsidRPr="0032751D" w:rsidRDefault="00C31BC1" w:rsidP="00070B0B">
            <w:pPr>
              <w:widowControl w:val="0"/>
              <w:suppressAutoHyphens/>
              <w:spacing w:before="40" w:after="40"/>
              <w:rPr>
                <w:b/>
                <w:bCs/>
                <w:sz w:val="20"/>
                <w:szCs w:val="20"/>
                <w:lang w:val="en-GB"/>
              </w:rPr>
            </w:pPr>
            <w:r w:rsidRPr="0032751D">
              <w:rPr>
                <w:b/>
                <w:bCs/>
                <w:sz w:val="20"/>
                <w:szCs w:val="20"/>
                <w:lang w:val="en-GB"/>
              </w:rPr>
              <w:t>Endpoints [mg/kg dry soil]</w:t>
            </w:r>
          </w:p>
        </w:tc>
      </w:tr>
      <w:tr w:rsidR="00C31BC1" w:rsidRPr="00C70FBD" w14:paraId="1635AE62" w14:textId="77777777" w:rsidTr="00070B0B">
        <w:trPr>
          <w:cantSplit/>
          <w:trHeight w:val="340"/>
        </w:trPr>
        <w:tc>
          <w:tcPr>
            <w:tcW w:w="1627" w:type="pct"/>
            <w:shd w:val="clear" w:color="auto" w:fill="auto"/>
            <w:vAlign w:val="center"/>
          </w:tcPr>
          <w:p w14:paraId="1D72F3C7" w14:textId="77777777" w:rsidR="00C31BC1" w:rsidRPr="00C70FBD" w:rsidRDefault="00C31BC1" w:rsidP="00070B0B">
            <w:pPr>
              <w:widowControl w:val="0"/>
              <w:suppressAutoHyphens/>
              <w:spacing w:before="40" w:after="40"/>
              <w:rPr>
                <w:sz w:val="20"/>
                <w:szCs w:val="20"/>
              </w:rPr>
            </w:pPr>
            <w:r w:rsidRPr="00C70FBD">
              <w:rPr>
                <w:sz w:val="20"/>
                <w:szCs w:val="20"/>
              </w:rPr>
              <w:lastRenderedPageBreak/>
              <w:t>NOEC (28 d)</w:t>
            </w:r>
          </w:p>
        </w:tc>
        <w:tc>
          <w:tcPr>
            <w:tcW w:w="3373" w:type="pct"/>
            <w:gridSpan w:val="6"/>
            <w:shd w:val="clear" w:color="auto" w:fill="auto"/>
            <w:vAlign w:val="center"/>
          </w:tcPr>
          <w:p w14:paraId="5DFEE21F" w14:textId="77777777" w:rsidR="00C31BC1" w:rsidRPr="00C70FBD" w:rsidRDefault="00C31BC1" w:rsidP="00070B0B">
            <w:pPr>
              <w:widowControl w:val="0"/>
              <w:suppressAutoHyphens/>
              <w:spacing w:before="40" w:after="40"/>
              <w:rPr>
                <w:sz w:val="20"/>
                <w:szCs w:val="20"/>
              </w:rPr>
            </w:pPr>
            <w:r w:rsidRPr="00C70FBD">
              <w:rPr>
                <w:sz w:val="20"/>
                <w:szCs w:val="20"/>
              </w:rPr>
              <w:t>≥ 107.4</w:t>
            </w:r>
          </w:p>
        </w:tc>
      </w:tr>
      <w:tr w:rsidR="00C31BC1" w:rsidRPr="00C70FBD" w14:paraId="35EC82B2" w14:textId="77777777" w:rsidTr="00070B0B">
        <w:trPr>
          <w:cantSplit/>
          <w:trHeight w:val="340"/>
        </w:trPr>
        <w:tc>
          <w:tcPr>
            <w:tcW w:w="1627" w:type="pct"/>
            <w:shd w:val="clear" w:color="auto" w:fill="auto"/>
            <w:vAlign w:val="center"/>
          </w:tcPr>
          <w:p w14:paraId="246FA764" w14:textId="77777777" w:rsidR="00C31BC1" w:rsidRPr="00C70FBD" w:rsidRDefault="00C31BC1" w:rsidP="00070B0B">
            <w:pPr>
              <w:widowControl w:val="0"/>
              <w:suppressAutoHyphens/>
              <w:spacing w:before="40" w:after="40"/>
              <w:rPr>
                <w:sz w:val="20"/>
                <w:szCs w:val="20"/>
              </w:rPr>
            </w:pPr>
            <w:r w:rsidRPr="00C70FBD">
              <w:rPr>
                <w:sz w:val="20"/>
                <w:szCs w:val="20"/>
              </w:rPr>
              <w:t>NOEC (56 d)</w:t>
            </w:r>
          </w:p>
        </w:tc>
        <w:tc>
          <w:tcPr>
            <w:tcW w:w="3373" w:type="pct"/>
            <w:gridSpan w:val="6"/>
            <w:shd w:val="clear" w:color="auto" w:fill="auto"/>
            <w:vAlign w:val="center"/>
          </w:tcPr>
          <w:p w14:paraId="6A756D3C" w14:textId="77777777" w:rsidR="00C31BC1" w:rsidRPr="00C70FBD" w:rsidRDefault="00C31BC1" w:rsidP="00070B0B">
            <w:pPr>
              <w:widowControl w:val="0"/>
              <w:suppressAutoHyphens/>
              <w:spacing w:before="40" w:after="40"/>
              <w:rPr>
                <w:sz w:val="20"/>
                <w:szCs w:val="20"/>
              </w:rPr>
            </w:pPr>
            <w:r w:rsidRPr="00C70FBD">
              <w:rPr>
                <w:sz w:val="20"/>
                <w:szCs w:val="20"/>
              </w:rPr>
              <w:t>≥ 107.4</w:t>
            </w:r>
          </w:p>
        </w:tc>
      </w:tr>
      <w:tr w:rsidR="00C31BC1" w:rsidRPr="00C70FBD" w14:paraId="30FB47A7" w14:textId="77777777" w:rsidTr="00070B0B">
        <w:trPr>
          <w:cantSplit/>
          <w:trHeight w:val="340"/>
        </w:trPr>
        <w:tc>
          <w:tcPr>
            <w:tcW w:w="1627" w:type="pct"/>
            <w:shd w:val="clear" w:color="auto" w:fill="auto"/>
            <w:vAlign w:val="center"/>
          </w:tcPr>
          <w:p w14:paraId="4D5EAFB8" w14:textId="77777777" w:rsidR="00C31BC1" w:rsidRPr="00C70FBD" w:rsidRDefault="00C31BC1" w:rsidP="00070B0B">
            <w:pPr>
              <w:widowControl w:val="0"/>
              <w:suppressAutoHyphens/>
              <w:spacing w:before="40" w:after="40"/>
              <w:rPr>
                <w:sz w:val="20"/>
                <w:szCs w:val="20"/>
              </w:rPr>
            </w:pPr>
            <w:r w:rsidRPr="00C70FBD">
              <w:rPr>
                <w:sz w:val="20"/>
                <w:szCs w:val="20"/>
              </w:rPr>
              <w:t>EC</w:t>
            </w:r>
            <w:r w:rsidRPr="00C70FBD">
              <w:rPr>
                <w:sz w:val="20"/>
                <w:szCs w:val="20"/>
                <w:vertAlign w:val="subscript"/>
              </w:rPr>
              <w:t>50</w:t>
            </w:r>
          </w:p>
        </w:tc>
        <w:tc>
          <w:tcPr>
            <w:tcW w:w="3373" w:type="pct"/>
            <w:gridSpan w:val="6"/>
            <w:shd w:val="clear" w:color="auto" w:fill="auto"/>
            <w:vAlign w:val="center"/>
          </w:tcPr>
          <w:p w14:paraId="44880381" w14:textId="77777777" w:rsidR="00C31BC1" w:rsidRPr="00C70FBD" w:rsidRDefault="00C31BC1" w:rsidP="00070B0B">
            <w:pPr>
              <w:widowControl w:val="0"/>
              <w:suppressAutoHyphens/>
              <w:spacing w:before="40" w:after="40"/>
              <w:rPr>
                <w:sz w:val="20"/>
                <w:szCs w:val="20"/>
              </w:rPr>
            </w:pPr>
            <w:r w:rsidRPr="00C70FBD">
              <w:rPr>
                <w:sz w:val="20"/>
                <w:szCs w:val="20"/>
              </w:rPr>
              <w:t>≥ 107.4</w:t>
            </w:r>
          </w:p>
        </w:tc>
      </w:tr>
    </w:tbl>
    <w:p w14:paraId="32F898B3" w14:textId="3DB8A1D0" w:rsidR="00BC1816" w:rsidRDefault="00BC1816" w:rsidP="00C31BC1">
      <w:pPr>
        <w:widowControl w:val="0"/>
        <w:suppressAutoHyphens/>
        <w:jc w:val="both"/>
      </w:pPr>
    </w:p>
    <w:p w14:paraId="7C35F9AF" w14:textId="77777777" w:rsidR="00C31BC1" w:rsidRDefault="00C31BC1" w:rsidP="00C31BC1">
      <w:pPr>
        <w:widowControl w:val="0"/>
        <w:suppressAutoHyphens/>
        <w:jc w:val="both"/>
      </w:pPr>
    </w:p>
    <w:p w14:paraId="0606EC5D" w14:textId="77777777" w:rsidR="00C31BC1" w:rsidRPr="008F0492" w:rsidRDefault="00C31BC1" w:rsidP="00C31BC1">
      <w:pPr>
        <w:tabs>
          <w:tab w:val="left" w:pos="0"/>
        </w:tabs>
        <w:ind w:left="357" w:hanging="357"/>
        <w:contextualSpacing/>
        <w:rPr>
          <w:rFonts w:ascii="Times New Roman Bold" w:hAnsi="Times New Roman Bold"/>
          <w:b/>
          <w:bCs/>
          <w:caps/>
          <w:szCs w:val="24"/>
          <w:lang w:val="en-GB"/>
        </w:rPr>
      </w:pPr>
      <w:r w:rsidRPr="008F0492">
        <w:rPr>
          <w:rFonts w:ascii="Times New Roman Bold" w:hAnsi="Times New Roman Bold"/>
          <w:b/>
          <w:bCs/>
          <w:caps/>
          <w:szCs w:val="24"/>
          <w:lang w:val="en-GB"/>
        </w:rPr>
        <w:t>D.</w:t>
      </w:r>
      <w:r w:rsidRPr="008F0492">
        <w:rPr>
          <w:rFonts w:ascii="Times New Roman Bold" w:hAnsi="Times New Roman Bold"/>
          <w:b/>
          <w:bCs/>
          <w:caps/>
          <w:szCs w:val="24"/>
          <w:lang w:val="en-GB"/>
        </w:rPr>
        <w:tab/>
        <w:t>VALIDITY CRITERIA</w:t>
      </w:r>
    </w:p>
    <w:p w14:paraId="52A65D63" w14:textId="3313DC51" w:rsidR="00C31BC1" w:rsidRPr="008F0492" w:rsidRDefault="00C31BC1" w:rsidP="00C31BC1">
      <w:pPr>
        <w:tabs>
          <w:tab w:val="left" w:pos="720"/>
        </w:tabs>
        <w:jc w:val="both"/>
        <w:rPr>
          <w:szCs w:val="24"/>
          <w:lang w:val="en-GB"/>
        </w:rPr>
      </w:pPr>
      <w:r w:rsidRPr="008F0492">
        <w:rPr>
          <w:szCs w:val="24"/>
          <w:lang w:val="en-GB"/>
        </w:rPr>
        <w:t>All validity criteria were met (</w:t>
      </w:r>
      <w:r w:rsidR="00C174BA">
        <w:rPr>
          <w:szCs w:val="24"/>
          <w:lang w:val="en-GB"/>
        </w:rPr>
        <w:fldChar w:fldCharType="begin"/>
      </w:r>
      <w:r w:rsidR="00C174BA">
        <w:rPr>
          <w:szCs w:val="24"/>
          <w:lang w:val="en-GB"/>
        </w:rPr>
        <w:instrText xml:space="preserve"> REF _Ref147911873 \h </w:instrText>
      </w:r>
      <w:r w:rsidR="00C174BA">
        <w:rPr>
          <w:szCs w:val="24"/>
          <w:lang w:val="en-GB"/>
        </w:rPr>
      </w:r>
      <w:r w:rsidR="00C174BA">
        <w:rPr>
          <w:szCs w:val="24"/>
          <w:lang w:val="en-GB"/>
        </w:rPr>
        <w:fldChar w:fldCharType="separate"/>
      </w:r>
      <w:r w:rsidR="006F0F3B">
        <w:t xml:space="preserve">Table A </w:t>
      </w:r>
      <w:r w:rsidR="006F0F3B">
        <w:rPr>
          <w:noProof/>
        </w:rPr>
        <w:t>77</w:t>
      </w:r>
      <w:r w:rsidR="00C174BA">
        <w:rPr>
          <w:szCs w:val="24"/>
          <w:lang w:val="en-GB"/>
        </w:rPr>
        <w:fldChar w:fldCharType="end"/>
      </w:r>
      <w:r w:rsidRPr="008F0492">
        <w:rPr>
          <w:szCs w:val="24"/>
          <w:lang w:val="en-GB"/>
        </w:rPr>
        <w:t>).</w:t>
      </w:r>
    </w:p>
    <w:p w14:paraId="5359823E" w14:textId="77777777" w:rsidR="00C31BC1" w:rsidRPr="008F0492" w:rsidRDefault="00C31BC1" w:rsidP="00C31BC1">
      <w:pPr>
        <w:tabs>
          <w:tab w:val="left" w:pos="720"/>
        </w:tabs>
        <w:jc w:val="both"/>
        <w:rPr>
          <w:szCs w:val="24"/>
          <w:lang w:val="en-GB"/>
        </w:rPr>
      </w:pPr>
    </w:p>
    <w:p w14:paraId="2BE67837" w14:textId="347F65FC" w:rsidR="00C31BC1" w:rsidRPr="008F0492" w:rsidRDefault="00C174BA" w:rsidP="00C174BA">
      <w:pPr>
        <w:pStyle w:val="Legenda"/>
        <w:rPr>
          <w:b w:val="0"/>
          <w:bCs w:val="0"/>
          <w:szCs w:val="24"/>
        </w:rPr>
      </w:pPr>
      <w:bookmarkStart w:id="1158" w:name="_Ref147911873"/>
      <w:r>
        <w:t xml:space="preserve">Table A </w:t>
      </w:r>
      <w:r>
        <w:fldChar w:fldCharType="begin"/>
      </w:r>
      <w:r>
        <w:instrText xml:space="preserve"> SEQ Table_A \* ARABIC </w:instrText>
      </w:r>
      <w:r>
        <w:fldChar w:fldCharType="separate"/>
      </w:r>
      <w:r w:rsidR="006F0F3B">
        <w:rPr>
          <w:noProof/>
        </w:rPr>
        <w:t>77</w:t>
      </w:r>
      <w:r>
        <w:fldChar w:fldCharType="end"/>
      </w:r>
      <w:bookmarkEnd w:id="1158"/>
      <w:r w:rsidR="00C31BC1" w:rsidRPr="008F0492">
        <w:rPr>
          <w:szCs w:val="24"/>
        </w:rPr>
        <w:t>: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4536"/>
      </w:tblGrid>
      <w:tr w:rsidR="00C31BC1" w:rsidRPr="008F0492" w14:paraId="3FE4D15F" w14:textId="77777777" w:rsidTr="00070B0B">
        <w:trPr>
          <w:trHeight w:val="270"/>
          <w:tblHeader/>
        </w:trPr>
        <w:tc>
          <w:tcPr>
            <w:tcW w:w="4673" w:type="dxa"/>
            <w:shd w:val="clear" w:color="auto" w:fill="auto"/>
            <w:noWrap/>
            <w:hideMark/>
          </w:tcPr>
          <w:p w14:paraId="439E9AD7" w14:textId="77777777" w:rsidR="00C31BC1" w:rsidRPr="008F0492" w:rsidRDefault="00C31BC1" w:rsidP="00070B0B">
            <w:pPr>
              <w:tabs>
                <w:tab w:val="left" w:pos="720"/>
              </w:tabs>
              <w:spacing w:before="60" w:after="60"/>
              <w:rPr>
                <w:b/>
                <w:bCs/>
                <w:lang w:val="en-GB"/>
              </w:rPr>
            </w:pPr>
            <w:r w:rsidRPr="008F0492">
              <w:rPr>
                <w:b/>
                <w:bCs/>
                <w:lang w:val="en-GB"/>
              </w:rPr>
              <w:t>Validity criteria according to OECD 222 (2016)</w:t>
            </w:r>
          </w:p>
        </w:tc>
        <w:tc>
          <w:tcPr>
            <w:tcW w:w="4536" w:type="dxa"/>
            <w:shd w:val="clear" w:color="auto" w:fill="auto"/>
            <w:noWrap/>
            <w:hideMark/>
          </w:tcPr>
          <w:p w14:paraId="36A7012C" w14:textId="77777777" w:rsidR="00C31BC1" w:rsidRPr="008F0492" w:rsidRDefault="00C31BC1" w:rsidP="00070B0B">
            <w:pPr>
              <w:tabs>
                <w:tab w:val="left" w:pos="720"/>
              </w:tabs>
              <w:spacing w:before="60" w:after="60"/>
              <w:jc w:val="both"/>
              <w:rPr>
                <w:b/>
                <w:bCs/>
                <w:lang w:val="en-GB"/>
              </w:rPr>
            </w:pPr>
            <w:r w:rsidRPr="008F0492">
              <w:rPr>
                <w:b/>
                <w:bCs/>
                <w:lang w:val="en-GB"/>
              </w:rPr>
              <w:t>Obtained in this study</w:t>
            </w:r>
          </w:p>
        </w:tc>
      </w:tr>
      <w:tr w:rsidR="00C31BC1" w:rsidRPr="008F0492" w14:paraId="2345C49E" w14:textId="77777777" w:rsidTr="00070B0B">
        <w:trPr>
          <w:trHeight w:val="270"/>
        </w:trPr>
        <w:tc>
          <w:tcPr>
            <w:tcW w:w="4673" w:type="dxa"/>
            <w:shd w:val="clear" w:color="auto" w:fill="auto"/>
            <w:noWrap/>
          </w:tcPr>
          <w:p w14:paraId="484101ED" w14:textId="77777777" w:rsidR="00C31BC1" w:rsidRPr="008F0492" w:rsidRDefault="00C31BC1" w:rsidP="00070B0B">
            <w:pPr>
              <w:tabs>
                <w:tab w:val="left" w:pos="720"/>
              </w:tabs>
              <w:spacing w:before="60" w:after="60"/>
              <w:rPr>
                <w:lang w:val="en-GB"/>
              </w:rPr>
            </w:pPr>
            <w:r w:rsidRPr="008F0492">
              <w:rPr>
                <w:lang w:val="en-GB"/>
              </w:rPr>
              <w:t>In the control(s), adult mortality after 4 weeks should be ≤10%</w:t>
            </w:r>
          </w:p>
        </w:tc>
        <w:tc>
          <w:tcPr>
            <w:tcW w:w="4536" w:type="dxa"/>
            <w:shd w:val="clear" w:color="auto" w:fill="auto"/>
            <w:noWrap/>
          </w:tcPr>
          <w:p w14:paraId="00F3C7D4" w14:textId="77777777" w:rsidR="00C31BC1" w:rsidRPr="008F0492" w:rsidRDefault="00C31BC1" w:rsidP="00070B0B">
            <w:pPr>
              <w:tabs>
                <w:tab w:val="left" w:pos="720"/>
              </w:tabs>
              <w:spacing w:before="60" w:after="60"/>
              <w:jc w:val="both"/>
              <w:rPr>
                <w:lang w:val="en-GB"/>
              </w:rPr>
            </w:pPr>
            <w:r w:rsidRPr="008F0492">
              <w:rPr>
                <w:lang w:val="en-GB"/>
              </w:rPr>
              <w:t>0%</w:t>
            </w:r>
          </w:p>
        </w:tc>
      </w:tr>
      <w:tr w:rsidR="00C31BC1" w:rsidRPr="008F0492" w14:paraId="43506C37" w14:textId="77777777" w:rsidTr="00070B0B">
        <w:trPr>
          <w:trHeight w:val="270"/>
        </w:trPr>
        <w:tc>
          <w:tcPr>
            <w:tcW w:w="4673" w:type="dxa"/>
            <w:shd w:val="clear" w:color="auto" w:fill="auto"/>
            <w:noWrap/>
          </w:tcPr>
          <w:p w14:paraId="4694A882" w14:textId="77777777" w:rsidR="00C31BC1" w:rsidRPr="008F0492" w:rsidRDefault="00C31BC1" w:rsidP="00070B0B">
            <w:pPr>
              <w:tabs>
                <w:tab w:val="left" w:pos="720"/>
              </w:tabs>
              <w:autoSpaceDE w:val="0"/>
              <w:autoSpaceDN w:val="0"/>
              <w:adjustRightInd w:val="0"/>
              <w:spacing w:before="60" w:after="60"/>
              <w:rPr>
                <w:rFonts w:eastAsia="Calibri"/>
                <w:lang w:val="en-GB"/>
              </w:rPr>
            </w:pPr>
            <w:r w:rsidRPr="008F0492">
              <w:rPr>
                <w:lang w:val="en-GB"/>
              </w:rPr>
              <w:t>In the control(s), number of juveniles per replicate should be ≥30</w:t>
            </w:r>
          </w:p>
        </w:tc>
        <w:tc>
          <w:tcPr>
            <w:tcW w:w="4536" w:type="dxa"/>
            <w:shd w:val="clear" w:color="auto" w:fill="auto"/>
            <w:noWrap/>
          </w:tcPr>
          <w:p w14:paraId="501150AA" w14:textId="77777777" w:rsidR="00C31BC1" w:rsidRPr="008F0492" w:rsidRDefault="00C31BC1" w:rsidP="00070B0B">
            <w:pPr>
              <w:tabs>
                <w:tab w:val="left" w:pos="720"/>
              </w:tabs>
              <w:spacing w:before="60" w:after="60"/>
              <w:jc w:val="both"/>
              <w:rPr>
                <w:lang w:val="en-GB"/>
              </w:rPr>
            </w:pPr>
            <w:r w:rsidRPr="008F0492">
              <w:rPr>
                <w:lang w:val="en-GB"/>
              </w:rPr>
              <w:t>130.5</w:t>
            </w:r>
          </w:p>
        </w:tc>
      </w:tr>
      <w:tr w:rsidR="00C31BC1" w:rsidRPr="008F0492" w14:paraId="32F1BCE8" w14:textId="77777777" w:rsidTr="00070B0B">
        <w:trPr>
          <w:trHeight w:val="270"/>
        </w:trPr>
        <w:tc>
          <w:tcPr>
            <w:tcW w:w="4673" w:type="dxa"/>
            <w:shd w:val="clear" w:color="auto" w:fill="auto"/>
            <w:noWrap/>
          </w:tcPr>
          <w:p w14:paraId="7F544761" w14:textId="77777777" w:rsidR="00C31BC1" w:rsidRPr="0006088D" w:rsidRDefault="00C31BC1" w:rsidP="00070B0B">
            <w:pPr>
              <w:tabs>
                <w:tab w:val="left" w:pos="720"/>
              </w:tabs>
              <w:autoSpaceDE w:val="0"/>
              <w:autoSpaceDN w:val="0"/>
              <w:adjustRightInd w:val="0"/>
              <w:spacing w:before="60" w:after="60"/>
              <w:rPr>
                <w:rFonts w:eastAsia="Calibri"/>
                <w:lang w:val="en-GB"/>
              </w:rPr>
            </w:pPr>
            <w:r w:rsidRPr="0006088D">
              <w:rPr>
                <w:lang w:val="en-GB"/>
              </w:rPr>
              <w:t>In the control(s), coefficient of variation of reproduction should be ≤30%</w:t>
            </w:r>
          </w:p>
        </w:tc>
        <w:tc>
          <w:tcPr>
            <w:tcW w:w="4536" w:type="dxa"/>
            <w:shd w:val="clear" w:color="auto" w:fill="auto"/>
            <w:noWrap/>
          </w:tcPr>
          <w:p w14:paraId="5F43466D" w14:textId="77777777" w:rsidR="00C31BC1" w:rsidRPr="0006088D" w:rsidRDefault="00C31BC1" w:rsidP="00070B0B">
            <w:pPr>
              <w:tabs>
                <w:tab w:val="left" w:pos="720"/>
              </w:tabs>
              <w:spacing w:before="60" w:after="60"/>
              <w:jc w:val="both"/>
              <w:rPr>
                <w:lang w:val="en-GB"/>
              </w:rPr>
            </w:pPr>
            <w:r w:rsidRPr="0006088D">
              <w:rPr>
                <w:lang w:val="en-GB"/>
              </w:rPr>
              <w:t>21%</w:t>
            </w:r>
          </w:p>
        </w:tc>
      </w:tr>
    </w:tbl>
    <w:p w14:paraId="7EE8ED0A" w14:textId="77777777" w:rsidR="00C31BC1" w:rsidRPr="008F0492" w:rsidRDefault="00C31BC1" w:rsidP="00C31BC1">
      <w:pPr>
        <w:tabs>
          <w:tab w:val="left" w:pos="720"/>
        </w:tabs>
        <w:jc w:val="both"/>
        <w:rPr>
          <w:szCs w:val="24"/>
          <w:lang w:val="en-GB"/>
        </w:rPr>
      </w:pPr>
    </w:p>
    <w:p w14:paraId="48DA93E4" w14:textId="77777777" w:rsidR="00C31BC1" w:rsidRPr="008F0492" w:rsidRDefault="00C31BC1" w:rsidP="00C31BC1">
      <w:pPr>
        <w:tabs>
          <w:tab w:val="left" w:pos="0"/>
        </w:tabs>
        <w:ind w:left="357" w:hanging="357"/>
        <w:contextualSpacing/>
        <w:rPr>
          <w:rFonts w:ascii="Times New Roman Bold" w:hAnsi="Times New Roman Bold"/>
          <w:b/>
          <w:bCs/>
          <w:caps/>
          <w:szCs w:val="24"/>
          <w:lang w:val="en-GB"/>
        </w:rPr>
      </w:pPr>
      <w:r w:rsidRPr="008F0492">
        <w:rPr>
          <w:rFonts w:ascii="Times New Roman Bold" w:hAnsi="Times New Roman Bold"/>
          <w:b/>
          <w:bCs/>
          <w:caps/>
          <w:szCs w:val="24"/>
          <w:lang w:val="en-GB"/>
        </w:rPr>
        <w:t>E.</w:t>
      </w:r>
      <w:r w:rsidRPr="008F0492">
        <w:rPr>
          <w:rFonts w:ascii="Times New Roman Bold" w:hAnsi="Times New Roman Bold"/>
          <w:b/>
          <w:bCs/>
          <w:caps/>
          <w:szCs w:val="24"/>
          <w:lang w:val="en-GB"/>
        </w:rPr>
        <w:tab/>
        <w:t>DEFICIENCIES</w:t>
      </w:r>
    </w:p>
    <w:p w14:paraId="33D21DFC" w14:textId="69C14219" w:rsidR="00C31BC1" w:rsidRDefault="00C31BC1" w:rsidP="00C31BC1">
      <w:pPr>
        <w:tabs>
          <w:tab w:val="left" w:pos="720"/>
        </w:tabs>
        <w:spacing w:after="240"/>
        <w:jc w:val="both"/>
        <w:rPr>
          <w:szCs w:val="24"/>
          <w:lang w:val="en-GB"/>
        </w:rPr>
      </w:pPr>
      <w:r w:rsidRPr="008F0492">
        <w:rPr>
          <w:szCs w:val="24"/>
          <w:lang w:val="en-GB"/>
        </w:rPr>
        <w:t xml:space="preserve">There were no </w:t>
      </w:r>
      <w:r>
        <w:rPr>
          <w:szCs w:val="24"/>
          <w:lang w:val="en-GB"/>
        </w:rPr>
        <w:t>deficiencies</w:t>
      </w:r>
      <w:r w:rsidRPr="008F0492">
        <w:rPr>
          <w:szCs w:val="24"/>
          <w:lang w:val="en-GB"/>
        </w:rPr>
        <w:t>.</w:t>
      </w:r>
    </w:p>
    <w:p w14:paraId="1ED5244A" w14:textId="77777777" w:rsidR="00C31BC1" w:rsidRPr="008F0492" w:rsidRDefault="00C31BC1" w:rsidP="008D2927">
      <w:pPr>
        <w:tabs>
          <w:tab w:val="left" w:pos="720"/>
        </w:tabs>
        <w:spacing w:after="240"/>
        <w:ind w:left="720" w:hanging="431"/>
        <w:contextualSpacing/>
        <w:jc w:val="center"/>
        <w:rPr>
          <w:rFonts w:ascii="Times New Roman Bold" w:hAnsi="Times New Roman Bold"/>
          <w:b/>
          <w:bCs/>
          <w:caps/>
          <w:szCs w:val="24"/>
          <w:lang w:val="en-GB"/>
        </w:rPr>
      </w:pPr>
      <w:r w:rsidRPr="008F0492">
        <w:rPr>
          <w:rFonts w:ascii="Times New Roman Bold" w:hAnsi="Times New Roman Bold"/>
          <w:b/>
          <w:bCs/>
          <w:caps/>
          <w:szCs w:val="24"/>
          <w:lang w:val="en-GB"/>
        </w:rPr>
        <w:t>III.</w:t>
      </w:r>
      <w:r w:rsidRPr="008F0492">
        <w:rPr>
          <w:rFonts w:ascii="Times New Roman Bold" w:hAnsi="Times New Roman Bold"/>
          <w:b/>
          <w:bCs/>
          <w:caps/>
          <w:szCs w:val="24"/>
          <w:lang w:val="en-GB"/>
        </w:rPr>
        <w:tab/>
        <w:t>Conclusion</w:t>
      </w:r>
    </w:p>
    <w:p w14:paraId="71DDF941" w14:textId="77777777" w:rsidR="00C31BC1" w:rsidRDefault="00C31BC1" w:rsidP="00C31BC1">
      <w:pPr>
        <w:pStyle w:val="RepStandard"/>
        <w:rPr>
          <w:szCs w:val="24"/>
          <w:lang w:val="en-GB"/>
        </w:rPr>
      </w:pPr>
      <w:r w:rsidRPr="008F0492">
        <w:rPr>
          <w:szCs w:val="24"/>
          <w:lang w:val="en-GB"/>
        </w:rPr>
        <w:t>In a 56-day reproduction study with BAS 650 00 F on earthworms (Eisenia fetida), the NOEC for mortality, biomass, reproduction and feeding activity was 107.4 mg BAS 650 00 F/kg dry soil.</w:t>
      </w:r>
    </w:p>
    <w:p w14:paraId="5753BE57" w14:textId="77777777" w:rsidR="00C31BC1" w:rsidRDefault="00C31BC1" w:rsidP="00DC5685">
      <w:pPr>
        <w:widowControl w:val="0"/>
        <w:jc w:val="both"/>
        <w:rPr>
          <w:color w:val="000000" w:themeColor="text1"/>
          <w:szCs w:val="24"/>
          <w:lang w:val="en-GB"/>
        </w:rPr>
      </w:pPr>
    </w:p>
    <w:p w14:paraId="69BB7BBA" w14:textId="77777777" w:rsidR="00DC5685" w:rsidRPr="00A34F10" w:rsidRDefault="00DC5685" w:rsidP="0060455A">
      <w:pPr>
        <w:pStyle w:val="RepAppendix4"/>
      </w:pPr>
      <w:r w:rsidRPr="00A34F10">
        <w:t xml:space="preserve">KCP 10.4.1.2 </w:t>
      </w:r>
      <w:r w:rsidRPr="00A34F10">
        <w:tab/>
        <w:t>Earthworms - field studies</w:t>
      </w:r>
    </w:p>
    <w:p w14:paraId="5886730C" w14:textId="77777777" w:rsidR="00DC5685" w:rsidRPr="00A34F10" w:rsidRDefault="00DC5685" w:rsidP="00DC5685">
      <w:pPr>
        <w:widowControl w:val="0"/>
        <w:jc w:val="both"/>
      </w:pPr>
      <w:bookmarkStart w:id="1159" w:name="_Hlk135687575"/>
      <w:r w:rsidRPr="00A34F10">
        <w:rPr>
          <w:color w:val="000000" w:themeColor="text1"/>
        </w:rPr>
        <w:t>Further studies were not triggered.</w:t>
      </w:r>
      <w:bookmarkEnd w:id="1159"/>
    </w:p>
    <w:p w14:paraId="60B05AAE" w14:textId="77777777" w:rsidR="008D2927" w:rsidRDefault="008D2927">
      <w:pPr>
        <w:rPr>
          <w:b/>
          <w:sz w:val="24"/>
        </w:rPr>
      </w:pPr>
      <w:bookmarkStart w:id="1160" w:name="_Toc413922104"/>
      <w:bookmarkStart w:id="1161" w:name="_Toc413922593"/>
      <w:bookmarkStart w:id="1162" w:name="_Toc413922697"/>
      <w:bookmarkStart w:id="1163" w:name="_Toc414955334"/>
      <w:bookmarkStart w:id="1164" w:name="_Toc415214641"/>
      <w:r>
        <w:br w:type="page"/>
      </w:r>
    </w:p>
    <w:p w14:paraId="38F88374" w14:textId="3611B743" w:rsidR="00DC5685" w:rsidRPr="00A34F10" w:rsidRDefault="00DC5685" w:rsidP="0060455A">
      <w:pPr>
        <w:pStyle w:val="RepAppendix3"/>
      </w:pPr>
      <w:bookmarkStart w:id="1165" w:name="_Toc181625030"/>
      <w:r w:rsidRPr="00A34F10">
        <w:lastRenderedPageBreak/>
        <w:t xml:space="preserve">KCP 10.4.2 </w:t>
      </w:r>
      <w:r w:rsidRPr="00A34F10">
        <w:tab/>
        <w:t>Effects on non-target soil meso- and macrofauna (other than earthworms)</w:t>
      </w:r>
      <w:bookmarkEnd w:id="1160"/>
      <w:bookmarkEnd w:id="1161"/>
      <w:bookmarkEnd w:id="1162"/>
      <w:bookmarkEnd w:id="1163"/>
      <w:bookmarkEnd w:id="1164"/>
      <w:bookmarkEnd w:id="1165"/>
    </w:p>
    <w:p w14:paraId="30D7C8CA" w14:textId="77777777" w:rsidR="00DC5685" w:rsidRPr="00A34F10" w:rsidRDefault="00DC5685" w:rsidP="0060455A">
      <w:pPr>
        <w:pStyle w:val="RepAppendix4"/>
      </w:pPr>
      <w:r w:rsidRPr="00A34F10">
        <w:t xml:space="preserve">KCP 10.4.2.1 </w:t>
      </w:r>
      <w:r w:rsidRPr="00A34F10">
        <w:tab/>
        <w:t>Species level testing</w:t>
      </w:r>
    </w:p>
    <w:p w14:paraId="613ECA71" w14:textId="77777777" w:rsidR="00DC5685" w:rsidRPr="00A34F10" w:rsidRDefault="00DC5685" w:rsidP="00BC1816">
      <w:pPr>
        <w:pStyle w:val="RepAppendix5"/>
      </w:pPr>
      <w:r w:rsidRPr="00A34F10">
        <w:t>Study 1</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35D8206F" w14:textId="77777777" w:rsidTr="000576ED">
        <w:tc>
          <w:tcPr>
            <w:tcW w:w="1063" w:type="pct"/>
            <w:shd w:val="clear" w:color="auto" w:fill="D9D9D9" w:themeFill="background1" w:themeFillShade="D9"/>
          </w:tcPr>
          <w:p w14:paraId="40E941D1" w14:textId="77777777" w:rsidR="00DC5685" w:rsidRPr="00A34F10" w:rsidRDefault="00DC5685" w:rsidP="00DC5685">
            <w:pPr>
              <w:widowControl w:val="0"/>
              <w:suppressAutoHyphens/>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4F8ED6ED" w14:textId="7CDED927" w:rsidR="00DC5685" w:rsidRPr="00A34F10" w:rsidRDefault="000576ED" w:rsidP="00DC5685">
            <w:pPr>
              <w:widowControl w:val="0"/>
              <w:suppressAutoHyphens/>
              <w:ind w:left="85"/>
              <w:jc w:val="both"/>
              <w:rPr>
                <w:rFonts w:eastAsia="Batang"/>
                <w:color w:val="000000" w:themeColor="text1"/>
              </w:rPr>
            </w:pPr>
            <w:r w:rsidRPr="0037666C">
              <w:rPr>
                <w:rFonts w:eastAsia="Batang"/>
              </w:rPr>
              <w:t xml:space="preserve">The study was conducted to </w:t>
            </w:r>
            <w:r w:rsidRPr="00A34F10">
              <w:rPr>
                <w:lang w:val="en-GB"/>
              </w:rPr>
              <w:t>OECD 2</w:t>
            </w:r>
            <w:r>
              <w:rPr>
                <w:lang w:val="en-GB"/>
              </w:rPr>
              <w:t>3</w:t>
            </w:r>
            <w:r w:rsidRPr="00A34F10">
              <w:rPr>
                <w:lang w:val="en-GB"/>
              </w:rPr>
              <w:t xml:space="preserve">2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3F61101A" w14:textId="77777777" w:rsidR="00DC5685" w:rsidRPr="00A34F10" w:rsidRDefault="00DC5685" w:rsidP="00DC5685">
      <w:pPr>
        <w:suppressAutoHyphens/>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410"/>
        <w:gridCol w:w="6944"/>
      </w:tblGrid>
      <w:tr w:rsidR="00DC5685" w:rsidRPr="00A34F10" w14:paraId="0CB327C7" w14:textId="77777777" w:rsidTr="000470C3">
        <w:trPr>
          <w:trHeight w:val="227"/>
          <w:jc w:val="center"/>
        </w:trPr>
        <w:tc>
          <w:tcPr>
            <w:tcW w:w="1288" w:type="pct"/>
          </w:tcPr>
          <w:p w14:paraId="09B37DC1"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712" w:type="pct"/>
          </w:tcPr>
          <w:p w14:paraId="45EC1374" w14:textId="77777777" w:rsidR="00DC5685" w:rsidRPr="00A34F10" w:rsidRDefault="00DC5685" w:rsidP="00DC5685">
            <w:pPr>
              <w:widowControl w:val="0"/>
              <w:spacing w:after="120"/>
              <w:jc w:val="both"/>
              <w:rPr>
                <w:lang w:val="en-GB"/>
              </w:rPr>
            </w:pPr>
            <w:r w:rsidRPr="00A34F10">
              <w:rPr>
                <w:lang w:val="en-GB"/>
              </w:rPr>
              <w:t>CP 10.4.2.1/01</w:t>
            </w:r>
          </w:p>
        </w:tc>
      </w:tr>
      <w:tr w:rsidR="00DC5685" w:rsidRPr="00A34F10" w14:paraId="6B574C83" w14:textId="77777777" w:rsidTr="000470C3">
        <w:trPr>
          <w:trHeight w:val="227"/>
          <w:jc w:val="center"/>
        </w:trPr>
        <w:tc>
          <w:tcPr>
            <w:tcW w:w="1288" w:type="pct"/>
          </w:tcPr>
          <w:p w14:paraId="5009C094" w14:textId="77777777" w:rsidR="00DC5685" w:rsidRPr="00A34F10" w:rsidRDefault="00DC5685" w:rsidP="00DC5685">
            <w:pPr>
              <w:widowControl w:val="0"/>
              <w:spacing w:after="120"/>
              <w:jc w:val="both"/>
              <w:rPr>
                <w:lang w:val="en-GB"/>
              </w:rPr>
            </w:pPr>
            <w:r w:rsidRPr="00A34F10">
              <w:rPr>
                <w:lang w:val="en-GB"/>
              </w:rPr>
              <w:t xml:space="preserve">Report </w:t>
            </w:r>
          </w:p>
        </w:tc>
        <w:tc>
          <w:tcPr>
            <w:tcW w:w="3712" w:type="pct"/>
          </w:tcPr>
          <w:p w14:paraId="212DCBF4" w14:textId="77777777" w:rsidR="00DC5685" w:rsidRPr="00A34F10" w:rsidRDefault="00DC5685" w:rsidP="00DC5685">
            <w:pPr>
              <w:widowControl w:val="0"/>
              <w:spacing w:after="120"/>
              <w:jc w:val="both"/>
              <w:rPr>
                <w:lang w:val="en-GB"/>
              </w:rPr>
            </w:pPr>
            <w:r w:rsidRPr="00A34F10">
              <w:rPr>
                <w:lang w:val="en-GB"/>
              </w:rPr>
              <w:t xml:space="preserve">Effects of BAS 743 02 F on the reproduction of the collembolan </w:t>
            </w:r>
            <w:r w:rsidRPr="00A34F10">
              <w:rPr>
                <w:i/>
                <w:iCs/>
                <w:lang w:val="en-GB"/>
              </w:rPr>
              <w:t>Folsomia candida</w:t>
            </w:r>
          </w:p>
          <w:p w14:paraId="74F60F7A" w14:textId="77777777" w:rsidR="00DC5685" w:rsidRPr="00A34F10" w:rsidRDefault="00DC5685" w:rsidP="00DC5685">
            <w:pPr>
              <w:widowControl w:val="0"/>
              <w:spacing w:after="120"/>
              <w:jc w:val="both"/>
              <w:rPr>
                <w:lang w:val="en-GB"/>
              </w:rPr>
            </w:pPr>
            <w:r w:rsidRPr="00A34F10">
              <w:rPr>
                <w:lang w:val="en-GB"/>
              </w:rPr>
              <w:t>Friedrich, S., 2022b</w:t>
            </w:r>
          </w:p>
          <w:p w14:paraId="1EBCB23C" w14:textId="5F626C8C" w:rsidR="00DC5685" w:rsidRPr="00A34F10" w:rsidRDefault="00D007AB" w:rsidP="00DC5685">
            <w:pPr>
              <w:widowControl w:val="0"/>
              <w:spacing w:after="120"/>
              <w:jc w:val="both"/>
              <w:rPr>
                <w:lang w:val="en-GB"/>
              </w:rPr>
            </w:pPr>
            <w:r>
              <w:t>XXXX</w:t>
            </w:r>
            <w:r w:rsidR="00DC5685" w:rsidRPr="00A34F10">
              <w:t xml:space="preserve"> Study ID:</w:t>
            </w:r>
            <w:r w:rsidR="00DC5685" w:rsidRPr="00A34F10">
              <w:rPr>
                <w:lang w:val="en-GB"/>
              </w:rPr>
              <w:t xml:space="preserve"> 933752_11</w:t>
            </w:r>
          </w:p>
          <w:p w14:paraId="480E6576" w14:textId="1E6ABB61"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2022/2033721</w:t>
            </w:r>
          </w:p>
        </w:tc>
      </w:tr>
      <w:tr w:rsidR="00DC5685" w:rsidRPr="00A34F10" w14:paraId="5BFB46E6" w14:textId="77777777" w:rsidTr="000470C3">
        <w:trPr>
          <w:trHeight w:val="227"/>
          <w:jc w:val="center"/>
        </w:trPr>
        <w:tc>
          <w:tcPr>
            <w:tcW w:w="1288" w:type="pct"/>
          </w:tcPr>
          <w:p w14:paraId="0F1F25F8" w14:textId="77777777" w:rsidR="00DC5685" w:rsidRPr="00A34F10" w:rsidRDefault="00DC5685" w:rsidP="00DC5685">
            <w:pPr>
              <w:widowControl w:val="0"/>
              <w:spacing w:after="120"/>
              <w:jc w:val="both"/>
              <w:rPr>
                <w:lang w:val="en-GB"/>
              </w:rPr>
            </w:pPr>
            <w:r w:rsidRPr="00A34F10">
              <w:rPr>
                <w:lang w:val="en-GB"/>
              </w:rPr>
              <w:t xml:space="preserve">Guidelines: </w:t>
            </w:r>
          </w:p>
        </w:tc>
        <w:tc>
          <w:tcPr>
            <w:tcW w:w="3712" w:type="pct"/>
            <w:shd w:val="clear" w:color="auto" w:fill="auto"/>
          </w:tcPr>
          <w:p w14:paraId="39004F9F" w14:textId="77777777" w:rsidR="00DC5685" w:rsidRPr="00A34F10" w:rsidRDefault="00DC5685" w:rsidP="00DC5685">
            <w:pPr>
              <w:widowControl w:val="0"/>
              <w:spacing w:after="120"/>
              <w:jc w:val="both"/>
            </w:pPr>
            <w:r w:rsidRPr="00A34F10">
              <w:rPr>
                <w:lang w:val="en-GB"/>
              </w:rPr>
              <w:t>OECD 232 (2016)</w:t>
            </w:r>
          </w:p>
        </w:tc>
      </w:tr>
      <w:tr w:rsidR="00DC5685" w:rsidRPr="00A34F10" w14:paraId="713CF90E" w14:textId="77777777" w:rsidTr="000470C3">
        <w:trPr>
          <w:trHeight w:val="227"/>
          <w:jc w:val="center"/>
        </w:trPr>
        <w:tc>
          <w:tcPr>
            <w:tcW w:w="1288" w:type="pct"/>
          </w:tcPr>
          <w:p w14:paraId="51DBD1FA"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712" w:type="pct"/>
            <w:shd w:val="clear" w:color="auto" w:fill="auto"/>
          </w:tcPr>
          <w:p w14:paraId="7913374A"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535A6C11" w14:textId="77777777" w:rsidTr="000470C3">
        <w:trPr>
          <w:trHeight w:val="227"/>
          <w:jc w:val="center"/>
        </w:trPr>
        <w:tc>
          <w:tcPr>
            <w:tcW w:w="1288" w:type="pct"/>
          </w:tcPr>
          <w:p w14:paraId="4B2B92EF" w14:textId="77777777" w:rsidR="00DC5685" w:rsidRPr="00A34F10" w:rsidRDefault="00DC5685" w:rsidP="00DC5685">
            <w:pPr>
              <w:widowControl w:val="0"/>
              <w:spacing w:after="120"/>
              <w:jc w:val="both"/>
              <w:rPr>
                <w:lang w:val="en-GB"/>
              </w:rPr>
            </w:pPr>
            <w:r w:rsidRPr="00A34F10">
              <w:rPr>
                <w:lang w:val="en-GB"/>
              </w:rPr>
              <w:t>GLP:</w:t>
            </w:r>
          </w:p>
        </w:tc>
        <w:tc>
          <w:tcPr>
            <w:tcW w:w="3712" w:type="pct"/>
          </w:tcPr>
          <w:p w14:paraId="61B0B69C"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00DE1316" w14:textId="77777777" w:rsidTr="000470C3">
        <w:trPr>
          <w:trHeight w:val="227"/>
          <w:jc w:val="center"/>
        </w:trPr>
        <w:tc>
          <w:tcPr>
            <w:tcW w:w="1288" w:type="pct"/>
          </w:tcPr>
          <w:p w14:paraId="4EF0A982"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712" w:type="pct"/>
          </w:tcPr>
          <w:p w14:paraId="01A3B832" w14:textId="77777777" w:rsidR="00DC5685" w:rsidRPr="00A34F10" w:rsidRDefault="00DC5685" w:rsidP="00DC5685">
            <w:pPr>
              <w:widowControl w:val="0"/>
              <w:spacing w:after="120"/>
              <w:jc w:val="both"/>
              <w:rPr>
                <w:lang w:val="en-GB"/>
              </w:rPr>
            </w:pPr>
            <w:r w:rsidRPr="00A34F10">
              <w:rPr>
                <w:lang w:val="en-GB"/>
              </w:rPr>
              <w:t>Yes</w:t>
            </w:r>
          </w:p>
        </w:tc>
      </w:tr>
    </w:tbl>
    <w:p w14:paraId="628ED9F4" w14:textId="77777777" w:rsidR="00DC5685" w:rsidRPr="00A34F10" w:rsidRDefault="00DC5685" w:rsidP="00DC5685">
      <w:pPr>
        <w:suppressAutoHyphens/>
        <w:rPr>
          <w:color w:val="000000" w:themeColor="text1"/>
        </w:rPr>
      </w:pPr>
    </w:p>
    <w:p w14:paraId="1D4C5C5D"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15802A8A" w14:textId="77777777" w:rsidR="00DC5685" w:rsidRPr="00A34F10" w:rsidRDefault="00DC5685" w:rsidP="00DC5685">
      <w:pPr>
        <w:keepNext/>
        <w:keepLines/>
        <w:tabs>
          <w:tab w:val="left" w:pos="720"/>
        </w:tabs>
        <w:jc w:val="both"/>
        <w:rPr>
          <w:b/>
          <w:color w:val="000000" w:themeColor="text1"/>
          <w:szCs w:val="32"/>
          <w:highlight w:val="yellow"/>
          <w:lang w:val="en-GB"/>
        </w:rPr>
      </w:pPr>
    </w:p>
    <w:p w14:paraId="70EC9FEF" w14:textId="77777777" w:rsidR="00DC5685" w:rsidRPr="00A34F10" w:rsidRDefault="00DC5685" w:rsidP="00DC5685">
      <w:pPr>
        <w:tabs>
          <w:tab w:val="left" w:pos="720"/>
        </w:tabs>
        <w:spacing w:after="240"/>
        <w:jc w:val="both"/>
        <w:rPr>
          <w:lang w:val="en-GB"/>
        </w:rPr>
      </w:pPr>
      <w:r w:rsidRPr="00A34F10">
        <w:rPr>
          <w:lang w:val="en-GB"/>
        </w:rPr>
        <w:t xml:space="preserve">A study to determine the effects of BAS 743 02 F on the reproduction of the collembolan </w:t>
      </w:r>
      <w:r w:rsidRPr="00A34F10">
        <w:rPr>
          <w:i/>
          <w:iCs/>
          <w:lang w:val="en-GB"/>
        </w:rPr>
        <w:t>Folsomia candida</w:t>
      </w:r>
      <w:r w:rsidRPr="00A34F10">
        <w:rPr>
          <w:lang w:val="en-GB"/>
        </w:rPr>
        <w:t xml:space="preserve"> was performed over 28 days in the laboratory in artificial soil. The test comprised nine treatment groups; eight nominal test item concentrations between 16.3 and 1000 mg product/kg soil dry weight (dw) and an untreated control. Four replicates were used for the test item treatments and eight replicates were used for the control. Each replicate contained 10 springtails. Assessments of mortality, reproduction and behaviour were carried out 28 days after treatment.</w:t>
      </w:r>
    </w:p>
    <w:p w14:paraId="40C08FAE" w14:textId="4EF3C2E0" w:rsidR="00A759A1" w:rsidRDefault="00DC5685" w:rsidP="00DC5685">
      <w:pPr>
        <w:jc w:val="both"/>
      </w:pPr>
      <w:r w:rsidRPr="00A34F10">
        <w:rPr>
          <w:lang w:val="en-GB"/>
        </w:rPr>
        <w:t xml:space="preserve">No statistically significant effect on parental mortality was found for any concentration tested. Statistically significant effects on the number of juveniles compared to the control group were recorded at a concentration of 1000 mg product/kg soil dw. The </w:t>
      </w:r>
      <w:r w:rsidRPr="00A34F10">
        <w:rPr>
          <w:bCs/>
        </w:rPr>
        <w:t>LC</w:t>
      </w:r>
      <w:r w:rsidRPr="00A34F10">
        <w:rPr>
          <w:bCs/>
          <w:vertAlign w:val="subscript"/>
        </w:rPr>
        <w:t>50</w:t>
      </w:r>
      <w:r w:rsidRPr="00A34F10">
        <w:rPr>
          <w:bCs/>
        </w:rPr>
        <w:t xml:space="preserve"> </w:t>
      </w:r>
      <w:r w:rsidRPr="00A34F10">
        <w:t>was determined to be &gt;1000 mg product/kg soil dw, the highest tested concentration</w:t>
      </w:r>
      <w:r w:rsidRPr="00A34F10">
        <w:rPr>
          <w:bCs/>
        </w:rPr>
        <w:t xml:space="preserve">. </w:t>
      </w:r>
      <w:r w:rsidRPr="00A34F10">
        <w:t xml:space="preserve">The NOEC for mortality was determined to be </w:t>
      </w:r>
      <w:r w:rsidRPr="00A34F10">
        <w:sym w:font="Symbol" w:char="F0B3"/>
      </w:r>
      <w:r w:rsidRPr="00A34F10">
        <w:t xml:space="preserve"> 1000 mg product/kg</w:t>
      </w:r>
      <w:r w:rsidRPr="00A34F10">
        <w:rPr>
          <w:bCs/>
        </w:rPr>
        <w:t xml:space="preserve"> </w:t>
      </w:r>
      <w:r w:rsidRPr="00A34F10">
        <w:t>soil dw. The NOEC for reproduction was determined to be 556 mg product/kg soil dw. The EC</w:t>
      </w:r>
      <w:r w:rsidRPr="00A34F10">
        <w:rPr>
          <w:vertAlign w:val="subscript"/>
        </w:rPr>
        <w:t>10</w:t>
      </w:r>
      <w:r w:rsidRPr="00A34F10">
        <w:t>, EC</w:t>
      </w:r>
      <w:r w:rsidRPr="00A34F10">
        <w:rPr>
          <w:vertAlign w:val="subscript"/>
        </w:rPr>
        <w:t>20</w:t>
      </w:r>
      <w:r w:rsidRPr="00A34F10">
        <w:t xml:space="preserve"> and EC</w:t>
      </w:r>
      <w:r w:rsidRPr="00A34F10">
        <w:rPr>
          <w:vertAlign w:val="subscript"/>
        </w:rPr>
        <w:t xml:space="preserve">50 </w:t>
      </w:r>
      <w:r w:rsidRPr="00A34F10">
        <w:t>values</w:t>
      </w:r>
      <w:r w:rsidRPr="00A34F10">
        <w:rPr>
          <w:vertAlign w:val="subscript"/>
        </w:rPr>
        <w:t xml:space="preserve"> </w:t>
      </w:r>
      <w:r w:rsidRPr="00A34F10">
        <w:t>for reproduction were determined to be 513, &gt; 1000 and &gt; 1000 mg product/kg soil dw, respectively.</w:t>
      </w:r>
    </w:p>
    <w:p w14:paraId="7887E5CF" w14:textId="6893C124" w:rsidR="00A759A1" w:rsidRDefault="00A759A1"/>
    <w:p w14:paraId="513DE7D5" w14:textId="77777777" w:rsidR="00DC5685" w:rsidRPr="00A34F10" w:rsidRDefault="00DC5685" w:rsidP="00DC5685">
      <w:pPr>
        <w:jc w:val="both"/>
      </w:pPr>
    </w:p>
    <w:p w14:paraId="3654E9CB" w14:textId="77777777" w:rsidR="00DC5685" w:rsidRPr="00A34F10" w:rsidRDefault="00DC5685" w:rsidP="00DC5685">
      <w:pPr>
        <w:tabs>
          <w:tab w:val="left" w:pos="720"/>
        </w:tabs>
        <w:spacing w:after="240"/>
        <w:ind w:left="720" w:hanging="431"/>
        <w:contextualSpacing/>
        <w:jc w:val="center"/>
        <w:rPr>
          <w:b/>
          <w:bCs/>
          <w:caps/>
          <w:szCs w:val="24"/>
          <w:lang w:val="en-GB"/>
        </w:rPr>
      </w:pPr>
      <w:r w:rsidRPr="00A34F10">
        <w:rPr>
          <w:b/>
          <w:bCs/>
          <w:caps/>
          <w:szCs w:val="24"/>
          <w:lang w:val="en-GB"/>
        </w:rPr>
        <w:t>I. MATERIALS AND METHODS</w:t>
      </w:r>
    </w:p>
    <w:p w14:paraId="7299D394" w14:textId="77777777" w:rsidR="00DC5685" w:rsidRPr="00A34F10" w:rsidRDefault="00DC5685" w:rsidP="00E05ECD">
      <w:pPr>
        <w:numPr>
          <w:ilvl w:val="0"/>
          <w:numId w:val="94"/>
        </w:numPr>
        <w:ind w:left="357" w:hanging="357"/>
        <w:contextualSpacing/>
        <w:rPr>
          <w:b/>
          <w:bCs/>
          <w:caps/>
          <w:szCs w:val="24"/>
          <w:lang w:val="en-GB"/>
        </w:rPr>
      </w:pPr>
      <w:r w:rsidRPr="00A34F10">
        <w:rPr>
          <w:b/>
          <w:bCs/>
          <w:caps/>
          <w:szCs w:val="24"/>
          <w:lang w:val="en-GB"/>
        </w:rPr>
        <w:t>MATERIALS</w:t>
      </w:r>
    </w:p>
    <w:p w14:paraId="1256D5DF"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468350C5" w14:textId="77777777" w:rsidTr="000470C3">
        <w:trPr>
          <w:cantSplit/>
          <w:trHeight w:hRule="exact" w:val="340"/>
        </w:trPr>
        <w:tc>
          <w:tcPr>
            <w:tcW w:w="3969" w:type="dxa"/>
          </w:tcPr>
          <w:p w14:paraId="28577E4A" w14:textId="77777777" w:rsidR="00DC5685" w:rsidRPr="00A34F10" w:rsidRDefault="00DC5685" w:rsidP="00E05ECD">
            <w:pPr>
              <w:numPr>
                <w:ilvl w:val="0"/>
                <w:numId w:val="91"/>
              </w:numPr>
              <w:tabs>
                <w:tab w:val="left" w:pos="255"/>
              </w:tabs>
              <w:spacing w:after="240"/>
              <w:contextualSpacing/>
              <w:rPr>
                <w:rFonts w:ascii="Times New Roman" w:hAnsi="Times New Roman"/>
                <w:b/>
                <w:szCs w:val="24"/>
              </w:rPr>
            </w:pPr>
            <w:r w:rsidRPr="00A34F10">
              <w:rPr>
                <w:rFonts w:ascii="Times New Roman" w:hAnsi="Times New Roman"/>
                <w:b/>
                <w:szCs w:val="24"/>
              </w:rPr>
              <w:t>Test item:</w:t>
            </w:r>
          </w:p>
        </w:tc>
        <w:tc>
          <w:tcPr>
            <w:tcW w:w="5381" w:type="dxa"/>
          </w:tcPr>
          <w:p w14:paraId="3F94B227"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BAS 743 02 F</w:t>
            </w:r>
          </w:p>
        </w:tc>
      </w:tr>
      <w:tr w:rsidR="00DC5685" w:rsidRPr="00A34F10" w14:paraId="558E9939" w14:textId="77777777" w:rsidTr="000470C3">
        <w:trPr>
          <w:cantSplit/>
          <w:trHeight w:hRule="exact" w:val="340"/>
        </w:trPr>
        <w:tc>
          <w:tcPr>
            <w:tcW w:w="3969" w:type="dxa"/>
          </w:tcPr>
          <w:p w14:paraId="36BE5DC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Description:</w:t>
            </w:r>
          </w:p>
        </w:tc>
        <w:tc>
          <w:tcPr>
            <w:tcW w:w="5381" w:type="dxa"/>
          </w:tcPr>
          <w:p w14:paraId="402138D8"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Soluble concentrate (SC)</w:t>
            </w:r>
          </w:p>
        </w:tc>
      </w:tr>
      <w:tr w:rsidR="00DC5685" w:rsidRPr="00A34F10" w14:paraId="104A0D47" w14:textId="77777777" w:rsidTr="000470C3">
        <w:trPr>
          <w:cantSplit/>
          <w:trHeight w:hRule="exact" w:val="340"/>
        </w:trPr>
        <w:tc>
          <w:tcPr>
            <w:tcW w:w="3969" w:type="dxa"/>
          </w:tcPr>
          <w:p w14:paraId="5A9908FB"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Lot/Batch:</w:t>
            </w:r>
          </w:p>
        </w:tc>
        <w:tc>
          <w:tcPr>
            <w:tcW w:w="5381" w:type="dxa"/>
          </w:tcPr>
          <w:p w14:paraId="3BFA66E4"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FRE-002224</w:t>
            </w:r>
          </w:p>
        </w:tc>
      </w:tr>
      <w:tr w:rsidR="00DC5685" w:rsidRPr="00A34F10" w14:paraId="0FF3C6BD" w14:textId="77777777" w:rsidTr="000470C3">
        <w:trPr>
          <w:cantSplit/>
          <w:trHeight w:hRule="exact" w:val="616"/>
        </w:trPr>
        <w:tc>
          <w:tcPr>
            <w:tcW w:w="3969" w:type="dxa"/>
          </w:tcPr>
          <w:p w14:paraId="03EC051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Active substance content:</w:t>
            </w:r>
          </w:p>
        </w:tc>
        <w:tc>
          <w:tcPr>
            <w:tcW w:w="5381" w:type="dxa"/>
          </w:tcPr>
          <w:p w14:paraId="108CAC03"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Propamocarb: nominal 432.0 g/L, analysed 431.0 g/L;</w:t>
            </w:r>
          </w:p>
          <w:p w14:paraId="7FAFA256" w14:textId="77777777" w:rsidR="00DC5685" w:rsidRPr="00A34F10" w:rsidRDefault="00DC5685" w:rsidP="00DC5685">
            <w:pPr>
              <w:tabs>
                <w:tab w:val="left" w:pos="720"/>
              </w:tabs>
              <w:rPr>
                <w:rFonts w:ascii="Times New Roman" w:hAnsi="Times New Roman"/>
                <w:szCs w:val="24"/>
                <w:u w:val="single"/>
              </w:rPr>
            </w:pPr>
            <w:r w:rsidRPr="00A34F10">
              <w:rPr>
                <w:rFonts w:ascii="Times New Roman" w:hAnsi="Times New Roman"/>
                <w:szCs w:val="24"/>
              </w:rPr>
              <w:t>Ametoctradin: nominal 137.14 g/L, analysed 137.7 g/L</w:t>
            </w:r>
          </w:p>
        </w:tc>
      </w:tr>
      <w:tr w:rsidR="00DC5685" w:rsidRPr="00A34F10" w14:paraId="162441DD" w14:textId="77777777" w:rsidTr="000470C3">
        <w:trPr>
          <w:cantSplit/>
          <w:trHeight w:hRule="exact" w:val="340"/>
        </w:trPr>
        <w:tc>
          <w:tcPr>
            <w:tcW w:w="3969" w:type="dxa"/>
          </w:tcPr>
          <w:p w14:paraId="161C0021"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lastRenderedPageBreak/>
              <w:t>Density:</w:t>
            </w:r>
          </w:p>
        </w:tc>
        <w:tc>
          <w:tcPr>
            <w:tcW w:w="5381" w:type="dxa"/>
          </w:tcPr>
          <w:p w14:paraId="4B3D9FB2"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1.080 g/cm</w:t>
            </w:r>
            <w:r w:rsidRPr="00A34F10">
              <w:rPr>
                <w:rFonts w:ascii="Times New Roman" w:hAnsi="Times New Roman"/>
                <w:szCs w:val="24"/>
                <w:vertAlign w:val="superscript"/>
              </w:rPr>
              <w:t xml:space="preserve">3 </w:t>
            </w:r>
          </w:p>
        </w:tc>
      </w:tr>
      <w:tr w:rsidR="00DC5685" w:rsidRPr="00A34F10" w14:paraId="6F3A7E6F" w14:textId="77777777" w:rsidTr="000470C3">
        <w:trPr>
          <w:cantSplit/>
          <w:trHeight w:hRule="exact" w:val="340"/>
        </w:trPr>
        <w:tc>
          <w:tcPr>
            <w:tcW w:w="3969" w:type="dxa"/>
          </w:tcPr>
          <w:p w14:paraId="07FF78BB" w14:textId="77777777" w:rsidR="00DC5685" w:rsidRPr="00A34F10" w:rsidRDefault="00DC5685" w:rsidP="00E05ECD">
            <w:pPr>
              <w:numPr>
                <w:ilvl w:val="0"/>
                <w:numId w:val="91"/>
              </w:numPr>
              <w:tabs>
                <w:tab w:val="left" w:pos="255"/>
              </w:tabs>
              <w:spacing w:after="240"/>
              <w:contextualSpacing/>
              <w:rPr>
                <w:rFonts w:ascii="Times New Roman" w:hAnsi="Times New Roman"/>
                <w:b/>
                <w:szCs w:val="24"/>
              </w:rPr>
            </w:pPr>
            <w:r w:rsidRPr="00A34F10">
              <w:rPr>
                <w:rFonts w:ascii="Times New Roman" w:hAnsi="Times New Roman"/>
                <w:b/>
                <w:szCs w:val="24"/>
              </w:rPr>
              <w:t>Control:</w:t>
            </w:r>
          </w:p>
        </w:tc>
        <w:tc>
          <w:tcPr>
            <w:tcW w:w="5381" w:type="dxa"/>
          </w:tcPr>
          <w:p w14:paraId="6EC74F4F"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Untreated substrate</w:t>
            </w:r>
          </w:p>
        </w:tc>
      </w:tr>
      <w:tr w:rsidR="00DC5685" w:rsidRPr="00A34F10" w14:paraId="1F6729BE" w14:textId="77777777" w:rsidTr="000470C3">
        <w:trPr>
          <w:cantSplit/>
          <w:trHeight w:hRule="exact" w:val="397"/>
        </w:trPr>
        <w:tc>
          <w:tcPr>
            <w:tcW w:w="3969" w:type="dxa"/>
          </w:tcPr>
          <w:p w14:paraId="32116887" w14:textId="77777777" w:rsidR="00DC5685" w:rsidRPr="00A34F10" w:rsidRDefault="00DC5685" w:rsidP="00E05ECD">
            <w:pPr>
              <w:numPr>
                <w:ilvl w:val="0"/>
                <w:numId w:val="91"/>
              </w:numPr>
              <w:tabs>
                <w:tab w:val="left" w:pos="255"/>
              </w:tabs>
              <w:spacing w:after="240"/>
              <w:contextualSpacing/>
              <w:rPr>
                <w:rFonts w:ascii="Times New Roman" w:hAnsi="Times New Roman"/>
                <w:b/>
                <w:szCs w:val="24"/>
              </w:rPr>
            </w:pPr>
            <w:r w:rsidRPr="00A34F10">
              <w:rPr>
                <w:rFonts w:ascii="Times New Roman" w:hAnsi="Times New Roman"/>
                <w:b/>
                <w:szCs w:val="24"/>
              </w:rPr>
              <w:t>Reference item:</w:t>
            </w:r>
          </w:p>
        </w:tc>
        <w:tc>
          <w:tcPr>
            <w:tcW w:w="5381" w:type="dxa"/>
          </w:tcPr>
          <w:p w14:paraId="60E3D4CA"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Boric acid, tested in a separate study</w:t>
            </w:r>
          </w:p>
        </w:tc>
      </w:tr>
    </w:tbl>
    <w:p w14:paraId="53B92820" w14:textId="77777777" w:rsidR="00DC5685" w:rsidRPr="00A34F10" w:rsidRDefault="00DC5685" w:rsidP="00DC5685">
      <w:pPr>
        <w:tabs>
          <w:tab w:val="left" w:pos="0"/>
        </w:tabs>
        <w:ind w:left="357" w:hanging="357"/>
        <w:contextualSpacing/>
        <w:rPr>
          <w:b/>
          <w:bCs/>
          <w:caps/>
          <w:szCs w:val="24"/>
          <w:lang w:val="en-GB"/>
        </w:rPr>
      </w:pPr>
    </w:p>
    <w:p w14:paraId="0145461F"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599FB55A" w14:textId="77777777" w:rsidR="00DC5685" w:rsidRPr="00A34F10" w:rsidRDefault="00DC5685" w:rsidP="00DC5685">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17E5E277" w14:textId="77777777" w:rsidTr="000470C3">
        <w:trPr>
          <w:trHeight w:hRule="exact" w:val="340"/>
        </w:trPr>
        <w:tc>
          <w:tcPr>
            <w:tcW w:w="3969" w:type="dxa"/>
          </w:tcPr>
          <w:p w14:paraId="5EFD3056" w14:textId="77777777" w:rsidR="00DC5685" w:rsidRPr="00A34F10" w:rsidRDefault="00DC5685" w:rsidP="00E05ECD">
            <w:pPr>
              <w:numPr>
                <w:ilvl w:val="0"/>
                <w:numId w:val="93"/>
              </w:numPr>
              <w:tabs>
                <w:tab w:val="left" w:pos="255"/>
              </w:tabs>
              <w:spacing w:after="240"/>
              <w:contextualSpacing/>
              <w:rPr>
                <w:rFonts w:ascii="Times New Roman" w:hAnsi="Times New Roman"/>
                <w:b/>
                <w:szCs w:val="24"/>
              </w:rPr>
            </w:pPr>
            <w:r w:rsidRPr="00A34F10">
              <w:rPr>
                <w:rFonts w:ascii="Times New Roman" w:hAnsi="Times New Roman"/>
                <w:b/>
                <w:szCs w:val="24"/>
              </w:rPr>
              <w:t>Test species:</w:t>
            </w:r>
          </w:p>
        </w:tc>
        <w:tc>
          <w:tcPr>
            <w:tcW w:w="5381" w:type="dxa"/>
          </w:tcPr>
          <w:p w14:paraId="3234351A"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Collembola (</w:t>
            </w:r>
            <w:r w:rsidRPr="00A34F10">
              <w:rPr>
                <w:rFonts w:ascii="Times New Roman" w:hAnsi="Times New Roman"/>
                <w:i/>
                <w:iCs/>
                <w:szCs w:val="24"/>
              </w:rPr>
              <w:t>Folsomia candida</w:t>
            </w:r>
            <w:r w:rsidRPr="00A34F10">
              <w:rPr>
                <w:rFonts w:ascii="Times New Roman" w:hAnsi="Times New Roman"/>
                <w:szCs w:val="24"/>
              </w:rPr>
              <w:t>)</w:t>
            </w:r>
          </w:p>
        </w:tc>
      </w:tr>
      <w:tr w:rsidR="00DC5685" w:rsidRPr="00A34F10" w14:paraId="056A9454" w14:textId="77777777" w:rsidTr="000470C3">
        <w:trPr>
          <w:trHeight w:hRule="exact" w:val="340"/>
        </w:trPr>
        <w:tc>
          <w:tcPr>
            <w:tcW w:w="3969" w:type="dxa"/>
          </w:tcPr>
          <w:p w14:paraId="692DB5A9"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 xml:space="preserve">Age/life stage: </w:t>
            </w:r>
          </w:p>
        </w:tc>
        <w:tc>
          <w:tcPr>
            <w:tcW w:w="5381" w:type="dxa"/>
          </w:tcPr>
          <w:p w14:paraId="199F0AB5"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9 - 12 days at test start (juveniles)</w:t>
            </w:r>
          </w:p>
        </w:tc>
      </w:tr>
      <w:tr w:rsidR="00DC5685" w:rsidRPr="00A34F10" w14:paraId="592EA1E6" w14:textId="77777777" w:rsidTr="000470C3">
        <w:trPr>
          <w:trHeight w:hRule="exact" w:val="624"/>
        </w:trPr>
        <w:tc>
          <w:tcPr>
            <w:tcW w:w="3969" w:type="dxa"/>
          </w:tcPr>
          <w:p w14:paraId="64C9146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Source:</w:t>
            </w:r>
          </w:p>
        </w:tc>
        <w:tc>
          <w:tcPr>
            <w:tcW w:w="5381" w:type="dxa"/>
          </w:tcPr>
          <w:p w14:paraId="1121CFD4"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In-house culture, originally purchased from Biologische Bundesanstalt, Berlin-Dahlem, Germany</w:t>
            </w:r>
          </w:p>
        </w:tc>
      </w:tr>
      <w:tr w:rsidR="00DC5685" w:rsidRPr="00A34F10" w14:paraId="24C2EB2F" w14:textId="77777777" w:rsidTr="000470C3">
        <w:trPr>
          <w:trHeight w:hRule="exact" w:val="567"/>
        </w:trPr>
        <w:tc>
          <w:tcPr>
            <w:tcW w:w="3969" w:type="dxa"/>
          </w:tcPr>
          <w:p w14:paraId="6D05E2FF"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 xml:space="preserve">Diet: </w:t>
            </w:r>
          </w:p>
        </w:tc>
        <w:tc>
          <w:tcPr>
            <w:tcW w:w="5381" w:type="dxa"/>
          </w:tcPr>
          <w:p w14:paraId="15E246CD"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2 mg dry yeast per test vessel at the start of the test and again on day 14.</w:t>
            </w:r>
          </w:p>
        </w:tc>
      </w:tr>
      <w:tr w:rsidR="00DC5685" w:rsidRPr="00A34F10" w14:paraId="461A63FC" w14:textId="77777777" w:rsidTr="000470C3">
        <w:trPr>
          <w:trHeight w:hRule="exact" w:val="567"/>
        </w:trPr>
        <w:tc>
          <w:tcPr>
            <w:tcW w:w="3969" w:type="dxa"/>
          </w:tcPr>
          <w:p w14:paraId="64C53334" w14:textId="77777777" w:rsidR="00DC5685" w:rsidRPr="00A34F10" w:rsidRDefault="00DC5685" w:rsidP="00E05ECD">
            <w:pPr>
              <w:numPr>
                <w:ilvl w:val="0"/>
                <w:numId w:val="93"/>
              </w:numPr>
              <w:tabs>
                <w:tab w:val="left" w:pos="255"/>
              </w:tabs>
              <w:spacing w:after="240"/>
              <w:contextualSpacing/>
              <w:rPr>
                <w:rFonts w:ascii="Times New Roman" w:hAnsi="Times New Roman"/>
                <w:b/>
                <w:szCs w:val="24"/>
              </w:rPr>
            </w:pPr>
            <w:r w:rsidRPr="00A34F10">
              <w:rPr>
                <w:rFonts w:ascii="Times New Roman" w:hAnsi="Times New Roman"/>
                <w:b/>
                <w:szCs w:val="24"/>
              </w:rPr>
              <w:t>Test units:</w:t>
            </w:r>
          </w:p>
        </w:tc>
        <w:tc>
          <w:tcPr>
            <w:tcW w:w="5381" w:type="dxa"/>
          </w:tcPr>
          <w:p w14:paraId="7C4A3684"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 xml:space="preserve">Glass containers approx. 150 mL, each containing </w:t>
            </w:r>
            <w:r w:rsidRPr="00A34F10">
              <w:rPr>
                <w:rFonts w:ascii="Times New Roman" w:hAnsi="Times New Roman"/>
                <w:szCs w:val="24"/>
              </w:rPr>
              <w:br/>
              <w:t>30 g soil dry weight and covered with a lid</w:t>
            </w:r>
          </w:p>
        </w:tc>
      </w:tr>
      <w:tr w:rsidR="00DC5685" w:rsidRPr="00A34F10" w14:paraId="6460386E" w14:textId="77777777" w:rsidTr="000470C3">
        <w:trPr>
          <w:trHeight w:hRule="exact" w:val="340"/>
        </w:trPr>
        <w:tc>
          <w:tcPr>
            <w:tcW w:w="3969" w:type="dxa"/>
          </w:tcPr>
          <w:p w14:paraId="7D7A821A" w14:textId="77777777" w:rsidR="00DC5685" w:rsidRPr="00A34F10" w:rsidRDefault="00DC5685" w:rsidP="00E05ECD">
            <w:pPr>
              <w:numPr>
                <w:ilvl w:val="0"/>
                <w:numId w:val="93"/>
              </w:numPr>
              <w:tabs>
                <w:tab w:val="left" w:pos="255"/>
              </w:tabs>
              <w:spacing w:after="240"/>
              <w:contextualSpacing/>
              <w:rPr>
                <w:rFonts w:ascii="Times New Roman" w:hAnsi="Times New Roman"/>
                <w:b/>
                <w:szCs w:val="24"/>
              </w:rPr>
            </w:pPr>
            <w:r w:rsidRPr="00A34F10">
              <w:rPr>
                <w:rFonts w:ascii="Times New Roman" w:hAnsi="Times New Roman"/>
                <w:b/>
                <w:szCs w:val="24"/>
              </w:rPr>
              <w:t>Environmental conditions</w:t>
            </w:r>
          </w:p>
        </w:tc>
        <w:tc>
          <w:tcPr>
            <w:tcW w:w="5381" w:type="dxa"/>
          </w:tcPr>
          <w:p w14:paraId="5FDE0B31" w14:textId="77777777" w:rsidR="00DC5685" w:rsidRPr="00A34F10" w:rsidRDefault="00DC5685" w:rsidP="00DC5685">
            <w:pPr>
              <w:tabs>
                <w:tab w:val="left" w:pos="720"/>
              </w:tabs>
              <w:spacing w:after="240"/>
              <w:rPr>
                <w:rFonts w:ascii="Times New Roman" w:hAnsi="Times New Roman"/>
                <w:szCs w:val="24"/>
              </w:rPr>
            </w:pPr>
          </w:p>
        </w:tc>
      </w:tr>
      <w:tr w:rsidR="00DC5685" w:rsidRPr="00A34F10" w14:paraId="103AE3E5" w14:textId="77777777" w:rsidTr="000470C3">
        <w:trPr>
          <w:trHeight w:hRule="exact" w:val="850"/>
        </w:trPr>
        <w:tc>
          <w:tcPr>
            <w:tcW w:w="3969" w:type="dxa"/>
          </w:tcPr>
          <w:p w14:paraId="5A61C7C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Test soil:</w:t>
            </w:r>
          </w:p>
        </w:tc>
        <w:tc>
          <w:tcPr>
            <w:tcW w:w="5381" w:type="dxa"/>
          </w:tcPr>
          <w:p w14:paraId="743AD644"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Artificial soil according to OECD 232: 5% sphagnum peat, 20% kaolin clay, 0.3% calcium carbonate, 74.7% industrial quartz sand and deionised water</w:t>
            </w:r>
          </w:p>
        </w:tc>
      </w:tr>
      <w:tr w:rsidR="00DC5685" w:rsidRPr="00A34F10" w14:paraId="165F1854" w14:textId="77777777" w:rsidTr="000470C3">
        <w:trPr>
          <w:trHeight w:hRule="exact" w:val="340"/>
        </w:trPr>
        <w:tc>
          <w:tcPr>
            <w:tcW w:w="3969" w:type="dxa"/>
          </w:tcPr>
          <w:p w14:paraId="3E457EF7"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Temperature:</w:t>
            </w:r>
          </w:p>
        </w:tc>
        <w:tc>
          <w:tcPr>
            <w:tcW w:w="5381" w:type="dxa"/>
          </w:tcPr>
          <w:p w14:paraId="0B249B1B"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19.1 – 21.1 °C</w:t>
            </w:r>
          </w:p>
        </w:tc>
      </w:tr>
      <w:tr w:rsidR="00DC5685" w:rsidRPr="00A34F10" w14:paraId="607F12BD" w14:textId="77777777" w:rsidTr="000470C3">
        <w:trPr>
          <w:trHeight w:hRule="exact" w:val="624"/>
        </w:trPr>
        <w:tc>
          <w:tcPr>
            <w:tcW w:w="3969" w:type="dxa"/>
          </w:tcPr>
          <w:p w14:paraId="593506DC"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w:t>
            </w:r>
          </w:p>
        </w:tc>
        <w:tc>
          <w:tcPr>
            <w:tcW w:w="5381" w:type="dxa"/>
          </w:tcPr>
          <w:p w14:paraId="6255168A"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5.98 – 6.05</w:t>
            </w:r>
          </w:p>
          <w:p w14:paraId="754E8632"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Test end: 5.84 – 5.87</w:t>
            </w:r>
          </w:p>
        </w:tc>
      </w:tr>
      <w:tr w:rsidR="00DC5685" w:rsidRPr="00A34F10" w14:paraId="131FCDFC" w14:textId="77777777" w:rsidTr="000470C3">
        <w:trPr>
          <w:trHeight w:hRule="exact" w:val="397"/>
        </w:trPr>
        <w:tc>
          <w:tcPr>
            <w:tcW w:w="3969" w:type="dxa"/>
          </w:tcPr>
          <w:p w14:paraId="05FED021"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WHC</w:t>
            </w:r>
            <w:r w:rsidRPr="00A34F10">
              <w:rPr>
                <w:rFonts w:ascii="Times New Roman" w:hAnsi="Times New Roman"/>
                <w:b/>
                <w:szCs w:val="24"/>
                <w:vertAlign w:val="subscript"/>
              </w:rPr>
              <w:t>max</w:t>
            </w:r>
            <w:r w:rsidRPr="00A34F10">
              <w:rPr>
                <w:rFonts w:ascii="Times New Roman" w:hAnsi="Times New Roman"/>
                <w:b/>
                <w:szCs w:val="24"/>
              </w:rPr>
              <w:t>:</w:t>
            </w:r>
          </w:p>
        </w:tc>
        <w:tc>
          <w:tcPr>
            <w:tcW w:w="5381" w:type="dxa"/>
          </w:tcPr>
          <w:p w14:paraId="1B8331F2"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42.6 g/100g soil dw</w:t>
            </w:r>
          </w:p>
        </w:tc>
      </w:tr>
      <w:tr w:rsidR="00DC5685" w:rsidRPr="00A34F10" w14:paraId="74338F91" w14:textId="77777777" w:rsidTr="000470C3">
        <w:trPr>
          <w:trHeight w:hRule="exact" w:val="624"/>
        </w:trPr>
        <w:tc>
          <w:tcPr>
            <w:tcW w:w="3969" w:type="dxa"/>
          </w:tcPr>
          <w:p w14:paraId="462DF172"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Water content:</w:t>
            </w:r>
          </w:p>
        </w:tc>
        <w:tc>
          <w:tcPr>
            <w:tcW w:w="5381" w:type="dxa"/>
          </w:tcPr>
          <w:p w14:paraId="6B948564" w14:textId="77777777" w:rsidR="00DC5685" w:rsidRPr="00A34F10" w:rsidRDefault="00DC5685" w:rsidP="00DC5685">
            <w:pPr>
              <w:tabs>
                <w:tab w:val="left" w:pos="720"/>
              </w:tabs>
              <w:rPr>
                <w:rFonts w:ascii="Times New Roman" w:hAnsi="Times New Roman"/>
                <w:szCs w:val="24"/>
              </w:rPr>
            </w:pPr>
            <w:r w:rsidRPr="00A34F10">
              <w:rPr>
                <w:rFonts w:ascii="Times New Roman" w:hAnsi="Times New Roman"/>
                <w:szCs w:val="24"/>
              </w:rPr>
              <w:t>Test start: 58.5 – 58.7 % of the WHC</w:t>
            </w:r>
            <w:r w:rsidRPr="00A34F10">
              <w:rPr>
                <w:rFonts w:ascii="Times New Roman" w:hAnsi="Times New Roman"/>
                <w:szCs w:val="24"/>
                <w:vertAlign w:val="subscript"/>
              </w:rPr>
              <w:t>max</w:t>
            </w:r>
          </w:p>
          <w:p w14:paraId="3BCE4B82"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Test end: 56.6 – 57.5 % of the WHC</w:t>
            </w:r>
            <w:r w:rsidRPr="00A34F10">
              <w:rPr>
                <w:rFonts w:ascii="Times New Roman" w:hAnsi="Times New Roman"/>
                <w:szCs w:val="24"/>
                <w:vertAlign w:val="subscript"/>
              </w:rPr>
              <w:t>max</w:t>
            </w:r>
          </w:p>
        </w:tc>
      </w:tr>
      <w:tr w:rsidR="00DC5685" w:rsidRPr="00A34F10" w14:paraId="77025B94" w14:textId="77777777" w:rsidTr="000470C3">
        <w:trPr>
          <w:trHeight w:hRule="exact" w:val="340"/>
        </w:trPr>
        <w:tc>
          <w:tcPr>
            <w:tcW w:w="3969" w:type="dxa"/>
          </w:tcPr>
          <w:p w14:paraId="7917A99B" w14:textId="77777777" w:rsidR="00DC5685" w:rsidRPr="00A34F10" w:rsidRDefault="00DC5685" w:rsidP="00DC5685">
            <w:pPr>
              <w:tabs>
                <w:tab w:val="left" w:pos="624"/>
              </w:tabs>
              <w:spacing w:after="240"/>
              <w:ind w:left="624"/>
              <w:rPr>
                <w:rFonts w:ascii="Times New Roman" w:hAnsi="Times New Roman"/>
                <w:b/>
                <w:szCs w:val="24"/>
              </w:rPr>
            </w:pPr>
            <w:r w:rsidRPr="00A34F10">
              <w:rPr>
                <w:rFonts w:ascii="Times New Roman" w:hAnsi="Times New Roman"/>
                <w:b/>
                <w:szCs w:val="24"/>
              </w:rPr>
              <w:t>Photoperiod:</w:t>
            </w:r>
          </w:p>
        </w:tc>
        <w:tc>
          <w:tcPr>
            <w:tcW w:w="5381" w:type="dxa"/>
          </w:tcPr>
          <w:p w14:paraId="1BD289EF" w14:textId="77777777" w:rsidR="00DC5685" w:rsidRPr="00A34F10" w:rsidRDefault="00DC5685" w:rsidP="00DC5685">
            <w:pPr>
              <w:tabs>
                <w:tab w:val="left" w:pos="720"/>
              </w:tabs>
              <w:spacing w:after="240"/>
              <w:rPr>
                <w:rFonts w:ascii="Times New Roman" w:hAnsi="Times New Roman"/>
                <w:szCs w:val="24"/>
              </w:rPr>
            </w:pPr>
            <w:r w:rsidRPr="00A34F10">
              <w:rPr>
                <w:rFonts w:ascii="Times New Roman" w:hAnsi="Times New Roman"/>
                <w:szCs w:val="24"/>
              </w:rPr>
              <w:t>16 h light : 8 h dark (590 lux)</w:t>
            </w:r>
          </w:p>
        </w:tc>
      </w:tr>
    </w:tbl>
    <w:p w14:paraId="30804117" w14:textId="77777777" w:rsidR="00DC5685" w:rsidRPr="00A34F10" w:rsidRDefault="00DC5685" w:rsidP="00DC5685">
      <w:pPr>
        <w:numPr>
          <w:ilvl w:val="3"/>
          <w:numId w:val="0"/>
        </w:numPr>
        <w:tabs>
          <w:tab w:val="left" w:pos="0"/>
        </w:tabs>
        <w:ind w:left="360" w:hanging="360"/>
        <w:contextualSpacing/>
        <w:rPr>
          <w:b/>
          <w:bCs/>
          <w:szCs w:val="24"/>
          <w:lang w:val="en-GB"/>
        </w:rPr>
      </w:pPr>
    </w:p>
    <w:p w14:paraId="434DE0CD" w14:textId="77777777" w:rsidR="00DC5685" w:rsidRPr="00A34F10" w:rsidRDefault="00DC5685" w:rsidP="00E05ECD">
      <w:pPr>
        <w:numPr>
          <w:ilvl w:val="0"/>
          <w:numId w:val="93"/>
        </w:numPr>
        <w:tabs>
          <w:tab w:val="left" w:pos="0"/>
        </w:tabs>
        <w:ind w:left="357" w:hanging="357"/>
        <w:contextualSpacing/>
        <w:rPr>
          <w:b/>
          <w:bCs/>
          <w:szCs w:val="24"/>
          <w:lang w:val="en-GB"/>
        </w:rPr>
      </w:pPr>
      <w:r w:rsidRPr="00A34F10">
        <w:rPr>
          <w:b/>
          <w:bCs/>
          <w:szCs w:val="24"/>
          <w:lang w:val="en-GB"/>
        </w:rPr>
        <w:t xml:space="preserve">Test organism and treatment: </w:t>
      </w:r>
    </w:p>
    <w:p w14:paraId="1DB60353" w14:textId="6F711AC8" w:rsidR="00A759A1" w:rsidRDefault="00DC5685" w:rsidP="00DC5685">
      <w:pPr>
        <w:tabs>
          <w:tab w:val="left" w:pos="720"/>
        </w:tabs>
        <w:spacing w:after="240"/>
        <w:jc w:val="both"/>
        <w:rPr>
          <w:szCs w:val="24"/>
          <w:lang w:val="en-GB"/>
        </w:rPr>
      </w:pPr>
      <w:r w:rsidRPr="00A34F10">
        <w:rPr>
          <w:szCs w:val="24"/>
          <w:lang w:val="en-GB"/>
        </w:rPr>
        <w:t>The study comprised nine treatment groups; eight test item concentrations and an untreated control. The test item concentrations and their respective active substance contents are summarised in</w:t>
      </w:r>
      <w:r w:rsidR="00A759A1">
        <w:rPr>
          <w:szCs w:val="24"/>
          <w:lang w:val="en-GB"/>
        </w:rPr>
        <w:t xml:space="preserve"> </w:t>
      </w:r>
      <w:r w:rsidR="00A759A1">
        <w:rPr>
          <w:szCs w:val="24"/>
          <w:lang w:val="en-GB"/>
        </w:rPr>
        <w:fldChar w:fldCharType="begin"/>
      </w:r>
      <w:r w:rsidR="00A759A1">
        <w:rPr>
          <w:szCs w:val="24"/>
          <w:lang w:val="en-GB"/>
        </w:rPr>
        <w:instrText xml:space="preserve"> REF _Ref147912149 \h </w:instrText>
      </w:r>
      <w:r w:rsidR="00A759A1">
        <w:rPr>
          <w:szCs w:val="24"/>
          <w:lang w:val="en-GB"/>
        </w:rPr>
      </w:r>
      <w:r w:rsidR="00A759A1">
        <w:rPr>
          <w:szCs w:val="24"/>
          <w:lang w:val="en-GB"/>
        </w:rPr>
        <w:fldChar w:fldCharType="separate"/>
      </w:r>
      <w:r w:rsidR="006F0F3B">
        <w:t xml:space="preserve">Table A </w:t>
      </w:r>
      <w:r w:rsidR="006F0F3B">
        <w:rPr>
          <w:noProof/>
        </w:rPr>
        <w:t>78</w:t>
      </w:r>
      <w:r w:rsidR="00A759A1">
        <w:rPr>
          <w:szCs w:val="24"/>
          <w:lang w:val="en-GB"/>
        </w:rPr>
        <w:fldChar w:fldCharType="end"/>
      </w:r>
      <w:r w:rsidRPr="00A34F10">
        <w:rPr>
          <w:szCs w:val="24"/>
          <w:lang w:val="en-GB"/>
        </w:rPr>
        <w:t xml:space="preserve">. Four replicates were used per test item treatment group and eight replicates were used for the control. Each replicate contained 10 springtails. </w:t>
      </w:r>
    </w:p>
    <w:p w14:paraId="6AAA3B60" w14:textId="52877FE7" w:rsidR="00DC5685" w:rsidRPr="0060455A" w:rsidRDefault="00A759A1" w:rsidP="00A759A1">
      <w:pPr>
        <w:pStyle w:val="Legenda"/>
      </w:pPr>
      <w:bookmarkStart w:id="1166" w:name="_Ref147912149"/>
      <w:r>
        <w:t xml:space="preserve">Table A </w:t>
      </w:r>
      <w:r>
        <w:fldChar w:fldCharType="begin"/>
      </w:r>
      <w:r>
        <w:instrText xml:space="preserve"> SEQ Table_A \* ARABIC </w:instrText>
      </w:r>
      <w:r>
        <w:fldChar w:fldCharType="separate"/>
      </w:r>
      <w:r w:rsidR="006F0F3B">
        <w:rPr>
          <w:noProof/>
        </w:rPr>
        <w:t>78</w:t>
      </w:r>
      <w:r>
        <w:fldChar w:fldCharType="end"/>
      </w:r>
      <w:bookmarkEnd w:id="1166"/>
      <w:r w:rsidR="00DC5685" w:rsidRPr="0060455A">
        <w:t>:</w:t>
      </w:r>
      <w:r w:rsidR="0060455A" w:rsidRPr="0060455A">
        <w:tab/>
      </w:r>
      <w:r w:rsidR="00DC5685" w:rsidRPr="0060455A">
        <w:t xml:space="preserve"> Active substance content of the test item at each test concentration</w:t>
      </w:r>
    </w:p>
    <w:tbl>
      <w:tblPr>
        <w:tblStyle w:val="TableGrid8"/>
        <w:tblW w:w="5000" w:type="pct"/>
        <w:tblLook w:val="04A0" w:firstRow="1" w:lastRow="0" w:firstColumn="1" w:lastColumn="0" w:noHBand="0" w:noVBand="1"/>
      </w:tblPr>
      <w:tblGrid>
        <w:gridCol w:w="3114"/>
        <w:gridCol w:w="3115"/>
        <w:gridCol w:w="3115"/>
      </w:tblGrid>
      <w:tr w:rsidR="00DC5685" w:rsidRPr="00A34F10" w14:paraId="31CD5CFB" w14:textId="77777777" w:rsidTr="000470C3">
        <w:tc>
          <w:tcPr>
            <w:tcW w:w="1650" w:type="pct"/>
            <w:noWrap/>
            <w:vAlign w:val="center"/>
          </w:tcPr>
          <w:p w14:paraId="1FB4C2DF"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BAS 743 02 F</w:t>
            </w:r>
            <w:r w:rsidRPr="003B09BC">
              <w:rPr>
                <w:rFonts w:ascii="Times New Roman" w:hAnsi="Times New Roman"/>
                <w:b/>
                <w:sz w:val="20"/>
                <w:szCs w:val="20"/>
                <w:lang w:val="fr-FR"/>
              </w:rPr>
              <w:br/>
              <w:t>(mg/kg soil dw)</w:t>
            </w:r>
          </w:p>
        </w:tc>
        <w:tc>
          <w:tcPr>
            <w:tcW w:w="1650" w:type="pct"/>
            <w:noWrap/>
            <w:vAlign w:val="center"/>
          </w:tcPr>
          <w:p w14:paraId="74A49530"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Propamocarb</w:t>
            </w:r>
            <w:r w:rsidRPr="003B09BC">
              <w:rPr>
                <w:rFonts w:ascii="Times New Roman" w:hAnsi="Times New Roman"/>
                <w:b/>
                <w:sz w:val="20"/>
                <w:szCs w:val="20"/>
                <w:lang w:val="fr-FR"/>
              </w:rPr>
              <w:br/>
              <w:t>(mg a.s./kg soil dw)*</w:t>
            </w:r>
          </w:p>
        </w:tc>
        <w:tc>
          <w:tcPr>
            <w:tcW w:w="1650" w:type="pct"/>
            <w:noWrap/>
            <w:vAlign w:val="center"/>
          </w:tcPr>
          <w:p w14:paraId="68FC4AC5"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Ametoctradin (BAS 650 F)</w:t>
            </w:r>
            <w:r w:rsidRPr="00A34F10">
              <w:rPr>
                <w:rFonts w:ascii="Times New Roman" w:hAnsi="Times New Roman"/>
                <w:b/>
                <w:sz w:val="20"/>
                <w:szCs w:val="20"/>
              </w:rPr>
              <w:br/>
              <w:t>(mg a.s./kg soil dw)*</w:t>
            </w:r>
          </w:p>
        </w:tc>
      </w:tr>
      <w:tr w:rsidR="00DC5685" w:rsidRPr="00A34F10" w14:paraId="066D2466" w14:textId="77777777" w:rsidTr="000470C3">
        <w:tc>
          <w:tcPr>
            <w:tcW w:w="1650" w:type="pct"/>
            <w:noWrap/>
            <w:vAlign w:val="center"/>
          </w:tcPr>
          <w:p w14:paraId="2E74D4D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16.3</w:t>
            </w:r>
          </w:p>
        </w:tc>
        <w:tc>
          <w:tcPr>
            <w:tcW w:w="1650" w:type="pct"/>
            <w:noWrap/>
            <w:vAlign w:val="center"/>
          </w:tcPr>
          <w:p w14:paraId="5316E74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6.53</w:t>
            </w:r>
          </w:p>
        </w:tc>
        <w:tc>
          <w:tcPr>
            <w:tcW w:w="1650" w:type="pct"/>
            <w:noWrap/>
            <w:vAlign w:val="center"/>
          </w:tcPr>
          <w:p w14:paraId="30B40D4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2.07</w:t>
            </w:r>
          </w:p>
        </w:tc>
      </w:tr>
      <w:tr w:rsidR="00DC5685" w:rsidRPr="00A34F10" w14:paraId="4A02FC6E" w14:textId="77777777" w:rsidTr="000470C3">
        <w:tc>
          <w:tcPr>
            <w:tcW w:w="1650" w:type="pct"/>
            <w:noWrap/>
            <w:vAlign w:val="center"/>
          </w:tcPr>
          <w:p w14:paraId="241A0FD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29.4</w:t>
            </w:r>
          </w:p>
        </w:tc>
        <w:tc>
          <w:tcPr>
            <w:tcW w:w="1650" w:type="pct"/>
            <w:noWrap/>
            <w:vAlign w:val="center"/>
          </w:tcPr>
          <w:p w14:paraId="16DF243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11.8</w:t>
            </w:r>
          </w:p>
        </w:tc>
        <w:tc>
          <w:tcPr>
            <w:tcW w:w="1650" w:type="pct"/>
            <w:noWrap/>
            <w:vAlign w:val="center"/>
          </w:tcPr>
          <w:p w14:paraId="097E36A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3.73</w:t>
            </w:r>
          </w:p>
        </w:tc>
      </w:tr>
      <w:tr w:rsidR="00DC5685" w:rsidRPr="00A34F10" w14:paraId="43A34C20" w14:textId="77777777" w:rsidTr="000470C3">
        <w:tc>
          <w:tcPr>
            <w:tcW w:w="1650" w:type="pct"/>
            <w:noWrap/>
            <w:vAlign w:val="center"/>
          </w:tcPr>
          <w:p w14:paraId="6F9AF36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52.9</w:t>
            </w:r>
          </w:p>
        </w:tc>
        <w:tc>
          <w:tcPr>
            <w:tcW w:w="1650" w:type="pct"/>
            <w:noWrap/>
            <w:vAlign w:val="center"/>
          </w:tcPr>
          <w:p w14:paraId="2678C8C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21.2</w:t>
            </w:r>
          </w:p>
        </w:tc>
        <w:tc>
          <w:tcPr>
            <w:tcW w:w="1650" w:type="pct"/>
            <w:noWrap/>
            <w:vAlign w:val="center"/>
          </w:tcPr>
          <w:p w14:paraId="02BA643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6.7</w:t>
            </w:r>
          </w:p>
        </w:tc>
      </w:tr>
      <w:tr w:rsidR="00DC5685" w:rsidRPr="00A34F10" w14:paraId="770DF27D" w14:textId="77777777" w:rsidTr="000470C3">
        <w:tc>
          <w:tcPr>
            <w:tcW w:w="1650" w:type="pct"/>
            <w:noWrap/>
            <w:vAlign w:val="center"/>
          </w:tcPr>
          <w:p w14:paraId="6AAC3FA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95.3</w:t>
            </w:r>
          </w:p>
        </w:tc>
        <w:tc>
          <w:tcPr>
            <w:tcW w:w="1650" w:type="pct"/>
            <w:noWrap/>
            <w:vAlign w:val="center"/>
          </w:tcPr>
          <w:p w14:paraId="6D135E0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38.1</w:t>
            </w:r>
          </w:p>
        </w:tc>
        <w:tc>
          <w:tcPr>
            <w:tcW w:w="1650" w:type="pct"/>
            <w:noWrap/>
            <w:vAlign w:val="center"/>
          </w:tcPr>
          <w:p w14:paraId="1B0A593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12.1</w:t>
            </w:r>
          </w:p>
        </w:tc>
      </w:tr>
      <w:tr w:rsidR="00DC5685" w:rsidRPr="00A34F10" w14:paraId="79BF3228" w14:textId="77777777" w:rsidTr="000470C3">
        <w:tc>
          <w:tcPr>
            <w:tcW w:w="1650" w:type="pct"/>
            <w:noWrap/>
            <w:vAlign w:val="center"/>
          </w:tcPr>
          <w:p w14:paraId="6D1C9F3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171</w:t>
            </w:r>
          </w:p>
        </w:tc>
        <w:tc>
          <w:tcPr>
            <w:tcW w:w="1650" w:type="pct"/>
            <w:noWrap/>
            <w:vAlign w:val="center"/>
          </w:tcPr>
          <w:p w14:paraId="7E15F4D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68.6</w:t>
            </w:r>
          </w:p>
        </w:tc>
        <w:tc>
          <w:tcPr>
            <w:tcW w:w="1650" w:type="pct"/>
            <w:noWrap/>
            <w:vAlign w:val="center"/>
          </w:tcPr>
          <w:p w14:paraId="2B5F154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21.8</w:t>
            </w:r>
          </w:p>
        </w:tc>
      </w:tr>
      <w:tr w:rsidR="00DC5685" w:rsidRPr="00A34F10" w14:paraId="4D6E3A30" w14:textId="77777777" w:rsidTr="000470C3">
        <w:tc>
          <w:tcPr>
            <w:tcW w:w="1650" w:type="pct"/>
            <w:noWrap/>
            <w:vAlign w:val="center"/>
          </w:tcPr>
          <w:p w14:paraId="36F416A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309</w:t>
            </w:r>
          </w:p>
        </w:tc>
        <w:tc>
          <w:tcPr>
            <w:tcW w:w="1650" w:type="pct"/>
            <w:noWrap/>
            <w:vAlign w:val="center"/>
          </w:tcPr>
          <w:p w14:paraId="4D16C54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123.5</w:t>
            </w:r>
          </w:p>
        </w:tc>
        <w:tc>
          <w:tcPr>
            <w:tcW w:w="1650" w:type="pct"/>
            <w:noWrap/>
            <w:vAlign w:val="center"/>
          </w:tcPr>
          <w:p w14:paraId="7D9B649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39.2</w:t>
            </w:r>
          </w:p>
        </w:tc>
      </w:tr>
      <w:tr w:rsidR="00DC5685" w:rsidRPr="00A34F10" w14:paraId="7E3D8EDE" w14:textId="77777777" w:rsidTr="000470C3">
        <w:tc>
          <w:tcPr>
            <w:tcW w:w="1650" w:type="pct"/>
            <w:noWrap/>
            <w:vAlign w:val="center"/>
          </w:tcPr>
          <w:p w14:paraId="18BB14B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556</w:t>
            </w:r>
          </w:p>
        </w:tc>
        <w:tc>
          <w:tcPr>
            <w:tcW w:w="1650" w:type="pct"/>
            <w:noWrap/>
            <w:vAlign w:val="center"/>
          </w:tcPr>
          <w:p w14:paraId="5C174D3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222.2</w:t>
            </w:r>
          </w:p>
        </w:tc>
        <w:tc>
          <w:tcPr>
            <w:tcW w:w="1650" w:type="pct"/>
            <w:noWrap/>
            <w:vAlign w:val="center"/>
          </w:tcPr>
          <w:p w14:paraId="04F9CD1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70.5</w:t>
            </w:r>
          </w:p>
        </w:tc>
      </w:tr>
      <w:tr w:rsidR="00DC5685" w:rsidRPr="00A34F10" w14:paraId="231DE5E4" w14:textId="77777777" w:rsidTr="000470C3">
        <w:tc>
          <w:tcPr>
            <w:tcW w:w="1650" w:type="pct"/>
            <w:noWrap/>
            <w:vAlign w:val="center"/>
          </w:tcPr>
          <w:p w14:paraId="1A9EDE9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1000</w:t>
            </w:r>
          </w:p>
        </w:tc>
        <w:tc>
          <w:tcPr>
            <w:tcW w:w="1650" w:type="pct"/>
            <w:noWrap/>
            <w:vAlign w:val="center"/>
          </w:tcPr>
          <w:p w14:paraId="5BCE687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400.0</w:t>
            </w:r>
          </w:p>
        </w:tc>
        <w:tc>
          <w:tcPr>
            <w:tcW w:w="1650" w:type="pct"/>
            <w:noWrap/>
            <w:vAlign w:val="center"/>
          </w:tcPr>
          <w:p w14:paraId="188AE27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127.0</w:t>
            </w:r>
          </w:p>
        </w:tc>
      </w:tr>
    </w:tbl>
    <w:p w14:paraId="4D091154" w14:textId="77777777" w:rsidR="00DC5685" w:rsidRPr="00A34F10" w:rsidRDefault="00DC5685" w:rsidP="00DC5685">
      <w:pPr>
        <w:keepNext/>
        <w:keepLines/>
        <w:tabs>
          <w:tab w:val="left" w:pos="720"/>
        </w:tabs>
        <w:spacing w:after="240"/>
        <w:jc w:val="both"/>
        <w:rPr>
          <w:sz w:val="18"/>
          <w:szCs w:val="20"/>
          <w:lang w:val="en-GB"/>
        </w:rPr>
      </w:pPr>
      <w:r w:rsidRPr="00A34F10">
        <w:rPr>
          <w:sz w:val="18"/>
          <w:szCs w:val="20"/>
          <w:lang w:val="en-GB"/>
        </w:rPr>
        <w:t xml:space="preserve">* The amounts of Propamocarb and BAS 650 F were calculated based on the nominal contents a.s. The density (1.080 g/cm³) was taken into account. </w:t>
      </w:r>
    </w:p>
    <w:p w14:paraId="6FEA9183" w14:textId="77777777" w:rsidR="00DC5685" w:rsidRPr="00A34F10" w:rsidRDefault="00DC5685" w:rsidP="00DC5685">
      <w:pPr>
        <w:tabs>
          <w:tab w:val="left" w:pos="720"/>
        </w:tabs>
        <w:spacing w:after="240"/>
        <w:jc w:val="both"/>
        <w:rPr>
          <w:szCs w:val="24"/>
          <w:lang w:val="en-GB"/>
        </w:rPr>
      </w:pPr>
      <w:r w:rsidRPr="00A34F10">
        <w:rPr>
          <w:szCs w:val="24"/>
          <w:lang w:val="en-GB"/>
        </w:rPr>
        <w:t xml:space="preserve">Collembola of a uniform age were obtained by transferring egg clusters from the breeding containers to new containers with fresh breeding substrate 12 days prior to the test. After 72 hours, these egg clusters </w:t>
      </w:r>
      <w:r w:rsidRPr="00A34F10">
        <w:rPr>
          <w:szCs w:val="24"/>
          <w:lang w:val="en-GB"/>
        </w:rPr>
        <w:lastRenderedPageBreak/>
        <w:t>were removed from the containers and the juveniles that had hatched during the preceding 72 hours were fed with granulated dry yeast.</w:t>
      </w:r>
    </w:p>
    <w:p w14:paraId="14DD522B" w14:textId="77777777" w:rsidR="00DC5685" w:rsidRPr="00A34F10" w:rsidRDefault="00DC5685" w:rsidP="00DC5685">
      <w:pPr>
        <w:tabs>
          <w:tab w:val="left" w:pos="720"/>
        </w:tabs>
        <w:spacing w:after="240"/>
        <w:jc w:val="both"/>
        <w:rPr>
          <w:szCs w:val="24"/>
          <w:lang w:val="en-GB"/>
        </w:rPr>
      </w:pPr>
      <w:r w:rsidRPr="00A34F10">
        <w:rPr>
          <w:szCs w:val="24"/>
          <w:lang w:val="en-GB"/>
        </w:rPr>
        <w:t xml:space="preserve">After a further 9 days, the collembola were collected for use in the test. The test item was mixed into the soil prior to addition of the collembola. The collembola were then introduced to each test vessel using an aspirator. The test vessels were placed in a random order and randomly re-positioned once per week. The test containers were tightly covered with a lid and briefly opened twice per week for aeration. </w:t>
      </w:r>
    </w:p>
    <w:p w14:paraId="09A5ED9A" w14:textId="77777777" w:rsidR="00DC5685" w:rsidRPr="00A34F10" w:rsidRDefault="00DC5685" w:rsidP="00E05ECD">
      <w:pPr>
        <w:numPr>
          <w:ilvl w:val="0"/>
          <w:numId w:val="93"/>
        </w:numPr>
        <w:tabs>
          <w:tab w:val="left" w:pos="0"/>
        </w:tabs>
        <w:ind w:left="357" w:hanging="357"/>
        <w:contextualSpacing/>
        <w:rPr>
          <w:b/>
          <w:bCs/>
          <w:szCs w:val="24"/>
          <w:lang w:val="en-GB"/>
        </w:rPr>
      </w:pPr>
      <w:r w:rsidRPr="00A34F10">
        <w:rPr>
          <w:b/>
          <w:bCs/>
          <w:szCs w:val="24"/>
          <w:lang w:val="en-GB"/>
        </w:rPr>
        <w:t xml:space="preserve">Dose preparation: </w:t>
      </w:r>
    </w:p>
    <w:p w14:paraId="3D98E657" w14:textId="77777777" w:rsidR="00DC5685" w:rsidRPr="00A34F10" w:rsidRDefault="00DC5685" w:rsidP="00DC5685">
      <w:pPr>
        <w:tabs>
          <w:tab w:val="left" w:pos="720"/>
        </w:tabs>
        <w:spacing w:after="240"/>
        <w:jc w:val="both"/>
        <w:rPr>
          <w:szCs w:val="24"/>
          <w:lang w:val="en-GB"/>
        </w:rPr>
      </w:pPr>
      <w:r w:rsidRPr="00A34F10">
        <w:rPr>
          <w:szCs w:val="24"/>
          <w:lang w:val="en-GB"/>
        </w:rPr>
        <w:t xml:space="preserve">An exact weighed amount of the test item was dispersed in deionised water to make a stock solution without the addition of solubility mediators, immediately prior to application. This stock solution was diluted with deionised water to prepare further test solutions (serial dilution). Afterwards the test solutions were thoroughly mixed with the artificial soil separately for each treatment group by intensive stirring in a laboratory mixer. </w:t>
      </w:r>
    </w:p>
    <w:p w14:paraId="2DC976B1" w14:textId="77777777" w:rsidR="00DC5685" w:rsidRPr="00A34F10" w:rsidRDefault="00DC5685" w:rsidP="00E05ECD">
      <w:pPr>
        <w:numPr>
          <w:ilvl w:val="0"/>
          <w:numId w:val="93"/>
        </w:numPr>
        <w:tabs>
          <w:tab w:val="left" w:pos="0"/>
        </w:tabs>
        <w:ind w:left="357" w:hanging="357"/>
        <w:contextualSpacing/>
        <w:rPr>
          <w:b/>
          <w:bCs/>
          <w:szCs w:val="24"/>
          <w:lang w:val="en-GB"/>
        </w:rPr>
      </w:pPr>
      <w:r w:rsidRPr="00A34F10">
        <w:rPr>
          <w:b/>
          <w:bCs/>
          <w:szCs w:val="24"/>
          <w:lang w:val="en-GB"/>
        </w:rPr>
        <w:t xml:space="preserve">Measurements and observations: </w:t>
      </w:r>
    </w:p>
    <w:p w14:paraId="24DB2B09" w14:textId="77777777" w:rsidR="00DC5685" w:rsidRPr="00A34F10" w:rsidRDefault="00DC5685" w:rsidP="00DC5685">
      <w:pPr>
        <w:tabs>
          <w:tab w:val="left" w:pos="0"/>
        </w:tabs>
        <w:contextualSpacing/>
        <w:rPr>
          <w:b/>
          <w:bCs/>
          <w:szCs w:val="24"/>
          <w:lang w:val="en-GB"/>
        </w:rPr>
      </w:pPr>
      <w:r w:rsidRPr="00A34F10">
        <w:rPr>
          <w:szCs w:val="24"/>
          <w:u w:val="single"/>
          <w:lang w:val="en-GB"/>
        </w:rPr>
        <w:t>Biological observations:</w:t>
      </w:r>
    </w:p>
    <w:p w14:paraId="070EBDBB" w14:textId="77777777" w:rsidR="00DC5685" w:rsidRPr="00A34F10" w:rsidRDefault="00DC5685" w:rsidP="00DC5685">
      <w:pPr>
        <w:tabs>
          <w:tab w:val="left" w:pos="720"/>
        </w:tabs>
        <w:jc w:val="both"/>
        <w:rPr>
          <w:szCs w:val="24"/>
          <w:lang w:val="en-GB"/>
        </w:rPr>
      </w:pPr>
      <w:r w:rsidRPr="00A34F10">
        <w:rPr>
          <w:szCs w:val="24"/>
          <w:lang w:val="en-GB"/>
        </w:rPr>
        <w:t>After 4 weeks, the parental and juvenile collembolans in the test and control vessels were counted. The test substrate of each replicate was poured into an individual container (approx. 200 mL volume) and the test organisms were floated off the substrate with the addition of water. After gentle stirring, the number of parental and juvenile collembolans floating on the surface was determined. Missing parental collembolans were assumed dead. Surviving adults and juveniles were counted using an automated counting technique based on a video camera connected to a digital image storage and analysis system (LemnaTec Scanalyzer). Observations of any physiological or pathological symptoms or distinct changes in behaviour were also recorded.</w:t>
      </w:r>
    </w:p>
    <w:p w14:paraId="5B917105" w14:textId="77777777" w:rsidR="00DC5685" w:rsidRPr="00A34F10" w:rsidRDefault="00DC5685" w:rsidP="00DC5685">
      <w:pPr>
        <w:tabs>
          <w:tab w:val="left" w:pos="720"/>
        </w:tabs>
        <w:jc w:val="both"/>
        <w:rPr>
          <w:szCs w:val="24"/>
          <w:lang w:val="en-GB"/>
        </w:rPr>
      </w:pPr>
    </w:p>
    <w:p w14:paraId="75A9AE98"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099BFF00" w14:textId="77777777" w:rsidR="00DC5685" w:rsidRPr="00A34F10" w:rsidRDefault="00DC5685" w:rsidP="00DC5685">
      <w:pPr>
        <w:tabs>
          <w:tab w:val="left" w:pos="720"/>
        </w:tabs>
        <w:spacing w:after="240"/>
        <w:jc w:val="both"/>
        <w:rPr>
          <w:szCs w:val="24"/>
        </w:rPr>
      </w:pPr>
      <w:r w:rsidRPr="00A34F10">
        <w:rPr>
          <w:szCs w:val="24"/>
          <w:lang w:val="en-GB"/>
        </w:rPr>
        <w:t>The pH and water content of the test substrate were determined at the start and end of the test. The water content was checked weekly by reweighing the additional test vessels. Water loss was compensated if exceeding 2 % of the initial water content.</w:t>
      </w:r>
    </w:p>
    <w:p w14:paraId="40924731" w14:textId="77777777" w:rsidR="00DC5685" w:rsidRPr="00A34F10" w:rsidRDefault="00DC5685" w:rsidP="00E05ECD">
      <w:pPr>
        <w:numPr>
          <w:ilvl w:val="0"/>
          <w:numId w:val="93"/>
        </w:numPr>
        <w:tabs>
          <w:tab w:val="left" w:pos="0"/>
        </w:tabs>
        <w:ind w:left="357" w:hanging="357"/>
        <w:contextualSpacing/>
        <w:rPr>
          <w:b/>
          <w:bCs/>
          <w:szCs w:val="24"/>
          <w:lang w:val="en-GB"/>
        </w:rPr>
      </w:pPr>
      <w:r w:rsidRPr="00A34F10">
        <w:rPr>
          <w:b/>
          <w:bCs/>
          <w:szCs w:val="24"/>
          <w:lang w:val="en-GB"/>
        </w:rPr>
        <w:t xml:space="preserve">Statistical analysis: </w:t>
      </w:r>
    </w:p>
    <w:p w14:paraId="46C1F260" w14:textId="7B880188" w:rsidR="00CA4C05" w:rsidRDefault="00DC5685" w:rsidP="00DC5685">
      <w:pPr>
        <w:keepNext/>
        <w:keepLines/>
        <w:tabs>
          <w:tab w:val="left" w:pos="720"/>
        </w:tabs>
        <w:jc w:val="both"/>
        <w:rPr>
          <w:szCs w:val="24"/>
          <w:lang w:val="en-GB"/>
        </w:rPr>
      </w:pPr>
      <w:r w:rsidRPr="00A34F10">
        <w:rPr>
          <w:szCs w:val="24"/>
          <w:lang w:val="en-GB"/>
        </w:rPr>
        <w:t>The statistical analysis was performed with the software ToxRat Professional 3.3.0 (2018). Multiple Sequentially-rejective Fisher Test after Bonferroni-Holm, Williams-t-test and logit analysis were used to compare the control with the independent test item groups.</w:t>
      </w:r>
    </w:p>
    <w:p w14:paraId="2BAFBC36" w14:textId="07656C8E" w:rsidR="00CA4C05" w:rsidRDefault="00CA4C05">
      <w:pPr>
        <w:rPr>
          <w:szCs w:val="24"/>
          <w:lang w:val="en-GB"/>
        </w:rPr>
      </w:pPr>
    </w:p>
    <w:p w14:paraId="197C22F8" w14:textId="77777777" w:rsidR="00DC5685" w:rsidRPr="00A34F10" w:rsidRDefault="00DC5685" w:rsidP="00DC5685">
      <w:pPr>
        <w:tabs>
          <w:tab w:val="left" w:pos="720"/>
        </w:tabs>
        <w:jc w:val="both"/>
        <w:rPr>
          <w:szCs w:val="24"/>
          <w:highlight w:val="yellow"/>
          <w:lang w:val="en-GB"/>
        </w:rPr>
      </w:pPr>
    </w:p>
    <w:p w14:paraId="4A56529E"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6CAC5F06" w14:textId="77777777" w:rsidR="00DC5685" w:rsidRPr="00A34F10" w:rsidRDefault="00DC5685" w:rsidP="00E05ECD">
      <w:pPr>
        <w:numPr>
          <w:ilvl w:val="0"/>
          <w:numId w:val="92"/>
        </w:numPr>
        <w:ind w:left="357" w:hanging="357"/>
        <w:contextualSpacing/>
        <w:rPr>
          <w:b/>
          <w:bCs/>
          <w:caps/>
          <w:szCs w:val="24"/>
          <w:lang w:val="en-GB"/>
        </w:rPr>
      </w:pPr>
      <w:r w:rsidRPr="00A34F10">
        <w:rPr>
          <w:b/>
          <w:bCs/>
          <w:caps/>
          <w:szCs w:val="24"/>
          <w:lang w:val="en-GB"/>
        </w:rPr>
        <w:t>biological effects</w:t>
      </w:r>
    </w:p>
    <w:p w14:paraId="2BC64B0A" w14:textId="77777777" w:rsidR="00DC5685" w:rsidRPr="00A34F10" w:rsidRDefault="00DC5685" w:rsidP="00DC5685">
      <w:pPr>
        <w:ind w:left="357"/>
        <w:contextualSpacing/>
        <w:rPr>
          <w:b/>
          <w:bCs/>
          <w:caps/>
          <w:szCs w:val="24"/>
          <w:lang w:val="en-GB"/>
        </w:rPr>
      </w:pPr>
    </w:p>
    <w:p w14:paraId="71397ACC" w14:textId="77777777" w:rsidR="00DC5685" w:rsidRPr="00A34F10" w:rsidRDefault="00DC5685" w:rsidP="00DC5685">
      <w:pPr>
        <w:tabs>
          <w:tab w:val="left" w:pos="720"/>
        </w:tabs>
        <w:spacing w:after="240"/>
        <w:jc w:val="both"/>
        <w:rPr>
          <w:szCs w:val="24"/>
          <w:lang w:val="en-GB"/>
        </w:rPr>
      </w:pPr>
      <w:r w:rsidRPr="00A34F10">
        <w:rPr>
          <w:szCs w:val="24"/>
          <w:lang w:val="en-GB"/>
        </w:rPr>
        <w:t>No statistically significant effect on parental mortality was found for any concentration tested. Mortality rates between 0.0 % - 5.0 % were recorded in the test item treatment groups. In the control, the mortality rate was 2.5 %. Statistically significant effects on the number of juveniles compared to the control group were recorded at a concentration of 1000 mg product/kg soil dw. No differences were observed in the behaviour of the collembolans between the control group and the test item treatment groups.</w:t>
      </w:r>
    </w:p>
    <w:p w14:paraId="4528DED8" w14:textId="72BBBF80" w:rsidR="00DC5685" w:rsidRPr="00A34F10" w:rsidRDefault="00DC5685" w:rsidP="00DC5685">
      <w:pPr>
        <w:tabs>
          <w:tab w:val="left" w:pos="720"/>
        </w:tabs>
        <w:spacing w:after="240"/>
        <w:jc w:val="both"/>
        <w:rPr>
          <w:szCs w:val="24"/>
          <w:lang w:val="en-GB"/>
        </w:rPr>
      </w:pPr>
      <w:r w:rsidRPr="00A34F10">
        <w:rPr>
          <w:szCs w:val="24"/>
          <w:lang w:val="en-GB"/>
        </w:rPr>
        <w:t>Results are shown in</w:t>
      </w:r>
      <w:r w:rsidR="00CA4C05">
        <w:rPr>
          <w:szCs w:val="24"/>
          <w:lang w:val="en-GB"/>
        </w:rPr>
        <w:t xml:space="preserve"> </w:t>
      </w:r>
      <w:r w:rsidR="00CA4C05">
        <w:rPr>
          <w:szCs w:val="24"/>
          <w:lang w:val="en-GB"/>
        </w:rPr>
        <w:fldChar w:fldCharType="begin"/>
      </w:r>
      <w:r w:rsidR="00CA4C05">
        <w:rPr>
          <w:szCs w:val="24"/>
          <w:lang w:val="en-GB"/>
        </w:rPr>
        <w:instrText xml:space="preserve"> REF _Ref147912196 \h </w:instrText>
      </w:r>
      <w:r w:rsidR="00CA4C05">
        <w:rPr>
          <w:szCs w:val="24"/>
          <w:lang w:val="en-GB"/>
        </w:rPr>
      </w:r>
      <w:r w:rsidR="00CA4C05">
        <w:rPr>
          <w:szCs w:val="24"/>
          <w:lang w:val="en-GB"/>
        </w:rPr>
        <w:fldChar w:fldCharType="separate"/>
      </w:r>
      <w:r w:rsidR="006F0F3B">
        <w:t xml:space="preserve">Table A </w:t>
      </w:r>
      <w:r w:rsidR="006F0F3B">
        <w:rPr>
          <w:noProof/>
        </w:rPr>
        <w:t>79</w:t>
      </w:r>
      <w:r w:rsidR="00CA4C05">
        <w:rPr>
          <w:szCs w:val="24"/>
          <w:lang w:val="en-GB"/>
        </w:rPr>
        <w:fldChar w:fldCharType="end"/>
      </w:r>
      <w:r w:rsidRPr="00A34F10">
        <w:rPr>
          <w:szCs w:val="24"/>
          <w:lang w:val="en-GB"/>
        </w:rPr>
        <w:t>.</w:t>
      </w:r>
    </w:p>
    <w:p w14:paraId="4BF9CC53" w14:textId="78D80034" w:rsidR="00DC5685" w:rsidRPr="0060455A" w:rsidRDefault="00CA4C05" w:rsidP="00CA4C05">
      <w:pPr>
        <w:pStyle w:val="Legenda"/>
      </w:pPr>
      <w:bookmarkStart w:id="1167" w:name="_Ref147912196"/>
      <w:r>
        <w:t xml:space="preserve">Table A </w:t>
      </w:r>
      <w:r>
        <w:fldChar w:fldCharType="begin"/>
      </w:r>
      <w:r>
        <w:instrText xml:space="preserve"> SEQ Table_A \* ARABIC </w:instrText>
      </w:r>
      <w:r>
        <w:fldChar w:fldCharType="separate"/>
      </w:r>
      <w:r w:rsidR="006F0F3B">
        <w:rPr>
          <w:noProof/>
        </w:rPr>
        <w:t>79</w:t>
      </w:r>
      <w:r>
        <w:fldChar w:fldCharType="end"/>
      </w:r>
      <w:bookmarkEnd w:id="1167"/>
      <w:r w:rsidR="00DC5685" w:rsidRPr="0060455A">
        <w:t>:</w:t>
      </w:r>
      <w:r w:rsidR="0060455A" w:rsidRPr="0060455A">
        <w:tab/>
      </w:r>
      <w:r w:rsidR="00DC5685" w:rsidRPr="0060455A">
        <w:t xml:space="preserve"> Summary of effects on mortality and reproduction of the collembolan </w:t>
      </w:r>
      <w:r w:rsidR="00DC5685" w:rsidRPr="0060455A">
        <w:rPr>
          <w:i/>
          <w:iCs/>
        </w:rPr>
        <w:t xml:space="preserve">Folsomia candida </w:t>
      </w:r>
      <w:r w:rsidR="00DC5685" w:rsidRPr="0060455A">
        <w:t>following 28 days exposure to BAS 743 02 F</w:t>
      </w:r>
    </w:p>
    <w:tbl>
      <w:tblPr>
        <w:tblStyle w:val="TableGrid8"/>
        <w:tblW w:w="5000" w:type="pct"/>
        <w:jc w:val="center"/>
        <w:tblCellMar>
          <w:left w:w="0" w:type="dxa"/>
          <w:right w:w="0" w:type="dxa"/>
        </w:tblCellMar>
        <w:tblLook w:val="04A0" w:firstRow="1" w:lastRow="0" w:firstColumn="1" w:lastColumn="0" w:noHBand="0" w:noVBand="1"/>
      </w:tblPr>
      <w:tblGrid>
        <w:gridCol w:w="2488"/>
        <w:gridCol w:w="983"/>
        <w:gridCol w:w="750"/>
        <w:gridCol w:w="752"/>
        <w:gridCol w:w="752"/>
        <w:gridCol w:w="752"/>
        <w:gridCol w:w="752"/>
        <w:gridCol w:w="752"/>
        <w:gridCol w:w="752"/>
        <w:gridCol w:w="611"/>
      </w:tblGrid>
      <w:tr w:rsidR="00DC5685" w:rsidRPr="00A34F10" w14:paraId="5F4E1A7A" w14:textId="77777777" w:rsidTr="000470C3">
        <w:trPr>
          <w:trHeight w:val="283"/>
          <w:jc w:val="center"/>
        </w:trPr>
        <w:tc>
          <w:tcPr>
            <w:tcW w:w="1289" w:type="pct"/>
            <w:vMerge w:val="restart"/>
            <w:noWrap/>
            <w:vAlign w:val="center"/>
          </w:tcPr>
          <w:p w14:paraId="49206D69"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r w:rsidRPr="00A34F10">
              <w:rPr>
                <w:rFonts w:ascii="Times New Roman" w:hAnsi="Times New Roman"/>
                <w:b/>
                <w:sz w:val="20"/>
                <w:szCs w:val="20"/>
              </w:rPr>
              <w:lastRenderedPageBreak/>
              <w:t>Treatment group</w:t>
            </w:r>
          </w:p>
        </w:tc>
        <w:tc>
          <w:tcPr>
            <w:tcW w:w="3711" w:type="pct"/>
            <w:gridSpan w:val="9"/>
            <w:noWrap/>
            <w:vAlign w:val="center"/>
          </w:tcPr>
          <w:p w14:paraId="7C122624"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BAS 743 02 F (mg product/kg soil dw)</w:t>
            </w:r>
          </w:p>
        </w:tc>
      </w:tr>
      <w:tr w:rsidR="00DC5685" w:rsidRPr="00A34F10" w14:paraId="2F50276D" w14:textId="77777777" w:rsidTr="000470C3">
        <w:trPr>
          <w:trHeight w:val="283"/>
          <w:jc w:val="center"/>
        </w:trPr>
        <w:tc>
          <w:tcPr>
            <w:tcW w:w="1289" w:type="pct"/>
            <w:vMerge/>
            <w:noWrap/>
            <w:vAlign w:val="center"/>
          </w:tcPr>
          <w:p w14:paraId="525AADA2" w14:textId="77777777" w:rsidR="00DC5685" w:rsidRPr="00A34F10" w:rsidRDefault="00DC5685" w:rsidP="00DC5685">
            <w:pPr>
              <w:keepNext/>
              <w:keepLines/>
              <w:tabs>
                <w:tab w:val="left" w:pos="720"/>
              </w:tabs>
              <w:spacing w:before="60"/>
              <w:jc w:val="center"/>
              <w:rPr>
                <w:rFonts w:ascii="Times New Roman" w:hAnsi="Times New Roman"/>
                <w:sz w:val="20"/>
                <w:szCs w:val="20"/>
                <w:highlight w:val="yellow"/>
              </w:rPr>
            </w:pPr>
          </w:p>
        </w:tc>
        <w:tc>
          <w:tcPr>
            <w:tcW w:w="531" w:type="pct"/>
            <w:noWrap/>
            <w:vAlign w:val="center"/>
          </w:tcPr>
          <w:p w14:paraId="7BC40E98"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Control</w:t>
            </w:r>
          </w:p>
        </w:tc>
        <w:tc>
          <w:tcPr>
            <w:tcW w:w="406" w:type="pct"/>
            <w:noWrap/>
            <w:vAlign w:val="center"/>
          </w:tcPr>
          <w:p w14:paraId="2B70C8E4"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16.3</w:t>
            </w:r>
          </w:p>
        </w:tc>
        <w:tc>
          <w:tcPr>
            <w:tcW w:w="407" w:type="pct"/>
            <w:noWrap/>
            <w:vAlign w:val="center"/>
          </w:tcPr>
          <w:p w14:paraId="20D7AD6B"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29.4</w:t>
            </w:r>
          </w:p>
        </w:tc>
        <w:tc>
          <w:tcPr>
            <w:tcW w:w="407" w:type="pct"/>
            <w:noWrap/>
            <w:vAlign w:val="center"/>
          </w:tcPr>
          <w:p w14:paraId="0D24AC81"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52.9</w:t>
            </w:r>
          </w:p>
        </w:tc>
        <w:tc>
          <w:tcPr>
            <w:tcW w:w="407" w:type="pct"/>
            <w:noWrap/>
            <w:vAlign w:val="center"/>
          </w:tcPr>
          <w:p w14:paraId="52FA810B"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95.3</w:t>
            </w:r>
          </w:p>
        </w:tc>
        <w:tc>
          <w:tcPr>
            <w:tcW w:w="407" w:type="pct"/>
            <w:noWrap/>
            <w:vAlign w:val="center"/>
          </w:tcPr>
          <w:p w14:paraId="6F3554F7"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171</w:t>
            </w:r>
          </w:p>
        </w:tc>
        <w:tc>
          <w:tcPr>
            <w:tcW w:w="407" w:type="pct"/>
            <w:noWrap/>
            <w:vAlign w:val="center"/>
          </w:tcPr>
          <w:p w14:paraId="6C097CFE"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309</w:t>
            </w:r>
          </w:p>
        </w:tc>
        <w:tc>
          <w:tcPr>
            <w:tcW w:w="407" w:type="pct"/>
            <w:noWrap/>
            <w:vAlign w:val="center"/>
          </w:tcPr>
          <w:p w14:paraId="430D0074"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556</w:t>
            </w:r>
          </w:p>
        </w:tc>
        <w:tc>
          <w:tcPr>
            <w:tcW w:w="333" w:type="pct"/>
            <w:noWrap/>
            <w:vAlign w:val="center"/>
          </w:tcPr>
          <w:p w14:paraId="64D7366F"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1000</w:t>
            </w:r>
          </w:p>
        </w:tc>
      </w:tr>
      <w:tr w:rsidR="00DC5685" w:rsidRPr="00A34F10" w14:paraId="76044150" w14:textId="77777777" w:rsidTr="000470C3">
        <w:trPr>
          <w:trHeight w:val="283"/>
          <w:jc w:val="center"/>
        </w:trPr>
        <w:tc>
          <w:tcPr>
            <w:tcW w:w="1289" w:type="pct"/>
            <w:noWrap/>
            <w:vAlign w:val="center"/>
          </w:tcPr>
          <w:p w14:paraId="3105580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Mortality (%)</w:t>
            </w:r>
          </w:p>
        </w:tc>
        <w:tc>
          <w:tcPr>
            <w:tcW w:w="531" w:type="pct"/>
            <w:noWrap/>
            <w:vAlign w:val="center"/>
          </w:tcPr>
          <w:p w14:paraId="350F508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406" w:type="pct"/>
            <w:noWrap/>
            <w:vAlign w:val="center"/>
          </w:tcPr>
          <w:p w14:paraId="2790025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407" w:type="pct"/>
            <w:noWrap/>
            <w:vAlign w:val="center"/>
          </w:tcPr>
          <w:p w14:paraId="5AB5794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7EFB485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407" w:type="pct"/>
            <w:noWrap/>
            <w:vAlign w:val="center"/>
          </w:tcPr>
          <w:p w14:paraId="091291B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407" w:type="pct"/>
            <w:noWrap/>
            <w:vAlign w:val="center"/>
          </w:tcPr>
          <w:p w14:paraId="286BD864"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407" w:type="pct"/>
            <w:noWrap/>
            <w:vAlign w:val="center"/>
          </w:tcPr>
          <w:p w14:paraId="4C594AC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0.0</w:t>
            </w:r>
          </w:p>
        </w:tc>
        <w:tc>
          <w:tcPr>
            <w:tcW w:w="407" w:type="pct"/>
            <w:noWrap/>
            <w:vAlign w:val="center"/>
          </w:tcPr>
          <w:p w14:paraId="18973F1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2.5</w:t>
            </w:r>
          </w:p>
        </w:tc>
        <w:tc>
          <w:tcPr>
            <w:tcW w:w="333" w:type="pct"/>
            <w:noWrap/>
            <w:vAlign w:val="center"/>
          </w:tcPr>
          <w:p w14:paraId="7D5D0E8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5.0</w:t>
            </w:r>
          </w:p>
        </w:tc>
      </w:tr>
      <w:tr w:rsidR="00DC5685" w:rsidRPr="00A34F10" w14:paraId="5C9561AE" w14:textId="77777777" w:rsidTr="000470C3">
        <w:trPr>
          <w:trHeight w:val="283"/>
          <w:jc w:val="center"/>
        </w:trPr>
        <w:tc>
          <w:tcPr>
            <w:tcW w:w="1289" w:type="pct"/>
            <w:noWrap/>
            <w:vAlign w:val="center"/>
          </w:tcPr>
          <w:p w14:paraId="1C4A914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Mean number of juveniles</w:t>
            </w:r>
          </w:p>
        </w:tc>
        <w:tc>
          <w:tcPr>
            <w:tcW w:w="531" w:type="pct"/>
            <w:noWrap/>
            <w:vAlign w:val="center"/>
          </w:tcPr>
          <w:p w14:paraId="73B403F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1094</w:t>
            </w:r>
          </w:p>
        </w:tc>
        <w:tc>
          <w:tcPr>
            <w:tcW w:w="406" w:type="pct"/>
            <w:noWrap/>
            <w:vAlign w:val="center"/>
          </w:tcPr>
          <w:p w14:paraId="5C091D4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1063</w:t>
            </w:r>
          </w:p>
        </w:tc>
        <w:tc>
          <w:tcPr>
            <w:tcW w:w="407" w:type="pct"/>
            <w:noWrap/>
            <w:vAlign w:val="center"/>
          </w:tcPr>
          <w:p w14:paraId="64B430A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1084</w:t>
            </w:r>
          </w:p>
        </w:tc>
        <w:tc>
          <w:tcPr>
            <w:tcW w:w="407" w:type="pct"/>
            <w:noWrap/>
            <w:vAlign w:val="center"/>
          </w:tcPr>
          <w:p w14:paraId="6FBAB7E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1095</w:t>
            </w:r>
          </w:p>
        </w:tc>
        <w:tc>
          <w:tcPr>
            <w:tcW w:w="407" w:type="pct"/>
            <w:noWrap/>
            <w:vAlign w:val="center"/>
          </w:tcPr>
          <w:p w14:paraId="692D045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1067</w:t>
            </w:r>
          </w:p>
        </w:tc>
        <w:tc>
          <w:tcPr>
            <w:tcW w:w="407" w:type="pct"/>
            <w:noWrap/>
            <w:vAlign w:val="center"/>
          </w:tcPr>
          <w:p w14:paraId="7F0C29B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1048</w:t>
            </w:r>
          </w:p>
        </w:tc>
        <w:tc>
          <w:tcPr>
            <w:tcW w:w="407" w:type="pct"/>
            <w:noWrap/>
            <w:vAlign w:val="center"/>
          </w:tcPr>
          <w:p w14:paraId="10AA10F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1070</w:t>
            </w:r>
          </w:p>
        </w:tc>
        <w:tc>
          <w:tcPr>
            <w:tcW w:w="407" w:type="pct"/>
            <w:noWrap/>
            <w:vAlign w:val="center"/>
          </w:tcPr>
          <w:p w14:paraId="675A0E1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1090</w:t>
            </w:r>
          </w:p>
        </w:tc>
        <w:tc>
          <w:tcPr>
            <w:tcW w:w="333" w:type="pct"/>
            <w:noWrap/>
            <w:vAlign w:val="center"/>
          </w:tcPr>
          <w:p w14:paraId="04DAE52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902*</w:t>
            </w:r>
          </w:p>
        </w:tc>
      </w:tr>
      <w:tr w:rsidR="00DC5685" w:rsidRPr="00A34F10" w14:paraId="169E50EE" w14:textId="77777777" w:rsidTr="000470C3">
        <w:trPr>
          <w:trHeight w:val="283"/>
          <w:jc w:val="center"/>
        </w:trPr>
        <w:tc>
          <w:tcPr>
            <w:tcW w:w="1289" w:type="pct"/>
            <w:noWrap/>
            <w:vAlign w:val="center"/>
          </w:tcPr>
          <w:p w14:paraId="69D1349D"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Reproduction in (%) of control</w:t>
            </w:r>
          </w:p>
        </w:tc>
        <w:tc>
          <w:tcPr>
            <w:tcW w:w="531" w:type="pct"/>
            <w:noWrap/>
            <w:vAlign w:val="center"/>
          </w:tcPr>
          <w:p w14:paraId="19DC542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w:t>
            </w:r>
          </w:p>
        </w:tc>
        <w:tc>
          <w:tcPr>
            <w:tcW w:w="406" w:type="pct"/>
            <w:noWrap/>
            <w:vAlign w:val="center"/>
          </w:tcPr>
          <w:p w14:paraId="34957CA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97.2</w:t>
            </w:r>
          </w:p>
        </w:tc>
        <w:tc>
          <w:tcPr>
            <w:tcW w:w="407" w:type="pct"/>
            <w:noWrap/>
            <w:vAlign w:val="center"/>
          </w:tcPr>
          <w:p w14:paraId="65DC6271"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99.1</w:t>
            </w:r>
          </w:p>
        </w:tc>
        <w:tc>
          <w:tcPr>
            <w:tcW w:w="407" w:type="pct"/>
            <w:noWrap/>
            <w:vAlign w:val="center"/>
          </w:tcPr>
          <w:p w14:paraId="52B97D5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100.1</w:t>
            </w:r>
          </w:p>
        </w:tc>
        <w:tc>
          <w:tcPr>
            <w:tcW w:w="407" w:type="pct"/>
            <w:noWrap/>
            <w:vAlign w:val="center"/>
          </w:tcPr>
          <w:p w14:paraId="310A48D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97.5</w:t>
            </w:r>
          </w:p>
        </w:tc>
        <w:tc>
          <w:tcPr>
            <w:tcW w:w="407" w:type="pct"/>
            <w:noWrap/>
            <w:vAlign w:val="center"/>
          </w:tcPr>
          <w:p w14:paraId="7299894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95.8</w:t>
            </w:r>
          </w:p>
        </w:tc>
        <w:tc>
          <w:tcPr>
            <w:tcW w:w="407" w:type="pct"/>
            <w:noWrap/>
            <w:vAlign w:val="center"/>
          </w:tcPr>
          <w:p w14:paraId="0734E1A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97.8</w:t>
            </w:r>
          </w:p>
        </w:tc>
        <w:tc>
          <w:tcPr>
            <w:tcW w:w="407" w:type="pct"/>
            <w:noWrap/>
            <w:vAlign w:val="center"/>
          </w:tcPr>
          <w:p w14:paraId="12C0C02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99.6</w:t>
            </w:r>
          </w:p>
        </w:tc>
        <w:tc>
          <w:tcPr>
            <w:tcW w:w="333" w:type="pct"/>
            <w:noWrap/>
            <w:vAlign w:val="center"/>
          </w:tcPr>
          <w:p w14:paraId="079913E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82.5</w:t>
            </w:r>
          </w:p>
        </w:tc>
      </w:tr>
      <w:tr w:rsidR="00DC5685" w:rsidRPr="00A34F10" w14:paraId="0EA234BC" w14:textId="77777777" w:rsidTr="000470C3">
        <w:trPr>
          <w:trHeight w:val="283"/>
          <w:jc w:val="center"/>
        </w:trPr>
        <w:tc>
          <w:tcPr>
            <w:tcW w:w="1289" w:type="pct"/>
            <w:tcBorders>
              <w:top w:val="nil"/>
              <w:left w:val="single" w:sz="4" w:space="0" w:color="auto"/>
              <w:bottom w:val="nil"/>
              <w:right w:val="nil"/>
            </w:tcBorders>
            <w:noWrap/>
            <w:vAlign w:val="center"/>
          </w:tcPr>
          <w:p w14:paraId="5293682B"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p>
        </w:tc>
        <w:tc>
          <w:tcPr>
            <w:tcW w:w="3711" w:type="pct"/>
            <w:gridSpan w:val="9"/>
            <w:tcBorders>
              <w:left w:val="nil"/>
            </w:tcBorders>
            <w:vAlign w:val="center"/>
          </w:tcPr>
          <w:p w14:paraId="7C100BD0" w14:textId="77777777" w:rsidR="00DC5685" w:rsidRPr="00A34F10" w:rsidRDefault="00DC5685" w:rsidP="00DC5685">
            <w:pPr>
              <w:keepNext/>
              <w:keepLines/>
              <w:tabs>
                <w:tab w:val="left" w:pos="720"/>
              </w:tabs>
              <w:spacing w:before="60"/>
              <w:jc w:val="center"/>
              <w:rPr>
                <w:rFonts w:ascii="Times New Roman" w:hAnsi="Times New Roman"/>
                <w:b/>
                <w:sz w:val="20"/>
                <w:szCs w:val="20"/>
                <w:highlight w:val="yellow"/>
              </w:rPr>
            </w:pPr>
            <w:r w:rsidRPr="00A34F10">
              <w:rPr>
                <w:rFonts w:ascii="Times New Roman" w:hAnsi="Times New Roman"/>
                <w:b/>
                <w:sz w:val="20"/>
                <w:szCs w:val="20"/>
              </w:rPr>
              <w:t>Endpoint (mg product/kg soil dw)</w:t>
            </w:r>
          </w:p>
        </w:tc>
      </w:tr>
      <w:tr w:rsidR="00DC5685" w:rsidRPr="00A34F10" w14:paraId="76F2DC8B" w14:textId="77777777" w:rsidTr="000470C3">
        <w:trPr>
          <w:trHeight w:val="283"/>
          <w:jc w:val="center"/>
        </w:trPr>
        <w:tc>
          <w:tcPr>
            <w:tcW w:w="1289" w:type="pct"/>
            <w:noWrap/>
            <w:vAlign w:val="center"/>
          </w:tcPr>
          <w:p w14:paraId="7FCDC1A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NOEC (mortality)</w:t>
            </w:r>
          </w:p>
        </w:tc>
        <w:tc>
          <w:tcPr>
            <w:tcW w:w="3711" w:type="pct"/>
            <w:gridSpan w:val="9"/>
            <w:noWrap/>
            <w:vAlign w:val="center"/>
          </w:tcPr>
          <w:p w14:paraId="138BD83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3CA2AA14" w14:textId="77777777" w:rsidTr="000470C3">
        <w:trPr>
          <w:trHeight w:val="283"/>
          <w:jc w:val="center"/>
        </w:trPr>
        <w:tc>
          <w:tcPr>
            <w:tcW w:w="1289" w:type="pct"/>
            <w:noWrap/>
            <w:vAlign w:val="center"/>
          </w:tcPr>
          <w:p w14:paraId="5E03B88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NOEC (reproduction)</w:t>
            </w:r>
          </w:p>
        </w:tc>
        <w:tc>
          <w:tcPr>
            <w:tcW w:w="3711" w:type="pct"/>
            <w:gridSpan w:val="9"/>
            <w:noWrap/>
            <w:vAlign w:val="center"/>
          </w:tcPr>
          <w:p w14:paraId="4FCB12F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556</w:t>
            </w:r>
          </w:p>
        </w:tc>
      </w:tr>
      <w:tr w:rsidR="00DC5685" w:rsidRPr="00A34F10" w14:paraId="4EBA00A8" w14:textId="77777777" w:rsidTr="000470C3">
        <w:trPr>
          <w:trHeight w:val="283"/>
          <w:jc w:val="center"/>
        </w:trPr>
        <w:tc>
          <w:tcPr>
            <w:tcW w:w="1289" w:type="pct"/>
            <w:noWrap/>
            <w:vAlign w:val="center"/>
          </w:tcPr>
          <w:p w14:paraId="476384C7"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LC</w:t>
            </w:r>
            <w:r w:rsidRPr="00A34F10">
              <w:rPr>
                <w:rFonts w:ascii="Times New Roman" w:hAnsi="Times New Roman"/>
                <w:sz w:val="20"/>
                <w:szCs w:val="20"/>
                <w:vertAlign w:val="subscript"/>
              </w:rPr>
              <w:t>50</w:t>
            </w:r>
            <w:r w:rsidRPr="00A34F10">
              <w:rPr>
                <w:rFonts w:ascii="Times New Roman" w:hAnsi="Times New Roman"/>
                <w:sz w:val="20"/>
                <w:szCs w:val="20"/>
              </w:rPr>
              <w:t xml:space="preserve"> (mortality)</w:t>
            </w:r>
            <w:r w:rsidRPr="00A34F10">
              <w:rPr>
                <w:rFonts w:ascii="Times New Roman" w:hAnsi="Times New Roman"/>
                <w:sz w:val="20"/>
                <w:szCs w:val="20"/>
                <w:vertAlign w:val="superscript"/>
              </w:rPr>
              <w:t>1</w:t>
            </w:r>
          </w:p>
        </w:tc>
        <w:tc>
          <w:tcPr>
            <w:tcW w:w="3711" w:type="pct"/>
            <w:gridSpan w:val="9"/>
            <w:noWrap/>
            <w:vAlign w:val="center"/>
          </w:tcPr>
          <w:p w14:paraId="4FE99305"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&gt; 1000</w:t>
            </w:r>
          </w:p>
        </w:tc>
      </w:tr>
      <w:tr w:rsidR="00DC5685" w:rsidRPr="00A34F10" w14:paraId="1ACA7EE2" w14:textId="77777777" w:rsidTr="000470C3">
        <w:trPr>
          <w:trHeight w:val="283"/>
          <w:jc w:val="center"/>
        </w:trPr>
        <w:tc>
          <w:tcPr>
            <w:tcW w:w="1289" w:type="pct"/>
            <w:noWrap/>
            <w:vAlign w:val="center"/>
          </w:tcPr>
          <w:p w14:paraId="50B7FEB4"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 xml:space="preserve">10 </w:t>
            </w:r>
            <w:r w:rsidRPr="00A34F10">
              <w:rPr>
                <w:rFonts w:ascii="Times New Roman" w:hAnsi="Times New Roman"/>
                <w:sz w:val="20"/>
                <w:szCs w:val="20"/>
              </w:rPr>
              <w:t>(reproduction)</w:t>
            </w:r>
            <w:r w:rsidRPr="00A34F10">
              <w:rPr>
                <w:rFonts w:ascii="Times New Roman" w:hAnsi="Times New Roman"/>
                <w:sz w:val="20"/>
                <w:szCs w:val="20"/>
                <w:vertAlign w:val="superscript"/>
              </w:rPr>
              <w:t>2</w:t>
            </w:r>
          </w:p>
        </w:tc>
        <w:tc>
          <w:tcPr>
            <w:tcW w:w="3711" w:type="pct"/>
            <w:gridSpan w:val="9"/>
            <w:noWrap/>
            <w:vAlign w:val="center"/>
          </w:tcPr>
          <w:p w14:paraId="3DB318C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513</w:t>
            </w:r>
            <w:r w:rsidRPr="00A34F10">
              <w:rPr>
                <w:rFonts w:ascii="Times New Roman" w:hAnsi="Times New Roman"/>
                <w:sz w:val="20"/>
                <w:szCs w:val="20"/>
              </w:rPr>
              <w:br/>
              <w:t>(225 – 1292)</w:t>
            </w:r>
          </w:p>
        </w:tc>
      </w:tr>
      <w:tr w:rsidR="00DC5685" w:rsidRPr="00A34F10" w14:paraId="33CD98A7" w14:textId="77777777" w:rsidTr="000470C3">
        <w:trPr>
          <w:trHeight w:val="283"/>
          <w:jc w:val="center"/>
        </w:trPr>
        <w:tc>
          <w:tcPr>
            <w:tcW w:w="1289" w:type="pct"/>
            <w:noWrap/>
            <w:vAlign w:val="center"/>
          </w:tcPr>
          <w:p w14:paraId="65726FD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20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2</w:t>
            </w:r>
          </w:p>
        </w:tc>
        <w:tc>
          <w:tcPr>
            <w:tcW w:w="3711" w:type="pct"/>
            <w:gridSpan w:val="9"/>
            <w:noWrap/>
            <w:vAlign w:val="center"/>
          </w:tcPr>
          <w:p w14:paraId="7239F08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&gt; 1000</w:t>
            </w:r>
          </w:p>
        </w:tc>
      </w:tr>
      <w:tr w:rsidR="00DC5685" w:rsidRPr="00A34F10" w14:paraId="6AD2D098" w14:textId="77777777" w:rsidTr="000470C3">
        <w:trPr>
          <w:trHeight w:val="283"/>
          <w:jc w:val="center"/>
        </w:trPr>
        <w:tc>
          <w:tcPr>
            <w:tcW w:w="1289" w:type="pct"/>
            <w:noWrap/>
            <w:vAlign w:val="center"/>
          </w:tcPr>
          <w:p w14:paraId="7166134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50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2</w:t>
            </w:r>
          </w:p>
        </w:tc>
        <w:tc>
          <w:tcPr>
            <w:tcW w:w="3711" w:type="pct"/>
            <w:gridSpan w:val="9"/>
            <w:noWrap/>
            <w:vAlign w:val="center"/>
          </w:tcPr>
          <w:p w14:paraId="73FDCDF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&gt; 1000</w:t>
            </w:r>
          </w:p>
        </w:tc>
      </w:tr>
    </w:tbl>
    <w:p w14:paraId="34995806" w14:textId="77777777" w:rsidR="00DC5685" w:rsidRPr="00A34F10" w:rsidRDefault="00DC5685" w:rsidP="00DC5685">
      <w:pPr>
        <w:keepNext/>
        <w:keepLines/>
        <w:tabs>
          <w:tab w:val="left" w:pos="720"/>
        </w:tabs>
        <w:jc w:val="both"/>
        <w:rPr>
          <w:sz w:val="18"/>
          <w:szCs w:val="20"/>
        </w:rPr>
      </w:pPr>
      <w:r w:rsidRPr="00A34F10">
        <w:rPr>
          <w:sz w:val="18"/>
          <w:szCs w:val="20"/>
        </w:rPr>
        <w:t>* Statistically significantly different compared to the control (α = 0.05, one-sided greater; Williams-t-test for reproduction; α = 0.05, one-sided smaller)</w:t>
      </w:r>
    </w:p>
    <w:p w14:paraId="79D29AF1" w14:textId="77777777" w:rsidR="00DC5685" w:rsidRPr="00A34F10" w:rsidRDefault="00DC5685" w:rsidP="00DC5685">
      <w:pPr>
        <w:keepNext/>
        <w:keepLines/>
        <w:tabs>
          <w:tab w:val="left" w:pos="720"/>
        </w:tabs>
        <w:jc w:val="both"/>
        <w:rPr>
          <w:sz w:val="18"/>
          <w:szCs w:val="20"/>
          <w:lang w:val="en-GB"/>
        </w:rPr>
      </w:pPr>
      <w:r w:rsidRPr="00A34F10">
        <w:rPr>
          <w:sz w:val="18"/>
          <w:szCs w:val="20"/>
          <w:lang w:val="en-GB"/>
        </w:rPr>
        <w:t>Calculations were performed with unrounded values</w:t>
      </w:r>
    </w:p>
    <w:p w14:paraId="1F8F1BAB" w14:textId="77777777" w:rsidR="00DC5685" w:rsidRPr="00A34F10" w:rsidRDefault="00DC5685" w:rsidP="00DC5685">
      <w:pPr>
        <w:keepNext/>
        <w:keepLines/>
        <w:tabs>
          <w:tab w:val="left" w:pos="720"/>
        </w:tabs>
        <w:jc w:val="both"/>
        <w:rPr>
          <w:sz w:val="18"/>
          <w:szCs w:val="20"/>
          <w:lang w:val="en-GB"/>
        </w:rPr>
      </w:pPr>
      <w:r w:rsidRPr="00A34F10">
        <w:rPr>
          <w:sz w:val="18"/>
          <w:szCs w:val="20"/>
          <w:vertAlign w:val="superscript"/>
          <w:lang w:val="en-GB"/>
        </w:rPr>
        <w:t>1</w:t>
      </w:r>
      <w:r w:rsidRPr="00A34F10">
        <w:rPr>
          <w:sz w:val="18"/>
          <w:szCs w:val="20"/>
          <w:lang w:val="en-GB"/>
        </w:rPr>
        <w:t xml:space="preserve"> Due to negligible effects and lacking dose response the value was estimated to be above the highest test concentration</w:t>
      </w:r>
    </w:p>
    <w:p w14:paraId="50253C5F" w14:textId="77777777" w:rsidR="00DC5685" w:rsidRPr="00A34F10" w:rsidRDefault="00DC5685" w:rsidP="00DC5685">
      <w:pPr>
        <w:keepNext/>
        <w:keepLines/>
        <w:tabs>
          <w:tab w:val="left" w:pos="720"/>
        </w:tabs>
        <w:spacing w:after="360"/>
        <w:jc w:val="both"/>
        <w:rPr>
          <w:sz w:val="18"/>
          <w:szCs w:val="20"/>
          <w:lang w:val="en-GB"/>
        </w:rPr>
      </w:pPr>
      <w:r w:rsidRPr="00A34F10">
        <w:rPr>
          <w:sz w:val="18"/>
          <w:szCs w:val="20"/>
          <w:vertAlign w:val="superscript"/>
          <w:lang w:val="en-GB"/>
        </w:rPr>
        <w:t>2</w:t>
      </w:r>
      <w:r w:rsidRPr="00A34F10">
        <w:rPr>
          <w:sz w:val="18"/>
          <w:szCs w:val="20"/>
          <w:lang w:val="en-GB"/>
        </w:rPr>
        <w:t xml:space="preserve"> Dased on Logit analysis </w:t>
      </w:r>
    </w:p>
    <w:p w14:paraId="3F89ECC4" w14:textId="77777777" w:rsidR="00DC5685" w:rsidRPr="00A34F10" w:rsidRDefault="00DC5685" w:rsidP="00DC5685">
      <w:pPr>
        <w:tabs>
          <w:tab w:val="left" w:pos="0"/>
        </w:tabs>
        <w:contextualSpacing/>
        <w:jc w:val="both"/>
        <w:rPr>
          <w:szCs w:val="24"/>
          <w:lang w:val="en-GB"/>
        </w:rPr>
      </w:pPr>
      <w:r w:rsidRPr="00A34F10">
        <w:rPr>
          <w:szCs w:val="24"/>
          <w:lang w:val="en-GB"/>
        </w:rPr>
        <w:t>In a separate study (BioChem project No. 22 48 TCC 0024, dated 05 Sep 2022), the EC</w:t>
      </w:r>
      <w:r w:rsidRPr="00A34F10">
        <w:rPr>
          <w:szCs w:val="24"/>
          <w:vertAlign w:val="subscript"/>
          <w:lang w:val="en-GB"/>
        </w:rPr>
        <w:t>50</w:t>
      </w:r>
      <w:r w:rsidRPr="00A34F10">
        <w:rPr>
          <w:szCs w:val="24"/>
          <w:lang w:val="en-GB"/>
        </w:rPr>
        <w:t xml:space="preserve"> (reproduction) of the reference item boric acid was calculated to be 106 mg/kg soil dw. The results of the reference test demonstrate the sensitivity of the test system. </w:t>
      </w:r>
    </w:p>
    <w:p w14:paraId="294CF664" w14:textId="77777777" w:rsidR="00DC5685" w:rsidRPr="00A34F10" w:rsidRDefault="00DC5685" w:rsidP="00DC5685">
      <w:pPr>
        <w:tabs>
          <w:tab w:val="left" w:pos="0"/>
        </w:tabs>
        <w:ind w:left="357" w:hanging="357"/>
        <w:contextualSpacing/>
        <w:rPr>
          <w:szCs w:val="24"/>
          <w:highlight w:val="yellow"/>
          <w:lang w:val="en-GB"/>
        </w:rPr>
      </w:pPr>
    </w:p>
    <w:p w14:paraId="08953658" w14:textId="77777777" w:rsidR="00DC5685" w:rsidRPr="00A34F10" w:rsidRDefault="00DC5685" w:rsidP="00E05ECD">
      <w:pPr>
        <w:keepNext/>
        <w:keepLines/>
        <w:numPr>
          <w:ilvl w:val="0"/>
          <w:numId w:val="92"/>
        </w:numPr>
        <w:ind w:left="357" w:hanging="357"/>
        <w:rPr>
          <w:b/>
          <w:bCs/>
          <w:caps/>
          <w:szCs w:val="24"/>
          <w:lang w:val="en-GB"/>
        </w:rPr>
      </w:pPr>
      <w:r w:rsidRPr="00A34F10">
        <w:rPr>
          <w:b/>
          <w:bCs/>
          <w:caps/>
          <w:szCs w:val="24"/>
          <w:lang w:val="en-GB"/>
        </w:rPr>
        <w:t>VALIDITY CRITERIA</w:t>
      </w:r>
    </w:p>
    <w:p w14:paraId="5F52838A" w14:textId="77777777" w:rsidR="00DC5685" w:rsidRPr="00A34F10" w:rsidRDefault="00DC5685" w:rsidP="00DC5685">
      <w:pPr>
        <w:tabs>
          <w:tab w:val="left" w:pos="0"/>
        </w:tabs>
        <w:ind w:left="357" w:hanging="357"/>
        <w:contextualSpacing/>
        <w:rPr>
          <w:szCs w:val="24"/>
          <w:highlight w:val="yellow"/>
          <w:lang w:val="en-GB"/>
        </w:rPr>
      </w:pPr>
    </w:p>
    <w:p w14:paraId="7B8D4076" w14:textId="5197736D" w:rsidR="0060455A" w:rsidRDefault="00DC5685" w:rsidP="00DC5685">
      <w:pPr>
        <w:tabs>
          <w:tab w:val="left" w:pos="720"/>
        </w:tabs>
        <w:jc w:val="both"/>
        <w:rPr>
          <w:szCs w:val="24"/>
          <w:lang w:val="en-GB"/>
        </w:rPr>
      </w:pPr>
      <w:r w:rsidRPr="00A34F10">
        <w:rPr>
          <w:szCs w:val="24"/>
          <w:lang w:val="en-GB"/>
        </w:rPr>
        <w:t>All validity criteria were met (</w:t>
      </w:r>
      <w:r w:rsidR="0016520E">
        <w:rPr>
          <w:szCs w:val="24"/>
          <w:lang w:val="en-GB"/>
        </w:rPr>
        <w:fldChar w:fldCharType="begin"/>
      </w:r>
      <w:r w:rsidR="0016520E">
        <w:rPr>
          <w:szCs w:val="24"/>
          <w:lang w:val="en-GB"/>
        </w:rPr>
        <w:instrText xml:space="preserve"> REF _Ref147912224 \h </w:instrText>
      </w:r>
      <w:r w:rsidR="0016520E">
        <w:rPr>
          <w:szCs w:val="24"/>
          <w:lang w:val="en-GB"/>
        </w:rPr>
      </w:r>
      <w:r w:rsidR="0016520E">
        <w:rPr>
          <w:szCs w:val="24"/>
          <w:lang w:val="en-GB"/>
        </w:rPr>
        <w:fldChar w:fldCharType="separate"/>
      </w:r>
      <w:r w:rsidR="006F0F3B">
        <w:t xml:space="preserve">Table A </w:t>
      </w:r>
      <w:r w:rsidR="006F0F3B">
        <w:rPr>
          <w:noProof/>
        </w:rPr>
        <w:t>80</w:t>
      </w:r>
      <w:r w:rsidR="0016520E">
        <w:rPr>
          <w:szCs w:val="24"/>
          <w:lang w:val="en-GB"/>
        </w:rPr>
        <w:fldChar w:fldCharType="end"/>
      </w:r>
      <w:r w:rsidRPr="00A34F10">
        <w:rPr>
          <w:szCs w:val="24"/>
          <w:lang w:val="en-GB"/>
        </w:rPr>
        <w:t>).</w:t>
      </w:r>
    </w:p>
    <w:p w14:paraId="45AB0B1D" w14:textId="77777777" w:rsidR="008D2927" w:rsidRDefault="008D2927" w:rsidP="0016520E">
      <w:pPr>
        <w:pStyle w:val="Legenda"/>
      </w:pPr>
      <w:bookmarkStart w:id="1168" w:name="_Ref147912224"/>
    </w:p>
    <w:p w14:paraId="0D399895" w14:textId="59023B55" w:rsidR="00DC5685" w:rsidRPr="0060455A" w:rsidRDefault="0016520E" w:rsidP="0016520E">
      <w:pPr>
        <w:pStyle w:val="Legenda"/>
        <w:rPr>
          <w:szCs w:val="28"/>
        </w:rPr>
      </w:pPr>
      <w:r>
        <w:t xml:space="preserve">Table A </w:t>
      </w:r>
      <w:r>
        <w:fldChar w:fldCharType="begin"/>
      </w:r>
      <w:r>
        <w:instrText xml:space="preserve"> SEQ Table_A \* ARABIC </w:instrText>
      </w:r>
      <w:r>
        <w:fldChar w:fldCharType="separate"/>
      </w:r>
      <w:r w:rsidR="006F0F3B">
        <w:rPr>
          <w:noProof/>
        </w:rPr>
        <w:t>80</w:t>
      </w:r>
      <w:r>
        <w:fldChar w:fldCharType="end"/>
      </w:r>
      <w:bookmarkEnd w:id="1168"/>
      <w:r w:rsidR="00DC5685" w:rsidRPr="0060455A">
        <w:rPr>
          <w:szCs w:val="28"/>
        </w:rPr>
        <w:t>:</w:t>
      </w:r>
      <w:r w:rsidR="0060455A" w:rsidRPr="0060455A">
        <w:rPr>
          <w:szCs w:val="28"/>
        </w:rPr>
        <w:tab/>
      </w:r>
      <w:r w:rsidR="00DC5685" w:rsidRPr="0060455A">
        <w:rPr>
          <w:szCs w:val="28"/>
        </w:rPr>
        <w:t xml:space="preserve">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9"/>
        <w:gridCol w:w="2065"/>
      </w:tblGrid>
      <w:tr w:rsidR="00DC5685" w:rsidRPr="00A34F10" w14:paraId="04200ACD" w14:textId="77777777" w:rsidTr="000470C3">
        <w:trPr>
          <w:trHeight w:val="270"/>
        </w:trPr>
        <w:tc>
          <w:tcPr>
            <w:tcW w:w="3832" w:type="pct"/>
            <w:shd w:val="clear" w:color="auto" w:fill="auto"/>
            <w:noWrap/>
            <w:hideMark/>
          </w:tcPr>
          <w:p w14:paraId="759F490B"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Validity criteria according to OECD 232 (2016)</w:t>
            </w:r>
          </w:p>
        </w:tc>
        <w:tc>
          <w:tcPr>
            <w:tcW w:w="1168" w:type="pct"/>
            <w:shd w:val="clear" w:color="auto" w:fill="auto"/>
            <w:noWrap/>
            <w:hideMark/>
          </w:tcPr>
          <w:p w14:paraId="7AC21EAF"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5B75039A" w14:textId="77777777" w:rsidTr="000470C3">
        <w:trPr>
          <w:trHeight w:val="270"/>
        </w:trPr>
        <w:tc>
          <w:tcPr>
            <w:tcW w:w="3832" w:type="pct"/>
            <w:shd w:val="clear" w:color="auto" w:fill="auto"/>
            <w:noWrap/>
          </w:tcPr>
          <w:p w14:paraId="5C4B0B40"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In the control(s), mean adult mortality in the control must be ≤20%</w:t>
            </w:r>
          </w:p>
        </w:tc>
        <w:tc>
          <w:tcPr>
            <w:tcW w:w="1168" w:type="pct"/>
            <w:shd w:val="clear" w:color="auto" w:fill="auto"/>
            <w:noWrap/>
          </w:tcPr>
          <w:p w14:paraId="45FB799B"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2.5%</w:t>
            </w:r>
          </w:p>
        </w:tc>
      </w:tr>
      <w:tr w:rsidR="00DC5685" w:rsidRPr="00A34F10" w14:paraId="6CDEEA56" w14:textId="77777777" w:rsidTr="000470C3">
        <w:trPr>
          <w:trHeight w:val="270"/>
        </w:trPr>
        <w:tc>
          <w:tcPr>
            <w:tcW w:w="3832" w:type="pct"/>
            <w:shd w:val="clear" w:color="auto" w:fill="auto"/>
            <w:noWrap/>
          </w:tcPr>
          <w:p w14:paraId="3318120C"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mean number of juveniles per test vessel in the controls must be ≥100</w:t>
            </w:r>
          </w:p>
        </w:tc>
        <w:tc>
          <w:tcPr>
            <w:tcW w:w="1168" w:type="pct"/>
            <w:shd w:val="clear" w:color="auto" w:fill="auto"/>
            <w:noWrap/>
          </w:tcPr>
          <w:p w14:paraId="3D792DCD"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Average of 1094/vessel</w:t>
            </w:r>
          </w:p>
        </w:tc>
      </w:tr>
      <w:tr w:rsidR="00DC5685" w:rsidRPr="00A34F10" w14:paraId="26712166" w14:textId="77777777" w:rsidTr="000470C3">
        <w:trPr>
          <w:trHeight w:val="270"/>
        </w:trPr>
        <w:tc>
          <w:tcPr>
            <w:tcW w:w="3832" w:type="pct"/>
            <w:shd w:val="clear" w:color="auto" w:fill="auto"/>
            <w:noWrap/>
          </w:tcPr>
          <w:p w14:paraId="3ED0CF6A"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coefficient of variation for the mean number of juveniles must be &lt;30%</w:t>
            </w:r>
          </w:p>
        </w:tc>
        <w:tc>
          <w:tcPr>
            <w:tcW w:w="1168" w:type="pct"/>
            <w:shd w:val="clear" w:color="auto" w:fill="auto"/>
            <w:noWrap/>
          </w:tcPr>
          <w:p w14:paraId="6BB1FE2E"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7.7%</w:t>
            </w:r>
          </w:p>
        </w:tc>
      </w:tr>
    </w:tbl>
    <w:p w14:paraId="5D1B151A" w14:textId="77777777" w:rsidR="00DC5685" w:rsidRPr="00A34F10" w:rsidRDefault="00DC5685" w:rsidP="00DC5685">
      <w:pPr>
        <w:tabs>
          <w:tab w:val="left" w:pos="720"/>
        </w:tabs>
        <w:jc w:val="both"/>
        <w:rPr>
          <w:szCs w:val="24"/>
          <w:highlight w:val="yellow"/>
          <w:lang w:val="en-GB"/>
        </w:rPr>
      </w:pPr>
    </w:p>
    <w:p w14:paraId="7305787C" w14:textId="77777777" w:rsidR="00DC5685" w:rsidRPr="00A34F10" w:rsidRDefault="00DC5685" w:rsidP="00E05ECD">
      <w:pPr>
        <w:numPr>
          <w:ilvl w:val="0"/>
          <w:numId w:val="92"/>
        </w:numPr>
        <w:ind w:left="357" w:hanging="357"/>
        <w:contextualSpacing/>
        <w:rPr>
          <w:b/>
          <w:bCs/>
          <w:caps/>
          <w:szCs w:val="24"/>
          <w:lang w:val="en-GB"/>
        </w:rPr>
      </w:pPr>
      <w:r w:rsidRPr="00A34F10">
        <w:rPr>
          <w:b/>
          <w:bCs/>
          <w:caps/>
          <w:szCs w:val="24"/>
          <w:lang w:val="en-GB"/>
        </w:rPr>
        <w:t>DEFICIENCIES</w:t>
      </w:r>
    </w:p>
    <w:p w14:paraId="33EC186C" w14:textId="77777777" w:rsidR="00DC5685" w:rsidRPr="00A34F10" w:rsidRDefault="00DC5685" w:rsidP="00DC5685">
      <w:pPr>
        <w:tabs>
          <w:tab w:val="left" w:pos="720"/>
        </w:tabs>
        <w:jc w:val="both"/>
        <w:rPr>
          <w:szCs w:val="24"/>
          <w:highlight w:val="yellow"/>
          <w:lang w:val="en-GB"/>
        </w:rPr>
      </w:pPr>
    </w:p>
    <w:p w14:paraId="0371A5F4" w14:textId="77777777" w:rsidR="00DC5685" w:rsidRPr="00A34F10" w:rsidRDefault="00DC5685" w:rsidP="00DC5685">
      <w:pPr>
        <w:tabs>
          <w:tab w:val="left" w:pos="720"/>
        </w:tabs>
        <w:spacing w:after="240"/>
        <w:jc w:val="both"/>
        <w:rPr>
          <w:szCs w:val="24"/>
          <w:lang w:val="en-GB"/>
        </w:rPr>
      </w:pPr>
      <w:r w:rsidRPr="00A34F10">
        <w:rPr>
          <w:szCs w:val="24"/>
          <w:lang w:val="en-GB"/>
        </w:rPr>
        <w:t xml:space="preserve">There were no deficiencies. </w:t>
      </w:r>
    </w:p>
    <w:p w14:paraId="39F83664" w14:textId="77777777" w:rsidR="00DC5685" w:rsidRPr="00A34F10" w:rsidRDefault="00DC5685" w:rsidP="00DC5685">
      <w:pPr>
        <w:keepNext/>
        <w:keepLines/>
        <w:tabs>
          <w:tab w:val="left" w:pos="720"/>
        </w:tabs>
        <w:spacing w:after="240"/>
        <w:ind w:left="720" w:hanging="431"/>
        <w:jc w:val="center"/>
        <w:rPr>
          <w:b/>
          <w:bCs/>
          <w:caps/>
          <w:szCs w:val="24"/>
          <w:lang w:val="en-GB"/>
        </w:rPr>
      </w:pPr>
      <w:r w:rsidRPr="00A34F10">
        <w:rPr>
          <w:b/>
          <w:bCs/>
          <w:caps/>
          <w:szCs w:val="24"/>
          <w:lang w:val="en-GB"/>
        </w:rPr>
        <w:t>III.</w:t>
      </w:r>
      <w:r w:rsidRPr="00A34F10">
        <w:rPr>
          <w:b/>
          <w:bCs/>
          <w:caps/>
          <w:szCs w:val="24"/>
          <w:lang w:val="en-GB"/>
        </w:rPr>
        <w:tab/>
        <w:t>Conclusion</w:t>
      </w:r>
    </w:p>
    <w:p w14:paraId="024B6F60" w14:textId="77777777" w:rsidR="00DC5685" w:rsidRPr="00A34F10" w:rsidRDefault="00DC5685" w:rsidP="00DC5685">
      <w:pPr>
        <w:keepNext/>
        <w:keepLines/>
        <w:jc w:val="both"/>
      </w:pPr>
      <w:r w:rsidRPr="00A34F10">
        <w:rPr>
          <w:szCs w:val="24"/>
          <w:lang w:val="en-GB"/>
        </w:rPr>
        <w:t xml:space="preserve">In a 28-day </w:t>
      </w:r>
      <w:r w:rsidRPr="00A34F10">
        <w:rPr>
          <w:i/>
          <w:iCs/>
          <w:szCs w:val="24"/>
          <w:lang w:val="en-GB"/>
        </w:rPr>
        <w:t>Folsomia candida</w:t>
      </w:r>
      <w:r w:rsidRPr="00A34F10">
        <w:rPr>
          <w:szCs w:val="24"/>
          <w:lang w:val="en-GB"/>
        </w:rPr>
        <w:t xml:space="preserve"> reproduction study, in which Collembolans were exposed to BAS 743 02 F, the LC</w:t>
      </w:r>
      <w:r w:rsidRPr="00A34F10">
        <w:rPr>
          <w:szCs w:val="24"/>
          <w:vertAlign w:val="subscript"/>
          <w:lang w:val="en-GB"/>
        </w:rPr>
        <w:t>50</w:t>
      </w:r>
      <w:r w:rsidRPr="00A34F10">
        <w:rPr>
          <w:szCs w:val="24"/>
          <w:lang w:val="en-GB"/>
        </w:rPr>
        <w:t xml:space="preserve"> was determined to be &gt; 1000 mg product/kg soil dw, the highest tested concentration. The NOEC for mortality was determined to be ≥ 1000 mg test item/kg soil dw and the NOEC for reproduction was determined to be 556 mg product/kg soil dw. The EC</w:t>
      </w:r>
      <w:r w:rsidRPr="00A34F10">
        <w:rPr>
          <w:szCs w:val="24"/>
          <w:vertAlign w:val="subscript"/>
          <w:lang w:val="en-GB"/>
        </w:rPr>
        <w:t>10</w:t>
      </w:r>
      <w:r w:rsidRPr="00A34F10">
        <w:rPr>
          <w:szCs w:val="24"/>
          <w:lang w:val="en-GB"/>
        </w:rPr>
        <w:t>, EC</w:t>
      </w:r>
      <w:r w:rsidRPr="00A34F10">
        <w:rPr>
          <w:szCs w:val="24"/>
          <w:vertAlign w:val="subscript"/>
          <w:lang w:val="en-GB"/>
        </w:rPr>
        <w:t>20</w:t>
      </w:r>
      <w:r w:rsidRPr="00A34F10">
        <w:rPr>
          <w:szCs w:val="24"/>
          <w:lang w:val="en-GB"/>
        </w:rPr>
        <w:t xml:space="preserve"> and EC</w:t>
      </w:r>
      <w:r w:rsidRPr="00A34F10">
        <w:rPr>
          <w:szCs w:val="24"/>
          <w:vertAlign w:val="subscript"/>
          <w:lang w:val="en-GB"/>
        </w:rPr>
        <w:t>50</w:t>
      </w:r>
      <w:r w:rsidRPr="00A34F10">
        <w:rPr>
          <w:szCs w:val="24"/>
          <w:lang w:val="en-GB"/>
        </w:rPr>
        <w:t xml:space="preserve"> values for reproduction were calculated to be 513, &gt; 1000 and &gt; 1000 mg product/kg soil dw, respectively.</w:t>
      </w:r>
    </w:p>
    <w:p w14:paraId="2C6AAA79" w14:textId="77777777" w:rsidR="008D2927" w:rsidRDefault="008D2927">
      <w:pPr>
        <w:rPr>
          <w:b/>
          <w:bCs/>
          <w:sz w:val="24"/>
        </w:rPr>
      </w:pPr>
      <w:r>
        <w:br w:type="page"/>
      </w:r>
    </w:p>
    <w:p w14:paraId="22FC6F92" w14:textId="4DD62C34" w:rsidR="00DC5685" w:rsidRPr="00A34F10" w:rsidRDefault="00DC5685" w:rsidP="00A46B2B">
      <w:pPr>
        <w:pStyle w:val="RepAppendix5"/>
      </w:pPr>
      <w:r w:rsidRPr="00A34F10">
        <w:lastRenderedPageBreak/>
        <w:t>Study 2</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DC5685" w:rsidRPr="00A34F10" w14:paraId="59C8137C" w14:textId="77777777" w:rsidTr="000576ED">
        <w:tc>
          <w:tcPr>
            <w:tcW w:w="1063" w:type="pct"/>
            <w:shd w:val="clear" w:color="auto" w:fill="D9D9D9" w:themeFill="background1" w:themeFillShade="D9"/>
          </w:tcPr>
          <w:p w14:paraId="495108A3"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37" w:type="pct"/>
            <w:shd w:val="clear" w:color="auto" w:fill="D9D9D9" w:themeFill="background1" w:themeFillShade="D9"/>
          </w:tcPr>
          <w:p w14:paraId="44C52277" w14:textId="492D15D1" w:rsidR="00DC5685" w:rsidRPr="00A34F10" w:rsidRDefault="000576ED" w:rsidP="00DC5685">
            <w:pPr>
              <w:widowControl w:val="0"/>
              <w:ind w:left="85"/>
              <w:jc w:val="both"/>
              <w:rPr>
                <w:rFonts w:eastAsia="Batang"/>
                <w:color w:val="000000" w:themeColor="text1"/>
              </w:rPr>
            </w:pPr>
            <w:r w:rsidRPr="0037666C">
              <w:rPr>
                <w:rFonts w:eastAsia="Batang"/>
              </w:rPr>
              <w:t xml:space="preserve">The study was conducted to </w:t>
            </w:r>
            <w:r w:rsidRPr="00A34F10">
              <w:rPr>
                <w:lang w:val="en-GB"/>
              </w:rPr>
              <w:t>OECD 22</w:t>
            </w:r>
            <w:r>
              <w:rPr>
                <w:lang w:val="en-GB"/>
              </w:rPr>
              <w:t>6</w:t>
            </w:r>
            <w:r w:rsidRPr="00A34F10">
              <w:rPr>
                <w:lang w:val="en-GB"/>
              </w:rPr>
              <w:t xml:space="preserve">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6BA0573B" w14:textId="77777777" w:rsidR="00DC5685" w:rsidRPr="00A34F10" w:rsidRDefault="00DC5685" w:rsidP="00DC5685">
      <w:pPr>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5CDEE4AF" w14:textId="77777777" w:rsidTr="000470C3">
        <w:trPr>
          <w:trHeight w:val="227"/>
          <w:jc w:val="center"/>
        </w:trPr>
        <w:tc>
          <w:tcPr>
            <w:tcW w:w="1364" w:type="pct"/>
          </w:tcPr>
          <w:p w14:paraId="013F74D0"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636" w:type="pct"/>
          </w:tcPr>
          <w:p w14:paraId="7A710522" w14:textId="77777777" w:rsidR="00DC5685" w:rsidRPr="00A34F10" w:rsidRDefault="00DC5685" w:rsidP="00DC5685">
            <w:pPr>
              <w:widowControl w:val="0"/>
              <w:spacing w:after="120"/>
              <w:jc w:val="both"/>
              <w:rPr>
                <w:lang w:val="en-GB"/>
              </w:rPr>
            </w:pPr>
            <w:r w:rsidRPr="00A34F10">
              <w:rPr>
                <w:lang w:val="en-GB"/>
              </w:rPr>
              <w:t>CP 10.4.2.1/02</w:t>
            </w:r>
          </w:p>
        </w:tc>
      </w:tr>
      <w:tr w:rsidR="00DC5685" w:rsidRPr="00A34F10" w14:paraId="2DFF0CD0" w14:textId="77777777" w:rsidTr="000470C3">
        <w:trPr>
          <w:trHeight w:val="227"/>
          <w:jc w:val="center"/>
        </w:trPr>
        <w:tc>
          <w:tcPr>
            <w:tcW w:w="1364" w:type="pct"/>
          </w:tcPr>
          <w:p w14:paraId="6DF7F233"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5C138C8E" w14:textId="77777777" w:rsidR="00DC5685" w:rsidRPr="00A34F10" w:rsidRDefault="00DC5685" w:rsidP="00DC5685">
            <w:pPr>
              <w:widowControl w:val="0"/>
              <w:spacing w:after="120"/>
              <w:jc w:val="both"/>
            </w:pPr>
            <w:r w:rsidRPr="00A34F10">
              <w:t xml:space="preserve">Effects of BAS 743 02 F on the reproduction of the predatory mite </w:t>
            </w:r>
            <w:r w:rsidRPr="00A34F10">
              <w:rPr>
                <w:i/>
                <w:iCs/>
              </w:rPr>
              <w:t>Hypoaspis aculeifer</w:t>
            </w:r>
          </w:p>
          <w:p w14:paraId="75041181" w14:textId="77777777" w:rsidR="00DC5685" w:rsidRPr="00A34F10" w:rsidRDefault="00DC5685" w:rsidP="00DC5685">
            <w:pPr>
              <w:widowControl w:val="0"/>
              <w:spacing w:after="120"/>
              <w:jc w:val="both"/>
            </w:pPr>
            <w:r w:rsidRPr="00A34F10">
              <w:t>Schulz L., 2023a</w:t>
            </w:r>
          </w:p>
          <w:p w14:paraId="38206D9C" w14:textId="7F141268" w:rsidR="00DC5685" w:rsidRPr="00A34F10" w:rsidRDefault="00D007AB" w:rsidP="00DC5685">
            <w:pPr>
              <w:widowControl w:val="0"/>
              <w:spacing w:after="120"/>
              <w:jc w:val="both"/>
              <w:rPr>
                <w:lang w:val="en-GB"/>
              </w:rPr>
            </w:pPr>
            <w:r>
              <w:t>XXXX</w:t>
            </w:r>
            <w:r w:rsidR="00DC5685" w:rsidRPr="00A34F10">
              <w:t xml:space="preserve"> Study ID:</w:t>
            </w:r>
            <w:r w:rsidR="00DC5685" w:rsidRPr="00A34F10">
              <w:rPr>
                <w:lang w:val="en-GB"/>
              </w:rPr>
              <w:t xml:space="preserve"> </w:t>
            </w:r>
            <w:r w:rsidR="00DC5685" w:rsidRPr="00A34F10">
              <w:t>933752_12</w:t>
            </w:r>
          </w:p>
          <w:p w14:paraId="4F19DB4E" w14:textId="1D65C1D8"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2022/2033721</w:t>
            </w:r>
          </w:p>
        </w:tc>
      </w:tr>
      <w:tr w:rsidR="00DC5685" w:rsidRPr="00A34F10" w14:paraId="43BB3006" w14:textId="77777777" w:rsidTr="000470C3">
        <w:trPr>
          <w:trHeight w:val="227"/>
          <w:jc w:val="center"/>
        </w:trPr>
        <w:tc>
          <w:tcPr>
            <w:tcW w:w="1364" w:type="pct"/>
          </w:tcPr>
          <w:p w14:paraId="2C9B5A5C"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5EE64A3F" w14:textId="77777777" w:rsidR="00DC5685" w:rsidRPr="00A34F10" w:rsidRDefault="00DC5685" w:rsidP="00DC5685">
            <w:pPr>
              <w:widowControl w:val="0"/>
              <w:spacing w:after="120"/>
              <w:jc w:val="both"/>
            </w:pPr>
            <w:r w:rsidRPr="00A34F10">
              <w:rPr>
                <w:lang w:val="en-GB"/>
              </w:rPr>
              <w:t>OECD 226 (2016)</w:t>
            </w:r>
          </w:p>
        </w:tc>
      </w:tr>
      <w:tr w:rsidR="00DC5685" w:rsidRPr="00A34F10" w14:paraId="0A32343C" w14:textId="77777777" w:rsidTr="000470C3">
        <w:trPr>
          <w:trHeight w:val="227"/>
          <w:jc w:val="center"/>
        </w:trPr>
        <w:tc>
          <w:tcPr>
            <w:tcW w:w="1364" w:type="pct"/>
          </w:tcPr>
          <w:p w14:paraId="7F2E278C"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28B0301B"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7CF0DD68" w14:textId="77777777" w:rsidTr="000470C3">
        <w:trPr>
          <w:trHeight w:val="227"/>
          <w:jc w:val="center"/>
        </w:trPr>
        <w:tc>
          <w:tcPr>
            <w:tcW w:w="1364" w:type="pct"/>
          </w:tcPr>
          <w:p w14:paraId="430A8CA8"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06C2DEFA"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696E6070" w14:textId="77777777" w:rsidTr="000470C3">
        <w:trPr>
          <w:trHeight w:val="227"/>
          <w:jc w:val="center"/>
        </w:trPr>
        <w:tc>
          <w:tcPr>
            <w:tcW w:w="1364" w:type="pct"/>
          </w:tcPr>
          <w:p w14:paraId="3F6ACEA6"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7F86977C" w14:textId="77777777" w:rsidR="00DC5685" w:rsidRPr="00A34F10" w:rsidRDefault="00DC5685" w:rsidP="00DC5685">
            <w:pPr>
              <w:widowControl w:val="0"/>
              <w:spacing w:after="120"/>
              <w:jc w:val="both"/>
              <w:rPr>
                <w:lang w:val="en-GB"/>
              </w:rPr>
            </w:pPr>
            <w:r w:rsidRPr="00A34F10">
              <w:rPr>
                <w:lang w:val="en-GB"/>
              </w:rPr>
              <w:t>Yes</w:t>
            </w:r>
          </w:p>
        </w:tc>
      </w:tr>
    </w:tbl>
    <w:p w14:paraId="4A769436" w14:textId="77777777" w:rsidR="00DC5685" w:rsidRPr="00A34F10" w:rsidRDefault="00DC5685" w:rsidP="00DC5685">
      <w:pPr>
        <w:rPr>
          <w:color w:val="000000" w:themeColor="text1"/>
        </w:rPr>
      </w:pPr>
    </w:p>
    <w:p w14:paraId="4220A832"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79E15210" w14:textId="77777777" w:rsidR="00DC5685" w:rsidRPr="00A34F10" w:rsidRDefault="00DC5685" w:rsidP="00DC5685">
      <w:pPr>
        <w:keepNext/>
        <w:keepLines/>
        <w:tabs>
          <w:tab w:val="left" w:pos="720"/>
        </w:tabs>
        <w:jc w:val="both"/>
        <w:rPr>
          <w:b/>
          <w:color w:val="000000" w:themeColor="text1"/>
          <w:szCs w:val="32"/>
          <w:lang w:val="en-GB"/>
        </w:rPr>
      </w:pPr>
    </w:p>
    <w:p w14:paraId="54163017" w14:textId="77777777" w:rsidR="00DC5685" w:rsidRPr="00A34F10" w:rsidRDefault="00DC5685" w:rsidP="00DC5685">
      <w:pPr>
        <w:widowControl w:val="0"/>
        <w:tabs>
          <w:tab w:val="left" w:pos="720"/>
        </w:tabs>
        <w:suppressAutoHyphens/>
        <w:jc w:val="both"/>
      </w:pPr>
      <w:r w:rsidRPr="00A34F10">
        <w:t xml:space="preserve">The effects of </w:t>
      </w:r>
      <w:bookmarkStart w:id="1169" w:name="_Hlk125553305"/>
      <w:r w:rsidRPr="00A34F10">
        <w:t xml:space="preserve">BAS 743 02 F </w:t>
      </w:r>
      <w:bookmarkEnd w:id="1169"/>
      <w:r w:rsidRPr="00A34F10">
        <w:t xml:space="preserve">on mortality and reproduction of the predatory mite </w:t>
      </w:r>
      <w:r w:rsidRPr="00A34F10">
        <w:rPr>
          <w:i/>
        </w:rPr>
        <w:t>Hypoaspis aculeifer</w:t>
      </w:r>
      <w:r w:rsidRPr="00A34F10">
        <w:t xml:space="preserve"> were investigated in a laboratory study over 14 days. Eight test concentrations, 16.3, 29.4, 52.9, 95.3, 171, 309, 556 and 1000 mg product/kg soil dry weight (dw), were incorporated into the soil with four replicates per concentration. An untreated control with eight replicates was included. Each replicate treatment contained 10 adult female mites. The reference item was tested in a separate study. Assessment of mortality and reproduction (number of juveniles) was carried out after 14 days.</w:t>
      </w:r>
    </w:p>
    <w:p w14:paraId="723FBAFE" w14:textId="77777777" w:rsidR="00DC5685" w:rsidRPr="00A34F10" w:rsidRDefault="00DC5685" w:rsidP="00DC5685">
      <w:pPr>
        <w:widowControl w:val="0"/>
        <w:tabs>
          <w:tab w:val="left" w:pos="720"/>
        </w:tabs>
        <w:suppressAutoHyphens/>
        <w:jc w:val="both"/>
        <w:rPr>
          <w:highlight w:val="yellow"/>
        </w:rPr>
      </w:pPr>
    </w:p>
    <w:p w14:paraId="11F59DE9" w14:textId="77777777" w:rsidR="00DC5685" w:rsidRPr="00A34F10" w:rsidRDefault="00DC5685" w:rsidP="00DC5685">
      <w:pPr>
        <w:widowControl w:val="0"/>
        <w:suppressAutoHyphens/>
        <w:jc w:val="both"/>
        <w:rPr>
          <w:bCs/>
        </w:rPr>
      </w:pPr>
      <w:r w:rsidRPr="00A34F10">
        <w:rPr>
          <w:bCs/>
        </w:rPr>
        <w:t xml:space="preserve">In the14-day </w:t>
      </w:r>
      <w:r w:rsidRPr="00A34F10">
        <w:rPr>
          <w:bCs/>
          <w:i/>
        </w:rPr>
        <w:t>Hypoaspis aculeifer</w:t>
      </w:r>
      <w:r w:rsidRPr="00A34F10">
        <w:rPr>
          <w:bCs/>
        </w:rPr>
        <w:t xml:space="preserve"> reproduction study with BAS 743 02 F, the LC</w:t>
      </w:r>
      <w:r w:rsidRPr="00A34F10">
        <w:rPr>
          <w:bCs/>
          <w:vertAlign w:val="subscript"/>
        </w:rPr>
        <w:t>50</w:t>
      </w:r>
      <w:r w:rsidRPr="00A34F10">
        <w:rPr>
          <w:bCs/>
        </w:rPr>
        <w:t>, EC</w:t>
      </w:r>
      <w:r w:rsidRPr="00A34F10">
        <w:rPr>
          <w:bCs/>
          <w:vertAlign w:val="subscript"/>
        </w:rPr>
        <w:t>10</w:t>
      </w:r>
      <w:r w:rsidRPr="00A34F10">
        <w:rPr>
          <w:bCs/>
        </w:rPr>
        <w:t>, EC</w:t>
      </w:r>
      <w:r w:rsidRPr="00A34F10">
        <w:rPr>
          <w:bCs/>
          <w:vertAlign w:val="subscript"/>
        </w:rPr>
        <w:t>20</w:t>
      </w:r>
      <w:r w:rsidRPr="00A34F10">
        <w:rPr>
          <w:bCs/>
        </w:rPr>
        <w:t xml:space="preserve"> and EC</w:t>
      </w:r>
      <w:r w:rsidRPr="00A34F10">
        <w:rPr>
          <w:bCs/>
          <w:vertAlign w:val="subscript"/>
        </w:rPr>
        <w:t>50</w:t>
      </w:r>
      <w:r w:rsidRPr="00A34F10">
        <w:rPr>
          <w:bCs/>
        </w:rPr>
        <w:t xml:space="preserve"> values could not be calculated due to the non-existing dose response and negligible effects, but it can be concluded that these values are &gt; 1000 mg product/kg soil dw, respectively. The NOEC for mortality and for reproduction were determined to be ≥ 1000 mg product/kg soil dw, the highest concentration tested.</w:t>
      </w:r>
    </w:p>
    <w:p w14:paraId="16B79C09" w14:textId="131AA6CC" w:rsidR="00DF5E13" w:rsidRDefault="00DF5E13">
      <w:pPr>
        <w:rPr>
          <w:highlight w:val="yellow"/>
        </w:rPr>
      </w:pPr>
    </w:p>
    <w:p w14:paraId="38D0F0BD" w14:textId="77777777" w:rsidR="00DC5685" w:rsidRPr="00A34F10" w:rsidRDefault="00DC5685" w:rsidP="00DC5685">
      <w:pPr>
        <w:widowControl w:val="0"/>
        <w:suppressAutoHyphens/>
        <w:jc w:val="both"/>
        <w:rPr>
          <w:highlight w:val="yellow"/>
        </w:rPr>
      </w:pPr>
    </w:p>
    <w:p w14:paraId="1CE9B514" w14:textId="77777777" w:rsidR="00DC5685" w:rsidRPr="00A34F10" w:rsidRDefault="00DC5685" w:rsidP="00DC5685">
      <w:pPr>
        <w:keepNext/>
        <w:keepLines/>
        <w:tabs>
          <w:tab w:val="left" w:pos="720"/>
        </w:tabs>
        <w:spacing w:after="240"/>
        <w:ind w:left="720" w:hanging="431"/>
        <w:contextualSpacing/>
        <w:jc w:val="center"/>
        <w:rPr>
          <w:b/>
          <w:bCs/>
          <w:caps/>
          <w:szCs w:val="24"/>
          <w:lang w:val="en-GB"/>
        </w:rPr>
      </w:pPr>
      <w:r w:rsidRPr="00A34F10">
        <w:rPr>
          <w:b/>
          <w:bCs/>
          <w:caps/>
          <w:szCs w:val="24"/>
          <w:lang w:val="en-GB"/>
        </w:rPr>
        <w:t>I.</w:t>
      </w:r>
      <w:r w:rsidRPr="00A34F10">
        <w:rPr>
          <w:b/>
          <w:bCs/>
          <w:caps/>
          <w:szCs w:val="24"/>
          <w:lang w:val="en-GB"/>
        </w:rPr>
        <w:tab/>
        <w:t>MATERIALS AND METHODS</w:t>
      </w:r>
    </w:p>
    <w:p w14:paraId="4CD46F65" w14:textId="77777777" w:rsidR="00DC5685" w:rsidRPr="00A34F10" w:rsidRDefault="00DC5685" w:rsidP="00DC5685">
      <w:pPr>
        <w:keepNext/>
        <w:keepLines/>
        <w:tabs>
          <w:tab w:val="left" w:pos="0"/>
        </w:tabs>
        <w:ind w:left="357" w:hanging="357"/>
        <w:contextualSpacing/>
        <w:rPr>
          <w:b/>
          <w:bCs/>
          <w:caps/>
          <w:szCs w:val="24"/>
          <w:lang w:val="en-GB"/>
        </w:rPr>
      </w:pPr>
      <w:r w:rsidRPr="00A34F10">
        <w:rPr>
          <w:b/>
          <w:bCs/>
          <w:caps/>
          <w:szCs w:val="24"/>
          <w:lang w:val="en-GB"/>
        </w:rPr>
        <w:t>A.</w:t>
      </w:r>
      <w:r w:rsidRPr="00A34F10">
        <w:rPr>
          <w:b/>
          <w:bCs/>
          <w:caps/>
          <w:szCs w:val="24"/>
          <w:lang w:val="en-GB"/>
        </w:rPr>
        <w:tab/>
        <w:t>MATERIALS</w:t>
      </w:r>
    </w:p>
    <w:p w14:paraId="0CC25933" w14:textId="77777777" w:rsidR="00DC5685" w:rsidRPr="00A34F10" w:rsidRDefault="00DC5685" w:rsidP="00DC5685">
      <w:pPr>
        <w:keepNext/>
        <w:keepLines/>
        <w:tabs>
          <w:tab w:val="left" w:pos="0"/>
        </w:tabs>
        <w:ind w:left="357" w:hanging="357"/>
        <w:contextualSpacing/>
        <w:rPr>
          <w:b/>
          <w:bCs/>
          <w:caps/>
          <w:szCs w:val="24"/>
          <w:lang w:val="en-GB"/>
        </w:rPr>
      </w:pP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7AA77369" w14:textId="77777777" w:rsidTr="000470C3">
        <w:trPr>
          <w:cantSplit/>
          <w:trHeight w:hRule="exact" w:val="340"/>
        </w:trPr>
        <w:tc>
          <w:tcPr>
            <w:tcW w:w="3969" w:type="dxa"/>
          </w:tcPr>
          <w:p w14:paraId="16E4B566" w14:textId="77777777" w:rsidR="00DC5685" w:rsidRPr="00A34F10" w:rsidRDefault="00DC5685" w:rsidP="00E05ECD">
            <w:pPr>
              <w:numPr>
                <w:ilvl w:val="0"/>
                <w:numId w:val="88"/>
              </w:numPr>
              <w:tabs>
                <w:tab w:val="left" w:pos="255"/>
              </w:tabs>
              <w:spacing w:after="240"/>
              <w:contextualSpacing/>
              <w:rPr>
                <w:rFonts w:ascii="Times New Roman" w:hAnsi="Times New Roman"/>
                <w:b/>
                <w:bCs/>
                <w:szCs w:val="24"/>
                <w:lang w:val="en-GB"/>
              </w:rPr>
            </w:pPr>
            <w:r w:rsidRPr="00A34F10">
              <w:rPr>
                <w:rFonts w:ascii="Times New Roman" w:hAnsi="Times New Roman"/>
                <w:b/>
                <w:bCs/>
                <w:szCs w:val="24"/>
                <w:lang w:val="en-GB"/>
              </w:rPr>
              <w:t>Test item:</w:t>
            </w:r>
          </w:p>
        </w:tc>
        <w:tc>
          <w:tcPr>
            <w:tcW w:w="5381" w:type="dxa"/>
          </w:tcPr>
          <w:p w14:paraId="5F0FC28D" w14:textId="77777777" w:rsidR="00DC5685" w:rsidRPr="00A34F10" w:rsidRDefault="00DC5685" w:rsidP="00DC5685">
            <w:pPr>
              <w:keepNext/>
              <w:keepLines/>
              <w:tabs>
                <w:tab w:val="left" w:pos="720"/>
              </w:tabs>
              <w:spacing w:after="240"/>
              <w:jc w:val="both"/>
              <w:rPr>
                <w:rFonts w:ascii="Times New Roman" w:hAnsi="Times New Roman"/>
                <w:szCs w:val="24"/>
                <w:lang w:val="en-GB"/>
              </w:rPr>
            </w:pPr>
            <w:r w:rsidRPr="00A34F10">
              <w:rPr>
                <w:rFonts w:ascii="Times New Roman" w:hAnsi="Times New Roman"/>
                <w:szCs w:val="24"/>
                <w:lang w:val="en-GB"/>
              </w:rPr>
              <w:t>BAS 743 02 F</w:t>
            </w:r>
          </w:p>
        </w:tc>
      </w:tr>
      <w:tr w:rsidR="00DC5685" w:rsidRPr="00A34F10" w14:paraId="02882075" w14:textId="77777777" w:rsidTr="000470C3">
        <w:trPr>
          <w:cantSplit/>
          <w:trHeight w:hRule="exact" w:val="340"/>
        </w:trPr>
        <w:tc>
          <w:tcPr>
            <w:tcW w:w="3969" w:type="dxa"/>
          </w:tcPr>
          <w:p w14:paraId="05037B55"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Lot/Batch:</w:t>
            </w:r>
          </w:p>
        </w:tc>
        <w:tc>
          <w:tcPr>
            <w:tcW w:w="5381" w:type="dxa"/>
          </w:tcPr>
          <w:p w14:paraId="719F2CD7" w14:textId="77777777" w:rsidR="00DC5685" w:rsidRPr="00A34F10" w:rsidRDefault="00DC5685" w:rsidP="00DC5685">
            <w:pPr>
              <w:keepNext/>
              <w:keepLines/>
              <w:tabs>
                <w:tab w:val="left" w:pos="720"/>
              </w:tabs>
              <w:spacing w:after="240"/>
              <w:jc w:val="both"/>
              <w:rPr>
                <w:rFonts w:ascii="Times New Roman" w:hAnsi="Times New Roman"/>
                <w:szCs w:val="24"/>
                <w:lang w:val="en-GB"/>
              </w:rPr>
            </w:pPr>
            <w:r w:rsidRPr="00A34F10">
              <w:rPr>
                <w:rFonts w:ascii="Times New Roman" w:hAnsi="Times New Roman"/>
                <w:szCs w:val="24"/>
                <w:lang w:val="en-GB"/>
              </w:rPr>
              <w:t>FRE-002224</w:t>
            </w:r>
          </w:p>
        </w:tc>
      </w:tr>
      <w:tr w:rsidR="00DC5685" w:rsidRPr="00A34F10" w14:paraId="457EF41D" w14:textId="77777777" w:rsidTr="000470C3">
        <w:trPr>
          <w:cantSplit/>
          <w:trHeight w:hRule="exact" w:val="596"/>
        </w:trPr>
        <w:tc>
          <w:tcPr>
            <w:tcW w:w="3969" w:type="dxa"/>
          </w:tcPr>
          <w:p w14:paraId="3B51CECB"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Active substance content:</w:t>
            </w:r>
          </w:p>
        </w:tc>
        <w:tc>
          <w:tcPr>
            <w:tcW w:w="5381" w:type="dxa"/>
          </w:tcPr>
          <w:p w14:paraId="4C77149E" w14:textId="77777777" w:rsidR="00DC5685" w:rsidRPr="00A34F10" w:rsidRDefault="00DC5685" w:rsidP="00DC5685">
            <w:pPr>
              <w:tabs>
                <w:tab w:val="left" w:pos="720"/>
              </w:tabs>
              <w:jc w:val="both"/>
              <w:rPr>
                <w:rFonts w:ascii="Times New Roman" w:hAnsi="Times New Roman"/>
                <w:szCs w:val="24"/>
                <w:lang w:val="en-GB"/>
              </w:rPr>
            </w:pPr>
            <w:r w:rsidRPr="00A34F10">
              <w:rPr>
                <w:rFonts w:ascii="Times New Roman" w:hAnsi="Times New Roman"/>
                <w:szCs w:val="24"/>
                <w:lang w:val="en-GB"/>
              </w:rPr>
              <w:t>Propamocarb: nominal 432.0 g/L, analysed 431.0 g/L;</w:t>
            </w:r>
          </w:p>
          <w:p w14:paraId="0F5EDE33" w14:textId="77777777" w:rsidR="00DC5685" w:rsidRPr="00A34F10" w:rsidRDefault="00DC5685" w:rsidP="00DC5685">
            <w:pPr>
              <w:tabs>
                <w:tab w:val="left" w:pos="720"/>
              </w:tabs>
              <w:jc w:val="both"/>
              <w:rPr>
                <w:rFonts w:ascii="Times New Roman" w:hAnsi="Times New Roman"/>
                <w:szCs w:val="24"/>
                <w:lang w:val="en-GB"/>
              </w:rPr>
            </w:pPr>
            <w:r w:rsidRPr="00A34F10">
              <w:rPr>
                <w:rFonts w:ascii="Times New Roman" w:hAnsi="Times New Roman"/>
                <w:szCs w:val="24"/>
                <w:lang w:val="en-GB"/>
              </w:rPr>
              <w:t>Ametoctradin: nominal 137.14 g/L, analysed 137.7 g/L</w:t>
            </w:r>
          </w:p>
        </w:tc>
      </w:tr>
      <w:tr w:rsidR="00DC5685" w:rsidRPr="00A34F10" w14:paraId="1B929EDB" w14:textId="77777777" w:rsidTr="000470C3">
        <w:trPr>
          <w:cantSplit/>
          <w:trHeight w:hRule="exact" w:val="340"/>
        </w:trPr>
        <w:tc>
          <w:tcPr>
            <w:tcW w:w="3969" w:type="dxa"/>
          </w:tcPr>
          <w:p w14:paraId="3267CF1B"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Density:</w:t>
            </w:r>
          </w:p>
        </w:tc>
        <w:tc>
          <w:tcPr>
            <w:tcW w:w="5381" w:type="dxa"/>
          </w:tcPr>
          <w:p w14:paraId="53811F17" w14:textId="77777777" w:rsidR="00DC5685" w:rsidRPr="00A34F10" w:rsidRDefault="00DC5685" w:rsidP="00DC5685">
            <w:pPr>
              <w:keepNext/>
              <w:keepLines/>
              <w:tabs>
                <w:tab w:val="left" w:pos="720"/>
              </w:tabs>
              <w:spacing w:after="240"/>
              <w:jc w:val="both"/>
              <w:rPr>
                <w:rFonts w:ascii="Times New Roman" w:hAnsi="Times New Roman"/>
                <w:szCs w:val="24"/>
                <w:lang w:val="en-GB"/>
              </w:rPr>
            </w:pPr>
            <w:r w:rsidRPr="00A34F10">
              <w:rPr>
                <w:rFonts w:ascii="Times New Roman" w:hAnsi="Times New Roman"/>
                <w:szCs w:val="24"/>
                <w:lang w:val="en-GB"/>
              </w:rPr>
              <w:t>1.080 g/cm</w:t>
            </w:r>
            <w:r w:rsidRPr="00A34F10">
              <w:rPr>
                <w:rFonts w:ascii="Times New Roman" w:hAnsi="Times New Roman"/>
                <w:szCs w:val="24"/>
                <w:vertAlign w:val="superscript"/>
                <w:lang w:val="en-GB"/>
              </w:rPr>
              <w:t>3</w:t>
            </w:r>
          </w:p>
        </w:tc>
      </w:tr>
      <w:tr w:rsidR="00DC5685" w:rsidRPr="00A34F10" w14:paraId="6F6C91F4" w14:textId="77777777" w:rsidTr="000470C3">
        <w:trPr>
          <w:cantSplit/>
          <w:trHeight w:hRule="exact" w:val="397"/>
        </w:trPr>
        <w:tc>
          <w:tcPr>
            <w:tcW w:w="3969" w:type="dxa"/>
          </w:tcPr>
          <w:p w14:paraId="62E507CE" w14:textId="77777777" w:rsidR="00DC5685" w:rsidRPr="00A34F10" w:rsidRDefault="00DC5685" w:rsidP="00E05ECD">
            <w:pPr>
              <w:numPr>
                <w:ilvl w:val="0"/>
                <w:numId w:val="88"/>
              </w:numPr>
              <w:tabs>
                <w:tab w:val="left" w:pos="255"/>
              </w:tabs>
              <w:spacing w:after="240"/>
              <w:contextualSpacing/>
              <w:rPr>
                <w:rFonts w:ascii="Times New Roman" w:hAnsi="Times New Roman"/>
                <w:b/>
                <w:bCs/>
                <w:szCs w:val="24"/>
                <w:lang w:val="en-GB"/>
              </w:rPr>
            </w:pPr>
            <w:r w:rsidRPr="00A34F10">
              <w:rPr>
                <w:rFonts w:ascii="Times New Roman" w:hAnsi="Times New Roman"/>
                <w:b/>
                <w:bCs/>
                <w:szCs w:val="24"/>
                <w:lang w:val="en-GB"/>
              </w:rPr>
              <w:t>Control:</w:t>
            </w:r>
          </w:p>
        </w:tc>
        <w:tc>
          <w:tcPr>
            <w:tcW w:w="5381" w:type="dxa"/>
          </w:tcPr>
          <w:p w14:paraId="07695849" w14:textId="77777777" w:rsidR="00DC5685" w:rsidRPr="00A34F10" w:rsidRDefault="00DC5685" w:rsidP="00DC5685">
            <w:pPr>
              <w:tabs>
                <w:tab w:val="left" w:pos="720"/>
              </w:tabs>
              <w:spacing w:after="240"/>
              <w:rPr>
                <w:rFonts w:ascii="Times New Roman" w:hAnsi="Times New Roman"/>
                <w:szCs w:val="24"/>
                <w:lang w:val="en-GB"/>
              </w:rPr>
            </w:pPr>
            <w:r w:rsidRPr="00A34F10">
              <w:rPr>
                <w:rFonts w:ascii="Times New Roman" w:hAnsi="Times New Roman"/>
                <w:szCs w:val="24"/>
                <w:lang w:val="en-GB"/>
              </w:rPr>
              <w:t>Untreated substrate</w:t>
            </w:r>
          </w:p>
        </w:tc>
      </w:tr>
      <w:tr w:rsidR="00DC5685" w:rsidRPr="00A34F10" w14:paraId="2A668469" w14:textId="77777777" w:rsidTr="000470C3">
        <w:trPr>
          <w:cantSplit/>
          <w:trHeight w:hRule="exact" w:val="567"/>
        </w:trPr>
        <w:tc>
          <w:tcPr>
            <w:tcW w:w="3969" w:type="dxa"/>
          </w:tcPr>
          <w:p w14:paraId="332828A4" w14:textId="77777777" w:rsidR="00DC5685" w:rsidRPr="00A34F10" w:rsidRDefault="00DC5685" w:rsidP="00E05ECD">
            <w:pPr>
              <w:numPr>
                <w:ilvl w:val="0"/>
                <w:numId w:val="88"/>
              </w:numPr>
              <w:tabs>
                <w:tab w:val="left" w:pos="255"/>
              </w:tabs>
              <w:spacing w:after="240"/>
              <w:contextualSpacing/>
              <w:rPr>
                <w:rFonts w:ascii="Times New Roman" w:hAnsi="Times New Roman"/>
                <w:b/>
                <w:bCs/>
                <w:szCs w:val="24"/>
                <w:lang w:val="en-GB"/>
              </w:rPr>
            </w:pPr>
            <w:r w:rsidRPr="00A34F10">
              <w:rPr>
                <w:rFonts w:ascii="Times New Roman" w:hAnsi="Times New Roman"/>
                <w:b/>
                <w:bCs/>
                <w:szCs w:val="24"/>
                <w:lang w:val="en-GB"/>
              </w:rPr>
              <w:t>Reference item:</w:t>
            </w:r>
          </w:p>
        </w:tc>
        <w:tc>
          <w:tcPr>
            <w:tcW w:w="5381" w:type="dxa"/>
          </w:tcPr>
          <w:p w14:paraId="26ABDDBE"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Dimethoate (EC 400 g/L, nominal). The effects of the reference item were investigated in a separate study.</w:t>
            </w:r>
          </w:p>
        </w:tc>
      </w:tr>
    </w:tbl>
    <w:p w14:paraId="39F28770" w14:textId="77777777" w:rsidR="00DC5685" w:rsidRPr="00A34F10" w:rsidRDefault="00DC5685" w:rsidP="00DC5685">
      <w:pPr>
        <w:tabs>
          <w:tab w:val="left" w:pos="0"/>
        </w:tabs>
        <w:ind w:left="357" w:hanging="357"/>
        <w:contextualSpacing/>
        <w:rPr>
          <w:b/>
          <w:bCs/>
          <w:caps/>
          <w:szCs w:val="24"/>
          <w:lang w:val="en-GB"/>
        </w:rPr>
      </w:pPr>
    </w:p>
    <w:p w14:paraId="28429E9E" w14:textId="77777777" w:rsidR="00DC5685" w:rsidRPr="00A34F10" w:rsidRDefault="00DC5685" w:rsidP="00DC5685">
      <w:pPr>
        <w:tabs>
          <w:tab w:val="left" w:pos="0"/>
        </w:tabs>
        <w:ind w:left="357" w:hanging="357"/>
        <w:contextualSpacing/>
        <w:rPr>
          <w:b/>
          <w:bCs/>
          <w:caps/>
          <w:szCs w:val="24"/>
          <w:lang w:val="en-GB"/>
        </w:rPr>
      </w:pPr>
      <w:r w:rsidRPr="00A34F10">
        <w:rPr>
          <w:b/>
          <w:bCs/>
          <w:caps/>
          <w:szCs w:val="24"/>
          <w:lang w:val="en-GB"/>
        </w:rPr>
        <w:t>B.</w:t>
      </w:r>
      <w:r w:rsidRPr="00A34F10">
        <w:rPr>
          <w:b/>
          <w:bCs/>
          <w:caps/>
          <w:szCs w:val="24"/>
          <w:lang w:val="en-GB"/>
        </w:rPr>
        <w:tab/>
        <w:t>study design and methods</w:t>
      </w:r>
    </w:p>
    <w:p w14:paraId="1ECBDF74" w14:textId="77777777" w:rsidR="00DC5685" w:rsidRPr="00A34F10" w:rsidRDefault="00DC5685" w:rsidP="00DC5685">
      <w:pPr>
        <w:tabs>
          <w:tab w:val="left" w:pos="0"/>
        </w:tabs>
        <w:ind w:left="357" w:hanging="357"/>
        <w:contextualSpacing/>
        <w:rPr>
          <w:b/>
          <w:bCs/>
          <w:caps/>
          <w:szCs w:val="24"/>
          <w:lang w:val="en-GB"/>
        </w:rPr>
      </w:pP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DC5685" w:rsidRPr="00A34F10" w14:paraId="47EDE07B" w14:textId="77777777" w:rsidTr="000470C3">
        <w:trPr>
          <w:trHeight w:hRule="exact" w:val="340"/>
        </w:trPr>
        <w:tc>
          <w:tcPr>
            <w:tcW w:w="3969" w:type="dxa"/>
          </w:tcPr>
          <w:p w14:paraId="0E4826A2" w14:textId="77777777" w:rsidR="00DC5685" w:rsidRPr="00A34F10" w:rsidRDefault="00DC5685" w:rsidP="00E05ECD">
            <w:pPr>
              <w:numPr>
                <w:ilvl w:val="0"/>
                <w:numId w:val="89"/>
              </w:numPr>
              <w:tabs>
                <w:tab w:val="left" w:pos="255"/>
              </w:tabs>
              <w:spacing w:after="240"/>
              <w:contextualSpacing/>
              <w:rPr>
                <w:rFonts w:ascii="Times New Roman" w:hAnsi="Times New Roman"/>
                <w:b/>
                <w:bCs/>
                <w:szCs w:val="24"/>
                <w:lang w:val="en-GB"/>
              </w:rPr>
            </w:pPr>
            <w:r w:rsidRPr="00A34F10">
              <w:rPr>
                <w:rFonts w:ascii="Times New Roman" w:hAnsi="Times New Roman"/>
                <w:b/>
                <w:bCs/>
                <w:szCs w:val="24"/>
                <w:lang w:val="en-GB"/>
              </w:rPr>
              <w:t>Test species:</w:t>
            </w:r>
          </w:p>
        </w:tc>
        <w:tc>
          <w:tcPr>
            <w:tcW w:w="5381" w:type="dxa"/>
          </w:tcPr>
          <w:p w14:paraId="00FEBEE4"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i/>
                <w:iCs/>
                <w:szCs w:val="24"/>
                <w:lang w:val="en-GB"/>
              </w:rPr>
              <w:t>Hypoaspis aculeifer</w:t>
            </w:r>
            <w:r w:rsidRPr="00A34F10">
              <w:rPr>
                <w:rFonts w:ascii="Times New Roman" w:hAnsi="Times New Roman"/>
                <w:szCs w:val="24"/>
                <w:lang w:val="en-GB"/>
              </w:rPr>
              <w:t xml:space="preserve"> (Canestrini)</w:t>
            </w:r>
          </w:p>
        </w:tc>
      </w:tr>
      <w:tr w:rsidR="00DC5685" w:rsidRPr="00A34F10" w14:paraId="45FD72FF" w14:textId="77777777" w:rsidTr="000470C3">
        <w:trPr>
          <w:trHeight w:hRule="exact" w:val="340"/>
        </w:trPr>
        <w:tc>
          <w:tcPr>
            <w:tcW w:w="3969" w:type="dxa"/>
          </w:tcPr>
          <w:p w14:paraId="0BC9BC9C"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 xml:space="preserve">Age/life stage: </w:t>
            </w:r>
          </w:p>
        </w:tc>
        <w:tc>
          <w:tcPr>
            <w:tcW w:w="5381" w:type="dxa"/>
          </w:tcPr>
          <w:p w14:paraId="55555728"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Adult mites with an age difference of 2 days</w:t>
            </w:r>
          </w:p>
        </w:tc>
      </w:tr>
      <w:tr w:rsidR="00DC5685" w:rsidRPr="00A34F10" w14:paraId="31122371" w14:textId="77777777" w:rsidTr="000470C3">
        <w:trPr>
          <w:trHeight w:hRule="exact" w:val="567"/>
        </w:trPr>
        <w:tc>
          <w:tcPr>
            <w:tcW w:w="3969" w:type="dxa"/>
          </w:tcPr>
          <w:p w14:paraId="273175D5"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lastRenderedPageBreak/>
              <w:t xml:space="preserve">Diet: </w:t>
            </w:r>
          </w:p>
        </w:tc>
        <w:tc>
          <w:tcPr>
            <w:tcW w:w="5381" w:type="dxa"/>
          </w:tcPr>
          <w:p w14:paraId="2F823403"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i/>
                <w:iCs/>
                <w:szCs w:val="24"/>
                <w:lang w:val="en-GB"/>
              </w:rPr>
              <w:t>Tyrophagus putrescentiae</w:t>
            </w:r>
            <w:r w:rsidRPr="00A34F10">
              <w:rPr>
                <w:rFonts w:ascii="Times New Roman" w:hAnsi="Times New Roman"/>
                <w:szCs w:val="24"/>
                <w:lang w:val="en-GB"/>
              </w:rPr>
              <w:t xml:space="preserve"> (Schrank) at test start and </w:t>
            </w:r>
            <w:r w:rsidRPr="00A34F10">
              <w:rPr>
                <w:rFonts w:ascii="Times New Roman" w:hAnsi="Times New Roman"/>
                <w:i/>
                <w:iCs/>
                <w:szCs w:val="24"/>
                <w:lang w:val="en-GB"/>
              </w:rPr>
              <w:t>ad libitum</w:t>
            </w:r>
            <w:r w:rsidRPr="00A34F10">
              <w:rPr>
                <w:rFonts w:ascii="Times New Roman" w:hAnsi="Times New Roman"/>
                <w:szCs w:val="24"/>
                <w:lang w:val="en-GB"/>
              </w:rPr>
              <w:t xml:space="preserve"> during the test</w:t>
            </w:r>
          </w:p>
        </w:tc>
      </w:tr>
      <w:tr w:rsidR="00DC5685" w:rsidRPr="00A34F10" w14:paraId="2C43BBC1" w14:textId="77777777" w:rsidTr="000470C3">
        <w:trPr>
          <w:trHeight w:hRule="exact" w:val="340"/>
        </w:trPr>
        <w:tc>
          <w:tcPr>
            <w:tcW w:w="3969" w:type="dxa"/>
          </w:tcPr>
          <w:p w14:paraId="1FE6836A"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Source:</w:t>
            </w:r>
          </w:p>
        </w:tc>
        <w:tc>
          <w:tcPr>
            <w:tcW w:w="5381" w:type="dxa"/>
          </w:tcPr>
          <w:p w14:paraId="694C396B"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In-house culture of the test facility</w:t>
            </w:r>
          </w:p>
        </w:tc>
      </w:tr>
      <w:tr w:rsidR="00DC5685" w:rsidRPr="00A34F10" w14:paraId="476A13AF" w14:textId="77777777" w:rsidTr="000470C3">
        <w:trPr>
          <w:trHeight w:hRule="exact" w:val="340"/>
        </w:trPr>
        <w:tc>
          <w:tcPr>
            <w:tcW w:w="3969" w:type="dxa"/>
          </w:tcPr>
          <w:p w14:paraId="3D869495" w14:textId="77777777" w:rsidR="00DC5685" w:rsidRPr="00A34F10" w:rsidRDefault="00DC5685" w:rsidP="00E05ECD">
            <w:pPr>
              <w:numPr>
                <w:ilvl w:val="0"/>
                <w:numId w:val="89"/>
              </w:numPr>
              <w:tabs>
                <w:tab w:val="left" w:pos="255"/>
              </w:tabs>
              <w:spacing w:after="240"/>
              <w:contextualSpacing/>
              <w:rPr>
                <w:rFonts w:ascii="Times New Roman" w:hAnsi="Times New Roman"/>
                <w:b/>
                <w:bCs/>
                <w:szCs w:val="24"/>
                <w:lang w:val="en-GB"/>
              </w:rPr>
            </w:pPr>
            <w:r w:rsidRPr="00A34F10">
              <w:rPr>
                <w:rFonts w:ascii="Times New Roman" w:hAnsi="Times New Roman"/>
                <w:b/>
                <w:bCs/>
                <w:szCs w:val="24"/>
                <w:lang w:val="en-GB"/>
              </w:rPr>
              <w:t>Environmental conditions</w:t>
            </w:r>
          </w:p>
        </w:tc>
        <w:tc>
          <w:tcPr>
            <w:tcW w:w="5381" w:type="dxa"/>
          </w:tcPr>
          <w:p w14:paraId="6EFEFE2E" w14:textId="77777777" w:rsidR="00DC5685" w:rsidRPr="00A34F10" w:rsidRDefault="00DC5685" w:rsidP="00DC5685">
            <w:pPr>
              <w:tabs>
                <w:tab w:val="left" w:pos="720"/>
              </w:tabs>
              <w:spacing w:after="240"/>
              <w:jc w:val="both"/>
              <w:rPr>
                <w:rFonts w:ascii="Times New Roman" w:hAnsi="Times New Roman"/>
                <w:szCs w:val="24"/>
                <w:lang w:val="en-GB"/>
              </w:rPr>
            </w:pPr>
          </w:p>
        </w:tc>
      </w:tr>
      <w:tr w:rsidR="00DC5685" w:rsidRPr="00A34F10" w14:paraId="73822D33" w14:textId="77777777" w:rsidTr="000470C3">
        <w:trPr>
          <w:trHeight w:hRule="exact" w:val="907"/>
        </w:trPr>
        <w:tc>
          <w:tcPr>
            <w:tcW w:w="3969" w:type="dxa"/>
          </w:tcPr>
          <w:p w14:paraId="4B820CD8"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Test soil:</w:t>
            </w:r>
          </w:p>
        </w:tc>
        <w:tc>
          <w:tcPr>
            <w:tcW w:w="5381" w:type="dxa"/>
          </w:tcPr>
          <w:p w14:paraId="5733A65D"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Artificial soil according to OECD 226: 5% sphagnum peat, 20% kaolin clay, 0.225% calcium carbonate, 74.775% industrial quartz sand (predominantly fine)</w:t>
            </w:r>
          </w:p>
        </w:tc>
      </w:tr>
      <w:tr w:rsidR="00DC5685" w:rsidRPr="00A34F10" w14:paraId="68ECABDC" w14:textId="77777777" w:rsidTr="000470C3">
        <w:trPr>
          <w:trHeight w:hRule="exact" w:val="340"/>
        </w:trPr>
        <w:tc>
          <w:tcPr>
            <w:tcW w:w="3969" w:type="dxa"/>
          </w:tcPr>
          <w:p w14:paraId="640D018D"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Temperature:</w:t>
            </w:r>
          </w:p>
        </w:tc>
        <w:tc>
          <w:tcPr>
            <w:tcW w:w="5381" w:type="dxa"/>
          </w:tcPr>
          <w:p w14:paraId="62015A28"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20.4 - 21.5 °C</w:t>
            </w:r>
          </w:p>
        </w:tc>
      </w:tr>
      <w:tr w:rsidR="00DC5685" w:rsidRPr="00A34F10" w14:paraId="6B558D45" w14:textId="77777777" w:rsidTr="000470C3">
        <w:trPr>
          <w:trHeight w:hRule="exact" w:val="567"/>
        </w:trPr>
        <w:tc>
          <w:tcPr>
            <w:tcW w:w="3969" w:type="dxa"/>
          </w:tcPr>
          <w:p w14:paraId="5A8A1660"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pH:</w:t>
            </w:r>
          </w:p>
        </w:tc>
        <w:tc>
          <w:tcPr>
            <w:tcW w:w="5381" w:type="dxa"/>
          </w:tcPr>
          <w:p w14:paraId="7E893996" w14:textId="77777777" w:rsidR="00DC5685" w:rsidRPr="00A34F10" w:rsidRDefault="00DC5685" w:rsidP="00DC5685">
            <w:pPr>
              <w:tabs>
                <w:tab w:val="left" w:pos="720"/>
              </w:tabs>
              <w:jc w:val="both"/>
              <w:rPr>
                <w:rFonts w:ascii="Times New Roman" w:hAnsi="Times New Roman"/>
                <w:szCs w:val="24"/>
                <w:lang w:val="en-GB"/>
              </w:rPr>
            </w:pPr>
            <w:r w:rsidRPr="00A34F10">
              <w:rPr>
                <w:rFonts w:ascii="Times New Roman" w:hAnsi="Times New Roman"/>
                <w:szCs w:val="24"/>
                <w:lang w:val="en-GB"/>
              </w:rPr>
              <w:t xml:space="preserve">pH 6.3 - 6.5 at test initiation, </w:t>
            </w:r>
          </w:p>
          <w:p w14:paraId="71733217" w14:textId="77777777" w:rsidR="00DC5685" w:rsidRPr="00A34F10" w:rsidRDefault="00DC5685" w:rsidP="00DC5685">
            <w:pPr>
              <w:tabs>
                <w:tab w:val="left" w:pos="720"/>
              </w:tabs>
              <w:jc w:val="both"/>
              <w:rPr>
                <w:rFonts w:ascii="Times New Roman" w:hAnsi="Times New Roman"/>
                <w:szCs w:val="24"/>
                <w:lang w:val="en-GB"/>
              </w:rPr>
            </w:pPr>
            <w:r w:rsidRPr="00A34F10">
              <w:rPr>
                <w:rFonts w:ascii="Times New Roman" w:hAnsi="Times New Roman"/>
                <w:szCs w:val="24"/>
                <w:lang w:val="en-GB"/>
              </w:rPr>
              <w:t>pH 5.8 - 5.9 at test termination</w:t>
            </w:r>
          </w:p>
        </w:tc>
      </w:tr>
      <w:tr w:rsidR="00DC5685" w:rsidRPr="00A34F10" w14:paraId="1DFDC344" w14:textId="77777777" w:rsidTr="000470C3">
        <w:trPr>
          <w:trHeight w:hRule="exact" w:val="1060"/>
        </w:trPr>
        <w:tc>
          <w:tcPr>
            <w:tcW w:w="3969" w:type="dxa"/>
          </w:tcPr>
          <w:p w14:paraId="4C198614"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Water content:</w:t>
            </w:r>
          </w:p>
        </w:tc>
        <w:tc>
          <w:tcPr>
            <w:tcW w:w="5381" w:type="dxa"/>
          </w:tcPr>
          <w:p w14:paraId="0A398A68" w14:textId="77777777" w:rsidR="00DC5685" w:rsidRPr="00A34F10" w:rsidRDefault="00DC5685" w:rsidP="00DC5685">
            <w:pPr>
              <w:tabs>
                <w:tab w:val="left" w:pos="720"/>
              </w:tabs>
              <w:jc w:val="both"/>
              <w:rPr>
                <w:rFonts w:ascii="Times New Roman" w:hAnsi="Times New Roman"/>
                <w:szCs w:val="24"/>
              </w:rPr>
            </w:pPr>
            <w:r w:rsidRPr="00A34F10">
              <w:rPr>
                <w:rFonts w:ascii="Times New Roman" w:hAnsi="Times New Roman"/>
                <w:szCs w:val="24"/>
              </w:rPr>
              <w:t>At test initiation: 18.62 - 19.15 g/100 g soil d.w. (equivalent to 48.56 - 49.95 % of WHC)</w:t>
            </w:r>
          </w:p>
          <w:p w14:paraId="5C7F62CA" w14:textId="77777777" w:rsidR="00DC5685" w:rsidRPr="00A34F10" w:rsidRDefault="00DC5685" w:rsidP="00DC5685">
            <w:pPr>
              <w:tabs>
                <w:tab w:val="left" w:pos="720"/>
              </w:tabs>
              <w:jc w:val="both"/>
              <w:rPr>
                <w:rFonts w:ascii="Times New Roman" w:hAnsi="Times New Roman"/>
                <w:szCs w:val="24"/>
                <w:lang w:val="en-GB"/>
              </w:rPr>
            </w:pPr>
            <w:r w:rsidRPr="00A34F10">
              <w:rPr>
                <w:rFonts w:ascii="Times New Roman" w:hAnsi="Times New Roman"/>
                <w:szCs w:val="24"/>
              </w:rPr>
              <w:t xml:space="preserve">At test termination: 18.30 - 18.75 g/100 g soil d.w (equivalent to 47.74 - 48.90 % of WHC) </w:t>
            </w:r>
          </w:p>
        </w:tc>
      </w:tr>
      <w:tr w:rsidR="00DC5685" w:rsidRPr="00A34F10" w14:paraId="34C35CE3" w14:textId="77777777" w:rsidTr="000470C3">
        <w:trPr>
          <w:trHeight w:hRule="exact" w:val="340"/>
        </w:trPr>
        <w:tc>
          <w:tcPr>
            <w:tcW w:w="3969" w:type="dxa"/>
          </w:tcPr>
          <w:p w14:paraId="2B38C00D" w14:textId="77777777" w:rsidR="00DC5685" w:rsidRPr="00A34F10" w:rsidRDefault="00DC5685" w:rsidP="00DC5685">
            <w:pPr>
              <w:tabs>
                <w:tab w:val="left" w:pos="624"/>
              </w:tabs>
              <w:spacing w:after="240"/>
              <w:ind w:left="624"/>
              <w:rPr>
                <w:rFonts w:ascii="Times New Roman" w:hAnsi="Times New Roman"/>
                <w:b/>
                <w:bCs/>
                <w:szCs w:val="24"/>
                <w:lang w:val="en-GB"/>
              </w:rPr>
            </w:pPr>
            <w:r w:rsidRPr="00A34F10">
              <w:rPr>
                <w:rFonts w:ascii="Times New Roman" w:hAnsi="Times New Roman"/>
                <w:b/>
                <w:bCs/>
                <w:szCs w:val="24"/>
                <w:lang w:val="en-GB"/>
              </w:rPr>
              <w:t>Photoperiod:</w:t>
            </w:r>
          </w:p>
        </w:tc>
        <w:tc>
          <w:tcPr>
            <w:tcW w:w="5381" w:type="dxa"/>
          </w:tcPr>
          <w:p w14:paraId="3B2C7CFA" w14:textId="77777777" w:rsidR="00DC5685" w:rsidRPr="00A34F10" w:rsidRDefault="00DC5685" w:rsidP="00DC5685">
            <w:pPr>
              <w:tabs>
                <w:tab w:val="left" w:pos="720"/>
              </w:tabs>
              <w:spacing w:after="240"/>
              <w:jc w:val="both"/>
              <w:rPr>
                <w:rFonts w:ascii="Times New Roman" w:hAnsi="Times New Roman"/>
                <w:szCs w:val="24"/>
                <w:lang w:val="en-GB"/>
              </w:rPr>
            </w:pPr>
            <w:r w:rsidRPr="00A34F10">
              <w:rPr>
                <w:rFonts w:ascii="Times New Roman" w:hAnsi="Times New Roman"/>
                <w:szCs w:val="24"/>
                <w:lang w:val="en-GB"/>
              </w:rPr>
              <w:t>16 h light: 8 h dark; light intensity: 609 lx</w:t>
            </w:r>
          </w:p>
        </w:tc>
      </w:tr>
    </w:tbl>
    <w:p w14:paraId="45CF30AE" w14:textId="77777777" w:rsidR="00DC5685" w:rsidRPr="00A34F10" w:rsidRDefault="00DC5685" w:rsidP="00DC5685">
      <w:pPr>
        <w:numPr>
          <w:ilvl w:val="3"/>
          <w:numId w:val="0"/>
        </w:numPr>
        <w:tabs>
          <w:tab w:val="left" w:pos="0"/>
        </w:tabs>
        <w:ind w:left="360" w:hanging="360"/>
        <w:contextualSpacing/>
        <w:rPr>
          <w:b/>
          <w:bCs/>
          <w:szCs w:val="24"/>
          <w:lang w:val="en-GB"/>
        </w:rPr>
      </w:pPr>
    </w:p>
    <w:p w14:paraId="388B503D" w14:textId="77777777" w:rsidR="00DC5685" w:rsidRPr="00A34F10" w:rsidRDefault="00DC5685" w:rsidP="00E05ECD">
      <w:pPr>
        <w:numPr>
          <w:ilvl w:val="0"/>
          <w:numId w:val="89"/>
        </w:numPr>
        <w:tabs>
          <w:tab w:val="left" w:pos="0"/>
        </w:tabs>
        <w:ind w:left="357" w:hanging="357"/>
        <w:contextualSpacing/>
        <w:rPr>
          <w:b/>
          <w:bCs/>
          <w:szCs w:val="24"/>
          <w:lang w:val="en-GB"/>
        </w:rPr>
      </w:pPr>
      <w:r w:rsidRPr="00A34F10">
        <w:rPr>
          <w:b/>
          <w:bCs/>
          <w:szCs w:val="24"/>
          <w:lang w:val="en-GB"/>
        </w:rPr>
        <w:t xml:space="preserve">Test organism and treatment: </w:t>
      </w:r>
    </w:p>
    <w:p w14:paraId="53920382" w14:textId="3C8F7CA7" w:rsidR="0060455A"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The study comprised nine treatment groups; eight test item concentrations and an untreated control. The test item concentrations and their respective active substance contents are summarised in</w:t>
      </w:r>
      <w:r w:rsidR="00DF5E13">
        <w:rPr>
          <w:color w:val="000000" w:themeColor="text1"/>
          <w:szCs w:val="24"/>
          <w:lang w:val="en-GB"/>
        </w:rPr>
        <w:t xml:space="preserve"> </w:t>
      </w:r>
      <w:r w:rsidR="00DF5E13">
        <w:rPr>
          <w:color w:val="000000" w:themeColor="text1"/>
          <w:szCs w:val="24"/>
          <w:lang w:val="en-GB"/>
        </w:rPr>
        <w:fldChar w:fldCharType="begin"/>
      </w:r>
      <w:r w:rsidR="00DF5E13">
        <w:rPr>
          <w:color w:val="000000" w:themeColor="text1"/>
          <w:szCs w:val="24"/>
          <w:lang w:val="en-GB"/>
        </w:rPr>
        <w:instrText xml:space="preserve"> REF _Ref147912320 \h </w:instrText>
      </w:r>
      <w:r w:rsidR="00DF5E13">
        <w:rPr>
          <w:color w:val="000000" w:themeColor="text1"/>
          <w:szCs w:val="24"/>
          <w:lang w:val="en-GB"/>
        </w:rPr>
      </w:r>
      <w:r w:rsidR="00DF5E13">
        <w:rPr>
          <w:color w:val="000000" w:themeColor="text1"/>
          <w:szCs w:val="24"/>
          <w:lang w:val="en-GB"/>
        </w:rPr>
        <w:fldChar w:fldCharType="separate"/>
      </w:r>
      <w:r w:rsidR="006F0F3B">
        <w:t xml:space="preserve">Table A </w:t>
      </w:r>
      <w:r w:rsidR="006F0F3B">
        <w:rPr>
          <w:noProof/>
        </w:rPr>
        <w:t>81</w:t>
      </w:r>
      <w:r w:rsidR="00DF5E13">
        <w:rPr>
          <w:color w:val="000000" w:themeColor="text1"/>
          <w:szCs w:val="24"/>
          <w:lang w:val="en-GB"/>
        </w:rPr>
        <w:fldChar w:fldCharType="end"/>
      </w:r>
      <w:r w:rsidRPr="00A34F10">
        <w:rPr>
          <w:color w:val="000000" w:themeColor="text1"/>
          <w:szCs w:val="24"/>
          <w:lang w:val="en-GB"/>
        </w:rPr>
        <w:t xml:space="preserve">. Four replicates were used per test item treatment group and eight replicates were used in the control. Each replicate contained 10 adult female soil mites. </w:t>
      </w:r>
    </w:p>
    <w:p w14:paraId="239D79C8" w14:textId="75955568" w:rsidR="00DC5685" w:rsidRPr="0060455A" w:rsidRDefault="00DF5E13" w:rsidP="00DF5E13">
      <w:pPr>
        <w:pStyle w:val="Legenda"/>
      </w:pPr>
      <w:bookmarkStart w:id="1170" w:name="_Ref147912320"/>
      <w:r>
        <w:t xml:space="preserve">Table A </w:t>
      </w:r>
      <w:r>
        <w:fldChar w:fldCharType="begin"/>
      </w:r>
      <w:r>
        <w:instrText xml:space="preserve"> SEQ Table_A \* ARABIC </w:instrText>
      </w:r>
      <w:r>
        <w:fldChar w:fldCharType="separate"/>
      </w:r>
      <w:r w:rsidR="006F0F3B">
        <w:rPr>
          <w:noProof/>
        </w:rPr>
        <w:t>81</w:t>
      </w:r>
      <w:r>
        <w:fldChar w:fldCharType="end"/>
      </w:r>
      <w:bookmarkEnd w:id="1170"/>
      <w:r w:rsidR="0060455A" w:rsidRPr="0060455A">
        <w:tab/>
      </w:r>
      <w:r w:rsidR="00DC5685" w:rsidRPr="0060455A">
        <w:t xml:space="preserve"> Active substance content of the test item at each test concentration</w:t>
      </w:r>
    </w:p>
    <w:tbl>
      <w:tblPr>
        <w:tblStyle w:val="TableGrid8"/>
        <w:tblW w:w="5000" w:type="pct"/>
        <w:tblLook w:val="04A0" w:firstRow="1" w:lastRow="0" w:firstColumn="1" w:lastColumn="0" w:noHBand="0" w:noVBand="1"/>
      </w:tblPr>
      <w:tblGrid>
        <w:gridCol w:w="3114"/>
        <w:gridCol w:w="3115"/>
        <w:gridCol w:w="3115"/>
      </w:tblGrid>
      <w:tr w:rsidR="00DC5685" w:rsidRPr="00A34F10" w14:paraId="69EE541A" w14:textId="77777777" w:rsidTr="000470C3">
        <w:trPr>
          <w:trHeight w:hRule="exact" w:val="567"/>
        </w:trPr>
        <w:tc>
          <w:tcPr>
            <w:tcW w:w="1666" w:type="pct"/>
          </w:tcPr>
          <w:p w14:paraId="6B55A22E"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BAS 743 02 F</w:t>
            </w:r>
            <w:r w:rsidRPr="003B09BC">
              <w:rPr>
                <w:rFonts w:ascii="Times New Roman" w:hAnsi="Times New Roman"/>
                <w:b/>
                <w:sz w:val="20"/>
                <w:szCs w:val="20"/>
                <w:lang w:val="fr-FR"/>
              </w:rPr>
              <w:br/>
              <w:t>(mg/kg soil dw)</w:t>
            </w:r>
          </w:p>
        </w:tc>
        <w:tc>
          <w:tcPr>
            <w:tcW w:w="1667" w:type="pct"/>
          </w:tcPr>
          <w:p w14:paraId="4F3BA536" w14:textId="77777777" w:rsidR="00DC5685" w:rsidRPr="003B09BC" w:rsidRDefault="00DC5685" w:rsidP="00DC5685">
            <w:pPr>
              <w:keepNext/>
              <w:keepLines/>
              <w:tabs>
                <w:tab w:val="left" w:pos="720"/>
              </w:tabs>
              <w:spacing w:before="60"/>
              <w:jc w:val="center"/>
              <w:rPr>
                <w:rFonts w:ascii="Times New Roman" w:hAnsi="Times New Roman"/>
                <w:b/>
                <w:sz w:val="20"/>
                <w:szCs w:val="20"/>
                <w:lang w:val="fr-FR"/>
              </w:rPr>
            </w:pPr>
            <w:r w:rsidRPr="003B09BC">
              <w:rPr>
                <w:rFonts w:ascii="Times New Roman" w:hAnsi="Times New Roman"/>
                <w:b/>
                <w:sz w:val="20"/>
                <w:szCs w:val="20"/>
                <w:lang w:val="fr-FR"/>
              </w:rPr>
              <w:t>Propamocarb</w:t>
            </w:r>
            <w:r w:rsidRPr="003B09BC">
              <w:rPr>
                <w:rFonts w:ascii="Times New Roman" w:hAnsi="Times New Roman"/>
                <w:b/>
                <w:sz w:val="20"/>
                <w:szCs w:val="20"/>
                <w:lang w:val="fr-FR"/>
              </w:rPr>
              <w:br/>
              <w:t>(mg a.s./kg soil dw)*</w:t>
            </w:r>
          </w:p>
        </w:tc>
        <w:tc>
          <w:tcPr>
            <w:tcW w:w="1667" w:type="pct"/>
          </w:tcPr>
          <w:p w14:paraId="3E3DF50A" w14:textId="77777777" w:rsidR="00DC5685" w:rsidRPr="00A34F10" w:rsidRDefault="00DC5685" w:rsidP="00DC5685">
            <w:pPr>
              <w:keepNext/>
              <w:keepLines/>
              <w:tabs>
                <w:tab w:val="left" w:pos="720"/>
              </w:tabs>
              <w:spacing w:before="60"/>
              <w:jc w:val="center"/>
              <w:rPr>
                <w:rFonts w:ascii="Times New Roman" w:hAnsi="Times New Roman"/>
                <w:b/>
                <w:sz w:val="20"/>
                <w:szCs w:val="20"/>
              </w:rPr>
            </w:pPr>
            <w:r w:rsidRPr="00A34F10">
              <w:rPr>
                <w:rFonts w:ascii="Times New Roman" w:hAnsi="Times New Roman"/>
                <w:b/>
                <w:sz w:val="20"/>
                <w:szCs w:val="20"/>
              </w:rPr>
              <w:t>Ametoctradin / BAS 650 F</w:t>
            </w:r>
            <w:r w:rsidRPr="00A34F10">
              <w:rPr>
                <w:rFonts w:ascii="Times New Roman" w:hAnsi="Times New Roman"/>
                <w:b/>
                <w:sz w:val="20"/>
                <w:szCs w:val="20"/>
              </w:rPr>
              <w:br/>
              <w:t>(mg a.s./kg soil dw)*</w:t>
            </w:r>
          </w:p>
        </w:tc>
      </w:tr>
      <w:tr w:rsidR="00DC5685" w:rsidRPr="00A34F10" w14:paraId="328B581F" w14:textId="77777777" w:rsidTr="000470C3">
        <w:trPr>
          <w:trHeight w:hRule="exact" w:val="340"/>
        </w:trPr>
        <w:tc>
          <w:tcPr>
            <w:tcW w:w="1666" w:type="pct"/>
            <w:vAlign w:val="center"/>
          </w:tcPr>
          <w:p w14:paraId="771D509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16.3</w:t>
            </w:r>
          </w:p>
        </w:tc>
        <w:tc>
          <w:tcPr>
            <w:tcW w:w="1667" w:type="pct"/>
            <w:vAlign w:val="bottom"/>
          </w:tcPr>
          <w:p w14:paraId="3AAAC22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6.5</w:t>
            </w:r>
          </w:p>
        </w:tc>
        <w:tc>
          <w:tcPr>
            <w:tcW w:w="1667" w:type="pct"/>
            <w:vAlign w:val="bottom"/>
          </w:tcPr>
          <w:p w14:paraId="43E7E6BA"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2.07</w:t>
            </w:r>
          </w:p>
        </w:tc>
      </w:tr>
      <w:tr w:rsidR="00DC5685" w:rsidRPr="00A34F10" w14:paraId="2D8075B5" w14:textId="77777777" w:rsidTr="000470C3">
        <w:trPr>
          <w:trHeight w:hRule="exact" w:val="340"/>
        </w:trPr>
        <w:tc>
          <w:tcPr>
            <w:tcW w:w="1666" w:type="pct"/>
            <w:vAlign w:val="center"/>
          </w:tcPr>
          <w:p w14:paraId="26C05BF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29.4</w:t>
            </w:r>
          </w:p>
        </w:tc>
        <w:tc>
          <w:tcPr>
            <w:tcW w:w="1667" w:type="pct"/>
            <w:vAlign w:val="bottom"/>
          </w:tcPr>
          <w:p w14:paraId="3C9560E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11.8</w:t>
            </w:r>
          </w:p>
        </w:tc>
        <w:tc>
          <w:tcPr>
            <w:tcW w:w="1667" w:type="pct"/>
            <w:vAlign w:val="bottom"/>
          </w:tcPr>
          <w:p w14:paraId="49B485DE"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3.73</w:t>
            </w:r>
          </w:p>
        </w:tc>
      </w:tr>
      <w:tr w:rsidR="00DC5685" w:rsidRPr="00A34F10" w14:paraId="7F50725F" w14:textId="77777777" w:rsidTr="000470C3">
        <w:trPr>
          <w:trHeight w:hRule="exact" w:val="340"/>
        </w:trPr>
        <w:tc>
          <w:tcPr>
            <w:tcW w:w="1666" w:type="pct"/>
            <w:vAlign w:val="center"/>
          </w:tcPr>
          <w:p w14:paraId="3430755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52.9</w:t>
            </w:r>
          </w:p>
        </w:tc>
        <w:tc>
          <w:tcPr>
            <w:tcW w:w="1667" w:type="pct"/>
            <w:vAlign w:val="bottom"/>
          </w:tcPr>
          <w:p w14:paraId="4212B3F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21.2</w:t>
            </w:r>
          </w:p>
        </w:tc>
        <w:tc>
          <w:tcPr>
            <w:tcW w:w="1667" w:type="pct"/>
            <w:vAlign w:val="bottom"/>
          </w:tcPr>
          <w:p w14:paraId="628E11DF"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6.7</w:t>
            </w:r>
          </w:p>
        </w:tc>
      </w:tr>
      <w:tr w:rsidR="00DC5685" w:rsidRPr="00A34F10" w14:paraId="23BC4526" w14:textId="77777777" w:rsidTr="000470C3">
        <w:trPr>
          <w:trHeight w:hRule="exact" w:val="340"/>
        </w:trPr>
        <w:tc>
          <w:tcPr>
            <w:tcW w:w="1666" w:type="pct"/>
            <w:vAlign w:val="center"/>
          </w:tcPr>
          <w:p w14:paraId="4C40A8F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95.3</w:t>
            </w:r>
          </w:p>
        </w:tc>
        <w:tc>
          <w:tcPr>
            <w:tcW w:w="1667" w:type="pct"/>
            <w:vAlign w:val="bottom"/>
          </w:tcPr>
          <w:p w14:paraId="679EC85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38.1</w:t>
            </w:r>
          </w:p>
        </w:tc>
        <w:tc>
          <w:tcPr>
            <w:tcW w:w="1667" w:type="pct"/>
            <w:vAlign w:val="bottom"/>
          </w:tcPr>
          <w:p w14:paraId="5178D626"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12.1</w:t>
            </w:r>
          </w:p>
        </w:tc>
      </w:tr>
      <w:tr w:rsidR="00DC5685" w:rsidRPr="00A34F10" w14:paraId="001B5745" w14:textId="77777777" w:rsidTr="000470C3">
        <w:trPr>
          <w:trHeight w:hRule="exact" w:val="340"/>
        </w:trPr>
        <w:tc>
          <w:tcPr>
            <w:tcW w:w="1666" w:type="pct"/>
            <w:vAlign w:val="center"/>
          </w:tcPr>
          <w:p w14:paraId="08B5986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171</w:t>
            </w:r>
          </w:p>
        </w:tc>
        <w:tc>
          <w:tcPr>
            <w:tcW w:w="1667" w:type="pct"/>
            <w:vAlign w:val="bottom"/>
          </w:tcPr>
          <w:p w14:paraId="39A35EFC"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68.6</w:t>
            </w:r>
          </w:p>
        </w:tc>
        <w:tc>
          <w:tcPr>
            <w:tcW w:w="1667" w:type="pct"/>
            <w:vAlign w:val="bottom"/>
          </w:tcPr>
          <w:p w14:paraId="4B7FC7A8"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21.8</w:t>
            </w:r>
          </w:p>
        </w:tc>
      </w:tr>
      <w:tr w:rsidR="00DC5685" w:rsidRPr="00A34F10" w14:paraId="2757587F" w14:textId="77777777" w:rsidTr="000470C3">
        <w:trPr>
          <w:trHeight w:hRule="exact" w:val="340"/>
        </w:trPr>
        <w:tc>
          <w:tcPr>
            <w:tcW w:w="1666" w:type="pct"/>
            <w:vAlign w:val="center"/>
          </w:tcPr>
          <w:p w14:paraId="33EFA06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309</w:t>
            </w:r>
          </w:p>
        </w:tc>
        <w:tc>
          <w:tcPr>
            <w:tcW w:w="1667" w:type="pct"/>
            <w:vAlign w:val="bottom"/>
          </w:tcPr>
          <w:p w14:paraId="0AE8401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123.5</w:t>
            </w:r>
          </w:p>
        </w:tc>
        <w:tc>
          <w:tcPr>
            <w:tcW w:w="1667" w:type="pct"/>
            <w:vAlign w:val="bottom"/>
          </w:tcPr>
          <w:p w14:paraId="0AEFA9F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39.2</w:t>
            </w:r>
          </w:p>
        </w:tc>
      </w:tr>
      <w:tr w:rsidR="00DC5685" w:rsidRPr="00A34F10" w14:paraId="2AA73927" w14:textId="77777777" w:rsidTr="000470C3">
        <w:trPr>
          <w:trHeight w:hRule="exact" w:val="340"/>
        </w:trPr>
        <w:tc>
          <w:tcPr>
            <w:tcW w:w="1666" w:type="pct"/>
            <w:vAlign w:val="center"/>
          </w:tcPr>
          <w:p w14:paraId="5CEAC0B9"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556</w:t>
            </w:r>
          </w:p>
        </w:tc>
        <w:tc>
          <w:tcPr>
            <w:tcW w:w="1667" w:type="pct"/>
            <w:vAlign w:val="bottom"/>
          </w:tcPr>
          <w:p w14:paraId="34F0691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222.2</w:t>
            </w:r>
          </w:p>
        </w:tc>
        <w:tc>
          <w:tcPr>
            <w:tcW w:w="1667" w:type="pct"/>
            <w:vAlign w:val="bottom"/>
          </w:tcPr>
          <w:p w14:paraId="05FBDF03"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70.5</w:t>
            </w:r>
          </w:p>
        </w:tc>
      </w:tr>
      <w:tr w:rsidR="00DC5685" w:rsidRPr="00A34F10" w14:paraId="29D871B3" w14:textId="77777777" w:rsidTr="000470C3">
        <w:trPr>
          <w:trHeight w:hRule="exact" w:val="340"/>
        </w:trPr>
        <w:tc>
          <w:tcPr>
            <w:tcW w:w="1666" w:type="pct"/>
            <w:vAlign w:val="center"/>
          </w:tcPr>
          <w:p w14:paraId="6C485672"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1000</w:t>
            </w:r>
          </w:p>
        </w:tc>
        <w:tc>
          <w:tcPr>
            <w:tcW w:w="1667" w:type="pct"/>
            <w:vAlign w:val="bottom"/>
          </w:tcPr>
          <w:p w14:paraId="2E2945FB"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400.0</w:t>
            </w:r>
          </w:p>
        </w:tc>
        <w:tc>
          <w:tcPr>
            <w:tcW w:w="1667" w:type="pct"/>
            <w:vAlign w:val="bottom"/>
          </w:tcPr>
          <w:p w14:paraId="006E7DB0" w14:textId="77777777" w:rsidR="00DC5685" w:rsidRPr="00A34F10" w:rsidRDefault="00DC5685" w:rsidP="00DC5685">
            <w:pPr>
              <w:keepNext/>
              <w:keepLines/>
              <w:tabs>
                <w:tab w:val="left" w:pos="720"/>
              </w:tabs>
              <w:spacing w:before="60"/>
              <w:jc w:val="center"/>
              <w:rPr>
                <w:rFonts w:ascii="Times New Roman" w:hAnsi="Times New Roman"/>
                <w:sz w:val="20"/>
                <w:szCs w:val="20"/>
              </w:rPr>
            </w:pPr>
            <w:r w:rsidRPr="00A34F10">
              <w:rPr>
                <w:rFonts w:ascii="Times New Roman" w:hAnsi="Times New Roman"/>
                <w:sz w:val="20"/>
                <w:szCs w:val="20"/>
              </w:rPr>
              <w:t>127.0</w:t>
            </w:r>
          </w:p>
        </w:tc>
      </w:tr>
    </w:tbl>
    <w:p w14:paraId="6F8EB2AC" w14:textId="77777777" w:rsidR="00DC5685" w:rsidRPr="00A34F10" w:rsidRDefault="00DC5685" w:rsidP="00DC5685">
      <w:pPr>
        <w:keepNext/>
        <w:keepLines/>
        <w:tabs>
          <w:tab w:val="left" w:pos="720"/>
        </w:tabs>
        <w:spacing w:after="240"/>
        <w:jc w:val="both"/>
        <w:rPr>
          <w:sz w:val="18"/>
          <w:szCs w:val="20"/>
          <w:lang w:val="en-GB"/>
        </w:rPr>
      </w:pPr>
      <w:r w:rsidRPr="00A34F10">
        <w:rPr>
          <w:sz w:val="18"/>
          <w:szCs w:val="20"/>
          <w:lang w:val="en-GB"/>
        </w:rPr>
        <w:t xml:space="preserve">* The amounts of Propamocarb and BAS 650 F were calculated based on the nominal contents a.s. The density (1.080 g/cm³) was taken into account. </w:t>
      </w:r>
    </w:p>
    <w:p w14:paraId="5069633D" w14:textId="77777777" w:rsidR="00DC5685" w:rsidRPr="00A34F10" w:rsidRDefault="00DC5685" w:rsidP="00DC5685">
      <w:pPr>
        <w:keepNext/>
        <w:keepLines/>
        <w:tabs>
          <w:tab w:val="left" w:pos="720"/>
        </w:tabs>
        <w:jc w:val="both"/>
        <w:rPr>
          <w:color w:val="000000" w:themeColor="text1"/>
          <w:szCs w:val="24"/>
          <w:lang w:val="en-GB"/>
        </w:rPr>
      </w:pPr>
      <w:r w:rsidRPr="00A34F10">
        <w:rPr>
          <w:color w:val="000000" w:themeColor="text1"/>
          <w:szCs w:val="24"/>
          <w:lang w:val="en-GB"/>
        </w:rPr>
        <w:t>Adult females were transferred to clean rearing vessels and incubated at approximately 20°C for 2 days. The adult mites were then removed and the rearing vessels, now containing eggs, were incubated for a further 28 days at the same temperature until the eggs had developed into adult mites. Within this incubation time the laid eggs developed to adult mites of similar age. At day 30, the mites</w:t>
      </w:r>
      <w:r w:rsidRPr="00A34F10">
        <w:rPr>
          <w:color w:val="000000" w:themeColor="text1"/>
        </w:rPr>
        <w:t xml:space="preserve"> </w:t>
      </w:r>
      <w:r w:rsidRPr="00A34F10">
        <w:rPr>
          <w:color w:val="000000" w:themeColor="text1"/>
          <w:szCs w:val="24"/>
          <w:lang w:val="en-GB"/>
        </w:rPr>
        <w:t xml:space="preserve">of the synchronised culture were ready for the test. </w:t>
      </w:r>
    </w:p>
    <w:p w14:paraId="7610E8DC" w14:textId="77777777" w:rsidR="00DC5685" w:rsidRPr="00A34F10" w:rsidRDefault="00DC5685" w:rsidP="00DC5685">
      <w:pPr>
        <w:tabs>
          <w:tab w:val="left" w:pos="720"/>
        </w:tabs>
        <w:jc w:val="both"/>
        <w:rPr>
          <w:color w:val="000000" w:themeColor="text1"/>
          <w:szCs w:val="24"/>
          <w:lang w:val="en-GB"/>
        </w:rPr>
      </w:pPr>
    </w:p>
    <w:p w14:paraId="01C227A0" w14:textId="77777777" w:rsidR="00DC5685" w:rsidRPr="00A34F10" w:rsidRDefault="00DC5685" w:rsidP="00DC5685">
      <w:pPr>
        <w:tabs>
          <w:tab w:val="left" w:pos="720"/>
        </w:tabs>
        <w:spacing w:after="240"/>
        <w:jc w:val="both"/>
        <w:rPr>
          <w:color w:val="000000" w:themeColor="text1"/>
          <w:sz w:val="18"/>
          <w:szCs w:val="20"/>
          <w:lang w:val="en-GB"/>
        </w:rPr>
      </w:pPr>
      <w:r w:rsidRPr="00A34F10">
        <w:rPr>
          <w:color w:val="000000" w:themeColor="text1"/>
          <w:szCs w:val="24"/>
          <w:lang w:val="en-GB"/>
        </w:rPr>
        <w:t xml:space="preserve">At the start of the test (within 2 hours after treatment of the soil), adult females of the synchronised culture were transferred to the prepared test vessels which contained untreated or test item treated artificial soil. The vessels were briefly opened every 2-3 days for aeration and feeding during the test. </w:t>
      </w:r>
    </w:p>
    <w:p w14:paraId="1076E797" w14:textId="77777777" w:rsidR="00DC5685" w:rsidRPr="00A34F10" w:rsidRDefault="00DC5685" w:rsidP="00E05ECD">
      <w:pPr>
        <w:numPr>
          <w:ilvl w:val="0"/>
          <w:numId w:val="89"/>
        </w:numPr>
        <w:tabs>
          <w:tab w:val="left" w:pos="0"/>
        </w:tabs>
        <w:ind w:left="357" w:hanging="357"/>
        <w:contextualSpacing/>
        <w:rPr>
          <w:b/>
          <w:bCs/>
          <w:szCs w:val="24"/>
          <w:lang w:val="en-GB"/>
        </w:rPr>
      </w:pPr>
      <w:r w:rsidRPr="00A34F10">
        <w:rPr>
          <w:b/>
          <w:bCs/>
          <w:szCs w:val="24"/>
          <w:lang w:val="en-GB"/>
        </w:rPr>
        <w:t xml:space="preserve">Dose preparation: </w:t>
      </w:r>
    </w:p>
    <w:p w14:paraId="3C9F43C1" w14:textId="77777777" w:rsidR="00DC5685" w:rsidRPr="00A34F10" w:rsidRDefault="00DC5685" w:rsidP="00DC5685">
      <w:pPr>
        <w:tabs>
          <w:tab w:val="left" w:pos="0"/>
        </w:tabs>
        <w:spacing w:after="240"/>
        <w:jc w:val="both"/>
        <w:rPr>
          <w:szCs w:val="24"/>
          <w:lang w:val="en-GB"/>
        </w:rPr>
      </w:pPr>
      <w:r w:rsidRPr="00A34F10">
        <w:rPr>
          <w:szCs w:val="24"/>
          <w:lang w:val="en-GB"/>
        </w:rPr>
        <w:t xml:space="preserve">An exact weighed amount of the test item was mixed with deionised water to make a stock solution, without addition of solubility mediators, immediately before application. This stock solution was stepwise diluted </w:t>
      </w:r>
      <w:r w:rsidRPr="00A34F10">
        <w:rPr>
          <w:szCs w:val="24"/>
          <w:lang w:val="en-GB"/>
        </w:rPr>
        <w:lastRenderedPageBreak/>
        <w:t>with deionised water to prepare seven further test solutions, Afterwards the test solutions were thoroughly mixed with the artificial soil by means of a hand stirrer.</w:t>
      </w:r>
    </w:p>
    <w:p w14:paraId="44F720EC" w14:textId="77777777" w:rsidR="00DC5685" w:rsidRPr="00A34F10" w:rsidRDefault="00DC5685" w:rsidP="00E05ECD">
      <w:pPr>
        <w:keepNext/>
        <w:keepLines/>
        <w:numPr>
          <w:ilvl w:val="0"/>
          <w:numId w:val="89"/>
        </w:numPr>
        <w:tabs>
          <w:tab w:val="left" w:pos="0"/>
        </w:tabs>
        <w:ind w:left="357" w:hanging="357"/>
        <w:contextualSpacing/>
        <w:rPr>
          <w:b/>
          <w:bCs/>
          <w:szCs w:val="24"/>
          <w:lang w:val="en-GB"/>
        </w:rPr>
      </w:pPr>
      <w:r w:rsidRPr="00A34F10">
        <w:rPr>
          <w:b/>
          <w:bCs/>
          <w:szCs w:val="24"/>
          <w:lang w:val="en-GB"/>
        </w:rPr>
        <w:t xml:space="preserve">Measurements and observations: </w:t>
      </w:r>
    </w:p>
    <w:p w14:paraId="57B6E775" w14:textId="77777777" w:rsidR="00DC5685" w:rsidRPr="00A34F10" w:rsidRDefault="00DC5685" w:rsidP="00DC5685">
      <w:pPr>
        <w:keepNext/>
        <w:keepLines/>
        <w:tabs>
          <w:tab w:val="left" w:pos="720"/>
        </w:tabs>
        <w:jc w:val="both"/>
        <w:rPr>
          <w:szCs w:val="24"/>
          <w:u w:val="single"/>
          <w:lang w:val="en-GB"/>
        </w:rPr>
      </w:pPr>
      <w:r w:rsidRPr="00A34F10">
        <w:rPr>
          <w:szCs w:val="24"/>
          <w:u w:val="single"/>
          <w:lang w:val="en-GB"/>
        </w:rPr>
        <w:t>Biological observations:</w:t>
      </w:r>
    </w:p>
    <w:p w14:paraId="1EDA58A9" w14:textId="77777777" w:rsidR="00DC5685" w:rsidRPr="00A34F10" w:rsidRDefault="00DC5685" w:rsidP="00DC5685">
      <w:pPr>
        <w:tabs>
          <w:tab w:val="left" w:pos="720"/>
        </w:tabs>
        <w:jc w:val="both"/>
        <w:rPr>
          <w:color w:val="000000" w:themeColor="text1"/>
          <w:szCs w:val="24"/>
          <w:lang w:val="en-GB"/>
        </w:rPr>
      </w:pPr>
      <w:r w:rsidRPr="00A34F10">
        <w:rPr>
          <w:color w:val="000000" w:themeColor="text1"/>
          <w:szCs w:val="24"/>
          <w:lang w:val="en-GB"/>
        </w:rPr>
        <w:t xml:space="preserve">On day 14, surviving mites and juveniles were extracted from each vessel using a MacFadyen high gradient extractor (heat/light extraction method). The duration of extraction was 48 hours. During this time, adult and juvenile mites moved down through the soil substrate away from the heat source, until they fell from the substrate into the funnel / fixing liquid. After extraction was complete, all juveniles and adults present in the fixing liquid were counted. Missing mites were assumed dead. Mortality and reproduction in each treatment group were determined. </w:t>
      </w:r>
    </w:p>
    <w:p w14:paraId="3988071D" w14:textId="77777777" w:rsidR="00DC5685" w:rsidRPr="00A34F10" w:rsidRDefault="00DC5685" w:rsidP="00DC5685">
      <w:pPr>
        <w:tabs>
          <w:tab w:val="left" w:pos="720"/>
        </w:tabs>
        <w:jc w:val="both"/>
        <w:rPr>
          <w:szCs w:val="24"/>
          <w:lang w:val="en-GB"/>
        </w:rPr>
      </w:pPr>
    </w:p>
    <w:p w14:paraId="3285B475" w14:textId="77777777" w:rsidR="00DC5685" w:rsidRPr="00A34F10" w:rsidRDefault="00DC5685" w:rsidP="00DC5685">
      <w:pPr>
        <w:tabs>
          <w:tab w:val="left" w:pos="720"/>
        </w:tabs>
        <w:jc w:val="both"/>
        <w:rPr>
          <w:szCs w:val="24"/>
        </w:rPr>
      </w:pPr>
      <w:r w:rsidRPr="00A34F10">
        <w:rPr>
          <w:szCs w:val="24"/>
          <w:u w:val="single"/>
        </w:rPr>
        <w:t>Physicochemical measurements</w:t>
      </w:r>
      <w:r w:rsidRPr="00A34F10">
        <w:rPr>
          <w:szCs w:val="24"/>
        </w:rPr>
        <w:t xml:space="preserve">: </w:t>
      </w:r>
    </w:p>
    <w:p w14:paraId="4E68CCF0" w14:textId="77777777" w:rsidR="00DC5685" w:rsidRPr="00A34F10" w:rsidRDefault="00DC5685" w:rsidP="00DC5685">
      <w:pPr>
        <w:tabs>
          <w:tab w:val="left" w:pos="720"/>
        </w:tabs>
        <w:spacing w:after="240"/>
        <w:jc w:val="both"/>
        <w:rPr>
          <w:color w:val="000000" w:themeColor="text1"/>
          <w:szCs w:val="24"/>
          <w:lang w:val="en-GB"/>
        </w:rPr>
      </w:pPr>
      <w:r w:rsidRPr="00A34F10">
        <w:rPr>
          <w:color w:val="000000" w:themeColor="text1"/>
          <w:szCs w:val="24"/>
          <w:lang w:val="en-GB"/>
        </w:rPr>
        <w:t xml:space="preserve">Water content and pH were measured at the start and end of the test. Water content was maintained throughout the test by reweighing the additional test vessels. Compensation of water loss was necessary. </w:t>
      </w:r>
    </w:p>
    <w:p w14:paraId="258AE443" w14:textId="77777777" w:rsidR="00DC5685" w:rsidRPr="00A34F10" w:rsidRDefault="00DC5685" w:rsidP="00E05ECD">
      <w:pPr>
        <w:numPr>
          <w:ilvl w:val="0"/>
          <w:numId w:val="89"/>
        </w:numPr>
        <w:tabs>
          <w:tab w:val="left" w:pos="0"/>
        </w:tabs>
        <w:ind w:left="357" w:hanging="357"/>
        <w:contextualSpacing/>
        <w:rPr>
          <w:b/>
          <w:bCs/>
          <w:szCs w:val="24"/>
          <w:lang w:val="en-GB"/>
        </w:rPr>
      </w:pPr>
      <w:r w:rsidRPr="00A34F10">
        <w:rPr>
          <w:b/>
          <w:bCs/>
          <w:szCs w:val="24"/>
          <w:lang w:val="en-GB"/>
        </w:rPr>
        <w:t xml:space="preserve">Statistical analysis: </w:t>
      </w:r>
    </w:p>
    <w:p w14:paraId="5C63A658" w14:textId="77777777" w:rsidR="00DC5685" w:rsidRPr="00A34F10" w:rsidRDefault="00DC5685" w:rsidP="00DC5685">
      <w:pPr>
        <w:widowControl w:val="0"/>
        <w:tabs>
          <w:tab w:val="left" w:pos="720"/>
        </w:tabs>
        <w:suppressAutoHyphens/>
        <w:jc w:val="both"/>
      </w:pPr>
      <w:r w:rsidRPr="00A34F10">
        <w:t>The Multiple Sequentially-rejective Fisher Test after Bonferroni-Holm (α = 0.05, one-sided greater) was used for mortality and the Dunnett’s Multiple t-test Procedure (α = 0.05, one-sided smaller), was used for reproduction to compare the control with the independent test item groups.</w:t>
      </w:r>
    </w:p>
    <w:p w14:paraId="75F16D29" w14:textId="77777777" w:rsidR="00DC5685" w:rsidRPr="00A34F10" w:rsidRDefault="00DC5685" w:rsidP="00DC5685">
      <w:pPr>
        <w:widowControl w:val="0"/>
        <w:tabs>
          <w:tab w:val="left" w:pos="720"/>
        </w:tabs>
        <w:suppressAutoHyphens/>
        <w:jc w:val="both"/>
      </w:pPr>
    </w:p>
    <w:p w14:paraId="49F5AD03" w14:textId="77777777" w:rsidR="00DC5685" w:rsidRPr="00A34F10" w:rsidRDefault="00DC5685" w:rsidP="00DC5685">
      <w:pPr>
        <w:widowControl w:val="0"/>
        <w:tabs>
          <w:tab w:val="left" w:pos="720"/>
        </w:tabs>
        <w:suppressAutoHyphens/>
        <w:jc w:val="both"/>
      </w:pPr>
      <w:r w:rsidRPr="00A34F10">
        <w:t>No EC</w:t>
      </w:r>
      <w:r w:rsidRPr="00A34F10">
        <w:rPr>
          <w:vertAlign w:val="subscript"/>
        </w:rPr>
        <w:t>x</w:t>
      </w:r>
      <w:r w:rsidRPr="00A34F10">
        <w:t xml:space="preserve"> calculations were performed because of negligible effects and missing dose response. </w:t>
      </w:r>
    </w:p>
    <w:p w14:paraId="70FB3450" w14:textId="77777777" w:rsidR="00DC5685" w:rsidRPr="00A34F10" w:rsidRDefault="00DC5685" w:rsidP="00DC5685">
      <w:pPr>
        <w:widowControl w:val="0"/>
        <w:tabs>
          <w:tab w:val="left" w:pos="720"/>
        </w:tabs>
        <w:suppressAutoHyphens/>
        <w:jc w:val="both"/>
      </w:pPr>
    </w:p>
    <w:p w14:paraId="7012D44D" w14:textId="3C5472BC" w:rsidR="00CD6766" w:rsidRDefault="00DC5685" w:rsidP="00DC5685">
      <w:pPr>
        <w:widowControl w:val="0"/>
        <w:tabs>
          <w:tab w:val="left" w:pos="720"/>
        </w:tabs>
        <w:suppressAutoHyphens/>
        <w:spacing w:after="240"/>
        <w:jc w:val="both"/>
      </w:pPr>
      <w:r w:rsidRPr="00A34F10">
        <w:t>The statistical analysis was performed with the software ToxRat Professional 3.3.0 (2018).</w:t>
      </w:r>
    </w:p>
    <w:p w14:paraId="249A2257" w14:textId="77777777" w:rsidR="008D2927" w:rsidRDefault="008D2927" w:rsidP="00DC5685">
      <w:pPr>
        <w:widowControl w:val="0"/>
        <w:tabs>
          <w:tab w:val="left" w:pos="720"/>
        </w:tabs>
        <w:suppressAutoHyphens/>
        <w:spacing w:after="240"/>
        <w:jc w:val="both"/>
      </w:pPr>
    </w:p>
    <w:p w14:paraId="1D6775E7"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w:t>
      </w:r>
      <w:r w:rsidRPr="00A34F10">
        <w:rPr>
          <w:b/>
          <w:bCs/>
          <w:caps/>
          <w:szCs w:val="24"/>
          <w:lang w:val="en-GB"/>
        </w:rPr>
        <w:tab/>
        <w:t>Results and Discussion</w:t>
      </w:r>
    </w:p>
    <w:p w14:paraId="2522CFFF" w14:textId="77777777" w:rsidR="00DC5685" w:rsidRPr="00A34F10" w:rsidRDefault="00DC5685" w:rsidP="00E05ECD">
      <w:pPr>
        <w:numPr>
          <w:ilvl w:val="0"/>
          <w:numId w:val="90"/>
        </w:numPr>
        <w:ind w:left="357" w:hanging="357"/>
        <w:contextualSpacing/>
        <w:rPr>
          <w:b/>
          <w:bCs/>
          <w:caps/>
          <w:szCs w:val="24"/>
          <w:lang w:val="en-GB"/>
        </w:rPr>
      </w:pPr>
      <w:r w:rsidRPr="00A34F10">
        <w:rPr>
          <w:b/>
          <w:bCs/>
          <w:caps/>
          <w:szCs w:val="24"/>
          <w:lang w:val="en-GB"/>
        </w:rPr>
        <w:t>biological effects</w:t>
      </w:r>
    </w:p>
    <w:p w14:paraId="43924280" w14:textId="77777777" w:rsidR="00DC5685" w:rsidRPr="00A34F10" w:rsidRDefault="00DC5685" w:rsidP="00DC5685">
      <w:pPr>
        <w:ind w:left="357"/>
        <w:contextualSpacing/>
        <w:rPr>
          <w:b/>
          <w:bCs/>
          <w:caps/>
          <w:szCs w:val="24"/>
          <w:lang w:val="en-GB"/>
        </w:rPr>
      </w:pPr>
    </w:p>
    <w:p w14:paraId="5D0E12AC" w14:textId="466C0108" w:rsidR="00DC5685" w:rsidRPr="00A34F10" w:rsidRDefault="00DC5685" w:rsidP="00DC5685">
      <w:pPr>
        <w:widowControl w:val="0"/>
        <w:tabs>
          <w:tab w:val="left" w:pos="720"/>
        </w:tabs>
        <w:suppressAutoHyphens/>
        <w:jc w:val="both"/>
        <w:rPr>
          <w:highlight w:val="yellow"/>
        </w:rPr>
      </w:pPr>
      <w:r w:rsidRPr="00A34F10">
        <w:t xml:space="preserve">The mortality was between 0% and 7.5% in the test item treatment groups, compared to 5.0% in the control. The mortality observed was not statistically significantly different compared to the control. </w:t>
      </w:r>
      <w:r w:rsidRPr="00A34F10">
        <w:rPr>
          <w:bCs/>
        </w:rPr>
        <w:t>Reproduction rates in the 16.3, 29.4, 52.9, 95.3, 171, 309, 556 and 1000 mg product/kg soil dw groups were 305.3, 294.0, 299.0, 308.5, 308.3, 297.8, 290.5 and 289.3 juveniles, respectively. The mean reproduction in the control reached 292.0 juveniles. The test item showed no statistically significantly adverse effects on reproduction at all tested concentrations</w:t>
      </w:r>
      <w:r w:rsidRPr="00A34F10">
        <w:t xml:space="preserve">. No behavioral abnormalities or differences in morphology of the mites between the test item treated groups and the control were observed. </w:t>
      </w:r>
      <w:r w:rsidRPr="00A34F10">
        <w:rPr>
          <w:bCs/>
        </w:rPr>
        <w:t>T</w:t>
      </w:r>
      <w:r w:rsidRPr="00A34F10">
        <w:t>he results are summarized in</w:t>
      </w:r>
      <w:r w:rsidR="00CD6766">
        <w:t xml:space="preserve"> </w:t>
      </w:r>
      <w:r w:rsidR="00CD6766">
        <w:fldChar w:fldCharType="begin"/>
      </w:r>
      <w:r w:rsidR="00CD6766">
        <w:instrText xml:space="preserve"> REF _Ref147912359 \h </w:instrText>
      </w:r>
      <w:r w:rsidR="00CD6766">
        <w:fldChar w:fldCharType="separate"/>
      </w:r>
      <w:r w:rsidR="006F0F3B">
        <w:t xml:space="preserve">Table A </w:t>
      </w:r>
      <w:r w:rsidR="006F0F3B">
        <w:rPr>
          <w:noProof/>
        </w:rPr>
        <w:t>82</w:t>
      </w:r>
      <w:r w:rsidR="00CD6766">
        <w:fldChar w:fldCharType="end"/>
      </w:r>
      <w:r w:rsidRPr="00A34F10">
        <w:t>.</w:t>
      </w:r>
    </w:p>
    <w:p w14:paraId="7FEF3915" w14:textId="77777777" w:rsidR="00DC5685" w:rsidRPr="00A34F10" w:rsidRDefault="00DC5685" w:rsidP="00DC5685">
      <w:pPr>
        <w:widowControl w:val="0"/>
        <w:suppressAutoHyphens/>
        <w:jc w:val="both"/>
        <w:rPr>
          <w:highlight w:val="yellow"/>
        </w:rPr>
      </w:pPr>
    </w:p>
    <w:p w14:paraId="176DCA5A" w14:textId="01DFF069" w:rsidR="00DC5685" w:rsidRPr="0060455A" w:rsidRDefault="00CD6766" w:rsidP="00CD6766">
      <w:pPr>
        <w:pStyle w:val="Legenda"/>
      </w:pPr>
      <w:bookmarkStart w:id="1171" w:name="_Ref147912359"/>
      <w:r>
        <w:t xml:space="preserve">Table A </w:t>
      </w:r>
      <w:r>
        <w:fldChar w:fldCharType="begin"/>
      </w:r>
      <w:r>
        <w:instrText xml:space="preserve"> SEQ Table_A \* ARABIC </w:instrText>
      </w:r>
      <w:r>
        <w:fldChar w:fldCharType="separate"/>
      </w:r>
      <w:r w:rsidR="006F0F3B">
        <w:rPr>
          <w:noProof/>
        </w:rPr>
        <w:t>82</w:t>
      </w:r>
      <w:r>
        <w:fldChar w:fldCharType="end"/>
      </w:r>
      <w:bookmarkEnd w:id="1171"/>
      <w:r w:rsidR="00DC5685" w:rsidRPr="0060455A">
        <w:t>:</w:t>
      </w:r>
      <w:r w:rsidR="0060455A" w:rsidRPr="0060455A">
        <w:tab/>
      </w:r>
      <w:r w:rsidR="00DC5685" w:rsidRPr="0060455A">
        <w:t xml:space="preserve"> Effects of BAS 743 02 F on mortality and reproduction of predatory mites</w:t>
      </w:r>
      <w:r w:rsidR="00DC5685" w:rsidRPr="0060455A">
        <w:rPr>
          <w:i/>
        </w:rPr>
        <w:t xml:space="preserve"> (Hypoaspis aculeifer)</w:t>
      </w:r>
      <w:r w:rsidR="00DC5685" w:rsidRPr="0060455A">
        <w:t xml:space="preserve"> in a 14-day study</w:t>
      </w:r>
    </w:p>
    <w:tbl>
      <w:tblPr>
        <w:tblStyle w:val="TableGrid8"/>
        <w:tblW w:w="5000" w:type="pct"/>
        <w:jc w:val="center"/>
        <w:tblCellMar>
          <w:left w:w="0" w:type="dxa"/>
          <w:right w:w="0" w:type="dxa"/>
        </w:tblCellMar>
        <w:tblLook w:val="04A0" w:firstRow="1" w:lastRow="0" w:firstColumn="1" w:lastColumn="0" w:noHBand="0" w:noVBand="1"/>
      </w:tblPr>
      <w:tblGrid>
        <w:gridCol w:w="2550"/>
        <w:gridCol w:w="861"/>
        <w:gridCol w:w="758"/>
        <w:gridCol w:w="761"/>
        <w:gridCol w:w="761"/>
        <w:gridCol w:w="761"/>
        <w:gridCol w:w="761"/>
        <w:gridCol w:w="761"/>
        <w:gridCol w:w="761"/>
        <w:gridCol w:w="609"/>
      </w:tblGrid>
      <w:tr w:rsidR="00DC5685" w:rsidRPr="00A34F10" w14:paraId="1089670C" w14:textId="77777777" w:rsidTr="000470C3">
        <w:trPr>
          <w:trHeight w:val="283"/>
          <w:jc w:val="center"/>
        </w:trPr>
        <w:tc>
          <w:tcPr>
            <w:tcW w:w="1365" w:type="pct"/>
            <w:vMerge w:val="restart"/>
            <w:noWrap/>
            <w:vAlign w:val="center"/>
          </w:tcPr>
          <w:p w14:paraId="69F88B93" w14:textId="77777777" w:rsidR="00DC5685" w:rsidRPr="00A34F10" w:rsidRDefault="00DC5685" w:rsidP="00DC5685">
            <w:pPr>
              <w:keepNext/>
              <w:keepLines/>
              <w:tabs>
                <w:tab w:val="left" w:pos="720"/>
              </w:tabs>
              <w:jc w:val="center"/>
              <w:rPr>
                <w:rFonts w:ascii="Times New Roman" w:hAnsi="Times New Roman"/>
                <w:b/>
                <w:sz w:val="20"/>
                <w:szCs w:val="20"/>
                <w:highlight w:val="yellow"/>
              </w:rPr>
            </w:pPr>
            <w:r w:rsidRPr="00A34F10">
              <w:rPr>
                <w:rFonts w:ascii="Times New Roman" w:hAnsi="Times New Roman"/>
                <w:b/>
                <w:sz w:val="20"/>
                <w:szCs w:val="20"/>
              </w:rPr>
              <w:lastRenderedPageBreak/>
              <w:t>Treatment group</w:t>
            </w:r>
          </w:p>
        </w:tc>
        <w:tc>
          <w:tcPr>
            <w:tcW w:w="3635" w:type="pct"/>
            <w:gridSpan w:val="9"/>
            <w:noWrap/>
            <w:vAlign w:val="center"/>
          </w:tcPr>
          <w:p w14:paraId="7F0F7F09"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BAS 743 02 F (mg product/kg soil dw)</w:t>
            </w:r>
          </w:p>
        </w:tc>
      </w:tr>
      <w:tr w:rsidR="00DC5685" w:rsidRPr="00A34F10" w14:paraId="2D689B80" w14:textId="77777777" w:rsidTr="000470C3">
        <w:trPr>
          <w:trHeight w:val="283"/>
          <w:jc w:val="center"/>
        </w:trPr>
        <w:tc>
          <w:tcPr>
            <w:tcW w:w="1365" w:type="pct"/>
            <w:vMerge/>
            <w:noWrap/>
            <w:vAlign w:val="center"/>
          </w:tcPr>
          <w:p w14:paraId="0242E4B2" w14:textId="77777777" w:rsidR="00DC5685" w:rsidRPr="00A34F10" w:rsidRDefault="00DC5685" w:rsidP="00DC5685">
            <w:pPr>
              <w:keepNext/>
              <w:keepLines/>
              <w:tabs>
                <w:tab w:val="left" w:pos="720"/>
              </w:tabs>
              <w:jc w:val="center"/>
              <w:rPr>
                <w:rFonts w:ascii="Times New Roman" w:hAnsi="Times New Roman"/>
                <w:sz w:val="20"/>
                <w:szCs w:val="20"/>
                <w:highlight w:val="yellow"/>
              </w:rPr>
            </w:pPr>
          </w:p>
        </w:tc>
        <w:tc>
          <w:tcPr>
            <w:tcW w:w="461" w:type="pct"/>
            <w:noWrap/>
            <w:vAlign w:val="center"/>
          </w:tcPr>
          <w:p w14:paraId="5B4C3004"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Control</w:t>
            </w:r>
          </w:p>
        </w:tc>
        <w:tc>
          <w:tcPr>
            <w:tcW w:w="406" w:type="pct"/>
            <w:noWrap/>
            <w:vAlign w:val="center"/>
          </w:tcPr>
          <w:p w14:paraId="14DB01DE"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16.3</w:t>
            </w:r>
          </w:p>
        </w:tc>
        <w:tc>
          <w:tcPr>
            <w:tcW w:w="407" w:type="pct"/>
            <w:noWrap/>
            <w:vAlign w:val="center"/>
          </w:tcPr>
          <w:p w14:paraId="30E36828"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29.4</w:t>
            </w:r>
          </w:p>
        </w:tc>
        <w:tc>
          <w:tcPr>
            <w:tcW w:w="407" w:type="pct"/>
            <w:noWrap/>
            <w:vAlign w:val="center"/>
          </w:tcPr>
          <w:p w14:paraId="1F1F9D73"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52.9</w:t>
            </w:r>
          </w:p>
        </w:tc>
        <w:tc>
          <w:tcPr>
            <w:tcW w:w="407" w:type="pct"/>
            <w:noWrap/>
            <w:vAlign w:val="center"/>
          </w:tcPr>
          <w:p w14:paraId="1AE8133B"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95.3</w:t>
            </w:r>
          </w:p>
        </w:tc>
        <w:tc>
          <w:tcPr>
            <w:tcW w:w="407" w:type="pct"/>
            <w:noWrap/>
            <w:vAlign w:val="center"/>
          </w:tcPr>
          <w:p w14:paraId="543678BA"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171</w:t>
            </w:r>
          </w:p>
        </w:tc>
        <w:tc>
          <w:tcPr>
            <w:tcW w:w="407" w:type="pct"/>
            <w:noWrap/>
            <w:vAlign w:val="center"/>
          </w:tcPr>
          <w:p w14:paraId="48C25D8C"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309</w:t>
            </w:r>
          </w:p>
        </w:tc>
        <w:tc>
          <w:tcPr>
            <w:tcW w:w="407" w:type="pct"/>
            <w:noWrap/>
            <w:vAlign w:val="center"/>
          </w:tcPr>
          <w:p w14:paraId="638BA5DD"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556</w:t>
            </w:r>
          </w:p>
        </w:tc>
        <w:tc>
          <w:tcPr>
            <w:tcW w:w="327" w:type="pct"/>
            <w:noWrap/>
            <w:vAlign w:val="center"/>
          </w:tcPr>
          <w:p w14:paraId="7F66FF99" w14:textId="77777777" w:rsidR="00DC5685" w:rsidRPr="00A34F10" w:rsidRDefault="00DC5685" w:rsidP="00DC5685">
            <w:pPr>
              <w:keepNext/>
              <w:keepLines/>
              <w:tabs>
                <w:tab w:val="left" w:pos="720"/>
              </w:tabs>
              <w:jc w:val="center"/>
              <w:rPr>
                <w:rFonts w:ascii="Times New Roman" w:hAnsi="Times New Roman"/>
                <w:b/>
                <w:sz w:val="20"/>
                <w:szCs w:val="20"/>
              </w:rPr>
            </w:pPr>
            <w:r w:rsidRPr="00A34F10">
              <w:rPr>
                <w:rFonts w:ascii="Times New Roman" w:hAnsi="Times New Roman"/>
                <w:b/>
                <w:sz w:val="20"/>
                <w:szCs w:val="20"/>
              </w:rPr>
              <w:t>1000</w:t>
            </w:r>
          </w:p>
        </w:tc>
      </w:tr>
      <w:tr w:rsidR="00DC5685" w:rsidRPr="00A34F10" w14:paraId="3936F9C9" w14:textId="77777777" w:rsidTr="000470C3">
        <w:trPr>
          <w:trHeight w:val="283"/>
          <w:jc w:val="center"/>
        </w:trPr>
        <w:tc>
          <w:tcPr>
            <w:tcW w:w="1365" w:type="pct"/>
            <w:noWrap/>
            <w:vAlign w:val="center"/>
          </w:tcPr>
          <w:p w14:paraId="21224E5A"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Mortality (%)</w:t>
            </w:r>
          </w:p>
        </w:tc>
        <w:tc>
          <w:tcPr>
            <w:tcW w:w="461" w:type="pct"/>
            <w:noWrap/>
            <w:vAlign w:val="center"/>
          </w:tcPr>
          <w:p w14:paraId="3C2485CC"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5.0</w:t>
            </w:r>
          </w:p>
        </w:tc>
        <w:tc>
          <w:tcPr>
            <w:tcW w:w="406" w:type="pct"/>
            <w:noWrap/>
            <w:vAlign w:val="center"/>
          </w:tcPr>
          <w:p w14:paraId="602DB84D"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2.5</w:t>
            </w:r>
          </w:p>
        </w:tc>
        <w:tc>
          <w:tcPr>
            <w:tcW w:w="407" w:type="pct"/>
            <w:noWrap/>
            <w:vAlign w:val="center"/>
          </w:tcPr>
          <w:p w14:paraId="55044FF7"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2.5</w:t>
            </w:r>
          </w:p>
        </w:tc>
        <w:tc>
          <w:tcPr>
            <w:tcW w:w="407" w:type="pct"/>
            <w:noWrap/>
            <w:vAlign w:val="center"/>
          </w:tcPr>
          <w:p w14:paraId="217CA973"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5.0</w:t>
            </w:r>
          </w:p>
        </w:tc>
        <w:tc>
          <w:tcPr>
            <w:tcW w:w="407" w:type="pct"/>
            <w:noWrap/>
            <w:vAlign w:val="center"/>
          </w:tcPr>
          <w:p w14:paraId="467D57C6"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7.5</w:t>
            </w:r>
          </w:p>
        </w:tc>
        <w:tc>
          <w:tcPr>
            <w:tcW w:w="407" w:type="pct"/>
            <w:noWrap/>
            <w:vAlign w:val="center"/>
          </w:tcPr>
          <w:p w14:paraId="519D2D35"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0.0</w:t>
            </w:r>
          </w:p>
        </w:tc>
        <w:tc>
          <w:tcPr>
            <w:tcW w:w="407" w:type="pct"/>
            <w:noWrap/>
            <w:vAlign w:val="center"/>
          </w:tcPr>
          <w:p w14:paraId="15DC21C6"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5.0</w:t>
            </w:r>
          </w:p>
        </w:tc>
        <w:tc>
          <w:tcPr>
            <w:tcW w:w="407" w:type="pct"/>
            <w:noWrap/>
            <w:vAlign w:val="center"/>
          </w:tcPr>
          <w:p w14:paraId="39086267"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5.0</w:t>
            </w:r>
          </w:p>
        </w:tc>
        <w:tc>
          <w:tcPr>
            <w:tcW w:w="327" w:type="pct"/>
            <w:noWrap/>
            <w:vAlign w:val="center"/>
          </w:tcPr>
          <w:p w14:paraId="11B3C91C"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2.5</w:t>
            </w:r>
          </w:p>
        </w:tc>
      </w:tr>
      <w:tr w:rsidR="00DC5685" w:rsidRPr="00A34F10" w14:paraId="020C30CE" w14:textId="77777777" w:rsidTr="000470C3">
        <w:trPr>
          <w:trHeight w:val="283"/>
          <w:jc w:val="center"/>
        </w:trPr>
        <w:tc>
          <w:tcPr>
            <w:tcW w:w="1365" w:type="pct"/>
            <w:noWrap/>
            <w:vAlign w:val="center"/>
          </w:tcPr>
          <w:p w14:paraId="0D1959DB"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Mean number of juveniles</w:t>
            </w:r>
          </w:p>
        </w:tc>
        <w:tc>
          <w:tcPr>
            <w:tcW w:w="461" w:type="pct"/>
            <w:noWrap/>
            <w:vAlign w:val="center"/>
          </w:tcPr>
          <w:p w14:paraId="2098E520"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292.0</w:t>
            </w:r>
          </w:p>
        </w:tc>
        <w:tc>
          <w:tcPr>
            <w:tcW w:w="406" w:type="pct"/>
            <w:noWrap/>
            <w:vAlign w:val="center"/>
          </w:tcPr>
          <w:p w14:paraId="249AC9CE"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305.3</w:t>
            </w:r>
          </w:p>
        </w:tc>
        <w:tc>
          <w:tcPr>
            <w:tcW w:w="407" w:type="pct"/>
            <w:noWrap/>
            <w:vAlign w:val="center"/>
          </w:tcPr>
          <w:p w14:paraId="613C9AC2"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294.0</w:t>
            </w:r>
          </w:p>
        </w:tc>
        <w:tc>
          <w:tcPr>
            <w:tcW w:w="407" w:type="pct"/>
            <w:noWrap/>
            <w:vAlign w:val="center"/>
          </w:tcPr>
          <w:p w14:paraId="6D09E3C8"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299.0</w:t>
            </w:r>
          </w:p>
        </w:tc>
        <w:tc>
          <w:tcPr>
            <w:tcW w:w="407" w:type="pct"/>
            <w:noWrap/>
            <w:vAlign w:val="center"/>
          </w:tcPr>
          <w:p w14:paraId="2F7471A8"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308.5</w:t>
            </w:r>
          </w:p>
        </w:tc>
        <w:tc>
          <w:tcPr>
            <w:tcW w:w="407" w:type="pct"/>
            <w:noWrap/>
            <w:vAlign w:val="center"/>
          </w:tcPr>
          <w:p w14:paraId="21391991"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308.3</w:t>
            </w:r>
          </w:p>
        </w:tc>
        <w:tc>
          <w:tcPr>
            <w:tcW w:w="407" w:type="pct"/>
            <w:noWrap/>
            <w:vAlign w:val="center"/>
          </w:tcPr>
          <w:p w14:paraId="269699DB"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297.8</w:t>
            </w:r>
          </w:p>
        </w:tc>
        <w:tc>
          <w:tcPr>
            <w:tcW w:w="407" w:type="pct"/>
            <w:noWrap/>
            <w:vAlign w:val="center"/>
          </w:tcPr>
          <w:p w14:paraId="7A9939A7"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290.5</w:t>
            </w:r>
          </w:p>
        </w:tc>
        <w:tc>
          <w:tcPr>
            <w:tcW w:w="327" w:type="pct"/>
            <w:noWrap/>
            <w:vAlign w:val="center"/>
          </w:tcPr>
          <w:p w14:paraId="6345A65D"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289.3</w:t>
            </w:r>
          </w:p>
        </w:tc>
      </w:tr>
      <w:tr w:rsidR="00DC5685" w:rsidRPr="00A34F10" w14:paraId="3A43BC37" w14:textId="77777777" w:rsidTr="000470C3">
        <w:trPr>
          <w:trHeight w:val="283"/>
          <w:jc w:val="center"/>
        </w:trPr>
        <w:tc>
          <w:tcPr>
            <w:tcW w:w="1365" w:type="pct"/>
            <w:noWrap/>
            <w:vAlign w:val="center"/>
          </w:tcPr>
          <w:p w14:paraId="28B8FB58"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Reproduction in (%) of control</w:t>
            </w:r>
          </w:p>
        </w:tc>
        <w:tc>
          <w:tcPr>
            <w:tcW w:w="461" w:type="pct"/>
            <w:noWrap/>
            <w:vAlign w:val="center"/>
          </w:tcPr>
          <w:p w14:paraId="5B8F34C3"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100</w:t>
            </w:r>
          </w:p>
        </w:tc>
        <w:tc>
          <w:tcPr>
            <w:tcW w:w="406" w:type="pct"/>
            <w:noWrap/>
            <w:vAlign w:val="center"/>
          </w:tcPr>
          <w:p w14:paraId="1FE80CDC"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105</w:t>
            </w:r>
          </w:p>
        </w:tc>
        <w:tc>
          <w:tcPr>
            <w:tcW w:w="407" w:type="pct"/>
            <w:noWrap/>
            <w:vAlign w:val="center"/>
          </w:tcPr>
          <w:p w14:paraId="24421C9B"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101</w:t>
            </w:r>
          </w:p>
        </w:tc>
        <w:tc>
          <w:tcPr>
            <w:tcW w:w="407" w:type="pct"/>
            <w:noWrap/>
            <w:vAlign w:val="center"/>
          </w:tcPr>
          <w:p w14:paraId="17502121"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102</w:t>
            </w:r>
          </w:p>
        </w:tc>
        <w:tc>
          <w:tcPr>
            <w:tcW w:w="407" w:type="pct"/>
            <w:noWrap/>
            <w:vAlign w:val="center"/>
          </w:tcPr>
          <w:p w14:paraId="7813B904"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106</w:t>
            </w:r>
          </w:p>
        </w:tc>
        <w:tc>
          <w:tcPr>
            <w:tcW w:w="407" w:type="pct"/>
            <w:noWrap/>
            <w:vAlign w:val="center"/>
          </w:tcPr>
          <w:p w14:paraId="27ADB9FA"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106</w:t>
            </w:r>
          </w:p>
        </w:tc>
        <w:tc>
          <w:tcPr>
            <w:tcW w:w="407" w:type="pct"/>
            <w:noWrap/>
            <w:vAlign w:val="center"/>
          </w:tcPr>
          <w:p w14:paraId="4EC47879"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102</w:t>
            </w:r>
          </w:p>
        </w:tc>
        <w:tc>
          <w:tcPr>
            <w:tcW w:w="407" w:type="pct"/>
            <w:noWrap/>
            <w:vAlign w:val="center"/>
          </w:tcPr>
          <w:p w14:paraId="624E8CD3"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99</w:t>
            </w:r>
          </w:p>
        </w:tc>
        <w:tc>
          <w:tcPr>
            <w:tcW w:w="327" w:type="pct"/>
            <w:noWrap/>
            <w:vAlign w:val="center"/>
          </w:tcPr>
          <w:p w14:paraId="7A7D76CE"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18"/>
                <w:lang w:eastAsia="de-DE"/>
              </w:rPr>
              <w:t>99</w:t>
            </w:r>
          </w:p>
        </w:tc>
      </w:tr>
      <w:tr w:rsidR="00DC5685" w:rsidRPr="00A34F10" w14:paraId="08264A92" w14:textId="77777777" w:rsidTr="000470C3">
        <w:trPr>
          <w:trHeight w:val="283"/>
          <w:jc w:val="center"/>
        </w:trPr>
        <w:tc>
          <w:tcPr>
            <w:tcW w:w="1365" w:type="pct"/>
            <w:tcBorders>
              <w:top w:val="nil"/>
              <w:left w:val="single" w:sz="4" w:space="0" w:color="auto"/>
              <w:bottom w:val="nil"/>
              <w:right w:val="nil"/>
            </w:tcBorders>
            <w:noWrap/>
            <w:vAlign w:val="center"/>
          </w:tcPr>
          <w:p w14:paraId="53985BBA" w14:textId="77777777" w:rsidR="00DC5685" w:rsidRPr="00A34F10" w:rsidRDefault="00DC5685" w:rsidP="00DC5685">
            <w:pPr>
              <w:keepNext/>
              <w:keepLines/>
              <w:tabs>
                <w:tab w:val="left" w:pos="720"/>
              </w:tabs>
              <w:jc w:val="center"/>
              <w:rPr>
                <w:rFonts w:ascii="Times New Roman" w:hAnsi="Times New Roman"/>
                <w:b/>
                <w:sz w:val="20"/>
                <w:szCs w:val="20"/>
                <w:highlight w:val="yellow"/>
              </w:rPr>
            </w:pPr>
          </w:p>
        </w:tc>
        <w:tc>
          <w:tcPr>
            <w:tcW w:w="3635" w:type="pct"/>
            <w:gridSpan w:val="9"/>
            <w:tcBorders>
              <w:left w:val="nil"/>
            </w:tcBorders>
            <w:vAlign w:val="center"/>
          </w:tcPr>
          <w:p w14:paraId="1703CEEE" w14:textId="77777777" w:rsidR="00DC5685" w:rsidRPr="00A34F10" w:rsidRDefault="00DC5685" w:rsidP="00DC5685">
            <w:pPr>
              <w:keepNext/>
              <w:keepLines/>
              <w:tabs>
                <w:tab w:val="left" w:pos="720"/>
              </w:tabs>
              <w:jc w:val="center"/>
              <w:rPr>
                <w:rFonts w:ascii="Times New Roman" w:hAnsi="Times New Roman"/>
                <w:b/>
                <w:sz w:val="20"/>
                <w:szCs w:val="20"/>
                <w:highlight w:val="yellow"/>
              </w:rPr>
            </w:pPr>
            <w:r w:rsidRPr="00A34F10">
              <w:rPr>
                <w:rFonts w:ascii="Times New Roman" w:hAnsi="Times New Roman"/>
                <w:b/>
                <w:sz w:val="20"/>
                <w:szCs w:val="20"/>
              </w:rPr>
              <w:t>Endpoint (mg product/kg soil dw)</w:t>
            </w:r>
          </w:p>
        </w:tc>
      </w:tr>
      <w:tr w:rsidR="00DC5685" w:rsidRPr="00A34F10" w14:paraId="4A565C86" w14:textId="77777777" w:rsidTr="000470C3">
        <w:trPr>
          <w:trHeight w:val="283"/>
          <w:jc w:val="center"/>
        </w:trPr>
        <w:tc>
          <w:tcPr>
            <w:tcW w:w="1365" w:type="pct"/>
            <w:noWrap/>
            <w:vAlign w:val="center"/>
          </w:tcPr>
          <w:p w14:paraId="400768CE"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NOEC (mortality)</w:t>
            </w:r>
          </w:p>
        </w:tc>
        <w:tc>
          <w:tcPr>
            <w:tcW w:w="3635" w:type="pct"/>
            <w:gridSpan w:val="9"/>
            <w:noWrap/>
            <w:vAlign w:val="center"/>
          </w:tcPr>
          <w:p w14:paraId="774C6F4A"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4C789D43" w14:textId="77777777" w:rsidTr="000470C3">
        <w:trPr>
          <w:trHeight w:val="283"/>
          <w:jc w:val="center"/>
        </w:trPr>
        <w:tc>
          <w:tcPr>
            <w:tcW w:w="1365" w:type="pct"/>
            <w:noWrap/>
            <w:vAlign w:val="center"/>
          </w:tcPr>
          <w:p w14:paraId="6E285738"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NOEC (reproduction)</w:t>
            </w:r>
          </w:p>
        </w:tc>
        <w:tc>
          <w:tcPr>
            <w:tcW w:w="3635" w:type="pct"/>
            <w:gridSpan w:val="9"/>
            <w:noWrap/>
            <w:vAlign w:val="center"/>
          </w:tcPr>
          <w:p w14:paraId="1CA6F7AE"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5B9C8EA8" w14:textId="77777777" w:rsidTr="000470C3">
        <w:trPr>
          <w:trHeight w:val="283"/>
          <w:jc w:val="center"/>
        </w:trPr>
        <w:tc>
          <w:tcPr>
            <w:tcW w:w="1365" w:type="pct"/>
            <w:noWrap/>
            <w:vAlign w:val="center"/>
          </w:tcPr>
          <w:p w14:paraId="4A35DF04"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LC</w:t>
            </w:r>
            <w:r w:rsidRPr="00A34F10">
              <w:rPr>
                <w:rFonts w:ascii="Times New Roman" w:hAnsi="Times New Roman"/>
                <w:sz w:val="20"/>
                <w:szCs w:val="20"/>
                <w:vertAlign w:val="subscript"/>
              </w:rPr>
              <w:t>50</w:t>
            </w:r>
            <w:r w:rsidRPr="00A34F10">
              <w:rPr>
                <w:rFonts w:ascii="Times New Roman" w:hAnsi="Times New Roman"/>
                <w:sz w:val="20"/>
                <w:szCs w:val="20"/>
              </w:rPr>
              <w:t xml:space="preserve"> (mortality)</w:t>
            </w:r>
            <w:r w:rsidRPr="00A34F10">
              <w:rPr>
                <w:rFonts w:ascii="Times New Roman" w:hAnsi="Times New Roman"/>
                <w:sz w:val="20"/>
                <w:szCs w:val="20"/>
                <w:vertAlign w:val="superscript"/>
              </w:rPr>
              <w:t>1</w:t>
            </w:r>
          </w:p>
        </w:tc>
        <w:tc>
          <w:tcPr>
            <w:tcW w:w="3635" w:type="pct"/>
            <w:gridSpan w:val="9"/>
            <w:noWrap/>
            <w:vAlign w:val="center"/>
          </w:tcPr>
          <w:p w14:paraId="0FB987D4"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&gt; 1000</w:t>
            </w:r>
          </w:p>
        </w:tc>
      </w:tr>
      <w:tr w:rsidR="00DC5685" w:rsidRPr="00A34F10" w14:paraId="1B3AEB47" w14:textId="77777777" w:rsidTr="000470C3">
        <w:trPr>
          <w:trHeight w:val="283"/>
          <w:jc w:val="center"/>
        </w:trPr>
        <w:tc>
          <w:tcPr>
            <w:tcW w:w="1365" w:type="pct"/>
            <w:noWrap/>
            <w:vAlign w:val="center"/>
          </w:tcPr>
          <w:p w14:paraId="2019972E"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 xml:space="preserve">10 </w:t>
            </w:r>
            <w:r w:rsidRPr="00A34F10">
              <w:rPr>
                <w:rFonts w:ascii="Times New Roman" w:hAnsi="Times New Roman"/>
                <w:sz w:val="20"/>
                <w:szCs w:val="20"/>
              </w:rPr>
              <w:t>(reproduction)</w:t>
            </w:r>
            <w:r w:rsidRPr="00A34F10">
              <w:rPr>
                <w:rFonts w:ascii="Times New Roman" w:hAnsi="Times New Roman"/>
                <w:sz w:val="20"/>
                <w:szCs w:val="20"/>
                <w:vertAlign w:val="superscript"/>
              </w:rPr>
              <w:t>1</w:t>
            </w:r>
          </w:p>
        </w:tc>
        <w:tc>
          <w:tcPr>
            <w:tcW w:w="3635" w:type="pct"/>
            <w:gridSpan w:val="9"/>
            <w:noWrap/>
            <w:vAlign w:val="center"/>
          </w:tcPr>
          <w:p w14:paraId="10C97284"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sym w:font="Symbol" w:char="F0B3"/>
            </w:r>
            <w:r w:rsidRPr="00A34F10">
              <w:rPr>
                <w:rFonts w:ascii="Times New Roman" w:hAnsi="Times New Roman"/>
                <w:sz w:val="20"/>
                <w:szCs w:val="20"/>
              </w:rPr>
              <w:t xml:space="preserve"> 1000</w:t>
            </w:r>
          </w:p>
        </w:tc>
      </w:tr>
      <w:tr w:rsidR="00DC5685" w:rsidRPr="00A34F10" w14:paraId="247C1691" w14:textId="77777777" w:rsidTr="000470C3">
        <w:trPr>
          <w:trHeight w:val="283"/>
          <w:jc w:val="center"/>
        </w:trPr>
        <w:tc>
          <w:tcPr>
            <w:tcW w:w="1365" w:type="pct"/>
            <w:noWrap/>
            <w:vAlign w:val="center"/>
          </w:tcPr>
          <w:p w14:paraId="3E60B48C"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20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1</w:t>
            </w:r>
          </w:p>
        </w:tc>
        <w:tc>
          <w:tcPr>
            <w:tcW w:w="3635" w:type="pct"/>
            <w:gridSpan w:val="9"/>
            <w:noWrap/>
            <w:vAlign w:val="center"/>
          </w:tcPr>
          <w:p w14:paraId="1EFB29B7"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&gt; 1000</w:t>
            </w:r>
          </w:p>
        </w:tc>
      </w:tr>
      <w:tr w:rsidR="00DC5685" w:rsidRPr="00A34F10" w14:paraId="09755C0A" w14:textId="77777777" w:rsidTr="000470C3">
        <w:trPr>
          <w:trHeight w:val="283"/>
          <w:jc w:val="center"/>
        </w:trPr>
        <w:tc>
          <w:tcPr>
            <w:tcW w:w="1365" w:type="pct"/>
            <w:noWrap/>
            <w:vAlign w:val="center"/>
          </w:tcPr>
          <w:p w14:paraId="477A7E49"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EC</w:t>
            </w:r>
            <w:r w:rsidRPr="00A34F10">
              <w:rPr>
                <w:rFonts w:ascii="Times New Roman" w:hAnsi="Times New Roman"/>
                <w:sz w:val="20"/>
                <w:szCs w:val="20"/>
                <w:vertAlign w:val="subscript"/>
              </w:rPr>
              <w:t>50</w:t>
            </w:r>
            <w:r w:rsidRPr="00A34F10">
              <w:rPr>
                <w:rFonts w:ascii="Times New Roman" w:hAnsi="Times New Roman"/>
                <w:sz w:val="20"/>
                <w:szCs w:val="20"/>
              </w:rPr>
              <w:t xml:space="preserve"> (reproduction)</w:t>
            </w:r>
            <w:r w:rsidRPr="00A34F10">
              <w:rPr>
                <w:rFonts w:ascii="Times New Roman" w:hAnsi="Times New Roman"/>
                <w:sz w:val="20"/>
                <w:szCs w:val="20"/>
                <w:vertAlign w:val="superscript"/>
              </w:rPr>
              <w:t>1</w:t>
            </w:r>
          </w:p>
        </w:tc>
        <w:tc>
          <w:tcPr>
            <w:tcW w:w="3635" w:type="pct"/>
            <w:gridSpan w:val="9"/>
            <w:noWrap/>
            <w:vAlign w:val="center"/>
          </w:tcPr>
          <w:p w14:paraId="414B868B" w14:textId="77777777" w:rsidR="00DC5685" w:rsidRPr="00A34F10" w:rsidRDefault="00DC5685" w:rsidP="00DC5685">
            <w:pPr>
              <w:keepNext/>
              <w:keepLines/>
              <w:tabs>
                <w:tab w:val="left" w:pos="720"/>
              </w:tabs>
              <w:jc w:val="center"/>
              <w:rPr>
                <w:rFonts w:ascii="Times New Roman" w:hAnsi="Times New Roman"/>
                <w:sz w:val="20"/>
                <w:szCs w:val="20"/>
              </w:rPr>
            </w:pPr>
            <w:r w:rsidRPr="00A34F10">
              <w:rPr>
                <w:rFonts w:ascii="Times New Roman" w:hAnsi="Times New Roman"/>
                <w:sz w:val="20"/>
                <w:szCs w:val="20"/>
              </w:rPr>
              <w:t>&gt; 1000</w:t>
            </w:r>
          </w:p>
        </w:tc>
      </w:tr>
    </w:tbl>
    <w:p w14:paraId="7658A16E" w14:textId="77777777" w:rsidR="00DC5685" w:rsidRPr="00A34F10" w:rsidRDefault="00DC5685" w:rsidP="00DC5685">
      <w:pPr>
        <w:keepNext/>
        <w:keepLines/>
        <w:widowControl w:val="0"/>
        <w:suppressAutoHyphens/>
        <w:spacing w:before="40"/>
        <w:jc w:val="both"/>
        <w:rPr>
          <w:sz w:val="16"/>
          <w:szCs w:val="20"/>
        </w:rPr>
      </w:pPr>
      <w:r w:rsidRPr="00A34F10">
        <w:rPr>
          <w:sz w:val="16"/>
          <w:szCs w:val="20"/>
        </w:rPr>
        <w:t>1) Based on estimation.</w:t>
      </w:r>
    </w:p>
    <w:p w14:paraId="4135E2D6" w14:textId="77777777" w:rsidR="00DC5685" w:rsidRPr="00A34F10" w:rsidRDefault="00DC5685" w:rsidP="00DC5685">
      <w:pPr>
        <w:keepNext/>
        <w:keepLines/>
        <w:widowControl w:val="0"/>
        <w:suppressAutoHyphens/>
        <w:spacing w:after="240"/>
        <w:jc w:val="both"/>
        <w:rPr>
          <w:sz w:val="18"/>
          <w:szCs w:val="20"/>
        </w:rPr>
      </w:pPr>
      <w:r w:rsidRPr="00A34F10">
        <w:rPr>
          <w:sz w:val="18"/>
          <w:szCs w:val="20"/>
        </w:rPr>
        <w:t>The calculations were performed with unrounded values.</w:t>
      </w:r>
    </w:p>
    <w:p w14:paraId="4B4BF88B" w14:textId="77777777" w:rsidR="00DC5685" w:rsidRPr="00A34F10" w:rsidRDefault="00DC5685" w:rsidP="00DC5685">
      <w:pPr>
        <w:tabs>
          <w:tab w:val="left" w:pos="720"/>
        </w:tabs>
        <w:spacing w:after="240"/>
        <w:jc w:val="both"/>
        <w:rPr>
          <w:szCs w:val="24"/>
          <w:highlight w:val="yellow"/>
          <w:lang w:val="en-GB"/>
        </w:rPr>
      </w:pPr>
      <w:r w:rsidRPr="00A34F10">
        <w:t>In a separate study (BioChem project No. 22 48 THC 0015, dated: 06 May 2022), the EC</w:t>
      </w:r>
      <w:r w:rsidRPr="00A34F10">
        <w:rPr>
          <w:vertAlign w:val="subscript"/>
        </w:rPr>
        <w:t>50</w:t>
      </w:r>
      <w:r w:rsidRPr="00A34F10">
        <w:t xml:space="preserve"> (reproduction) of the reference item Dimethoate 400 EC (400 g/L, nominal) was calculated to be 4.93 mg a.s./kg soil dw The results of the reference test demonstrate the sensitivity of the test system.</w:t>
      </w:r>
    </w:p>
    <w:p w14:paraId="3C8ACD4E" w14:textId="77777777" w:rsidR="00DC5685" w:rsidRPr="00A34F10" w:rsidRDefault="00DC5685" w:rsidP="00E05ECD">
      <w:pPr>
        <w:keepNext/>
        <w:keepLines/>
        <w:numPr>
          <w:ilvl w:val="0"/>
          <w:numId w:val="90"/>
        </w:numPr>
        <w:ind w:left="357" w:hanging="357"/>
        <w:rPr>
          <w:b/>
          <w:bCs/>
          <w:caps/>
          <w:szCs w:val="24"/>
          <w:lang w:val="en-GB"/>
        </w:rPr>
      </w:pPr>
      <w:r w:rsidRPr="00A34F10">
        <w:rPr>
          <w:b/>
          <w:bCs/>
          <w:caps/>
          <w:szCs w:val="24"/>
          <w:lang w:val="en-GB"/>
        </w:rPr>
        <w:t>VALIDITY CRITERIA</w:t>
      </w:r>
    </w:p>
    <w:p w14:paraId="33F2F6E3" w14:textId="77777777" w:rsidR="00DC5685" w:rsidRPr="00A34F10" w:rsidRDefault="00DC5685" w:rsidP="00DC5685">
      <w:pPr>
        <w:tabs>
          <w:tab w:val="left" w:pos="0"/>
        </w:tabs>
        <w:ind w:left="357" w:hanging="357"/>
        <w:contextualSpacing/>
        <w:rPr>
          <w:szCs w:val="24"/>
          <w:highlight w:val="yellow"/>
          <w:lang w:val="en-GB"/>
        </w:rPr>
      </w:pPr>
    </w:p>
    <w:p w14:paraId="0AF63C3C" w14:textId="241A0A95" w:rsidR="00DC5685" w:rsidRPr="00A34F10" w:rsidRDefault="00DC5685" w:rsidP="00DC5685">
      <w:pPr>
        <w:tabs>
          <w:tab w:val="left" w:pos="720"/>
        </w:tabs>
        <w:jc w:val="both"/>
        <w:rPr>
          <w:szCs w:val="24"/>
          <w:lang w:val="en-GB"/>
        </w:rPr>
      </w:pPr>
      <w:r w:rsidRPr="00A34F10">
        <w:rPr>
          <w:szCs w:val="24"/>
          <w:lang w:val="en-GB"/>
        </w:rPr>
        <w:t>All validity criteria were met (</w:t>
      </w:r>
      <w:r w:rsidR="000F2188">
        <w:rPr>
          <w:szCs w:val="24"/>
          <w:lang w:val="en-GB"/>
        </w:rPr>
        <w:fldChar w:fldCharType="begin"/>
      </w:r>
      <w:r w:rsidR="000F2188">
        <w:rPr>
          <w:szCs w:val="24"/>
          <w:lang w:val="en-GB"/>
        </w:rPr>
        <w:instrText xml:space="preserve"> REF _Ref147912387 \h </w:instrText>
      </w:r>
      <w:r w:rsidR="000F2188">
        <w:rPr>
          <w:szCs w:val="24"/>
          <w:lang w:val="en-GB"/>
        </w:rPr>
      </w:r>
      <w:r w:rsidR="000F2188">
        <w:rPr>
          <w:szCs w:val="24"/>
          <w:lang w:val="en-GB"/>
        </w:rPr>
        <w:fldChar w:fldCharType="separate"/>
      </w:r>
      <w:r w:rsidR="006F0F3B">
        <w:t xml:space="preserve">Table A </w:t>
      </w:r>
      <w:r w:rsidR="006F0F3B">
        <w:rPr>
          <w:noProof/>
        </w:rPr>
        <w:t>83</w:t>
      </w:r>
      <w:r w:rsidR="000F2188">
        <w:rPr>
          <w:szCs w:val="24"/>
          <w:lang w:val="en-GB"/>
        </w:rPr>
        <w:fldChar w:fldCharType="end"/>
      </w:r>
      <w:r w:rsidRPr="00A34F10">
        <w:rPr>
          <w:szCs w:val="24"/>
          <w:lang w:val="en-GB"/>
        </w:rPr>
        <w:t>).</w:t>
      </w:r>
    </w:p>
    <w:p w14:paraId="23716E24" w14:textId="77777777" w:rsidR="00DC5685" w:rsidRPr="00A34F10" w:rsidRDefault="00DC5685" w:rsidP="00DC5685">
      <w:pPr>
        <w:tabs>
          <w:tab w:val="left" w:pos="720"/>
        </w:tabs>
        <w:jc w:val="both"/>
        <w:rPr>
          <w:szCs w:val="24"/>
          <w:highlight w:val="yellow"/>
          <w:lang w:val="en-GB"/>
        </w:rPr>
      </w:pPr>
    </w:p>
    <w:p w14:paraId="519B1239" w14:textId="419171C6" w:rsidR="00DC5685" w:rsidRPr="0060455A" w:rsidRDefault="000F2188" w:rsidP="000F2188">
      <w:pPr>
        <w:pStyle w:val="Legenda"/>
        <w:rPr>
          <w:szCs w:val="28"/>
        </w:rPr>
      </w:pPr>
      <w:bookmarkStart w:id="1172" w:name="_Ref147912387"/>
      <w:r>
        <w:t xml:space="preserve">Table A </w:t>
      </w:r>
      <w:r>
        <w:fldChar w:fldCharType="begin"/>
      </w:r>
      <w:r>
        <w:instrText xml:space="preserve"> SEQ Table_A \* ARABIC </w:instrText>
      </w:r>
      <w:r>
        <w:fldChar w:fldCharType="separate"/>
      </w:r>
      <w:r w:rsidR="006F0F3B">
        <w:rPr>
          <w:noProof/>
        </w:rPr>
        <w:t>83</w:t>
      </w:r>
      <w:r>
        <w:fldChar w:fldCharType="end"/>
      </w:r>
      <w:bookmarkEnd w:id="1172"/>
      <w:r w:rsidR="00DC5685" w:rsidRPr="0060455A">
        <w:rPr>
          <w:szCs w:val="28"/>
        </w:rPr>
        <w:t>:</w:t>
      </w:r>
      <w:r w:rsidR="0060455A" w:rsidRPr="0060455A">
        <w:rPr>
          <w:szCs w:val="28"/>
        </w:rPr>
        <w:tab/>
      </w:r>
      <w:r w:rsidR="00DC5685" w:rsidRPr="0060455A">
        <w:rPr>
          <w:szCs w:val="28"/>
        </w:rPr>
        <w:t xml:space="preserve"> Validity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441"/>
        <w:gridCol w:w="2056"/>
      </w:tblGrid>
      <w:tr w:rsidR="00DC5685" w:rsidRPr="00A34F10" w14:paraId="5A38CE4F" w14:textId="77777777" w:rsidTr="000470C3">
        <w:trPr>
          <w:trHeight w:val="270"/>
        </w:trPr>
        <w:tc>
          <w:tcPr>
            <w:tcW w:w="7441" w:type="dxa"/>
            <w:shd w:val="clear" w:color="auto" w:fill="auto"/>
            <w:noWrap/>
            <w:hideMark/>
          </w:tcPr>
          <w:p w14:paraId="451708EC"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Validity criteria according to OECD 226 (2016)</w:t>
            </w:r>
          </w:p>
        </w:tc>
        <w:tc>
          <w:tcPr>
            <w:tcW w:w="2056" w:type="dxa"/>
            <w:shd w:val="clear" w:color="auto" w:fill="auto"/>
            <w:noWrap/>
            <w:hideMark/>
          </w:tcPr>
          <w:p w14:paraId="1FBE1503" w14:textId="77777777" w:rsidR="00DC5685" w:rsidRPr="00A34F10" w:rsidRDefault="00DC5685" w:rsidP="00DC5685">
            <w:pPr>
              <w:tabs>
                <w:tab w:val="left" w:pos="720"/>
              </w:tabs>
              <w:spacing w:before="40" w:after="40"/>
              <w:rPr>
                <w:b/>
                <w:bCs/>
                <w:sz w:val="20"/>
                <w:szCs w:val="20"/>
                <w:lang w:val="en-GB"/>
              </w:rPr>
            </w:pPr>
            <w:r w:rsidRPr="00A34F10">
              <w:rPr>
                <w:b/>
                <w:bCs/>
                <w:sz w:val="20"/>
                <w:szCs w:val="20"/>
                <w:lang w:val="en-GB"/>
              </w:rPr>
              <w:t>Obtained in this study</w:t>
            </w:r>
          </w:p>
        </w:tc>
      </w:tr>
      <w:tr w:rsidR="00DC5685" w:rsidRPr="00A34F10" w14:paraId="66899BAE" w14:textId="77777777" w:rsidTr="000470C3">
        <w:trPr>
          <w:trHeight w:val="270"/>
        </w:trPr>
        <w:tc>
          <w:tcPr>
            <w:tcW w:w="7441" w:type="dxa"/>
            <w:shd w:val="clear" w:color="auto" w:fill="auto"/>
            <w:noWrap/>
          </w:tcPr>
          <w:p w14:paraId="504F8BB5"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In the control(s), mean mortality of adult females must be ≤20%</w:t>
            </w:r>
          </w:p>
        </w:tc>
        <w:tc>
          <w:tcPr>
            <w:tcW w:w="2056" w:type="dxa"/>
            <w:shd w:val="clear" w:color="auto" w:fill="auto"/>
            <w:noWrap/>
          </w:tcPr>
          <w:p w14:paraId="16AF84E2"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5.0%</w:t>
            </w:r>
          </w:p>
        </w:tc>
      </w:tr>
      <w:tr w:rsidR="00DC5685" w:rsidRPr="00A34F10" w14:paraId="1D24E34F" w14:textId="77777777" w:rsidTr="000470C3">
        <w:trPr>
          <w:trHeight w:val="270"/>
        </w:trPr>
        <w:tc>
          <w:tcPr>
            <w:tcW w:w="7441" w:type="dxa"/>
            <w:shd w:val="clear" w:color="auto" w:fill="auto"/>
            <w:noWrap/>
          </w:tcPr>
          <w:p w14:paraId="48264A49"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mean number of juveniles per replicate must be ≥50</w:t>
            </w:r>
          </w:p>
        </w:tc>
        <w:tc>
          <w:tcPr>
            <w:tcW w:w="2056" w:type="dxa"/>
            <w:shd w:val="clear" w:color="auto" w:fill="auto"/>
            <w:noWrap/>
          </w:tcPr>
          <w:p w14:paraId="7FFCB7D2"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292.0</w:t>
            </w:r>
          </w:p>
        </w:tc>
      </w:tr>
      <w:tr w:rsidR="00DC5685" w:rsidRPr="00A34F10" w14:paraId="04DD2B28" w14:textId="77777777" w:rsidTr="000470C3">
        <w:trPr>
          <w:trHeight w:val="270"/>
        </w:trPr>
        <w:tc>
          <w:tcPr>
            <w:tcW w:w="7441" w:type="dxa"/>
            <w:shd w:val="clear" w:color="auto" w:fill="auto"/>
            <w:noWrap/>
          </w:tcPr>
          <w:p w14:paraId="2B311675" w14:textId="77777777" w:rsidR="00DC5685" w:rsidRPr="00A34F10" w:rsidRDefault="00DC5685" w:rsidP="00DC5685">
            <w:pPr>
              <w:tabs>
                <w:tab w:val="left" w:pos="720"/>
              </w:tabs>
              <w:autoSpaceDE w:val="0"/>
              <w:autoSpaceDN w:val="0"/>
              <w:adjustRightInd w:val="0"/>
              <w:spacing w:before="40" w:after="40"/>
              <w:rPr>
                <w:rFonts w:eastAsia="Calibri"/>
                <w:sz w:val="20"/>
                <w:szCs w:val="20"/>
                <w:lang w:val="en-GB"/>
              </w:rPr>
            </w:pPr>
            <w:r w:rsidRPr="00A34F10">
              <w:rPr>
                <w:rFonts w:eastAsia="Calibri"/>
                <w:sz w:val="20"/>
                <w:szCs w:val="20"/>
                <w:lang w:val="en-GB"/>
              </w:rPr>
              <w:t>In the control(s), the coefficient of variation for the mean number of juveniles per replicate must be ≤30%</w:t>
            </w:r>
          </w:p>
        </w:tc>
        <w:tc>
          <w:tcPr>
            <w:tcW w:w="2056" w:type="dxa"/>
            <w:shd w:val="clear" w:color="auto" w:fill="auto"/>
            <w:noWrap/>
          </w:tcPr>
          <w:p w14:paraId="1537484B" w14:textId="77777777" w:rsidR="00DC5685" w:rsidRPr="00A34F10" w:rsidRDefault="00DC5685" w:rsidP="00DC5685">
            <w:pPr>
              <w:tabs>
                <w:tab w:val="left" w:pos="720"/>
              </w:tabs>
              <w:spacing w:before="40" w:after="40"/>
              <w:rPr>
                <w:sz w:val="20"/>
                <w:szCs w:val="20"/>
                <w:lang w:val="en-GB"/>
              </w:rPr>
            </w:pPr>
            <w:r w:rsidRPr="00A34F10">
              <w:rPr>
                <w:sz w:val="20"/>
                <w:szCs w:val="20"/>
                <w:lang w:val="en-GB"/>
              </w:rPr>
              <w:t>4.0%</w:t>
            </w:r>
          </w:p>
        </w:tc>
      </w:tr>
    </w:tbl>
    <w:p w14:paraId="33CD6311" w14:textId="77777777" w:rsidR="00DC5685" w:rsidRPr="00A34F10" w:rsidRDefault="00DC5685" w:rsidP="00E05ECD">
      <w:pPr>
        <w:numPr>
          <w:ilvl w:val="0"/>
          <w:numId w:val="90"/>
        </w:numPr>
        <w:spacing w:before="360"/>
        <w:ind w:left="357" w:hanging="357"/>
        <w:rPr>
          <w:b/>
          <w:bCs/>
          <w:caps/>
          <w:szCs w:val="24"/>
          <w:lang w:val="en-GB"/>
        </w:rPr>
      </w:pPr>
      <w:r w:rsidRPr="00A34F10">
        <w:rPr>
          <w:b/>
          <w:bCs/>
          <w:caps/>
          <w:szCs w:val="24"/>
          <w:lang w:val="en-GB"/>
        </w:rPr>
        <w:t>DEFICIENCIES</w:t>
      </w:r>
    </w:p>
    <w:p w14:paraId="695E4C3B" w14:textId="77777777" w:rsidR="00DC5685" w:rsidRPr="00A34F10" w:rsidRDefault="00DC5685" w:rsidP="00DC5685">
      <w:pPr>
        <w:ind w:left="357"/>
        <w:rPr>
          <w:b/>
          <w:bCs/>
          <w:caps/>
          <w:szCs w:val="24"/>
          <w:lang w:val="en-GB"/>
        </w:rPr>
      </w:pPr>
    </w:p>
    <w:p w14:paraId="619F5118" w14:textId="136A05FF" w:rsidR="000F2188" w:rsidRDefault="00DC5685" w:rsidP="00DC5685">
      <w:pPr>
        <w:tabs>
          <w:tab w:val="left" w:pos="720"/>
        </w:tabs>
        <w:spacing w:after="240"/>
        <w:jc w:val="both"/>
        <w:rPr>
          <w:szCs w:val="24"/>
          <w:lang w:val="en-GB"/>
        </w:rPr>
      </w:pPr>
      <w:r w:rsidRPr="00A34F10">
        <w:rPr>
          <w:szCs w:val="24"/>
          <w:lang w:val="en-GB"/>
        </w:rPr>
        <w:t>There were no deficiencies.</w:t>
      </w:r>
    </w:p>
    <w:p w14:paraId="37F6E182" w14:textId="77777777" w:rsidR="00DC5685" w:rsidRPr="00A34F10" w:rsidRDefault="00DC5685" w:rsidP="00DC5685">
      <w:pPr>
        <w:tabs>
          <w:tab w:val="left" w:pos="720"/>
        </w:tabs>
        <w:spacing w:after="240"/>
        <w:ind w:left="720" w:hanging="431"/>
        <w:jc w:val="center"/>
        <w:rPr>
          <w:b/>
          <w:bCs/>
          <w:caps/>
          <w:szCs w:val="24"/>
          <w:lang w:val="en-GB"/>
        </w:rPr>
      </w:pPr>
      <w:r w:rsidRPr="00A34F10">
        <w:rPr>
          <w:b/>
          <w:bCs/>
          <w:caps/>
          <w:szCs w:val="24"/>
          <w:lang w:val="en-GB"/>
        </w:rPr>
        <w:t>III.</w:t>
      </w:r>
      <w:r w:rsidRPr="00A34F10">
        <w:rPr>
          <w:b/>
          <w:bCs/>
          <w:caps/>
          <w:szCs w:val="24"/>
          <w:lang w:val="en-GB"/>
        </w:rPr>
        <w:tab/>
        <w:t>Conclusion</w:t>
      </w:r>
    </w:p>
    <w:p w14:paraId="1535FF43" w14:textId="5958D695" w:rsidR="00DC5685" w:rsidRDefault="00DC5685" w:rsidP="00DC5685">
      <w:pPr>
        <w:widowControl w:val="0"/>
        <w:jc w:val="both"/>
        <w:rPr>
          <w:bCs/>
        </w:rPr>
      </w:pPr>
      <w:r w:rsidRPr="00A34F10">
        <w:rPr>
          <w:bCs/>
        </w:rPr>
        <w:t xml:space="preserve">In a 14-day </w:t>
      </w:r>
      <w:r w:rsidRPr="00A34F10">
        <w:rPr>
          <w:bCs/>
          <w:i/>
        </w:rPr>
        <w:t>Hypoaspis aculeifer</w:t>
      </w:r>
      <w:r w:rsidRPr="00A34F10">
        <w:rPr>
          <w:bCs/>
        </w:rPr>
        <w:t xml:space="preserve"> reproduction study with BAS 743 02 F, the LC</w:t>
      </w:r>
      <w:r w:rsidRPr="00A34F10">
        <w:rPr>
          <w:bCs/>
          <w:vertAlign w:val="subscript"/>
        </w:rPr>
        <w:t>50</w:t>
      </w:r>
      <w:r w:rsidRPr="00A34F10">
        <w:rPr>
          <w:bCs/>
        </w:rPr>
        <w:t>, EC</w:t>
      </w:r>
      <w:r w:rsidRPr="00A34F10">
        <w:rPr>
          <w:bCs/>
          <w:vertAlign w:val="subscript"/>
        </w:rPr>
        <w:t>10</w:t>
      </w:r>
      <w:r w:rsidRPr="00A34F10">
        <w:rPr>
          <w:bCs/>
        </w:rPr>
        <w:t>, EC</w:t>
      </w:r>
      <w:r w:rsidRPr="00A34F10">
        <w:rPr>
          <w:bCs/>
          <w:vertAlign w:val="subscript"/>
        </w:rPr>
        <w:t>20</w:t>
      </w:r>
      <w:r w:rsidRPr="00A34F10">
        <w:rPr>
          <w:bCs/>
        </w:rPr>
        <w:t xml:space="preserve"> and EC</w:t>
      </w:r>
      <w:r w:rsidRPr="00A34F10">
        <w:rPr>
          <w:bCs/>
          <w:vertAlign w:val="subscript"/>
        </w:rPr>
        <w:t>50</w:t>
      </w:r>
      <w:r w:rsidRPr="00A34F10">
        <w:rPr>
          <w:bCs/>
        </w:rPr>
        <w:t xml:space="preserve"> values could not be calculated, but it can be concluded that these values are &gt; 1000 mg product/kg soil dw, respectively. The NOEC for mortality and for reproduction were determined to be ≥ 1000 mg </w:t>
      </w:r>
      <w:r w:rsidRPr="00A34F10">
        <w:t>product</w:t>
      </w:r>
      <w:r w:rsidRPr="00A34F10">
        <w:rPr>
          <w:bCs/>
        </w:rPr>
        <w:t>/kg dry soil, the highest concentration tested.</w:t>
      </w:r>
    </w:p>
    <w:p w14:paraId="402CEE4B" w14:textId="16BE76C2" w:rsidR="00067435" w:rsidRDefault="00067435" w:rsidP="00DC5685">
      <w:pPr>
        <w:widowControl w:val="0"/>
        <w:jc w:val="both"/>
        <w:rPr>
          <w:bCs/>
        </w:rPr>
      </w:pPr>
    </w:p>
    <w:p w14:paraId="2C42CA8B" w14:textId="77777777" w:rsidR="008D2927" w:rsidRDefault="008D2927">
      <w:pPr>
        <w:rPr>
          <w:b/>
          <w:bCs/>
          <w:color w:val="000000" w:themeColor="text1"/>
          <w:sz w:val="24"/>
        </w:rPr>
      </w:pPr>
      <w:r>
        <w:rPr>
          <w:color w:val="000000" w:themeColor="text1"/>
        </w:rPr>
        <w:br w:type="page"/>
      </w:r>
    </w:p>
    <w:p w14:paraId="330D4DBB" w14:textId="48241B94" w:rsidR="00067435" w:rsidRDefault="00067435" w:rsidP="00067435">
      <w:pPr>
        <w:pStyle w:val="RepAppendix5"/>
        <w:suppressAutoHyphens/>
        <w:outlineLvl w:val="2"/>
        <w:rPr>
          <w:color w:val="000000" w:themeColor="text1"/>
        </w:rPr>
      </w:pPr>
      <w:r w:rsidRPr="00570B52">
        <w:rPr>
          <w:color w:val="000000" w:themeColor="text1"/>
        </w:rPr>
        <w:lastRenderedPageBreak/>
        <w:t xml:space="preserve">Study </w:t>
      </w:r>
      <w:r>
        <w:rPr>
          <w:color w:val="000000" w:themeColor="text1"/>
        </w:rPr>
        <w:t>3</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A26547" w:rsidRPr="00570B52" w14:paraId="7403EA9C" w14:textId="77777777" w:rsidTr="000576ED">
        <w:tc>
          <w:tcPr>
            <w:tcW w:w="1063" w:type="pct"/>
            <w:shd w:val="clear" w:color="auto" w:fill="D9D9D9" w:themeFill="background1" w:themeFillShade="D9"/>
          </w:tcPr>
          <w:p w14:paraId="38D5787F" w14:textId="77777777" w:rsidR="00A26547" w:rsidRPr="00570B52" w:rsidRDefault="00A26547" w:rsidP="003F171E">
            <w:pPr>
              <w:pStyle w:val="RepStandard"/>
              <w:rPr>
                <w:rFonts w:eastAsia="Batang"/>
                <w:color w:val="000000" w:themeColor="text1"/>
              </w:rPr>
            </w:pPr>
            <w:r w:rsidRPr="00570B52">
              <w:rPr>
                <w:color w:val="000000" w:themeColor="text1"/>
              </w:rPr>
              <w:t>Comments of zRMS:</w:t>
            </w:r>
          </w:p>
        </w:tc>
        <w:tc>
          <w:tcPr>
            <w:tcW w:w="3937" w:type="pct"/>
            <w:shd w:val="clear" w:color="auto" w:fill="D9D9D9" w:themeFill="background1" w:themeFillShade="D9"/>
          </w:tcPr>
          <w:p w14:paraId="707C84EA" w14:textId="4DF26933" w:rsidR="00A26547" w:rsidRPr="00570B52" w:rsidRDefault="000576ED" w:rsidP="003F171E">
            <w:pPr>
              <w:pStyle w:val="RepStandard"/>
              <w:ind w:left="85"/>
              <w:rPr>
                <w:rFonts w:eastAsia="Batang"/>
                <w:color w:val="000000" w:themeColor="text1"/>
              </w:rPr>
            </w:pPr>
            <w:r>
              <w:rPr>
                <w:rFonts w:eastAsia="Batang"/>
                <w:color w:val="000000" w:themeColor="text1"/>
              </w:rPr>
              <w:t xml:space="preserve">Study not evaluated. </w:t>
            </w:r>
          </w:p>
        </w:tc>
      </w:tr>
    </w:tbl>
    <w:p w14:paraId="554C4833" w14:textId="77777777" w:rsidR="00A26547" w:rsidRDefault="00A26547" w:rsidP="00A26547">
      <w:pPr>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A26547" w:rsidRPr="007D02C1" w14:paraId="04B10BAF" w14:textId="77777777" w:rsidTr="003F171E">
        <w:trPr>
          <w:trHeight w:val="227"/>
          <w:jc w:val="center"/>
        </w:trPr>
        <w:tc>
          <w:tcPr>
            <w:tcW w:w="1364" w:type="pct"/>
          </w:tcPr>
          <w:p w14:paraId="6A7AAB29" w14:textId="77777777" w:rsidR="00A26547" w:rsidRPr="006C137C" w:rsidRDefault="00A26547" w:rsidP="003F171E">
            <w:pPr>
              <w:pStyle w:val="RepStandard"/>
              <w:spacing w:after="120"/>
            </w:pPr>
            <w:r w:rsidRPr="006C137C">
              <w:t xml:space="preserve">Data point: </w:t>
            </w:r>
          </w:p>
        </w:tc>
        <w:tc>
          <w:tcPr>
            <w:tcW w:w="3636" w:type="pct"/>
          </w:tcPr>
          <w:p w14:paraId="7F052D8A" w14:textId="77777777" w:rsidR="00A26547" w:rsidRPr="00660146" w:rsidRDefault="00A26547" w:rsidP="003F171E">
            <w:pPr>
              <w:pStyle w:val="RepStandard"/>
              <w:spacing w:after="120"/>
            </w:pPr>
            <w:r w:rsidRPr="006C137C">
              <w:t>CP 10.4.2.1/03</w:t>
            </w:r>
          </w:p>
        </w:tc>
      </w:tr>
      <w:tr w:rsidR="00A26547" w:rsidRPr="007D02C1" w14:paraId="79E02B3F" w14:textId="77777777" w:rsidTr="003F171E">
        <w:trPr>
          <w:trHeight w:val="227"/>
          <w:jc w:val="center"/>
        </w:trPr>
        <w:tc>
          <w:tcPr>
            <w:tcW w:w="1364" w:type="pct"/>
          </w:tcPr>
          <w:p w14:paraId="1719F87E" w14:textId="77777777" w:rsidR="00A26547" w:rsidRPr="00660146" w:rsidRDefault="00A26547" w:rsidP="003F171E">
            <w:pPr>
              <w:pStyle w:val="RepStandard"/>
              <w:spacing w:after="120"/>
            </w:pPr>
            <w:r w:rsidRPr="00660146">
              <w:t xml:space="preserve">Report </w:t>
            </w:r>
          </w:p>
        </w:tc>
        <w:tc>
          <w:tcPr>
            <w:tcW w:w="3636" w:type="pct"/>
          </w:tcPr>
          <w:p w14:paraId="5A5EAAED" w14:textId="77777777" w:rsidR="00A26547" w:rsidRPr="00D5386B" w:rsidRDefault="00A26547" w:rsidP="003F171E">
            <w:pPr>
              <w:widowControl w:val="0"/>
              <w:spacing w:after="120"/>
              <w:jc w:val="both"/>
              <w:rPr>
                <w:i/>
                <w:sz w:val="20"/>
                <w:szCs w:val="20"/>
                <w:lang w:val="en-GB"/>
              </w:rPr>
            </w:pPr>
            <w:r w:rsidRPr="00D5386B">
              <w:rPr>
                <w:lang w:val="en-GB"/>
              </w:rPr>
              <w:t xml:space="preserve">Effects of BAS 650 00 F on the reproduction of the collembolans </w:t>
            </w:r>
            <w:r w:rsidRPr="00D5386B">
              <w:rPr>
                <w:i/>
                <w:lang w:val="en-GB"/>
              </w:rPr>
              <w:t>Folsomia candida</w:t>
            </w:r>
            <w:r w:rsidRPr="00D5386B">
              <w:rPr>
                <w:lang w:val="en-GB"/>
              </w:rPr>
              <w:t xml:space="preserve"> in artificial soil with 5% peat</w:t>
            </w:r>
          </w:p>
          <w:p w14:paraId="7CD025ED" w14:textId="77777777" w:rsidR="00A26547" w:rsidRPr="00A26547" w:rsidRDefault="00A26547" w:rsidP="003F171E">
            <w:pPr>
              <w:pStyle w:val="RepStandard"/>
              <w:spacing w:after="120"/>
              <w:rPr>
                <w:lang w:val="de-DE"/>
              </w:rPr>
            </w:pPr>
            <w:r w:rsidRPr="00A26547">
              <w:rPr>
                <w:lang w:val="de-DE"/>
              </w:rPr>
              <w:t>Friedrich, S., 2007</w:t>
            </w:r>
          </w:p>
          <w:p w14:paraId="584C0183" w14:textId="77777777" w:rsidR="00A26547" w:rsidRPr="00A26547" w:rsidRDefault="00A26547" w:rsidP="003F171E">
            <w:pPr>
              <w:pStyle w:val="RepStandard"/>
              <w:spacing w:after="120"/>
              <w:rPr>
                <w:lang w:val="de-DE"/>
              </w:rPr>
            </w:pPr>
            <w:r w:rsidRPr="00A26547">
              <w:rPr>
                <w:lang w:val="de-DE"/>
              </w:rPr>
              <w:t>Report No EU-275161, EU-07 10 48 042 S, EU-86 14 33</w:t>
            </w:r>
          </w:p>
          <w:p w14:paraId="76E2E7B6" w14:textId="2D8EBB39" w:rsidR="00A26547" w:rsidRPr="00660146" w:rsidRDefault="00D007AB" w:rsidP="003F171E">
            <w:pPr>
              <w:pStyle w:val="RepStandard"/>
              <w:spacing w:after="120"/>
            </w:pPr>
            <w:r>
              <w:t>XXXX</w:t>
            </w:r>
            <w:r w:rsidR="00A26547" w:rsidRPr="00660146">
              <w:t xml:space="preserve"> Doc ID: </w:t>
            </w:r>
            <w:r w:rsidR="00A26547" w:rsidRPr="00D5386B">
              <w:t>2007/1037734</w:t>
            </w:r>
          </w:p>
        </w:tc>
      </w:tr>
      <w:tr w:rsidR="00A26547" w:rsidRPr="007D02C1" w14:paraId="2E16956E" w14:textId="77777777" w:rsidTr="003F171E">
        <w:trPr>
          <w:trHeight w:val="227"/>
          <w:jc w:val="center"/>
        </w:trPr>
        <w:tc>
          <w:tcPr>
            <w:tcW w:w="1364" w:type="pct"/>
          </w:tcPr>
          <w:p w14:paraId="27E81317" w14:textId="77777777" w:rsidR="00A26547" w:rsidRPr="00660146" w:rsidRDefault="00A26547" w:rsidP="003F171E">
            <w:pPr>
              <w:pStyle w:val="RepStandard"/>
              <w:spacing w:after="120"/>
            </w:pPr>
            <w:r w:rsidRPr="00660146">
              <w:t>Guideline</w:t>
            </w:r>
            <w:r>
              <w:t>(</w:t>
            </w:r>
            <w:r w:rsidRPr="00660146">
              <w:t>s</w:t>
            </w:r>
            <w:r>
              <w:t>)</w:t>
            </w:r>
            <w:r w:rsidRPr="00660146">
              <w:t xml:space="preserve">: </w:t>
            </w:r>
          </w:p>
        </w:tc>
        <w:tc>
          <w:tcPr>
            <w:tcW w:w="3636" w:type="pct"/>
            <w:shd w:val="clear" w:color="auto" w:fill="auto"/>
          </w:tcPr>
          <w:p w14:paraId="0D310EEF" w14:textId="77777777" w:rsidR="00A26547" w:rsidRPr="00660146" w:rsidRDefault="00A26547" w:rsidP="003F171E">
            <w:pPr>
              <w:pStyle w:val="RepStandard"/>
              <w:spacing w:after="120"/>
            </w:pPr>
            <w:r w:rsidRPr="00FA17D2">
              <w:rPr>
                <w:lang w:val="en-GB"/>
              </w:rPr>
              <w:t>ISO 11267 (1999)</w:t>
            </w:r>
          </w:p>
        </w:tc>
      </w:tr>
      <w:tr w:rsidR="00A26547" w:rsidRPr="007D02C1" w14:paraId="584109EC" w14:textId="77777777" w:rsidTr="003F171E">
        <w:trPr>
          <w:trHeight w:val="227"/>
          <w:jc w:val="center"/>
        </w:trPr>
        <w:tc>
          <w:tcPr>
            <w:tcW w:w="1364" w:type="pct"/>
          </w:tcPr>
          <w:p w14:paraId="336F760D" w14:textId="77777777" w:rsidR="00A26547" w:rsidRPr="00660146" w:rsidRDefault="00A26547" w:rsidP="003F171E">
            <w:pPr>
              <w:pStyle w:val="RepStandard"/>
              <w:spacing w:after="120"/>
            </w:pPr>
            <w:r w:rsidRPr="00660146">
              <w:t xml:space="preserve">Deviations: </w:t>
            </w:r>
          </w:p>
        </w:tc>
        <w:tc>
          <w:tcPr>
            <w:tcW w:w="3636" w:type="pct"/>
            <w:shd w:val="clear" w:color="auto" w:fill="auto"/>
          </w:tcPr>
          <w:p w14:paraId="5610A970" w14:textId="77777777" w:rsidR="00A26547" w:rsidRPr="00660146" w:rsidRDefault="00A26547" w:rsidP="003F171E">
            <w:pPr>
              <w:pStyle w:val="RepStandard"/>
              <w:spacing w:after="120"/>
            </w:pPr>
            <w:r w:rsidRPr="00660146">
              <w:t>No</w:t>
            </w:r>
          </w:p>
        </w:tc>
      </w:tr>
      <w:tr w:rsidR="00A26547" w:rsidRPr="007D02C1" w14:paraId="4F22DFBA" w14:textId="77777777" w:rsidTr="003F171E">
        <w:trPr>
          <w:trHeight w:val="227"/>
          <w:jc w:val="center"/>
        </w:trPr>
        <w:tc>
          <w:tcPr>
            <w:tcW w:w="1364" w:type="pct"/>
          </w:tcPr>
          <w:p w14:paraId="52269393" w14:textId="77777777" w:rsidR="00A26547" w:rsidRPr="00660146" w:rsidRDefault="00A26547" w:rsidP="003F171E">
            <w:pPr>
              <w:pStyle w:val="RepStandard"/>
              <w:spacing w:after="120"/>
            </w:pPr>
            <w:r w:rsidRPr="00660146">
              <w:t>GLP:</w:t>
            </w:r>
          </w:p>
        </w:tc>
        <w:tc>
          <w:tcPr>
            <w:tcW w:w="3636" w:type="pct"/>
          </w:tcPr>
          <w:p w14:paraId="2CF85D5F" w14:textId="77777777" w:rsidR="00A26547" w:rsidRPr="00660146" w:rsidRDefault="00A26547" w:rsidP="003F171E">
            <w:pPr>
              <w:pStyle w:val="RepStandard"/>
              <w:spacing w:after="120"/>
            </w:pPr>
            <w:r w:rsidRPr="00660146">
              <w:t>Yes, GLP</w:t>
            </w:r>
          </w:p>
        </w:tc>
      </w:tr>
      <w:tr w:rsidR="00A26547" w:rsidRPr="007D02C1" w14:paraId="00057960" w14:textId="77777777" w:rsidTr="003F171E">
        <w:trPr>
          <w:trHeight w:val="227"/>
          <w:jc w:val="center"/>
        </w:trPr>
        <w:tc>
          <w:tcPr>
            <w:tcW w:w="1364" w:type="pct"/>
          </w:tcPr>
          <w:p w14:paraId="07EDB0B9" w14:textId="77777777" w:rsidR="00A26547" w:rsidRPr="00660146" w:rsidRDefault="00A26547" w:rsidP="003F171E">
            <w:pPr>
              <w:pStyle w:val="RepStandard"/>
              <w:spacing w:after="120"/>
            </w:pPr>
            <w:r w:rsidRPr="00660146">
              <w:t xml:space="preserve">Acceptability: </w:t>
            </w:r>
          </w:p>
        </w:tc>
        <w:tc>
          <w:tcPr>
            <w:tcW w:w="3636" w:type="pct"/>
          </w:tcPr>
          <w:p w14:paraId="44A16DFE" w14:textId="77777777" w:rsidR="00A26547" w:rsidRPr="00660146" w:rsidRDefault="00A26547" w:rsidP="003F171E">
            <w:pPr>
              <w:pStyle w:val="RepStandard"/>
              <w:spacing w:after="120"/>
            </w:pPr>
            <w:r w:rsidRPr="00660146">
              <w:t>Yes</w:t>
            </w:r>
          </w:p>
        </w:tc>
      </w:tr>
    </w:tbl>
    <w:p w14:paraId="6D0E1204" w14:textId="77777777" w:rsidR="00A26547" w:rsidRDefault="00A26547" w:rsidP="00A26547">
      <w:pPr>
        <w:pStyle w:val="RepStandard"/>
        <w:rPr>
          <w:bCs/>
          <w:lang w:val="en-GB"/>
        </w:rPr>
      </w:pPr>
    </w:p>
    <w:p w14:paraId="4FD621DC" w14:textId="77777777" w:rsidR="00A26547" w:rsidRPr="00FA17D2" w:rsidRDefault="00A26547" w:rsidP="00A26547">
      <w:pPr>
        <w:rPr>
          <w:b/>
          <w:szCs w:val="32"/>
          <w:lang w:val="en-GB"/>
        </w:rPr>
      </w:pPr>
      <w:r w:rsidRPr="00FA17D2">
        <w:rPr>
          <w:b/>
          <w:szCs w:val="32"/>
          <w:lang w:val="en-GB"/>
        </w:rPr>
        <w:t>Executive Summary</w:t>
      </w:r>
    </w:p>
    <w:p w14:paraId="64DDC6AB" w14:textId="77777777" w:rsidR="00A26547" w:rsidRPr="00225A6F" w:rsidRDefault="00A26547" w:rsidP="00A26547">
      <w:pPr>
        <w:rPr>
          <w:b/>
          <w:szCs w:val="32"/>
          <w:highlight w:val="yellow"/>
          <w:lang w:val="en-GB"/>
        </w:rPr>
      </w:pPr>
    </w:p>
    <w:p w14:paraId="2B1B6E7B" w14:textId="77777777" w:rsidR="00A26547" w:rsidRPr="00D5386B" w:rsidRDefault="00A26547" w:rsidP="00A26547">
      <w:pPr>
        <w:widowControl w:val="0"/>
        <w:suppressAutoHyphens/>
        <w:jc w:val="both"/>
        <w:rPr>
          <w:lang w:val="en-GB"/>
        </w:rPr>
      </w:pPr>
      <w:r w:rsidRPr="00D5386B">
        <w:rPr>
          <w:lang w:val="en-GB"/>
        </w:rPr>
        <w:t xml:space="preserve">The effects of BAS 650 00 F on survival and reproduction of the collembolan </w:t>
      </w:r>
      <w:r w:rsidRPr="00D5386B">
        <w:rPr>
          <w:i/>
          <w:iCs/>
          <w:lang w:val="en-GB"/>
        </w:rPr>
        <w:t>Folsomia candida</w:t>
      </w:r>
      <w:r w:rsidRPr="00D5386B">
        <w:rPr>
          <w:lang w:val="en-GB"/>
        </w:rPr>
        <w:t xml:space="preserve"> were investigated in a laboratory study over 28 days. The test item was incorporated into the soil at concentrations of 62.5, 125, 250, 500, and 1000 mg BAS 650 00 F/kg dry soil. For the control treatment, the soil was left untreated. The artificial test soil had an organic content of 5% (peat). Assessment of mortality of the adults and reproduction (number of juveniles) was carried out after 28 days. </w:t>
      </w:r>
    </w:p>
    <w:p w14:paraId="566A2EC9" w14:textId="77777777" w:rsidR="00A26547" w:rsidRPr="00D5386B" w:rsidRDefault="00A26547" w:rsidP="00A26547">
      <w:pPr>
        <w:widowControl w:val="0"/>
        <w:suppressAutoHyphens/>
        <w:jc w:val="both"/>
        <w:rPr>
          <w:lang w:val="en-GB"/>
        </w:rPr>
      </w:pPr>
    </w:p>
    <w:p w14:paraId="4291C783" w14:textId="77777777" w:rsidR="00A26547" w:rsidRPr="00D5386B" w:rsidRDefault="00A26547" w:rsidP="00A26547">
      <w:pPr>
        <w:widowControl w:val="0"/>
        <w:suppressAutoHyphens/>
        <w:jc w:val="both"/>
        <w:rPr>
          <w:lang w:val="en-GB"/>
        </w:rPr>
      </w:pPr>
      <w:r w:rsidRPr="00D5386B">
        <w:rPr>
          <w:lang w:val="en-GB"/>
        </w:rPr>
        <w:t>At the control, a mortality rate of 2% was observed. At the test item concentrations, mortality rates were between 2% and 4%. These mortalities were not statistically significantly different compared to the control.</w:t>
      </w:r>
    </w:p>
    <w:p w14:paraId="6D9FB50B" w14:textId="77777777" w:rsidR="00A26547" w:rsidRPr="00D5386B" w:rsidRDefault="00A26547" w:rsidP="00A26547">
      <w:pPr>
        <w:widowControl w:val="0"/>
        <w:suppressAutoHyphens/>
        <w:jc w:val="both"/>
        <w:rPr>
          <w:lang w:val="en-GB"/>
        </w:rPr>
      </w:pPr>
      <w:r w:rsidRPr="00D5386B">
        <w:rPr>
          <w:lang w:val="en-GB"/>
        </w:rPr>
        <w:t>In the control, a mean of 455.6 juveniles was counted. In the treatment groups, a mean number of juveniles between 359.4 and 482.4 were counted. This is corresponding to a reproduction relative to the control between 79% and 106%. No differences in reproduction were recorded.</w:t>
      </w:r>
    </w:p>
    <w:p w14:paraId="22F159A3" w14:textId="77777777" w:rsidR="00A26547" w:rsidRPr="00D5386B" w:rsidRDefault="00A26547" w:rsidP="00A26547">
      <w:pPr>
        <w:widowControl w:val="0"/>
        <w:suppressAutoHyphens/>
        <w:jc w:val="both"/>
        <w:rPr>
          <w:lang w:val="en-GB"/>
        </w:rPr>
      </w:pPr>
    </w:p>
    <w:p w14:paraId="200898C2" w14:textId="77777777" w:rsidR="00A26547" w:rsidRPr="00D5386B" w:rsidRDefault="00A26547" w:rsidP="00A26547">
      <w:pPr>
        <w:widowControl w:val="0"/>
        <w:suppressAutoHyphens/>
        <w:jc w:val="both"/>
        <w:rPr>
          <w:bCs/>
          <w:lang w:val="en-GB"/>
        </w:rPr>
      </w:pPr>
      <w:r w:rsidRPr="00D5386B">
        <w:rPr>
          <w:bCs/>
          <w:lang w:val="en-GB"/>
        </w:rPr>
        <w:t>In a 28-day reproduction study with BAS 650 00 F on springtails, the NOEC was 1000 mg BAS 650 00 F/kg dry soil. The LC</w:t>
      </w:r>
      <w:r w:rsidRPr="00D5386B">
        <w:rPr>
          <w:bCs/>
          <w:vertAlign w:val="subscript"/>
          <w:lang w:val="en-GB"/>
        </w:rPr>
        <w:t>50</w:t>
      </w:r>
      <w:r w:rsidRPr="00D5386B">
        <w:rPr>
          <w:bCs/>
          <w:lang w:val="en-GB"/>
        </w:rPr>
        <w:t xml:space="preserve"> and EC</w:t>
      </w:r>
      <w:r w:rsidRPr="00D5386B">
        <w:rPr>
          <w:bCs/>
          <w:vertAlign w:val="subscript"/>
          <w:lang w:val="en-GB"/>
        </w:rPr>
        <w:t>50</w:t>
      </w:r>
      <w:r w:rsidRPr="00D5386B">
        <w:rPr>
          <w:bCs/>
          <w:lang w:val="en-GB"/>
        </w:rPr>
        <w:t xml:space="preserve"> was determined to be &gt; 1000 mg BAS 650 00 F/kg dry soil.</w:t>
      </w:r>
    </w:p>
    <w:p w14:paraId="04D91C74" w14:textId="77777777" w:rsidR="00A26547" w:rsidRDefault="00A26547" w:rsidP="00A26547">
      <w:pPr>
        <w:tabs>
          <w:tab w:val="left" w:pos="720"/>
        </w:tabs>
        <w:spacing w:after="240"/>
        <w:jc w:val="both"/>
        <w:rPr>
          <w:lang w:val="en-GB"/>
        </w:rPr>
      </w:pPr>
    </w:p>
    <w:p w14:paraId="66AF6EF3" w14:textId="69C57649" w:rsidR="00A26547" w:rsidRPr="00FA17D2" w:rsidRDefault="00A26547" w:rsidP="00A26547">
      <w:pPr>
        <w:tabs>
          <w:tab w:val="left" w:pos="720"/>
        </w:tabs>
        <w:spacing w:after="240"/>
        <w:ind w:left="720" w:hanging="431"/>
        <w:contextualSpacing/>
        <w:jc w:val="center"/>
        <w:rPr>
          <w:rFonts w:ascii="Times New Roman Bold" w:hAnsi="Times New Roman Bold"/>
          <w:b/>
          <w:bCs/>
          <w:caps/>
          <w:szCs w:val="24"/>
          <w:lang w:val="en-GB"/>
        </w:rPr>
      </w:pPr>
      <w:r w:rsidRPr="00794A3B">
        <w:rPr>
          <w:rFonts w:ascii="Times New Roman Bold" w:hAnsi="Times New Roman Bold"/>
          <w:b/>
          <w:bCs/>
          <w:caps/>
          <w:szCs w:val="24"/>
          <w:lang w:val="en-GB"/>
        </w:rPr>
        <w:t>I.</w:t>
      </w:r>
      <w:r w:rsidRPr="00794A3B">
        <w:rPr>
          <w:rFonts w:ascii="Times New Roman Bold" w:hAnsi="Times New Roman Bold"/>
          <w:b/>
          <w:bCs/>
          <w:caps/>
          <w:szCs w:val="24"/>
          <w:lang w:val="en-GB"/>
        </w:rPr>
        <w:tab/>
        <w:t>MATERIALS</w:t>
      </w:r>
      <w:r w:rsidRPr="00FA17D2">
        <w:rPr>
          <w:rFonts w:ascii="Times New Roman Bold" w:hAnsi="Times New Roman Bold"/>
          <w:b/>
          <w:bCs/>
          <w:caps/>
          <w:szCs w:val="24"/>
          <w:lang w:val="en-GB"/>
        </w:rPr>
        <w:t xml:space="preserve"> AND METHODS</w:t>
      </w:r>
    </w:p>
    <w:p w14:paraId="734053E4" w14:textId="77777777" w:rsidR="00A26547" w:rsidRPr="00FA17D2" w:rsidRDefault="00A26547" w:rsidP="00A26547">
      <w:pPr>
        <w:tabs>
          <w:tab w:val="left" w:pos="0"/>
        </w:tabs>
        <w:ind w:left="357" w:hanging="357"/>
        <w:contextualSpacing/>
        <w:rPr>
          <w:rFonts w:ascii="Times New Roman Bold" w:hAnsi="Times New Roman Bold"/>
          <w:b/>
          <w:bCs/>
          <w:caps/>
          <w:szCs w:val="24"/>
          <w:lang w:val="en-GB"/>
        </w:rPr>
      </w:pPr>
      <w:r w:rsidRPr="00FA17D2">
        <w:rPr>
          <w:rFonts w:ascii="Times New Roman Bold" w:hAnsi="Times New Roman Bold"/>
          <w:b/>
          <w:bCs/>
          <w:caps/>
          <w:szCs w:val="24"/>
          <w:lang w:val="en-GB"/>
        </w:rPr>
        <w:t>A.</w:t>
      </w:r>
      <w:r w:rsidRPr="00FA17D2">
        <w:rPr>
          <w:rFonts w:ascii="Times New Roman Bold" w:hAnsi="Times New Roman Bold"/>
          <w:b/>
          <w:bCs/>
          <w:caps/>
          <w:szCs w:val="24"/>
          <w:lang w:val="en-GB"/>
        </w:rPr>
        <w:tab/>
        <w:t>MATERIALS</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A26547" w:rsidRPr="00FA17D2" w14:paraId="012153AF" w14:textId="77777777" w:rsidTr="003F171E">
        <w:trPr>
          <w:cantSplit/>
          <w:trHeight w:hRule="exact" w:val="340"/>
        </w:trPr>
        <w:tc>
          <w:tcPr>
            <w:tcW w:w="3969" w:type="dxa"/>
          </w:tcPr>
          <w:p w14:paraId="05DF3616" w14:textId="77777777" w:rsidR="00A26547" w:rsidRPr="00FA17D2" w:rsidRDefault="00A26547" w:rsidP="00E05ECD">
            <w:pPr>
              <w:numPr>
                <w:ilvl w:val="0"/>
                <w:numId w:val="118"/>
              </w:numPr>
              <w:tabs>
                <w:tab w:val="left" w:pos="255"/>
              </w:tabs>
              <w:spacing w:after="240"/>
              <w:contextualSpacing/>
              <w:rPr>
                <w:rFonts w:ascii="Times New Roman" w:hAnsi="Times New Roman"/>
                <w:b/>
                <w:bCs/>
                <w:szCs w:val="24"/>
                <w:lang w:val="en-GB"/>
              </w:rPr>
            </w:pPr>
            <w:r w:rsidRPr="00FA17D2">
              <w:rPr>
                <w:rFonts w:ascii="Times New Roman" w:hAnsi="Times New Roman"/>
                <w:b/>
                <w:bCs/>
                <w:szCs w:val="24"/>
                <w:lang w:val="en-GB"/>
              </w:rPr>
              <w:t>Test item:</w:t>
            </w:r>
          </w:p>
        </w:tc>
        <w:tc>
          <w:tcPr>
            <w:tcW w:w="5381" w:type="dxa"/>
          </w:tcPr>
          <w:p w14:paraId="5F2A9EF7"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BAS 650 00 F</w:t>
            </w:r>
          </w:p>
        </w:tc>
      </w:tr>
      <w:tr w:rsidR="00A26547" w:rsidRPr="00FA17D2" w14:paraId="270B0496" w14:textId="77777777" w:rsidTr="003F171E">
        <w:trPr>
          <w:cantSplit/>
          <w:trHeight w:hRule="exact" w:val="340"/>
        </w:trPr>
        <w:tc>
          <w:tcPr>
            <w:tcW w:w="3969" w:type="dxa"/>
          </w:tcPr>
          <w:p w14:paraId="76940DE7"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Lot/Batch:</w:t>
            </w:r>
          </w:p>
        </w:tc>
        <w:tc>
          <w:tcPr>
            <w:tcW w:w="5381" w:type="dxa"/>
          </w:tcPr>
          <w:p w14:paraId="28E65301"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41022</w:t>
            </w:r>
          </w:p>
        </w:tc>
      </w:tr>
      <w:tr w:rsidR="00A26547" w:rsidRPr="000D68B0" w14:paraId="1C28E204" w14:textId="77777777" w:rsidTr="003F171E">
        <w:trPr>
          <w:cantSplit/>
          <w:trHeight w:hRule="exact" w:val="637"/>
        </w:trPr>
        <w:tc>
          <w:tcPr>
            <w:tcW w:w="3969" w:type="dxa"/>
          </w:tcPr>
          <w:p w14:paraId="6CBBC34F"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Active substance content:</w:t>
            </w:r>
          </w:p>
        </w:tc>
        <w:tc>
          <w:tcPr>
            <w:tcW w:w="5381" w:type="dxa"/>
          </w:tcPr>
          <w:p w14:paraId="7A409F36"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Ametoctradin (BAS 650 F, Reg. No. 4 993 353), 204.4 g/L (nominal: 200.0 g/L)</w:t>
            </w:r>
          </w:p>
        </w:tc>
      </w:tr>
      <w:tr w:rsidR="00A26547" w:rsidRPr="00FA17D2" w14:paraId="2BE80F0F" w14:textId="77777777" w:rsidTr="003F171E">
        <w:trPr>
          <w:cantSplit/>
          <w:trHeight w:hRule="exact" w:val="340"/>
        </w:trPr>
        <w:tc>
          <w:tcPr>
            <w:tcW w:w="3969" w:type="dxa"/>
          </w:tcPr>
          <w:p w14:paraId="67736F9E"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Density:</w:t>
            </w:r>
          </w:p>
        </w:tc>
        <w:tc>
          <w:tcPr>
            <w:tcW w:w="5381" w:type="dxa"/>
          </w:tcPr>
          <w:p w14:paraId="528DFB21"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1.049 g/cm</w:t>
            </w:r>
            <w:r w:rsidRPr="00FA17D2">
              <w:rPr>
                <w:rFonts w:ascii="Times New Roman" w:hAnsi="Times New Roman"/>
                <w:szCs w:val="24"/>
                <w:vertAlign w:val="superscript"/>
                <w:lang w:val="en-GB"/>
              </w:rPr>
              <w:t>3</w:t>
            </w:r>
          </w:p>
        </w:tc>
      </w:tr>
      <w:tr w:rsidR="00A26547" w:rsidRPr="00FA17D2" w14:paraId="14E3587E" w14:textId="77777777" w:rsidTr="003F171E">
        <w:trPr>
          <w:cantSplit/>
          <w:trHeight w:hRule="exact" w:val="340"/>
        </w:trPr>
        <w:tc>
          <w:tcPr>
            <w:tcW w:w="3969" w:type="dxa"/>
          </w:tcPr>
          <w:p w14:paraId="009685C6" w14:textId="77777777" w:rsidR="00A26547" w:rsidRPr="00FA17D2" w:rsidRDefault="00A26547" w:rsidP="00E05ECD">
            <w:pPr>
              <w:numPr>
                <w:ilvl w:val="0"/>
                <w:numId w:val="118"/>
              </w:numPr>
              <w:tabs>
                <w:tab w:val="left" w:pos="255"/>
              </w:tabs>
              <w:spacing w:after="240"/>
              <w:contextualSpacing/>
              <w:rPr>
                <w:rFonts w:ascii="Times New Roman" w:hAnsi="Times New Roman"/>
                <w:b/>
                <w:bCs/>
                <w:szCs w:val="24"/>
                <w:lang w:val="en-GB"/>
              </w:rPr>
            </w:pPr>
            <w:r w:rsidRPr="00FA17D2">
              <w:rPr>
                <w:rFonts w:ascii="Times New Roman" w:hAnsi="Times New Roman"/>
                <w:b/>
                <w:bCs/>
                <w:szCs w:val="24"/>
                <w:lang w:val="en-GB"/>
              </w:rPr>
              <w:t>Control:</w:t>
            </w:r>
          </w:p>
        </w:tc>
        <w:tc>
          <w:tcPr>
            <w:tcW w:w="5381" w:type="dxa"/>
          </w:tcPr>
          <w:p w14:paraId="2996AFCF" w14:textId="77777777" w:rsidR="00A26547" w:rsidRPr="00FA17D2" w:rsidRDefault="00A26547" w:rsidP="003F171E">
            <w:pPr>
              <w:tabs>
                <w:tab w:val="left" w:pos="720"/>
              </w:tabs>
              <w:spacing w:after="240"/>
              <w:rPr>
                <w:rFonts w:ascii="Times New Roman" w:hAnsi="Times New Roman"/>
                <w:szCs w:val="24"/>
                <w:lang w:val="en-GB"/>
              </w:rPr>
            </w:pPr>
            <w:r w:rsidRPr="00FA17D2">
              <w:rPr>
                <w:rFonts w:ascii="Times New Roman" w:hAnsi="Times New Roman"/>
                <w:szCs w:val="24"/>
                <w:lang w:val="en-GB"/>
              </w:rPr>
              <w:t>Untreated substrate</w:t>
            </w:r>
          </w:p>
        </w:tc>
      </w:tr>
      <w:tr w:rsidR="00A26547" w:rsidRPr="000D68B0" w14:paraId="2085EEE9" w14:textId="77777777" w:rsidTr="003F171E">
        <w:trPr>
          <w:cantSplit/>
          <w:trHeight w:hRule="exact" w:val="860"/>
        </w:trPr>
        <w:tc>
          <w:tcPr>
            <w:tcW w:w="3969" w:type="dxa"/>
          </w:tcPr>
          <w:p w14:paraId="70C692E7" w14:textId="77777777" w:rsidR="00A26547" w:rsidRPr="00FA17D2" w:rsidRDefault="00A26547" w:rsidP="00E05ECD">
            <w:pPr>
              <w:numPr>
                <w:ilvl w:val="0"/>
                <w:numId w:val="118"/>
              </w:numPr>
              <w:tabs>
                <w:tab w:val="left" w:pos="255"/>
              </w:tabs>
              <w:spacing w:after="240"/>
              <w:contextualSpacing/>
              <w:rPr>
                <w:rFonts w:ascii="Times New Roman" w:hAnsi="Times New Roman"/>
                <w:b/>
                <w:bCs/>
                <w:szCs w:val="24"/>
                <w:lang w:val="en-GB"/>
              </w:rPr>
            </w:pPr>
            <w:r w:rsidRPr="00FA17D2">
              <w:rPr>
                <w:rFonts w:ascii="Times New Roman" w:hAnsi="Times New Roman"/>
                <w:b/>
                <w:bCs/>
                <w:szCs w:val="24"/>
                <w:lang w:val="en-GB"/>
              </w:rPr>
              <w:t>Reference item:</w:t>
            </w:r>
          </w:p>
        </w:tc>
        <w:tc>
          <w:tcPr>
            <w:tcW w:w="5381" w:type="dxa"/>
          </w:tcPr>
          <w:p w14:paraId="0CFEA829"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Betosip (phenmedipham 114 g/L; 15.4% analyzed). The effects of the reference item were investigated in a separate study.</w:t>
            </w:r>
          </w:p>
        </w:tc>
      </w:tr>
    </w:tbl>
    <w:p w14:paraId="4D2B1518" w14:textId="77777777" w:rsidR="00A26547" w:rsidRPr="00225A6F" w:rsidRDefault="00A26547" w:rsidP="00A26547">
      <w:pPr>
        <w:tabs>
          <w:tab w:val="left" w:pos="0"/>
        </w:tabs>
        <w:ind w:left="357" w:hanging="357"/>
        <w:contextualSpacing/>
        <w:rPr>
          <w:b/>
          <w:bCs/>
          <w:caps/>
          <w:szCs w:val="24"/>
          <w:highlight w:val="yellow"/>
          <w:lang w:val="en-GB"/>
        </w:rPr>
      </w:pPr>
    </w:p>
    <w:p w14:paraId="08D51942" w14:textId="77777777" w:rsidR="00A26547" w:rsidRPr="00FA17D2" w:rsidRDefault="00A26547" w:rsidP="00A26547">
      <w:pPr>
        <w:tabs>
          <w:tab w:val="left" w:pos="0"/>
        </w:tabs>
        <w:ind w:left="357" w:hanging="357"/>
        <w:contextualSpacing/>
        <w:rPr>
          <w:b/>
          <w:bCs/>
          <w:caps/>
          <w:szCs w:val="24"/>
          <w:lang w:val="en-GB"/>
        </w:rPr>
      </w:pPr>
      <w:r w:rsidRPr="00FA17D2">
        <w:rPr>
          <w:b/>
          <w:bCs/>
          <w:caps/>
          <w:szCs w:val="24"/>
          <w:lang w:val="en-GB"/>
        </w:rPr>
        <w:t>B.</w:t>
      </w:r>
      <w:r w:rsidRPr="00FA17D2">
        <w:rPr>
          <w:b/>
          <w:bCs/>
          <w:caps/>
          <w:szCs w:val="24"/>
          <w:lang w:val="en-GB"/>
        </w:rPr>
        <w:tab/>
        <w:t>study design and methods</w:t>
      </w:r>
    </w:p>
    <w:p w14:paraId="72369CCA" w14:textId="77777777" w:rsidR="00A26547" w:rsidRPr="00FA17D2" w:rsidRDefault="00A26547" w:rsidP="00A26547">
      <w:pPr>
        <w:tabs>
          <w:tab w:val="left" w:pos="0"/>
        </w:tabs>
        <w:ind w:left="357" w:hanging="357"/>
        <w:contextualSpacing/>
        <w:rPr>
          <w:b/>
          <w:bCs/>
          <w:caps/>
          <w:szCs w:val="24"/>
          <w:lang w:val="en-GB"/>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A26547" w:rsidRPr="00FA17D2" w14:paraId="2A4A9F5C" w14:textId="77777777" w:rsidTr="003F171E">
        <w:trPr>
          <w:trHeight w:hRule="exact" w:val="340"/>
        </w:trPr>
        <w:tc>
          <w:tcPr>
            <w:tcW w:w="3969" w:type="dxa"/>
          </w:tcPr>
          <w:p w14:paraId="3429EAD8" w14:textId="77777777" w:rsidR="00A26547" w:rsidRPr="00FA17D2" w:rsidRDefault="00A26547" w:rsidP="00E05ECD">
            <w:pPr>
              <w:numPr>
                <w:ilvl w:val="0"/>
                <w:numId w:val="118"/>
              </w:numPr>
              <w:tabs>
                <w:tab w:val="left" w:pos="255"/>
                <w:tab w:val="left" w:pos="720"/>
              </w:tabs>
              <w:spacing w:after="240"/>
              <w:contextualSpacing/>
              <w:jc w:val="both"/>
              <w:rPr>
                <w:rFonts w:ascii="Times New Roman" w:hAnsi="Times New Roman"/>
                <w:b/>
                <w:bCs/>
                <w:szCs w:val="24"/>
                <w:lang w:val="en-GB"/>
              </w:rPr>
            </w:pPr>
            <w:r w:rsidRPr="00FA17D2">
              <w:rPr>
                <w:rFonts w:ascii="Times New Roman" w:hAnsi="Times New Roman"/>
                <w:b/>
                <w:bCs/>
                <w:szCs w:val="24"/>
                <w:lang w:val="en-GB"/>
              </w:rPr>
              <w:t>Test species:</w:t>
            </w:r>
          </w:p>
        </w:tc>
        <w:tc>
          <w:tcPr>
            <w:tcW w:w="5381" w:type="dxa"/>
          </w:tcPr>
          <w:p w14:paraId="472324E1"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Collembola (</w:t>
            </w:r>
            <w:r w:rsidRPr="00FA17D2">
              <w:rPr>
                <w:rFonts w:ascii="Times New Roman" w:hAnsi="Times New Roman"/>
                <w:i/>
                <w:iCs/>
                <w:szCs w:val="24"/>
                <w:lang w:val="en-GB"/>
              </w:rPr>
              <w:t>Folsomia candida</w:t>
            </w:r>
            <w:r w:rsidRPr="00FA17D2">
              <w:rPr>
                <w:rFonts w:ascii="Times New Roman" w:hAnsi="Times New Roman"/>
                <w:szCs w:val="24"/>
                <w:lang w:val="en-GB"/>
              </w:rPr>
              <w:t>),</w:t>
            </w:r>
          </w:p>
        </w:tc>
      </w:tr>
      <w:tr w:rsidR="00A26547" w:rsidRPr="00FA17D2" w14:paraId="523C16A9" w14:textId="77777777" w:rsidTr="003F171E">
        <w:trPr>
          <w:trHeight w:hRule="exact" w:val="340"/>
        </w:trPr>
        <w:tc>
          <w:tcPr>
            <w:tcW w:w="3969" w:type="dxa"/>
          </w:tcPr>
          <w:p w14:paraId="0BD05B2D"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lastRenderedPageBreak/>
              <w:t xml:space="preserve">Age/life stage: </w:t>
            </w:r>
          </w:p>
        </w:tc>
        <w:tc>
          <w:tcPr>
            <w:tcW w:w="5381" w:type="dxa"/>
          </w:tcPr>
          <w:p w14:paraId="53467D27"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10 - 12 days old</w:t>
            </w:r>
          </w:p>
        </w:tc>
      </w:tr>
      <w:tr w:rsidR="00A26547" w:rsidRPr="00FA17D2" w14:paraId="01CF26E2" w14:textId="77777777" w:rsidTr="003F171E">
        <w:trPr>
          <w:trHeight w:hRule="exact" w:val="277"/>
        </w:trPr>
        <w:tc>
          <w:tcPr>
            <w:tcW w:w="3969" w:type="dxa"/>
          </w:tcPr>
          <w:p w14:paraId="663E34E6"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Source:</w:t>
            </w:r>
          </w:p>
        </w:tc>
        <w:tc>
          <w:tcPr>
            <w:tcW w:w="5381" w:type="dxa"/>
          </w:tcPr>
          <w:p w14:paraId="7B803DC8"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In-house culture</w:t>
            </w:r>
          </w:p>
        </w:tc>
      </w:tr>
      <w:tr w:rsidR="00A26547" w:rsidRPr="00FA17D2" w14:paraId="2386AD44" w14:textId="77777777" w:rsidTr="003F171E">
        <w:trPr>
          <w:trHeight w:hRule="exact" w:val="340"/>
        </w:trPr>
        <w:tc>
          <w:tcPr>
            <w:tcW w:w="3969" w:type="dxa"/>
          </w:tcPr>
          <w:p w14:paraId="03135E15" w14:textId="77777777" w:rsidR="00A26547" w:rsidRPr="00FA17D2" w:rsidRDefault="00A26547" w:rsidP="00E05ECD">
            <w:pPr>
              <w:numPr>
                <w:ilvl w:val="0"/>
                <w:numId w:val="118"/>
              </w:numPr>
              <w:tabs>
                <w:tab w:val="left" w:pos="255"/>
                <w:tab w:val="left" w:pos="720"/>
              </w:tabs>
              <w:spacing w:after="240"/>
              <w:contextualSpacing/>
              <w:jc w:val="both"/>
              <w:rPr>
                <w:rFonts w:ascii="Times New Roman" w:hAnsi="Times New Roman"/>
                <w:b/>
                <w:bCs/>
                <w:szCs w:val="24"/>
                <w:lang w:val="en-GB"/>
              </w:rPr>
            </w:pPr>
            <w:r w:rsidRPr="00FA17D2">
              <w:rPr>
                <w:rFonts w:ascii="Times New Roman" w:hAnsi="Times New Roman"/>
                <w:b/>
                <w:bCs/>
                <w:szCs w:val="24"/>
                <w:lang w:val="en-GB"/>
              </w:rPr>
              <w:t>Environmental conditions</w:t>
            </w:r>
          </w:p>
        </w:tc>
        <w:tc>
          <w:tcPr>
            <w:tcW w:w="5381" w:type="dxa"/>
          </w:tcPr>
          <w:p w14:paraId="190D0507" w14:textId="77777777" w:rsidR="00A26547" w:rsidRPr="00FA17D2" w:rsidRDefault="00A26547" w:rsidP="003F171E">
            <w:pPr>
              <w:tabs>
                <w:tab w:val="left" w:pos="720"/>
              </w:tabs>
              <w:spacing w:after="240"/>
              <w:jc w:val="both"/>
              <w:rPr>
                <w:rFonts w:ascii="Times New Roman" w:hAnsi="Times New Roman"/>
                <w:szCs w:val="24"/>
                <w:lang w:val="en-GB"/>
              </w:rPr>
            </w:pPr>
          </w:p>
        </w:tc>
      </w:tr>
      <w:tr w:rsidR="00A26547" w:rsidRPr="000D68B0" w14:paraId="6649FEC7" w14:textId="77777777" w:rsidTr="003F171E">
        <w:trPr>
          <w:trHeight w:hRule="exact" w:val="373"/>
        </w:trPr>
        <w:tc>
          <w:tcPr>
            <w:tcW w:w="3969" w:type="dxa"/>
          </w:tcPr>
          <w:p w14:paraId="00B1BFC0"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Test soil:</w:t>
            </w:r>
          </w:p>
        </w:tc>
        <w:tc>
          <w:tcPr>
            <w:tcW w:w="5381" w:type="dxa"/>
          </w:tcPr>
          <w:p w14:paraId="3E15D2EF"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Artificial soil according to ISO 11267 (5% peat);</w:t>
            </w:r>
          </w:p>
        </w:tc>
      </w:tr>
      <w:tr w:rsidR="00A26547" w:rsidRPr="00FA17D2" w14:paraId="62356790" w14:textId="77777777" w:rsidTr="003F171E">
        <w:trPr>
          <w:trHeight w:hRule="exact" w:val="340"/>
        </w:trPr>
        <w:tc>
          <w:tcPr>
            <w:tcW w:w="3969" w:type="dxa"/>
          </w:tcPr>
          <w:p w14:paraId="3FC0096F"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Temperature:</w:t>
            </w:r>
          </w:p>
        </w:tc>
        <w:tc>
          <w:tcPr>
            <w:tcW w:w="5381" w:type="dxa"/>
          </w:tcPr>
          <w:p w14:paraId="4536CBCE"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18 – 22°C</w:t>
            </w:r>
          </w:p>
        </w:tc>
      </w:tr>
      <w:tr w:rsidR="00A26547" w:rsidRPr="000D68B0" w14:paraId="442CBDAD" w14:textId="77777777" w:rsidTr="003F171E">
        <w:trPr>
          <w:trHeight w:hRule="exact" w:val="624"/>
        </w:trPr>
        <w:tc>
          <w:tcPr>
            <w:tcW w:w="3969" w:type="dxa"/>
          </w:tcPr>
          <w:p w14:paraId="35D2F553"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pH:</w:t>
            </w:r>
          </w:p>
        </w:tc>
        <w:tc>
          <w:tcPr>
            <w:tcW w:w="5381" w:type="dxa"/>
          </w:tcPr>
          <w:p w14:paraId="791A4E36" w14:textId="77777777" w:rsidR="00A26547" w:rsidRPr="00FA17D2" w:rsidRDefault="00A26547" w:rsidP="003F171E">
            <w:pPr>
              <w:tabs>
                <w:tab w:val="left" w:pos="720"/>
              </w:tabs>
              <w:jc w:val="both"/>
              <w:rPr>
                <w:rFonts w:ascii="Times New Roman" w:hAnsi="Times New Roman"/>
                <w:szCs w:val="24"/>
                <w:lang w:val="en-GB"/>
              </w:rPr>
            </w:pPr>
            <w:r w:rsidRPr="00FA17D2">
              <w:rPr>
                <w:rFonts w:ascii="Times New Roman" w:hAnsi="Times New Roman"/>
                <w:szCs w:val="24"/>
                <w:lang w:val="en-GB"/>
              </w:rPr>
              <w:t xml:space="preserve">pH 6.1– 6.2 at test initiation and </w:t>
            </w:r>
          </w:p>
          <w:p w14:paraId="01375E63" w14:textId="77777777" w:rsidR="00A26547" w:rsidRPr="00FA17D2" w:rsidRDefault="00A26547" w:rsidP="003F171E">
            <w:pPr>
              <w:tabs>
                <w:tab w:val="left" w:pos="720"/>
              </w:tabs>
              <w:jc w:val="both"/>
              <w:rPr>
                <w:rFonts w:ascii="Times New Roman" w:hAnsi="Times New Roman"/>
                <w:szCs w:val="24"/>
                <w:lang w:val="en-GB"/>
              </w:rPr>
            </w:pPr>
            <w:r w:rsidRPr="00FA17D2">
              <w:rPr>
                <w:rFonts w:ascii="Times New Roman" w:hAnsi="Times New Roman"/>
                <w:szCs w:val="24"/>
                <w:lang w:val="en-GB"/>
              </w:rPr>
              <w:t>pH 6.2 at test termination</w:t>
            </w:r>
          </w:p>
        </w:tc>
      </w:tr>
      <w:tr w:rsidR="00A26547" w:rsidRPr="000D68B0" w14:paraId="6E9B438B" w14:textId="77777777" w:rsidTr="003F171E">
        <w:trPr>
          <w:trHeight w:hRule="exact" w:val="894"/>
        </w:trPr>
        <w:tc>
          <w:tcPr>
            <w:tcW w:w="3969" w:type="dxa"/>
          </w:tcPr>
          <w:p w14:paraId="03757B28"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Water content:</w:t>
            </w:r>
          </w:p>
        </w:tc>
        <w:tc>
          <w:tcPr>
            <w:tcW w:w="5381" w:type="dxa"/>
          </w:tcPr>
          <w:p w14:paraId="4D025C49"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At study initiation: 58.0% - 58.3% of maximum water holding capacity (WHC) and 57.1% - 57.8% of maximum WHC at test termination.</w:t>
            </w:r>
          </w:p>
        </w:tc>
      </w:tr>
      <w:tr w:rsidR="00A26547" w:rsidRPr="000D68B0" w14:paraId="23FE0ED4" w14:textId="77777777" w:rsidTr="003F171E">
        <w:trPr>
          <w:trHeight w:hRule="exact" w:val="340"/>
        </w:trPr>
        <w:tc>
          <w:tcPr>
            <w:tcW w:w="3969" w:type="dxa"/>
          </w:tcPr>
          <w:p w14:paraId="557B2255" w14:textId="77777777" w:rsidR="00A26547" w:rsidRPr="0006088D" w:rsidRDefault="00A26547" w:rsidP="003F171E">
            <w:pPr>
              <w:tabs>
                <w:tab w:val="left" w:pos="624"/>
              </w:tabs>
              <w:spacing w:after="240"/>
              <w:ind w:left="624"/>
              <w:rPr>
                <w:rFonts w:ascii="Times New Roman" w:hAnsi="Times New Roman"/>
                <w:szCs w:val="24"/>
                <w:lang w:val="en-GB"/>
              </w:rPr>
            </w:pPr>
            <w:r w:rsidRPr="0006088D">
              <w:rPr>
                <w:rFonts w:ascii="Times New Roman" w:hAnsi="Times New Roman"/>
                <w:szCs w:val="24"/>
                <w:lang w:val="en-GB"/>
              </w:rPr>
              <w:t>Photoperiod:</w:t>
            </w:r>
          </w:p>
        </w:tc>
        <w:tc>
          <w:tcPr>
            <w:tcW w:w="5381" w:type="dxa"/>
          </w:tcPr>
          <w:p w14:paraId="6FE0F403" w14:textId="77777777" w:rsidR="00A26547" w:rsidRPr="00FA17D2" w:rsidRDefault="00A26547" w:rsidP="003F171E">
            <w:pPr>
              <w:tabs>
                <w:tab w:val="left" w:pos="720"/>
              </w:tabs>
              <w:spacing w:after="240"/>
              <w:jc w:val="both"/>
              <w:rPr>
                <w:rFonts w:ascii="Times New Roman" w:hAnsi="Times New Roman"/>
                <w:szCs w:val="24"/>
                <w:lang w:val="en-GB"/>
              </w:rPr>
            </w:pPr>
            <w:r w:rsidRPr="00FA17D2">
              <w:rPr>
                <w:rFonts w:ascii="Times New Roman" w:hAnsi="Times New Roman"/>
                <w:szCs w:val="24"/>
                <w:lang w:val="en-GB"/>
              </w:rPr>
              <w:t>16 h light : 8 h dark (590 lux)</w:t>
            </w:r>
          </w:p>
        </w:tc>
      </w:tr>
    </w:tbl>
    <w:p w14:paraId="648B98AE" w14:textId="77777777" w:rsidR="00A26547" w:rsidRPr="00FA17D2" w:rsidRDefault="00A26547" w:rsidP="00A26547">
      <w:pPr>
        <w:numPr>
          <w:ilvl w:val="3"/>
          <w:numId w:val="0"/>
        </w:numPr>
        <w:tabs>
          <w:tab w:val="left" w:pos="0"/>
        </w:tabs>
        <w:ind w:left="360" w:hanging="360"/>
        <w:contextualSpacing/>
        <w:rPr>
          <w:b/>
          <w:bCs/>
          <w:szCs w:val="24"/>
          <w:lang w:val="en-GB"/>
        </w:rPr>
      </w:pPr>
    </w:p>
    <w:p w14:paraId="5A6D37DB" w14:textId="77777777" w:rsidR="00A26547" w:rsidRPr="00FA17D2" w:rsidRDefault="00A26547" w:rsidP="00E05ECD">
      <w:pPr>
        <w:numPr>
          <w:ilvl w:val="0"/>
          <w:numId w:val="119"/>
        </w:numPr>
        <w:tabs>
          <w:tab w:val="left" w:pos="0"/>
        </w:tabs>
        <w:contextualSpacing/>
        <w:rPr>
          <w:b/>
          <w:bCs/>
          <w:szCs w:val="24"/>
          <w:lang w:val="en-GB"/>
        </w:rPr>
      </w:pPr>
      <w:r w:rsidRPr="00FA17D2">
        <w:rPr>
          <w:b/>
          <w:bCs/>
          <w:szCs w:val="24"/>
          <w:lang w:val="en-GB"/>
        </w:rPr>
        <w:t xml:space="preserve">Test design: </w:t>
      </w:r>
    </w:p>
    <w:p w14:paraId="2B04B4EF" w14:textId="77777777" w:rsidR="00A26547" w:rsidRPr="00D5386B" w:rsidRDefault="00A26547" w:rsidP="00A26547">
      <w:pPr>
        <w:widowControl w:val="0"/>
        <w:suppressAutoHyphens/>
        <w:jc w:val="both"/>
        <w:rPr>
          <w:lang w:val="en-GB"/>
        </w:rPr>
      </w:pPr>
      <w:r w:rsidRPr="00D5386B">
        <w:rPr>
          <w:lang w:val="en-GB"/>
        </w:rPr>
        <w:t xml:space="preserve">In a 28-day test, adults of </w:t>
      </w:r>
      <w:r w:rsidRPr="00D5386B">
        <w:rPr>
          <w:i/>
          <w:iCs/>
          <w:lang w:val="en-GB"/>
        </w:rPr>
        <w:t>Folsomia candida</w:t>
      </w:r>
      <w:r w:rsidRPr="00D5386B">
        <w:rPr>
          <w:lang w:val="en-GB"/>
        </w:rPr>
        <w:t xml:space="preserve"> were exposed to BAS 650 00 F incorporated into the soil. In total, 6 treatment groups were set up (5 concentrations of the test item and an untreated control group) with 5 replicates for each treatment group with 10 collembolans per replicate. The artificial soil was treated and filled into glass vessels, before the collembolans were introduced on the top of the soil.</w:t>
      </w:r>
    </w:p>
    <w:p w14:paraId="6E9E0FA3" w14:textId="77777777" w:rsidR="00A26547" w:rsidRPr="00D5386B" w:rsidRDefault="00A26547" w:rsidP="00A26547">
      <w:pPr>
        <w:widowControl w:val="0"/>
        <w:suppressAutoHyphens/>
        <w:jc w:val="both"/>
        <w:rPr>
          <w:lang w:val="en-GB"/>
        </w:rPr>
      </w:pPr>
    </w:p>
    <w:p w14:paraId="40CABFC0" w14:textId="77777777" w:rsidR="00A26547" w:rsidRPr="00FA17D2" w:rsidRDefault="00A26547" w:rsidP="00E05ECD">
      <w:pPr>
        <w:numPr>
          <w:ilvl w:val="0"/>
          <w:numId w:val="119"/>
        </w:numPr>
        <w:tabs>
          <w:tab w:val="left" w:pos="0"/>
        </w:tabs>
        <w:contextualSpacing/>
        <w:rPr>
          <w:b/>
          <w:bCs/>
          <w:szCs w:val="24"/>
          <w:lang w:val="en-GB"/>
        </w:rPr>
      </w:pPr>
      <w:r w:rsidRPr="00FA17D2">
        <w:rPr>
          <w:b/>
          <w:bCs/>
          <w:szCs w:val="24"/>
          <w:lang w:val="en-GB"/>
        </w:rPr>
        <w:t xml:space="preserve">Test concentrations: </w:t>
      </w:r>
    </w:p>
    <w:p w14:paraId="3D2AF301" w14:textId="77777777" w:rsidR="00A26547" w:rsidRPr="00FA17D2" w:rsidRDefault="00A26547" w:rsidP="00A26547">
      <w:pPr>
        <w:tabs>
          <w:tab w:val="left" w:pos="720"/>
        </w:tabs>
        <w:spacing w:after="240"/>
        <w:jc w:val="both"/>
        <w:rPr>
          <w:szCs w:val="24"/>
          <w:lang w:val="en-GB"/>
        </w:rPr>
      </w:pPr>
      <w:r w:rsidRPr="00FA17D2">
        <w:rPr>
          <w:szCs w:val="24"/>
          <w:lang w:val="en-GB"/>
        </w:rPr>
        <w:t xml:space="preserve">Control, 62.5, 125, 250, 500, and 1000 mg BAS 650 00 F/kg dry soil. </w:t>
      </w:r>
    </w:p>
    <w:p w14:paraId="33B9476E" w14:textId="77777777" w:rsidR="00A26547" w:rsidRPr="00FA17D2" w:rsidRDefault="00A26547" w:rsidP="00E05ECD">
      <w:pPr>
        <w:numPr>
          <w:ilvl w:val="0"/>
          <w:numId w:val="119"/>
        </w:numPr>
        <w:tabs>
          <w:tab w:val="left" w:pos="0"/>
        </w:tabs>
        <w:contextualSpacing/>
        <w:rPr>
          <w:b/>
          <w:bCs/>
          <w:szCs w:val="24"/>
          <w:lang w:val="en-GB"/>
        </w:rPr>
      </w:pPr>
      <w:r w:rsidRPr="00FA17D2">
        <w:rPr>
          <w:b/>
          <w:bCs/>
          <w:szCs w:val="24"/>
          <w:lang w:val="en-GB"/>
        </w:rPr>
        <w:t xml:space="preserve">Measurements and observations: </w:t>
      </w:r>
    </w:p>
    <w:p w14:paraId="65F6072C" w14:textId="77777777" w:rsidR="00A26547" w:rsidRPr="00FA17D2" w:rsidRDefault="00A26547" w:rsidP="00A26547">
      <w:pPr>
        <w:tabs>
          <w:tab w:val="left" w:pos="720"/>
        </w:tabs>
        <w:spacing w:after="240"/>
        <w:jc w:val="both"/>
        <w:rPr>
          <w:szCs w:val="24"/>
          <w:lang w:val="en-GB"/>
        </w:rPr>
      </w:pPr>
      <w:r w:rsidRPr="00FA17D2">
        <w:rPr>
          <w:szCs w:val="24"/>
          <w:lang w:val="en-GB"/>
        </w:rPr>
        <w:t xml:space="preserve">Collembolans mortality, behavioral effects and reproduction (number of juveniles) were assessed after 28 days. </w:t>
      </w:r>
    </w:p>
    <w:p w14:paraId="2A7E1660" w14:textId="77777777" w:rsidR="00A26547" w:rsidRPr="00FA17D2" w:rsidRDefault="00A26547" w:rsidP="00E05ECD">
      <w:pPr>
        <w:numPr>
          <w:ilvl w:val="0"/>
          <w:numId w:val="119"/>
        </w:numPr>
        <w:tabs>
          <w:tab w:val="left" w:pos="0"/>
        </w:tabs>
        <w:contextualSpacing/>
        <w:rPr>
          <w:b/>
          <w:bCs/>
          <w:szCs w:val="24"/>
          <w:lang w:val="en-GB"/>
        </w:rPr>
      </w:pPr>
      <w:r w:rsidRPr="00FA17D2">
        <w:rPr>
          <w:b/>
          <w:bCs/>
          <w:szCs w:val="24"/>
          <w:lang w:val="en-GB"/>
        </w:rPr>
        <w:t xml:space="preserve">Statistical analysis: </w:t>
      </w:r>
    </w:p>
    <w:p w14:paraId="422D3039" w14:textId="77777777" w:rsidR="00A26547" w:rsidRPr="00FA17D2" w:rsidRDefault="00A26547" w:rsidP="00A26547">
      <w:pPr>
        <w:tabs>
          <w:tab w:val="left" w:pos="720"/>
        </w:tabs>
        <w:jc w:val="both"/>
        <w:rPr>
          <w:szCs w:val="24"/>
          <w:lang w:val="en-GB"/>
        </w:rPr>
      </w:pPr>
      <w:r w:rsidRPr="00D5386B">
        <w:rPr>
          <w:szCs w:val="24"/>
          <w:lang w:val="en-GB"/>
        </w:rPr>
        <w:t>Descriptive statistics; Fisher’s Exact test for mortality data and Dunnett’s –Test for reproduction data (</w:t>
      </w:r>
      <w:r w:rsidRPr="00FA17D2">
        <w:rPr>
          <w:szCs w:val="24"/>
        </w:rPr>
        <w:sym w:font="Symbol" w:char="F061"/>
      </w:r>
      <w:r w:rsidRPr="00D5386B">
        <w:rPr>
          <w:szCs w:val="24"/>
          <w:lang w:val="en-GB"/>
        </w:rPr>
        <w:t xml:space="preserve"> = 0.05)</w:t>
      </w:r>
      <w:r w:rsidRPr="00FA17D2">
        <w:rPr>
          <w:szCs w:val="24"/>
          <w:lang w:val="en-GB"/>
        </w:rPr>
        <w:t>.</w:t>
      </w:r>
    </w:p>
    <w:p w14:paraId="5A9FE242" w14:textId="77777777" w:rsidR="00A26547" w:rsidRDefault="00A26547" w:rsidP="00A26547">
      <w:pPr>
        <w:tabs>
          <w:tab w:val="left" w:pos="720"/>
        </w:tabs>
        <w:jc w:val="both"/>
        <w:rPr>
          <w:szCs w:val="24"/>
          <w:highlight w:val="yellow"/>
          <w:lang w:val="en-GB"/>
        </w:rPr>
      </w:pPr>
    </w:p>
    <w:p w14:paraId="22077CCA" w14:textId="77777777" w:rsidR="00A26547" w:rsidRPr="00912208" w:rsidRDefault="00A26547" w:rsidP="00A26547">
      <w:pPr>
        <w:tabs>
          <w:tab w:val="left" w:pos="720"/>
        </w:tabs>
        <w:spacing w:after="240"/>
        <w:ind w:left="720" w:hanging="431"/>
        <w:contextualSpacing/>
        <w:jc w:val="center"/>
        <w:rPr>
          <w:b/>
          <w:bCs/>
          <w:caps/>
          <w:szCs w:val="24"/>
          <w:lang w:val="en-GB"/>
        </w:rPr>
      </w:pPr>
      <w:r w:rsidRPr="00794A3B">
        <w:rPr>
          <w:b/>
          <w:bCs/>
          <w:caps/>
          <w:szCs w:val="24"/>
          <w:lang w:val="en-GB"/>
        </w:rPr>
        <w:t>II.</w:t>
      </w:r>
      <w:r w:rsidRPr="00794A3B">
        <w:rPr>
          <w:b/>
          <w:bCs/>
          <w:caps/>
          <w:szCs w:val="24"/>
          <w:lang w:val="en-GB"/>
        </w:rPr>
        <w:tab/>
        <w:t>Results</w:t>
      </w:r>
      <w:r w:rsidRPr="00912208">
        <w:rPr>
          <w:b/>
          <w:bCs/>
          <w:caps/>
          <w:szCs w:val="24"/>
          <w:lang w:val="en-GB"/>
        </w:rPr>
        <w:t xml:space="preserve"> and Discussion</w:t>
      </w:r>
    </w:p>
    <w:p w14:paraId="144B1772" w14:textId="77777777" w:rsidR="00A26547" w:rsidRPr="00912208" w:rsidRDefault="00A26547" w:rsidP="00A26547">
      <w:pPr>
        <w:tabs>
          <w:tab w:val="left" w:pos="720"/>
        </w:tabs>
        <w:spacing w:after="240"/>
        <w:ind w:left="720" w:hanging="431"/>
        <w:contextualSpacing/>
        <w:jc w:val="center"/>
        <w:rPr>
          <w:b/>
          <w:bCs/>
          <w:caps/>
          <w:szCs w:val="24"/>
          <w:lang w:val="en-GB"/>
        </w:rPr>
      </w:pPr>
    </w:p>
    <w:p w14:paraId="1FCF1D86" w14:textId="77777777" w:rsidR="00A26547" w:rsidRPr="00912208" w:rsidRDefault="00A26547" w:rsidP="00A26547">
      <w:pPr>
        <w:tabs>
          <w:tab w:val="left" w:pos="0"/>
        </w:tabs>
        <w:ind w:left="357" w:hanging="357"/>
        <w:contextualSpacing/>
        <w:rPr>
          <w:b/>
          <w:bCs/>
          <w:caps/>
          <w:szCs w:val="24"/>
          <w:lang w:val="en-GB"/>
        </w:rPr>
      </w:pPr>
      <w:r w:rsidRPr="00912208">
        <w:rPr>
          <w:b/>
          <w:bCs/>
          <w:caps/>
          <w:szCs w:val="24"/>
          <w:lang w:val="en-GB"/>
        </w:rPr>
        <w:t>C.</w:t>
      </w:r>
      <w:r w:rsidRPr="00912208">
        <w:rPr>
          <w:b/>
          <w:bCs/>
          <w:caps/>
          <w:szCs w:val="24"/>
          <w:lang w:val="en-GB"/>
        </w:rPr>
        <w:tab/>
        <w:t>BIOLOGICAL EFFECTS</w:t>
      </w:r>
    </w:p>
    <w:p w14:paraId="67AC5E7E" w14:textId="77777777" w:rsidR="00A26547" w:rsidRPr="00D5386B" w:rsidRDefault="00A26547" w:rsidP="00A26547">
      <w:pPr>
        <w:widowControl w:val="0"/>
        <w:suppressAutoHyphens/>
        <w:jc w:val="both"/>
        <w:rPr>
          <w:lang w:val="en-GB"/>
        </w:rPr>
      </w:pPr>
      <w:r w:rsidRPr="00D5386B">
        <w:rPr>
          <w:lang w:val="en-GB"/>
        </w:rPr>
        <w:t xml:space="preserve">At the control, a mortality rate of 2% was observed. At the test item concentrations, mortality rates were between 2% and 4%. These mortality rates were neither dose related, nor these mortality rates did differ statistically significantly compared to the control (Fisher’s Exact test, </w:t>
      </w:r>
      <w:r w:rsidRPr="00696751">
        <w:sym w:font="Symbol" w:char="F061"/>
      </w:r>
      <w:r w:rsidRPr="00D5386B">
        <w:rPr>
          <w:lang w:val="en-GB"/>
        </w:rPr>
        <w:t xml:space="preserve"> = 0.05).</w:t>
      </w:r>
    </w:p>
    <w:p w14:paraId="5AB1E62F" w14:textId="77777777" w:rsidR="00A26547" w:rsidRPr="00BC503F" w:rsidRDefault="00A26547" w:rsidP="00A26547">
      <w:pPr>
        <w:widowControl w:val="0"/>
        <w:suppressAutoHyphens/>
        <w:jc w:val="both"/>
      </w:pPr>
      <w:r w:rsidRPr="00D5386B">
        <w:rPr>
          <w:lang w:val="en-GB"/>
        </w:rPr>
        <w:t xml:space="preserve">In the control, a mean of 455.6 juveniles was counted. In the treatment groups, a mean number of juveniles between 359.4 and 482.4 were counted. This is corresponding to a reproduction relative to the control between 79% and 106%. No statistically significant differences on reproduction were recorded (Dunnett’s-Test, </w:t>
      </w:r>
      <w:r w:rsidRPr="00696751">
        <w:sym w:font="Symbol" w:char="F061"/>
      </w:r>
      <w:r w:rsidRPr="00D5386B">
        <w:rPr>
          <w:lang w:val="en-GB"/>
        </w:rPr>
        <w:t xml:space="preserve"> = 0.05). </w:t>
      </w:r>
      <w:r w:rsidRPr="00BC503F">
        <w:rPr>
          <w:bCs/>
        </w:rPr>
        <w:t>T</w:t>
      </w:r>
      <w:r w:rsidRPr="00BC503F">
        <w:t>he results are summarized in the table below.</w:t>
      </w:r>
    </w:p>
    <w:p w14:paraId="75D86DD1" w14:textId="77777777" w:rsidR="00A26547" w:rsidRPr="00BC503F" w:rsidRDefault="00A26547" w:rsidP="00A26547">
      <w:pPr>
        <w:widowControl w:val="0"/>
        <w:suppressAutoHyphens/>
        <w:jc w:val="both"/>
      </w:pPr>
    </w:p>
    <w:p w14:paraId="0AF9D57A" w14:textId="3D9D1CA5" w:rsidR="00A26547" w:rsidRPr="00696751" w:rsidRDefault="000F2188" w:rsidP="000F2188">
      <w:pPr>
        <w:pStyle w:val="Legenda"/>
        <w:rPr>
          <w:b w:val="0"/>
          <w:bCs w:val="0"/>
        </w:rPr>
      </w:pPr>
      <w:r>
        <w:t xml:space="preserve">Table A </w:t>
      </w:r>
      <w:r>
        <w:fldChar w:fldCharType="begin"/>
      </w:r>
      <w:r>
        <w:instrText xml:space="preserve"> SEQ Table_A \* ARABIC </w:instrText>
      </w:r>
      <w:r>
        <w:fldChar w:fldCharType="separate"/>
      </w:r>
      <w:r w:rsidR="006F0F3B">
        <w:rPr>
          <w:noProof/>
        </w:rPr>
        <w:t>84</w:t>
      </w:r>
      <w:r>
        <w:fldChar w:fldCharType="end"/>
      </w:r>
      <w:r w:rsidR="00A26547" w:rsidRPr="00696751">
        <w:t>:</w:t>
      </w:r>
      <w:r w:rsidR="00A26547" w:rsidRPr="00696751">
        <w:tab/>
        <w:t xml:space="preserve">Effects of BAS 650 00 F on </w:t>
      </w:r>
      <w:r w:rsidR="00A26547" w:rsidRPr="00696751">
        <w:rPr>
          <w:i/>
        </w:rPr>
        <w:t>Folsomia candida</w:t>
      </w:r>
      <w:r w:rsidR="00A26547" w:rsidRPr="00696751">
        <w:t xml:space="preserve"> in a 28-day reproduction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6"/>
        <w:gridCol w:w="1136"/>
        <w:gridCol w:w="1136"/>
        <w:gridCol w:w="1138"/>
        <w:gridCol w:w="1136"/>
        <w:gridCol w:w="1136"/>
        <w:gridCol w:w="1136"/>
      </w:tblGrid>
      <w:tr w:rsidR="00A26547" w:rsidRPr="00696751" w14:paraId="06546A75" w14:textId="77777777" w:rsidTr="003F171E">
        <w:trPr>
          <w:trHeight w:val="624"/>
        </w:trPr>
        <w:tc>
          <w:tcPr>
            <w:tcW w:w="1351" w:type="pct"/>
            <w:vAlign w:val="center"/>
          </w:tcPr>
          <w:p w14:paraId="2D7F6830" w14:textId="77777777" w:rsidR="00A26547" w:rsidRPr="00D5386B" w:rsidRDefault="00A26547" w:rsidP="003F171E">
            <w:pPr>
              <w:widowControl w:val="0"/>
              <w:suppressAutoHyphens/>
              <w:spacing w:before="40" w:after="40"/>
              <w:rPr>
                <w:b/>
                <w:sz w:val="20"/>
                <w:lang w:val="en-GB"/>
              </w:rPr>
            </w:pPr>
            <w:r w:rsidRPr="00D5386B">
              <w:rPr>
                <w:b/>
                <w:bCs/>
                <w:sz w:val="20"/>
                <w:lang w:val="en-GB"/>
              </w:rPr>
              <w:t>BAS 650 00 F</w:t>
            </w:r>
            <w:r w:rsidRPr="00D5386B">
              <w:rPr>
                <w:b/>
                <w:sz w:val="20"/>
                <w:lang w:val="en-GB"/>
              </w:rPr>
              <w:br/>
              <w:t>[mg/kg dry soil</w:t>
            </w:r>
            <w:r w:rsidRPr="00696751">
              <w:rPr>
                <w:b/>
                <w:sz w:val="20"/>
              </w:rPr>
              <w:sym w:font="Symbol" w:char="F05D"/>
            </w:r>
          </w:p>
        </w:tc>
        <w:tc>
          <w:tcPr>
            <w:tcW w:w="608" w:type="pct"/>
            <w:vAlign w:val="center"/>
          </w:tcPr>
          <w:p w14:paraId="0BCCBC21" w14:textId="77777777" w:rsidR="00A26547" w:rsidRPr="00696751" w:rsidRDefault="00A26547" w:rsidP="003F171E">
            <w:pPr>
              <w:widowControl w:val="0"/>
              <w:suppressAutoHyphens/>
              <w:spacing w:before="40" w:after="40"/>
              <w:rPr>
                <w:b/>
                <w:sz w:val="20"/>
              </w:rPr>
            </w:pPr>
            <w:r w:rsidRPr="00696751">
              <w:rPr>
                <w:b/>
                <w:sz w:val="20"/>
              </w:rPr>
              <w:t>Control</w:t>
            </w:r>
          </w:p>
        </w:tc>
        <w:tc>
          <w:tcPr>
            <w:tcW w:w="608" w:type="pct"/>
            <w:shd w:val="clear" w:color="auto" w:fill="auto"/>
            <w:vAlign w:val="center"/>
          </w:tcPr>
          <w:p w14:paraId="4859E46D" w14:textId="77777777" w:rsidR="00A26547" w:rsidRPr="00696751" w:rsidRDefault="00A26547" w:rsidP="003F171E">
            <w:pPr>
              <w:widowControl w:val="0"/>
              <w:suppressAutoHyphens/>
              <w:spacing w:before="40" w:after="40"/>
              <w:rPr>
                <w:b/>
                <w:sz w:val="20"/>
              </w:rPr>
            </w:pPr>
            <w:r w:rsidRPr="00696751">
              <w:rPr>
                <w:b/>
                <w:sz w:val="20"/>
              </w:rPr>
              <w:t>62.5</w:t>
            </w:r>
          </w:p>
        </w:tc>
        <w:tc>
          <w:tcPr>
            <w:tcW w:w="609" w:type="pct"/>
            <w:shd w:val="clear" w:color="auto" w:fill="auto"/>
            <w:vAlign w:val="center"/>
          </w:tcPr>
          <w:p w14:paraId="3B9D0A68" w14:textId="77777777" w:rsidR="00A26547" w:rsidRPr="00696751" w:rsidRDefault="00A26547" w:rsidP="003F171E">
            <w:pPr>
              <w:widowControl w:val="0"/>
              <w:suppressAutoHyphens/>
              <w:spacing w:before="40" w:after="40"/>
              <w:rPr>
                <w:b/>
                <w:sz w:val="20"/>
              </w:rPr>
            </w:pPr>
            <w:r w:rsidRPr="00696751">
              <w:rPr>
                <w:b/>
                <w:sz w:val="20"/>
              </w:rPr>
              <w:t>125</w:t>
            </w:r>
          </w:p>
        </w:tc>
        <w:tc>
          <w:tcPr>
            <w:tcW w:w="608" w:type="pct"/>
            <w:vAlign w:val="center"/>
          </w:tcPr>
          <w:p w14:paraId="12A50556" w14:textId="77777777" w:rsidR="00A26547" w:rsidRPr="00696751" w:rsidRDefault="00A26547" w:rsidP="003F171E">
            <w:pPr>
              <w:widowControl w:val="0"/>
              <w:suppressAutoHyphens/>
              <w:spacing w:before="40" w:after="40"/>
              <w:rPr>
                <w:b/>
                <w:sz w:val="20"/>
              </w:rPr>
            </w:pPr>
            <w:r w:rsidRPr="00696751">
              <w:rPr>
                <w:b/>
                <w:sz w:val="20"/>
              </w:rPr>
              <w:t>250</w:t>
            </w:r>
          </w:p>
        </w:tc>
        <w:tc>
          <w:tcPr>
            <w:tcW w:w="608" w:type="pct"/>
            <w:vAlign w:val="center"/>
          </w:tcPr>
          <w:p w14:paraId="5FCA67A4" w14:textId="77777777" w:rsidR="00A26547" w:rsidRPr="00696751" w:rsidRDefault="00A26547" w:rsidP="003F171E">
            <w:pPr>
              <w:widowControl w:val="0"/>
              <w:suppressAutoHyphens/>
              <w:spacing w:before="40" w:after="40"/>
              <w:rPr>
                <w:b/>
                <w:sz w:val="20"/>
              </w:rPr>
            </w:pPr>
            <w:r w:rsidRPr="00696751">
              <w:rPr>
                <w:b/>
                <w:sz w:val="20"/>
              </w:rPr>
              <w:t>500</w:t>
            </w:r>
          </w:p>
        </w:tc>
        <w:tc>
          <w:tcPr>
            <w:tcW w:w="608" w:type="pct"/>
            <w:shd w:val="clear" w:color="auto" w:fill="auto"/>
            <w:vAlign w:val="center"/>
          </w:tcPr>
          <w:p w14:paraId="72F6EFA4" w14:textId="77777777" w:rsidR="00A26547" w:rsidRPr="00696751" w:rsidRDefault="00A26547" w:rsidP="003F171E">
            <w:pPr>
              <w:widowControl w:val="0"/>
              <w:suppressAutoHyphens/>
              <w:spacing w:before="40" w:after="40"/>
              <w:rPr>
                <w:b/>
                <w:sz w:val="20"/>
              </w:rPr>
            </w:pPr>
            <w:r w:rsidRPr="00696751">
              <w:rPr>
                <w:b/>
                <w:sz w:val="20"/>
              </w:rPr>
              <w:t>1000</w:t>
            </w:r>
          </w:p>
        </w:tc>
      </w:tr>
      <w:tr w:rsidR="00A26547" w:rsidRPr="00696751" w14:paraId="51672269" w14:textId="77777777" w:rsidTr="003F171E">
        <w:trPr>
          <w:trHeight w:val="283"/>
        </w:trPr>
        <w:tc>
          <w:tcPr>
            <w:tcW w:w="1351" w:type="pct"/>
            <w:vAlign w:val="center"/>
          </w:tcPr>
          <w:p w14:paraId="6F84B1FD" w14:textId="77777777" w:rsidR="00A26547" w:rsidRPr="00696751" w:rsidRDefault="00A26547" w:rsidP="003F171E">
            <w:pPr>
              <w:widowControl w:val="0"/>
              <w:suppressAutoHyphens/>
              <w:spacing w:before="40" w:after="40"/>
              <w:rPr>
                <w:sz w:val="20"/>
              </w:rPr>
            </w:pPr>
            <w:r w:rsidRPr="00696751">
              <w:rPr>
                <w:sz w:val="20"/>
              </w:rPr>
              <w:t>Mortality (day 28) [%]</w:t>
            </w:r>
          </w:p>
        </w:tc>
        <w:tc>
          <w:tcPr>
            <w:tcW w:w="608" w:type="pct"/>
            <w:vAlign w:val="center"/>
          </w:tcPr>
          <w:p w14:paraId="50AD2C8C" w14:textId="77777777" w:rsidR="00A26547" w:rsidRPr="00696751" w:rsidRDefault="00A26547" w:rsidP="003F171E">
            <w:pPr>
              <w:widowControl w:val="0"/>
              <w:suppressAutoHyphens/>
              <w:spacing w:before="40" w:after="40"/>
              <w:rPr>
                <w:sz w:val="20"/>
              </w:rPr>
            </w:pPr>
            <w:r w:rsidRPr="00696751">
              <w:rPr>
                <w:sz w:val="20"/>
              </w:rPr>
              <w:t>2</w:t>
            </w:r>
          </w:p>
        </w:tc>
        <w:tc>
          <w:tcPr>
            <w:tcW w:w="608" w:type="pct"/>
            <w:shd w:val="clear" w:color="auto" w:fill="auto"/>
            <w:vAlign w:val="center"/>
          </w:tcPr>
          <w:p w14:paraId="1E92D798" w14:textId="77777777" w:rsidR="00A26547" w:rsidRPr="00696751" w:rsidRDefault="00A26547" w:rsidP="003F171E">
            <w:pPr>
              <w:widowControl w:val="0"/>
              <w:suppressAutoHyphens/>
              <w:spacing w:before="40" w:after="40"/>
              <w:rPr>
                <w:sz w:val="20"/>
              </w:rPr>
            </w:pPr>
            <w:r w:rsidRPr="00696751">
              <w:rPr>
                <w:sz w:val="20"/>
              </w:rPr>
              <w:t>4</w:t>
            </w:r>
          </w:p>
        </w:tc>
        <w:tc>
          <w:tcPr>
            <w:tcW w:w="609" w:type="pct"/>
            <w:shd w:val="clear" w:color="auto" w:fill="auto"/>
            <w:vAlign w:val="center"/>
          </w:tcPr>
          <w:p w14:paraId="0265A8CE" w14:textId="77777777" w:rsidR="00A26547" w:rsidRPr="00696751" w:rsidRDefault="00A26547" w:rsidP="003F171E">
            <w:pPr>
              <w:widowControl w:val="0"/>
              <w:suppressAutoHyphens/>
              <w:spacing w:before="40" w:after="40"/>
              <w:rPr>
                <w:sz w:val="20"/>
              </w:rPr>
            </w:pPr>
            <w:r w:rsidRPr="00696751">
              <w:rPr>
                <w:sz w:val="20"/>
              </w:rPr>
              <w:t>2</w:t>
            </w:r>
          </w:p>
        </w:tc>
        <w:tc>
          <w:tcPr>
            <w:tcW w:w="608" w:type="pct"/>
            <w:vAlign w:val="center"/>
          </w:tcPr>
          <w:p w14:paraId="11099E5C" w14:textId="77777777" w:rsidR="00A26547" w:rsidRPr="00696751" w:rsidRDefault="00A26547" w:rsidP="003F171E">
            <w:pPr>
              <w:widowControl w:val="0"/>
              <w:suppressAutoHyphens/>
              <w:spacing w:before="40" w:after="40"/>
              <w:rPr>
                <w:sz w:val="20"/>
              </w:rPr>
            </w:pPr>
            <w:r w:rsidRPr="00696751">
              <w:rPr>
                <w:sz w:val="20"/>
              </w:rPr>
              <w:t>4</w:t>
            </w:r>
          </w:p>
        </w:tc>
        <w:tc>
          <w:tcPr>
            <w:tcW w:w="608" w:type="pct"/>
            <w:vAlign w:val="center"/>
          </w:tcPr>
          <w:p w14:paraId="390CF9C1" w14:textId="77777777" w:rsidR="00A26547" w:rsidRPr="00696751" w:rsidRDefault="00A26547" w:rsidP="003F171E">
            <w:pPr>
              <w:widowControl w:val="0"/>
              <w:suppressAutoHyphens/>
              <w:spacing w:before="40" w:after="40"/>
              <w:rPr>
                <w:sz w:val="20"/>
              </w:rPr>
            </w:pPr>
            <w:r w:rsidRPr="00696751">
              <w:rPr>
                <w:sz w:val="20"/>
              </w:rPr>
              <w:t>2</w:t>
            </w:r>
          </w:p>
        </w:tc>
        <w:tc>
          <w:tcPr>
            <w:tcW w:w="608" w:type="pct"/>
            <w:shd w:val="clear" w:color="auto" w:fill="auto"/>
            <w:vAlign w:val="center"/>
          </w:tcPr>
          <w:p w14:paraId="41D632C9" w14:textId="77777777" w:rsidR="00A26547" w:rsidRPr="00696751" w:rsidRDefault="00A26547" w:rsidP="003F171E">
            <w:pPr>
              <w:widowControl w:val="0"/>
              <w:suppressAutoHyphens/>
              <w:spacing w:before="40" w:after="40"/>
              <w:rPr>
                <w:sz w:val="20"/>
              </w:rPr>
            </w:pPr>
            <w:r w:rsidRPr="00696751">
              <w:rPr>
                <w:sz w:val="20"/>
              </w:rPr>
              <w:t>2</w:t>
            </w:r>
          </w:p>
        </w:tc>
      </w:tr>
      <w:tr w:rsidR="00A26547" w:rsidRPr="00696751" w14:paraId="249ED163" w14:textId="77777777" w:rsidTr="003F171E">
        <w:trPr>
          <w:trHeight w:val="283"/>
        </w:trPr>
        <w:tc>
          <w:tcPr>
            <w:tcW w:w="1351" w:type="pct"/>
            <w:vAlign w:val="center"/>
          </w:tcPr>
          <w:p w14:paraId="7C9FE45E" w14:textId="77777777" w:rsidR="00A26547" w:rsidRPr="00696751" w:rsidRDefault="00A26547" w:rsidP="003F171E">
            <w:pPr>
              <w:widowControl w:val="0"/>
              <w:suppressAutoHyphens/>
              <w:spacing w:before="40" w:after="40"/>
              <w:rPr>
                <w:sz w:val="20"/>
              </w:rPr>
            </w:pPr>
            <w:r w:rsidRPr="00696751">
              <w:rPr>
                <w:sz w:val="20"/>
              </w:rPr>
              <w:t>No. of juveniles (day 28)</w:t>
            </w:r>
          </w:p>
        </w:tc>
        <w:tc>
          <w:tcPr>
            <w:tcW w:w="608" w:type="pct"/>
            <w:vAlign w:val="center"/>
          </w:tcPr>
          <w:p w14:paraId="1D08DC44" w14:textId="77777777" w:rsidR="00A26547" w:rsidRPr="00696751" w:rsidRDefault="00A26547" w:rsidP="003F171E">
            <w:pPr>
              <w:widowControl w:val="0"/>
              <w:suppressAutoHyphens/>
              <w:spacing w:before="40" w:after="40"/>
              <w:rPr>
                <w:sz w:val="20"/>
              </w:rPr>
            </w:pPr>
            <w:r w:rsidRPr="00696751">
              <w:rPr>
                <w:sz w:val="20"/>
              </w:rPr>
              <w:t>455.6</w:t>
            </w:r>
          </w:p>
        </w:tc>
        <w:tc>
          <w:tcPr>
            <w:tcW w:w="608" w:type="pct"/>
            <w:shd w:val="clear" w:color="auto" w:fill="auto"/>
            <w:vAlign w:val="center"/>
          </w:tcPr>
          <w:p w14:paraId="77F6E8C1" w14:textId="77777777" w:rsidR="00A26547" w:rsidRPr="00696751" w:rsidRDefault="00A26547" w:rsidP="003F171E">
            <w:pPr>
              <w:widowControl w:val="0"/>
              <w:suppressAutoHyphens/>
              <w:spacing w:before="40" w:after="40"/>
              <w:rPr>
                <w:sz w:val="20"/>
              </w:rPr>
            </w:pPr>
            <w:r w:rsidRPr="00696751">
              <w:rPr>
                <w:sz w:val="20"/>
              </w:rPr>
              <w:t>482.4</w:t>
            </w:r>
          </w:p>
        </w:tc>
        <w:tc>
          <w:tcPr>
            <w:tcW w:w="609" w:type="pct"/>
            <w:shd w:val="clear" w:color="auto" w:fill="auto"/>
            <w:vAlign w:val="center"/>
          </w:tcPr>
          <w:p w14:paraId="564C1BF6" w14:textId="77777777" w:rsidR="00A26547" w:rsidRPr="00696751" w:rsidRDefault="00A26547" w:rsidP="003F171E">
            <w:pPr>
              <w:widowControl w:val="0"/>
              <w:suppressAutoHyphens/>
              <w:spacing w:before="40" w:after="40"/>
              <w:rPr>
                <w:sz w:val="20"/>
              </w:rPr>
            </w:pPr>
            <w:r w:rsidRPr="00696751">
              <w:rPr>
                <w:sz w:val="20"/>
              </w:rPr>
              <w:t>405.2</w:t>
            </w:r>
          </w:p>
        </w:tc>
        <w:tc>
          <w:tcPr>
            <w:tcW w:w="608" w:type="pct"/>
            <w:vAlign w:val="center"/>
          </w:tcPr>
          <w:p w14:paraId="40D9A347" w14:textId="77777777" w:rsidR="00A26547" w:rsidRPr="00696751" w:rsidRDefault="00A26547" w:rsidP="003F171E">
            <w:pPr>
              <w:widowControl w:val="0"/>
              <w:suppressAutoHyphens/>
              <w:spacing w:before="40" w:after="40"/>
              <w:rPr>
                <w:sz w:val="20"/>
              </w:rPr>
            </w:pPr>
            <w:r w:rsidRPr="00696751">
              <w:rPr>
                <w:sz w:val="20"/>
              </w:rPr>
              <w:t>362.4</w:t>
            </w:r>
          </w:p>
        </w:tc>
        <w:tc>
          <w:tcPr>
            <w:tcW w:w="608" w:type="pct"/>
            <w:vAlign w:val="center"/>
          </w:tcPr>
          <w:p w14:paraId="7859BEBF" w14:textId="77777777" w:rsidR="00A26547" w:rsidRPr="00696751" w:rsidRDefault="00A26547" w:rsidP="003F171E">
            <w:pPr>
              <w:widowControl w:val="0"/>
              <w:suppressAutoHyphens/>
              <w:spacing w:before="40" w:after="40"/>
              <w:rPr>
                <w:sz w:val="20"/>
              </w:rPr>
            </w:pPr>
            <w:r w:rsidRPr="00696751">
              <w:rPr>
                <w:sz w:val="20"/>
              </w:rPr>
              <w:t>359.4</w:t>
            </w:r>
          </w:p>
        </w:tc>
        <w:tc>
          <w:tcPr>
            <w:tcW w:w="608" w:type="pct"/>
            <w:shd w:val="clear" w:color="auto" w:fill="auto"/>
            <w:vAlign w:val="center"/>
          </w:tcPr>
          <w:p w14:paraId="25F78B11" w14:textId="77777777" w:rsidR="00A26547" w:rsidRPr="00696751" w:rsidRDefault="00A26547" w:rsidP="003F171E">
            <w:pPr>
              <w:widowControl w:val="0"/>
              <w:suppressAutoHyphens/>
              <w:spacing w:before="40" w:after="40"/>
              <w:rPr>
                <w:sz w:val="20"/>
              </w:rPr>
            </w:pPr>
            <w:r w:rsidRPr="00696751">
              <w:rPr>
                <w:sz w:val="20"/>
              </w:rPr>
              <w:t>414.8</w:t>
            </w:r>
          </w:p>
        </w:tc>
      </w:tr>
      <w:tr w:rsidR="00A26547" w:rsidRPr="00696751" w14:paraId="018EF722" w14:textId="77777777" w:rsidTr="003F171E">
        <w:trPr>
          <w:trHeight w:val="283"/>
        </w:trPr>
        <w:tc>
          <w:tcPr>
            <w:tcW w:w="1351" w:type="pct"/>
            <w:vAlign w:val="center"/>
          </w:tcPr>
          <w:p w14:paraId="7BD37E01" w14:textId="77777777" w:rsidR="00A26547" w:rsidRPr="00D5386B" w:rsidRDefault="00A26547" w:rsidP="003F171E">
            <w:pPr>
              <w:widowControl w:val="0"/>
              <w:suppressAutoHyphens/>
              <w:spacing w:before="40" w:after="40"/>
              <w:rPr>
                <w:sz w:val="20"/>
                <w:lang w:val="en-GB"/>
              </w:rPr>
            </w:pPr>
            <w:r w:rsidRPr="00D5386B">
              <w:rPr>
                <w:sz w:val="20"/>
                <w:lang w:val="en-GB"/>
              </w:rPr>
              <w:t>Reproduction in [%] of control (day 28)</w:t>
            </w:r>
          </w:p>
        </w:tc>
        <w:tc>
          <w:tcPr>
            <w:tcW w:w="608" w:type="pct"/>
            <w:vAlign w:val="center"/>
          </w:tcPr>
          <w:p w14:paraId="7B95F1A8" w14:textId="77777777" w:rsidR="00A26547" w:rsidRPr="00696751" w:rsidRDefault="00A26547" w:rsidP="003F171E">
            <w:pPr>
              <w:widowControl w:val="0"/>
              <w:suppressAutoHyphens/>
              <w:spacing w:before="40" w:after="40"/>
              <w:rPr>
                <w:sz w:val="20"/>
              </w:rPr>
            </w:pPr>
            <w:r w:rsidRPr="00696751">
              <w:rPr>
                <w:sz w:val="20"/>
              </w:rPr>
              <w:t>--</w:t>
            </w:r>
          </w:p>
        </w:tc>
        <w:tc>
          <w:tcPr>
            <w:tcW w:w="608" w:type="pct"/>
            <w:shd w:val="clear" w:color="auto" w:fill="auto"/>
            <w:vAlign w:val="center"/>
          </w:tcPr>
          <w:p w14:paraId="4264BFA1" w14:textId="77777777" w:rsidR="00A26547" w:rsidRPr="00696751" w:rsidRDefault="00A26547" w:rsidP="003F171E">
            <w:pPr>
              <w:widowControl w:val="0"/>
              <w:suppressAutoHyphens/>
              <w:spacing w:before="40" w:after="40"/>
              <w:rPr>
                <w:sz w:val="20"/>
              </w:rPr>
            </w:pPr>
            <w:r w:rsidRPr="00696751">
              <w:rPr>
                <w:sz w:val="20"/>
              </w:rPr>
              <w:t>106</w:t>
            </w:r>
            <w:r w:rsidRPr="00696751">
              <w:rPr>
                <w:sz w:val="20"/>
                <w:vertAlign w:val="superscript"/>
              </w:rPr>
              <w:t xml:space="preserve"> </w:t>
            </w:r>
          </w:p>
        </w:tc>
        <w:tc>
          <w:tcPr>
            <w:tcW w:w="609" w:type="pct"/>
            <w:shd w:val="clear" w:color="auto" w:fill="auto"/>
            <w:vAlign w:val="center"/>
          </w:tcPr>
          <w:p w14:paraId="2E18583C" w14:textId="77777777" w:rsidR="00A26547" w:rsidRPr="00696751" w:rsidRDefault="00A26547" w:rsidP="003F171E">
            <w:pPr>
              <w:widowControl w:val="0"/>
              <w:suppressAutoHyphens/>
              <w:spacing w:before="40" w:after="40"/>
              <w:rPr>
                <w:sz w:val="20"/>
              </w:rPr>
            </w:pPr>
            <w:r w:rsidRPr="00696751">
              <w:rPr>
                <w:sz w:val="20"/>
              </w:rPr>
              <w:t>89</w:t>
            </w:r>
            <w:r w:rsidRPr="00696751">
              <w:rPr>
                <w:sz w:val="20"/>
                <w:vertAlign w:val="superscript"/>
              </w:rPr>
              <w:t xml:space="preserve"> </w:t>
            </w:r>
          </w:p>
        </w:tc>
        <w:tc>
          <w:tcPr>
            <w:tcW w:w="608" w:type="pct"/>
            <w:vAlign w:val="center"/>
          </w:tcPr>
          <w:p w14:paraId="76FDB9FB" w14:textId="77777777" w:rsidR="00A26547" w:rsidRPr="00696751" w:rsidRDefault="00A26547" w:rsidP="003F171E">
            <w:pPr>
              <w:widowControl w:val="0"/>
              <w:suppressAutoHyphens/>
              <w:spacing w:before="40" w:after="40"/>
              <w:rPr>
                <w:sz w:val="20"/>
              </w:rPr>
            </w:pPr>
            <w:r w:rsidRPr="00696751">
              <w:rPr>
                <w:sz w:val="20"/>
              </w:rPr>
              <w:t>80</w:t>
            </w:r>
            <w:r w:rsidRPr="00696751">
              <w:rPr>
                <w:sz w:val="20"/>
                <w:vertAlign w:val="superscript"/>
              </w:rPr>
              <w:t xml:space="preserve"> </w:t>
            </w:r>
          </w:p>
        </w:tc>
        <w:tc>
          <w:tcPr>
            <w:tcW w:w="608" w:type="pct"/>
            <w:vAlign w:val="center"/>
          </w:tcPr>
          <w:p w14:paraId="7ED4B742" w14:textId="77777777" w:rsidR="00A26547" w:rsidRPr="00696751" w:rsidRDefault="00A26547" w:rsidP="003F171E">
            <w:pPr>
              <w:widowControl w:val="0"/>
              <w:suppressAutoHyphens/>
              <w:spacing w:before="40" w:after="40"/>
              <w:rPr>
                <w:sz w:val="20"/>
              </w:rPr>
            </w:pPr>
            <w:r w:rsidRPr="00696751">
              <w:rPr>
                <w:sz w:val="20"/>
              </w:rPr>
              <w:t>79</w:t>
            </w:r>
            <w:r w:rsidRPr="00696751">
              <w:rPr>
                <w:sz w:val="20"/>
                <w:vertAlign w:val="superscript"/>
              </w:rPr>
              <w:t xml:space="preserve"> </w:t>
            </w:r>
          </w:p>
        </w:tc>
        <w:tc>
          <w:tcPr>
            <w:tcW w:w="608" w:type="pct"/>
            <w:shd w:val="clear" w:color="auto" w:fill="auto"/>
            <w:vAlign w:val="center"/>
          </w:tcPr>
          <w:p w14:paraId="41876087" w14:textId="77777777" w:rsidR="00A26547" w:rsidRPr="00696751" w:rsidRDefault="00A26547" w:rsidP="003F171E">
            <w:pPr>
              <w:widowControl w:val="0"/>
              <w:suppressAutoHyphens/>
              <w:spacing w:before="40" w:after="40"/>
              <w:rPr>
                <w:sz w:val="20"/>
              </w:rPr>
            </w:pPr>
            <w:r w:rsidRPr="00696751">
              <w:rPr>
                <w:sz w:val="20"/>
              </w:rPr>
              <w:t>91</w:t>
            </w:r>
            <w:r w:rsidRPr="00696751">
              <w:rPr>
                <w:sz w:val="20"/>
                <w:vertAlign w:val="superscript"/>
              </w:rPr>
              <w:t xml:space="preserve"> </w:t>
            </w:r>
          </w:p>
        </w:tc>
      </w:tr>
      <w:tr w:rsidR="00A26547" w:rsidRPr="00696751" w14:paraId="166AE213" w14:textId="77777777" w:rsidTr="003F171E">
        <w:trPr>
          <w:trHeight w:val="283"/>
        </w:trPr>
        <w:tc>
          <w:tcPr>
            <w:tcW w:w="1351" w:type="pct"/>
            <w:vAlign w:val="center"/>
          </w:tcPr>
          <w:p w14:paraId="64AB8FE4" w14:textId="77777777" w:rsidR="00A26547" w:rsidRPr="00D5386B" w:rsidRDefault="00A26547" w:rsidP="003F171E">
            <w:pPr>
              <w:widowControl w:val="0"/>
              <w:suppressAutoHyphens/>
              <w:spacing w:before="40" w:after="40"/>
              <w:rPr>
                <w:sz w:val="20"/>
                <w:lang w:val="en-GB"/>
              </w:rPr>
            </w:pPr>
            <w:r w:rsidRPr="00D5386B">
              <w:rPr>
                <w:sz w:val="20"/>
                <w:lang w:val="en-GB"/>
              </w:rPr>
              <w:t>Coefficient of variation of reproduction (%)</w:t>
            </w:r>
          </w:p>
        </w:tc>
        <w:tc>
          <w:tcPr>
            <w:tcW w:w="608" w:type="pct"/>
            <w:vAlign w:val="center"/>
          </w:tcPr>
          <w:p w14:paraId="24BC150B" w14:textId="77777777" w:rsidR="00A26547" w:rsidRPr="00696751" w:rsidRDefault="00A26547" w:rsidP="003F171E">
            <w:pPr>
              <w:widowControl w:val="0"/>
              <w:suppressAutoHyphens/>
              <w:spacing w:before="40" w:after="40"/>
              <w:rPr>
                <w:sz w:val="20"/>
              </w:rPr>
            </w:pPr>
            <w:r>
              <w:rPr>
                <w:sz w:val="20"/>
              </w:rPr>
              <w:t>15.3</w:t>
            </w:r>
          </w:p>
        </w:tc>
        <w:tc>
          <w:tcPr>
            <w:tcW w:w="608" w:type="pct"/>
            <w:shd w:val="clear" w:color="auto" w:fill="auto"/>
            <w:vAlign w:val="center"/>
          </w:tcPr>
          <w:p w14:paraId="5E80058F" w14:textId="77777777" w:rsidR="00A26547" w:rsidRPr="00696751" w:rsidRDefault="00A26547" w:rsidP="003F171E">
            <w:pPr>
              <w:widowControl w:val="0"/>
              <w:suppressAutoHyphens/>
              <w:spacing w:before="40" w:after="40"/>
              <w:rPr>
                <w:sz w:val="20"/>
              </w:rPr>
            </w:pPr>
            <w:r>
              <w:rPr>
                <w:sz w:val="20"/>
              </w:rPr>
              <w:t>12.8</w:t>
            </w:r>
          </w:p>
        </w:tc>
        <w:tc>
          <w:tcPr>
            <w:tcW w:w="609" w:type="pct"/>
            <w:shd w:val="clear" w:color="auto" w:fill="auto"/>
            <w:vAlign w:val="center"/>
          </w:tcPr>
          <w:p w14:paraId="7062327C" w14:textId="77777777" w:rsidR="00A26547" w:rsidRPr="00696751" w:rsidRDefault="00A26547" w:rsidP="003F171E">
            <w:pPr>
              <w:widowControl w:val="0"/>
              <w:suppressAutoHyphens/>
              <w:spacing w:before="40" w:after="40"/>
              <w:rPr>
                <w:sz w:val="20"/>
              </w:rPr>
            </w:pPr>
            <w:r>
              <w:rPr>
                <w:sz w:val="20"/>
              </w:rPr>
              <w:t>12.1</w:t>
            </w:r>
          </w:p>
        </w:tc>
        <w:tc>
          <w:tcPr>
            <w:tcW w:w="608" w:type="pct"/>
            <w:vAlign w:val="center"/>
          </w:tcPr>
          <w:p w14:paraId="0237C2B3" w14:textId="77777777" w:rsidR="00A26547" w:rsidRPr="00696751" w:rsidRDefault="00A26547" w:rsidP="003F171E">
            <w:pPr>
              <w:widowControl w:val="0"/>
              <w:suppressAutoHyphens/>
              <w:spacing w:before="40" w:after="40"/>
              <w:rPr>
                <w:sz w:val="20"/>
              </w:rPr>
            </w:pPr>
            <w:r>
              <w:rPr>
                <w:sz w:val="20"/>
              </w:rPr>
              <w:t>22.1</w:t>
            </w:r>
          </w:p>
        </w:tc>
        <w:tc>
          <w:tcPr>
            <w:tcW w:w="608" w:type="pct"/>
            <w:vAlign w:val="center"/>
          </w:tcPr>
          <w:p w14:paraId="3035060D" w14:textId="77777777" w:rsidR="00A26547" w:rsidRPr="00696751" w:rsidRDefault="00A26547" w:rsidP="003F171E">
            <w:pPr>
              <w:widowControl w:val="0"/>
              <w:suppressAutoHyphens/>
              <w:spacing w:before="40" w:after="40"/>
              <w:rPr>
                <w:sz w:val="20"/>
              </w:rPr>
            </w:pPr>
            <w:r>
              <w:rPr>
                <w:sz w:val="20"/>
              </w:rPr>
              <w:t>10.2</w:t>
            </w:r>
          </w:p>
        </w:tc>
        <w:tc>
          <w:tcPr>
            <w:tcW w:w="608" w:type="pct"/>
            <w:shd w:val="clear" w:color="auto" w:fill="auto"/>
            <w:vAlign w:val="center"/>
          </w:tcPr>
          <w:p w14:paraId="7D35DCF7" w14:textId="77777777" w:rsidR="00A26547" w:rsidRPr="00696751" w:rsidRDefault="00A26547" w:rsidP="003F171E">
            <w:pPr>
              <w:widowControl w:val="0"/>
              <w:suppressAutoHyphens/>
              <w:spacing w:before="40" w:after="40"/>
              <w:rPr>
                <w:sz w:val="20"/>
              </w:rPr>
            </w:pPr>
            <w:r>
              <w:rPr>
                <w:sz w:val="20"/>
              </w:rPr>
              <w:t>19.5</w:t>
            </w:r>
          </w:p>
        </w:tc>
      </w:tr>
      <w:tr w:rsidR="00A26547" w:rsidRPr="000D68B0" w14:paraId="421A818A" w14:textId="77777777" w:rsidTr="003F171E">
        <w:trPr>
          <w:cantSplit/>
          <w:trHeight w:val="283"/>
        </w:trPr>
        <w:tc>
          <w:tcPr>
            <w:tcW w:w="1351" w:type="pct"/>
            <w:vAlign w:val="center"/>
          </w:tcPr>
          <w:p w14:paraId="1D6FAD93" w14:textId="77777777" w:rsidR="00A26547" w:rsidRPr="00696751" w:rsidRDefault="00A26547" w:rsidP="003F171E">
            <w:pPr>
              <w:widowControl w:val="0"/>
              <w:suppressAutoHyphens/>
              <w:spacing w:before="40" w:after="40"/>
              <w:rPr>
                <w:sz w:val="20"/>
              </w:rPr>
            </w:pPr>
            <w:r w:rsidRPr="00696751">
              <w:rPr>
                <w:b/>
                <w:bCs/>
                <w:sz w:val="20"/>
              </w:rPr>
              <w:t>Endpoints</w:t>
            </w:r>
          </w:p>
        </w:tc>
        <w:tc>
          <w:tcPr>
            <w:tcW w:w="3649" w:type="pct"/>
            <w:gridSpan w:val="6"/>
            <w:vAlign w:val="center"/>
          </w:tcPr>
          <w:p w14:paraId="60629C7E" w14:textId="77777777" w:rsidR="00A26547" w:rsidRPr="00D5386B" w:rsidRDefault="00A26547" w:rsidP="003F171E">
            <w:pPr>
              <w:widowControl w:val="0"/>
              <w:suppressAutoHyphens/>
              <w:spacing w:before="40" w:after="40"/>
              <w:outlineLvl w:val="0"/>
              <w:rPr>
                <w:b/>
                <w:sz w:val="20"/>
                <w:lang w:val="en-GB"/>
              </w:rPr>
            </w:pPr>
            <w:r w:rsidRPr="00D5386B">
              <w:rPr>
                <w:b/>
                <w:bCs/>
                <w:sz w:val="20"/>
                <w:lang w:val="en-GB"/>
              </w:rPr>
              <w:t>[mg BAS 650 00 F/kg dry soil]</w:t>
            </w:r>
          </w:p>
        </w:tc>
      </w:tr>
      <w:tr w:rsidR="00A26547" w:rsidRPr="00696751" w14:paraId="792F4FD2" w14:textId="77777777" w:rsidTr="003F171E">
        <w:trPr>
          <w:cantSplit/>
          <w:trHeight w:val="283"/>
        </w:trPr>
        <w:tc>
          <w:tcPr>
            <w:tcW w:w="1351" w:type="pct"/>
            <w:vAlign w:val="center"/>
          </w:tcPr>
          <w:p w14:paraId="0DE856F7" w14:textId="77777777" w:rsidR="00A26547" w:rsidRPr="00696751" w:rsidRDefault="00A26547" w:rsidP="003F171E">
            <w:pPr>
              <w:widowControl w:val="0"/>
              <w:suppressAutoHyphens/>
              <w:spacing w:before="40" w:after="40"/>
              <w:rPr>
                <w:sz w:val="20"/>
              </w:rPr>
            </w:pPr>
            <w:r w:rsidRPr="00696751">
              <w:rPr>
                <w:sz w:val="20"/>
              </w:rPr>
              <w:lastRenderedPageBreak/>
              <w:t>NOEC</w:t>
            </w:r>
          </w:p>
        </w:tc>
        <w:tc>
          <w:tcPr>
            <w:tcW w:w="3649" w:type="pct"/>
            <w:gridSpan w:val="6"/>
            <w:vAlign w:val="center"/>
          </w:tcPr>
          <w:p w14:paraId="255CEE51" w14:textId="77777777" w:rsidR="00A26547" w:rsidRPr="00696751" w:rsidRDefault="00A26547" w:rsidP="003F171E">
            <w:pPr>
              <w:widowControl w:val="0"/>
              <w:suppressAutoHyphens/>
              <w:spacing w:before="40" w:after="40"/>
              <w:rPr>
                <w:sz w:val="20"/>
              </w:rPr>
            </w:pPr>
            <w:r w:rsidRPr="00696751">
              <w:rPr>
                <w:sz w:val="20"/>
              </w:rPr>
              <w:t>≥ 1000</w:t>
            </w:r>
          </w:p>
        </w:tc>
      </w:tr>
      <w:tr w:rsidR="00A26547" w:rsidRPr="00696751" w14:paraId="5F364BE4" w14:textId="77777777" w:rsidTr="003F171E">
        <w:trPr>
          <w:cantSplit/>
          <w:trHeight w:val="283"/>
        </w:trPr>
        <w:tc>
          <w:tcPr>
            <w:tcW w:w="1351" w:type="pct"/>
            <w:vAlign w:val="center"/>
          </w:tcPr>
          <w:p w14:paraId="2716268C" w14:textId="77777777" w:rsidR="00A26547" w:rsidRPr="00696751" w:rsidRDefault="00A26547" w:rsidP="003F171E">
            <w:pPr>
              <w:widowControl w:val="0"/>
              <w:suppressAutoHyphens/>
              <w:spacing w:before="40" w:after="40"/>
              <w:rPr>
                <w:sz w:val="20"/>
              </w:rPr>
            </w:pPr>
            <w:r w:rsidRPr="00696751">
              <w:rPr>
                <w:sz w:val="20"/>
              </w:rPr>
              <w:t>EC</w:t>
            </w:r>
            <w:r w:rsidRPr="00696751">
              <w:rPr>
                <w:sz w:val="20"/>
                <w:vertAlign w:val="subscript"/>
              </w:rPr>
              <w:t>50</w:t>
            </w:r>
          </w:p>
        </w:tc>
        <w:tc>
          <w:tcPr>
            <w:tcW w:w="3649" w:type="pct"/>
            <w:gridSpan w:val="6"/>
            <w:vAlign w:val="center"/>
          </w:tcPr>
          <w:p w14:paraId="17D19B0F" w14:textId="77777777" w:rsidR="00A26547" w:rsidRPr="00696751" w:rsidRDefault="00A26547" w:rsidP="003F171E">
            <w:pPr>
              <w:widowControl w:val="0"/>
              <w:suppressAutoHyphens/>
              <w:spacing w:before="40" w:after="40"/>
              <w:rPr>
                <w:sz w:val="20"/>
              </w:rPr>
            </w:pPr>
            <w:r w:rsidRPr="00696751">
              <w:rPr>
                <w:sz w:val="20"/>
              </w:rPr>
              <w:t>&gt; 1000</w:t>
            </w:r>
          </w:p>
        </w:tc>
      </w:tr>
      <w:tr w:rsidR="00A26547" w:rsidRPr="00696751" w14:paraId="3EBA5833" w14:textId="77777777" w:rsidTr="003F171E">
        <w:trPr>
          <w:cantSplit/>
          <w:trHeight w:val="283"/>
        </w:trPr>
        <w:tc>
          <w:tcPr>
            <w:tcW w:w="1351" w:type="pct"/>
            <w:vAlign w:val="center"/>
          </w:tcPr>
          <w:p w14:paraId="410A4192" w14:textId="77777777" w:rsidR="00A26547" w:rsidRPr="00696751" w:rsidRDefault="00A26547" w:rsidP="003F171E">
            <w:pPr>
              <w:widowControl w:val="0"/>
              <w:suppressAutoHyphens/>
              <w:spacing w:before="40" w:after="40"/>
              <w:rPr>
                <w:sz w:val="20"/>
              </w:rPr>
            </w:pPr>
            <w:r w:rsidRPr="00696751">
              <w:rPr>
                <w:sz w:val="20"/>
              </w:rPr>
              <w:t>LC</w:t>
            </w:r>
            <w:r w:rsidRPr="00696751">
              <w:rPr>
                <w:sz w:val="20"/>
                <w:vertAlign w:val="subscript"/>
              </w:rPr>
              <w:t>50</w:t>
            </w:r>
          </w:p>
        </w:tc>
        <w:tc>
          <w:tcPr>
            <w:tcW w:w="3649" w:type="pct"/>
            <w:gridSpan w:val="6"/>
            <w:vAlign w:val="center"/>
          </w:tcPr>
          <w:p w14:paraId="41824C6A" w14:textId="77777777" w:rsidR="00A26547" w:rsidRPr="00696751" w:rsidRDefault="00A26547" w:rsidP="003F171E">
            <w:pPr>
              <w:widowControl w:val="0"/>
              <w:suppressAutoHyphens/>
              <w:spacing w:before="40" w:after="40"/>
              <w:rPr>
                <w:sz w:val="20"/>
              </w:rPr>
            </w:pPr>
            <w:r w:rsidRPr="00696751">
              <w:rPr>
                <w:sz w:val="20"/>
              </w:rPr>
              <w:t>&gt; 1000</w:t>
            </w:r>
          </w:p>
        </w:tc>
      </w:tr>
    </w:tbl>
    <w:p w14:paraId="0DD66044" w14:textId="77777777" w:rsidR="00A26547" w:rsidRPr="00696751" w:rsidRDefault="00A26547" w:rsidP="00A26547">
      <w:pPr>
        <w:widowControl w:val="0"/>
        <w:suppressAutoHyphens/>
        <w:jc w:val="both"/>
      </w:pPr>
    </w:p>
    <w:p w14:paraId="7437CBF8" w14:textId="77777777" w:rsidR="00A26547" w:rsidRPr="00D5386B" w:rsidRDefault="00A26547" w:rsidP="00A26547">
      <w:pPr>
        <w:widowControl w:val="0"/>
        <w:suppressAutoHyphens/>
        <w:jc w:val="both"/>
        <w:rPr>
          <w:lang w:val="en-GB"/>
        </w:rPr>
      </w:pPr>
      <w:r w:rsidRPr="00D5386B">
        <w:rPr>
          <w:lang w:val="en-GB"/>
        </w:rPr>
        <w:t>The reference item Betosip had a significant effect on mortality with a LC</w:t>
      </w:r>
      <w:r w:rsidRPr="00D5386B">
        <w:rPr>
          <w:vertAlign w:val="subscript"/>
          <w:lang w:val="en-GB"/>
        </w:rPr>
        <w:t>50</w:t>
      </w:r>
      <w:r w:rsidRPr="00D5386B">
        <w:rPr>
          <w:lang w:val="en-GB"/>
        </w:rPr>
        <w:t xml:space="preserve"> of 221.8 mg /kg dry soil, the EC</w:t>
      </w:r>
      <w:r w:rsidRPr="00D5386B">
        <w:rPr>
          <w:vertAlign w:val="subscript"/>
          <w:lang w:val="en-GB"/>
        </w:rPr>
        <w:t>50</w:t>
      </w:r>
      <w:r w:rsidRPr="00D5386B">
        <w:rPr>
          <w:lang w:val="en-GB"/>
        </w:rPr>
        <w:t xml:space="preserve"> for reproduction was 146.4 mg/kg dry soil. Reproduction was statistically significantly reduced by 100 mg/kg dry soil. The NOEC was 50 mg/kg dry soil.</w:t>
      </w:r>
    </w:p>
    <w:p w14:paraId="1B98DCEF" w14:textId="77777777" w:rsidR="00A26547" w:rsidRDefault="00A26547" w:rsidP="00A26547">
      <w:pPr>
        <w:tabs>
          <w:tab w:val="left" w:pos="0"/>
        </w:tabs>
        <w:ind w:left="357" w:hanging="357"/>
        <w:contextualSpacing/>
        <w:rPr>
          <w:b/>
          <w:bCs/>
          <w:caps/>
          <w:szCs w:val="24"/>
          <w:highlight w:val="yellow"/>
          <w:lang w:val="en-GB"/>
        </w:rPr>
      </w:pPr>
    </w:p>
    <w:p w14:paraId="52608FC5" w14:textId="77777777" w:rsidR="00A26547" w:rsidRPr="00912208" w:rsidRDefault="00A26547" w:rsidP="00A26547">
      <w:pPr>
        <w:tabs>
          <w:tab w:val="left" w:pos="0"/>
        </w:tabs>
        <w:ind w:left="357" w:hanging="357"/>
        <w:contextualSpacing/>
        <w:rPr>
          <w:b/>
          <w:bCs/>
          <w:caps/>
          <w:szCs w:val="24"/>
          <w:lang w:val="en-GB"/>
        </w:rPr>
      </w:pPr>
      <w:r w:rsidRPr="00912208">
        <w:rPr>
          <w:b/>
          <w:bCs/>
          <w:caps/>
          <w:szCs w:val="24"/>
          <w:lang w:val="en-GB"/>
        </w:rPr>
        <w:t>D.</w:t>
      </w:r>
      <w:r w:rsidRPr="00912208">
        <w:rPr>
          <w:b/>
          <w:bCs/>
          <w:caps/>
          <w:szCs w:val="24"/>
          <w:lang w:val="en-GB"/>
        </w:rPr>
        <w:tab/>
        <w:t>VALIDITY CRITERIA</w:t>
      </w:r>
    </w:p>
    <w:p w14:paraId="5D785553" w14:textId="76522187" w:rsidR="00A26547" w:rsidRPr="00912208" w:rsidRDefault="00A26547" w:rsidP="00A26547">
      <w:pPr>
        <w:tabs>
          <w:tab w:val="left" w:pos="720"/>
        </w:tabs>
        <w:jc w:val="both"/>
        <w:rPr>
          <w:szCs w:val="24"/>
          <w:lang w:val="en-GB"/>
        </w:rPr>
      </w:pPr>
      <w:r w:rsidRPr="00912208">
        <w:rPr>
          <w:szCs w:val="24"/>
          <w:lang w:val="en-GB"/>
        </w:rPr>
        <w:t>All validity criteria were met (</w:t>
      </w:r>
      <w:r w:rsidR="000F2188">
        <w:rPr>
          <w:szCs w:val="24"/>
          <w:lang w:val="en-GB"/>
        </w:rPr>
        <w:fldChar w:fldCharType="begin"/>
      </w:r>
      <w:r w:rsidR="000F2188">
        <w:rPr>
          <w:szCs w:val="24"/>
          <w:lang w:val="en-GB"/>
        </w:rPr>
        <w:instrText xml:space="preserve"> REF _Ref147912463 \h </w:instrText>
      </w:r>
      <w:r w:rsidR="000F2188">
        <w:rPr>
          <w:szCs w:val="24"/>
          <w:lang w:val="en-GB"/>
        </w:rPr>
      </w:r>
      <w:r w:rsidR="000F2188">
        <w:rPr>
          <w:szCs w:val="24"/>
          <w:lang w:val="en-GB"/>
        </w:rPr>
        <w:fldChar w:fldCharType="separate"/>
      </w:r>
      <w:r w:rsidR="006F0F3B">
        <w:t xml:space="preserve">Table A </w:t>
      </w:r>
      <w:r w:rsidR="006F0F3B">
        <w:rPr>
          <w:noProof/>
        </w:rPr>
        <w:t>85</w:t>
      </w:r>
      <w:r w:rsidR="000F2188">
        <w:rPr>
          <w:szCs w:val="24"/>
          <w:lang w:val="en-GB"/>
        </w:rPr>
        <w:fldChar w:fldCharType="end"/>
      </w:r>
      <w:r w:rsidRPr="00912208">
        <w:rPr>
          <w:szCs w:val="24"/>
          <w:lang w:val="en-GB"/>
        </w:rPr>
        <w:t>).</w:t>
      </w:r>
    </w:p>
    <w:p w14:paraId="6C6E4C68" w14:textId="77777777" w:rsidR="00A26547" w:rsidRPr="00912208" w:rsidRDefault="00A26547" w:rsidP="00A26547">
      <w:pPr>
        <w:tabs>
          <w:tab w:val="left" w:pos="720"/>
        </w:tabs>
        <w:jc w:val="both"/>
        <w:rPr>
          <w:b/>
          <w:bCs/>
          <w:szCs w:val="24"/>
          <w:lang w:val="en-GB"/>
        </w:rPr>
      </w:pPr>
    </w:p>
    <w:p w14:paraId="5E762A44" w14:textId="0D990443" w:rsidR="00A26547" w:rsidRPr="00912208" w:rsidRDefault="000F2188" w:rsidP="000F2188">
      <w:pPr>
        <w:pStyle w:val="Legenda"/>
        <w:rPr>
          <w:b w:val="0"/>
          <w:bCs w:val="0"/>
          <w:szCs w:val="24"/>
        </w:rPr>
      </w:pPr>
      <w:bookmarkStart w:id="1173" w:name="_Ref147912463"/>
      <w:r>
        <w:t xml:space="preserve">Table A </w:t>
      </w:r>
      <w:r>
        <w:fldChar w:fldCharType="begin"/>
      </w:r>
      <w:r>
        <w:instrText xml:space="preserve"> SEQ Table_A \* ARABIC </w:instrText>
      </w:r>
      <w:r>
        <w:fldChar w:fldCharType="separate"/>
      </w:r>
      <w:r w:rsidR="006F0F3B">
        <w:rPr>
          <w:noProof/>
        </w:rPr>
        <w:t>85</w:t>
      </w:r>
      <w:r>
        <w:fldChar w:fldCharType="end"/>
      </w:r>
      <w:bookmarkEnd w:id="1173"/>
      <w:r w:rsidR="00A26547" w:rsidRPr="00912208">
        <w:rPr>
          <w:szCs w:val="24"/>
        </w:rPr>
        <w:t>: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0"/>
        <w:gridCol w:w="4819"/>
      </w:tblGrid>
      <w:tr w:rsidR="00A26547" w:rsidRPr="00912208" w14:paraId="3488D0CA" w14:textId="77777777" w:rsidTr="003F171E">
        <w:trPr>
          <w:trHeight w:val="270"/>
        </w:trPr>
        <w:tc>
          <w:tcPr>
            <w:tcW w:w="4390" w:type="dxa"/>
            <w:shd w:val="clear" w:color="auto" w:fill="auto"/>
            <w:noWrap/>
            <w:hideMark/>
          </w:tcPr>
          <w:p w14:paraId="76404F89" w14:textId="77777777" w:rsidR="00A26547" w:rsidRPr="00912208" w:rsidRDefault="00A26547" w:rsidP="003F171E">
            <w:pPr>
              <w:tabs>
                <w:tab w:val="left" w:pos="720"/>
              </w:tabs>
              <w:spacing w:before="40" w:after="40"/>
              <w:rPr>
                <w:b/>
                <w:bCs/>
                <w:lang w:val="en-GB"/>
              </w:rPr>
            </w:pPr>
            <w:r w:rsidRPr="00912208">
              <w:rPr>
                <w:b/>
                <w:bCs/>
                <w:lang w:val="en-GB"/>
              </w:rPr>
              <w:t>Validity criteria according to OECD 232 (2016)</w:t>
            </w:r>
          </w:p>
        </w:tc>
        <w:tc>
          <w:tcPr>
            <w:tcW w:w="4819" w:type="dxa"/>
            <w:shd w:val="clear" w:color="auto" w:fill="auto"/>
            <w:noWrap/>
            <w:hideMark/>
          </w:tcPr>
          <w:p w14:paraId="1C383CFF" w14:textId="77777777" w:rsidR="00A26547" w:rsidRPr="00912208" w:rsidRDefault="00A26547" w:rsidP="003F171E">
            <w:pPr>
              <w:tabs>
                <w:tab w:val="left" w:pos="720"/>
              </w:tabs>
              <w:spacing w:before="40" w:after="40"/>
              <w:rPr>
                <w:b/>
                <w:bCs/>
                <w:lang w:val="en-GB"/>
              </w:rPr>
            </w:pPr>
            <w:r w:rsidRPr="00912208">
              <w:rPr>
                <w:b/>
                <w:bCs/>
                <w:lang w:val="en-GB"/>
              </w:rPr>
              <w:t>Obtained in this study</w:t>
            </w:r>
          </w:p>
        </w:tc>
      </w:tr>
      <w:tr w:rsidR="00A26547" w:rsidRPr="00912208" w14:paraId="3725FA6D" w14:textId="77777777" w:rsidTr="003F171E">
        <w:trPr>
          <w:trHeight w:val="270"/>
        </w:trPr>
        <w:tc>
          <w:tcPr>
            <w:tcW w:w="4390" w:type="dxa"/>
            <w:shd w:val="clear" w:color="auto" w:fill="auto"/>
            <w:noWrap/>
          </w:tcPr>
          <w:p w14:paraId="7FBE9A2A" w14:textId="77777777" w:rsidR="00A26547" w:rsidRPr="00912208" w:rsidRDefault="00A26547" w:rsidP="003F171E">
            <w:pPr>
              <w:tabs>
                <w:tab w:val="left" w:pos="720"/>
              </w:tabs>
              <w:spacing w:before="40" w:after="40"/>
              <w:rPr>
                <w:lang w:val="en-GB"/>
              </w:rPr>
            </w:pPr>
            <w:r w:rsidRPr="00912208">
              <w:rPr>
                <w:lang w:val="en-GB"/>
              </w:rPr>
              <w:t>In the control(s), mean adult mortality in the control must be ≤20%</w:t>
            </w:r>
          </w:p>
        </w:tc>
        <w:tc>
          <w:tcPr>
            <w:tcW w:w="4819" w:type="dxa"/>
            <w:shd w:val="clear" w:color="auto" w:fill="auto"/>
            <w:noWrap/>
          </w:tcPr>
          <w:p w14:paraId="4E2D33B8" w14:textId="77777777" w:rsidR="00A26547" w:rsidRPr="00912208" w:rsidRDefault="00A26547" w:rsidP="003F171E">
            <w:pPr>
              <w:tabs>
                <w:tab w:val="left" w:pos="720"/>
              </w:tabs>
              <w:spacing w:before="40" w:after="40"/>
              <w:rPr>
                <w:lang w:val="en-GB"/>
              </w:rPr>
            </w:pPr>
            <w:r w:rsidRPr="00912208">
              <w:rPr>
                <w:lang w:val="en-GB"/>
              </w:rPr>
              <w:t>2%</w:t>
            </w:r>
          </w:p>
        </w:tc>
      </w:tr>
      <w:tr w:rsidR="00A26547" w:rsidRPr="00912208" w14:paraId="465CE844" w14:textId="77777777" w:rsidTr="003F171E">
        <w:trPr>
          <w:trHeight w:val="270"/>
        </w:trPr>
        <w:tc>
          <w:tcPr>
            <w:tcW w:w="4390" w:type="dxa"/>
            <w:shd w:val="clear" w:color="auto" w:fill="auto"/>
            <w:noWrap/>
          </w:tcPr>
          <w:p w14:paraId="4705069B" w14:textId="77777777" w:rsidR="00A26547" w:rsidRPr="00912208" w:rsidRDefault="00A26547" w:rsidP="003F171E">
            <w:pPr>
              <w:tabs>
                <w:tab w:val="left" w:pos="720"/>
              </w:tabs>
              <w:autoSpaceDE w:val="0"/>
              <w:autoSpaceDN w:val="0"/>
              <w:adjustRightInd w:val="0"/>
              <w:spacing w:before="40" w:after="40"/>
              <w:rPr>
                <w:rFonts w:eastAsia="Calibri"/>
                <w:lang w:val="en-GB"/>
              </w:rPr>
            </w:pPr>
            <w:r w:rsidRPr="00912208">
              <w:rPr>
                <w:rFonts w:eastAsia="Calibri"/>
                <w:lang w:val="en-GB"/>
              </w:rPr>
              <w:t>In the control(s), mean number of juveniles per test vessel in the controls must be ≥100</w:t>
            </w:r>
          </w:p>
        </w:tc>
        <w:tc>
          <w:tcPr>
            <w:tcW w:w="4819" w:type="dxa"/>
            <w:shd w:val="clear" w:color="auto" w:fill="auto"/>
            <w:noWrap/>
          </w:tcPr>
          <w:p w14:paraId="26DB4E70" w14:textId="77777777" w:rsidR="00A26547" w:rsidRPr="00912208" w:rsidRDefault="00A26547" w:rsidP="003F171E">
            <w:pPr>
              <w:tabs>
                <w:tab w:val="left" w:pos="720"/>
              </w:tabs>
              <w:spacing w:before="40" w:after="40"/>
              <w:rPr>
                <w:lang w:val="en-GB"/>
              </w:rPr>
            </w:pPr>
            <w:r w:rsidRPr="00912208">
              <w:rPr>
                <w:lang w:val="en-GB"/>
              </w:rPr>
              <w:t>Average of 455.6</w:t>
            </w:r>
          </w:p>
        </w:tc>
      </w:tr>
      <w:tr w:rsidR="00A26547" w:rsidRPr="00225A6F" w14:paraId="37BC923D" w14:textId="77777777" w:rsidTr="003F171E">
        <w:trPr>
          <w:trHeight w:val="270"/>
        </w:trPr>
        <w:tc>
          <w:tcPr>
            <w:tcW w:w="4390" w:type="dxa"/>
            <w:shd w:val="clear" w:color="auto" w:fill="auto"/>
            <w:noWrap/>
          </w:tcPr>
          <w:p w14:paraId="754760C7" w14:textId="77777777" w:rsidR="00A26547" w:rsidRPr="0006088D" w:rsidRDefault="00A26547" w:rsidP="003F171E">
            <w:pPr>
              <w:tabs>
                <w:tab w:val="left" w:pos="720"/>
              </w:tabs>
              <w:autoSpaceDE w:val="0"/>
              <w:autoSpaceDN w:val="0"/>
              <w:adjustRightInd w:val="0"/>
              <w:spacing w:before="40" w:after="40"/>
              <w:rPr>
                <w:rFonts w:eastAsia="Calibri"/>
                <w:lang w:val="en-GB"/>
              </w:rPr>
            </w:pPr>
            <w:r w:rsidRPr="0006088D">
              <w:rPr>
                <w:rFonts w:eastAsia="Calibri"/>
                <w:lang w:val="en-GB"/>
              </w:rPr>
              <w:t>In the control(s), coefficient of variation for the mean number of juveniles must be &lt;30%</w:t>
            </w:r>
          </w:p>
        </w:tc>
        <w:tc>
          <w:tcPr>
            <w:tcW w:w="4819" w:type="dxa"/>
            <w:shd w:val="clear" w:color="auto" w:fill="auto"/>
            <w:noWrap/>
          </w:tcPr>
          <w:p w14:paraId="4E589798" w14:textId="77777777" w:rsidR="00A26547" w:rsidRPr="0006088D" w:rsidRDefault="00A26547" w:rsidP="003F171E">
            <w:pPr>
              <w:tabs>
                <w:tab w:val="left" w:pos="720"/>
              </w:tabs>
              <w:spacing w:before="40" w:after="40"/>
              <w:rPr>
                <w:lang w:val="en-GB"/>
              </w:rPr>
            </w:pPr>
            <w:r w:rsidRPr="0006088D">
              <w:rPr>
                <w:lang w:val="en-GB"/>
              </w:rPr>
              <w:t>15.3%</w:t>
            </w:r>
          </w:p>
        </w:tc>
      </w:tr>
    </w:tbl>
    <w:p w14:paraId="5842F6D7" w14:textId="77777777" w:rsidR="00A26547" w:rsidRPr="00225A6F" w:rsidRDefault="00A26547" w:rsidP="00A26547">
      <w:pPr>
        <w:tabs>
          <w:tab w:val="left" w:pos="720"/>
        </w:tabs>
        <w:jc w:val="both"/>
        <w:rPr>
          <w:szCs w:val="24"/>
          <w:highlight w:val="yellow"/>
          <w:lang w:val="en-GB"/>
        </w:rPr>
      </w:pPr>
    </w:p>
    <w:p w14:paraId="1C04774A" w14:textId="77777777" w:rsidR="00A26547" w:rsidRPr="005C445F" w:rsidRDefault="00A26547" w:rsidP="00A26547">
      <w:pPr>
        <w:tabs>
          <w:tab w:val="left" w:pos="0"/>
        </w:tabs>
        <w:ind w:left="357" w:hanging="357"/>
        <w:contextualSpacing/>
        <w:rPr>
          <w:b/>
          <w:bCs/>
          <w:caps/>
          <w:szCs w:val="24"/>
          <w:lang w:val="en-GB"/>
        </w:rPr>
      </w:pPr>
      <w:r w:rsidRPr="005C445F">
        <w:rPr>
          <w:b/>
          <w:bCs/>
          <w:caps/>
          <w:szCs w:val="24"/>
          <w:lang w:val="en-GB"/>
        </w:rPr>
        <w:t>E.</w:t>
      </w:r>
      <w:r w:rsidRPr="005C445F">
        <w:rPr>
          <w:b/>
          <w:bCs/>
          <w:caps/>
          <w:szCs w:val="24"/>
          <w:lang w:val="en-GB"/>
        </w:rPr>
        <w:tab/>
        <w:t>DEFICIENCIES</w:t>
      </w:r>
    </w:p>
    <w:p w14:paraId="1278A52B" w14:textId="1960FECE" w:rsidR="00A26547" w:rsidRDefault="00A26547" w:rsidP="00A26547">
      <w:pPr>
        <w:tabs>
          <w:tab w:val="left" w:pos="720"/>
        </w:tabs>
        <w:spacing w:after="240"/>
        <w:jc w:val="both"/>
        <w:rPr>
          <w:szCs w:val="24"/>
          <w:lang w:val="en-GB"/>
        </w:rPr>
      </w:pPr>
      <w:r w:rsidRPr="005C445F">
        <w:rPr>
          <w:szCs w:val="24"/>
          <w:lang w:val="en-GB"/>
        </w:rPr>
        <w:t xml:space="preserve">There were no deficiencies. </w:t>
      </w:r>
    </w:p>
    <w:p w14:paraId="79D3634C" w14:textId="77777777" w:rsidR="00A26547" w:rsidRPr="00225A6F" w:rsidRDefault="00A26547" w:rsidP="00A26547">
      <w:pPr>
        <w:tabs>
          <w:tab w:val="left" w:pos="720"/>
        </w:tabs>
        <w:spacing w:after="240"/>
        <w:ind w:left="720" w:hanging="431"/>
        <w:contextualSpacing/>
        <w:jc w:val="center"/>
        <w:rPr>
          <w:b/>
          <w:bCs/>
          <w:caps/>
          <w:szCs w:val="24"/>
          <w:lang w:val="en-GB"/>
        </w:rPr>
      </w:pPr>
      <w:r w:rsidRPr="00225A6F">
        <w:rPr>
          <w:b/>
          <w:bCs/>
          <w:caps/>
          <w:szCs w:val="24"/>
          <w:lang w:val="en-GB"/>
        </w:rPr>
        <w:t>III.</w:t>
      </w:r>
      <w:r w:rsidRPr="00225A6F">
        <w:rPr>
          <w:b/>
          <w:bCs/>
          <w:caps/>
          <w:szCs w:val="24"/>
          <w:lang w:val="en-GB"/>
        </w:rPr>
        <w:tab/>
        <w:t>Conclusion</w:t>
      </w:r>
    </w:p>
    <w:p w14:paraId="3D9556C4" w14:textId="77777777" w:rsidR="00A26547" w:rsidRPr="00225A6F" w:rsidRDefault="00A26547" w:rsidP="00A26547">
      <w:pPr>
        <w:tabs>
          <w:tab w:val="left" w:pos="720"/>
        </w:tabs>
        <w:spacing w:after="240"/>
        <w:ind w:left="720" w:hanging="431"/>
        <w:contextualSpacing/>
        <w:jc w:val="center"/>
        <w:rPr>
          <w:b/>
          <w:bCs/>
          <w:caps/>
          <w:szCs w:val="24"/>
          <w:highlight w:val="yellow"/>
          <w:lang w:val="en-GB"/>
        </w:rPr>
      </w:pPr>
    </w:p>
    <w:p w14:paraId="252E764B" w14:textId="77777777" w:rsidR="00A26547" w:rsidRDefault="00A26547" w:rsidP="00A26547">
      <w:pPr>
        <w:pStyle w:val="RepStandard"/>
        <w:rPr>
          <w:bCs/>
          <w:lang w:val="en-GB"/>
        </w:rPr>
      </w:pPr>
      <w:r w:rsidRPr="00D5386B">
        <w:rPr>
          <w:bCs/>
          <w:lang w:val="en-GB"/>
        </w:rPr>
        <w:t>In a 28-day reproduction study with BAS 650 00 F on springtails, the NOEC was ≥ 1000 mg BAS 650 00 F/kg dry soil. The LC</w:t>
      </w:r>
      <w:r w:rsidRPr="00D5386B">
        <w:rPr>
          <w:bCs/>
          <w:vertAlign w:val="subscript"/>
          <w:lang w:val="en-GB"/>
        </w:rPr>
        <w:t>50</w:t>
      </w:r>
      <w:r w:rsidRPr="00D5386B">
        <w:rPr>
          <w:bCs/>
          <w:lang w:val="en-GB"/>
        </w:rPr>
        <w:t xml:space="preserve"> and EC</w:t>
      </w:r>
      <w:r w:rsidRPr="00D5386B">
        <w:rPr>
          <w:bCs/>
          <w:vertAlign w:val="subscript"/>
          <w:lang w:val="en-GB"/>
        </w:rPr>
        <w:t>50</w:t>
      </w:r>
      <w:r w:rsidRPr="00D5386B">
        <w:rPr>
          <w:bCs/>
          <w:lang w:val="en-GB"/>
        </w:rPr>
        <w:t xml:space="preserve"> was determined to be &gt; 1000 mg BAS 650 00 F/kg dry soil.</w:t>
      </w:r>
    </w:p>
    <w:p w14:paraId="027CF3F7" w14:textId="77777777" w:rsidR="00A26547" w:rsidRDefault="00A26547" w:rsidP="00A26547">
      <w:pPr>
        <w:pStyle w:val="RepStandard"/>
        <w:rPr>
          <w:bCs/>
          <w:lang w:val="en-GB"/>
        </w:rPr>
      </w:pPr>
    </w:p>
    <w:p w14:paraId="0EA8009B" w14:textId="45F3456F" w:rsidR="00A26547" w:rsidRPr="00D5386B" w:rsidRDefault="00A26547" w:rsidP="00A26547">
      <w:pPr>
        <w:pStyle w:val="RepStandard"/>
        <w:rPr>
          <w:bCs/>
          <w:lang w:val="en-GB"/>
        </w:rPr>
      </w:pPr>
    </w:p>
    <w:p w14:paraId="7DE713FB" w14:textId="77777777" w:rsidR="008D2927" w:rsidRDefault="008D2927">
      <w:pPr>
        <w:rPr>
          <w:b/>
          <w:bCs/>
          <w:color w:val="000000" w:themeColor="text1"/>
          <w:sz w:val="24"/>
        </w:rPr>
      </w:pPr>
      <w:r>
        <w:rPr>
          <w:color w:val="000000" w:themeColor="text1"/>
        </w:rPr>
        <w:br w:type="page"/>
      </w:r>
    </w:p>
    <w:p w14:paraId="5E2C04CA" w14:textId="391BE32D" w:rsidR="00A26547" w:rsidRPr="00570B52" w:rsidRDefault="00A26547" w:rsidP="00A26547">
      <w:pPr>
        <w:pStyle w:val="RepAppendix5"/>
        <w:suppressAutoHyphens/>
        <w:outlineLvl w:val="2"/>
        <w:rPr>
          <w:color w:val="000000" w:themeColor="text1"/>
        </w:rPr>
      </w:pPr>
      <w:r w:rsidRPr="00570B52">
        <w:rPr>
          <w:color w:val="000000" w:themeColor="text1"/>
        </w:rPr>
        <w:lastRenderedPageBreak/>
        <w:t xml:space="preserve">Study </w:t>
      </w:r>
      <w:r>
        <w:rPr>
          <w:color w:val="000000" w:themeColor="text1"/>
        </w:rPr>
        <w:t>4</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A26547" w:rsidRPr="00570B52" w14:paraId="1A6E1336" w14:textId="77777777" w:rsidTr="008D2927">
        <w:trPr>
          <w:trHeight w:val="348"/>
        </w:trPr>
        <w:tc>
          <w:tcPr>
            <w:tcW w:w="1063" w:type="pct"/>
            <w:shd w:val="clear" w:color="auto" w:fill="D9D9D9" w:themeFill="background1" w:themeFillShade="D9"/>
          </w:tcPr>
          <w:p w14:paraId="59C098FD" w14:textId="77777777" w:rsidR="00A26547" w:rsidRPr="00570B52" w:rsidRDefault="00A26547" w:rsidP="003F171E">
            <w:pPr>
              <w:pStyle w:val="RepStandard"/>
              <w:rPr>
                <w:rFonts w:eastAsia="Batang"/>
                <w:color w:val="000000" w:themeColor="text1"/>
              </w:rPr>
            </w:pPr>
            <w:r w:rsidRPr="00570B52">
              <w:rPr>
                <w:color w:val="000000" w:themeColor="text1"/>
              </w:rPr>
              <w:t>Comments of zRMS:</w:t>
            </w:r>
          </w:p>
        </w:tc>
        <w:tc>
          <w:tcPr>
            <w:tcW w:w="3937" w:type="pct"/>
            <w:shd w:val="clear" w:color="auto" w:fill="D9D9D9" w:themeFill="background1" w:themeFillShade="D9"/>
          </w:tcPr>
          <w:p w14:paraId="4CBA196C" w14:textId="47507D38" w:rsidR="00A26547" w:rsidRPr="00570B52" w:rsidRDefault="000576ED" w:rsidP="003F171E">
            <w:pPr>
              <w:pStyle w:val="RepStandard"/>
              <w:ind w:left="85"/>
              <w:rPr>
                <w:rFonts w:eastAsia="Batang"/>
                <w:color w:val="000000" w:themeColor="text1"/>
              </w:rPr>
            </w:pPr>
            <w:r>
              <w:rPr>
                <w:rFonts w:eastAsia="Batang"/>
                <w:color w:val="000000" w:themeColor="text1"/>
              </w:rPr>
              <w:t xml:space="preserve">Study not evaluated. </w:t>
            </w:r>
          </w:p>
        </w:tc>
      </w:tr>
    </w:tbl>
    <w:p w14:paraId="0BE3C354" w14:textId="77777777" w:rsidR="00A26547" w:rsidRDefault="00A26547" w:rsidP="00A26547">
      <w:pPr>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A26547" w:rsidRPr="007D02C1" w14:paraId="551A84B4" w14:textId="77777777" w:rsidTr="003F171E">
        <w:trPr>
          <w:trHeight w:val="227"/>
          <w:jc w:val="center"/>
        </w:trPr>
        <w:tc>
          <w:tcPr>
            <w:tcW w:w="1364" w:type="pct"/>
          </w:tcPr>
          <w:p w14:paraId="3BC936A5" w14:textId="77777777" w:rsidR="00A26547" w:rsidRPr="006C137C" w:rsidRDefault="00A26547" w:rsidP="003F171E">
            <w:pPr>
              <w:pStyle w:val="RepStandard"/>
              <w:spacing w:after="120"/>
            </w:pPr>
            <w:r w:rsidRPr="006C137C">
              <w:t xml:space="preserve">Data point: </w:t>
            </w:r>
          </w:p>
        </w:tc>
        <w:tc>
          <w:tcPr>
            <w:tcW w:w="3636" w:type="pct"/>
          </w:tcPr>
          <w:p w14:paraId="31423C92" w14:textId="77777777" w:rsidR="00A26547" w:rsidRPr="00660146" w:rsidRDefault="00A26547" w:rsidP="003F171E">
            <w:pPr>
              <w:pStyle w:val="RepStandard"/>
              <w:spacing w:after="120"/>
            </w:pPr>
            <w:r w:rsidRPr="006C137C">
              <w:t>CP 10.4.2.1/04</w:t>
            </w:r>
          </w:p>
        </w:tc>
      </w:tr>
      <w:tr w:rsidR="00A26547" w:rsidRPr="007D02C1" w14:paraId="768C3FD0" w14:textId="77777777" w:rsidTr="003F171E">
        <w:trPr>
          <w:trHeight w:val="227"/>
          <w:jc w:val="center"/>
        </w:trPr>
        <w:tc>
          <w:tcPr>
            <w:tcW w:w="1364" w:type="pct"/>
          </w:tcPr>
          <w:p w14:paraId="7561DB28" w14:textId="77777777" w:rsidR="00A26547" w:rsidRPr="00660146" w:rsidRDefault="00A26547" w:rsidP="003F171E">
            <w:pPr>
              <w:pStyle w:val="RepStandard"/>
              <w:spacing w:after="120"/>
            </w:pPr>
            <w:r w:rsidRPr="00660146">
              <w:t xml:space="preserve">Report </w:t>
            </w:r>
          </w:p>
        </w:tc>
        <w:tc>
          <w:tcPr>
            <w:tcW w:w="3636" w:type="pct"/>
          </w:tcPr>
          <w:p w14:paraId="462191B4" w14:textId="77777777" w:rsidR="00A26547" w:rsidRPr="00D5386B" w:rsidRDefault="00A26547" w:rsidP="003F171E">
            <w:pPr>
              <w:widowControl w:val="0"/>
              <w:spacing w:after="120"/>
              <w:jc w:val="both"/>
              <w:rPr>
                <w:i/>
                <w:lang w:val="en-GB"/>
              </w:rPr>
            </w:pPr>
            <w:r w:rsidRPr="00D5386B">
              <w:rPr>
                <w:lang w:val="en-GB"/>
              </w:rPr>
              <w:t xml:space="preserve">Effects of BAS 650 00 F on the reproduction of the predatory mite </w:t>
            </w:r>
            <w:r w:rsidRPr="00D5386B">
              <w:rPr>
                <w:i/>
                <w:lang w:val="en-GB"/>
              </w:rPr>
              <w:t>Hypoaspis aculeifer</w:t>
            </w:r>
          </w:p>
          <w:p w14:paraId="10DF901E" w14:textId="77777777" w:rsidR="00A26547" w:rsidRPr="00A26547" w:rsidRDefault="00A26547" w:rsidP="003F171E">
            <w:pPr>
              <w:pStyle w:val="RepStandard"/>
              <w:spacing w:after="120"/>
              <w:rPr>
                <w:lang w:val="de-DE"/>
              </w:rPr>
            </w:pPr>
            <w:r w:rsidRPr="00A26547">
              <w:rPr>
                <w:lang w:val="de-DE"/>
              </w:rPr>
              <w:t>Schulz L., 2016</w:t>
            </w:r>
          </w:p>
          <w:p w14:paraId="6BA88DB0" w14:textId="77777777" w:rsidR="00A26547" w:rsidRPr="00A26547" w:rsidRDefault="00A26547" w:rsidP="003F171E">
            <w:pPr>
              <w:pStyle w:val="RepStandard"/>
              <w:spacing w:after="120"/>
              <w:rPr>
                <w:lang w:val="de-DE"/>
              </w:rPr>
            </w:pPr>
            <w:r w:rsidRPr="00A26547">
              <w:rPr>
                <w:lang w:val="de-DE"/>
              </w:rPr>
              <w:t>Report No EU-808981</w:t>
            </w:r>
          </w:p>
          <w:p w14:paraId="3C507B05" w14:textId="2E7B54A5" w:rsidR="00A26547" w:rsidRPr="00660146" w:rsidRDefault="00D007AB" w:rsidP="003F171E">
            <w:pPr>
              <w:pStyle w:val="RepStandard"/>
              <w:spacing w:after="120"/>
            </w:pPr>
            <w:r>
              <w:t>XXXX</w:t>
            </w:r>
            <w:r w:rsidR="00A26547" w:rsidRPr="00660146">
              <w:t xml:space="preserve"> Doc ID: </w:t>
            </w:r>
            <w:r w:rsidR="00A26547" w:rsidRPr="00D5386B">
              <w:t>2016/1193035</w:t>
            </w:r>
          </w:p>
        </w:tc>
      </w:tr>
      <w:tr w:rsidR="00A26547" w:rsidRPr="007D02C1" w14:paraId="7CF8EF07" w14:textId="77777777" w:rsidTr="003F171E">
        <w:trPr>
          <w:trHeight w:val="227"/>
          <w:jc w:val="center"/>
        </w:trPr>
        <w:tc>
          <w:tcPr>
            <w:tcW w:w="1364" w:type="pct"/>
          </w:tcPr>
          <w:p w14:paraId="7D78F5F6" w14:textId="77777777" w:rsidR="00A26547" w:rsidRPr="00660146" w:rsidRDefault="00A26547" w:rsidP="003F171E">
            <w:pPr>
              <w:pStyle w:val="RepStandard"/>
              <w:spacing w:after="120"/>
            </w:pPr>
            <w:r w:rsidRPr="00660146">
              <w:t>Guideline</w:t>
            </w:r>
            <w:r>
              <w:t>(</w:t>
            </w:r>
            <w:r w:rsidRPr="00660146">
              <w:t>s</w:t>
            </w:r>
            <w:r>
              <w:t>)</w:t>
            </w:r>
            <w:r w:rsidRPr="00660146">
              <w:t xml:space="preserve">: </w:t>
            </w:r>
          </w:p>
        </w:tc>
        <w:tc>
          <w:tcPr>
            <w:tcW w:w="3636" w:type="pct"/>
            <w:shd w:val="clear" w:color="auto" w:fill="auto"/>
          </w:tcPr>
          <w:p w14:paraId="2480D1AF" w14:textId="77777777" w:rsidR="00A26547" w:rsidRPr="00660146" w:rsidRDefault="00A26547" w:rsidP="003F171E">
            <w:pPr>
              <w:pStyle w:val="RepStandard"/>
              <w:spacing w:after="120"/>
            </w:pPr>
            <w:r w:rsidRPr="00660146">
              <w:t>OECD 226 (20</w:t>
            </w:r>
            <w:r>
              <w:t>08</w:t>
            </w:r>
            <w:r w:rsidRPr="00660146">
              <w:t>)</w:t>
            </w:r>
          </w:p>
        </w:tc>
      </w:tr>
      <w:tr w:rsidR="00A26547" w:rsidRPr="007D02C1" w14:paraId="21981E72" w14:textId="77777777" w:rsidTr="003F171E">
        <w:trPr>
          <w:trHeight w:val="227"/>
          <w:jc w:val="center"/>
        </w:trPr>
        <w:tc>
          <w:tcPr>
            <w:tcW w:w="1364" w:type="pct"/>
          </w:tcPr>
          <w:p w14:paraId="74F6D22E" w14:textId="77777777" w:rsidR="00A26547" w:rsidRPr="00660146" w:rsidRDefault="00A26547" w:rsidP="003F171E">
            <w:pPr>
              <w:pStyle w:val="RepStandard"/>
              <w:spacing w:after="120"/>
            </w:pPr>
            <w:r w:rsidRPr="00660146">
              <w:t xml:space="preserve">Deviations: </w:t>
            </w:r>
          </w:p>
        </w:tc>
        <w:tc>
          <w:tcPr>
            <w:tcW w:w="3636" w:type="pct"/>
            <w:shd w:val="clear" w:color="auto" w:fill="auto"/>
          </w:tcPr>
          <w:p w14:paraId="3BEA2B9E" w14:textId="77777777" w:rsidR="00A26547" w:rsidRPr="00660146" w:rsidRDefault="00A26547" w:rsidP="003F171E">
            <w:pPr>
              <w:pStyle w:val="RepStandard"/>
              <w:spacing w:after="120"/>
            </w:pPr>
            <w:r w:rsidRPr="00660146">
              <w:t>No</w:t>
            </w:r>
          </w:p>
        </w:tc>
      </w:tr>
      <w:tr w:rsidR="00A26547" w:rsidRPr="007D02C1" w14:paraId="654C0DB4" w14:textId="77777777" w:rsidTr="003F171E">
        <w:trPr>
          <w:trHeight w:val="227"/>
          <w:jc w:val="center"/>
        </w:trPr>
        <w:tc>
          <w:tcPr>
            <w:tcW w:w="1364" w:type="pct"/>
          </w:tcPr>
          <w:p w14:paraId="63D4D148" w14:textId="77777777" w:rsidR="00A26547" w:rsidRPr="00660146" w:rsidRDefault="00A26547" w:rsidP="003F171E">
            <w:pPr>
              <w:pStyle w:val="RepStandard"/>
              <w:spacing w:after="120"/>
            </w:pPr>
            <w:r w:rsidRPr="00660146">
              <w:t>GLP:</w:t>
            </w:r>
          </w:p>
        </w:tc>
        <w:tc>
          <w:tcPr>
            <w:tcW w:w="3636" w:type="pct"/>
          </w:tcPr>
          <w:p w14:paraId="766D9723" w14:textId="77777777" w:rsidR="00A26547" w:rsidRPr="00660146" w:rsidRDefault="00A26547" w:rsidP="003F171E">
            <w:pPr>
              <w:pStyle w:val="RepStandard"/>
              <w:spacing w:after="120"/>
            </w:pPr>
            <w:r w:rsidRPr="00660146">
              <w:t>Yes, GLP</w:t>
            </w:r>
          </w:p>
        </w:tc>
      </w:tr>
      <w:tr w:rsidR="00A26547" w:rsidRPr="007D02C1" w14:paraId="0C034424" w14:textId="77777777" w:rsidTr="003F171E">
        <w:trPr>
          <w:trHeight w:val="227"/>
          <w:jc w:val="center"/>
        </w:trPr>
        <w:tc>
          <w:tcPr>
            <w:tcW w:w="1364" w:type="pct"/>
          </w:tcPr>
          <w:p w14:paraId="31B69320" w14:textId="77777777" w:rsidR="00A26547" w:rsidRPr="00660146" w:rsidRDefault="00A26547" w:rsidP="003F171E">
            <w:pPr>
              <w:pStyle w:val="RepStandard"/>
              <w:spacing w:after="120"/>
            </w:pPr>
            <w:r w:rsidRPr="00660146">
              <w:t xml:space="preserve">Acceptability: </w:t>
            </w:r>
          </w:p>
        </w:tc>
        <w:tc>
          <w:tcPr>
            <w:tcW w:w="3636" w:type="pct"/>
          </w:tcPr>
          <w:p w14:paraId="4436F935" w14:textId="77777777" w:rsidR="00A26547" w:rsidRPr="00660146" w:rsidRDefault="00A26547" w:rsidP="003F171E">
            <w:pPr>
              <w:pStyle w:val="RepStandard"/>
              <w:spacing w:after="120"/>
            </w:pPr>
            <w:r w:rsidRPr="00660146">
              <w:t>Yes</w:t>
            </w:r>
          </w:p>
        </w:tc>
      </w:tr>
    </w:tbl>
    <w:p w14:paraId="7459E367" w14:textId="77777777" w:rsidR="00A26547" w:rsidRDefault="00A26547" w:rsidP="00A26547">
      <w:pPr>
        <w:pStyle w:val="RepStandard"/>
        <w:rPr>
          <w:bCs/>
          <w:lang w:val="en-GB"/>
        </w:rPr>
      </w:pPr>
    </w:p>
    <w:p w14:paraId="3775EDD0" w14:textId="77777777" w:rsidR="00A26547" w:rsidRPr="00FA17D2" w:rsidRDefault="00A26547" w:rsidP="00A26547">
      <w:pPr>
        <w:rPr>
          <w:b/>
          <w:szCs w:val="32"/>
          <w:lang w:val="en-GB"/>
        </w:rPr>
      </w:pPr>
      <w:r w:rsidRPr="00FA17D2">
        <w:rPr>
          <w:b/>
          <w:szCs w:val="32"/>
          <w:lang w:val="en-GB"/>
        </w:rPr>
        <w:t>Executive Summary</w:t>
      </w:r>
    </w:p>
    <w:p w14:paraId="42312718" w14:textId="77777777" w:rsidR="00A26547" w:rsidRDefault="00A26547" w:rsidP="00A26547">
      <w:pPr>
        <w:pStyle w:val="RepStandard"/>
        <w:rPr>
          <w:bCs/>
          <w:lang w:val="en-GB"/>
        </w:rPr>
      </w:pPr>
    </w:p>
    <w:p w14:paraId="72B59816" w14:textId="77777777" w:rsidR="00A26547" w:rsidRPr="00D5386B" w:rsidRDefault="00A26547" w:rsidP="00A26547">
      <w:pPr>
        <w:widowControl w:val="0"/>
        <w:tabs>
          <w:tab w:val="left" w:pos="720"/>
        </w:tabs>
        <w:suppressAutoHyphens/>
        <w:jc w:val="both"/>
        <w:rPr>
          <w:lang w:val="en-GB"/>
        </w:rPr>
      </w:pPr>
      <w:r w:rsidRPr="00D5386B">
        <w:rPr>
          <w:lang w:val="en-GB"/>
        </w:rPr>
        <w:t xml:space="preserve">The effects of BAS 650 00 F on mortality and reproduction of the predatory mite </w:t>
      </w:r>
      <w:r w:rsidRPr="00D5386B">
        <w:rPr>
          <w:i/>
          <w:lang w:val="en-GB"/>
        </w:rPr>
        <w:t>Hypoaspis aculeifer</w:t>
      </w:r>
      <w:r w:rsidRPr="00D5386B">
        <w:rPr>
          <w:lang w:val="en-GB"/>
        </w:rPr>
        <w:t xml:space="preserve"> were investigated in a laboratory study over 14 days. Eight test concentrations, 16.3, 29.4, 52.9, 95.3, 171.5, 308.6, 555.6 and 1000 mg BAS 650 00 F/kg dry soil were incorporated into the soil with four replicates per concentration. An untreated control with 8 replicates was included. Each replicate treatment contained 10 adult female mites. The reference item was tested in a separate study. Assessment of mortality and reproduction (number of juveniles) was carried out after 14 days.</w:t>
      </w:r>
    </w:p>
    <w:p w14:paraId="3B987210" w14:textId="77777777" w:rsidR="00A26547" w:rsidRPr="00D5386B" w:rsidRDefault="00A26547" w:rsidP="00A26547">
      <w:pPr>
        <w:widowControl w:val="0"/>
        <w:tabs>
          <w:tab w:val="left" w:pos="720"/>
        </w:tabs>
        <w:suppressAutoHyphens/>
        <w:jc w:val="both"/>
        <w:rPr>
          <w:lang w:val="en-GB"/>
        </w:rPr>
      </w:pPr>
    </w:p>
    <w:p w14:paraId="625CA335" w14:textId="77777777" w:rsidR="00A26547" w:rsidRPr="00D5386B" w:rsidRDefault="00A26547" w:rsidP="00A26547">
      <w:pPr>
        <w:widowControl w:val="0"/>
        <w:tabs>
          <w:tab w:val="left" w:pos="720"/>
        </w:tabs>
        <w:suppressAutoHyphens/>
        <w:jc w:val="both"/>
        <w:rPr>
          <w:lang w:val="en-GB"/>
        </w:rPr>
      </w:pPr>
      <w:r w:rsidRPr="00D5386B">
        <w:rPr>
          <w:lang w:val="en-GB"/>
        </w:rPr>
        <w:t xml:space="preserve">The mortality was between 0% and 10% in the test item treatment groups, compared to 3.8% in the control. The mortality observed was not statistically significantly different compared to the control. </w:t>
      </w:r>
      <w:r w:rsidRPr="00D5386B">
        <w:rPr>
          <w:bCs/>
          <w:lang w:val="en-GB"/>
        </w:rPr>
        <w:t>Reproduction rates in the 16.3, 29.4, 52.9, 95.3, 171.5, 308.6, 555.6 and 1000 mg test item/kg dry soil groups were 297.8, 284.8, 286.3, 282.0, 315.3, 291.0, 322.0 and 293.5 juveniles, respectively. The mean reproduction in the control reached 290.6 juveniles. The test item showed no statistically significantly adverse effects on reproduction at all tested concentrations</w:t>
      </w:r>
      <w:r w:rsidRPr="00D5386B">
        <w:rPr>
          <w:lang w:val="en-GB"/>
        </w:rPr>
        <w:t>. No behavioral abnormalities or differences in morphology of the mites between the test item treated groups and the control were observed.</w:t>
      </w:r>
    </w:p>
    <w:p w14:paraId="16EE0877" w14:textId="77777777" w:rsidR="00A26547" w:rsidRPr="00D5386B" w:rsidRDefault="00A26547" w:rsidP="00A26547">
      <w:pPr>
        <w:widowControl w:val="0"/>
        <w:tabs>
          <w:tab w:val="left" w:pos="720"/>
        </w:tabs>
        <w:suppressAutoHyphens/>
        <w:jc w:val="both"/>
        <w:rPr>
          <w:lang w:val="en-GB"/>
        </w:rPr>
      </w:pPr>
    </w:p>
    <w:p w14:paraId="44C77966" w14:textId="77777777" w:rsidR="00A26547" w:rsidRPr="00D5386B" w:rsidRDefault="00A26547" w:rsidP="00A26547">
      <w:pPr>
        <w:widowControl w:val="0"/>
        <w:suppressAutoHyphens/>
        <w:jc w:val="both"/>
        <w:rPr>
          <w:bCs/>
          <w:lang w:val="en-GB"/>
        </w:rPr>
      </w:pPr>
      <w:r w:rsidRPr="00D5386B">
        <w:rPr>
          <w:bCs/>
          <w:lang w:val="en-GB"/>
        </w:rPr>
        <w:t xml:space="preserve">In a 14-day </w:t>
      </w:r>
      <w:r w:rsidRPr="00D5386B">
        <w:rPr>
          <w:bCs/>
          <w:i/>
          <w:lang w:val="en-GB"/>
        </w:rPr>
        <w:t>Hypoaspis aculeifer</w:t>
      </w:r>
      <w:r w:rsidRPr="00D5386B">
        <w:rPr>
          <w:bCs/>
          <w:lang w:val="en-GB"/>
        </w:rPr>
        <w:t xml:space="preserve"> reproduction study with BAS 650 00 F, the LC</w:t>
      </w:r>
      <w:r w:rsidRPr="00D5386B">
        <w:rPr>
          <w:bCs/>
          <w:vertAlign w:val="subscript"/>
          <w:lang w:val="en-GB"/>
        </w:rPr>
        <w:t>50</w:t>
      </w:r>
      <w:r w:rsidRPr="00D5386B">
        <w:rPr>
          <w:bCs/>
          <w:lang w:val="en-GB"/>
        </w:rPr>
        <w:t>, EC</w:t>
      </w:r>
      <w:r w:rsidRPr="00D5386B">
        <w:rPr>
          <w:bCs/>
          <w:vertAlign w:val="subscript"/>
          <w:lang w:val="en-GB"/>
        </w:rPr>
        <w:t>10</w:t>
      </w:r>
      <w:r w:rsidRPr="00D5386B">
        <w:rPr>
          <w:bCs/>
          <w:lang w:val="en-GB"/>
        </w:rPr>
        <w:t>, EC</w:t>
      </w:r>
      <w:r w:rsidRPr="00D5386B">
        <w:rPr>
          <w:bCs/>
          <w:vertAlign w:val="subscript"/>
          <w:lang w:val="en-GB"/>
        </w:rPr>
        <w:t>20</w:t>
      </w:r>
      <w:r w:rsidRPr="00D5386B">
        <w:rPr>
          <w:bCs/>
          <w:lang w:val="en-GB"/>
        </w:rPr>
        <w:t xml:space="preserve"> and EC</w:t>
      </w:r>
      <w:r w:rsidRPr="00D5386B">
        <w:rPr>
          <w:bCs/>
          <w:vertAlign w:val="subscript"/>
          <w:lang w:val="en-GB"/>
        </w:rPr>
        <w:t>50</w:t>
      </w:r>
      <w:r w:rsidRPr="00D5386B">
        <w:rPr>
          <w:bCs/>
          <w:lang w:val="en-GB"/>
        </w:rPr>
        <w:t xml:space="preserve"> values could not be calculated, but it can be concluded that these values are higher than 1000 mg BAS 650 00 F/kg dry soil, respectively. The NOEC for mortality and for reproduction were determined to be ≥ 1000 mg BAS 650 00 F/kg dry soil, the highest concentration tested.</w:t>
      </w:r>
    </w:p>
    <w:p w14:paraId="3389126D" w14:textId="77777777" w:rsidR="00A26547" w:rsidRDefault="00A26547" w:rsidP="00A26547">
      <w:pPr>
        <w:widowControl w:val="0"/>
        <w:suppressAutoHyphens/>
        <w:jc w:val="both"/>
        <w:rPr>
          <w:lang w:val="en-GB"/>
        </w:rPr>
      </w:pPr>
    </w:p>
    <w:p w14:paraId="5DE32EA8" w14:textId="77777777" w:rsidR="00A26547" w:rsidRPr="00794A3B" w:rsidRDefault="00A26547" w:rsidP="00A26547">
      <w:pPr>
        <w:tabs>
          <w:tab w:val="left" w:pos="720"/>
        </w:tabs>
        <w:spacing w:after="240"/>
        <w:ind w:left="720" w:hanging="431"/>
        <w:contextualSpacing/>
        <w:jc w:val="center"/>
        <w:rPr>
          <w:rFonts w:ascii="Times New Roman Bold" w:hAnsi="Times New Roman Bold"/>
          <w:b/>
          <w:bCs/>
          <w:caps/>
          <w:szCs w:val="24"/>
          <w:lang w:val="en-GB"/>
        </w:rPr>
      </w:pPr>
      <w:r w:rsidRPr="00794A3B">
        <w:rPr>
          <w:rFonts w:ascii="Times New Roman Bold" w:hAnsi="Times New Roman Bold"/>
          <w:b/>
          <w:bCs/>
          <w:caps/>
          <w:szCs w:val="24"/>
          <w:lang w:val="en-GB"/>
        </w:rPr>
        <w:t>I.</w:t>
      </w:r>
      <w:r w:rsidRPr="00794A3B">
        <w:rPr>
          <w:rFonts w:ascii="Times New Roman Bold" w:hAnsi="Times New Roman Bold"/>
          <w:b/>
          <w:bCs/>
          <w:caps/>
          <w:szCs w:val="24"/>
          <w:lang w:val="en-GB"/>
        </w:rPr>
        <w:tab/>
        <w:t>MATERIALS AND METHODS</w:t>
      </w:r>
    </w:p>
    <w:p w14:paraId="6F81BC45" w14:textId="77777777" w:rsidR="00A26547" w:rsidRPr="00794A3B" w:rsidRDefault="00A26547" w:rsidP="00A26547">
      <w:pPr>
        <w:tabs>
          <w:tab w:val="left" w:pos="0"/>
        </w:tabs>
        <w:ind w:left="357" w:hanging="357"/>
        <w:contextualSpacing/>
        <w:rPr>
          <w:rFonts w:ascii="Times New Roman Bold" w:hAnsi="Times New Roman Bold"/>
          <w:b/>
          <w:bCs/>
          <w:caps/>
          <w:szCs w:val="24"/>
          <w:lang w:val="en-GB"/>
        </w:rPr>
      </w:pPr>
      <w:r w:rsidRPr="00794A3B">
        <w:rPr>
          <w:rFonts w:ascii="Times New Roman Bold" w:hAnsi="Times New Roman Bold"/>
          <w:b/>
          <w:bCs/>
          <w:caps/>
          <w:szCs w:val="24"/>
          <w:lang w:val="en-GB"/>
        </w:rPr>
        <w:t>A.</w:t>
      </w:r>
      <w:r w:rsidRPr="00794A3B">
        <w:rPr>
          <w:rFonts w:ascii="Times New Roman Bold" w:hAnsi="Times New Roman Bold"/>
          <w:b/>
          <w:bCs/>
          <w:caps/>
          <w:szCs w:val="24"/>
          <w:lang w:val="en-GB"/>
        </w:rPr>
        <w:tab/>
        <w:t>MATERIALS</w:t>
      </w: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A26547" w:rsidRPr="00794A3B" w14:paraId="64B46213" w14:textId="77777777" w:rsidTr="003F171E">
        <w:trPr>
          <w:cantSplit/>
          <w:trHeight w:hRule="exact" w:val="340"/>
        </w:trPr>
        <w:tc>
          <w:tcPr>
            <w:tcW w:w="3969" w:type="dxa"/>
          </w:tcPr>
          <w:p w14:paraId="5F2089B7" w14:textId="77777777" w:rsidR="00A26547" w:rsidRPr="00794A3B" w:rsidRDefault="00A26547" w:rsidP="00E05ECD">
            <w:pPr>
              <w:numPr>
                <w:ilvl w:val="0"/>
                <w:numId w:val="120"/>
              </w:numPr>
              <w:tabs>
                <w:tab w:val="left" w:pos="255"/>
              </w:tabs>
              <w:spacing w:after="240"/>
              <w:contextualSpacing/>
              <w:rPr>
                <w:rFonts w:ascii="Times New Roman" w:hAnsi="Times New Roman"/>
                <w:b/>
                <w:bCs/>
                <w:szCs w:val="24"/>
                <w:lang w:val="en-GB"/>
              </w:rPr>
            </w:pPr>
            <w:r w:rsidRPr="00794A3B">
              <w:rPr>
                <w:rFonts w:ascii="Times New Roman" w:hAnsi="Times New Roman"/>
                <w:b/>
                <w:bCs/>
                <w:szCs w:val="24"/>
                <w:lang w:val="en-GB"/>
              </w:rPr>
              <w:t>Test item:</w:t>
            </w:r>
          </w:p>
        </w:tc>
        <w:tc>
          <w:tcPr>
            <w:tcW w:w="5381" w:type="dxa"/>
          </w:tcPr>
          <w:p w14:paraId="7E502BFC"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BAS 650 00 F</w:t>
            </w:r>
          </w:p>
        </w:tc>
      </w:tr>
      <w:tr w:rsidR="00A26547" w:rsidRPr="00794A3B" w14:paraId="5DF72B74" w14:textId="77777777" w:rsidTr="003F171E">
        <w:trPr>
          <w:cantSplit/>
          <w:trHeight w:hRule="exact" w:val="397"/>
        </w:trPr>
        <w:tc>
          <w:tcPr>
            <w:tcW w:w="3969" w:type="dxa"/>
          </w:tcPr>
          <w:p w14:paraId="772352BC" w14:textId="77777777" w:rsidR="00A26547" w:rsidRPr="00794A3B" w:rsidRDefault="00A26547" w:rsidP="003F171E">
            <w:pPr>
              <w:tabs>
                <w:tab w:val="left" w:pos="624"/>
              </w:tabs>
              <w:spacing w:after="240"/>
              <w:ind w:left="624"/>
              <w:rPr>
                <w:rFonts w:ascii="Times New Roman" w:hAnsi="Times New Roman"/>
                <w:b/>
                <w:bCs/>
                <w:szCs w:val="24"/>
                <w:lang w:val="en-GB"/>
              </w:rPr>
            </w:pPr>
            <w:r w:rsidRPr="00794A3B">
              <w:rPr>
                <w:rFonts w:ascii="Times New Roman" w:hAnsi="Times New Roman"/>
                <w:b/>
                <w:bCs/>
                <w:szCs w:val="24"/>
                <w:lang w:val="en-GB"/>
              </w:rPr>
              <w:t>Lot/Batch:</w:t>
            </w:r>
          </w:p>
        </w:tc>
        <w:tc>
          <w:tcPr>
            <w:tcW w:w="5381" w:type="dxa"/>
          </w:tcPr>
          <w:p w14:paraId="2129DC5A"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FRE-001377</w:t>
            </w:r>
          </w:p>
        </w:tc>
      </w:tr>
      <w:tr w:rsidR="00A26547" w:rsidRPr="000D68B0" w14:paraId="231711E7" w14:textId="77777777" w:rsidTr="003F171E">
        <w:trPr>
          <w:cantSplit/>
          <w:trHeight w:hRule="exact" w:val="1304"/>
        </w:trPr>
        <w:tc>
          <w:tcPr>
            <w:tcW w:w="3969" w:type="dxa"/>
          </w:tcPr>
          <w:p w14:paraId="6E4AFB45" w14:textId="77777777" w:rsidR="00A26547" w:rsidRPr="00794A3B" w:rsidRDefault="00A26547" w:rsidP="003F171E">
            <w:pPr>
              <w:tabs>
                <w:tab w:val="left" w:pos="624"/>
              </w:tabs>
              <w:spacing w:after="240"/>
              <w:ind w:left="624"/>
              <w:rPr>
                <w:rFonts w:ascii="Times New Roman" w:hAnsi="Times New Roman"/>
                <w:b/>
                <w:bCs/>
                <w:szCs w:val="24"/>
                <w:lang w:val="en-GB"/>
              </w:rPr>
            </w:pPr>
            <w:r w:rsidRPr="00794A3B">
              <w:rPr>
                <w:rFonts w:ascii="Times New Roman" w:hAnsi="Times New Roman"/>
                <w:b/>
                <w:bCs/>
                <w:szCs w:val="24"/>
                <w:lang w:val="en-GB"/>
              </w:rPr>
              <w:t>Active substance content:</w:t>
            </w:r>
          </w:p>
        </w:tc>
        <w:tc>
          <w:tcPr>
            <w:tcW w:w="5381" w:type="dxa"/>
          </w:tcPr>
          <w:p w14:paraId="4D96891E" w14:textId="77777777" w:rsidR="00A26547" w:rsidRPr="00794A3B" w:rsidRDefault="00A26547" w:rsidP="003F171E">
            <w:pPr>
              <w:tabs>
                <w:tab w:val="left" w:pos="720"/>
              </w:tabs>
              <w:spacing w:line="276" w:lineRule="auto"/>
              <w:jc w:val="both"/>
              <w:rPr>
                <w:rFonts w:ascii="Times New Roman" w:hAnsi="Times New Roman"/>
                <w:szCs w:val="24"/>
                <w:lang w:val="en-GB"/>
              </w:rPr>
            </w:pPr>
            <w:r w:rsidRPr="00794A3B">
              <w:rPr>
                <w:rFonts w:ascii="Times New Roman" w:hAnsi="Times New Roman"/>
                <w:szCs w:val="24"/>
                <w:lang w:val="en-GB"/>
              </w:rPr>
              <w:t>Ametoctradin (BAS 650 F, Reg. No. 4 993 353), 200.1 g/L (nominal: 200.0 g/L)</w:t>
            </w:r>
          </w:p>
        </w:tc>
      </w:tr>
      <w:tr w:rsidR="00A26547" w:rsidRPr="00794A3B" w14:paraId="6A89F841" w14:textId="77777777" w:rsidTr="003F171E">
        <w:trPr>
          <w:cantSplit/>
          <w:trHeight w:hRule="exact" w:val="340"/>
        </w:trPr>
        <w:tc>
          <w:tcPr>
            <w:tcW w:w="3969" w:type="dxa"/>
          </w:tcPr>
          <w:p w14:paraId="471681C4" w14:textId="77777777" w:rsidR="00A26547" w:rsidRPr="00794A3B" w:rsidRDefault="00A26547" w:rsidP="003F171E">
            <w:pPr>
              <w:tabs>
                <w:tab w:val="left" w:pos="624"/>
              </w:tabs>
              <w:spacing w:after="240"/>
              <w:ind w:left="624"/>
              <w:rPr>
                <w:rFonts w:ascii="Times New Roman" w:hAnsi="Times New Roman"/>
                <w:b/>
                <w:bCs/>
                <w:szCs w:val="24"/>
                <w:lang w:val="en-GB"/>
              </w:rPr>
            </w:pPr>
            <w:r w:rsidRPr="00794A3B">
              <w:rPr>
                <w:rFonts w:ascii="Times New Roman" w:hAnsi="Times New Roman"/>
                <w:b/>
                <w:bCs/>
                <w:szCs w:val="24"/>
                <w:lang w:val="en-GB"/>
              </w:rPr>
              <w:t>Density:</w:t>
            </w:r>
          </w:p>
        </w:tc>
        <w:tc>
          <w:tcPr>
            <w:tcW w:w="5381" w:type="dxa"/>
          </w:tcPr>
          <w:p w14:paraId="457D148B"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1.049 g/cm</w:t>
            </w:r>
            <w:r w:rsidRPr="00794A3B">
              <w:rPr>
                <w:rFonts w:ascii="Times New Roman" w:hAnsi="Times New Roman"/>
                <w:szCs w:val="24"/>
                <w:vertAlign w:val="superscript"/>
                <w:lang w:val="en-GB"/>
              </w:rPr>
              <w:t>3</w:t>
            </w:r>
          </w:p>
        </w:tc>
      </w:tr>
      <w:tr w:rsidR="00A26547" w:rsidRPr="00794A3B" w14:paraId="79A0E74C" w14:textId="77777777" w:rsidTr="003F171E">
        <w:trPr>
          <w:cantSplit/>
          <w:trHeight w:hRule="exact" w:val="397"/>
        </w:trPr>
        <w:tc>
          <w:tcPr>
            <w:tcW w:w="3969" w:type="dxa"/>
          </w:tcPr>
          <w:p w14:paraId="4A05B4B2" w14:textId="77777777" w:rsidR="00A26547" w:rsidRPr="00794A3B" w:rsidRDefault="00A26547" w:rsidP="00E05ECD">
            <w:pPr>
              <w:numPr>
                <w:ilvl w:val="0"/>
                <w:numId w:val="120"/>
              </w:numPr>
              <w:tabs>
                <w:tab w:val="left" w:pos="255"/>
              </w:tabs>
              <w:spacing w:after="240"/>
              <w:contextualSpacing/>
              <w:rPr>
                <w:rFonts w:ascii="Times New Roman" w:hAnsi="Times New Roman"/>
                <w:b/>
                <w:bCs/>
                <w:szCs w:val="24"/>
                <w:lang w:val="en-GB"/>
              </w:rPr>
            </w:pPr>
            <w:r w:rsidRPr="00794A3B">
              <w:rPr>
                <w:rFonts w:ascii="Times New Roman" w:hAnsi="Times New Roman"/>
                <w:b/>
                <w:bCs/>
                <w:szCs w:val="24"/>
                <w:lang w:val="en-GB"/>
              </w:rPr>
              <w:t>Control:</w:t>
            </w:r>
          </w:p>
        </w:tc>
        <w:tc>
          <w:tcPr>
            <w:tcW w:w="5381" w:type="dxa"/>
          </w:tcPr>
          <w:p w14:paraId="57F1FDC2" w14:textId="77777777" w:rsidR="00A26547" w:rsidRPr="00794A3B" w:rsidRDefault="00A26547" w:rsidP="003F171E">
            <w:pPr>
              <w:tabs>
                <w:tab w:val="left" w:pos="720"/>
              </w:tabs>
              <w:spacing w:after="240"/>
              <w:rPr>
                <w:rFonts w:ascii="Times New Roman" w:hAnsi="Times New Roman"/>
                <w:szCs w:val="24"/>
                <w:lang w:val="en-GB"/>
              </w:rPr>
            </w:pPr>
            <w:r w:rsidRPr="00794A3B">
              <w:rPr>
                <w:rFonts w:ascii="Times New Roman" w:hAnsi="Times New Roman"/>
                <w:szCs w:val="24"/>
                <w:lang w:val="en-GB"/>
              </w:rPr>
              <w:t>Untreated substrate</w:t>
            </w:r>
          </w:p>
        </w:tc>
      </w:tr>
      <w:tr w:rsidR="00A26547" w:rsidRPr="000D68B0" w14:paraId="124C9E97" w14:textId="77777777" w:rsidTr="003F171E">
        <w:trPr>
          <w:cantSplit/>
          <w:trHeight w:hRule="exact" w:val="567"/>
        </w:trPr>
        <w:tc>
          <w:tcPr>
            <w:tcW w:w="3969" w:type="dxa"/>
          </w:tcPr>
          <w:p w14:paraId="2CD63710" w14:textId="77777777" w:rsidR="00A26547" w:rsidRPr="00794A3B" w:rsidRDefault="00A26547" w:rsidP="00E05ECD">
            <w:pPr>
              <w:numPr>
                <w:ilvl w:val="0"/>
                <w:numId w:val="121"/>
              </w:numPr>
              <w:tabs>
                <w:tab w:val="left" w:pos="255"/>
              </w:tabs>
              <w:spacing w:after="240"/>
              <w:ind w:left="681" w:hanging="397"/>
              <w:contextualSpacing/>
              <w:rPr>
                <w:rFonts w:ascii="Times New Roman" w:hAnsi="Times New Roman"/>
                <w:b/>
                <w:bCs/>
                <w:szCs w:val="24"/>
                <w:lang w:val="en-GB"/>
              </w:rPr>
            </w:pPr>
            <w:r w:rsidRPr="00794A3B">
              <w:rPr>
                <w:rFonts w:ascii="Times New Roman" w:hAnsi="Times New Roman"/>
                <w:b/>
                <w:bCs/>
                <w:szCs w:val="24"/>
                <w:lang w:val="en-GB"/>
              </w:rPr>
              <w:lastRenderedPageBreak/>
              <w:t>Reference item:</w:t>
            </w:r>
          </w:p>
        </w:tc>
        <w:tc>
          <w:tcPr>
            <w:tcW w:w="5381" w:type="dxa"/>
          </w:tcPr>
          <w:p w14:paraId="310B1C62"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Dimethoate (EC 400 g/L, nominal). The effects of the reference item were investigated in a separate study.</w:t>
            </w:r>
          </w:p>
        </w:tc>
      </w:tr>
    </w:tbl>
    <w:p w14:paraId="206CC92B" w14:textId="77777777" w:rsidR="00A26547" w:rsidRPr="00794A3B" w:rsidRDefault="00A26547" w:rsidP="00A26547">
      <w:pPr>
        <w:tabs>
          <w:tab w:val="left" w:pos="0"/>
        </w:tabs>
        <w:ind w:left="357" w:hanging="357"/>
        <w:contextualSpacing/>
        <w:rPr>
          <w:b/>
          <w:bCs/>
          <w:caps/>
          <w:szCs w:val="24"/>
          <w:highlight w:val="yellow"/>
          <w:lang w:val="en-GB"/>
        </w:rPr>
      </w:pPr>
    </w:p>
    <w:p w14:paraId="086E46F3" w14:textId="77777777" w:rsidR="00A26547" w:rsidRPr="00794A3B" w:rsidRDefault="00A26547" w:rsidP="00A26547">
      <w:pPr>
        <w:tabs>
          <w:tab w:val="left" w:pos="0"/>
        </w:tabs>
        <w:ind w:left="357" w:hanging="357"/>
        <w:contextualSpacing/>
        <w:rPr>
          <w:b/>
          <w:bCs/>
          <w:caps/>
          <w:szCs w:val="24"/>
          <w:lang w:val="en-GB"/>
        </w:rPr>
      </w:pPr>
      <w:r w:rsidRPr="00146F4F">
        <w:rPr>
          <w:b/>
          <w:bCs/>
          <w:caps/>
          <w:szCs w:val="24"/>
          <w:lang w:val="en-GB"/>
        </w:rPr>
        <w:t>B.</w:t>
      </w:r>
      <w:r w:rsidRPr="00146F4F">
        <w:rPr>
          <w:b/>
          <w:bCs/>
          <w:caps/>
          <w:szCs w:val="24"/>
          <w:lang w:val="en-GB"/>
        </w:rPr>
        <w:tab/>
        <w:t>study design</w:t>
      </w:r>
      <w:r w:rsidRPr="00794A3B">
        <w:rPr>
          <w:b/>
          <w:bCs/>
          <w:caps/>
          <w:szCs w:val="24"/>
          <w:lang w:val="en-GB"/>
        </w:rPr>
        <w:t xml:space="preserve"> and methods</w:t>
      </w: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A26547" w:rsidRPr="00794A3B" w14:paraId="65973427" w14:textId="77777777" w:rsidTr="003F171E">
        <w:trPr>
          <w:trHeight w:hRule="exact" w:val="397"/>
        </w:trPr>
        <w:tc>
          <w:tcPr>
            <w:tcW w:w="3969" w:type="dxa"/>
          </w:tcPr>
          <w:p w14:paraId="09A480F8" w14:textId="77777777" w:rsidR="00A26547" w:rsidRPr="00794A3B" w:rsidRDefault="00A26547" w:rsidP="00E05ECD">
            <w:pPr>
              <w:numPr>
                <w:ilvl w:val="0"/>
                <w:numId w:val="121"/>
              </w:numPr>
              <w:tabs>
                <w:tab w:val="left" w:pos="255"/>
                <w:tab w:val="left" w:pos="720"/>
              </w:tabs>
              <w:spacing w:after="240"/>
              <w:contextualSpacing/>
              <w:jc w:val="both"/>
              <w:rPr>
                <w:rFonts w:ascii="Times New Roman" w:hAnsi="Times New Roman"/>
                <w:b/>
                <w:bCs/>
                <w:szCs w:val="24"/>
                <w:lang w:val="en-GB"/>
              </w:rPr>
            </w:pPr>
            <w:r w:rsidRPr="00794A3B">
              <w:rPr>
                <w:rFonts w:ascii="Times New Roman" w:hAnsi="Times New Roman"/>
                <w:b/>
                <w:bCs/>
                <w:szCs w:val="24"/>
                <w:lang w:val="en-GB"/>
              </w:rPr>
              <w:t>Test species:</w:t>
            </w:r>
          </w:p>
        </w:tc>
        <w:tc>
          <w:tcPr>
            <w:tcW w:w="5381" w:type="dxa"/>
          </w:tcPr>
          <w:p w14:paraId="06F44F69"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i/>
                <w:iCs/>
                <w:szCs w:val="24"/>
                <w:lang w:val="en-GB"/>
              </w:rPr>
              <w:t>Hypoaspis aculeifer</w:t>
            </w:r>
            <w:r w:rsidRPr="00794A3B">
              <w:rPr>
                <w:rFonts w:ascii="Times New Roman" w:hAnsi="Times New Roman"/>
                <w:szCs w:val="24"/>
                <w:lang w:val="en-GB"/>
              </w:rPr>
              <w:t xml:space="preserve"> (CANESTRINI)</w:t>
            </w:r>
          </w:p>
        </w:tc>
      </w:tr>
      <w:tr w:rsidR="00A26547" w:rsidRPr="000D68B0" w14:paraId="65FB703A" w14:textId="77777777" w:rsidTr="003F171E">
        <w:trPr>
          <w:trHeight w:hRule="exact" w:val="624"/>
        </w:trPr>
        <w:tc>
          <w:tcPr>
            <w:tcW w:w="3969" w:type="dxa"/>
          </w:tcPr>
          <w:p w14:paraId="74B8A12B" w14:textId="77777777" w:rsidR="00A26547" w:rsidRPr="00794A3B" w:rsidRDefault="00A26547" w:rsidP="003F171E">
            <w:pPr>
              <w:tabs>
                <w:tab w:val="left" w:pos="624"/>
              </w:tabs>
              <w:spacing w:after="240"/>
              <w:ind w:left="624"/>
              <w:rPr>
                <w:rFonts w:ascii="Times New Roman" w:hAnsi="Times New Roman"/>
                <w:b/>
                <w:bCs/>
                <w:szCs w:val="24"/>
                <w:lang w:val="en-GB"/>
              </w:rPr>
            </w:pPr>
            <w:r w:rsidRPr="00794A3B">
              <w:rPr>
                <w:rFonts w:ascii="Times New Roman" w:hAnsi="Times New Roman"/>
                <w:b/>
                <w:bCs/>
                <w:szCs w:val="24"/>
                <w:lang w:val="en-GB"/>
              </w:rPr>
              <w:t xml:space="preserve">Age/life stage: </w:t>
            </w:r>
          </w:p>
        </w:tc>
        <w:tc>
          <w:tcPr>
            <w:tcW w:w="5381" w:type="dxa"/>
          </w:tcPr>
          <w:p w14:paraId="6A0BE920"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Adult mites with an age difference of 3 days</w:t>
            </w:r>
          </w:p>
        </w:tc>
      </w:tr>
      <w:tr w:rsidR="00A26547" w:rsidRPr="000D68B0" w14:paraId="18958E32" w14:textId="77777777" w:rsidTr="003F171E">
        <w:trPr>
          <w:trHeight w:hRule="exact" w:val="624"/>
        </w:trPr>
        <w:tc>
          <w:tcPr>
            <w:tcW w:w="3969" w:type="dxa"/>
          </w:tcPr>
          <w:p w14:paraId="7A0D47B8" w14:textId="77777777" w:rsidR="00A26547" w:rsidRPr="00794A3B" w:rsidRDefault="00A26547" w:rsidP="003F171E">
            <w:pPr>
              <w:tabs>
                <w:tab w:val="left" w:pos="624"/>
              </w:tabs>
              <w:spacing w:after="240"/>
              <w:ind w:left="624"/>
              <w:rPr>
                <w:b/>
                <w:bCs/>
                <w:szCs w:val="24"/>
                <w:lang w:val="en-GB"/>
              </w:rPr>
            </w:pPr>
            <w:r w:rsidRPr="007D1C1B">
              <w:rPr>
                <w:rFonts w:ascii="Times New Roman" w:hAnsi="Times New Roman"/>
                <w:b/>
                <w:bCs/>
                <w:szCs w:val="24"/>
                <w:lang w:val="en-GB"/>
              </w:rPr>
              <w:t xml:space="preserve">Diet: </w:t>
            </w:r>
          </w:p>
        </w:tc>
        <w:tc>
          <w:tcPr>
            <w:tcW w:w="5381" w:type="dxa"/>
          </w:tcPr>
          <w:p w14:paraId="6A855833" w14:textId="77777777" w:rsidR="00A26547" w:rsidRPr="00794A3B" w:rsidRDefault="00A26547" w:rsidP="003F171E">
            <w:pPr>
              <w:tabs>
                <w:tab w:val="left" w:pos="720"/>
              </w:tabs>
              <w:spacing w:after="240"/>
              <w:jc w:val="both"/>
              <w:rPr>
                <w:szCs w:val="24"/>
                <w:lang w:val="en-GB"/>
              </w:rPr>
            </w:pPr>
            <w:r w:rsidRPr="007D1C1B">
              <w:rPr>
                <w:rFonts w:ascii="Times New Roman" w:hAnsi="Times New Roman"/>
                <w:i/>
                <w:iCs/>
                <w:szCs w:val="24"/>
                <w:lang w:val="en-GB"/>
              </w:rPr>
              <w:t>Tyrophagus putrescentiae</w:t>
            </w:r>
            <w:r w:rsidRPr="007D1C1B">
              <w:rPr>
                <w:rFonts w:ascii="Times New Roman" w:hAnsi="Times New Roman"/>
                <w:szCs w:val="24"/>
                <w:lang w:val="en-GB"/>
              </w:rPr>
              <w:t xml:space="preserve"> (SCHRANK) at test start and </w:t>
            </w:r>
            <w:r w:rsidRPr="007D1C1B">
              <w:rPr>
                <w:rFonts w:ascii="Times New Roman" w:hAnsi="Times New Roman"/>
                <w:i/>
                <w:iCs/>
                <w:szCs w:val="24"/>
                <w:lang w:val="en-GB"/>
              </w:rPr>
              <w:t>ad libitum</w:t>
            </w:r>
            <w:r w:rsidRPr="007D1C1B">
              <w:rPr>
                <w:rFonts w:ascii="Times New Roman" w:hAnsi="Times New Roman"/>
                <w:szCs w:val="24"/>
                <w:lang w:val="en-GB"/>
              </w:rPr>
              <w:t xml:space="preserve"> during the test</w:t>
            </w:r>
          </w:p>
        </w:tc>
      </w:tr>
      <w:tr w:rsidR="00A26547" w:rsidRPr="000D68B0" w14:paraId="25D79BEB" w14:textId="77777777" w:rsidTr="003F171E">
        <w:trPr>
          <w:trHeight w:hRule="exact" w:val="624"/>
        </w:trPr>
        <w:tc>
          <w:tcPr>
            <w:tcW w:w="3969" w:type="dxa"/>
          </w:tcPr>
          <w:p w14:paraId="3C7CDCB2" w14:textId="77777777" w:rsidR="00A26547" w:rsidRPr="00794A3B" w:rsidRDefault="00A26547" w:rsidP="003F171E">
            <w:pPr>
              <w:tabs>
                <w:tab w:val="left" w:pos="624"/>
              </w:tabs>
              <w:spacing w:after="240"/>
              <w:ind w:left="624"/>
              <w:rPr>
                <w:rFonts w:ascii="Times New Roman" w:hAnsi="Times New Roman"/>
                <w:b/>
                <w:bCs/>
                <w:szCs w:val="24"/>
                <w:lang w:val="en-GB"/>
              </w:rPr>
            </w:pPr>
            <w:r w:rsidRPr="00794A3B">
              <w:rPr>
                <w:rFonts w:ascii="Times New Roman" w:hAnsi="Times New Roman"/>
                <w:b/>
                <w:bCs/>
                <w:szCs w:val="24"/>
                <w:lang w:val="en-GB"/>
              </w:rPr>
              <w:t>Source:</w:t>
            </w:r>
          </w:p>
        </w:tc>
        <w:tc>
          <w:tcPr>
            <w:tcW w:w="5381" w:type="dxa"/>
          </w:tcPr>
          <w:p w14:paraId="1D2B6BE9" w14:textId="77777777" w:rsidR="00A26547" w:rsidRPr="00794A3B" w:rsidRDefault="00A26547" w:rsidP="003F171E">
            <w:pPr>
              <w:tabs>
                <w:tab w:val="left" w:pos="720"/>
              </w:tabs>
              <w:spacing w:after="240"/>
              <w:jc w:val="both"/>
              <w:rPr>
                <w:rFonts w:ascii="Times New Roman" w:hAnsi="Times New Roman"/>
                <w:szCs w:val="24"/>
                <w:lang w:val="en-GB"/>
              </w:rPr>
            </w:pPr>
            <w:r w:rsidRPr="00794A3B">
              <w:rPr>
                <w:rFonts w:ascii="Times New Roman" w:hAnsi="Times New Roman"/>
                <w:szCs w:val="24"/>
                <w:lang w:val="en-GB"/>
              </w:rPr>
              <w:t>In-house culture of the test facility</w:t>
            </w:r>
          </w:p>
        </w:tc>
      </w:tr>
      <w:tr w:rsidR="00A26547" w:rsidRPr="00794A3B" w14:paraId="4D34A88B" w14:textId="77777777" w:rsidTr="003F171E">
        <w:trPr>
          <w:trHeight w:hRule="exact" w:val="340"/>
        </w:trPr>
        <w:tc>
          <w:tcPr>
            <w:tcW w:w="3969" w:type="dxa"/>
          </w:tcPr>
          <w:p w14:paraId="5B854AC7" w14:textId="77777777" w:rsidR="00A26547" w:rsidRPr="00146F4F" w:rsidRDefault="00A26547" w:rsidP="00E05ECD">
            <w:pPr>
              <w:numPr>
                <w:ilvl w:val="0"/>
                <w:numId w:val="121"/>
              </w:numPr>
              <w:tabs>
                <w:tab w:val="left" w:pos="255"/>
                <w:tab w:val="left" w:pos="720"/>
              </w:tabs>
              <w:spacing w:after="240"/>
              <w:contextualSpacing/>
              <w:jc w:val="both"/>
              <w:rPr>
                <w:rFonts w:ascii="Times New Roman" w:hAnsi="Times New Roman"/>
                <w:b/>
                <w:bCs/>
                <w:szCs w:val="24"/>
                <w:lang w:val="en-GB"/>
              </w:rPr>
            </w:pPr>
            <w:r w:rsidRPr="00146F4F">
              <w:rPr>
                <w:rFonts w:ascii="Times New Roman" w:hAnsi="Times New Roman"/>
                <w:b/>
                <w:bCs/>
                <w:szCs w:val="24"/>
                <w:lang w:val="en-GB"/>
              </w:rPr>
              <w:t>Environmental conditions</w:t>
            </w:r>
          </w:p>
        </w:tc>
        <w:tc>
          <w:tcPr>
            <w:tcW w:w="5381" w:type="dxa"/>
          </w:tcPr>
          <w:p w14:paraId="2392AE47" w14:textId="77777777" w:rsidR="00A26547" w:rsidRPr="00146F4F" w:rsidRDefault="00A26547" w:rsidP="003F171E">
            <w:pPr>
              <w:tabs>
                <w:tab w:val="left" w:pos="720"/>
              </w:tabs>
              <w:spacing w:after="240"/>
              <w:jc w:val="both"/>
              <w:rPr>
                <w:rFonts w:ascii="Times New Roman" w:hAnsi="Times New Roman"/>
                <w:szCs w:val="24"/>
                <w:lang w:val="en-GB"/>
              </w:rPr>
            </w:pPr>
          </w:p>
        </w:tc>
      </w:tr>
      <w:tr w:rsidR="00A26547" w:rsidRPr="000D68B0" w14:paraId="42F2EFD4" w14:textId="77777777" w:rsidTr="003F171E">
        <w:trPr>
          <w:trHeight w:hRule="exact" w:val="907"/>
        </w:trPr>
        <w:tc>
          <w:tcPr>
            <w:tcW w:w="3969" w:type="dxa"/>
          </w:tcPr>
          <w:p w14:paraId="7832B2A9" w14:textId="77777777" w:rsidR="00A26547" w:rsidRPr="00146F4F" w:rsidRDefault="00A26547" w:rsidP="003F171E">
            <w:pPr>
              <w:tabs>
                <w:tab w:val="left" w:pos="624"/>
              </w:tabs>
              <w:spacing w:after="240"/>
              <w:ind w:left="624"/>
              <w:rPr>
                <w:rFonts w:ascii="Times New Roman" w:hAnsi="Times New Roman"/>
                <w:b/>
                <w:bCs/>
                <w:szCs w:val="24"/>
                <w:lang w:val="en-GB"/>
              </w:rPr>
            </w:pPr>
            <w:r w:rsidRPr="00146F4F">
              <w:rPr>
                <w:rFonts w:ascii="Times New Roman" w:hAnsi="Times New Roman"/>
                <w:b/>
                <w:bCs/>
                <w:szCs w:val="24"/>
                <w:lang w:val="en-GB"/>
              </w:rPr>
              <w:t>Test soil:</w:t>
            </w:r>
          </w:p>
        </w:tc>
        <w:tc>
          <w:tcPr>
            <w:tcW w:w="5381" w:type="dxa"/>
          </w:tcPr>
          <w:p w14:paraId="4BFCF940" w14:textId="77777777" w:rsidR="00A26547" w:rsidRPr="00146F4F" w:rsidRDefault="00A26547" w:rsidP="003F171E">
            <w:pPr>
              <w:tabs>
                <w:tab w:val="left" w:pos="720"/>
              </w:tabs>
              <w:spacing w:after="240"/>
              <w:jc w:val="both"/>
              <w:rPr>
                <w:rFonts w:ascii="Times New Roman" w:hAnsi="Times New Roman"/>
                <w:szCs w:val="24"/>
                <w:lang w:val="en-GB"/>
              </w:rPr>
            </w:pPr>
            <w:r w:rsidRPr="00146F4F">
              <w:rPr>
                <w:rFonts w:ascii="Times New Roman" w:hAnsi="Times New Roman"/>
                <w:szCs w:val="24"/>
                <w:lang w:val="en-GB"/>
              </w:rPr>
              <w:t>Artificial soil according to OECD 226: 5% sphagnum peat</w:t>
            </w:r>
          </w:p>
        </w:tc>
      </w:tr>
      <w:tr w:rsidR="00A26547" w:rsidRPr="00794A3B" w14:paraId="4E636C7C" w14:textId="77777777" w:rsidTr="003F171E">
        <w:trPr>
          <w:trHeight w:hRule="exact" w:val="340"/>
        </w:trPr>
        <w:tc>
          <w:tcPr>
            <w:tcW w:w="3969" w:type="dxa"/>
          </w:tcPr>
          <w:p w14:paraId="7CE78136" w14:textId="77777777" w:rsidR="00A26547" w:rsidRPr="00146F4F" w:rsidRDefault="00A26547" w:rsidP="003F171E">
            <w:pPr>
              <w:tabs>
                <w:tab w:val="left" w:pos="624"/>
              </w:tabs>
              <w:spacing w:after="240"/>
              <w:ind w:left="624"/>
              <w:rPr>
                <w:rFonts w:ascii="Times New Roman" w:hAnsi="Times New Roman"/>
                <w:b/>
                <w:bCs/>
                <w:szCs w:val="24"/>
                <w:lang w:val="en-GB"/>
              </w:rPr>
            </w:pPr>
            <w:r w:rsidRPr="00146F4F">
              <w:rPr>
                <w:rFonts w:ascii="Times New Roman" w:hAnsi="Times New Roman"/>
                <w:b/>
                <w:bCs/>
                <w:szCs w:val="24"/>
                <w:lang w:val="en-GB"/>
              </w:rPr>
              <w:t>Temperature:</w:t>
            </w:r>
          </w:p>
        </w:tc>
        <w:tc>
          <w:tcPr>
            <w:tcW w:w="5381" w:type="dxa"/>
          </w:tcPr>
          <w:p w14:paraId="5854F5B8" w14:textId="77777777" w:rsidR="00A26547" w:rsidRPr="00146F4F" w:rsidRDefault="00A26547" w:rsidP="003F171E">
            <w:pPr>
              <w:tabs>
                <w:tab w:val="left" w:pos="720"/>
              </w:tabs>
              <w:spacing w:after="240"/>
              <w:jc w:val="both"/>
              <w:rPr>
                <w:rFonts w:ascii="Times New Roman" w:hAnsi="Times New Roman"/>
                <w:szCs w:val="24"/>
                <w:lang w:val="en-GB"/>
              </w:rPr>
            </w:pPr>
            <w:r w:rsidRPr="00146F4F">
              <w:rPr>
                <w:rFonts w:ascii="Times New Roman" w:hAnsi="Times New Roman"/>
                <w:szCs w:val="24"/>
                <w:lang w:val="en-GB"/>
              </w:rPr>
              <w:t>19.8 - 20.2 °C</w:t>
            </w:r>
          </w:p>
        </w:tc>
      </w:tr>
      <w:tr w:rsidR="00A26547" w:rsidRPr="000D68B0" w14:paraId="2BF4CDAB" w14:textId="77777777" w:rsidTr="003F171E">
        <w:trPr>
          <w:trHeight w:hRule="exact" w:val="624"/>
        </w:trPr>
        <w:tc>
          <w:tcPr>
            <w:tcW w:w="3969" w:type="dxa"/>
          </w:tcPr>
          <w:p w14:paraId="5745A650" w14:textId="77777777" w:rsidR="00A26547" w:rsidRPr="00146F4F" w:rsidRDefault="00A26547" w:rsidP="003F171E">
            <w:pPr>
              <w:tabs>
                <w:tab w:val="left" w:pos="624"/>
              </w:tabs>
              <w:spacing w:after="240"/>
              <w:ind w:left="624"/>
              <w:rPr>
                <w:rFonts w:ascii="Times New Roman" w:hAnsi="Times New Roman"/>
                <w:b/>
                <w:bCs/>
                <w:szCs w:val="24"/>
                <w:lang w:val="en-GB"/>
              </w:rPr>
            </w:pPr>
            <w:r w:rsidRPr="00146F4F">
              <w:rPr>
                <w:rFonts w:ascii="Times New Roman" w:hAnsi="Times New Roman"/>
                <w:b/>
                <w:bCs/>
                <w:szCs w:val="24"/>
                <w:lang w:val="en-GB"/>
              </w:rPr>
              <w:t>pH:</w:t>
            </w:r>
          </w:p>
        </w:tc>
        <w:tc>
          <w:tcPr>
            <w:tcW w:w="5381" w:type="dxa"/>
          </w:tcPr>
          <w:p w14:paraId="260A4007" w14:textId="77777777" w:rsidR="00A26547" w:rsidRPr="00146F4F" w:rsidRDefault="00A26547" w:rsidP="003F171E">
            <w:pPr>
              <w:tabs>
                <w:tab w:val="left" w:pos="720"/>
              </w:tabs>
              <w:jc w:val="both"/>
              <w:rPr>
                <w:rFonts w:ascii="Times New Roman" w:hAnsi="Times New Roman"/>
                <w:szCs w:val="24"/>
                <w:lang w:val="en-GB"/>
              </w:rPr>
            </w:pPr>
            <w:r w:rsidRPr="00146F4F">
              <w:rPr>
                <w:rFonts w:ascii="Times New Roman" w:hAnsi="Times New Roman"/>
                <w:szCs w:val="24"/>
                <w:lang w:val="en-GB"/>
              </w:rPr>
              <w:t xml:space="preserve">pH 6.0 - 6.3 at test initiation, </w:t>
            </w:r>
          </w:p>
          <w:p w14:paraId="724714C5" w14:textId="77777777" w:rsidR="00A26547" w:rsidRPr="00146F4F" w:rsidRDefault="00A26547" w:rsidP="003F171E">
            <w:pPr>
              <w:tabs>
                <w:tab w:val="left" w:pos="720"/>
              </w:tabs>
              <w:jc w:val="both"/>
              <w:rPr>
                <w:rFonts w:ascii="Times New Roman" w:hAnsi="Times New Roman"/>
                <w:szCs w:val="24"/>
                <w:lang w:val="en-GB"/>
              </w:rPr>
            </w:pPr>
            <w:r w:rsidRPr="00146F4F">
              <w:rPr>
                <w:rFonts w:ascii="Times New Roman" w:hAnsi="Times New Roman"/>
                <w:szCs w:val="24"/>
                <w:lang w:val="en-GB"/>
              </w:rPr>
              <w:t>pH 5.9 - 6.0 at test termination</w:t>
            </w:r>
          </w:p>
        </w:tc>
      </w:tr>
      <w:tr w:rsidR="00A26547" w:rsidRPr="000D68B0" w14:paraId="12BCC8E3" w14:textId="77777777" w:rsidTr="003F171E">
        <w:trPr>
          <w:trHeight w:hRule="exact" w:val="934"/>
        </w:trPr>
        <w:tc>
          <w:tcPr>
            <w:tcW w:w="3969" w:type="dxa"/>
          </w:tcPr>
          <w:p w14:paraId="6982D596" w14:textId="77777777" w:rsidR="00A26547" w:rsidRPr="00146F4F" w:rsidRDefault="00A26547" w:rsidP="003F171E">
            <w:pPr>
              <w:tabs>
                <w:tab w:val="left" w:pos="624"/>
              </w:tabs>
              <w:spacing w:after="240"/>
              <w:ind w:left="624"/>
              <w:rPr>
                <w:rFonts w:ascii="Times New Roman" w:hAnsi="Times New Roman"/>
                <w:b/>
                <w:bCs/>
                <w:szCs w:val="24"/>
                <w:lang w:val="en-GB"/>
              </w:rPr>
            </w:pPr>
            <w:r w:rsidRPr="00146F4F">
              <w:rPr>
                <w:rFonts w:ascii="Times New Roman" w:hAnsi="Times New Roman"/>
                <w:b/>
                <w:bCs/>
                <w:szCs w:val="24"/>
                <w:lang w:val="en-GB"/>
              </w:rPr>
              <w:t>Water content:</w:t>
            </w:r>
          </w:p>
        </w:tc>
        <w:tc>
          <w:tcPr>
            <w:tcW w:w="5381" w:type="dxa"/>
          </w:tcPr>
          <w:p w14:paraId="5B48CBBC" w14:textId="77777777" w:rsidR="00A26547" w:rsidRPr="00146F4F" w:rsidRDefault="00A26547" w:rsidP="003F171E">
            <w:pPr>
              <w:tabs>
                <w:tab w:val="left" w:pos="720"/>
              </w:tabs>
              <w:spacing w:after="240"/>
              <w:jc w:val="both"/>
              <w:rPr>
                <w:rFonts w:ascii="Times New Roman" w:hAnsi="Times New Roman"/>
                <w:szCs w:val="24"/>
                <w:lang w:val="en-GB"/>
              </w:rPr>
            </w:pPr>
            <w:r w:rsidRPr="00146F4F">
              <w:rPr>
                <w:rFonts w:ascii="Times New Roman" w:hAnsi="Times New Roman"/>
                <w:szCs w:val="24"/>
              </w:rPr>
              <w:t>At test initiation 43.71% - 48.39% of maximum water holding capacity (WHC) and 42.80% - 46.94% of maximum WHC at test termination</w:t>
            </w:r>
          </w:p>
        </w:tc>
      </w:tr>
      <w:tr w:rsidR="00A26547" w:rsidRPr="000D68B0" w14:paraId="72A1177F" w14:textId="77777777" w:rsidTr="003F171E">
        <w:trPr>
          <w:trHeight w:hRule="exact" w:val="454"/>
        </w:trPr>
        <w:tc>
          <w:tcPr>
            <w:tcW w:w="3969" w:type="dxa"/>
          </w:tcPr>
          <w:p w14:paraId="6F735AEB" w14:textId="77777777" w:rsidR="00A26547" w:rsidRPr="00146F4F" w:rsidRDefault="00A26547" w:rsidP="003F171E">
            <w:pPr>
              <w:tabs>
                <w:tab w:val="left" w:pos="624"/>
              </w:tabs>
              <w:spacing w:after="240"/>
              <w:ind w:left="624"/>
              <w:rPr>
                <w:rFonts w:ascii="Times New Roman" w:hAnsi="Times New Roman"/>
                <w:b/>
                <w:bCs/>
                <w:szCs w:val="24"/>
                <w:lang w:val="en-GB"/>
              </w:rPr>
            </w:pPr>
            <w:r w:rsidRPr="00146F4F">
              <w:rPr>
                <w:rFonts w:ascii="Times New Roman" w:hAnsi="Times New Roman"/>
                <w:b/>
                <w:bCs/>
                <w:szCs w:val="24"/>
                <w:lang w:val="en-GB"/>
              </w:rPr>
              <w:t>Photoperiod:</w:t>
            </w:r>
          </w:p>
        </w:tc>
        <w:tc>
          <w:tcPr>
            <w:tcW w:w="5381" w:type="dxa"/>
          </w:tcPr>
          <w:p w14:paraId="3773DAE3" w14:textId="77777777" w:rsidR="00A26547" w:rsidRPr="00146F4F" w:rsidRDefault="00A26547" w:rsidP="003F171E">
            <w:pPr>
              <w:tabs>
                <w:tab w:val="left" w:pos="720"/>
              </w:tabs>
              <w:spacing w:after="240"/>
              <w:jc w:val="both"/>
              <w:rPr>
                <w:rFonts w:ascii="Times New Roman" w:hAnsi="Times New Roman"/>
                <w:szCs w:val="24"/>
                <w:lang w:val="en-GB"/>
              </w:rPr>
            </w:pPr>
            <w:r w:rsidRPr="00146F4F">
              <w:rPr>
                <w:rFonts w:ascii="Times New Roman" w:hAnsi="Times New Roman"/>
                <w:szCs w:val="24"/>
                <w:lang w:val="en-GB"/>
              </w:rPr>
              <w:t>16 h light: 8 h dark; light intensity: 521 lx</w:t>
            </w:r>
          </w:p>
        </w:tc>
      </w:tr>
    </w:tbl>
    <w:p w14:paraId="290F4598" w14:textId="77777777" w:rsidR="00A26547" w:rsidRPr="00794A3B" w:rsidRDefault="00A26547" w:rsidP="00A26547">
      <w:pPr>
        <w:numPr>
          <w:ilvl w:val="3"/>
          <w:numId w:val="0"/>
        </w:numPr>
        <w:tabs>
          <w:tab w:val="left" w:pos="0"/>
        </w:tabs>
        <w:ind w:left="360" w:hanging="360"/>
        <w:contextualSpacing/>
        <w:rPr>
          <w:b/>
          <w:bCs/>
          <w:szCs w:val="24"/>
          <w:highlight w:val="yellow"/>
          <w:lang w:val="en-GB"/>
        </w:rPr>
      </w:pPr>
    </w:p>
    <w:p w14:paraId="49EDA5C5" w14:textId="77777777" w:rsidR="00A26547" w:rsidRPr="00794A3B" w:rsidRDefault="00A26547" w:rsidP="00E05ECD">
      <w:pPr>
        <w:numPr>
          <w:ilvl w:val="0"/>
          <w:numId w:val="123"/>
        </w:numPr>
        <w:tabs>
          <w:tab w:val="left" w:pos="0"/>
        </w:tabs>
        <w:contextualSpacing/>
        <w:rPr>
          <w:b/>
          <w:bCs/>
          <w:szCs w:val="24"/>
          <w:lang w:val="en-GB"/>
        </w:rPr>
      </w:pPr>
      <w:r w:rsidRPr="00794A3B">
        <w:rPr>
          <w:b/>
          <w:bCs/>
          <w:szCs w:val="24"/>
          <w:lang w:val="en-GB"/>
        </w:rPr>
        <w:t xml:space="preserve">Test design: </w:t>
      </w:r>
    </w:p>
    <w:p w14:paraId="3CFD5055" w14:textId="77777777" w:rsidR="00A26547" w:rsidRPr="00794A3B" w:rsidRDefault="00A26547" w:rsidP="00A26547">
      <w:pPr>
        <w:tabs>
          <w:tab w:val="left" w:pos="720"/>
        </w:tabs>
        <w:spacing w:after="240"/>
        <w:jc w:val="both"/>
        <w:rPr>
          <w:sz w:val="18"/>
          <w:szCs w:val="20"/>
          <w:lang w:val="en-GB"/>
        </w:rPr>
      </w:pPr>
      <w:r w:rsidRPr="00D5386B">
        <w:rPr>
          <w:szCs w:val="24"/>
          <w:lang w:val="en-GB"/>
        </w:rPr>
        <w:t>14-day chronic laboratory test in treated artificial soil (according to OECD 226). Different concentrations of the test item were homogenously mixed into the soil (5% peat) which was filled in glass vessels before the predatory mites were introduced on top of the soil; 9 treatment groups (eight test item concentrations, deionized water control); with 8 replicates for the control treatment group and 4 replicates for test item treatment groups, each with 10 female mites; assessment of adult mortality and reproduction effects (number of juveniles) after 14 days.</w:t>
      </w:r>
      <w:r w:rsidRPr="00794A3B">
        <w:rPr>
          <w:szCs w:val="24"/>
          <w:lang w:val="en-GB"/>
        </w:rPr>
        <w:t xml:space="preserve"> </w:t>
      </w:r>
    </w:p>
    <w:p w14:paraId="5CFF9795" w14:textId="77777777" w:rsidR="00A26547" w:rsidRPr="00794A3B" w:rsidRDefault="00A26547" w:rsidP="00E05ECD">
      <w:pPr>
        <w:numPr>
          <w:ilvl w:val="0"/>
          <w:numId w:val="122"/>
        </w:numPr>
        <w:tabs>
          <w:tab w:val="left" w:pos="0"/>
        </w:tabs>
        <w:contextualSpacing/>
        <w:rPr>
          <w:b/>
          <w:bCs/>
          <w:szCs w:val="24"/>
          <w:lang w:val="en-GB"/>
        </w:rPr>
      </w:pPr>
      <w:r w:rsidRPr="00794A3B">
        <w:rPr>
          <w:b/>
          <w:bCs/>
          <w:szCs w:val="24"/>
          <w:lang w:val="en-GB"/>
        </w:rPr>
        <w:t xml:space="preserve">Test concentrations: </w:t>
      </w:r>
    </w:p>
    <w:p w14:paraId="54670CA3" w14:textId="77777777" w:rsidR="00A26547" w:rsidRDefault="00A26547" w:rsidP="00A26547">
      <w:pPr>
        <w:tabs>
          <w:tab w:val="left" w:pos="720"/>
        </w:tabs>
        <w:spacing w:after="240"/>
        <w:jc w:val="both"/>
        <w:rPr>
          <w:szCs w:val="24"/>
          <w:lang w:val="en-GB"/>
        </w:rPr>
      </w:pPr>
      <w:r w:rsidRPr="00794A3B">
        <w:rPr>
          <w:szCs w:val="24"/>
          <w:lang w:val="en-GB"/>
        </w:rPr>
        <w:t>Control; 16.3, 29.4, 52.9, 95.3, 171.5, 308.6, 555.6 and 1000 mg BAS 650 00 F/kg dry soil (spacing factor: 1.8).</w:t>
      </w:r>
    </w:p>
    <w:p w14:paraId="50DBF43C" w14:textId="77777777" w:rsidR="00A26547" w:rsidRPr="00794A3B" w:rsidRDefault="00A26547" w:rsidP="00E05ECD">
      <w:pPr>
        <w:numPr>
          <w:ilvl w:val="0"/>
          <w:numId w:val="122"/>
        </w:numPr>
        <w:tabs>
          <w:tab w:val="left" w:pos="0"/>
        </w:tabs>
        <w:contextualSpacing/>
        <w:rPr>
          <w:b/>
          <w:bCs/>
          <w:szCs w:val="24"/>
          <w:lang w:val="en-GB"/>
        </w:rPr>
      </w:pPr>
      <w:r w:rsidRPr="00794A3B">
        <w:rPr>
          <w:b/>
          <w:bCs/>
          <w:szCs w:val="24"/>
          <w:lang w:val="en-GB"/>
        </w:rPr>
        <w:t xml:space="preserve">Measurements and observations: </w:t>
      </w:r>
    </w:p>
    <w:p w14:paraId="21358262" w14:textId="77777777" w:rsidR="00A26547" w:rsidRPr="00794A3B" w:rsidRDefault="00A26547" w:rsidP="00A26547">
      <w:pPr>
        <w:tabs>
          <w:tab w:val="left" w:pos="720"/>
        </w:tabs>
        <w:spacing w:after="240"/>
        <w:jc w:val="both"/>
        <w:rPr>
          <w:szCs w:val="24"/>
          <w:lang w:val="en-GB"/>
        </w:rPr>
      </w:pPr>
      <w:r w:rsidRPr="00794A3B">
        <w:rPr>
          <w:szCs w:val="24"/>
          <w:lang w:val="en-GB"/>
        </w:rPr>
        <w:t>Assessment of adult mortality and reproduction effects (number of juveniles) after 14 days.</w:t>
      </w:r>
    </w:p>
    <w:p w14:paraId="1CD7A240" w14:textId="77777777" w:rsidR="00A26547" w:rsidRPr="00794A3B" w:rsidRDefault="00A26547" w:rsidP="00E05ECD">
      <w:pPr>
        <w:numPr>
          <w:ilvl w:val="0"/>
          <w:numId w:val="122"/>
        </w:numPr>
        <w:tabs>
          <w:tab w:val="left" w:pos="0"/>
        </w:tabs>
        <w:contextualSpacing/>
        <w:rPr>
          <w:b/>
          <w:bCs/>
          <w:szCs w:val="24"/>
          <w:lang w:val="en-GB"/>
        </w:rPr>
      </w:pPr>
      <w:r w:rsidRPr="00794A3B">
        <w:rPr>
          <w:b/>
          <w:bCs/>
          <w:szCs w:val="24"/>
          <w:lang w:val="en-GB"/>
        </w:rPr>
        <w:t xml:space="preserve">Statistical analysis: </w:t>
      </w:r>
    </w:p>
    <w:p w14:paraId="17783104" w14:textId="77777777" w:rsidR="00A26547" w:rsidRPr="00794A3B" w:rsidRDefault="00A26547" w:rsidP="00A26547">
      <w:pPr>
        <w:tabs>
          <w:tab w:val="left" w:pos="720"/>
        </w:tabs>
        <w:spacing w:after="240"/>
        <w:jc w:val="both"/>
        <w:rPr>
          <w:szCs w:val="24"/>
          <w:highlight w:val="yellow"/>
          <w:lang w:val="en-GB"/>
        </w:rPr>
      </w:pPr>
      <w:r w:rsidRPr="00794A3B">
        <w:rPr>
          <w:szCs w:val="24"/>
          <w:lang w:val="en-GB"/>
        </w:rPr>
        <w:t>Descriptive statistics; Multiple Sequentially-rejective Fisher Test after Bonferroni-Holm for mortality (α = 0.05, one-sided greater), Multiple Sequentially-rejective Welch-t-test after Bonferroni-Holm for reproduction (α = 0.05, one-sided smaller).</w:t>
      </w:r>
    </w:p>
    <w:p w14:paraId="78FD3008" w14:textId="77777777" w:rsidR="00A26547" w:rsidRPr="00794A3B" w:rsidRDefault="00A26547" w:rsidP="00A26547">
      <w:pPr>
        <w:tabs>
          <w:tab w:val="left" w:pos="720"/>
        </w:tabs>
        <w:spacing w:after="240"/>
        <w:ind w:left="720" w:hanging="431"/>
        <w:contextualSpacing/>
        <w:jc w:val="center"/>
        <w:rPr>
          <w:b/>
          <w:bCs/>
          <w:caps/>
          <w:szCs w:val="24"/>
          <w:lang w:val="en-GB"/>
        </w:rPr>
      </w:pPr>
      <w:r w:rsidRPr="00116548">
        <w:rPr>
          <w:b/>
          <w:bCs/>
          <w:caps/>
          <w:szCs w:val="24"/>
          <w:lang w:val="en-GB"/>
        </w:rPr>
        <w:t>II.</w:t>
      </w:r>
      <w:r w:rsidRPr="00116548">
        <w:rPr>
          <w:b/>
          <w:bCs/>
          <w:caps/>
          <w:szCs w:val="24"/>
          <w:lang w:val="en-GB"/>
        </w:rPr>
        <w:tab/>
        <w:t>Results</w:t>
      </w:r>
      <w:r w:rsidRPr="00794A3B">
        <w:rPr>
          <w:b/>
          <w:bCs/>
          <w:caps/>
          <w:szCs w:val="24"/>
          <w:lang w:val="en-GB"/>
        </w:rPr>
        <w:t xml:space="preserve"> and Discussion</w:t>
      </w:r>
    </w:p>
    <w:p w14:paraId="24288AFC" w14:textId="77777777" w:rsidR="00A26547" w:rsidRPr="00794A3B" w:rsidRDefault="00A26547" w:rsidP="00A26547">
      <w:pPr>
        <w:tabs>
          <w:tab w:val="left" w:pos="720"/>
        </w:tabs>
        <w:spacing w:after="240"/>
        <w:ind w:left="720" w:hanging="431"/>
        <w:contextualSpacing/>
        <w:jc w:val="center"/>
        <w:rPr>
          <w:b/>
          <w:bCs/>
          <w:caps/>
          <w:szCs w:val="24"/>
          <w:lang w:val="en-GB"/>
        </w:rPr>
      </w:pPr>
    </w:p>
    <w:p w14:paraId="4268A490" w14:textId="77777777" w:rsidR="00A26547" w:rsidRPr="00794A3B" w:rsidRDefault="00A26547" w:rsidP="00A26547">
      <w:pPr>
        <w:tabs>
          <w:tab w:val="left" w:pos="0"/>
        </w:tabs>
        <w:ind w:left="357" w:hanging="357"/>
        <w:contextualSpacing/>
        <w:rPr>
          <w:b/>
          <w:bCs/>
          <w:caps/>
          <w:szCs w:val="24"/>
          <w:lang w:val="en-GB"/>
        </w:rPr>
      </w:pPr>
      <w:r w:rsidRPr="00794A3B">
        <w:rPr>
          <w:b/>
          <w:bCs/>
          <w:caps/>
          <w:szCs w:val="24"/>
          <w:lang w:val="en-GB"/>
        </w:rPr>
        <w:t>C.</w:t>
      </w:r>
      <w:r w:rsidRPr="00794A3B">
        <w:rPr>
          <w:b/>
          <w:bCs/>
          <w:caps/>
          <w:szCs w:val="24"/>
          <w:lang w:val="en-GB"/>
        </w:rPr>
        <w:tab/>
        <w:t>BIOLOGICAL EFFECTS</w:t>
      </w:r>
    </w:p>
    <w:p w14:paraId="437DF8EF" w14:textId="7EFD8A5A" w:rsidR="00A26547" w:rsidRPr="00D5386B" w:rsidRDefault="00A26547" w:rsidP="00A26547">
      <w:pPr>
        <w:widowControl w:val="0"/>
        <w:tabs>
          <w:tab w:val="left" w:pos="720"/>
        </w:tabs>
        <w:suppressAutoHyphens/>
        <w:jc w:val="both"/>
        <w:rPr>
          <w:lang w:val="en-GB"/>
        </w:rPr>
      </w:pPr>
      <w:r w:rsidRPr="00D5386B">
        <w:rPr>
          <w:lang w:val="en-GB"/>
        </w:rPr>
        <w:t xml:space="preserve">The mortality was between 0% and 10% in the test item treatment groups, compared to 3.8% in the control. The mortality observed was not statistically significantly different compared to the control (Multiple Sequentially-rejective Fisher Test after Bonferroni-Holm, </w:t>
      </w:r>
      <w:r w:rsidRPr="00696751">
        <w:t>α</w:t>
      </w:r>
      <w:r w:rsidRPr="00D5386B">
        <w:rPr>
          <w:lang w:val="en-GB"/>
        </w:rPr>
        <w:t xml:space="preserve"> = 0.05, one-sided greater). </w:t>
      </w:r>
      <w:r w:rsidRPr="00D5386B">
        <w:rPr>
          <w:bCs/>
          <w:lang w:val="en-GB"/>
        </w:rPr>
        <w:t xml:space="preserve">Reproduction rates in the 16.3, 29.4, 52.9, 95.3, 171.5, 308.6, 555.6 and 1000 mg test item/kg dry soil groups were 297.8, </w:t>
      </w:r>
      <w:r w:rsidRPr="00D5386B">
        <w:rPr>
          <w:bCs/>
          <w:lang w:val="en-GB"/>
        </w:rPr>
        <w:lastRenderedPageBreak/>
        <w:t xml:space="preserve">284.8, 286.3, 282.0, 315.3, 291.0, 322.0 and 293.5 juveniles, respectively. The mean reproduction in the control reached 290.6 juveniles. The test item showed no statistically significantly adverse effects on reproduction at all tested concentrations (Multiple Sequentially-rejective Welch-t-test after Bonferroni-Holm, </w:t>
      </w:r>
      <w:r w:rsidRPr="00696751">
        <w:rPr>
          <w:bCs/>
        </w:rPr>
        <w:t>α</w:t>
      </w:r>
      <w:r w:rsidRPr="00D5386B">
        <w:rPr>
          <w:bCs/>
          <w:lang w:val="en-GB"/>
        </w:rPr>
        <w:t> = 0.05, one-sided smaller)</w:t>
      </w:r>
      <w:r w:rsidRPr="00D5386B">
        <w:rPr>
          <w:lang w:val="en-GB"/>
        </w:rPr>
        <w:t xml:space="preserve">. No behavioral abnormalities or differences in morphology of the mites between the test item treated groups and the control were observed. </w:t>
      </w:r>
      <w:r w:rsidRPr="00D5386B">
        <w:rPr>
          <w:bCs/>
          <w:lang w:val="en-GB"/>
        </w:rPr>
        <w:t>T</w:t>
      </w:r>
      <w:r w:rsidRPr="00D5386B">
        <w:rPr>
          <w:lang w:val="en-GB"/>
        </w:rPr>
        <w:t>he results are summarized in</w:t>
      </w:r>
      <w:r>
        <w:rPr>
          <w:lang w:val="en-GB"/>
        </w:rPr>
        <w:t xml:space="preserve"> </w:t>
      </w:r>
      <w:r w:rsidR="00B50188">
        <w:rPr>
          <w:lang w:val="en-GB"/>
        </w:rPr>
        <w:fldChar w:fldCharType="begin"/>
      </w:r>
      <w:r w:rsidR="00B50188">
        <w:rPr>
          <w:lang w:val="en-GB"/>
        </w:rPr>
        <w:instrText xml:space="preserve"> REF _Ref147912549 \h </w:instrText>
      </w:r>
      <w:r w:rsidR="00B50188">
        <w:rPr>
          <w:lang w:val="en-GB"/>
        </w:rPr>
      </w:r>
      <w:r w:rsidR="00B50188">
        <w:rPr>
          <w:lang w:val="en-GB"/>
        </w:rPr>
        <w:fldChar w:fldCharType="separate"/>
      </w:r>
      <w:r w:rsidR="006F0F3B">
        <w:t xml:space="preserve">Table A </w:t>
      </w:r>
      <w:r w:rsidR="006F0F3B">
        <w:rPr>
          <w:noProof/>
        </w:rPr>
        <w:t>86</w:t>
      </w:r>
      <w:r w:rsidR="00B50188">
        <w:rPr>
          <w:lang w:val="en-GB"/>
        </w:rPr>
        <w:fldChar w:fldCharType="end"/>
      </w:r>
      <w:r w:rsidR="00524A1E">
        <w:rPr>
          <w:lang w:val="en-GB"/>
        </w:rPr>
        <w:t>.</w:t>
      </w:r>
    </w:p>
    <w:p w14:paraId="52C3D3BF" w14:textId="77777777" w:rsidR="00A26547" w:rsidRPr="00D5386B" w:rsidRDefault="00A26547" w:rsidP="00A26547">
      <w:pPr>
        <w:widowControl w:val="0"/>
        <w:suppressAutoHyphens/>
        <w:jc w:val="both"/>
        <w:rPr>
          <w:lang w:val="en-GB"/>
        </w:rPr>
      </w:pPr>
    </w:p>
    <w:p w14:paraId="3D9F27F2" w14:textId="4890B3F8" w:rsidR="00A26547" w:rsidRPr="00696751" w:rsidRDefault="00B50188" w:rsidP="00B50188">
      <w:pPr>
        <w:pStyle w:val="Legenda"/>
        <w:rPr>
          <w:b w:val="0"/>
          <w:bCs w:val="0"/>
        </w:rPr>
      </w:pPr>
      <w:bookmarkStart w:id="1174" w:name="_Ref147912549"/>
      <w:r>
        <w:t xml:space="preserve">Table A </w:t>
      </w:r>
      <w:r>
        <w:fldChar w:fldCharType="begin"/>
      </w:r>
      <w:r>
        <w:instrText xml:space="preserve"> SEQ Table_A \* ARABIC </w:instrText>
      </w:r>
      <w:r>
        <w:fldChar w:fldCharType="separate"/>
      </w:r>
      <w:r w:rsidR="006F0F3B">
        <w:rPr>
          <w:noProof/>
        </w:rPr>
        <w:t>86</w:t>
      </w:r>
      <w:r>
        <w:fldChar w:fldCharType="end"/>
      </w:r>
      <w:bookmarkEnd w:id="1174"/>
      <w:r w:rsidR="00A26547" w:rsidRPr="00696751">
        <w:t>:</w:t>
      </w:r>
      <w:r w:rsidR="00A26547" w:rsidRPr="00696751">
        <w:tab/>
        <w:t>Effects of BAS 650 00 F on mortality and reproduction of predatory mites</w:t>
      </w:r>
      <w:r w:rsidR="00A26547" w:rsidRPr="00696751">
        <w:rPr>
          <w:i/>
        </w:rPr>
        <w:t xml:space="preserve"> (Hypoaspis aculeifer)</w:t>
      </w:r>
      <w:r w:rsidR="00A26547" w:rsidRPr="00696751">
        <w:t xml:space="preserve"> in a 14-day study</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1"/>
        <w:gridCol w:w="883"/>
        <w:gridCol w:w="826"/>
        <w:gridCol w:w="826"/>
        <w:gridCol w:w="829"/>
        <w:gridCol w:w="829"/>
        <w:gridCol w:w="829"/>
        <w:gridCol w:w="827"/>
        <w:gridCol w:w="827"/>
        <w:gridCol w:w="837"/>
      </w:tblGrid>
      <w:tr w:rsidR="00A26547" w:rsidRPr="00696751" w14:paraId="0E10E752" w14:textId="77777777" w:rsidTr="003F171E">
        <w:trPr>
          <w:trHeight w:val="624"/>
        </w:trPr>
        <w:tc>
          <w:tcPr>
            <w:tcW w:w="1078" w:type="pct"/>
            <w:vAlign w:val="center"/>
          </w:tcPr>
          <w:p w14:paraId="1DCC356D" w14:textId="77777777" w:rsidR="00A26547" w:rsidRPr="00D5386B" w:rsidRDefault="00A26547" w:rsidP="003F171E">
            <w:pPr>
              <w:widowControl w:val="0"/>
              <w:suppressAutoHyphens/>
              <w:spacing w:before="40" w:after="40"/>
              <w:rPr>
                <w:b/>
                <w:sz w:val="20"/>
                <w:lang w:val="en-GB"/>
              </w:rPr>
            </w:pPr>
            <w:r w:rsidRPr="00D5386B">
              <w:rPr>
                <w:b/>
                <w:bCs/>
                <w:sz w:val="20"/>
                <w:lang w:val="en-GB"/>
              </w:rPr>
              <w:t>BAS 650 00 F</w:t>
            </w:r>
            <w:r w:rsidRPr="00D5386B">
              <w:rPr>
                <w:b/>
                <w:sz w:val="20"/>
                <w:lang w:val="en-GB"/>
              </w:rPr>
              <w:br/>
              <w:t>[mg/kg dry soil</w:t>
            </w:r>
            <w:r w:rsidRPr="00696751">
              <w:rPr>
                <w:b/>
                <w:sz w:val="20"/>
              </w:rPr>
              <w:sym w:font="Symbol" w:char="F05D"/>
            </w:r>
          </w:p>
        </w:tc>
        <w:tc>
          <w:tcPr>
            <w:tcW w:w="450" w:type="pct"/>
            <w:vAlign w:val="center"/>
          </w:tcPr>
          <w:p w14:paraId="3E2A4727" w14:textId="77777777" w:rsidR="00A26547" w:rsidRPr="00696751" w:rsidRDefault="00A26547" w:rsidP="003F171E">
            <w:pPr>
              <w:widowControl w:val="0"/>
              <w:suppressAutoHyphens/>
              <w:spacing w:before="40" w:after="40"/>
              <w:rPr>
                <w:b/>
                <w:sz w:val="20"/>
              </w:rPr>
            </w:pPr>
            <w:r w:rsidRPr="00696751">
              <w:rPr>
                <w:b/>
                <w:sz w:val="20"/>
              </w:rPr>
              <w:t>Control</w:t>
            </w:r>
          </w:p>
        </w:tc>
        <w:tc>
          <w:tcPr>
            <w:tcW w:w="433" w:type="pct"/>
            <w:shd w:val="clear" w:color="auto" w:fill="auto"/>
            <w:vAlign w:val="center"/>
          </w:tcPr>
          <w:p w14:paraId="76F8719D" w14:textId="77777777" w:rsidR="00A26547" w:rsidRPr="00696751" w:rsidRDefault="00A26547" w:rsidP="003F171E">
            <w:pPr>
              <w:widowControl w:val="0"/>
              <w:suppressAutoHyphens/>
              <w:spacing w:before="40" w:after="40"/>
              <w:rPr>
                <w:b/>
                <w:sz w:val="20"/>
              </w:rPr>
            </w:pPr>
            <w:r w:rsidRPr="00696751">
              <w:rPr>
                <w:b/>
                <w:sz w:val="20"/>
              </w:rPr>
              <w:t>16.3</w:t>
            </w:r>
          </w:p>
        </w:tc>
        <w:tc>
          <w:tcPr>
            <w:tcW w:w="433" w:type="pct"/>
            <w:vAlign w:val="center"/>
          </w:tcPr>
          <w:p w14:paraId="342B9B0F" w14:textId="77777777" w:rsidR="00A26547" w:rsidRPr="00696751" w:rsidRDefault="00A26547" w:rsidP="003F171E">
            <w:pPr>
              <w:widowControl w:val="0"/>
              <w:suppressAutoHyphens/>
              <w:spacing w:before="40" w:after="40"/>
              <w:rPr>
                <w:b/>
                <w:sz w:val="20"/>
              </w:rPr>
            </w:pPr>
            <w:r w:rsidRPr="00696751">
              <w:rPr>
                <w:b/>
                <w:sz w:val="20"/>
              </w:rPr>
              <w:t>29.4</w:t>
            </w:r>
          </w:p>
        </w:tc>
        <w:tc>
          <w:tcPr>
            <w:tcW w:w="434" w:type="pct"/>
            <w:vAlign w:val="center"/>
          </w:tcPr>
          <w:p w14:paraId="07E84E38" w14:textId="77777777" w:rsidR="00A26547" w:rsidRPr="00696751" w:rsidRDefault="00A26547" w:rsidP="003F171E">
            <w:pPr>
              <w:widowControl w:val="0"/>
              <w:suppressAutoHyphens/>
              <w:spacing w:before="40" w:after="40"/>
              <w:rPr>
                <w:b/>
                <w:sz w:val="20"/>
              </w:rPr>
            </w:pPr>
            <w:r w:rsidRPr="00696751">
              <w:rPr>
                <w:b/>
                <w:sz w:val="20"/>
              </w:rPr>
              <w:t>52.9</w:t>
            </w:r>
          </w:p>
        </w:tc>
        <w:tc>
          <w:tcPr>
            <w:tcW w:w="434" w:type="pct"/>
            <w:vAlign w:val="center"/>
          </w:tcPr>
          <w:p w14:paraId="760D5D8F" w14:textId="77777777" w:rsidR="00A26547" w:rsidRPr="00696751" w:rsidRDefault="00A26547" w:rsidP="003F171E">
            <w:pPr>
              <w:widowControl w:val="0"/>
              <w:suppressAutoHyphens/>
              <w:spacing w:before="40" w:after="40"/>
              <w:rPr>
                <w:b/>
                <w:sz w:val="20"/>
              </w:rPr>
            </w:pPr>
            <w:r w:rsidRPr="00696751">
              <w:rPr>
                <w:b/>
                <w:sz w:val="20"/>
              </w:rPr>
              <w:t>95.3</w:t>
            </w:r>
          </w:p>
        </w:tc>
        <w:tc>
          <w:tcPr>
            <w:tcW w:w="434" w:type="pct"/>
            <w:shd w:val="clear" w:color="auto" w:fill="auto"/>
            <w:vAlign w:val="center"/>
          </w:tcPr>
          <w:p w14:paraId="79CB1F05" w14:textId="77777777" w:rsidR="00A26547" w:rsidRPr="00696751" w:rsidRDefault="00A26547" w:rsidP="003F171E">
            <w:pPr>
              <w:widowControl w:val="0"/>
              <w:suppressAutoHyphens/>
              <w:spacing w:before="40" w:after="40"/>
              <w:rPr>
                <w:b/>
                <w:sz w:val="20"/>
              </w:rPr>
            </w:pPr>
            <w:r w:rsidRPr="00696751">
              <w:rPr>
                <w:b/>
                <w:sz w:val="20"/>
              </w:rPr>
              <w:t>171.5</w:t>
            </w:r>
          </w:p>
        </w:tc>
        <w:tc>
          <w:tcPr>
            <w:tcW w:w="433" w:type="pct"/>
            <w:vAlign w:val="center"/>
          </w:tcPr>
          <w:p w14:paraId="00720E90" w14:textId="77777777" w:rsidR="00A26547" w:rsidRPr="00696751" w:rsidRDefault="00A26547" w:rsidP="003F171E">
            <w:pPr>
              <w:widowControl w:val="0"/>
              <w:suppressAutoHyphens/>
              <w:spacing w:before="40" w:after="40"/>
              <w:rPr>
                <w:b/>
                <w:sz w:val="20"/>
              </w:rPr>
            </w:pPr>
            <w:r w:rsidRPr="00696751">
              <w:rPr>
                <w:b/>
                <w:sz w:val="20"/>
              </w:rPr>
              <w:t>308.6</w:t>
            </w:r>
          </w:p>
        </w:tc>
        <w:tc>
          <w:tcPr>
            <w:tcW w:w="433" w:type="pct"/>
            <w:vAlign w:val="center"/>
          </w:tcPr>
          <w:p w14:paraId="32A554A6" w14:textId="77777777" w:rsidR="00A26547" w:rsidRPr="00696751" w:rsidRDefault="00A26547" w:rsidP="003F171E">
            <w:pPr>
              <w:widowControl w:val="0"/>
              <w:suppressAutoHyphens/>
              <w:spacing w:before="40" w:after="40"/>
              <w:rPr>
                <w:b/>
                <w:sz w:val="20"/>
              </w:rPr>
            </w:pPr>
            <w:r w:rsidRPr="00696751">
              <w:rPr>
                <w:b/>
                <w:sz w:val="20"/>
              </w:rPr>
              <w:t>555.6</w:t>
            </w:r>
          </w:p>
        </w:tc>
        <w:tc>
          <w:tcPr>
            <w:tcW w:w="438" w:type="pct"/>
            <w:shd w:val="clear" w:color="auto" w:fill="auto"/>
            <w:vAlign w:val="center"/>
          </w:tcPr>
          <w:p w14:paraId="0BAD2FD6" w14:textId="77777777" w:rsidR="00A26547" w:rsidRPr="00696751" w:rsidRDefault="00A26547" w:rsidP="003F171E">
            <w:pPr>
              <w:widowControl w:val="0"/>
              <w:suppressAutoHyphens/>
              <w:spacing w:before="40" w:after="40"/>
              <w:rPr>
                <w:b/>
                <w:sz w:val="20"/>
              </w:rPr>
            </w:pPr>
            <w:r w:rsidRPr="00696751">
              <w:rPr>
                <w:b/>
                <w:sz w:val="20"/>
              </w:rPr>
              <w:t>1000</w:t>
            </w:r>
          </w:p>
        </w:tc>
      </w:tr>
      <w:tr w:rsidR="00A26547" w:rsidRPr="00696751" w14:paraId="097212D6" w14:textId="77777777" w:rsidTr="003F171E">
        <w:trPr>
          <w:trHeight w:val="340"/>
        </w:trPr>
        <w:tc>
          <w:tcPr>
            <w:tcW w:w="1078" w:type="pct"/>
            <w:vAlign w:val="center"/>
          </w:tcPr>
          <w:p w14:paraId="3986E3F5" w14:textId="77777777" w:rsidR="00A26547" w:rsidRPr="00696751" w:rsidRDefault="00A26547" w:rsidP="003F171E">
            <w:pPr>
              <w:widowControl w:val="0"/>
              <w:suppressAutoHyphens/>
              <w:spacing w:before="40" w:after="40"/>
              <w:rPr>
                <w:sz w:val="20"/>
              </w:rPr>
            </w:pPr>
            <w:r w:rsidRPr="00696751">
              <w:rPr>
                <w:sz w:val="20"/>
              </w:rPr>
              <w:t>Mean mortality (day 28) [%]</w:t>
            </w:r>
          </w:p>
        </w:tc>
        <w:tc>
          <w:tcPr>
            <w:tcW w:w="450" w:type="pct"/>
            <w:vAlign w:val="center"/>
          </w:tcPr>
          <w:p w14:paraId="06E401D1" w14:textId="77777777" w:rsidR="00A26547" w:rsidRPr="00696751" w:rsidRDefault="00A26547" w:rsidP="003F171E">
            <w:pPr>
              <w:suppressAutoHyphens/>
              <w:rPr>
                <w:sz w:val="20"/>
                <w:szCs w:val="18"/>
              </w:rPr>
            </w:pPr>
            <w:r w:rsidRPr="00696751">
              <w:rPr>
                <w:sz w:val="20"/>
                <w:szCs w:val="18"/>
              </w:rPr>
              <w:t>3.8</w:t>
            </w:r>
          </w:p>
        </w:tc>
        <w:tc>
          <w:tcPr>
            <w:tcW w:w="433" w:type="pct"/>
            <w:shd w:val="clear" w:color="auto" w:fill="auto"/>
            <w:vAlign w:val="center"/>
          </w:tcPr>
          <w:p w14:paraId="74265596" w14:textId="77777777" w:rsidR="00A26547" w:rsidRPr="00696751" w:rsidRDefault="00A26547" w:rsidP="003F171E">
            <w:pPr>
              <w:suppressAutoHyphens/>
              <w:rPr>
                <w:sz w:val="20"/>
                <w:szCs w:val="18"/>
              </w:rPr>
            </w:pPr>
            <w:r w:rsidRPr="00696751">
              <w:rPr>
                <w:sz w:val="20"/>
                <w:szCs w:val="18"/>
              </w:rPr>
              <w:t>5.0</w:t>
            </w:r>
          </w:p>
        </w:tc>
        <w:tc>
          <w:tcPr>
            <w:tcW w:w="433" w:type="pct"/>
            <w:vAlign w:val="center"/>
          </w:tcPr>
          <w:p w14:paraId="7DAE5133" w14:textId="77777777" w:rsidR="00A26547" w:rsidRPr="00696751" w:rsidRDefault="00A26547" w:rsidP="003F171E">
            <w:pPr>
              <w:suppressAutoHyphens/>
              <w:rPr>
                <w:sz w:val="20"/>
                <w:szCs w:val="18"/>
              </w:rPr>
            </w:pPr>
            <w:r w:rsidRPr="00696751">
              <w:rPr>
                <w:sz w:val="20"/>
                <w:szCs w:val="18"/>
              </w:rPr>
              <w:t>0.0</w:t>
            </w:r>
          </w:p>
        </w:tc>
        <w:tc>
          <w:tcPr>
            <w:tcW w:w="434" w:type="pct"/>
            <w:vAlign w:val="center"/>
          </w:tcPr>
          <w:p w14:paraId="236E1F85" w14:textId="77777777" w:rsidR="00A26547" w:rsidRPr="00696751" w:rsidRDefault="00A26547" w:rsidP="003F171E">
            <w:pPr>
              <w:suppressAutoHyphens/>
              <w:rPr>
                <w:sz w:val="20"/>
                <w:szCs w:val="18"/>
              </w:rPr>
            </w:pPr>
            <w:r w:rsidRPr="00696751">
              <w:rPr>
                <w:sz w:val="20"/>
                <w:szCs w:val="18"/>
              </w:rPr>
              <w:t>2.5</w:t>
            </w:r>
          </w:p>
        </w:tc>
        <w:tc>
          <w:tcPr>
            <w:tcW w:w="434" w:type="pct"/>
            <w:vAlign w:val="center"/>
          </w:tcPr>
          <w:p w14:paraId="52BBECE2" w14:textId="77777777" w:rsidR="00A26547" w:rsidRPr="00696751" w:rsidRDefault="00A26547" w:rsidP="003F171E">
            <w:pPr>
              <w:suppressAutoHyphens/>
              <w:rPr>
                <w:sz w:val="20"/>
                <w:szCs w:val="18"/>
              </w:rPr>
            </w:pPr>
            <w:r w:rsidRPr="00696751">
              <w:rPr>
                <w:sz w:val="20"/>
                <w:szCs w:val="18"/>
              </w:rPr>
              <w:t>2.5</w:t>
            </w:r>
          </w:p>
        </w:tc>
        <w:tc>
          <w:tcPr>
            <w:tcW w:w="434" w:type="pct"/>
            <w:shd w:val="clear" w:color="auto" w:fill="auto"/>
            <w:vAlign w:val="center"/>
          </w:tcPr>
          <w:p w14:paraId="0E7B8374" w14:textId="77777777" w:rsidR="00A26547" w:rsidRPr="00696751" w:rsidRDefault="00A26547" w:rsidP="003F171E">
            <w:pPr>
              <w:suppressAutoHyphens/>
              <w:rPr>
                <w:sz w:val="20"/>
                <w:szCs w:val="18"/>
              </w:rPr>
            </w:pPr>
            <w:r w:rsidRPr="00696751">
              <w:rPr>
                <w:sz w:val="20"/>
                <w:szCs w:val="18"/>
              </w:rPr>
              <w:t>5.0</w:t>
            </w:r>
          </w:p>
        </w:tc>
        <w:tc>
          <w:tcPr>
            <w:tcW w:w="433" w:type="pct"/>
            <w:vAlign w:val="center"/>
          </w:tcPr>
          <w:p w14:paraId="336EBB74" w14:textId="77777777" w:rsidR="00A26547" w:rsidRPr="00696751" w:rsidRDefault="00A26547" w:rsidP="003F171E">
            <w:pPr>
              <w:suppressAutoHyphens/>
              <w:rPr>
                <w:sz w:val="20"/>
                <w:szCs w:val="18"/>
              </w:rPr>
            </w:pPr>
            <w:r w:rsidRPr="00696751">
              <w:rPr>
                <w:sz w:val="20"/>
                <w:szCs w:val="18"/>
              </w:rPr>
              <w:t>7.5</w:t>
            </w:r>
          </w:p>
        </w:tc>
        <w:tc>
          <w:tcPr>
            <w:tcW w:w="433" w:type="pct"/>
            <w:vAlign w:val="center"/>
          </w:tcPr>
          <w:p w14:paraId="3A1A2177" w14:textId="77777777" w:rsidR="00A26547" w:rsidRPr="00696751" w:rsidRDefault="00A26547" w:rsidP="003F171E">
            <w:pPr>
              <w:suppressAutoHyphens/>
              <w:rPr>
                <w:sz w:val="20"/>
                <w:szCs w:val="18"/>
              </w:rPr>
            </w:pPr>
            <w:r w:rsidRPr="00696751">
              <w:rPr>
                <w:sz w:val="20"/>
                <w:szCs w:val="18"/>
              </w:rPr>
              <w:t>2.5</w:t>
            </w:r>
          </w:p>
        </w:tc>
        <w:tc>
          <w:tcPr>
            <w:tcW w:w="438" w:type="pct"/>
            <w:shd w:val="clear" w:color="auto" w:fill="auto"/>
            <w:vAlign w:val="center"/>
          </w:tcPr>
          <w:p w14:paraId="1782A148" w14:textId="77777777" w:rsidR="00A26547" w:rsidRPr="00696751" w:rsidRDefault="00A26547" w:rsidP="003F171E">
            <w:pPr>
              <w:suppressAutoHyphens/>
              <w:rPr>
                <w:sz w:val="20"/>
                <w:szCs w:val="18"/>
              </w:rPr>
            </w:pPr>
            <w:r w:rsidRPr="00696751">
              <w:rPr>
                <w:sz w:val="20"/>
                <w:szCs w:val="18"/>
              </w:rPr>
              <w:t>10.0</w:t>
            </w:r>
          </w:p>
        </w:tc>
      </w:tr>
      <w:tr w:rsidR="00A26547" w:rsidRPr="00696751" w14:paraId="2F164C3E" w14:textId="77777777" w:rsidTr="003F171E">
        <w:trPr>
          <w:trHeight w:val="340"/>
        </w:trPr>
        <w:tc>
          <w:tcPr>
            <w:tcW w:w="1078" w:type="pct"/>
            <w:vAlign w:val="center"/>
          </w:tcPr>
          <w:p w14:paraId="784960BF" w14:textId="77777777" w:rsidR="00A26547" w:rsidRPr="00D5386B" w:rsidRDefault="00A26547" w:rsidP="003F171E">
            <w:pPr>
              <w:widowControl w:val="0"/>
              <w:suppressAutoHyphens/>
              <w:spacing w:before="40" w:after="40"/>
              <w:rPr>
                <w:sz w:val="20"/>
                <w:lang w:val="en-GB"/>
              </w:rPr>
            </w:pPr>
            <w:r w:rsidRPr="00D5386B">
              <w:rPr>
                <w:sz w:val="20"/>
                <w:lang w:val="en-GB"/>
              </w:rPr>
              <w:t>Mean no. of juveniles (day 28)</w:t>
            </w:r>
          </w:p>
        </w:tc>
        <w:tc>
          <w:tcPr>
            <w:tcW w:w="450" w:type="pct"/>
            <w:vAlign w:val="center"/>
          </w:tcPr>
          <w:p w14:paraId="32118AC1" w14:textId="77777777" w:rsidR="00A26547" w:rsidRPr="00696751" w:rsidRDefault="00A26547" w:rsidP="003F171E">
            <w:pPr>
              <w:suppressAutoHyphens/>
              <w:rPr>
                <w:sz w:val="20"/>
                <w:szCs w:val="18"/>
              </w:rPr>
            </w:pPr>
            <w:r w:rsidRPr="00696751">
              <w:rPr>
                <w:sz w:val="20"/>
                <w:szCs w:val="18"/>
              </w:rPr>
              <w:t>290.6</w:t>
            </w:r>
          </w:p>
        </w:tc>
        <w:tc>
          <w:tcPr>
            <w:tcW w:w="433" w:type="pct"/>
            <w:shd w:val="clear" w:color="auto" w:fill="auto"/>
            <w:vAlign w:val="center"/>
          </w:tcPr>
          <w:p w14:paraId="6604E241" w14:textId="77777777" w:rsidR="00A26547" w:rsidRPr="00696751" w:rsidRDefault="00A26547" w:rsidP="003F171E">
            <w:pPr>
              <w:suppressAutoHyphens/>
              <w:rPr>
                <w:sz w:val="20"/>
                <w:szCs w:val="18"/>
              </w:rPr>
            </w:pPr>
            <w:r w:rsidRPr="00696751">
              <w:rPr>
                <w:sz w:val="20"/>
                <w:szCs w:val="18"/>
              </w:rPr>
              <w:t>297.8</w:t>
            </w:r>
          </w:p>
        </w:tc>
        <w:tc>
          <w:tcPr>
            <w:tcW w:w="433" w:type="pct"/>
            <w:vAlign w:val="center"/>
          </w:tcPr>
          <w:p w14:paraId="6468D724" w14:textId="77777777" w:rsidR="00A26547" w:rsidRPr="00696751" w:rsidRDefault="00A26547" w:rsidP="003F171E">
            <w:pPr>
              <w:suppressAutoHyphens/>
              <w:rPr>
                <w:sz w:val="20"/>
                <w:szCs w:val="18"/>
              </w:rPr>
            </w:pPr>
            <w:r w:rsidRPr="00696751">
              <w:rPr>
                <w:sz w:val="20"/>
                <w:szCs w:val="18"/>
              </w:rPr>
              <w:t>284.8</w:t>
            </w:r>
          </w:p>
        </w:tc>
        <w:tc>
          <w:tcPr>
            <w:tcW w:w="434" w:type="pct"/>
            <w:vAlign w:val="center"/>
          </w:tcPr>
          <w:p w14:paraId="25125FC3" w14:textId="77777777" w:rsidR="00A26547" w:rsidRPr="00696751" w:rsidRDefault="00A26547" w:rsidP="003F171E">
            <w:pPr>
              <w:suppressAutoHyphens/>
              <w:rPr>
                <w:sz w:val="20"/>
                <w:szCs w:val="18"/>
              </w:rPr>
            </w:pPr>
            <w:r w:rsidRPr="00696751">
              <w:rPr>
                <w:sz w:val="20"/>
                <w:szCs w:val="18"/>
              </w:rPr>
              <w:t>286.3</w:t>
            </w:r>
          </w:p>
        </w:tc>
        <w:tc>
          <w:tcPr>
            <w:tcW w:w="434" w:type="pct"/>
            <w:vAlign w:val="center"/>
          </w:tcPr>
          <w:p w14:paraId="4CF093F4" w14:textId="77777777" w:rsidR="00A26547" w:rsidRPr="00696751" w:rsidRDefault="00A26547" w:rsidP="003F171E">
            <w:pPr>
              <w:suppressAutoHyphens/>
              <w:rPr>
                <w:sz w:val="20"/>
                <w:szCs w:val="18"/>
              </w:rPr>
            </w:pPr>
            <w:r w:rsidRPr="00696751">
              <w:rPr>
                <w:sz w:val="20"/>
                <w:szCs w:val="18"/>
              </w:rPr>
              <w:t>282.0</w:t>
            </w:r>
          </w:p>
        </w:tc>
        <w:tc>
          <w:tcPr>
            <w:tcW w:w="434" w:type="pct"/>
            <w:shd w:val="clear" w:color="auto" w:fill="auto"/>
            <w:vAlign w:val="center"/>
          </w:tcPr>
          <w:p w14:paraId="4468E8DB" w14:textId="77777777" w:rsidR="00A26547" w:rsidRPr="00696751" w:rsidRDefault="00A26547" w:rsidP="003F171E">
            <w:pPr>
              <w:suppressAutoHyphens/>
              <w:rPr>
                <w:sz w:val="20"/>
                <w:szCs w:val="18"/>
              </w:rPr>
            </w:pPr>
            <w:r w:rsidRPr="00696751">
              <w:rPr>
                <w:sz w:val="20"/>
                <w:szCs w:val="18"/>
              </w:rPr>
              <w:t>315.3</w:t>
            </w:r>
          </w:p>
        </w:tc>
        <w:tc>
          <w:tcPr>
            <w:tcW w:w="433" w:type="pct"/>
            <w:vAlign w:val="center"/>
          </w:tcPr>
          <w:p w14:paraId="07BA0502" w14:textId="77777777" w:rsidR="00A26547" w:rsidRPr="00696751" w:rsidRDefault="00A26547" w:rsidP="003F171E">
            <w:pPr>
              <w:suppressAutoHyphens/>
              <w:rPr>
                <w:sz w:val="20"/>
                <w:szCs w:val="18"/>
              </w:rPr>
            </w:pPr>
            <w:r w:rsidRPr="00696751">
              <w:rPr>
                <w:sz w:val="20"/>
                <w:szCs w:val="18"/>
              </w:rPr>
              <w:t>291.0</w:t>
            </w:r>
          </w:p>
        </w:tc>
        <w:tc>
          <w:tcPr>
            <w:tcW w:w="433" w:type="pct"/>
            <w:vAlign w:val="center"/>
          </w:tcPr>
          <w:p w14:paraId="065EE357" w14:textId="77777777" w:rsidR="00A26547" w:rsidRPr="00696751" w:rsidRDefault="00A26547" w:rsidP="003F171E">
            <w:pPr>
              <w:suppressAutoHyphens/>
              <w:rPr>
                <w:sz w:val="20"/>
                <w:szCs w:val="18"/>
              </w:rPr>
            </w:pPr>
            <w:r w:rsidRPr="00696751">
              <w:rPr>
                <w:sz w:val="20"/>
                <w:szCs w:val="18"/>
              </w:rPr>
              <w:t>322.0</w:t>
            </w:r>
          </w:p>
        </w:tc>
        <w:tc>
          <w:tcPr>
            <w:tcW w:w="438" w:type="pct"/>
            <w:shd w:val="clear" w:color="auto" w:fill="auto"/>
            <w:vAlign w:val="center"/>
          </w:tcPr>
          <w:p w14:paraId="01442A45" w14:textId="77777777" w:rsidR="00A26547" w:rsidRPr="00696751" w:rsidRDefault="00A26547" w:rsidP="003F171E">
            <w:pPr>
              <w:suppressAutoHyphens/>
              <w:rPr>
                <w:sz w:val="20"/>
                <w:szCs w:val="18"/>
              </w:rPr>
            </w:pPr>
            <w:r w:rsidRPr="00696751">
              <w:rPr>
                <w:sz w:val="20"/>
                <w:szCs w:val="18"/>
              </w:rPr>
              <w:t>293.5</w:t>
            </w:r>
          </w:p>
        </w:tc>
      </w:tr>
      <w:tr w:rsidR="00A26547" w:rsidRPr="00696751" w14:paraId="5AF2C697" w14:textId="77777777" w:rsidTr="003F171E">
        <w:trPr>
          <w:trHeight w:val="567"/>
        </w:trPr>
        <w:tc>
          <w:tcPr>
            <w:tcW w:w="1078" w:type="pct"/>
            <w:vAlign w:val="center"/>
          </w:tcPr>
          <w:p w14:paraId="0577C2B1" w14:textId="77777777" w:rsidR="00A26547" w:rsidRPr="00D5386B" w:rsidRDefault="00A26547" w:rsidP="003F171E">
            <w:pPr>
              <w:widowControl w:val="0"/>
              <w:suppressAutoHyphens/>
              <w:spacing w:before="40" w:after="40"/>
              <w:rPr>
                <w:sz w:val="20"/>
                <w:lang w:val="en-GB"/>
              </w:rPr>
            </w:pPr>
            <w:r w:rsidRPr="00D5386B">
              <w:rPr>
                <w:sz w:val="20"/>
                <w:lang w:val="en-GB"/>
              </w:rPr>
              <w:t>Reproduction in [%] of control (day 28)</w:t>
            </w:r>
          </w:p>
        </w:tc>
        <w:tc>
          <w:tcPr>
            <w:tcW w:w="450" w:type="pct"/>
            <w:vAlign w:val="center"/>
          </w:tcPr>
          <w:p w14:paraId="5E74A8F3" w14:textId="77777777" w:rsidR="00A26547" w:rsidRPr="00696751" w:rsidRDefault="00A26547" w:rsidP="003F171E">
            <w:pPr>
              <w:suppressAutoHyphens/>
              <w:rPr>
                <w:sz w:val="20"/>
                <w:szCs w:val="18"/>
              </w:rPr>
            </w:pPr>
            <w:r w:rsidRPr="00696751">
              <w:rPr>
                <w:sz w:val="20"/>
                <w:szCs w:val="18"/>
              </w:rPr>
              <w:t>100</w:t>
            </w:r>
          </w:p>
        </w:tc>
        <w:tc>
          <w:tcPr>
            <w:tcW w:w="433" w:type="pct"/>
            <w:shd w:val="clear" w:color="auto" w:fill="auto"/>
            <w:vAlign w:val="center"/>
          </w:tcPr>
          <w:p w14:paraId="3C824DA7" w14:textId="77777777" w:rsidR="00A26547" w:rsidRPr="00696751" w:rsidRDefault="00A26547" w:rsidP="003F171E">
            <w:pPr>
              <w:suppressAutoHyphens/>
              <w:rPr>
                <w:sz w:val="20"/>
                <w:szCs w:val="18"/>
              </w:rPr>
            </w:pPr>
            <w:r w:rsidRPr="00696751">
              <w:rPr>
                <w:sz w:val="20"/>
                <w:szCs w:val="18"/>
              </w:rPr>
              <w:t>102</w:t>
            </w:r>
          </w:p>
        </w:tc>
        <w:tc>
          <w:tcPr>
            <w:tcW w:w="433" w:type="pct"/>
            <w:vAlign w:val="center"/>
          </w:tcPr>
          <w:p w14:paraId="6DE9D9E1" w14:textId="77777777" w:rsidR="00A26547" w:rsidRPr="00696751" w:rsidRDefault="00A26547" w:rsidP="003F171E">
            <w:pPr>
              <w:suppressAutoHyphens/>
              <w:rPr>
                <w:sz w:val="20"/>
                <w:szCs w:val="18"/>
              </w:rPr>
            </w:pPr>
            <w:r w:rsidRPr="00696751">
              <w:rPr>
                <w:sz w:val="20"/>
                <w:szCs w:val="18"/>
              </w:rPr>
              <w:t>98</w:t>
            </w:r>
          </w:p>
        </w:tc>
        <w:tc>
          <w:tcPr>
            <w:tcW w:w="434" w:type="pct"/>
            <w:vAlign w:val="center"/>
          </w:tcPr>
          <w:p w14:paraId="3F588141" w14:textId="77777777" w:rsidR="00A26547" w:rsidRPr="00696751" w:rsidRDefault="00A26547" w:rsidP="003F171E">
            <w:pPr>
              <w:suppressAutoHyphens/>
              <w:rPr>
                <w:sz w:val="20"/>
                <w:szCs w:val="18"/>
              </w:rPr>
            </w:pPr>
            <w:r w:rsidRPr="00696751">
              <w:rPr>
                <w:sz w:val="20"/>
                <w:szCs w:val="18"/>
              </w:rPr>
              <w:t>98</w:t>
            </w:r>
          </w:p>
        </w:tc>
        <w:tc>
          <w:tcPr>
            <w:tcW w:w="434" w:type="pct"/>
            <w:vAlign w:val="center"/>
          </w:tcPr>
          <w:p w14:paraId="41635F79" w14:textId="77777777" w:rsidR="00A26547" w:rsidRPr="00696751" w:rsidRDefault="00A26547" w:rsidP="003F171E">
            <w:pPr>
              <w:suppressAutoHyphens/>
              <w:rPr>
                <w:sz w:val="20"/>
                <w:szCs w:val="18"/>
              </w:rPr>
            </w:pPr>
            <w:r w:rsidRPr="00696751">
              <w:rPr>
                <w:sz w:val="20"/>
                <w:szCs w:val="18"/>
              </w:rPr>
              <w:t>97</w:t>
            </w:r>
          </w:p>
        </w:tc>
        <w:tc>
          <w:tcPr>
            <w:tcW w:w="434" w:type="pct"/>
            <w:shd w:val="clear" w:color="auto" w:fill="auto"/>
            <w:vAlign w:val="center"/>
          </w:tcPr>
          <w:p w14:paraId="1C527C07" w14:textId="77777777" w:rsidR="00A26547" w:rsidRPr="00696751" w:rsidRDefault="00A26547" w:rsidP="003F171E">
            <w:pPr>
              <w:suppressAutoHyphens/>
              <w:rPr>
                <w:sz w:val="20"/>
                <w:szCs w:val="18"/>
              </w:rPr>
            </w:pPr>
            <w:r w:rsidRPr="00696751">
              <w:rPr>
                <w:sz w:val="20"/>
                <w:szCs w:val="18"/>
              </w:rPr>
              <w:t>108</w:t>
            </w:r>
          </w:p>
        </w:tc>
        <w:tc>
          <w:tcPr>
            <w:tcW w:w="433" w:type="pct"/>
            <w:vAlign w:val="center"/>
          </w:tcPr>
          <w:p w14:paraId="236CCE91" w14:textId="77777777" w:rsidR="00A26547" w:rsidRPr="00696751" w:rsidRDefault="00A26547" w:rsidP="003F171E">
            <w:pPr>
              <w:suppressAutoHyphens/>
              <w:rPr>
                <w:sz w:val="20"/>
                <w:szCs w:val="18"/>
              </w:rPr>
            </w:pPr>
            <w:r w:rsidRPr="00696751">
              <w:rPr>
                <w:sz w:val="20"/>
                <w:szCs w:val="18"/>
              </w:rPr>
              <w:t>100</w:t>
            </w:r>
          </w:p>
        </w:tc>
        <w:tc>
          <w:tcPr>
            <w:tcW w:w="433" w:type="pct"/>
            <w:vAlign w:val="center"/>
          </w:tcPr>
          <w:p w14:paraId="203D6918" w14:textId="77777777" w:rsidR="00A26547" w:rsidRPr="00696751" w:rsidRDefault="00A26547" w:rsidP="003F171E">
            <w:pPr>
              <w:suppressAutoHyphens/>
              <w:rPr>
                <w:sz w:val="20"/>
                <w:szCs w:val="18"/>
              </w:rPr>
            </w:pPr>
            <w:r w:rsidRPr="00696751">
              <w:rPr>
                <w:sz w:val="20"/>
                <w:szCs w:val="18"/>
              </w:rPr>
              <w:t>111</w:t>
            </w:r>
          </w:p>
        </w:tc>
        <w:tc>
          <w:tcPr>
            <w:tcW w:w="438" w:type="pct"/>
            <w:shd w:val="clear" w:color="auto" w:fill="auto"/>
            <w:vAlign w:val="center"/>
          </w:tcPr>
          <w:p w14:paraId="6EF57E14" w14:textId="77777777" w:rsidR="00A26547" w:rsidRPr="00696751" w:rsidRDefault="00A26547" w:rsidP="003F171E">
            <w:pPr>
              <w:suppressAutoHyphens/>
              <w:rPr>
                <w:sz w:val="20"/>
                <w:szCs w:val="18"/>
              </w:rPr>
            </w:pPr>
            <w:r w:rsidRPr="00696751">
              <w:rPr>
                <w:sz w:val="20"/>
                <w:szCs w:val="18"/>
              </w:rPr>
              <w:t>101</w:t>
            </w:r>
          </w:p>
        </w:tc>
      </w:tr>
      <w:tr w:rsidR="00A26547" w:rsidRPr="00696751" w14:paraId="59B3FB77" w14:textId="77777777" w:rsidTr="003F171E">
        <w:trPr>
          <w:trHeight w:val="567"/>
        </w:trPr>
        <w:tc>
          <w:tcPr>
            <w:tcW w:w="1078" w:type="pct"/>
            <w:vAlign w:val="center"/>
          </w:tcPr>
          <w:p w14:paraId="2EB97C7A" w14:textId="77777777" w:rsidR="00A26547" w:rsidRPr="00D5386B" w:rsidRDefault="00A26547" w:rsidP="003F171E">
            <w:pPr>
              <w:widowControl w:val="0"/>
              <w:suppressAutoHyphens/>
              <w:spacing w:before="40" w:after="40"/>
              <w:rPr>
                <w:sz w:val="20"/>
                <w:lang w:val="en-GB"/>
              </w:rPr>
            </w:pPr>
            <w:r w:rsidRPr="00D5386B">
              <w:rPr>
                <w:sz w:val="20"/>
                <w:lang w:val="en-GB"/>
              </w:rPr>
              <w:t>Coefficient of variation of the number of juveniles [%]</w:t>
            </w:r>
          </w:p>
        </w:tc>
        <w:tc>
          <w:tcPr>
            <w:tcW w:w="450" w:type="pct"/>
            <w:vAlign w:val="center"/>
          </w:tcPr>
          <w:p w14:paraId="1CE92432" w14:textId="77777777" w:rsidR="00A26547" w:rsidRPr="00696751" w:rsidRDefault="00A26547" w:rsidP="003F171E">
            <w:pPr>
              <w:suppressAutoHyphens/>
              <w:rPr>
                <w:sz w:val="20"/>
                <w:szCs w:val="18"/>
              </w:rPr>
            </w:pPr>
            <w:r>
              <w:rPr>
                <w:sz w:val="20"/>
                <w:szCs w:val="18"/>
              </w:rPr>
              <w:t>7.9</w:t>
            </w:r>
          </w:p>
        </w:tc>
        <w:tc>
          <w:tcPr>
            <w:tcW w:w="433" w:type="pct"/>
            <w:shd w:val="clear" w:color="auto" w:fill="auto"/>
            <w:vAlign w:val="center"/>
          </w:tcPr>
          <w:p w14:paraId="371E5DC5" w14:textId="77777777" w:rsidR="00A26547" w:rsidRPr="00696751" w:rsidRDefault="00A26547" w:rsidP="003F171E">
            <w:pPr>
              <w:suppressAutoHyphens/>
              <w:rPr>
                <w:sz w:val="20"/>
                <w:szCs w:val="18"/>
              </w:rPr>
            </w:pPr>
            <w:r>
              <w:rPr>
                <w:sz w:val="20"/>
                <w:szCs w:val="18"/>
              </w:rPr>
              <w:t>17.7</w:t>
            </w:r>
          </w:p>
        </w:tc>
        <w:tc>
          <w:tcPr>
            <w:tcW w:w="433" w:type="pct"/>
            <w:vAlign w:val="center"/>
          </w:tcPr>
          <w:p w14:paraId="23000C9C" w14:textId="77777777" w:rsidR="00A26547" w:rsidRPr="00696751" w:rsidRDefault="00A26547" w:rsidP="003F171E">
            <w:pPr>
              <w:suppressAutoHyphens/>
              <w:rPr>
                <w:sz w:val="20"/>
                <w:szCs w:val="18"/>
              </w:rPr>
            </w:pPr>
            <w:r>
              <w:rPr>
                <w:sz w:val="20"/>
                <w:szCs w:val="18"/>
              </w:rPr>
              <w:t>3.2</w:t>
            </w:r>
          </w:p>
        </w:tc>
        <w:tc>
          <w:tcPr>
            <w:tcW w:w="434" w:type="pct"/>
            <w:vAlign w:val="center"/>
          </w:tcPr>
          <w:p w14:paraId="53F07F6F" w14:textId="77777777" w:rsidR="00A26547" w:rsidRPr="00696751" w:rsidRDefault="00A26547" w:rsidP="003F171E">
            <w:pPr>
              <w:suppressAutoHyphens/>
              <w:rPr>
                <w:sz w:val="20"/>
                <w:szCs w:val="18"/>
              </w:rPr>
            </w:pPr>
            <w:r>
              <w:rPr>
                <w:sz w:val="20"/>
                <w:szCs w:val="18"/>
              </w:rPr>
              <w:t>10.8</w:t>
            </w:r>
          </w:p>
        </w:tc>
        <w:tc>
          <w:tcPr>
            <w:tcW w:w="434" w:type="pct"/>
            <w:vAlign w:val="center"/>
          </w:tcPr>
          <w:p w14:paraId="4C559918" w14:textId="77777777" w:rsidR="00A26547" w:rsidRPr="00696751" w:rsidRDefault="00A26547" w:rsidP="003F171E">
            <w:pPr>
              <w:suppressAutoHyphens/>
              <w:rPr>
                <w:sz w:val="20"/>
                <w:szCs w:val="18"/>
              </w:rPr>
            </w:pPr>
            <w:r>
              <w:rPr>
                <w:sz w:val="20"/>
                <w:szCs w:val="18"/>
              </w:rPr>
              <w:t>6.8</w:t>
            </w:r>
          </w:p>
        </w:tc>
        <w:tc>
          <w:tcPr>
            <w:tcW w:w="434" w:type="pct"/>
            <w:shd w:val="clear" w:color="auto" w:fill="auto"/>
            <w:vAlign w:val="center"/>
          </w:tcPr>
          <w:p w14:paraId="0ADF0A69" w14:textId="77777777" w:rsidR="00A26547" w:rsidRPr="00696751" w:rsidRDefault="00A26547" w:rsidP="003F171E">
            <w:pPr>
              <w:suppressAutoHyphens/>
              <w:rPr>
                <w:sz w:val="20"/>
                <w:szCs w:val="18"/>
              </w:rPr>
            </w:pPr>
            <w:r>
              <w:rPr>
                <w:sz w:val="20"/>
                <w:szCs w:val="18"/>
              </w:rPr>
              <w:t>12.2</w:t>
            </w:r>
          </w:p>
        </w:tc>
        <w:tc>
          <w:tcPr>
            <w:tcW w:w="433" w:type="pct"/>
            <w:vAlign w:val="center"/>
          </w:tcPr>
          <w:p w14:paraId="299F05B5" w14:textId="77777777" w:rsidR="00A26547" w:rsidRPr="00696751" w:rsidRDefault="00A26547" w:rsidP="003F171E">
            <w:pPr>
              <w:suppressAutoHyphens/>
              <w:rPr>
                <w:sz w:val="20"/>
                <w:szCs w:val="18"/>
              </w:rPr>
            </w:pPr>
            <w:r>
              <w:rPr>
                <w:sz w:val="20"/>
                <w:szCs w:val="18"/>
              </w:rPr>
              <w:t>3.8</w:t>
            </w:r>
          </w:p>
        </w:tc>
        <w:tc>
          <w:tcPr>
            <w:tcW w:w="433" w:type="pct"/>
            <w:vAlign w:val="center"/>
          </w:tcPr>
          <w:p w14:paraId="54AAC6FF" w14:textId="77777777" w:rsidR="00A26547" w:rsidRPr="00696751" w:rsidRDefault="00A26547" w:rsidP="003F171E">
            <w:pPr>
              <w:suppressAutoHyphens/>
              <w:rPr>
                <w:sz w:val="20"/>
                <w:szCs w:val="18"/>
              </w:rPr>
            </w:pPr>
            <w:r>
              <w:rPr>
                <w:sz w:val="20"/>
                <w:szCs w:val="18"/>
              </w:rPr>
              <w:t>11.2</w:t>
            </w:r>
          </w:p>
        </w:tc>
        <w:tc>
          <w:tcPr>
            <w:tcW w:w="438" w:type="pct"/>
            <w:shd w:val="clear" w:color="auto" w:fill="auto"/>
            <w:vAlign w:val="center"/>
          </w:tcPr>
          <w:p w14:paraId="36A10119" w14:textId="77777777" w:rsidR="00A26547" w:rsidRPr="00696751" w:rsidRDefault="00A26547" w:rsidP="003F171E">
            <w:pPr>
              <w:suppressAutoHyphens/>
              <w:rPr>
                <w:sz w:val="20"/>
                <w:szCs w:val="18"/>
              </w:rPr>
            </w:pPr>
            <w:r>
              <w:rPr>
                <w:sz w:val="20"/>
                <w:szCs w:val="18"/>
              </w:rPr>
              <w:t>14.6</w:t>
            </w:r>
          </w:p>
        </w:tc>
      </w:tr>
      <w:tr w:rsidR="00A26547" w:rsidRPr="000D68B0" w14:paraId="64649836" w14:textId="77777777" w:rsidTr="003F171E">
        <w:trPr>
          <w:cantSplit/>
          <w:trHeight w:val="340"/>
        </w:trPr>
        <w:tc>
          <w:tcPr>
            <w:tcW w:w="1078" w:type="pct"/>
            <w:vAlign w:val="center"/>
          </w:tcPr>
          <w:p w14:paraId="68C2E6D5" w14:textId="77777777" w:rsidR="00A26547" w:rsidRPr="00696751" w:rsidRDefault="00A26547" w:rsidP="003F171E">
            <w:pPr>
              <w:widowControl w:val="0"/>
              <w:suppressAutoHyphens/>
              <w:spacing w:before="40" w:after="40"/>
              <w:rPr>
                <w:sz w:val="20"/>
              </w:rPr>
            </w:pPr>
            <w:r w:rsidRPr="00696751">
              <w:rPr>
                <w:b/>
                <w:bCs/>
                <w:sz w:val="20"/>
              </w:rPr>
              <w:t>Endpoints</w:t>
            </w:r>
          </w:p>
        </w:tc>
        <w:tc>
          <w:tcPr>
            <w:tcW w:w="3922" w:type="pct"/>
            <w:gridSpan w:val="9"/>
            <w:vAlign w:val="center"/>
          </w:tcPr>
          <w:p w14:paraId="181E7B15" w14:textId="77777777" w:rsidR="00A26547" w:rsidRPr="00D5386B" w:rsidRDefault="00A26547" w:rsidP="003F171E">
            <w:pPr>
              <w:widowControl w:val="0"/>
              <w:suppressAutoHyphens/>
              <w:spacing w:before="40" w:after="40"/>
              <w:outlineLvl w:val="0"/>
              <w:rPr>
                <w:b/>
                <w:sz w:val="20"/>
                <w:lang w:val="en-GB"/>
              </w:rPr>
            </w:pPr>
            <w:r w:rsidRPr="00D5386B">
              <w:rPr>
                <w:b/>
                <w:bCs/>
                <w:sz w:val="20"/>
                <w:lang w:val="en-GB"/>
              </w:rPr>
              <w:t>[mg BAS 650 00 F/kg dry soil]</w:t>
            </w:r>
          </w:p>
        </w:tc>
      </w:tr>
      <w:tr w:rsidR="00A26547" w:rsidRPr="00696751" w14:paraId="0DD157BA" w14:textId="77777777" w:rsidTr="003F171E">
        <w:trPr>
          <w:cantSplit/>
          <w:trHeight w:val="340"/>
        </w:trPr>
        <w:tc>
          <w:tcPr>
            <w:tcW w:w="1078" w:type="pct"/>
            <w:vAlign w:val="center"/>
          </w:tcPr>
          <w:p w14:paraId="023049AE" w14:textId="77777777" w:rsidR="00A26547" w:rsidRPr="00696751" w:rsidRDefault="00A26547" w:rsidP="003F171E">
            <w:pPr>
              <w:widowControl w:val="0"/>
              <w:suppressAutoHyphens/>
              <w:spacing w:before="40" w:after="40"/>
              <w:rPr>
                <w:sz w:val="20"/>
              </w:rPr>
            </w:pPr>
            <w:r w:rsidRPr="00696751">
              <w:rPr>
                <w:sz w:val="20"/>
              </w:rPr>
              <w:t>NOEC</w:t>
            </w:r>
            <w:r w:rsidRPr="00696751">
              <w:rPr>
                <w:sz w:val="20"/>
                <w:vertAlign w:val="subscript"/>
              </w:rPr>
              <w:t> mortality, reproduction</w:t>
            </w:r>
          </w:p>
        </w:tc>
        <w:tc>
          <w:tcPr>
            <w:tcW w:w="3922" w:type="pct"/>
            <w:gridSpan w:val="9"/>
            <w:vAlign w:val="center"/>
          </w:tcPr>
          <w:p w14:paraId="11874792" w14:textId="77777777" w:rsidR="00A26547" w:rsidRPr="00696751" w:rsidRDefault="00A26547" w:rsidP="003F171E">
            <w:pPr>
              <w:widowControl w:val="0"/>
              <w:suppressAutoHyphens/>
              <w:spacing w:before="40" w:after="40"/>
              <w:rPr>
                <w:sz w:val="20"/>
              </w:rPr>
            </w:pPr>
            <w:r w:rsidRPr="00696751">
              <w:rPr>
                <w:sz w:val="20"/>
              </w:rPr>
              <w:t>≥ 1000</w:t>
            </w:r>
          </w:p>
        </w:tc>
      </w:tr>
      <w:tr w:rsidR="00A26547" w:rsidRPr="00696751" w14:paraId="7F1FA085" w14:textId="77777777" w:rsidTr="003F171E">
        <w:trPr>
          <w:cantSplit/>
          <w:trHeight w:val="340"/>
        </w:trPr>
        <w:tc>
          <w:tcPr>
            <w:tcW w:w="1078" w:type="pct"/>
            <w:vAlign w:val="center"/>
          </w:tcPr>
          <w:p w14:paraId="331F4114" w14:textId="77777777" w:rsidR="00A26547" w:rsidRPr="00696751" w:rsidRDefault="00A26547" w:rsidP="003F171E">
            <w:pPr>
              <w:widowControl w:val="0"/>
              <w:suppressAutoHyphens/>
              <w:spacing w:before="40" w:after="40"/>
              <w:rPr>
                <w:sz w:val="20"/>
              </w:rPr>
            </w:pPr>
            <w:r w:rsidRPr="00696751">
              <w:rPr>
                <w:sz w:val="20"/>
              </w:rPr>
              <w:t>EC</w:t>
            </w:r>
            <w:r w:rsidRPr="00696751">
              <w:rPr>
                <w:sz w:val="20"/>
                <w:vertAlign w:val="subscript"/>
              </w:rPr>
              <w:t>10</w:t>
            </w:r>
            <w:r w:rsidRPr="00696751">
              <w:rPr>
                <w:sz w:val="20"/>
                <w:vertAlign w:val="superscript"/>
              </w:rPr>
              <w:t xml:space="preserve"> 1)</w:t>
            </w:r>
          </w:p>
        </w:tc>
        <w:tc>
          <w:tcPr>
            <w:tcW w:w="3922" w:type="pct"/>
            <w:gridSpan w:val="9"/>
            <w:vAlign w:val="center"/>
          </w:tcPr>
          <w:p w14:paraId="5110732F" w14:textId="77777777" w:rsidR="00A26547" w:rsidRPr="00696751" w:rsidRDefault="00A26547" w:rsidP="003F171E">
            <w:pPr>
              <w:widowControl w:val="0"/>
              <w:suppressAutoHyphens/>
              <w:spacing w:before="40" w:after="40"/>
              <w:rPr>
                <w:sz w:val="20"/>
              </w:rPr>
            </w:pPr>
            <w:r w:rsidRPr="00696751">
              <w:rPr>
                <w:sz w:val="20"/>
              </w:rPr>
              <w:t>&gt; 1000</w:t>
            </w:r>
          </w:p>
        </w:tc>
      </w:tr>
      <w:tr w:rsidR="00A26547" w:rsidRPr="00696751" w14:paraId="44AE882B" w14:textId="77777777" w:rsidTr="003F171E">
        <w:trPr>
          <w:cantSplit/>
          <w:trHeight w:val="340"/>
        </w:trPr>
        <w:tc>
          <w:tcPr>
            <w:tcW w:w="1078" w:type="pct"/>
            <w:vAlign w:val="center"/>
          </w:tcPr>
          <w:p w14:paraId="7B5E1555" w14:textId="77777777" w:rsidR="00A26547" w:rsidRPr="00696751" w:rsidRDefault="00A26547" w:rsidP="003F171E">
            <w:pPr>
              <w:widowControl w:val="0"/>
              <w:suppressAutoHyphens/>
              <w:spacing w:before="40" w:after="40"/>
              <w:rPr>
                <w:sz w:val="20"/>
              </w:rPr>
            </w:pPr>
            <w:r w:rsidRPr="00696751">
              <w:rPr>
                <w:sz w:val="20"/>
              </w:rPr>
              <w:t>EC</w:t>
            </w:r>
            <w:r w:rsidRPr="00696751">
              <w:rPr>
                <w:sz w:val="20"/>
                <w:vertAlign w:val="subscript"/>
              </w:rPr>
              <w:t>20</w:t>
            </w:r>
            <w:r w:rsidRPr="00696751">
              <w:rPr>
                <w:sz w:val="20"/>
                <w:vertAlign w:val="superscript"/>
              </w:rPr>
              <w:t xml:space="preserve"> 1)</w:t>
            </w:r>
          </w:p>
        </w:tc>
        <w:tc>
          <w:tcPr>
            <w:tcW w:w="3922" w:type="pct"/>
            <w:gridSpan w:val="9"/>
            <w:vAlign w:val="center"/>
          </w:tcPr>
          <w:p w14:paraId="63656A5E" w14:textId="77777777" w:rsidR="00A26547" w:rsidRPr="00696751" w:rsidRDefault="00A26547" w:rsidP="003F171E">
            <w:pPr>
              <w:widowControl w:val="0"/>
              <w:suppressAutoHyphens/>
              <w:spacing w:before="40" w:after="40"/>
              <w:rPr>
                <w:sz w:val="20"/>
              </w:rPr>
            </w:pPr>
            <w:r w:rsidRPr="00696751">
              <w:rPr>
                <w:sz w:val="20"/>
              </w:rPr>
              <w:t>&gt; 1000</w:t>
            </w:r>
          </w:p>
        </w:tc>
      </w:tr>
      <w:tr w:rsidR="00A26547" w:rsidRPr="00696751" w14:paraId="1666D9A3" w14:textId="77777777" w:rsidTr="003F171E">
        <w:trPr>
          <w:cantSplit/>
          <w:trHeight w:val="340"/>
        </w:trPr>
        <w:tc>
          <w:tcPr>
            <w:tcW w:w="1078" w:type="pct"/>
            <w:vAlign w:val="center"/>
          </w:tcPr>
          <w:p w14:paraId="76AAA24C" w14:textId="77777777" w:rsidR="00A26547" w:rsidRPr="00696751" w:rsidRDefault="00A26547" w:rsidP="003F171E">
            <w:pPr>
              <w:widowControl w:val="0"/>
              <w:suppressAutoHyphens/>
              <w:spacing w:before="40" w:after="40"/>
              <w:rPr>
                <w:sz w:val="20"/>
              </w:rPr>
            </w:pPr>
            <w:r w:rsidRPr="00696751">
              <w:rPr>
                <w:sz w:val="20"/>
              </w:rPr>
              <w:t>EC</w:t>
            </w:r>
            <w:r w:rsidRPr="00696751">
              <w:rPr>
                <w:sz w:val="20"/>
                <w:vertAlign w:val="subscript"/>
              </w:rPr>
              <w:t>50</w:t>
            </w:r>
            <w:r w:rsidRPr="00696751">
              <w:rPr>
                <w:sz w:val="20"/>
                <w:vertAlign w:val="superscript"/>
              </w:rPr>
              <w:t xml:space="preserve"> 1)</w:t>
            </w:r>
          </w:p>
        </w:tc>
        <w:tc>
          <w:tcPr>
            <w:tcW w:w="3922" w:type="pct"/>
            <w:gridSpan w:val="9"/>
            <w:vAlign w:val="center"/>
          </w:tcPr>
          <w:p w14:paraId="0B214529" w14:textId="77777777" w:rsidR="00A26547" w:rsidRPr="00696751" w:rsidRDefault="00A26547" w:rsidP="003F171E">
            <w:pPr>
              <w:widowControl w:val="0"/>
              <w:suppressAutoHyphens/>
              <w:spacing w:before="40" w:after="40"/>
              <w:rPr>
                <w:sz w:val="20"/>
              </w:rPr>
            </w:pPr>
            <w:r w:rsidRPr="00696751">
              <w:rPr>
                <w:sz w:val="20"/>
              </w:rPr>
              <w:t>&gt; 1000</w:t>
            </w:r>
          </w:p>
        </w:tc>
      </w:tr>
      <w:tr w:rsidR="00A26547" w:rsidRPr="00696751" w14:paraId="453537E1" w14:textId="77777777" w:rsidTr="003F171E">
        <w:trPr>
          <w:cantSplit/>
          <w:trHeight w:val="340"/>
        </w:trPr>
        <w:tc>
          <w:tcPr>
            <w:tcW w:w="1078" w:type="pct"/>
            <w:vAlign w:val="center"/>
          </w:tcPr>
          <w:p w14:paraId="02B80E59" w14:textId="77777777" w:rsidR="00A26547" w:rsidRPr="00696751" w:rsidRDefault="00A26547" w:rsidP="003F171E">
            <w:pPr>
              <w:widowControl w:val="0"/>
              <w:suppressAutoHyphens/>
              <w:spacing w:before="40" w:after="40"/>
              <w:rPr>
                <w:sz w:val="20"/>
              </w:rPr>
            </w:pPr>
            <w:r w:rsidRPr="00696751">
              <w:rPr>
                <w:sz w:val="20"/>
              </w:rPr>
              <w:t>LC</w:t>
            </w:r>
            <w:r w:rsidRPr="00696751">
              <w:rPr>
                <w:sz w:val="20"/>
                <w:vertAlign w:val="subscript"/>
              </w:rPr>
              <w:t>50</w:t>
            </w:r>
            <w:r w:rsidRPr="00696751">
              <w:rPr>
                <w:sz w:val="20"/>
                <w:vertAlign w:val="superscript"/>
              </w:rPr>
              <w:t xml:space="preserve"> 1)</w:t>
            </w:r>
          </w:p>
        </w:tc>
        <w:tc>
          <w:tcPr>
            <w:tcW w:w="3922" w:type="pct"/>
            <w:gridSpan w:val="9"/>
            <w:vAlign w:val="center"/>
          </w:tcPr>
          <w:p w14:paraId="6A0B0E6C" w14:textId="77777777" w:rsidR="00A26547" w:rsidRPr="00696751" w:rsidRDefault="00A26547" w:rsidP="003F171E">
            <w:pPr>
              <w:widowControl w:val="0"/>
              <w:suppressAutoHyphens/>
              <w:spacing w:before="40" w:after="40"/>
              <w:rPr>
                <w:sz w:val="20"/>
              </w:rPr>
            </w:pPr>
            <w:r w:rsidRPr="00696751">
              <w:rPr>
                <w:sz w:val="20"/>
              </w:rPr>
              <w:t>&gt; 1000</w:t>
            </w:r>
          </w:p>
        </w:tc>
      </w:tr>
    </w:tbl>
    <w:p w14:paraId="25AD79C6" w14:textId="77777777" w:rsidR="00A26547" w:rsidRPr="00696751" w:rsidRDefault="00A26547" w:rsidP="00A26547">
      <w:pPr>
        <w:widowControl w:val="0"/>
        <w:suppressAutoHyphens/>
        <w:spacing w:before="40"/>
        <w:ind w:left="284" w:hanging="284"/>
        <w:jc w:val="both"/>
        <w:rPr>
          <w:sz w:val="20"/>
        </w:rPr>
      </w:pPr>
      <w:r w:rsidRPr="00696751">
        <w:rPr>
          <w:sz w:val="18"/>
          <w:vertAlign w:val="superscript"/>
        </w:rPr>
        <w:t>1)</w:t>
      </w:r>
      <w:r w:rsidRPr="00696751">
        <w:rPr>
          <w:sz w:val="18"/>
        </w:rPr>
        <w:tab/>
        <w:t>Based on estimation.</w:t>
      </w:r>
    </w:p>
    <w:p w14:paraId="0B255BE7" w14:textId="77777777" w:rsidR="00A26547" w:rsidRPr="00696751" w:rsidRDefault="00A26547" w:rsidP="00A26547">
      <w:pPr>
        <w:widowControl w:val="0"/>
        <w:suppressAutoHyphens/>
        <w:jc w:val="both"/>
      </w:pPr>
    </w:p>
    <w:p w14:paraId="33435E86" w14:textId="77777777" w:rsidR="00A26547" w:rsidRPr="00D5386B" w:rsidRDefault="00A26547" w:rsidP="00A26547">
      <w:pPr>
        <w:widowControl w:val="0"/>
        <w:suppressAutoHyphens/>
        <w:jc w:val="both"/>
        <w:rPr>
          <w:lang w:val="en-GB"/>
        </w:rPr>
      </w:pPr>
      <w:r w:rsidRPr="00D5386B">
        <w:rPr>
          <w:lang w:val="en-GB"/>
        </w:rPr>
        <w:t>In a separate study the EC</w:t>
      </w:r>
      <w:r w:rsidRPr="00D5386B">
        <w:rPr>
          <w:vertAlign w:val="subscript"/>
          <w:lang w:val="en-GB"/>
        </w:rPr>
        <w:t>50</w:t>
      </w:r>
      <w:r w:rsidRPr="00D5386B">
        <w:rPr>
          <w:lang w:val="en-GB"/>
        </w:rPr>
        <w:t xml:space="preserve"> (reproduction) of the reference item dimethoate (EC 400 g/L, nominal) was calculated to be 3.1 mg a.s./kg dry soil.</w:t>
      </w:r>
    </w:p>
    <w:p w14:paraId="3A8DF799" w14:textId="77777777" w:rsidR="00A26547" w:rsidRDefault="00A26547" w:rsidP="00A26547">
      <w:pPr>
        <w:tabs>
          <w:tab w:val="left" w:pos="720"/>
        </w:tabs>
        <w:spacing w:after="240"/>
        <w:jc w:val="both"/>
        <w:rPr>
          <w:szCs w:val="24"/>
          <w:highlight w:val="yellow"/>
          <w:lang w:val="en-GB"/>
        </w:rPr>
      </w:pPr>
    </w:p>
    <w:p w14:paraId="56983081" w14:textId="77777777" w:rsidR="00A26547" w:rsidRPr="00116548" w:rsidRDefault="00A26547" w:rsidP="00A26547">
      <w:pPr>
        <w:tabs>
          <w:tab w:val="left" w:pos="0"/>
        </w:tabs>
        <w:ind w:left="357" w:hanging="357"/>
        <w:contextualSpacing/>
        <w:rPr>
          <w:b/>
          <w:bCs/>
          <w:caps/>
          <w:szCs w:val="24"/>
          <w:lang w:val="en-GB"/>
        </w:rPr>
      </w:pPr>
      <w:r w:rsidRPr="00116548">
        <w:rPr>
          <w:b/>
          <w:bCs/>
          <w:caps/>
          <w:szCs w:val="24"/>
          <w:lang w:val="en-GB"/>
        </w:rPr>
        <w:t>D.</w:t>
      </w:r>
      <w:r w:rsidRPr="00116548">
        <w:rPr>
          <w:b/>
          <w:bCs/>
          <w:caps/>
          <w:szCs w:val="24"/>
          <w:lang w:val="en-GB"/>
        </w:rPr>
        <w:tab/>
        <w:t>VALIDITY CRITERIA</w:t>
      </w:r>
    </w:p>
    <w:p w14:paraId="27899C02" w14:textId="74FEB0A0" w:rsidR="00A26547" w:rsidRPr="00116548" w:rsidRDefault="00A26547" w:rsidP="00A26547">
      <w:pPr>
        <w:tabs>
          <w:tab w:val="left" w:pos="720"/>
        </w:tabs>
        <w:jc w:val="both"/>
        <w:rPr>
          <w:szCs w:val="24"/>
          <w:lang w:val="en-GB"/>
        </w:rPr>
      </w:pPr>
      <w:r w:rsidRPr="00116548">
        <w:rPr>
          <w:szCs w:val="24"/>
          <w:lang w:val="en-GB"/>
        </w:rPr>
        <w:t>All validity criteria were met (</w:t>
      </w:r>
      <w:r w:rsidR="00524A1E">
        <w:rPr>
          <w:szCs w:val="24"/>
          <w:lang w:val="en-GB"/>
        </w:rPr>
        <w:fldChar w:fldCharType="begin"/>
      </w:r>
      <w:r w:rsidR="00524A1E">
        <w:rPr>
          <w:szCs w:val="24"/>
          <w:lang w:val="en-GB"/>
        </w:rPr>
        <w:instrText xml:space="preserve"> REF _Ref147912578 \h </w:instrText>
      </w:r>
      <w:r w:rsidR="00524A1E">
        <w:rPr>
          <w:szCs w:val="24"/>
          <w:lang w:val="en-GB"/>
        </w:rPr>
      </w:r>
      <w:r w:rsidR="00524A1E">
        <w:rPr>
          <w:szCs w:val="24"/>
          <w:lang w:val="en-GB"/>
        </w:rPr>
        <w:fldChar w:fldCharType="separate"/>
      </w:r>
      <w:r w:rsidR="006F0F3B">
        <w:t xml:space="preserve">Table A </w:t>
      </w:r>
      <w:r w:rsidR="006F0F3B">
        <w:rPr>
          <w:noProof/>
        </w:rPr>
        <w:t>87</w:t>
      </w:r>
      <w:r w:rsidR="00524A1E">
        <w:rPr>
          <w:szCs w:val="24"/>
          <w:lang w:val="en-GB"/>
        </w:rPr>
        <w:fldChar w:fldCharType="end"/>
      </w:r>
      <w:r w:rsidRPr="00116548">
        <w:rPr>
          <w:szCs w:val="24"/>
          <w:lang w:val="en-GB"/>
        </w:rPr>
        <w:t xml:space="preserve">). </w:t>
      </w:r>
    </w:p>
    <w:p w14:paraId="6532B5B7" w14:textId="77777777" w:rsidR="00A26547" w:rsidRPr="00116548" w:rsidRDefault="00A26547" w:rsidP="00A26547">
      <w:pPr>
        <w:tabs>
          <w:tab w:val="left" w:pos="720"/>
        </w:tabs>
        <w:jc w:val="both"/>
        <w:rPr>
          <w:szCs w:val="24"/>
          <w:lang w:val="en-GB"/>
        </w:rPr>
      </w:pPr>
    </w:p>
    <w:p w14:paraId="65722823" w14:textId="5D4ACC46" w:rsidR="00A26547" w:rsidRPr="00116548" w:rsidRDefault="00524A1E" w:rsidP="00524A1E">
      <w:pPr>
        <w:pStyle w:val="Legenda"/>
        <w:rPr>
          <w:b w:val="0"/>
          <w:bCs w:val="0"/>
          <w:szCs w:val="24"/>
        </w:rPr>
      </w:pPr>
      <w:bookmarkStart w:id="1175" w:name="_Ref147912578"/>
      <w:r>
        <w:t xml:space="preserve">Table A </w:t>
      </w:r>
      <w:r>
        <w:fldChar w:fldCharType="begin"/>
      </w:r>
      <w:r>
        <w:instrText xml:space="preserve"> SEQ Table_A \* ARABIC </w:instrText>
      </w:r>
      <w:r>
        <w:fldChar w:fldCharType="separate"/>
      </w:r>
      <w:r w:rsidR="006F0F3B">
        <w:rPr>
          <w:noProof/>
        </w:rPr>
        <w:t>87</w:t>
      </w:r>
      <w:r>
        <w:fldChar w:fldCharType="end"/>
      </w:r>
      <w:bookmarkEnd w:id="1175"/>
      <w:r w:rsidR="00A26547" w:rsidRPr="00116548">
        <w:rPr>
          <w:szCs w:val="24"/>
        </w:rPr>
        <w:t>: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0"/>
        <w:gridCol w:w="4819"/>
      </w:tblGrid>
      <w:tr w:rsidR="00A26547" w:rsidRPr="00116548" w14:paraId="6C46A903" w14:textId="77777777" w:rsidTr="003F171E">
        <w:trPr>
          <w:trHeight w:val="270"/>
        </w:trPr>
        <w:tc>
          <w:tcPr>
            <w:tcW w:w="4390" w:type="dxa"/>
            <w:shd w:val="clear" w:color="auto" w:fill="auto"/>
            <w:noWrap/>
            <w:hideMark/>
          </w:tcPr>
          <w:p w14:paraId="677AADD0" w14:textId="77777777" w:rsidR="00A26547" w:rsidRPr="00116548" w:rsidRDefault="00A26547" w:rsidP="003F171E">
            <w:pPr>
              <w:tabs>
                <w:tab w:val="left" w:pos="720"/>
              </w:tabs>
              <w:spacing w:before="40" w:after="40"/>
              <w:rPr>
                <w:b/>
                <w:bCs/>
                <w:lang w:val="en-GB"/>
              </w:rPr>
            </w:pPr>
            <w:r w:rsidRPr="00116548">
              <w:rPr>
                <w:b/>
                <w:bCs/>
                <w:lang w:val="en-GB"/>
              </w:rPr>
              <w:t>Validity criteria according to OECD 226 (2016)</w:t>
            </w:r>
          </w:p>
        </w:tc>
        <w:tc>
          <w:tcPr>
            <w:tcW w:w="4819" w:type="dxa"/>
            <w:shd w:val="clear" w:color="auto" w:fill="auto"/>
            <w:noWrap/>
            <w:hideMark/>
          </w:tcPr>
          <w:p w14:paraId="686B025D" w14:textId="77777777" w:rsidR="00A26547" w:rsidRPr="00116548" w:rsidRDefault="00A26547" w:rsidP="003F171E">
            <w:pPr>
              <w:tabs>
                <w:tab w:val="left" w:pos="720"/>
              </w:tabs>
              <w:spacing w:before="40" w:after="40"/>
              <w:rPr>
                <w:b/>
                <w:bCs/>
                <w:lang w:val="en-GB"/>
              </w:rPr>
            </w:pPr>
            <w:r w:rsidRPr="00116548">
              <w:rPr>
                <w:b/>
                <w:bCs/>
                <w:lang w:val="en-GB"/>
              </w:rPr>
              <w:t>Obtained in this study</w:t>
            </w:r>
          </w:p>
        </w:tc>
      </w:tr>
      <w:tr w:rsidR="00A26547" w:rsidRPr="00116548" w14:paraId="750602D9" w14:textId="77777777" w:rsidTr="003F171E">
        <w:trPr>
          <w:trHeight w:val="270"/>
        </w:trPr>
        <w:tc>
          <w:tcPr>
            <w:tcW w:w="4390" w:type="dxa"/>
            <w:shd w:val="clear" w:color="auto" w:fill="auto"/>
            <w:noWrap/>
          </w:tcPr>
          <w:p w14:paraId="6DCEC243" w14:textId="77777777" w:rsidR="00A26547" w:rsidRPr="00116548" w:rsidRDefault="00A26547" w:rsidP="003F171E">
            <w:pPr>
              <w:tabs>
                <w:tab w:val="left" w:pos="720"/>
              </w:tabs>
              <w:spacing w:before="40" w:after="40"/>
              <w:rPr>
                <w:lang w:val="en-GB"/>
              </w:rPr>
            </w:pPr>
            <w:r w:rsidRPr="00116548">
              <w:rPr>
                <w:lang w:val="en-GB"/>
              </w:rPr>
              <w:t>In the control(s), mean mortality of adult females must be ≤20%</w:t>
            </w:r>
          </w:p>
        </w:tc>
        <w:tc>
          <w:tcPr>
            <w:tcW w:w="4819" w:type="dxa"/>
            <w:shd w:val="clear" w:color="auto" w:fill="auto"/>
            <w:noWrap/>
          </w:tcPr>
          <w:p w14:paraId="2FFF6D04" w14:textId="77777777" w:rsidR="00A26547" w:rsidRPr="00116548" w:rsidRDefault="00A26547" w:rsidP="003F171E">
            <w:pPr>
              <w:tabs>
                <w:tab w:val="left" w:pos="720"/>
              </w:tabs>
              <w:spacing w:before="40" w:after="40"/>
              <w:rPr>
                <w:lang w:val="en-GB"/>
              </w:rPr>
            </w:pPr>
            <w:r w:rsidRPr="00116548">
              <w:rPr>
                <w:lang w:val="en-GB"/>
              </w:rPr>
              <w:t>3.8%</w:t>
            </w:r>
          </w:p>
        </w:tc>
      </w:tr>
      <w:tr w:rsidR="00A26547" w:rsidRPr="00116548" w14:paraId="5F279784" w14:textId="77777777" w:rsidTr="003F171E">
        <w:trPr>
          <w:trHeight w:val="270"/>
        </w:trPr>
        <w:tc>
          <w:tcPr>
            <w:tcW w:w="4390" w:type="dxa"/>
            <w:shd w:val="clear" w:color="auto" w:fill="auto"/>
            <w:noWrap/>
          </w:tcPr>
          <w:p w14:paraId="02A83B38" w14:textId="77777777" w:rsidR="00A26547" w:rsidRPr="00116548" w:rsidRDefault="00A26547" w:rsidP="003F171E">
            <w:pPr>
              <w:tabs>
                <w:tab w:val="left" w:pos="720"/>
              </w:tabs>
              <w:autoSpaceDE w:val="0"/>
              <w:autoSpaceDN w:val="0"/>
              <w:adjustRightInd w:val="0"/>
              <w:spacing w:before="40" w:after="40"/>
              <w:rPr>
                <w:rFonts w:eastAsia="Calibri"/>
                <w:lang w:val="en-GB"/>
              </w:rPr>
            </w:pPr>
            <w:r w:rsidRPr="00116548">
              <w:rPr>
                <w:rFonts w:eastAsia="Calibri"/>
                <w:lang w:val="en-GB"/>
              </w:rPr>
              <w:t>In the control(s), mean number of juveniles per replicate must be ≥50</w:t>
            </w:r>
          </w:p>
        </w:tc>
        <w:tc>
          <w:tcPr>
            <w:tcW w:w="4819" w:type="dxa"/>
            <w:shd w:val="clear" w:color="auto" w:fill="auto"/>
            <w:noWrap/>
          </w:tcPr>
          <w:p w14:paraId="0AF4748A" w14:textId="77777777" w:rsidR="00A26547" w:rsidRPr="00116548" w:rsidRDefault="00A26547" w:rsidP="003F171E">
            <w:pPr>
              <w:tabs>
                <w:tab w:val="left" w:pos="720"/>
              </w:tabs>
              <w:spacing w:before="40" w:after="40"/>
              <w:rPr>
                <w:lang w:val="en-GB"/>
              </w:rPr>
            </w:pPr>
            <w:r w:rsidRPr="00116548">
              <w:rPr>
                <w:lang w:val="en-GB"/>
              </w:rPr>
              <w:t>290.6</w:t>
            </w:r>
          </w:p>
        </w:tc>
      </w:tr>
      <w:tr w:rsidR="00A26547" w:rsidRPr="00794A3B" w14:paraId="46CEB35B" w14:textId="77777777" w:rsidTr="003F171E">
        <w:trPr>
          <w:trHeight w:val="270"/>
        </w:trPr>
        <w:tc>
          <w:tcPr>
            <w:tcW w:w="4390" w:type="dxa"/>
            <w:shd w:val="clear" w:color="auto" w:fill="auto"/>
            <w:noWrap/>
          </w:tcPr>
          <w:p w14:paraId="0CEC9B6F" w14:textId="77777777" w:rsidR="00A26547" w:rsidRPr="00755FC6" w:rsidRDefault="00A26547" w:rsidP="003F171E">
            <w:pPr>
              <w:tabs>
                <w:tab w:val="left" w:pos="720"/>
              </w:tabs>
              <w:autoSpaceDE w:val="0"/>
              <w:autoSpaceDN w:val="0"/>
              <w:adjustRightInd w:val="0"/>
              <w:spacing w:before="40" w:after="40"/>
              <w:rPr>
                <w:rFonts w:eastAsia="Calibri"/>
                <w:lang w:val="en-GB"/>
              </w:rPr>
            </w:pPr>
            <w:r w:rsidRPr="00755FC6">
              <w:rPr>
                <w:rFonts w:eastAsia="Calibri"/>
                <w:lang w:val="en-GB"/>
              </w:rPr>
              <w:t>In the control(s), the coefficient of variation for the mean number of juveniles per replicate must be ≤30%</w:t>
            </w:r>
          </w:p>
        </w:tc>
        <w:tc>
          <w:tcPr>
            <w:tcW w:w="4819" w:type="dxa"/>
            <w:shd w:val="clear" w:color="auto" w:fill="auto"/>
            <w:noWrap/>
          </w:tcPr>
          <w:p w14:paraId="6C139882" w14:textId="77777777" w:rsidR="00A26547" w:rsidRPr="00755FC6" w:rsidRDefault="00A26547" w:rsidP="003F171E">
            <w:pPr>
              <w:tabs>
                <w:tab w:val="left" w:pos="720"/>
              </w:tabs>
              <w:spacing w:before="40" w:after="40"/>
              <w:rPr>
                <w:lang w:val="en-GB"/>
              </w:rPr>
            </w:pPr>
            <w:r w:rsidRPr="00755FC6">
              <w:rPr>
                <w:lang w:val="en-GB"/>
              </w:rPr>
              <w:t>7.9%</w:t>
            </w:r>
          </w:p>
        </w:tc>
      </w:tr>
    </w:tbl>
    <w:p w14:paraId="02C374EB" w14:textId="77777777" w:rsidR="00A26547" w:rsidRPr="00794A3B" w:rsidRDefault="00A26547" w:rsidP="00A26547">
      <w:pPr>
        <w:tabs>
          <w:tab w:val="left" w:pos="720"/>
        </w:tabs>
        <w:jc w:val="both"/>
        <w:rPr>
          <w:szCs w:val="24"/>
          <w:highlight w:val="yellow"/>
          <w:lang w:val="en-GB"/>
        </w:rPr>
      </w:pPr>
    </w:p>
    <w:p w14:paraId="1F68FA18" w14:textId="77777777" w:rsidR="00A26547" w:rsidRPr="00116548" w:rsidRDefault="00A26547" w:rsidP="00A26547">
      <w:pPr>
        <w:tabs>
          <w:tab w:val="left" w:pos="0"/>
        </w:tabs>
        <w:ind w:left="357" w:hanging="357"/>
        <w:contextualSpacing/>
        <w:rPr>
          <w:b/>
          <w:bCs/>
          <w:caps/>
          <w:szCs w:val="24"/>
          <w:lang w:val="en-GB"/>
        </w:rPr>
      </w:pPr>
      <w:r w:rsidRPr="00116548">
        <w:rPr>
          <w:b/>
          <w:bCs/>
          <w:caps/>
          <w:szCs w:val="24"/>
          <w:lang w:val="en-GB"/>
        </w:rPr>
        <w:t>E.</w:t>
      </w:r>
      <w:r w:rsidRPr="00116548">
        <w:rPr>
          <w:b/>
          <w:bCs/>
          <w:caps/>
          <w:szCs w:val="24"/>
          <w:lang w:val="en-GB"/>
        </w:rPr>
        <w:tab/>
        <w:t>DEFICIENCIES</w:t>
      </w:r>
    </w:p>
    <w:p w14:paraId="194F3055" w14:textId="77777777" w:rsidR="00A26547" w:rsidRPr="00116548" w:rsidRDefault="00A26547" w:rsidP="00A26547">
      <w:pPr>
        <w:tabs>
          <w:tab w:val="left" w:pos="720"/>
        </w:tabs>
        <w:spacing w:after="240"/>
        <w:jc w:val="both"/>
        <w:rPr>
          <w:szCs w:val="24"/>
          <w:lang w:val="en-GB"/>
        </w:rPr>
      </w:pPr>
      <w:r w:rsidRPr="00116548">
        <w:rPr>
          <w:szCs w:val="24"/>
          <w:lang w:val="en-GB"/>
        </w:rPr>
        <w:t>There were no deficiencies.</w:t>
      </w:r>
    </w:p>
    <w:p w14:paraId="0DFDED8C" w14:textId="77777777" w:rsidR="00A26547" w:rsidRPr="00116548" w:rsidRDefault="00A26547" w:rsidP="00A26547">
      <w:pPr>
        <w:tabs>
          <w:tab w:val="left" w:pos="720"/>
        </w:tabs>
        <w:spacing w:after="240"/>
        <w:ind w:left="720" w:hanging="431"/>
        <w:contextualSpacing/>
        <w:jc w:val="center"/>
        <w:rPr>
          <w:b/>
          <w:bCs/>
          <w:caps/>
          <w:szCs w:val="24"/>
          <w:lang w:val="en-GB"/>
        </w:rPr>
      </w:pPr>
      <w:r w:rsidRPr="00116548">
        <w:rPr>
          <w:b/>
          <w:bCs/>
          <w:caps/>
          <w:szCs w:val="24"/>
          <w:lang w:val="en-GB"/>
        </w:rPr>
        <w:lastRenderedPageBreak/>
        <w:t>III.</w:t>
      </w:r>
      <w:r w:rsidRPr="00116548">
        <w:rPr>
          <w:b/>
          <w:bCs/>
          <w:caps/>
          <w:szCs w:val="24"/>
          <w:lang w:val="en-GB"/>
        </w:rPr>
        <w:tab/>
        <w:t>Conclusion</w:t>
      </w:r>
    </w:p>
    <w:p w14:paraId="618EBDF8" w14:textId="77777777" w:rsidR="00A26547" w:rsidRPr="00794A3B" w:rsidRDefault="00A26547" w:rsidP="00A26547">
      <w:pPr>
        <w:tabs>
          <w:tab w:val="left" w:pos="720"/>
        </w:tabs>
        <w:spacing w:after="240"/>
        <w:ind w:left="720" w:hanging="431"/>
        <w:contextualSpacing/>
        <w:jc w:val="center"/>
        <w:rPr>
          <w:b/>
          <w:bCs/>
          <w:caps/>
          <w:szCs w:val="24"/>
          <w:highlight w:val="yellow"/>
          <w:lang w:val="en-GB"/>
        </w:rPr>
      </w:pPr>
    </w:p>
    <w:p w14:paraId="3C1AB015" w14:textId="77777777" w:rsidR="00A26547" w:rsidRDefault="00A26547" w:rsidP="00A26547">
      <w:pPr>
        <w:pStyle w:val="RepStandard"/>
        <w:rPr>
          <w:bCs/>
          <w:lang w:val="en-GB"/>
        </w:rPr>
      </w:pPr>
      <w:r w:rsidRPr="00D5386B">
        <w:rPr>
          <w:bCs/>
          <w:lang w:val="en-GB"/>
        </w:rPr>
        <w:t xml:space="preserve">In a 14-day </w:t>
      </w:r>
      <w:r w:rsidRPr="00D5386B">
        <w:rPr>
          <w:bCs/>
          <w:i/>
          <w:lang w:val="en-GB"/>
        </w:rPr>
        <w:t>Hypoaspis aculeifer</w:t>
      </w:r>
      <w:r w:rsidRPr="00D5386B">
        <w:rPr>
          <w:bCs/>
          <w:lang w:val="en-GB"/>
        </w:rPr>
        <w:t xml:space="preserve"> reproduction study with BAS 650 00 F, the LC</w:t>
      </w:r>
      <w:r w:rsidRPr="00D5386B">
        <w:rPr>
          <w:bCs/>
          <w:vertAlign w:val="subscript"/>
          <w:lang w:val="en-GB"/>
        </w:rPr>
        <w:t>50</w:t>
      </w:r>
      <w:r w:rsidRPr="00D5386B">
        <w:rPr>
          <w:bCs/>
          <w:lang w:val="en-GB"/>
        </w:rPr>
        <w:t>, EC</w:t>
      </w:r>
      <w:r w:rsidRPr="00D5386B">
        <w:rPr>
          <w:bCs/>
          <w:vertAlign w:val="subscript"/>
          <w:lang w:val="en-GB"/>
        </w:rPr>
        <w:t>10</w:t>
      </w:r>
      <w:r w:rsidRPr="00D5386B">
        <w:rPr>
          <w:bCs/>
          <w:lang w:val="en-GB"/>
        </w:rPr>
        <w:t>, EC</w:t>
      </w:r>
      <w:r w:rsidRPr="00D5386B">
        <w:rPr>
          <w:bCs/>
          <w:vertAlign w:val="subscript"/>
          <w:lang w:val="en-GB"/>
        </w:rPr>
        <w:t>20</w:t>
      </w:r>
      <w:r w:rsidRPr="00D5386B">
        <w:rPr>
          <w:bCs/>
          <w:lang w:val="en-GB"/>
        </w:rPr>
        <w:t xml:space="preserve"> and EC</w:t>
      </w:r>
      <w:r w:rsidRPr="00D5386B">
        <w:rPr>
          <w:bCs/>
          <w:vertAlign w:val="subscript"/>
          <w:lang w:val="en-GB"/>
        </w:rPr>
        <w:t>50</w:t>
      </w:r>
      <w:r w:rsidRPr="00D5386B">
        <w:rPr>
          <w:bCs/>
          <w:lang w:val="en-GB"/>
        </w:rPr>
        <w:t xml:space="preserve"> values could not be calculated, but it can be concluded that these values are higher than 1000 mg BAS 650 00 F/kg dry soil, respectively. The NOEC for mortality and for reproduction were determined to be ≥ 1000 mg BAS 650 00 F/kg dry soil, the highest concentration tested</w:t>
      </w:r>
      <w:r>
        <w:rPr>
          <w:bCs/>
          <w:lang w:val="en-GB"/>
        </w:rPr>
        <w:t>.</w:t>
      </w:r>
    </w:p>
    <w:p w14:paraId="66E1D910" w14:textId="77777777" w:rsidR="00A26547" w:rsidRDefault="00A26547" w:rsidP="00A26547">
      <w:pPr>
        <w:pStyle w:val="RepStandard"/>
        <w:rPr>
          <w:bCs/>
          <w:lang w:val="en-GB"/>
        </w:rPr>
      </w:pPr>
    </w:p>
    <w:p w14:paraId="3E359EDC" w14:textId="77777777" w:rsidR="008D2927" w:rsidRDefault="008D2927">
      <w:pPr>
        <w:rPr>
          <w:b/>
          <w:bCs/>
          <w:color w:val="000000" w:themeColor="text1"/>
          <w:sz w:val="24"/>
        </w:rPr>
      </w:pPr>
      <w:r>
        <w:rPr>
          <w:color w:val="000000" w:themeColor="text1"/>
        </w:rPr>
        <w:br w:type="page"/>
      </w:r>
    </w:p>
    <w:p w14:paraId="015126F0" w14:textId="63D6B048" w:rsidR="00A26547" w:rsidRDefault="00A26547" w:rsidP="00A26547">
      <w:pPr>
        <w:pStyle w:val="RepAppendix5"/>
        <w:suppressAutoHyphens/>
        <w:jc w:val="left"/>
        <w:outlineLvl w:val="2"/>
        <w:rPr>
          <w:rStyle w:val="ui-provider"/>
        </w:rPr>
      </w:pPr>
      <w:r w:rsidRPr="0071619F">
        <w:rPr>
          <w:color w:val="000000" w:themeColor="text1"/>
        </w:rPr>
        <w:lastRenderedPageBreak/>
        <w:t>Study 5</w:t>
      </w:r>
    </w:p>
    <w:p w14:paraId="0172FC52" w14:textId="7D6F4401" w:rsidR="00A26547" w:rsidRDefault="00D007AB" w:rsidP="00A26547">
      <w:pPr>
        <w:pStyle w:val="RepStandard"/>
      </w:pPr>
      <w:r>
        <w:rPr>
          <w:rStyle w:val="ui-provider"/>
        </w:rPr>
        <w:t>XXXX</w:t>
      </w:r>
      <w:r w:rsidR="00A26547" w:rsidRPr="0071619F">
        <w:rPr>
          <w:rStyle w:val="ui-provider"/>
        </w:rPr>
        <w:t xml:space="preserve"> have a Letter of Access allowing them to rely on this study</w:t>
      </w:r>
      <w:r w:rsidR="00A26547">
        <w:rPr>
          <w:rStyle w:val="ui-provider"/>
        </w:rPr>
        <w:t>.</w:t>
      </w:r>
    </w:p>
    <w:p w14:paraId="316D111A" w14:textId="77777777" w:rsidR="00A26547" w:rsidRPr="00A26547" w:rsidRDefault="00A26547" w:rsidP="00A26547">
      <w:pPr>
        <w:pStyle w:val="RepStandard"/>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067435" w:rsidRPr="00893382" w14:paraId="0F4AD841" w14:textId="77777777" w:rsidTr="000576ED">
        <w:tc>
          <w:tcPr>
            <w:tcW w:w="1063" w:type="pct"/>
            <w:shd w:val="clear" w:color="auto" w:fill="D9D9D9" w:themeFill="background1" w:themeFillShade="D9"/>
          </w:tcPr>
          <w:p w14:paraId="206BD09C" w14:textId="77777777" w:rsidR="00067435" w:rsidRPr="00893382" w:rsidRDefault="00067435" w:rsidP="00026175">
            <w:pPr>
              <w:widowControl w:val="0"/>
              <w:jc w:val="both"/>
              <w:rPr>
                <w:rFonts w:eastAsia="Batang"/>
                <w:lang w:val="en-GB"/>
              </w:rPr>
            </w:pPr>
            <w:r w:rsidRPr="00893382">
              <w:rPr>
                <w:lang w:val="en-GB"/>
              </w:rPr>
              <w:t>Comments of zRMS:</w:t>
            </w:r>
          </w:p>
        </w:tc>
        <w:tc>
          <w:tcPr>
            <w:tcW w:w="3937" w:type="pct"/>
            <w:shd w:val="clear" w:color="auto" w:fill="D9D9D9" w:themeFill="background1" w:themeFillShade="D9"/>
          </w:tcPr>
          <w:p w14:paraId="632EA3B2" w14:textId="38286AA1" w:rsidR="00067435" w:rsidRPr="00893382" w:rsidRDefault="000576ED" w:rsidP="00026175">
            <w:pPr>
              <w:widowControl w:val="0"/>
              <w:ind w:left="85"/>
              <w:jc w:val="both"/>
              <w:rPr>
                <w:rFonts w:eastAsia="Batang"/>
                <w:lang w:val="en-GB"/>
              </w:rPr>
            </w:pPr>
            <w:r>
              <w:rPr>
                <w:rFonts w:eastAsia="Batang"/>
                <w:lang w:val="en-GB"/>
              </w:rPr>
              <w:t xml:space="preserve">Study not evaluated. </w:t>
            </w:r>
          </w:p>
        </w:tc>
      </w:tr>
    </w:tbl>
    <w:p w14:paraId="4557015E" w14:textId="77777777" w:rsidR="00067435" w:rsidRPr="00893382" w:rsidRDefault="00067435" w:rsidP="00067435">
      <w:pPr>
        <w:rPr>
          <w:highlight w:val="yellow"/>
        </w:rPr>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067435" w:rsidRPr="005C4248" w14:paraId="758442BE" w14:textId="77777777" w:rsidTr="00026175">
        <w:trPr>
          <w:gridAfter w:val="1"/>
          <w:wAfter w:w="9" w:type="pct"/>
        </w:trPr>
        <w:tc>
          <w:tcPr>
            <w:tcW w:w="1340" w:type="pct"/>
            <w:shd w:val="clear" w:color="auto" w:fill="auto"/>
          </w:tcPr>
          <w:p w14:paraId="35DC3F20" w14:textId="77777777" w:rsidR="00067435" w:rsidRPr="005C4248" w:rsidRDefault="00067435" w:rsidP="00026175">
            <w:pPr>
              <w:pStyle w:val="RepStandard"/>
            </w:pPr>
            <w:r w:rsidRPr="005C4248">
              <w:t>Reference:</w:t>
            </w:r>
          </w:p>
        </w:tc>
        <w:tc>
          <w:tcPr>
            <w:tcW w:w="3651" w:type="pct"/>
            <w:shd w:val="clear" w:color="auto" w:fill="auto"/>
          </w:tcPr>
          <w:p w14:paraId="5D6E8F81" w14:textId="622C0463" w:rsidR="00067435" w:rsidRPr="005C4248" w:rsidRDefault="00492133" w:rsidP="00026175">
            <w:pPr>
              <w:pStyle w:val="RepStandard"/>
            </w:pPr>
            <w:r>
              <w:t>None</w:t>
            </w:r>
          </w:p>
        </w:tc>
      </w:tr>
      <w:tr w:rsidR="00067435" w:rsidRPr="005C4248" w14:paraId="044CBE84" w14:textId="77777777" w:rsidTr="00026175">
        <w:trPr>
          <w:gridAfter w:val="1"/>
          <w:wAfter w:w="9" w:type="pct"/>
        </w:trPr>
        <w:tc>
          <w:tcPr>
            <w:tcW w:w="1340" w:type="pct"/>
            <w:shd w:val="clear" w:color="auto" w:fill="auto"/>
          </w:tcPr>
          <w:p w14:paraId="6E016F07" w14:textId="77777777" w:rsidR="00067435" w:rsidRPr="005C4248" w:rsidRDefault="00067435" w:rsidP="00026175">
            <w:pPr>
              <w:pStyle w:val="RepStandard"/>
              <w:spacing w:after="120"/>
            </w:pPr>
            <w:r w:rsidRPr="005C4248">
              <w:t>Report</w:t>
            </w:r>
          </w:p>
        </w:tc>
        <w:tc>
          <w:tcPr>
            <w:tcW w:w="3651" w:type="pct"/>
            <w:shd w:val="clear" w:color="auto" w:fill="auto"/>
          </w:tcPr>
          <w:p w14:paraId="480D510F" w14:textId="77777777" w:rsidR="00067435" w:rsidRPr="005C4248" w:rsidRDefault="00067435" w:rsidP="00026175">
            <w:pPr>
              <w:keepNext/>
              <w:tabs>
                <w:tab w:val="left" w:pos="360"/>
                <w:tab w:val="left" w:pos="720"/>
              </w:tabs>
              <w:spacing w:before="60" w:after="120"/>
              <w:jc w:val="both"/>
              <w:rPr>
                <w:lang w:val="en-GB"/>
              </w:rPr>
            </w:pPr>
            <w:r w:rsidRPr="005C4248">
              <w:rPr>
                <w:lang w:val="en-GB"/>
              </w:rPr>
              <w:t xml:space="preserve">Propamocarb hydrochloride SL 722 G: Effects on the reproduction of the collembolan </w:t>
            </w:r>
            <w:r w:rsidRPr="005C4248">
              <w:rPr>
                <w:i/>
                <w:iCs/>
                <w:lang w:val="en-GB"/>
              </w:rPr>
              <w:t>Folsomia candida</w:t>
            </w:r>
          </w:p>
          <w:p w14:paraId="41EB8D7B" w14:textId="77777777" w:rsidR="00067435" w:rsidRPr="005C4248" w:rsidRDefault="00067435" w:rsidP="00026175">
            <w:pPr>
              <w:keepNext/>
              <w:tabs>
                <w:tab w:val="left" w:pos="360"/>
                <w:tab w:val="left" w:pos="720"/>
              </w:tabs>
              <w:spacing w:before="60" w:after="120"/>
              <w:jc w:val="both"/>
              <w:rPr>
                <w:lang w:val="en-GB"/>
              </w:rPr>
            </w:pPr>
            <w:r w:rsidRPr="005C4248">
              <w:rPr>
                <w:lang w:val="en-GB"/>
              </w:rPr>
              <w:t>Friedrich, S., 2014</w:t>
            </w:r>
          </w:p>
          <w:p w14:paraId="7783547A" w14:textId="21F92D84" w:rsidR="00067435" w:rsidRPr="00492133" w:rsidRDefault="00067435" w:rsidP="00492133">
            <w:pPr>
              <w:keepNext/>
              <w:tabs>
                <w:tab w:val="left" w:pos="360"/>
                <w:tab w:val="left" w:pos="720"/>
              </w:tabs>
              <w:spacing w:before="60" w:after="120"/>
              <w:jc w:val="both"/>
              <w:rPr>
                <w:highlight w:val="yellow"/>
                <w:lang w:val="en-GB"/>
              </w:rPr>
            </w:pPr>
            <w:r w:rsidRPr="005C4248">
              <w:rPr>
                <w:lang w:val="en-GB"/>
              </w:rPr>
              <w:t>Biochem Project No.: 14 10 48 247 S</w:t>
            </w:r>
          </w:p>
        </w:tc>
      </w:tr>
      <w:tr w:rsidR="00067435" w:rsidRPr="005C4248" w14:paraId="5D29544C" w14:textId="77777777" w:rsidTr="00026175">
        <w:trPr>
          <w:gridAfter w:val="1"/>
          <w:wAfter w:w="9" w:type="pct"/>
        </w:trPr>
        <w:tc>
          <w:tcPr>
            <w:tcW w:w="1340" w:type="pct"/>
            <w:shd w:val="clear" w:color="auto" w:fill="auto"/>
          </w:tcPr>
          <w:p w14:paraId="0F357A8A" w14:textId="77777777" w:rsidR="00067435" w:rsidRPr="005C4248" w:rsidRDefault="00067435" w:rsidP="00026175">
            <w:pPr>
              <w:pStyle w:val="RepStandard"/>
            </w:pPr>
            <w:r w:rsidRPr="005C4248">
              <w:t>Guideline(s):</w:t>
            </w:r>
          </w:p>
        </w:tc>
        <w:tc>
          <w:tcPr>
            <w:tcW w:w="3651" w:type="pct"/>
            <w:shd w:val="clear" w:color="auto" w:fill="auto"/>
          </w:tcPr>
          <w:p w14:paraId="11AAB689" w14:textId="77777777" w:rsidR="00067435" w:rsidRPr="005C4248" w:rsidRDefault="00067435" w:rsidP="00026175">
            <w:pPr>
              <w:pStyle w:val="RepStandard"/>
            </w:pPr>
            <w:r w:rsidRPr="005C4248">
              <w:rPr>
                <w:lang w:val="en-GB"/>
              </w:rPr>
              <w:t>OECD 232 (2009), ISO 11267 (1999)</w:t>
            </w:r>
          </w:p>
        </w:tc>
      </w:tr>
      <w:tr w:rsidR="00067435" w:rsidRPr="005C4248" w14:paraId="1EF58473" w14:textId="77777777" w:rsidTr="00026175">
        <w:trPr>
          <w:gridAfter w:val="1"/>
          <w:wAfter w:w="9" w:type="pct"/>
        </w:trPr>
        <w:tc>
          <w:tcPr>
            <w:tcW w:w="1340" w:type="pct"/>
            <w:shd w:val="clear" w:color="auto" w:fill="auto"/>
          </w:tcPr>
          <w:p w14:paraId="1593E019" w14:textId="77777777" w:rsidR="00067435" w:rsidRPr="005C4248" w:rsidRDefault="00067435" w:rsidP="00026175">
            <w:pPr>
              <w:pStyle w:val="RepStandard"/>
            </w:pPr>
            <w:r w:rsidRPr="005C4248">
              <w:t>Deviations:</w:t>
            </w:r>
          </w:p>
        </w:tc>
        <w:tc>
          <w:tcPr>
            <w:tcW w:w="3651" w:type="pct"/>
            <w:shd w:val="clear" w:color="auto" w:fill="auto"/>
          </w:tcPr>
          <w:p w14:paraId="6508D58E" w14:textId="77777777" w:rsidR="00067435" w:rsidRPr="005C4248" w:rsidRDefault="00067435" w:rsidP="00026175">
            <w:pPr>
              <w:pStyle w:val="RepStandard"/>
              <w:spacing w:after="120"/>
            </w:pPr>
            <w:r w:rsidRPr="005C4248">
              <w:t xml:space="preserve">No </w:t>
            </w:r>
          </w:p>
        </w:tc>
      </w:tr>
      <w:tr w:rsidR="00067435" w:rsidRPr="005C4248" w14:paraId="33C16534" w14:textId="77777777" w:rsidTr="00026175">
        <w:tc>
          <w:tcPr>
            <w:tcW w:w="1340" w:type="pct"/>
            <w:shd w:val="clear" w:color="auto" w:fill="auto"/>
          </w:tcPr>
          <w:p w14:paraId="4BE6FDC7" w14:textId="77777777" w:rsidR="00067435" w:rsidRPr="005C4248" w:rsidRDefault="00067435" w:rsidP="00026175">
            <w:pPr>
              <w:pStyle w:val="RepStandard"/>
            </w:pPr>
            <w:r w:rsidRPr="005C4248">
              <w:t>GLP:</w:t>
            </w:r>
          </w:p>
        </w:tc>
        <w:tc>
          <w:tcPr>
            <w:tcW w:w="3660" w:type="pct"/>
            <w:gridSpan w:val="2"/>
            <w:shd w:val="clear" w:color="auto" w:fill="auto"/>
          </w:tcPr>
          <w:p w14:paraId="77A29880" w14:textId="77777777" w:rsidR="00067435" w:rsidRPr="005C4248" w:rsidRDefault="00067435" w:rsidP="00026175">
            <w:pPr>
              <w:tabs>
                <w:tab w:val="left" w:pos="425"/>
                <w:tab w:val="left" w:pos="850"/>
              </w:tabs>
              <w:spacing w:after="120"/>
              <w:ind w:left="1985" w:hanging="1985"/>
              <w:rPr>
                <w:b/>
              </w:rPr>
            </w:pPr>
            <w:r w:rsidRPr="005C4248">
              <w:t>yes</w:t>
            </w:r>
          </w:p>
        </w:tc>
      </w:tr>
      <w:tr w:rsidR="00067435" w:rsidRPr="005C4248" w14:paraId="33DD02F4" w14:textId="77777777" w:rsidTr="00026175">
        <w:trPr>
          <w:gridAfter w:val="1"/>
          <w:wAfter w:w="9" w:type="pct"/>
        </w:trPr>
        <w:tc>
          <w:tcPr>
            <w:tcW w:w="1340" w:type="pct"/>
            <w:shd w:val="clear" w:color="auto" w:fill="auto"/>
          </w:tcPr>
          <w:p w14:paraId="1D545BBA" w14:textId="77777777" w:rsidR="00067435" w:rsidRPr="005C4248" w:rsidRDefault="00067435" w:rsidP="00026175">
            <w:pPr>
              <w:pStyle w:val="RepStandard"/>
            </w:pPr>
            <w:r w:rsidRPr="005C4248">
              <w:t>Acceptability:</w:t>
            </w:r>
          </w:p>
        </w:tc>
        <w:tc>
          <w:tcPr>
            <w:tcW w:w="3651" w:type="pct"/>
            <w:shd w:val="clear" w:color="auto" w:fill="auto"/>
          </w:tcPr>
          <w:p w14:paraId="484FAE42" w14:textId="77777777" w:rsidR="00067435" w:rsidRPr="005C4248" w:rsidRDefault="00067435" w:rsidP="00026175">
            <w:pPr>
              <w:pStyle w:val="RepStandard"/>
            </w:pPr>
            <w:r w:rsidRPr="005C4248">
              <w:t xml:space="preserve">Yes </w:t>
            </w:r>
          </w:p>
        </w:tc>
      </w:tr>
      <w:tr w:rsidR="00067435" w:rsidRPr="005C4248" w14:paraId="53738FA4" w14:textId="77777777" w:rsidTr="00026175">
        <w:trPr>
          <w:gridAfter w:val="1"/>
          <w:wAfter w:w="9" w:type="pct"/>
        </w:trPr>
        <w:tc>
          <w:tcPr>
            <w:tcW w:w="1340" w:type="pct"/>
            <w:shd w:val="clear" w:color="auto" w:fill="auto"/>
          </w:tcPr>
          <w:p w14:paraId="40C71079" w14:textId="77777777" w:rsidR="00067435" w:rsidRPr="005C4248" w:rsidRDefault="00067435" w:rsidP="00026175">
            <w:pPr>
              <w:pStyle w:val="RepStandard"/>
            </w:pPr>
            <w:r w:rsidRPr="005C4248">
              <w:t xml:space="preserve">Duplication </w:t>
            </w:r>
            <w:r w:rsidRPr="005C4248">
              <w:br/>
              <w:t>(if vertebrate study)</w:t>
            </w:r>
          </w:p>
        </w:tc>
        <w:tc>
          <w:tcPr>
            <w:tcW w:w="3651" w:type="pct"/>
            <w:shd w:val="clear" w:color="auto" w:fill="auto"/>
          </w:tcPr>
          <w:p w14:paraId="2FCFD6E3" w14:textId="77777777" w:rsidR="00067435" w:rsidRPr="005C4248" w:rsidRDefault="00067435" w:rsidP="00026175">
            <w:pPr>
              <w:pStyle w:val="RepStandard"/>
              <w:spacing w:after="120"/>
            </w:pPr>
            <w:r w:rsidRPr="005C4248">
              <w:t xml:space="preserve">No </w:t>
            </w:r>
          </w:p>
        </w:tc>
      </w:tr>
    </w:tbl>
    <w:p w14:paraId="07343CE2" w14:textId="77777777" w:rsidR="008A3FDB" w:rsidRDefault="008A3FDB" w:rsidP="00067435">
      <w:pPr>
        <w:rPr>
          <w:b/>
          <w:szCs w:val="32"/>
          <w:lang w:val="en-GB"/>
        </w:rPr>
      </w:pPr>
    </w:p>
    <w:p w14:paraId="135A63DE" w14:textId="7A1052C9" w:rsidR="00067435" w:rsidRPr="005C4248" w:rsidRDefault="00067435" w:rsidP="00067435">
      <w:pPr>
        <w:rPr>
          <w:b/>
          <w:szCs w:val="32"/>
          <w:lang w:val="en-GB"/>
        </w:rPr>
      </w:pPr>
      <w:r w:rsidRPr="005C4248">
        <w:rPr>
          <w:b/>
          <w:szCs w:val="32"/>
          <w:lang w:val="en-GB"/>
        </w:rPr>
        <w:t>Executive Summary</w:t>
      </w:r>
    </w:p>
    <w:p w14:paraId="0DB5F499" w14:textId="77777777" w:rsidR="00067435" w:rsidRPr="00893382" w:rsidRDefault="00067435" w:rsidP="00067435">
      <w:pPr>
        <w:tabs>
          <w:tab w:val="left" w:pos="720"/>
        </w:tabs>
        <w:spacing w:after="240"/>
        <w:jc w:val="both"/>
        <w:rPr>
          <w:highlight w:val="yellow"/>
          <w:lang w:val="en-GB"/>
        </w:rPr>
      </w:pPr>
      <w:bookmarkStart w:id="1176" w:name="_Hlk132622901"/>
      <w:r w:rsidRPr="005C4248">
        <w:rPr>
          <w:lang w:val="en-GB"/>
        </w:rPr>
        <w:t xml:space="preserve">A study to determine the effects of Propamocarb hydrochloride SL 722 G (active substances propamocarb hydrochloride) on the reproduction of the collembolan </w:t>
      </w:r>
      <w:r w:rsidRPr="005C4248">
        <w:rPr>
          <w:i/>
          <w:iCs/>
          <w:lang w:val="en-GB"/>
        </w:rPr>
        <w:t>Folsomia candida</w:t>
      </w:r>
      <w:r w:rsidRPr="005C4248">
        <w:rPr>
          <w:lang w:val="en-GB"/>
        </w:rPr>
        <w:t xml:space="preserve"> was performed over 28 days in the laboratory in artificial soil. The test comprised 6 treatment groups; 5 nominal test item concentrations of 100, 178, 316, 562 and 1000 mg test item</w:t>
      </w:r>
      <w:r w:rsidRPr="00893382">
        <w:rPr>
          <w:lang w:val="en-GB"/>
        </w:rPr>
        <w:t xml:space="preserve">/kg soil dry weight and an untreated control. 4 replicates were used for the test item treatments and 8 replicates were used for the control. Each replicate contained 10 collembola. After 28 days, parental mortality and total juveniles per treatment were determined. </w:t>
      </w:r>
    </w:p>
    <w:bookmarkEnd w:id="1176"/>
    <w:p w14:paraId="187546DC" w14:textId="77777777" w:rsidR="00067435" w:rsidRPr="00893382" w:rsidRDefault="00067435" w:rsidP="00067435">
      <w:pPr>
        <w:tabs>
          <w:tab w:val="left" w:pos="720"/>
        </w:tabs>
        <w:spacing w:after="240"/>
        <w:jc w:val="both"/>
        <w:rPr>
          <w:lang w:val="en-GB"/>
        </w:rPr>
      </w:pPr>
      <w:r w:rsidRPr="00893382">
        <w:rPr>
          <w:lang w:val="en-GB"/>
        </w:rPr>
        <w:t>The 28-day LC</w:t>
      </w:r>
      <w:r w:rsidRPr="00893382">
        <w:rPr>
          <w:vertAlign w:val="subscript"/>
          <w:lang w:val="en-GB"/>
        </w:rPr>
        <w:t>50</w:t>
      </w:r>
      <w:r w:rsidRPr="00893382">
        <w:rPr>
          <w:lang w:val="en-GB"/>
        </w:rPr>
        <w:t xml:space="preserve"> and the EC</w:t>
      </w:r>
      <w:r w:rsidRPr="00893382">
        <w:rPr>
          <w:vertAlign w:val="subscript"/>
          <w:lang w:val="en-GB"/>
        </w:rPr>
        <w:t>10</w:t>
      </w:r>
      <w:r w:rsidRPr="00893382">
        <w:rPr>
          <w:lang w:val="en-GB"/>
        </w:rPr>
        <w:t>, EC</w:t>
      </w:r>
      <w:r w:rsidRPr="00893382">
        <w:rPr>
          <w:vertAlign w:val="subscript"/>
          <w:lang w:val="en-GB"/>
        </w:rPr>
        <w:t>20</w:t>
      </w:r>
      <w:r w:rsidRPr="00893382">
        <w:rPr>
          <w:lang w:val="en-GB"/>
        </w:rPr>
        <w:t xml:space="preserve"> and EC</w:t>
      </w:r>
      <w:r w:rsidRPr="00893382">
        <w:rPr>
          <w:vertAlign w:val="subscript"/>
          <w:lang w:val="en-GB"/>
        </w:rPr>
        <w:t>50</w:t>
      </w:r>
      <w:r w:rsidRPr="00893382">
        <w:rPr>
          <w:lang w:val="en-GB"/>
        </w:rPr>
        <w:t xml:space="preserve"> values for reproduction could not be calculated due to an absence of statistically significant effects. It was determined that these values were &gt;1000 mg test item/kg soil dw, the highest concentration tested. The NOEC for mortality and reproduction was determined to be ≥1000 mg test item/kg soil dw and the LOEC for mortality and reproduction was determined to be &gt;1000</w:t>
      </w:r>
      <w:r w:rsidRPr="00451016">
        <w:rPr>
          <w:lang w:val="en-GB"/>
        </w:rPr>
        <w:t> </w:t>
      </w:r>
      <w:r w:rsidRPr="00893382">
        <w:rPr>
          <w:lang w:val="en-GB"/>
        </w:rPr>
        <w:t>mg test item/kg soil dw.</w:t>
      </w:r>
    </w:p>
    <w:p w14:paraId="662C1F04" w14:textId="77777777" w:rsidR="00067435" w:rsidRPr="00893382" w:rsidRDefault="00067435" w:rsidP="00067435">
      <w:pPr>
        <w:tabs>
          <w:tab w:val="left" w:pos="720"/>
        </w:tabs>
        <w:spacing w:after="240"/>
        <w:ind w:left="720" w:hanging="431"/>
        <w:contextualSpacing/>
        <w:rPr>
          <w:rFonts w:ascii="Times New Roman Bold" w:hAnsi="Times New Roman Bold"/>
          <w:b/>
          <w:bCs/>
          <w:caps/>
          <w:szCs w:val="24"/>
          <w:lang w:val="en-GB"/>
        </w:rPr>
      </w:pPr>
      <w:r w:rsidRPr="00893382">
        <w:rPr>
          <w:rFonts w:ascii="Times New Roman Bold" w:hAnsi="Times New Roman Bold"/>
          <w:b/>
          <w:bCs/>
          <w:caps/>
          <w:szCs w:val="24"/>
          <w:lang w:val="en-GB"/>
        </w:rPr>
        <w:t>II.</w:t>
      </w:r>
      <w:r w:rsidRPr="00893382">
        <w:rPr>
          <w:rFonts w:ascii="Times New Roman Bold" w:hAnsi="Times New Roman Bold"/>
          <w:b/>
          <w:bCs/>
          <w:caps/>
          <w:szCs w:val="24"/>
          <w:lang w:val="en-GB"/>
        </w:rPr>
        <w:tab/>
        <w:t>MATERIALS AND METHODS</w:t>
      </w:r>
    </w:p>
    <w:p w14:paraId="45AEC607" w14:textId="77777777" w:rsidR="00067435" w:rsidRPr="00893382" w:rsidRDefault="00067435" w:rsidP="00067435">
      <w:pPr>
        <w:tabs>
          <w:tab w:val="left" w:pos="0"/>
        </w:tabs>
        <w:ind w:left="357" w:hanging="357"/>
        <w:contextualSpacing/>
        <w:rPr>
          <w:rFonts w:ascii="Times New Roman Bold" w:hAnsi="Times New Roman Bold"/>
          <w:b/>
          <w:bCs/>
          <w:caps/>
          <w:szCs w:val="24"/>
          <w:lang w:val="en-GB"/>
        </w:rPr>
      </w:pPr>
      <w:r w:rsidRPr="00893382">
        <w:rPr>
          <w:rFonts w:ascii="Times New Roman Bold" w:hAnsi="Times New Roman Bold"/>
          <w:b/>
          <w:bCs/>
          <w:caps/>
          <w:szCs w:val="24"/>
          <w:lang w:val="en-GB"/>
        </w:rPr>
        <w:t>A.</w:t>
      </w:r>
      <w:r w:rsidRPr="00893382">
        <w:rPr>
          <w:rFonts w:ascii="Times New Roman Bold" w:hAnsi="Times New Roman Bold"/>
          <w:b/>
          <w:bCs/>
          <w:caps/>
          <w:szCs w:val="24"/>
          <w:lang w:val="en-GB"/>
        </w:rPr>
        <w:tab/>
        <w:t>MATERIALS</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893382" w14:paraId="296C2DA6" w14:textId="77777777" w:rsidTr="00026175">
        <w:trPr>
          <w:cantSplit/>
          <w:trHeight w:hRule="exact" w:val="340"/>
        </w:trPr>
        <w:tc>
          <w:tcPr>
            <w:tcW w:w="3969" w:type="dxa"/>
          </w:tcPr>
          <w:p w14:paraId="5CEFD1C2" w14:textId="77777777" w:rsidR="00067435" w:rsidRPr="00893382" w:rsidRDefault="00067435" w:rsidP="00E05ECD">
            <w:pPr>
              <w:numPr>
                <w:ilvl w:val="0"/>
                <w:numId w:val="118"/>
              </w:numPr>
              <w:tabs>
                <w:tab w:val="left" w:pos="255"/>
              </w:tabs>
              <w:spacing w:after="240"/>
              <w:contextualSpacing/>
              <w:rPr>
                <w:rFonts w:ascii="Times New Roman" w:hAnsi="Times New Roman"/>
                <w:b/>
                <w:bCs/>
                <w:szCs w:val="24"/>
                <w:lang w:val="en-GB"/>
              </w:rPr>
            </w:pPr>
            <w:r w:rsidRPr="00893382">
              <w:rPr>
                <w:rFonts w:ascii="Times New Roman" w:hAnsi="Times New Roman"/>
                <w:b/>
                <w:bCs/>
                <w:szCs w:val="24"/>
                <w:lang w:val="en-GB"/>
              </w:rPr>
              <w:t>Test item:</w:t>
            </w:r>
          </w:p>
        </w:tc>
        <w:tc>
          <w:tcPr>
            <w:tcW w:w="5381" w:type="dxa"/>
          </w:tcPr>
          <w:p w14:paraId="774EE9CC" w14:textId="77777777" w:rsidR="00067435" w:rsidRPr="00893382"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Propamocarb hydrochloride SL 722 G</w:t>
            </w:r>
          </w:p>
        </w:tc>
      </w:tr>
      <w:tr w:rsidR="00067435" w:rsidRPr="00893382" w14:paraId="3A8939CA" w14:textId="77777777" w:rsidTr="00026175">
        <w:trPr>
          <w:cantSplit/>
          <w:trHeight w:hRule="exact" w:val="340"/>
        </w:trPr>
        <w:tc>
          <w:tcPr>
            <w:tcW w:w="3969" w:type="dxa"/>
          </w:tcPr>
          <w:p w14:paraId="361FFA91"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Description:</w:t>
            </w:r>
          </w:p>
        </w:tc>
        <w:tc>
          <w:tcPr>
            <w:tcW w:w="5381" w:type="dxa"/>
          </w:tcPr>
          <w:p w14:paraId="03DC6E89" w14:textId="77777777" w:rsidR="00067435" w:rsidRPr="00893382"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clear colourless liquid</w:t>
            </w:r>
          </w:p>
        </w:tc>
      </w:tr>
      <w:tr w:rsidR="00067435" w:rsidRPr="00893382" w14:paraId="2C3D20F3" w14:textId="77777777" w:rsidTr="00026175">
        <w:trPr>
          <w:cantSplit/>
          <w:trHeight w:hRule="exact" w:val="340"/>
        </w:trPr>
        <w:tc>
          <w:tcPr>
            <w:tcW w:w="3969" w:type="dxa"/>
          </w:tcPr>
          <w:p w14:paraId="3D7AC0D1"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Lot/Batch:</w:t>
            </w:r>
          </w:p>
        </w:tc>
        <w:tc>
          <w:tcPr>
            <w:tcW w:w="5381" w:type="dxa"/>
          </w:tcPr>
          <w:p w14:paraId="2943E1E0" w14:textId="77777777" w:rsidR="00067435" w:rsidRPr="00893382"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NP65DX4580</w:t>
            </w:r>
          </w:p>
        </w:tc>
      </w:tr>
      <w:tr w:rsidR="00067435" w:rsidRPr="00F03DE2" w14:paraId="20DEA9CF" w14:textId="77777777" w:rsidTr="00026175">
        <w:trPr>
          <w:cantSplit/>
          <w:trHeight w:hRule="exact" w:val="630"/>
        </w:trPr>
        <w:tc>
          <w:tcPr>
            <w:tcW w:w="3969" w:type="dxa"/>
          </w:tcPr>
          <w:p w14:paraId="4025C432"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Active substance content:</w:t>
            </w:r>
          </w:p>
        </w:tc>
        <w:tc>
          <w:tcPr>
            <w:tcW w:w="5381" w:type="dxa"/>
          </w:tcPr>
          <w:p w14:paraId="03E49BAB" w14:textId="77777777" w:rsidR="00067435" w:rsidRPr="003B09BC" w:rsidRDefault="00067435" w:rsidP="00026175">
            <w:pPr>
              <w:tabs>
                <w:tab w:val="left" w:pos="720"/>
              </w:tabs>
              <w:jc w:val="both"/>
              <w:rPr>
                <w:rFonts w:ascii="Times New Roman" w:hAnsi="Times New Roman"/>
                <w:szCs w:val="24"/>
                <w:lang w:val="fr-FR"/>
              </w:rPr>
            </w:pPr>
            <w:r w:rsidRPr="003B09BC">
              <w:rPr>
                <w:rFonts w:ascii="Times New Roman" w:hAnsi="Times New Roman"/>
                <w:szCs w:val="24"/>
                <w:lang w:val="fr-FR"/>
              </w:rPr>
              <w:t>Propamocarb hydrochloride 722 g/L (nominal),</w:t>
            </w:r>
          </w:p>
          <w:p w14:paraId="74349901" w14:textId="77777777" w:rsidR="00067435" w:rsidRPr="003B09BC" w:rsidRDefault="00067435" w:rsidP="00026175">
            <w:pPr>
              <w:tabs>
                <w:tab w:val="left" w:pos="720"/>
              </w:tabs>
              <w:spacing w:after="240"/>
              <w:jc w:val="both"/>
              <w:rPr>
                <w:rFonts w:ascii="Times New Roman" w:hAnsi="Times New Roman"/>
                <w:szCs w:val="24"/>
                <w:lang w:val="pl-PL"/>
              </w:rPr>
            </w:pPr>
            <w:r w:rsidRPr="003B09BC">
              <w:rPr>
                <w:rFonts w:ascii="Times New Roman" w:hAnsi="Times New Roman"/>
                <w:szCs w:val="24"/>
                <w:lang w:val="pl-PL"/>
              </w:rPr>
              <w:t>67.7 % w/w, 729.1 g/L (analysed)</w:t>
            </w:r>
          </w:p>
        </w:tc>
      </w:tr>
      <w:tr w:rsidR="00067435" w:rsidRPr="00893382" w14:paraId="3079C129" w14:textId="77777777" w:rsidTr="00026175">
        <w:trPr>
          <w:cantSplit/>
          <w:trHeight w:hRule="exact" w:val="340"/>
        </w:trPr>
        <w:tc>
          <w:tcPr>
            <w:tcW w:w="3969" w:type="dxa"/>
          </w:tcPr>
          <w:p w14:paraId="19253A27"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Density:</w:t>
            </w:r>
          </w:p>
        </w:tc>
        <w:tc>
          <w:tcPr>
            <w:tcW w:w="5381" w:type="dxa"/>
          </w:tcPr>
          <w:p w14:paraId="44349660" w14:textId="77777777" w:rsidR="00067435" w:rsidRPr="00893382"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1.077 g/mL</w:t>
            </w:r>
          </w:p>
        </w:tc>
      </w:tr>
      <w:tr w:rsidR="00067435" w:rsidRPr="00F25D10" w14:paraId="76E4CA9C" w14:textId="77777777" w:rsidTr="00026175">
        <w:trPr>
          <w:cantSplit/>
          <w:trHeight w:hRule="exact" w:val="340"/>
        </w:trPr>
        <w:tc>
          <w:tcPr>
            <w:tcW w:w="3969" w:type="dxa"/>
          </w:tcPr>
          <w:p w14:paraId="49F40508" w14:textId="77777777" w:rsidR="00067435" w:rsidRPr="00451016" w:rsidRDefault="00067435" w:rsidP="00026175">
            <w:pPr>
              <w:tabs>
                <w:tab w:val="left" w:pos="624"/>
              </w:tabs>
              <w:spacing w:after="240"/>
              <w:ind w:left="624"/>
              <w:rPr>
                <w:rFonts w:ascii="Times New Roman" w:hAnsi="Times New Roman"/>
                <w:b/>
                <w:bCs/>
                <w:szCs w:val="24"/>
                <w:lang w:val="en-GB"/>
              </w:rPr>
            </w:pPr>
            <w:r w:rsidRPr="00451016">
              <w:rPr>
                <w:rFonts w:ascii="Times New Roman" w:hAnsi="Times New Roman"/>
                <w:b/>
                <w:bCs/>
                <w:szCs w:val="24"/>
                <w:lang w:val="en-GB"/>
              </w:rPr>
              <w:t>Storage conditions:</w:t>
            </w:r>
          </w:p>
        </w:tc>
        <w:tc>
          <w:tcPr>
            <w:tcW w:w="5381" w:type="dxa"/>
          </w:tcPr>
          <w:p w14:paraId="3171D428" w14:textId="77777777" w:rsidR="00067435" w:rsidRPr="00451016"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25 ± 5 °C, +2 °C to +30 °C are also acceptable</w:t>
            </w:r>
          </w:p>
        </w:tc>
      </w:tr>
      <w:tr w:rsidR="00067435" w:rsidRPr="00451016" w14:paraId="7D796144" w14:textId="77777777" w:rsidTr="00026175">
        <w:trPr>
          <w:cantSplit/>
          <w:trHeight w:hRule="exact" w:val="340"/>
        </w:trPr>
        <w:tc>
          <w:tcPr>
            <w:tcW w:w="3969" w:type="dxa"/>
          </w:tcPr>
          <w:p w14:paraId="423DB8D6" w14:textId="77777777" w:rsidR="00067435" w:rsidRPr="00451016" w:rsidRDefault="00067435" w:rsidP="00026175">
            <w:pPr>
              <w:tabs>
                <w:tab w:val="left" w:pos="624"/>
              </w:tabs>
              <w:spacing w:after="240"/>
              <w:ind w:left="624"/>
              <w:rPr>
                <w:rFonts w:ascii="Times New Roman" w:hAnsi="Times New Roman"/>
                <w:b/>
                <w:bCs/>
                <w:szCs w:val="24"/>
                <w:lang w:val="en-GB"/>
              </w:rPr>
            </w:pPr>
            <w:r w:rsidRPr="00451016">
              <w:rPr>
                <w:rFonts w:ascii="Times New Roman" w:hAnsi="Times New Roman"/>
                <w:b/>
                <w:bCs/>
                <w:szCs w:val="24"/>
                <w:lang w:val="en-GB"/>
              </w:rPr>
              <w:t>Stability:</w:t>
            </w:r>
          </w:p>
        </w:tc>
        <w:tc>
          <w:tcPr>
            <w:tcW w:w="5381" w:type="dxa"/>
          </w:tcPr>
          <w:p w14:paraId="54E8AE73" w14:textId="77777777" w:rsidR="00067435" w:rsidRPr="00451016"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Expiry date: 07.07.2015</w:t>
            </w:r>
          </w:p>
        </w:tc>
      </w:tr>
      <w:tr w:rsidR="00067435" w:rsidRPr="00893382" w14:paraId="01029029" w14:textId="77777777" w:rsidTr="00026175">
        <w:trPr>
          <w:cantSplit/>
          <w:trHeight w:hRule="exact" w:val="340"/>
        </w:trPr>
        <w:tc>
          <w:tcPr>
            <w:tcW w:w="3969" w:type="dxa"/>
          </w:tcPr>
          <w:p w14:paraId="349578B2" w14:textId="77777777" w:rsidR="00067435" w:rsidRPr="00893382" w:rsidRDefault="00067435" w:rsidP="00E05ECD">
            <w:pPr>
              <w:numPr>
                <w:ilvl w:val="0"/>
                <w:numId w:val="118"/>
              </w:numPr>
              <w:tabs>
                <w:tab w:val="left" w:pos="255"/>
              </w:tabs>
              <w:spacing w:after="240"/>
              <w:contextualSpacing/>
              <w:rPr>
                <w:rFonts w:ascii="Times New Roman" w:hAnsi="Times New Roman"/>
                <w:b/>
                <w:bCs/>
                <w:szCs w:val="24"/>
                <w:lang w:val="en-GB"/>
              </w:rPr>
            </w:pPr>
            <w:r w:rsidRPr="00893382">
              <w:rPr>
                <w:rFonts w:ascii="Times New Roman" w:hAnsi="Times New Roman"/>
                <w:b/>
                <w:bCs/>
                <w:szCs w:val="24"/>
                <w:lang w:val="en-GB"/>
              </w:rPr>
              <w:t>Control:</w:t>
            </w:r>
          </w:p>
        </w:tc>
        <w:tc>
          <w:tcPr>
            <w:tcW w:w="5381" w:type="dxa"/>
          </w:tcPr>
          <w:p w14:paraId="65441C67" w14:textId="77777777" w:rsidR="00067435" w:rsidRPr="00893382" w:rsidRDefault="00067435" w:rsidP="00026175">
            <w:pPr>
              <w:tabs>
                <w:tab w:val="left" w:pos="720"/>
              </w:tabs>
              <w:spacing w:after="240"/>
              <w:rPr>
                <w:rFonts w:ascii="Times New Roman" w:hAnsi="Times New Roman"/>
                <w:szCs w:val="24"/>
                <w:lang w:val="en-GB"/>
              </w:rPr>
            </w:pPr>
            <w:r w:rsidRPr="00893382">
              <w:rPr>
                <w:rFonts w:ascii="Times New Roman" w:hAnsi="Times New Roman"/>
                <w:szCs w:val="24"/>
                <w:lang w:val="en-GB"/>
              </w:rPr>
              <w:t>Untreated substrate</w:t>
            </w:r>
          </w:p>
        </w:tc>
      </w:tr>
      <w:tr w:rsidR="00067435" w:rsidRPr="00F25D10" w14:paraId="243F9A26" w14:textId="77777777" w:rsidTr="00026175">
        <w:trPr>
          <w:cantSplit/>
          <w:trHeight w:hRule="exact" w:val="397"/>
        </w:trPr>
        <w:tc>
          <w:tcPr>
            <w:tcW w:w="3969" w:type="dxa"/>
          </w:tcPr>
          <w:p w14:paraId="5A612838" w14:textId="77777777" w:rsidR="00067435" w:rsidRPr="00893382" w:rsidRDefault="00067435" w:rsidP="00E05ECD">
            <w:pPr>
              <w:numPr>
                <w:ilvl w:val="0"/>
                <w:numId w:val="118"/>
              </w:numPr>
              <w:tabs>
                <w:tab w:val="left" w:pos="255"/>
              </w:tabs>
              <w:spacing w:after="240"/>
              <w:contextualSpacing/>
              <w:rPr>
                <w:rFonts w:ascii="Times New Roman" w:hAnsi="Times New Roman"/>
                <w:b/>
                <w:bCs/>
                <w:szCs w:val="24"/>
                <w:lang w:val="en-GB"/>
              </w:rPr>
            </w:pPr>
            <w:r w:rsidRPr="00893382">
              <w:rPr>
                <w:rFonts w:ascii="Times New Roman" w:hAnsi="Times New Roman"/>
                <w:b/>
                <w:bCs/>
                <w:szCs w:val="24"/>
                <w:lang w:val="en-GB"/>
              </w:rPr>
              <w:t>Reference item:</w:t>
            </w:r>
          </w:p>
        </w:tc>
        <w:tc>
          <w:tcPr>
            <w:tcW w:w="5381" w:type="dxa"/>
          </w:tcPr>
          <w:p w14:paraId="5C50D671"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Boric acid, tested in a separate study</w:t>
            </w:r>
          </w:p>
        </w:tc>
      </w:tr>
    </w:tbl>
    <w:p w14:paraId="37096944" w14:textId="77777777" w:rsidR="00067435" w:rsidRPr="00893382" w:rsidRDefault="00067435" w:rsidP="00067435">
      <w:pPr>
        <w:tabs>
          <w:tab w:val="left" w:pos="0"/>
        </w:tabs>
        <w:ind w:left="357" w:hanging="357"/>
        <w:contextualSpacing/>
        <w:rPr>
          <w:b/>
          <w:bCs/>
          <w:caps/>
          <w:szCs w:val="24"/>
          <w:lang w:val="en-GB"/>
        </w:rPr>
      </w:pPr>
    </w:p>
    <w:p w14:paraId="7F1817C9" w14:textId="77777777" w:rsidR="00067435" w:rsidRPr="00893382" w:rsidRDefault="00067435" w:rsidP="00067435">
      <w:pPr>
        <w:tabs>
          <w:tab w:val="left" w:pos="0"/>
        </w:tabs>
        <w:ind w:left="357" w:hanging="357"/>
        <w:contextualSpacing/>
        <w:rPr>
          <w:b/>
          <w:bCs/>
          <w:caps/>
          <w:szCs w:val="24"/>
          <w:lang w:val="en-GB"/>
        </w:rPr>
      </w:pPr>
      <w:r w:rsidRPr="00893382">
        <w:rPr>
          <w:b/>
          <w:bCs/>
          <w:caps/>
          <w:szCs w:val="24"/>
          <w:lang w:val="en-GB"/>
        </w:rPr>
        <w:t>B.</w:t>
      </w:r>
      <w:r w:rsidRPr="00893382">
        <w:rPr>
          <w:b/>
          <w:bCs/>
          <w:caps/>
          <w:szCs w:val="24"/>
          <w:lang w:val="en-GB"/>
        </w:rPr>
        <w:tab/>
        <w:t>study design and methods</w:t>
      </w: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893382" w14:paraId="54DF50E8" w14:textId="77777777" w:rsidTr="00026175">
        <w:trPr>
          <w:trHeight w:hRule="exact" w:val="340"/>
        </w:trPr>
        <w:tc>
          <w:tcPr>
            <w:tcW w:w="3969" w:type="dxa"/>
          </w:tcPr>
          <w:p w14:paraId="5A55822A" w14:textId="77777777" w:rsidR="00067435" w:rsidRPr="00893382" w:rsidRDefault="00067435" w:rsidP="00E05ECD">
            <w:pPr>
              <w:numPr>
                <w:ilvl w:val="0"/>
                <w:numId w:val="118"/>
              </w:numPr>
              <w:tabs>
                <w:tab w:val="left" w:pos="255"/>
                <w:tab w:val="left" w:pos="720"/>
              </w:tabs>
              <w:spacing w:after="240"/>
              <w:contextualSpacing/>
              <w:jc w:val="both"/>
              <w:rPr>
                <w:rFonts w:ascii="Times New Roman" w:hAnsi="Times New Roman"/>
                <w:b/>
                <w:bCs/>
                <w:szCs w:val="24"/>
                <w:lang w:val="en-GB"/>
              </w:rPr>
            </w:pPr>
            <w:r w:rsidRPr="00893382">
              <w:rPr>
                <w:rFonts w:ascii="Times New Roman" w:hAnsi="Times New Roman"/>
                <w:b/>
                <w:bCs/>
                <w:szCs w:val="24"/>
                <w:lang w:val="en-GB"/>
              </w:rPr>
              <w:lastRenderedPageBreak/>
              <w:t>Test species:</w:t>
            </w:r>
          </w:p>
        </w:tc>
        <w:tc>
          <w:tcPr>
            <w:tcW w:w="5381" w:type="dxa"/>
          </w:tcPr>
          <w:p w14:paraId="1D6F60BF"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Collembola (</w:t>
            </w:r>
            <w:r w:rsidRPr="00893382">
              <w:rPr>
                <w:rFonts w:ascii="Times New Roman" w:hAnsi="Times New Roman"/>
                <w:i/>
                <w:iCs/>
                <w:szCs w:val="24"/>
                <w:lang w:val="en-GB"/>
              </w:rPr>
              <w:t>Folsomia candida</w:t>
            </w:r>
            <w:r w:rsidRPr="00451016">
              <w:rPr>
                <w:rFonts w:ascii="Times New Roman" w:hAnsi="Times New Roman"/>
                <w:i/>
                <w:iCs/>
                <w:szCs w:val="24"/>
                <w:lang w:val="en-GB"/>
              </w:rPr>
              <w:t xml:space="preserve"> </w:t>
            </w:r>
            <w:r w:rsidRPr="00451016">
              <w:rPr>
                <w:rFonts w:ascii="Times New Roman" w:hAnsi="Times New Roman"/>
                <w:szCs w:val="24"/>
                <w:lang w:val="en-GB"/>
              </w:rPr>
              <w:t>WILLEM</w:t>
            </w:r>
            <w:r w:rsidRPr="00893382">
              <w:rPr>
                <w:rFonts w:ascii="Times New Roman" w:hAnsi="Times New Roman"/>
                <w:szCs w:val="24"/>
                <w:lang w:val="en-GB"/>
              </w:rPr>
              <w:t>),</w:t>
            </w:r>
          </w:p>
        </w:tc>
      </w:tr>
      <w:tr w:rsidR="00067435" w:rsidRPr="00F25D10" w14:paraId="50F6833A" w14:textId="77777777" w:rsidTr="00026175">
        <w:trPr>
          <w:trHeight w:hRule="exact" w:val="340"/>
        </w:trPr>
        <w:tc>
          <w:tcPr>
            <w:tcW w:w="3969" w:type="dxa"/>
          </w:tcPr>
          <w:p w14:paraId="162FC61A"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 xml:space="preserve">Age/life stage: </w:t>
            </w:r>
          </w:p>
        </w:tc>
        <w:tc>
          <w:tcPr>
            <w:tcW w:w="5381" w:type="dxa"/>
          </w:tcPr>
          <w:p w14:paraId="41CF838D"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9 - 12 days at test start (juveniles)</w:t>
            </w:r>
          </w:p>
        </w:tc>
      </w:tr>
      <w:tr w:rsidR="00067435" w:rsidRPr="00893382" w14:paraId="23448DC4" w14:textId="77777777" w:rsidTr="00026175">
        <w:trPr>
          <w:trHeight w:hRule="exact" w:val="624"/>
        </w:trPr>
        <w:tc>
          <w:tcPr>
            <w:tcW w:w="3969" w:type="dxa"/>
          </w:tcPr>
          <w:p w14:paraId="1C151B18"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Source:</w:t>
            </w:r>
          </w:p>
        </w:tc>
        <w:tc>
          <w:tcPr>
            <w:tcW w:w="5381" w:type="dxa"/>
          </w:tcPr>
          <w:p w14:paraId="70BD2515"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In-house culture, originally purchased from Biologische Bundesanstalt, Berlin-Dahlem, Germany</w:t>
            </w:r>
          </w:p>
        </w:tc>
      </w:tr>
      <w:tr w:rsidR="00067435" w:rsidRPr="00F25D10" w14:paraId="37648102" w14:textId="77777777" w:rsidTr="00026175">
        <w:trPr>
          <w:trHeight w:hRule="exact" w:val="567"/>
        </w:trPr>
        <w:tc>
          <w:tcPr>
            <w:tcW w:w="3969" w:type="dxa"/>
          </w:tcPr>
          <w:p w14:paraId="17FF6ADA"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 xml:space="preserve">Diet: </w:t>
            </w:r>
          </w:p>
        </w:tc>
        <w:tc>
          <w:tcPr>
            <w:tcW w:w="5381" w:type="dxa"/>
          </w:tcPr>
          <w:p w14:paraId="3CB2EE15"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2 mg</w:t>
            </w:r>
            <w:r w:rsidRPr="00451016">
              <w:rPr>
                <w:rFonts w:ascii="Times New Roman" w:hAnsi="Times New Roman"/>
                <w:szCs w:val="24"/>
                <w:lang w:val="en-GB"/>
              </w:rPr>
              <w:t xml:space="preserve"> granulated</w:t>
            </w:r>
            <w:r w:rsidRPr="00893382">
              <w:rPr>
                <w:rFonts w:ascii="Times New Roman" w:hAnsi="Times New Roman"/>
                <w:szCs w:val="24"/>
                <w:lang w:val="en-GB"/>
              </w:rPr>
              <w:t xml:space="preserve"> dry yeast per test vessel at the start of the test and again on day 14.</w:t>
            </w:r>
          </w:p>
        </w:tc>
      </w:tr>
      <w:tr w:rsidR="00067435" w:rsidRPr="00F25D10" w14:paraId="54B9862B" w14:textId="77777777" w:rsidTr="00026175">
        <w:trPr>
          <w:trHeight w:hRule="exact" w:val="567"/>
        </w:trPr>
        <w:tc>
          <w:tcPr>
            <w:tcW w:w="3969" w:type="dxa"/>
          </w:tcPr>
          <w:p w14:paraId="25B5FA5A" w14:textId="77777777" w:rsidR="00067435" w:rsidRPr="00893382" w:rsidRDefault="00067435" w:rsidP="00E05ECD">
            <w:pPr>
              <w:numPr>
                <w:ilvl w:val="0"/>
                <w:numId w:val="118"/>
              </w:numPr>
              <w:tabs>
                <w:tab w:val="left" w:pos="255"/>
                <w:tab w:val="left" w:pos="720"/>
              </w:tabs>
              <w:spacing w:after="240"/>
              <w:contextualSpacing/>
              <w:jc w:val="both"/>
              <w:rPr>
                <w:rFonts w:ascii="Times New Roman" w:hAnsi="Times New Roman"/>
                <w:b/>
                <w:bCs/>
                <w:szCs w:val="24"/>
                <w:lang w:val="en-GB"/>
              </w:rPr>
            </w:pPr>
            <w:r w:rsidRPr="00893382">
              <w:rPr>
                <w:rFonts w:ascii="Times New Roman" w:hAnsi="Times New Roman"/>
                <w:b/>
                <w:bCs/>
                <w:szCs w:val="24"/>
                <w:lang w:val="en-GB"/>
              </w:rPr>
              <w:t>Test units:</w:t>
            </w:r>
          </w:p>
        </w:tc>
        <w:tc>
          <w:tcPr>
            <w:tcW w:w="5381" w:type="dxa"/>
          </w:tcPr>
          <w:p w14:paraId="51521341"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 xml:space="preserve">Glass containers approx. 150 mL, each containing </w:t>
            </w:r>
            <w:r w:rsidRPr="00893382">
              <w:rPr>
                <w:rFonts w:ascii="Times New Roman" w:hAnsi="Times New Roman"/>
                <w:szCs w:val="24"/>
                <w:lang w:val="en-GB"/>
              </w:rPr>
              <w:br/>
              <w:t xml:space="preserve">30 g soil </w:t>
            </w:r>
            <w:r w:rsidRPr="00451016">
              <w:rPr>
                <w:rFonts w:ascii="Times New Roman" w:hAnsi="Times New Roman"/>
                <w:szCs w:val="24"/>
                <w:lang w:val="en-GB"/>
              </w:rPr>
              <w:t>wet</w:t>
            </w:r>
            <w:r>
              <w:rPr>
                <w:rFonts w:ascii="Times New Roman" w:hAnsi="Times New Roman"/>
                <w:szCs w:val="24"/>
                <w:lang w:val="en-GB"/>
              </w:rPr>
              <w:t xml:space="preserve"> </w:t>
            </w:r>
            <w:r w:rsidRPr="00893382">
              <w:rPr>
                <w:rFonts w:ascii="Times New Roman" w:hAnsi="Times New Roman"/>
                <w:szCs w:val="24"/>
                <w:lang w:val="en-GB"/>
              </w:rPr>
              <w:t>weight and covered with a lid</w:t>
            </w:r>
          </w:p>
        </w:tc>
      </w:tr>
      <w:tr w:rsidR="00067435" w:rsidRPr="00893382" w14:paraId="65E798C0" w14:textId="77777777" w:rsidTr="00026175">
        <w:trPr>
          <w:trHeight w:hRule="exact" w:val="340"/>
        </w:trPr>
        <w:tc>
          <w:tcPr>
            <w:tcW w:w="3969" w:type="dxa"/>
          </w:tcPr>
          <w:p w14:paraId="6C5D0C7D" w14:textId="77777777" w:rsidR="00067435" w:rsidRPr="00893382" w:rsidRDefault="00067435" w:rsidP="00E05ECD">
            <w:pPr>
              <w:numPr>
                <w:ilvl w:val="0"/>
                <w:numId w:val="118"/>
              </w:numPr>
              <w:tabs>
                <w:tab w:val="left" w:pos="255"/>
                <w:tab w:val="left" w:pos="720"/>
              </w:tabs>
              <w:spacing w:after="240"/>
              <w:contextualSpacing/>
              <w:jc w:val="both"/>
              <w:rPr>
                <w:rFonts w:ascii="Times New Roman" w:hAnsi="Times New Roman"/>
                <w:b/>
                <w:bCs/>
                <w:szCs w:val="24"/>
                <w:lang w:val="en-GB"/>
              </w:rPr>
            </w:pPr>
            <w:r w:rsidRPr="00893382">
              <w:rPr>
                <w:rFonts w:ascii="Times New Roman" w:hAnsi="Times New Roman"/>
                <w:b/>
                <w:bCs/>
                <w:szCs w:val="24"/>
                <w:lang w:val="en-GB"/>
              </w:rPr>
              <w:t>Environmental conditions</w:t>
            </w:r>
          </w:p>
        </w:tc>
        <w:tc>
          <w:tcPr>
            <w:tcW w:w="5381" w:type="dxa"/>
          </w:tcPr>
          <w:p w14:paraId="48B514B1" w14:textId="77777777" w:rsidR="00067435" w:rsidRPr="00893382" w:rsidRDefault="00067435" w:rsidP="00026175">
            <w:pPr>
              <w:tabs>
                <w:tab w:val="left" w:pos="720"/>
              </w:tabs>
              <w:spacing w:after="240"/>
              <w:jc w:val="both"/>
              <w:rPr>
                <w:rFonts w:ascii="Times New Roman" w:hAnsi="Times New Roman"/>
                <w:szCs w:val="24"/>
                <w:lang w:val="en-GB"/>
              </w:rPr>
            </w:pPr>
          </w:p>
        </w:tc>
      </w:tr>
      <w:tr w:rsidR="00067435" w:rsidRPr="00F25D10" w14:paraId="504BF17C" w14:textId="77777777" w:rsidTr="00026175">
        <w:trPr>
          <w:trHeight w:hRule="exact" w:val="850"/>
        </w:trPr>
        <w:tc>
          <w:tcPr>
            <w:tcW w:w="3969" w:type="dxa"/>
          </w:tcPr>
          <w:p w14:paraId="00DBDE69"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Test soil:</w:t>
            </w:r>
          </w:p>
        </w:tc>
        <w:tc>
          <w:tcPr>
            <w:tcW w:w="5381" w:type="dxa"/>
          </w:tcPr>
          <w:p w14:paraId="0DF021C3"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Artificial soil according to OECD 232: 5% sphagnum peat, 20% kaolin clay, 0.3% calcium carbonate, 74.7% industrial quartz sand and deionised water</w:t>
            </w:r>
          </w:p>
        </w:tc>
      </w:tr>
      <w:tr w:rsidR="00067435" w:rsidRPr="00893382" w14:paraId="566B266F" w14:textId="77777777" w:rsidTr="00026175">
        <w:trPr>
          <w:trHeight w:hRule="exact" w:val="340"/>
        </w:trPr>
        <w:tc>
          <w:tcPr>
            <w:tcW w:w="3969" w:type="dxa"/>
          </w:tcPr>
          <w:p w14:paraId="0C7BF782"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Temperature:</w:t>
            </w:r>
          </w:p>
        </w:tc>
        <w:tc>
          <w:tcPr>
            <w:tcW w:w="5381" w:type="dxa"/>
          </w:tcPr>
          <w:p w14:paraId="0AD2DCBE" w14:textId="77777777" w:rsidR="00067435" w:rsidRPr="00893382" w:rsidRDefault="00067435" w:rsidP="00026175">
            <w:pPr>
              <w:tabs>
                <w:tab w:val="left" w:pos="720"/>
              </w:tabs>
              <w:spacing w:after="240"/>
              <w:jc w:val="both"/>
              <w:rPr>
                <w:rFonts w:ascii="Times New Roman" w:hAnsi="Times New Roman"/>
                <w:szCs w:val="24"/>
                <w:lang w:val="en-GB"/>
              </w:rPr>
            </w:pPr>
            <w:r w:rsidRPr="00451016">
              <w:rPr>
                <w:rFonts w:ascii="Times New Roman" w:hAnsi="Times New Roman"/>
                <w:szCs w:val="24"/>
                <w:lang w:val="en-GB"/>
              </w:rPr>
              <w:t>18.0 – 20.7 °C</w:t>
            </w:r>
          </w:p>
        </w:tc>
      </w:tr>
      <w:tr w:rsidR="00067435" w:rsidRPr="00893382" w14:paraId="657B49D4" w14:textId="77777777" w:rsidTr="00026175">
        <w:trPr>
          <w:trHeight w:hRule="exact" w:val="624"/>
        </w:trPr>
        <w:tc>
          <w:tcPr>
            <w:tcW w:w="3969" w:type="dxa"/>
          </w:tcPr>
          <w:p w14:paraId="67AE601D"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pH:</w:t>
            </w:r>
          </w:p>
        </w:tc>
        <w:tc>
          <w:tcPr>
            <w:tcW w:w="5381" w:type="dxa"/>
          </w:tcPr>
          <w:p w14:paraId="27AA390A" w14:textId="77777777" w:rsidR="00067435" w:rsidRPr="00893382" w:rsidRDefault="00067435" w:rsidP="00026175">
            <w:pPr>
              <w:tabs>
                <w:tab w:val="left" w:pos="720"/>
              </w:tabs>
              <w:jc w:val="both"/>
              <w:rPr>
                <w:rFonts w:ascii="Times New Roman" w:hAnsi="Times New Roman"/>
                <w:szCs w:val="24"/>
                <w:lang w:val="en-GB"/>
              </w:rPr>
            </w:pPr>
            <w:r w:rsidRPr="00893382">
              <w:rPr>
                <w:rFonts w:ascii="Times New Roman" w:hAnsi="Times New Roman"/>
                <w:szCs w:val="24"/>
                <w:lang w:val="en-GB"/>
              </w:rPr>
              <w:t xml:space="preserve">Test start: </w:t>
            </w:r>
            <w:r w:rsidRPr="00451016">
              <w:rPr>
                <w:rFonts w:ascii="Times New Roman" w:hAnsi="Times New Roman"/>
                <w:szCs w:val="24"/>
                <w:lang w:val="en-GB"/>
              </w:rPr>
              <w:t>6.04 – 6.08</w:t>
            </w:r>
          </w:p>
          <w:p w14:paraId="485AFBD1"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 xml:space="preserve">Test end: </w:t>
            </w:r>
            <w:r w:rsidRPr="00451016">
              <w:rPr>
                <w:rFonts w:ascii="Times New Roman" w:hAnsi="Times New Roman"/>
                <w:szCs w:val="24"/>
                <w:lang w:val="en-GB"/>
              </w:rPr>
              <w:t>5.77 – 5.82</w:t>
            </w:r>
          </w:p>
        </w:tc>
      </w:tr>
      <w:tr w:rsidR="00067435" w:rsidRPr="00893382" w14:paraId="46AC539A" w14:textId="77777777" w:rsidTr="00026175">
        <w:trPr>
          <w:trHeight w:hRule="exact" w:val="397"/>
        </w:trPr>
        <w:tc>
          <w:tcPr>
            <w:tcW w:w="3969" w:type="dxa"/>
          </w:tcPr>
          <w:p w14:paraId="45CC401A"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WHC</w:t>
            </w:r>
            <w:r w:rsidRPr="00893382">
              <w:rPr>
                <w:rFonts w:ascii="Times New Roman" w:hAnsi="Times New Roman"/>
                <w:b/>
                <w:bCs/>
                <w:szCs w:val="24"/>
                <w:vertAlign w:val="subscript"/>
                <w:lang w:val="en-GB"/>
              </w:rPr>
              <w:t>max</w:t>
            </w:r>
            <w:r w:rsidRPr="00893382">
              <w:rPr>
                <w:rFonts w:ascii="Times New Roman" w:hAnsi="Times New Roman"/>
                <w:b/>
                <w:bCs/>
                <w:szCs w:val="24"/>
                <w:lang w:val="en-GB"/>
              </w:rPr>
              <w:t>:</w:t>
            </w:r>
          </w:p>
        </w:tc>
        <w:tc>
          <w:tcPr>
            <w:tcW w:w="5381" w:type="dxa"/>
          </w:tcPr>
          <w:p w14:paraId="47C40979" w14:textId="77777777" w:rsidR="00067435" w:rsidRPr="00893382" w:rsidRDefault="00067435" w:rsidP="00026175">
            <w:pPr>
              <w:tabs>
                <w:tab w:val="left" w:pos="720"/>
              </w:tabs>
              <w:jc w:val="both"/>
              <w:rPr>
                <w:rFonts w:ascii="Times New Roman" w:hAnsi="Times New Roman"/>
                <w:szCs w:val="24"/>
                <w:lang w:val="en-GB"/>
              </w:rPr>
            </w:pPr>
            <w:r w:rsidRPr="00893382">
              <w:rPr>
                <w:rFonts w:ascii="Times New Roman" w:hAnsi="Times New Roman"/>
                <w:szCs w:val="24"/>
                <w:lang w:val="en-GB"/>
              </w:rPr>
              <w:t>42.8 g/100g soil dw</w:t>
            </w:r>
          </w:p>
        </w:tc>
      </w:tr>
      <w:tr w:rsidR="00067435" w:rsidRPr="00F25D10" w14:paraId="403A72F0" w14:textId="77777777" w:rsidTr="00026175">
        <w:trPr>
          <w:trHeight w:hRule="exact" w:val="1125"/>
        </w:trPr>
        <w:tc>
          <w:tcPr>
            <w:tcW w:w="3969" w:type="dxa"/>
          </w:tcPr>
          <w:p w14:paraId="5C102352"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Water content:</w:t>
            </w:r>
          </w:p>
        </w:tc>
        <w:tc>
          <w:tcPr>
            <w:tcW w:w="5381" w:type="dxa"/>
          </w:tcPr>
          <w:p w14:paraId="7227DB99" w14:textId="77777777" w:rsidR="00067435" w:rsidRPr="00893382" w:rsidRDefault="00067435" w:rsidP="00026175">
            <w:pPr>
              <w:tabs>
                <w:tab w:val="left" w:pos="720"/>
              </w:tabs>
              <w:jc w:val="both"/>
              <w:rPr>
                <w:rFonts w:ascii="Times New Roman" w:hAnsi="Times New Roman"/>
                <w:szCs w:val="24"/>
                <w:lang w:val="en-GB"/>
              </w:rPr>
            </w:pPr>
            <w:r w:rsidRPr="00893382">
              <w:rPr>
                <w:rFonts w:ascii="Times New Roman" w:hAnsi="Times New Roman"/>
                <w:szCs w:val="24"/>
                <w:lang w:val="en-GB"/>
              </w:rPr>
              <w:t xml:space="preserve">Test start: </w:t>
            </w:r>
            <w:r w:rsidRPr="00451016">
              <w:rPr>
                <w:rFonts w:ascii="Times New Roman" w:hAnsi="Times New Roman"/>
                <w:szCs w:val="24"/>
                <w:lang w:val="en-GB"/>
              </w:rPr>
              <w:t>25.0 – 25.1% (equivalent to 58.4 – 58.6% of WHC)</w:t>
            </w:r>
          </w:p>
          <w:p w14:paraId="7E20827A"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 xml:space="preserve">Test end: </w:t>
            </w:r>
            <w:r w:rsidRPr="00451016">
              <w:rPr>
                <w:rFonts w:ascii="Times New Roman" w:hAnsi="Times New Roman"/>
                <w:szCs w:val="24"/>
                <w:lang w:val="en-GB"/>
              </w:rPr>
              <w:t>24.4 – 24.8% (equivalent to 57.0 – 57.9% of WHC)</w:t>
            </w:r>
          </w:p>
        </w:tc>
      </w:tr>
      <w:tr w:rsidR="00067435" w:rsidRPr="00F25D10" w14:paraId="6A01B7EE" w14:textId="77777777" w:rsidTr="00026175">
        <w:trPr>
          <w:trHeight w:hRule="exact" w:val="340"/>
        </w:trPr>
        <w:tc>
          <w:tcPr>
            <w:tcW w:w="3969" w:type="dxa"/>
          </w:tcPr>
          <w:p w14:paraId="1D583B54" w14:textId="77777777" w:rsidR="00067435" w:rsidRPr="00893382" w:rsidRDefault="00067435" w:rsidP="00026175">
            <w:pPr>
              <w:tabs>
                <w:tab w:val="left" w:pos="624"/>
              </w:tabs>
              <w:spacing w:after="240"/>
              <w:ind w:left="624"/>
              <w:rPr>
                <w:rFonts w:ascii="Times New Roman" w:hAnsi="Times New Roman"/>
                <w:b/>
                <w:bCs/>
                <w:szCs w:val="24"/>
                <w:lang w:val="en-GB"/>
              </w:rPr>
            </w:pPr>
            <w:r w:rsidRPr="00893382">
              <w:rPr>
                <w:rFonts w:ascii="Times New Roman" w:hAnsi="Times New Roman"/>
                <w:b/>
                <w:bCs/>
                <w:szCs w:val="24"/>
                <w:lang w:val="en-GB"/>
              </w:rPr>
              <w:t>Photoperiod:</w:t>
            </w:r>
          </w:p>
        </w:tc>
        <w:tc>
          <w:tcPr>
            <w:tcW w:w="5381" w:type="dxa"/>
          </w:tcPr>
          <w:p w14:paraId="5CE8CCB2" w14:textId="77777777" w:rsidR="00067435" w:rsidRPr="00893382" w:rsidRDefault="00067435" w:rsidP="00026175">
            <w:pPr>
              <w:tabs>
                <w:tab w:val="left" w:pos="720"/>
              </w:tabs>
              <w:spacing w:after="240"/>
              <w:jc w:val="both"/>
              <w:rPr>
                <w:rFonts w:ascii="Times New Roman" w:hAnsi="Times New Roman"/>
                <w:szCs w:val="24"/>
                <w:lang w:val="en-GB"/>
              </w:rPr>
            </w:pPr>
            <w:r w:rsidRPr="00893382">
              <w:rPr>
                <w:rFonts w:ascii="Times New Roman" w:hAnsi="Times New Roman"/>
                <w:szCs w:val="24"/>
                <w:lang w:val="en-GB"/>
              </w:rPr>
              <w:t>16 h light : 8 h dark (</w:t>
            </w:r>
            <w:r w:rsidRPr="00451016">
              <w:rPr>
                <w:rFonts w:ascii="Times New Roman" w:hAnsi="Times New Roman"/>
                <w:szCs w:val="24"/>
                <w:lang w:val="en-GB"/>
              </w:rPr>
              <w:t xml:space="preserve">460 </w:t>
            </w:r>
            <w:r w:rsidRPr="00893382">
              <w:rPr>
                <w:rFonts w:ascii="Times New Roman" w:hAnsi="Times New Roman"/>
                <w:szCs w:val="24"/>
                <w:lang w:val="en-GB"/>
              </w:rPr>
              <w:t>lux)</w:t>
            </w:r>
          </w:p>
        </w:tc>
      </w:tr>
    </w:tbl>
    <w:p w14:paraId="5EFA1B8C" w14:textId="77777777" w:rsidR="00067435" w:rsidRPr="00893382" w:rsidRDefault="00067435" w:rsidP="00067435">
      <w:pPr>
        <w:numPr>
          <w:ilvl w:val="3"/>
          <w:numId w:val="0"/>
        </w:numPr>
        <w:tabs>
          <w:tab w:val="left" w:pos="0"/>
        </w:tabs>
        <w:ind w:left="360" w:hanging="360"/>
        <w:contextualSpacing/>
        <w:rPr>
          <w:b/>
          <w:bCs/>
          <w:szCs w:val="24"/>
          <w:lang w:val="en-GB"/>
        </w:rPr>
      </w:pPr>
    </w:p>
    <w:p w14:paraId="3BFFADE4" w14:textId="77777777" w:rsidR="00067435" w:rsidRPr="00893382" w:rsidRDefault="00067435" w:rsidP="00E05ECD">
      <w:pPr>
        <w:numPr>
          <w:ilvl w:val="0"/>
          <w:numId w:val="119"/>
        </w:numPr>
        <w:tabs>
          <w:tab w:val="left" w:pos="0"/>
        </w:tabs>
        <w:contextualSpacing/>
        <w:rPr>
          <w:b/>
          <w:bCs/>
          <w:szCs w:val="24"/>
          <w:lang w:val="en-GB"/>
        </w:rPr>
      </w:pPr>
      <w:r w:rsidRPr="00893382">
        <w:rPr>
          <w:b/>
          <w:bCs/>
          <w:szCs w:val="24"/>
          <w:lang w:val="en-GB"/>
        </w:rPr>
        <w:t xml:space="preserve">Test organism and treatment: </w:t>
      </w:r>
    </w:p>
    <w:p w14:paraId="5ABECA1C" w14:textId="77777777" w:rsidR="00067435" w:rsidRDefault="00067435" w:rsidP="00067435">
      <w:pPr>
        <w:tabs>
          <w:tab w:val="left" w:pos="720"/>
        </w:tabs>
        <w:jc w:val="both"/>
        <w:rPr>
          <w:szCs w:val="24"/>
          <w:lang w:val="en-GB"/>
        </w:rPr>
      </w:pPr>
      <w:r w:rsidRPr="001F218C">
        <w:rPr>
          <w:szCs w:val="24"/>
          <w:lang w:val="en-GB"/>
        </w:rPr>
        <w:t>The test comprised 6 treatment groups; 5 nominal test item concentrations of 100, 178, 316, 562 and 1000 mg test item/kg soil dry weight and an untreated control. 4 replicates were used for the test item treatments and 8 replicates were used for the control. Each replicate contained 10 collembola.</w:t>
      </w:r>
    </w:p>
    <w:p w14:paraId="645C7C8C" w14:textId="77777777" w:rsidR="00067435" w:rsidRPr="001F218C" w:rsidRDefault="00067435" w:rsidP="00067435">
      <w:pPr>
        <w:keepNext/>
        <w:keepLines/>
        <w:tabs>
          <w:tab w:val="left" w:pos="720"/>
        </w:tabs>
        <w:jc w:val="both"/>
        <w:rPr>
          <w:b/>
          <w:bCs/>
          <w:szCs w:val="24"/>
          <w:lang w:val="en-GB"/>
        </w:rPr>
      </w:pPr>
    </w:p>
    <w:p w14:paraId="4B22E1AC" w14:textId="77777777" w:rsidR="00067435" w:rsidRPr="00893382" w:rsidRDefault="00067435" w:rsidP="00067435">
      <w:pPr>
        <w:tabs>
          <w:tab w:val="left" w:pos="720"/>
        </w:tabs>
        <w:spacing w:after="240"/>
        <w:jc w:val="both"/>
        <w:rPr>
          <w:szCs w:val="24"/>
          <w:lang w:val="en-GB"/>
        </w:rPr>
      </w:pPr>
      <w:r w:rsidRPr="00893382">
        <w:rPr>
          <w:szCs w:val="24"/>
          <w:lang w:val="en-GB"/>
        </w:rPr>
        <w:t>Collembola of a uniform age were obtained by transferring egg clusters from the breeding containers to new containers with fresh breeding substrate 12 days prior to the test. After 72 hours, these egg clusters were removed from the containers and the juveniles that had hatched during the preceding 72 hours were fed with granulated dry yeast.</w:t>
      </w:r>
    </w:p>
    <w:p w14:paraId="14386305" w14:textId="77777777" w:rsidR="00067435" w:rsidRPr="00893382" w:rsidRDefault="00067435" w:rsidP="00067435">
      <w:pPr>
        <w:tabs>
          <w:tab w:val="left" w:pos="720"/>
        </w:tabs>
        <w:spacing w:after="240"/>
        <w:jc w:val="both"/>
        <w:rPr>
          <w:szCs w:val="24"/>
          <w:lang w:val="en-GB"/>
        </w:rPr>
      </w:pPr>
      <w:r w:rsidRPr="00893382">
        <w:rPr>
          <w:szCs w:val="24"/>
          <w:lang w:val="en-GB"/>
        </w:rPr>
        <w:t xml:space="preserve">After a further 9 days, the collembola were collected for use in the test. The test item was mixed into the soil prior to addition of the collembola. The collembola were then introduced to each test vessel using an </w:t>
      </w:r>
      <w:r w:rsidRPr="001F218C">
        <w:rPr>
          <w:szCs w:val="24"/>
          <w:lang w:val="en-GB"/>
        </w:rPr>
        <w:t>exhauster</w:t>
      </w:r>
      <w:r w:rsidRPr="00893382">
        <w:rPr>
          <w:szCs w:val="24"/>
          <w:lang w:val="en-GB"/>
        </w:rPr>
        <w:t xml:space="preserve">. The test vessels were placed in a random order and randomly re-positioned once per week. The test containers were tightly covered with a lid and briefly opened twice per week for aeration. </w:t>
      </w:r>
    </w:p>
    <w:p w14:paraId="523B80FF" w14:textId="77777777" w:rsidR="00067435" w:rsidRPr="00893382" w:rsidRDefault="00067435" w:rsidP="00E05ECD">
      <w:pPr>
        <w:numPr>
          <w:ilvl w:val="0"/>
          <w:numId w:val="119"/>
        </w:numPr>
        <w:tabs>
          <w:tab w:val="left" w:pos="0"/>
        </w:tabs>
        <w:contextualSpacing/>
        <w:rPr>
          <w:b/>
          <w:bCs/>
          <w:szCs w:val="24"/>
          <w:lang w:val="en-GB"/>
        </w:rPr>
      </w:pPr>
      <w:r w:rsidRPr="00893382">
        <w:rPr>
          <w:b/>
          <w:bCs/>
          <w:szCs w:val="24"/>
          <w:lang w:val="en-GB"/>
        </w:rPr>
        <w:t xml:space="preserve">Dose preparation: </w:t>
      </w:r>
    </w:p>
    <w:p w14:paraId="4FD089BB" w14:textId="77777777" w:rsidR="00067435" w:rsidRDefault="00067435" w:rsidP="00067435">
      <w:pPr>
        <w:tabs>
          <w:tab w:val="left" w:pos="0"/>
        </w:tabs>
        <w:contextualSpacing/>
        <w:jc w:val="both"/>
        <w:rPr>
          <w:szCs w:val="24"/>
          <w:lang w:val="en-GB"/>
        </w:rPr>
      </w:pPr>
      <w:r w:rsidRPr="001F218C">
        <w:rPr>
          <w:szCs w:val="24"/>
          <w:lang w:val="en-GB"/>
        </w:rPr>
        <w:t>An exactly weighed amount of the test item was dissolved in deionised water to make a stock solution,</w:t>
      </w:r>
      <w:r>
        <w:rPr>
          <w:szCs w:val="24"/>
          <w:lang w:val="en-GB"/>
        </w:rPr>
        <w:t xml:space="preserve"> </w:t>
      </w:r>
      <w:r w:rsidRPr="001F218C">
        <w:rPr>
          <w:szCs w:val="24"/>
          <w:lang w:val="en-GB"/>
        </w:rPr>
        <w:t>without addition of solubility mediators, immediately before application. This stock solution was diluted with</w:t>
      </w:r>
      <w:r>
        <w:rPr>
          <w:szCs w:val="24"/>
          <w:lang w:val="en-GB"/>
        </w:rPr>
        <w:t xml:space="preserve"> </w:t>
      </w:r>
      <w:r w:rsidRPr="001F218C">
        <w:rPr>
          <w:szCs w:val="24"/>
          <w:lang w:val="en-GB"/>
        </w:rPr>
        <w:t>deionised water such that each solution contained the amount of test item in 25 mL required to dose</w:t>
      </w:r>
      <w:r>
        <w:rPr>
          <w:szCs w:val="24"/>
          <w:lang w:val="en-GB"/>
        </w:rPr>
        <w:t xml:space="preserve"> </w:t>
      </w:r>
      <w:r w:rsidRPr="001F218C">
        <w:rPr>
          <w:szCs w:val="24"/>
          <w:lang w:val="en-GB"/>
        </w:rPr>
        <w:t>250 g dry weight equivalent of artificial soil. Each test item solution (25 mL) was thoroughly mixed with</w:t>
      </w:r>
      <w:r>
        <w:rPr>
          <w:szCs w:val="24"/>
          <w:lang w:val="en-GB"/>
        </w:rPr>
        <w:t xml:space="preserve"> </w:t>
      </w:r>
      <w:r w:rsidRPr="001F218C">
        <w:rPr>
          <w:szCs w:val="24"/>
          <w:lang w:val="en-GB"/>
        </w:rPr>
        <w:t>the artificial soil using a laboratory mixer, achieving a final nominal water content of 40-60 % of WHC</w:t>
      </w:r>
      <w:r>
        <w:rPr>
          <w:szCs w:val="24"/>
          <w:lang w:val="en-GB"/>
        </w:rPr>
        <w:t>.</w:t>
      </w:r>
    </w:p>
    <w:p w14:paraId="0E40B5A3" w14:textId="77777777" w:rsidR="00067435" w:rsidRDefault="00067435" w:rsidP="00067435">
      <w:pPr>
        <w:tabs>
          <w:tab w:val="left" w:pos="0"/>
        </w:tabs>
        <w:ind w:left="360"/>
        <w:contextualSpacing/>
        <w:rPr>
          <w:szCs w:val="24"/>
          <w:lang w:val="en-GB"/>
        </w:rPr>
      </w:pPr>
    </w:p>
    <w:p w14:paraId="6384D480" w14:textId="77777777" w:rsidR="00067435" w:rsidRPr="00CE3579" w:rsidRDefault="00067435" w:rsidP="00E05ECD">
      <w:pPr>
        <w:pStyle w:val="Akapitzlist"/>
        <w:numPr>
          <w:ilvl w:val="0"/>
          <w:numId w:val="119"/>
        </w:numPr>
        <w:tabs>
          <w:tab w:val="left" w:pos="0"/>
        </w:tabs>
        <w:contextualSpacing/>
        <w:rPr>
          <w:szCs w:val="24"/>
          <w:lang w:val="en-GB"/>
        </w:rPr>
      </w:pPr>
      <w:r w:rsidRPr="00CE3579">
        <w:rPr>
          <w:b/>
          <w:bCs/>
          <w:szCs w:val="24"/>
          <w:lang w:val="en-GB"/>
        </w:rPr>
        <w:t xml:space="preserve">Measurements and observations: </w:t>
      </w:r>
    </w:p>
    <w:p w14:paraId="79D92BBB" w14:textId="77777777" w:rsidR="00067435" w:rsidRPr="00893382" w:rsidRDefault="00067435" w:rsidP="00067435">
      <w:pPr>
        <w:tabs>
          <w:tab w:val="left" w:pos="720"/>
        </w:tabs>
        <w:spacing w:after="240"/>
        <w:jc w:val="both"/>
        <w:rPr>
          <w:szCs w:val="24"/>
          <w:lang w:val="en-GB"/>
        </w:rPr>
      </w:pPr>
      <w:r w:rsidRPr="00893382">
        <w:rPr>
          <w:szCs w:val="24"/>
          <w:lang w:val="en-GB"/>
        </w:rPr>
        <w:t xml:space="preserve">After 4 weeks, the parental and juvenile collembolans in the test and control vessels were counted. Observations of any physiological or pathological symptoms or distinct changes in behaviour were also recorded. </w:t>
      </w:r>
    </w:p>
    <w:p w14:paraId="1B6FA118" w14:textId="77777777" w:rsidR="00067435" w:rsidRPr="00893382" w:rsidRDefault="00067435" w:rsidP="00067435">
      <w:pPr>
        <w:tabs>
          <w:tab w:val="left" w:pos="720"/>
        </w:tabs>
        <w:spacing w:after="240"/>
        <w:jc w:val="both"/>
        <w:rPr>
          <w:szCs w:val="24"/>
          <w:lang w:val="en-GB"/>
        </w:rPr>
      </w:pPr>
      <w:r w:rsidRPr="00893382">
        <w:rPr>
          <w:szCs w:val="24"/>
          <w:lang w:val="en-GB"/>
        </w:rPr>
        <w:t xml:space="preserve">The test substrate of each replicate was poured into an individual container (approx. </w:t>
      </w:r>
      <w:r w:rsidRPr="001F218C">
        <w:rPr>
          <w:szCs w:val="24"/>
          <w:lang w:val="en-GB"/>
        </w:rPr>
        <w:t xml:space="preserve">150 - </w:t>
      </w:r>
      <w:r w:rsidRPr="00893382">
        <w:rPr>
          <w:szCs w:val="24"/>
          <w:lang w:val="en-GB"/>
        </w:rPr>
        <w:t xml:space="preserve">200 mL volume) and the test organisms were floated off the substrate with the addition of water. After gentle stirring, the </w:t>
      </w:r>
      <w:r w:rsidRPr="00893382">
        <w:rPr>
          <w:szCs w:val="24"/>
          <w:lang w:val="en-GB"/>
        </w:rPr>
        <w:lastRenderedPageBreak/>
        <w:t>number of parental and juvenile collembolans floating on the surface was determined. Missing parental collembolans were assumed dead. Surviving adults and juveniles were counted using an automated counting technique based on a video camera connected to a digital image storage and analysis system (LemnaTec Scanalyzer).</w:t>
      </w:r>
    </w:p>
    <w:p w14:paraId="2483C872" w14:textId="77777777" w:rsidR="00067435" w:rsidRPr="00893382" w:rsidRDefault="00067435" w:rsidP="00067435">
      <w:pPr>
        <w:tabs>
          <w:tab w:val="left" w:pos="720"/>
        </w:tabs>
        <w:spacing w:after="240"/>
        <w:jc w:val="both"/>
        <w:rPr>
          <w:szCs w:val="24"/>
          <w:lang w:val="en-GB"/>
        </w:rPr>
      </w:pPr>
      <w:r w:rsidRPr="00893382">
        <w:rPr>
          <w:szCs w:val="24"/>
          <w:lang w:val="en-GB"/>
        </w:rPr>
        <w:t xml:space="preserve">The pH and water content of the test substrate were determined at the start and end of the test. </w:t>
      </w:r>
    </w:p>
    <w:p w14:paraId="6EAD9620" w14:textId="77777777" w:rsidR="00067435" w:rsidRPr="00CE3579" w:rsidRDefault="00067435" w:rsidP="00E05ECD">
      <w:pPr>
        <w:pStyle w:val="Akapitzlist"/>
        <w:numPr>
          <w:ilvl w:val="0"/>
          <w:numId w:val="119"/>
        </w:numPr>
        <w:tabs>
          <w:tab w:val="left" w:pos="0"/>
        </w:tabs>
        <w:contextualSpacing/>
        <w:rPr>
          <w:b/>
          <w:bCs/>
          <w:szCs w:val="24"/>
          <w:lang w:val="en-GB"/>
        </w:rPr>
      </w:pPr>
      <w:r w:rsidRPr="00CE3579">
        <w:rPr>
          <w:b/>
          <w:bCs/>
          <w:szCs w:val="24"/>
          <w:lang w:val="en-GB"/>
        </w:rPr>
        <w:t xml:space="preserve">Statistical analysis: </w:t>
      </w:r>
    </w:p>
    <w:p w14:paraId="14654C3A" w14:textId="77777777" w:rsidR="00067435" w:rsidRPr="00893382" w:rsidRDefault="00067435" w:rsidP="00067435">
      <w:pPr>
        <w:tabs>
          <w:tab w:val="left" w:pos="720"/>
        </w:tabs>
        <w:jc w:val="both"/>
        <w:rPr>
          <w:szCs w:val="24"/>
          <w:lang w:val="en-GB"/>
        </w:rPr>
      </w:pPr>
      <w:r w:rsidRPr="00893382">
        <w:rPr>
          <w:szCs w:val="24"/>
          <w:lang w:val="en-GB"/>
        </w:rPr>
        <w:t xml:space="preserve">The statistical analysis was performed with the software ToxRat Professional </w:t>
      </w:r>
      <w:r w:rsidRPr="001F218C">
        <w:rPr>
          <w:szCs w:val="24"/>
          <w:lang w:val="en-GB"/>
        </w:rPr>
        <w:t>2.10.06 (Ratte 2010)</w:t>
      </w:r>
      <w:r w:rsidRPr="00893382">
        <w:rPr>
          <w:szCs w:val="24"/>
          <w:lang w:val="en-GB"/>
        </w:rPr>
        <w:t xml:space="preserve">. </w:t>
      </w:r>
      <w:r w:rsidRPr="001F218C">
        <w:rPr>
          <w:szCs w:val="24"/>
          <w:lang w:val="en-GB"/>
        </w:rPr>
        <w:t>Fisher’s Exact Binomial Test and Williams-t-test were used to compare the control with the independent</w:t>
      </w:r>
      <w:r>
        <w:rPr>
          <w:szCs w:val="24"/>
          <w:lang w:val="en-GB"/>
        </w:rPr>
        <w:t xml:space="preserve"> </w:t>
      </w:r>
      <w:r w:rsidRPr="001F218C">
        <w:rPr>
          <w:szCs w:val="24"/>
          <w:lang w:val="en-GB"/>
        </w:rPr>
        <w:t>test item group</w:t>
      </w:r>
    </w:p>
    <w:p w14:paraId="0D2A17A1" w14:textId="77777777" w:rsidR="00067435" w:rsidRPr="00893382" w:rsidRDefault="00067435" w:rsidP="00067435">
      <w:pPr>
        <w:tabs>
          <w:tab w:val="left" w:pos="720"/>
        </w:tabs>
        <w:jc w:val="both"/>
        <w:rPr>
          <w:szCs w:val="24"/>
          <w:lang w:val="en-GB"/>
        </w:rPr>
      </w:pPr>
    </w:p>
    <w:p w14:paraId="22D924B3" w14:textId="77777777" w:rsidR="00067435" w:rsidRPr="00893382" w:rsidRDefault="00067435" w:rsidP="00067435">
      <w:pPr>
        <w:tabs>
          <w:tab w:val="left" w:pos="720"/>
        </w:tabs>
        <w:spacing w:after="240"/>
        <w:ind w:left="720" w:hanging="431"/>
        <w:contextualSpacing/>
        <w:jc w:val="center"/>
        <w:rPr>
          <w:b/>
          <w:bCs/>
          <w:caps/>
          <w:szCs w:val="24"/>
          <w:lang w:val="en-GB"/>
        </w:rPr>
      </w:pPr>
      <w:r w:rsidRPr="00893382">
        <w:rPr>
          <w:b/>
          <w:bCs/>
          <w:caps/>
          <w:szCs w:val="24"/>
          <w:lang w:val="en-GB"/>
        </w:rPr>
        <w:t>II.</w:t>
      </w:r>
      <w:r w:rsidRPr="00893382">
        <w:rPr>
          <w:b/>
          <w:bCs/>
          <w:caps/>
          <w:szCs w:val="24"/>
          <w:lang w:val="en-GB"/>
        </w:rPr>
        <w:tab/>
        <w:t>Results and Discussion</w:t>
      </w:r>
    </w:p>
    <w:p w14:paraId="7F61BD1E" w14:textId="77777777" w:rsidR="00067435" w:rsidRPr="004D707A" w:rsidRDefault="00067435" w:rsidP="00067435">
      <w:pPr>
        <w:tabs>
          <w:tab w:val="left" w:pos="0"/>
        </w:tabs>
        <w:ind w:left="357" w:hanging="357"/>
        <w:contextualSpacing/>
        <w:rPr>
          <w:b/>
          <w:bCs/>
          <w:caps/>
          <w:szCs w:val="24"/>
          <w:lang w:val="en-GB"/>
        </w:rPr>
      </w:pPr>
      <w:r w:rsidRPr="00893382">
        <w:rPr>
          <w:b/>
          <w:bCs/>
          <w:caps/>
          <w:szCs w:val="24"/>
          <w:lang w:val="en-GB"/>
        </w:rPr>
        <w:t>C.</w:t>
      </w:r>
      <w:r w:rsidRPr="00893382">
        <w:rPr>
          <w:b/>
          <w:bCs/>
          <w:caps/>
          <w:szCs w:val="24"/>
          <w:lang w:val="en-GB"/>
        </w:rPr>
        <w:tab/>
        <w:t>BIOLOGICAL EFFECTS</w:t>
      </w:r>
    </w:p>
    <w:p w14:paraId="63A11CC9" w14:textId="77777777" w:rsidR="00067435" w:rsidRPr="004D707A" w:rsidRDefault="00067435" w:rsidP="00067435">
      <w:pPr>
        <w:tabs>
          <w:tab w:val="left" w:pos="0"/>
        </w:tabs>
        <w:ind w:left="357" w:hanging="357"/>
        <w:contextualSpacing/>
        <w:rPr>
          <w:b/>
          <w:bCs/>
          <w:caps/>
          <w:szCs w:val="24"/>
          <w:lang w:val="en-GB"/>
        </w:rPr>
      </w:pPr>
    </w:p>
    <w:p w14:paraId="36DA32A5" w14:textId="7690D226" w:rsidR="0059415D" w:rsidRDefault="00067435" w:rsidP="00067435">
      <w:pPr>
        <w:tabs>
          <w:tab w:val="left" w:pos="0"/>
          <w:tab w:val="left" w:pos="93"/>
        </w:tabs>
        <w:contextualSpacing/>
        <w:jc w:val="both"/>
        <w:rPr>
          <w:szCs w:val="24"/>
          <w:lang w:val="en-GB"/>
        </w:rPr>
      </w:pPr>
      <w:r w:rsidRPr="004D707A">
        <w:rPr>
          <w:szCs w:val="24"/>
          <w:lang w:val="en-GB"/>
        </w:rPr>
        <w:t xml:space="preserve">Mortality rates of 0 % - 2.5 % were recorded in the test item treatment groups. 2.5 % parental mortality was </w:t>
      </w:r>
      <w:r w:rsidRPr="00F25D10">
        <w:rPr>
          <w:szCs w:val="24"/>
          <w:lang w:val="en-GB"/>
        </w:rPr>
        <w:t>observed in the control. No statistically significant effect (Fisher`s Exact Binomial Test, α = 0.05, one-sided greater) on parental mortality was found for any concentration tested. Mortality rates are summarised in Table A 73. No effects on behaviour of the collembolans were observed during the test. The NOEC for the mortality of parental collembolans was determined to be ≥ 1000 mg test item/kg soil d.w.</w:t>
      </w:r>
    </w:p>
    <w:p w14:paraId="5DE6B3E9" w14:textId="77777777" w:rsidR="00067435" w:rsidRPr="00F25D10" w:rsidRDefault="00067435" w:rsidP="00067435">
      <w:pPr>
        <w:tabs>
          <w:tab w:val="left" w:pos="0"/>
          <w:tab w:val="left" w:pos="93"/>
        </w:tabs>
        <w:contextualSpacing/>
        <w:jc w:val="both"/>
        <w:rPr>
          <w:szCs w:val="24"/>
          <w:lang w:val="en-GB"/>
        </w:rPr>
      </w:pPr>
    </w:p>
    <w:p w14:paraId="6BD5C5CC" w14:textId="7EADC108" w:rsidR="00067435" w:rsidRPr="00893382" w:rsidRDefault="00067435" w:rsidP="00067435">
      <w:pPr>
        <w:tabs>
          <w:tab w:val="left" w:pos="0"/>
          <w:tab w:val="left" w:pos="93"/>
        </w:tabs>
        <w:contextualSpacing/>
        <w:jc w:val="both"/>
        <w:rPr>
          <w:szCs w:val="24"/>
          <w:highlight w:val="yellow"/>
          <w:lang w:val="en-GB"/>
        </w:rPr>
      </w:pPr>
      <w:r w:rsidRPr="00F25D10">
        <w:rPr>
          <w:szCs w:val="24"/>
          <w:lang w:val="en-GB"/>
        </w:rPr>
        <w:t>The mean number of juveni</w:t>
      </w:r>
      <w:r w:rsidRPr="004D707A">
        <w:rPr>
          <w:szCs w:val="24"/>
          <w:lang w:val="en-GB"/>
        </w:rPr>
        <w:t xml:space="preserve">le collembolans counted four weeks after introduction of the parental collembolans into the test vessels was 497 in the control and 520, 500, 507, 488 and </w:t>
      </w:r>
      <w:r w:rsidRPr="00F25D10">
        <w:rPr>
          <w:szCs w:val="24"/>
          <w:lang w:val="en-GB"/>
        </w:rPr>
        <w:t xml:space="preserve">517 at concentrations of 100, 178, 316, 562 and 1000 mg test item/kg soil d.w., respectively. The mean number of juveniles counted 28 days after introduction of the parental collembolans are presented in </w:t>
      </w:r>
      <w:r w:rsidR="00873F80">
        <w:rPr>
          <w:szCs w:val="24"/>
          <w:lang w:val="en-GB"/>
        </w:rPr>
        <w:fldChar w:fldCharType="begin"/>
      </w:r>
      <w:r w:rsidR="00873F80">
        <w:rPr>
          <w:szCs w:val="24"/>
          <w:lang w:val="en-GB"/>
        </w:rPr>
        <w:instrText xml:space="preserve"> REF _Ref147912682 \h </w:instrText>
      </w:r>
      <w:r w:rsidR="00873F80">
        <w:rPr>
          <w:szCs w:val="24"/>
          <w:lang w:val="en-GB"/>
        </w:rPr>
      </w:r>
      <w:r w:rsidR="00873F80">
        <w:rPr>
          <w:szCs w:val="24"/>
          <w:lang w:val="en-GB"/>
        </w:rPr>
        <w:fldChar w:fldCharType="separate"/>
      </w:r>
      <w:r w:rsidR="006F0F3B">
        <w:t xml:space="preserve">Table A </w:t>
      </w:r>
      <w:r w:rsidR="006F0F3B">
        <w:rPr>
          <w:noProof/>
        </w:rPr>
        <w:t>88</w:t>
      </w:r>
      <w:r w:rsidR="00873F80">
        <w:rPr>
          <w:szCs w:val="24"/>
          <w:lang w:val="en-GB"/>
        </w:rPr>
        <w:fldChar w:fldCharType="end"/>
      </w:r>
      <w:r w:rsidR="00873F80">
        <w:rPr>
          <w:szCs w:val="24"/>
          <w:lang w:val="en-GB"/>
        </w:rPr>
        <w:t xml:space="preserve"> </w:t>
      </w:r>
      <w:r w:rsidRPr="00F25D10">
        <w:rPr>
          <w:szCs w:val="24"/>
          <w:lang w:val="en-GB"/>
        </w:rPr>
        <w:t>No statistically significant effects (Williams-t-test, α = 0.05, one-sided smaller) on the number of juven</w:t>
      </w:r>
      <w:r w:rsidRPr="004D707A">
        <w:rPr>
          <w:szCs w:val="24"/>
          <w:lang w:val="en-GB"/>
        </w:rPr>
        <w:t>iles were found for any concentration tested. The no-observed-effect-concentration (NOEC) for reproduction was determined to be ≥ 1000 mg test item/kg soil d.w.</w:t>
      </w:r>
    </w:p>
    <w:p w14:paraId="0312057F" w14:textId="77777777" w:rsidR="00067435" w:rsidRDefault="00067435" w:rsidP="00067435">
      <w:pPr>
        <w:tabs>
          <w:tab w:val="left" w:pos="720"/>
        </w:tabs>
        <w:ind w:left="1928" w:hanging="1928"/>
        <w:jc w:val="both"/>
        <w:rPr>
          <w:szCs w:val="24"/>
          <w:highlight w:val="yellow"/>
          <w:lang w:val="en-GB"/>
        </w:rPr>
      </w:pPr>
    </w:p>
    <w:p w14:paraId="65697947" w14:textId="573CDF16" w:rsidR="00067435" w:rsidRPr="00893382" w:rsidRDefault="0059415D" w:rsidP="0059415D">
      <w:pPr>
        <w:pStyle w:val="Legenda"/>
        <w:rPr>
          <w:b w:val="0"/>
          <w:bCs w:val="0"/>
          <w:szCs w:val="24"/>
          <w:highlight w:val="yellow"/>
        </w:rPr>
      </w:pPr>
      <w:bookmarkStart w:id="1177" w:name="_Ref147912682"/>
      <w:r>
        <w:t xml:space="preserve">Table A </w:t>
      </w:r>
      <w:r>
        <w:fldChar w:fldCharType="begin"/>
      </w:r>
      <w:r>
        <w:instrText xml:space="preserve"> SEQ Table_A \* ARABIC </w:instrText>
      </w:r>
      <w:r>
        <w:fldChar w:fldCharType="separate"/>
      </w:r>
      <w:r w:rsidR="006F0F3B">
        <w:rPr>
          <w:noProof/>
        </w:rPr>
        <w:t>88</w:t>
      </w:r>
      <w:r>
        <w:fldChar w:fldCharType="end"/>
      </w:r>
      <w:bookmarkEnd w:id="1177"/>
      <w:r>
        <w:t>:</w:t>
      </w:r>
      <w:r w:rsidR="00067435">
        <w:tab/>
      </w:r>
      <w:r w:rsidR="00067435" w:rsidRPr="00893382">
        <w:rPr>
          <w:szCs w:val="24"/>
        </w:rPr>
        <w:t xml:space="preserve"> Summary of effects on mortality and reproduction of the collembolan </w:t>
      </w:r>
      <w:r w:rsidR="00067435" w:rsidRPr="00893382">
        <w:rPr>
          <w:i/>
          <w:iCs/>
          <w:szCs w:val="24"/>
        </w:rPr>
        <w:t xml:space="preserve">Folsomia candida </w:t>
      </w:r>
      <w:r w:rsidR="00067435" w:rsidRPr="00893382">
        <w:rPr>
          <w:szCs w:val="24"/>
        </w:rPr>
        <w:t xml:space="preserve">following 28 days exposure to </w:t>
      </w:r>
      <w:r w:rsidR="00067435" w:rsidRPr="004D707A">
        <w:rPr>
          <w:szCs w:val="24"/>
        </w:rPr>
        <w:t xml:space="preserve">Propamocarb hydrochloride SL 722 G </w:t>
      </w:r>
      <w:r w:rsidR="00067435" w:rsidRPr="00893382">
        <w:rPr>
          <w:szCs w:val="24"/>
        </w:rPr>
        <w:t>in soil</w:t>
      </w:r>
    </w:p>
    <w:tbl>
      <w:tblPr>
        <w:tblStyle w:val="TableGrid8"/>
        <w:tblW w:w="5000" w:type="pct"/>
        <w:tblLook w:val="04A0" w:firstRow="1" w:lastRow="0" w:firstColumn="1" w:lastColumn="0" w:noHBand="0" w:noVBand="1"/>
      </w:tblPr>
      <w:tblGrid>
        <w:gridCol w:w="3271"/>
        <w:gridCol w:w="1357"/>
        <w:gridCol w:w="944"/>
        <w:gridCol w:w="944"/>
        <w:gridCol w:w="944"/>
        <w:gridCol w:w="944"/>
        <w:gridCol w:w="940"/>
      </w:tblGrid>
      <w:tr w:rsidR="00067435" w:rsidRPr="00F25D10" w14:paraId="390846A7" w14:textId="77777777" w:rsidTr="00026175">
        <w:trPr>
          <w:trHeight w:hRule="exact" w:val="340"/>
        </w:trPr>
        <w:tc>
          <w:tcPr>
            <w:tcW w:w="1751" w:type="pct"/>
            <w:vMerge w:val="restart"/>
            <w:vAlign w:val="center"/>
          </w:tcPr>
          <w:p w14:paraId="1A5E9614"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p>
        </w:tc>
        <w:tc>
          <w:tcPr>
            <w:tcW w:w="3249" w:type="pct"/>
            <w:gridSpan w:val="6"/>
            <w:vAlign w:val="center"/>
          </w:tcPr>
          <w:p w14:paraId="39B03C5B"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 xml:space="preserve">Propamocarb hydrochloride SL 722 G </w:t>
            </w:r>
            <w:r w:rsidRPr="00893382">
              <w:rPr>
                <w:rFonts w:ascii="Times New Roman" w:hAnsi="Times New Roman"/>
                <w:b/>
                <w:bCs/>
                <w:sz w:val="20"/>
                <w:szCs w:val="20"/>
                <w:lang w:val="en-GB"/>
              </w:rPr>
              <w:t>(mg test item/kg soil dw)</w:t>
            </w:r>
          </w:p>
        </w:tc>
      </w:tr>
      <w:tr w:rsidR="00067435" w:rsidRPr="00893382" w14:paraId="20D5BF24" w14:textId="77777777" w:rsidTr="00026175">
        <w:trPr>
          <w:trHeight w:hRule="exact" w:val="340"/>
        </w:trPr>
        <w:tc>
          <w:tcPr>
            <w:tcW w:w="1751" w:type="pct"/>
            <w:vMerge/>
            <w:vAlign w:val="center"/>
          </w:tcPr>
          <w:p w14:paraId="0D8B351C"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p>
        </w:tc>
        <w:tc>
          <w:tcPr>
            <w:tcW w:w="726" w:type="pct"/>
            <w:vAlign w:val="center"/>
          </w:tcPr>
          <w:p w14:paraId="30812EBE"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893382">
              <w:rPr>
                <w:rFonts w:ascii="Times New Roman" w:hAnsi="Times New Roman"/>
                <w:b/>
                <w:bCs/>
                <w:sz w:val="20"/>
                <w:szCs w:val="20"/>
                <w:lang w:val="en-GB"/>
              </w:rPr>
              <w:t>Control</w:t>
            </w:r>
          </w:p>
        </w:tc>
        <w:tc>
          <w:tcPr>
            <w:tcW w:w="505" w:type="pct"/>
            <w:vAlign w:val="center"/>
          </w:tcPr>
          <w:p w14:paraId="66EAF202"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100</w:t>
            </w:r>
          </w:p>
        </w:tc>
        <w:tc>
          <w:tcPr>
            <w:tcW w:w="505" w:type="pct"/>
            <w:vAlign w:val="center"/>
          </w:tcPr>
          <w:p w14:paraId="5E531F66"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178</w:t>
            </w:r>
          </w:p>
        </w:tc>
        <w:tc>
          <w:tcPr>
            <w:tcW w:w="505" w:type="pct"/>
            <w:vAlign w:val="center"/>
          </w:tcPr>
          <w:p w14:paraId="35E882BE"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316</w:t>
            </w:r>
          </w:p>
        </w:tc>
        <w:tc>
          <w:tcPr>
            <w:tcW w:w="505" w:type="pct"/>
            <w:vAlign w:val="center"/>
          </w:tcPr>
          <w:p w14:paraId="33EC8213"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562</w:t>
            </w:r>
          </w:p>
        </w:tc>
        <w:tc>
          <w:tcPr>
            <w:tcW w:w="504" w:type="pct"/>
            <w:vAlign w:val="center"/>
          </w:tcPr>
          <w:p w14:paraId="1346DE95"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4D707A">
              <w:rPr>
                <w:rFonts w:ascii="Times New Roman" w:hAnsi="Times New Roman"/>
                <w:b/>
                <w:bCs/>
                <w:sz w:val="20"/>
                <w:szCs w:val="20"/>
                <w:lang w:val="en-GB"/>
              </w:rPr>
              <w:t>1000</w:t>
            </w:r>
          </w:p>
        </w:tc>
      </w:tr>
      <w:tr w:rsidR="00067435" w:rsidRPr="00893382" w14:paraId="43B4C799" w14:textId="77777777" w:rsidTr="00026175">
        <w:trPr>
          <w:trHeight w:hRule="exact" w:val="567"/>
        </w:trPr>
        <w:tc>
          <w:tcPr>
            <w:tcW w:w="1751" w:type="pct"/>
            <w:vAlign w:val="center"/>
          </w:tcPr>
          <w:p w14:paraId="431286B8"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Mortality (%)</w:t>
            </w:r>
            <w:r w:rsidRPr="00893382">
              <w:rPr>
                <w:rFonts w:ascii="Times New Roman" w:hAnsi="Times New Roman"/>
                <w:sz w:val="20"/>
                <w:szCs w:val="20"/>
                <w:lang w:val="en-GB"/>
              </w:rPr>
              <w:br/>
              <w:t>day 28</w:t>
            </w:r>
          </w:p>
        </w:tc>
        <w:tc>
          <w:tcPr>
            <w:tcW w:w="726" w:type="pct"/>
            <w:vAlign w:val="center"/>
          </w:tcPr>
          <w:p w14:paraId="38C714FD"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2.5</w:t>
            </w:r>
          </w:p>
        </w:tc>
        <w:tc>
          <w:tcPr>
            <w:tcW w:w="505" w:type="pct"/>
            <w:vAlign w:val="center"/>
          </w:tcPr>
          <w:p w14:paraId="487D0713"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2.5</w:t>
            </w:r>
          </w:p>
        </w:tc>
        <w:tc>
          <w:tcPr>
            <w:tcW w:w="505" w:type="pct"/>
            <w:vAlign w:val="center"/>
          </w:tcPr>
          <w:p w14:paraId="7F854395"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0.0</w:t>
            </w:r>
          </w:p>
        </w:tc>
        <w:tc>
          <w:tcPr>
            <w:tcW w:w="505" w:type="pct"/>
            <w:vAlign w:val="center"/>
          </w:tcPr>
          <w:p w14:paraId="367EA99C"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2.5</w:t>
            </w:r>
          </w:p>
        </w:tc>
        <w:tc>
          <w:tcPr>
            <w:tcW w:w="505" w:type="pct"/>
            <w:vAlign w:val="center"/>
          </w:tcPr>
          <w:p w14:paraId="343D9087"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2.5</w:t>
            </w:r>
          </w:p>
        </w:tc>
        <w:tc>
          <w:tcPr>
            <w:tcW w:w="504" w:type="pct"/>
            <w:vAlign w:val="center"/>
          </w:tcPr>
          <w:p w14:paraId="38DE5021"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2.5</w:t>
            </w:r>
          </w:p>
        </w:tc>
      </w:tr>
      <w:tr w:rsidR="00067435" w:rsidRPr="00893382" w14:paraId="02FD8758" w14:textId="77777777" w:rsidTr="00026175">
        <w:trPr>
          <w:trHeight w:hRule="exact" w:val="567"/>
        </w:trPr>
        <w:tc>
          <w:tcPr>
            <w:tcW w:w="1751" w:type="pct"/>
            <w:vAlign w:val="center"/>
          </w:tcPr>
          <w:p w14:paraId="095A089C"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Mean number of juveniles (day 28)</w:t>
            </w:r>
          </w:p>
        </w:tc>
        <w:tc>
          <w:tcPr>
            <w:tcW w:w="726" w:type="pct"/>
            <w:vAlign w:val="center"/>
          </w:tcPr>
          <w:p w14:paraId="5E08FBD9"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497</w:t>
            </w:r>
          </w:p>
        </w:tc>
        <w:tc>
          <w:tcPr>
            <w:tcW w:w="505" w:type="pct"/>
            <w:vAlign w:val="center"/>
          </w:tcPr>
          <w:p w14:paraId="19B28FFF"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520</w:t>
            </w:r>
          </w:p>
        </w:tc>
        <w:tc>
          <w:tcPr>
            <w:tcW w:w="505" w:type="pct"/>
            <w:vAlign w:val="center"/>
          </w:tcPr>
          <w:p w14:paraId="724AED25"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500</w:t>
            </w:r>
          </w:p>
        </w:tc>
        <w:tc>
          <w:tcPr>
            <w:tcW w:w="505" w:type="pct"/>
            <w:vAlign w:val="center"/>
          </w:tcPr>
          <w:p w14:paraId="3F789788"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507</w:t>
            </w:r>
          </w:p>
        </w:tc>
        <w:tc>
          <w:tcPr>
            <w:tcW w:w="505" w:type="pct"/>
            <w:vAlign w:val="center"/>
          </w:tcPr>
          <w:p w14:paraId="105A1640"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488</w:t>
            </w:r>
          </w:p>
        </w:tc>
        <w:tc>
          <w:tcPr>
            <w:tcW w:w="504" w:type="pct"/>
            <w:vAlign w:val="center"/>
          </w:tcPr>
          <w:p w14:paraId="6B14408E"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517</w:t>
            </w:r>
          </w:p>
        </w:tc>
      </w:tr>
      <w:tr w:rsidR="00067435" w:rsidRPr="00893382" w14:paraId="70D100BF" w14:textId="77777777" w:rsidTr="00026175">
        <w:trPr>
          <w:trHeight w:hRule="exact" w:val="567"/>
        </w:trPr>
        <w:tc>
          <w:tcPr>
            <w:tcW w:w="1751" w:type="pct"/>
            <w:vAlign w:val="center"/>
          </w:tcPr>
          <w:p w14:paraId="533DE2E8"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Reproduction in (%) of control</w:t>
            </w:r>
          </w:p>
        </w:tc>
        <w:tc>
          <w:tcPr>
            <w:tcW w:w="726" w:type="pct"/>
            <w:vAlign w:val="center"/>
          </w:tcPr>
          <w:p w14:paraId="0836B102"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100</w:t>
            </w:r>
          </w:p>
        </w:tc>
        <w:tc>
          <w:tcPr>
            <w:tcW w:w="505" w:type="pct"/>
            <w:vAlign w:val="center"/>
          </w:tcPr>
          <w:p w14:paraId="35315239"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10</w:t>
            </w:r>
            <w:r w:rsidRPr="004D707A">
              <w:rPr>
                <w:rFonts w:ascii="Times New Roman" w:hAnsi="Times New Roman"/>
                <w:sz w:val="20"/>
                <w:szCs w:val="20"/>
                <w:lang w:val="en-GB"/>
              </w:rPr>
              <w:t>5</w:t>
            </w:r>
          </w:p>
        </w:tc>
        <w:tc>
          <w:tcPr>
            <w:tcW w:w="505" w:type="pct"/>
            <w:vAlign w:val="center"/>
          </w:tcPr>
          <w:p w14:paraId="402C2CE6"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10</w:t>
            </w:r>
            <w:r w:rsidRPr="004D707A">
              <w:rPr>
                <w:rFonts w:ascii="Times New Roman" w:hAnsi="Times New Roman"/>
                <w:sz w:val="20"/>
                <w:szCs w:val="20"/>
                <w:lang w:val="en-GB"/>
              </w:rPr>
              <w:t>1</w:t>
            </w:r>
          </w:p>
        </w:tc>
        <w:tc>
          <w:tcPr>
            <w:tcW w:w="505" w:type="pct"/>
            <w:vAlign w:val="center"/>
          </w:tcPr>
          <w:p w14:paraId="79C34560"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102</w:t>
            </w:r>
          </w:p>
        </w:tc>
        <w:tc>
          <w:tcPr>
            <w:tcW w:w="505" w:type="pct"/>
            <w:vAlign w:val="center"/>
          </w:tcPr>
          <w:p w14:paraId="53495B33"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4D707A">
              <w:rPr>
                <w:rFonts w:ascii="Times New Roman" w:hAnsi="Times New Roman"/>
                <w:sz w:val="20"/>
                <w:szCs w:val="20"/>
                <w:lang w:val="en-GB"/>
              </w:rPr>
              <w:t>98</w:t>
            </w:r>
          </w:p>
        </w:tc>
        <w:tc>
          <w:tcPr>
            <w:tcW w:w="504" w:type="pct"/>
            <w:vAlign w:val="center"/>
          </w:tcPr>
          <w:p w14:paraId="403C9FF3"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10</w:t>
            </w:r>
            <w:r w:rsidRPr="004D707A">
              <w:rPr>
                <w:rFonts w:ascii="Times New Roman" w:hAnsi="Times New Roman"/>
                <w:sz w:val="20"/>
                <w:szCs w:val="20"/>
                <w:lang w:val="en-GB"/>
              </w:rPr>
              <w:t>4</w:t>
            </w:r>
          </w:p>
        </w:tc>
      </w:tr>
      <w:tr w:rsidR="00067435" w:rsidRPr="00F25D10" w14:paraId="05380DD3" w14:textId="77777777" w:rsidTr="00026175">
        <w:trPr>
          <w:trHeight w:hRule="exact" w:val="340"/>
        </w:trPr>
        <w:tc>
          <w:tcPr>
            <w:tcW w:w="1751" w:type="pct"/>
          </w:tcPr>
          <w:p w14:paraId="1D168691" w14:textId="77777777" w:rsidR="00067435" w:rsidRPr="00893382" w:rsidRDefault="00067435" w:rsidP="00026175">
            <w:pPr>
              <w:keepNext/>
              <w:keepLines/>
              <w:tabs>
                <w:tab w:val="left" w:pos="720"/>
              </w:tabs>
              <w:spacing w:after="240"/>
              <w:rPr>
                <w:rFonts w:ascii="Times New Roman" w:hAnsi="Times New Roman"/>
                <w:sz w:val="20"/>
                <w:szCs w:val="20"/>
                <w:lang w:val="en-GB"/>
              </w:rPr>
            </w:pPr>
          </w:p>
        </w:tc>
        <w:tc>
          <w:tcPr>
            <w:tcW w:w="3249" w:type="pct"/>
            <w:gridSpan w:val="6"/>
          </w:tcPr>
          <w:p w14:paraId="043520CD" w14:textId="77777777" w:rsidR="00067435" w:rsidRPr="00893382" w:rsidRDefault="00067435" w:rsidP="00026175">
            <w:pPr>
              <w:keepNext/>
              <w:keepLines/>
              <w:tabs>
                <w:tab w:val="left" w:pos="720"/>
              </w:tabs>
              <w:spacing w:after="240"/>
              <w:jc w:val="center"/>
              <w:rPr>
                <w:rFonts w:ascii="Times New Roman" w:hAnsi="Times New Roman"/>
                <w:b/>
                <w:bCs/>
                <w:sz w:val="20"/>
                <w:szCs w:val="20"/>
                <w:lang w:val="en-GB"/>
              </w:rPr>
            </w:pPr>
            <w:r w:rsidRPr="00893382">
              <w:rPr>
                <w:rFonts w:ascii="Times New Roman" w:hAnsi="Times New Roman"/>
                <w:b/>
                <w:bCs/>
                <w:sz w:val="20"/>
                <w:szCs w:val="20"/>
                <w:lang w:val="en-GB"/>
              </w:rPr>
              <w:t>Endpoint (mg test item/kg soil dw)</w:t>
            </w:r>
          </w:p>
        </w:tc>
      </w:tr>
      <w:tr w:rsidR="00067435" w:rsidRPr="00893382" w14:paraId="4958246A" w14:textId="77777777" w:rsidTr="00026175">
        <w:trPr>
          <w:trHeight w:hRule="exact" w:val="567"/>
        </w:trPr>
        <w:tc>
          <w:tcPr>
            <w:tcW w:w="1751" w:type="pct"/>
          </w:tcPr>
          <w:p w14:paraId="527717B7" w14:textId="77777777" w:rsidR="00067435" w:rsidRPr="00893382" w:rsidRDefault="00067435" w:rsidP="00026175">
            <w:pPr>
              <w:keepNext/>
              <w:keepLines/>
              <w:tabs>
                <w:tab w:val="left" w:pos="720"/>
              </w:tabs>
              <w:spacing w:after="240"/>
              <w:rPr>
                <w:rFonts w:ascii="Times New Roman" w:hAnsi="Times New Roman"/>
                <w:sz w:val="20"/>
                <w:szCs w:val="20"/>
                <w:lang w:val="en-GB"/>
              </w:rPr>
            </w:pPr>
            <w:r w:rsidRPr="00893382">
              <w:rPr>
                <w:rFonts w:ascii="Times New Roman" w:hAnsi="Times New Roman"/>
                <w:sz w:val="20"/>
                <w:szCs w:val="20"/>
                <w:lang w:val="en-GB"/>
              </w:rPr>
              <w:t>NOEC (mortality/</w:t>
            </w:r>
            <w:r w:rsidRPr="00893382">
              <w:rPr>
                <w:rFonts w:ascii="Times New Roman" w:hAnsi="Times New Roman"/>
                <w:sz w:val="20"/>
                <w:szCs w:val="20"/>
                <w:lang w:val="en-GB"/>
              </w:rPr>
              <w:br/>
              <w:t>reproduction)</w:t>
            </w:r>
          </w:p>
        </w:tc>
        <w:tc>
          <w:tcPr>
            <w:tcW w:w="3249" w:type="pct"/>
            <w:gridSpan w:val="6"/>
          </w:tcPr>
          <w:p w14:paraId="3DD5ACEF"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≥1000</w:t>
            </w:r>
          </w:p>
        </w:tc>
      </w:tr>
      <w:tr w:rsidR="00067435" w:rsidRPr="00893382" w14:paraId="164766D7" w14:textId="77777777" w:rsidTr="00026175">
        <w:trPr>
          <w:trHeight w:hRule="exact" w:val="567"/>
        </w:trPr>
        <w:tc>
          <w:tcPr>
            <w:tcW w:w="1751" w:type="pct"/>
          </w:tcPr>
          <w:p w14:paraId="5579DD4F" w14:textId="77777777" w:rsidR="00067435" w:rsidRPr="00893382" w:rsidRDefault="00067435" w:rsidP="00026175">
            <w:pPr>
              <w:keepNext/>
              <w:keepLines/>
              <w:tabs>
                <w:tab w:val="left" w:pos="720"/>
              </w:tabs>
              <w:spacing w:after="240"/>
              <w:rPr>
                <w:rFonts w:ascii="Times New Roman" w:hAnsi="Times New Roman"/>
                <w:sz w:val="20"/>
                <w:szCs w:val="20"/>
                <w:lang w:val="en-GB"/>
              </w:rPr>
            </w:pPr>
            <w:r w:rsidRPr="00893382">
              <w:rPr>
                <w:rFonts w:ascii="Times New Roman" w:hAnsi="Times New Roman"/>
                <w:sz w:val="20"/>
                <w:szCs w:val="20"/>
                <w:lang w:val="en-GB"/>
              </w:rPr>
              <w:t>LOEC (mortality/</w:t>
            </w:r>
            <w:r w:rsidRPr="00893382">
              <w:rPr>
                <w:rFonts w:ascii="Times New Roman" w:hAnsi="Times New Roman"/>
                <w:sz w:val="20"/>
                <w:szCs w:val="20"/>
                <w:lang w:val="en-GB"/>
              </w:rPr>
              <w:br/>
              <w:t>reproduction)</w:t>
            </w:r>
          </w:p>
        </w:tc>
        <w:tc>
          <w:tcPr>
            <w:tcW w:w="3249" w:type="pct"/>
            <w:gridSpan w:val="6"/>
          </w:tcPr>
          <w:p w14:paraId="3F2C01A2" w14:textId="77777777" w:rsidR="00067435" w:rsidRPr="00893382" w:rsidRDefault="00067435" w:rsidP="00026175">
            <w:pPr>
              <w:keepNext/>
              <w:keepLines/>
              <w:tabs>
                <w:tab w:val="left" w:pos="720"/>
              </w:tabs>
              <w:spacing w:after="240"/>
              <w:jc w:val="center"/>
              <w:rPr>
                <w:rFonts w:ascii="Times New Roman" w:hAnsi="Times New Roman"/>
                <w:sz w:val="20"/>
                <w:szCs w:val="20"/>
                <w:lang w:val="en-GB"/>
              </w:rPr>
            </w:pPr>
            <w:r w:rsidRPr="00893382">
              <w:rPr>
                <w:rFonts w:ascii="Times New Roman" w:hAnsi="Times New Roman"/>
                <w:sz w:val="20"/>
                <w:szCs w:val="20"/>
                <w:lang w:val="en-GB"/>
              </w:rPr>
              <w:t>&gt;1000</w:t>
            </w:r>
          </w:p>
        </w:tc>
      </w:tr>
    </w:tbl>
    <w:p w14:paraId="4C41086B" w14:textId="77777777" w:rsidR="00067435" w:rsidRPr="00893382" w:rsidRDefault="00067435" w:rsidP="00067435">
      <w:pPr>
        <w:tabs>
          <w:tab w:val="left" w:pos="720"/>
        </w:tabs>
        <w:jc w:val="both"/>
        <w:rPr>
          <w:sz w:val="18"/>
          <w:szCs w:val="20"/>
          <w:lang w:val="en-GB"/>
        </w:rPr>
      </w:pPr>
      <w:r w:rsidRPr="00893382">
        <w:rPr>
          <w:sz w:val="18"/>
          <w:szCs w:val="20"/>
          <w:lang w:val="en-GB"/>
        </w:rPr>
        <w:t>Not statistically significantly different compared to the control (</w:t>
      </w:r>
      <w:r w:rsidRPr="002019F7">
        <w:rPr>
          <w:sz w:val="18"/>
          <w:szCs w:val="20"/>
          <w:lang w:val="en-GB"/>
        </w:rPr>
        <w:t>Fisher’s Exact Binomial Test with Bonferroni Correction</w:t>
      </w:r>
      <w:r w:rsidRPr="00893382">
        <w:rPr>
          <w:sz w:val="18"/>
          <w:szCs w:val="20"/>
          <w:lang w:val="en-GB"/>
        </w:rPr>
        <w:t xml:space="preserve">for mortality, α = 0.05, one-sided greater; </w:t>
      </w:r>
      <w:r w:rsidRPr="002019F7">
        <w:rPr>
          <w:sz w:val="18"/>
          <w:szCs w:val="20"/>
          <w:lang w:val="en-GB"/>
        </w:rPr>
        <w:t xml:space="preserve">Williams-t-test; </w:t>
      </w:r>
      <w:r w:rsidRPr="002019F7">
        <w:rPr>
          <w:sz w:val="18"/>
          <w:szCs w:val="20"/>
          <w:lang w:val="en-GB"/>
        </w:rPr>
        <w:t xml:space="preserve"> = 0.05, one-sided smaller </w:t>
      </w:r>
      <w:r w:rsidRPr="00893382">
        <w:rPr>
          <w:sz w:val="18"/>
          <w:szCs w:val="20"/>
          <w:lang w:val="en-GB"/>
        </w:rPr>
        <w:t>for reproduction, α = 0.05, one-sided smaller)</w:t>
      </w:r>
    </w:p>
    <w:p w14:paraId="75ECC131" w14:textId="77777777" w:rsidR="00067435" w:rsidRPr="002019F7" w:rsidRDefault="00067435" w:rsidP="00067435">
      <w:pPr>
        <w:tabs>
          <w:tab w:val="left" w:pos="720"/>
        </w:tabs>
        <w:jc w:val="both"/>
        <w:rPr>
          <w:sz w:val="18"/>
          <w:szCs w:val="20"/>
          <w:lang w:val="en-GB"/>
        </w:rPr>
      </w:pPr>
      <w:r w:rsidRPr="00893382">
        <w:rPr>
          <w:sz w:val="18"/>
          <w:szCs w:val="20"/>
          <w:lang w:val="en-GB"/>
        </w:rPr>
        <w:t>Calculations were performed with unrounded values</w:t>
      </w:r>
    </w:p>
    <w:p w14:paraId="16BC6A37" w14:textId="77777777" w:rsidR="00067435" w:rsidRPr="00893382" w:rsidRDefault="00067435" w:rsidP="00067435">
      <w:pPr>
        <w:tabs>
          <w:tab w:val="left" w:pos="720"/>
        </w:tabs>
        <w:jc w:val="both"/>
        <w:rPr>
          <w:sz w:val="18"/>
          <w:szCs w:val="20"/>
          <w:highlight w:val="yellow"/>
          <w:lang w:val="en-GB"/>
        </w:rPr>
      </w:pPr>
    </w:p>
    <w:p w14:paraId="55438BBB" w14:textId="77777777" w:rsidR="00067435" w:rsidRDefault="00067435" w:rsidP="00067435">
      <w:pPr>
        <w:tabs>
          <w:tab w:val="left" w:pos="0"/>
        </w:tabs>
        <w:contextualSpacing/>
        <w:jc w:val="both"/>
        <w:rPr>
          <w:szCs w:val="24"/>
          <w:lang w:val="en-GB"/>
        </w:rPr>
      </w:pPr>
      <w:r w:rsidRPr="002019F7">
        <w:rPr>
          <w:szCs w:val="24"/>
          <w:lang w:val="en-GB"/>
        </w:rPr>
        <w:t>To verify the sensitivity of the test system the reference item boric acid is routinely tested at concentrations</w:t>
      </w:r>
      <w:r>
        <w:rPr>
          <w:szCs w:val="24"/>
          <w:lang w:val="en-GB"/>
        </w:rPr>
        <w:t xml:space="preserve"> </w:t>
      </w:r>
      <w:r w:rsidRPr="002019F7">
        <w:rPr>
          <w:szCs w:val="24"/>
          <w:lang w:val="en-GB"/>
        </w:rPr>
        <w:t>of 44, 67, 100, 150 and 225 mg/kg soil dry weight. The collembolans of the reference test were from the</w:t>
      </w:r>
      <w:r>
        <w:rPr>
          <w:szCs w:val="24"/>
          <w:lang w:val="en-GB"/>
        </w:rPr>
        <w:t xml:space="preserve"> </w:t>
      </w:r>
      <w:r w:rsidRPr="002019F7">
        <w:rPr>
          <w:szCs w:val="24"/>
          <w:lang w:val="en-GB"/>
        </w:rPr>
        <w:t>same source culture as those used in the definitive test.</w:t>
      </w:r>
      <w:r>
        <w:rPr>
          <w:szCs w:val="24"/>
          <w:lang w:val="en-GB"/>
        </w:rPr>
        <w:t xml:space="preserve"> </w:t>
      </w:r>
      <w:r w:rsidRPr="002019F7">
        <w:rPr>
          <w:szCs w:val="24"/>
          <w:lang w:val="en-GB"/>
        </w:rPr>
        <w:t>In the most recent study (BioChem project No. R 14 10 48 003 S, dated July 30, 2014) the EC</w:t>
      </w:r>
      <w:r w:rsidRPr="002019F7">
        <w:rPr>
          <w:szCs w:val="24"/>
          <w:vertAlign w:val="subscript"/>
          <w:lang w:val="en-GB"/>
        </w:rPr>
        <w:t xml:space="preserve">50 </w:t>
      </w:r>
      <w:r w:rsidRPr="002019F7">
        <w:rPr>
          <w:szCs w:val="24"/>
          <w:lang w:val="en-GB"/>
        </w:rPr>
        <w:t>was</w:t>
      </w:r>
      <w:r>
        <w:rPr>
          <w:szCs w:val="24"/>
          <w:lang w:val="en-GB"/>
        </w:rPr>
        <w:t xml:space="preserve"> </w:t>
      </w:r>
      <w:r w:rsidRPr="002019F7">
        <w:rPr>
          <w:szCs w:val="24"/>
          <w:lang w:val="en-GB"/>
        </w:rPr>
        <w:t>determined to be 104 mg/kg soil dry weight. The LC</w:t>
      </w:r>
      <w:r w:rsidRPr="002019F7">
        <w:rPr>
          <w:szCs w:val="24"/>
          <w:vertAlign w:val="subscript"/>
          <w:lang w:val="en-GB"/>
        </w:rPr>
        <w:t>50</w:t>
      </w:r>
      <w:r w:rsidRPr="002019F7">
        <w:rPr>
          <w:szCs w:val="24"/>
          <w:lang w:val="en-GB"/>
        </w:rPr>
        <w:t xml:space="preserve"> was determined to be 181 mg/kg soil dry weight. The</w:t>
      </w:r>
      <w:r>
        <w:rPr>
          <w:szCs w:val="24"/>
          <w:lang w:val="en-GB"/>
        </w:rPr>
        <w:t xml:space="preserve"> </w:t>
      </w:r>
      <w:r w:rsidRPr="002019F7">
        <w:rPr>
          <w:szCs w:val="24"/>
          <w:lang w:val="en-GB"/>
        </w:rPr>
        <w:t xml:space="preserve">NOEC for mortality and for reproduction was </w:t>
      </w:r>
      <w:r w:rsidRPr="002019F7">
        <w:rPr>
          <w:szCs w:val="24"/>
          <w:lang w:val="en-GB"/>
        </w:rPr>
        <w:lastRenderedPageBreak/>
        <w:t>determined to be 67 and 44 mg/kg soil dry weight,</w:t>
      </w:r>
      <w:r>
        <w:rPr>
          <w:szCs w:val="24"/>
          <w:lang w:val="en-GB"/>
        </w:rPr>
        <w:t xml:space="preserve"> </w:t>
      </w:r>
      <w:r w:rsidRPr="002019F7">
        <w:rPr>
          <w:szCs w:val="24"/>
          <w:lang w:val="en-GB"/>
        </w:rPr>
        <w:t>respectively.</w:t>
      </w:r>
      <w:r>
        <w:rPr>
          <w:szCs w:val="24"/>
          <w:lang w:val="en-GB"/>
        </w:rPr>
        <w:t xml:space="preserve"> </w:t>
      </w:r>
      <w:r w:rsidRPr="002019F7">
        <w:rPr>
          <w:szCs w:val="24"/>
          <w:lang w:val="en-GB"/>
        </w:rPr>
        <w:t>The EC</w:t>
      </w:r>
      <w:r w:rsidRPr="002019F7">
        <w:rPr>
          <w:szCs w:val="24"/>
          <w:vertAlign w:val="subscript"/>
          <w:lang w:val="en-GB"/>
        </w:rPr>
        <w:t>50</w:t>
      </w:r>
      <w:r w:rsidRPr="002019F7">
        <w:rPr>
          <w:szCs w:val="24"/>
          <w:lang w:val="en-GB"/>
        </w:rPr>
        <w:t xml:space="preserve"> value for the reproduction was close to the value of 100 mg/kg soil dry weight as stated in OECD</w:t>
      </w:r>
      <w:r>
        <w:rPr>
          <w:szCs w:val="24"/>
          <w:lang w:val="en-GB"/>
        </w:rPr>
        <w:t xml:space="preserve"> </w:t>
      </w:r>
      <w:r w:rsidRPr="002019F7">
        <w:rPr>
          <w:szCs w:val="24"/>
          <w:lang w:val="en-GB"/>
        </w:rPr>
        <w:t>232 (2009). The EC50 therefore showed that the test system was sensitive.</w:t>
      </w:r>
    </w:p>
    <w:p w14:paraId="1B547747" w14:textId="77777777" w:rsidR="00067435" w:rsidRDefault="00067435" w:rsidP="00067435">
      <w:pPr>
        <w:tabs>
          <w:tab w:val="left" w:pos="0"/>
        </w:tabs>
        <w:ind w:left="357" w:hanging="357"/>
        <w:contextualSpacing/>
        <w:rPr>
          <w:szCs w:val="24"/>
          <w:lang w:val="en-GB"/>
        </w:rPr>
      </w:pPr>
    </w:p>
    <w:p w14:paraId="12709951" w14:textId="77777777" w:rsidR="00067435" w:rsidRPr="00893382" w:rsidRDefault="00067435" w:rsidP="00067435">
      <w:pPr>
        <w:tabs>
          <w:tab w:val="left" w:pos="0"/>
        </w:tabs>
        <w:ind w:left="357" w:hanging="357"/>
        <w:contextualSpacing/>
        <w:rPr>
          <w:b/>
          <w:bCs/>
          <w:caps/>
          <w:szCs w:val="24"/>
          <w:lang w:val="en-GB"/>
        </w:rPr>
      </w:pPr>
      <w:r w:rsidRPr="00893382">
        <w:rPr>
          <w:b/>
          <w:bCs/>
          <w:caps/>
          <w:szCs w:val="24"/>
          <w:lang w:val="en-GB"/>
        </w:rPr>
        <w:t>D.</w:t>
      </w:r>
      <w:r w:rsidRPr="00893382">
        <w:rPr>
          <w:b/>
          <w:bCs/>
          <w:caps/>
          <w:szCs w:val="24"/>
          <w:lang w:val="en-GB"/>
        </w:rPr>
        <w:tab/>
        <w:t>VALIDITY CRITERIA</w:t>
      </w:r>
    </w:p>
    <w:p w14:paraId="04B66696" w14:textId="12DB9A42" w:rsidR="00067435" w:rsidRPr="00F25D10" w:rsidRDefault="00067435" w:rsidP="00067435">
      <w:pPr>
        <w:tabs>
          <w:tab w:val="left" w:pos="720"/>
        </w:tabs>
        <w:jc w:val="both"/>
        <w:rPr>
          <w:szCs w:val="24"/>
          <w:lang w:val="en-GB"/>
        </w:rPr>
      </w:pPr>
      <w:r w:rsidRPr="00893382">
        <w:rPr>
          <w:szCs w:val="24"/>
          <w:lang w:val="en-GB"/>
        </w:rPr>
        <w:t xml:space="preserve">All </w:t>
      </w:r>
      <w:r w:rsidRPr="00F25D10">
        <w:rPr>
          <w:szCs w:val="24"/>
          <w:lang w:val="en-GB"/>
        </w:rPr>
        <w:t>validity criteria were met (</w:t>
      </w:r>
      <w:r w:rsidR="00B10BDE">
        <w:rPr>
          <w:szCs w:val="24"/>
          <w:lang w:val="en-GB"/>
        </w:rPr>
        <w:fldChar w:fldCharType="begin"/>
      </w:r>
      <w:r w:rsidR="00B10BDE">
        <w:rPr>
          <w:szCs w:val="24"/>
          <w:lang w:val="en-GB"/>
        </w:rPr>
        <w:instrText xml:space="preserve"> REF _Ref147912716 \h </w:instrText>
      </w:r>
      <w:r w:rsidR="00B10BDE">
        <w:rPr>
          <w:szCs w:val="24"/>
          <w:lang w:val="en-GB"/>
        </w:rPr>
      </w:r>
      <w:r w:rsidR="00B10BDE">
        <w:rPr>
          <w:szCs w:val="24"/>
          <w:lang w:val="en-GB"/>
        </w:rPr>
        <w:fldChar w:fldCharType="separate"/>
      </w:r>
      <w:r w:rsidR="006F0F3B">
        <w:t xml:space="preserve">Table A </w:t>
      </w:r>
      <w:r w:rsidR="006F0F3B">
        <w:rPr>
          <w:noProof/>
        </w:rPr>
        <w:t>89</w:t>
      </w:r>
      <w:r w:rsidR="00B10BDE">
        <w:rPr>
          <w:szCs w:val="24"/>
          <w:lang w:val="en-GB"/>
        </w:rPr>
        <w:fldChar w:fldCharType="end"/>
      </w:r>
      <w:r w:rsidRPr="00F25D10">
        <w:rPr>
          <w:szCs w:val="24"/>
          <w:lang w:val="en-GB"/>
        </w:rPr>
        <w:t>).</w:t>
      </w:r>
    </w:p>
    <w:p w14:paraId="648A37C5" w14:textId="77777777" w:rsidR="00067435" w:rsidRPr="00F25D10" w:rsidRDefault="00067435" w:rsidP="00067435">
      <w:pPr>
        <w:tabs>
          <w:tab w:val="left" w:pos="720"/>
        </w:tabs>
        <w:jc w:val="both"/>
        <w:rPr>
          <w:b/>
          <w:bCs/>
          <w:szCs w:val="24"/>
          <w:lang w:val="en-GB"/>
        </w:rPr>
      </w:pPr>
    </w:p>
    <w:p w14:paraId="258A7203" w14:textId="733E43C6" w:rsidR="00067435" w:rsidRPr="00F25D10" w:rsidRDefault="00B10BDE" w:rsidP="00B10BDE">
      <w:pPr>
        <w:pStyle w:val="Legenda"/>
        <w:rPr>
          <w:b w:val="0"/>
          <w:bCs w:val="0"/>
          <w:szCs w:val="24"/>
        </w:rPr>
      </w:pPr>
      <w:bookmarkStart w:id="1178" w:name="_Ref147912716"/>
      <w:r>
        <w:t xml:space="preserve">Table A </w:t>
      </w:r>
      <w:r>
        <w:fldChar w:fldCharType="begin"/>
      </w:r>
      <w:r>
        <w:instrText xml:space="preserve"> SEQ Table_A \* ARABIC </w:instrText>
      </w:r>
      <w:r>
        <w:fldChar w:fldCharType="separate"/>
      </w:r>
      <w:r w:rsidR="006F0F3B">
        <w:rPr>
          <w:noProof/>
        </w:rPr>
        <w:t>89</w:t>
      </w:r>
      <w:r>
        <w:fldChar w:fldCharType="end"/>
      </w:r>
      <w:bookmarkEnd w:id="1178"/>
      <w:r w:rsidR="00067435" w:rsidRPr="00F25D10">
        <w:rPr>
          <w:szCs w:val="24"/>
        </w:rPr>
        <w:t>: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0"/>
        <w:gridCol w:w="4819"/>
      </w:tblGrid>
      <w:tr w:rsidR="00067435" w:rsidRPr="00893382" w14:paraId="1B20EF81" w14:textId="77777777" w:rsidTr="00026175">
        <w:trPr>
          <w:trHeight w:val="270"/>
        </w:trPr>
        <w:tc>
          <w:tcPr>
            <w:tcW w:w="4390" w:type="dxa"/>
            <w:shd w:val="clear" w:color="auto" w:fill="auto"/>
            <w:noWrap/>
            <w:hideMark/>
          </w:tcPr>
          <w:p w14:paraId="4B4490B7" w14:textId="77777777" w:rsidR="00067435" w:rsidRPr="00F25D10" w:rsidRDefault="00067435" w:rsidP="00026175">
            <w:pPr>
              <w:tabs>
                <w:tab w:val="left" w:pos="720"/>
              </w:tabs>
              <w:spacing w:before="40" w:after="40"/>
              <w:rPr>
                <w:b/>
                <w:bCs/>
                <w:lang w:val="en-GB"/>
              </w:rPr>
            </w:pPr>
            <w:r w:rsidRPr="00F25D10">
              <w:rPr>
                <w:b/>
                <w:bCs/>
                <w:lang w:val="en-GB"/>
              </w:rPr>
              <w:t>Validity criteria according to OECD 232 (2016)</w:t>
            </w:r>
          </w:p>
        </w:tc>
        <w:tc>
          <w:tcPr>
            <w:tcW w:w="4819" w:type="dxa"/>
            <w:shd w:val="clear" w:color="auto" w:fill="auto"/>
            <w:noWrap/>
            <w:hideMark/>
          </w:tcPr>
          <w:p w14:paraId="20709C17" w14:textId="77777777" w:rsidR="00067435" w:rsidRPr="00893382" w:rsidRDefault="00067435" w:rsidP="00026175">
            <w:pPr>
              <w:tabs>
                <w:tab w:val="left" w:pos="720"/>
              </w:tabs>
              <w:spacing w:before="40" w:after="40"/>
              <w:rPr>
                <w:b/>
                <w:bCs/>
                <w:lang w:val="en-GB"/>
              </w:rPr>
            </w:pPr>
            <w:r w:rsidRPr="00F25D10">
              <w:rPr>
                <w:b/>
                <w:bCs/>
                <w:lang w:val="en-GB"/>
              </w:rPr>
              <w:t>Obtained in this study</w:t>
            </w:r>
          </w:p>
        </w:tc>
      </w:tr>
      <w:tr w:rsidR="00067435" w:rsidRPr="00893382" w14:paraId="0A5ACD0F" w14:textId="77777777" w:rsidTr="00026175">
        <w:trPr>
          <w:trHeight w:val="270"/>
        </w:trPr>
        <w:tc>
          <w:tcPr>
            <w:tcW w:w="4390" w:type="dxa"/>
            <w:shd w:val="clear" w:color="auto" w:fill="auto"/>
            <w:noWrap/>
          </w:tcPr>
          <w:p w14:paraId="5990F6D6" w14:textId="77777777" w:rsidR="00067435" w:rsidRPr="00893382" w:rsidRDefault="00067435" w:rsidP="00026175">
            <w:pPr>
              <w:tabs>
                <w:tab w:val="left" w:pos="720"/>
              </w:tabs>
              <w:spacing w:before="40" w:after="40"/>
              <w:rPr>
                <w:lang w:val="en-GB"/>
              </w:rPr>
            </w:pPr>
            <w:r w:rsidRPr="00893382">
              <w:rPr>
                <w:lang w:val="en-GB"/>
              </w:rPr>
              <w:t>In the control(s), mean adult mortality in the control must be ≤20%</w:t>
            </w:r>
          </w:p>
        </w:tc>
        <w:tc>
          <w:tcPr>
            <w:tcW w:w="4819" w:type="dxa"/>
            <w:shd w:val="clear" w:color="auto" w:fill="auto"/>
            <w:noWrap/>
          </w:tcPr>
          <w:p w14:paraId="295A5AD1" w14:textId="77777777" w:rsidR="00067435" w:rsidRPr="00893382" w:rsidRDefault="00067435" w:rsidP="00026175">
            <w:pPr>
              <w:tabs>
                <w:tab w:val="left" w:pos="720"/>
              </w:tabs>
              <w:spacing w:before="40" w:after="40"/>
              <w:rPr>
                <w:lang w:val="en-GB"/>
              </w:rPr>
            </w:pPr>
            <w:r w:rsidRPr="00893382">
              <w:rPr>
                <w:lang w:val="en-GB"/>
              </w:rPr>
              <w:t>2.5%</w:t>
            </w:r>
          </w:p>
        </w:tc>
      </w:tr>
      <w:tr w:rsidR="00067435" w:rsidRPr="00893382" w14:paraId="2046D337" w14:textId="77777777" w:rsidTr="00026175">
        <w:trPr>
          <w:trHeight w:val="270"/>
        </w:trPr>
        <w:tc>
          <w:tcPr>
            <w:tcW w:w="4390" w:type="dxa"/>
            <w:shd w:val="clear" w:color="auto" w:fill="auto"/>
            <w:noWrap/>
          </w:tcPr>
          <w:p w14:paraId="587976B7" w14:textId="77777777" w:rsidR="00067435" w:rsidRPr="00893382" w:rsidRDefault="00067435" w:rsidP="00026175">
            <w:pPr>
              <w:tabs>
                <w:tab w:val="left" w:pos="720"/>
              </w:tabs>
              <w:autoSpaceDE w:val="0"/>
              <w:autoSpaceDN w:val="0"/>
              <w:adjustRightInd w:val="0"/>
              <w:spacing w:before="40" w:after="40"/>
              <w:rPr>
                <w:rFonts w:eastAsia="Calibri"/>
                <w:lang w:val="en-GB"/>
              </w:rPr>
            </w:pPr>
            <w:r w:rsidRPr="00893382">
              <w:rPr>
                <w:rFonts w:eastAsia="Calibri"/>
                <w:lang w:val="en-GB"/>
              </w:rPr>
              <w:t>In the control(s), mean number of juveniles per test vessel in the controls must be ≥100</w:t>
            </w:r>
          </w:p>
        </w:tc>
        <w:tc>
          <w:tcPr>
            <w:tcW w:w="4819" w:type="dxa"/>
            <w:shd w:val="clear" w:color="auto" w:fill="auto"/>
            <w:noWrap/>
          </w:tcPr>
          <w:p w14:paraId="46CC2225" w14:textId="77777777" w:rsidR="00067435" w:rsidRPr="00893382" w:rsidRDefault="00067435" w:rsidP="00026175">
            <w:pPr>
              <w:tabs>
                <w:tab w:val="left" w:pos="720"/>
              </w:tabs>
              <w:spacing w:before="40" w:after="40"/>
              <w:rPr>
                <w:lang w:val="en-GB"/>
              </w:rPr>
            </w:pPr>
            <w:r w:rsidRPr="00893382">
              <w:rPr>
                <w:lang w:val="en-GB"/>
              </w:rPr>
              <w:t xml:space="preserve">Average of </w:t>
            </w:r>
            <w:r w:rsidRPr="002019F7">
              <w:rPr>
                <w:lang w:val="en-GB"/>
              </w:rPr>
              <w:t>497</w:t>
            </w:r>
            <w:r w:rsidRPr="00893382">
              <w:rPr>
                <w:lang w:val="en-GB"/>
              </w:rPr>
              <w:t>/vessel</w:t>
            </w:r>
          </w:p>
        </w:tc>
      </w:tr>
      <w:tr w:rsidR="00067435" w:rsidRPr="00893382" w14:paraId="32A28DF2" w14:textId="77777777" w:rsidTr="00026175">
        <w:trPr>
          <w:trHeight w:val="270"/>
        </w:trPr>
        <w:tc>
          <w:tcPr>
            <w:tcW w:w="4390" w:type="dxa"/>
            <w:shd w:val="clear" w:color="auto" w:fill="auto"/>
            <w:noWrap/>
          </w:tcPr>
          <w:p w14:paraId="58219C6D" w14:textId="77777777" w:rsidR="00067435" w:rsidRPr="00893382" w:rsidRDefault="00067435" w:rsidP="00026175">
            <w:pPr>
              <w:tabs>
                <w:tab w:val="left" w:pos="720"/>
              </w:tabs>
              <w:autoSpaceDE w:val="0"/>
              <w:autoSpaceDN w:val="0"/>
              <w:adjustRightInd w:val="0"/>
              <w:spacing w:before="40" w:after="40"/>
              <w:rPr>
                <w:rFonts w:eastAsia="Calibri"/>
                <w:lang w:val="en-GB"/>
              </w:rPr>
            </w:pPr>
            <w:r w:rsidRPr="00893382">
              <w:rPr>
                <w:rFonts w:eastAsia="Calibri"/>
                <w:lang w:val="en-GB"/>
              </w:rPr>
              <w:t>In the control(s), coefficient of variation for the mean number of juveniles must be &lt;30%</w:t>
            </w:r>
          </w:p>
        </w:tc>
        <w:tc>
          <w:tcPr>
            <w:tcW w:w="4819" w:type="dxa"/>
            <w:shd w:val="clear" w:color="auto" w:fill="auto"/>
            <w:noWrap/>
          </w:tcPr>
          <w:p w14:paraId="1C7AEB53" w14:textId="77777777" w:rsidR="00067435" w:rsidRPr="00893382" w:rsidRDefault="00067435" w:rsidP="00026175">
            <w:pPr>
              <w:tabs>
                <w:tab w:val="left" w:pos="720"/>
              </w:tabs>
              <w:spacing w:before="40" w:after="40"/>
              <w:rPr>
                <w:lang w:val="en-GB"/>
              </w:rPr>
            </w:pPr>
            <w:r w:rsidRPr="002019F7">
              <w:rPr>
                <w:lang w:val="en-GB"/>
              </w:rPr>
              <w:t>8.9</w:t>
            </w:r>
            <w:r w:rsidRPr="00893382">
              <w:rPr>
                <w:lang w:val="en-GB"/>
              </w:rPr>
              <w:t>%</w:t>
            </w:r>
          </w:p>
        </w:tc>
      </w:tr>
    </w:tbl>
    <w:p w14:paraId="212C38A2" w14:textId="338F62BE" w:rsidR="00951256" w:rsidRDefault="00951256" w:rsidP="00067435">
      <w:pPr>
        <w:tabs>
          <w:tab w:val="left" w:pos="720"/>
        </w:tabs>
        <w:jc w:val="both"/>
        <w:rPr>
          <w:szCs w:val="24"/>
          <w:highlight w:val="yellow"/>
          <w:lang w:val="en-GB"/>
        </w:rPr>
      </w:pPr>
    </w:p>
    <w:p w14:paraId="38856FC6" w14:textId="77777777" w:rsidR="00067435" w:rsidRPr="00893382" w:rsidRDefault="00067435" w:rsidP="00067435">
      <w:pPr>
        <w:tabs>
          <w:tab w:val="left" w:pos="0"/>
        </w:tabs>
        <w:ind w:left="357" w:hanging="357"/>
        <w:contextualSpacing/>
        <w:rPr>
          <w:b/>
          <w:bCs/>
          <w:caps/>
          <w:szCs w:val="24"/>
          <w:lang w:val="en-GB"/>
        </w:rPr>
      </w:pPr>
      <w:r w:rsidRPr="00893382">
        <w:rPr>
          <w:b/>
          <w:bCs/>
          <w:caps/>
          <w:szCs w:val="24"/>
          <w:lang w:val="en-GB"/>
        </w:rPr>
        <w:t>E.</w:t>
      </w:r>
      <w:r w:rsidRPr="00893382">
        <w:rPr>
          <w:b/>
          <w:bCs/>
          <w:caps/>
          <w:szCs w:val="24"/>
          <w:lang w:val="en-GB"/>
        </w:rPr>
        <w:tab/>
        <w:t>DEFICIENCIES</w:t>
      </w:r>
    </w:p>
    <w:p w14:paraId="721DDF5C" w14:textId="77777777" w:rsidR="00067435" w:rsidRPr="00893382" w:rsidRDefault="00067435" w:rsidP="00067435">
      <w:pPr>
        <w:tabs>
          <w:tab w:val="left" w:pos="720"/>
        </w:tabs>
        <w:spacing w:after="240"/>
        <w:jc w:val="both"/>
        <w:rPr>
          <w:szCs w:val="24"/>
          <w:lang w:val="en-GB"/>
        </w:rPr>
      </w:pPr>
      <w:r w:rsidRPr="00893382">
        <w:rPr>
          <w:szCs w:val="24"/>
          <w:lang w:val="en-GB"/>
        </w:rPr>
        <w:t xml:space="preserve">There were no </w:t>
      </w:r>
      <w:r w:rsidRPr="002019F7">
        <w:rPr>
          <w:szCs w:val="24"/>
          <w:lang w:val="en-GB"/>
        </w:rPr>
        <w:t>deficiencies</w:t>
      </w:r>
      <w:r w:rsidRPr="00893382">
        <w:rPr>
          <w:szCs w:val="24"/>
          <w:lang w:val="en-GB"/>
        </w:rPr>
        <w:t xml:space="preserve">. </w:t>
      </w:r>
    </w:p>
    <w:p w14:paraId="7F0EC3DB" w14:textId="77777777" w:rsidR="00067435" w:rsidRPr="00893382" w:rsidRDefault="00067435" w:rsidP="00895761">
      <w:pPr>
        <w:tabs>
          <w:tab w:val="left" w:pos="720"/>
        </w:tabs>
        <w:spacing w:after="240"/>
        <w:ind w:left="431" w:hanging="431"/>
        <w:contextualSpacing/>
        <w:jc w:val="center"/>
        <w:rPr>
          <w:b/>
          <w:bCs/>
          <w:caps/>
          <w:szCs w:val="24"/>
          <w:lang w:val="en-GB"/>
        </w:rPr>
      </w:pPr>
      <w:r w:rsidRPr="00893382">
        <w:rPr>
          <w:b/>
          <w:bCs/>
          <w:caps/>
          <w:szCs w:val="24"/>
          <w:lang w:val="en-GB"/>
        </w:rPr>
        <w:t>III.</w:t>
      </w:r>
      <w:r w:rsidRPr="00893382">
        <w:rPr>
          <w:b/>
          <w:bCs/>
          <w:caps/>
          <w:szCs w:val="24"/>
          <w:lang w:val="en-GB"/>
        </w:rPr>
        <w:tab/>
        <w:t>Conclusion</w:t>
      </w:r>
    </w:p>
    <w:p w14:paraId="747C9713" w14:textId="77777777" w:rsidR="00067435" w:rsidRDefault="00067435" w:rsidP="00067435">
      <w:pPr>
        <w:jc w:val="both"/>
        <w:rPr>
          <w:szCs w:val="24"/>
          <w:lang w:val="en-GB"/>
        </w:rPr>
      </w:pPr>
      <w:r w:rsidRPr="002019F7">
        <w:rPr>
          <w:szCs w:val="24"/>
          <w:lang w:val="en-GB"/>
        </w:rPr>
        <w:t xml:space="preserve">A study to determine the effects of Propamocarb hydrochloride SL 722 G, (active substances propamocarb hydrochloride) on the reproduction of the collembolan </w:t>
      </w:r>
      <w:r w:rsidRPr="002019F7">
        <w:rPr>
          <w:i/>
          <w:iCs/>
          <w:szCs w:val="24"/>
          <w:lang w:val="en-GB"/>
        </w:rPr>
        <w:t>Folsomia candida</w:t>
      </w:r>
      <w:r w:rsidRPr="002019F7">
        <w:rPr>
          <w:szCs w:val="24"/>
          <w:lang w:val="en-GB"/>
        </w:rPr>
        <w:t xml:space="preserve"> was performed over 28 days in the laboratory in artificial soil. After 28 days, parental mortality and total juveniles per treatment were determined. </w:t>
      </w:r>
    </w:p>
    <w:p w14:paraId="6ABCB11B" w14:textId="77777777" w:rsidR="00067435" w:rsidRDefault="00067435" w:rsidP="00067435">
      <w:pPr>
        <w:jc w:val="both"/>
        <w:rPr>
          <w:szCs w:val="24"/>
          <w:lang w:val="en-GB"/>
        </w:rPr>
      </w:pPr>
      <w:r w:rsidRPr="002019F7">
        <w:rPr>
          <w:szCs w:val="24"/>
          <w:lang w:val="en-GB"/>
        </w:rPr>
        <w:t>The test item Propamocarb hydrochloride SL 722 G showed no statistically significantly adverse effects on</w:t>
      </w:r>
      <w:r>
        <w:rPr>
          <w:szCs w:val="24"/>
          <w:lang w:val="en-GB"/>
        </w:rPr>
        <w:t xml:space="preserve"> </w:t>
      </w:r>
      <w:r w:rsidRPr="002019F7">
        <w:rPr>
          <w:szCs w:val="24"/>
          <w:lang w:val="en-GB"/>
        </w:rPr>
        <w:t xml:space="preserve">adult mortality and reproduction of the collembolan </w:t>
      </w:r>
      <w:r w:rsidRPr="002019F7">
        <w:rPr>
          <w:i/>
          <w:iCs/>
          <w:szCs w:val="24"/>
          <w:lang w:val="en-GB"/>
        </w:rPr>
        <w:t>Folsomia candida</w:t>
      </w:r>
      <w:r w:rsidRPr="002019F7">
        <w:rPr>
          <w:szCs w:val="24"/>
          <w:lang w:val="en-GB"/>
        </w:rPr>
        <w:t xml:space="preserve"> in artificial soil up to and including</w:t>
      </w:r>
      <w:r>
        <w:rPr>
          <w:szCs w:val="24"/>
          <w:lang w:val="en-GB"/>
        </w:rPr>
        <w:t xml:space="preserve"> </w:t>
      </w:r>
      <w:r w:rsidRPr="002019F7">
        <w:rPr>
          <w:szCs w:val="24"/>
          <w:lang w:val="en-GB"/>
        </w:rPr>
        <w:t>1000 mg test item/kg d.w. Therefore, the overall No-Observed-Effect-Concentration (NOEC) was</w:t>
      </w:r>
      <w:r>
        <w:rPr>
          <w:szCs w:val="24"/>
          <w:lang w:val="en-GB"/>
        </w:rPr>
        <w:t xml:space="preserve"> </w:t>
      </w:r>
      <w:r w:rsidRPr="002019F7">
        <w:rPr>
          <w:szCs w:val="24"/>
          <w:lang w:val="en-GB"/>
        </w:rPr>
        <w:t>determined to be ≥ 1000 mg test item/kg d.w., and the Lowest-Observed-Effect-Concentration (LOEC) was</w:t>
      </w:r>
      <w:r>
        <w:rPr>
          <w:szCs w:val="24"/>
          <w:lang w:val="en-GB"/>
        </w:rPr>
        <w:t xml:space="preserve"> </w:t>
      </w:r>
      <w:r w:rsidRPr="002019F7">
        <w:rPr>
          <w:szCs w:val="24"/>
          <w:lang w:val="en-GB"/>
        </w:rPr>
        <w:t>determined to be &gt; 1000 mg test item/kg d.w.</w:t>
      </w:r>
    </w:p>
    <w:p w14:paraId="63E346BA" w14:textId="77777777" w:rsidR="00067435" w:rsidRDefault="00067435" w:rsidP="00067435">
      <w:pPr>
        <w:jc w:val="both"/>
        <w:rPr>
          <w:szCs w:val="24"/>
          <w:lang w:val="en-GB"/>
        </w:rPr>
      </w:pPr>
    </w:p>
    <w:p w14:paraId="4FDAD11F" w14:textId="77777777" w:rsidR="00895761" w:rsidRDefault="00895761">
      <w:pPr>
        <w:rPr>
          <w:b/>
          <w:bCs/>
          <w:color w:val="000000" w:themeColor="text1"/>
          <w:sz w:val="24"/>
        </w:rPr>
      </w:pPr>
      <w:r>
        <w:rPr>
          <w:color w:val="000000" w:themeColor="text1"/>
        </w:rPr>
        <w:br w:type="page"/>
      </w:r>
    </w:p>
    <w:p w14:paraId="211D3952" w14:textId="63E1287B" w:rsidR="00067435" w:rsidRPr="00570B52" w:rsidRDefault="00067435" w:rsidP="00067435">
      <w:pPr>
        <w:pStyle w:val="RepAppendix5"/>
        <w:suppressAutoHyphens/>
        <w:outlineLvl w:val="2"/>
        <w:rPr>
          <w:color w:val="000000" w:themeColor="text1"/>
        </w:rPr>
      </w:pPr>
      <w:r w:rsidRPr="00570B52">
        <w:rPr>
          <w:color w:val="000000" w:themeColor="text1"/>
        </w:rPr>
        <w:lastRenderedPageBreak/>
        <w:t xml:space="preserve">Study </w:t>
      </w:r>
      <w:r>
        <w:rPr>
          <w:color w:val="000000" w:themeColor="text1"/>
        </w:rPr>
        <w:t>4</w:t>
      </w:r>
    </w:p>
    <w:p w14:paraId="792CB9E8" w14:textId="0E8B1487" w:rsidR="00067435" w:rsidRDefault="00D007AB" w:rsidP="00067435">
      <w:pPr>
        <w:jc w:val="both"/>
        <w:rPr>
          <w:rStyle w:val="ui-provider"/>
        </w:rPr>
      </w:pPr>
      <w:r>
        <w:rPr>
          <w:rStyle w:val="ui-provider"/>
        </w:rPr>
        <w:t>XXXX</w:t>
      </w:r>
      <w:r w:rsidR="00951256" w:rsidRPr="0071619F">
        <w:rPr>
          <w:rStyle w:val="ui-provider"/>
        </w:rPr>
        <w:t xml:space="preserve"> have a Letter of Access allowing them to rely on this study</w:t>
      </w:r>
    </w:p>
    <w:p w14:paraId="46105C11" w14:textId="77777777" w:rsidR="00951256" w:rsidRDefault="00951256" w:rsidP="00067435">
      <w:pPr>
        <w:jc w:val="both"/>
        <w:rPr>
          <w:szCs w:val="24"/>
          <w:lang w:val="en-GB"/>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067435" w:rsidRPr="00834105" w14:paraId="0DC5CB9D" w14:textId="77777777" w:rsidTr="000576ED">
        <w:tc>
          <w:tcPr>
            <w:tcW w:w="1063" w:type="pct"/>
            <w:shd w:val="clear" w:color="auto" w:fill="D9D9D9" w:themeFill="background1" w:themeFillShade="D9"/>
          </w:tcPr>
          <w:p w14:paraId="43E4DF2F" w14:textId="77777777" w:rsidR="00067435" w:rsidRPr="00834105" w:rsidRDefault="00067435" w:rsidP="00026175">
            <w:pPr>
              <w:widowControl w:val="0"/>
              <w:jc w:val="both"/>
              <w:rPr>
                <w:rFonts w:eastAsia="Batang"/>
                <w:lang w:val="en-GB"/>
              </w:rPr>
            </w:pPr>
            <w:r w:rsidRPr="00834105">
              <w:rPr>
                <w:lang w:val="en-GB"/>
              </w:rPr>
              <w:t>Comments of zRMS:</w:t>
            </w:r>
          </w:p>
        </w:tc>
        <w:tc>
          <w:tcPr>
            <w:tcW w:w="3937" w:type="pct"/>
            <w:shd w:val="clear" w:color="auto" w:fill="D9D9D9" w:themeFill="background1" w:themeFillShade="D9"/>
          </w:tcPr>
          <w:p w14:paraId="3E52E91D" w14:textId="30B96491" w:rsidR="00067435" w:rsidRPr="00834105" w:rsidRDefault="000576ED" w:rsidP="00026175">
            <w:pPr>
              <w:widowControl w:val="0"/>
              <w:ind w:left="85"/>
              <w:jc w:val="both"/>
              <w:rPr>
                <w:rFonts w:eastAsia="Batang"/>
                <w:lang w:val="en-GB"/>
              </w:rPr>
            </w:pPr>
            <w:r>
              <w:rPr>
                <w:rFonts w:eastAsia="Batang"/>
                <w:lang w:val="en-GB"/>
              </w:rPr>
              <w:t xml:space="preserve">Study not evaluated. </w:t>
            </w:r>
          </w:p>
        </w:tc>
      </w:tr>
    </w:tbl>
    <w:p w14:paraId="782103D9" w14:textId="77777777" w:rsidR="00067435" w:rsidRPr="00834105" w:rsidRDefault="00067435" w:rsidP="00067435">
      <w:pPr>
        <w:tabs>
          <w:tab w:val="left" w:pos="720"/>
        </w:tabs>
        <w:spacing w:after="240"/>
        <w:jc w:val="both"/>
        <w:rPr>
          <w:szCs w:val="24"/>
          <w:highlight w:val="yellow"/>
          <w:lang w:val="en-GB"/>
        </w:rPr>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067435" w:rsidRPr="005C4248" w14:paraId="03DCAF25" w14:textId="77777777" w:rsidTr="00026175">
        <w:trPr>
          <w:gridAfter w:val="1"/>
          <w:wAfter w:w="9" w:type="pct"/>
        </w:trPr>
        <w:tc>
          <w:tcPr>
            <w:tcW w:w="1340" w:type="pct"/>
            <w:shd w:val="clear" w:color="auto" w:fill="auto"/>
          </w:tcPr>
          <w:p w14:paraId="259D966B" w14:textId="77777777" w:rsidR="00067435" w:rsidRPr="005C4248" w:rsidRDefault="00067435" w:rsidP="00026175">
            <w:pPr>
              <w:pStyle w:val="RepStandard"/>
            </w:pPr>
            <w:r w:rsidRPr="005C4248">
              <w:t>Reference:</w:t>
            </w:r>
          </w:p>
        </w:tc>
        <w:tc>
          <w:tcPr>
            <w:tcW w:w="3651" w:type="pct"/>
            <w:shd w:val="clear" w:color="auto" w:fill="auto"/>
          </w:tcPr>
          <w:p w14:paraId="29A040A4" w14:textId="02CE3EB1" w:rsidR="00067435" w:rsidRPr="007752C0" w:rsidRDefault="00492133" w:rsidP="00026175">
            <w:pPr>
              <w:pStyle w:val="RepStandard"/>
            </w:pPr>
            <w:r>
              <w:t>None</w:t>
            </w:r>
          </w:p>
        </w:tc>
      </w:tr>
      <w:tr w:rsidR="00067435" w:rsidRPr="005C4248" w14:paraId="5B76F56A" w14:textId="77777777" w:rsidTr="00026175">
        <w:trPr>
          <w:gridAfter w:val="1"/>
          <w:wAfter w:w="9" w:type="pct"/>
        </w:trPr>
        <w:tc>
          <w:tcPr>
            <w:tcW w:w="1340" w:type="pct"/>
            <w:shd w:val="clear" w:color="auto" w:fill="auto"/>
          </w:tcPr>
          <w:p w14:paraId="4437D092" w14:textId="77777777" w:rsidR="00067435" w:rsidRPr="005C4248" w:rsidRDefault="00067435" w:rsidP="00026175">
            <w:pPr>
              <w:pStyle w:val="RepStandard"/>
              <w:spacing w:after="120"/>
            </w:pPr>
            <w:r w:rsidRPr="005C4248">
              <w:t>Report</w:t>
            </w:r>
          </w:p>
        </w:tc>
        <w:tc>
          <w:tcPr>
            <w:tcW w:w="3651" w:type="pct"/>
            <w:shd w:val="clear" w:color="auto" w:fill="auto"/>
          </w:tcPr>
          <w:p w14:paraId="2C49385F" w14:textId="77777777" w:rsidR="00067435" w:rsidRPr="007752C0" w:rsidRDefault="00067435" w:rsidP="00026175">
            <w:pPr>
              <w:widowControl w:val="0"/>
              <w:spacing w:after="120"/>
              <w:jc w:val="both"/>
            </w:pPr>
            <w:r w:rsidRPr="00A27D35">
              <w:rPr>
                <w:lang w:val="en-GB"/>
              </w:rPr>
              <w:t>Propamocarb-hydrochloride SL 722 G: Effects on the reproduction of the predatory mite Hypoaspis aculeifer</w:t>
            </w:r>
          </w:p>
          <w:p w14:paraId="10046B5B" w14:textId="77777777" w:rsidR="00067435" w:rsidRPr="007752C0" w:rsidRDefault="00067435" w:rsidP="00026175">
            <w:pPr>
              <w:widowControl w:val="0"/>
              <w:spacing w:after="120"/>
              <w:jc w:val="both"/>
              <w:rPr>
                <w:lang w:val="en-GB"/>
              </w:rPr>
            </w:pPr>
            <w:r w:rsidRPr="007752C0">
              <w:rPr>
                <w:lang w:val="en-GB"/>
              </w:rPr>
              <w:t>Schulz L., 2014</w:t>
            </w:r>
          </w:p>
          <w:p w14:paraId="1497498B" w14:textId="77777777" w:rsidR="00067435" w:rsidRPr="00A27D35" w:rsidRDefault="00067435" w:rsidP="00026175">
            <w:pPr>
              <w:widowControl w:val="0"/>
              <w:spacing w:after="120"/>
              <w:jc w:val="both"/>
              <w:rPr>
                <w:lang w:val="en-GB"/>
              </w:rPr>
            </w:pPr>
            <w:r w:rsidRPr="00A27D35">
              <w:rPr>
                <w:lang w:val="en-GB"/>
              </w:rPr>
              <w:t>BioChem project No.: 14 10 48 248 S</w:t>
            </w:r>
          </w:p>
          <w:p w14:paraId="44BB2B3F" w14:textId="01A6C8BA" w:rsidR="00067435" w:rsidRPr="007752C0" w:rsidRDefault="00067435" w:rsidP="00492133">
            <w:pPr>
              <w:widowControl w:val="0"/>
              <w:spacing w:after="120"/>
              <w:jc w:val="both"/>
              <w:rPr>
                <w:lang w:val="en-GB"/>
              </w:rPr>
            </w:pPr>
            <w:r w:rsidRPr="00A27D35">
              <w:rPr>
                <w:lang w:val="en-GB"/>
              </w:rPr>
              <w:t>Reference No.: EBPRN020</w:t>
            </w:r>
          </w:p>
        </w:tc>
      </w:tr>
      <w:tr w:rsidR="00067435" w:rsidRPr="005C4248" w14:paraId="64E7FBF0" w14:textId="77777777" w:rsidTr="00026175">
        <w:trPr>
          <w:gridAfter w:val="1"/>
          <w:wAfter w:w="9" w:type="pct"/>
        </w:trPr>
        <w:tc>
          <w:tcPr>
            <w:tcW w:w="1340" w:type="pct"/>
            <w:shd w:val="clear" w:color="auto" w:fill="auto"/>
          </w:tcPr>
          <w:p w14:paraId="7DB1C210" w14:textId="77777777" w:rsidR="00067435" w:rsidRPr="005C4248" w:rsidRDefault="00067435" w:rsidP="00026175">
            <w:pPr>
              <w:pStyle w:val="RepStandard"/>
            </w:pPr>
            <w:r w:rsidRPr="005C4248">
              <w:t>Guideline(s):</w:t>
            </w:r>
          </w:p>
        </w:tc>
        <w:tc>
          <w:tcPr>
            <w:tcW w:w="3651" w:type="pct"/>
            <w:shd w:val="clear" w:color="auto" w:fill="auto"/>
          </w:tcPr>
          <w:p w14:paraId="276EE8DC" w14:textId="77777777" w:rsidR="00067435" w:rsidRPr="007752C0" w:rsidRDefault="00067435" w:rsidP="00026175">
            <w:pPr>
              <w:pStyle w:val="RepStandard"/>
            </w:pPr>
            <w:r w:rsidRPr="007752C0">
              <w:rPr>
                <w:lang w:val="en-GB"/>
              </w:rPr>
              <w:t>OECD 2</w:t>
            </w:r>
            <w:r>
              <w:rPr>
                <w:lang w:val="en-GB"/>
              </w:rPr>
              <w:t>26</w:t>
            </w:r>
            <w:r w:rsidRPr="007752C0">
              <w:rPr>
                <w:lang w:val="en-GB"/>
              </w:rPr>
              <w:t xml:space="preserve"> (200</w:t>
            </w:r>
            <w:r>
              <w:rPr>
                <w:lang w:val="en-GB"/>
              </w:rPr>
              <w:t>8</w:t>
            </w:r>
            <w:r w:rsidRPr="007752C0">
              <w:rPr>
                <w:lang w:val="en-GB"/>
              </w:rPr>
              <w:t>)</w:t>
            </w:r>
          </w:p>
        </w:tc>
      </w:tr>
      <w:tr w:rsidR="00067435" w:rsidRPr="005C4248" w14:paraId="61EA63B5" w14:textId="77777777" w:rsidTr="00026175">
        <w:trPr>
          <w:gridAfter w:val="1"/>
          <w:wAfter w:w="9" w:type="pct"/>
        </w:trPr>
        <w:tc>
          <w:tcPr>
            <w:tcW w:w="1340" w:type="pct"/>
            <w:shd w:val="clear" w:color="auto" w:fill="auto"/>
          </w:tcPr>
          <w:p w14:paraId="32B912FC" w14:textId="77777777" w:rsidR="00067435" w:rsidRPr="005C4248" w:rsidRDefault="00067435" w:rsidP="00026175">
            <w:pPr>
              <w:pStyle w:val="RepStandard"/>
            </w:pPr>
            <w:r w:rsidRPr="005C4248">
              <w:t>Deviations:</w:t>
            </w:r>
          </w:p>
        </w:tc>
        <w:tc>
          <w:tcPr>
            <w:tcW w:w="3651" w:type="pct"/>
            <w:shd w:val="clear" w:color="auto" w:fill="auto"/>
          </w:tcPr>
          <w:p w14:paraId="011A1D80" w14:textId="77777777" w:rsidR="00067435" w:rsidRPr="007752C0" w:rsidRDefault="00067435" w:rsidP="00026175">
            <w:pPr>
              <w:pStyle w:val="RepStandard"/>
              <w:spacing w:after="120"/>
            </w:pPr>
            <w:r w:rsidRPr="007752C0">
              <w:t xml:space="preserve">No </w:t>
            </w:r>
          </w:p>
        </w:tc>
      </w:tr>
      <w:tr w:rsidR="00067435" w:rsidRPr="005C4248" w14:paraId="09300B1B" w14:textId="77777777" w:rsidTr="00026175">
        <w:tc>
          <w:tcPr>
            <w:tcW w:w="1340" w:type="pct"/>
            <w:shd w:val="clear" w:color="auto" w:fill="auto"/>
          </w:tcPr>
          <w:p w14:paraId="77FFF709" w14:textId="77777777" w:rsidR="00067435" w:rsidRPr="005C4248" w:rsidRDefault="00067435" w:rsidP="00026175">
            <w:pPr>
              <w:pStyle w:val="RepStandard"/>
            </w:pPr>
            <w:r w:rsidRPr="005C4248">
              <w:t>GLP:</w:t>
            </w:r>
          </w:p>
        </w:tc>
        <w:tc>
          <w:tcPr>
            <w:tcW w:w="3660" w:type="pct"/>
            <w:gridSpan w:val="2"/>
            <w:shd w:val="clear" w:color="auto" w:fill="auto"/>
          </w:tcPr>
          <w:p w14:paraId="31B5093C" w14:textId="77777777" w:rsidR="00067435" w:rsidRPr="007752C0" w:rsidRDefault="00067435" w:rsidP="00026175">
            <w:pPr>
              <w:tabs>
                <w:tab w:val="left" w:pos="425"/>
                <w:tab w:val="left" w:pos="850"/>
              </w:tabs>
              <w:spacing w:after="120"/>
              <w:ind w:left="1985" w:hanging="1985"/>
              <w:rPr>
                <w:b/>
              </w:rPr>
            </w:pPr>
            <w:r w:rsidRPr="007752C0">
              <w:t>yes</w:t>
            </w:r>
          </w:p>
        </w:tc>
      </w:tr>
      <w:tr w:rsidR="00067435" w:rsidRPr="005C4248" w14:paraId="5514D356" w14:textId="77777777" w:rsidTr="00026175">
        <w:trPr>
          <w:gridAfter w:val="1"/>
          <w:wAfter w:w="9" w:type="pct"/>
        </w:trPr>
        <w:tc>
          <w:tcPr>
            <w:tcW w:w="1340" w:type="pct"/>
            <w:shd w:val="clear" w:color="auto" w:fill="auto"/>
          </w:tcPr>
          <w:p w14:paraId="1326C927" w14:textId="77777777" w:rsidR="00067435" w:rsidRPr="005C4248" w:rsidRDefault="00067435" w:rsidP="00026175">
            <w:pPr>
              <w:pStyle w:val="RepStandard"/>
            </w:pPr>
            <w:r w:rsidRPr="005C4248">
              <w:t>Acceptability:</w:t>
            </w:r>
          </w:p>
        </w:tc>
        <w:tc>
          <w:tcPr>
            <w:tcW w:w="3651" w:type="pct"/>
            <w:shd w:val="clear" w:color="auto" w:fill="auto"/>
          </w:tcPr>
          <w:p w14:paraId="51FF9570" w14:textId="77777777" w:rsidR="00067435" w:rsidRPr="007752C0" w:rsidRDefault="00067435" w:rsidP="00026175">
            <w:pPr>
              <w:pStyle w:val="RepStandard"/>
            </w:pPr>
            <w:r w:rsidRPr="007752C0">
              <w:t xml:space="preserve">Yes </w:t>
            </w:r>
          </w:p>
        </w:tc>
      </w:tr>
      <w:tr w:rsidR="00067435" w:rsidRPr="005C4248" w14:paraId="6C81A005" w14:textId="77777777" w:rsidTr="00026175">
        <w:trPr>
          <w:gridAfter w:val="1"/>
          <w:wAfter w:w="9" w:type="pct"/>
        </w:trPr>
        <w:tc>
          <w:tcPr>
            <w:tcW w:w="1340" w:type="pct"/>
            <w:shd w:val="clear" w:color="auto" w:fill="auto"/>
          </w:tcPr>
          <w:p w14:paraId="1AFC686E" w14:textId="77777777" w:rsidR="00067435" w:rsidRPr="005C4248" w:rsidRDefault="00067435" w:rsidP="00026175">
            <w:pPr>
              <w:pStyle w:val="RepStandard"/>
            </w:pPr>
            <w:r w:rsidRPr="005C4248">
              <w:t xml:space="preserve">Duplication </w:t>
            </w:r>
            <w:r w:rsidRPr="005C4248">
              <w:br/>
              <w:t>(if vertebrate study)</w:t>
            </w:r>
          </w:p>
        </w:tc>
        <w:tc>
          <w:tcPr>
            <w:tcW w:w="3651" w:type="pct"/>
            <w:shd w:val="clear" w:color="auto" w:fill="auto"/>
          </w:tcPr>
          <w:p w14:paraId="603F03CC" w14:textId="77777777" w:rsidR="00067435" w:rsidRPr="007752C0" w:rsidRDefault="00067435" w:rsidP="00026175">
            <w:pPr>
              <w:pStyle w:val="RepStandard"/>
              <w:spacing w:after="120"/>
            </w:pPr>
            <w:r w:rsidRPr="007752C0">
              <w:t xml:space="preserve">No </w:t>
            </w:r>
          </w:p>
        </w:tc>
      </w:tr>
    </w:tbl>
    <w:p w14:paraId="43E4C3C5" w14:textId="77777777" w:rsidR="00067435" w:rsidRDefault="00067435" w:rsidP="00067435">
      <w:pPr>
        <w:rPr>
          <w:b/>
          <w:szCs w:val="32"/>
          <w:lang w:val="en-GB"/>
        </w:rPr>
      </w:pPr>
    </w:p>
    <w:p w14:paraId="3A374265" w14:textId="77777777" w:rsidR="00067435" w:rsidRPr="00834105" w:rsidRDefault="00067435" w:rsidP="00067435">
      <w:pPr>
        <w:rPr>
          <w:b/>
          <w:szCs w:val="32"/>
          <w:lang w:val="en-GB"/>
        </w:rPr>
      </w:pPr>
      <w:r w:rsidRPr="00834105">
        <w:rPr>
          <w:b/>
          <w:szCs w:val="32"/>
          <w:lang w:val="en-GB"/>
        </w:rPr>
        <w:t>Executive Summary</w:t>
      </w:r>
    </w:p>
    <w:p w14:paraId="74FAF0C2" w14:textId="77777777" w:rsidR="00067435" w:rsidRPr="00A27D35" w:rsidRDefault="00067435" w:rsidP="00067435">
      <w:pPr>
        <w:widowControl w:val="0"/>
        <w:tabs>
          <w:tab w:val="left" w:pos="720"/>
        </w:tabs>
        <w:suppressAutoHyphens/>
        <w:jc w:val="both"/>
        <w:rPr>
          <w:highlight w:val="yellow"/>
          <w:lang w:val="en-GB"/>
        </w:rPr>
      </w:pPr>
      <w:r w:rsidRPr="00A27D35">
        <w:rPr>
          <w:lang w:val="en-GB"/>
        </w:rPr>
        <w:t xml:space="preserve">The effects of Propamocarb-hydrochloride SL 722 G on mortality and reproduction of the predatory mite </w:t>
      </w:r>
      <w:r w:rsidRPr="00A27D35">
        <w:rPr>
          <w:i/>
          <w:lang w:val="en-GB"/>
        </w:rPr>
        <w:t>Hypoaspis aculeifer</w:t>
      </w:r>
      <w:r w:rsidRPr="00A27D35">
        <w:rPr>
          <w:lang w:val="en-GB"/>
        </w:rPr>
        <w:t xml:space="preserve"> were investigated in a laboratory study over 14 days. A limit test concentrations of 1000 mg test item/kg dry soil were incorporated into the soil with 8 replicates per concentration. An untreated control with 8 replicates was included. Each replicate treatment contained 10 adult female mites. The reference item was tested in a separate study. Assessment of mortality and reproduction (number of juveniles) was carried out after 14 days.</w:t>
      </w:r>
    </w:p>
    <w:p w14:paraId="33F05B3F" w14:textId="77777777" w:rsidR="00067435" w:rsidRPr="00A27D35" w:rsidRDefault="00067435" w:rsidP="00067435">
      <w:pPr>
        <w:widowControl w:val="0"/>
        <w:tabs>
          <w:tab w:val="left" w:pos="720"/>
        </w:tabs>
        <w:suppressAutoHyphens/>
        <w:jc w:val="both"/>
        <w:rPr>
          <w:highlight w:val="yellow"/>
          <w:lang w:val="en-GB"/>
        </w:rPr>
      </w:pPr>
    </w:p>
    <w:p w14:paraId="632CAC26" w14:textId="77777777" w:rsidR="00067435" w:rsidRPr="00A27D35" w:rsidRDefault="00067435" w:rsidP="00067435">
      <w:pPr>
        <w:widowControl w:val="0"/>
        <w:tabs>
          <w:tab w:val="left" w:pos="720"/>
        </w:tabs>
        <w:suppressAutoHyphens/>
        <w:jc w:val="both"/>
        <w:rPr>
          <w:lang w:val="en-GB"/>
        </w:rPr>
      </w:pPr>
      <w:r w:rsidRPr="00A27D35">
        <w:rPr>
          <w:lang w:val="en-GB"/>
        </w:rPr>
        <w:t xml:space="preserve">The mortality was between 1.3% in the test item treatment groups, compared to 5.0% in the control. The mortality observed was not statistically significantly different compared to the control. </w:t>
      </w:r>
      <w:r w:rsidRPr="00A27D35">
        <w:rPr>
          <w:bCs/>
          <w:lang w:val="en-GB"/>
        </w:rPr>
        <w:t>Reproduction rates in the 1000 mg test item/kg dry soil groups was 311.5 juveniles. The mean reproduction in the control reached 305.5 juveniles. The test item showed no statistically significantly adverse effects on reproduction at all tested concentrations</w:t>
      </w:r>
      <w:r w:rsidRPr="00A27D35">
        <w:rPr>
          <w:lang w:val="en-GB"/>
        </w:rPr>
        <w:t>. No behavioral abnormalities or differences in morphology of the mites between the test item treated groups and the control were observed.</w:t>
      </w:r>
    </w:p>
    <w:p w14:paraId="43D50C84" w14:textId="77777777" w:rsidR="00067435" w:rsidRPr="00A27D35" w:rsidRDefault="00067435" w:rsidP="00067435">
      <w:pPr>
        <w:widowControl w:val="0"/>
        <w:tabs>
          <w:tab w:val="left" w:pos="720"/>
        </w:tabs>
        <w:suppressAutoHyphens/>
        <w:jc w:val="both"/>
        <w:rPr>
          <w:highlight w:val="yellow"/>
          <w:lang w:val="en-GB"/>
        </w:rPr>
      </w:pPr>
    </w:p>
    <w:p w14:paraId="5F4DEE35" w14:textId="77777777" w:rsidR="00067435" w:rsidRPr="00A27D35" w:rsidRDefault="00067435" w:rsidP="00067435">
      <w:pPr>
        <w:widowControl w:val="0"/>
        <w:suppressAutoHyphens/>
        <w:jc w:val="both"/>
        <w:rPr>
          <w:bCs/>
          <w:lang w:val="en-GB"/>
        </w:rPr>
      </w:pPr>
      <w:r w:rsidRPr="00A27D35">
        <w:rPr>
          <w:bCs/>
          <w:lang w:val="en-GB"/>
        </w:rPr>
        <w:t xml:space="preserve">In a 14-day </w:t>
      </w:r>
      <w:r w:rsidRPr="00A27D35">
        <w:rPr>
          <w:bCs/>
          <w:i/>
          <w:lang w:val="en-GB"/>
        </w:rPr>
        <w:t>Hypoaspis aculeifer</w:t>
      </w:r>
      <w:r w:rsidRPr="00A27D35">
        <w:rPr>
          <w:bCs/>
          <w:lang w:val="en-GB"/>
        </w:rPr>
        <w:t xml:space="preserve"> reproduction study with </w:t>
      </w:r>
      <w:r w:rsidRPr="00A27D35">
        <w:rPr>
          <w:lang w:val="en-GB"/>
        </w:rPr>
        <w:t>Propamocarb-hydrochloride SL 722 G</w:t>
      </w:r>
      <w:r w:rsidRPr="00A27D35">
        <w:rPr>
          <w:bCs/>
          <w:lang w:val="en-GB"/>
        </w:rPr>
        <w:t>, the LC</w:t>
      </w:r>
      <w:r w:rsidRPr="00A27D35">
        <w:rPr>
          <w:bCs/>
          <w:vertAlign w:val="subscript"/>
          <w:lang w:val="en-GB"/>
        </w:rPr>
        <w:t>50</w:t>
      </w:r>
      <w:r w:rsidRPr="00A27D35">
        <w:rPr>
          <w:bCs/>
          <w:lang w:val="en-GB"/>
        </w:rPr>
        <w:t>, EC</w:t>
      </w:r>
      <w:r w:rsidRPr="00A27D35">
        <w:rPr>
          <w:bCs/>
          <w:vertAlign w:val="subscript"/>
          <w:lang w:val="en-GB"/>
        </w:rPr>
        <w:t>10</w:t>
      </w:r>
      <w:r w:rsidRPr="00A27D35">
        <w:rPr>
          <w:bCs/>
          <w:lang w:val="en-GB"/>
        </w:rPr>
        <w:t>, EC</w:t>
      </w:r>
      <w:r w:rsidRPr="00A27D35">
        <w:rPr>
          <w:bCs/>
          <w:vertAlign w:val="subscript"/>
          <w:lang w:val="en-GB"/>
        </w:rPr>
        <w:t>20</w:t>
      </w:r>
      <w:r w:rsidRPr="00A27D35">
        <w:rPr>
          <w:bCs/>
          <w:lang w:val="en-GB"/>
        </w:rPr>
        <w:t xml:space="preserve"> and EC</w:t>
      </w:r>
      <w:r w:rsidRPr="00A27D35">
        <w:rPr>
          <w:bCs/>
          <w:vertAlign w:val="subscript"/>
          <w:lang w:val="en-GB"/>
        </w:rPr>
        <w:t>50</w:t>
      </w:r>
      <w:r w:rsidRPr="00A27D35">
        <w:rPr>
          <w:bCs/>
          <w:lang w:val="en-GB"/>
        </w:rPr>
        <w:t xml:space="preserve"> values could not be calculated, but it can be concluded that these values are higher than 1000 mg test item/kg dry soil, respectively. The NOEC for mortality and for reproduction were determined to be ≥ 1000 mg test item/kg dry soil.</w:t>
      </w:r>
    </w:p>
    <w:p w14:paraId="4BB84151" w14:textId="77777777" w:rsidR="00067435" w:rsidRPr="00A27D35" w:rsidRDefault="00067435" w:rsidP="00067435">
      <w:pPr>
        <w:widowControl w:val="0"/>
        <w:suppressAutoHyphens/>
        <w:jc w:val="both"/>
        <w:rPr>
          <w:highlight w:val="yellow"/>
          <w:lang w:val="en-GB"/>
        </w:rPr>
      </w:pPr>
    </w:p>
    <w:p w14:paraId="76AEA700" w14:textId="77777777" w:rsidR="00067435" w:rsidRPr="00834105" w:rsidRDefault="00067435" w:rsidP="00067435">
      <w:pPr>
        <w:tabs>
          <w:tab w:val="left" w:pos="720"/>
        </w:tabs>
        <w:spacing w:after="240"/>
        <w:ind w:left="720" w:hanging="431"/>
        <w:contextualSpacing/>
        <w:rPr>
          <w:rFonts w:ascii="Times New Roman Bold" w:hAnsi="Times New Roman Bold"/>
          <w:b/>
          <w:bCs/>
          <w:caps/>
          <w:szCs w:val="24"/>
          <w:lang w:val="en-GB"/>
        </w:rPr>
      </w:pPr>
      <w:r w:rsidRPr="00834105">
        <w:rPr>
          <w:rFonts w:ascii="Times New Roman Bold" w:hAnsi="Times New Roman Bold"/>
          <w:b/>
          <w:bCs/>
          <w:caps/>
          <w:szCs w:val="24"/>
          <w:lang w:val="en-GB"/>
        </w:rPr>
        <w:t>I.</w:t>
      </w:r>
      <w:r w:rsidRPr="00834105">
        <w:rPr>
          <w:rFonts w:ascii="Times New Roman Bold" w:hAnsi="Times New Roman Bold"/>
          <w:b/>
          <w:bCs/>
          <w:caps/>
          <w:szCs w:val="24"/>
          <w:lang w:val="en-GB"/>
        </w:rPr>
        <w:tab/>
        <w:t>MATERIALS AND METHODS</w:t>
      </w:r>
    </w:p>
    <w:p w14:paraId="25499E64" w14:textId="77777777" w:rsidR="00067435" w:rsidRPr="00834105" w:rsidRDefault="00067435" w:rsidP="00067435">
      <w:pPr>
        <w:tabs>
          <w:tab w:val="left" w:pos="0"/>
        </w:tabs>
        <w:ind w:left="357" w:hanging="357"/>
        <w:contextualSpacing/>
        <w:rPr>
          <w:rFonts w:ascii="Times New Roman Bold" w:hAnsi="Times New Roman Bold"/>
          <w:b/>
          <w:bCs/>
          <w:caps/>
          <w:szCs w:val="24"/>
          <w:lang w:val="en-GB"/>
        </w:rPr>
      </w:pPr>
      <w:r w:rsidRPr="00834105">
        <w:rPr>
          <w:rFonts w:ascii="Times New Roman Bold" w:hAnsi="Times New Roman Bold"/>
          <w:b/>
          <w:bCs/>
          <w:caps/>
          <w:szCs w:val="24"/>
          <w:lang w:val="en-GB"/>
        </w:rPr>
        <w:t>A.</w:t>
      </w:r>
      <w:r w:rsidRPr="00834105">
        <w:rPr>
          <w:rFonts w:ascii="Times New Roman Bold" w:hAnsi="Times New Roman Bold"/>
          <w:b/>
          <w:bCs/>
          <w:caps/>
          <w:szCs w:val="24"/>
          <w:lang w:val="en-GB"/>
        </w:rPr>
        <w:tab/>
        <w:t>MATERIALS</w:t>
      </w: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834105" w14:paraId="7640A0F1" w14:textId="77777777" w:rsidTr="00026175">
        <w:trPr>
          <w:cantSplit/>
          <w:trHeight w:hRule="exact" w:val="340"/>
        </w:trPr>
        <w:tc>
          <w:tcPr>
            <w:tcW w:w="3969" w:type="dxa"/>
          </w:tcPr>
          <w:p w14:paraId="144E31AE" w14:textId="77777777" w:rsidR="00067435" w:rsidRPr="00834105" w:rsidRDefault="00067435" w:rsidP="00E05ECD">
            <w:pPr>
              <w:numPr>
                <w:ilvl w:val="0"/>
                <w:numId w:val="120"/>
              </w:numPr>
              <w:tabs>
                <w:tab w:val="left" w:pos="255"/>
              </w:tabs>
              <w:spacing w:after="240"/>
              <w:contextualSpacing/>
              <w:rPr>
                <w:rFonts w:ascii="Times New Roman" w:hAnsi="Times New Roman"/>
                <w:b/>
                <w:bCs/>
                <w:szCs w:val="24"/>
                <w:lang w:val="en-GB"/>
              </w:rPr>
            </w:pPr>
            <w:r w:rsidRPr="00834105">
              <w:rPr>
                <w:rFonts w:ascii="Times New Roman" w:hAnsi="Times New Roman"/>
                <w:b/>
                <w:bCs/>
                <w:szCs w:val="24"/>
                <w:lang w:val="en-GB"/>
              </w:rPr>
              <w:t>Test item:</w:t>
            </w:r>
          </w:p>
        </w:tc>
        <w:tc>
          <w:tcPr>
            <w:tcW w:w="5381" w:type="dxa"/>
          </w:tcPr>
          <w:p w14:paraId="16D4A167" w14:textId="77777777" w:rsidR="00067435" w:rsidRPr="00834105"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Propamocarb-hydrochloride SL 722 G</w:t>
            </w:r>
          </w:p>
        </w:tc>
      </w:tr>
      <w:tr w:rsidR="00067435" w:rsidRPr="00834105" w14:paraId="5646A5E9" w14:textId="77777777" w:rsidTr="00026175">
        <w:trPr>
          <w:cantSplit/>
          <w:trHeight w:hRule="exact" w:val="397"/>
        </w:trPr>
        <w:tc>
          <w:tcPr>
            <w:tcW w:w="3969" w:type="dxa"/>
          </w:tcPr>
          <w:p w14:paraId="286B240E"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Lot/Batch:</w:t>
            </w:r>
          </w:p>
        </w:tc>
        <w:tc>
          <w:tcPr>
            <w:tcW w:w="5381" w:type="dxa"/>
          </w:tcPr>
          <w:p w14:paraId="3152F325" w14:textId="77777777" w:rsidR="00067435" w:rsidRPr="00834105"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NP65DX4580</w:t>
            </w:r>
          </w:p>
        </w:tc>
      </w:tr>
      <w:tr w:rsidR="00067435" w:rsidRPr="00F03DE2" w14:paraId="38F06B1D" w14:textId="77777777" w:rsidTr="00026175">
        <w:trPr>
          <w:cantSplit/>
          <w:trHeight w:hRule="exact" w:val="630"/>
        </w:trPr>
        <w:tc>
          <w:tcPr>
            <w:tcW w:w="3969" w:type="dxa"/>
          </w:tcPr>
          <w:p w14:paraId="6F57C2D1"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Active substance content:</w:t>
            </w:r>
          </w:p>
        </w:tc>
        <w:tc>
          <w:tcPr>
            <w:tcW w:w="5381" w:type="dxa"/>
          </w:tcPr>
          <w:p w14:paraId="14D9D0B4" w14:textId="77777777" w:rsidR="00067435" w:rsidRPr="003B09BC" w:rsidRDefault="00067435" w:rsidP="00026175">
            <w:pPr>
              <w:tabs>
                <w:tab w:val="left" w:pos="720"/>
              </w:tabs>
              <w:spacing w:line="276" w:lineRule="auto"/>
              <w:jc w:val="both"/>
              <w:rPr>
                <w:rFonts w:ascii="Times New Roman" w:hAnsi="Times New Roman"/>
                <w:szCs w:val="24"/>
                <w:lang w:val="fr-FR"/>
              </w:rPr>
            </w:pPr>
            <w:r w:rsidRPr="003B09BC">
              <w:rPr>
                <w:rFonts w:ascii="Times New Roman" w:hAnsi="Times New Roman"/>
                <w:szCs w:val="24"/>
                <w:lang w:val="fr-FR"/>
              </w:rPr>
              <w:t>Propamocarb hydrochloride 722 g/L (nominal),</w:t>
            </w:r>
          </w:p>
          <w:p w14:paraId="032837C6" w14:textId="77777777" w:rsidR="00067435" w:rsidRPr="003B09BC" w:rsidRDefault="00067435" w:rsidP="00026175">
            <w:pPr>
              <w:tabs>
                <w:tab w:val="left" w:pos="720"/>
              </w:tabs>
              <w:spacing w:line="276" w:lineRule="auto"/>
              <w:jc w:val="both"/>
              <w:rPr>
                <w:rFonts w:ascii="Times New Roman" w:hAnsi="Times New Roman"/>
                <w:szCs w:val="24"/>
                <w:lang w:val="pl-PL"/>
              </w:rPr>
            </w:pPr>
            <w:r w:rsidRPr="003B09BC">
              <w:rPr>
                <w:rFonts w:ascii="Times New Roman" w:hAnsi="Times New Roman"/>
                <w:szCs w:val="24"/>
                <w:lang w:val="pl-PL"/>
              </w:rPr>
              <w:t>67.7 % w/w, 729.1 g/L (analysed)</w:t>
            </w:r>
          </w:p>
        </w:tc>
      </w:tr>
      <w:tr w:rsidR="00067435" w:rsidRPr="00834105" w14:paraId="00249539" w14:textId="77777777" w:rsidTr="00026175">
        <w:trPr>
          <w:cantSplit/>
          <w:trHeight w:hRule="exact" w:val="340"/>
        </w:trPr>
        <w:tc>
          <w:tcPr>
            <w:tcW w:w="3969" w:type="dxa"/>
          </w:tcPr>
          <w:p w14:paraId="7A4A1C9D"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Density:</w:t>
            </w:r>
          </w:p>
        </w:tc>
        <w:tc>
          <w:tcPr>
            <w:tcW w:w="5381" w:type="dxa"/>
          </w:tcPr>
          <w:p w14:paraId="0838A528" w14:textId="77777777" w:rsidR="00067435" w:rsidRPr="00834105"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1.077 g/mL</w:t>
            </w:r>
          </w:p>
        </w:tc>
      </w:tr>
      <w:tr w:rsidR="00067435" w:rsidRPr="00A27D35" w14:paraId="0A0A63B4" w14:textId="77777777" w:rsidTr="00026175">
        <w:trPr>
          <w:cantSplit/>
          <w:trHeight w:hRule="exact" w:val="340"/>
        </w:trPr>
        <w:tc>
          <w:tcPr>
            <w:tcW w:w="3969" w:type="dxa"/>
          </w:tcPr>
          <w:p w14:paraId="167D6D32" w14:textId="77777777" w:rsidR="00067435" w:rsidRPr="002658FC" w:rsidRDefault="00067435" w:rsidP="00026175">
            <w:pPr>
              <w:tabs>
                <w:tab w:val="left" w:pos="624"/>
              </w:tabs>
              <w:spacing w:after="240"/>
              <w:ind w:left="624"/>
              <w:rPr>
                <w:rFonts w:ascii="Times New Roman" w:hAnsi="Times New Roman"/>
                <w:b/>
                <w:bCs/>
                <w:szCs w:val="24"/>
                <w:lang w:val="en-GB"/>
              </w:rPr>
            </w:pPr>
            <w:r w:rsidRPr="002658FC">
              <w:rPr>
                <w:rFonts w:ascii="Times New Roman" w:hAnsi="Times New Roman"/>
                <w:b/>
                <w:bCs/>
                <w:szCs w:val="24"/>
                <w:lang w:val="en-GB"/>
              </w:rPr>
              <w:lastRenderedPageBreak/>
              <w:t>Storage conditions:</w:t>
            </w:r>
          </w:p>
        </w:tc>
        <w:tc>
          <w:tcPr>
            <w:tcW w:w="5381" w:type="dxa"/>
          </w:tcPr>
          <w:p w14:paraId="64D2E790" w14:textId="77777777" w:rsidR="00067435" w:rsidRPr="002658FC"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25 ± 5 °C, +2 °C to +30 °C are also acceptable</w:t>
            </w:r>
          </w:p>
        </w:tc>
      </w:tr>
      <w:tr w:rsidR="00067435" w:rsidRPr="00834105" w14:paraId="38F32460" w14:textId="77777777" w:rsidTr="00026175">
        <w:trPr>
          <w:cantSplit/>
          <w:trHeight w:hRule="exact" w:val="340"/>
        </w:trPr>
        <w:tc>
          <w:tcPr>
            <w:tcW w:w="3969" w:type="dxa"/>
          </w:tcPr>
          <w:p w14:paraId="4B9F94A8" w14:textId="77777777" w:rsidR="00067435" w:rsidRPr="002658FC" w:rsidRDefault="00067435" w:rsidP="00026175">
            <w:pPr>
              <w:tabs>
                <w:tab w:val="left" w:pos="624"/>
              </w:tabs>
              <w:spacing w:after="240"/>
              <w:ind w:left="624"/>
              <w:rPr>
                <w:rFonts w:ascii="Times New Roman" w:hAnsi="Times New Roman"/>
                <w:b/>
                <w:bCs/>
                <w:szCs w:val="24"/>
                <w:lang w:val="en-GB"/>
              </w:rPr>
            </w:pPr>
            <w:r w:rsidRPr="002658FC">
              <w:rPr>
                <w:rFonts w:ascii="Times New Roman" w:hAnsi="Times New Roman"/>
                <w:b/>
                <w:bCs/>
                <w:szCs w:val="24"/>
                <w:lang w:val="en-GB"/>
              </w:rPr>
              <w:t>Stability</w:t>
            </w:r>
          </w:p>
        </w:tc>
        <w:tc>
          <w:tcPr>
            <w:tcW w:w="5381" w:type="dxa"/>
          </w:tcPr>
          <w:p w14:paraId="4416C793" w14:textId="77777777" w:rsidR="00067435" w:rsidRPr="002658FC"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07.07.2015</w:t>
            </w:r>
          </w:p>
        </w:tc>
      </w:tr>
      <w:tr w:rsidR="00067435" w:rsidRPr="00834105" w14:paraId="724AA385" w14:textId="77777777" w:rsidTr="00026175">
        <w:trPr>
          <w:cantSplit/>
          <w:trHeight w:hRule="exact" w:val="397"/>
        </w:trPr>
        <w:tc>
          <w:tcPr>
            <w:tcW w:w="3969" w:type="dxa"/>
          </w:tcPr>
          <w:p w14:paraId="62C745C6" w14:textId="77777777" w:rsidR="00067435" w:rsidRPr="00834105" w:rsidRDefault="00067435" w:rsidP="00E05ECD">
            <w:pPr>
              <w:numPr>
                <w:ilvl w:val="0"/>
                <w:numId w:val="120"/>
              </w:numPr>
              <w:tabs>
                <w:tab w:val="left" w:pos="255"/>
              </w:tabs>
              <w:spacing w:after="240"/>
              <w:contextualSpacing/>
              <w:rPr>
                <w:rFonts w:ascii="Times New Roman" w:hAnsi="Times New Roman"/>
                <w:b/>
                <w:bCs/>
                <w:szCs w:val="24"/>
                <w:lang w:val="en-GB"/>
              </w:rPr>
            </w:pPr>
            <w:r w:rsidRPr="00834105">
              <w:rPr>
                <w:rFonts w:ascii="Times New Roman" w:hAnsi="Times New Roman"/>
                <w:b/>
                <w:bCs/>
                <w:szCs w:val="24"/>
                <w:lang w:val="en-GB"/>
              </w:rPr>
              <w:t>Control:</w:t>
            </w:r>
          </w:p>
        </w:tc>
        <w:tc>
          <w:tcPr>
            <w:tcW w:w="5381" w:type="dxa"/>
          </w:tcPr>
          <w:p w14:paraId="11CCA109" w14:textId="77777777" w:rsidR="00067435" w:rsidRPr="00834105" w:rsidRDefault="00067435" w:rsidP="00026175">
            <w:pPr>
              <w:tabs>
                <w:tab w:val="left" w:pos="720"/>
              </w:tabs>
              <w:spacing w:after="240"/>
              <w:rPr>
                <w:rFonts w:ascii="Times New Roman" w:hAnsi="Times New Roman"/>
                <w:szCs w:val="24"/>
                <w:lang w:val="en-GB"/>
              </w:rPr>
            </w:pPr>
            <w:r w:rsidRPr="00834105">
              <w:rPr>
                <w:rFonts w:ascii="Times New Roman" w:hAnsi="Times New Roman"/>
                <w:szCs w:val="24"/>
                <w:lang w:val="en-GB"/>
              </w:rPr>
              <w:t>Untreated substrate</w:t>
            </w:r>
          </w:p>
        </w:tc>
      </w:tr>
      <w:tr w:rsidR="00067435" w:rsidRPr="00A27D35" w14:paraId="383DA9D3" w14:textId="77777777" w:rsidTr="00026175">
        <w:trPr>
          <w:cantSplit/>
          <w:trHeight w:hRule="exact" w:val="567"/>
        </w:trPr>
        <w:tc>
          <w:tcPr>
            <w:tcW w:w="3969" w:type="dxa"/>
          </w:tcPr>
          <w:p w14:paraId="34700992" w14:textId="77777777" w:rsidR="00067435" w:rsidRPr="00834105" w:rsidRDefault="00067435" w:rsidP="00E05ECD">
            <w:pPr>
              <w:numPr>
                <w:ilvl w:val="0"/>
                <w:numId w:val="121"/>
              </w:numPr>
              <w:tabs>
                <w:tab w:val="left" w:pos="255"/>
              </w:tabs>
              <w:spacing w:after="240"/>
              <w:ind w:left="681" w:hanging="397"/>
              <w:contextualSpacing/>
              <w:rPr>
                <w:rFonts w:ascii="Times New Roman" w:hAnsi="Times New Roman"/>
                <w:b/>
                <w:bCs/>
                <w:szCs w:val="24"/>
                <w:lang w:val="en-GB"/>
              </w:rPr>
            </w:pPr>
            <w:r w:rsidRPr="00834105">
              <w:rPr>
                <w:rFonts w:ascii="Times New Roman" w:hAnsi="Times New Roman"/>
                <w:b/>
                <w:bCs/>
                <w:szCs w:val="24"/>
                <w:lang w:val="en-GB"/>
              </w:rPr>
              <w:t>Reference item:</w:t>
            </w:r>
          </w:p>
        </w:tc>
        <w:tc>
          <w:tcPr>
            <w:tcW w:w="5381" w:type="dxa"/>
          </w:tcPr>
          <w:p w14:paraId="492C0160"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szCs w:val="24"/>
                <w:lang w:val="en-GB"/>
              </w:rPr>
              <w:t>Dimethoate</w:t>
            </w:r>
            <w:r w:rsidRPr="002658FC">
              <w:rPr>
                <w:rFonts w:ascii="Times New Roman" w:hAnsi="Times New Roman"/>
                <w:szCs w:val="24"/>
                <w:lang w:val="en-GB"/>
              </w:rPr>
              <w:t>.</w:t>
            </w:r>
            <w:r w:rsidRPr="00834105">
              <w:rPr>
                <w:rFonts w:ascii="Times New Roman" w:hAnsi="Times New Roman"/>
                <w:szCs w:val="24"/>
                <w:lang w:val="en-GB"/>
              </w:rPr>
              <w:t xml:space="preserve"> The effects of the reference item were investigated in a separate study.</w:t>
            </w:r>
          </w:p>
        </w:tc>
      </w:tr>
    </w:tbl>
    <w:p w14:paraId="30A8D759" w14:textId="77777777" w:rsidR="00067435" w:rsidRPr="00834105" w:rsidRDefault="00067435" w:rsidP="00067435">
      <w:pPr>
        <w:tabs>
          <w:tab w:val="left" w:pos="0"/>
        </w:tabs>
        <w:ind w:left="357" w:hanging="357"/>
        <w:contextualSpacing/>
        <w:rPr>
          <w:b/>
          <w:bCs/>
          <w:caps/>
          <w:szCs w:val="24"/>
          <w:highlight w:val="yellow"/>
          <w:lang w:val="en-GB"/>
        </w:rPr>
      </w:pPr>
    </w:p>
    <w:p w14:paraId="585A470D" w14:textId="77777777" w:rsidR="00067435" w:rsidRPr="00834105" w:rsidRDefault="00067435" w:rsidP="00067435">
      <w:pPr>
        <w:tabs>
          <w:tab w:val="left" w:pos="0"/>
        </w:tabs>
        <w:ind w:left="357" w:hanging="357"/>
        <w:contextualSpacing/>
        <w:rPr>
          <w:b/>
          <w:bCs/>
          <w:caps/>
          <w:szCs w:val="24"/>
          <w:lang w:val="en-GB"/>
        </w:rPr>
      </w:pPr>
      <w:r w:rsidRPr="00834105">
        <w:rPr>
          <w:b/>
          <w:bCs/>
          <w:caps/>
          <w:szCs w:val="24"/>
          <w:lang w:val="en-GB"/>
        </w:rPr>
        <w:t>B.</w:t>
      </w:r>
      <w:r w:rsidRPr="00834105">
        <w:rPr>
          <w:b/>
          <w:bCs/>
          <w:caps/>
          <w:szCs w:val="24"/>
          <w:lang w:val="en-GB"/>
        </w:rPr>
        <w:tab/>
        <w:t>study design and methods</w:t>
      </w:r>
    </w:p>
    <w:tbl>
      <w:tblPr>
        <w:tblStyle w:val="TableGrid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381"/>
      </w:tblGrid>
      <w:tr w:rsidR="00067435" w:rsidRPr="00834105" w14:paraId="6A89D84E" w14:textId="77777777" w:rsidTr="00026175">
        <w:trPr>
          <w:trHeight w:hRule="exact" w:val="397"/>
        </w:trPr>
        <w:tc>
          <w:tcPr>
            <w:tcW w:w="3969" w:type="dxa"/>
          </w:tcPr>
          <w:p w14:paraId="1A648FC6" w14:textId="77777777" w:rsidR="00067435" w:rsidRPr="00834105" w:rsidRDefault="00067435" w:rsidP="00E05ECD">
            <w:pPr>
              <w:numPr>
                <w:ilvl w:val="0"/>
                <w:numId w:val="121"/>
              </w:numPr>
              <w:tabs>
                <w:tab w:val="left" w:pos="255"/>
                <w:tab w:val="left" w:pos="720"/>
              </w:tabs>
              <w:spacing w:after="240"/>
              <w:contextualSpacing/>
              <w:jc w:val="both"/>
              <w:rPr>
                <w:rFonts w:ascii="Times New Roman" w:hAnsi="Times New Roman"/>
                <w:b/>
                <w:bCs/>
                <w:szCs w:val="24"/>
                <w:lang w:val="en-GB"/>
              </w:rPr>
            </w:pPr>
            <w:r w:rsidRPr="00834105">
              <w:rPr>
                <w:rFonts w:ascii="Times New Roman" w:hAnsi="Times New Roman"/>
                <w:b/>
                <w:bCs/>
                <w:szCs w:val="24"/>
                <w:lang w:val="en-GB"/>
              </w:rPr>
              <w:t>Test species:</w:t>
            </w:r>
          </w:p>
        </w:tc>
        <w:tc>
          <w:tcPr>
            <w:tcW w:w="5381" w:type="dxa"/>
          </w:tcPr>
          <w:p w14:paraId="1EEC4E70"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i/>
                <w:iCs/>
                <w:szCs w:val="24"/>
                <w:lang w:val="en-GB"/>
              </w:rPr>
              <w:t>Hypoaspis aculeifer</w:t>
            </w:r>
            <w:r w:rsidRPr="00834105">
              <w:rPr>
                <w:rFonts w:ascii="Times New Roman" w:hAnsi="Times New Roman"/>
                <w:szCs w:val="24"/>
                <w:lang w:val="en-GB"/>
              </w:rPr>
              <w:t xml:space="preserve"> (CANESTRINI)</w:t>
            </w:r>
          </w:p>
        </w:tc>
      </w:tr>
      <w:tr w:rsidR="00067435" w:rsidRPr="00A27D35" w14:paraId="561ED70C" w14:textId="77777777" w:rsidTr="00026175">
        <w:trPr>
          <w:trHeight w:hRule="exact" w:val="624"/>
        </w:trPr>
        <w:tc>
          <w:tcPr>
            <w:tcW w:w="3969" w:type="dxa"/>
          </w:tcPr>
          <w:p w14:paraId="453C1C53"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 xml:space="preserve">Age/life stage: </w:t>
            </w:r>
          </w:p>
        </w:tc>
        <w:tc>
          <w:tcPr>
            <w:tcW w:w="5381" w:type="dxa"/>
          </w:tcPr>
          <w:p w14:paraId="2E177CE3"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szCs w:val="24"/>
                <w:lang w:val="en-GB"/>
              </w:rPr>
              <w:t>Adult mites with an age difference of 3 days</w:t>
            </w:r>
          </w:p>
        </w:tc>
      </w:tr>
      <w:tr w:rsidR="00067435" w:rsidRPr="00A27D35" w14:paraId="22823B04" w14:textId="77777777" w:rsidTr="00026175">
        <w:trPr>
          <w:trHeight w:hRule="exact" w:val="624"/>
        </w:trPr>
        <w:tc>
          <w:tcPr>
            <w:tcW w:w="3969" w:type="dxa"/>
          </w:tcPr>
          <w:p w14:paraId="782CC53E" w14:textId="77777777" w:rsidR="00067435" w:rsidRPr="00834105" w:rsidRDefault="00067435" w:rsidP="00026175">
            <w:pPr>
              <w:tabs>
                <w:tab w:val="left" w:pos="624"/>
              </w:tabs>
              <w:spacing w:after="240"/>
              <w:ind w:left="624"/>
              <w:rPr>
                <w:b/>
                <w:bCs/>
                <w:szCs w:val="24"/>
                <w:lang w:val="en-GB"/>
              </w:rPr>
            </w:pPr>
            <w:r w:rsidRPr="00834105">
              <w:rPr>
                <w:rFonts w:ascii="Times New Roman" w:hAnsi="Times New Roman"/>
                <w:b/>
                <w:bCs/>
                <w:szCs w:val="24"/>
                <w:lang w:val="en-GB"/>
              </w:rPr>
              <w:t xml:space="preserve">Diet: </w:t>
            </w:r>
          </w:p>
        </w:tc>
        <w:tc>
          <w:tcPr>
            <w:tcW w:w="5381" w:type="dxa"/>
          </w:tcPr>
          <w:p w14:paraId="6897CC37" w14:textId="77777777" w:rsidR="00067435" w:rsidRPr="00834105" w:rsidRDefault="00067435" w:rsidP="00026175">
            <w:pPr>
              <w:tabs>
                <w:tab w:val="left" w:pos="720"/>
              </w:tabs>
              <w:spacing w:after="240"/>
              <w:jc w:val="both"/>
              <w:rPr>
                <w:szCs w:val="24"/>
                <w:lang w:val="en-GB"/>
              </w:rPr>
            </w:pPr>
            <w:r w:rsidRPr="00834105">
              <w:rPr>
                <w:rFonts w:ascii="Times New Roman" w:hAnsi="Times New Roman"/>
                <w:i/>
                <w:iCs/>
                <w:szCs w:val="24"/>
                <w:lang w:val="en-GB"/>
              </w:rPr>
              <w:t>Tyrophagus putrescentiae</w:t>
            </w:r>
            <w:r w:rsidRPr="00834105">
              <w:rPr>
                <w:rFonts w:ascii="Times New Roman" w:hAnsi="Times New Roman"/>
                <w:szCs w:val="24"/>
                <w:lang w:val="en-GB"/>
              </w:rPr>
              <w:t xml:space="preserve"> (SCHRANK) at test start and </w:t>
            </w:r>
            <w:r w:rsidRPr="00834105">
              <w:rPr>
                <w:rFonts w:ascii="Times New Roman" w:hAnsi="Times New Roman"/>
                <w:i/>
                <w:iCs/>
                <w:szCs w:val="24"/>
                <w:lang w:val="en-GB"/>
              </w:rPr>
              <w:t>ad libitum</w:t>
            </w:r>
            <w:r w:rsidRPr="00834105">
              <w:rPr>
                <w:rFonts w:ascii="Times New Roman" w:hAnsi="Times New Roman"/>
                <w:szCs w:val="24"/>
                <w:lang w:val="en-GB"/>
              </w:rPr>
              <w:t xml:space="preserve"> during the test</w:t>
            </w:r>
            <w:r w:rsidRPr="002658FC">
              <w:rPr>
                <w:rFonts w:ascii="Times New Roman" w:hAnsi="Times New Roman"/>
                <w:szCs w:val="24"/>
                <w:lang w:val="en-GB"/>
              </w:rPr>
              <w:t xml:space="preserve"> </w:t>
            </w:r>
          </w:p>
        </w:tc>
      </w:tr>
      <w:tr w:rsidR="00067435" w:rsidRPr="00A27D35" w14:paraId="05E8623F" w14:textId="77777777" w:rsidTr="00026175">
        <w:trPr>
          <w:trHeight w:hRule="exact" w:val="624"/>
        </w:trPr>
        <w:tc>
          <w:tcPr>
            <w:tcW w:w="3969" w:type="dxa"/>
          </w:tcPr>
          <w:p w14:paraId="791EC48B"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Source:</w:t>
            </w:r>
          </w:p>
        </w:tc>
        <w:tc>
          <w:tcPr>
            <w:tcW w:w="5381" w:type="dxa"/>
          </w:tcPr>
          <w:p w14:paraId="2C66FC43"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szCs w:val="24"/>
                <w:lang w:val="en-GB"/>
              </w:rPr>
              <w:t>In-house culture</w:t>
            </w:r>
            <w:r w:rsidRPr="002658FC">
              <w:rPr>
                <w:rFonts w:ascii="Times New Roman" w:hAnsi="Times New Roman"/>
                <w:szCs w:val="24"/>
                <w:lang w:val="en-GB"/>
              </w:rPr>
              <w:t>, originally obtained from “Bayer CropScience AG” Monheim</w:t>
            </w:r>
          </w:p>
        </w:tc>
      </w:tr>
      <w:tr w:rsidR="00067435" w:rsidRPr="00834105" w14:paraId="43D316C9" w14:textId="77777777" w:rsidTr="00026175">
        <w:trPr>
          <w:trHeight w:hRule="exact" w:val="340"/>
        </w:trPr>
        <w:tc>
          <w:tcPr>
            <w:tcW w:w="3969" w:type="dxa"/>
          </w:tcPr>
          <w:p w14:paraId="3F0DBE70" w14:textId="77777777" w:rsidR="00067435" w:rsidRPr="00834105" w:rsidRDefault="00067435" w:rsidP="00E05ECD">
            <w:pPr>
              <w:numPr>
                <w:ilvl w:val="0"/>
                <w:numId w:val="121"/>
              </w:numPr>
              <w:tabs>
                <w:tab w:val="left" w:pos="255"/>
                <w:tab w:val="left" w:pos="720"/>
              </w:tabs>
              <w:spacing w:after="240"/>
              <w:contextualSpacing/>
              <w:jc w:val="both"/>
              <w:rPr>
                <w:rFonts w:ascii="Times New Roman" w:hAnsi="Times New Roman"/>
                <w:b/>
                <w:bCs/>
                <w:szCs w:val="24"/>
                <w:lang w:val="en-GB"/>
              </w:rPr>
            </w:pPr>
            <w:r w:rsidRPr="00834105">
              <w:rPr>
                <w:rFonts w:ascii="Times New Roman" w:hAnsi="Times New Roman"/>
                <w:b/>
                <w:bCs/>
                <w:szCs w:val="24"/>
                <w:lang w:val="en-GB"/>
              </w:rPr>
              <w:t>Environmental conditions</w:t>
            </w:r>
          </w:p>
        </w:tc>
        <w:tc>
          <w:tcPr>
            <w:tcW w:w="5381" w:type="dxa"/>
          </w:tcPr>
          <w:p w14:paraId="0D4FA755" w14:textId="77777777" w:rsidR="00067435" w:rsidRPr="00834105" w:rsidRDefault="00067435" w:rsidP="00026175">
            <w:pPr>
              <w:tabs>
                <w:tab w:val="left" w:pos="720"/>
              </w:tabs>
              <w:spacing w:after="240"/>
              <w:jc w:val="both"/>
              <w:rPr>
                <w:rFonts w:ascii="Times New Roman" w:hAnsi="Times New Roman"/>
                <w:szCs w:val="24"/>
                <w:lang w:val="en-GB"/>
              </w:rPr>
            </w:pPr>
          </w:p>
        </w:tc>
      </w:tr>
      <w:tr w:rsidR="00067435" w:rsidRPr="00A27D35" w14:paraId="1D7DC003" w14:textId="77777777" w:rsidTr="00026175">
        <w:trPr>
          <w:trHeight w:hRule="exact" w:val="567"/>
        </w:trPr>
        <w:tc>
          <w:tcPr>
            <w:tcW w:w="3969" w:type="dxa"/>
          </w:tcPr>
          <w:p w14:paraId="141DEB9F" w14:textId="77777777" w:rsidR="00067435" w:rsidRPr="00834105" w:rsidRDefault="00067435" w:rsidP="00026175">
            <w:pPr>
              <w:tabs>
                <w:tab w:val="left" w:pos="255"/>
                <w:tab w:val="left" w:pos="720"/>
              </w:tabs>
              <w:spacing w:after="240"/>
              <w:ind w:firstLine="609"/>
              <w:contextualSpacing/>
              <w:jc w:val="both"/>
              <w:rPr>
                <w:rFonts w:ascii="Times New Roman" w:hAnsi="Times New Roman"/>
                <w:b/>
                <w:bCs/>
                <w:szCs w:val="24"/>
                <w:lang w:val="en-GB"/>
              </w:rPr>
            </w:pPr>
            <w:r>
              <w:rPr>
                <w:rFonts w:ascii="Times New Roman" w:hAnsi="Times New Roman"/>
                <w:b/>
                <w:bCs/>
                <w:szCs w:val="24"/>
                <w:lang w:val="en-GB"/>
              </w:rPr>
              <w:t>Test vessel:</w:t>
            </w:r>
          </w:p>
        </w:tc>
        <w:tc>
          <w:tcPr>
            <w:tcW w:w="5381" w:type="dxa"/>
          </w:tcPr>
          <w:p w14:paraId="5AE4FAFE" w14:textId="77777777" w:rsidR="00067435" w:rsidRPr="00834105" w:rsidRDefault="00067435" w:rsidP="00026175">
            <w:pPr>
              <w:tabs>
                <w:tab w:val="left" w:pos="720"/>
              </w:tabs>
              <w:spacing w:after="240"/>
              <w:jc w:val="both"/>
              <w:rPr>
                <w:rFonts w:ascii="Times New Roman" w:hAnsi="Times New Roman"/>
                <w:szCs w:val="24"/>
                <w:lang w:val="en-GB"/>
              </w:rPr>
            </w:pPr>
            <w:r w:rsidRPr="00660628">
              <w:rPr>
                <w:rFonts w:ascii="Times New Roman" w:hAnsi="Times New Roman"/>
                <w:szCs w:val="24"/>
                <w:lang w:val="en-GB"/>
              </w:rPr>
              <w:t>100 mL SCHOTT-bottle with screw cap</w:t>
            </w:r>
            <w:r>
              <w:rPr>
                <w:rFonts w:ascii="Times New Roman" w:hAnsi="Times New Roman"/>
                <w:szCs w:val="24"/>
                <w:lang w:val="en-GB"/>
              </w:rPr>
              <w:t xml:space="preserve"> </w:t>
            </w:r>
            <w:r w:rsidRPr="00660628">
              <w:rPr>
                <w:rFonts w:ascii="Times New Roman" w:hAnsi="Times New Roman"/>
                <w:szCs w:val="24"/>
                <w:lang w:val="en-GB"/>
              </w:rPr>
              <w:t>(inside dimensions: 4 cm in diameter, 11 cm high</w:t>
            </w:r>
            <w:r>
              <w:rPr>
                <w:rFonts w:ascii="Times New Roman" w:hAnsi="Times New Roman"/>
                <w:szCs w:val="24"/>
                <w:lang w:val="en-GB"/>
              </w:rPr>
              <w:t>)</w:t>
            </w:r>
          </w:p>
        </w:tc>
      </w:tr>
      <w:tr w:rsidR="00067435" w:rsidRPr="00A27D35" w14:paraId="37FFDAC9" w14:textId="77777777" w:rsidTr="00026175">
        <w:trPr>
          <w:trHeight w:hRule="exact" w:val="387"/>
        </w:trPr>
        <w:tc>
          <w:tcPr>
            <w:tcW w:w="3969" w:type="dxa"/>
          </w:tcPr>
          <w:p w14:paraId="7C3BEF7B"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Test soil:</w:t>
            </w:r>
          </w:p>
        </w:tc>
        <w:tc>
          <w:tcPr>
            <w:tcW w:w="5381" w:type="dxa"/>
          </w:tcPr>
          <w:p w14:paraId="225F2AF6"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szCs w:val="24"/>
                <w:lang w:val="en-GB"/>
              </w:rPr>
              <w:t>Artificial soil according to OECD 226: 5% sphagnum peat</w:t>
            </w:r>
          </w:p>
        </w:tc>
      </w:tr>
      <w:tr w:rsidR="00067435" w:rsidRPr="00834105" w14:paraId="10864F64" w14:textId="77777777" w:rsidTr="00026175">
        <w:trPr>
          <w:trHeight w:hRule="exact" w:val="340"/>
        </w:trPr>
        <w:tc>
          <w:tcPr>
            <w:tcW w:w="3969" w:type="dxa"/>
          </w:tcPr>
          <w:p w14:paraId="6D792C6E"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Temperature:</w:t>
            </w:r>
          </w:p>
        </w:tc>
        <w:tc>
          <w:tcPr>
            <w:tcW w:w="5381" w:type="dxa"/>
          </w:tcPr>
          <w:p w14:paraId="5CAA68E0" w14:textId="77777777" w:rsidR="00067435" w:rsidRPr="00834105" w:rsidRDefault="00067435" w:rsidP="00026175">
            <w:pPr>
              <w:tabs>
                <w:tab w:val="left" w:pos="720"/>
              </w:tabs>
              <w:spacing w:after="240"/>
              <w:jc w:val="both"/>
              <w:rPr>
                <w:rFonts w:ascii="Times New Roman" w:hAnsi="Times New Roman"/>
                <w:szCs w:val="24"/>
                <w:lang w:val="en-GB"/>
              </w:rPr>
            </w:pPr>
            <w:r w:rsidRPr="002658FC">
              <w:rPr>
                <w:rFonts w:ascii="Times New Roman" w:hAnsi="Times New Roman"/>
                <w:szCs w:val="24"/>
                <w:lang w:val="en-GB"/>
              </w:rPr>
              <w:t>19.7 - 21.2 °C</w:t>
            </w:r>
          </w:p>
        </w:tc>
      </w:tr>
      <w:tr w:rsidR="00067435" w:rsidRPr="00834105" w14:paraId="031B9259" w14:textId="77777777" w:rsidTr="00026175">
        <w:trPr>
          <w:trHeight w:hRule="exact" w:val="624"/>
        </w:trPr>
        <w:tc>
          <w:tcPr>
            <w:tcW w:w="3969" w:type="dxa"/>
          </w:tcPr>
          <w:p w14:paraId="0BA06608"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pH:</w:t>
            </w:r>
          </w:p>
        </w:tc>
        <w:tc>
          <w:tcPr>
            <w:tcW w:w="5381" w:type="dxa"/>
          </w:tcPr>
          <w:p w14:paraId="2376E4F3" w14:textId="77777777" w:rsidR="00067435" w:rsidRPr="002658FC" w:rsidRDefault="00067435" w:rsidP="00026175">
            <w:pPr>
              <w:tabs>
                <w:tab w:val="left" w:pos="720"/>
              </w:tabs>
              <w:jc w:val="both"/>
              <w:rPr>
                <w:rFonts w:ascii="Times New Roman" w:hAnsi="Times New Roman"/>
                <w:szCs w:val="24"/>
                <w:lang w:val="en-GB"/>
              </w:rPr>
            </w:pPr>
            <w:r w:rsidRPr="002658FC">
              <w:rPr>
                <w:rFonts w:ascii="Times New Roman" w:hAnsi="Times New Roman"/>
                <w:szCs w:val="24"/>
                <w:lang w:val="en-GB"/>
              </w:rPr>
              <w:t>test start: 5.7</w:t>
            </w:r>
          </w:p>
          <w:p w14:paraId="2339FFEB" w14:textId="77777777" w:rsidR="00067435" w:rsidRPr="00834105" w:rsidRDefault="00067435" w:rsidP="00026175">
            <w:pPr>
              <w:tabs>
                <w:tab w:val="left" w:pos="720"/>
              </w:tabs>
              <w:jc w:val="both"/>
              <w:rPr>
                <w:rFonts w:ascii="Times New Roman" w:hAnsi="Times New Roman"/>
                <w:szCs w:val="24"/>
                <w:lang w:val="en-GB"/>
              </w:rPr>
            </w:pPr>
            <w:r w:rsidRPr="002658FC">
              <w:rPr>
                <w:rFonts w:ascii="Times New Roman" w:hAnsi="Times New Roman"/>
                <w:szCs w:val="24"/>
                <w:lang w:val="en-GB"/>
              </w:rPr>
              <w:t>test termination: 5.5 - 5.6</w:t>
            </w:r>
          </w:p>
        </w:tc>
      </w:tr>
      <w:tr w:rsidR="00067435" w:rsidRPr="00834105" w14:paraId="48466C02" w14:textId="77777777" w:rsidTr="00026175">
        <w:trPr>
          <w:trHeight w:hRule="exact" w:val="378"/>
        </w:trPr>
        <w:tc>
          <w:tcPr>
            <w:tcW w:w="3969" w:type="dxa"/>
          </w:tcPr>
          <w:p w14:paraId="53CA07BE" w14:textId="77777777" w:rsidR="00067435" w:rsidRPr="002658FC" w:rsidRDefault="00067435" w:rsidP="00026175">
            <w:pPr>
              <w:tabs>
                <w:tab w:val="left" w:pos="624"/>
              </w:tabs>
              <w:spacing w:after="240"/>
              <w:ind w:left="624"/>
              <w:rPr>
                <w:rFonts w:ascii="Times New Roman" w:hAnsi="Times New Roman"/>
                <w:b/>
                <w:bCs/>
                <w:szCs w:val="24"/>
                <w:lang w:val="en-GB"/>
              </w:rPr>
            </w:pPr>
            <w:r w:rsidRPr="002658FC">
              <w:rPr>
                <w:rFonts w:ascii="Times New Roman" w:hAnsi="Times New Roman"/>
                <w:b/>
                <w:bCs/>
                <w:szCs w:val="24"/>
                <w:lang w:val="en-GB"/>
              </w:rPr>
              <w:t>Max. water holding capacity:</w:t>
            </w:r>
          </w:p>
        </w:tc>
        <w:tc>
          <w:tcPr>
            <w:tcW w:w="5381" w:type="dxa"/>
          </w:tcPr>
          <w:p w14:paraId="0897F2B3" w14:textId="77777777" w:rsidR="00067435" w:rsidRPr="002658FC" w:rsidRDefault="00067435" w:rsidP="00026175">
            <w:pPr>
              <w:tabs>
                <w:tab w:val="left" w:pos="720"/>
              </w:tabs>
              <w:jc w:val="both"/>
              <w:rPr>
                <w:rFonts w:ascii="Times New Roman" w:hAnsi="Times New Roman"/>
                <w:szCs w:val="24"/>
                <w:lang w:val="en-GB"/>
              </w:rPr>
            </w:pPr>
            <w:r w:rsidRPr="002658FC">
              <w:rPr>
                <w:rFonts w:ascii="Times New Roman" w:hAnsi="Times New Roman"/>
                <w:szCs w:val="24"/>
                <w:lang w:val="en-GB"/>
              </w:rPr>
              <w:t>36.09 g/100 g soil d.w.</w:t>
            </w:r>
          </w:p>
        </w:tc>
      </w:tr>
      <w:tr w:rsidR="00067435" w:rsidRPr="00A27D35" w14:paraId="540794E0" w14:textId="77777777" w:rsidTr="00026175">
        <w:trPr>
          <w:trHeight w:hRule="exact" w:val="1098"/>
        </w:trPr>
        <w:tc>
          <w:tcPr>
            <w:tcW w:w="3969" w:type="dxa"/>
          </w:tcPr>
          <w:p w14:paraId="50AA5E4B"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Water content:</w:t>
            </w:r>
          </w:p>
        </w:tc>
        <w:tc>
          <w:tcPr>
            <w:tcW w:w="5381" w:type="dxa"/>
          </w:tcPr>
          <w:p w14:paraId="32F04DB8" w14:textId="77777777" w:rsidR="00067435" w:rsidRPr="002658FC" w:rsidRDefault="00067435" w:rsidP="00026175">
            <w:pPr>
              <w:tabs>
                <w:tab w:val="left" w:pos="720"/>
              </w:tabs>
              <w:jc w:val="both"/>
              <w:rPr>
                <w:rFonts w:ascii="Times New Roman" w:hAnsi="Times New Roman"/>
                <w:szCs w:val="24"/>
              </w:rPr>
            </w:pPr>
            <w:r w:rsidRPr="002658FC">
              <w:rPr>
                <w:rFonts w:ascii="Times New Roman" w:hAnsi="Times New Roman"/>
                <w:szCs w:val="24"/>
              </w:rPr>
              <w:t>test initiation: 17.81 - 18.46 (equivalent to 46.36 - 51.16 % of WHC)</w:t>
            </w:r>
          </w:p>
          <w:p w14:paraId="47E269F4" w14:textId="77777777" w:rsidR="00067435" w:rsidRPr="00834105" w:rsidRDefault="00067435" w:rsidP="00026175">
            <w:pPr>
              <w:tabs>
                <w:tab w:val="left" w:pos="720"/>
              </w:tabs>
              <w:jc w:val="both"/>
              <w:rPr>
                <w:rFonts w:ascii="Times New Roman" w:hAnsi="Times New Roman"/>
                <w:szCs w:val="24"/>
                <w:lang w:val="en-GB"/>
              </w:rPr>
            </w:pPr>
            <w:r w:rsidRPr="002658FC">
              <w:rPr>
                <w:rFonts w:ascii="Times New Roman" w:hAnsi="Times New Roman"/>
                <w:szCs w:val="24"/>
              </w:rPr>
              <w:t>test termination: 18.08 - 18.38 (equivalent to 50.10 - 50.92 % of WHC)</w:t>
            </w:r>
          </w:p>
        </w:tc>
      </w:tr>
      <w:tr w:rsidR="00067435" w:rsidRPr="00A27D35" w14:paraId="5642AF9A" w14:textId="77777777" w:rsidTr="00026175">
        <w:trPr>
          <w:trHeight w:hRule="exact" w:val="454"/>
        </w:trPr>
        <w:tc>
          <w:tcPr>
            <w:tcW w:w="3969" w:type="dxa"/>
          </w:tcPr>
          <w:p w14:paraId="41E72A0B" w14:textId="77777777" w:rsidR="00067435" w:rsidRPr="00834105" w:rsidRDefault="00067435" w:rsidP="00026175">
            <w:pPr>
              <w:tabs>
                <w:tab w:val="left" w:pos="624"/>
              </w:tabs>
              <w:spacing w:after="240"/>
              <w:ind w:left="624"/>
              <w:rPr>
                <w:rFonts w:ascii="Times New Roman" w:hAnsi="Times New Roman"/>
                <w:b/>
                <w:bCs/>
                <w:szCs w:val="24"/>
                <w:lang w:val="en-GB"/>
              </w:rPr>
            </w:pPr>
            <w:r w:rsidRPr="00834105">
              <w:rPr>
                <w:rFonts w:ascii="Times New Roman" w:hAnsi="Times New Roman"/>
                <w:b/>
                <w:bCs/>
                <w:szCs w:val="24"/>
                <w:lang w:val="en-GB"/>
              </w:rPr>
              <w:t>Photoperiod:</w:t>
            </w:r>
          </w:p>
        </w:tc>
        <w:tc>
          <w:tcPr>
            <w:tcW w:w="5381" w:type="dxa"/>
          </w:tcPr>
          <w:p w14:paraId="5C44CB93" w14:textId="77777777" w:rsidR="00067435" w:rsidRPr="00834105" w:rsidRDefault="00067435" w:rsidP="00026175">
            <w:pPr>
              <w:tabs>
                <w:tab w:val="left" w:pos="720"/>
              </w:tabs>
              <w:spacing w:after="240"/>
              <w:jc w:val="both"/>
              <w:rPr>
                <w:rFonts w:ascii="Times New Roman" w:hAnsi="Times New Roman"/>
                <w:szCs w:val="24"/>
                <w:lang w:val="en-GB"/>
              </w:rPr>
            </w:pPr>
            <w:r w:rsidRPr="00834105">
              <w:rPr>
                <w:rFonts w:ascii="Times New Roman" w:hAnsi="Times New Roman"/>
                <w:szCs w:val="24"/>
                <w:lang w:val="en-GB"/>
              </w:rPr>
              <w:t>16 h light: 8 h dark; light intensity: 5</w:t>
            </w:r>
            <w:r w:rsidRPr="002658FC">
              <w:rPr>
                <w:rFonts w:ascii="Times New Roman" w:hAnsi="Times New Roman"/>
                <w:szCs w:val="24"/>
                <w:lang w:val="en-GB"/>
              </w:rPr>
              <w:t>18</w:t>
            </w:r>
            <w:r w:rsidRPr="00834105">
              <w:rPr>
                <w:rFonts w:ascii="Times New Roman" w:hAnsi="Times New Roman"/>
                <w:szCs w:val="24"/>
                <w:lang w:val="en-GB"/>
              </w:rPr>
              <w:t xml:space="preserve"> lx</w:t>
            </w:r>
          </w:p>
        </w:tc>
      </w:tr>
    </w:tbl>
    <w:p w14:paraId="575781AF" w14:textId="77777777" w:rsidR="00067435" w:rsidRPr="00834105" w:rsidRDefault="00067435" w:rsidP="00067435">
      <w:pPr>
        <w:numPr>
          <w:ilvl w:val="3"/>
          <w:numId w:val="0"/>
        </w:numPr>
        <w:tabs>
          <w:tab w:val="left" w:pos="0"/>
        </w:tabs>
        <w:ind w:left="360" w:hanging="360"/>
        <w:contextualSpacing/>
        <w:rPr>
          <w:b/>
          <w:bCs/>
          <w:szCs w:val="24"/>
          <w:highlight w:val="yellow"/>
          <w:lang w:val="en-GB"/>
        </w:rPr>
      </w:pPr>
    </w:p>
    <w:p w14:paraId="5316EF23" w14:textId="77777777" w:rsidR="00067435" w:rsidRPr="00834105" w:rsidRDefault="00067435" w:rsidP="00E05ECD">
      <w:pPr>
        <w:numPr>
          <w:ilvl w:val="0"/>
          <w:numId w:val="123"/>
        </w:numPr>
        <w:tabs>
          <w:tab w:val="left" w:pos="0"/>
        </w:tabs>
        <w:contextualSpacing/>
        <w:rPr>
          <w:b/>
          <w:bCs/>
          <w:szCs w:val="24"/>
          <w:lang w:val="en-GB"/>
        </w:rPr>
      </w:pPr>
      <w:r w:rsidRPr="00834105">
        <w:rPr>
          <w:b/>
          <w:bCs/>
          <w:szCs w:val="24"/>
          <w:lang w:val="en-GB"/>
        </w:rPr>
        <w:t xml:space="preserve">Test design: </w:t>
      </w:r>
    </w:p>
    <w:p w14:paraId="31E10661" w14:textId="77777777" w:rsidR="00067435" w:rsidRPr="00A27D35" w:rsidRDefault="00067435" w:rsidP="00067435">
      <w:pPr>
        <w:tabs>
          <w:tab w:val="left" w:pos="720"/>
        </w:tabs>
        <w:spacing w:after="240"/>
        <w:jc w:val="both"/>
        <w:rPr>
          <w:lang w:val="en-GB"/>
        </w:rPr>
      </w:pPr>
      <w:r w:rsidRPr="00A27D35">
        <w:rPr>
          <w:szCs w:val="24"/>
          <w:lang w:val="en-GB"/>
        </w:rPr>
        <w:t xml:space="preserve">14-day chronic laboratory test in treated artificial soil (according to OECD 226). A limit concentration of 1000 mg/kg dry soil was homogenously mixed into the soil (5% peat) which was filled in glass vessels before the predatory mites were introduced on top of the soil; </w:t>
      </w:r>
      <w:r w:rsidRPr="00A27D35">
        <w:rPr>
          <w:lang w:val="en-GB"/>
        </w:rPr>
        <w:t>8 replicates per concentration. An untreated control with 8 replicates was included. Each replicate treatment contained 10 adult female mites</w:t>
      </w:r>
      <w:r w:rsidRPr="00A27D35">
        <w:rPr>
          <w:szCs w:val="24"/>
          <w:lang w:val="en-GB"/>
        </w:rPr>
        <w:t xml:space="preserve">. </w:t>
      </w:r>
      <w:r w:rsidRPr="00A27D35">
        <w:rPr>
          <w:lang w:val="en-GB"/>
        </w:rPr>
        <w:t>Assessment of mortality and reproduction (number of juveniles) was carried out after 14 days.</w:t>
      </w:r>
    </w:p>
    <w:p w14:paraId="20BE89F6" w14:textId="77777777" w:rsidR="00067435" w:rsidRPr="00834105" w:rsidRDefault="00067435" w:rsidP="00E05ECD">
      <w:pPr>
        <w:numPr>
          <w:ilvl w:val="0"/>
          <w:numId w:val="122"/>
        </w:numPr>
        <w:tabs>
          <w:tab w:val="left" w:pos="0"/>
        </w:tabs>
        <w:contextualSpacing/>
        <w:rPr>
          <w:b/>
          <w:bCs/>
          <w:szCs w:val="24"/>
          <w:lang w:val="en-GB"/>
        </w:rPr>
      </w:pPr>
      <w:r w:rsidRPr="00834105">
        <w:rPr>
          <w:b/>
          <w:bCs/>
          <w:szCs w:val="24"/>
          <w:lang w:val="en-GB"/>
        </w:rPr>
        <w:t xml:space="preserve">Test concentrations: </w:t>
      </w:r>
    </w:p>
    <w:p w14:paraId="48BF6A39" w14:textId="77777777" w:rsidR="00067435" w:rsidRPr="00834105" w:rsidRDefault="00067435" w:rsidP="00067435">
      <w:pPr>
        <w:tabs>
          <w:tab w:val="left" w:pos="720"/>
        </w:tabs>
        <w:spacing w:after="240"/>
        <w:jc w:val="both"/>
        <w:rPr>
          <w:szCs w:val="24"/>
          <w:lang w:val="en-GB"/>
        </w:rPr>
      </w:pPr>
      <w:r w:rsidRPr="00834105">
        <w:rPr>
          <w:szCs w:val="24"/>
          <w:lang w:val="en-GB"/>
        </w:rPr>
        <w:t xml:space="preserve">Control; 1000 mg </w:t>
      </w:r>
      <w:r w:rsidRPr="00282548">
        <w:rPr>
          <w:szCs w:val="24"/>
          <w:lang w:val="en-GB"/>
        </w:rPr>
        <w:t>test item</w:t>
      </w:r>
      <w:r w:rsidRPr="00834105">
        <w:rPr>
          <w:szCs w:val="24"/>
          <w:lang w:val="en-GB"/>
        </w:rPr>
        <w:t>/kg dry soil (</w:t>
      </w:r>
      <w:r w:rsidRPr="00282548">
        <w:rPr>
          <w:szCs w:val="24"/>
          <w:lang w:val="en-GB"/>
        </w:rPr>
        <w:t>limit test)</w:t>
      </w:r>
      <w:r w:rsidRPr="00834105">
        <w:rPr>
          <w:szCs w:val="24"/>
          <w:lang w:val="en-GB"/>
        </w:rPr>
        <w:t>.</w:t>
      </w:r>
      <w:r w:rsidRPr="00A27D35">
        <w:rPr>
          <w:lang w:val="en-GB"/>
        </w:rPr>
        <w:t xml:space="preserve"> </w:t>
      </w:r>
      <w:r w:rsidRPr="00282548">
        <w:rPr>
          <w:szCs w:val="24"/>
          <w:lang w:val="en-GB"/>
        </w:rPr>
        <w:t>An exactly weighed amount of the test item was mixed in a volumetric flask with deionised water, without</w:t>
      </w:r>
      <w:r>
        <w:rPr>
          <w:szCs w:val="24"/>
          <w:lang w:val="en-GB"/>
        </w:rPr>
        <w:t xml:space="preserve"> </w:t>
      </w:r>
      <w:r w:rsidRPr="00282548">
        <w:rPr>
          <w:szCs w:val="24"/>
          <w:lang w:val="en-GB"/>
        </w:rPr>
        <w:t>addition of solubility mediators, immediately before application. The test item solution was then thoroughly</w:t>
      </w:r>
      <w:r>
        <w:rPr>
          <w:szCs w:val="24"/>
          <w:lang w:val="en-GB"/>
        </w:rPr>
        <w:t xml:space="preserve"> </w:t>
      </w:r>
      <w:r w:rsidRPr="00282548">
        <w:rPr>
          <w:szCs w:val="24"/>
          <w:lang w:val="en-GB"/>
        </w:rPr>
        <w:t>mixed with the prepared artificial soil by means of a hand stirrer. The preparation of the test substrate was</w:t>
      </w:r>
      <w:r>
        <w:rPr>
          <w:szCs w:val="24"/>
          <w:lang w:val="en-GB"/>
        </w:rPr>
        <w:t xml:space="preserve"> </w:t>
      </w:r>
      <w:r w:rsidRPr="00282548">
        <w:rPr>
          <w:szCs w:val="24"/>
          <w:lang w:val="en-GB"/>
        </w:rPr>
        <w:t>performed in the following order: first the untreated control and thereafter the test item treated group</w:t>
      </w:r>
    </w:p>
    <w:p w14:paraId="725AEDF6" w14:textId="77777777" w:rsidR="00067435" w:rsidRPr="00834105" w:rsidRDefault="00067435" w:rsidP="00E05ECD">
      <w:pPr>
        <w:numPr>
          <w:ilvl w:val="0"/>
          <w:numId w:val="122"/>
        </w:numPr>
        <w:tabs>
          <w:tab w:val="left" w:pos="0"/>
        </w:tabs>
        <w:contextualSpacing/>
        <w:rPr>
          <w:b/>
          <w:bCs/>
          <w:szCs w:val="24"/>
          <w:lang w:val="en-GB"/>
        </w:rPr>
      </w:pPr>
      <w:r w:rsidRPr="00834105">
        <w:rPr>
          <w:b/>
          <w:bCs/>
          <w:szCs w:val="24"/>
          <w:lang w:val="en-GB"/>
        </w:rPr>
        <w:t xml:space="preserve">Measurements and observations: </w:t>
      </w:r>
    </w:p>
    <w:p w14:paraId="2567EDBB" w14:textId="77777777" w:rsidR="00067435" w:rsidRDefault="00067435" w:rsidP="00067435">
      <w:pPr>
        <w:tabs>
          <w:tab w:val="left" w:pos="720"/>
        </w:tabs>
        <w:spacing w:after="240"/>
        <w:jc w:val="both"/>
        <w:rPr>
          <w:szCs w:val="24"/>
          <w:lang w:val="en-GB"/>
        </w:rPr>
      </w:pPr>
      <w:r w:rsidRPr="00834105">
        <w:rPr>
          <w:szCs w:val="24"/>
          <w:lang w:val="en-GB"/>
        </w:rPr>
        <w:t>Assessment of adult mortality and reproduction effects (number of juveniles) after 14 days.</w:t>
      </w:r>
    </w:p>
    <w:p w14:paraId="1F17E00C" w14:textId="77777777" w:rsidR="00067435" w:rsidRPr="00282548" w:rsidRDefault="00067435" w:rsidP="00067435">
      <w:pPr>
        <w:tabs>
          <w:tab w:val="left" w:pos="720"/>
        </w:tabs>
        <w:jc w:val="both"/>
        <w:rPr>
          <w:szCs w:val="24"/>
          <w:lang w:val="en-GB"/>
        </w:rPr>
      </w:pPr>
      <w:r w:rsidRPr="00282548">
        <w:rPr>
          <w:szCs w:val="24"/>
          <w:lang w:val="en-GB"/>
        </w:rPr>
        <w:t>On day 14 following application of the test item and introduction of the test organisms, surviving mites and</w:t>
      </w:r>
      <w:r>
        <w:rPr>
          <w:szCs w:val="24"/>
          <w:lang w:val="en-GB"/>
        </w:rPr>
        <w:t xml:space="preserve"> </w:t>
      </w:r>
      <w:r w:rsidRPr="00282548">
        <w:rPr>
          <w:szCs w:val="24"/>
          <w:lang w:val="en-GB"/>
        </w:rPr>
        <w:t xml:space="preserve">juveniles of </w:t>
      </w:r>
      <w:r w:rsidRPr="00282548">
        <w:rPr>
          <w:i/>
          <w:iCs/>
          <w:szCs w:val="24"/>
          <w:lang w:val="en-GB"/>
        </w:rPr>
        <w:t>Hypoaspis aculeifer</w:t>
      </w:r>
      <w:r w:rsidRPr="00282548">
        <w:rPr>
          <w:szCs w:val="24"/>
          <w:lang w:val="en-GB"/>
        </w:rPr>
        <w:t xml:space="preserve"> were extracted from each test replicate using a MacFadyen high-gradient</w:t>
      </w:r>
    </w:p>
    <w:p w14:paraId="71FB0047" w14:textId="77777777" w:rsidR="00067435" w:rsidRDefault="00067435" w:rsidP="00067435">
      <w:pPr>
        <w:tabs>
          <w:tab w:val="left" w:pos="720"/>
        </w:tabs>
        <w:jc w:val="both"/>
        <w:rPr>
          <w:szCs w:val="24"/>
          <w:lang w:val="en-GB"/>
        </w:rPr>
      </w:pPr>
      <w:r w:rsidRPr="00282548">
        <w:rPr>
          <w:szCs w:val="24"/>
          <w:lang w:val="en-GB"/>
        </w:rPr>
        <w:t>extractor (heat/light extraction method). Following extraction, all juveniles and adults present in the fixing liquid were counted. Any adult mites not</w:t>
      </w:r>
      <w:r>
        <w:rPr>
          <w:szCs w:val="24"/>
          <w:lang w:val="en-GB"/>
        </w:rPr>
        <w:t xml:space="preserve"> </w:t>
      </w:r>
      <w:r w:rsidRPr="00282548">
        <w:rPr>
          <w:szCs w:val="24"/>
          <w:lang w:val="en-GB"/>
        </w:rPr>
        <w:t>found after extraction were recorded as dead.</w:t>
      </w:r>
    </w:p>
    <w:p w14:paraId="45468E6A" w14:textId="77777777" w:rsidR="00067435" w:rsidRDefault="00067435" w:rsidP="00067435">
      <w:pPr>
        <w:tabs>
          <w:tab w:val="left" w:pos="720"/>
        </w:tabs>
        <w:jc w:val="both"/>
        <w:rPr>
          <w:szCs w:val="24"/>
          <w:lang w:val="en-GB"/>
        </w:rPr>
      </w:pPr>
    </w:p>
    <w:p w14:paraId="3ED264A1" w14:textId="77777777" w:rsidR="00067435" w:rsidRDefault="00067435" w:rsidP="00067435">
      <w:pPr>
        <w:tabs>
          <w:tab w:val="left" w:pos="720"/>
        </w:tabs>
        <w:jc w:val="both"/>
        <w:rPr>
          <w:szCs w:val="24"/>
          <w:lang w:val="en-GB"/>
        </w:rPr>
      </w:pPr>
      <w:r w:rsidRPr="00282548">
        <w:rPr>
          <w:szCs w:val="24"/>
          <w:lang w:val="en-GB"/>
        </w:rPr>
        <w:t>The water content of the soil substrate in the test vessels was determined at test start (after application) and</w:t>
      </w:r>
      <w:r>
        <w:rPr>
          <w:szCs w:val="24"/>
          <w:lang w:val="en-GB"/>
        </w:rPr>
        <w:t xml:space="preserve"> </w:t>
      </w:r>
      <w:r w:rsidRPr="00282548">
        <w:rPr>
          <w:szCs w:val="24"/>
          <w:lang w:val="en-GB"/>
        </w:rPr>
        <w:t>at day 14 after application and was maintained throughout the test by reweighing the additional test vessels.</w:t>
      </w:r>
      <w:r>
        <w:rPr>
          <w:szCs w:val="24"/>
          <w:lang w:val="en-GB"/>
        </w:rPr>
        <w:t xml:space="preserve"> </w:t>
      </w:r>
      <w:r w:rsidRPr="00282548">
        <w:rPr>
          <w:szCs w:val="24"/>
          <w:lang w:val="en-GB"/>
        </w:rPr>
        <w:t>Compensation of water loss was not necessary. The vessels were briefly opened every 2 - 3 days for</w:t>
      </w:r>
      <w:r>
        <w:rPr>
          <w:szCs w:val="24"/>
          <w:lang w:val="en-GB"/>
        </w:rPr>
        <w:t xml:space="preserve"> </w:t>
      </w:r>
      <w:r w:rsidRPr="00282548">
        <w:rPr>
          <w:szCs w:val="24"/>
          <w:lang w:val="en-GB"/>
        </w:rPr>
        <w:t>aeration and feeding.</w:t>
      </w:r>
    </w:p>
    <w:p w14:paraId="286B5273" w14:textId="77777777" w:rsidR="00067435" w:rsidRPr="00282548" w:rsidRDefault="00067435" w:rsidP="00067435">
      <w:pPr>
        <w:tabs>
          <w:tab w:val="left" w:pos="720"/>
        </w:tabs>
        <w:jc w:val="both"/>
        <w:rPr>
          <w:szCs w:val="24"/>
          <w:lang w:val="en-GB"/>
        </w:rPr>
      </w:pPr>
    </w:p>
    <w:p w14:paraId="3846D713" w14:textId="77777777" w:rsidR="00067435" w:rsidRPr="00834105" w:rsidRDefault="00067435" w:rsidP="00E05ECD">
      <w:pPr>
        <w:numPr>
          <w:ilvl w:val="0"/>
          <w:numId w:val="122"/>
        </w:numPr>
        <w:tabs>
          <w:tab w:val="left" w:pos="0"/>
        </w:tabs>
        <w:contextualSpacing/>
        <w:rPr>
          <w:b/>
          <w:bCs/>
          <w:szCs w:val="24"/>
          <w:lang w:val="en-GB"/>
        </w:rPr>
      </w:pPr>
      <w:r w:rsidRPr="00834105">
        <w:rPr>
          <w:b/>
          <w:bCs/>
          <w:szCs w:val="24"/>
          <w:lang w:val="en-GB"/>
        </w:rPr>
        <w:t xml:space="preserve">Statistical analysis: </w:t>
      </w:r>
    </w:p>
    <w:p w14:paraId="10B5D0D1" w14:textId="77777777" w:rsidR="00067435" w:rsidRDefault="00067435" w:rsidP="00067435">
      <w:pPr>
        <w:tabs>
          <w:tab w:val="left" w:pos="289"/>
        </w:tabs>
        <w:spacing w:after="240"/>
        <w:contextualSpacing/>
        <w:jc w:val="both"/>
        <w:rPr>
          <w:szCs w:val="24"/>
          <w:lang w:val="en-GB"/>
        </w:rPr>
      </w:pPr>
      <w:r w:rsidRPr="00282548">
        <w:rPr>
          <w:szCs w:val="24"/>
          <w:lang w:val="en-GB"/>
        </w:rPr>
        <w:t>The statistical analysis was performed with the software ToxRat Professional 2.10.05 (Ratte 2010).</w:t>
      </w:r>
      <w:r>
        <w:rPr>
          <w:szCs w:val="24"/>
          <w:lang w:val="en-GB"/>
        </w:rPr>
        <w:t xml:space="preserve"> </w:t>
      </w:r>
      <w:r w:rsidRPr="00282548">
        <w:rPr>
          <w:szCs w:val="24"/>
          <w:lang w:val="en-GB"/>
        </w:rPr>
        <w:t>Fisher´s Exact Binomial test and the Student-t-test were used to compare the control with the independent</w:t>
      </w:r>
      <w:r>
        <w:rPr>
          <w:szCs w:val="24"/>
          <w:lang w:val="en-GB"/>
        </w:rPr>
        <w:t xml:space="preserve"> </w:t>
      </w:r>
      <w:r w:rsidRPr="00282548">
        <w:rPr>
          <w:szCs w:val="24"/>
          <w:lang w:val="en-GB"/>
        </w:rPr>
        <w:t>test item group.</w:t>
      </w:r>
    </w:p>
    <w:p w14:paraId="2A189E65" w14:textId="77777777" w:rsidR="00067435" w:rsidRDefault="00067435" w:rsidP="00067435">
      <w:pPr>
        <w:tabs>
          <w:tab w:val="left" w:pos="720"/>
        </w:tabs>
        <w:spacing w:after="240"/>
        <w:ind w:left="720" w:hanging="431"/>
        <w:contextualSpacing/>
        <w:jc w:val="center"/>
        <w:rPr>
          <w:szCs w:val="24"/>
          <w:lang w:val="en-GB"/>
        </w:rPr>
      </w:pPr>
    </w:p>
    <w:p w14:paraId="0D815293" w14:textId="77777777" w:rsidR="00067435" w:rsidRPr="00834105" w:rsidRDefault="00067435" w:rsidP="00895761">
      <w:pPr>
        <w:tabs>
          <w:tab w:val="left" w:pos="720"/>
        </w:tabs>
        <w:spacing w:after="240"/>
        <w:ind w:left="720" w:hanging="431"/>
        <w:contextualSpacing/>
        <w:jc w:val="center"/>
        <w:rPr>
          <w:b/>
          <w:bCs/>
          <w:caps/>
          <w:szCs w:val="24"/>
          <w:lang w:val="en-GB"/>
        </w:rPr>
      </w:pPr>
      <w:r w:rsidRPr="00834105">
        <w:rPr>
          <w:b/>
          <w:bCs/>
          <w:caps/>
          <w:szCs w:val="24"/>
          <w:lang w:val="en-GB"/>
        </w:rPr>
        <w:t>II.</w:t>
      </w:r>
      <w:r w:rsidRPr="00834105">
        <w:rPr>
          <w:b/>
          <w:bCs/>
          <w:caps/>
          <w:szCs w:val="24"/>
          <w:lang w:val="en-GB"/>
        </w:rPr>
        <w:tab/>
        <w:t>Results and Discussion</w:t>
      </w:r>
    </w:p>
    <w:p w14:paraId="354988A0" w14:textId="77777777" w:rsidR="00067435" w:rsidRPr="00834105" w:rsidRDefault="00067435" w:rsidP="00067435">
      <w:pPr>
        <w:tabs>
          <w:tab w:val="left" w:pos="720"/>
        </w:tabs>
        <w:spacing w:after="240"/>
        <w:ind w:left="720" w:hanging="431"/>
        <w:contextualSpacing/>
        <w:jc w:val="center"/>
        <w:rPr>
          <w:b/>
          <w:bCs/>
          <w:caps/>
          <w:szCs w:val="24"/>
          <w:lang w:val="en-GB"/>
        </w:rPr>
      </w:pPr>
    </w:p>
    <w:p w14:paraId="610B36F1" w14:textId="77777777" w:rsidR="00067435" w:rsidRPr="00660628" w:rsidRDefault="00067435" w:rsidP="00067435">
      <w:pPr>
        <w:tabs>
          <w:tab w:val="left" w:pos="0"/>
        </w:tabs>
        <w:ind w:left="357" w:hanging="357"/>
        <w:contextualSpacing/>
        <w:rPr>
          <w:b/>
          <w:bCs/>
          <w:caps/>
          <w:szCs w:val="24"/>
          <w:lang w:val="en-GB"/>
        </w:rPr>
      </w:pPr>
      <w:r w:rsidRPr="00834105">
        <w:rPr>
          <w:b/>
          <w:bCs/>
          <w:caps/>
          <w:szCs w:val="24"/>
          <w:lang w:val="en-GB"/>
        </w:rPr>
        <w:t>C.</w:t>
      </w:r>
      <w:r w:rsidRPr="00834105">
        <w:rPr>
          <w:b/>
          <w:bCs/>
          <w:caps/>
          <w:szCs w:val="24"/>
          <w:lang w:val="en-GB"/>
        </w:rPr>
        <w:tab/>
        <w:t>BIOLOGICAL EFFECTS</w:t>
      </w:r>
    </w:p>
    <w:p w14:paraId="0647AD12" w14:textId="77777777" w:rsidR="00067435" w:rsidRDefault="00067435" w:rsidP="00067435">
      <w:pPr>
        <w:tabs>
          <w:tab w:val="left" w:pos="0"/>
        </w:tabs>
        <w:ind w:left="357" w:hanging="357"/>
        <w:contextualSpacing/>
        <w:rPr>
          <w:b/>
          <w:bCs/>
          <w:caps/>
          <w:szCs w:val="24"/>
          <w:highlight w:val="yellow"/>
          <w:lang w:val="en-GB"/>
        </w:rPr>
      </w:pPr>
    </w:p>
    <w:p w14:paraId="06C74623" w14:textId="4CFEB7BE" w:rsidR="00067435" w:rsidRPr="00834105" w:rsidRDefault="00067435" w:rsidP="00067435">
      <w:pPr>
        <w:tabs>
          <w:tab w:val="left" w:pos="720"/>
        </w:tabs>
        <w:jc w:val="both"/>
        <w:rPr>
          <w:szCs w:val="24"/>
          <w:lang w:val="en-GB"/>
        </w:rPr>
      </w:pPr>
      <w:r w:rsidRPr="00660628">
        <w:rPr>
          <w:szCs w:val="24"/>
          <w:lang w:val="en-GB"/>
        </w:rPr>
        <w:t>In the control group and in the test item treatment group a parental mortality of 5.0 % and 1.3 %, respectively,</w:t>
      </w:r>
      <w:r>
        <w:rPr>
          <w:szCs w:val="24"/>
          <w:lang w:val="en-GB"/>
        </w:rPr>
        <w:t xml:space="preserve"> </w:t>
      </w:r>
      <w:r w:rsidRPr="00660628">
        <w:rPr>
          <w:szCs w:val="24"/>
          <w:lang w:val="en-GB"/>
        </w:rPr>
        <w:t>could be observed at the end of the 14-day exposure period.</w:t>
      </w:r>
      <w:r>
        <w:rPr>
          <w:szCs w:val="24"/>
          <w:lang w:val="en-GB"/>
        </w:rPr>
        <w:t xml:space="preserve"> </w:t>
      </w:r>
      <w:r w:rsidRPr="00660628">
        <w:rPr>
          <w:szCs w:val="24"/>
          <w:lang w:val="en-GB"/>
        </w:rPr>
        <w:t>Fourteen days after introduction of the parental mites into the test vessels, the mean number of juveniles was</w:t>
      </w:r>
      <w:r>
        <w:rPr>
          <w:szCs w:val="24"/>
          <w:lang w:val="en-GB"/>
        </w:rPr>
        <w:t xml:space="preserve"> </w:t>
      </w:r>
      <w:r w:rsidRPr="00660628">
        <w:rPr>
          <w:szCs w:val="24"/>
          <w:lang w:val="en-GB"/>
        </w:rPr>
        <w:t>305.5 in the control and 311.5 in the test item treatment group.</w:t>
      </w:r>
      <w:r>
        <w:rPr>
          <w:szCs w:val="24"/>
          <w:lang w:val="en-GB"/>
        </w:rPr>
        <w:t xml:space="preserve"> </w:t>
      </w:r>
      <w:r w:rsidRPr="00660628">
        <w:rPr>
          <w:szCs w:val="24"/>
          <w:lang w:val="en-GB"/>
        </w:rPr>
        <w:t xml:space="preserve">The test item caused </w:t>
      </w:r>
      <w:r w:rsidRPr="007752C0">
        <w:rPr>
          <w:szCs w:val="24"/>
          <w:lang w:val="en-GB"/>
        </w:rPr>
        <w:t xml:space="preserve">no statistically significantly adverse effects on adult mortality (Fisher´s Exact Binomial test, α = 0.05, one-sided greater) and reproduction (Student-t-test, α = 0.05, one-sided smaller) of the predatory mite </w:t>
      </w:r>
      <w:r w:rsidRPr="007752C0">
        <w:rPr>
          <w:i/>
          <w:iCs/>
          <w:szCs w:val="24"/>
          <w:lang w:val="en-GB"/>
        </w:rPr>
        <w:t>Hypoaspis aculeifer</w:t>
      </w:r>
      <w:r w:rsidRPr="007752C0">
        <w:rPr>
          <w:szCs w:val="24"/>
          <w:lang w:val="en-GB"/>
        </w:rPr>
        <w:t xml:space="preserve"> in artificial soil at 1000 mg test item/kg soil dry weight. </w:t>
      </w:r>
      <w:r w:rsidRPr="00A27D35">
        <w:rPr>
          <w:bCs/>
          <w:lang w:val="en-GB"/>
        </w:rPr>
        <w:t>T</w:t>
      </w:r>
      <w:r w:rsidRPr="00A27D35">
        <w:rPr>
          <w:lang w:val="en-GB"/>
        </w:rPr>
        <w:t>he results are summarized in</w:t>
      </w:r>
      <w:r w:rsidR="00AB5FC2">
        <w:rPr>
          <w:lang w:val="en-GB"/>
        </w:rPr>
        <w:t xml:space="preserve"> </w:t>
      </w:r>
      <w:r w:rsidR="00AB5FC2">
        <w:rPr>
          <w:lang w:val="en-GB"/>
        </w:rPr>
        <w:fldChar w:fldCharType="begin"/>
      </w:r>
      <w:r w:rsidR="00AB5FC2">
        <w:rPr>
          <w:lang w:val="en-GB"/>
        </w:rPr>
        <w:instrText xml:space="preserve"> REF _Ref147912841 \h </w:instrText>
      </w:r>
      <w:r w:rsidR="00AB5FC2">
        <w:rPr>
          <w:lang w:val="en-GB"/>
        </w:rPr>
      </w:r>
      <w:r w:rsidR="00AB5FC2">
        <w:rPr>
          <w:lang w:val="en-GB"/>
        </w:rPr>
        <w:fldChar w:fldCharType="separate"/>
      </w:r>
      <w:r w:rsidR="006F0F3B">
        <w:t xml:space="preserve">Table A </w:t>
      </w:r>
      <w:r w:rsidR="006F0F3B">
        <w:rPr>
          <w:noProof/>
        </w:rPr>
        <w:t>90</w:t>
      </w:r>
      <w:r w:rsidR="00AB5FC2">
        <w:rPr>
          <w:lang w:val="en-GB"/>
        </w:rPr>
        <w:fldChar w:fldCharType="end"/>
      </w:r>
      <w:r w:rsidRPr="00A27D35">
        <w:rPr>
          <w:lang w:val="en-GB"/>
        </w:rPr>
        <w:t>.</w:t>
      </w:r>
    </w:p>
    <w:p w14:paraId="5F46DBB5" w14:textId="77777777" w:rsidR="00067435" w:rsidRPr="00A27D35" w:rsidRDefault="00067435" w:rsidP="00067435">
      <w:pPr>
        <w:widowControl w:val="0"/>
        <w:suppressAutoHyphens/>
        <w:jc w:val="both"/>
        <w:rPr>
          <w:highlight w:val="yellow"/>
          <w:lang w:val="en-GB"/>
        </w:rPr>
      </w:pPr>
    </w:p>
    <w:p w14:paraId="45E846A1" w14:textId="4F5A7017" w:rsidR="00067435" w:rsidRPr="00834105" w:rsidRDefault="00AB5FC2" w:rsidP="00AB5FC2">
      <w:pPr>
        <w:pStyle w:val="Legenda"/>
        <w:rPr>
          <w:b w:val="0"/>
          <w:bCs w:val="0"/>
          <w:highlight w:val="yellow"/>
        </w:rPr>
      </w:pPr>
      <w:bookmarkStart w:id="1179" w:name="_Ref147912841"/>
      <w:r>
        <w:t xml:space="preserve">Table A </w:t>
      </w:r>
      <w:r>
        <w:fldChar w:fldCharType="begin"/>
      </w:r>
      <w:r>
        <w:instrText xml:space="preserve"> SEQ Table_A \* ARABIC </w:instrText>
      </w:r>
      <w:r>
        <w:fldChar w:fldCharType="separate"/>
      </w:r>
      <w:r w:rsidR="006F0F3B">
        <w:rPr>
          <w:noProof/>
        </w:rPr>
        <w:t>90</w:t>
      </w:r>
      <w:r>
        <w:fldChar w:fldCharType="end"/>
      </w:r>
      <w:bookmarkEnd w:id="1179"/>
      <w:r w:rsidR="00067435" w:rsidRPr="007752C0">
        <w:t>:</w:t>
      </w:r>
      <w:r w:rsidR="00067435" w:rsidRPr="007752C0">
        <w:tab/>
        <w:t>Effects of Propamocarb-hydrochloride SL 722 G on mortality and reproduction</w:t>
      </w:r>
      <w:r w:rsidR="00067435" w:rsidRPr="00834105">
        <w:t xml:space="preserve"> of predatory mites</w:t>
      </w:r>
      <w:r w:rsidR="00067435" w:rsidRPr="00834105">
        <w:rPr>
          <w:i/>
        </w:rPr>
        <w:t xml:space="preserve"> (Hypoaspis aculeifer)</w:t>
      </w:r>
      <w:r w:rsidR="00067435" w:rsidRPr="00834105">
        <w:t xml:space="preserve"> in a 14-day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0"/>
        <w:gridCol w:w="2188"/>
        <w:gridCol w:w="2056"/>
      </w:tblGrid>
      <w:tr w:rsidR="00067435" w:rsidRPr="00660628" w14:paraId="52487E0D" w14:textId="77777777" w:rsidTr="00026175">
        <w:trPr>
          <w:trHeight w:val="624"/>
        </w:trPr>
        <w:tc>
          <w:tcPr>
            <w:tcW w:w="2729" w:type="pct"/>
            <w:vAlign w:val="center"/>
          </w:tcPr>
          <w:p w14:paraId="7AEA59F0" w14:textId="77777777" w:rsidR="00067435" w:rsidRPr="00A27D35" w:rsidRDefault="00067435" w:rsidP="00026175">
            <w:pPr>
              <w:keepNext/>
              <w:keepLines/>
              <w:widowControl w:val="0"/>
              <w:suppressAutoHyphens/>
              <w:spacing w:before="40" w:after="40"/>
              <w:rPr>
                <w:b/>
                <w:sz w:val="20"/>
                <w:lang w:val="en-GB"/>
              </w:rPr>
            </w:pPr>
            <w:r w:rsidRPr="00A27D35">
              <w:rPr>
                <w:b/>
                <w:bCs/>
                <w:sz w:val="20"/>
                <w:lang w:val="en-GB"/>
              </w:rPr>
              <w:t>Propamocarb-hydrochloride SL 722 G</w:t>
            </w:r>
            <w:r w:rsidRPr="00A27D35">
              <w:rPr>
                <w:b/>
                <w:sz w:val="20"/>
                <w:lang w:val="en-GB"/>
              </w:rPr>
              <w:br/>
              <w:t>[mg/kg dry soil</w:t>
            </w:r>
            <w:r w:rsidRPr="00834105">
              <w:rPr>
                <w:b/>
                <w:sz w:val="20"/>
              </w:rPr>
              <w:sym w:font="Symbol" w:char="F05D"/>
            </w:r>
          </w:p>
        </w:tc>
        <w:tc>
          <w:tcPr>
            <w:tcW w:w="1171" w:type="pct"/>
            <w:vAlign w:val="center"/>
          </w:tcPr>
          <w:p w14:paraId="0B894906" w14:textId="77777777" w:rsidR="00067435" w:rsidRPr="00834105" w:rsidRDefault="00067435" w:rsidP="00026175">
            <w:pPr>
              <w:keepNext/>
              <w:keepLines/>
              <w:widowControl w:val="0"/>
              <w:suppressAutoHyphens/>
              <w:spacing w:before="40" w:after="40"/>
              <w:rPr>
                <w:b/>
                <w:sz w:val="20"/>
              </w:rPr>
            </w:pPr>
            <w:r w:rsidRPr="00834105">
              <w:rPr>
                <w:b/>
                <w:sz w:val="20"/>
              </w:rPr>
              <w:t>Control</w:t>
            </w:r>
          </w:p>
        </w:tc>
        <w:tc>
          <w:tcPr>
            <w:tcW w:w="1100" w:type="pct"/>
            <w:shd w:val="clear" w:color="auto" w:fill="auto"/>
            <w:vAlign w:val="center"/>
          </w:tcPr>
          <w:p w14:paraId="2CC30FF9" w14:textId="77777777" w:rsidR="00067435" w:rsidRPr="00834105" w:rsidRDefault="00067435" w:rsidP="00026175">
            <w:pPr>
              <w:keepNext/>
              <w:keepLines/>
              <w:widowControl w:val="0"/>
              <w:suppressAutoHyphens/>
              <w:spacing w:before="40" w:after="40"/>
              <w:rPr>
                <w:b/>
                <w:sz w:val="20"/>
              </w:rPr>
            </w:pPr>
            <w:r w:rsidRPr="00834105">
              <w:rPr>
                <w:b/>
                <w:sz w:val="20"/>
              </w:rPr>
              <w:t>1000</w:t>
            </w:r>
          </w:p>
        </w:tc>
      </w:tr>
      <w:tr w:rsidR="00067435" w:rsidRPr="00660628" w14:paraId="28677CE0" w14:textId="77777777" w:rsidTr="00026175">
        <w:trPr>
          <w:trHeight w:val="340"/>
        </w:trPr>
        <w:tc>
          <w:tcPr>
            <w:tcW w:w="2729" w:type="pct"/>
            <w:vAlign w:val="center"/>
          </w:tcPr>
          <w:p w14:paraId="42189436" w14:textId="77777777" w:rsidR="00067435" w:rsidRPr="00834105" w:rsidRDefault="00067435" w:rsidP="00026175">
            <w:pPr>
              <w:keepNext/>
              <w:keepLines/>
              <w:widowControl w:val="0"/>
              <w:suppressAutoHyphens/>
              <w:spacing w:before="40" w:after="40"/>
              <w:rPr>
                <w:sz w:val="20"/>
              </w:rPr>
            </w:pPr>
            <w:r w:rsidRPr="00834105">
              <w:rPr>
                <w:sz w:val="20"/>
              </w:rPr>
              <w:t>Mean mortality (day 28) [%]</w:t>
            </w:r>
          </w:p>
        </w:tc>
        <w:tc>
          <w:tcPr>
            <w:tcW w:w="1171" w:type="pct"/>
            <w:vAlign w:val="center"/>
          </w:tcPr>
          <w:p w14:paraId="43FAAD24" w14:textId="77777777" w:rsidR="00067435" w:rsidRPr="00834105" w:rsidRDefault="00067435" w:rsidP="00026175">
            <w:pPr>
              <w:keepNext/>
              <w:keepLines/>
              <w:suppressAutoHyphens/>
              <w:rPr>
                <w:sz w:val="20"/>
                <w:szCs w:val="18"/>
              </w:rPr>
            </w:pPr>
            <w:r w:rsidRPr="00660628">
              <w:rPr>
                <w:sz w:val="20"/>
                <w:szCs w:val="18"/>
              </w:rPr>
              <w:t>5.0</w:t>
            </w:r>
          </w:p>
        </w:tc>
        <w:tc>
          <w:tcPr>
            <w:tcW w:w="1100" w:type="pct"/>
            <w:shd w:val="clear" w:color="auto" w:fill="auto"/>
            <w:vAlign w:val="center"/>
          </w:tcPr>
          <w:p w14:paraId="02D10989" w14:textId="77777777" w:rsidR="00067435" w:rsidRPr="00834105" w:rsidRDefault="00067435" w:rsidP="00026175">
            <w:pPr>
              <w:keepNext/>
              <w:keepLines/>
              <w:suppressAutoHyphens/>
              <w:rPr>
                <w:sz w:val="20"/>
                <w:szCs w:val="18"/>
              </w:rPr>
            </w:pPr>
            <w:r w:rsidRPr="00660628">
              <w:rPr>
                <w:sz w:val="20"/>
                <w:szCs w:val="18"/>
              </w:rPr>
              <w:t>1.3</w:t>
            </w:r>
          </w:p>
        </w:tc>
      </w:tr>
      <w:tr w:rsidR="00067435" w:rsidRPr="00660628" w14:paraId="64F87BF6" w14:textId="77777777" w:rsidTr="00026175">
        <w:trPr>
          <w:trHeight w:val="340"/>
        </w:trPr>
        <w:tc>
          <w:tcPr>
            <w:tcW w:w="2729" w:type="pct"/>
            <w:vAlign w:val="center"/>
          </w:tcPr>
          <w:p w14:paraId="252E6862" w14:textId="77777777" w:rsidR="00067435" w:rsidRPr="00A27D35" w:rsidRDefault="00067435" w:rsidP="00026175">
            <w:pPr>
              <w:keepNext/>
              <w:keepLines/>
              <w:widowControl w:val="0"/>
              <w:suppressAutoHyphens/>
              <w:spacing w:before="40" w:after="40"/>
              <w:rPr>
                <w:sz w:val="20"/>
                <w:lang w:val="en-GB"/>
              </w:rPr>
            </w:pPr>
            <w:r w:rsidRPr="00A27D35">
              <w:rPr>
                <w:sz w:val="20"/>
                <w:lang w:val="en-GB"/>
              </w:rPr>
              <w:t>Mean no. of juveniles (day 28)</w:t>
            </w:r>
          </w:p>
        </w:tc>
        <w:tc>
          <w:tcPr>
            <w:tcW w:w="1171" w:type="pct"/>
            <w:vAlign w:val="center"/>
          </w:tcPr>
          <w:p w14:paraId="00673B44" w14:textId="77777777" w:rsidR="00067435" w:rsidRPr="00834105" w:rsidRDefault="00067435" w:rsidP="00026175">
            <w:pPr>
              <w:keepNext/>
              <w:keepLines/>
              <w:suppressAutoHyphens/>
              <w:rPr>
                <w:sz w:val="20"/>
                <w:szCs w:val="18"/>
              </w:rPr>
            </w:pPr>
            <w:r w:rsidRPr="00660628">
              <w:rPr>
                <w:sz w:val="20"/>
                <w:szCs w:val="18"/>
              </w:rPr>
              <w:t>305.5</w:t>
            </w:r>
          </w:p>
        </w:tc>
        <w:tc>
          <w:tcPr>
            <w:tcW w:w="1100" w:type="pct"/>
            <w:shd w:val="clear" w:color="auto" w:fill="auto"/>
            <w:vAlign w:val="center"/>
          </w:tcPr>
          <w:p w14:paraId="13595402" w14:textId="77777777" w:rsidR="00067435" w:rsidRPr="00834105" w:rsidRDefault="00067435" w:rsidP="00026175">
            <w:pPr>
              <w:keepNext/>
              <w:keepLines/>
              <w:suppressAutoHyphens/>
              <w:rPr>
                <w:sz w:val="20"/>
                <w:szCs w:val="18"/>
              </w:rPr>
            </w:pPr>
            <w:r w:rsidRPr="00660628">
              <w:rPr>
                <w:sz w:val="20"/>
                <w:szCs w:val="18"/>
              </w:rPr>
              <w:t>311.5</w:t>
            </w:r>
          </w:p>
        </w:tc>
      </w:tr>
      <w:tr w:rsidR="00067435" w:rsidRPr="00660628" w14:paraId="27C74BEB" w14:textId="77777777" w:rsidTr="00026175">
        <w:trPr>
          <w:trHeight w:val="567"/>
        </w:trPr>
        <w:tc>
          <w:tcPr>
            <w:tcW w:w="2729" w:type="pct"/>
            <w:vAlign w:val="center"/>
          </w:tcPr>
          <w:p w14:paraId="2BB86D28" w14:textId="77777777" w:rsidR="00067435" w:rsidRPr="00A27D35" w:rsidRDefault="00067435" w:rsidP="00026175">
            <w:pPr>
              <w:keepNext/>
              <w:keepLines/>
              <w:widowControl w:val="0"/>
              <w:suppressAutoHyphens/>
              <w:spacing w:before="40" w:after="40"/>
              <w:rPr>
                <w:sz w:val="20"/>
                <w:lang w:val="en-GB"/>
              </w:rPr>
            </w:pPr>
            <w:r w:rsidRPr="00A27D35">
              <w:rPr>
                <w:sz w:val="20"/>
                <w:lang w:val="en-GB"/>
              </w:rPr>
              <w:t>Reproduction in [%] of control (day 28)</w:t>
            </w:r>
          </w:p>
        </w:tc>
        <w:tc>
          <w:tcPr>
            <w:tcW w:w="1171" w:type="pct"/>
            <w:vAlign w:val="center"/>
          </w:tcPr>
          <w:p w14:paraId="5D406CF3" w14:textId="77777777" w:rsidR="00067435" w:rsidRPr="00834105" w:rsidRDefault="00067435" w:rsidP="00026175">
            <w:pPr>
              <w:keepNext/>
              <w:keepLines/>
              <w:suppressAutoHyphens/>
              <w:rPr>
                <w:sz w:val="20"/>
                <w:szCs w:val="18"/>
              </w:rPr>
            </w:pPr>
            <w:r w:rsidRPr="00834105">
              <w:rPr>
                <w:sz w:val="20"/>
                <w:szCs w:val="18"/>
              </w:rPr>
              <w:t>100</w:t>
            </w:r>
          </w:p>
        </w:tc>
        <w:tc>
          <w:tcPr>
            <w:tcW w:w="1100" w:type="pct"/>
            <w:shd w:val="clear" w:color="auto" w:fill="auto"/>
            <w:vAlign w:val="center"/>
          </w:tcPr>
          <w:p w14:paraId="0BA082D1" w14:textId="77777777" w:rsidR="00067435" w:rsidRPr="00834105" w:rsidRDefault="00067435" w:rsidP="00026175">
            <w:pPr>
              <w:keepNext/>
              <w:keepLines/>
              <w:suppressAutoHyphens/>
              <w:rPr>
                <w:sz w:val="20"/>
                <w:szCs w:val="18"/>
              </w:rPr>
            </w:pPr>
            <w:r w:rsidRPr="00834105">
              <w:rPr>
                <w:sz w:val="20"/>
                <w:szCs w:val="18"/>
              </w:rPr>
              <w:t>10</w:t>
            </w:r>
            <w:r w:rsidRPr="00660628">
              <w:rPr>
                <w:sz w:val="20"/>
                <w:szCs w:val="18"/>
              </w:rPr>
              <w:t>2</w:t>
            </w:r>
          </w:p>
        </w:tc>
      </w:tr>
      <w:tr w:rsidR="00067435" w:rsidRPr="00660628" w14:paraId="5FCE017C" w14:textId="77777777" w:rsidTr="00026175">
        <w:trPr>
          <w:trHeight w:val="567"/>
        </w:trPr>
        <w:tc>
          <w:tcPr>
            <w:tcW w:w="2729" w:type="pct"/>
            <w:vAlign w:val="center"/>
          </w:tcPr>
          <w:p w14:paraId="23B82E7F" w14:textId="77777777" w:rsidR="00067435" w:rsidRPr="00A27D35" w:rsidRDefault="00067435" w:rsidP="00026175">
            <w:pPr>
              <w:keepNext/>
              <w:keepLines/>
              <w:widowControl w:val="0"/>
              <w:suppressAutoHyphens/>
              <w:spacing w:before="40" w:after="40"/>
              <w:rPr>
                <w:sz w:val="20"/>
                <w:lang w:val="en-GB"/>
              </w:rPr>
            </w:pPr>
            <w:r w:rsidRPr="00A27D35">
              <w:rPr>
                <w:sz w:val="20"/>
                <w:lang w:val="en-GB"/>
              </w:rPr>
              <w:t>Coefficient of variation of the number of juveniles [%]</w:t>
            </w:r>
          </w:p>
        </w:tc>
        <w:tc>
          <w:tcPr>
            <w:tcW w:w="1171" w:type="pct"/>
            <w:vAlign w:val="center"/>
          </w:tcPr>
          <w:p w14:paraId="6BDC737C" w14:textId="77777777" w:rsidR="00067435" w:rsidRPr="00834105" w:rsidRDefault="00067435" w:rsidP="00026175">
            <w:pPr>
              <w:keepNext/>
              <w:keepLines/>
              <w:suppressAutoHyphens/>
              <w:rPr>
                <w:sz w:val="20"/>
                <w:szCs w:val="18"/>
              </w:rPr>
            </w:pPr>
            <w:r w:rsidRPr="00660628">
              <w:rPr>
                <w:sz w:val="20"/>
                <w:szCs w:val="18"/>
              </w:rPr>
              <w:t>8.9</w:t>
            </w:r>
          </w:p>
        </w:tc>
        <w:tc>
          <w:tcPr>
            <w:tcW w:w="1100" w:type="pct"/>
            <w:shd w:val="clear" w:color="auto" w:fill="auto"/>
            <w:vAlign w:val="center"/>
          </w:tcPr>
          <w:p w14:paraId="0347427A" w14:textId="77777777" w:rsidR="00067435" w:rsidRPr="00834105" w:rsidRDefault="00067435" w:rsidP="00026175">
            <w:pPr>
              <w:keepNext/>
              <w:keepLines/>
              <w:suppressAutoHyphens/>
              <w:rPr>
                <w:sz w:val="20"/>
                <w:szCs w:val="18"/>
              </w:rPr>
            </w:pPr>
            <w:r w:rsidRPr="00660628">
              <w:rPr>
                <w:sz w:val="20"/>
                <w:szCs w:val="18"/>
              </w:rPr>
              <w:t>5.3</w:t>
            </w:r>
          </w:p>
        </w:tc>
      </w:tr>
      <w:tr w:rsidR="00067435" w:rsidRPr="00A27D35" w14:paraId="4A51C083" w14:textId="77777777" w:rsidTr="00026175">
        <w:trPr>
          <w:cantSplit/>
          <w:trHeight w:val="340"/>
        </w:trPr>
        <w:tc>
          <w:tcPr>
            <w:tcW w:w="2729" w:type="pct"/>
            <w:vAlign w:val="center"/>
          </w:tcPr>
          <w:p w14:paraId="7D1BD09B" w14:textId="77777777" w:rsidR="00067435" w:rsidRPr="00834105" w:rsidRDefault="00067435" w:rsidP="00026175">
            <w:pPr>
              <w:keepNext/>
              <w:keepLines/>
              <w:widowControl w:val="0"/>
              <w:suppressAutoHyphens/>
              <w:spacing w:before="40" w:after="40"/>
              <w:rPr>
                <w:sz w:val="20"/>
              </w:rPr>
            </w:pPr>
            <w:r w:rsidRPr="00834105">
              <w:rPr>
                <w:b/>
                <w:bCs/>
                <w:sz w:val="20"/>
              </w:rPr>
              <w:t>Endpoints</w:t>
            </w:r>
          </w:p>
        </w:tc>
        <w:tc>
          <w:tcPr>
            <w:tcW w:w="2271" w:type="pct"/>
            <w:gridSpan w:val="2"/>
            <w:vAlign w:val="center"/>
          </w:tcPr>
          <w:p w14:paraId="2F1EC3FE" w14:textId="77777777" w:rsidR="00067435" w:rsidRPr="00A27D35" w:rsidRDefault="00067435" w:rsidP="00026175">
            <w:pPr>
              <w:keepNext/>
              <w:keepLines/>
              <w:widowControl w:val="0"/>
              <w:suppressAutoHyphens/>
              <w:spacing w:before="40" w:after="40"/>
              <w:outlineLvl w:val="0"/>
              <w:rPr>
                <w:b/>
                <w:sz w:val="20"/>
                <w:lang w:val="en-GB"/>
              </w:rPr>
            </w:pPr>
            <w:r w:rsidRPr="00A27D35">
              <w:rPr>
                <w:b/>
                <w:bCs/>
                <w:sz w:val="20"/>
                <w:lang w:val="en-GB"/>
              </w:rPr>
              <w:t>[mg test item/kg dry soil]</w:t>
            </w:r>
          </w:p>
        </w:tc>
      </w:tr>
      <w:tr w:rsidR="00067435" w:rsidRPr="00834105" w14:paraId="1529278C" w14:textId="77777777" w:rsidTr="00026175">
        <w:trPr>
          <w:cantSplit/>
          <w:trHeight w:val="340"/>
        </w:trPr>
        <w:tc>
          <w:tcPr>
            <w:tcW w:w="2729" w:type="pct"/>
            <w:vAlign w:val="center"/>
          </w:tcPr>
          <w:p w14:paraId="3D53483E" w14:textId="77777777" w:rsidR="00067435" w:rsidRPr="00834105" w:rsidRDefault="00067435" w:rsidP="00026175">
            <w:pPr>
              <w:keepNext/>
              <w:keepLines/>
              <w:widowControl w:val="0"/>
              <w:suppressAutoHyphens/>
              <w:spacing w:before="40" w:after="40"/>
              <w:rPr>
                <w:sz w:val="20"/>
              </w:rPr>
            </w:pPr>
            <w:r w:rsidRPr="00834105">
              <w:rPr>
                <w:sz w:val="20"/>
              </w:rPr>
              <w:t>NOEC</w:t>
            </w:r>
            <w:r w:rsidRPr="00834105">
              <w:rPr>
                <w:sz w:val="20"/>
                <w:vertAlign w:val="subscript"/>
              </w:rPr>
              <w:t> mortality, reproduction</w:t>
            </w:r>
          </w:p>
        </w:tc>
        <w:tc>
          <w:tcPr>
            <w:tcW w:w="2271" w:type="pct"/>
            <w:gridSpan w:val="2"/>
            <w:vAlign w:val="center"/>
          </w:tcPr>
          <w:p w14:paraId="3F074685" w14:textId="77777777" w:rsidR="00067435" w:rsidRPr="00834105" w:rsidRDefault="00067435" w:rsidP="00026175">
            <w:pPr>
              <w:keepNext/>
              <w:keepLines/>
              <w:widowControl w:val="0"/>
              <w:suppressAutoHyphens/>
              <w:spacing w:before="40" w:after="40"/>
              <w:rPr>
                <w:sz w:val="20"/>
              </w:rPr>
            </w:pPr>
            <w:r w:rsidRPr="00834105">
              <w:rPr>
                <w:sz w:val="20"/>
              </w:rPr>
              <w:t>≥ 1000</w:t>
            </w:r>
          </w:p>
        </w:tc>
      </w:tr>
      <w:tr w:rsidR="00067435" w:rsidRPr="00834105" w14:paraId="722172D7" w14:textId="77777777" w:rsidTr="00026175">
        <w:trPr>
          <w:cantSplit/>
          <w:trHeight w:val="340"/>
        </w:trPr>
        <w:tc>
          <w:tcPr>
            <w:tcW w:w="2729" w:type="pct"/>
            <w:vAlign w:val="center"/>
          </w:tcPr>
          <w:p w14:paraId="66DEE76B" w14:textId="77777777" w:rsidR="00067435" w:rsidRPr="00834105" w:rsidRDefault="00067435" w:rsidP="00026175">
            <w:pPr>
              <w:keepNext/>
              <w:keepLines/>
              <w:widowControl w:val="0"/>
              <w:suppressAutoHyphens/>
              <w:spacing w:before="40" w:after="40"/>
              <w:rPr>
                <w:sz w:val="20"/>
              </w:rPr>
            </w:pPr>
            <w:r w:rsidRPr="00834105">
              <w:rPr>
                <w:sz w:val="20"/>
              </w:rPr>
              <w:t>EC</w:t>
            </w:r>
            <w:r w:rsidRPr="00834105">
              <w:rPr>
                <w:sz w:val="20"/>
                <w:vertAlign w:val="subscript"/>
              </w:rPr>
              <w:t>10</w:t>
            </w:r>
            <w:r w:rsidRPr="00834105">
              <w:rPr>
                <w:sz w:val="20"/>
                <w:vertAlign w:val="superscript"/>
              </w:rPr>
              <w:t xml:space="preserve"> 1)</w:t>
            </w:r>
          </w:p>
        </w:tc>
        <w:tc>
          <w:tcPr>
            <w:tcW w:w="2271" w:type="pct"/>
            <w:gridSpan w:val="2"/>
            <w:vAlign w:val="center"/>
          </w:tcPr>
          <w:p w14:paraId="1060F19B" w14:textId="77777777" w:rsidR="00067435" w:rsidRPr="00834105" w:rsidRDefault="00067435" w:rsidP="00026175">
            <w:pPr>
              <w:keepNext/>
              <w:keepLines/>
              <w:widowControl w:val="0"/>
              <w:suppressAutoHyphens/>
              <w:spacing w:before="40" w:after="40"/>
              <w:rPr>
                <w:sz w:val="20"/>
              </w:rPr>
            </w:pPr>
            <w:r w:rsidRPr="00834105">
              <w:rPr>
                <w:sz w:val="20"/>
              </w:rPr>
              <w:t>&gt; 1000</w:t>
            </w:r>
          </w:p>
        </w:tc>
      </w:tr>
      <w:tr w:rsidR="00067435" w:rsidRPr="00834105" w14:paraId="7AD37408" w14:textId="77777777" w:rsidTr="00026175">
        <w:trPr>
          <w:cantSplit/>
          <w:trHeight w:val="340"/>
        </w:trPr>
        <w:tc>
          <w:tcPr>
            <w:tcW w:w="2729" w:type="pct"/>
            <w:vAlign w:val="center"/>
          </w:tcPr>
          <w:p w14:paraId="083F9067" w14:textId="77777777" w:rsidR="00067435" w:rsidRPr="00834105" w:rsidRDefault="00067435" w:rsidP="00026175">
            <w:pPr>
              <w:keepNext/>
              <w:keepLines/>
              <w:widowControl w:val="0"/>
              <w:suppressAutoHyphens/>
              <w:spacing w:before="40" w:after="40"/>
              <w:rPr>
                <w:sz w:val="20"/>
              </w:rPr>
            </w:pPr>
            <w:r w:rsidRPr="00834105">
              <w:rPr>
                <w:sz w:val="20"/>
              </w:rPr>
              <w:t>EC</w:t>
            </w:r>
            <w:r w:rsidRPr="00834105">
              <w:rPr>
                <w:sz w:val="20"/>
                <w:vertAlign w:val="subscript"/>
              </w:rPr>
              <w:t>20</w:t>
            </w:r>
            <w:r w:rsidRPr="00834105">
              <w:rPr>
                <w:sz w:val="20"/>
                <w:vertAlign w:val="superscript"/>
              </w:rPr>
              <w:t xml:space="preserve"> 1)</w:t>
            </w:r>
          </w:p>
        </w:tc>
        <w:tc>
          <w:tcPr>
            <w:tcW w:w="2271" w:type="pct"/>
            <w:gridSpan w:val="2"/>
            <w:vAlign w:val="center"/>
          </w:tcPr>
          <w:p w14:paraId="09938149" w14:textId="77777777" w:rsidR="00067435" w:rsidRPr="00834105" w:rsidRDefault="00067435" w:rsidP="00026175">
            <w:pPr>
              <w:keepNext/>
              <w:keepLines/>
              <w:widowControl w:val="0"/>
              <w:suppressAutoHyphens/>
              <w:spacing w:before="40" w:after="40"/>
              <w:rPr>
                <w:sz w:val="20"/>
              </w:rPr>
            </w:pPr>
            <w:r w:rsidRPr="00834105">
              <w:rPr>
                <w:sz w:val="20"/>
              </w:rPr>
              <w:t>&gt; 1000</w:t>
            </w:r>
          </w:p>
        </w:tc>
      </w:tr>
      <w:tr w:rsidR="00067435" w:rsidRPr="00834105" w14:paraId="04B3A560" w14:textId="77777777" w:rsidTr="00026175">
        <w:trPr>
          <w:cantSplit/>
          <w:trHeight w:val="340"/>
        </w:trPr>
        <w:tc>
          <w:tcPr>
            <w:tcW w:w="2729" w:type="pct"/>
            <w:vAlign w:val="center"/>
          </w:tcPr>
          <w:p w14:paraId="1D173EAF" w14:textId="77777777" w:rsidR="00067435" w:rsidRPr="00834105" w:rsidRDefault="00067435" w:rsidP="00026175">
            <w:pPr>
              <w:keepNext/>
              <w:keepLines/>
              <w:widowControl w:val="0"/>
              <w:suppressAutoHyphens/>
              <w:spacing w:before="40" w:after="40"/>
              <w:rPr>
                <w:sz w:val="20"/>
              </w:rPr>
            </w:pPr>
            <w:r w:rsidRPr="00834105">
              <w:rPr>
                <w:sz w:val="20"/>
              </w:rPr>
              <w:t>EC</w:t>
            </w:r>
            <w:r w:rsidRPr="00834105">
              <w:rPr>
                <w:sz w:val="20"/>
                <w:vertAlign w:val="subscript"/>
              </w:rPr>
              <w:t>50</w:t>
            </w:r>
            <w:r w:rsidRPr="00834105">
              <w:rPr>
                <w:sz w:val="20"/>
                <w:vertAlign w:val="superscript"/>
              </w:rPr>
              <w:t xml:space="preserve"> 1)</w:t>
            </w:r>
          </w:p>
        </w:tc>
        <w:tc>
          <w:tcPr>
            <w:tcW w:w="2271" w:type="pct"/>
            <w:gridSpan w:val="2"/>
            <w:vAlign w:val="center"/>
          </w:tcPr>
          <w:p w14:paraId="1FCC8915" w14:textId="77777777" w:rsidR="00067435" w:rsidRPr="00834105" w:rsidRDefault="00067435" w:rsidP="00026175">
            <w:pPr>
              <w:keepNext/>
              <w:keepLines/>
              <w:widowControl w:val="0"/>
              <w:suppressAutoHyphens/>
              <w:spacing w:before="40" w:after="40"/>
              <w:rPr>
                <w:sz w:val="20"/>
              </w:rPr>
            </w:pPr>
            <w:r w:rsidRPr="00834105">
              <w:rPr>
                <w:sz w:val="20"/>
              </w:rPr>
              <w:t>&gt; 1000</w:t>
            </w:r>
          </w:p>
        </w:tc>
      </w:tr>
      <w:tr w:rsidR="00067435" w:rsidRPr="00834105" w14:paraId="155FCDF3" w14:textId="77777777" w:rsidTr="00026175">
        <w:trPr>
          <w:cantSplit/>
          <w:trHeight w:val="340"/>
        </w:trPr>
        <w:tc>
          <w:tcPr>
            <w:tcW w:w="2729" w:type="pct"/>
            <w:vAlign w:val="center"/>
          </w:tcPr>
          <w:p w14:paraId="7ADC16EF" w14:textId="77777777" w:rsidR="00067435" w:rsidRPr="00834105" w:rsidRDefault="00067435" w:rsidP="00026175">
            <w:pPr>
              <w:keepNext/>
              <w:keepLines/>
              <w:widowControl w:val="0"/>
              <w:suppressAutoHyphens/>
              <w:spacing w:before="40" w:after="40"/>
              <w:rPr>
                <w:sz w:val="20"/>
              </w:rPr>
            </w:pPr>
            <w:r w:rsidRPr="00834105">
              <w:rPr>
                <w:sz w:val="20"/>
              </w:rPr>
              <w:t>LC</w:t>
            </w:r>
            <w:r w:rsidRPr="00834105">
              <w:rPr>
                <w:sz w:val="20"/>
                <w:vertAlign w:val="subscript"/>
              </w:rPr>
              <w:t>50</w:t>
            </w:r>
            <w:r w:rsidRPr="00834105">
              <w:rPr>
                <w:sz w:val="20"/>
                <w:vertAlign w:val="superscript"/>
              </w:rPr>
              <w:t xml:space="preserve"> 1)</w:t>
            </w:r>
          </w:p>
        </w:tc>
        <w:tc>
          <w:tcPr>
            <w:tcW w:w="2271" w:type="pct"/>
            <w:gridSpan w:val="2"/>
            <w:vAlign w:val="center"/>
          </w:tcPr>
          <w:p w14:paraId="6868BE77" w14:textId="77777777" w:rsidR="00067435" w:rsidRPr="00834105" w:rsidRDefault="00067435" w:rsidP="00026175">
            <w:pPr>
              <w:keepNext/>
              <w:keepLines/>
              <w:widowControl w:val="0"/>
              <w:suppressAutoHyphens/>
              <w:spacing w:before="40" w:after="40"/>
              <w:rPr>
                <w:sz w:val="20"/>
              </w:rPr>
            </w:pPr>
            <w:r w:rsidRPr="00834105">
              <w:rPr>
                <w:sz w:val="20"/>
              </w:rPr>
              <w:t>&gt; 1000</w:t>
            </w:r>
          </w:p>
        </w:tc>
      </w:tr>
    </w:tbl>
    <w:p w14:paraId="176C9A47" w14:textId="77777777" w:rsidR="00067435" w:rsidRPr="00660628" w:rsidRDefault="00067435" w:rsidP="00E05ECD">
      <w:pPr>
        <w:pStyle w:val="Akapitzlist"/>
        <w:keepNext/>
        <w:keepLines/>
        <w:widowControl w:val="0"/>
        <w:numPr>
          <w:ilvl w:val="0"/>
          <w:numId w:val="124"/>
        </w:numPr>
        <w:suppressAutoHyphens/>
        <w:spacing w:before="40"/>
        <w:contextualSpacing/>
        <w:jc w:val="both"/>
        <w:rPr>
          <w:sz w:val="18"/>
        </w:rPr>
      </w:pPr>
      <w:r w:rsidRPr="00660628">
        <w:rPr>
          <w:sz w:val="18"/>
        </w:rPr>
        <w:t>Based on estimation.</w:t>
      </w:r>
    </w:p>
    <w:p w14:paraId="3C6755B5" w14:textId="77777777" w:rsidR="00067435" w:rsidRPr="00A27D35" w:rsidRDefault="00067435" w:rsidP="00067435">
      <w:pPr>
        <w:keepNext/>
        <w:keepLines/>
        <w:widowControl w:val="0"/>
        <w:suppressAutoHyphens/>
        <w:spacing w:before="40"/>
        <w:ind w:left="360"/>
        <w:jc w:val="both"/>
        <w:rPr>
          <w:sz w:val="18"/>
          <w:szCs w:val="20"/>
          <w:lang w:val="en-GB"/>
        </w:rPr>
      </w:pPr>
      <w:r w:rsidRPr="00A27D35">
        <w:rPr>
          <w:sz w:val="18"/>
          <w:szCs w:val="20"/>
          <w:lang w:val="en-GB"/>
        </w:rPr>
        <w:t xml:space="preserve">No statistically significant differences compared to control were calculated (Fisher´s Exact Binomial Test for mortality, </w:t>
      </w:r>
      <w:r w:rsidRPr="00660628">
        <w:rPr>
          <w:sz w:val="18"/>
          <w:szCs w:val="20"/>
        </w:rPr>
        <w:t>α</w:t>
      </w:r>
      <w:r w:rsidRPr="00A27D35">
        <w:rPr>
          <w:sz w:val="18"/>
          <w:szCs w:val="20"/>
          <w:lang w:val="en-GB"/>
        </w:rPr>
        <w:t xml:space="preserve"> = 0.05; Student-t-test for reproduction; </w:t>
      </w:r>
      <w:r w:rsidRPr="00660628">
        <w:rPr>
          <w:sz w:val="18"/>
          <w:szCs w:val="20"/>
        </w:rPr>
        <w:t>α</w:t>
      </w:r>
      <w:r w:rsidRPr="00A27D35">
        <w:rPr>
          <w:sz w:val="18"/>
          <w:szCs w:val="20"/>
          <w:lang w:val="en-GB"/>
        </w:rPr>
        <w:t xml:space="preserve"> = 0.05)</w:t>
      </w:r>
    </w:p>
    <w:p w14:paraId="634FD845" w14:textId="77777777" w:rsidR="00067435" w:rsidRPr="00A27D35" w:rsidRDefault="00067435" w:rsidP="00067435">
      <w:pPr>
        <w:keepNext/>
        <w:keepLines/>
        <w:widowControl w:val="0"/>
        <w:suppressAutoHyphens/>
        <w:spacing w:before="40"/>
        <w:ind w:left="360"/>
        <w:jc w:val="both"/>
        <w:rPr>
          <w:sz w:val="18"/>
          <w:szCs w:val="20"/>
          <w:lang w:val="en-GB"/>
        </w:rPr>
      </w:pPr>
      <w:r w:rsidRPr="00A27D35">
        <w:rPr>
          <w:sz w:val="18"/>
          <w:szCs w:val="20"/>
          <w:lang w:val="en-GB"/>
        </w:rPr>
        <w:t>Calculations were done using non-rounded values</w:t>
      </w:r>
    </w:p>
    <w:p w14:paraId="0928AEE7" w14:textId="77777777" w:rsidR="00067435" w:rsidRPr="00A27D35" w:rsidRDefault="00067435" w:rsidP="00067435">
      <w:pPr>
        <w:widowControl w:val="0"/>
        <w:suppressAutoHyphens/>
        <w:jc w:val="both"/>
        <w:rPr>
          <w:highlight w:val="yellow"/>
          <w:lang w:val="en-GB"/>
        </w:rPr>
      </w:pPr>
    </w:p>
    <w:p w14:paraId="78CA939B" w14:textId="77777777" w:rsidR="00067435" w:rsidRPr="00834105" w:rsidRDefault="00067435" w:rsidP="00067435">
      <w:pPr>
        <w:tabs>
          <w:tab w:val="left" w:pos="720"/>
        </w:tabs>
        <w:spacing w:after="240"/>
        <w:jc w:val="both"/>
        <w:rPr>
          <w:szCs w:val="24"/>
          <w:highlight w:val="yellow"/>
          <w:lang w:val="en-GB"/>
        </w:rPr>
      </w:pPr>
      <w:r w:rsidRPr="00A27D35">
        <w:rPr>
          <w:lang w:val="en-GB"/>
        </w:rPr>
        <w:t>In a separate study (BioChem project No. R 14 10 48 001 S, dated June 10, 2014), the EC</w:t>
      </w:r>
      <w:r w:rsidRPr="00A27D35">
        <w:rPr>
          <w:vertAlign w:val="subscript"/>
          <w:lang w:val="en-GB"/>
        </w:rPr>
        <w:t>50</w:t>
      </w:r>
      <w:r w:rsidRPr="00A27D35">
        <w:rPr>
          <w:lang w:val="en-GB"/>
        </w:rPr>
        <w:t xml:space="preserve"> (reproduction) of the reference item Dimethoate was calculated to be 6.2 mg/kg soil d.w. (tested concentrations: 1.00, 1.60, 2.56, 4.10, 6.55 and 10.5 mg/kg soil dry weight). The results of the reference test demonstrate the sensitivity of the test system.</w:t>
      </w:r>
    </w:p>
    <w:p w14:paraId="0E8D8A49" w14:textId="77777777" w:rsidR="00067435" w:rsidRPr="00834105" w:rsidRDefault="00067435" w:rsidP="00067435">
      <w:pPr>
        <w:tabs>
          <w:tab w:val="left" w:pos="0"/>
        </w:tabs>
        <w:ind w:left="357" w:hanging="357"/>
        <w:contextualSpacing/>
        <w:rPr>
          <w:b/>
          <w:bCs/>
          <w:caps/>
          <w:szCs w:val="24"/>
          <w:lang w:val="en-GB"/>
        </w:rPr>
      </w:pPr>
      <w:r w:rsidRPr="00834105">
        <w:rPr>
          <w:b/>
          <w:bCs/>
          <w:caps/>
          <w:szCs w:val="24"/>
          <w:lang w:val="en-GB"/>
        </w:rPr>
        <w:t>D.</w:t>
      </w:r>
      <w:r w:rsidRPr="00834105">
        <w:rPr>
          <w:b/>
          <w:bCs/>
          <w:caps/>
          <w:szCs w:val="24"/>
          <w:lang w:val="en-GB"/>
        </w:rPr>
        <w:tab/>
        <w:t>VALIDITY CRITERIA</w:t>
      </w:r>
    </w:p>
    <w:p w14:paraId="66FED86D" w14:textId="5FC2D710" w:rsidR="00067435" w:rsidRPr="007752C0" w:rsidRDefault="00067435" w:rsidP="00067435">
      <w:pPr>
        <w:tabs>
          <w:tab w:val="left" w:pos="720"/>
        </w:tabs>
        <w:jc w:val="both"/>
        <w:rPr>
          <w:szCs w:val="24"/>
          <w:lang w:val="en-GB"/>
        </w:rPr>
      </w:pPr>
      <w:r w:rsidRPr="00834105">
        <w:rPr>
          <w:szCs w:val="24"/>
          <w:lang w:val="en-GB"/>
        </w:rPr>
        <w:t xml:space="preserve">All validity criteria </w:t>
      </w:r>
      <w:r w:rsidRPr="007752C0">
        <w:rPr>
          <w:szCs w:val="24"/>
          <w:lang w:val="en-GB"/>
        </w:rPr>
        <w:t>were met (</w:t>
      </w:r>
      <w:r w:rsidR="0038518E">
        <w:rPr>
          <w:szCs w:val="24"/>
          <w:lang w:val="en-GB"/>
        </w:rPr>
        <w:fldChar w:fldCharType="begin"/>
      </w:r>
      <w:r w:rsidR="0038518E">
        <w:rPr>
          <w:szCs w:val="24"/>
          <w:lang w:val="en-GB"/>
        </w:rPr>
        <w:instrText xml:space="preserve"> REF _Ref147912873 \h </w:instrText>
      </w:r>
      <w:r w:rsidR="0038518E">
        <w:rPr>
          <w:szCs w:val="24"/>
          <w:lang w:val="en-GB"/>
        </w:rPr>
      </w:r>
      <w:r w:rsidR="0038518E">
        <w:rPr>
          <w:szCs w:val="24"/>
          <w:lang w:val="en-GB"/>
        </w:rPr>
        <w:fldChar w:fldCharType="separate"/>
      </w:r>
      <w:r w:rsidR="006F0F3B">
        <w:t xml:space="preserve">Table A </w:t>
      </w:r>
      <w:r w:rsidR="006F0F3B">
        <w:rPr>
          <w:noProof/>
        </w:rPr>
        <w:t>91</w:t>
      </w:r>
      <w:r w:rsidR="0038518E">
        <w:rPr>
          <w:szCs w:val="24"/>
          <w:lang w:val="en-GB"/>
        </w:rPr>
        <w:fldChar w:fldCharType="end"/>
      </w:r>
      <w:r w:rsidRPr="007752C0">
        <w:rPr>
          <w:szCs w:val="24"/>
          <w:lang w:val="en-GB"/>
        </w:rPr>
        <w:t xml:space="preserve">). </w:t>
      </w:r>
    </w:p>
    <w:p w14:paraId="59C1B97E" w14:textId="77777777" w:rsidR="00067435" w:rsidRPr="007752C0" w:rsidRDefault="00067435" w:rsidP="00067435">
      <w:pPr>
        <w:tabs>
          <w:tab w:val="left" w:pos="720"/>
        </w:tabs>
        <w:jc w:val="both"/>
        <w:rPr>
          <w:szCs w:val="24"/>
          <w:lang w:val="en-GB"/>
        </w:rPr>
      </w:pPr>
    </w:p>
    <w:p w14:paraId="77F60630" w14:textId="7F939AB8" w:rsidR="00067435" w:rsidRPr="007752C0" w:rsidRDefault="0038518E" w:rsidP="0038518E">
      <w:pPr>
        <w:pStyle w:val="Legenda"/>
        <w:rPr>
          <w:b w:val="0"/>
          <w:bCs w:val="0"/>
          <w:szCs w:val="24"/>
        </w:rPr>
      </w:pPr>
      <w:bookmarkStart w:id="1180" w:name="_Ref147912873"/>
      <w:r>
        <w:t xml:space="preserve">Table A </w:t>
      </w:r>
      <w:r>
        <w:fldChar w:fldCharType="begin"/>
      </w:r>
      <w:r>
        <w:instrText xml:space="preserve"> SEQ Table_A \* ARABIC </w:instrText>
      </w:r>
      <w:r>
        <w:fldChar w:fldCharType="separate"/>
      </w:r>
      <w:r w:rsidR="006F0F3B">
        <w:rPr>
          <w:noProof/>
        </w:rPr>
        <w:t>91</w:t>
      </w:r>
      <w:r>
        <w:fldChar w:fldCharType="end"/>
      </w:r>
      <w:bookmarkEnd w:id="1180"/>
      <w:r w:rsidR="00067435" w:rsidRPr="007752C0">
        <w:rPr>
          <w:szCs w:val="24"/>
        </w:rPr>
        <w:t>: Validity criteria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0"/>
        <w:gridCol w:w="4819"/>
      </w:tblGrid>
      <w:tr w:rsidR="00067435" w:rsidRPr="00834105" w14:paraId="353C90CE" w14:textId="77777777" w:rsidTr="00026175">
        <w:trPr>
          <w:trHeight w:val="270"/>
        </w:trPr>
        <w:tc>
          <w:tcPr>
            <w:tcW w:w="4390" w:type="dxa"/>
            <w:shd w:val="clear" w:color="auto" w:fill="auto"/>
            <w:noWrap/>
            <w:hideMark/>
          </w:tcPr>
          <w:p w14:paraId="34586376" w14:textId="77777777" w:rsidR="00067435" w:rsidRPr="00834105" w:rsidRDefault="00067435" w:rsidP="00026175">
            <w:pPr>
              <w:tabs>
                <w:tab w:val="left" w:pos="720"/>
              </w:tabs>
              <w:spacing w:before="40" w:after="40"/>
              <w:rPr>
                <w:b/>
                <w:bCs/>
                <w:lang w:val="en-GB"/>
              </w:rPr>
            </w:pPr>
            <w:r w:rsidRPr="00834105">
              <w:rPr>
                <w:b/>
                <w:bCs/>
                <w:lang w:val="en-GB"/>
              </w:rPr>
              <w:t>Validity criteria according to OECD 226 (2016)</w:t>
            </w:r>
          </w:p>
        </w:tc>
        <w:tc>
          <w:tcPr>
            <w:tcW w:w="4819" w:type="dxa"/>
            <w:shd w:val="clear" w:color="auto" w:fill="auto"/>
            <w:noWrap/>
            <w:hideMark/>
          </w:tcPr>
          <w:p w14:paraId="3DEC81CE" w14:textId="77777777" w:rsidR="00067435" w:rsidRPr="00834105" w:rsidRDefault="00067435" w:rsidP="00026175">
            <w:pPr>
              <w:tabs>
                <w:tab w:val="left" w:pos="720"/>
              </w:tabs>
              <w:spacing w:before="40" w:after="40"/>
              <w:rPr>
                <w:b/>
                <w:bCs/>
                <w:lang w:val="en-GB"/>
              </w:rPr>
            </w:pPr>
            <w:r w:rsidRPr="00834105">
              <w:rPr>
                <w:b/>
                <w:bCs/>
                <w:lang w:val="en-GB"/>
              </w:rPr>
              <w:t>Obtained in this study</w:t>
            </w:r>
          </w:p>
        </w:tc>
      </w:tr>
      <w:tr w:rsidR="00067435" w:rsidRPr="00834105" w14:paraId="5881F2CC" w14:textId="77777777" w:rsidTr="00026175">
        <w:trPr>
          <w:trHeight w:val="270"/>
        </w:trPr>
        <w:tc>
          <w:tcPr>
            <w:tcW w:w="4390" w:type="dxa"/>
            <w:shd w:val="clear" w:color="auto" w:fill="auto"/>
            <w:noWrap/>
          </w:tcPr>
          <w:p w14:paraId="6F8C07EC" w14:textId="77777777" w:rsidR="00067435" w:rsidRPr="00834105" w:rsidRDefault="00067435" w:rsidP="00026175">
            <w:pPr>
              <w:tabs>
                <w:tab w:val="left" w:pos="720"/>
              </w:tabs>
              <w:spacing w:before="40" w:after="40"/>
              <w:rPr>
                <w:lang w:val="en-GB"/>
              </w:rPr>
            </w:pPr>
            <w:r w:rsidRPr="00834105">
              <w:rPr>
                <w:lang w:val="en-GB"/>
              </w:rPr>
              <w:t>In the control(s), mean mortality of adult females must be ≤20%</w:t>
            </w:r>
          </w:p>
        </w:tc>
        <w:tc>
          <w:tcPr>
            <w:tcW w:w="4819" w:type="dxa"/>
            <w:shd w:val="clear" w:color="auto" w:fill="auto"/>
            <w:noWrap/>
          </w:tcPr>
          <w:p w14:paraId="6A18E7CF" w14:textId="77777777" w:rsidR="00067435" w:rsidRPr="00834105" w:rsidRDefault="00067435" w:rsidP="00026175">
            <w:pPr>
              <w:tabs>
                <w:tab w:val="left" w:pos="720"/>
              </w:tabs>
              <w:spacing w:before="40" w:after="40"/>
              <w:rPr>
                <w:lang w:val="en-GB"/>
              </w:rPr>
            </w:pPr>
            <w:r w:rsidRPr="00660628">
              <w:rPr>
                <w:lang w:val="en-GB"/>
              </w:rPr>
              <w:t>5.0</w:t>
            </w:r>
            <w:r w:rsidRPr="00834105">
              <w:rPr>
                <w:lang w:val="en-GB"/>
              </w:rPr>
              <w:t>%</w:t>
            </w:r>
          </w:p>
        </w:tc>
      </w:tr>
      <w:tr w:rsidR="00067435" w:rsidRPr="00834105" w14:paraId="76F66C19" w14:textId="77777777" w:rsidTr="00026175">
        <w:trPr>
          <w:trHeight w:val="270"/>
        </w:trPr>
        <w:tc>
          <w:tcPr>
            <w:tcW w:w="4390" w:type="dxa"/>
            <w:shd w:val="clear" w:color="auto" w:fill="auto"/>
            <w:noWrap/>
          </w:tcPr>
          <w:p w14:paraId="0C4C6CF4" w14:textId="77777777" w:rsidR="00067435" w:rsidRPr="00834105" w:rsidRDefault="00067435" w:rsidP="00026175">
            <w:pPr>
              <w:tabs>
                <w:tab w:val="left" w:pos="720"/>
              </w:tabs>
              <w:autoSpaceDE w:val="0"/>
              <w:autoSpaceDN w:val="0"/>
              <w:adjustRightInd w:val="0"/>
              <w:spacing w:before="40" w:after="40"/>
              <w:rPr>
                <w:rFonts w:eastAsia="Calibri"/>
                <w:lang w:val="en-GB"/>
              </w:rPr>
            </w:pPr>
            <w:r w:rsidRPr="00834105">
              <w:rPr>
                <w:rFonts w:eastAsia="Calibri"/>
                <w:lang w:val="en-GB"/>
              </w:rPr>
              <w:t>In the control(s), mean number of juveniles per replicate must be ≥50</w:t>
            </w:r>
          </w:p>
        </w:tc>
        <w:tc>
          <w:tcPr>
            <w:tcW w:w="4819" w:type="dxa"/>
            <w:shd w:val="clear" w:color="auto" w:fill="auto"/>
            <w:noWrap/>
          </w:tcPr>
          <w:p w14:paraId="6AFC953E" w14:textId="77777777" w:rsidR="00067435" w:rsidRPr="00834105" w:rsidRDefault="00067435" w:rsidP="00026175">
            <w:pPr>
              <w:tabs>
                <w:tab w:val="left" w:pos="720"/>
              </w:tabs>
              <w:spacing w:before="40" w:after="40"/>
              <w:rPr>
                <w:lang w:val="en-GB"/>
              </w:rPr>
            </w:pPr>
            <w:r w:rsidRPr="00660628">
              <w:rPr>
                <w:lang w:val="en-GB"/>
              </w:rPr>
              <w:t>305.5</w:t>
            </w:r>
          </w:p>
        </w:tc>
      </w:tr>
      <w:tr w:rsidR="00067435" w:rsidRPr="00834105" w14:paraId="3FF5171E" w14:textId="77777777" w:rsidTr="00026175">
        <w:trPr>
          <w:trHeight w:val="270"/>
        </w:trPr>
        <w:tc>
          <w:tcPr>
            <w:tcW w:w="4390" w:type="dxa"/>
            <w:shd w:val="clear" w:color="auto" w:fill="auto"/>
            <w:noWrap/>
          </w:tcPr>
          <w:p w14:paraId="669DEF98" w14:textId="77777777" w:rsidR="00067435" w:rsidRPr="00834105" w:rsidRDefault="00067435" w:rsidP="00026175">
            <w:pPr>
              <w:tabs>
                <w:tab w:val="left" w:pos="720"/>
              </w:tabs>
              <w:autoSpaceDE w:val="0"/>
              <w:autoSpaceDN w:val="0"/>
              <w:adjustRightInd w:val="0"/>
              <w:spacing w:before="40" w:after="40"/>
              <w:rPr>
                <w:rFonts w:eastAsia="Calibri"/>
                <w:lang w:val="en-GB"/>
              </w:rPr>
            </w:pPr>
            <w:r w:rsidRPr="00834105">
              <w:rPr>
                <w:rFonts w:eastAsia="Calibri"/>
                <w:lang w:val="en-GB"/>
              </w:rPr>
              <w:t>In the control(s), the coefficient of variation for the mean number of juveniles per replicate must be ≤30%</w:t>
            </w:r>
          </w:p>
        </w:tc>
        <w:tc>
          <w:tcPr>
            <w:tcW w:w="4819" w:type="dxa"/>
            <w:shd w:val="clear" w:color="auto" w:fill="auto"/>
            <w:noWrap/>
          </w:tcPr>
          <w:p w14:paraId="53FD8571" w14:textId="77777777" w:rsidR="00067435" w:rsidRPr="00834105" w:rsidRDefault="00067435" w:rsidP="00026175">
            <w:pPr>
              <w:tabs>
                <w:tab w:val="left" w:pos="720"/>
              </w:tabs>
              <w:spacing w:before="40" w:after="40"/>
              <w:rPr>
                <w:lang w:val="en-GB"/>
              </w:rPr>
            </w:pPr>
            <w:r w:rsidRPr="00660628">
              <w:rPr>
                <w:lang w:val="en-GB"/>
              </w:rPr>
              <w:t>8</w:t>
            </w:r>
            <w:r w:rsidRPr="00834105">
              <w:rPr>
                <w:lang w:val="en-GB"/>
              </w:rPr>
              <w:t>.9%</w:t>
            </w:r>
          </w:p>
        </w:tc>
      </w:tr>
    </w:tbl>
    <w:p w14:paraId="3884B649" w14:textId="77777777" w:rsidR="00067435" w:rsidRPr="00834105" w:rsidRDefault="00067435" w:rsidP="00067435">
      <w:pPr>
        <w:tabs>
          <w:tab w:val="left" w:pos="720"/>
        </w:tabs>
        <w:jc w:val="both"/>
        <w:rPr>
          <w:szCs w:val="24"/>
          <w:lang w:val="en-GB"/>
        </w:rPr>
      </w:pPr>
    </w:p>
    <w:p w14:paraId="5651E6EF" w14:textId="77777777" w:rsidR="00067435" w:rsidRPr="00834105" w:rsidRDefault="00067435" w:rsidP="00067435">
      <w:pPr>
        <w:tabs>
          <w:tab w:val="left" w:pos="0"/>
        </w:tabs>
        <w:ind w:left="357" w:hanging="357"/>
        <w:contextualSpacing/>
        <w:rPr>
          <w:b/>
          <w:bCs/>
          <w:caps/>
          <w:szCs w:val="24"/>
          <w:lang w:val="en-GB"/>
        </w:rPr>
      </w:pPr>
      <w:r w:rsidRPr="00834105">
        <w:rPr>
          <w:b/>
          <w:bCs/>
          <w:caps/>
          <w:szCs w:val="24"/>
          <w:lang w:val="en-GB"/>
        </w:rPr>
        <w:t>E.</w:t>
      </w:r>
      <w:r w:rsidRPr="00834105">
        <w:rPr>
          <w:b/>
          <w:bCs/>
          <w:caps/>
          <w:szCs w:val="24"/>
          <w:lang w:val="en-GB"/>
        </w:rPr>
        <w:tab/>
        <w:t>DEFICIENCIES</w:t>
      </w:r>
    </w:p>
    <w:p w14:paraId="1F15458E" w14:textId="22FF3823" w:rsidR="0038518E" w:rsidRDefault="00067435" w:rsidP="00067435">
      <w:pPr>
        <w:tabs>
          <w:tab w:val="left" w:pos="720"/>
        </w:tabs>
        <w:spacing w:after="240"/>
        <w:jc w:val="both"/>
        <w:rPr>
          <w:szCs w:val="24"/>
          <w:lang w:val="en-GB"/>
        </w:rPr>
      </w:pPr>
      <w:r w:rsidRPr="00834105">
        <w:rPr>
          <w:szCs w:val="24"/>
          <w:lang w:val="en-GB"/>
        </w:rPr>
        <w:t>There were no deficiencies.</w:t>
      </w:r>
    </w:p>
    <w:p w14:paraId="0E1A0D30" w14:textId="77777777" w:rsidR="00067435" w:rsidRPr="00834105" w:rsidRDefault="00067435" w:rsidP="00895761">
      <w:pPr>
        <w:keepNext/>
        <w:keepLines/>
        <w:tabs>
          <w:tab w:val="left" w:pos="720"/>
        </w:tabs>
        <w:spacing w:after="240"/>
        <w:ind w:left="720" w:hanging="431"/>
        <w:contextualSpacing/>
        <w:jc w:val="center"/>
        <w:rPr>
          <w:b/>
          <w:bCs/>
          <w:caps/>
          <w:szCs w:val="24"/>
          <w:lang w:val="en-GB"/>
        </w:rPr>
      </w:pPr>
      <w:r w:rsidRPr="00834105">
        <w:rPr>
          <w:b/>
          <w:bCs/>
          <w:caps/>
          <w:szCs w:val="24"/>
          <w:lang w:val="en-GB"/>
        </w:rPr>
        <w:t>III.</w:t>
      </w:r>
      <w:r w:rsidRPr="00834105">
        <w:rPr>
          <w:b/>
          <w:bCs/>
          <w:caps/>
          <w:szCs w:val="24"/>
          <w:lang w:val="en-GB"/>
        </w:rPr>
        <w:tab/>
        <w:t>Conclusion</w:t>
      </w:r>
    </w:p>
    <w:p w14:paraId="1878B18C" w14:textId="77777777" w:rsidR="00067435" w:rsidRPr="00834105" w:rsidRDefault="00067435" w:rsidP="00067435">
      <w:pPr>
        <w:keepNext/>
        <w:keepLines/>
        <w:tabs>
          <w:tab w:val="left" w:pos="720"/>
        </w:tabs>
        <w:spacing w:after="240"/>
        <w:ind w:left="720" w:hanging="431"/>
        <w:contextualSpacing/>
        <w:jc w:val="center"/>
        <w:rPr>
          <w:b/>
          <w:bCs/>
          <w:caps/>
          <w:szCs w:val="24"/>
          <w:highlight w:val="yellow"/>
          <w:lang w:val="en-GB"/>
        </w:rPr>
      </w:pPr>
    </w:p>
    <w:p w14:paraId="23DEBD35" w14:textId="694009CB" w:rsidR="00067435" w:rsidRPr="00A34F10" w:rsidRDefault="00067435" w:rsidP="00067435">
      <w:pPr>
        <w:widowControl w:val="0"/>
        <w:jc w:val="both"/>
      </w:pPr>
      <w:r w:rsidRPr="00A27D35">
        <w:rPr>
          <w:lang w:val="en-GB"/>
        </w:rPr>
        <w:t xml:space="preserve">The effects of Propamocarb-hydrochloride SL 722 G on mortality and reproduction of the predatory mite </w:t>
      </w:r>
      <w:r w:rsidRPr="00A27D35">
        <w:rPr>
          <w:i/>
          <w:lang w:val="en-GB"/>
        </w:rPr>
        <w:t>Hypoaspis aculeifer</w:t>
      </w:r>
      <w:r w:rsidRPr="00A27D35">
        <w:rPr>
          <w:lang w:val="en-GB"/>
        </w:rPr>
        <w:t xml:space="preserve"> were investigated in a laboratory study over 14 days. </w:t>
      </w:r>
      <w:r w:rsidRPr="00A27D35">
        <w:rPr>
          <w:bCs/>
          <w:lang w:val="en-GB"/>
        </w:rPr>
        <w:t xml:space="preserve">The test item Propamocarb-hydrochloride SL 722 G showed no statistically significantly adverse effects on adult mortality and reproduction of the predatory mite </w:t>
      </w:r>
      <w:r w:rsidRPr="00A27D35">
        <w:rPr>
          <w:bCs/>
          <w:i/>
          <w:iCs/>
          <w:lang w:val="en-GB"/>
        </w:rPr>
        <w:t>Hypoaspis aculeifer</w:t>
      </w:r>
      <w:r w:rsidRPr="00A27D35">
        <w:rPr>
          <w:bCs/>
          <w:lang w:val="en-GB"/>
        </w:rPr>
        <w:t xml:space="preserve"> in artificial soil at 1000 mg test item/kg soil dry weight. Therefore, the overall No-Observed-Effect-Concentration (NOEC) was determined to be ≥ 1000 mg test item/kg soil dry weight, and the overall Lowest-Observed-Effect-Concentration (LOEC) was determined to be &gt; 1000 mg test item/kg soil dry weight.</w:t>
      </w:r>
    </w:p>
    <w:p w14:paraId="538E684F" w14:textId="77777777" w:rsidR="00DC5685" w:rsidRPr="00A34F10" w:rsidRDefault="00DC5685" w:rsidP="0060455A">
      <w:pPr>
        <w:pStyle w:val="RepAppendix4"/>
      </w:pPr>
      <w:r w:rsidRPr="00A34F10">
        <w:t xml:space="preserve">KCP 10.4.2.2 </w:t>
      </w:r>
      <w:r w:rsidRPr="00A34F10">
        <w:tab/>
        <w:t>Higher tier testing</w:t>
      </w:r>
    </w:p>
    <w:p w14:paraId="194476AB" w14:textId="77777777" w:rsidR="00DC5685" w:rsidRPr="00A34F10" w:rsidRDefault="00DC5685" w:rsidP="00DC5685">
      <w:pPr>
        <w:jc w:val="both"/>
        <w:rPr>
          <w:color w:val="000000"/>
        </w:rPr>
      </w:pPr>
      <w:bookmarkStart w:id="1181" w:name="_Hlk135688308"/>
      <w:r w:rsidRPr="00A34F10">
        <w:rPr>
          <w:color w:val="000000" w:themeColor="text1"/>
          <w:sz w:val="24"/>
        </w:rPr>
        <w:t>Further studies were not triggered.</w:t>
      </w:r>
      <w:bookmarkEnd w:id="1181"/>
    </w:p>
    <w:p w14:paraId="4AB536A1" w14:textId="77777777" w:rsidR="00DC5685" w:rsidRPr="00A34F10" w:rsidRDefault="00DC5685" w:rsidP="002E7F42">
      <w:pPr>
        <w:pStyle w:val="StyleOECD-BASIS-TEXTLeft"/>
        <w:rPr>
          <w:sz w:val="22"/>
          <w:lang w:val="en-US"/>
        </w:rPr>
        <w:sectPr w:rsidR="00DC5685" w:rsidRPr="00A34F10" w:rsidSect="00D20BDB">
          <w:pgSz w:w="11906" w:h="16838"/>
          <w:pgMar w:top="1418" w:right="1134" w:bottom="1134" w:left="1418" w:header="709" w:footer="709" w:gutter="0"/>
          <w:pgNumType w:chapSep="period"/>
          <w:cols w:space="708"/>
          <w:docGrid w:linePitch="360"/>
        </w:sectPr>
      </w:pPr>
    </w:p>
    <w:p w14:paraId="53F1BB42" w14:textId="77777777" w:rsidR="00DC5685" w:rsidRPr="00A34F10" w:rsidRDefault="00DC5685" w:rsidP="0038518E">
      <w:pPr>
        <w:pStyle w:val="RepAppendix2"/>
      </w:pPr>
      <w:bookmarkStart w:id="1182" w:name="_Toc413922105"/>
      <w:bookmarkStart w:id="1183" w:name="_Toc413922594"/>
      <w:bookmarkStart w:id="1184" w:name="_Toc413922698"/>
      <w:bookmarkStart w:id="1185" w:name="_Toc414955335"/>
      <w:bookmarkStart w:id="1186" w:name="_Toc415214642"/>
      <w:bookmarkStart w:id="1187" w:name="_Toc181625031"/>
      <w:r w:rsidRPr="00A34F10">
        <w:lastRenderedPageBreak/>
        <w:t xml:space="preserve">KCP 10.5 </w:t>
      </w:r>
      <w:r w:rsidRPr="00A34F10">
        <w:tab/>
        <w:t>Effects on soil nitrogen transformation</w:t>
      </w:r>
      <w:bookmarkEnd w:id="1182"/>
      <w:bookmarkEnd w:id="1183"/>
      <w:bookmarkEnd w:id="1184"/>
      <w:bookmarkEnd w:id="1185"/>
      <w:bookmarkEnd w:id="1186"/>
      <w:bookmarkEnd w:id="1187"/>
    </w:p>
    <w:p w14:paraId="7BA9BBCC" w14:textId="77777777" w:rsidR="00DC5685" w:rsidRPr="00A34F10" w:rsidRDefault="00DC5685" w:rsidP="0038518E">
      <w:pPr>
        <w:pStyle w:val="RepAppendix3"/>
        <w:rPr>
          <w:lang w:val="en-GB"/>
        </w:rPr>
      </w:pPr>
      <w:bookmarkStart w:id="1188" w:name="_Toc181625032"/>
      <w:r w:rsidRPr="00A34F10">
        <w:rPr>
          <w:lang w:val="en-GB"/>
        </w:rPr>
        <w:t>Study 1</w:t>
      </w:r>
      <w:bookmarkEnd w:id="11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4"/>
        <w:gridCol w:w="7300"/>
      </w:tblGrid>
      <w:tr w:rsidR="00DC5685" w:rsidRPr="00A34F10" w14:paraId="1F684BFB" w14:textId="77777777" w:rsidTr="000576ED">
        <w:tc>
          <w:tcPr>
            <w:tcW w:w="1094" w:type="pct"/>
            <w:shd w:val="clear" w:color="auto" w:fill="D9D9D9" w:themeFill="background1" w:themeFillShade="D9"/>
          </w:tcPr>
          <w:p w14:paraId="399685BC" w14:textId="77777777" w:rsidR="00DC5685" w:rsidRPr="00A34F10" w:rsidRDefault="00DC5685" w:rsidP="00DC5685">
            <w:pPr>
              <w:widowControl w:val="0"/>
              <w:jc w:val="both"/>
              <w:rPr>
                <w:rFonts w:eastAsia="Batang"/>
                <w:color w:val="000000" w:themeColor="text1"/>
                <w:lang w:val="en-GB"/>
              </w:rPr>
            </w:pPr>
            <w:r w:rsidRPr="00A34F10">
              <w:rPr>
                <w:color w:val="000000" w:themeColor="text1"/>
                <w:lang w:val="en-GB"/>
              </w:rPr>
              <w:t>Comments of zRMS:</w:t>
            </w:r>
          </w:p>
        </w:tc>
        <w:tc>
          <w:tcPr>
            <w:tcW w:w="3906" w:type="pct"/>
            <w:shd w:val="clear" w:color="auto" w:fill="D9D9D9" w:themeFill="background1" w:themeFillShade="D9"/>
          </w:tcPr>
          <w:p w14:paraId="5E954441" w14:textId="1AAE4575" w:rsidR="00DC5685" w:rsidRPr="00A34F10" w:rsidRDefault="000576ED" w:rsidP="00DC5685">
            <w:pPr>
              <w:widowControl w:val="0"/>
              <w:jc w:val="both"/>
              <w:rPr>
                <w:rFonts w:eastAsia="Batang"/>
                <w:color w:val="000000" w:themeColor="text1"/>
                <w:lang w:val="en-GB"/>
              </w:rPr>
            </w:pPr>
            <w:r w:rsidRPr="0037666C">
              <w:rPr>
                <w:rFonts w:eastAsia="Batang"/>
              </w:rPr>
              <w:t xml:space="preserve">The study was conducted to </w:t>
            </w:r>
            <w:r w:rsidRPr="00A34F10">
              <w:rPr>
                <w:lang w:val="en-GB"/>
              </w:rPr>
              <w:t>OECD 2</w:t>
            </w:r>
            <w:r>
              <w:rPr>
                <w:lang w:val="en-GB"/>
              </w:rPr>
              <w:t>16</w:t>
            </w:r>
            <w:r w:rsidRPr="00A34F10">
              <w:rPr>
                <w:lang w:val="en-GB"/>
              </w:rPr>
              <w:t xml:space="preserve">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7F3791E7" w14:textId="77777777" w:rsidR="00DC5685" w:rsidRPr="00A34F10" w:rsidRDefault="00DC5685" w:rsidP="00DC5685">
      <w:pPr>
        <w:jc w:val="both"/>
        <w:rPr>
          <w:color w:val="5B9BD5" w:themeColor="accent5"/>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71BB77FB" w14:textId="77777777" w:rsidTr="000470C3">
        <w:trPr>
          <w:trHeight w:val="227"/>
          <w:jc w:val="center"/>
        </w:trPr>
        <w:tc>
          <w:tcPr>
            <w:tcW w:w="1364" w:type="pct"/>
          </w:tcPr>
          <w:p w14:paraId="11E55431" w14:textId="77777777" w:rsidR="00DC5685" w:rsidRPr="00A34F10" w:rsidRDefault="00DC5685" w:rsidP="00DC5685">
            <w:pPr>
              <w:widowControl w:val="0"/>
              <w:spacing w:after="120"/>
              <w:jc w:val="both"/>
              <w:rPr>
                <w:lang w:val="en-GB"/>
              </w:rPr>
            </w:pPr>
            <w:bookmarkStart w:id="1189" w:name="_Hlk135689260"/>
            <w:r w:rsidRPr="00A34F10">
              <w:rPr>
                <w:lang w:val="en-GB"/>
              </w:rPr>
              <w:t xml:space="preserve">Data point: </w:t>
            </w:r>
          </w:p>
        </w:tc>
        <w:tc>
          <w:tcPr>
            <w:tcW w:w="3636" w:type="pct"/>
          </w:tcPr>
          <w:p w14:paraId="25DB8649" w14:textId="77777777" w:rsidR="00DC5685" w:rsidRPr="00A34F10" w:rsidRDefault="00DC5685" w:rsidP="00DC5685">
            <w:pPr>
              <w:widowControl w:val="0"/>
              <w:spacing w:after="120"/>
              <w:jc w:val="both"/>
              <w:rPr>
                <w:lang w:val="en-GB"/>
              </w:rPr>
            </w:pPr>
            <w:r w:rsidRPr="00A34F10">
              <w:rPr>
                <w:lang w:val="en-GB"/>
              </w:rPr>
              <w:t>CP 10.5/01</w:t>
            </w:r>
          </w:p>
        </w:tc>
      </w:tr>
      <w:tr w:rsidR="00DC5685" w:rsidRPr="00A34F10" w14:paraId="0FF47FB3" w14:textId="77777777" w:rsidTr="000470C3">
        <w:trPr>
          <w:trHeight w:val="227"/>
          <w:jc w:val="center"/>
        </w:trPr>
        <w:tc>
          <w:tcPr>
            <w:tcW w:w="1364" w:type="pct"/>
          </w:tcPr>
          <w:p w14:paraId="3FF6D3BE"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7B25E7BA" w14:textId="77777777" w:rsidR="00DC5685" w:rsidRPr="00A34F10" w:rsidRDefault="00DC5685" w:rsidP="00DC5685">
            <w:pPr>
              <w:widowControl w:val="0"/>
              <w:spacing w:after="120"/>
              <w:jc w:val="both"/>
            </w:pPr>
            <w:r w:rsidRPr="00A34F10">
              <w:t>Effects of BAS 743 02 F on the activity of soil microflora (Nitrogen transformation test</w:t>
            </w:r>
          </w:p>
          <w:p w14:paraId="7837C440" w14:textId="77777777" w:rsidR="00DC5685" w:rsidRPr="00A34F10" w:rsidRDefault="00DC5685" w:rsidP="00DC5685">
            <w:pPr>
              <w:widowControl w:val="0"/>
              <w:spacing w:after="120"/>
              <w:jc w:val="both"/>
            </w:pPr>
            <w:r w:rsidRPr="00A34F10">
              <w:t>Schulz L., 2022</w:t>
            </w:r>
          </w:p>
          <w:p w14:paraId="0E70CADB" w14:textId="43490204" w:rsidR="00DC5685" w:rsidRPr="00A34F10" w:rsidRDefault="00D007AB" w:rsidP="00DC5685">
            <w:pPr>
              <w:widowControl w:val="0"/>
              <w:spacing w:after="120"/>
              <w:jc w:val="both"/>
              <w:rPr>
                <w:lang w:val="en-GB"/>
              </w:rPr>
            </w:pPr>
            <w:r>
              <w:t>XXXX</w:t>
            </w:r>
            <w:r w:rsidR="00DC5685" w:rsidRPr="00A34F10">
              <w:t xml:space="preserve"> Study ID:</w:t>
            </w:r>
            <w:r w:rsidR="00DC5685" w:rsidRPr="00A34F10">
              <w:rPr>
                <w:lang w:val="en-GB"/>
              </w:rPr>
              <w:t xml:space="preserve"> </w:t>
            </w:r>
            <w:r w:rsidR="00DC5685" w:rsidRPr="00A34F10">
              <w:t>933752_8</w:t>
            </w:r>
          </w:p>
          <w:p w14:paraId="1822F3ED" w14:textId="549F9752"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2022/2033717</w:t>
            </w:r>
          </w:p>
        </w:tc>
      </w:tr>
      <w:tr w:rsidR="00DC5685" w:rsidRPr="00A34F10" w14:paraId="11783F84" w14:textId="77777777" w:rsidTr="000470C3">
        <w:trPr>
          <w:trHeight w:val="227"/>
          <w:jc w:val="center"/>
        </w:trPr>
        <w:tc>
          <w:tcPr>
            <w:tcW w:w="1364" w:type="pct"/>
          </w:tcPr>
          <w:p w14:paraId="31D3BD23"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230BA9A7" w14:textId="77777777" w:rsidR="00DC5685" w:rsidRPr="00A34F10" w:rsidRDefault="00DC5685" w:rsidP="00DC5685">
            <w:pPr>
              <w:widowControl w:val="0"/>
              <w:spacing w:after="120"/>
              <w:jc w:val="both"/>
            </w:pPr>
            <w:r w:rsidRPr="00A34F10">
              <w:t>OECD 216 (2000)</w:t>
            </w:r>
          </w:p>
        </w:tc>
      </w:tr>
      <w:tr w:rsidR="00DC5685" w:rsidRPr="00A34F10" w14:paraId="7E2116EA" w14:textId="77777777" w:rsidTr="000470C3">
        <w:trPr>
          <w:trHeight w:val="227"/>
          <w:jc w:val="center"/>
        </w:trPr>
        <w:tc>
          <w:tcPr>
            <w:tcW w:w="1364" w:type="pct"/>
          </w:tcPr>
          <w:p w14:paraId="4D29683E"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489102B1" w14:textId="77777777" w:rsidR="00DC5685" w:rsidRPr="00A34F10" w:rsidRDefault="00DC5685" w:rsidP="00DC5685">
            <w:pPr>
              <w:widowControl w:val="0"/>
              <w:spacing w:after="120"/>
              <w:jc w:val="both"/>
              <w:rPr>
                <w:lang w:val="en-GB"/>
              </w:rPr>
            </w:pPr>
            <w:r w:rsidRPr="00A34F10">
              <w:rPr>
                <w:lang w:val="en-GB"/>
              </w:rPr>
              <w:t>No</w:t>
            </w:r>
          </w:p>
        </w:tc>
      </w:tr>
      <w:tr w:rsidR="00DC5685" w:rsidRPr="00A34F10" w14:paraId="571C4574" w14:textId="77777777" w:rsidTr="000470C3">
        <w:trPr>
          <w:trHeight w:val="227"/>
          <w:jc w:val="center"/>
        </w:trPr>
        <w:tc>
          <w:tcPr>
            <w:tcW w:w="1364" w:type="pct"/>
          </w:tcPr>
          <w:p w14:paraId="56790E4F" w14:textId="77777777" w:rsidR="00DC5685" w:rsidRPr="00A34F10" w:rsidRDefault="00DC5685" w:rsidP="00DC5685">
            <w:pPr>
              <w:widowControl w:val="0"/>
              <w:spacing w:after="120"/>
              <w:jc w:val="both"/>
              <w:rPr>
                <w:lang w:val="en-GB"/>
              </w:rPr>
            </w:pPr>
            <w:r w:rsidRPr="00A34F10">
              <w:rPr>
                <w:lang w:val="en-GB"/>
              </w:rPr>
              <w:t>GL</w:t>
            </w:r>
            <w:r w:rsidRPr="00A34F10">
              <w:t>P</w:t>
            </w:r>
            <w:r w:rsidRPr="00A34F10">
              <w:rPr>
                <w:lang w:val="en-GB"/>
              </w:rPr>
              <w:t>:</w:t>
            </w:r>
          </w:p>
        </w:tc>
        <w:tc>
          <w:tcPr>
            <w:tcW w:w="3636" w:type="pct"/>
          </w:tcPr>
          <w:p w14:paraId="7D26DDEA"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5DB13A6B" w14:textId="77777777" w:rsidTr="000470C3">
        <w:trPr>
          <w:trHeight w:val="227"/>
          <w:jc w:val="center"/>
        </w:trPr>
        <w:tc>
          <w:tcPr>
            <w:tcW w:w="1364" w:type="pct"/>
          </w:tcPr>
          <w:p w14:paraId="72A15F42"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33D06B4D" w14:textId="77777777" w:rsidR="00DC5685" w:rsidRPr="00A34F10" w:rsidRDefault="00DC5685" w:rsidP="00DC5685">
            <w:pPr>
              <w:widowControl w:val="0"/>
              <w:spacing w:after="120"/>
              <w:jc w:val="both"/>
              <w:rPr>
                <w:lang w:val="en-GB"/>
              </w:rPr>
            </w:pPr>
            <w:r w:rsidRPr="00A34F10">
              <w:rPr>
                <w:lang w:val="en-GB"/>
              </w:rPr>
              <w:t>Yes</w:t>
            </w:r>
          </w:p>
        </w:tc>
      </w:tr>
    </w:tbl>
    <w:p w14:paraId="731B05B7" w14:textId="77777777" w:rsidR="00DC5685" w:rsidRPr="00A34F10" w:rsidRDefault="00DC5685" w:rsidP="00DC5685">
      <w:pPr>
        <w:jc w:val="both"/>
        <w:rPr>
          <w:color w:val="000000" w:themeColor="text1"/>
        </w:rPr>
      </w:pPr>
    </w:p>
    <w:p w14:paraId="6EB73E6E" w14:textId="77777777" w:rsidR="00DC5685" w:rsidRPr="00A34F10" w:rsidRDefault="00DC5685" w:rsidP="00DC5685">
      <w:pPr>
        <w:keepNext/>
        <w:keepLines/>
        <w:tabs>
          <w:tab w:val="left" w:pos="720"/>
        </w:tabs>
        <w:jc w:val="both"/>
        <w:rPr>
          <w:b/>
          <w:color w:val="000000" w:themeColor="text1"/>
          <w:szCs w:val="32"/>
          <w:lang w:val="en-GB"/>
        </w:rPr>
      </w:pPr>
      <w:r w:rsidRPr="00A34F10">
        <w:rPr>
          <w:b/>
          <w:color w:val="000000" w:themeColor="text1"/>
          <w:szCs w:val="32"/>
          <w:lang w:val="en-GB"/>
        </w:rPr>
        <w:t>Executive Summary</w:t>
      </w:r>
    </w:p>
    <w:p w14:paraId="06E2F308" w14:textId="77777777" w:rsidR="00DC5685" w:rsidRPr="00A34F10" w:rsidRDefault="00DC5685" w:rsidP="00DC5685">
      <w:pPr>
        <w:keepNext/>
        <w:keepLines/>
        <w:tabs>
          <w:tab w:val="left" w:pos="720"/>
        </w:tabs>
        <w:jc w:val="both"/>
        <w:rPr>
          <w:b/>
          <w:color w:val="000000" w:themeColor="text1"/>
          <w:szCs w:val="32"/>
          <w:lang w:val="en-GB"/>
        </w:rPr>
      </w:pPr>
    </w:p>
    <w:p w14:paraId="4B923121" w14:textId="77777777" w:rsidR="00DC5685" w:rsidRPr="00A34F10" w:rsidRDefault="00DC5685" w:rsidP="00DC5685">
      <w:pPr>
        <w:keepNext/>
        <w:jc w:val="both"/>
      </w:pPr>
      <w:r w:rsidRPr="00A34F10">
        <w:rPr>
          <w:color w:val="000000" w:themeColor="text1"/>
          <w:szCs w:val="20"/>
        </w:rPr>
        <w:t xml:space="preserve">The </w:t>
      </w:r>
      <w:r w:rsidRPr="00A34F10">
        <w:rPr>
          <w:szCs w:val="20"/>
        </w:rPr>
        <w:t xml:space="preserve">effects of </w:t>
      </w:r>
      <w:r w:rsidRPr="00A34F10">
        <w:t xml:space="preserve">BAS 743 02 F </w:t>
      </w:r>
      <w:r w:rsidRPr="00A34F10">
        <w:rPr>
          <w:szCs w:val="20"/>
        </w:rPr>
        <w:t xml:space="preserve">on nitrogen transformation of soil microflora were determined over 28 days in the laboratory at two concentrations of 2.52 and 25.20 mg/kg product/kg soil dry weight (dw), corresponding to application rates of 1.01 and 10.08 mg/kg propamocarb and 0.32 and 3.20 mg/kg Ametoctradin (B, respectively. An untreated control was run in parallel. Each treatment group comprised of three replicates. </w:t>
      </w:r>
      <w:r w:rsidRPr="00A34F10">
        <w:t>Dinoterb was used as a reference item, tested in a separate study. Nitrogen transformation was determined as NO</w:t>
      </w:r>
      <w:r w:rsidRPr="00A34F10">
        <w:rPr>
          <w:vertAlign w:val="subscript"/>
        </w:rPr>
        <w:t>3</w:t>
      </w:r>
      <w:r w:rsidRPr="00A34F10">
        <w:t>-nitrogen-production in soil enriched with lucerne meal. NO</w:t>
      </w:r>
      <w:r w:rsidRPr="00A34F10">
        <w:rPr>
          <w:vertAlign w:val="subscript"/>
        </w:rPr>
        <w:t>3</w:t>
      </w:r>
      <w:r w:rsidRPr="00A34F10">
        <w:t xml:space="preserve">-nitrogen-production was measured at days 0, 7, 14 and 28 after application. </w:t>
      </w:r>
    </w:p>
    <w:p w14:paraId="427393CF" w14:textId="77777777" w:rsidR="00DC5685" w:rsidRPr="00A34F10" w:rsidRDefault="00DC5685" w:rsidP="00DC5685">
      <w:pPr>
        <w:rPr>
          <w:highlight w:val="yellow"/>
        </w:rPr>
      </w:pPr>
    </w:p>
    <w:p w14:paraId="66FA375A" w14:textId="6F8806C5" w:rsidR="00C04190" w:rsidRDefault="00DC5685" w:rsidP="00DC5685">
      <w:pPr>
        <w:spacing w:after="240"/>
        <w:jc w:val="both"/>
        <w:rPr>
          <w:szCs w:val="20"/>
        </w:rPr>
      </w:pPr>
      <w:r w:rsidRPr="00A34F10">
        <w:rPr>
          <w:szCs w:val="20"/>
        </w:rPr>
        <w:t>Exposure of BAS 743 02 F in a field soil up to and including the test concentration of 25.20 mg product/kg soil dw caused no adverse effects</w:t>
      </w:r>
      <w:r w:rsidRPr="00A34F10">
        <w:t xml:space="preserve"> </w:t>
      </w:r>
      <w:r w:rsidRPr="00A34F10">
        <w:rPr>
          <w:szCs w:val="20"/>
        </w:rPr>
        <w:t>(deviation from control &lt; 25 %) on the soil nitrogen transformation at the end of the 28-day incubation period.</w:t>
      </w:r>
    </w:p>
    <w:p w14:paraId="282A58A8" w14:textId="77777777" w:rsidR="00DC5685" w:rsidRPr="00A34F10" w:rsidRDefault="00DC5685" w:rsidP="00E05ECD">
      <w:pPr>
        <w:numPr>
          <w:ilvl w:val="0"/>
          <w:numId w:val="17"/>
        </w:numPr>
        <w:tabs>
          <w:tab w:val="left" w:pos="720"/>
        </w:tabs>
        <w:ind w:left="720" w:hanging="431"/>
        <w:contextualSpacing/>
        <w:jc w:val="center"/>
        <w:rPr>
          <w:b/>
          <w:bCs/>
          <w:caps/>
        </w:rPr>
      </w:pPr>
      <w:r w:rsidRPr="00A34F10">
        <w:rPr>
          <w:b/>
          <w:bCs/>
          <w:caps/>
        </w:rPr>
        <w:t>MATERIALS AND METHODS</w:t>
      </w:r>
    </w:p>
    <w:p w14:paraId="7B97DA27" w14:textId="77777777" w:rsidR="00DC5685" w:rsidRPr="00A34F10" w:rsidRDefault="00DC5685" w:rsidP="00DC5685">
      <w:pPr>
        <w:ind w:left="357"/>
        <w:contextualSpacing/>
        <w:rPr>
          <w:b/>
          <w:bCs/>
          <w:caps/>
          <w:szCs w:val="24"/>
          <w:lang w:val="en-GB"/>
        </w:rPr>
      </w:pPr>
    </w:p>
    <w:p w14:paraId="0B99020F" w14:textId="77777777" w:rsidR="00DC5685" w:rsidRPr="00A34F10" w:rsidRDefault="00DC5685" w:rsidP="00E05ECD">
      <w:pPr>
        <w:numPr>
          <w:ilvl w:val="0"/>
          <w:numId w:val="99"/>
        </w:numPr>
        <w:ind w:left="357" w:hanging="357"/>
        <w:contextualSpacing/>
        <w:rPr>
          <w:b/>
          <w:bCs/>
          <w:caps/>
          <w:szCs w:val="24"/>
          <w:lang w:val="en-GB"/>
        </w:rPr>
      </w:pPr>
      <w:r w:rsidRPr="00A34F10">
        <w:rPr>
          <w:b/>
          <w:bCs/>
          <w:caps/>
          <w:szCs w:val="24"/>
          <w:lang w:val="en-GB"/>
        </w:rPr>
        <w:t>MATERIALS</w:t>
      </w:r>
    </w:p>
    <w:p w14:paraId="07F09E8B" w14:textId="77777777" w:rsidR="00DC5685" w:rsidRPr="00A34F10" w:rsidRDefault="00DC5685" w:rsidP="00DC5685">
      <w:pPr>
        <w:ind w:left="357"/>
        <w:contextualSpacing/>
      </w:pPr>
    </w:p>
    <w:tbl>
      <w:tblPr>
        <w:tblW w:w="0" w:type="auto"/>
        <w:tblLayout w:type="fixed"/>
        <w:tblCellMar>
          <w:left w:w="0" w:type="dxa"/>
          <w:right w:w="0" w:type="dxa"/>
        </w:tblCellMar>
        <w:tblLook w:val="04A0" w:firstRow="1" w:lastRow="0" w:firstColumn="1" w:lastColumn="0" w:noHBand="0" w:noVBand="1"/>
      </w:tblPr>
      <w:tblGrid>
        <w:gridCol w:w="3828"/>
        <w:gridCol w:w="5529"/>
      </w:tblGrid>
      <w:tr w:rsidR="00DC5685" w:rsidRPr="00A34F10" w14:paraId="2F149D4D" w14:textId="77777777" w:rsidTr="000470C3">
        <w:trPr>
          <w:cantSplit/>
          <w:trHeight w:val="340"/>
        </w:trPr>
        <w:tc>
          <w:tcPr>
            <w:tcW w:w="3828" w:type="dxa"/>
            <w:noWrap/>
          </w:tcPr>
          <w:p w14:paraId="34FEEA9A" w14:textId="77777777" w:rsidR="00DC5685" w:rsidRPr="00A34F10" w:rsidRDefault="00DC5685" w:rsidP="00E05ECD">
            <w:pPr>
              <w:numPr>
                <w:ilvl w:val="0"/>
                <w:numId w:val="100"/>
              </w:numPr>
              <w:tabs>
                <w:tab w:val="left" w:pos="255"/>
              </w:tabs>
              <w:contextualSpacing/>
              <w:rPr>
                <w:b/>
                <w:bCs/>
              </w:rPr>
            </w:pPr>
            <w:r w:rsidRPr="00A34F10">
              <w:rPr>
                <w:b/>
                <w:bCs/>
                <w:lang w:val="en-GB"/>
              </w:rPr>
              <w:t>Test</w:t>
            </w:r>
            <w:r w:rsidRPr="00A34F10">
              <w:rPr>
                <w:b/>
                <w:bCs/>
              </w:rPr>
              <w:t xml:space="preserve"> item:</w:t>
            </w:r>
          </w:p>
        </w:tc>
        <w:tc>
          <w:tcPr>
            <w:tcW w:w="5529" w:type="dxa"/>
            <w:noWrap/>
          </w:tcPr>
          <w:p w14:paraId="327AE0F3" w14:textId="77777777" w:rsidR="00DC5685" w:rsidRPr="00A34F10" w:rsidRDefault="00DC5685" w:rsidP="00DC5685">
            <w:pPr>
              <w:tabs>
                <w:tab w:val="left" w:pos="720"/>
              </w:tabs>
              <w:jc w:val="both"/>
              <w:rPr>
                <w:lang w:val="en-GB"/>
              </w:rPr>
            </w:pPr>
            <w:r w:rsidRPr="00A34F10">
              <w:rPr>
                <w:lang w:val="en-GB"/>
              </w:rPr>
              <w:t>BAS 743 02 F</w:t>
            </w:r>
          </w:p>
        </w:tc>
      </w:tr>
      <w:tr w:rsidR="00DC5685" w:rsidRPr="00A34F10" w14:paraId="65C9CE9C" w14:textId="77777777" w:rsidTr="000470C3">
        <w:trPr>
          <w:cantSplit/>
          <w:trHeight w:val="340"/>
        </w:trPr>
        <w:tc>
          <w:tcPr>
            <w:tcW w:w="3828" w:type="dxa"/>
            <w:noWrap/>
          </w:tcPr>
          <w:p w14:paraId="44E35057"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Active substance content:</w:t>
            </w:r>
          </w:p>
        </w:tc>
        <w:tc>
          <w:tcPr>
            <w:tcW w:w="5529" w:type="dxa"/>
            <w:noWrap/>
          </w:tcPr>
          <w:p w14:paraId="5F8DEA60" w14:textId="77777777" w:rsidR="00DC5685" w:rsidRPr="00A34F10" w:rsidRDefault="00DC5685" w:rsidP="00DC5685">
            <w:pPr>
              <w:tabs>
                <w:tab w:val="left" w:pos="720"/>
              </w:tabs>
              <w:spacing w:line="276" w:lineRule="auto"/>
              <w:rPr>
                <w:szCs w:val="24"/>
              </w:rPr>
            </w:pPr>
            <w:r w:rsidRPr="00A34F10">
              <w:rPr>
                <w:szCs w:val="24"/>
              </w:rPr>
              <w:t>Propamocarb: nominal 432.0 g/L, analysed 431.0 g/L;</w:t>
            </w:r>
          </w:p>
          <w:p w14:paraId="62655DBC" w14:textId="77777777" w:rsidR="00DC5685" w:rsidRPr="00A34F10" w:rsidRDefault="00DC5685" w:rsidP="00DC5685">
            <w:pPr>
              <w:tabs>
                <w:tab w:val="left" w:pos="720"/>
              </w:tabs>
              <w:jc w:val="both"/>
              <w:rPr>
                <w:lang w:val="en-GB"/>
              </w:rPr>
            </w:pPr>
            <w:r w:rsidRPr="00A34F10">
              <w:rPr>
                <w:szCs w:val="24"/>
                <w:lang w:val="en-GB"/>
              </w:rPr>
              <w:t>Ametoctradin: nominal 137.14 g/L, analysed 137.7 g/L</w:t>
            </w:r>
          </w:p>
        </w:tc>
      </w:tr>
      <w:tr w:rsidR="00DC5685" w:rsidRPr="00A34F10" w14:paraId="43B46DDD" w14:textId="77777777" w:rsidTr="000470C3">
        <w:trPr>
          <w:cantSplit/>
          <w:trHeight w:val="340"/>
        </w:trPr>
        <w:tc>
          <w:tcPr>
            <w:tcW w:w="3828" w:type="dxa"/>
            <w:noWrap/>
          </w:tcPr>
          <w:p w14:paraId="0A08244C"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Description:</w:t>
            </w:r>
          </w:p>
        </w:tc>
        <w:tc>
          <w:tcPr>
            <w:tcW w:w="5529" w:type="dxa"/>
            <w:noWrap/>
          </w:tcPr>
          <w:p w14:paraId="7565211E" w14:textId="77777777" w:rsidR="00DC5685" w:rsidRPr="00A34F10" w:rsidRDefault="00DC5685" w:rsidP="00DC5685">
            <w:pPr>
              <w:tabs>
                <w:tab w:val="left" w:pos="720"/>
              </w:tabs>
              <w:jc w:val="both"/>
              <w:rPr>
                <w:lang w:val="en-GB"/>
              </w:rPr>
            </w:pPr>
            <w:r w:rsidRPr="00A34F10">
              <w:rPr>
                <w:lang w:val="en-GB"/>
              </w:rPr>
              <w:t>Soluble concentrate (SC)</w:t>
            </w:r>
          </w:p>
        </w:tc>
      </w:tr>
      <w:tr w:rsidR="00DC5685" w:rsidRPr="00A34F10" w14:paraId="26B8DB7A" w14:textId="77777777" w:rsidTr="000470C3">
        <w:trPr>
          <w:cantSplit/>
          <w:trHeight w:val="340"/>
        </w:trPr>
        <w:tc>
          <w:tcPr>
            <w:tcW w:w="3828" w:type="dxa"/>
            <w:noWrap/>
          </w:tcPr>
          <w:p w14:paraId="7BE79BC3"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Lot/Batch:</w:t>
            </w:r>
          </w:p>
        </w:tc>
        <w:tc>
          <w:tcPr>
            <w:tcW w:w="5529" w:type="dxa"/>
            <w:noWrap/>
          </w:tcPr>
          <w:p w14:paraId="7F4F77EE" w14:textId="77777777" w:rsidR="00DC5685" w:rsidRPr="00A34F10" w:rsidRDefault="00DC5685" w:rsidP="00DC5685">
            <w:pPr>
              <w:tabs>
                <w:tab w:val="left" w:pos="720"/>
              </w:tabs>
              <w:jc w:val="both"/>
              <w:rPr>
                <w:lang w:val="en-GB"/>
              </w:rPr>
            </w:pPr>
            <w:r w:rsidRPr="00A34F10">
              <w:rPr>
                <w:lang w:val="en-GB"/>
              </w:rPr>
              <w:t>FRE-002224</w:t>
            </w:r>
          </w:p>
        </w:tc>
      </w:tr>
      <w:tr w:rsidR="00DC5685" w:rsidRPr="00A34F10" w14:paraId="7C10563B" w14:textId="77777777" w:rsidTr="000470C3">
        <w:trPr>
          <w:cantSplit/>
          <w:trHeight w:val="340"/>
        </w:trPr>
        <w:tc>
          <w:tcPr>
            <w:tcW w:w="3828" w:type="dxa"/>
            <w:noWrap/>
          </w:tcPr>
          <w:p w14:paraId="1CC88E18"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Density:</w:t>
            </w:r>
          </w:p>
        </w:tc>
        <w:tc>
          <w:tcPr>
            <w:tcW w:w="5529" w:type="dxa"/>
            <w:noWrap/>
          </w:tcPr>
          <w:p w14:paraId="55000017" w14:textId="77777777" w:rsidR="00DC5685" w:rsidRPr="00A34F10" w:rsidRDefault="00DC5685" w:rsidP="00DC5685">
            <w:pPr>
              <w:tabs>
                <w:tab w:val="left" w:pos="720"/>
              </w:tabs>
              <w:jc w:val="both"/>
              <w:rPr>
                <w:lang w:val="en-GB"/>
              </w:rPr>
            </w:pPr>
            <w:r w:rsidRPr="00A34F10">
              <w:rPr>
                <w:lang w:val="en-GB"/>
              </w:rPr>
              <w:t>1.080 g/cm³</w:t>
            </w:r>
          </w:p>
        </w:tc>
      </w:tr>
      <w:tr w:rsidR="00DC5685" w:rsidRPr="00A34F10" w14:paraId="5D2DC3BF" w14:textId="77777777" w:rsidTr="000470C3">
        <w:trPr>
          <w:cantSplit/>
          <w:trHeight w:val="340"/>
        </w:trPr>
        <w:tc>
          <w:tcPr>
            <w:tcW w:w="3828" w:type="dxa"/>
            <w:noWrap/>
          </w:tcPr>
          <w:p w14:paraId="19C91A82" w14:textId="77777777" w:rsidR="00DC5685" w:rsidRPr="00A34F10" w:rsidRDefault="00DC5685" w:rsidP="00E05ECD">
            <w:pPr>
              <w:numPr>
                <w:ilvl w:val="0"/>
                <w:numId w:val="100"/>
              </w:numPr>
              <w:tabs>
                <w:tab w:val="left" w:pos="255"/>
              </w:tabs>
              <w:contextualSpacing/>
              <w:rPr>
                <w:b/>
                <w:bCs/>
              </w:rPr>
            </w:pPr>
            <w:r w:rsidRPr="00A34F10">
              <w:rPr>
                <w:b/>
                <w:bCs/>
              </w:rPr>
              <w:t>Control:</w:t>
            </w:r>
          </w:p>
        </w:tc>
        <w:tc>
          <w:tcPr>
            <w:tcW w:w="5529" w:type="dxa"/>
            <w:noWrap/>
          </w:tcPr>
          <w:p w14:paraId="530AB77B" w14:textId="77777777" w:rsidR="00DC5685" w:rsidRPr="00A34F10" w:rsidRDefault="00DC5685" w:rsidP="00DC5685">
            <w:pPr>
              <w:tabs>
                <w:tab w:val="left" w:pos="720"/>
              </w:tabs>
              <w:rPr>
                <w:lang w:val="en-GB"/>
              </w:rPr>
            </w:pPr>
            <w:r w:rsidRPr="00A34F10">
              <w:rPr>
                <w:lang w:val="en-GB"/>
              </w:rPr>
              <w:t>Untreated substrate</w:t>
            </w:r>
          </w:p>
        </w:tc>
      </w:tr>
      <w:tr w:rsidR="00DC5685" w:rsidRPr="00A34F10" w14:paraId="6229ADD3" w14:textId="77777777" w:rsidTr="000470C3">
        <w:trPr>
          <w:cantSplit/>
          <w:trHeight w:val="340"/>
        </w:trPr>
        <w:tc>
          <w:tcPr>
            <w:tcW w:w="3828" w:type="dxa"/>
            <w:noWrap/>
          </w:tcPr>
          <w:p w14:paraId="3FBB5CF7" w14:textId="77777777" w:rsidR="00DC5685" w:rsidRPr="00A34F10" w:rsidRDefault="00DC5685" w:rsidP="00E05ECD">
            <w:pPr>
              <w:numPr>
                <w:ilvl w:val="0"/>
                <w:numId w:val="100"/>
              </w:numPr>
              <w:tabs>
                <w:tab w:val="left" w:pos="255"/>
              </w:tabs>
              <w:contextualSpacing/>
              <w:rPr>
                <w:b/>
                <w:bCs/>
              </w:rPr>
            </w:pPr>
            <w:r w:rsidRPr="00A34F10">
              <w:rPr>
                <w:b/>
                <w:bCs/>
              </w:rPr>
              <w:t>Reference item:</w:t>
            </w:r>
          </w:p>
        </w:tc>
        <w:tc>
          <w:tcPr>
            <w:tcW w:w="5529" w:type="dxa"/>
            <w:noWrap/>
          </w:tcPr>
          <w:p w14:paraId="11EA3CC3" w14:textId="77777777" w:rsidR="00DC5685" w:rsidRPr="00A34F10" w:rsidRDefault="00DC5685" w:rsidP="00DC5685">
            <w:pPr>
              <w:tabs>
                <w:tab w:val="left" w:pos="720"/>
              </w:tabs>
              <w:jc w:val="both"/>
              <w:rPr>
                <w:lang w:val="en-GB"/>
              </w:rPr>
            </w:pPr>
            <w:r w:rsidRPr="00A34F10">
              <w:rPr>
                <w:lang w:val="en-GB"/>
              </w:rPr>
              <w:t xml:space="preserve">Dinoterb, 6.80, 13.60 and 27.20 mg/kg soil dw, tested in a separate study </w:t>
            </w:r>
          </w:p>
        </w:tc>
      </w:tr>
    </w:tbl>
    <w:p w14:paraId="73FE5F33" w14:textId="77777777" w:rsidR="00DC5685" w:rsidRPr="00A34F10" w:rsidRDefault="00DC5685" w:rsidP="00DC5685">
      <w:pPr>
        <w:tabs>
          <w:tab w:val="left" w:pos="0"/>
        </w:tabs>
        <w:spacing w:after="240"/>
        <w:ind w:left="357" w:hanging="357"/>
        <w:contextualSpacing/>
        <w:rPr>
          <w:b/>
          <w:bCs/>
          <w:caps/>
          <w:highlight w:val="yellow"/>
        </w:rPr>
      </w:pPr>
    </w:p>
    <w:p w14:paraId="009728C8" w14:textId="77777777" w:rsidR="00DC5685" w:rsidRPr="00A34F10" w:rsidRDefault="00DC5685" w:rsidP="00E05ECD">
      <w:pPr>
        <w:numPr>
          <w:ilvl w:val="0"/>
          <w:numId w:val="99"/>
        </w:numPr>
        <w:ind w:left="357" w:hanging="357"/>
        <w:contextualSpacing/>
        <w:rPr>
          <w:b/>
          <w:bCs/>
          <w:caps/>
          <w:szCs w:val="24"/>
          <w:lang w:val="en-GB"/>
        </w:rPr>
      </w:pPr>
      <w:r w:rsidRPr="00A34F10">
        <w:rPr>
          <w:b/>
          <w:bCs/>
          <w:caps/>
          <w:szCs w:val="24"/>
          <w:lang w:val="en-GB"/>
        </w:rPr>
        <w:t>study design and methods</w:t>
      </w:r>
    </w:p>
    <w:p w14:paraId="420440DF" w14:textId="77777777" w:rsidR="00DC5685" w:rsidRPr="00A34F10" w:rsidRDefault="00DC5685" w:rsidP="00DC5685">
      <w:pPr>
        <w:tabs>
          <w:tab w:val="left" w:pos="0"/>
        </w:tabs>
        <w:ind w:left="867"/>
        <w:contextualSpacing/>
        <w:rPr>
          <w:b/>
          <w:bCs/>
          <w:caps/>
        </w:rPr>
      </w:pPr>
    </w:p>
    <w:tbl>
      <w:tblPr>
        <w:tblW w:w="0" w:type="auto"/>
        <w:tblLook w:val="04A0" w:firstRow="1" w:lastRow="0" w:firstColumn="1" w:lastColumn="0" w:noHBand="0" w:noVBand="1"/>
      </w:tblPr>
      <w:tblGrid>
        <w:gridCol w:w="3964"/>
        <w:gridCol w:w="5386"/>
      </w:tblGrid>
      <w:tr w:rsidR="00DC5685" w:rsidRPr="00A34F10" w14:paraId="2B67DEF3" w14:textId="77777777" w:rsidTr="000470C3">
        <w:trPr>
          <w:trHeight w:val="340"/>
        </w:trPr>
        <w:tc>
          <w:tcPr>
            <w:tcW w:w="3964" w:type="dxa"/>
          </w:tcPr>
          <w:p w14:paraId="3839780A" w14:textId="77777777" w:rsidR="00DC5685" w:rsidRPr="00A34F10" w:rsidRDefault="00DC5685" w:rsidP="00E05ECD">
            <w:pPr>
              <w:numPr>
                <w:ilvl w:val="0"/>
                <w:numId w:val="101"/>
              </w:numPr>
              <w:tabs>
                <w:tab w:val="left" w:pos="255"/>
              </w:tabs>
              <w:contextualSpacing/>
              <w:rPr>
                <w:b/>
                <w:bCs/>
              </w:rPr>
            </w:pPr>
            <w:r w:rsidRPr="00A34F10">
              <w:rPr>
                <w:b/>
                <w:bCs/>
                <w:lang w:val="en-GB"/>
              </w:rPr>
              <w:t>Substrate</w:t>
            </w:r>
          </w:p>
        </w:tc>
        <w:tc>
          <w:tcPr>
            <w:tcW w:w="5386" w:type="dxa"/>
          </w:tcPr>
          <w:p w14:paraId="0FBEF273" w14:textId="77777777" w:rsidR="00DC5685" w:rsidRPr="00A34F10" w:rsidRDefault="00DC5685" w:rsidP="00DC5685">
            <w:pPr>
              <w:tabs>
                <w:tab w:val="left" w:pos="720"/>
              </w:tabs>
              <w:jc w:val="both"/>
              <w:rPr>
                <w:lang w:val="en-GB"/>
              </w:rPr>
            </w:pPr>
          </w:p>
        </w:tc>
      </w:tr>
      <w:tr w:rsidR="00DC5685" w:rsidRPr="00A34F10" w14:paraId="682A1147" w14:textId="77777777" w:rsidTr="000470C3">
        <w:trPr>
          <w:trHeight w:val="340"/>
        </w:trPr>
        <w:tc>
          <w:tcPr>
            <w:tcW w:w="3964" w:type="dxa"/>
          </w:tcPr>
          <w:p w14:paraId="4AE0DA75"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 xml:space="preserve">Soil type: </w:t>
            </w:r>
          </w:p>
        </w:tc>
        <w:tc>
          <w:tcPr>
            <w:tcW w:w="5386" w:type="dxa"/>
          </w:tcPr>
          <w:p w14:paraId="2F298D9A" w14:textId="77777777" w:rsidR="00DC5685" w:rsidRPr="00A34F10" w:rsidRDefault="00DC5685" w:rsidP="00DC5685">
            <w:pPr>
              <w:tabs>
                <w:tab w:val="left" w:pos="720"/>
              </w:tabs>
              <w:jc w:val="both"/>
              <w:rPr>
                <w:lang w:val="en-GB"/>
              </w:rPr>
            </w:pPr>
            <w:r w:rsidRPr="00A34F10">
              <w:rPr>
                <w:lang w:val="en-GB"/>
              </w:rPr>
              <w:t>Biologically active agricultural soil: sandy loam, 10.6% clay, 36.5% silt and 52.9% sand</w:t>
            </w:r>
          </w:p>
        </w:tc>
      </w:tr>
      <w:tr w:rsidR="00DC5685" w:rsidRPr="00A34F10" w14:paraId="7E6A1B54" w14:textId="77777777" w:rsidTr="000470C3">
        <w:trPr>
          <w:trHeight w:val="340"/>
        </w:trPr>
        <w:tc>
          <w:tcPr>
            <w:tcW w:w="3964" w:type="dxa"/>
          </w:tcPr>
          <w:p w14:paraId="30E5C3CF"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pH:</w:t>
            </w:r>
          </w:p>
        </w:tc>
        <w:tc>
          <w:tcPr>
            <w:tcW w:w="5386" w:type="dxa"/>
          </w:tcPr>
          <w:p w14:paraId="7995AF11" w14:textId="77777777" w:rsidR="00DC5685" w:rsidRPr="00A34F10" w:rsidRDefault="00DC5685" w:rsidP="00DC5685">
            <w:pPr>
              <w:tabs>
                <w:tab w:val="left" w:pos="720"/>
              </w:tabs>
              <w:jc w:val="both"/>
              <w:rPr>
                <w:lang w:val="en-GB"/>
              </w:rPr>
            </w:pPr>
            <w:r w:rsidRPr="00A34F10">
              <w:rPr>
                <w:lang w:val="en-GB"/>
              </w:rPr>
              <w:t>6.2</w:t>
            </w:r>
          </w:p>
        </w:tc>
      </w:tr>
      <w:tr w:rsidR="00DC5685" w:rsidRPr="00A34F10" w14:paraId="5BE6FF4E" w14:textId="77777777" w:rsidTr="000470C3">
        <w:trPr>
          <w:trHeight w:val="340"/>
        </w:trPr>
        <w:tc>
          <w:tcPr>
            <w:tcW w:w="3964" w:type="dxa"/>
          </w:tcPr>
          <w:p w14:paraId="47A764F8"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WHC</w:t>
            </w:r>
            <w:r w:rsidRPr="00A34F10">
              <w:rPr>
                <w:b/>
                <w:bCs/>
                <w:vertAlign w:val="subscript"/>
                <w:lang w:val="en-GB"/>
              </w:rPr>
              <w:t>max</w:t>
            </w:r>
            <w:r w:rsidRPr="00A34F10">
              <w:rPr>
                <w:b/>
                <w:bCs/>
                <w:lang w:val="en-GB"/>
              </w:rPr>
              <w:t xml:space="preserve"> (g/100 g soil dw):</w:t>
            </w:r>
          </w:p>
        </w:tc>
        <w:tc>
          <w:tcPr>
            <w:tcW w:w="5386" w:type="dxa"/>
          </w:tcPr>
          <w:p w14:paraId="7BD956E1" w14:textId="77777777" w:rsidR="00DC5685" w:rsidRPr="00A34F10" w:rsidRDefault="00DC5685" w:rsidP="00DC5685">
            <w:pPr>
              <w:tabs>
                <w:tab w:val="left" w:pos="720"/>
              </w:tabs>
              <w:jc w:val="both"/>
              <w:rPr>
                <w:lang w:val="en-GB"/>
              </w:rPr>
            </w:pPr>
            <w:r w:rsidRPr="00A34F10">
              <w:rPr>
                <w:lang w:val="en-GB"/>
              </w:rPr>
              <w:t>37.57</w:t>
            </w:r>
          </w:p>
        </w:tc>
      </w:tr>
      <w:tr w:rsidR="00DC5685" w:rsidRPr="00A34F10" w14:paraId="2FBA7AA7" w14:textId="77777777" w:rsidTr="000470C3">
        <w:trPr>
          <w:trHeight w:val="591"/>
        </w:trPr>
        <w:tc>
          <w:tcPr>
            <w:tcW w:w="3964" w:type="dxa"/>
          </w:tcPr>
          <w:p w14:paraId="47DD400F"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Microbial biomass:</w:t>
            </w:r>
          </w:p>
        </w:tc>
        <w:tc>
          <w:tcPr>
            <w:tcW w:w="5386" w:type="dxa"/>
          </w:tcPr>
          <w:p w14:paraId="0DEF486F" w14:textId="77777777" w:rsidR="00DC5685" w:rsidRPr="00A34F10" w:rsidRDefault="00DC5685" w:rsidP="00DC5685">
            <w:pPr>
              <w:tabs>
                <w:tab w:val="left" w:pos="720"/>
              </w:tabs>
              <w:rPr>
                <w:lang w:val="en-GB"/>
              </w:rPr>
            </w:pPr>
            <w:r w:rsidRPr="00A34F10">
              <w:rPr>
                <w:lang w:val="en-GB"/>
              </w:rPr>
              <w:t xml:space="preserve">34.69 mg C/100 g soil dw </w:t>
            </w:r>
            <w:r w:rsidRPr="00A34F10">
              <w:rPr>
                <w:lang w:val="en-GB"/>
              </w:rPr>
              <w:br/>
              <w:t>2.44% of total organic carbon</w:t>
            </w:r>
          </w:p>
        </w:tc>
      </w:tr>
      <w:tr w:rsidR="00DC5685" w:rsidRPr="00A34F10" w14:paraId="388BB017" w14:textId="77777777" w:rsidTr="000470C3">
        <w:trPr>
          <w:trHeight w:val="340"/>
        </w:trPr>
        <w:tc>
          <w:tcPr>
            <w:tcW w:w="3964" w:type="dxa"/>
          </w:tcPr>
          <w:p w14:paraId="20003894"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Total organic carbon:</w:t>
            </w:r>
          </w:p>
        </w:tc>
        <w:tc>
          <w:tcPr>
            <w:tcW w:w="5386" w:type="dxa"/>
          </w:tcPr>
          <w:p w14:paraId="43874C6C" w14:textId="77777777" w:rsidR="00DC5685" w:rsidRPr="00A34F10" w:rsidRDefault="00DC5685" w:rsidP="00DC5685">
            <w:pPr>
              <w:tabs>
                <w:tab w:val="left" w:pos="720"/>
              </w:tabs>
              <w:jc w:val="both"/>
              <w:rPr>
                <w:lang w:val="en-GB"/>
              </w:rPr>
            </w:pPr>
            <w:r w:rsidRPr="00A34F10">
              <w:rPr>
                <w:lang w:val="en-GB"/>
              </w:rPr>
              <w:t>1.42%</w:t>
            </w:r>
          </w:p>
        </w:tc>
      </w:tr>
      <w:tr w:rsidR="00DC5685" w:rsidRPr="00A34F10" w14:paraId="5C8026D7" w14:textId="77777777" w:rsidTr="000470C3">
        <w:trPr>
          <w:trHeight w:val="340"/>
        </w:trPr>
        <w:tc>
          <w:tcPr>
            <w:tcW w:w="3964" w:type="dxa"/>
          </w:tcPr>
          <w:p w14:paraId="61EF2890"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 xml:space="preserve">Total N (mg/kg dw): </w:t>
            </w:r>
          </w:p>
          <w:p w14:paraId="2EF3FDB8" w14:textId="77777777" w:rsidR="00DC5685" w:rsidRPr="00A34F10" w:rsidRDefault="00DC5685" w:rsidP="00DC5685">
            <w:pPr>
              <w:numPr>
                <w:ilvl w:val="3"/>
                <w:numId w:val="0"/>
              </w:numPr>
              <w:tabs>
                <w:tab w:val="left" w:pos="0"/>
                <w:tab w:val="left" w:pos="624"/>
              </w:tabs>
              <w:ind w:left="1068" w:hanging="359"/>
              <w:contextualSpacing/>
              <w:rPr>
                <w:b/>
                <w:bCs/>
                <w:lang w:val="de-CH"/>
              </w:rPr>
            </w:pPr>
            <w:r w:rsidRPr="00A34F10">
              <w:rPr>
                <w:b/>
                <w:bCs/>
                <w:lang w:val="de-CH"/>
              </w:rPr>
              <w:t>N</w:t>
            </w:r>
            <w:r w:rsidRPr="00A34F10">
              <w:rPr>
                <w:b/>
                <w:bCs/>
                <w:vertAlign w:val="subscript"/>
                <w:lang w:val="de-CH"/>
              </w:rPr>
              <w:t>min</w:t>
            </w:r>
            <w:r w:rsidRPr="00A34F10">
              <w:rPr>
                <w:b/>
                <w:bCs/>
                <w:lang w:val="de-CH"/>
              </w:rPr>
              <w:t xml:space="preserve"> (mg/100 g soil dw):</w:t>
            </w:r>
          </w:p>
        </w:tc>
        <w:tc>
          <w:tcPr>
            <w:tcW w:w="5386" w:type="dxa"/>
          </w:tcPr>
          <w:p w14:paraId="61595AC7" w14:textId="77777777" w:rsidR="00DC5685" w:rsidRPr="00A34F10" w:rsidRDefault="00DC5685" w:rsidP="00DC5685">
            <w:pPr>
              <w:tabs>
                <w:tab w:val="left" w:pos="720"/>
              </w:tabs>
              <w:jc w:val="both"/>
              <w:rPr>
                <w:lang w:val="fr-FR"/>
              </w:rPr>
            </w:pPr>
            <w:r w:rsidRPr="00A34F10">
              <w:rPr>
                <w:lang w:val="fr-FR"/>
              </w:rPr>
              <w:t>0.14</w:t>
            </w:r>
          </w:p>
          <w:p w14:paraId="3BFC6374" w14:textId="77777777" w:rsidR="00DC5685" w:rsidRPr="00A34F10" w:rsidRDefault="00DC5685" w:rsidP="00DC5685">
            <w:pPr>
              <w:tabs>
                <w:tab w:val="left" w:pos="720"/>
              </w:tabs>
              <w:jc w:val="both"/>
              <w:rPr>
                <w:lang w:val="en-GB"/>
              </w:rPr>
            </w:pPr>
            <w:r w:rsidRPr="00A34F10">
              <w:rPr>
                <w:lang w:val="de-DE"/>
              </w:rPr>
              <w:t>1.25</w:t>
            </w:r>
          </w:p>
        </w:tc>
      </w:tr>
      <w:tr w:rsidR="00DC5685" w:rsidRPr="00A34F10" w14:paraId="7F1891A7" w14:textId="77777777" w:rsidTr="000470C3">
        <w:trPr>
          <w:trHeight w:val="340"/>
        </w:trPr>
        <w:tc>
          <w:tcPr>
            <w:tcW w:w="3964" w:type="dxa"/>
          </w:tcPr>
          <w:p w14:paraId="3B5EEDCF"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NH</w:t>
            </w:r>
            <w:r w:rsidRPr="00A34F10">
              <w:rPr>
                <w:b/>
                <w:bCs/>
                <w:vertAlign w:val="subscript"/>
                <w:lang w:val="en-GB"/>
              </w:rPr>
              <w:t>4</w:t>
            </w:r>
            <w:r w:rsidRPr="00A34F10">
              <w:rPr>
                <w:b/>
                <w:bCs/>
                <w:vertAlign w:val="superscript"/>
                <w:lang w:val="en-GB"/>
              </w:rPr>
              <w:t>+</w:t>
            </w:r>
            <w:r w:rsidRPr="00A34F10">
              <w:rPr>
                <w:b/>
                <w:bCs/>
                <w:lang w:val="en-GB"/>
              </w:rPr>
              <w:t>-N:</w:t>
            </w:r>
          </w:p>
        </w:tc>
        <w:tc>
          <w:tcPr>
            <w:tcW w:w="5386" w:type="dxa"/>
          </w:tcPr>
          <w:p w14:paraId="43D5E0A9" w14:textId="77777777" w:rsidR="00DC5685" w:rsidRPr="00A34F10" w:rsidRDefault="00DC5685" w:rsidP="00DC5685">
            <w:pPr>
              <w:tabs>
                <w:tab w:val="left" w:pos="720"/>
              </w:tabs>
              <w:jc w:val="both"/>
              <w:rPr>
                <w:lang w:val="en-GB"/>
              </w:rPr>
            </w:pPr>
            <w:r w:rsidRPr="00A34F10">
              <w:rPr>
                <w:lang w:val="en-GB"/>
              </w:rPr>
              <w:t>Not reported</w:t>
            </w:r>
          </w:p>
        </w:tc>
      </w:tr>
      <w:tr w:rsidR="00DC5685" w:rsidRPr="00A34F10" w14:paraId="7B0C39AD" w14:textId="77777777" w:rsidTr="000470C3">
        <w:trPr>
          <w:trHeight w:val="340"/>
        </w:trPr>
        <w:tc>
          <w:tcPr>
            <w:tcW w:w="3964" w:type="dxa"/>
          </w:tcPr>
          <w:p w14:paraId="6C98A0D6"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NO</w:t>
            </w:r>
            <w:r w:rsidRPr="00A34F10">
              <w:rPr>
                <w:b/>
                <w:bCs/>
                <w:vertAlign w:val="subscript"/>
                <w:lang w:val="en-GB"/>
              </w:rPr>
              <w:t>2</w:t>
            </w:r>
            <w:r w:rsidRPr="00A34F10">
              <w:rPr>
                <w:b/>
                <w:bCs/>
                <w:lang w:val="en-GB"/>
              </w:rPr>
              <w:t>--N:</w:t>
            </w:r>
          </w:p>
        </w:tc>
        <w:tc>
          <w:tcPr>
            <w:tcW w:w="5386" w:type="dxa"/>
          </w:tcPr>
          <w:p w14:paraId="365F249C" w14:textId="77777777" w:rsidR="00DC5685" w:rsidRPr="00A34F10" w:rsidRDefault="00DC5685" w:rsidP="00DC5685">
            <w:pPr>
              <w:numPr>
                <w:ilvl w:val="4"/>
                <w:numId w:val="0"/>
              </w:numPr>
              <w:tabs>
                <w:tab w:val="left" w:pos="720"/>
              </w:tabs>
              <w:jc w:val="both"/>
              <w:outlineLvl w:val="8"/>
              <w:rPr>
                <w:szCs w:val="20"/>
                <w:lang w:val="en-GB"/>
              </w:rPr>
            </w:pPr>
            <w:r w:rsidRPr="00A34F10">
              <w:rPr>
                <w:lang w:val="en-GB"/>
              </w:rPr>
              <w:t>Not reported</w:t>
            </w:r>
          </w:p>
        </w:tc>
      </w:tr>
      <w:tr w:rsidR="00DC5685" w:rsidRPr="00A34F10" w14:paraId="1FDB03CB" w14:textId="77777777" w:rsidTr="000470C3">
        <w:trPr>
          <w:trHeight w:val="340"/>
        </w:trPr>
        <w:tc>
          <w:tcPr>
            <w:tcW w:w="3964" w:type="dxa"/>
          </w:tcPr>
          <w:p w14:paraId="1F0DAD37"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NO</w:t>
            </w:r>
            <w:r w:rsidRPr="00A34F10">
              <w:rPr>
                <w:b/>
                <w:bCs/>
                <w:vertAlign w:val="subscript"/>
                <w:lang w:val="en-GB"/>
              </w:rPr>
              <w:t>3</w:t>
            </w:r>
            <w:r w:rsidRPr="00A34F10">
              <w:rPr>
                <w:b/>
                <w:bCs/>
                <w:lang w:val="en-GB"/>
              </w:rPr>
              <w:t>--N:</w:t>
            </w:r>
          </w:p>
        </w:tc>
        <w:tc>
          <w:tcPr>
            <w:tcW w:w="5386" w:type="dxa"/>
          </w:tcPr>
          <w:p w14:paraId="6ABAEB1F" w14:textId="77777777" w:rsidR="00DC5685" w:rsidRPr="00A34F10" w:rsidRDefault="00DC5685" w:rsidP="00DC5685">
            <w:pPr>
              <w:numPr>
                <w:ilvl w:val="4"/>
                <w:numId w:val="0"/>
              </w:numPr>
              <w:tabs>
                <w:tab w:val="left" w:pos="720"/>
              </w:tabs>
              <w:jc w:val="both"/>
              <w:outlineLvl w:val="8"/>
              <w:rPr>
                <w:szCs w:val="20"/>
                <w:lang w:val="en-GB"/>
              </w:rPr>
            </w:pPr>
            <w:r w:rsidRPr="00A34F10">
              <w:rPr>
                <w:lang w:val="en-GB"/>
              </w:rPr>
              <w:t>1.75 mg/100 g soil dw</w:t>
            </w:r>
          </w:p>
        </w:tc>
      </w:tr>
      <w:tr w:rsidR="00DC5685" w:rsidRPr="00A34F10" w14:paraId="3557781A" w14:textId="77777777" w:rsidTr="000470C3">
        <w:trPr>
          <w:trHeight w:val="340"/>
        </w:trPr>
        <w:tc>
          <w:tcPr>
            <w:tcW w:w="3964" w:type="dxa"/>
          </w:tcPr>
          <w:p w14:paraId="302D3C11" w14:textId="77777777" w:rsidR="00DC5685" w:rsidRPr="00A34F10" w:rsidRDefault="00DC5685" w:rsidP="00E05ECD">
            <w:pPr>
              <w:numPr>
                <w:ilvl w:val="0"/>
                <w:numId w:val="101"/>
              </w:numPr>
              <w:tabs>
                <w:tab w:val="left" w:pos="255"/>
              </w:tabs>
              <w:contextualSpacing/>
              <w:rPr>
                <w:b/>
                <w:bCs/>
                <w:lang w:val="en-GB"/>
              </w:rPr>
            </w:pPr>
            <w:r w:rsidRPr="00A34F10">
              <w:rPr>
                <w:b/>
                <w:bCs/>
              </w:rPr>
              <w:t>Test units:</w:t>
            </w:r>
          </w:p>
        </w:tc>
        <w:tc>
          <w:tcPr>
            <w:tcW w:w="5386" w:type="dxa"/>
          </w:tcPr>
          <w:p w14:paraId="5266304A" w14:textId="77777777" w:rsidR="00DC5685" w:rsidRPr="00A34F10" w:rsidRDefault="00DC5685" w:rsidP="00DC5685">
            <w:pPr>
              <w:tabs>
                <w:tab w:val="right" w:leader="dot" w:pos="9072"/>
              </w:tabs>
              <w:spacing w:line="240" w:lineRule="exact"/>
              <w:jc w:val="both"/>
            </w:pPr>
            <w:r w:rsidRPr="00A34F10">
              <w:t xml:space="preserve">The incubation of the prepared soil was carried out in wide-mouth glass flasks (500 mL). The screw caps of the flasks used permit an air exchange </w:t>
            </w:r>
          </w:p>
        </w:tc>
      </w:tr>
      <w:tr w:rsidR="00DC5685" w:rsidRPr="00A34F10" w14:paraId="0DEF668E" w14:textId="77777777" w:rsidTr="000470C3">
        <w:trPr>
          <w:trHeight w:val="340"/>
        </w:trPr>
        <w:tc>
          <w:tcPr>
            <w:tcW w:w="3964" w:type="dxa"/>
          </w:tcPr>
          <w:p w14:paraId="77A74287" w14:textId="77777777" w:rsidR="00DC5685" w:rsidRPr="00A34F10" w:rsidRDefault="00DC5685" w:rsidP="00E05ECD">
            <w:pPr>
              <w:numPr>
                <w:ilvl w:val="0"/>
                <w:numId w:val="101"/>
              </w:numPr>
              <w:tabs>
                <w:tab w:val="left" w:pos="255"/>
              </w:tabs>
              <w:contextualSpacing/>
              <w:rPr>
                <w:b/>
                <w:bCs/>
              </w:rPr>
            </w:pPr>
            <w:r w:rsidRPr="00A34F10">
              <w:rPr>
                <w:b/>
                <w:bCs/>
                <w:lang w:val="en-GB"/>
              </w:rPr>
              <w:t>Environmental</w:t>
            </w:r>
            <w:r w:rsidRPr="00A34F10">
              <w:rPr>
                <w:b/>
                <w:bCs/>
              </w:rPr>
              <w:t xml:space="preserve"> conditions</w:t>
            </w:r>
          </w:p>
        </w:tc>
        <w:tc>
          <w:tcPr>
            <w:tcW w:w="5386" w:type="dxa"/>
          </w:tcPr>
          <w:p w14:paraId="66B02103" w14:textId="77777777" w:rsidR="00DC5685" w:rsidRPr="00A34F10" w:rsidRDefault="00DC5685" w:rsidP="00DC5685">
            <w:pPr>
              <w:tabs>
                <w:tab w:val="left" w:pos="720"/>
              </w:tabs>
              <w:jc w:val="both"/>
              <w:rPr>
                <w:lang w:val="en-GB"/>
              </w:rPr>
            </w:pPr>
          </w:p>
        </w:tc>
      </w:tr>
      <w:tr w:rsidR="00DC5685" w:rsidRPr="00A34F10" w14:paraId="10A54AB5" w14:textId="77777777" w:rsidTr="000470C3">
        <w:trPr>
          <w:trHeight w:val="340"/>
        </w:trPr>
        <w:tc>
          <w:tcPr>
            <w:tcW w:w="3964" w:type="dxa"/>
          </w:tcPr>
          <w:p w14:paraId="343E0FBB" w14:textId="77777777" w:rsidR="00DC5685" w:rsidRPr="00A34F10" w:rsidRDefault="00DC5685" w:rsidP="00DC5685">
            <w:pPr>
              <w:tabs>
                <w:tab w:val="left" w:pos="624"/>
              </w:tabs>
              <w:ind w:left="624"/>
              <w:rPr>
                <w:b/>
                <w:bCs/>
                <w:lang w:val="en-GB"/>
              </w:rPr>
            </w:pPr>
            <w:r w:rsidRPr="00A34F10">
              <w:rPr>
                <w:b/>
                <w:bCs/>
                <w:lang w:val="en-GB"/>
              </w:rPr>
              <w:t>Temperature:</w:t>
            </w:r>
          </w:p>
        </w:tc>
        <w:tc>
          <w:tcPr>
            <w:tcW w:w="5386" w:type="dxa"/>
          </w:tcPr>
          <w:p w14:paraId="4BEE50F9" w14:textId="77777777" w:rsidR="00DC5685" w:rsidRPr="00A34F10" w:rsidRDefault="00DC5685" w:rsidP="00DC5685">
            <w:r w:rsidRPr="00A34F10">
              <w:t>19.5 - 20.8 °C</w:t>
            </w:r>
          </w:p>
        </w:tc>
      </w:tr>
      <w:tr w:rsidR="00DC5685" w:rsidRPr="00A34F10" w14:paraId="2DDF5B7E" w14:textId="77777777" w:rsidTr="000470C3">
        <w:trPr>
          <w:trHeight w:val="340"/>
        </w:trPr>
        <w:tc>
          <w:tcPr>
            <w:tcW w:w="3964" w:type="dxa"/>
          </w:tcPr>
          <w:p w14:paraId="302FCAF6" w14:textId="77777777" w:rsidR="00DC5685" w:rsidRPr="00A34F10" w:rsidRDefault="00DC5685" w:rsidP="00DC5685">
            <w:pPr>
              <w:tabs>
                <w:tab w:val="left" w:pos="624"/>
              </w:tabs>
              <w:ind w:left="624"/>
              <w:rPr>
                <w:b/>
                <w:bCs/>
                <w:lang w:val="en-GB"/>
              </w:rPr>
            </w:pPr>
            <w:r w:rsidRPr="00A34F10">
              <w:rPr>
                <w:b/>
                <w:bCs/>
                <w:lang w:val="en-GB"/>
              </w:rPr>
              <w:t>Soil water content:</w:t>
            </w:r>
          </w:p>
        </w:tc>
        <w:tc>
          <w:tcPr>
            <w:tcW w:w="5386" w:type="dxa"/>
          </w:tcPr>
          <w:p w14:paraId="348A049A" w14:textId="77777777" w:rsidR="00DC5685" w:rsidRPr="00A34F10" w:rsidRDefault="00DC5685" w:rsidP="00DC5685">
            <w:pPr>
              <w:tabs>
                <w:tab w:val="left" w:pos="720"/>
              </w:tabs>
              <w:rPr>
                <w:lang w:val="en-GB"/>
              </w:rPr>
            </w:pPr>
            <w:r w:rsidRPr="00A34F10">
              <w:rPr>
                <w:lang w:val="en-GB"/>
              </w:rPr>
              <w:t>16.41 - 16.90 g/100 g soil dw (equivalent to 43.67 - 44.97 % of WHC)</w:t>
            </w:r>
          </w:p>
        </w:tc>
      </w:tr>
      <w:tr w:rsidR="00DC5685" w:rsidRPr="00A34F10" w14:paraId="2F8FDB92" w14:textId="77777777" w:rsidTr="000470C3">
        <w:trPr>
          <w:trHeight w:val="340"/>
        </w:trPr>
        <w:tc>
          <w:tcPr>
            <w:tcW w:w="3964" w:type="dxa"/>
          </w:tcPr>
          <w:p w14:paraId="6CC5B88D" w14:textId="77777777" w:rsidR="00DC5685" w:rsidRPr="00A34F10" w:rsidRDefault="00DC5685" w:rsidP="00DC5685">
            <w:pPr>
              <w:tabs>
                <w:tab w:val="left" w:pos="624"/>
              </w:tabs>
              <w:ind w:left="624"/>
              <w:rPr>
                <w:b/>
                <w:bCs/>
                <w:lang w:val="en-GB"/>
              </w:rPr>
            </w:pPr>
            <w:r w:rsidRPr="00A34F10">
              <w:rPr>
                <w:b/>
                <w:bCs/>
                <w:lang w:val="en-GB"/>
              </w:rPr>
              <w:t>Photoperiod:</w:t>
            </w:r>
          </w:p>
        </w:tc>
        <w:tc>
          <w:tcPr>
            <w:tcW w:w="5386" w:type="dxa"/>
          </w:tcPr>
          <w:p w14:paraId="7845F9DF" w14:textId="77777777" w:rsidR="00DC5685" w:rsidRPr="00A34F10" w:rsidRDefault="00DC5685" w:rsidP="00DC5685">
            <w:pPr>
              <w:tabs>
                <w:tab w:val="left" w:pos="720"/>
              </w:tabs>
              <w:jc w:val="both"/>
              <w:rPr>
                <w:lang w:val="en-GB"/>
              </w:rPr>
            </w:pPr>
            <w:r w:rsidRPr="00A34F10">
              <w:rPr>
                <w:lang w:val="en-GB"/>
              </w:rPr>
              <w:t>24 h darkness</w:t>
            </w:r>
          </w:p>
        </w:tc>
      </w:tr>
    </w:tbl>
    <w:p w14:paraId="3CE737BF" w14:textId="77777777" w:rsidR="00DC5685" w:rsidRPr="00A34F10" w:rsidRDefault="00DC5685" w:rsidP="00DC5685">
      <w:pPr>
        <w:tabs>
          <w:tab w:val="left" w:pos="0"/>
        </w:tabs>
        <w:ind w:left="720"/>
        <w:contextualSpacing/>
        <w:rPr>
          <w:b/>
          <w:bCs/>
        </w:rPr>
      </w:pPr>
    </w:p>
    <w:p w14:paraId="0D526DB6" w14:textId="77777777" w:rsidR="00DC5685" w:rsidRPr="00A34F10" w:rsidRDefault="00DC5685" w:rsidP="00E05ECD">
      <w:pPr>
        <w:numPr>
          <w:ilvl w:val="0"/>
          <w:numId w:val="101"/>
        </w:numPr>
        <w:tabs>
          <w:tab w:val="left" w:pos="0"/>
        </w:tabs>
        <w:ind w:left="357" w:hanging="357"/>
        <w:contextualSpacing/>
        <w:rPr>
          <w:b/>
          <w:bCs/>
        </w:rPr>
      </w:pPr>
      <w:r w:rsidRPr="00A34F10">
        <w:rPr>
          <w:b/>
          <w:bCs/>
        </w:rPr>
        <w:t xml:space="preserve">Soil preparation and treatment: </w:t>
      </w:r>
    </w:p>
    <w:p w14:paraId="2E4791FF" w14:textId="77777777" w:rsidR="00DC5685" w:rsidRPr="00A34F10" w:rsidRDefault="00DC5685" w:rsidP="00DC5685">
      <w:pPr>
        <w:jc w:val="both"/>
      </w:pPr>
      <w:r w:rsidRPr="00A34F10">
        <w:t>The soil was sampled at a depth of 20 cm from fallow land. Plant protection products had not been used on the land for approx. 33 years. The soil was dried at room temperature and passed through a 2 mm mesh sieve. It was then stored at approx. 4°C under anaerobic conditions in the dark until use. The soil was adapted to the test conditions prior to application of the test item.</w:t>
      </w:r>
    </w:p>
    <w:p w14:paraId="5DE50828" w14:textId="77777777" w:rsidR="00DC5685" w:rsidRPr="00A34F10" w:rsidRDefault="00DC5685" w:rsidP="00DC5685"/>
    <w:p w14:paraId="68758F17" w14:textId="264DACD3" w:rsidR="00DC5685" w:rsidRPr="00A34F10" w:rsidRDefault="00DC5685" w:rsidP="00DC5685">
      <w:pPr>
        <w:jc w:val="both"/>
        <w:rPr>
          <w:highlight w:val="yellow"/>
        </w:rPr>
      </w:pPr>
      <w:r w:rsidRPr="00A34F10">
        <w:t>The study comprised three treatment groups; two test item concentrations and an untreated control. The test item concentrations were 2.52 and 25.20 mg/kg product/kg soil dw, corresponding to application rates of 1.75 and 17.5 L product/ha, respectively. The active substance content in each treatment group are summarised in</w:t>
      </w:r>
      <w:r w:rsidR="00C04190">
        <w:t xml:space="preserve"> </w:t>
      </w:r>
      <w:r w:rsidR="00C04190">
        <w:fldChar w:fldCharType="begin"/>
      </w:r>
      <w:r w:rsidR="00C04190">
        <w:instrText xml:space="preserve"> REF _Ref147913394 \h </w:instrText>
      </w:r>
      <w:r w:rsidR="00C04190">
        <w:fldChar w:fldCharType="separate"/>
      </w:r>
      <w:r w:rsidR="006F0F3B">
        <w:t xml:space="preserve">Table A </w:t>
      </w:r>
      <w:r w:rsidR="006F0F3B">
        <w:rPr>
          <w:noProof/>
        </w:rPr>
        <w:t>92</w:t>
      </w:r>
      <w:r w:rsidR="00C04190">
        <w:fldChar w:fldCharType="end"/>
      </w:r>
      <w:r w:rsidRPr="00A34F10">
        <w:t xml:space="preserve">. </w:t>
      </w:r>
    </w:p>
    <w:p w14:paraId="00FF56F3" w14:textId="77777777" w:rsidR="00DC5685" w:rsidRPr="00A34F10" w:rsidRDefault="00DC5685" w:rsidP="00DC5685">
      <w:pPr>
        <w:rPr>
          <w:highlight w:val="yellow"/>
        </w:rPr>
      </w:pPr>
    </w:p>
    <w:p w14:paraId="5EB769D7" w14:textId="33F4D5B7" w:rsidR="00DC5685" w:rsidRPr="0060455A" w:rsidRDefault="00C04190" w:rsidP="00C04190">
      <w:pPr>
        <w:pStyle w:val="Legenda"/>
        <w:rPr>
          <w:highlight w:val="yellow"/>
        </w:rPr>
      </w:pPr>
      <w:bookmarkStart w:id="1190" w:name="_Ref147913394"/>
      <w:r>
        <w:t xml:space="preserve">Table A </w:t>
      </w:r>
      <w:r>
        <w:fldChar w:fldCharType="begin"/>
      </w:r>
      <w:r>
        <w:instrText xml:space="preserve"> SEQ Table_A \* ARABIC </w:instrText>
      </w:r>
      <w:r>
        <w:fldChar w:fldCharType="separate"/>
      </w:r>
      <w:r w:rsidR="006F0F3B">
        <w:rPr>
          <w:noProof/>
        </w:rPr>
        <w:t>92</w:t>
      </w:r>
      <w:r>
        <w:fldChar w:fldCharType="end"/>
      </w:r>
      <w:bookmarkEnd w:id="1190"/>
      <w:r w:rsidR="00DC5685" w:rsidRPr="0060455A">
        <w:t>:</w:t>
      </w:r>
      <w:r w:rsidR="0060455A" w:rsidRPr="0060455A">
        <w:tab/>
      </w:r>
      <w:r w:rsidR="00DC5685" w:rsidRPr="0060455A">
        <w:t xml:space="preserve"> Active substance content of the test item at each nominal test concentration</w:t>
      </w:r>
    </w:p>
    <w:tbl>
      <w:tblPr>
        <w:tblStyle w:val="TableGrid10"/>
        <w:tblW w:w="5000" w:type="pct"/>
        <w:tblLook w:val="04A0" w:firstRow="1" w:lastRow="0" w:firstColumn="1" w:lastColumn="0" w:noHBand="0" w:noVBand="1"/>
      </w:tblPr>
      <w:tblGrid>
        <w:gridCol w:w="3114"/>
        <w:gridCol w:w="3115"/>
        <w:gridCol w:w="3115"/>
      </w:tblGrid>
      <w:tr w:rsidR="00DC5685" w:rsidRPr="00A34F10" w14:paraId="626F1D56" w14:textId="77777777" w:rsidTr="000470C3">
        <w:trPr>
          <w:trHeight w:val="340"/>
        </w:trPr>
        <w:tc>
          <w:tcPr>
            <w:tcW w:w="1666" w:type="pct"/>
            <w:vAlign w:val="center"/>
          </w:tcPr>
          <w:p w14:paraId="3D643479" w14:textId="77777777" w:rsidR="00DC5685" w:rsidRPr="003B09BC" w:rsidRDefault="00DC5685" w:rsidP="00DC5685">
            <w:pPr>
              <w:jc w:val="center"/>
              <w:rPr>
                <w:rFonts w:ascii="Times New Roman" w:hAnsi="Times New Roman"/>
                <w:b/>
                <w:bCs/>
                <w:sz w:val="20"/>
                <w:szCs w:val="20"/>
                <w:lang w:val="fr-FR" w:eastAsia="de-DE"/>
              </w:rPr>
            </w:pPr>
            <w:r w:rsidRPr="003B09BC">
              <w:rPr>
                <w:rFonts w:ascii="Times New Roman" w:hAnsi="Times New Roman"/>
                <w:b/>
                <w:bCs/>
                <w:sz w:val="20"/>
                <w:lang w:val="fr-FR"/>
              </w:rPr>
              <w:t>BAS 743 02 F</w:t>
            </w:r>
            <w:r w:rsidRPr="003B09BC">
              <w:rPr>
                <w:rFonts w:ascii="Times New Roman" w:hAnsi="Times New Roman"/>
                <w:b/>
                <w:bCs/>
                <w:sz w:val="20"/>
                <w:szCs w:val="20"/>
                <w:lang w:val="fr-FR" w:eastAsia="de-DE"/>
              </w:rPr>
              <w:t xml:space="preserve"> </w:t>
            </w:r>
          </w:p>
          <w:p w14:paraId="483DE351" w14:textId="77777777" w:rsidR="00DC5685" w:rsidRPr="003B09BC" w:rsidRDefault="00DC5685" w:rsidP="00DC5685">
            <w:pPr>
              <w:jc w:val="center"/>
              <w:rPr>
                <w:rFonts w:ascii="Times New Roman" w:hAnsi="Times New Roman"/>
                <w:b/>
                <w:bCs/>
                <w:sz w:val="20"/>
                <w:szCs w:val="20"/>
                <w:lang w:val="fr-FR" w:eastAsia="de-DE"/>
              </w:rPr>
            </w:pPr>
            <w:r w:rsidRPr="003B09BC">
              <w:rPr>
                <w:rFonts w:ascii="Times New Roman" w:hAnsi="Times New Roman"/>
                <w:b/>
                <w:bCs/>
                <w:sz w:val="20"/>
                <w:szCs w:val="20"/>
                <w:lang w:val="fr-FR" w:eastAsia="de-DE"/>
              </w:rPr>
              <w:t>(mg/kg soil dw)</w:t>
            </w:r>
          </w:p>
        </w:tc>
        <w:tc>
          <w:tcPr>
            <w:tcW w:w="1667" w:type="pct"/>
            <w:vAlign w:val="center"/>
          </w:tcPr>
          <w:p w14:paraId="094680B5"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rPr>
              <w:t>Propamocarb</w:t>
            </w:r>
            <w:r w:rsidRPr="00A34F10">
              <w:rPr>
                <w:rFonts w:ascii="Times New Roman" w:hAnsi="Times New Roman"/>
                <w:b/>
                <w:bCs/>
                <w:sz w:val="20"/>
                <w:szCs w:val="20"/>
                <w:lang w:eastAsia="de-DE"/>
              </w:rPr>
              <w:t xml:space="preserve"> </w:t>
            </w:r>
          </w:p>
          <w:p w14:paraId="70C450E7"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(mg/kg soil dw)</w:t>
            </w:r>
          </w:p>
        </w:tc>
        <w:tc>
          <w:tcPr>
            <w:tcW w:w="1667" w:type="pct"/>
            <w:vAlign w:val="center"/>
          </w:tcPr>
          <w:p w14:paraId="3660B41E"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Ametoctradin /BAS 650 F</w:t>
            </w:r>
          </w:p>
          <w:p w14:paraId="36EAA2AA"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 xml:space="preserve"> (mg/kg soil dw)</w:t>
            </w:r>
          </w:p>
        </w:tc>
      </w:tr>
      <w:tr w:rsidR="00DC5685" w:rsidRPr="00A34F10" w14:paraId="71BA8889" w14:textId="77777777" w:rsidTr="000470C3">
        <w:trPr>
          <w:trHeight w:val="340"/>
        </w:trPr>
        <w:tc>
          <w:tcPr>
            <w:tcW w:w="1666" w:type="pct"/>
            <w:vAlign w:val="center"/>
          </w:tcPr>
          <w:p w14:paraId="5BC55451"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2.52</w:t>
            </w:r>
          </w:p>
        </w:tc>
        <w:tc>
          <w:tcPr>
            <w:tcW w:w="1667" w:type="pct"/>
            <w:vAlign w:val="center"/>
          </w:tcPr>
          <w:p w14:paraId="3C408CBB"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1.01</w:t>
            </w:r>
          </w:p>
        </w:tc>
        <w:tc>
          <w:tcPr>
            <w:tcW w:w="1667" w:type="pct"/>
            <w:vAlign w:val="center"/>
          </w:tcPr>
          <w:p w14:paraId="1363AB97"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0.32</w:t>
            </w:r>
          </w:p>
        </w:tc>
      </w:tr>
      <w:tr w:rsidR="00DC5685" w:rsidRPr="00A34F10" w14:paraId="4D282969" w14:textId="77777777" w:rsidTr="000470C3">
        <w:trPr>
          <w:trHeight w:val="340"/>
        </w:trPr>
        <w:tc>
          <w:tcPr>
            <w:tcW w:w="1666" w:type="pct"/>
            <w:vAlign w:val="center"/>
          </w:tcPr>
          <w:p w14:paraId="1C14D0F4"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25.20</w:t>
            </w:r>
          </w:p>
        </w:tc>
        <w:tc>
          <w:tcPr>
            <w:tcW w:w="1667" w:type="pct"/>
            <w:vAlign w:val="center"/>
          </w:tcPr>
          <w:p w14:paraId="65A0EABE"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10.08</w:t>
            </w:r>
          </w:p>
        </w:tc>
        <w:tc>
          <w:tcPr>
            <w:tcW w:w="1667" w:type="pct"/>
            <w:vAlign w:val="center"/>
          </w:tcPr>
          <w:p w14:paraId="695A6D83"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3.20</w:t>
            </w:r>
          </w:p>
        </w:tc>
      </w:tr>
    </w:tbl>
    <w:p w14:paraId="18C96D6D" w14:textId="77777777" w:rsidR="00DC5685" w:rsidRPr="00A34F10" w:rsidRDefault="00DC5685" w:rsidP="00DC5685">
      <w:pPr>
        <w:rPr>
          <w:highlight w:val="yellow"/>
        </w:rPr>
      </w:pPr>
    </w:p>
    <w:p w14:paraId="02779EA1" w14:textId="77777777" w:rsidR="00DC5685" w:rsidRPr="00A34F10" w:rsidRDefault="00DC5685" w:rsidP="00E05ECD">
      <w:pPr>
        <w:numPr>
          <w:ilvl w:val="0"/>
          <w:numId w:val="101"/>
        </w:numPr>
        <w:tabs>
          <w:tab w:val="left" w:pos="0"/>
        </w:tabs>
        <w:ind w:left="357" w:hanging="357"/>
        <w:contextualSpacing/>
        <w:rPr>
          <w:b/>
          <w:bCs/>
        </w:rPr>
      </w:pPr>
      <w:r w:rsidRPr="00A34F10">
        <w:rPr>
          <w:b/>
          <w:bCs/>
        </w:rPr>
        <w:t xml:space="preserve">Dose preparation: </w:t>
      </w:r>
    </w:p>
    <w:p w14:paraId="420D4A86" w14:textId="77777777" w:rsidR="00DC5685" w:rsidRPr="00A34F10" w:rsidRDefault="00DC5685" w:rsidP="00DC5685">
      <w:pPr>
        <w:jc w:val="both"/>
      </w:pPr>
      <w:r w:rsidRPr="00A34F10">
        <w:t xml:space="preserve">The incubation of the soil samples was performed as a series of individual and equally sized subsamples of each treatment group. 200 g soil dw (one sub-sample) per test vessel was weighed. The soil was mixed with 0.5% (i.e. 1.0 g/200 g soil dw) lucerne meal using a hand mixer. The C/N ratio of the lucerne meal was 13.2/1. </w:t>
      </w:r>
    </w:p>
    <w:p w14:paraId="12F0CDD4" w14:textId="77777777" w:rsidR="00DC5685" w:rsidRPr="00A34F10" w:rsidRDefault="00DC5685" w:rsidP="00DC5685">
      <w:pPr>
        <w:jc w:val="both"/>
      </w:pPr>
    </w:p>
    <w:p w14:paraId="3B14EBA6" w14:textId="77777777" w:rsidR="00DC5685" w:rsidRPr="00A34F10" w:rsidRDefault="00DC5685" w:rsidP="00DC5685">
      <w:pPr>
        <w:spacing w:after="240"/>
        <w:jc w:val="both"/>
      </w:pPr>
      <w:r w:rsidRPr="00A34F10">
        <w:t>One additional soil sample (without lucerne meal) was used for determination of the initial NH</w:t>
      </w:r>
      <w:r w:rsidRPr="00A34F10">
        <w:rPr>
          <w:vertAlign w:val="subscript"/>
        </w:rPr>
        <w:t>4</w:t>
      </w:r>
      <w:r w:rsidRPr="00A34F10">
        <w:t xml:space="preserve"> and NO</w:t>
      </w:r>
      <w:r w:rsidRPr="00A34F10">
        <w:rPr>
          <w:vertAlign w:val="subscript"/>
        </w:rPr>
        <w:t>3</w:t>
      </w:r>
      <w:r w:rsidRPr="00A34F10">
        <w:t xml:space="preserve"> content. The test item was mixed with deionised water and the test solution was subsequently mixed with </w:t>
      </w:r>
      <w:r w:rsidRPr="00A34F10">
        <w:lastRenderedPageBreak/>
        <w:t>the soil using a hand mixer. Water was added to the soil to achieve a water content of approximately 45% of WHC.</w:t>
      </w:r>
    </w:p>
    <w:p w14:paraId="2CA10A89" w14:textId="77777777" w:rsidR="00DC5685" w:rsidRPr="00A34F10" w:rsidRDefault="00DC5685" w:rsidP="00E05ECD">
      <w:pPr>
        <w:numPr>
          <w:ilvl w:val="0"/>
          <w:numId w:val="101"/>
        </w:numPr>
        <w:tabs>
          <w:tab w:val="left" w:pos="0"/>
        </w:tabs>
        <w:ind w:left="357" w:hanging="357"/>
        <w:contextualSpacing/>
        <w:rPr>
          <w:b/>
          <w:bCs/>
        </w:rPr>
      </w:pPr>
      <w:r w:rsidRPr="00A34F10">
        <w:rPr>
          <w:b/>
          <w:bCs/>
        </w:rPr>
        <w:t xml:space="preserve">Measurements and observations: </w:t>
      </w:r>
    </w:p>
    <w:p w14:paraId="391DEB55" w14:textId="77777777" w:rsidR="00DC5685" w:rsidRPr="00A34F10" w:rsidRDefault="00DC5685" w:rsidP="00DC5685">
      <w:pPr>
        <w:jc w:val="both"/>
      </w:pPr>
      <w:r w:rsidRPr="00A34F10">
        <w:t>Soil samples (10 g soil dw per replicate) were taken at intervals of 3 hours, 7, 14 and 28 days after application and the NH</w:t>
      </w:r>
      <w:r w:rsidRPr="00A34F10">
        <w:rPr>
          <w:vertAlign w:val="subscript"/>
        </w:rPr>
        <w:t>4</w:t>
      </w:r>
      <w:r w:rsidRPr="00A34F10">
        <w:t>-N, NO</w:t>
      </w:r>
      <w:r w:rsidRPr="00A34F10">
        <w:rPr>
          <w:vertAlign w:val="subscript"/>
        </w:rPr>
        <w:t>3</w:t>
      </w:r>
      <w:r w:rsidRPr="00A34F10">
        <w:t>-N and NO</w:t>
      </w:r>
      <w:r w:rsidRPr="00A34F10">
        <w:rPr>
          <w:vertAlign w:val="subscript"/>
        </w:rPr>
        <w:t>2</w:t>
      </w:r>
      <w:r w:rsidRPr="00A34F10">
        <w:t>-N</w:t>
      </w:r>
      <w:r w:rsidRPr="00A34F10">
        <w:rPr>
          <w:vertAlign w:val="subscript"/>
        </w:rPr>
        <w:t xml:space="preserve"> </w:t>
      </w:r>
      <w:r w:rsidRPr="00A34F10">
        <w:t>contents were determined (depending on treatment group). Soil was extracted by adding 50 mL 1 M KCl solution to the equivalent of 10 g soil dw and mixing on a rotator at 150 rpm for 60 minutes. The mixtures were centrifuged, and the supernatant was stored deep-frozen prior to analysis at -20 ± 5°C. For the quantitative determination of the mineralized part of nitrogen, an autoanalyser was used. The autoanalyser was calibrated before each measurement series. The LOQ for nitrogen and ammonium were 1.03 mg/100 g soil dw and 0.16 mg/100 g soil dw, respectively.</w:t>
      </w:r>
    </w:p>
    <w:p w14:paraId="4BD9F33F" w14:textId="77777777" w:rsidR="00DC5685" w:rsidRPr="00A34F10" w:rsidRDefault="00DC5685" w:rsidP="00DC5685">
      <w:pPr>
        <w:jc w:val="both"/>
      </w:pPr>
    </w:p>
    <w:p w14:paraId="035589CA" w14:textId="77777777" w:rsidR="00DC5685" w:rsidRPr="00A34F10" w:rsidRDefault="00DC5685" w:rsidP="00DC5685">
      <w:pPr>
        <w:spacing w:after="240"/>
      </w:pPr>
      <w:r w:rsidRPr="00A34F10">
        <w:t>The water content of the soil in each test vessel was determined at test start (after application) and adjusted once per week to the required range of 40 - 50% of WHC. The pH of the soil was measured at test start (after application) and on day 28.</w:t>
      </w:r>
    </w:p>
    <w:p w14:paraId="53387180" w14:textId="77777777" w:rsidR="00DC5685" w:rsidRPr="00A34F10" w:rsidRDefault="00DC5685" w:rsidP="00E05ECD">
      <w:pPr>
        <w:numPr>
          <w:ilvl w:val="0"/>
          <w:numId w:val="101"/>
        </w:numPr>
        <w:tabs>
          <w:tab w:val="left" w:pos="0"/>
        </w:tabs>
        <w:ind w:left="357" w:hanging="357"/>
        <w:contextualSpacing/>
        <w:rPr>
          <w:b/>
          <w:bCs/>
        </w:rPr>
      </w:pPr>
      <w:r w:rsidRPr="00A34F10">
        <w:rPr>
          <w:b/>
          <w:bCs/>
        </w:rPr>
        <w:t xml:space="preserve">Statistical analysis: </w:t>
      </w:r>
    </w:p>
    <w:p w14:paraId="37672EBE" w14:textId="2CA5E01F" w:rsidR="00064B77" w:rsidRDefault="00DC5685" w:rsidP="00DC5685">
      <w:pPr>
        <w:spacing w:after="240"/>
        <w:jc w:val="both"/>
      </w:pPr>
      <w:r w:rsidRPr="00A34F10">
        <w:t>Descriptive statistics were used. The mean nitrogen content, standard deviation and coefficient of variation were calculated for each treatment group and sampling date.</w:t>
      </w:r>
    </w:p>
    <w:p w14:paraId="0C78F070" w14:textId="77777777" w:rsidR="00DC5685" w:rsidRPr="00A34F10" w:rsidRDefault="00DC5685" w:rsidP="00DC5685">
      <w:pPr>
        <w:ind w:left="720" w:hanging="431"/>
        <w:contextualSpacing/>
        <w:jc w:val="center"/>
        <w:rPr>
          <w:b/>
          <w:bCs/>
          <w:caps/>
        </w:rPr>
      </w:pPr>
      <w:r w:rsidRPr="00A34F10">
        <w:rPr>
          <w:b/>
          <w:bCs/>
          <w:caps/>
        </w:rPr>
        <w:t>II.</w:t>
      </w:r>
      <w:r w:rsidRPr="00A34F10">
        <w:rPr>
          <w:b/>
          <w:bCs/>
          <w:caps/>
        </w:rPr>
        <w:tab/>
        <w:t>Results and Discussion</w:t>
      </w:r>
    </w:p>
    <w:p w14:paraId="16ACC21F" w14:textId="77777777" w:rsidR="00DC5685" w:rsidRPr="00A34F10" w:rsidRDefault="00DC5685" w:rsidP="00DC5685">
      <w:pPr>
        <w:ind w:left="720" w:hanging="431"/>
        <w:contextualSpacing/>
        <w:jc w:val="center"/>
        <w:rPr>
          <w:b/>
          <w:bCs/>
          <w:caps/>
        </w:rPr>
      </w:pPr>
    </w:p>
    <w:p w14:paraId="7C9FD309" w14:textId="77777777" w:rsidR="00DC5685" w:rsidRPr="00A34F10" w:rsidRDefault="00DC5685" w:rsidP="00E05ECD">
      <w:pPr>
        <w:numPr>
          <w:ilvl w:val="0"/>
          <w:numId w:val="102"/>
        </w:numPr>
        <w:spacing w:after="240"/>
        <w:ind w:left="357" w:hanging="357"/>
        <w:rPr>
          <w:b/>
          <w:bCs/>
          <w:caps/>
          <w:szCs w:val="24"/>
          <w:lang w:val="en-GB"/>
        </w:rPr>
      </w:pPr>
      <w:r w:rsidRPr="00A34F10">
        <w:rPr>
          <w:b/>
          <w:bCs/>
          <w:caps/>
          <w:szCs w:val="24"/>
          <w:lang w:val="en-GB"/>
        </w:rPr>
        <w:t>biological effects</w:t>
      </w:r>
    </w:p>
    <w:p w14:paraId="1A6FEDD1" w14:textId="5158C385" w:rsidR="005D594D" w:rsidRDefault="00DC5685" w:rsidP="00DC5685">
      <w:pPr>
        <w:tabs>
          <w:tab w:val="right" w:leader="dot" w:pos="9072"/>
        </w:tabs>
        <w:spacing w:line="240" w:lineRule="exact"/>
        <w:jc w:val="both"/>
        <w:rPr>
          <w:spacing w:val="-2"/>
        </w:rPr>
      </w:pPr>
      <w:r w:rsidRPr="00A34F10">
        <w:t>No adverse effects of BAS 743 02 F on nitrogen transformation in soil could be observed at both test concentrations (2.52 mg/kg dry soil</w:t>
      </w:r>
      <w:r w:rsidRPr="00A34F10">
        <w:rPr>
          <w:spacing w:val="-2"/>
        </w:rPr>
        <w:t xml:space="preserve"> and 25.20 mg/kg dry soil)</w:t>
      </w:r>
      <w:r w:rsidRPr="00A34F10">
        <w:t xml:space="preserve"> after 28 days (time interval 0-28). Only negligible deviations from the control of +5.6 % (test concentration 2.52 mg/kg dry soil)</w:t>
      </w:r>
      <w:r w:rsidRPr="00A34F10">
        <w:rPr>
          <w:spacing w:val="-2"/>
        </w:rPr>
        <w:t xml:space="preserve"> </w:t>
      </w:r>
      <w:r w:rsidRPr="00A34F10">
        <w:t>and +7.6 % (test concentration 25.20 mg/kg dry soil) were measured at the end of the 28-day incubation period (time interval 0-28).</w:t>
      </w:r>
      <w:r w:rsidRPr="00A34F10">
        <w:rPr>
          <w:spacing w:val="-2"/>
        </w:rPr>
        <w:t xml:space="preserve"> </w:t>
      </w:r>
    </w:p>
    <w:p w14:paraId="55519B09" w14:textId="2D923DBD" w:rsidR="005D594D" w:rsidRDefault="005D594D">
      <w:pPr>
        <w:rPr>
          <w:spacing w:val="-2"/>
        </w:rPr>
      </w:pPr>
    </w:p>
    <w:p w14:paraId="3CEE01D8" w14:textId="5BDC8B1C" w:rsidR="00DC5685" w:rsidRPr="0060455A" w:rsidRDefault="005D594D" w:rsidP="005D594D">
      <w:pPr>
        <w:pStyle w:val="Legenda"/>
      </w:pPr>
      <w:r>
        <w:t xml:space="preserve">Table A </w:t>
      </w:r>
      <w:r>
        <w:fldChar w:fldCharType="begin"/>
      </w:r>
      <w:r>
        <w:instrText xml:space="preserve"> SEQ Table_A \* ARABIC </w:instrText>
      </w:r>
      <w:r>
        <w:fldChar w:fldCharType="separate"/>
      </w:r>
      <w:r w:rsidR="006F0F3B">
        <w:rPr>
          <w:noProof/>
        </w:rPr>
        <w:t>93</w:t>
      </w:r>
      <w:r>
        <w:fldChar w:fldCharType="end"/>
      </w:r>
      <w:r w:rsidR="00DC5685" w:rsidRPr="0060455A">
        <w:t>:</w:t>
      </w:r>
      <w:r w:rsidR="0060455A" w:rsidRPr="0060455A">
        <w:tab/>
      </w:r>
      <w:r w:rsidR="00DC5685" w:rsidRPr="0060455A">
        <w:t xml:space="preserve"> Effects on nitrogen transformation in soil after treatment with BAS 743 02 F</w:t>
      </w:r>
    </w:p>
    <w:tbl>
      <w:tblPr>
        <w:tblStyle w:val="TableGrid10"/>
        <w:tblW w:w="5000" w:type="pct"/>
        <w:tblLook w:val="04A0" w:firstRow="1" w:lastRow="0" w:firstColumn="1" w:lastColumn="0" w:noHBand="0" w:noVBand="1"/>
      </w:tblPr>
      <w:tblGrid>
        <w:gridCol w:w="1412"/>
        <w:gridCol w:w="1700"/>
        <w:gridCol w:w="1701"/>
        <w:gridCol w:w="1417"/>
        <w:gridCol w:w="1559"/>
        <w:gridCol w:w="1555"/>
      </w:tblGrid>
      <w:tr w:rsidR="00DC5685" w:rsidRPr="00F03DE2" w14:paraId="26B2BCA9" w14:textId="77777777" w:rsidTr="000470C3">
        <w:trPr>
          <w:trHeight w:hRule="exact" w:val="510"/>
        </w:trPr>
        <w:tc>
          <w:tcPr>
            <w:tcW w:w="756" w:type="pct"/>
            <w:vMerge w:val="restart"/>
            <w:vAlign w:val="center"/>
          </w:tcPr>
          <w:p w14:paraId="11C99742"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 xml:space="preserve">Time interval </w:t>
            </w:r>
            <w:r w:rsidRPr="00A34F10">
              <w:rPr>
                <w:rFonts w:ascii="Times New Roman" w:hAnsi="Times New Roman"/>
                <w:b/>
                <w:bCs/>
                <w:sz w:val="20"/>
                <w:szCs w:val="20"/>
                <w:lang w:eastAsia="de-DE"/>
              </w:rPr>
              <w:br/>
              <w:t>(days)</w:t>
            </w:r>
          </w:p>
        </w:tc>
        <w:tc>
          <w:tcPr>
            <w:tcW w:w="910" w:type="pct"/>
            <w:vAlign w:val="center"/>
          </w:tcPr>
          <w:p w14:paraId="7DBC8601"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Control</w:t>
            </w:r>
          </w:p>
        </w:tc>
        <w:tc>
          <w:tcPr>
            <w:tcW w:w="1668" w:type="pct"/>
            <w:gridSpan w:val="2"/>
            <w:vAlign w:val="center"/>
          </w:tcPr>
          <w:p w14:paraId="446DDC0F" w14:textId="77777777" w:rsidR="00DC5685" w:rsidRPr="003B09BC" w:rsidRDefault="00DC5685" w:rsidP="00DC5685">
            <w:pPr>
              <w:jc w:val="center"/>
              <w:rPr>
                <w:rFonts w:ascii="Times New Roman" w:hAnsi="Times New Roman"/>
                <w:b/>
                <w:bCs/>
                <w:sz w:val="20"/>
                <w:szCs w:val="20"/>
                <w:lang w:val="fr-FR" w:eastAsia="de-DE"/>
              </w:rPr>
            </w:pPr>
            <w:r w:rsidRPr="003B09BC">
              <w:rPr>
                <w:rFonts w:ascii="Times New Roman" w:hAnsi="Times New Roman"/>
                <w:b/>
                <w:bCs/>
                <w:sz w:val="20"/>
                <w:szCs w:val="20"/>
                <w:lang w:val="fr-FR" w:eastAsia="de-DE"/>
              </w:rPr>
              <w:t>BAS 743 02 F</w:t>
            </w:r>
            <w:r w:rsidRPr="003B09BC">
              <w:rPr>
                <w:rFonts w:ascii="Times New Roman" w:hAnsi="Times New Roman"/>
                <w:b/>
                <w:bCs/>
                <w:sz w:val="20"/>
                <w:szCs w:val="20"/>
                <w:lang w:val="fr-FR" w:eastAsia="de-DE"/>
              </w:rPr>
              <w:br/>
              <w:t>2.52 mg/kg soil dw</w:t>
            </w:r>
          </w:p>
        </w:tc>
        <w:tc>
          <w:tcPr>
            <w:tcW w:w="1666" w:type="pct"/>
            <w:gridSpan w:val="2"/>
            <w:vAlign w:val="center"/>
          </w:tcPr>
          <w:p w14:paraId="45A0037D" w14:textId="77777777" w:rsidR="00DC5685" w:rsidRPr="003B09BC" w:rsidRDefault="00DC5685" w:rsidP="00DC5685">
            <w:pPr>
              <w:jc w:val="center"/>
              <w:rPr>
                <w:rFonts w:ascii="Times New Roman" w:hAnsi="Times New Roman"/>
                <w:b/>
                <w:bCs/>
                <w:sz w:val="20"/>
                <w:szCs w:val="20"/>
                <w:lang w:val="fr-FR" w:eastAsia="de-DE"/>
              </w:rPr>
            </w:pPr>
            <w:r w:rsidRPr="003B09BC">
              <w:rPr>
                <w:rFonts w:ascii="Times New Roman" w:hAnsi="Times New Roman"/>
                <w:b/>
                <w:bCs/>
                <w:sz w:val="20"/>
                <w:szCs w:val="20"/>
                <w:lang w:val="fr-FR" w:eastAsia="de-DE"/>
              </w:rPr>
              <w:t>BAS 743 02 F</w:t>
            </w:r>
            <w:r w:rsidRPr="003B09BC">
              <w:rPr>
                <w:rFonts w:ascii="Times New Roman" w:hAnsi="Times New Roman"/>
                <w:b/>
                <w:bCs/>
                <w:sz w:val="20"/>
                <w:szCs w:val="20"/>
                <w:lang w:val="fr-FR" w:eastAsia="de-DE"/>
              </w:rPr>
              <w:br/>
              <w:t>25.20 mg/kg soil dw</w:t>
            </w:r>
          </w:p>
        </w:tc>
      </w:tr>
      <w:tr w:rsidR="00DC5685" w:rsidRPr="00A34F10" w14:paraId="1CB8B078" w14:textId="77777777" w:rsidTr="000470C3">
        <w:trPr>
          <w:trHeight w:hRule="exact" w:val="567"/>
        </w:trPr>
        <w:tc>
          <w:tcPr>
            <w:tcW w:w="756" w:type="pct"/>
            <w:vMerge/>
            <w:vAlign w:val="center"/>
          </w:tcPr>
          <w:p w14:paraId="31FC689A" w14:textId="77777777" w:rsidR="00DC5685" w:rsidRPr="003B09BC" w:rsidRDefault="00DC5685" w:rsidP="00DC5685">
            <w:pPr>
              <w:rPr>
                <w:rFonts w:ascii="Times New Roman" w:hAnsi="Times New Roman"/>
                <w:b/>
                <w:bCs/>
                <w:sz w:val="20"/>
                <w:szCs w:val="20"/>
                <w:lang w:val="fr-FR" w:eastAsia="de-DE"/>
              </w:rPr>
            </w:pPr>
          </w:p>
        </w:tc>
        <w:tc>
          <w:tcPr>
            <w:tcW w:w="910" w:type="pct"/>
            <w:vAlign w:val="center"/>
          </w:tcPr>
          <w:p w14:paraId="3B45A12E"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NO</w:t>
            </w:r>
            <w:r w:rsidRPr="00A34F10">
              <w:rPr>
                <w:rFonts w:ascii="Times New Roman" w:hAnsi="Times New Roman"/>
                <w:b/>
                <w:bCs/>
                <w:sz w:val="20"/>
                <w:szCs w:val="20"/>
                <w:vertAlign w:val="subscript"/>
                <w:lang w:eastAsia="de-DE"/>
              </w:rPr>
              <w:t>3</w:t>
            </w:r>
            <w:r w:rsidRPr="00A34F10">
              <w:rPr>
                <w:rFonts w:ascii="Times New Roman" w:hAnsi="Times New Roman"/>
                <w:b/>
                <w:bCs/>
                <w:sz w:val="20"/>
                <w:szCs w:val="20"/>
                <w:lang w:eastAsia="de-DE"/>
              </w:rPr>
              <w:t xml:space="preserve"> in mg/kg soil dw </w:t>
            </w:r>
            <w:r w:rsidRPr="00A34F10">
              <w:rPr>
                <w:rFonts w:ascii="Times New Roman" w:hAnsi="Times New Roman"/>
                <w:b/>
                <w:bCs/>
                <w:sz w:val="20"/>
                <w:szCs w:val="20"/>
                <w:vertAlign w:val="superscript"/>
                <w:lang w:eastAsia="de-DE"/>
              </w:rPr>
              <w:t>1)</w:t>
            </w:r>
          </w:p>
        </w:tc>
        <w:tc>
          <w:tcPr>
            <w:tcW w:w="910" w:type="pct"/>
            <w:vAlign w:val="center"/>
          </w:tcPr>
          <w:p w14:paraId="79453541" w14:textId="77777777" w:rsidR="00DC5685" w:rsidRPr="00A34F10" w:rsidRDefault="00DC5685" w:rsidP="00DC5685">
            <w:pPr>
              <w:jc w:val="center"/>
              <w:rPr>
                <w:rFonts w:ascii="Times New Roman" w:hAnsi="Times New Roman"/>
              </w:rPr>
            </w:pPr>
            <w:r w:rsidRPr="00A34F10">
              <w:rPr>
                <w:rFonts w:ascii="Times New Roman" w:hAnsi="Times New Roman"/>
                <w:b/>
                <w:bCs/>
                <w:sz w:val="20"/>
                <w:szCs w:val="20"/>
                <w:lang w:eastAsia="de-DE"/>
              </w:rPr>
              <w:t>NO</w:t>
            </w:r>
            <w:r w:rsidRPr="00A34F10">
              <w:rPr>
                <w:rFonts w:ascii="Times New Roman" w:hAnsi="Times New Roman"/>
                <w:b/>
                <w:bCs/>
                <w:sz w:val="20"/>
                <w:szCs w:val="20"/>
                <w:vertAlign w:val="subscript"/>
                <w:lang w:eastAsia="de-DE"/>
              </w:rPr>
              <w:t>3</w:t>
            </w:r>
            <w:r w:rsidRPr="00A34F10">
              <w:rPr>
                <w:rFonts w:ascii="Times New Roman" w:hAnsi="Times New Roman"/>
                <w:b/>
                <w:bCs/>
                <w:sz w:val="20"/>
                <w:szCs w:val="20"/>
                <w:lang w:eastAsia="de-DE"/>
              </w:rPr>
              <w:t xml:space="preserve"> in mg/kg soil dw</w:t>
            </w:r>
            <w:r w:rsidRPr="00A34F10">
              <w:rPr>
                <w:rFonts w:ascii="Times New Roman" w:hAnsi="Times New Roman"/>
              </w:rPr>
              <w:t xml:space="preserve"> </w:t>
            </w:r>
            <w:r w:rsidRPr="00A34F10">
              <w:rPr>
                <w:rFonts w:ascii="Times New Roman" w:hAnsi="Times New Roman"/>
                <w:b/>
                <w:bCs/>
                <w:sz w:val="20"/>
                <w:szCs w:val="20"/>
                <w:vertAlign w:val="superscript"/>
                <w:lang w:eastAsia="de-DE"/>
              </w:rPr>
              <w:t>1)</w:t>
            </w:r>
          </w:p>
        </w:tc>
        <w:tc>
          <w:tcPr>
            <w:tcW w:w="758" w:type="pct"/>
            <w:vAlign w:val="center"/>
          </w:tcPr>
          <w:p w14:paraId="6F18ECC1"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 deviation from control</w:t>
            </w:r>
          </w:p>
        </w:tc>
        <w:tc>
          <w:tcPr>
            <w:tcW w:w="834" w:type="pct"/>
            <w:vAlign w:val="center"/>
          </w:tcPr>
          <w:p w14:paraId="2A3FA8EB"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NO</w:t>
            </w:r>
            <w:r w:rsidRPr="00A34F10">
              <w:rPr>
                <w:rFonts w:ascii="Times New Roman" w:hAnsi="Times New Roman"/>
                <w:b/>
                <w:bCs/>
                <w:sz w:val="20"/>
                <w:szCs w:val="20"/>
                <w:vertAlign w:val="subscript"/>
                <w:lang w:eastAsia="de-DE"/>
              </w:rPr>
              <w:t>3</w:t>
            </w:r>
            <w:r w:rsidRPr="00A34F10">
              <w:rPr>
                <w:rFonts w:ascii="Times New Roman" w:hAnsi="Times New Roman"/>
                <w:b/>
                <w:bCs/>
                <w:sz w:val="20"/>
                <w:szCs w:val="20"/>
                <w:lang w:eastAsia="de-DE"/>
              </w:rPr>
              <w:t xml:space="preserve"> in mg/kg soil dw </w:t>
            </w:r>
            <w:r w:rsidRPr="00A34F10">
              <w:rPr>
                <w:rFonts w:ascii="Times New Roman" w:hAnsi="Times New Roman"/>
                <w:b/>
                <w:bCs/>
                <w:sz w:val="20"/>
                <w:szCs w:val="20"/>
                <w:vertAlign w:val="superscript"/>
                <w:lang w:eastAsia="de-DE"/>
              </w:rPr>
              <w:t>1)</w:t>
            </w:r>
          </w:p>
        </w:tc>
        <w:tc>
          <w:tcPr>
            <w:tcW w:w="832" w:type="pct"/>
            <w:vAlign w:val="center"/>
          </w:tcPr>
          <w:p w14:paraId="673FFC23"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 deviation from control</w:t>
            </w:r>
          </w:p>
        </w:tc>
      </w:tr>
      <w:tr w:rsidR="00DC5685" w:rsidRPr="00A34F10" w14:paraId="3026B9C3" w14:textId="77777777" w:rsidTr="000470C3">
        <w:trPr>
          <w:trHeight w:hRule="exact" w:val="340"/>
        </w:trPr>
        <w:tc>
          <w:tcPr>
            <w:tcW w:w="756" w:type="pct"/>
            <w:vAlign w:val="center"/>
          </w:tcPr>
          <w:p w14:paraId="7456B8B1"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0-7</w:t>
            </w:r>
          </w:p>
        </w:tc>
        <w:tc>
          <w:tcPr>
            <w:tcW w:w="910" w:type="pct"/>
          </w:tcPr>
          <w:p w14:paraId="3DF85AFB"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2.96</w:t>
            </w:r>
          </w:p>
        </w:tc>
        <w:tc>
          <w:tcPr>
            <w:tcW w:w="910" w:type="pct"/>
          </w:tcPr>
          <w:p w14:paraId="7BC7329C"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3.34</w:t>
            </w:r>
          </w:p>
        </w:tc>
        <w:tc>
          <w:tcPr>
            <w:tcW w:w="758" w:type="pct"/>
          </w:tcPr>
          <w:p w14:paraId="23ED8C4D"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+12.7</w:t>
            </w:r>
          </w:p>
        </w:tc>
        <w:tc>
          <w:tcPr>
            <w:tcW w:w="834" w:type="pct"/>
          </w:tcPr>
          <w:p w14:paraId="6B2C22BD"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3.54</w:t>
            </w:r>
          </w:p>
        </w:tc>
        <w:tc>
          <w:tcPr>
            <w:tcW w:w="832" w:type="pct"/>
          </w:tcPr>
          <w:p w14:paraId="173D926A"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+19.5</w:t>
            </w:r>
          </w:p>
        </w:tc>
      </w:tr>
      <w:tr w:rsidR="00DC5685" w:rsidRPr="00A34F10" w14:paraId="6F902E5D" w14:textId="77777777" w:rsidTr="000470C3">
        <w:trPr>
          <w:trHeight w:hRule="exact" w:val="340"/>
        </w:trPr>
        <w:tc>
          <w:tcPr>
            <w:tcW w:w="756" w:type="pct"/>
            <w:vAlign w:val="center"/>
          </w:tcPr>
          <w:p w14:paraId="58B12BBB"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0-14</w:t>
            </w:r>
          </w:p>
        </w:tc>
        <w:tc>
          <w:tcPr>
            <w:tcW w:w="910" w:type="pct"/>
          </w:tcPr>
          <w:p w14:paraId="1FE78020"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2.31</w:t>
            </w:r>
          </w:p>
        </w:tc>
        <w:tc>
          <w:tcPr>
            <w:tcW w:w="910" w:type="pct"/>
          </w:tcPr>
          <w:p w14:paraId="0F2B0147"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2.65</w:t>
            </w:r>
          </w:p>
        </w:tc>
        <w:tc>
          <w:tcPr>
            <w:tcW w:w="758" w:type="pct"/>
          </w:tcPr>
          <w:p w14:paraId="7FDCB65D"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+14.8</w:t>
            </w:r>
          </w:p>
        </w:tc>
        <w:tc>
          <w:tcPr>
            <w:tcW w:w="834" w:type="pct"/>
          </w:tcPr>
          <w:p w14:paraId="514D091E"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2.75</w:t>
            </w:r>
          </w:p>
        </w:tc>
        <w:tc>
          <w:tcPr>
            <w:tcW w:w="832" w:type="pct"/>
          </w:tcPr>
          <w:p w14:paraId="13639D24"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+19.2</w:t>
            </w:r>
          </w:p>
        </w:tc>
      </w:tr>
      <w:tr w:rsidR="00DC5685" w:rsidRPr="00A34F10" w14:paraId="6BFC84CF" w14:textId="77777777" w:rsidTr="000470C3">
        <w:trPr>
          <w:trHeight w:hRule="exact" w:val="340"/>
        </w:trPr>
        <w:tc>
          <w:tcPr>
            <w:tcW w:w="756" w:type="pct"/>
            <w:vAlign w:val="center"/>
          </w:tcPr>
          <w:p w14:paraId="094FA026" w14:textId="77777777" w:rsidR="00DC5685" w:rsidRPr="00A34F10" w:rsidRDefault="00DC5685" w:rsidP="00DC5685">
            <w:pPr>
              <w:jc w:val="center"/>
              <w:rPr>
                <w:rFonts w:ascii="Times New Roman" w:hAnsi="Times New Roman"/>
                <w:b/>
                <w:bCs/>
                <w:sz w:val="20"/>
                <w:szCs w:val="20"/>
                <w:lang w:eastAsia="de-DE"/>
              </w:rPr>
            </w:pPr>
            <w:r w:rsidRPr="00A34F10">
              <w:rPr>
                <w:rFonts w:ascii="Times New Roman" w:hAnsi="Times New Roman"/>
                <w:b/>
                <w:bCs/>
                <w:sz w:val="20"/>
                <w:szCs w:val="20"/>
                <w:lang w:eastAsia="de-DE"/>
              </w:rPr>
              <w:t>0-28</w:t>
            </w:r>
          </w:p>
        </w:tc>
        <w:tc>
          <w:tcPr>
            <w:tcW w:w="910" w:type="pct"/>
          </w:tcPr>
          <w:p w14:paraId="4EBF76BE"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1.96</w:t>
            </w:r>
          </w:p>
        </w:tc>
        <w:tc>
          <w:tcPr>
            <w:tcW w:w="910" w:type="pct"/>
          </w:tcPr>
          <w:p w14:paraId="223B45EB"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2.07</w:t>
            </w:r>
          </w:p>
        </w:tc>
        <w:tc>
          <w:tcPr>
            <w:tcW w:w="758" w:type="pct"/>
          </w:tcPr>
          <w:p w14:paraId="56F61B9E"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+5.6</w:t>
            </w:r>
          </w:p>
        </w:tc>
        <w:tc>
          <w:tcPr>
            <w:tcW w:w="834" w:type="pct"/>
          </w:tcPr>
          <w:p w14:paraId="3A8E4EAC"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2.10</w:t>
            </w:r>
          </w:p>
        </w:tc>
        <w:tc>
          <w:tcPr>
            <w:tcW w:w="832" w:type="pct"/>
          </w:tcPr>
          <w:p w14:paraId="006CE0E6" w14:textId="77777777" w:rsidR="00DC5685" w:rsidRPr="00A34F10" w:rsidRDefault="00DC5685" w:rsidP="00DC5685">
            <w:pPr>
              <w:jc w:val="center"/>
              <w:rPr>
                <w:rFonts w:ascii="Times New Roman" w:hAnsi="Times New Roman"/>
                <w:sz w:val="20"/>
                <w:szCs w:val="20"/>
                <w:lang w:eastAsia="de-DE"/>
              </w:rPr>
            </w:pPr>
            <w:r w:rsidRPr="00A34F10">
              <w:rPr>
                <w:rFonts w:ascii="Times New Roman" w:hAnsi="Times New Roman"/>
                <w:sz w:val="20"/>
                <w:szCs w:val="20"/>
                <w:lang w:eastAsia="de-DE"/>
              </w:rPr>
              <w:t>+7.6</w:t>
            </w:r>
          </w:p>
        </w:tc>
      </w:tr>
    </w:tbl>
    <w:p w14:paraId="517FEE50" w14:textId="77777777" w:rsidR="00DC5685" w:rsidRPr="00A34F10" w:rsidRDefault="00DC5685" w:rsidP="00DC5685">
      <w:pPr>
        <w:tabs>
          <w:tab w:val="left" w:pos="284"/>
          <w:tab w:val="left" w:pos="850"/>
          <w:tab w:val="right" w:leader="dot" w:pos="9072"/>
        </w:tabs>
        <w:spacing w:line="240" w:lineRule="exact"/>
        <w:ind w:left="2835" w:hanging="2835"/>
        <w:rPr>
          <w:sz w:val="18"/>
          <w:szCs w:val="18"/>
        </w:rPr>
      </w:pPr>
      <w:r w:rsidRPr="00A34F10">
        <w:rPr>
          <w:sz w:val="18"/>
          <w:szCs w:val="18"/>
          <w:vertAlign w:val="superscript"/>
        </w:rPr>
        <w:t xml:space="preserve">1) </w:t>
      </w:r>
      <w:r w:rsidRPr="00A34F10">
        <w:rPr>
          <w:sz w:val="18"/>
          <w:szCs w:val="18"/>
          <w:vertAlign w:val="superscript"/>
        </w:rPr>
        <w:tab/>
      </w:r>
      <w:r w:rsidRPr="00A34F10">
        <w:rPr>
          <w:sz w:val="18"/>
          <w:szCs w:val="18"/>
        </w:rPr>
        <w:t>(measured values sampling day “x” - measured values sampling day 0) / days, mean of 3 replicates</w:t>
      </w:r>
    </w:p>
    <w:p w14:paraId="33E654D8" w14:textId="77777777" w:rsidR="00DC5685" w:rsidRPr="00A34F10" w:rsidRDefault="00DC5685" w:rsidP="00DC5685">
      <w:pPr>
        <w:spacing w:after="360"/>
        <w:rPr>
          <w:sz w:val="18"/>
          <w:szCs w:val="20"/>
        </w:rPr>
      </w:pPr>
      <w:r w:rsidRPr="00A34F10">
        <w:rPr>
          <w:sz w:val="18"/>
          <w:szCs w:val="20"/>
        </w:rPr>
        <w:t>The calculations were performed with unrounded values</w:t>
      </w:r>
    </w:p>
    <w:p w14:paraId="2651BDE2" w14:textId="77777777" w:rsidR="00DC5685" w:rsidRPr="00A34F10" w:rsidRDefault="00DC5685" w:rsidP="00DC5685">
      <w:pPr>
        <w:spacing w:after="240"/>
        <w:jc w:val="both"/>
      </w:pPr>
      <w:r w:rsidRPr="00A34F10">
        <w:t>In a separate study the reference item Dinoterb produced a stimulation of nitrogen transformation of +37.3 % and +29.5 % at 13.60 mg/kg and 27.20 mg/kg soil dry weight determined 28 days after application. Thus, the results of the reference test demonstrated the sensitivity of the test system.</w:t>
      </w:r>
    </w:p>
    <w:p w14:paraId="28EE51A8" w14:textId="77777777" w:rsidR="00DC5685" w:rsidRPr="00A34F10" w:rsidRDefault="00DC5685" w:rsidP="00E05ECD">
      <w:pPr>
        <w:keepNext/>
        <w:keepLines/>
        <w:numPr>
          <w:ilvl w:val="0"/>
          <w:numId w:val="102"/>
        </w:numPr>
        <w:ind w:left="357" w:hanging="357"/>
        <w:rPr>
          <w:b/>
          <w:bCs/>
          <w:caps/>
          <w:szCs w:val="24"/>
          <w:lang w:val="en-GB"/>
        </w:rPr>
      </w:pPr>
      <w:r w:rsidRPr="00A34F10">
        <w:rPr>
          <w:b/>
          <w:bCs/>
          <w:caps/>
          <w:szCs w:val="24"/>
          <w:lang w:val="en-GB"/>
        </w:rPr>
        <w:t>VALIDITY CRITERIA</w:t>
      </w:r>
    </w:p>
    <w:p w14:paraId="59BF699B" w14:textId="77777777" w:rsidR="00DC5685" w:rsidRPr="00A34F10" w:rsidRDefault="00DC5685" w:rsidP="00DC5685">
      <w:pPr>
        <w:tabs>
          <w:tab w:val="left" w:pos="0"/>
        </w:tabs>
        <w:ind w:left="357" w:hanging="357"/>
        <w:contextualSpacing/>
        <w:rPr>
          <w:b/>
          <w:bCs/>
          <w:caps/>
        </w:rPr>
      </w:pPr>
    </w:p>
    <w:p w14:paraId="1F433567" w14:textId="52717539" w:rsidR="00DC5685" w:rsidRPr="00A34F10" w:rsidRDefault="00DC5685" w:rsidP="00DC5685">
      <w:pPr>
        <w:rPr>
          <w:highlight w:val="yellow"/>
        </w:rPr>
      </w:pPr>
      <w:r w:rsidRPr="00A34F10">
        <w:t>The validity criteria were met (</w:t>
      </w:r>
      <w:r w:rsidR="005D594D">
        <w:fldChar w:fldCharType="begin"/>
      </w:r>
      <w:r w:rsidR="005D594D">
        <w:instrText xml:space="preserve"> REF _Ref147913464 \h </w:instrText>
      </w:r>
      <w:r w:rsidR="005D594D">
        <w:fldChar w:fldCharType="separate"/>
      </w:r>
      <w:r w:rsidR="006F0F3B">
        <w:t xml:space="preserve">Table A </w:t>
      </w:r>
      <w:r w:rsidR="006F0F3B">
        <w:rPr>
          <w:noProof/>
        </w:rPr>
        <w:t>94</w:t>
      </w:r>
      <w:r w:rsidR="005D594D">
        <w:fldChar w:fldCharType="end"/>
      </w:r>
      <w:r w:rsidR="005D594D">
        <w:t>)</w:t>
      </w:r>
      <w:r w:rsidRPr="00A34F10">
        <w:t xml:space="preserve"> </w:t>
      </w:r>
    </w:p>
    <w:p w14:paraId="70647EF1" w14:textId="77777777" w:rsidR="00DC5685" w:rsidRPr="00A34F10" w:rsidRDefault="00DC5685" w:rsidP="00DC5685">
      <w:pPr>
        <w:rPr>
          <w:sz w:val="20"/>
          <w:highlight w:val="yellow"/>
        </w:rPr>
      </w:pPr>
    </w:p>
    <w:p w14:paraId="5A66CB2D" w14:textId="31260F95" w:rsidR="00DC5685" w:rsidRPr="0060455A" w:rsidRDefault="005D594D" w:rsidP="005D594D">
      <w:pPr>
        <w:pStyle w:val="Legenda"/>
      </w:pPr>
      <w:bookmarkStart w:id="1191" w:name="_Ref147913464"/>
      <w:r>
        <w:t xml:space="preserve">Table A </w:t>
      </w:r>
      <w:r>
        <w:fldChar w:fldCharType="begin"/>
      </w:r>
      <w:r>
        <w:instrText xml:space="preserve"> SEQ Table_A \* ARABIC </w:instrText>
      </w:r>
      <w:r>
        <w:fldChar w:fldCharType="separate"/>
      </w:r>
      <w:r w:rsidR="006F0F3B">
        <w:rPr>
          <w:noProof/>
        </w:rPr>
        <w:t>94</w:t>
      </w:r>
      <w:r>
        <w:fldChar w:fldCharType="end"/>
      </w:r>
      <w:bookmarkEnd w:id="1191"/>
      <w:r w:rsidR="0060455A" w:rsidRPr="0060455A">
        <w:tab/>
      </w:r>
      <w:r w:rsidR="00DC5685" w:rsidRPr="0060455A">
        <w:t xml:space="preserve"> Validity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8"/>
        <w:gridCol w:w="3716"/>
      </w:tblGrid>
      <w:tr w:rsidR="00DC5685" w:rsidRPr="00A34F10" w14:paraId="74B11DC0" w14:textId="77777777" w:rsidTr="000470C3">
        <w:trPr>
          <w:trHeight w:val="270"/>
        </w:trPr>
        <w:tc>
          <w:tcPr>
            <w:tcW w:w="2306" w:type="pct"/>
            <w:shd w:val="clear" w:color="auto" w:fill="auto"/>
            <w:noWrap/>
            <w:hideMark/>
          </w:tcPr>
          <w:p w14:paraId="348D5F48" w14:textId="77777777" w:rsidR="00DC5685" w:rsidRPr="00A34F10" w:rsidRDefault="00DC5685" w:rsidP="00DC5685">
            <w:pPr>
              <w:spacing w:before="40" w:after="40"/>
              <w:rPr>
                <w:b/>
                <w:bCs/>
                <w:sz w:val="20"/>
                <w:szCs w:val="20"/>
              </w:rPr>
            </w:pPr>
            <w:r w:rsidRPr="00A34F10">
              <w:rPr>
                <w:b/>
                <w:bCs/>
                <w:sz w:val="20"/>
                <w:szCs w:val="20"/>
              </w:rPr>
              <w:t>Validity criteria according to OECD 216 (2000)</w:t>
            </w:r>
          </w:p>
        </w:tc>
        <w:tc>
          <w:tcPr>
            <w:tcW w:w="2694" w:type="pct"/>
            <w:shd w:val="clear" w:color="auto" w:fill="auto"/>
            <w:noWrap/>
            <w:hideMark/>
          </w:tcPr>
          <w:p w14:paraId="2E8D1025" w14:textId="77777777" w:rsidR="00DC5685" w:rsidRPr="00A34F10" w:rsidRDefault="00DC5685" w:rsidP="00DC5685">
            <w:pPr>
              <w:spacing w:before="40" w:after="40"/>
              <w:rPr>
                <w:b/>
                <w:bCs/>
                <w:sz w:val="20"/>
                <w:szCs w:val="20"/>
              </w:rPr>
            </w:pPr>
            <w:r w:rsidRPr="00A34F10">
              <w:rPr>
                <w:b/>
                <w:bCs/>
                <w:sz w:val="20"/>
                <w:szCs w:val="20"/>
              </w:rPr>
              <w:t>Obtained in this study</w:t>
            </w:r>
          </w:p>
        </w:tc>
      </w:tr>
      <w:tr w:rsidR="00DC5685" w:rsidRPr="00A34F10" w14:paraId="4E012656" w14:textId="77777777" w:rsidTr="000470C3">
        <w:trPr>
          <w:trHeight w:val="270"/>
        </w:trPr>
        <w:tc>
          <w:tcPr>
            <w:tcW w:w="2306" w:type="pct"/>
            <w:shd w:val="clear" w:color="auto" w:fill="auto"/>
            <w:noWrap/>
          </w:tcPr>
          <w:p w14:paraId="49CF4570" w14:textId="77777777" w:rsidR="00DC5685" w:rsidRPr="00A34F10" w:rsidRDefault="00DC5685" w:rsidP="00DC5685">
            <w:pPr>
              <w:spacing w:before="40" w:after="40"/>
              <w:rPr>
                <w:sz w:val="20"/>
                <w:szCs w:val="20"/>
              </w:rPr>
            </w:pPr>
            <w:r w:rsidRPr="00A34F10">
              <w:rPr>
                <w:sz w:val="20"/>
                <w:szCs w:val="20"/>
              </w:rPr>
              <w:t>In the control(s), the coefficients of variation for NO</w:t>
            </w:r>
            <w:r w:rsidRPr="00A34F10">
              <w:rPr>
                <w:sz w:val="20"/>
                <w:szCs w:val="20"/>
                <w:vertAlign w:val="subscript"/>
              </w:rPr>
              <w:t>3</w:t>
            </w:r>
            <w:r w:rsidRPr="00A34F10">
              <w:rPr>
                <w:sz w:val="20"/>
                <w:szCs w:val="20"/>
              </w:rPr>
              <w:t xml:space="preserve"> must be &lt;15%</w:t>
            </w:r>
          </w:p>
        </w:tc>
        <w:tc>
          <w:tcPr>
            <w:tcW w:w="2694" w:type="pct"/>
            <w:shd w:val="clear" w:color="auto" w:fill="auto"/>
            <w:noWrap/>
          </w:tcPr>
          <w:p w14:paraId="2FA7A8BD" w14:textId="77777777" w:rsidR="00DC5685" w:rsidRPr="00A34F10" w:rsidRDefault="00DC5685" w:rsidP="00DC5685">
            <w:pPr>
              <w:spacing w:before="40" w:after="40"/>
              <w:rPr>
                <w:sz w:val="20"/>
                <w:szCs w:val="20"/>
              </w:rPr>
            </w:pPr>
            <w:r w:rsidRPr="00A34F10">
              <w:rPr>
                <w:sz w:val="20"/>
                <w:szCs w:val="20"/>
              </w:rPr>
              <w:t>6.9%</w:t>
            </w:r>
          </w:p>
        </w:tc>
      </w:tr>
    </w:tbl>
    <w:p w14:paraId="1D289C9E" w14:textId="77777777" w:rsidR="00DC5685" w:rsidRPr="00A34F10" w:rsidRDefault="00DC5685" w:rsidP="00E05ECD">
      <w:pPr>
        <w:numPr>
          <w:ilvl w:val="0"/>
          <w:numId w:val="102"/>
        </w:numPr>
        <w:spacing w:before="360"/>
        <w:ind w:left="357" w:hanging="357"/>
        <w:rPr>
          <w:b/>
          <w:bCs/>
          <w:caps/>
          <w:szCs w:val="24"/>
          <w:lang w:val="en-GB"/>
        </w:rPr>
      </w:pPr>
      <w:r w:rsidRPr="00A34F10">
        <w:rPr>
          <w:b/>
          <w:bCs/>
          <w:caps/>
          <w:szCs w:val="24"/>
          <w:lang w:val="en-GB"/>
        </w:rPr>
        <w:lastRenderedPageBreak/>
        <w:t>DEFICIENCIES</w:t>
      </w:r>
    </w:p>
    <w:p w14:paraId="3A0D180A" w14:textId="77777777" w:rsidR="00DC5685" w:rsidRPr="00A34F10" w:rsidRDefault="00DC5685" w:rsidP="00DC5685">
      <w:pPr>
        <w:ind w:left="357"/>
        <w:rPr>
          <w:b/>
          <w:bCs/>
          <w:caps/>
          <w:szCs w:val="24"/>
          <w:lang w:val="en-GB"/>
        </w:rPr>
      </w:pPr>
    </w:p>
    <w:p w14:paraId="23600BC8" w14:textId="77777777" w:rsidR="00DC5685" w:rsidRPr="00A34F10" w:rsidRDefault="00DC5685" w:rsidP="00DC5685">
      <w:pPr>
        <w:tabs>
          <w:tab w:val="left" w:pos="720"/>
        </w:tabs>
        <w:spacing w:after="240"/>
        <w:jc w:val="both"/>
        <w:rPr>
          <w:szCs w:val="24"/>
          <w:lang w:val="en-GB"/>
        </w:rPr>
      </w:pPr>
      <w:r w:rsidRPr="00A34F10">
        <w:rPr>
          <w:szCs w:val="24"/>
          <w:lang w:val="en-GB"/>
        </w:rPr>
        <w:t>There were no deficiencies.</w:t>
      </w:r>
    </w:p>
    <w:p w14:paraId="36B0AA75" w14:textId="77777777" w:rsidR="00DC5685" w:rsidRPr="00A34F10" w:rsidRDefault="00DC5685" w:rsidP="00DC5685">
      <w:pPr>
        <w:spacing w:after="240"/>
        <w:ind w:left="720" w:hanging="431"/>
        <w:jc w:val="center"/>
        <w:rPr>
          <w:b/>
          <w:bCs/>
          <w:caps/>
        </w:rPr>
      </w:pPr>
      <w:r w:rsidRPr="00A34F10">
        <w:rPr>
          <w:b/>
          <w:bCs/>
          <w:caps/>
        </w:rPr>
        <w:t>III.</w:t>
      </w:r>
      <w:r w:rsidRPr="00A34F10">
        <w:rPr>
          <w:b/>
          <w:bCs/>
          <w:caps/>
        </w:rPr>
        <w:tab/>
        <w:t>Conclusion</w:t>
      </w:r>
    </w:p>
    <w:p w14:paraId="32882A30" w14:textId="77777777" w:rsidR="00DC5685" w:rsidRPr="00727E54" w:rsidRDefault="00DC5685" w:rsidP="00DC5685">
      <w:pPr>
        <w:jc w:val="both"/>
        <w:rPr>
          <w:color w:val="000000"/>
        </w:rPr>
      </w:pPr>
      <w:r w:rsidRPr="00727E54">
        <w:rPr>
          <w:color w:val="000000"/>
          <w:lang w:val="en-GB"/>
        </w:rPr>
        <w:t>The effects of BAS 743 02 F on nitrogen transformation of soil microorganisms were determined over 28 days at two test item concentrations of 2.52 and 25.20 mg/kg product/kg soil dw, corresponding to application rates of 1.75 and 17.5 L product/ha, respectively. The test item caused no adverse effects (deviation from control &lt; 25 %) on soil nitrogen transformation of soil microorganisms (measured as NO</w:t>
      </w:r>
      <w:r w:rsidRPr="00727E54">
        <w:rPr>
          <w:color w:val="000000"/>
          <w:vertAlign w:val="subscript"/>
          <w:lang w:val="en-GB"/>
        </w:rPr>
        <w:t>3</w:t>
      </w:r>
      <w:r w:rsidRPr="00727E54">
        <w:rPr>
          <w:color w:val="000000"/>
          <w:lang w:val="en-GB"/>
        </w:rPr>
        <w:t xml:space="preserve"> production) in the field soil up to a test concentration of 25.20 mg/kg soil dw at the end of the 28-day incubation period</w:t>
      </w:r>
      <w:bookmarkEnd w:id="1189"/>
      <w:r w:rsidRPr="00727E54">
        <w:rPr>
          <w:color w:val="000000"/>
          <w:lang w:val="en-GB"/>
        </w:rPr>
        <w:t>.</w:t>
      </w:r>
    </w:p>
    <w:p w14:paraId="5B420D76" w14:textId="77777777" w:rsidR="00DC5685" w:rsidRPr="00A34F10" w:rsidRDefault="00DC5685" w:rsidP="002E7F42">
      <w:pPr>
        <w:pStyle w:val="StyleOECD-BASIS-TEXTLeft"/>
        <w:rPr>
          <w:sz w:val="22"/>
          <w:lang w:val="en-US"/>
        </w:rPr>
        <w:sectPr w:rsidR="00DC5685" w:rsidRPr="00A34F10" w:rsidSect="00D20BDB">
          <w:headerReference w:type="even" r:id="rId64"/>
          <w:footerReference w:type="even" r:id="rId65"/>
          <w:footerReference w:type="default" r:id="rId66"/>
          <w:headerReference w:type="first" r:id="rId67"/>
          <w:footerReference w:type="first" r:id="rId68"/>
          <w:pgSz w:w="11906" w:h="16838"/>
          <w:pgMar w:top="1418" w:right="1134" w:bottom="1134" w:left="1418" w:header="709" w:footer="709" w:gutter="0"/>
          <w:pgNumType w:chapSep="period"/>
          <w:cols w:space="708"/>
          <w:docGrid w:linePitch="360"/>
        </w:sectPr>
      </w:pPr>
    </w:p>
    <w:p w14:paraId="35914C0A" w14:textId="77777777" w:rsidR="00DC5685" w:rsidRPr="00A34F10" w:rsidRDefault="00DC5685" w:rsidP="00094125">
      <w:pPr>
        <w:pStyle w:val="RepAppendix2"/>
      </w:pPr>
      <w:bookmarkStart w:id="1192" w:name="_Toc413922106"/>
      <w:bookmarkStart w:id="1193" w:name="_Toc413922595"/>
      <w:bookmarkStart w:id="1194" w:name="_Toc413922699"/>
      <w:bookmarkStart w:id="1195" w:name="_Toc414955336"/>
      <w:bookmarkStart w:id="1196" w:name="_Toc415214643"/>
      <w:bookmarkStart w:id="1197" w:name="_Toc181625033"/>
      <w:r w:rsidRPr="00A34F10">
        <w:lastRenderedPageBreak/>
        <w:t xml:space="preserve">KCP 10.6 </w:t>
      </w:r>
      <w:r w:rsidRPr="00A34F10">
        <w:tab/>
        <w:t>Effects on terrestrial non-target higher plants</w:t>
      </w:r>
      <w:bookmarkEnd w:id="1192"/>
      <w:bookmarkEnd w:id="1193"/>
      <w:bookmarkEnd w:id="1194"/>
      <w:bookmarkEnd w:id="1195"/>
      <w:bookmarkEnd w:id="1196"/>
      <w:bookmarkEnd w:id="1197"/>
    </w:p>
    <w:p w14:paraId="221EFC25" w14:textId="77777777" w:rsidR="00DC5685" w:rsidRPr="00A34F10" w:rsidRDefault="00DC5685" w:rsidP="00094125">
      <w:pPr>
        <w:pStyle w:val="RepAppendix3"/>
      </w:pPr>
      <w:bookmarkStart w:id="1198" w:name="_Toc413922107"/>
      <w:bookmarkStart w:id="1199" w:name="_Toc413922596"/>
      <w:bookmarkStart w:id="1200" w:name="_Toc413922700"/>
      <w:bookmarkStart w:id="1201" w:name="_Toc414955337"/>
      <w:bookmarkStart w:id="1202" w:name="_Toc415214644"/>
      <w:bookmarkStart w:id="1203" w:name="_Toc181625034"/>
      <w:r w:rsidRPr="00A34F10">
        <w:t xml:space="preserve">KCP 10.6.1 </w:t>
      </w:r>
      <w:r w:rsidRPr="00A34F10">
        <w:tab/>
        <w:t>Summary of screening data</w:t>
      </w:r>
      <w:bookmarkEnd w:id="1198"/>
      <w:bookmarkEnd w:id="1199"/>
      <w:bookmarkEnd w:id="1200"/>
      <w:bookmarkEnd w:id="1201"/>
      <w:bookmarkEnd w:id="1202"/>
      <w:bookmarkEnd w:id="1203"/>
    </w:p>
    <w:p w14:paraId="19BBC91F" w14:textId="77777777" w:rsidR="00DC5685" w:rsidRPr="00A34F10" w:rsidRDefault="00DC5685" w:rsidP="0043407D">
      <w:pPr>
        <w:pStyle w:val="RepAppendix4"/>
      </w:pPr>
      <w:bookmarkStart w:id="1204" w:name="_Hlk43104551"/>
      <w:r w:rsidRPr="00A34F10">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4"/>
        <w:gridCol w:w="7300"/>
      </w:tblGrid>
      <w:tr w:rsidR="00DC5685" w:rsidRPr="00A34F10" w14:paraId="01E94554" w14:textId="77777777" w:rsidTr="000576ED">
        <w:tc>
          <w:tcPr>
            <w:tcW w:w="1094" w:type="pct"/>
            <w:shd w:val="clear" w:color="auto" w:fill="D9D9D9" w:themeFill="background1" w:themeFillShade="D9"/>
          </w:tcPr>
          <w:p w14:paraId="541F6E25" w14:textId="77777777" w:rsidR="00DC5685" w:rsidRPr="00A34F10" w:rsidRDefault="00DC5685" w:rsidP="00DC5685">
            <w:pPr>
              <w:widowControl w:val="0"/>
              <w:jc w:val="both"/>
              <w:rPr>
                <w:rFonts w:eastAsia="Batang"/>
                <w:color w:val="000000" w:themeColor="text1"/>
              </w:rPr>
            </w:pPr>
            <w:r w:rsidRPr="00A34F10">
              <w:rPr>
                <w:color w:val="000000" w:themeColor="text1"/>
              </w:rPr>
              <w:t>Comments of zRMS:</w:t>
            </w:r>
          </w:p>
        </w:tc>
        <w:tc>
          <w:tcPr>
            <w:tcW w:w="3906" w:type="pct"/>
            <w:shd w:val="clear" w:color="auto" w:fill="D9D9D9" w:themeFill="background1" w:themeFillShade="D9"/>
          </w:tcPr>
          <w:p w14:paraId="54D17102" w14:textId="55D39B55" w:rsidR="00DC5685" w:rsidRPr="00A34F10" w:rsidRDefault="000576ED" w:rsidP="00DC5685">
            <w:pPr>
              <w:widowControl w:val="0"/>
              <w:jc w:val="both"/>
              <w:rPr>
                <w:rFonts w:eastAsia="Batang"/>
                <w:color w:val="000000" w:themeColor="text1"/>
              </w:rPr>
            </w:pPr>
            <w:r w:rsidRPr="0037666C">
              <w:rPr>
                <w:rFonts w:eastAsia="Batang"/>
              </w:rPr>
              <w:t xml:space="preserve">The study was conducted to </w:t>
            </w:r>
            <w:r w:rsidRPr="00A34F10">
              <w:rPr>
                <w:lang w:val="en-GB"/>
              </w:rPr>
              <w:t>OECD 2</w:t>
            </w:r>
            <w:r>
              <w:rPr>
                <w:lang w:val="en-GB"/>
              </w:rPr>
              <w:t>08</w:t>
            </w:r>
            <w:r w:rsidRPr="00A34F10">
              <w:rPr>
                <w:lang w:val="en-GB"/>
              </w:rPr>
              <w:t xml:space="preserve">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bookmarkEnd w:id="1204"/>
    </w:tbl>
    <w:p w14:paraId="6D1554B2" w14:textId="77777777" w:rsidR="00DC5685" w:rsidRPr="00A34F10" w:rsidRDefault="00DC5685" w:rsidP="00DC5685">
      <w:pPr>
        <w:jc w:val="both"/>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7C7379B1" w14:textId="77777777" w:rsidTr="000470C3">
        <w:trPr>
          <w:trHeight w:val="227"/>
          <w:jc w:val="center"/>
        </w:trPr>
        <w:tc>
          <w:tcPr>
            <w:tcW w:w="1364" w:type="pct"/>
          </w:tcPr>
          <w:p w14:paraId="665F1ECF"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636" w:type="pct"/>
          </w:tcPr>
          <w:p w14:paraId="6A2DDC90" w14:textId="00DAA3C3" w:rsidR="00DC5685" w:rsidRPr="00A34F10" w:rsidRDefault="00DC5685" w:rsidP="00DC5685">
            <w:pPr>
              <w:keepNext/>
              <w:keepLines/>
              <w:tabs>
                <w:tab w:val="left" w:pos="360"/>
                <w:tab w:val="left" w:pos="720"/>
              </w:tabs>
              <w:spacing w:before="60" w:after="60"/>
              <w:jc w:val="both"/>
              <w:rPr>
                <w:lang w:val="en-GB"/>
              </w:rPr>
            </w:pPr>
            <w:r w:rsidRPr="00A34F10">
              <w:rPr>
                <w:lang w:val="en-GB"/>
              </w:rPr>
              <w:t>CP 10.6</w:t>
            </w:r>
            <w:r w:rsidR="00C31BC1">
              <w:rPr>
                <w:lang w:val="en-GB"/>
              </w:rPr>
              <w:t>.1</w:t>
            </w:r>
            <w:r w:rsidRPr="00A34F10">
              <w:rPr>
                <w:lang w:val="en-GB"/>
              </w:rPr>
              <w:t>/01</w:t>
            </w:r>
          </w:p>
        </w:tc>
      </w:tr>
      <w:tr w:rsidR="00DC5685" w:rsidRPr="00A34F10" w14:paraId="69AC6E77" w14:textId="77777777" w:rsidTr="000470C3">
        <w:trPr>
          <w:trHeight w:val="227"/>
          <w:jc w:val="center"/>
        </w:trPr>
        <w:tc>
          <w:tcPr>
            <w:tcW w:w="1364" w:type="pct"/>
          </w:tcPr>
          <w:p w14:paraId="75108564"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15DA448B" w14:textId="77777777" w:rsidR="00DC5685" w:rsidRPr="00A34F10" w:rsidRDefault="00DC5685" w:rsidP="00DC5685">
            <w:pPr>
              <w:widowControl w:val="0"/>
              <w:spacing w:after="120"/>
              <w:jc w:val="both"/>
            </w:pPr>
            <w:r w:rsidRPr="00A34F10">
              <w:t>Effect of BAS 743 02 F on seedling emergence and seedling growth of several species of terrestrial plants under greenhouse conditions</w:t>
            </w:r>
          </w:p>
          <w:p w14:paraId="71843BAB" w14:textId="77777777" w:rsidR="00DC5685" w:rsidRPr="00A34F10" w:rsidRDefault="00DC5685" w:rsidP="00DC5685">
            <w:pPr>
              <w:widowControl w:val="0"/>
              <w:spacing w:after="120"/>
              <w:jc w:val="both"/>
            </w:pPr>
            <w:r w:rsidRPr="00A34F10">
              <w:t>Maleck, A., 2023a</w:t>
            </w:r>
          </w:p>
          <w:p w14:paraId="78F211A5" w14:textId="3D7F7DBD" w:rsidR="00DC5685" w:rsidRPr="00A34F10" w:rsidRDefault="00D007AB" w:rsidP="00DC5685">
            <w:pPr>
              <w:widowControl w:val="0"/>
              <w:spacing w:after="120"/>
              <w:jc w:val="both"/>
            </w:pPr>
            <w:r>
              <w:t>XXXX</w:t>
            </w:r>
            <w:r w:rsidR="00DC5685" w:rsidRPr="00A34F10">
              <w:t xml:space="preserve"> Study ID:</w:t>
            </w:r>
            <w:r w:rsidR="00DC5685" w:rsidRPr="00A34F10">
              <w:rPr>
                <w:lang w:val="en-GB"/>
              </w:rPr>
              <w:t xml:space="preserve"> 933752-13</w:t>
            </w:r>
          </w:p>
          <w:p w14:paraId="799BD0F6" w14:textId="5BC34A9E" w:rsidR="00DC5685" w:rsidRPr="00A34F10" w:rsidRDefault="00D007AB"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2022/2033722</w:t>
            </w:r>
          </w:p>
        </w:tc>
      </w:tr>
      <w:tr w:rsidR="00DC5685" w:rsidRPr="00A34F10" w14:paraId="59559BC6" w14:textId="77777777" w:rsidTr="000470C3">
        <w:trPr>
          <w:trHeight w:val="227"/>
          <w:jc w:val="center"/>
        </w:trPr>
        <w:tc>
          <w:tcPr>
            <w:tcW w:w="1364" w:type="pct"/>
          </w:tcPr>
          <w:p w14:paraId="1716CA3D"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60593510" w14:textId="77777777" w:rsidR="00DC5685" w:rsidRPr="00A34F10" w:rsidRDefault="00DC5685" w:rsidP="00DC5685">
            <w:pPr>
              <w:widowControl w:val="0"/>
              <w:spacing w:after="120"/>
              <w:jc w:val="both"/>
            </w:pPr>
            <w:r w:rsidRPr="00A34F10">
              <w:t>OECD 208 (2006); OCSPP 850.4100 (2012)</w:t>
            </w:r>
          </w:p>
        </w:tc>
      </w:tr>
      <w:tr w:rsidR="00DC5685" w:rsidRPr="00A34F10" w14:paraId="68E9A043" w14:textId="77777777" w:rsidTr="000470C3">
        <w:trPr>
          <w:trHeight w:val="227"/>
          <w:jc w:val="center"/>
        </w:trPr>
        <w:tc>
          <w:tcPr>
            <w:tcW w:w="1364" w:type="pct"/>
          </w:tcPr>
          <w:p w14:paraId="4445E986"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491C976A" w14:textId="77777777" w:rsidR="00DC5685" w:rsidRPr="00A34F10" w:rsidRDefault="00DC5685" w:rsidP="00DC5685">
            <w:pPr>
              <w:widowControl w:val="0"/>
              <w:spacing w:after="120"/>
              <w:jc w:val="both"/>
              <w:rPr>
                <w:lang w:val="en-GB"/>
              </w:rPr>
            </w:pPr>
            <w:r w:rsidRPr="00A34F10">
              <w:t>No</w:t>
            </w:r>
          </w:p>
        </w:tc>
      </w:tr>
      <w:tr w:rsidR="00DC5685" w:rsidRPr="00A34F10" w14:paraId="53CF0077" w14:textId="77777777" w:rsidTr="000470C3">
        <w:trPr>
          <w:trHeight w:val="227"/>
          <w:jc w:val="center"/>
        </w:trPr>
        <w:tc>
          <w:tcPr>
            <w:tcW w:w="1364" w:type="pct"/>
          </w:tcPr>
          <w:p w14:paraId="65B6139D"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151B4FBF"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797D7250" w14:textId="77777777" w:rsidTr="000470C3">
        <w:trPr>
          <w:trHeight w:val="227"/>
          <w:jc w:val="center"/>
        </w:trPr>
        <w:tc>
          <w:tcPr>
            <w:tcW w:w="1364" w:type="pct"/>
          </w:tcPr>
          <w:p w14:paraId="4751CA45"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27C98844" w14:textId="77777777" w:rsidR="00DC5685" w:rsidRPr="00A34F10" w:rsidRDefault="00DC5685" w:rsidP="00DC5685">
            <w:pPr>
              <w:widowControl w:val="0"/>
              <w:spacing w:after="120"/>
              <w:jc w:val="both"/>
              <w:rPr>
                <w:lang w:val="en-GB"/>
              </w:rPr>
            </w:pPr>
            <w:r w:rsidRPr="00A34F10">
              <w:rPr>
                <w:lang w:val="en-GB"/>
              </w:rPr>
              <w:t>Yes</w:t>
            </w:r>
          </w:p>
        </w:tc>
      </w:tr>
    </w:tbl>
    <w:p w14:paraId="5C97708E" w14:textId="77777777" w:rsidR="00DC5685" w:rsidRPr="00A34F10" w:rsidRDefault="00DC5685" w:rsidP="00DC5685">
      <w:pPr>
        <w:widowControl w:val="0"/>
        <w:jc w:val="both"/>
        <w:rPr>
          <w:color w:val="000000" w:themeColor="text1"/>
        </w:rPr>
      </w:pPr>
    </w:p>
    <w:p w14:paraId="38C5DD6A" w14:textId="77777777" w:rsidR="00DC5685" w:rsidRPr="00A34F10" w:rsidRDefault="00DC5685" w:rsidP="00DC5685">
      <w:pPr>
        <w:rPr>
          <w:b/>
          <w:color w:val="000000" w:themeColor="text1"/>
        </w:rPr>
      </w:pPr>
      <w:r w:rsidRPr="00A34F10">
        <w:rPr>
          <w:b/>
          <w:color w:val="000000" w:themeColor="text1"/>
        </w:rPr>
        <w:t>Executive Summary</w:t>
      </w:r>
    </w:p>
    <w:p w14:paraId="19CBFF94" w14:textId="77777777" w:rsidR="00DC5685" w:rsidRPr="00A34F10" w:rsidRDefault="00DC5685" w:rsidP="00DC5685">
      <w:pPr>
        <w:rPr>
          <w:b/>
          <w:color w:val="000000" w:themeColor="text1"/>
        </w:rPr>
      </w:pPr>
    </w:p>
    <w:p w14:paraId="4218A2F6" w14:textId="77777777" w:rsidR="00DC5685" w:rsidRPr="00A34F10" w:rsidRDefault="00DC5685" w:rsidP="00DC5685">
      <w:pPr>
        <w:spacing w:after="120"/>
        <w:jc w:val="both"/>
      </w:pPr>
      <w:r w:rsidRPr="00A34F10">
        <w:t>The effects of pre-emergence exposure of BAS 743 02 F on seedling emergence and growth of six dicotyledonous and four monocotyledonous plant species were tested in a limit test design. BAS 743 02 F was applied pre-emergence shortly after sowing at 3.85 L product/ha. A control (tap water only) was tested in parallel. Plants were cultivated for 21 days under greenhouse conditions. Based on the results of this study, it can be concluded that the fungicide BAS 743 02 F applied at a rate of 3.85 L product/ha did not cause effects on seedling emergence, plant survival, visual phytotoxicity, plant development (BBCH), plant length and plant dry biomass of the tested plant species.</w:t>
      </w:r>
    </w:p>
    <w:p w14:paraId="46309B2C" w14:textId="2D062E60" w:rsidR="00064B77" w:rsidRDefault="00DC5685" w:rsidP="00DC5685">
      <w:pPr>
        <w:jc w:val="both"/>
      </w:pPr>
      <w:r w:rsidRPr="00A34F10">
        <w:t>For all tested species an ER</w:t>
      </w:r>
      <w:r w:rsidRPr="00A34F10">
        <w:rPr>
          <w:vertAlign w:val="subscript"/>
        </w:rPr>
        <w:t>50</w:t>
      </w:r>
      <w:r w:rsidRPr="00A34F10">
        <w:t xml:space="preserve"> &gt; 3.85 L/ha based on the aforementioned endpoints was determined.</w:t>
      </w:r>
    </w:p>
    <w:p w14:paraId="5777E12C" w14:textId="77777777" w:rsidR="00DC5685" w:rsidRPr="00A34F10" w:rsidRDefault="00DC5685" w:rsidP="00DC5685">
      <w:pPr>
        <w:jc w:val="both"/>
      </w:pPr>
    </w:p>
    <w:p w14:paraId="51BDBEBA" w14:textId="77777777" w:rsidR="00DC5685" w:rsidRPr="00A34F10" w:rsidRDefault="00DC5685" w:rsidP="00E05ECD">
      <w:pPr>
        <w:numPr>
          <w:ilvl w:val="0"/>
          <w:numId w:val="103"/>
        </w:numPr>
        <w:spacing w:before="240"/>
        <w:ind w:left="1077"/>
        <w:jc w:val="center"/>
        <w:rPr>
          <w:b/>
        </w:rPr>
      </w:pPr>
      <w:r w:rsidRPr="00A34F10">
        <w:rPr>
          <w:b/>
        </w:rPr>
        <w:t>MATERIALS AND METHODS</w:t>
      </w:r>
    </w:p>
    <w:p w14:paraId="774AB3F1" w14:textId="77777777" w:rsidR="00DC5685" w:rsidRPr="00A34F10" w:rsidRDefault="00DC5685" w:rsidP="00E05ECD">
      <w:pPr>
        <w:numPr>
          <w:ilvl w:val="0"/>
          <w:numId w:val="16"/>
        </w:numPr>
        <w:tabs>
          <w:tab w:val="left" w:pos="0"/>
        </w:tabs>
        <w:ind w:left="357" w:hanging="357"/>
        <w:contextualSpacing/>
        <w:rPr>
          <w:b/>
          <w:bCs/>
          <w:caps/>
        </w:rPr>
      </w:pPr>
      <w:r w:rsidRPr="00A34F10">
        <w:rPr>
          <w:b/>
          <w:bCs/>
          <w:caps/>
        </w:rPr>
        <w:t>MATERIALS</w:t>
      </w:r>
    </w:p>
    <w:p w14:paraId="07E6249B" w14:textId="77777777" w:rsidR="00DC5685" w:rsidRPr="00A34F10" w:rsidRDefault="00DC5685" w:rsidP="00DC5685">
      <w:pPr>
        <w:ind w:left="1080" w:right="-144"/>
        <w:rPr>
          <w:b/>
        </w:rPr>
      </w:pPr>
    </w:p>
    <w:tbl>
      <w:tblPr>
        <w:tblW w:w="0" w:type="auto"/>
        <w:tblLook w:val="04A0" w:firstRow="1" w:lastRow="0" w:firstColumn="1" w:lastColumn="0" w:noHBand="0" w:noVBand="1"/>
      </w:tblPr>
      <w:tblGrid>
        <w:gridCol w:w="3964"/>
        <w:gridCol w:w="5386"/>
      </w:tblGrid>
      <w:tr w:rsidR="00DC5685" w:rsidRPr="00A34F10" w14:paraId="092384DC" w14:textId="77777777" w:rsidTr="000470C3">
        <w:trPr>
          <w:cantSplit/>
          <w:trHeight w:val="340"/>
        </w:trPr>
        <w:tc>
          <w:tcPr>
            <w:tcW w:w="3964" w:type="dxa"/>
          </w:tcPr>
          <w:p w14:paraId="2317121F" w14:textId="77777777" w:rsidR="00DC5685" w:rsidRPr="00A34F10" w:rsidRDefault="00DC5685" w:rsidP="00E05ECD">
            <w:pPr>
              <w:numPr>
                <w:ilvl w:val="0"/>
                <w:numId w:val="104"/>
              </w:numPr>
              <w:tabs>
                <w:tab w:val="left" w:pos="255"/>
              </w:tabs>
              <w:contextualSpacing/>
              <w:rPr>
                <w:b/>
                <w:bCs/>
              </w:rPr>
            </w:pPr>
            <w:r w:rsidRPr="00A34F10">
              <w:rPr>
                <w:b/>
                <w:bCs/>
              </w:rPr>
              <w:t>Test item:</w:t>
            </w:r>
          </w:p>
        </w:tc>
        <w:tc>
          <w:tcPr>
            <w:tcW w:w="5386" w:type="dxa"/>
            <w:vAlign w:val="center"/>
          </w:tcPr>
          <w:p w14:paraId="471EF180" w14:textId="77777777" w:rsidR="00DC5685" w:rsidRPr="00A34F10" w:rsidRDefault="00DC5685" w:rsidP="00DC5685">
            <w:pPr>
              <w:tabs>
                <w:tab w:val="left" w:pos="720"/>
              </w:tabs>
              <w:spacing w:before="20" w:after="20"/>
              <w:jc w:val="both"/>
              <w:rPr>
                <w:lang w:val="en-GB"/>
              </w:rPr>
            </w:pPr>
            <w:r w:rsidRPr="00A34F10">
              <w:rPr>
                <w:lang w:val="en-GB"/>
              </w:rPr>
              <w:t>BAS 743 02 F</w:t>
            </w:r>
          </w:p>
        </w:tc>
      </w:tr>
      <w:tr w:rsidR="00DC5685" w:rsidRPr="00A34F10" w14:paraId="339E268C" w14:textId="77777777" w:rsidTr="000470C3">
        <w:trPr>
          <w:cantSplit/>
          <w:trHeight w:val="340"/>
        </w:trPr>
        <w:tc>
          <w:tcPr>
            <w:tcW w:w="3964" w:type="dxa"/>
          </w:tcPr>
          <w:p w14:paraId="32AC98BB" w14:textId="77777777" w:rsidR="00DC5685" w:rsidRPr="00A34F10" w:rsidRDefault="00DC5685" w:rsidP="00DC5685">
            <w:pPr>
              <w:numPr>
                <w:ilvl w:val="3"/>
                <w:numId w:val="0"/>
              </w:numPr>
              <w:tabs>
                <w:tab w:val="left" w:pos="0"/>
                <w:tab w:val="left" w:pos="624"/>
              </w:tabs>
              <w:ind w:left="1068" w:hanging="359"/>
              <w:contextualSpacing/>
              <w:rPr>
                <w:b/>
                <w:bCs/>
              </w:rPr>
            </w:pPr>
            <w:r w:rsidRPr="00A34F10">
              <w:rPr>
                <w:b/>
                <w:bCs/>
                <w:lang w:val="en-GB"/>
              </w:rPr>
              <w:t>Active substance content:</w:t>
            </w:r>
          </w:p>
        </w:tc>
        <w:tc>
          <w:tcPr>
            <w:tcW w:w="5386" w:type="dxa"/>
            <w:vAlign w:val="center"/>
          </w:tcPr>
          <w:p w14:paraId="226C093D" w14:textId="77777777" w:rsidR="00DC5685" w:rsidRPr="00A34F10" w:rsidRDefault="00DC5685" w:rsidP="00DC5685">
            <w:pPr>
              <w:tabs>
                <w:tab w:val="left" w:pos="720"/>
              </w:tabs>
              <w:spacing w:line="276" w:lineRule="auto"/>
              <w:rPr>
                <w:szCs w:val="24"/>
              </w:rPr>
            </w:pPr>
            <w:r w:rsidRPr="00A34F10">
              <w:rPr>
                <w:szCs w:val="24"/>
              </w:rPr>
              <w:t>Propamocarb: nominal 432.0 g/L, analysed 431.0 g/L;</w:t>
            </w:r>
          </w:p>
          <w:p w14:paraId="25AB31B1" w14:textId="77777777" w:rsidR="00DC5685" w:rsidRPr="00A34F10" w:rsidRDefault="00DC5685" w:rsidP="00DC5685">
            <w:pPr>
              <w:tabs>
                <w:tab w:val="left" w:pos="720"/>
              </w:tabs>
              <w:spacing w:before="20" w:after="20"/>
              <w:jc w:val="both"/>
              <w:rPr>
                <w:lang w:val="en-GB"/>
              </w:rPr>
            </w:pPr>
            <w:r w:rsidRPr="00A34F10">
              <w:rPr>
                <w:szCs w:val="24"/>
                <w:lang w:val="en-GB"/>
              </w:rPr>
              <w:t>Ametoctradin: nominal 137.14 g/L, analysed 137.7 g/L</w:t>
            </w:r>
          </w:p>
        </w:tc>
      </w:tr>
      <w:tr w:rsidR="00DC5685" w:rsidRPr="00A34F10" w14:paraId="2DF8AB76" w14:textId="77777777" w:rsidTr="000470C3">
        <w:trPr>
          <w:cantSplit/>
          <w:trHeight w:val="340"/>
        </w:trPr>
        <w:tc>
          <w:tcPr>
            <w:tcW w:w="3964" w:type="dxa"/>
          </w:tcPr>
          <w:p w14:paraId="55399B21"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Description:</w:t>
            </w:r>
          </w:p>
        </w:tc>
        <w:tc>
          <w:tcPr>
            <w:tcW w:w="5386" w:type="dxa"/>
          </w:tcPr>
          <w:p w14:paraId="1E012BC3" w14:textId="77777777" w:rsidR="00DC5685" w:rsidRPr="00A34F10" w:rsidRDefault="00DC5685" w:rsidP="00DC5685">
            <w:pPr>
              <w:tabs>
                <w:tab w:val="left" w:pos="720"/>
              </w:tabs>
              <w:spacing w:before="20" w:after="20"/>
              <w:jc w:val="both"/>
              <w:rPr>
                <w:lang w:val="en-GB"/>
              </w:rPr>
            </w:pPr>
            <w:r w:rsidRPr="00A34F10">
              <w:rPr>
                <w:szCs w:val="24"/>
                <w:lang w:val="en-GB"/>
              </w:rPr>
              <w:t>Liquid</w:t>
            </w:r>
          </w:p>
        </w:tc>
      </w:tr>
      <w:tr w:rsidR="00DC5685" w:rsidRPr="00A34F10" w14:paraId="0F84A32C" w14:textId="77777777" w:rsidTr="000470C3">
        <w:trPr>
          <w:cantSplit/>
          <w:trHeight w:val="340"/>
        </w:trPr>
        <w:tc>
          <w:tcPr>
            <w:tcW w:w="3964" w:type="dxa"/>
          </w:tcPr>
          <w:p w14:paraId="37D69C9E"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Lot/Batch:</w:t>
            </w:r>
          </w:p>
        </w:tc>
        <w:tc>
          <w:tcPr>
            <w:tcW w:w="5386" w:type="dxa"/>
          </w:tcPr>
          <w:p w14:paraId="3F432F91" w14:textId="77777777" w:rsidR="00DC5685" w:rsidRPr="00A34F10" w:rsidRDefault="00DC5685" w:rsidP="00DC5685">
            <w:pPr>
              <w:tabs>
                <w:tab w:val="left" w:pos="720"/>
              </w:tabs>
              <w:spacing w:before="20" w:after="20"/>
              <w:jc w:val="both"/>
              <w:rPr>
                <w:lang w:val="en-GB"/>
              </w:rPr>
            </w:pPr>
            <w:r w:rsidRPr="00A34F10">
              <w:rPr>
                <w:lang w:val="en-GB"/>
              </w:rPr>
              <w:t>FRE-002224</w:t>
            </w:r>
          </w:p>
        </w:tc>
      </w:tr>
      <w:tr w:rsidR="00DC5685" w:rsidRPr="00A34F10" w14:paraId="4925757E" w14:textId="77777777" w:rsidTr="000470C3">
        <w:trPr>
          <w:cantSplit/>
          <w:trHeight w:val="340"/>
        </w:trPr>
        <w:tc>
          <w:tcPr>
            <w:tcW w:w="3964" w:type="dxa"/>
          </w:tcPr>
          <w:p w14:paraId="6E748C20"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Density:</w:t>
            </w:r>
          </w:p>
        </w:tc>
        <w:tc>
          <w:tcPr>
            <w:tcW w:w="5386" w:type="dxa"/>
          </w:tcPr>
          <w:p w14:paraId="083089DC" w14:textId="77777777" w:rsidR="00DC5685" w:rsidRPr="00A34F10" w:rsidRDefault="00DC5685" w:rsidP="00DC5685">
            <w:pPr>
              <w:tabs>
                <w:tab w:val="left" w:pos="720"/>
              </w:tabs>
              <w:spacing w:before="20" w:after="20"/>
              <w:jc w:val="both"/>
              <w:rPr>
                <w:lang w:val="en-GB"/>
              </w:rPr>
            </w:pPr>
            <w:r w:rsidRPr="00A34F10">
              <w:rPr>
                <w:lang w:val="en-GB"/>
              </w:rPr>
              <w:t>1.080 g/cm³</w:t>
            </w:r>
          </w:p>
        </w:tc>
      </w:tr>
      <w:tr w:rsidR="00DC5685" w:rsidRPr="00A34F10" w14:paraId="500F6B61" w14:textId="77777777" w:rsidTr="000470C3">
        <w:trPr>
          <w:cantSplit/>
          <w:trHeight w:val="340"/>
        </w:trPr>
        <w:tc>
          <w:tcPr>
            <w:tcW w:w="3964" w:type="dxa"/>
          </w:tcPr>
          <w:p w14:paraId="3D1941EF" w14:textId="77777777" w:rsidR="00DC5685" w:rsidRPr="00A34F10" w:rsidRDefault="00DC5685" w:rsidP="00E05ECD">
            <w:pPr>
              <w:numPr>
                <w:ilvl w:val="0"/>
                <w:numId w:val="104"/>
              </w:numPr>
              <w:tabs>
                <w:tab w:val="left" w:pos="255"/>
              </w:tabs>
              <w:contextualSpacing/>
              <w:rPr>
                <w:b/>
                <w:bCs/>
              </w:rPr>
            </w:pPr>
            <w:r w:rsidRPr="00A34F10">
              <w:rPr>
                <w:b/>
                <w:bCs/>
              </w:rPr>
              <w:t>Control:</w:t>
            </w:r>
          </w:p>
        </w:tc>
        <w:tc>
          <w:tcPr>
            <w:tcW w:w="5386" w:type="dxa"/>
          </w:tcPr>
          <w:p w14:paraId="0D033B87" w14:textId="77777777" w:rsidR="00DC5685" w:rsidRPr="00A34F10" w:rsidRDefault="00DC5685" w:rsidP="00DC5685">
            <w:pPr>
              <w:tabs>
                <w:tab w:val="left" w:pos="720"/>
              </w:tabs>
              <w:spacing w:before="20" w:after="20"/>
              <w:rPr>
                <w:lang w:val="en-GB"/>
              </w:rPr>
            </w:pPr>
            <w:r w:rsidRPr="00A34F10">
              <w:rPr>
                <w:lang w:val="en-GB"/>
              </w:rPr>
              <w:t>Tap water</w:t>
            </w:r>
          </w:p>
        </w:tc>
      </w:tr>
    </w:tbl>
    <w:p w14:paraId="7A97510F" w14:textId="72623566" w:rsidR="008B2055" w:rsidRDefault="008B2055" w:rsidP="00DC5685">
      <w:pPr>
        <w:rPr>
          <w:b/>
          <w:highlight w:val="yellow"/>
        </w:rPr>
      </w:pPr>
    </w:p>
    <w:p w14:paraId="1B7F0151" w14:textId="77777777" w:rsidR="00DC5685" w:rsidRPr="00A34F10" w:rsidRDefault="00DC5685" w:rsidP="00DC5685">
      <w:pPr>
        <w:rPr>
          <w:b/>
          <w:highlight w:val="yellow"/>
        </w:rPr>
      </w:pPr>
    </w:p>
    <w:p w14:paraId="1A0DB113" w14:textId="77777777" w:rsidR="00DC5685" w:rsidRPr="00A34F10" w:rsidRDefault="00DC5685" w:rsidP="00DC5685">
      <w:pPr>
        <w:tabs>
          <w:tab w:val="left" w:pos="0"/>
        </w:tabs>
        <w:contextualSpacing/>
        <w:rPr>
          <w:bCs/>
          <w:caps/>
        </w:rPr>
      </w:pPr>
      <w:r w:rsidRPr="00A34F10">
        <w:rPr>
          <w:b/>
          <w:bCs/>
          <w:caps/>
          <w:lang w:eastAsia="de-DE"/>
        </w:rPr>
        <w:lastRenderedPageBreak/>
        <w:t>B.</w:t>
      </w:r>
      <w:r w:rsidRPr="00A34F10">
        <w:rPr>
          <w:b/>
          <w:bCs/>
          <w:caps/>
          <w:lang w:eastAsia="de-DE"/>
        </w:rPr>
        <w:tab/>
        <w:t xml:space="preserve">STUDY </w:t>
      </w:r>
      <w:r w:rsidRPr="00A34F10">
        <w:rPr>
          <w:b/>
          <w:bCs/>
          <w:caps/>
        </w:rPr>
        <w:t>DESIGN</w:t>
      </w:r>
      <w:r w:rsidRPr="00A34F10">
        <w:rPr>
          <w:b/>
          <w:bCs/>
          <w:caps/>
          <w:lang w:eastAsia="de-DE"/>
        </w:rPr>
        <w:t xml:space="preserve"> AND METHODS</w:t>
      </w:r>
    </w:p>
    <w:p w14:paraId="1A4EECDD" w14:textId="77777777" w:rsidR="00DC5685" w:rsidRPr="00A34F10" w:rsidRDefault="00DC5685" w:rsidP="00DC5685">
      <w:pPr>
        <w:keepNext/>
        <w:keepLines/>
        <w:widowControl w:val="0"/>
        <w:ind w:left="284" w:hanging="284"/>
      </w:pPr>
    </w:p>
    <w:tbl>
      <w:tblPr>
        <w:tblW w:w="0" w:type="auto"/>
        <w:tblLook w:val="04A0" w:firstRow="1" w:lastRow="0" w:firstColumn="1" w:lastColumn="0" w:noHBand="0" w:noVBand="1"/>
      </w:tblPr>
      <w:tblGrid>
        <w:gridCol w:w="3964"/>
        <w:gridCol w:w="5386"/>
      </w:tblGrid>
      <w:tr w:rsidR="00DC5685" w:rsidRPr="00A34F10" w14:paraId="03FFB738" w14:textId="77777777" w:rsidTr="000470C3">
        <w:trPr>
          <w:trHeight w:val="340"/>
        </w:trPr>
        <w:tc>
          <w:tcPr>
            <w:tcW w:w="3964" w:type="dxa"/>
          </w:tcPr>
          <w:p w14:paraId="60E18E49" w14:textId="77777777" w:rsidR="00DC5685" w:rsidRPr="00A34F10" w:rsidRDefault="00DC5685" w:rsidP="00E05ECD">
            <w:pPr>
              <w:numPr>
                <w:ilvl w:val="0"/>
                <w:numId w:val="105"/>
              </w:numPr>
              <w:tabs>
                <w:tab w:val="left" w:pos="255"/>
              </w:tabs>
              <w:contextualSpacing/>
              <w:rPr>
                <w:b/>
                <w:bCs/>
              </w:rPr>
            </w:pPr>
            <w:r w:rsidRPr="00A34F10">
              <w:rPr>
                <w:b/>
              </w:rPr>
              <w:t>Test soil:</w:t>
            </w:r>
          </w:p>
        </w:tc>
        <w:tc>
          <w:tcPr>
            <w:tcW w:w="5386" w:type="dxa"/>
          </w:tcPr>
          <w:p w14:paraId="481C629B" w14:textId="77777777" w:rsidR="00DC5685" w:rsidRPr="00A34F10" w:rsidRDefault="00DC5685" w:rsidP="00DC5685">
            <w:pPr>
              <w:tabs>
                <w:tab w:val="left" w:pos="720"/>
              </w:tabs>
              <w:spacing w:before="20" w:after="20"/>
              <w:jc w:val="both"/>
              <w:rPr>
                <w:lang w:val="en-GB"/>
              </w:rPr>
            </w:pPr>
          </w:p>
        </w:tc>
      </w:tr>
      <w:tr w:rsidR="00DC5685" w:rsidRPr="00A34F10" w14:paraId="0A9D3AE1" w14:textId="77777777" w:rsidTr="000470C3">
        <w:trPr>
          <w:trHeight w:val="340"/>
        </w:trPr>
        <w:tc>
          <w:tcPr>
            <w:tcW w:w="3964" w:type="dxa"/>
          </w:tcPr>
          <w:p w14:paraId="042489D5"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 xml:space="preserve">Soil type: </w:t>
            </w:r>
          </w:p>
        </w:tc>
        <w:tc>
          <w:tcPr>
            <w:tcW w:w="5386" w:type="dxa"/>
          </w:tcPr>
          <w:p w14:paraId="08C8637C" w14:textId="77777777" w:rsidR="00DC5685" w:rsidRPr="00A34F10" w:rsidRDefault="00DC5685" w:rsidP="00DC5685">
            <w:pPr>
              <w:tabs>
                <w:tab w:val="left" w:pos="720"/>
              </w:tabs>
              <w:spacing w:before="20" w:after="20"/>
              <w:jc w:val="both"/>
              <w:rPr>
                <w:lang w:val="en-GB"/>
              </w:rPr>
            </w:pPr>
            <w:r w:rsidRPr="00A34F10">
              <w:rPr>
                <w:szCs w:val="24"/>
                <w:lang w:val="en-GB"/>
              </w:rPr>
              <w:t>Natural soil (poor silty sand)</w:t>
            </w:r>
          </w:p>
        </w:tc>
      </w:tr>
      <w:tr w:rsidR="00DC5685" w:rsidRPr="00A34F10" w14:paraId="3BD6BCA5" w14:textId="77777777" w:rsidTr="000470C3">
        <w:trPr>
          <w:trHeight w:val="340"/>
        </w:trPr>
        <w:tc>
          <w:tcPr>
            <w:tcW w:w="3964" w:type="dxa"/>
          </w:tcPr>
          <w:p w14:paraId="4CE8915F"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Particle size distribution:</w:t>
            </w:r>
          </w:p>
        </w:tc>
        <w:tc>
          <w:tcPr>
            <w:tcW w:w="5386" w:type="dxa"/>
          </w:tcPr>
          <w:p w14:paraId="111DB5DE" w14:textId="77777777" w:rsidR="00DC5685" w:rsidRPr="00A34F10" w:rsidRDefault="00DC5685" w:rsidP="00DC5685">
            <w:pPr>
              <w:tabs>
                <w:tab w:val="left" w:pos="720"/>
              </w:tabs>
              <w:spacing w:before="20" w:after="20"/>
              <w:jc w:val="both"/>
              <w:rPr>
                <w:szCs w:val="24"/>
                <w:lang w:val="en-GB"/>
              </w:rPr>
            </w:pPr>
            <w:r w:rsidRPr="00A34F10">
              <w:rPr>
                <w:szCs w:val="24"/>
              </w:rPr>
              <w:t>4.9% &lt;2 µm, 20.2% 2-63 µm, 75.0% &gt;63 µm</w:t>
            </w:r>
          </w:p>
        </w:tc>
      </w:tr>
      <w:tr w:rsidR="00DC5685" w:rsidRPr="00A34F10" w14:paraId="726292C1" w14:textId="77777777" w:rsidTr="000470C3">
        <w:trPr>
          <w:trHeight w:val="340"/>
        </w:trPr>
        <w:tc>
          <w:tcPr>
            <w:tcW w:w="3964" w:type="dxa"/>
          </w:tcPr>
          <w:p w14:paraId="380FEC38"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Total organic carbon:</w:t>
            </w:r>
          </w:p>
        </w:tc>
        <w:tc>
          <w:tcPr>
            <w:tcW w:w="5386" w:type="dxa"/>
          </w:tcPr>
          <w:p w14:paraId="55E5F7DC" w14:textId="77777777" w:rsidR="00DC5685" w:rsidRPr="00A34F10" w:rsidRDefault="00DC5685" w:rsidP="00DC5685">
            <w:pPr>
              <w:tabs>
                <w:tab w:val="left" w:pos="720"/>
              </w:tabs>
              <w:spacing w:before="20" w:after="20"/>
              <w:jc w:val="both"/>
              <w:rPr>
                <w:szCs w:val="24"/>
              </w:rPr>
            </w:pPr>
            <w:r w:rsidRPr="00A34F10">
              <w:rPr>
                <w:szCs w:val="24"/>
              </w:rPr>
              <w:t>0.8%</w:t>
            </w:r>
          </w:p>
        </w:tc>
      </w:tr>
      <w:tr w:rsidR="00DC5685" w:rsidRPr="00A34F10" w14:paraId="40AA235F" w14:textId="77777777" w:rsidTr="000470C3">
        <w:trPr>
          <w:trHeight w:val="340"/>
        </w:trPr>
        <w:tc>
          <w:tcPr>
            <w:tcW w:w="3964" w:type="dxa"/>
          </w:tcPr>
          <w:p w14:paraId="4AA4DC2A" w14:textId="77777777" w:rsidR="00DC5685" w:rsidRPr="00A34F10" w:rsidRDefault="00DC5685" w:rsidP="00DC5685">
            <w:pPr>
              <w:numPr>
                <w:ilvl w:val="3"/>
                <w:numId w:val="0"/>
              </w:numPr>
              <w:tabs>
                <w:tab w:val="left" w:pos="0"/>
                <w:tab w:val="left" w:pos="624"/>
              </w:tabs>
              <w:ind w:left="1068" w:hanging="359"/>
              <w:contextualSpacing/>
              <w:rPr>
                <w:b/>
                <w:bCs/>
                <w:color w:val="000000" w:themeColor="text1"/>
                <w:lang w:val="en-GB"/>
              </w:rPr>
            </w:pPr>
            <w:r w:rsidRPr="00A34F10">
              <w:rPr>
                <w:b/>
                <w:bCs/>
                <w:color w:val="000000" w:themeColor="text1"/>
                <w:lang w:val="en-GB"/>
              </w:rPr>
              <w:t>pH:</w:t>
            </w:r>
          </w:p>
        </w:tc>
        <w:tc>
          <w:tcPr>
            <w:tcW w:w="5386" w:type="dxa"/>
          </w:tcPr>
          <w:p w14:paraId="319F2062" w14:textId="77777777" w:rsidR="00DC5685" w:rsidRPr="00A34F10" w:rsidRDefault="00DC5685" w:rsidP="00DC5685">
            <w:pPr>
              <w:tabs>
                <w:tab w:val="left" w:pos="720"/>
              </w:tabs>
              <w:spacing w:before="20" w:after="20"/>
              <w:jc w:val="both"/>
              <w:rPr>
                <w:color w:val="000000" w:themeColor="text1"/>
                <w:lang w:val="en-GB"/>
              </w:rPr>
            </w:pPr>
            <w:r w:rsidRPr="00A34F10">
              <w:rPr>
                <w:color w:val="000000" w:themeColor="text1"/>
                <w:lang w:val="en-GB"/>
              </w:rPr>
              <w:t>7.18</w:t>
            </w:r>
          </w:p>
        </w:tc>
      </w:tr>
      <w:tr w:rsidR="00DC5685" w:rsidRPr="00A34F10" w14:paraId="72DDF261" w14:textId="77777777" w:rsidTr="000470C3">
        <w:trPr>
          <w:trHeight w:val="340"/>
        </w:trPr>
        <w:tc>
          <w:tcPr>
            <w:tcW w:w="3964" w:type="dxa"/>
          </w:tcPr>
          <w:p w14:paraId="5A1BD032" w14:textId="77777777" w:rsidR="00DC5685" w:rsidRPr="00A34F10" w:rsidRDefault="00DC5685" w:rsidP="00E05ECD">
            <w:pPr>
              <w:numPr>
                <w:ilvl w:val="0"/>
                <w:numId w:val="105"/>
              </w:numPr>
              <w:tabs>
                <w:tab w:val="left" w:pos="255"/>
              </w:tabs>
              <w:contextualSpacing/>
              <w:rPr>
                <w:b/>
                <w:bCs/>
                <w:color w:val="000000" w:themeColor="text1"/>
              </w:rPr>
            </w:pPr>
            <w:r w:rsidRPr="00A34F10">
              <w:rPr>
                <w:b/>
                <w:bCs/>
                <w:color w:val="000000" w:themeColor="text1"/>
              </w:rPr>
              <w:t>Test units:</w:t>
            </w:r>
          </w:p>
        </w:tc>
        <w:tc>
          <w:tcPr>
            <w:tcW w:w="5386" w:type="dxa"/>
          </w:tcPr>
          <w:p w14:paraId="780F0273" w14:textId="77777777" w:rsidR="00DC5685" w:rsidRPr="00A34F10" w:rsidRDefault="00DC5685" w:rsidP="00DC5685">
            <w:pPr>
              <w:numPr>
                <w:ilvl w:val="4"/>
                <w:numId w:val="0"/>
              </w:numPr>
              <w:tabs>
                <w:tab w:val="left" w:pos="720"/>
              </w:tabs>
              <w:spacing w:before="20" w:after="20"/>
              <w:jc w:val="both"/>
              <w:outlineLvl w:val="8"/>
              <w:rPr>
                <w:color w:val="000000" w:themeColor="text1"/>
                <w:highlight w:val="yellow"/>
                <w:lang w:val="en-GB"/>
              </w:rPr>
            </w:pPr>
            <w:r w:rsidRPr="00A34F10">
              <w:rPr>
                <w:color w:val="000000" w:themeColor="text1"/>
                <w:lang w:val="en-GB"/>
              </w:rPr>
              <w:t>Plastic containers (5 cm diameter)</w:t>
            </w:r>
          </w:p>
        </w:tc>
      </w:tr>
      <w:tr w:rsidR="00DC5685" w:rsidRPr="00A34F10" w14:paraId="4E8A6188" w14:textId="77777777" w:rsidTr="000470C3">
        <w:trPr>
          <w:trHeight w:val="340"/>
        </w:trPr>
        <w:tc>
          <w:tcPr>
            <w:tcW w:w="3964" w:type="dxa"/>
          </w:tcPr>
          <w:p w14:paraId="47A87623" w14:textId="77777777" w:rsidR="00DC5685" w:rsidRPr="00A34F10" w:rsidRDefault="00DC5685" w:rsidP="00E05ECD">
            <w:pPr>
              <w:numPr>
                <w:ilvl w:val="0"/>
                <w:numId w:val="105"/>
              </w:numPr>
              <w:tabs>
                <w:tab w:val="left" w:pos="255"/>
              </w:tabs>
              <w:contextualSpacing/>
              <w:rPr>
                <w:b/>
                <w:bCs/>
                <w:color w:val="000000" w:themeColor="text1"/>
              </w:rPr>
            </w:pPr>
            <w:r w:rsidRPr="00A34F10">
              <w:rPr>
                <w:b/>
                <w:bCs/>
                <w:color w:val="000000" w:themeColor="text1"/>
              </w:rPr>
              <w:t>Environmental conditions</w:t>
            </w:r>
          </w:p>
        </w:tc>
        <w:tc>
          <w:tcPr>
            <w:tcW w:w="5386" w:type="dxa"/>
          </w:tcPr>
          <w:p w14:paraId="24C90325" w14:textId="77777777" w:rsidR="00DC5685" w:rsidRPr="00A34F10" w:rsidRDefault="00DC5685" w:rsidP="00DC5685">
            <w:pPr>
              <w:tabs>
                <w:tab w:val="left" w:pos="720"/>
              </w:tabs>
              <w:spacing w:before="20" w:after="20"/>
              <w:jc w:val="both"/>
              <w:rPr>
                <w:color w:val="000000" w:themeColor="text1"/>
                <w:lang w:val="en-GB"/>
              </w:rPr>
            </w:pPr>
          </w:p>
        </w:tc>
      </w:tr>
      <w:tr w:rsidR="00DC5685" w:rsidRPr="00A34F10" w14:paraId="45E6109E" w14:textId="77777777" w:rsidTr="000470C3">
        <w:trPr>
          <w:trHeight w:val="340"/>
        </w:trPr>
        <w:tc>
          <w:tcPr>
            <w:tcW w:w="3964" w:type="dxa"/>
          </w:tcPr>
          <w:p w14:paraId="2DCC7600"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Temperature:</w:t>
            </w:r>
          </w:p>
        </w:tc>
        <w:tc>
          <w:tcPr>
            <w:tcW w:w="5386" w:type="dxa"/>
            <w:vAlign w:val="center"/>
          </w:tcPr>
          <w:p w14:paraId="17D79E71" w14:textId="77777777" w:rsidR="00DC5685" w:rsidRPr="00A34F10" w:rsidRDefault="00DC5685" w:rsidP="00DC5685">
            <w:pPr>
              <w:spacing w:before="20" w:after="20"/>
              <w:rPr>
                <w:color w:val="000000" w:themeColor="text1"/>
              </w:rPr>
            </w:pPr>
            <w:r w:rsidRPr="00A34F10">
              <w:rPr>
                <w:color w:val="000000" w:themeColor="text1"/>
              </w:rPr>
              <w:t>Daily mean 22.9°C to 28.8°C</w:t>
            </w:r>
          </w:p>
        </w:tc>
      </w:tr>
      <w:tr w:rsidR="00DC5685" w:rsidRPr="00A34F10" w14:paraId="29CBB423" w14:textId="77777777" w:rsidTr="000470C3">
        <w:trPr>
          <w:trHeight w:val="340"/>
        </w:trPr>
        <w:tc>
          <w:tcPr>
            <w:tcW w:w="3964" w:type="dxa"/>
          </w:tcPr>
          <w:p w14:paraId="261866C0"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Relative humidity:</w:t>
            </w:r>
          </w:p>
        </w:tc>
        <w:tc>
          <w:tcPr>
            <w:tcW w:w="5386" w:type="dxa"/>
            <w:vAlign w:val="center"/>
          </w:tcPr>
          <w:p w14:paraId="112A9611" w14:textId="77777777" w:rsidR="00DC5685" w:rsidRPr="00A34F10" w:rsidRDefault="00DC5685" w:rsidP="00DC5685">
            <w:pPr>
              <w:tabs>
                <w:tab w:val="left" w:pos="720"/>
              </w:tabs>
              <w:spacing w:before="20" w:after="20"/>
              <w:jc w:val="both"/>
              <w:rPr>
                <w:color w:val="000000" w:themeColor="text1"/>
                <w:lang w:val="en-GB"/>
              </w:rPr>
            </w:pPr>
            <w:r w:rsidRPr="00A34F10">
              <w:rPr>
                <w:color w:val="000000" w:themeColor="text1"/>
                <w:szCs w:val="24"/>
                <w:lang w:val="en-GB"/>
              </w:rPr>
              <w:t>Daily mean 57.0 % to 78.7 %</w:t>
            </w:r>
          </w:p>
        </w:tc>
      </w:tr>
      <w:tr w:rsidR="00DC5685" w:rsidRPr="00A34F10" w14:paraId="551B9E1C" w14:textId="77777777" w:rsidTr="000470C3">
        <w:trPr>
          <w:trHeight w:val="340"/>
        </w:trPr>
        <w:tc>
          <w:tcPr>
            <w:tcW w:w="3964" w:type="dxa"/>
          </w:tcPr>
          <w:p w14:paraId="06CA71C5"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Photoperiod:</w:t>
            </w:r>
          </w:p>
        </w:tc>
        <w:tc>
          <w:tcPr>
            <w:tcW w:w="5386" w:type="dxa"/>
            <w:vAlign w:val="center"/>
          </w:tcPr>
          <w:p w14:paraId="1F7B37E2" w14:textId="77777777" w:rsidR="00DC5685" w:rsidRPr="00A34F10" w:rsidRDefault="00DC5685" w:rsidP="00DC5685">
            <w:pPr>
              <w:tabs>
                <w:tab w:val="left" w:pos="720"/>
              </w:tabs>
              <w:spacing w:before="20" w:after="20"/>
              <w:jc w:val="both"/>
              <w:rPr>
                <w:color w:val="000000" w:themeColor="text1"/>
                <w:lang w:val="en-GB"/>
              </w:rPr>
            </w:pPr>
            <w:r w:rsidRPr="00A34F10">
              <w:rPr>
                <w:color w:val="000000" w:themeColor="text1"/>
                <w:szCs w:val="24"/>
              </w:rPr>
              <w:t>The natural day length during the study period was adjusted to ≥16 hours by adding artificial light for 16 hours in maximum if indoor light intensity was lower than 300 µmol/m</w:t>
            </w:r>
            <w:r w:rsidRPr="00A34F10">
              <w:rPr>
                <w:color w:val="000000" w:themeColor="text1"/>
                <w:szCs w:val="24"/>
                <w:vertAlign w:val="superscript"/>
              </w:rPr>
              <w:t>2</w:t>
            </w:r>
            <w:r w:rsidRPr="00A34F10">
              <w:rPr>
                <w:color w:val="000000" w:themeColor="text1"/>
                <w:szCs w:val="24"/>
              </w:rPr>
              <w:t xml:space="preserve">s. </w:t>
            </w:r>
          </w:p>
        </w:tc>
      </w:tr>
    </w:tbl>
    <w:p w14:paraId="1F8D7D2D" w14:textId="77777777" w:rsidR="00DC5685" w:rsidRPr="00A34F10" w:rsidRDefault="00DC5685" w:rsidP="00DC5685">
      <w:pPr>
        <w:widowControl w:val="0"/>
        <w:tabs>
          <w:tab w:val="left" w:pos="709"/>
        </w:tabs>
        <w:ind w:left="2552" w:hanging="2268"/>
        <w:rPr>
          <w:b/>
        </w:rPr>
      </w:pPr>
    </w:p>
    <w:p w14:paraId="1207FB7F" w14:textId="77777777" w:rsidR="00DC5685" w:rsidRPr="00A34F10" w:rsidRDefault="00DC5685" w:rsidP="00E05ECD">
      <w:pPr>
        <w:keepNext/>
        <w:numPr>
          <w:ilvl w:val="0"/>
          <w:numId w:val="106"/>
        </w:numPr>
        <w:tabs>
          <w:tab w:val="left" w:pos="255"/>
        </w:tabs>
        <w:ind w:left="357" w:hanging="357"/>
        <w:contextualSpacing/>
        <w:rPr>
          <w:b/>
          <w:bCs/>
          <w:lang w:val="en-GB"/>
        </w:rPr>
      </w:pPr>
      <w:r w:rsidRPr="00A34F10">
        <w:rPr>
          <w:b/>
          <w:bCs/>
          <w:lang w:val="en-GB"/>
        </w:rPr>
        <w:t xml:space="preserve">Soil preparation and treatment: </w:t>
      </w:r>
    </w:p>
    <w:p w14:paraId="5747E9F0" w14:textId="77777777" w:rsidR="00DC5685" w:rsidRPr="00A34F10" w:rsidRDefault="00DC5685" w:rsidP="00DC5685">
      <w:pPr>
        <w:jc w:val="both"/>
      </w:pPr>
      <w:r w:rsidRPr="00A34F10">
        <w:t xml:space="preserve">The test was set up with six dicotyledonous and four monocotyledonous species, representing eight different plant families. There were four replicates per treatment, each one consisting in one, two or three pots with ten (carrot, onion, ryegrass, wheat), five (lettuce, oilseed rape, soybean, tomato, corn) or four (cucumber) seeds, respecitvley. Plant species were sown immediately before application. Each pot was placed on a separate tray and irrigated only from the bottom. After application all pots per plant species were set to a greenhouse table in a randomized design. </w:t>
      </w:r>
    </w:p>
    <w:p w14:paraId="7CE67BDE" w14:textId="77777777" w:rsidR="00DC5685" w:rsidRPr="00A34F10" w:rsidRDefault="00DC5685" w:rsidP="00DC5685">
      <w:pPr>
        <w:jc w:val="both"/>
        <w:rPr>
          <w:highlight w:val="yellow"/>
        </w:rPr>
      </w:pPr>
    </w:p>
    <w:p w14:paraId="312AF221" w14:textId="77777777" w:rsidR="00DC5685" w:rsidRPr="00A34F10" w:rsidRDefault="00DC5685" w:rsidP="00DC5685">
      <w:pPr>
        <w:jc w:val="both"/>
      </w:pPr>
      <w:r w:rsidRPr="00A34F10">
        <w:t>BAS 743 02 F was applied to all plant species on pre-emergence and shortly after sowing using a laboratory application chamber at a spray volume of 286 L/ha. The tested rate was 3.85 L product/ha. Per plant species one control (tap water only) was tested.</w:t>
      </w:r>
    </w:p>
    <w:p w14:paraId="435261BF" w14:textId="77777777" w:rsidR="00DC5685" w:rsidRPr="00A34F10" w:rsidRDefault="00DC5685" w:rsidP="00DC5685">
      <w:pPr>
        <w:widowControl w:val="0"/>
        <w:tabs>
          <w:tab w:val="left" w:pos="2552"/>
        </w:tabs>
        <w:rPr>
          <w:bCs/>
          <w:highlight w:val="yellow"/>
        </w:rPr>
      </w:pPr>
    </w:p>
    <w:p w14:paraId="6FE8718D" w14:textId="67989892" w:rsidR="00DC5685" w:rsidRPr="00094125" w:rsidRDefault="008B2055" w:rsidP="008B2055">
      <w:pPr>
        <w:pStyle w:val="Legenda"/>
      </w:pPr>
      <w:r>
        <w:t xml:space="preserve">Table A </w:t>
      </w:r>
      <w:r>
        <w:fldChar w:fldCharType="begin"/>
      </w:r>
      <w:r>
        <w:instrText xml:space="preserve"> SEQ Table_A \* ARABIC </w:instrText>
      </w:r>
      <w:r>
        <w:fldChar w:fldCharType="separate"/>
      </w:r>
      <w:r w:rsidR="006F0F3B">
        <w:rPr>
          <w:noProof/>
        </w:rPr>
        <w:t>95</w:t>
      </w:r>
      <w:r>
        <w:fldChar w:fldCharType="end"/>
      </w:r>
      <w:r w:rsidR="00DC5685" w:rsidRPr="00094125">
        <w:t>:</w:t>
      </w:r>
      <w:r w:rsidR="00094125" w:rsidRPr="00094125">
        <w:tab/>
      </w:r>
      <w:r w:rsidR="00DC5685" w:rsidRPr="00094125">
        <w:t xml:space="preserve"> Overview of test species</w:t>
      </w:r>
    </w:p>
    <w:tbl>
      <w:tblPr>
        <w:tblpPr w:leftFromText="180" w:rightFromText="180" w:vertAnchor="text" w:tblpY="1"/>
        <w:tblOverlap w:val="never"/>
        <w:tblW w:w="5000" w:type="pct"/>
        <w:tblLook w:val="04A0" w:firstRow="1" w:lastRow="0" w:firstColumn="1" w:lastColumn="0" w:noHBand="0" w:noVBand="1"/>
      </w:tblPr>
      <w:tblGrid>
        <w:gridCol w:w="2338"/>
        <w:gridCol w:w="2338"/>
        <w:gridCol w:w="2339"/>
        <w:gridCol w:w="2339"/>
      </w:tblGrid>
      <w:tr w:rsidR="00DC5685" w:rsidRPr="00A34F10" w14:paraId="3F9A3B43" w14:textId="77777777" w:rsidTr="000470C3">
        <w:tc>
          <w:tcPr>
            <w:tcW w:w="1250" w:type="pct"/>
            <w:tcBorders>
              <w:top w:val="single" w:sz="4" w:space="0" w:color="auto"/>
              <w:bottom w:val="single" w:sz="4" w:space="0" w:color="auto"/>
            </w:tcBorders>
            <w:shd w:val="clear" w:color="auto" w:fill="auto"/>
          </w:tcPr>
          <w:p w14:paraId="43591A32" w14:textId="77777777" w:rsidR="00DC5685" w:rsidRPr="00A34F10" w:rsidRDefault="00DC5685" w:rsidP="00DC5685">
            <w:pPr>
              <w:keepNext/>
              <w:keepLines/>
              <w:widowControl w:val="0"/>
              <w:tabs>
                <w:tab w:val="left" w:pos="2552"/>
              </w:tabs>
              <w:rPr>
                <w:b/>
                <w:sz w:val="20"/>
                <w:szCs w:val="20"/>
              </w:rPr>
            </w:pPr>
          </w:p>
        </w:tc>
        <w:tc>
          <w:tcPr>
            <w:tcW w:w="1250" w:type="pct"/>
            <w:tcBorders>
              <w:top w:val="single" w:sz="4" w:space="0" w:color="auto"/>
              <w:bottom w:val="single" w:sz="4" w:space="0" w:color="auto"/>
            </w:tcBorders>
            <w:shd w:val="clear" w:color="auto" w:fill="auto"/>
          </w:tcPr>
          <w:p w14:paraId="4C4EC043" w14:textId="77777777" w:rsidR="00DC5685" w:rsidRPr="00A34F10" w:rsidRDefault="00DC5685" w:rsidP="00DC5685">
            <w:pPr>
              <w:keepNext/>
              <w:keepLines/>
              <w:widowControl w:val="0"/>
              <w:tabs>
                <w:tab w:val="left" w:pos="2552"/>
              </w:tabs>
              <w:rPr>
                <w:b/>
                <w:sz w:val="20"/>
                <w:szCs w:val="20"/>
              </w:rPr>
            </w:pPr>
            <w:r w:rsidRPr="00A34F10">
              <w:rPr>
                <w:b/>
                <w:sz w:val="20"/>
                <w:szCs w:val="20"/>
              </w:rPr>
              <w:t>Family</w:t>
            </w:r>
          </w:p>
        </w:tc>
        <w:tc>
          <w:tcPr>
            <w:tcW w:w="1250" w:type="pct"/>
            <w:tcBorders>
              <w:top w:val="single" w:sz="4" w:space="0" w:color="auto"/>
              <w:bottom w:val="single" w:sz="4" w:space="0" w:color="auto"/>
            </w:tcBorders>
            <w:shd w:val="clear" w:color="auto" w:fill="auto"/>
          </w:tcPr>
          <w:p w14:paraId="0432AADA" w14:textId="77777777" w:rsidR="00DC5685" w:rsidRPr="00A34F10" w:rsidRDefault="00DC5685" w:rsidP="00DC5685">
            <w:pPr>
              <w:keepNext/>
              <w:keepLines/>
              <w:widowControl w:val="0"/>
              <w:tabs>
                <w:tab w:val="left" w:pos="2552"/>
              </w:tabs>
              <w:rPr>
                <w:b/>
                <w:sz w:val="20"/>
                <w:szCs w:val="20"/>
              </w:rPr>
            </w:pPr>
            <w:r w:rsidRPr="00A34F10">
              <w:rPr>
                <w:b/>
                <w:sz w:val="20"/>
                <w:szCs w:val="20"/>
              </w:rPr>
              <w:t>Species</w:t>
            </w:r>
          </w:p>
        </w:tc>
        <w:tc>
          <w:tcPr>
            <w:tcW w:w="1250" w:type="pct"/>
            <w:tcBorders>
              <w:top w:val="single" w:sz="4" w:space="0" w:color="auto"/>
              <w:bottom w:val="single" w:sz="4" w:space="0" w:color="auto"/>
            </w:tcBorders>
            <w:shd w:val="clear" w:color="auto" w:fill="auto"/>
          </w:tcPr>
          <w:p w14:paraId="26D11EE0" w14:textId="77777777" w:rsidR="00DC5685" w:rsidRPr="00A34F10" w:rsidRDefault="00DC5685" w:rsidP="00DC5685">
            <w:pPr>
              <w:keepNext/>
              <w:keepLines/>
              <w:widowControl w:val="0"/>
              <w:tabs>
                <w:tab w:val="left" w:pos="2552"/>
              </w:tabs>
              <w:rPr>
                <w:b/>
                <w:sz w:val="20"/>
                <w:szCs w:val="20"/>
              </w:rPr>
            </w:pPr>
            <w:r w:rsidRPr="00A34F10">
              <w:rPr>
                <w:b/>
                <w:sz w:val="20"/>
                <w:szCs w:val="20"/>
              </w:rPr>
              <w:t>Common name</w:t>
            </w:r>
          </w:p>
        </w:tc>
      </w:tr>
      <w:tr w:rsidR="00DC5685" w:rsidRPr="00A34F10" w14:paraId="6034F555" w14:textId="77777777" w:rsidTr="000470C3">
        <w:tc>
          <w:tcPr>
            <w:tcW w:w="1250" w:type="pct"/>
          </w:tcPr>
          <w:p w14:paraId="1AE0428C" w14:textId="77777777" w:rsidR="00DC5685" w:rsidRPr="00A34F10" w:rsidRDefault="00DC5685" w:rsidP="00DC5685">
            <w:pPr>
              <w:keepNext/>
              <w:keepLines/>
              <w:widowControl w:val="0"/>
              <w:tabs>
                <w:tab w:val="left" w:pos="2552"/>
              </w:tabs>
              <w:rPr>
                <w:iCs/>
                <w:sz w:val="20"/>
                <w:szCs w:val="20"/>
              </w:rPr>
            </w:pPr>
            <w:r w:rsidRPr="00A34F10">
              <w:rPr>
                <w:iCs/>
                <w:sz w:val="20"/>
                <w:szCs w:val="20"/>
              </w:rPr>
              <w:t>Dicotyledonae</w:t>
            </w:r>
          </w:p>
        </w:tc>
        <w:tc>
          <w:tcPr>
            <w:tcW w:w="1250" w:type="pct"/>
          </w:tcPr>
          <w:p w14:paraId="2865BA18" w14:textId="77777777" w:rsidR="00DC5685" w:rsidRPr="00A34F10" w:rsidRDefault="00DC5685" w:rsidP="00DC5685">
            <w:pPr>
              <w:keepNext/>
              <w:keepLines/>
              <w:widowControl w:val="0"/>
              <w:tabs>
                <w:tab w:val="left" w:pos="2552"/>
              </w:tabs>
              <w:rPr>
                <w:sz w:val="20"/>
                <w:szCs w:val="20"/>
              </w:rPr>
            </w:pPr>
            <w:r w:rsidRPr="00A34F10">
              <w:rPr>
                <w:sz w:val="20"/>
                <w:szCs w:val="20"/>
              </w:rPr>
              <w:t>Apiaceae</w:t>
            </w:r>
          </w:p>
        </w:tc>
        <w:tc>
          <w:tcPr>
            <w:tcW w:w="1250" w:type="pct"/>
          </w:tcPr>
          <w:p w14:paraId="61A0FE43" w14:textId="77777777" w:rsidR="00DC5685" w:rsidRPr="00A34F10" w:rsidRDefault="00DC5685" w:rsidP="00DC5685">
            <w:pPr>
              <w:keepNext/>
              <w:keepLines/>
              <w:widowControl w:val="0"/>
              <w:tabs>
                <w:tab w:val="left" w:pos="2552"/>
              </w:tabs>
              <w:rPr>
                <w:i/>
                <w:sz w:val="20"/>
                <w:szCs w:val="20"/>
              </w:rPr>
            </w:pPr>
            <w:r w:rsidRPr="00A34F10">
              <w:rPr>
                <w:i/>
                <w:sz w:val="20"/>
                <w:szCs w:val="20"/>
              </w:rPr>
              <w:t xml:space="preserve">Daucus carota </w:t>
            </w:r>
          </w:p>
        </w:tc>
        <w:tc>
          <w:tcPr>
            <w:tcW w:w="1250" w:type="pct"/>
          </w:tcPr>
          <w:p w14:paraId="78473E7B" w14:textId="77777777" w:rsidR="00DC5685" w:rsidRPr="00A34F10" w:rsidRDefault="00DC5685" w:rsidP="00DC5685">
            <w:pPr>
              <w:keepNext/>
              <w:keepLines/>
              <w:widowControl w:val="0"/>
              <w:tabs>
                <w:tab w:val="left" w:pos="2552"/>
              </w:tabs>
              <w:rPr>
                <w:sz w:val="20"/>
                <w:szCs w:val="20"/>
              </w:rPr>
            </w:pPr>
            <w:r w:rsidRPr="00A34F10">
              <w:rPr>
                <w:sz w:val="20"/>
                <w:szCs w:val="20"/>
              </w:rPr>
              <w:t>Carrot</w:t>
            </w:r>
          </w:p>
        </w:tc>
      </w:tr>
      <w:tr w:rsidR="00DC5685" w:rsidRPr="00A34F10" w14:paraId="2089C7F8" w14:textId="77777777" w:rsidTr="000470C3">
        <w:tc>
          <w:tcPr>
            <w:tcW w:w="1250" w:type="pct"/>
            <w:shd w:val="clear" w:color="auto" w:fill="auto"/>
          </w:tcPr>
          <w:p w14:paraId="6AB4B96F" w14:textId="77777777" w:rsidR="00DC5685" w:rsidRPr="00A34F10" w:rsidRDefault="00DC5685" w:rsidP="00DC5685">
            <w:pPr>
              <w:keepNext/>
              <w:keepLines/>
              <w:widowControl w:val="0"/>
              <w:tabs>
                <w:tab w:val="left" w:pos="2552"/>
              </w:tabs>
              <w:rPr>
                <w:iCs/>
                <w:sz w:val="20"/>
                <w:szCs w:val="20"/>
              </w:rPr>
            </w:pPr>
            <w:r w:rsidRPr="00A34F10">
              <w:rPr>
                <w:iCs/>
                <w:sz w:val="20"/>
                <w:szCs w:val="20"/>
              </w:rPr>
              <w:t>Dicotyledonae</w:t>
            </w:r>
          </w:p>
        </w:tc>
        <w:tc>
          <w:tcPr>
            <w:tcW w:w="1250" w:type="pct"/>
            <w:shd w:val="clear" w:color="auto" w:fill="auto"/>
          </w:tcPr>
          <w:p w14:paraId="323AC552" w14:textId="77777777" w:rsidR="00DC5685" w:rsidRPr="00A34F10" w:rsidRDefault="00DC5685" w:rsidP="00DC5685">
            <w:pPr>
              <w:keepNext/>
              <w:keepLines/>
              <w:widowControl w:val="0"/>
              <w:tabs>
                <w:tab w:val="left" w:pos="2552"/>
              </w:tabs>
              <w:rPr>
                <w:sz w:val="20"/>
                <w:szCs w:val="20"/>
              </w:rPr>
            </w:pPr>
            <w:r w:rsidRPr="00A34F10">
              <w:rPr>
                <w:sz w:val="20"/>
                <w:szCs w:val="20"/>
              </w:rPr>
              <w:t>Asteraceae</w:t>
            </w:r>
          </w:p>
        </w:tc>
        <w:tc>
          <w:tcPr>
            <w:tcW w:w="1250" w:type="pct"/>
            <w:shd w:val="clear" w:color="auto" w:fill="auto"/>
          </w:tcPr>
          <w:p w14:paraId="13B0A725" w14:textId="77777777" w:rsidR="00DC5685" w:rsidRPr="00A34F10" w:rsidRDefault="00DC5685" w:rsidP="00DC5685">
            <w:pPr>
              <w:keepNext/>
              <w:keepLines/>
              <w:widowControl w:val="0"/>
              <w:tabs>
                <w:tab w:val="left" w:pos="2552"/>
              </w:tabs>
              <w:rPr>
                <w:i/>
                <w:sz w:val="20"/>
                <w:szCs w:val="20"/>
              </w:rPr>
            </w:pPr>
            <w:r w:rsidRPr="00A34F10">
              <w:rPr>
                <w:i/>
                <w:sz w:val="20"/>
                <w:szCs w:val="20"/>
              </w:rPr>
              <w:t xml:space="preserve">Lactuca sativa </w:t>
            </w:r>
          </w:p>
        </w:tc>
        <w:tc>
          <w:tcPr>
            <w:tcW w:w="1250" w:type="pct"/>
            <w:shd w:val="clear" w:color="auto" w:fill="auto"/>
          </w:tcPr>
          <w:p w14:paraId="7B08ED6F" w14:textId="77777777" w:rsidR="00DC5685" w:rsidRPr="00A34F10" w:rsidRDefault="00DC5685" w:rsidP="00DC5685">
            <w:pPr>
              <w:keepNext/>
              <w:keepLines/>
              <w:widowControl w:val="0"/>
              <w:tabs>
                <w:tab w:val="left" w:pos="2552"/>
              </w:tabs>
              <w:rPr>
                <w:sz w:val="20"/>
                <w:szCs w:val="20"/>
              </w:rPr>
            </w:pPr>
            <w:r w:rsidRPr="00A34F10">
              <w:rPr>
                <w:sz w:val="20"/>
                <w:szCs w:val="20"/>
              </w:rPr>
              <w:t>Lettuce</w:t>
            </w:r>
          </w:p>
        </w:tc>
      </w:tr>
      <w:tr w:rsidR="00DC5685" w:rsidRPr="00A34F10" w14:paraId="5847EED2" w14:textId="77777777" w:rsidTr="000470C3">
        <w:tc>
          <w:tcPr>
            <w:tcW w:w="1250" w:type="pct"/>
          </w:tcPr>
          <w:p w14:paraId="60C92652" w14:textId="77777777" w:rsidR="00DC5685" w:rsidRPr="00A34F10" w:rsidRDefault="00DC5685" w:rsidP="00DC5685">
            <w:pPr>
              <w:keepNext/>
              <w:keepLines/>
              <w:widowControl w:val="0"/>
              <w:tabs>
                <w:tab w:val="left" w:pos="2552"/>
              </w:tabs>
              <w:rPr>
                <w:iCs/>
                <w:sz w:val="20"/>
                <w:szCs w:val="20"/>
              </w:rPr>
            </w:pPr>
            <w:r w:rsidRPr="00A34F10">
              <w:rPr>
                <w:iCs/>
                <w:sz w:val="20"/>
                <w:szCs w:val="20"/>
              </w:rPr>
              <w:t>Dicotyledonae</w:t>
            </w:r>
          </w:p>
        </w:tc>
        <w:tc>
          <w:tcPr>
            <w:tcW w:w="1250" w:type="pct"/>
          </w:tcPr>
          <w:p w14:paraId="1FCFFE98" w14:textId="77777777" w:rsidR="00DC5685" w:rsidRPr="00A34F10" w:rsidRDefault="00DC5685" w:rsidP="00DC5685">
            <w:pPr>
              <w:keepNext/>
              <w:keepLines/>
              <w:widowControl w:val="0"/>
              <w:tabs>
                <w:tab w:val="left" w:pos="2552"/>
              </w:tabs>
              <w:rPr>
                <w:sz w:val="20"/>
                <w:szCs w:val="20"/>
              </w:rPr>
            </w:pPr>
            <w:r w:rsidRPr="00A34F10">
              <w:rPr>
                <w:sz w:val="20"/>
                <w:szCs w:val="20"/>
              </w:rPr>
              <w:t>Brassicaceae</w:t>
            </w:r>
          </w:p>
        </w:tc>
        <w:tc>
          <w:tcPr>
            <w:tcW w:w="1250" w:type="pct"/>
          </w:tcPr>
          <w:p w14:paraId="0966C8CA" w14:textId="77777777" w:rsidR="00DC5685" w:rsidRPr="00A34F10" w:rsidRDefault="00DC5685" w:rsidP="00DC5685">
            <w:pPr>
              <w:keepNext/>
              <w:keepLines/>
              <w:widowControl w:val="0"/>
              <w:tabs>
                <w:tab w:val="left" w:pos="2552"/>
              </w:tabs>
              <w:rPr>
                <w:i/>
                <w:sz w:val="20"/>
                <w:szCs w:val="20"/>
              </w:rPr>
            </w:pPr>
            <w:r w:rsidRPr="00A34F10">
              <w:rPr>
                <w:i/>
                <w:sz w:val="20"/>
                <w:szCs w:val="20"/>
              </w:rPr>
              <w:t xml:space="preserve">Brassica napus </w:t>
            </w:r>
            <w:r w:rsidRPr="00A34F10">
              <w:rPr>
                <w:iCs/>
                <w:sz w:val="20"/>
                <w:szCs w:val="20"/>
              </w:rPr>
              <w:t>ssp.</w:t>
            </w:r>
            <w:r w:rsidRPr="00A34F10">
              <w:rPr>
                <w:i/>
                <w:sz w:val="20"/>
                <w:szCs w:val="20"/>
              </w:rPr>
              <w:t xml:space="preserve"> napus</w:t>
            </w:r>
          </w:p>
        </w:tc>
        <w:tc>
          <w:tcPr>
            <w:tcW w:w="1250" w:type="pct"/>
          </w:tcPr>
          <w:p w14:paraId="4731B05E" w14:textId="77777777" w:rsidR="00DC5685" w:rsidRPr="00A34F10" w:rsidRDefault="00DC5685" w:rsidP="00DC5685">
            <w:pPr>
              <w:keepNext/>
              <w:keepLines/>
              <w:widowControl w:val="0"/>
              <w:tabs>
                <w:tab w:val="left" w:pos="2552"/>
              </w:tabs>
              <w:rPr>
                <w:sz w:val="20"/>
                <w:szCs w:val="20"/>
              </w:rPr>
            </w:pPr>
            <w:r w:rsidRPr="00A34F10">
              <w:rPr>
                <w:sz w:val="20"/>
                <w:szCs w:val="20"/>
              </w:rPr>
              <w:t>Oilseed rape</w:t>
            </w:r>
          </w:p>
        </w:tc>
      </w:tr>
      <w:tr w:rsidR="00DC5685" w:rsidRPr="00A34F10" w14:paraId="5A71DDB4" w14:textId="77777777" w:rsidTr="000470C3">
        <w:tc>
          <w:tcPr>
            <w:tcW w:w="1250" w:type="pct"/>
          </w:tcPr>
          <w:p w14:paraId="5AA1E4F9" w14:textId="77777777" w:rsidR="00DC5685" w:rsidRPr="00A34F10" w:rsidRDefault="00DC5685" w:rsidP="00DC5685">
            <w:pPr>
              <w:keepNext/>
              <w:keepLines/>
              <w:rPr>
                <w:iCs/>
                <w:sz w:val="20"/>
                <w:szCs w:val="20"/>
              </w:rPr>
            </w:pPr>
            <w:r w:rsidRPr="00A34F10">
              <w:rPr>
                <w:iCs/>
                <w:sz w:val="20"/>
                <w:szCs w:val="20"/>
              </w:rPr>
              <w:t>Dicotyledonae</w:t>
            </w:r>
          </w:p>
        </w:tc>
        <w:tc>
          <w:tcPr>
            <w:tcW w:w="1250" w:type="pct"/>
          </w:tcPr>
          <w:p w14:paraId="0FDA19DF" w14:textId="77777777" w:rsidR="00DC5685" w:rsidRPr="00A34F10" w:rsidRDefault="00DC5685" w:rsidP="00DC5685">
            <w:pPr>
              <w:keepNext/>
              <w:keepLines/>
              <w:widowControl w:val="0"/>
              <w:tabs>
                <w:tab w:val="left" w:pos="2552"/>
              </w:tabs>
              <w:rPr>
                <w:sz w:val="20"/>
                <w:szCs w:val="20"/>
              </w:rPr>
            </w:pPr>
            <w:r w:rsidRPr="00A34F10">
              <w:rPr>
                <w:sz w:val="20"/>
                <w:szCs w:val="20"/>
              </w:rPr>
              <w:t>Cucurbitaceae</w:t>
            </w:r>
          </w:p>
        </w:tc>
        <w:tc>
          <w:tcPr>
            <w:tcW w:w="1250" w:type="pct"/>
          </w:tcPr>
          <w:p w14:paraId="3D1F4BB1" w14:textId="77777777" w:rsidR="00DC5685" w:rsidRPr="00A34F10" w:rsidRDefault="00DC5685" w:rsidP="00DC5685">
            <w:pPr>
              <w:keepNext/>
              <w:keepLines/>
              <w:widowControl w:val="0"/>
              <w:tabs>
                <w:tab w:val="left" w:pos="2552"/>
              </w:tabs>
              <w:rPr>
                <w:sz w:val="20"/>
                <w:szCs w:val="20"/>
              </w:rPr>
            </w:pPr>
            <w:r w:rsidRPr="00A34F10">
              <w:rPr>
                <w:i/>
                <w:sz w:val="20"/>
                <w:szCs w:val="20"/>
              </w:rPr>
              <w:t xml:space="preserve">Cucumis sativus </w:t>
            </w:r>
          </w:p>
        </w:tc>
        <w:tc>
          <w:tcPr>
            <w:tcW w:w="1250" w:type="pct"/>
          </w:tcPr>
          <w:p w14:paraId="74A78A4F" w14:textId="77777777" w:rsidR="00DC5685" w:rsidRPr="00A34F10" w:rsidRDefault="00DC5685" w:rsidP="00DC5685">
            <w:pPr>
              <w:keepNext/>
              <w:keepLines/>
              <w:widowControl w:val="0"/>
              <w:tabs>
                <w:tab w:val="left" w:pos="2552"/>
              </w:tabs>
              <w:rPr>
                <w:sz w:val="20"/>
                <w:szCs w:val="20"/>
              </w:rPr>
            </w:pPr>
            <w:r w:rsidRPr="00A34F10">
              <w:rPr>
                <w:sz w:val="20"/>
                <w:szCs w:val="20"/>
              </w:rPr>
              <w:t>Cucumber</w:t>
            </w:r>
          </w:p>
        </w:tc>
      </w:tr>
      <w:tr w:rsidR="00DC5685" w:rsidRPr="00A34F10" w14:paraId="76AA27D2" w14:textId="77777777" w:rsidTr="000470C3">
        <w:tc>
          <w:tcPr>
            <w:tcW w:w="1250" w:type="pct"/>
          </w:tcPr>
          <w:p w14:paraId="5D531689" w14:textId="77777777" w:rsidR="00DC5685" w:rsidRPr="00A34F10" w:rsidRDefault="00DC5685" w:rsidP="00DC5685">
            <w:pPr>
              <w:keepNext/>
              <w:keepLines/>
              <w:rPr>
                <w:sz w:val="20"/>
                <w:szCs w:val="20"/>
              </w:rPr>
            </w:pPr>
            <w:r w:rsidRPr="00A34F10">
              <w:rPr>
                <w:iCs/>
                <w:sz w:val="20"/>
                <w:szCs w:val="20"/>
              </w:rPr>
              <w:t>Dicotyledonae</w:t>
            </w:r>
          </w:p>
        </w:tc>
        <w:tc>
          <w:tcPr>
            <w:tcW w:w="1250" w:type="pct"/>
          </w:tcPr>
          <w:p w14:paraId="57945EEF" w14:textId="77777777" w:rsidR="00DC5685" w:rsidRPr="00A34F10" w:rsidRDefault="00DC5685" w:rsidP="00DC5685">
            <w:pPr>
              <w:keepNext/>
              <w:keepLines/>
              <w:widowControl w:val="0"/>
              <w:tabs>
                <w:tab w:val="left" w:pos="2552"/>
              </w:tabs>
              <w:rPr>
                <w:sz w:val="20"/>
                <w:szCs w:val="20"/>
              </w:rPr>
            </w:pPr>
            <w:r w:rsidRPr="00A34F10">
              <w:rPr>
                <w:sz w:val="20"/>
                <w:szCs w:val="20"/>
              </w:rPr>
              <w:t>Fabaceae</w:t>
            </w:r>
          </w:p>
        </w:tc>
        <w:tc>
          <w:tcPr>
            <w:tcW w:w="1250" w:type="pct"/>
          </w:tcPr>
          <w:p w14:paraId="720AD681" w14:textId="77777777" w:rsidR="00DC5685" w:rsidRPr="00A34F10" w:rsidRDefault="00DC5685" w:rsidP="00DC5685">
            <w:pPr>
              <w:keepNext/>
              <w:keepLines/>
              <w:widowControl w:val="0"/>
              <w:tabs>
                <w:tab w:val="left" w:pos="2552"/>
              </w:tabs>
              <w:rPr>
                <w:i/>
                <w:sz w:val="20"/>
                <w:szCs w:val="20"/>
              </w:rPr>
            </w:pPr>
            <w:r w:rsidRPr="00A34F10">
              <w:rPr>
                <w:i/>
                <w:sz w:val="20"/>
                <w:szCs w:val="20"/>
              </w:rPr>
              <w:t>Glycine max</w:t>
            </w:r>
          </w:p>
        </w:tc>
        <w:tc>
          <w:tcPr>
            <w:tcW w:w="1250" w:type="pct"/>
          </w:tcPr>
          <w:p w14:paraId="24D41158" w14:textId="77777777" w:rsidR="00DC5685" w:rsidRPr="00A34F10" w:rsidRDefault="00DC5685" w:rsidP="00DC5685">
            <w:pPr>
              <w:keepNext/>
              <w:keepLines/>
              <w:widowControl w:val="0"/>
              <w:tabs>
                <w:tab w:val="left" w:pos="2552"/>
              </w:tabs>
              <w:rPr>
                <w:sz w:val="20"/>
                <w:szCs w:val="20"/>
              </w:rPr>
            </w:pPr>
            <w:r w:rsidRPr="00A34F10">
              <w:rPr>
                <w:sz w:val="20"/>
                <w:szCs w:val="20"/>
              </w:rPr>
              <w:t>Soybean</w:t>
            </w:r>
          </w:p>
        </w:tc>
      </w:tr>
      <w:tr w:rsidR="00DC5685" w:rsidRPr="00A34F10" w14:paraId="6DE05B98" w14:textId="77777777" w:rsidTr="000470C3">
        <w:tc>
          <w:tcPr>
            <w:tcW w:w="1250" w:type="pct"/>
          </w:tcPr>
          <w:p w14:paraId="78C68EBC" w14:textId="77777777" w:rsidR="00DC5685" w:rsidRPr="00A34F10" w:rsidRDefault="00DC5685" w:rsidP="00DC5685">
            <w:pPr>
              <w:keepNext/>
              <w:keepLines/>
              <w:rPr>
                <w:iCs/>
                <w:sz w:val="20"/>
                <w:szCs w:val="20"/>
              </w:rPr>
            </w:pPr>
            <w:r w:rsidRPr="00A34F10">
              <w:rPr>
                <w:iCs/>
                <w:sz w:val="20"/>
                <w:szCs w:val="20"/>
              </w:rPr>
              <w:t>Dicotyledonae</w:t>
            </w:r>
          </w:p>
        </w:tc>
        <w:tc>
          <w:tcPr>
            <w:tcW w:w="1250" w:type="pct"/>
          </w:tcPr>
          <w:p w14:paraId="745EAE6A" w14:textId="77777777" w:rsidR="00DC5685" w:rsidRPr="00A34F10" w:rsidRDefault="00DC5685" w:rsidP="00DC5685">
            <w:pPr>
              <w:keepNext/>
              <w:keepLines/>
              <w:widowControl w:val="0"/>
              <w:tabs>
                <w:tab w:val="left" w:pos="2552"/>
              </w:tabs>
              <w:rPr>
                <w:sz w:val="20"/>
                <w:szCs w:val="20"/>
              </w:rPr>
            </w:pPr>
            <w:r w:rsidRPr="00A34F10">
              <w:rPr>
                <w:sz w:val="20"/>
                <w:szCs w:val="20"/>
              </w:rPr>
              <w:t>Solanaceae</w:t>
            </w:r>
          </w:p>
        </w:tc>
        <w:tc>
          <w:tcPr>
            <w:tcW w:w="1250" w:type="pct"/>
          </w:tcPr>
          <w:p w14:paraId="6F561CE7" w14:textId="77777777" w:rsidR="00DC5685" w:rsidRPr="00A34F10" w:rsidRDefault="00DC5685" w:rsidP="00DC5685">
            <w:pPr>
              <w:keepNext/>
              <w:keepLines/>
              <w:widowControl w:val="0"/>
              <w:tabs>
                <w:tab w:val="left" w:pos="2552"/>
              </w:tabs>
              <w:rPr>
                <w:i/>
                <w:sz w:val="20"/>
                <w:szCs w:val="20"/>
              </w:rPr>
            </w:pPr>
            <w:r w:rsidRPr="00A34F10">
              <w:rPr>
                <w:i/>
                <w:sz w:val="20"/>
                <w:szCs w:val="20"/>
              </w:rPr>
              <w:t>Solanum lycopersicum</w:t>
            </w:r>
            <w:r w:rsidRPr="00A34F10">
              <w:rPr>
                <w:iCs/>
                <w:sz w:val="20"/>
                <w:szCs w:val="20"/>
              </w:rPr>
              <w:t>.</w:t>
            </w:r>
          </w:p>
        </w:tc>
        <w:tc>
          <w:tcPr>
            <w:tcW w:w="1250" w:type="pct"/>
          </w:tcPr>
          <w:p w14:paraId="559FC89F" w14:textId="77777777" w:rsidR="00DC5685" w:rsidRPr="00A34F10" w:rsidRDefault="00DC5685" w:rsidP="00DC5685">
            <w:pPr>
              <w:keepNext/>
              <w:keepLines/>
              <w:widowControl w:val="0"/>
              <w:tabs>
                <w:tab w:val="left" w:pos="2552"/>
              </w:tabs>
              <w:rPr>
                <w:sz w:val="20"/>
                <w:szCs w:val="20"/>
              </w:rPr>
            </w:pPr>
            <w:r w:rsidRPr="00A34F10">
              <w:rPr>
                <w:sz w:val="20"/>
                <w:szCs w:val="20"/>
              </w:rPr>
              <w:t>Tomato</w:t>
            </w:r>
          </w:p>
        </w:tc>
      </w:tr>
      <w:tr w:rsidR="00DC5685" w:rsidRPr="00A34F10" w14:paraId="4421D57F" w14:textId="77777777" w:rsidTr="000470C3">
        <w:tc>
          <w:tcPr>
            <w:tcW w:w="1250" w:type="pct"/>
            <w:vAlign w:val="center"/>
          </w:tcPr>
          <w:p w14:paraId="5326BC45" w14:textId="77777777" w:rsidR="00DC5685" w:rsidRPr="00A34F10" w:rsidRDefault="00DC5685" w:rsidP="00DC5685">
            <w:pPr>
              <w:keepNext/>
              <w:keepLines/>
              <w:rPr>
                <w:sz w:val="20"/>
                <w:szCs w:val="20"/>
              </w:rPr>
            </w:pPr>
            <w:r w:rsidRPr="00A34F10">
              <w:rPr>
                <w:iCs/>
                <w:sz w:val="20"/>
                <w:szCs w:val="20"/>
              </w:rPr>
              <w:t>Monocotyledonae</w:t>
            </w:r>
          </w:p>
        </w:tc>
        <w:tc>
          <w:tcPr>
            <w:tcW w:w="1250" w:type="pct"/>
            <w:vAlign w:val="center"/>
          </w:tcPr>
          <w:p w14:paraId="10118C32" w14:textId="77777777" w:rsidR="00DC5685" w:rsidRPr="00A34F10" w:rsidRDefault="00DC5685" w:rsidP="00DC5685">
            <w:pPr>
              <w:keepNext/>
              <w:keepLines/>
              <w:widowControl w:val="0"/>
              <w:tabs>
                <w:tab w:val="left" w:pos="2552"/>
              </w:tabs>
              <w:rPr>
                <w:sz w:val="20"/>
                <w:szCs w:val="20"/>
              </w:rPr>
            </w:pPr>
            <w:r w:rsidRPr="00A34F10">
              <w:rPr>
                <w:sz w:val="20"/>
                <w:szCs w:val="20"/>
              </w:rPr>
              <w:t xml:space="preserve">Amaryllidaceae </w:t>
            </w:r>
          </w:p>
        </w:tc>
        <w:tc>
          <w:tcPr>
            <w:tcW w:w="1250" w:type="pct"/>
          </w:tcPr>
          <w:p w14:paraId="0C3C0793" w14:textId="77777777" w:rsidR="00DC5685" w:rsidRPr="00A34F10" w:rsidRDefault="00DC5685" w:rsidP="00DC5685">
            <w:pPr>
              <w:keepNext/>
              <w:keepLines/>
              <w:widowControl w:val="0"/>
              <w:tabs>
                <w:tab w:val="left" w:pos="2552"/>
              </w:tabs>
              <w:rPr>
                <w:i/>
                <w:sz w:val="20"/>
                <w:szCs w:val="20"/>
              </w:rPr>
            </w:pPr>
            <w:r w:rsidRPr="00A34F10">
              <w:rPr>
                <w:i/>
                <w:iCs/>
                <w:sz w:val="20"/>
                <w:szCs w:val="20"/>
              </w:rPr>
              <w:t xml:space="preserve">Allium cepa </w:t>
            </w:r>
          </w:p>
        </w:tc>
        <w:tc>
          <w:tcPr>
            <w:tcW w:w="1250" w:type="pct"/>
          </w:tcPr>
          <w:p w14:paraId="75FB48B9" w14:textId="77777777" w:rsidR="00DC5685" w:rsidRPr="00A34F10" w:rsidRDefault="00DC5685" w:rsidP="00DC5685">
            <w:pPr>
              <w:keepNext/>
              <w:keepLines/>
              <w:widowControl w:val="0"/>
              <w:tabs>
                <w:tab w:val="left" w:pos="2552"/>
              </w:tabs>
              <w:rPr>
                <w:sz w:val="20"/>
                <w:szCs w:val="20"/>
              </w:rPr>
            </w:pPr>
            <w:r w:rsidRPr="00A34F10">
              <w:rPr>
                <w:sz w:val="20"/>
                <w:szCs w:val="20"/>
              </w:rPr>
              <w:t xml:space="preserve">Onion </w:t>
            </w:r>
          </w:p>
        </w:tc>
      </w:tr>
      <w:tr w:rsidR="00DC5685" w:rsidRPr="00A34F10" w14:paraId="391D3117" w14:textId="77777777" w:rsidTr="000470C3">
        <w:tc>
          <w:tcPr>
            <w:tcW w:w="1250" w:type="pct"/>
            <w:vAlign w:val="center"/>
          </w:tcPr>
          <w:p w14:paraId="61083F61" w14:textId="77777777" w:rsidR="00DC5685" w:rsidRPr="00A34F10" w:rsidRDefault="00DC5685" w:rsidP="00DC5685">
            <w:pPr>
              <w:keepNext/>
              <w:keepLines/>
              <w:rPr>
                <w:iCs/>
                <w:sz w:val="20"/>
                <w:szCs w:val="20"/>
              </w:rPr>
            </w:pPr>
            <w:r w:rsidRPr="00A34F10">
              <w:rPr>
                <w:iCs/>
                <w:sz w:val="20"/>
                <w:szCs w:val="20"/>
              </w:rPr>
              <w:t>Monocotyledonae</w:t>
            </w:r>
          </w:p>
        </w:tc>
        <w:tc>
          <w:tcPr>
            <w:tcW w:w="1250" w:type="pct"/>
            <w:vAlign w:val="center"/>
          </w:tcPr>
          <w:p w14:paraId="147448B4" w14:textId="77777777" w:rsidR="00DC5685" w:rsidRPr="00A34F10" w:rsidRDefault="00DC5685" w:rsidP="00DC5685">
            <w:pPr>
              <w:keepNext/>
              <w:keepLines/>
              <w:widowControl w:val="0"/>
              <w:tabs>
                <w:tab w:val="left" w:pos="2552"/>
              </w:tabs>
              <w:rPr>
                <w:sz w:val="20"/>
                <w:szCs w:val="20"/>
              </w:rPr>
            </w:pPr>
            <w:r w:rsidRPr="00A34F10">
              <w:rPr>
                <w:sz w:val="20"/>
                <w:szCs w:val="20"/>
              </w:rPr>
              <w:t>Poaceae</w:t>
            </w:r>
          </w:p>
        </w:tc>
        <w:tc>
          <w:tcPr>
            <w:tcW w:w="1250" w:type="pct"/>
          </w:tcPr>
          <w:p w14:paraId="4C15DA69" w14:textId="77777777" w:rsidR="00DC5685" w:rsidRPr="00A34F10" w:rsidRDefault="00DC5685" w:rsidP="00DC5685">
            <w:pPr>
              <w:keepNext/>
              <w:keepLines/>
              <w:widowControl w:val="0"/>
              <w:tabs>
                <w:tab w:val="left" w:pos="2552"/>
              </w:tabs>
              <w:rPr>
                <w:i/>
                <w:iCs/>
                <w:sz w:val="20"/>
                <w:szCs w:val="20"/>
              </w:rPr>
            </w:pPr>
            <w:r w:rsidRPr="00A34F10">
              <w:rPr>
                <w:i/>
                <w:sz w:val="20"/>
                <w:szCs w:val="20"/>
              </w:rPr>
              <w:t>Lolium multiflorum</w:t>
            </w:r>
          </w:p>
        </w:tc>
        <w:tc>
          <w:tcPr>
            <w:tcW w:w="1250" w:type="pct"/>
          </w:tcPr>
          <w:p w14:paraId="7D68D0BF" w14:textId="77777777" w:rsidR="00DC5685" w:rsidRPr="00A34F10" w:rsidRDefault="00DC5685" w:rsidP="00DC5685">
            <w:pPr>
              <w:keepNext/>
              <w:keepLines/>
              <w:widowControl w:val="0"/>
              <w:tabs>
                <w:tab w:val="left" w:pos="2552"/>
              </w:tabs>
              <w:rPr>
                <w:sz w:val="20"/>
                <w:szCs w:val="20"/>
              </w:rPr>
            </w:pPr>
            <w:r w:rsidRPr="00A34F10">
              <w:rPr>
                <w:sz w:val="20"/>
                <w:szCs w:val="20"/>
              </w:rPr>
              <w:t>Rye grass</w:t>
            </w:r>
          </w:p>
        </w:tc>
      </w:tr>
      <w:tr w:rsidR="00DC5685" w:rsidRPr="00A34F10" w14:paraId="0A93F94D" w14:textId="77777777" w:rsidTr="000470C3">
        <w:tc>
          <w:tcPr>
            <w:tcW w:w="1250" w:type="pct"/>
            <w:vAlign w:val="center"/>
          </w:tcPr>
          <w:p w14:paraId="2FF10304" w14:textId="77777777" w:rsidR="00DC5685" w:rsidRPr="00A34F10" w:rsidRDefault="00DC5685" w:rsidP="00DC5685">
            <w:pPr>
              <w:keepNext/>
              <w:keepLines/>
              <w:rPr>
                <w:iCs/>
                <w:sz w:val="20"/>
                <w:szCs w:val="20"/>
              </w:rPr>
            </w:pPr>
            <w:r w:rsidRPr="00A34F10">
              <w:rPr>
                <w:iCs/>
                <w:sz w:val="20"/>
                <w:szCs w:val="20"/>
              </w:rPr>
              <w:t>Monocotyledonae</w:t>
            </w:r>
          </w:p>
        </w:tc>
        <w:tc>
          <w:tcPr>
            <w:tcW w:w="1250" w:type="pct"/>
            <w:vAlign w:val="center"/>
          </w:tcPr>
          <w:p w14:paraId="4C0D8B1E" w14:textId="77777777" w:rsidR="00DC5685" w:rsidRPr="00A34F10" w:rsidRDefault="00DC5685" w:rsidP="00DC5685">
            <w:pPr>
              <w:keepNext/>
              <w:keepLines/>
              <w:widowControl w:val="0"/>
              <w:tabs>
                <w:tab w:val="left" w:pos="2552"/>
              </w:tabs>
              <w:rPr>
                <w:sz w:val="20"/>
                <w:szCs w:val="20"/>
              </w:rPr>
            </w:pPr>
            <w:r w:rsidRPr="00A34F10">
              <w:rPr>
                <w:sz w:val="20"/>
                <w:szCs w:val="20"/>
              </w:rPr>
              <w:t>Poaceae</w:t>
            </w:r>
          </w:p>
        </w:tc>
        <w:tc>
          <w:tcPr>
            <w:tcW w:w="1250" w:type="pct"/>
          </w:tcPr>
          <w:p w14:paraId="3E9ECF7F" w14:textId="77777777" w:rsidR="00DC5685" w:rsidRPr="00A34F10" w:rsidRDefault="00DC5685" w:rsidP="00DC5685">
            <w:pPr>
              <w:keepNext/>
              <w:keepLines/>
              <w:widowControl w:val="0"/>
              <w:tabs>
                <w:tab w:val="left" w:pos="2552"/>
              </w:tabs>
              <w:rPr>
                <w:i/>
                <w:sz w:val="20"/>
                <w:szCs w:val="20"/>
              </w:rPr>
            </w:pPr>
            <w:r w:rsidRPr="00A34F10">
              <w:rPr>
                <w:i/>
                <w:sz w:val="20"/>
                <w:szCs w:val="20"/>
              </w:rPr>
              <w:t>Triticum aestivum</w:t>
            </w:r>
          </w:p>
        </w:tc>
        <w:tc>
          <w:tcPr>
            <w:tcW w:w="1250" w:type="pct"/>
          </w:tcPr>
          <w:p w14:paraId="6D8B0D8E" w14:textId="77777777" w:rsidR="00DC5685" w:rsidRPr="00A34F10" w:rsidRDefault="00DC5685" w:rsidP="00DC5685">
            <w:pPr>
              <w:keepNext/>
              <w:keepLines/>
              <w:widowControl w:val="0"/>
              <w:tabs>
                <w:tab w:val="left" w:pos="2552"/>
              </w:tabs>
              <w:rPr>
                <w:sz w:val="20"/>
                <w:szCs w:val="20"/>
              </w:rPr>
            </w:pPr>
            <w:r w:rsidRPr="00A34F10">
              <w:rPr>
                <w:sz w:val="20"/>
                <w:szCs w:val="20"/>
              </w:rPr>
              <w:t>Wheat</w:t>
            </w:r>
          </w:p>
        </w:tc>
      </w:tr>
      <w:tr w:rsidR="00DC5685" w:rsidRPr="00A34F10" w14:paraId="6AEFBCBC" w14:textId="77777777" w:rsidTr="000470C3">
        <w:tc>
          <w:tcPr>
            <w:tcW w:w="1250" w:type="pct"/>
            <w:vAlign w:val="center"/>
          </w:tcPr>
          <w:p w14:paraId="69CFA40F" w14:textId="77777777" w:rsidR="00DC5685" w:rsidRPr="00A34F10" w:rsidRDefault="00DC5685" w:rsidP="00DC5685">
            <w:pPr>
              <w:keepNext/>
              <w:keepLines/>
              <w:rPr>
                <w:iCs/>
                <w:sz w:val="20"/>
                <w:szCs w:val="20"/>
              </w:rPr>
            </w:pPr>
            <w:r w:rsidRPr="00A34F10">
              <w:rPr>
                <w:iCs/>
                <w:sz w:val="20"/>
                <w:szCs w:val="20"/>
              </w:rPr>
              <w:t>Monocotyledonae</w:t>
            </w:r>
          </w:p>
        </w:tc>
        <w:tc>
          <w:tcPr>
            <w:tcW w:w="1250" w:type="pct"/>
            <w:vAlign w:val="center"/>
          </w:tcPr>
          <w:p w14:paraId="5DD5D047" w14:textId="77777777" w:rsidR="00DC5685" w:rsidRPr="00A34F10" w:rsidRDefault="00DC5685" w:rsidP="00DC5685">
            <w:pPr>
              <w:keepNext/>
              <w:keepLines/>
              <w:widowControl w:val="0"/>
              <w:tabs>
                <w:tab w:val="left" w:pos="2552"/>
              </w:tabs>
              <w:rPr>
                <w:sz w:val="20"/>
                <w:szCs w:val="20"/>
              </w:rPr>
            </w:pPr>
            <w:r w:rsidRPr="00A34F10">
              <w:rPr>
                <w:sz w:val="20"/>
                <w:szCs w:val="20"/>
              </w:rPr>
              <w:t>Poaceae</w:t>
            </w:r>
          </w:p>
        </w:tc>
        <w:tc>
          <w:tcPr>
            <w:tcW w:w="1250" w:type="pct"/>
          </w:tcPr>
          <w:p w14:paraId="6EA42528" w14:textId="77777777" w:rsidR="00DC5685" w:rsidRPr="00A34F10" w:rsidRDefault="00DC5685" w:rsidP="00DC5685">
            <w:pPr>
              <w:keepNext/>
              <w:keepLines/>
              <w:widowControl w:val="0"/>
              <w:tabs>
                <w:tab w:val="left" w:pos="2552"/>
              </w:tabs>
              <w:rPr>
                <w:i/>
                <w:sz w:val="20"/>
                <w:szCs w:val="20"/>
              </w:rPr>
            </w:pPr>
            <w:r w:rsidRPr="00A34F10">
              <w:rPr>
                <w:i/>
                <w:iCs/>
                <w:sz w:val="20"/>
                <w:szCs w:val="20"/>
              </w:rPr>
              <w:t>Zea mays</w:t>
            </w:r>
          </w:p>
        </w:tc>
        <w:tc>
          <w:tcPr>
            <w:tcW w:w="1250" w:type="pct"/>
          </w:tcPr>
          <w:p w14:paraId="2A3268EB" w14:textId="77777777" w:rsidR="00DC5685" w:rsidRPr="00A34F10" w:rsidRDefault="00DC5685" w:rsidP="00DC5685">
            <w:pPr>
              <w:keepNext/>
              <w:keepLines/>
              <w:widowControl w:val="0"/>
              <w:tabs>
                <w:tab w:val="left" w:pos="2552"/>
              </w:tabs>
              <w:rPr>
                <w:sz w:val="20"/>
                <w:szCs w:val="20"/>
              </w:rPr>
            </w:pPr>
            <w:r w:rsidRPr="00A34F10">
              <w:rPr>
                <w:iCs/>
                <w:sz w:val="20"/>
                <w:szCs w:val="20"/>
              </w:rPr>
              <w:t>Corn</w:t>
            </w:r>
          </w:p>
        </w:tc>
      </w:tr>
    </w:tbl>
    <w:p w14:paraId="0A286F70" w14:textId="77777777" w:rsidR="00DC5685" w:rsidRPr="00A34F10" w:rsidRDefault="00DC5685" w:rsidP="00DC5685">
      <w:pPr>
        <w:jc w:val="both"/>
        <w:rPr>
          <w:highlight w:val="yellow"/>
        </w:rPr>
      </w:pPr>
    </w:p>
    <w:p w14:paraId="4C47C7F8" w14:textId="77777777" w:rsidR="00DC5685" w:rsidRPr="00A34F10" w:rsidRDefault="00DC5685" w:rsidP="00E05ECD">
      <w:pPr>
        <w:keepNext/>
        <w:numPr>
          <w:ilvl w:val="0"/>
          <w:numId w:val="106"/>
        </w:numPr>
        <w:tabs>
          <w:tab w:val="left" w:pos="255"/>
        </w:tabs>
        <w:ind w:left="357" w:hanging="357"/>
        <w:contextualSpacing/>
        <w:rPr>
          <w:b/>
          <w:bCs/>
          <w:lang w:val="en-GB"/>
        </w:rPr>
      </w:pPr>
      <w:r w:rsidRPr="00A34F10">
        <w:rPr>
          <w:b/>
          <w:bCs/>
          <w:lang w:val="en-GB"/>
        </w:rPr>
        <w:t xml:space="preserve"> Dose preparation: </w:t>
      </w:r>
    </w:p>
    <w:p w14:paraId="78CF5C57" w14:textId="7CA7BFC7" w:rsidR="008B2055" w:rsidRDefault="00DC5685" w:rsidP="00DC5685">
      <w:pPr>
        <w:spacing w:after="240"/>
        <w:jc w:val="both"/>
      </w:pPr>
      <w:r w:rsidRPr="00A34F10">
        <w:t xml:space="preserve">Based on the mean output volume of the sprayer (2786 L/ha) the required amount of the test item was calculated based on the mix volume used for application. For this mix volume the amount of test item was weighed and dissolved in the respective water volume. </w:t>
      </w:r>
    </w:p>
    <w:p w14:paraId="4A753E1D" w14:textId="77777777" w:rsidR="008B2055" w:rsidRDefault="008B2055">
      <w:r>
        <w:br w:type="page"/>
      </w:r>
    </w:p>
    <w:p w14:paraId="2242EDC1" w14:textId="77777777" w:rsidR="00DC5685" w:rsidRPr="00A34F10" w:rsidRDefault="00DC5685" w:rsidP="00DC5685">
      <w:pPr>
        <w:spacing w:after="240"/>
        <w:jc w:val="both"/>
        <w:rPr>
          <w:color w:val="000000" w:themeColor="text1"/>
          <w:highlight w:val="yellow"/>
        </w:rPr>
      </w:pPr>
    </w:p>
    <w:p w14:paraId="46168159" w14:textId="77777777" w:rsidR="00DC5685" w:rsidRPr="00A34F10" w:rsidRDefault="00DC5685" w:rsidP="00E05ECD">
      <w:pPr>
        <w:keepNext/>
        <w:numPr>
          <w:ilvl w:val="0"/>
          <w:numId w:val="106"/>
        </w:numPr>
        <w:tabs>
          <w:tab w:val="left" w:pos="255"/>
        </w:tabs>
        <w:ind w:left="357" w:hanging="357"/>
        <w:contextualSpacing/>
        <w:rPr>
          <w:b/>
          <w:bCs/>
          <w:lang w:val="en-GB"/>
        </w:rPr>
      </w:pPr>
      <w:r w:rsidRPr="00A34F10">
        <w:rPr>
          <w:b/>
          <w:bCs/>
          <w:lang w:val="en-GB"/>
        </w:rPr>
        <w:t xml:space="preserve"> </w:t>
      </w:r>
      <w:r w:rsidRPr="00A34F10">
        <w:rPr>
          <w:b/>
          <w:bCs/>
          <w:szCs w:val="24"/>
          <w:lang w:val="en-GB" w:eastAsia="de-DE"/>
        </w:rPr>
        <w:t>Measurements and observations</w:t>
      </w:r>
      <w:r w:rsidRPr="00A34F10">
        <w:rPr>
          <w:b/>
          <w:bCs/>
          <w:lang w:val="en-GB"/>
        </w:rPr>
        <w:t xml:space="preserve">: </w:t>
      </w:r>
    </w:p>
    <w:p w14:paraId="686D0407" w14:textId="77777777" w:rsidR="00DC5685" w:rsidRPr="00A34F10" w:rsidRDefault="00DC5685" w:rsidP="00DC5685">
      <w:pPr>
        <w:tabs>
          <w:tab w:val="left" w:pos="720"/>
        </w:tabs>
        <w:jc w:val="both"/>
        <w:rPr>
          <w:szCs w:val="24"/>
          <w:lang w:val="en-GB"/>
        </w:rPr>
      </w:pPr>
      <w:r w:rsidRPr="00A34F10">
        <w:rPr>
          <w:szCs w:val="24"/>
          <w:u w:val="single"/>
          <w:lang w:val="en-GB"/>
        </w:rPr>
        <w:t>Biological observations</w:t>
      </w:r>
      <w:r w:rsidRPr="00A34F10">
        <w:rPr>
          <w:szCs w:val="24"/>
          <w:lang w:val="en-GB"/>
        </w:rPr>
        <w:t xml:space="preserve">: </w:t>
      </w:r>
    </w:p>
    <w:p w14:paraId="3940726F" w14:textId="77777777" w:rsidR="00DC5685" w:rsidRPr="00A34F10" w:rsidRDefault="00DC5685" w:rsidP="00DC5685">
      <w:pPr>
        <w:jc w:val="both"/>
      </w:pPr>
      <w:r w:rsidRPr="00A34F10">
        <w:t>General first assessment per species was done when at least 50 % of the planted seeds of the untreated control reached the BBCH stage 10 (equals to 0 days after emergence). All following assessments were performed at 7, 14 and 21 days after emergence (DAE) except assessments of plant length and biomass at</w:t>
      </w:r>
    </w:p>
    <w:p w14:paraId="7872E9C2" w14:textId="77777777" w:rsidR="00DC5685" w:rsidRPr="00A34F10" w:rsidRDefault="00DC5685" w:rsidP="00DC5685">
      <w:pPr>
        <w:jc w:val="both"/>
      </w:pPr>
      <w:r w:rsidRPr="00A34F10">
        <w:t xml:space="preserve">21 DAE. </w:t>
      </w:r>
    </w:p>
    <w:p w14:paraId="6B7EA4B8" w14:textId="77777777" w:rsidR="00DC5685" w:rsidRPr="00A34F10" w:rsidRDefault="00DC5685" w:rsidP="00DC5685">
      <w:pPr>
        <w:jc w:val="both"/>
      </w:pPr>
      <w:r w:rsidRPr="00A34F10">
        <w:t xml:space="preserve">Assessments of phytotoxicity were done weekly after emergence following a scale of 0 – 100 % where 0% means no difference to untreated and 100% plant is completely destroyed. Damage was categorized as chlorosis (any kind of discoloration), necrosis, deformation and others (no growth reduction). </w:t>
      </w:r>
    </w:p>
    <w:p w14:paraId="748220C0" w14:textId="77777777" w:rsidR="00DC5685" w:rsidRPr="00A34F10" w:rsidRDefault="00DC5685" w:rsidP="00DC5685">
      <w:pPr>
        <w:jc w:val="both"/>
      </w:pPr>
      <w:r w:rsidRPr="00A34F10">
        <w:t>Plant length of all living plants was measured in cm as single plant length. For assessment for biomass, all living plants per replicate were cut directly at the soil surface and dry weight was determined immediately after mass constancy (at 60 °C) of the plants was reached. All plants of each replicate were weighed together.</w:t>
      </w:r>
    </w:p>
    <w:p w14:paraId="3F2F53F8" w14:textId="77777777" w:rsidR="00DC5685" w:rsidRPr="00A34F10" w:rsidRDefault="00DC5685" w:rsidP="00DC5685">
      <w:pPr>
        <w:jc w:val="both"/>
      </w:pPr>
    </w:p>
    <w:p w14:paraId="15B5326E" w14:textId="77777777" w:rsidR="00DC5685" w:rsidRPr="00A34F10" w:rsidRDefault="00DC5685" w:rsidP="00DC5685">
      <w:pPr>
        <w:jc w:val="both"/>
        <w:rPr>
          <w:highlight w:val="yellow"/>
        </w:rPr>
      </w:pPr>
      <w:r w:rsidRPr="00A34F10">
        <w:rPr>
          <w:szCs w:val="24"/>
          <w:u w:val="single"/>
        </w:rPr>
        <w:t>Physicochemical measurements</w:t>
      </w:r>
      <w:r w:rsidRPr="00A34F10">
        <w:rPr>
          <w:szCs w:val="24"/>
        </w:rPr>
        <w:t>:</w:t>
      </w:r>
    </w:p>
    <w:p w14:paraId="635C5790" w14:textId="77777777" w:rsidR="00DC5685" w:rsidRPr="00A34F10" w:rsidRDefault="00DC5685" w:rsidP="00DC5685">
      <w:pPr>
        <w:jc w:val="both"/>
      </w:pPr>
      <w:r w:rsidRPr="00A34F10">
        <w:t>In the greenhouse chamber temperature and humidity had been documented using an electronic data logger device.</w:t>
      </w:r>
    </w:p>
    <w:p w14:paraId="68981297" w14:textId="77777777" w:rsidR="00DC5685" w:rsidRPr="00A34F10" w:rsidRDefault="00DC5685" w:rsidP="00DC5685">
      <w:pPr>
        <w:jc w:val="both"/>
        <w:rPr>
          <w:highlight w:val="yellow"/>
        </w:rPr>
      </w:pPr>
    </w:p>
    <w:p w14:paraId="2D0E1E8C" w14:textId="77777777" w:rsidR="00DC5685" w:rsidRPr="00A34F10" w:rsidRDefault="00DC5685" w:rsidP="00DC5685">
      <w:pPr>
        <w:tabs>
          <w:tab w:val="left" w:pos="720"/>
        </w:tabs>
        <w:jc w:val="both"/>
        <w:rPr>
          <w:szCs w:val="24"/>
          <w:u w:val="single"/>
          <w:lang w:val="en-GB"/>
        </w:rPr>
      </w:pPr>
      <w:r w:rsidRPr="00A34F10">
        <w:rPr>
          <w:szCs w:val="24"/>
          <w:u w:val="single"/>
          <w:lang w:val="en-GB"/>
        </w:rPr>
        <w:t>Analytical verification:</w:t>
      </w:r>
    </w:p>
    <w:p w14:paraId="11B6A5B9" w14:textId="77777777" w:rsidR="00DC5685" w:rsidRPr="00A34F10" w:rsidRDefault="00DC5685" w:rsidP="00DC5685">
      <w:pPr>
        <w:tabs>
          <w:tab w:val="left" w:pos="720"/>
        </w:tabs>
        <w:spacing w:after="240"/>
        <w:jc w:val="both"/>
        <w:rPr>
          <w:color w:val="000000" w:themeColor="text1"/>
          <w:szCs w:val="24"/>
          <w:lang w:val="en-GB"/>
        </w:rPr>
      </w:pPr>
      <w:r w:rsidRPr="00A34F10">
        <w:rPr>
          <w:color w:val="000000" w:themeColor="text1"/>
        </w:rPr>
        <w:t>Samples of spray solution were taken from the untreated control and the test item treatment before application and were stored at &lt; -18°C</w:t>
      </w:r>
      <w:r w:rsidRPr="00A34F10">
        <w:rPr>
          <w:color w:val="000000" w:themeColor="text1"/>
          <w:szCs w:val="24"/>
          <w:lang w:val="en-GB"/>
        </w:rPr>
        <w:t xml:space="preserve"> until they were transferred to the analytical laboratory. </w:t>
      </w:r>
      <w:r w:rsidRPr="00A34F10">
        <w:rPr>
          <w:color w:val="000000" w:themeColor="text1"/>
          <w:lang w:val="en-GB"/>
        </w:rPr>
        <w:t>The analytical verification was done by analysing the concentration of the active substance ametoctradin (BAS 650) by LC-MS/MS.</w:t>
      </w:r>
    </w:p>
    <w:p w14:paraId="27005AEA" w14:textId="77777777" w:rsidR="00DC5685" w:rsidRPr="00A34F10" w:rsidRDefault="00DC5685" w:rsidP="00E05ECD">
      <w:pPr>
        <w:keepNext/>
        <w:numPr>
          <w:ilvl w:val="0"/>
          <w:numId w:val="106"/>
        </w:numPr>
        <w:tabs>
          <w:tab w:val="left" w:pos="255"/>
        </w:tabs>
        <w:ind w:left="357" w:hanging="357"/>
        <w:contextualSpacing/>
        <w:rPr>
          <w:b/>
          <w:bCs/>
          <w:lang w:val="en-GB"/>
        </w:rPr>
      </w:pPr>
      <w:r w:rsidRPr="00A34F10">
        <w:rPr>
          <w:b/>
          <w:bCs/>
          <w:szCs w:val="24"/>
          <w:lang w:val="en-GB" w:eastAsia="de-DE"/>
        </w:rPr>
        <w:t>Statistics:</w:t>
      </w:r>
      <w:r w:rsidRPr="00A34F10">
        <w:rPr>
          <w:b/>
          <w:bCs/>
          <w:lang w:val="en-GB"/>
        </w:rPr>
        <w:t xml:space="preserve"> </w:t>
      </w:r>
    </w:p>
    <w:p w14:paraId="53AC7908" w14:textId="77777777" w:rsidR="00DC5685" w:rsidRPr="00A34F10" w:rsidRDefault="00DC5685" w:rsidP="00DC5685">
      <w:pPr>
        <w:jc w:val="both"/>
      </w:pPr>
      <w:r w:rsidRPr="00A34F10">
        <w:t xml:space="preserve">Descriptive statistics were performed using Microsoft EXCEL software. </w:t>
      </w:r>
    </w:p>
    <w:p w14:paraId="1AAC0053" w14:textId="77777777" w:rsidR="00DC5685" w:rsidRPr="00A34F10" w:rsidRDefault="00DC5685" w:rsidP="00DC5685">
      <w:pPr>
        <w:jc w:val="both"/>
      </w:pPr>
    </w:p>
    <w:p w14:paraId="53953084" w14:textId="77777777" w:rsidR="00DC5685" w:rsidRPr="00A34F10" w:rsidRDefault="00DC5685" w:rsidP="00DC5685">
      <w:pPr>
        <w:jc w:val="both"/>
      </w:pPr>
      <w:r w:rsidRPr="00A34F10">
        <w:t>Plant survival was calculated within statistical procedures as compared to total emerged plants per replicate. If the application of the test item had a possible negative effect on seedling emergence, plant survival, plant length or biomass compared to untreated control, further statistical analysis was carried out using ToxRat Standard (version 3.3.0) of ToxRat Solutions GmbH, Germany.</w:t>
      </w:r>
    </w:p>
    <w:p w14:paraId="1D7312EB" w14:textId="77777777" w:rsidR="00DC5685" w:rsidRPr="00A34F10" w:rsidRDefault="00DC5685" w:rsidP="00DC5685">
      <w:pPr>
        <w:jc w:val="both"/>
      </w:pPr>
    </w:p>
    <w:p w14:paraId="62A9887A" w14:textId="77777777" w:rsidR="00DC5685" w:rsidRPr="00A34F10" w:rsidRDefault="00DC5685" w:rsidP="00DC5685">
      <w:pPr>
        <w:jc w:val="both"/>
      </w:pPr>
      <w:r w:rsidRPr="00A34F10">
        <w:t xml:space="preserve">Pretesting sequences for metric data were a test on normal distribution (Shapiro-Wilk’s test, p=0.01) and a variance homogeneity check (Levene’s test, p=0.01). Depending on outcomes, the limit concentration of BAS 743 02 F for emergence, plant survival, plant length and biomass was tested by pairwise comparison with the control. Metric data were tested by Two-sample t-test (Student t-test, one-sided smaller, p = 0.01). Quantal data were tested by Two-sample Fisher’s Exact test (one-sided greater, p = 0.01). </w:t>
      </w:r>
    </w:p>
    <w:p w14:paraId="1CE5989F" w14:textId="77777777" w:rsidR="00DC5685" w:rsidRPr="00A34F10" w:rsidRDefault="00DC5685" w:rsidP="00DC5685">
      <w:pPr>
        <w:jc w:val="both"/>
        <w:rPr>
          <w:highlight w:val="yellow"/>
        </w:rPr>
      </w:pPr>
    </w:p>
    <w:p w14:paraId="2F1CDF9C" w14:textId="77777777" w:rsidR="00DC5685" w:rsidRPr="00A34F10" w:rsidRDefault="00DC5685" w:rsidP="00E05ECD">
      <w:pPr>
        <w:widowControl w:val="0"/>
        <w:numPr>
          <w:ilvl w:val="0"/>
          <w:numId w:val="107"/>
        </w:numPr>
        <w:spacing w:before="240" w:after="240"/>
        <w:ind w:left="357" w:hanging="357"/>
        <w:contextualSpacing/>
        <w:jc w:val="both"/>
        <w:rPr>
          <w:b/>
          <w:bCs/>
          <w:lang w:val="en-GB"/>
        </w:rPr>
      </w:pPr>
      <w:r w:rsidRPr="00A34F10">
        <w:rPr>
          <w:b/>
          <w:bCs/>
          <w:szCs w:val="24"/>
          <w:lang w:val="en-GB"/>
        </w:rPr>
        <w:t>Description of the analytical procedures</w:t>
      </w:r>
    </w:p>
    <w:p w14:paraId="01BB20F8" w14:textId="3A800053" w:rsidR="008B2055" w:rsidRDefault="00DC5685" w:rsidP="00DC5685">
      <w:pPr>
        <w:widowControl w:val="0"/>
        <w:jc w:val="both"/>
        <w:rPr>
          <w:szCs w:val="24"/>
        </w:rPr>
      </w:pPr>
      <w:r w:rsidRPr="00A34F10">
        <w:rPr>
          <w:szCs w:val="24"/>
        </w:rPr>
        <w:t xml:space="preserve">The analysis of BAS 743 02 F was performed via its active substance BAS 650 F (ametoctradin) and was based on </w:t>
      </w:r>
      <w:r w:rsidR="00D007AB">
        <w:rPr>
          <w:szCs w:val="24"/>
        </w:rPr>
        <w:t>XXXX</w:t>
      </w:r>
      <w:r w:rsidRPr="00A34F10">
        <w:rPr>
          <w:szCs w:val="24"/>
        </w:rPr>
        <w:t xml:space="preserve"> method No. L0208/02 for determination of residues of the analyte in water. The method was adapted to perform the analysis in the given concentration range. The aqueous application solutions were diluted in three steps by a total factor of 100000 using 30 μL of silicon antifoam emulsion in 1.0 L of tap water as well as acetonitrile/water (50/50, v/v) as solvent. Five replicate dilutions were analyzed for each selected application solution. The diluted application solutions were analysed for the content of BAS 650 F by LC-MS/MS with external standardisation. Linear calibration curve(s) with a correlation coefficient r &gt; 0.99 were used for quantification. Due to the high total dilution factor (100000), no relevant matrix effects were observed for the LC-MS/MS determination of BAS 650 F. The average concentration of the active substance BAS 650 F (ametoctradin) obtained by LC-MS/MS analysis of the application solution derived from the test item BAS 743 02 F was 1.63 g/L (nominal: 1.85 g/L BAS 650 F) equivalent to a recovery of 87.9 % of the expected concentration. No analyte (above the defined LOD of 0.05 g/L) or relevant interferences were detected in the LC-MS/MS analysis of a respective blank control solution.</w:t>
      </w:r>
    </w:p>
    <w:p w14:paraId="6AC47438" w14:textId="77777777" w:rsidR="008B2055" w:rsidRDefault="008B2055">
      <w:pPr>
        <w:rPr>
          <w:szCs w:val="24"/>
        </w:rPr>
      </w:pPr>
      <w:r>
        <w:rPr>
          <w:szCs w:val="24"/>
        </w:rPr>
        <w:br w:type="page"/>
      </w:r>
    </w:p>
    <w:p w14:paraId="02EC6D8A" w14:textId="77777777" w:rsidR="00DC5685" w:rsidRPr="00A34F10" w:rsidRDefault="00DC5685" w:rsidP="00DC5685">
      <w:pPr>
        <w:widowControl w:val="0"/>
        <w:jc w:val="both"/>
        <w:rPr>
          <w:szCs w:val="24"/>
          <w:highlight w:val="yellow"/>
        </w:rPr>
      </w:pPr>
    </w:p>
    <w:p w14:paraId="4332F764" w14:textId="09FDE19C" w:rsidR="00DC5685" w:rsidRPr="00094125" w:rsidRDefault="008B2055" w:rsidP="008B2055">
      <w:pPr>
        <w:pStyle w:val="Legenda"/>
      </w:pPr>
      <w:r>
        <w:t xml:space="preserve">Table A </w:t>
      </w:r>
      <w:r>
        <w:fldChar w:fldCharType="begin"/>
      </w:r>
      <w:r>
        <w:instrText xml:space="preserve"> SEQ Table_A \* ARABIC </w:instrText>
      </w:r>
      <w:r>
        <w:fldChar w:fldCharType="separate"/>
      </w:r>
      <w:r w:rsidR="006F0F3B">
        <w:rPr>
          <w:noProof/>
        </w:rPr>
        <w:t>96</w:t>
      </w:r>
      <w:r>
        <w:fldChar w:fldCharType="end"/>
      </w:r>
      <w:r w:rsidR="00DC5685" w:rsidRPr="00094125">
        <w:t>:</w:t>
      </w:r>
      <w:r w:rsidR="00094125" w:rsidRPr="00094125">
        <w:tab/>
      </w:r>
      <w:r w:rsidR="00DC5685" w:rsidRPr="00094125">
        <w:t xml:space="preserve"> Procedural recoveries for BAS 743 02 F in Fortified Recovery Samples by LC-MS/MS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0"/>
        <w:gridCol w:w="731"/>
        <w:gridCol w:w="2037"/>
        <w:gridCol w:w="1957"/>
        <w:gridCol w:w="2059"/>
      </w:tblGrid>
      <w:tr w:rsidR="00DC5685" w:rsidRPr="00A34F10" w14:paraId="6AD9C18E" w14:textId="77777777" w:rsidTr="000470C3">
        <w:trPr>
          <w:trHeight w:val="70"/>
          <w:tblHeader/>
        </w:trPr>
        <w:tc>
          <w:tcPr>
            <w:tcW w:w="1370" w:type="pct"/>
            <w:shd w:val="clear" w:color="000000" w:fill="FFFFFF"/>
            <w:vAlign w:val="center"/>
            <w:hideMark/>
          </w:tcPr>
          <w:p w14:paraId="154980E8" w14:textId="77777777" w:rsidR="00DC5685" w:rsidRPr="00A34F10" w:rsidRDefault="00DC5685" w:rsidP="00DC5685">
            <w:pPr>
              <w:jc w:val="center"/>
              <w:rPr>
                <w:b/>
                <w:bCs/>
                <w:sz w:val="20"/>
                <w:szCs w:val="20"/>
                <w:lang w:val="de-DE"/>
              </w:rPr>
            </w:pPr>
            <w:r w:rsidRPr="00A34F10">
              <w:rPr>
                <w:b/>
                <w:bCs/>
                <w:sz w:val="20"/>
                <w:szCs w:val="20"/>
                <w:lang w:val="en-GB"/>
              </w:rPr>
              <w:t>Fortification level</w:t>
            </w:r>
            <w:r w:rsidRPr="00A34F10">
              <w:rPr>
                <w:b/>
                <w:bCs/>
                <w:sz w:val="20"/>
                <w:szCs w:val="20"/>
                <w:lang w:val="de-DE"/>
              </w:rPr>
              <w:t xml:space="preserve"> (g/L)</w:t>
            </w:r>
          </w:p>
        </w:tc>
        <w:tc>
          <w:tcPr>
            <w:tcW w:w="391" w:type="pct"/>
            <w:shd w:val="clear" w:color="000000" w:fill="FFFFFF"/>
            <w:noWrap/>
            <w:vAlign w:val="center"/>
            <w:hideMark/>
          </w:tcPr>
          <w:p w14:paraId="3FE2FE5A" w14:textId="77777777" w:rsidR="00DC5685" w:rsidRPr="00A34F10" w:rsidRDefault="00DC5685" w:rsidP="00DC5685">
            <w:pPr>
              <w:jc w:val="center"/>
              <w:rPr>
                <w:b/>
                <w:bCs/>
                <w:sz w:val="20"/>
                <w:szCs w:val="20"/>
                <w:lang w:val="de-DE"/>
              </w:rPr>
            </w:pPr>
            <w:r w:rsidRPr="00A34F10">
              <w:rPr>
                <w:b/>
                <w:bCs/>
                <w:sz w:val="20"/>
                <w:szCs w:val="20"/>
                <w:lang w:val="de-DE"/>
              </w:rPr>
              <w:t>n</w:t>
            </w:r>
          </w:p>
        </w:tc>
        <w:tc>
          <w:tcPr>
            <w:tcW w:w="1090" w:type="pct"/>
            <w:shd w:val="clear" w:color="000000" w:fill="FFFFFF"/>
            <w:noWrap/>
            <w:vAlign w:val="center"/>
            <w:hideMark/>
          </w:tcPr>
          <w:p w14:paraId="024493C6" w14:textId="77777777" w:rsidR="00DC5685" w:rsidRPr="00A34F10" w:rsidRDefault="00DC5685" w:rsidP="00DC5685">
            <w:pPr>
              <w:jc w:val="center"/>
              <w:rPr>
                <w:b/>
                <w:bCs/>
                <w:sz w:val="20"/>
                <w:szCs w:val="20"/>
                <w:lang w:val="de-DE"/>
              </w:rPr>
            </w:pPr>
            <w:r w:rsidRPr="00A34F10">
              <w:rPr>
                <w:b/>
                <w:bCs/>
                <w:sz w:val="20"/>
                <w:szCs w:val="20"/>
                <w:lang w:val="de-DE"/>
              </w:rPr>
              <w:t>Average (%)</w:t>
            </w:r>
          </w:p>
        </w:tc>
        <w:tc>
          <w:tcPr>
            <w:tcW w:w="1047" w:type="pct"/>
            <w:shd w:val="clear" w:color="000000" w:fill="FFFFFF"/>
            <w:noWrap/>
            <w:vAlign w:val="center"/>
            <w:hideMark/>
          </w:tcPr>
          <w:p w14:paraId="1BE5B493" w14:textId="77777777" w:rsidR="00DC5685" w:rsidRPr="00A34F10" w:rsidRDefault="00DC5685" w:rsidP="00DC5685">
            <w:pPr>
              <w:jc w:val="center"/>
              <w:rPr>
                <w:b/>
                <w:bCs/>
                <w:sz w:val="20"/>
                <w:szCs w:val="20"/>
                <w:lang w:val="de-DE"/>
              </w:rPr>
            </w:pPr>
            <w:r w:rsidRPr="00A34F10">
              <w:rPr>
                <w:b/>
                <w:bCs/>
                <w:sz w:val="20"/>
                <w:szCs w:val="20"/>
                <w:lang w:val="de-DE"/>
              </w:rPr>
              <w:t>±SD</w:t>
            </w:r>
          </w:p>
        </w:tc>
        <w:tc>
          <w:tcPr>
            <w:tcW w:w="1102" w:type="pct"/>
            <w:shd w:val="clear" w:color="000000" w:fill="FFFFFF"/>
            <w:noWrap/>
            <w:vAlign w:val="center"/>
            <w:hideMark/>
          </w:tcPr>
          <w:p w14:paraId="564D343C" w14:textId="77777777" w:rsidR="00DC5685" w:rsidRPr="00A34F10" w:rsidRDefault="00DC5685" w:rsidP="00DC5685">
            <w:pPr>
              <w:jc w:val="center"/>
              <w:rPr>
                <w:b/>
                <w:bCs/>
                <w:sz w:val="20"/>
                <w:szCs w:val="20"/>
                <w:lang w:val="de-DE"/>
              </w:rPr>
            </w:pPr>
            <w:r w:rsidRPr="00A34F10">
              <w:rPr>
                <w:b/>
                <w:bCs/>
                <w:sz w:val="20"/>
                <w:szCs w:val="20"/>
                <w:lang w:val="de-DE"/>
              </w:rPr>
              <w:t>RSD (%)</w:t>
            </w:r>
          </w:p>
        </w:tc>
      </w:tr>
      <w:tr w:rsidR="00DC5685" w:rsidRPr="00A34F10" w14:paraId="6541EEE2" w14:textId="77777777" w:rsidTr="000470C3">
        <w:trPr>
          <w:trHeight w:val="255"/>
        </w:trPr>
        <w:tc>
          <w:tcPr>
            <w:tcW w:w="1370" w:type="pct"/>
            <w:shd w:val="clear" w:color="000000" w:fill="FFFFFF"/>
            <w:noWrap/>
            <w:vAlign w:val="center"/>
          </w:tcPr>
          <w:p w14:paraId="3EE343AC" w14:textId="77777777" w:rsidR="00DC5685" w:rsidRPr="00A34F10" w:rsidRDefault="00DC5685" w:rsidP="00DC5685">
            <w:pPr>
              <w:jc w:val="center"/>
              <w:rPr>
                <w:sz w:val="20"/>
                <w:szCs w:val="20"/>
                <w:lang w:val="de-DE"/>
              </w:rPr>
            </w:pPr>
            <w:r w:rsidRPr="00A34F10">
              <w:rPr>
                <w:sz w:val="20"/>
                <w:szCs w:val="20"/>
                <w:lang w:val="de-DE"/>
              </w:rPr>
              <w:t>0.180 (LOQ)</w:t>
            </w:r>
          </w:p>
        </w:tc>
        <w:tc>
          <w:tcPr>
            <w:tcW w:w="391" w:type="pct"/>
            <w:shd w:val="clear" w:color="000000" w:fill="FFFFFF"/>
            <w:noWrap/>
            <w:vAlign w:val="center"/>
          </w:tcPr>
          <w:p w14:paraId="2FA7E44B" w14:textId="77777777" w:rsidR="00DC5685" w:rsidRPr="00A34F10" w:rsidRDefault="00DC5685" w:rsidP="00DC5685">
            <w:pPr>
              <w:jc w:val="center"/>
              <w:rPr>
                <w:sz w:val="20"/>
                <w:szCs w:val="20"/>
                <w:lang w:val="de-DE"/>
              </w:rPr>
            </w:pPr>
            <w:r w:rsidRPr="00A34F10">
              <w:rPr>
                <w:sz w:val="20"/>
                <w:szCs w:val="20"/>
                <w:lang w:val="de-DE"/>
              </w:rPr>
              <w:t>5</w:t>
            </w:r>
          </w:p>
        </w:tc>
        <w:tc>
          <w:tcPr>
            <w:tcW w:w="1090" w:type="pct"/>
            <w:shd w:val="clear" w:color="000000" w:fill="FFFFFF"/>
            <w:noWrap/>
            <w:vAlign w:val="center"/>
          </w:tcPr>
          <w:p w14:paraId="56EDDDAC" w14:textId="77777777" w:rsidR="00DC5685" w:rsidRPr="00A34F10" w:rsidRDefault="00DC5685" w:rsidP="00DC5685">
            <w:pPr>
              <w:jc w:val="center"/>
              <w:rPr>
                <w:sz w:val="20"/>
                <w:szCs w:val="20"/>
                <w:lang w:val="de-DE"/>
              </w:rPr>
            </w:pPr>
            <w:r w:rsidRPr="00A34F10">
              <w:rPr>
                <w:sz w:val="20"/>
                <w:szCs w:val="20"/>
                <w:lang w:val="de-DE"/>
              </w:rPr>
              <w:t>95.1</w:t>
            </w:r>
          </w:p>
        </w:tc>
        <w:tc>
          <w:tcPr>
            <w:tcW w:w="1047" w:type="pct"/>
            <w:shd w:val="clear" w:color="000000" w:fill="FFFFFF"/>
            <w:noWrap/>
            <w:vAlign w:val="center"/>
          </w:tcPr>
          <w:p w14:paraId="7E5DF3CF" w14:textId="77777777" w:rsidR="00DC5685" w:rsidRPr="00A34F10" w:rsidRDefault="00DC5685" w:rsidP="00DC5685">
            <w:pPr>
              <w:jc w:val="center"/>
              <w:rPr>
                <w:sz w:val="20"/>
                <w:szCs w:val="20"/>
                <w:lang w:val="de-DE"/>
              </w:rPr>
            </w:pPr>
            <w:r w:rsidRPr="00A34F10">
              <w:rPr>
                <w:sz w:val="20"/>
                <w:szCs w:val="20"/>
                <w:lang w:val="de-DE"/>
              </w:rPr>
              <w:t>4.0</w:t>
            </w:r>
          </w:p>
        </w:tc>
        <w:tc>
          <w:tcPr>
            <w:tcW w:w="1102" w:type="pct"/>
            <w:shd w:val="clear" w:color="000000" w:fill="FFFFFF"/>
            <w:noWrap/>
            <w:vAlign w:val="center"/>
          </w:tcPr>
          <w:p w14:paraId="755F54B7" w14:textId="77777777" w:rsidR="00DC5685" w:rsidRPr="00A34F10" w:rsidRDefault="00DC5685" w:rsidP="00DC5685">
            <w:pPr>
              <w:jc w:val="center"/>
              <w:rPr>
                <w:sz w:val="20"/>
                <w:szCs w:val="20"/>
                <w:lang w:val="de-DE"/>
              </w:rPr>
            </w:pPr>
            <w:r w:rsidRPr="00A34F10">
              <w:rPr>
                <w:sz w:val="20"/>
                <w:szCs w:val="20"/>
                <w:lang w:val="de-DE"/>
              </w:rPr>
              <w:t>4.88</w:t>
            </w:r>
          </w:p>
        </w:tc>
      </w:tr>
      <w:tr w:rsidR="00DC5685" w:rsidRPr="00A34F10" w14:paraId="6030F889" w14:textId="77777777" w:rsidTr="000470C3">
        <w:trPr>
          <w:trHeight w:val="255"/>
        </w:trPr>
        <w:tc>
          <w:tcPr>
            <w:tcW w:w="1370" w:type="pct"/>
            <w:shd w:val="clear" w:color="000000" w:fill="FFFFFF"/>
            <w:noWrap/>
            <w:vAlign w:val="center"/>
          </w:tcPr>
          <w:p w14:paraId="2D763E6D" w14:textId="77777777" w:rsidR="00DC5685" w:rsidRPr="00A34F10" w:rsidRDefault="00DC5685" w:rsidP="00DC5685">
            <w:pPr>
              <w:jc w:val="center"/>
              <w:rPr>
                <w:sz w:val="20"/>
                <w:szCs w:val="20"/>
                <w:lang w:val="de-DE"/>
              </w:rPr>
            </w:pPr>
            <w:r w:rsidRPr="00A34F10">
              <w:rPr>
                <w:sz w:val="20"/>
                <w:szCs w:val="20"/>
                <w:lang w:val="de-DE"/>
              </w:rPr>
              <w:t>3.56</w:t>
            </w:r>
          </w:p>
        </w:tc>
        <w:tc>
          <w:tcPr>
            <w:tcW w:w="391" w:type="pct"/>
            <w:shd w:val="clear" w:color="000000" w:fill="FFFFFF"/>
            <w:noWrap/>
            <w:vAlign w:val="center"/>
          </w:tcPr>
          <w:p w14:paraId="2C45ABC6" w14:textId="77777777" w:rsidR="00DC5685" w:rsidRPr="00A34F10" w:rsidRDefault="00DC5685" w:rsidP="00DC5685">
            <w:pPr>
              <w:jc w:val="center"/>
              <w:rPr>
                <w:sz w:val="20"/>
                <w:szCs w:val="20"/>
                <w:lang w:val="de-DE"/>
              </w:rPr>
            </w:pPr>
            <w:r w:rsidRPr="00A34F10">
              <w:rPr>
                <w:sz w:val="20"/>
                <w:szCs w:val="20"/>
                <w:lang w:val="de-DE"/>
              </w:rPr>
              <w:t>5</w:t>
            </w:r>
          </w:p>
        </w:tc>
        <w:tc>
          <w:tcPr>
            <w:tcW w:w="1090" w:type="pct"/>
            <w:shd w:val="clear" w:color="000000" w:fill="FFFFFF"/>
            <w:noWrap/>
            <w:vAlign w:val="center"/>
          </w:tcPr>
          <w:p w14:paraId="07DB8C0C" w14:textId="77777777" w:rsidR="00DC5685" w:rsidRPr="00A34F10" w:rsidRDefault="00DC5685" w:rsidP="00DC5685">
            <w:pPr>
              <w:jc w:val="center"/>
              <w:rPr>
                <w:sz w:val="20"/>
                <w:szCs w:val="20"/>
                <w:lang w:val="de-DE"/>
              </w:rPr>
            </w:pPr>
            <w:r w:rsidRPr="00A34F10">
              <w:rPr>
                <w:sz w:val="20"/>
                <w:szCs w:val="20"/>
                <w:lang w:val="de-DE"/>
              </w:rPr>
              <w:t>103</w:t>
            </w:r>
          </w:p>
        </w:tc>
        <w:tc>
          <w:tcPr>
            <w:tcW w:w="1047" w:type="pct"/>
            <w:shd w:val="clear" w:color="000000" w:fill="FFFFFF"/>
            <w:noWrap/>
            <w:vAlign w:val="center"/>
          </w:tcPr>
          <w:p w14:paraId="0C9855EB" w14:textId="77777777" w:rsidR="00DC5685" w:rsidRPr="00A34F10" w:rsidRDefault="00DC5685" w:rsidP="00DC5685">
            <w:pPr>
              <w:jc w:val="center"/>
              <w:rPr>
                <w:sz w:val="20"/>
                <w:szCs w:val="20"/>
                <w:lang w:val="de-DE"/>
              </w:rPr>
            </w:pPr>
            <w:r w:rsidRPr="00A34F10">
              <w:rPr>
                <w:sz w:val="20"/>
                <w:szCs w:val="20"/>
                <w:lang w:val="de-DE"/>
              </w:rPr>
              <w:t>1.2</w:t>
            </w:r>
          </w:p>
        </w:tc>
        <w:tc>
          <w:tcPr>
            <w:tcW w:w="1102" w:type="pct"/>
            <w:shd w:val="clear" w:color="000000" w:fill="FFFFFF"/>
            <w:noWrap/>
            <w:vAlign w:val="center"/>
          </w:tcPr>
          <w:p w14:paraId="4B24DCA1" w14:textId="77777777" w:rsidR="00DC5685" w:rsidRPr="00A34F10" w:rsidRDefault="00DC5685" w:rsidP="00DC5685">
            <w:pPr>
              <w:jc w:val="center"/>
              <w:rPr>
                <w:sz w:val="20"/>
                <w:szCs w:val="20"/>
                <w:lang w:val="de-DE"/>
              </w:rPr>
            </w:pPr>
            <w:r w:rsidRPr="00A34F10">
              <w:rPr>
                <w:sz w:val="20"/>
                <w:szCs w:val="20"/>
                <w:lang w:val="de-DE"/>
              </w:rPr>
              <w:t>1.62</w:t>
            </w:r>
          </w:p>
        </w:tc>
      </w:tr>
    </w:tbl>
    <w:p w14:paraId="51BB76C3" w14:textId="77777777" w:rsidR="00DC5685" w:rsidRPr="00A34F10" w:rsidRDefault="00DC5685" w:rsidP="00DC5685">
      <w:pPr>
        <w:tabs>
          <w:tab w:val="left" w:pos="720"/>
        </w:tabs>
        <w:spacing w:after="240"/>
        <w:rPr>
          <w:b/>
          <w:bCs/>
          <w:caps/>
          <w:szCs w:val="24"/>
          <w:highlight w:val="yellow"/>
          <w:lang w:val="en-GB"/>
        </w:rPr>
      </w:pPr>
      <w:r w:rsidRPr="00A34F10">
        <w:rPr>
          <w:sz w:val="18"/>
          <w:szCs w:val="18"/>
          <w:lang w:val="en-GB"/>
        </w:rPr>
        <w:t>RSD = Relative standard deviation</w:t>
      </w:r>
    </w:p>
    <w:p w14:paraId="1FC7EC43" w14:textId="77777777" w:rsidR="00DC5685" w:rsidRPr="00A34F10" w:rsidRDefault="00DC5685" w:rsidP="00E05ECD">
      <w:pPr>
        <w:numPr>
          <w:ilvl w:val="0"/>
          <w:numId w:val="103"/>
        </w:numPr>
        <w:spacing w:before="240" w:after="240"/>
        <w:ind w:left="1077"/>
        <w:jc w:val="center"/>
        <w:rPr>
          <w:b/>
          <w:bCs/>
          <w:caps/>
          <w:szCs w:val="24"/>
          <w:lang w:val="en-GB"/>
        </w:rPr>
      </w:pPr>
      <w:r w:rsidRPr="00A34F10">
        <w:rPr>
          <w:b/>
          <w:bCs/>
          <w:caps/>
          <w:szCs w:val="24"/>
          <w:lang w:val="en-GB"/>
        </w:rPr>
        <w:t>Results and Discussion</w:t>
      </w:r>
    </w:p>
    <w:p w14:paraId="53BF7C83" w14:textId="77777777" w:rsidR="00DC5685" w:rsidRPr="00A34F10" w:rsidRDefault="00DC5685" w:rsidP="00E05ECD">
      <w:pPr>
        <w:numPr>
          <w:ilvl w:val="0"/>
          <w:numId w:val="108"/>
        </w:numPr>
        <w:ind w:left="357" w:hanging="357"/>
        <w:contextualSpacing/>
        <w:rPr>
          <w:b/>
          <w:bCs/>
          <w:caps/>
          <w:szCs w:val="24"/>
          <w:lang w:val="en-GB"/>
        </w:rPr>
      </w:pPr>
      <w:r w:rsidRPr="00A34F10">
        <w:rPr>
          <w:b/>
          <w:bCs/>
          <w:caps/>
          <w:szCs w:val="24"/>
          <w:lang w:val="en-GB"/>
        </w:rPr>
        <w:t>Biological effects</w:t>
      </w:r>
    </w:p>
    <w:p w14:paraId="741893F0" w14:textId="77777777" w:rsidR="00DC5685" w:rsidRPr="00A34F10" w:rsidRDefault="00DC5685" w:rsidP="00DC5685">
      <w:pPr>
        <w:widowControl w:val="0"/>
      </w:pPr>
    </w:p>
    <w:p w14:paraId="6DF06308" w14:textId="482135D9" w:rsidR="00DC5685" w:rsidRPr="00A34F10" w:rsidRDefault="00DC5685" w:rsidP="00DC5685">
      <w:pPr>
        <w:jc w:val="both"/>
        <w:rPr>
          <w:highlight w:val="yellow"/>
        </w:rPr>
      </w:pPr>
      <w:r w:rsidRPr="00A34F10">
        <w:t xml:space="preserve">None of the tested plant species was affected concerning seedling emergence and plant survival by the pre-emergence application of 3.85 L product/ha. No phytotoxicity, reduction of plant length or dry weight was observed for all tested plant species following the application of 3.85 L product/ha. The NOER of plant emergence, plant survival, plant length, plant biomass reduction and phytotoxicity for all tested plant species is higher than the tested rate of 3.85 L BAS 743 02 F/ha. The biological effects are summarised in </w:t>
      </w:r>
      <w:r w:rsidR="0031505F">
        <w:fldChar w:fldCharType="begin"/>
      </w:r>
      <w:r w:rsidR="0031505F">
        <w:instrText xml:space="preserve"> REF _Ref147913648 \h </w:instrText>
      </w:r>
      <w:r w:rsidR="0031505F">
        <w:fldChar w:fldCharType="separate"/>
      </w:r>
      <w:r w:rsidR="006F0F3B">
        <w:t xml:space="preserve">Table A </w:t>
      </w:r>
      <w:r w:rsidR="006F0F3B">
        <w:rPr>
          <w:noProof/>
        </w:rPr>
        <w:t>97</w:t>
      </w:r>
      <w:r w:rsidR="0031505F">
        <w:fldChar w:fldCharType="end"/>
      </w:r>
      <w:r w:rsidR="0031505F">
        <w:t xml:space="preserve"> </w:t>
      </w:r>
      <w:r w:rsidRPr="00A34F10">
        <w:t xml:space="preserve">below. </w:t>
      </w:r>
    </w:p>
    <w:p w14:paraId="3A142C0F" w14:textId="77777777" w:rsidR="00DC5685" w:rsidRPr="00A34F10" w:rsidRDefault="00DC5685" w:rsidP="00DC5685">
      <w:pPr>
        <w:widowControl w:val="0"/>
        <w:rPr>
          <w:b/>
          <w:highlight w:val="yellow"/>
        </w:rPr>
      </w:pPr>
    </w:p>
    <w:p w14:paraId="32EB028F" w14:textId="17E66BE4" w:rsidR="00DC5685" w:rsidRPr="00094125" w:rsidRDefault="0031505F" w:rsidP="0031505F">
      <w:pPr>
        <w:pStyle w:val="Legenda"/>
      </w:pPr>
      <w:bookmarkStart w:id="1205" w:name="_Ref147913648"/>
      <w:r>
        <w:t xml:space="preserve">Table A </w:t>
      </w:r>
      <w:r>
        <w:fldChar w:fldCharType="begin"/>
      </w:r>
      <w:r>
        <w:instrText xml:space="preserve"> SEQ Table_A \* ARABIC </w:instrText>
      </w:r>
      <w:r>
        <w:fldChar w:fldCharType="separate"/>
      </w:r>
      <w:r w:rsidR="006F0F3B">
        <w:rPr>
          <w:noProof/>
        </w:rPr>
        <w:t>97</w:t>
      </w:r>
      <w:r>
        <w:fldChar w:fldCharType="end"/>
      </w:r>
      <w:bookmarkEnd w:id="1205"/>
      <w:r w:rsidR="00DC5685" w:rsidRPr="00094125">
        <w:t>:</w:t>
      </w:r>
      <w:r w:rsidR="00094125" w:rsidRPr="00094125">
        <w:tab/>
      </w:r>
      <w:r w:rsidR="00DC5685" w:rsidRPr="00094125">
        <w:t xml:space="preserve"> Summary of plant emergence, survival, length and dry weight following exposure to BAS 743 02 F</w:t>
      </w:r>
    </w:p>
    <w:tbl>
      <w:tblPr>
        <w:tblStyle w:val="Tabela-Siatka"/>
        <w:tblW w:w="5000" w:type="pct"/>
        <w:tblLook w:val="04A0" w:firstRow="1" w:lastRow="0" w:firstColumn="1" w:lastColumn="0" w:noHBand="0" w:noVBand="1"/>
      </w:tblPr>
      <w:tblGrid>
        <w:gridCol w:w="1050"/>
        <w:gridCol w:w="1300"/>
        <w:gridCol w:w="1519"/>
        <w:gridCol w:w="1172"/>
        <w:gridCol w:w="939"/>
        <w:gridCol w:w="1127"/>
        <w:gridCol w:w="828"/>
        <w:gridCol w:w="1409"/>
      </w:tblGrid>
      <w:tr w:rsidR="00DC5685" w:rsidRPr="00A34F10" w14:paraId="0EB9FD11" w14:textId="77777777" w:rsidTr="000470C3">
        <w:trPr>
          <w:trHeight w:val="939"/>
          <w:tblHeader/>
        </w:trPr>
        <w:tc>
          <w:tcPr>
            <w:tcW w:w="582" w:type="pct"/>
            <w:vAlign w:val="center"/>
          </w:tcPr>
          <w:p w14:paraId="7CCDE9E2" w14:textId="77777777" w:rsidR="00DC5685" w:rsidRPr="00A34F10" w:rsidRDefault="00DC5685" w:rsidP="00DC5685">
            <w:pPr>
              <w:rPr>
                <w:b/>
                <w:sz w:val="20"/>
                <w:szCs w:val="20"/>
              </w:rPr>
            </w:pPr>
            <w:r w:rsidRPr="00A34F10">
              <w:rPr>
                <w:b/>
                <w:sz w:val="20"/>
                <w:szCs w:val="20"/>
              </w:rPr>
              <w:t>Plant species</w:t>
            </w:r>
          </w:p>
        </w:tc>
        <w:tc>
          <w:tcPr>
            <w:tcW w:w="764" w:type="pct"/>
            <w:vAlign w:val="center"/>
          </w:tcPr>
          <w:p w14:paraId="02927D50" w14:textId="77777777" w:rsidR="00DC5685" w:rsidRPr="00A34F10" w:rsidRDefault="00DC5685" w:rsidP="00DC5685">
            <w:pPr>
              <w:rPr>
                <w:b/>
                <w:sz w:val="20"/>
                <w:szCs w:val="20"/>
              </w:rPr>
            </w:pPr>
            <w:r w:rsidRPr="00A34F10">
              <w:rPr>
                <w:b/>
                <w:sz w:val="20"/>
                <w:szCs w:val="20"/>
              </w:rPr>
              <w:t>Rate of BAS 743 02 F</w:t>
            </w:r>
          </w:p>
          <w:p w14:paraId="48DE236E" w14:textId="77777777" w:rsidR="00DC5685" w:rsidRPr="00A34F10" w:rsidRDefault="00DC5685" w:rsidP="00DC5685">
            <w:pPr>
              <w:rPr>
                <w:b/>
                <w:sz w:val="20"/>
                <w:szCs w:val="20"/>
              </w:rPr>
            </w:pPr>
            <w:r w:rsidRPr="00A34F10">
              <w:rPr>
                <w:b/>
                <w:sz w:val="20"/>
                <w:szCs w:val="20"/>
              </w:rPr>
              <w:t>[L product/ha]</w:t>
            </w:r>
          </w:p>
        </w:tc>
        <w:tc>
          <w:tcPr>
            <w:tcW w:w="857" w:type="pct"/>
            <w:vAlign w:val="center"/>
          </w:tcPr>
          <w:p w14:paraId="0D0203BD" w14:textId="77777777" w:rsidR="00DC5685" w:rsidRPr="00A34F10" w:rsidRDefault="00DC5685" w:rsidP="00DC5685">
            <w:pPr>
              <w:rPr>
                <w:b/>
                <w:sz w:val="20"/>
                <w:szCs w:val="20"/>
              </w:rPr>
            </w:pPr>
            <w:r w:rsidRPr="00A34F10">
              <w:rPr>
                <w:b/>
                <w:sz w:val="20"/>
                <w:szCs w:val="20"/>
              </w:rPr>
              <w:t>Emerged plants per replicate</w:t>
            </w:r>
          </w:p>
          <w:p w14:paraId="21562CCC" w14:textId="77777777" w:rsidR="00DC5685" w:rsidRPr="00A34F10" w:rsidRDefault="00DC5685" w:rsidP="00DC5685">
            <w:pPr>
              <w:rPr>
                <w:b/>
                <w:sz w:val="20"/>
                <w:szCs w:val="20"/>
              </w:rPr>
            </w:pPr>
            <w:r w:rsidRPr="00A34F10">
              <w:rPr>
                <w:b/>
                <w:sz w:val="20"/>
                <w:szCs w:val="20"/>
              </w:rPr>
              <w:t>0-21 DAE</w:t>
            </w:r>
          </w:p>
        </w:tc>
        <w:tc>
          <w:tcPr>
            <w:tcW w:w="612" w:type="pct"/>
            <w:vAlign w:val="center"/>
          </w:tcPr>
          <w:p w14:paraId="02015E5D" w14:textId="77777777" w:rsidR="00DC5685" w:rsidRPr="00A34F10" w:rsidRDefault="00DC5685" w:rsidP="00DC5685">
            <w:pPr>
              <w:rPr>
                <w:b/>
                <w:sz w:val="20"/>
                <w:szCs w:val="20"/>
              </w:rPr>
            </w:pPr>
            <w:r w:rsidRPr="00A34F10">
              <w:rPr>
                <w:b/>
                <w:sz w:val="20"/>
                <w:szCs w:val="20"/>
              </w:rPr>
              <w:t>Emergence compared to control [%]</w:t>
            </w:r>
          </w:p>
        </w:tc>
        <w:tc>
          <w:tcPr>
            <w:tcW w:w="490" w:type="pct"/>
            <w:vAlign w:val="center"/>
          </w:tcPr>
          <w:p w14:paraId="098DB782" w14:textId="77777777" w:rsidR="00DC5685" w:rsidRPr="00A34F10" w:rsidRDefault="00DC5685" w:rsidP="00DC5685">
            <w:pPr>
              <w:rPr>
                <w:b/>
                <w:sz w:val="20"/>
                <w:szCs w:val="20"/>
              </w:rPr>
            </w:pPr>
            <w:r w:rsidRPr="00A34F10">
              <w:rPr>
                <w:b/>
                <w:sz w:val="20"/>
                <w:szCs w:val="20"/>
              </w:rPr>
              <w:t>Survival</w:t>
            </w:r>
          </w:p>
          <w:p w14:paraId="1CC59FAB" w14:textId="77777777" w:rsidR="00DC5685" w:rsidRPr="00A34F10" w:rsidRDefault="00DC5685" w:rsidP="00DC5685">
            <w:pPr>
              <w:rPr>
                <w:b/>
                <w:sz w:val="20"/>
                <w:szCs w:val="20"/>
              </w:rPr>
            </w:pPr>
            <w:r w:rsidRPr="00A34F10">
              <w:rPr>
                <w:b/>
                <w:sz w:val="20"/>
                <w:szCs w:val="20"/>
              </w:rPr>
              <w:t>[%]</w:t>
            </w:r>
          </w:p>
        </w:tc>
        <w:tc>
          <w:tcPr>
            <w:tcW w:w="600" w:type="pct"/>
            <w:vAlign w:val="center"/>
          </w:tcPr>
          <w:p w14:paraId="648B1862" w14:textId="77777777" w:rsidR="00DC5685" w:rsidRPr="00A34F10" w:rsidRDefault="00DC5685" w:rsidP="00DC5685">
            <w:pPr>
              <w:rPr>
                <w:b/>
                <w:sz w:val="20"/>
                <w:szCs w:val="20"/>
              </w:rPr>
            </w:pPr>
            <w:r w:rsidRPr="00A34F10">
              <w:rPr>
                <w:b/>
                <w:sz w:val="20"/>
                <w:szCs w:val="20"/>
              </w:rPr>
              <w:t>Phytotoxic effects</w:t>
            </w:r>
          </w:p>
          <w:p w14:paraId="47335E2D" w14:textId="77777777" w:rsidR="00DC5685" w:rsidRPr="00A34F10" w:rsidRDefault="00DC5685" w:rsidP="00DC5685">
            <w:pPr>
              <w:rPr>
                <w:b/>
                <w:sz w:val="20"/>
                <w:szCs w:val="20"/>
              </w:rPr>
            </w:pPr>
            <w:r w:rsidRPr="00A34F10">
              <w:rPr>
                <w:b/>
                <w:sz w:val="20"/>
                <w:szCs w:val="20"/>
              </w:rPr>
              <w:t>[%]</w:t>
            </w:r>
          </w:p>
        </w:tc>
        <w:tc>
          <w:tcPr>
            <w:tcW w:w="297" w:type="pct"/>
            <w:vAlign w:val="center"/>
          </w:tcPr>
          <w:p w14:paraId="18B0BC2B" w14:textId="77777777" w:rsidR="00DC5685" w:rsidRPr="00A34F10" w:rsidRDefault="00DC5685" w:rsidP="00DC5685">
            <w:pPr>
              <w:rPr>
                <w:b/>
                <w:sz w:val="20"/>
                <w:szCs w:val="20"/>
              </w:rPr>
            </w:pPr>
            <w:r w:rsidRPr="00A34F10">
              <w:rPr>
                <w:b/>
                <w:sz w:val="20"/>
                <w:szCs w:val="20"/>
              </w:rPr>
              <w:t>Length [cm]</w:t>
            </w:r>
          </w:p>
        </w:tc>
        <w:tc>
          <w:tcPr>
            <w:tcW w:w="798" w:type="pct"/>
            <w:vAlign w:val="center"/>
          </w:tcPr>
          <w:p w14:paraId="4F2F6C9A" w14:textId="77777777" w:rsidR="00DC5685" w:rsidRPr="00A34F10" w:rsidRDefault="00DC5685" w:rsidP="00DC5685">
            <w:pPr>
              <w:rPr>
                <w:b/>
                <w:sz w:val="20"/>
                <w:szCs w:val="20"/>
              </w:rPr>
            </w:pPr>
            <w:r w:rsidRPr="00A34F10">
              <w:rPr>
                <w:b/>
                <w:sz w:val="20"/>
                <w:szCs w:val="20"/>
              </w:rPr>
              <w:t>Biomass (dry)</w:t>
            </w:r>
          </w:p>
          <w:p w14:paraId="69662583" w14:textId="77777777" w:rsidR="00DC5685" w:rsidRPr="00A34F10" w:rsidRDefault="00DC5685" w:rsidP="00DC5685">
            <w:pPr>
              <w:rPr>
                <w:b/>
                <w:sz w:val="20"/>
                <w:szCs w:val="20"/>
              </w:rPr>
            </w:pPr>
            <w:r w:rsidRPr="00A34F10">
              <w:rPr>
                <w:b/>
                <w:sz w:val="20"/>
                <w:szCs w:val="20"/>
              </w:rPr>
              <w:t>[g]</w:t>
            </w:r>
          </w:p>
        </w:tc>
      </w:tr>
      <w:tr w:rsidR="00DC5685" w:rsidRPr="00A34F10" w14:paraId="4363D1D2" w14:textId="77777777" w:rsidTr="000470C3">
        <w:tc>
          <w:tcPr>
            <w:tcW w:w="582" w:type="pct"/>
            <w:vMerge w:val="restart"/>
            <w:vAlign w:val="center"/>
          </w:tcPr>
          <w:p w14:paraId="102E2CED" w14:textId="77777777" w:rsidR="00DC5685" w:rsidRPr="00A34F10" w:rsidRDefault="00DC5685" w:rsidP="00DC5685">
            <w:pPr>
              <w:rPr>
                <w:bCs/>
                <w:sz w:val="20"/>
                <w:szCs w:val="20"/>
              </w:rPr>
            </w:pPr>
            <w:r w:rsidRPr="00A34F10">
              <w:rPr>
                <w:bCs/>
                <w:sz w:val="20"/>
                <w:szCs w:val="20"/>
              </w:rPr>
              <w:t>Carrot</w:t>
            </w:r>
          </w:p>
        </w:tc>
        <w:tc>
          <w:tcPr>
            <w:tcW w:w="764" w:type="pct"/>
            <w:vAlign w:val="center"/>
          </w:tcPr>
          <w:p w14:paraId="567E38F8" w14:textId="77777777" w:rsidR="00DC5685" w:rsidRPr="00A34F10" w:rsidRDefault="00DC5685" w:rsidP="00DC5685">
            <w:pPr>
              <w:rPr>
                <w:bCs/>
                <w:sz w:val="20"/>
                <w:szCs w:val="20"/>
              </w:rPr>
            </w:pPr>
            <w:r w:rsidRPr="00A34F10">
              <w:rPr>
                <w:bCs/>
                <w:sz w:val="20"/>
                <w:szCs w:val="20"/>
              </w:rPr>
              <w:t>0.0</w:t>
            </w:r>
          </w:p>
        </w:tc>
        <w:tc>
          <w:tcPr>
            <w:tcW w:w="857" w:type="pct"/>
            <w:vAlign w:val="center"/>
          </w:tcPr>
          <w:p w14:paraId="435C56C3" w14:textId="77777777" w:rsidR="00DC5685" w:rsidRPr="00A34F10" w:rsidRDefault="00DC5685" w:rsidP="00DC5685">
            <w:pPr>
              <w:rPr>
                <w:b/>
                <w:sz w:val="20"/>
                <w:szCs w:val="20"/>
              </w:rPr>
            </w:pPr>
            <w:r w:rsidRPr="00A34F10">
              <w:rPr>
                <w:sz w:val="20"/>
                <w:szCs w:val="20"/>
              </w:rPr>
              <w:t xml:space="preserve">8.3 </w:t>
            </w:r>
          </w:p>
        </w:tc>
        <w:tc>
          <w:tcPr>
            <w:tcW w:w="612" w:type="pct"/>
            <w:vAlign w:val="center"/>
          </w:tcPr>
          <w:p w14:paraId="48795A6B" w14:textId="77777777" w:rsidR="00DC5685" w:rsidRPr="00A34F10" w:rsidRDefault="00DC5685" w:rsidP="00DC5685">
            <w:pPr>
              <w:rPr>
                <w:b/>
                <w:sz w:val="20"/>
                <w:szCs w:val="20"/>
              </w:rPr>
            </w:pPr>
            <w:r w:rsidRPr="00A34F10">
              <w:rPr>
                <w:sz w:val="20"/>
                <w:szCs w:val="20"/>
              </w:rPr>
              <w:t>-</w:t>
            </w:r>
          </w:p>
        </w:tc>
        <w:tc>
          <w:tcPr>
            <w:tcW w:w="490" w:type="pct"/>
            <w:vAlign w:val="center"/>
          </w:tcPr>
          <w:p w14:paraId="728EA411"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65392146" w14:textId="77777777" w:rsidR="00DC5685" w:rsidRPr="00A34F10" w:rsidRDefault="00DC5685" w:rsidP="00DC5685">
            <w:pPr>
              <w:rPr>
                <w:sz w:val="20"/>
                <w:szCs w:val="20"/>
              </w:rPr>
            </w:pPr>
            <w:r w:rsidRPr="00A34F10">
              <w:rPr>
                <w:sz w:val="20"/>
                <w:szCs w:val="20"/>
              </w:rPr>
              <w:t>0</w:t>
            </w:r>
          </w:p>
        </w:tc>
        <w:tc>
          <w:tcPr>
            <w:tcW w:w="297" w:type="pct"/>
            <w:vAlign w:val="center"/>
          </w:tcPr>
          <w:p w14:paraId="5BBE796F" w14:textId="77777777" w:rsidR="00DC5685" w:rsidRPr="00A34F10" w:rsidRDefault="00DC5685" w:rsidP="00DC5685">
            <w:pPr>
              <w:rPr>
                <w:sz w:val="20"/>
                <w:szCs w:val="20"/>
              </w:rPr>
            </w:pPr>
            <w:r w:rsidRPr="00A34F10">
              <w:rPr>
                <w:sz w:val="20"/>
                <w:szCs w:val="20"/>
              </w:rPr>
              <w:t>21.2</w:t>
            </w:r>
          </w:p>
        </w:tc>
        <w:tc>
          <w:tcPr>
            <w:tcW w:w="798" w:type="pct"/>
            <w:vAlign w:val="center"/>
          </w:tcPr>
          <w:p w14:paraId="35456C98" w14:textId="77777777" w:rsidR="00DC5685" w:rsidRPr="00A34F10" w:rsidRDefault="00DC5685" w:rsidP="00DC5685">
            <w:pPr>
              <w:rPr>
                <w:sz w:val="20"/>
                <w:szCs w:val="20"/>
              </w:rPr>
            </w:pPr>
            <w:r w:rsidRPr="00A34F10">
              <w:rPr>
                <w:sz w:val="20"/>
                <w:szCs w:val="20"/>
              </w:rPr>
              <w:t>3.941</w:t>
            </w:r>
          </w:p>
        </w:tc>
      </w:tr>
      <w:tr w:rsidR="00DC5685" w:rsidRPr="00A34F10" w14:paraId="3EAE5A1F" w14:textId="77777777" w:rsidTr="000470C3">
        <w:tc>
          <w:tcPr>
            <w:tcW w:w="582" w:type="pct"/>
            <w:vMerge/>
            <w:vAlign w:val="center"/>
          </w:tcPr>
          <w:p w14:paraId="67752D85" w14:textId="77777777" w:rsidR="00DC5685" w:rsidRPr="00A34F10" w:rsidRDefault="00DC5685" w:rsidP="00DC5685">
            <w:pPr>
              <w:rPr>
                <w:bCs/>
                <w:sz w:val="20"/>
                <w:szCs w:val="20"/>
              </w:rPr>
            </w:pPr>
          </w:p>
        </w:tc>
        <w:tc>
          <w:tcPr>
            <w:tcW w:w="764" w:type="pct"/>
            <w:vAlign w:val="center"/>
          </w:tcPr>
          <w:p w14:paraId="1560250E" w14:textId="77777777" w:rsidR="00DC5685" w:rsidRPr="00A34F10" w:rsidRDefault="00DC5685" w:rsidP="00DC5685">
            <w:pPr>
              <w:rPr>
                <w:bCs/>
                <w:sz w:val="20"/>
                <w:szCs w:val="20"/>
              </w:rPr>
            </w:pPr>
            <w:r w:rsidRPr="00A34F10">
              <w:rPr>
                <w:bCs/>
                <w:sz w:val="20"/>
                <w:szCs w:val="20"/>
              </w:rPr>
              <w:t>3.85</w:t>
            </w:r>
          </w:p>
        </w:tc>
        <w:tc>
          <w:tcPr>
            <w:tcW w:w="857" w:type="pct"/>
            <w:vAlign w:val="center"/>
          </w:tcPr>
          <w:p w14:paraId="247A467B" w14:textId="77777777" w:rsidR="00DC5685" w:rsidRPr="00A34F10" w:rsidRDefault="00DC5685" w:rsidP="00DC5685">
            <w:pPr>
              <w:rPr>
                <w:b/>
                <w:sz w:val="20"/>
                <w:szCs w:val="20"/>
              </w:rPr>
            </w:pPr>
            <w:r w:rsidRPr="00A34F10">
              <w:rPr>
                <w:sz w:val="20"/>
                <w:szCs w:val="20"/>
              </w:rPr>
              <w:t xml:space="preserve">8.3 </w:t>
            </w:r>
          </w:p>
        </w:tc>
        <w:tc>
          <w:tcPr>
            <w:tcW w:w="612" w:type="pct"/>
            <w:vAlign w:val="center"/>
          </w:tcPr>
          <w:p w14:paraId="01EE9F99" w14:textId="77777777" w:rsidR="00DC5685" w:rsidRPr="00A34F10" w:rsidRDefault="00DC5685" w:rsidP="00DC5685">
            <w:pPr>
              <w:rPr>
                <w:b/>
                <w:sz w:val="20"/>
                <w:szCs w:val="20"/>
              </w:rPr>
            </w:pPr>
            <w:r w:rsidRPr="00A34F10">
              <w:rPr>
                <w:sz w:val="20"/>
                <w:szCs w:val="20"/>
              </w:rPr>
              <w:t>83</w:t>
            </w:r>
          </w:p>
        </w:tc>
        <w:tc>
          <w:tcPr>
            <w:tcW w:w="490" w:type="pct"/>
            <w:vAlign w:val="center"/>
          </w:tcPr>
          <w:p w14:paraId="3A6D6BED"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12D2378C" w14:textId="77777777" w:rsidR="00DC5685" w:rsidRPr="00A34F10" w:rsidRDefault="00DC5685" w:rsidP="00DC5685">
            <w:pPr>
              <w:rPr>
                <w:sz w:val="20"/>
                <w:szCs w:val="20"/>
              </w:rPr>
            </w:pPr>
            <w:r w:rsidRPr="00A34F10">
              <w:rPr>
                <w:sz w:val="20"/>
                <w:szCs w:val="20"/>
              </w:rPr>
              <w:t>0</w:t>
            </w:r>
          </w:p>
        </w:tc>
        <w:tc>
          <w:tcPr>
            <w:tcW w:w="297" w:type="pct"/>
            <w:vAlign w:val="center"/>
          </w:tcPr>
          <w:p w14:paraId="25A9B52D" w14:textId="77777777" w:rsidR="00DC5685" w:rsidRPr="00A34F10" w:rsidRDefault="00DC5685" w:rsidP="00DC5685">
            <w:pPr>
              <w:rPr>
                <w:sz w:val="20"/>
                <w:szCs w:val="20"/>
              </w:rPr>
            </w:pPr>
            <w:r w:rsidRPr="00A34F10">
              <w:rPr>
                <w:sz w:val="20"/>
                <w:szCs w:val="20"/>
              </w:rPr>
              <w:t>21.2</w:t>
            </w:r>
          </w:p>
        </w:tc>
        <w:tc>
          <w:tcPr>
            <w:tcW w:w="798" w:type="pct"/>
            <w:vAlign w:val="center"/>
          </w:tcPr>
          <w:p w14:paraId="7A98457A" w14:textId="77777777" w:rsidR="00DC5685" w:rsidRPr="00A34F10" w:rsidRDefault="00DC5685" w:rsidP="00DC5685">
            <w:pPr>
              <w:rPr>
                <w:sz w:val="20"/>
                <w:szCs w:val="20"/>
              </w:rPr>
            </w:pPr>
            <w:r w:rsidRPr="00A34F10">
              <w:rPr>
                <w:sz w:val="20"/>
                <w:szCs w:val="20"/>
              </w:rPr>
              <w:t>3.923</w:t>
            </w:r>
          </w:p>
        </w:tc>
      </w:tr>
      <w:tr w:rsidR="00DC5685" w:rsidRPr="00A34F10" w14:paraId="58E4E4B5" w14:textId="77777777" w:rsidTr="000470C3">
        <w:tc>
          <w:tcPr>
            <w:tcW w:w="582" w:type="pct"/>
            <w:vMerge w:val="restart"/>
            <w:vAlign w:val="center"/>
          </w:tcPr>
          <w:p w14:paraId="41C43A64" w14:textId="77777777" w:rsidR="00DC5685" w:rsidRPr="00A34F10" w:rsidRDefault="00DC5685" w:rsidP="00DC5685">
            <w:pPr>
              <w:rPr>
                <w:bCs/>
                <w:sz w:val="20"/>
                <w:szCs w:val="20"/>
              </w:rPr>
            </w:pPr>
            <w:r w:rsidRPr="00A34F10">
              <w:rPr>
                <w:bCs/>
                <w:sz w:val="20"/>
                <w:szCs w:val="20"/>
              </w:rPr>
              <w:t>Lettuce</w:t>
            </w:r>
          </w:p>
        </w:tc>
        <w:tc>
          <w:tcPr>
            <w:tcW w:w="764" w:type="pct"/>
            <w:vAlign w:val="center"/>
          </w:tcPr>
          <w:p w14:paraId="2000F415" w14:textId="77777777" w:rsidR="00DC5685" w:rsidRPr="00A34F10" w:rsidRDefault="00DC5685" w:rsidP="00DC5685">
            <w:pPr>
              <w:rPr>
                <w:b/>
                <w:sz w:val="20"/>
                <w:szCs w:val="20"/>
              </w:rPr>
            </w:pPr>
            <w:r w:rsidRPr="00A34F10">
              <w:rPr>
                <w:bCs/>
                <w:sz w:val="20"/>
                <w:szCs w:val="20"/>
              </w:rPr>
              <w:t>0.0</w:t>
            </w:r>
          </w:p>
        </w:tc>
        <w:tc>
          <w:tcPr>
            <w:tcW w:w="857" w:type="pct"/>
            <w:vAlign w:val="center"/>
          </w:tcPr>
          <w:p w14:paraId="5FA096BA" w14:textId="77777777" w:rsidR="00DC5685" w:rsidRPr="00A34F10" w:rsidRDefault="00DC5685" w:rsidP="00DC5685">
            <w:pPr>
              <w:rPr>
                <w:b/>
                <w:sz w:val="20"/>
                <w:szCs w:val="20"/>
              </w:rPr>
            </w:pPr>
            <w:r w:rsidRPr="00A34F10">
              <w:rPr>
                <w:sz w:val="20"/>
                <w:szCs w:val="20"/>
              </w:rPr>
              <w:t>10.0</w:t>
            </w:r>
          </w:p>
        </w:tc>
        <w:tc>
          <w:tcPr>
            <w:tcW w:w="612" w:type="pct"/>
            <w:vAlign w:val="center"/>
          </w:tcPr>
          <w:p w14:paraId="2EC35A41" w14:textId="77777777" w:rsidR="00DC5685" w:rsidRPr="00A34F10" w:rsidRDefault="00DC5685" w:rsidP="00DC5685">
            <w:pPr>
              <w:rPr>
                <w:b/>
                <w:sz w:val="20"/>
                <w:szCs w:val="20"/>
              </w:rPr>
            </w:pPr>
            <w:r w:rsidRPr="00A34F10">
              <w:rPr>
                <w:sz w:val="20"/>
                <w:szCs w:val="20"/>
              </w:rPr>
              <w:t>-</w:t>
            </w:r>
          </w:p>
        </w:tc>
        <w:tc>
          <w:tcPr>
            <w:tcW w:w="490" w:type="pct"/>
            <w:vAlign w:val="center"/>
          </w:tcPr>
          <w:p w14:paraId="176A2CAF"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5F40EA79" w14:textId="77777777" w:rsidR="00DC5685" w:rsidRPr="00A34F10" w:rsidRDefault="00DC5685" w:rsidP="00DC5685">
            <w:pPr>
              <w:rPr>
                <w:sz w:val="20"/>
                <w:szCs w:val="20"/>
              </w:rPr>
            </w:pPr>
            <w:r w:rsidRPr="00A34F10">
              <w:rPr>
                <w:sz w:val="20"/>
                <w:szCs w:val="20"/>
              </w:rPr>
              <w:t>0</w:t>
            </w:r>
          </w:p>
        </w:tc>
        <w:tc>
          <w:tcPr>
            <w:tcW w:w="297" w:type="pct"/>
            <w:vAlign w:val="center"/>
          </w:tcPr>
          <w:p w14:paraId="587006F0" w14:textId="77777777" w:rsidR="00DC5685" w:rsidRPr="00A34F10" w:rsidRDefault="00DC5685" w:rsidP="00DC5685">
            <w:pPr>
              <w:rPr>
                <w:sz w:val="20"/>
                <w:szCs w:val="20"/>
              </w:rPr>
            </w:pPr>
            <w:r w:rsidRPr="00A34F10">
              <w:rPr>
                <w:sz w:val="20"/>
                <w:szCs w:val="20"/>
              </w:rPr>
              <w:t>12.9</w:t>
            </w:r>
          </w:p>
        </w:tc>
        <w:tc>
          <w:tcPr>
            <w:tcW w:w="798" w:type="pct"/>
            <w:vAlign w:val="center"/>
          </w:tcPr>
          <w:p w14:paraId="5CC6FD01" w14:textId="77777777" w:rsidR="00DC5685" w:rsidRPr="00A34F10" w:rsidRDefault="00DC5685" w:rsidP="00DC5685">
            <w:pPr>
              <w:rPr>
                <w:sz w:val="20"/>
                <w:szCs w:val="20"/>
              </w:rPr>
            </w:pPr>
            <w:r w:rsidRPr="00A34F10">
              <w:rPr>
                <w:sz w:val="20"/>
                <w:szCs w:val="20"/>
              </w:rPr>
              <w:t>6.916</w:t>
            </w:r>
          </w:p>
        </w:tc>
      </w:tr>
      <w:tr w:rsidR="00DC5685" w:rsidRPr="00A34F10" w14:paraId="1C859ED7" w14:textId="77777777" w:rsidTr="000470C3">
        <w:tc>
          <w:tcPr>
            <w:tcW w:w="582" w:type="pct"/>
            <w:vMerge/>
            <w:vAlign w:val="center"/>
          </w:tcPr>
          <w:p w14:paraId="6026C952" w14:textId="77777777" w:rsidR="00DC5685" w:rsidRPr="00A34F10" w:rsidRDefault="00DC5685" w:rsidP="00DC5685">
            <w:pPr>
              <w:rPr>
                <w:bCs/>
                <w:sz w:val="20"/>
                <w:szCs w:val="20"/>
              </w:rPr>
            </w:pPr>
          </w:p>
        </w:tc>
        <w:tc>
          <w:tcPr>
            <w:tcW w:w="764" w:type="pct"/>
            <w:vAlign w:val="center"/>
          </w:tcPr>
          <w:p w14:paraId="4B063943" w14:textId="77777777" w:rsidR="00DC5685" w:rsidRPr="00A34F10" w:rsidRDefault="00DC5685" w:rsidP="00DC5685">
            <w:pPr>
              <w:rPr>
                <w:b/>
                <w:sz w:val="20"/>
                <w:szCs w:val="20"/>
              </w:rPr>
            </w:pPr>
            <w:r w:rsidRPr="00A34F10">
              <w:rPr>
                <w:bCs/>
                <w:sz w:val="20"/>
                <w:szCs w:val="20"/>
              </w:rPr>
              <w:t>3.85</w:t>
            </w:r>
          </w:p>
        </w:tc>
        <w:tc>
          <w:tcPr>
            <w:tcW w:w="857" w:type="pct"/>
            <w:vAlign w:val="center"/>
          </w:tcPr>
          <w:p w14:paraId="48CF9D73" w14:textId="77777777" w:rsidR="00DC5685" w:rsidRPr="00A34F10" w:rsidRDefault="00DC5685" w:rsidP="00DC5685">
            <w:pPr>
              <w:rPr>
                <w:b/>
                <w:sz w:val="20"/>
                <w:szCs w:val="20"/>
              </w:rPr>
            </w:pPr>
            <w:r w:rsidRPr="00A34F10">
              <w:rPr>
                <w:sz w:val="20"/>
                <w:szCs w:val="20"/>
              </w:rPr>
              <w:t xml:space="preserve">10.0 </w:t>
            </w:r>
          </w:p>
        </w:tc>
        <w:tc>
          <w:tcPr>
            <w:tcW w:w="612" w:type="pct"/>
            <w:vAlign w:val="center"/>
          </w:tcPr>
          <w:p w14:paraId="5FD82402" w14:textId="77777777" w:rsidR="00DC5685" w:rsidRPr="00A34F10" w:rsidRDefault="00DC5685" w:rsidP="00DC5685">
            <w:pPr>
              <w:rPr>
                <w:b/>
                <w:sz w:val="20"/>
                <w:szCs w:val="20"/>
              </w:rPr>
            </w:pPr>
            <w:r w:rsidRPr="00A34F10">
              <w:rPr>
                <w:sz w:val="20"/>
                <w:szCs w:val="20"/>
              </w:rPr>
              <w:t>100</w:t>
            </w:r>
          </w:p>
        </w:tc>
        <w:tc>
          <w:tcPr>
            <w:tcW w:w="490" w:type="pct"/>
            <w:vAlign w:val="center"/>
          </w:tcPr>
          <w:p w14:paraId="01EA5BC3"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16CF050F" w14:textId="77777777" w:rsidR="00DC5685" w:rsidRPr="00A34F10" w:rsidRDefault="00DC5685" w:rsidP="00DC5685">
            <w:pPr>
              <w:rPr>
                <w:sz w:val="20"/>
                <w:szCs w:val="20"/>
              </w:rPr>
            </w:pPr>
            <w:r w:rsidRPr="00A34F10">
              <w:rPr>
                <w:sz w:val="20"/>
                <w:szCs w:val="20"/>
              </w:rPr>
              <w:t>0</w:t>
            </w:r>
          </w:p>
        </w:tc>
        <w:tc>
          <w:tcPr>
            <w:tcW w:w="297" w:type="pct"/>
            <w:vAlign w:val="center"/>
          </w:tcPr>
          <w:p w14:paraId="1F01D34A" w14:textId="77777777" w:rsidR="00DC5685" w:rsidRPr="00A34F10" w:rsidRDefault="00DC5685" w:rsidP="00DC5685">
            <w:pPr>
              <w:rPr>
                <w:sz w:val="20"/>
                <w:szCs w:val="20"/>
              </w:rPr>
            </w:pPr>
            <w:r w:rsidRPr="00A34F10">
              <w:rPr>
                <w:sz w:val="20"/>
                <w:szCs w:val="20"/>
              </w:rPr>
              <w:t>12.7</w:t>
            </w:r>
          </w:p>
        </w:tc>
        <w:tc>
          <w:tcPr>
            <w:tcW w:w="798" w:type="pct"/>
            <w:vAlign w:val="center"/>
          </w:tcPr>
          <w:p w14:paraId="24138943" w14:textId="77777777" w:rsidR="00DC5685" w:rsidRPr="00A34F10" w:rsidRDefault="00DC5685" w:rsidP="00DC5685">
            <w:pPr>
              <w:rPr>
                <w:sz w:val="20"/>
                <w:szCs w:val="20"/>
              </w:rPr>
            </w:pPr>
            <w:r w:rsidRPr="00A34F10">
              <w:rPr>
                <w:sz w:val="20"/>
                <w:szCs w:val="20"/>
              </w:rPr>
              <w:t>6.858</w:t>
            </w:r>
          </w:p>
        </w:tc>
      </w:tr>
      <w:tr w:rsidR="00DC5685" w:rsidRPr="00A34F10" w14:paraId="08D3069C" w14:textId="77777777" w:rsidTr="000470C3">
        <w:trPr>
          <w:trHeight w:val="70"/>
        </w:trPr>
        <w:tc>
          <w:tcPr>
            <w:tcW w:w="582" w:type="pct"/>
            <w:vMerge w:val="restart"/>
            <w:vAlign w:val="center"/>
          </w:tcPr>
          <w:p w14:paraId="4D2B6D3B" w14:textId="77777777" w:rsidR="00DC5685" w:rsidRPr="00A34F10" w:rsidRDefault="00DC5685" w:rsidP="00DC5685">
            <w:pPr>
              <w:rPr>
                <w:bCs/>
                <w:sz w:val="20"/>
                <w:szCs w:val="20"/>
              </w:rPr>
            </w:pPr>
            <w:r w:rsidRPr="00A34F10">
              <w:rPr>
                <w:bCs/>
                <w:sz w:val="20"/>
                <w:szCs w:val="20"/>
              </w:rPr>
              <w:t>Oilseed rape</w:t>
            </w:r>
          </w:p>
        </w:tc>
        <w:tc>
          <w:tcPr>
            <w:tcW w:w="764" w:type="pct"/>
            <w:vAlign w:val="center"/>
          </w:tcPr>
          <w:p w14:paraId="160A4315" w14:textId="77777777" w:rsidR="00DC5685" w:rsidRPr="00A34F10" w:rsidRDefault="00DC5685" w:rsidP="00DC5685">
            <w:pPr>
              <w:rPr>
                <w:b/>
                <w:sz w:val="20"/>
                <w:szCs w:val="20"/>
              </w:rPr>
            </w:pPr>
            <w:r w:rsidRPr="00A34F10">
              <w:rPr>
                <w:bCs/>
                <w:sz w:val="20"/>
                <w:szCs w:val="20"/>
              </w:rPr>
              <w:t>0.0</w:t>
            </w:r>
          </w:p>
        </w:tc>
        <w:tc>
          <w:tcPr>
            <w:tcW w:w="857" w:type="pct"/>
            <w:vAlign w:val="center"/>
          </w:tcPr>
          <w:p w14:paraId="22BC3D85" w14:textId="77777777" w:rsidR="00DC5685" w:rsidRPr="00A34F10" w:rsidRDefault="00DC5685" w:rsidP="00DC5685">
            <w:pPr>
              <w:rPr>
                <w:b/>
                <w:sz w:val="20"/>
                <w:szCs w:val="20"/>
              </w:rPr>
            </w:pPr>
            <w:r w:rsidRPr="00A34F10">
              <w:rPr>
                <w:sz w:val="20"/>
                <w:szCs w:val="20"/>
              </w:rPr>
              <w:t xml:space="preserve">8.0 </w:t>
            </w:r>
          </w:p>
        </w:tc>
        <w:tc>
          <w:tcPr>
            <w:tcW w:w="612" w:type="pct"/>
            <w:vAlign w:val="center"/>
          </w:tcPr>
          <w:p w14:paraId="2A90D655" w14:textId="77777777" w:rsidR="00DC5685" w:rsidRPr="00A34F10" w:rsidRDefault="00DC5685" w:rsidP="00DC5685">
            <w:pPr>
              <w:rPr>
                <w:b/>
                <w:sz w:val="20"/>
                <w:szCs w:val="20"/>
              </w:rPr>
            </w:pPr>
            <w:r w:rsidRPr="00A34F10">
              <w:rPr>
                <w:b/>
                <w:sz w:val="20"/>
                <w:szCs w:val="20"/>
              </w:rPr>
              <w:t>-</w:t>
            </w:r>
          </w:p>
        </w:tc>
        <w:tc>
          <w:tcPr>
            <w:tcW w:w="490" w:type="pct"/>
            <w:vAlign w:val="center"/>
          </w:tcPr>
          <w:p w14:paraId="117B4B81"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420C586C" w14:textId="77777777" w:rsidR="00DC5685" w:rsidRPr="00A34F10" w:rsidRDefault="00DC5685" w:rsidP="00DC5685">
            <w:pPr>
              <w:rPr>
                <w:sz w:val="20"/>
                <w:szCs w:val="20"/>
              </w:rPr>
            </w:pPr>
            <w:r w:rsidRPr="00A34F10">
              <w:rPr>
                <w:sz w:val="20"/>
                <w:szCs w:val="20"/>
              </w:rPr>
              <w:t>0</w:t>
            </w:r>
          </w:p>
        </w:tc>
        <w:tc>
          <w:tcPr>
            <w:tcW w:w="297" w:type="pct"/>
            <w:vAlign w:val="center"/>
          </w:tcPr>
          <w:p w14:paraId="6EA908CA" w14:textId="77777777" w:rsidR="00DC5685" w:rsidRPr="00A34F10" w:rsidRDefault="00DC5685" w:rsidP="00DC5685">
            <w:pPr>
              <w:rPr>
                <w:sz w:val="20"/>
                <w:szCs w:val="20"/>
              </w:rPr>
            </w:pPr>
            <w:r w:rsidRPr="00A34F10">
              <w:rPr>
                <w:sz w:val="20"/>
                <w:szCs w:val="20"/>
              </w:rPr>
              <w:t>26.7</w:t>
            </w:r>
          </w:p>
        </w:tc>
        <w:tc>
          <w:tcPr>
            <w:tcW w:w="798" w:type="pct"/>
            <w:vAlign w:val="center"/>
          </w:tcPr>
          <w:p w14:paraId="65C31A40" w14:textId="77777777" w:rsidR="00DC5685" w:rsidRPr="00A34F10" w:rsidRDefault="00DC5685" w:rsidP="00DC5685">
            <w:pPr>
              <w:rPr>
                <w:sz w:val="20"/>
                <w:szCs w:val="20"/>
              </w:rPr>
            </w:pPr>
            <w:r w:rsidRPr="00A34F10">
              <w:rPr>
                <w:sz w:val="20"/>
                <w:szCs w:val="20"/>
              </w:rPr>
              <w:t>40.466</w:t>
            </w:r>
          </w:p>
        </w:tc>
      </w:tr>
      <w:tr w:rsidR="00DC5685" w:rsidRPr="00A34F10" w14:paraId="4B227840" w14:textId="77777777" w:rsidTr="000470C3">
        <w:trPr>
          <w:trHeight w:val="70"/>
        </w:trPr>
        <w:tc>
          <w:tcPr>
            <w:tcW w:w="582" w:type="pct"/>
            <w:vMerge/>
            <w:vAlign w:val="center"/>
          </w:tcPr>
          <w:p w14:paraId="22B13DBB" w14:textId="77777777" w:rsidR="00DC5685" w:rsidRPr="00A34F10" w:rsidRDefault="00DC5685" w:rsidP="00DC5685">
            <w:pPr>
              <w:rPr>
                <w:bCs/>
                <w:sz w:val="20"/>
                <w:szCs w:val="20"/>
              </w:rPr>
            </w:pPr>
          </w:p>
        </w:tc>
        <w:tc>
          <w:tcPr>
            <w:tcW w:w="764" w:type="pct"/>
            <w:vAlign w:val="center"/>
          </w:tcPr>
          <w:p w14:paraId="0499E51C" w14:textId="77777777" w:rsidR="00DC5685" w:rsidRPr="00A34F10" w:rsidRDefault="00DC5685" w:rsidP="00DC5685">
            <w:pPr>
              <w:rPr>
                <w:b/>
                <w:sz w:val="20"/>
                <w:szCs w:val="20"/>
              </w:rPr>
            </w:pPr>
            <w:r w:rsidRPr="00A34F10">
              <w:rPr>
                <w:bCs/>
                <w:sz w:val="20"/>
                <w:szCs w:val="20"/>
              </w:rPr>
              <w:t>3.85</w:t>
            </w:r>
          </w:p>
        </w:tc>
        <w:tc>
          <w:tcPr>
            <w:tcW w:w="857" w:type="pct"/>
            <w:vAlign w:val="center"/>
          </w:tcPr>
          <w:p w14:paraId="1EF7232A" w14:textId="77777777" w:rsidR="00DC5685" w:rsidRPr="00A34F10" w:rsidRDefault="00DC5685" w:rsidP="00DC5685">
            <w:pPr>
              <w:rPr>
                <w:b/>
                <w:sz w:val="20"/>
                <w:szCs w:val="20"/>
              </w:rPr>
            </w:pPr>
            <w:r w:rsidRPr="00A34F10">
              <w:rPr>
                <w:sz w:val="20"/>
                <w:szCs w:val="20"/>
              </w:rPr>
              <w:t xml:space="preserve">8.5 </w:t>
            </w:r>
          </w:p>
        </w:tc>
        <w:tc>
          <w:tcPr>
            <w:tcW w:w="612" w:type="pct"/>
            <w:vAlign w:val="center"/>
          </w:tcPr>
          <w:p w14:paraId="0A0CBA62" w14:textId="77777777" w:rsidR="00DC5685" w:rsidRPr="00A34F10" w:rsidRDefault="00DC5685" w:rsidP="00DC5685">
            <w:pPr>
              <w:rPr>
                <w:bCs/>
                <w:sz w:val="20"/>
                <w:szCs w:val="20"/>
              </w:rPr>
            </w:pPr>
            <w:r w:rsidRPr="00A34F10">
              <w:rPr>
                <w:bCs/>
                <w:sz w:val="20"/>
                <w:szCs w:val="20"/>
              </w:rPr>
              <w:t>106</w:t>
            </w:r>
          </w:p>
        </w:tc>
        <w:tc>
          <w:tcPr>
            <w:tcW w:w="490" w:type="pct"/>
            <w:vAlign w:val="center"/>
          </w:tcPr>
          <w:p w14:paraId="2556F6F4"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144CAEB5" w14:textId="77777777" w:rsidR="00DC5685" w:rsidRPr="00A34F10" w:rsidRDefault="00DC5685" w:rsidP="00DC5685">
            <w:pPr>
              <w:rPr>
                <w:sz w:val="20"/>
                <w:szCs w:val="20"/>
              </w:rPr>
            </w:pPr>
            <w:r w:rsidRPr="00A34F10">
              <w:rPr>
                <w:sz w:val="20"/>
                <w:szCs w:val="20"/>
              </w:rPr>
              <w:t>0</w:t>
            </w:r>
          </w:p>
        </w:tc>
        <w:tc>
          <w:tcPr>
            <w:tcW w:w="297" w:type="pct"/>
            <w:vAlign w:val="center"/>
          </w:tcPr>
          <w:p w14:paraId="5CD714D8" w14:textId="77777777" w:rsidR="00DC5685" w:rsidRPr="00A34F10" w:rsidRDefault="00DC5685" w:rsidP="00DC5685">
            <w:pPr>
              <w:rPr>
                <w:sz w:val="20"/>
                <w:szCs w:val="20"/>
              </w:rPr>
            </w:pPr>
            <w:r w:rsidRPr="00A34F10">
              <w:rPr>
                <w:sz w:val="20"/>
                <w:szCs w:val="20"/>
              </w:rPr>
              <w:t>26.1</w:t>
            </w:r>
          </w:p>
        </w:tc>
        <w:tc>
          <w:tcPr>
            <w:tcW w:w="798" w:type="pct"/>
            <w:vAlign w:val="center"/>
          </w:tcPr>
          <w:p w14:paraId="42477A0F" w14:textId="77777777" w:rsidR="00DC5685" w:rsidRPr="00A34F10" w:rsidRDefault="00DC5685" w:rsidP="00DC5685">
            <w:pPr>
              <w:rPr>
                <w:sz w:val="20"/>
                <w:szCs w:val="20"/>
              </w:rPr>
            </w:pPr>
            <w:r w:rsidRPr="00A34F10">
              <w:rPr>
                <w:sz w:val="20"/>
                <w:szCs w:val="20"/>
              </w:rPr>
              <w:t>39.995</w:t>
            </w:r>
          </w:p>
        </w:tc>
      </w:tr>
      <w:tr w:rsidR="00DC5685" w:rsidRPr="00A34F10" w14:paraId="16D7D60F" w14:textId="77777777" w:rsidTr="000470C3">
        <w:tc>
          <w:tcPr>
            <w:tcW w:w="582" w:type="pct"/>
            <w:vMerge w:val="restart"/>
            <w:vAlign w:val="center"/>
          </w:tcPr>
          <w:p w14:paraId="046C112F" w14:textId="77777777" w:rsidR="00DC5685" w:rsidRPr="00A34F10" w:rsidRDefault="00DC5685" w:rsidP="00DC5685">
            <w:pPr>
              <w:rPr>
                <w:bCs/>
                <w:sz w:val="20"/>
                <w:szCs w:val="20"/>
              </w:rPr>
            </w:pPr>
            <w:r w:rsidRPr="00A34F10">
              <w:rPr>
                <w:bCs/>
                <w:sz w:val="20"/>
                <w:szCs w:val="20"/>
              </w:rPr>
              <w:t>Cucumber</w:t>
            </w:r>
          </w:p>
        </w:tc>
        <w:tc>
          <w:tcPr>
            <w:tcW w:w="764" w:type="pct"/>
            <w:vAlign w:val="center"/>
          </w:tcPr>
          <w:p w14:paraId="40DBFB0F" w14:textId="77777777" w:rsidR="00DC5685" w:rsidRPr="00A34F10" w:rsidRDefault="00DC5685" w:rsidP="00DC5685">
            <w:pPr>
              <w:rPr>
                <w:b/>
                <w:sz w:val="20"/>
                <w:szCs w:val="20"/>
              </w:rPr>
            </w:pPr>
            <w:r w:rsidRPr="00A34F10">
              <w:rPr>
                <w:bCs/>
                <w:sz w:val="20"/>
                <w:szCs w:val="20"/>
              </w:rPr>
              <w:t>0.0</w:t>
            </w:r>
          </w:p>
        </w:tc>
        <w:tc>
          <w:tcPr>
            <w:tcW w:w="857" w:type="pct"/>
            <w:vAlign w:val="center"/>
          </w:tcPr>
          <w:p w14:paraId="523B5720" w14:textId="77777777" w:rsidR="00DC5685" w:rsidRPr="00A34F10" w:rsidRDefault="00DC5685" w:rsidP="00DC5685">
            <w:pPr>
              <w:rPr>
                <w:b/>
                <w:sz w:val="20"/>
                <w:szCs w:val="20"/>
              </w:rPr>
            </w:pPr>
            <w:r w:rsidRPr="00A34F10">
              <w:rPr>
                <w:sz w:val="20"/>
                <w:szCs w:val="20"/>
              </w:rPr>
              <w:t xml:space="preserve">10.5 </w:t>
            </w:r>
          </w:p>
        </w:tc>
        <w:tc>
          <w:tcPr>
            <w:tcW w:w="612" w:type="pct"/>
            <w:vAlign w:val="center"/>
          </w:tcPr>
          <w:p w14:paraId="498A36F3" w14:textId="77777777" w:rsidR="00DC5685" w:rsidRPr="00A34F10" w:rsidRDefault="00DC5685" w:rsidP="00DC5685">
            <w:pPr>
              <w:rPr>
                <w:bCs/>
                <w:sz w:val="20"/>
                <w:szCs w:val="20"/>
              </w:rPr>
            </w:pPr>
            <w:r w:rsidRPr="00A34F10">
              <w:rPr>
                <w:bCs/>
                <w:sz w:val="20"/>
                <w:szCs w:val="20"/>
              </w:rPr>
              <w:t>-</w:t>
            </w:r>
          </w:p>
        </w:tc>
        <w:tc>
          <w:tcPr>
            <w:tcW w:w="490" w:type="pct"/>
            <w:vAlign w:val="center"/>
          </w:tcPr>
          <w:p w14:paraId="566AD753"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5BD37D31" w14:textId="77777777" w:rsidR="00DC5685" w:rsidRPr="00A34F10" w:rsidRDefault="00DC5685" w:rsidP="00DC5685">
            <w:pPr>
              <w:rPr>
                <w:sz w:val="20"/>
                <w:szCs w:val="20"/>
              </w:rPr>
            </w:pPr>
            <w:r w:rsidRPr="00A34F10">
              <w:rPr>
                <w:sz w:val="20"/>
                <w:szCs w:val="20"/>
              </w:rPr>
              <w:t>0</w:t>
            </w:r>
          </w:p>
        </w:tc>
        <w:tc>
          <w:tcPr>
            <w:tcW w:w="297" w:type="pct"/>
            <w:vAlign w:val="center"/>
          </w:tcPr>
          <w:p w14:paraId="5B76AC2C" w14:textId="77777777" w:rsidR="00DC5685" w:rsidRPr="00A34F10" w:rsidRDefault="00DC5685" w:rsidP="00DC5685">
            <w:pPr>
              <w:rPr>
                <w:sz w:val="20"/>
                <w:szCs w:val="20"/>
              </w:rPr>
            </w:pPr>
            <w:r w:rsidRPr="00A34F10">
              <w:rPr>
                <w:sz w:val="20"/>
                <w:szCs w:val="20"/>
              </w:rPr>
              <w:t>18.4</w:t>
            </w:r>
          </w:p>
        </w:tc>
        <w:tc>
          <w:tcPr>
            <w:tcW w:w="798" w:type="pct"/>
            <w:vAlign w:val="center"/>
          </w:tcPr>
          <w:p w14:paraId="72B7F8FC" w14:textId="77777777" w:rsidR="00DC5685" w:rsidRPr="00A34F10" w:rsidRDefault="00DC5685" w:rsidP="00DC5685">
            <w:pPr>
              <w:rPr>
                <w:sz w:val="20"/>
                <w:szCs w:val="20"/>
              </w:rPr>
            </w:pPr>
            <w:r w:rsidRPr="00A34F10">
              <w:rPr>
                <w:sz w:val="20"/>
                <w:szCs w:val="20"/>
              </w:rPr>
              <w:t>25.067</w:t>
            </w:r>
          </w:p>
        </w:tc>
      </w:tr>
      <w:tr w:rsidR="00DC5685" w:rsidRPr="00A34F10" w14:paraId="77C60223" w14:textId="77777777" w:rsidTr="000470C3">
        <w:tc>
          <w:tcPr>
            <w:tcW w:w="582" w:type="pct"/>
            <w:vMerge/>
            <w:vAlign w:val="center"/>
          </w:tcPr>
          <w:p w14:paraId="713BB053" w14:textId="77777777" w:rsidR="00DC5685" w:rsidRPr="00A34F10" w:rsidRDefault="00DC5685" w:rsidP="00DC5685">
            <w:pPr>
              <w:rPr>
                <w:bCs/>
                <w:sz w:val="20"/>
                <w:szCs w:val="20"/>
              </w:rPr>
            </w:pPr>
          </w:p>
        </w:tc>
        <w:tc>
          <w:tcPr>
            <w:tcW w:w="764" w:type="pct"/>
            <w:vAlign w:val="center"/>
          </w:tcPr>
          <w:p w14:paraId="19E846CF" w14:textId="77777777" w:rsidR="00DC5685" w:rsidRPr="00A34F10" w:rsidRDefault="00DC5685" w:rsidP="00DC5685">
            <w:pPr>
              <w:rPr>
                <w:b/>
                <w:sz w:val="20"/>
                <w:szCs w:val="20"/>
              </w:rPr>
            </w:pPr>
            <w:r w:rsidRPr="00A34F10">
              <w:rPr>
                <w:bCs/>
                <w:sz w:val="20"/>
                <w:szCs w:val="20"/>
              </w:rPr>
              <w:t>3.85</w:t>
            </w:r>
          </w:p>
        </w:tc>
        <w:tc>
          <w:tcPr>
            <w:tcW w:w="857" w:type="pct"/>
            <w:vAlign w:val="center"/>
          </w:tcPr>
          <w:p w14:paraId="7EF120FA" w14:textId="77777777" w:rsidR="00DC5685" w:rsidRPr="00A34F10" w:rsidRDefault="00DC5685" w:rsidP="00DC5685">
            <w:pPr>
              <w:rPr>
                <w:b/>
                <w:sz w:val="20"/>
                <w:szCs w:val="20"/>
              </w:rPr>
            </w:pPr>
            <w:r w:rsidRPr="00A34F10">
              <w:rPr>
                <w:sz w:val="20"/>
                <w:szCs w:val="20"/>
              </w:rPr>
              <w:t xml:space="preserve">10.0 </w:t>
            </w:r>
          </w:p>
        </w:tc>
        <w:tc>
          <w:tcPr>
            <w:tcW w:w="612" w:type="pct"/>
            <w:vAlign w:val="center"/>
          </w:tcPr>
          <w:p w14:paraId="038B165A" w14:textId="77777777" w:rsidR="00DC5685" w:rsidRPr="00A34F10" w:rsidRDefault="00DC5685" w:rsidP="00DC5685">
            <w:pPr>
              <w:rPr>
                <w:bCs/>
                <w:sz w:val="20"/>
                <w:szCs w:val="20"/>
              </w:rPr>
            </w:pPr>
            <w:r w:rsidRPr="00A34F10">
              <w:rPr>
                <w:bCs/>
                <w:sz w:val="20"/>
                <w:szCs w:val="20"/>
              </w:rPr>
              <w:t>95</w:t>
            </w:r>
          </w:p>
        </w:tc>
        <w:tc>
          <w:tcPr>
            <w:tcW w:w="490" w:type="pct"/>
            <w:vAlign w:val="center"/>
          </w:tcPr>
          <w:p w14:paraId="09E5342B"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390F1550" w14:textId="77777777" w:rsidR="00DC5685" w:rsidRPr="00A34F10" w:rsidRDefault="00DC5685" w:rsidP="00DC5685">
            <w:pPr>
              <w:rPr>
                <w:sz w:val="20"/>
                <w:szCs w:val="20"/>
              </w:rPr>
            </w:pPr>
            <w:r w:rsidRPr="00A34F10">
              <w:rPr>
                <w:sz w:val="20"/>
                <w:szCs w:val="20"/>
              </w:rPr>
              <w:t>0</w:t>
            </w:r>
          </w:p>
        </w:tc>
        <w:tc>
          <w:tcPr>
            <w:tcW w:w="297" w:type="pct"/>
            <w:vAlign w:val="center"/>
          </w:tcPr>
          <w:p w14:paraId="12B160AD" w14:textId="77777777" w:rsidR="00DC5685" w:rsidRPr="00A34F10" w:rsidRDefault="00DC5685" w:rsidP="00DC5685">
            <w:pPr>
              <w:rPr>
                <w:sz w:val="20"/>
                <w:szCs w:val="20"/>
              </w:rPr>
            </w:pPr>
            <w:r w:rsidRPr="00A34F10">
              <w:rPr>
                <w:sz w:val="20"/>
                <w:szCs w:val="20"/>
              </w:rPr>
              <w:t>17.6</w:t>
            </w:r>
          </w:p>
        </w:tc>
        <w:tc>
          <w:tcPr>
            <w:tcW w:w="798" w:type="pct"/>
            <w:vAlign w:val="center"/>
          </w:tcPr>
          <w:p w14:paraId="39D692AE" w14:textId="77777777" w:rsidR="00DC5685" w:rsidRPr="00A34F10" w:rsidRDefault="00DC5685" w:rsidP="00DC5685">
            <w:pPr>
              <w:rPr>
                <w:sz w:val="20"/>
                <w:szCs w:val="20"/>
              </w:rPr>
            </w:pPr>
            <w:r w:rsidRPr="00A34F10">
              <w:rPr>
                <w:sz w:val="20"/>
                <w:szCs w:val="20"/>
              </w:rPr>
              <w:t>22.991</w:t>
            </w:r>
          </w:p>
        </w:tc>
      </w:tr>
      <w:tr w:rsidR="00DC5685" w:rsidRPr="00A34F10" w14:paraId="249A7A82" w14:textId="77777777" w:rsidTr="000470C3">
        <w:tc>
          <w:tcPr>
            <w:tcW w:w="582" w:type="pct"/>
            <w:vMerge w:val="restart"/>
            <w:vAlign w:val="center"/>
          </w:tcPr>
          <w:p w14:paraId="024CEC42" w14:textId="77777777" w:rsidR="00DC5685" w:rsidRPr="00A34F10" w:rsidRDefault="00DC5685" w:rsidP="00DC5685">
            <w:pPr>
              <w:rPr>
                <w:bCs/>
                <w:sz w:val="20"/>
                <w:szCs w:val="20"/>
              </w:rPr>
            </w:pPr>
            <w:r w:rsidRPr="00A34F10">
              <w:rPr>
                <w:bCs/>
                <w:sz w:val="20"/>
                <w:szCs w:val="20"/>
              </w:rPr>
              <w:t>Soybean</w:t>
            </w:r>
          </w:p>
        </w:tc>
        <w:tc>
          <w:tcPr>
            <w:tcW w:w="764" w:type="pct"/>
            <w:vAlign w:val="center"/>
          </w:tcPr>
          <w:p w14:paraId="5C10570C" w14:textId="77777777" w:rsidR="00DC5685" w:rsidRPr="00A34F10" w:rsidRDefault="00DC5685" w:rsidP="00DC5685">
            <w:pPr>
              <w:rPr>
                <w:b/>
                <w:sz w:val="20"/>
                <w:szCs w:val="20"/>
              </w:rPr>
            </w:pPr>
            <w:r w:rsidRPr="00A34F10">
              <w:rPr>
                <w:bCs/>
                <w:sz w:val="20"/>
                <w:szCs w:val="20"/>
              </w:rPr>
              <w:t>0.0</w:t>
            </w:r>
          </w:p>
        </w:tc>
        <w:tc>
          <w:tcPr>
            <w:tcW w:w="857" w:type="pct"/>
            <w:vAlign w:val="center"/>
          </w:tcPr>
          <w:p w14:paraId="79E8549B" w14:textId="77777777" w:rsidR="00DC5685" w:rsidRPr="00A34F10" w:rsidRDefault="00DC5685" w:rsidP="00DC5685">
            <w:pPr>
              <w:rPr>
                <w:b/>
                <w:sz w:val="20"/>
                <w:szCs w:val="20"/>
              </w:rPr>
            </w:pPr>
            <w:r w:rsidRPr="00A34F10">
              <w:rPr>
                <w:sz w:val="20"/>
                <w:szCs w:val="20"/>
              </w:rPr>
              <w:t xml:space="preserve">8.5 </w:t>
            </w:r>
          </w:p>
        </w:tc>
        <w:tc>
          <w:tcPr>
            <w:tcW w:w="612" w:type="pct"/>
            <w:vAlign w:val="center"/>
          </w:tcPr>
          <w:p w14:paraId="6102A8B4" w14:textId="77777777" w:rsidR="00DC5685" w:rsidRPr="00A34F10" w:rsidRDefault="00DC5685" w:rsidP="00DC5685">
            <w:pPr>
              <w:rPr>
                <w:bCs/>
                <w:sz w:val="20"/>
                <w:szCs w:val="20"/>
              </w:rPr>
            </w:pPr>
            <w:r w:rsidRPr="00A34F10">
              <w:rPr>
                <w:bCs/>
                <w:sz w:val="20"/>
                <w:szCs w:val="20"/>
              </w:rPr>
              <w:t>-</w:t>
            </w:r>
          </w:p>
        </w:tc>
        <w:tc>
          <w:tcPr>
            <w:tcW w:w="490" w:type="pct"/>
            <w:vAlign w:val="center"/>
          </w:tcPr>
          <w:p w14:paraId="3E0EFEE5"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60557A8B" w14:textId="77777777" w:rsidR="00DC5685" w:rsidRPr="00A34F10" w:rsidRDefault="00DC5685" w:rsidP="00DC5685">
            <w:pPr>
              <w:rPr>
                <w:sz w:val="20"/>
                <w:szCs w:val="20"/>
              </w:rPr>
            </w:pPr>
            <w:r w:rsidRPr="00A34F10">
              <w:rPr>
                <w:sz w:val="20"/>
                <w:szCs w:val="20"/>
              </w:rPr>
              <w:t>0</w:t>
            </w:r>
          </w:p>
        </w:tc>
        <w:tc>
          <w:tcPr>
            <w:tcW w:w="297" w:type="pct"/>
            <w:vAlign w:val="center"/>
          </w:tcPr>
          <w:p w14:paraId="4A4B2127" w14:textId="77777777" w:rsidR="00DC5685" w:rsidRPr="00A34F10" w:rsidRDefault="00DC5685" w:rsidP="00DC5685">
            <w:pPr>
              <w:rPr>
                <w:sz w:val="20"/>
                <w:szCs w:val="20"/>
              </w:rPr>
            </w:pPr>
            <w:r w:rsidRPr="00A34F10">
              <w:rPr>
                <w:sz w:val="20"/>
                <w:szCs w:val="20"/>
              </w:rPr>
              <w:t>35.2</w:t>
            </w:r>
          </w:p>
        </w:tc>
        <w:tc>
          <w:tcPr>
            <w:tcW w:w="798" w:type="pct"/>
            <w:vAlign w:val="center"/>
          </w:tcPr>
          <w:p w14:paraId="3F43BC45" w14:textId="77777777" w:rsidR="00DC5685" w:rsidRPr="00A34F10" w:rsidRDefault="00DC5685" w:rsidP="00DC5685">
            <w:pPr>
              <w:rPr>
                <w:sz w:val="20"/>
                <w:szCs w:val="20"/>
              </w:rPr>
            </w:pPr>
            <w:r w:rsidRPr="00A34F10">
              <w:rPr>
                <w:sz w:val="20"/>
                <w:szCs w:val="20"/>
              </w:rPr>
              <w:t>22.881</w:t>
            </w:r>
          </w:p>
        </w:tc>
      </w:tr>
      <w:tr w:rsidR="00DC5685" w:rsidRPr="00A34F10" w14:paraId="6E7BECA2" w14:textId="77777777" w:rsidTr="000470C3">
        <w:tc>
          <w:tcPr>
            <w:tcW w:w="582" w:type="pct"/>
            <w:vMerge/>
            <w:vAlign w:val="center"/>
          </w:tcPr>
          <w:p w14:paraId="555AA617" w14:textId="77777777" w:rsidR="00DC5685" w:rsidRPr="00A34F10" w:rsidRDefault="00DC5685" w:rsidP="00DC5685">
            <w:pPr>
              <w:rPr>
                <w:bCs/>
                <w:sz w:val="20"/>
                <w:szCs w:val="20"/>
              </w:rPr>
            </w:pPr>
          </w:p>
        </w:tc>
        <w:tc>
          <w:tcPr>
            <w:tcW w:w="764" w:type="pct"/>
            <w:vAlign w:val="center"/>
          </w:tcPr>
          <w:p w14:paraId="11A2AA88" w14:textId="77777777" w:rsidR="00DC5685" w:rsidRPr="00A34F10" w:rsidRDefault="00DC5685" w:rsidP="00DC5685">
            <w:pPr>
              <w:rPr>
                <w:b/>
                <w:sz w:val="20"/>
                <w:szCs w:val="20"/>
              </w:rPr>
            </w:pPr>
            <w:r w:rsidRPr="00A34F10">
              <w:rPr>
                <w:bCs/>
                <w:sz w:val="20"/>
                <w:szCs w:val="20"/>
              </w:rPr>
              <w:t>3.85</w:t>
            </w:r>
          </w:p>
        </w:tc>
        <w:tc>
          <w:tcPr>
            <w:tcW w:w="857" w:type="pct"/>
            <w:vAlign w:val="center"/>
          </w:tcPr>
          <w:p w14:paraId="2874E5A5" w14:textId="77777777" w:rsidR="00DC5685" w:rsidRPr="00A34F10" w:rsidRDefault="00DC5685" w:rsidP="00DC5685">
            <w:pPr>
              <w:rPr>
                <w:b/>
                <w:sz w:val="20"/>
                <w:szCs w:val="20"/>
              </w:rPr>
            </w:pPr>
            <w:r w:rsidRPr="00A34F10">
              <w:rPr>
                <w:sz w:val="20"/>
                <w:szCs w:val="20"/>
              </w:rPr>
              <w:t xml:space="preserve">8.5 </w:t>
            </w:r>
          </w:p>
        </w:tc>
        <w:tc>
          <w:tcPr>
            <w:tcW w:w="612" w:type="pct"/>
            <w:vAlign w:val="center"/>
          </w:tcPr>
          <w:p w14:paraId="279AB44C" w14:textId="77777777" w:rsidR="00DC5685" w:rsidRPr="00A34F10" w:rsidRDefault="00DC5685" w:rsidP="00DC5685">
            <w:pPr>
              <w:rPr>
                <w:bCs/>
                <w:sz w:val="20"/>
                <w:szCs w:val="20"/>
              </w:rPr>
            </w:pPr>
            <w:r w:rsidRPr="00A34F10">
              <w:rPr>
                <w:bCs/>
                <w:sz w:val="20"/>
                <w:szCs w:val="20"/>
              </w:rPr>
              <w:t>100</w:t>
            </w:r>
          </w:p>
        </w:tc>
        <w:tc>
          <w:tcPr>
            <w:tcW w:w="490" w:type="pct"/>
            <w:vAlign w:val="center"/>
          </w:tcPr>
          <w:p w14:paraId="75039AC7"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2655B5F6" w14:textId="77777777" w:rsidR="00DC5685" w:rsidRPr="00A34F10" w:rsidRDefault="00DC5685" w:rsidP="00DC5685">
            <w:pPr>
              <w:rPr>
                <w:sz w:val="20"/>
                <w:szCs w:val="20"/>
              </w:rPr>
            </w:pPr>
            <w:r w:rsidRPr="00A34F10">
              <w:rPr>
                <w:sz w:val="20"/>
                <w:szCs w:val="20"/>
              </w:rPr>
              <w:t>0</w:t>
            </w:r>
          </w:p>
        </w:tc>
        <w:tc>
          <w:tcPr>
            <w:tcW w:w="297" w:type="pct"/>
            <w:vAlign w:val="center"/>
          </w:tcPr>
          <w:p w14:paraId="413266F9" w14:textId="77777777" w:rsidR="00DC5685" w:rsidRPr="00A34F10" w:rsidRDefault="00DC5685" w:rsidP="00DC5685">
            <w:pPr>
              <w:rPr>
                <w:sz w:val="20"/>
                <w:szCs w:val="20"/>
              </w:rPr>
            </w:pPr>
            <w:r w:rsidRPr="00A34F10">
              <w:rPr>
                <w:sz w:val="20"/>
                <w:szCs w:val="20"/>
              </w:rPr>
              <w:t>35.4</w:t>
            </w:r>
          </w:p>
        </w:tc>
        <w:tc>
          <w:tcPr>
            <w:tcW w:w="798" w:type="pct"/>
            <w:vAlign w:val="center"/>
          </w:tcPr>
          <w:p w14:paraId="45A538AC" w14:textId="77777777" w:rsidR="00DC5685" w:rsidRPr="00A34F10" w:rsidRDefault="00DC5685" w:rsidP="00DC5685">
            <w:pPr>
              <w:rPr>
                <w:sz w:val="20"/>
                <w:szCs w:val="20"/>
              </w:rPr>
            </w:pPr>
            <w:r w:rsidRPr="00A34F10">
              <w:rPr>
                <w:sz w:val="20"/>
                <w:szCs w:val="20"/>
              </w:rPr>
              <w:t>22.911</w:t>
            </w:r>
          </w:p>
        </w:tc>
      </w:tr>
      <w:tr w:rsidR="00DC5685" w:rsidRPr="00A34F10" w14:paraId="1B889952" w14:textId="77777777" w:rsidTr="000470C3">
        <w:tc>
          <w:tcPr>
            <w:tcW w:w="582" w:type="pct"/>
            <w:vMerge w:val="restart"/>
            <w:vAlign w:val="center"/>
          </w:tcPr>
          <w:p w14:paraId="2331EE00" w14:textId="77777777" w:rsidR="00DC5685" w:rsidRPr="00A34F10" w:rsidRDefault="00DC5685" w:rsidP="00DC5685">
            <w:pPr>
              <w:rPr>
                <w:bCs/>
                <w:sz w:val="20"/>
                <w:szCs w:val="20"/>
              </w:rPr>
            </w:pPr>
            <w:r w:rsidRPr="00A34F10">
              <w:rPr>
                <w:bCs/>
                <w:sz w:val="20"/>
                <w:szCs w:val="20"/>
              </w:rPr>
              <w:t>Tomato</w:t>
            </w:r>
          </w:p>
        </w:tc>
        <w:tc>
          <w:tcPr>
            <w:tcW w:w="764" w:type="pct"/>
            <w:vAlign w:val="center"/>
          </w:tcPr>
          <w:p w14:paraId="4D84463F" w14:textId="77777777" w:rsidR="00DC5685" w:rsidRPr="00A34F10" w:rsidRDefault="00DC5685" w:rsidP="00DC5685">
            <w:pPr>
              <w:rPr>
                <w:b/>
                <w:sz w:val="20"/>
                <w:szCs w:val="20"/>
              </w:rPr>
            </w:pPr>
            <w:r w:rsidRPr="00A34F10">
              <w:rPr>
                <w:bCs/>
                <w:sz w:val="20"/>
                <w:szCs w:val="20"/>
              </w:rPr>
              <w:t>0.0</w:t>
            </w:r>
          </w:p>
        </w:tc>
        <w:tc>
          <w:tcPr>
            <w:tcW w:w="857" w:type="pct"/>
            <w:vAlign w:val="center"/>
          </w:tcPr>
          <w:p w14:paraId="6687CD54" w14:textId="77777777" w:rsidR="00DC5685" w:rsidRPr="00A34F10" w:rsidRDefault="00DC5685" w:rsidP="00DC5685">
            <w:pPr>
              <w:rPr>
                <w:b/>
                <w:sz w:val="20"/>
                <w:szCs w:val="20"/>
              </w:rPr>
            </w:pPr>
            <w:r w:rsidRPr="00A34F10">
              <w:rPr>
                <w:sz w:val="20"/>
                <w:szCs w:val="20"/>
              </w:rPr>
              <w:t>9.3</w:t>
            </w:r>
          </w:p>
        </w:tc>
        <w:tc>
          <w:tcPr>
            <w:tcW w:w="612" w:type="pct"/>
            <w:vAlign w:val="center"/>
          </w:tcPr>
          <w:p w14:paraId="02DD05AE" w14:textId="77777777" w:rsidR="00DC5685" w:rsidRPr="00A34F10" w:rsidRDefault="00DC5685" w:rsidP="00DC5685">
            <w:pPr>
              <w:rPr>
                <w:bCs/>
                <w:sz w:val="20"/>
                <w:szCs w:val="20"/>
              </w:rPr>
            </w:pPr>
            <w:r w:rsidRPr="00A34F10">
              <w:rPr>
                <w:bCs/>
                <w:sz w:val="20"/>
                <w:szCs w:val="20"/>
              </w:rPr>
              <w:t>-</w:t>
            </w:r>
          </w:p>
        </w:tc>
        <w:tc>
          <w:tcPr>
            <w:tcW w:w="490" w:type="pct"/>
            <w:vAlign w:val="center"/>
          </w:tcPr>
          <w:p w14:paraId="742FA8D8"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636D4EFF" w14:textId="77777777" w:rsidR="00DC5685" w:rsidRPr="00A34F10" w:rsidRDefault="00DC5685" w:rsidP="00DC5685">
            <w:pPr>
              <w:rPr>
                <w:sz w:val="20"/>
                <w:szCs w:val="20"/>
              </w:rPr>
            </w:pPr>
            <w:r w:rsidRPr="00A34F10">
              <w:rPr>
                <w:sz w:val="20"/>
                <w:szCs w:val="20"/>
              </w:rPr>
              <w:t>0</w:t>
            </w:r>
          </w:p>
        </w:tc>
        <w:tc>
          <w:tcPr>
            <w:tcW w:w="297" w:type="pct"/>
            <w:vAlign w:val="center"/>
          </w:tcPr>
          <w:p w14:paraId="737C6606" w14:textId="77777777" w:rsidR="00DC5685" w:rsidRPr="00A34F10" w:rsidRDefault="00DC5685" w:rsidP="00DC5685">
            <w:pPr>
              <w:rPr>
                <w:sz w:val="20"/>
                <w:szCs w:val="20"/>
              </w:rPr>
            </w:pPr>
            <w:r w:rsidRPr="00A34F10">
              <w:rPr>
                <w:sz w:val="20"/>
                <w:szCs w:val="20"/>
              </w:rPr>
              <w:t>28.5</w:t>
            </w:r>
          </w:p>
        </w:tc>
        <w:tc>
          <w:tcPr>
            <w:tcW w:w="798" w:type="pct"/>
            <w:vAlign w:val="center"/>
          </w:tcPr>
          <w:p w14:paraId="0662E8C6" w14:textId="77777777" w:rsidR="00DC5685" w:rsidRPr="00A34F10" w:rsidRDefault="00DC5685" w:rsidP="00DC5685">
            <w:pPr>
              <w:rPr>
                <w:sz w:val="20"/>
                <w:szCs w:val="20"/>
              </w:rPr>
            </w:pPr>
            <w:r w:rsidRPr="00A34F10">
              <w:rPr>
                <w:sz w:val="20"/>
                <w:szCs w:val="20"/>
              </w:rPr>
              <w:t>25.398</w:t>
            </w:r>
          </w:p>
        </w:tc>
      </w:tr>
      <w:tr w:rsidR="00DC5685" w:rsidRPr="00A34F10" w14:paraId="554BA914" w14:textId="77777777" w:rsidTr="000470C3">
        <w:tc>
          <w:tcPr>
            <w:tcW w:w="582" w:type="pct"/>
            <w:vMerge/>
            <w:vAlign w:val="center"/>
          </w:tcPr>
          <w:p w14:paraId="626EAAC4" w14:textId="77777777" w:rsidR="00DC5685" w:rsidRPr="00A34F10" w:rsidRDefault="00DC5685" w:rsidP="00DC5685">
            <w:pPr>
              <w:rPr>
                <w:bCs/>
                <w:sz w:val="20"/>
                <w:szCs w:val="20"/>
              </w:rPr>
            </w:pPr>
          </w:p>
        </w:tc>
        <w:tc>
          <w:tcPr>
            <w:tcW w:w="764" w:type="pct"/>
            <w:vAlign w:val="center"/>
          </w:tcPr>
          <w:p w14:paraId="4A9A0216" w14:textId="77777777" w:rsidR="00DC5685" w:rsidRPr="00A34F10" w:rsidRDefault="00DC5685" w:rsidP="00DC5685">
            <w:pPr>
              <w:rPr>
                <w:b/>
                <w:sz w:val="20"/>
                <w:szCs w:val="20"/>
              </w:rPr>
            </w:pPr>
            <w:r w:rsidRPr="00A34F10">
              <w:rPr>
                <w:bCs/>
                <w:sz w:val="20"/>
                <w:szCs w:val="20"/>
              </w:rPr>
              <w:t>3.85</w:t>
            </w:r>
          </w:p>
        </w:tc>
        <w:tc>
          <w:tcPr>
            <w:tcW w:w="857" w:type="pct"/>
            <w:vAlign w:val="center"/>
          </w:tcPr>
          <w:p w14:paraId="114EDA84" w14:textId="77777777" w:rsidR="00DC5685" w:rsidRPr="00A34F10" w:rsidRDefault="00DC5685" w:rsidP="00DC5685">
            <w:pPr>
              <w:rPr>
                <w:b/>
                <w:sz w:val="20"/>
                <w:szCs w:val="20"/>
              </w:rPr>
            </w:pPr>
            <w:r w:rsidRPr="00A34F10">
              <w:rPr>
                <w:sz w:val="20"/>
                <w:szCs w:val="20"/>
              </w:rPr>
              <w:t xml:space="preserve">9.5 </w:t>
            </w:r>
          </w:p>
        </w:tc>
        <w:tc>
          <w:tcPr>
            <w:tcW w:w="612" w:type="pct"/>
            <w:vAlign w:val="center"/>
          </w:tcPr>
          <w:p w14:paraId="1921A93C" w14:textId="77777777" w:rsidR="00DC5685" w:rsidRPr="00A34F10" w:rsidRDefault="00DC5685" w:rsidP="00DC5685">
            <w:pPr>
              <w:rPr>
                <w:bCs/>
                <w:sz w:val="20"/>
                <w:szCs w:val="20"/>
              </w:rPr>
            </w:pPr>
            <w:r w:rsidRPr="00A34F10">
              <w:rPr>
                <w:bCs/>
                <w:sz w:val="20"/>
                <w:szCs w:val="20"/>
              </w:rPr>
              <w:t>103</w:t>
            </w:r>
          </w:p>
        </w:tc>
        <w:tc>
          <w:tcPr>
            <w:tcW w:w="490" w:type="pct"/>
            <w:vAlign w:val="center"/>
          </w:tcPr>
          <w:p w14:paraId="3B662DE0"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59FAC45D" w14:textId="77777777" w:rsidR="00DC5685" w:rsidRPr="00A34F10" w:rsidRDefault="00DC5685" w:rsidP="00DC5685">
            <w:pPr>
              <w:rPr>
                <w:sz w:val="20"/>
                <w:szCs w:val="20"/>
              </w:rPr>
            </w:pPr>
            <w:r w:rsidRPr="00A34F10">
              <w:rPr>
                <w:sz w:val="20"/>
                <w:szCs w:val="20"/>
              </w:rPr>
              <w:t>0</w:t>
            </w:r>
          </w:p>
        </w:tc>
        <w:tc>
          <w:tcPr>
            <w:tcW w:w="297" w:type="pct"/>
            <w:vAlign w:val="center"/>
          </w:tcPr>
          <w:p w14:paraId="044C0366" w14:textId="77777777" w:rsidR="00DC5685" w:rsidRPr="00A34F10" w:rsidRDefault="00DC5685" w:rsidP="00DC5685">
            <w:pPr>
              <w:rPr>
                <w:sz w:val="20"/>
                <w:szCs w:val="20"/>
              </w:rPr>
            </w:pPr>
            <w:r w:rsidRPr="00A34F10">
              <w:rPr>
                <w:sz w:val="20"/>
                <w:szCs w:val="20"/>
              </w:rPr>
              <w:t>28.3</w:t>
            </w:r>
          </w:p>
        </w:tc>
        <w:tc>
          <w:tcPr>
            <w:tcW w:w="798" w:type="pct"/>
            <w:vAlign w:val="center"/>
          </w:tcPr>
          <w:p w14:paraId="732B0AD6" w14:textId="77777777" w:rsidR="00DC5685" w:rsidRPr="00A34F10" w:rsidRDefault="00DC5685" w:rsidP="00DC5685">
            <w:pPr>
              <w:rPr>
                <w:sz w:val="20"/>
                <w:szCs w:val="20"/>
              </w:rPr>
            </w:pPr>
            <w:r w:rsidRPr="00A34F10">
              <w:rPr>
                <w:sz w:val="20"/>
                <w:szCs w:val="20"/>
              </w:rPr>
              <w:t>26.326</w:t>
            </w:r>
          </w:p>
        </w:tc>
      </w:tr>
      <w:tr w:rsidR="00DC5685" w:rsidRPr="00A34F10" w14:paraId="3B0DDC80" w14:textId="77777777" w:rsidTr="000470C3">
        <w:tc>
          <w:tcPr>
            <w:tcW w:w="582" w:type="pct"/>
            <w:vMerge w:val="restart"/>
            <w:vAlign w:val="center"/>
          </w:tcPr>
          <w:p w14:paraId="52A24F7D" w14:textId="77777777" w:rsidR="00DC5685" w:rsidRPr="00A34F10" w:rsidRDefault="00DC5685" w:rsidP="00DC5685">
            <w:pPr>
              <w:rPr>
                <w:bCs/>
                <w:sz w:val="20"/>
                <w:szCs w:val="20"/>
              </w:rPr>
            </w:pPr>
            <w:r w:rsidRPr="00A34F10">
              <w:rPr>
                <w:bCs/>
                <w:sz w:val="20"/>
                <w:szCs w:val="20"/>
              </w:rPr>
              <w:t xml:space="preserve">Onion </w:t>
            </w:r>
          </w:p>
        </w:tc>
        <w:tc>
          <w:tcPr>
            <w:tcW w:w="764" w:type="pct"/>
            <w:vAlign w:val="center"/>
          </w:tcPr>
          <w:p w14:paraId="37D0457A" w14:textId="77777777" w:rsidR="00DC5685" w:rsidRPr="00A34F10" w:rsidRDefault="00DC5685" w:rsidP="00DC5685">
            <w:pPr>
              <w:rPr>
                <w:b/>
                <w:sz w:val="20"/>
                <w:szCs w:val="20"/>
              </w:rPr>
            </w:pPr>
            <w:r w:rsidRPr="00A34F10">
              <w:rPr>
                <w:bCs/>
                <w:sz w:val="20"/>
                <w:szCs w:val="20"/>
              </w:rPr>
              <w:t>0.0</w:t>
            </w:r>
          </w:p>
        </w:tc>
        <w:tc>
          <w:tcPr>
            <w:tcW w:w="857" w:type="pct"/>
            <w:vAlign w:val="center"/>
          </w:tcPr>
          <w:p w14:paraId="4C0635B5" w14:textId="77777777" w:rsidR="00DC5685" w:rsidRPr="00A34F10" w:rsidRDefault="00DC5685" w:rsidP="00DC5685">
            <w:pPr>
              <w:rPr>
                <w:b/>
                <w:sz w:val="20"/>
                <w:szCs w:val="20"/>
              </w:rPr>
            </w:pPr>
            <w:r w:rsidRPr="00A34F10">
              <w:rPr>
                <w:sz w:val="20"/>
                <w:szCs w:val="20"/>
              </w:rPr>
              <w:t xml:space="preserve">8.5 </w:t>
            </w:r>
          </w:p>
        </w:tc>
        <w:tc>
          <w:tcPr>
            <w:tcW w:w="612" w:type="pct"/>
            <w:vAlign w:val="center"/>
          </w:tcPr>
          <w:p w14:paraId="2547392C" w14:textId="77777777" w:rsidR="00DC5685" w:rsidRPr="00A34F10" w:rsidRDefault="00DC5685" w:rsidP="00DC5685">
            <w:pPr>
              <w:rPr>
                <w:bCs/>
                <w:sz w:val="20"/>
                <w:szCs w:val="20"/>
              </w:rPr>
            </w:pPr>
            <w:r w:rsidRPr="00A34F10">
              <w:rPr>
                <w:bCs/>
                <w:sz w:val="20"/>
                <w:szCs w:val="20"/>
              </w:rPr>
              <w:t>-</w:t>
            </w:r>
          </w:p>
        </w:tc>
        <w:tc>
          <w:tcPr>
            <w:tcW w:w="490" w:type="pct"/>
            <w:vAlign w:val="center"/>
          </w:tcPr>
          <w:p w14:paraId="38690D59"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3131EA4C" w14:textId="77777777" w:rsidR="00DC5685" w:rsidRPr="00A34F10" w:rsidRDefault="00DC5685" w:rsidP="00DC5685">
            <w:pPr>
              <w:rPr>
                <w:sz w:val="20"/>
                <w:szCs w:val="20"/>
              </w:rPr>
            </w:pPr>
            <w:r w:rsidRPr="00A34F10">
              <w:rPr>
                <w:sz w:val="20"/>
                <w:szCs w:val="20"/>
              </w:rPr>
              <w:t>0</w:t>
            </w:r>
          </w:p>
        </w:tc>
        <w:tc>
          <w:tcPr>
            <w:tcW w:w="297" w:type="pct"/>
            <w:vAlign w:val="center"/>
          </w:tcPr>
          <w:p w14:paraId="62F62CB7" w14:textId="77777777" w:rsidR="00DC5685" w:rsidRPr="00A34F10" w:rsidRDefault="00DC5685" w:rsidP="00DC5685">
            <w:pPr>
              <w:rPr>
                <w:sz w:val="20"/>
                <w:szCs w:val="20"/>
              </w:rPr>
            </w:pPr>
            <w:r w:rsidRPr="00A34F10">
              <w:rPr>
                <w:sz w:val="20"/>
                <w:szCs w:val="20"/>
              </w:rPr>
              <w:t>20.3</w:t>
            </w:r>
          </w:p>
        </w:tc>
        <w:tc>
          <w:tcPr>
            <w:tcW w:w="798" w:type="pct"/>
            <w:vAlign w:val="center"/>
          </w:tcPr>
          <w:p w14:paraId="191E50C9" w14:textId="77777777" w:rsidR="00DC5685" w:rsidRPr="00A34F10" w:rsidRDefault="00DC5685" w:rsidP="00DC5685">
            <w:pPr>
              <w:rPr>
                <w:sz w:val="20"/>
                <w:szCs w:val="20"/>
              </w:rPr>
            </w:pPr>
            <w:r w:rsidRPr="00A34F10">
              <w:rPr>
                <w:sz w:val="20"/>
                <w:szCs w:val="20"/>
              </w:rPr>
              <w:t>0.753</w:t>
            </w:r>
          </w:p>
        </w:tc>
      </w:tr>
      <w:tr w:rsidR="00DC5685" w:rsidRPr="00A34F10" w14:paraId="76074605" w14:textId="77777777" w:rsidTr="000470C3">
        <w:tc>
          <w:tcPr>
            <w:tcW w:w="582" w:type="pct"/>
            <w:vMerge/>
            <w:vAlign w:val="center"/>
          </w:tcPr>
          <w:p w14:paraId="1DD0FE28" w14:textId="77777777" w:rsidR="00DC5685" w:rsidRPr="00A34F10" w:rsidRDefault="00DC5685" w:rsidP="00DC5685">
            <w:pPr>
              <w:rPr>
                <w:bCs/>
                <w:sz w:val="20"/>
                <w:szCs w:val="20"/>
              </w:rPr>
            </w:pPr>
          </w:p>
        </w:tc>
        <w:tc>
          <w:tcPr>
            <w:tcW w:w="764" w:type="pct"/>
            <w:vAlign w:val="center"/>
          </w:tcPr>
          <w:p w14:paraId="75B30E55" w14:textId="77777777" w:rsidR="00DC5685" w:rsidRPr="00A34F10" w:rsidRDefault="00DC5685" w:rsidP="00DC5685">
            <w:pPr>
              <w:rPr>
                <w:b/>
                <w:sz w:val="20"/>
                <w:szCs w:val="20"/>
              </w:rPr>
            </w:pPr>
            <w:r w:rsidRPr="00A34F10">
              <w:rPr>
                <w:bCs/>
                <w:sz w:val="20"/>
                <w:szCs w:val="20"/>
              </w:rPr>
              <w:t>3.85</w:t>
            </w:r>
          </w:p>
        </w:tc>
        <w:tc>
          <w:tcPr>
            <w:tcW w:w="857" w:type="pct"/>
            <w:vAlign w:val="center"/>
          </w:tcPr>
          <w:p w14:paraId="7139CFDB" w14:textId="77777777" w:rsidR="00DC5685" w:rsidRPr="00A34F10" w:rsidRDefault="00DC5685" w:rsidP="00DC5685">
            <w:pPr>
              <w:rPr>
                <w:b/>
                <w:sz w:val="20"/>
                <w:szCs w:val="20"/>
              </w:rPr>
            </w:pPr>
            <w:r w:rsidRPr="00A34F10">
              <w:rPr>
                <w:sz w:val="20"/>
                <w:szCs w:val="20"/>
              </w:rPr>
              <w:t xml:space="preserve">8.3 </w:t>
            </w:r>
          </w:p>
        </w:tc>
        <w:tc>
          <w:tcPr>
            <w:tcW w:w="612" w:type="pct"/>
            <w:vAlign w:val="center"/>
          </w:tcPr>
          <w:p w14:paraId="51E803DC" w14:textId="77777777" w:rsidR="00DC5685" w:rsidRPr="00A34F10" w:rsidRDefault="00DC5685" w:rsidP="00DC5685">
            <w:pPr>
              <w:rPr>
                <w:bCs/>
                <w:sz w:val="20"/>
                <w:szCs w:val="20"/>
              </w:rPr>
            </w:pPr>
            <w:r w:rsidRPr="00A34F10">
              <w:rPr>
                <w:bCs/>
                <w:sz w:val="20"/>
                <w:szCs w:val="20"/>
              </w:rPr>
              <w:t>97</w:t>
            </w:r>
          </w:p>
        </w:tc>
        <w:tc>
          <w:tcPr>
            <w:tcW w:w="490" w:type="pct"/>
            <w:vAlign w:val="center"/>
          </w:tcPr>
          <w:p w14:paraId="4CE90023"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21B72A2A" w14:textId="77777777" w:rsidR="00DC5685" w:rsidRPr="00A34F10" w:rsidRDefault="00DC5685" w:rsidP="00DC5685">
            <w:pPr>
              <w:rPr>
                <w:sz w:val="20"/>
                <w:szCs w:val="20"/>
              </w:rPr>
            </w:pPr>
            <w:r w:rsidRPr="00A34F10">
              <w:rPr>
                <w:sz w:val="20"/>
                <w:szCs w:val="20"/>
              </w:rPr>
              <w:t>0</w:t>
            </w:r>
          </w:p>
        </w:tc>
        <w:tc>
          <w:tcPr>
            <w:tcW w:w="297" w:type="pct"/>
            <w:vAlign w:val="center"/>
          </w:tcPr>
          <w:p w14:paraId="0AD952DF" w14:textId="77777777" w:rsidR="00DC5685" w:rsidRPr="00A34F10" w:rsidRDefault="00DC5685" w:rsidP="00DC5685">
            <w:pPr>
              <w:rPr>
                <w:sz w:val="20"/>
                <w:szCs w:val="20"/>
              </w:rPr>
            </w:pPr>
            <w:r w:rsidRPr="00A34F10">
              <w:rPr>
                <w:sz w:val="20"/>
                <w:szCs w:val="20"/>
              </w:rPr>
              <w:t>21.5</w:t>
            </w:r>
          </w:p>
        </w:tc>
        <w:tc>
          <w:tcPr>
            <w:tcW w:w="798" w:type="pct"/>
            <w:vAlign w:val="center"/>
          </w:tcPr>
          <w:p w14:paraId="4E4CDEAC" w14:textId="77777777" w:rsidR="00DC5685" w:rsidRPr="00A34F10" w:rsidRDefault="00DC5685" w:rsidP="00DC5685">
            <w:pPr>
              <w:rPr>
                <w:sz w:val="20"/>
                <w:szCs w:val="20"/>
              </w:rPr>
            </w:pPr>
            <w:r w:rsidRPr="00A34F10">
              <w:rPr>
                <w:sz w:val="20"/>
                <w:szCs w:val="20"/>
              </w:rPr>
              <w:t>0.852</w:t>
            </w:r>
          </w:p>
        </w:tc>
      </w:tr>
      <w:tr w:rsidR="00DC5685" w:rsidRPr="00A34F10" w14:paraId="66EE1B25" w14:textId="77777777" w:rsidTr="000470C3">
        <w:tc>
          <w:tcPr>
            <w:tcW w:w="582" w:type="pct"/>
            <w:vMerge w:val="restart"/>
            <w:vAlign w:val="center"/>
          </w:tcPr>
          <w:p w14:paraId="10163058" w14:textId="77777777" w:rsidR="00DC5685" w:rsidRPr="00A34F10" w:rsidRDefault="00DC5685" w:rsidP="00DC5685">
            <w:pPr>
              <w:rPr>
                <w:bCs/>
                <w:sz w:val="20"/>
                <w:szCs w:val="20"/>
              </w:rPr>
            </w:pPr>
            <w:r w:rsidRPr="00A34F10">
              <w:rPr>
                <w:bCs/>
                <w:sz w:val="20"/>
                <w:szCs w:val="20"/>
              </w:rPr>
              <w:t>Ryegrass</w:t>
            </w:r>
          </w:p>
        </w:tc>
        <w:tc>
          <w:tcPr>
            <w:tcW w:w="764" w:type="pct"/>
            <w:vAlign w:val="center"/>
          </w:tcPr>
          <w:p w14:paraId="3E4963A1" w14:textId="77777777" w:rsidR="00DC5685" w:rsidRPr="00A34F10" w:rsidRDefault="00DC5685" w:rsidP="00DC5685">
            <w:pPr>
              <w:rPr>
                <w:b/>
                <w:sz w:val="20"/>
                <w:szCs w:val="20"/>
              </w:rPr>
            </w:pPr>
            <w:r w:rsidRPr="00A34F10">
              <w:rPr>
                <w:bCs/>
                <w:sz w:val="20"/>
                <w:szCs w:val="20"/>
              </w:rPr>
              <w:t>0.0</w:t>
            </w:r>
          </w:p>
        </w:tc>
        <w:tc>
          <w:tcPr>
            <w:tcW w:w="857" w:type="pct"/>
            <w:vAlign w:val="center"/>
          </w:tcPr>
          <w:p w14:paraId="207FF227" w14:textId="77777777" w:rsidR="00DC5685" w:rsidRPr="00A34F10" w:rsidRDefault="00DC5685" w:rsidP="00DC5685">
            <w:pPr>
              <w:rPr>
                <w:b/>
                <w:sz w:val="20"/>
                <w:szCs w:val="20"/>
              </w:rPr>
            </w:pPr>
            <w:r w:rsidRPr="00A34F10">
              <w:rPr>
                <w:sz w:val="20"/>
                <w:szCs w:val="20"/>
              </w:rPr>
              <w:t>9.3</w:t>
            </w:r>
          </w:p>
        </w:tc>
        <w:tc>
          <w:tcPr>
            <w:tcW w:w="612" w:type="pct"/>
            <w:vAlign w:val="center"/>
          </w:tcPr>
          <w:p w14:paraId="677993C3" w14:textId="77777777" w:rsidR="00DC5685" w:rsidRPr="00A34F10" w:rsidRDefault="00DC5685" w:rsidP="00DC5685">
            <w:pPr>
              <w:rPr>
                <w:bCs/>
                <w:sz w:val="20"/>
                <w:szCs w:val="20"/>
              </w:rPr>
            </w:pPr>
            <w:r w:rsidRPr="00A34F10">
              <w:rPr>
                <w:bCs/>
                <w:sz w:val="20"/>
                <w:szCs w:val="20"/>
              </w:rPr>
              <w:t>-</w:t>
            </w:r>
          </w:p>
        </w:tc>
        <w:tc>
          <w:tcPr>
            <w:tcW w:w="490" w:type="pct"/>
            <w:vAlign w:val="center"/>
          </w:tcPr>
          <w:p w14:paraId="3E2698A0"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69BA0478" w14:textId="77777777" w:rsidR="00DC5685" w:rsidRPr="00A34F10" w:rsidRDefault="00DC5685" w:rsidP="00DC5685">
            <w:pPr>
              <w:rPr>
                <w:sz w:val="20"/>
                <w:szCs w:val="20"/>
              </w:rPr>
            </w:pPr>
            <w:r w:rsidRPr="00A34F10">
              <w:rPr>
                <w:sz w:val="20"/>
                <w:szCs w:val="20"/>
              </w:rPr>
              <w:t>0</w:t>
            </w:r>
          </w:p>
        </w:tc>
        <w:tc>
          <w:tcPr>
            <w:tcW w:w="297" w:type="pct"/>
            <w:vAlign w:val="center"/>
          </w:tcPr>
          <w:p w14:paraId="204A6156" w14:textId="77777777" w:rsidR="00DC5685" w:rsidRPr="00A34F10" w:rsidRDefault="00DC5685" w:rsidP="00DC5685">
            <w:pPr>
              <w:rPr>
                <w:sz w:val="20"/>
                <w:szCs w:val="20"/>
              </w:rPr>
            </w:pPr>
            <w:r w:rsidRPr="00A34F10">
              <w:rPr>
                <w:sz w:val="20"/>
                <w:szCs w:val="20"/>
              </w:rPr>
              <w:t>43.6</w:t>
            </w:r>
          </w:p>
        </w:tc>
        <w:tc>
          <w:tcPr>
            <w:tcW w:w="798" w:type="pct"/>
            <w:vAlign w:val="center"/>
          </w:tcPr>
          <w:p w14:paraId="6084EFBD" w14:textId="77777777" w:rsidR="00DC5685" w:rsidRPr="00A34F10" w:rsidRDefault="00DC5685" w:rsidP="00DC5685">
            <w:pPr>
              <w:rPr>
                <w:sz w:val="20"/>
                <w:szCs w:val="20"/>
              </w:rPr>
            </w:pPr>
            <w:r w:rsidRPr="00A34F10">
              <w:rPr>
                <w:sz w:val="20"/>
                <w:szCs w:val="20"/>
              </w:rPr>
              <w:t>6.765</w:t>
            </w:r>
          </w:p>
        </w:tc>
      </w:tr>
      <w:tr w:rsidR="00DC5685" w:rsidRPr="00A34F10" w14:paraId="41067E66" w14:textId="77777777" w:rsidTr="000470C3">
        <w:tc>
          <w:tcPr>
            <w:tcW w:w="582" w:type="pct"/>
            <w:vMerge/>
            <w:vAlign w:val="center"/>
          </w:tcPr>
          <w:p w14:paraId="57945373" w14:textId="77777777" w:rsidR="00DC5685" w:rsidRPr="00A34F10" w:rsidRDefault="00DC5685" w:rsidP="00DC5685">
            <w:pPr>
              <w:rPr>
                <w:bCs/>
                <w:sz w:val="20"/>
                <w:szCs w:val="20"/>
              </w:rPr>
            </w:pPr>
          </w:p>
        </w:tc>
        <w:tc>
          <w:tcPr>
            <w:tcW w:w="764" w:type="pct"/>
            <w:vAlign w:val="center"/>
          </w:tcPr>
          <w:p w14:paraId="70524A07" w14:textId="77777777" w:rsidR="00DC5685" w:rsidRPr="00A34F10" w:rsidRDefault="00DC5685" w:rsidP="00DC5685">
            <w:pPr>
              <w:rPr>
                <w:b/>
                <w:sz w:val="20"/>
                <w:szCs w:val="20"/>
              </w:rPr>
            </w:pPr>
            <w:r w:rsidRPr="00A34F10">
              <w:rPr>
                <w:bCs/>
                <w:sz w:val="20"/>
                <w:szCs w:val="20"/>
              </w:rPr>
              <w:t>3.85</w:t>
            </w:r>
          </w:p>
        </w:tc>
        <w:tc>
          <w:tcPr>
            <w:tcW w:w="857" w:type="pct"/>
            <w:vAlign w:val="center"/>
          </w:tcPr>
          <w:p w14:paraId="1FEED3EC" w14:textId="77777777" w:rsidR="00DC5685" w:rsidRPr="00A34F10" w:rsidRDefault="00DC5685" w:rsidP="00DC5685">
            <w:pPr>
              <w:rPr>
                <w:b/>
                <w:sz w:val="20"/>
                <w:szCs w:val="20"/>
              </w:rPr>
            </w:pPr>
            <w:r w:rsidRPr="00A34F10">
              <w:rPr>
                <w:sz w:val="20"/>
                <w:szCs w:val="20"/>
              </w:rPr>
              <w:t>9.3</w:t>
            </w:r>
          </w:p>
        </w:tc>
        <w:tc>
          <w:tcPr>
            <w:tcW w:w="612" w:type="pct"/>
            <w:vAlign w:val="center"/>
          </w:tcPr>
          <w:p w14:paraId="2844D56F" w14:textId="77777777" w:rsidR="00DC5685" w:rsidRPr="00A34F10" w:rsidRDefault="00DC5685" w:rsidP="00DC5685">
            <w:pPr>
              <w:rPr>
                <w:bCs/>
                <w:sz w:val="20"/>
                <w:szCs w:val="20"/>
              </w:rPr>
            </w:pPr>
            <w:r w:rsidRPr="00A34F10">
              <w:rPr>
                <w:bCs/>
                <w:sz w:val="20"/>
                <w:szCs w:val="20"/>
              </w:rPr>
              <w:t>100</w:t>
            </w:r>
          </w:p>
        </w:tc>
        <w:tc>
          <w:tcPr>
            <w:tcW w:w="490" w:type="pct"/>
            <w:vAlign w:val="center"/>
          </w:tcPr>
          <w:p w14:paraId="73BCCED9"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2D585EA2" w14:textId="77777777" w:rsidR="00DC5685" w:rsidRPr="00A34F10" w:rsidRDefault="00DC5685" w:rsidP="00DC5685">
            <w:pPr>
              <w:rPr>
                <w:sz w:val="20"/>
                <w:szCs w:val="20"/>
              </w:rPr>
            </w:pPr>
            <w:r w:rsidRPr="00A34F10">
              <w:rPr>
                <w:sz w:val="20"/>
                <w:szCs w:val="20"/>
              </w:rPr>
              <w:t>0</w:t>
            </w:r>
          </w:p>
        </w:tc>
        <w:tc>
          <w:tcPr>
            <w:tcW w:w="297" w:type="pct"/>
            <w:vAlign w:val="center"/>
          </w:tcPr>
          <w:p w14:paraId="323333CF" w14:textId="77777777" w:rsidR="00DC5685" w:rsidRPr="00A34F10" w:rsidRDefault="00DC5685" w:rsidP="00DC5685">
            <w:pPr>
              <w:rPr>
                <w:sz w:val="20"/>
                <w:szCs w:val="20"/>
              </w:rPr>
            </w:pPr>
            <w:r w:rsidRPr="00A34F10">
              <w:rPr>
                <w:sz w:val="20"/>
                <w:szCs w:val="20"/>
              </w:rPr>
              <w:t>43.0</w:t>
            </w:r>
          </w:p>
        </w:tc>
        <w:tc>
          <w:tcPr>
            <w:tcW w:w="798" w:type="pct"/>
            <w:vAlign w:val="center"/>
          </w:tcPr>
          <w:p w14:paraId="7157668F" w14:textId="77777777" w:rsidR="00DC5685" w:rsidRPr="00A34F10" w:rsidRDefault="00DC5685" w:rsidP="00DC5685">
            <w:pPr>
              <w:rPr>
                <w:sz w:val="20"/>
                <w:szCs w:val="20"/>
              </w:rPr>
            </w:pPr>
            <w:r w:rsidRPr="00A34F10">
              <w:rPr>
                <w:sz w:val="20"/>
                <w:szCs w:val="20"/>
              </w:rPr>
              <w:t>6.076</w:t>
            </w:r>
          </w:p>
        </w:tc>
      </w:tr>
      <w:tr w:rsidR="00DC5685" w:rsidRPr="00A34F10" w14:paraId="7E7251AF" w14:textId="77777777" w:rsidTr="000470C3">
        <w:tc>
          <w:tcPr>
            <w:tcW w:w="582" w:type="pct"/>
            <w:vMerge w:val="restart"/>
            <w:vAlign w:val="center"/>
          </w:tcPr>
          <w:p w14:paraId="312BF209" w14:textId="77777777" w:rsidR="00DC5685" w:rsidRPr="00A34F10" w:rsidRDefault="00DC5685" w:rsidP="00DC5685">
            <w:pPr>
              <w:rPr>
                <w:bCs/>
                <w:sz w:val="20"/>
                <w:szCs w:val="20"/>
              </w:rPr>
            </w:pPr>
            <w:r w:rsidRPr="00A34F10">
              <w:rPr>
                <w:bCs/>
                <w:sz w:val="20"/>
                <w:szCs w:val="20"/>
              </w:rPr>
              <w:t>Wheat</w:t>
            </w:r>
          </w:p>
        </w:tc>
        <w:tc>
          <w:tcPr>
            <w:tcW w:w="764" w:type="pct"/>
            <w:vAlign w:val="center"/>
          </w:tcPr>
          <w:p w14:paraId="7DF11B15" w14:textId="77777777" w:rsidR="00DC5685" w:rsidRPr="00A34F10" w:rsidRDefault="00DC5685" w:rsidP="00DC5685">
            <w:pPr>
              <w:rPr>
                <w:b/>
                <w:sz w:val="20"/>
                <w:szCs w:val="20"/>
              </w:rPr>
            </w:pPr>
            <w:r w:rsidRPr="00A34F10">
              <w:rPr>
                <w:bCs/>
                <w:sz w:val="20"/>
                <w:szCs w:val="20"/>
              </w:rPr>
              <w:t>0.0</w:t>
            </w:r>
          </w:p>
        </w:tc>
        <w:tc>
          <w:tcPr>
            <w:tcW w:w="857" w:type="pct"/>
            <w:vAlign w:val="center"/>
          </w:tcPr>
          <w:p w14:paraId="25A8F056" w14:textId="77777777" w:rsidR="00DC5685" w:rsidRPr="00A34F10" w:rsidRDefault="00DC5685" w:rsidP="00DC5685">
            <w:pPr>
              <w:rPr>
                <w:b/>
                <w:sz w:val="20"/>
                <w:szCs w:val="20"/>
              </w:rPr>
            </w:pPr>
            <w:r w:rsidRPr="00A34F10">
              <w:rPr>
                <w:sz w:val="20"/>
                <w:szCs w:val="20"/>
              </w:rPr>
              <w:t xml:space="preserve">9.8 </w:t>
            </w:r>
          </w:p>
        </w:tc>
        <w:tc>
          <w:tcPr>
            <w:tcW w:w="612" w:type="pct"/>
            <w:vAlign w:val="center"/>
          </w:tcPr>
          <w:p w14:paraId="5D18E8E2" w14:textId="77777777" w:rsidR="00DC5685" w:rsidRPr="00A34F10" w:rsidRDefault="00DC5685" w:rsidP="00DC5685">
            <w:pPr>
              <w:rPr>
                <w:bCs/>
                <w:sz w:val="20"/>
                <w:szCs w:val="20"/>
              </w:rPr>
            </w:pPr>
            <w:r w:rsidRPr="00A34F10">
              <w:rPr>
                <w:bCs/>
                <w:sz w:val="20"/>
                <w:szCs w:val="20"/>
              </w:rPr>
              <w:t>-</w:t>
            </w:r>
          </w:p>
        </w:tc>
        <w:tc>
          <w:tcPr>
            <w:tcW w:w="490" w:type="pct"/>
            <w:vAlign w:val="center"/>
          </w:tcPr>
          <w:p w14:paraId="1FAB178C"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01B3097D" w14:textId="77777777" w:rsidR="00DC5685" w:rsidRPr="00A34F10" w:rsidRDefault="00DC5685" w:rsidP="00DC5685">
            <w:pPr>
              <w:rPr>
                <w:sz w:val="20"/>
                <w:szCs w:val="20"/>
              </w:rPr>
            </w:pPr>
            <w:r w:rsidRPr="00A34F10">
              <w:rPr>
                <w:sz w:val="20"/>
                <w:szCs w:val="20"/>
              </w:rPr>
              <w:t>0</w:t>
            </w:r>
          </w:p>
        </w:tc>
        <w:tc>
          <w:tcPr>
            <w:tcW w:w="297" w:type="pct"/>
            <w:vAlign w:val="center"/>
          </w:tcPr>
          <w:p w14:paraId="4C7FB9A8" w14:textId="77777777" w:rsidR="00DC5685" w:rsidRPr="00A34F10" w:rsidRDefault="00DC5685" w:rsidP="00DC5685">
            <w:pPr>
              <w:rPr>
                <w:sz w:val="20"/>
                <w:szCs w:val="20"/>
              </w:rPr>
            </w:pPr>
            <w:r w:rsidRPr="00A34F10">
              <w:rPr>
                <w:sz w:val="20"/>
                <w:szCs w:val="20"/>
              </w:rPr>
              <w:t>36.4</w:t>
            </w:r>
          </w:p>
        </w:tc>
        <w:tc>
          <w:tcPr>
            <w:tcW w:w="798" w:type="pct"/>
            <w:vAlign w:val="center"/>
          </w:tcPr>
          <w:p w14:paraId="5B02332E" w14:textId="77777777" w:rsidR="00DC5685" w:rsidRPr="00A34F10" w:rsidRDefault="00DC5685" w:rsidP="00DC5685">
            <w:pPr>
              <w:rPr>
                <w:sz w:val="20"/>
                <w:szCs w:val="20"/>
              </w:rPr>
            </w:pPr>
            <w:r w:rsidRPr="00A34F10">
              <w:rPr>
                <w:sz w:val="20"/>
                <w:szCs w:val="20"/>
              </w:rPr>
              <w:t>8.652</w:t>
            </w:r>
          </w:p>
        </w:tc>
      </w:tr>
      <w:tr w:rsidR="00DC5685" w:rsidRPr="00A34F10" w14:paraId="54C183B0" w14:textId="77777777" w:rsidTr="000470C3">
        <w:tc>
          <w:tcPr>
            <w:tcW w:w="582" w:type="pct"/>
            <w:vMerge/>
            <w:vAlign w:val="center"/>
          </w:tcPr>
          <w:p w14:paraId="02B4AEF3" w14:textId="77777777" w:rsidR="00DC5685" w:rsidRPr="00A34F10" w:rsidRDefault="00DC5685" w:rsidP="00DC5685">
            <w:pPr>
              <w:rPr>
                <w:bCs/>
                <w:sz w:val="20"/>
                <w:szCs w:val="20"/>
              </w:rPr>
            </w:pPr>
          </w:p>
        </w:tc>
        <w:tc>
          <w:tcPr>
            <w:tcW w:w="764" w:type="pct"/>
            <w:vAlign w:val="center"/>
          </w:tcPr>
          <w:p w14:paraId="68A843DE" w14:textId="77777777" w:rsidR="00DC5685" w:rsidRPr="00A34F10" w:rsidRDefault="00DC5685" w:rsidP="00DC5685">
            <w:pPr>
              <w:rPr>
                <w:b/>
                <w:sz w:val="20"/>
                <w:szCs w:val="20"/>
              </w:rPr>
            </w:pPr>
            <w:r w:rsidRPr="00A34F10">
              <w:rPr>
                <w:bCs/>
                <w:sz w:val="20"/>
                <w:szCs w:val="20"/>
              </w:rPr>
              <w:t>3.85</w:t>
            </w:r>
          </w:p>
        </w:tc>
        <w:tc>
          <w:tcPr>
            <w:tcW w:w="857" w:type="pct"/>
            <w:vAlign w:val="center"/>
          </w:tcPr>
          <w:p w14:paraId="1A408035" w14:textId="77777777" w:rsidR="00DC5685" w:rsidRPr="00A34F10" w:rsidRDefault="00DC5685" w:rsidP="00DC5685">
            <w:pPr>
              <w:rPr>
                <w:b/>
                <w:sz w:val="20"/>
                <w:szCs w:val="20"/>
              </w:rPr>
            </w:pPr>
            <w:r w:rsidRPr="00A34F10">
              <w:rPr>
                <w:sz w:val="20"/>
                <w:szCs w:val="20"/>
              </w:rPr>
              <w:t xml:space="preserve">10.0 </w:t>
            </w:r>
          </w:p>
        </w:tc>
        <w:tc>
          <w:tcPr>
            <w:tcW w:w="612" w:type="pct"/>
            <w:vAlign w:val="center"/>
          </w:tcPr>
          <w:p w14:paraId="37833298" w14:textId="77777777" w:rsidR="00DC5685" w:rsidRPr="00A34F10" w:rsidRDefault="00DC5685" w:rsidP="00DC5685">
            <w:pPr>
              <w:rPr>
                <w:bCs/>
                <w:sz w:val="20"/>
                <w:szCs w:val="20"/>
              </w:rPr>
            </w:pPr>
            <w:r w:rsidRPr="00A34F10">
              <w:rPr>
                <w:bCs/>
                <w:sz w:val="20"/>
                <w:szCs w:val="20"/>
              </w:rPr>
              <w:t>103</w:t>
            </w:r>
          </w:p>
        </w:tc>
        <w:tc>
          <w:tcPr>
            <w:tcW w:w="490" w:type="pct"/>
            <w:vAlign w:val="center"/>
          </w:tcPr>
          <w:p w14:paraId="3F38B3AE"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7D51F878" w14:textId="77777777" w:rsidR="00DC5685" w:rsidRPr="00A34F10" w:rsidRDefault="00DC5685" w:rsidP="00DC5685">
            <w:pPr>
              <w:rPr>
                <w:sz w:val="20"/>
                <w:szCs w:val="20"/>
              </w:rPr>
            </w:pPr>
            <w:r w:rsidRPr="00A34F10">
              <w:rPr>
                <w:sz w:val="20"/>
                <w:szCs w:val="20"/>
              </w:rPr>
              <w:t>0</w:t>
            </w:r>
          </w:p>
        </w:tc>
        <w:tc>
          <w:tcPr>
            <w:tcW w:w="297" w:type="pct"/>
            <w:vAlign w:val="center"/>
          </w:tcPr>
          <w:p w14:paraId="4CB600C4" w14:textId="77777777" w:rsidR="00DC5685" w:rsidRPr="00A34F10" w:rsidRDefault="00DC5685" w:rsidP="00DC5685">
            <w:pPr>
              <w:rPr>
                <w:sz w:val="20"/>
                <w:szCs w:val="20"/>
              </w:rPr>
            </w:pPr>
            <w:r w:rsidRPr="00A34F10">
              <w:rPr>
                <w:sz w:val="20"/>
                <w:szCs w:val="20"/>
              </w:rPr>
              <w:t>36.2</w:t>
            </w:r>
          </w:p>
        </w:tc>
        <w:tc>
          <w:tcPr>
            <w:tcW w:w="798" w:type="pct"/>
            <w:vAlign w:val="center"/>
          </w:tcPr>
          <w:p w14:paraId="7D482BB4" w14:textId="77777777" w:rsidR="00DC5685" w:rsidRPr="00A34F10" w:rsidRDefault="00DC5685" w:rsidP="00DC5685">
            <w:pPr>
              <w:rPr>
                <w:sz w:val="20"/>
                <w:szCs w:val="20"/>
              </w:rPr>
            </w:pPr>
            <w:r w:rsidRPr="00A34F10">
              <w:rPr>
                <w:sz w:val="20"/>
                <w:szCs w:val="20"/>
              </w:rPr>
              <w:t>8.671</w:t>
            </w:r>
          </w:p>
        </w:tc>
      </w:tr>
      <w:tr w:rsidR="00DC5685" w:rsidRPr="00A34F10" w14:paraId="0FA840E8" w14:textId="77777777" w:rsidTr="000470C3">
        <w:tc>
          <w:tcPr>
            <w:tcW w:w="582" w:type="pct"/>
            <w:vMerge w:val="restart"/>
            <w:vAlign w:val="center"/>
          </w:tcPr>
          <w:p w14:paraId="1EE5D4FA" w14:textId="77777777" w:rsidR="00DC5685" w:rsidRPr="00A34F10" w:rsidRDefault="00DC5685" w:rsidP="00DC5685">
            <w:pPr>
              <w:rPr>
                <w:bCs/>
                <w:sz w:val="20"/>
                <w:szCs w:val="20"/>
              </w:rPr>
            </w:pPr>
            <w:r w:rsidRPr="00A34F10">
              <w:rPr>
                <w:bCs/>
                <w:sz w:val="20"/>
                <w:szCs w:val="20"/>
              </w:rPr>
              <w:t>Corn</w:t>
            </w:r>
          </w:p>
        </w:tc>
        <w:tc>
          <w:tcPr>
            <w:tcW w:w="764" w:type="pct"/>
            <w:vAlign w:val="center"/>
          </w:tcPr>
          <w:p w14:paraId="72282CB8" w14:textId="77777777" w:rsidR="00DC5685" w:rsidRPr="00A34F10" w:rsidRDefault="00DC5685" w:rsidP="00DC5685">
            <w:pPr>
              <w:rPr>
                <w:b/>
                <w:sz w:val="20"/>
                <w:szCs w:val="20"/>
              </w:rPr>
            </w:pPr>
            <w:r w:rsidRPr="00A34F10">
              <w:rPr>
                <w:bCs/>
                <w:sz w:val="20"/>
                <w:szCs w:val="20"/>
              </w:rPr>
              <w:t>0.0</w:t>
            </w:r>
          </w:p>
        </w:tc>
        <w:tc>
          <w:tcPr>
            <w:tcW w:w="857" w:type="pct"/>
            <w:vAlign w:val="center"/>
          </w:tcPr>
          <w:p w14:paraId="0A488E00" w14:textId="77777777" w:rsidR="00DC5685" w:rsidRPr="00A34F10" w:rsidRDefault="00DC5685" w:rsidP="00DC5685">
            <w:pPr>
              <w:rPr>
                <w:b/>
                <w:sz w:val="20"/>
                <w:szCs w:val="20"/>
              </w:rPr>
            </w:pPr>
            <w:r w:rsidRPr="00A34F10">
              <w:rPr>
                <w:sz w:val="20"/>
                <w:szCs w:val="20"/>
              </w:rPr>
              <w:t xml:space="preserve">10.0 </w:t>
            </w:r>
          </w:p>
        </w:tc>
        <w:tc>
          <w:tcPr>
            <w:tcW w:w="612" w:type="pct"/>
            <w:vAlign w:val="center"/>
          </w:tcPr>
          <w:p w14:paraId="1C7C52EB" w14:textId="77777777" w:rsidR="00DC5685" w:rsidRPr="00A34F10" w:rsidRDefault="00DC5685" w:rsidP="00DC5685">
            <w:pPr>
              <w:rPr>
                <w:bCs/>
                <w:sz w:val="20"/>
                <w:szCs w:val="20"/>
              </w:rPr>
            </w:pPr>
            <w:r w:rsidRPr="00A34F10">
              <w:rPr>
                <w:bCs/>
                <w:sz w:val="20"/>
                <w:szCs w:val="20"/>
              </w:rPr>
              <w:t>-</w:t>
            </w:r>
          </w:p>
        </w:tc>
        <w:tc>
          <w:tcPr>
            <w:tcW w:w="490" w:type="pct"/>
            <w:vAlign w:val="center"/>
          </w:tcPr>
          <w:p w14:paraId="6885CEB2"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70576DE2" w14:textId="77777777" w:rsidR="00DC5685" w:rsidRPr="00A34F10" w:rsidRDefault="00DC5685" w:rsidP="00DC5685">
            <w:pPr>
              <w:rPr>
                <w:sz w:val="20"/>
                <w:szCs w:val="20"/>
              </w:rPr>
            </w:pPr>
            <w:r w:rsidRPr="00A34F10">
              <w:rPr>
                <w:sz w:val="20"/>
                <w:szCs w:val="20"/>
              </w:rPr>
              <w:t>0</w:t>
            </w:r>
          </w:p>
        </w:tc>
        <w:tc>
          <w:tcPr>
            <w:tcW w:w="297" w:type="pct"/>
            <w:vAlign w:val="center"/>
          </w:tcPr>
          <w:p w14:paraId="651F7488" w14:textId="77777777" w:rsidR="00DC5685" w:rsidRPr="00A34F10" w:rsidRDefault="00DC5685" w:rsidP="00DC5685">
            <w:pPr>
              <w:rPr>
                <w:sz w:val="20"/>
                <w:szCs w:val="20"/>
              </w:rPr>
            </w:pPr>
            <w:r w:rsidRPr="00A34F10">
              <w:rPr>
                <w:sz w:val="20"/>
                <w:szCs w:val="20"/>
              </w:rPr>
              <w:t>108.2</w:t>
            </w:r>
          </w:p>
        </w:tc>
        <w:tc>
          <w:tcPr>
            <w:tcW w:w="798" w:type="pct"/>
            <w:vAlign w:val="center"/>
          </w:tcPr>
          <w:p w14:paraId="02C661F2" w14:textId="77777777" w:rsidR="00DC5685" w:rsidRPr="00A34F10" w:rsidRDefault="00DC5685" w:rsidP="00DC5685">
            <w:pPr>
              <w:rPr>
                <w:sz w:val="20"/>
                <w:szCs w:val="20"/>
              </w:rPr>
            </w:pPr>
            <w:r w:rsidRPr="00A34F10">
              <w:rPr>
                <w:sz w:val="20"/>
                <w:szCs w:val="20"/>
              </w:rPr>
              <w:t>89.474</w:t>
            </w:r>
          </w:p>
        </w:tc>
      </w:tr>
      <w:tr w:rsidR="00DC5685" w:rsidRPr="00A34F10" w14:paraId="69D62348" w14:textId="77777777" w:rsidTr="000470C3">
        <w:tc>
          <w:tcPr>
            <w:tcW w:w="582" w:type="pct"/>
            <w:vMerge/>
            <w:vAlign w:val="center"/>
          </w:tcPr>
          <w:p w14:paraId="44CEBC68" w14:textId="77777777" w:rsidR="00DC5685" w:rsidRPr="00A34F10" w:rsidRDefault="00DC5685" w:rsidP="00DC5685">
            <w:pPr>
              <w:rPr>
                <w:b/>
                <w:sz w:val="20"/>
                <w:szCs w:val="20"/>
              </w:rPr>
            </w:pPr>
          </w:p>
        </w:tc>
        <w:tc>
          <w:tcPr>
            <w:tcW w:w="764" w:type="pct"/>
            <w:vAlign w:val="center"/>
          </w:tcPr>
          <w:p w14:paraId="4A1EAE22" w14:textId="77777777" w:rsidR="00DC5685" w:rsidRPr="00A34F10" w:rsidRDefault="00DC5685" w:rsidP="00DC5685">
            <w:pPr>
              <w:rPr>
                <w:b/>
                <w:sz w:val="20"/>
                <w:szCs w:val="20"/>
              </w:rPr>
            </w:pPr>
            <w:r w:rsidRPr="00A34F10">
              <w:rPr>
                <w:bCs/>
                <w:sz w:val="20"/>
                <w:szCs w:val="20"/>
              </w:rPr>
              <w:t>3.85</w:t>
            </w:r>
          </w:p>
        </w:tc>
        <w:tc>
          <w:tcPr>
            <w:tcW w:w="857" w:type="pct"/>
            <w:vAlign w:val="center"/>
          </w:tcPr>
          <w:p w14:paraId="160B2BB7" w14:textId="77777777" w:rsidR="00DC5685" w:rsidRPr="00A34F10" w:rsidRDefault="00DC5685" w:rsidP="00DC5685">
            <w:pPr>
              <w:rPr>
                <w:b/>
                <w:sz w:val="20"/>
                <w:szCs w:val="20"/>
              </w:rPr>
            </w:pPr>
            <w:r w:rsidRPr="00A34F10">
              <w:rPr>
                <w:sz w:val="20"/>
                <w:szCs w:val="20"/>
              </w:rPr>
              <w:t xml:space="preserve">10.0 </w:t>
            </w:r>
          </w:p>
        </w:tc>
        <w:tc>
          <w:tcPr>
            <w:tcW w:w="612" w:type="pct"/>
            <w:vAlign w:val="center"/>
          </w:tcPr>
          <w:p w14:paraId="4598CB65" w14:textId="77777777" w:rsidR="00DC5685" w:rsidRPr="00A34F10" w:rsidRDefault="00DC5685" w:rsidP="00DC5685">
            <w:pPr>
              <w:rPr>
                <w:bCs/>
                <w:sz w:val="20"/>
                <w:szCs w:val="20"/>
              </w:rPr>
            </w:pPr>
            <w:r w:rsidRPr="00A34F10">
              <w:rPr>
                <w:bCs/>
                <w:sz w:val="20"/>
                <w:szCs w:val="20"/>
              </w:rPr>
              <w:t>100</w:t>
            </w:r>
          </w:p>
        </w:tc>
        <w:tc>
          <w:tcPr>
            <w:tcW w:w="490" w:type="pct"/>
            <w:vAlign w:val="center"/>
          </w:tcPr>
          <w:p w14:paraId="11BFB936" w14:textId="77777777" w:rsidR="00DC5685" w:rsidRPr="00A34F10" w:rsidRDefault="00DC5685" w:rsidP="00DC5685">
            <w:pPr>
              <w:rPr>
                <w:b/>
                <w:sz w:val="20"/>
                <w:szCs w:val="20"/>
              </w:rPr>
            </w:pPr>
            <w:r w:rsidRPr="00A34F10">
              <w:rPr>
                <w:sz w:val="20"/>
                <w:szCs w:val="20"/>
              </w:rPr>
              <w:t xml:space="preserve">100 </w:t>
            </w:r>
          </w:p>
        </w:tc>
        <w:tc>
          <w:tcPr>
            <w:tcW w:w="600" w:type="pct"/>
            <w:vAlign w:val="center"/>
          </w:tcPr>
          <w:p w14:paraId="03310617" w14:textId="77777777" w:rsidR="00DC5685" w:rsidRPr="00A34F10" w:rsidRDefault="00DC5685" w:rsidP="00DC5685">
            <w:pPr>
              <w:rPr>
                <w:sz w:val="20"/>
                <w:szCs w:val="20"/>
              </w:rPr>
            </w:pPr>
            <w:r w:rsidRPr="00A34F10">
              <w:rPr>
                <w:sz w:val="20"/>
                <w:szCs w:val="20"/>
              </w:rPr>
              <w:t>0</w:t>
            </w:r>
          </w:p>
        </w:tc>
        <w:tc>
          <w:tcPr>
            <w:tcW w:w="297" w:type="pct"/>
            <w:vAlign w:val="center"/>
          </w:tcPr>
          <w:p w14:paraId="0AC3600C" w14:textId="77777777" w:rsidR="00DC5685" w:rsidRPr="00A34F10" w:rsidRDefault="00DC5685" w:rsidP="00DC5685">
            <w:pPr>
              <w:rPr>
                <w:sz w:val="20"/>
                <w:szCs w:val="20"/>
              </w:rPr>
            </w:pPr>
            <w:r w:rsidRPr="00A34F10">
              <w:rPr>
                <w:sz w:val="20"/>
                <w:szCs w:val="20"/>
              </w:rPr>
              <w:t>109.5</w:t>
            </w:r>
          </w:p>
        </w:tc>
        <w:tc>
          <w:tcPr>
            <w:tcW w:w="798" w:type="pct"/>
            <w:vAlign w:val="center"/>
          </w:tcPr>
          <w:p w14:paraId="04486EFA" w14:textId="77777777" w:rsidR="00DC5685" w:rsidRPr="00A34F10" w:rsidRDefault="00DC5685" w:rsidP="00DC5685">
            <w:pPr>
              <w:rPr>
                <w:sz w:val="20"/>
                <w:szCs w:val="20"/>
              </w:rPr>
            </w:pPr>
            <w:r w:rsidRPr="00A34F10">
              <w:rPr>
                <w:sz w:val="20"/>
                <w:szCs w:val="20"/>
              </w:rPr>
              <w:t>87.676</w:t>
            </w:r>
          </w:p>
        </w:tc>
      </w:tr>
    </w:tbl>
    <w:p w14:paraId="57147420" w14:textId="77777777" w:rsidR="00DC5685" w:rsidRPr="00A34F10" w:rsidRDefault="00DC5685" w:rsidP="00DC5685">
      <w:pPr>
        <w:spacing w:after="360"/>
        <w:rPr>
          <w:sz w:val="18"/>
          <w:szCs w:val="18"/>
        </w:rPr>
      </w:pPr>
      <w:r w:rsidRPr="00A34F10">
        <w:rPr>
          <w:sz w:val="18"/>
          <w:szCs w:val="18"/>
        </w:rPr>
        <w:t>Treatment not significantly different to control</w:t>
      </w:r>
    </w:p>
    <w:p w14:paraId="46B7C2F2" w14:textId="77777777" w:rsidR="00DC5685" w:rsidRPr="00A34F10" w:rsidRDefault="00DC5685" w:rsidP="00E05ECD">
      <w:pPr>
        <w:numPr>
          <w:ilvl w:val="0"/>
          <w:numId w:val="108"/>
        </w:numPr>
        <w:ind w:left="357" w:hanging="357"/>
        <w:contextualSpacing/>
        <w:rPr>
          <w:b/>
          <w:bCs/>
          <w:caps/>
          <w:szCs w:val="24"/>
          <w:lang w:val="en-GB"/>
        </w:rPr>
      </w:pPr>
      <w:r w:rsidRPr="00A34F10">
        <w:rPr>
          <w:b/>
          <w:bCs/>
          <w:caps/>
          <w:szCs w:val="24"/>
          <w:lang w:val="en-GB"/>
        </w:rPr>
        <w:t>ANALYTICAL RESULTS</w:t>
      </w:r>
    </w:p>
    <w:p w14:paraId="12BE9728" w14:textId="77777777" w:rsidR="00DC5685" w:rsidRPr="00A34F10" w:rsidRDefault="00DC5685" w:rsidP="00DC5685">
      <w:pPr>
        <w:tabs>
          <w:tab w:val="left" w:pos="0"/>
        </w:tabs>
        <w:ind w:left="357" w:hanging="357"/>
        <w:contextualSpacing/>
        <w:rPr>
          <w:b/>
          <w:bCs/>
          <w:caps/>
          <w:szCs w:val="24"/>
          <w:lang w:val="en-GB"/>
        </w:rPr>
      </w:pPr>
    </w:p>
    <w:p w14:paraId="34B999D2" w14:textId="1E1777CB" w:rsidR="009E5F95" w:rsidRDefault="00DC5685" w:rsidP="00DC5685">
      <w:pPr>
        <w:autoSpaceDE w:val="0"/>
        <w:autoSpaceDN w:val="0"/>
        <w:adjustRightInd w:val="0"/>
        <w:spacing w:after="240"/>
        <w:jc w:val="both"/>
        <w:rPr>
          <w:lang w:val="en-GB"/>
        </w:rPr>
      </w:pPr>
      <w:r w:rsidRPr="00A34F10">
        <w:rPr>
          <w:lang w:val="en-GB"/>
        </w:rPr>
        <w:t>The laboratorial verification of the spray concentration at the tested rate was 87.9 % and thus reflecting the theoretical value. In the untreated specimen (control), no residue of BAS 743 02 F was found.</w:t>
      </w:r>
    </w:p>
    <w:p w14:paraId="055B71FA" w14:textId="77777777" w:rsidR="009E5F95" w:rsidRDefault="009E5F95">
      <w:pPr>
        <w:rPr>
          <w:lang w:val="en-GB"/>
        </w:rPr>
      </w:pPr>
      <w:r>
        <w:rPr>
          <w:lang w:val="en-GB"/>
        </w:rPr>
        <w:br w:type="page"/>
      </w:r>
    </w:p>
    <w:p w14:paraId="32E1DE3C" w14:textId="77777777" w:rsidR="00DC5685" w:rsidRPr="00A34F10" w:rsidRDefault="00DC5685" w:rsidP="00DC5685">
      <w:pPr>
        <w:autoSpaceDE w:val="0"/>
        <w:autoSpaceDN w:val="0"/>
        <w:adjustRightInd w:val="0"/>
        <w:spacing w:after="240"/>
        <w:jc w:val="both"/>
        <w:rPr>
          <w:b/>
          <w:bCs/>
          <w:caps/>
          <w:lang w:val="en-GB"/>
        </w:rPr>
      </w:pPr>
    </w:p>
    <w:p w14:paraId="4F4EE148" w14:textId="77777777" w:rsidR="00DC5685" w:rsidRPr="00A34F10" w:rsidRDefault="00DC5685" w:rsidP="00E05ECD">
      <w:pPr>
        <w:numPr>
          <w:ilvl w:val="0"/>
          <w:numId w:val="108"/>
        </w:numPr>
        <w:ind w:left="357" w:hanging="357"/>
        <w:contextualSpacing/>
        <w:rPr>
          <w:b/>
          <w:bCs/>
          <w:caps/>
          <w:szCs w:val="24"/>
          <w:lang w:val="en-GB"/>
        </w:rPr>
      </w:pPr>
      <w:r w:rsidRPr="00A34F10">
        <w:rPr>
          <w:b/>
          <w:bCs/>
          <w:caps/>
          <w:szCs w:val="24"/>
          <w:lang w:val="en-GB"/>
        </w:rPr>
        <w:t>VALIDITY CRITERIA</w:t>
      </w:r>
    </w:p>
    <w:p w14:paraId="202578C0" w14:textId="77777777" w:rsidR="00DC5685" w:rsidRPr="00A34F10" w:rsidRDefault="00DC5685" w:rsidP="00DC5685">
      <w:pPr>
        <w:tabs>
          <w:tab w:val="left" w:pos="0"/>
        </w:tabs>
        <w:ind w:left="357" w:hanging="357"/>
        <w:contextualSpacing/>
        <w:rPr>
          <w:caps/>
          <w:szCs w:val="24"/>
          <w:lang w:val="en-GB"/>
        </w:rPr>
      </w:pPr>
    </w:p>
    <w:p w14:paraId="58961F50" w14:textId="77777777" w:rsidR="00DC5685" w:rsidRPr="00A34F10" w:rsidRDefault="00DC5685" w:rsidP="00DC5685">
      <w:pPr>
        <w:tabs>
          <w:tab w:val="left" w:pos="709"/>
        </w:tabs>
        <w:spacing w:after="240"/>
        <w:contextualSpacing/>
        <w:jc w:val="both"/>
        <w:rPr>
          <w:szCs w:val="24"/>
          <w:highlight w:val="yellow"/>
          <w:lang w:val="en-GB"/>
        </w:rPr>
      </w:pPr>
      <w:r w:rsidRPr="00A34F10">
        <w:rPr>
          <w:szCs w:val="24"/>
          <w:lang w:val="en-GB"/>
        </w:rPr>
        <w:t>All validity criteria were met.</w:t>
      </w:r>
    </w:p>
    <w:p w14:paraId="123C176F" w14:textId="77777777" w:rsidR="00DC5685" w:rsidRPr="00A34F10" w:rsidRDefault="00DC5685" w:rsidP="00DC5685">
      <w:pPr>
        <w:tabs>
          <w:tab w:val="left" w:pos="709"/>
        </w:tabs>
        <w:spacing w:after="240"/>
        <w:contextualSpacing/>
        <w:jc w:val="both"/>
        <w:rPr>
          <w:szCs w:val="24"/>
          <w:highlight w:val="yellow"/>
          <w:lang w:val="en-GB"/>
        </w:rPr>
      </w:pPr>
    </w:p>
    <w:p w14:paraId="265BA8DC" w14:textId="5797ECFC" w:rsidR="00DC5685" w:rsidRPr="00094125" w:rsidRDefault="009E5F95" w:rsidP="009E5F95">
      <w:pPr>
        <w:pStyle w:val="Legenda"/>
        <w:rPr>
          <w:color w:val="000000"/>
          <w:highlight w:val="yellow"/>
        </w:rPr>
      </w:pPr>
      <w:r>
        <w:t xml:space="preserve">Table A </w:t>
      </w:r>
      <w:r>
        <w:fldChar w:fldCharType="begin"/>
      </w:r>
      <w:r>
        <w:instrText xml:space="preserve"> SEQ Table_A \* ARABIC </w:instrText>
      </w:r>
      <w:r>
        <w:fldChar w:fldCharType="separate"/>
      </w:r>
      <w:r w:rsidR="006F0F3B">
        <w:rPr>
          <w:noProof/>
        </w:rPr>
        <w:t>98</w:t>
      </w:r>
      <w:r>
        <w:fldChar w:fldCharType="end"/>
      </w:r>
      <w:r w:rsidR="00094125" w:rsidRPr="00094125">
        <w:t>:</w:t>
      </w:r>
      <w:r w:rsidR="00DC5685" w:rsidRPr="00094125">
        <w:rPr>
          <w:color w:val="000000"/>
        </w:rPr>
        <w:tab/>
        <w:t>Validity criteria</w:t>
      </w:r>
    </w:p>
    <w:tbl>
      <w:tblPr>
        <w:tblStyle w:val="Tabela-Siatka"/>
        <w:tblW w:w="5000" w:type="pct"/>
        <w:tblLook w:val="04A0" w:firstRow="1" w:lastRow="0" w:firstColumn="1" w:lastColumn="0" w:noHBand="0" w:noVBand="1"/>
      </w:tblPr>
      <w:tblGrid>
        <w:gridCol w:w="4274"/>
        <w:gridCol w:w="5070"/>
      </w:tblGrid>
      <w:tr w:rsidR="00DC5685" w:rsidRPr="00A34F10" w14:paraId="6624DE6B" w14:textId="77777777" w:rsidTr="000470C3">
        <w:tc>
          <w:tcPr>
            <w:tcW w:w="5000" w:type="pct"/>
            <w:gridSpan w:val="2"/>
          </w:tcPr>
          <w:p w14:paraId="2569C7DB" w14:textId="77777777" w:rsidR="00DC5685" w:rsidRPr="00A34F10" w:rsidRDefault="00DC5685" w:rsidP="00DC5685">
            <w:pPr>
              <w:keepNext/>
              <w:keepLines/>
              <w:autoSpaceDE w:val="0"/>
              <w:autoSpaceDN w:val="0"/>
              <w:adjustRightInd w:val="0"/>
              <w:spacing w:before="60"/>
              <w:jc w:val="left"/>
              <w:rPr>
                <w:sz w:val="20"/>
                <w:szCs w:val="20"/>
              </w:rPr>
            </w:pPr>
            <w:r w:rsidRPr="00A34F10">
              <w:rPr>
                <w:b/>
                <w:bCs/>
                <w:sz w:val="20"/>
                <w:szCs w:val="20"/>
              </w:rPr>
              <w:t>Validity criteria according to OECD 208 (2006)</w:t>
            </w:r>
          </w:p>
        </w:tc>
      </w:tr>
      <w:tr w:rsidR="00DC5685" w:rsidRPr="00A34F10" w14:paraId="74137AB4" w14:textId="77777777" w:rsidTr="000470C3">
        <w:tc>
          <w:tcPr>
            <w:tcW w:w="2287" w:type="pct"/>
          </w:tcPr>
          <w:p w14:paraId="2F75A21D"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Germination Rate of the Control Seeds:</w:t>
            </w:r>
          </w:p>
        </w:tc>
        <w:tc>
          <w:tcPr>
            <w:tcW w:w="2713" w:type="pct"/>
          </w:tcPr>
          <w:p w14:paraId="4ED8F3F2"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 70%; validity criterion was met (observed: 80-100%).</w:t>
            </w:r>
          </w:p>
        </w:tc>
      </w:tr>
      <w:tr w:rsidR="00DC5685" w:rsidRPr="00A34F10" w14:paraId="1EB2A6A7" w14:textId="77777777" w:rsidTr="000470C3">
        <w:tc>
          <w:tcPr>
            <w:tcW w:w="2287" w:type="pct"/>
          </w:tcPr>
          <w:p w14:paraId="2A574BE5"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Mean Survival of Emerged Control Seedlings:</w:t>
            </w:r>
          </w:p>
        </w:tc>
        <w:tc>
          <w:tcPr>
            <w:tcW w:w="2713" w:type="pct"/>
          </w:tcPr>
          <w:p w14:paraId="72075772"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 xml:space="preserve">≥ 90%, validity criterion was met (observed: 100 %). </w:t>
            </w:r>
          </w:p>
        </w:tc>
      </w:tr>
      <w:tr w:rsidR="00DC5685" w:rsidRPr="00A34F10" w14:paraId="29C74780" w14:textId="77777777" w:rsidTr="000470C3">
        <w:tc>
          <w:tcPr>
            <w:tcW w:w="2287" w:type="pct"/>
          </w:tcPr>
          <w:p w14:paraId="46B0206C" w14:textId="77777777" w:rsidR="00DC5685" w:rsidRPr="00A34F10" w:rsidRDefault="00DC5685" w:rsidP="00DC5685">
            <w:pPr>
              <w:autoSpaceDE w:val="0"/>
              <w:autoSpaceDN w:val="0"/>
              <w:adjustRightInd w:val="0"/>
              <w:jc w:val="left"/>
              <w:rPr>
                <w:sz w:val="20"/>
                <w:szCs w:val="20"/>
              </w:rPr>
            </w:pPr>
            <w:r w:rsidRPr="00A34F10">
              <w:rPr>
                <w:sz w:val="20"/>
                <w:szCs w:val="20"/>
              </w:rPr>
              <w:t xml:space="preserve">Growth and Morphology of the Control Plants: </w:t>
            </w:r>
          </w:p>
        </w:tc>
        <w:tc>
          <w:tcPr>
            <w:tcW w:w="2713" w:type="pct"/>
          </w:tcPr>
          <w:p w14:paraId="6DD89B36" w14:textId="77777777" w:rsidR="00DC5685" w:rsidRPr="00A34F10" w:rsidRDefault="00DC5685" w:rsidP="00DC5685">
            <w:pPr>
              <w:keepNext/>
              <w:jc w:val="left"/>
              <w:rPr>
                <w:sz w:val="20"/>
                <w:szCs w:val="20"/>
              </w:rPr>
            </w:pPr>
            <w:r w:rsidRPr="00A34F10">
              <w:rPr>
                <w:sz w:val="20"/>
                <w:szCs w:val="20"/>
              </w:rPr>
              <w:t xml:space="preserve">The control seedlings exhibited no visible phytotoxic effects </w:t>
            </w:r>
          </w:p>
        </w:tc>
      </w:tr>
    </w:tbl>
    <w:p w14:paraId="5D0ECE18" w14:textId="77777777" w:rsidR="00DC5685" w:rsidRPr="00A34F10" w:rsidRDefault="00DC5685" w:rsidP="00E05ECD">
      <w:pPr>
        <w:numPr>
          <w:ilvl w:val="0"/>
          <w:numId w:val="108"/>
        </w:numPr>
        <w:spacing w:before="240"/>
        <w:ind w:left="357" w:hanging="357"/>
        <w:rPr>
          <w:b/>
          <w:bCs/>
          <w:caps/>
          <w:szCs w:val="24"/>
          <w:lang w:val="en-GB"/>
        </w:rPr>
      </w:pPr>
      <w:r w:rsidRPr="00A34F10">
        <w:rPr>
          <w:b/>
          <w:bCs/>
          <w:caps/>
          <w:szCs w:val="24"/>
          <w:lang w:val="en-GB"/>
        </w:rPr>
        <w:t>DEFICIENCIES</w:t>
      </w:r>
    </w:p>
    <w:p w14:paraId="1C054B55" w14:textId="77777777" w:rsidR="00DC5685" w:rsidRPr="00A34F10" w:rsidRDefault="00DC5685" w:rsidP="00DC5685">
      <w:pPr>
        <w:jc w:val="both"/>
        <w:rPr>
          <w:b/>
          <w:bCs/>
          <w:caps/>
          <w:szCs w:val="24"/>
          <w:lang w:val="en-GB"/>
        </w:rPr>
      </w:pPr>
    </w:p>
    <w:p w14:paraId="1227C2D7" w14:textId="77777777" w:rsidR="00DC5685" w:rsidRPr="00A34F10" w:rsidRDefault="00DC5685" w:rsidP="00DC5685">
      <w:pPr>
        <w:jc w:val="both"/>
      </w:pPr>
      <w:r w:rsidRPr="00A34F10">
        <w:t>None.</w:t>
      </w:r>
    </w:p>
    <w:p w14:paraId="1A6A661C" w14:textId="77777777" w:rsidR="00DC5685" w:rsidRPr="00A34F10" w:rsidRDefault="00DC5685" w:rsidP="00DC5685">
      <w:pPr>
        <w:spacing w:before="240" w:after="240"/>
        <w:jc w:val="center"/>
        <w:rPr>
          <w:b/>
        </w:rPr>
      </w:pPr>
      <w:r w:rsidRPr="00A34F10">
        <w:rPr>
          <w:b/>
        </w:rPr>
        <w:t>III. CONCLUSION</w:t>
      </w:r>
    </w:p>
    <w:p w14:paraId="7EDBF5E4" w14:textId="77777777" w:rsidR="00DC5685" w:rsidRPr="00A34F10" w:rsidRDefault="00DC5685" w:rsidP="00DC5685">
      <w:pPr>
        <w:jc w:val="both"/>
        <w:rPr>
          <w:b/>
          <w:color w:val="000000" w:themeColor="text1"/>
        </w:rPr>
      </w:pPr>
      <w:r w:rsidRPr="00A34F10">
        <w:t>Based on the results of this study, conducted under greenhouse conditions, it can be concluded that the fungicide BAS 743 02 F applied pre-emergence at a rate of 3.85 L product/ha did not cause effects to the seedling emergence, plant survival, visual phytotoxicity, plant development (BBCH), plant length and plant dry biomass of the tested plant species. For all tested species, an ER</w:t>
      </w:r>
      <w:r w:rsidRPr="00A34F10">
        <w:rPr>
          <w:vertAlign w:val="subscript"/>
        </w:rPr>
        <w:t>50</w:t>
      </w:r>
      <w:r w:rsidRPr="00A34F10">
        <w:t xml:space="preserve"> &gt; 3.85 L product/ha based on the aforementioned endpoints was determined.</w:t>
      </w:r>
    </w:p>
    <w:p w14:paraId="431CE547" w14:textId="77777777" w:rsidR="00975A88" w:rsidRDefault="00975A88">
      <w:pPr>
        <w:rPr>
          <w:b/>
          <w:sz w:val="24"/>
          <w:lang w:val="en-GB"/>
        </w:rPr>
      </w:pPr>
      <w:r>
        <w:rPr>
          <w:lang w:val="en-GB"/>
        </w:rPr>
        <w:br w:type="page"/>
      </w:r>
    </w:p>
    <w:p w14:paraId="57753518" w14:textId="616036A3" w:rsidR="00DC5685" w:rsidRPr="00A34F10" w:rsidRDefault="00DC5685" w:rsidP="009E5F95">
      <w:pPr>
        <w:pStyle w:val="RepAppendix4"/>
        <w:rPr>
          <w:lang w:val="en-GB"/>
        </w:rPr>
      </w:pPr>
      <w:r w:rsidRPr="00A34F10">
        <w:rPr>
          <w:lang w:val="en-GB"/>
        </w:rPr>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4"/>
        <w:gridCol w:w="7300"/>
      </w:tblGrid>
      <w:tr w:rsidR="00DC5685" w:rsidRPr="00A34F10" w14:paraId="4F87404A" w14:textId="77777777" w:rsidTr="000576ED">
        <w:tc>
          <w:tcPr>
            <w:tcW w:w="1094" w:type="pct"/>
            <w:shd w:val="clear" w:color="auto" w:fill="D9D9D9" w:themeFill="background1" w:themeFillShade="D9"/>
          </w:tcPr>
          <w:p w14:paraId="4682D0EE" w14:textId="77777777" w:rsidR="00DC5685" w:rsidRPr="00A34F10" w:rsidRDefault="00DC5685" w:rsidP="00DC5685">
            <w:pPr>
              <w:widowControl w:val="0"/>
              <w:jc w:val="both"/>
              <w:rPr>
                <w:rFonts w:eastAsia="Batang"/>
                <w:color w:val="000000" w:themeColor="text1"/>
                <w:lang w:val="en-GB"/>
              </w:rPr>
            </w:pPr>
            <w:r w:rsidRPr="00A34F10">
              <w:rPr>
                <w:color w:val="000000" w:themeColor="text1"/>
                <w:lang w:val="en-GB"/>
              </w:rPr>
              <w:t>Comments of zRMS:</w:t>
            </w:r>
          </w:p>
        </w:tc>
        <w:tc>
          <w:tcPr>
            <w:tcW w:w="3906" w:type="pct"/>
            <w:shd w:val="clear" w:color="auto" w:fill="D9D9D9" w:themeFill="background1" w:themeFillShade="D9"/>
          </w:tcPr>
          <w:p w14:paraId="239613ED" w14:textId="0618BC70" w:rsidR="00DC5685" w:rsidRPr="00A34F10" w:rsidRDefault="000576ED" w:rsidP="00DC5685">
            <w:pPr>
              <w:widowControl w:val="0"/>
              <w:jc w:val="both"/>
              <w:rPr>
                <w:rFonts w:eastAsia="Batang"/>
                <w:color w:val="000000" w:themeColor="text1"/>
                <w:lang w:val="en-GB"/>
              </w:rPr>
            </w:pPr>
            <w:r w:rsidRPr="0037666C">
              <w:rPr>
                <w:rFonts w:eastAsia="Batang"/>
              </w:rPr>
              <w:t xml:space="preserve">The study was conducted to </w:t>
            </w:r>
            <w:r w:rsidRPr="00A34F10">
              <w:rPr>
                <w:lang w:val="en-GB"/>
              </w:rPr>
              <w:t>OECD 22</w:t>
            </w:r>
            <w:r>
              <w:rPr>
                <w:lang w:val="en-GB"/>
              </w:rPr>
              <w:t>7</w:t>
            </w:r>
            <w:r w:rsidRPr="00A34F10">
              <w:rPr>
                <w:lang w:val="en-GB"/>
              </w:rPr>
              <w:t xml:space="preserve"> </w:t>
            </w:r>
            <w:r w:rsidRPr="0037666C">
              <w:rPr>
                <w:rFonts w:eastAsia="Batang"/>
              </w:rPr>
              <w:t xml:space="preserve">the guideline and according to the principles of GLP. All validity criterions were met. </w:t>
            </w:r>
            <w:r w:rsidRPr="0037666C">
              <w:rPr>
                <w:color w:val="000000"/>
              </w:rPr>
              <w:t xml:space="preserve">The study is considered to be reliable </w:t>
            </w:r>
            <w:r w:rsidRPr="0037666C">
              <w:t>and suitable for the risk assessment</w:t>
            </w:r>
            <w:r w:rsidRPr="0037666C">
              <w:rPr>
                <w:color w:val="000000"/>
              </w:rPr>
              <w:t>.</w:t>
            </w:r>
          </w:p>
        </w:tc>
      </w:tr>
    </w:tbl>
    <w:p w14:paraId="12BA44E1" w14:textId="77777777" w:rsidR="00DC5685" w:rsidRPr="00A34F10" w:rsidRDefault="00DC5685" w:rsidP="00DC5685">
      <w:pPr>
        <w:widowControl w:val="0"/>
        <w:jc w:val="both"/>
        <w:rPr>
          <w:color w:val="000000" w:themeColor="text1"/>
        </w:rPr>
      </w:pPr>
    </w:p>
    <w:tbl>
      <w:tblPr>
        <w:tblW w:w="9354" w:type="dxa"/>
        <w:jc w:val="center"/>
        <w:tblCellMar>
          <w:left w:w="71" w:type="dxa"/>
          <w:right w:w="71" w:type="dxa"/>
        </w:tblCellMar>
        <w:tblLook w:val="0000" w:firstRow="0" w:lastRow="0" w:firstColumn="0" w:lastColumn="0" w:noHBand="0" w:noVBand="0"/>
      </w:tblPr>
      <w:tblGrid>
        <w:gridCol w:w="2552"/>
        <w:gridCol w:w="6802"/>
      </w:tblGrid>
      <w:tr w:rsidR="00DC5685" w:rsidRPr="00A34F10" w14:paraId="758BFDC1" w14:textId="77777777" w:rsidTr="000470C3">
        <w:trPr>
          <w:trHeight w:val="227"/>
          <w:jc w:val="center"/>
        </w:trPr>
        <w:tc>
          <w:tcPr>
            <w:tcW w:w="1364" w:type="pct"/>
          </w:tcPr>
          <w:p w14:paraId="0EF13818" w14:textId="77777777" w:rsidR="00DC5685" w:rsidRPr="00A34F10" w:rsidRDefault="00DC5685" w:rsidP="00DC5685">
            <w:pPr>
              <w:widowControl w:val="0"/>
              <w:spacing w:after="120"/>
              <w:jc w:val="both"/>
              <w:rPr>
                <w:lang w:val="en-GB"/>
              </w:rPr>
            </w:pPr>
            <w:r w:rsidRPr="00A34F10">
              <w:rPr>
                <w:lang w:val="en-GB"/>
              </w:rPr>
              <w:t xml:space="preserve">Data point: </w:t>
            </w:r>
          </w:p>
        </w:tc>
        <w:tc>
          <w:tcPr>
            <w:tcW w:w="3636" w:type="pct"/>
          </w:tcPr>
          <w:p w14:paraId="5701A7B7" w14:textId="4C089078" w:rsidR="00DC5685" w:rsidRPr="00A34F10" w:rsidRDefault="00DC5685" w:rsidP="00DC5685">
            <w:pPr>
              <w:widowControl w:val="0"/>
              <w:spacing w:after="120"/>
              <w:jc w:val="both"/>
              <w:rPr>
                <w:lang w:val="en-GB"/>
              </w:rPr>
            </w:pPr>
            <w:r w:rsidRPr="00A34F10">
              <w:t>CP 10.6</w:t>
            </w:r>
            <w:r w:rsidR="00C31BC1">
              <w:t>.1</w:t>
            </w:r>
            <w:r w:rsidRPr="00A34F10">
              <w:t>/02</w:t>
            </w:r>
          </w:p>
        </w:tc>
      </w:tr>
      <w:tr w:rsidR="00DC5685" w:rsidRPr="00A34F10" w14:paraId="619ED2E4" w14:textId="77777777" w:rsidTr="000470C3">
        <w:trPr>
          <w:trHeight w:val="227"/>
          <w:jc w:val="center"/>
        </w:trPr>
        <w:tc>
          <w:tcPr>
            <w:tcW w:w="1364" w:type="pct"/>
          </w:tcPr>
          <w:p w14:paraId="1692D2FF" w14:textId="77777777" w:rsidR="00DC5685" w:rsidRPr="00A34F10" w:rsidRDefault="00DC5685" w:rsidP="00DC5685">
            <w:pPr>
              <w:widowControl w:val="0"/>
              <w:spacing w:after="120"/>
              <w:jc w:val="both"/>
              <w:rPr>
                <w:lang w:val="en-GB"/>
              </w:rPr>
            </w:pPr>
            <w:r w:rsidRPr="00A34F10">
              <w:rPr>
                <w:lang w:val="en-GB"/>
              </w:rPr>
              <w:t xml:space="preserve">Report </w:t>
            </w:r>
          </w:p>
        </w:tc>
        <w:tc>
          <w:tcPr>
            <w:tcW w:w="3636" w:type="pct"/>
          </w:tcPr>
          <w:p w14:paraId="19B53A1C" w14:textId="77777777" w:rsidR="00DC5685" w:rsidRPr="00A34F10" w:rsidRDefault="00DC5685" w:rsidP="00DC5685">
            <w:pPr>
              <w:widowControl w:val="0"/>
              <w:spacing w:after="120"/>
              <w:jc w:val="both"/>
            </w:pPr>
            <w:r w:rsidRPr="00A34F10">
              <w:t>Effect of BAS 743 02 F on vegetative vigour of several species of terrestrial plants under greenhouse conditions</w:t>
            </w:r>
          </w:p>
          <w:p w14:paraId="588303DC" w14:textId="77777777" w:rsidR="00DC5685" w:rsidRPr="00A34F10" w:rsidRDefault="00DC5685" w:rsidP="00DC5685">
            <w:pPr>
              <w:widowControl w:val="0"/>
              <w:spacing w:after="120"/>
              <w:jc w:val="both"/>
            </w:pPr>
            <w:r w:rsidRPr="00A34F10">
              <w:t>Maleck, A., 2023b</w:t>
            </w:r>
          </w:p>
          <w:p w14:paraId="3537F7E6" w14:textId="7CB4B4DA" w:rsidR="00DC5685" w:rsidRPr="00A34F10" w:rsidRDefault="00482794" w:rsidP="00DC5685">
            <w:pPr>
              <w:widowControl w:val="0"/>
              <w:spacing w:after="120"/>
              <w:jc w:val="both"/>
            </w:pPr>
            <w:r>
              <w:t>XXXX</w:t>
            </w:r>
            <w:r w:rsidR="00DC5685" w:rsidRPr="00A34F10">
              <w:t xml:space="preserve"> Study ID:</w:t>
            </w:r>
            <w:r w:rsidR="00DC5685" w:rsidRPr="00A34F10">
              <w:rPr>
                <w:lang w:val="en-GB"/>
              </w:rPr>
              <w:t xml:space="preserve"> 933752-14</w:t>
            </w:r>
          </w:p>
          <w:p w14:paraId="3F2DF863" w14:textId="0C31A999" w:rsidR="00DC5685" w:rsidRPr="00A34F10" w:rsidRDefault="00482794" w:rsidP="00DC5685">
            <w:pPr>
              <w:widowControl w:val="0"/>
              <w:spacing w:after="120"/>
              <w:jc w:val="both"/>
              <w:rPr>
                <w:lang w:val="en-GB"/>
              </w:rPr>
            </w:pPr>
            <w:r>
              <w:rPr>
                <w:lang w:val="en-GB"/>
              </w:rPr>
              <w:t>XXXX</w:t>
            </w:r>
            <w:r w:rsidR="00DC5685" w:rsidRPr="00A34F10">
              <w:rPr>
                <w:lang w:val="en-GB"/>
              </w:rPr>
              <w:t xml:space="preserve"> Doc ID: </w:t>
            </w:r>
            <w:r w:rsidR="00DC5685" w:rsidRPr="00A34F10">
              <w:t>2022/2033723</w:t>
            </w:r>
          </w:p>
        </w:tc>
      </w:tr>
      <w:tr w:rsidR="00DC5685" w:rsidRPr="00A34F10" w14:paraId="094870A3" w14:textId="77777777" w:rsidTr="000470C3">
        <w:trPr>
          <w:trHeight w:val="227"/>
          <w:jc w:val="center"/>
        </w:trPr>
        <w:tc>
          <w:tcPr>
            <w:tcW w:w="1364" w:type="pct"/>
          </w:tcPr>
          <w:p w14:paraId="250D685F" w14:textId="77777777" w:rsidR="00DC5685" w:rsidRPr="00A34F10" w:rsidRDefault="00DC5685" w:rsidP="00DC5685">
            <w:pPr>
              <w:widowControl w:val="0"/>
              <w:spacing w:after="120"/>
              <w:jc w:val="both"/>
              <w:rPr>
                <w:lang w:val="en-GB"/>
              </w:rPr>
            </w:pPr>
            <w:r w:rsidRPr="00A34F10">
              <w:rPr>
                <w:lang w:val="en-GB"/>
              </w:rPr>
              <w:t>Guideline</w:t>
            </w:r>
            <w:r w:rsidRPr="00A34F10">
              <w:t>(</w:t>
            </w:r>
            <w:r w:rsidRPr="00A34F10">
              <w:rPr>
                <w:lang w:val="en-GB"/>
              </w:rPr>
              <w:t>s</w:t>
            </w:r>
            <w:r w:rsidRPr="00A34F10">
              <w:t>)</w:t>
            </w:r>
            <w:r w:rsidRPr="00A34F10">
              <w:rPr>
                <w:lang w:val="en-GB"/>
              </w:rPr>
              <w:t xml:space="preserve">: </w:t>
            </w:r>
          </w:p>
        </w:tc>
        <w:tc>
          <w:tcPr>
            <w:tcW w:w="3636" w:type="pct"/>
            <w:shd w:val="clear" w:color="auto" w:fill="auto"/>
          </w:tcPr>
          <w:p w14:paraId="0E69BB70" w14:textId="77777777" w:rsidR="00DC5685" w:rsidRPr="00A34F10" w:rsidRDefault="00DC5685" w:rsidP="00DC5685">
            <w:pPr>
              <w:widowControl w:val="0"/>
              <w:spacing w:after="120"/>
              <w:jc w:val="both"/>
            </w:pPr>
            <w:r w:rsidRPr="00A34F10">
              <w:t>OECD 227 (2006); OCSPP 850.4150 (2012)</w:t>
            </w:r>
          </w:p>
        </w:tc>
      </w:tr>
      <w:tr w:rsidR="00DC5685" w:rsidRPr="00A34F10" w14:paraId="54B10239" w14:textId="77777777" w:rsidTr="000470C3">
        <w:trPr>
          <w:trHeight w:val="227"/>
          <w:jc w:val="center"/>
        </w:trPr>
        <w:tc>
          <w:tcPr>
            <w:tcW w:w="1364" w:type="pct"/>
          </w:tcPr>
          <w:p w14:paraId="3B15D27D" w14:textId="77777777" w:rsidR="00DC5685" w:rsidRPr="00A34F10" w:rsidRDefault="00DC5685" w:rsidP="00DC5685">
            <w:pPr>
              <w:widowControl w:val="0"/>
              <w:spacing w:after="120"/>
              <w:jc w:val="both"/>
              <w:rPr>
                <w:lang w:val="en-GB"/>
              </w:rPr>
            </w:pPr>
            <w:r w:rsidRPr="00A34F10">
              <w:rPr>
                <w:lang w:val="en-GB"/>
              </w:rPr>
              <w:t xml:space="preserve">Deviations: </w:t>
            </w:r>
          </w:p>
        </w:tc>
        <w:tc>
          <w:tcPr>
            <w:tcW w:w="3636" w:type="pct"/>
            <w:shd w:val="clear" w:color="auto" w:fill="auto"/>
          </w:tcPr>
          <w:p w14:paraId="4F38E4DE" w14:textId="77777777" w:rsidR="00DC5685" w:rsidRPr="00A34F10" w:rsidRDefault="00DC5685" w:rsidP="00DC5685">
            <w:pPr>
              <w:widowControl w:val="0"/>
              <w:spacing w:after="120"/>
              <w:jc w:val="both"/>
              <w:rPr>
                <w:lang w:val="en-GB"/>
              </w:rPr>
            </w:pPr>
            <w:r w:rsidRPr="00A34F10">
              <w:t>No</w:t>
            </w:r>
          </w:p>
        </w:tc>
      </w:tr>
      <w:tr w:rsidR="00DC5685" w:rsidRPr="00A34F10" w14:paraId="28B46AA0" w14:textId="77777777" w:rsidTr="000470C3">
        <w:trPr>
          <w:trHeight w:val="227"/>
          <w:jc w:val="center"/>
        </w:trPr>
        <w:tc>
          <w:tcPr>
            <w:tcW w:w="1364" w:type="pct"/>
          </w:tcPr>
          <w:p w14:paraId="25AF1BED" w14:textId="77777777" w:rsidR="00DC5685" w:rsidRPr="00A34F10" w:rsidRDefault="00DC5685" w:rsidP="00DC5685">
            <w:pPr>
              <w:widowControl w:val="0"/>
              <w:spacing w:after="120"/>
              <w:jc w:val="both"/>
              <w:rPr>
                <w:lang w:val="en-GB"/>
              </w:rPr>
            </w:pPr>
            <w:r w:rsidRPr="00A34F10">
              <w:rPr>
                <w:lang w:val="en-GB"/>
              </w:rPr>
              <w:t>GLP:</w:t>
            </w:r>
          </w:p>
        </w:tc>
        <w:tc>
          <w:tcPr>
            <w:tcW w:w="3636" w:type="pct"/>
          </w:tcPr>
          <w:p w14:paraId="49CF170F" w14:textId="77777777" w:rsidR="00DC5685" w:rsidRPr="00A34F10" w:rsidRDefault="00DC5685" w:rsidP="00DC5685">
            <w:pPr>
              <w:widowControl w:val="0"/>
              <w:spacing w:after="120"/>
              <w:jc w:val="both"/>
              <w:rPr>
                <w:lang w:val="en-GB"/>
              </w:rPr>
            </w:pPr>
            <w:r w:rsidRPr="00A34F10">
              <w:rPr>
                <w:lang w:val="en-GB"/>
              </w:rPr>
              <w:t>Yes, GLP</w:t>
            </w:r>
          </w:p>
        </w:tc>
      </w:tr>
      <w:tr w:rsidR="00DC5685" w:rsidRPr="00A34F10" w14:paraId="4416E6E3" w14:textId="77777777" w:rsidTr="000470C3">
        <w:trPr>
          <w:trHeight w:val="227"/>
          <w:jc w:val="center"/>
        </w:trPr>
        <w:tc>
          <w:tcPr>
            <w:tcW w:w="1364" w:type="pct"/>
          </w:tcPr>
          <w:p w14:paraId="2C6B3D3D" w14:textId="77777777" w:rsidR="00DC5685" w:rsidRPr="00A34F10" w:rsidRDefault="00DC5685" w:rsidP="00DC5685">
            <w:pPr>
              <w:widowControl w:val="0"/>
              <w:spacing w:after="120"/>
              <w:jc w:val="both"/>
              <w:rPr>
                <w:lang w:val="en-GB"/>
              </w:rPr>
            </w:pPr>
            <w:r w:rsidRPr="00A34F10">
              <w:rPr>
                <w:lang w:val="en-GB"/>
              </w:rPr>
              <w:t xml:space="preserve">Acceptability: </w:t>
            </w:r>
          </w:p>
        </w:tc>
        <w:tc>
          <w:tcPr>
            <w:tcW w:w="3636" w:type="pct"/>
          </w:tcPr>
          <w:p w14:paraId="29192115" w14:textId="77777777" w:rsidR="00DC5685" w:rsidRPr="00A34F10" w:rsidRDefault="00DC5685" w:rsidP="00DC5685">
            <w:pPr>
              <w:widowControl w:val="0"/>
              <w:spacing w:after="120"/>
              <w:jc w:val="both"/>
              <w:rPr>
                <w:lang w:val="en-GB"/>
              </w:rPr>
            </w:pPr>
            <w:r w:rsidRPr="00A34F10">
              <w:rPr>
                <w:lang w:val="en-GB"/>
              </w:rPr>
              <w:t>Yes</w:t>
            </w:r>
          </w:p>
        </w:tc>
      </w:tr>
    </w:tbl>
    <w:p w14:paraId="3DA47E83" w14:textId="70410C70" w:rsidR="00C856D9" w:rsidRDefault="00C856D9" w:rsidP="00DC5685">
      <w:pPr>
        <w:widowControl w:val="0"/>
        <w:spacing w:after="120"/>
        <w:jc w:val="both"/>
      </w:pPr>
    </w:p>
    <w:p w14:paraId="6A963E94" w14:textId="77777777" w:rsidR="00DC5685" w:rsidRPr="00A34F10" w:rsidRDefault="00DC5685" w:rsidP="00DC5685">
      <w:pPr>
        <w:rPr>
          <w:b/>
          <w:color w:val="000000" w:themeColor="text1"/>
        </w:rPr>
      </w:pPr>
      <w:r w:rsidRPr="00A34F10">
        <w:rPr>
          <w:b/>
          <w:color w:val="000000" w:themeColor="text1"/>
        </w:rPr>
        <w:t>Executive Summary</w:t>
      </w:r>
    </w:p>
    <w:p w14:paraId="20EBAF8D" w14:textId="77777777" w:rsidR="00DC5685" w:rsidRPr="00A34F10" w:rsidRDefault="00DC5685" w:rsidP="00DC5685">
      <w:pPr>
        <w:rPr>
          <w:b/>
          <w:color w:val="000000" w:themeColor="text1"/>
        </w:rPr>
      </w:pPr>
    </w:p>
    <w:p w14:paraId="0CBA6A66" w14:textId="77777777" w:rsidR="00DC5685" w:rsidRPr="00A34F10" w:rsidRDefault="00DC5685" w:rsidP="00DC5685">
      <w:pPr>
        <w:spacing w:after="120"/>
        <w:jc w:val="both"/>
      </w:pPr>
      <w:r w:rsidRPr="00A34F10">
        <w:t>The effect of BAS 743 02 F on vegetative vigour of ten species of terrestrial plants was assessed in a limit test study. BAS 743 02 F was applied post-emergence at BBCH 12 -14 at 3.85 L product/ha. A control (tap water only) was tested in parallel. Plants were cultivated for 21 days under greenhouse conditions. Assessments for plant damage (phytotoxicity), plant development and plant survival were done 7, 14 and 21 days after treatment (DAT). Single plant length and dry weight were measured at 21 DAT. Based on the results of this study, it can be concluded that BAS 743 02 F applied post emergence at a rate of 3.85 L product/ha did not cause effects to plant phytotoxicity, plant survival, plant length and plant dry biomass for all tested plant species.</w:t>
      </w:r>
    </w:p>
    <w:p w14:paraId="66908B0B" w14:textId="77777777" w:rsidR="00DC5685" w:rsidRPr="00A34F10" w:rsidRDefault="00DC5685" w:rsidP="00E05ECD">
      <w:pPr>
        <w:numPr>
          <w:ilvl w:val="0"/>
          <w:numId w:val="109"/>
        </w:numPr>
        <w:spacing w:before="240"/>
        <w:jc w:val="center"/>
        <w:rPr>
          <w:b/>
        </w:rPr>
      </w:pPr>
      <w:r w:rsidRPr="00A34F10">
        <w:rPr>
          <w:b/>
        </w:rPr>
        <w:t>MATERIALS AND METHODS</w:t>
      </w:r>
    </w:p>
    <w:p w14:paraId="5233037B" w14:textId="77777777" w:rsidR="00DC5685" w:rsidRPr="00A34F10" w:rsidRDefault="00DC5685" w:rsidP="00E05ECD">
      <w:pPr>
        <w:numPr>
          <w:ilvl w:val="0"/>
          <w:numId w:val="16"/>
        </w:numPr>
        <w:tabs>
          <w:tab w:val="left" w:pos="0"/>
        </w:tabs>
        <w:ind w:left="357" w:hanging="357"/>
        <w:contextualSpacing/>
        <w:rPr>
          <w:b/>
          <w:bCs/>
          <w:caps/>
        </w:rPr>
      </w:pPr>
      <w:r w:rsidRPr="00A34F10">
        <w:rPr>
          <w:b/>
          <w:bCs/>
          <w:caps/>
        </w:rPr>
        <w:t>MATERIALS</w:t>
      </w:r>
    </w:p>
    <w:p w14:paraId="0A196166" w14:textId="77777777" w:rsidR="00DC5685" w:rsidRPr="00A34F10" w:rsidRDefault="00DC5685" w:rsidP="00DC5685">
      <w:pPr>
        <w:ind w:left="1080" w:right="-144"/>
        <w:rPr>
          <w:b/>
        </w:rPr>
      </w:pPr>
    </w:p>
    <w:tbl>
      <w:tblPr>
        <w:tblW w:w="0" w:type="auto"/>
        <w:tblLook w:val="04A0" w:firstRow="1" w:lastRow="0" w:firstColumn="1" w:lastColumn="0" w:noHBand="0" w:noVBand="1"/>
      </w:tblPr>
      <w:tblGrid>
        <w:gridCol w:w="3964"/>
        <w:gridCol w:w="5386"/>
      </w:tblGrid>
      <w:tr w:rsidR="00DC5685" w:rsidRPr="00A34F10" w14:paraId="31329E4A" w14:textId="77777777" w:rsidTr="000470C3">
        <w:trPr>
          <w:cantSplit/>
          <w:trHeight w:val="340"/>
        </w:trPr>
        <w:tc>
          <w:tcPr>
            <w:tcW w:w="3964" w:type="dxa"/>
          </w:tcPr>
          <w:p w14:paraId="0ABA461F" w14:textId="77777777" w:rsidR="00DC5685" w:rsidRPr="00A34F10" w:rsidRDefault="00DC5685" w:rsidP="00E05ECD">
            <w:pPr>
              <w:numPr>
                <w:ilvl w:val="0"/>
                <w:numId w:val="110"/>
              </w:numPr>
              <w:tabs>
                <w:tab w:val="left" w:pos="255"/>
              </w:tabs>
              <w:contextualSpacing/>
              <w:rPr>
                <w:b/>
                <w:bCs/>
              </w:rPr>
            </w:pPr>
            <w:r w:rsidRPr="00A34F10">
              <w:rPr>
                <w:b/>
                <w:bCs/>
              </w:rPr>
              <w:t>Test item:</w:t>
            </w:r>
          </w:p>
        </w:tc>
        <w:tc>
          <w:tcPr>
            <w:tcW w:w="5386" w:type="dxa"/>
            <w:vAlign w:val="center"/>
          </w:tcPr>
          <w:p w14:paraId="2720D25A" w14:textId="77777777" w:rsidR="00DC5685" w:rsidRPr="00A34F10" w:rsidRDefault="00DC5685" w:rsidP="00DC5685">
            <w:pPr>
              <w:tabs>
                <w:tab w:val="left" w:pos="720"/>
              </w:tabs>
              <w:spacing w:before="20" w:after="20"/>
              <w:jc w:val="both"/>
              <w:rPr>
                <w:lang w:val="en-GB"/>
              </w:rPr>
            </w:pPr>
            <w:r w:rsidRPr="00A34F10">
              <w:rPr>
                <w:lang w:val="en-GB"/>
              </w:rPr>
              <w:t>BAS 743 02 F</w:t>
            </w:r>
          </w:p>
        </w:tc>
      </w:tr>
      <w:tr w:rsidR="00DC5685" w:rsidRPr="00A34F10" w14:paraId="100A2059" w14:textId="77777777" w:rsidTr="000470C3">
        <w:trPr>
          <w:cantSplit/>
          <w:trHeight w:val="340"/>
        </w:trPr>
        <w:tc>
          <w:tcPr>
            <w:tcW w:w="3964" w:type="dxa"/>
          </w:tcPr>
          <w:p w14:paraId="7DEF3D51" w14:textId="77777777" w:rsidR="00DC5685" w:rsidRPr="00A34F10" w:rsidRDefault="00DC5685" w:rsidP="00DC5685">
            <w:pPr>
              <w:numPr>
                <w:ilvl w:val="3"/>
                <w:numId w:val="0"/>
              </w:numPr>
              <w:tabs>
                <w:tab w:val="left" w:pos="0"/>
                <w:tab w:val="left" w:pos="624"/>
              </w:tabs>
              <w:ind w:left="1068" w:hanging="359"/>
              <w:contextualSpacing/>
              <w:rPr>
                <w:b/>
                <w:bCs/>
              </w:rPr>
            </w:pPr>
            <w:r w:rsidRPr="00A34F10">
              <w:rPr>
                <w:b/>
                <w:bCs/>
                <w:lang w:val="en-GB"/>
              </w:rPr>
              <w:t>Active substance content:</w:t>
            </w:r>
          </w:p>
        </w:tc>
        <w:tc>
          <w:tcPr>
            <w:tcW w:w="5386" w:type="dxa"/>
            <w:vAlign w:val="center"/>
          </w:tcPr>
          <w:p w14:paraId="5E1054B8" w14:textId="77777777" w:rsidR="00DC5685" w:rsidRPr="00A34F10" w:rsidRDefault="00DC5685" w:rsidP="00DC5685">
            <w:pPr>
              <w:tabs>
                <w:tab w:val="left" w:pos="720"/>
              </w:tabs>
              <w:spacing w:line="276" w:lineRule="auto"/>
              <w:rPr>
                <w:szCs w:val="24"/>
              </w:rPr>
            </w:pPr>
            <w:r w:rsidRPr="00A34F10">
              <w:rPr>
                <w:szCs w:val="24"/>
              </w:rPr>
              <w:t>Propamocarb: nominal 432.0 g/L, analysed 431.0 g/L;</w:t>
            </w:r>
          </w:p>
          <w:p w14:paraId="338F0045" w14:textId="77777777" w:rsidR="00DC5685" w:rsidRPr="00A34F10" w:rsidRDefault="00DC5685" w:rsidP="00DC5685">
            <w:pPr>
              <w:tabs>
                <w:tab w:val="left" w:pos="720"/>
              </w:tabs>
              <w:spacing w:before="20" w:after="20"/>
              <w:jc w:val="both"/>
              <w:rPr>
                <w:lang w:val="en-GB"/>
              </w:rPr>
            </w:pPr>
            <w:r w:rsidRPr="00A34F10">
              <w:rPr>
                <w:szCs w:val="24"/>
                <w:lang w:val="en-GB"/>
              </w:rPr>
              <w:t>Ametoctradin: nominal 137.14 g/L, analysed 137.7 g/L</w:t>
            </w:r>
          </w:p>
        </w:tc>
      </w:tr>
      <w:tr w:rsidR="00DC5685" w:rsidRPr="00A34F10" w14:paraId="72EC3351" w14:textId="77777777" w:rsidTr="000470C3">
        <w:trPr>
          <w:cantSplit/>
          <w:trHeight w:val="340"/>
        </w:trPr>
        <w:tc>
          <w:tcPr>
            <w:tcW w:w="3964" w:type="dxa"/>
          </w:tcPr>
          <w:p w14:paraId="6F87C288"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Description:</w:t>
            </w:r>
          </w:p>
        </w:tc>
        <w:tc>
          <w:tcPr>
            <w:tcW w:w="5386" w:type="dxa"/>
          </w:tcPr>
          <w:p w14:paraId="463ED132" w14:textId="77777777" w:rsidR="00DC5685" w:rsidRPr="00A34F10" w:rsidRDefault="00DC5685" w:rsidP="00DC5685">
            <w:pPr>
              <w:tabs>
                <w:tab w:val="left" w:pos="720"/>
              </w:tabs>
              <w:spacing w:before="20" w:after="20"/>
              <w:jc w:val="both"/>
              <w:rPr>
                <w:lang w:val="en-GB"/>
              </w:rPr>
            </w:pPr>
            <w:r w:rsidRPr="00A34F10">
              <w:rPr>
                <w:szCs w:val="24"/>
                <w:lang w:val="en-GB"/>
              </w:rPr>
              <w:t>Liquid</w:t>
            </w:r>
          </w:p>
        </w:tc>
      </w:tr>
      <w:tr w:rsidR="00DC5685" w:rsidRPr="00A34F10" w14:paraId="0C322C83" w14:textId="77777777" w:rsidTr="000470C3">
        <w:trPr>
          <w:cantSplit/>
          <w:trHeight w:val="340"/>
        </w:trPr>
        <w:tc>
          <w:tcPr>
            <w:tcW w:w="3964" w:type="dxa"/>
          </w:tcPr>
          <w:p w14:paraId="6A79A78E"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Lot/Batch:</w:t>
            </w:r>
          </w:p>
        </w:tc>
        <w:tc>
          <w:tcPr>
            <w:tcW w:w="5386" w:type="dxa"/>
          </w:tcPr>
          <w:p w14:paraId="581DD99C" w14:textId="77777777" w:rsidR="00DC5685" w:rsidRPr="00A34F10" w:rsidRDefault="00DC5685" w:rsidP="00DC5685">
            <w:pPr>
              <w:tabs>
                <w:tab w:val="left" w:pos="720"/>
              </w:tabs>
              <w:spacing w:before="20" w:after="20"/>
              <w:jc w:val="both"/>
              <w:rPr>
                <w:lang w:val="en-GB"/>
              </w:rPr>
            </w:pPr>
            <w:r w:rsidRPr="00A34F10">
              <w:rPr>
                <w:lang w:val="en-GB"/>
              </w:rPr>
              <w:t>FRE-002224</w:t>
            </w:r>
          </w:p>
        </w:tc>
      </w:tr>
      <w:tr w:rsidR="00DC5685" w:rsidRPr="00A34F10" w14:paraId="189C1FA2" w14:textId="77777777" w:rsidTr="000470C3">
        <w:trPr>
          <w:cantSplit/>
          <w:trHeight w:val="340"/>
        </w:trPr>
        <w:tc>
          <w:tcPr>
            <w:tcW w:w="3964" w:type="dxa"/>
          </w:tcPr>
          <w:p w14:paraId="7BE25436"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Density:</w:t>
            </w:r>
          </w:p>
        </w:tc>
        <w:tc>
          <w:tcPr>
            <w:tcW w:w="5386" w:type="dxa"/>
          </w:tcPr>
          <w:p w14:paraId="34C5856B" w14:textId="77777777" w:rsidR="00DC5685" w:rsidRPr="00A34F10" w:rsidRDefault="00DC5685" w:rsidP="00DC5685">
            <w:pPr>
              <w:tabs>
                <w:tab w:val="left" w:pos="720"/>
              </w:tabs>
              <w:spacing w:before="20" w:after="20"/>
              <w:jc w:val="both"/>
              <w:rPr>
                <w:lang w:val="en-GB"/>
              </w:rPr>
            </w:pPr>
            <w:r w:rsidRPr="00A34F10">
              <w:rPr>
                <w:lang w:val="en-GB"/>
              </w:rPr>
              <w:t>1.080 g/cm³</w:t>
            </w:r>
          </w:p>
        </w:tc>
      </w:tr>
      <w:tr w:rsidR="00DC5685" w:rsidRPr="00A34F10" w14:paraId="0CBE77D1" w14:textId="77777777" w:rsidTr="000470C3">
        <w:trPr>
          <w:cantSplit/>
          <w:trHeight w:val="340"/>
        </w:trPr>
        <w:tc>
          <w:tcPr>
            <w:tcW w:w="3964" w:type="dxa"/>
          </w:tcPr>
          <w:p w14:paraId="38764173" w14:textId="77777777" w:rsidR="00DC5685" w:rsidRPr="00A34F10" w:rsidRDefault="00DC5685" w:rsidP="00E05ECD">
            <w:pPr>
              <w:numPr>
                <w:ilvl w:val="0"/>
                <w:numId w:val="110"/>
              </w:numPr>
              <w:tabs>
                <w:tab w:val="left" w:pos="255"/>
              </w:tabs>
              <w:contextualSpacing/>
              <w:rPr>
                <w:b/>
                <w:bCs/>
              </w:rPr>
            </w:pPr>
            <w:r w:rsidRPr="00A34F10">
              <w:rPr>
                <w:b/>
                <w:bCs/>
              </w:rPr>
              <w:t>Control:</w:t>
            </w:r>
          </w:p>
        </w:tc>
        <w:tc>
          <w:tcPr>
            <w:tcW w:w="5386" w:type="dxa"/>
          </w:tcPr>
          <w:p w14:paraId="2BB9AA13" w14:textId="77777777" w:rsidR="00DC5685" w:rsidRPr="00A34F10" w:rsidRDefault="00DC5685" w:rsidP="00DC5685">
            <w:pPr>
              <w:tabs>
                <w:tab w:val="left" w:pos="720"/>
              </w:tabs>
              <w:spacing w:before="20" w:after="20"/>
              <w:rPr>
                <w:lang w:val="en-GB"/>
              </w:rPr>
            </w:pPr>
            <w:r w:rsidRPr="00A34F10">
              <w:rPr>
                <w:lang w:val="en-GB"/>
              </w:rPr>
              <w:t>Tap water</w:t>
            </w:r>
          </w:p>
        </w:tc>
      </w:tr>
    </w:tbl>
    <w:p w14:paraId="02074966" w14:textId="77777777" w:rsidR="00DC5685" w:rsidRPr="00A34F10" w:rsidRDefault="00DC5685" w:rsidP="00DC5685">
      <w:pPr>
        <w:rPr>
          <w:b/>
          <w:highlight w:val="yellow"/>
        </w:rPr>
      </w:pPr>
    </w:p>
    <w:p w14:paraId="6C977191" w14:textId="77777777" w:rsidR="00DC5685" w:rsidRPr="00A34F10" w:rsidRDefault="00DC5685" w:rsidP="00DC5685">
      <w:pPr>
        <w:tabs>
          <w:tab w:val="left" w:pos="0"/>
        </w:tabs>
        <w:contextualSpacing/>
        <w:rPr>
          <w:bCs/>
          <w:caps/>
        </w:rPr>
      </w:pPr>
      <w:r w:rsidRPr="00A34F10">
        <w:rPr>
          <w:b/>
          <w:bCs/>
          <w:caps/>
          <w:lang w:eastAsia="de-DE"/>
        </w:rPr>
        <w:t>B.</w:t>
      </w:r>
      <w:r w:rsidRPr="00A34F10">
        <w:rPr>
          <w:b/>
          <w:bCs/>
          <w:caps/>
          <w:lang w:eastAsia="de-DE"/>
        </w:rPr>
        <w:tab/>
        <w:t xml:space="preserve">STUDY </w:t>
      </w:r>
      <w:r w:rsidRPr="00A34F10">
        <w:rPr>
          <w:b/>
          <w:bCs/>
          <w:caps/>
        </w:rPr>
        <w:t>DESIGN</w:t>
      </w:r>
      <w:r w:rsidRPr="00A34F10">
        <w:rPr>
          <w:b/>
          <w:bCs/>
          <w:caps/>
          <w:lang w:eastAsia="de-DE"/>
        </w:rPr>
        <w:t xml:space="preserve"> AND METHODS</w:t>
      </w:r>
    </w:p>
    <w:p w14:paraId="08ECCBA1" w14:textId="77777777" w:rsidR="00DC5685" w:rsidRPr="00A34F10" w:rsidRDefault="00DC5685" w:rsidP="00DC5685">
      <w:pPr>
        <w:keepNext/>
        <w:keepLines/>
        <w:widowControl w:val="0"/>
        <w:ind w:left="284" w:hanging="284"/>
      </w:pPr>
    </w:p>
    <w:tbl>
      <w:tblPr>
        <w:tblW w:w="0" w:type="auto"/>
        <w:tblLook w:val="04A0" w:firstRow="1" w:lastRow="0" w:firstColumn="1" w:lastColumn="0" w:noHBand="0" w:noVBand="1"/>
      </w:tblPr>
      <w:tblGrid>
        <w:gridCol w:w="3964"/>
        <w:gridCol w:w="5386"/>
      </w:tblGrid>
      <w:tr w:rsidR="00DC5685" w:rsidRPr="00A34F10" w14:paraId="2CC091B8" w14:textId="77777777" w:rsidTr="000470C3">
        <w:trPr>
          <w:trHeight w:val="340"/>
        </w:trPr>
        <w:tc>
          <w:tcPr>
            <w:tcW w:w="3964" w:type="dxa"/>
          </w:tcPr>
          <w:p w14:paraId="7F4CA4F1" w14:textId="77777777" w:rsidR="00DC5685" w:rsidRPr="00A34F10" w:rsidRDefault="00DC5685" w:rsidP="00E05ECD">
            <w:pPr>
              <w:numPr>
                <w:ilvl w:val="0"/>
                <w:numId w:val="111"/>
              </w:numPr>
              <w:tabs>
                <w:tab w:val="left" w:pos="255"/>
              </w:tabs>
              <w:contextualSpacing/>
              <w:rPr>
                <w:b/>
                <w:bCs/>
              </w:rPr>
            </w:pPr>
            <w:r w:rsidRPr="00A34F10">
              <w:rPr>
                <w:b/>
              </w:rPr>
              <w:t>Test soil:</w:t>
            </w:r>
          </w:p>
        </w:tc>
        <w:tc>
          <w:tcPr>
            <w:tcW w:w="5386" w:type="dxa"/>
          </w:tcPr>
          <w:p w14:paraId="3A60C05D" w14:textId="77777777" w:rsidR="00DC5685" w:rsidRPr="00A34F10" w:rsidRDefault="00DC5685" w:rsidP="00DC5685">
            <w:pPr>
              <w:tabs>
                <w:tab w:val="left" w:pos="720"/>
              </w:tabs>
              <w:spacing w:before="20" w:after="20"/>
              <w:jc w:val="both"/>
              <w:rPr>
                <w:lang w:val="en-GB"/>
              </w:rPr>
            </w:pPr>
          </w:p>
        </w:tc>
      </w:tr>
      <w:tr w:rsidR="00DC5685" w:rsidRPr="00A34F10" w14:paraId="7486C1B2" w14:textId="77777777" w:rsidTr="000470C3">
        <w:trPr>
          <w:trHeight w:val="340"/>
        </w:trPr>
        <w:tc>
          <w:tcPr>
            <w:tcW w:w="3964" w:type="dxa"/>
          </w:tcPr>
          <w:p w14:paraId="72A302D4"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 xml:space="preserve">Soil type: </w:t>
            </w:r>
          </w:p>
        </w:tc>
        <w:tc>
          <w:tcPr>
            <w:tcW w:w="5386" w:type="dxa"/>
          </w:tcPr>
          <w:p w14:paraId="72B067B0" w14:textId="77777777" w:rsidR="00DC5685" w:rsidRPr="00A34F10" w:rsidRDefault="00DC5685" w:rsidP="00DC5685">
            <w:pPr>
              <w:tabs>
                <w:tab w:val="left" w:pos="720"/>
              </w:tabs>
              <w:spacing w:before="20" w:after="20"/>
              <w:jc w:val="both"/>
              <w:rPr>
                <w:lang w:val="en-GB"/>
              </w:rPr>
            </w:pPr>
            <w:r w:rsidRPr="00A34F10">
              <w:rPr>
                <w:szCs w:val="24"/>
                <w:lang w:val="en-GB"/>
              </w:rPr>
              <w:t>Natural soil (poor silty sand)</w:t>
            </w:r>
          </w:p>
        </w:tc>
      </w:tr>
      <w:tr w:rsidR="00DC5685" w:rsidRPr="00A34F10" w14:paraId="58E92397" w14:textId="77777777" w:rsidTr="000470C3">
        <w:trPr>
          <w:trHeight w:val="340"/>
        </w:trPr>
        <w:tc>
          <w:tcPr>
            <w:tcW w:w="3964" w:type="dxa"/>
          </w:tcPr>
          <w:p w14:paraId="70C1C61E"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Particle size distribution:</w:t>
            </w:r>
          </w:p>
        </w:tc>
        <w:tc>
          <w:tcPr>
            <w:tcW w:w="5386" w:type="dxa"/>
          </w:tcPr>
          <w:p w14:paraId="54DA61DC" w14:textId="77777777" w:rsidR="00DC5685" w:rsidRPr="00A34F10" w:rsidRDefault="00DC5685" w:rsidP="00DC5685">
            <w:pPr>
              <w:tabs>
                <w:tab w:val="left" w:pos="720"/>
              </w:tabs>
              <w:spacing w:before="20" w:after="20"/>
              <w:jc w:val="both"/>
              <w:rPr>
                <w:szCs w:val="24"/>
                <w:lang w:val="en-GB"/>
              </w:rPr>
            </w:pPr>
            <w:r w:rsidRPr="00A34F10">
              <w:rPr>
                <w:szCs w:val="24"/>
              </w:rPr>
              <w:t>45.5% &lt;2 µm, 19.4% 2-63 µm, 75.1% &gt;63 µm</w:t>
            </w:r>
          </w:p>
        </w:tc>
      </w:tr>
      <w:tr w:rsidR="00DC5685" w:rsidRPr="00A34F10" w14:paraId="09DAF5C9" w14:textId="77777777" w:rsidTr="000470C3">
        <w:trPr>
          <w:trHeight w:val="340"/>
        </w:trPr>
        <w:tc>
          <w:tcPr>
            <w:tcW w:w="3964" w:type="dxa"/>
          </w:tcPr>
          <w:p w14:paraId="03073C90" w14:textId="77777777" w:rsidR="00DC5685" w:rsidRPr="00A34F10" w:rsidRDefault="00DC5685" w:rsidP="00DC5685">
            <w:pPr>
              <w:numPr>
                <w:ilvl w:val="3"/>
                <w:numId w:val="0"/>
              </w:numPr>
              <w:tabs>
                <w:tab w:val="left" w:pos="0"/>
                <w:tab w:val="left" w:pos="624"/>
              </w:tabs>
              <w:ind w:left="1068" w:hanging="359"/>
              <w:contextualSpacing/>
              <w:rPr>
                <w:b/>
                <w:bCs/>
                <w:lang w:val="en-GB"/>
              </w:rPr>
            </w:pPr>
            <w:r w:rsidRPr="00A34F10">
              <w:rPr>
                <w:b/>
                <w:bCs/>
                <w:lang w:val="en-GB"/>
              </w:rPr>
              <w:t>Total organic carbon:</w:t>
            </w:r>
          </w:p>
        </w:tc>
        <w:tc>
          <w:tcPr>
            <w:tcW w:w="5386" w:type="dxa"/>
          </w:tcPr>
          <w:p w14:paraId="47AB1895" w14:textId="77777777" w:rsidR="00DC5685" w:rsidRPr="00A34F10" w:rsidRDefault="00DC5685" w:rsidP="00DC5685">
            <w:pPr>
              <w:tabs>
                <w:tab w:val="left" w:pos="720"/>
              </w:tabs>
              <w:spacing w:before="20" w:after="20"/>
              <w:jc w:val="both"/>
              <w:rPr>
                <w:szCs w:val="24"/>
              </w:rPr>
            </w:pPr>
            <w:r w:rsidRPr="00A34F10">
              <w:rPr>
                <w:szCs w:val="24"/>
              </w:rPr>
              <w:t>1.7%</w:t>
            </w:r>
          </w:p>
        </w:tc>
      </w:tr>
      <w:tr w:rsidR="00DC5685" w:rsidRPr="00A34F10" w14:paraId="2CDC90AA" w14:textId="77777777" w:rsidTr="000470C3">
        <w:trPr>
          <w:trHeight w:val="340"/>
        </w:trPr>
        <w:tc>
          <w:tcPr>
            <w:tcW w:w="3964" w:type="dxa"/>
          </w:tcPr>
          <w:p w14:paraId="3013C87B" w14:textId="77777777" w:rsidR="00DC5685" w:rsidRPr="00A34F10" w:rsidRDefault="00DC5685" w:rsidP="00DC5685">
            <w:pPr>
              <w:numPr>
                <w:ilvl w:val="3"/>
                <w:numId w:val="0"/>
              </w:numPr>
              <w:tabs>
                <w:tab w:val="left" w:pos="0"/>
                <w:tab w:val="left" w:pos="624"/>
              </w:tabs>
              <w:ind w:left="1068" w:hanging="359"/>
              <w:contextualSpacing/>
              <w:rPr>
                <w:b/>
                <w:bCs/>
                <w:color w:val="000000" w:themeColor="text1"/>
                <w:lang w:val="en-GB"/>
              </w:rPr>
            </w:pPr>
            <w:r w:rsidRPr="00A34F10">
              <w:rPr>
                <w:b/>
                <w:bCs/>
                <w:color w:val="000000" w:themeColor="text1"/>
                <w:lang w:val="en-GB"/>
              </w:rPr>
              <w:t>pH:</w:t>
            </w:r>
          </w:p>
        </w:tc>
        <w:tc>
          <w:tcPr>
            <w:tcW w:w="5386" w:type="dxa"/>
          </w:tcPr>
          <w:p w14:paraId="01FEF3D3" w14:textId="77777777" w:rsidR="00DC5685" w:rsidRPr="00A34F10" w:rsidRDefault="00DC5685" w:rsidP="00DC5685">
            <w:pPr>
              <w:tabs>
                <w:tab w:val="left" w:pos="720"/>
              </w:tabs>
              <w:spacing w:before="20" w:after="20"/>
              <w:jc w:val="both"/>
              <w:rPr>
                <w:color w:val="000000" w:themeColor="text1"/>
                <w:lang w:val="en-GB"/>
              </w:rPr>
            </w:pPr>
            <w:r w:rsidRPr="00A34F10">
              <w:rPr>
                <w:color w:val="000000" w:themeColor="text1"/>
                <w:lang w:val="en-GB"/>
              </w:rPr>
              <w:t>7.4</w:t>
            </w:r>
          </w:p>
        </w:tc>
      </w:tr>
      <w:tr w:rsidR="00DC5685" w:rsidRPr="00A34F10" w14:paraId="5F1412A1" w14:textId="77777777" w:rsidTr="000470C3">
        <w:trPr>
          <w:trHeight w:val="340"/>
        </w:trPr>
        <w:tc>
          <w:tcPr>
            <w:tcW w:w="3964" w:type="dxa"/>
          </w:tcPr>
          <w:p w14:paraId="24A68747" w14:textId="77777777" w:rsidR="00DC5685" w:rsidRPr="00A34F10" w:rsidRDefault="00DC5685" w:rsidP="00E05ECD">
            <w:pPr>
              <w:numPr>
                <w:ilvl w:val="0"/>
                <w:numId w:val="111"/>
              </w:numPr>
              <w:tabs>
                <w:tab w:val="left" w:pos="255"/>
              </w:tabs>
              <w:contextualSpacing/>
              <w:rPr>
                <w:b/>
                <w:bCs/>
                <w:color w:val="000000" w:themeColor="text1"/>
              </w:rPr>
            </w:pPr>
            <w:r w:rsidRPr="00A34F10">
              <w:rPr>
                <w:b/>
                <w:bCs/>
                <w:color w:val="000000" w:themeColor="text1"/>
              </w:rPr>
              <w:lastRenderedPageBreak/>
              <w:t>Test units:</w:t>
            </w:r>
          </w:p>
        </w:tc>
        <w:tc>
          <w:tcPr>
            <w:tcW w:w="5386" w:type="dxa"/>
          </w:tcPr>
          <w:p w14:paraId="23A07E25" w14:textId="77777777" w:rsidR="00DC5685" w:rsidRPr="00A34F10" w:rsidRDefault="00DC5685" w:rsidP="00DC5685">
            <w:pPr>
              <w:numPr>
                <w:ilvl w:val="4"/>
                <w:numId w:val="0"/>
              </w:numPr>
              <w:tabs>
                <w:tab w:val="left" w:pos="720"/>
              </w:tabs>
              <w:spacing w:before="20" w:after="20"/>
              <w:jc w:val="both"/>
              <w:outlineLvl w:val="8"/>
              <w:rPr>
                <w:color w:val="000000" w:themeColor="text1"/>
                <w:highlight w:val="yellow"/>
                <w:lang w:val="en-GB"/>
              </w:rPr>
            </w:pPr>
            <w:r w:rsidRPr="00A34F10">
              <w:rPr>
                <w:color w:val="000000" w:themeColor="text1"/>
                <w:lang w:val="en-GB"/>
              </w:rPr>
              <w:t>Plastic containers (5 cm diameter)</w:t>
            </w:r>
          </w:p>
        </w:tc>
      </w:tr>
      <w:tr w:rsidR="00DC5685" w:rsidRPr="00A34F10" w14:paraId="42A7414C" w14:textId="77777777" w:rsidTr="000470C3">
        <w:trPr>
          <w:trHeight w:val="340"/>
        </w:trPr>
        <w:tc>
          <w:tcPr>
            <w:tcW w:w="3964" w:type="dxa"/>
          </w:tcPr>
          <w:p w14:paraId="201B8561" w14:textId="77777777" w:rsidR="00DC5685" w:rsidRPr="00A34F10" w:rsidRDefault="00DC5685" w:rsidP="00E05ECD">
            <w:pPr>
              <w:numPr>
                <w:ilvl w:val="0"/>
                <w:numId w:val="111"/>
              </w:numPr>
              <w:tabs>
                <w:tab w:val="left" w:pos="255"/>
              </w:tabs>
              <w:contextualSpacing/>
              <w:rPr>
                <w:b/>
                <w:bCs/>
                <w:color w:val="000000" w:themeColor="text1"/>
              </w:rPr>
            </w:pPr>
            <w:r w:rsidRPr="00A34F10">
              <w:rPr>
                <w:b/>
                <w:bCs/>
                <w:color w:val="000000" w:themeColor="text1"/>
              </w:rPr>
              <w:t>Environmental conditions</w:t>
            </w:r>
          </w:p>
        </w:tc>
        <w:tc>
          <w:tcPr>
            <w:tcW w:w="5386" w:type="dxa"/>
          </w:tcPr>
          <w:p w14:paraId="5AD89A60" w14:textId="77777777" w:rsidR="00DC5685" w:rsidRPr="00A34F10" w:rsidRDefault="00DC5685" w:rsidP="00DC5685">
            <w:pPr>
              <w:tabs>
                <w:tab w:val="left" w:pos="720"/>
              </w:tabs>
              <w:spacing w:before="20" w:after="20"/>
              <w:jc w:val="both"/>
              <w:rPr>
                <w:color w:val="000000" w:themeColor="text1"/>
                <w:lang w:val="en-GB"/>
              </w:rPr>
            </w:pPr>
          </w:p>
        </w:tc>
      </w:tr>
      <w:tr w:rsidR="00DC5685" w:rsidRPr="00A34F10" w14:paraId="06B2CF77" w14:textId="77777777" w:rsidTr="000470C3">
        <w:trPr>
          <w:trHeight w:val="340"/>
        </w:trPr>
        <w:tc>
          <w:tcPr>
            <w:tcW w:w="3964" w:type="dxa"/>
          </w:tcPr>
          <w:p w14:paraId="2580D415"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Temperature:</w:t>
            </w:r>
          </w:p>
        </w:tc>
        <w:tc>
          <w:tcPr>
            <w:tcW w:w="5386" w:type="dxa"/>
          </w:tcPr>
          <w:p w14:paraId="5A54EA71" w14:textId="77777777" w:rsidR="00DC5685" w:rsidRPr="00A34F10" w:rsidRDefault="00DC5685" w:rsidP="00DC5685">
            <w:pPr>
              <w:spacing w:before="20" w:after="20"/>
              <w:rPr>
                <w:color w:val="000000" w:themeColor="text1"/>
              </w:rPr>
            </w:pPr>
            <w:r w:rsidRPr="00A34F10">
              <w:t>Daily mean 21.0 °C - 28.3 °C</w:t>
            </w:r>
          </w:p>
        </w:tc>
      </w:tr>
      <w:tr w:rsidR="00DC5685" w:rsidRPr="00A34F10" w14:paraId="59486E6C" w14:textId="77777777" w:rsidTr="000470C3">
        <w:trPr>
          <w:trHeight w:val="340"/>
        </w:trPr>
        <w:tc>
          <w:tcPr>
            <w:tcW w:w="3964" w:type="dxa"/>
          </w:tcPr>
          <w:p w14:paraId="14CDB69D"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Relative humidity:</w:t>
            </w:r>
          </w:p>
        </w:tc>
        <w:tc>
          <w:tcPr>
            <w:tcW w:w="5386" w:type="dxa"/>
          </w:tcPr>
          <w:p w14:paraId="32E36939" w14:textId="77777777" w:rsidR="00DC5685" w:rsidRPr="00A34F10" w:rsidRDefault="00DC5685" w:rsidP="00DC5685">
            <w:pPr>
              <w:tabs>
                <w:tab w:val="left" w:pos="720"/>
              </w:tabs>
              <w:spacing w:before="20" w:after="20"/>
              <w:jc w:val="both"/>
              <w:rPr>
                <w:color w:val="000000" w:themeColor="text1"/>
                <w:lang w:val="en-GB"/>
              </w:rPr>
            </w:pPr>
            <w:r w:rsidRPr="00A34F10">
              <w:rPr>
                <w:szCs w:val="24"/>
                <w:lang w:val="en-GB"/>
              </w:rPr>
              <w:t>Daily mean 56.8 % - 87.3 %</w:t>
            </w:r>
          </w:p>
        </w:tc>
      </w:tr>
      <w:tr w:rsidR="00DC5685" w:rsidRPr="00A34F10" w14:paraId="0487E1F0" w14:textId="77777777" w:rsidTr="000470C3">
        <w:trPr>
          <w:trHeight w:val="340"/>
        </w:trPr>
        <w:tc>
          <w:tcPr>
            <w:tcW w:w="3964" w:type="dxa"/>
          </w:tcPr>
          <w:p w14:paraId="4AC10059" w14:textId="77777777" w:rsidR="00DC5685" w:rsidRPr="00A34F10" w:rsidRDefault="00DC5685" w:rsidP="00DC5685">
            <w:pPr>
              <w:tabs>
                <w:tab w:val="left" w:pos="624"/>
              </w:tabs>
              <w:spacing w:before="20" w:after="20"/>
              <w:ind w:left="624"/>
              <w:rPr>
                <w:b/>
                <w:bCs/>
                <w:color w:val="000000" w:themeColor="text1"/>
                <w:lang w:val="en-GB"/>
              </w:rPr>
            </w:pPr>
            <w:r w:rsidRPr="00A34F10">
              <w:rPr>
                <w:b/>
                <w:bCs/>
                <w:color w:val="000000" w:themeColor="text1"/>
                <w:lang w:val="en-GB"/>
              </w:rPr>
              <w:t>Photoperiod:</w:t>
            </w:r>
          </w:p>
        </w:tc>
        <w:tc>
          <w:tcPr>
            <w:tcW w:w="5386" w:type="dxa"/>
          </w:tcPr>
          <w:p w14:paraId="69372B60" w14:textId="77777777" w:rsidR="00DC5685" w:rsidRPr="00A34F10" w:rsidRDefault="00DC5685" w:rsidP="00DC5685">
            <w:pPr>
              <w:tabs>
                <w:tab w:val="left" w:pos="720"/>
              </w:tabs>
              <w:spacing w:before="20" w:after="20"/>
              <w:jc w:val="both"/>
              <w:rPr>
                <w:color w:val="000000" w:themeColor="text1"/>
                <w:lang w:val="en-GB"/>
              </w:rPr>
            </w:pPr>
            <w:r w:rsidRPr="00A34F10">
              <w:rPr>
                <w:szCs w:val="24"/>
              </w:rPr>
              <w:t>Photoperiod: day length &gt; 16 hours; additional light supply automatically for 16 hours in maximum when indoor illumination was less than 300 µmol</w:t>
            </w:r>
          </w:p>
        </w:tc>
      </w:tr>
    </w:tbl>
    <w:p w14:paraId="6BF3626A" w14:textId="77777777" w:rsidR="00DC5685" w:rsidRPr="00A34F10" w:rsidRDefault="00DC5685" w:rsidP="00DC5685">
      <w:pPr>
        <w:widowControl w:val="0"/>
        <w:tabs>
          <w:tab w:val="left" w:pos="709"/>
        </w:tabs>
        <w:ind w:left="2552" w:hanging="2268"/>
        <w:rPr>
          <w:b/>
        </w:rPr>
      </w:pPr>
    </w:p>
    <w:p w14:paraId="73137F7B" w14:textId="77777777" w:rsidR="00DC5685" w:rsidRPr="00A34F10" w:rsidRDefault="00DC5685" w:rsidP="00DC5685">
      <w:pPr>
        <w:widowControl w:val="0"/>
        <w:tabs>
          <w:tab w:val="left" w:pos="709"/>
        </w:tabs>
        <w:ind w:left="2552" w:hanging="2268"/>
        <w:rPr>
          <w:b/>
        </w:rPr>
      </w:pPr>
    </w:p>
    <w:p w14:paraId="4E0E7F01" w14:textId="77777777" w:rsidR="00DC5685" w:rsidRPr="00A34F10" w:rsidRDefault="00DC5685" w:rsidP="00E05ECD">
      <w:pPr>
        <w:keepNext/>
        <w:numPr>
          <w:ilvl w:val="0"/>
          <w:numId w:val="112"/>
        </w:numPr>
        <w:tabs>
          <w:tab w:val="left" w:pos="255"/>
        </w:tabs>
        <w:ind w:left="357" w:hanging="357"/>
        <w:contextualSpacing/>
        <w:rPr>
          <w:b/>
          <w:bCs/>
          <w:lang w:val="en-GB"/>
        </w:rPr>
      </w:pPr>
      <w:r w:rsidRPr="00A34F10">
        <w:rPr>
          <w:b/>
          <w:bCs/>
          <w:lang w:val="en-GB"/>
        </w:rPr>
        <w:t xml:space="preserve">Soil preparation and treatment: </w:t>
      </w:r>
    </w:p>
    <w:p w14:paraId="1D2B23CE" w14:textId="77777777" w:rsidR="00DC5685" w:rsidRPr="00A34F10" w:rsidRDefault="00DC5685" w:rsidP="00DC5685">
      <w:pPr>
        <w:jc w:val="both"/>
      </w:pPr>
      <w:r w:rsidRPr="00A34F10">
        <w:t xml:space="preserve">The test was set up with six dicotyledonous and four monocotyledonous species, representing eight different plant families. There were five replicates per treatment, each one consisting in one, three or two pots with six (carrot, onion, ryegrass, wheat), two (cucumber, soybean, tomato, corn) or three (lettuce, oilseed rape) plants, respectively. Test crops were seeded several days before application to gain plants at BBCH stage 12 - 14. Each pot was placed on a separate tray and irrigated only from the bottom. After application all pots per plant species were set to a greenhouse chamber in a randomized design. </w:t>
      </w:r>
    </w:p>
    <w:p w14:paraId="2B52F5EC" w14:textId="77777777" w:rsidR="00DC5685" w:rsidRPr="00A34F10" w:rsidRDefault="00DC5685" w:rsidP="00DC5685">
      <w:pPr>
        <w:jc w:val="both"/>
        <w:rPr>
          <w:highlight w:val="yellow"/>
        </w:rPr>
      </w:pPr>
    </w:p>
    <w:p w14:paraId="4FAFE3D4" w14:textId="77777777" w:rsidR="00DC5685" w:rsidRPr="00A34F10" w:rsidRDefault="00DC5685" w:rsidP="00DC5685">
      <w:pPr>
        <w:jc w:val="both"/>
        <w:rPr>
          <w:highlight w:val="yellow"/>
        </w:rPr>
      </w:pPr>
      <w:r w:rsidRPr="00A34F10">
        <w:t>BAS 743 02 F was applied to all plant species at BBCH stage 12-14 using a laboratory application chamber at a spray volume of 286 L/ha. The tested rate was 3.85 L product/ha. Per plant species one control (tap water only) was tested.</w:t>
      </w:r>
    </w:p>
    <w:p w14:paraId="29C40D3D" w14:textId="77777777" w:rsidR="00DC5685" w:rsidRPr="00A34F10" w:rsidRDefault="00DC5685" w:rsidP="00DC5685">
      <w:pPr>
        <w:tabs>
          <w:tab w:val="left" w:pos="1985"/>
        </w:tabs>
        <w:ind w:left="2898" w:hanging="2898"/>
        <w:rPr>
          <w:b/>
          <w:highlight w:val="yellow"/>
        </w:rPr>
      </w:pPr>
    </w:p>
    <w:p w14:paraId="613CB31A" w14:textId="2489D54D" w:rsidR="00DC5685" w:rsidRPr="00094125" w:rsidRDefault="00C856D9" w:rsidP="00C856D9">
      <w:pPr>
        <w:pStyle w:val="Legenda"/>
      </w:pPr>
      <w:r>
        <w:t xml:space="preserve">Table A </w:t>
      </w:r>
      <w:r>
        <w:fldChar w:fldCharType="begin"/>
      </w:r>
      <w:r>
        <w:instrText xml:space="preserve"> SEQ Table_A \* ARABIC </w:instrText>
      </w:r>
      <w:r>
        <w:fldChar w:fldCharType="separate"/>
      </w:r>
      <w:r w:rsidR="006F0F3B">
        <w:rPr>
          <w:noProof/>
        </w:rPr>
        <w:t>99</w:t>
      </w:r>
      <w:r>
        <w:fldChar w:fldCharType="end"/>
      </w:r>
      <w:r w:rsidR="00DC5685" w:rsidRPr="00094125">
        <w:t>:</w:t>
      </w:r>
      <w:r w:rsidR="00094125" w:rsidRPr="00094125">
        <w:tab/>
      </w:r>
      <w:r w:rsidR="00DC5685" w:rsidRPr="00094125">
        <w:t xml:space="preserve"> Overview of test species</w:t>
      </w:r>
    </w:p>
    <w:tbl>
      <w:tblPr>
        <w:tblpPr w:leftFromText="180" w:rightFromText="180" w:vertAnchor="text" w:tblpY="1"/>
        <w:tblOverlap w:val="never"/>
        <w:tblW w:w="5000" w:type="pct"/>
        <w:tblLook w:val="04A0" w:firstRow="1" w:lastRow="0" w:firstColumn="1" w:lastColumn="0" w:noHBand="0" w:noVBand="1"/>
      </w:tblPr>
      <w:tblGrid>
        <w:gridCol w:w="2222"/>
        <w:gridCol w:w="1983"/>
        <w:gridCol w:w="3115"/>
        <w:gridCol w:w="2034"/>
      </w:tblGrid>
      <w:tr w:rsidR="00DC5685" w:rsidRPr="00A34F10" w14:paraId="147632C3" w14:textId="77777777" w:rsidTr="000470C3">
        <w:tc>
          <w:tcPr>
            <w:tcW w:w="1188" w:type="pct"/>
            <w:tcBorders>
              <w:top w:val="single" w:sz="4" w:space="0" w:color="auto"/>
              <w:bottom w:val="single" w:sz="4" w:space="0" w:color="auto"/>
            </w:tcBorders>
            <w:shd w:val="clear" w:color="auto" w:fill="auto"/>
          </w:tcPr>
          <w:p w14:paraId="70AFD365" w14:textId="77777777" w:rsidR="00DC5685" w:rsidRPr="00A34F10" w:rsidRDefault="00DC5685" w:rsidP="00DC5685">
            <w:pPr>
              <w:keepNext/>
              <w:keepLines/>
              <w:widowControl w:val="0"/>
              <w:tabs>
                <w:tab w:val="left" w:pos="2552"/>
              </w:tabs>
              <w:spacing w:before="40" w:after="40"/>
              <w:rPr>
                <w:b/>
                <w:sz w:val="20"/>
                <w:szCs w:val="20"/>
              </w:rPr>
            </w:pPr>
          </w:p>
        </w:tc>
        <w:tc>
          <w:tcPr>
            <w:tcW w:w="1060" w:type="pct"/>
            <w:tcBorders>
              <w:top w:val="single" w:sz="4" w:space="0" w:color="auto"/>
              <w:bottom w:val="single" w:sz="4" w:space="0" w:color="auto"/>
            </w:tcBorders>
            <w:shd w:val="clear" w:color="auto" w:fill="auto"/>
          </w:tcPr>
          <w:p w14:paraId="244DB990" w14:textId="77777777" w:rsidR="00DC5685" w:rsidRPr="00A34F10" w:rsidRDefault="00DC5685" w:rsidP="00DC5685">
            <w:pPr>
              <w:keepNext/>
              <w:keepLines/>
              <w:widowControl w:val="0"/>
              <w:tabs>
                <w:tab w:val="left" w:pos="2552"/>
              </w:tabs>
              <w:spacing w:before="40" w:after="40"/>
              <w:rPr>
                <w:b/>
                <w:sz w:val="20"/>
                <w:szCs w:val="20"/>
              </w:rPr>
            </w:pPr>
            <w:r w:rsidRPr="00A34F10">
              <w:rPr>
                <w:b/>
                <w:sz w:val="20"/>
                <w:szCs w:val="20"/>
              </w:rPr>
              <w:t>Family</w:t>
            </w:r>
          </w:p>
        </w:tc>
        <w:tc>
          <w:tcPr>
            <w:tcW w:w="1665" w:type="pct"/>
            <w:tcBorders>
              <w:top w:val="single" w:sz="4" w:space="0" w:color="auto"/>
              <w:bottom w:val="single" w:sz="4" w:space="0" w:color="auto"/>
            </w:tcBorders>
            <w:shd w:val="clear" w:color="auto" w:fill="auto"/>
          </w:tcPr>
          <w:p w14:paraId="54D48421" w14:textId="77777777" w:rsidR="00DC5685" w:rsidRPr="00A34F10" w:rsidRDefault="00DC5685" w:rsidP="00DC5685">
            <w:pPr>
              <w:keepNext/>
              <w:keepLines/>
              <w:widowControl w:val="0"/>
              <w:tabs>
                <w:tab w:val="left" w:pos="2552"/>
              </w:tabs>
              <w:spacing w:before="40" w:after="40"/>
              <w:rPr>
                <w:b/>
                <w:sz w:val="20"/>
                <w:szCs w:val="20"/>
              </w:rPr>
            </w:pPr>
            <w:r w:rsidRPr="00A34F10">
              <w:rPr>
                <w:b/>
                <w:sz w:val="20"/>
                <w:szCs w:val="20"/>
              </w:rPr>
              <w:t>Species</w:t>
            </w:r>
          </w:p>
        </w:tc>
        <w:tc>
          <w:tcPr>
            <w:tcW w:w="1088" w:type="pct"/>
            <w:tcBorders>
              <w:top w:val="single" w:sz="4" w:space="0" w:color="auto"/>
              <w:bottom w:val="single" w:sz="4" w:space="0" w:color="auto"/>
            </w:tcBorders>
            <w:shd w:val="clear" w:color="auto" w:fill="auto"/>
          </w:tcPr>
          <w:p w14:paraId="77DDD661" w14:textId="77777777" w:rsidR="00DC5685" w:rsidRPr="00A34F10" w:rsidRDefault="00DC5685" w:rsidP="00DC5685">
            <w:pPr>
              <w:keepNext/>
              <w:keepLines/>
              <w:widowControl w:val="0"/>
              <w:tabs>
                <w:tab w:val="left" w:pos="2552"/>
              </w:tabs>
              <w:spacing w:before="40" w:after="40"/>
              <w:rPr>
                <w:b/>
                <w:sz w:val="20"/>
                <w:szCs w:val="20"/>
              </w:rPr>
            </w:pPr>
            <w:r w:rsidRPr="00A34F10">
              <w:rPr>
                <w:b/>
                <w:sz w:val="20"/>
                <w:szCs w:val="20"/>
              </w:rPr>
              <w:t>Common name</w:t>
            </w:r>
          </w:p>
        </w:tc>
      </w:tr>
      <w:tr w:rsidR="00DC5685" w:rsidRPr="00A34F10" w14:paraId="6381C9CF" w14:textId="77777777" w:rsidTr="000470C3">
        <w:tc>
          <w:tcPr>
            <w:tcW w:w="1188" w:type="pct"/>
          </w:tcPr>
          <w:p w14:paraId="15862F7F" w14:textId="77777777" w:rsidR="00DC5685" w:rsidRPr="00A34F10" w:rsidRDefault="00DC5685" w:rsidP="00DC5685">
            <w:pPr>
              <w:keepNext/>
              <w:keepLines/>
              <w:widowControl w:val="0"/>
              <w:tabs>
                <w:tab w:val="left" w:pos="2552"/>
              </w:tabs>
              <w:rPr>
                <w:iCs/>
                <w:sz w:val="20"/>
                <w:szCs w:val="20"/>
                <w:highlight w:val="yellow"/>
              </w:rPr>
            </w:pPr>
            <w:r w:rsidRPr="00A34F10">
              <w:rPr>
                <w:iCs/>
                <w:sz w:val="20"/>
                <w:szCs w:val="20"/>
              </w:rPr>
              <w:t>Dicotyledonae</w:t>
            </w:r>
          </w:p>
        </w:tc>
        <w:tc>
          <w:tcPr>
            <w:tcW w:w="1060" w:type="pct"/>
          </w:tcPr>
          <w:p w14:paraId="57D8C7A5"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Apiaceae</w:t>
            </w:r>
          </w:p>
        </w:tc>
        <w:tc>
          <w:tcPr>
            <w:tcW w:w="1665" w:type="pct"/>
          </w:tcPr>
          <w:p w14:paraId="326FDABC"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 xml:space="preserve">Daucus carota </w:t>
            </w:r>
          </w:p>
        </w:tc>
        <w:tc>
          <w:tcPr>
            <w:tcW w:w="1088" w:type="pct"/>
          </w:tcPr>
          <w:p w14:paraId="08273751"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Carrot</w:t>
            </w:r>
          </w:p>
        </w:tc>
      </w:tr>
      <w:tr w:rsidR="00DC5685" w:rsidRPr="00A34F10" w14:paraId="198EB1F8" w14:textId="77777777" w:rsidTr="000470C3">
        <w:tc>
          <w:tcPr>
            <w:tcW w:w="1188" w:type="pct"/>
            <w:shd w:val="clear" w:color="auto" w:fill="auto"/>
          </w:tcPr>
          <w:p w14:paraId="0527EA90" w14:textId="77777777" w:rsidR="00DC5685" w:rsidRPr="00A34F10" w:rsidRDefault="00DC5685" w:rsidP="00DC5685">
            <w:pPr>
              <w:keepNext/>
              <w:keepLines/>
              <w:widowControl w:val="0"/>
              <w:tabs>
                <w:tab w:val="left" w:pos="2552"/>
              </w:tabs>
              <w:rPr>
                <w:iCs/>
                <w:sz w:val="20"/>
                <w:szCs w:val="20"/>
                <w:highlight w:val="yellow"/>
              </w:rPr>
            </w:pPr>
            <w:r w:rsidRPr="00A34F10">
              <w:rPr>
                <w:iCs/>
                <w:sz w:val="20"/>
                <w:szCs w:val="20"/>
              </w:rPr>
              <w:t>Dicotyledonae</w:t>
            </w:r>
          </w:p>
        </w:tc>
        <w:tc>
          <w:tcPr>
            <w:tcW w:w="1060" w:type="pct"/>
            <w:shd w:val="clear" w:color="auto" w:fill="auto"/>
          </w:tcPr>
          <w:p w14:paraId="675E3A0D"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Asteraceae</w:t>
            </w:r>
          </w:p>
        </w:tc>
        <w:tc>
          <w:tcPr>
            <w:tcW w:w="1665" w:type="pct"/>
            <w:shd w:val="clear" w:color="auto" w:fill="auto"/>
          </w:tcPr>
          <w:p w14:paraId="24E5F737"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 xml:space="preserve">Lactuca sativa </w:t>
            </w:r>
          </w:p>
        </w:tc>
        <w:tc>
          <w:tcPr>
            <w:tcW w:w="1088" w:type="pct"/>
            <w:shd w:val="clear" w:color="auto" w:fill="auto"/>
          </w:tcPr>
          <w:p w14:paraId="2549C170"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Lettuce</w:t>
            </w:r>
          </w:p>
        </w:tc>
      </w:tr>
      <w:tr w:rsidR="00DC5685" w:rsidRPr="00A34F10" w14:paraId="1F9F1AEC" w14:textId="77777777" w:rsidTr="000470C3">
        <w:tc>
          <w:tcPr>
            <w:tcW w:w="1188" w:type="pct"/>
          </w:tcPr>
          <w:p w14:paraId="124E2720" w14:textId="77777777" w:rsidR="00DC5685" w:rsidRPr="00A34F10" w:rsidRDefault="00DC5685" w:rsidP="00DC5685">
            <w:pPr>
              <w:keepNext/>
              <w:keepLines/>
              <w:widowControl w:val="0"/>
              <w:tabs>
                <w:tab w:val="left" w:pos="2552"/>
              </w:tabs>
              <w:rPr>
                <w:iCs/>
                <w:sz w:val="20"/>
                <w:szCs w:val="20"/>
                <w:highlight w:val="yellow"/>
              </w:rPr>
            </w:pPr>
            <w:r w:rsidRPr="00A34F10">
              <w:rPr>
                <w:iCs/>
                <w:sz w:val="20"/>
                <w:szCs w:val="20"/>
              </w:rPr>
              <w:t>Dicotyledonae</w:t>
            </w:r>
          </w:p>
        </w:tc>
        <w:tc>
          <w:tcPr>
            <w:tcW w:w="1060" w:type="pct"/>
          </w:tcPr>
          <w:p w14:paraId="5B3FBAA9"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Brassicaceae</w:t>
            </w:r>
          </w:p>
        </w:tc>
        <w:tc>
          <w:tcPr>
            <w:tcW w:w="1665" w:type="pct"/>
          </w:tcPr>
          <w:p w14:paraId="36E8BC89"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 xml:space="preserve">Brassica napus </w:t>
            </w:r>
            <w:r w:rsidRPr="00A34F10">
              <w:rPr>
                <w:iCs/>
                <w:sz w:val="20"/>
                <w:szCs w:val="20"/>
              </w:rPr>
              <w:t>ssp.</w:t>
            </w:r>
            <w:r w:rsidRPr="00A34F10">
              <w:rPr>
                <w:i/>
                <w:sz w:val="20"/>
                <w:szCs w:val="20"/>
              </w:rPr>
              <w:t xml:space="preserve"> napus</w:t>
            </w:r>
          </w:p>
        </w:tc>
        <w:tc>
          <w:tcPr>
            <w:tcW w:w="1088" w:type="pct"/>
          </w:tcPr>
          <w:p w14:paraId="1995B721"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Oilseed rape</w:t>
            </w:r>
          </w:p>
        </w:tc>
      </w:tr>
      <w:tr w:rsidR="00DC5685" w:rsidRPr="00A34F10" w14:paraId="59D71018" w14:textId="77777777" w:rsidTr="000470C3">
        <w:tc>
          <w:tcPr>
            <w:tcW w:w="1188" w:type="pct"/>
          </w:tcPr>
          <w:p w14:paraId="35D89079" w14:textId="77777777" w:rsidR="00DC5685" w:rsidRPr="00A34F10" w:rsidRDefault="00DC5685" w:rsidP="00DC5685">
            <w:pPr>
              <w:keepNext/>
              <w:keepLines/>
              <w:rPr>
                <w:iCs/>
                <w:sz w:val="20"/>
                <w:szCs w:val="20"/>
                <w:highlight w:val="yellow"/>
              </w:rPr>
            </w:pPr>
            <w:r w:rsidRPr="00A34F10">
              <w:rPr>
                <w:iCs/>
                <w:sz w:val="20"/>
                <w:szCs w:val="20"/>
              </w:rPr>
              <w:t>Dicotyledonae</w:t>
            </w:r>
          </w:p>
        </w:tc>
        <w:tc>
          <w:tcPr>
            <w:tcW w:w="1060" w:type="pct"/>
          </w:tcPr>
          <w:p w14:paraId="502B4966"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Cucurbitaceae</w:t>
            </w:r>
          </w:p>
        </w:tc>
        <w:tc>
          <w:tcPr>
            <w:tcW w:w="1665" w:type="pct"/>
          </w:tcPr>
          <w:p w14:paraId="27ABA6EC" w14:textId="77777777" w:rsidR="00DC5685" w:rsidRPr="00A34F10" w:rsidRDefault="00DC5685" w:rsidP="00DC5685">
            <w:pPr>
              <w:keepNext/>
              <w:keepLines/>
              <w:widowControl w:val="0"/>
              <w:tabs>
                <w:tab w:val="left" w:pos="2552"/>
              </w:tabs>
              <w:rPr>
                <w:sz w:val="20"/>
                <w:szCs w:val="20"/>
                <w:highlight w:val="yellow"/>
              </w:rPr>
            </w:pPr>
            <w:r w:rsidRPr="00A34F10">
              <w:rPr>
                <w:i/>
                <w:sz w:val="20"/>
                <w:szCs w:val="20"/>
              </w:rPr>
              <w:t xml:space="preserve">Cucumis sativus </w:t>
            </w:r>
          </w:p>
        </w:tc>
        <w:tc>
          <w:tcPr>
            <w:tcW w:w="1088" w:type="pct"/>
          </w:tcPr>
          <w:p w14:paraId="7F2F6F8A"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Cucumber</w:t>
            </w:r>
          </w:p>
        </w:tc>
      </w:tr>
      <w:tr w:rsidR="00DC5685" w:rsidRPr="00A34F10" w14:paraId="6388D630" w14:textId="77777777" w:rsidTr="000470C3">
        <w:tc>
          <w:tcPr>
            <w:tcW w:w="1188" w:type="pct"/>
          </w:tcPr>
          <w:p w14:paraId="2A915870" w14:textId="77777777" w:rsidR="00DC5685" w:rsidRPr="00A34F10" w:rsidRDefault="00DC5685" w:rsidP="00DC5685">
            <w:pPr>
              <w:keepNext/>
              <w:keepLines/>
              <w:rPr>
                <w:sz w:val="20"/>
                <w:szCs w:val="20"/>
                <w:highlight w:val="yellow"/>
              </w:rPr>
            </w:pPr>
            <w:r w:rsidRPr="00A34F10">
              <w:rPr>
                <w:iCs/>
                <w:sz w:val="20"/>
                <w:szCs w:val="20"/>
              </w:rPr>
              <w:t>Dicotyledonae</w:t>
            </w:r>
          </w:p>
        </w:tc>
        <w:tc>
          <w:tcPr>
            <w:tcW w:w="1060" w:type="pct"/>
          </w:tcPr>
          <w:p w14:paraId="24FA93DC"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Fabaceae</w:t>
            </w:r>
          </w:p>
        </w:tc>
        <w:tc>
          <w:tcPr>
            <w:tcW w:w="1665" w:type="pct"/>
          </w:tcPr>
          <w:p w14:paraId="3C072A3A"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Glycine max</w:t>
            </w:r>
          </w:p>
        </w:tc>
        <w:tc>
          <w:tcPr>
            <w:tcW w:w="1088" w:type="pct"/>
          </w:tcPr>
          <w:p w14:paraId="79EBBB99"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Soybean</w:t>
            </w:r>
          </w:p>
        </w:tc>
      </w:tr>
      <w:tr w:rsidR="00DC5685" w:rsidRPr="00A34F10" w14:paraId="424BCEB0" w14:textId="77777777" w:rsidTr="000470C3">
        <w:tc>
          <w:tcPr>
            <w:tcW w:w="1188" w:type="pct"/>
          </w:tcPr>
          <w:p w14:paraId="138DE826" w14:textId="77777777" w:rsidR="00DC5685" w:rsidRPr="00A34F10" w:rsidRDefault="00DC5685" w:rsidP="00DC5685">
            <w:pPr>
              <w:keepNext/>
              <w:keepLines/>
              <w:rPr>
                <w:iCs/>
                <w:sz w:val="20"/>
                <w:szCs w:val="20"/>
                <w:highlight w:val="yellow"/>
              </w:rPr>
            </w:pPr>
            <w:r w:rsidRPr="00A34F10">
              <w:rPr>
                <w:iCs/>
                <w:sz w:val="20"/>
                <w:szCs w:val="20"/>
              </w:rPr>
              <w:t>Dicotyledonae</w:t>
            </w:r>
          </w:p>
        </w:tc>
        <w:tc>
          <w:tcPr>
            <w:tcW w:w="1060" w:type="pct"/>
          </w:tcPr>
          <w:p w14:paraId="460FC52F"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Solanaceae</w:t>
            </w:r>
          </w:p>
        </w:tc>
        <w:tc>
          <w:tcPr>
            <w:tcW w:w="1665" w:type="pct"/>
          </w:tcPr>
          <w:p w14:paraId="660C6B92"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Solanum lycopersicum</w:t>
            </w:r>
            <w:r w:rsidRPr="00A34F10">
              <w:rPr>
                <w:iCs/>
                <w:sz w:val="20"/>
                <w:szCs w:val="20"/>
              </w:rPr>
              <w:t>.</w:t>
            </w:r>
          </w:p>
        </w:tc>
        <w:tc>
          <w:tcPr>
            <w:tcW w:w="1088" w:type="pct"/>
          </w:tcPr>
          <w:p w14:paraId="0587B588"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Tomato</w:t>
            </w:r>
          </w:p>
        </w:tc>
      </w:tr>
      <w:tr w:rsidR="00DC5685" w:rsidRPr="00A34F10" w14:paraId="782C421A" w14:textId="77777777" w:rsidTr="000470C3">
        <w:tc>
          <w:tcPr>
            <w:tcW w:w="1188" w:type="pct"/>
            <w:vAlign w:val="center"/>
          </w:tcPr>
          <w:p w14:paraId="71451D30" w14:textId="77777777" w:rsidR="00DC5685" w:rsidRPr="00A34F10" w:rsidRDefault="00DC5685" w:rsidP="00DC5685">
            <w:pPr>
              <w:keepNext/>
              <w:keepLines/>
              <w:rPr>
                <w:sz w:val="20"/>
                <w:szCs w:val="20"/>
                <w:highlight w:val="yellow"/>
              </w:rPr>
            </w:pPr>
            <w:r w:rsidRPr="00A34F10">
              <w:rPr>
                <w:iCs/>
                <w:sz w:val="20"/>
                <w:szCs w:val="20"/>
              </w:rPr>
              <w:t>Monocotyledonae</w:t>
            </w:r>
          </w:p>
        </w:tc>
        <w:tc>
          <w:tcPr>
            <w:tcW w:w="1060" w:type="pct"/>
            <w:vAlign w:val="center"/>
          </w:tcPr>
          <w:p w14:paraId="037D9FD2"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 xml:space="preserve">Amaryllidaceae </w:t>
            </w:r>
          </w:p>
        </w:tc>
        <w:tc>
          <w:tcPr>
            <w:tcW w:w="1665" w:type="pct"/>
          </w:tcPr>
          <w:p w14:paraId="0568E5A1" w14:textId="77777777" w:rsidR="00DC5685" w:rsidRPr="00A34F10" w:rsidRDefault="00DC5685" w:rsidP="00DC5685">
            <w:pPr>
              <w:keepNext/>
              <w:keepLines/>
              <w:widowControl w:val="0"/>
              <w:tabs>
                <w:tab w:val="left" w:pos="2552"/>
              </w:tabs>
              <w:rPr>
                <w:i/>
                <w:sz w:val="20"/>
                <w:szCs w:val="20"/>
                <w:highlight w:val="yellow"/>
              </w:rPr>
            </w:pPr>
            <w:r w:rsidRPr="00A34F10">
              <w:rPr>
                <w:i/>
                <w:iCs/>
                <w:sz w:val="20"/>
                <w:szCs w:val="20"/>
              </w:rPr>
              <w:t xml:space="preserve">Allium cepa </w:t>
            </w:r>
          </w:p>
        </w:tc>
        <w:tc>
          <w:tcPr>
            <w:tcW w:w="1088" w:type="pct"/>
          </w:tcPr>
          <w:p w14:paraId="243DF6A8"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 xml:space="preserve">Onion </w:t>
            </w:r>
          </w:p>
        </w:tc>
      </w:tr>
      <w:tr w:rsidR="00DC5685" w:rsidRPr="00A34F10" w14:paraId="345A7759" w14:textId="77777777" w:rsidTr="000470C3">
        <w:tc>
          <w:tcPr>
            <w:tcW w:w="1188" w:type="pct"/>
            <w:vAlign w:val="center"/>
          </w:tcPr>
          <w:p w14:paraId="54F0CCB1" w14:textId="77777777" w:rsidR="00DC5685" w:rsidRPr="00A34F10" w:rsidRDefault="00DC5685" w:rsidP="00DC5685">
            <w:pPr>
              <w:keepNext/>
              <w:keepLines/>
              <w:rPr>
                <w:iCs/>
                <w:sz w:val="20"/>
                <w:szCs w:val="20"/>
                <w:highlight w:val="yellow"/>
              </w:rPr>
            </w:pPr>
            <w:r w:rsidRPr="00A34F10">
              <w:rPr>
                <w:iCs/>
                <w:sz w:val="20"/>
                <w:szCs w:val="20"/>
              </w:rPr>
              <w:t>Monocotyledonae</w:t>
            </w:r>
          </w:p>
        </w:tc>
        <w:tc>
          <w:tcPr>
            <w:tcW w:w="1060" w:type="pct"/>
            <w:vAlign w:val="center"/>
          </w:tcPr>
          <w:p w14:paraId="34E975D9"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Poaceae</w:t>
            </w:r>
          </w:p>
        </w:tc>
        <w:tc>
          <w:tcPr>
            <w:tcW w:w="1665" w:type="pct"/>
          </w:tcPr>
          <w:p w14:paraId="7B5ACD9C" w14:textId="77777777" w:rsidR="00DC5685" w:rsidRPr="00A34F10" w:rsidRDefault="00DC5685" w:rsidP="00DC5685">
            <w:pPr>
              <w:keepNext/>
              <w:keepLines/>
              <w:widowControl w:val="0"/>
              <w:tabs>
                <w:tab w:val="left" w:pos="2552"/>
              </w:tabs>
              <w:rPr>
                <w:i/>
                <w:iCs/>
                <w:sz w:val="20"/>
                <w:szCs w:val="20"/>
                <w:highlight w:val="yellow"/>
              </w:rPr>
            </w:pPr>
            <w:r w:rsidRPr="00A34F10">
              <w:rPr>
                <w:i/>
                <w:sz w:val="20"/>
                <w:szCs w:val="20"/>
              </w:rPr>
              <w:t>Lolium multiflorum</w:t>
            </w:r>
          </w:p>
        </w:tc>
        <w:tc>
          <w:tcPr>
            <w:tcW w:w="1088" w:type="pct"/>
          </w:tcPr>
          <w:p w14:paraId="658EDA52"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Rye grass</w:t>
            </w:r>
          </w:p>
        </w:tc>
      </w:tr>
      <w:tr w:rsidR="00DC5685" w:rsidRPr="00A34F10" w14:paraId="040F29F6" w14:textId="77777777" w:rsidTr="000470C3">
        <w:tc>
          <w:tcPr>
            <w:tcW w:w="1188" w:type="pct"/>
            <w:vAlign w:val="center"/>
          </w:tcPr>
          <w:p w14:paraId="0DA158F8" w14:textId="77777777" w:rsidR="00DC5685" w:rsidRPr="00A34F10" w:rsidRDefault="00DC5685" w:rsidP="00DC5685">
            <w:pPr>
              <w:keepNext/>
              <w:keepLines/>
              <w:rPr>
                <w:iCs/>
                <w:sz w:val="20"/>
                <w:szCs w:val="20"/>
                <w:highlight w:val="yellow"/>
              </w:rPr>
            </w:pPr>
            <w:r w:rsidRPr="00A34F10">
              <w:rPr>
                <w:iCs/>
                <w:sz w:val="20"/>
                <w:szCs w:val="20"/>
              </w:rPr>
              <w:t>Monocotyledonae</w:t>
            </w:r>
          </w:p>
        </w:tc>
        <w:tc>
          <w:tcPr>
            <w:tcW w:w="1060" w:type="pct"/>
            <w:vAlign w:val="center"/>
          </w:tcPr>
          <w:p w14:paraId="01DEC816"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Poaceae</w:t>
            </w:r>
          </w:p>
        </w:tc>
        <w:tc>
          <w:tcPr>
            <w:tcW w:w="1665" w:type="pct"/>
          </w:tcPr>
          <w:p w14:paraId="5AAEAAFD" w14:textId="77777777" w:rsidR="00DC5685" w:rsidRPr="00A34F10" w:rsidRDefault="00DC5685" w:rsidP="00DC5685">
            <w:pPr>
              <w:keepNext/>
              <w:keepLines/>
              <w:widowControl w:val="0"/>
              <w:tabs>
                <w:tab w:val="left" w:pos="2552"/>
              </w:tabs>
              <w:rPr>
                <w:i/>
                <w:sz w:val="20"/>
                <w:szCs w:val="20"/>
                <w:highlight w:val="yellow"/>
              </w:rPr>
            </w:pPr>
            <w:r w:rsidRPr="00A34F10">
              <w:rPr>
                <w:i/>
                <w:sz w:val="20"/>
                <w:szCs w:val="20"/>
              </w:rPr>
              <w:t>Triticum aestivum</w:t>
            </w:r>
          </w:p>
        </w:tc>
        <w:tc>
          <w:tcPr>
            <w:tcW w:w="1088" w:type="pct"/>
          </w:tcPr>
          <w:p w14:paraId="79E29230"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Wheat</w:t>
            </w:r>
          </w:p>
        </w:tc>
      </w:tr>
      <w:tr w:rsidR="00DC5685" w:rsidRPr="00A34F10" w14:paraId="4515C548" w14:textId="77777777" w:rsidTr="000470C3">
        <w:tc>
          <w:tcPr>
            <w:tcW w:w="1188" w:type="pct"/>
            <w:vAlign w:val="center"/>
          </w:tcPr>
          <w:p w14:paraId="54C972D8" w14:textId="77777777" w:rsidR="00DC5685" w:rsidRPr="00A34F10" w:rsidRDefault="00DC5685" w:rsidP="00DC5685">
            <w:pPr>
              <w:keepNext/>
              <w:keepLines/>
              <w:rPr>
                <w:iCs/>
                <w:sz w:val="20"/>
                <w:szCs w:val="20"/>
                <w:highlight w:val="yellow"/>
              </w:rPr>
            </w:pPr>
            <w:r w:rsidRPr="00A34F10">
              <w:rPr>
                <w:iCs/>
                <w:sz w:val="20"/>
                <w:szCs w:val="20"/>
              </w:rPr>
              <w:t>Monocotyledonae</w:t>
            </w:r>
          </w:p>
        </w:tc>
        <w:tc>
          <w:tcPr>
            <w:tcW w:w="1060" w:type="pct"/>
            <w:vAlign w:val="center"/>
          </w:tcPr>
          <w:p w14:paraId="4F47B650" w14:textId="77777777" w:rsidR="00DC5685" w:rsidRPr="00A34F10" w:rsidRDefault="00DC5685" w:rsidP="00DC5685">
            <w:pPr>
              <w:keepNext/>
              <w:keepLines/>
              <w:widowControl w:val="0"/>
              <w:tabs>
                <w:tab w:val="left" w:pos="2552"/>
              </w:tabs>
              <w:rPr>
                <w:sz w:val="20"/>
                <w:szCs w:val="20"/>
                <w:highlight w:val="yellow"/>
              </w:rPr>
            </w:pPr>
            <w:r w:rsidRPr="00A34F10">
              <w:rPr>
                <w:sz w:val="20"/>
                <w:szCs w:val="20"/>
              </w:rPr>
              <w:t>Poaceae</w:t>
            </w:r>
          </w:p>
        </w:tc>
        <w:tc>
          <w:tcPr>
            <w:tcW w:w="1665" w:type="pct"/>
          </w:tcPr>
          <w:p w14:paraId="0D29FFD8" w14:textId="77777777" w:rsidR="00DC5685" w:rsidRPr="00A34F10" w:rsidRDefault="00DC5685" w:rsidP="00DC5685">
            <w:pPr>
              <w:keepNext/>
              <w:keepLines/>
              <w:widowControl w:val="0"/>
              <w:tabs>
                <w:tab w:val="left" w:pos="2552"/>
              </w:tabs>
              <w:rPr>
                <w:i/>
                <w:sz w:val="20"/>
                <w:szCs w:val="20"/>
                <w:highlight w:val="yellow"/>
              </w:rPr>
            </w:pPr>
            <w:r w:rsidRPr="00A34F10">
              <w:rPr>
                <w:i/>
                <w:iCs/>
                <w:sz w:val="20"/>
                <w:szCs w:val="20"/>
              </w:rPr>
              <w:t>Zea mays</w:t>
            </w:r>
          </w:p>
        </w:tc>
        <w:tc>
          <w:tcPr>
            <w:tcW w:w="1088" w:type="pct"/>
          </w:tcPr>
          <w:p w14:paraId="1F48C0B6" w14:textId="77777777" w:rsidR="00DC5685" w:rsidRPr="00A34F10" w:rsidRDefault="00DC5685" w:rsidP="00DC5685">
            <w:pPr>
              <w:keepNext/>
              <w:keepLines/>
              <w:widowControl w:val="0"/>
              <w:tabs>
                <w:tab w:val="left" w:pos="2552"/>
              </w:tabs>
              <w:rPr>
                <w:sz w:val="20"/>
                <w:szCs w:val="20"/>
                <w:highlight w:val="yellow"/>
              </w:rPr>
            </w:pPr>
            <w:r w:rsidRPr="00A34F10">
              <w:rPr>
                <w:iCs/>
                <w:sz w:val="20"/>
                <w:szCs w:val="20"/>
              </w:rPr>
              <w:t>Corn</w:t>
            </w:r>
          </w:p>
        </w:tc>
      </w:tr>
    </w:tbl>
    <w:p w14:paraId="6F3E39B7" w14:textId="77777777" w:rsidR="00DC5685" w:rsidRPr="00A34F10" w:rsidRDefault="00DC5685" w:rsidP="00DC5685">
      <w:pPr>
        <w:jc w:val="both"/>
        <w:rPr>
          <w:highlight w:val="yellow"/>
        </w:rPr>
      </w:pPr>
    </w:p>
    <w:p w14:paraId="41390429" w14:textId="77777777" w:rsidR="00DC5685" w:rsidRPr="00A34F10" w:rsidRDefault="00DC5685" w:rsidP="00E05ECD">
      <w:pPr>
        <w:keepNext/>
        <w:numPr>
          <w:ilvl w:val="0"/>
          <w:numId w:val="112"/>
        </w:numPr>
        <w:tabs>
          <w:tab w:val="left" w:pos="255"/>
        </w:tabs>
        <w:ind w:left="357" w:hanging="357"/>
        <w:contextualSpacing/>
        <w:rPr>
          <w:b/>
          <w:bCs/>
          <w:lang w:val="en-GB"/>
        </w:rPr>
      </w:pPr>
      <w:r w:rsidRPr="00A34F10">
        <w:rPr>
          <w:b/>
          <w:bCs/>
          <w:lang w:val="en-GB"/>
        </w:rPr>
        <w:t xml:space="preserve">Dose preparation: </w:t>
      </w:r>
    </w:p>
    <w:p w14:paraId="43617B47" w14:textId="77777777" w:rsidR="00DC5685" w:rsidRPr="00A34F10" w:rsidRDefault="00DC5685" w:rsidP="00DC5685">
      <w:pPr>
        <w:spacing w:after="240"/>
        <w:jc w:val="both"/>
      </w:pPr>
      <w:r w:rsidRPr="00A34F10">
        <w:t>Based on the mean output volume of the sprayer (286L/ha) the required amount of the test item was calculated based on the mix volume used for application. For this mix volume the amount of test item was weighed using and was dissolved in the respective water volume.</w:t>
      </w:r>
    </w:p>
    <w:p w14:paraId="0DC3193B" w14:textId="77777777" w:rsidR="00DC5685" w:rsidRPr="00A34F10" w:rsidRDefault="00DC5685" w:rsidP="00E05ECD">
      <w:pPr>
        <w:keepNext/>
        <w:numPr>
          <w:ilvl w:val="0"/>
          <w:numId w:val="112"/>
        </w:numPr>
        <w:tabs>
          <w:tab w:val="left" w:pos="255"/>
        </w:tabs>
        <w:ind w:left="357" w:hanging="357"/>
        <w:contextualSpacing/>
        <w:rPr>
          <w:b/>
          <w:bCs/>
          <w:lang w:val="en-GB"/>
        </w:rPr>
      </w:pPr>
      <w:r w:rsidRPr="00A34F10">
        <w:rPr>
          <w:b/>
          <w:bCs/>
          <w:szCs w:val="24"/>
          <w:lang w:val="en-GB" w:eastAsia="de-DE"/>
        </w:rPr>
        <w:t>Measurements and observations</w:t>
      </w:r>
      <w:r w:rsidRPr="00A34F10">
        <w:rPr>
          <w:b/>
          <w:bCs/>
          <w:lang w:val="en-GB"/>
        </w:rPr>
        <w:t xml:space="preserve">: </w:t>
      </w:r>
    </w:p>
    <w:p w14:paraId="10AB9606" w14:textId="77777777" w:rsidR="00DC5685" w:rsidRPr="00A34F10" w:rsidRDefault="00DC5685" w:rsidP="00DC5685">
      <w:pPr>
        <w:jc w:val="both"/>
        <w:rPr>
          <w:bCs/>
          <w:u w:val="single"/>
        </w:rPr>
      </w:pPr>
      <w:r w:rsidRPr="00A34F10">
        <w:rPr>
          <w:bCs/>
          <w:u w:val="single"/>
        </w:rPr>
        <w:t>Biological observations:</w:t>
      </w:r>
    </w:p>
    <w:p w14:paraId="21A71064" w14:textId="77777777" w:rsidR="00DC5685" w:rsidRPr="00A34F10" w:rsidRDefault="00DC5685" w:rsidP="00DC5685">
      <w:pPr>
        <w:jc w:val="both"/>
      </w:pPr>
      <w:r w:rsidRPr="00A34F10">
        <w:t>All assessments were performed at 7, 14 and 21 days after treatment (DAT) except assessments of plant length and biomass at 21 DAT.</w:t>
      </w:r>
    </w:p>
    <w:p w14:paraId="212C8640" w14:textId="77777777" w:rsidR="00DC5685" w:rsidRPr="00A34F10" w:rsidRDefault="00DC5685" w:rsidP="00DC5685">
      <w:pPr>
        <w:jc w:val="both"/>
      </w:pPr>
      <w:r w:rsidRPr="00A34F10">
        <w:t>Plant survival was determined per replicate. To be considered alive, a plant had to have at least one green part (not complete necrotic). Plant development (BBCH) was determined as range per replicate. Assessments for visual phytotoxicity were done following a scale of 0 – 100% (with 0% = no effects and 100% = all plants dead). Visual phytotoxicity was categorised as chlorosis (any kind of discoloration), necrosis, deformation and others (no growth reduction). Plant length of all living plants was measured in cm as single plant length. For assessment for biomass, all living plants per replicate were cut directly at the soil surface and dry weight was determined immediately after mass constancy (at 60 °C) of the plants was reached. All plants of each replicate were weighed together.</w:t>
      </w:r>
    </w:p>
    <w:p w14:paraId="44270863" w14:textId="77777777" w:rsidR="00DC5685" w:rsidRPr="00A34F10" w:rsidRDefault="00DC5685" w:rsidP="00DC5685">
      <w:pPr>
        <w:jc w:val="both"/>
      </w:pPr>
    </w:p>
    <w:p w14:paraId="28798E37" w14:textId="77777777" w:rsidR="00DC5685" w:rsidRPr="00A34F10" w:rsidRDefault="00DC5685" w:rsidP="00DC5685">
      <w:pPr>
        <w:jc w:val="both"/>
        <w:rPr>
          <w:highlight w:val="yellow"/>
        </w:rPr>
      </w:pPr>
      <w:r w:rsidRPr="00A34F10">
        <w:rPr>
          <w:szCs w:val="24"/>
          <w:u w:val="single"/>
        </w:rPr>
        <w:t>Physicochemical measurements</w:t>
      </w:r>
      <w:r w:rsidRPr="00A34F10">
        <w:rPr>
          <w:szCs w:val="24"/>
        </w:rPr>
        <w:t>:</w:t>
      </w:r>
    </w:p>
    <w:p w14:paraId="5A519C0F" w14:textId="77777777" w:rsidR="00DC5685" w:rsidRPr="00A34F10" w:rsidRDefault="00DC5685" w:rsidP="00DC5685">
      <w:pPr>
        <w:jc w:val="both"/>
      </w:pPr>
      <w:r w:rsidRPr="00A34F10">
        <w:lastRenderedPageBreak/>
        <w:t>In the greenhouse chamber temperature and humidity had been documented using an electronic data logger device.</w:t>
      </w:r>
    </w:p>
    <w:p w14:paraId="07DCE19D" w14:textId="77777777" w:rsidR="00DC5685" w:rsidRPr="00A34F10" w:rsidRDefault="00DC5685" w:rsidP="00DC5685">
      <w:pPr>
        <w:jc w:val="both"/>
        <w:rPr>
          <w:highlight w:val="yellow"/>
        </w:rPr>
      </w:pPr>
    </w:p>
    <w:p w14:paraId="3FC808AB" w14:textId="77777777" w:rsidR="00DC5685" w:rsidRPr="00A34F10" w:rsidRDefault="00DC5685" w:rsidP="00DC5685">
      <w:pPr>
        <w:tabs>
          <w:tab w:val="left" w:pos="720"/>
        </w:tabs>
        <w:jc w:val="both"/>
        <w:rPr>
          <w:szCs w:val="24"/>
          <w:u w:val="single"/>
          <w:lang w:val="en-GB"/>
        </w:rPr>
      </w:pPr>
      <w:r w:rsidRPr="00A34F10">
        <w:rPr>
          <w:szCs w:val="24"/>
          <w:u w:val="single"/>
          <w:lang w:val="en-GB"/>
        </w:rPr>
        <w:t>Analytical verification:</w:t>
      </w:r>
    </w:p>
    <w:p w14:paraId="780170A5" w14:textId="77777777" w:rsidR="00DC5685" w:rsidRPr="00A34F10" w:rsidRDefault="00DC5685" w:rsidP="00DC5685">
      <w:pPr>
        <w:tabs>
          <w:tab w:val="left" w:pos="720"/>
        </w:tabs>
        <w:spacing w:after="240"/>
        <w:jc w:val="both"/>
        <w:rPr>
          <w:color w:val="000000" w:themeColor="text1"/>
          <w:szCs w:val="24"/>
          <w:lang w:val="en-GB"/>
        </w:rPr>
      </w:pPr>
      <w:r w:rsidRPr="00A34F10">
        <w:t xml:space="preserve">Samples of spray solution had been taken from the untreated control and the test item treatment before application and were stored at &lt; -18°C </w:t>
      </w:r>
      <w:r w:rsidRPr="00A34F10">
        <w:rPr>
          <w:color w:val="000000" w:themeColor="text1"/>
          <w:szCs w:val="24"/>
          <w:lang w:val="en-GB"/>
        </w:rPr>
        <w:t xml:space="preserve">until they were transferred to the analytical laboratory. </w:t>
      </w:r>
      <w:r w:rsidRPr="00A34F10">
        <w:rPr>
          <w:color w:val="000000" w:themeColor="text1"/>
          <w:lang w:val="en-GB"/>
        </w:rPr>
        <w:t>The analytical verification was done by analysing the concentration of the active substance ametoctradin (BAS 650) by LC-MS/MS.</w:t>
      </w:r>
    </w:p>
    <w:p w14:paraId="6A4B52B0" w14:textId="77777777" w:rsidR="00DC5685" w:rsidRPr="00A34F10" w:rsidRDefault="00DC5685" w:rsidP="00E05ECD">
      <w:pPr>
        <w:keepNext/>
        <w:numPr>
          <w:ilvl w:val="0"/>
          <w:numId w:val="112"/>
        </w:numPr>
        <w:tabs>
          <w:tab w:val="left" w:pos="255"/>
        </w:tabs>
        <w:ind w:left="357" w:hanging="357"/>
        <w:contextualSpacing/>
        <w:rPr>
          <w:b/>
          <w:bCs/>
          <w:lang w:val="en-GB"/>
        </w:rPr>
      </w:pPr>
      <w:r w:rsidRPr="00A34F10">
        <w:rPr>
          <w:b/>
          <w:bCs/>
          <w:szCs w:val="24"/>
          <w:lang w:val="en-GB" w:eastAsia="de-DE"/>
        </w:rPr>
        <w:t>Statistics:</w:t>
      </w:r>
      <w:r w:rsidRPr="00A34F10">
        <w:rPr>
          <w:b/>
          <w:bCs/>
          <w:lang w:val="en-GB"/>
        </w:rPr>
        <w:t xml:space="preserve"> </w:t>
      </w:r>
    </w:p>
    <w:p w14:paraId="66B027BD" w14:textId="77777777" w:rsidR="00DC5685" w:rsidRPr="00A34F10" w:rsidRDefault="00DC5685" w:rsidP="00DC5685">
      <w:pPr>
        <w:jc w:val="both"/>
      </w:pPr>
      <w:r w:rsidRPr="00A34F10">
        <w:t>Descriptive statistics regarding number of plants, plant length and biomass were performed using Microsoft EXCEL.</w:t>
      </w:r>
    </w:p>
    <w:p w14:paraId="0EF17CE4" w14:textId="77777777" w:rsidR="00DC5685" w:rsidRPr="00A34F10" w:rsidRDefault="00DC5685" w:rsidP="00DC5685">
      <w:pPr>
        <w:jc w:val="both"/>
      </w:pPr>
    </w:p>
    <w:p w14:paraId="6150FAA3" w14:textId="04AE995B" w:rsidR="00C856D9" w:rsidRDefault="00DC5685" w:rsidP="00DC5685">
      <w:pPr>
        <w:jc w:val="both"/>
      </w:pPr>
      <w:r w:rsidRPr="00A34F10">
        <w:t>If the application of the test item had a possible negative effect on plant survival, plant length or biomass compared to untreated control, further statistical analyses were carried out using ToxRat Standard (version 3.3.0) of ToxRat Solutions GmbH, Germany.</w:t>
      </w:r>
    </w:p>
    <w:p w14:paraId="7AAC27D0" w14:textId="77777777" w:rsidR="00DC5685" w:rsidRPr="00A34F10" w:rsidRDefault="00DC5685" w:rsidP="00DC5685">
      <w:pPr>
        <w:jc w:val="both"/>
      </w:pPr>
    </w:p>
    <w:p w14:paraId="39804648" w14:textId="77777777" w:rsidR="00DC5685" w:rsidRPr="00A34F10" w:rsidRDefault="00DC5685" w:rsidP="00DC5685">
      <w:pPr>
        <w:spacing w:after="240"/>
        <w:jc w:val="both"/>
      </w:pPr>
      <w:r w:rsidRPr="00A34F10">
        <w:t xml:space="preserve">Pretesting sequences for metric data were a test on normal distribution (Shapiro-Wilk’s test, p=0.01) and a variance homogeneity check (Levene’s test, p=0.01). Depending on outcomes of pretesting sequences the limit concentration of BAS 743 02 F for plant length and biomass was tested by pairwise comparison with the control. Metric data were tested by Two-sample t-test (Student t-test, one-sided smaller, p = 0.01). No statistical evaluation was necessary for quantal data due to the lack of mortality. </w:t>
      </w:r>
    </w:p>
    <w:p w14:paraId="09150B68" w14:textId="77777777" w:rsidR="00DC5685" w:rsidRPr="00A34F10" w:rsidRDefault="00DC5685" w:rsidP="00E05ECD">
      <w:pPr>
        <w:widowControl w:val="0"/>
        <w:numPr>
          <w:ilvl w:val="0"/>
          <w:numId w:val="113"/>
        </w:numPr>
        <w:spacing w:before="240" w:after="240"/>
        <w:ind w:left="357" w:hanging="357"/>
        <w:contextualSpacing/>
        <w:jc w:val="both"/>
        <w:rPr>
          <w:b/>
          <w:bCs/>
          <w:lang w:val="en-GB"/>
        </w:rPr>
      </w:pPr>
      <w:r w:rsidRPr="00A34F10">
        <w:rPr>
          <w:b/>
          <w:bCs/>
          <w:szCs w:val="24"/>
          <w:lang w:val="en-GB"/>
        </w:rPr>
        <w:t>Description of the analytical procedures</w:t>
      </w:r>
    </w:p>
    <w:p w14:paraId="076340B1" w14:textId="4E9B342A" w:rsidR="00DC5685" w:rsidRPr="00A34F10" w:rsidRDefault="00DC5685" w:rsidP="00DC5685">
      <w:pPr>
        <w:widowControl w:val="0"/>
        <w:jc w:val="both"/>
        <w:rPr>
          <w:szCs w:val="24"/>
        </w:rPr>
      </w:pPr>
      <w:r w:rsidRPr="00A34F10">
        <w:rPr>
          <w:szCs w:val="24"/>
          <w:lang w:val="en-GB"/>
        </w:rPr>
        <w:t>The a</w:t>
      </w:r>
      <w:r w:rsidRPr="00A34F10">
        <w:rPr>
          <w:szCs w:val="24"/>
        </w:rPr>
        <w:t xml:space="preserve">nalysis of BAS 743 02 F was performed via its active substance BAS 650 F (ametoctradin) was based on </w:t>
      </w:r>
      <w:r w:rsidR="00482794">
        <w:rPr>
          <w:szCs w:val="24"/>
        </w:rPr>
        <w:t>XXXX</w:t>
      </w:r>
      <w:r w:rsidRPr="00A34F10">
        <w:rPr>
          <w:szCs w:val="24"/>
        </w:rPr>
        <w:t xml:space="preserve"> method No. L0208/02 for determination of residues of the analyte in water. The method was adapted to perform the analysis in the given concentration range. The aqueous application solutions were diluted in three steps by a total factor of 100000 using 30 μL of silicon antifoam emulsion in 1.0 L of tap water as well as acetonitrile/water (50/50, v/v) as solvent. Five replicate dilutions were analysed for each selected application solution. The diluted application solutions were analysed for the content of BAS 650 F by LC-MS/MS with external standardisation. Linear calibration curve(s) with a correlation coefficient r &gt; 0.99 were used for quantification. Due to the high total dilution factor (100000), no relevant matrix effects were observed for the LC-MS/MS determination of BAS 650 F. The average concentration of the active substance BAS 650 F (ametoctradin) obtained by LC-MS/MS analysis of the application solution derived from the test item BAS 74 3 02 F was 1.54 g/L (nominal: 1.85 g/L BAS 650 F) equivalent to a recovery of 83.2 % of the expected concentration. No analyte (above the defined LOD of 0.05 g/L) or relevant interferences were detected in the LC-MS/MS analysis of a respective blank control solution.</w:t>
      </w:r>
    </w:p>
    <w:p w14:paraId="05B58AB7" w14:textId="77777777" w:rsidR="00DC5685" w:rsidRPr="00A34F10" w:rsidRDefault="00DC5685" w:rsidP="00DC5685">
      <w:pPr>
        <w:widowControl w:val="0"/>
        <w:rPr>
          <w:szCs w:val="24"/>
          <w:highlight w:val="yellow"/>
        </w:rPr>
      </w:pPr>
    </w:p>
    <w:p w14:paraId="20973BBD" w14:textId="7298DE34" w:rsidR="00DC5685" w:rsidRPr="00094125" w:rsidRDefault="00C856D9" w:rsidP="00C856D9">
      <w:pPr>
        <w:pStyle w:val="Legenda"/>
      </w:pPr>
      <w:r>
        <w:t xml:space="preserve">Table A </w:t>
      </w:r>
      <w:r>
        <w:fldChar w:fldCharType="begin"/>
      </w:r>
      <w:r>
        <w:instrText xml:space="preserve"> SEQ Table_A \* ARABIC </w:instrText>
      </w:r>
      <w:r>
        <w:fldChar w:fldCharType="separate"/>
      </w:r>
      <w:r w:rsidR="006F0F3B">
        <w:rPr>
          <w:noProof/>
        </w:rPr>
        <w:t>100</w:t>
      </w:r>
      <w:r>
        <w:fldChar w:fldCharType="end"/>
      </w:r>
      <w:r w:rsidR="00DC5685" w:rsidRPr="00094125">
        <w:t>:</w:t>
      </w:r>
      <w:r w:rsidR="00094125" w:rsidRPr="00094125">
        <w:tab/>
      </w:r>
      <w:r w:rsidR="00DC5685" w:rsidRPr="00094125">
        <w:t xml:space="preserve"> Procedural recoveries for BAS 743 02 F in Fortified Recovery Samples by LC-MS/MS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1"/>
        <w:gridCol w:w="723"/>
        <w:gridCol w:w="2022"/>
        <w:gridCol w:w="1944"/>
        <w:gridCol w:w="2114"/>
      </w:tblGrid>
      <w:tr w:rsidR="00DC5685" w:rsidRPr="00A34F10" w14:paraId="58BE3C5A" w14:textId="77777777" w:rsidTr="000470C3">
        <w:trPr>
          <w:trHeight w:val="97"/>
        </w:trPr>
        <w:tc>
          <w:tcPr>
            <w:tcW w:w="1360" w:type="pct"/>
            <w:shd w:val="clear" w:color="000000" w:fill="FFFFFF"/>
            <w:vAlign w:val="center"/>
            <w:hideMark/>
          </w:tcPr>
          <w:p w14:paraId="64DB9068" w14:textId="77777777" w:rsidR="00DC5685" w:rsidRPr="00A34F10" w:rsidRDefault="00DC5685" w:rsidP="00DC5685">
            <w:pPr>
              <w:jc w:val="center"/>
              <w:rPr>
                <w:b/>
                <w:bCs/>
                <w:sz w:val="20"/>
                <w:szCs w:val="20"/>
                <w:lang w:val="de-DE"/>
              </w:rPr>
            </w:pPr>
            <w:r w:rsidRPr="00A34F10">
              <w:rPr>
                <w:b/>
                <w:bCs/>
                <w:sz w:val="20"/>
                <w:szCs w:val="20"/>
                <w:lang w:val="de-DE"/>
              </w:rPr>
              <w:t>Fortification level (g/L)</w:t>
            </w:r>
          </w:p>
        </w:tc>
        <w:tc>
          <w:tcPr>
            <w:tcW w:w="387" w:type="pct"/>
            <w:shd w:val="clear" w:color="000000" w:fill="FFFFFF"/>
            <w:noWrap/>
            <w:vAlign w:val="center"/>
            <w:hideMark/>
          </w:tcPr>
          <w:p w14:paraId="563FE250" w14:textId="77777777" w:rsidR="00DC5685" w:rsidRPr="00A34F10" w:rsidRDefault="00DC5685" w:rsidP="00DC5685">
            <w:pPr>
              <w:jc w:val="center"/>
              <w:rPr>
                <w:b/>
                <w:bCs/>
                <w:sz w:val="20"/>
                <w:szCs w:val="20"/>
                <w:lang w:val="de-DE"/>
              </w:rPr>
            </w:pPr>
            <w:r w:rsidRPr="00A34F10">
              <w:rPr>
                <w:b/>
                <w:bCs/>
                <w:sz w:val="20"/>
                <w:szCs w:val="20"/>
                <w:lang w:val="de-DE"/>
              </w:rPr>
              <w:t>n</w:t>
            </w:r>
          </w:p>
        </w:tc>
        <w:tc>
          <w:tcPr>
            <w:tcW w:w="1082" w:type="pct"/>
            <w:shd w:val="clear" w:color="000000" w:fill="FFFFFF"/>
            <w:noWrap/>
            <w:vAlign w:val="center"/>
            <w:hideMark/>
          </w:tcPr>
          <w:p w14:paraId="6BD9EC8E" w14:textId="77777777" w:rsidR="00DC5685" w:rsidRPr="00A34F10" w:rsidRDefault="00DC5685" w:rsidP="00DC5685">
            <w:pPr>
              <w:jc w:val="center"/>
              <w:rPr>
                <w:b/>
                <w:bCs/>
                <w:sz w:val="20"/>
                <w:szCs w:val="20"/>
                <w:lang w:val="de-DE"/>
              </w:rPr>
            </w:pPr>
            <w:r w:rsidRPr="00A34F10">
              <w:rPr>
                <w:b/>
                <w:bCs/>
                <w:sz w:val="20"/>
                <w:szCs w:val="20"/>
                <w:lang w:val="de-DE"/>
              </w:rPr>
              <w:t>Average (%)</w:t>
            </w:r>
          </w:p>
        </w:tc>
        <w:tc>
          <w:tcPr>
            <w:tcW w:w="1040" w:type="pct"/>
            <w:shd w:val="clear" w:color="000000" w:fill="FFFFFF"/>
            <w:noWrap/>
            <w:vAlign w:val="center"/>
            <w:hideMark/>
          </w:tcPr>
          <w:p w14:paraId="2254E718" w14:textId="77777777" w:rsidR="00DC5685" w:rsidRPr="00A34F10" w:rsidRDefault="00DC5685" w:rsidP="00DC5685">
            <w:pPr>
              <w:jc w:val="center"/>
              <w:rPr>
                <w:b/>
                <w:bCs/>
                <w:sz w:val="20"/>
                <w:szCs w:val="20"/>
                <w:lang w:val="de-DE"/>
              </w:rPr>
            </w:pPr>
            <w:r w:rsidRPr="00A34F10">
              <w:rPr>
                <w:b/>
                <w:bCs/>
                <w:sz w:val="20"/>
                <w:szCs w:val="20"/>
                <w:lang w:val="de-DE"/>
              </w:rPr>
              <w:t>±SD</w:t>
            </w:r>
          </w:p>
        </w:tc>
        <w:tc>
          <w:tcPr>
            <w:tcW w:w="1131" w:type="pct"/>
            <w:shd w:val="clear" w:color="000000" w:fill="FFFFFF"/>
            <w:noWrap/>
            <w:vAlign w:val="center"/>
            <w:hideMark/>
          </w:tcPr>
          <w:p w14:paraId="2E323F96" w14:textId="77777777" w:rsidR="00DC5685" w:rsidRPr="00A34F10" w:rsidRDefault="00DC5685" w:rsidP="00DC5685">
            <w:pPr>
              <w:jc w:val="center"/>
              <w:rPr>
                <w:b/>
                <w:bCs/>
                <w:sz w:val="20"/>
                <w:szCs w:val="20"/>
                <w:lang w:val="de-DE"/>
              </w:rPr>
            </w:pPr>
            <w:r w:rsidRPr="00A34F10">
              <w:rPr>
                <w:b/>
                <w:bCs/>
                <w:sz w:val="20"/>
                <w:szCs w:val="20"/>
                <w:lang w:val="de-DE"/>
              </w:rPr>
              <w:t>RSD (%)</w:t>
            </w:r>
          </w:p>
        </w:tc>
      </w:tr>
      <w:tr w:rsidR="00DC5685" w:rsidRPr="00A34F10" w14:paraId="14F2C9E6" w14:textId="77777777" w:rsidTr="000470C3">
        <w:trPr>
          <w:trHeight w:val="255"/>
        </w:trPr>
        <w:tc>
          <w:tcPr>
            <w:tcW w:w="1360" w:type="pct"/>
            <w:shd w:val="clear" w:color="000000" w:fill="FFFFFF"/>
            <w:noWrap/>
            <w:vAlign w:val="center"/>
          </w:tcPr>
          <w:p w14:paraId="151E20E4" w14:textId="77777777" w:rsidR="00DC5685" w:rsidRPr="00A34F10" w:rsidRDefault="00DC5685" w:rsidP="00DC5685">
            <w:pPr>
              <w:jc w:val="center"/>
              <w:rPr>
                <w:sz w:val="20"/>
                <w:szCs w:val="20"/>
                <w:highlight w:val="yellow"/>
                <w:lang w:val="de-DE"/>
              </w:rPr>
            </w:pPr>
            <w:r w:rsidRPr="00A34F10">
              <w:rPr>
                <w:sz w:val="20"/>
                <w:szCs w:val="20"/>
                <w:lang w:val="de-DE"/>
              </w:rPr>
              <w:t>0.179 (LOQ)</w:t>
            </w:r>
          </w:p>
        </w:tc>
        <w:tc>
          <w:tcPr>
            <w:tcW w:w="387" w:type="pct"/>
            <w:shd w:val="clear" w:color="000000" w:fill="FFFFFF"/>
            <w:noWrap/>
            <w:vAlign w:val="center"/>
          </w:tcPr>
          <w:p w14:paraId="3FE07649" w14:textId="77777777" w:rsidR="00DC5685" w:rsidRPr="00A34F10" w:rsidRDefault="00DC5685" w:rsidP="00DC5685">
            <w:pPr>
              <w:jc w:val="center"/>
              <w:rPr>
                <w:sz w:val="20"/>
                <w:szCs w:val="20"/>
                <w:highlight w:val="yellow"/>
                <w:lang w:val="de-DE"/>
              </w:rPr>
            </w:pPr>
            <w:r w:rsidRPr="00A34F10">
              <w:rPr>
                <w:sz w:val="20"/>
                <w:szCs w:val="20"/>
                <w:lang w:val="de-DE"/>
              </w:rPr>
              <w:t>5</w:t>
            </w:r>
          </w:p>
        </w:tc>
        <w:tc>
          <w:tcPr>
            <w:tcW w:w="1082" w:type="pct"/>
            <w:shd w:val="clear" w:color="000000" w:fill="FFFFFF"/>
            <w:noWrap/>
            <w:vAlign w:val="center"/>
          </w:tcPr>
          <w:p w14:paraId="2126B5D9" w14:textId="77777777" w:rsidR="00DC5685" w:rsidRPr="00A34F10" w:rsidRDefault="00DC5685" w:rsidP="00DC5685">
            <w:pPr>
              <w:jc w:val="center"/>
              <w:rPr>
                <w:sz w:val="20"/>
                <w:szCs w:val="20"/>
                <w:highlight w:val="yellow"/>
                <w:lang w:val="de-DE"/>
              </w:rPr>
            </w:pPr>
            <w:r w:rsidRPr="00A34F10">
              <w:rPr>
                <w:sz w:val="20"/>
                <w:szCs w:val="20"/>
                <w:lang w:val="de-DE"/>
              </w:rPr>
              <w:t>103</w:t>
            </w:r>
          </w:p>
        </w:tc>
        <w:tc>
          <w:tcPr>
            <w:tcW w:w="1040" w:type="pct"/>
            <w:shd w:val="clear" w:color="000000" w:fill="FFFFFF"/>
            <w:noWrap/>
            <w:vAlign w:val="center"/>
          </w:tcPr>
          <w:p w14:paraId="651B0BD0" w14:textId="77777777" w:rsidR="00DC5685" w:rsidRPr="00A34F10" w:rsidRDefault="00DC5685" w:rsidP="00DC5685">
            <w:pPr>
              <w:jc w:val="center"/>
              <w:rPr>
                <w:sz w:val="20"/>
                <w:szCs w:val="20"/>
                <w:lang w:val="de-DE"/>
              </w:rPr>
            </w:pPr>
            <w:r w:rsidRPr="00A34F10">
              <w:rPr>
                <w:sz w:val="20"/>
                <w:szCs w:val="20"/>
                <w:lang w:val="de-DE"/>
              </w:rPr>
              <w:t>4.36</w:t>
            </w:r>
          </w:p>
        </w:tc>
        <w:tc>
          <w:tcPr>
            <w:tcW w:w="1131" w:type="pct"/>
            <w:shd w:val="clear" w:color="000000" w:fill="FFFFFF"/>
            <w:noWrap/>
            <w:vAlign w:val="center"/>
          </w:tcPr>
          <w:p w14:paraId="59A11D6D" w14:textId="77777777" w:rsidR="00DC5685" w:rsidRPr="00A34F10" w:rsidRDefault="00DC5685" w:rsidP="00DC5685">
            <w:pPr>
              <w:jc w:val="center"/>
              <w:rPr>
                <w:sz w:val="20"/>
                <w:szCs w:val="20"/>
                <w:highlight w:val="yellow"/>
                <w:lang w:val="de-DE"/>
              </w:rPr>
            </w:pPr>
            <w:r w:rsidRPr="00A34F10">
              <w:rPr>
                <w:sz w:val="20"/>
                <w:szCs w:val="20"/>
                <w:lang w:val="de-DE"/>
              </w:rPr>
              <w:t>4.79</w:t>
            </w:r>
          </w:p>
        </w:tc>
      </w:tr>
      <w:tr w:rsidR="00DC5685" w:rsidRPr="00A34F10" w14:paraId="0574EF2D" w14:textId="77777777" w:rsidTr="000470C3">
        <w:trPr>
          <w:trHeight w:val="255"/>
        </w:trPr>
        <w:tc>
          <w:tcPr>
            <w:tcW w:w="1360" w:type="pct"/>
            <w:shd w:val="clear" w:color="000000" w:fill="FFFFFF"/>
            <w:noWrap/>
            <w:vAlign w:val="center"/>
          </w:tcPr>
          <w:p w14:paraId="4138343A" w14:textId="77777777" w:rsidR="00DC5685" w:rsidRPr="00A34F10" w:rsidRDefault="00DC5685" w:rsidP="00DC5685">
            <w:pPr>
              <w:jc w:val="center"/>
              <w:rPr>
                <w:sz w:val="20"/>
                <w:szCs w:val="20"/>
                <w:highlight w:val="yellow"/>
                <w:lang w:val="de-DE"/>
              </w:rPr>
            </w:pPr>
            <w:r w:rsidRPr="00A34F10">
              <w:rPr>
                <w:sz w:val="20"/>
                <w:szCs w:val="20"/>
                <w:lang w:val="de-DE"/>
              </w:rPr>
              <w:t>3.79</w:t>
            </w:r>
          </w:p>
        </w:tc>
        <w:tc>
          <w:tcPr>
            <w:tcW w:w="387" w:type="pct"/>
            <w:shd w:val="clear" w:color="000000" w:fill="FFFFFF"/>
            <w:noWrap/>
            <w:vAlign w:val="center"/>
          </w:tcPr>
          <w:p w14:paraId="24386D56" w14:textId="77777777" w:rsidR="00DC5685" w:rsidRPr="00A34F10" w:rsidRDefault="00DC5685" w:rsidP="00DC5685">
            <w:pPr>
              <w:jc w:val="center"/>
              <w:rPr>
                <w:sz w:val="20"/>
                <w:szCs w:val="20"/>
                <w:highlight w:val="yellow"/>
                <w:lang w:val="de-DE"/>
              </w:rPr>
            </w:pPr>
            <w:r w:rsidRPr="00A34F10">
              <w:rPr>
                <w:sz w:val="20"/>
                <w:szCs w:val="20"/>
                <w:lang w:val="de-DE"/>
              </w:rPr>
              <w:t>5</w:t>
            </w:r>
          </w:p>
        </w:tc>
        <w:tc>
          <w:tcPr>
            <w:tcW w:w="1082" w:type="pct"/>
            <w:shd w:val="clear" w:color="000000" w:fill="FFFFFF"/>
            <w:noWrap/>
            <w:vAlign w:val="center"/>
          </w:tcPr>
          <w:p w14:paraId="23C75509" w14:textId="77777777" w:rsidR="00DC5685" w:rsidRPr="00A34F10" w:rsidRDefault="00DC5685" w:rsidP="00DC5685">
            <w:pPr>
              <w:jc w:val="center"/>
              <w:rPr>
                <w:sz w:val="20"/>
                <w:szCs w:val="20"/>
                <w:highlight w:val="yellow"/>
                <w:lang w:val="de-DE"/>
              </w:rPr>
            </w:pPr>
            <w:r w:rsidRPr="00A34F10">
              <w:rPr>
                <w:sz w:val="20"/>
                <w:szCs w:val="20"/>
                <w:lang w:val="de-DE"/>
              </w:rPr>
              <w:t>91.5</w:t>
            </w:r>
          </w:p>
        </w:tc>
        <w:tc>
          <w:tcPr>
            <w:tcW w:w="1040" w:type="pct"/>
            <w:shd w:val="clear" w:color="000000" w:fill="FFFFFF"/>
            <w:noWrap/>
            <w:vAlign w:val="center"/>
          </w:tcPr>
          <w:p w14:paraId="3115F71D" w14:textId="77777777" w:rsidR="00DC5685" w:rsidRPr="00A34F10" w:rsidRDefault="00DC5685" w:rsidP="00DC5685">
            <w:pPr>
              <w:jc w:val="center"/>
              <w:rPr>
                <w:sz w:val="20"/>
                <w:szCs w:val="20"/>
                <w:lang w:val="de-DE"/>
              </w:rPr>
            </w:pPr>
            <w:r w:rsidRPr="00A34F10">
              <w:rPr>
                <w:sz w:val="20"/>
                <w:szCs w:val="20"/>
                <w:lang w:val="de-DE"/>
              </w:rPr>
              <w:t>2.59</w:t>
            </w:r>
          </w:p>
        </w:tc>
        <w:tc>
          <w:tcPr>
            <w:tcW w:w="1131" w:type="pct"/>
            <w:shd w:val="clear" w:color="000000" w:fill="FFFFFF"/>
            <w:noWrap/>
            <w:vAlign w:val="center"/>
          </w:tcPr>
          <w:p w14:paraId="32B5D9E5" w14:textId="77777777" w:rsidR="00DC5685" w:rsidRPr="00A34F10" w:rsidRDefault="00DC5685" w:rsidP="00DC5685">
            <w:pPr>
              <w:jc w:val="center"/>
              <w:rPr>
                <w:sz w:val="20"/>
                <w:szCs w:val="20"/>
                <w:highlight w:val="yellow"/>
                <w:lang w:val="de-DE"/>
              </w:rPr>
            </w:pPr>
            <w:r w:rsidRPr="00A34F10">
              <w:rPr>
                <w:sz w:val="20"/>
                <w:szCs w:val="20"/>
                <w:lang w:val="de-DE"/>
              </w:rPr>
              <w:t>3.16</w:t>
            </w:r>
          </w:p>
        </w:tc>
      </w:tr>
    </w:tbl>
    <w:p w14:paraId="720841AC" w14:textId="77777777" w:rsidR="00DC5685" w:rsidRPr="00A34F10" w:rsidRDefault="00DC5685" w:rsidP="00DC5685">
      <w:pPr>
        <w:tabs>
          <w:tab w:val="left" w:pos="720"/>
        </w:tabs>
        <w:spacing w:after="240"/>
        <w:rPr>
          <w:b/>
          <w:bCs/>
          <w:caps/>
          <w:szCs w:val="24"/>
          <w:highlight w:val="yellow"/>
          <w:lang w:val="en-GB"/>
        </w:rPr>
      </w:pPr>
      <w:r w:rsidRPr="00A34F10">
        <w:rPr>
          <w:sz w:val="18"/>
          <w:szCs w:val="18"/>
          <w:lang w:val="en-GB"/>
        </w:rPr>
        <w:t>RSD = Relative standard deviation</w:t>
      </w:r>
    </w:p>
    <w:p w14:paraId="41CC69C2" w14:textId="77777777" w:rsidR="00DC5685" w:rsidRPr="00A34F10" w:rsidRDefault="00DC5685" w:rsidP="00E05ECD">
      <w:pPr>
        <w:numPr>
          <w:ilvl w:val="0"/>
          <w:numId w:val="109"/>
        </w:numPr>
        <w:spacing w:before="240" w:after="240"/>
        <w:jc w:val="center"/>
        <w:rPr>
          <w:b/>
          <w:bCs/>
          <w:caps/>
          <w:szCs w:val="24"/>
          <w:lang w:val="en-GB"/>
        </w:rPr>
      </w:pPr>
      <w:r w:rsidRPr="00A34F10">
        <w:rPr>
          <w:b/>
          <w:bCs/>
          <w:caps/>
          <w:szCs w:val="24"/>
          <w:lang w:val="en-GB"/>
        </w:rPr>
        <w:t>Results AND Discussion</w:t>
      </w:r>
    </w:p>
    <w:p w14:paraId="5A01FE22" w14:textId="77777777" w:rsidR="00DC5685" w:rsidRPr="00A34F10" w:rsidRDefault="00DC5685" w:rsidP="00E05ECD">
      <w:pPr>
        <w:numPr>
          <w:ilvl w:val="0"/>
          <w:numId w:val="114"/>
        </w:numPr>
        <w:ind w:left="357" w:hanging="357"/>
        <w:contextualSpacing/>
        <w:rPr>
          <w:b/>
          <w:bCs/>
          <w:caps/>
          <w:szCs w:val="24"/>
          <w:lang w:val="en-GB"/>
        </w:rPr>
      </w:pPr>
      <w:r w:rsidRPr="00A34F10">
        <w:rPr>
          <w:b/>
          <w:bCs/>
          <w:caps/>
          <w:szCs w:val="24"/>
          <w:lang w:val="en-GB"/>
        </w:rPr>
        <w:t>Biological effects</w:t>
      </w:r>
    </w:p>
    <w:p w14:paraId="197F4335" w14:textId="77777777" w:rsidR="00DC5685" w:rsidRPr="00A34F10" w:rsidRDefault="00DC5685" w:rsidP="00DC5685">
      <w:pPr>
        <w:rPr>
          <w:b/>
        </w:rPr>
      </w:pPr>
    </w:p>
    <w:p w14:paraId="42420E76" w14:textId="6BD49899" w:rsidR="00C856D9" w:rsidRDefault="00DC5685" w:rsidP="00DC5685">
      <w:pPr>
        <w:jc w:val="both"/>
      </w:pPr>
      <w:r w:rsidRPr="00A34F10">
        <w:t xml:space="preserve">No negative impact of BAS 743 02 F on plant survival, plant length and dry biomass production was observed for all tested species after the application of 3.85 L BAS 743 02 F/ha at BBCH stage 12-14. The biological effects are summarised in </w:t>
      </w:r>
      <w:r w:rsidR="00C856D9">
        <w:fldChar w:fldCharType="begin"/>
      </w:r>
      <w:r w:rsidR="00C856D9">
        <w:instrText xml:space="preserve"> REF _Ref147913800 \h </w:instrText>
      </w:r>
      <w:r w:rsidR="00C856D9">
        <w:fldChar w:fldCharType="separate"/>
      </w:r>
      <w:r w:rsidR="006F0F3B">
        <w:t xml:space="preserve">Table A </w:t>
      </w:r>
      <w:r w:rsidR="006F0F3B">
        <w:rPr>
          <w:noProof/>
        </w:rPr>
        <w:t>101</w:t>
      </w:r>
      <w:r w:rsidR="00C856D9">
        <w:fldChar w:fldCharType="end"/>
      </w:r>
      <w:r w:rsidRPr="00A34F10">
        <w:t xml:space="preserve">below. </w:t>
      </w:r>
    </w:p>
    <w:p w14:paraId="7407B36D" w14:textId="77777777" w:rsidR="00C856D9" w:rsidRDefault="00C856D9">
      <w:r>
        <w:br w:type="page"/>
      </w:r>
    </w:p>
    <w:p w14:paraId="7B31A645" w14:textId="77777777" w:rsidR="00DC5685" w:rsidRPr="00A34F10" w:rsidRDefault="00DC5685" w:rsidP="00DC5685">
      <w:pPr>
        <w:widowControl w:val="0"/>
        <w:rPr>
          <w:b/>
          <w:highlight w:val="yellow"/>
        </w:rPr>
      </w:pPr>
    </w:p>
    <w:p w14:paraId="3AC4AA5D" w14:textId="439DE615" w:rsidR="00DC5685" w:rsidRPr="00094125" w:rsidRDefault="00C856D9" w:rsidP="00C856D9">
      <w:pPr>
        <w:pStyle w:val="Legenda"/>
      </w:pPr>
      <w:bookmarkStart w:id="1206" w:name="_Ref147913800"/>
      <w:r>
        <w:t xml:space="preserve">Table A </w:t>
      </w:r>
      <w:r>
        <w:fldChar w:fldCharType="begin"/>
      </w:r>
      <w:r>
        <w:instrText xml:space="preserve"> SEQ Table_A \* ARABIC </w:instrText>
      </w:r>
      <w:r>
        <w:fldChar w:fldCharType="separate"/>
      </w:r>
      <w:r w:rsidR="006F0F3B">
        <w:rPr>
          <w:noProof/>
        </w:rPr>
        <w:t>101</w:t>
      </w:r>
      <w:r>
        <w:fldChar w:fldCharType="end"/>
      </w:r>
      <w:bookmarkEnd w:id="1206"/>
      <w:r w:rsidR="00094125" w:rsidRPr="00094125">
        <w:tab/>
      </w:r>
      <w:r w:rsidR="00DC5685" w:rsidRPr="00094125">
        <w:t xml:space="preserve"> Summary of plant survival, length and dry weight following exposure to BAS 743 02 F at BBCH stage 12-14</w:t>
      </w:r>
    </w:p>
    <w:tbl>
      <w:tblPr>
        <w:tblStyle w:val="Tabela-Siatka"/>
        <w:tblW w:w="4944" w:type="pct"/>
        <w:tblInd w:w="108" w:type="dxa"/>
        <w:tblLook w:val="04A0" w:firstRow="1" w:lastRow="0" w:firstColumn="1" w:lastColumn="0" w:noHBand="0" w:noVBand="1"/>
      </w:tblPr>
      <w:tblGrid>
        <w:gridCol w:w="1050"/>
        <w:gridCol w:w="1737"/>
        <w:gridCol w:w="1379"/>
        <w:gridCol w:w="1793"/>
        <w:gridCol w:w="1377"/>
        <w:gridCol w:w="1903"/>
      </w:tblGrid>
      <w:tr w:rsidR="00DC5685" w:rsidRPr="00A34F10" w14:paraId="3A7B3EC6" w14:textId="77777777" w:rsidTr="000470C3">
        <w:trPr>
          <w:trHeight w:val="939"/>
        </w:trPr>
        <w:tc>
          <w:tcPr>
            <w:tcW w:w="555" w:type="pct"/>
            <w:vAlign w:val="center"/>
          </w:tcPr>
          <w:p w14:paraId="25C89105" w14:textId="77777777" w:rsidR="00DC5685" w:rsidRPr="00A34F10" w:rsidRDefault="00DC5685" w:rsidP="00DC5685">
            <w:pPr>
              <w:keepNext/>
              <w:keepLines/>
              <w:rPr>
                <w:b/>
                <w:sz w:val="20"/>
                <w:szCs w:val="20"/>
              </w:rPr>
            </w:pPr>
            <w:r w:rsidRPr="00A34F10">
              <w:rPr>
                <w:b/>
                <w:sz w:val="20"/>
                <w:szCs w:val="20"/>
              </w:rPr>
              <w:t>Plant species</w:t>
            </w:r>
          </w:p>
        </w:tc>
        <w:tc>
          <w:tcPr>
            <w:tcW w:w="943" w:type="pct"/>
            <w:vAlign w:val="center"/>
          </w:tcPr>
          <w:p w14:paraId="1A70417D" w14:textId="77777777" w:rsidR="00DC5685" w:rsidRPr="00A34F10" w:rsidRDefault="00DC5685" w:rsidP="00DC5685">
            <w:pPr>
              <w:rPr>
                <w:b/>
                <w:sz w:val="20"/>
                <w:szCs w:val="20"/>
              </w:rPr>
            </w:pPr>
            <w:r w:rsidRPr="00A34F10">
              <w:rPr>
                <w:b/>
                <w:sz w:val="20"/>
                <w:szCs w:val="20"/>
              </w:rPr>
              <w:t>Rate of BAS 743 02 F</w:t>
            </w:r>
          </w:p>
          <w:p w14:paraId="5F8D15A0" w14:textId="77777777" w:rsidR="00DC5685" w:rsidRPr="00A34F10" w:rsidRDefault="00DC5685" w:rsidP="00DC5685">
            <w:pPr>
              <w:keepNext/>
              <w:keepLines/>
              <w:rPr>
                <w:b/>
                <w:sz w:val="20"/>
                <w:szCs w:val="20"/>
              </w:rPr>
            </w:pPr>
            <w:r w:rsidRPr="00A34F10">
              <w:rPr>
                <w:b/>
                <w:sz w:val="20"/>
                <w:szCs w:val="20"/>
              </w:rPr>
              <w:t>[L product/ha]</w:t>
            </w:r>
          </w:p>
        </w:tc>
        <w:tc>
          <w:tcPr>
            <w:tcW w:w="749" w:type="pct"/>
            <w:vAlign w:val="center"/>
          </w:tcPr>
          <w:p w14:paraId="42838453" w14:textId="77777777" w:rsidR="00DC5685" w:rsidRPr="00A34F10" w:rsidRDefault="00DC5685" w:rsidP="00DC5685">
            <w:pPr>
              <w:keepNext/>
              <w:keepLines/>
              <w:rPr>
                <w:b/>
                <w:sz w:val="20"/>
                <w:szCs w:val="20"/>
              </w:rPr>
            </w:pPr>
            <w:r w:rsidRPr="00A34F10">
              <w:rPr>
                <w:b/>
                <w:sz w:val="20"/>
                <w:szCs w:val="20"/>
              </w:rPr>
              <w:t>Survival</w:t>
            </w:r>
          </w:p>
          <w:p w14:paraId="4A783EE4" w14:textId="77777777" w:rsidR="00DC5685" w:rsidRPr="00A34F10" w:rsidRDefault="00DC5685" w:rsidP="00DC5685">
            <w:pPr>
              <w:keepNext/>
              <w:keepLines/>
              <w:rPr>
                <w:b/>
                <w:sz w:val="20"/>
                <w:szCs w:val="20"/>
              </w:rPr>
            </w:pPr>
            <w:r w:rsidRPr="00A34F10">
              <w:rPr>
                <w:b/>
                <w:sz w:val="20"/>
                <w:szCs w:val="20"/>
              </w:rPr>
              <w:t>[%]</w:t>
            </w:r>
          </w:p>
        </w:tc>
        <w:tc>
          <w:tcPr>
            <w:tcW w:w="973" w:type="pct"/>
            <w:vAlign w:val="center"/>
          </w:tcPr>
          <w:p w14:paraId="02118966" w14:textId="77777777" w:rsidR="00DC5685" w:rsidRPr="00A34F10" w:rsidRDefault="00DC5685" w:rsidP="00DC5685">
            <w:pPr>
              <w:keepNext/>
              <w:keepLines/>
              <w:rPr>
                <w:b/>
                <w:sz w:val="20"/>
                <w:szCs w:val="20"/>
              </w:rPr>
            </w:pPr>
            <w:r w:rsidRPr="00A34F10">
              <w:rPr>
                <w:b/>
                <w:sz w:val="20"/>
                <w:szCs w:val="20"/>
              </w:rPr>
              <w:t>Phytotoxic effects</w:t>
            </w:r>
          </w:p>
          <w:p w14:paraId="75D0B5FD" w14:textId="77777777" w:rsidR="00DC5685" w:rsidRPr="00A34F10" w:rsidRDefault="00DC5685" w:rsidP="00DC5685">
            <w:pPr>
              <w:keepNext/>
              <w:keepLines/>
              <w:rPr>
                <w:b/>
                <w:sz w:val="20"/>
                <w:szCs w:val="20"/>
              </w:rPr>
            </w:pPr>
            <w:r w:rsidRPr="00A34F10">
              <w:rPr>
                <w:b/>
                <w:sz w:val="20"/>
                <w:szCs w:val="20"/>
              </w:rPr>
              <w:t>[%]</w:t>
            </w:r>
          </w:p>
        </w:tc>
        <w:tc>
          <w:tcPr>
            <w:tcW w:w="748" w:type="pct"/>
            <w:vAlign w:val="center"/>
          </w:tcPr>
          <w:p w14:paraId="62E2A3FF" w14:textId="77777777" w:rsidR="00DC5685" w:rsidRPr="00A34F10" w:rsidRDefault="00DC5685" w:rsidP="00DC5685">
            <w:pPr>
              <w:keepNext/>
              <w:keepLines/>
              <w:rPr>
                <w:b/>
                <w:sz w:val="20"/>
                <w:szCs w:val="20"/>
              </w:rPr>
            </w:pPr>
            <w:r w:rsidRPr="00A34F10">
              <w:rPr>
                <w:b/>
                <w:sz w:val="20"/>
                <w:szCs w:val="20"/>
              </w:rPr>
              <w:t>Length</w:t>
            </w:r>
          </w:p>
          <w:p w14:paraId="2BBA4C93" w14:textId="77777777" w:rsidR="00DC5685" w:rsidRPr="00A34F10" w:rsidRDefault="00DC5685" w:rsidP="00DC5685">
            <w:pPr>
              <w:keepNext/>
              <w:keepLines/>
              <w:rPr>
                <w:b/>
                <w:sz w:val="20"/>
                <w:szCs w:val="20"/>
              </w:rPr>
            </w:pPr>
            <w:r w:rsidRPr="00A34F10">
              <w:rPr>
                <w:b/>
                <w:sz w:val="20"/>
                <w:szCs w:val="20"/>
              </w:rPr>
              <w:t>[cm]</w:t>
            </w:r>
          </w:p>
        </w:tc>
        <w:tc>
          <w:tcPr>
            <w:tcW w:w="1032" w:type="pct"/>
            <w:vAlign w:val="center"/>
          </w:tcPr>
          <w:p w14:paraId="25185C33" w14:textId="77777777" w:rsidR="00DC5685" w:rsidRPr="00A34F10" w:rsidRDefault="00DC5685" w:rsidP="00DC5685">
            <w:pPr>
              <w:keepNext/>
              <w:keepLines/>
              <w:rPr>
                <w:b/>
                <w:sz w:val="20"/>
                <w:szCs w:val="20"/>
              </w:rPr>
            </w:pPr>
            <w:r w:rsidRPr="00A34F10">
              <w:rPr>
                <w:b/>
                <w:sz w:val="20"/>
                <w:szCs w:val="20"/>
              </w:rPr>
              <w:t>Biomass (dry)</w:t>
            </w:r>
          </w:p>
          <w:p w14:paraId="3295DE3B" w14:textId="77777777" w:rsidR="00DC5685" w:rsidRPr="00A34F10" w:rsidRDefault="00DC5685" w:rsidP="00DC5685">
            <w:pPr>
              <w:keepNext/>
              <w:keepLines/>
              <w:rPr>
                <w:b/>
                <w:sz w:val="20"/>
                <w:szCs w:val="20"/>
              </w:rPr>
            </w:pPr>
            <w:r w:rsidRPr="00A34F10">
              <w:rPr>
                <w:b/>
                <w:sz w:val="20"/>
                <w:szCs w:val="20"/>
              </w:rPr>
              <w:t>[g]</w:t>
            </w:r>
          </w:p>
        </w:tc>
      </w:tr>
      <w:tr w:rsidR="00DC5685" w:rsidRPr="00A34F10" w14:paraId="31435E7F" w14:textId="77777777" w:rsidTr="000470C3">
        <w:tc>
          <w:tcPr>
            <w:tcW w:w="555" w:type="pct"/>
            <w:vMerge w:val="restart"/>
            <w:vAlign w:val="center"/>
          </w:tcPr>
          <w:p w14:paraId="2523F465" w14:textId="77777777" w:rsidR="00DC5685" w:rsidRPr="00A34F10" w:rsidRDefault="00DC5685" w:rsidP="00DC5685">
            <w:pPr>
              <w:keepNext/>
              <w:keepLines/>
              <w:rPr>
                <w:bCs/>
                <w:sz w:val="20"/>
                <w:szCs w:val="20"/>
              </w:rPr>
            </w:pPr>
            <w:r w:rsidRPr="00A34F10">
              <w:rPr>
                <w:bCs/>
                <w:sz w:val="20"/>
                <w:szCs w:val="20"/>
              </w:rPr>
              <w:t>Carrot</w:t>
            </w:r>
          </w:p>
        </w:tc>
        <w:tc>
          <w:tcPr>
            <w:tcW w:w="943" w:type="pct"/>
            <w:vAlign w:val="center"/>
          </w:tcPr>
          <w:p w14:paraId="6F637E96" w14:textId="77777777" w:rsidR="00DC5685" w:rsidRPr="00A34F10" w:rsidRDefault="00DC5685" w:rsidP="00DC5685">
            <w:pPr>
              <w:keepNext/>
              <w:keepLines/>
              <w:rPr>
                <w:bCs/>
                <w:sz w:val="20"/>
                <w:szCs w:val="20"/>
              </w:rPr>
            </w:pPr>
            <w:r w:rsidRPr="00A34F10">
              <w:rPr>
                <w:bCs/>
                <w:sz w:val="20"/>
                <w:szCs w:val="20"/>
              </w:rPr>
              <w:t>0.0</w:t>
            </w:r>
          </w:p>
        </w:tc>
        <w:tc>
          <w:tcPr>
            <w:tcW w:w="749" w:type="pct"/>
            <w:vAlign w:val="center"/>
          </w:tcPr>
          <w:p w14:paraId="56FC2DA9"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23709F43"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329A9246" w14:textId="77777777" w:rsidR="00DC5685" w:rsidRPr="00A34F10" w:rsidRDefault="00DC5685" w:rsidP="00DC5685">
            <w:pPr>
              <w:keepNext/>
              <w:keepLines/>
              <w:rPr>
                <w:sz w:val="20"/>
                <w:szCs w:val="20"/>
              </w:rPr>
            </w:pPr>
            <w:r w:rsidRPr="00A34F10">
              <w:rPr>
                <w:sz w:val="20"/>
                <w:szCs w:val="20"/>
              </w:rPr>
              <w:t>45.2</w:t>
            </w:r>
          </w:p>
        </w:tc>
        <w:tc>
          <w:tcPr>
            <w:tcW w:w="1032" w:type="pct"/>
            <w:vAlign w:val="center"/>
          </w:tcPr>
          <w:p w14:paraId="6EEA6576" w14:textId="77777777" w:rsidR="00DC5685" w:rsidRPr="00A34F10" w:rsidRDefault="00DC5685" w:rsidP="00DC5685">
            <w:pPr>
              <w:keepNext/>
              <w:keepLines/>
              <w:rPr>
                <w:sz w:val="20"/>
                <w:szCs w:val="20"/>
              </w:rPr>
            </w:pPr>
            <w:r w:rsidRPr="00A34F10">
              <w:rPr>
                <w:sz w:val="20"/>
                <w:szCs w:val="20"/>
              </w:rPr>
              <w:t>17.220</w:t>
            </w:r>
          </w:p>
        </w:tc>
      </w:tr>
      <w:tr w:rsidR="00DC5685" w:rsidRPr="00A34F10" w14:paraId="6098DCE7" w14:textId="77777777" w:rsidTr="000470C3">
        <w:tc>
          <w:tcPr>
            <w:tcW w:w="555" w:type="pct"/>
            <w:vMerge/>
            <w:vAlign w:val="center"/>
          </w:tcPr>
          <w:p w14:paraId="008D0715" w14:textId="77777777" w:rsidR="00DC5685" w:rsidRPr="00A34F10" w:rsidRDefault="00DC5685" w:rsidP="00DC5685">
            <w:pPr>
              <w:keepNext/>
              <w:keepLines/>
              <w:rPr>
                <w:bCs/>
                <w:sz w:val="20"/>
                <w:szCs w:val="20"/>
              </w:rPr>
            </w:pPr>
          </w:p>
        </w:tc>
        <w:tc>
          <w:tcPr>
            <w:tcW w:w="943" w:type="pct"/>
            <w:vAlign w:val="center"/>
          </w:tcPr>
          <w:p w14:paraId="3D55550B" w14:textId="77777777" w:rsidR="00DC5685" w:rsidRPr="00A34F10" w:rsidRDefault="00DC5685" w:rsidP="00DC5685">
            <w:pPr>
              <w:keepNext/>
              <w:keepLines/>
              <w:rPr>
                <w:bCs/>
                <w:sz w:val="20"/>
                <w:szCs w:val="20"/>
              </w:rPr>
            </w:pPr>
            <w:r w:rsidRPr="00A34F10">
              <w:rPr>
                <w:bCs/>
                <w:sz w:val="20"/>
                <w:szCs w:val="20"/>
              </w:rPr>
              <w:t>3.85</w:t>
            </w:r>
          </w:p>
        </w:tc>
        <w:tc>
          <w:tcPr>
            <w:tcW w:w="749" w:type="pct"/>
            <w:vAlign w:val="center"/>
          </w:tcPr>
          <w:p w14:paraId="0DAC6B7B"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2AA3FC84"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701B1B95" w14:textId="77777777" w:rsidR="00DC5685" w:rsidRPr="00A34F10" w:rsidRDefault="00DC5685" w:rsidP="00DC5685">
            <w:pPr>
              <w:keepNext/>
              <w:keepLines/>
              <w:rPr>
                <w:sz w:val="20"/>
                <w:szCs w:val="20"/>
              </w:rPr>
            </w:pPr>
            <w:r w:rsidRPr="00A34F10">
              <w:rPr>
                <w:sz w:val="20"/>
                <w:szCs w:val="20"/>
              </w:rPr>
              <w:t>43.9</w:t>
            </w:r>
          </w:p>
        </w:tc>
        <w:tc>
          <w:tcPr>
            <w:tcW w:w="1032" w:type="pct"/>
            <w:vAlign w:val="center"/>
          </w:tcPr>
          <w:p w14:paraId="5AFE15D8" w14:textId="77777777" w:rsidR="00DC5685" w:rsidRPr="00A34F10" w:rsidRDefault="00DC5685" w:rsidP="00DC5685">
            <w:pPr>
              <w:keepNext/>
              <w:keepLines/>
              <w:rPr>
                <w:sz w:val="20"/>
                <w:szCs w:val="20"/>
              </w:rPr>
            </w:pPr>
            <w:r w:rsidRPr="00A34F10">
              <w:rPr>
                <w:sz w:val="20"/>
                <w:szCs w:val="20"/>
              </w:rPr>
              <w:t>17.426</w:t>
            </w:r>
          </w:p>
        </w:tc>
      </w:tr>
      <w:tr w:rsidR="00DC5685" w:rsidRPr="00A34F10" w14:paraId="52FF8DF0" w14:textId="77777777" w:rsidTr="000470C3">
        <w:tc>
          <w:tcPr>
            <w:tcW w:w="555" w:type="pct"/>
            <w:vMerge w:val="restart"/>
            <w:vAlign w:val="center"/>
          </w:tcPr>
          <w:p w14:paraId="635F7729" w14:textId="77777777" w:rsidR="00DC5685" w:rsidRPr="00A34F10" w:rsidRDefault="00DC5685" w:rsidP="00DC5685">
            <w:pPr>
              <w:keepNext/>
              <w:keepLines/>
              <w:rPr>
                <w:bCs/>
                <w:sz w:val="20"/>
                <w:szCs w:val="20"/>
              </w:rPr>
            </w:pPr>
            <w:r w:rsidRPr="00A34F10">
              <w:rPr>
                <w:bCs/>
                <w:sz w:val="20"/>
                <w:szCs w:val="20"/>
              </w:rPr>
              <w:t>Lettuce</w:t>
            </w:r>
          </w:p>
        </w:tc>
        <w:tc>
          <w:tcPr>
            <w:tcW w:w="943" w:type="pct"/>
            <w:vAlign w:val="center"/>
          </w:tcPr>
          <w:p w14:paraId="606B59A7"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115B3BE1"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7414E2E7"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6051B2A6" w14:textId="77777777" w:rsidR="00DC5685" w:rsidRPr="00A34F10" w:rsidRDefault="00DC5685" w:rsidP="00DC5685">
            <w:pPr>
              <w:keepNext/>
              <w:keepLines/>
              <w:rPr>
                <w:sz w:val="20"/>
                <w:szCs w:val="20"/>
              </w:rPr>
            </w:pPr>
            <w:r w:rsidRPr="00A34F10">
              <w:rPr>
                <w:sz w:val="20"/>
                <w:szCs w:val="20"/>
              </w:rPr>
              <w:t>22.0</w:t>
            </w:r>
          </w:p>
        </w:tc>
        <w:tc>
          <w:tcPr>
            <w:tcW w:w="1032" w:type="pct"/>
            <w:vAlign w:val="center"/>
          </w:tcPr>
          <w:p w14:paraId="393F7886" w14:textId="77777777" w:rsidR="00DC5685" w:rsidRPr="00A34F10" w:rsidRDefault="00DC5685" w:rsidP="00DC5685">
            <w:pPr>
              <w:keepNext/>
              <w:keepLines/>
              <w:rPr>
                <w:sz w:val="20"/>
                <w:szCs w:val="20"/>
              </w:rPr>
            </w:pPr>
            <w:r w:rsidRPr="00A34F10">
              <w:rPr>
                <w:sz w:val="20"/>
                <w:szCs w:val="20"/>
              </w:rPr>
              <w:t>36.424</w:t>
            </w:r>
          </w:p>
        </w:tc>
      </w:tr>
      <w:tr w:rsidR="00DC5685" w:rsidRPr="00A34F10" w14:paraId="7685F47B" w14:textId="77777777" w:rsidTr="000470C3">
        <w:tc>
          <w:tcPr>
            <w:tcW w:w="555" w:type="pct"/>
            <w:vMerge/>
            <w:vAlign w:val="center"/>
          </w:tcPr>
          <w:p w14:paraId="30F50130" w14:textId="77777777" w:rsidR="00DC5685" w:rsidRPr="00A34F10" w:rsidRDefault="00DC5685" w:rsidP="00DC5685">
            <w:pPr>
              <w:keepNext/>
              <w:keepLines/>
              <w:rPr>
                <w:bCs/>
                <w:sz w:val="20"/>
                <w:szCs w:val="20"/>
              </w:rPr>
            </w:pPr>
          </w:p>
        </w:tc>
        <w:tc>
          <w:tcPr>
            <w:tcW w:w="943" w:type="pct"/>
            <w:vAlign w:val="center"/>
          </w:tcPr>
          <w:p w14:paraId="423B4F7A"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7864C845"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4D63EDCF"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0DA70A06" w14:textId="77777777" w:rsidR="00DC5685" w:rsidRPr="00A34F10" w:rsidRDefault="00DC5685" w:rsidP="00DC5685">
            <w:pPr>
              <w:keepNext/>
              <w:keepLines/>
              <w:rPr>
                <w:sz w:val="20"/>
                <w:szCs w:val="20"/>
              </w:rPr>
            </w:pPr>
            <w:r w:rsidRPr="00A34F10">
              <w:rPr>
                <w:sz w:val="20"/>
                <w:szCs w:val="20"/>
              </w:rPr>
              <w:t>22.2</w:t>
            </w:r>
          </w:p>
        </w:tc>
        <w:tc>
          <w:tcPr>
            <w:tcW w:w="1032" w:type="pct"/>
            <w:vAlign w:val="center"/>
          </w:tcPr>
          <w:p w14:paraId="5C384A44" w14:textId="77777777" w:rsidR="00DC5685" w:rsidRPr="00A34F10" w:rsidRDefault="00DC5685" w:rsidP="00DC5685">
            <w:pPr>
              <w:keepNext/>
              <w:keepLines/>
              <w:rPr>
                <w:sz w:val="20"/>
                <w:szCs w:val="20"/>
              </w:rPr>
            </w:pPr>
            <w:r w:rsidRPr="00A34F10">
              <w:rPr>
                <w:sz w:val="20"/>
                <w:szCs w:val="20"/>
              </w:rPr>
              <w:t>35.253</w:t>
            </w:r>
          </w:p>
        </w:tc>
      </w:tr>
      <w:tr w:rsidR="00DC5685" w:rsidRPr="00A34F10" w14:paraId="03E913BC" w14:textId="77777777" w:rsidTr="000470C3">
        <w:trPr>
          <w:trHeight w:val="64"/>
        </w:trPr>
        <w:tc>
          <w:tcPr>
            <w:tcW w:w="555" w:type="pct"/>
            <w:vMerge w:val="restart"/>
            <w:vAlign w:val="center"/>
          </w:tcPr>
          <w:p w14:paraId="0C011476" w14:textId="77777777" w:rsidR="00DC5685" w:rsidRPr="00A34F10" w:rsidRDefault="00DC5685" w:rsidP="00DC5685">
            <w:pPr>
              <w:keepNext/>
              <w:keepLines/>
              <w:rPr>
                <w:bCs/>
                <w:sz w:val="20"/>
                <w:szCs w:val="20"/>
              </w:rPr>
            </w:pPr>
            <w:r w:rsidRPr="00A34F10">
              <w:rPr>
                <w:bCs/>
                <w:sz w:val="20"/>
                <w:szCs w:val="20"/>
              </w:rPr>
              <w:t>Oilseed rape</w:t>
            </w:r>
          </w:p>
        </w:tc>
        <w:tc>
          <w:tcPr>
            <w:tcW w:w="943" w:type="pct"/>
            <w:vAlign w:val="center"/>
          </w:tcPr>
          <w:p w14:paraId="207ABD6C"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1FC1A7CF"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634F864A"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7CDFB9C4" w14:textId="77777777" w:rsidR="00DC5685" w:rsidRPr="00A34F10" w:rsidRDefault="00DC5685" w:rsidP="00DC5685">
            <w:pPr>
              <w:keepNext/>
              <w:keepLines/>
              <w:rPr>
                <w:sz w:val="20"/>
                <w:szCs w:val="20"/>
              </w:rPr>
            </w:pPr>
            <w:r w:rsidRPr="00A34F10">
              <w:rPr>
                <w:sz w:val="20"/>
                <w:szCs w:val="20"/>
              </w:rPr>
              <w:t>42.3</w:t>
            </w:r>
          </w:p>
        </w:tc>
        <w:tc>
          <w:tcPr>
            <w:tcW w:w="1032" w:type="pct"/>
            <w:vAlign w:val="center"/>
          </w:tcPr>
          <w:p w14:paraId="2DE6A232" w14:textId="77777777" w:rsidR="00DC5685" w:rsidRPr="00A34F10" w:rsidRDefault="00DC5685" w:rsidP="00DC5685">
            <w:pPr>
              <w:keepNext/>
              <w:keepLines/>
              <w:rPr>
                <w:sz w:val="20"/>
                <w:szCs w:val="20"/>
              </w:rPr>
            </w:pPr>
            <w:r w:rsidRPr="00A34F10">
              <w:rPr>
                <w:sz w:val="20"/>
                <w:szCs w:val="20"/>
              </w:rPr>
              <w:t>110.716</w:t>
            </w:r>
          </w:p>
        </w:tc>
      </w:tr>
      <w:tr w:rsidR="00DC5685" w:rsidRPr="00A34F10" w14:paraId="5742B18E" w14:textId="77777777" w:rsidTr="000470C3">
        <w:trPr>
          <w:trHeight w:val="64"/>
        </w:trPr>
        <w:tc>
          <w:tcPr>
            <w:tcW w:w="555" w:type="pct"/>
            <w:vMerge/>
            <w:vAlign w:val="center"/>
          </w:tcPr>
          <w:p w14:paraId="1FA6D649" w14:textId="77777777" w:rsidR="00DC5685" w:rsidRPr="00A34F10" w:rsidRDefault="00DC5685" w:rsidP="00DC5685">
            <w:pPr>
              <w:keepNext/>
              <w:keepLines/>
              <w:rPr>
                <w:bCs/>
                <w:sz w:val="20"/>
                <w:szCs w:val="20"/>
              </w:rPr>
            </w:pPr>
          </w:p>
        </w:tc>
        <w:tc>
          <w:tcPr>
            <w:tcW w:w="943" w:type="pct"/>
            <w:vAlign w:val="center"/>
          </w:tcPr>
          <w:p w14:paraId="5E7770D4"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27306BB4"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07A0A772"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394465BB" w14:textId="77777777" w:rsidR="00DC5685" w:rsidRPr="00A34F10" w:rsidRDefault="00DC5685" w:rsidP="00DC5685">
            <w:pPr>
              <w:keepNext/>
              <w:keepLines/>
              <w:rPr>
                <w:sz w:val="20"/>
                <w:szCs w:val="20"/>
              </w:rPr>
            </w:pPr>
            <w:r w:rsidRPr="00A34F10">
              <w:rPr>
                <w:sz w:val="20"/>
                <w:szCs w:val="20"/>
              </w:rPr>
              <w:t>42.6</w:t>
            </w:r>
          </w:p>
        </w:tc>
        <w:tc>
          <w:tcPr>
            <w:tcW w:w="1032" w:type="pct"/>
            <w:vAlign w:val="center"/>
          </w:tcPr>
          <w:p w14:paraId="0FFF7BF2" w14:textId="77777777" w:rsidR="00DC5685" w:rsidRPr="00A34F10" w:rsidRDefault="00DC5685" w:rsidP="00DC5685">
            <w:pPr>
              <w:keepNext/>
              <w:keepLines/>
              <w:rPr>
                <w:sz w:val="20"/>
                <w:szCs w:val="20"/>
              </w:rPr>
            </w:pPr>
            <w:r w:rsidRPr="00A34F10">
              <w:rPr>
                <w:sz w:val="20"/>
                <w:szCs w:val="20"/>
              </w:rPr>
              <w:t>108.641</w:t>
            </w:r>
          </w:p>
        </w:tc>
      </w:tr>
      <w:tr w:rsidR="00DC5685" w:rsidRPr="00A34F10" w14:paraId="79E05526" w14:textId="77777777" w:rsidTr="000470C3">
        <w:tc>
          <w:tcPr>
            <w:tcW w:w="555" w:type="pct"/>
            <w:vMerge w:val="restart"/>
            <w:vAlign w:val="center"/>
          </w:tcPr>
          <w:p w14:paraId="34A268BB" w14:textId="77777777" w:rsidR="00DC5685" w:rsidRPr="00A34F10" w:rsidRDefault="00DC5685" w:rsidP="00DC5685">
            <w:pPr>
              <w:keepNext/>
              <w:keepLines/>
              <w:rPr>
                <w:bCs/>
                <w:sz w:val="20"/>
                <w:szCs w:val="20"/>
              </w:rPr>
            </w:pPr>
            <w:r w:rsidRPr="00A34F10">
              <w:rPr>
                <w:bCs/>
                <w:sz w:val="20"/>
                <w:szCs w:val="20"/>
              </w:rPr>
              <w:t>Cucumber</w:t>
            </w:r>
          </w:p>
        </w:tc>
        <w:tc>
          <w:tcPr>
            <w:tcW w:w="943" w:type="pct"/>
            <w:vAlign w:val="center"/>
          </w:tcPr>
          <w:p w14:paraId="5598A719"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5C4F49C4"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68CDBC51"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37BE60A5" w14:textId="77777777" w:rsidR="00DC5685" w:rsidRPr="00A34F10" w:rsidRDefault="00DC5685" w:rsidP="00DC5685">
            <w:pPr>
              <w:keepNext/>
              <w:keepLines/>
              <w:rPr>
                <w:sz w:val="20"/>
                <w:szCs w:val="20"/>
              </w:rPr>
            </w:pPr>
            <w:r w:rsidRPr="00A34F10">
              <w:rPr>
                <w:sz w:val="20"/>
                <w:szCs w:val="20"/>
              </w:rPr>
              <w:t>174.3</w:t>
            </w:r>
          </w:p>
        </w:tc>
        <w:tc>
          <w:tcPr>
            <w:tcW w:w="1032" w:type="pct"/>
            <w:vAlign w:val="center"/>
          </w:tcPr>
          <w:p w14:paraId="1D8E5F07" w14:textId="77777777" w:rsidR="00DC5685" w:rsidRPr="00A34F10" w:rsidRDefault="00DC5685" w:rsidP="00DC5685">
            <w:pPr>
              <w:keepNext/>
              <w:keepLines/>
              <w:rPr>
                <w:sz w:val="20"/>
                <w:szCs w:val="20"/>
              </w:rPr>
            </w:pPr>
            <w:r w:rsidRPr="00A34F10">
              <w:rPr>
                <w:sz w:val="20"/>
                <w:szCs w:val="20"/>
              </w:rPr>
              <w:t>160.079</w:t>
            </w:r>
          </w:p>
        </w:tc>
      </w:tr>
      <w:tr w:rsidR="00DC5685" w:rsidRPr="00A34F10" w14:paraId="5C63A7C7" w14:textId="77777777" w:rsidTr="000470C3">
        <w:tc>
          <w:tcPr>
            <w:tcW w:w="555" w:type="pct"/>
            <w:vMerge/>
            <w:vAlign w:val="center"/>
          </w:tcPr>
          <w:p w14:paraId="2E2F8931" w14:textId="77777777" w:rsidR="00DC5685" w:rsidRPr="00A34F10" w:rsidRDefault="00DC5685" w:rsidP="00DC5685">
            <w:pPr>
              <w:keepNext/>
              <w:keepLines/>
              <w:rPr>
                <w:bCs/>
                <w:sz w:val="20"/>
                <w:szCs w:val="20"/>
              </w:rPr>
            </w:pPr>
          </w:p>
        </w:tc>
        <w:tc>
          <w:tcPr>
            <w:tcW w:w="943" w:type="pct"/>
            <w:vAlign w:val="center"/>
          </w:tcPr>
          <w:p w14:paraId="70AEF656"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032D43C5"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7A8DA039"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2648ABBD" w14:textId="77777777" w:rsidR="00DC5685" w:rsidRPr="00A34F10" w:rsidRDefault="00DC5685" w:rsidP="00DC5685">
            <w:pPr>
              <w:keepNext/>
              <w:keepLines/>
              <w:rPr>
                <w:sz w:val="20"/>
                <w:szCs w:val="20"/>
              </w:rPr>
            </w:pPr>
            <w:r w:rsidRPr="00A34F10">
              <w:rPr>
                <w:sz w:val="20"/>
                <w:szCs w:val="20"/>
              </w:rPr>
              <w:t>172.7</w:t>
            </w:r>
          </w:p>
        </w:tc>
        <w:tc>
          <w:tcPr>
            <w:tcW w:w="1032" w:type="pct"/>
            <w:vAlign w:val="center"/>
          </w:tcPr>
          <w:p w14:paraId="4CF133F9" w14:textId="77777777" w:rsidR="00DC5685" w:rsidRPr="00A34F10" w:rsidRDefault="00DC5685" w:rsidP="00DC5685">
            <w:pPr>
              <w:keepNext/>
              <w:keepLines/>
              <w:rPr>
                <w:sz w:val="20"/>
                <w:szCs w:val="20"/>
              </w:rPr>
            </w:pPr>
            <w:r w:rsidRPr="00A34F10">
              <w:rPr>
                <w:sz w:val="20"/>
                <w:szCs w:val="20"/>
              </w:rPr>
              <w:t>144.487</w:t>
            </w:r>
          </w:p>
        </w:tc>
      </w:tr>
      <w:tr w:rsidR="00DC5685" w:rsidRPr="00A34F10" w14:paraId="544F1225" w14:textId="77777777" w:rsidTr="000470C3">
        <w:tc>
          <w:tcPr>
            <w:tcW w:w="555" w:type="pct"/>
            <w:vMerge w:val="restart"/>
            <w:vAlign w:val="center"/>
          </w:tcPr>
          <w:p w14:paraId="762872B4" w14:textId="77777777" w:rsidR="00DC5685" w:rsidRPr="00A34F10" w:rsidRDefault="00DC5685" w:rsidP="00DC5685">
            <w:pPr>
              <w:keepNext/>
              <w:keepLines/>
              <w:rPr>
                <w:bCs/>
                <w:sz w:val="20"/>
                <w:szCs w:val="20"/>
              </w:rPr>
            </w:pPr>
            <w:r w:rsidRPr="00A34F10">
              <w:rPr>
                <w:bCs/>
                <w:sz w:val="20"/>
                <w:szCs w:val="20"/>
              </w:rPr>
              <w:t>Soybean</w:t>
            </w:r>
          </w:p>
        </w:tc>
        <w:tc>
          <w:tcPr>
            <w:tcW w:w="943" w:type="pct"/>
            <w:vAlign w:val="center"/>
          </w:tcPr>
          <w:p w14:paraId="08C5556F"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156B487C"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4FC8899F"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5B548B07" w14:textId="77777777" w:rsidR="00DC5685" w:rsidRPr="00A34F10" w:rsidRDefault="00DC5685" w:rsidP="00DC5685">
            <w:pPr>
              <w:keepNext/>
              <w:keepLines/>
              <w:rPr>
                <w:sz w:val="20"/>
                <w:szCs w:val="20"/>
              </w:rPr>
            </w:pPr>
            <w:r w:rsidRPr="00A34F10">
              <w:rPr>
                <w:sz w:val="20"/>
                <w:szCs w:val="20"/>
              </w:rPr>
              <w:t>86.9</w:t>
            </w:r>
          </w:p>
        </w:tc>
        <w:tc>
          <w:tcPr>
            <w:tcW w:w="1032" w:type="pct"/>
            <w:vAlign w:val="center"/>
          </w:tcPr>
          <w:p w14:paraId="55666575" w14:textId="77777777" w:rsidR="00DC5685" w:rsidRPr="00A34F10" w:rsidRDefault="00DC5685" w:rsidP="00DC5685">
            <w:pPr>
              <w:keepNext/>
              <w:keepLines/>
              <w:rPr>
                <w:sz w:val="20"/>
                <w:szCs w:val="20"/>
              </w:rPr>
            </w:pPr>
            <w:r w:rsidRPr="00A34F10">
              <w:rPr>
                <w:sz w:val="20"/>
                <w:szCs w:val="20"/>
              </w:rPr>
              <w:t>71.339</w:t>
            </w:r>
          </w:p>
        </w:tc>
      </w:tr>
      <w:tr w:rsidR="00DC5685" w:rsidRPr="00A34F10" w14:paraId="450AF439" w14:textId="77777777" w:rsidTr="000470C3">
        <w:tc>
          <w:tcPr>
            <w:tcW w:w="555" w:type="pct"/>
            <w:vMerge/>
            <w:vAlign w:val="center"/>
          </w:tcPr>
          <w:p w14:paraId="7877EAB5" w14:textId="77777777" w:rsidR="00DC5685" w:rsidRPr="00A34F10" w:rsidRDefault="00DC5685" w:rsidP="00DC5685">
            <w:pPr>
              <w:keepNext/>
              <w:keepLines/>
              <w:rPr>
                <w:bCs/>
                <w:sz w:val="20"/>
                <w:szCs w:val="20"/>
              </w:rPr>
            </w:pPr>
          </w:p>
        </w:tc>
        <w:tc>
          <w:tcPr>
            <w:tcW w:w="943" w:type="pct"/>
            <w:vAlign w:val="center"/>
          </w:tcPr>
          <w:p w14:paraId="2B7416B8"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1F985927"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32A0EB82"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6277B8DC" w14:textId="77777777" w:rsidR="00DC5685" w:rsidRPr="00A34F10" w:rsidRDefault="00DC5685" w:rsidP="00DC5685">
            <w:pPr>
              <w:keepNext/>
              <w:keepLines/>
              <w:rPr>
                <w:sz w:val="20"/>
                <w:szCs w:val="20"/>
              </w:rPr>
            </w:pPr>
            <w:r w:rsidRPr="00A34F10">
              <w:rPr>
                <w:sz w:val="20"/>
                <w:szCs w:val="20"/>
              </w:rPr>
              <w:t>77.9</w:t>
            </w:r>
          </w:p>
        </w:tc>
        <w:tc>
          <w:tcPr>
            <w:tcW w:w="1032" w:type="pct"/>
            <w:vAlign w:val="center"/>
          </w:tcPr>
          <w:p w14:paraId="25FBB993" w14:textId="77777777" w:rsidR="00DC5685" w:rsidRPr="00A34F10" w:rsidRDefault="00DC5685" w:rsidP="00DC5685">
            <w:pPr>
              <w:keepNext/>
              <w:keepLines/>
              <w:rPr>
                <w:sz w:val="20"/>
                <w:szCs w:val="20"/>
              </w:rPr>
            </w:pPr>
            <w:r w:rsidRPr="00A34F10">
              <w:rPr>
                <w:sz w:val="20"/>
                <w:szCs w:val="20"/>
              </w:rPr>
              <w:t>72.516</w:t>
            </w:r>
          </w:p>
        </w:tc>
      </w:tr>
      <w:tr w:rsidR="00DC5685" w:rsidRPr="00A34F10" w14:paraId="658217CE" w14:textId="77777777" w:rsidTr="000470C3">
        <w:tc>
          <w:tcPr>
            <w:tcW w:w="555" w:type="pct"/>
            <w:vMerge w:val="restart"/>
            <w:vAlign w:val="center"/>
          </w:tcPr>
          <w:p w14:paraId="504814E9" w14:textId="77777777" w:rsidR="00DC5685" w:rsidRPr="00A34F10" w:rsidRDefault="00DC5685" w:rsidP="00DC5685">
            <w:pPr>
              <w:keepNext/>
              <w:keepLines/>
              <w:rPr>
                <w:bCs/>
                <w:sz w:val="20"/>
                <w:szCs w:val="20"/>
              </w:rPr>
            </w:pPr>
            <w:r w:rsidRPr="00A34F10">
              <w:rPr>
                <w:bCs/>
                <w:sz w:val="20"/>
                <w:szCs w:val="20"/>
              </w:rPr>
              <w:t>Tomato</w:t>
            </w:r>
          </w:p>
        </w:tc>
        <w:tc>
          <w:tcPr>
            <w:tcW w:w="943" w:type="pct"/>
            <w:vAlign w:val="center"/>
          </w:tcPr>
          <w:p w14:paraId="7856FF30"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3C88DEC1"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69D677F0"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63C42C9E" w14:textId="77777777" w:rsidR="00DC5685" w:rsidRPr="00A34F10" w:rsidRDefault="00DC5685" w:rsidP="00DC5685">
            <w:pPr>
              <w:keepNext/>
              <w:keepLines/>
              <w:rPr>
                <w:sz w:val="20"/>
                <w:szCs w:val="20"/>
              </w:rPr>
            </w:pPr>
            <w:r w:rsidRPr="00A34F10">
              <w:rPr>
                <w:sz w:val="20"/>
                <w:szCs w:val="20"/>
              </w:rPr>
              <w:t>75.2</w:t>
            </w:r>
          </w:p>
        </w:tc>
        <w:tc>
          <w:tcPr>
            <w:tcW w:w="1032" w:type="pct"/>
            <w:vAlign w:val="center"/>
          </w:tcPr>
          <w:p w14:paraId="77F0A1F4" w14:textId="77777777" w:rsidR="00DC5685" w:rsidRPr="00A34F10" w:rsidRDefault="00DC5685" w:rsidP="00DC5685">
            <w:pPr>
              <w:keepNext/>
              <w:keepLines/>
              <w:rPr>
                <w:sz w:val="20"/>
                <w:szCs w:val="20"/>
              </w:rPr>
            </w:pPr>
            <w:r w:rsidRPr="00A34F10">
              <w:rPr>
                <w:sz w:val="20"/>
                <w:szCs w:val="20"/>
              </w:rPr>
              <w:t>112.105</w:t>
            </w:r>
          </w:p>
        </w:tc>
      </w:tr>
      <w:tr w:rsidR="00DC5685" w:rsidRPr="00A34F10" w14:paraId="5305CEE6" w14:textId="77777777" w:rsidTr="000470C3">
        <w:tc>
          <w:tcPr>
            <w:tcW w:w="555" w:type="pct"/>
            <w:vMerge/>
            <w:vAlign w:val="center"/>
          </w:tcPr>
          <w:p w14:paraId="4AD837F1" w14:textId="77777777" w:rsidR="00DC5685" w:rsidRPr="00A34F10" w:rsidRDefault="00DC5685" w:rsidP="00DC5685">
            <w:pPr>
              <w:keepNext/>
              <w:keepLines/>
              <w:rPr>
                <w:bCs/>
                <w:sz w:val="20"/>
                <w:szCs w:val="20"/>
              </w:rPr>
            </w:pPr>
          </w:p>
        </w:tc>
        <w:tc>
          <w:tcPr>
            <w:tcW w:w="943" w:type="pct"/>
            <w:vAlign w:val="center"/>
          </w:tcPr>
          <w:p w14:paraId="63E6E6ED"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2C35EBCA"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2BA3681F"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36DE2888" w14:textId="77777777" w:rsidR="00DC5685" w:rsidRPr="00A34F10" w:rsidRDefault="00DC5685" w:rsidP="00DC5685">
            <w:pPr>
              <w:keepNext/>
              <w:keepLines/>
              <w:rPr>
                <w:sz w:val="20"/>
                <w:szCs w:val="20"/>
              </w:rPr>
            </w:pPr>
            <w:r w:rsidRPr="00A34F10">
              <w:rPr>
                <w:sz w:val="20"/>
                <w:szCs w:val="20"/>
              </w:rPr>
              <w:t>74.6</w:t>
            </w:r>
          </w:p>
        </w:tc>
        <w:tc>
          <w:tcPr>
            <w:tcW w:w="1032" w:type="pct"/>
            <w:vAlign w:val="center"/>
          </w:tcPr>
          <w:p w14:paraId="03C5B6E3" w14:textId="77777777" w:rsidR="00DC5685" w:rsidRPr="00A34F10" w:rsidRDefault="00DC5685" w:rsidP="00DC5685">
            <w:pPr>
              <w:keepNext/>
              <w:keepLines/>
              <w:rPr>
                <w:sz w:val="20"/>
                <w:szCs w:val="20"/>
              </w:rPr>
            </w:pPr>
            <w:r w:rsidRPr="00A34F10">
              <w:rPr>
                <w:sz w:val="20"/>
                <w:szCs w:val="20"/>
              </w:rPr>
              <w:t>113.965</w:t>
            </w:r>
          </w:p>
        </w:tc>
      </w:tr>
      <w:tr w:rsidR="00DC5685" w:rsidRPr="00A34F10" w14:paraId="6675044B" w14:textId="77777777" w:rsidTr="000470C3">
        <w:tc>
          <w:tcPr>
            <w:tcW w:w="555" w:type="pct"/>
            <w:vMerge w:val="restart"/>
            <w:vAlign w:val="center"/>
          </w:tcPr>
          <w:p w14:paraId="20DF1C62" w14:textId="77777777" w:rsidR="00DC5685" w:rsidRPr="00A34F10" w:rsidRDefault="00DC5685" w:rsidP="00DC5685">
            <w:pPr>
              <w:keepNext/>
              <w:keepLines/>
              <w:rPr>
                <w:bCs/>
                <w:sz w:val="20"/>
                <w:szCs w:val="20"/>
              </w:rPr>
            </w:pPr>
            <w:r w:rsidRPr="00A34F10">
              <w:rPr>
                <w:bCs/>
                <w:sz w:val="20"/>
                <w:szCs w:val="20"/>
              </w:rPr>
              <w:t>Onion</w:t>
            </w:r>
          </w:p>
        </w:tc>
        <w:tc>
          <w:tcPr>
            <w:tcW w:w="943" w:type="pct"/>
            <w:vAlign w:val="center"/>
          </w:tcPr>
          <w:p w14:paraId="2A509260"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700C3E3F"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20BCDAC5"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08216FFE" w14:textId="77777777" w:rsidR="00DC5685" w:rsidRPr="00A34F10" w:rsidRDefault="00DC5685" w:rsidP="00DC5685">
            <w:pPr>
              <w:keepNext/>
              <w:keepLines/>
              <w:rPr>
                <w:sz w:val="20"/>
                <w:szCs w:val="20"/>
              </w:rPr>
            </w:pPr>
            <w:r w:rsidRPr="00A34F10">
              <w:rPr>
                <w:sz w:val="20"/>
                <w:szCs w:val="20"/>
              </w:rPr>
              <w:t>38.8</w:t>
            </w:r>
          </w:p>
        </w:tc>
        <w:tc>
          <w:tcPr>
            <w:tcW w:w="1032" w:type="pct"/>
            <w:vAlign w:val="center"/>
          </w:tcPr>
          <w:p w14:paraId="05D20E23" w14:textId="77777777" w:rsidR="00DC5685" w:rsidRPr="00A34F10" w:rsidRDefault="00DC5685" w:rsidP="00DC5685">
            <w:pPr>
              <w:keepNext/>
              <w:keepLines/>
              <w:rPr>
                <w:sz w:val="20"/>
                <w:szCs w:val="20"/>
              </w:rPr>
            </w:pPr>
            <w:r w:rsidRPr="00A34F10">
              <w:rPr>
                <w:sz w:val="20"/>
                <w:szCs w:val="20"/>
              </w:rPr>
              <w:t>10.821</w:t>
            </w:r>
          </w:p>
        </w:tc>
      </w:tr>
      <w:tr w:rsidR="00DC5685" w:rsidRPr="00A34F10" w14:paraId="1161D881" w14:textId="77777777" w:rsidTr="000470C3">
        <w:tc>
          <w:tcPr>
            <w:tcW w:w="555" w:type="pct"/>
            <w:vMerge/>
            <w:vAlign w:val="center"/>
          </w:tcPr>
          <w:p w14:paraId="32329833" w14:textId="77777777" w:rsidR="00DC5685" w:rsidRPr="00A34F10" w:rsidRDefault="00DC5685" w:rsidP="00DC5685">
            <w:pPr>
              <w:keepNext/>
              <w:keepLines/>
              <w:rPr>
                <w:bCs/>
                <w:sz w:val="20"/>
                <w:szCs w:val="20"/>
              </w:rPr>
            </w:pPr>
          </w:p>
        </w:tc>
        <w:tc>
          <w:tcPr>
            <w:tcW w:w="943" w:type="pct"/>
            <w:vAlign w:val="center"/>
          </w:tcPr>
          <w:p w14:paraId="5A05A608"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25BF6204"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3A1FF684"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7740EF3B" w14:textId="77777777" w:rsidR="00DC5685" w:rsidRPr="00A34F10" w:rsidRDefault="00DC5685" w:rsidP="00DC5685">
            <w:pPr>
              <w:keepNext/>
              <w:keepLines/>
              <w:rPr>
                <w:sz w:val="20"/>
                <w:szCs w:val="20"/>
              </w:rPr>
            </w:pPr>
            <w:r w:rsidRPr="00A34F10">
              <w:rPr>
                <w:sz w:val="20"/>
                <w:szCs w:val="20"/>
              </w:rPr>
              <w:t>39.4</w:t>
            </w:r>
          </w:p>
        </w:tc>
        <w:tc>
          <w:tcPr>
            <w:tcW w:w="1032" w:type="pct"/>
            <w:vAlign w:val="center"/>
          </w:tcPr>
          <w:p w14:paraId="11269D01" w14:textId="77777777" w:rsidR="00DC5685" w:rsidRPr="00A34F10" w:rsidRDefault="00DC5685" w:rsidP="00DC5685">
            <w:pPr>
              <w:keepNext/>
              <w:keepLines/>
              <w:rPr>
                <w:sz w:val="20"/>
                <w:szCs w:val="20"/>
              </w:rPr>
            </w:pPr>
            <w:r w:rsidRPr="00A34F10">
              <w:rPr>
                <w:sz w:val="20"/>
                <w:szCs w:val="20"/>
              </w:rPr>
              <w:t>11.508</w:t>
            </w:r>
          </w:p>
        </w:tc>
      </w:tr>
      <w:tr w:rsidR="00DC5685" w:rsidRPr="00A34F10" w14:paraId="66A5C205" w14:textId="77777777" w:rsidTr="000470C3">
        <w:tc>
          <w:tcPr>
            <w:tcW w:w="555" w:type="pct"/>
            <w:vMerge w:val="restart"/>
            <w:vAlign w:val="center"/>
          </w:tcPr>
          <w:p w14:paraId="71BB759F" w14:textId="77777777" w:rsidR="00DC5685" w:rsidRPr="00A34F10" w:rsidRDefault="00DC5685" w:rsidP="00DC5685">
            <w:pPr>
              <w:keepNext/>
              <w:keepLines/>
              <w:rPr>
                <w:bCs/>
                <w:sz w:val="20"/>
                <w:szCs w:val="20"/>
              </w:rPr>
            </w:pPr>
            <w:r w:rsidRPr="00A34F10">
              <w:rPr>
                <w:bCs/>
                <w:sz w:val="20"/>
                <w:szCs w:val="20"/>
              </w:rPr>
              <w:t>Ryegrass</w:t>
            </w:r>
          </w:p>
        </w:tc>
        <w:tc>
          <w:tcPr>
            <w:tcW w:w="943" w:type="pct"/>
            <w:vAlign w:val="center"/>
          </w:tcPr>
          <w:p w14:paraId="3F9C4DC5"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6A6065E4"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0F31C82E"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03D932DA" w14:textId="77777777" w:rsidR="00DC5685" w:rsidRPr="00A34F10" w:rsidRDefault="00DC5685" w:rsidP="00DC5685">
            <w:pPr>
              <w:keepNext/>
              <w:keepLines/>
              <w:rPr>
                <w:sz w:val="20"/>
                <w:szCs w:val="20"/>
              </w:rPr>
            </w:pPr>
            <w:r w:rsidRPr="00A34F10">
              <w:rPr>
                <w:sz w:val="20"/>
                <w:szCs w:val="20"/>
              </w:rPr>
              <w:t>57.1</w:t>
            </w:r>
          </w:p>
        </w:tc>
        <w:tc>
          <w:tcPr>
            <w:tcW w:w="1032" w:type="pct"/>
            <w:vAlign w:val="center"/>
          </w:tcPr>
          <w:p w14:paraId="3E809A21" w14:textId="77777777" w:rsidR="00DC5685" w:rsidRPr="00A34F10" w:rsidRDefault="00DC5685" w:rsidP="00DC5685">
            <w:pPr>
              <w:keepNext/>
              <w:keepLines/>
              <w:rPr>
                <w:sz w:val="20"/>
                <w:szCs w:val="20"/>
              </w:rPr>
            </w:pPr>
            <w:r w:rsidRPr="00A34F10">
              <w:rPr>
                <w:sz w:val="20"/>
                <w:szCs w:val="20"/>
              </w:rPr>
              <w:t>18.941</w:t>
            </w:r>
          </w:p>
        </w:tc>
      </w:tr>
      <w:tr w:rsidR="00DC5685" w:rsidRPr="00A34F10" w14:paraId="7B126E48" w14:textId="77777777" w:rsidTr="000470C3">
        <w:tc>
          <w:tcPr>
            <w:tcW w:w="555" w:type="pct"/>
            <w:vMerge/>
            <w:vAlign w:val="center"/>
          </w:tcPr>
          <w:p w14:paraId="00113873" w14:textId="77777777" w:rsidR="00DC5685" w:rsidRPr="00A34F10" w:rsidRDefault="00DC5685" w:rsidP="00DC5685">
            <w:pPr>
              <w:keepNext/>
              <w:keepLines/>
              <w:rPr>
                <w:bCs/>
                <w:sz w:val="20"/>
                <w:szCs w:val="20"/>
              </w:rPr>
            </w:pPr>
          </w:p>
        </w:tc>
        <w:tc>
          <w:tcPr>
            <w:tcW w:w="943" w:type="pct"/>
            <w:vAlign w:val="center"/>
          </w:tcPr>
          <w:p w14:paraId="2FAF4635"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72251C18"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14B3BF14"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4EB62D91" w14:textId="77777777" w:rsidR="00DC5685" w:rsidRPr="00A34F10" w:rsidRDefault="00DC5685" w:rsidP="00DC5685">
            <w:pPr>
              <w:keepNext/>
              <w:keepLines/>
              <w:rPr>
                <w:sz w:val="20"/>
                <w:szCs w:val="20"/>
              </w:rPr>
            </w:pPr>
            <w:r w:rsidRPr="00A34F10">
              <w:rPr>
                <w:sz w:val="20"/>
                <w:szCs w:val="20"/>
              </w:rPr>
              <w:t>58.2</w:t>
            </w:r>
          </w:p>
        </w:tc>
        <w:tc>
          <w:tcPr>
            <w:tcW w:w="1032" w:type="pct"/>
            <w:vAlign w:val="center"/>
          </w:tcPr>
          <w:p w14:paraId="3DFF0292" w14:textId="77777777" w:rsidR="00DC5685" w:rsidRPr="00A34F10" w:rsidRDefault="00DC5685" w:rsidP="00DC5685">
            <w:pPr>
              <w:keepNext/>
              <w:keepLines/>
              <w:rPr>
                <w:sz w:val="20"/>
                <w:szCs w:val="20"/>
              </w:rPr>
            </w:pPr>
            <w:r w:rsidRPr="00A34F10">
              <w:rPr>
                <w:sz w:val="20"/>
                <w:szCs w:val="20"/>
              </w:rPr>
              <w:t>18.192</w:t>
            </w:r>
          </w:p>
        </w:tc>
      </w:tr>
      <w:tr w:rsidR="00DC5685" w:rsidRPr="00A34F10" w14:paraId="616E4771" w14:textId="77777777" w:rsidTr="000470C3">
        <w:tc>
          <w:tcPr>
            <w:tcW w:w="555" w:type="pct"/>
            <w:vMerge w:val="restart"/>
            <w:vAlign w:val="center"/>
          </w:tcPr>
          <w:p w14:paraId="0D1DB8CB" w14:textId="77777777" w:rsidR="00DC5685" w:rsidRPr="00A34F10" w:rsidRDefault="00DC5685" w:rsidP="00DC5685">
            <w:pPr>
              <w:keepNext/>
              <w:keepLines/>
              <w:rPr>
                <w:bCs/>
                <w:sz w:val="20"/>
                <w:szCs w:val="20"/>
              </w:rPr>
            </w:pPr>
            <w:r w:rsidRPr="00A34F10">
              <w:rPr>
                <w:bCs/>
                <w:sz w:val="20"/>
                <w:szCs w:val="20"/>
              </w:rPr>
              <w:t>Wheat</w:t>
            </w:r>
          </w:p>
        </w:tc>
        <w:tc>
          <w:tcPr>
            <w:tcW w:w="943" w:type="pct"/>
            <w:vAlign w:val="center"/>
          </w:tcPr>
          <w:p w14:paraId="4847084E"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681679E4"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414F0CB3"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10A705F3" w14:textId="77777777" w:rsidR="00DC5685" w:rsidRPr="00A34F10" w:rsidRDefault="00DC5685" w:rsidP="00DC5685">
            <w:pPr>
              <w:keepNext/>
              <w:keepLines/>
              <w:rPr>
                <w:sz w:val="20"/>
                <w:szCs w:val="20"/>
              </w:rPr>
            </w:pPr>
            <w:r w:rsidRPr="00A34F10">
              <w:rPr>
                <w:sz w:val="20"/>
                <w:szCs w:val="20"/>
              </w:rPr>
              <w:t>52.8</w:t>
            </w:r>
          </w:p>
        </w:tc>
        <w:tc>
          <w:tcPr>
            <w:tcW w:w="1032" w:type="pct"/>
            <w:vAlign w:val="center"/>
          </w:tcPr>
          <w:p w14:paraId="729BE35C" w14:textId="77777777" w:rsidR="00DC5685" w:rsidRPr="00A34F10" w:rsidRDefault="00DC5685" w:rsidP="00DC5685">
            <w:pPr>
              <w:keepNext/>
              <w:keepLines/>
              <w:rPr>
                <w:sz w:val="20"/>
                <w:szCs w:val="20"/>
              </w:rPr>
            </w:pPr>
            <w:r w:rsidRPr="00A34F10">
              <w:rPr>
                <w:sz w:val="20"/>
                <w:szCs w:val="20"/>
              </w:rPr>
              <w:t>18.115</w:t>
            </w:r>
          </w:p>
        </w:tc>
      </w:tr>
      <w:tr w:rsidR="00DC5685" w:rsidRPr="00A34F10" w14:paraId="72A8D2D7" w14:textId="77777777" w:rsidTr="000470C3">
        <w:tc>
          <w:tcPr>
            <w:tcW w:w="555" w:type="pct"/>
            <w:vMerge/>
            <w:vAlign w:val="center"/>
          </w:tcPr>
          <w:p w14:paraId="5EB7A02D" w14:textId="77777777" w:rsidR="00DC5685" w:rsidRPr="00A34F10" w:rsidRDefault="00DC5685" w:rsidP="00DC5685">
            <w:pPr>
              <w:keepNext/>
              <w:keepLines/>
              <w:rPr>
                <w:bCs/>
                <w:sz w:val="20"/>
                <w:szCs w:val="20"/>
              </w:rPr>
            </w:pPr>
          </w:p>
        </w:tc>
        <w:tc>
          <w:tcPr>
            <w:tcW w:w="943" w:type="pct"/>
            <w:vAlign w:val="center"/>
          </w:tcPr>
          <w:p w14:paraId="4588CE4A"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2C5ED4F6"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4D1CA04E"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5E3EC05A" w14:textId="77777777" w:rsidR="00DC5685" w:rsidRPr="00A34F10" w:rsidRDefault="00DC5685" w:rsidP="00DC5685">
            <w:pPr>
              <w:keepNext/>
              <w:keepLines/>
              <w:rPr>
                <w:sz w:val="20"/>
                <w:szCs w:val="20"/>
              </w:rPr>
            </w:pPr>
            <w:r w:rsidRPr="00A34F10">
              <w:rPr>
                <w:sz w:val="20"/>
                <w:szCs w:val="20"/>
              </w:rPr>
              <w:t>52.6</w:t>
            </w:r>
          </w:p>
        </w:tc>
        <w:tc>
          <w:tcPr>
            <w:tcW w:w="1032" w:type="pct"/>
            <w:vAlign w:val="center"/>
          </w:tcPr>
          <w:p w14:paraId="28662BBE" w14:textId="77777777" w:rsidR="00DC5685" w:rsidRPr="00A34F10" w:rsidRDefault="00DC5685" w:rsidP="00DC5685">
            <w:pPr>
              <w:keepNext/>
              <w:keepLines/>
              <w:rPr>
                <w:sz w:val="20"/>
                <w:szCs w:val="20"/>
              </w:rPr>
            </w:pPr>
            <w:r w:rsidRPr="00A34F10">
              <w:rPr>
                <w:sz w:val="20"/>
                <w:szCs w:val="20"/>
              </w:rPr>
              <w:t>18.952</w:t>
            </w:r>
          </w:p>
        </w:tc>
      </w:tr>
      <w:tr w:rsidR="00DC5685" w:rsidRPr="00A34F10" w14:paraId="42DBFB43" w14:textId="77777777" w:rsidTr="000470C3">
        <w:tc>
          <w:tcPr>
            <w:tcW w:w="555" w:type="pct"/>
            <w:vMerge w:val="restart"/>
            <w:vAlign w:val="center"/>
          </w:tcPr>
          <w:p w14:paraId="51AD727F" w14:textId="77777777" w:rsidR="00DC5685" w:rsidRPr="00A34F10" w:rsidRDefault="00DC5685" w:rsidP="00DC5685">
            <w:pPr>
              <w:keepNext/>
              <w:keepLines/>
              <w:rPr>
                <w:bCs/>
                <w:sz w:val="20"/>
                <w:szCs w:val="20"/>
              </w:rPr>
            </w:pPr>
            <w:r w:rsidRPr="00A34F10">
              <w:rPr>
                <w:bCs/>
                <w:sz w:val="20"/>
                <w:szCs w:val="20"/>
              </w:rPr>
              <w:t>Corn</w:t>
            </w:r>
          </w:p>
        </w:tc>
        <w:tc>
          <w:tcPr>
            <w:tcW w:w="943" w:type="pct"/>
            <w:vAlign w:val="center"/>
          </w:tcPr>
          <w:p w14:paraId="060E5DAA" w14:textId="77777777" w:rsidR="00DC5685" w:rsidRPr="00A34F10" w:rsidRDefault="00DC5685" w:rsidP="00DC5685">
            <w:pPr>
              <w:keepNext/>
              <w:keepLines/>
              <w:rPr>
                <w:b/>
                <w:sz w:val="20"/>
                <w:szCs w:val="20"/>
              </w:rPr>
            </w:pPr>
            <w:r w:rsidRPr="00A34F10">
              <w:rPr>
                <w:bCs/>
                <w:sz w:val="20"/>
                <w:szCs w:val="20"/>
              </w:rPr>
              <w:t>0.0</w:t>
            </w:r>
          </w:p>
        </w:tc>
        <w:tc>
          <w:tcPr>
            <w:tcW w:w="749" w:type="pct"/>
            <w:vAlign w:val="center"/>
          </w:tcPr>
          <w:p w14:paraId="702BE8F8"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5F95645C"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0137F76A" w14:textId="77777777" w:rsidR="00DC5685" w:rsidRPr="00A34F10" w:rsidRDefault="00DC5685" w:rsidP="00DC5685">
            <w:pPr>
              <w:keepNext/>
              <w:keepLines/>
              <w:rPr>
                <w:sz w:val="20"/>
                <w:szCs w:val="20"/>
              </w:rPr>
            </w:pPr>
            <w:r w:rsidRPr="00A34F10">
              <w:rPr>
                <w:sz w:val="20"/>
                <w:szCs w:val="20"/>
              </w:rPr>
              <w:t>162.0</w:t>
            </w:r>
          </w:p>
        </w:tc>
        <w:tc>
          <w:tcPr>
            <w:tcW w:w="1032" w:type="pct"/>
            <w:vAlign w:val="center"/>
          </w:tcPr>
          <w:p w14:paraId="5B1B56C0" w14:textId="77777777" w:rsidR="00DC5685" w:rsidRPr="00A34F10" w:rsidRDefault="00DC5685" w:rsidP="00DC5685">
            <w:pPr>
              <w:keepNext/>
              <w:keepLines/>
              <w:rPr>
                <w:sz w:val="20"/>
                <w:szCs w:val="20"/>
              </w:rPr>
            </w:pPr>
            <w:r w:rsidRPr="00A34F10">
              <w:rPr>
                <w:sz w:val="20"/>
                <w:szCs w:val="20"/>
              </w:rPr>
              <w:t>145.550</w:t>
            </w:r>
          </w:p>
        </w:tc>
      </w:tr>
      <w:tr w:rsidR="00DC5685" w:rsidRPr="00A34F10" w14:paraId="558148F9" w14:textId="77777777" w:rsidTr="000470C3">
        <w:tc>
          <w:tcPr>
            <w:tcW w:w="555" w:type="pct"/>
            <w:vMerge/>
            <w:vAlign w:val="center"/>
          </w:tcPr>
          <w:p w14:paraId="0C4313C8" w14:textId="77777777" w:rsidR="00DC5685" w:rsidRPr="00A34F10" w:rsidRDefault="00DC5685" w:rsidP="00DC5685">
            <w:pPr>
              <w:keepNext/>
              <w:keepLines/>
              <w:rPr>
                <w:b/>
                <w:sz w:val="20"/>
                <w:szCs w:val="20"/>
              </w:rPr>
            </w:pPr>
          </w:p>
        </w:tc>
        <w:tc>
          <w:tcPr>
            <w:tcW w:w="943" w:type="pct"/>
            <w:vAlign w:val="center"/>
          </w:tcPr>
          <w:p w14:paraId="045A9C5A" w14:textId="77777777" w:rsidR="00DC5685" w:rsidRPr="00A34F10" w:rsidRDefault="00DC5685" w:rsidP="00DC5685">
            <w:pPr>
              <w:keepNext/>
              <w:keepLines/>
              <w:rPr>
                <w:b/>
                <w:sz w:val="20"/>
                <w:szCs w:val="20"/>
              </w:rPr>
            </w:pPr>
            <w:r w:rsidRPr="00A34F10">
              <w:rPr>
                <w:bCs/>
                <w:sz w:val="20"/>
                <w:szCs w:val="20"/>
              </w:rPr>
              <w:t>3.85</w:t>
            </w:r>
          </w:p>
        </w:tc>
        <w:tc>
          <w:tcPr>
            <w:tcW w:w="749" w:type="pct"/>
            <w:vAlign w:val="center"/>
          </w:tcPr>
          <w:p w14:paraId="232CE11E" w14:textId="77777777" w:rsidR="00DC5685" w:rsidRPr="00A34F10" w:rsidRDefault="00DC5685" w:rsidP="00DC5685">
            <w:pPr>
              <w:keepNext/>
              <w:keepLines/>
              <w:rPr>
                <w:b/>
                <w:sz w:val="20"/>
                <w:szCs w:val="20"/>
              </w:rPr>
            </w:pPr>
            <w:r w:rsidRPr="00A34F10">
              <w:rPr>
                <w:sz w:val="20"/>
                <w:szCs w:val="20"/>
              </w:rPr>
              <w:t>100</w:t>
            </w:r>
          </w:p>
        </w:tc>
        <w:tc>
          <w:tcPr>
            <w:tcW w:w="973" w:type="pct"/>
            <w:vAlign w:val="center"/>
          </w:tcPr>
          <w:p w14:paraId="0BC50D20" w14:textId="77777777" w:rsidR="00DC5685" w:rsidRPr="00A34F10" w:rsidRDefault="00DC5685" w:rsidP="00DC5685">
            <w:pPr>
              <w:keepNext/>
              <w:keepLines/>
              <w:rPr>
                <w:sz w:val="20"/>
                <w:szCs w:val="20"/>
              </w:rPr>
            </w:pPr>
            <w:r w:rsidRPr="00A34F10">
              <w:rPr>
                <w:sz w:val="20"/>
                <w:szCs w:val="20"/>
              </w:rPr>
              <w:t>0</w:t>
            </w:r>
          </w:p>
        </w:tc>
        <w:tc>
          <w:tcPr>
            <w:tcW w:w="748" w:type="pct"/>
            <w:vAlign w:val="center"/>
          </w:tcPr>
          <w:p w14:paraId="21953435" w14:textId="77777777" w:rsidR="00DC5685" w:rsidRPr="00A34F10" w:rsidRDefault="00DC5685" w:rsidP="00DC5685">
            <w:pPr>
              <w:keepNext/>
              <w:keepLines/>
              <w:rPr>
                <w:sz w:val="20"/>
                <w:szCs w:val="20"/>
              </w:rPr>
            </w:pPr>
            <w:r w:rsidRPr="00A34F10">
              <w:rPr>
                <w:sz w:val="20"/>
                <w:szCs w:val="20"/>
              </w:rPr>
              <w:t>159.0</w:t>
            </w:r>
          </w:p>
        </w:tc>
        <w:tc>
          <w:tcPr>
            <w:tcW w:w="1032" w:type="pct"/>
            <w:vAlign w:val="center"/>
          </w:tcPr>
          <w:p w14:paraId="740095D7" w14:textId="77777777" w:rsidR="00DC5685" w:rsidRPr="00A34F10" w:rsidRDefault="00DC5685" w:rsidP="00DC5685">
            <w:pPr>
              <w:keepNext/>
              <w:keepLines/>
              <w:rPr>
                <w:sz w:val="20"/>
                <w:szCs w:val="20"/>
              </w:rPr>
            </w:pPr>
            <w:r w:rsidRPr="00A34F10">
              <w:rPr>
                <w:sz w:val="20"/>
                <w:szCs w:val="20"/>
              </w:rPr>
              <w:t>137.565</w:t>
            </w:r>
          </w:p>
        </w:tc>
      </w:tr>
    </w:tbl>
    <w:p w14:paraId="5BD959A3" w14:textId="77777777" w:rsidR="00DC5685" w:rsidRPr="00A34F10" w:rsidRDefault="00DC5685" w:rsidP="00DC5685">
      <w:pPr>
        <w:keepNext/>
        <w:keepLines/>
        <w:spacing w:after="360"/>
        <w:rPr>
          <w:sz w:val="18"/>
          <w:szCs w:val="18"/>
        </w:rPr>
      </w:pPr>
      <w:r w:rsidRPr="00A34F10">
        <w:rPr>
          <w:sz w:val="18"/>
          <w:szCs w:val="18"/>
        </w:rPr>
        <w:t>Treatment not significantly different to control</w:t>
      </w:r>
    </w:p>
    <w:p w14:paraId="3C50B29C" w14:textId="77777777" w:rsidR="00DC5685" w:rsidRPr="00A34F10" w:rsidRDefault="00DC5685" w:rsidP="00E05ECD">
      <w:pPr>
        <w:numPr>
          <w:ilvl w:val="0"/>
          <w:numId w:val="114"/>
        </w:numPr>
        <w:ind w:left="357" w:hanging="357"/>
        <w:contextualSpacing/>
        <w:rPr>
          <w:b/>
          <w:bCs/>
          <w:caps/>
          <w:szCs w:val="24"/>
          <w:lang w:val="en-GB"/>
        </w:rPr>
      </w:pPr>
      <w:r w:rsidRPr="00A34F10">
        <w:rPr>
          <w:b/>
          <w:bCs/>
          <w:caps/>
          <w:szCs w:val="24"/>
          <w:lang w:val="en-GB"/>
        </w:rPr>
        <w:t>ANALYTICAL RESULTS</w:t>
      </w:r>
    </w:p>
    <w:p w14:paraId="7EE0CFD4" w14:textId="77777777" w:rsidR="00DC5685" w:rsidRPr="00A34F10" w:rsidRDefault="00DC5685" w:rsidP="00DC5685">
      <w:pPr>
        <w:tabs>
          <w:tab w:val="left" w:pos="0"/>
        </w:tabs>
        <w:ind w:left="357" w:hanging="357"/>
        <w:contextualSpacing/>
        <w:rPr>
          <w:b/>
          <w:bCs/>
          <w:caps/>
          <w:szCs w:val="24"/>
          <w:lang w:val="en-GB"/>
        </w:rPr>
      </w:pPr>
    </w:p>
    <w:p w14:paraId="1191EAF5" w14:textId="77777777" w:rsidR="00DC5685" w:rsidRPr="00A34F10" w:rsidRDefault="00DC5685" w:rsidP="00DC5685">
      <w:pPr>
        <w:autoSpaceDE w:val="0"/>
        <w:autoSpaceDN w:val="0"/>
        <w:adjustRightInd w:val="0"/>
        <w:spacing w:after="240"/>
        <w:jc w:val="both"/>
        <w:rPr>
          <w:b/>
          <w:bCs/>
          <w:caps/>
          <w:lang w:val="en-GB"/>
        </w:rPr>
      </w:pPr>
      <w:r w:rsidRPr="00A34F10">
        <w:rPr>
          <w:lang w:val="en-GB"/>
        </w:rPr>
        <w:t>The laboratorial verification of the spray concentration at the tested rate was 83 % and thus reflecting the theoretical value. In the untreated specimen (control), no residue of BAS 743 02 F was found.</w:t>
      </w:r>
    </w:p>
    <w:p w14:paraId="25EF850F" w14:textId="77777777" w:rsidR="00DC5685" w:rsidRPr="00A34F10" w:rsidRDefault="00DC5685" w:rsidP="00E05ECD">
      <w:pPr>
        <w:numPr>
          <w:ilvl w:val="0"/>
          <w:numId w:val="114"/>
        </w:numPr>
        <w:ind w:left="357" w:hanging="357"/>
        <w:contextualSpacing/>
        <w:rPr>
          <w:b/>
          <w:bCs/>
          <w:caps/>
          <w:szCs w:val="24"/>
          <w:lang w:val="en-GB"/>
        </w:rPr>
      </w:pPr>
      <w:r w:rsidRPr="00A34F10">
        <w:rPr>
          <w:b/>
          <w:bCs/>
          <w:caps/>
          <w:szCs w:val="24"/>
          <w:lang w:val="en-GB"/>
        </w:rPr>
        <w:t>VALIDITY CRITERIA</w:t>
      </w:r>
    </w:p>
    <w:p w14:paraId="70D051EF" w14:textId="77777777" w:rsidR="00DC5685" w:rsidRPr="00A34F10" w:rsidRDefault="00DC5685" w:rsidP="00DC5685">
      <w:pPr>
        <w:tabs>
          <w:tab w:val="left" w:pos="0"/>
        </w:tabs>
        <w:ind w:left="357" w:hanging="357"/>
        <w:contextualSpacing/>
        <w:rPr>
          <w:caps/>
          <w:szCs w:val="24"/>
          <w:lang w:val="en-GB"/>
        </w:rPr>
      </w:pPr>
    </w:p>
    <w:p w14:paraId="02E43497" w14:textId="77777777" w:rsidR="00DC5685" w:rsidRPr="00A34F10" w:rsidRDefault="00DC5685" w:rsidP="00DC5685">
      <w:pPr>
        <w:tabs>
          <w:tab w:val="left" w:pos="709"/>
        </w:tabs>
        <w:spacing w:after="240"/>
        <w:contextualSpacing/>
        <w:jc w:val="both"/>
        <w:rPr>
          <w:szCs w:val="24"/>
          <w:lang w:val="en-GB"/>
        </w:rPr>
      </w:pPr>
      <w:r w:rsidRPr="00A34F10">
        <w:rPr>
          <w:szCs w:val="24"/>
          <w:lang w:val="en-GB"/>
        </w:rPr>
        <w:t>All validity criteria were met.</w:t>
      </w:r>
    </w:p>
    <w:p w14:paraId="07C23497" w14:textId="77777777" w:rsidR="00DC5685" w:rsidRPr="00A34F10" w:rsidRDefault="00DC5685" w:rsidP="00DC5685">
      <w:pPr>
        <w:tabs>
          <w:tab w:val="left" w:pos="709"/>
        </w:tabs>
        <w:spacing w:after="240"/>
        <w:contextualSpacing/>
        <w:jc w:val="both"/>
        <w:rPr>
          <w:szCs w:val="24"/>
          <w:highlight w:val="yellow"/>
          <w:lang w:val="en-GB"/>
        </w:rPr>
      </w:pPr>
    </w:p>
    <w:p w14:paraId="40682D05" w14:textId="2E9DCFB4" w:rsidR="00DC5685" w:rsidRPr="00094125" w:rsidRDefault="00BD351F" w:rsidP="00BD351F">
      <w:pPr>
        <w:pStyle w:val="Legenda"/>
        <w:rPr>
          <w:color w:val="000000"/>
          <w:highlight w:val="yellow"/>
        </w:rPr>
      </w:pPr>
      <w:r>
        <w:t xml:space="preserve">Table A </w:t>
      </w:r>
      <w:r>
        <w:fldChar w:fldCharType="begin"/>
      </w:r>
      <w:r>
        <w:instrText xml:space="preserve"> SEQ Table_A \* ARABIC </w:instrText>
      </w:r>
      <w:r>
        <w:fldChar w:fldCharType="separate"/>
      </w:r>
      <w:r w:rsidR="006F0F3B">
        <w:rPr>
          <w:noProof/>
        </w:rPr>
        <w:t>102</w:t>
      </w:r>
      <w:r>
        <w:fldChar w:fldCharType="end"/>
      </w:r>
      <w:r w:rsidR="00094125" w:rsidRPr="00094125">
        <w:t>:</w:t>
      </w:r>
      <w:r w:rsidR="00DC5685" w:rsidRPr="00094125">
        <w:rPr>
          <w:color w:val="000000"/>
        </w:rPr>
        <w:tab/>
        <w:t>Validity criteria</w:t>
      </w:r>
    </w:p>
    <w:tbl>
      <w:tblPr>
        <w:tblStyle w:val="Tabela-Siatka"/>
        <w:tblW w:w="5000" w:type="pct"/>
        <w:tblLook w:val="04A0" w:firstRow="1" w:lastRow="0" w:firstColumn="1" w:lastColumn="0" w:noHBand="0" w:noVBand="1"/>
      </w:tblPr>
      <w:tblGrid>
        <w:gridCol w:w="4274"/>
        <w:gridCol w:w="5070"/>
      </w:tblGrid>
      <w:tr w:rsidR="00DC5685" w:rsidRPr="00A34F10" w14:paraId="01942F69" w14:textId="77777777" w:rsidTr="000470C3">
        <w:tc>
          <w:tcPr>
            <w:tcW w:w="5000" w:type="pct"/>
            <w:gridSpan w:val="2"/>
          </w:tcPr>
          <w:p w14:paraId="7793F112" w14:textId="77777777" w:rsidR="00DC5685" w:rsidRPr="00A34F10" w:rsidRDefault="00DC5685" w:rsidP="00DC5685">
            <w:pPr>
              <w:keepNext/>
              <w:keepLines/>
              <w:autoSpaceDE w:val="0"/>
              <w:autoSpaceDN w:val="0"/>
              <w:adjustRightInd w:val="0"/>
              <w:spacing w:before="60"/>
              <w:jc w:val="left"/>
              <w:rPr>
                <w:sz w:val="20"/>
                <w:szCs w:val="20"/>
              </w:rPr>
            </w:pPr>
            <w:r w:rsidRPr="00A34F10">
              <w:rPr>
                <w:b/>
                <w:bCs/>
                <w:sz w:val="20"/>
                <w:szCs w:val="20"/>
              </w:rPr>
              <w:t>Validity criteria according to OECD 227 (2006)</w:t>
            </w:r>
          </w:p>
        </w:tc>
      </w:tr>
      <w:tr w:rsidR="00DC5685" w:rsidRPr="00A34F10" w14:paraId="40C31380" w14:textId="77777777" w:rsidTr="000470C3">
        <w:tc>
          <w:tcPr>
            <w:tcW w:w="2287" w:type="pct"/>
          </w:tcPr>
          <w:p w14:paraId="2CEB89F7"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Plant survival in the untreated control:</w:t>
            </w:r>
          </w:p>
        </w:tc>
        <w:tc>
          <w:tcPr>
            <w:tcW w:w="2713" w:type="pct"/>
          </w:tcPr>
          <w:p w14:paraId="631892C2" w14:textId="77777777" w:rsidR="00DC5685" w:rsidRPr="00A34F10" w:rsidRDefault="00DC5685" w:rsidP="00DC5685">
            <w:pPr>
              <w:autoSpaceDE w:val="0"/>
              <w:autoSpaceDN w:val="0"/>
              <w:adjustRightInd w:val="0"/>
              <w:spacing w:before="60"/>
              <w:jc w:val="left"/>
              <w:rPr>
                <w:color w:val="000000" w:themeColor="text1"/>
                <w:sz w:val="20"/>
                <w:szCs w:val="20"/>
              </w:rPr>
            </w:pPr>
            <w:r w:rsidRPr="00A34F10">
              <w:rPr>
                <w:color w:val="000000" w:themeColor="text1"/>
                <w:sz w:val="20"/>
                <w:szCs w:val="20"/>
              </w:rPr>
              <w:t>≥ 90%; validity criterion was met (observed: 100%).</w:t>
            </w:r>
          </w:p>
        </w:tc>
      </w:tr>
      <w:tr w:rsidR="00DC5685" w:rsidRPr="00A34F10" w14:paraId="36ED8F1B" w14:textId="77777777" w:rsidTr="000470C3">
        <w:tc>
          <w:tcPr>
            <w:tcW w:w="2287" w:type="pct"/>
          </w:tcPr>
          <w:p w14:paraId="16CFF0C4" w14:textId="77777777" w:rsidR="00DC5685" w:rsidRPr="00A34F10" w:rsidRDefault="00DC5685" w:rsidP="00DC5685">
            <w:pPr>
              <w:autoSpaceDE w:val="0"/>
              <w:autoSpaceDN w:val="0"/>
              <w:adjustRightInd w:val="0"/>
              <w:spacing w:before="60"/>
              <w:jc w:val="left"/>
              <w:rPr>
                <w:sz w:val="20"/>
                <w:szCs w:val="20"/>
              </w:rPr>
            </w:pPr>
            <w:r w:rsidRPr="00A34F10">
              <w:rPr>
                <w:sz w:val="20"/>
                <w:szCs w:val="20"/>
              </w:rPr>
              <w:t>Seedling emergence rate:</w:t>
            </w:r>
          </w:p>
        </w:tc>
        <w:tc>
          <w:tcPr>
            <w:tcW w:w="2713" w:type="pct"/>
          </w:tcPr>
          <w:p w14:paraId="42544BD2" w14:textId="77777777" w:rsidR="00DC5685" w:rsidRPr="00A34F10" w:rsidRDefault="00DC5685" w:rsidP="00DC5685">
            <w:pPr>
              <w:autoSpaceDE w:val="0"/>
              <w:autoSpaceDN w:val="0"/>
              <w:adjustRightInd w:val="0"/>
              <w:spacing w:before="60"/>
              <w:jc w:val="left"/>
              <w:rPr>
                <w:color w:val="000000" w:themeColor="text1"/>
                <w:sz w:val="20"/>
                <w:szCs w:val="20"/>
              </w:rPr>
            </w:pPr>
            <w:r w:rsidRPr="00A34F10">
              <w:rPr>
                <w:color w:val="000000" w:themeColor="text1"/>
                <w:sz w:val="20"/>
                <w:szCs w:val="20"/>
              </w:rPr>
              <w:t xml:space="preserve">≥ 70%, validity criterion was met (observed: 80-100 %). </w:t>
            </w:r>
          </w:p>
        </w:tc>
      </w:tr>
      <w:tr w:rsidR="00DC5685" w:rsidRPr="00A34F10" w14:paraId="535963C5" w14:textId="77777777" w:rsidTr="000470C3">
        <w:tc>
          <w:tcPr>
            <w:tcW w:w="2287" w:type="pct"/>
          </w:tcPr>
          <w:p w14:paraId="5297D427" w14:textId="77777777" w:rsidR="00DC5685" w:rsidRPr="00A34F10" w:rsidRDefault="00DC5685" w:rsidP="00DC5685">
            <w:pPr>
              <w:autoSpaceDE w:val="0"/>
              <w:autoSpaceDN w:val="0"/>
              <w:adjustRightInd w:val="0"/>
              <w:jc w:val="left"/>
              <w:rPr>
                <w:sz w:val="20"/>
                <w:szCs w:val="20"/>
              </w:rPr>
            </w:pPr>
            <w:r w:rsidRPr="00A34F10">
              <w:rPr>
                <w:sz w:val="20"/>
                <w:szCs w:val="20"/>
              </w:rPr>
              <w:t xml:space="preserve">Growth and Morphology of the Control Plants: </w:t>
            </w:r>
          </w:p>
        </w:tc>
        <w:tc>
          <w:tcPr>
            <w:tcW w:w="2713" w:type="pct"/>
          </w:tcPr>
          <w:p w14:paraId="25B2B1BD" w14:textId="77777777" w:rsidR="00DC5685" w:rsidRPr="00A34F10" w:rsidRDefault="00DC5685" w:rsidP="00DC5685">
            <w:pPr>
              <w:keepNext/>
              <w:jc w:val="left"/>
              <w:rPr>
                <w:sz w:val="20"/>
                <w:szCs w:val="20"/>
              </w:rPr>
            </w:pPr>
            <w:r w:rsidRPr="00A34F10">
              <w:rPr>
                <w:sz w:val="20"/>
                <w:szCs w:val="20"/>
              </w:rPr>
              <w:t xml:space="preserve">The control seedlings exhibited no visible phytotoxic effects </w:t>
            </w:r>
          </w:p>
        </w:tc>
      </w:tr>
    </w:tbl>
    <w:p w14:paraId="27555AAE" w14:textId="77777777" w:rsidR="00DC5685" w:rsidRPr="00A34F10" w:rsidRDefault="00DC5685" w:rsidP="00E05ECD">
      <w:pPr>
        <w:numPr>
          <w:ilvl w:val="0"/>
          <w:numId w:val="114"/>
        </w:numPr>
        <w:spacing w:before="240"/>
        <w:ind w:left="357" w:hanging="357"/>
        <w:rPr>
          <w:b/>
          <w:bCs/>
          <w:caps/>
          <w:szCs w:val="24"/>
          <w:lang w:val="en-GB"/>
        </w:rPr>
      </w:pPr>
      <w:r w:rsidRPr="00A34F10">
        <w:rPr>
          <w:b/>
          <w:bCs/>
          <w:caps/>
          <w:szCs w:val="24"/>
          <w:lang w:val="en-GB"/>
        </w:rPr>
        <w:t>DEFICIENCIES</w:t>
      </w:r>
    </w:p>
    <w:p w14:paraId="10847E16" w14:textId="77777777" w:rsidR="00DC5685" w:rsidRPr="00A34F10" w:rsidRDefault="00DC5685" w:rsidP="00DC5685">
      <w:pPr>
        <w:jc w:val="both"/>
        <w:rPr>
          <w:b/>
          <w:bCs/>
          <w:caps/>
          <w:szCs w:val="24"/>
          <w:lang w:val="en-GB"/>
        </w:rPr>
      </w:pPr>
    </w:p>
    <w:p w14:paraId="45E5C04C" w14:textId="3876F99C" w:rsidR="0080651D" w:rsidRDefault="00DC5685" w:rsidP="00DC5685">
      <w:pPr>
        <w:spacing w:after="240"/>
        <w:jc w:val="both"/>
      </w:pPr>
      <w:r w:rsidRPr="00A34F10">
        <w:t>None.</w:t>
      </w:r>
    </w:p>
    <w:p w14:paraId="1A0F0731" w14:textId="77777777" w:rsidR="00DC5685" w:rsidRPr="00A34F10" w:rsidRDefault="00DC5685" w:rsidP="00E05ECD">
      <w:pPr>
        <w:keepNext/>
        <w:numPr>
          <w:ilvl w:val="0"/>
          <w:numId w:val="109"/>
        </w:numPr>
        <w:spacing w:after="240"/>
        <w:ind w:left="1077"/>
        <w:jc w:val="center"/>
        <w:rPr>
          <w:b/>
        </w:rPr>
      </w:pPr>
      <w:r w:rsidRPr="00A34F10">
        <w:rPr>
          <w:b/>
        </w:rPr>
        <w:t>CONCLUSION</w:t>
      </w:r>
    </w:p>
    <w:p w14:paraId="4D93A5A3" w14:textId="6197D566" w:rsidR="0080651D" w:rsidRDefault="00DC5685" w:rsidP="00DC5685">
      <w:pPr>
        <w:widowControl w:val="0"/>
        <w:jc w:val="both"/>
        <w:rPr>
          <w:color w:val="000000" w:themeColor="text1"/>
          <w:szCs w:val="24"/>
        </w:rPr>
      </w:pPr>
      <w:r w:rsidRPr="00A34F10">
        <w:rPr>
          <w:szCs w:val="24"/>
        </w:rPr>
        <w:t>Based on the results of this study, conducted under greenhouse conditions, it can be concluded that BAS 743 02 F applied post-emergence at a rate of 3.85 L product/ha did not cause effects to visual plant phytotoxicity</w:t>
      </w:r>
      <w:r w:rsidRPr="00A34F10">
        <w:rPr>
          <w:color w:val="000000" w:themeColor="text1"/>
          <w:szCs w:val="24"/>
        </w:rPr>
        <w:t>, plant survival, plant length and plant dry biomass for all tested plant species. For all tested species an ER</w:t>
      </w:r>
      <w:r w:rsidRPr="00A34F10">
        <w:rPr>
          <w:color w:val="000000" w:themeColor="text1"/>
          <w:szCs w:val="24"/>
          <w:vertAlign w:val="subscript"/>
        </w:rPr>
        <w:t>50</w:t>
      </w:r>
      <w:r w:rsidRPr="00A34F10">
        <w:rPr>
          <w:color w:val="000000" w:themeColor="text1"/>
          <w:szCs w:val="24"/>
        </w:rPr>
        <w:t xml:space="preserve"> &gt; 3.85 L product/ha based on the aforementioned endpoints was determined.</w:t>
      </w:r>
    </w:p>
    <w:p w14:paraId="671D1412" w14:textId="77777777" w:rsidR="00DC5685" w:rsidRPr="00A34F10" w:rsidRDefault="00DC5685" w:rsidP="00DC5685">
      <w:pPr>
        <w:widowControl w:val="0"/>
        <w:jc w:val="both"/>
      </w:pPr>
    </w:p>
    <w:p w14:paraId="344638F4" w14:textId="77777777" w:rsidR="00DC5685" w:rsidRPr="00A34F10" w:rsidRDefault="00DC5685" w:rsidP="00094125">
      <w:pPr>
        <w:pStyle w:val="RepAppendix3"/>
      </w:pPr>
      <w:bookmarkStart w:id="1207" w:name="_Toc413922108"/>
      <w:bookmarkStart w:id="1208" w:name="_Toc413922597"/>
      <w:bookmarkStart w:id="1209" w:name="_Toc413922701"/>
      <w:bookmarkStart w:id="1210" w:name="_Toc414955338"/>
      <w:bookmarkStart w:id="1211" w:name="_Toc415214645"/>
      <w:bookmarkStart w:id="1212" w:name="_Toc181625035"/>
      <w:r w:rsidRPr="00A34F10">
        <w:t xml:space="preserve">KCP 10.6.2 </w:t>
      </w:r>
      <w:r w:rsidRPr="00A34F10">
        <w:tab/>
        <w:t>Testing on non-target plants</w:t>
      </w:r>
      <w:bookmarkEnd w:id="1207"/>
      <w:bookmarkEnd w:id="1208"/>
      <w:bookmarkEnd w:id="1209"/>
      <w:bookmarkEnd w:id="1210"/>
      <w:bookmarkEnd w:id="1211"/>
      <w:bookmarkEnd w:id="1212"/>
    </w:p>
    <w:p w14:paraId="0503C136" w14:textId="77777777" w:rsidR="00DC5685" w:rsidRDefault="00DC5685" w:rsidP="00DC5685">
      <w:pPr>
        <w:widowControl w:val="0"/>
        <w:jc w:val="both"/>
        <w:rPr>
          <w:color w:val="000000" w:themeColor="text1"/>
        </w:rPr>
      </w:pPr>
      <w:bookmarkStart w:id="1213" w:name="_Hlk135689414"/>
      <w:r w:rsidRPr="00A34F10">
        <w:rPr>
          <w:color w:val="000000" w:themeColor="text1"/>
        </w:rPr>
        <w:t>No new studies are available.</w:t>
      </w:r>
      <w:bookmarkEnd w:id="1213"/>
    </w:p>
    <w:p w14:paraId="2C9E69CC" w14:textId="77777777" w:rsidR="00064B77" w:rsidRPr="00A34F10" w:rsidRDefault="00064B77" w:rsidP="00DC5685">
      <w:pPr>
        <w:widowControl w:val="0"/>
        <w:jc w:val="both"/>
      </w:pPr>
    </w:p>
    <w:p w14:paraId="7C17DC8D" w14:textId="77777777" w:rsidR="00DC5685" w:rsidRPr="00A34F10" w:rsidRDefault="00DC5685" w:rsidP="00094125">
      <w:pPr>
        <w:pStyle w:val="RepAppendix3"/>
      </w:pPr>
      <w:bookmarkStart w:id="1214" w:name="_Toc413922109"/>
      <w:bookmarkStart w:id="1215" w:name="_Toc413922598"/>
      <w:bookmarkStart w:id="1216" w:name="_Toc413922702"/>
      <w:bookmarkStart w:id="1217" w:name="_Toc414955339"/>
      <w:bookmarkStart w:id="1218" w:name="_Toc415214646"/>
      <w:bookmarkStart w:id="1219" w:name="_Toc181625036"/>
      <w:r w:rsidRPr="00A34F10">
        <w:t xml:space="preserve">KCP 10.6.3 </w:t>
      </w:r>
      <w:r w:rsidRPr="00A34F10">
        <w:tab/>
        <w:t>Extended laboratory studies on non-target plants</w:t>
      </w:r>
      <w:bookmarkEnd w:id="1214"/>
      <w:bookmarkEnd w:id="1215"/>
      <w:bookmarkEnd w:id="1216"/>
      <w:bookmarkEnd w:id="1217"/>
      <w:bookmarkEnd w:id="1218"/>
      <w:bookmarkEnd w:id="1219"/>
    </w:p>
    <w:p w14:paraId="3A75064F" w14:textId="77777777" w:rsidR="00DC5685" w:rsidRDefault="00DC5685" w:rsidP="00DC5685">
      <w:pPr>
        <w:widowControl w:val="0"/>
        <w:jc w:val="both"/>
        <w:rPr>
          <w:color w:val="000000" w:themeColor="text1"/>
          <w:lang w:val="en-GB"/>
        </w:rPr>
      </w:pPr>
      <w:bookmarkStart w:id="1220" w:name="_Hlk135689433"/>
      <w:r w:rsidRPr="00A34F10">
        <w:rPr>
          <w:color w:val="000000" w:themeColor="text1"/>
          <w:lang w:val="en-GB"/>
        </w:rPr>
        <w:t xml:space="preserve">As </w:t>
      </w:r>
      <w:r w:rsidRPr="00A34F10">
        <w:rPr>
          <w:color w:val="000000" w:themeColor="text1"/>
        </w:rPr>
        <w:t xml:space="preserve">BAS 743 03 F </w:t>
      </w:r>
      <w:r w:rsidRPr="00A34F10">
        <w:rPr>
          <w:color w:val="000000" w:themeColor="text1"/>
          <w:lang w:val="en-GB"/>
        </w:rPr>
        <w:t>does not pose an unacceptable risk to non-target plants, further studies are not necessary.</w:t>
      </w:r>
      <w:bookmarkEnd w:id="1220"/>
    </w:p>
    <w:p w14:paraId="3BEA2C8A" w14:textId="77777777" w:rsidR="00064B77" w:rsidRPr="00040983" w:rsidRDefault="00064B77" w:rsidP="00DC5685">
      <w:pPr>
        <w:widowControl w:val="0"/>
        <w:jc w:val="both"/>
        <w:rPr>
          <w:lang w:val="en-GB"/>
        </w:rPr>
      </w:pPr>
    </w:p>
    <w:p w14:paraId="367FCC8E" w14:textId="77777777" w:rsidR="00DC5685" w:rsidRPr="00A34F10" w:rsidRDefault="00DC5685" w:rsidP="00094125">
      <w:pPr>
        <w:pStyle w:val="RepAppendix3"/>
      </w:pPr>
      <w:bookmarkStart w:id="1221" w:name="_Toc181625037"/>
      <w:r w:rsidRPr="00A34F10">
        <w:t xml:space="preserve">KCP 10.6.4 </w:t>
      </w:r>
      <w:r w:rsidRPr="00A34F10">
        <w:tab/>
        <w:t>Semi-field and field tests on non-target plants</w:t>
      </w:r>
      <w:bookmarkEnd w:id="1221"/>
    </w:p>
    <w:p w14:paraId="5FD744D7" w14:textId="77777777" w:rsidR="00DC5685" w:rsidRPr="00A34F10" w:rsidRDefault="00DC5685" w:rsidP="00DC5685">
      <w:pPr>
        <w:jc w:val="both"/>
        <w:rPr>
          <w:color w:val="000000"/>
        </w:rPr>
      </w:pPr>
      <w:r w:rsidRPr="00A34F10">
        <w:rPr>
          <w:color w:val="000000" w:themeColor="text1"/>
          <w:lang w:val="en-GB"/>
        </w:rPr>
        <w:t>As BAS 743 03 F does not pose an unacceptable risk to non-target plants, further studies are not necessary.</w:t>
      </w:r>
    </w:p>
    <w:p w14:paraId="42F4714F" w14:textId="77777777" w:rsidR="00DC5685" w:rsidRDefault="00DC5685" w:rsidP="002E7F42">
      <w:pPr>
        <w:pStyle w:val="StyleOECD-BASIS-TEXTLeft"/>
        <w:rPr>
          <w:sz w:val="22"/>
          <w:lang w:val="en-US"/>
        </w:rPr>
      </w:pPr>
    </w:p>
    <w:p w14:paraId="75344D12" w14:textId="77777777" w:rsidR="00A76A96" w:rsidRDefault="00A76A96" w:rsidP="002E7F42">
      <w:pPr>
        <w:pStyle w:val="StyleOECD-BASIS-TEXTLeft"/>
        <w:rPr>
          <w:sz w:val="22"/>
          <w:lang w:val="en-US"/>
        </w:rPr>
      </w:pPr>
    </w:p>
    <w:p w14:paraId="5783689A" w14:textId="77777777" w:rsidR="00A76A96" w:rsidRDefault="00A76A96" w:rsidP="002E7F42">
      <w:pPr>
        <w:pStyle w:val="StyleOECD-BASIS-TEXTLeft"/>
        <w:rPr>
          <w:sz w:val="22"/>
          <w:lang w:val="en-US"/>
        </w:rPr>
      </w:pPr>
    </w:p>
    <w:p w14:paraId="222C05B9" w14:textId="77777777" w:rsidR="00A76A96" w:rsidRDefault="00A76A96" w:rsidP="002E7F42">
      <w:pPr>
        <w:pStyle w:val="StyleOECD-BASIS-TEXTLeft"/>
        <w:rPr>
          <w:sz w:val="22"/>
          <w:lang w:val="en-US"/>
        </w:rPr>
      </w:pPr>
    </w:p>
    <w:p w14:paraId="01340B51" w14:textId="77777777" w:rsidR="00DC5685" w:rsidRPr="00A34F10" w:rsidRDefault="00DC5685" w:rsidP="00DC5685">
      <w:pPr>
        <w:pStyle w:val="RepAppendix2"/>
      </w:pPr>
      <w:bookmarkStart w:id="1222" w:name="_Toc413922110"/>
      <w:bookmarkStart w:id="1223" w:name="_Toc413922599"/>
      <w:bookmarkStart w:id="1224" w:name="_Toc413922703"/>
      <w:bookmarkStart w:id="1225" w:name="_Toc414955340"/>
      <w:bookmarkStart w:id="1226" w:name="_Toc415214647"/>
      <w:bookmarkStart w:id="1227" w:name="_Toc181625038"/>
      <w:r w:rsidRPr="00A34F10">
        <w:t xml:space="preserve">KCP 10.7 </w:t>
      </w:r>
      <w:r w:rsidRPr="00A34F10">
        <w:tab/>
        <w:t>Effects on other terrestrial organisms (flora and fauna)</w:t>
      </w:r>
      <w:bookmarkStart w:id="1228" w:name="_Toc413922111"/>
      <w:bookmarkStart w:id="1229" w:name="_Toc413922600"/>
      <w:bookmarkStart w:id="1230" w:name="_Toc413922704"/>
      <w:bookmarkStart w:id="1231" w:name="_Toc414955341"/>
      <w:bookmarkEnd w:id="1222"/>
      <w:bookmarkEnd w:id="1223"/>
      <w:bookmarkEnd w:id="1224"/>
      <w:bookmarkEnd w:id="1225"/>
      <w:bookmarkEnd w:id="1226"/>
      <w:bookmarkEnd w:id="1227"/>
    </w:p>
    <w:p w14:paraId="44A2DF58" w14:textId="77777777" w:rsidR="00DC5685" w:rsidRPr="00A34F10" w:rsidRDefault="00DC5685" w:rsidP="00DC5685">
      <w:pPr>
        <w:pStyle w:val="StyleOECD-BASIS-TEXTLeft"/>
        <w:rPr>
          <w:sz w:val="22"/>
          <w:lang w:val="en-US"/>
        </w:rPr>
      </w:pPr>
      <w:bookmarkStart w:id="1232" w:name="_Hlk135689518"/>
      <w:r w:rsidRPr="00A34F10">
        <w:rPr>
          <w:color w:val="000000" w:themeColor="text1"/>
          <w:lang w:val="en-US"/>
        </w:rPr>
        <w:t>No further data submitted.</w:t>
      </w:r>
      <w:bookmarkEnd w:id="1228"/>
      <w:bookmarkEnd w:id="1229"/>
      <w:bookmarkEnd w:id="1230"/>
      <w:bookmarkEnd w:id="1231"/>
      <w:bookmarkEnd w:id="1232"/>
    </w:p>
    <w:p w14:paraId="6D1F4485" w14:textId="77777777" w:rsidR="00DC5685" w:rsidRDefault="00DC5685" w:rsidP="002E7F42">
      <w:pPr>
        <w:pStyle w:val="StyleOECD-BASIS-TEXTLeft"/>
        <w:rPr>
          <w:sz w:val="22"/>
          <w:lang w:val="en-US"/>
        </w:rPr>
      </w:pPr>
    </w:p>
    <w:p w14:paraId="2C143E84" w14:textId="77777777" w:rsidR="00665CF7" w:rsidRDefault="00665CF7" w:rsidP="002E7F42">
      <w:pPr>
        <w:pStyle w:val="StyleOECD-BASIS-TEXTLeft"/>
        <w:rPr>
          <w:sz w:val="22"/>
          <w:lang w:val="en-US"/>
        </w:rPr>
      </w:pPr>
    </w:p>
    <w:p w14:paraId="5136281A" w14:textId="77777777" w:rsidR="00DC5685" w:rsidRPr="00A34F10" w:rsidRDefault="00DC5685" w:rsidP="00DC5685">
      <w:pPr>
        <w:pStyle w:val="StyleOECD-BASIS-TEXTLeft"/>
        <w:rPr>
          <w:sz w:val="22"/>
          <w:lang w:val="en-US"/>
        </w:rPr>
      </w:pPr>
    </w:p>
    <w:p w14:paraId="25AD3EF8" w14:textId="77777777" w:rsidR="00DC5685" w:rsidRPr="00A34F10" w:rsidRDefault="00DC5685" w:rsidP="00DC5685">
      <w:pPr>
        <w:pStyle w:val="RepAppendix2"/>
      </w:pPr>
      <w:bookmarkStart w:id="1233" w:name="_Toc415214648"/>
      <w:bookmarkStart w:id="1234" w:name="_Toc181625039"/>
      <w:r w:rsidRPr="00A34F10">
        <w:t xml:space="preserve">KCP 10.8 </w:t>
      </w:r>
      <w:r w:rsidRPr="00A34F10">
        <w:tab/>
        <w:t>Monitoring data</w:t>
      </w:r>
      <w:bookmarkEnd w:id="1233"/>
      <w:bookmarkEnd w:id="1234"/>
    </w:p>
    <w:p w14:paraId="02557B8D" w14:textId="77777777" w:rsidR="00DC5685" w:rsidRPr="00A34F10" w:rsidRDefault="00DC5685" w:rsidP="00DC5685">
      <w:pPr>
        <w:pStyle w:val="RepStandard"/>
      </w:pPr>
      <w:bookmarkStart w:id="1235" w:name="_Hlk135689559"/>
      <w:r w:rsidRPr="00A34F10">
        <w:rPr>
          <w:color w:val="000000" w:themeColor="text1"/>
        </w:rPr>
        <w:t>According to the knowledge of the applicant, there are currently no monitoring studies available which assess ecotoxicological effects of BAS 743 03 F or of the active substances.</w:t>
      </w:r>
      <w:bookmarkEnd w:id="1235"/>
    </w:p>
    <w:p w14:paraId="40F195AF" w14:textId="73A77704" w:rsidR="00963F22" w:rsidRPr="00A34F10" w:rsidRDefault="00963F22" w:rsidP="002E7F42">
      <w:pPr>
        <w:pStyle w:val="StyleOECD-BASIS-TEXTLeft"/>
        <w:rPr>
          <w:sz w:val="22"/>
          <w:lang w:val="en-US"/>
        </w:rPr>
      </w:pPr>
    </w:p>
    <w:sectPr w:rsidR="00963F22" w:rsidRPr="00A34F10" w:rsidSect="00D20BDB">
      <w:headerReference w:type="even" r:id="rId69"/>
      <w:footerReference w:type="even" r:id="rId70"/>
      <w:footerReference w:type="default" r:id="rId71"/>
      <w:headerReference w:type="first" r:id="rId72"/>
      <w:footerReference w:type="first" r:id="rId73"/>
      <w:pgSz w:w="11906" w:h="16838"/>
      <w:pgMar w:top="1418" w:right="1134" w:bottom="1134" w:left="1418" w:header="709" w:footer="70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0AFC9" w14:textId="77777777" w:rsidR="006B7C27" w:rsidRDefault="006B7C27">
      <w:r>
        <w:separator/>
      </w:r>
    </w:p>
  </w:endnote>
  <w:endnote w:type="continuationSeparator" w:id="0">
    <w:p w14:paraId="06F1ED84" w14:textId="77777777" w:rsidR="006B7C27" w:rsidRDefault="006B7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Bold">
    <w:altName w:val="Times New Roman"/>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MyriadPro-Regular">
    <w:altName w:val="MS Mincho"/>
    <w:panose1 w:val="00000000000000000000"/>
    <w:charset w:val="80"/>
    <w:family w:val="swiss"/>
    <w:notTrueType/>
    <w:pitch w:val="default"/>
    <w:sig w:usb0="00000001" w:usb1="08070000" w:usb2="00000010" w:usb3="00000000" w:csb0="00020000" w:csb1="00000000"/>
  </w:font>
  <w:font w:name="AdvTT62f2e734+20">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95356" w14:textId="33824EDA" w:rsidR="00E75E06" w:rsidRDefault="00004682" w:rsidP="002B1114">
    <w:pPr>
      <w:pStyle w:val="Stopka"/>
      <w:framePr w:wrap="around" w:vAnchor="text" w:hAnchor="margin" w:xAlign="right" w:y="1"/>
      <w:rPr>
        <w:rStyle w:val="Numerstrony"/>
      </w:rPr>
    </w:pPr>
    <w:r>
      <w:rPr>
        <w:rStyle w:val="Numerstrony"/>
      </w:rPr>
      <w:fldChar w:fldCharType="begin"/>
    </w:r>
    <w:r w:rsidR="00E75E06">
      <w:rPr>
        <w:rStyle w:val="Numerstrony"/>
      </w:rPr>
      <w:instrText xml:space="preserve">PAGE  </w:instrText>
    </w:r>
    <w:r>
      <w:rPr>
        <w:rStyle w:val="Numerstrony"/>
      </w:rPr>
      <w:fldChar w:fldCharType="separate"/>
    </w:r>
    <w:r w:rsidR="00E75E06">
      <w:rPr>
        <w:rStyle w:val="Numerstrony"/>
        <w:noProof/>
      </w:rPr>
      <w:t>8</w:t>
    </w:r>
    <w:r>
      <w:rPr>
        <w:rStyle w:val="Numerstrony"/>
      </w:rPr>
      <w:fldChar w:fldCharType="end"/>
    </w:r>
  </w:p>
  <w:p w14:paraId="17BECB82" w14:textId="77777777" w:rsidR="00E75E06" w:rsidRDefault="00E75E06"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0C819" w14:textId="31A75A6D" w:rsidR="00E75E06" w:rsidRPr="00D20BDB" w:rsidRDefault="00E75E06" w:rsidP="00D20BDB">
    <w:pPr>
      <w:pStyle w:val="Stopka"/>
      <w:tabs>
        <w:tab w:val="clear" w:pos="9072"/>
        <w:tab w:val="right" w:pos="9354"/>
      </w:tabs>
      <w:rPr>
        <w:rFonts w:ascii="Arial" w:hAnsi="Arial" w:cs="Arial"/>
        <w:sz w:val="16"/>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A595D" w14:textId="6DC4CADC" w:rsidR="007D2F30" w:rsidRDefault="007D2F3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6DA2E" w14:textId="42E5323B" w:rsidR="007D2F30" w:rsidRDefault="007D2F30">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C8930" w14:textId="66396504" w:rsidR="00DC5685" w:rsidRPr="00394AE4" w:rsidRDefault="00DC5685" w:rsidP="00394AE4">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061A2" w14:textId="54A8AE73" w:rsidR="007D2F30" w:rsidRDefault="007D2F30">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CEE1" w14:textId="232EC783" w:rsidR="007D2F30" w:rsidRDefault="007D2F30">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4E89A" w14:textId="3F405CA4" w:rsidR="00E75E06" w:rsidRPr="00D20BDB" w:rsidRDefault="00E75E06" w:rsidP="00D20BDB">
    <w:pPr>
      <w:pStyle w:val="Stopka"/>
      <w:tabs>
        <w:tab w:val="clear" w:pos="9072"/>
        <w:tab w:val="right" w:pos="9354"/>
      </w:tabs>
      <w:rPr>
        <w:rFonts w:ascii="Arial" w:hAnsi="Arial" w:cs="Arial"/>
        <w:sz w:val="16"/>
        <w:szCs w:val="16"/>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CB93C" w14:textId="2F17CDD6" w:rsidR="007D2F30" w:rsidRDefault="007D2F30">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5196" w14:textId="2CBB78D8" w:rsidR="007D2F30" w:rsidRDefault="007D2F30">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3EF2F" w14:textId="2EB68FE8" w:rsidR="00DC5685" w:rsidRPr="00D20BDB" w:rsidRDefault="00DC5685" w:rsidP="00D20BDB">
    <w:pPr>
      <w:pStyle w:val="Stopka"/>
      <w:tabs>
        <w:tab w:val="clear" w:pos="4536"/>
        <w:tab w:val="clear" w:pos="9072"/>
        <w:tab w:val="left" w:pos="12474"/>
      </w:tabs>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B2BA3" w14:textId="5DC40D60" w:rsidR="00E75E06" w:rsidRPr="001D51C3" w:rsidRDefault="00E75E06" w:rsidP="00D20BDB">
    <w:pPr>
      <w:pStyle w:val="Stopka"/>
      <w:tabs>
        <w:tab w:val="clear" w:pos="9072"/>
        <w:tab w:val="right" w:pos="9354"/>
      </w:tabs>
      <w:rPr>
        <w:rFonts w:ascii="Arial" w:hAnsi="Arial" w:cs="Arial"/>
        <w:sz w:val="16"/>
        <w:szCs w:val="16"/>
        <w:lang w:val="es-ES"/>
      </w:rPr>
    </w:pPr>
    <w:r w:rsidRPr="001D51C3">
      <w:rPr>
        <w:rFonts w:ascii="Arial" w:hAnsi="Arial" w:cs="Arial"/>
        <w:sz w:val="16"/>
        <w:szCs w:val="16"/>
        <w:lang w:val="es-ES"/>
      </w:rPr>
      <w:tab/>
    </w:r>
    <w:r w:rsidRPr="001D51C3">
      <w:rPr>
        <w:rFonts w:ascii="Arial" w:hAnsi="Arial" w:cs="Arial"/>
        <w:sz w:val="16"/>
        <w:szCs w:val="16"/>
        <w:lang w:val="es-ES"/>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C1CFB" w14:textId="534F9290" w:rsidR="007D2F30" w:rsidRDefault="007D2F30">
    <w:pPr>
      <w:pStyle w:val="Stopk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23AD" w14:textId="2F262AE8" w:rsidR="006C4961" w:rsidRDefault="006C4961">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A76B" w14:textId="5FC1F6CE" w:rsidR="007D2F30" w:rsidRDefault="007D2F30">
    <w:pPr>
      <w:pStyle w:val="Stopk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33117" w14:textId="3484A530" w:rsidR="006C4961" w:rsidRDefault="006C4961">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6BCAA" w14:textId="505052C8" w:rsidR="006C4961" w:rsidRDefault="006C4961">
    <w:pPr>
      <w:pStyle w:val="Stopk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98107" w14:textId="0FA88DB0" w:rsidR="007D2F30" w:rsidRDefault="007D2F30">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6D7FD" w14:textId="41E52AD2" w:rsidR="006C4961" w:rsidRDefault="006C4961">
    <w:pPr>
      <w:pStyle w:val="Stopk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E26EA" w14:textId="7E23E3C0" w:rsidR="006C4961" w:rsidRDefault="006C4961">
    <w:pPr>
      <w:pStyle w:val="Stopka"/>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B8AAB" w14:textId="087B52CB" w:rsidR="007D2F30" w:rsidRDefault="007D2F30">
    <w:pPr>
      <w:pStyle w:val="Stopka"/>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A6A33" w14:textId="219C692B" w:rsidR="006C4961" w:rsidRDefault="006C496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6C06D" w14:textId="7961A48F" w:rsidR="007D2F30" w:rsidRDefault="007D2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1FF9B" w14:textId="7A9D2356" w:rsidR="00E75E06" w:rsidRPr="00D20BDB" w:rsidRDefault="00E75E06" w:rsidP="00D20BDB">
    <w:pPr>
      <w:pStyle w:val="Stopka"/>
      <w:tabs>
        <w:tab w:val="clear" w:pos="4536"/>
        <w:tab w:val="clear" w:pos="9072"/>
        <w:tab w:val="left" w:pos="12474"/>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57F17" w14:textId="22037B47" w:rsidR="007D2F30" w:rsidRDefault="007D2F3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7F9BF" w14:textId="710D3051" w:rsidR="007D2F30" w:rsidRDefault="007D2F3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4F40C" w14:textId="50B2A913" w:rsidR="00E75E06" w:rsidRPr="00D20BDB" w:rsidRDefault="00E75E06" w:rsidP="00D20BDB">
    <w:pPr>
      <w:pStyle w:val="Stopka"/>
      <w:tabs>
        <w:tab w:val="clear" w:pos="9072"/>
        <w:tab w:val="right" w:pos="9354"/>
      </w:tabs>
      <w:rPr>
        <w:rFonts w:ascii="Arial" w:hAnsi="Arial" w:cs="Arial"/>
        <w:sz w:val="16"/>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66CC" w14:textId="76C0776E" w:rsidR="007D2F30" w:rsidRDefault="007D2F3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E1680" w14:textId="7C44CEDA" w:rsidR="007D2F30" w:rsidRDefault="007D2F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9A59" w14:textId="77777777" w:rsidR="006B7C27" w:rsidRDefault="006B7C27">
      <w:r>
        <w:separator/>
      </w:r>
    </w:p>
  </w:footnote>
  <w:footnote w:type="continuationSeparator" w:id="0">
    <w:p w14:paraId="42E5FDB5" w14:textId="77777777" w:rsidR="006B7C27" w:rsidRDefault="006B7C27">
      <w:r>
        <w:continuationSeparator/>
      </w:r>
    </w:p>
  </w:footnote>
  <w:footnote w:id="1">
    <w:p w14:paraId="71BE7C4D" w14:textId="77777777" w:rsidR="00DC5685" w:rsidRPr="002F6515" w:rsidRDefault="00DC5685" w:rsidP="00DC5685">
      <w:pPr>
        <w:pStyle w:val="Tekstprzypisudolnego"/>
      </w:pPr>
      <w:r>
        <w:rPr>
          <w:rStyle w:val="Odwoanieprzypisudolnego"/>
        </w:rPr>
        <w:footnoteRef/>
      </w:r>
      <w:r>
        <w:t xml:space="preserve"> J.M. Buxton, D.R. Crocker &amp; J. A. Pascual Birds and farming: information for risk assessment, 1998 Update CONTRACT PN0919 MILESTONE REPORT, </w:t>
      </w:r>
      <w:r w:rsidRPr="00004E22">
        <w:t xml:space="preserve">CSL Project No. </w:t>
      </w:r>
      <w:r w:rsidRPr="002F6515">
        <w:t>M37</w:t>
      </w:r>
    </w:p>
  </w:footnote>
  <w:footnote w:id="2">
    <w:p w14:paraId="72EAE0DE" w14:textId="4F4BC405" w:rsidR="003A1E99" w:rsidRPr="003B09BC" w:rsidRDefault="003A1E99" w:rsidP="00585A77">
      <w:pPr>
        <w:pStyle w:val="Tekstprzypisudolnego"/>
        <w:ind w:left="142" w:hanging="142"/>
        <w:jc w:val="both"/>
        <w:rPr>
          <w:lang w:val="fr-FR"/>
        </w:rPr>
      </w:pPr>
      <w:r w:rsidRPr="003A1E99">
        <w:rPr>
          <w:rStyle w:val="Odwoanieprzypisudolnego"/>
          <w:highlight w:val="green"/>
        </w:rPr>
        <w:footnoteRef/>
      </w:r>
      <w:r w:rsidRPr="003A1E99">
        <w:rPr>
          <w:highlight w:val="green"/>
        </w:rPr>
        <w:t xml:space="preserve"> European Food Safety Authority; Guidance Document on Risk Assessment for Birds &amp; Mammals on request from EFSA. </w:t>
      </w:r>
      <w:r w:rsidRPr="003B09BC">
        <w:rPr>
          <w:highlight w:val="green"/>
          <w:lang w:val="fr-FR"/>
        </w:rPr>
        <w:t>EFSA Journal 2009; 7(12):1438. doi:10.2903/j.efsa.2009.1438. Available online: www.efsa.europa.eu.</w:t>
      </w:r>
    </w:p>
  </w:footnote>
  <w:footnote w:id="3">
    <w:p w14:paraId="17746644" w14:textId="77777777" w:rsidR="00DC5685" w:rsidRPr="00F82572" w:rsidRDefault="00DC5685" w:rsidP="00DC5685">
      <w:pPr>
        <w:pStyle w:val="Tekstprzypisudolnego"/>
        <w:ind w:left="142" w:hanging="142"/>
        <w:jc w:val="both"/>
        <w:rPr>
          <w:sz w:val="18"/>
          <w:szCs w:val="18"/>
          <w:lang w:val="de-DE"/>
        </w:rPr>
      </w:pPr>
      <w:r w:rsidRPr="00F82572">
        <w:rPr>
          <w:rStyle w:val="Odwoanieprzypisudolnego"/>
          <w:sz w:val="18"/>
          <w:szCs w:val="18"/>
        </w:rPr>
        <w:footnoteRef/>
      </w:r>
      <w:r w:rsidRPr="00F82572">
        <w:rPr>
          <w:sz w:val="18"/>
          <w:szCs w:val="18"/>
          <w:lang w:val="de-DE"/>
        </w:rPr>
        <w:t xml:space="preserve"> </w:t>
      </w:r>
      <w:r>
        <w:rPr>
          <w:sz w:val="18"/>
          <w:szCs w:val="18"/>
          <w:lang w:val="de-DE"/>
        </w:rPr>
        <w:tab/>
      </w:r>
      <w:r w:rsidRPr="00F82572">
        <w:rPr>
          <w:sz w:val="18"/>
          <w:szCs w:val="18"/>
          <w:lang w:val="de-DE"/>
        </w:rPr>
        <w:t>Leutert A. (1983). Einfluss der Feldmaus, Microtus arvalis (Pall.), auf die floristische Zusammensetzung von Wiesen-Ekosystemen. Veröffentlichung des Geobotanischen Institutes der Eidg. Techn. Hochschule, Stiftung Rübel, Zürich</w:t>
      </w:r>
    </w:p>
  </w:footnote>
  <w:footnote w:id="4">
    <w:p w14:paraId="6783F087" w14:textId="77777777" w:rsidR="00DC5685" w:rsidRPr="00020954" w:rsidRDefault="00DC5685" w:rsidP="00DC5685">
      <w:pPr>
        <w:pStyle w:val="Tekstprzypisudolnego"/>
        <w:ind w:left="142" w:hanging="142"/>
        <w:jc w:val="both"/>
        <w:rPr>
          <w:sz w:val="18"/>
          <w:szCs w:val="18"/>
          <w:lang w:val="de-DE"/>
        </w:rPr>
      </w:pPr>
      <w:r w:rsidRPr="00F82572">
        <w:rPr>
          <w:rStyle w:val="Odwoanieprzypisudolnego"/>
          <w:sz w:val="18"/>
          <w:szCs w:val="18"/>
        </w:rPr>
        <w:footnoteRef/>
      </w:r>
      <w:r w:rsidRPr="00F82572">
        <w:rPr>
          <w:sz w:val="18"/>
          <w:szCs w:val="18"/>
        </w:rPr>
        <w:t xml:space="preserve"> Rinke, T. (1991): Percentage of volume versus number of species: Availability and intake of grasses and forbs in </w:t>
      </w:r>
      <w:r w:rsidRPr="00F82572">
        <w:rPr>
          <w:i/>
          <w:sz w:val="18"/>
          <w:szCs w:val="18"/>
        </w:rPr>
        <w:t>Microtus arvalis</w:t>
      </w:r>
      <w:r w:rsidRPr="00F82572">
        <w:rPr>
          <w:sz w:val="18"/>
          <w:szCs w:val="18"/>
        </w:rPr>
        <w:t xml:space="preserve">. </w:t>
      </w:r>
      <w:r w:rsidRPr="00020954">
        <w:rPr>
          <w:sz w:val="18"/>
          <w:szCs w:val="18"/>
          <w:lang w:val="de-DE"/>
        </w:rPr>
        <w:t>Folia zoologica 40 (2): 143-151.</w:t>
      </w:r>
    </w:p>
  </w:footnote>
  <w:footnote w:id="5">
    <w:p w14:paraId="4BAF633A" w14:textId="77777777" w:rsidR="00DC5685" w:rsidRPr="00F82572" w:rsidRDefault="00DC5685" w:rsidP="00DC5685">
      <w:pPr>
        <w:jc w:val="both"/>
        <w:rPr>
          <w:bCs/>
          <w:sz w:val="18"/>
          <w:szCs w:val="18"/>
          <w:lang w:eastAsia="en-GB"/>
        </w:rPr>
      </w:pPr>
      <w:r>
        <w:rPr>
          <w:rStyle w:val="Odwoanieprzypisudolnego"/>
        </w:rPr>
        <w:footnoteRef/>
      </w:r>
      <w:r w:rsidRPr="00F82572">
        <w:rPr>
          <w:lang w:val="de-DE"/>
        </w:rPr>
        <w:t xml:space="preserve"> </w:t>
      </w:r>
      <w:r w:rsidRPr="00144E6D">
        <w:rPr>
          <w:bCs/>
          <w:sz w:val="18"/>
          <w:szCs w:val="18"/>
          <w:lang w:val="de-DE" w:eastAsia="en-GB"/>
        </w:rPr>
        <w:t xml:space="preserve">Rinke T. (1990). Zur Nahrungsökologie von </w:t>
      </w:r>
      <w:r w:rsidRPr="00144E6D">
        <w:rPr>
          <w:bCs/>
          <w:i/>
          <w:iCs/>
          <w:sz w:val="18"/>
          <w:szCs w:val="18"/>
          <w:lang w:val="de-DE" w:eastAsia="en-GB"/>
        </w:rPr>
        <w:t xml:space="preserve">Microtus arvalis </w:t>
      </w:r>
      <w:r w:rsidRPr="00144E6D">
        <w:rPr>
          <w:bCs/>
          <w:sz w:val="18"/>
          <w:szCs w:val="18"/>
          <w:lang w:val="de-DE" w:eastAsia="en-GB"/>
        </w:rPr>
        <w:t xml:space="preserve">(Pallas, 1779) auf Dauergrünland. </w:t>
      </w:r>
      <w:r w:rsidRPr="00AB3322">
        <w:rPr>
          <w:bCs/>
          <w:i/>
          <w:iCs/>
          <w:sz w:val="18"/>
          <w:szCs w:val="18"/>
          <w:lang w:eastAsia="en-GB"/>
        </w:rPr>
        <w:t>Z. Säugetierkunde</w:t>
      </w:r>
      <w:r w:rsidRPr="00AB3322">
        <w:rPr>
          <w:bCs/>
          <w:sz w:val="18"/>
          <w:szCs w:val="18"/>
          <w:lang w:eastAsia="en-GB"/>
        </w:rPr>
        <w:t>, 55:106-116</w:t>
      </w:r>
    </w:p>
  </w:footnote>
  <w:footnote w:id="6">
    <w:p w14:paraId="61A3BBE1" w14:textId="77777777" w:rsidR="00FC6519" w:rsidRPr="006C550F" w:rsidRDefault="00FC6519" w:rsidP="006C550F">
      <w:pPr>
        <w:shd w:val="clear" w:color="auto" w:fill="BDD6EE" w:themeFill="accent5" w:themeFillTint="66"/>
        <w:jc w:val="both"/>
        <w:rPr>
          <w:color w:val="000000" w:themeColor="text1"/>
          <w:sz w:val="20"/>
          <w:szCs w:val="20"/>
        </w:rPr>
      </w:pPr>
      <w:r w:rsidRPr="006C550F">
        <w:rPr>
          <w:color w:val="000000" w:themeColor="text1"/>
          <w:sz w:val="20"/>
          <w:szCs w:val="20"/>
          <w:vertAlign w:val="superscript"/>
        </w:rPr>
        <w:footnoteRef/>
      </w:r>
      <w:r w:rsidRPr="006C550F">
        <w:rPr>
          <w:color w:val="000000" w:themeColor="text1"/>
          <w:sz w:val="20"/>
          <w:szCs w:val="20"/>
        </w:rPr>
        <w:t xml:space="preserve"> European Food Safety Authority, 2013 (update 2014). EFSA Guidance Document on the risk assessment of plant protection products on bees (</w:t>
      </w:r>
      <w:r w:rsidRPr="006C550F">
        <w:rPr>
          <w:i/>
          <w:iCs/>
          <w:color w:val="000000" w:themeColor="text1"/>
          <w:sz w:val="20"/>
          <w:szCs w:val="20"/>
        </w:rPr>
        <w:t>Apis mellifera</w:t>
      </w:r>
      <w:r w:rsidRPr="006C550F">
        <w:rPr>
          <w:color w:val="000000" w:themeColor="text1"/>
          <w:sz w:val="20"/>
          <w:szCs w:val="20"/>
        </w:rPr>
        <w:t xml:space="preserve">, </w:t>
      </w:r>
      <w:r w:rsidRPr="006C550F">
        <w:rPr>
          <w:i/>
          <w:iCs/>
          <w:color w:val="000000" w:themeColor="text1"/>
          <w:sz w:val="20"/>
          <w:szCs w:val="20"/>
        </w:rPr>
        <w:t>Bombus</w:t>
      </w:r>
      <w:r w:rsidRPr="006C550F">
        <w:rPr>
          <w:color w:val="000000" w:themeColor="text1"/>
          <w:sz w:val="20"/>
          <w:szCs w:val="20"/>
        </w:rPr>
        <w:t xml:space="preserve"> spp. and solitary bees). EFSA Journal 2013;11(7):3295, 268 pp., doi:10.2903/j.efsa.2013.3295.</w:t>
      </w:r>
    </w:p>
  </w:footnote>
  <w:footnote w:id="7">
    <w:p w14:paraId="616B8140" w14:textId="77777777" w:rsidR="00FC6519" w:rsidRPr="00403851" w:rsidRDefault="00FC6519" w:rsidP="006C550F">
      <w:pPr>
        <w:shd w:val="clear" w:color="auto" w:fill="BDD6EE" w:themeFill="accent5" w:themeFillTint="66"/>
        <w:jc w:val="both"/>
      </w:pPr>
      <w:r w:rsidRPr="006C550F">
        <w:rPr>
          <w:color w:val="000000" w:themeColor="text1"/>
          <w:sz w:val="20"/>
          <w:szCs w:val="20"/>
          <w:vertAlign w:val="superscript"/>
        </w:rPr>
        <w:footnoteRef/>
      </w:r>
      <w:r w:rsidRPr="006C550F">
        <w:rPr>
          <w:color w:val="000000" w:themeColor="text1"/>
          <w:sz w:val="20"/>
          <w:szCs w:val="20"/>
          <w:vertAlign w:val="superscript"/>
        </w:rPr>
        <w:t xml:space="preserve"> </w:t>
      </w:r>
      <w:r w:rsidRPr="006C550F">
        <w:rPr>
          <w:color w:val="000000" w:themeColor="text1"/>
          <w:sz w:val="20"/>
          <w:szCs w:val="20"/>
        </w:rPr>
        <w:t>EFSA (2020): Bee-Tool v.3 available at http://onlinelibrary.wiley.com/doi/10.2903/j.efsa.2013.3295/full</w:t>
      </w:r>
    </w:p>
  </w:footnote>
  <w:footnote w:id="8">
    <w:p w14:paraId="744A5E45" w14:textId="77777777" w:rsidR="00FC6519" w:rsidRPr="003B2E4E" w:rsidRDefault="00FC6519" w:rsidP="00FC6519">
      <w:pPr>
        <w:pStyle w:val="Tekstprzypisudolnego"/>
        <w:jc w:val="both"/>
      </w:pPr>
      <w:r w:rsidRPr="006C550F">
        <w:rPr>
          <w:color w:val="222222"/>
          <w:shd w:val="clear" w:color="auto" w:fill="BDD6EE" w:themeFill="accent5" w:themeFillTint="66"/>
          <w:vertAlign w:val="superscript"/>
        </w:rPr>
        <w:footnoteRef/>
      </w:r>
      <w:r w:rsidRPr="006C550F">
        <w:rPr>
          <w:color w:val="222222"/>
          <w:shd w:val="clear" w:color="auto" w:fill="BDD6EE" w:themeFill="accent5" w:themeFillTint="66"/>
        </w:rPr>
        <w:t xml:space="preserve"> Kyriakopoulou, K., Kandris, I., Pachiti, I., Kasiotis, K.M., Spyropoulou, A., Santourian, A., Kitromilidou, S., Pappa, G. and Glossioti, M. "Collection and analysis of pesticide residue data for pollen and nectar–Final Report." EFSA Supporting Publications 14.10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8012" w14:textId="1BA012A3" w:rsidR="00E75E06" w:rsidRPr="009805C7" w:rsidRDefault="00E75E06"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9805C7">
      <w:rPr>
        <w:rStyle w:val="Numerstrony"/>
        <w:rFonts w:ascii="Arial" w:hAnsi="Arial" w:cs="Arial"/>
        <w:sz w:val="16"/>
        <w:szCs w:val="16"/>
      </w:rPr>
      <w:br/>
    </w:r>
  </w:p>
  <w:tbl>
    <w:tblPr>
      <w:tblW w:w="5000" w:type="pct"/>
      <w:tblLook w:val="0000" w:firstRow="0" w:lastRow="0" w:firstColumn="0" w:lastColumn="0" w:noHBand="0" w:noVBand="0"/>
    </w:tblPr>
    <w:tblGrid>
      <w:gridCol w:w="4677"/>
      <w:gridCol w:w="4677"/>
    </w:tblGrid>
    <w:tr w:rsidR="005007C2" w:rsidRPr="0062481A" w14:paraId="1DE7AEC1" w14:textId="77777777" w:rsidTr="00E23E58">
      <w:tc>
        <w:tcPr>
          <w:tcW w:w="2500" w:type="pct"/>
          <w:tcMar>
            <w:left w:w="0" w:type="dxa"/>
            <w:right w:w="0" w:type="dxa"/>
          </w:tcMar>
        </w:tcPr>
        <w:p w14:paraId="66F7B0DF" w14:textId="77777777" w:rsidR="005007C2" w:rsidRPr="003B4276" w:rsidRDefault="005007C2" w:rsidP="005007C2">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47493F4E" w14:textId="29FD4612" w:rsidR="005007C2" w:rsidRPr="003B4276" w:rsidRDefault="005007C2" w:rsidP="005007C2">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Part B – Section 9 - Core Assessment</w:t>
          </w:r>
        </w:p>
        <w:p w14:paraId="600E5EDD" w14:textId="28BC31EE" w:rsidR="005007C2" w:rsidRPr="003B4276" w:rsidRDefault="003B4276" w:rsidP="005007C2">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005007C2" w:rsidRPr="003B4276">
            <w:rPr>
              <w:rFonts w:ascii="Arial" w:hAnsi="Arial" w:cs="Arial"/>
              <w:sz w:val="16"/>
              <w:szCs w:val="16"/>
              <w:lang w:val="fr-FR"/>
            </w:rPr>
            <w:t xml:space="preserve"> version</w:t>
          </w:r>
          <w:r w:rsidR="004B4D5B">
            <w:rPr>
              <w:rFonts w:ascii="Arial" w:hAnsi="Arial" w:cs="Arial"/>
              <w:sz w:val="16"/>
              <w:szCs w:val="16"/>
              <w:lang w:val="fr-FR"/>
            </w:rPr>
            <w:t xml:space="preserve"> </w:t>
          </w:r>
          <w:r w:rsidR="006C550F">
            <w:rPr>
              <w:rFonts w:ascii="Arial" w:hAnsi="Arial" w:cs="Arial"/>
              <w:sz w:val="16"/>
              <w:szCs w:val="16"/>
              <w:lang w:val="fr-FR"/>
            </w:rPr>
            <w:t>November</w:t>
          </w:r>
          <w:r w:rsidR="004B4D5B">
            <w:rPr>
              <w:rFonts w:ascii="Arial" w:hAnsi="Arial" w:cs="Arial"/>
              <w:sz w:val="16"/>
              <w:szCs w:val="16"/>
              <w:lang w:val="fr-FR"/>
            </w:rPr>
            <w:t xml:space="preserve"> 2024</w:t>
          </w:r>
        </w:p>
      </w:tc>
      <w:tc>
        <w:tcPr>
          <w:tcW w:w="2500" w:type="pct"/>
          <w:tcMar>
            <w:left w:w="0" w:type="dxa"/>
            <w:right w:w="0" w:type="dxa"/>
          </w:tcMar>
        </w:tcPr>
        <w:p w14:paraId="225A21B9" w14:textId="77777777" w:rsidR="005007C2" w:rsidRPr="0062481A" w:rsidRDefault="005007C2" w:rsidP="005007C2">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Pr>
              <w:rStyle w:val="Numerstrony"/>
              <w:rFonts w:ascii="Arial" w:hAnsi="Arial" w:cs="Arial"/>
              <w:sz w:val="16"/>
              <w:szCs w:val="16"/>
            </w:rPr>
            <w:t>2</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sz w:val="16"/>
              <w:szCs w:val="16"/>
            </w:rPr>
            <w:t>15</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6CC7D16" w14:textId="77777777" w:rsidR="005007C2" w:rsidRPr="0062481A" w:rsidRDefault="005007C2" w:rsidP="005007C2">
          <w:pPr>
            <w:pStyle w:val="RepPageHeader"/>
            <w:pBdr>
              <w:bottom w:val="single" w:sz="4" w:space="1" w:color="auto"/>
            </w:pBdr>
            <w:jc w:val="right"/>
            <w:rPr>
              <w:rFonts w:ascii="Arial" w:hAnsi="Arial" w:cs="Arial"/>
              <w:sz w:val="16"/>
              <w:szCs w:val="16"/>
            </w:rPr>
          </w:pPr>
        </w:p>
      </w:tc>
    </w:tr>
  </w:tbl>
  <w:p w14:paraId="06686F6A" w14:textId="77777777" w:rsidR="00E75E06" w:rsidRPr="008D2FEC" w:rsidRDefault="00E75E06" w:rsidP="007C4B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DC5685" w:rsidRPr="0062481A" w14:paraId="5F7A88D4" w14:textId="77777777" w:rsidTr="008E1758">
      <w:tc>
        <w:tcPr>
          <w:tcW w:w="2500" w:type="pct"/>
          <w:tcMar>
            <w:left w:w="0" w:type="dxa"/>
            <w:right w:w="0" w:type="dxa"/>
          </w:tcMar>
        </w:tcPr>
        <w:p w14:paraId="562A6043" w14:textId="77777777" w:rsidR="00DC5685" w:rsidRPr="003B4276" w:rsidRDefault="00DC5685" w:rsidP="00334BB0">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32BBCB00" w14:textId="11032D1D" w:rsidR="00DC5685" w:rsidRPr="003B4276" w:rsidRDefault="00DC5685" w:rsidP="00334BB0">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Part B – Section 9 - Core Assessment </w:t>
          </w:r>
        </w:p>
        <w:p w14:paraId="69677E9D" w14:textId="02F9A1C4" w:rsidR="00DC5685"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w:t>
          </w:r>
          <w:r w:rsidR="006C550F">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42712F0B" w14:textId="77777777" w:rsidR="00DC5685" w:rsidRPr="0062481A" w:rsidRDefault="00DC5685"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0B2682F4" w14:textId="77777777" w:rsidR="00DC5685" w:rsidRPr="0062481A" w:rsidRDefault="00DC5685" w:rsidP="00C51E58">
          <w:pPr>
            <w:pStyle w:val="RepPageHeader"/>
            <w:pBdr>
              <w:bottom w:val="single" w:sz="4" w:space="1" w:color="auto"/>
            </w:pBdr>
            <w:jc w:val="right"/>
            <w:rPr>
              <w:rFonts w:ascii="Arial" w:hAnsi="Arial" w:cs="Arial"/>
              <w:sz w:val="16"/>
              <w:szCs w:val="16"/>
            </w:rPr>
          </w:pPr>
        </w:p>
      </w:tc>
    </w:tr>
  </w:tbl>
  <w:p w14:paraId="7AE02413" w14:textId="77777777" w:rsidR="00DC5685" w:rsidRPr="008D2FEC" w:rsidRDefault="00DC5685" w:rsidP="007C4BE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D2F12" w14:textId="77777777" w:rsidR="006C4961" w:rsidRDefault="006C4961">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9F4E3" w14:textId="77777777" w:rsidR="006C4961" w:rsidRDefault="006C4961">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74B8E" w14:textId="77777777" w:rsidR="006C4961" w:rsidRDefault="006C4961">
    <w:pPr>
      <w:pStyle w:val="Nagwek"/>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D79D8" w14:textId="77777777" w:rsidR="006C4961" w:rsidRDefault="006C4961">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18054" w14:textId="77777777" w:rsidR="006C4961" w:rsidRDefault="006C4961">
    <w:pPr>
      <w:pStyle w:val="Nagwek"/>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0C51" w14:textId="77777777" w:rsidR="006C4961" w:rsidRDefault="006C496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C51E58" w:rsidRPr="0062481A" w14:paraId="40D4865F" w14:textId="77777777" w:rsidTr="008E1758">
      <w:tc>
        <w:tcPr>
          <w:tcW w:w="2500" w:type="pct"/>
          <w:tcMar>
            <w:left w:w="0" w:type="dxa"/>
            <w:right w:w="0" w:type="dxa"/>
          </w:tcMar>
        </w:tcPr>
        <w:p w14:paraId="78996244" w14:textId="1902D2D2"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BAS 743 03 F / </w:t>
          </w:r>
          <w:r w:rsidR="00AD6581" w:rsidRPr="003B4276">
            <w:rPr>
              <w:rFonts w:ascii="Arial" w:hAnsi="Arial" w:cs="Arial"/>
              <w:sz w:val="16"/>
              <w:szCs w:val="16"/>
              <w:lang w:val="fr-FR"/>
            </w:rPr>
            <w:t>DIVEXO</w:t>
          </w:r>
        </w:p>
        <w:p w14:paraId="2F5BD373" w14:textId="278E6A6B"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Part B – Section 9 - Core Assessment</w:t>
          </w:r>
        </w:p>
        <w:p w14:paraId="70CBA948" w14:textId="6AC9D17F" w:rsidR="00C51E58"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w:t>
          </w:r>
          <w:r w:rsidR="006C550F">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502A2C70" w14:textId="77777777" w:rsidR="00C51E58" w:rsidRPr="0062481A" w:rsidRDefault="00C51E5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00004682"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00004682"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00004682"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00004682"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00004682"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00004682"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CF79322" w14:textId="77777777" w:rsidR="00C51E58" w:rsidRPr="0062481A" w:rsidRDefault="00C51E58" w:rsidP="00C51E58">
          <w:pPr>
            <w:pStyle w:val="RepPageHeader"/>
            <w:pBdr>
              <w:bottom w:val="single" w:sz="4" w:space="1" w:color="auto"/>
            </w:pBdr>
            <w:jc w:val="right"/>
            <w:rPr>
              <w:rFonts w:ascii="Arial" w:hAnsi="Arial" w:cs="Arial"/>
              <w:sz w:val="16"/>
              <w:szCs w:val="16"/>
            </w:rPr>
          </w:pPr>
        </w:p>
      </w:tc>
    </w:tr>
  </w:tbl>
  <w:p w14:paraId="3433D0A4" w14:textId="77777777" w:rsidR="0081641D" w:rsidRPr="008D2FEC" w:rsidRDefault="0081641D"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C51E58" w:rsidRPr="0062481A" w14:paraId="2814CA29" w14:textId="77777777" w:rsidTr="008E1758">
      <w:tc>
        <w:tcPr>
          <w:tcW w:w="2500" w:type="pct"/>
          <w:tcMar>
            <w:left w:w="0" w:type="dxa"/>
            <w:right w:w="0" w:type="dxa"/>
          </w:tcMar>
        </w:tcPr>
        <w:p w14:paraId="79E1CAB0" w14:textId="6770DD74"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BAS 743 03 F / </w:t>
          </w:r>
          <w:r w:rsidR="00433FD5" w:rsidRPr="003B4276">
            <w:rPr>
              <w:rFonts w:ascii="Arial" w:hAnsi="Arial" w:cs="Arial"/>
              <w:sz w:val="16"/>
              <w:szCs w:val="16"/>
              <w:lang w:val="fr-FR"/>
            </w:rPr>
            <w:t>DIVEXO</w:t>
          </w:r>
        </w:p>
        <w:p w14:paraId="6629B10E" w14:textId="618AEDC6"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Part B – Section 9 - Core Assessment</w:t>
          </w:r>
        </w:p>
        <w:p w14:paraId="687A4E4F" w14:textId="1825A8B5" w:rsidR="00C51E58"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w:t>
          </w:r>
          <w:r w:rsidR="006C550F">
            <w:rPr>
              <w:rFonts w:ascii="Arial" w:hAnsi="Arial" w:cs="Arial"/>
              <w:sz w:val="16"/>
              <w:szCs w:val="16"/>
              <w:lang w:val="fr-FR"/>
            </w:rPr>
            <w:t>November</w:t>
          </w:r>
          <w:r>
            <w:rPr>
              <w:rFonts w:ascii="Arial" w:hAnsi="Arial" w:cs="Arial"/>
              <w:sz w:val="16"/>
              <w:szCs w:val="16"/>
              <w:lang w:val="fr-FR"/>
            </w:rPr>
            <w:t xml:space="preserve"> 2024</w:t>
          </w:r>
        </w:p>
      </w:tc>
      <w:tc>
        <w:tcPr>
          <w:tcW w:w="2500" w:type="pct"/>
          <w:tcMar>
            <w:left w:w="0" w:type="dxa"/>
            <w:right w:w="0" w:type="dxa"/>
          </w:tcMar>
        </w:tcPr>
        <w:p w14:paraId="371B1FF1" w14:textId="77777777" w:rsidR="00C51E58" w:rsidRPr="0062481A" w:rsidRDefault="00C51E5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00004682"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00004682"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00004682"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00004682"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00004682"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00004682"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26A521F7" w14:textId="77777777" w:rsidR="00C51E58" w:rsidRPr="0062481A" w:rsidRDefault="00C51E58" w:rsidP="00C51E58">
          <w:pPr>
            <w:pStyle w:val="RepPageHeader"/>
            <w:pBdr>
              <w:bottom w:val="single" w:sz="4" w:space="1" w:color="auto"/>
            </w:pBdr>
            <w:jc w:val="right"/>
            <w:rPr>
              <w:rFonts w:ascii="Arial" w:hAnsi="Arial" w:cs="Arial"/>
              <w:sz w:val="16"/>
              <w:szCs w:val="16"/>
            </w:rPr>
          </w:pPr>
        </w:p>
      </w:tc>
    </w:tr>
  </w:tbl>
  <w:p w14:paraId="409C6109" w14:textId="77777777" w:rsidR="0081641D" w:rsidRPr="008D2FEC" w:rsidRDefault="0081641D" w:rsidP="007C4BE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9B71DE" w:rsidRPr="0062481A" w14:paraId="782E87A9" w14:textId="77777777" w:rsidTr="008E1758">
      <w:tc>
        <w:tcPr>
          <w:tcW w:w="2500" w:type="pct"/>
          <w:tcMar>
            <w:left w:w="0" w:type="dxa"/>
            <w:right w:w="0" w:type="dxa"/>
          </w:tcMar>
        </w:tcPr>
        <w:p w14:paraId="43BD352E"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4CAE07A4"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Part B – Section 9 - Core Assessment</w:t>
          </w:r>
        </w:p>
        <w:p w14:paraId="4B6807ED" w14:textId="48CFB991" w:rsidR="009B71DE"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May 2024</w:t>
          </w:r>
        </w:p>
      </w:tc>
      <w:tc>
        <w:tcPr>
          <w:tcW w:w="2500" w:type="pct"/>
          <w:tcMar>
            <w:left w:w="0" w:type="dxa"/>
            <w:right w:w="0" w:type="dxa"/>
          </w:tcMar>
        </w:tcPr>
        <w:p w14:paraId="7104F7C5" w14:textId="77777777" w:rsidR="009B71DE" w:rsidRPr="0062481A" w:rsidRDefault="009B71DE"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6A23740" w14:textId="77777777" w:rsidR="009B71DE" w:rsidRPr="0062481A" w:rsidRDefault="009B71DE" w:rsidP="00C51E58">
          <w:pPr>
            <w:pStyle w:val="RepPageHeader"/>
            <w:pBdr>
              <w:bottom w:val="single" w:sz="4" w:space="1" w:color="auto"/>
            </w:pBdr>
            <w:jc w:val="right"/>
            <w:rPr>
              <w:rFonts w:ascii="Arial" w:hAnsi="Arial" w:cs="Arial"/>
              <w:sz w:val="16"/>
              <w:szCs w:val="16"/>
            </w:rPr>
          </w:pPr>
        </w:p>
      </w:tc>
    </w:tr>
  </w:tbl>
  <w:p w14:paraId="2C175070" w14:textId="77777777" w:rsidR="009B71DE" w:rsidRPr="008D2FEC" w:rsidRDefault="009B71DE" w:rsidP="007C4B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C51E58" w:rsidRPr="0062481A" w14:paraId="3F9EDDAE" w14:textId="77777777" w:rsidTr="008E1758">
      <w:tc>
        <w:tcPr>
          <w:tcW w:w="2500" w:type="pct"/>
          <w:tcMar>
            <w:left w:w="0" w:type="dxa"/>
            <w:right w:w="0" w:type="dxa"/>
          </w:tcMar>
        </w:tcPr>
        <w:p w14:paraId="27F5A638" w14:textId="77777777"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BAS 743 03 F / </w:t>
          </w:r>
          <w:r w:rsidR="00DC5685" w:rsidRPr="003B4276">
            <w:rPr>
              <w:rFonts w:ascii="Arial" w:hAnsi="Arial" w:cs="Arial"/>
              <w:sz w:val="16"/>
              <w:szCs w:val="16"/>
              <w:lang w:val="fr-FR"/>
            </w:rPr>
            <w:t>DIVEXO</w:t>
          </w:r>
        </w:p>
        <w:p w14:paraId="15F674F5" w14:textId="77777777"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Part B – Section 9 - Core Assessment </w:t>
          </w:r>
        </w:p>
        <w:p w14:paraId="2AF1A0D7" w14:textId="26DCB88C" w:rsidR="00C51E58"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May 2024</w:t>
          </w:r>
        </w:p>
      </w:tc>
      <w:tc>
        <w:tcPr>
          <w:tcW w:w="2500" w:type="pct"/>
          <w:tcMar>
            <w:left w:w="0" w:type="dxa"/>
            <w:right w:w="0" w:type="dxa"/>
          </w:tcMar>
        </w:tcPr>
        <w:p w14:paraId="12B416AC" w14:textId="77777777" w:rsidR="00C51E58" w:rsidRPr="0062481A" w:rsidRDefault="00C51E5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00DC5685"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00DC5685"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00DC5685"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00DC5685"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00DC5685"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00DC5685"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21D691AA" w14:textId="77777777" w:rsidR="00C51E58" w:rsidRPr="0062481A" w:rsidRDefault="00C51E58" w:rsidP="00C51E58">
          <w:pPr>
            <w:pStyle w:val="RepPageHeader"/>
            <w:pBdr>
              <w:bottom w:val="single" w:sz="4" w:space="1" w:color="auto"/>
            </w:pBdr>
            <w:jc w:val="right"/>
            <w:rPr>
              <w:rFonts w:ascii="Arial" w:hAnsi="Arial" w:cs="Arial"/>
              <w:sz w:val="16"/>
              <w:szCs w:val="16"/>
            </w:rPr>
          </w:pPr>
        </w:p>
      </w:tc>
    </w:tr>
  </w:tbl>
  <w:p w14:paraId="4CAB3B85" w14:textId="77777777" w:rsidR="0081641D" w:rsidRPr="008D2FEC" w:rsidRDefault="0081641D"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9B71DE" w:rsidRPr="0062481A" w14:paraId="45900DC1" w14:textId="77777777" w:rsidTr="008E1758">
      <w:tc>
        <w:tcPr>
          <w:tcW w:w="2500" w:type="pct"/>
          <w:tcMar>
            <w:left w:w="0" w:type="dxa"/>
            <w:right w:w="0" w:type="dxa"/>
          </w:tcMar>
        </w:tcPr>
        <w:p w14:paraId="7E709718"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406161F0"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Part B – Section 9 - Core Assessment </w:t>
          </w:r>
        </w:p>
        <w:p w14:paraId="72F71584" w14:textId="3AB504B5" w:rsidR="009B71DE"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May 2024</w:t>
          </w:r>
        </w:p>
      </w:tc>
      <w:tc>
        <w:tcPr>
          <w:tcW w:w="2500" w:type="pct"/>
          <w:tcMar>
            <w:left w:w="0" w:type="dxa"/>
            <w:right w:w="0" w:type="dxa"/>
          </w:tcMar>
        </w:tcPr>
        <w:p w14:paraId="0C016749" w14:textId="77777777" w:rsidR="009B71DE" w:rsidRPr="0062481A" w:rsidRDefault="009B71DE"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2CE41896" w14:textId="77777777" w:rsidR="009B71DE" w:rsidRPr="0062481A" w:rsidRDefault="009B71DE" w:rsidP="00C51E58">
          <w:pPr>
            <w:pStyle w:val="RepPageHeader"/>
            <w:pBdr>
              <w:bottom w:val="single" w:sz="4" w:space="1" w:color="auto"/>
            </w:pBdr>
            <w:jc w:val="right"/>
            <w:rPr>
              <w:rFonts w:ascii="Arial" w:hAnsi="Arial" w:cs="Arial"/>
              <w:sz w:val="16"/>
              <w:szCs w:val="16"/>
            </w:rPr>
          </w:pPr>
        </w:p>
      </w:tc>
    </w:tr>
  </w:tbl>
  <w:p w14:paraId="426C8818" w14:textId="77777777" w:rsidR="009B71DE" w:rsidRPr="008D2FEC" w:rsidRDefault="009B71DE" w:rsidP="007C4BE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9B71DE" w:rsidRPr="0062481A" w14:paraId="370301FA" w14:textId="77777777" w:rsidTr="008E1758">
      <w:tc>
        <w:tcPr>
          <w:tcW w:w="2500" w:type="pct"/>
          <w:tcMar>
            <w:left w:w="0" w:type="dxa"/>
            <w:right w:w="0" w:type="dxa"/>
          </w:tcMar>
        </w:tcPr>
        <w:p w14:paraId="69690BDC"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7DF8E524" w14:textId="77777777" w:rsidR="009B71DE" w:rsidRPr="003B4276" w:rsidRDefault="009B71DE"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Part B – Section 9 - Core Assessment </w:t>
          </w:r>
        </w:p>
        <w:p w14:paraId="507B85B8" w14:textId="218A9CAF" w:rsidR="009B71DE"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May 2024</w:t>
          </w:r>
        </w:p>
      </w:tc>
      <w:tc>
        <w:tcPr>
          <w:tcW w:w="2500" w:type="pct"/>
          <w:tcMar>
            <w:left w:w="0" w:type="dxa"/>
            <w:right w:w="0" w:type="dxa"/>
          </w:tcMar>
        </w:tcPr>
        <w:p w14:paraId="2DC5D68F" w14:textId="77777777" w:rsidR="009B71DE" w:rsidRPr="0062481A" w:rsidRDefault="009B71DE"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9C50950" w14:textId="77777777" w:rsidR="009B71DE" w:rsidRPr="0062481A" w:rsidRDefault="009B71DE" w:rsidP="00C51E58">
          <w:pPr>
            <w:pStyle w:val="RepPageHeader"/>
            <w:pBdr>
              <w:bottom w:val="single" w:sz="4" w:space="1" w:color="auto"/>
            </w:pBdr>
            <w:jc w:val="right"/>
            <w:rPr>
              <w:rFonts w:ascii="Arial" w:hAnsi="Arial" w:cs="Arial"/>
              <w:sz w:val="16"/>
              <w:szCs w:val="16"/>
            </w:rPr>
          </w:pPr>
        </w:p>
      </w:tc>
    </w:tr>
  </w:tbl>
  <w:p w14:paraId="096FAB57" w14:textId="77777777" w:rsidR="009B71DE" w:rsidRPr="008D2FEC" w:rsidRDefault="009B71DE" w:rsidP="007C4BEE"/>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DC5685" w:rsidRPr="0062481A" w14:paraId="5043CE45" w14:textId="77777777" w:rsidTr="001A45C3">
      <w:tc>
        <w:tcPr>
          <w:tcW w:w="2500" w:type="pct"/>
          <w:tcMar>
            <w:left w:w="0" w:type="dxa"/>
            <w:right w:w="0" w:type="dxa"/>
          </w:tcMar>
        </w:tcPr>
        <w:p w14:paraId="15BB6F99" w14:textId="77777777" w:rsidR="00DC5685" w:rsidRPr="003B4276" w:rsidRDefault="00DC5685" w:rsidP="004A5259">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BAS 743 03 F / DIVEXO</w:t>
          </w:r>
        </w:p>
        <w:p w14:paraId="52B510C1" w14:textId="77777777" w:rsidR="00DC5685" w:rsidRPr="003B4276" w:rsidRDefault="00DC5685" w:rsidP="004A5259">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Part B – Section 9 - Core Assessment</w:t>
          </w:r>
        </w:p>
        <w:p w14:paraId="0750A398" w14:textId="508380D2" w:rsidR="00DC5685" w:rsidRPr="003B4276" w:rsidRDefault="004B4D5B" w:rsidP="004A5259">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May 2024</w:t>
          </w:r>
        </w:p>
      </w:tc>
      <w:tc>
        <w:tcPr>
          <w:tcW w:w="2500" w:type="pct"/>
          <w:tcMar>
            <w:left w:w="0" w:type="dxa"/>
            <w:right w:w="0" w:type="dxa"/>
          </w:tcMar>
        </w:tcPr>
        <w:p w14:paraId="3BA0ABC7" w14:textId="7B3FF6B2" w:rsidR="00DC5685" w:rsidRPr="00EB7FF8" w:rsidRDefault="00DC5685" w:rsidP="004A5259">
          <w:pPr>
            <w:pStyle w:val="RepPageHeader"/>
            <w:pBdr>
              <w:bottom w:val="single" w:sz="4" w:space="1" w:color="auto"/>
            </w:pBdr>
            <w:jc w:val="right"/>
            <w:rPr>
              <w:rStyle w:val="Numerstrony"/>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7</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17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DEAB58E" w14:textId="1A81A913" w:rsidR="00DC5685" w:rsidRPr="0062481A" w:rsidRDefault="00DC5685" w:rsidP="004A5259">
          <w:pPr>
            <w:pStyle w:val="RepPageHeader"/>
            <w:pBdr>
              <w:bottom w:val="single" w:sz="4" w:space="1" w:color="auto"/>
            </w:pBdr>
            <w:jc w:val="right"/>
            <w:rPr>
              <w:rFonts w:ascii="Arial" w:hAnsi="Arial" w:cs="Arial"/>
              <w:sz w:val="16"/>
              <w:szCs w:val="16"/>
            </w:rPr>
          </w:pPr>
        </w:p>
      </w:tc>
    </w:tr>
  </w:tbl>
  <w:p w14:paraId="544D040F" w14:textId="77777777" w:rsidR="00DC5685" w:rsidRPr="008D2FEC" w:rsidRDefault="00DC5685" w:rsidP="007C4BE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7"/>
    </w:tblGrid>
    <w:tr w:rsidR="00C51E58" w:rsidRPr="0062481A" w14:paraId="632C19E4" w14:textId="77777777" w:rsidTr="008E1758">
      <w:tc>
        <w:tcPr>
          <w:tcW w:w="2500" w:type="pct"/>
          <w:tcMar>
            <w:left w:w="0" w:type="dxa"/>
            <w:right w:w="0" w:type="dxa"/>
          </w:tcMar>
        </w:tcPr>
        <w:p w14:paraId="061E5216" w14:textId="77777777"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BAS 743 03 F / </w:t>
          </w:r>
          <w:r w:rsidR="00DC5685" w:rsidRPr="003B4276">
            <w:rPr>
              <w:rFonts w:ascii="Arial" w:hAnsi="Arial" w:cs="Arial"/>
              <w:sz w:val="16"/>
              <w:szCs w:val="16"/>
              <w:lang w:val="fr-FR"/>
            </w:rPr>
            <w:t>DIVEXO</w:t>
          </w:r>
        </w:p>
        <w:p w14:paraId="543FCB57" w14:textId="77777777" w:rsidR="00C51E58" w:rsidRPr="003B4276" w:rsidRDefault="00C51E58" w:rsidP="00C51E58">
          <w:pPr>
            <w:pStyle w:val="RepPageHeader"/>
            <w:pBdr>
              <w:bottom w:val="single" w:sz="4" w:space="1" w:color="auto"/>
            </w:pBdr>
            <w:rPr>
              <w:rFonts w:ascii="Arial" w:hAnsi="Arial" w:cs="Arial"/>
              <w:sz w:val="16"/>
              <w:szCs w:val="16"/>
              <w:lang w:val="fr-FR"/>
            </w:rPr>
          </w:pPr>
          <w:r w:rsidRPr="003B4276">
            <w:rPr>
              <w:rFonts w:ascii="Arial" w:hAnsi="Arial" w:cs="Arial"/>
              <w:sz w:val="16"/>
              <w:szCs w:val="16"/>
              <w:lang w:val="fr-FR"/>
            </w:rPr>
            <w:t xml:space="preserve">Part B – Section 9 - Core Assessment </w:t>
          </w:r>
        </w:p>
        <w:p w14:paraId="2E68AF09" w14:textId="7E66A1DC" w:rsidR="00C51E58" w:rsidRPr="003B4276" w:rsidRDefault="004B4D5B" w:rsidP="00C51E58">
          <w:pPr>
            <w:pStyle w:val="RepPageHeader"/>
            <w:pBdr>
              <w:bottom w:val="single" w:sz="4" w:space="1" w:color="auto"/>
            </w:pBdr>
            <w:rPr>
              <w:rFonts w:ascii="Arial" w:hAnsi="Arial" w:cs="Arial"/>
              <w:sz w:val="16"/>
              <w:szCs w:val="16"/>
              <w:lang w:val="fr-FR"/>
            </w:rPr>
          </w:pPr>
          <w:r>
            <w:rPr>
              <w:rFonts w:ascii="Arial" w:hAnsi="Arial" w:cs="Arial"/>
              <w:sz w:val="16"/>
              <w:szCs w:val="16"/>
              <w:lang w:val="fr-FR"/>
            </w:rPr>
            <w:t>zRMS</w:t>
          </w:r>
          <w:r w:rsidRPr="003B4276">
            <w:rPr>
              <w:rFonts w:ascii="Arial" w:hAnsi="Arial" w:cs="Arial"/>
              <w:sz w:val="16"/>
              <w:szCs w:val="16"/>
              <w:lang w:val="fr-FR"/>
            </w:rPr>
            <w:t xml:space="preserve"> version</w:t>
          </w:r>
          <w:r>
            <w:rPr>
              <w:rFonts w:ascii="Arial" w:hAnsi="Arial" w:cs="Arial"/>
              <w:sz w:val="16"/>
              <w:szCs w:val="16"/>
              <w:lang w:val="fr-FR"/>
            </w:rPr>
            <w:t xml:space="preserve"> </w:t>
          </w:r>
          <w:r w:rsidR="002B3BB4">
            <w:rPr>
              <w:rFonts w:ascii="Arial" w:hAnsi="Arial" w:cs="Arial"/>
              <w:sz w:val="16"/>
              <w:szCs w:val="16"/>
              <w:lang w:val="fr-FR"/>
            </w:rPr>
            <w:t>Nove</w:t>
          </w:r>
          <w:r w:rsidR="006C550F">
            <w:rPr>
              <w:rFonts w:ascii="Arial" w:hAnsi="Arial" w:cs="Arial"/>
              <w:sz w:val="16"/>
              <w:szCs w:val="16"/>
              <w:lang w:val="fr-FR"/>
            </w:rPr>
            <w:t>m</w:t>
          </w:r>
          <w:r w:rsidR="002B3BB4">
            <w:rPr>
              <w:rFonts w:ascii="Arial" w:hAnsi="Arial" w:cs="Arial"/>
              <w:sz w:val="16"/>
              <w:szCs w:val="16"/>
              <w:lang w:val="fr-FR"/>
            </w:rPr>
            <w:t>ber</w:t>
          </w:r>
          <w:r>
            <w:rPr>
              <w:rFonts w:ascii="Arial" w:hAnsi="Arial" w:cs="Arial"/>
              <w:sz w:val="16"/>
              <w:szCs w:val="16"/>
              <w:lang w:val="fr-FR"/>
            </w:rPr>
            <w:t xml:space="preserve"> 2024</w:t>
          </w:r>
        </w:p>
      </w:tc>
      <w:tc>
        <w:tcPr>
          <w:tcW w:w="2500" w:type="pct"/>
          <w:tcMar>
            <w:left w:w="0" w:type="dxa"/>
            <w:right w:w="0" w:type="dxa"/>
          </w:tcMar>
        </w:tcPr>
        <w:p w14:paraId="010FAB5D" w14:textId="77777777" w:rsidR="00C51E58" w:rsidRPr="0062481A" w:rsidRDefault="00C51E5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00DC5685"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00DC5685"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00DC5685"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00DC5685"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00DC5685"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00DC5685"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512DC003" w14:textId="77777777" w:rsidR="00C51E58" w:rsidRPr="0062481A" w:rsidRDefault="00C51E58" w:rsidP="00C51E58">
          <w:pPr>
            <w:pStyle w:val="RepPageHeader"/>
            <w:pBdr>
              <w:bottom w:val="single" w:sz="4" w:space="1" w:color="auto"/>
            </w:pBdr>
            <w:jc w:val="right"/>
            <w:rPr>
              <w:rFonts w:ascii="Arial" w:hAnsi="Arial" w:cs="Arial"/>
              <w:sz w:val="16"/>
              <w:szCs w:val="16"/>
            </w:rPr>
          </w:pPr>
        </w:p>
      </w:tc>
    </w:tr>
  </w:tbl>
  <w:p w14:paraId="2DEA2D3A" w14:textId="77777777" w:rsidR="0081641D" w:rsidRPr="008D2FEC" w:rsidRDefault="0081641D" w:rsidP="007C4B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17D4DFC"/>
    <w:multiLevelType w:val="hybridMultilevel"/>
    <w:tmpl w:val="53AA370A"/>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0042A8"/>
    <w:multiLevelType w:val="hybridMultilevel"/>
    <w:tmpl w:val="CC7A12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38F2C5B"/>
    <w:multiLevelType w:val="hybridMultilevel"/>
    <w:tmpl w:val="7E90FBD6"/>
    <w:lvl w:ilvl="0" w:tplc="FB5A33FC">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D94486"/>
    <w:multiLevelType w:val="multilevel"/>
    <w:tmpl w:val="3BCE9ACC"/>
    <w:lvl w:ilvl="0">
      <w:start w:val="9"/>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decimal"/>
      <w:pStyle w:val="Nagwek5"/>
      <w:lvlText w:val="%1.%2.%3.%4.%5"/>
      <w:lvlJc w:val="left"/>
      <w:pPr>
        <w:tabs>
          <w:tab w:val="num" w:pos="1418"/>
        </w:tabs>
        <w:ind w:left="1418" w:hanging="1418"/>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E35202"/>
    <w:multiLevelType w:val="multilevel"/>
    <w:tmpl w:val="FA7298AC"/>
    <w:lvl w:ilvl="0">
      <w:start w:val="2"/>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61C09D3"/>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6628F4"/>
    <w:multiLevelType w:val="hybridMultilevel"/>
    <w:tmpl w:val="9AFC1B70"/>
    <w:lvl w:ilvl="0" w:tplc="5EB0F9CA">
      <w:start w:val="8"/>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6C1553E"/>
    <w:multiLevelType w:val="hybridMultilevel"/>
    <w:tmpl w:val="E102C4E2"/>
    <w:lvl w:ilvl="0" w:tplc="8AE4CBC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07671A7F"/>
    <w:multiLevelType w:val="hybridMultilevel"/>
    <w:tmpl w:val="40264F82"/>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99F4F30"/>
    <w:multiLevelType w:val="hybridMultilevel"/>
    <w:tmpl w:val="69704F2A"/>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AF87BDF"/>
    <w:multiLevelType w:val="hybridMultilevel"/>
    <w:tmpl w:val="AE626552"/>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197F98"/>
    <w:multiLevelType w:val="hybridMultilevel"/>
    <w:tmpl w:val="940031CA"/>
    <w:lvl w:ilvl="0" w:tplc="FF784D3A">
      <w:start w:val="1"/>
      <w:numFmt w:val="decimal"/>
      <w:lvlText w:val="%1."/>
      <w:lvlJc w:val="left"/>
      <w:pPr>
        <w:ind w:left="210" w:hanging="360"/>
      </w:pPr>
      <w:rPr>
        <w:rFonts w:hint="default"/>
      </w:rPr>
    </w:lvl>
    <w:lvl w:ilvl="1" w:tplc="04090019" w:tentative="1">
      <w:start w:val="1"/>
      <w:numFmt w:val="lowerLetter"/>
      <w:lvlText w:val="%2."/>
      <w:lvlJc w:val="left"/>
      <w:pPr>
        <w:ind w:left="930" w:hanging="360"/>
      </w:pPr>
    </w:lvl>
    <w:lvl w:ilvl="2" w:tplc="0409001B" w:tentative="1">
      <w:start w:val="1"/>
      <w:numFmt w:val="lowerRoman"/>
      <w:lvlText w:val="%3."/>
      <w:lvlJc w:val="right"/>
      <w:pPr>
        <w:ind w:left="1650" w:hanging="180"/>
      </w:pPr>
    </w:lvl>
    <w:lvl w:ilvl="3" w:tplc="0409000F" w:tentative="1">
      <w:start w:val="1"/>
      <w:numFmt w:val="decimal"/>
      <w:lvlText w:val="%4."/>
      <w:lvlJc w:val="left"/>
      <w:pPr>
        <w:ind w:left="2370" w:hanging="360"/>
      </w:pPr>
    </w:lvl>
    <w:lvl w:ilvl="4" w:tplc="04090019" w:tentative="1">
      <w:start w:val="1"/>
      <w:numFmt w:val="lowerLetter"/>
      <w:lvlText w:val="%5."/>
      <w:lvlJc w:val="left"/>
      <w:pPr>
        <w:ind w:left="3090" w:hanging="360"/>
      </w:pPr>
    </w:lvl>
    <w:lvl w:ilvl="5" w:tplc="0409001B" w:tentative="1">
      <w:start w:val="1"/>
      <w:numFmt w:val="lowerRoman"/>
      <w:lvlText w:val="%6."/>
      <w:lvlJc w:val="right"/>
      <w:pPr>
        <w:ind w:left="3810" w:hanging="180"/>
      </w:pPr>
    </w:lvl>
    <w:lvl w:ilvl="6" w:tplc="0409000F" w:tentative="1">
      <w:start w:val="1"/>
      <w:numFmt w:val="decimal"/>
      <w:lvlText w:val="%7."/>
      <w:lvlJc w:val="left"/>
      <w:pPr>
        <w:ind w:left="4530" w:hanging="360"/>
      </w:pPr>
    </w:lvl>
    <w:lvl w:ilvl="7" w:tplc="04090019" w:tentative="1">
      <w:start w:val="1"/>
      <w:numFmt w:val="lowerLetter"/>
      <w:lvlText w:val="%8."/>
      <w:lvlJc w:val="left"/>
      <w:pPr>
        <w:ind w:left="5250" w:hanging="360"/>
      </w:pPr>
    </w:lvl>
    <w:lvl w:ilvl="8" w:tplc="0409001B" w:tentative="1">
      <w:start w:val="1"/>
      <w:numFmt w:val="lowerRoman"/>
      <w:lvlText w:val="%9."/>
      <w:lvlJc w:val="right"/>
      <w:pPr>
        <w:ind w:left="5970" w:hanging="180"/>
      </w:pPr>
    </w:lvl>
  </w:abstractNum>
  <w:abstractNum w:abstractNumId="17" w15:restartNumberingAfterBreak="0">
    <w:nsid w:val="0C641AE5"/>
    <w:multiLevelType w:val="hybridMultilevel"/>
    <w:tmpl w:val="91D06A1E"/>
    <w:lvl w:ilvl="0" w:tplc="5A389B7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D5242D5"/>
    <w:multiLevelType w:val="hybridMultilevel"/>
    <w:tmpl w:val="70A83722"/>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D761301"/>
    <w:multiLevelType w:val="hybridMultilevel"/>
    <w:tmpl w:val="DCAC4144"/>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F518AD"/>
    <w:multiLevelType w:val="hybridMultilevel"/>
    <w:tmpl w:val="316A1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BC5BC5"/>
    <w:multiLevelType w:val="hybridMultilevel"/>
    <w:tmpl w:val="B516B4E8"/>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D415CD"/>
    <w:multiLevelType w:val="hybridMultilevel"/>
    <w:tmpl w:val="429E2BEC"/>
    <w:lvl w:ilvl="0" w:tplc="AD8A2F7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163E7796"/>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18A76843"/>
    <w:multiLevelType w:val="hybridMultilevel"/>
    <w:tmpl w:val="CB286002"/>
    <w:lvl w:ilvl="0" w:tplc="072A2838">
      <w:start w:val="1"/>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B4D0800"/>
    <w:multiLevelType w:val="hybridMultilevel"/>
    <w:tmpl w:val="683EAD7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B762273"/>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743278"/>
    <w:multiLevelType w:val="hybridMultilevel"/>
    <w:tmpl w:val="9D10D72C"/>
    <w:lvl w:ilvl="0" w:tplc="797896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9" w15:restartNumberingAfterBreak="0">
    <w:nsid w:val="1E6A6F85"/>
    <w:multiLevelType w:val="multilevel"/>
    <w:tmpl w:val="D1B6AA6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1F484150"/>
    <w:multiLevelType w:val="hybridMultilevel"/>
    <w:tmpl w:val="3BA8F51C"/>
    <w:lvl w:ilvl="0" w:tplc="0CB00E0A">
      <w:start w:val="1"/>
      <w:numFmt w:val="decimal"/>
      <w:lvlText w:val="%1."/>
      <w:lvlJc w:val="left"/>
      <w:pPr>
        <w:ind w:left="867" w:hanging="360"/>
      </w:pPr>
      <w:rPr>
        <w:rFonts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31" w15:restartNumberingAfterBreak="0">
    <w:nsid w:val="205F128E"/>
    <w:multiLevelType w:val="hybridMultilevel"/>
    <w:tmpl w:val="4ECA3330"/>
    <w:lvl w:ilvl="0" w:tplc="51C41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DE0762"/>
    <w:multiLevelType w:val="hybridMultilevel"/>
    <w:tmpl w:val="CC7A12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2931375"/>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9E303B"/>
    <w:multiLevelType w:val="hybridMultilevel"/>
    <w:tmpl w:val="0ABACE78"/>
    <w:lvl w:ilvl="0" w:tplc="FF784D3A">
      <w:start w:val="1"/>
      <w:numFmt w:val="decimal"/>
      <w:lvlText w:val="%1."/>
      <w:lvlJc w:val="left"/>
      <w:pPr>
        <w:ind w:left="210" w:hanging="360"/>
      </w:pPr>
      <w:rPr>
        <w:rFonts w:hint="default"/>
      </w:rPr>
    </w:lvl>
    <w:lvl w:ilvl="1" w:tplc="04090019" w:tentative="1">
      <w:start w:val="1"/>
      <w:numFmt w:val="lowerLetter"/>
      <w:lvlText w:val="%2."/>
      <w:lvlJc w:val="left"/>
      <w:pPr>
        <w:ind w:left="930" w:hanging="360"/>
      </w:pPr>
    </w:lvl>
    <w:lvl w:ilvl="2" w:tplc="0409001B" w:tentative="1">
      <w:start w:val="1"/>
      <w:numFmt w:val="lowerRoman"/>
      <w:lvlText w:val="%3."/>
      <w:lvlJc w:val="right"/>
      <w:pPr>
        <w:ind w:left="1650" w:hanging="180"/>
      </w:pPr>
    </w:lvl>
    <w:lvl w:ilvl="3" w:tplc="0409000F" w:tentative="1">
      <w:start w:val="1"/>
      <w:numFmt w:val="decimal"/>
      <w:lvlText w:val="%4."/>
      <w:lvlJc w:val="left"/>
      <w:pPr>
        <w:ind w:left="2370" w:hanging="360"/>
      </w:pPr>
    </w:lvl>
    <w:lvl w:ilvl="4" w:tplc="04090019" w:tentative="1">
      <w:start w:val="1"/>
      <w:numFmt w:val="lowerLetter"/>
      <w:lvlText w:val="%5."/>
      <w:lvlJc w:val="left"/>
      <w:pPr>
        <w:ind w:left="3090" w:hanging="360"/>
      </w:pPr>
    </w:lvl>
    <w:lvl w:ilvl="5" w:tplc="0409001B" w:tentative="1">
      <w:start w:val="1"/>
      <w:numFmt w:val="lowerRoman"/>
      <w:lvlText w:val="%6."/>
      <w:lvlJc w:val="right"/>
      <w:pPr>
        <w:ind w:left="3810" w:hanging="180"/>
      </w:pPr>
    </w:lvl>
    <w:lvl w:ilvl="6" w:tplc="0409000F" w:tentative="1">
      <w:start w:val="1"/>
      <w:numFmt w:val="decimal"/>
      <w:lvlText w:val="%7."/>
      <w:lvlJc w:val="left"/>
      <w:pPr>
        <w:ind w:left="4530" w:hanging="360"/>
      </w:pPr>
    </w:lvl>
    <w:lvl w:ilvl="7" w:tplc="04090019" w:tentative="1">
      <w:start w:val="1"/>
      <w:numFmt w:val="lowerLetter"/>
      <w:lvlText w:val="%8."/>
      <w:lvlJc w:val="left"/>
      <w:pPr>
        <w:ind w:left="5250" w:hanging="360"/>
      </w:pPr>
    </w:lvl>
    <w:lvl w:ilvl="8" w:tplc="0409001B" w:tentative="1">
      <w:start w:val="1"/>
      <w:numFmt w:val="lowerRoman"/>
      <w:lvlText w:val="%9."/>
      <w:lvlJc w:val="right"/>
      <w:pPr>
        <w:ind w:left="5970" w:hanging="180"/>
      </w:pPr>
    </w:lvl>
  </w:abstractNum>
  <w:abstractNum w:abstractNumId="35" w15:restartNumberingAfterBreak="0">
    <w:nsid w:val="23A7680A"/>
    <w:multiLevelType w:val="hybridMultilevel"/>
    <w:tmpl w:val="A2D2D4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4B900D1"/>
    <w:multiLevelType w:val="hybridMultilevel"/>
    <w:tmpl w:val="CADAA5D6"/>
    <w:lvl w:ilvl="0" w:tplc="36FCECC4">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37" w15:restartNumberingAfterBreak="0">
    <w:nsid w:val="258339E5"/>
    <w:multiLevelType w:val="hybridMultilevel"/>
    <w:tmpl w:val="6CFA1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6C21B6D"/>
    <w:multiLevelType w:val="hybridMultilevel"/>
    <w:tmpl w:val="63F87B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7535817"/>
    <w:multiLevelType w:val="hybridMultilevel"/>
    <w:tmpl w:val="9D10D72C"/>
    <w:lvl w:ilvl="0" w:tplc="797896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27D843DD"/>
    <w:multiLevelType w:val="hybridMultilevel"/>
    <w:tmpl w:val="B516B4E8"/>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809089E"/>
    <w:multiLevelType w:val="hybridMultilevel"/>
    <w:tmpl w:val="9AFC1B70"/>
    <w:lvl w:ilvl="0" w:tplc="5EB0F9CA">
      <w:start w:val="8"/>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8DF3E84"/>
    <w:multiLevelType w:val="hybridMultilevel"/>
    <w:tmpl w:val="B882E83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9056D29"/>
    <w:multiLevelType w:val="hybridMultilevel"/>
    <w:tmpl w:val="3AD8D236"/>
    <w:lvl w:ilvl="0" w:tplc="08090015">
      <w:start w:val="1"/>
      <w:numFmt w:val="upperLetter"/>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95F6A85"/>
    <w:multiLevelType w:val="hybridMultilevel"/>
    <w:tmpl w:val="82CE8650"/>
    <w:lvl w:ilvl="0" w:tplc="4DE472B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5" w15:restartNumberingAfterBreak="0">
    <w:nsid w:val="29A8441C"/>
    <w:multiLevelType w:val="hybridMultilevel"/>
    <w:tmpl w:val="B516B4E8"/>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A7E4E52"/>
    <w:multiLevelType w:val="hybridMultilevel"/>
    <w:tmpl w:val="BA6EA432"/>
    <w:lvl w:ilvl="0" w:tplc="23086C40">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47" w15:restartNumberingAfterBreak="0">
    <w:nsid w:val="2BC61287"/>
    <w:multiLevelType w:val="hybridMultilevel"/>
    <w:tmpl w:val="1E8C60AA"/>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D3E6BF8"/>
    <w:multiLevelType w:val="hybridMultilevel"/>
    <w:tmpl w:val="41802E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D4A1E4B"/>
    <w:multiLevelType w:val="hybridMultilevel"/>
    <w:tmpl w:val="7DCEC50E"/>
    <w:lvl w:ilvl="0" w:tplc="0B308508">
      <w:start w:val="1"/>
      <w:numFmt w:val="upperLetter"/>
      <w:pStyle w:val="MMHeading2"/>
      <w:lvlText w:val="%1."/>
      <w:lvlJc w:val="left"/>
      <w:pPr>
        <w:ind w:left="360" w:hanging="360"/>
      </w:pPr>
      <w:rPr>
        <w:rFonts w:ascii="Times New Roman Bold" w:hAnsi="Times New Roman Bold" w:hint="default"/>
        <w:b/>
        <w:bCs/>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2E00711A"/>
    <w:multiLevelType w:val="hybridMultilevel"/>
    <w:tmpl w:val="F892C29A"/>
    <w:lvl w:ilvl="0" w:tplc="1E7A6F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F3A7F93"/>
    <w:multiLevelType w:val="hybridMultilevel"/>
    <w:tmpl w:val="69704F2A"/>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FB72CFC"/>
    <w:multiLevelType w:val="hybridMultilevel"/>
    <w:tmpl w:val="B882E83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03A62A7"/>
    <w:multiLevelType w:val="hybridMultilevel"/>
    <w:tmpl w:val="C59A1EB0"/>
    <w:name w:val="dRRAppendix3322222222222222"/>
    <w:lvl w:ilvl="0" w:tplc="957E6806">
      <w:start w:val="1"/>
      <w:numFmt w:val="bullet"/>
      <w:lvlText w:val="-"/>
      <w:lvlJc w:val="left"/>
      <w:pPr>
        <w:ind w:left="720" w:hanging="360"/>
      </w:pPr>
      <w:rPr>
        <w:rFonts w:ascii="Times New Roman" w:eastAsia="Times New Roman" w:hAnsi="Times New Roman" w:cs="Times New Roman" w:hint="default"/>
      </w:rPr>
    </w:lvl>
    <w:lvl w:ilvl="1" w:tplc="238C391E" w:tentative="1">
      <w:start w:val="1"/>
      <w:numFmt w:val="bullet"/>
      <w:lvlText w:val="o"/>
      <w:lvlJc w:val="left"/>
      <w:pPr>
        <w:ind w:left="1440" w:hanging="360"/>
      </w:pPr>
      <w:rPr>
        <w:rFonts w:ascii="Courier New" w:hAnsi="Courier New" w:cs="Courier New" w:hint="default"/>
      </w:rPr>
    </w:lvl>
    <w:lvl w:ilvl="2" w:tplc="945AC51A" w:tentative="1">
      <w:start w:val="1"/>
      <w:numFmt w:val="bullet"/>
      <w:lvlText w:val=""/>
      <w:lvlJc w:val="left"/>
      <w:pPr>
        <w:ind w:left="2160" w:hanging="360"/>
      </w:pPr>
      <w:rPr>
        <w:rFonts w:ascii="Wingdings" w:hAnsi="Wingdings" w:hint="default"/>
      </w:rPr>
    </w:lvl>
    <w:lvl w:ilvl="3" w:tplc="EE303C4A" w:tentative="1">
      <w:start w:val="1"/>
      <w:numFmt w:val="bullet"/>
      <w:lvlText w:val=""/>
      <w:lvlJc w:val="left"/>
      <w:pPr>
        <w:ind w:left="2880" w:hanging="360"/>
      </w:pPr>
      <w:rPr>
        <w:rFonts w:ascii="Symbol" w:hAnsi="Symbol" w:hint="default"/>
      </w:rPr>
    </w:lvl>
    <w:lvl w:ilvl="4" w:tplc="690E95FE" w:tentative="1">
      <w:start w:val="1"/>
      <w:numFmt w:val="bullet"/>
      <w:lvlText w:val="o"/>
      <w:lvlJc w:val="left"/>
      <w:pPr>
        <w:ind w:left="3600" w:hanging="360"/>
      </w:pPr>
      <w:rPr>
        <w:rFonts w:ascii="Courier New" w:hAnsi="Courier New" w:cs="Courier New" w:hint="default"/>
      </w:rPr>
    </w:lvl>
    <w:lvl w:ilvl="5" w:tplc="BDC81DC0" w:tentative="1">
      <w:start w:val="1"/>
      <w:numFmt w:val="bullet"/>
      <w:lvlText w:val=""/>
      <w:lvlJc w:val="left"/>
      <w:pPr>
        <w:ind w:left="4320" w:hanging="360"/>
      </w:pPr>
      <w:rPr>
        <w:rFonts w:ascii="Wingdings" w:hAnsi="Wingdings" w:hint="default"/>
      </w:rPr>
    </w:lvl>
    <w:lvl w:ilvl="6" w:tplc="9A567006" w:tentative="1">
      <w:start w:val="1"/>
      <w:numFmt w:val="bullet"/>
      <w:lvlText w:val=""/>
      <w:lvlJc w:val="left"/>
      <w:pPr>
        <w:ind w:left="5040" w:hanging="360"/>
      </w:pPr>
      <w:rPr>
        <w:rFonts w:ascii="Symbol" w:hAnsi="Symbol" w:hint="default"/>
      </w:rPr>
    </w:lvl>
    <w:lvl w:ilvl="7" w:tplc="34AE52BA" w:tentative="1">
      <w:start w:val="1"/>
      <w:numFmt w:val="bullet"/>
      <w:lvlText w:val="o"/>
      <w:lvlJc w:val="left"/>
      <w:pPr>
        <w:ind w:left="5760" w:hanging="360"/>
      </w:pPr>
      <w:rPr>
        <w:rFonts w:ascii="Courier New" w:hAnsi="Courier New" w:cs="Courier New" w:hint="default"/>
      </w:rPr>
    </w:lvl>
    <w:lvl w:ilvl="8" w:tplc="098A631C" w:tentative="1">
      <w:start w:val="1"/>
      <w:numFmt w:val="bullet"/>
      <w:lvlText w:val=""/>
      <w:lvlJc w:val="left"/>
      <w:pPr>
        <w:ind w:left="6480" w:hanging="360"/>
      </w:pPr>
      <w:rPr>
        <w:rFonts w:ascii="Wingdings" w:hAnsi="Wingdings" w:hint="default"/>
      </w:rPr>
    </w:lvl>
  </w:abstractNum>
  <w:abstractNum w:abstractNumId="54" w15:restartNumberingAfterBreak="0">
    <w:nsid w:val="30F1571F"/>
    <w:multiLevelType w:val="multilevel"/>
    <w:tmpl w:val="04070025"/>
    <w:name w:val="dRRAppendix33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32DD0723"/>
    <w:multiLevelType w:val="hybridMultilevel"/>
    <w:tmpl w:val="F34426A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6A62F36"/>
    <w:multiLevelType w:val="hybridMultilevel"/>
    <w:tmpl w:val="85C2E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9D305F"/>
    <w:multiLevelType w:val="hybridMultilevel"/>
    <w:tmpl w:val="D7267FDA"/>
    <w:lvl w:ilvl="0" w:tplc="E1C01246">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8" w15:restartNumberingAfterBreak="0">
    <w:nsid w:val="38931DE4"/>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A75622C"/>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295657"/>
    <w:multiLevelType w:val="multilevel"/>
    <w:tmpl w:val="F956F364"/>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C181B1A"/>
    <w:multiLevelType w:val="hybridMultilevel"/>
    <w:tmpl w:val="8B282684"/>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C775565"/>
    <w:multiLevelType w:val="hybridMultilevel"/>
    <w:tmpl w:val="851E3BE4"/>
    <w:lvl w:ilvl="0" w:tplc="C802B052">
      <w:numFmt w:val="bullet"/>
      <w:lvlText w:val="•"/>
      <w:lvlJc w:val="left"/>
      <w:pPr>
        <w:ind w:left="705" w:hanging="705"/>
      </w:pPr>
      <w:rPr>
        <w:rFonts w:ascii="Times New Roman" w:eastAsia="MS Mincho"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3C7A4EA3"/>
    <w:multiLevelType w:val="hybridMultilevel"/>
    <w:tmpl w:val="65BA0AD6"/>
    <w:lvl w:ilvl="0" w:tplc="34A88056">
      <w:start w:val="7"/>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DA177F7"/>
    <w:multiLevelType w:val="hybridMultilevel"/>
    <w:tmpl w:val="0E1A5C80"/>
    <w:lvl w:ilvl="0" w:tplc="F0FC7EE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DA2231B"/>
    <w:multiLevelType w:val="hybridMultilevel"/>
    <w:tmpl w:val="03C26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3E3945E2"/>
    <w:multiLevelType w:val="hybridMultilevel"/>
    <w:tmpl w:val="51267E22"/>
    <w:lvl w:ilvl="0" w:tplc="0F4C49FA">
      <w:start w:val="7"/>
      <w:numFmt w:val="decimal"/>
      <w:lvlText w:val="%1."/>
      <w:lvlJc w:val="lef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17449FB"/>
    <w:multiLevelType w:val="hybridMultilevel"/>
    <w:tmpl w:val="E102C4E2"/>
    <w:lvl w:ilvl="0" w:tplc="8AE4CBC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9" w15:restartNumberingAfterBreak="0">
    <w:nsid w:val="43071E96"/>
    <w:multiLevelType w:val="hybridMultilevel"/>
    <w:tmpl w:val="00EA8B3C"/>
    <w:lvl w:ilvl="0" w:tplc="0980EB9C">
      <w:start w:val="1"/>
      <w:numFmt w:val="decimal"/>
      <w:lvlText w:val="%1)"/>
      <w:lvlJc w:val="left"/>
      <w:pPr>
        <w:ind w:left="560" w:hanging="480"/>
      </w:pPr>
      <w:rPr>
        <w:rFonts w:eastAsia="Times New Roman" w:hint="default"/>
        <w:sz w:val="18"/>
        <w:vertAlign w:val="superscript"/>
      </w:rPr>
    </w:lvl>
    <w:lvl w:ilvl="1" w:tplc="04070019" w:tentative="1">
      <w:start w:val="1"/>
      <w:numFmt w:val="lowerLetter"/>
      <w:lvlText w:val="%2."/>
      <w:lvlJc w:val="left"/>
      <w:pPr>
        <w:ind w:left="1160" w:hanging="360"/>
      </w:pPr>
    </w:lvl>
    <w:lvl w:ilvl="2" w:tplc="0407001B" w:tentative="1">
      <w:start w:val="1"/>
      <w:numFmt w:val="lowerRoman"/>
      <w:lvlText w:val="%3."/>
      <w:lvlJc w:val="right"/>
      <w:pPr>
        <w:ind w:left="1880" w:hanging="180"/>
      </w:pPr>
    </w:lvl>
    <w:lvl w:ilvl="3" w:tplc="0407000F" w:tentative="1">
      <w:start w:val="1"/>
      <w:numFmt w:val="decimal"/>
      <w:lvlText w:val="%4."/>
      <w:lvlJc w:val="left"/>
      <w:pPr>
        <w:ind w:left="2600" w:hanging="360"/>
      </w:pPr>
    </w:lvl>
    <w:lvl w:ilvl="4" w:tplc="04070019" w:tentative="1">
      <w:start w:val="1"/>
      <w:numFmt w:val="lowerLetter"/>
      <w:lvlText w:val="%5."/>
      <w:lvlJc w:val="left"/>
      <w:pPr>
        <w:ind w:left="3320" w:hanging="360"/>
      </w:pPr>
    </w:lvl>
    <w:lvl w:ilvl="5" w:tplc="0407001B" w:tentative="1">
      <w:start w:val="1"/>
      <w:numFmt w:val="lowerRoman"/>
      <w:lvlText w:val="%6."/>
      <w:lvlJc w:val="right"/>
      <w:pPr>
        <w:ind w:left="4040" w:hanging="180"/>
      </w:pPr>
    </w:lvl>
    <w:lvl w:ilvl="6" w:tplc="0407000F" w:tentative="1">
      <w:start w:val="1"/>
      <w:numFmt w:val="decimal"/>
      <w:lvlText w:val="%7."/>
      <w:lvlJc w:val="left"/>
      <w:pPr>
        <w:ind w:left="4760" w:hanging="360"/>
      </w:pPr>
    </w:lvl>
    <w:lvl w:ilvl="7" w:tplc="04070019" w:tentative="1">
      <w:start w:val="1"/>
      <w:numFmt w:val="lowerLetter"/>
      <w:lvlText w:val="%8."/>
      <w:lvlJc w:val="left"/>
      <w:pPr>
        <w:ind w:left="5480" w:hanging="360"/>
      </w:pPr>
    </w:lvl>
    <w:lvl w:ilvl="8" w:tplc="0407001B" w:tentative="1">
      <w:start w:val="1"/>
      <w:numFmt w:val="lowerRoman"/>
      <w:lvlText w:val="%9."/>
      <w:lvlJc w:val="right"/>
      <w:pPr>
        <w:ind w:left="6200" w:hanging="180"/>
      </w:pPr>
    </w:lvl>
  </w:abstractNum>
  <w:abstractNum w:abstractNumId="70" w15:restartNumberingAfterBreak="0">
    <w:nsid w:val="43973F76"/>
    <w:multiLevelType w:val="hybridMultilevel"/>
    <w:tmpl w:val="AC6C1692"/>
    <w:lvl w:ilvl="0" w:tplc="01ECFC38">
      <w:start w:val="4"/>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E07DD"/>
    <w:multiLevelType w:val="hybridMultilevel"/>
    <w:tmpl w:val="B516B4E8"/>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6557024"/>
    <w:multiLevelType w:val="hybridMultilevel"/>
    <w:tmpl w:val="F892B6A0"/>
    <w:lvl w:ilvl="0" w:tplc="700CECD2">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46BD0F58"/>
    <w:multiLevelType w:val="hybridMultilevel"/>
    <w:tmpl w:val="B030C4FA"/>
    <w:lvl w:ilvl="0" w:tplc="0D7A671A">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74" w15:restartNumberingAfterBreak="0">
    <w:nsid w:val="498E1359"/>
    <w:multiLevelType w:val="hybridMultilevel"/>
    <w:tmpl w:val="91D06A1E"/>
    <w:lvl w:ilvl="0" w:tplc="5A389B7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9B14439"/>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A64316B"/>
    <w:multiLevelType w:val="hybridMultilevel"/>
    <w:tmpl w:val="85C2E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A99131D"/>
    <w:multiLevelType w:val="hybridMultilevel"/>
    <w:tmpl w:val="53AA370A"/>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AC36F56"/>
    <w:multiLevelType w:val="hybridMultilevel"/>
    <w:tmpl w:val="559217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B1C458B"/>
    <w:multiLevelType w:val="hybridMultilevel"/>
    <w:tmpl w:val="54BC2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BA405B7"/>
    <w:multiLevelType w:val="hybridMultilevel"/>
    <w:tmpl w:val="C4322F62"/>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BB100D3"/>
    <w:multiLevelType w:val="hybridMultilevel"/>
    <w:tmpl w:val="B516B4E8"/>
    <w:lvl w:ilvl="0" w:tplc="08090015">
      <w:start w:val="1"/>
      <w:numFmt w:val="upp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BF65030"/>
    <w:multiLevelType w:val="hybridMultilevel"/>
    <w:tmpl w:val="D982DA6E"/>
    <w:lvl w:ilvl="0" w:tplc="9FCAA26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4D271CF5"/>
    <w:multiLevelType w:val="hybridMultilevel"/>
    <w:tmpl w:val="78920F6A"/>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A048F"/>
    <w:multiLevelType w:val="hybridMultilevel"/>
    <w:tmpl w:val="CADAA5D6"/>
    <w:lvl w:ilvl="0" w:tplc="36FCECC4">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85" w15:restartNumberingAfterBreak="0">
    <w:nsid w:val="52107861"/>
    <w:multiLevelType w:val="hybridMultilevel"/>
    <w:tmpl w:val="69704F2A"/>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526D618C"/>
    <w:multiLevelType w:val="hybridMultilevel"/>
    <w:tmpl w:val="F0603A14"/>
    <w:lvl w:ilvl="0" w:tplc="9FCAA26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539D6862"/>
    <w:multiLevelType w:val="hybridMultilevel"/>
    <w:tmpl w:val="8B282684"/>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15:restartNumberingAfterBreak="0">
    <w:nsid w:val="56E14AB6"/>
    <w:multiLevelType w:val="hybridMultilevel"/>
    <w:tmpl w:val="85C2E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75D5ABA"/>
    <w:multiLevelType w:val="hybridMultilevel"/>
    <w:tmpl w:val="90E2A810"/>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57E53E14"/>
    <w:multiLevelType w:val="hybridMultilevel"/>
    <w:tmpl w:val="B030C4FA"/>
    <w:lvl w:ilvl="0" w:tplc="0D7A671A">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abstractNum w:abstractNumId="92" w15:restartNumberingAfterBreak="0">
    <w:nsid w:val="58A0363F"/>
    <w:multiLevelType w:val="multilevel"/>
    <w:tmpl w:val="46E87F34"/>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93" w15:restartNumberingAfterBreak="0">
    <w:nsid w:val="59C111E6"/>
    <w:multiLevelType w:val="hybridMultilevel"/>
    <w:tmpl w:val="E6BE8F18"/>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566BC6"/>
    <w:multiLevelType w:val="hybridMultilevel"/>
    <w:tmpl w:val="E7A66D28"/>
    <w:lvl w:ilvl="0" w:tplc="783C008A">
      <w:start w:val="1"/>
      <w:numFmt w:val="upperRoman"/>
      <w:lvlText w:val="%1."/>
      <w:lvlJc w:val="left"/>
      <w:pPr>
        <w:ind w:left="3414" w:hanging="720"/>
      </w:pPr>
      <w:rPr>
        <w:rFonts w:hint="default"/>
        <w:sz w:val="24"/>
        <w:szCs w:val="24"/>
      </w:rPr>
    </w:lvl>
    <w:lvl w:ilvl="1" w:tplc="04090019">
      <w:start w:val="1"/>
      <w:numFmt w:val="lowerLetter"/>
      <w:lvlText w:val="%2."/>
      <w:lvlJc w:val="left"/>
      <w:pPr>
        <w:ind w:left="3774" w:hanging="360"/>
      </w:pPr>
    </w:lvl>
    <w:lvl w:ilvl="2" w:tplc="0409001B">
      <w:start w:val="1"/>
      <w:numFmt w:val="lowerRoman"/>
      <w:lvlText w:val="%3."/>
      <w:lvlJc w:val="right"/>
      <w:pPr>
        <w:ind w:left="4494" w:hanging="180"/>
      </w:pPr>
    </w:lvl>
    <w:lvl w:ilvl="3" w:tplc="90F201BC">
      <w:start w:val="1"/>
      <w:numFmt w:val="decimal"/>
      <w:pStyle w:val="Subheading1"/>
      <w:lvlText w:val="%4."/>
      <w:lvlJc w:val="left"/>
      <w:pPr>
        <w:ind w:left="2694" w:hanging="360"/>
      </w:pPr>
      <w:rPr>
        <w:rFonts w:ascii="Times New Roman Bold" w:hAnsi="Times New Roman Bold" w:hint="default"/>
        <w:b/>
        <w:i w:val="0"/>
        <w:caps w:val="0"/>
        <w:strike w:val="0"/>
        <w:dstrike w:val="0"/>
        <w:vanish w:val="0"/>
        <w:color w:val="auto"/>
        <w:sz w:val="24"/>
        <w:szCs w:val="24"/>
        <w:vertAlign w:val="baseline"/>
      </w:rPr>
    </w:lvl>
    <w:lvl w:ilvl="4" w:tplc="04090019">
      <w:start w:val="1"/>
      <w:numFmt w:val="lowerLetter"/>
      <w:lvlText w:val="%5."/>
      <w:lvlJc w:val="left"/>
      <w:pPr>
        <w:ind w:left="5934" w:hanging="360"/>
      </w:pPr>
    </w:lvl>
    <w:lvl w:ilvl="5" w:tplc="0409001B">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95" w15:restartNumberingAfterBreak="0">
    <w:nsid w:val="5C3401B0"/>
    <w:multiLevelType w:val="hybridMultilevel"/>
    <w:tmpl w:val="CD1C2D5A"/>
    <w:name w:val="dRRAppendix3322222"/>
    <w:lvl w:ilvl="0" w:tplc="EE1E8C2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6" w15:restartNumberingAfterBreak="0">
    <w:nsid w:val="5C3D4AEC"/>
    <w:multiLevelType w:val="hybridMultilevel"/>
    <w:tmpl w:val="2EEC8D30"/>
    <w:lvl w:ilvl="0" w:tplc="28989836">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C7369B3"/>
    <w:multiLevelType w:val="hybridMultilevel"/>
    <w:tmpl w:val="9D10D72C"/>
    <w:lvl w:ilvl="0" w:tplc="797896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8" w15:restartNumberingAfterBreak="0">
    <w:nsid w:val="5CEB5AC0"/>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D3E5DE1"/>
    <w:multiLevelType w:val="hybridMultilevel"/>
    <w:tmpl w:val="82CA0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175B85"/>
    <w:multiLevelType w:val="hybridMultilevel"/>
    <w:tmpl w:val="63F87B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E786DAB"/>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FBC71CF"/>
    <w:multiLevelType w:val="hybridMultilevel"/>
    <w:tmpl w:val="1E422E04"/>
    <w:lvl w:ilvl="0" w:tplc="29F4E2D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04873A2"/>
    <w:multiLevelType w:val="hybridMultilevel"/>
    <w:tmpl w:val="C336A99C"/>
    <w:lvl w:ilvl="0" w:tplc="40682CC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3393CC9"/>
    <w:multiLevelType w:val="hybridMultilevel"/>
    <w:tmpl w:val="7E90FBD6"/>
    <w:lvl w:ilvl="0" w:tplc="FB5A33FC">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42E7B4A"/>
    <w:multiLevelType w:val="hybridMultilevel"/>
    <w:tmpl w:val="01F45450"/>
    <w:lvl w:ilvl="0" w:tplc="CD76E81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4EC7817"/>
    <w:multiLevelType w:val="hybridMultilevel"/>
    <w:tmpl w:val="CC7A12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5D7437C"/>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6483010"/>
    <w:multiLevelType w:val="hybridMultilevel"/>
    <w:tmpl w:val="18781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A4C3181"/>
    <w:multiLevelType w:val="hybridMultilevel"/>
    <w:tmpl w:val="91D06A1E"/>
    <w:lvl w:ilvl="0" w:tplc="5A389B7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6DAB7A65"/>
    <w:multiLevelType w:val="hybridMultilevel"/>
    <w:tmpl w:val="85C2E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EDE0B76"/>
    <w:multiLevelType w:val="hybridMultilevel"/>
    <w:tmpl w:val="85C2E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6F20785D"/>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2D524B8"/>
    <w:multiLevelType w:val="singleLevel"/>
    <w:tmpl w:val="90021228"/>
    <w:lvl w:ilvl="0">
      <w:start w:val="1"/>
      <w:numFmt w:val="lowerLetter"/>
      <w:pStyle w:val="Absatz1"/>
      <w:lvlText w:val="%1)"/>
      <w:lvlJc w:val="left"/>
      <w:pPr>
        <w:tabs>
          <w:tab w:val="num" w:pos="360"/>
        </w:tabs>
        <w:ind w:left="360" w:hanging="360"/>
      </w:pPr>
    </w:lvl>
  </w:abstractNum>
  <w:abstractNum w:abstractNumId="115" w15:restartNumberingAfterBreak="0">
    <w:nsid w:val="73572990"/>
    <w:multiLevelType w:val="hybridMultilevel"/>
    <w:tmpl w:val="52202EE2"/>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38A436F"/>
    <w:multiLevelType w:val="hybridMultilevel"/>
    <w:tmpl w:val="53AA370A"/>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3DC20F9"/>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4A3500D"/>
    <w:multiLevelType w:val="hybridMultilevel"/>
    <w:tmpl w:val="CB7609BA"/>
    <w:lvl w:ilvl="0" w:tplc="51C41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5A81224"/>
    <w:multiLevelType w:val="hybridMultilevel"/>
    <w:tmpl w:val="10803DB2"/>
    <w:lvl w:ilvl="0" w:tplc="F626AA1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1" w15:restartNumberingAfterBreak="0">
    <w:nsid w:val="75BF6CDC"/>
    <w:multiLevelType w:val="hybridMultilevel"/>
    <w:tmpl w:val="F1366162"/>
    <w:lvl w:ilvl="0" w:tplc="D602B55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2" w15:restartNumberingAfterBreak="0">
    <w:nsid w:val="77D9073A"/>
    <w:multiLevelType w:val="hybridMultilevel"/>
    <w:tmpl w:val="0C44CE06"/>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4" w15:restartNumberingAfterBreak="0">
    <w:nsid w:val="78813A56"/>
    <w:multiLevelType w:val="hybridMultilevel"/>
    <w:tmpl w:val="B4AA5214"/>
    <w:lvl w:ilvl="0" w:tplc="700CECD2">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78CB5F0B"/>
    <w:multiLevelType w:val="hybridMultilevel"/>
    <w:tmpl w:val="5CCECDD8"/>
    <w:lvl w:ilvl="0" w:tplc="9716A5B2">
      <w:start w:val="1"/>
      <w:numFmt w:val="decimal"/>
      <w:lvlText w:val="%1)"/>
      <w:lvlJc w:val="left"/>
      <w:pPr>
        <w:ind w:left="720" w:hanging="360"/>
      </w:pPr>
      <w:rPr>
        <w:rFonts w:hint="default"/>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97A1E55"/>
    <w:multiLevelType w:val="hybridMultilevel"/>
    <w:tmpl w:val="E102C4E2"/>
    <w:lvl w:ilvl="0" w:tplc="8AE4CBC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7" w15:restartNumberingAfterBreak="0">
    <w:nsid w:val="79D9586F"/>
    <w:multiLevelType w:val="hybridMultilevel"/>
    <w:tmpl w:val="810ABA56"/>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B023FA4"/>
    <w:multiLevelType w:val="hybridMultilevel"/>
    <w:tmpl w:val="32E4D086"/>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B0A0B1F"/>
    <w:multiLevelType w:val="multilevel"/>
    <w:tmpl w:val="1AF811D0"/>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0" w15:restartNumberingAfterBreak="0">
    <w:nsid w:val="7B717981"/>
    <w:multiLevelType w:val="hybridMultilevel"/>
    <w:tmpl w:val="78920F6A"/>
    <w:lvl w:ilvl="0" w:tplc="9A3EECCA">
      <w:start w:val="1"/>
      <w:numFmt w:val="decimal"/>
      <w:lvlText w:val="%1."/>
      <w:lvlJc w:val="left"/>
      <w:pPr>
        <w:ind w:left="8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CBD3D87"/>
    <w:multiLevelType w:val="hybridMultilevel"/>
    <w:tmpl w:val="78A4C070"/>
    <w:lvl w:ilvl="0" w:tplc="BFF0D67C">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D947451"/>
    <w:multiLevelType w:val="hybridMultilevel"/>
    <w:tmpl w:val="6DA6EE90"/>
    <w:lvl w:ilvl="0" w:tplc="28D0313E">
      <w:start w:val="1"/>
      <w:numFmt w:val="decimal"/>
      <w:lvlText w:val="(%1)"/>
      <w:lvlJc w:val="left"/>
      <w:pPr>
        <w:ind w:left="360"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3" w15:restartNumberingAfterBreak="0">
    <w:nsid w:val="7D9917EC"/>
    <w:multiLevelType w:val="hybridMultilevel"/>
    <w:tmpl w:val="3FFAD08E"/>
    <w:lvl w:ilvl="0" w:tplc="0A1C2646">
      <w:start w:val="1"/>
      <w:numFmt w:val="upperLetter"/>
      <w:lvlText w:val="%1."/>
      <w:lvlJc w:val="left"/>
      <w:pPr>
        <w:ind w:left="64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E1670A0"/>
    <w:multiLevelType w:val="hybridMultilevel"/>
    <w:tmpl w:val="B030C4FA"/>
    <w:lvl w:ilvl="0" w:tplc="0D7A671A">
      <w:start w:val="1"/>
      <w:numFmt w:val="upperRoman"/>
      <w:lvlText w:val="%1."/>
      <w:lvlJc w:val="left"/>
      <w:pPr>
        <w:ind w:left="1009" w:hanging="720"/>
      </w:pPr>
      <w:rPr>
        <w:rFonts w:hint="default"/>
      </w:rPr>
    </w:lvl>
    <w:lvl w:ilvl="1" w:tplc="08090019" w:tentative="1">
      <w:start w:val="1"/>
      <w:numFmt w:val="lowerLetter"/>
      <w:lvlText w:val="%2."/>
      <w:lvlJc w:val="left"/>
      <w:pPr>
        <w:ind w:left="1369" w:hanging="360"/>
      </w:pPr>
    </w:lvl>
    <w:lvl w:ilvl="2" w:tplc="0809001B" w:tentative="1">
      <w:start w:val="1"/>
      <w:numFmt w:val="lowerRoman"/>
      <w:lvlText w:val="%3."/>
      <w:lvlJc w:val="right"/>
      <w:pPr>
        <w:ind w:left="2089" w:hanging="180"/>
      </w:pPr>
    </w:lvl>
    <w:lvl w:ilvl="3" w:tplc="0809000F" w:tentative="1">
      <w:start w:val="1"/>
      <w:numFmt w:val="decimal"/>
      <w:lvlText w:val="%4."/>
      <w:lvlJc w:val="left"/>
      <w:pPr>
        <w:ind w:left="2809" w:hanging="360"/>
      </w:pPr>
    </w:lvl>
    <w:lvl w:ilvl="4" w:tplc="08090019" w:tentative="1">
      <w:start w:val="1"/>
      <w:numFmt w:val="lowerLetter"/>
      <w:lvlText w:val="%5."/>
      <w:lvlJc w:val="left"/>
      <w:pPr>
        <w:ind w:left="3529" w:hanging="360"/>
      </w:pPr>
    </w:lvl>
    <w:lvl w:ilvl="5" w:tplc="0809001B" w:tentative="1">
      <w:start w:val="1"/>
      <w:numFmt w:val="lowerRoman"/>
      <w:lvlText w:val="%6."/>
      <w:lvlJc w:val="right"/>
      <w:pPr>
        <w:ind w:left="4249" w:hanging="180"/>
      </w:pPr>
    </w:lvl>
    <w:lvl w:ilvl="6" w:tplc="0809000F" w:tentative="1">
      <w:start w:val="1"/>
      <w:numFmt w:val="decimal"/>
      <w:lvlText w:val="%7."/>
      <w:lvlJc w:val="left"/>
      <w:pPr>
        <w:ind w:left="4969" w:hanging="360"/>
      </w:pPr>
    </w:lvl>
    <w:lvl w:ilvl="7" w:tplc="08090019" w:tentative="1">
      <w:start w:val="1"/>
      <w:numFmt w:val="lowerLetter"/>
      <w:lvlText w:val="%8."/>
      <w:lvlJc w:val="left"/>
      <w:pPr>
        <w:ind w:left="5689" w:hanging="360"/>
      </w:pPr>
    </w:lvl>
    <w:lvl w:ilvl="8" w:tplc="0809001B" w:tentative="1">
      <w:start w:val="1"/>
      <w:numFmt w:val="lowerRoman"/>
      <w:lvlText w:val="%9."/>
      <w:lvlJc w:val="right"/>
      <w:pPr>
        <w:ind w:left="6409" w:hanging="180"/>
      </w:pPr>
    </w:lvl>
  </w:abstractNum>
  <w:num w:numId="1" w16cid:durableId="538518630">
    <w:abstractNumId w:val="3"/>
  </w:num>
  <w:num w:numId="2" w16cid:durableId="493297015">
    <w:abstractNumId w:val="2"/>
  </w:num>
  <w:num w:numId="3" w16cid:durableId="1060979343">
    <w:abstractNumId w:val="1"/>
  </w:num>
  <w:num w:numId="4" w16cid:durableId="1785886470">
    <w:abstractNumId w:val="0"/>
  </w:num>
  <w:num w:numId="5" w16cid:durableId="746657325">
    <w:abstractNumId w:val="7"/>
  </w:num>
  <w:num w:numId="6" w16cid:durableId="1122382518">
    <w:abstractNumId w:val="24"/>
  </w:num>
  <w:num w:numId="7" w16cid:durableId="1340695929">
    <w:abstractNumId w:val="88"/>
  </w:num>
  <w:num w:numId="8" w16cid:durableId="1995139897">
    <w:abstractNumId w:val="123"/>
  </w:num>
  <w:num w:numId="9" w16cid:durableId="1548950812">
    <w:abstractNumId w:val="8"/>
  </w:num>
  <w:num w:numId="10" w16cid:durableId="947732947">
    <w:abstractNumId w:val="129"/>
  </w:num>
  <w:num w:numId="11" w16cid:durableId="1059670425">
    <w:abstractNumId w:val="95"/>
  </w:num>
  <w:num w:numId="12" w16cid:durableId="1831796894">
    <w:abstractNumId w:val="44"/>
  </w:num>
  <w:num w:numId="13" w16cid:durableId="774206092">
    <w:abstractNumId w:val="57"/>
  </w:num>
  <w:num w:numId="14" w16cid:durableId="59137961">
    <w:abstractNumId w:val="94"/>
  </w:num>
  <w:num w:numId="15" w16cid:durableId="2046714444">
    <w:abstractNumId w:val="49"/>
  </w:num>
  <w:num w:numId="16" w16cid:durableId="892034938">
    <w:abstractNumId w:val="49"/>
    <w:lvlOverride w:ilvl="0">
      <w:startOverride w:val="1"/>
    </w:lvlOverride>
  </w:num>
  <w:num w:numId="17" w16cid:durableId="222718837">
    <w:abstractNumId w:val="94"/>
    <w:lvlOverride w:ilvl="0">
      <w:startOverride w:val="1"/>
    </w:lvlOverride>
  </w:num>
  <w:num w:numId="18" w16cid:durableId="1979262325">
    <w:abstractNumId w:val="63"/>
  </w:num>
  <w:num w:numId="19" w16cid:durableId="482934879">
    <w:abstractNumId w:val="69"/>
  </w:num>
  <w:num w:numId="20" w16cid:durableId="1137377296">
    <w:abstractNumId w:val="66"/>
  </w:num>
  <w:num w:numId="21" w16cid:durableId="1560900770">
    <w:abstractNumId w:val="132"/>
  </w:num>
  <w:num w:numId="22" w16cid:durableId="109210352">
    <w:abstractNumId w:val="114"/>
  </w:num>
  <w:num w:numId="23" w16cid:durableId="1551653913">
    <w:abstractNumId w:val="125"/>
  </w:num>
  <w:num w:numId="24" w16cid:durableId="1647318115">
    <w:abstractNumId w:val="99"/>
  </w:num>
  <w:num w:numId="25" w16cid:durableId="1449735844">
    <w:abstractNumId w:val="20"/>
  </w:num>
  <w:num w:numId="26" w16cid:durableId="345861826">
    <w:abstractNumId w:val="91"/>
  </w:num>
  <w:num w:numId="27" w16cid:durableId="1562016173">
    <w:abstractNumId w:val="56"/>
  </w:num>
  <w:num w:numId="28" w16cid:durableId="2098404576">
    <w:abstractNumId w:val="36"/>
  </w:num>
  <w:num w:numId="29" w16cid:durableId="400373468">
    <w:abstractNumId w:val="39"/>
  </w:num>
  <w:num w:numId="30" w16cid:durableId="1180117523">
    <w:abstractNumId w:val="5"/>
  </w:num>
  <w:num w:numId="31" w16cid:durableId="1776513015">
    <w:abstractNumId w:val="22"/>
  </w:num>
  <w:num w:numId="32" w16cid:durableId="1834829398">
    <w:abstractNumId w:val="46"/>
  </w:num>
  <w:num w:numId="33" w16cid:durableId="1042555979">
    <w:abstractNumId w:val="42"/>
  </w:num>
  <w:num w:numId="34" w16cid:durableId="1912039444">
    <w:abstractNumId w:val="68"/>
  </w:num>
  <w:num w:numId="35" w16cid:durableId="669332560">
    <w:abstractNumId w:val="121"/>
  </w:num>
  <w:num w:numId="36" w16cid:durableId="1663971120">
    <w:abstractNumId w:val="6"/>
  </w:num>
  <w:num w:numId="37" w16cid:durableId="1272474168">
    <w:abstractNumId w:val="100"/>
  </w:num>
  <w:num w:numId="38" w16cid:durableId="122507535">
    <w:abstractNumId w:val="16"/>
  </w:num>
  <w:num w:numId="39" w16cid:durableId="2100128810">
    <w:abstractNumId w:val="76"/>
  </w:num>
  <w:num w:numId="40" w16cid:durableId="115682558">
    <w:abstractNumId w:val="26"/>
  </w:num>
  <w:num w:numId="41" w16cid:durableId="55905399">
    <w:abstractNumId w:val="52"/>
  </w:num>
  <w:num w:numId="42" w16cid:durableId="1814591412">
    <w:abstractNumId w:val="43"/>
  </w:num>
  <w:num w:numId="43" w16cid:durableId="213391591">
    <w:abstractNumId w:val="34"/>
  </w:num>
  <w:num w:numId="44" w16cid:durableId="1870023718">
    <w:abstractNumId w:val="84"/>
  </w:num>
  <w:num w:numId="45" w16cid:durableId="630939025">
    <w:abstractNumId w:val="32"/>
  </w:num>
  <w:num w:numId="46" w16cid:durableId="517237223">
    <w:abstractNumId w:val="28"/>
  </w:num>
  <w:num w:numId="47" w16cid:durableId="1247837051">
    <w:abstractNumId w:val="97"/>
  </w:num>
  <w:num w:numId="48" w16cid:durableId="1460878505">
    <w:abstractNumId w:val="67"/>
  </w:num>
  <w:num w:numId="49" w16cid:durableId="304890538">
    <w:abstractNumId w:val="106"/>
  </w:num>
  <w:num w:numId="50" w16cid:durableId="1232353668">
    <w:abstractNumId w:val="73"/>
  </w:num>
  <w:num w:numId="51" w16cid:durableId="1628581272">
    <w:abstractNumId w:val="47"/>
  </w:num>
  <w:num w:numId="52" w16cid:durableId="1554929935">
    <w:abstractNumId w:val="101"/>
  </w:num>
  <w:num w:numId="53" w16cid:durableId="1935894004">
    <w:abstractNumId w:val="134"/>
  </w:num>
  <w:num w:numId="54" w16cid:durableId="968168756">
    <w:abstractNumId w:val="110"/>
  </w:num>
  <w:num w:numId="55" w16cid:durableId="1512645966">
    <w:abstractNumId w:val="11"/>
  </w:num>
  <w:num w:numId="56" w16cid:durableId="1137147481">
    <w:abstractNumId w:val="126"/>
  </w:num>
  <w:num w:numId="57" w16cid:durableId="1853646619">
    <w:abstractNumId w:val="70"/>
  </w:num>
  <w:num w:numId="58" w16cid:durableId="668943173">
    <w:abstractNumId w:val="112"/>
  </w:num>
  <w:num w:numId="59" w16cid:durableId="950697754">
    <w:abstractNumId w:val="89"/>
  </w:num>
  <w:num w:numId="60" w16cid:durableId="1467045276">
    <w:abstractNumId w:val="27"/>
  </w:num>
  <w:num w:numId="61" w16cid:durableId="595866080">
    <w:abstractNumId w:val="12"/>
  </w:num>
  <w:num w:numId="62" w16cid:durableId="675310500">
    <w:abstractNumId w:val="90"/>
  </w:num>
  <w:num w:numId="63" w16cid:durableId="877470638">
    <w:abstractNumId w:val="23"/>
  </w:num>
  <w:num w:numId="64" w16cid:durableId="678429202">
    <w:abstractNumId w:val="40"/>
  </w:num>
  <w:num w:numId="65" w16cid:durableId="1447961876">
    <w:abstractNumId w:val="75"/>
  </w:num>
  <w:num w:numId="66" w16cid:durableId="1488857370">
    <w:abstractNumId w:val="74"/>
  </w:num>
  <w:num w:numId="67" w16cid:durableId="1412005734">
    <w:abstractNumId w:val="115"/>
  </w:num>
  <w:num w:numId="68" w16cid:durableId="949052655">
    <w:abstractNumId w:val="81"/>
  </w:num>
  <w:num w:numId="69" w16cid:durableId="1194922337">
    <w:abstractNumId w:val="107"/>
  </w:num>
  <w:num w:numId="70" w16cid:durableId="2104301078">
    <w:abstractNumId w:val="33"/>
  </w:num>
  <w:num w:numId="71" w16cid:durableId="1437359316">
    <w:abstractNumId w:val="109"/>
  </w:num>
  <w:num w:numId="72" w16cid:durableId="2081050223">
    <w:abstractNumId w:val="133"/>
  </w:num>
  <w:num w:numId="73" w16cid:durableId="1194539054">
    <w:abstractNumId w:val="25"/>
  </w:num>
  <w:num w:numId="74" w16cid:durableId="1838643757">
    <w:abstractNumId w:val="30"/>
  </w:num>
  <w:num w:numId="75" w16cid:durableId="511335494">
    <w:abstractNumId w:val="108"/>
  </w:num>
  <w:num w:numId="76" w16cid:durableId="126558006">
    <w:abstractNumId w:val="104"/>
  </w:num>
  <w:num w:numId="77" w16cid:durableId="1297371490">
    <w:abstractNumId w:val="38"/>
  </w:num>
  <w:num w:numId="78" w16cid:durableId="76292191">
    <w:abstractNumId w:val="79"/>
  </w:num>
  <w:num w:numId="79" w16cid:durableId="167908576">
    <w:abstractNumId w:val="37"/>
  </w:num>
  <w:num w:numId="80" w16cid:durableId="428502407">
    <w:abstractNumId w:val="59"/>
  </w:num>
  <w:num w:numId="81" w16cid:durableId="965505578">
    <w:abstractNumId w:val="113"/>
  </w:num>
  <w:num w:numId="82" w16cid:durableId="1973362200">
    <w:abstractNumId w:val="17"/>
  </w:num>
  <w:num w:numId="83" w16cid:durableId="1653489650">
    <w:abstractNumId w:val="127"/>
  </w:num>
  <w:num w:numId="84" w16cid:durableId="1920480453">
    <w:abstractNumId w:val="71"/>
  </w:num>
  <w:num w:numId="85" w16cid:durableId="1321033944">
    <w:abstractNumId w:val="122"/>
  </w:num>
  <w:num w:numId="86" w16cid:durableId="1661494549">
    <w:abstractNumId w:val="83"/>
  </w:num>
  <w:num w:numId="87" w16cid:durableId="1643150875">
    <w:abstractNumId w:val="14"/>
  </w:num>
  <w:num w:numId="88" w16cid:durableId="206257159">
    <w:abstractNumId w:val="98"/>
  </w:num>
  <w:num w:numId="89" w16cid:durableId="167141816">
    <w:abstractNumId w:val="19"/>
  </w:num>
  <w:num w:numId="90" w16cid:durableId="1460759824">
    <w:abstractNumId w:val="80"/>
  </w:num>
  <w:num w:numId="91" w16cid:durableId="471868631">
    <w:abstractNumId w:val="117"/>
  </w:num>
  <w:num w:numId="92" w16cid:durableId="1498378216">
    <w:abstractNumId w:val="85"/>
  </w:num>
  <w:num w:numId="93" w16cid:durableId="1642223739">
    <w:abstractNumId w:val="130"/>
  </w:num>
  <w:num w:numId="94" w16cid:durableId="1206674611">
    <w:abstractNumId w:val="21"/>
  </w:num>
  <w:num w:numId="95" w16cid:durableId="1672834564">
    <w:abstractNumId w:val="45"/>
  </w:num>
  <w:num w:numId="96" w16cid:durableId="53432480">
    <w:abstractNumId w:val="9"/>
  </w:num>
  <w:num w:numId="97" w16cid:durableId="1179930959">
    <w:abstractNumId w:val="15"/>
  </w:num>
  <w:num w:numId="98" w16cid:durableId="2032602761">
    <w:abstractNumId w:val="51"/>
  </w:num>
  <w:num w:numId="99" w16cid:durableId="1898779650">
    <w:abstractNumId w:val="18"/>
  </w:num>
  <w:num w:numId="100" w16cid:durableId="2127699053">
    <w:abstractNumId w:val="4"/>
  </w:num>
  <w:num w:numId="101" w16cid:durableId="742216337">
    <w:abstractNumId w:val="93"/>
  </w:num>
  <w:num w:numId="102" w16cid:durableId="1906990844">
    <w:abstractNumId w:val="128"/>
  </w:num>
  <w:num w:numId="103" w16cid:durableId="830633257">
    <w:abstractNumId w:val="31"/>
  </w:num>
  <w:num w:numId="104" w16cid:durableId="1183203942">
    <w:abstractNumId w:val="116"/>
  </w:num>
  <w:num w:numId="105" w16cid:durableId="1201045178">
    <w:abstractNumId w:val="87"/>
  </w:num>
  <w:num w:numId="106" w16cid:durableId="664747026">
    <w:abstractNumId w:val="124"/>
  </w:num>
  <w:num w:numId="107" w16cid:durableId="1818761996">
    <w:abstractNumId w:val="41"/>
  </w:num>
  <w:num w:numId="108" w16cid:durableId="289677896">
    <w:abstractNumId w:val="55"/>
  </w:num>
  <w:num w:numId="109" w16cid:durableId="197938034">
    <w:abstractNumId w:val="118"/>
  </w:num>
  <w:num w:numId="110" w16cid:durableId="905804847">
    <w:abstractNumId w:val="77"/>
  </w:num>
  <w:num w:numId="111" w16cid:durableId="38239453">
    <w:abstractNumId w:val="62"/>
  </w:num>
  <w:num w:numId="112" w16cid:durableId="111098424">
    <w:abstractNumId w:val="72"/>
  </w:num>
  <w:num w:numId="113" w16cid:durableId="938873185">
    <w:abstractNumId w:val="10"/>
  </w:num>
  <w:num w:numId="114" w16cid:durableId="1489975861">
    <w:abstractNumId w:val="35"/>
  </w:num>
  <w:num w:numId="115" w16cid:durableId="863396675">
    <w:abstractNumId w:val="65"/>
  </w:num>
  <w:num w:numId="116" w16cid:durableId="1220482066">
    <w:abstractNumId w:val="48"/>
  </w:num>
  <w:num w:numId="117" w16cid:durableId="653263662">
    <w:abstractNumId w:val="58"/>
  </w:num>
  <w:num w:numId="118" w16cid:durableId="469519762">
    <w:abstractNumId w:val="105"/>
  </w:num>
  <w:num w:numId="119" w16cid:durableId="512766080">
    <w:abstractNumId w:val="64"/>
  </w:num>
  <w:num w:numId="120" w16cid:durableId="313339338">
    <w:abstractNumId w:val="96"/>
  </w:num>
  <w:num w:numId="121" w16cid:durableId="635990149">
    <w:abstractNumId w:val="50"/>
  </w:num>
  <w:num w:numId="122" w16cid:durableId="473378561">
    <w:abstractNumId w:val="119"/>
  </w:num>
  <w:num w:numId="123" w16cid:durableId="1461267068">
    <w:abstractNumId w:val="103"/>
  </w:num>
  <w:num w:numId="124" w16cid:durableId="1621716258">
    <w:abstractNumId w:val="78"/>
  </w:num>
  <w:num w:numId="125" w16cid:durableId="1645810692">
    <w:abstractNumId w:val="131"/>
  </w:num>
  <w:num w:numId="126" w16cid:durableId="93598898">
    <w:abstractNumId w:val="102"/>
  </w:num>
  <w:num w:numId="127" w16cid:durableId="555705372">
    <w:abstractNumId w:val="82"/>
  </w:num>
  <w:num w:numId="128" w16cid:durableId="1499998875">
    <w:abstractNumId w:val="61"/>
  </w:num>
  <w:num w:numId="129" w16cid:durableId="149835025">
    <w:abstractNumId w:val="8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fr-FR" w:vendorID="64" w:dllVersion="6" w:nlCheck="1" w:checkStyle="1"/>
  <w:activeWritingStyle w:appName="MSWord" w:lang="it-IT" w:vendorID="64" w:dllVersion="6"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FR" w:vendorID="64" w:dllVersion="0" w:nlCheck="1" w:checkStyle="0"/>
  <w:activeWritingStyle w:appName="MSWord" w:lang="es-ES" w:vendorID="64" w:dllVersion="0" w:nlCheck="1" w:checkStyle="0"/>
  <w:activeWritingStyle w:appName="MSWord" w:lang="de-CH" w:vendorID="64" w:dllVersion="0"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3496"/>
    <w:rsid w:val="00003F44"/>
    <w:rsid w:val="00004682"/>
    <w:rsid w:val="00004A86"/>
    <w:rsid w:val="00005B9B"/>
    <w:rsid w:val="000102D6"/>
    <w:rsid w:val="000105F9"/>
    <w:rsid w:val="000113E8"/>
    <w:rsid w:val="00013E0E"/>
    <w:rsid w:val="0001403A"/>
    <w:rsid w:val="00014B92"/>
    <w:rsid w:val="00014BDE"/>
    <w:rsid w:val="000150E8"/>
    <w:rsid w:val="00015752"/>
    <w:rsid w:val="000168CA"/>
    <w:rsid w:val="00020B02"/>
    <w:rsid w:val="0002157E"/>
    <w:rsid w:val="0002587D"/>
    <w:rsid w:val="00025B66"/>
    <w:rsid w:val="00025D8F"/>
    <w:rsid w:val="000265B2"/>
    <w:rsid w:val="00026CF9"/>
    <w:rsid w:val="00027093"/>
    <w:rsid w:val="00027451"/>
    <w:rsid w:val="00030C2B"/>
    <w:rsid w:val="0003152E"/>
    <w:rsid w:val="00033648"/>
    <w:rsid w:val="00033B41"/>
    <w:rsid w:val="000346A3"/>
    <w:rsid w:val="00034E90"/>
    <w:rsid w:val="000354A8"/>
    <w:rsid w:val="00035DE0"/>
    <w:rsid w:val="000379F4"/>
    <w:rsid w:val="00040826"/>
    <w:rsid w:val="00040983"/>
    <w:rsid w:val="000411E1"/>
    <w:rsid w:val="0004371F"/>
    <w:rsid w:val="00043A58"/>
    <w:rsid w:val="00044542"/>
    <w:rsid w:val="0004560C"/>
    <w:rsid w:val="00047D6E"/>
    <w:rsid w:val="0005236A"/>
    <w:rsid w:val="00054CD1"/>
    <w:rsid w:val="00055CAB"/>
    <w:rsid w:val="000576ED"/>
    <w:rsid w:val="00064B77"/>
    <w:rsid w:val="000657F3"/>
    <w:rsid w:val="000660A0"/>
    <w:rsid w:val="00066879"/>
    <w:rsid w:val="00066E4A"/>
    <w:rsid w:val="00067059"/>
    <w:rsid w:val="00067435"/>
    <w:rsid w:val="00070CEC"/>
    <w:rsid w:val="00071CD0"/>
    <w:rsid w:val="0007485E"/>
    <w:rsid w:val="0007598E"/>
    <w:rsid w:val="00076C6D"/>
    <w:rsid w:val="000779C9"/>
    <w:rsid w:val="00077C14"/>
    <w:rsid w:val="00077DAB"/>
    <w:rsid w:val="00077FD2"/>
    <w:rsid w:val="000802E7"/>
    <w:rsid w:val="000807A9"/>
    <w:rsid w:val="00080D12"/>
    <w:rsid w:val="00083F66"/>
    <w:rsid w:val="000907D5"/>
    <w:rsid w:val="00091FFA"/>
    <w:rsid w:val="00094125"/>
    <w:rsid w:val="00094E9B"/>
    <w:rsid w:val="000969BD"/>
    <w:rsid w:val="000975B8"/>
    <w:rsid w:val="0009767C"/>
    <w:rsid w:val="0009781A"/>
    <w:rsid w:val="000A09FB"/>
    <w:rsid w:val="000A14C3"/>
    <w:rsid w:val="000A1E98"/>
    <w:rsid w:val="000A224D"/>
    <w:rsid w:val="000A2ED2"/>
    <w:rsid w:val="000A30FE"/>
    <w:rsid w:val="000A4BC8"/>
    <w:rsid w:val="000B218E"/>
    <w:rsid w:val="000B2E8A"/>
    <w:rsid w:val="000B2F2B"/>
    <w:rsid w:val="000B55D5"/>
    <w:rsid w:val="000B5FAD"/>
    <w:rsid w:val="000B6ADB"/>
    <w:rsid w:val="000B748E"/>
    <w:rsid w:val="000C2C83"/>
    <w:rsid w:val="000C2DF5"/>
    <w:rsid w:val="000C6C56"/>
    <w:rsid w:val="000C706E"/>
    <w:rsid w:val="000D0EE5"/>
    <w:rsid w:val="000D1DCD"/>
    <w:rsid w:val="000D26A0"/>
    <w:rsid w:val="000D2B38"/>
    <w:rsid w:val="000D5FB7"/>
    <w:rsid w:val="000D6EA6"/>
    <w:rsid w:val="000E0A09"/>
    <w:rsid w:val="000E1183"/>
    <w:rsid w:val="000E151B"/>
    <w:rsid w:val="000E3C4D"/>
    <w:rsid w:val="000E76B7"/>
    <w:rsid w:val="000F04CA"/>
    <w:rsid w:val="000F0D67"/>
    <w:rsid w:val="000F12AD"/>
    <w:rsid w:val="000F1685"/>
    <w:rsid w:val="000F2188"/>
    <w:rsid w:val="000F2994"/>
    <w:rsid w:val="000F3C14"/>
    <w:rsid w:val="001015DF"/>
    <w:rsid w:val="001021F0"/>
    <w:rsid w:val="001022D8"/>
    <w:rsid w:val="00106F5B"/>
    <w:rsid w:val="00107219"/>
    <w:rsid w:val="00107278"/>
    <w:rsid w:val="00111231"/>
    <w:rsid w:val="0011693C"/>
    <w:rsid w:val="001175E7"/>
    <w:rsid w:val="00120DAC"/>
    <w:rsid w:val="0012195F"/>
    <w:rsid w:val="00122081"/>
    <w:rsid w:val="00122438"/>
    <w:rsid w:val="00122BDD"/>
    <w:rsid w:val="001233DB"/>
    <w:rsid w:val="0012471F"/>
    <w:rsid w:val="00125380"/>
    <w:rsid w:val="00126B3A"/>
    <w:rsid w:val="00127BD4"/>
    <w:rsid w:val="0013063E"/>
    <w:rsid w:val="0013154F"/>
    <w:rsid w:val="00131F74"/>
    <w:rsid w:val="0013207A"/>
    <w:rsid w:val="0013248B"/>
    <w:rsid w:val="00133B63"/>
    <w:rsid w:val="001349E8"/>
    <w:rsid w:val="00135464"/>
    <w:rsid w:val="00136F74"/>
    <w:rsid w:val="00142FF0"/>
    <w:rsid w:val="00144D9E"/>
    <w:rsid w:val="001457F5"/>
    <w:rsid w:val="00145E2D"/>
    <w:rsid w:val="00150A3C"/>
    <w:rsid w:val="001514AB"/>
    <w:rsid w:val="00151E5A"/>
    <w:rsid w:val="001534CD"/>
    <w:rsid w:val="001562A9"/>
    <w:rsid w:val="00156B30"/>
    <w:rsid w:val="00157CDD"/>
    <w:rsid w:val="00161058"/>
    <w:rsid w:val="00161C7D"/>
    <w:rsid w:val="001639E2"/>
    <w:rsid w:val="0016430D"/>
    <w:rsid w:val="001645DF"/>
    <w:rsid w:val="001649B3"/>
    <w:rsid w:val="00165036"/>
    <w:rsid w:val="0016520E"/>
    <w:rsid w:val="00165618"/>
    <w:rsid w:val="00165DAB"/>
    <w:rsid w:val="001665C1"/>
    <w:rsid w:val="00166A84"/>
    <w:rsid w:val="00172EB3"/>
    <w:rsid w:val="0017375B"/>
    <w:rsid w:val="00175CB4"/>
    <w:rsid w:val="00176B31"/>
    <w:rsid w:val="001805B3"/>
    <w:rsid w:val="00180ADF"/>
    <w:rsid w:val="001845E8"/>
    <w:rsid w:val="00185541"/>
    <w:rsid w:val="00186541"/>
    <w:rsid w:val="0018786A"/>
    <w:rsid w:val="00190FD8"/>
    <w:rsid w:val="00192C80"/>
    <w:rsid w:val="00193FF4"/>
    <w:rsid w:val="00194CCC"/>
    <w:rsid w:val="00196532"/>
    <w:rsid w:val="00197E8F"/>
    <w:rsid w:val="001A2C17"/>
    <w:rsid w:val="001A3B93"/>
    <w:rsid w:val="001A7AAF"/>
    <w:rsid w:val="001B094F"/>
    <w:rsid w:val="001B11C0"/>
    <w:rsid w:val="001B1C19"/>
    <w:rsid w:val="001B35A9"/>
    <w:rsid w:val="001B3911"/>
    <w:rsid w:val="001B4008"/>
    <w:rsid w:val="001B7B4F"/>
    <w:rsid w:val="001C2071"/>
    <w:rsid w:val="001C5B56"/>
    <w:rsid w:val="001C778D"/>
    <w:rsid w:val="001D1027"/>
    <w:rsid w:val="001D18EB"/>
    <w:rsid w:val="001D4958"/>
    <w:rsid w:val="001D51C3"/>
    <w:rsid w:val="001E0F10"/>
    <w:rsid w:val="001E377E"/>
    <w:rsid w:val="001E6F94"/>
    <w:rsid w:val="001F741C"/>
    <w:rsid w:val="00201DF4"/>
    <w:rsid w:val="00202C53"/>
    <w:rsid w:val="00202FEC"/>
    <w:rsid w:val="0020425C"/>
    <w:rsid w:val="00205B16"/>
    <w:rsid w:val="00205CE6"/>
    <w:rsid w:val="00210CD5"/>
    <w:rsid w:val="00211C06"/>
    <w:rsid w:val="00215039"/>
    <w:rsid w:val="002165B4"/>
    <w:rsid w:val="002203F3"/>
    <w:rsid w:val="0022237D"/>
    <w:rsid w:val="002249C1"/>
    <w:rsid w:val="00230544"/>
    <w:rsid w:val="00230E5D"/>
    <w:rsid w:val="00231BEE"/>
    <w:rsid w:val="00231D6A"/>
    <w:rsid w:val="0023547F"/>
    <w:rsid w:val="002366EA"/>
    <w:rsid w:val="00236B08"/>
    <w:rsid w:val="00241167"/>
    <w:rsid w:val="00242552"/>
    <w:rsid w:val="00242947"/>
    <w:rsid w:val="002436A6"/>
    <w:rsid w:val="00243DC5"/>
    <w:rsid w:val="002442E5"/>
    <w:rsid w:val="00244E5A"/>
    <w:rsid w:val="002502D9"/>
    <w:rsid w:val="00250D7B"/>
    <w:rsid w:val="00253645"/>
    <w:rsid w:val="00254174"/>
    <w:rsid w:val="00254546"/>
    <w:rsid w:val="00254CED"/>
    <w:rsid w:val="00256106"/>
    <w:rsid w:val="002561BA"/>
    <w:rsid w:val="00263264"/>
    <w:rsid w:val="00264D7B"/>
    <w:rsid w:val="00266FA8"/>
    <w:rsid w:val="00267216"/>
    <w:rsid w:val="002713D1"/>
    <w:rsid w:val="00273F80"/>
    <w:rsid w:val="0027536C"/>
    <w:rsid w:val="0027650C"/>
    <w:rsid w:val="00281A8A"/>
    <w:rsid w:val="00282F58"/>
    <w:rsid w:val="002864AC"/>
    <w:rsid w:val="00286A37"/>
    <w:rsid w:val="00291906"/>
    <w:rsid w:val="0029395C"/>
    <w:rsid w:val="00293F54"/>
    <w:rsid w:val="00293F6D"/>
    <w:rsid w:val="00294F03"/>
    <w:rsid w:val="00295502"/>
    <w:rsid w:val="0029595D"/>
    <w:rsid w:val="002A106F"/>
    <w:rsid w:val="002A1303"/>
    <w:rsid w:val="002A2392"/>
    <w:rsid w:val="002A27BF"/>
    <w:rsid w:val="002A31C0"/>
    <w:rsid w:val="002A6B70"/>
    <w:rsid w:val="002A795A"/>
    <w:rsid w:val="002A7A5F"/>
    <w:rsid w:val="002B1114"/>
    <w:rsid w:val="002B1FB6"/>
    <w:rsid w:val="002B350D"/>
    <w:rsid w:val="002B3BB4"/>
    <w:rsid w:val="002C09A0"/>
    <w:rsid w:val="002C3679"/>
    <w:rsid w:val="002C522F"/>
    <w:rsid w:val="002C6457"/>
    <w:rsid w:val="002C69A0"/>
    <w:rsid w:val="002C6B88"/>
    <w:rsid w:val="002C74B7"/>
    <w:rsid w:val="002D1096"/>
    <w:rsid w:val="002D2FC7"/>
    <w:rsid w:val="002D3DC1"/>
    <w:rsid w:val="002D6076"/>
    <w:rsid w:val="002D65D7"/>
    <w:rsid w:val="002D7715"/>
    <w:rsid w:val="002E0075"/>
    <w:rsid w:val="002E162D"/>
    <w:rsid w:val="002E28E6"/>
    <w:rsid w:val="002E2D11"/>
    <w:rsid w:val="002E2F05"/>
    <w:rsid w:val="002E5343"/>
    <w:rsid w:val="002E53E9"/>
    <w:rsid w:val="002E56F6"/>
    <w:rsid w:val="002E78B6"/>
    <w:rsid w:val="002E7F42"/>
    <w:rsid w:val="002F3DCE"/>
    <w:rsid w:val="002F44CD"/>
    <w:rsid w:val="002F453A"/>
    <w:rsid w:val="002F4C5D"/>
    <w:rsid w:val="002F4E81"/>
    <w:rsid w:val="002F6515"/>
    <w:rsid w:val="002F68EF"/>
    <w:rsid w:val="002F6F94"/>
    <w:rsid w:val="003008CA"/>
    <w:rsid w:val="00301848"/>
    <w:rsid w:val="00301884"/>
    <w:rsid w:val="0030458C"/>
    <w:rsid w:val="003057D9"/>
    <w:rsid w:val="0030594F"/>
    <w:rsid w:val="003067C6"/>
    <w:rsid w:val="0030774F"/>
    <w:rsid w:val="0031127A"/>
    <w:rsid w:val="0031130D"/>
    <w:rsid w:val="00313AF2"/>
    <w:rsid w:val="00313FC2"/>
    <w:rsid w:val="0031505F"/>
    <w:rsid w:val="00315375"/>
    <w:rsid w:val="00315B52"/>
    <w:rsid w:val="00315FDA"/>
    <w:rsid w:val="003178BC"/>
    <w:rsid w:val="00320D7A"/>
    <w:rsid w:val="00320EAE"/>
    <w:rsid w:val="00321FA3"/>
    <w:rsid w:val="00322176"/>
    <w:rsid w:val="003248FE"/>
    <w:rsid w:val="00324D1D"/>
    <w:rsid w:val="003250B4"/>
    <w:rsid w:val="003264F9"/>
    <w:rsid w:val="00326B4B"/>
    <w:rsid w:val="00326E21"/>
    <w:rsid w:val="003277CC"/>
    <w:rsid w:val="00327A82"/>
    <w:rsid w:val="003307C7"/>
    <w:rsid w:val="00333B46"/>
    <w:rsid w:val="0033419B"/>
    <w:rsid w:val="003347E3"/>
    <w:rsid w:val="00334CE6"/>
    <w:rsid w:val="00334E53"/>
    <w:rsid w:val="00336288"/>
    <w:rsid w:val="00340A8D"/>
    <w:rsid w:val="003420BF"/>
    <w:rsid w:val="00342242"/>
    <w:rsid w:val="00342865"/>
    <w:rsid w:val="00344792"/>
    <w:rsid w:val="00344B26"/>
    <w:rsid w:val="003469B0"/>
    <w:rsid w:val="00346B4D"/>
    <w:rsid w:val="00347830"/>
    <w:rsid w:val="00353735"/>
    <w:rsid w:val="00354685"/>
    <w:rsid w:val="00356187"/>
    <w:rsid w:val="003626E9"/>
    <w:rsid w:val="0036270F"/>
    <w:rsid w:val="00362CBA"/>
    <w:rsid w:val="00363F83"/>
    <w:rsid w:val="00366892"/>
    <w:rsid w:val="00366ABD"/>
    <w:rsid w:val="00367429"/>
    <w:rsid w:val="003674BF"/>
    <w:rsid w:val="003677CE"/>
    <w:rsid w:val="00370EAA"/>
    <w:rsid w:val="00371217"/>
    <w:rsid w:val="0037304F"/>
    <w:rsid w:val="00375516"/>
    <w:rsid w:val="00375686"/>
    <w:rsid w:val="00380836"/>
    <w:rsid w:val="0038323E"/>
    <w:rsid w:val="003846B8"/>
    <w:rsid w:val="003847C1"/>
    <w:rsid w:val="00384BED"/>
    <w:rsid w:val="0038518E"/>
    <w:rsid w:val="00385DCA"/>
    <w:rsid w:val="003864DF"/>
    <w:rsid w:val="00387351"/>
    <w:rsid w:val="00390A2D"/>
    <w:rsid w:val="003914F5"/>
    <w:rsid w:val="00391FD7"/>
    <w:rsid w:val="0039212D"/>
    <w:rsid w:val="003939E5"/>
    <w:rsid w:val="00393B98"/>
    <w:rsid w:val="00394607"/>
    <w:rsid w:val="003952ED"/>
    <w:rsid w:val="003970CE"/>
    <w:rsid w:val="003A0FD7"/>
    <w:rsid w:val="003A131B"/>
    <w:rsid w:val="003A1E99"/>
    <w:rsid w:val="003A2E94"/>
    <w:rsid w:val="003A7491"/>
    <w:rsid w:val="003B0046"/>
    <w:rsid w:val="003B041B"/>
    <w:rsid w:val="003B09BC"/>
    <w:rsid w:val="003B0E56"/>
    <w:rsid w:val="003B136B"/>
    <w:rsid w:val="003B15FF"/>
    <w:rsid w:val="003B3732"/>
    <w:rsid w:val="003B4276"/>
    <w:rsid w:val="003B6831"/>
    <w:rsid w:val="003B6941"/>
    <w:rsid w:val="003B79D8"/>
    <w:rsid w:val="003C1D67"/>
    <w:rsid w:val="003C3EC0"/>
    <w:rsid w:val="003C5413"/>
    <w:rsid w:val="003C6CEB"/>
    <w:rsid w:val="003C7672"/>
    <w:rsid w:val="003C77D7"/>
    <w:rsid w:val="003D00A3"/>
    <w:rsid w:val="003D36E4"/>
    <w:rsid w:val="003D60B4"/>
    <w:rsid w:val="003D6832"/>
    <w:rsid w:val="003E1962"/>
    <w:rsid w:val="003E268B"/>
    <w:rsid w:val="003E2D4E"/>
    <w:rsid w:val="003E2F85"/>
    <w:rsid w:val="003E4617"/>
    <w:rsid w:val="003E48E9"/>
    <w:rsid w:val="003E5ECE"/>
    <w:rsid w:val="003F2499"/>
    <w:rsid w:val="003F3B3E"/>
    <w:rsid w:val="003F3E97"/>
    <w:rsid w:val="003F3EE9"/>
    <w:rsid w:val="003F49AC"/>
    <w:rsid w:val="003F7CDF"/>
    <w:rsid w:val="0040045F"/>
    <w:rsid w:val="00400554"/>
    <w:rsid w:val="00400A06"/>
    <w:rsid w:val="00400FC2"/>
    <w:rsid w:val="004011AC"/>
    <w:rsid w:val="004015E0"/>
    <w:rsid w:val="00402430"/>
    <w:rsid w:val="00403E1E"/>
    <w:rsid w:val="00405E11"/>
    <w:rsid w:val="0040787F"/>
    <w:rsid w:val="00407CE1"/>
    <w:rsid w:val="00412C47"/>
    <w:rsid w:val="00413AA6"/>
    <w:rsid w:val="004141F7"/>
    <w:rsid w:val="00415360"/>
    <w:rsid w:val="00423375"/>
    <w:rsid w:val="00423918"/>
    <w:rsid w:val="004276D7"/>
    <w:rsid w:val="00430E04"/>
    <w:rsid w:val="00431264"/>
    <w:rsid w:val="0043197F"/>
    <w:rsid w:val="00431C18"/>
    <w:rsid w:val="00432411"/>
    <w:rsid w:val="00432BD7"/>
    <w:rsid w:val="004330A9"/>
    <w:rsid w:val="00433FD5"/>
    <w:rsid w:val="0043407D"/>
    <w:rsid w:val="00434572"/>
    <w:rsid w:val="00435423"/>
    <w:rsid w:val="00436699"/>
    <w:rsid w:val="00436918"/>
    <w:rsid w:val="00436EC7"/>
    <w:rsid w:val="004370D7"/>
    <w:rsid w:val="00442008"/>
    <w:rsid w:val="00442688"/>
    <w:rsid w:val="004447F7"/>
    <w:rsid w:val="00452202"/>
    <w:rsid w:val="00453A7B"/>
    <w:rsid w:val="004541B8"/>
    <w:rsid w:val="004552B2"/>
    <w:rsid w:val="004562D1"/>
    <w:rsid w:val="0045687B"/>
    <w:rsid w:val="00461ED3"/>
    <w:rsid w:val="004636B4"/>
    <w:rsid w:val="004659FA"/>
    <w:rsid w:val="00466301"/>
    <w:rsid w:val="004668FB"/>
    <w:rsid w:val="00466A47"/>
    <w:rsid w:val="00466D7B"/>
    <w:rsid w:val="00472605"/>
    <w:rsid w:val="00473009"/>
    <w:rsid w:val="00473FB0"/>
    <w:rsid w:val="00474204"/>
    <w:rsid w:val="004750DE"/>
    <w:rsid w:val="004750FD"/>
    <w:rsid w:val="0047565F"/>
    <w:rsid w:val="00477433"/>
    <w:rsid w:val="00480696"/>
    <w:rsid w:val="0048174C"/>
    <w:rsid w:val="0048258D"/>
    <w:rsid w:val="00482794"/>
    <w:rsid w:val="0048449A"/>
    <w:rsid w:val="004919B3"/>
    <w:rsid w:val="00492133"/>
    <w:rsid w:val="00492BAF"/>
    <w:rsid w:val="00493183"/>
    <w:rsid w:val="0049321F"/>
    <w:rsid w:val="00495B0C"/>
    <w:rsid w:val="004963AF"/>
    <w:rsid w:val="004A1760"/>
    <w:rsid w:val="004A2004"/>
    <w:rsid w:val="004A3817"/>
    <w:rsid w:val="004A5E52"/>
    <w:rsid w:val="004A7D5B"/>
    <w:rsid w:val="004B16F3"/>
    <w:rsid w:val="004B3D60"/>
    <w:rsid w:val="004B4419"/>
    <w:rsid w:val="004B4A1B"/>
    <w:rsid w:val="004B4D5B"/>
    <w:rsid w:val="004B5241"/>
    <w:rsid w:val="004B70D8"/>
    <w:rsid w:val="004C2655"/>
    <w:rsid w:val="004C488B"/>
    <w:rsid w:val="004C7A54"/>
    <w:rsid w:val="004D16B7"/>
    <w:rsid w:val="004D1AB1"/>
    <w:rsid w:val="004D4861"/>
    <w:rsid w:val="004D5E13"/>
    <w:rsid w:val="004D7022"/>
    <w:rsid w:val="004E046C"/>
    <w:rsid w:val="004E1350"/>
    <w:rsid w:val="004E3B1C"/>
    <w:rsid w:val="004E5247"/>
    <w:rsid w:val="004F0196"/>
    <w:rsid w:val="004F1C98"/>
    <w:rsid w:val="004F387C"/>
    <w:rsid w:val="004F45EA"/>
    <w:rsid w:val="004F4D3A"/>
    <w:rsid w:val="004F5851"/>
    <w:rsid w:val="004F7AD1"/>
    <w:rsid w:val="005007C2"/>
    <w:rsid w:val="00503440"/>
    <w:rsid w:val="0050533A"/>
    <w:rsid w:val="0050539E"/>
    <w:rsid w:val="00505ED3"/>
    <w:rsid w:val="005107FA"/>
    <w:rsid w:val="00511BD3"/>
    <w:rsid w:val="00512074"/>
    <w:rsid w:val="00512941"/>
    <w:rsid w:val="00512D4C"/>
    <w:rsid w:val="00512F28"/>
    <w:rsid w:val="00514198"/>
    <w:rsid w:val="00514FA3"/>
    <w:rsid w:val="00515C5A"/>
    <w:rsid w:val="005165AB"/>
    <w:rsid w:val="00522B10"/>
    <w:rsid w:val="0052353C"/>
    <w:rsid w:val="00523A7C"/>
    <w:rsid w:val="00523C07"/>
    <w:rsid w:val="00523D1A"/>
    <w:rsid w:val="00524A1E"/>
    <w:rsid w:val="005250D7"/>
    <w:rsid w:val="00525CBF"/>
    <w:rsid w:val="0052705E"/>
    <w:rsid w:val="00530CCD"/>
    <w:rsid w:val="00531871"/>
    <w:rsid w:val="00532A9D"/>
    <w:rsid w:val="0053490E"/>
    <w:rsid w:val="00535288"/>
    <w:rsid w:val="00535717"/>
    <w:rsid w:val="00535E8A"/>
    <w:rsid w:val="00537256"/>
    <w:rsid w:val="0054080C"/>
    <w:rsid w:val="00541013"/>
    <w:rsid w:val="00544CE8"/>
    <w:rsid w:val="00546E6C"/>
    <w:rsid w:val="00551D12"/>
    <w:rsid w:val="00552014"/>
    <w:rsid w:val="0055247D"/>
    <w:rsid w:val="0055285C"/>
    <w:rsid w:val="00552E1C"/>
    <w:rsid w:val="00553447"/>
    <w:rsid w:val="0055502A"/>
    <w:rsid w:val="00561588"/>
    <w:rsid w:val="0056333E"/>
    <w:rsid w:val="005654C9"/>
    <w:rsid w:val="00565585"/>
    <w:rsid w:val="005704ED"/>
    <w:rsid w:val="005728AD"/>
    <w:rsid w:val="00573560"/>
    <w:rsid w:val="00573C89"/>
    <w:rsid w:val="00573CA8"/>
    <w:rsid w:val="00575BB0"/>
    <w:rsid w:val="00584DDE"/>
    <w:rsid w:val="00585A77"/>
    <w:rsid w:val="00585E46"/>
    <w:rsid w:val="00586B4A"/>
    <w:rsid w:val="0058748B"/>
    <w:rsid w:val="00592413"/>
    <w:rsid w:val="00592A10"/>
    <w:rsid w:val="0059415D"/>
    <w:rsid w:val="00594959"/>
    <w:rsid w:val="00595E62"/>
    <w:rsid w:val="00596F6A"/>
    <w:rsid w:val="005A0B61"/>
    <w:rsid w:val="005A0C49"/>
    <w:rsid w:val="005A0F2A"/>
    <w:rsid w:val="005A2D31"/>
    <w:rsid w:val="005A5621"/>
    <w:rsid w:val="005A7378"/>
    <w:rsid w:val="005B32D2"/>
    <w:rsid w:val="005B3DCF"/>
    <w:rsid w:val="005B5E70"/>
    <w:rsid w:val="005B67CE"/>
    <w:rsid w:val="005C23A3"/>
    <w:rsid w:val="005C2CED"/>
    <w:rsid w:val="005C3CD5"/>
    <w:rsid w:val="005C685A"/>
    <w:rsid w:val="005C7058"/>
    <w:rsid w:val="005D43B4"/>
    <w:rsid w:val="005D594D"/>
    <w:rsid w:val="005D5B89"/>
    <w:rsid w:val="005D5C61"/>
    <w:rsid w:val="005D60C4"/>
    <w:rsid w:val="005E1708"/>
    <w:rsid w:val="005E1D1E"/>
    <w:rsid w:val="005E309D"/>
    <w:rsid w:val="005E4F0C"/>
    <w:rsid w:val="005E66F5"/>
    <w:rsid w:val="005E6A4F"/>
    <w:rsid w:val="005F01CB"/>
    <w:rsid w:val="005F1D08"/>
    <w:rsid w:val="005F523D"/>
    <w:rsid w:val="005F5B25"/>
    <w:rsid w:val="005F6093"/>
    <w:rsid w:val="005F66A2"/>
    <w:rsid w:val="006006BC"/>
    <w:rsid w:val="006009C1"/>
    <w:rsid w:val="00600CEB"/>
    <w:rsid w:val="006010E4"/>
    <w:rsid w:val="006014E7"/>
    <w:rsid w:val="00603178"/>
    <w:rsid w:val="0060455A"/>
    <w:rsid w:val="00604E47"/>
    <w:rsid w:val="00605F72"/>
    <w:rsid w:val="00610365"/>
    <w:rsid w:val="00610E1F"/>
    <w:rsid w:val="00611241"/>
    <w:rsid w:val="00611BDA"/>
    <w:rsid w:val="00612AD5"/>
    <w:rsid w:val="00612EF5"/>
    <w:rsid w:val="00614FBE"/>
    <w:rsid w:val="0061664C"/>
    <w:rsid w:val="0061738B"/>
    <w:rsid w:val="00617E07"/>
    <w:rsid w:val="00621573"/>
    <w:rsid w:val="00621635"/>
    <w:rsid w:val="0062482C"/>
    <w:rsid w:val="00624849"/>
    <w:rsid w:val="00627CA5"/>
    <w:rsid w:val="00631197"/>
    <w:rsid w:val="006316A6"/>
    <w:rsid w:val="006325DA"/>
    <w:rsid w:val="006335AD"/>
    <w:rsid w:val="006335B3"/>
    <w:rsid w:val="006339B9"/>
    <w:rsid w:val="0063428D"/>
    <w:rsid w:val="00635A7D"/>
    <w:rsid w:val="006406DC"/>
    <w:rsid w:val="00640C34"/>
    <w:rsid w:val="00645D5D"/>
    <w:rsid w:val="00647A71"/>
    <w:rsid w:val="00647B55"/>
    <w:rsid w:val="00650EAB"/>
    <w:rsid w:val="00652585"/>
    <w:rsid w:val="0065466E"/>
    <w:rsid w:val="0066082B"/>
    <w:rsid w:val="00660E58"/>
    <w:rsid w:val="00661B12"/>
    <w:rsid w:val="006622AA"/>
    <w:rsid w:val="00664637"/>
    <w:rsid w:val="00665CF7"/>
    <w:rsid w:val="00665F07"/>
    <w:rsid w:val="0066662D"/>
    <w:rsid w:val="006701D3"/>
    <w:rsid w:val="00671211"/>
    <w:rsid w:val="00674A13"/>
    <w:rsid w:val="006762F2"/>
    <w:rsid w:val="00676BC9"/>
    <w:rsid w:val="0067773B"/>
    <w:rsid w:val="006778B3"/>
    <w:rsid w:val="00687F37"/>
    <w:rsid w:val="00690132"/>
    <w:rsid w:val="00690491"/>
    <w:rsid w:val="00691DF8"/>
    <w:rsid w:val="00692A52"/>
    <w:rsid w:val="00693189"/>
    <w:rsid w:val="0069431C"/>
    <w:rsid w:val="0069525D"/>
    <w:rsid w:val="00695D75"/>
    <w:rsid w:val="006976DF"/>
    <w:rsid w:val="00697AE7"/>
    <w:rsid w:val="00697D27"/>
    <w:rsid w:val="006A055C"/>
    <w:rsid w:val="006A1F46"/>
    <w:rsid w:val="006A234B"/>
    <w:rsid w:val="006A2625"/>
    <w:rsid w:val="006A4F0D"/>
    <w:rsid w:val="006A7094"/>
    <w:rsid w:val="006A7EC2"/>
    <w:rsid w:val="006A7FCD"/>
    <w:rsid w:val="006B0722"/>
    <w:rsid w:val="006B2B7C"/>
    <w:rsid w:val="006B3A36"/>
    <w:rsid w:val="006B50F8"/>
    <w:rsid w:val="006B7C27"/>
    <w:rsid w:val="006C0A4B"/>
    <w:rsid w:val="006C3A24"/>
    <w:rsid w:val="006C3BAB"/>
    <w:rsid w:val="006C43D8"/>
    <w:rsid w:val="006C450C"/>
    <w:rsid w:val="006C4961"/>
    <w:rsid w:val="006C4E52"/>
    <w:rsid w:val="006C550F"/>
    <w:rsid w:val="006C5A12"/>
    <w:rsid w:val="006C68FA"/>
    <w:rsid w:val="006C7A02"/>
    <w:rsid w:val="006D0503"/>
    <w:rsid w:val="006D08D9"/>
    <w:rsid w:val="006D53E4"/>
    <w:rsid w:val="006E30D6"/>
    <w:rsid w:val="006E6741"/>
    <w:rsid w:val="006E6FBE"/>
    <w:rsid w:val="006E6FF4"/>
    <w:rsid w:val="006E7E8E"/>
    <w:rsid w:val="006F0329"/>
    <w:rsid w:val="006F0F3B"/>
    <w:rsid w:val="006F3DE2"/>
    <w:rsid w:val="006F4905"/>
    <w:rsid w:val="006F607F"/>
    <w:rsid w:val="006F6411"/>
    <w:rsid w:val="006F661F"/>
    <w:rsid w:val="007000DA"/>
    <w:rsid w:val="007024C5"/>
    <w:rsid w:val="00702AFD"/>
    <w:rsid w:val="00704C32"/>
    <w:rsid w:val="00704C8E"/>
    <w:rsid w:val="00706157"/>
    <w:rsid w:val="007062F3"/>
    <w:rsid w:val="007109CA"/>
    <w:rsid w:val="00712260"/>
    <w:rsid w:val="00712FD9"/>
    <w:rsid w:val="007134D2"/>
    <w:rsid w:val="007142B6"/>
    <w:rsid w:val="007153B4"/>
    <w:rsid w:val="00717746"/>
    <w:rsid w:val="00717C61"/>
    <w:rsid w:val="00720421"/>
    <w:rsid w:val="00720E1C"/>
    <w:rsid w:val="007210E0"/>
    <w:rsid w:val="0072178D"/>
    <w:rsid w:val="00721DB9"/>
    <w:rsid w:val="007235E8"/>
    <w:rsid w:val="007278A5"/>
    <w:rsid w:val="00727E54"/>
    <w:rsid w:val="0073026D"/>
    <w:rsid w:val="00732544"/>
    <w:rsid w:val="00733D66"/>
    <w:rsid w:val="00740E27"/>
    <w:rsid w:val="00741B5E"/>
    <w:rsid w:val="00741DCC"/>
    <w:rsid w:val="00743BEE"/>
    <w:rsid w:val="00746A24"/>
    <w:rsid w:val="007475B8"/>
    <w:rsid w:val="00747AD4"/>
    <w:rsid w:val="00751D7F"/>
    <w:rsid w:val="0075532B"/>
    <w:rsid w:val="0075735D"/>
    <w:rsid w:val="0075737D"/>
    <w:rsid w:val="007579CB"/>
    <w:rsid w:val="00762637"/>
    <w:rsid w:val="00762DE7"/>
    <w:rsid w:val="00764185"/>
    <w:rsid w:val="00764971"/>
    <w:rsid w:val="0076526A"/>
    <w:rsid w:val="007676F3"/>
    <w:rsid w:val="00772952"/>
    <w:rsid w:val="00772D00"/>
    <w:rsid w:val="007740D4"/>
    <w:rsid w:val="00774666"/>
    <w:rsid w:val="00774B4C"/>
    <w:rsid w:val="00774D88"/>
    <w:rsid w:val="00775392"/>
    <w:rsid w:val="007764A7"/>
    <w:rsid w:val="00776593"/>
    <w:rsid w:val="007770A3"/>
    <w:rsid w:val="00781BA0"/>
    <w:rsid w:val="00781CE8"/>
    <w:rsid w:val="00781D82"/>
    <w:rsid w:val="00783061"/>
    <w:rsid w:val="00786E40"/>
    <w:rsid w:val="007876B3"/>
    <w:rsid w:val="00787E57"/>
    <w:rsid w:val="00790A2F"/>
    <w:rsid w:val="0079112D"/>
    <w:rsid w:val="00793AD0"/>
    <w:rsid w:val="00794D56"/>
    <w:rsid w:val="00796727"/>
    <w:rsid w:val="00797BF7"/>
    <w:rsid w:val="00797E23"/>
    <w:rsid w:val="007A0219"/>
    <w:rsid w:val="007A2C20"/>
    <w:rsid w:val="007A3825"/>
    <w:rsid w:val="007A6C81"/>
    <w:rsid w:val="007A74ED"/>
    <w:rsid w:val="007B12E1"/>
    <w:rsid w:val="007B36D3"/>
    <w:rsid w:val="007B6911"/>
    <w:rsid w:val="007B7433"/>
    <w:rsid w:val="007B7993"/>
    <w:rsid w:val="007B7E03"/>
    <w:rsid w:val="007C1258"/>
    <w:rsid w:val="007C290D"/>
    <w:rsid w:val="007C2E70"/>
    <w:rsid w:val="007C4BEE"/>
    <w:rsid w:val="007C4DA5"/>
    <w:rsid w:val="007C5614"/>
    <w:rsid w:val="007C63E6"/>
    <w:rsid w:val="007C687F"/>
    <w:rsid w:val="007C76A9"/>
    <w:rsid w:val="007D00D6"/>
    <w:rsid w:val="007D0D54"/>
    <w:rsid w:val="007D0F27"/>
    <w:rsid w:val="007D1DB2"/>
    <w:rsid w:val="007D2C72"/>
    <w:rsid w:val="007D2F30"/>
    <w:rsid w:val="007D3912"/>
    <w:rsid w:val="007D40B0"/>
    <w:rsid w:val="007D4446"/>
    <w:rsid w:val="007D4974"/>
    <w:rsid w:val="007D753E"/>
    <w:rsid w:val="007E0993"/>
    <w:rsid w:val="007E0EE7"/>
    <w:rsid w:val="007E153A"/>
    <w:rsid w:val="007E1C43"/>
    <w:rsid w:val="007E24D0"/>
    <w:rsid w:val="007E43E8"/>
    <w:rsid w:val="007E4F62"/>
    <w:rsid w:val="007E5484"/>
    <w:rsid w:val="007E56A6"/>
    <w:rsid w:val="007E5835"/>
    <w:rsid w:val="007E7467"/>
    <w:rsid w:val="007F16EA"/>
    <w:rsid w:val="007F2329"/>
    <w:rsid w:val="007F3C9D"/>
    <w:rsid w:val="007F408B"/>
    <w:rsid w:val="007F6946"/>
    <w:rsid w:val="007F6EFF"/>
    <w:rsid w:val="00800506"/>
    <w:rsid w:val="00801742"/>
    <w:rsid w:val="00802A8C"/>
    <w:rsid w:val="00802C2A"/>
    <w:rsid w:val="008030EE"/>
    <w:rsid w:val="00803220"/>
    <w:rsid w:val="00803FC7"/>
    <w:rsid w:val="008042C8"/>
    <w:rsid w:val="0080651D"/>
    <w:rsid w:val="00810397"/>
    <w:rsid w:val="00810D6A"/>
    <w:rsid w:val="00812344"/>
    <w:rsid w:val="0081641D"/>
    <w:rsid w:val="00824D76"/>
    <w:rsid w:val="00825C1F"/>
    <w:rsid w:val="00827562"/>
    <w:rsid w:val="00831FDF"/>
    <w:rsid w:val="00832E39"/>
    <w:rsid w:val="008335BA"/>
    <w:rsid w:val="0083616D"/>
    <w:rsid w:val="00837227"/>
    <w:rsid w:val="0083776A"/>
    <w:rsid w:val="008404CA"/>
    <w:rsid w:val="00840C5D"/>
    <w:rsid w:val="00841609"/>
    <w:rsid w:val="008423E8"/>
    <w:rsid w:val="0084294D"/>
    <w:rsid w:val="00843C45"/>
    <w:rsid w:val="008469D5"/>
    <w:rsid w:val="00850884"/>
    <w:rsid w:val="0085127C"/>
    <w:rsid w:val="00851C2C"/>
    <w:rsid w:val="00852AF1"/>
    <w:rsid w:val="00853DA6"/>
    <w:rsid w:val="00853EDC"/>
    <w:rsid w:val="0085611A"/>
    <w:rsid w:val="0086079A"/>
    <w:rsid w:val="00865F48"/>
    <w:rsid w:val="00865F5E"/>
    <w:rsid w:val="00872CF9"/>
    <w:rsid w:val="00873311"/>
    <w:rsid w:val="00873F80"/>
    <w:rsid w:val="00875646"/>
    <w:rsid w:val="00876A24"/>
    <w:rsid w:val="008779E5"/>
    <w:rsid w:val="00885BEA"/>
    <w:rsid w:val="008919CD"/>
    <w:rsid w:val="00895761"/>
    <w:rsid w:val="00895946"/>
    <w:rsid w:val="008A178C"/>
    <w:rsid w:val="008A203A"/>
    <w:rsid w:val="008A2A3F"/>
    <w:rsid w:val="008A3AA0"/>
    <w:rsid w:val="008A3FDB"/>
    <w:rsid w:val="008A57FF"/>
    <w:rsid w:val="008A5A5E"/>
    <w:rsid w:val="008A5F38"/>
    <w:rsid w:val="008A6082"/>
    <w:rsid w:val="008A60A4"/>
    <w:rsid w:val="008A64D9"/>
    <w:rsid w:val="008B02EE"/>
    <w:rsid w:val="008B065D"/>
    <w:rsid w:val="008B197D"/>
    <w:rsid w:val="008B1CA9"/>
    <w:rsid w:val="008B1EAB"/>
    <w:rsid w:val="008B2005"/>
    <w:rsid w:val="008B2055"/>
    <w:rsid w:val="008B34AB"/>
    <w:rsid w:val="008B5B68"/>
    <w:rsid w:val="008B5C25"/>
    <w:rsid w:val="008B64F2"/>
    <w:rsid w:val="008B7BB6"/>
    <w:rsid w:val="008C5092"/>
    <w:rsid w:val="008C50A8"/>
    <w:rsid w:val="008C656E"/>
    <w:rsid w:val="008C6E52"/>
    <w:rsid w:val="008C7DAA"/>
    <w:rsid w:val="008D2847"/>
    <w:rsid w:val="008D2927"/>
    <w:rsid w:val="008D2FEC"/>
    <w:rsid w:val="008D3618"/>
    <w:rsid w:val="008E1E5E"/>
    <w:rsid w:val="008E2409"/>
    <w:rsid w:val="008E2DCC"/>
    <w:rsid w:val="008E5764"/>
    <w:rsid w:val="008E682D"/>
    <w:rsid w:val="008E6DB1"/>
    <w:rsid w:val="008F1600"/>
    <w:rsid w:val="008F2942"/>
    <w:rsid w:val="008F3911"/>
    <w:rsid w:val="008F40BF"/>
    <w:rsid w:val="008F488A"/>
    <w:rsid w:val="008F490C"/>
    <w:rsid w:val="008F4A00"/>
    <w:rsid w:val="00901A60"/>
    <w:rsid w:val="00902592"/>
    <w:rsid w:val="009028F5"/>
    <w:rsid w:val="00902F3F"/>
    <w:rsid w:val="00904A2D"/>
    <w:rsid w:val="009050FC"/>
    <w:rsid w:val="00910AE6"/>
    <w:rsid w:val="00913A96"/>
    <w:rsid w:val="00916098"/>
    <w:rsid w:val="009162E2"/>
    <w:rsid w:val="00916452"/>
    <w:rsid w:val="00916A4F"/>
    <w:rsid w:val="00916D13"/>
    <w:rsid w:val="009175F2"/>
    <w:rsid w:val="00921F13"/>
    <w:rsid w:val="00923CC4"/>
    <w:rsid w:val="0092576F"/>
    <w:rsid w:val="00926719"/>
    <w:rsid w:val="00930711"/>
    <w:rsid w:val="00932917"/>
    <w:rsid w:val="00933368"/>
    <w:rsid w:val="00936C00"/>
    <w:rsid w:val="009412E7"/>
    <w:rsid w:val="00941382"/>
    <w:rsid w:val="009415E3"/>
    <w:rsid w:val="00943C2E"/>
    <w:rsid w:val="00944FCF"/>
    <w:rsid w:val="00945472"/>
    <w:rsid w:val="00950979"/>
    <w:rsid w:val="0095123A"/>
    <w:rsid w:val="00951256"/>
    <w:rsid w:val="009521DF"/>
    <w:rsid w:val="0095245B"/>
    <w:rsid w:val="009537C9"/>
    <w:rsid w:val="0095704C"/>
    <w:rsid w:val="00957B6F"/>
    <w:rsid w:val="00957E90"/>
    <w:rsid w:val="00962155"/>
    <w:rsid w:val="00963DC9"/>
    <w:rsid w:val="00963F22"/>
    <w:rsid w:val="00964106"/>
    <w:rsid w:val="00965EE6"/>
    <w:rsid w:val="009675AA"/>
    <w:rsid w:val="0097131B"/>
    <w:rsid w:val="00974625"/>
    <w:rsid w:val="00974B12"/>
    <w:rsid w:val="00975A88"/>
    <w:rsid w:val="0097612B"/>
    <w:rsid w:val="00976440"/>
    <w:rsid w:val="00977752"/>
    <w:rsid w:val="009805C7"/>
    <w:rsid w:val="00980E0F"/>
    <w:rsid w:val="0098196B"/>
    <w:rsid w:val="00981A01"/>
    <w:rsid w:val="0098226C"/>
    <w:rsid w:val="0098238A"/>
    <w:rsid w:val="00982687"/>
    <w:rsid w:val="009840CD"/>
    <w:rsid w:val="00984505"/>
    <w:rsid w:val="00985A42"/>
    <w:rsid w:val="00987066"/>
    <w:rsid w:val="0099062D"/>
    <w:rsid w:val="00990DFD"/>
    <w:rsid w:val="009923EE"/>
    <w:rsid w:val="00992C45"/>
    <w:rsid w:val="00993709"/>
    <w:rsid w:val="00993767"/>
    <w:rsid w:val="009A04C4"/>
    <w:rsid w:val="009A0BD6"/>
    <w:rsid w:val="009A289E"/>
    <w:rsid w:val="009A48D5"/>
    <w:rsid w:val="009A6F86"/>
    <w:rsid w:val="009B0043"/>
    <w:rsid w:val="009B0F24"/>
    <w:rsid w:val="009B1385"/>
    <w:rsid w:val="009B22F7"/>
    <w:rsid w:val="009B5AF2"/>
    <w:rsid w:val="009B6DC7"/>
    <w:rsid w:val="009B71DE"/>
    <w:rsid w:val="009B721D"/>
    <w:rsid w:val="009C0252"/>
    <w:rsid w:val="009C0274"/>
    <w:rsid w:val="009C1F3E"/>
    <w:rsid w:val="009C4208"/>
    <w:rsid w:val="009C482A"/>
    <w:rsid w:val="009C5621"/>
    <w:rsid w:val="009C6B82"/>
    <w:rsid w:val="009C71E8"/>
    <w:rsid w:val="009C7251"/>
    <w:rsid w:val="009D0BDE"/>
    <w:rsid w:val="009D0E71"/>
    <w:rsid w:val="009D2AF2"/>
    <w:rsid w:val="009D3D40"/>
    <w:rsid w:val="009D4B69"/>
    <w:rsid w:val="009D58A5"/>
    <w:rsid w:val="009D6E6F"/>
    <w:rsid w:val="009D6EF4"/>
    <w:rsid w:val="009E3C27"/>
    <w:rsid w:val="009E469D"/>
    <w:rsid w:val="009E4D00"/>
    <w:rsid w:val="009E5F95"/>
    <w:rsid w:val="009F0D4C"/>
    <w:rsid w:val="009F1EDC"/>
    <w:rsid w:val="009F252F"/>
    <w:rsid w:val="009F2B5C"/>
    <w:rsid w:val="009F3535"/>
    <w:rsid w:val="009F4BB0"/>
    <w:rsid w:val="009F6C6D"/>
    <w:rsid w:val="00A012AD"/>
    <w:rsid w:val="00A033F2"/>
    <w:rsid w:val="00A04E23"/>
    <w:rsid w:val="00A054F8"/>
    <w:rsid w:val="00A05674"/>
    <w:rsid w:val="00A074E3"/>
    <w:rsid w:val="00A07556"/>
    <w:rsid w:val="00A07CB8"/>
    <w:rsid w:val="00A105BF"/>
    <w:rsid w:val="00A10A2B"/>
    <w:rsid w:val="00A11252"/>
    <w:rsid w:val="00A13C90"/>
    <w:rsid w:val="00A13CE0"/>
    <w:rsid w:val="00A14E06"/>
    <w:rsid w:val="00A15327"/>
    <w:rsid w:val="00A158B8"/>
    <w:rsid w:val="00A2315E"/>
    <w:rsid w:val="00A23AE9"/>
    <w:rsid w:val="00A23ECB"/>
    <w:rsid w:val="00A244EE"/>
    <w:rsid w:val="00A245A8"/>
    <w:rsid w:val="00A25058"/>
    <w:rsid w:val="00A2602C"/>
    <w:rsid w:val="00A26547"/>
    <w:rsid w:val="00A27DB1"/>
    <w:rsid w:val="00A30A24"/>
    <w:rsid w:val="00A315AC"/>
    <w:rsid w:val="00A326E1"/>
    <w:rsid w:val="00A3286D"/>
    <w:rsid w:val="00A34F10"/>
    <w:rsid w:val="00A37020"/>
    <w:rsid w:val="00A40820"/>
    <w:rsid w:val="00A452CB"/>
    <w:rsid w:val="00A45A3F"/>
    <w:rsid w:val="00A46B2B"/>
    <w:rsid w:val="00A46F2F"/>
    <w:rsid w:val="00A52C6B"/>
    <w:rsid w:val="00A539D2"/>
    <w:rsid w:val="00A5457F"/>
    <w:rsid w:val="00A54781"/>
    <w:rsid w:val="00A56D23"/>
    <w:rsid w:val="00A60448"/>
    <w:rsid w:val="00A606B8"/>
    <w:rsid w:val="00A63B8B"/>
    <w:rsid w:val="00A657F2"/>
    <w:rsid w:val="00A73AF4"/>
    <w:rsid w:val="00A74566"/>
    <w:rsid w:val="00A74798"/>
    <w:rsid w:val="00A759A1"/>
    <w:rsid w:val="00A76167"/>
    <w:rsid w:val="00A76A96"/>
    <w:rsid w:val="00A778F8"/>
    <w:rsid w:val="00A80710"/>
    <w:rsid w:val="00A80BFB"/>
    <w:rsid w:val="00A81B79"/>
    <w:rsid w:val="00A832E7"/>
    <w:rsid w:val="00A85BC4"/>
    <w:rsid w:val="00A872BB"/>
    <w:rsid w:val="00A9042A"/>
    <w:rsid w:val="00A90566"/>
    <w:rsid w:val="00A911C9"/>
    <w:rsid w:val="00A91B2E"/>
    <w:rsid w:val="00A91B55"/>
    <w:rsid w:val="00A91C3B"/>
    <w:rsid w:val="00A92672"/>
    <w:rsid w:val="00A93CE6"/>
    <w:rsid w:val="00A977C8"/>
    <w:rsid w:val="00AA11A8"/>
    <w:rsid w:val="00AA2633"/>
    <w:rsid w:val="00AA32CE"/>
    <w:rsid w:val="00AA3E62"/>
    <w:rsid w:val="00AA418C"/>
    <w:rsid w:val="00AA42B5"/>
    <w:rsid w:val="00AA604E"/>
    <w:rsid w:val="00AA614C"/>
    <w:rsid w:val="00AA776E"/>
    <w:rsid w:val="00AA7A44"/>
    <w:rsid w:val="00AB0F8B"/>
    <w:rsid w:val="00AB1A5F"/>
    <w:rsid w:val="00AB256E"/>
    <w:rsid w:val="00AB5337"/>
    <w:rsid w:val="00AB5F69"/>
    <w:rsid w:val="00AB5FC2"/>
    <w:rsid w:val="00AB6DD5"/>
    <w:rsid w:val="00AC12E4"/>
    <w:rsid w:val="00AC465B"/>
    <w:rsid w:val="00AC57EF"/>
    <w:rsid w:val="00AD0A3F"/>
    <w:rsid w:val="00AD212E"/>
    <w:rsid w:val="00AD2950"/>
    <w:rsid w:val="00AD425E"/>
    <w:rsid w:val="00AD4588"/>
    <w:rsid w:val="00AD45AB"/>
    <w:rsid w:val="00AD52F6"/>
    <w:rsid w:val="00AD6581"/>
    <w:rsid w:val="00AD7447"/>
    <w:rsid w:val="00AD7A3D"/>
    <w:rsid w:val="00AE05D2"/>
    <w:rsid w:val="00AE1707"/>
    <w:rsid w:val="00AE63CE"/>
    <w:rsid w:val="00AE6787"/>
    <w:rsid w:val="00AF0AF4"/>
    <w:rsid w:val="00AF1E85"/>
    <w:rsid w:val="00AF2447"/>
    <w:rsid w:val="00AF2713"/>
    <w:rsid w:val="00AF2F3A"/>
    <w:rsid w:val="00AF3011"/>
    <w:rsid w:val="00AF3F83"/>
    <w:rsid w:val="00AF4F75"/>
    <w:rsid w:val="00AF5842"/>
    <w:rsid w:val="00B014DB"/>
    <w:rsid w:val="00B01DC6"/>
    <w:rsid w:val="00B021FC"/>
    <w:rsid w:val="00B03455"/>
    <w:rsid w:val="00B03A49"/>
    <w:rsid w:val="00B040AC"/>
    <w:rsid w:val="00B040F0"/>
    <w:rsid w:val="00B06DF6"/>
    <w:rsid w:val="00B1005B"/>
    <w:rsid w:val="00B102F7"/>
    <w:rsid w:val="00B10BDE"/>
    <w:rsid w:val="00B14245"/>
    <w:rsid w:val="00B144F8"/>
    <w:rsid w:val="00B15590"/>
    <w:rsid w:val="00B16FF4"/>
    <w:rsid w:val="00B17904"/>
    <w:rsid w:val="00B17B78"/>
    <w:rsid w:val="00B20AE2"/>
    <w:rsid w:val="00B20F6B"/>
    <w:rsid w:val="00B23596"/>
    <w:rsid w:val="00B2414F"/>
    <w:rsid w:val="00B24719"/>
    <w:rsid w:val="00B2545D"/>
    <w:rsid w:val="00B27A65"/>
    <w:rsid w:val="00B27C90"/>
    <w:rsid w:val="00B30220"/>
    <w:rsid w:val="00B3068D"/>
    <w:rsid w:val="00B30963"/>
    <w:rsid w:val="00B30D0F"/>
    <w:rsid w:val="00B31592"/>
    <w:rsid w:val="00B320C5"/>
    <w:rsid w:val="00B33C37"/>
    <w:rsid w:val="00B34CCD"/>
    <w:rsid w:val="00B35578"/>
    <w:rsid w:val="00B3626C"/>
    <w:rsid w:val="00B369AC"/>
    <w:rsid w:val="00B36B20"/>
    <w:rsid w:val="00B37D11"/>
    <w:rsid w:val="00B40A66"/>
    <w:rsid w:val="00B41221"/>
    <w:rsid w:val="00B41556"/>
    <w:rsid w:val="00B42244"/>
    <w:rsid w:val="00B42F03"/>
    <w:rsid w:val="00B44D4E"/>
    <w:rsid w:val="00B4572B"/>
    <w:rsid w:val="00B459AD"/>
    <w:rsid w:val="00B46CE8"/>
    <w:rsid w:val="00B50188"/>
    <w:rsid w:val="00B50754"/>
    <w:rsid w:val="00B526D3"/>
    <w:rsid w:val="00B534D6"/>
    <w:rsid w:val="00B543BC"/>
    <w:rsid w:val="00B554F1"/>
    <w:rsid w:val="00B55915"/>
    <w:rsid w:val="00B577E4"/>
    <w:rsid w:val="00B60C6E"/>
    <w:rsid w:val="00B611E2"/>
    <w:rsid w:val="00B628AA"/>
    <w:rsid w:val="00B63461"/>
    <w:rsid w:val="00B65271"/>
    <w:rsid w:val="00B6569A"/>
    <w:rsid w:val="00B66082"/>
    <w:rsid w:val="00B66630"/>
    <w:rsid w:val="00B67442"/>
    <w:rsid w:val="00B7025F"/>
    <w:rsid w:val="00B706F2"/>
    <w:rsid w:val="00B72433"/>
    <w:rsid w:val="00B7410F"/>
    <w:rsid w:val="00B75869"/>
    <w:rsid w:val="00B75D71"/>
    <w:rsid w:val="00B768F5"/>
    <w:rsid w:val="00B80C2B"/>
    <w:rsid w:val="00B84B62"/>
    <w:rsid w:val="00B871FC"/>
    <w:rsid w:val="00B875EA"/>
    <w:rsid w:val="00B87EAD"/>
    <w:rsid w:val="00B9058E"/>
    <w:rsid w:val="00B90605"/>
    <w:rsid w:val="00B9066B"/>
    <w:rsid w:val="00B90A4C"/>
    <w:rsid w:val="00B91954"/>
    <w:rsid w:val="00B9216D"/>
    <w:rsid w:val="00B92EFB"/>
    <w:rsid w:val="00B93252"/>
    <w:rsid w:val="00B93B22"/>
    <w:rsid w:val="00BA02BD"/>
    <w:rsid w:val="00BA0505"/>
    <w:rsid w:val="00BA1C50"/>
    <w:rsid w:val="00BA1F0A"/>
    <w:rsid w:val="00BA33AD"/>
    <w:rsid w:val="00BA387E"/>
    <w:rsid w:val="00BA4180"/>
    <w:rsid w:val="00BA74D9"/>
    <w:rsid w:val="00BA77CE"/>
    <w:rsid w:val="00BB00F3"/>
    <w:rsid w:val="00BB37F6"/>
    <w:rsid w:val="00BB381B"/>
    <w:rsid w:val="00BB5792"/>
    <w:rsid w:val="00BB63B3"/>
    <w:rsid w:val="00BC09B0"/>
    <w:rsid w:val="00BC1816"/>
    <w:rsid w:val="00BC33DA"/>
    <w:rsid w:val="00BC3EDB"/>
    <w:rsid w:val="00BC3F37"/>
    <w:rsid w:val="00BC503C"/>
    <w:rsid w:val="00BC5449"/>
    <w:rsid w:val="00BC7B3F"/>
    <w:rsid w:val="00BD351F"/>
    <w:rsid w:val="00BE08B4"/>
    <w:rsid w:val="00BE0C3A"/>
    <w:rsid w:val="00BE0C82"/>
    <w:rsid w:val="00BE11AA"/>
    <w:rsid w:val="00BE123E"/>
    <w:rsid w:val="00BE2B3D"/>
    <w:rsid w:val="00BE6094"/>
    <w:rsid w:val="00BE69FD"/>
    <w:rsid w:val="00BE7086"/>
    <w:rsid w:val="00BE7C7D"/>
    <w:rsid w:val="00BF03F1"/>
    <w:rsid w:val="00BF40CF"/>
    <w:rsid w:val="00C02B32"/>
    <w:rsid w:val="00C036B2"/>
    <w:rsid w:val="00C036F8"/>
    <w:rsid w:val="00C04190"/>
    <w:rsid w:val="00C054DB"/>
    <w:rsid w:val="00C05569"/>
    <w:rsid w:val="00C058F1"/>
    <w:rsid w:val="00C06DED"/>
    <w:rsid w:val="00C0775F"/>
    <w:rsid w:val="00C0776E"/>
    <w:rsid w:val="00C07EA0"/>
    <w:rsid w:val="00C10979"/>
    <w:rsid w:val="00C116B2"/>
    <w:rsid w:val="00C11FC2"/>
    <w:rsid w:val="00C12195"/>
    <w:rsid w:val="00C13CDA"/>
    <w:rsid w:val="00C14692"/>
    <w:rsid w:val="00C15215"/>
    <w:rsid w:val="00C157A7"/>
    <w:rsid w:val="00C174BA"/>
    <w:rsid w:val="00C2485F"/>
    <w:rsid w:val="00C24DEF"/>
    <w:rsid w:val="00C25013"/>
    <w:rsid w:val="00C26B33"/>
    <w:rsid w:val="00C27268"/>
    <w:rsid w:val="00C302A8"/>
    <w:rsid w:val="00C30591"/>
    <w:rsid w:val="00C31BC1"/>
    <w:rsid w:val="00C323DA"/>
    <w:rsid w:val="00C338E4"/>
    <w:rsid w:val="00C3521D"/>
    <w:rsid w:val="00C35264"/>
    <w:rsid w:val="00C36B95"/>
    <w:rsid w:val="00C40D6A"/>
    <w:rsid w:val="00C42323"/>
    <w:rsid w:val="00C432C1"/>
    <w:rsid w:val="00C4331C"/>
    <w:rsid w:val="00C44510"/>
    <w:rsid w:val="00C44572"/>
    <w:rsid w:val="00C44D56"/>
    <w:rsid w:val="00C47310"/>
    <w:rsid w:val="00C500E8"/>
    <w:rsid w:val="00C518C1"/>
    <w:rsid w:val="00C51B86"/>
    <w:rsid w:val="00C51E58"/>
    <w:rsid w:val="00C529E1"/>
    <w:rsid w:val="00C54E46"/>
    <w:rsid w:val="00C56B46"/>
    <w:rsid w:val="00C56E2B"/>
    <w:rsid w:val="00C56F56"/>
    <w:rsid w:val="00C63936"/>
    <w:rsid w:val="00C651CA"/>
    <w:rsid w:val="00C71D12"/>
    <w:rsid w:val="00C75963"/>
    <w:rsid w:val="00C8131B"/>
    <w:rsid w:val="00C81C28"/>
    <w:rsid w:val="00C84140"/>
    <w:rsid w:val="00C841C8"/>
    <w:rsid w:val="00C84277"/>
    <w:rsid w:val="00C856D9"/>
    <w:rsid w:val="00C87689"/>
    <w:rsid w:val="00C90910"/>
    <w:rsid w:val="00C90AE7"/>
    <w:rsid w:val="00C91885"/>
    <w:rsid w:val="00CA1CEF"/>
    <w:rsid w:val="00CA344F"/>
    <w:rsid w:val="00CA43A2"/>
    <w:rsid w:val="00CA4C05"/>
    <w:rsid w:val="00CA628D"/>
    <w:rsid w:val="00CA6771"/>
    <w:rsid w:val="00CA6ECF"/>
    <w:rsid w:val="00CB015B"/>
    <w:rsid w:val="00CB0DCB"/>
    <w:rsid w:val="00CB0E30"/>
    <w:rsid w:val="00CB23D4"/>
    <w:rsid w:val="00CB267D"/>
    <w:rsid w:val="00CB27D0"/>
    <w:rsid w:val="00CB2D7C"/>
    <w:rsid w:val="00CB302D"/>
    <w:rsid w:val="00CC087B"/>
    <w:rsid w:val="00CC26E8"/>
    <w:rsid w:val="00CC3875"/>
    <w:rsid w:val="00CC3F6C"/>
    <w:rsid w:val="00CC49E5"/>
    <w:rsid w:val="00CC4C42"/>
    <w:rsid w:val="00CC768A"/>
    <w:rsid w:val="00CC7A56"/>
    <w:rsid w:val="00CD0BFE"/>
    <w:rsid w:val="00CD10FB"/>
    <w:rsid w:val="00CD4C6E"/>
    <w:rsid w:val="00CD6766"/>
    <w:rsid w:val="00CD6AD9"/>
    <w:rsid w:val="00CD77F5"/>
    <w:rsid w:val="00CE069E"/>
    <w:rsid w:val="00CE08CB"/>
    <w:rsid w:val="00CE16BC"/>
    <w:rsid w:val="00CE1712"/>
    <w:rsid w:val="00CE3639"/>
    <w:rsid w:val="00CE4CBC"/>
    <w:rsid w:val="00CE7234"/>
    <w:rsid w:val="00CF03B2"/>
    <w:rsid w:val="00CF1E1A"/>
    <w:rsid w:val="00CF3E53"/>
    <w:rsid w:val="00CF53C1"/>
    <w:rsid w:val="00CF6824"/>
    <w:rsid w:val="00CF6C38"/>
    <w:rsid w:val="00D007AB"/>
    <w:rsid w:val="00D00E7C"/>
    <w:rsid w:val="00D01AC4"/>
    <w:rsid w:val="00D036F3"/>
    <w:rsid w:val="00D03AFD"/>
    <w:rsid w:val="00D05782"/>
    <w:rsid w:val="00D10BD5"/>
    <w:rsid w:val="00D14B13"/>
    <w:rsid w:val="00D15ADA"/>
    <w:rsid w:val="00D15E54"/>
    <w:rsid w:val="00D20BDB"/>
    <w:rsid w:val="00D20F62"/>
    <w:rsid w:val="00D21DAC"/>
    <w:rsid w:val="00D21E2A"/>
    <w:rsid w:val="00D2340C"/>
    <w:rsid w:val="00D238D2"/>
    <w:rsid w:val="00D23CE2"/>
    <w:rsid w:val="00D26B1F"/>
    <w:rsid w:val="00D2763C"/>
    <w:rsid w:val="00D27A7B"/>
    <w:rsid w:val="00D30A3A"/>
    <w:rsid w:val="00D35101"/>
    <w:rsid w:val="00D37188"/>
    <w:rsid w:val="00D406BC"/>
    <w:rsid w:val="00D406CE"/>
    <w:rsid w:val="00D423BA"/>
    <w:rsid w:val="00D433BD"/>
    <w:rsid w:val="00D44371"/>
    <w:rsid w:val="00D47FF4"/>
    <w:rsid w:val="00D50237"/>
    <w:rsid w:val="00D51400"/>
    <w:rsid w:val="00D526BE"/>
    <w:rsid w:val="00D535FC"/>
    <w:rsid w:val="00D53775"/>
    <w:rsid w:val="00D54A99"/>
    <w:rsid w:val="00D554EC"/>
    <w:rsid w:val="00D57B45"/>
    <w:rsid w:val="00D57DA5"/>
    <w:rsid w:val="00D60029"/>
    <w:rsid w:val="00D62D4F"/>
    <w:rsid w:val="00D64BD2"/>
    <w:rsid w:val="00D67E97"/>
    <w:rsid w:val="00D70666"/>
    <w:rsid w:val="00D73AD6"/>
    <w:rsid w:val="00D756A1"/>
    <w:rsid w:val="00D75D6C"/>
    <w:rsid w:val="00D7690A"/>
    <w:rsid w:val="00D7760E"/>
    <w:rsid w:val="00D77C22"/>
    <w:rsid w:val="00D80156"/>
    <w:rsid w:val="00D802F0"/>
    <w:rsid w:val="00D80695"/>
    <w:rsid w:val="00D8098A"/>
    <w:rsid w:val="00D80FEF"/>
    <w:rsid w:val="00D81B80"/>
    <w:rsid w:val="00D830B1"/>
    <w:rsid w:val="00D839BB"/>
    <w:rsid w:val="00D8411B"/>
    <w:rsid w:val="00D841CC"/>
    <w:rsid w:val="00D867B4"/>
    <w:rsid w:val="00D9046E"/>
    <w:rsid w:val="00D90839"/>
    <w:rsid w:val="00D915C7"/>
    <w:rsid w:val="00D918E1"/>
    <w:rsid w:val="00D92234"/>
    <w:rsid w:val="00D92F20"/>
    <w:rsid w:val="00D944B8"/>
    <w:rsid w:val="00D94C85"/>
    <w:rsid w:val="00D97C58"/>
    <w:rsid w:val="00DA391D"/>
    <w:rsid w:val="00DA3B23"/>
    <w:rsid w:val="00DA60D8"/>
    <w:rsid w:val="00DA6362"/>
    <w:rsid w:val="00DA6D18"/>
    <w:rsid w:val="00DB0448"/>
    <w:rsid w:val="00DB23E2"/>
    <w:rsid w:val="00DB3763"/>
    <w:rsid w:val="00DB4A84"/>
    <w:rsid w:val="00DB588A"/>
    <w:rsid w:val="00DB6802"/>
    <w:rsid w:val="00DB6EDA"/>
    <w:rsid w:val="00DB71B3"/>
    <w:rsid w:val="00DC0145"/>
    <w:rsid w:val="00DC5685"/>
    <w:rsid w:val="00DC5994"/>
    <w:rsid w:val="00DC5E0D"/>
    <w:rsid w:val="00DC73FE"/>
    <w:rsid w:val="00DD24DD"/>
    <w:rsid w:val="00DD29D1"/>
    <w:rsid w:val="00DD3252"/>
    <w:rsid w:val="00DD331F"/>
    <w:rsid w:val="00DD4DB0"/>
    <w:rsid w:val="00DD505B"/>
    <w:rsid w:val="00DD626B"/>
    <w:rsid w:val="00DD65CB"/>
    <w:rsid w:val="00DD6E50"/>
    <w:rsid w:val="00DE0714"/>
    <w:rsid w:val="00DE34E0"/>
    <w:rsid w:val="00DE357A"/>
    <w:rsid w:val="00DE4138"/>
    <w:rsid w:val="00DE4222"/>
    <w:rsid w:val="00DE4882"/>
    <w:rsid w:val="00DE4F30"/>
    <w:rsid w:val="00DE6CA2"/>
    <w:rsid w:val="00DE789B"/>
    <w:rsid w:val="00DE7C2C"/>
    <w:rsid w:val="00DF01E9"/>
    <w:rsid w:val="00DF130D"/>
    <w:rsid w:val="00DF147F"/>
    <w:rsid w:val="00DF188E"/>
    <w:rsid w:val="00DF1A92"/>
    <w:rsid w:val="00DF31F0"/>
    <w:rsid w:val="00DF4C23"/>
    <w:rsid w:val="00DF5E13"/>
    <w:rsid w:val="00DF6676"/>
    <w:rsid w:val="00E0489E"/>
    <w:rsid w:val="00E05ECD"/>
    <w:rsid w:val="00E061AE"/>
    <w:rsid w:val="00E10511"/>
    <w:rsid w:val="00E122F3"/>
    <w:rsid w:val="00E12C30"/>
    <w:rsid w:val="00E139E6"/>
    <w:rsid w:val="00E1522C"/>
    <w:rsid w:val="00E165B2"/>
    <w:rsid w:val="00E16A75"/>
    <w:rsid w:val="00E16DFB"/>
    <w:rsid w:val="00E20CA3"/>
    <w:rsid w:val="00E215B7"/>
    <w:rsid w:val="00E21977"/>
    <w:rsid w:val="00E22248"/>
    <w:rsid w:val="00E22CF6"/>
    <w:rsid w:val="00E23E00"/>
    <w:rsid w:val="00E240F0"/>
    <w:rsid w:val="00E24338"/>
    <w:rsid w:val="00E24416"/>
    <w:rsid w:val="00E25A07"/>
    <w:rsid w:val="00E25C09"/>
    <w:rsid w:val="00E25EF3"/>
    <w:rsid w:val="00E266E8"/>
    <w:rsid w:val="00E300F5"/>
    <w:rsid w:val="00E33255"/>
    <w:rsid w:val="00E33BD6"/>
    <w:rsid w:val="00E34814"/>
    <w:rsid w:val="00E34C95"/>
    <w:rsid w:val="00E355DA"/>
    <w:rsid w:val="00E35654"/>
    <w:rsid w:val="00E35893"/>
    <w:rsid w:val="00E40C40"/>
    <w:rsid w:val="00E40D64"/>
    <w:rsid w:val="00E41491"/>
    <w:rsid w:val="00E41987"/>
    <w:rsid w:val="00E42233"/>
    <w:rsid w:val="00E43851"/>
    <w:rsid w:val="00E43B53"/>
    <w:rsid w:val="00E46807"/>
    <w:rsid w:val="00E47E0C"/>
    <w:rsid w:val="00E50D97"/>
    <w:rsid w:val="00E53B77"/>
    <w:rsid w:val="00E57B10"/>
    <w:rsid w:val="00E60812"/>
    <w:rsid w:val="00E60B2F"/>
    <w:rsid w:val="00E62A3A"/>
    <w:rsid w:val="00E63518"/>
    <w:rsid w:val="00E63E0E"/>
    <w:rsid w:val="00E6440F"/>
    <w:rsid w:val="00E64C7A"/>
    <w:rsid w:val="00E64E9E"/>
    <w:rsid w:val="00E668F0"/>
    <w:rsid w:val="00E67C3D"/>
    <w:rsid w:val="00E70442"/>
    <w:rsid w:val="00E70E80"/>
    <w:rsid w:val="00E71586"/>
    <w:rsid w:val="00E72A5B"/>
    <w:rsid w:val="00E72C62"/>
    <w:rsid w:val="00E75E06"/>
    <w:rsid w:val="00E75E20"/>
    <w:rsid w:val="00E80431"/>
    <w:rsid w:val="00E805DA"/>
    <w:rsid w:val="00E815A9"/>
    <w:rsid w:val="00E83096"/>
    <w:rsid w:val="00E83340"/>
    <w:rsid w:val="00E83884"/>
    <w:rsid w:val="00E845C6"/>
    <w:rsid w:val="00E84989"/>
    <w:rsid w:val="00E85C80"/>
    <w:rsid w:val="00E86A7C"/>
    <w:rsid w:val="00E87901"/>
    <w:rsid w:val="00E879BE"/>
    <w:rsid w:val="00E879F2"/>
    <w:rsid w:val="00E94BE4"/>
    <w:rsid w:val="00E95520"/>
    <w:rsid w:val="00E95B2E"/>
    <w:rsid w:val="00E95F1D"/>
    <w:rsid w:val="00E9736F"/>
    <w:rsid w:val="00E97850"/>
    <w:rsid w:val="00EA16A4"/>
    <w:rsid w:val="00EA3876"/>
    <w:rsid w:val="00EA5555"/>
    <w:rsid w:val="00EA6F1C"/>
    <w:rsid w:val="00EA752F"/>
    <w:rsid w:val="00EA76A3"/>
    <w:rsid w:val="00EB06A7"/>
    <w:rsid w:val="00EB0DF6"/>
    <w:rsid w:val="00EB1183"/>
    <w:rsid w:val="00EB28EE"/>
    <w:rsid w:val="00EB58E7"/>
    <w:rsid w:val="00EB5E3A"/>
    <w:rsid w:val="00EB767C"/>
    <w:rsid w:val="00EB7734"/>
    <w:rsid w:val="00EC0C7C"/>
    <w:rsid w:val="00EC2B2C"/>
    <w:rsid w:val="00EC5577"/>
    <w:rsid w:val="00ED1101"/>
    <w:rsid w:val="00ED12EA"/>
    <w:rsid w:val="00ED20AC"/>
    <w:rsid w:val="00ED40FE"/>
    <w:rsid w:val="00ED6581"/>
    <w:rsid w:val="00ED65C7"/>
    <w:rsid w:val="00ED7B13"/>
    <w:rsid w:val="00EE027F"/>
    <w:rsid w:val="00EE23A0"/>
    <w:rsid w:val="00EE3411"/>
    <w:rsid w:val="00EE3ACD"/>
    <w:rsid w:val="00EE46B5"/>
    <w:rsid w:val="00EE4E6B"/>
    <w:rsid w:val="00EE53A2"/>
    <w:rsid w:val="00EE65C6"/>
    <w:rsid w:val="00EE68A7"/>
    <w:rsid w:val="00EE6D22"/>
    <w:rsid w:val="00EE6D7A"/>
    <w:rsid w:val="00EF186F"/>
    <w:rsid w:val="00EF2630"/>
    <w:rsid w:val="00EF4888"/>
    <w:rsid w:val="00EF5BD6"/>
    <w:rsid w:val="00EF6A9A"/>
    <w:rsid w:val="00F00FC9"/>
    <w:rsid w:val="00F02FB7"/>
    <w:rsid w:val="00F03289"/>
    <w:rsid w:val="00F03DE2"/>
    <w:rsid w:val="00F04C0A"/>
    <w:rsid w:val="00F06F36"/>
    <w:rsid w:val="00F07772"/>
    <w:rsid w:val="00F12041"/>
    <w:rsid w:val="00F1322D"/>
    <w:rsid w:val="00F14F86"/>
    <w:rsid w:val="00F16C12"/>
    <w:rsid w:val="00F1703F"/>
    <w:rsid w:val="00F2064A"/>
    <w:rsid w:val="00F229EB"/>
    <w:rsid w:val="00F25F77"/>
    <w:rsid w:val="00F33746"/>
    <w:rsid w:val="00F3580F"/>
    <w:rsid w:val="00F35C1D"/>
    <w:rsid w:val="00F368C5"/>
    <w:rsid w:val="00F40B0F"/>
    <w:rsid w:val="00F4188C"/>
    <w:rsid w:val="00F45365"/>
    <w:rsid w:val="00F46363"/>
    <w:rsid w:val="00F4721D"/>
    <w:rsid w:val="00F50CAF"/>
    <w:rsid w:val="00F50D75"/>
    <w:rsid w:val="00F52E35"/>
    <w:rsid w:val="00F53DC5"/>
    <w:rsid w:val="00F5408E"/>
    <w:rsid w:val="00F5462B"/>
    <w:rsid w:val="00F566C1"/>
    <w:rsid w:val="00F570A7"/>
    <w:rsid w:val="00F57FC7"/>
    <w:rsid w:val="00F6055A"/>
    <w:rsid w:val="00F6063A"/>
    <w:rsid w:val="00F60C6F"/>
    <w:rsid w:val="00F66501"/>
    <w:rsid w:val="00F7387D"/>
    <w:rsid w:val="00F767F8"/>
    <w:rsid w:val="00F80490"/>
    <w:rsid w:val="00F806B9"/>
    <w:rsid w:val="00F834F1"/>
    <w:rsid w:val="00F9282A"/>
    <w:rsid w:val="00F95DA0"/>
    <w:rsid w:val="00F970EF"/>
    <w:rsid w:val="00F9781E"/>
    <w:rsid w:val="00FA274A"/>
    <w:rsid w:val="00FA2D3F"/>
    <w:rsid w:val="00FA421D"/>
    <w:rsid w:val="00FA69A9"/>
    <w:rsid w:val="00FA7C9A"/>
    <w:rsid w:val="00FB2A25"/>
    <w:rsid w:val="00FB2B82"/>
    <w:rsid w:val="00FB5212"/>
    <w:rsid w:val="00FC006C"/>
    <w:rsid w:val="00FC2077"/>
    <w:rsid w:val="00FC4420"/>
    <w:rsid w:val="00FC4AE6"/>
    <w:rsid w:val="00FC627A"/>
    <w:rsid w:val="00FC6519"/>
    <w:rsid w:val="00FC720A"/>
    <w:rsid w:val="00FD190D"/>
    <w:rsid w:val="00FD1985"/>
    <w:rsid w:val="00FD3230"/>
    <w:rsid w:val="00FD387F"/>
    <w:rsid w:val="00FD4A8D"/>
    <w:rsid w:val="00FD5AAD"/>
    <w:rsid w:val="00FD6309"/>
    <w:rsid w:val="00FD6A8B"/>
    <w:rsid w:val="00FD6ADC"/>
    <w:rsid w:val="00FD6B93"/>
    <w:rsid w:val="00FD7B7A"/>
    <w:rsid w:val="00FE3FCF"/>
    <w:rsid w:val="00FE5939"/>
    <w:rsid w:val="00FE5B54"/>
    <w:rsid w:val="00FE72E4"/>
    <w:rsid w:val="00FE7DF3"/>
    <w:rsid w:val="00FF03B6"/>
    <w:rsid w:val="00FF063D"/>
    <w:rsid w:val="00FF0AAB"/>
    <w:rsid w:val="00FF1C10"/>
    <w:rsid w:val="00FF3A59"/>
    <w:rsid w:val="00FF3DCB"/>
    <w:rsid w:val="00FF5219"/>
    <w:rsid w:val="00FF5CC9"/>
    <w:rsid w:val="00FF7146"/>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EA5A2"/>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qFormat="1"/>
    <w:lsdException w:name="caption" w:qFormat="1"/>
    <w:lsdException w:name="annotation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sdException w:name="Unresolved Mention" w:uiPriority="99"/>
  </w:latentStyles>
  <w:style w:type="paragraph" w:default="1" w:styleId="Normalny">
    <w:name w:val="Normal"/>
    <w:qFormat/>
    <w:rsid w:val="006E30D6"/>
    <w:rPr>
      <w:sz w:val="22"/>
      <w:szCs w:val="22"/>
    </w:rPr>
  </w:style>
  <w:style w:type="paragraph" w:styleId="Nagwek1">
    <w:name w:val="heading 1"/>
    <w:aliases w:val="Rep Heading 1, red headings,h1,heading,red headings"/>
    <w:basedOn w:val="RepStandard"/>
    <w:next w:val="RepStandard"/>
    <w:link w:val="Nagwek1Znak"/>
    <w:uiPriority w:val="9"/>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8.1 Überschrift 2,h2,heading2"/>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H3,h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aliases w:val="Rep Heading 5"/>
    <w:basedOn w:val="RepStandard"/>
    <w:next w:val="RepStandard"/>
    <w:link w:val="Nagwek5Znak"/>
    <w:qFormat/>
    <w:rsid w:val="000A09FB"/>
    <w:pPr>
      <w:keepNext/>
      <w:numPr>
        <w:ilvl w:val="4"/>
        <w:numId w:val="5"/>
      </w:numPr>
      <w:tabs>
        <w:tab w:val="left" w:pos="1418"/>
      </w:tabs>
      <w:spacing w:before="480" w:after="240"/>
      <w:outlineLvl w:val="4"/>
    </w:pPr>
    <w:rPr>
      <w:b/>
      <w:noProof/>
      <w:sz w:val="24"/>
      <w:lang w:val="de-DE"/>
    </w:rPr>
  </w:style>
  <w:style w:type="paragraph" w:styleId="Nagwek6">
    <w:name w:val="heading 6"/>
    <w:next w:val="Normalny"/>
    <w:link w:val="Nagwek6Znak"/>
    <w:qFormat/>
    <w:rsid w:val="00A10A2B"/>
    <w:pPr>
      <w:spacing w:before="240" w:after="60"/>
      <w:outlineLvl w:val="5"/>
    </w:pPr>
    <w:rPr>
      <w:rFonts w:ascii="Arial" w:hAnsi="Arial"/>
      <w:noProof/>
      <w:sz w:val="22"/>
    </w:rPr>
  </w:style>
  <w:style w:type="paragraph" w:styleId="Nagwek7">
    <w:name w:val="heading 7"/>
    <w:next w:val="Normalny"/>
    <w:link w:val="Nagwek7Znak"/>
    <w:qFormat/>
    <w:rsid w:val="00A10A2B"/>
    <w:pPr>
      <w:spacing w:before="240" w:after="60"/>
      <w:outlineLvl w:val="6"/>
    </w:pPr>
    <w:rPr>
      <w:rFonts w:ascii="Arial" w:hAnsi="Arial"/>
      <w:noProof/>
      <w:sz w:val="22"/>
    </w:rPr>
  </w:style>
  <w:style w:type="paragraph" w:styleId="Nagwek8">
    <w:name w:val="heading 8"/>
    <w:next w:val="Normalny"/>
    <w:link w:val="Nagwek8Znak"/>
    <w:qFormat/>
    <w:rsid w:val="00A10A2B"/>
    <w:pPr>
      <w:spacing w:before="240" w:after="60"/>
      <w:outlineLvl w:val="7"/>
    </w:pPr>
    <w:rPr>
      <w:rFonts w:ascii="Arial" w:hAnsi="Arial"/>
      <w:noProof/>
      <w:sz w:val="22"/>
    </w:rPr>
  </w:style>
  <w:style w:type="paragraph" w:styleId="Nagwek9">
    <w:name w:val="heading 9"/>
    <w:aliases w:val="Heading 9 Figure,Heading 9 Table"/>
    <w:next w:val="Normalny"/>
    <w:link w:val="Nagwek9Znak"/>
    <w:qFormat/>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10A2B"/>
    <w:pPr>
      <w:spacing w:after="120" w:line="480" w:lineRule="auto"/>
    </w:pPr>
  </w:style>
  <w:style w:type="paragraph" w:styleId="Tekstpodstawowy">
    <w:name w:val="Body Text"/>
    <w:aliases w:val="style5,bt"/>
    <w:basedOn w:val="Normalny"/>
    <w:link w:val="TekstpodstawowyZnak"/>
    <w:rsid w:val="00A10A2B"/>
    <w:pPr>
      <w:spacing w:after="120"/>
    </w:pPr>
  </w:style>
  <w:style w:type="paragraph" w:styleId="Spistreci4">
    <w:name w:val="toc 4"/>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2B1114"/>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2B1114"/>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2B1114"/>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aliases w:val="OECD-Fußzeile"/>
    <w:basedOn w:val="Normalny"/>
    <w:link w:val="StopkaZnak"/>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red headings Znak,h1 Znak,heading Znak,red headings Znak"/>
    <w:link w:val="Nagwek1"/>
    <w:rsid w:val="00A10A2B"/>
    <w:rPr>
      <w:rFonts w:eastAsia="MS Mincho"/>
      <w:b/>
      <w:bCs/>
      <w:sz w:val="28"/>
      <w:szCs w:val="28"/>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0E1183"/>
    <w:rPr>
      <w:sz w:val="22"/>
      <w:szCs w:val="22"/>
      <w:lang w:val="de-DE"/>
    </w:rPr>
  </w:style>
  <w:style w:type="character" w:customStyle="1" w:styleId="RepBullet2Zchn">
    <w:name w:val="Rep Bullet 2 Zchn"/>
    <w:link w:val="RepBullet2"/>
    <w:rsid w:val="000E1183"/>
    <w:rPr>
      <w:sz w:val="22"/>
      <w:szCs w:val="22"/>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aliases w:val="header protocols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uiPriority w:val="99"/>
    <w:rsid w:val="00A10A2B"/>
    <w:rPr>
      <w:sz w:val="16"/>
      <w:szCs w:val="16"/>
    </w:rPr>
  </w:style>
  <w:style w:type="table" w:styleId="Tabela-Siatka">
    <w:name w:val="Table Grid"/>
    <w:aliases w:val="DAR007,Signature Table"/>
    <w:basedOn w:val="Standardowy"/>
    <w:uiPriority w:val="59"/>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Rinstructions">
    <w:name w:val="dRR_instructions"/>
    <w:basedOn w:val="Normalny"/>
    <w:link w:val="dRRinstructionsChar"/>
    <w:qFormat/>
    <w:rsid w:val="00AB5F69"/>
    <w:pPr>
      <w:tabs>
        <w:tab w:val="left" w:pos="720"/>
      </w:tabs>
      <w:spacing w:before="20"/>
      <w:jc w:val="both"/>
    </w:pPr>
    <w:rPr>
      <w:color w:val="0000FF"/>
      <w:szCs w:val="24"/>
      <w:lang w:val="fr-FR"/>
    </w:rPr>
  </w:style>
  <w:style w:type="character" w:styleId="Odwoanieprzypisudolnego">
    <w:name w:val="footnote reference"/>
    <w:aliases w:val="DAR001 Char1,Footnote Reference1,Intervet Footnote Reference"/>
    <w:rsid w:val="007F6EFF"/>
    <w:rPr>
      <w:vertAlign w:val="superscript"/>
    </w:rPr>
  </w:style>
  <w:style w:type="character" w:customStyle="1" w:styleId="dRRinstructionsChar">
    <w:name w:val="dRR_instructions Char"/>
    <w:link w:val="dRRinstructions"/>
    <w:rsid w:val="00AB5F69"/>
    <w:rPr>
      <w:color w:val="0000FF"/>
      <w:sz w:val="22"/>
      <w:szCs w:val="24"/>
      <w:lang w:val="fr-FR" w:eastAsia="en-US"/>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Überschrift1,Tolyl,Beschriftung Char,Beschriftung Char1 Char,Beschriftung Char Char Char, Char Char, Char,Char,Beschriftung Char1,Beschriftung Char1 Char1,Tabellenbeschriftung"/>
    <w:basedOn w:val="Normalny"/>
    <w:next w:val="Normalny"/>
    <w:link w:val="LegendaZnak"/>
    <w:qFormat/>
    <w:rsid w:val="00BB63B3"/>
    <w:pPr>
      <w:spacing w:before="120" w:after="120"/>
    </w:pPr>
    <w:rPr>
      <w:b/>
      <w:bCs/>
      <w:color w:val="000000" w:themeColor="text1"/>
      <w:lang w:val="en-GB"/>
    </w:rPr>
  </w:style>
  <w:style w:type="paragraph" w:customStyle="1" w:styleId="RepStandard">
    <w:name w:val="Rep Standard"/>
    <w:aliases w:val="RP"/>
    <w:link w:val="RepStandardZchnZchn"/>
    <w:qFormat/>
    <w:rsid w:val="00A10A2B"/>
    <w:pPr>
      <w:widowControl w:val="0"/>
      <w:jc w:val="both"/>
    </w:pPr>
    <w:rPr>
      <w:sz w:val="22"/>
      <w:szCs w:val="22"/>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link w:val="RepTitleChar"/>
    <w:rsid w:val="00A10A2B"/>
    <w:rPr>
      <w:b w:val="0"/>
    </w:rPr>
  </w:style>
  <w:style w:type="paragraph" w:customStyle="1" w:styleId="RepAppendix1">
    <w:name w:val="Rep Appendix 1"/>
    <w:basedOn w:val="RepStandard"/>
    <w:next w:val="RepStandard"/>
    <w:qFormat/>
    <w:rsid w:val="00A10A2B"/>
    <w:pPr>
      <w:numPr>
        <w:numId w:val="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qFormat/>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qFormat/>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link w:val="RepTableHeaderChar"/>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qFormat/>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aliases w:val="DAR0,EFSA op_Footnote,FEEDAP Op_Footnote,FT,Footnote Text Char Char,Footnote Text Char Char Char Char,Footnote Text1,Footnote text,Footnotes standard 9 GAB,Fußnote,Fußnotentext1,GAB-Footnotes +Tab,Reference,Tabellenanmerkung,Car"/>
    <w:basedOn w:val="Normalny"/>
    <w:link w:val="TekstprzypisudolnegoZnak"/>
    <w:qFormat/>
    <w:rsid w:val="00A10A2B"/>
    <w:rPr>
      <w:sz w:val="20"/>
      <w:szCs w:val="20"/>
    </w:rPr>
  </w:style>
  <w:style w:type="paragraph" w:styleId="Zwrotpoegnalny">
    <w:name w:val="Closing"/>
    <w:basedOn w:val="Normalny"/>
    <w:link w:val="ZwrotpoegnalnyZnak"/>
    <w:rsid w:val="00A10A2B"/>
    <w:pPr>
      <w:ind w:left="4252"/>
    </w:pPr>
  </w:style>
  <w:style w:type="paragraph" w:styleId="HTML-adres">
    <w:name w:val="HTML Address"/>
    <w:basedOn w:val="Normalny"/>
    <w:link w:val="HTML-adresZnak"/>
    <w:rsid w:val="00A10A2B"/>
    <w:rPr>
      <w:i/>
      <w:iCs/>
    </w:rPr>
  </w:style>
  <w:style w:type="paragraph" w:styleId="HTML-wstpniesformatowany">
    <w:name w:val="HTML Preformatted"/>
    <w:basedOn w:val="Normalny"/>
    <w:link w:val="HTML-wstpniesformatowanyZnak"/>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aliases w:val="Char1,Char Char Char Char Char,Char Char Char Char,Comment Text1,Char Char Char Char Char1 Char Char Char Char,Char Char Char Char Char1 Char Char, Char1, Char Char Char Char Char, Char Char Char Char"/>
    <w:basedOn w:val="Normalny"/>
    <w:link w:val="TekstkomentarzaZnak"/>
    <w:uiPriority w:val="99"/>
    <w:qFormat/>
    <w:rsid w:val="00A10A2B"/>
    <w:rPr>
      <w:sz w:val="20"/>
      <w:szCs w:val="20"/>
    </w:rPr>
  </w:style>
  <w:style w:type="paragraph" w:styleId="Tematkomentarza">
    <w:name w:val="annotation subject"/>
    <w:basedOn w:val="Tekstkomentarza"/>
    <w:next w:val="Tekstkomentarza"/>
    <w:link w:val="TematkomentarzaZnak"/>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link w:val="TekstmakraZnak"/>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link w:val="NagwekwiadomociZnak"/>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link w:val="Tekstpodstawowy3Znak"/>
    <w:rsid w:val="00A10A2B"/>
    <w:pPr>
      <w:spacing w:after="120"/>
    </w:pPr>
    <w:rPr>
      <w:sz w:val="16"/>
      <w:szCs w:val="16"/>
    </w:rPr>
  </w:style>
  <w:style w:type="paragraph" w:styleId="Tekstpodstawowywcity2">
    <w:name w:val="Body Text Indent 2"/>
    <w:basedOn w:val="Normalny"/>
    <w:link w:val="Tekstpodstawowywcity2Znak"/>
    <w:rsid w:val="00A10A2B"/>
    <w:pPr>
      <w:spacing w:after="120" w:line="480" w:lineRule="auto"/>
      <w:ind w:left="283"/>
    </w:pPr>
  </w:style>
  <w:style w:type="paragraph" w:styleId="Tekstpodstawowywcity3">
    <w:name w:val="Body Text Indent 3"/>
    <w:basedOn w:val="Normalny"/>
    <w:link w:val="Tekstpodstawowywcity3Znak"/>
    <w:rsid w:val="00A10A2B"/>
    <w:pPr>
      <w:spacing w:after="120"/>
      <w:ind w:left="283"/>
    </w:pPr>
    <w:rPr>
      <w:sz w:val="16"/>
      <w:szCs w:val="16"/>
    </w:rPr>
  </w:style>
  <w:style w:type="paragraph" w:styleId="Tekstpodstawowyzwciciem">
    <w:name w:val="Body Text First Indent"/>
    <w:basedOn w:val="Tekstpodstawowy"/>
    <w:link w:val="TekstpodstawowyzwciciemZnak"/>
    <w:rsid w:val="00A10A2B"/>
    <w:pPr>
      <w:ind w:firstLine="210"/>
    </w:pPr>
  </w:style>
  <w:style w:type="paragraph" w:styleId="Tekstpodstawowywcity">
    <w:name w:val="Body Text Indent"/>
    <w:basedOn w:val="Normalny"/>
    <w:link w:val="TekstpodstawowywcityZnak"/>
    <w:rsid w:val="00A10A2B"/>
    <w:pPr>
      <w:spacing w:after="120"/>
      <w:ind w:left="283"/>
    </w:pPr>
  </w:style>
  <w:style w:type="paragraph" w:styleId="Tekstpodstawowyzwciciem2">
    <w:name w:val="Body Text First Indent 2"/>
    <w:basedOn w:val="Tekstpodstawowywcity"/>
    <w:link w:val="Tekstpodstawowyzwciciem2Znak"/>
    <w:rsid w:val="00A10A2B"/>
    <w:pPr>
      <w:ind w:firstLine="210"/>
    </w:pPr>
  </w:style>
  <w:style w:type="paragraph" w:styleId="Tytu">
    <w:name w:val="Title"/>
    <w:basedOn w:val="Normalny"/>
    <w:link w:val="TytuZnak"/>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qFormat/>
    <w:rsid w:val="00A10A2B"/>
    <w:pPr>
      <w:numPr>
        <w:ilvl w:val="1"/>
        <w:numId w:val="9"/>
      </w:numPr>
      <w:spacing w:before="480" w:after="240"/>
      <w:outlineLvl w:val="1"/>
    </w:pPr>
    <w:rPr>
      <w:b/>
      <w:sz w:val="24"/>
    </w:rPr>
  </w:style>
  <w:style w:type="paragraph" w:customStyle="1" w:styleId="RepAppendix3">
    <w:name w:val="Rep Appendix 3"/>
    <w:basedOn w:val="RepStandard"/>
    <w:next w:val="RepStandard"/>
    <w:qFormat/>
    <w:rsid w:val="00A10A2B"/>
    <w:pPr>
      <w:numPr>
        <w:ilvl w:val="2"/>
        <w:numId w:val="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0E1183"/>
    <w:pPr>
      <w:numPr>
        <w:numId w:val="11"/>
      </w:numPr>
      <w:jc w:val="left"/>
    </w:pPr>
    <w:rPr>
      <w:lang w:val="de-DE"/>
    </w:rPr>
  </w:style>
  <w:style w:type="paragraph" w:customStyle="1" w:styleId="RepBullet2">
    <w:name w:val="Rep Bullet 2"/>
    <w:basedOn w:val="RepStandard"/>
    <w:link w:val="RepBullet2Zchn"/>
    <w:autoRedefine/>
    <w:rsid w:val="000E1183"/>
    <w:pPr>
      <w:numPr>
        <w:numId w:val="12"/>
      </w:numPr>
      <w:jc w:val="left"/>
    </w:pPr>
  </w:style>
  <w:style w:type="paragraph" w:customStyle="1" w:styleId="RepBullet3">
    <w:name w:val="Rep Bullet 3"/>
    <w:basedOn w:val="RepStandard"/>
    <w:autoRedefine/>
    <w:rsid w:val="000E1183"/>
    <w:pPr>
      <w:numPr>
        <w:numId w:val="13"/>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6"/>
      </w:numPr>
    </w:pPr>
  </w:style>
  <w:style w:type="numbering" w:styleId="1ai">
    <w:name w:val="Outline List 1"/>
    <w:basedOn w:val="Bezlisty"/>
    <w:rsid w:val="00A10A2B"/>
    <w:pPr>
      <w:numPr>
        <w:numId w:val="7"/>
      </w:numPr>
    </w:pPr>
  </w:style>
  <w:style w:type="paragraph" w:styleId="Zwrotgrzecznociowy">
    <w:name w:val="Salutation"/>
    <w:basedOn w:val="Normalny"/>
    <w:next w:val="Normalny"/>
    <w:link w:val="ZwrotgrzecznociowyZnak"/>
    <w:rsid w:val="00A10A2B"/>
  </w:style>
  <w:style w:type="numbering" w:styleId="Artykusekcja">
    <w:name w:val="Outline List 3"/>
    <w:basedOn w:val="Bezlisty"/>
    <w:rsid w:val="00A10A2B"/>
    <w:pPr>
      <w:numPr>
        <w:numId w:val="8"/>
      </w:numPr>
    </w:pPr>
  </w:style>
  <w:style w:type="paragraph" w:styleId="Listapunktowana">
    <w:name w:val="List Bullet"/>
    <w:basedOn w:val="Normalny"/>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rsid w:val="00A10A2B"/>
    <w:pPr>
      <w:numPr>
        <w:numId w:val="3"/>
      </w:numPr>
    </w:pPr>
  </w:style>
  <w:style w:type="paragraph" w:styleId="Listapunktowana4">
    <w:name w:val="List Bullet 4"/>
    <w:basedOn w:val="Normalny"/>
    <w:rsid w:val="00A10A2B"/>
    <w:pPr>
      <w:numPr>
        <w:numId w:val="4"/>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link w:val="DataZnak"/>
    <w:rsid w:val="00A10A2B"/>
  </w:style>
  <w:style w:type="paragraph" w:styleId="Podpise-mail">
    <w:name w:val="E-mail Signature"/>
    <w:basedOn w:val="Normalny"/>
    <w:link w:val="Podpise-mailZnak"/>
    <w:rsid w:val="00A10A2B"/>
  </w:style>
  <w:style w:type="paragraph" w:styleId="Nagwekspisutreci">
    <w:name w:val="TOC Heading"/>
    <w:basedOn w:val="Nagwek1"/>
    <w:next w:val="Normalny"/>
    <w:qFormat/>
    <w:rsid w:val="00AB5F69"/>
    <w:pPr>
      <w:keepNext/>
      <w:widowControl/>
      <w:numPr>
        <w:numId w:val="0"/>
      </w:numPr>
      <w:spacing w:before="240" w:after="60"/>
      <w:jc w:val="left"/>
      <w:outlineLvl w:val="9"/>
    </w:pPr>
    <w:rPr>
      <w:rFonts w:ascii="Cambria" w:eastAsia="Times New Roman" w:hAnsi="Cambria"/>
      <w:kern w:val="32"/>
      <w:sz w:val="32"/>
      <w:szCs w:val="32"/>
    </w:rPr>
  </w:style>
  <w:style w:type="paragraph" w:styleId="Nagweknotatki">
    <w:name w:val="Note Heading"/>
    <w:basedOn w:val="Normalny"/>
    <w:next w:val="Normalny"/>
    <w:link w:val="NagweknotatkiZnak"/>
    <w:rsid w:val="00A10A2B"/>
  </w:style>
  <w:style w:type="character" w:styleId="Uwydatnienie">
    <w:name w:val="Emphasis"/>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qFormat/>
    <w:rsid w:val="00A10A2B"/>
    <w:pPr>
      <w:numPr>
        <w:ilvl w:val="3"/>
        <w:numId w:val="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qFormat/>
    <w:rsid w:val="00A10A2B"/>
    <w:pPr>
      <w:numPr>
        <w:ilvl w:val="4"/>
        <w:numId w:val="9"/>
      </w:numPr>
      <w:spacing w:before="480" w:after="240"/>
      <w:outlineLvl w:val="4"/>
    </w:pPr>
    <w:rPr>
      <w:b/>
      <w:bCs/>
      <w:sz w:val="24"/>
    </w:rPr>
  </w:style>
  <w:style w:type="paragraph" w:customStyle="1" w:styleId="RepAppendix6">
    <w:name w:val="Rep Appendix 6"/>
    <w:basedOn w:val="RepStandard"/>
    <w:next w:val="RepStandard"/>
    <w:qFormat/>
    <w:rsid w:val="00A10A2B"/>
    <w:pPr>
      <w:numPr>
        <w:ilvl w:val="5"/>
        <w:numId w:val="9"/>
      </w:numPr>
      <w:spacing w:before="480" w:after="240"/>
      <w:outlineLvl w:val="5"/>
    </w:pPr>
    <w:rPr>
      <w:b/>
      <w:sz w:val="24"/>
    </w:rPr>
  </w:style>
  <w:style w:type="paragraph" w:customStyle="1" w:styleId="RepTitleBold">
    <w:name w:val="Rep Title Bold"/>
    <w:basedOn w:val="RepStandard"/>
    <w:link w:val="RepTitleBoldChar"/>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Cytatintensywny">
    <w:name w:val="Intense Quote"/>
    <w:basedOn w:val="Normalny"/>
    <w:next w:val="Normalny"/>
    <w:link w:val="CytatintensywnyZnak"/>
    <w:qFormat/>
    <w:rsid w:val="00AB5F69"/>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H3 Znak,h3 Znak"/>
    <w:link w:val="Nagwek3"/>
    <w:rsid w:val="00D526BE"/>
    <w:rPr>
      <w:rFonts w:eastAsia="Lucida Sans Unicode" w:cs="Tahoma"/>
      <w:b/>
      <w:bCs/>
      <w:kern w:val="24"/>
      <w:sz w:val="24"/>
      <w:szCs w:val="28"/>
    </w:rPr>
  </w:style>
  <w:style w:type="character" w:customStyle="1" w:styleId="Nagwek4Znak">
    <w:name w:val="Nagłówek 4 Znak"/>
    <w:aliases w:val="Rep Heading 4 Znak"/>
    <w:link w:val="Nagwek4"/>
    <w:rsid w:val="00D526BE"/>
    <w:rPr>
      <w:b/>
      <w:noProof/>
      <w:sz w:val="24"/>
      <w:szCs w:val="24"/>
      <w:lang w:val="de-DE"/>
    </w:rPr>
  </w:style>
  <w:style w:type="character" w:customStyle="1" w:styleId="Nagwek5Znak">
    <w:name w:val="Nagłówek 5 Znak"/>
    <w:aliases w:val="Rep Heading 5 Znak"/>
    <w:link w:val="Nagwek5"/>
    <w:rsid w:val="000A09FB"/>
    <w:rPr>
      <w:b/>
      <w:noProof/>
      <w:sz w:val="24"/>
      <w:szCs w:val="22"/>
      <w:lang w:val="de-DE"/>
    </w:rPr>
  </w:style>
  <w:style w:type="character" w:customStyle="1" w:styleId="MapadokumentuZnak">
    <w:name w:val="Mapa dokumentu Znak"/>
    <w:link w:val="Mapadokumentu"/>
    <w:rsid w:val="00D526BE"/>
    <w:rPr>
      <w:rFonts w:ascii="Tahoma" w:hAnsi="Tahoma" w:cs="Tahoma"/>
      <w:shd w:val="clear" w:color="auto" w:fill="000080"/>
      <w:lang w:val="en-US"/>
    </w:rPr>
  </w:style>
  <w:style w:type="character" w:customStyle="1" w:styleId="Nagwek2Znak">
    <w:name w:val="Nagłówek 2 Znak"/>
    <w:aliases w:val="Rep Heading 2 Znak,Header 1 Znak,8.1 Überschrift 2 Znak,h2 Znak,heading2 Znak"/>
    <w:link w:val="Nagwek2"/>
    <w:rsid w:val="008D2FEC"/>
    <w:rPr>
      <w:b/>
      <w:bCs/>
      <w:sz w:val="24"/>
      <w:szCs w:val="24"/>
    </w:rPr>
  </w:style>
  <w:style w:type="character" w:customStyle="1" w:styleId="TekstkomentarzaZnak">
    <w:name w:val="Tekst komentarza Znak"/>
    <w:aliases w:val="Char1 Znak,Char Char Char Char Char Znak,Char Char Char Char Znak,Comment Text1 Znak,Char Char Char Char Char1 Char Char Char Char Znak,Char Char Char Char Char1 Char Char Znak, Char1 Znak, Char Char Char Char Char Znak"/>
    <w:link w:val="Tekstkomentarza"/>
    <w:uiPriority w:val="99"/>
    <w:qFormat/>
    <w:rsid w:val="00D526BE"/>
    <w:rPr>
      <w:lang w:val="en-US"/>
    </w:rPr>
  </w:style>
  <w:style w:type="character" w:customStyle="1" w:styleId="CytatintensywnyZnak">
    <w:name w:val="Cytat intensywny Znak"/>
    <w:link w:val="Cytatintensywny"/>
    <w:rsid w:val="00AB5F69"/>
    <w:rPr>
      <w:b/>
      <w:bCs/>
      <w:i/>
      <w:iCs/>
      <w:color w:val="4F81BD"/>
      <w:sz w:val="22"/>
      <w:szCs w:val="22"/>
      <w:lang w:val="en-US"/>
    </w:rPr>
  </w:style>
  <w:style w:type="character" w:customStyle="1" w:styleId="StopkaZnak">
    <w:name w:val="Stopka Znak"/>
    <w:aliases w:val="OECD-Fußzeile Znak"/>
    <w:link w:val="Stopka"/>
    <w:rsid w:val="00D526BE"/>
    <w:rPr>
      <w:sz w:val="22"/>
      <w:szCs w:val="22"/>
      <w:lang w:val="en-US"/>
    </w:rPr>
  </w:style>
  <w:style w:type="paragraph" w:styleId="Bezodstpw">
    <w:name w:val="No Spacing"/>
    <w:qFormat/>
    <w:rsid w:val="00AB5F69"/>
    <w:rPr>
      <w:sz w:val="22"/>
      <w:szCs w:val="22"/>
    </w:rPr>
  </w:style>
  <w:style w:type="character" w:customStyle="1" w:styleId="NagwekZnak">
    <w:name w:val="Nagłówek Znak"/>
    <w:aliases w:val="OECD-Kopfzeile Znak,test Znak,header protocols Znak"/>
    <w:link w:val="Nagwek"/>
    <w:locked/>
    <w:rsid w:val="008D2FEC"/>
    <w:rPr>
      <w:sz w:val="22"/>
      <w:szCs w:val="22"/>
      <w:lang w:val="en-US"/>
    </w:rPr>
  </w:style>
  <w:style w:type="paragraph" w:styleId="Akapitzlist">
    <w:name w:val="List Paragraph"/>
    <w:basedOn w:val="Normalny"/>
    <w:link w:val="AkapitzlistZnak"/>
    <w:uiPriority w:val="34"/>
    <w:qFormat/>
    <w:rsid w:val="00AB5F69"/>
    <w:pPr>
      <w:ind w:left="708"/>
    </w:pPr>
  </w:style>
  <w:style w:type="paragraph" w:styleId="Bibliografia">
    <w:name w:val="Bibliography"/>
    <w:basedOn w:val="Normalny"/>
    <w:next w:val="Normalny"/>
    <w:rsid w:val="00AB5F69"/>
  </w:style>
  <w:style w:type="paragraph" w:styleId="Cytat">
    <w:name w:val="Quote"/>
    <w:basedOn w:val="Normalny"/>
    <w:next w:val="Normalny"/>
    <w:link w:val="CytatZnak"/>
    <w:qFormat/>
    <w:rsid w:val="00AB5F69"/>
    <w:rPr>
      <w:i/>
      <w:iCs/>
      <w:color w:val="000000"/>
    </w:rPr>
  </w:style>
  <w:style w:type="paragraph" w:styleId="Poprawka">
    <w:name w:val="Revision"/>
    <w:hidden/>
    <w:rsid w:val="00D526BE"/>
    <w:rPr>
      <w:sz w:val="22"/>
    </w:rPr>
  </w:style>
  <w:style w:type="character" w:customStyle="1" w:styleId="CytatZnak">
    <w:name w:val="Cytat Znak"/>
    <w:link w:val="Cytat"/>
    <w:rsid w:val="00AB5F69"/>
    <w:rPr>
      <w:i/>
      <w:iCs/>
      <w:color w:val="000000"/>
      <w:sz w:val="22"/>
      <w:szCs w:val="22"/>
      <w:lang w:val="en-US"/>
    </w:rPr>
  </w:style>
  <w:style w:type="paragraph" w:customStyle="1" w:styleId="TableText8pt">
    <w:name w:val="Table Text 8pt"/>
    <w:basedOn w:val="Normalny"/>
    <w:rsid w:val="00720E1C"/>
    <w:pPr>
      <w:tabs>
        <w:tab w:val="left" w:pos="720"/>
      </w:tabs>
      <w:spacing w:before="40" w:after="40"/>
      <w:jc w:val="center"/>
    </w:pPr>
    <w:rPr>
      <w:sz w:val="16"/>
      <w:szCs w:val="24"/>
      <w:lang w:val="en-GB"/>
    </w:rPr>
  </w:style>
  <w:style w:type="paragraph" w:customStyle="1" w:styleId="StyleOECD-BASIS-TEXTLeft">
    <w:name w:val="Style OECD-BASIS-TEXT + Left"/>
    <w:basedOn w:val="Normalny"/>
    <w:link w:val="StyleOECD-BASIS-TEXTLeftChar"/>
    <w:rsid w:val="00CE08CB"/>
    <w:pPr>
      <w:jc w:val="both"/>
    </w:pPr>
    <w:rPr>
      <w:color w:val="000000"/>
      <w:sz w:val="24"/>
      <w:lang w:val="en-GB"/>
    </w:rPr>
  </w:style>
  <w:style w:type="paragraph" w:customStyle="1" w:styleId="OECD-BASIS-TEXT">
    <w:name w:val="OECD-BASIS-TEXT"/>
    <w:aliases w:val="BT"/>
    <w:link w:val="OECD-BASIS-TEXTChar"/>
    <w:qFormat/>
    <w:rsid w:val="00433FD5"/>
    <w:pPr>
      <w:jc w:val="both"/>
    </w:pPr>
    <w:rPr>
      <w:color w:val="000000"/>
      <w:sz w:val="24"/>
      <w:szCs w:val="22"/>
      <w:lang w:val="en-GB"/>
    </w:rPr>
  </w:style>
  <w:style w:type="character" w:customStyle="1" w:styleId="OECD-BASIS-TEXTChar">
    <w:name w:val="OECD-BASIS-TEXT Char"/>
    <w:aliases w:val="BT Char,Body Text Char1,style5 Char1,bt Char1,BT Char Char Char1,BT Char1 Char Char Char Char1,BT Char1 Char Char Char Char Char,BT Char Char Char Char Char Char Char Char Char Char,BT Char Char Char Char Char"/>
    <w:link w:val="OECD-BASIS-TEXT"/>
    <w:rsid w:val="00433FD5"/>
    <w:rPr>
      <w:color w:val="000000"/>
      <w:sz w:val="24"/>
      <w:szCs w:val="22"/>
      <w:lang w:val="en-GB"/>
    </w:rPr>
  </w:style>
  <w:style w:type="paragraph" w:customStyle="1" w:styleId="LoEtextChar">
    <w:name w:val="_LoE_text Char"/>
    <w:basedOn w:val="Normalny"/>
    <w:link w:val="LoEtextCharChar"/>
    <w:rsid w:val="002E7F42"/>
    <w:pPr>
      <w:numPr>
        <w:ilvl w:val="12"/>
      </w:numPr>
      <w:spacing w:line="240" w:lineRule="atLeast"/>
    </w:pPr>
    <w:rPr>
      <w:sz w:val="20"/>
      <w:szCs w:val="20"/>
      <w:lang w:val="en-GB"/>
    </w:rPr>
  </w:style>
  <w:style w:type="character" w:customStyle="1" w:styleId="LoEtextCharChar">
    <w:name w:val="_LoE_text Char Char"/>
    <w:link w:val="LoEtextChar"/>
    <w:rsid w:val="002E7F42"/>
    <w:rPr>
      <w:lang w:val="en-GB"/>
    </w:rPr>
  </w:style>
  <w:style w:type="paragraph" w:customStyle="1" w:styleId="Tabellentextlinks">
    <w:name w:val="Tabellentext links"/>
    <w:basedOn w:val="Normalny"/>
    <w:next w:val="Normalny"/>
    <w:rsid w:val="00DC5685"/>
    <w:pPr>
      <w:spacing w:before="40" w:after="40"/>
    </w:pPr>
    <w:rPr>
      <w:rFonts w:ascii="Arial" w:hAnsi="Arial"/>
      <w:sz w:val="20"/>
      <w:szCs w:val="24"/>
    </w:rPr>
  </w:style>
  <w:style w:type="character" w:customStyle="1" w:styleId="st">
    <w:name w:val="st"/>
    <w:basedOn w:val="Domylnaczcionkaakapitu"/>
    <w:rsid w:val="00DC5685"/>
  </w:style>
  <w:style w:type="paragraph" w:customStyle="1" w:styleId="TableHeader9pt">
    <w:name w:val="Table Header 9pt"/>
    <w:basedOn w:val="Normalny"/>
    <w:link w:val="TableHeader9ptChar"/>
    <w:rsid w:val="00DC5685"/>
    <w:pPr>
      <w:keepLines/>
      <w:spacing w:before="40"/>
    </w:pPr>
    <w:rPr>
      <w:b/>
      <w:sz w:val="18"/>
      <w:szCs w:val="20"/>
      <w:lang w:val="de-DE" w:eastAsia="de-DE"/>
    </w:rPr>
  </w:style>
  <w:style w:type="paragraph" w:customStyle="1" w:styleId="TableText9pt">
    <w:name w:val="Table Text 9pt"/>
    <w:basedOn w:val="Normalny"/>
    <w:link w:val="TableText9ptChar"/>
    <w:qFormat/>
    <w:rsid w:val="00DC5685"/>
    <w:pPr>
      <w:keepLines/>
      <w:overflowPunct w:val="0"/>
      <w:autoSpaceDE w:val="0"/>
      <w:autoSpaceDN w:val="0"/>
      <w:adjustRightInd w:val="0"/>
      <w:spacing w:before="40"/>
      <w:textAlignment w:val="baseline"/>
    </w:pPr>
    <w:rPr>
      <w:sz w:val="18"/>
      <w:szCs w:val="20"/>
      <w:lang w:val="de-DE" w:eastAsia="de-DE"/>
    </w:rPr>
  </w:style>
  <w:style w:type="character" w:customStyle="1" w:styleId="TableText9ptChar">
    <w:name w:val="Table Text 9pt Char"/>
    <w:link w:val="TableText9pt"/>
    <w:rsid w:val="00DC5685"/>
    <w:rPr>
      <w:sz w:val="18"/>
      <w:lang w:val="de-DE" w:eastAsia="de-DE"/>
    </w:rPr>
  </w:style>
  <w:style w:type="character" w:customStyle="1" w:styleId="TableHeader9ptChar">
    <w:name w:val="Table Header 9pt Char"/>
    <w:link w:val="TableHeader9pt"/>
    <w:rsid w:val="00DC5685"/>
    <w:rPr>
      <w:b/>
      <w:sz w:val="18"/>
      <w:lang w:val="de-DE" w:eastAsia="de-DE"/>
    </w:rPr>
  </w:style>
  <w:style w:type="table" w:customStyle="1" w:styleId="RepTableBorder1">
    <w:name w:val="Rep Table Border1"/>
    <w:basedOn w:val="Standardowy"/>
    <w:rsid w:val="00DC5685"/>
    <w:rPr>
      <w:lang w:val="en-GB" w:eastAsia="en-GB"/>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paragraph" w:customStyle="1" w:styleId="Inhaltsverzeichnisberschrift1">
    <w:name w:val="Inhaltsverzeichnisüberschrift1"/>
    <w:basedOn w:val="Nagwek1"/>
    <w:next w:val="Normalny"/>
    <w:uiPriority w:val="39"/>
    <w:semiHidden/>
    <w:unhideWhenUsed/>
    <w:qFormat/>
    <w:rsid w:val="00DC5685"/>
    <w:pPr>
      <w:keepNext/>
      <w:widowControl/>
      <w:numPr>
        <w:numId w:val="0"/>
      </w:numPr>
      <w:spacing w:before="240" w:after="60"/>
      <w:jc w:val="left"/>
      <w:outlineLvl w:val="9"/>
    </w:pPr>
    <w:rPr>
      <w:rFonts w:ascii="Cambria" w:eastAsia="Times New Roman" w:hAnsi="Cambria"/>
      <w:kern w:val="32"/>
      <w:sz w:val="32"/>
      <w:szCs w:val="32"/>
      <w:lang w:eastAsia="de-DE"/>
    </w:rPr>
  </w:style>
  <w:style w:type="paragraph" w:customStyle="1" w:styleId="IntensivesZitat1">
    <w:name w:val="Intensives Zitat1"/>
    <w:basedOn w:val="Normalny"/>
    <w:next w:val="Normalny"/>
    <w:link w:val="IntensivesZitatZchn"/>
    <w:uiPriority w:val="30"/>
    <w:qFormat/>
    <w:rsid w:val="00DC5685"/>
    <w:pPr>
      <w:pBdr>
        <w:bottom w:val="single" w:sz="4" w:space="4" w:color="4F81BD"/>
      </w:pBdr>
      <w:spacing w:before="200" w:after="280"/>
      <w:ind w:left="936" w:right="936"/>
    </w:pPr>
    <w:rPr>
      <w:b/>
      <w:bCs/>
      <w:i/>
      <w:iCs/>
      <w:color w:val="4F81BD"/>
      <w:lang w:eastAsia="de-DE"/>
    </w:rPr>
  </w:style>
  <w:style w:type="character" w:customStyle="1" w:styleId="IntensivesZitatZchn">
    <w:name w:val="Intensives Zitat Zchn"/>
    <w:link w:val="IntensivesZitat1"/>
    <w:uiPriority w:val="30"/>
    <w:rsid w:val="00DC5685"/>
    <w:rPr>
      <w:b/>
      <w:bCs/>
      <w:i/>
      <w:iCs/>
      <w:color w:val="4F81BD"/>
      <w:sz w:val="22"/>
      <w:szCs w:val="22"/>
      <w:lang w:eastAsia="de-DE"/>
    </w:rPr>
  </w:style>
  <w:style w:type="paragraph" w:customStyle="1" w:styleId="KeinLeerraum1">
    <w:name w:val="Kein Leerraum1"/>
    <w:uiPriority w:val="1"/>
    <w:qFormat/>
    <w:rsid w:val="00DC5685"/>
    <w:rPr>
      <w:sz w:val="22"/>
      <w:szCs w:val="22"/>
      <w:lang w:eastAsia="de-DE"/>
    </w:rPr>
  </w:style>
  <w:style w:type="paragraph" w:customStyle="1" w:styleId="Listenabsatz1">
    <w:name w:val="Listenabsatz1"/>
    <w:basedOn w:val="Normalny"/>
    <w:uiPriority w:val="34"/>
    <w:qFormat/>
    <w:rsid w:val="00DC5685"/>
    <w:pPr>
      <w:ind w:left="708"/>
    </w:pPr>
    <w:rPr>
      <w:lang w:eastAsia="de-DE"/>
    </w:rPr>
  </w:style>
  <w:style w:type="paragraph" w:customStyle="1" w:styleId="Literaturverzeichnis1">
    <w:name w:val="Literaturverzeichnis1"/>
    <w:basedOn w:val="Normalny"/>
    <w:next w:val="Normalny"/>
    <w:uiPriority w:val="37"/>
    <w:semiHidden/>
    <w:unhideWhenUsed/>
    <w:rsid w:val="00DC5685"/>
    <w:rPr>
      <w:lang w:eastAsia="de-DE"/>
    </w:rPr>
  </w:style>
  <w:style w:type="paragraph" w:customStyle="1" w:styleId="Zitat1">
    <w:name w:val="Zitat1"/>
    <w:basedOn w:val="Normalny"/>
    <w:next w:val="Normalny"/>
    <w:link w:val="ZitatZchn"/>
    <w:uiPriority w:val="29"/>
    <w:qFormat/>
    <w:rsid w:val="00DC5685"/>
    <w:rPr>
      <w:i/>
      <w:iCs/>
      <w:color w:val="000000"/>
      <w:lang w:eastAsia="de-DE"/>
    </w:rPr>
  </w:style>
  <w:style w:type="paragraph" w:customStyle="1" w:styleId="berarbeitung1">
    <w:name w:val="Überarbeitung1"/>
    <w:hidden/>
    <w:semiHidden/>
    <w:rsid w:val="00DC5685"/>
    <w:rPr>
      <w:sz w:val="22"/>
      <w:lang w:val="en-GB" w:eastAsia="de-DE"/>
    </w:rPr>
  </w:style>
  <w:style w:type="character" w:customStyle="1" w:styleId="ZitatZchn">
    <w:name w:val="Zitat Zchn"/>
    <w:link w:val="Zitat1"/>
    <w:uiPriority w:val="29"/>
    <w:rsid w:val="00DC5685"/>
    <w:rPr>
      <w:i/>
      <w:iCs/>
      <w:color w:val="000000"/>
      <w:sz w:val="22"/>
      <w:szCs w:val="22"/>
      <w:lang w:eastAsia="de-DE"/>
    </w:rPr>
  </w:style>
  <w:style w:type="character" w:customStyle="1" w:styleId="JSCsummarytabletextChar">
    <w:name w:val="JSC summary table text Char"/>
    <w:link w:val="JSCsummarytabletext"/>
    <w:uiPriority w:val="2"/>
    <w:rsid w:val="00DC5685"/>
    <w:rPr>
      <w:rFonts w:cs="Arial"/>
    </w:rPr>
  </w:style>
  <w:style w:type="paragraph" w:customStyle="1" w:styleId="JSCsummarytabletext">
    <w:name w:val="JSC summary table text"/>
    <w:link w:val="JSCsummarytabletextChar"/>
    <w:uiPriority w:val="2"/>
    <w:qFormat/>
    <w:rsid w:val="00DC5685"/>
    <w:pPr>
      <w:spacing w:before="60" w:after="60"/>
    </w:pPr>
    <w:rPr>
      <w:rFonts w:cs="Arial"/>
    </w:rPr>
  </w:style>
  <w:style w:type="paragraph" w:customStyle="1" w:styleId="JSCtablefootertext">
    <w:name w:val="JSC table footer text"/>
    <w:basedOn w:val="Normalny"/>
    <w:next w:val="Normalny"/>
    <w:link w:val="JSCtablefootertextChar"/>
    <w:uiPriority w:val="4"/>
    <w:qFormat/>
    <w:rsid w:val="00DC5685"/>
    <w:pPr>
      <w:autoSpaceDE w:val="0"/>
      <w:autoSpaceDN w:val="0"/>
      <w:spacing w:before="60" w:after="60"/>
    </w:pPr>
    <w:rPr>
      <w:rFonts w:cs="Arial"/>
      <w:sz w:val="20"/>
      <w:szCs w:val="24"/>
      <w:lang w:val="en-GB" w:eastAsia="en-GB"/>
    </w:rPr>
  </w:style>
  <w:style w:type="paragraph" w:customStyle="1" w:styleId="JSCNormaldossierbold">
    <w:name w:val="JSC Normal dossier bold"/>
    <w:basedOn w:val="Normalny"/>
    <w:next w:val="Normalny"/>
    <w:link w:val="JSCNormaldossierboldChar"/>
    <w:uiPriority w:val="1"/>
    <w:qFormat/>
    <w:rsid w:val="00DC5685"/>
    <w:pPr>
      <w:keepNext/>
      <w:spacing w:before="120" w:after="120"/>
    </w:pPr>
    <w:rPr>
      <w:rFonts w:cs="Arial"/>
      <w:b/>
      <w:szCs w:val="24"/>
      <w:lang w:val="en-GB" w:eastAsia="en-GB"/>
    </w:rPr>
  </w:style>
  <w:style w:type="character" w:customStyle="1" w:styleId="JSCNormaldossierboldChar">
    <w:name w:val="JSC Normal dossier bold Char"/>
    <w:link w:val="JSCNormaldossierbold"/>
    <w:uiPriority w:val="1"/>
    <w:rsid w:val="00DC5685"/>
    <w:rPr>
      <w:rFonts w:cs="Arial"/>
      <w:b/>
      <w:sz w:val="22"/>
      <w:szCs w:val="24"/>
      <w:lang w:val="en-GB" w:eastAsia="en-GB"/>
    </w:rPr>
  </w:style>
  <w:style w:type="paragraph" w:customStyle="1" w:styleId="JSCsummarytableheader">
    <w:name w:val="JSC summary table header"/>
    <w:next w:val="JSCsummarytabletext"/>
    <w:link w:val="JSCsummarytableheaderChar"/>
    <w:uiPriority w:val="3"/>
    <w:qFormat/>
    <w:rsid w:val="00DC5685"/>
    <w:pPr>
      <w:keepNext/>
      <w:spacing w:before="60" w:after="60"/>
    </w:pPr>
    <w:rPr>
      <w:rFonts w:cs="Arial"/>
      <w:b/>
      <w:lang w:val="en-GB" w:eastAsia="en-GB"/>
    </w:rPr>
  </w:style>
  <w:style w:type="character" w:customStyle="1" w:styleId="JSCsummarytableheaderChar">
    <w:name w:val="JSC summary table header Char"/>
    <w:link w:val="JSCsummarytableheader"/>
    <w:uiPriority w:val="3"/>
    <w:rsid w:val="00DC5685"/>
    <w:rPr>
      <w:rFonts w:cs="Arial"/>
      <w:b/>
      <w:lang w:val="en-GB" w:eastAsia="en-GB"/>
    </w:rPr>
  </w:style>
  <w:style w:type="paragraph" w:customStyle="1" w:styleId="JSCIIIAXXXXtable">
    <w:name w:val="JSC IIIA X.X/XX table"/>
    <w:uiPriority w:val="5"/>
    <w:qFormat/>
    <w:rsid w:val="00DC5685"/>
    <w:pPr>
      <w:keepNext/>
      <w:spacing w:before="60" w:after="60"/>
    </w:pPr>
    <w:rPr>
      <w:rFonts w:cs="Arial"/>
      <w:szCs w:val="24"/>
      <w:lang w:val="en-GB" w:eastAsia="en-GB"/>
    </w:rPr>
  </w:style>
  <w:style w:type="paragraph" w:customStyle="1" w:styleId="JSCsummaryheaderrowshaded">
    <w:name w:val="JSC summary header row shaded"/>
    <w:next w:val="Normalny"/>
    <w:uiPriority w:val="4"/>
    <w:qFormat/>
    <w:rsid w:val="00DC5685"/>
    <w:pPr>
      <w:keepNext/>
      <w:spacing w:before="60" w:after="60"/>
    </w:pPr>
    <w:rPr>
      <w:rFonts w:cs="Arial"/>
      <w:lang w:val="en-GB" w:eastAsia="en-GB"/>
    </w:rPr>
  </w:style>
  <w:style w:type="character" w:customStyle="1" w:styleId="JSCtablefootertextChar">
    <w:name w:val="JSC table footer text Char"/>
    <w:link w:val="JSCtablefootertext"/>
    <w:uiPriority w:val="4"/>
    <w:locked/>
    <w:rsid w:val="00DC5685"/>
    <w:rPr>
      <w:rFonts w:cs="Arial"/>
      <w:szCs w:val="24"/>
      <w:lang w:val="en-GB" w:eastAsia="en-GB"/>
    </w:rPr>
  </w:style>
  <w:style w:type="paragraph" w:customStyle="1" w:styleId="JSCNormaldossier">
    <w:name w:val="JSC Normal dossier"/>
    <w:link w:val="JSCNormaldossierChar"/>
    <w:qFormat/>
    <w:rsid w:val="00DC5685"/>
    <w:pPr>
      <w:spacing w:before="120" w:after="120"/>
    </w:pPr>
    <w:rPr>
      <w:rFonts w:cs="Arial"/>
      <w:sz w:val="22"/>
      <w:szCs w:val="24"/>
      <w:lang w:val="en-GB" w:eastAsia="en-GB"/>
    </w:rPr>
  </w:style>
  <w:style w:type="character" w:customStyle="1" w:styleId="JSCNormaldossierChar">
    <w:name w:val="JSC Normal dossier Char"/>
    <w:link w:val="JSCNormaldossier"/>
    <w:rsid w:val="00DC5685"/>
    <w:rPr>
      <w:rFonts w:cs="Arial"/>
      <w:sz w:val="22"/>
      <w:szCs w:val="24"/>
      <w:lang w:val="en-GB" w:eastAsia="en-GB"/>
    </w:rPr>
  </w:style>
  <w:style w:type="paragraph" w:customStyle="1" w:styleId="JSCNormaldossieritalics">
    <w:name w:val="JSC Normal dossier italics"/>
    <w:basedOn w:val="JSCNormaldossier"/>
    <w:next w:val="JSCNormaldossier"/>
    <w:link w:val="JSCNormaldossieritalicsChar"/>
    <w:uiPriority w:val="2"/>
    <w:qFormat/>
    <w:rsid w:val="00DC5685"/>
    <w:rPr>
      <w:i/>
    </w:rPr>
  </w:style>
  <w:style w:type="character" w:customStyle="1" w:styleId="JSCNormaldossieritalicsChar">
    <w:name w:val="JSC Normal dossier italics Char"/>
    <w:link w:val="JSCNormaldossieritalics"/>
    <w:uiPriority w:val="2"/>
    <w:rsid w:val="00DC5685"/>
    <w:rPr>
      <w:rFonts w:cs="Arial"/>
      <w:i/>
      <w:sz w:val="22"/>
      <w:szCs w:val="24"/>
      <w:lang w:val="en-GB" w:eastAsia="en-GB"/>
    </w:rPr>
  </w:style>
  <w:style w:type="character" w:styleId="Nierozpoznanawzmianka">
    <w:name w:val="Unresolved Mention"/>
    <w:uiPriority w:val="99"/>
    <w:unhideWhenUsed/>
    <w:rsid w:val="00DC5685"/>
    <w:rPr>
      <w:color w:val="605E5C"/>
      <w:shd w:val="clear" w:color="auto" w:fill="E1DFDD"/>
    </w:rPr>
  </w:style>
  <w:style w:type="character" w:customStyle="1" w:styleId="TekstprzypisudolnegoZnak">
    <w:name w:val="Tekst przypisu dolnego Znak"/>
    <w:aliases w:val="DAR0 Znak,EFSA op_Footnote Znak,FEEDAP Op_Footnote Znak,FT Znak,Footnote Text Char Char Znak,Footnote Text Char Char Char Char Znak,Footnote Text1 Znak,Footnote text Znak,Footnotes standard 9 GAB Znak,Fußnote Znak,Car Znak"/>
    <w:link w:val="Tekstprzypisudolnego"/>
    <w:locked/>
    <w:rsid w:val="00DC5685"/>
  </w:style>
  <w:style w:type="paragraph" w:customStyle="1" w:styleId="ListDash">
    <w:name w:val="ListDash"/>
    <w:basedOn w:val="Normalny"/>
    <w:rsid w:val="00DC5685"/>
    <w:pPr>
      <w:tabs>
        <w:tab w:val="left" w:pos="851"/>
      </w:tabs>
      <w:adjustRightInd w:val="0"/>
      <w:snapToGrid w:val="0"/>
      <w:ind w:left="851" w:hanging="284"/>
    </w:pPr>
    <w:rPr>
      <w:rFonts w:eastAsia="SimSun" w:cs="Arial"/>
      <w:sz w:val="24"/>
      <w:lang w:val="de-CH" w:eastAsia="zh-CN"/>
    </w:rPr>
  </w:style>
  <w:style w:type="table" w:customStyle="1" w:styleId="TableGrid1">
    <w:name w:val="Table Grid1"/>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IIIAXXXXtabletext">
    <w:name w:val="JSC IIIA X.X/XX table text"/>
    <w:next w:val="JSCNormaldossier"/>
    <w:uiPriority w:val="5"/>
    <w:qFormat/>
    <w:rsid w:val="00DC5685"/>
    <w:pPr>
      <w:keepNext/>
      <w:spacing w:before="60" w:after="60"/>
    </w:pPr>
    <w:rPr>
      <w:rFonts w:cs="Arial"/>
      <w:szCs w:val="24"/>
      <w:lang w:val="en-GB" w:eastAsia="en-GB"/>
    </w:rPr>
  </w:style>
  <w:style w:type="table" w:customStyle="1" w:styleId="TableGrid2">
    <w:name w:val="Table Grid2"/>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5685"/>
    <w:pPr>
      <w:autoSpaceDE w:val="0"/>
      <w:autoSpaceDN w:val="0"/>
      <w:adjustRightInd w:val="0"/>
    </w:pPr>
    <w:rPr>
      <w:rFonts w:ascii="Calibri" w:eastAsia="Calibri" w:hAnsi="Calibri" w:cs="Calibri"/>
      <w:color w:val="000000"/>
      <w:sz w:val="24"/>
      <w:szCs w:val="24"/>
      <w:lang w:val="en-GB"/>
    </w:rPr>
  </w:style>
  <w:style w:type="table" w:customStyle="1" w:styleId="TableGrid10">
    <w:name w:val="Table Grid10"/>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rper1">
    <w:name w:val="Textkörper1"/>
    <w:basedOn w:val="Normalny"/>
    <w:rsid w:val="00DC5685"/>
    <w:pPr>
      <w:tabs>
        <w:tab w:val="left" w:pos="288"/>
        <w:tab w:val="left" w:pos="432"/>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before="60" w:after="60" w:line="160" w:lineRule="atLeast"/>
      <w:jc w:val="both"/>
      <w:textAlignment w:val="baseline"/>
    </w:pPr>
    <w:rPr>
      <w:rFonts w:ascii="Calibri" w:hAnsi="Calibri"/>
      <w:szCs w:val="20"/>
      <w:lang w:val="en-GB" w:eastAsia="de-DE"/>
    </w:rPr>
  </w:style>
  <w:style w:type="table" w:customStyle="1" w:styleId="TableGrid4">
    <w:name w:val="Table Grid4"/>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39"/>
    <w:rsid w:val="00DC5685"/>
    <w:rPr>
      <w:rFonts w:ascii="Calibri" w:eastAsia="Calibri"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rsid w:val="00DC5685"/>
    <w:rPr>
      <w:sz w:val="22"/>
      <w:szCs w:val="22"/>
    </w:rPr>
  </w:style>
  <w:style w:type="paragraph" w:customStyle="1" w:styleId="BodyText1">
    <w:name w:val="Body Text1"/>
    <w:basedOn w:val="Normalny"/>
    <w:link w:val="BodytextChar"/>
    <w:qFormat/>
    <w:rsid w:val="00DC5685"/>
    <w:pPr>
      <w:tabs>
        <w:tab w:val="left" w:pos="720"/>
      </w:tabs>
      <w:spacing w:after="240"/>
      <w:jc w:val="both"/>
    </w:pPr>
    <w:rPr>
      <w:sz w:val="24"/>
      <w:szCs w:val="24"/>
      <w:lang w:val="en-GB"/>
    </w:rPr>
  </w:style>
  <w:style w:type="character" w:customStyle="1" w:styleId="BodytextChar">
    <w:name w:val="Body text Char"/>
    <w:link w:val="BodyText1"/>
    <w:rsid w:val="00DC5685"/>
    <w:rPr>
      <w:sz w:val="24"/>
      <w:szCs w:val="24"/>
      <w:lang w:val="en-GB"/>
    </w:rPr>
  </w:style>
  <w:style w:type="paragraph" w:customStyle="1" w:styleId="MMHeading1">
    <w:name w:val="M&amp;M Heading 1"/>
    <w:basedOn w:val="Akapitzlist"/>
    <w:link w:val="MMHeading1Char"/>
    <w:qFormat/>
    <w:rsid w:val="00DC5685"/>
    <w:pPr>
      <w:tabs>
        <w:tab w:val="left" w:pos="720"/>
      </w:tabs>
      <w:ind w:left="3414" w:hanging="720"/>
      <w:contextualSpacing/>
      <w:jc w:val="center"/>
    </w:pPr>
    <w:rPr>
      <w:rFonts w:ascii="Times New Roman Bold" w:hAnsi="Times New Roman Bold"/>
      <w:b/>
      <w:bCs/>
      <w:caps/>
      <w:sz w:val="24"/>
      <w:szCs w:val="24"/>
      <w:lang w:val="en-GB"/>
    </w:rPr>
  </w:style>
  <w:style w:type="character" w:customStyle="1" w:styleId="MMHeading1Char">
    <w:name w:val="M&amp;M Heading 1 Char"/>
    <w:link w:val="MMHeading1"/>
    <w:rsid w:val="00DC5685"/>
    <w:rPr>
      <w:rFonts w:ascii="Times New Roman Bold" w:hAnsi="Times New Roman Bold"/>
      <w:b/>
      <w:bCs/>
      <w:caps/>
      <w:sz w:val="24"/>
      <w:szCs w:val="24"/>
      <w:lang w:val="en-GB"/>
    </w:rPr>
  </w:style>
  <w:style w:type="paragraph" w:customStyle="1" w:styleId="MMHeading2">
    <w:name w:val="M&amp;M Heading 2"/>
    <w:basedOn w:val="MMHeading1"/>
    <w:link w:val="MMHeading2Char"/>
    <w:qFormat/>
    <w:rsid w:val="00DC5685"/>
    <w:pPr>
      <w:numPr>
        <w:numId w:val="15"/>
      </w:numPr>
      <w:tabs>
        <w:tab w:val="clear" w:pos="720"/>
        <w:tab w:val="left" w:pos="0"/>
      </w:tabs>
      <w:jc w:val="left"/>
    </w:pPr>
  </w:style>
  <w:style w:type="character" w:customStyle="1" w:styleId="MMHeading2Char">
    <w:name w:val="M&amp;M Heading 2 Char"/>
    <w:link w:val="MMHeading2"/>
    <w:rsid w:val="00DC5685"/>
    <w:rPr>
      <w:rFonts w:ascii="Times New Roman Bold" w:hAnsi="Times New Roman Bold"/>
      <w:b/>
      <w:bCs/>
      <w:caps/>
      <w:sz w:val="24"/>
      <w:szCs w:val="24"/>
      <w:lang w:val="en-GB"/>
    </w:rPr>
  </w:style>
  <w:style w:type="paragraph" w:customStyle="1" w:styleId="Subheading1">
    <w:name w:val="Subheading 1"/>
    <w:basedOn w:val="Akapitzlist"/>
    <w:link w:val="Subheading1Char"/>
    <w:qFormat/>
    <w:rsid w:val="00DC5685"/>
    <w:pPr>
      <w:numPr>
        <w:ilvl w:val="3"/>
        <w:numId w:val="14"/>
      </w:numPr>
      <w:tabs>
        <w:tab w:val="left" w:pos="255"/>
      </w:tabs>
      <w:contextualSpacing/>
    </w:pPr>
    <w:rPr>
      <w:rFonts w:ascii="Times New Roman Bold" w:hAnsi="Times New Roman Bold"/>
      <w:b/>
      <w:bCs/>
      <w:sz w:val="24"/>
      <w:szCs w:val="24"/>
      <w:lang w:val="en-GB"/>
    </w:rPr>
  </w:style>
  <w:style w:type="character" w:customStyle="1" w:styleId="Subheading1Char">
    <w:name w:val="Subheading 1 Char"/>
    <w:link w:val="Subheading1"/>
    <w:rsid w:val="00DC5685"/>
    <w:rPr>
      <w:rFonts w:ascii="Times New Roman Bold" w:hAnsi="Times New Roman Bold"/>
      <w:b/>
      <w:bCs/>
      <w:sz w:val="24"/>
      <w:szCs w:val="24"/>
      <w:lang w:val="en-GB"/>
    </w:rPr>
  </w:style>
  <w:style w:type="paragraph" w:customStyle="1" w:styleId="Subheading2">
    <w:name w:val="Subheading 2"/>
    <w:basedOn w:val="Normalny"/>
    <w:link w:val="Subheading2Char"/>
    <w:qFormat/>
    <w:rsid w:val="00DC5685"/>
    <w:pPr>
      <w:tabs>
        <w:tab w:val="left" w:pos="624"/>
      </w:tabs>
      <w:ind w:left="624"/>
    </w:pPr>
    <w:rPr>
      <w:b/>
      <w:bCs/>
      <w:sz w:val="24"/>
      <w:szCs w:val="24"/>
      <w:lang w:val="en-GB"/>
    </w:rPr>
  </w:style>
  <w:style w:type="character" w:customStyle="1" w:styleId="Subheading2Char">
    <w:name w:val="Subheading 2 Char"/>
    <w:link w:val="Subheading2"/>
    <w:rsid w:val="00DC5685"/>
    <w:rPr>
      <w:b/>
      <w:bCs/>
      <w:sz w:val="24"/>
      <w:szCs w:val="24"/>
      <w:lang w:val="en-GB"/>
    </w:rPr>
  </w:style>
  <w:style w:type="table" w:customStyle="1" w:styleId="EFSAtable">
    <w:name w:val="EFSA table"/>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EUAlbertina" w:hAnsi="EUAlbertina"/>
        <w:sz w:val="18"/>
      </w:rPr>
      <w:tblPr/>
      <w:tcPr>
        <w:tcBorders>
          <w:top w:val="single" w:sz="12" w:space="0" w:color="000000"/>
        </w:tcBorders>
      </w:tcPr>
    </w:tblStylePr>
    <w:tblStylePr w:type="lastRow">
      <w:tblPr/>
      <w:tcPr>
        <w:tcBorders>
          <w:bottom w:val="single" w:sz="12" w:space="0" w:color="000000"/>
        </w:tcBorders>
      </w:tcPr>
    </w:tblStylePr>
  </w:style>
  <w:style w:type="paragraph" w:customStyle="1" w:styleId="TableText10pt">
    <w:name w:val="Table Text 10pt"/>
    <w:basedOn w:val="Normalny"/>
    <w:rsid w:val="00DC5685"/>
    <w:pPr>
      <w:tabs>
        <w:tab w:val="left" w:pos="720"/>
      </w:tabs>
      <w:overflowPunct w:val="0"/>
      <w:autoSpaceDE w:val="0"/>
      <w:autoSpaceDN w:val="0"/>
      <w:adjustRightInd w:val="0"/>
      <w:textAlignment w:val="baseline"/>
    </w:pPr>
    <w:rPr>
      <w:sz w:val="20"/>
      <w:szCs w:val="20"/>
      <w:lang w:val="en-GB"/>
    </w:rPr>
  </w:style>
  <w:style w:type="table" w:customStyle="1" w:styleId="Table-StandardGAB1">
    <w:name w:val="Table-Standard GAB1"/>
    <w:basedOn w:val="Standardowy"/>
    <w:uiPriority w:val="99"/>
    <w:rsid w:val="00DC5685"/>
    <w:rPr>
      <w:lang w:val="en-GB" w:eastAsia="en-GB"/>
    </w:rPr>
    <w:tblPr>
      <w:tblStyleRowBandSize w:val="1"/>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
    <w:trPr>
      <w:jc w:val="center"/>
    </w:trPr>
    <w:tcPr>
      <w:shd w:val="clear" w:color="auto" w:fill="auto"/>
      <w:vAlign w:val="center"/>
    </w:tcPr>
    <w:tblStylePr w:type="firstRow">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auto"/>
      </w:tcPr>
    </w:tblStylePr>
    <w:tblStylePr w:type="lastRow">
      <w:rPr>
        <w:rFonts w:ascii="Times New Roman" w:hAnsi="Times New Roman"/>
        <w:sz w:val="16"/>
      </w:rPr>
      <w:tblPr/>
      <w:tcPr>
        <w:tcBorders>
          <w:top w:val="nil"/>
          <w:left w:val="nil"/>
          <w:bottom w:val="nil"/>
          <w:right w:val="nil"/>
          <w:insideH w:val="nil"/>
          <w:insideV w:val="nil"/>
          <w:tl2br w:val="nil"/>
          <w:tr2bl w:val="nil"/>
        </w:tcBorders>
        <w:shd w:val="clear" w:color="auto" w:fill="auto"/>
      </w:tcPr>
    </w:tblStylePr>
    <w:tblStylePr w:type="lastCol">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Tabellenraster3">
    <w:name w:val="Tabellenraster3"/>
    <w:basedOn w:val="Standardowy"/>
    <w:next w:val="Tabela-Siatka"/>
    <w:uiPriority w:val="59"/>
    <w:rsid w:val="00DC5685"/>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rsid w:val="00DC5685"/>
    <w:rPr>
      <w:color w:val="808080"/>
    </w:rPr>
  </w:style>
  <w:style w:type="character" w:customStyle="1" w:styleId="berschrift1RepHeading1ZchnZchn0">
    <w:name w:val="Überschrift 1.Rep Heading 1 Zchn Zchn"/>
    <w:rsid w:val="00DC5685"/>
    <w:rPr>
      <w:rFonts w:eastAsia="MS Mincho"/>
      <w:b/>
      <w:bCs/>
      <w:sz w:val="28"/>
      <w:szCs w:val="24"/>
      <w:lang w:val="en-GB" w:bidi="ar-SA"/>
    </w:rPr>
  </w:style>
  <w:style w:type="paragraph" w:customStyle="1" w:styleId="TableCaption">
    <w:name w:val="Table Caption"/>
    <w:basedOn w:val="Normalny"/>
    <w:next w:val="Normalny"/>
    <w:link w:val="TableCaptionZchn"/>
    <w:qFormat/>
    <w:rsid w:val="00DC5685"/>
    <w:pPr>
      <w:keepNext/>
      <w:spacing w:before="120" w:after="120"/>
      <w:ind w:left="1985" w:hanging="1985"/>
      <w:jc w:val="both"/>
    </w:pPr>
    <w:rPr>
      <w:rFonts w:ascii="Calibri" w:eastAsiaTheme="minorHAnsi" w:hAnsi="Calibri" w:cs="Calibri"/>
      <w:b/>
      <w:sz w:val="24"/>
      <w:szCs w:val="24"/>
      <w:lang w:val="de-DE"/>
    </w:rPr>
  </w:style>
  <w:style w:type="character" w:customStyle="1" w:styleId="TableCaptionZchn">
    <w:name w:val="Table Caption Zchn"/>
    <w:link w:val="TableCaption"/>
    <w:rsid w:val="00DC5685"/>
    <w:rPr>
      <w:rFonts w:ascii="Calibri" w:eastAsiaTheme="minorHAnsi" w:hAnsi="Calibri" w:cs="Calibri"/>
      <w:b/>
      <w:sz w:val="24"/>
      <w:szCs w:val="24"/>
      <w:lang w:val="de-DE"/>
    </w:rPr>
  </w:style>
  <w:style w:type="paragraph" w:customStyle="1" w:styleId="TableText">
    <w:name w:val="Table Text"/>
    <w:basedOn w:val="Normalny"/>
    <w:link w:val="TableTextZchn"/>
    <w:rsid w:val="00DC5685"/>
    <w:pPr>
      <w:keepLines/>
      <w:overflowPunct w:val="0"/>
      <w:autoSpaceDE w:val="0"/>
      <w:autoSpaceDN w:val="0"/>
      <w:adjustRightInd w:val="0"/>
      <w:spacing w:before="40"/>
      <w:textAlignment w:val="baseline"/>
    </w:pPr>
    <w:rPr>
      <w:rFonts w:ascii="Calibri" w:eastAsiaTheme="minorHAnsi" w:hAnsi="Calibri" w:cs="Calibri"/>
      <w:sz w:val="20"/>
      <w:szCs w:val="20"/>
      <w:lang w:val="de-DE"/>
    </w:rPr>
  </w:style>
  <w:style w:type="character" w:customStyle="1" w:styleId="TableTextZchn">
    <w:name w:val="Table Text Zchn"/>
    <w:link w:val="TableText"/>
    <w:rsid w:val="00DC5685"/>
    <w:rPr>
      <w:rFonts w:ascii="Calibri" w:eastAsiaTheme="minorHAnsi" w:hAnsi="Calibri" w:cs="Calibri"/>
      <w:lang w:val="de-DE"/>
    </w:rPr>
  </w:style>
  <w:style w:type="paragraph" w:customStyle="1" w:styleId="berschrift0">
    <w:name w:val="Überschrift 0"/>
    <w:basedOn w:val="Nagwek1"/>
    <w:rsid w:val="00DC5685"/>
    <w:pPr>
      <w:keepNext/>
      <w:widowControl/>
      <w:numPr>
        <w:numId w:val="0"/>
      </w:numPr>
      <w:spacing w:before="0" w:after="40"/>
      <w:ind w:left="2160" w:hanging="2160"/>
      <w:outlineLvl w:val="9"/>
    </w:pPr>
    <w:rPr>
      <w:bCs w:val="0"/>
      <w:kern w:val="28"/>
      <w:sz w:val="24"/>
      <w:szCs w:val="20"/>
      <w:lang w:eastAsia="ja-JP"/>
    </w:rPr>
  </w:style>
  <w:style w:type="paragraph" w:customStyle="1" w:styleId="Conclusion">
    <w:name w:val="Conclusion"/>
    <w:basedOn w:val="Normalny"/>
    <w:rsid w:val="00DC5685"/>
    <w:pPr>
      <w:jc w:val="both"/>
    </w:pPr>
    <w:rPr>
      <w:rFonts w:ascii="Calibri" w:eastAsia="PMingLiU" w:hAnsi="Calibri" w:cs="Calibri"/>
      <w:b/>
      <w:sz w:val="24"/>
      <w:szCs w:val="20"/>
      <w:lang w:val="de-DE"/>
    </w:rPr>
  </w:style>
  <w:style w:type="paragraph" w:customStyle="1" w:styleId="TableFootnote">
    <w:name w:val="Table Footnote"/>
    <w:basedOn w:val="Normalny"/>
    <w:link w:val="TableFootnoteZchn"/>
    <w:rsid w:val="00DC5685"/>
    <w:pPr>
      <w:keepLines/>
    </w:pPr>
    <w:rPr>
      <w:rFonts w:ascii="Calibri" w:eastAsiaTheme="minorHAnsi" w:hAnsi="Calibri" w:cs="Calibri"/>
      <w:sz w:val="18"/>
      <w:szCs w:val="20"/>
      <w:lang w:val="de-DE"/>
    </w:rPr>
  </w:style>
  <w:style w:type="character" w:customStyle="1" w:styleId="TableFootnoteZchn">
    <w:name w:val="Table Footnote Zchn"/>
    <w:link w:val="TableFootnote"/>
    <w:rsid w:val="00DC5685"/>
    <w:rPr>
      <w:rFonts w:ascii="Calibri" w:eastAsiaTheme="minorHAnsi" w:hAnsi="Calibri" w:cs="Calibri"/>
      <w:sz w:val="18"/>
      <w:lang w:val="de-DE"/>
    </w:rPr>
  </w:style>
  <w:style w:type="character" w:customStyle="1" w:styleId="LegendaZnak">
    <w:name w:val="Legenda Znak"/>
    <w:aliases w:val="o Znak,o + Links Znak,Überschrift1 Znak,Tolyl Znak,Beschriftung Char Znak,Beschriftung Char1 Char Znak,Beschriftung Char Char Char Znak, Char Char Znak, Char Znak,Char Znak,Beschriftung Char1 Znak,Beschriftung Char1 Char1 Znak"/>
    <w:link w:val="Legenda"/>
    <w:rsid w:val="00BB63B3"/>
    <w:rPr>
      <w:b/>
      <w:bCs/>
      <w:color w:val="000000" w:themeColor="text1"/>
      <w:sz w:val="22"/>
      <w:szCs w:val="22"/>
      <w:lang w:val="en-GB"/>
    </w:rPr>
  </w:style>
  <w:style w:type="paragraph" w:customStyle="1" w:styleId="Table9pt">
    <w:name w:val="Table 9 pt"/>
    <w:basedOn w:val="Normalny"/>
    <w:rsid w:val="00DC5685"/>
    <w:pPr>
      <w:keepLines/>
      <w:spacing w:before="60" w:after="60"/>
    </w:pPr>
    <w:rPr>
      <w:rFonts w:ascii="Calibri" w:eastAsiaTheme="minorHAnsi" w:hAnsi="Calibri" w:cs="Calibri"/>
      <w:sz w:val="18"/>
      <w:szCs w:val="20"/>
      <w:lang w:val="de-DE"/>
    </w:rPr>
  </w:style>
  <w:style w:type="paragraph" w:customStyle="1" w:styleId="Tabellentext">
    <w:name w:val="Tabellentext"/>
    <w:basedOn w:val="Normalny"/>
    <w:next w:val="Normalny"/>
    <w:link w:val="TabellentextZchn"/>
    <w:rsid w:val="00DC5685"/>
    <w:pPr>
      <w:keepLines/>
      <w:spacing w:before="40" w:after="40" w:line="360" w:lineRule="exact"/>
      <w:jc w:val="center"/>
    </w:pPr>
    <w:rPr>
      <w:rFonts w:ascii="Arial" w:eastAsiaTheme="minorHAnsi" w:hAnsi="Arial" w:cs="Calibri"/>
      <w:szCs w:val="20"/>
      <w:lang w:val="de-DE" w:eastAsia="zh-CN"/>
    </w:rPr>
  </w:style>
  <w:style w:type="character" w:customStyle="1" w:styleId="TabellentextZchn">
    <w:name w:val="Tabellentext Zchn"/>
    <w:link w:val="Tabellentext"/>
    <w:rsid w:val="00DC5685"/>
    <w:rPr>
      <w:rFonts w:ascii="Arial" w:eastAsiaTheme="minorHAnsi" w:hAnsi="Arial" w:cs="Calibri"/>
      <w:sz w:val="22"/>
      <w:lang w:val="de-DE" w:eastAsia="zh-CN"/>
    </w:rPr>
  </w:style>
  <w:style w:type="character" w:customStyle="1" w:styleId="TematkomentarzaZnak">
    <w:name w:val="Temat komentarza Znak"/>
    <w:link w:val="Tematkomentarza"/>
    <w:uiPriority w:val="99"/>
    <w:rsid w:val="00DC5685"/>
    <w:rPr>
      <w:b/>
      <w:bCs/>
    </w:rPr>
  </w:style>
  <w:style w:type="paragraph" w:customStyle="1" w:styleId="TxBrp1">
    <w:name w:val="TxBr_p1"/>
    <w:basedOn w:val="Normalny"/>
    <w:rsid w:val="00DC5685"/>
    <w:pPr>
      <w:tabs>
        <w:tab w:val="left" w:pos="204"/>
      </w:tabs>
      <w:spacing w:line="240" w:lineRule="atLeast"/>
      <w:jc w:val="both"/>
    </w:pPr>
    <w:rPr>
      <w:rFonts w:ascii="Calibri" w:eastAsia="PMingLiU" w:hAnsi="Calibri" w:cs="Calibri"/>
      <w:snapToGrid w:val="0"/>
      <w:sz w:val="24"/>
      <w:szCs w:val="20"/>
      <w:lang w:val="de-DE"/>
    </w:rPr>
  </w:style>
  <w:style w:type="paragraph" w:customStyle="1" w:styleId="Footnote">
    <w:name w:val="Footnote"/>
    <w:basedOn w:val="Normalny"/>
    <w:next w:val="Normalny"/>
    <w:link w:val="FootnoteChar"/>
    <w:rsid w:val="00DC5685"/>
    <w:pPr>
      <w:keepLines/>
    </w:pPr>
    <w:rPr>
      <w:rFonts w:ascii="Calibri" w:eastAsiaTheme="minorHAnsi" w:hAnsi="Calibri" w:cs="Calibri"/>
      <w:sz w:val="18"/>
      <w:szCs w:val="20"/>
      <w:lang w:val="de-DE"/>
    </w:rPr>
  </w:style>
  <w:style w:type="character" w:customStyle="1" w:styleId="FootnoteChar">
    <w:name w:val="Footnote Char"/>
    <w:link w:val="Footnote"/>
    <w:rsid w:val="00DC5685"/>
    <w:rPr>
      <w:rFonts w:ascii="Calibri" w:eastAsiaTheme="minorHAnsi" w:hAnsi="Calibri" w:cs="Calibri"/>
      <w:sz w:val="18"/>
      <w:lang w:val="de-DE"/>
    </w:rPr>
  </w:style>
  <w:style w:type="paragraph" w:customStyle="1" w:styleId="SubTitle">
    <w:name w:val="Sub_Title"/>
    <w:basedOn w:val="Normalny"/>
    <w:next w:val="Normalny"/>
    <w:rsid w:val="00DC5685"/>
    <w:pPr>
      <w:keepLines/>
      <w:spacing w:before="480" w:after="480"/>
      <w:ind w:left="851" w:right="851"/>
      <w:jc w:val="center"/>
    </w:pPr>
    <w:rPr>
      <w:rFonts w:ascii="Arial Bold" w:eastAsiaTheme="minorHAnsi" w:hAnsi="Arial Bold" w:cs="Calibri"/>
      <w:b/>
      <w:bCs/>
      <w:sz w:val="32"/>
      <w:szCs w:val="20"/>
      <w:lang w:val="de-DE"/>
    </w:rPr>
  </w:style>
  <w:style w:type="paragraph" w:customStyle="1" w:styleId="TableTextCenter9pt">
    <w:name w:val="Table Text Center 9pt"/>
    <w:basedOn w:val="TableTextCenter"/>
    <w:link w:val="TableTextCenter9ptCharChar"/>
    <w:rsid w:val="00DC5685"/>
    <w:rPr>
      <w:sz w:val="18"/>
    </w:rPr>
  </w:style>
  <w:style w:type="paragraph" w:customStyle="1" w:styleId="PointTitle">
    <w:name w:val="PointTitle"/>
    <w:basedOn w:val="Normalny"/>
    <w:rsid w:val="00DC5685"/>
    <w:pPr>
      <w:keepLines/>
      <w:spacing w:before="480" w:after="480"/>
      <w:ind w:left="851" w:right="851"/>
      <w:jc w:val="center"/>
    </w:pPr>
    <w:rPr>
      <w:rFonts w:ascii="Arial Bold" w:eastAsiaTheme="minorHAnsi" w:hAnsi="Arial Bold" w:cs="Arial"/>
      <w:b/>
      <w:bCs/>
      <w:sz w:val="28"/>
      <w:szCs w:val="20"/>
      <w:lang w:val="de-DE"/>
    </w:rPr>
  </w:style>
  <w:style w:type="paragraph" w:customStyle="1" w:styleId="Bullet">
    <w:name w:val="Bullet"/>
    <w:basedOn w:val="Normalny"/>
    <w:rsid w:val="00DC5685"/>
    <w:pPr>
      <w:keepLines/>
      <w:tabs>
        <w:tab w:val="num" w:pos="360"/>
      </w:tabs>
      <w:spacing w:after="120"/>
      <w:ind w:left="360" w:hanging="360"/>
    </w:pPr>
    <w:rPr>
      <w:rFonts w:ascii="Calibri" w:eastAsiaTheme="minorHAnsi" w:hAnsi="Calibri" w:cs="Calibri"/>
      <w:sz w:val="24"/>
      <w:szCs w:val="20"/>
      <w:lang w:val="de-DE"/>
    </w:rPr>
  </w:style>
  <w:style w:type="paragraph" w:customStyle="1" w:styleId="TableTextCenter8pt">
    <w:name w:val="Table Text Center 8pt"/>
    <w:basedOn w:val="TableTextCenter"/>
    <w:rsid w:val="00DC5685"/>
    <w:rPr>
      <w:sz w:val="16"/>
    </w:rPr>
  </w:style>
  <w:style w:type="paragraph" w:customStyle="1" w:styleId="TableHeaderCenter9pt">
    <w:name w:val="Table Header Center 9pt"/>
    <w:basedOn w:val="TableHeaderCenter"/>
    <w:link w:val="TableHeaderCenter9ptCharChar"/>
    <w:rsid w:val="00DC5685"/>
    <w:rPr>
      <w:sz w:val="18"/>
    </w:rPr>
  </w:style>
  <w:style w:type="paragraph" w:customStyle="1" w:styleId="TableHeaderCenter8pt">
    <w:name w:val="Table Header Center 8pt"/>
    <w:basedOn w:val="TableHeaderCenter9pt"/>
    <w:rsid w:val="00DC5685"/>
    <w:rPr>
      <w:sz w:val="16"/>
    </w:rPr>
  </w:style>
  <w:style w:type="paragraph" w:customStyle="1" w:styleId="LetterBanner">
    <w:name w:val="LetterBanner"/>
    <w:basedOn w:val="Normalny"/>
    <w:next w:val="Normalny"/>
    <w:rsid w:val="00DC5685"/>
    <w:pPr>
      <w:keepNext/>
      <w:keepLines/>
      <w:shd w:val="clear" w:color="auto" w:fill="0000FF"/>
    </w:pPr>
    <w:rPr>
      <w:rFonts w:ascii="Arial" w:eastAsiaTheme="minorHAnsi" w:hAnsi="Arial" w:cs="Calibri"/>
      <w:b/>
      <w:color w:val="FFFFFF"/>
      <w:sz w:val="24"/>
      <w:szCs w:val="20"/>
      <w:lang w:val="de-DE"/>
    </w:rPr>
  </w:style>
  <w:style w:type="paragraph" w:customStyle="1" w:styleId="Headnonum">
    <w:name w:val="Headnonum"/>
    <w:basedOn w:val="Normalny"/>
    <w:next w:val="Normalny"/>
    <w:rsid w:val="00DC5685"/>
    <w:pPr>
      <w:keepLines/>
      <w:tabs>
        <w:tab w:val="left" w:pos="5103"/>
      </w:tabs>
      <w:spacing w:before="240"/>
      <w:ind w:left="743" w:hanging="743"/>
    </w:pPr>
    <w:rPr>
      <w:rFonts w:ascii="Arial" w:eastAsiaTheme="minorHAnsi" w:hAnsi="Arial" w:cs="Calibri"/>
      <w:b/>
      <w:szCs w:val="20"/>
      <w:lang w:val="de-DE"/>
    </w:rPr>
  </w:style>
  <w:style w:type="paragraph" w:customStyle="1" w:styleId="TableHeadingTOC">
    <w:name w:val="TableHeadingTOC"/>
    <w:basedOn w:val="Normalny"/>
    <w:rsid w:val="00DC5685"/>
    <w:pPr>
      <w:keepLines/>
      <w:spacing w:before="120" w:after="120"/>
      <w:ind w:left="743" w:hanging="743"/>
    </w:pPr>
    <w:rPr>
      <w:rFonts w:ascii="Arial" w:eastAsiaTheme="minorHAnsi" w:hAnsi="Arial" w:cs="Calibri"/>
      <w:b/>
      <w:szCs w:val="20"/>
      <w:lang w:val="de-DE"/>
    </w:rPr>
  </w:style>
  <w:style w:type="paragraph" w:customStyle="1" w:styleId="PlainHeading12pt">
    <w:name w:val="Plain Heading 12pt"/>
    <w:basedOn w:val="Normalny"/>
    <w:next w:val="Normalny"/>
    <w:rsid w:val="00DC5685"/>
    <w:pPr>
      <w:keepNext/>
      <w:keepLines/>
      <w:spacing w:before="240"/>
    </w:pPr>
    <w:rPr>
      <w:rFonts w:ascii="Arial Bold" w:eastAsiaTheme="minorHAnsi" w:hAnsi="Arial Bold" w:cs="Calibri"/>
      <w:b/>
      <w:sz w:val="24"/>
      <w:szCs w:val="20"/>
      <w:lang w:val="de-DE"/>
    </w:rPr>
  </w:style>
  <w:style w:type="paragraph" w:customStyle="1" w:styleId="NormalNoSpaceAfter">
    <w:name w:val="Normal NoSpaceAfter"/>
    <w:basedOn w:val="Normalny"/>
    <w:link w:val="NormalNoSpaceAfterChar"/>
    <w:rsid w:val="00DC5685"/>
    <w:pPr>
      <w:keepLines/>
    </w:pPr>
    <w:rPr>
      <w:rFonts w:ascii="Calibri" w:eastAsiaTheme="minorHAnsi" w:hAnsi="Calibri" w:cs="Calibri"/>
      <w:sz w:val="24"/>
      <w:szCs w:val="20"/>
      <w:lang w:val="de-DE"/>
    </w:rPr>
  </w:style>
  <w:style w:type="paragraph" w:customStyle="1" w:styleId="TableText12pt">
    <w:name w:val="Table Text 12pt"/>
    <w:basedOn w:val="Normalny"/>
    <w:rsid w:val="00DC5685"/>
    <w:pPr>
      <w:keepLines/>
      <w:spacing w:before="120" w:after="120"/>
    </w:pPr>
    <w:rPr>
      <w:rFonts w:ascii="Calibri" w:eastAsiaTheme="minorHAnsi" w:hAnsi="Calibri" w:cs="Calibri"/>
      <w:sz w:val="24"/>
      <w:szCs w:val="20"/>
      <w:lang w:val="de-DE"/>
    </w:rPr>
  </w:style>
  <w:style w:type="paragraph" w:customStyle="1" w:styleId="PlainHeading10pt">
    <w:name w:val="Plain Heading 10pt"/>
    <w:basedOn w:val="PlainHeading12pt"/>
    <w:link w:val="PlainHeading10ptChar"/>
    <w:rsid w:val="00DC5685"/>
  </w:style>
  <w:style w:type="paragraph" w:customStyle="1" w:styleId="Up">
    <w:name w:val="Up"/>
    <w:rsid w:val="00DC5685"/>
    <w:pPr>
      <w:spacing w:after="240"/>
    </w:pPr>
    <w:rPr>
      <w:sz w:val="24"/>
      <w:lang w:val="en-GB"/>
    </w:rPr>
  </w:style>
  <w:style w:type="paragraph" w:customStyle="1" w:styleId="NormalBold">
    <w:name w:val="Normal Bold"/>
    <w:basedOn w:val="Normalny"/>
    <w:rsid w:val="00DC5685"/>
    <w:pPr>
      <w:keepLines/>
    </w:pPr>
    <w:rPr>
      <w:rFonts w:ascii="Calibri" w:eastAsiaTheme="minorHAnsi" w:hAnsi="Calibri" w:cs="Calibri"/>
      <w:b/>
      <w:bCs/>
      <w:sz w:val="24"/>
      <w:szCs w:val="20"/>
      <w:lang w:val="de-DE"/>
    </w:rPr>
  </w:style>
  <w:style w:type="paragraph" w:customStyle="1" w:styleId="TOCNONUK">
    <w:name w:val="TOCNONUK"/>
    <w:rsid w:val="00DC5685"/>
    <w:pPr>
      <w:spacing w:after="240"/>
    </w:pPr>
    <w:rPr>
      <w:sz w:val="24"/>
      <w:szCs w:val="24"/>
      <w:lang w:val="en-GB"/>
    </w:rPr>
  </w:style>
  <w:style w:type="paragraph" w:customStyle="1" w:styleId="TOCUK">
    <w:name w:val="TOCUK"/>
    <w:rsid w:val="00DC5685"/>
    <w:pPr>
      <w:spacing w:after="240"/>
    </w:pPr>
    <w:rPr>
      <w:sz w:val="24"/>
      <w:szCs w:val="24"/>
      <w:lang w:val="en-GB"/>
    </w:rPr>
  </w:style>
  <w:style w:type="paragraph" w:customStyle="1" w:styleId="ZAutoTextSyngentaBWLogo">
    <w:name w:val="ZAutoTextSyngentaBWLogo"/>
    <w:rsid w:val="00DC5685"/>
    <w:rPr>
      <w:sz w:val="3276"/>
      <w:szCs w:val="3276"/>
      <w:lang w:val="en-GB"/>
    </w:rPr>
  </w:style>
  <w:style w:type="character" w:styleId="Pogrubienie">
    <w:name w:val="Strong"/>
    <w:qFormat/>
    <w:rsid w:val="00DC5685"/>
    <w:rPr>
      <w:b/>
      <w:bCs/>
    </w:rPr>
  </w:style>
  <w:style w:type="paragraph" w:customStyle="1" w:styleId="TableTextCenter">
    <w:name w:val="Table Text Center"/>
    <w:basedOn w:val="TableText"/>
    <w:rsid w:val="00DC5685"/>
    <w:pPr>
      <w:jc w:val="center"/>
    </w:pPr>
  </w:style>
  <w:style w:type="paragraph" w:customStyle="1" w:styleId="EPAbodytext">
    <w:name w:val="EPAbodytext"/>
    <w:basedOn w:val="Tekstpodstawowy"/>
    <w:rsid w:val="00DC5685"/>
    <w:pPr>
      <w:keepLines/>
      <w:overflowPunct w:val="0"/>
      <w:autoSpaceDE w:val="0"/>
      <w:autoSpaceDN w:val="0"/>
      <w:adjustRightInd w:val="0"/>
      <w:spacing w:after="0"/>
      <w:jc w:val="center"/>
      <w:textAlignment w:val="baseline"/>
    </w:pPr>
    <w:rPr>
      <w:rFonts w:ascii="Calibri" w:eastAsiaTheme="minorHAnsi" w:hAnsi="Calibri" w:cs="Arial"/>
      <w:iCs/>
      <w:sz w:val="24"/>
      <w:szCs w:val="20"/>
      <w:lang w:val="de-DE"/>
    </w:rPr>
  </w:style>
  <w:style w:type="character" w:customStyle="1" w:styleId="verborgen">
    <w:name w:val="verborgen"/>
    <w:rsid w:val="00DC5685"/>
    <w:rPr>
      <w:i/>
      <w:noProof w:val="0"/>
      <w:vanish/>
      <w:color w:val="FF0000"/>
      <w:lang w:val="en-US"/>
    </w:rPr>
  </w:style>
  <w:style w:type="paragraph" w:customStyle="1" w:styleId="altext">
    <w:name w:val="altext"/>
    <w:basedOn w:val="Normalny"/>
    <w:rsid w:val="00DC5685"/>
    <w:pPr>
      <w:keepLines/>
      <w:tabs>
        <w:tab w:val="left" w:pos="3686"/>
        <w:tab w:val="center" w:pos="8789"/>
      </w:tabs>
      <w:overflowPunct w:val="0"/>
      <w:autoSpaceDE w:val="0"/>
      <w:autoSpaceDN w:val="0"/>
      <w:adjustRightInd w:val="0"/>
      <w:spacing w:before="60" w:after="60"/>
      <w:textAlignment w:val="baseline"/>
    </w:pPr>
    <w:rPr>
      <w:rFonts w:ascii="Calibri" w:eastAsiaTheme="minorHAnsi" w:hAnsi="Calibri" w:cs="Calibri"/>
      <w:sz w:val="24"/>
      <w:szCs w:val="20"/>
      <w:lang w:val="de-DE"/>
    </w:rPr>
  </w:style>
  <w:style w:type="paragraph" w:customStyle="1" w:styleId="Document1">
    <w:name w:val="Document 1"/>
    <w:rsid w:val="00DC5685"/>
    <w:pPr>
      <w:keepNext/>
      <w:keepLines/>
      <w:tabs>
        <w:tab w:val="left" w:pos="-720"/>
      </w:tabs>
      <w:suppressAutoHyphens/>
    </w:pPr>
    <w:rPr>
      <w:rFonts w:ascii="Courier" w:hAnsi="Courier"/>
      <w:sz w:val="24"/>
    </w:rPr>
  </w:style>
  <w:style w:type="paragraph" w:customStyle="1" w:styleId="Pagetitle-hidden">
    <w:name w:val="Page title - hidden"/>
    <w:basedOn w:val="Normalny"/>
    <w:rsid w:val="00DC5685"/>
    <w:pPr>
      <w:keepLines/>
      <w:tabs>
        <w:tab w:val="left" w:pos="3600"/>
      </w:tabs>
      <w:suppressAutoHyphens/>
    </w:pPr>
    <w:rPr>
      <w:rFonts w:ascii="Calibri" w:eastAsiaTheme="minorHAnsi" w:hAnsi="Calibri" w:cs="Calibri"/>
      <w:vanish/>
      <w:spacing w:val="-3"/>
      <w:sz w:val="24"/>
      <w:szCs w:val="20"/>
      <w:lang w:val="de-DE"/>
    </w:rPr>
  </w:style>
  <w:style w:type="paragraph" w:customStyle="1" w:styleId="Para2">
    <w:name w:val="Para2"/>
    <w:basedOn w:val="Normalny"/>
    <w:next w:val="Normalny"/>
    <w:rsid w:val="00DC5685"/>
    <w:pPr>
      <w:keepLines/>
      <w:shd w:val="clear" w:color="auto" w:fill="00FFFF"/>
      <w:tabs>
        <w:tab w:val="left" w:pos="-1440"/>
        <w:tab w:val="left" w:pos="0"/>
      </w:tabs>
      <w:suppressAutoHyphens/>
    </w:pPr>
    <w:rPr>
      <w:rFonts w:ascii="Calibri" w:eastAsiaTheme="minorHAnsi" w:hAnsi="Calibri" w:cs="Calibri"/>
      <w:sz w:val="24"/>
      <w:szCs w:val="20"/>
      <w:lang w:val="de-DE"/>
    </w:rPr>
  </w:style>
  <w:style w:type="character" w:customStyle="1" w:styleId="TableFootnoteChar">
    <w:name w:val="Table Footnote Char"/>
    <w:rsid w:val="00DC5685"/>
    <w:rPr>
      <w:sz w:val="18"/>
      <w:szCs w:val="24"/>
      <w:lang w:val="en-GB" w:eastAsia="en-US" w:bidi="ar-SA"/>
    </w:rPr>
  </w:style>
  <w:style w:type="paragraph" w:customStyle="1" w:styleId="PlainHeading">
    <w:name w:val="Plain Heading"/>
    <w:basedOn w:val="Normalny"/>
    <w:next w:val="Normalny"/>
    <w:rsid w:val="00DC5685"/>
    <w:pPr>
      <w:keepLines/>
      <w:spacing w:before="240"/>
    </w:pPr>
    <w:rPr>
      <w:rFonts w:ascii="Arial Bold" w:eastAsiaTheme="minorHAnsi" w:hAnsi="Arial Bold" w:cs="Calibri"/>
      <w:b/>
      <w:sz w:val="24"/>
      <w:szCs w:val="20"/>
      <w:lang w:val="de-DE"/>
    </w:rPr>
  </w:style>
  <w:style w:type="paragraph" w:customStyle="1" w:styleId="DLHeading2">
    <w:name w:val="DL Heading 2"/>
    <w:basedOn w:val="Normalny"/>
    <w:next w:val="Normalny"/>
    <w:rsid w:val="00DC5685"/>
    <w:pPr>
      <w:keepNext/>
      <w:keepLines/>
      <w:spacing w:before="240" w:after="60"/>
    </w:pPr>
    <w:rPr>
      <w:rFonts w:ascii="Arial" w:eastAsiaTheme="minorHAnsi" w:hAnsi="Arial" w:cs="Calibri"/>
      <w:b/>
      <w:caps/>
      <w:kern w:val="28"/>
      <w:sz w:val="24"/>
      <w:szCs w:val="20"/>
      <w:lang w:val="de-DE"/>
    </w:rPr>
  </w:style>
  <w:style w:type="paragraph" w:customStyle="1" w:styleId="Plainheading12ptinTOC">
    <w:name w:val="Plain heading 12pt in TOC"/>
    <w:basedOn w:val="PlainHeading12pt"/>
    <w:rsid w:val="00DC5685"/>
  </w:style>
  <w:style w:type="paragraph" w:customStyle="1" w:styleId="AMRText">
    <w:name w:val="AMRText"/>
    <w:basedOn w:val="Normalny"/>
    <w:rsid w:val="00DC5685"/>
    <w:pPr>
      <w:keepLines/>
      <w:spacing w:after="120" w:line="240" w:lineRule="atLeast"/>
      <w:ind w:left="1080"/>
    </w:pPr>
    <w:rPr>
      <w:rFonts w:ascii="Calibri" w:eastAsiaTheme="minorHAnsi" w:hAnsi="Calibri" w:cs="Calibri"/>
      <w:sz w:val="24"/>
      <w:szCs w:val="20"/>
      <w:lang w:val="de-DE"/>
    </w:rPr>
  </w:style>
  <w:style w:type="paragraph" w:customStyle="1" w:styleId="Normaltext">
    <w:name w:val="Normal text"/>
    <w:rsid w:val="00DC5685"/>
    <w:pPr>
      <w:overflowPunct w:val="0"/>
      <w:autoSpaceDE w:val="0"/>
      <w:autoSpaceDN w:val="0"/>
      <w:adjustRightInd w:val="0"/>
      <w:spacing w:after="120"/>
      <w:jc w:val="both"/>
      <w:textAlignment w:val="baseline"/>
    </w:pPr>
    <w:rPr>
      <w:sz w:val="22"/>
    </w:rPr>
  </w:style>
  <w:style w:type="paragraph" w:customStyle="1" w:styleId="textprf">
    <w:name w:val="textprüf"/>
    <w:basedOn w:val="Normalny"/>
    <w:rsid w:val="00DC5685"/>
    <w:pPr>
      <w:keepLines/>
      <w:tabs>
        <w:tab w:val="left" w:pos="3686"/>
        <w:tab w:val="left" w:pos="4394"/>
      </w:tabs>
    </w:pPr>
    <w:rPr>
      <w:rFonts w:ascii="Arial" w:eastAsiaTheme="minorHAnsi" w:hAnsi="Arial" w:cs="Calibri"/>
      <w:szCs w:val="20"/>
      <w:lang w:val="de-DE"/>
    </w:rPr>
  </w:style>
  <w:style w:type="paragraph" w:customStyle="1" w:styleId="tabelleber">
    <w:name w:val="tabelleüber"/>
    <w:basedOn w:val="Normalny"/>
    <w:rsid w:val="00DC5685"/>
    <w:pPr>
      <w:keepLines/>
      <w:tabs>
        <w:tab w:val="left" w:pos="3686"/>
        <w:tab w:val="left" w:pos="4394"/>
      </w:tabs>
      <w:spacing w:before="240"/>
    </w:pPr>
    <w:rPr>
      <w:rFonts w:ascii="Arial" w:eastAsiaTheme="minorHAnsi" w:hAnsi="Arial" w:cs="Calibri"/>
      <w:szCs w:val="20"/>
      <w:lang w:val="de-DE"/>
    </w:rPr>
  </w:style>
  <w:style w:type="paragraph" w:customStyle="1" w:styleId="berschrift1oN">
    <w:name w:val="Überschrift 1 oN"/>
    <w:basedOn w:val="Nagwek1"/>
    <w:rsid w:val="00DC5685"/>
    <w:pPr>
      <w:keepNext/>
      <w:numPr>
        <w:numId w:val="0"/>
      </w:numPr>
      <w:spacing w:before="0" w:after="720"/>
      <w:ind w:left="851" w:hanging="851"/>
      <w:jc w:val="left"/>
    </w:pPr>
    <w:rPr>
      <w:rFonts w:eastAsia="Times New Roman" w:cs="Arial"/>
      <w:bCs w:val="0"/>
      <w:noProof/>
      <w:kern w:val="28"/>
      <w:sz w:val="36"/>
      <w:szCs w:val="20"/>
    </w:rPr>
  </w:style>
  <w:style w:type="paragraph" w:customStyle="1" w:styleId="altextl">
    <w:name w:val="altext_l"/>
    <w:basedOn w:val="altext"/>
    <w:next w:val="altext"/>
    <w:rsid w:val="00DC5685"/>
    <w:pPr>
      <w:tabs>
        <w:tab w:val="clear" w:pos="3686"/>
        <w:tab w:val="clear" w:pos="8789"/>
        <w:tab w:val="right" w:pos="7938"/>
      </w:tabs>
      <w:overflowPunct/>
      <w:autoSpaceDE/>
      <w:autoSpaceDN/>
      <w:adjustRightInd/>
      <w:spacing w:before="0" w:after="0"/>
      <w:textAlignment w:val="auto"/>
    </w:pPr>
    <w:rPr>
      <w:rFonts w:ascii="Arial" w:hAnsi="Arial"/>
      <w:sz w:val="22"/>
      <w:szCs w:val="24"/>
    </w:rPr>
  </w:style>
  <w:style w:type="paragraph" w:customStyle="1" w:styleId="tabelle">
    <w:name w:val="tabelle"/>
    <w:basedOn w:val="Normalny"/>
    <w:rsid w:val="00DC5685"/>
    <w:pPr>
      <w:keepLines/>
      <w:spacing w:before="60" w:after="60"/>
      <w:jc w:val="center"/>
    </w:pPr>
    <w:rPr>
      <w:rFonts w:ascii="Arial" w:eastAsiaTheme="minorHAnsi" w:hAnsi="Arial" w:cs="Calibri"/>
      <w:szCs w:val="20"/>
      <w:lang w:val="de-DE"/>
    </w:rPr>
  </w:style>
  <w:style w:type="paragraph" w:customStyle="1" w:styleId="textprflinks">
    <w:name w:val="textprüf_links"/>
    <w:basedOn w:val="textprf"/>
    <w:next w:val="textprf"/>
    <w:rsid w:val="00DC5685"/>
    <w:pPr>
      <w:tabs>
        <w:tab w:val="clear" w:pos="3686"/>
        <w:tab w:val="clear" w:pos="4394"/>
        <w:tab w:val="left" w:pos="2552"/>
        <w:tab w:val="left" w:pos="3402"/>
      </w:tabs>
    </w:pPr>
  </w:style>
  <w:style w:type="paragraph" w:customStyle="1" w:styleId="Absatz1">
    <w:name w:val="Absatz 1"/>
    <w:basedOn w:val="Normalny"/>
    <w:rsid w:val="00DC5685"/>
    <w:pPr>
      <w:keepLines/>
      <w:numPr>
        <w:numId w:val="22"/>
      </w:numPr>
      <w:tabs>
        <w:tab w:val="left" w:pos="1134"/>
        <w:tab w:val="right" w:pos="8505"/>
      </w:tabs>
      <w:spacing w:before="360"/>
      <w:ind w:right="334"/>
    </w:pPr>
    <w:rPr>
      <w:rFonts w:ascii="Arial" w:eastAsiaTheme="minorHAnsi" w:hAnsi="Arial" w:cs="Calibri"/>
      <w:szCs w:val="20"/>
      <w:lang w:val="de-DE"/>
    </w:rPr>
  </w:style>
  <w:style w:type="paragraph" w:customStyle="1" w:styleId="Verzeichnis1oN">
    <w:name w:val="Verzeichnis 1 oN"/>
    <w:basedOn w:val="Spistreci1"/>
    <w:rsid w:val="00DC5685"/>
    <w:pPr>
      <w:tabs>
        <w:tab w:val="clear" w:pos="1701"/>
        <w:tab w:val="clear" w:pos="9072"/>
        <w:tab w:val="left" w:pos="567"/>
        <w:tab w:val="right" w:leader="dot" w:pos="8647"/>
      </w:tabs>
      <w:spacing w:after="20"/>
      <w:ind w:left="567" w:right="851" w:hanging="567"/>
      <w:jc w:val="left"/>
    </w:pPr>
    <w:rPr>
      <w:rFonts w:ascii="Arial" w:eastAsiaTheme="minorHAnsi" w:hAnsi="Arial" w:cs="Calibri"/>
      <w:b w:val="0"/>
      <w:snapToGrid w:val="0"/>
      <w:color w:val="000000"/>
      <w:sz w:val="22"/>
      <w:szCs w:val="28"/>
      <w:lang w:val="en-GB"/>
    </w:rPr>
  </w:style>
  <w:style w:type="paragraph" w:customStyle="1" w:styleId="Pagetitle-tabfigapp">
    <w:name w:val="Page title - tab/fig/app"/>
    <w:basedOn w:val="Normalny"/>
    <w:rsid w:val="00DC5685"/>
    <w:pPr>
      <w:keepLines/>
      <w:tabs>
        <w:tab w:val="center" w:pos="4032"/>
      </w:tabs>
      <w:suppressAutoHyphens/>
      <w:spacing w:before="120"/>
      <w:jc w:val="center"/>
    </w:pPr>
    <w:rPr>
      <w:rFonts w:ascii="Calibri" w:eastAsiaTheme="minorHAnsi" w:hAnsi="Calibri" w:cs="Calibri"/>
      <w:caps/>
      <w:spacing w:val="-3"/>
      <w:sz w:val="24"/>
      <w:szCs w:val="20"/>
      <w:lang w:val="de-DE"/>
    </w:rPr>
  </w:style>
  <w:style w:type="paragraph" w:customStyle="1" w:styleId="Para3">
    <w:name w:val="Para3"/>
    <w:basedOn w:val="Normalny"/>
    <w:next w:val="Normalny"/>
    <w:rsid w:val="00DC5685"/>
    <w:pPr>
      <w:keepLines/>
      <w:shd w:val="clear" w:color="auto" w:fill="FFFF00"/>
    </w:pPr>
    <w:rPr>
      <w:rFonts w:ascii="Calibri" w:eastAsiaTheme="minorHAnsi" w:hAnsi="Calibri" w:cs="Calibri"/>
      <w:sz w:val="24"/>
      <w:szCs w:val="20"/>
      <w:lang w:val="de-DE"/>
    </w:rPr>
  </w:style>
  <w:style w:type="paragraph" w:customStyle="1" w:styleId="Para1">
    <w:name w:val="Para1"/>
    <w:basedOn w:val="Normalny"/>
    <w:next w:val="Normalny"/>
    <w:rsid w:val="00DC5685"/>
    <w:pPr>
      <w:keepLines/>
      <w:shd w:val="clear" w:color="auto" w:fill="00FF00"/>
    </w:pPr>
    <w:rPr>
      <w:rFonts w:ascii="Calibri" w:eastAsiaTheme="minorHAnsi" w:hAnsi="Calibri" w:cs="Calibri"/>
      <w:sz w:val="24"/>
      <w:szCs w:val="20"/>
      <w:lang w:val="de-DE"/>
    </w:rPr>
  </w:style>
  <w:style w:type="paragraph" w:customStyle="1" w:styleId="TMSA">
    <w:name w:val="TMSA"/>
    <w:rsid w:val="00DC5685"/>
    <w:pPr>
      <w:spacing w:before="120"/>
      <w:jc w:val="center"/>
    </w:pPr>
    <w:rPr>
      <w:rFonts w:ascii="Arial" w:hAnsi="Arial"/>
      <w:b/>
      <w:sz w:val="22"/>
      <w:lang w:val="en-GB" w:eastAsia="de-DE"/>
    </w:rPr>
  </w:style>
  <w:style w:type="paragraph" w:customStyle="1" w:styleId="EPAFreshwaterfishacute">
    <w:name w:val="EPA Freshwater fish acute"/>
    <w:rsid w:val="00DC5685"/>
    <w:pPr>
      <w:jc w:val="both"/>
    </w:pPr>
    <w:rPr>
      <w:sz w:val="24"/>
      <w:lang w:val="en-GB"/>
    </w:rPr>
  </w:style>
  <w:style w:type="paragraph" w:customStyle="1" w:styleId="Tab">
    <w:name w:val="Tab."/>
    <w:basedOn w:val="Normalny"/>
    <w:next w:val="Normalny"/>
    <w:rsid w:val="00DC5685"/>
    <w:pPr>
      <w:keepLines/>
      <w:widowControl w:val="0"/>
      <w:tabs>
        <w:tab w:val="right" w:leader="dot" w:pos="8505"/>
      </w:tabs>
      <w:spacing w:after="120" w:line="300" w:lineRule="auto"/>
      <w:ind w:left="851"/>
    </w:pPr>
    <w:rPr>
      <w:rFonts w:ascii="Calibri" w:eastAsiaTheme="minorHAnsi" w:hAnsi="Calibri" w:cs="Calibri"/>
      <w:sz w:val="24"/>
      <w:szCs w:val="20"/>
      <w:lang w:val="de-DE"/>
    </w:rPr>
  </w:style>
  <w:style w:type="paragraph" w:customStyle="1" w:styleId="Tabelleninhalt">
    <w:name w:val="Tabelleninhalt"/>
    <w:basedOn w:val="Normalny"/>
    <w:rsid w:val="00DC5685"/>
    <w:pPr>
      <w:keepLines/>
      <w:widowControl w:val="0"/>
      <w:spacing w:line="300" w:lineRule="auto"/>
    </w:pPr>
    <w:rPr>
      <w:rFonts w:ascii="Calibri" w:eastAsiaTheme="minorHAnsi" w:hAnsi="Calibri" w:cs="Calibri"/>
      <w:szCs w:val="20"/>
      <w:lang w:val="de-DE"/>
    </w:rPr>
  </w:style>
  <w:style w:type="paragraph" w:customStyle="1" w:styleId="TitelseiteFett">
    <w:name w:val="TitelseiteFett"/>
    <w:basedOn w:val="Normalny"/>
    <w:rsid w:val="00DC5685"/>
    <w:pPr>
      <w:keepLines/>
      <w:spacing w:line="240" w:lineRule="atLeast"/>
      <w:jc w:val="center"/>
    </w:pPr>
    <w:rPr>
      <w:rFonts w:ascii="Arial" w:eastAsiaTheme="minorHAnsi" w:hAnsi="Arial" w:cs="Calibri"/>
      <w:b/>
      <w:sz w:val="24"/>
      <w:szCs w:val="20"/>
      <w:lang w:val="de-DE"/>
    </w:rPr>
  </w:style>
  <w:style w:type="paragraph" w:customStyle="1" w:styleId="Tabletext12Ctr">
    <w:name w:val="Tabletext12Ctr"/>
    <w:basedOn w:val="Normalny"/>
    <w:rsid w:val="00DC5685"/>
    <w:pPr>
      <w:keepNext/>
      <w:keepLines/>
      <w:spacing w:before="40" w:after="40" w:line="240" w:lineRule="atLeast"/>
      <w:jc w:val="center"/>
    </w:pPr>
    <w:rPr>
      <w:rFonts w:ascii="Calibri" w:eastAsiaTheme="minorHAnsi" w:hAnsi="Calibri" w:cs="Calibri"/>
      <w:sz w:val="24"/>
      <w:szCs w:val="20"/>
      <w:lang w:val="de-DE"/>
    </w:rPr>
  </w:style>
  <w:style w:type="paragraph" w:customStyle="1" w:styleId="xl26">
    <w:name w:val="xl26"/>
    <w:basedOn w:val="Normalny"/>
    <w:rsid w:val="00DC5685"/>
    <w:pPr>
      <w:keepLines/>
      <w:spacing w:before="100" w:beforeAutospacing="1" w:after="100" w:afterAutospacing="1"/>
      <w:jc w:val="center"/>
    </w:pPr>
    <w:rPr>
      <w:rFonts w:ascii="Calibri" w:eastAsiaTheme="minorHAnsi" w:hAnsi="Calibri" w:cs="Calibri"/>
      <w:lang w:val="de-DE"/>
    </w:rPr>
  </w:style>
  <w:style w:type="paragraph" w:customStyle="1" w:styleId="figureindented">
    <w:name w:val="figure indented"/>
    <w:basedOn w:val="Normalny"/>
    <w:rsid w:val="00DC5685"/>
    <w:pPr>
      <w:keepLines/>
      <w:spacing w:before="240" w:line="240" w:lineRule="atLeast"/>
      <w:ind w:left="1080"/>
    </w:pPr>
    <w:rPr>
      <w:rFonts w:ascii="Calibri" w:eastAsiaTheme="minorHAnsi" w:hAnsi="Calibri" w:cs="Calibri"/>
      <w:sz w:val="24"/>
      <w:szCs w:val="20"/>
      <w:lang w:val="de-DE"/>
    </w:rPr>
  </w:style>
  <w:style w:type="paragraph" w:customStyle="1" w:styleId="figure">
    <w:name w:val="figure"/>
    <w:basedOn w:val="Normalny"/>
    <w:rsid w:val="00DC5685"/>
    <w:pPr>
      <w:keepLines/>
      <w:spacing w:before="240" w:line="240" w:lineRule="atLeast"/>
    </w:pPr>
    <w:rPr>
      <w:rFonts w:ascii="Calibri" w:eastAsiaTheme="minorHAnsi" w:hAnsi="Calibri" w:cs="Calibri"/>
      <w:sz w:val="24"/>
      <w:szCs w:val="20"/>
      <w:lang w:val="de-DE"/>
    </w:rPr>
  </w:style>
  <w:style w:type="character" w:customStyle="1" w:styleId="NormalNoSpaceAfterChar">
    <w:name w:val="Normal NoSpaceAfter Char"/>
    <w:link w:val="NormalNoSpaceAfter"/>
    <w:rsid w:val="00DC5685"/>
    <w:rPr>
      <w:rFonts w:ascii="Calibri" w:eastAsiaTheme="minorHAnsi" w:hAnsi="Calibri" w:cs="Calibri"/>
      <w:sz w:val="24"/>
      <w:lang w:val="de-DE"/>
    </w:rPr>
  </w:style>
  <w:style w:type="character" w:customStyle="1" w:styleId="TableTextCenter9ptCharChar">
    <w:name w:val="Table Text Center 9pt Char Char"/>
    <w:link w:val="TableTextCenter9pt"/>
    <w:rsid w:val="00DC5685"/>
    <w:rPr>
      <w:rFonts w:ascii="Calibri" w:eastAsiaTheme="minorHAnsi" w:hAnsi="Calibri" w:cs="Calibri"/>
      <w:sz w:val="18"/>
      <w:lang w:val="de-DE"/>
    </w:rPr>
  </w:style>
  <w:style w:type="paragraph" w:customStyle="1" w:styleId="BodyText21">
    <w:name w:val="Body Text 21"/>
    <w:basedOn w:val="Normalny"/>
    <w:rsid w:val="00DC5685"/>
    <w:pPr>
      <w:keepLines/>
      <w:widowControl w:val="0"/>
      <w:tabs>
        <w:tab w:val="left" w:pos="1134"/>
        <w:tab w:val="left" w:pos="3544"/>
        <w:tab w:val="left" w:pos="4820"/>
      </w:tabs>
      <w:spacing w:line="-240" w:lineRule="auto"/>
      <w:ind w:left="5672"/>
    </w:pPr>
    <w:rPr>
      <w:rFonts w:ascii="Calibri" w:eastAsiaTheme="minorHAnsi" w:hAnsi="Calibri" w:cs="Calibri"/>
      <w:snapToGrid w:val="0"/>
      <w:sz w:val="24"/>
      <w:szCs w:val="20"/>
      <w:lang w:val="de-DE"/>
    </w:rPr>
  </w:style>
  <w:style w:type="paragraph" w:customStyle="1" w:styleId="Body">
    <w:name w:val="Body"/>
    <w:rsid w:val="00DC5685"/>
    <w:pPr>
      <w:widowControl w:val="0"/>
      <w:overflowPunct w:val="0"/>
      <w:autoSpaceDE w:val="0"/>
      <w:autoSpaceDN w:val="0"/>
      <w:adjustRightInd w:val="0"/>
      <w:ind w:left="864"/>
      <w:textAlignment w:val="baseline"/>
    </w:pPr>
    <w:rPr>
      <w:rFonts w:ascii="Arial" w:hAnsi="Arial"/>
      <w:lang w:val="en-GB"/>
    </w:rPr>
  </w:style>
  <w:style w:type="paragraph" w:customStyle="1" w:styleId="Normaltext18pt">
    <w:name w:val="Normal text+18pt"/>
    <w:basedOn w:val="Normaltext"/>
    <w:next w:val="Normaltext"/>
    <w:rsid w:val="00DC5685"/>
    <w:pPr>
      <w:overflowPunct/>
      <w:autoSpaceDE/>
      <w:autoSpaceDN/>
      <w:adjustRightInd/>
      <w:spacing w:after="360"/>
      <w:textAlignment w:val="auto"/>
    </w:pPr>
    <w:rPr>
      <w:lang w:val="en-GB"/>
    </w:rPr>
  </w:style>
  <w:style w:type="paragraph" w:customStyle="1" w:styleId="author">
    <w:name w:val="author"/>
    <w:basedOn w:val="Normalny"/>
    <w:rsid w:val="00DC5685"/>
    <w:pPr>
      <w:keepLines/>
    </w:pPr>
    <w:rPr>
      <w:rFonts w:ascii="Calibri" w:eastAsiaTheme="minorHAnsi" w:hAnsi="Calibri" w:cs="Calibri"/>
      <w:sz w:val="16"/>
      <w:szCs w:val="20"/>
      <w:lang w:val="de-DE"/>
    </w:rPr>
  </w:style>
  <w:style w:type="paragraph" w:customStyle="1" w:styleId="footer1">
    <w:name w:val="footer1"/>
    <w:basedOn w:val="Stopka"/>
    <w:rsid w:val="00DC5685"/>
    <w:pPr>
      <w:keepLines/>
      <w:pBdr>
        <w:bottom w:val="single" w:sz="12" w:space="3" w:color="000000"/>
      </w:pBdr>
      <w:tabs>
        <w:tab w:val="clear" w:pos="4536"/>
        <w:tab w:val="clear" w:pos="9072"/>
        <w:tab w:val="center" w:pos="4252"/>
        <w:tab w:val="right" w:pos="8504"/>
      </w:tabs>
      <w:spacing w:before="240"/>
      <w:jc w:val="right"/>
    </w:pPr>
    <w:rPr>
      <w:rFonts w:ascii="Calibri" w:eastAsiaTheme="minorHAnsi" w:hAnsi="Calibri" w:cs="Calibri"/>
      <w:sz w:val="16"/>
      <w:szCs w:val="20"/>
      <w:lang w:val="de-DE"/>
    </w:rPr>
  </w:style>
  <w:style w:type="paragraph" w:customStyle="1" w:styleId="Itemnumber">
    <w:name w:val="Item number"/>
    <w:basedOn w:val="Normalny"/>
    <w:rsid w:val="00DC5685"/>
    <w:pPr>
      <w:keepLines/>
      <w:spacing w:after="120"/>
      <w:ind w:left="459" w:right="-108" w:hanging="459"/>
    </w:pPr>
    <w:rPr>
      <w:rFonts w:ascii="Arial" w:eastAsiaTheme="minorHAnsi" w:hAnsi="Arial" w:cs="Calibri"/>
      <w:b/>
      <w:sz w:val="18"/>
      <w:szCs w:val="20"/>
      <w:lang w:val="de-DE"/>
    </w:rPr>
  </w:style>
  <w:style w:type="paragraph" w:customStyle="1" w:styleId="Normaltext12pt">
    <w:name w:val="Normal text+12pt"/>
    <w:basedOn w:val="Normalny"/>
    <w:rsid w:val="00DC5685"/>
    <w:pPr>
      <w:keepLines/>
    </w:pPr>
    <w:rPr>
      <w:rFonts w:ascii="Calibri" w:eastAsiaTheme="minorHAnsi" w:hAnsi="Calibri" w:cs="Calibri"/>
      <w:szCs w:val="20"/>
      <w:lang w:val="de-DE"/>
    </w:rPr>
  </w:style>
  <w:style w:type="paragraph" w:customStyle="1" w:styleId="IndentedTextTier1">
    <w:name w:val="Indented Text Tier 1"/>
    <w:basedOn w:val="Normalny"/>
    <w:rsid w:val="00DC5685"/>
    <w:pPr>
      <w:keepLines/>
      <w:ind w:left="567"/>
    </w:pPr>
    <w:rPr>
      <w:rFonts w:ascii="Calibri" w:eastAsiaTheme="minorHAnsi" w:hAnsi="Calibri" w:cs="Calibri"/>
      <w:sz w:val="24"/>
      <w:szCs w:val="20"/>
      <w:lang w:val="de-DE"/>
    </w:rPr>
  </w:style>
  <w:style w:type="paragraph" w:customStyle="1" w:styleId="SummaryTier1">
    <w:name w:val="Summary Tier 1"/>
    <w:rsid w:val="00DC5685"/>
    <w:rPr>
      <w:rFonts w:ascii="Arial" w:hAnsi="Arial"/>
    </w:rPr>
  </w:style>
  <w:style w:type="paragraph" w:customStyle="1" w:styleId="Ref-01">
    <w:name w:val="Ref-01"/>
    <w:basedOn w:val="Normalny"/>
    <w:rsid w:val="00DC5685"/>
    <w:pPr>
      <w:keepLines/>
      <w:tabs>
        <w:tab w:val="right" w:pos="9900"/>
      </w:tabs>
      <w:spacing w:before="120"/>
      <w:ind w:left="567" w:hanging="567"/>
    </w:pPr>
    <w:rPr>
      <w:rFonts w:ascii="Calibri" w:eastAsiaTheme="minorHAnsi" w:hAnsi="Calibri" w:cs="Calibri"/>
      <w:color w:val="000000"/>
      <w:sz w:val="18"/>
      <w:szCs w:val="20"/>
      <w:lang w:val="de-DE"/>
    </w:rPr>
  </w:style>
  <w:style w:type="paragraph" w:customStyle="1" w:styleId="Ref-02">
    <w:name w:val="Ref-02"/>
    <w:basedOn w:val="Normalny"/>
    <w:rsid w:val="00DC5685"/>
    <w:pPr>
      <w:keepLines/>
      <w:tabs>
        <w:tab w:val="right" w:pos="9900"/>
      </w:tabs>
      <w:spacing w:before="120"/>
      <w:jc w:val="right"/>
    </w:pPr>
    <w:rPr>
      <w:rFonts w:ascii="Calibri" w:eastAsiaTheme="minorHAnsi" w:hAnsi="Calibri" w:cs="Calibri"/>
      <w:color w:val="000000"/>
      <w:sz w:val="18"/>
      <w:szCs w:val="20"/>
      <w:lang w:val="de-DE"/>
    </w:rPr>
  </w:style>
  <w:style w:type="paragraph" w:customStyle="1" w:styleId="Ref-Header">
    <w:name w:val="Ref-Header"/>
    <w:basedOn w:val="Normalny"/>
    <w:next w:val="Ref-01"/>
    <w:rsid w:val="00DC5685"/>
    <w:pPr>
      <w:keepLines/>
      <w:spacing w:before="60" w:after="60"/>
    </w:pPr>
    <w:rPr>
      <w:rFonts w:ascii="Arial" w:eastAsiaTheme="minorHAnsi" w:hAnsi="Arial" w:cs="Calibri"/>
      <w:color w:val="000000"/>
      <w:sz w:val="18"/>
      <w:szCs w:val="20"/>
      <w:lang w:val="de-DE"/>
    </w:rPr>
  </w:style>
  <w:style w:type="paragraph" w:customStyle="1" w:styleId="Ref-03">
    <w:name w:val="Ref-03"/>
    <w:basedOn w:val="Normalny"/>
    <w:rsid w:val="00DC5685"/>
    <w:pPr>
      <w:keepLines/>
      <w:spacing w:before="120"/>
      <w:jc w:val="right"/>
    </w:pPr>
    <w:rPr>
      <w:rFonts w:ascii="Calibri" w:eastAsiaTheme="minorHAnsi" w:hAnsi="Calibri" w:cs="Calibri"/>
      <w:color w:val="000000"/>
      <w:sz w:val="18"/>
      <w:szCs w:val="20"/>
      <w:lang w:val="de-DE"/>
    </w:rPr>
  </w:style>
  <w:style w:type="paragraph" w:customStyle="1" w:styleId="R">
    <w:name w:val="R"/>
    <w:basedOn w:val="Ref-03"/>
    <w:rsid w:val="00DC5685"/>
  </w:style>
  <w:style w:type="paragraph" w:customStyle="1" w:styleId="Ref-04">
    <w:name w:val="Ref-04"/>
    <w:basedOn w:val="Normaltext"/>
    <w:rsid w:val="00DC5685"/>
    <w:pPr>
      <w:overflowPunct/>
      <w:autoSpaceDE/>
      <w:autoSpaceDN/>
      <w:adjustRightInd/>
      <w:spacing w:before="120" w:after="0"/>
      <w:jc w:val="center"/>
      <w:textAlignment w:val="auto"/>
    </w:pPr>
    <w:rPr>
      <w:color w:val="000000"/>
      <w:sz w:val="18"/>
    </w:rPr>
  </w:style>
  <w:style w:type="paragraph" w:customStyle="1" w:styleId="body12">
    <w:name w:val="body12"/>
    <w:basedOn w:val="Normalny"/>
    <w:rsid w:val="00DC5685"/>
    <w:pPr>
      <w:keepLines/>
      <w:spacing w:before="120" w:after="120"/>
    </w:pPr>
    <w:rPr>
      <w:rFonts w:ascii="Arial" w:eastAsiaTheme="minorHAnsi" w:hAnsi="Arial" w:cs="Calibri"/>
      <w:sz w:val="24"/>
      <w:szCs w:val="20"/>
      <w:lang w:val="de-DE"/>
    </w:rPr>
  </w:style>
  <w:style w:type="paragraph" w:customStyle="1" w:styleId="Logo">
    <w:name w:val="Logo"/>
    <w:basedOn w:val="Nagwek"/>
    <w:rsid w:val="00DC5685"/>
    <w:pPr>
      <w:keepLines/>
      <w:tabs>
        <w:tab w:val="clear" w:pos="4536"/>
        <w:tab w:val="clear" w:pos="9072"/>
        <w:tab w:val="center" w:pos="4252"/>
        <w:tab w:val="right" w:pos="8504"/>
      </w:tabs>
      <w:spacing w:after="120"/>
      <w:jc w:val="center"/>
    </w:pPr>
    <w:rPr>
      <w:rFonts w:ascii="Arial" w:eastAsiaTheme="minorHAnsi" w:hAnsi="Arial" w:cs="Calibri"/>
      <w:b/>
      <w:color w:val="000000"/>
      <w:szCs w:val="20"/>
      <w:lang w:val="de-DE"/>
    </w:rPr>
  </w:style>
  <w:style w:type="paragraph" w:customStyle="1" w:styleId="Headerrightaligned">
    <w:name w:val="Header right aligned"/>
    <w:basedOn w:val="Nagwek"/>
    <w:rsid w:val="00DC5685"/>
    <w:pPr>
      <w:keepLines/>
      <w:tabs>
        <w:tab w:val="clear" w:pos="4536"/>
        <w:tab w:val="clear" w:pos="9072"/>
        <w:tab w:val="center" w:pos="4252"/>
        <w:tab w:val="right" w:pos="8504"/>
      </w:tabs>
      <w:spacing w:before="120" w:after="120"/>
      <w:jc w:val="right"/>
    </w:pPr>
    <w:rPr>
      <w:rFonts w:ascii="Arial" w:eastAsiaTheme="minorHAnsi" w:hAnsi="Arial" w:cs="Calibri"/>
      <w:b/>
      <w:color w:val="000000"/>
      <w:sz w:val="20"/>
      <w:szCs w:val="20"/>
      <w:lang w:val="de-DE"/>
    </w:rPr>
  </w:style>
  <w:style w:type="paragraph" w:customStyle="1" w:styleId="Tier1TableText">
    <w:name w:val="Tier 1 Table Text"/>
    <w:basedOn w:val="Normalny"/>
    <w:rsid w:val="00DC5685"/>
    <w:pPr>
      <w:keepLines/>
      <w:tabs>
        <w:tab w:val="left" w:pos="709"/>
        <w:tab w:val="left" w:pos="1418"/>
        <w:tab w:val="left" w:pos="2126"/>
        <w:tab w:val="left" w:pos="2835"/>
        <w:tab w:val="left" w:pos="3544"/>
        <w:tab w:val="left" w:pos="4253"/>
      </w:tabs>
      <w:spacing w:after="120"/>
    </w:pPr>
    <w:rPr>
      <w:rFonts w:ascii="Calibri" w:eastAsiaTheme="minorHAnsi" w:hAnsi="Calibri" w:cs="Calibri"/>
      <w:color w:val="000000"/>
      <w:sz w:val="18"/>
      <w:szCs w:val="20"/>
      <w:lang w:val="de-DE"/>
    </w:rPr>
  </w:style>
  <w:style w:type="paragraph" w:customStyle="1" w:styleId="Tier1IndentText">
    <w:name w:val="Tier 1 Indent Text"/>
    <w:basedOn w:val="Normalny"/>
    <w:rsid w:val="00DC5685"/>
    <w:pPr>
      <w:keepLines/>
      <w:spacing w:after="120"/>
    </w:pPr>
    <w:rPr>
      <w:rFonts w:ascii="Calibri" w:eastAsiaTheme="minorHAnsi" w:hAnsi="Calibri" w:cs="Calibri"/>
      <w:color w:val="000000"/>
      <w:sz w:val="18"/>
      <w:szCs w:val="20"/>
      <w:lang w:val="de-DE"/>
    </w:rPr>
  </w:style>
  <w:style w:type="paragraph" w:customStyle="1" w:styleId="Normal1Li">
    <w:name w:val="Normal +1 Li"/>
    <w:basedOn w:val="Normalny"/>
    <w:rsid w:val="00DC5685"/>
    <w:pPr>
      <w:keepLines/>
    </w:pPr>
    <w:rPr>
      <w:rFonts w:ascii="Arial" w:eastAsiaTheme="minorHAnsi" w:hAnsi="Arial" w:cs="Calibri"/>
      <w:sz w:val="24"/>
      <w:szCs w:val="20"/>
      <w:lang w:val="de-DE"/>
    </w:rPr>
  </w:style>
  <w:style w:type="paragraph" w:customStyle="1" w:styleId="Table05">
    <w:name w:val="Table +0.5"/>
    <w:basedOn w:val="Normalny"/>
    <w:rsid w:val="00DC5685"/>
    <w:pPr>
      <w:keepLines/>
      <w:tabs>
        <w:tab w:val="left" w:pos="851"/>
      </w:tabs>
      <w:spacing w:after="120" w:line="264" w:lineRule="exact"/>
    </w:pPr>
    <w:rPr>
      <w:rFonts w:ascii="Calibri" w:eastAsiaTheme="minorHAnsi" w:hAnsi="Calibri" w:cs="Calibri"/>
      <w:szCs w:val="20"/>
      <w:lang w:val="de-DE"/>
    </w:rPr>
  </w:style>
  <w:style w:type="paragraph" w:customStyle="1" w:styleId="Normaltextintended">
    <w:name w:val="Normal text intended"/>
    <w:basedOn w:val="Normaltext"/>
    <w:rsid w:val="00DC5685"/>
    <w:pPr>
      <w:overflowPunct/>
      <w:autoSpaceDE/>
      <w:autoSpaceDN/>
      <w:adjustRightInd/>
      <w:ind w:left="2552" w:hanging="2552"/>
      <w:jc w:val="left"/>
      <w:textAlignment w:val="auto"/>
    </w:pPr>
  </w:style>
  <w:style w:type="paragraph" w:customStyle="1" w:styleId="Tier34Indent">
    <w:name w:val="Tier 3&amp;4 Indent"/>
    <w:basedOn w:val="Normalny"/>
    <w:rsid w:val="00DC5685"/>
    <w:pPr>
      <w:keepLines/>
      <w:spacing w:after="120"/>
      <w:ind w:left="709"/>
    </w:pPr>
    <w:rPr>
      <w:rFonts w:ascii="Calibri" w:eastAsiaTheme="minorHAnsi" w:hAnsi="Calibri" w:cs="Calibri"/>
      <w:color w:val="000000"/>
      <w:szCs w:val="20"/>
      <w:lang w:val="de-DE"/>
    </w:rPr>
  </w:style>
  <w:style w:type="paragraph" w:customStyle="1" w:styleId="Tier1Text">
    <w:name w:val="Tier 1 Text"/>
    <w:basedOn w:val="Normalny"/>
    <w:rsid w:val="00DC5685"/>
    <w:pPr>
      <w:keepLines/>
      <w:spacing w:after="120"/>
    </w:pPr>
    <w:rPr>
      <w:rFonts w:ascii="Calibri" w:eastAsiaTheme="minorHAnsi" w:hAnsi="Calibri" w:cs="Calibri"/>
      <w:color w:val="000000"/>
      <w:sz w:val="18"/>
      <w:szCs w:val="20"/>
      <w:lang w:val="de-DE"/>
    </w:rPr>
  </w:style>
  <w:style w:type="paragraph" w:customStyle="1" w:styleId="Subtitel">
    <w:name w:val="Subtitel"/>
    <w:basedOn w:val="Normaltext"/>
    <w:next w:val="Normaltext"/>
    <w:rsid w:val="00DC5685"/>
    <w:pPr>
      <w:overflowPunct/>
      <w:autoSpaceDE/>
      <w:autoSpaceDN/>
      <w:adjustRightInd/>
      <w:spacing w:before="240" w:after="180"/>
      <w:textAlignment w:val="auto"/>
    </w:pPr>
    <w:rPr>
      <w:b/>
      <w:i/>
      <w:lang w:val="en-GB"/>
    </w:rPr>
  </w:style>
  <w:style w:type="paragraph" w:customStyle="1" w:styleId="bodytitle">
    <w:name w:val="body title"/>
    <w:basedOn w:val="body12"/>
    <w:rsid w:val="00DC5685"/>
    <w:pPr>
      <w:tabs>
        <w:tab w:val="left" w:pos="1701"/>
        <w:tab w:val="right" w:pos="9356"/>
      </w:tabs>
      <w:spacing w:before="0" w:after="360"/>
    </w:pPr>
    <w:rPr>
      <w:b/>
    </w:rPr>
  </w:style>
  <w:style w:type="paragraph" w:customStyle="1" w:styleId="BODYcomp">
    <w:name w:val="BODYcomp"/>
    <w:basedOn w:val="body12"/>
    <w:rsid w:val="00DC5685"/>
    <w:pPr>
      <w:tabs>
        <w:tab w:val="decimal" w:pos="851"/>
        <w:tab w:val="left" w:pos="1276"/>
        <w:tab w:val="left" w:pos="1843"/>
        <w:tab w:val="left" w:pos="5103"/>
        <w:tab w:val="left" w:pos="7088"/>
      </w:tabs>
      <w:spacing w:before="60"/>
    </w:pPr>
    <w:rPr>
      <w:rFonts w:ascii="Helvetica" w:hAnsi="Helvetica"/>
    </w:rPr>
  </w:style>
  <w:style w:type="paragraph" w:customStyle="1" w:styleId="text">
    <w:name w:val="text"/>
    <w:basedOn w:val="Normalny"/>
    <w:rsid w:val="00DC5685"/>
    <w:pPr>
      <w:keepLines/>
      <w:spacing w:before="40" w:after="120"/>
      <w:ind w:left="851"/>
    </w:pPr>
    <w:rPr>
      <w:rFonts w:ascii="Calibri" w:eastAsiaTheme="minorHAnsi" w:hAnsi="Calibri" w:cs="Calibri"/>
      <w:szCs w:val="20"/>
      <w:lang w:val="de-DE"/>
    </w:rPr>
  </w:style>
  <w:style w:type="paragraph" w:customStyle="1" w:styleId="indentbody12">
    <w:name w:val="indent_body12"/>
    <w:basedOn w:val="body12"/>
    <w:rsid w:val="00DC5685"/>
    <w:pPr>
      <w:spacing w:before="0" w:after="0"/>
      <w:ind w:left="567"/>
    </w:pPr>
    <w:rPr>
      <w:rFonts w:ascii="Times New Roman" w:hAnsi="Times New Roman"/>
    </w:rPr>
  </w:style>
  <w:style w:type="paragraph" w:customStyle="1" w:styleId="Normal05Li">
    <w:name w:val="Normal +0.5 Li"/>
    <w:basedOn w:val="Normalny"/>
    <w:rsid w:val="00DC5685"/>
    <w:pPr>
      <w:keepLines/>
      <w:spacing w:after="120"/>
    </w:pPr>
    <w:rPr>
      <w:rFonts w:ascii="Calibri" w:eastAsiaTheme="minorHAnsi" w:hAnsi="Calibri" w:cs="Calibri"/>
      <w:szCs w:val="20"/>
      <w:lang w:val="de-DE"/>
    </w:rPr>
  </w:style>
  <w:style w:type="paragraph" w:customStyle="1" w:styleId="TextSummary">
    <w:name w:val="Text Summary"/>
    <w:basedOn w:val="Normalny"/>
    <w:rsid w:val="00DC5685"/>
    <w:pPr>
      <w:keepLines/>
      <w:tabs>
        <w:tab w:val="left" w:pos="567"/>
      </w:tabs>
      <w:spacing w:after="120"/>
    </w:pPr>
    <w:rPr>
      <w:rFonts w:ascii="Calibri" w:eastAsiaTheme="minorHAnsi" w:hAnsi="Calibri" w:cs="Calibri"/>
      <w:color w:val="000000"/>
      <w:szCs w:val="20"/>
      <w:lang w:val="de-DE"/>
    </w:rPr>
  </w:style>
  <w:style w:type="paragraph" w:customStyle="1" w:styleId="nachFIG">
    <w:name w:val="nach FIG"/>
    <w:basedOn w:val="Normalny"/>
    <w:next w:val="Normalny"/>
    <w:rsid w:val="00DC5685"/>
    <w:pPr>
      <w:keepLines/>
      <w:ind w:left="1134"/>
    </w:pPr>
    <w:rPr>
      <w:rFonts w:ascii="Calibri" w:eastAsiaTheme="minorHAnsi" w:hAnsi="Calibri" w:cs="Calibri"/>
      <w:szCs w:val="20"/>
      <w:lang w:val="de-DE"/>
    </w:rPr>
  </w:style>
  <w:style w:type="paragraph" w:customStyle="1" w:styleId="ANormal">
    <w:name w:val="A_Normal"/>
    <w:rsid w:val="00DC5685"/>
    <w:pPr>
      <w:jc w:val="both"/>
    </w:pPr>
    <w:rPr>
      <w:sz w:val="22"/>
    </w:rPr>
  </w:style>
  <w:style w:type="paragraph" w:customStyle="1" w:styleId="Normaltextblock">
    <w:name w:val="Normal text block"/>
    <w:basedOn w:val="Normaltext"/>
    <w:rsid w:val="00DC5685"/>
    <w:pPr>
      <w:overflowPunct/>
      <w:autoSpaceDE/>
      <w:autoSpaceDN/>
      <w:adjustRightInd/>
      <w:textAlignment w:val="auto"/>
    </w:pPr>
    <w:rPr>
      <w:color w:val="000000"/>
      <w:lang w:val="en-GB"/>
    </w:rPr>
  </w:style>
  <w:style w:type="paragraph" w:customStyle="1" w:styleId="Normal11left">
    <w:name w:val="Normal 11 left"/>
    <w:basedOn w:val="Normalny"/>
    <w:rsid w:val="00DC5685"/>
    <w:pPr>
      <w:keepLines/>
    </w:pPr>
    <w:rPr>
      <w:rFonts w:ascii="Calibri" w:eastAsiaTheme="minorHAnsi" w:hAnsi="Calibri" w:cs="Calibri"/>
      <w:szCs w:val="20"/>
      <w:lang w:val="en-AU"/>
    </w:rPr>
  </w:style>
  <w:style w:type="paragraph" w:customStyle="1" w:styleId="ATOC1">
    <w:name w:val="A_TOC1"/>
    <w:basedOn w:val="Spistreci1"/>
    <w:rsid w:val="00DC5685"/>
    <w:pPr>
      <w:tabs>
        <w:tab w:val="clear" w:pos="1701"/>
        <w:tab w:val="clear" w:pos="9072"/>
        <w:tab w:val="right" w:pos="9468"/>
      </w:tabs>
      <w:spacing w:before="0" w:after="0"/>
      <w:ind w:left="0" w:right="0" w:firstLine="0"/>
    </w:pPr>
    <w:rPr>
      <w:rFonts w:ascii="Calibri" w:eastAsiaTheme="minorHAnsi" w:hAnsi="Calibri" w:cs="Calibri"/>
      <w:b w:val="0"/>
      <w:caps/>
      <w:noProof w:val="0"/>
      <w:color w:val="000000"/>
      <w:sz w:val="22"/>
      <w:lang w:val="en-US"/>
    </w:rPr>
  </w:style>
  <w:style w:type="paragraph" w:customStyle="1" w:styleId="Normal1">
    <w:name w:val="Normal 1"/>
    <w:basedOn w:val="Normalny"/>
    <w:rsid w:val="00DC5685"/>
    <w:pPr>
      <w:keepLines/>
      <w:tabs>
        <w:tab w:val="left" w:pos="567"/>
      </w:tabs>
      <w:spacing w:after="120"/>
      <w:ind w:left="567"/>
    </w:pPr>
    <w:rPr>
      <w:rFonts w:ascii="Calibri" w:eastAsiaTheme="minorHAnsi" w:hAnsi="Calibri" w:cs="Calibri"/>
      <w:szCs w:val="20"/>
      <w:lang w:val="de-DE"/>
    </w:rPr>
  </w:style>
  <w:style w:type="paragraph" w:customStyle="1" w:styleId="Normal-TitleItal">
    <w:name w:val="Normal-Title_Ital"/>
    <w:basedOn w:val="Normalny"/>
    <w:rsid w:val="00DC5685"/>
    <w:pPr>
      <w:keepNext/>
      <w:keepLines/>
      <w:suppressAutoHyphens/>
      <w:overflowPunct w:val="0"/>
      <w:autoSpaceDE w:val="0"/>
      <w:autoSpaceDN w:val="0"/>
      <w:adjustRightInd w:val="0"/>
      <w:spacing w:before="240" w:after="60"/>
      <w:ind w:left="1758" w:hanging="1758"/>
      <w:textAlignment w:val="baseline"/>
    </w:pPr>
    <w:rPr>
      <w:rFonts w:ascii="Calibri" w:eastAsiaTheme="minorHAnsi" w:hAnsi="Calibri" w:cs="Calibri"/>
      <w:i/>
      <w:szCs w:val="20"/>
      <w:lang w:val="de-DE"/>
    </w:rPr>
  </w:style>
  <w:style w:type="paragraph" w:customStyle="1" w:styleId="U">
    <w:name w:val="Uš"/>
    <w:rsid w:val="00DC5685"/>
    <w:pPr>
      <w:spacing w:line="240" w:lineRule="atLeast"/>
    </w:pPr>
    <w:rPr>
      <w:rFonts w:ascii="Letter Gothic" w:hAnsi="Letter Gothic"/>
      <w:b/>
      <w:sz w:val="24"/>
      <w:u w:val="single"/>
      <w:lang w:val="de-DE"/>
    </w:rPr>
  </w:style>
  <w:style w:type="paragraph" w:customStyle="1" w:styleId="OmniPage17">
    <w:name w:val="OmniPage #17"/>
    <w:basedOn w:val="Normalny"/>
    <w:rsid w:val="00DC5685"/>
    <w:pPr>
      <w:keepLines/>
      <w:spacing w:line="600" w:lineRule="exact"/>
    </w:pPr>
    <w:rPr>
      <w:rFonts w:ascii="Calibri" w:eastAsiaTheme="minorHAnsi" w:hAnsi="Calibri" w:cs="Calibri"/>
      <w:sz w:val="24"/>
      <w:szCs w:val="20"/>
      <w:lang w:val="de-DE"/>
    </w:rPr>
  </w:style>
  <w:style w:type="paragraph" w:customStyle="1" w:styleId="OmniPage1029">
    <w:name w:val="OmniPage #1029"/>
    <w:basedOn w:val="Normalny"/>
    <w:rsid w:val="00DC5685"/>
    <w:pPr>
      <w:keepLines/>
      <w:tabs>
        <w:tab w:val="left" w:pos="3701"/>
        <w:tab w:val="right" w:pos="10186"/>
      </w:tabs>
      <w:overflowPunct w:val="0"/>
      <w:autoSpaceDE w:val="0"/>
      <w:autoSpaceDN w:val="0"/>
      <w:adjustRightInd w:val="0"/>
      <w:ind w:left="1018" w:right="100"/>
      <w:textAlignment w:val="baseline"/>
    </w:pPr>
    <w:rPr>
      <w:rFonts w:ascii="Courier New" w:eastAsiaTheme="minorHAnsi" w:hAnsi="Courier New" w:cs="Calibri"/>
      <w:noProof/>
      <w:sz w:val="24"/>
      <w:szCs w:val="20"/>
      <w:lang w:val="de-DE"/>
    </w:rPr>
  </w:style>
  <w:style w:type="paragraph" w:customStyle="1" w:styleId="OmniPage1286">
    <w:name w:val="OmniPage #1286"/>
    <w:basedOn w:val="Normalny"/>
    <w:rsid w:val="00DC5685"/>
    <w:pPr>
      <w:keepLines/>
      <w:tabs>
        <w:tab w:val="left" w:pos="4032"/>
        <w:tab w:val="right" w:pos="10100"/>
      </w:tabs>
      <w:overflowPunct w:val="0"/>
      <w:autoSpaceDE w:val="0"/>
      <w:autoSpaceDN w:val="0"/>
      <w:adjustRightInd w:val="0"/>
      <w:ind w:left="1270" w:right="100"/>
      <w:textAlignment w:val="baseline"/>
    </w:pPr>
    <w:rPr>
      <w:rFonts w:ascii="Courier New" w:eastAsiaTheme="minorHAnsi" w:hAnsi="Courier New" w:cs="Calibri"/>
      <w:noProof/>
      <w:sz w:val="24"/>
      <w:szCs w:val="20"/>
      <w:lang w:val="de-DE"/>
    </w:rPr>
  </w:style>
  <w:style w:type="paragraph" w:customStyle="1" w:styleId="OmniPage7170">
    <w:name w:val="OmniPage #7170"/>
    <w:basedOn w:val="Normalny"/>
    <w:rsid w:val="00DC5685"/>
    <w:pPr>
      <w:keepLines/>
      <w:overflowPunct w:val="0"/>
      <w:autoSpaceDE w:val="0"/>
      <w:autoSpaceDN w:val="0"/>
      <w:adjustRightInd w:val="0"/>
      <w:ind w:left="1530" w:right="107"/>
      <w:textAlignment w:val="baseline"/>
    </w:pPr>
    <w:rPr>
      <w:rFonts w:ascii="Arial" w:eastAsiaTheme="minorHAnsi" w:hAnsi="Arial" w:cs="Calibri"/>
      <w:noProof/>
      <w:sz w:val="24"/>
      <w:szCs w:val="20"/>
      <w:lang w:val="de-DE"/>
    </w:rPr>
  </w:style>
  <w:style w:type="paragraph" w:customStyle="1" w:styleId="TableHeadings">
    <w:name w:val="Table Headings"/>
    <w:basedOn w:val="Normalny"/>
    <w:next w:val="Normalny"/>
    <w:rsid w:val="00DC5685"/>
    <w:pPr>
      <w:keepLines/>
      <w:overflowPunct w:val="0"/>
      <w:autoSpaceDE w:val="0"/>
      <w:autoSpaceDN w:val="0"/>
      <w:adjustRightInd w:val="0"/>
      <w:spacing w:before="120" w:after="120"/>
      <w:jc w:val="center"/>
      <w:textAlignment w:val="baseline"/>
    </w:pPr>
    <w:rPr>
      <w:rFonts w:ascii="Arial" w:eastAsiaTheme="minorHAnsi" w:hAnsi="Arial" w:cs="Calibri"/>
      <w:sz w:val="24"/>
      <w:szCs w:val="20"/>
      <w:lang w:val="de-DE"/>
    </w:rPr>
  </w:style>
  <w:style w:type="paragraph" w:customStyle="1" w:styleId="Tableheadings0">
    <w:name w:val="Table headings"/>
    <w:basedOn w:val="Nagwek4"/>
    <w:rsid w:val="00DC5685"/>
    <w:pPr>
      <w:keepNext w:val="0"/>
      <w:keepLines/>
      <w:numPr>
        <w:ilvl w:val="0"/>
        <w:numId w:val="0"/>
      </w:numPr>
      <w:overflowPunct w:val="0"/>
      <w:autoSpaceDE w:val="0"/>
      <w:autoSpaceDN w:val="0"/>
      <w:adjustRightInd w:val="0"/>
      <w:spacing w:before="0" w:after="120"/>
      <w:ind w:left="1588" w:hanging="1588"/>
      <w:jc w:val="left"/>
      <w:textAlignment w:val="baseline"/>
    </w:pPr>
    <w:rPr>
      <w:rFonts w:cs="Arial"/>
      <w:szCs w:val="20"/>
      <w:lang w:val="en-GB"/>
    </w:rPr>
  </w:style>
  <w:style w:type="paragraph" w:customStyle="1" w:styleId="OmniPage3075">
    <w:name w:val="OmniPage #3075"/>
    <w:basedOn w:val="Normalny"/>
    <w:rsid w:val="00DC5685"/>
    <w:pPr>
      <w:keepLines/>
      <w:overflowPunct w:val="0"/>
      <w:autoSpaceDE w:val="0"/>
      <w:autoSpaceDN w:val="0"/>
      <w:adjustRightInd w:val="0"/>
      <w:ind w:left="1212" w:right="211" w:firstLine="736"/>
      <w:textAlignment w:val="baseline"/>
    </w:pPr>
    <w:rPr>
      <w:rFonts w:ascii="Arial" w:eastAsiaTheme="minorHAnsi" w:hAnsi="Arial" w:cs="Calibri"/>
      <w:noProof/>
      <w:sz w:val="24"/>
      <w:szCs w:val="20"/>
      <w:lang w:val="de-DE"/>
    </w:rPr>
  </w:style>
  <w:style w:type="paragraph" w:customStyle="1" w:styleId="OmniPage3077">
    <w:name w:val="OmniPage #3077"/>
    <w:basedOn w:val="Normalny"/>
    <w:rsid w:val="00DC5685"/>
    <w:pPr>
      <w:keepLines/>
      <w:overflowPunct w:val="0"/>
      <w:autoSpaceDE w:val="0"/>
      <w:autoSpaceDN w:val="0"/>
      <w:adjustRightInd w:val="0"/>
      <w:ind w:left="1665" w:right="563" w:firstLine="606"/>
      <w:textAlignment w:val="baseline"/>
    </w:pPr>
    <w:rPr>
      <w:rFonts w:ascii="Arial" w:eastAsiaTheme="minorHAnsi" w:hAnsi="Arial" w:cs="Calibri"/>
      <w:noProof/>
      <w:sz w:val="24"/>
      <w:szCs w:val="20"/>
      <w:lang w:val="de-DE"/>
    </w:rPr>
  </w:style>
  <w:style w:type="paragraph" w:customStyle="1" w:styleId="OmniPage3845">
    <w:name w:val="OmniPage #3845"/>
    <w:basedOn w:val="Normalny"/>
    <w:rsid w:val="00DC5685"/>
    <w:pPr>
      <w:keepLines/>
      <w:overflowPunct w:val="0"/>
      <w:autoSpaceDE w:val="0"/>
      <w:autoSpaceDN w:val="0"/>
      <w:adjustRightInd w:val="0"/>
      <w:ind w:left="1647" w:right="528" w:firstLine="604"/>
      <w:textAlignment w:val="baseline"/>
    </w:pPr>
    <w:rPr>
      <w:rFonts w:ascii="Arial" w:eastAsiaTheme="minorHAnsi" w:hAnsi="Arial" w:cs="Calibri"/>
      <w:noProof/>
      <w:sz w:val="24"/>
      <w:szCs w:val="20"/>
      <w:lang w:val="de-DE"/>
    </w:rPr>
  </w:style>
  <w:style w:type="paragraph" w:customStyle="1" w:styleId="OmniPage4100">
    <w:name w:val="OmniPage #4100"/>
    <w:basedOn w:val="Normalny"/>
    <w:rsid w:val="00DC5685"/>
    <w:pPr>
      <w:keepLines/>
      <w:overflowPunct w:val="0"/>
      <w:autoSpaceDE w:val="0"/>
      <w:autoSpaceDN w:val="0"/>
      <w:adjustRightInd w:val="0"/>
      <w:ind w:left="1649" w:right="523" w:firstLine="603"/>
      <w:textAlignment w:val="baseline"/>
    </w:pPr>
    <w:rPr>
      <w:rFonts w:ascii="Arial" w:eastAsiaTheme="minorHAnsi" w:hAnsi="Arial" w:cs="Calibri"/>
      <w:noProof/>
      <w:sz w:val="24"/>
      <w:szCs w:val="20"/>
      <w:lang w:val="de-DE"/>
    </w:rPr>
  </w:style>
  <w:style w:type="paragraph" w:customStyle="1" w:styleId="StudyCitIndent">
    <w:name w:val="Study Cit. Indent"/>
    <w:basedOn w:val="Normalny"/>
    <w:rsid w:val="00DC5685"/>
    <w:pPr>
      <w:keepLines/>
      <w:spacing w:after="120"/>
      <w:ind w:left="1559" w:hanging="1559"/>
    </w:pPr>
    <w:rPr>
      <w:rFonts w:ascii="Calibri" w:eastAsiaTheme="minorHAnsi" w:hAnsi="Calibri" w:cs="Calibri"/>
      <w:szCs w:val="20"/>
      <w:lang w:val="de-DE"/>
    </w:rPr>
  </w:style>
  <w:style w:type="paragraph" w:customStyle="1" w:styleId="StudyCitnoIndent">
    <w:name w:val="Study Cit. no Indent"/>
    <w:basedOn w:val="Normalny"/>
    <w:rsid w:val="00DC5685"/>
    <w:pPr>
      <w:keepLines/>
      <w:tabs>
        <w:tab w:val="left" w:pos="1559"/>
      </w:tabs>
      <w:spacing w:after="120"/>
    </w:pPr>
    <w:rPr>
      <w:rFonts w:ascii="Calibri" w:eastAsiaTheme="minorHAnsi" w:hAnsi="Calibri" w:cs="Calibri"/>
      <w:szCs w:val="20"/>
      <w:lang w:val="de-DE"/>
    </w:rPr>
  </w:style>
  <w:style w:type="paragraph" w:customStyle="1" w:styleId="OmniPage3083">
    <w:name w:val="OmniPage #3083"/>
    <w:basedOn w:val="Normalny"/>
    <w:rsid w:val="00DC5685"/>
    <w:pPr>
      <w:keepLines/>
      <w:tabs>
        <w:tab w:val="left" w:pos="792"/>
        <w:tab w:val="left" w:leader="dot" w:pos="3573"/>
        <w:tab w:val="right" w:pos="9724"/>
      </w:tabs>
      <w:ind w:left="2032" w:right="102"/>
    </w:pPr>
    <w:rPr>
      <w:rFonts w:ascii="Calibri" w:eastAsiaTheme="minorHAnsi" w:hAnsi="Calibri" w:cs="Calibri"/>
      <w:noProof/>
      <w:sz w:val="24"/>
      <w:szCs w:val="20"/>
      <w:lang w:val="de-DE"/>
    </w:rPr>
  </w:style>
  <w:style w:type="paragraph" w:customStyle="1" w:styleId="OmniPage3859">
    <w:name w:val="OmniPage #3859"/>
    <w:basedOn w:val="Normalny"/>
    <w:rsid w:val="00DC5685"/>
    <w:pPr>
      <w:keepLines/>
      <w:tabs>
        <w:tab w:val="left" w:pos="5597"/>
        <w:tab w:val="left" w:pos="8908"/>
        <w:tab w:val="right" w:pos="9678"/>
      </w:tabs>
      <w:ind w:left="1935" w:right="100"/>
    </w:pPr>
    <w:rPr>
      <w:rFonts w:ascii="Calibri" w:eastAsiaTheme="minorHAnsi" w:hAnsi="Calibri" w:cs="Calibri"/>
      <w:noProof/>
      <w:sz w:val="24"/>
      <w:szCs w:val="20"/>
      <w:lang w:val="de-DE"/>
    </w:rPr>
  </w:style>
  <w:style w:type="paragraph" w:customStyle="1" w:styleId="OmniPage2562">
    <w:name w:val="OmniPage #2562"/>
    <w:basedOn w:val="Normalny"/>
    <w:rsid w:val="00DC5685"/>
    <w:pPr>
      <w:keepLines/>
      <w:overflowPunct w:val="0"/>
      <w:autoSpaceDE w:val="0"/>
      <w:autoSpaceDN w:val="0"/>
      <w:adjustRightInd w:val="0"/>
      <w:ind w:left="1669" w:right="524"/>
      <w:textAlignment w:val="baseline"/>
    </w:pPr>
    <w:rPr>
      <w:rFonts w:ascii="Arial" w:eastAsiaTheme="minorHAnsi" w:hAnsi="Arial" w:cs="Calibri"/>
      <w:noProof/>
      <w:sz w:val="24"/>
      <w:szCs w:val="20"/>
      <w:lang w:val="de-DE"/>
    </w:rPr>
  </w:style>
  <w:style w:type="paragraph" w:customStyle="1" w:styleId="OmniPage2050">
    <w:name w:val="OmniPage #2050"/>
    <w:basedOn w:val="Normalny"/>
    <w:rsid w:val="00DC5685"/>
    <w:pPr>
      <w:keepLines/>
      <w:overflowPunct w:val="0"/>
      <w:autoSpaceDE w:val="0"/>
      <w:autoSpaceDN w:val="0"/>
      <w:adjustRightInd w:val="0"/>
      <w:ind w:left="1111" w:right="214"/>
      <w:textAlignment w:val="baseline"/>
    </w:pPr>
    <w:rPr>
      <w:rFonts w:ascii="Arial" w:eastAsiaTheme="minorHAnsi" w:hAnsi="Arial" w:cs="Calibri"/>
      <w:noProof/>
      <w:sz w:val="24"/>
      <w:szCs w:val="20"/>
      <w:lang w:val="de-DE"/>
    </w:rPr>
  </w:style>
  <w:style w:type="paragraph" w:customStyle="1" w:styleId="OmniPage2311">
    <w:name w:val="OmniPage #2311"/>
    <w:basedOn w:val="Normalny"/>
    <w:rsid w:val="00DC5685"/>
    <w:pPr>
      <w:keepLines/>
      <w:tabs>
        <w:tab w:val="right" w:pos="10105"/>
      </w:tabs>
      <w:ind w:left="972" w:right="367"/>
    </w:pPr>
    <w:rPr>
      <w:rFonts w:ascii="Arial" w:eastAsiaTheme="minorHAnsi" w:hAnsi="Arial" w:cs="Calibri"/>
      <w:noProof/>
      <w:sz w:val="24"/>
      <w:szCs w:val="20"/>
      <w:lang w:val="de-DE"/>
    </w:rPr>
  </w:style>
  <w:style w:type="paragraph" w:customStyle="1" w:styleId="OmniPage3844">
    <w:name w:val="OmniPage #3844"/>
    <w:basedOn w:val="Normalny"/>
    <w:rsid w:val="00DC5685"/>
    <w:pPr>
      <w:keepLines/>
      <w:ind w:left="1985" w:right="220"/>
    </w:pPr>
    <w:rPr>
      <w:rFonts w:ascii="Calibri" w:eastAsiaTheme="minorHAnsi" w:hAnsi="Calibri" w:cs="Calibri"/>
      <w:noProof/>
      <w:sz w:val="24"/>
      <w:szCs w:val="20"/>
      <w:lang w:val="de-DE"/>
    </w:rPr>
  </w:style>
  <w:style w:type="paragraph" w:customStyle="1" w:styleId="Plainheading10ptinTOC">
    <w:name w:val="Plain heading 10pt in TOC"/>
    <w:basedOn w:val="Normalny"/>
    <w:rsid w:val="00DC5685"/>
    <w:pPr>
      <w:keepNext/>
      <w:keepLines/>
      <w:spacing w:before="240"/>
    </w:pPr>
    <w:rPr>
      <w:rFonts w:ascii="Arial Bold" w:eastAsiaTheme="minorHAnsi" w:hAnsi="Arial Bold" w:cs="Calibri"/>
      <w:b/>
      <w:sz w:val="24"/>
      <w:szCs w:val="20"/>
      <w:lang w:val="de-DE"/>
    </w:rPr>
  </w:style>
  <w:style w:type="paragraph" w:customStyle="1" w:styleId="PlainHeading2inTOC">
    <w:name w:val="Plain Heading 2 (in TOC)"/>
    <w:basedOn w:val="Normalny"/>
    <w:next w:val="Zwykytekst"/>
    <w:autoRedefine/>
    <w:rsid w:val="00DC5685"/>
    <w:pPr>
      <w:keepNext/>
      <w:keepLines/>
      <w:tabs>
        <w:tab w:val="left" w:pos="1077"/>
        <w:tab w:val="left" w:pos="1440"/>
      </w:tabs>
      <w:overflowPunct w:val="0"/>
      <w:autoSpaceDE w:val="0"/>
      <w:autoSpaceDN w:val="0"/>
      <w:adjustRightInd w:val="0"/>
      <w:spacing w:before="120" w:after="200"/>
      <w:textAlignment w:val="baseline"/>
    </w:pPr>
    <w:rPr>
      <w:rFonts w:ascii="Arial" w:eastAsiaTheme="minorHAnsi" w:hAnsi="Arial" w:cs="Calibri"/>
      <w:b/>
      <w:sz w:val="26"/>
      <w:szCs w:val="20"/>
      <w:lang w:val="de-DE"/>
    </w:rPr>
  </w:style>
  <w:style w:type="paragraph" w:customStyle="1" w:styleId="PlainHeading12ptnotinTOC">
    <w:name w:val="Plain Heading 12pt (not in TOC)"/>
    <w:basedOn w:val="Normalny"/>
    <w:next w:val="Normalny"/>
    <w:autoRedefine/>
    <w:rsid w:val="00DC5685"/>
    <w:pPr>
      <w:keepNext/>
      <w:keepLines/>
      <w:spacing w:before="240"/>
    </w:pPr>
    <w:rPr>
      <w:rFonts w:ascii="Arial Bold" w:eastAsiaTheme="minorHAnsi" w:hAnsi="Arial Bold" w:cs="Calibri"/>
      <w:b/>
      <w:sz w:val="24"/>
      <w:szCs w:val="20"/>
      <w:lang w:val="de-DE"/>
    </w:rPr>
  </w:style>
  <w:style w:type="paragraph" w:customStyle="1" w:styleId="PlainHeading10ptnotinTOC">
    <w:name w:val="Plain Heading 10pt not in TOC"/>
    <w:basedOn w:val="PlainHeading10pt"/>
    <w:next w:val="Normalny"/>
    <w:rsid w:val="00DC5685"/>
  </w:style>
  <w:style w:type="paragraph" w:customStyle="1" w:styleId="xl24">
    <w:name w:val="xl24"/>
    <w:basedOn w:val="Normalny"/>
    <w:rsid w:val="00DC5685"/>
    <w:pPr>
      <w:keepLines/>
      <w:spacing w:before="100" w:beforeAutospacing="1" w:after="100" w:afterAutospacing="1"/>
      <w:jc w:val="center"/>
    </w:pPr>
    <w:rPr>
      <w:rFonts w:ascii="Arial Unicode MS" w:eastAsia="Arial Unicode MS" w:hAnsi="Arial Unicode MS" w:cs="Arial Unicode MS"/>
      <w:sz w:val="24"/>
      <w:szCs w:val="20"/>
      <w:lang w:val="de-DE"/>
    </w:rPr>
  </w:style>
  <w:style w:type="character" w:customStyle="1" w:styleId="FootnoteTextChar1">
    <w:name w:val="Footnote Text Char1"/>
    <w:aliases w:val="Tabellenanmerkung Char,GAB-Footnotes +Tab Char,Reference Char,Footnotes standard 9 GAB Char1,Tabellenanmerkung Char1,FT Char1,EFSA op_Footnote Char1,FEEDAP Op_Footnote Char1,GAB-Footnotes +Tab Char1,Fußnotentext1 Char1"/>
    <w:rsid w:val="00DC5685"/>
  </w:style>
  <w:style w:type="character" w:customStyle="1" w:styleId="CharChar">
    <w:name w:val="Char Char"/>
    <w:locked/>
    <w:rsid w:val="00DC5685"/>
    <w:rPr>
      <w:lang w:val="en-GB" w:eastAsia="en-US" w:bidi="ar-SA"/>
    </w:rPr>
  </w:style>
  <w:style w:type="paragraph" w:customStyle="1" w:styleId="TableText8pt0">
    <w:name w:val="Table Text 8 pt"/>
    <w:basedOn w:val="TableText"/>
    <w:rsid w:val="00DC5685"/>
    <w:rPr>
      <w:sz w:val="16"/>
    </w:rPr>
  </w:style>
  <w:style w:type="paragraph" w:customStyle="1" w:styleId="BodyText23">
    <w:name w:val="Body Text 23"/>
    <w:basedOn w:val="Normalny"/>
    <w:link w:val="BodyText23Char"/>
    <w:rsid w:val="00DC5685"/>
    <w:pPr>
      <w:keepLines/>
      <w:tabs>
        <w:tab w:val="left" w:pos="851"/>
        <w:tab w:val="left" w:pos="5387"/>
      </w:tabs>
      <w:spacing w:line="-240" w:lineRule="auto"/>
    </w:pPr>
    <w:rPr>
      <w:rFonts w:ascii="Calibri" w:eastAsiaTheme="minorHAnsi" w:hAnsi="Calibri" w:cs="Calibri"/>
      <w:sz w:val="24"/>
      <w:szCs w:val="20"/>
      <w:lang w:val="de-DE"/>
    </w:rPr>
  </w:style>
  <w:style w:type="character" w:customStyle="1" w:styleId="BodyText23Char">
    <w:name w:val="Body Text 23 Char"/>
    <w:link w:val="BodyText23"/>
    <w:rsid w:val="00DC5685"/>
    <w:rPr>
      <w:rFonts w:ascii="Calibri" w:eastAsiaTheme="minorHAnsi" w:hAnsi="Calibri" w:cs="Calibri"/>
      <w:sz w:val="24"/>
      <w:lang w:val="de-DE"/>
    </w:rPr>
  </w:style>
  <w:style w:type="character" w:customStyle="1" w:styleId="TableHeaderCenter9ptCharChar">
    <w:name w:val="Table Header Center 9pt Char Char"/>
    <w:link w:val="TableHeaderCenter9pt"/>
    <w:rsid w:val="00DC5685"/>
    <w:rPr>
      <w:rFonts w:ascii="Calibri" w:eastAsiaTheme="minorHAnsi" w:hAnsi="Calibri" w:cs="Calibri"/>
      <w:b/>
      <w:sz w:val="18"/>
      <w:lang w:val="de-DE"/>
    </w:rPr>
  </w:style>
  <w:style w:type="character" w:customStyle="1" w:styleId="ZwykytekstZnak">
    <w:name w:val="Zwykły tekst Znak"/>
    <w:link w:val="Zwykytekst"/>
    <w:rsid w:val="00DC5685"/>
    <w:rPr>
      <w:rFonts w:ascii="Courier New" w:hAnsi="Courier New" w:cs="Courier New"/>
    </w:rPr>
  </w:style>
  <w:style w:type="paragraph" w:customStyle="1" w:styleId="PlainHeading2">
    <w:name w:val="Plain Heading 2"/>
    <w:basedOn w:val="Normalny"/>
    <w:next w:val="Zwykytekst"/>
    <w:rsid w:val="00DC5685"/>
    <w:pPr>
      <w:keepLines/>
      <w:tabs>
        <w:tab w:val="left" w:pos="1077"/>
        <w:tab w:val="left" w:pos="1440"/>
      </w:tabs>
      <w:overflowPunct w:val="0"/>
      <w:autoSpaceDE w:val="0"/>
      <w:autoSpaceDN w:val="0"/>
      <w:adjustRightInd w:val="0"/>
      <w:spacing w:after="200"/>
      <w:textAlignment w:val="baseline"/>
    </w:pPr>
    <w:rPr>
      <w:rFonts w:ascii="Arial" w:eastAsiaTheme="minorHAnsi" w:hAnsi="Arial" w:cs="Calibri"/>
      <w:b/>
      <w:sz w:val="26"/>
      <w:szCs w:val="20"/>
      <w:lang w:val="de-DE"/>
    </w:rPr>
  </w:style>
  <w:style w:type="character" w:customStyle="1" w:styleId="oCharChar2">
    <w:name w:val="o Char Char2"/>
    <w:rsid w:val="00DC5685"/>
    <w:rPr>
      <w:rFonts w:ascii="Arial Bold" w:hAnsi="Arial Bold"/>
      <w:b/>
      <w:bCs/>
      <w:lang w:val="en-GB" w:eastAsia="en-US" w:bidi="ar-SA"/>
    </w:rPr>
  </w:style>
  <w:style w:type="character" w:customStyle="1" w:styleId="CaptionChar">
    <w:name w:val="Caption Char"/>
    <w:rsid w:val="00DC5685"/>
    <w:rPr>
      <w:rFonts w:ascii="Arial Bold" w:hAnsi="Arial Bold"/>
      <w:b/>
      <w:bCs/>
      <w:lang w:val="en-GB" w:eastAsia="en-US" w:bidi="ar-SA"/>
    </w:rPr>
  </w:style>
  <w:style w:type="character" w:customStyle="1" w:styleId="oChar">
    <w:name w:val="o Char"/>
    <w:aliases w:val="o + Links Char Char,Überschrift1 Char,Tolyl Char,Beschriftung Char Char,Beschriftung Char1 Char Char,Beschriftung Char Char Char Char, Char Char Char, Char Char1,Char Char Char,Char Char Char1"/>
    <w:rsid w:val="00DC5685"/>
    <w:rPr>
      <w:rFonts w:ascii="Arial Bold" w:hAnsi="Arial Bold"/>
      <w:b/>
      <w:bCs/>
      <w:lang w:val="en-GB" w:eastAsia="en-US" w:bidi="ar-SA"/>
    </w:rPr>
  </w:style>
  <w:style w:type="paragraph" w:customStyle="1" w:styleId="HeadingAnnex">
    <w:name w:val="Heading Annex"/>
    <w:basedOn w:val="Normalny"/>
    <w:next w:val="Normalny"/>
    <w:rsid w:val="00DC5685"/>
    <w:pPr>
      <w:keepLines/>
      <w:autoSpaceDE w:val="0"/>
      <w:autoSpaceDN w:val="0"/>
      <w:jc w:val="center"/>
    </w:pPr>
    <w:rPr>
      <w:rFonts w:ascii="Arial" w:eastAsiaTheme="minorHAnsi" w:hAnsi="Arial" w:cs="Arial"/>
      <w:b/>
      <w:bCs/>
      <w:color w:val="000000"/>
      <w:sz w:val="28"/>
      <w:szCs w:val="28"/>
      <w:lang w:val="de-DE" w:eastAsia="en-GB"/>
    </w:rPr>
  </w:style>
  <w:style w:type="paragraph" w:customStyle="1" w:styleId="OECD-Title-page">
    <w:name w:val="OECD-Title-page"/>
    <w:next w:val="Normalny"/>
    <w:autoRedefine/>
    <w:rsid w:val="00DC5685"/>
    <w:pPr>
      <w:spacing w:before="120" w:after="120"/>
      <w:jc w:val="center"/>
    </w:pPr>
    <w:rPr>
      <w:b/>
      <w:bCs/>
      <w:sz w:val="32"/>
      <w:szCs w:val="28"/>
      <w:lang w:val="en-GB"/>
    </w:rPr>
  </w:style>
  <w:style w:type="paragraph" w:customStyle="1" w:styleId="StyleOECD-Title-page18pt">
    <w:name w:val="Style OECD-Title-page + 18 pt"/>
    <w:basedOn w:val="OECD-Title-page"/>
    <w:rsid w:val="00DC5685"/>
    <w:rPr>
      <w:sz w:val="36"/>
    </w:rPr>
  </w:style>
  <w:style w:type="paragraph" w:customStyle="1" w:styleId="OECD-table-title-bold">
    <w:name w:val="OECD-table-title-bold"/>
    <w:link w:val="OECD-table-title-boldZchn"/>
    <w:rsid w:val="00DC5685"/>
    <w:pPr>
      <w:keepNext/>
      <w:spacing w:before="40" w:after="40"/>
      <w:ind w:left="57"/>
    </w:pPr>
    <w:rPr>
      <w:bCs/>
      <w:spacing w:val="-2"/>
      <w:sz w:val="22"/>
      <w:szCs w:val="22"/>
      <w:lang w:eastAsia="de-DE"/>
    </w:rPr>
  </w:style>
  <w:style w:type="character" w:customStyle="1" w:styleId="PlainHeading10ptChar">
    <w:name w:val="Plain Heading 10pt Char"/>
    <w:link w:val="PlainHeading10pt"/>
    <w:rsid w:val="00DC5685"/>
    <w:rPr>
      <w:rFonts w:ascii="Arial Bold" w:eastAsiaTheme="minorHAnsi" w:hAnsi="Arial Bold" w:cs="Calibri"/>
      <w:b/>
      <w:sz w:val="24"/>
      <w:lang w:val="de-DE"/>
    </w:rPr>
  </w:style>
  <w:style w:type="paragraph" w:customStyle="1" w:styleId="OECD-HeadLine1">
    <w:name w:val="OECD-HeadLine 1"/>
    <w:next w:val="Normalny"/>
    <w:rsid w:val="00DC5685"/>
    <w:pPr>
      <w:widowControl w:val="0"/>
      <w:spacing w:before="120" w:after="120"/>
      <w:ind w:left="1588" w:hanging="1588"/>
    </w:pPr>
    <w:rPr>
      <w:b/>
      <w:noProof/>
      <w:sz w:val="24"/>
      <w:lang w:val="en-GB"/>
    </w:rPr>
  </w:style>
  <w:style w:type="paragraph" w:customStyle="1" w:styleId="PlainHeading3">
    <w:name w:val="Plain Heading 3"/>
    <w:basedOn w:val="Normalny"/>
    <w:next w:val="Zwykytekst"/>
    <w:rsid w:val="00DC5685"/>
    <w:pPr>
      <w:keepLines/>
      <w:tabs>
        <w:tab w:val="left" w:pos="1077"/>
        <w:tab w:val="left" w:pos="1440"/>
      </w:tabs>
      <w:overflowPunct w:val="0"/>
      <w:autoSpaceDE w:val="0"/>
      <w:autoSpaceDN w:val="0"/>
      <w:adjustRightInd w:val="0"/>
      <w:spacing w:after="200"/>
      <w:textAlignment w:val="baseline"/>
    </w:pPr>
    <w:rPr>
      <w:rFonts w:ascii="Arial" w:eastAsiaTheme="minorHAnsi" w:hAnsi="Arial" w:cs="Calibri"/>
      <w:b/>
      <w:sz w:val="24"/>
      <w:szCs w:val="20"/>
      <w:lang w:val="de-DE"/>
    </w:rPr>
  </w:style>
  <w:style w:type="character" w:customStyle="1" w:styleId="TekstpodstawowyZnak">
    <w:name w:val="Tekst podstawowy Znak"/>
    <w:aliases w:val="style5 Znak,bt Znak"/>
    <w:link w:val="Tekstpodstawowy"/>
    <w:locked/>
    <w:rsid w:val="00DC5685"/>
    <w:rPr>
      <w:sz w:val="22"/>
      <w:szCs w:val="22"/>
    </w:rPr>
  </w:style>
  <w:style w:type="paragraph" w:customStyle="1" w:styleId="DLBody">
    <w:name w:val="DL Body"/>
    <w:basedOn w:val="Normalny"/>
    <w:rsid w:val="00DC5685"/>
    <w:pPr>
      <w:keepLines/>
      <w:tabs>
        <w:tab w:val="left" w:pos="1077"/>
        <w:tab w:val="left" w:pos="1440"/>
      </w:tabs>
      <w:overflowPunct w:val="0"/>
      <w:autoSpaceDE w:val="0"/>
      <w:autoSpaceDN w:val="0"/>
      <w:adjustRightInd w:val="0"/>
      <w:textAlignment w:val="baseline"/>
    </w:pPr>
    <w:rPr>
      <w:rFonts w:ascii="Calibri" w:eastAsiaTheme="minorHAnsi" w:hAnsi="Calibri" w:cs="Calibri"/>
      <w:sz w:val="24"/>
      <w:szCs w:val="20"/>
      <w:lang w:val="de-DE"/>
    </w:rPr>
  </w:style>
  <w:style w:type="paragraph" w:customStyle="1" w:styleId="TableHeaderCenter">
    <w:name w:val="Table Header Center"/>
    <w:basedOn w:val="TableText"/>
    <w:rsid w:val="00DC5685"/>
    <w:pPr>
      <w:keepNext/>
      <w:jc w:val="center"/>
    </w:pPr>
    <w:rPr>
      <w:b/>
    </w:rPr>
  </w:style>
  <w:style w:type="character" w:customStyle="1" w:styleId="TekstpodstawowywcityZnak">
    <w:name w:val="Tekst podstawowy wcięty Znak"/>
    <w:link w:val="Tekstpodstawowywcity"/>
    <w:rsid w:val="00DC5685"/>
    <w:rPr>
      <w:sz w:val="22"/>
      <w:szCs w:val="22"/>
    </w:rPr>
  </w:style>
  <w:style w:type="paragraph" w:customStyle="1" w:styleId="OECD-BASIS-TEXT-BLUE">
    <w:name w:val="OECD-BASIS-TEXT-BLUE"/>
    <w:basedOn w:val="OECD-BASIS-TEXT"/>
    <w:link w:val="OECD-BASIS-TEXT-BLUEChar"/>
    <w:rsid w:val="00DC5685"/>
    <w:rPr>
      <w:color w:val="0000FF"/>
    </w:rPr>
  </w:style>
  <w:style w:type="character" w:customStyle="1" w:styleId="OECD-BASIS-TEXT-BLUEChar">
    <w:name w:val="OECD-BASIS-TEXT-BLUE Char"/>
    <w:link w:val="OECD-BASIS-TEXT-BLUE"/>
    <w:rsid w:val="00DC5685"/>
    <w:rPr>
      <w:color w:val="0000FF"/>
      <w:sz w:val="24"/>
      <w:szCs w:val="22"/>
      <w:lang w:val="en-GB"/>
    </w:rPr>
  </w:style>
  <w:style w:type="paragraph" w:customStyle="1" w:styleId="OECD-BASIS-TEXT-RED">
    <w:name w:val="OECD-BASIS-TEXT-RED"/>
    <w:basedOn w:val="OECD-BASIS-TEXT"/>
    <w:rsid w:val="00DC5685"/>
    <w:rPr>
      <w:color w:val="FF0000"/>
    </w:rPr>
  </w:style>
  <w:style w:type="paragraph" w:customStyle="1" w:styleId="FootnoteFirst">
    <w:name w:val="Footnote First"/>
    <w:basedOn w:val="Normalny"/>
    <w:next w:val="Normalny"/>
    <w:rsid w:val="00DC5685"/>
    <w:pPr>
      <w:keepLines/>
      <w:spacing w:before="120"/>
    </w:pPr>
    <w:rPr>
      <w:rFonts w:ascii="Calibri" w:eastAsiaTheme="minorHAnsi" w:hAnsi="Calibri" w:cs="Calibri"/>
      <w:sz w:val="24"/>
      <w:szCs w:val="20"/>
      <w:lang w:val="de-DE"/>
    </w:rPr>
  </w:style>
  <w:style w:type="paragraph" w:customStyle="1" w:styleId="Heading">
    <w:name w:val="Heading"/>
    <w:basedOn w:val="Normalny"/>
    <w:next w:val="Normalny"/>
    <w:link w:val="HeadingChar"/>
    <w:rsid w:val="00DC5685"/>
    <w:pPr>
      <w:keepLines/>
    </w:pPr>
    <w:rPr>
      <w:rFonts w:ascii="Calibri" w:eastAsiaTheme="minorHAnsi" w:hAnsi="Calibri" w:cs="Calibri"/>
      <w:b/>
      <w:sz w:val="24"/>
      <w:szCs w:val="20"/>
      <w:lang w:val="de-DE"/>
    </w:rPr>
  </w:style>
  <w:style w:type="character" w:customStyle="1" w:styleId="HeadingChar">
    <w:name w:val="Heading Char"/>
    <w:link w:val="Heading"/>
    <w:rsid w:val="00DC5685"/>
    <w:rPr>
      <w:rFonts w:ascii="Calibri" w:eastAsiaTheme="minorHAnsi" w:hAnsi="Calibri" w:cs="Calibri"/>
      <w:b/>
      <w:sz w:val="24"/>
      <w:lang w:val="de-DE"/>
    </w:rPr>
  </w:style>
  <w:style w:type="paragraph" w:customStyle="1" w:styleId="TableHeader">
    <w:name w:val="Table Header"/>
    <w:basedOn w:val="Spisilustracji"/>
    <w:rsid w:val="00DC5685"/>
    <w:pPr>
      <w:keepLines/>
      <w:spacing w:before="40"/>
    </w:pPr>
    <w:rPr>
      <w:rFonts w:ascii="Calibri" w:eastAsiaTheme="minorHAnsi" w:hAnsi="Calibri" w:cs="Calibri"/>
      <w:b/>
      <w:sz w:val="24"/>
      <w:szCs w:val="20"/>
      <w:lang w:val="de-DE"/>
    </w:rPr>
  </w:style>
  <w:style w:type="character" w:customStyle="1" w:styleId="FootnoteReferenceBoldItalicBlack">
    <w:name w:val="Footnote Reference +Bold Italic Black"/>
    <w:rsid w:val="00DC5685"/>
    <w:rPr>
      <w:rFonts w:ascii="Times New Roman" w:hAnsi="Times New Roman"/>
      <w:b/>
      <w:bCs/>
      <w:i/>
      <w:iCs/>
      <w:color w:val="000000"/>
      <w:sz w:val="20"/>
      <w:vertAlign w:val="superscript"/>
    </w:rPr>
  </w:style>
  <w:style w:type="character" w:customStyle="1" w:styleId="FootnoteReferenceBoldItalicBlack0">
    <w:name w:val="Footnote Reference + Bold Italic Black"/>
    <w:rsid w:val="00DC5685"/>
    <w:rPr>
      <w:rFonts w:ascii="Times New Roman" w:hAnsi="Times New Roman"/>
      <w:b/>
      <w:bCs/>
      <w:i/>
      <w:iCs/>
      <w:color w:val="000000"/>
      <w:sz w:val="20"/>
      <w:vertAlign w:val="superscript"/>
    </w:rPr>
  </w:style>
  <w:style w:type="table" w:customStyle="1" w:styleId="Table">
    <w:name w:val="Table"/>
    <w:basedOn w:val="Standardowy"/>
    <w:rsid w:val="00DC5685"/>
    <w:pPr>
      <w:widowControl w:val="0"/>
      <w:spacing w:before="40"/>
    </w:pPr>
    <w:tblP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Pr>
  </w:style>
  <w:style w:type="paragraph" w:customStyle="1" w:styleId="msolistparagraph0">
    <w:name w:val="msolistparagraph"/>
    <w:basedOn w:val="Normalny"/>
    <w:rsid w:val="00DC5685"/>
    <w:pPr>
      <w:ind w:left="720"/>
    </w:pPr>
    <w:rPr>
      <w:rFonts w:ascii="Calibri" w:eastAsiaTheme="minorHAnsi" w:hAnsi="Calibri" w:cs="Calibri"/>
      <w:sz w:val="24"/>
      <w:szCs w:val="24"/>
      <w:lang w:val="de-DE"/>
    </w:rPr>
  </w:style>
  <w:style w:type="paragraph" w:customStyle="1" w:styleId="Standard1">
    <w:name w:val="Standard1"/>
    <w:basedOn w:val="Normalny"/>
    <w:rsid w:val="00DC5685"/>
    <w:pPr>
      <w:keepLines/>
      <w:spacing w:line="360" w:lineRule="exact"/>
      <w:jc w:val="both"/>
    </w:pPr>
    <w:rPr>
      <w:rFonts w:ascii="Calibri" w:eastAsia="PMingLiU" w:hAnsi="Calibri" w:cs="Calibri"/>
      <w:sz w:val="24"/>
      <w:szCs w:val="24"/>
      <w:lang w:val="de-DE"/>
    </w:rPr>
  </w:style>
  <w:style w:type="character" w:customStyle="1" w:styleId="OECD-table-title-boldZchn">
    <w:name w:val="OECD-table-title-bold Zchn"/>
    <w:link w:val="OECD-table-title-bold"/>
    <w:rsid w:val="00DC5685"/>
    <w:rPr>
      <w:bCs/>
      <w:spacing w:val="-2"/>
      <w:sz w:val="22"/>
      <w:szCs w:val="22"/>
      <w:lang w:eastAsia="de-DE"/>
    </w:rPr>
  </w:style>
  <w:style w:type="paragraph" w:customStyle="1" w:styleId="TOCHeading1">
    <w:name w:val="TOC Heading1"/>
    <w:basedOn w:val="Nagwek1"/>
    <w:next w:val="Normalny"/>
    <w:rsid w:val="00DC5685"/>
    <w:pPr>
      <w:keepNext/>
      <w:keepLines/>
      <w:widowControl/>
      <w:numPr>
        <w:numId w:val="0"/>
      </w:numPr>
      <w:spacing w:after="0" w:line="276" w:lineRule="auto"/>
      <w:jc w:val="left"/>
      <w:outlineLvl w:val="9"/>
    </w:pPr>
    <w:rPr>
      <w:rFonts w:ascii="Cambria" w:eastAsia="PMingLiU" w:hAnsi="Cambria"/>
      <w:color w:val="365F91"/>
      <w:lang w:val="de-DE"/>
    </w:rPr>
  </w:style>
  <w:style w:type="paragraph" w:customStyle="1" w:styleId="FormatvorlageTableHeader9pt12pt">
    <w:name w:val="Formatvorlage Table Header 9pt + 12 pt"/>
    <w:basedOn w:val="TableHeader9pt"/>
    <w:link w:val="FormatvorlageTableHeader9pt12ptZchn"/>
    <w:rsid w:val="00DC5685"/>
    <w:pPr>
      <w:keepLines w:val="0"/>
      <w:spacing w:before="0"/>
      <w:ind w:left="1945" w:hanging="1945"/>
      <w:jc w:val="both"/>
    </w:pPr>
    <w:rPr>
      <w:rFonts w:ascii="Calibri" w:eastAsia="PMingLiU" w:hAnsi="Calibri" w:cs="Calibri"/>
      <w:sz w:val="24"/>
      <w:szCs w:val="24"/>
      <w:lang w:val="en-US" w:eastAsia="en-US"/>
    </w:rPr>
  </w:style>
  <w:style w:type="character" w:customStyle="1" w:styleId="FormatvorlageTableHeader9pt12ptZchn">
    <w:name w:val="Formatvorlage Table Header 9pt + 12 pt Zchn"/>
    <w:link w:val="FormatvorlageTableHeader9pt12pt"/>
    <w:rsid w:val="00DC5685"/>
    <w:rPr>
      <w:rFonts w:ascii="Calibri" w:eastAsia="PMingLiU" w:hAnsi="Calibri" w:cs="Calibri"/>
      <w:b/>
      <w:sz w:val="24"/>
      <w:szCs w:val="24"/>
    </w:rPr>
  </w:style>
  <w:style w:type="paragraph" w:customStyle="1" w:styleId="FormatvorlageTableTextFett">
    <w:name w:val="Formatvorlage Table Text + Fett"/>
    <w:basedOn w:val="TableText"/>
    <w:rsid w:val="00DC5685"/>
    <w:pPr>
      <w:keepLines w:val="0"/>
      <w:spacing w:after="40"/>
      <w:jc w:val="center"/>
    </w:pPr>
    <w:rPr>
      <w:rFonts w:eastAsia="PMingLiU"/>
      <w:b/>
      <w:bCs/>
      <w:lang w:val="en-US"/>
    </w:rPr>
  </w:style>
  <w:style w:type="paragraph" w:customStyle="1" w:styleId="TableHeader8pt">
    <w:name w:val="Table Header 8pt"/>
    <w:basedOn w:val="TableHeader9pt"/>
    <w:rsid w:val="00DC5685"/>
    <w:pPr>
      <w:keepNext/>
      <w:keepLines w:val="0"/>
      <w:tabs>
        <w:tab w:val="left" w:pos="720"/>
      </w:tabs>
      <w:spacing w:before="0"/>
      <w:jc w:val="center"/>
    </w:pPr>
    <w:rPr>
      <w:rFonts w:ascii="Calibri" w:eastAsia="PMingLiU" w:hAnsi="Calibri" w:cs="Calibri"/>
      <w:sz w:val="16"/>
      <w:szCs w:val="24"/>
      <w:lang w:val="en-US" w:eastAsia="en-US"/>
    </w:rPr>
  </w:style>
  <w:style w:type="paragraph" w:customStyle="1" w:styleId="TableText9ptHeader">
    <w:name w:val="Table Text 9pt Header"/>
    <w:basedOn w:val="TableText9pt"/>
    <w:rsid w:val="00DC5685"/>
    <w:pPr>
      <w:keepNext/>
      <w:keepLines w:val="0"/>
      <w:overflowPunct/>
      <w:autoSpaceDE/>
      <w:autoSpaceDN/>
      <w:adjustRightInd/>
      <w:spacing w:before="20" w:after="20"/>
      <w:jc w:val="center"/>
      <w:textAlignment w:val="auto"/>
    </w:pPr>
    <w:rPr>
      <w:rFonts w:ascii="Calibri" w:eastAsia="PMingLiU" w:hAnsi="Calibri" w:cs="Calibri"/>
      <w:b/>
      <w:lang w:val="en-US" w:eastAsia="en-US"/>
    </w:rPr>
  </w:style>
  <w:style w:type="paragraph" w:customStyle="1" w:styleId="Tabletext0">
    <w:name w:val="Table text"/>
    <w:basedOn w:val="Normalny"/>
    <w:next w:val="Normalny"/>
    <w:rsid w:val="00DC5685"/>
    <w:pPr>
      <w:keepNext/>
      <w:spacing w:before="120" w:after="120"/>
      <w:jc w:val="both"/>
    </w:pPr>
    <w:rPr>
      <w:rFonts w:ascii="Calibri" w:eastAsia="PMingLiU" w:hAnsi="Calibri" w:cs="Calibri"/>
      <w:sz w:val="20"/>
      <w:szCs w:val="24"/>
      <w:lang w:val="de-DE"/>
    </w:rPr>
  </w:style>
  <w:style w:type="character" w:customStyle="1" w:styleId="TableText9ptCharChar">
    <w:name w:val="Table Text 9pt Char Char"/>
    <w:rsid w:val="00DC5685"/>
    <w:rPr>
      <w:sz w:val="18"/>
      <w:szCs w:val="24"/>
      <w:lang w:val="en-GB" w:eastAsia="en-US" w:bidi="ar-SA"/>
    </w:rPr>
  </w:style>
  <w:style w:type="paragraph" w:customStyle="1" w:styleId="Formatvorlage1">
    <w:name w:val="Formatvorlage1"/>
    <w:basedOn w:val="Normalny"/>
    <w:autoRedefine/>
    <w:rsid w:val="00DC5685"/>
    <w:pPr>
      <w:spacing w:after="240"/>
      <w:jc w:val="both"/>
    </w:pPr>
    <w:rPr>
      <w:rFonts w:ascii="Arial" w:eastAsia="PMingLiU" w:hAnsi="Arial" w:cs="Calibri"/>
      <w:szCs w:val="24"/>
      <w:lang w:val="de-DE"/>
    </w:rPr>
  </w:style>
  <w:style w:type="character" w:customStyle="1" w:styleId="ZchnZchn4">
    <w:name w:val="Zchn Zchn4"/>
    <w:rsid w:val="00DC5685"/>
    <w:rPr>
      <w:lang w:val="en-GB" w:eastAsia="en-US" w:bidi="ar-SA"/>
    </w:rPr>
  </w:style>
  <w:style w:type="paragraph" w:customStyle="1" w:styleId="FormatvorlageTableCaptionVor0cmHngend339cmVor0ptNa">
    <w:name w:val="Formatvorlage Table Caption + Vor:  0 cm Hängend:  339 cm Vor:  0 pt Na..."/>
    <w:basedOn w:val="TableCaption"/>
    <w:link w:val="FormatvorlageTableCaptionVor0cmHngend339cmVor0ptNaZchn"/>
    <w:rsid w:val="00DC5685"/>
    <w:pPr>
      <w:spacing w:before="0" w:after="40"/>
      <w:ind w:left="2127" w:hanging="2127"/>
    </w:pPr>
    <w:rPr>
      <w:rFonts w:eastAsia="PMingLiU"/>
      <w:szCs w:val="20"/>
      <w:lang w:val="en-US"/>
    </w:rPr>
  </w:style>
  <w:style w:type="character" w:customStyle="1" w:styleId="FormatvorlageTableCaptionVor0cmHngend339cmVor0ptNaZchn">
    <w:name w:val="Formatvorlage Table Caption + Vor:  0 cm Hängend:  339 cm Vor:  0 pt Na... Zchn"/>
    <w:link w:val="FormatvorlageTableCaptionVor0cmHngend339cmVor0ptNa"/>
    <w:rsid w:val="00DC5685"/>
    <w:rPr>
      <w:rFonts w:ascii="Calibri" w:eastAsia="PMingLiU" w:hAnsi="Calibri" w:cs="Calibri"/>
      <w:b/>
      <w:sz w:val="24"/>
    </w:rPr>
  </w:style>
  <w:style w:type="paragraph" w:customStyle="1" w:styleId="Formatvorlage2">
    <w:name w:val="Formatvorlage2"/>
    <w:basedOn w:val="Normalny"/>
    <w:autoRedefine/>
    <w:rsid w:val="00DC5685"/>
    <w:pPr>
      <w:jc w:val="both"/>
    </w:pPr>
    <w:rPr>
      <w:rFonts w:ascii="Arial" w:eastAsia="PMingLiU" w:hAnsi="Arial" w:cs="Calibri"/>
      <w:szCs w:val="24"/>
      <w:lang w:val="de-DE"/>
    </w:rPr>
  </w:style>
  <w:style w:type="paragraph" w:customStyle="1" w:styleId="Formatvorlage3">
    <w:name w:val="Formatvorlage3"/>
    <w:basedOn w:val="Normalny"/>
    <w:autoRedefine/>
    <w:rsid w:val="00DC5685"/>
    <w:pPr>
      <w:jc w:val="both"/>
    </w:pPr>
    <w:rPr>
      <w:rFonts w:ascii="Arial" w:eastAsia="PMingLiU" w:hAnsi="Arial" w:cs="Calibri"/>
      <w:szCs w:val="24"/>
      <w:lang w:val="de-DE"/>
    </w:rPr>
  </w:style>
  <w:style w:type="paragraph" w:customStyle="1" w:styleId="Formatvorlage9ptZentriertVor2ptNach2pt">
    <w:name w:val="Formatvorlage 9 pt Zentriert Vor:  2 pt Nach:  2 pt"/>
    <w:basedOn w:val="Normalny"/>
    <w:rsid w:val="00DC5685"/>
    <w:pPr>
      <w:spacing w:before="40" w:after="40"/>
      <w:jc w:val="center"/>
    </w:pPr>
    <w:rPr>
      <w:rFonts w:ascii="Calibri" w:eastAsia="PMingLiU" w:hAnsi="Calibri" w:cs="Calibri"/>
      <w:sz w:val="18"/>
      <w:szCs w:val="18"/>
      <w:lang w:val="de-DE"/>
    </w:rPr>
  </w:style>
  <w:style w:type="paragraph" w:customStyle="1" w:styleId="Formatvorlage4">
    <w:name w:val="Formatvorlage4"/>
    <w:basedOn w:val="TableText10pt"/>
    <w:rsid w:val="00DC5685"/>
    <w:pPr>
      <w:spacing w:before="40" w:after="40"/>
      <w:jc w:val="center"/>
    </w:pPr>
    <w:rPr>
      <w:rFonts w:ascii="Calibri" w:eastAsia="PMingLiU" w:hAnsi="Calibri" w:cs="Calibri"/>
      <w:lang w:val="en-US"/>
    </w:rPr>
  </w:style>
  <w:style w:type="paragraph" w:customStyle="1" w:styleId="FormatvorlageVor0cmHngend407cm">
    <w:name w:val="Formatvorlage Vor:  0 cm Hängend:  407 cm"/>
    <w:basedOn w:val="Normalny"/>
    <w:rsid w:val="00DC5685"/>
    <w:pPr>
      <w:ind w:left="1985" w:hanging="1985"/>
      <w:jc w:val="both"/>
    </w:pPr>
    <w:rPr>
      <w:rFonts w:ascii="Calibri" w:eastAsia="PMingLiU" w:hAnsi="Calibri" w:cs="Calibri"/>
      <w:sz w:val="24"/>
      <w:szCs w:val="24"/>
      <w:lang w:val="de-DE"/>
    </w:rPr>
  </w:style>
  <w:style w:type="paragraph" w:customStyle="1" w:styleId="Spec7">
    <w:name w:val="Spec_Ü7"/>
    <w:basedOn w:val="Nagwek7"/>
    <w:next w:val="Normalny"/>
    <w:rsid w:val="00DC5685"/>
    <w:pPr>
      <w:tabs>
        <w:tab w:val="num" w:pos="1209"/>
        <w:tab w:val="num" w:pos="1440"/>
        <w:tab w:val="num" w:pos="1800"/>
        <w:tab w:val="left" w:pos="1843"/>
      </w:tabs>
      <w:ind w:left="1209" w:hanging="360"/>
      <w:jc w:val="both"/>
    </w:pPr>
    <w:rPr>
      <w:rFonts w:eastAsia="PMingLiU"/>
      <w:b/>
      <w:noProof w:val="0"/>
    </w:rPr>
  </w:style>
  <w:style w:type="paragraph" w:customStyle="1" w:styleId="RTableHeader11ptLinks">
    <w:name w:val="R_Table Header 11pt + Links"/>
    <w:basedOn w:val="Normalny"/>
    <w:next w:val="Normalny"/>
    <w:link w:val="RTableHeader11ptLinksZchn"/>
    <w:rsid w:val="00DC5685"/>
    <w:pPr>
      <w:keepNext/>
      <w:spacing w:before="40" w:after="40"/>
      <w:jc w:val="both"/>
    </w:pPr>
    <w:rPr>
      <w:rFonts w:ascii="Calibri" w:eastAsia="PMingLiU" w:hAnsi="Calibri" w:cs="Calibri"/>
      <w:b/>
      <w:szCs w:val="24"/>
      <w:lang w:val="de-DE"/>
    </w:rPr>
  </w:style>
  <w:style w:type="character" w:customStyle="1" w:styleId="RTableHeader11ptLinksZchn">
    <w:name w:val="R_Table Header 11pt + Links Zchn"/>
    <w:link w:val="RTableHeader11ptLinks"/>
    <w:rsid w:val="00DC5685"/>
    <w:rPr>
      <w:rFonts w:ascii="Calibri" w:eastAsia="PMingLiU" w:hAnsi="Calibri" w:cs="Calibri"/>
      <w:b/>
      <w:sz w:val="22"/>
      <w:szCs w:val="24"/>
      <w:lang w:val="de-DE"/>
    </w:rPr>
  </w:style>
  <w:style w:type="paragraph" w:customStyle="1" w:styleId="Spec9">
    <w:name w:val="Spec_Ü9"/>
    <w:basedOn w:val="Nagwek9"/>
    <w:next w:val="Normalny"/>
    <w:rsid w:val="00DC5685"/>
    <w:pPr>
      <w:tabs>
        <w:tab w:val="num" w:pos="1209"/>
        <w:tab w:val="left" w:pos="2126"/>
        <w:tab w:val="num" w:pos="2160"/>
        <w:tab w:val="num" w:pos="2880"/>
      </w:tabs>
      <w:ind w:left="1209" w:hanging="360"/>
      <w:jc w:val="both"/>
    </w:pPr>
    <w:rPr>
      <w:rFonts w:eastAsia="PMingLiU"/>
      <w:b/>
      <w:noProof w:val="0"/>
      <w:sz w:val="20"/>
    </w:rPr>
  </w:style>
  <w:style w:type="paragraph" w:customStyle="1" w:styleId="StandardCALC-report">
    <w:name w:val="Standard (CALC-report)"/>
    <w:basedOn w:val="Normalny"/>
    <w:autoRedefine/>
    <w:rsid w:val="00DC5685"/>
    <w:pPr>
      <w:spacing w:before="60" w:after="160" w:line="300" w:lineRule="atLeast"/>
      <w:jc w:val="both"/>
    </w:pPr>
    <w:rPr>
      <w:rFonts w:ascii="Arial" w:eastAsia="SimSun" w:hAnsi="Arial" w:cs="Calibri"/>
      <w:szCs w:val="20"/>
      <w:lang w:val="de-DE"/>
    </w:rPr>
  </w:style>
  <w:style w:type="paragraph" w:customStyle="1" w:styleId="Repheading">
    <w:name w:val="Rep heading"/>
    <w:basedOn w:val="Legenda"/>
    <w:qFormat/>
    <w:rsid w:val="003277CC"/>
  </w:style>
  <w:style w:type="character" w:customStyle="1" w:styleId="attribute-item-label">
    <w:name w:val="attribute-item-label"/>
    <w:rsid w:val="00DC5685"/>
  </w:style>
  <w:style w:type="character" w:customStyle="1" w:styleId="attribute-item-value">
    <w:name w:val="attribute-item-value"/>
    <w:rsid w:val="00DC5685"/>
  </w:style>
  <w:style w:type="paragraph" w:customStyle="1" w:styleId="Inhaltsverzeichnisberschrift10">
    <w:name w:val="Inhaltsverzeichnisüberschrift1"/>
    <w:basedOn w:val="Nagwek1"/>
    <w:next w:val="Normalny"/>
    <w:qFormat/>
    <w:rsid w:val="00DC5685"/>
    <w:pPr>
      <w:keepNext/>
      <w:keepLines/>
      <w:widowControl/>
      <w:numPr>
        <w:numId w:val="0"/>
      </w:numPr>
      <w:spacing w:after="0" w:line="276" w:lineRule="auto"/>
      <w:jc w:val="left"/>
      <w:outlineLvl w:val="9"/>
    </w:pPr>
    <w:rPr>
      <w:rFonts w:ascii="Cambria" w:eastAsia="Times New Roman" w:hAnsi="Cambria"/>
      <w:color w:val="365F91"/>
      <w:lang w:val="de-DE"/>
    </w:rPr>
  </w:style>
  <w:style w:type="paragraph" w:customStyle="1" w:styleId="Normal10">
    <w:name w:val="Normal1"/>
    <w:basedOn w:val="Normalny"/>
    <w:rsid w:val="00DC5685"/>
    <w:pPr>
      <w:keepLines/>
      <w:spacing w:line="360" w:lineRule="exact"/>
      <w:jc w:val="both"/>
    </w:pPr>
    <w:rPr>
      <w:rFonts w:ascii="Calibri" w:eastAsiaTheme="minorHAnsi" w:hAnsi="Calibri" w:cs="Calibri"/>
      <w:sz w:val="24"/>
      <w:szCs w:val="24"/>
      <w:lang w:val="de-DE"/>
    </w:rPr>
  </w:style>
  <w:style w:type="character" w:customStyle="1" w:styleId="TekstprzypisukocowegoZnak">
    <w:name w:val="Tekst przypisu końcowego Znak"/>
    <w:link w:val="Tekstprzypisukocowego"/>
    <w:rsid w:val="00DC5685"/>
  </w:style>
  <w:style w:type="paragraph" w:customStyle="1" w:styleId="Standard2">
    <w:name w:val="Standard2"/>
    <w:basedOn w:val="Normalny"/>
    <w:rsid w:val="00DC5685"/>
    <w:pPr>
      <w:keepLines/>
      <w:spacing w:line="360" w:lineRule="exact"/>
      <w:jc w:val="both"/>
    </w:pPr>
    <w:rPr>
      <w:rFonts w:ascii="Calibri" w:eastAsiaTheme="minorHAnsi" w:hAnsi="Calibri" w:cs="Calibri"/>
      <w:sz w:val="24"/>
      <w:szCs w:val="24"/>
      <w:lang w:val="de-DE"/>
    </w:rPr>
  </w:style>
  <w:style w:type="paragraph" w:customStyle="1" w:styleId="Inhaltsverzeichnisberschrift2">
    <w:name w:val="Inhaltsverzeichnisüberschrift2"/>
    <w:basedOn w:val="Nagwek1"/>
    <w:next w:val="Normalny"/>
    <w:rsid w:val="00DC5685"/>
    <w:pPr>
      <w:keepNext/>
      <w:keepLines/>
      <w:widowControl/>
      <w:numPr>
        <w:numId w:val="0"/>
      </w:numPr>
      <w:spacing w:after="0" w:line="276" w:lineRule="auto"/>
      <w:jc w:val="left"/>
      <w:outlineLvl w:val="9"/>
    </w:pPr>
    <w:rPr>
      <w:rFonts w:ascii="Cambria" w:eastAsia="Times New Roman" w:hAnsi="Cambria"/>
      <w:color w:val="365F91"/>
      <w:lang w:val="de-DE"/>
    </w:rPr>
  </w:style>
  <w:style w:type="character" w:customStyle="1" w:styleId="Nagwek6Znak">
    <w:name w:val="Nagłówek 6 Znak"/>
    <w:link w:val="Nagwek6"/>
    <w:rsid w:val="00DC5685"/>
    <w:rPr>
      <w:rFonts w:ascii="Arial" w:hAnsi="Arial"/>
      <w:noProof/>
      <w:sz w:val="22"/>
    </w:rPr>
  </w:style>
  <w:style w:type="character" w:customStyle="1" w:styleId="Nagwek7Znak">
    <w:name w:val="Nagłówek 7 Znak"/>
    <w:link w:val="Nagwek7"/>
    <w:rsid w:val="00DC5685"/>
    <w:rPr>
      <w:rFonts w:ascii="Arial" w:hAnsi="Arial"/>
      <w:noProof/>
      <w:sz w:val="22"/>
    </w:rPr>
  </w:style>
  <w:style w:type="character" w:customStyle="1" w:styleId="Nagwek8Znak">
    <w:name w:val="Nagłówek 8 Znak"/>
    <w:link w:val="Nagwek8"/>
    <w:rsid w:val="00DC5685"/>
    <w:rPr>
      <w:rFonts w:ascii="Arial" w:hAnsi="Arial"/>
      <w:noProof/>
      <w:sz w:val="22"/>
    </w:rPr>
  </w:style>
  <w:style w:type="character" w:customStyle="1" w:styleId="Nagwek9Znak">
    <w:name w:val="Nagłówek 9 Znak"/>
    <w:aliases w:val="Heading 9 Figure Znak,Heading 9 Table Znak"/>
    <w:link w:val="Nagwek9"/>
    <w:rsid w:val="00DC5685"/>
    <w:rPr>
      <w:rFonts w:ascii="Arial" w:hAnsi="Arial"/>
      <w:noProof/>
      <w:sz w:val="22"/>
    </w:rPr>
  </w:style>
  <w:style w:type="character" w:customStyle="1" w:styleId="TytuZnak">
    <w:name w:val="Tytuł Znak"/>
    <w:link w:val="Tytu"/>
    <w:rsid w:val="00DC5685"/>
    <w:rPr>
      <w:rFonts w:cs="Arial"/>
      <w:b/>
      <w:bCs/>
      <w:kern w:val="28"/>
      <w:sz w:val="32"/>
      <w:szCs w:val="32"/>
    </w:rPr>
  </w:style>
  <w:style w:type="character" w:customStyle="1" w:styleId="Tekstpodstawowy2Znak">
    <w:name w:val="Tekst podstawowy 2 Znak"/>
    <w:link w:val="Tekstpodstawowy2"/>
    <w:rsid w:val="00DC5685"/>
    <w:rPr>
      <w:sz w:val="22"/>
      <w:szCs w:val="22"/>
    </w:rPr>
  </w:style>
  <w:style w:type="character" w:customStyle="1" w:styleId="Tekstpodstawowywcity3Znak">
    <w:name w:val="Tekst podstawowy wcięty 3 Znak"/>
    <w:link w:val="Tekstpodstawowywcity3"/>
    <w:rsid w:val="00DC5685"/>
    <w:rPr>
      <w:sz w:val="16"/>
      <w:szCs w:val="16"/>
    </w:rPr>
  </w:style>
  <w:style w:type="character" w:customStyle="1" w:styleId="Tekstpodstawowywcity2Znak">
    <w:name w:val="Tekst podstawowy wcięty 2 Znak"/>
    <w:link w:val="Tekstpodstawowywcity2"/>
    <w:rsid w:val="00DC5685"/>
    <w:rPr>
      <w:sz w:val="22"/>
      <w:szCs w:val="22"/>
    </w:rPr>
  </w:style>
  <w:style w:type="character" w:customStyle="1" w:styleId="Tekstpodstawowy3Znak">
    <w:name w:val="Tekst podstawowy 3 Znak"/>
    <w:link w:val="Tekstpodstawowy3"/>
    <w:rsid w:val="00DC5685"/>
    <w:rPr>
      <w:sz w:val="16"/>
      <w:szCs w:val="16"/>
    </w:rPr>
  </w:style>
  <w:style w:type="character" w:customStyle="1" w:styleId="PodtytuZnak">
    <w:name w:val="Podtytuł Znak"/>
    <w:link w:val="Podtytu"/>
    <w:rsid w:val="00DC5685"/>
    <w:rPr>
      <w:rFonts w:cs="Arial"/>
      <w:sz w:val="24"/>
      <w:szCs w:val="22"/>
    </w:rPr>
  </w:style>
  <w:style w:type="table" w:customStyle="1" w:styleId="Tabellenraster1">
    <w:name w:val="Tabellenraster1"/>
    <w:basedOn w:val="Standardowy"/>
    <w:next w:val="Tabela-Siatka"/>
    <w:rsid w:val="00DC5685"/>
    <w:rPr>
      <w:rFonts w:ascii="Verdana" w:eastAsia="Calibri" w:hAnsi="Verdana" w:cs="Arial"/>
      <w:sz w:val="17"/>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FSABodytext">
    <w:name w:val="EFSA_Body text"/>
    <w:basedOn w:val="Normalny"/>
    <w:link w:val="EFSABodytextCharChar"/>
    <w:qFormat/>
    <w:rsid w:val="00DC5685"/>
    <w:pPr>
      <w:spacing w:after="240"/>
      <w:jc w:val="both"/>
    </w:pPr>
    <w:rPr>
      <w:rFonts w:ascii="Calibri" w:eastAsiaTheme="minorHAnsi" w:hAnsi="Calibri" w:cs="Calibri"/>
      <w:lang w:val="en-GB"/>
    </w:rPr>
  </w:style>
  <w:style w:type="character" w:customStyle="1" w:styleId="EFSABodytextCharChar">
    <w:name w:val="EFSA_Body text Char Char"/>
    <w:link w:val="EFSABodytext"/>
    <w:rsid w:val="00DC5685"/>
    <w:rPr>
      <w:rFonts w:ascii="Calibri" w:eastAsiaTheme="minorHAnsi" w:hAnsi="Calibri" w:cs="Calibri"/>
      <w:sz w:val="22"/>
      <w:szCs w:val="22"/>
      <w:lang w:val="en-GB"/>
    </w:rPr>
  </w:style>
  <w:style w:type="paragraph" w:customStyle="1" w:styleId="TableAppendix">
    <w:name w:val="Table Appendix"/>
    <w:basedOn w:val="dRRinstructions"/>
    <w:qFormat/>
    <w:rsid w:val="00DC5685"/>
    <w:pPr>
      <w:spacing w:before="200" w:after="120"/>
      <w:ind w:left="1985" w:hanging="1985"/>
    </w:pPr>
    <w:rPr>
      <w:rFonts w:ascii="Calibri" w:eastAsiaTheme="minorHAnsi" w:hAnsi="Calibri" w:cs="Calibri"/>
      <w:b/>
      <w:color w:val="auto"/>
      <w:sz w:val="24"/>
    </w:rPr>
  </w:style>
  <w:style w:type="paragraph" w:customStyle="1" w:styleId="font5">
    <w:name w:val="font5"/>
    <w:basedOn w:val="Normalny"/>
    <w:rsid w:val="00DC5685"/>
    <w:pPr>
      <w:spacing w:before="100" w:beforeAutospacing="1" w:after="100" w:afterAutospacing="1"/>
    </w:pPr>
    <w:rPr>
      <w:rFonts w:ascii="Calibri" w:eastAsiaTheme="minorHAnsi" w:hAnsi="Calibri" w:cs="Calibri"/>
      <w:color w:val="000000"/>
      <w:sz w:val="20"/>
      <w:szCs w:val="20"/>
      <w:lang w:val="de-DE" w:eastAsia="zh-CN"/>
    </w:rPr>
  </w:style>
  <w:style w:type="paragraph" w:customStyle="1" w:styleId="xl65">
    <w:name w:val="xl65"/>
    <w:basedOn w:val="Normalny"/>
    <w:rsid w:val="00DC5685"/>
    <w:pPr>
      <w:pBdr>
        <w:left w:val="single" w:sz="8" w:space="0" w:color="auto"/>
        <w:bottom w:val="single" w:sz="8" w:space="0" w:color="auto"/>
        <w:righ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66">
    <w:name w:val="xl66"/>
    <w:basedOn w:val="Normalny"/>
    <w:rsid w:val="00DC5685"/>
    <w:pPr>
      <w:pBdr>
        <w:left w:val="single" w:sz="8" w:space="0" w:color="auto"/>
        <w:bottom w:val="single" w:sz="8" w:space="0" w:color="auto"/>
        <w:righ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67">
    <w:name w:val="xl67"/>
    <w:basedOn w:val="Normalny"/>
    <w:rsid w:val="00DC5685"/>
    <w:pPr>
      <w:pBdr>
        <w:bottom w:val="single" w:sz="8" w:space="0" w:color="auto"/>
        <w:right w:val="single" w:sz="8" w:space="0" w:color="auto"/>
      </w:pBdr>
      <w:shd w:val="clear" w:color="000000" w:fill="C6E0B4"/>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68">
    <w:name w:val="xl68"/>
    <w:basedOn w:val="Normalny"/>
    <w:rsid w:val="00DC5685"/>
    <w:pPr>
      <w:pBdr>
        <w:top w:val="single" w:sz="8" w:space="0" w:color="auto"/>
        <w:right w:val="single" w:sz="8" w:space="0" w:color="auto"/>
      </w:pBd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69">
    <w:name w:val="xl69"/>
    <w:basedOn w:val="Normalny"/>
    <w:rsid w:val="00DC5685"/>
    <w:pPr>
      <w:pBdr>
        <w:right w:val="single" w:sz="8" w:space="0" w:color="auto"/>
      </w:pBd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70">
    <w:name w:val="xl70"/>
    <w:basedOn w:val="Normalny"/>
    <w:rsid w:val="00DC5685"/>
    <w:pPr>
      <w:pBdr>
        <w:bottom w:val="single" w:sz="8" w:space="0" w:color="auto"/>
        <w:right w:val="single" w:sz="8" w:space="0" w:color="auto"/>
      </w:pBd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71">
    <w:name w:val="xl71"/>
    <w:basedOn w:val="Normalny"/>
    <w:rsid w:val="00DC5685"/>
    <w:pPr>
      <w:pBdr>
        <w:bottom w:val="single" w:sz="8" w:space="0" w:color="auto"/>
      </w:pBd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72">
    <w:name w:val="xl72"/>
    <w:basedOn w:val="Normalny"/>
    <w:rsid w:val="00DC5685"/>
    <w:pPr>
      <w:pBdr>
        <w:bottom w:val="single" w:sz="8" w:space="0" w:color="auto"/>
      </w:pBdr>
      <w:shd w:val="clear" w:color="000000" w:fill="FFFFFF"/>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73">
    <w:name w:val="xl73"/>
    <w:basedOn w:val="Normalny"/>
    <w:rsid w:val="00DC5685"/>
    <w:pPr>
      <w:pBdr>
        <w:top w:val="single" w:sz="8" w:space="0" w:color="auto"/>
        <w:bottom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74">
    <w:name w:val="xl74"/>
    <w:basedOn w:val="Normalny"/>
    <w:rsid w:val="00DC5685"/>
    <w:pPr>
      <w:pBdr>
        <w:top w:val="single" w:sz="8" w:space="0" w:color="auto"/>
        <w:bottom w:val="single" w:sz="8" w:space="0" w:color="auto"/>
        <w:right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75">
    <w:name w:val="xl75"/>
    <w:basedOn w:val="Normalny"/>
    <w:rsid w:val="00DC5685"/>
    <w:pPr>
      <w:pBdr>
        <w:bottom w:val="single" w:sz="8" w:space="0" w:color="auto"/>
        <w:right w:val="single" w:sz="8" w:space="0" w:color="auto"/>
      </w:pBdr>
      <w:spacing w:before="100" w:beforeAutospacing="1" w:after="100" w:afterAutospacing="1"/>
      <w:jc w:val="center"/>
      <w:textAlignment w:val="center"/>
    </w:pPr>
    <w:rPr>
      <w:rFonts w:ascii="Calibri" w:eastAsiaTheme="minorHAnsi" w:hAnsi="Calibri" w:cs="Calibri"/>
      <w:color w:val="000000"/>
      <w:sz w:val="24"/>
      <w:szCs w:val="24"/>
      <w:lang w:val="de-DE" w:eastAsia="zh-CN"/>
    </w:rPr>
  </w:style>
  <w:style w:type="paragraph" w:customStyle="1" w:styleId="xl76">
    <w:name w:val="xl76"/>
    <w:basedOn w:val="Normalny"/>
    <w:rsid w:val="00DC5685"/>
    <w:pPr>
      <w:pBdr>
        <w:bottom w:val="single" w:sz="8" w:space="0" w:color="auto"/>
        <w:righ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77">
    <w:name w:val="xl77"/>
    <w:basedOn w:val="Normalny"/>
    <w:rsid w:val="00DC5685"/>
    <w:pPr>
      <w:pBdr>
        <w:bottom w:val="single" w:sz="8" w:space="0" w:color="auto"/>
        <w:right w:val="single" w:sz="8" w:space="0" w:color="auto"/>
      </w:pBdr>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78">
    <w:name w:val="xl78"/>
    <w:basedOn w:val="Normalny"/>
    <w:rsid w:val="00DC5685"/>
    <w:pPr>
      <w:pBdr>
        <w:bottom w:val="single" w:sz="8" w:space="0" w:color="auto"/>
        <w:right w:val="single" w:sz="8" w:space="0" w:color="auto"/>
      </w:pBdr>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79">
    <w:name w:val="xl79"/>
    <w:basedOn w:val="Normalny"/>
    <w:rsid w:val="00DC5685"/>
    <w:pPr>
      <w:spacing w:before="100" w:beforeAutospacing="1" w:after="100" w:afterAutospacing="1"/>
      <w:jc w:val="center"/>
    </w:pPr>
    <w:rPr>
      <w:rFonts w:ascii="Calibri" w:eastAsiaTheme="minorHAnsi" w:hAnsi="Calibri" w:cs="Calibri"/>
      <w:sz w:val="24"/>
      <w:szCs w:val="24"/>
      <w:lang w:val="de-DE" w:eastAsia="zh-CN"/>
    </w:rPr>
  </w:style>
  <w:style w:type="paragraph" w:customStyle="1" w:styleId="xl80">
    <w:name w:val="xl80"/>
    <w:basedOn w:val="Normalny"/>
    <w:rsid w:val="00DC5685"/>
    <w:pPr>
      <w:pBdr>
        <w:top w:val="single" w:sz="8" w:space="0" w:color="auto"/>
        <w:bottom w:val="single" w:sz="8" w:space="0" w:color="auto"/>
      </w:pBdr>
      <w:spacing w:before="100" w:beforeAutospacing="1" w:after="100" w:afterAutospacing="1"/>
    </w:pPr>
    <w:rPr>
      <w:rFonts w:ascii="Calibri" w:eastAsiaTheme="minorHAnsi" w:hAnsi="Calibri" w:cs="Calibri"/>
      <w:sz w:val="24"/>
      <w:szCs w:val="24"/>
      <w:lang w:val="de-DE" w:eastAsia="zh-CN"/>
    </w:rPr>
  </w:style>
  <w:style w:type="paragraph" w:customStyle="1" w:styleId="xl81">
    <w:name w:val="xl81"/>
    <w:basedOn w:val="Normalny"/>
    <w:rsid w:val="00DC5685"/>
    <w:pPr>
      <w:pBdr>
        <w:top w:val="single" w:sz="8" w:space="0" w:color="auto"/>
        <w:left w:val="single" w:sz="8" w:space="0" w:color="auto"/>
      </w:pBdr>
      <w:shd w:val="clear" w:color="000000" w:fill="C6E0B4"/>
      <w:spacing w:before="100" w:beforeAutospacing="1" w:after="100" w:afterAutospacing="1"/>
      <w:textAlignment w:val="center"/>
    </w:pPr>
    <w:rPr>
      <w:rFonts w:ascii="Calibri" w:eastAsiaTheme="minorHAnsi" w:hAnsi="Calibri" w:cs="Calibri"/>
      <w:b/>
      <w:bCs/>
      <w:sz w:val="24"/>
      <w:szCs w:val="24"/>
      <w:lang w:val="de-DE" w:eastAsia="zh-CN"/>
    </w:rPr>
  </w:style>
  <w:style w:type="paragraph" w:customStyle="1" w:styleId="xl82">
    <w:name w:val="xl82"/>
    <w:basedOn w:val="Normalny"/>
    <w:rsid w:val="00DC5685"/>
    <w:pPr>
      <w:pBdr>
        <w:top w:val="single" w:sz="8" w:space="0" w:color="auto"/>
        <w:right w:val="single" w:sz="8" w:space="0" w:color="auto"/>
      </w:pBdr>
      <w:shd w:val="clear" w:color="000000" w:fill="C6E0B4"/>
      <w:spacing w:before="100" w:beforeAutospacing="1" w:after="100" w:afterAutospacing="1"/>
    </w:pPr>
    <w:rPr>
      <w:rFonts w:ascii="Calibri" w:eastAsiaTheme="minorHAnsi" w:hAnsi="Calibri" w:cs="Calibri"/>
      <w:sz w:val="24"/>
      <w:szCs w:val="24"/>
      <w:lang w:val="de-DE" w:eastAsia="zh-CN"/>
    </w:rPr>
  </w:style>
  <w:style w:type="paragraph" w:customStyle="1" w:styleId="xl83">
    <w:name w:val="xl83"/>
    <w:basedOn w:val="Normalny"/>
    <w:rsid w:val="00DC5685"/>
    <w:pPr>
      <w:pBdr>
        <w:top w:val="single" w:sz="8" w:space="0" w:color="auto"/>
        <w:left w:val="single" w:sz="8" w:space="0" w:color="auto"/>
      </w:pBdr>
      <w:shd w:val="clear" w:color="000000" w:fill="C6E0B4"/>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84">
    <w:name w:val="xl84"/>
    <w:basedOn w:val="Normalny"/>
    <w:rsid w:val="00DC5685"/>
    <w:pPr>
      <w:pBdr>
        <w:left w:val="single" w:sz="8" w:space="0" w:color="auto"/>
      </w:pBdr>
      <w:shd w:val="clear" w:color="000000" w:fill="C6E0B4"/>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85">
    <w:name w:val="xl85"/>
    <w:basedOn w:val="Normalny"/>
    <w:rsid w:val="00DC5685"/>
    <w:pPr>
      <w:pBdr>
        <w:left w:val="single" w:sz="8" w:space="0" w:color="auto"/>
        <w:bottom w:val="single" w:sz="8" w:space="0" w:color="auto"/>
      </w:pBdr>
      <w:shd w:val="clear" w:color="000000" w:fill="C6E0B4"/>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86">
    <w:name w:val="xl86"/>
    <w:basedOn w:val="Normalny"/>
    <w:rsid w:val="00DC5685"/>
    <w:pPr>
      <w:pBdr>
        <w:bottom w:val="single" w:sz="8" w:space="0" w:color="auto"/>
        <w:right w:val="single" w:sz="8" w:space="0" w:color="auto"/>
      </w:pBdr>
      <w:shd w:val="clear" w:color="000000" w:fill="C6E0B4"/>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87">
    <w:name w:val="xl87"/>
    <w:basedOn w:val="Normalny"/>
    <w:rsid w:val="00DC5685"/>
    <w:pPr>
      <w:pBdr>
        <w:top w:val="single" w:sz="8" w:space="0" w:color="auto"/>
        <w:left w:val="single" w:sz="8" w:space="0" w:color="auto"/>
        <w:bottom w:val="single" w:sz="8" w:space="0" w:color="auto"/>
      </w:pBdr>
      <w:shd w:val="clear" w:color="000000" w:fill="BDD7EE"/>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88">
    <w:name w:val="xl88"/>
    <w:basedOn w:val="Normalny"/>
    <w:rsid w:val="00DC5685"/>
    <w:pPr>
      <w:pBdr>
        <w:top w:val="single" w:sz="8" w:space="0" w:color="auto"/>
        <w:lef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89">
    <w:name w:val="xl89"/>
    <w:basedOn w:val="Normalny"/>
    <w:rsid w:val="00DC5685"/>
    <w:pPr>
      <w:pBdr>
        <w:top w:val="single" w:sz="8" w:space="0" w:color="auto"/>
        <w:righ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90">
    <w:name w:val="xl90"/>
    <w:basedOn w:val="Normalny"/>
    <w:rsid w:val="00DC5685"/>
    <w:pPr>
      <w:pBdr>
        <w:lef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91">
    <w:name w:val="xl91"/>
    <w:basedOn w:val="Normalny"/>
    <w:rsid w:val="00DC5685"/>
    <w:pPr>
      <w:pBdr>
        <w:right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92">
    <w:name w:val="xl92"/>
    <w:basedOn w:val="Normalny"/>
    <w:rsid w:val="00DC5685"/>
    <w:pPr>
      <w:pBdr>
        <w:left w:val="single" w:sz="8" w:space="0" w:color="auto"/>
        <w:bottom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93">
    <w:name w:val="xl93"/>
    <w:basedOn w:val="Normalny"/>
    <w:rsid w:val="00DC5685"/>
    <w:pPr>
      <w:pBdr>
        <w:top w:val="single" w:sz="8" w:space="0" w:color="auto"/>
      </w:pBdr>
      <w:spacing w:before="100" w:beforeAutospacing="1" w:after="100" w:afterAutospacing="1"/>
      <w:textAlignment w:val="center"/>
    </w:pPr>
    <w:rPr>
      <w:rFonts w:ascii="Calibri" w:eastAsiaTheme="minorHAnsi" w:hAnsi="Calibri" w:cs="Calibri"/>
      <w:color w:val="000000"/>
      <w:sz w:val="24"/>
      <w:szCs w:val="24"/>
      <w:lang w:val="de-DE" w:eastAsia="zh-CN"/>
    </w:rPr>
  </w:style>
  <w:style w:type="paragraph" w:customStyle="1" w:styleId="xl94">
    <w:name w:val="xl94"/>
    <w:basedOn w:val="Normalny"/>
    <w:rsid w:val="00DC5685"/>
    <w:pPr>
      <w:pBdr>
        <w:top w:val="single" w:sz="8" w:space="0" w:color="auto"/>
        <w:left w:val="single" w:sz="8" w:space="0" w:color="auto"/>
        <w:bottom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95">
    <w:name w:val="xl95"/>
    <w:basedOn w:val="Normalny"/>
    <w:rsid w:val="00DC5685"/>
    <w:pPr>
      <w:pBdr>
        <w:left w:val="single" w:sz="8" w:space="0" w:color="auto"/>
      </w:pBdr>
      <w:shd w:val="clear" w:color="000000" w:fill="C6E0B4"/>
      <w:spacing w:before="100" w:beforeAutospacing="1" w:after="100" w:afterAutospacing="1"/>
      <w:textAlignment w:val="center"/>
    </w:pPr>
    <w:rPr>
      <w:rFonts w:ascii="Calibri" w:eastAsiaTheme="minorHAnsi" w:hAnsi="Calibri" w:cs="Calibri"/>
      <w:b/>
      <w:bCs/>
      <w:sz w:val="24"/>
      <w:szCs w:val="24"/>
      <w:lang w:val="de-DE" w:eastAsia="zh-CN"/>
    </w:rPr>
  </w:style>
  <w:style w:type="paragraph" w:customStyle="1" w:styleId="xl96">
    <w:name w:val="xl96"/>
    <w:basedOn w:val="Normalny"/>
    <w:rsid w:val="00DC5685"/>
    <w:pPr>
      <w:pBdr>
        <w:right w:val="single" w:sz="8" w:space="0" w:color="auto"/>
      </w:pBdr>
      <w:shd w:val="clear" w:color="000000" w:fill="C6E0B4"/>
      <w:spacing w:before="100" w:beforeAutospacing="1" w:after="100" w:afterAutospacing="1"/>
      <w:textAlignment w:val="center"/>
    </w:pPr>
    <w:rPr>
      <w:rFonts w:ascii="Calibri" w:eastAsiaTheme="minorHAnsi" w:hAnsi="Calibri" w:cs="Calibri"/>
      <w:b/>
      <w:bCs/>
      <w:sz w:val="24"/>
      <w:szCs w:val="24"/>
      <w:lang w:val="de-DE" w:eastAsia="zh-CN"/>
    </w:rPr>
  </w:style>
  <w:style w:type="paragraph" w:customStyle="1" w:styleId="xl97">
    <w:name w:val="xl97"/>
    <w:basedOn w:val="Normalny"/>
    <w:rsid w:val="00DC5685"/>
    <w:pPr>
      <w:pBdr>
        <w:left w:val="single" w:sz="8" w:space="0" w:color="auto"/>
        <w:bottom w:val="single" w:sz="8" w:space="0" w:color="auto"/>
      </w:pBdr>
      <w:shd w:val="clear" w:color="000000" w:fill="C6E0B4"/>
      <w:spacing w:before="100" w:beforeAutospacing="1" w:after="100" w:afterAutospacing="1"/>
      <w:textAlignment w:val="center"/>
    </w:pPr>
    <w:rPr>
      <w:rFonts w:ascii="Calibri" w:eastAsiaTheme="minorHAnsi" w:hAnsi="Calibri" w:cs="Calibri"/>
      <w:b/>
      <w:bCs/>
      <w:sz w:val="24"/>
      <w:szCs w:val="24"/>
      <w:lang w:val="de-DE" w:eastAsia="zh-CN"/>
    </w:rPr>
  </w:style>
  <w:style w:type="paragraph" w:customStyle="1" w:styleId="xl98">
    <w:name w:val="xl98"/>
    <w:basedOn w:val="Normalny"/>
    <w:rsid w:val="00DC5685"/>
    <w:pPr>
      <w:pBdr>
        <w:bottom w:val="single" w:sz="8" w:space="0" w:color="auto"/>
        <w:right w:val="single" w:sz="8" w:space="0" w:color="auto"/>
      </w:pBdr>
      <w:shd w:val="clear" w:color="000000" w:fill="C6E0B4"/>
      <w:spacing w:before="100" w:beforeAutospacing="1" w:after="100" w:afterAutospacing="1"/>
      <w:textAlignment w:val="center"/>
    </w:pPr>
    <w:rPr>
      <w:rFonts w:ascii="Calibri" w:eastAsiaTheme="minorHAnsi" w:hAnsi="Calibri" w:cs="Calibri"/>
      <w:b/>
      <w:bCs/>
      <w:sz w:val="24"/>
      <w:szCs w:val="24"/>
      <w:lang w:val="de-DE" w:eastAsia="zh-CN"/>
    </w:rPr>
  </w:style>
  <w:style w:type="paragraph" w:customStyle="1" w:styleId="xl99">
    <w:name w:val="xl99"/>
    <w:basedOn w:val="Normalny"/>
    <w:rsid w:val="00DC5685"/>
    <w:pPr>
      <w:pBdr>
        <w:top w:val="single" w:sz="8" w:space="0" w:color="auto"/>
        <w:left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100">
    <w:name w:val="xl100"/>
    <w:basedOn w:val="Normalny"/>
    <w:rsid w:val="00DC5685"/>
    <w:pPr>
      <w:pBdr>
        <w:top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101">
    <w:name w:val="xl101"/>
    <w:basedOn w:val="Normalny"/>
    <w:rsid w:val="00DC5685"/>
    <w:pPr>
      <w:pBdr>
        <w:top w:val="single" w:sz="8" w:space="0" w:color="auto"/>
        <w:right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102">
    <w:name w:val="xl102"/>
    <w:basedOn w:val="Normalny"/>
    <w:rsid w:val="00DC5685"/>
    <w:pPr>
      <w:pBdr>
        <w:top w:val="single" w:sz="8" w:space="0" w:color="auto"/>
        <w:left w:val="single" w:sz="8" w:space="0" w:color="auto"/>
        <w:right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103">
    <w:name w:val="xl103"/>
    <w:basedOn w:val="Normalny"/>
    <w:rsid w:val="00DC5685"/>
    <w:pPr>
      <w:pBdr>
        <w:left w:val="single" w:sz="8" w:space="0" w:color="auto"/>
        <w:bottom w:val="single" w:sz="8" w:space="0" w:color="auto"/>
        <w:right w:val="single" w:sz="8" w:space="0" w:color="auto"/>
      </w:pBdr>
      <w:spacing w:before="100" w:beforeAutospacing="1" w:after="100" w:afterAutospacing="1"/>
      <w:textAlignment w:val="center"/>
    </w:pPr>
    <w:rPr>
      <w:rFonts w:ascii="Calibri" w:eastAsiaTheme="minorHAnsi" w:hAnsi="Calibri" w:cs="Calibri"/>
      <w:b/>
      <w:bCs/>
      <w:color w:val="000000"/>
      <w:sz w:val="24"/>
      <w:szCs w:val="24"/>
      <w:lang w:val="de-DE" w:eastAsia="zh-CN"/>
    </w:rPr>
  </w:style>
  <w:style w:type="paragraph" w:customStyle="1" w:styleId="xl104">
    <w:name w:val="xl104"/>
    <w:basedOn w:val="Normalny"/>
    <w:rsid w:val="00DC5685"/>
    <w:pPr>
      <w:pBdr>
        <w:top w:val="single" w:sz="8" w:space="0" w:color="auto"/>
      </w:pBdr>
      <w:shd w:val="clear" w:color="000000" w:fill="FFFFFF"/>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105">
    <w:name w:val="xl105"/>
    <w:basedOn w:val="Normalny"/>
    <w:rsid w:val="00DC5685"/>
    <w:pPr>
      <w:pBdr>
        <w:top w:val="single" w:sz="8" w:space="0" w:color="auto"/>
      </w:pBd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xl106">
    <w:name w:val="xl106"/>
    <w:basedOn w:val="Normalny"/>
    <w:rsid w:val="00DC5685"/>
    <w:pPr>
      <w:shd w:val="clear" w:color="000000" w:fill="FFFFFF"/>
      <w:spacing w:before="100" w:beforeAutospacing="1" w:after="100" w:afterAutospacing="1"/>
      <w:jc w:val="center"/>
      <w:textAlignment w:val="center"/>
    </w:pPr>
    <w:rPr>
      <w:rFonts w:ascii="Calibri" w:eastAsiaTheme="minorHAnsi" w:hAnsi="Calibri" w:cs="Calibri"/>
      <w:sz w:val="24"/>
      <w:szCs w:val="24"/>
      <w:lang w:val="de-DE" w:eastAsia="zh-CN"/>
    </w:rPr>
  </w:style>
  <w:style w:type="paragraph" w:customStyle="1" w:styleId="xl107">
    <w:name w:val="xl107"/>
    <w:basedOn w:val="Normalny"/>
    <w:rsid w:val="00DC5685"/>
    <w:pPr>
      <w:shd w:val="clear" w:color="000000" w:fill="FFFFFF"/>
      <w:spacing w:before="100" w:beforeAutospacing="1" w:after="100" w:afterAutospacing="1"/>
      <w:textAlignment w:val="center"/>
    </w:pPr>
    <w:rPr>
      <w:rFonts w:ascii="Calibri" w:eastAsiaTheme="minorHAnsi" w:hAnsi="Calibri" w:cs="Calibri"/>
      <w:sz w:val="24"/>
      <w:szCs w:val="24"/>
      <w:lang w:val="de-DE" w:eastAsia="zh-CN"/>
    </w:rPr>
  </w:style>
  <w:style w:type="paragraph" w:customStyle="1" w:styleId="Column2">
    <w:name w:val="Column 2"/>
    <w:basedOn w:val="Normalny"/>
    <w:rsid w:val="00DC5685"/>
    <w:pPr>
      <w:spacing w:before="40" w:line="240" w:lineRule="atLeast"/>
      <w:ind w:left="255" w:hanging="255"/>
    </w:pPr>
    <w:rPr>
      <w:rFonts w:ascii="Calibri" w:eastAsiaTheme="minorHAnsi" w:hAnsi="Calibri" w:cs="Calibri"/>
      <w:szCs w:val="20"/>
      <w:lang w:val="en-GB"/>
    </w:rPr>
  </w:style>
  <w:style w:type="paragraph" w:customStyle="1" w:styleId="Column3">
    <w:name w:val="Column 3"/>
    <w:basedOn w:val="Normalny"/>
    <w:rsid w:val="00DC5685"/>
    <w:pPr>
      <w:spacing w:before="40" w:line="240" w:lineRule="atLeast"/>
      <w:ind w:left="114"/>
    </w:pPr>
    <w:rPr>
      <w:rFonts w:ascii="Calibri" w:eastAsiaTheme="minorHAnsi" w:hAnsi="Calibri" w:cs="Calibri"/>
      <w:szCs w:val="20"/>
      <w:lang w:val="en-GB"/>
    </w:rPr>
  </w:style>
  <w:style w:type="paragraph" w:customStyle="1" w:styleId="Standard11">
    <w:name w:val="Standard11"/>
    <w:basedOn w:val="Normalny"/>
    <w:rsid w:val="00DC5685"/>
    <w:pPr>
      <w:jc w:val="both"/>
    </w:pPr>
    <w:rPr>
      <w:rFonts w:ascii="Arial" w:eastAsia="PMingLiU" w:hAnsi="Arial" w:cs="Calibri"/>
      <w:szCs w:val="20"/>
      <w:lang w:val="de-DE"/>
    </w:rPr>
  </w:style>
  <w:style w:type="character" w:customStyle="1" w:styleId="KommentartextZchn1">
    <w:name w:val="Kommentartext Zchn1"/>
    <w:rsid w:val="00DC5685"/>
    <w:rPr>
      <w:lang w:eastAsia="en-US"/>
    </w:rPr>
  </w:style>
  <w:style w:type="paragraph" w:customStyle="1" w:styleId="MainText10GAB">
    <w:name w:val="MainText 10 GAB"/>
    <w:link w:val="MainText10GABZchn"/>
    <w:qFormat/>
    <w:rsid w:val="00DC5685"/>
    <w:pPr>
      <w:spacing w:after="120"/>
      <w:jc w:val="both"/>
    </w:pPr>
    <w:rPr>
      <w:szCs w:val="24"/>
      <w:lang w:val="en-GB"/>
    </w:rPr>
  </w:style>
  <w:style w:type="character" w:customStyle="1" w:styleId="MainText10GABZchn">
    <w:name w:val="MainText 10 GAB Zchn"/>
    <w:link w:val="MainText10GAB"/>
    <w:rsid w:val="00DC5685"/>
    <w:rPr>
      <w:szCs w:val="24"/>
      <w:lang w:val="en-GB"/>
    </w:rPr>
  </w:style>
  <w:style w:type="table" w:customStyle="1" w:styleId="Table-StandardGAB">
    <w:name w:val="Table-Standard GAB"/>
    <w:basedOn w:val="Standardowy"/>
    <w:uiPriority w:val="99"/>
    <w:rsid w:val="00DC5685"/>
    <w:rPr>
      <w:lang w:val="en-GB" w:eastAsia="en-GB"/>
    </w:rPr>
    <w:tblPr>
      <w:tblStyleRowBandSize w:val="1"/>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
    <w:trPr>
      <w:jc w:val="center"/>
    </w:trPr>
    <w:tcPr>
      <w:shd w:val="clear" w:color="auto" w:fill="auto"/>
      <w:vAlign w:val="center"/>
    </w:tcPr>
    <w:tblStylePr w:type="firstRow">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auto"/>
      </w:tcPr>
    </w:tblStylePr>
    <w:tblStylePr w:type="lastRow">
      <w:rPr>
        <w:rFonts w:ascii="Times New Roman" w:hAnsi="Times New Roman"/>
        <w:sz w:val="16"/>
      </w:rPr>
      <w:tblPr/>
      <w:tcPr>
        <w:tcBorders>
          <w:top w:val="nil"/>
          <w:left w:val="nil"/>
          <w:bottom w:val="nil"/>
          <w:right w:val="nil"/>
          <w:insideH w:val="nil"/>
          <w:insideV w:val="nil"/>
          <w:tl2br w:val="nil"/>
          <w:tr2bl w:val="nil"/>
        </w:tcBorders>
        <w:shd w:val="clear" w:color="auto" w:fill="auto"/>
      </w:tcPr>
    </w:tblStylePr>
    <w:tblStylePr w:type="lastCol">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Table-Footnote8GAB">
    <w:name w:val="Table-Footnote 8 GAB"/>
    <w:link w:val="Table-Footnote8GABZchn"/>
    <w:rsid w:val="00DC5685"/>
    <w:pPr>
      <w:tabs>
        <w:tab w:val="left" w:pos="709"/>
        <w:tab w:val="left" w:pos="1440"/>
        <w:tab w:val="left" w:pos="2880"/>
        <w:tab w:val="left" w:pos="4321"/>
        <w:tab w:val="left" w:pos="5761"/>
      </w:tabs>
      <w:ind w:left="431" w:right="142" w:hanging="289"/>
      <w:jc w:val="both"/>
    </w:pPr>
    <w:rPr>
      <w:sz w:val="16"/>
      <w:szCs w:val="24"/>
      <w:lang w:val="en-GB"/>
    </w:rPr>
  </w:style>
  <w:style w:type="character" w:customStyle="1" w:styleId="Table-Footnote8GABZchn">
    <w:name w:val="Table-Footnote 8 GAB Zchn"/>
    <w:link w:val="Table-Footnote8GAB"/>
    <w:rsid w:val="00DC5685"/>
    <w:rPr>
      <w:sz w:val="16"/>
      <w:szCs w:val="24"/>
      <w:lang w:val="en-GB"/>
    </w:rPr>
  </w:style>
  <w:style w:type="paragraph" w:customStyle="1" w:styleId="TableHeadingcent10GAB">
    <w:name w:val="TableHeading cent 10 GAB"/>
    <w:link w:val="TableHeadingcent10GABZchn"/>
    <w:qFormat/>
    <w:rsid w:val="00DC5685"/>
    <w:pPr>
      <w:keepNext/>
      <w:autoSpaceDE w:val="0"/>
      <w:autoSpaceDN w:val="0"/>
      <w:spacing w:before="120" w:after="120"/>
      <w:ind w:left="57" w:right="57"/>
      <w:jc w:val="center"/>
    </w:pPr>
    <w:rPr>
      <w:b/>
      <w:bCs/>
      <w:color w:val="000000"/>
      <w:szCs w:val="28"/>
      <w:lang w:val="en-GB" w:eastAsia="en-GB"/>
    </w:rPr>
  </w:style>
  <w:style w:type="character" w:customStyle="1" w:styleId="TableHeadingcent10GABZchn">
    <w:name w:val="TableHeading cent 10 GAB Zchn"/>
    <w:link w:val="TableHeadingcent10GAB"/>
    <w:rsid w:val="00DC5685"/>
    <w:rPr>
      <w:b/>
      <w:bCs/>
      <w:color w:val="000000"/>
      <w:szCs w:val="28"/>
      <w:lang w:val="en-GB" w:eastAsia="en-GB"/>
    </w:rPr>
  </w:style>
  <w:style w:type="paragraph" w:customStyle="1" w:styleId="TableHeadingleft10GAB">
    <w:name w:val="TableHeading left 10 GAB"/>
    <w:basedOn w:val="TableHeadingcent10GAB"/>
    <w:qFormat/>
    <w:rsid w:val="00DC5685"/>
    <w:pPr>
      <w:spacing w:before="60" w:after="60"/>
      <w:jc w:val="left"/>
    </w:pPr>
  </w:style>
  <w:style w:type="paragraph" w:customStyle="1" w:styleId="TableInleft10GAB">
    <w:name w:val="TableIn left 10 GAB"/>
    <w:qFormat/>
    <w:rsid w:val="00DC5685"/>
    <w:pPr>
      <w:keepNext/>
      <w:spacing w:before="60" w:after="60"/>
      <w:ind w:left="57" w:right="57"/>
    </w:pPr>
    <w:rPr>
      <w:color w:val="000000"/>
      <w:lang w:val="en-GB"/>
    </w:rPr>
  </w:style>
  <w:style w:type="paragraph" w:customStyle="1" w:styleId="TableTitleGAB">
    <w:name w:val="TableTitle GAB"/>
    <w:next w:val="MainText10GAB"/>
    <w:link w:val="TableTitleGABZchn"/>
    <w:qFormat/>
    <w:rsid w:val="00DC5685"/>
    <w:pPr>
      <w:keepNext/>
      <w:keepLines/>
      <w:tabs>
        <w:tab w:val="left" w:pos="1786"/>
      </w:tabs>
      <w:spacing w:before="360" w:after="120"/>
      <w:ind w:left="1786" w:hanging="1786"/>
    </w:pPr>
    <w:rPr>
      <w:b/>
      <w:bCs/>
      <w:szCs w:val="22"/>
      <w:lang w:val="de-DE"/>
    </w:rPr>
  </w:style>
  <w:style w:type="character" w:customStyle="1" w:styleId="TableTitleGABZchn">
    <w:name w:val="TableTitle GAB Zchn"/>
    <w:link w:val="TableTitleGAB"/>
    <w:rsid w:val="00DC5685"/>
    <w:rPr>
      <w:b/>
      <w:bCs/>
      <w:szCs w:val="22"/>
      <w:lang w:val="de-DE"/>
    </w:rPr>
  </w:style>
  <w:style w:type="character" w:customStyle="1" w:styleId="VcursiveGAB">
    <w:name w:val="V cursive GAB"/>
    <w:qFormat/>
    <w:rsid w:val="00DC5685"/>
    <w:rPr>
      <w:b w:val="0"/>
      <w:i/>
    </w:rPr>
  </w:style>
  <w:style w:type="character" w:customStyle="1" w:styleId="VsubscriptGAB">
    <w:name w:val="V subscript GAB"/>
    <w:qFormat/>
    <w:rsid w:val="00DC5685"/>
    <w:rPr>
      <w:b w:val="0"/>
      <w:color w:val="auto"/>
      <w:vertAlign w:val="subscript"/>
    </w:rPr>
  </w:style>
  <w:style w:type="paragraph" w:customStyle="1" w:styleId="Subheading3">
    <w:name w:val="Subheading 3"/>
    <w:basedOn w:val="Subheading1"/>
    <w:link w:val="Subheading3Char"/>
    <w:qFormat/>
    <w:rsid w:val="00DC5685"/>
    <w:pPr>
      <w:numPr>
        <w:ilvl w:val="0"/>
        <w:numId w:val="0"/>
      </w:numPr>
      <w:tabs>
        <w:tab w:val="clear" w:pos="255"/>
        <w:tab w:val="left" w:pos="0"/>
      </w:tabs>
      <w:spacing w:after="240"/>
      <w:ind w:left="2694" w:hanging="360"/>
    </w:pPr>
    <w:rPr>
      <w:sz w:val="22"/>
    </w:rPr>
  </w:style>
  <w:style w:type="table" w:customStyle="1" w:styleId="EFSAtable1">
    <w:name w:val="EFSA table1"/>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Tahoma" w:hAnsi="Tahoma"/>
        <w:sz w:val="18"/>
      </w:rPr>
      <w:tblPr/>
      <w:tcPr>
        <w:tcBorders>
          <w:top w:val="single" w:sz="12" w:space="0" w:color="000000"/>
        </w:tcBorders>
      </w:tcPr>
    </w:tblStylePr>
    <w:tblStylePr w:type="lastRow">
      <w:tblPr/>
      <w:tcPr>
        <w:tcBorders>
          <w:bottom w:val="single" w:sz="12" w:space="0" w:color="000000"/>
        </w:tcBorders>
      </w:tcPr>
    </w:tblStylePr>
  </w:style>
  <w:style w:type="character" w:customStyle="1" w:styleId="Subheading3Char">
    <w:name w:val="Subheading 3 Char"/>
    <w:basedOn w:val="Subheading1Char"/>
    <w:link w:val="Subheading3"/>
    <w:rsid w:val="00DC5685"/>
    <w:rPr>
      <w:rFonts w:ascii="Times New Roman Bold" w:hAnsi="Times New Roman Bold"/>
      <w:b/>
      <w:bCs/>
      <w:sz w:val="22"/>
      <w:szCs w:val="24"/>
      <w:lang w:val="en-GB"/>
    </w:rPr>
  </w:style>
  <w:style w:type="paragraph" w:customStyle="1" w:styleId="Footnotes">
    <w:name w:val="Footnotes"/>
    <w:basedOn w:val="BodyText1"/>
    <w:link w:val="FootnotesChar"/>
    <w:qFormat/>
    <w:rsid w:val="00DC5685"/>
    <w:pPr>
      <w:tabs>
        <w:tab w:val="clear" w:pos="720"/>
        <w:tab w:val="left" w:pos="0"/>
      </w:tabs>
    </w:pPr>
    <w:rPr>
      <w:sz w:val="18"/>
    </w:rPr>
  </w:style>
  <w:style w:type="character" w:customStyle="1" w:styleId="FootnotesChar">
    <w:name w:val="Footnotes Char"/>
    <w:basedOn w:val="BodytextChar"/>
    <w:link w:val="Footnotes"/>
    <w:rsid w:val="00DC5685"/>
    <w:rPr>
      <w:sz w:val="18"/>
      <w:szCs w:val="24"/>
      <w:lang w:val="en-GB"/>
    </w:rPr>
  </w:style>
  <w:style w:type="paragraph" w:customStyle="1" w:styleId="TableHeading">
    <w:name w:val="TableHeading"/>
    <w:basedOn w:val="Normalny"/>
    <w:qFormat/>
    <w:rsid w:val="00DC5685"/>
    <w:pPr>
      <w:keepNext/>
      <w:autoSpaceDE w:val="0"/>
      <w:autoSpaceDN w:val="0"/>
      <w:jc w:val="center"/>
    </w:pPr>
    <w:rPr>
      <w:b/>
      <w:bCs/>
      <w:color w:val="000000"/>
      <w:sz w:val="20"/>
      <w:szCs w:val="28"/>
      <w:lang w:val="en-GB" w:eastAsia="en-GB"/>
    </w:rPr>
  </w:style>
  <w:style w:type="paragraph" w:customStyle="1" w:styleId="TableText1">
    <w:name w:val="TableText"/>
    <w:aliases w:val="DAR011"/>
    <w:link w:val="TableTextCarattere"/>
    <w:qFormat/>
    <w:rsid w:val="00DC5685"/>
    <w:pPr>
      <w:keepNext/>
      <w:autoSpaceDE w:val="0"/>
      <w:autoSpaceDN w:val="0"/>
      <w:jc w:val="center"/>
    </w:pPr>
    <w:rPr>
      <w:bCs/>
      <w:color w:val="000000"/>
      <w:szCs w:val="28"/>
      <w:lang w:val="en-GB" w:eastAsia="en-GB"/>
    </w:rPr>
  </w:style>
  <w:style w:type="character" w:customStyle="1" w:styleId="TableTextCarattere">
    <w:name w:val="TableText Carattere"/>
    <w:link w:val="TableText1"/>
    <w:rsid w:val="00DC5685"/>
    <w:rPr>
      <w:bCs/>
      <w:color w:val="000000"/>
      <w:szCs w:val="28"/>
      <w:lang w:val="en-GB" w:eastAsia="en-GB"/>
    </w:rPr>
  </w:style>
  <w:style w:type="paragraph" w:customStyle="1" w:styleId="TableHeader11pt">
    <w:name w:val="Table Header 11pt"/>
    <w:basedOn w:val="Normalny"/>
    <w:rsid w:val="00DC5685"/>
    <w:pPr>
      <w:keepNext/>
      <w:tabs>
        <w:tab w:val="left" w:pos="720"/>
      </w:tabs>
      <w:spacing w:before="40" w:after="40"/>
      <w:jc w:val="both"/>
    </w:pPr>
    <w:rPr>
      <w:b/>
      <w:szCs w:val="24"/>
      <w:lang w:val="en-GB"/>
    </w:rPr>
  </w:style>
  <w:style w:type="paragraph" w:customStyle="1" w:styleId="TableIncent10GAB">
    <w:name w:val="TableIn cent 10 GAB"/>
    <w:basedOn w:val="Normalny"/>
    <w:qFormat/>
    <w:rsid w:val="00DC5685"/>
    <w:pPr>
      <w:keepNext/>
      <w:jc w:val="center"/>
    </w:pPr>
    <w:rPr>
      <w:color w:val="000000"/>
      <w:sz w:val="20"/>
      <w:szCs w:val="20"/>
      <w:lang w:val="en-GB"/>
    </w:rPr>
  </w:style>
  <w:style w:type="table" w:customStyle="1" w:styleId="TableGrid11">
    <w:name w:val="Table Grid11"/>
    <w:basedOn w:val="Standardowy"/>
    <w:uiPriority w:val="39"/>
    <w:rsid w:val="00DC5685"/>
    <w:pPr>
      <w:jc w:val="both"/>
    </w:pPr>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B-s-subscript">
    <w:name w:val="GAB-s-subscript"/>
    <w:qFormat/>
    <w:rsid w:val="00DC5685"/>
    <w:rPr>
      <w:b w:val="0"/>
      <w:bCs w:val="0"/>
      <w:vertAlign w:val="subscript"/>
    </w:rPr>
  </w:style>
  <w:style w:type="paragraph" w:customStyle="1" w:styleId="TableHeadingcent9GAB">
    <w:name w:val="TableHeading cent 9 GAB"/>
    <w:basedOn w:val="MainText10GAB"/>
    <w:next w:val="Normalny"/>
    <w:qFormat/>
    <w:rsid w:val="00DC5685"/>
    <w:pPr>
      <w:spacing w:before="60" w:after="60"/>
      <w:ind w:left="57" w:right="57"/>
      <w:jc w:val="center"/>
    </w:pPr>
    <w:rPr>
      <w:b/>
      <w:color w:val="000000"/>
      <w:sz w:val="18"/>
      <w:szCs w:val="18"/>
    </w:rPr>
  </w:style>
  <w:style w:type="paragraph" w:customStyle="1" w:styleId="TableIncent9GAB">
    <w:name w:val="TableIn cent 9 GAB"/>
    <w:basedOn w:val="MainText10GAB"/>
    <w:qFormat/>
    <w:rsid w:val="00DC5685"/>
    <w:pPr>
      <w:spacing w:before="60" w:after="60"/>
      <w:ind w:left="57" w:right="57"/>
      <w:jc w:val="center"/>
    </w:pPr>
    <w:rPr>
      <w:color w:val="000000"/>
      <w:sz w:val="18"/>
      <w:szCs w:val="18"/>
    </w:rPr>
  </w:style>
  <w:style w:type="table" w:customStyle="1" w:styleId="TableGrid12">
    <w:name w:val="Table Grid12"/>
    <w:basedOn w:val="Standardowy"/>
    <w:uiPriority w:val="39"/>
    <w:rsid w:val="00DC5685"/>
    <w:pPr>
      <w:jc w:val="both"/>
    </w:pPr>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terialsinTableGAB">
    <w:name w:val="Materials inTable GAB"/>
    <w:qFormat/>
    <w:rsid w:val="00DC5685"/>
    <w:pPr>
      <w:spacing w:before="40" w:after="60"/>
      <w:ind w:left="340" w:right="57"/>
      <w:jc w:val="both"/>
    </w:pPr>
    <w:rPr>
      <w:bCs/>
      <w:lang w:val="en-GB"/>
    </w:rPr>
  </w:style>
  <w:style w:type="table" w:customStyle="1" w:styleId="EFSAtable2">
    <w:name w:val="EFSA table2"/>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Tahoma" w:hAnsi="Tahoma"/>
        <w:sz w:val="18"/>
      </w:rPr>
      <w:tblPr/>
      <w:tcPr>
        <w:tcBorders>
          <w:top w:val="single" w:sz="12" w:space="0" w:color="000000"/>
        </w:tcBorders>
      </w:tcPr>
    </w:tblStylePr>
    <w:tblStylePr w:type="lastRow">
      <w:tblPr/>
      <w:tcPr>
        <w:tcBorders>
          <w:bottom w:val="single" w:sz="12" w:space="0" w:color="000000"/>
        </w:tcBorders>
      </w:tcPr>
    </w:tblStylePr>
  </w:style>
  <w:style w:type="table" w:customStyle="1" w:styleId="TableGrid13">
    <w:name w:val="Table Grid13"/>
    <w:basedOn w:val="Standardowy"/>
    <w:uiPriority w:val="39"/>
    <w:rsid w:val="00DC5685"/>
    <w:pPr>
      <w:jc w:val="both"/>
    </w:pPr>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ABTextBody10ptZchn">
    <w:name w:val="GAB TextBody 10pt Zchn"/>
    <w:link w:val="GABTextBody10pt"/>
    <w:locked/>
    <w:rsid w:val="00DC5685"/>
    <w:rPr>
      <w:szCs w:val="24"/>
    </w:rPr>
  </w:style>
  <w:style w:type="paragraph" w:customStyle="1" w:styleId="GABTextBody10pt">
    <w:name w:val="GAB TextBody 10pt"/>
    <w:link w:val="GABTextBody10ptZchn"/>
    <w:qFormat/>
    <w:rsid w:val="00DC5685"/>
    <w:pPr>
      <w:spacing w:after="120"/>
      <w:jc w:val="both"/>
    </w:pPr>
    <w:rPr>
      <w:szCs w:val="24"/>
    </w:rPr>
  </w:style>
  <w:style w:type="table" w:customStyle="1" w:styleId="TableGrid41">
    <w:name w:val="Table Grid41"/>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00fFormatvorlageArial11PtFettSchwarzBlockLinks0cmHngend">
    <w:name w:val="500 f Formatvorlage Arial 11 Pt. Fett Schwarz Block Links:  0 cm Hängend:  ..."/>
    <w:basedOn w:val="Normalny"/>
    <w:rsid w:val="00DC5685"/>
    <w:pPr>
      <w:ind w:left="425" w:hanging="425"/>
      <w:jc w:val="both"/>
    </w:pPr>
    <w:rPr>
      <w:rFonts w:ascii="Arial" w:hAnsi="Arial"/>
      <w:b/>
      <w:bCs/>
      <w:color w:val="000000"/>
      <w:szCs w:val="20"/>
      <w:lang w:val="en-GB"/>
    </w:rPr>
  </w:style>
  <w:style w:type="paragraph" w:customStyle="1" w:styleId="FormatvorlageOECD-BASIS-TEXTVor0cmHngend349cm">
    <w:name w:val="Formatvorlage OECD-BASIS-TEXT + Vor:  0 cm Hängend:  349 cm"/>
    <w:basedOn w:val="Normalny"/>
    <w:rsid w:val="00DC5685"/>
    <w:pPr>
      <w:ind w:left="2041" w:hanging="2041"/>
      <w:jc w:val="both"/>
    </w:pPr>
    <w:rPr>
      <w:color w:val="000000"/>
      <w:sz w:val="24"/>
      <w:lang w:val="en-GB"/>
    </w:rPr>
  </w:style>
  <w:style w:type="paragraph" w:customStyle="1" w:styleId="Referencesubst">
    <w:name w:val="Reference subst."/>
    <w:basedOn w:val="Normalny"/>
    <w:rsid w:val="00DC5685"/>
    <w:pPr>
      <w:spacing w:before="120" w:after="120"/>
      <w:jc w:val="both"/>
    </w:pPr>
    <w:rPr>
      <w:rFonts w:ascii="Arial" w:hAnsi="Arial"/>
      <w:szCs w:val="20"/>
    </w:rPr>
  </w:style>
  <w:style w:type="character" w:customStyle="1" w:styleId="CommentTextChar1">
    <w:name w:val="Comment Text Char1"/>
    <w:basedOn w:val="Domylnaczcionkaakapitu"/>
    <w:uiPriority w:val="99"/>
    <w:rsid w:val="00DC5685"/>
    <w:rPr>
      <w:rFonts w:ascii="Times New Roman" w:hAnsi="Times New Roman" w:cs="Times New Roman"/>
      <w:sz w:val="20"/>
      <w:szCs w:val="20"/>
      <w:lang w:val="en-GB"/>
    </w:rPr>
  </w:style>
  <w:style w:type="paragraph" w:customStyle="1" w:styleId="tablecaption0">
    <w:name w:val="table caption"/>
    <w:basedOn w:val="OECD-BASIS-TEXT"/>
    <w:next w:val="OECD-BASIS-TEXT"/>
    <w:rsid w:val="00DC5685"/>
    <w:pPr>
      <w:keepNext/>
      <w:spacing w:after="120"/>
      <w:ind w:left="1843" w:hanging="1843"/>
    </w:pPr>
    <w:rPr>
      <w:b/>
      <w:bCs/>
      <w:color w:val="auto"/>
      <w:szCs w:val="24"/>
      <w:lang w:eastAsia="de-DE"/>
    </w:rPr>
  </w:style>
  <w:style w:type="paragraph" w:customStyle="1" w:styleId="xl39">
    <w:name w:val="xl39"/>
    <w:basedOn w:val="Normalny"/>
    <w:uiPriority w:val="99"/>
    <w:rsid w:val="00DC5685"/>
    <w:pPr>
      <w:spacing w:before="100" w:beforeAutospacing="1" w:after="100" w:afterAutospacing="1"/>
    </w:pPr>
    <w:rPr>
      <w:rFonts w:ascii="Arial" w:hAnsi="Arial"/>
      <w:b/>
      <w:bCs/>
      <w:sz w:val="16"/>
      <w:szCs w:val="16"/>
      <w:lang w:val="de-DE" w:eastAsia="de-DE"/>
    </w:rPr>
  </w:style>
  <w:style w:type="paragraph" w:customStyle="1" w:styleId="xl38">
    <w:name w:val="xl38"/>
    <w:basedOn w:val="Normalny"/>
    <w:uiPriority w:val="99"/>
    <w:rsid w:val="00DC5685"/>
    <w:pPr>
      <w:spacing w:before="100" w:beforeAutospacing="1" w:after="100" w:afterAutospacing="1"/>
      <w:jc w:val="center"/>
    </w:pPr>
    <w:rPr>
      <w:rFonts w:ascii="Arial" w:hAnsi="Arial"/>
      <w:b/>
      <w:bCs/>
      <w:sz w:val="16"/>
      <w:szCs w:val="16"/>
      <w:lang w:val="de-DE" w:eastAsia="de-DE"/>
    </w:rPr>
  </w:style>
  <w:style w:type="character" w:styleId="Odwoanieprzypisukocowego">
    <w:name w:val="endnote reference"/>
    <w:basedOn w:val="Domylnaczcionkaakapitu"/>
    <w:uiPriority w:val="99"/>
    <w:rsid w:val="00DC5685"/>
    <w:rPr>
      <w:rFonts w:cs="Times New Roman"/>
      <w:vertAlign w:val="superscript"/>
    </w:rPr>
  </w:style>
  <w:style w:type="table" w:customStyle="1" w:styleId="NormaleTabelle1">
    <w:name w:val="Normale Tabelle1"/>
    <w:uiPriority w:val="99"/>
    <w:semiHidden/>
    <w:rsid w:val="00DC5685"/>
    <w:rPr>
      <w:lang w:val="en-GB" w:eastAsia="en-GB"/>
    </w:rPr>
    <w:tblPr>
      <w:tblCellMar>
        <w:top w:w="0" w:type="dxa"/>
        <w:left w:w="108" w:type="dxa"/>
        <w:bottom w:w="0" w:type="dxa"/>
        <w:right w:w="108" w:type="dxa"/>
      </w:tblCellMar>
    </w:tblPr>
  </w:style>
  <w:style w:type="character" w:customStyle="1" w:styleId="ZwrotpoegnalnyZnak">
    <w:name w:val="Zwrot pożegnalny Znak"/>
    <w:basedOn w:val="Domylnaczcionkaakapitu"/>
    <w:link w:val="Zwrotpoegnalny"/>
    <w:rsid w:val="00DC5685"/>
    <w:rPr>
      <w:sz w:val="22"/>
      <w:szCs w:val="22"/>
    </w:rPr>
  </w:style>
  <w:style w:type="character" w:customStyle="1" w:styleId="HTML-adresZnak">
    <w:name w:val="HTML - adres Znak"/>
    <w:basedOn w:val="Domylnaczcionkaakapitu"/>
    <w:link w:val="HTML-adres"/>
    <w:rsid w:val="00DC5685"/>
    <w:rPr>
      <w:i/>
      <w:iCs/>
      <w:sz w:val="22"/>
      <w:szCs w:val="22"/>
    </w:rPr>
  </w:style>
  <w:style w:type="character" w:customStyle="1" w:styleId="HTML-wstpniesformatowanyZnak">
    <w:name w:val="HTML - wstępnie sformatowany Znak"/>
    <w:basedOn w:val="Domylnaczcionkaakapitu"/>
    <w:link w:val="HTML-wstpniesformatowany"/>
    <w:rsid w:val="00DC5685"/>
    <w:rPr>
      <w:rFonts w:ascii="Courier New" w:hAnsi="Courier New" w:cs="Courier New"/>
    </w:rPr>
  </w:style>
  <w:style w:type="character" w:customStyle="1" w:styleId="TekstmakraZnak">
    <w:name w:val="Tekst makra Znak"/>
    <w:basedOn w:val="Domylnaczcionkaakapitu"/>
    <w:link w:val="Tekstmakra"/>
    <w:rsid w:val="00DC5685"/>
    <w:rPr>
      <w:rFonts w:ascii="Courier New" w:hAnsi="Courier New" w:cs="Courier New"/>
    </w:rPr>
  </w:style>
  <w:style w:type="character" w:customStyle="1" w:styleId="NagwekwiadomociZnak">
    <w:name w:val="Nagłówek wiadomości Znak"/>
    <w:basedOn w:val="Domylnaczcionkaakapitu"/>
    <w:link w:val="Nagwekwiadomoci"/>
    <w:rsid w:val="00DC5685"/>
    <w:rPr>
      <w:rFonts w:cs="Arial"/>
      <w:sz w:val="24"/>
      <w:szCs w:val="22"/>
      <w:shd w:val="pct20" w:color="auto" w:fill="auto"/>
    </w:rPr>
  </w:style>
  <w:style w:type="character" w:customStyle="1" w:styleId="TekstpodstawowyzwciciemZnak">
    <w:name w:val="Tekst podstawowy z wcięciem Znak"/>
    <w:basedOn w:val="TekstpodstawowyZnak"/>
    <w:link w:val="Tekstpodstawowyzwciciem"/>
    <w:rsid w:val="00DC5685"/>
    <w:rPr>
      <w:sz w:val="22"/>
      <w:szCs w:val="22"/>
    </w:rPr>
  </w:style>
  <w:style w:type="character" w:customStyle="1" w:styleId="Tekstpodstawowyzwciciem2Znak">
    <w:name w:val="Tekst podstawowy z wcięciem 2 Znak"/>
    <w:basedOn w:val="TekstpodstawowywcityZnak"/>
    <w:link w:val="Tekstpodstawowyzwciciem2"/>
    <w:rsid w:val="00DC5685"/>
    <w:rPr>
      <w:sz w:val="22"/>
      <w:szCs w:val="22"/>
    </w:rPr>
  </w:style>
  <w:style w:type="character" w:customStyle="1" w:styleId="PodpisZnak">
    <w:name w:val="Podpis Znak"/>
    <w:basedOn w:val="Domylnaczcionkaakapitu"/>
    <w:link w:val="Podpis"/>
    <w:rsid w:val="00DC5685"/>
    <w:rPr>
      <w:sz w:val="22"/>
      <w:szCs w:val="22"/>
    </w:rPr>
  </w:style>
  <w:style w:type="character" w:customStyle="1" w:styleId="ZwrotgrzecznociowyZnak">
    <w:name w:val="Zwrot grzecznościowy Znak"/>
    <w:basedOn w:val="Domylnaczcionkaakapitu"/>
    <w:link w:val="Zwrotgrzecznociowy"/>
    <w:rsid w:val="00DC5685"/>
    <w:rPr>
      <w:sz w:val="22"/>
      <w:szCs w:val="22"/>
    </w:rPr>
  </w:style>
  <w:style w:type="character" w:customStyle="1" w:styleId="DataZnak">
    <w:name w:val="Data Znak"/>
    <w:basedOn w:val="Domylnaczcionkaakapitu"/>
    <w:link w:val="Data"/>
    <w:rsid w:val="00DC5685"/>
    <w:rPr>
      <w:sz w:val="22"/>
      <w:szCs w:val="22"/>
    </w:rPr>
  </w:style>
  <w:style w:type="character" w:customStyle="1" w:styleId="Podpise-mailZnak">
    <w:name w:val="Podpis e-mail Znak"/>
    <w:basedOn w:val="Domylnaczcionkaakapitu"/>
    <w:link w:val="Podpise-mail"/>
    <w:rsid w:val="00DC5685"/>
    <w:rPr>
      <w:sz w:val="22"/>
      <w:szCs w:val="22"/>
    </w:rPr>
  </w:style>
  <w:style w:type="character" w:customStyle="1" w:styleId="NagweknotatkiZnak">
    <w:name w:val="Nagłówek notatki Znak"/>
    <w:basedOn w:val="Domylnaczcionkaakapitu"/>
    <w:link w:val="Nagweknotatki"/>
    <w:rsid w:val="00DC5685"/>
    <w:rPr>
      <w:sz w:val="22"/>
      <w:szCs w:val="22"/>
    </w:rPr>
  </w:style>
  <w:style w:type="character" w:customStyle="1" w:styleId="VsuperscriptGAB">
    <w:name w:val="V superscript GAB"/>
    <w:qFormat/>
    <w:rsid w:val="00DC5685"/>
    <w:rPr>
      <w:vertAlign w:val="superscript"/>
    </w:rPr>
  </w:style>
  <w:style w:type="table" w:customStyle="1" w:styleId="TableGrid121">
    <w:name w:val="Table Grid121"/>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1">
    <w:name w:val="DAR0071"/>
    <w:basedOn w:val="Standardowy"/>
    <w:next w:val="Tabela-Siatka"/>
    <w:uiPriority w:val="39"/>
    <w:rsid w:val="00DC56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39"/>
    <w:rsid w:val="00DC56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39"/>
    <w:rsid w:val="00DC56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39"/>
    <w:rsid w:val="00DC568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FSABodytextChar">
    <w:name w:val="EFSA_Body text Char"/>
    <w:basedOn w:val="Domylnaczcionkaakapitu"/>
    <w:rsid w:val="00DC5685"/>
    <w:rPr>
      <w:rFonts w:ascii="Tahoma" w:eastAsia="Times New Roman" w:hAnsi="Tahoma" w:cs="Times New Roman"/>
      <w:bCs/>
      <w:color w:val="auto"/>
      <w:sz w:val="20"/>
      <w:szCs w:val="20"/>
      <w:lang w:eastAsia="it-IT"/>
    </w:rPr>
  </w:style>
  <w:style w:type="table" w:customStyle="1" w:styleId="TableGrid14">
    <w:name w:val="Table Grid14"/>
    <w:basedOn w:val="Standardowy"/>
    <w:next w:val="Tabela-Siatka"/>
    <w:uiPriority w:val="59"/>
    <w:rsid w:val="00DC5685"/>
    <w:rPr>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AS-ReportStandard-Text">
    <w:name w:val="EAS-Report_Standard-Text"/>
    <w:basedOn w:val="Normalny"/>
    <w:link w:val="EAS-ReportStandard-TextZchn"/>
    <w:qFormat/>
    <w:rsid w:val="00DC5685"/>
    <w:pPr>
      <w:spacing w:before="120" w:after="120" w:line="300" w:lineRule="exact"/>
    </w:pPr>
    <w:rPr>
      <w:rFonts w:ascii="Arial" w:hAnsi="Arial"/>
      <w:szCs w:val="24"/>
      <w:lang w:val="en-GB"/>
    </w:rPr>
  </w:style>
  <w:style w:type="character" w:customStyle="1" w:styleId="EAS-ReportStandard-TextZchn">
    <w:name w:val="EAS-Report_Standard-Text Zchn"/>
    <w:basedOn w:val="Domylnaczcionkaakapitu"/>
    <w:link w:val="EAS-ReportStandard-Text"/>
    <w:locked/>
    <w:rsid w:val="00DC5685"/>
    <w:rPr>
      <w:rFonts w:ascii="Arial" w:hAnsi="Arial"/>
      <w:sz w:val="22"/>
      <w:szCs w:val="24"/>
      <w:lang w:val="en-GB"/>
    </w:rPr>
  </w:style>
  <w:style w:type="paragraph" w:customStyle="1" w:styleId="MMheading4notbold">
    <w:name w:val="M&amp;M heading 4 not bold"/>
    <w:basedOn w:val="Normalny"/>
    <w:link w:val="MMheading4notboldChar"/>
    <w:qFormat/>
    <w:rsid w:val="00DC5685"/>
    <w:pPr>
      <w:numPr>
        <w:ilvl w:val="4"/>
      </w:numPr>
      <w:tabs>
        <w:tab w:val="left" w:pos="720"/>
      </w:tabs>
      <w:spacing w:after="60"/>
      <w:jc w:val="both"/>
      <w:outlineLvl w:val="8"/>
    </w:pPr>
    <w:rPr>
      <w:rFonts w:cs="Arial"/>
      <w:sz w:val="24"/>
      <w:lang w:val="en-GB"/>
    </w:rPr>
  </w:style>
  <w:style w:type="character" w:customStyle="1" w:styleId="MMheading4notboldChar">
    <w:name w:val="M&amp;M heading 4 not bold Char"/>
    <w:basedOn w:val="Domylnaczcionkaakapitu"/>
    <w:link w:val="MMheading4notbold"/>
    <w:rsid w:val="00DC5685"/>
    <w:rPr>
      <w:rFonts w:cs="Arial"/>
      <w:sz w:val="24"/>
      <w:szCs w:val="22"/>
      <w:lang w:val="en-GB"/>
    </w:rPr>
  </w:style>
  <w:style w:type="table" w:customStyle="1" w:styleId="EFSAtable3">
    <w:name w:val="EFSA table3"/>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Tahoma" w:hAnsi="Tahoma"/>
        <w:sz w:val="18"/>
      </w:rPr>
      <w:tblPr/>
      <w:tcPr>
        <w:tcBorders>
          <w:top w:val="single" w:sz="12" w:space="0" w:color="000000"/>
        </w:tcBorders>
      </w:tcPr>
    </w:tblStylePr>
    <w:tblStylePr w:type="lastRow">
      <w:tblPr/>
      <w:tcPr>
        <w:tcBorders>
          <w:bottom w:val="single" w:sz="12" w:space="0" w:color="000000"/>
        </w:tcBorders>
      </w:tcPr>
    </w:tblStylePr>
  </w:style>
  <w:style w:type="table" w:customStyle="1" w:styleId="TableGrid42">
    <w:name w:val="Table Grid42"/>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FSAtable4">
    <w:name w:val="EFSA table4"/>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Tahoma" w:hAnsi="Tahoma"/>
        <w:sz w:val="18"/>
      </w:rPr>
      <w:tblPr/>
      <w:tcPr>
        <w:tcBorders>
          <w:top w:val="single" w:sz="12" w:space="0" w:color="000000"/>
        </w:tcBorders>
      </w:tcPr>
    </w:tblStylePr>
    <w:tblStylePr w:type="lastRow">
      <w:tblPr/>
      <w:tcPr>
        <w:tcBorders>
          <w:bottom w:val="single" w:sz="12" w:space="0" w:color="000000"/>
        </w:tcBorders>
      </w:tcPr>
    </w:tblStylePr>
  </w:style>
  <w:style w:type="table" w:customStyle="1" w:styleId="TableGrid43">
    <w:name w:val="Table Grid43"/>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FSAtable5">
    <w:name w:val="EFSA table5"/>
    <w:basedOn w:val="Standardowy"/>
    <w:uiPriority w:val="99"/>
    <w:rsid w:val="00DC5685"/>
    <w:rPr>
      <w:rFonts w:ascii="Calibri" w:eastAsia="Calibri" w:hAnsi="Calibri"/>
      <w:sz w:val="22"/>
      <w:szCs w:val="22"/>
      <w:lang w:val="en-GB"/>
    </w:rPr>
    <w:tblPr>
      <w:tblBorders>
        <w:insideH w:val="single" w:sz="4" w:space="0" w:color="D9D9D9"/>
        <w:insideV w:val="single" w:sz="4" w:space="0" w:color="D9D9D9"/>
      </w:tblBorders>
    </w:tblPr>
    <w:tblStylePr w:type="firstRow">
      <w:rPr>
        <w:rFonts w:ascii="Tahoma" w:hAnsi="Tahoma"/>
        <w:sz w:val="18"/>
      </w:rPr>
      <w:tblPr/>
      <w:tcPr>
        <w:tcBorders>
          <w:top w:val="single" w:sz="12" w:space="0" w:color="000000"/>
        </w:tcBorders>
      </w:tcPr>
    </w:tblStylePr>
    <w:tblStylePr w:type="lastRow">
      <w:tblPr/>
      <w:tcPr>
        <w:tcBorders>
          <w:bottom w:val="single" w:sz="12" w:space="0" w:color="000000"/>
        </w:tcBorders>
      </w:tcPr>
    </w:tblStylePr>
  </w:style>
  <w:style w:type="table" w:customStyle="1" w:styleId="TableGrid44">
    <w:name w:val="Table Grid44"/>
    <w:basedOn w:val="Standardowy"/>
    <w:next w:val="Tabela-Siatka"/>
    <w:uiPriority w:val="39"/>
    <w:rsid w:val="00DC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Standard">
    <w:name w:val="OECD Standard"/>
    <w:basedOn w:val="Normalny"/>
    <w:link w:val="OECDStandardZchn"/>
    <w:qFormat/>
    <w:rsid w:val="00067435"/>
    <w:pPr>
      <w:spacing w:before="120"/>
      <w:jc w:val="both"/>
    </w:pPr>
    <w:rPr>
      <w:szCs w:val="24"/>
    </w:rPr>
  </w:style>
  <w:style w:type="character" w:customStyle="1" w:styleId="OECDStandardZchn">
    <w:name w:val="OECD Standard Zchn"/>
    <w:link w:val="OECDStandard"/>
    <w:locked/>
    <w:rsid w:val="00067435"/>
    <w:rPr>
      <w:sz w:val="22"/>
      <w:szCs w:val="24"/>
    </w:rPr>
  </w:style>
  <w:style w:type="paragraph" w:customStyle="1" w:styleId="OECDStandardboldleft">
    <w:name w:val="OECD Standard bold left"/>
    <w:basedOn w:val="OECDStandard"/>
    <w:qFormat/>
    <w:rsid w:val="00067435"/>
    <w:pPr>
      <w:jc w:val="left"/>
    </w:pPr>
    <w:rPr>
      <w:b/>
      <w:noProof/>
      <w:lang w:val="en-GB"/>
    </w:rPr>
  </w:style>
  <w:style w:type="paragraph" w:customStyle="1" w:styleId="OECDStandardboldcentered">
    <w:name w:val="OECD Standard bold centered"/>
    <w:basedOn w:val="OECDStandardboldleft"/>
    <w:next w:val="OECDStandard"/>
    <w:qFormat/>
    <w:rsid w:val="00067435"/>
    <w:pPr>
      <w:spacing w:before="360" w:after="240"/>
      <w:jc w:val="center"/>
    </w:pPr>
  </w:style>
  <w:style w:type="character" w:customStyle="1" w:styleId="ui-provider">
    <w:name w:val="ui-provider"/>
    <w:basedOn w:val="Domylnaczcionkaakapitu"/>
    <w:rsid w:val="00A26547"/>
  </w:style>
  <w:style w:type="paragraph" w:customStyle="1" w:styleId="MainTextgE">
    <w:name w:val="Main Text_gE"/>
    <w:link w:val="MainTextgEChar"/>
    <w:rsid w:val="0098238A"/>
    <w:pPr>
      <w:spacing w:after="120"/>
      <w:jc w:val="both"/>
    </w:pPr>
    <w:rPr>
      <w:color w:val="000000"/>
      <w:sz w:val="36"/>
      <w:szCs w:val="22"/>
      <w:lang w:val="en-GB" w:eastAsia="de-DE"/>
    </w:rPr>
  </w:style>
  <w:style w:type="character" w:customStyle="1" w:styleId="RepTitleBoldChar">
    <w:name w:val="Rep Title Bold Char"/>
    <w:basedOn w:val="RepStandardZchnZchn"/>
    <w:link w:val="RepTitleBold"/>
    <w:rsid w:val="0098238A"/>
    <w:rPr>
      <w:b/>
      <w:sz w:val="36"/>
      <w:szCs w:val="22"/>
      <w:lang w:val="en-GB"/>
    </w:rPr>
  </w:style>
  <w:style w:type="character" w:customStyle="1" w:styleId="RepTitleChar">
    <w:name w:val="Rep Title Char"/>
    <w:basedOn w:val="RepTitleBoldChar"/>
    <w:link w:val="RepTitle"/>
    <w:rsid w:val="0098238A"/>
    <w:rPr>
      <w:b w:val="0"/>
      <w:sz w:val="36"/>
      <w:szCs w:val="22"/>
      <w:lang w:val="en-GB"/>
    </w:rPr>
  </w:style>
  <w:style w:type="character" w:customStyle="1" w:styleId="MainTextgEChar">
    <w:name w:val="Main Text_gE Char"/>
    <w:basedOn w:val="RepTitleChar"/>
    <w:link w:val="MainTextgE"/>
    <w:rsid w:val="0098238A"/>
    <w:rPr>
      <w:b w:val="0"/>
      <w:color w:val="000000"/>
      <w:sz w:val="36"/>
      <w:szCs w:val="22"/>
      <w:lang w:val="en-GB" w:eastAsia="de-DE"/>
    </w:rPr>
  </w:style>
  <w:style w:type="paragraph" w:customStyle="1" w:styleId="FootnoteLinegE">
    <w:name w:val="Footnote Line_gE"/>
    <w:basedOn w:val="MainTextgE"/>
    <w:link w:val="FootnoteLinegEChar"/>
    <w:rsid w:val="0098238A"/>
    <w:pPr>
      <w:spacing w:before="120"/>
    </w:pPr>
    <w:rPr>
      <w:sz w:val="18"/>
    </w:rPr>
  </w:style>
  <w:style w:type="character" w:customStyle="1" w:styleId="FootnoteLinegEChar">
    <w:name w:val="Footnote Line_gE Char"/>
    <w:basedOn w:val="RepTitleChar"/>
    <w:link w:val="FootnoteLinegE"/>
    <w:rsid w:val="0098238A"/>
    <w:rPr>
      <w:b w:val="0"/>
      <w:color w:val="000000"/>
      <w:sz w:val="18"/>
      <w:szCs w:val="22"/>
      <w:lang w:val="en-GB" w:eastAsia="de-DE"/>
    </w:rPr>
  </w:style>
  <w:style w:type="paragraph" w:customStyle="1" w:styleId="GAPTableTitlegE">
    <w:name w:val="GAP Table Title_gE"/>
    <w:basedOn w:val="MainTextgE"/>
    <w:link w:val="GAPTableTitlegEChar"/>
    <w:rsid w:val="0098238A"/>
    <w:pPr>
      <w:tabs>
        <w:tab w:val="left" w:pos="709"/>
      </w:tabs>
      <w:spacing w:before="360"/>
      <w:ind w:left="1531" w:right="57" w:hanging="1474"/>
      <w:jc w:val="left"/>
    </w:pPr>
    <w:rPr>
      <w:b/>
    </w:rPr>
  </w:style>
  <w:style w:type="character" w:customStyle="1" w:styleId="GAPTableTitlegEChar">
    <w:name w:val="GAP Table Title_gE Char"/>
    <w:basedOn w:val="RepTitleChar"/>
    <w:link w:val="GAPTableTitlegE"/>
    <w:rsid w:val="0098238A"/>
    <w:rPr>
      <w:b/>
      <w:color w:val="000000"/>
      <w:sz w:val="36"/>
      <w:szCs w:val="22"/>
      <w:lang w:val="en-GB" w:eastAsia="de-DE"/>
    </w:rPr>
  </w:style>
  <w:style w:type="paragraph" w:customStyle="1" w:styleId="HeadingLeftUP10gE">
    <w:name w:val="Heading Left UP 10_gE"/>
    <w:basedOn w:val="MainTextgE"/>
    <w:next w:val="MainTextgE"/>
    <w:link w:val="HeadingLeftUP10gEChar"/>
    <w:rsid w:val="0098238A"/>
    <w:pPr>
      <w:spacing w:before="240"/>
      <w:jc w:val="left"/>
    </w:pPr>
    <w:rPr>
      <w:b/>
      <w:caps/>
    </w:rPr>
  </w:style>
  <w:style w:type="character" w:customStyle="1" w:styleId="HeadingLeftUP10gEChar">
    <w:name w:val="Heading Left UP 10_gE Char"/>
    <w:basedOn w:val="RepTitleChar"/>
    <w:link w:val="HeadingLeftUP10gE"/>
    <w:rsid w:val="0098238A"/>
    <w:rPr>
      <w:b/>
      <w:caps/>
      <w:color w:val="000000"/>
      <w:sz w:val="36"/>
      <w:szCs w:val="22"/>
      <w:lang w:val="en-GB" w:eastAsia="de-DE"/>
    </w:rPr>
  </w:style>
  <w:style w:type="paragraph" w:customStyle="1" w:styleId="TableFootnote8gE">
    <w:name w:val="Table Footnote 8_gE"/>
    <w:basedOn w:val="MainTextgE"/>
    <w:link w:val="TableFootnote8gEChar"/>
    <w:rsid w:val="0098238A"/>
    <w:pPr>
      <w:tabs>
        <w:tab w:val="left" w:pos="709"/>
      </w:tabs>
      <w:spacing w:after="0"/>
      <w:ind w:left="425" w:right="142" w:hanging="283"/>
      <w:jc w:val="left"/>
    </w:pPr>
    <w:rPr>
      <w:sz w:val="16"/>
    </w:rPr>
  </w:style>
  <w:style w:type="character" w:customStyle="1" w:styleId="TableFootnote8gEChar">
    <w:name w:val="Table Footnote 8_gE Char"/>
    <w:basedOn w:val="RepTitleChar"/>
    <w:link w:val="TableFootnote8gE"/>
    <w:rsid w:val="0098238A"/>
    <w:rPr>
      <w:b w:val="0"/>
      <w:color w:val="000000"/>
      <w:sz w:val="16"/>
      <w:szCs w:val="22"/>
      <w:lang w:val="en-GB" w:eastAsia="de-DE"/>
    </w:rPr>
  </w:style>
  <w:style w:type="paragraph" w:customStyle="1" w:styleId="MaterialsInTablegE">
    <w:name w:val="Materials InTable_gE"/>
    <w:basedOn w:val="MainTextgE"/>
    <w:link w:val="MaterialsInTablegEChar"/>
    <w:rsid w:val="0098238A"/>
    <w:pPr>
      <w:spacing w:before="60" w:after="60"/>
      <w:ind w:left="340" w:right="57"/>
    </w:pPr>
  </w:style>
  <w:style w:type="character" w:customStyle="1" w:styleId="MaterialsInTablegEChar">
    <w:name w:val="Materials InTable_gE Char"/>
    <w:basedOn w:val="RepTitleChar"/>
    <w:link w:val="MaterialsInTablegE"/>
    <w:rsid w:val="0098238A"/>
    <w:rPr>
      <w:b w:val="0"/>
      <w:color w:val="000000"/>
      <w:sz w:val="36"/>
      <w:szCs w:val="22"/>
      <w:lang w:val="en-GB" w:eastAsia="de-DE"/>
    </w:rPr>
  </w:style>
  <w:style w:type="paragraph" w:customStyle="1" w:styleId="MaterialsInTableboldgE">
    <w:name w:val="Materials InTable bold_gE"/>
    <w:basedOn w:val="MainTextgE"/>
    <w:link w:val="MaterialsInTableboldgEChar"/>
    <w:rsid w:val="0098238A"/>
    <w:pPr>
      <w:spacing w:before="60" w:after="60"/>
      <w:ind w:left="57" w:right="57"/>
    </w:pPr>
    <w:rPr>
      <w:b/>
    </w:rPr>
  </w:style>
  <w:style w:type="character" w:customStyle="1" w:styleId="MaterialsInTableboldgEChar">
    <w:name w:val="Materials InTable bold_gE Char"/>
    <w:basedOn w:val="RepTitleChar"/>
    <w:link w:val="MaterialsInTableboldgE"/>
    <w:rsid w:val="0098238A"/>
    <w:rPr>
      <w:b/>
      <w:color w:val="000000"/>
      <w:sz w:val="36"/>
      <w:szCs w:val="22"/>
      <w:lang w:val="en-GB" w:eastAsia="de-DE"/>
    </w:rPr>
  </w:style>
  <w:style w:type="paragraph" w:customStyle="1" w:styleId="HaFTableIncent8gE">
    <w:name w:val="HaF TableIn cent 8_gE"/>
    <w:basedOn w:val="MainTextgE"/>
    <w:link w:val="HaFTableIncent8gEChar"/>
    <w:rsid w:val="0098238A"/>
    <w:pPr>
      <w:spacing w:after="0"/>
      <w:jc w:val="center"/>
    </w:pPr>
    <w:rPr>
      <w:sz w:val="16"/>
    </w:rPr>
  </w:style>
  <w:style w:type="character" w:customStyle="1" w:styleId="HaFTableIncent8gEChar">
    <w:name w:val="HaF TableIn cent 8_gE Char"/>
    <w:basedOn w:val="RepTitleChar"/>
    <w:link w:val="HaFTableIncent8gE"/>
    <w:rsid w:val="0098238A"/>
    <w:rPr>
      <w:b w:val="0"/>
      <w:color w:val="000000"/>
      <w:sz w:val="16"/>
      <w:szCs w:val="22"/>
      <w:lang w:val="en-GB" w:eastAsia="de-DE"/>
    </w:rPr>
  </w:style>
  <w:style w:type="paragraph" w:customStyle="1" w:styleId="HaFTableInleft8gE">
    <w:name w:val="HaF TableIn left 8_gE"/>
    <w:basedOn w:val="MainTextgE"/>
    <w:link w:val="HaFTableInleft8gEChar"/>
    <w:rsid w:val="0098238A"/>
    <w:pPr>
      <w:spacing w:after="0"/>
      <w:jc w:val="left"/>
    </w:pPr>
    <w:rPr>
      <w:sz w:val="16"/>
    </w:rPr>
  </w:style>
  <w:style w:type="character" w:customStyle="1" w:styleId="HaFTableInleft8gEChar">
    <w:name w:val="HaF TableIn left 8_gE Char"/>
    <w:basedOn w:val="RepTitleChar"/>
    <w:link w:val="HaFTableInleft8gE"/>
    <w:rsid w:val="0098238A"/>
    <w:rPr>
      <w:b w:val="0"/>
      <w:color w:val="000000"/>
      <w:sz w:val="16"/>
      <w:szCs w:val="22"/>
      <w:lang w:val="en-GB" w:eastAsia="de-DE"/>
    </w:rPr>
  </w:style>
  <w:style w:type="paragraph" w:customStyle="1" w:styleId="HaFTableInright8gE">
    <w:name w:val="HaF TableIn right 8_gE"/>
    <w:basedOn w:val="MainTextgE"/>
    <w:link w:val="HaFTableInright8gEChar"/>
    <w:rsid w:val="0098238A"/>
    <w:pPr>
      <w:spacing w:after="0"/>
      <w:jc w:val="right"/>
    </w:pPr>
    <w:rPr>
      <w:sz w:val="16"/>
    </w:rPr>
  </w:style>
  <w:style w:type="character" w:customStyle="1" w:styleId="HaFTableInright8gEChar">
    <w:name w:val="HaF TableIn right 8_gE Char"/>
    <w:basedOn w:val="RepTitleChar"/>
    <w:link w:val="HaFTableInright8gE"/>
    <w:rsid w:val="0098238A"/>
    <w:rPr>
      <w:b w:val="0"/>
      <w:color w:val="000000"/>
      <w:sz w:val="16"/>
      <w:szCs w:val="22"/>
      <w:lang w:val="en-GB" w:eastAsia="de-DE"/>
    </w:rPr>
  </w:style>
  <w:style w:type="character" w:customStyle="1" w:styleId="StyleOECD-BASIS-TEXTLeftChar">
    <w:name w:val="Style OECD-BASIS-TEXT + Left Char"/>
    <w:basedOn w:val="Domylnaczcionkaakapitu"/>
    <w:link w:val="StyleOECD-BASIS-TEXTLeft"/>
    <w:rsid w:val="0098238A"/>
    <w:rPr>
      <w:color w:val="000000"/>
      <w:sz w:val="24"/>
      <w:szCs w:val="22"/>
      <w:lang w:val="en-GB"/>
    </w:rPr>
  </w:style>
  <w:style w:type="paragraph" w:customStyle="1" w:styleId="TableInleft10gE">
    <w:name w:val="TableIn left 10_gE"/>
    <w:basedOn w:val="MainTextgE"/>
    <w:link w:val="TableInleft10gEChar"/>
    <w:rsid w:val="0098238A"/>
    <w:pPr>
      <w:spacing w:before="60" w:after="60"/>
      <w:ind w:left="57" w:right="57"/>
      <w:jc w:val="left"/>
    </w:pPr>
    <w:rPr>
      <w:bCs/>
      <w:color w:val="auto"/>
      <w:szCs w:val="36"/>
      <w:lang w:eastAsia="en-GB"/>
    </w:rPr>
  </w:style>
  <w:style w:type="character" w:customStyle="1" w:styleId="TableInleft10gEChar">
    <w:name w:val="TableIn left 10_gE Char"/>
    <w:link w:val="TableInleft10gE"/>
    <w:rsid w:val="0098238A"/>
    <w:rPr>
      <w:bCs/>
      <w:sz w:val="36"/>
      <w:szCs w:val="36"/>
      <w:lang w:val="en-GB" w:eastAsia="en-GB"/>
    </w:rPr>
  </w:style>
  <w:style w:type="character" w:customStyle="1" w:styleId="RepTableHeaderChar">
    <w:name w:val="Rep Table Header Char"/>
    <w:link w:val="RepTableHeader"/>
    <w:rsid w:val="0098238A"/>
    <w:rPr>
      <w:b/>
    </w:rPr>
  </w:style>
  <w:style w:type="numbering" w:customStyle="1" w:styleId="KeineListe1">
    <w:name w:val="Keine Liste1"/>
    <w:next w:val="Bezlisty"/>
    <w:semiHidden/>
    <w:rsid w:val="0098238A"/>
  </w:style>
  <w:style w:type="numbering" w:customStyle="1" w:styleId="KeineListe2">
    <w:name w:val="Keine Liste2"/>
    <w:next w:val="Bezlisty"/>
    <w:semiHidden/>
    <w:rsid w:val="0098238A"/>
  </w:style>
  <w:style w:type="numbering" w:customStyle="1" w:styleId="KeineListe3">
    <w:name w:val="Keine Liste3"/>
    <w:next w:val="Bezlisty"/>
    <w:semiHidden/>
    <w:rsid w:val="0098238A"/>
  </w:style>
  <w:style w:type="numbering" w:customStyle="1" w:styleId="KeineListe4">
    <w:name w:val="Keine Liste4"/>
    <w:next w:val="Bezlisty"/>
    <w:semiHidden/>
    <w:rsid w:val="0098238A"/>
  </w:style>
  <w:style w:type="numbering" w:customStyle="1" w:styleId="KeineListe5">
    <w:name w:val="Keine Liste5"/>
    <w:next w:val="Bezlisty"/>
    <w:semiHidden/>
    <w:rsid w:val="0098238A"/>
  </w:style>
  <w:style w:type="numbering" w:customStyle="1" w:styleId="KeineListe6">
    <w:name w:val="Keine Liste6"/>
    <w:next w:val="Bezlisty"/>
    <w:uiPriority w:val="99"/>
    <w:semiHidden/>
    <w:unhideWhenUsed/>
    <w:rsid w:val="0098238A"/>
  </w:style>
  <w:style w:type="paragraph" w:customStyle="1" w:styleId="Ecotoxnormal">
    <w:name w:val="Ecotox normal"/>
    <w:basedOn w:val="Normalny"/>
    <w:rsid w:val="0098238A"/>
    <w:pPr>
      <w:spacing w:line="264" w:lineRule="auto"/>
      <w:jc w:val="both"/>
    </w:pPr>
    <w:rPr>
      <w:szCs w:val="24"/>
      <w:lang w:val="en-GB" w:eastAsia="fr-FR"/>
    </w:rPr>
  </w:style>
  <w:style w:type="character" w:customStyle="1" w:styleId="TableTextChar">
    <w:name w:val="TableText Char"/>
    <w:aliases w:val="DAR011 Char"/>
    <w:rsid w:val="00F35C1D"/>
    <w:rPr>
      <w:rFonts w:ascii="Times New Roman" w:eastAsia="Times New Roman" w:hAnsi="Times New Roman" w:cs="Times New Roman"/>
      <w:szCs w:val="20"/>
      <w:lang w:eastAsia="de-DE"/>
    </w:rPr>
  </w:style>
  <w:style w:type="character" w:customStyle="1" w:styleId="RepTableFootnoteZchn">
    <w:name w:val="Rep Table Footnote Zchn"/>
    <w:link w:val="RepTableFootnote"/>
    <w:locked/>
    <w:rsid w:val="00FC6519"/>
    <w:rPr>
      <w:noProof/>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ur02.safelinks.protection.outlook.com/?url=https%3A%2F%2Fwww.ctgb.nl%2Fdocumenten%2Ftoetsingskader-gewasbeschermingsmiddelen%2F2019%2F06%2F01%2Fdefinitielijst-toepassingsgebieden-gewasbeschermingsmiddelen-dtg-2.2&amp;data=05%7C02%7Cgemma.peidro-saperas%40basf.com%7C8e21ff0d11b14e0f993808dc5560fa95%7Cecaa386bc8df4ce0ad01740cbdb5ba55%7C0%7C0%7C638479122208585391%7CUnknown%7CTWFpbGZsb3d8eyJWIjoiMC4wLjAwMDAiLCJQIjoiV2luMzIiLCJBTiI6Ik1haWwiLCJXVCI6Mn0%3D%7C0%7C%7C%7C&amp;sdata=X5nJSR5EjNYklrxPd40eI0rz3EiCufCFeOyYiD9FN1g%3D&amp;reserved=0" TargetMode="External"/><Relationship Id="rId26" Type="http://schemas.openxmlformats.org/officeDocument/2006/relationships/footer" Target="footer8.xml"/><Relationship Id="rId39" Type="http://schemas.openxmlformats.org/officeDocument/2006/relationships/footer" Target="footer10.xml"/><Relationship Id="rId21" Type="http://schemas.openxmlformats.org/officeDocument/2006/relationships/image" Target="media/image3.wmf"/><Relationship Id="rId34" Type="http://schemas.openxmlformats.org/officeDocument/2006/relationships/oleObject" Target="embeddings/oleObject4.bin"/><Relationship Id="rId42" Type="http://schemas.openxmlformats.org/officeDocument/2006/relationships/oleObject" Target="embeddings/oleObject6.bin"/><Relationship Id="rId47" Type="http://schemas.openxmlformats.org/officeDocument/2006/relationships/header" Target="header8.xml"/><Relationship Id="rId50" Type="http://schemas.openxmlformats.org/officeDocument/2006/relationships/footer" Target="footer14.xml"/><Relationship Id="rId55" Type="http://schemas.openxmlformats.org/officeDocument/2006/relationships/header" Target="header10.xml"/><Relationship Id="rId63" Type="http://schemas.openxmlformats.org/officeDocument/2006/relationships/footer" Target="footer23.xml"/><Relationship Id="rId68" Type="http://schemas.openxmlformats.org/officeDocument/2006/relationships/footer" Target="footer26.xml"/><Relationship Id="rId7" Type="http://schemas.openxmlformats.org/officeDocument/2006/relationships/settings" Target="settings.xml"/><Relationship Id="rId71" Type="http://schemas.openxmlformats.org/officeDocument/2006/relationships/footer" Target="footer28.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image" Target="media/image6.wmf"/><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image" Target="media/image8.wmf"/><Relationship Id="rId37" Type="http://schemas.openxmlformats.org/officeDocument/2006/relationships/header" Target="header5.xml"/><Relationship Id="rId40" Type="http://schemas.openxmlformats.org/officeDocument/2006/relationships/footer" Target="footer11.xml"/><Relationship Id="rId45" Type="http://schemas.openxmlformats.org/officeDocument/2006/relationships/image" Target="media/image11.png"/><Relationship Id="rId53" Type="http://schemas.openxmlformats.org/officeDocument/2006/relationships/footer" Target="footer16.xml"/><Relationship Id="rId58" Type="http://schemas.openxmlformats.org/officeDocument/2006/relationships/footer" Target="footer20.xml"/><Relationship Id="rId66" Type="http://schemas.openxmlformats.org/officeDocument/2006/relationships/footer" Target="footer25.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3.xml"/><Relationship Id="rId28" Type="http://schemas.openxmlformats.org/officeDocument/2006/relationships/oleObject" Target="embeddings/oleObject1.bin"/><Relationship Id="rId36" Type="http://schemas.openxmlformats.org/officeDocument/2006/relationships/header" Target="header4.xml"/><Relationship Id="rId49" Type="http://schemas.openxmlformats.org/officeDocument/2006/relationships/footer" Target="footer13.xml"/><Relationship Id="rId57" Type="http://schemas.openxmlformats.org/officeDocument/2006/relationships/footer" Target="footer19.xml"/><Relationship Id="rId61"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image" Target="media/image1.wmf"/><Relationship Id="rId31" Type="http://schemas.openxmlformats.org/officeDocument/2006/relationships/image" Target="media/image7.png"/><Relationship Id="rId44" Type="http://schemas.openxmlformats.org/officeDocument/2006/relationships/header" Target="header6.xml"/><Relationship Id="rId52" Type="http://schemas.openxmlformats.org/officeDocument/2006/relationships/footer" Target="footer15.xml"/><Relationship Id="rId60" Type="http://schemas.openxmlformats.org/officeDocument/2006/relationships/footer" Target="footer21.xml"/><Relationship Id="rId65" Type="http://schemas.openxmlformats.org/officeDocument/2006/relationships/footer" Target="footer24.xml"/><Relationship Id="rId73" Type="http://schemas.openxmlformats.org/officeDocument/2006/relationships/footer" Target="footer2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wmf"/><Relationship Id="rId27" Type="http://schemas.openxmlformats.org/officeDocument/2006/relationships/image" Target="media/image5.wmf"/><Relationship Id="rId30" Type="http://schemas.openxmlformats.org/officeDocument/2006/relationships/oleObject" Target="embeddings/oleObject2.bin"/><Relationship Id="rId35" Type="http://schemas.openxmlformats.org/officeDocument/2006/relationships/oleObject" Target="embeddings/oleObject5.bin"/><Relationship Id="rId43" Type="http://schemas.openxmlformats.org/officeDocument/2006/relationships/image" Target="media/image10.wmf"/><Relationship Id="rId48" Type="http://schemas.openxmlformats.org/officeDocument/2006/relationships/footer" Target="footer12.xml"/><Relationship Id="rId56" Type="http://schemas.openxmlformats.org/officeDocument/2006/relationships/footer" Target="footer18.xml"/><Relationship Id="rId64" Type="http://schemas.openxmlformats.org/officeDocument/2006/relationships/header" Target="header13.xml"/><Relationship Id="rId69" Type="http://schemas.openxmlformats.org/officeDocument/2006/relationships/header" Target="header15.xml"/><Relationship Id="rId8" Type="http://schemas.openxmlformats.org/officeDocument/2006/relationships/webSettings" Target="webSettings.xml"/><Relationship Id="rId51" Type="http://schemas.openxmlformats.org/officeDocument/2006/relationships/header" Target="header9.xml"/><Relationship Id="rId72" Type="http://schemas.openxmlformats.org/officeDocument/2006/relationships/header" Target="header16.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oleObject" Target="embeddings/oleObject3.bin"/><Relationship Id="rId38" Type="http://schemas.openxmlformats.org/officeDocument/2006/relationships/footer" Target="footer9.xm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eader" Target="header14.xml"/><Relationship Id="rId20" Type="http://schemas.openxmlformats.org/officeDocument/2006/relationships/image" Target="media/image2.wmf"/><Relationship Id="rId41" Type="http://schemas.openxmlformats.org/officeDocument/2006/relationships/image" Target="media/image9.wmf"/><Relationship Id="rId54" Type="http://schemas.openxmlformats.org/officeDocument/2006/relationships/footer" Target="footer17.xml"/><Relationship Id="rId62" Type="http://schemas.openxmlformats.org/officeDocument/2006/relationships/header" Target="header12.xml"/><Relationship Id="rId70" Type="http://schemas.openxmlformats.org/officeDocument/2006/relationships/footer" Target="footer27.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AAD184906CF04B91CE8E69F6926654" ma:contentTypeVersion="21" ma:contentTypeDescription="Create a new document." ma:contentTypeScope="" ma:versionID="e1754b01583326b4b3484346c79c416d">
  <xsd:schema xmlns:xsd="http://www.w3.org/2001/XMLSchema" xmlns:xs="http://www.w3.org/2001/XMLSchema" xmlns:p="http://schemas.microsoft.com/office/2006/metadata/properties" xmlns:ns2="265f12b7-10c2-4820-bc17-9d26cc11f579" xmlns:ns3="69b8240c-2705-4571-993b-ffe32895e965" targetNamespace="http://schemas.microsoft.com/office/2006/metadata/properties" ma:root="true" ma:fieldsID="981f8f6f4b0eaa33d8f35c28a3082428" ns2:_="" ns3:_="">
    <xsd:import namespace="265f12b7-10c2-4820-bc17-9d26cc11f579"/>
    <xsd:import namespace="69b8240c-2705-4571-993b-ffe32895e965"/>
    <xsd:element name="properties">
      <xsd:complexType>
        <xsd:sequence>
          <xsd:element name="documentManagement">
            <xsd:complexType>
              <xsd:all>
                <xsd:element ref="ns2:prv_Category_Choice" minOccurs="0"/>
                <xsd:element ref="ns3:prv_Description" minOccurs="0"/>
                <xsd:element ref="ns3:prv_Responsible"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f12b7-10c2-4820-bc17-9d26cc11f579" elementFormDefault="qualified">
    <xsd:import namespace="http://schemas.microsoft.com/office/2006/documentManagement/types"/>
    <xsd:import namespace="http://schemas.microsoft.com/office/infopath/2007/PartnerControls"/>
    <xsd:element name="prv_Category_Choice" ma:index="8" nillable="true" ma:displayName="Category" ma:internalName="prv_Category_Choice">
      <xsd:simpleType>
        <xsd:restriction base="dms:Choice">
          <xsd:enumeration value="Development"/>
          <xsd:enumeration value="Product"/>
          <xsd:enumeration value="Project"/>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88ef89-c47b-4775-9a59-32d6fe02c40a}" ma:internalName="TaxCatchAll" ma:showField="CatchAllData" ma:web="265f12b7-10c2-4820-bc17-9d26cc11f5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b8240c-2705-4571-993b-ffe32895e965" elementFormDefault="qualified">
    <xsd:import namespace="http://schemas.microsoft.com/office/2006/documentManagement/types"/>
    <xsd:import namespace="http://schemas.microsoft.com/office/infopath/2007/PartnerControls"/>
    <xsd:element name="prv_Description" ma:index="9" nillable="true" ma:displayName="Description" ma:internalName="prv_Description" ma:readOnly="false">
      <xsd:simpleType>
        <xsd:restriction base="dms:Note">
          <xsd:maxLength value="255"/>
        </xsd:restriction>
      </xsd:simpleType>
    </xsd:element>
    <xsd:element name="prv_Responsible" ma:index="10" nillable="true" ma:displayName="Responsible" ma:internalName="prv_Responsible"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04f2cd92-8d93-4e4c-83d3-86703d9155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65f12b7-10c2-4820-bc17-9d26cc11f579" xsi:nil="true"/>
    <lcf76f155ced4ddcb4097134ff3c332f xmlns="69b8240c-2705-4571-993b-ffe32895e965">
      <Terms xmlns="http://schemas.microsoft.com/office/infopath/2007/PartnerControls"/>
    </lcf76f155ced4ddcb4097134ff3c332f>
    <prv_Responsible xmlns="69b8240c-2705-4571-993b-ffe32895e965">
      <UserInfo>
        <DisplayName/>
        <AccountId xsi:nil="true"/>
        <AccountType/>
      </UserInfo>
    </prv_Responsible>
    <prv_Description xmlns="69b8240c-2705-4571-993b-ffe32895e965" xsi:nil="true"/>
    <prv_Category_Choice xmlns="265f12b7-10c2-4820-bc17-9d26cc11f579" xsi:nil="true"/>
  </documentManagement>
</p:properties>
</file>

<file path=customXml/itemProps1.xml><?xml version="1.0" encoding="utf-8"?>
<ds:datastoreItem xmlns:ds="http://schemas.openxmlformats.org/officeDocument/2006/customXml" ds:itemID="{7AFC86F2-6CFB-451A-9A60-B9682F373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f12b7-10c2-4820-bc17-9d26cc11f579"/>
    <ds:schemaRef ds:uri="69b8240c-2705-4571-993b-ffe32895e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29089C-54BE-4D06-A870-EAA04EC7E874}">
  <ds:schemaRefs>
    <ds:schemaRef ds:uri="http://schemas.microsoft.com/sharepoint/v3/contenttype/forms"/>
  </ds:schemaRefs>
</ds:datastoreItem>
</file>

<file path=customXml/itemProps3.xml><?xml version="1.0" encoding="utf-8"?>
<ds:datastoreItem xmlns:ds="http://schemas.openxmlformats.org/officeDocument/2006/customXml" ds:itemID="{5F47E0D7-6005-4CCC-873A-712AF43F583E}">
  <ds:schemaRefs>
    <ds:schemaRef ds:uri="http://schemas.openxmlformats.org/officeDocument/2006/bibliography"/>
  </ds:schemaRefs>
</ds:datastoreItem>
</file>

<file path=customXml/itemProps4.xml><?xml version="1.0" encoding="utf-8"?>
<ds:datastoreItem xmlns:ds="http://schemas.openxmlformats.org/officeDocument/2006/customXml" ds:itemID="{A74AAFAC-2FA7-4F3D-97D8-55F7EC546E80}">
  <ds:schemaRefs>
    <ds:schemaRef ds:uri="http://schemas.microsoft.com/office/2006/metadata/properties"/>
    <ds:schemaRef ds:uri="http://schemas.microsoft.com/office/infopath/2007/PartnerControls"/>
    <ds:schemaRef ds:uri="265f12b7-10c2-4820-bc17-9d26cc11f579"/>
    <ds:schemaRef ds:uri="69b8240c-2705-4571-993b-ffe32895e965"/>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280</Pages>
  <Words>86190</Words>
  <Characters>517144</Characters>
  <Application>Microsoft Office Word</Application>
  <DocSecurity>0</DocSecurity>
  <Lines>4309</Lines>
  <Paragraphs>1204</Paragraphs>
  <ScaleCrop>false</ScaleCrop>
  <HeadingPairs>
    <vt:vector size="8" baseType="variant">
      <vt:variant>
        <vt:lpstr>Tytuł</vt:lpstr>
      </vt:variant>
      <vt:variant>
        <vt:i4>1</vt:i4>
      </vt:variant>
      <vt:variant>
        <vt:lpstr>Titel</vt:lpstr>
      </vt:variant>
      <vt:variant>
        <vt:i4>1</vt:i4>
      </vt:variant>
      <vt:variant>
        <vt:lpstr>Título</vt:lpstr>
      </vt:variant>
      <vt:variant>
        <vt:i4>1</vt:i4>
      </vt:variant>
      <vt:variant>
        <vt:lpstr>Title</vt:lpstr>
      </vt:variant>
      <vt:variant>
        <vt:i4>1</vt:i4>
      </vt:variant>
    </vt:vector>
  </HeadingPairs>
  <TitlesOfParts>
    <vt:vector size="4" baseType="lpstr">
      <vt:lpstr>Part B, Section 9</vt:lpstr>
      <vt:lpstr>Part B, Section 9</vt:lpstr>
      <vt:lpstr>Part B, Section 9</vt:lpstr>
      <vt:lpstr>Part B, Section 9</vt:lpstr>
    </vt:vector>
  </TitlesOfParts>
  <Company>AFSSA</Company>
  <LinksUpToDate>false</LinksUpToDate>
  <CharactersWithSpaces>602130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9</dc:title>
  <dc:subject/>
  <dc:creator>Registration Report Working Group</dc:creator>
  <cp:keywords/>
  <dc:description/>
  <cp:lastModifiedBy>aam</cp:lastModifiedBy>
  <cp:revision>9</cp:revision>
  <cp:lastPrinted>2014-06-05T13:33:00Z</cp:lastPrinted>
  <dcterms:created xsi:type="dcterms:W3CDTF">2024-11-06T10:08:00Z</dcterms:created>
  <dcterms:modified xsi:type="dcterms:W3CDTF">2024-11-07T11:57:00Z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9</vt:lpwstr>
  </property>
  <property fmtid="{D5CDD505-2E9C-101B-9397-08002B2CF9AE}" pid="7" name="ContentTypeId">
    <vt:lpwstr>0x010100B9CF439BC3E8DD4EBFC89371884B571A007C47AC9C773E3A4BBFDD39B9658C5034</vt:lpwstr>
  </property>
  <property fmtid="{D5CDD505-2E9C-101B-9397-08002B2CF9AE}" pid="8" name="MediaServiceImageTags">
    <vt:lpwstr/>
  </property>
  <property fmtid="{D5CDD505-2E9C-101B-9397-08002B2CF9AE}" pid="9" name="MSIP_Label_fd8f657c-1b5d-4225-9de5-62d9d25afec8_Enabled">
    <vt:lpwstr>true</vt:lpwstr>
  </property>
  <property fmtid="{D5CDD505-2E9C-101B-9397-08002B2CF9AE}" pid="10" name="MSIP_Label_fd8f657c-1b5d-4225-9de5-62d9d25afec8_SetDate">
    <vt:lpwstr>2024-04-12T05:45:14Z</vt:lpwstr>
  </property>
  <property fmtid="{D5CDD505-2E9C-101B-9397-08002B2CF9AE}" pid="11" name="MSIP_Label_fd8f657c-1b5d-4225-9de5-62d9d25afec8_Method">
    <vt:lpwstr>Privileged</vt:lpwstr>
  </property>
  <property fmtid="{D5CDD505-2E9C-101B-9397-08002B2CF9AE}" pid="12" name="MSIP_Label_fd8f657c-1b5d-4225-9de5-62d9d25afec8_Name">
    <vt:lpwstr>fd8f657c-1b5d-4225-9de5-62d9d25afec8</vt:lpwstr>
  </property>
  <property fmtid="{D5CDD505-2E9C-101B-9397-08002B2CF9AE}" pid="13" name="MSIP_Label_fd8f657c-1b5d-4225-9de5-62d9d25afec8_SiteId">
    <vt:lpwstr>ecaa386b-c8df-4ce0-ad01-740cbdb5ba55</vt:lpwstr>
  </property>
  <property fmtid="{D5CDD505-2E9C-101B-9397-08002B2CF9AE}" pid="14" name="MSIP_Label_fd8f657c-1b5d-4225-9de5-62d9d25afec8_ActionId">
    <vt:lpwstr>f7e2c62d-3dec-427b-99cb-b8d0ec68e50d</vt:lpwstr>
  </property>
  <property fmtid="{D5CDD505-2E9C-101B-9397-08002B2CF9AE}" pid="15" name="MSIP_Label_fd8f657c-1b5d-4225-9de5-62d9d25afec8_ContentBits">
    <vt:lpwstr>0</vt:lpwstr>
  </property>
</Properties>
</file>